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header2.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header3.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header4.xml" ContentType="application/vnd.openxmlformats-officedocument.wordprocessingml.header+xml"/>
  <Override PartName="/word/footer69.xml" ContentType="application/vnd.openxmlformats-officedocument.wordprocessingml.footer+xml"/>
  <Override PartName="/word/header5.xml" ContentType="application/vnd.openxmlformats-officedocument.wordprocessingml.header+xml"/>
  <Override PartName="/word/footer70.xml" ContentType="application/vnd.openxmlformats-officedocument.wordprocessingml.footer+xml"/>
  <Override PartName="/word/header6.xml" ContentType="application/vnd.openxmlformats-officedocument.wordprocessingml.header+xml"/>
  <Override PartName="/word/footer71.xml" ContentType="application/vnd.openxmlformats-officedocument.wordprocessingml.footer+xml"/>
  <Override PartName="/word/header7.xml" ContentType="application/vnd.openxmlformats-officedocument.wordprocessingml.header+xml"/>
  <Override PartName="/word/footer72.xml" ContentType="application/vnd.openxmlformats-officedocument.wordprocessingml.footer+xml"/>
  <Override PartName="/word/header8.xml" ContentType="application/vnd.openxmlformats-officedocument.wordprocessingml.header+xml"/>
  <Override PartName="/word/footer73.xml" ContentType="application/vnd.openxmlformats-officedocument.wordprocessingml.footer+xml"/>
  <Override PartName="/word/header9.xml" ContentType="application/vnd.openxmlformats-officedocument.wordprocessingml.header+xml"/>
  <Override PartName="/word/footer74.xml" ContentType="application/vnd.openxmlformats-officedocument.wordprocessingml.footer+xml"/>
  <Override PartName="/word/header10.xml" ContentType="application/vnd.openxmlformats-officedocument.wordprocessingml.header+xml"/>
  <Override PartName="/word/footer7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6.xml" ContentType="application/vnd.openxmlformats-officedocument.wordprocessingml.footer+xml"/>
  <Override PartName="/word/header13.xml" ContentType="application/vnd.openxmlformats-officedocument.wordprocessingml.header+xml"/>
  <Override PartName="/word/footer77.xml" ContentType="application/vnd.openxmlformats-officedocument.wordprocessingml.footer+xml"/>
  <Override PartName="/word/header14.xml" ContentType="application/vnd.openxmlformats-officedocument.wordprocessingml.header+xml"/>
  <Override PartName="/word/footer7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footer81.xml" ContentType="application/vnd.openxmlformats-officedocument.wordprocessingml.footer+xml"/>
  <Override PartName="/word/header57.xml" ContentType="application/vnd.openxmlformats-officedocument.wordprocessingml.header+xml"/>
  <Override PartName="/word/footer82.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83.xml" ContentType="application/vnd.openxmlformats-officedocument.wordprocessingml.footer+xml"/>
  <Override PartName="/word/header60.xml" ContentType="application/vnd.openxmlformats-officedocument.wordprocessingml.header+xml"/>
  <Override PartName="/word/footer84.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footer89.xml" ContentType="application/vnd.openxmlformats-officedocument.wordprocessingml.footer+xml"/>
  <Override PartName="/word/header78.xml" ContentType="application/vnd.openxmlformats-officedocument.wordprocessingml.header+xml"/>
  <Override PartName="/word/footer90.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footer95.xml" ContentType="application/vnd.openxmlformats-officedocument.wordprocessingml.footer+xml"/>
  <Override PartName="/word/header136.xml" ContentType="application/vnd.openxmlformats-officedocument.wordprocessingml.header+xml"/>
  <Override PartName="/word/footer96.xml" ContentType="application/vnd.openxmlformats-officedocument.wordprocessingml.footer+xml"/>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6"/>
        <w:rPr>
          <w:rFonts w:ascii="Times New Roman" w:hAnsi="Times New Roman" w:cs="Times New Roman" w:eastAsia="Times New Roman" w:hint="default"/>
          <w:sz w:val="18"/>
          <w:szCs w:val="18"/>
        </w:rPr>
      </w:pPr>
    </w:p>
    <w:p>
      <w:pPr>
        <w:tabs>
          <w:tab w:pos="7140" w:val="left" w:leader="none"/>
        </w:tabs>
        <w:spacing w:before="36"/>
        <w:ind w:left="0" w:right="171" w:firstLine="0"/>
        <w:jc w:val="center"/>
        <w:rPr>
          <w:rFonts w:ascii="宋体" w:hAnsi="宋体" w:cs="宋体" w:eastAsia="宋体" w:hint="default"/>
          <w:sz w:val="21"/>
          <w:szCs w:val="21"/>
        </w:rPr>
      </w:pPr>
      <w:bookmarkStart w:name="中国联合网络通信股份有限公司2019年年度报告-全文（待合并审计师报告）" w:id="1"/>
      <w:bookmarkEnd w:id="1"/>
      <w:r>
        <w:rPr/>
      </w:r>
      <w:r>
        <w:rPr>
          <w:rFonts w:ascii="宋体" w:hAnsi="宋体" w:cs="宋体" w:eastAsia="宋体" w:hint="default"/>
          <w:spacing w:val="-1"/>
          <w:sz w:val="21"/>
          <w:szCs w:val="21"/>
        </w:rPr>
        <w:t>公司代码：</w:t>
      </w:r>
      <w:r>
        <w:rPr>
          <w:rFonts w:ascii="宋体" w:hAnsi="宋体" w:cs="宋体" w:eastAsia="宋体" w:hint="default"/>
          <w:spacing w:val="-1"/>
          <w:sz w:val="21"/>
          <w:szCs w:val="21"/>
        </w:rPr>
        <w:t>600050</w:t>
        <w:tab/>
      </w:r>
      <w:r>
        <w:rPr>
          <w:rFonts w:ascii="宋体" w:hAnsi="宋体" w:cs="宋体" w:eastAsia="宋体" w:hint="default"/>
          <w:spacing w:val="-1"/>
          <w:sz w:val="21"/>
          <w:szCs w:val="21"/>
        </w:rPr>
        <w:t>公司简称：中国联通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spacing w:line="177" w:lineRule="auto" w:before="0"/>
        <w:ind w:left="1653" w:right="1648" w:firstLine="0"/>
        <w:jc w:val="center"/>
        <w:rPr>
          <w:rFonts w:ascii="Microsoft JhengHei" w:hAnsi="Microsoft JhengHei" w:cs="Microsoft JhengHei" w:eastAsia="Microsoft JhengHei" w:hint="default"/>
          <w:sz w:val="44"/>
          <w:szCs w:val="44"/>
        </w:rPr>
      </w:pPr>
      <w:r>
        <w:rPr>
          <w:rFonts w:ascii="Microsoft JhengHei" w:hAnsi="Microsoft JhengHei" w:cs="Microsoft JhengHei" w:eastAsia="Microsoft JhengHei" w:hint="default"/>
          <w:b/>
          <w:bCs/>
          <w:color w:val="FF0000"/>
          <w:sz w:val="44"/>
          <w:szCs w:val="44"/>
        </w:rPr>
        <w:t>中国联合网络通信股份有限公司</w:t>
      </w:r>
      <w:r>
        <w:rPr>
          <w:rFonts w:ascii="Microsoft JhengHei" w:hAnsi="Microsoft JhengHei" w:cs="Microsoft JhengHei" w:eastAsia="Microsoft JhengHei" w:hint="default"/>
          <w:b/>
          <w:bCs/>
          <w:color w:val="FF0000"/>
          <w:spacing w:val="-100"/>
          <w:sz w:val="44"/>
          <w:szCs w:val="44"/>
        </w:rPr>
        <w:t> </w:t>
      </w:r>
      <w:r>
        <w:rPr>
          <w:rFonts w:ascii="Times New Roman" w:hAnsi="Times New Roman" w:cs="Times New Roman" w:eastAsia="Times New Roman" w:hint="default"/>
          <w:b/>
          <w:bCs/>
          <w:color w:val="FF0000"/>
          <w:sz w:val="44"/>
          <w:szCs w:val="44"/>
        </w:rPr>
        <w:t>2019</w:t>
      </w:r>
      <w:r>
        <w:rPr>
          <w:rFonts w:ascii="Times New Roman" w:hAnsi="Times New Roman" w:cs="Times New Roman" w:eastAsia="Times New Roman" w:hint="default"/>
          <w:b/>
          <w:bCs/>
          <w:color w:val="FF0000"/>
          <w:spacing w:val="13"/>
          <w:sz w:val="44"/>
          <w:szCs w:val="44"/>
        </w:rPr>
        <w:t> </w:t>
      </w:r>
      <w:r>
        <w:rPr>
          <w:rFonts w:ascii="Microsoft JhengHei" w:hAnsi="Microsoft JhengHei" w:cs="Microsoft JhengHei" w:eastAsia="Microsoft JhengHei" w:hint="default"/>
          <w:b/>
          <w:bCs/>
          <w:color w:val="FF0000"/>
          <w:sz w:val="44"/>
          <w:szCs w:val="44"/>
        </w:rPr>
        <w:t>年年度报告</w:t>
      </w:r>
      <w:r>
        <w:rPr>
          <w:rFonts w:ascii="Microsoft JhengHei" w:hAnsi="Microsoft JhengHei" w:cs="Microsoft JhengHei" w:eastAsia="Microsoft JhengHei" w:hint="default"/>
          <w:sz w:val="44"/>
          <w:szCs w:val="44"/>
        </w:rPr>
      </w:r>
    </w:p>
    <w:p>
      <w:pPr>
        <w:spacing w:line="240" w:lineRule="auto" w:before="0"/>
        <w:rPr>
          <w:rFonts w:ascii="Microsoft JhengHei" w:hAnsi="Microsoft JhengHei" w:cs="Microsoft JhengHei" w:eastAsia="Microsoft JhengHei" w:hint="default"/>
          <w:b/>
          <w:bCs/>
          <w:sz w:val="20"/>
          <w:szCs w:val="20"/>
        </w:rPr>
      </w:pPr>
    </w:p>
    <w:p>
      <w:pPr>
        <w:spacing w:line="240" w:lineRule="auto" w:before="17"/>
        <w:rPr>
          <w:rFonts w:ascii="Microsoft JhengHei" w:hAnsi="Microsoft JhengHei" w:cs="Microsoft JhengHei" w:eastAsia="Microsoft JhengHei" w:hint="default"/>
          <w:b/>
          <w:bCs/>
          <w:sz w:val="13"/>
          <w:szCs w:val="13"/>
        </w:rPr>
      </w:pPr>
    </w:p>
    <w:p>
      <w:pPr>
        <w:spacing w:line="2745" w:lineRule="exact"/>
        <w:ind w:left="2224"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54"/>
          <w:sz w:val="20"/>
          <w:szCs w:val="20"/>
        </w:rPr>
        <w:drawing>
          <wp:inline distT="0" distB="0" distL="0" distR="0">
            <wp:extent cx="3196906" cy="1743075"/>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7" cstate="print"/>
                    <a:stretch>
                      <a:fillRect/>
                    </a:stretch>
                  </pic:blipFill>
                  <pic:spPr>
                    <a:xfrm>
                      <a:off x="0" y="0"/>
                      <a:ext cx="3196906" cy="1743075"/>
                    </a:xfrm>
                    <a:prstGeom prst="rect">
                      <a:avLst/>
                    </a:prstGeom>
                  </pic:spPr>
                </pic:pic>
              </a:graphicData>
            </a:graphic>
          </wp:inline>
        </w:drawing>
      </w:r>
      <w:r>
        <w:rPr>
          <w:rFonts w:ascii="Microsoft JhengHei" w:hAnsi="Microsoft JhengHei" w:cs="Microsoft JhengHei" w:eastAsia="Microsoft JhengHei" w:hint="default"/>
          <w:position w:val="-54"/>
          <w:sz w:val="20"/>
          <w:szCs w:val="20"/>
        </w:rPr>
      </w:r>
    </w:p>
    <w:p>
      <w:pPr>
        <w:spacing w:after="0" w:line="2745" w:lineRule="exact"/>
        <w:rPr>
          <w:rFonts w:ascii="Microsoft JhengHei" w:hAnsi="Microsoft JhengHei" w:cs="Microsoft JhengHei" w:eastAsia="Microsoft JhengHei" w:hint="default"/>
          <w:sz w:val="20"/>
          <w:szCs w:val="20"/>
        </w:rPr>
        <w:sectPr>
          <w:headerReference w:type="default" r:id="rId5"/>
          <w:footerReference w:type="default" r:id="rId6"/>
          <w:type w:val="continuous"/>
          <w:pgSz w:w="11910" w:h="16840"/>
          <w:pgMar w:header="854" w:footer="502" w:top="1360" w:bottom="700" w:left="1280" w:right="114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11"/>
        <w:rPr>
          <w:rFonts w:ascii="Microsoft JhengHei" w:hAnsi="Microsoft JhengHei" w:cs="Microsoft JhengHei" w:eastAsia="Microsoft JhengHei" w:hint="default"/>
          <w:b/>
          <w:bCs/>
          <w:sz w:val="17"/>
          <w:szCs w:val="17"/>
        </w:rPr>
      </w:pPr>
    </w:p>
    <w:p>
      <w:pPr>
        <w:spacing w:line="413" w:lineRule="exact" w:before="0"/>
        <w:ind w:left="4165" w:right="4421" w:firstLine="0"/>
        <w:jc w:val="center"/>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z w:val="28"/>
          <w:szCs w:val="28"/>
        </w:rPr>
        <w:t>重要提示</w:t>
      </w:r>
      <w:r>
        <w:rPr>
          <w:rFonts w:ascii="Microsoft JhengHei" w:hAnsi="Microsoft JhengHei" w:cs="Microsoft JhengHei" w:eastAsia="Microsoft JhengHei" w:hint="default"/>
          <w:sz w:val="28"/>
          <w:szCs w:val="28"/>
        </w:rPr>
      </w:r>
    </w:p>
    <w:p>
      <w:pPr>
        <w:spacing w:line="268" w:lineRule="auto" w:before="192"/>
        <w:ind w:left="508" w:right="0" w:hanging="37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pacing w:val="-2"/>
          <w:sz w:val="21"/>
          <w:szCs w:val="21"/>
        </w:rPr>
        <w:t>一、本公司董事会、监事会及董事、监事、高级管理人员保证年度报告内容的真实、准确、完整，不</w:t>
      </w:r>
      <w:r>
        <w:rPr>
          <w:rFonts w:ascii="Microsoft JhengHei" w:hAnsi="Microsoft JhengHei" w:cs="Microsoft JhengHei" w:eastAsia="Microsoft JhengHei" w:hint="default"/>
          <w:b/>
          <w:bCs/>
          <w:spacing w:val="3"/>
          <w:sz w:val="21"/>
          <w:szCs w:val="21"/>
        </w:rPr>
        <w:t> </w:t>
      </w:r>
      <w:r>
        <w:rPr>
          <w:rFonts w:ascii="Microsoft JhengHei" w:hAnsi="Microsoft JhengHei" w:cs="Microsoft JhengHei" w:eastAsia="Microsoft JhengHei" w:hint="default"/>
          <w:b/>
          <w:bCs/>
          <w:spacing w:val="3"/>
          <w:sz w:val="21"/>
          <w:szCs w:val="21"/>
        </w:rPr>
      </w:r>
      <w:r>
        <w:rPr>
          <w:rFonts w:ascii="Microsoft JhengHei" w:hAnsi="Microsoft JhengHei" w:cs="Microsoft JhengHei" w:eastAsia="Microsoft JhengHei" w:hint="default"/>
          <w:b/>
          <w:bCs/>
          <w:sz w:val="21"/>
          <w:szCs w:val="21"/>
        </w:rPr>
        <w:t>存在虚假记载、误导性陈述或重大遗漏，并承担个别和连带的法律责任。</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16"/>
          <w:szCs w:val="16"/>
        </w:rPr>
      </w:pPr>
    </w:p>
    <w:p>
      <w:pPr>
        <w:spacing w:line="446" w:lineRule="auto" w:before="0"/>
        <w:ind w:left="138"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二、公司全体董事出席董事会会议。</w:t>
      </w:r>
      <w:r>
        <w:rPr>
          <w:rFonts w:ascii="Microsoft JhengHei" w:hAnsi="Microsoft JhengHei" w:cs="Microsoft JhengHei" w:eastAsia="Microsoft JhengHei" w:hint="default"/>
          <w:b/>
          <w:bCs/>
          <w:spacing w:val="-28"/>
          <w:sz w:val="21"/>
          <w:szCs w:val="21"/>
        </w:rPr>
        <w:t> </w:t>
      </w:r>
      <w:r>
        <w:rPr>
          <w:rFonts w:ascii="Microsoft JhengHei" w:hAnsi="Microsoft JhengHei" w:cs="Microsoft JhengHei" w:eastAsia="Microsoft JhengHei" w:hint="default"/>
          <w:b/>
          <w:bCs/>
          <w:spacing w:val="-28"/>
          <w:sz w:val="21"/>
          <w:szCs w:val="21"/>
        </w:rPr>
      </w:r>
      <w:r>
        <w:rPr>
          <w:rFonts w:ascii="Microsoft JhengHei" w:hAnsi="Microsoft JhengHei" w:cs="Microsoft JhengHei" w:eastAsia="Microsoft JhengHei" w:hint="default"/>
          <w:b/>
          <w:bCs/>
          <w:sz w:val="21"/>
          <w:szCs w:val="21"/>
        </w:rPr>
        <w:t>三、毕马威华振会计师事务所（特殊普通合伙）为本公司出具了标准无保留意见的审计报告。</w:t>
      </w:r>
      <w:r>
        <w:rPr>
          <w:rFonts w:ascii="Microsoft JhengHei" w:hAnsi="Microsoft JhengHei" w:cs="Microsoft JhengHei" w:eastAsia="Microsoft JhengHei" w:hint="default"/>
          <w:sz w:val="21"/>
          <w:szCs w:val="21"/>
        </w:rPr>
      </w:r>
    </w:p>
    <w:p>
      <w:pPr>
        <w:spacing w:line="268" w:lineRule="auto" w:before="76"/>
        <w:ind w:left="508" w:right="0" w:hanging="37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四、公司负责人王晓初、主管会计工作负责人姜爱华及会计机构负责人（会计主管人员）王芳声明：</w:t>
      </w:r>
      <w:r>
        <w:rPr>
          <w:rFonts w:ascii="Microsoft JhengHei" w:hAnsi="Microsoft JhengHei" w:cs="Microsoft JhengHei" w:eastAsia="Microsoft JhengHei" w:hint="default"/>
          <w:b/>
          <w:bCs/>
          <w:spacing w:val="-7"/>
          <w:sz w:val="21"/>
          <w:szCs w:val="21"/>
        </w:rPr>
        <w:t> </w:t>
      </w:r>
      <w:r>
        <w:rPr>
          <w:rFonts w:ascii="Microsoft JhengHei" w:hAnsi="Microsoft JhengHei" w:cs="Microsoft JhengHei" w:eastAsia="Microsoft JhengHei" w:hint="default"/>
          <w:b/>
          <w:bCs/>
          <w:spacing w:val="-7"/>
          <w:sz w:val="21"/>
          <w:szCs w:val="21"/>
        </w:rPr>
      </w:r>
      <w:r>
        <w:rPr>
          <w:rFonts w:ascii="Microsoft JhengHei" w:hAnsi="Microsoft JhengHei" w:cs="Microsoft JhengHei" w:eastAsia="Microsoft JhengHei" w:hint="default"/>
          <w:b/>
          <w:bCs/>
          <w:sz w:val="21"/>
          <w:szCs w:val="21"/>
        </w:rPr>
        <w:t>保证年度报告中财务报告的真实、准确、完整。</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6"/>
          <w:szCs w:val="16"/>
        </w:rPr>
      </w:pPr>
    </w:p>
    <w:p>
      <w:pPr>
        <w:spacing w:line="338" w:lineRule="auto" w:before="0"/>
        <w:ind w:left="138" w:right="0" w:firstLine="0"/>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五、经董事会审议的报告期利润分配预案或公积金转增股本预案</w:t>
      </w:r>
      <w:r>
        <w:rPr>
          <w:rFonts w:ascii="Microsoft JhengHei" w:hAnsi="Microsoft JhengHei" w:cs="Microsoft JhengHei" w:eastAsia="Microsoft JhengHei" w:hint="default"/>
          <w:b/>
          <w:bCs/>
          <w:spacing w:val="-19"/>
          <w:sz w:val="21"/>
          <w:szCs w:val="21"/>
        </w:rPr>
        <w:t> </w:t>
      </w:r>
      <w:r>
        <w:rPr>
          <w:rFonts w:ascii="Microsoft JhengHei" w:hAnsi="Microsoft JhengHei" w:cs="Microsoft JhengHei" w:eastAsia="Microsoft JhengHei" w:hint="default"/>
          <w:b/>
          <w:bCs/>
          <w:spacing w:val="-19"/>
          <w:sz w:val="21"/>
          <w:szCs w:val="21"/>
        </w:rPr>
      </w:r>
      <w:r>
        <w:rPr>
          <w:rFonts w:ascii="宋体" w:hAnsi="宋体" w:cs="宋体" w:eastAsia="宋体" w:hint="default"/>
          <w:spacing w:val="-3"/>
          <w:sz w:val="21"/>
          <w:szCs w:val="21"/>
        </w:rPr>
        <w:t>公司董事会审议的报告期利润分配预案如下：本公司通过联通</w:t>
      </w:r>
      <w:r>
        <w:rPr>
          <w:rFonts w:ascii="宋体" w:hAnsi="宋体" w:cs="宋体" w:eastAsia="宋体" w:hint="default"/>
          <w:spacing w:val="-3"/>
          <w:sz w:val="21"/>
          <w:szCs w:val="21"/>
        </w:rPr>
        <w:t>BVI</w:t>
      </w:r>
      <w:r>
        <w:rPr>
          <w:rFonts w:ascii="宋体" w:hAnsi="宋体" w:cs="宋体" w:eastAsia="宋体" w:hint="default"/>
          <w:spacing w:val="-3"/>
          <w:sz w:val="21"/>
          <w:szCs w:val="21"/>
        </w:rPr>
        <w:t>公司持有中国联合网络通信（香港）股</w:t>
      </w:r>
      <w:r>
        <w:rPr>
          <w:rFonts w:ascii="宋体" w:hAnsi="宋体" w:cs="宋体" w:eastAsia="宋体" w:hint="default"/>
          <w:spacing w:val="-30"/>
          <w:sz w:val="21"/>
          <w:szCs w:val="21"/>
        </w:rPr>
        <w:t> </w:t>
      </w:r>
      <w:r>
        <w:rPr>
          <w:rFonts w:ascii="宋体" w:hAnsi="宋体" w:cs="宋体" w:eastAsia="宋体" w:hint="default"/>
          <w:spacing w:val="-30"/>
          <w:sz w:val="21"/>
          <w:szCs w:val="21"/>
        </w:rPr>
      </w:r>
      <w:r>
        <w:rPr>
          <w:rFonts w:ascii="宋体" w:hAnsi="宋体" w:cs="宋体" w:eastAsia="宋体" w:hint="default"/>
          <w:sz w:val="21"/>
          <w:szCs w:val="21"/>
        </w:rPr>
        <w:t>份有限公司（以下称“联通红筹公司”）的股权。按本公司章程规定，应将自联通红筹公司分红所得现</w:t>
      </w:r>
    </w:p>
    <w:p>
      <w:pPr>
        <w:spacing w:line="314" w:lineRule="auto" w:before="0"/>
        <w:ind w:left="138" w:right="0" w:firstLine="0"/>
        <w:jc w:val="left"/>
        <w:rPr>
          <w:rFonts w:ascii="宋体" w:hAnsi="宋体" w:cs="宋体" w:eastAsia="宋体" w:hint="default"/>
          <w:sz w:val="21"/>
          <w:szCs w:val="21"/>
        </w:rPr>
      </w:pPr>
      <w:r>
        <w:rPr>
          <w:rFonts w:ascii="宋体" w:hAnsi="宋体" w:cs="宋体" w:eastAsia="宋体" w:hint="default"/>
          <w:sz w:val="21"/>
          <w:szCs w:val="21"/>
        </w:rPr>
        <w:t>金在扣除公司日常现金开支、税费及法律法规规定应当提取的各项公积金后，以现金方式全额分配给股</w:t>
      </w:r>
      <w:r>
        <w:rPr>
          <w:rFonts w:ascii="宋体" w:hAnsi="宋体" w:cs="宋体" w:eastAsia="宋体" w:hint="default"/>
          <w:spacing w:val="-54"/>
          <w:sz w:val="21"/>
          <w:szCs w:val="21"/>
        </w:rPr>
        <w:t> </w:t>
      </w:r>
      <w:r>
        <w:rPr>
          <w:rFonts w:ascii="宋体" w:hAnsi="宋体" w:cs="宋体" w:eastAsia="宋体" w:hint="default"/>
          <w:spacing w:val="-54"/>
          <w:sz w:val="21"/>
          <w:szCs w:val="21"/>
        </w:rPr>
      </w:r>
      <w:r>
        <w:rPr>
          <w:rFonts w:ascii="宋体" w:hAnsi="宋体" w:cs="宋体" w:eastAsia="宋体" w:hint="default"/>
          <w:sz w:val="21"/>
          <w:szCs w:val="21"/>
        </w:rPr>
        <w:t>东。</w:t>
      </w:r>
      <w:r>
        <w:rPr>
          <w:rFonts w:ascii="宋体" w:hAnsi="宋体" w:cs="宋体" w:eastAsia="宋体" w:hint="default"/>
          <w:spacing w:val="-103"/>
          <w:sz w:val="21"/>
          <w:szCs w:val="21"/>
        </w:rPr>
        <w:t> </w:t>
      </w:r>
      <w:r>
        <w:rPr>
          <w:rFonts w:ascii="宋体" w:hAnsi="宋体" w:cs="宋体" w:eastAsia="宋体" w:hint="default"/>
          <w:sz w:val="21"/>
          <w:szCs w:val="21"/>
        </w:rPr>
        <w:t>联通红筹公司董事会于</w:t>
      </w:r>
      <w:r>
        <w:rPr>
          <w:rFonts w:ascii="宋体" w:hAnsi="宋体" w:cs="宋体" w:eastAsia="宋体" w:hint="default"/>
          <w:sz w:val="21"/>
          <w:szCs w:val="21"/>
        </w:rPr>
        <w:t>2020</w:t>
      </w:r>
      <w:r>
        <w:rPr>
          <w:rFonts w:ascii="宋体" w:hAnsi="宋体" w:cs="宋体" w:eastAsia="宋体" w:hint="default"/>
          <w:sz w:val="21"/>
          <w:szCs w:val="21"/>
        </w:rPr>
        <w:t>年</w:t>
      </w:r>
      <w:r>
        <w:rPr>
          <w:rFonts w:ascii="宋体" w:hAnsi="宋体" w:cs="宋体" w:eastAsia="宋体" w:hint="default"/>
          <w:sz w:val="21"/>
          <w:szCs w:val="21"/>
        </w:rPr>
        <w:t>3</w:t>
      </w:r>
      <w:r>
        <w:rPr>
          <w:rFonts w:ascii="宋体" w:hAnsi="宋体" w:cs="宋体" w:eastAsia="宋体" w:hint="default"/>
          <w:sz w:val="21"/>
          <w:szCs w:val="21"/>
        </w:rPr>
        <w:t>月</w:t>
      </w:r>
      <w:r>
        <w:rPr>
          <w:rFonts w:ascii="宋体" w:hAnsi="宋体" w:cs="宋体" w:eastAsia="宋体" w:hint="default"/>
          <w:sz w:val="21"/>
          <w:szCs w:val="21"/>
        </w:rPr>
        <w:t>23</w:t>
      </w:r>
      <w:r>
        <w:rPr>
          <w:rFonts w:ascii="宋体" w:hAnsi="宋体" w:cs="宋体" w:eastAsia="宋体" w:hint="default"/>
          <w:sz w:val="21"/>
          <w:szCs w:val="21"/>
        </w:rPr>
        <w:t>日提议派发</w:t>
      </w:r>
      <w:r>
        <w:rPr>
          <w:rFonts w:ascii="宋体" w:hAnsi="宋体" w:cs="宋体" w:eastAsia="宋体" w:hint="default"/>
          <w:sz w:val="21"/>
          <w:szCs w:val="21"/>
        </w:rPr>
        <w:t>2019</w:t>
      </w:r>
      <w:r>
        <w:rPr>
          <w:rFonts w:ascii="宋体" w:hAnsi="宋体" w:cs="宋体" w:eastAsia="宋体" w:hint="default"/>
          <w:sz w:val="21"/>
          <w:szCs w:val="21"/>
        </w:rPr>
        <w:t>年度股利，每股派发股利</w:t>
      </w:r>
      <w:r>
        <w:rPr>
          <w:rFonts w:ascii="宋体" w:hAnsi="宋体" w:cs="宋体" w:eastAsia="宋体" w:hint="default"/>
          <w:sz w:val="21"/>
          <w:szCs w:val="21"/>
        </w:rPr>
        <w:t>0.148</w:t>
      </w:r>
      <w:r>
        <w:rPr>
          <w:rFonts w:ascii="宋体" w:hAnsi="宋体" w:cs="宋体" w:eastAsia="宋体" w:hint="default"/>
          <w:sz w:val="21"/>
          <w:szCs w:val="21"/>
        </w:rPr>
        <w:t>元。如获联通红筹公</w:t>
      </w:r>
      <w:r>
        <w:rPr>
          <w:rFonts w:ascii="宋体" w:hAnsi="宋体" w:cs="宋体" w:eastAsia="宋体" w:hint="default"/>
          <w:spacing w:val="-55"/>
          <w:sz w:val="21"/>
          <w:szCs w:val="21"/>
        </w:rPr>
        <w:t> </w:t>
      </w:r>
      <w:r>
        <w:rPr>
          <w:rFonts w:ascii="宋体" w:hAnsi="宋体" w:cs="宋体" w:eastAsia="宋体" w:hint="default"/>
          <w:spacing w:val="-3"/>
          <w:sz w:val="21"/>
          <w:szCs w:val="21"/>
        </w:rPr>
        <w:t>司周年股东大会批准，本公司预计将收到按持股比例计算的股利约</w:t>
      </w:r>
      <w:r>
        <w:rPr>
          <w:rFonts w:ascii="宋体" w:hAnsi="宋体" w:cs="宋体" w:eastAsia="宋体" w:hint="default"/>
          <w:spacing w:val="-3"/>
          <w:sz w:val="21"/>
          <w:szCs w:val="21"/>
        </w:rPr>
        <w:t>19.90</w:t>
      </w:r>
      <w:r>
        <w:rPr>
          <w:rFonts w:ascii="宋体" w:hAnsi="宋体" w:cs="宋体" w:eastAsia="宋体" w:hint="default"/>
          <w:spacing w:val="-3"/>
          <w:sz w:val="21"/>
          <w:szCs w:val="21"/>
        </w:rPr>
        <w:t>亿元。依照公司章程，在收到此</w:t>
      </w:r>
      <w:r>
        <w:rPr>
          <w:rFonts w:ascii="宋体" w:hAnsi="宋体" w:cs="宋体" w:eastAsia="宋体" w:hint="default"/>
          <w:spacing w:val="-31"/>
          <w:sz w:val="21"/>
          <w:szCs w:val="21"/>
        </w:rPr>
        <w:t> </w:t>
      </w:r>
      <w:r>
        <w:rPr>
          <w:rFonts w:ascii="宋体" w:hAnsi="宋体" w:cs="宋体" w:eastAsia="宋体" w:hint="default"/>
          <w:spacing w:val="-31"/>
          <w:sz w:val="21"/>
          <w:szCs w:val="21"/>
        </w:rPr>
      </w:r>
      <w:r>
        <w:rPr>
          <w:rFonts w:ascii="宋体" w:hAnsi="宋体" w:cs="宋体" w:eastAsia="宋体" w:hint="default"/>
          <w:spacing w:val="-3"/>
          <w:sz w:val="21"/>
          <w:szCs w:val="21"/>
        </w:rPr>
        <w:t>等股利后，扣除本公司日常开支约</w:t>
      </w:r>
      <w:r>
        <w:rPr>
          <w:rFonts w:ascii="宋体" w:hAnsi="宋体" w:cs="宋体" w:eastAsia="宋体" w:hint="default"/>
          <w:spacing w:val="-3"/>
          <w:sz w:val="21"/>
          <w:szCs w:val="21"/>
        </w:rPr>
        <w:t>0.1</w:t>
      </w:r>
      <w:r>
        <w:rPr>
          <w:rFonts w:ascii="宋体" w:hAnsi="宋体" w:cs="宋体" w:eastAsia="宋体" w:hint="default"/>
          <w:spacing w:val="-3"/>
          <w:sz w:val="21"/>
          <w:szCs w:val="21"/>
        </w:rPr>
        <w:t>亿元，减去预提</w:t>
      </w:r>
      <w:r>
        <w:rPr>
          <w:rFonts w:ascii="宋体" w:hAnsi="宋体" w:cs="宋体" w:eastAsia="宋体" w:hint="default"/>
          <w:spacing w:val="-3"/>
          <w:sz w:val="21"/>
          <w:szCs w:val="21"/>
        </w:rPr>
        <w:t>2020</w:t>
      </w:r>
      <w:r>
        <w:rPr>
          <w:rFonts w:ascii="宋体" w:hAnsi="宋体" w:cs="宋体" w:eastAsia="宋体" w:hint="default"/>
          <w:spacing w:val="-3"/>
          <w:sz w:val="21"/>
          <w:szCs w:val="21"/>
        </w:rPr>
        <w:t>年度法定公积金约</w:t>
      </w:r>
      <w:r>
        <w:rPr>
          <w:rFonts w:ascii="宋体" w:hAnsi="宋体" w:cs="宋体" w:eastAsia="宋体" w:hint="default"/>
          <w:spacing w:val="-3"/>
          <w:sz w:val="21"/>
          <w:szCs w:val="21"/>
        </w:rPr>
        <w:t>1.98</w:t>
      </w:r>
      <w:r>
        <w:rPr>
          <w:rFonts w:ascii="宋体" w:hAnsi="宋体" w:cs="宋体" w:eastAsia="宋体" w:hint="default"/>
          <w:spacing w:val="-3"/>
          <w:sz w:val="21"/>
          <w:szCs w:val="21"/>
        </w:rPr>
        <w:t>亿元，加上</w:t>
      </w:r>
      <w:r>
        <w:rPr>
          <w:rFonts w:ascii="宋体" w:hAnsi="宋体" w:cs="宋体" w:eastAsia="宋体" w:hint="default"/>
          <w:spacing w:val="-3"/>
          <w:sz w:val="21"/>
          <w:szCs w:val="21"/>
        </w:rPr>
        <w:t>2019</w:t>
      </w:r>
      <w:r>
        <w:rPr>
          <w:rFonts w:ascii="宋体" w:hAnsi="宋体" w:cs="宋体" w:eastAsia="宋体" w:hint="default"/>
          <w:spacing w:val="-3"/>
          <w:sz w:val="21"/>
          <w:szCs w:val="21"/>
        </w:rPr>
        <w:t>年末本</w:t>
      </w:r>
      <w:r>
        <w:rPr>
          <w:rFonts w:ascii="宋体" w:hAnsi="宋体" w:cs="宋体" w:eastAsia="宋体" w:hint="default"/>
          <w:spacing w:val="-17"/>
          <w:sz w:val="21"/>
          <w:szCs w:val="21"/>
        </w:rPr>
        <w:t> </w:t>
      </w:r>
      <w:r>
        <w:rPr>
          <w:rFonts w:ascii="宋体" w:hAnsi="宋体" w:cs="宋体" w:eastAsia="宋体" w:hint="default"/>
          <w:spacing w:val="-17"/>
          <w:sz w:val="21"/>
          <w:szCs w:val="21"/>
        </w:rPr>
      </w:r>
      <w:r>
        <w:rPr>
          <w:rFonts w:ascii="宋体" w:hAnsi="宋体" w:cs="宋体" w:eastAsia="宋体" w:hint="default"/>
          <w:spacing w:val="-3"/>
          <w:sz w:val="21"/>
          <w:szCs w:val="21"/>
        </w:rPr>
        <w:t>公司可供股东分配利润</w:t>
      </w:r>
      <w:r>
        <w:rPr>
          <w:rFonts w:ascii="宋体" w:hAnsi="宋体" w:cs="宋体" w:eastAsia="宋体" w:hint="default"/>
          <w:spacing w:val="-3"/>
          <w:sz w:val="21"/>
          <w:szCs w:val="21"/>
        </w:rPr>
        <w:t>0.94</w:t>
      </w:r>
      <w:r>
        <w:rPr>
          <w:rFonts w:ascii="宋体" w:hAnsi="宋体" w:cs="宋体" w:eastAsia="宋体" w:hint="default"/>
          <w:spacing w:val="-3"/>
          <w:sz w:val="21"/>
          <w:szCs w:val="21"/>
        </w:rPr>
        <w:t>亿元后，可供股东分配的利润约</w:t>
      </w:r>
      <w:r>
        <w:rPr>
          <w:rFonts w:ascii="宋体" w:hAnsi="宋体" w:cs="宋体" w:eastAsia="宋体" w:hint="default"/>
          <w:spacing w:val="-3"/>
          <w:sz w:val="21"/>
          <w:szCs w:val="21"/>
        </w:rPr>
        <w:t>18.76</w:t>
      </w:r>
      <w:r>
        <w:rPr>
          <w:rFonts w:ascii="宋体" w:hAnsi="宋体" w:cs="宋体" w:eastAsia="宋体" w:hint="default"/>
          <w:spacing w:val="-3"/>
          <w:sz w:val="21"/>
          <w:szCs w:val="21"/>
        </w:rPr>
        <w:t>亿元。据此，董事会建议，本公司对现</w:t>
      </w:r>
      <w:r>
        <w:rPr>
          <w:rFonts w:ascii="宋体" w:hAnsi="宋体" w:cs="宋体" w:eastAsia="宋体" w:hint="default"/>
          <w:spacing w:val="-26"/>
          <w:sz w:val="21"/>
          <w:szCs w:val="21"/>
        </w:rPr>
        <w:t> </w:t>
      </w:r>
      <w:r>
        <w:rPr>
          <w:rFonts w:ascii="宋体" w:hAnsi="宋体" w:cs="宋体" w:eastAsia="宋体" w:hint="default"/>
          <w:spacing w:val="-26"/>
          <w:sz w:val="21"/>
          <w:szCs w:val="21"/>
        </w:rPr>
      </w:r>
      <w:r>
        <w:rPr>
          <w:rFonts w:ascii="宋体" w:hAnsi="宋体" w:cs="宋体" w:eastAsia="宋体" w:hint="default"/>
          <w:spacing w:val="-3"/>
          <w:sz w:val="21"/>
          <w:szCs w:val="21"/>
        </w:rPr>
        <w:t>金红利实施公告中确定的股权登记日收市后在册的股东，每</w:t>
      </w:r>
      <w:r>
        <w:rPr>
          <w:rFonts w:ascii="宋体" w:hAnsi="宋体" w:cs="宋体" w:eastAsia="宋体" w:hint="default"/>
          <w:spacing w:val="-3"/>
          <w:sz w:val="21"/>
          <w:szCs w:val="21"/>
        </w:rPr>
        <w:t>10</w:t>
      </w:r>
      <w:r>
        <w:rPr>
          <w:rFonts w:ascii="宋体" w:hAnsi="宋体" w:cs="宋体" w:eastAsia="宋体" w:hint="default"/>
          <w:spacing w:val="-3"/>
          <w:sz w:val="21"/>
          <w:szCs w:val="21"/>
        </w:rPr>
        <w:t>股拟派发现金股利</w:t>
      </w:r>
      <w:r>
        <w:rPr>
          <w:rFonts w:ascii="宋体" w:hAnsi="宋体" w:cs="宋体" w:eastAsia="宋体" w:hint="default"/>
          <w:spacing w:val="-3"/>
          <w:sz w:val="21"/>
          <w:szCs w:val="21"/>
        </w:rPr>
        <w:t>0.604</w:t>
      </w:r>
      <w:r>
        <w:rPr>
          <w:rFonts w:ascii="宋体" w:hAnsi="宋体" w:cs="宋体" w:eastAsia="宋体" w:hint="default"/>
          <w:spacing w:val="-3"/>
          <w:sz w:val="21"/>
          <w:szCs w:val="21"/>
        </w:rPr>
        <w:t>元</w:t>
      </w:r>
      <w:r>
        <w:rPr>
          <w:rFonts w:ascii="宋体" w:hAnsi="宋体" w:cs="宋体" w:eastAsia="宋体" w:hint="default"/>
          <w:spacing w:val="-3"/>
          <w:sz w:val="21"/>
          <w:szCs w:val="21"/>
        </w:rPr>
        <w:t>(</w:t>
      </w:r>
      <w:r>
        <w:rPr>
          <w:rFonts w:ascii="宋体" w:hAnsi="宋体" w:cs="宋体" w:eastAsia="宋体" w:hint="default"/>
          <w:spacing w:val="-3"/>
          <w:sz w:val="21"/>
          <w:szCs w:val="21"/>
        </w:rPr>
        <w:t>含税</w:t>
      </w:r>
      <w:r>
        <w:rPr>
          <w:rFonts w:ascii="宋体" w:hAnsi="宋体" w:cs="宋体" w:eastAsia="宋体" w:hint="default"/>
          <w:spacing w:val="-3"/>
          <w:sz w:val="21"/>
          <w:szCs w:val="21"/>
        </w:rPr>
        <w:t>)</w:t>
      </w:r>
      <w:r>
        <w:rPr>
          <w:rFonts w:ascii="宋体" w:hAnsi="宋体" w:cs="宋体" w:eastAsia="宋体" w:hint="default"/>
          <w:spacing w:val="-3"/>
          <w:sz w:val="21"/>
          <w:szCs w:val="21"/>
        </w:rPr>
        <w:t>，共计拟</w:t>
      </w:r>
      <w:r>
        <w:rPr>
          <w:rFonts w:ascii="宋体" w:hAnsi="宋体" w:cs="宋体" w:eastAsia="宋体" w:hint="default"/>
          <w:spacing w:val="-22"/>
          <w:sz w:val="21"/>
          <w:szCs w:val="21"/>
        </w:rPr>
        <w:t> </w:t>
      </w:r>
      <w:r>
        <w:rPr>
          <w:rFonts w:ascii="宋体" w:hAnsi="宋体" w:cs="宋体" w:eastAsia="宋体" w:hint="default"/>
          <w:spacing w:val="-22"/>
          <w:sz w:val="21"/>
          <w:szCs w:val="21"/>
        </w:rPr>
      </w:r>
      <w:r>
        <w:rPr>
          <w:rFonts w:ascii="宋体" w:hAnsi="宋体" w:cs="宋体" w:eastAsia="宋体" w:hint="default"/>
          <w:sz w:val="21"/>
          <w:szCs w:val="21"/>
        </w:rPr>
        <w:t>向本公司股东派发约</w:t>
      </w:r>
      <w:r>
        <w:rPr>
          <w:rFonts w:ascii="宋体" w:hAnsi="宋体" w:cs="宋体" w:eastAsia="宋体" w:hint="default"/>
          <w:sz w:val="21"/>
          <w:szCs w:val="21"/>
        </w:rPr>
        <w:t>18.74</w:t>
      </w:r>
      <w:r>
        <w:rPr>
          <w:rFonts w:ascii="宋体" w:hAnsi="宋体" w:cs="宋体" w:eastAsia="宋体" w:hint="default"/>
          <w:sz w:val="21"/>
          <w:szCs w:val="21"/>
        </w:rPr>
        <w:t>亿元</w:t>
      </w:r>
      <w:r>
        <w:rPr>
          <w:rFonts w:ascii="宋体" w:hAnsi="宋体" w:cs="宋体" w:eastAsia="宋体" w:hint="default"/>
          <w:sz w:val="21"/>
          <w:szCs w:val="21"/>
        </w:rPr>
        <w:t>(</w:t>
      </w:r>
      <w:r>
        <w:rPr>
          <w:rFonts w:ascii="宋体" w:hAnsi="宋体" w:cs="宋体" w:eastAsia="宋体" w:hint="default"/>
          <w:sz w:val="21"/>
          <w:szCs w:val="21"/>
        </w:rPr>
        <w:t>含税</w:t>
      </w:r>
      <w:r>
        <w:rPr>
          <w:rFonts w:ascii="宋体" w:hAnsi="宋体" w:cs="宋体" w:eastAsia="宋体" w:hint="default"/>
          <w:sz w:val="21"/>
          <w:szCs w:val="21"/>
        </w:rPr>
        <w:t>)</w:t>
      </w:r>
      <w:r>
        <w:rPr>
          <w:rFonts w:ascii="宋体" w:hAnsi="宋体" w:cs="宋体" w:eastAsia="宋体" w:hint="default"/>
          <w:sz w:val="21"/>
          <w:szCs w:val="21"/>
        </w:rPr>
        <w:t>的股利，剩余可供股东分配的利润将用于以后年度的利润分配。</w:t>
      </w:r>
      <w:r>
        <w:rPr>
          <w:rFonts w:ascii="宋体" w:hAnsi="宋体" w:cs="宋体" w:eastAsia="宋体" w:hint="default"/>
          <w:w w:val="100"/>
          <w:sz w:val="21"/>
          <w:szCs w:val="21"/>
        </w:rPr>
        <w:t> </w:t>
      </w:r>
      <w:r>
        <w:rPr>
          <w:rFonts w:ascii="宋体" w:hAnsi="宋体" w:cs="宋体" w:eastAsia="宋体" w:hint="default"/>
          <w:sz w:val="21"/>
          <w:szCs w:val="21"/>
        </w:rPr>
        <w:t>此方案尚需提交本公司股东大会审议。</w:t>
      </w:r>
    </w:p>
    <w:p>
      <w:pPr>
        <w:spacing w:line="240" w:lineRule="auto" w:before="1"/>
        <w:rPr>
          <w:rFonts w:ascii="宋体" w:hAnsi="宋体" w:cs="宋体" w:eastAsia="宋体" w:hint="default"/>
          <w:sz w:val="18"/>
          <w:szCs w:val="18"/>
        </w:rPr>
      </w:pPr>
    </w:p>
    <w:p>
      <w:pPr>
        <w:spacing w:before="0"/>
        <w:ind w:left="138"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六、</w:t>
      </w:r>
      <w:r>
        <w:rPr>
          <w:rFonts w:ascii="Microsoft JhengHei" w:hAnsi="Microsoft JhengHei" w:cs="Microsoft JhengHei" w:eastAsia="Microsoft JhengHei" w:hint="default"/>
          <w:b/>
          <w:bCs/>
          <w:spacing w:val="39"/>
          <w:sz w:val="21"/>
          <w:szCs w:val="21"/>
        </w:rPr>
        <w:t> </w:t>
      </w:r>
      <w:r>
        <w:rPr>
          <w:rFonts w:ascii="Microsoft JhengHei" w:hAnsi="Microsoft JhengHei" w:cs="Microsoft JhengHei" w:eastAsia="Microsoft JhengHei" w:hint="default"/>
          <w:b/>
          <w:bCs/>
          <w:sz w:val="21"/>
          <w:szCs w:val="21"/>
        </w:rPr>
        <w:t>前瞻性陈述的风险声明</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0"/>
          <w:szCs w:val="10"/>
        </w:rPr>
      </w:pPr>
    </w:p>
    <w:p>
      <w:pPr>
        <w:spacing w:line="314" w:lineRule="auto" w:before="0"/>
        <w:ind w:left="138" w:right="0" w:firstLine="0"/>
        <w:jc w:val="left"/>
        <w:rPr>
          <w:rFonts w:ascii="宋体" w:hAnsi="宋体" w:cs="宋体" w:eastAsia="宋体" w:hint="default"/>
          <w:sz w:val="21"/>
          <w:szCs w:val="21"/>
        </w:rPr>
      </w:pPr>
      <w:r>
        <w:rPr>
          <w:rFonts w:ascii="宋体" w:hAnsi="宋体" w:cs="宋体" w:eastAsia="宋体" w:hint="default"/>
          <w:spacing w:val="-2"/>
          <w:sz w:val="21"/>
          <w:szCs w:val="21"/>
        </w:rPr>
        <w:t>本公司</w:t>
      </w:r>
      <w:r>
        <w:rPr>
          <w:rFonts w:ascii="宋体" w:hAnsi="宋体" w:cs="宋体" w:eastAsia="宋体" w:hint="default"/>
          <w:spacing w:val="-2"/>
          <w:sz w:val="21"/>
          <w:szCs w:val="21"/>
        </w:rPr>
        <w:t>2019</w:t>
      </w:r>
      <w:r>
        <w:rPr>
          <w:rFonts w:ascii="宋体" w:hAnsi="宋体" w:cs="宋体" w:eastAsia="宋体" w:hint="default"/>
          <w:spacing w:val="-2"/>
          <w:sz w:val="21"/>
          <w:szCs w:val="21"/>
        </w:rPr>
        <w:t>年年度报告中所涉及的发展战略、未来经营计划等前瞻性陈述不构成公司对投资者的实质</w:t>
      </w:r>
      <w:r>
        <w:rPr>
          <w:rFonts w:ascii="宋体" w:hAnsi="宋体" w:cs="宋体" w:eastAsia="宋体" w:hint="default"/>
          <w:spacing w:val="-49"/>
          <w:sz w:val="21"/>
          <w:szCs w:val="21"/>
        </w:rPr>
        <w:t> </w:t>
      </w:r>
      <w:r>
        <w:rPr>
          <w:rFonts w:ascii="宋体" w:hAnsi="宋体" w:cs="宋体" w:eastAsia="宋体" w:hint="default"/>
          <w:spacing w:val="-49"/>
          <w:sz w:val="21"/>
          <w:szCs w:val="21"/>
        </w:rPr>
      </w:r>
      <w:r>
        <w:rPr>
          <w:rFonts w:ascii="宋体" w:hAnsi="宋体" w:cs="宋体" w:eastAsia="宋体" w:hint="default"/>
          <w:sz w:val="21"/>
          <w:szCs w:val="21"/>
        </w:rPr>
        <w:t>承诺，敬请投资者注意投资风险。</w:t>
      </w:r>
    </w:p>
    <w:p>
      <w:pPr>
        <w:spacing w:line="240" w:lineRule="auto" w:before="1"/>
        <w:rPr>
          <w:rFonts w:ascii="宋体" w:hAnsi="宋体" w:cs="宋体" w:eastAsia="宋体" w:hint="default"/>
          <w:sz w:val="18"/>
          <w:szCs w:val="18"/>
        </w:rPr>
      </w:pPr>
    </w:p>
    <w:p>
      <w:pPr>
        <w:spacing w:line="362" w:lineRule="auto" w:before="0"/>
        <w:ind w:left="138" w:right="3958" w:firstLine="0"/>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七、是否存在被控股股东及其关联方非经营性占用资金情况</w:t>
      </w:r>
      <w:r>
        <w:rPr>
          <w:rFonts w:ascii="Microsoft JhengHei" w:hAnsi="Microsoft JhengHei" w:cs="Microsoft JhengHei" w:eastAsia="Microsoft JhengHei" w:hint="default"/>
          <w:b/>
          <w:bCs/>
          <w:spacing w:val="-22"/>
          <w:sz w:val="21"/>
          <w:szCs w:val="21"/>
        </w:rPr>
        <w:t> </w:t>
      </w:r>
      <w:r>
        <w:rPr>
          <w:rFonts w:ascii="Microsoft JhengHei" w:hAnsi="Microsoft JhengHei" w:cs="Microsoft JhengHei" w:eastAsia="Microsoft JhengHei" w:hint="default"/>
          <w:b/>
          <w:bCs/>
          <w:spacing w:val="-22"/>
          <w:sz w:val="21"/>
          <w:szCs w:val="21"/>
        </w:rPr>
      </w:r>
      <w:r>
        <w:rPr>
          <w:rFonts w:ascii="宋体" w:hAnsi="宋体" w:cs="宋体" w:eastAsia="宋体" w:hint="default"/>
          <w:sz w:val="21"/>
          <w:szCs w:val="21"/>
        </w:rPr>
        <w:t>否</w:t>
      </w:r>
    </w:p>
    <w:p>
      <w:pPr>
        <w:spacing w:line="240" w:lineRule="auto" w:before="11"/>
        <w:rPr>
          <w:rFonts w:ascii="宋体" w:hAnsi="宋体" w:cs="宋体" w:eastAsia="宋体" w:hint="default"/>
          <w:sz w:val="14"/>
          <w:szCs w:val="14"/>
        </w:rPr>
      </w:pPr>
    </w:p>
    <w:p>
      <w:pPr>
        <w:tabs>
          <w:tab w:pos="781" w:val="left" w:leader="none"/>
        </w:tabs>
        <w:spacing w:line="314" w:lineRule="auto" w:before="0"/>
        <w:ind w:left="138" w:right="4322" w:firstLine="0"/>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八、</w:t>
        <w:tab/>
      </w:r>
      <w:r>
        <w:rPr>
          <w:rFonts w:ascii="Microsoft JhengHei" w:hAnsi="Microsoft JhengHei" w:cs="Microsoft JhengHei" w:eastAsia="Microsoft JhengHei" w:hint="default"/>
          <w:b/>
          <w:bCs/>
          <w:spacing w:val="-1"/>
          <w:sz w:val="21"/>
          <w:szCs w:val="21"/>
        </w:rPr>
        <w:t>是否存在违反规定决策程序对外提供担保的情况？</w:t>
      </w:r>
      <w:r>
        <w:rPr>
          <w:rFonts w:ascii="Microsoft JhengHei" w:hAnsi="Microsoft JhengHei" w:cs="Microsoft JhengHei" w:eastAsia="Microsoft JhengHei" w:hint="default"/>
          <w:b/>
          <w:bCs/>
          <w:spacing w:val="-14"/>
          <w:sz w:val="21"/>
          <w:szCs w:val="21"/>
        </w:rPr>
        <w:t> </w:t>
      </w:r>
      <w:r>
        <w:rPr>
          <w:rFonts w:ascii="Microsoft JhengHei" w:hAnsi="Microsoft JhengHei" w:cs="Microsoft JhengHei" w:eastAsia="Microsoft JhengHei" w:hint="default"/>
          <w:b/>
          <w:bCs/>
          <w:spacing w:val="-14"/>
          <w:sz w:val="21"/>
          <w:szCs w:val="21"/>
        </w:rPr>
      </w:r>
      <w:r>
        <w:rPr>
          <w:rFonts w:ascii="宋体" w:hAnsi="宋体" w:cs="宋体" w:eastAsia="宋体" w:hint="default"/>
          <w:sz w:val="21"/>
          <w:szCs w:val="21"/>
        </w:rPr>
        <w:t>否</w:t>
      </w:r>
    </w:p>
    <w:p>
      <w:pPr>
        <w:spacing w:after="0" w:line="314" w:lineRule="auto"/>
        <w:jc w:val="left"/>
        <w:rPr>
          <w:rFonts w:ascii="宋体" w:hAnsi="宋体" w:cs="宋体" w:eastAsia="宋体" w:hint="default"/>
          <w:sz w:val="21"/>
          <w:szCs w:val="21"/>
        </w:rPr>
        <w:sectPr>
          <w:footerReference w:type="default" r:id="rId8"/>
          <w:pgSz w:w="11910" w:h="16840"/>
          <w:pgMar w:footer="502" w:header="854" w:top="1360" w:bottom="700" w:left="1280" w:right="880"/>
        </w:sectPr>
      </w:pPr>
    </w:p>
    <w:p>
      <w:pPr>
        <w:tabs>
          <w:tab w:pos="781" w:val="left" w:leader="none"/>
        </w:tabs>
        <w:spacing w:before="62"/>
        <w:ind w:left="138" w:right="96"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九、</w:t>
        <w:tab/>
        <w:t>重大风险提示</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7"/>
          <w:szCs w:val="17"/>
        </w:rPr>
      </w:pPr>
    </w:p>
    <w:p>
      <w:pPr>
        <w:spacing w:line="314" w:lineRule="auto" w:before="0"/>
        <w:ind w:left="138" w:right="96" w:firstLine="0"/>
        <w:jc w:val="left"/>
        <w:rPr>
          <w:rFonts w:ascii="宋体" w:hAnsi="宋体" w:cs="宋体" w:eastAsia="宋体" w:hint="default"/>
          <w:sz w:val="21"/>
          <w:szCs w:val="21"/>
        </w:rPr>
      </w:pPr>
      <w:r>
        <w:rPr>
          <w:rFonts w:ascii="宋体" w:hAnsi="宋体" w:cs="宋体" w:eastAsia="宋体" w:hint="default"/>
          <w:spacing w:val="-5"/>
          <w:sz w:val="21"/>
          <w:szCs w:val="21"/>
        </w:rPr>
        <w:t>公司已在本报告中详细描述存在的行业竞争持续加剧的风险、行业监管政策变化风险、技术升级风险、</w:t>
      </w:r>
      <w:r>
        <w:rPr>
          <w:rFonts w:ascii="宋体" w:hAnsi="宋体" w:cs="宋体" w:eastAsia="宋体" w:hint="default"/>
          <w:spacing w:val="-21"/>
          <w:sz w:val="21"/>
          <w:szCs w:val="21"/>
        </w:rPr>
        <w:t> </w:t>
      </w:r>
      <w:r>
        <w:rPr>
          <w:rFonts w:ascii="宋体" w:hAnsi="宋体" w:cs="宋体" w:eastAsia="宋体" w:hint="default"/>
          <w:spacing w:val="-21"/>
          <w:sz w:val="21"/>
          <w:szCs w:val="21"/>
        </w:rPr>
      </w:r>
      <w:r>
        <w:rPr>
          <w:rFonts w:ascii="宋体" w:hAnsi="宋体" w:cs="宋体" w:eastAsia="宋体" w:hint="default"/>
          <w:spacing w:val="-3"/>
          <w:sz w:val="21"/>
          <w:szCs w:val="21"/>
        </w:rPr>
        <w:t>利率和汇率风险，敬请查阅第四节经营情况讨论与分析中关于公司未来发展的讨论与分析中可能面对</w:t>
      </w:r>
      <w:r>
        <w:rPr>
          <w:rFonts w:ascii="宋体" w:hAnsi="宋体" w:cs="宋体" w:eastAsia="宋体" w:hint="default"/>
          <w:spacing w:val="-12"/>
          <w:sz w:val="21"/>
          <w:szCs w:val="21"/>
        </w:rPr>
        <w:t> </w:t>
      </w:r>
      <w:r>
        <w:rPr>
          <w:rFonts w:ascii="宋体" w:hAnsi="宋体" w:cs="宋体" w:eastAsia="宋体" w:hint="default"/>
          <w:spacing w:val="-12"/>
          <w:sz w:val="21"/>
          <w:szCs w:val="21"/>
        </w:rPr>
      </w:r>
      <w:r>
        <w:rPr>
          <w:rFonts w:ascii="宋体" w:hAnsi="宋体" w:cs="宋体" w:eastAsia="宋体" w:hint="default"/>
          <w:sz w:val="21"/>
          <w:szCs w:val="21"/>
        </w:rPr>
        <w:t>的风险因素的内容。</w:t>
      </w:r>
    </w:p>
    <w:p>
      <w:pPr>
        <w:spacing w:line="240" w:lineRule="auto" w:before="3"/>
        <w:rPr>
          <w:rFonts w:ascii="宋体" w:hAnsi="宋体" w:cs="宋体" w:eastAsia="宋体" w:hint="default"/>
          <w:sz w:val="19"/>
          <w:szCs w:val="19"/>
        </w:rPr>
      </w:pPr>
    </w:p>
    <w:p>
      <w:pPr>
        <w:spacing w:before="0"/>
        <w:ind w:left="138" w:right="96" w:firstLine="0"/>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1"/>
          <w:szCs w:val="21"/>
        </w:rPr>
        <w:t>十、  </w:t>
      </w:r>
      <w:r>
        <w:rPr>
          <w:rFonts w:ascii="Microsoft JhengHei" w:hAnsi="Microsoft JhengHei" w:cs="Microsoft JhengHei" w:eastAsia="Microsoft JhengHei" w:hint="default"/>
          <w:b/>
          <w:bCs/>
          <w:spacing w:val="14"/>
          <w:sz w:val="21"/>
          <w:szCs w:val="21"/>
        </w:rPr>
        <w:t> </w:t>
      </w:r>
      <w:r>
        <w:rPr>
          <w:rFonts w:ascii="Microsoft JhengHei" w:hAnsi="Microsoft JhengHei" w:cs="Microsoft JhengHei" w:eastAsia="Microsoft JhengHei" w:hint="default"/>
          <w:b/>
          <w:bCs/>
          <w:sz w:val="24"/>
          <w:szCs w:val="24"/>
        </w:rPr>
        <w:t>其他</w:t>
      </w:r>
      <w:r>
        <w:rPr>
          <w:rFonts w:ascii="Microsoft JhengHei" w:hAnsi="Microsoft JhengHei" w:cs="Microsoft JhengHei" w:eastAsia="Microsoft JhengHei" w:hint="default"/>
          <w:sz w:val="24"/>
          <w:szCs w:val="24"/>
        </w:rPr>
      </w:r>
    </w:p>
    <w:p>
      <w:pPr>
        <w:spacing w:before="133"/>
        <w:ind w:left="138" w:right="96"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after="0"/>
        <w:jc w:val="left"/>
        <w:rPr>
          <w:rFonts w:ascii="宋体" w:hAnsi="宋体" w:cs="宋体" w:eastAsia="宋体" w:hint="default"/>
          <w:sz w:val="21"/>
          <w:szCs w:val="21"/>
        </w:rPr>
        <w:sectPr>
          <w:footerReference w:type="default" r:id="rId9"/>
          <w:pgSz w:w="11910" w:h="16840"/>
          <w:pgMar w:footer="502" w:header="854" w:top="1360" w:bottom="700" w:left="1280" w:right="106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9"/>
          <w:szCs w:val="29"/>
        </w:rPr>
      </w:pPr>
    </w:p>
    <w:p>
      <w:pPr>
        <w:spacing w:line="413" w:lineRule="exact" w:before="0"/>
        <w:ind w:left="174" w:right="171" w:firstLine="0"/>
        <w:jc w:val="center"/>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z w:val="28"/>
          <w:szCs w:val="28"/>
        </w:rPr>
        <w:t>目录</w:t>
      </w:r>
      <w:r>
        <w:rPr>
          <w:rFonts w:ascii="Microsoft JhengHei" w:hAnsi="Microsoft JhengHei" w:cs="Microsoft JhengHei" w:eastAsia="Microsoft JhengHei" w:hint="default"/>
          <w:sz w:val="28"/>
          <w:szCs w:val="28"/>
        </w:rPr>
      </w:r>
    </w:p>
    <w:sdt>
      <w:sdtPr>
        <w:docPartObj>
          <w:docPartGallery w:val="Table of Contents"/>
          <w:docPartUnique/>
        </w:docPartObj>
      </w:sdtPr>
      <w:sdtEndPr/>
      <w:sdtContent>
        <w:p>
          <w:pPr>
            <w:pStyle w:val="TOC1"/>
            <w:tabs>
              <w:tab w:pos="1398" w:val="left" w:leader="none"/>
              <w:tab w:pos="8962" w:val="right" w:leader="dot"/>
            </w:tabs>
            <w:spacing w:line="240" w:lineRule="auto" w:before="274"/>
            <w:ind w:right="0"/>
            <w:jc w:val="left"/>
            <w:rPr>
              <w:rFonts w:ascii="Times New Roman" w:hAnsi="Times New Roman" w:cs="Times New Roman" w:eastAsia="Times New Roman" w:hint="default"/>
              <w:b w:val="0"/>
              <w:bCs w:val="0"/>
            </w:rPr>
          </w:pPr>
          <w:r>
            <w:fldChar w:fldCharType="begin"/>
          </w:r>
          <w:r>
            <w:instrText>TOC \o "1-1" \h \z \u </w:instrText>
          </w:r>
          <w:r>
            <w:fldChar w:fldCharType="separate"/>
          </w:r>
          <w:hyperlink w:history="true" w:anchor="_bookmark0">
            <w:r>
              <w:rPr/>
              <w:t>第一节</w:t>
              <w:tab/>
              <w:t>释义</w:t>
            </w:r>
            <w:r>
              <w:rPr>
                <w:rFonts w:ascii="Times New Roman" w:hAnsi="Times New Roman" w:cs="Times New Roman" w:eastAsia="Times New Roman" w:hint="default"/>
              </w:rPr>
              <w:tab/>
              <w:t>5</w:t>
            </w:r>
            <w:r>
              <w:rPr>
                <w:rFonts w:ascii="Times New Roman" w:hAnsi="Times New Roman" w:cs="Times New Roman" w:eastAsia="Times New Roman" w:hint="default"/>
                <w:b w:val="0"/>
                <w:bCs w:val="0"/>
              </w:rPr>
            </w:r>
          </w:hyperlink>
        </w:p>
        <w:p>
          <w:pPr>
            <w:pStyle w:val="TOC1"/>
            <w:tabs>
              <w:tab w:pos="1398" w:val="left" w:leader="none"/>
              <w:tab w:pos="8962" w:val="right" w:leader="dot"/>
            </w:tabs>
            <w:spacing w:line="240" w:lineRule="auto"/>
            <w:ind w:right="0"/>
            <w:jc w:val="left"/>
            <w:rPr>
              <w:rFonts w:ascii="Times New Roman" w:hAnsi="Times New Roman" w:cs="Times New Roman" w:eastAsia="Times New Roman" w:hint="default"/>
              <w:b w:val="0"/>
              <w:bCs w:val="0"/>
            </w:rPr>
          </w:pPr>
          <w:hyperlink w:history="true" w:anchor="_bookmark1">
            <w:r>
              <w:rPr/>
              <w:t>第二节</w:t>
              <w:tab/>
              <w:t>公司简介和主要财务指标</w:t>
            </w:r>
            <w:r>
              <w:rPr>
                <w:rFonts w:ascii="Times New Roman" w:hAnsi="Times New Roman" w:cs="Times New Roman" w:eastAsia="Times New Roman" w:hint="default"/>
              </w:rPr>
              <w:tab/>
              <w:t>7</w:t>
            </w:r>
            <w:r>
              <w:rPr>
                <w:rFonts w:ascii="Times New Roman" w:hAnsi="Times New Roman" w:cs="Times New Roman" w:eastAsia="Times New Roman" w:hint="default"/>
                <w:b w:val="0"/>
                <w:bCs w:val="0"/>
              </w:rPr>
            </w:r>
          </w:hyperlink>
        </w:p>
        <w:p>
          <w:pPr>
            <w:pStyle w:val="TOC1"/>
            <w:tabs>
              <w:tab w:pos="1398" w:val="left" w:leader="none"/>
              <w:tab w:pos="8962" w:val="right" w:leader="dot"/>
            </w:tabs>
            <w:spacing w:line="240" w:lineRule="auto"/>
            <w:ind w:right="0"/>
            <w:jc w:val="left"/>
            <w:rPr>
              <w:rFonts w:ascii="Times New Roman" w:hAnsi="Times New Roman" w:cs="Times New Roman" w:eastAsia="Times New Roman" w:hint="default"/>
              <w:b w:val="0"/>
              <w:bCs w:val="0"/>
            </w:rPr>
          </w:pPr>
          <w:hyperlink w:history="true" w:anchor="_bookmark2">
            <w:r>
              <w:rPr/>
              <w:t>第三节</w:t>
              <w:tab/>
              <w:t>公司业务概要</w:t>
            </w:r>
            <w:r>
              <w:rPr>
                <w:rFonts w:ascii="Times New Roman" w:hAnsi="Times New Roman" w:cs="Times New Roman" w:eastAsia="Times New Roman" w:hint="default"/>
              </w:rPr>
              <w:tab/>
              <w:t>10</w:t>
            </w:r>
            <w:r>
              <w:rPr>
                <w:rFonts w:ascii="Times New Roman" w:hAnsi="Times New Roman" w:cs="Times New Roman" w:eastAsia="Times New Roman" w:hint="default"/>
                <w:b w:val="0"/>
                <w:bCs w:val="0"/>
              </w:rPr>
            </w:r>
          </w:hyperlink>
        </w:p>
        <w:p>
          <w:pPr>
            <w:pStyle w:val="TOC1"/>
            <w:tabs>
              <w:tab w:pos="1398" w:val="left" w:leader="none"/>
              <w:tab w:pos="8962" w:val="right" w:leader="dot"/>
            </w:tabs>
            <w:spacing w:line="240" w:lineRule="auto" w:before="45"/>
            <w:ind w:right="0"/>
            <w:jc w:val="left"/>
            <w:rPr>
              <w:rFonts w:ascii="Times New Roman" w:hAnsi="Times New Roman" w:cs="Times New Roman" w:eastAsia="Times New Roman" w:hint="default"/>
              <w:b w:val="0"/>
              <w:bCs w:val="0"/>
            </w:rPr>
          </w:pPr>
          <w:hyperlink w:history="true" w:anchor="_bookmark3">
            <w:r>
              <w:rPr/>
              <w:t>第四节</w:t>
              <w:tab/>
              <w:t>经营情况讨论与分析</w:t>
            </w:r>
            <w:r>
              <w:rPr>
                <w:rFonts w:ascii="Times New Roman" w:hAnsi="Times New Roman" w:cs="Times New Roman" w:eastAsia="Times New Roman" w:hint="default"/>
              </w:rPr>
              <w:tab/>
              <w:t>12</w:t>
            </w:r>
            <w:r>
              <w:rPr>
                <w:rFonts w:ascii="Times New Roman" w:hAnsi="Times New Roman" w:cs="Times New Roman" w:eastAsia="Times New Roman" w:hint="default"/>
                <w:b w:val="0"/>
                <w:bCs w:val="0"/>
              </w:rPr>
            </w:r>
          </w:hyperlink>
        </w:p>
        <w:p>
          <w:pPr>
            <w:pStyle w:val="TOC1"/>
            <w:tabs>
              <w:tab w:pos="1398" w:val="left" w:leader="none"/>
              <w:tab w:pos="8962" w:val="right" w:leader="dot"/>
            </w:tabs>
            <w:spacing w:line="240" w:lineRule="auto"/>
            <w:ind w:right="0"/>
            <w:jc w:val="left"/>
            <w:rPr>
              <w:rFonts w:ascii="Times New Roman" w:hAnsi="Times New Roman" w:cs="Times New Roman" w:eastAsia="Times New Roman" w:hint="default"/>
              <w:b w:val="0"/>
              <w:bCs w:val="0"/>
            </w:rPr>
          </w:pPr>
          <w:hyperlink w:history="true" w:anchor="_bookmark4">
            <w:r>
              <w:rPr/>
              <w:t>第五节</w:t>
              <w:tab/>
              <w:t>重要事项</w:t>
            </w:r>
            <w:r>
              <w:rPr>
                <w:rFonts w:ascii="Times New Roman" w:hAnsi="Times New Roman" w:cs="Times New Roman" w:eastAsia="Times New Roman" w:hint="default"/>
              </w:rPr>
              <w:tab/>
              <w:t>29</w:t>
            </w:r>
            <w:r>
              <w:rPr>
                <w:rFonts w:ascii="Times New Roman" w:hAnsi="Times New Roman" w:cs="Times New Roman" w:eastAsia="Times New Roman" w:hint="default"/>
                <w:b w:val="0"/>
                <w:bCs w:val="0"/>
              </w:rPr>
            </w:r>
          </w:hyperlink>
        </w:p>
        <w:p>
          <w:pPr>
            <w:pStyle w:val="TOC1"/>
            <w:tabs>
              <w:tab w:pos="1398" w:val="left" w:leader="none"/>
              <w:tab w:pos="8962" w:val="right" w:leader="dot"/>
            </w:tabs>
            <w:spacing w:line="240" w:lineRule="auto" w:before="43"/>
            <w:ind w:right="0"/>
            <w:jc w:val="left"/>
            <w:rPr>
              <w:rFonts w:ascii="Times New Roman" w:hAnsi="Times New Roman" w:cs="Times New Roman" w:eastAsia="Times New Roman" w:hint="default"/>
              <w:b w:val="0"/>
              <w:bCs w:val="0"/>
            </w:rPr>
          </w:pPr>
          <w:hyperlink w:history="true" w:anchor="_bookmark5">
            <w:r>
              <w:rPr/>
              <w:t>第六节</w:t>
              <w:tab/>
              <w:t>普通股股份变动及股东情况</w:t>
            </w:r>
            <w:r>
              <w:rPr>
                <w:rFonts w:ascii="Times New Roman" w:hAnsi="Times New Roman" w:cs="Times New Roman" w:eastAsia="Times New Roman" w:hint="default"/>
              </w:rPr>
              <w:tab/>
              <w:t>38</w:t>
            </w:r>
            <w:r>
              <w:rPr>
                <w:rFonts w:ascii="Times New Roman" w:hAnsi="Times New Roman" w:cs="Times New Roman" w:eastAsia="Times New Roman" w:hint="default"/>
                <w:b w:val="0"/>
                <w:bCs w:val="0"/>
              </w:rPr>
            </w:r>
          </w:hyperlink>
        </w:p>
        <w:p>
          <w:pPr>
            <w:pStyle w:val="TOC1"/>
            <w:tabs>
              <w:tab w:pos="1398" w:val="left" w:leader="none"/>
              <w:tab w:pos="8962" w:val="right" w:leader="dot"/>
            </w:tabs>
            <w:spacing w:line="240" w:lineRule="auto"/>
            <w:ind w:right="0"/>
            <w:jc w:val="left"/>
            <w:rPr>
              <w:rFonts w:ascii="Times New Roman" w:hAnsi="Times New Roman" w:cs="Times New Roman" w:eastAsia="Times New Roman" w:hint="default"/>
              <w:b w:val="0"/>
              <w:bCs w:val="0"/>
            </w:rPr>
          </w:pPr>
          <w:hyperlink w:history="true" w:anchor="_bookmark6">
            <w:r>
              <w:rPr/>
              <w:t>第七节</w:t>
              <w:tab/>
              <w:t>优先股相关情况</w:t>
            </w:r>
            <w:r>
              <w:rPr>
                <w:rFonts w:ascii="Times New Roman" w:hAnsi="Times New Roman" w:cs="Times New Roman" w:eastAsia="Times New Roman" w:hint="default"/>
              </w:rPr>
              <w:tab/>
              <w:t>46</w:t>
            </w:r>
            <w:r>
              <w:rPr>
                <w:rFonts w:ascii="Times New Roman" w:hAnsi="Times New Roman" w:cs="Times New Roman" w:eastAsia="Times New Roman" w:hint="default"/>
                <w:b w:val="0"/>
                <w:bCs w:val="0"/>
              </w:rPr>
            </w:r>
          </w:hyperlink>
        </w:p>
        <w:p>
          <w:pPr>
            <w:pStyle w:val="TOC1"/>
            <w:tabs>
              <w:tab w:pos="1398" w:val="left" w:leader="none"/>
              <w:tab w:pos="8962" w:val="right" w:leader="dot"/>
            </w:tabs>
            <w:spacing w:line="240" w:lineRule="auto"/>
            <w:ind w:right="0"/>
            <w:jc w:val="left"/>
            <w:rPr>
              <w:rFonts w:ascii="Times New Roman" w:hAnsi="Times New Roman" w:cs="Times New Roman" w:eastAsia="Times New Roman" w:hint="default"/>
              <w:b w:val="0"/>
              <w:bCs w:val="0"/>
            </w:rPr>
          </w:pPr>
          <w:hyperlink w:history="true" w:anchor="_bookmark7">
            <w:r>
              <w:rPr/>
              <w:t>第八节</w:t>
              <w:tab/>
              <w:t>董事、监事、高级管理人员和员工情况</w:t>
            </w:r>
            <w:r>
              <w:rPr>
                <w:rFonts w:ascii="Times New Roman" w:hAnsi="Times New Roman" w:cs="Times New Roman" w:eastAsia="Times New Roman" w:hint="default"/>
              </w:rPr>
              <w:tab/>
              <w:t>47</w:t>
            </w:r>
            <w:r>
              <w:rPr>
                <w:rFonts w:ascii="Times New Roman" w:hAnsi="Times New Roman" w:cs="Times New Roman" w:eastAsia="Times New Roman" w:hint="default"/>
                <w:b w:val="0"/>
                <w:bCs w:val="0"/>
              </w:rPr>
            </w:r>
          </w:hyperlink>
        </w:p>
        <w:p>
          <w:pPr>
            <w:pStyle w:val="TOC1"/>
            <w:tabs>
              <w:tab w:pos="1398" w:val="left" w:leader="none"/>
              <w:tab w:pos="8962" w:val="right" w:leader="dot"/>
            </w:tabs>
            <w:spacing w:line="240" w:lineRule="auto" w:before="45"/>
            <w:ind w:right="0"/>
            <w:jc w:val="left"/>
            <w:rPr>
              <w:rFonts w:ascii="Times New Roman" w:hAnsi="Times New Roman" w:cs="Times New Roman" w:eastAsia="Times New Roman" w:hint="default"/>
              <w:b w:val="0"/>
              <w:bCs w:val="0"/>
            </w:rPr>
          </w:pPr>
          <w:hyperlink w:history="true" w:anchor="_bookmark8">
            <w:r>
              <w:rPr/>
              <w:t>第九节</w:t>
              <w:tab/>
              <w:t>公司治理</w:t>
            </w:r>
            <w:r>
              <w:rPr>
                <w:rFonts w:ascii="Times New Roman" w:hAnsi="Times New Roman" w:cs="Times New Roman" w:eastAsia="Times New Roman" w:hint="default"/>
              </w:rPr>
              <w:tab/>
              <w:t>60</w:t>
            </w:r>
            <w:r>
              <w:rPr>
                <w:rFonts w:ascii="Times New Roman" w:hAnsi="Times New Roman" w:cs="Times New Roman" w:eastAsia="Times New Roman" w:hint="default"/>
                <w:b w:val="0"/>
                <w:bCs w:val="0"/>
              </w:rPr>
            </w:r>
          </w:hyperlink>
        </w:p>
        <w:p>
          <w:pPr>
            <w:pStyle w:val="TOC1"/>
            <w:tabs>
              <w:tab w:pos="1398" w:val="left" w:leader="none"/>
              <w:tab w:pos="8962" w:val="right" w:leader="dot"/>
            </w:tabs>
            <w:spacing w:line="240" w:lineRule="auto"/>
            <w:ind w:right="0"/>
            <w:jc w:val="left"/>
            <w:rPr>
              <w:rFonts w:ascii="Times New Roman" w:hAnsi="Times New Roman" w:cs="Times New Roman" w:eastAsia="Times New Roman" w:hint="default"/>
              <w:b w:val="0"/>
              <w:bCs w:val="0"/>
            </w:rPr>
          </w:pPr>
          <w:hyperlink w:history="true" w:anchor="_bookmark9">
            <w:r>
              <w:rPr/>
              <w:t>第十节</w:t>
              <w:tab/>
              <w:t>公司债券相关情况</w:t>
            </w:r>
            <w:r>
              <w:rPr>
                <w:rFonts w:ascii="Times New Roman" w:hAnsi="Times New Roman" w:cs="Times New Roman" w:eastAsia="Times New Roman" w:hint="default"/>
              </w:rPr>
              <w:tab/>
              <w:t>66</w:t>
            </w:r>
            <w:r>
              <w:rPr>
                <w:rFonts w:ascii="Times New Roman" w:hAnsi="Times New Roman" w:cs="Times New Roman" w:eastAsia="Times New Roman" w:hint="default"/>
                <w:b w:val="0"/>
                <w:bCs w:val="0"/>
              </w:rPr>
            </w:r>
          </w:hyperlink>
        </w:p>
        <w:p>
          <w:pPr>
            <w:pStyle w:val="TOC1"/>
            <w:tabs>
              <w:tab w:pos="1398" w:val="left" w:leader="none"/>
              <w:tab w:pos="8962" w:val="right" w:leader="dot"/>
            </w:tabs>
            <w:spacing w:line="240" w:lineRule="auto"/>
            <w:ind w:right="0"/>
            <w:jc w:val="left"/>
            <w:rPr>
              <w:rFonts w:ascii="Times New Roman" w:hAnsi="Times New Roman" w:cs="Times New Roman" w:eastAsia="Times New Roman" w:hint="default"/>
              <w:b w:val="0"/>
              <w:bCs w:val="0"/>
            </w:rPr>
          </w:pPr>
          <w:hyperlink w:history="true" w:anchor="_bookmark10">
            <w:r>
              <w:rPr/>
              <w:t>第十一节</w:t>
              <w:tab/>
              <w:t>财务报告</w:t>
            </w:r>
            <w:r>
              <w:rPr>
                <w:rFonts w:ascii="Times New Roman" w:hAnsi="Times New Roman" w:cs="Times New Roman" w:eastAsia="Times New Roman" w:hint="default"/>
              </w:rPr>
              <w:tab/>
              <w:t>69</w:t>
            </w:r>
            <w:r>
              <w:rPr>
                <w:rFonts w:ascii="Times New Roman" w:hAnsi="Times New Roman" w:cs="Times New Roman" w:eastAsia="Times New Roman" w:hint="default"/>
                <w:b w:val="0"/>
                <w:bCs w:val="0"/>
              </w:rPr>
            </w:r>
          </w:hyperlink>
        </w:p>
        <w:p>
          <w:pPr>
            <w:pStyle w:val="TOC1"/>
            <w:tabs>
              <w:tab w:pos="1395" w:val="left" w:leader="none"/>
              <w:tab w:pos="8955" w:val="right" w:leader="dot"/>
            </w:tabs>
            <w:spacing w:line="240" w:lineRule="auto"/>
            <w:ind w:right="0"/>
            <w:jc w:val="left"/>
            <w:rPr>
              <w:rFonts w:ascii="Times New Roman" w:hAnsi="Times New Roman" w:cs="Times New Roman" w:eastAsia="Times New Roman" w:hint="default"/>
              <w:b w:val="0"/>
              <w:bCs w:val="0"/>
            </w:rPr>
          </w:pPr>
          <w:hyperlink w:history="true" w:anchor="_TOC_250000">
            <w:r>
              <w:rPr/>
              <w:t>第十二节</w:t>
              <w:tab/>
              <w:t>备查文件目录</w:t>
            </w:r>
            <w:r>
              <w:rPr>
                <w:rFonts w:ascii="Times New Roman" w:hAnsi="Times New Roman" w:cs="Times New Roman" w:eastAsia="Times New Roman" w:hint="default"/>
                <w:b w:val="0"/>
                <w:bCs w:val="0"/>
              </w:rPr>
              <w:tab/>
            </w:r>
            <w:r>
              <w:rPr>
                <w:rFonts w:ascii="Times New Roman" w:hAnsi="Times New Roman" w:cs="Times New Roman" w:eastAsia="Times New Roman" w:hint="default"/>
                <w:i/>
              </w:rPr>
              <w:t>22</w:t>
            </w:r>
            <w:r>
              <w:rPr>
                <w:rFonts w:ascii="Times New Roman" w:hAnsi="Times New Roman" w:cs="Times New Roman" w:eastAsia="Times New Roman" w:hint="default"/>
              </w:rPr>
              <w:t>0</w:t>
            </w:r>
            <w:r>
              <w:rPr>
                <w:rFonts w:ascii="Times New Roman" w:hAnsi="Times New Roman" w:cs="Times New Roman" w:eastAsia="Times New Roman" w:hint="default"/>
                <w:b w:val="0"/>
                <w:bCs w:val="0"/>
              </w:rPr>
            </w:r>
          </w:hyperlink>
        </w:p>
        <w:p>
          <w:pPr/>
          <w:r>
            <w:fldChar w:fldCharType="end"/>
          </w:r>
        </w:p>
      </w:sdtContent>
    </w:sdt>
    <w:p>
      <w:pPr>
        <w:spacing w:after="0"/>
        <w:sectPr>
          <w:footerReference w:type="default" r:id="rId10"/>
          <w:pgSz w:w="11910" w:h="16840"/>
          <w:pgMar w:footer="502" w:header="854" w:top="1360" w:bottom="700" w:left="1280" w:right="1140"/>
        </w:sectPr>
      </w:pPr>
    </w:p>
    <w:p>
      <w:pPr>
        <w:pStyle w:val="Heading1"/>
        <w:tabs>
          <w:tab w:pos="1260" w:val="left" w:leader="none"/>
        </w:tabs>
        <w:spacing w:line="240" w:lineRule="auto" w:before="532"/>
        <w:ind w:right="11"/>
        <w:jc w:val="center"/>
        <w:rPr>
          <w:b w:val="0"/>
          <w:bCs w:val="0"/>
        </w:rPr>
      </w:pPr>
      <w:bookmarkStart w:name="_bookmark0" w:id="2"/>
      <w:bookmarkEnd w:id="2"/>
      <w:r>
        <w:rPr>
          <w:b w:val="0"/>
          <w:bCs w:val="0"/>
        </w:rPr>
      </w:r>
      <w:r>
        <w:rPr/>
        <w:t>第一节</w:t>
        <w:tab/>
        <w:t>释义</w:t>
      </w:r>
      <w:r>
        <w:rPr>
          <w:b w:val="0"/>
          <w:bCs w:val="0"/>
        </w:rPr>
      </w:r>
    </w:p>
    <w:p>
      <w:pPr>
        <w:spacing w:line="288" w:lineRule="auto" w:before="120"/>
        <w:ind w:left="398" w:right="3139" w:firstLine="0"/>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一、 释义</w:t>
      </w:r>
      <w:r>
        <w:rPr>
          <w:rFonts w:ascii="Microsoft JhengHei" w:hAnsi="Microsoft JhengHei" w:cs="Microsoft JhengHei" w:eastAsia="Microsoft JhengHei" w:hint="default"/>
          <w:b/>
          <w:bCs/>
          <w:spacing w:val="-40"/>
          <w:sz w:val="21"/>
          <w:szCs w:val="21"/>
        </w:rPr>
        <w:t> </w:t>
      </w:r>
      <w:r>
        <w:rPr>
          <w:rFonts w:ascii="Microsoft JhengHei" w:hAnsi="Microsoft JhengHei" w:cs="Microsoft JhengHei" w:eastAsia="Microsoft JhengHei" w:hint="default"/>
          <w:b/>
          <w:bCs/>
          <w:spacing w:val="-40"/>
          <w:sz w:val="21"/>
          <w:szCs w:val="21"/>
        </w:rPr>
      </w:r>
      <w:r>
        <w:rPr>
          <w:rFonts w:ascii="宋体" w:hAnsi="宋体" w:cs="宋体" w:eastAsia="宋体" w:hint="default"/>
          <w:spacing w:val="-2"/>
          <w:sz w:val="21"/>
          <w:szCs w:val="21"/>
        </w:rPr>
        <w:t>在本报告书中，除非文义另有所指，下列词语具有如下含义：</w:t>
      </w:r>
    </w:p>
    <w:tbl>
      <w:tblPr>
        <w:tblW w:w="0" w:type="auto"/>
        <w:jc w:val="left"/>
        <w:tblInd w:w="110" w:type="dxa"/>
        <w:tblLayout w:type="fixed"/>
        <w:tblCellMar>
          <w:top w:w="0" w:type="dxa"/>
          <w:left w:w="0" w:type="dxa"/>
          <w:bottom w:w="0" w:type="dxa"/>
          <w:right w:w="0" w:type="dxa"/>
        </w:tblCellMar>
        <w:tblLook w:val="01E0"/>
      </w:tblPr>
      <w:tblGrid>
        <w:gridCol w:w="1695"/>
        <w:gridCol w:w="432"/>
        <w:gridCol w:w="7658"/>
      </w:tblGrid>
      <w:tr>
        <w:trPr>
          <w:trHeight w:val="324" w:hRule="exact"/>
        </w:trPr>
        <w:tc>
          <w:tcPr>
            <w:tcW w:w="9784" w:type="dxa"/>
            <w:gridSpan w:val="3"/>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1" w:right="0"/>
              <w:jc w:val="left"/>
              <w:rPr>
                <w:rFonts w:ascii="宋体" w:hAnsi="宋体" w:cs="宋体" w:eastAsia="宋体" w:hint="default"/>
                <w:sz w:val="21"/>
                <w:szCs w:val="21"/>
              </w:rPr>
            </w:pPr>
            <w:r>
              <w:rPr>
                <w:rFonts w:ascii="宋体" w:hAnsi="宋体" w:cs="宋体" w:eastAsia="宋体" w:hint="default"/>
                <w:sz w:val="21"/>
                <w:szCs w:val="21"/>
              </w:rPr>
              <w:t>常用词语释义</w:t>
            </w:r>
          </w:p>
        </w:tc>
      </w:tr>
      <w:tr>
        <w:trPr>
          <w:trHeight w:val="322"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本公司</w:t>
            </w:r>
            <w:r>
              <w:rPr>
                <w:rFonts w:ascii="宋体" w:hAnsi="宋体" w:cs="宋体" w:eastAsia="宋体" w:hint="default"/>
                <w:sz w:val="21"/>
                <w:szCs w:val="21"/>
              </w:rPr>
              <w:t>/</w:t>
            </w:r>
            <w:r>
              <w:rPr>
                <w:rFonts w:ascii="宋体" w:hAnsi="宋体" w:cs="宋体" w:eastAsia="宋体" w:hint="default"/>
                <w:sz w:val="21"/>
                <w:szCs w:val="21"/>
              </w:rPr>
              <w:t>公司</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中国联合网络通信股份有限公司</w:t>
            </w:r>
          </w:p>
        </w:tc>
      </w:tr>
      <w:tr>
        <w:trPr>
          <w:trHeight w:val="322"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本集团</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本公司及所属全部子公司合称</w:t>
            </w:r>
          </w:p>
        </w:tc>
      </w:tr>
      <w:tr>
        <w:trPr>
          <w:trHeight w:val="322"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工信部</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中华人民共和国工业和信息化部</w:t>
            </w:r>
          </w:p>
        </w:tc>
      </w:tr>
      <w:tr>
        <w:trPr>
          <w:trHeight w:val="322"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国资委</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国务院国有资产监督管理委员会</w:t>
            </w:r>
          </w:p>
        </w:tc>
      </w:tr>
      <w:tr>
        <w:trPr>
          <w:trHeight w:val="634"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联通 </w:t>
            </w:r>
            <w:r>
              <w:rPr>
                <w:rFonts w:ascii="宋体" w:hAnsi="宋体" w:cs="宋体" w:eastAsia="宋体" w:hint="default"/>
                <w:sz w:val="21"/>
                <w:szCs w:val="21"/>
              </w:rPr>
              <w:t>BVI</w:t>
            </w:r>
            <w:r>
              <w:rPr>
                <w:rFonts w:ascii="宋体" w:hAnsi="宋体" w:cs="宋体" w:eastAsia="宋体" w:hint="default"/>
                <w:spacing w:val="1"/>
                <w:sz w:val="21"/>
                <w:szCs w:val="21"/>
              </w:rPr>
              <w:t> </w:t>
            </w:r>
            <w:r>
              <w:rPr>
                <w:rFonts w:ascii="宋体" w:hAnsi="宋体" w:cs="宋体" w:eastAsia="宋体" w:hint="default"/>
                <w:sz w:val="21"/>
                <w:szCs w:val="21"/>
              </w:rPr>
              <w:t>公司</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1"/>
              <w:jc w:val="left"/>
              <w:rPr>
                <w:rFonts w:ascii="宋体" w:hAnsi="宋体" w:cs="宋体" w:eastAsia="宋体" w:hint="default"/>
                <w:sz w:val="21"/>
                <w:szCs w:val="21"/>
              </w:rPr>
            </w:pPr>
            <w:r>
              <w:rPr>
                <w:rFonts w:ascii="宋体" w:hAnsi="宋体" w:cs="宋体" w:eastAsia="宋体" w:hint="default"/>
                <w:sz w:val="21"/>
                <w:szCs w:val="21"/>
              </w:rPr>
              <w:t>中国联通</w:t>
            </w:r>
            <w:r>
              <w:rPr>
                <w:rFonts w:ascii="宋体" w:hAnsi="宋体" w:cs="宋体" w:eastAsia="宋体" w:hint="default"/>
                <w:sz w:val="21"/>
                <w:szCs w:val="21"/>
              </w:rPr>
              <w:t>(BVI)</w:t>
            </w:r>
            <w:r>
              <w:rPr>
                <w:rFonts w:ascii="宋体" w:hAnsi="宋体" w:cs="宋体" w:eastAsia="宋体" w:hint="default"/>
                <w:sz w:val="21"/>
                <w:szCs w:val="21"/>
              </w:rPr>
              <w:t>有限公司</w:t>
            </w:r>
            <w:r>
              <w:rPr>
                <w:rFonts w:ascii="宋体" w:hAnsi="宋体" w:cs="宋体" w:eastAsia="宋体" w:hint="default"/>
                <w:sz w:val="21"/>
                <w:szCs w:val="21"/>
              </w:rPr>
              <w:t>(China Unicom (BVI)</w:t>
            </w:r>
            <w:r>
              <w:rPr>
                <w:rFonts w:ascii="宋体" w:hAnsi="宋体" w:cs="宋体" w:eastAsia="宋体" w:hint="default"/>
                <w:spacing w:val="-28"/>
                <w:sz w:val="21"/>
                <w:szCs w:val="21"/>
              </w:rPr>
              <w:t> </w:t>
            </w:r>
            <w:r>
              <w:rPr>
                <w:rFonts w:ascii="宋体" w:hAnsi="宋体" w:cs="宋体" w:eastAsia="宋体" w:hint="default"/>
                <w:sz w:val="21"/>
                <w:szCs w:val="21"/>
              </w:rPr>
              <w:t>Limited)</w:t>
            </w:r>
            <w:r>
              <w:rPr>
                <w:rFonts w:ascii="宋体" w:hAnsi="宋体" w:cs="宋体" w:eastAsia="宋体" w:hint="default"/>
                <w:sz w:val="21"/>
                <w:szCs w:val="21"/>
              </w:rPr>
              <w:t>，一家按照英属维尔京群</w:t>
            </w:r>
            <w:r>
              <w:rPr>
                <w:rFonts w:ascii="宋体" w:hAnsi="宋体" w:cs="宋体" w:eastAsia="宋体" w:hint="default"/>
                <w:w w:val="100"/>
                <w:sz w:val="21"/>
                <w:szCs w:val="21"/>
              </w:rPr>
              <w:t> </w:t>
            </w:r>
            <w:r>
              <w:rPr>
                <w:rFonts w:ascii="宋体" w:hAnsi="宋体" w:cs="宋体" w:eastAsia="宋体" w:hint="default"/>
                <w:sz w:val="21"/>
                <w:szCs w:val="21"/>
              </w:rPr>
              <w:t>岛法律注册成立的有限公司。</w:t>
            </w:r>
          </w:p>
        </w:tc>
      </w:tr>
      <w:tr>
        <w:trPr>
          <w:trHeight w:val="636"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1" w:right="0"/>
              <w:jc w:val="left"/>
              <w:rPr>
                <w:rFonts w:ascii="宋体" w:hAnsi="宋体" w:cs="宋体" w:eastAsia="宋体" w:hint="default"/>
                <w:sz w:val="21"/>
                <w:szCs w:val="21"/>
              </w:rPr>
            </w:pPr>
            <w:r>
              <w:rPr>
                <w:rFonts w:ascii="宋体" w:hAnsi="宋体" w:cs="宋体" w:eastAsia="宋体" w:hint="default"/>
                <w:sz w:val="21"/>
                <w:szCs w:val="21"/>
              </w:rPr>
              <w:t>联通红筹公司</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7"/>
              <w:jc w:val="left"/>
              <w:rPr>
                <w:rFonts w:ascii="宋体" w:hAnsi="宋体" w:cs="宋体" w:eastAsia="宋体" w:hint="default"/>
                <w:sz w:val="21"/>
                <w:szCs w:val="21"/>
              </w:rPr>
            </w:pPr>
            <w:r>
              <w:rPr>
                <w:rFonts w:ascii="宋体" w:hAnsi="宋体" w:cs="宋体" w:eastAsia="宋体" w:hint="default"/>
                <w:sz w:val="21"/>
                <w:szCs w:val="21"/>
              </w:rPr>
              <w:t>中国联合网络通信（香港）股份有限公司，本公司间接控股子公司，在香港注册</w:t>
            </w:r>
            <w:r>
              <w:rPr>
                <w:rFonts w:ascii="宋体" w:hAnsi="宋体" w:cs="宋体" w:eastAsia="宋体" w:hint="default"/>
                <w:spacing w:val="-15"/>
                <w:sz w:val="21"/>
                <w:szCs w:val="21"/>
              </w:rPr>
              <w:t> </w:t>
            </w:r>
            <w:r>
              <w:rPr>
                <w:rFonts w:ascii="宋体" w:hAnsi="宋体" w:cs="宋体" w:eastAsia="宋体" w:hint="default"/>
                <w:spacing w:val="-15"/>
                <w:sz w:val="21"/>
                <w:szCs w:val="21"/>
              </w:rPr>
            </w:r>
            <w:r>
              <w:rPr>
                <w:rFonts w:ascii="宋体" w:hAnsi="宋体" w:cs="宋体" w:eastAsia="宋体" w:hint="default"/>
                <w:sz w:val="21"/>
                <w:szCs w:val="21"/>
              </w:rPr>
              <w:t>成立的有限公司，其股票在香港和纽约证券交易所上市。</w:t>
            </w:r>
          </w:p>
        </w:tc>
      </w:tr>
      <w:tr>
        <w:trPr>
          <w:trHeight w:val="322"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联通集团</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中国联合网络通信集团有限公司</w:t>
            </w:r>
          </w:p>
        </w:tc>
      </w:tr>
      <w:tr>
        <w:trPr>
          <w:trHeight w:val="634"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联通运营公司</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8"/>
              <w:jc w:val="left"/>
              <w:rPr>
                <w:rFonts w:ascii="宋体" w:hAnsi="宋体" w:cs="宋体" w:eastAsia="宋体" w:hint="default"/>
                <w:sz w:val="21"/>
                <w:szCs w:val="21"/>
              </w:rPr>
            </w:pPr>
            <w:r>
              <w:rPr>
                <w:rFonts w:ascii="宋体" w:hAnsi="宋体" w:cs="宋体" w:eastAsia="宋体" w:hint="default"/>
                <w:spacing w:val="-2"/>
                <w:sz w:val="21"/>
                <w:szCs w:val="21"/>
              </w:rPr>
              <w:t>中国联合网络通信有限公司，本公司间接控股子公司</w:t>
            </w:r>
            <w:r>
              <w:rPr>
                <w:rFonts w:ascii="宋体" w:hAnsi="宋体" w:cs="宋体" w:eastAsia="宋体" w:hint="default"/>
                <w:spacing w:val="-2"/>
                <w:sz w:val="21"/>
                <w:szCs w:val="21"/>
              </w:rPr>
              <w:t>-</w:t>
            </w:r>
            <w:r>
              <w:rPr>
                <w:rFonts w:ascii="宋体" w:hAnsi="宋体" w:cs="宋体" w:eastAsia="宋体" w:hint="default"/>
                <w:spacing w:val="-2"/>
                <w:sz w:val="21"/>
                <w:szCs w:val="21"/>
              </w:rPr>
              <w:t>联通红筹公司之全资附属公</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z w:val="21"/>
                <w:szCs w:val="21"/>
              </w:rPr>
              <w:t>司。</w:t>
            </w:r>
          </w:p>
        </w:tc>
      </w:tr>
      <w:tr>
        <w:trPr>
          <w:trHeight w:val="322"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上交所</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上海证券交易所</w:t>
            </w:r>
          </w:p>
        </w:tc>
      </w:tr>
      <w:tr>
        <w:trPr>
          <w:trHeight w:val="634"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1" w:right="84"/>
              <w:jc w:val="left"/>
              <w:rPr>
                <w:rFonts w:ascii="宋体" w:hAnsi="宋体" w:cs="宋体" w:eastAsia="宋体" w:hint="default"/>
                <w:sz w:val="21"/>
                <w:szCs w:val="21"/>
              </w:rPr>
            </w:pPr>
            <w:r>
              <w:rPr>
                <w:rFonts w:ascii="宋体" w:hAnsi="宋体" w:cs="宋体" w:eastAsia="宋体" w:hint="default"/>
                <w:spacing w:val="13"/>
                <w:sz w:val="21"/>
                <w:szCs w:val="21"/>
              </w:rPr>
              <w:t>铁塔公司</w:t>
            </w:r>
            <w:r>
              <w:rPr>
                <w:rFonts w:ascii="宋体" w:hAnsi="宋体" w:cs="宋体" w:eastAsia="宋体" w:hint="default"/>
                <w:spacing w:val="13"/>
                <w:sz w:val="21"/>
                <w:szCs w:val="21"/>
              </w:rPr>
              <w:t>/</w:t>
            </w:r>
            <w:r>
              <w:rPr>
                <w:rFonts w:ascii="宋体" w:hAnsi="宋体" w:cs="宋体" w:eastAsia="宋体" w:hint="default"/>
                <w:spacing w:val="-78"/>
                <w:sz w:val="21"/>
                <w:szCs w:val="21"/>
              </w:rPr>
              <w:t> </w:t>
            </w:r>
            <w:r>
              <w:rPr>
                <w:rFonts w:ascii="宋体" w:hAnsi="宋体" w:cs="宋体" w:eastAsia="宋体" w:hint="default"/>
                <w:spacing w:val="15"/>
                <w:sz w:val="21"/>
                <w:szCs w:val="21"/>
              </w:rPr>
              <w:t>中国</w:t>
            </w:r>
            <w:r>
              <w:rPr>
                <w:rFonts w:ascii="宋体" w:hAnsi="宋体" w:cs="宋体" w:eastAsia="宋体" w:hint="default"/>
                <w:spacing w:val="-99"/>
                <w:sz w:val="21"/>
                <w:szCs w:val="21"/>
              </w:rPr>
              <w:t> </w:t>
            </w:r>
            <w:r>
              <w:rPr>
                <w:rFonts w:ascii="宋体" w:hAnsi="宋体" w:cs="宋体" w:eastAsia="宋体" w:hint="default"/>
                <w:sz w:val="21"/>
                <w:szCs w:val="21"/>
              </w:rPr>
              <w:t>铁塔</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中国铁塔股份有限公司</w:t>
            </w:r>
          </w:p>
        </w:tc>
      </w:tr>
      <w:tr>
        <w:trPr>
          <w:trHeight w:val="322"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101" w:right="0"/>
              <w:jc w:val="left"/>
              <w:rPr>
                <w:rFonts w:ascii="宋体" w:hAnsi="宋体" w:cs="宋体" w:eastAsia="宋体" w:hint="default"/>
                <w:sz w:val="21"/>
                <w:szCs w:val="21"/>
              </w:rPr>
            </w:pPr>
            <w:r>
              <w:rPr>
                <w:rFonts w:ascii="宋体" w:hAnsi="宋体" w:cs="宋体" w:eastAsia="宋体" w:hint="default"/>
                <w:sz w:val="21"/>
                <w:szCs w:val="21"/>
              </w:rPr>
              <w:t>中国证监会</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中国证券监督管理委员会</w:t>
            </w:r>
          </w:p>
        </w:tc>
      </w:tr>
      <w:tr>
        <w:trPr>
          <w:trHeight w:val="948"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1" w:right="0"/>
              <w:jc w:val="left"/>
              <w:rPr>
                <w:rFonts w:ascii="宋体" w:hAnsi="宋体" w:cs="宋体" w:eastAsia="宋体" w:hint="default"/>
                <w:sz w:val="21"/>
                <w:szCs w:val="21"/>
              </w:rPr>
            </w:pPr>
            <w:r>
              <w:rPr>
                <w:rFonts w:ascii="宋体"/>
                <w:sz w:val="21"/>
              </w:rPr>
              <w:t>2B2C</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0"/>
              <w:jc w:val="both"/>
              <w:rPr>
                <w:rFonts w:ascii="宋体" w:hAnsi="宋体" w:cs="宋体" w:eastAsia="宋体" w:hint="default"/>
                <w:sz w:val="21"/>
                <w:szCs w:val="21"/>
              </w:rPr>
            </w:pPr>
            <w:r>
              <w:rPr>
                <w:rFonts w:ascii="宋体" w:hAnsi="宋体" w:cs="宋体" w:eastAsia="宋体" w:hint="default"/>
                <w:sz w:val="21"/>
                <w:szCs w:val="21"/>
              </w:rPr>
              <w:t>本集团通过与具有丰富客户触点的各类企业开展合作，以提升合作企业的客户服</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z w:val="21"/>
                <w:szCs w:val="21"/>
              </w:rPr>
              <w:t>务能力为抓手，借助各类企业用户覆盖面广泛的优势，延伸业务覆盖范围，实现</w:t>
            </w:r>
            <w:r>
              <w:rPr>
                <w:rFonts w:ascii="宋体" w:hAnsi="宋体" w:cs="宋体" w:eastAsia="宋体" w:hint="default"/>
                <w:spacing w:val="-17"/>
                <w:sz w:val="21"/>
                <w:szCs w:val="21"/>
              </w:rPr>
              <w:t> </w:t>
            </w:r>
            <w:r>
              <w:rPr>
                <w:rFonts w:ascii="宋体" w:hAnsi="宋体" w:cs="宋体" w:eastAsia="宋体" w:hint="default"/>
                <w:spacing w:val="-17"/>
                <w:sz w:val="21"/>
                <w:szCs w:val="21"/>
              </w:rPr>
            </w:r>
            <w:r>
              <w:rPr>
                <w:rFonts w:ascii="宋体" w:hAnsi="宋体" w:cs="宋体" w:eastAsia="宋体" w:hint="default"/>
                <w:sz w:val="21"/>
                <w:szCs w:val="21"/>
              </w:rPr>
              <w:t>精准营销客户的商业模式。</w:t>
            </w:r>
          </w:p>
        </w:tc>
      </w:tr>
      <w:tr>
        <w:trPr>
          <w:trHeight w:val="322"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sz w:val="21"/>
              </w:rPr>
              <w:t>2B2H</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借助行业渠道及触点拓展家庭业务的一种创新营销模式。</w:t>
            </w:r>
          </w:p>
        </w:tc>
      </w:tr>
      <w:tr>
        <w:trPr>
          <w:trHeight w:val="946"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2G</w:t>
            </w:r>
            <w:r>
              <w:rPr>
                <w:rFonts w:ascii="宋体" w:hAnsi="宋体" w:cs="宋体" w:eastAsia="宋体" w:hint="default"/>
                <w:sz w:val="21"/>
                <w:szCs w:val="21"/>
              </w:rPr>
              <w:t>、</w:t>
            </w:r>
            <w:r>
              <w:rPr>
                <w:rFonts w:ascii="宋体" w:hAnsi="宋体" w:cs="宋体" w:eastAsia="宋体" w:hint="default"/>
                <w:sz w:val="21"/>
                <w:szCs w:val="21"/>
              </w:rPr>
              <w:t>GSM</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8"/>
              <w:jc w:val="both"/>
              <w:rPr>
                <w:rFonts w:ascii="宋体" w:hAnsi="宋体" w:cs="宋体" w:eastAsia="宋体" w:hint="default"/>
                <w:sz w:val="21"/>
                <w:szCs w:val="21"/>
              </w:rPr>
            </w:pPr>
            <w:r>
              <w:rPr>
                <w:rFonts w:ascii="宋体" w:hAnsi="宋体" w:cs="宋体" w:eastAsia="宋体" w:hint="default"/>
                <w:sz w:val="21"/>
                <w:szCs w:val="21"/>
              </w:rPr>
              <w:t>Global System for Mobile</w:t>
            </w:r>
            <w:r>
              <w:rPr>
                <w:rFonts w:ascii="宋体" w:hAnsi="宋体" w:cs="宋体" w:eastAsia="宋体" w:hint="default"/>
                <w:spacing w:val="-24"/>
                <w:sz w:val="21"/>
                <w:szCs w:val="21"/>
              </w:rPr>
              <w:t> </w:t>
            </w:r>
            <w:r>
              <w:rPr>
                <w:rFonts w:ascii="宋体" w:hAnsi="宋体" w:cs="宋体" w:eastAsia="宋体" w:hint="default"/>
                <w:sz w:val="21"/>
                <w:szCs w:val="21"/>
              </w:rPr>
              <w:t>Communications</w:t>
            </w:r>
            <w:r>
              <w:rPr>
                <w:rFonts w:ascii="宋体" w:hAnsi="宋体" w:cs="宋体" w:eastAsia="宋体" w:hint="default"/>
                <w:sz w:val="21"/>
                <w:szCs w:val="21"/>
              </w:rPr>
              <w:t>，即全球移动通信系统，基于数字传</w:t>
            </w:r>
            <w:r>
              <w:rPr>
                <w:rFonts w:ascii="宋体" w:hAnsi="宋体" w:cs="宋体" w:eastAsia="宋体" w:hint="default"/>
                <w:w w:val="100"/>
                <w:sz w:val="21"/>
                <w:szCs w:val="21"/>
              </w:rPr>
              <w:t> </w:t>
            </w:r>
            <w:r>
              <w:rPr>
                <w:rFonts w:ascii="宋体" w:hAnsi="宋体" w:cs="宋体" w:eastAsia="宋体" w:hint="default"/>
                <w:sz w:val="21"/>
                <w:szCs w:val="21"/>
              </w:rPr>
              <w:t>输和蜂窝移动网络结构，采用时分接入技术，被称为</w:t>
            </w:r>
            <w:r>
              <w:rPr>
                <w:rFonts w:ascii="宋体" w:hAnsi="宋体" w:cs="宋体" w:eastAsia="宋体" w:hint="default"/>
                <w:spacing w:val="46"/>
                <w:sz w:val="21"/>
                <w:szCs w:val="21"/>
              </w:rPr>
              <w:t> </w:t>
            </w:r>
            <w:r>
              <w:rPr>
                <w:rFonts w:ascii="宋体" w:hAnsi="宋体" w:cs="宋体" w:eastAsia="宋体" w:hint="default"/>
                <w:sz w:val="21"/>
                <w:szCs w:val="21"/>
              </w:rPr>
              <w:t>2G</w:t>
            </w:r>
            <w:r>
              <w:rPr>
                <w:rFonts w:ascii="宋体" w:hAnsi="宋体" w:cs="宋体" w:eastAsia="宋体" w:hint="default"/>
                <w:spacing w:val="35"/>
                <w:sz w:val="21"/>
                <w:szCs w:val="21"/>
              </w:rPr>
              <w:t> </w:t>
            </w:r>
            <w:r>
              <w:rPr>
                <w:rFonts w:ascii="宋体" w:hAnsi="宋体" w:cs="宋体" w:eastAsia="宋体" w:hint="default"/>
                <w:sz w:val="21"/>
                <w:szCs w:val="21"/>
              </w:rPr>
              <w:t>无线标准。主要部署在</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900MHz</w:t>
            </w:r>
            <w:r>
              <w:rPr>
                <w:rFonts w:ascii="宋体" w:hAnsi="宋体" w:cs="宋体" w:eastAsia="宋体" w:hint="default"/>
                <w:sz w:val="21"/>
                <w:szCs w:val="21"/>
              </w:rPr>
              <w:t>、</w:t>
            </w:r>
            <w:r>
              <w:rPr>
                <w:rFonts w:ascii="宋体" w:hAnsi="宋体" w:cs="宋体" w:eastAsia="宋体" w:hint="default"/>
                <w:sz w:val="21"/>
                <w:szCs w:val="21"/>
              </w:rPr>
              <w:t>1800MHz</w:t>
            </w:r>
            <w:r>
              <w:rPr>
                <w:rFonts w:ascii="宋体" w:hAnsi="宋体" w:cs="宋体" w:eastAsia="宋体" w:hint="default"/>
                <w:spacing w:val="-54"/>
                <w:sz w:val="21"/>
                <w:szCs w:val="21"/>
              </w:rPr>
              <w:t> </w:t>
            </w:r>
            <w:r>
              <w:rPr>
                <w:rFonts w:ascii="宋体" w:hAnsi="宋体" w:cs="宋体" w:eastAsia="宋体" w:hint="default"/>
                <w:sz w:val="21"/>
                <w:szCs w:val="21"/>
              </w:rPr>
              <w:t>和</w:t>
            </w:r>
            <w:r>
              <w:rPr>
                <w:rFonts w:ascii="宋体" w:hAnsi="宋体" w:cs="宋体" w:eastAsia="宋体" w:hint="default"/>
                <w:spacing w:val="-56"/>
                <w:sz w:val="21"/>
                <w:szCs w:val="21"/>
              </w:rPr>
              <w:t> </w:t>
            </w:r>
            <w:r>
              <w:rPr>
                <w:rFonts w:ascii="宋体" w:hAnsi="宋体" w:cs="宋体" w:eastAsia="宋体" w:hint="default"/>
                <w:sz w:val="21"/>
                <w:szCs w:val="21"/>
              </w:rPr>
              <w:t>1900MHz</w:t>
            </w:r>
            <w:r>
              <w:rPr>
                <w:rFonts w:ascii="宋体" w:hAnsi="宋体" w:cs="宋体" w:eastAsia="宋体" w:hint="default"/>
                <w:spacing w:val="-54"/>
                <w:sz w:val="21"/>
                <w:szCs w:val="21"/>
              </w:rPr>
              <w:t> </w:t>
            </w:r>
            <w:r>
              <w:rPr>
                <w:rFonts w:ascii="宋体" w:hAnsi="宋体" w:cs="宋体" w:eastAsia="宋体" w:hint="default"/>
                <w:sz w:val="21"/>
                <w:szCs w:val="21"/>
              </w:rPr>
              <w:t>等频率上，已经在全球实现漫游。</w:t>
            </w:r>
          </w:p>
        </w:tc>
      </w:tr>
      <w:tr>
        <w:trPr>
          <w:trHeight w:val="946"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sz w:val="21"/>
              </w:rPr>
              <w:t>2I2C</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2"/>
              <w:jc w:val="both"/>
              <w:rPr>
                <w:rFonts w:ascii="宋体" w:hAnsi="宋体" w:cs="宋体" w:eastAsia="宋体" w:hint="default"/>
                <w:sz w:val="21"/>
                <w:szCs w:val="21"/>
              </w:rPr>
            </w:pPr>
            <w:r>
              <w:rPr>
                <w:rFonts w:ascii="宋体" w:hAnsi="宋体" w:cs="宋体" w:eastAsia="宋体" w:hint="default"/>
                <w:sz w:val="21"/>
                <w:szCs w:val="21"/>
              </w:rPr>
              <w:t>本集团与互联网公司创新开展的精准营销合作，借助互联网企业的大数据分析能</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z w:val="21"/>
                <w:szCs w:val="21"/>
              </w:rPr>
              <w:t>力和线上客户触点优势，延伸业务覆盖范围，以内容应用服务优势，精准营销客</w:t>
            </w:r>
            <w:r>
              <w:rPr>
                <w:rFonts w:ascii="宋体" w:hAnsi="宋体" w:cs="宋体" w:eastAsia="宋体" w:hint="default"/>
                <w:spacing w:val="-18"/>
                <w:sz w:val="21"/>
                <w:szCs w:val="21"/>
              </w:rPr>
              <w:t> </w:t>
            </w:r>
            <w:r>
              <w:rPr>
                <w:rFonts w:ascii="宋体" w:hAnsi="宋体" w:cs="宋体" w:eastAsia="宋体" w:hint="default"/>
                <w:spacing w:val="-18"/>
                <w:sz w:val="21"/>
                <w:szCs w:val="21"/>
              </w:rPr>
            </w:r>
            <w:r>
              <w:rPr>
                <w:rFonts w:ascii="宋体" w:hAnsi="宋体" w:cs="宋体" w:eastAsia="宋体" w:hint="default"/>
                <w:sz w:val="21"/>
                <w:szCs w:val="21"/>
              </w:rPr>
              <w:t>户的商业模式。</w:t>
            </w:r>
          </w:p>
        </w:tc>
      </w:tr>
      <w:tr>
        <w:trPr>
          <w:trHeight w:val="322"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sz w:val="21"/>
              </w:rPr>
              <w:t>2I2H</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借助互联网渠道及触点发展家庭业务的一种创新营销模式。</w:t>
            </w:r>
          </w:p>
        </w:tc>
      </w:tr>
      <w:tr>
        <w:trPr>
          <w:trHeight w:val="1258"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3G</w:t>
            </w:r>
            <w:r>
              <w:rPr>
                <w:rFonts w:ascii="宋体" w:hAnsi="宋体" w:cs="宋体" w:eastAsia="宋体" w:hint="default"/>
                <w:sz w:val="21"/>
                <w:szCs w:val="21"/>
              </w:rPr>
              <w:t>、</w:t>
            </w:r>
            <w:r>
              <w:rPr>
                <w:rFonts w:ascii="宋体" w:hAnsi="宋体" w:cs="宋体" w:eastAsia="宋体" w:hint="default"/>
                <w:sz w:val="21"/>
                <w:szCs w:val="21"/>
              </w:rPr>
              <w:t>WCDMA</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8"/>
              <w:jc w:val="both"/>
              <w:rPr>
                <w:rFonts w:ascii="宋体" w:hAnsi="宋体" w:cs="宋体" w:eastAsia="宋体" w:hint="default"/>
                <w:sz w:val="21"/>
                <w:szCs w:val="21"/>
              </w:rPr>
            </w:pPr>
            <w:r>
              <w:rPr>
                <w:rFonts w:ascii="宋体" w:hAnsi="宋体" w:cs="宋体" w:eastAsia="宋体" w:hint="default"/>
                <w:sz w:val="21"/>
                <w:szCs w:val="21"/>
              </w:rPr>
              <w:t>Wideband</w:t>
            </w:r>
            <w:r>
              <w:rPr>
                <w:rFonts w:ascii="宋体" w:hAnsi="宋体" w:cs="宋体" w:eastAsia="宋体" w:hint="default"/>
                <w:spacing w:val="-5"/>
                <w:sz w:val="21"/>
                <w:szCs w:val="21"/>
              </w:rPr>
              <w:t> </w:t>
            </w:r>
            <w:r>
              <w:rPr>
                <w:rFonts w:ascii="宋体" w:hAnsi="宋体" w:cs="宋体" w:eastAsia="宋体" w:hint="default"/>
                <w:sz w:val="21"/>
                <w:szCs w:val="21"/>
              </w:rPr>
              <w:t>Code</w:t>
            </w:r>
            <w:r>
              <w:rPr>
                <w:rFonts w:ascii="宋体" w:hAnsi="宋体" w:cs="宋体" w:eastAsia="宋体" w:hint="default"/>
                <w:spacing w:val="-5"/>
                <w:sz w:val="21"/>
                <w:szCs w:val="21"/>
              </w:rPr>
              <w:t> </w:t>
            </w:r>
            <w:r>
              <w:rPr>
                <w:rFonts w:ascii="宋体" w:hAnsi="宋体" w:cs="宋体" w:eastAsia="宋体" w:hint="default"/>
                <w:sz w:val="21"/>
                <w:szCs w:val="21"/>
              </w:rPr>
              <w:t>Division</w:t>
            </w:r>
            <w:r>
              <w:rPr>
                <w:rFonts w:ascii="宋体" w:hAnsi="宋体" w:cs="宋体" w:eastAsia="宋体" w:hint="default"/>
                <w:spacing w:val="-7"/>
                <w:sz w:val="21"/>
                <w:szCs w:val="21"/>
              </w:rPr>
              <w:t> </w:t>
            </w:r>
            <w:r>
              <w:rPr>
                <w:rFonts w:ascii="宋体" w:hAnsi="宋体" w:cs="宋体" w:eastAsia="宋体" w:hint="default"/>
                <w:sz w:val="21"/>
                <w:szCs w:val="21"/>
              </w:rPr>
              <w:t>Multiple</w:t>
            </w:r>
            <w:r>
              <w:rPr>
                <w:rFonts w:ascii="宋体" w:hAnsi="宋体" w:cs="宋体" w:eastAsia="宋体" w:hint="default"/>
                <w:spacing w:val="-5"/>
                <w:sz w:val="21"/>
                <w:szCs w:val="21"/>
              </w:rPr>
              <w:t> </w:t>
            </w:r>
            <w:r>
              <w:rPr>
                <w:rFonts w:ascii="宋体" w:hAnsi="宋体" w:cs="宋体" w:eastAsia="宋体" w:hint="default"/>
                <w:sz w:val="21"/>
                <w:szCs w:val="21"/>
              </w:rPr>
              <w:t>Access</w:t>
            </w:r>
            <w:r>
              <w:rPr>
                <w:rFonts w:ascii="宋体" w:hAnsi="宋体" w:cs="宋体" w:eastAsia="宋体" w:hint="default"/>
                <w:sz w:val="21"/>
                <w:szCs w:val="21"/>
              </w:rPr>
              <w:t>，即宽带码分多址技术，在</w:t>
            </w:r>
            <w:r>
              <w:rPr>
                <w:rFonts w:ascii="宋体" w:hAnsi="宋体" w:cs="宋体" w:eastAsia="宋体" w:hint="default"/>
                <w:spacing w:val="-52"/>
                <w:sz w:val="21"/>
                <w:szCs w:val="21"/>
              </w:rPr>
              <w:t> </w:t>
            </w:r>
            <w:r>
              <w:rPr>
                <w:rFonts w:ascii="宋体" w:hAnsi="宋体" w:cs="宋体" w:eastAsia="宋体" w:hint="default"/>
                <w:sz w:val="21"/>
                <w:szCs w:val="21"/>
              </w:rPr>
              <w:t>5MHz</w:t>
            </w:r>
            <w:r>
              <w:rPr>
                <w:rFonts w:ascii="宋体" w:hAnsi="宋体" w:cs="宋体" w:eastAsia="宋体" w:hint="default"/>
                <w:spacing w:val="-55"/>
                <w:sz w:val="21"/>
                <w:szCs w:val="21"/>
              </w:rPr>
              <w:t> </w:t>
            </w:r>
            <w:r>
              <w:rPr>
                <w:rFonts w:ascii="宋体" w:hAnsi="宋体" w:cs="宋体" w:eastAsia="宋体" w:hint="default"/>
                <w:spacing w:val="-3"/>
                <w:sz w:val="21"/>
                <w:szCs w:val="21"/>
              </w:rPr>
              <w:t>带宽</w:t>
            </w:r>
            <w:r>
              <w:rPr>
                <w:rFonts w:ascii="宋体" w:hAnsi="宋体" w:cs="宋体" w:eastAsia="宋体" w:hint="default"/>
                <w:spacing w:val="-3"/>
                <w:w w:val="100"/>
                <w:sz w:val="21"/>
                <w:szCs w:val="21"/>
              </w:rPr>
              <w:t> </w:t>
            </w:r>
            <w:r>
              <w:rPr>
                <w:rFonts w:ascii="宋体" w:hAnsi="宋体" w:cs="宋体" w:eastAsia="宋体" w:hint="default"/>
                <w:sz w:val="21"/>
                <w:szCs w:val="21"/>
              </w:rPr>
              <w:t>频谱上传输语音和数据，是与</w:t>
            </w:r>
            <w:r>
              <w:rPr>
                <w:rFonts w:ascii="宋体" w:hAnsi="宋体" w:cs="宋体" w:eastAsia="宋体" w:hint="default"/>
                <w:spacing w:val="-46"/>
                <w:sz w:val="21"/>
                <w:szCs w:val="21"/>
              </w:rPr>
              <w:t> </w:t>
            </w:r>
            <w:r>
              <w:rPr>
                <w:rFonts w:ascii="宋体" w:hAnsi="宋体" w:cs="宋体" w:eastAsia="宋体" w:hint="default"/>
                <w:sz w:val="21"/>
                <w:szCs w:val="21"/>
              </w:rPr>
              <w:t>EV-DO/TD-SCDMA</w:t>
            </w:r>
            <w:r>
              <w:rPr>
                <w:rFonts w:ascii="宋体" w:hAnsi="宋体" w:cs="宋体" w:eastAsia="宋体" w:hint="default"/>
                <w:spacing w:val="-47"/>
                <w:sz w:val="21"/>
                <w:szCs w:val="21"/>
              </w:rPr>
              <w:t> </w:t>
            </w:r>
            <w:r>
              <w:rPr>
                <w:rFonts w:ascii="宋体" w:hAnsi="宋体" w:cs="宋体" w:eastAsia="宋体" w:hint="default"/>
                <w:sz w:val="21"/>
                <w:szCs w:val="21"/>
              </w:rPr>
              <w:t>并列的</w:t>
            </w:r>
            <w:r>
              <w:rPr>
                <w:rFonts w:ascii="宋体" w:hAnsi="宋体" w:cs="宋体" w:eastAsia="宋体" w:hint="default"/>
                <w:spacing w:val="-46"/>
                <w:sz w:val="21"/>
                <w:szCs w:val="21"/>
              </w:rPr>
              <w:t> </w:t>
            </w:r>
            <w:r>
              <w:rPr>
                <w:rFonts w:ascii="宋体" w:hAnsi="宋体" w:cs="宋体" w:eastAsia="宋体" w:hint="default"/>
                <w:sz w:val="21"/>
                <w:szCs w:val="21"/>
              </w:rPr>
              <w:t>3G</w:t>
            </w:r>
            <w:r>
              <w:rPr>
                <w:rFonts w:ascii="宋体" w:hAnsi="宋体" w:cs="宋体" w:eastAsia="宋体" w:hint="default"/>
                <w:spacing w:val="-49"/>
                <w:sz w:val="21"/>
                <w:szCs w:val="21"/>
              </w:rPr>
              <w:t> </w:t>
            </w:r>
            <w:r>
              <w:rPr>
                <w:rFonts w:ascii="宋体" w:hAnsi="宋体" w:cs="宋体" w:eastAsia="宋体" w:hint="default"/>
                <w:sz w:val="21"/>
                <w:szCs w:val="21"/>
              </w:rPr>
              <w:t>无线标准，不同的</w:t>
            </w:r>
            <w:r>
              <w:rPr>
                <w:rFonts w:ascii="宋体" w:hAnsi="宋体" w:cs="宋体" w:eastAsia="宋体" w:hint="default"/>
                <w:spacing w:val="-46"/>
                <w:sz w:val="21"/>
                <w:szCs w:val="21"/>
              </w:rPr>
              <w:t> </w:t>
            </w:r>
            <w:r>
              <w:rPr>
                <w:rFonts w:ascii="宋体" w:hAnsi="宋体" w:cs="宋体" w:eastAsia="宋体" w:hint="default"/>
                <w:sz w:val="21"/>
                <w:szCs w:val="21"/>
              </w:rPr>
              <w:t>3GPP</w:t>
            </w:r>
            <w:r>
              <w:rPr>
                <w:rFonts w:ascii="宋体" w:hAnsi="宋体" w:cs="宋体" w:eastAsia="宋体" w:hint="default"/>
                <w:w w:val="100"/>
                <w:sz w:val="21"/>
                <w:szCs w:val="21"/>
              </w:rPr>
              <w:t> </w:t>
            </w:r>
            <w:r>
              <w:rPr>
                <w:rFonts w:ascii="宋体" w:hAnsi="宋体" w:cs="宋体" w:eastAsia="宋体" w:hint="default"/>
                <w:sz w:val="21"/>
                <w:szCs w:val="21"/>
              </w:rPr>
              <w:t>版本可以达到</w:t>
            </w:r>
            <w:r>
              <w:rPr>
                <w:rFonts w:ascii="宋体" w:hAnsi="宋体" w:cs="宋体" w:eastAsia="宋体" w:hint="default"/>
                <w:spacing w:val="-31"/>
                <w:sz w:val="21"/>
                <w:szCs w:val="21"/>
              </w:rPr>
              <w:t> </w:t>
            </w:r>
            <w:r>
              <w:rPr>
                <w:rFonts w:ascii="宋体" w:hAnsi="宋体" w:cs="宋体" w:eastAsia="宋体" w:hint="default"/>
                <w:sz w:val="21"/>
                <w:szCs w:val="21"/>
              </w:rPr>
              <w:t>14.4Mbps</w:t>
            </w:r>
            <w:r>
              <w:rPr>
                <w:rFonts w:ascii="宋体" w:hAnsi="宋体" w:cs="宋体" w:eastAsia="宋体" w:hint="default"/>
                <w:sz w:val="21"/>
                <w:szCs w:val="21"/>
              </w:rPr>
              <w:t>、</w:t>
            </w:r>
            <w:r>
              <w:rPr>
                <w:rFonts w:ascii="宋体" w:hAnsi="宋体" w:cs="宋体" w:eastAsia="宋体" w:hint="default"/>
                <w:sz w:val="21"/>
                <w:szCs w:val="21"/>
              </w:rPr>
              <w:t>21Mbps</w:t>
            </w:r>
            <w:r>
              <w:rPr>
                <w:rFonts w:ascii="宋体" w:hAnsi="宋体" w:cs="宋体" w:eastAsia="宋体" w:hint="default"/>
                <w:spacing w:val="-33"/>
                <w:sz w:val="21"/>
                <w:szCs w:val="21"/>
              </w:rPr>
              <w:t> </w:t>
            </w:r>
            <w:r>
              <w:rPr>
                <w:rFonts w:ascii="宋体" w:hAnsi="宋体" w:cs="宋体" w:eastAsia="宋体" w:hint="default"/>
                <w:sz w:val="21"/>
                <w:szCs w:val="21"/>
              </w:rPr>
              <w:t>甚至更高的峰值速率。主要部署在</w:t>
            </w:r>
            <w:r>
              <w:rPr>
                <w:rFonts w:ascii="宋体" w:hAnsi="宋体" w:cs="宋体" w:eastAsia="宋体" w:hint="default"/>
                <w:spacing w:val="-33"/>
                <w:sz w:val="21"/>
                <w:szCs w:val="21"/>
              </w:rPr>
              <w:t> </w:t>
            </w:r>
            <w:r>
              <w:rPr>
                <w:rFonts w:ascii="宋体" w:hAnsi="宋体" w:cs="宋体" w:eastAsia="宋体" w:hint="default"/>
                <w:sz w:val="21"/>
                <w:szCs w:val="21"/>
              </w:rPr>
              <w:t>2.1GHz</w:t>
            </w:r>
            <w:r>
              <w:rPr>
                <w:rFonts w:ascii="宋体" w:hAnsi="宋体" w:cs="宋体" w:eastAsia="宋体" w:hint="default"/>
                <w:spacing w:val="-34"/>
                <w:sz w:val="21"/>
                <w:szCs w:val="21"/>
              </w:rPr>
              <w:t> </w:t>
            </w:r>
            <w:r>
              <w:rPr>
                <w:rFonts w:ascii="宋体" w:hAnsi="宋体" w:cs="宋体" w:eastAsia="宋体" w:hint="default"/>
                <w:sz w:val="21"/>
                <w:szCs w:val="21"/>
              </w:rPr>
              <w:t>频率</w:t>
            </w:r>
            <w:r>
              <w:rPr>
                <w:rFonts w:ascii="宋体" w:hAnsi="宋体" w:cs="宋体" w:eastAsia="宋体" w:hint="default"/>
                <w:w w:val="100"/>
                <w:sz w:val="21"/>
                <w:szCs w:val="21"/>
              </w:rPr>
              <w:t> </w:t>
            </w:r>
            <w:r>
              <w:rPr>
                <w:rFonts w:ascii="宋体" w:hAnsi="宋体" w:cs="宋体" w:eastAsia="宋体" w:hint="default"/>
                <w:sz w:val="21"/>
                <w:szCs w:val="21"/>
              </w:rPr>
              <w:t>上。</w:t>
            </w:r>
          </w:p>
        </w:tc>
      </w:tr>
      <w:tr>
        <w:trPr>
          <w:trHeight w:val="636"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1" w:right="0"/>
              <w:jc w:val="left"/>
              <w:rPr>
                <w:rFonts w:ascii="宋体" w:hAnsi="宋体" w:cs="宋体" w:eastAsia="宋体" w:hint="default"/>
                <w:sz w:val="21"/>
                <w:szCs w:val="21"/>
              </w:rPr>
            </w:pPr>
            <w:r>
              <w:rPr>
                <w:rFonts w:ascii="宋体"/>
                <w:sz w:val="21"/>
              </w:rPr>
              <w:t>4G</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1"/>
              <w:jc w:val="left"/>
              <w:rPr>
                <w:rFonts w:ascii="宋体" w:hAnsi="宋体" w:cs="宋体" w:eastAsia="宋体" w:hint="default"/>
                <w:sz w:val="21"/>
                <w:szCs w:val="21"/>
              </w:rPr>
            </w:pPr>
            <w:r>
              <w:rPr>
                <w:rFonts w:ascii="宋体" w:hAnsi="宋体" w:cs="宋体" w:eastAsia="宋体" w:hint="default"/>
                <w:spacing w:val="-8"/>
                <w:w w:val="100"/>
                <w:sz w:val="21"/>
                <w:szCs w:val="21"/>
              </w:rPr>
              <w:t>第四代移动通讯技术的简称，也称为</w:t>
            </w:r>
            <w:r>
              <w:rPr>
                <w:rFonts w:ascii="宋体" w:hAnsi="宋体" w:cs="宋体" w:eastAsia="宋体" w:hint="default"/>
                <w:spacing w:val="-66"/>
                <w:w w:val="100"/>
                <w:sz w:val="21"/>
                <w:szCs w:val="21"/>
              </w:rPr>
              <w:t> </w:t>
            </w:r>
            <w:r>
              <w:rPr>
                <w:rFonts w:ascii="宋体" w:hAnsi="宋体" w:cs="宋体" w:eastAsia="宋体" w:hint="default"/>
                <w:spacing w:val="-8"/>
                <w:w w:val="100"/>
                <w:sz w:val="21"/>
                <w:szCs w:val="21"/>
              </w:rPr>
              <w:t>IMT-Advanced</w:t>
            </w:r>
            <w:r>
              <w:rPr>
                <w:rFonts w:ascii="宋体" w:hAnsi="宋体" w:cs="宋体" w:eastAsia="宋体" w:hint="default"/>
                <w:spacing w:val="-8"/>
                <w:w w:val="100"/>
                <w:sz w:val="21"/>
                <w:szCs w:val="21"/>
              </w:rPr>
              <w:t>，</w:t>
            </w:r>
            <w:r>
              <w:rPr>
                <w:rFonts w:ascii="宋体" w:hAnsi="宋体" w:cs="宋体" w:eastAsia="宋体" w:hint="default"/>
                <w:spacing w:val="-8"/>
                <w:w w:val="100"/>
                <w:sz w:val="21"/>
                <w:szCs w:val="21"/>
              </w:rPr>
              <w:t>ITU</w:t>
            </w:r>
            <w:r>
              <w:rPr>
                <w:rFonts w:ascii="宋体" w:hAnsi="宋体" w:cs="宋体" w:eastAsia="宋体" w:hint="default"/>
                <w:spacing w:val="-66"/>
                <w:w w:val="100"/>
                <w:sz w:val="21"/>
                <w:szCs w:val="21"/>
              </w:rPr>
              <w:t> </w:t>
            </w:r>
            <w:r>
              <w:rPr>
                <w:rFonts w:ascii="宋体" w:hAnsi="宋体" w:cs="宋体" w:eastAsia="宋体" w:hint="default"/>
                <w:w w:val="100"/>
                <w:sz w:val="21"/>
                <w:szCs w:val="21"/>
              </w:rPr>
              <w:t>在</w:t>
            </w:r>
            <w:r>
              <w:rPr>
                <w:rFonts w:ascii="宋体" w:hAnsi="宋体" w:cs="宋体" w:eastAsia="宋体" w:hint="default"/>
                <w:spacing w:val="-66"/>
                <w:w w:val="100"/>
                <w:sz w:val="21"/>
                <w:szCs w:val="21"/>
              </w:rPr>
              <w:t> </w:t>
            </w:r>
            <w:r>
              <w:rPr>
                <w:rFonts w:ascii="宋体" w:hAnsi="宋体" w:cs="宋体" w:eastAsia="宋体" w:hint="default"/>
                <w:w w:val="100"/>
                <w:sz w:val="21"/>
                <w:szCs w:val="21"/>
              </w:rPr>
              <w:t>2010</w:t>
            </w:r>
            <w:r>
              <w:rPr>
                <w:rFonts w:ascii="宋体" w:hAnsi="宋体" w:cs="宋体" w:eastAsia="宋体" w:hint="default"/>
                <w:spacing w:val="-68"/>
                <w:w w:val="100"/>
                <w:sz w:val="21"/>
                <w:szCs w:val="21"/>
              </w:rPr>
              <w:t> </w:t>
            </w:r>
            <w:r>
              <w:rPr>
                <w:rFonts w:ascii="宋体" w:hAnsi="宋体" w:cs="宋体" w:eastAsia="宋体" w:hint="default"/>
                <w:w w:val="100"/>
                <w:sz w:val="21"/>
                <w:szCs w:val="21"/>
              </w:rPr>
              <w:t>年将</w:t>
            </w:r>
            <w:r>
              <w:rPr>
                <w:rFonts w:ascii="宋体" w:hAnsi="宋体" w:cs="宋体" w:eastAsia="宋体" w:hint="default"/>
                <w:spacing w:val="-68"/>
                <w:w w:val="100"/>
                <w:sz w:val="21"/>
                <w:szCs w:val="21"/>
              </w:rPr>
              <w:t> </w:t>
            </w:r>
            <w:r>
              <w:rPr>
                <w:rFonts w:ascii="宋体" w:hAnsi="宋体" w:cs="宋体" w:eastAsia="宋体" w:hint="default"/>
                <w:spacing w:val="-1"/>
                <w:w w:val="100"/>
                <w:sz w:val="21"/>
                <w:szCs w:val="21"/>
              </w:rPr>
              <w:t>LTE-Advanced</w:t>
            </w:r>
            <w:r>
              <w:rPr>
                <w:rFonts w:ascii="宋体" w:hAnsi="宋体" w:cs="宋体" w:eastAsia="宋体" w:hint="default"/>
                <w:w w:val="100"/>
                <w:sz w:val="21"/>
                <w:szCs w:val="21"/>
              </w:rPr>
              <w:t> </w:t>
            </w:r>
            <w:r>
              <w:rPr>
                <w:rFonts w:ascii="宋体" w:hAnsi="宋体" w:cs="宋体" w:eastAsia="宋体" w:hint="default"/>
                <w:sz w:val="21"/>
                <w:szCs w:val="21"/>
              </w:rPr>
              <w:t>和</w:t>
            </w:r>
            <w:r>
              <w:rPr>
                <w:rFonts w:ascii="宋体" w:hAnsi="宋体" w:cs="宋体" w:eastAsia="宋体" w:hint="default"/>
                <w:spacing w:val="-53"/>
                <w:sz w:val="21"/>
                <w:szCs w:val="21"/>
              </w:rPr>
              <w:t> </w:t>
            </w:r>
            <w:r>
              <w:rPr>
                <w:rFonts w:ascii="宋体" w:hAnsi="宋体" w:cs="宋体" w:eastAsia="宋体" w:hint="default"/>
                <w:sz w:val="21"/>
                <w:szCs w:val="21"/>
              </w:rPr>
              <w:t>IEEE 802.16m</w:t>
            </w:r>
            <w:r>
              <w:rPr>
                <w:rFonts w:ascii="宋体" w:hAnsi="宋体" w:cs="宋体" w:eastAsia="宋体" w:hint="default"/>
                <w:spacing w:val="-52"/>
                <w:sz w:val="21"/>
                <w:szCs w:val="21"/>
              </w:rPr>
              <w:t> </w:t>
            </w:r>
            <w:r>
              <w:rPr>
                <w:rFonts w:ascii="宋体" w:hAnsi="宋体" w:cs="宋体" w:eastAsia="宋体" w:hint="default"/>
                <w:sz w:val="21"/>
                <w:szCs w:val="21"/>
              </w:rPr>
              <w:t>定为</w:t>
            </w:r>
            <w:r>
              <w:rPr>
                <w:rFonts w:ascii="宋体" w:hAnsi="宋体" w:cs="宋体" w:eastAsia="宋体" w:hint="default"/>
                <w:spacing w:val="-53"/>
                <w:sz w:val="21"/>
                <w:szCs w:val="21"/>
              </w:rPr>
              <w:t> </w:t>
            </w:r>
            <w:r>
              <w:rPr>
                <w:rFonts w:ascii="宋体" w:hAnsi="宋体" w:cs="宋体" w:eastAsia="宋体" w:hint="default"/>
                <w:sz w:val="21"/>
                <w:szCs w:val="21"/>
              </w:rPr>
              <w:t>4G</w:t>
            </w:r>
            <w:r>
              <w:rPr>
                <w:rFonts w:ascii="宋体" w:hAnsi="宋体" w:cs="宋体" w:eastAsia="宋体" w:hint="default"/>
                <w:spacing w:val="-55"/>
                <w:sz w:val="21"/>
                <w:szCs w:val="21"/>
              </w:rPr>
              <w:t> </w:t>
            </w:r>
            <w:r>
              <w:rPr>
                <w:rFonts w:ascii="宋体" w:hAnsi="宋体" w:cs="宋体" w:eastAsia="宋体" w:hint="default"/>
                <w:sz w:val="21"/>
                <w:szCs w:val="21"/>
              </w:rPr>
              <w:t>的无线接入技术。</w:t>
            </w:r>
          </w:p>
        </w:tc>
      </w:tr>
      <w:tr>
        <w:trPr>
          <w:trHeight w:val="634"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sz w:val="21"/>
              </w:rPr>
              <w:t>4G+</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3"/>
              <w:jc w:val="left"/>
              <w:rPr>
                <w:rFonts w:ascii="宋体" w:hAnsi="宋体" w:cs="宋体" w:eastAsia="宋体" w:hint="default"/>
                <w:sz w:val="21"/>
                <w:szCs w:val="21"/>
              </w:rPr>
            </w:pPr>
            <w:r>
              <w:rPr>
                <w:rFonts w:ascii="宋体" w:hAnsi="宋体" w:cs="宋体" w:eastAsia="宋体" w:hint="default"/>
                <w:spacing w:val="-6"/>
                <w:sz w:val="21"/>
                <w:szCs w:val="21"/>
              </w:rPr>
              <w:t>通过载波聚合等技术，在原有</w:t>
            </w:r>
            <w:r>
              <w:rPr>
                <w:rFonts w:ascii="宋体" w:hAnsi="宋体" w:cs="宋体" w:eastAsia="宋体" w:hint="default"/>
                <w:spacing w:val="-30"/>
                <w:sz w:val="21"/>
                <w:szCs w:val="21"/>
              </w:rPr>
              <w:t> </w:t>
            </w:r>
            <w:r>
              <w:rPr>
                <w:rFonts w:ascii="宋体" w:hAnsi="宋体" w:cs="宋体" w:eastAsia="宋体" w:hint="default"/>
                <w:sz w:val="21"/>
                <w:szCs w:val="21"/>
              </w:rPr>
              <w:t>4G</w:t>
            </w:r>
            <w:r>
              <w:rPr>
                <w:rFonts w:ascii="宋体" w:hAnsi="宋体" w:cs="宋体" w:eastAsia="宋体" w:hint="default"/>
                <w:spacing w:val="-29"/>
                <w:sz w:val="21"/>
                <w:szCs w:val="21"/>
              </w:rPr>
              <w:t> </w:t>
            </w:r>
            <w:r>
              <w:rPr>
                <w:rFonts w:ascii="宋体" w:hAnsi="宋体" w:cs="宋体" w:eastAsia="宋体" w:hint="default"/>
                <w:spacing w:val="-5"/>
                <w:sz w:val="21"/>
                <w:szCs w:val="21"/>
              </w:rPr>
              <w:t>网络基础上进一步拓展网络频谱，优化网络质量，</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大幅提升网络速率。</w:t>
            </w:r>
          </w:p>
        </w:tc>
      </w:tr>
      <w:tr>
        <w:trPr>
          <w:trHeight w:val="634"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101" w:right="0"/>
              <w:jc w:val="left"/>
              <w:rPr>
                <w:rFonts w:ascii="宋体" w:hAnsi="宋体" w:cs="宋体" w:eastAsia="宋体" w:hint="default"/>
                <w:sz w:val="21"/>
                <w:szCs w:val="21"/>
              </w:rPr>
            </w:pPr>
            <w:r>
              <w:rPr>
                <w:rFonts w:ascii="宋体" w:hAnsi="宋体" w:cs="宋体" w:eastAsia="宋体" w:hint="default"/>
                <w:sz w:val="21"/>
                <w:szCs w:val="21"/>
              </w:rPr>
              <w:t>4K</w:t>
            </w:r>
            <w:r>
              <w:rPr>
                <w:rFonts w:ascii="宋体" w:hAnsi="宋体" w:cs="宋体" w:eastAsia="宋体" w:hint="default"/>
                <w:spacing w:val="-50"/>
                <w:sz w:val="21"/>
                <w:szCs w:val="21"/>
              </w:rPr>
              <w:t> </w:t>
            </w:r>
            <w:r>
              <w:rPr>
                <w:rFonts w:ascii="宋体" w:hAnsi="宋体" w:cs="宋体" w:eastAsia="宋体" w:hint="default"/>
                <w:spacing w:val="-3"/>
                <w:sz w:val="21"/>
                <w:szCs w:val="21"/>
              </w:rPr>
              <w:t>视频</w:t>
            </w:r>
            <w:r>
              <w:rPr>
                <w:rFonts w:ascii="宋体" w:hAnsi="宋体" w:cs="宋体" w:eastAsia="宋体" w:hint="default"/>
                <w:sz w:val="21"/>
                <w:szCs w:val="21"/>
              </w:rPr>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1"/>
              <w:jc w:val="left"/>
              <w:rPr>
                <w:rFonts w:ascii="宋体" w:hAnsi="宋体" w:cs="宋体" w:eastAsia="宋体" w:hint="default"/>
                <w:sz w:val="21"/>
                <w:szCs w:val="21"/>
              </w:rPr>
            </w:pPr>
            <w:r>
              <w:rPr>
                <w:rFonts w:ascii="宋体" w:hAnsi="宋体" w:cs="宋体" w:eastAsia="宋体" w:hint="default"/>
                <w:sz w:val="21"/>
                <w:szCs w:val="21"/>
              </w:rPr>
              <w:t>输出图像分辨率达到 </w:t>
            </w:r>
            <w:r>
              <w:rPr>
                <w:rFonts w:ascii="宋体" w:hAnsi="宋体" w:cs="宋体" w:eastAsia="宋体" w:hint="default"/>
                <w:sz w:val="21"/>
                <w:szCs w:val="21"/>
              </w:rPr>
              <w:t>4K</w:t>
            </w:r>
            <w:r>
              <w:rPr>
                <w:rFonts w:ascii="宋体" w:hAnsi="宋体" w:cs="宋体" w:eastAsia="宋体" w:hint="default"/>
                <w:sz w:val="21"/>
                <w:szCs w:val="21"/>
              </w:rPr>
              <w:t>（</w:t>
            </w:r>
            <w:r>
              <w:rPr>
                <w:rFonts w:ascii="宋体" w:hAnsi="宋体" w:cs="宋体" w:eastAsia="宋体" w:hint="default"/>
                <w:sz w:val="21"/>
                <w:szCs w:val="21"/>
              </w:rPr>
              <w:t>3840*2160</w:t>
            </w:r>
            <w:r>
              <w:rPr>
                <w:rFonts w:ascii="宋体" w:hAnsi="宋体" w:cs="宋体" w:eastAsia="宋体" w:hint="default"/>
                <w:sz w:val="21"/>
                <w:szCs w:val="21"/>
              </w:rPr>
              <w:t>）标准的视频，</w:t>
            </w:r>
            <w:r>
              <w:rPr>
                <w:rFonts w:ascii="宋体" w:hAnsi="宋体" w:cs="宋体" w:eastAsia="宋体" w:hint="default"/>
                <w:sz w:val="21"/>
                <w:szCs w:val="21"/>
              </w:rPr>
              <w:t>4K</w:t>
            </w:r>
            <w:r>
              <w:rPr>
                <w:rFonts w:ascii="宋体" w:hAnsi="宋体" w:cs="宋体" w:eastAsia="宋体" w:hint="default"/>
                <w:spacing w:val="-24"/>
                <w:sz w:val="21"/>
                <w:szCs w:val="21"/>
              </w:rPr>
              <w:t> </w:t>
            </w:r>
            <w:r>
              <w:rPr>
                <w:rFonts w:ascii="宋体" w:hAnsi="宋体" w:cs="宋体" w:eastAsia="宋体" w:hint="default"/>
                <w:sz w:val="21"/>
                <w:szCs w:val="21"/>
              </w:rPr>
              <w:t>视频的图像质量及清晰度</w:t>
            </w:r>
            <w:r>
              <w:rPr>
                <w:rFonts w:ascii="宋体" w:hAnsi="宋体" w:cs="宋体" w:eastAsia="宋体" w:hint="default"/>
                <w:w w:val="100"/>
                <w:sz w:val="21"/>
                <w:szCs w:val="21"/>
              </w:rPr>
              <w:t> </w:t>
            </w:r>
            <w:r>
              <w:rPr>
                <w:rFonts w:ascii="宋体" w:hAnsi="宋体" w:cs="宋体" w:eastAsia="宋体" w:hint="default"/>
                <w:sz w:val="21"/>
                <w:szCs w:val="21"/>
              </w:rPr>
              <w:t>更高。</w:t>
            </w:r>
          </w:p>
        </w:tc>
      </w:tr>
      <w:tr>
        <w:trPr>
          <w:trHeight w:val="322"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sz w:val="21"/>
              </w:rPr>
              <w:t>5G</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第五代移动通信技术，是</w:t>
            </w:r>
            <w:r>
              <w:rPr>
                <w:rFonts w:ascii="宋体" w:hAnsi="宋体" w:cs="宋体" w:eastAsia="宋体" w:hint="default"/>
                <w:spacing w:val="-56"/>
                <w:sz w:val="21"/>
                <w:szCs w:val="21"/>
              </w:rPr>
              <w:t> </w:t>
            </w:r>
            <w:r>
              <w:rPr>
                <w:rFonts w:ascii="宋体" w:hAnsi="宋体" w:cs="宋体" w:eastAsia="宋体" w:hint="default"/>
                <w:sz w:val="21"/>
                <w:szCs w:val="21"/>
              </w:rPr>
              <w:t>4G</w:t>
            </w:r>
            <w:r>
              <w:rPr>
                <w:rFonts w:ascii="宋体" w:hAnsi="宋体" w:cs="宋体" w:eastAsia="宋体" w:hint="default"/>
                <w:spacing w:val="-54"/>
                <w:sz w:val="21"/>
                <w:szCs w:val="21"/>
              </w:rPr>
              <w:t> </w:t>
            </w:r>
            <w:r>
              <w:rPr>
                <w:rFonts w:ascii="宋体" w:hAnsi="宋体" w:cs="宋体" w:eastAsia="宋体" w:hint="default"/>
                <w:sz w:val="21"/>
                <w:szCs w:val="21"/>
              </w:rPr>
              <w:t>的延伸。</w:t>
            </w:r>
          </w:p>
        </w:tc>
      </w:tr>
    </w:tbl>
    <w:p>
      <w:pPr>
        <w:spacing w:after="0" w:line="262" w:lineRule="exact"/>
        <w:jc w:val="left"/>
        <w:rPr>
          <w:rFonts w:ascii="宋体" w:hAnsi="宋体" w:cs="宋体" w:eastAsia="宋体" w:hint="default"/>
          <w:sz w:val="21"/>
          <w:szCs w:val="21"/>
        </w:rPr>
        <w:sectPr>
          <w:footerReference w:type="default" r:id="rId11"/>
          <w:pgSz w:w="11910" w:h="16840"/>
          <w:pgMar w:footer="502" w:header="854" w:top="1360" w:bottom="700" w:left="1020" w:right="860"/>
        </w:sectPr>
      </w:pPr>
    </w:p>
    <w:p>
      <w:pPr>
        <w:spacing w:line="240" w:lineRule="auto" w:before="2"/>
        <w:rPr>
          <w:rFonts w:ascii="Times New Roman" w:hAnsi="Times New Roman" w:cs="Times New Roman" w:eastAsia="Times New Roman" w:hint="default"/>
          <w:sz w:val="14"/>
          <w:szCs w:val="14"/>
        </w:rPr>
      </w:pPr>
    </w:p>
    <w:tbl>
      <w:tblPr>
        <w:tblW w:w="0" w:type="auto"/>
        <w:jc w:val="left"/>
        <w:tblInd w:w="110" w:type="dxa"/>
        <w:tblLayout w:type="fixed"/>
        <w:tblCellMar>
          <w:top w:w="0" w:type="dxa"/>
          <w:left w:w="0" w:type="dxa"/>
          <w:bottom w:w="0" w:type="dxa"/>
          <w:right w:w="0" w:type="dxa"/>
        </w:tblCellMar>
        <w:tblLook w:val="01E0"/>
      </w:tblPr>
      <w:tblGrid>
        <w:gridCol w:w="1695"/>
        <w:gridCol w:w="432"/>
        <w:gridCol w:w="7658"/>
      </w:tblGrid>
      <w:tr>
        <w:trPr>
          <w:trHeight w:val="324"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1" w:right="0"/>
              <w:jc w:val="left"/>
              <w:rPr>
                <w:rFonts w:ascii="宋体" w:hAnsi="宋体" w:cs="宋体" w:eastAsia="宋体" w:hint="default"/>
                <w:sz w:val="21"/>
                <w:szCs w:val="21"/>
              </w:rPr>
            </w:pPr>
            <w:r>
              <w:rPr>
                <w:rFonts w:ascii="宋体"/>
                <w:sz w:val="21"/>
              </w:rPr>
              <w:t>ARPU</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平均每个用户每月贡献的业务收入。</w:t>
            </w:r>
          </w:p>
        </w:tc>
      </w:tr>
      <w:tr>
        <w:trPr>
          <w:trHeight w:val="322"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sz w:val="21"/>
              </w:rPr>
              <w:t>cBSS</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Central Business Support</w:t>
            </w:r>
            <w:r>
              <w:rPr>
                <w:rFonts w:ascii="宋体" w:hAnsi="宋体" w:cs="宋体" w:eastAsia="宋体" w:hint="default"/>
                <w:spacing w:val="-6"/>
                <w:sz w:val="21"/>
                <w:szCs w:val="21"/>
              </w:rPr>
              <w:t> </w:t>
            </w:r>
            <w:r>
              <w:rPr>
                <w:rFonts w:ascii="宋体" w:hAnsi="宋体" w:cs="宋体" w:eastAsia="宋体" w:hint="default"/>
                <w:sz w:val="21"/>
                <w:szCs w:val="21"/>
              </w:rPr>
              <w:t>System</w:t>
            </w:r>
            <w:r>
              <w:rPr>
                <w:rFonts w:ascii="宋体" w:hAnsi="宋体" w:cs="宋体" w:eastAsia="宋体" w:hint="default"/>
                <w:sz w:val="21"/>
                <w:szCs w:val="21"/>
              </w:rPr>
              <w:t>，集中业务支撑系统。</w:t>
            </w:r>
          </w:p>
        </w:tc>
      </w:tr>
      <w:tr>
        <w:trPr>
          <w:trHeight w:val="322"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sz w:val="21"/>
              </w:rPr>
              <w:t>DOU</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平均每个用户每月使用的上网流量。</w:t>
            </w:r>
          </w:p>
        </w:tc>
      </w:tr>
      <w:tr>
        <w:trPr>
          <w:trHeight w:val="1882"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sz w:val="21"/>
              </w:rPr>
              <w:t>EBITDA</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7"/>
              <w:jc w:val="left"/>
              <w:rPr>
                <w:rFonts w:ascii="宋体" w:hAnsi="宋体" w:cs="宋体" w:eastAsia="宋体" w:hint="default"/>
                <w:sz w:val="21"/>
                <w:szCs w:val="21"/>
              </w:rPr>
            </w:pPr>
            <w:r>
              <w:rPr>
                <w:rFonts w:ascii="宋体" w:hAnsi="宋体" w:cs="宋体" w:eastAsia="宋体" w:hint="default"/>
                <w:sz w:val="21"/>
                <w:szCs w:val="21"/>
              </w:rPr>
              <w:t>反映了加回财务费用、所得税、营业成本和管理费用及研发费用中的折旧及摊销</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z w:val="21"/>
                <w:szCs w:val="21"/>
              </w:rPr>
              <w:t>以及减去投资收益、公允价值变动净收益、其他收益、营业外净收入的净利润。</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z w:val="21"/>
                <w:szCs w:val="21"/>
              </w:rPr>
              <w:t>由于电信业是资本密集型产业，资本开支和财务费用可能对具有类似经营成果的</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pacing w:val="-2"/>
                <w:sz w:val="21"/>
                <w:szCs w:val="21"/>
              </w:rPr>
              <w:t>公司年度盈利产生重大影响。因此，公司认为，对于与公司类似的电信公司而言，</w:t>
            </w:r>
            <w:r>
              <w:rPr>
                <w:rFonts w:ascii="宋体" w:hAnsi="宋体" w:cs="宋体" w:eastAsia="宋体" w:hint="default"/>
                <w:spacing w:val="-52"/>
                <w:sz w:val="21"/>
                <w:szCs w:val="21"/>
              </w:rPr>
              <w:t> </w:t>
            </w:r>
            <w:r>
              <w:rPr>
                <w:rFonts w:ascii="宋体" w:hAnsi="宋体" w:cs="宋体" w:eastAsia="宋体" w:hint="default"/>
                <w:spacing w:val="-52"/>
                <w:sz w:val="21"/>
                <w:szCs w:val="21"/>
              </w:rPr>
            </w:r>
            <w:r>
              <w:rPr>
                <w:rFonts w:ascii="宋体" w:hAnsi="宋体" w:cs="宋体" w:eastAsia="宋体" w:hint="default"/>
                <w:sz w:val="21"/>
                <w:szCs w:val="21"/>
              </w:rPr>
              <w:t>EBITDA</w:t>
            </w:r>
            <w:r>
              <w:rPr>
                <w:rFonts w:ascii="宋体" w:hAnsi="宋体" w:cs="宋体" w:eastAsia="宋体" w:hint="default"/>
                <w:spacing w:val="-18"/>
                <w:sz w:val="21"/>
                <w:szCs w:val="21"/>
              </w:rPr>
              <w:t> </w:t>
            </w:r>
            <w:r>
              <w:rPr>
                <w:rFonts w:ascii="宋体" w:hAnsi="宋体" w:cs="宋体" w:eastAsia="宋体" w:hint="default"/>
                <w:sz w:val="21"/>
                <w:szCs w:val="21"/>
              </w:rPr>
              <w:t>有助于对公司经营成果分析，但它并非公认会计原则财务指标，并无统一</w:t>
            </w:r>
            <w:r>
              <w:rPr>
                <w:rFonts w:ascii="宋体" w:hAnsi="宋体" w:cs="宋体" w:eastAsia="宋体" w:hint="default"/>
                <w:w w:val="100"/>
                <w:sz w:val="21"/>
                <w:szCs w:val="21"/>
              </w:rPr>
              <w:t> </w:t>
            </w:r>
            <w:r>
              <w:rPr>
                <w:rFonts w:ascii="宋体" w:hAnsi="宋体" w:cs="宋体" w:eastAsia="宋体" w:hint="default"/>
                <w:sz w:val="21"/>
                <w:szCs w:val="21"/>
              </w:rPr>
              <w:t>定义，故未必可与其他公司的类似指标作比较。</w:t>
            </w:r>
          </w:p>
        </w:tc>
      </w:tr>
      <w:tr>
        <w:trPr>
          <w:trHeight w:val="322"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sz w:val="21"/>
              </w:rPr>
              <w:t>FTTH</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采用光纤到户的宽带接入方式。</w:t>
            </w:r>
          </w:p>
        </w:tc>
      </w:tr>
      <w:tr>
        <w:trPr>
          <w:trHeight w:val="946"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101" w:right="0"/>
              <w:jc w:val="left"/>
              <w:rPr>
                <w:rFonts w:ascii="宋体" w:hAnsi="宋体" w:cs="宋体" w:eastAsia="宋体" w:hint="default"/>
                <w:sz w:val="21"/>
                <w:szCs w:val="21"/>
              </w:rPr>
            </w:pPr>
            <w:r>
              <w:rPr>
                <w:rFonts w:ascii="宋体"/>
                <w:sz w:val="21"/>
              </w:rPr>
              <w:t>FTTX</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8"/>
              <w:jc w:val="left"/>
              <w:rPr>
                <w:rFonts w:ascii="宋体" w:hAnsi="宋体" w:cs="宋体" w:eastAsia="宋体" w:hint="default"/>
                <w:sz w:val="21"/>
                <w:szCs w:val="21"/>
              </w:rPr>
            </w:pPr>
            <w:r>
              <w:rPr>
                <w:rFonts w:ascii="宋体" w:hAnsi="宋体" w:cs="宋体" w:eastAsia="宋体" w:hint="default"/>
                <w:sz w:val="21"/>
                <w:szCs w:val="21"/>
              </w:rPr>
              <w:t>新一代的光纤用户接入网，用于连接电信运营商和终端用户。根据光纤到用户的</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z w:val="21"/>
                <w:szCs w:val="21"/>
              </w:rPr>
              <w:t>距离来分类，</w:t>
            </w:r>
            <w:r>
              <w:rPr>
                <w:rFonts w:ascii="宋体" w:hAnsi="宋体" w:cs="宋体" w:eastAsia="宋体" w:hint="default"/>
                <w:sz w:val="21"/>
                <w:szCs w:val="21"/>
              </w:rPr>
              <w:t>FTTX</w:t>
            </w:r>
            <w:r>
              <w:rPr>
                <w:rFonts w:ascii="宋体" w:hAnsi="宋体" w:cs="宋体" w:eastAsia="宋体" w:hint="default"/>
                <w:spacing w:val="-64"/>
                <w:sz w:val="21"/>
                <w:szCs w:val="21"/>
              </w:rPr>
              <w:t> </w:t>
            </w:r>
            <w:r>
              <w:rPr>
                <w:rFonts w:ascii="宋体" w:hAnsi="宋体" w:cs="宋体" w:eastAsia="宋体" w:hint="default"/>
                <w:sz w:val="21"/>
                <w:szCs w:val="21"/>
              </w:rPr>
              <w:t>可分成</w:t>
            </w:r>
            <w:r>
              <w:rPr>
                <w:rFonts w:ascii="宋体" w:hAnsi="宋体" w:cs="宋体" w:eastAsia="宋体" w:hint="default"/>
                <w:spacing w:val="-64"/>
                <w:sz w:val="21"/>
                <w:szCs w:val="21"/>
              </w:rPr>
              <w:t> </w:t>
            </w:r>
            <w:r>
              <w:rPr>
                <w:rFonts w:ascii="宋体" w:hAnsi="宋体" w:cs="宋体" w:eastAsia="宋体" w:hint="default"/>
                <w:sz w:val="21"/>
                <w:szCs w:val="21"/>
              </w:rPr>
              <w:t>FTTCab</w:t>
            </w:r>
            <w:r>
              <w:rPr>
                <w:rFonts w:ascii="宋体" w:hAnsi="宋体" w:cs="宋体" w:eastAsia="宋体" w:hint="default"/>
                <w:sz w:val="21"/>
                <w:szCs w:val="21"/>
              </w:rPr>
              <w:t>（光纤到交换箱）、</w:t>
            </w:r>
            <w:r>
              <w:rPr>
                <w:rFonts w:ascii="宋体" w:hAnsi="宋体" w:cs="宋体" w:eastAsia="宋体" w:hint="default"/>
                <w:sz w:val="21"/>
                <w:szCs w:val="21"/>
              </w:rPr>
              <w:t>FTTC</w:t>
            </w:r>
            <w:r>
              <w:rPr>
                <w:rFonts w:ascii="宋体" w:hAnsi="宋体" w:cs="宋体" w:eastAsia="宋体" w:hint="default"/>
                <w:sz w:val="21"/>
                <w:szCs w:val="21"/>
              </w:rPr>
              <w:t>（光纤到路边）、</w:t>
            </w:r>
            <w:r>
              <w:rPr>
                <w:rFonts w:ascii="宋体" w:hAnsi="宋体" w:cs="宋体" w:eastAsia="宋体" w:hint="default"/>
                <w:sz w:val="21"/>
                <w:szCs w:val="21"/>
              </w:rPr>
              <w:t>FTTB</w:t>
            </w:r>
          </w:p>
          <w:p>
            <w:pPr>
              <w:pStyle w:val="TableParagraph"/>
              <w:spacing w:line="240" w:lineRule="auto" w:before="7"/>
              <w:ind w:left="103" w:right="0"/>
              <w:jc w:val="left"/>
              <w:rPr>
                <w:rFonts w:ascii="宋体" w:hAnsi="宋体" w:cs="宋体" w:eastAsia="宋体" w:hint="default"/>
                <w:sz w:val="21"/>
                <w:szCs w:val="21"/>
              </w:rPr>
            </w:pPr>
            <w:r>
              <w:rPr>
                <w:rFonts w:ascii="宋体" w:hAnsi="宋体" w:cs="宋体" w:eastAsia="宋体" w:hint="default"/>
                <w:sz w:val="21"/>
                <w:szCs w:val="21"/>
              </w:rPr>
              <w:t>（光纤到大楼）及</w:t>
            </w:r>
            <w:r>
              <w:rPr>
                <w:rFonts w:ascii="宋体" w:hAnsi="宋体" w:cs="宋体" w:eastAsia="宋体" w:hint="default"/>
                <w:spacing w:val="-56"/>
                <w:sz w:val="21"/>
                <w:szCs w:val="21"/>
              </w:rPr>
              <w:t> </w:t>
            </w:r>
            <w:r>
              <w:rPr>
                <w:rFonts w:ascii="宋体" w:hAnsi="宋体" w:cs="宋体" w:eastAsia="宋体" w:hint="default"/>
                <w:sz w:val="21"/>
                <w:szCs w:val="21"/>
              </w:rPr>
              <w:t>FTTH</w:t>
            </w:r>
            <w:r>
              <w:rPr>
                <w:rFonts w:ascii="宋体" w:hAnsi="宋体" w:cs="宋体" w:eastAsia="宋体" w:hint="default"/>
                <w:sz w:val="21"/>
                <w:szCs w:val="21"/>
              </w:rPr>
              <w:t>（光纤到户）等服务形态。</w:t>
            </w:r>
          </w:p>
        </w:tc>
      </w:tr>
      <w:tr>
        <w:trPr>
          <w:trHeight w:val="1260"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1" w:right="0"/>
              <w:jc w:val="left"/>
              <w:rPr>
                <w:rFonts w:ascii="宋体" w:hAnsi="宋体" w:cs="宋体" w:eastAsia="宋体" w:hint="default"/>
                <w:sz w:val="21"/>
                <w:szCs w:val="21"/>
              </w:rPr>
            </w:pPr>
            <w:r>
              <w:rPr>
                <w:rFonts w:ascii="宋体"/>
                <w:sz w:val="21"/>
              </w:rPr>
              <w:t>ICT</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7"/>
              <w:jc w:val="left"/>
              <w:rPr>
                <w:rFonts w:ascii="宋体" w:hAnsi="宋体" w:cs="宋体" w:eastAsia="宋体" w:hint="default"/>
                <w:sz w:val="21"/>
                <w:szCs w:val="21"/>
              </w:rPr>
            </w:pPr>
            <w:r>
              <w:rPr>
                <w:rFonts w:ascii="宋体" w:hAnsi="宋体" w:cs="宋体" w:eastAsia="宋体" w:hint="default"/>
                <w:sz w:val="21"/>
                <w:szCs w:val="21"/>
              </w:rPr>
              <w:t>Information Communications</w:t>
            </w:r>
            <w:r>
              <w:rPr>
                <w:rFonts w:ascii="宋体" w:hAnsi="宋体" w:cs="宋体" w:eastAsia="宋体" w:hint="default"/>
                <w:spacing w:val="-21"/>
                <w:sz w:val="21"/>
                <w:szCs w:val="21"/>
              </w:rPr>
              <w:t> </w:t>
            </w:r>
            <w:r>
              <w:rPr>
                <w:rFonts w:ascii="宋体" w:hAnsi="宋体" w:cs="宋体" w:eastAsia="宋体" w:hint="default"/>
                <w:sz w:val="21"/>
                <w:szCs w:val="21"/>
              </w:rPr>
              <w:t>Technology</w:t>
            </w:r>
            <w:r>
              <w:rPr>
                <w:rFonts w:ascii="宋体" w:hAnsi="宋体" w:cs="宋体" w:eastAsia="宋体" w:hint="default"/>
                <w:sz w:val="21"/>
                <w:szCs w:val="21"/>
              </w:rPr>
              <w:t>，是信息技术与通信技术相融合而形成</w:t>
            </w:r>
            <w:r>
              <w:rPr>
                <w:rFonts w:ascii="宋体" w:hAnsi="宋体" w:cs="宋体" w:eastAsia="宋体" w:hint="default"/>
                <w:w w:val="100"/>
                <w:sz w:val="21"/>
                <w:szCs w:val="21"/>
              </w:rPr>
              <w:t> </w:t>
            </w:r>
            <w:r>
              <w:rPr>
                <w:rFonts w:ascii="宋体" w:hAnsi="宋体" w:cs="宋体" w:eastAsia="宋体" w:hint="default"/>
                <w:spacing w:val="-3"/>
                <w:sz w:val="21"/>
                <w:szCs w:val="21"/>
              </w:rPr>
              <w:t>的一个新的概念和新的技术领域。目前更多地把</w:t>
            </w:r>
            <w:r>
              <w:rPr>
                <w:rFonts w:ascii="宋体" w:hAnsi="宋体" w:cs="宋体" w:eastAsia="宋体" w:hint="default"/>
                <w:spacing w:val="-34"/>
                <w:sz w:val="21"/>
                <w:szCs w:val="21"/>
              </w:rPr>
              <w:t> </w:t>
            </w:r>
            <w:r>
              <w:rPr>
                <w:rFonts w:ascii="宋体" w:hAnsi="宋体" w:cs="宋体" w:eastAsia="宋体" w:hint="default"/>
                <w:sz w:val="21"/>
                <w:szCs w:val="21"/>
              </w:rPr>
              <w:t>ICT</w:t>
            </w:r>
            <w:r>
              <w:rPr>
                <w:rFonts w:ascii="宋体" w:hAnsi="宋体" w:cs="宋体" w:eastAsia="宋体" w:hint="default"/>
                <w:spacing w:val="-35"/>
                <w:sz w:val="21"/>
                <w:szCs w:val="21"/>
              </w:rPr>
              <w:t> </w:t>
            </w:r>
            <w:r>
              <w:rPr>
                <w:rFonts w:ascii="宋体" w:hAnsi="宋体" w:cs="宋体" w:eastAsia="宋体" w:hint="default"/>
                <w:sz w:val="21"/>
                <w:szCs w:val="21"/>
              </w:rPr>
              <w:t>作为一种向客户提供的服务，</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这种服务是</w:t>
            </w:r>
            <w:r>
              <w:rPr>
                <w:rFonts w:ascii="宋体" w:hAnsi="宋体" w:cs="宋体" w:eastAsia="宋体" w:hint="default"/>
                <w:spacing w:val="-58"/>
                <w:sz w:val="21"/>
                <w:szCs w:val="21"/>
              </w:rPr>
              <w:t> </w:t>
            </w:r>
            <w:r>
              <w:rPr>
                <w:rFonts w:ascii="宋体" w:hAnsi="宋体" w:cs="宋体" w:eastAsia="宋体" w:hint="default"/>
                <w:sz w:val="21"/>
                <w:szCs w:val="21"/>
              </w:rPr>
              <w:t>IT</w:t>
            </w:r>
            <w:r>
              <w:rPr>
                <w:rFonts w:ascii="宋体" w:hAnsi="宋体" w:cs="宋体" w:eastAsia="宋体" w:hint="default"/>
                <w:sz w:val="21"/>
                <w:szCs w:val="21"/>
              </w:rPr>
              <w:t>（信息业）与</w:t>
            </w:r>
            <w:r>
              <w:rPr>
                <w:rFonts w:ascii="宋体" w:hAnsi="宋体" w:cs="宋体" w:eastAsia="宋体" w:hint="default"/>
                <w:spacing w:val="-59"/>
                <w:sz w:val="21"/>
                <w:szCs w:val="21"/>
              </w:rPr>
              <w:t> </w:t>
            </w:r>
            <w:r>
              <w:rPr>
                <w:rFonts w:ascii="宋体" w:hAnsi="宋体" w:cs="宋体" w:eastAsia="宋体" w:hint="default"/>
                <w:sz w:val="21"/>
                <w:szCs w:val="21"/>
              </w:rPr>
              <w:t>CT</w:t>
            </w:r>
            <w:r>
              <w:rPr>
                <w:rFonts w:ascii="宋体" w:hAnsi="宋体" w:cs="宋体" w:eastAsia="宋体" w:hint="default"/>
                <w:sz w:val="21"/>
                <w:szCs w:val="21"/>
              </w:rPr>
              <w:t>（通信业）两种服务的结合和交融，通信业、电子</w:t>
            </w:r>
            <w:r>
              <w:rPr>
                <w:rFonts w:ascii="宋体" w:hAnsi="宋体" w:cs="宋体" w:eastAsia="宋体" w:hint="default"/>
                <w:w w:val="100"/>
                <w:sz w:val="21"/>
                <w:szCs w:val="21"/>
              </w:rPr>
              <w:t> </w:t>
            </w:r>
            <w:r>
              <w:rPr>
                <w:rFonts w:ascii="宋体" w:hAnsi="宋体" w:cs="宋体" w:eastAsia="宋体" w:hint="default"/>
                <w:sz w:val="21"/>
                <w:szCs w:val="21"/>
              </w:rPr>
              <w:t>信息产业、互联网、传媒业都将融合在</w:t>
            </w:r>
            <w:r>
              <w:rPr>
                <w:rFonts w:ascii="宋体" w:hAnsi="宋体" w:cs="宋体" w:eastAsia="宋体" w:hint="default"/>
                <w:spacing w:val="-53"/>
                <w:sz w:val="21"/>
                <w:szCs w:val="21"/>
              </w:rPr>
              <w:t> </w:t>
            </w:r>
            <w:r>
              <w:rPr>
                <w:rFonts w:ascii="宋体" w:hAnsi="宋体" w:cs="宋体" w:eastAsia="宋体" w:hint="default"/>
                <w:sz w:val="21"/>
                <w:szCs w:val="21"/>
              </w:rPr>
              <w:t>ICT</w:t>
            </w:r>
            <w:r>
              <w:rPr>
                <w:rFonts w:ascii="宋体" w:hAnsi="宋体" w:cs="宋体" w:eastAsia="宋体" w:hint="default"/>
                <w:spacing w:val="-54"/>
                <w:sz w:val="21"/>
                <w:szCs w:val="21"/>
              </w:rPr>
              <w:t> </w:t>
            </w:r>
            <w:r>
              <w:rPr>
                <w:rFonts w:ascii="宋体" w:hAnsi="宋体" w:cs="宋体" w:eastAsia="宋体" w:hint="default"/>
                <w:sz w:val="21"/>
                <w:szCs w:val="21"/>
              </w:rPr>
              <w:t>的范围内。</w:t>
            </w:r>
          </w:p>
        </w:tc>
      </w:tr>
      <w:tr>
        <w:trPr>
          <w:trHeight w:val="634"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sz w:val="21"/>
              </w:rPr>
              <w:t>IDC</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8"/>
              <w:jc w:val="left"/>
              <w:rPr>
                <w:rFonts w:ascii="宋体" w:hAnsi="宋体" w:cs="宋体" w:eastAsia="宋体" w:hint="default"/>
                <w:sz w:val="21"/>
                <w:szCs w:val="21"/>
              </w:rPr>
            </w:pPr>
            <w:r>
              <w:rPr>
                <w:rFonts w:ascii="宋体" w:hAnsi="宋体" w:cs="宋体" w:eastAsia="宋体" w:hint="default"/>
                <w:sz w:val="21"/>
                <w:szCs w:val="21"/>
              </w:rPr>
              <w:t>Internet</w:t>
            </w:r>
            <w:r>
              <w:rPr>
                <w:rFonts w:ascii="宋体" w:hAnsi="宋体" w:cs="宋体" w:eastAsia="宋体" w:hint="default"/>
                <w:spacing w:val="-12"/>
                <w:sz w:val="21"/>
                <w:szCs w:val="21"/>
              </w:rPr>
              <w:t> </w:t>
            </w:r>
            <w:r>
              <w:rPr>
                <w:rFonts w:ascii="宋体" w:hAnsi="宋体" w:cs="宋体" w:eastAsia="宋体" w:hint="default"/>
                <w:sz w:val="21"/>
                <w:szCs w:val="21"/>
              </w:rPr>
              <w:t>Data</w:t>
            </w:r>
            <w:r>
              <w:rPr>
                <w:rFonts w:ascii="宋体" w:hAnsi="宋体" w:cs="宋体" w:eastAsia="宋体" w:hint="default"/>
                <w:spacing w:val="-10"/>
                <w:sz w:val="21"/>
                <w:szCs w:val="21"/>
              </w:rPr>
              <w:t> </w:t>
            </w:r>
            <w:r>
              <w:rPr>
                <w:rFonts w:ascii="宋体" w:hAnsi="宋体" w:cs="宋体" w:eastAsia="宋体" w:hint="default"/>
                <w:sz w:val="21"/>
                <w:szCs w:val="21"/>
              </w:rPr>
              <w:t>Center</w:t>
            </w:r>
            <w:r>
              <w:rPr>
                <w:rFonts w:ascii="宋体" w:hAnsi="宋体" w:cs="宋体" w:eastAsia="宋体" w:hint="default"/>
                <w:sz w:val="21"/>
                <w:szCs w:val="21"/>
              </w:rPr>
              <w:t>，是基于</w:t>
            </w:r>
            <w:r>
              <w:rPr>
                <w:rFonts w:ascii="宋体" w:hAnsi="宋体" w:cs="宋体" w:eastAsia="宋体" w:hint="default"/>
                <w:spacing w:val="-54"/>
                <w:sz w:val="21"/>
                <w:szCs w:val="21"/>
              </w:rPr>
              <w:t> </w:t>
            </w:r>
            <w:r>
              <w:rPr>
                <w:rFonts w:ascii="宋体" w:hAnsi="宋体" w:cs="宋体" w:eastAsia="宋体" w:hint="default"/>
                <w:sz w:val="21"/>
                <w:szCs w:val="21"/>
              </w:rPr>
              <w:t>Internet</w:t>
            </w:r>
            <w:r>
              <w:rPr>
                <w:rFonts w:ascii="宋体" w:hAnsi="宋体" w:cs="宋体" w:eastAsia="宋体" w:hint="default"/>
                <w:spacing w:val="-55"/>
                <w:sz w:val="21"/>
                <w:szCs w:val="21"/>
              </w:rPr>
              <w:t> </w:t>
            </w:r>
            <w:r>
              <w:rPr>
                <w:rFonts w:ascii="宋体" w:hAnsi="宋体" w:cs="宋体" w:eastAsia="宋体" w:hint="default"/>
                <w:sz w:val="21"/>
                <w:szCs w:val="21"/>
              </w:rPr>
              <w:t>网络，为集中式收集、存储、处理和发</w:t>
            </w:r>
            <w:r>
              <w:rPr>
                <w:rFonts w:ascii="宋体" w:hAnsi="宋体" w:cs="宋体" w:eastAsia="宋体" w:hint="default"/>
                <w:w w:val="100"/>
                <w:sz w:val="21"/>
                <w:szCs w:val="21"/>
              </w:rPr>
              <w:t> </w:t>
            </w:r>
            <w:r>
              <w:rPr>
                <w:rFonts w:ascii="宋体" w:hAnsi="宋体" w:cs="宋体" w:eastAsia="宋体" w:hint="default"/>
                <w:sz w:val="21"/>
                <w:szCs w:val="21"/>
              </w:rPr>
              <w:t>送数据的设备提供运行维护的设施基地并提供相关的服务。</w:t>
            </w:r>
          </w:p>
        </w:tc>
      </w:tr>
      <w:tr>
        <w:trPr>
          <w:trHeight w:val="946"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sz w:val="21"/>
              </w:rPr>
              <w:t>LTE</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81"/>
              <w:jc w:val="both"/>
              <w:rPr>
                <w:rFonts w:ascii="宋体" w:hAnsi="宋体" w:cs="宋体" w:eastAsia="宋体" w:hint="default"/>
                <w:sz w:val="21"/>
                <w:szCs w:val="21"/>
              </w:rPr>
            </w:pPr>
            <w:r>
              <w:rPr>
                <w:rFonts w:ascii="宋体" w:hAnsi="宋体" w:cs="宋体" w:eastAsia="宋体" w:hint="default"/>
                <w:sz w:val="21"/>
                <w:szCs w:val="21"/>
              </w:rPr>
              <w:t>Long</w:t>
            </w:r>
            <w:r>
              <w:rPr>
                <w:rFonts w:ascii="宋体" w:hAnsi="宋体" w:cs="宋体" w:eastAsia="宋体" w:hint="default"/>
                <w:spacing w:val="-37"/>
                <w:sz w:val="21"/>
                <w:szCs w:val="21"/>
              </w:rPr>
              <w:t> </w:t>
            </w:r>
            <w:r>
              <w:rPr>
                <w:rFonts w:ascii="宋体" w:hAnsi="宋体" w:cs="宋体" w:eastAsia="宋体" w:hint="default"/>
                <w:sz w:val="21"/>
                <w:szCs w:val="21"/>
              </w:rPr>
              <w:t>Term</w:t>
            </w:r>
            <w:r>
              <w:rPr>
                <w:rFonts w:ascii="宋体" w:hAnsi="宋体" w:cs="宋体" w:eastAsia="宋体" w:hint="default"/>
                <w:spacing w:val="-37"/>
                <w:sz w:val="21"/>
                <w:szCs w:val="21"/>
              </w:rPr>
              <w:t> </w:t>
            </w:r>
            <w:r>
              <w:rPr>
                <w:rFonts w:ascii="宋体" w:hAnsi="宋体" w:cs="宋体" w:eastAsia="宋体" w:hint="default"/>
                <w:sz w:val="21"/>
                <w:szCs w:val="21"/>
              </w:rPr>
              <w:t>Evolution</w:t>
            </w:r>
            <w:r>
              <w:rPr>
                <w:rFonts w:ascii="宋体" w:hAnsi="宋体" w:cs="宋体" w:eastAsia="宋体" w:hint="default"/>
                <w:sz w:val="21"/>
                <w:szCs w:val="21"/>
              </w:rPr>
              <w:t>，是一种由国际标准化组织</w:t>
            </w:r>
            <w:r>
              <w:rPr>
                <w:rFonts w:ascii="宋体" w:hAnsi="宋体" w:cs="宋体" w:eastAsia="宋体" w:hint="default"/>
                <w:spacing w:val="-54"/>
                <w:sz w:val="21"/>
                <w:szCs w:val="21"/>
              </w:rPr>
              <w:t> </w:t>
            </w:r>
            <w:r>
              <w:rPr>
                <w:rFonts w:ascii="宋体" w:hAnsi="宋体" w:cs="宋体" w:eastAsia="宋体" w:hint="default"/>
                <w:sz w:val="21"/>
                <w:szCs w:val="21"/>
              </w:rPr>
              <w:t>3GPP</w:t>
            </w:r>
            <w:r>
              <w:rPr>
                <w:rFonts w:ascii="宋体" w:hAnsi="宋体" w:cs="宋体" w:eastAsia="宋体" w:hint="default"/>
                <w:spacing w:val="-54"/>
                <w:sz w:val="21"/>
                <w:szCs w:val="21"/>
              </w:rPr>
              <w:t> </w:t>
            </w:r>
            <w:r>
              <w:rPr>
                <w:rFonts w:ascii="宋体" w:hAnsi="宋体" w:cs="宋体" w:eastAsia="宋体" w:hint="default"/>
                <w:sz w:val="21"/>
                <w:szCs w:val="21"/>
              </w:rPr>
              <w:t>主导的</w:t>
            </w:r>
            <w:r>
              <w:rPr>
                <w:rFonts w:ascii="宋体" w:hAnsi="宋体" w:cs="宋体" w:eastAsia="宋体" w:hint="default"/>
                <w:spacing w:val="-53"/>
                <w:sz w:val="21"/>
                <w:szCs w:val="21"/>
              </w:rPr>
              <w:t> </w:t>
            </w:r>
            <w:r>
              <w:rPr>
                <w:rFonts w:ascii="宋体" w:hAnsi="宋体" w:cs="宋体" w:eastAsia="宋体" w:hint="default"/>
                <w:sz w:val="21"/>
                <w:szCs w:val="21"/>
              </w:rPr>
              <w:t>3G</w:t>
            </w:r>
            <w:r>
              <w:rPr>
                <w:rFonts w:ascii="宋体" w:hAnsi="宋体" w:cs="宋体" w:eastAsia="宋体" w:hint="default"/>
                <w:spacing w:val="-54"/>
                <w:sz w:val="21"/>
                <w:szCs w:val="21"/>
              </w:rPr>
              <w:t> </w:t>
            </w:r>
            <w:r>
              <w:rPr>
                <w:rFonts w:ascii="宋体" w:hAnsi="宋体" w:cs="宋体" w:eastAsia="宋体" w:hint="default"/>
                <w:sz w:val="21"/>
                <w:szCs w:val="21"/>
              </w:rPr>
              <w:t>演进技术，是</w:t>
            </w:r>
            <w:r>
              <w:rPr>
                <w:rFonts w:ascii="宋体" w:hAnsi="宋体" w:cs="宋体" w:eastAsia="宋体" w:hint="default"/>
                <w:spacing w:val="-54"/>
                <w:sz w:val="21"/>
                <w:szCs w:val="21"/>
              </w:rPr>
              <w:t> </w:t>
            </w:r>
            <w:r>
              <w:rPr>
                <w:rFonts w:ascii="宋体" w:hAnsi="宋体" w:cs="宋体" w:eastAsia="宋体" w:hint="default"/>
                <w:sz w:val="21"/>
                <w:szCs w:val="21"/>
              </w:rPr>
              <w:t>4G</w:t>
            </w:r>
            <w:r>
              <w:rPr>
                <w:rFonts w:ascii="宋体" w:hAnsi="宋体" w:cs="宋体" w:eastAsia="宋体" w:hint="default"/>
                <w:w w:val="100"/>
                <w:sz w:val="21"/>
                <w:szCs w:val="21"/>
              </w:rPr>
              <w:t> </w:t>
            </w:r>
            <w:r>
              <w:rPr>
                <w:rFonts w:ascii="宋体" w:hAnsi="宋体" w:cs="宋体" w:eastAsia="宋体" w:hint="default"/>
                <w:sz w:val="21"/>
                <w:szCs w:val="21"/>
              </w:rPr>
              <w:t>时代的无线接入技术，采用了</w:t>
            </w:r>
            <w:r>
              <w:rPr>
                <w:rFonts w:ascii="宋体" w:hAnsi="宋体" w:cs="宋体" w:eastAsia="宋体" w:hint="default"/>
                <w:spacing w:val="-53"/>
                <w:sz w:val="21"/>
                <w:szCs w:val="21"/>
              </w:rPr>
              <w:t> </w:t>
            </w:r>
            <w:r>
              <w:rPr>
                <w:rFonts w:ascii="宋体" w:hAnsi="宋体" w:cs="宋体" w:eastAsia="宋体" w:hint="default"/>
                <w:sz w:val="21"/>
                <w:szCs w:val="21"/>
              </w:rPr>
              <w:t>OFDM</w:t>
            </w:r>
            <w:r>
              <w:rPr>
                <w:rFonts w:ascii="宋体" w:hAnsi="宋体" w:cs="宋体" w:eastAsia="宋体" w:hint="default"/>
                <w:spacing w:val="-56"/>
                <w:sz w:val="21"/>
                <w:szCs w:val="21"/>
              </w:rPr>
              <w:t> </w:t>
            </w:r>
            <w:r>
              <w:rPr>
                <w:rFonts w:ascii="宋体" w:hAnsi="宋体" w:cs="宋体" w:eastAsia="宋体" w:hint="default"/>
                <w:sz w:val="21"/>
                <w:szCs w:val="21"/>
              </w:rPr>
              <w:t>和</w:t>
            </w:r>
            <w:r>
              <w:rPr>
                <w:rFonts w:ascii="宋体" w:hAnsi="宋体" w:cs="宋体" w:eastAsia="宋体" w:hint="default"/>
                <w:spacing w:val="-54"/>
                <w:sz w:val="21"/>
                <w:szCs w:val="21"/>
              </w:rPr>
              <w:t> </w:t>
            </w:r>
            <w:r>
              <w:rPr>
                <w:rFonts w:ascii="宋体" w:hAnsi="宋体" w:cs="宋体" w:eastAsia="宋体" w:hint="default"/>
                <w:sz w:val="21"/>
                <w:szCs w:val="21"/>
              </w:rPr>
              <w:t>MIMO</w:t>
            </w:r>
            <w:r>
              <w:rPr>
                <w:rFonts w:ascii="宋体" w:hAnsi="宋体" w:cs="宋体" w:eastAsia="宋体" w:hint="default"/>
                <w:spacing w:val="-54"/>
                <w:sz w:val="21"/>
                <w:szCs w:val="21"/>
              </w:rPr>
              <w:t> </w:t>
            </w:r>
            <w:r>
              <w:rPr>
                <w:rFonts w:ascii="宋体" w:hAnsi="宋体" w:cs="宋体" w:eastAsia="宋体" w:hint="default"/>
                <w:sz w:val="21"/>
                <w:szCs w:val="21"/>
              </w:rPr>
              <w:t>等技术以及比</w:t>
            </w:r>
            <w:r>
              <w:rPr>
                <w:rFonts w:ascii="宋体" w:hAnsi="宋体" w:cs="宋体" w:eastAsia="宋体" w:hint="default"/>
                <w:spacing w:val="-54"/>
                <w:sz w:val="21"/>
                <w:szCs w:val="21"/>
              </w:rPr>
              <w:t> </w:t>
            </w:r>
            <w:r>
              <w:rPr>
                <w:rFonts w:ascii="宋体" w:hAnsi="宋体" w:cs="宋体" w:eastAsia="宋体" w:hint="default"/>
                <w:sz w:val="21"/>
                <w:szCs w:val="21"/>
              </w:rPr>
              <w:t>3G</w:t>
            </w:r>
            <w:r>
              <w:rPr>
                <w:rFonts w:ascii="宋体" w:hAnsi="宋体" w:cs="宋体" w:eastAsia="宋体" w:hint="default"/>
                <w:spacing w:val="-55"/>
                <w:sz w:val="21"/>
                <w:szCs w:val="21"/>
              </w:rPr>
              <w:t> </w:t>
            </w:r>
            <w:r>
              <w:rPr>
                <w:rFonts w:ascii="宋体" w:hAnsi="宋体" w:cs="宋体" w:eastAsia="宋体" w:hint="default"/>
                <w:sz w:val="21"/>
                <w:szCs w:val="21"/>
              </w:rPr>
              <w:t>更灵活的频谱带宽，</w:t>
            </w:r>
            <w:r>
              <w:rPr>
                <w:rFonts w:ascii="宋体" w:hAnsi="宋体" w:cs="宋体" w:eastAsia="宋体" w:hint="default"/>
                <w:w w:val="100"/>
                <w:sz w:val="21"/>
                <w:szCs w:val="21"/>
              </w:rPr>
              <w:t> </w:t>
            </w:r>
            <w:r>
              <w:rPr>
                <w:rFonts w:ascii="宋体" w:hAnsi="宋体" w:cs="宋体" w:eastAsia="宋体" w:hint="default"/>
                <w:sz w:val="21"/>
                <w:szCs w:val="21"/>
              </w:rPr>
              <w:t>实现峰值速率</w:t>
            </w:r>
            <w:r>
              <w:rPr>
                <w:rFonts w:ascii="宋体" w:hAnsi="宋体" w:cs="宋体" w:eastAsia="宋体" w:hint="default"/>
                <w:spacing w:val="-55"/>
                <w:sz w:val="21"/>
                <w:szCs w:val="21"/>
              </w:rPr>
              <w:t> </w:t>
            </w:r>
            <w:r>
              <w:rPr>
                <w:rFonts w:ascii="宋体" w:hAnsi="宋体" w:cs="宋体" w:eastAsia="宋体" w:hint="default"/>
                <w:sz w:val="21"/>
                <w:szCs w:val="21"/>
              </w:rPr>
              <w:t>100</w:t>
            </w:r>
            <w:r>
              <w:rPr>
                <w:rFonts w:ascii="宋体" w:hAnsi="宋体" w:cs="宋体" w:eastAsia="宋体" w:hint="default"/>
                <w:sz w:val="21"/>
                <w:szCs w:val="21"/>
              </w:rPr>
              <w:t>～</w:t>
            </w:r>
            <w:r>
              <w:rPr>
                <w:rFonts w:ascii="宋体" w:hAnsi="宋体" w:cs="宋体" w:eastAsia="宋体" w:hint="default"/>
                <w:sz w:val="21"/>
                <w:szCs w:val="21"/>
              </w:rPr>
              <w:t>150Mbps</w:t>
            </w:r>
            <w:r>
              <w:rPr>
                <w:rFonts w:ascii="宋体" w:hAnsi="宋体" w:cs="宋体" w:eastAsia="宋体" w:hint="default"/>
                <w:sz w:val="21"/>
                <w:szCs w:val="21"/>
              </w:rPr>
              <w:t>（</w:t>
            </w:r>
            <w:r>
              <w:rPr>
                <w:rFonts w:ascii="宋体" w:hAnsi="宋体" w:cs="宋体" w:eastAsia="宋体" w:hint="default"/>
                <w:sz w:val="21"/>
                <w:szCs w:val="21"/>
              </w:rPr>
              <w:t>20MHz</w:t>
            </w:r>
            <w:r>
              <w:rPr>
                <w:rFonts w:ascii="宋体" w:hAnsi="宋体" w:cs="宋体" w:eastAsia="宋体" w:hint="default"/>
                <w:spacing w:val="-58"/>
                <w:sz w:val="21"/>
                <w:szCs w:val="21"/>
              </w:rPr>
              <w:t> </w:t>
            </w:r>
            <w:r>
              <w:rPr>
                <w:rFonts w:ascii="宋体" w:hAnsi="宋体" w:cs="宋体" w:eastAsia="宋体" w:hint="default"/>
                <w:sz w:val="21"/>
                <w:szCs w:val="21"/>
              </w:rPr>
              <w:t>带宽下）。</w:t>
            </w:r>
          </w:p>
        </w:tc>
      </w:tr>
      <w:tr>
        <w:trPr>
          <w:trHeight w:val="634"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sz w:val="21"/>
              </w:rPr>
              <w:t>LTE FDD</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3"/>
              <w:jc w:val="left"/>
              <w:rPr>
                <w:rFonts w:ascii="宋体" w:hAnsi="宋体" w:cs="宋体" w:eastAsia="宋体" w:hint="default"/>
                <w:sz w:val="21"/>
                <w:szCs w:val="21"/>
              </w:rPr>
            </w:pPr>
            <w:r>
              <w:rPr>
                <w:rFonts w:ascii="宋体" w:hAnsi="宋体" w:cs="宋体" w:eastAsia="宋体" w:hint="default"/>
                <w:sz w:val="21"/>
                <w:szCs w:val="21"/>
              </w:rPr>
              <w:t>是</w:t>
            </w:r>
            <w:r>
              <w:rPr>
                <w:rFonts w:ascii="宋体" w:hAnsi="宋体" w:cs="宋体" w:eastAsia="宋体" w:hint="default"/>
                <w:spacing w:val="-49"/>
                <w:sz w:val="21"/>
                <w:szCs w:val="21"/>
              </w:rPr>
              <w:t> </w:t>
            </w:r>
            <w:r>
              <w:rPr>
                <w:rFonts w:ascii="宋体" w:hAnsi="宋体" w:cs="宋体" w:eastAsia="宋体" w:hint="default"/>
                <w:sz w:val="21"/>
                <w:szCs w:val="21"/>
              </w:rPr>
              <w:t>FDD</w:t>
            </w:r>
            <w:r>
              <w:rPr>
                <w:rFonts w:ascii="宋体" w:hAnsi="宋体" w:cs="宋体" w:eastAsia="宋体" w:hint="default"/>
                <w:spacing w:val="-49"/>
                <w:sz w:val="21"/>
                <w:szCs w:val="21"/>
              </w:rPr>
              <w:t> </w:t>
            </w:r>
            <w:r>
              <w:rPr>
                <w:rFonts w:ascii="宋体" w:hAnsi="宋体" w:cs="宋体" w:eastAsia="宋体" w:hint="default"/>
                <w:sz w:val="21"/>
                <w:szCs w:val="21"/>
              </w:rPr>
              <w:t>版本的</w:t>
            </w:r>
            <w:r>
              <w:rPr>
                <w:rFonts w:ascii="宋体" w:hAnsi="宋体" w:cs="宋体" w:eastAsia="宋体" w:hint="default"/>
                <w:spacing w:val="-49"/>
                <w:sz w:val="21"/>
                <w:szCs w:val="21"/>
              </w:rPr>
              <w:t> </w:t>
            </w:r>
            <w:r>
              <w:rPr>
                <w:rFonts w:ascii="宋体" w:hAnsi="宋体" w:cs="宋体" w:eastAsia="宋体" w:hint="default"/>
                <w:sz w:val="21"/>
                <w:szCs w:val="21"/>
              </w:rPr>
              <w:t>LTE</w:t>
            </w:r>
            <w:r>
              <w:rPr>
                <w:rFonts w:ascii="宋体" w:hAnsi="宋体" w:cs="宋体" w:eastAsia="宋体" w:hint="default"/>
                <w:spacing w:val="-52"/>
                <w:sz w:val="21"/>
                <w:szCs w:val="21"/>
              </w:rPr>
              <w:t> </w:t>
            </w:r>
            <w:r>
              <w:rPr>
                <w:rFonts w:ascii="宋体" w:hAnsi="宋体" w:cs="宋体" w:eastAsia="宋体" w:hint="default"/>
                <w:sz w:val="21"/>
                <w:szCs w:val="21"/>
              </w:rPr>
              <w:t>标准。</w:t>
            </w:r>
            <w:r>
              <w:rPr>
                <w:rFonts w:ascii="宋体" w:hAnsi="宋体" w:cs="宋体" w:eastAsia="宋体" w:hint="default"/>
                <w:sz w:val="21"/>
                <w:szCs w:val="21"/>
              </w:rPr>
              <w:t>LTE</w:t>
            </w:r>
            <w:r>
              <w:rPr>
                <w:rFonts w:ascii="宋体" w:hAnsi="宋体" w:cs="宋体" w:eastAsia="宋体" w:hint="default"/>
                <w:spacing w:val="-49"/>
                <w:sz w:val="21"/>
                <w:szCs w:val="21"/>
              </w:rPr>
              <w:t> </w:t>
            </w:r>
            <w:r>
              <w:rPr>
                <w:rFonts w:ascii="宋体" w:hAnsi="宋体" w:cs="宋体" w:eastAsia="宋体" w:hint="default"/>
                <w:sz w:val="21"/>
                <w:szCs w:val="21"/>
              </w:rPr>
              <w:t>是</w:t>
            </w:r>
            <w:r>
              <w:rPr>
                <w:rFonts w:ascii="宋体" w:hAnsi="宋体" w:cs="宋体" w:eastAsia="宋体" w:hint="default"/>
                <w:spacing w:val="-49"/>
                <w:sz w:val="21"/>
                <w:szCs w:val="21"/>
              </w:rPr>
              <w:t> </w:t>
            </w:r>
            <w:r>
              <w:rPr>
                <w:rFonts w:ascii="宋体" w:hAnsi="宋体" w:cs="宋体" w:eastAsia="宋体" w:hint="default"/>
                <w:sz w:val="21"/>
                <w:szCs w:val="21"/>
              </w:rPr>
              <w:t>3GPP</w:t>
            </w:r>
            <w:r>
              <w:rPr>
                <w:rFonts w:ascii="宋体" w:hAnsi="宋体" w:cs="宋体" w:eastAsia="宋体" w:hint="default"/>
                <w:spacing w:val="-52"/>
                <w:sz w:val="21"/>
                <w:szCs w:val="21"/>
              </w:rPr>
              <w:t> </w:t>
            </w:r>
            <w:r>
              <w:rPr>
                <w:rFonts w:ascii="宋体" w:hAnsi="宋体" w:cs="宋体" w:eastAsia="宋体" w:hint="default"/>
                <w:sz w:val="21"/>
                <w:szCs w:val="21"/>
              </w:rPr>
              <w:t>组织制定的</w:t>
            </w:r>
            <w:r>
              <w:rPr>
                <w:rFonts w:ascii="宋体" w:hAnsi="宋体" w:cs="宋体" w:eastAsia="宋体" w:hint="default"/>
                <w:spacing w:val="-52"/>
                <w:sz w:val="21"/>
                <w:szCs w:val="21"/>
              </w:rPr>
              <w:t> </w:t>
            </w:r>
            <w:r>
              <w:rPr>
                <w:rFonts w:ascii="宋体" w:hAnsi="宋体" w:cs="宋体" w:eastAsia="宋体" w:hint="default"/>
                <w:sz w:val="21"/>
                <w:szCs w:val="21"/>
              </w:rPr>
              <w:t>4G</w:t>
            </w:r>
            <w:r>
              <w:rPr>
                <w:rFonts w:ascii="宋体" w:hAnsi="宋体" w:cs="宋体" w:eastAsia="宋体" w:hint="default"/>
                <w:spacing w:val="-52"/>
                <w:sz w:val="21"/>
                <w:szCs w:val="21"/>
              </w:rPr>
              <w:t> </w:t>
            </w:r>
            <w:r>
              <w:rPr>
                <w:rFonts w:ascii="宋体" w:hAnsi="宋体" w:cs="宋体" w:eastAsia="宋体" w:hint="default"/>
                <w:sz w:val="21"/>
                <w:szCs w:val="21"/>
              </w:rPr>
              <w:t>技术标准，基于</w:t>
            </w:r>
            <w:r>
              <w:rPr>
                <w:rFonts w:ascii="宋体" w:hAnsi="宋体" w:cs="宋体" w:eastAsia="宋体" w:hint="default"/>
                <w:spacing w:val="-49"/>
                <w:sz w:val="21"/>
                <w:szCs w:val="21"/>
              </w:rPr>
              <w:t> </w:t>
            </w:r>
            <w:r>
              <w:rPr>
                <w:rFonts w:ascii="宋体" w:hAnsi="宋体" w:cs="宋体" w:eastAsia="宋体" w:hint="default"/>
                <w:sz w:val="21"/>
                <w:szCs w:val="21"/>
              </w:rPr>
              <w:t>OFDM</w:t>
            </w:r>
            <w:r>
              <w:rPr>
                <w:rFonts w:ascii="宋体" w:hAnsi="宋体" w:cs="宋体" w:eastAsia="宋体" w:hint="default"/>
                <w:spacing w:val="-49"/>
                <w:sz w:val="21"/>
                <w:szCs w:val="21"/>
              </w:rPr>
              <w:t> </w:t>
            </w:r>
            <w:r>
              <w:rPr>
                <w:rFonts w:ascii="宋体" w:hAnsi="宋体" w:cs="宋体" w:eastAsia="宋体" w:hint="default"/>
                <w:spacing w:val="-3"/>
                <w:sz w:val="21"/>
                <w:szCs w:val="21"/>
              </w:rPr>
              <w:t>技术，</w:t>
            </w:r>
            <w:r>
              <w:rPr>
                <w:rFonts w:ascii="宋体" w:hAnsi="宋体" w:cs="宋体" w:eastAsia="宋体" w:hint="default"/>
                <w:spacing w:val="-3"/>
                <w:w w:val="100"/>
                <w:sz w:val="21"/>
                <w:szCs w:val="21"/>
              </w:rPr>
              <w:t> </w:t>
            </w:r>
            <w:r>
              <w:rPr>
                <w:rFonts w:ascii="宋体" w:hAnsi="宋体" w:cs="宋体" w:eastAsia="宋体" w:hint="default"/>
                <w:sz w:val="21"/>
                <w:szCs w:val="21"/>
              </w:rPr>
              <w:t>FDD</w:t>
            </w:r>
            <w:r>
              <w:rPr>
                <w:rFonts w:ascii="宋体" w:hAnsi="宋体" w:cs="宋体" w:eastAsia="宋体" w:hint="default"/>
                <w:spacing w:val="-51"/>
                <w:sz w:val="21"/>
                <w:szCs w:val="21"/>
              </w:rPr>
              <w:t> </w:t>
            </w:r>
            <w:r>
              <w:rPr>
                <w:rFonts w:ascii="宋体" w:hAnsi="宋体" w:cs="宋体" w:eastAsia="宋体" w:hint="default"/>
                <w:sz w:val="21"/>
                <w:szCs w:val="21"/>
              </w:rPr>
              <w:t>表示频分双工。</w:t>
            </w:r>
          </w:p>
        </w:tc>
      </w:tr>
      <w:tr>
        <w:trPr>
          <w:trHeight w:val="634"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sz w:val="21"/>
              </w:rPr>
              <w:t>NB-IoT</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4"/>
              <w:jc w:val="left"/>
              <w:rPr>
                <w:rFonts w:ascii="宋体" w:hAnsi="宋体" w:cs="宋体" w:eastAsia="宋体" w:hint="default"/>
                <w:sz w:val="21"/>
                <w:szCs w:val="21"/>
              </w:rPr>
            </w:pPr>
            <w:r>
              <w:rPr>
                <w:rFonts w:ascii="宋体" w:hAnsi="宋体" w:cs="宋体" w:eastAsia="宋体" w:hint="default"/>
                <w:sz w:val="21"/>
                <w:szCs w:val="21"/>
              </w:rPr>
              <w:t>Narrow</w:t>
            </w:r>
            <w:r>
              <w:rPr>
                <w:rFonts w:ascii="宋体" w:hAnsi="宋体" w:cs="宋体" w:eastAsia="宋体" w:hint="default"/>
                <w:spacing w:val="18"/>
                <w:sz w:val="21"/>
                <w:szCs w:val="21"/>
              </w:rPr>
              <w:t> </w:t>
            </w:r>
            <w:r>
              <w:rPr>
                <w:rFonts w:ascii="宋体" w:hAnsi="宋体" w:cs="宋体" w:eastAsia="宋体" w:hint="default"/>
                <w:sz w:val="21"/>
                <w:szCs w:val="21"/>
              </w:rPr>
              <w:t>Band</w:t>
            </w:r>
            <w:r>
              <w:rPr>
                <w:rFonts w:ascii="宋体" w:hAnsi="宋体" w:cs="宋体" w:eastAsia="宋体" w:hint="default"/>
                <w:spacing w:val="18"/>
                <w:sz w:val="21"/>
                <w:szCs w:val="21"/>
              </w:rPr>
              <w:t> </w:t>
            </w:r>
            <w:r>
              <w:rPr>
                <w:rFonts w:ascii="宋体" w:hAnsi="宋体" w:cs="宋体" w:eastAsia="宋体" w:hint="default"/>
                <w:sz w:val="21"/>
                <w:szCs w:val="21"/>
              </w:rPr>
              <w:t>Internet</w:t>
            </w:r>
            <w:r>
              <w:rPr>
                <w:rFonts w:ascii="宋体" w:hAnsi="宋体" w:cs="宋体" w:eastAsia="宋体" w:hint="default"/>
                <w:spacing w:val="18"/>
                <w:sz w:val="21"/>
                <w:szCs w:val="21"/>
              </w:rPr>
              <w:t> </w:t>
            </w:r>
            <w:r>
              <w:rPr>
                <w:rFonts w:ascii="宋体" w:hAnsi="宋体" w:cs="宋体" w:eastAsia="宋体" w:hint="default"/>
                <w:sz w:val="21"/>
                <w:szCs w:val="21"/>
              </w:rPr>
              <w:t>of</w:t>
            </w:r>
            <w:r>
              <w:rPr>
                <w:rFonts w:ascii="宋体" w:hAnsi="宋体" w:cs="宋体" w:eastAsia="宋体" w:hint="default"/>
                <w:spacing w:val="18"/>
                <w:sz w:val="21"/>
                <w:szCs w:val="21"/>
              </w:rPr>
              <w:t> </w:t>
            </w:r>
            <w:r>
              <w:rPr>
                <w:rFonts w:ascii="宋体" w:hAnsi="宋体" w:cs="宋体" w:eastAsia="宋体" w:hint="default"/>
                <w:sz w:val="21"/>
                <w:szCs w:val="21"/>
              </w:rPr>
              <w:t>Things</w:t>
            </w:r>
            <w:r>
              <w:rPr>
                <w:rFonts w:ascii="宋体" w:hAnsi="宋体" w:cs="宋体" w:eastAsia="宋体" w:hint="default"/>
                <w:sz w:val="21"/>
                <w:szCs w:val="21"/>
              </w:rPr>
              <w:t>，是一种基于授权频谱提供的低功耗蜂窝连接</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技术。</w:t>
            </w:r>
          </w:p>
        </w:tc>
      </w:tr>
      <w:tr>
        <w:trPr>
          <w:trHeight w:val="634"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sz w:val="21"/>
              </w:rPr>
              <w:t>NFV</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6"/>
              <w:jc w:val="left"/>
              <w:rPr>
                <w:rFonts w:ascii="宋体" w:hAnsi="宋体" w:cs="宋体" w:eastAsia="宋体" w:hint="default"/>
                <w:sz w:val="21"/>
                <w:szCs w:val="21"/>
              </w:rPr>
            </w:pPr>
            <w:r>
              <w:rPr>
                <w:rFonts w:ascii="宋体" w:hAnsi="宋体" w:cs="宋体" w:eastAsia="宋体" w:hint="default"/>
                <w:sz w:val="21"/>
                <w:szCs w:val="21"/>
              </w:rPr>
              <w:t>Network Function</w:t>
            </w:r>
            <w:r>
              <w:rPr>
                <w:rFonts w:ascii="宋体" w:hAnsi="宋体" w:cs="宋体" w:eastAsia="宋体" w:hint="default"/>
                <w:spacing w:val="-19"/>
                <w:sz w:val="21"/>
                <w:szCs w:val="21"/>
              </w:rPr>
              <w:t> </w:t>
            </w:r>
            <w:r>
              <w:rPr>
                <w:rFonts w:ascii="宋体" w:hAnsi="宋体" w:cs="宋体" w:eastAsia="宋体" w:hint="default"/>
                <w:sz w:val="21"/>
                <w:szCs w:val="21"/>
              </w:rPr>
              <w:t>Virtualization</w:t>
            </w:r>
            <w:r>
              <w:rPr>
                <w:rFonts w:ascii="宋体" w:hAnsi="宋体" w:cs="宋体" w:eastAsia="宋体" w:hint="default"/>
                <w:sz w:val="21"/>
                <w:szCs w:val="21"/>
              </w:rPr>
              <w:t>，即网络功能虚拟化，指一种利用虚拟化技术</w:t>
            </w:r>
            <w:r>
              <w:rPr>
                <w:rFonts w:ascii="宋体" w:hAnsi="宋体" w:cs="宋体" w:eastAsia="宋体" w:hint="default"/>
                <w:w w:val="100"/>
                <w:sz w:val="21"/>
                <w:szCs w:val="21"/>
              </w:rPr>
              <w:t> </w:t>
            </w:r>
            <w:r>
              <w:rPr>
                <w:rFonts w:ascii="宋体" w:hAnsi="宋体" w:cs="宋体" w:eastAsia="宋体" w:hint="default"/>
                <w:sz w:val="21"/>
                <w:szCs w:val="21"/>
              </w:rPr>
              <w:t>提供各类网元功能的网络架构。</w:t>
            </w:r>
          </w:p>
        </w:tc>
      </w:tr>
      <w:tr>
        <w:trPr>
          <w:trHeight w:val="636"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1" w:right="0"/>
              <w:jc w:val="left"/>
              <w:rPr>
                <w:rFonts w:ascii="宋体" w:hAnsi="宋体" w:cs="宋体" w:eastAsia="宋体" w:hint="default"/>
                <w:sz w:val="21"/>
                <w:szCs w:val="21"/>
              </w:rPr>
            </w:pPr>
            <w:r>
              <w:rPr>
                <w:rFonts w:ascii="宋体"/>
                <w:sz w:val="21"/>
              </w:rPr>
              <w:t>NPS</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6"/>
              <w:jc w:val="left"/>
              <w:rPr>
                <w:rFonts w:ascii="宋体" w:hAnsi="宋体" w:cs="宋体" w:eastAsia="宋体" w:hint="default"/>
                <w:sz w:val="21"/>
                <w:szCs w:val="21"/>
              </w:rPr>
            </w:pPr>
            <w:r>
              <w:rPr>
                <w:rFonts w:ascii="宋体" w:hAnsi="宋体" w:cs="宋体" w:eastAsia="宋体" w:hint="default"/>
                <w:sz w:val="21"/>
                <w:szCs w:val="21"/>
              </w:rPr>
              <w:t>Net</w:t>
            </w:r>
            <w:r>
              <w:rPr>
                <w:rFonts w:ascii="宋体" w:hAnsi="宋体" w:cs="宋体" w:eastAsia="宋体" w:hint="default"/>
                <w:spacing w:val="40"/>
                <w:sz w:val="21"/>
                <w:szCs w:val="21"/>
              </w:rPr>
              <w:t> </w:t>
            </w:r>
            <w:r>
              <w:rPr>
                <w:rFonts w:ascii="宋体" w:hAnsi="宋体" w:cs="宋体" w:eastAsia="宋体" w:hint="default"/>
                <w:sz w:val="21"/>
                <w:szCs w:val="21"/>
              </w:rPr>
              <w:t>Promoter</w:t>
            </w:r>
            <w:r>
              <w:rPr>
                <w:rFonts w:ascii="宋体" w:hAnsi="宋体" w:cs="宋体" w:eastAsia="宋体" w:hint="default"/>
                <w:spacing w:val="40"/>
                <w:sz w:val="21"/>
                <w:szCs w:val="21"/>
              </w:rPr>
              <w:t> </w:t>
            </w:r>
            <w:r>
              <w:rPr>
                <w:rFonts w:ascii="宋体" w:hAnsi="宋体" w:cs="宋体" w:eastAsia="宋体" w:hint="default"/>
                <w:sz w:val="21"/>
                <w:szCs w:val="21"/>
              </w:rPr>
              <w:t>Score</w:t>
            </w:r>
            <w:r>
              <w:rPr>
                <w:rFonts w:ascii="宋体" w:hAnsi="宋体" w:cs="宋体" w:eastAsia="宋体" w:hint="default"/>
                <w:sz w:val="21"/>
                <w:szCs w:val="21"/>
              </w:rPr>
              <w:t>，简称净推荐值，度量“客户向他人推荐某品牌</w:t>
            </w:r>
            <w:r>
              <w:rPr>
                <w:rFonts w:ascii="宋体" w:hAnsi="宋体" w:cs="宋体" w:eastAsia="宋体" w:hint="default"/>
                <w:sz w:val="21"/>
                <w:szCs w:val="21"/>
              </w:rPr>
              <w:t>/</w:t>
            </w:r>
            <w:r>
              <w:rPr>
                <w:rFonts w:ascii="宋体" w:hAnsi="宋体" w:cs="宋体" w:eastAsia="宋体" w:hint="default"/>
                <w:sz w:val="21"/>
                <w:szCs w:val="21"/>
              </w:rPr>
              <w:t>产品</w:t>
            </w:r>
            <w:r>
              <w:rPr>
                <w:rFonts w:ascii="宋体" w:hAnsi="宋体" w:cs="宋体" w:eastAsia="宋体" w:hint="default"/>
                <w:sz w:val="21"/>
                <w:szCs w:val="21"/>
              </w:rPr>
              <w:t>/</w:t>
            </w:r>
            <w:r>
              <w:rPr>
                <w:rFonts w:ascii="宋体" w:hAnsi="宋体" w:cs="宋体" w:eastAsia="宋体" w:hint="default"/>
                <w:sz w:val="21"/>
                <w:szCs w:val="21"/>
              </w:rPr>
              <w:t>服务</w:t>
            </w:r>
            <w:r>
              <w:rPr>
                <w:rFonts w:ascii="宋体" w:hAnsi="宋体" w:cs="宋体" w:eastAsia="宋体" w:hint="default"/>
                <w:spacing w:val="-98"/>
                <w:sz w:val="21"/>
                <w:szCs w:val="21"/>
              </w:rPr>
              <w:t> </w:t>
            </w:r>
            <w:r>
              <w:rPr>
                <w:rFonts w:ascii="宋体" w:hAnsi="宋体" w:cs="宋体" w:eastAsia="宋体" w:hint="default"/>
                <w:sz w:val="21"/>
                <w:szCs w:val="21"/>
              </w:rPr>
              <w:t>倾向”的指标。</w:t>
            </w:r>
          </w:p>
        </w:tc>
      </w:tr>
      <w:tr>
        <w:trPr>
          <w:trHeight w:val="322"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sz w:val="21"/>
              </w:rPr>
              <w:t>OTT</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Over the Top</w:t>
            </w:r>
            <w:r>
              <w:rPr>
                <w:rFonts w:ascii="宋体" w:hAnsi="宋体" w:cs="宋体" w:eastAsia="宋体" w:hint="default"/>
                <w:spacing w:val="-59"/>
                <w:sz w:val="21"/>
                <w:szCs w:val="21"/>
              </w:rPr>
              <w:t> </w:t>
            </w:r>
            <w:r>
              <w:rPr>
                <w:rFonts w:ascii="宋体" w:hAnsi="宋体" w:cs="宋体" w:eastAsia="宋体" w:hint="default"/>
                <w:sz w:val="21"/>
                <w:szCs w:val="21"/>
              </w:rPr>
              <w:t>的缩写，泛指通过互联网向用户提供各种业务的服务提供商。</w:t>
            </w:r>
          </w:p>
        </w:tc>
      </w:tr>
      <w:tr>
        <w:trPr>
          <w:trHeight w:val="946"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sz w:val="21"/>
              </w:rPr>
              <w:t>SDN</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5"/>
              <w:jc w:val="left"/>
              <w:rPr>
                <w:rFonts w:ascii="宋体" w:hAnsi="宋体" w:cs="宋体" w:eastAsia="宋体" w:hint="default"/>
                <w:sz w:val="21"/>
                <w:szCs w:val="21"/>
              </w:rPr>
            </w:pPr>
            <w:r>
              <w:rPr>
                <w:rFonts w:ascii="宋体" w:hAnsi="宋体" w:cs="宋体" w:eastAsia="宋体" w:hint="default"/>
                <w:sz w:val="21"/>
                <w:szCs w:val="21"/>
              </w:rPr>
              <w:t>Software Defined</w:t>
            </w:r>
            <w:r>
              <w:rPr>
                <w:rFonts w:ascii="宋体" w:hAnsi="宋体" w:cs="宋体" w:eastAsia="宋体" w:hint="default"/>
                <w:spacing w:val="-21"/>
                <w:sz w:val="21"/>
                <w:szCs w:val="21"/>
              </w:rPr>
              <w:t> </w:t>
            </w:r>
            <w:r>
              <w:rPr>
                <w:rFonts w:ascii="宋体" w:hAnsi="宋体" w:cs="宋体" w:eastAsia="宋体" w:hint="default"/>
                <w:sz w:val="21"/>
                <w:szCs w:val="21"/>
              </w:rPr>
              <w:t>Network</w:t>
            </w:r>
            <w:r>
              <w:rPr>
                <w:rFonts w:ascii="宋体" w:hAnsi="宋体" w:cs="宋体" w:eastAsia="宋体" w:hint="default"/>
                <w:sz w:val="21"/>
                <w:szCs w:val="21"/>
              </w:rPr>
              <w:t>，即软件定义网络，主要特点是控制面和转发面分离、</w:t>
            </w:r>
            <w:r>
              <w:rPr>
                <w:rFonts w:ascii="宋体" w:hAnsi="宋体" w:cs="宋体" w:eastAsia="宋体" w:hint="default"/>
                <w:w w:val="100"/>
                <w:sz w:val="21"/>
                <w:szCs w:val="21"/>
              </w:rPr>
              <w:t> </w:t>
            </w:r>
            <w:r>
              <w:rPr>
                <w:rFonts w:ascii="宋体" w:hAnsi="宋体" w:cs="宋体" w:eastAsia="宋体" w:hint="default"/>
                <w:sz w:val="21"/>
                <w:szCs w:val="21"/>
              </w:rPr>
              <w:t>集中化控制，以及开放的北向接口。逻辑上集中的控制层面能够支持网络资源的</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pacing w:val="-2"/>
                <w:sz w:val="21"/>
                <w:szCs w:val="21"/>
              </w:rPr>
              <w:t>灵活调度，灵活的开放接口能够支持网络能力的按需调用，并实现可编程化控制。</w:t>
            </w:r>
          </w:p>
        </w:tc>
      </w:tr>
      <w:tr>
        <w:trPr>
          <w:trHeight w:val="634"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sz w:val="21"/>
              </w:rPr>
              <w:t>TD-LTE</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8"/>
              <w:jc w:val="left"/>
              <w:rPr>
                <w:rFonts w:ascii="宋体" w:hAnsi="宋体" w:cs="宋体" w:eastAsia="宋体" w:hint="default"/>
                <w:sz w:val="21"/>
                <w:szCs w:val="21"/>
              </w:rPr>
            </w:pPr>
            <w:r>
              <w:rPr>
                <w:rFonts w:ascii="宋体" w:hAnsi="宋体" w:cs="宋体" w:eastAsia="宋体" w:hint="default"/>
                <w:sz w:val="21"/>
                <w:szCs w:val="21"/>
              </w:rPr>
              <w:t>TDD</w:t>
            </w:r>
            <w:r>
              <w:rPr>
                <w:rFonts w:ascii="宋体" w:hAnsi="宋体" w:cs="宋体" w:eastAsia="宋体" w:hint="default"/>
                <w:spacing w:val="-53"/>
                <w:sz w:val="21"/>
                <w:szCs w:val="21"/>
              </w:rPr>
              <w:t> </w:t>
            </w:r>
            <w:r>
              <w:rPr>
                <w:rFonts w:ascii="宋体" w:hAnsi="宋体" w:cs="宋体" w:eastAsia="宋体" w:hint="default"/>
                <w:sz w:val="21"/>
                <w:szCs w:val="21"/>
              </w:rPr>
              <w:t>版本的</w:t>
            </w:r>
            <w:r>
              <w:rPr>
                <w:rFonts w:ascii="宋体" w:hAnsi="宋体" w:cs="宋体" w:eastAsia="宋体" w:hint="default"/>
                <w:spacing w:val="-56"/>
                <w:sz w:val="21"/>
                <w:szCs w:val="21"/>
              </w:rPr>
              <w:t> </w:t>
            </w:r>
            <w:r>
              <w:rPr>
                <w:rFonts w:ascii="宋体" w:hAnsi="宋体" w:cs="宋体" w:eastAsia="宋体" w:hint="default"/>
                <w:sz w:val="21"/>
                <w:szCs w:val="21"/>
              </w:rPr>
              <w:t>LTE</w:t>
            </w:r>
            <w:r>
              <w:rPr>
                <w:rFonts w:ascii="宋体" w:hAnsi="宋体" w:cs="宋体" w:eastAsia="宋体" w:hint="default"/>
                <w:spacing w:val="-56"/>
                <w:sz w:val="21"/>
                <w:szCs w:val="21"/>
              </w:rPr>
              <w:t> </w:t>
            </w:r>
            <w:r>
              <w:rPr>
                <w:rFonts w:ascii="宋体" w:hAnsi="宋体" w:cs="宋体" w:eastAsia="宋体" w:hint="default"/>
                <w:sz w:val="21"/>
                <w:szCs w:val="21"/>
              </w:rPr>
              <w:t>标准。</w:t>
            </w:r>
            <w:r>
              <w:rPr>
                <w:rFonts w:ascii="宋体" w:hAnsi="宋体" w:cs="宋体" w:eastAsia="宋体" w:hint="default"/>
                <w:sz w:val="21"/>
                <w:szCs w:val="21"/>
              </w:rPr>
              <w:t>LTE</w:t>
            </w:r>
            <w:r>
              <w:rPr>
                <w:rFonts w:ascii="宋体" w:hAnsi="宋体" w:cs="宋体" w:eastAsia="宋体" w:hint="default"/>
                <w:spacing w:val="-56"/>
                <w:sz w:val="21"/>
                <w:szCs w:val="21"/>
              </w:rPr>
              <w:t> </w:t>
            </w:r>
            <w:r>
              <w:rPr>
                <w:rFonts w:ascii="宋体" w:hAnsi="宋体" w:cs="宋体" w:eastAsia="宋体" w:hint="default"/>
                <w:sz w:val="21"/>
                <w:szCs w:val="21"/>
              </w:rPr>
              <w:t>是</w:t>
            </w:r>
            <w:r>
              <w:rPr>
                <w:rFonts w:ascii="宋体" w:hAnsi="宋体" w:cs="宋体" w:eastAsia="宋体" w:hint="default"/>
                <w:spacing w:val="-54"/>
                <w:sz w:val="21"/>
                <w:szCs w:val="21"/>
              </w:rPr>
              <w:t> </w:t>
            </w:r>
            <w:r>
              <w:rPr>
                <w:rFonts w:ascii="宋体" w:hAnsi="宋体" w:cs="宋体" w:eastAsia="宋体" w:hint="default"/>
                <w:sz w:val="21"/>
                <w:szCs w:val="21"/>
              </w:rPr>
              <w:t>3GPP</w:t>
            </w:r>
            <w:r>
              <w:rPr>
                <w:rFonts w:ascii="宋体" w:hAnsi="宋体" w:cs="宋体" w:eastAsia="宋体" w:hint="default"/>
                <w:spacing w:val="-53"/>
                <w:sz w:val="21"/>
                <w:szCs w:val="21"/>
              </w:rPr>
              <w:t> </w:t>
            </w:r>
            <w:r>
              <w:rPr>
                <w:rFonts w:ascii="宋体" w:hAnsi="宋体" w:cs="宋体" w:eastAsia="宋体" w:hint="default"/>
                <w:sz w:val="21"/>
                <w:szCs w:val="21"/>
              </w:rPr>
              <w:t>组织制定的</w:t>
            </w:r>
            <w:r>
              <w:rPr>
                <w:rFonts w:ascii="宋体" w:hAnsi="宋体" w:cs="宋体" w:eastAsia="宋体" w:hint="default"/>
                <w:spacing w:val="-56"/>
                <w:sz w:val="21"/>
                <w:szCs w:val="21"/>
              </w:rPr>
              <w:t> </w:t>
            </w:r>
            <w:r>
              <w:rPr>
                <w:rFonts w:ascii="宋体" w:hAnsi="宋体" w:cs="宋体" w:eastAsia="宋体" w:hint="default"/>
                <w:sz w:val="21"/>
                <w:szCs w:val="21"/>
              </w:rPr>
              <w:t>4G</w:t>
            </w:r>
            <w:r>
              <w:rPr>
                <w:rFonts w:ascii="宋体" w:hAnsi="宋体" w:cs="宋体" w:eastAsia="宋体" w:hint="default"/>
                <w:spacing w:val="-54"/>
                <w:sz w:val="21"/>
                <w:szCs w:val="21"/>
              </w:rPr>
              <w:t> </w:t>
            </w:r>
            <w:r>
              <w:rPr>
                <w:rFonts w:ascii="宋体" w:hAnsi="宋体" w:cs="宋体" w:eastAsia="宋体" w:hint="default"/>
                <w:sz w:val="21"/>
                <w:szCs w:val="21"/>
              </w:rPr>
              <w:t>技术标准，基于</w:t>
            </w:r>
            <w:r>
              <w:rPr>
                <w:rFonts w:ascii="宋体" w:hAnsi="宋体" w:cs="宋体" w:eastAsia="宋体" w:hint="default"/>
                <w:spacing w:val="-56"/>
                <w:sz w:val="21"/>
                <w:szCs w:val="21"/>
              </w:rPr>
              <w:t> </w:t>
            </w:r>
            <w:r>
              <w:rPr>
                <w:rFonts w:ascii="宋体" w:hAnsi="宋体" w:cs="宋体" w:eastAsia="宋体" w:hint="default"/>
                <w:sz w:val="21"/>
                <w:szCs w:val="21"/>
              </w:rPr>
              <w:t>OFDM</w:t>
            </w:r>
            <w:r>
              <w:rPr>
                <w:rFonts w:ascii="宋体" w:hAnsi="宋体" w:cs="宋体" w:eastAsia="宋体" w:hint="default"/>
                <w:spacing w:val="-56"/>
                <w:sz w:val="21"/>
                <w:szCs w:val="21"/>
              </w:rPr>
              <w:t> </w:t>
            </w:r>
            <w:r>
              <w:rPr>
                <w:rFonts w:ascii="宋体" w:hAnsi="宋体" w:cs="宋体" w:eastAsia="宋体" w:hint="default"/>
                <w:sz w:val="21"/>
                <w:szCs w:val="21"/>
              </w:rPr>
              <w:t>技术，</w:t>
            </w:r>
            <w:r>
              <w:rPr>
                <w:rFonts w:ascii="宋体" w:hAnsi="宋体" w:cs="宋体" w:eastAsia="宋体" w:hint="default"/>
                <w:sz w:val="21"/>
                <w:szCs w:val="21"/>
              </w:rPr>
              <w:t>TDD</w:t>
            </w:r>
            <w:r>
              <w:rPr>
                <w:rFonts w:ascii="宋体" w:hAnsi="宋体" w:cs="宋体" w:eastAsia="宋体" w:hint="default"/>
                <w:w w:val="100"/>
                <w:sz w:val="21"/>
                <w:szCs w:val="21"/>
              </w:rPr>
              <w:t> </w:t>
            </w:r>
            <w:r>
              <w:rPr>
                <w:rFonts w:ascii="宋体" w:hAnsi="宋体" w:cs="宋体" w:eastAsia="宋体" w:hint="default"/>
                <w:sz w:val="21"/>
                <w:szCs w:val="21"/>
              </w:rPr>
              <w:t>表示时分双工。</w:t>
            </w:r>
          </w:p>
        </w:tc>
      </w:tr>
      <w:tr>
        <w:trPr>
          <w:trHeight w:val="322"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sz w:val="21"/>
              </w:rPr>
              <w:t>VoLTE</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Voice</w:t>
            </w:r>
            <w:r>
              <w:rPr>
                <w:rFonts w:ascii="宋体" w:hAnsi="宋体" w:cs="宋体" w:eastAsia="宋体" w:hint="default"/>
                <w:spacing w:val="-2"/>
                <w:sz w:val="21"/>
                <w:szCs w:val="21"/>
              </w:rPr>
              <w:t> </w:t>
            </w:r>
            <w:r>
              <w:rPr>
                <w:rFonts w:ascii="宋体" w:hAnsi="宋体" w:cs="宋体" w:eastAsia="宋体" w:hint="default"/>
                <w:sz w:val="21"/>
                <w:szCs w:val="21"/>
              </w:rPr>
              <w:t>over</w:t>
            </w:r>
            <w:r>
              <w:rPr>
                <w:rFonts w:ascii="宋体" w:hAnsi="宋体" w:cs="宋体" w:eastAsia="宋体" w:hint="default"/>
                <w:spacing w:val="-2"/>
                <w:sz w:val="21"/>
                <w:szCs w:val="21"/>
              </w:rPr>
              <w:t> </w:t>
            </w:r>
            <w:r>
              <w:rPr>
                <w:rFonts w:ascii="宋体" w:hAnsi="宋体" w:cs="宋体" w:eastAsia="宋体" w:hint="default"/>
                <w:sz w:val="21"/>
                <w:szCs w:val="21"/>
              </w:rPr>
              <w:t>LTE</w:t>
            </w:r>
            <w:r>
              <w:rPr>
                <w:rFonts w:ascii="宋体" w:hAnsi="宋体" w:cs="宋体" w:eastAsia="宋体" w:hint="default"/>
                <w:sz w:val="21"/>
                <w:szCs w:val="21"/>
              </w:rPr>
              <w:t>，是基于</w:t>
            </w:r>
            <w:r>
              <w:rPr>
                <w:rFonts w:ascii="宋体" w:hAnsi="宋体" w:cs="宋体" w:eastAsia="宋体" w:hint="default"/>
                <w:spacing w:val="-55"/>
                <w:sz w:val="21"/>
                <w:szCs w:val="21"/>
              </w:rPr>
              <w:t> </w:t>
            </w:r>
            <w:r>
              <w:rPr>
                <w:rFonts w:ascii="宋体" w:hAnsi="宋体" w:cs="宋体" w:eastAsia="宋体" w:hint="default"/>
                <w:sz w:val="21"/>
                <w:szCs w:val="21"/>
              </w:rPr>
              <w:t>IMS</w:t>
            </w:r>
            <w:r>
              <w:rPr>
                <w:rFonts w:ascii="宋体" w:hAnsi="宋体" w:cs="宋体" w:eastAsia="宋体" w:hint="default"/>
                <w:spacing w:val="-53"/>
                <w:sz w:val="21"/>
                <w:szCs w:val="21"/>
              </w:rPr>
              <w:t> </w:t>
            </w:r>
            <w:r>
              <w:rPr>
                <w:rFonts w:ascii="宋体" w:hAnsi="宋体" w:cs="宋体" w:eastAsia="宋体" w:hint="default"/>
                <w:sz w:val="21"/>
                <w:szCs w:val="21"/>
              </w:rPr>
              <w:t>技术、承载在</w:t>
            </w:r>
            <w:r>
              <w:rPr>
                <w:rFonts w:ascii="宋体" w:hAnsi="宋体" w:cs="宋体" w:eastAsia="宋体" w:hint="default"/>
                <w:spacing w:val="-53"/>
                <w:sz w:val="21"/>
                <w:szCs w:val="21"/>
              </w:rPr>
              <w:t> </w:t>
            </w:r>
            <w:r>
              <w:rPr>
                <w:rFonts w:ascii="宋体" w:hAnsi="宋体" w:cs="宋体" w:eastAsia="宋体" w:hint="default"/>
                <w:sz w:val="21"/>
                <w:szCs w:val="21"/>
              </w:rPr>
              <w:t>LTE</w:t>
            </w:r>
            <w:r>
              <w:rPr>
                <w:rFonts w:ascii="宋体" w:hAnsi="宋体" w:cs="宋体" w:eastAsia="宋体" w:hint="default"/>
                <w:spacing w:val="-53"/>
                <w:sz w:val="21"/>
                <w:szCs w:val="21"/>
              </w:rPr>
              <w:t> </w:t>
            </w:r>
            <w:r>
              <w:rPr>
                <w:rFonts w:ascii="宋体" w:hAnsi="宋体" w:cs="宋体" w:eastAsia="宋体" w:hint="default"/>
                <w:sz w:val="21"/>
                <w:szCs w:val="21"/>
              </w:rPr>
              <w:t>网络上的语音业务。</w:t>
            </w:r>
          </w:p>
        </w:tc>
      </w:tr>
      <w:tr>
        <w:trPr>
          <w:trHeight w:val="322"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sz w:val="21"/>
              </w:rPr>
              <w:t>VoWiFi</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Voice</w:t>
            </w:r>
            <w:r>
              <w:rPr>
                <w:rFonts w:ascii="宋体" w:hAnsi="宋体" w:cs="宋体" w:eastAsia="宋体" w:hint="default"/>
                <w:spacing w:val="-2"/>
                <w:sz w:val="21"/>
                <w:szCs w:val="21"/>
              </w:rPr>
              <w:t> </w:t>
            </w:r>
            <w:r>
              <w:rPr>
                <w:rFonts w:ascii="宋体" w:hAnsi="宋体" w:cs="宋体" w:eastAsia="宋体" w:hint="default"/>
                <w:sz w:val="21"/>
                <w:szCs w:val="21"/>
              </w:rPr>
              <w:t>over</w:t>
            </w:r>
            <w:r>
              <w:rPr>
                <w:rFonts w:ascii="宋体" w:hAnsi="宋体" w:cs="宋体" w:eastAsia="宋体" w:hint="default"/>
                <w:spacing w:val="-2"/>
                <w:sz w:val="21"/>
                <w:szCs w:val="21"/>
              </w:rPr>
              <w:t> </w:t>
            </w:r>
            <w:r>
              <w:rPr>
                <w:rFonts w:ascii="宋体" w:hAnsi="宋体" w:cs="宋体" w:eastAsia="宋体" w:hint="default"/>
                <w:sz w:val="21"/>
                <w:szCs w:val="21"/>
              </w:rPr>
              <w:t>WiFi</w:t>
            </w:r>
            <w:r>
              <w:rPr>
                <w:rFonts w:ascii="宋体" w:hAnsi="宋体" w:cs="宋体" w:eastAsia="宋体" w:hint="default"/>
                <w:sz w:val="21"/>
                <w:szCs w:val="21"/>
              </w:rPr>
              <w:t>，指通过</w:t>
            </w:r>
            <w:r>
              <w:rPr>
                <w:rFonts w:ascii="宋体" w:hAnsi="宋体" w:cs="宋体" w:eastAsia="宋体" w:hint="default"/>
                <w:spacing w:val="-53"/>
                <w:sz w:val="21"/>
                <w:szCs w:val="21"/>
              </w:rPr>
              <w:t> </w:t>
            </w:r>
            <w:r>
              <w:rPr>
                <w:rFonts w:ascii="宋体" w:hAnsi="宋体" w:cs="宋体" w:eastAsia="宋体" w:hint="default"/>
                <w:sz w:val="21"/>
                <w:szCs w:val="21"/>
              </w:rPr>
              <w:t>WiFi</w:t>
            </w:r>
            <w:r>
              <w:rPr>
                <w:rFonts w:ascii="宋体" w:hAnsi="宋体" w:cs="宋体" w:eastAsia="宋体" w:hint="default"/>
                <w:spacing w:val="-52"/>
                <w:sz w:val="21"/>
                <w:szCs w:val="21"/>
              </w:rPr>
              <w:t> </w:t>
            </w:r>
            <w:r>
              <w:rPr>
                <w:rFonts w:ascii="宋体" w:hAnsi="宋体" w:cs="宋体" w:eastAsia="宋体" w:hint="default"/>
                <w:sz w:val="21"/>
                <w:szCs w:val="21"/>
              </w:rPr>
              <w:t>接入提供的语音业务。</w:t>
            </w:r>
          </w:p>
        </w:tc>
      </w:tr>
      <w:tr>
        <w:trPr>
          <w:trHeight w:val="324"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1" w:right="0"/>
              <w:jc w:val="left"/>
              <w:rPr>
                <w:rFonts w:ascii="宋体" w:hAnsi="宋体" w:cs="宋体" w:eastAsia="宋体" w:hint="default"/>
                <w:sz w:val="21"/>
                <w:szCs w:val="21"/>
              </w:rPr>
            </w:pPr>
            <w:r>
              <w:rPr>
                <w:rFonts w:ascii="宋体" w:hAnsi="宋体" w:cs="宋体" w:eastAsia="宋体" w:hint="default"/>
                <w:sz w:val="21"/>
                <w:szCs w:val="21"/>
              </w:rPr>
              <w:t>冰激凌</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公司推出的一种包月大流量</w:t>
            </w:r>
            <w:r>
              <w:rPr>
                <w:rFonts w:ascii="宋体" w:hAnsi="宋体" w:cs="宋体" w:eastAsia="宋体" w:hint="default"/>
                <w:spacing w:val="-52"/>
                <w:sz w:val="21"/>
                <w:szCs w:val="21"/>
              </w:rPr>
              <w:t> </w:t>
            </w:r>
            <w:r>
              <w:rPr>
                <w:rFonts w:ascii="宋体" w:hAnsi="宋体" w:cs="宋体" w:eastAsia="宋体" w:hint="default"/>
                <w:sz w:val="21"/>
                <w:szCs w:val="21"/>
              </w:rPr>
              <w:t>4G</w:t>
            </w:r>
            <w:r>
              <w:rPr>
                <w:rFonts w:ascii="宋体" w:hAnsi="宋体" w:cs="宋体" w:eastAsia="宋体" w:hint="default"/>
                <w:spacing w:val="-55"/>
                <w:sz w:val="21"/>
                <w:szCs w:val="21"/>
              </w:rPr>
              <w:t> </w:t>
            </w:r>
            <w:r>
              <w:rPr>
                <w:rFonts w:ascii="宋体" w:hAnsi="宋体" w:cs="宋体" w:eastAsia="宋体" w:hint="default"/>
                <w:sz w:val="21"/>
                <w:szCs w:val="21"/>
              </w:rPr>
              <w:t>套餐产品名称。</w:t>
            </w:r>
          </w:p>
        </w:tc>
      </w:tr>
      <w:tr>
        <w:trPr>
          <w:trHeight w:val="946"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畅视计划</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9"/>
              <w:jc w:val="both"/>
              <w:rPr>
                <w:rFonts w:ascii="宋体" w:hAnsi="宋体" w:cs="宋体" w:eastAsia="宋体" w:hint="default"/>
                <w:sz w:val="21"/>
                <w:szCs w:val="21"/>
              </w:rPr>
            </w:pPr>
            <w:r>
              <w:rPr>
                <w:rFonts w:ascii="宋体" w:hAnsi="宋体" w:cs="宋体" w:eastAsia="宋体" w:hint="default"/>
                <w:sz w:val="21"/>
                <w:szCs w:val="21"/>
              </w:rPr>
              <w:t>公司依托自身精品视频承载网络、广泛聚合优质互联网视频产品推出的视频流量</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z w:val="21"/>
                <w:szCs w:val="21"/>
              </w:rPr>
              <w:t>服务，是中国联通与互联网视频服务方合作、向 </w:t>
            </w:r>
            <w:r>
              <w:rPr>
                <w:rFonts w:ascii="宋体" w:hAnsi="宋体" w:cs="宋体" w:eastAsia="宋体" w:hint="default"/>
                <w:sz w:val="21"/>
                <w:szCs w:val="21"/>
              </w:rPr>
              <w:t>4G/3G</w:t>
            </w:r>
            <w:r>
              <w:rPr>
                <w:rFonts w:ascii="宋体" w:hAnsi="宋体" w:cs="宋体" w:eastAsia="宋体" w:hint="default"/>
                <w:spacing w:val="-23"/>
                <w:sz w:val="21"/>
                <w:szCs w:val="21"/>
              </w:rPr>
              <w:t> </w:t>
            </w:r>
            <w:r>
              <w:rPr>
                <w:rFonts w:ascii="宋体" w:hAnsi="宋体" w:cs="宋体" w:eastAsia="宋体" w:hint="default"/>
                <w:sz w:val="21"/>
                <w:szCs w:val="21"/>
              </w:rPr>
              <w:t>用户提供多个合作方客户</w:t>
            </w:r>
            <w:r>
              <w:rPr>
                <w:rFonts w:ascii="宋体" w:hAnsi="宋体" w:cs="宋体" w:eastAsia="宋体" w:hint="default"/>
                <w:w w:val="100"/>
                <w:sz w:val="21"/>
                <w:szCs w:val="21"/>
              </w:rPr>
              <w:t> </w:t>
            </w:r>
            <w:r>
              <w:rPr>
                <w:rFonts w:ascii="宋体" w:hAnsi="宋体" w:cs="宋体" w:eastAsia="宋体" w:hint="default"/>
                <w:sz w:val="21"/>
                <w:szCs w:val="21"/>
              </w:rPr>
              <w:t>端不同清晰度视频内容的定向流量服务。</w:t>
            </w:r>
          </w:p>
        </w:tc>
      </w:tr>
      <w:tr>
        <w:trPr>
          <w:trHeight w:val="322"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大数据</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海量、实时、多样化的可被记录、采集和开发利用的数据信息，以及基于大数据</w:t>
            </w:r>
          </w:p>
        </w:tc>
      </w:tr>
    </w:tbl>
    <w:p>
      <w:pPr>
        <w:spacing w:after="0" w:line="262" w:lineRule="exact"/>
        <w:jc w:val="left"/>
        <w:rPr>
          <w:rFonts w:ascii="宋体" w:hAnsi="宋体" w:cs="宋体" w:eastAsia="宋体" w:hint="default"/>
          <w:sz w:val="21"/>
          <w:szCs w:val="21"/>
        </w:rPr>
        <w:sectPr>
          <w:footerReference w:type="default" r:id="rId12"/>
          <w:pgSz w:w="11910" w:h="16840"/>
          <w:pgMar w:footer="502" w:header="854" w:top="1360" w:bottom="700" w:left="1020" w:right="860"/>
        </w:sectPr>
      </w:pPr>
    </w:p>
    <w:p>
      <w:pPr>
        <w:spacing w:line="240" w:lineRule="auto" w:before="2"/>
        <w:rPr>
          <w:rFonts w:ascii="Times New Roman" w:hAnsi="Times New Roman" w:cs="Times New Roman" w:eastAsia="Times New Roman" w:hint="default"/>
          <w:sz w:val="14"/>
          <w:szCs w:val="14"/>
        </w:rPr>
      </w:pPr>
    </w:p>
    <w:tbl>
      <w:tblPr>
        <w:tblW w:w="0" w:type="auto"/>
        <w:jc w:val="left"/>
        <w:tblInd w:w="110" w:type="dxa"/>
        <w:tblLayout w:type="fixed"/>
        <w:tblCellMar>
          <w:top w:w="0" w:type="dxa"/>
          <w:left w:w="0" w:type="dxa"/>
          <w:bottom w:w="0" w:type="dxa"/>
          <w:right w:w="0" w:type="dxa"/>
        </w:tblCellMar>
        <w:tblLook w:val="01E0"/>
      </w:tblPr>
      <w:tblGrid>
        <w:gridCol w:w="1695"/>
        <w:gridCol w:w="432"/>
        <w:gridCol w:w="7658"/>
      </w:tblGrid>
      <w:tr>
        <w:trPr>
          <w:trHeight w:val="324" w:hRule="exact"/>
        </w:trPr>
        <w:tc>
          <w:tcPr>
            <w:tcW w:w="1695" w:type="dxa"/>
            <w:tcBorders>
              <w:top w:val="single" w:sz="4" w:space="0" w:color="000000"/>
              <w:left w:val="single" w:sz="4" w:space="0" w:color="000000"/>
              <w:bottom w:val="single" w:sz="4" w:space="0" w:color="000000"/>
              <w:right w:val="single" w:sz="4" w:space="0" w:color="000000"/>
            </w:tcBorders>
          </w:tcPr>
          <w:p>
            <w:pPr/>
          </w:p>
        </w:tc>
        <w:tc>
          <w:tcPr>
            <w:tcW w:w="432" w:type="dxa"/>
            <w:tcBorders>
              <w:top w:val="single" w:sz="4" w:space="0" w:color="000000"/>
              <w:left w:val="single" w:sz="4" w:space="0" w:color="000000"/>
              <w:bottom w:val="single" w:sz="4" w:space="0" w:color="000000"/>
              <w:right w:val="single" w:sz="4" w:space="0" w:color="000000"/>
            </w:tcBorders>
          </w:tcPr>
          <w:p>
            <w:pP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的挖掘处理技术。</w:t>
            </w:r>
          </w:p>
        </w:tc>
      </w:tr>
      <w:tr>
        <w:trPr>
          <w:trHeight w:val="634"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互联网</w:t>
            </w:r>
            <w:r>
              <w:rPr>
                <w:rFonts w:ascii="宋体" w:hAnsi="宋体" w:cs="宋体" w:eastAsia="宋体" w:hint="default"/>
                <w:sz w:val="21"/>
                <w:szCs w:val="21"/>
              </w:rPr>
              <w:t>+</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0"/>
              <w:jc w:val="left"/>
              <w:rPr>
                <w:rFonts w:ascii="宋体" w:hAnsi="宋体" w:cs="宋体" w:eastAsia="宋体" w:hint="default"/>
                <w:sz w:val="21"/>
                <w:szCs w:val="21"/>
              </w:rPr>
            </w:pPr>
            <w:r>
              <w:rPr>
                <w:rFonts w:ascii="宋体" w:hAnsi="宋体" w:cs="宋体" w:eastAsia="宋体" w:hint="default"/>
                <w:sz w:val="21"/>
                <w:szCs w:val="21"/>
              </w:rPr>
              <w:t>互联网与各个传统行业的结合，通过利用信息通信技术以及互联网平台，让互联</w:t>
            </w:r>
            <w:r>
              <w:rPr>
                <w:rFonts w:ascii="宋体" w:hAnsi="宋体" w:cs="宋体" w:eastAsia="宋体" w:hint="default"/>
                <w:spacing w:val="-16"/>
                <w:sz w:val="21"/>
                <w:szCs w:val="21"/>
              </w:rPr>
              <w:t> </w:t>
            </w:r>
            <w:r>
              <w:rPr>
                <w:rFonts w:ascii="宋体" w:hAnsi="宋体" w:cs="宋体" w:eastAsia="宋体" w:hint="default"/>
                <w:spacing w:val="-16"/>
                <w:sz w:val="21"/>
                <w:szCs w:val="21"/>
              </w:rPr>
            </w:r>
            <w:r>
              <w:rPr>
                <w:rFonts w:ascii="宋体" w:hAnsi="宋体" w:cs="宋体" w:eastAsia="宋体" w:hint="default"/>
                <w:sz w:val="21"/>
                <w:szCs w:val="21"/>
              </w:rPr>
              <w:t>网与传统行业深度融合，从而为传统行业创造新的发展生态。</w:t>
            </w:r>
          </w:p>
        </w:tc>
      </w:tr>
      <w:tr>
        <w:trPr>
          <w:trHeight w:val="322"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全网通终端</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支持</w:t>
            </w:r>
            <w:r>
              <w:rPr>
                <w:rFonts w:ascii="宋体" w:hAnsi="宋体" w:cs="宋体" w:eastAsia="宋体" w:hint="default"/>
                <w:spacing w:val="-53"/>
                <w:sz w:val="21"/>
                <w:szCs w:val="21"/>
              </w:rPr>
              <w:t> </w:t>
            </w:r>
            <w:r>
              <w:rPr>
                <w:rFonts w:ascii="宋体" w:hAnsi="宋体" w:cs="宋体" w:eastAsia="宋体" w:hint="default"/>
                <w:sz w:val="21"/>
                <w:szCs w:val="21"/>
              </w:rPr>
              <w:t>LTE</w:t>
            </w:r>
            <w:r>
              <w:rPr>
                <w:rFonts w:ascii="宋体" w:hAnsi="宋体" w:cs="宋体" w:eastAsia="宋体" w:hint="default"/>
                <w:spacing w:val="-1"/>
                <w:sz w:val="21"/>
                <w:szCs w:val="21"/>
              </w:rPr>
              <w:t> </w:t>
            </w:r>
            <w:r>
              <w:rPr>
                <w:rFonts w:ascii="宋体" w:hAnsi="宋体" w:cs="宋体" w:eastAsia="宋体" w:hint="default"/>
                <w:sz w:val="21"/>
                <w:szCs w:val="21"/>
              </w:rPr>
              <w:t>FDD/</w:t>
            </w:r>
            <w:r>
              <w:rPr>
                <w:rFonts w:ascii="宋体" w:hAnsi="宋体" w:cs="宋体" w:eastAsia="宋体" w:hint="default"/>
                <w:spacing w:val="-3"/>
                <w:sz w:val="21"/>
                <w:szCs w:val="21"/>
              </w:rPr>
              <w:t> </w:t>
            </w:r>
            <w:r>
              <w:rPr>
                <w:rFonts w:ascii="宋体" w:hAnsi="宋体" w:cs="宋体" w:eastAsia="宋体" w:hint="default"/>
                <w:sz w:val="21"/>
                <w:szCs w:val="21"/>
              </w:rPr>
              <w:t>TD-LTE/</w:t>
            </w:r>
            <w:r>
              <w:rPr>
                <w:rFonts w:ascii="宋体" w:hAnsi="宋体" w:cs="宋体" w:eastAsia="宋体" w:hint="default"/>
                <w:spacing w:val="-3"/>
                <w:sz w:val="21"/>
                <w:szCs w:val="21"/>
              </w:rPr>
              <w:t> </w:t>
            </w:r>
            <w:r>
              <w:rPr>
                <w:rFonts w:ascii="宋体" w:hAnsi="宋体" w:cs="宋体" w:eastAsia="宋体" w:hint="default"/>
                <w:sz w:val="21"/>
                <w:szCs w:val="21"/>
              </w:rPr>
              <w:t>WCDMA/</w:t>
            </w:r>
            <w:r>
              <w:rPr>
                <w:rFonts w:ascii="宋体" w:hAnsi="宋体" w:cs="宋体" w:eastAsia="宋体" w:hint="default"/>
                <w:spacing w:val="-3"/>
                <w:sz w:val="21"/>
                <w:szCs w:val="21"/>
              </w:rPr>
              <w:t> </w:t>
            </w:r>
            <w:r>
              <w:rPr>
                <w:rFonts w:ascii="宋体" w:hAnsi="宋体" w:cs="宋体" w:eastAsia="宋体" w:hint="default"/>
                <w:sz w:val="21"/>
                <w:szCs w:val="21"/>
              </w:rPr>
              <w:t>TD-SCDMA/</w:t>
            </w:r>
            <w:r>
              <w:rPr>
                <w:rFonts w:ascii="宋体" w:hAnsi="宋体" w:cs="宋体" w:eastAsia="宋体" w:hint="default"/>
                <w:spacing w:val="-1"/>
                <w:sz w:val="21"/>
                <w:szCs w:val="21"/>
              </w:rPr>
              <w:t> </w:t>
            </w:r>
            <w:r>
              <w:rPr>
                <w:rFonts w:ascii="宋体" w:hAnsi="宋体" w:cs="宋体" w:eastAsia="宋体" w:hint="default"/>
                <w:sz w:val="21"/>
                <w:szCs w:val="21"/>
              </w:rPr>
              <w:t>CDMA/</w:t>
            </w:r>
            <w:r>
              <w:rPr>
                <w:rFonts w:ascii="宋体" w:hAnsi="宋体" w:cs="宋体" w:eastAsia="宋体" w:hint="default"/>
                <w:spacing w:val="-3"/>
                <w:sz w:val="21"/>
                <w:szCs w:val="21"/>
              </w:rPr>
              <w:t> </w:t>
            </w:r>
            <w:r>
              <w:rPr>
                <w:rFonts w:ascii="宋体" w:hAnsi="宋体" w:cs="宋体" w:eastAsia="宋体" w:hint="default"/>
                <w:sz w:val="21"/>
                <w:szCs w:val="21"/>
              </w:rPr>
              <w:t>GSM</w:t>
            </w:r>
            <w:r>
              <w:rPr>
                <w:rFonts w:ascii="宋体" w:hAnsi="宋体" w:cs="宋体" w:eastAsia="宋体" w:hint="default"/>
                <w:spacing w:val="-54"/>
                <w:sz w:val="21"/>
                <w:szCs w:val="21"/>
              </w:rPr>
              <w:t> </w:t>
            </w:r>
            <w:r>
              <w:rPr>
                <w:rFonts w:ascii="宋体" w:hAnsi="宋体" w:cs="宋体" w:eastAsia="宋体" w:hint="default"/>
                <w:sz w:val="21"/>
                <w:szCs w:val="21"/>
              </w:rPr>
              <w:t>六种网络制式的终端。</w:t>
            </w:r>
          </w:p>
        </w:tc>
      </w:tr>
      <w:tr>
        <w:trPr>
          <w:trHeight w:val="322"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提速降费</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提高移动及固网宽带网络速率，降低资费水平，提高性价比。</w:t>
            </w:r>
          </w:p>
        </w:tc>
      </w:tr>
      <w:tr>
        <w:trPr>
          <w:trHeight w:val="322"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沃</w:t>
            </w:r>
            <w:r>
              <w:rPr>
                <w:rFonts w:ascii="宋体" w:hAnsi="宋体" w:cs="宋体" w:eastAsia="宋体" w:hint="default"/>
                <w:spacing w:val="-50"/>
                <w:sz w:val="21"/>
                <w:szCs w:val="21"/>
              </w:rPr>
              <w:t> </w:t>
            </w:r>
            <w:r>
              <w:rPr>
                <w:rFonts w:ascii="宋体" w:hAnsi="宋体" w:cs="宋体" w:eastAsia="宋体" w:hint="default"/>
                <w:sz w:val="21"/>
                <w:szCs w:val="21"/>
              </w:rPr>
              <w:t>4G+</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公司专属的</w:t>
            </w:r>
            <w:r>
              <w:rPr>
                <w:rFonts w:ascii="宋体" w:hAnsi="宋体" w:cs="宋体" w:eastAsia="宋体" w:hint="default"/>
                <w:spacing w:val="-53"/>
                <w:sz w:val="21"/>
                <w:szCs w:val="21"/>
              </w:rPr>
              <w:t> </w:t>
            </w:r>
            <w:r>
              <w:rPr>
                <w:rFonts w:ascii="宋体" w:hAnsi="宋体" w:cs="宋体" w:eastAsia="宋体" w:hint="default"/>
                <w:sz w:val="21"/>
                <w:szCs w:val="21"/>
              </w:rPr>
              <w:t>4G+</w:t>
            </w:r>
            <w:r>
              <w:rPr>
                <w:rFonts w:ascii="宋体" w:hAnsi="宋体" w:cs="宋体" w:eastAsia="宋体" w:hint="default"/>
                <w:sz w:val="21"/>
                <w:szCs w:val="21"/>
              </w:rPr>
              <w:t>品牌。</w:t>
            </w:r>
          </w:p>
        </w:tc>
      </w:tr>
      <w:tr>
        <w:trPr>
          <w:trHeight w:val="634"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物联网业务</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4"/>
              <w:jc w:val="left"/>
              <w:rPr>
                <w:rFonts w:ascii="宋体" w:hAnsi="宋体" w:cs="宋体" w:eastAsia="宋体" w:hint="default"/>
                <w:sz w:val="21"/>
                <w:szCs w:val="21"/>
              </w:rPr>
            </w:pPr>
            <w:r>
              <w:rPr>
                <w:rFonts w:ascii="宋体" w:hAnsi="宋体" w:cs="宋体" w:eastAsia="宋体" w:hint="default"/>
                <w:sz w:val="21"/>
                <w:szCs w:val="21"/>
              </w:rPr>
              <w:t>各种嵌入通信能力的智能物体间的相互互联或通过网络互联，以提供人与物、物</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z w:val="21"/>
                <w:szCs w:val="21"/>
              </w:rPr>
              <w:t>与物的通信为主的业务。</w:t>
            </w:r>
          </w:p>
        </w:tc>
      </w:tr>
      <w:tr>
        <w:trPr>
          <w:trHeight w:val="1261"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1" w:right="0"/>
              <w:jc w:val="left"/>
              <w:rPr>
                <w:rFonts w:ascii="宋体" w:hAnsi="宋体" w:cs="宋体" w:eastAsia="宋体" w:hint="default"/>
                <w:sz w:val="21"/>
                <w:szCs w:val="21"/>
              </w:rPr>
            </w:pPr>
            <w:r>
              <w:rPr>
                <w:rFonts w:ascii="宋体" w:hAnsi="宋体" w:cs="宋体" w:eastAsia="宋体" w:hint="default"/>
                <w:sz w:val="21"/>
                <w:szCs w:val="21"/>
              </w:rPr>
              <w:t>一号多终端</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9"/>
              <w:jc w:val="both"/>
              <w:rPr>
                <w:rFonts w:ascii="宋体" w:hAnsi="宋体" w:cs="宋体" w:eastAsia="宋体" w:hint="default"/>
                <w:sz w:val="21"/>
                <w:szCs w:val="21"/>
              </w:rPr>
            </w:pPr>
            <w:r>
              <w:rPr>
                <w:rFonts w:ascii="宋体" w:hAnsi="宋体" w:cs="宋体" w:eastAsia="宋体" w:hint="default"/>
                <w:sz w:val="21"/>
                <w:szCs w:val="21"/>
              </w:rPr>
              <w:t>一号多终端试验业务是指用户可在自己的手机号码（主号码）账户和套餐下，添</w:t>
            </w:r>
            <w:r>
              <w:rPr>
                <w:rFonts w:ascii="宋体" w:hAnsi="宋体" w:cs="宋体" w:eastAsia="宋体" w:hint="default"/>
                <w:spacing w:val="-15"/>
                <w:sz w:val="21"/>
                <w:szCs w:val="21"/>
              </w:rPr>
              <w:t> </w:t>
            </w:r>
            <w:r>
              <w:rPr>
                <w:rFonts w:ascii="宋体" w:hAnsi="宋体" w:cs="宋体" w:eastAsia="宋体" w:hint="default"/>
                <w:spacing w:val="-15"/>
                <w:sz w:val="21"/>
                <w:szCs w:val="21"/>
              </w:rPr>
            </w:r>
            <w:r>
              <w:rPr>
                <w:rFonts w:ascii="宋体" w:hAnsi="宋体" w:cs="宋体" w:eastAsia="宋体" w:hint="default"/>
                <w:sz w:val="21"/>
                <w:szCs w:val="21"/>
              </w:rPr>
              <w:t>加一个附属智能设备（以下简称附属终端），使手机终端与附属终端共用一个手</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z w:val="21"/>
                <w:szCs w:val="21"/>
              </w:rPr>
              <w:t>机号码（主号码），给主号码来电时两个终端同振，任意终端均可拨出电话，主</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z w:val="21"/>
                <w:szCs w:val="21"/>
              </w:rPr>
              <w:t>附终端之间不能拨打电话。</w:t>
            </w:r>
          </w:p>
        </w:tc>
      </w:tr>
      <w:tr>
        <w:trPr>
          <w:trHeight w:val="322"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用户实名制</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用户在办理某些业务时需要提供有效的能证明个人身份的证件或资料。</w:t>
            </w:r>
          </w:p>
        </w:tc>
      </w:tr>
      <w:tr>
        <w:trPr>
          <w:trHeight w:val="1258"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云计算</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1"/>
              <w:jc w:val="both"/>
              <w:rPr>
                <w:rFonts w:ascii="宋体" w:hAnsi="宋体" w:cs="宋体" w:eastAsia="宋体" w:hint="default"/>
                <w:sz w:val="21"/>
                <w:szCs w:val="21"/>
              </w:rPr>
            </w:pPr>
            <w:r>
              <w:rPr>
                <w:rFonts w:ascii="宋体" w:hAnsi="宋体" w:cs="宋体" w:eastAsia="宋体" w:hint="default"/>
                <w:sz w:val="21"/>
                <w:szCs w:val="21"/>
              </w:rPr>
              <w:t>一种新的计算方法和商业模式。通过虚拟化等技术按照“即插即用”的方式，自</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z w:val="21"/>
                <w:szCs w:val="21"/>
              </w:rPr>
              <w:t>助管理运算、存储等资源能力形成高效资源池，以按需分配的服务形式提供计算</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pacing w:val="-3"/>
                <w:sz w:val="21"/>
                <w:szCs w:val="21"/>
              </w:rPr>
              <w:t>能力。并且，可以通过公众通信网络整合</w:t>
            </w:r>
            <w:r>
              <w:rPr>
                <w:rFonts w:ascii="宋体" w:hAnsi="宋体" w:cs="宋体" w:eastAsia="宋体" w:hint="default"/>
                <w:spacing w:val="-40"/>
                <w:sz w:val="21"/>
                <w:szCs w:val="21"/>
              </w:rPr>
              <w:t> </w:t>
            </w:r>
            <w:r>
              <w:rPr>
                <w:rFonts w:ascii="宋体" w:hAnsi="宋体" w:cs="宋体" w:eastAsia="宋体" w:hint="default"/>
                <w:sz w:val="21"/>
                <w:szCs w:val="21"/>
              </w:rPr>
              <w:t>IT</w:t>
            </w:r>
            <w:r>
              <w:rPr>
                <w:rFonts w:ascii="宋体" w:hAnsi="宋体" w:cs="宋体" w:eastAsia="宋体" w:hint="default"/>
                <w:spacing w:val="-44"/>
                <w:sz w:val="21"/>
                <w:szCs w:val="21"/>
              </w:rPr>
              <w:t> </w:t>
            </w:r>
            <w:r>
              <w:rPr>
                <w:rFonts w:ascii="宋体" w:hAnsi="宋体" w:cs="宋体" w:eastAsia="宋体" w:hint="default"/>
                <w:sz w:val="21"/>
                <w:szCs w:val="21"/>
              </w:rPr>
              <w:t>资源和业务，向用户提供新型的业务</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产品和新的交付模式。</w:t>
            </w:r>
          </w:p>
        </w:tc>
      </w:tr>
      <w:tr>
        <w:trPr>
          <w:trHeight w:val="634" w:hRule="exact"/>
        </w:trPr>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智慧城市</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7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4"/>
              <w:jc w:val="left"/>
              <w:rPr>
                <w:rFonts w:ascii="宋体" w:hAnsi="宋体" w:cs="宋体" w:eastAsia="宋体" w:hint="default"/>
                <w:sz w:val="21"/>
                <w:szCs w:val="21"/>
              </w:rPr>
            </w:pPr>
            <w:r>
              <w:rPr>
                <w:rFonts w:ascii="宋体" w:hAnsi="宋体" w:cs="宋体" w:eastAsia="宋体" w:hint="default"/>
                <w:sz w:val="21"/>
                <w:szCs w:val="21"/>
              </w:rPr>
              <w:t>以城市网络为基础，以物联网技术为信息采集手段，以云计算平台为信息处理中</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z w:val="21"/>
                <w:szCs w:val="21"/>
              </w:rPr>
              <w:t>心，提供跨域协同的应用服务。</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5"/>
          <w:szCs w:val="25"/>
        </w:rPr>
      </w:pPr>
    </w:p>
    <w:p>
      <w:pPr>
        <w:pStyle w:val="Heading1"/>
        <w:tabs>
          <w:tab w:pos="4090" w:val="left" w:leader="none"/>
        </w:tabs>
        <w:spacing w:line="413" w:lineRule="exact"/>
        <w:ind w:left="2830" w:right="0"/>
        <w:jc w:val="left"/>
        <w:rPr>
          <w:b w:val="0"/>
          <w:bCs w:val="0"/>
        </w:rPr>
      </w:pPr>
      <w:bookmarkStart w:name="_bookmark1" w:id="3"/>
      <w:bookmarkEnd w:id="3"/>
      <w:r>
        <w:rPr>
          <w:b w:val="0"/>
          <w:bCs w:val="0"/>
        </w:rPr>
      </w:r>
      <w:r>
        <w:rPr/>
        <w:t>第二节</w:t>
        <w:tab/>
        <w:t>公司简介和主要财务指标</w:t>
      </w:r>
      <w:r>
        <w:rPr>
          <w:b w:val="0"/>
          <w:bCs w:val="0"/>
        </w:rPr>
      </w:r>
    </w:p>
    <w:p>
      <w:pPr>
        <w:spacing w:line="240" w:lineRule="auto" w:before="12"/>
        <w:rPr>
          <w:rFonts w:ascii="Microsoft JhengHei" w:hAnsi="Microsoft JhengHei" w:cs="Microsoft JhengHei" w:eastAsia="Microsoft JhengHei" w:hint="default"/>
          <w:b/>
          <w:bCs/>
          <w:sz w:val="8"/>
          <w:szCs w:val="8"/>
        </w:rPr>
      </w:pPr>
    </w:p>
    <w:p>
      <w:pPr>
        <w:spacing w:line="335" w:lineRule="exact" w:before="0"/>
        <w:ind w:left="398" w:right="3139"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一、</w:t>
      </w:r>
      <w:r>
        <w:rPr>
          <w:rFonts w:ascii="Microsoft JhengHei" w:hAnsi="Microsoft JhengHei" w:cs="Microsoft JhengHei" w:eastAsia="Microsoft JhengHei" w:hint="default"/>
          <w:b/>
          <w:bCs/>
          <w:spacing w:val="28"/>
          <w:sz w:val="21"/>
          <w:szCs w:val="21"/>
        </w:rPr>
        <w:t> </w:t>
      </w:r>
      <w:r>
        <w:rPr>
          <w:rFonts w:ascii="Microsoft JhengHei" w:hAnsi="Microsoft JhengHei" w:cs="Microsoft JhengHei" w:eastAsia="Microsoft JhengHei" w:hint="default"/>
          <w:b/>
          <w:bCs/>
          <w:sz w:val="21"/>
          <w:szCs w:val="21"/>
        </w:rPr>
        <w:t>公司信息</w:t>
      </w:r>
      <w:r>
        <w:rPr>
          <w:rFonts w:ascii="Microsoft JhengHei" w:hAnsi="Microsoft JhengHei" w:cs="Microsoft JhengHei" w:eastAsia="Microsoft JhengHei" w:hint="default"/>
          <w:sz w:val="21"/>
          <w:szCs w:val="21"/>
        </w:rPr>
      </w:r>
    </w:p>
    <w:p>
      <w:pPr>
        <w:spacing w:line="240" w:lineRule="auto" w:before="16"/>
        <w:rPr>
          <w:rFonts w:ascii="Microsoft JhengHei" w:hAnsi="Microsoft JhengHei" w:cs="Microsoft JhengHei" w:eastAsia="Microsoft JhengHei" w:hint="default"/>
          <w:b/>
          <w:bCs/>
          <w:sz w:val="4"/>
          <w:szCs w:val="4"/>
        </w:rPr>
      </w:pPr>
    </w:p>
    <w:tbl>
      <w:tblPr>
        <w:tblW w:w="0" w:type="auto"/>
        <w:jc w:val="left"/>
        <w:tblInd w:w="362" w:type="dxa"/>
        <w:tblLayout w:type="fixed"/>
        <w:tblCellMar>
          <w:top w:w="0" w:type="dxa"/>
          <w:left w:w="0" w:type="dxa"/>
          <w:bottom w:w="0" w:type="dxa"/>
          <w:right w:w="0" w:type="dxa"/>
        </w:tblCellMar>
        <w:tblLook w:val="01E0"/>
      </w:tblPr>
      <w:tblGrid>
        <w:gridCol w:w="4025"/>
        <w:gridCol w:w="5252"/>
      </w:tblGrid>
      <w:tr>
        <w:trPr>
          <w:trHeight w:val="302" w:hRule="exact"/>
        </w:trPr>
        <w:tc>
          <w:tcPr>
            <w:tcW w:w="4025" w:type="dxa"/>
            <w:tcBorders>
              <w:top w:val="single" w:sz="4" w:space="0" w:color="000000"/>
              <w:left w:val="single" w:sz="4" w:space="0" w:color="000000"/>
              <w:bottom w:val="single" w:sz="12" w:space="0" w:color="D9D9D9"/>
              <w:right w:val="single" w:sz="4" w:space="0" w:color="000000"/>
            </w:tcBorders>
          </w:tcPr>
          <w:p>
            <w:pPr>
              <w:pStyle w:val="TableParagraph"/>
              <w:tabs>
                <w:tab w:pos="3962" w:val="left" w:leader="none"/>
              </w:tabs>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z w:val="21"/>
                <w:szCs w:val="21"/>
                <w:shd w:fill="D9D9D9" w:color="auto" w:val="clear"/>
              </w:rPr>
              <w:t>公司的中文名称</w:t>
              <w:tab/>
            </w:r>
            <w:r>
              <w:rPr>
                <w:rFonts w:ascii="宋体" w:hAnsi="宋体" w:cs="宋体" w:eastAsia="宋体" w:hint="default"/>
                <w:sz w:val="21"/>
                <w:szCs w:val="21"/>
              </w:rPr>
            </w:r>
          </w:p>
        </w:tc>
        <w:tc>
          <w:tcPr>
            <w:tcW w:w="52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中国联合网络通信股份有限公司</w:t>
            </w:r>
          </w:p>
        </w:tc>
      </w:tr>
      <w:tr>
        <w:trPr>
          <w:trHeight w:val="305" w:hRule="exact"/>
        </w:trPr>
        <w:tc>
          <w:tcPr>
            <w:tcW w:w="4025" w:type="dxa"/>
            <w:tcBorders>
              <w:top w:val="single" w:sz="12" w:space="0" w:color="D9D9D9"/>
              <w:left w:val="single" w:sz="4" w:space="0" w:color="000000"/>
              <w:bottom w:val="single" w:sz="12" w:space="0" w:color="D9D9D9"/>
              <w:right w:val="single" w:sz="4" w:space="0" w:color="000000"/>
            </w:tcBorders>
          </w:tcPr>
          <w:p>
            <w:pPr>
              <w:pStyle w:val="TableParagraph"/>
              <w:tabs>
                <w:tab w:pos="3962" w:val="left" w:leader="none"/>
              </w:tabs>
              <w:spacing w:line="234" w:lineRule="exact"/>
              <w:ind w:right="0"/>
              <w:jc w:val="center"/>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z w:val="21"/>
                <w:szCs w:val="21"/>
                <w:shd w:fill="D9D9D9" w:color="auto" w:val="clear"/>
              </w:rPr>
              <w:t>公司的中文简称</w:t>
              <w:tab/>
            </w:r>
            <w:r>
              <w:rPr>
                <w:rFonts w:ascii="宋体" w:hAnsi="宋体" w:cs="宋体" w:eastAsia="宋体" w:hint="default"/>
                <w:sz w:val="21"/>
                <w:szCs w:val="21"/>
              </w:rPr>
            </w:r>
          </w:p>
        </w:tc>
        <w:tc>
          <w:tcPr>
            <w:tcW w:w="52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宋体" w:hAnsi="宋体" w:cs="宋体" w:eastAsia="宋体" w:hint="default"/>
                <w:sz w:val="21"/>
                <w:szCs w:val="21"/>
              </w:rPr>
              <w:t>中国联通</w:t>
            </w:r>
          </w:p>
        </w:tc>
      </w:tr>
      <w:tr>
        <w:trPr>
          <w:trHeight w:val="302" w:hRule="exact"/>
        </w:trPr>
        <w:tc>
          <w:tcPr>
            <w:tcW w:w="4025" w:type="dxa"/>
            <w:tcBorders>
              <w:top w:val="single" w:sz="12" w:space="0" w:color="D9D9D9"/>
              <w:left w:val="single" w:sz="4" w:space="0" w:color="000000"/>
              <w:bottom w:val="single" w:sz="12" w:space="0" w:color="D9D9D9"/>
              <w:right w:val="single" w:sz="4" w:space="0" w:color="000000"/>
            </w:tcBorders>
          </w:tcPr>
          <w:p>
            <w:pPr>
              <w:pStyle w:val="TableParagraph"/>
              <w:tabs>
                <w:tab w:pos="3962" w:val="left" w:leader="none"/>
              </w:tabs>
              <w:spacing w:line="230" w:lineRule="exact"/>
              <w:ind w:right="0"/>
              <w:jc w:val="center"/>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z w:val="21"/>
                <w:szCs w:val="21"/>
                <w:shd w:fill="D9D9D9" w:color="auto" w:val="clear"/>
              </w:rPr>
              <w:t>公司的外文名称</w:t>
              <w:tab/>
            </w:r>
            <w:r>
              <w:rPr>
                <w:rFonts w:ascii="宋体" w:hAnsi="宋体" w:cs="宋体" w:eastAsia="宋体" w:hint="default"/>
                <w:sz w:val="21"/>
                <w:szCs w:val="21"/>
              </w:rPr>
            </w:r>
          </w:p>
        </w:tc>
        <w:tc>
          <w:tcPr>
            <w:tcW w:w="52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sz w:val="21"/>
              </w:rPr>
              <w:t>China United Network Communications</w:t>
            </w:r>
            <w:r>
              <w:rPr>
                <w:rFonts w:ascii="宋体"/>
                <w:spacing w:val="-6"/>
                <w:sz w:val="21"/>
              </w:rPr>
              <w:t> </w:t>
            </w:r>
            <w:r>
              <w:rPr>
                <w:rFonts w:ascii="宋体"/>
                <w:sz w:val="21"/>
              </w:rPr>
              <w:t>Limited</w:t>
            </w:r>
          </w:p>
        </w:tc>
      </w:tr>
      <w:tr>
        <w:trPr>
          <w:trHeight w:val="302" w:hRule="exact"/>
        </w:trPr>
        <w:tc>
          <w:tcPr>
            <w:tcW w:w="4025" w:type="dxa"/>
            <w:tcBorders>
              <w:top w:val="single" w:sz="12" w:space="0" w:color="D9D9D9"/>
              <w:left w:val="single" w:sz="4" w:space="0" w:color="000000"/>
              <w:bottom w:val="single" w:sz="12" w:space="0" w:color="D9D9D9"/>
              <w:right w:val="single" w:sz="4" w:space="0" w:color="000000"/>
            </w:tcBorders>
          </w:tcPr>
          <w:p>
            <w:pPr>
              <w:pStyle w:val="TableParagraph"/>
              <w:tabs>
                <w:tab w:pos="3962" w:val="left" w:leader="none"/>
              </w:tabs>
              <w:spacing w:line="230" w:lineRule="exact"/>
              <w:ind w:right="0"/>
              <w:jc w:val="center"/>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z w:val="21"/>
                <w:szCs w:val="21"/>
                <w:shd w:fill="D9D9D9" w:color="auto" w:val="clear"/>
              </w:rPr>
              <w:t>公司的外文名称缩写</w:t>
              <w:tab/>
            </w:r>
            <w:r>
              <w:rPr>
                <w:rFonts w:ascii="宋体" w:hAnsi="宋体" w:cs="宋体" w:eastAsia="宋体" w:hint="default"/>
                <w:sz w:val="21"/>
                <w:szCs w:val="21"/>
              </w:rPr>
            </w:r>
          </w:p>
        </w:tc>
        <w:tc>
          <w:tcPr>
            <w:tcW w:w="52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sz w:val="21"/>
              </w:rPr>
              <w:t>China</w:t>
            </w:r>
            <w:r>
              <w:rPr>
                <w:rFonts w:ascii="宋体"/>
                <w:spacing w:val="1"/>
                <w:sz w:val="21"/>
              </w:rPr>
              <w:t> </w:t>
            </w:r>
            <w:r>
              <w:rPr>
                <w:rFonts w:ascii="宋体"/>
                <w:sz w:val="21"/>
              </w:rPr>
              <w:t>Unicom</w:t>
            </w:r>
          </w:p>
        </w:tc>
      </w:tr>
      <w:tr>
        <w:trPr>
          <w:trHeight w:val="305" w:hRule="exact"/>
        </w:trPr>
        <w:tc>
          <w:tcPr>
            <w:tcW w:w="4025" w:type="dxa"/>
            <w:tcBorders>
              <w:top w:val="single" w:sz="12" w:space="0" w:color="D9D9D9"/>
              <w:left w:val="single" w:sz="4" w:space="0" w:color="000000"/>
              <w:bottom w:val="single" w:sz="12" w:space="0" w:color="D9D9D9"/>
              <w:right w:val="single" w:sz="4" w:space="0" w:color="000000"/>
            </w:tcBorders>
          </w:tcPr>
          <w:p>
            <w:pPr>
              <w:pStyle w:val="TableParagraph"/>
              <w:tabs>
                <w:tab w:pos="3962" w:val="left" w:leader="none"/>
              </w:tabs>
              <w:spacing w:line="231" w:lineRule="exact"/>
              <w:ind w:right="0"/>
              <w:jc w:val="center"/>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z w:val="21"/>
                <w:szCs w:val="21"/>
                <w:shd w:fill="D9D9D9" w:color="auto" w:val="clear"/>
              </w:rPr>
              <w:t>公司的法定代表人</w:t>
              <w:tab/>
            </w:r>
            <w:r>
              <w:rPr>
                <w:rFonts w:ascii="宋体" w:hAnsi="宋体" w:cs="宋体" w:eastAsia="宋体" w:hint="default"/>
                <w:sz w:val="21"/>
                <w:szCs w:val="21"/>
              </w:rPr>
            </w:r>
          </w:p>
        </w:tc>
        <w:tc>
          <w:tcPr>
            <w:tcW w:w="52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王晓初</w:t>
            </w:r>
          </w:p>
        </w:tc>
      </w:tr>
    </w:tbl>
    <w:p>
      <w:pPr>
        <w:spacing w:line="240" w:lineRule="auto" w:before="17"/>
        <w:rPr>
          <w:rFonts w:ascii="Microsoft JhengHei" w:hAnsi="Microsoft JhengHei" w:cs="Microsoft JhengHei" w:eastAsia="Microsoft JhengHei" w:hint="default"/>
          <w:b/>
          <w:bCs/>
          <w:sz w:val="17"/>
          <w:szCs w:val="17"/>
        </w:rPr>
      </w:pPr>
    </w:p>
    <w:p>
      <w:pPr>
        <w:spacing w:line="335" w:lineRule="exact" w:before="0"/>
        <w:ind w:left="398" w:right="3139"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二、</w:t>
      </w:r>
      <w:r>
        <w:rPr>
          <w:rFonts w:ascii="Microsoft JhengHei" w:hAnsi="Microsoft JhengHei" w:cs="Microsoft JhengHei" w:eastAsia="Microsoft JhengHei" w:hint="default"/>
          <w:b/>
          <w:bCs/>
          <w:spacing w:val="33"/>
          <w:sz w:val="21"/>
          <w:szCs w:val="21"/>
        </w:rPr>
        <w:t> </w:t>
      </w:r>
      <w:r>
        <w:rPr>
          <w:rFonts w:ascii="Microsoft JhengHei" w:hAnsi="Microsoft JhengHei" w:cs="Microsoft JhengHei" w:eastAsia="Microsoft JhengHei" w:hint="default"/>
          <w:b/>
          <w:bCs/>
          <w:sz w:val="21"/>
          <w:szCs w:val="21"/>
        </w:rPr>
        <w:t>联系人和联系方式</w:t>
      </w:r>
      <w:r>
        <w:rPr>
          <w:rFonts w:ascii="Microsoft JhengHei" w:hAnsi="Microsoft JhengHei" w:cs="Microsoft JhengHei" w:eastAsia="Microsoft JhengHei" w:hint="default"/>
          <w:sz w:val="21"/>
          <w:szCs w:val="21"/>
        </w:rPr>
      </w:r>
    </w:p>
    <w:p>
      <w:pPr>
        <w:spacing w:line="240" w:lineRule="auto" w:before="16"/>
        <w:rPr>
          <w:rFonts w:ascii="Microsoft JhengHei" w:hAnsi="Microsoft JhengHei" w:cs="Microsoft JhengHei" w:eastAsia="Microsoft JhengHei" w:hint="default"/>
          <w:b/>
          <w:bCs/>
          <w:sz w:val="4"/>
          <w:szCs w:val="4"/>
        </w:rPr>
      </w:pPr>
    </w:p>
    <w:tbl>
      <w:tblPr>
        <w:tblW w:w="0" w:type="auto"/>
        <w:jc w:val="left"/>
        <w:tblInd w:w="362" w:type="dxa"/>
        <w:tblLayout w:type="fixed"/>
        <w:tblCellMar>
          <w:top w:w="0" w:type="dxa"/>
          <w:left w:w="0" w:type="dxa"/>
          <w:bottom w:w="0" w:type="dxa"/>
          <w:right w:w="0" w:type="dxa"/>
        </w:tblCellMar>
        <w:tblLook w:val="01E0"/>
      </w:tblPr>
      <w:tblGrid>
        <w:gridCol w:w="2530"/>
        <w:gridCol w:w="3653"/>
        <w:gridCol w:w="3094"/>
      </w:tblGrid>
      <w:tr>
        <w:trPr>
          <w:trHeight w:val="281" w:hRule="exact"/>
        </w:trPr>
        <w:tc>
          <w:tcPr>
            <w:tcW w:w="253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36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30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911" w:right="0"/>
              <w:jc w:val="left"/>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283" w:hRule="exact"/>
        </w:trPr>
        <w:tc>
          <w:tcPr>
            <w:tcW w:w="25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朱可炳</w:t>
            </w:r>
          </w:p>
        </w:tc>
        <w:tc>
          <w:tcPr>
            <w:tcW w:w="30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黄学谦</w:t>
            </w:r>
          </w:p>
        </w:tc>
      </w:tr>
      <w:tr>
        <w:trPr>
          <w:trHeight w:val="283" w:hRule="exact"/>
        </w:trPr>
        <w:tc>
          <w:tcPr>
            <w:tcW w:w="25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联系地址</w:t>
            </w:r>
          </w:p>
        </w:tc>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北京市西城区金融大街</w:t>
            </w:r>
            <w:r>
              <w:rPr>
                <w:rFonts w:ascii="宋体" w:hAnsi="宋体" w:cs="宋体" w:eastAsia="宋体" w:hint="default"/>
                <w:sz w:val="21"/>
                <w:szCs w:val="21"/>
              </w:rPr>
              <w:t>21</w:t>
            </w:r>
            <w:r>
              <w:rPr>
                <w:rFonts w:ascii="宋体" w:hAnsi="宋体" w:cs="宋体" w:eastAsia="宋体" w:hint="default"/>
                <w:sz w:val="21"/>
                <w:szCs w:val="21"/>
              </w:rPr>
              <w:t>号</w:t>
            </w:r>
          </w:p>
        </w:tc>
        <w:tc>
          <w:tcPr>
            <w:tcW w:w="30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北京市西城区金融大街</w:t>
            </w:r>
            <w:r>
              <w:rPr>
                <w:rFonts w:ascii="宋体" w:hAnsi="宋体" w:cs="宋体" w:eastAsia="宋体" w:hint="default"/>
                <w:sz w:val="21"/>
                <w:szCs w:val="21"/>
              </w:rPr>
              <w:t>21</w:t>
            </w:r>
            <w:r>
              <w:rPr>
                <w:rFonts w:ascii="宋体" w:hAnsi="宋体" w:cs="宋体" w:eastAsia="宋体" w:hint="default"/>
                <w:sz w:val="21"/>
                <w:szCs w:val="21"/>
              </w:rPr>
              <w:t>号</w:t>
            </w:r>
          </w:p>
        </w:tc>
      </w:tr>
      <w:tr>
        <w:trPr>
          <w:trHeight w:val="281" w:hRule="exact"/>
        </w:trPr>
        <w:tc>
          <w:tcPr>
            <w:tcW w:w="25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电话</w:t>
            </w:r>
          </w:p>
        </w:tc>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sz w:val="21"/>
              </w:rPr>
              <w:t>010-66259179</w:t>
            </w:r>
          </w:p>
        </w:tc>
        <w:tc>
          <w:tcPr>
            <w:tcW w:w="30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sz w:val="21"/>
              </w:rPr>
              <w:t>010-66259179</w:t>
            </w:r>
          </w:p>
        </w:tc>
      </w:tr>
      <w:tr>
        <w:trPr>
          <w:trHeight w:val="283" w:hRule="exact"/>
        </w:trPr>
        <w:tc>
          <w:tcPr>
            <w:tcW w:w="25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传真</w:t>
            </w:r>
          </w:p>
        </w:tc>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sz w:val="21"/>
              </w:rPr>
              <w:t>010-66259544</w:t>
            </w:r>
          </w:p>
        </w:tc>
        <w:tc>
          <w:tcPr>
            <w:tcW w:w="30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sz w:val="21"/>
              </w:rPr>
              <w:t>010-66259544</w:t>
            </w:r>
          </w:p>
        </w:tc>
      </w:tr>
      <w:tr>
        <w:trPr>
          <w:trHeight w:val="283" w:hRule="exact"/>
        </w:trPr>
        <w:tc>
          <w:tcPr>
            <w:tcW w:w="25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hyperlink r:id="rId14">
              <w:r>
                <w:rPr>
                  <w:rFonts w:ascii="宋体"/>
                  <w:sz w:val="21"/>
                </w:rPr>
                <w:t>dongmi@chinaunicom.cn</w:t>
              </w:r>
            </w:hyperlink>
          </w:p>
        </w:tc>
        <w:tc>
          <w:tcPr>
            <w:tcW w:w="30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hyperlink r:id="rId15">
              <w:r>
                <w:rPr>
                  <w:rFonts w:ascii="宋体"/>
                  <w:sz w:val="21"/>
                </w:rPr>
                <w:t>ir@chinaunicom.cn</w:t>
              </w:r>
            </w:hyperlink>
          </w:p>
        </w:tc>
      </w:tr>
    </w:tbl>
    <w:p>
      <w:pPr>
        <w:spacing w:line="240" w:lineRule="auto" w:before="10"/>
        <w:rPr>
          <w:rFonts w:ascii="Microsoft JhengHei" w:hAnsi="Microsoft JhengHei" w:cs="Microsoft JhengHei" w:eastAsia="Microsoft JhengHei" w:hint="default"/>
          <w:b/>
          <w:bCs/>
          <w:sz w:val="18"/>
          <w:szCs w:val="18"/>
        </w:rPr>
      </w:pPr>
    </w:p>
    <w:p>
      <w:pPr>
        <w:spacing w:line="335" w:lineRule="exact" w:before="0"/>
        <w:ind w:left="398" w:right="3139"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三、</w:t>
      </w:r>
      <w:r>
        <w:rPr>
          <w:rFonts w:ascii="Microsoft JhengHei" w:hAnsi="Microsoft JhengHei" w:cs="Microsoft JhengHei" w:eastAsia="Microsoft JhengHei" w:hint="default"/>
          <w:b/>
          <w:bCs/>
          <w:spacing w:val="29"/>
          <w:sz w:val="21"/>
          <w:szCs w:val="21"/>
        </w:rPr>
        <w:t> </w:t>
      </w:r>
      <w:r>
        <w:rPr>
          <w:rFonts w:ascii="Microsoft JhengHei" w:hAnsi="Microsoft JhengHei" w:cs="Microsoft JhengHei" w:eastAsia="Microsoft JhengHei" w:hint="default"/>
          <w:b/>
          <w:bCs/>
          <w:sz w:val="21"/>
          <w:szCs w:val="21"/>
        </w:rPr>
        <w:t>基本情况简介</w:t>
      </w:r>
      <w:r>
        <w:rPr>
          <w:rFonts w:ascii="Microsoft JhengHei" w:hAnsi="Microsoft JhengHei" w:cs="Microsoft JhengHei" w:eastAsia="Microsoft JhengHei" w:hint="default"/>
          <w:sz w:val="21"/>
          <w:szCs w:val="21"/>
        </w:rPr>
      </w:r>
    </w:p>
    <w:p>
      <w:pPr>
        <w:spacing w:line="240" w:lineRule="auto" w:before="16"/>
        <w:rPr>
          <w:rFonts w:ascii="Microsoft JhengHei" w:hAnsi="Microsoft JhengHei" w:cs="Microsoft JhengHei" w:eastAsia="Microsoft JhengHei" w:hint="default"/>
          <w:b/>
          <w:bCs/>
          <w:sz w:val="4"/>
          <w:szCs w:val="4"/>
        </w:rPr>
      </w:pPr>
    </w:p>
    <w:tbl>
      <w:tblPr>
        <w:tblW w:w="0" w:type="auto"/>
        <w:jc w:val="left"/>
        <w:tblInd w:w="362" w:type="dxa"/>
        <w:tblLayout w:type="fixed"/>
        <w:tblCellMar>
          <w:top w:w="0" w:type="dxa"/>
          <w:left w:w="0" w:type="dxa"/>
          <w:bottom w:w="0" w:type="dxa"/>
          <w:right w:w="0" w:type="dxa"/>
        </w:tblCellMar>
        <w:tblLook w:val="01E0"/>
      </w:tblPr>
      <w:tblGrid>
        <w:gridCol w:w="4025"/>
        <w:gridCol w:w="5252"/>
      </w:tblGrid>
      <w:tr>
        <w:trPr>
          <w:trHeight w:val="302" w:hRule="exact"/>
        </w:trPr>
        <w:tc>
          <w:tcPr>
            <w:tcW w:w="4025" w:type="dxa"/>
            <w:tcBorders>
              <w:top w:val="single" w:sz="4" w:space="0" w:color="000000"/>
              <w:left w:val="single" w:sz="4" w:space="0" w:color="000000"/>
              <w:bottom w:val="single" w:sz="9" w:space="0" w:color="D9D9D9"/>
              <w:right w:val="single" w:sz="4" w:space="0" w:color="000000"/>
            </w:tcBorders>
          </w:tcPr>
          <w:p>
            <w:pPr>
              <w:pStyle w:val="TableParagraph"/>
              <w:tabs>
                <w:tab w:pos="3962" w:val="left" w:leader="none"/>
              </w:tabs>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z w:val="21"/>
                <w:szCs w:val="21"/>
                <w:shd w:fill="D9D9D9" w:color="auto" w:val="clear"/>
              </w:rPr>
              <w:t>公司注册地址</w:t>
              <w:tab/>
            </w:r>
            <w:r>
              <w:rPr>
                <w:rFonts w:ascii="宋体" w:hAnsi="宋体" w:cs="宋体" w:eastAsia="宋体" w:hint="default"/>
                <w:sz w:val="21"/>
                <w:szCs w:val="21"/>
              </w:rPr>
            </w:r>
          </w:p>
        </w:tc>
        <w:tc>
          <w:tcPr>
            <w:tcW w:w="52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北京市西城区金融大街</w:t>
            </w:r>
            <w:r>
              <w:rPr>
                <w:rFonts w:ascii="宋体" w:hAnsi="宋体" w:cs="宋体" w:eastAsia="宋体" w:hint="default"/>
                <w:sz w:val="21"/>
                <w:szCs w:val="21"/>
              </w:rPr>
              <w:t>21</w:t>
            </w:r>
            <w:r>
              <w:rPr>
                <w:rFonts w:ascii="宋体" w:hAnsi="宋体" w:cs="宋体" w:eastAsia="宋体" w:hint="default"/>
                <w:sz w:val="21"/>
                <w:szCs w:val="21"/>
              </w:rPr>
              <w:t>号</w:t>
            </w:r>
            <w:r>
              <w:rPr>
                <w:rFonts w:ascii="宋体" w:hAnsi="宋体" w:cs="宋体" w:eastAsia="宋体" w:hint="default"/>
                <w:sz w:val="21"/>
                <w:szCs w:val="21"/>
              </w:rPr>
              <w:t>4</w:t>
            </w:r>
            <w:r>
              <w:rPr>
                <w:rFonts w:ascii="宋体" w:hAnsi="宋体" w:cs="宋体" w:eastAsia="宋体" w:hint="default"/>
                <w:sz w:val="21"/>
                <w:szCs w:val="21"/>
              </w:rPr>
              <w:t>楼</w:t>
            </w:r>
          </w:p>
        </w:tc>
      </w:tr>
      <w:tr>
        <w:trPr>
          <w:trHeight w:val="303" w:hRule="exact"/>
        </w:trPr>
        <w:tc>
          <w:tcPr>
            <w:tcW w:w="4025" w:type="dxa"/>
            <w:tcBorders>
              <w:top w:val="single" w:sz="9" w:space="0" w:color="D9D9D9"/>
              <w:left w:val="single" w:sz="4" w:space="0" w:color="000000"/>
              <w:bottom w:val="single" w:sz="12" w:space="0" w:color="D9D9D9"/>
              <w:right w:val="single" w:sz="4" w:space="0" w:color="000000"/>
            </w:tcBorders>
          </w:tcPr>
          <w:p>
            <w:pPr>
              <w:pStyle w:val="TableParagraph"/>
              <w:tabs>
                <w:tab w:pos="3962" w:val="left" w:leader="none"/>
              </w:tabs>
              <w:spacing w:line="235" w:lineRule="exact"/>
              <w:ind w:right="0"/>
              <w:jc w:val="center"/>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z w:val="21"/>
                <w:szCs w:val="21"/>
                <w:shd w:fill="D9D9D9" w:color="auto" w:val="clear"/>
              </w:rPr>
              <w:t>公司注册地址的邮政编码</w:t>
              <w:tab/>
            </w:r>
            <w:r>
              <w:rPr>
                <w:rFonts w:ascii="宋体" w:hAnsi="宋体" w:cs="宋体" w:eastAsia="宋体" w:hint="default"/>
                <w:sz w:val="21"/>
                <w:szCs w:val="21"/>
              </w:rPr>
            </w:r>
          </w:p>
        </w:tc>
        <w:tc>
          <w:tcPr>
            <w:tcW w:w="52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sz w:val="21"/>
              </w:rPr>
              <w:t>100033</w:t>
            </w:r>
          </w:p>
        </w:tc>
      </w:tr>
      <w:tr>
        <w:trPr>
          <w:trHeight w:val="302" w:hRule="exact"/>
        </w:trPr>
        <w:tc>
          <w:tcPr>
            <w:tcW w:w="4025" w:type="dxa"/>
            <w:tcBorders>
              <w:top w:val="single" w:sz="12" w:space="0" w:color="D9D9D9"/>
              <w:left w:val="single" w:sz="4" w:space="0" w:color="000000"/>
              <w:bottom w:val="single" w:sz="12" w:space="0" w:color="D9D9D9"/>
              <w:right w:val="single" w:sz="4" w:space="0" w:color="000000"/>
            </w:tcBorders>
          </w:tcPr>
          <w:p>
            <w:pPr>
              <w:pStyle w:val="TableParagraph"/>
              <w:tabs>
                <w:tab w:pos="3962" w:val="left" w:leader="none"/>
              </w:tabs>
              <w:spacing w:line="231" w:lineRule="exact"/>
              <w:ind w:right="0"/>
              <w:jc w:val="center"/>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z w:val="21"/>
                <w:szCs w:val="21"/>
                <w:shd w:fill="D9D9D9" w:color="auto" w:val="clear"/>
              </w:rPr>
              <w:t>公司办公地址</w:t>
              <w:tab/>
            </w:r>
            <w:r>
              <w:rPr>
                <w:rFonts w:ascii="宋体" w:hAnsi="宋体" w:cs="宋体" w:eastAsia="宋体" w:hint="default"/>
                <w:sz w:val="21"/>
                <w:szCs w:val="21"/>
              </w:rPr>
            </w:r>
          </w:p>
        </w:tc>
        <w:tc>
          <w:tcPr>
            <w:tcW w:w="52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北京市西城区金融大街</w:t>
            </w:r>
            <w:r>
              <w:rPr>
                <w:rFonts w:ascii="宋体" w:hAnsi="宋体" w:cs="宋体" w:eastAsia="宋体" w:hint="default"/>
                <w:sz w:val="21"/>
                <w:szCs w:val="21"/>
              </w:rPr>
              <w:t>21</w:t>
            </w:r>
            <w:r>
              <w:rPr>
                <w:rFonts w:ascii="宋体" w:hAnsi="宋体" w:cs="宋体" w:eastAsia="宋体" w:hint="default"/>
                <w:sz w:val="21"/>
                <w:szCs w:val="21"/>
              </w:rPr>
              <w:t>号</w:t>
            </w:r>
          </w:p>
        </w:tc>
      </w:tr>
      <w:tr>
        <w:trPr>
          <w:trHeight w:val="305" w:hRule="exact"/>
        </w:trPr>
        <w:tc>
          <w:tcPr>
            <w:tcW w:w="4025" w:type="dxa"/>
            <w:tcBorders>
              <w:top w:val="single" w:sz="12" w:space="0" w:color="D9D9D9"/>
              <w:left w:val="single" w:sz="4" w:space="0" w:color="000000"/>
              <w:bottom w:val="single" w:sz="9" w:space="0" w:color="D9D9D9"/>
              <w:right w:val="single" w:sz="4" w:space="0" w:color="000000"/>
            </w:tcBorders>
          </w:tcPr>
          <w:p>
            <w:pPr>
              <w:pStyle w:val="TableParagraph"/>
              <w:tabs>
                <w:tab w:pos="3962" w:val="left" w:leader="none"/>
              </w:tabs>
              <w:spacing w:line="234" w:lineRule="exact"/>
              <w:ind w:right="0"/>
              <w:jc w:val="center"/>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z w:val="21"/>
                <w:szCs w:val="21"/>
                <w:shd w:fill="D9D9D9" w:color="auto" w:val="clear"/>
              </w:rPr>
              <w:t>公司办公地址的邮政编码</w:t>
              <w:tab/>
            </w:r>
            <w:r>
              <w:rPr>
                <w:rFonts w:ascii="宋体" w:hAnsi="宋体" w:cs="宋体" w:eastAsia="宋体" w:hint="default"/>
                <w:sz w:val="21"/>
                <w:szCs w:val="21"/>
              </w:rPr>
            </w:r>
          </w:p>
        </w:tc>
        <w:tc>
          <w:tcPr>
            <w:tcW w:w="52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宋体"/>
                <w:sz w:val="21"/>
              </w:rPr>
              <w:t>100033</w:t>
            </w:r>
          </w:p>
        </w:tc>
      </w:tr>
    </w:tbl>
    <w:p>
      <w:pPr>
        <w:spacing w:after="0" w:line="243" w:lineRule="exact"/>
        <w:jc w:val="left"/>
        <w:rPr>
          <w:rFonts w:ascii="宋体" w:hAnsi="宋体" w:cs="宋体" w:eastAsia="宋体" w:hint="default"/>
          <w:sz w:val="21"/>
          <w:szCs w:val="21"/>
        </w:rPr>
        <w:sectPr>
          <w:footerReference w:type="default" r:id="rId13"/>
          <w:pgSz w:w="11910" w:h="16840"/>
          <w:pgMar w:footer="502" w:header="854" w:top="1360" w:bottom="700" w:left="1020" w:right="860"/>
        </w:sectPr>
      </w:pPr>
    </w:p>
    <w:p>
      <w:pPr>
        <w:spacing w:line="240" w:lineRule="auto" w:before="6"/>
        <w:rPr>
          <w:rFonts w:ascii="Microsoft JhengHei" w:hAnsi="Microsoft JhengHei" w:cs="Microsoft JhengHei" w:eastAsia="Microsoft JhengHei" w:hint="default"/>
          <w:b/>
          <w:bCs/>
          <w:sz w:val="9"/>
          <w:szCs w:val="9"/>
        </w:rPr>
      </w:pPr>
    </w:p>
    <w:tbl>
      <w:tblPr>
        <w:tblW w:w="0" w:type="auto"/>
        <w:jc w:val="left"/>
        <w:tblInd w:w="502" w:type="dxa"/>
        <w:tblLayout w:type="fixed"/>
        <w:tblCellMar>
          <w:top w:w="0" w:type="dxa"/>
          <w:left w:w="0" w:type="dxa"/>
          <w:bottom w:w="0" w:type="dxa"/>
          <w:right w:w="0" w:type="dxa"/>
        </w:tblCellMar>
        <w:tblLook w:val="01E0"/>
      </w:tblPr>
      <w:tblGrid>
        <w:gridCol w:w="4025"/>
        <w:gridCol w:w="5252"/>
      </w:tblGrid>
      <w:tr>
        <w:trPr>
          <w:trHeight w:val="305" w:hRule="exact"/>
        </w:trPr>
        <w:tc>
          <w:tcPr>
            <w:tcW w:w="4025" w:type="dxa"/>
            <w:tcBorders>
              <w:top w:val="single" w:sz="4" w:space="0" w:color="000000"/>
              <w:left w:val="single" w:sz="4" w:space="0" w:color="000000"/>
              <w:bottom w:val="single" w:sz="12" w:space="0" w:color="D9D9D9"/>
              <w:right w:val="single" w:sz="4" w:space="0" w:color="000000"/>
            </w:tcBorders>
          </w:tcPr>
          <w:p>
            <w:pPr>
              <w:pStyle w:val="TableParagraph"/>
              <w:tabs>
                <w:tab w:pos="3962" w:val="left" w:leader="none"/>
              </w:tabs>
              <w:spacing w:line="243" w:lineRule="exact"/>
              <w:ind w:right="0"/>
              <w:jc w:val="center"/>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z w:val="21"/>
                <w:szCs w:val="21"/>
                <w:shd w:fill="D9D9D9" w:color="auto" w:val="clear"/>
              </w:rPr>
              <w:t>公司网址</w:t>
              <w:tab/>
            </w:r>
            <w:r>
              <w:rPr>
                <w:rFonts w:ascii="宋体" w:hAnsi="宋体" w:cs="宋体" w:eastAsia="宋体" w:hint="default"/>
                <w:sz w:val="21"/>
                <w:szCs w:val="21"/>
              </w:rPr>
            </w:r>
          </w:p>
        </w:tc>
        <w:tc>
          <w:tcPr>
            <w:tcW w:w="52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hyperlink r:id="rId17">
              <w:r>
                <w:rPr>
                  <w:rFonts w:ascii="宋体"/>
                  <w:sz w:val="21"/>
                </w:rPr>
                <w:t>www.chinaunicom-a.com</w:t>
              </w:r>
            </w:hyperlink>
          </w:p>
        </w:tc>
      </w:tr>
      <w:tr>
        <w:trPr>
          <w:trHeight w:val="302" w:hRule="exact"/>
        </w:trPr>
        <w:tc>
          <w:tcPr>
            <w:tcW w:w="4025" w:type="dxa"/>
            <w:tcBorders>
              <w:top w:val="single" w:sz="12" w:space="0" w:color="D9D9D9"/>
              <w:left w:val="single" w:sz="4" w:space="0" w:color="000000"/>
              <w:bottom w:val="single" w:sz="12" w:space="0" w:color="D9D9D9"/>
              <w:right w:val="single" w:sz="4" w:space="0" w:color="000000"/>
            </w:tcBorders>
          </w:tcPr>
          <w:p>
            <w:pPr>
              <w:pStyle w:val="TableParagraph"/>
              <w:tabs>
                <w:tab w:pos="3962" w:val="left" w:leader="none"/>
              </w:tabs>
              <w:spacing w:line="230" w:lineRule="exact"/>
              <w:ind w:right="0"/>
              <w:jc w:val="center"/>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z w:val="21"/>
                <w:szCs w:val="21"/>
                <w:shd w:fill="D9D9D9" w:color="auto" w:val="clear"/>
              </w:rPr>
              <w:t>电子信箱</w:t>
              <w:tab/>
            </w:r>
            <w:r>
              <w:rPr>
                <w:rFonts w:ascii="宋体" w:hAnsi="宋体" w:cs="宋体" w:eastAsia="宋体" w:hint="default"/>
                <w:sz w:val="21"/>
                <w:szCs w:val="21"/>
              </w:rPr>
            </w:r>
          </w:p>
        </w:tc>
        <w:tc>
          <w:tcPr>
            <w:tcW w:w="52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hyperlink r:id="rId15">
              <w:r>
                <w:rPr>
                  <w:rFonts w:ascii="宋体"/>
                  <w:sz w:val="21"/>
                </w:rPr>
                <w:t>ir@chinaunicom.cn</w:t>
              </w:r>
            </w:hyperlink>
          </w:p>
        </w:tc>
      </w:tr>
    </w:tbl>
    <w:p>
      <w:pPr>
        <w:spacing w:line="240" w:lineRule="auto" w:before="17"/>
        <w:rPr>
          <w:rFonts w:ascii="Microsoft JhengHei" w:hAnsi="Microsoft JhengHei" w:cs="Microsoft JhengHei" w:eastAsia="Microsoft JhengHei" w:hint="default"/>
          <w:b/>
          <w:bCs/>
          <w:sz w:val="17"/>
          <w:szCs w:val="17"/>
        </w:rPr>
      </w:pPr>
    </w:p>
    <w:p>
      <w:pPr>
        <w:spacing w:line="335" w:lineRule="exact" w:before="0"/>
        <w:ind w:left="538"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四、</w:t>
      </w:r>
      <w:r>
        <w:rPr>
          <w:rFonts w:ascii="Microsoft JhengHei" w:hAnsi="Microsoft JhengHei" w:cs="Microsoft JhengHei" w:eastAsia="Microsoft JhengHei" w:hint="default"/>
          <w:b/>
          <w:bCs/>
          <w:spacing w:val="34"/>
          <w:sz w:val="21"/>
          <w:szCs w:val="21"/>
        </w:rPr>
        <w:t> </w:t>
      </w:r>
      <w:r>
        <w:rPr>
          <w:rFonts w:ascii="Microsoft JhengHei" w:hAnsi="Microsoft JhengHei" w:cs="Microsoft JhengHei" w:eastAsia="Microsoft JhengHei" w:hint="default"/>
          <w:b/>
          <w:bCs/>
          <w:sz w:val="21"/>
          <w:szCs w:val="21"/>
        </w:rPr>
        <w:t>信息披露及备置地点</w:t>
      </w:r>
      <w:r>
        <w:rPr>
          <w:rFonts w:ascii="Microsoft JhengHei" w:hAnsi="Microsoft JhengHei" w:cs="Microsoft JhengHei" w:eastAsia="Microsoft JhengHei" w:hint="default"/>
          <w:sz w:val="21"/>
          <w:szCs w:val="21"/>
        </w:rPr>
      </w:r>
    </w:p>
    <w:p>
      <w:pPr>
        <w:spacing w:line="240" w:lineRule="auto" w:before="16"/>
        <w:rPr>
          <w:rFonts w:ascii="Microsoft JhengHei" w:hAnsi="Microsoft JhengHei" w:cs="Microsoft JhengHei" w:eastAsia="Microsoft JhengHei" w:hint="default"/>
          <w:b/>
          <w:bCs/>
          <w:sz w:val="4"/>
          <w:szCs w:val="4"/>
        </w:rPr>
      </w:pPr>
    </w:p>
    <w:tbl>
      <w:tblPr>
        <w:tblW w:w="0" w:type="auto"/>
        <w:jc w:val="left"/>
        <w:tblInd w:w="502" w:type="dxa"/>
        <w:tblLayout w:type="fixed"/>
        <w:tblCellMar>
          <w:top w:w="0" w:type="dxa"/>
          <w:left w:w="0" w:type="dxa"/>
          <w:bottom w:w="0" w:type="dxa"/>
          <w:right w:w="0" w:type="dxa"/>
        </w:tblCellMar>
        <w:tblLook w:val="01E0"/>
      </w:tblPr>
      <w:tblGrid>
        <w:gridCol w:w="4321"/>
        <w:gridCol w:w="4957"/>
      </w:tblGrid>
      <w:tr>
        <w:trPr>
          <w:trHeight w:val="302" w:hRule="exact"/>
        </w:trPr>
        <w:tc>
          <w:tcPr>
            <w:tcW w:w="4321" w:type="dxa"/>
            <w:tcBorders>
              <w:top w:val="single" w:sz="4" w:space="0" w:color="000000"/>
              <w:left w:val="single" w:sz="4" w:space="0" w:color="000000"/>
              <w:bottom w:val="single" w:sz="12" w:space="0" w:color="D9D9D9"/>
              <w:right w:val="single" w:sz="4" w:space="0" w:color="000000"/>
            </w:tcBorders>
          </w:tcPr>
          <w:p>
            <w:pPr>
              <w:pStyle w:val="TableParagraph"/>
              <w:tabs>
                <w:tab w:pos="4257" w:val="left" w:leader="none"/>
              </w:tabs>
              <w:spacing w:line="241" w:lineRule="exact"/>
              <w:ind w:right="24"/>
              <w:jc w:val="right"/>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pacing w:val="-2"/>
                <w:sz w:val="21"/>
                <w:szCs w:val="21"/>
                <w:shd w:fill="D9D9D9" w:color="auto" w:val="clear"/>
              </w:rPr>
              <w:t>公司选定的信息披露媒体名称</w:t>
              <w:tab/>
            </w:r>
            <w:r>
              <w:rPr>
                <w:rFonts w:ascii="宋体" w:hAnsi="宋体" w:cs="宋体" w:eastAsia="宋体" w:hint="default"/>
                <w:spacing w:val="-2"/>
                <w:sz w:val="21"/>
                <w:szCs w:val="21"/>
              </w:rPr>
            </w:r>
          </w:p>
        </w:tc>
        <w:tc>
          <w:tcPr>
            <w:tcW w:w="49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中国证券报、上海证券报、证券时报</w:t>
            </w:r>
          </w:p>
        </w:tc>
      </w:tr>
      <w:tr>
        <w:trPr>
          <w:trHeight w:val="305" w:hRule="exact"/>
        </w:trPr>
        <w:tc>
          <w:tcPr>
            <w:tcW w:w="4321" w:type="dxa"/>
            <w:tcBorders>
              <w:top w:val="single" w:sz="12" w:space="0" w:color="D9D9D9"/>
              <w:left w:val="single" w:sz="4" w:space="0" w:color="000000"/>
              <w:bottom w:val="single" w:sz="9" w:space="0" w:color="D9D9D9"/>
              <w:right w:val="single" w:sz="4" w:space="0" w:color="000000"/>
            </w:tcBorders>
          </w:tcPr>
          <w:p>
            <w:pPr>
              <w:pStyle w:val="TableParagraph"/>
              <w:tabs>
                <w:tab w:pos="4257" w:val="left" w:leader="none"/>
              </w:tabs>
              <w:spacing w:line="231" w:lineRule="exact"/>
              <w:ind w:right="24"/>
              <w:jc w:val="right"/>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pacing w:val="-2"/>
                <w:sz w:val="21"/>
                <w:szCs w:val="21"/>
                <w:shd w:fill="D9D9D9" w:color="auto" w:val="clear"/>
              </w:rPr>
              <w:t>登载年度报告的中国证监会指定网站的网址</w:t>
              <w:tab/>
            </w:r>
            <w:r>
              <w:rPr>
                <w:rFonts w:ascii="宋体" w:hAnsi="宋体" w:cs="宋体" w:eastAsia="宋体" w:hint="default"/>
                <w:spacing w:val="-2"/>
                <w:sz w:val="21"/>
                <w:szCs w:val="21"/>
              </w:rPr>
            </w:r>
          </w:p>
        </w:tc>
        <w:tc>
          <w:tcPr>
            <w:tcW w:w="49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hyperlink r:id="rId18">
              <w:r>
                <w:rPr>
                  <w:rFonts w:ascii="宋体"/>
                  <w:sz w:val="21"/>
                </w:rPr>
                <w:t>www.sse.com.cn</w:t>
              </w:r>
            </w:hyperlink>
            <w:r>
              <w:rPr>
                <w:rFonts w:ascii="宋体"/>
                <w:sz w:val="21"/>
              </w:rPr>
              <w:t>;</w:t>
            </w:r>
            <w:r>
              <w:rPr>
                <w:rFonts w:ascii="宋体"/>
                <w:spacing w:val="-3"/>
                <w:sz w:val="21"/>
              </w:rPr>
              <w:t> </w:t>
            </w:r>
            <w:hyperlink r:id="rId17">
              <w:r>
                <w:rPr>
                  <w:rFonts w:ascii="宋体"/>
                  <w:sz w:val="21"/>
                </w:rPr>
                <w:t>www.chinaunicom-a.com</w:t>
              </w:r>
            </w:hyperlink>
          </w:p>
        </w:tc>
      </w:tr>
      <w:tr>
        <w:trPr>
          <w:trHeight w:val="302" w:hRule="exact"/>
        </w:trPr>
        <w:tc>
          <w:tcPr>
            <w:tcW w:w="4321" w:type="dxa"/>
            <w:tcBorders>
              <w:top w:val="single" w:sz="9" w:space="0" w:color="D9D9D9"/>
              <w:left w:val="single" w:sz="4" w:space="0" w:color="000000"/>
              <w:bottom w:val="single" w:sz="12" w:space="0" w:color="D9D9D9"/>
              <w:right w:val="single" w:sz="4" w:space="0" w:color="000000"/>
            </w:tcBorders>
          </w:tcPr>
          <w:p>
            <w:pPr>
              <w:pStyle w:val="TableParagraph"/>
              <w:tabs>
                <w:tab w:pos="4257" w:val="left" w:leader="none"/>
              </w:tabs>
              <w:spacing w:line="235" w:lineRule="exact"/>
              <w:ind w:right="24"/>
              <w:jc w:val="right"/>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pacing w:val="-2"/>
                <w:sz w:val="21"/>
                <w:szCs w:val="21"/>
                <w:shd w:fill="D9D9D9" w:color="auto" w:val="clear"/>
              </w:rPr>
              <w:t>公司年度报告备置地点</w:t>
              <w:tab/>
            </w:r>
            <w:r>
              <w:rPr>
                <w:rFonts w:ascii="宋体" w:hAnsi="宋体" w:cs="宋体" w:eastAsia="宋体" w:hint="default"/>
                <w:spacing w:val="-2"/>
                <w:sz w:val="21"/>
                <w:szCs w:val="21"/>
              </w:rPr>
            </w:r>
          </w:p>
        </w:tc>
        <w:tc>
          <w:tcPr>
            <w:tcW w:w="49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北京市西城区金融大街</w:t>
            </w:r>
            <w:r>
              <w:rPr>
                <w:rFonts w:ascii="宋体" w:hAnsi="宋体" w:cs="宋体" w:eastAsia="宋体" w:hint="default"/>
                <w:sz w:val="21"/>
                <w:szCs w:val="21"/>
              </w:rPr>
              <w:t>21</w:t>
            </w:r>
            <w:r>
              <w:rPr>
                <w:rFonts w:ascii="宋体" w:hAnsi="宋体" w:cs="宋体" w:eastAsia="宋体" w:hint="default"/>
                <w:sz w:val="21"/>
                <w:szCs w:val="21"/>
              </w:rPr>
              <w:t>号</w:t>
            </w:r>
          </w:p>
        </w:tc>
      </w:tr>
    </w:tbl>
    <w:p>
      <w:pPr>
        <w:spacing w:line="240" w:lineRule="auto" w:before="17"/>
        <w:rPr>
          <w:rFonts w:ascii="Microsoft JhengHei" w:hAnsi="Microsoft JhengHei" w:cs="Microsoft JhengHei" w:eastAsia="Microsoft JhengHei" w:hint="default"/>
          <w:b/>
          <w:bCs/>
          <w:sz w:val="17"/>
          <w:szCs w:val="17"/>
        </w:rPr>
      </w:pPr>
    </w:p>
    <w:p>
      <w:pPr>
        <w:spacing w:line="335" w:lineRule="exact" w:before="0"/>
        <w:ind w:left="538"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五、</w:t>
      </w:r>
      <w:r>
        <w:rPr>
          <w:rFonts w:ascii="Microsoft JhengHei" w:hAnsi="Microsoft JhengHei" w:cs="Microsoft JhengHei" w:eastAsia="Microsoft JhengHei" w:hint="default"/>
          <w:b/>
          <w:bCs/>
          <w:spacing w:val="30"/>
          <w:sz w:val="21"/>
          <w:szCs w:val="21"/>
        </w:rPr>
        <w:t> </w:t>
      </w:r>
      <w:r>
        <w:rPr>
          <w:rFonts w:ascii="Microsoft JhengHei" w:hAnsi="Microsoft JhengHei" w:cs="Microsoft JhengHei" w:eastAsia="Microsoft JhengHei" w:hint="default"/>
          <w:b/>
          <w:bCs/>
          <w:sz w:val="21"/>
          <w:szCs w:val="21"/>
        </w:rPr>
        <w:t>公司股票简况</w:t>
      </w:r>
      <w:r>
        <w:rPr>
          <w:rFonts w:ascii="Microsoft JhengHei" w:hAnsi="Microsoft JhengHei" w:cs="Microsoft JhengHei" w:eastAsia="Microsoft JhengHei" w:hint="default"/>
          <w:sz w:val="21"/>
          <w:szCs w:val="21"/>
        </w:rPr>
      </w:r>
    </w:p>
    <w:p>
      <w:pPr>
        <w:spacing w:line="240" w:lineRule="auto" w:before="16"/>
        <w:rPr>
          <w:rFonts w:ascii="Microsoft JhengHei" w:hAnsi="Microsoft JhengHei" w:cs="Microsoft JhengHei" w:eastAsia="Microsoft JhengHei" w:hint="default"/>
          <w:b/>
          <w:bCs/>
          <w:sz w:val="4"/>
          <w:szCs w:val="4"/>
        </w:rPr>
      </w:pPr>
    </w:p>
    <w:tbl>
      <w:tblPr>
        <w:tblW w:w="0" w:type="auto"/>
        <w:jc w:val="left"/>
        <w:tblInd w:w="502" w:type="dxa"/>
        <w:tblLayout w:type="fixed"/>
        <w:tblCellMar>
          <w:top w:w="0" w:type="dxa"/>
          <w:left w:w="0" w:type="dxa"/>
          <w:bottom w:w="0" w:type="dxa"/>
          <w:right w:w="0" w:type="dxa"/>
        </w:tblCellMar>
        <w:tblLook w:val="01E0"/>
      </w:tblPr>
      <w:tblGrid>
        <w:gridCol w:w="2318"/>
        <w:gridCol w:w="2319"/>
        <w:gridCol w:w="2319"/>
        <w:gridCol w:w="2320"/>
      </w:tblGrid>
      <w:tr>
        <w:trPr>
          <w:trHeight w:val="303" w:hRule="exact"/>
        </w:trPr>
        <w:tc>
          <w:tcPr>
            <w:tcW w:w="9276"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3" w:right="0"/>
              <w:jc w:val="center"/>
              <w:rPr>
                <w:rFonts w:ascii="宋体" w:hAnsi="宋体" w:cs="宋体" w:eastAsia="宋体" w:hint="default"/>
                <w:sz w:val="21"/>
                <w:szCs w:val="21"/>
              </w:rPr>
            </w:pPr>
            <w:r>
              <w:rPr>
                <w:rFonts w:ascii="宋体" w:hAnsi="宋体" w:cs="宋体" w:eastAsia="宋体" w:hint="default"/>
                <w:sz w:val="21"/>
                <w:szCs w:val="21"/>
              </w:rPr>
              <w:t>公司股票简况</w:t>
            </w:r>
          </w:p>
        </w:tc>
      </w:tr>
      <w:tr>
        <w:trPr>
          <w:trHeight w:val="302" w:hRule="exact"/>
        </w:trPr>
        <w:tc>
          <w:tcPr>
            <w:tcW w:w="23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股票种类</w:t>
            </w:r>
          </w:p>
        </w:tc>
        <w:tc>
          <w:tcPr>
            <w:tcW w:w="23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right="413"/>
              <w:jc w:val="right"/>
              <w:rPr>
                <w:rFonts w:ascii="宋体" w:hAnsi="宋体" w:cs="宋体" w:eastAsia="宋体" w:hint="default"/>
                <w:sz w:val="21"/>
                <w:szCs w:val="21"/>
              </w:rPr>
            </w:pPr>
            <w:r>
              <w:rPr>
                <w:rFonts w:ascii="宋体" w:hAnsi="宋体" w:cs="宋体" w:eastAsia="宋体" w:hint="default"/>
                <w:spacing w:val="-1"/>
                <w:sz w:val="21"/>
                <w:szCs w:val="21"/>
              </w:rPr>
              <w:t>股票上市交易所</w:t>
            </w:r>
          </w:p>
        </w:tc>
        <w:tc>
          <w:tcPr>
            <w:tcW w:w="23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right="732"/>
              <w:jc w:val="right"/>
              <w:rPr>
                <w:rFonts w:ascii="宋体" w:hAnsi="宋体" w:cs="宋体" w:eastAsia="宋体" w:hint="default"/>
                <w:sz w:val="21"/>
                <w:szCs w:val="21"/>
              </w:rPr>
            </w:pPr>
            <w:r>
              <w:rPr>
                <w:rFonts w:ascii="宋体" w:hAnsi="宋体" w:cs="宋体" w:eastAsia="宋体" w:hint="default"/>
                <w:spacing w:val="-1"/>
                <w:sz w:val="21"/>
                <w:szCs w:val="21"/>
              </w:rPr>
              <w:t>股票简称</w:t>
            </w:r>
          </w:p>
        </w:tc>
        <w:tc>
          <w:tcPr>
            <w:tcW w:w="23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股票代码</w:t>
            </w:r>
          </w:p>
        </w:tc>
      </w:tr>
      <w:tr>
        <w:trPr>
          <w:trHeight w:val="305" w:hRule="exact"/>
        </w:trPr>
        <w:tc>
          <w:tcPr>
            <w:tcW w:w="231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 w:right="0"/>
              <w:jc w:val="center"/>
              <w:rPr>
                <w:rFonts w:ascii="宋体" w:hAnsi="宋体" w:cs="宋体" w:eastAsia="宋体" w:hint="default"/>
                <w:sz w:val="21"/>
                <w:szCs w:val="21"/>
              </w:rPr>
            </w:pPr>
            <w:r>
              <w:rPr>
                <w:rFonts w:ascii="宋体" w:hAnsi="宋体" w:cs="宋体" w:eastAsia="宋体" w:hint="default"/>
                <w:sz w:val="21"/>
                <w:szCs w:val="21"/>
              </w:rPr>
              <w:t>A</w:t>
            </w:r>
            <w:r>
              <w:rPr>
                <w:rFonts w:ascii="宋体" w:hAnsi="宋体" w:cs="宋体" w:eastAsia="宋体" w:hint="default"/>
                <w:sz w:val="21"/>
                <w:szCs w:val="21"/>
              </w:rPr>
              <w:t>股</w:t>
            </w:r>
          </w:p>
        </w:tc>
        <w:tc>
          <w:tcPr>
            <w:tcW w:w="231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413"/>
              <w:jc w:val="right"/>
              <w:rPr>
                <w:rFonts w:ascii="宋体" w:hAnsi="宋体" w:cs="宋体" w:eastAsia="宋体" w:hint="default"/>
                <w:sz w:val="21"/>
                <w:szCs w:val="21"/>
              </w:rPr>
            </w:pPr>
            <w:r>
              <w:rPr>
                <w:rFonts w:ascii="宋体" w:hAnsi="宋体" w:cs="宋体" w:eastAsia="宋体" w:hint="default"/>
                <w:spacing w:val="-1"/>
                <w:sz w:val="21"/>
                <w:szCs w:val="21"/>
              </w:rPr>
              <w:t>上海证券交易所</w:t>
            </w:r>
          </w:p>
        </w:tc>
        <w:tc>
          <w:tcPr>
            <w:tcW w:w="231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732"/>
              <w:jc w:val="right"/>
              <w:rPr>
                <w:rFonts w:ascii="宋体" w:hAnsi="宋体" w:cs="宋体" w:eastAsia="宋体" w:hint="default"/>
                <w:sz w:val="21"/>
                <w:szCs w:val="21"/>
              </w:rPr>
            </w:pPr>
            <w:r>
              <w:rPr>
                <w:rFonts w:ascii="宋体" w:hAnsi="宋体" w:cs="宋体" w:eastAsia="宋体" w:hint="default"/>
                <w:spacing w:val="-1"/>
                <w:sz w:val="21"/>
                <w:szCs w:val="21"/>
              </w:rPr>
              <w:t>中国联通</w:t>
            </w:r>
          </w:p>
        </w:tc>
        <w:tc>
          <w:tcPr>
            <w:tcW w:w="232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 w:right="0"/>
              <w:jc w:val="center"/>
              <w:rPr>
                <w:rFonts w:ascii="宋体" w:hAnsi="宋体" w:cs="宋体" w:eastAsia="宋体" w:hint="default"/>
                <w:sz w:val="21"/>
                <w:szCs w:val="21"/>
              </w:rPr>
            </w:pPr>
            <w:r>
              <w:rPr>
                <w:rFonts w:ascii="宋体"/>
                <w:sz w:val="21"/>
              </w:rPr>
              <w:t>600050</w:t>
            </w:r>
          </w:p>
        </w:tc>
      </w:tr>
    </w:tbl>
    <w:p>
      <w:pPr>
        <w:spacing w:line="240" w:lineRule="auto" w:before="10"/>
        <w:rPr>
          <w:rFonts w:ascii="Microsoft JhengHei" w:hAnsi="Microsoft JhengHei" w:cs="Microsoft JhengHei" w:eastAsia="Microsoft JhengHei" w:hint="default"/>
          <w:b/>
          <w:bCs/>
          <w:sz w:val="18"/>
          <w:szCs w:val="18"/>
        </w:rPr>
      </w:pPr>
    </w:p>
    <w:p>
      <w:pPr>
        <w:spacing w:line="335" w:lineRule="exact" w:before="0"/>
        <w:ind w:left="538"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六、</w:t>
      </w:r>
      <w:r>
        <w:rPr>
          <w:rFonts w:ascii="Microsoft JhengHei" w:hAnsi="Microsoft JhengHei" w:cs="Microsoft JhengHei" w:eastAsia="Microsoft JhengHei" w:hint="default"/>
          <w:b/>
          <w:bCs/>
          <w:spacing w:val="29"/>
          <w:sz w:val="21"/>
          <w:szCs w:val="21"/>
        </w:rPr>
        <w:t> </w:t>
      </w:r>
      <w:r>
        <w:rPr>
          <w:rFonts w:ascii="Microsoft JhengHei" w:hAnsi="Microsoft JhengHei" w:cs="Microsoft JhengHei" w:eastAsia="Microsoft JhengHei" w:hint="default"/>
          <w:b/>
          <w:bCs/>
          <w:sz w:val="21"/>
          <w:szCs w:val="21"/>
        </w:rPr>
        <w:t>其他相关资料</w:t>
      </w:r>
      <w:r>
        <w:rPr>
          <w:rFonts w:ascii="Microsoft JhengHei" w:hAnsi="Microsoft JhengHei" w:cs="Microsoft JhengHei" w:eastAsia="Microsoft JhengHei" w:hint="default"/>
          <w:sz w:val="21"/>
          <w:szCs w:val="21"/>
        </w:rPr>
      </w:r>
    </w:p>
    <w:p>
      <w:pPr>
        <w:spacing w:line="240" w:lineRule="auto" w:before="16"/>
        <w:rPr>
          <w:rFonts w:ascii="Microsoft JhengHei" w:hAnsi="Microsoft JhengHei" w:cs="Microsoft JhengHei" w:eastAsia="Microsoft JhengHei" w:hint="default"/>
          <w:b/>
          <w:bCs/>
          <w:sz w:val="4"/>
          <w:szCs w:val="4"/>
        </w:rPr>
      </w:pPr>
    </w:p>
    <w:tbl>
      <w:tblPr>
        <w:tblW w:w="0" w:type="auto"/>
        <w:jc w:val="left"/>
        <w:tblInd w:w="426" w:type="dxa"/>
        <w:tblLayout w:type="fixed"/>
        <w:tblCellMar>
          <w:top w:w="0" w:type="dxa"/>
          <w:left w:w="0" w:type="dxa"/>
          <w:bottom w:w="0" w:type="dxa"/>
          <w:right w:w="0" w:type="dxa"/>
        </w:tblCellMar>
        <w:tblLook w:val="01E0"/>
      </w:tblPr>
      <w:tblGrid>
        <w:gridCol w:w="2571"/>
        <w:gridCol w:w="1969"/>
        <w:gridCol w:w="4891"/>
      </w:tblGrid>
      <w:tr>
        <w:trPr>
          <w:trHeight w:val="322" w:hRule="exact"/>
        </w:trPr>
        <w:tc>
          <w:tcPr>
            <w:tcW w:w="2571"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53"/>
              <w:ind w:left="103" w:right="0"/>
              <w:jc w:val="left"/>
              <w:rPr>
                <w:rFonts w:ascii="宋体" w:hAnsi="宋体" w:cs="宋体" w:eastAsia="宋体" w:hint="default"/>
                <w:sz w:val="21"/>
                <w:szCs w:val="21"/>
              </w:rPr>
            </w:pPr>
            <w:r>
              <w:rPr>
                <w:rFonts w:ascii="宋体" w:hAnsi="宋体" w:cs="宋体" w:eastAsia="宋体" w:hint="default"/>
                <w:spacing w:val="2"/>
                <w:sz w:val="21"/>
                <w:szCs w:val="21"/>
              </w:rPr>
              <w:t>公司聘请的会计师事务所</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（境内）</w:t>
            </w:r>
          </w:p>
        </w:tc>
        <w:tc>
          <w:tcPr>
            <w:tcW w:w="19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名称</w:t>
            </w:r>
          </w:p>
        </w:tc>
        <w:tc>
          <w:tcPr>
            <w:tcW w:w="489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毕马威华振会计师事务所（特殊普通合伙）</w:t>
            </w:r>
          </w:p>
        </w:tc>
      </w:tr>
      <w:tr>
        <w:trPr>
          <w:trHeight w:val="322" w:hRule="exact"/>
        </w:trPr>
        <w:tc>
          <w:tcPr>
            <w:tcW w:w="2571" w:type="dxa"/>
            <w:vMerge/>
            <w:tcBorders>
              <w:left w:val="single" w:sz="4" w:space="0" w:color="000000"/>
              <w:right w:val="single" w:sz="4" w:space="0" w:color="000000"/>
            </w:tcBorders>
            <w:shd w:val="clear" w:color="auto" w:fill="D9D9D9"/>
          </w:tcPr>
          <w:p>
            <w:pPr/>
          </w:p>
        </w:tc>
        <w:tc>
          <w:tcPr>
            <w:tcW w:w="19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办公地址</w:t>
            </w:r>
          </w:p>
        </w:tc>
        <w:tc>
          <w:tcPr>
            <w:tcW w:w="489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北京市长安街</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号东方广场东</w:t>
            </w:r>
            <w:r>
              <w:rPr>
                <w:rFonts w:ascii="宋体" w:hAnsi="宋体" w:cs="宋体" w:eastAsia="宋体" w:hint="default"/>
                <w:spacing w:val="-53"/>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座办公楼</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层</w:t>
            </w:r>
          </w:p>
        </w:tc>
      </w:tr>
      <w:tr>
        <w:trPr>
          <w:trHeight w:val="324" w:hRule="exact"/>
        </w:trPr>
        <w:tc>
          <w:tcPr>
            <w:tcW w:w="2571" w:type="dxa"/>
            <w:vMerge/>
            <w:tcBorders>
              <w:left w:val="single" w:sz="4" w:space="0" w:color="000000"/>
              <w:bottom w:val="single" w:sz="4" w:space="0" w:color="000000"/>
              <w:right w:val="single" w:sz="4" w:space="0" w:color="000000"/>
            </w:tcBorders>
            <w:shd w:val="clear" w:color="auto" w:fill="D9D9D9"/>
          </w:tcPr>
          <w:p>
            <w:pPr/>
          </w:p>
        </w:tc>
        <w:tc>
          <w:tcPr>
            <w:tcW w:w="19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签字会计师姓名</w:t>
            </w:r>
          </w:p>
        </w:tc>
        <w:tc>
          <w:tcPr>
            <w:tcW w:w="489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罗科、谭亚红</w:t>
            </w:r>
          </w:p>
        </w:tc>
      </w:tr>
    </w:tbl>
    <w:p>
      <w:pPr>
        <w:spacing w:line="240" w:lineRule="auto" w:before="10"/>
        <w:rPr>
          <w:rFonts w:ascii="Microsoft JhengHei" w:hAnsi="Microsoft JhengHei" w:cs="Microsoft JhengHei" w:eastAsia="Microsoft JhengHei" w:hint="default"/>
          <w:b/>
          <w:bCs/>
          <w:sz w:val="18"/>
          <w:szCs w:val="18"/>
        </w:rPr>
      </w:pPr>
    </w:p>
    <w:p>
      <w:pPr>
        <w:spacing w:after="0" w:line="240" w:lineRule="auto"/>
        <w:rPr>
          <w:rFonts w:ascii="Microsoft JhengHei" w:hAnsi="Microsoft JhengHei" w:cs="Microsoft JhengHei" w:eastAsia="Microsoft JhengHei" w:hint="default"/>
          <w:sz w:val="18"/>
          <w:szCs w:val="18"/>
        </w:rPr>
        <w:sectPr>
          <w:footerReference w:type="default" r:id="rId16"/>
          <w:pgSz w:w="11910" w:h="16840"/>
          <w:pgMar w:footer="502" w:header="854" w:top="1360" w:bottom="700" w:left="880" w:right="620"/>
        </w:sectPr>
      </w:pPr>
    </w:p>
    <w:p>
      <w:pPr>
        <w:spacing w:line="335" w:lineRule="exact" w:before="0"/>
        <w:ind w:left="538" w:right="-17"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七、</w:t>
      </w:r>
      <w:r>
        <w:rPr>
          <w:rFonts w:ascii="Microsoft JhengHei" w:hAnsi="Microsoft JhengHei" w:cs="Microsoft JhengHei" w:eastAsia="Microsoft JhengHei" w:hint="default"/>
          <w:b/>
          <w:bCs/>
          <w:spacing w:val="34"/>
          <w:sz w:val="21"/>
          <w:szCs w:val="21"/>
        </w:rPr>
        <w:t> </w:t>
      </w:r>
      <w:r>
        <w:rPr>
          <w:rFonts w:ascii="Microsoft JhengHei" w:hAnsi="Microsoft JhengHei" w:cs="Microsoft JhengHei" w:eastAsia="Microsoft JhengHei" w:hint="default"/>
          <w:b/>
          <w:bCs/>
          <w:sz w:val="21"/>
          <w:szCs w:val="21"/>
        </w:rPr>
        <w:t>近三年主要会计数据和财务指标</w:t>
      </w:r>
      <w:r>
        <w:rPr>
          <w:rFonts w:ascii="Microsoft JhengHei" w:hAnsi="Microsoft JhengHei" w:cs="Microsoft JhengHei" w:eastAsia="Microsoft JhengHei" w:hint="default"/>
          <w:sz w:val="21"/>
          <w:szCs w:val="21"/>
        </w:rPr>
      </w:r>
    </w:p>
    <w:p>
      <w:pPr>
        <w:spacing w:before="7"/>
        <w:ind w:left="538" w:right="-17"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一</w:t>
      </w:r>
      <w:r>
        <w:rPr>
          <w:rFonts w:ascii="Calibri" w:hAnsi="Calibri" w:cs="Calibri" w:eastAsia="Calibri" w:hint="default"/>
          <w:b/>
          <w:bCs/>
          <w:sz w:val="21"/>
          <w:szCs w:val="21"/>
        </w:rPr>
        <w:t>)</w:t>
      </w:r>
      <w:r>
        <w:rPr>
          <w:rFonts w:ascii="Calibri" w:hAnsi="Calibri" w:cs="Calibri" w:eastAsia="Calibri" w:hint="default"/>
          <w:b/>
          <w:bCs/>
          <w:spacing w:val="37"/>
          <w:sz w:val="21"/>
          <w:szCs w:val="21"/>
        </w:rPr>
        <w:t> </w:t>
      </w:r>
      <w:r>
        <w:rPr>
          <w:rFonts w:ascii="Microsoft JhengHei" w:hAnsi="Microsoft JhengHei" w:cs="Microsoft JhengHei" w:eastAsia="Microsoft JhengHei" w:hint="default"/>
          <w:b/>
          <w:bCs/>
          <w:sz w:val="21"/>
          <w:szCs w:val="21"/>
        </w:rPr>
        <w:t>主要会计数据</w:t>
      </w:r>
      <w:r>
        <w:rPr>
          <w:rFonts w:ascii="Microsoft JhengHei" w:hAnsi="Microsoft JhengHei" w:cs="Microsoft JhengHei" w:eastAsia="Microsoft JhengHei" w:hint="default"/>
          <w:sz w:val="21"/>
          <w:szCs w:val="21"/>
        </w:rPr>
      </w:r>
    </w:p>
    <w:p>
      <w:pPr>
        <w:spacing w:line="240" w:lineRule="auto" w:before="0"/>
        <w:rPr>
          <w:rFonts w:ascii="Microsoft JhengHei" w:hAnsi="Microsoft JhengHei" w:cs="Microsoft JhengHei" w:eastAsia="Microsoft JhengHei" w:hint="default"/>
          <w:b/>
          <w:bCs/>
          <w:sz w:val="20"/>
          <w:szCs w:val="20"/>
        </w:rPr>
      </w:pPr>
      <w:r>
        <w:rPr/>
        <w:br w:type="column"/>
      </w:r>
      <w:r>
        <w:rPr>
          <w:rFonts w:ascii="Microsoft JhengHei"/>
          <w:b/>
          <w:sz w:val="20"/>
        </w:rPr>
      </w:r>
    </w:p>
    <w:p>
      <w:pPr>
        <w:spacing w:line="240" w:lineRule="auto" w:before="15"/>
        <w:rPr>
          <w:rFonts w:ascii="Microsoft JhengHei" w:hAnsi="Microsoft JhengHei" w:cs="Microsoft JhengHei" w:eastAsia="Microsoft JhengHei" w:hint="default"/>
          <w:b/>
          <w:bCs/>
          <w:sz w:val="24"/>
          <w:szCs w:val="24"/>
        </w:rPr>
      </w:pPr>
    </w:p>
    <w:p>
      <w:pPr>
        <w:tabs>
          <w:tab w:pos="1590" w:val="left" w:leader="none"/>
        </w:tabs>
        <w:spacing w:before="0"/>
        <w:ind w:left="538" w:right="0" w:firstLine="0"/>
        <w:jc w:val="left"/>
        <w:rPr>
          <w:rFonts w:ascii="宋体" w:hAnsi="宋体" w:cs="宋体" w:eastAsia="宋体" w:hint="default"/>
          <w:sz w:val="21"/>
          <w:szCs w:val="21"/>
        </w:rPr>
      </w:pPr>
      <w:r>
        <w:rPr>
          <w:rFonts w:ascii="宋体" w:hAnsi="宋体" w:cs="宋体" w:eastAsia="宋体" w:hint="default"/>
          <w:spacing w:val="-1"/>
          <w:sz w:val="21"/>
          <w:szCs w:val="21"/>
        </w:rPr>
        <w:t>单位：元</w:t>
        <w:tab/>
      </w:r>
      <w:r>
        <w:rPr>
          <w:rFonts w:ascii="宋体" w:hAnsi="宋体" w:cs="宋体" w:eastAsia="宋体" w:hint="default"/>
          <w:spacing w:val="-2"/>
          <w:sz w:val="21"/>
          <w:szCs w:val="21"/>
        </w:rPr>
        <w:t>币种：人民币</w:t>
      </w:r>
    </w:p>
    <w:p>
      <w:pPr>
        <w:spacing w:after="0"/>
        <w:jc w:val="left"/>
        <w:rPr>
          <w:rFonts w:ascii="宋体" w:hAnsi="宋体" w:cs="宋体" w:eastAsia="宋体" w:hint="default"/>
          <w:sz w:val="21"/>
          <w:szCs w:val="21"/>
        </w:rPr>
        <w:sectPr>
          <w:type w:val="continuous"/>
          <w:pgSz w:w="11910" w:h="16840"/>
          <w:pgMar w:top="1360" w:bottom="700" w:left="880" w:right="620"/>
          <w:cols w:num="2" w:equalWidth="0">
            <w:col w:w="3988" w:space="2915"/>
            <w:col w:w="3507"/>
          </w:cols>
        </w:sectPr>
      </w:pPr>
    </w:p>
    <w:p>
      <w:pPr>
        <w:spacing w:line="240" w:lineRule="auto" w:before="10"/>
        <w:rPr>
          <w:rFonts w:ascii="宋体" w:hAnsi="宋体" w:cs="宋体" w:eastAsia="宋体" w:hint="default"/>
          <w:sz w:val="3"/>
          <w:szCs w:val="3"/>
        </w:rPr>
      </w:pPr>
    </w:p>
    <w:tbl>
      <w:tblPr>
        <w:tblW w:w="0" w:type="auto"/>
        <w:jc w:val="left"/>
        <w:tblInd w:w="106" w:type="dxa"/>
        <w:tblLayout w:type="fixed"/>
        <w:tblCellMar>
          <w:top w:w="0" w:type="dxa"/>
          <w:left w:w="0" w:type="dxa"/>
          <w:bottom w:w="0" w:type="dxa"/>
          <w:right w:w="0" w:type="dxa"/>
        </w:tblCellMar>
        <w:tblLook w:val="01E0"/>
      </w:tblPr>
      <w:tblGrid>
        <w:gridCol w:w="3131"/>
        <w:gridCol w:w="1918"/>
        <w:gridCol w:w="1916"/>
        <w:gridCol w:w="1405"/>
        <w:gridCol w:w="1807"/>
      </w:tblGrid>
      <w:tr>
        <w:trPr>
          <w:trHeight w:val="605" w:hRule="exact"/>
        </w:trPr>
        <w:tc>
          <w:tcPr>
            <w:tcW w:w="31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6"/>
              <w:ind w:left="929" w:right="0"/>
              <w:jc w:val="left"/>
              <w:rPr>
                <w:rFonts w:ascii="宋体" w:hAnsi="宋体" w:cs="宋体" w:eastAsia="宋体" w:hint="default"/>
                <w:sz w:val="21"/>
                <w:szCs w:val="21"/>
              </w:rPr>
            </w:pPr>
            <w:r>
              <w:rPr>
                <w:rFonts w:ascii="宋体" w:hAnsi="宋体" w:cs="宋体" w:eastAsia="宋体" w:hint="default"/>
                <w:sz w:val="21"/>
                <w:szCs w:val="21"/>
              </w:rPr>
              <w:t>主要会计数据</w:t>
            </w:r>
          </w:p>
        </w:tc>
        <w:tc>
          <w:tcPr>
            <w:tcW w:w="19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6"/>
              <w:ind w:left="638"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z w:val="21"/>
                <w:szCs w:val="21"/>
              </w:rPr>
              <w:t>年</w:t>
            </w:r>
          </w:p>
        </w:tc>
        <w:tc>
          <w:tcPr>
            <w:tcW w:w="19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6"/>
              <w:ind w:right="0"/>
              <w:jc w:val="center"/>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z w:val="21"/>
                <w:szCs w:val="21"/>
              </w:rPr>
              <w:t>年</w:t>
            </w:r>
          </w:p>
        </w:tc>
        <w:tc>
          <w:tcPr>
            <w:tcW w:w="14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4" w:lineRule="exact" w:before="16"/>
              <w:ind w:left="117" w:right="117" w:firstLine="52"/>
              <w:jc w:val="left"/>
              <w:rPr>
                <w:rFonts w:ascii="宋体" w:hAnsi="宋体" w:cs="宋体" w:eastAsia="宋体" w:hint="default"/>
                <w:sz w:val="21"/>
                <w:szCs w:val="21"/>
              </w:rPr>
            </w:pPr>
            <w:r>
              <w:rPr>
                <w:rFonts w:ascii="宋体" w:hAnsi="宋体" w:cs="宋体" w:eastAsia="宋体" w:hint="default"/>
                <w:sz w:val="21"/>
                <w:szCs w:val="21"/>
              </w:rPr>
              <w:t>本期比上年</w:t>
            </w:r>
            <w:r>
              <w:rPr>
                <w:rFonts w:ascii="宋体" w:hAnsi="宋体" w:cs="宋体" w:eastAsia="宋体" w:hint="default"/>
                <w:w w:val="100"/>
                <w:sz w:val="21"/>
                <w:szCs w:val="21"/>
              </w:rPr>
              <w:t> </w:t>
            </w:r>
            <w:r>
              <w:rPr>
                <w:rFonts w:ascii="宋体" w:hAnsi="宋体" w:cs="宋体" w:eastAsia="宋体" w:hint="default"/>
                <w:sz w:val="21"/>
                <w:szCs w:val="21"/>
              </w:rPr>
              <w:t>同期增减</w:t>
            </w:r>
            <w:r>
              <w:rPr>
                <w:rFonts w:ascii="宋体" w:hAnsi="宋体" w:cs="宋体" w:eastAsia="宋体" w:hint="default"/>
                <w:sz w:val="21"/>
                <w:szCs w:val="21"/>
              </w:rPr>
              <w:t>(%)</w:t>
            </w:r>
          </w:p>
        </w:tc>
        <w:tc>
          <w:tcPr>
            <w:tcW w:w="18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6"/>
              <w:ind w:left="580"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z w:val="21"/>
                <w:szCs w:val="21"/>
              </w:rPr>
              <w:t>年</w:t>
            </w:r>
          </w:p>
        </w:tc>
      </w:tr>
      <w:tr>
        <w:trPr>
          <w:trHeight w:val="295" w:hRule="exact"/>
        </w:trPr>
        <w:tc>
          <w:tcPr>
            <w:tcW w:w="31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290,514,554,553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290,876,776,866</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-0.1</w:t>
            </w:r>
          </w:p>
        </w:tc>
        <w:tc>
          <w:tcPr>
            <w:tcW w:w="18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274,828,946,271</w:t>
            </w:r>
          </w:p>
        </w:tc>
      </w:tr>
      <w:tr>
        <w:trPr>
          <w:trHeight w:val="283" w:hRule="exact"/>
        </w:trPr>
        <w:tc>
          <w:tcPr>
            <w:tcW w:w="31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其中：主营业务收入</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264,386,419,726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263,682,588,116</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0.3</w:t>
            </w:r>
          </w:p>
        </w:tc>
        <w:tc>
          <w:tcPr>
            <w:tcW w:w="18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249,015,381,352</w:t>
            </w:r>
          </w:p>
        </w:tc>
      </w:tr>
      <w:tr>
        <w:trPr>
          <w:trHeight w:val="295" w:hRule="exact"/>
        </w:trPr>
        <w:tc>
          <w:tcPr>
            <w:tcW w:w="31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14,035,186,382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12,075,362,887</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16.2</w:t>
            </w:r>
          </w:p>
        </w:tc>
        <w:tc>
          <w:tcPr>
            <w:tcW w:w="18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2,377,866,816</w:t>
            </w:r>
          </w:p>
        </w:tc>
      </w:tr>
      <w:tr>
        <w:trPr>
          <w:trHeight w:val="293" w:hRule="exact"/>
        </w:trPr>
        <w:tc>
          <w:tcPr>
            <w:tcW w:w="31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4,982,083,711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4,080,771,727</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22.1</w:t>
            </w:r>
          </w:p>
        </w:tc>
        <w:tc>
          <w:tcPr>
            <w:tcW w:w="18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425,844,654</w:t>
            </w:r>
          </w:p>
        </w:tc>
      </w:tr>
      <w:tr>
        <w:trPr>
          <w:trHeight w:val="557" w:hRule="exact"/>
        </w:trPr>
        <w:tc>
          <w:tcPr>
            <w:tcW w:w="31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归属于上市公司股东的扣除非</w:t>
            </w:r>
            <w:r>
              <w:rPr>
                <w:rFonts w:ascii="宋体" w:hAnsi="宋体" w:cs="宋体" w:eastAsia="宋体" w:hint="default"/>
                <w:sz w:val="21"/>
                <w:szCs w:val="21"/>
              </w:rPr>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经常性损益的净利润</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5,198,176,968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5,027,283,119</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z w:val="21"/>
              </w:rPr>
              <w:t>3.4</w:t>
            </w:r>
          </w:p>
        </w:tc>
        <w:tc>
          <w:tcPr>
            <w:tcW w:w="18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992,593,855</w:t>
            </w:r>
          </w:p>
        </w:tc>
      </w:tr>
      <w:tr>
        <w:trPr>
          <w:trHeight w:val="322" w:hRule="exact"/>
        </w:trPr>
        <w:tc>
          <w:tcPr>
            <w:tcW w:w="31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6"/>
              <w:jc w:val="right"/>
              <w:rPr>
                <w:rFonts w:ascii="宋体" w:hAnsi="宋体" w:cs="宋体" w:eastAsia="宋体" w:hint="default"/>
                <w:sz w:val="21"/>
                <w:szCs w:val="21"/>
              </w:rPr>
            </w:pPr>
            <w:r>
              <w:rPr>
                <w:rFonts w:ascii="宋体"/>
                <w:spacing w:val="-1"/>
                <w:sz w:val="21"/>
              </w:rPr>
              <w:t>96,208,235,799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94,829,725,347</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1.5</w:t>
            </w:r>
          </w:p>
        </w:tc>
        <w:tc>
          <w:tcPr>
            <w:tcW w:w="18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91,335,372,029</w:t>
            </w:r>
          </w:p>
        </w:tc>
      </w:tr>
      <w:tr>
        <w:trPr>
          <w:trHeight w:val="826" w:hRule="exact"/>
        </w:trPr>
        <w:tc>
          <w:tcPr>
            <w:tcW w:w="3131"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9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535"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z w:val="21"/>
                <w:szCs w:val="21"/>
              </w:rPr>
              <w:t>年末</w:t>
            </w:r>
          </w:p>
        </w:tc>
        <w:tc>
          <w:tcPr>
            <w:tcW w:w="19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53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z w:val="21"/>
                <w:szCs w:val="21"/>
              </w:rPr>
              <w:t>年末</w:t>
            </w:r>
          </w:p>
        </w:tc>
        <w:tc>
          <w:tcPr>
            <w:tcW w:w="14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9" w:lineRule="exact"/>
              <w:ind w:left="170" w:right="0"/>
              <w:jc w:val="left"/>
              <w:rPr>
                <w:rFonts w:ascii="宋体" w:hAnsi="宋体" w:cs="宋体" w:eastAsia="宋体" w:hint="default"/>
                <w:sz w:val="21"/>
                <w:szCs w:val="21"/>
              </w:rPr>
            </w:pPr>
            <w:r>
              <w:rPr>
                <w:rFonts w:ascii="宋体" w:hAnsi="宋体" w:cs="宋体" w:eastAsia="宋体" w:hint="default"/>
                <w:sz w:val="21"/>
                <w:szCs w:val="21"/>
              </w:rPr>
              <w:t>本期末比上</w:t>
            </w:r>
          </w:p>
          <w:p>
            <w:pPr>
              <w:pStyle w:val="TableParagraph"/>
              <w:spacing w:line="240" w:lineRule="auto"/>
              <w:ind w:left="328" w:right="168" w:hanging="159"/>
              <w:jc w:val="left"/>
              <w:rPr>
                <w:rFonts w:ascii="宋体" w:hAnsi="宋体" w:cs="宋体" w:eastAsia="宋体" w:hint="default"/>
                <w:sz w:val="21"/>
                <w:szCs w:val="21"/>
              </w:rPr>
            </w:pPr>
            <w:r>
              <w:rPr>
                <w:rFonts w:ascii="宋体" w:hAnsi="宋体" w:cs="宋体" w:eastAsia="宋体" w:hint="default"/>
                <w:sz w:val="21"/>
                <w:szCs w:val="21"/>
              </w:rPr>
              <w:t>年同期末增</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减（</w:t>
            </w:r>
            <w:r>
              <w:rPr>
                <w:rFonts w:ascii="宋体" w:hAnsi="宋体" w:cs="宋体" w:eastAsia="宋体" w:hint="default"/>
                <w:sz w:val="21"/>
                <w:szCs w:val="21"/>
              </w:rPr>
              <w:t>%</w:t>
            </w:r>
            <w:r>
              <w:rPr>
                <w:rFonts w:ascii="宋体" w:hAnsi="宋体" w:cs="宋体" w:eastAsia="宋体" w:hint="default"/>
                <w:sz w:val="21"/>
                <w:szCs w:val="21"/>
              </w:rPr>
              <w:t>）</w:t>
            </w:r>
          </w:p>
        </w:tc>
        <w:tc>
          <w:tcPr>
            <w:tcW w:w="18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477"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z w:val="21"/>
                <w:szCs w:val="21"/>
              </w:rPr>
              <w:t>年末</w:t>
            </w:r>
          </w:p>
        </w:tc>
      </w:tr>
      <w:tr>
        <w:trPr>
          <w:trHeight w:val="295" w:hRule="exact"/>
        </w:trPr>
        <w:tc>
          <w:tcPr>
            <w:tcW w:w="313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归属于上市公司股东的净资产</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143,327,302,175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140,144,361,690</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z w:val="21"/>
              </w:rPr>
              <w:t>2.3</w:t>
            </w:r>
          </w:p>
        </w:tc>
        <w:tc>
          <w:tcPr>
            <w:tcW w:w="18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135,393,329,128</w:t>
            </w:r>
          </w:p>
        </w:tc>
      </w:tr>
      <w:tr>
        <w:trPr>
          <w:trHeight w:val="324" w:hRule="exact"/>
        </w:trPr>
        <w:tc>
          <w:tcPr>
            <w:tcW w:w="31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总资产</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6"/>
              <w:jc w:val="right"/>
              <w:rPr>
                <w:rFonts w:ascii="宋体" w:hAnsi="宋体" w:cs="宋体" w:eastAsia="宋体" w:hint="default"/>
                <w:sz w:val="21"/>
                <w:szCs w:val="21"/>
              </w:rPr>
            </w:pPr>
            <w:r>
              <w:rPr>
                <w:rFonts w:ascii="宋体"/>
                <w:spacing w:val="-1"/>
                <w:sz w:val="21"/>
              </w:rPr>
              <w:t>564,230,618,712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541,762,283,984</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z w:val="21"/>
              </w:rPr>
              <w:t>4.1</w:t>
            </w:r>
          </w:p>
        </w:tc>
        <w:tc>
          <w:tcPr>
            <w:tcW w:w="180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573,617,337,800</w:t>
            </w:r>
          </w:p>
        </w:tc>
      </w:tr>
    </w:tbl>
    <w:p>
      <w:pPr>
        <w:spacing w:line="240" w:lineRule="auto" w:before="9"/>
        <w:rPr>
          <w:rFonts w:ascii="宋体" w:hAnsi="宋体" w:cs="宋体" w:eastAsia="宋体" w:hint="default"/>
          <w:sz w:val="24"/>
          <w:szCs w:val="24"/>
        </w:rPr>
      </w:pPr>
    </w:p>
    <w:p>
      <w:pPr>
        <w:tabs>
          <w:tab w:pos="1378" w:val="left" w:leader="none"/>
        </w:tabs>
        <w:spacing w:line="335" w:lineRule="exact" w:before="0"/>
        <w:ind w:left="538"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5"/>
          <w:sz w:val="21"/>
          <w:szCs w:val="21"/>
        </w:rPr>
        <w:t>(</w:t>
      </w:r>
      <w:r>
        <w:rPr>
          <w:rFonts w:ascii="Microsoft JhengHei" w:hAnsi="Microsoft JhengHei" w:cs="Microsoft JhengHei" w:eastAsia="Microsoft JhengHei" w:hint="default"/>
          <w:b/>
          <w:bCs/>
          <w:w w:val="115"/>
          <w:sz w:val="21"/>
          <w:szCs w:val="21"/>
        </w:rPr>
        <w:t>二</w:t>
      </w:r>
      <w:r>
        <w:rPr>
          <w:rFonts w:ascii="Arial" w:hAnsi="Arial" w:cs="Arial" w:eastAsia="Arial" w:hint="default"/>
          <w:b/>
          <w:bCs/>
          <w:w w:val="115"/>
          <w:sz w:val="21"/>
          <w:szCs w:val="21"/>
        </w:rPr>
        <w:t>)</w:t>
        <w:tab/>
      </w:r>
      <w:r>
        <w:rPr>
          <w:rFonts w:ascii="Microsoft JhengHei" w:hAnsi="Microsoft JhengHei" w:cs="Microsoft JhengHei" w:eastAsia="Microsoft JhengHei" w:hint="default"/>
          <w:b/>
          <w:bCs/>
          <w:w w:val="115"/>
          <w:sz w:val="21"/>
          <w:szCs w:val="21"/>
        </w:rPr>
        <w:t>主要财务指标</w:t>
      </w:r>
      <w:r>
        <w:rPr>
          <w:rFonts w:ascii="Microsoft JhengHei" w:hAnsi="Microsoft JhengHei" w:cs="Microsoft JhengHei" w:eastAsia="Microsoft JhengHei" w:hint="default"/>
          <w:w w:val="115"/>
          <w:sz w:val="21"/>
          <w:szCs w:val="21"/>
        </w:rPr>
      </w:r>
    </w:p>
    <w:p>
      <w:pPr>
        <w:spacing w:line="240" w:lineRule="auto" w:before="16"/>
        <w:rPr>
          <w:rFonts w:ascii="Microsoft JhengHei" w:hAnsi="Microsoft JhengHei" w:cs="Microsoft JhengHei" w:eastAsia="Microsoft JhengHei" w:hint="default"/>
          <w:b/>
          <w:bCs/>
          <w:sz w:val="4"/>
          <w:szCs w:val="4"/>
        </w:rPr>
      </w:pPr>
    </w:p>
    <w:tbl>
      <w:tblPr>
        <w:tblW w:w="0" w:type="auto"/>
        <w:jc w:val="left"/>
        <w:tblInd w:w="426" w:type="dxa"/>
        <w:tblLayout w:type="fixed"/>
        <w:tblCellMar>
          <w:top w:w="0" w:type="dxa"/>
          <w:left w:w="0" w:type="dxa"/>
          <w:bottom w:w="0" w:type="dxa"/>
          <w:right w:w="0" w:type="dxa"/>
        </w:tblCellMar>
        <w:tblLook w:val="01E0"/>
      </w:tblPr>
      <w:tblGrid>
        <w:gridCol w:w="3329"/>
        <w:gridCol w:w="1361"/>
        <w:gridCol w:w="1212"/>
        <w:gridCol w:w="2273"/>
        <w:gridCol w:w="1255"/>
      </w:tblGrid>
      <w:tr>
        <w:trPr>
          <w:trHeight w:val="554" w:hRule="exact"/>
        </w:trPr>
        <w:tc>
          <w:tcPr>
            <w:tcW w:w="33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0"/>
              <w:ind w:left="1029" w:right="0"/>
              <w:jc w:val="left"/>
              <w:rPr>
                <w:rFonts w:ascii="宋体" w:hAnsi="宋体" w:cs="宋体" w:eastAsia="宋体" w:hint="default"/>
                <w:sz w:val="21"/>
                <w:szCs w:val="21"/>
              </w:rPr>
            </w:pPr>
            <w:r>
              <w:rPr>
                <w:rFonts w:ascii="宋体" w:hAnsi="宋体" w:cs="宋体" w:eastAsia="宋体" w:hint="default"/>
                <w:sz w:val="21"/>
                <w:szCs w:val="21"/>
              </w:rPr>
              <w:t>主要财务指标</w:t>
            </w:r>
          </w:p>
        </w:tc>
        <w:tc>
          <w:tcPr>
            <w:tcW w:w="13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0"/>
              <w:ind w:left="357"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z w:val="21"/>
                <w:szCs w:val="21"/>
              </w:rPr>
              <w:t>年</w:t>
            </w:r>
          </w:p>
        </w:tc>
        <w:tc>
          <w:tcPr>
            <w:tcW w:w="12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0"/>
              <w:ind w:left="285"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z w:val="21"/>
                <w:szCs w:val="21"/>
              </w:rPr>
              <w:t>年</w:t>
            </w:r>
          </w:p>
        </w:tc>
        <w:tc>
          <w:tcPr>
            <w:tcW w:w="227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本期比上年同期增减</w:t>
            </w:r>
          </w:p>
          <w:p>
            <w:pPr>
              <w:pStyle w:val="TableParagraph"/>
              <w:spacing w:line="273" w:lineRule="exact"/>
              <w:ind w:left="1" w:right="0"/>
              <w:jc w:val="center"/>
              <w:rPr>
                <w:rFonts w:ascii="宋体" w:hAnsi="宋体" w:cs="宋体" w:eastAsia="宋体" w:hint="default"/>
                <w:sz w:val="21"/>
                <w:szCs w:val="21"/>
              </w:rPr>
            </w:pPr>
            <w:r>
              <w:rPr>
                <w:rFonts w:ascii="宋体"/>
                <w:sz w:val="21"/>
              </w:rPr>
              <w:t>(%)</w:t>
            </w:r>
          </w:p>
        </w:tc>
        <w:tc>
          <w:tcPr>
            <w:tcW w:w="125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0"/>
              <w:ind w:left="307"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z w:val="21"/>
                <w:szCs w:val="21"/>
              </w:rPr>
              <w:t>年</w:t>
            </w:r>
          </w:p>
        </w:tc>
      </w:tr>
      <w:tr>
        <w:trPr>
          <w:trHeight w:val="281" w:hRule="exact"/>
        </w:trPr>
        <w:tc>
          <w:tcPr>
            <w:tcW w:w="33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基本每股收益（元／股）</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0.161</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0.132</w:t>
            </w:r>
          </w:p>
        </w:tc>
        <w:tc>
          <w:tcPr>
            <w:tcW w:w="22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22.0</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0.019</w:t>
            </w:r>
          </w:p>
        </w:tc>
      </w:tr>
      <w:tr>
        <w:trPr>
          <w:trHeight w:val="283" w:hRule="exact"/>
        </w:trPr>
        <w:tc>
          <w:tcPr>
            <w:tcW w:w="33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稀释每股收益（元／股）</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0.161</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0.132</w:t>
            </w:r>
          </w:p>
        </w:tc>
        <w:tc>
          <w:tcPr>
            <w:tcW w:w="227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22.0</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0.019</w:t>
            </w:r>
          </w:p>
        </w:tc>
      </w:tr>
      <w:tr>
        <w:trPr>
          <w:trHeight w:val="555" w:hRule="exact"/>
        </w:trPr>
        <w:tc>
          <w:tcPr>
            <w:tcW w:w="33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pacing w:val="10"/>
                <w:sz w:val="21"/>
                <w:szCs w:val="21"/>
              </w:rPr>
              <w:t>扣除非经常性损益后的基本每股</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收益（元／股）</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0.168</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0.163</w:t>
            </w:r>
          </w:p>
        </w:tc>
        <w:tc>
          <w:tcPr>
            <w:tcW w:w="22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3.1</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0.044</w:t>
            </w:r>
          </w:p>
        </w:tc>
      </w:tr>
    </w:tbl>
    <w:p>
      <w:pPr>
        <w:spacing w:after="0" w:line="241" w:lineRule="exact"/>
        <w:jc w:val="right"/>
        <w:rPr>
          <w:rFonts w:ascii="宋体" w:hAnsi="宋体" w:cs="宋体" w:eastAsia="宋体" w:hint="default"/>
          <w:sz w:val="21"/>
          <w:szCs w:val="21"/>
        </w:rPr>
        <w:sectPr>
          <w:type w:val="continuous"/>
          <w:pgSz w:w="11910" w:h="16840"/>
          <w:pgMar w:top="1360" w:bottom="700" w:left="880" w:right="620"/>
        </w:sectPr>
      </w:pPr>
    </w:p>
    <w:p>
      <w:pPr>
        <w:spacing w:line="240" w:lineRule="auto" w:before="6"/>
        <w:rPr>
          <w:rFonts w:ascii="Microsoft JhengHei" w:hAnsi="Microsoft JhengHei" w:cs="Microsoft JhengHei" w:eastAsia="Microsoft JhengHei" w:hint="default"/>
          <w:b/>
          <w:bCs/>
          <w:sz w:val="9"/>
          <w:szCs w:val="9"/>
        </w:rPr>
      </w:pPr>
    </w:p>
    <w:tbl>
      <w:tblPr>
        <w:tblW w:w="0" w:type="auto"/>
        <w:jc w:val="left"/>
        <w:tblInd w:w="286" w:type="dxa"/>
        <w:tblLayout w:type="fixed"/>
        <w:tblCellMar>
          <w:top w:w="0" w:type="dxa"/>
          <w:left w:w="0" w:type="dxa"/>
          <w:bottom w:w="0" w:type="dxa"/>
          <w:right w:w="0" w:type="dxa"/>
        </w:tblCellMar>
        <w:tblLook w:val="01E0"/>
      </w:tblPr>
      <w:tblGrid>
        <w:gridCol w:w="3328"/>
        <w:gridCol w:w="1362"/>
        <w:gridCol w:w="1212"/>
        <w:gridCol w:w="2273"/>
        <w:gridCol w:w="1255"/>
      </w:tblGrid>
      <w:tr>
        <w:trPr>
          <w:trHeight w:val="283" w:hRule="exact"/>
        </w:trPr>
        <w:tc>
          <w:tcPr>
            <w:tcW w:w="33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r>
              <w:rPr>
                <w:rFonts w:ascii="宋体" w:hAnsi="宋体" w:cs="宋体" w:eastAsia="宋体" w:hint="default"/>
                <w:sz w:val="21"/>
                <w:szCs w:val="21"/>
              </w:rPr>
              <w:t>%</w:t>
            </w:r>
            <w:r>
              <w:rPr>
                <w:rFonts w:ascii="宋体" w:hAnsi="宋体" w:cs="宋体" w:eastAsia="宋体" w:hint="default"/>
                <w:sz w:val="21"/>
                <w:szCs w:val="21"/>
              </w:rPr>
              <w:t>）</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3.45</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2.86</w:t>
            </w:r>
          </w:p>
        </w:tc>
        <w:tc>
          <w:tcPr>
            <w:tcW w:w="227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hAnsi="宋体" w:cs="宋体" w:eastAsia="宋体" w:hint="default"/>
                <w:spacing w:val="-1"/>
                <w:sz w:val="21"/>
                <w:szCs w:val="21"/>
              </w:rPr>
              <w:t>增加</w:t>
            </w:r>
            <w:r>
              <w:rPr>
                <w:rFonts w:ascii="宋体" w:hAnsi="宋体" w:cs="宋体" w:eastAsia="宋体" w:hint="default"/>
                <w:spacing w:val="-1"/>
                <w:sz w:val="21"/>
                <w:szCs w:val="21"/>
              </w:rPr>
              <w:t>0.59</w:t>
            </w:r>
            <w:r>
              <w:rPr>
                <w:rFonts w:ascii="宋体" w:hAnsi="宋体" w:cs="宋体" w:eastAsia="宋体" w:hint="default"/>
                <w:spacing w:val="-1"/>
                <w:sz w:val="21"/>
                <w:szCs w:val="21"/>
              </w:rPr>
              <w:t>个百分点</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0.49</w:t>
            </w:r>
          </w:p>
        </w:tc>
      </w:tr>
      <w:tr>
        <w:trPr>
          <w:trHeight w:val="554" w:hRule="exact"/>
        </w:trPr>
        <w:tc>
          <w:tcPr>
            <w:tcW w:w="33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10"/>
                <w:sz w:val="21"/>
                <w:szCs w:val="21"/>
              </w:rPr>
              <w:t>扣除非经常性损益后的加权平均</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净资产收益率（</w:t>
            </w:r>
            <w:r>
              <w:rPr>
                <w:rFonts w:ascii="宋体" w:hAnsi="宋体" w:cs="宋体" w:eastAsia="宋体" w:hint="default"/>
                <w:sz w:val="21"/>
                <w:szCs w:val="21"/>
              </w:rPr>
              <w:t>%</w:t>
            </w:r>
            <w:r>
              <w:rPr>
                <w:rFonts w:ascii="宋体" w:hAnsi="宋体" w:cs="宋体" w:eastAsia="宋体" w:hint="default"/>
                <w:sz w:val="21"/>
                <w:szCs w:val="21"/>
              </w:rPr>
              <w:t>）</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3.60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3.52</w:t>
            </w:r>
          </w:p>
        </w:tc>
        <w:tc>
          <w:tcPr>
            <w:tcW w:w="22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hAnsi="宋体" w:cs="宋体" w:eastAsia="宋体" w:hint="default"/>
                <w:spacing w:val="-1"/>
                <w:sz w:val="21"/>
                <w:szCs w:val="21"/>
              </w:rPr>
              <w:t>增加</w:t>
            </w:r>
            <w:r>
              <w:rPr>
                <w:rFonts w:ascii="宋体" w:hAnsi="宋体" w:cs="宋体" w:eastAsia="宋体" w:hint="default"/>
                <w:spacing w:val="-1"/>
                <w:sz w:val="21"/>
                <w:szCs w:val="21"/>
              </w:rPr>
              <w:t>0.08</w:t>
            </w:r>
            <w:r>
              <w:rPr>
                <w:rFonts w:ascii="宋体" w:hAnsi="宋体" w:cs="宋体" w:eastAsia="宋体" w:hint="default"/>
                <w:spacing w:val="-1"/>
                <w:sz w:val="21"/>
                <w:szCs w:val="21"/>
              </w:rPr>
              <w:t>个百分点</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1.13</w:t>
            </w:r>
          </w:p>
        </w:tc>
      </w:tr>
    </w:tbl>
    <w:p>
      <w:pPr>
        <w:spacing w:line="240" w:lineRule="auto" w:before="2"/>
        <w:rPr>
          <w:rFonts w:ascii="Microsoft JhengHei" w:hAnsi="Microsoft JhengHei" w:cs="Microsoft JhengHei" w:eastAsia="Microsoft JhengHei" w:hint="default"/>
          <w:b/>
          <w:bCs/>
          <w:sz w:val="15"/>
          <w:szCs w:val="15"/>
        </w:rPr>
      </w:pPr>
    </w:p>
    <w:p>
      <w:pPr>
        <w:spacing w:before="36"/>
        <w:ind w:left="398" w:right="0" w:firstLine="0"/>
        <w:jc w:val="left"/>
        <w:rPr>
          <w:rFonts w:ascii="宋体" w:hAnsi="宋体" w:cs="宋体" w:eastAsia="宋体" w:hint="default"/>
          <w:sz w:val="21"/>
          <w:szCs w:val="21"/>
        </w:rPr>
      </w:pPr>
      <w:r>
        <w:rPr>
          <w:rFonts w:ascii="宋体" w:hAnsi="宋体" w:cs="宋体" w:eastAsia="宋体" w:hint="default"/>
          <w:sz w:val="21"/>
          <w:szCs w:val="21"/>
        </w:rPr>
        <w:t>报告期末公司前三年主要会计数据和财务指标的说明</w:t>
      </w:r>
    </w:p>
    <w:p>
      <w:pPr>
        <w:spacing w:before="37"/>
        <w:ind w:left="398" w:right="0"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2"/>
        <w:rPr>
          <w:rFonts w:ascii="宋体" w:hAnsi="宋体" w:cs="宋体" w:eastAsia="宋体" w:hint="default"/>
          <w:sz w:val="26"/>
          <w:szCs w:val="26"/>
        </w:rPr>
      </w:pPr>
    </w:p>
    <w:p>
      <w:pPr>
        <w:spacing w:before="0"/>
        <w:ind w:left="398"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八、</w:t>
      </w:r>
      <w:r>
        <w:rPr>
          <w:rFonts w:ascii="Microsoft JhengHei" w:hAnsi="Microsoft JhengHei" w:cs="Microsoft JhengHei" w:eastAsia="Microsoft JhengHei" w:hint="default"/>
          <w:b/>
          <w:bCs/>
          <w:spacing w:val="34"/>
          <w:sz w:val="21"/>
          <w:szCs w:val="21"/>
        </w:rPr>
        <w:t> </w:t>
      </w:r>
      <w:r>
        <w:rPr>
          <w:rFonts w:ascii="Microsoft JhengHei" w:hAnsi="Microsoft JhengHei" w:cs="Microsoft JhengHei" w:eastAsia="Microsoft JhengHei" w:hint="default"/>
          <w:b/>
          <w:bCs/>
          <w:sz w:val="21"/>
          <w:szCs w:val="21"/>
        </w:rPr>
        <w:t>境内外会计准则下会计数据差异</w:t>
      </w:r>
      <w:r>
        <w:rPr>
          <w:rFonts w:ascii="Microsoft JhengHei" w:hAnsi="Microsoft JhengHei" w:cs="Microsoft JhengHei" w:eastAsia="Microsoft JhengHei" w:hint="default"/>
          <w:sz w:val="21"/>
          <w:szCs w:val="21"/>
        </w:rPr>
      </w:r>
    </w:p>
    <w:p>
      <w:pPr>
        <w:spacing w:line="312" w:lineRule="exact" w:before="69"/>
        <w:ind w:left="818" w:right="0" w:hanging="42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一</w:t>
      </w:r>
      <w:r>
        <w:rPr>
          <w:rFonts w:ascii="Calibri" w:hAnsi="Calibri" w:cs="Calibri" w:eastAsia="Calibri" w:hint="default"/>
          <w:b/>
          <w:bCs/>
          <w:sz w:val="21"/>
          <w:szCs w:val="21"/>
        </w:rPr>
        <w:t>) </w:t>
      </w:r>
      <w:r>
        <w:rPr>
          <w:rFonts w:ascii="Microsoft JhengHei" w:hAnsi="Microsoft JhengHei" w:cs="Microsoft JhengHei" w:eastAsia="Microsoft JhengHei" w:hint="default"/>
          <w:b/>
          <w:bCs/>
          <w:spacing w:val="2"/>
          <w:sz w:val="21"/>
          <w:szCs w:val="21"/>
        </w:rPr>
        <w:t>同时按照国际会计准则与按中国会计准则披露的财务报告中净利润和归属于上市公司股东的净</w:t>
      </w:r>
      <w:r>
        <w:rPr>
          <w:rFonts w:ascii="Microsoft JhengHei" w:hAnsi="Microsoft JhengHei" w:cs="Microsoft JhengHei" w:eastAsia="Microsoft JhengHei" w:hint="default"/>
          <w:b/>
          <w:bCs/>
          <w:spacing w:val="-35"/>
          <w:sz w:val="21"/>
          <w:szCs w:val="21"/>
        </w:rPr>
        <w:t> </w:t>
      </w:r>
      <w:r>
        <w:rPr>
          <w:rFonts w:ascii="Microsoft JhengHei" w:hAnsi="Microsoft JhengHei" w:cs="Microsoft JhengHei" w:eastAsia="Microsoft JhengHei" w:hint="default"/>
          <w:b/>
          <w:bCs/>
          <w:spacing w:val="-35"/>
          <w:sz w:val="21"/>
          <w:szCs w:val="21"/>
        </w:rPr>
      </w:r>
      <w:r>
        <w:rPr>
          <w:rFonts w:ascii="Microsoft JhengHei" w:hAnsi="Microsoft JhengHei" w:cs="Microsoft JhengHei" w:eastAsia="Microsoft JhengHei" w:hint="default"/>
          <w:b/>
          <w:bCs/>
          <w:sz w:val="21"/>
          <w:szCs w:val="21"/>
        </w:rPr>
        <w:t>资产差异情况</w:t>
      </w:r>
      <w:r>
        <w:rPr>
          <w:rFonts w:ascii="Microsoft JhengHei" w:hAnsi="Microsoft JhengHei" w:cs="Microsoft JhengHei" w:eastAsia="Microsoft JhengHei" w:hint="default"/>
          <w:sz w:val="21"/>
          <w:szCs w:val="21"/>
        </w:rPr>
      </w:r>
    </w:p>
    <w:p>
      <w:pPr>
        <w:spacing w:before="65"/>
        <w:ind w:left="398" w:right="0"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312" w:lineRule="exact" w:before="93"/>
        <w:ind w:left="768" w:right="0" w:hanging="37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二</w:t>
      </w:r>
      <w:r>
        <w:rPr>
          <w:rFonts w:ascii="Calibri" w:hAnsi="Calibri" w:cs="Calibri" w:eastAsia="Calibri" w:hint="default"/>
          <w:b/>
          <w:bCs/>
          <w:sz w:val="21"/>
          <w:szCs w:val="21"/>
        </w:rPr>
        <w:t>) </w:t>
      </w:r>
      <w:r>
        <w:rPr>
          <w:rFonts w:ascii="Microsoft JhengHei" w:hAnsi="Microsoft JhengHei" w:cs="Microsoft JhengHei" w:eastAsia="Microsoft JhengHei" w:hint="default"/>
          <w:b/>
          <w:bCs/>
          <w:spacing w:val="2"/>
          <w:sz w:val="21"/>
          <w:szCs w:val="21"/>
        </w:rPr>
        <w:t>同时按照境外会计准则与按中国会计准则披露的财务报告中净利润和归属于上市公司股东的净</w:t>
      </w:r>
      <w:r>
        <w:rPr>
          <w:rFonts w:ascii="Microsoft JhengHei" w:hAnsi="Microsoft JhengHei" w:cs="Microsoft JhengHei" w:eastAsia="Microsoft JhengHei" w:hint="default"/>
          <w:b/>
          <w:bCs/>
          <w:spacing w:val="1"/>
          <w:sz w:val="21"/>
          <w:szCs w:val="21"/>
        </w:rPr>
        <w:t> </w:t>
      </w:r>
      <w:r>
        <w:rPr>
          <w:rFonts w:ascii="Microsoft JhengHei" w:hAnsi="Microsoft JhengHei" w:cs="Microsoft JhengHei" w:eastAsia="Microsoft JhengHei" w:hint="default"/>
          <w:b/>
          <w:bCs/>
          <w:spacing w:val="1"/>
          <w:sz w:val="21"/>
          <w:szCs w:val="21"/>
        </w:rPr>
      </w:r>
      <w:r>
        <w:rPr>
          <w:rFonts w:ascii="Microsoft JhengHei" w:hAnsi="Microsoft JhengHei" w:cs="Microsoft JhengHei" w:eastAsia="Microsoft JhengHei" w:hint="default"/>
          <w:b/>
          <w:bCs/>
          <w:sz w:val="21"/>
          <w:szCs w:val="21"/>
        </w:rPr>
        <w:t>资产差异情况</w:t>
      </w:r>
      <w:r>
        <w:rPr>
          <w:rFonts w:ascii="Microsoft JhengHei" w:hAnsi="Microsoft JhengHei" w:cs="Microsoft JhengHei" w:eastAsia="Microsoft JhengHei" w:hint="default"/>
          <w:sz w:val="21"/>
          <w:szCs w:val="21"/>
        </w:rPr>
      </w:r>
    </w:p>
    <w:p>
      <w:pPr>
        <w:spacing w:before="64"/>
        <w:ind w:left="398" w:right="0"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before="30"/>
        <w:ind w:left="398" w:right="0"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三</w:t>
      </w:r>
      <w:r>
        <w:rPr>
          <w:rFonts w:ascii="Calibri" w:hAnsi="Calibri" w:cs="Calibri" w:eastAsia="Calibri" w:hint="default"/>
          <w:b/>
          <w:bCs/>
          <w:sz w:val="21"/>
          <w:szCs w:val="21"/>
        </w:rPr>
        <w:t>)</w:t>
      </w:r>
      <w:r>
        <w:rPr>
          <w:rFonts w:ascii="Calibri" w:hAnsi="Calibri" w:cs="Calibri" w:eastAsia="Calibri" w:hint="default"/>
          <w:b/>
          <w:bCs/>
          <w:spacing w:val="-11"/>
          <w:sz w:val="21"/>
          <w:szCs w:val="21"/>
        </w:rPr>
        <w:t> </w:t>
      </w:r>
      <w:r>
        <w:rPr>
          <w:rFonts w:ascii="Microsoft JhengHei" w:hAnsi="Microsoft JhengHei" w:cs="Microsoft JhengHei" w:eastAsia="Microsoft JhengHei" w:hint="default"/>
          <w:b/>
          <w:bCs/>
          <w:sz w:val="21"/>
          <w:szCs w:val="21"/>
        </w:rPr>
        <w:t>境内外会计准则差异的说明：</w:t>
      </w:r>
      <w:r>
        <w:rPr>
          <w:rFonts w:ascii="Microsoft JhengHei" w:hAnsi="Microsoft JhengHei" w:cs="Microsoft JhengHei" w:eastAsia="Microsoft JhengHei" w:hint="default"/>
          <w:sz w:val="21"/>
          <w:szCs w:val="21"/>
        </w:rPr>
      </w:r>
    </w:p>
    <w:p>
      <w:pPr>
        <w:spacing w:before="70"/>
        <w:ind w:left="398" w:right="0"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7"/>
        <w:rPr>
          <w:rFonts w:ascii="宋体" w:hAnsi="宋体" w:cs="宋体" w:eastAsia="宋体" w:hint="default"/>
          <w:sz w:val="28"/>
          <w:szCs w:val="28"/>
        </w:rPr>
      </w:pPr>
    </w:p>
    <w:p>
      <w:pPr>
        <w:spacing w:line="335" w:lineRule="exact" w:before="0"/>
        <w:ind w:left="398"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九、  </w:t>
      </w:r>
      <w:r>
        <w:rPr>
          <w:rFonts w:ascii="Arial" w:hAnsi="Arial" w:cs="Arial" w:eastAsia="Arial" w:hint="default"/>
          <w:b/>
          <w:bCs/>
          <w:sz w:val="21"/>
          <w:szCs w:val="21"/>
        </w:rPr>
        <w:t>2019</w:t>
      </w:r>
      <w:r>
        <w:rPr>
          <w:rFonts w:ascii="Arial" w:hAnsi="Arial" w:cs="Arial" w:eastAsia="Arial" w:hint="default"/>
          <w:b/>
          <w:bCs/>
          <w:spacing w:val="-29"/>
          <w:sz w:val="21"/>
          <w:szCs w:val="21"/>
        </w:rPr>
        <w:t> </w:t>
      </w:r>
      <w:r>
        <w:rPr>
          <w:rFonts w:ascii="Microsoft JhengHei" w:hAnsi="Microsoft JhengHei" w:cs="Microsoft JhengHei" w:eastAsia="Microsoft JhengHei" w:hint="default"/>
          <w:b/>
          <w:bCs/>
          <w:sz w:val="21"/>
          <w:szCs w:val="21"/>
        </w:rPr>
        <w:t>年分季度主要财务数据</w:t>
      </w:r>
      <w:r>
        <w:rPr>
          <w:rFonts w:ascii="Microsoft JhengHei" w:hAnsi="Microsoft JhengHei" w:cs="Microsoft JhengHei" w:eastAsia="Microsoft JhengHei" w:hint="default"/>
          <w:sz w:val="21"/>
          <w:szCs w:val="21"/>
        </w:rPr>
      </w:r>
    </w:p>
    <w:p>
      <w:pPr>
        <w:tabs>
          <w:tab w:pos="1051" w:val="left" w:leader="none"/>
        </w:tabs>
        <w:spacing w:before="73"/>
        <w:ind w:left="0" w:right="247" w:firstLine="0"/>
        <w:jc w:val="right"/>
        <w:rPr>
          <w:rFonts w:ascii="宋体" w:hAnsi="宋体" w:cs="宋体" w:eastAsia="宋体" w:hint="default"/>
          <w:sz w:val="21"/>
          <w:szCs w:val="21"/>
        </w:rPr>
      </w:pPr>
      <w:r>
        <w:rPr>
          <w:rFonts w:ascii="宋体" w:hAnsi="宋体" w:cs="宋体" w:eastAsia="宋体" w:hint="default"/>
          <w:spacing w:val="-1"/>
          <w:sz w:val="21"/>
          <w:szCs w:val="21"/>
        </w:rPr>
        <w:t>单位：元</w:t>
        <w:tab/>
      </w:r>
      <w:r>
        <w:rPr>
          <w:rFonts w:ascii="宋体" w:hAnsi="宋体" w:cs="宋体" w:eastAsia="宋体" w:hint="default"/>
          <w:spacing w:val="-2"/>
          <w:sz w:val="21"/>
          <w:szCs w:val="21"/>
        </w:rPr>
        <w:t>币种：人民币</w:t>
      </w:r>
    </w:p>
    <w:p>
      <w:pPr>
        <w:spacing w:line="240" w:lineRule="auto" w:before="10"/>
        <w:rPr>
          <w:rFonts w:ascii="宋体" w:hAnsi="宋体" w:cs="宋体" w:eastAsia="宋体" w:hint="default"/>
          <w:sz w:val="3"/>
          <w:szCs w:val="3"/>
        </w:rPr>
      </w:pPr>
    </w:p>
    <w:tbl>
      <w:tblPr>
        <w:tblW w:w="0" w:type="auto"/>
        <w:jc w:val="left"/>
        <w:tblInd w:w="252" w:type="dxa"/>
        <w:tblLayout w:type="fixed"/>
        <w:tblCellMar>
          <w:top w:w="0" w:type="dxa"/>
          <w:left w:w="0" w:type="dxa"/>
          <w:bottom w:w="0" w:type="dxa"/>
          <w:right w:w="0" w:type="dxa"/>
        </w:tblCellMar>
        <w:tblLook w:val="01E0"/>
      </w:tblPr>
      <w:tblGrid>
        <w:gridCol w:w="2410"/>
        <w:gridCol w:w="1844"/>
        <w:gridCol w:w="1702"/>
        <w:gridCol w:w="1731"/>
        <w:gridCol w:w="1812"/>
      </w:tblGrid>
      <w:tr>
        <w:trPr>
          <w:trHeight w:val="651"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2" w:lineRule="exact"/>
              <w:ind w:left="3" w:right="0"/>
              <w:jc w:val="center"/>
              <w:rPr>
                <w:rFonts w:ascii="宋体" w:hAnsi="宋体" w:cs="宋体" w:eastAsia="宋体" w:hint="default"/>
                <w:sz w:val="21"/>
                <w:szCs w:val="21"/>
              </w:rPr>
            </w:pPr>
            <w:r>
              <w:rPr>
                <w:rFonts w:ascii="宋体" w:hAnsi="宋体" w:cs="宋体" w:eastAsia="宋体" w:hint="default"/>
                <w:sz w:val="21"/>
                <w:szCs w:val="21"/>
              </w:rPr>
              <w:t>第一季度</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1-3</w:t>
            </w:r>
            <w:r>
              <w:rPr>
                <w:rFonts w:ascii="宋体" w:hAnsi="宋体" w:cs="宋体" w:eastAsia="宋体" w:hint="default"/>
                <w:spacing w:val="-52"/>
                <w:sz w:val="21"/>
                <w:szCs w:val="21"/>
              </w:rPr>
              <w:t> </w:t>
            </w:r>
            <w:r>
              <w:rPr>
                <w:rFonts w:ascii="宋体" w:hAnsi="宋体" w:cs="宋体" w:eastAsia="宋体" w:hint="default"/>
                <w:sz w:val="21"/>
                <w:szCs w:val="21"/>
              </w:rPr>
              <w:t>月份）</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第二季度</w:t>
            </w:r>
          </w:p>
          <w:p>
            <w:pPr>
              <w:pStyle w:val="TableParagraph"/>
              <w:spacing w:line="240" w:lineRule="auto" w:before="37"/>
              <w:ind w:left="2"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4-6</w:t>
            </w:r>
            <w:r>
              <w:rPr>
                <w:rFonts w:ascii="宋体" w:hAnsi="宋体" w:cs="宋体" w:eastAsia="宋体" w:hint="default"/>
                <w:spacing w:val="-52"/>
                <w:sz w:val="21"/>
                <w:szCs w:val="21"/>
              </w:rPr>
              <w:t> </w:t>
            </w:r>
            <w:r>
              <w:rPr>
                <w:rFonts w:ascii="宋体" w:hAnsi="宋体" w:cs="宋体" w:eastAsia="宋体" w:hint="default"/>
                <w:sz w:val="21"/>
                <w:szCs w:val="21"/>
              </w:rPr>
              <w:t>月份）</w:t>
            </w:r>
          </w:p>
        </w:tc>
        <w:tc>
          <w:tcPr>
            <w:tcW w:w="17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第三季度</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7-9</w:t>
            </w:r>
            <w:r>
              <w:rPr>
                <w:rFonts w:ascii="宋体" w:hAnsi="宋体" w:cs="宋体" w:eastAsia="宋体" w:hint="default"/>
                <w:spacing w:val="-52"/>
                <w:sz w:val="21"/>
                <w:szCs w:val="21"/>
              </w:rPr>
              <w:t> </w:t>
            </w:r>
            <w:r>
              <w:rPr>
                <w:rFonts w:ascii="宋体" w:hAnsi="宋体" w:cs="宋体" w:eastAsia="宋体" w:hint="default"/>
                <w:sz w:val="21"/>
                <w:szCs w:val="21"/>
              </w:rPr>
              <w:t>月份）</w:t>
            </w:r>
          </w:p>
        </w:tc>
        <w:tc>
          <w:tcPr>
            <w:tcW w:w="18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第四季度</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10-12</w:t>
            </w:r>
            <w:r>
              <w:rPr>
                <w:rFonts w:ascii="宋体" w:hAnsi="宋体" w:cs="宋体" w:eastAsia="宋体" w:hint="default"/>
                <w:spacing w:val="-52"/>
                <w:sz w:val="21"/>
                <w:szCs w:val="21"/>
              </w:rPr>
              <w:t> </w:t>
            </w:r>
            <w:r>
              <w:rPr>
                <w:rFonts w:ascii="宋体" w:hAnsi="宋体" w:cs="宋体" w:eastAsia="宋体" w:hint="default"/>
                <w:sz w:val="21"/>
                <w:szCs w:val="21"/>
              </w:rPr>
              <w:t>月份）</w:t>
            </w:r>
          </w:p>
        </w:tc>
      </w:tr>
      <w:tr>
        <w:trPr>
          <w:trHeight w:val="322"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73,146,764,654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71,806,921,455</w:t>
            </w:r>
          </w:p>
        </w:tc>
        <w:tc>
          <w:tcPr>
            <w:tcW w:w="17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pacing w:val="-1"/>
                <w:sz w:val="21"/>
              </w:rPr>
              <w:t>72,166,807,193</w:t>
            </w:r>
          </w:p>
        </w:tc>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73,394,031,251</w:t>
            </w:r>
          </w:p>
        </w:tc>
      </w:tr>
      <w:tr>
        <w:trPr>
          <w:trHeight w:val="634"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103" w:right="192"/>
              <w:jc w:val="left"/>
              <w:rPr>
                <w:rFonts w:ascii="宋体" w:hAnsi="宋体" w:cs="宋体" w:eastAsia="宋体" w:hint="default"/>
                <w:sz w:val="21"/>
                <w:szCs w:val="21"/>
              </w:rPr>
            </w:pPr>
            <w:r>
              <w:rPr>
                <w:rFonts w:ascii="宋体" w:hAnsi="宋体" w:cs="宋体" w:eastAsia="宋体" w:hint="default"/>
                <w:spacing w:val="-2"/>
                <w:sz w:val="21"/>
                <w:szCs w:val="21"/>
              </w:rPr>
              <w:t>归属于上市公司股东的</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净利润</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8"/>
              <w:jc w:val="right"/>
              <w:rPr>
                <w:rFonts w:ascii="宋体" w:hAnsi="宋体" w:cs="宋体" w:eastAsia="宋体" w:hint="default"/>
                <w:sz w:val="21"/>
                <w:szCs w:val="21"/>
              </w:rPr>
            </w:pPr>
            <w:r>
              <w:rPr>
                <w:rFonts w:ascii="宋体"/>
                <w:spacing w:val="-1"/>
                <w:sz w:val="21"/>
              </w:rPr>
              <w:t>1,624,973,095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8"/>
              <w:jc w:val="right"/>
              <w:rPr>
                <w:rFonts w:ascii="宋体" w:hAnsi="宋体" w:cs="宋体" w:eastAsia="宋体" w:hint="default"/>
                <w:sz w:val="21"/>
                <w:szCs w:val="21"/>
              </w:rPr>
            </w:pPr>
            <w:r>
              <w:rPr>
                <w:rFonts w:ascii="宋体"/>
                <w:spacing w:val="-1"/>
                <w:sz w:val="21"/>
              </w:rPr>
              <w:t>1,390,938,207</w:t>
            </w:r>
          </w:p>
        </w:tc>
        <w:tc>
          <w:tcPr>
            <w:tcW w:w="1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1"/>
              <w:jc w:val="right"/>
              <w:rPr>
                <w:rFonts w:ascii="宋体" w:hAnsi="宋体" w:cs="宋体" w:eastAsia="宋体" w:hint="default"/>
                <w:sz w:val="21"/>
                <w:szCs w:val="21"/>
              </w:rPr>
            </w:pPr>
            <w:r>
              <w:rPr>
                <w:rFonts w:ascii="宋体"/>
                <w:spacing w:val="-1"/>
                <w:sz w:val="21"/>
              </w:rPr>
              <w:t>1,300,194,006</w:t>
            </w:r>
          </w:p>
        </w:tc>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8"/>
              <w:jc w:val="right"/>
              <w:rPr>
                <w:rFonts w:ascii="宋体" w:hAnsi="宋体" w:cs="宋体" w:eastAsia="宋体" w:hint="default"/>
                <w:sz w:val="21"/>
                <w:szCs w:val="21"/>
              </w:rPr>
            </w:pPr>
            <w:r>
              <w:rPr>
                <w:rFonts w:ascii="宋体"/>
                <w:spacing w:val="-1"/>
                <w:sz w:val="21"/>
              </w:rPr>
              <w:t>665,978,403</w:t>
            </w:r>
          </w:p>
        </w:tc>
      </w:tr>
      <w:tr>
        <w:trPr>
          <w:trHeight w:val="946"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103" w:right="192"/>
              <w:jc w:val="both"/>
              <w:rPr>
                <w:rFonts w:ascii="宋体" w:hAnsi="宋体" w:cs="宋体" w:eastAsia="宋体" w:hint="default"/>
                <w:sz w:val="21"/>
                <w:szCs w:val="21"/>
              </w:rPr>
            </w:pPr>
            <w:r>
              <w:rPr>
                <w:rFonts w:ascii="宋体" w:hAnsi="宋体" w:cs="宋体" w:eastAsia="宋体" w:hint="default"/>
                <w:spacing w:val="-2"/>
                <w:sz w:val="21"/>
                <w:szCs w:val="21"/>
              </w:rPr>
              <w:t>归属于上市公司股东的</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扣除非经常性损益后的</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净利润</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1,571,108,453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1,250,782,118</w:t>
            </w:r>
          </w:p>
        </w:tc>
        <w:tc>
          <w:tcPr>
            <w:tcW w:w="1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1,146,999,528</w:t>
            </w:r>
          </w:p>
        </w:tc>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1,229,286,869</w:t>
            </w:r>
          </w:p>
        </w:tc>
      </w:tr>
      <w:tr>
        <w:trPr>
          <w:trHeight w:val="636"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103" w:right="192"/>
              <w:jc w:val="left"/>
              <w:rPr>
                <w:rFonts w:ascii="宋体" w:hAnsi="宋体" w:cs="宋体" w:eastAsia="宋体" w:hint="default"/>
                <w:sz w:val="21"/>
                <w:szCs w:val="21"/>
              </w:rPr>
            </w:pPr>
            <w:r>
              <w:rPr>
                <w:rFonts w:ascii="宋体" w:hAnsi="宋体" w:cs="宋体" w:eastAsia="宋体" w:hint="default"/>
                <w:spacing w:val="-2"/>
                <w:sz w:val="21"/>
                <w:szCs w:val="21"/>
              </w:rPr>
              <w:t>经营活动产生的现金流</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量净额</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8"/>
              <w:jc w:val="right"/>
              <w:rPr>
                <w:rFonts w:ascii="宋体" w:hAnsi="宋体" w:cs="宋体" w:eastAsia="宋体" w:hint="default"/>
                <w:sz w:val="21"/>
                <w:szCs w:val="21"/>
              </w:rPr>
            </w:pPr>
            <w:r>
              <w:rPr>
                <w:rFonts w:ascii="宋体"/>
                <w:spacing w:val="-1"/>
                <w:sz w:val="21"/>
              </w:rPr>
              <w:t>19,083,898,477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9"/>
              <w:jc w:val="right"/>
              <w:rPr>
                <w:rFonts w:ascii="宋体" w:hAnsi="宋体" w:cs="宋体" w:eastAsia="宋体" w:hint="default"/>
                <w:sz w:val="21"/>
                <w:szCs w:val="21"/>
              </w:rPr>
            </w:pPr>
            <w:r>
              <w:rPr>
                <w:rFonts w:ascii="宋体"/>
                <w:spacing w:val="-1"/>
                <w:sz w:val="21"/>
              </w:rPr>
              <w:t>24,503,569,997</w:t>
            </w:r>
          </w:p>
        </w:tc>
        <w:tc>
          <w:tcPr>
            <w:tcW w:w="1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1"/>
              <w:jc w:val="right"/>
              <w:rPr>
                <w:rFonts w:ascii="宋体" w:hAnsi="宋体" w:cs="宋体" w:eastAsia="宋体" w:hint="default"/>
                <w:sz w:val="21"/>
                <w:szCs w:val="21"/>
              </w:rPr>
            </w:pPr>
            <w:r>
              <w:rPr>
                <w:rFonts w:ascii="宋体"/>
                <w:spacing w:val="-1"/>
                <w:sz w:val="21"/>
              </w:rPr>
              <w:t>33,183,320,451</w:t>
            </w:r>
          </w:p>
        </w:tc>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8"/>
              <w:jc w:val="right"/>
              <w:rPr>
                <w:rFonts w:ascii="宋体" w:hAnsi="宋体" w:cs="宋体" w:eastAsia="宋体" w:hint="default"/>
                <w:sz w:val="21"/>
                <w:szCs w:val="21"/>
              </w:rPr>
            </w:pPr>
            <w:r>
              <w:rPr>
                <w:rFonts w:ascii="宋体"/>
                <w:spacing w:val="-1"/>
                <w:sz w:val="21"/>
              </w:rPr>
              <w:t>19,437,446,874</w:t>
            </w:r>
          </w:p>
        </w:tc>
      </w:tr>
    </w:tbl>
    <w:p>
      <w:pPr>
        <w:spacing w:line="240" w:lineRule="auto" w:before="2"/>
        <w:rPr>
          <w:rFonts w:ascii="宋体" w:hAnsi="宋体" w:cs="宋体" w:eastAsia="宋体" w:hint="default"/>
          <w:sz w:val="20"/>
          <w:szCs w:val="20"/>
        </w:rPr>
      </w:pPr>
    </w:p>
    <w:p>
      <w:pPr>
        <w:spacing w:before="36"/>
        <w:ind w:left="398" w:right="0" w:firstLine="0"/>
        <w:jc w:val="left"/>
        <w:rPr>
          <w:rFonts w:ascii="宋体" w:hAnsi="宋体" w:cs="宋体" w:eastAsia="宋体" w:hint="default"/>
          <w:sz w:val="21"/>
          <w:szCs w:val="21"/>
        </w:rPr>
      </w:pPr>
      <w:r>
        <w:rPr>
          <w:rFonts w:ascii="宋体" w:hAnsi="宋体" w:cs="宋体" w:eastAsia="宋体" w:hint="default"/>
          <w:sz w:val="21"/>
          <w:szCs w:val="21"/>
        </w:rPr>
        <w:t>季度数据与已披露定期报告数据差异说明</w:t>
      </w:r>
    </w:p>
    <w:p>
      <w:pPr>
        <w:tabs>
          <w:tab w:pos="1241" w:val="left" w:leader="none"/>
        </w:tabs>
        <w:spacing w:before="37"/>
        <w:ind w:left="398" w:right="0" w:firstLine="0"/>
        <w:jc w:val="left"/>
        <w:rPr>
          <w:rFonts w:ascii="宋体" w:hAnsi="宋体" w:cs="宋体" w:eastAsia="宋体" w:hint="default"/>
          <w:sz w:val="21"/>
          <w:szCs w:val="21"/>
        </w:rPr>
      </w:pPr>
      <w:r>
        <w:rPr>
          <w:rFonts w:ascii="宋体" w:hAnsi="宋体" w:cs="宋体" w:eastAsia="宋体" w:hint="default"/>
          <w:sz w:val="21"/>
          <w:szCs w:val="21"/>
        </w:rPr>
        <w:t>□适用</w:t>
        <w:tab/>
        <w:t>√不适用</w:t>
      </w:r>
    </w:p>
    <w:p>
      <w:pPr>
        <w:spacing w:line="240" w:lineRule="auto" w:before="7"/>
        <w:rPr>
          <w:rFonts w:ascii="宋体" w:hAnsi="宋体" w:cs="宋体" w:eastAsia="宋体" w:hint="default"/>
          <w:sz w:val="28"/>
          <w:szCs w:val="28"/>
        </w:rPr>
      </w:pPr>
    </w:p>
    <w:p>
      <w:pPr>
        <w:spacing w:line="335" w:lineRule="exact" w:before="0"/>
        <w:ind w:left="398"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十、</w:t>
      </w:r>
      <w:r>
        <w:rPr>
          <w:rFonts w:ascii="Microsoft JhengHei" w:hAnsi="Microsoft JhengHei" w:cs="Microsoft JhengHei" w:eastAsia="Microsoft JhengHei" w:hint="default"/>
          <w:b/>
          <w:bCs/>
          <w:spacing w:val="33"/>
          <w:sz w:val="21"/>
          <w:szCs w:val="21"/>
        </w:rPr>
        <w:t> </w:t>
      </w:r>
      <w:r>
        <w:rPr>
          <w:rFonts w:ascii="Microsoft JhengHei" w:hAnsi="Microsoft JhengHei" w:cs="Microsoft JhengHei" w:eastAsia="Microsoft JhengHei" w:hint="default"/>
          <w:b/>
          <w:bCs/>
          <w:sz w:val="21"/>
          <w:szCs w:val="21"/>
        </w:rPr>
        <w:t>非经常性损益项目和金额</w:t>
      </w:r>
      <w:r>
        <w:rPr>
          <w:rFonts w:ascii="Microsoft JhengHei" w:hAnsi="Microsoft JhengHei" w:cs="Microsoft JhengHei" w:eastAsia="Microsoft JhengHei" w:hint="default"/>
          <w:sz w:val="21"/>
          <w:szCs w:val="21"/>
        </w:rPr>
      </w:r>
    </w:p>
    <w:p>
      <w:pPr>
        <w:tabs>
          <w:tab w:pos="946" w:val="left" w:leader="none"/>
        </w:tabs>
        <w:spacing w:before="73"/>
        <w:ind w:left="0" w:right="247" w:firstLine="0"/>
        <w:jc w:val="right"/>
        <w:rPr>
          <w:rFonts w:ascii="宋体" w:hAnsi="宋体" w:cs="宋体" w:eastAsia="宋体" w:hint="default"/>
          <w:sz w:val="21"/>
          <w:szCs w:val="21"/>
        </w:rPr>
      </w:pPr>
      <w:r>
        <w:rPr>
          <w:rFonts w:ascii="宋体" w:hAnsi="宋体" w:cs="宋体" w:eastAsia="宋体" w:hint="default"/>
          <w:spacing w:val="-1"/>
          <w:sz w:val="21"/>
          <w:szCs w:val="21"/>
        </w:rPr>
        <w:t>单位</w:t>
      </w:r>
      <w:r>
        <w:rPr>
          <w:rFonts w:ascii="宋体" w:hAnsi="宋体" w:cs="宋体" w:eastAsia="宋体" w:hint="default"/>
          <w:spacing w:val="-1"/>
          <w:sz w:val="21"/>
          <w:szCs w:val="21"/>
        </w:rPr>
        <w:t>:</w:t>
      </w:r>
      <w:r>
        <w:rPr>
          <w:rFonts w:ascii="宋体" w:hAnsi="宋体" w:cs="宋体" w:eastAsia="宋体" w:hint="default"/>
          <w:spacing w:val="-1"/>
          <w:sz w:val="21"/>
          <w:szCs w:val="21"/>
        </w:rPr>
        <w:t>元</w:t>
        <w:tab/>
        <w:t>币种</w:t>
      </w:r>
      <w:r>
        <w:rPr>
          <w:rFonts w:ascii="宋体" w:hAnsi="宋体" w:cs="宋体" w:eastAsia="宋体" w:hint="default"/>
          <w:spacing w:val="-1"/>
          <w:sz w:val="21"/>
          <w:szCs w:val="21"/>
        </w:rPr>
        <w:t>:</w:t>
      </w:r>
      <w:r>
        <w:rPr>
          <w:rFonts w:ascii="宋体" w:hAnsi="宋体" w:cs="宋体" w:eastAsia="宋体" w:hint="default"/>
          <w:spacing w:val="-1"/>
          <w:sz w:val="21"/>
          <w:szCs w:val="21"/>
        </w:rPr>
        <w:t>人民币</w:t>
      </w:r>
    </w:p>
    <w:p>
      <w:pPr>
        <w:spacing w:line="240" w:lineRule="auto" w:before="10"/>
        <w:rPr>
          <w:rFonts w:ascii="宋体" w:hAnsi="宋体" w:cs="宋体" w:eastAsia="宋体" w:hint="default"/>
          <w:sz w:val="3"/>
          <w:szCs w:val="3"/>
        </w:rPr>
      </w:pPr>
    </w:p>
    <w:tbl>
      <w:tblPr>
        <w:tblW w:w="0" w:type="auto"/>
        <w:jc w:val="left"/>
        <w:tblInd w:w="110" w:type="dxa"/>
        <w:tblLayout w:type="fixed"/>
        <w:tblCellMar>
          <w:top w:w="0" w:type="dxa"/>
          <w:left w:w="0" w:type="dxa"/>
          <w:bottom w:w="0" w:type="dxa"/>
          <w:right w:w="0" w:type="dxa"/>
        </w:tblCellMar>
        <w:tblLook w:val="01E0"/>
      </w:tblPr>
      <w:tblGrid>
        <w:gridCol w:w="4167"/>
        <w:gridCol w:w="1817"/>
        <w:gridCol w:w="1817"/>
        <w:gridCol w:w="1814"/>
      </w:tblGrid>
      <w:tr>
        <w:trPr>
          <w:trHeight w:val="317" w:hRule="exact"/>
        </w:trPr>
        <w:tc>
          <w:tcPr>
            <w:tcW w:w="41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236" w:right="0"/>
              <w:jc w:val="left"/>
              <w:rPr>
                <w:rFonts w:ascii="宋体" w:hAnsi="宋体" w:cs="宋体" w:eastAsia="宋体" w:hint="default"/>
                <w:sz w:val="21"/>
                <w:szCs w:val="21"/>
              </w:rPr>
            </w:pPr>
            <w:r>
              <w:rPr>
                <w:rFonts w:ascii="宋体" w:hAnsi="宋体" w:cs="宋体" w:eastAsia="宋体" w:hint="default"/>
                <w:sz w:val="21"/>
                <w:szCs w:val="21"/>
              </w:rPr>
              <w:t>非经常性损益项目</w:t>
            </w:r>
          </w:p>
        </w:tc>
        <w:tc>
          <w:tcPr>
            <w:tcW w:w="18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350"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2"/>
                <w:sz w:val="21"/>
                <w:szCs w:val="21"/>
              </w:rPr>
              <w:t> </w:t>
            </w:r>
            <w:r>
              <w:rPr>
                <w:rFonts w:ascii="宋体" w:hAnsi="宋体" w:cs="宋体" w:eastAsia="宋体" w:hint="default"/>
                <w:sz w:val="21"/>
                <w:szCs w:val="21"/>
              </w:rPr>
              <w:t>年金额</w:t>
            </w:r>
          </w:p>
        </w:tc>
        <w:tc>
          <w:tcPr>
            <w:tcW w:w="18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352"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2"/>
                <w:sz w:val="21"/>
                <w:szCs w:val="21"/>
              </w:rPr>
              <w:t> </w:t>
            </w:r>
            <w:r>
              <w:rPr>
                <w:rFonts w:ascii="宋体" w:hAnsi="宋体" w:cs="宋体" w:eastAsia="宋体" w:hint="default"/>
                <w:sz w:val="21"/>
                <w:szCs w:val="21"/>
              </w:rPr>
              <w:t>年金额</w:t>
            </w:r>
          </w:p>
        </w:tc>
        <w:tc>
          <w:tcPr>
            <w:tcW w:w="18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347"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2"/>
                <w:sz w:val="21"/>
                <w:szCs w:val="21"/>
              </w:rPr>
              <w:t> </w:t>
            </w:r>
            <w:r>
              <w:rPr>
                <w:rFonts w:ascii="宋体" w:hAnsi="宋体" w:cs="宋体" w:eastAsia="宋体" w:hint="default"/>
                <w:sz w:val="21"/>
                <w:szCs w:val="21"/>
              </w:rPr>
              <w:t>年金额</w:t>
            </w:r>
          </w:p>
        </w:tc>
      </w:tr>
      <w:tr>
        <w:trPr>
          <w:trHeight w:val="326" w:hRule="exact"/>
        </w:trPr>
        <w:tc>
          <w:tcPr>
            <w:tcW w:w="41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7" w:lineRule="exact"/>
              <w:ind w:left="101"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-2,126,903,453</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-3,971,803,149</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right="101"/>
              <w:jc w:val="right"/>
              <w:rPr>
                <w:rFonts w:ascii="宋体" w:hAnsi="宋体" w:cs="宋体" w:eastAsia="宋体" w:hint="default"/>
                <w:sz w:val="21"/>
                <w:szCs w:val="21"/>
              </w:rPr>
            </w:pPr>
            <w:r>
              <w:rPr>
                <w:rFonts w:ascii="宋体"/>
                <w:spacing w:val="-1"/>
                <w:sz w:val="21"/>
              </w:rPr>
              <w:t>-3,488,897,716</w:t>
            </w:r>
          </w:p>
        </w:tc>
      </w:tr>
      <w:tr>
        <w:trPr>
          <w:trHeight w:val="1258" w:hRule="exact"/>
        </w:trPr>
        <w:tc>
          <w:tcPr>
            <w:tcW w:w="41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101" w:right="101"/>
              <w:jc w:val="left"/>
              <w:rPr>
                <w:rFonts w:ascii="宋体" w:hAnsi="宋体" w:cs="宋体" w:eastAsia="宋体" w:hint="default"/>
                <w:sz w:val="21"/>
                <w:szCs w:val="21"/>
              </w:rPr>
            </w:pPr>
            <w:r>
              <w:rPr>
                <w:rFonts w:ascii="宋体" w:hAnsi="宋体" w:cs="宋体" w:eastAsia="宋体" w:hint="default"/>
                <w:spacing w:val="-4"/>
                <w:sz w:val="21"/>
                <w:szCs w:val="21"/>
              </w:rPr>
              <w:t>计入当期损益的政府补助，但与公司正常经</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4"/>
                <w:sz w:val="21"/>
                <w:szCs w:val="21"/>
              </w:rPr>
              <w:t>营业务密切相关，符合国家政策规定、按照</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一定标准定额或定量持续享受的政府补助</w:t>
            </w:r>
            <w:r>
              <w:rPr>
                <w:rFonts w:ascii="宋体" w:hAnsi="宋体" w:cs="宋体" w:eastAsia="宋体" w:hint="default"/>
                <w:w w:val="100"/>
                <w:sz w:val="21"/>
                <w:szCs w:val="21"/>
              </w:rPr>
              <w:t> </w:t>
            </w:r>
            <w:r>
              <w:rPr>
                <w:rFonts w:ascii="宋体" w:hAnsi="宋体" w:cs="宋体" w:eastAsia="宋体" w:hint="default"/>
                <w:sz w:val="21"/>
                <w:szCs w:val="21"/>
              </w:rPr>
              <w:t>除外</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807,358,057</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257,150,383</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pacing w:val="-1"/>
                <w:sz w:val="21"/>
              </w:rPr>
              <w:t>253,379,078</w:t>
            </w:r>
          </w:p>
        </w:tc>
      </w:tr>
      <w:tr>
        <w:trPr>
          <w:trHeight w:val="322" w:hRule="exact"/>
        </w:trPr>
        <w:tc>
          <w:tcPr>
            <w:tcW w:w="41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除同公司正常经营业务相关的有效套期保</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108,768,551</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sz w:val="21"/>
              </w:rPr>
              <w:t>49,967,950</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pacing w:val="-1"/>
                <w:sz w:val="21"/>
              </w:rPr>
              <w:t>27,911,288</w:t>
            </w:r>
          </w:p>
        </w:tc>
      </w:tr>
    </w:tbl>
    <w:p>
      <w:pPr>
        <w:spacing w:after="0" w:line="262" w:lineRule="exact"/>
        <w:jc w:val="right"/>
        <w:rPr>
          <w:rFonts w:ascii="宋体" w:hAnsi="宋体" w:cs="宋体" w:eastAsia="宋体" w:hint="default"/>
          <w:sz w:val="21"/>
          <w:szCs w:val="21"/>
        </w:rPr>
        <w:sectPr>
          <w:footerReference w:type="default" r:id="rId19"/>
          <w:pgSz w:w="11910" w:h="16840"/>
          <w:pgMar w:footer="502" w:header="854" w:top="1360" w:bottom="700" w:left="1020" w:right="1020"/>
        </w:sectPr>
      </w:pPr>
    </w:p>
    <w:p>
      <w:pPr>
        <w:spacing w:line="240" w:lineRule="auto" w:before="6"/>
        <w:rPr>
          <w:rFonts w:ascii="宋体" w:hAnsi="宋体" w:cs="宋体" w:eastAsia="宋体"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4166"/>
        <w:gridCol w:w="1818"/>
        <w:gridCol w:w="1817"/>
        <w:gridCol w:w="1814"/>
      </w:tblGrid>
      <w:tr>
        <w:trPr>
          <w:trHeight w:val="948" w:hRule="exact"/>
        </w:trPr>
        <w:tc>
          <w:tcPr>
            <w:tcW w:w="41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101" w:right="100"/>
              <w:jc w:val="both"/>
              <w:rPr>
                <w:rFonts w:ascii="宋体" w:hAnsi="宋体" w:cs="宋体" w:eastAsia="宋体" w:hint="default"/>
                <w:sz w:val="21"/>
                <w:szCs w:val="21"/>
              </w:rPr>
            </w:pPr>
            <w:r>
              <w:rPr>
                <w:rFonts w:ascii="宋体" w:hAnsi="宋体" w:cs="宋体" w:eastAsia="宋体" w:hint="default"/>
                <w:spacing w:val="-4"/>
                <w:sz w:val="21"/>
                <w:szCs w:val="21"/>
              </w:rPr>
              <w:t>值业务外，持有交易性金融资产产生的公允</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4"/>
                <w:sz w:val="21"/>
                <w:szCs w:val="21"/>
              </w:rPr>
              <w:t>价值变动损益，以及处置交易性金融资产和</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其他权益工具投资取得的投资收益</w:t>
            </w:r>
          </w:p>
        </w:tc>
        <w:tc>
          <w:tcPr>
            <w:tcW w:w="1818"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
        </w:tc>
        <w:tc>
          <w:tcPr>
            <w:tcW w:w="181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1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181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561,032,569</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82,075,403</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pacing w:val="-1"/>
                <w:sz w:val="21"/>
              </w:rPr>
              <w:t>807,685,255</w:t>
            </w:r>
          </w:p>
        </w:tc>
      </w:tr>
      <w:tr>
        <w:trPr>
          <w:trHeight w:val="322" w:hRule="exact"/>
        </w:trPr>
        <w:tc>
          <w:tcPr>
            <w:tcW w:w="41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其他符合非经常性损益定义的损益项目</w:t>
            </w:r>
          </w:p>
        </w:tc>
        <w:tc>
          <w:tcPr>
            <w:tcW w:w="1818"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682,046,510</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3"/>
              <w:jc w:val="right"/>
              <w:rPr>
                <w:rFonts w:ascii="宋体" w:hAnsi="宋体" w:cs="宋体" w:eastAsia="宋体" w:hint="default"/>
                <w:sz w:val="21"/>
                <w:szCs w:val="21"/>
              </w:rPr>
            </w:pPr>
            <w:r>
              <w:rPr>
                <w:rFonts w:ascii="宋体"/>
                <w:w w:val="100"/>
                <w:sz w:val="21"/>
              </w:rPr>
              <w:t>0</w:t>
            </w:r>
          </w:p>
        </w:tc>
      </w:tr>
      <w:tr>
        <w:trPr>
          <w:trHeight w:val="322" w:hRule="exact"/>
        </w:trPr>
        <w:tc>
          <w:tcPr>
            <w:tcW w:w="41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少数股东权益影响额</w:t>
            </w:r>
          </w:p>
        </w:tc>
        <w:tc>
          <w:tcPr>
            <w:tcW w:w="181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275,699,303</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1,207,592,195</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pacing w:val="-1"/>
                <w:sz w:val="21"/>
              </w:rPr>
              <w:t>1,232,359,716</w:t>
            </w:r>
          </w:p>
        </w:tc>
      </w:tr>
      <w:tr>
        <w:trPr>
          <w:trHeight w:val="322" w:hRule="exact"/>
        </w:trPr>
        <w:tc>
          <w:tcPr>
            <w:tcW w:w="41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1"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81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157,951,716</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746,459,316</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pacing w:val="-1"/>
                <w:sz w:val="21"/>
              </w:rPr>
              <w:t>600,813,178</w:t>
            </w:r>
          </w:p>
        </w:tc>
      </w:tr>
      <w:tr>
        <w:trPr>
          <w:trHeight w:val="324" w:hRule="exact"/>
        </w:trPr>
        <w:tc>
          <w:tcPr>
            <w:tcW w:w="41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181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-216,093,257</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-946,511,392</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pacing w:val="-1"/>
                <w:sz w:val="21"/>
              </w:rPr>
              <w:t>-566,749,201</w:t>
            </w:r>
          </w:p>
        </w:tc>
      </w:tr>
    </w:tbl>
    <w:p>
      <w:pPr>
        <w:spacing w:line="240" w:lineRule="auto" w:before="9"/>
        <w:rPr>
          <w:rFonts w:ascii="宋体" w:hAnsi="宋体" w:cs="宋体" w:eastAsia="宋体" w:hint="default"/>
          <w:sz w:val="24"/>
          <w:szCs w:val="24"/>
        </w:rPr>
      </w:pPr>
    </w:p>
    <w:p>
      <w:pPr>
        <w:tabs>
          <w:tab w:pos="1238" w:val="left" w:leader="none"/>
        </w:tabs>
        <w:spacing w:line="335" w:lineRule="exact" w:before="0"/>
        <w:ind w:left="398" w:right="224"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十一、</w:t>
        <w:tab/>
        <w:t>采用公允价值计量的项目</w:t>
      </w:r>
      <w:r>
        <w:rPr>
          <w:rFonts w:ascii="Microsoft JhengHei" w:hAnsi="Microsoft JhengHei" w:cs="Microsoft JhengHei" w:eastAsia="Microsoft JhengHei" w:hint="default"/>
          <w:sz w:val="21"/>
          <w:szCs w:val="21"/>
        </w:rPr>
      </w:r>
    </w:p>
    <w:p>
      <w:pPr>
        <w:tabs>
          <w:tab w:pos="1051" w:val="left" w:leader="none"/>
        </w:tabs>
        <w:spacing w:before="74"/>
        <w:ind w:left="0" w:right="227" w:firstLine="0"/>
        <w:jc w:val="right"/>
        <w:rPr>
          <w:rFonts w:ascii="宋体" w:hAnsi="宋体" w:cs="宋体" w:eastAsia="宋体" w:hint="default"/>
          <w:sz w:val="21"/>
          <w:szCs w:val="21"/>
        </w:rPr>
      </w:pPr>
      <w:r>
        <w:rPr>
          <w:rFonts w:ascii="宋体" w:hAnsi="宋体" w:cs="宋体" w:eastAsia="宋体" w:hint="default"/>
          <w:spacing w:val="-1"/>
          <w:sz w:val="21"/>
          <w:szCs w:val="21"/>
        </w:rPr>
        <w:t>单位：元</w:t>
        <w:tab/>
      </w:r>
      <w:r>
        <w:rPr>
          <w:rFonts w:ascii="宋体" w:hAnsi="宋体" w:cs="宋体" w:eastAsia="宋体" w:hint="default"/>
          <w:spacing w:val="-2"/>
          <w:sz w:val="21"/>
          <w:szCs w:val="21"/>
        </w:rPr>
        <w:t>币种：人民币</w:t>
      </w:r>
    </w:p>
    <w:p>
      <w:pPr>
        <w:spacing w:line="240" w:lineRule="auto" w:before="10"/>
        <w:rPr>
          <w:rFonts w:ascii="宋体" w:hAnsi="宋体" w:cs="宋体" w:eastAsia="宋体" w:hint="default"/>
          <w:sz w:val="3"/>
          <w:szCs w:val="3"/>
        </w:rPr>
      </w:pPr>
    </w:p>
    <w:tbl>
      <w:tblPr>
        <w:tblW w:w="0" w:type="auto"/>
        <w:jc w:val="left"/>
        <w:tblInd w:w="286" w:type="dxa"/>
        <w:tblLayout w:type="fixed"/>
        <w:tblCellMar>
          <w:top w:w="0" w:type="dxa"/>
          <w:left w:w="0" w:type="dxa"/>
          <w:bottom w:w="0" w:type="dxa"/>
          <w:right w:w="0" w:type="dxa"/>
        </w:tblCellMar>
        <w:tblLook w:val="01E0"/>
      </w:tblPr>
      <w:tblGrid>
        <w:gridCol w:w="2234"/>
        <w:gridCol w:w="1582"/>
        <w:gridCol w:w="1709"/>
        <w:gridCol w:w="1692"/>
        <w:gridCol w:w="1997"/>
      </w:tblGrid>
      <w:tr>
        <w:trPr>
          <w:trHeight w:val="634" w:hRule="exact"/>
        </w:trPr>
        <w:tc>
          <w:tcPr>
            <w:tcW w:w="22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3"/>
              <w:ind w:left="691" w:right="0"/>
              <w:jc w:val="left"/>
              <w:rPr>
                <w:rFonts w:ascii="宋体" w:hAnsi="宋体" w:cs="宋体" w:eastAsia="宋体" w:hint="default"/>
                <w:sz w:val="21"/>
                <w:szCs w:val="21"/>
              </w:rPr>
            </w:pPr>
            <w:r>
              <w:rPr>
                <w:rFonts w:ascii="宋体" w:hAnsi="宋体" w:cs="宋体" w:eastAsia="宋体" w:hint="default"/>
                <w:sz w:val="21"/>
                <w:szCs w:val="21"/>
              </w:rPr>
              <w:t>项目名称</w:t>
            </w:r>
          </w:p>
        </w:tc>
        <w:tc>
          <w:tcPr>
            <w:tcW w:w="15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3"/>
              <w:ind w:left="365"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7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3"/>
              <w:ind w:left="429"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6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3"/>
              <w:ind w:left="417" w:right="0"/>
              <w:jc w:val="left"/>
              <w:rPr>
                <w:rFonts w:ascii="宋体" w:hAnsi="宋体" w:cs="宋体" w:eastAsia="宋体" w:hint="default"/>
                <w:sz w:val="21"/>
                <w:szCs w:val="21"/>
              </w:rPr>
            </w:pPr>
            <w:r>
              <w:rPr>
                <w:rFonts w:ascii="宋体" w:hAnsi="宋体" w:cs="宋体" w:eastAsia="宋体" w:hint="default"/>
                <w:sz w:val="21"/>
                <w:szCs w:val="21"/>
              </w:rPr>
              <w:t>当期变动</w:t>
            </w:r>
          </w:p>
        </w:tc>
        <w:tc>
          <w:tcPr>
            <w:tcW w:w="19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782" w:right="149" w:hanging="630"/>
              <w:jc w:val="left"/>
              <w:rPr>
                <w:rFonts w:ascii="宋体" w:hAnsi="宋体" w:cs="宋体" w:eastAsia="宋体" w:hint="default"/>
                <w:sz w:val="21"/>
                <w:szCs w:val="21"/>
              </w:rPr>
            </w:pPr>
            <w:r>
              <w:rPr>
                <w:rFonts w:ascii="宋体" w:hAnsi="宋体" w:cs="宋体" w:eastAsia="宋体" w:hint="default"/>
                <w:sz w:val="21"/>
                <w:szCs w:val="21"/>
              </w:rPr>
              <w:t>对当期利润的影响</w:t>
            </w:r>
            <w:r>
              <w:rPr>
                <w:rFonts w:ascii="宋体" w:hAnsi="宋体" w:cs="宋体" w:eastAsia="宋体" w:hint="default"/>
                <w:w w:val="100"/>
                <w:sz w:val="21"/>
                <w:szCs w:val="21"/>
              </w:rPr>
              <w:t> </w:t>
            </w:r>
            <w:r>
              <w:rPr>
                <w:rFonts w:ascii="宋体" w:hAnsi="宋体" w:cs="宋体" w:eastAsia="宋体" w:hint="default"/>
                <w:sz w:val="21"/>
                <w:szCs w:val="21"/>
              </w:rPr>
              <w:t>金额</w:t>
            </w:r>
          </w:p>
        </w:tc>
      </w:tr>
      <w:tr>
        <w:trPr>
          <w:trHeight w:val="322" w:hRule="exact"/>
        </w:trPr>
        <w:tc>
          <w:tcPr>
            <w:tcW w:w="223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769,905,347</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201,854,202</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pacing w:val="-1"/>
                <w:sz w:val="21"/>
              </w:rPr>
              <w:t>-568,051,145</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69,880,261</w:t>
            </w:r>
          </w:p>
        </w:tc>
      </w:tr>
      <w:tr>
        <w:trPr>
          <w:trHeight w:val="322" w:hRule="exact"/>
        </w:trPr>
        <w:tc>
          <w:tcPr>
            <w:tcW w:w="223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其他非流动金融资产</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w w:val="100"/>
                <w:sz w:val="21"/>
              </w:rPr>
              <w:t>0</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568,316,711</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pacing w:val="-1"/>
                <w:sz w:val="21"/>
              </w:rPr>
              <w:t>568,316,711</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2,175,053</w:t>
            </w:r>
          </w:p>
        </w:tc>
      </w:tr>
      <w:tr>
        <w:trPr>
          <w:trHeight w:val="634" w:hRule="exact"/>
        </w:trPr>
        <w:tc>
          <w:tcPr>
            <w:tcW w:w="223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0"/>
              <w:jc w:val="left"/>
              <w:rPr>
                <w:rFonts w:ascii="宋体" w:hAnsi="宋体" w:cs="宋体" w:eastAsia="宋体" w:hint="default"/>
                <w:sz w:val="21"/>
                <w:szCs w:val="21"/>
              </w:rPr>
            </w:pPr>
            <w:r>
              <w:rPr>
                <w:rFonts w:ascii="宋体" w:hAnsi="宋体" w:cs="宋体" w:eastAsia="宋体" w:hint="default"/>
                <w:spacing w:val="12"/>
                <w:sz w:val="21"/>
                <w:szCs w:val="21"/>
              </w:rPr>
              <w:t>子公司持有的交通银</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行股票</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146,975,276</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142,913,783</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pacing w:val="-1"/>
                <w:sz w:val="21"/>
              </w:rPr>
              <w:t>-4,061,493</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w w:val="100"/>
                <w:sz w:val="21"/>
              </w:rPr>
              <w:t>0</w:t>
            </w:r>
          </w:p>
        </w:tc>
      </w:tr>
      <w:tr>
        <w:trPr>
          <w:trHeight w:val="634" w:hRule="exact"/>
        </w:trPr>
        <w:tc>
          <w:tcPr>
            <w:tcW w:w="223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0"/>
              <w:jc w:val="left"/>
              <w:rPr>
                <w:rFonts w:ascii="宋体" w:hAnsi="宋体" w:cs="宋体" w:eastAsia="宋体" w:hint="default"/>
                <w:sz w:val="21"/>
                <w:szCs w:val="21"/>
              </w:rPr>
            </w:pPr>
            <w:r>
              <w:rPr>
                <w:rFonts w:ascii="宋体" w:hAnsi="宋体" w:cs="宋体" w:eastAsia="宋体" w:hint="default"/>
                <w:spacing w:val="12"/>
                <w:sz w:val="21"/>
                <w:szCs w:val="21"/>
              </w:rPr>
              <w:t>子公司持有的西班牙</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电信股票</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3,697,639,436</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3,124,646,831</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pacing w:val="-1"/>
                <w:sz w:val="21"/>
              </w:rPr>
              <w:t>-572,992,605</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w w:val="100"/>
                <w:sz w:val="21"/>
              </w:rPr>
              <w:t>0</w:t>
            </w:r>
          </w:p>
        </w:tc>
      </w:tr>
      <w:tr>
        <w:trPr>
          <w:trHeight w:val="324" w:hRule="exact"/>
        </w:trPr>
        <w:tc>
          <w:tcPr>
            <w:tcW w:w="223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rFonts w:ascii="宋体" w:hAnsi="宋体" w:cs="宋体" w:eastAsia="宋体" w:hint="default"/>
                <w:sz w:val="21"/>
                <w:szCs w:val="21"/>
              </w:rPr>
            </w:pPr>
            <w:r>
              <w:rPr>
                <w:rFonts w:ascii="宋体"/>
                <w:spacing w:val="-1"/>
                <w:sz w:val="21"/>
              </w:rPr>
              <w:t>58,280,271</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9"/>
              <w:jc w:val="right"/>
              <w:rPr>
                <w:rFonts w:ascii="宋体" w:hAnsi="宋体" w:cs="宋体" w:eastAsia="宋体" w:hint="default"/>
                <w:sz w:val="21"/>
                <w:szCs w:val="21"/>
              </w:rPr>
            </w:pPr>
            <w:r>
              <w:rPr>
                <w:rFonts w:ascii="宋体"/>
                <w:spacing w:val="-1"/>
                <w:sz w:val="21"/>
              </w:rPr>
              <w:t>55,570,074</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01"/>
              <w:jc w:val="right"/>
              <w:rPr>
                <w:rFonts w:ascii="宋体" w:hAnsi="宋体" w:cs="宋体" w:eastAsia="宋体" w:hint="default"/>
                <w:sz w:val="21"/>
                <w:szCs w:val="21"/>
              </w:rPr>
            </w:pPr>
            <w:r>
              <w:rPr>
                <w:rFonts w:ascii="宋体"/>
                <w:spacing w:val="-1"/>
                <w:sz w:val="21"/>
              </w:rPr>
              <w:t>-2,710,197</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01"/>
              <w:jc w:val="right"/>
              <w:rPr>
                <w:rFonts w:ascii="宋体" w:hAnsi="宋体" w:cs="宋体" w:eastAsia="宋体" w:hint="default"/>
                <w:sz w:val="21"/>
                <w:szCs w:val="21"/>
              </w:rPr>
            </w:pPr>
            <w:r>
              <w:rPr>
                <w:rFonts w:ascii="宋体"/>
                <w:w w:val="100"/>
                <w:sz w:val="21"/>
              </w:rPr>
              <w:t>0</w:t>
            </w:r>
          </w:p>
        </w:tc>
      </w:tr>
      <w:tr>
        <w:trPr>
          <w:trHeight w:val="322" w:hRule="exact"/>
        </w:trPr>
        <w:tc>
          <w:tcPr>
            <w:tcW w:w="2234"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99"/>
              <w:jc w:val="right"/>
              <w:rPr>
                <w:rFonts w:ascii="宋体" w:hAnsi="宋体" w:cs="宋体" w:eastAsia="宋体" w:hint="default"/>
                <w:sz w:val="21"/>
                <w:szCs w:val="21"/>
              </w:rPr>
            </w:pPr>
            <w:r>
              <w:rPr>
                <w:rFonts w:ascii="宋体"/>
                <w:spacing w:val="-1"/>
                <w:sz w:val="21"/>
              </w:rPr>
              <w:t>4,672,800,330</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98"/>
              <w:jc w:val="right"/>
              <w:rPr>
                <w:rFonts w:ascii="宋体" w:hAnsi="宋体" w:cs="宋体" w:eastAsia="宋体" w:hint="default"/>
                <w:sz w:val="21"/>
                <w:szCs w:val="21"/>
              </w:rPr>
            </w:pPr>
            <w:r>
              <w:rPr>
                <w:rFonts w:ascii="宋体"/>
                <w:spacing w:val="-1"/>
                <w:sz w:val="21"/>
              </w:rPr>
              <w:t>4,093,301,601</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101"/>
              <w:jc w:val="right"/>
              <w:rPr>
                <w:rFonts w:ascii="宋体" w:hAnsi="宋体" w:cs="宋体" w:eastAsia="宋体" w:hint="default"/>
                <w:sz w:val="21"/>
                <w:szCs w:val="21"/>
              </w:rPr>
            </w:pPr>
            <w:r>
              <w:rPr>
                <w:rFonts w:ascii="宋体"/>
                <w:spacing w:val="-1"/>
                <w:sz w:val="21"/>
              </w:rPr>
              <w:t>-579,498,729</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98"/>
              <w:jc w:val="right"/>
              <w:rPr>
                <w:rFonts w:ascii="宋体" w:hAnsi="宋体" w:cs="宋体" w:eastAsia="宋体" w:hint="default"/>
                <w:sz w:val="21"/>
                <w:szCs w:val="21"/>
              </w:rPr>
            </w:pPr>
            <w:r>
              <w:rPr>
                <w:rFonts w:ascii="宋体"/>
                <w:spacing w:val="-1"/>
                <w:sz w:val="21"/>
              </w:rPr>
              <w:t>72,055,314</w:t>
            </w:r>
          </w:p>
        </w:tc>
      </w:tr>
    </w:tbl>
    <w:p>
      <w:pPr>
        <w:spacing w:line="240" w:lineRule="auto" w:before="9"/>
        <w:rPr>
          <w:rFonts w:ascii="宋体" w:hAnsi="宋体" w:cs="宋体" w:eastAsia="宋体" w:hint="default"/>
          <w:sz w:val="24"/>
          <w:szCs w:val="24"/>
        </w:rPr>
      </w:pPr>
    </w:p>
    <w:p>
      <w:pPr>
        <w:tabs>
          <w:tab w:pos="1238" w:val="left" w:leader="none"/>
        </w:tabs>
        <w:spacing w:line="335" w:lineRule="exact" w:before="0"/>
        <w:ind w:left="398" w:right="224"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十二、</w:t>
        <w:tab/>
        <w:t>其他</w:t>
      </w:r>
      <w:r>
        <w:rPr>
          <w:rFonts w:ascii="Microsoft JhengHei" w:hAnsi="Microsoft JhengHei" w:cs="Microsoft JhengHei" w:eastAsia="Microsoft JhengHei" w:hint="default"/>
          <w:sz w:val="21"/>
          <w:szCs w:val="21"/>
        </w:rPr>
      </w:r>
    </w:p>
    <w:p>
      <w:pPr>
        <w:spacing w:before="73"/>
        <w:ind w:left="398" w:right="224"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Heading1"/>
        <w:tabs>
          <w:tab w:pos="1423" w:val="left" w:leader="none"/>
        </w:tabs>
        <w:spacing w:line="413" w:lineRule="exact"/>
        <w:ind w:left="163" w:right="0"/>
        <w:jc w:val="center"/>
        <w:rPr>
          <w:b w:val="0"/>
          <w:bCs w:val="0"/>
        </w:rPr>
      </w:pPr>
      <w:bookmarkStart w:name="_bookmark2" w:id="4"/>
      <w:bookmarkEnd w:id="4"/>
      <w:r>
        <w:rPr>
          <w:b w:val="0"/>
          <w:bCs w:val="0"/>
        </w:rPr>
      </w:r>
      <w:r>
        <w:rPr/>
        <w:t>第三节</w:t>
        <w:tab/>
        <w:t>公司业务概要</w:t>
      </w:r>
      <w:r>
        <w:rPr>
          <w:b w:val="0"/>
          <w:bCs w:val="0"/>
        </w:rPr>
      </w:r>
    </w:p>
    <w:p>
      <w:pPr>
        <w:spacing w:line="388" w:lineRule="auto" w:before="120"/>
        <w:ind w:left="823" w:right="224" w:hanging="425"/>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一、报告期内公司所从事的主要业务、经营模式及行业情况说明</w:t>
      </w:r>
      <w:r>
        <w:rPr>
          <w:rFonts w:ascii="Microsoft JhengHei" w:hAnsi="Microsoft JhengHei" w:cs="Microsoft JhengHei" w:eastAsia="Microsoft JhengHei" w:hint="default"/>
          <w:b/>
          <w:bCs/>
          <w:spacing w:val="-27"/>
          <w:sz w:val="21"/>
          <w:szCs w:val="21"/>
        </w:rPr>
        <w:t> </w:t>
      </w:r>
      <w:r>
        <w:rPr>
          <w:rFonts w:ascii="Microsoft JhengHei" w:hAnsi="Microsoft JhengHei" w:cs="Microsoft JhengHei" w:eastAsia="Microsoft JhengHei" w:hint="default"/>
          <w:b/>
          <w:bCs/>
          <w:spacing w:val="-27"/>
          <w:sz w:val="21"/>
          <w:szCs w:val="21"/>
        </w:rPr>
      </w:r>
      <w:r>
        <w:rPr>
          <w:rFonts w:ascii="宋体" w:hAnsi="宋体" w:cs="宋体" w:eastAsia="宋体" w:hint="default"/>
          <w:spacing w:val="-2"/>
          <w:sz w:val="21"/>
          <w:szCs w:val="21"/>
        </w:rPr>
        <w:t>本公司是经国务院批准设立的控股公司，经营范围为电信业的投资。本公司仅限于通过联通</w:t>
      </w:r>
      <w:r>
        <w:rPr>
          <w:rFonts w:ascii="宋体" w:hAnsi="宋体" w:cs="宋体" w:eastAsia="宋体" w:hint="default"/>
          <w:spacing w:val="48"/>
          <w:sz w:val="21"/>
          <w:szCs w:val="21"/>
        </w:rPr>
        <w:t> </w:t>
      </w:r>
      <w:r>
        <w:rPr>
          <w:rFonts w:ascii="宋体" w:hAnsi="宋体" w:cs="宋体" w:eastAsia="宋体" w:hint="default"/>
          <w:spacing w:val="-3"/>
          <w:sz w:val="21"/>
          <w:szCs w:val="21"/>
        </w:rPr>
        <w:t>BVI</w:t>
      </w:r>
      <w:r>
        <w:rPr>
          <w:rFonts w:ascii="宋体" w:hAnsi="宋体" w:cs="宋体" w:eastAsia="宋体" w:hint="default"/>
          <w:sz w:val="21"/>
          <w:szCs w:val="21"/>
        </w:rPr>
      </w:r>
    </w:p>
    <w:p>
      <w:pPr>
        <w:spacing w:line="230" w:lineRule="exact" w:before="0"/>
        <w:ind w:left="398" w:right="224" w:firstLine="0"/>
        <w:jc w:val="left"/>
        <w:rPr>
          <w:rFonts w:ascii="宋体" w:hAnsi="宋体" w:cs="宋体" w:eastAsia="宋体" w:hint="default"/>
          <w:sz w:val="21"/>
          <w:szCs w:val="21"/>
        </w:rPr>
      </w:pPr>
      <w:r>
        <w:rPr>
          <w:rFonts w:ascii="宋体" w:hAnsi="宋体" w:cs="宋体" w:eastAsia="宋体" w:hint="default"/>
          <w:sz w:val="21"/>
          <w:szCs w:val="21"/>
        </w:rPr>
        <w:t>公司持有联通红筹公司的股权，并保持对联通红筹公司的实际控制权。</w:t>
      </w:r>
    </w:p>
    <w:p>
      <w:pPr>
        <w:spacing w:line="240" w:lineRule="auto" w:before="6"/>
        <w:rPr>
          <w:rFonts w:ascii="宋体" w:hAnsi="宋体" w:cs="宋体" w:eastAsia="宋体" w:hint="default"/>
          <w:sz w:val="18"/>
          <w:szCs w:val="18"/>
        </w:rPr>
      </w:pPr>
    </w:p>
    <w:p>
      <w:pPr>
        <w:spacing w:line="314" w:lineRule="auto" w:before="0"/>
        <w:ind w:left="398" w:right="199" w:firstLine="424"/>
        <w:jc w:val="both"/>
        <w:rPr>
          <w:rFonts w:ascii="宋体" w:hAnsi="宋体" w:cs="宋体" w:eastAsia="宋体" w:hint="default"/>
          <w:sz w:val="21"/>
          <w:szCs w:val="21"/>
        </w:rPr>
      </w:pPr>
      <w:r>
        <w:rPr>
          <w:rFonts w:ascii="宋体" w:hAnsi="宋体" w:cs="宋体" w:eastAsia="宋体" w:hint="default"/>
          <w:spacing w:val="-3"/>
          <w:sz w:val="21"/>
          <w:szCs w:val="21"/>
        </w:rPr>
        <w:t>本公司通过联通红筹公司的相关控股子公司，拥有覆盖中国、通达世界的现代通信网络，为广大</w:t>
      </w:r>
      <w:r>
        <w:rPr>
          <w:rFonts w:ascii="宋体" w:hAnsi="宋体" w:cs="宋体" w:eastAsia="宋体" w:hint="default"/>
          <w:w w:val="100"/>
          <w:sz w:val="21"/>
          <w:szCs w:val="21"/>
        </w:rPr>
        <w:t> </w:t>
      </w:r>
      <w:r>
        <w:rPr>
          <w:rFonts w:ascii="宋体" w:hAnsi="宋体" w:cs="宋体" w:eastAsia="宋体" w:hint="default"/>
          <w:sz w:val="21"/>
          <w:szCs w:val="21"/>
        </w:rPr>
        <w:t>用户提供全方位、高品质信息通信服务，包括移动宽带</w:t>
      </w:r>
      <w:r>
        <w:rPr>
          <w:rFonts w:ascii="宋体" w:hAnsi="宋体" w:cs="宋体" w:eastAsia="宋体" w:hint="default"/>
          <w:sz w:val="21"/>
          <w:szCs w:val="21"/>
        </w:rPr>
        <w:t>(WCDMA</w:t>
      </w:r>
      <w:r>
        <w:rPr>
          <w:rFonts w:ascii="宋体" w:hAnsi="宋体" w:cs="宋体" w:eastAsia="宋体" w:hint="default"/>
          <w:sz w:val="21"/>
          <w:szCs w:val="21"/>
        </w:rPr>
        <w:t>、</w:t>
      </w:r>
      <w:r>
        <w:rPr>
          <w:rFonts w:ascii="宋体" w:hAnsi="宋体" w:cs="宋体" w:eastAsia="宋体" w:hint="default"/>
          <w:sz w:val="21"/>
          <w:szCs w:val="21"/>
        </w:rPr>
        <w:t>LTE</w:t>
      </w:r>
      <w:r>
        <w:rPr>
          <w:rFonts w:ascii="宋体" w:hAnsi="宋体" w:cs="宋体" w:eastAsia="宋体" w:hint="default"/>
          <w:spacing w:val="-7"/>
          <w:sz w:val="21"/>
          <w:szCs w:val="21"/>
        </w:rPr>
        <w:t> </w:t>
      </w:r>
      <w:r>
        <w:rPr>
          <w:rFonts w:ascii="宋体" w:hAnsi="宋体" w:cs="宋体" w:eastAsia="宋体" w:hint="default"/>
          <w:sz w:val="21"/>
          <w:szCs w:val="21"/>
        </w:rPr>
        <w:t>FDD</w:t>
      </w:r>
      <w:r>
        <w:rPr>
          <w:rFonts w:ascii="宋体" w:hAnsi="宋体" w:cs="宋体" w:eastAsia="宋体" w:hint="default"/>
          <w:sz w:val="21"/>
          <w:szCs w:val="21"/>
        </w:rPr>
        <w:t>、</w:t>
      </w:r>
      <w:r>
        <w:rPr>
          <w:rFonts w:ascii="宋体" w:hAnsi="宋体" w:cs="宋体" w:eastAsia="宋体" w:hint="default"/>
          <w:sz w:val="21"/>
          <w:szCs w:val="21"/>
        </w:rPr>
        <w:t>TD-LTE</w:t>
      </w:r>
      <w:r>
        <w:rPr>
          <w:rFonts w:ascii="宋体" w:hAnsi="宋体" w:cs="宋体" w:eastAsia="宋体" w:hint="default"/>
          <w:sz w:val="21"/>
          <w:szCs w:val="21"/>
        </w:rPr>
        <w:t>、</w:t>
      </w:r>
      <w:r>
        <w:rPr>
          <w:rFonts w:ascii="宋体" w:hAnsi="宋体" w:cs="宋体" w:eastAsia="宋体" w:hint="default"/>
          <w:sz w:val="21"/>
          <w:szCs w:val="21"/>
        </w:rPr>
        <w:t>5G)</w:t>
      </w:r>
      <w:r>
        <w:rPr>
          <w:rFonts w:ascii="宋体" w:hAnsi="宋体" w:cs="宋体" w:eastAsia="宋体" w:hint="default"/>
          <w:sz w:val="21"/>
          <w:szCs w:val="21"/>
        </w:rPr>
        <w:t>、固网宽带、</w:t>
      </w:r>
      <w:r>
        <w:rPr>
          <w:rFonts w:ascii="宋体" w:hAnsi="宋体" w:cs="宋体" w:eastAsia="宋体" w:hint="default"/>
          <w:w w:val="100"/>
          <w:sz w:val="21"/>
          <w:szCs w:val="21"/>
        </w:rPr>
        <w:t> </w:t>
      </w:r>
      <w:r>
        <w:rPr>
          <w:rFonts w:ascii="宋体" w:hAnsi="宋体" w:cs="宋体" w:eastAsia="宋体" w:hint="default"/>
          <w:sz w:val="21"/>
          <w:szCs w:val="21"/>
        </w:rPr>
        <w:t>GSM</w:t>
      </w:r>
      <w:r>
        <w:rPr>
          <w:rFonts w:ascii="宋体" w:hAnsi="宋体" w:cs="宋体" w:eastAsia="宋体" w:hint="default"/>
          <w:sz w:val="21"/>
          <w:szCs w:val="21"/>
        </w:rPr>
        <w:t>、固网本地电话、信息通信技术服务、数据通信服务以及其它相关增值服务。本公司致力成为客</w:t>
      </w:r>
      <w:r>
        <w:rPr>
          <w:rFonts w:ascii="宋体" w:hAnsi="宋体" w:cs="宋体" w:eastAsia="宋体" w:hint="default"/>
          <w:spacing w:val="-29"/>
          <w:sz w:val="21"/>
          <w:szCs w:val="21"/>
        </w:rPr>
        <w:t> </w:t>
      </w:r>
      <w:r>
        <w:rPr>
          <w:rFonts w:ascii="宋体" w:hAnsi="宋体" w:cs="宋体" w:eastAsia="宋体" w:hint="default"/>
          <w:spacing w:val="-29"/>
          <w:sz w:val="21"/>
          <w:szCs w:val="21"/>
        </w:rPr>
      </w:r>
      <w:r>
        <w:rPr>
          <w:rFonts w:ascii="宋体" w:hAnsi="宋体" w:cs="宋体" w:eastAsia="宋体" w:hint="default"/>
          <w:spacing w:val="-2"/>
          <w:sz w:val="21"/>
          <w:szCs w:val="21"/>
        </w:rPr>
        <w:t>户信赖的智慧生活创造者，联通世界，创享美好智慧生活，不断提高产品与服务的品质来满足客户需</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pacing w:val="-3"/>
          <w:sz w:val="21"/>
          <w:szCs w:val="21"/>
        </w:rPr>
        <w:t>求，未来的产品与服务将向“智慧”发展，利用 </w:t>
      </w:r>
      <w:r>
        <w:rPr>
          <w:rFonts w:ascii="宋体" w:hAnsi="宋体" w:cs="宋体" w:eastAsia="宋体" w:hint="default"/>
          <w:spacing w:val="-4"/>
          <w:sz w:val="21"/>
          <w:szCs w:val="21"/>
        </w:rPr>
        <w:t>5G</w:t>
      </w:r>
      <w:r>
        <w:rPr>
          <w:rFonts w:ascii="宋体" w:hAnsi="宋体" w:cs="宋体" w:eastAsia="宋体" w:hint="default"/>
          <w:spacing w:val="-4"/>
          <w:sz w:val="21"/>
          <w:szCs w:val="21"/>
        </w:rPr>
        <w:t>、物联网、云计算、大数据等技术对数据和信息进</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行智能处理，开展科技创新、赋能行业发展。</w:t>
      </w:r>
    </w:p>
    <w:p>
      <w:pPr>
        <w:spacing w:line="314" w:lineRule="auto" w:before="176"/>
        <w:ind w:left="398" w:right="198" w:firstLine="424"/>
        <w:jc w:val="both"/>
        <w:rPr>
          <w:rFonts w:ascii="宋体" w:hAnsi="宋体" w:cs="宋体" w:eastAsia="宋体" w:hint="default"/>
          <w:sz w:val="21"/>
          <w:szCs w:val="21"/>
        </w:rPr>
      </w:pPr>
      <w:r>
        <w:rPr>
          <w:rFonts w:ascii="宋体" w:hAnsi="宋体" w:cs="宋体" w:eastAsia="宋体" w:hint="default"/>
          <w:sz w:val="21"/>
          <w:szCs w:val="21"/>
        </w:rPr>
        <w:t>2019 </w:t>
      </w:r>
      <w:r>
        <w:rPr>
          <w:rFonts w:ascii="宋体" w:hAnsi="宋体" w:cs="宋体" w:eastAsia="宋体" w:hint="default"/>
          <w:spacing w:val="-5"/>
          <w:sz w:val="21"/>
          <w:szCs w:val="21"/>
        </w:rPr>
        <w:t>年面对提速降费、市场饱和、激烈市场竞争以及 </w:t>
      </w:r>
      <w:r>
        <w:rPr>
          <w:rFonts w:ascii="宋体" w:hAnsi="宋体" w:cs="宋体" w:eastAsia="宋体" w:hint="default"/>
          <w:sz w:val="21"/>
          <w:szCs w:val="21"/>
        </w:rPr>
        <w:t>4G</w:t>
      </w:r>
      <w:r>
        <w:rPr>
          <w:rFonts w:ascii="宋体" w:hAnsi="宋体" w:cs="宋体" w:eastAsia="宋体" w:hint="default"/>
          <w:spacing w:val="5"/>
          <w:sz w:val="21"/>
          <w:szCs w:val="21"/>
        </w:rPr>
        <w:t> </w:t>
      </w:r>
      <w:r>
        <w:rPr>
          <w:rFonts w:ascii="宋体" w:hAnsi="宋体" w:cs="宋体" w:eastAsia="宋体" w:hint="default"/>
          <w:spacing w:val="-3"/>
          <w:sz w:val="21"/>
          <w:szCs w:val="21"/>
        </w:rPr>
        <w:t>流量红利逐步消退，中国联通坚持差异</w:t>
      </w:r>
      <w:r>
        <w:rPr>
          <w:rFonts w:ascii="宋体" w:hAnsi="宋体" w:cs="宋体" w:eastAsia="宋体" w:hint="default"/>
          <w:w w:val="100"/>
          <w:sz w:val="21"/>
          <w:szCs w:val="21"/>
        </w:rPr>
        <w:t> </w:t>
      </w:r>
      <w:r>
        <w:rPr>
          <w:rFonts w:ascii="宋体" w:hAnsi="宋体" w:cs="宋体" w:eastAsia="宋体" w:hint="default"/>
          <w:spacing w:val="-2"/>
          <w:sz w:val="21"/>
          <w:szCs w:val="21"/>
        </w:rPr>
        <w:t>化经营和互联网化转型，严控用户发展成本，强化融合经营，努力避免简单价格战，维护公司价值，</w:t>
      </w:r>
    </w:p>
    <w:p>
      <w:pPr>
        <w:spacing w:after="0" w:line="314" w:lineRule="auto"/>
        <w:jc w:val="both"/>
        <w:rPr>
          <w:rFonts w:ascii="宋体" w:hAnsi="宋体" w:cs="宋体" w:eastAsia="宋体" w:hint="default"/>
          <w:sz w:val="21"/>
          <w:szCs w:val="21"/>
        </w:rPr>
        <w:sectPr>
          <w:footerReference w:type="default" r:id="rId20"/>
          <w:pgSz w:w="11910" w:h="16840"/>
          <w:pgMar w:footer="502" w:header="854" w:top="1360" w:bottom="700" w:left="1020" w:right="1040"/>
        </w:sectPr>
      </w:pPr>
    </w:p>
    <w:p>
      <w:pPr>
        <w:spacing w:line="240" w:lineRule="auto" w:before="13"/>
        <w:rPr>
          <w:rFonts w:ascii="宋体" w:hAnsi="宋体" w:cs="宋体" w:eastAsia="宋体" w:hint="default"/>
          <w:sz w:val="12"/>
          <w:szCs w:val="12"/>
        </w:rPr>
      </w:pPr>
    </w:p>
    <w:p>
      <w:pPr>
        <w:spacing w:before="36"/>
        <w:ind w:left="138" w:right="96" w:firstLine="0"/>
        <w:jc w:val="left"/>
        <w:rPr>
          <w:rFonts w:ascii="宋体" w:hAnsi="宋体" w:cs="宋体" w:eastAsia="宋体" w:hint="default"/>
          <w:sz w:val="21"/>
          <w:szCs w:val="21"/>
        </w:rPr>
      </w:pPr>
      <w:r>
        <w:rPr>
          <w:rFonts w:ascii="宋体" w:hAnsi="宋体" w:cs="宋体" w:eastAsia="宋体" w:hint="default"/>
          <w:spacing w:val="-6"/>
          <w:sz w:val="21"/>
          <w:szCs w:val="21"/>
        </w:rPr>
        <w:t>积极推进高质量可持续发展。截至</w:t>
      </w:r>
      <w:r>
        <w:rPr>
          <w:rFonts w:ascii="宋体" w:hAnsi="宋体" w:cs="宋体" w:eastAsia="宋体" w:hint="default"/>
          <w:spacing w:val="-45"/>
          <w:sz w:val="21"/>
          <w:szCs w:val="21"/>
        </w:rPr>
        <w:t> </w:t>
      </w:r>
      <w:r>
        <w:rPr>
          <w:rFonts w:ascii="宋体" w:hAnsi="宋体" w:cs="宋体" w:eastAsia="宋体" w:hint="default"/>
          <w:sz w:val="21"/>
          <w:szCs w:val="21"/>
        </w:rPr>
        <w:t>2019</w:t>
      </w:r>
      <w:r>
        <w:rPr>
          <w:rFonts w:ascii="宋体" w:hAnsi="宋体" w:cs="宋体" w:eastAsia="宋体" w:hint="default"/>
          <w:spacing w:val="-45"/>
          <w:sz w:val="21"/>
          <w:szCs w:val="21"/>
        </w:rPr>
        <w:t> </w:t>
      </w:r>
      <w:r>
        <w:rPr>
          <w:rFonts w:ascii="宋体" w:hAnsi="宋体" w:cs="宋体" w:eastAsia="宋体" w:hint="default"/>
          <w:spacing w:val="-9"/>
          <w:sz w:val="21"/>
          <w:szCs w:val="21"/>
        </w:rPr>
        <w:t>年底，本公司拥有约</w:t>
      </w:r>
      <w:r>
        <w:rPr>
          <w:rFonts w:ascii="宋体" w:hAnsi="宋体" w:cs="宋体" w:eastAsia="宋体" w:hint="default"/>
          <w:spacing w:val="-45"/>
          <w:sz w:val="21"/>
          <w:szCs w:val="21"/>
        </w:rPr>
        <w:t> </w:t>
      </w:r>
      <w:r>
        <w:rPr>
          <w:rFonts w:ascii="宋体" w:hAnsi="宋体" w:cs="宋体" w:eastAsia="宋体" w:hint="default"/>
          <w:sz w:val="21"/>
          <w:szCs w:val="21"/>
        </w:rPr>
        <w:t>3.2</w:t>
      </w:r>
      <w:r>
        <w:rPr>
          <w:rFonts w:ascii="宋体" w:hAnsi="宋体" w:cs="宋体" w:eastAsia="宋体" w:hint="default"/>
          <w:spacing w:val="-45"/>
          <w:sz w:val="21"/>
          <w:szCs w:val="21"/>
        </w:rPr>
        <w:t> </w:t>
      </w:r>
      <w:r>
        <w:rPr>
          <w:rFonts w:ascii="宋体" w:hAnsi="宋体" w:cs="宋体" w:eastAsia="宋体" w:hint="default"/>
          <w:spacing w:val="-8"/>
          <w:sz w:val="21"/>
          <w:szCs w:val="21"/>
        </w:rPr>
        <w:t>亿移动出账用户，其中</w:t>
      </w:r>
      <w:r>
        <w:rPr>
          <w:rFonts w:ascii="宋体" w:hAnsi="宋体" w:cs="宋体" w:eastAsia="宋体" w:hint="default"/>
          <w:spacing w:val="-45"/>
          <w:sz w:val="21"/>
          <w:szCs w:val="21"/>
        </w:rPr>
        <w:t> </w:t>
      </w:r>
      <w:r>
        <w:rPr>
          <w:rFonts w:ascii="宋体" w:hAnsi="宋体" w:cs="宋体" w:eastAsia="宋体" w:hint="default"/>
          <w:sz w:val="21"/>
          <w:szCs w:val="21"/>
        </w:rPr>
        <w:t>4G</w:t>
      </w:r>
      <w:r>
        <w:rPr>
          <w:rFonts w:ascii="宋体" w:hAnsi="宋体" w:cs="宋体" w:eastAsia="宋体" w:hint="default"/>
          <w:spacing w:val="-45"/>
          <w:sz w:val="21"/>
          <w:szCs w:val="21"/>
        </w:rPr>
        <w:t> </w:t>
      </w:r>
      <w:r>
        <w:rPr>
          <w:rFonts w:ascii="宋体" w:hAnsi="宋体" w:cs="宋体" w:eastAsia="宋体" w:hint="default"/>
          <w:sz w:val="21"/>
          <w:szCs w:val="21"/>
        </w:rPr>
        <w:t>用户约</w:t>
      </w:r>
      <w:r>
        <w:rPr>
          <w:rFonts w:ascii="宋体" w:hAnsi="宋体" w:cs="宋体" w:eastAsia="宋体" w:hint="default"/>
          <w:spacing w:val="-47"/>
          <w:sz w:val="21"/>
          <w:szCs w:val="21"/>
        </w:rPr>
        <w:t> </w:t>
      </w:r>
      <w:r>
        <w:rPr>
          <w:rFonts w:ascii="宋体" w:hAnsi="宋体" w:cs="宋体" w:eastAsia="宋体" w:hint="default"/>
          <w:sz w:val="21"/>
          <w:szCs w:val="21"/>
        </w:rPr>
        <w:t>2.5</w:t>
      </w:r>
    </w:p>
    <w:p>
      <w:pPr>
        <w:spacing w:line="451" w:lineRule="auto" w:before="85"/>
        <w:ind w:left="558" w:right="96" w:hanging="420"/>
        <w:jc w:val="left"/>
        <w:rPr>
          <w:rFonts w:ascii="宋体" w:hAnsi="宋体" w:cs="宋体" w:eastAsia="宋体" w:hint="default"/>
          <w:sz w:val="21"/>
          <w:szCs w:val="21"/>
        </w:rPr>
      </w:pPr>
      <w:r>
        <w:rPr>
          <w:rFonts w:ascii="宋体" w:hAnsi="宋体" w:cs="宋体" w:eastAsia="宋体" w:hint="default"/>
          <w:sz w:val="21"/>
          <w:szCs w:val="21"/>
        </w:rPr>
        <w:t>亿户，约</w:t>
      </w:r>
      <w:r>
        <w:rPr>
          <w:rFonts w:ascii="宋体" w:hAnsi="宋体" w:cs="宋体" w:eastAsia="宋体" w:hint="default"/>
          <w:spacing w:val="-53"/>
          <w:sz w:val="21"/>
          <w:szCs w:val="21"/>
        </w:rPr>
        <w:t> </w:t>
      </w:r>
      <w:r>
        <w:rPr>
          <w:rFonts w:ascii="宋体" w:hAnsi="宋体" w:cs="宋体" w:eastAsia="宋体" w:hint="default"/>
          <w:sz w:val="21"/>
          <w:szCs w:val="21"/>
        </w:rPr>
        <w:t>8,348</w:t>
      </w:r>
      <w:r>
        <w:rPr>
          <w:rFonts w:ascii="宋体" w:hAnsi="宋体" w:cs="宋体" w:eastAsia="宋体" w:hint="default"/>
          <w:spacing w:val="-55"/>
          <w:sz w:val="21"/>
          <w:szCs w:val="21"/>
        </w:rPr>
        <w:t> </w:t>
      </w:r>
      <w:r>
        <w:rPr>
          <w:rFonts w:ascii="宋体" w:hAnsi="宋体" w:cs="宋体" w:eastAsia="宋体" w:hint="default"/>
          <w:sz w:val="21"/>
          <w:szCs w:val="21"/>
        </w:rPr>
        <w:t>万固网宽带用户及约</w:t>
      </w:r>
      <w:r>
        <w:rPr>
          <w:rFonts w:ascii="宋体" w:hAnsi="宋体" w:cs="宋体" w:eastAsia="宋体" w:hint="default"/>
          <w:spacing w:val="-53"/>
          <w:sz w:val="21"/>
          <w:szCs w:val="21"/>
        </w:rPr>
        <w:t> </w:t>
      </w:r>
      <w:r>
        <w:rPr>
          <w:rFonts w:ascii="宋体" w:hAnsi="宋体" w:cs="宋体" w:eastAsia="宋体" w:hint="default"/>
          <w:sz w:val="21"/>
          <w:szCs w:val="21"/>
        </w:rPr>
        <w:t>5,422</w:t>
      </w:r>
      <w:r>
        <w:rPr>
          <w:rFonts w:ascii="宋体" w:hAnsi="宋体" w:cs="宋体" w:eastAsia="宋体" w:hint="default"/>
          <w:spacing w:val="-53"/>
          <w:sz w:val="21"/>
          <w:szCs w:val="21"/>
        </w:rPr>
        <w:t> </w:t>
      </w:r>
      <w:r>
        <w:rPr>
          <w:rFonts w:ascii="宋体" w:hAnsi="宋体" w:cs="宋体" w:eastAsia="宋体" w:hint="default"/>
          <w:sz w:val="21"/>
          <w:szCs w:val="21"/>
        </w:rPr>
        <w:t>万本地电话用户。</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2"/>
          <w:sz w:val="21"/>
          <w:szCs w:val="21"/>
        </w:rPr>
        <w:t>有关公司详细经营情况及行业情况分析请见本报告第四节“经营情况讨论与分析”。</w:t>
      </w:r>
      <w:r>
        <w:rPr>
          <w:rFonts w:ascii="宋体" w:hAnsi="宋体" w:cs="宋体" w:eastAsia="宋体" w:hint="default"/>
          <w:sz w:val="21"/>
          <w:szCs w:val="21"/>
        </w:rPr>
      </w:r>
    </w:p>
    <w:p>
      <w:pPr>
        <w:spacing w:line="240" w:lineRule="auto" w:before="5"/>
        <w:rPr>
          <w:rFonts w:ascii="宋体" w:hAnsi="宋体" w:cs="宋体" w:eastAsia="宋体" w:hint="default"/>
          <w:sz w:val="23"/>
          <w:szCs w:val="23"/>
        </w:rPr>
      </w:pPr>
    </w:p>
    <w:p>
      <w:pPr>
        <w:spacing w:before="0"/>
        <w:ind w:left="138" w:right="96"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二、报告期内公司主要资产发生重大变化情况的说明</w:t>
      </w:r>
      <w:r>
        <w:rPr>
          <w:rFonts w:ascii="Microsoft JhengHei" w:hAnsi="Microsoft JhengHei" w:cs="Microsoft JhengHei" w:eastAsia="Microsoft JhengHei" w:hint="default"/>
          <w:sz w:val="21"/>
          <w:szCs w:val="21"/>
        </w:rPr>
      </w:r>
    </w:p>
    <w:p>
      <w:pPr>
        <w:spacing w:before="73"/>
        <w:ind w:left="138" w:right="96"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2"/>
        <w:rPr>
          <w:rFonts w:ascii="宋体" w:hAnsi="宋体" w:cs="宋体" w:eastAsia="宋体" w:hint="default"/>
          <w:sz w:val="26"/>
          <w:szCs w:val="26"/>
        </w:rPr>
      </w:pPr>
    </w:p>
    <w:p>
      <w:pPr>
        <w:spacing w:line="388" w:lineRule="auto" w:before="0"/>
        <w:ind w:left="510" w:right="96" w:hanging="372"/>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三、报告期内核心竞争力分析</w:t>
      </w:r>
      <w:r>
        <w:rPr>
          <w:rFonts w:ascii="Microsoft JhengHei" w:hAnsi="Microsoft JhengHei" w:cs="Microsoft JhengHei" w:eastAsia="Microsoft JhengHei" w:hint="default"/>
          <w:b/>
          <w:bCs/>
          <w:spacing w:val="-36"/>
          <w:sz w:val="21"/>
          <w:szCs w:val="21"/>
        </w:rPr>
        <w:t> </w:t>
      </w:r>
      <w:r>
        <w:rPr>
          <w:rFonts w:ascii="Microsoft JhengHei" w:hAnsi="Microsoft JhengHei" w:cs="Microsoft JhengHei" w:eastAsia="Microsoft JhengHei" w:hint="default"/>
          <w:b/>
          <w:bCs/>
          <w:spacing w:val="-36"/>
          <w:sz w:val="21"/>
          <w:szCs w:val="21"/>
        </w:rPr>
      </w:r>
      <w:r>
        <w:rPr>
          <w:rFonts w:ascii="宋体" w:hAnsi="宋体" w:cs="宋体" w:eastAsia="宋体" w:hint="default"/>
          <w:spacing w:val="-1"/>
          <w:sz w:val="21"/>
          <w:szCs w:val="21"/>
        </w:rPr>
        <w:t>中国联通深入践行新发展理念，坚决落实高质量发展要求，积极主动推进行业生态建设，强力实</w:t>
      </w:r>
    </w:p>
    <w:p>
      <w:pPr>
        <w:spacing w:line="246" w:lineRule="exact" w:before="0"/>
        <w:ind w:left="138" w:right="96" w:firstLine="0"/>
        <w:jc w:val="left"/>
        <w:rPr>
          <w:rFonts w:ascii="宋体" w:hAnsi="宋体" w:cs="宋体" w:eastAsia="宋体" w:hint="default"/>
          <w:sz w:val="21"/>
          <w:szCs w:val="21"/>
        </w:rPr>
      </w:pPr>
      <w:r>
        <w:rPr>
          <w:rFonts w:ascii="宋体" w:hAnsi="宋体" w:cs="宋体" w:eastAsia="宋体" w:hint="default"/>
          <w:sz w:val="21"/>
          <w:szCs w:val="21"/>
        </w:rPr>
        <w:t>施 </w:t>
      </w:r>
      <w:r>
        <w:rPr>
          <w:rFonts w:ascii="Times New Roman" w:hAnsi="Times New Roman" w:cs="Times New Roman" w:eastAsia="Times New Roman" w:hint="default"/>
          <w:sz w:val="21"/>
          <w:szCs w:val="21"/>
        </w:rPr>
        <w:t>5G</w:t>
      </w:r>
      <w:r>
        <w:rPr>
          <w:rFonts w:ascii="Times New Roman" w:hAnsi="Times New Roman" w:cs="Times New Roman" w:eastAsia="Times New Roman" w:hint="default"/>
          <w:spacing w:val="-29"/>
          <w:sz w:val="21"/>
          <w:szCs w:val="21"/>
        </w:rPr>
        <w:t> </w:t>
      </w:r>
      <w:r>
        <w:rPr>
          <w:rFonts w:ascii="宋体" w:hAnsi="宋体" w:cs="宋体" w:eastAsia="宋体" w:hint="default"/>
          <w:sz w:val="21"/>
          <w:szCs w:val="21"/>
        </w:rPr>
        <w:t>网络共建共享，持续深化混合所有制改革，不断加强“五新”联通建设，企业各项工作迈出新</w:t>
      </w:r>
    </w:p>
    <w:p>
      <w:pPr>
        <w:spacing w:before="69"/>
        <w:ind w:left="138" w:right="96" w:firstLine="0"/>
        <w:jc w:val="left"/>
        <w:rPr>
          <w:rFonts w:ascii="宋体" w:hAnsi="宋体" w:cs="宋体" w:eastAsia="宋体" w:hint="default"/>
          <w:sz w:val="21"/>
          <w:szCs w:val="21"/>
        </w:rPr>
      </w:pPr>
      <w:r>
        <w:rPr>
          <w:rFonts w:ascii="宋体" w:hAnsi="宋体" w:cs="宋体" w:eastAsia="宋体" w:hint="default"/>
          <w:sz w:val="21"/>
          <w:szCs w:val="21"/>
        </w:rPr>
        <w:t>步伐，一些关键领域的谋篇布局取得突破性进展。</w:t>
      </w:r>
    </w:p>
    <w:p>
      <w:pPr>
        <w:spacing w:line="304" w:lineRule="auto" w:before="174"/>
        <w:ind w:left="138" w:right="205" w:firstLine="372"/>
        <w:jc w:val="both"/>
        <w:rPr>
          <w:rFonts w:ascii="宋体" w:hAnsi="宋体" w:cs="宋体" w:eastAsia="宋体" w:hint="default"/>
          <w:sz w:val="21"/>
          <w:szCs w:val="21"/>
        </w:rPr>
      </w:pPr>
      <w:r>
        <w:rPr>
          <w:rFonts w:ascii="Microsoft JhengHei" w:hAnsi="Microsoft JhengHei" w:cs="Microsoft JhengHei" w:eastAsia="Microsoft JhengHei" w:hint="default"/>
          <w:b/>
          <w:bCs/>
          <w:spacing w:val="-1"/>
          <w:sz w:val="21"/>
          <w:szCs w:val="21"/>
        </w:rPr>
        <w:t>一是直面行业发展新挑战新要求，推动经营转型取得开局性进展。</w:t>
      </w:r>
      <w:r>
        <w:rPr>
          <w:rFonts w:ascii="宋体" w:hAnsi="宋体" w:cs="宋体" w:eastAsia="宋体" w:hint="default"/>
          <w:spacing w:val="-1"/>
          <w:sz w:val="21"/>
          <w:szCs w:val="21"/>
        </w:rPr>
        <w:t>中国联通主动作为，推动行业</w:t>
      </w:r>
      <w:r>
        <w:rPr>
          <w:rFonts w:ascii="宋体" w:hAnsi="宋体" w:cs="宋体" w:eastAsia="宋体" w:hint="default"/>
          <w:w w:val="100"/>
          <w:sz w:val="21"/>
          <w:szCs w:val="21"/>
        </w:rPr>
        <w:t> </w:t>
      </w:r>
      <w:r>
        <w:rPr>
          <w:rFonts w:ascii="宋体" w:hAnsi="宋体" w:cs="宋体" w:eastAsia="宋体" w:hint="default"/>
          <w:spacing w:val="-2"/>
          <w:sz w:val="21"/>
          <w:szCs w:val="21"/>
        </w:rPr>
        <w:t>生态取得明显好转。推动经营模式转型，主营业务收入逐步实现企稳回升，效益水平持续改善，一些</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业务领域和区域发展呈现良好态势。推动新旧动能转换，大力开拓政企市场发展空间，“云</w:t>
      </w:r>
      <w:r>
        <w:rPr>
          <w:rFonts w:ascii="Times New Roman" w:hAnsi="Times New Roman" w:cs="Times New Roman" w:eastAsia="Times New Roman" w:hint="default"/>
          <w:sz w:val="21"/>
          <w:szCs w:val="21"/>
        </w:rPr>
        <w:t>+</w:t>
      </w:r>
      <w:r>
        <w:rPr>
          <w:rFonts w:ascii="宋体" w:hAnsi="宋体" w:cs="宋体" w:eastAsia="宋体" w:hint="default"/>
          <w:sz w:val="21"/>
          <w:szCs w:val="21"/>
        </w:rPr>
        <w:t>网</w:t>
      </w:r>
      <w:r>
        <w:rPr>
          <w:rFonts w:ascii="Times New Roman" w:hAnsi="Times New Roman" w:cs="Times New Roman" w:eastAsia="Times New Roman" w:hint="default"/>
          <w:sz w:val="21"/>
          <w:szCs w:val="21"/>
        </w:rPr>
        <w:t>+X”</w:t>
      </w:r>
      <w:r>
        <w:rPr>
          <w:rFonts w:ascii="Times New Roman" w:hAnsi="Times New Roman" w:cs="Times New Roman" w:eastAsia="Times New Roman" w:hint="default"/>
          <w:spacing w:val="15"/>
          <w:sz w:val="21"/>
          <w:szCs w:val="21"/>
        </w:rPr>
        <w:t> </w:t>
      </w:r>
      <w:r>
        <w:rPr>
          <w:rFonts w:ascii="Times New Roman" w:hAnsi="Times New Roman" w:cs="Times New Roman" w:eastAsia="Times New Roman" w:hint="default"/>
          <w:spacing w:val="15"/>
          <w:sz w:val="21"/>
          <w:szCs w:val="21"/>
        </w:rPr>
      </w:r>
      <w:r>
        <w:rPr>
          <w:rFonts w:ascii="宋体" w:hAnsi="宋体" w:cs="宋体" w:eastAsia="宋体" w:hint="default"/>
          <w:spacing w:val="-2"/>
          <w:sz w:val="21"/>
          <w:szCs w:val="21"/>
        </w:rPr>
        <w:t>政企新融合模式逐步建立，产业互联网领域自主研发能力得到加强，创新业务高速增长。践行以人民</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pacing w:val="-2"/>
          <w:sz w:val="21"/>
          <w:szCs w:val="21"/>
        </w:rPr>
        <w:t>为中心的发展思想，大力推进制度、流程及业务规则优化，切实解决重点难点客户服务问题，内部运</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营更加高效，客户口碑持续改善。</w:t>
      </w:r>
    </w:p>
    <w:p>
      <w:pPr>
        <w:spacing w:line="295" w:lineRule="auto" w:before="117"/>
        <w:ind w:left="138" w:right="96" w:firstLine="372"/>
        <w:jc w:val="left"/>
        <w:rPr>
          <w:rFonts w:ascii="宋体" w:hAnsi="宋体" w:cs="宋体" w:eastAsia="宋体" w:hint="default"/>
          <w:sz w:val="21"/>
          <w:szCs w:val="21"/>
        </w:rPr>
      </w:pPr>
      <w:r>
        <w:rPr>
          <w:rFonts w:ascii="Microsoft JhengHei" w:hAnsi="Microsoft JhengHei" w:cs="Microsoft JhengHei" w:eastAsia="Microsoft JhengHei" w:hint="default"/>
          <w:b/>
          <w:bCs/>
          <w:spacing w:val="-4"/>
          <w:sz w:val="21"/>
          <w:szCs w:val="21"/>
        </w:rPr>
        <w:t>二是深入落实网络强国战略，新一代信息通信基础设施建设实现重大突破。</w:t>
      </w:r>
      <w:r>
        <w:rPr>
          <w:rFonts w:ascii="宋体" w:hAnsi="宋体" w:cs="宋体" w:eastAsia="宋体" w:hint="default"/>
          <w:spacing w:val="-4"/>
          <w:sz w:val="21"/>
          <w:szCs w:val="21"/>
        </w:rPr>
        <w:t>深入践行新发展理念，</w:t>
      </w:r>
      <w:r>
        <w:rPr>
          <w:rFonts w:ascii="宋体" w:hAnsi="宋体" w:cs="宋体" w:eastAsia="宋体" w:hint="default"/>
          <w:w w:val="100"/>
          <w:sz w:val="21"/>
          <w:szCs w:val="21"/>
        </w:rPr>
        <w:t> </w:t>
      </w:r>
      <w:r>
        <w:rPr>
          <w:rFonts w:ascii="宋体" w:hAnsi="宋体" w:cs="宋体" w:eastAsia="宋体" w:hint="default"/>
          <w:sz w:val="21"/>
          <w:szCs w:val="21"/>
        </w:rPr>
        <w:t>推动与中国电信合作建设全球首张 </w:t>
      </w:r>
      <w:r>
        <w:rPr>
          <w:rFonts w:ascii="Times New Roman" w:hAnsi="Times New Roman" w:cs="Times New Roman" w:eastAsia="Times New Roman" w:hint="default"/>
          <w:sz w:val="21"/>
          <w:szCs w:val="21"/>
        </w:rPr>
        <w:t>5G</w:t>
      </w:r>
      <w:r>
        <w:rPr>
          <w:rFonts w:ascii="Times New Roman" w:hAnsi="Times New Roman" w:cs="Times New Roman" w:eastAsia="Times New Roman" w:hint="default"/>
          <w:spacing w:val="-25"/>
          <w:sz w:val="21"/>
          <w:szCs w:val="21"/>
        </w:rPr>
        <w:t> </w:t>
      </w:r>
      <w:r>
        <w:rPr>
          <w:rFonts w:ascii="宋体" w:hAnsi="宋体" w:cs="宋体" w:eastAsia="宋体" w:hint="default"/>
          <w:sz w:val="21"/>
          <w:szCs w:val="21"/>
        </w:rPr>
        <w:t>共建共享网络，通过优势互补、共享发展，实现网络侧供给效</w:t>
      </w:r>
      <w:r>
        <w:rPr>
          <w:rFonts w:ascii="宋体" w:hAnsi="宋体" w:cs="宋体" w:eastAsia="宋体" w:hint="default"/>
          <w:w w:val="100"/>
          <w:sz w:val="21"/>
          <w:szCs w:val="21"/>
        </w:rPr>
        <w:t> </w:t>
      </w:r>
      <w:r>
        <w:rPr>
          <w:rFonts w:ascii="宋体" w:hAnsi="宋体" w:cs="宋体" w:eastAsia="宋体" w:hint="default"/>
          <w:sz w:val="21"/>
          <w:szCs w:val="21"/>
        </w:rPr>
        <w:t>率提升。成立中国联通 </w:t>
      </w:r>
      <w:r>
        <w:rPr>
          <w:rFonts w:ascii="Times New Roman" w:hAnsi="Times New Roman" w:cs="Times New Roman" w:eastAsia="Times New Roman" w:hint="default"/>
          <w:sz w:val="21"/>
          <w:szCs w:val="21"/>
        </w:rPr>
        <w:t>5G </w:t>
      </w:r>
      <w:r>
        <w:rPr>
          <w:rFonts w:ascii="宋体" w:hAnsi="宋体" w:cs="宋体" w:eastAsia="宋体" w:hint="default"/>
          <w:sz w:val="21"/>
          <w:szCs w:val="21"/>
        </w:rPr>
        <w:t>应用创新联盟，积极参与 </w:t>
      </w:r>
      <w:r>
        <w:rPr>
          <w:rFonts w:ascii="Times New Roman" w:hAnsi="Times New Roman" w:cs="Times New Roman" w:eastAsia="Times New Roman" w:hint="default"/>
          <w:sz w:val="21"/>
          <w:szCs w:val="21"/>
        </w:rPr>
        <w:t>5G</w:t>
      </w:r>
      <w:r>
        <w:rPr>
          <w:rFonts w:ascii="Times New Roman" w:hAnsi="Times New Roman" w:cs="Times New Roman" w:eastAsia="Times New Roman" w:hint="default"/>
          <w:spacing w:val="-21"/>
          <w:sz w:val="21"/>
          <w:szCs w:val="21"/>
        </w:rPr>
        <w:t> </w:t>
      </w:r>
      <w:r>
        <w:rPr>
          <w:rFonts w:ascii="宋体" w:hAnsi="宋体" w:cs="宋体" w:eastAsia="宋体" w:hint="default"/>
          <w:sz w:val="21"/>
          <w:szCs w:val="21"/>
        </w:rPr>
        <w:t>行业标准制定、应用产品孵化、商业模式创</w:t>
      </w:r>
      <w:r>
        <w:rPr>
          <w:rFonts w:ascii="宋体" w:hAnsi="宋体" w:cs="宋体" w:eastAsia="宋体" w:hint="default"/>
          <w:w w:val="100"/>
          <w:sz w:val="21"/>
          <w:szCs w:val="21"/>
        </w:rPr>
        <w:t> </w:t>
      </w:r>
      <w:r>
        <w:rPr>
          <w:rFonts w:ascii="宋体" w:hAnsi="宋体" w:cs="宋体" w:eastAsia="宋体" w:hint="default"/>
          <w:sz w:val="21"/>
          <w:szCs w:val="21"/>
        </w:rPr>
        <w:t>新和资本平台搭建。持续完善</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4G</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网络，通过</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L900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技术提升覆盖水平，支持</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VoLTE</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业务自动开通，</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4G </w:t>
      </w:r>
      <w:r>
        <w:rPr>
          <w:rFonts w:ascii="宋体" w:hAnsi="宋体" w:cs="宋体" w:eastAsia="宋体" w:hint="default"/>
          <w:sz w:val="21"/>
          <w:szCs w:val="21"/>
        </w:rPr>
        <w:t>网络下载速率保持行业领先。持续推进宽带网络建设，在百兆打底基础上，开展千兆入户示范；</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加强网络信息安全，纵深开展诈骗电话、骚扰电话、垃圾短信治理；提高 </w:t>
      </w:r>
      <w:r>
        <w:rPr>
          <w:rFonts w:ascii="Times New Roman" w:hAnsi="Times New Roman" w:cs="Times New Roman" w:eastAsia="Times New Roman" w:hint="default"/>
          <w:sz w:val="21"/>
          <w:szCs w:val="21"/>
        </w:rPr>
        <w:t>IT</w:t>
      </w:r>
      <w:r>
        <w:rPr>
          <w:rFonts w:ascii="Times New Roman" w:hAnsi="Times New Roman" w:cs="Times New Roman" w:eastAsia="Times New Roman" w:hint="default"/>
          <w:spacing w:val="33"/>
          <w:sz w:val="21"/>
          <w:szCs w:val="21"/>
        </w:rPr>
        <w:t> </w:t>
      </w:r>
      <w:r>
        <w:rPr>
          <w:rFonts w:ascii="宋体" w:hAnsi="宋体" w:cs="宋体" w:eastAsia="宋体" w:hint="default"/>
          <w:sz w:val="21"/>
          <w:szCs w:val="21"/>
        </w:rPr>
        <w:t>支撑能力，核心系统集</w:t>
      </w:r>
      <w:r>
        <w:rPr>
          <w:rFonts w:ascii="宋体" w:hAnsi="宋体" w:cs="宋体" w:eastAsia="宋体" w:hint="default"/>
          <w:w w:val="100"/>
          <w:sz w:val="21"/>
          <w:szCs w:val="21"/>
        </w:rPr>
        <w:t> </w:t>
      </w:r>
      <w:r>
        <w:rPr>
          <w:rFonts w:ascii="宋体" w:hAnsi="宋体" w:cs="宋体" w:eastAsia="宋体" w:hint="default"/>
          <w:sz w:val="21"/>
          <w:szCs w:val="21"/>
        </w:rPr>
        <w:t>约化水平不断提高。</w:t>
      </w:r>
    </w:p>
    <w:p>
      <w:pPr>
        <w:spacing w:line="302" w:lineRule="auto" w:before="126"/>
        <w:ind w:left="138" w:right="96" w:firstLine="372"/>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三是纵深推进混合所有制改革，微观主体活力不断激发。</w:t>
      </w:r>
      <w:r>
        <w:rPr>
          <w:rFonts w:ascii="宋体" w:hAnsi="宋体" w:cs="宋体" w:eastAsia="宋体" w:hint="default"/>
          <w:sz w:val="21"/>
          <w:szCs w:val="21"/>
        </w:rPr>
        <w:t>瘦身健体持续深化，省级、地市级分公</w:t>
      </w:r>
      <w:r>
        <w:rPr>
          <w:rFonts w:ascii="宋体" w:hAnsi="宋体" w:cs="宋体" w:eastAsia="宋体" w:hint="default"/>
          <w:w w:val="100"/>
          <w:sz w:val="21"/>
          <w:szCs w:val="21"/>
        </w:rPr>
        <w:t> </w:t>
      </w:r>
      <w:r>
        <w:rPr>
          <w:rFonts w:ascii="宋体" w:hAnsi="宋体" w:cs="宋体" w:eastAsia="宋体" w:hint="default"/>
          <w:sz w:val="21"/>
          <w:szCs w:val="21"/>
        </w:rPr>
        <w:t>司机构平均分别减少 </w:t>
      </w:r>
      <w:r>
        <w:rPr>
          <w:rFonts w:ascii="Times New Roman" w:hAnsi="Times New Roman" w:cs="Times New Roman" w:eastAsia="Times New Roman" w:hint="default"/>
          <w:sz w:val="21"/>
          <w:szCs w:val="21"/>
        </w:rPr>
        <w:t>10.5%</w:t>
      </w:r>
      <w:r>
        <w:rPr>
          <w:rFonts w:ascii="宋体" w:hAnsi="宋体" w:cs="宋体" w:eastAsia="宋体" w:hint="default"/>
          <w:sz w:val="21"/>
          <w:szCs w:val="21"/>
        </w:rPr>
        <w:t>、</w:t>
      </w:r>
      <w:r>
        <w:rPr>
          <w:rFonts w:ascii="Times New Roman" w:hAnsi="Times New Roman" w:cs="Times New Roman" w:eastAsia="Times New Roman" w:hint="default"/>
          <w:sz w:val="21"/>
          <w:szCs w:val="21"/>
        </w:rPr>
        <w:t>24.7%</w:t>
      </w:r>
      <w:r>
        <w:rPr>
          <w:rFonts w:ascii="宋体" w:hAnsi="宋体" w:cs="宋体" w:eastAsia="宋体" w:hint="default"/>
          <w:sz w:val="21"/>
          <w:szCs w:val="21"/>
        </w:rPr>
        <w:t>，省公司本部管理人员职数减少</w:t>
      </w:r>
      <w:r>
        <w:rPr>
          <w:rFonts w:ascii="宋体" w:hAnsi="宋体" w:cs="宋体" w:eastAsia="宋体" w:hint="default"/>
          <w:spacing w:val="-34"/>
          <w:sz w:val="21"/>
          <w:szCs w:val="21"/>
        </w:rPr>
        <w:t> </w:t>
      </w:r>
      <w:r>
        <w:rPr>
          <w:rFonts w:ascii="Times New Roman" w:hAnsi="Times New Roman" w:cs="Times New Roman" w:eastAsia="Times New Roman" w:hint="default"/>
          <w:sz w:val="21"/>
          <w:szCs w:val="21"/>
        </w:rPr>
        <w:t>12%</w:t>
      </w:r>
      <w:r>
        <w:rPr>
          <w:rFonts w:ascii="宋体" w:hAnsi="宋体" w:cs="宋体" w:eastAsia="宋体" w:hint="default"/>
          <w:sz w:val="21"/>
          <w:szCs w:val="21"/>
        </w:rPr>
        <w:t>。划小改革迭代推进，在重</w:t>
      </w:r>
      <w:r>
        <w:rPr>
          <w:rFonts w:ascii="宋体" w:hAnsi="宋体" w:cs="宋体" w:eastAsia="宋体" w:hint="default"/>
          <w:w w:val="100"/>
          <w:sz w:val="21"/>
          <w:szCs w:val="21"/>
        </w:rPr>
        <w:t> </w:t>
      </w:r>
      <w:r>
        <w:rPr>
          <w:rFonts w:ascii="宋体" w:hAnsi="宋体" w:cs="宋体" w:eastAsia="宋体" w:hint="default"/>
          <w:spacing w:val="-5"/>
          <w:sz w:val="21"/>
          <w:szCs w:val="21"/>
        </w:rPr>
        <w:t>塑末梢生产组织体系和作业流程、优化划小单元资源配置和考核激励模式、强化中台赋能上持续发力，</w:t>
      </w:r>
      <w:r>
        <w:rPr>
          <w:rFonts w:ascii="宋体" w:hAnsi="宋体" w:cs="宋体" w:eastAsia="宋体" w:hint="default"/>
          <w:spacing w:val="-19"/>
          <w:sz w:val="21"/>
          <w:szCs w:val="21"/>
        </w:rPr>
        <w:t> </w:t>
      </w:r>
      <w:r>
        <w:rPr>
          <w:rFonts w:ascii="宋体" w:hAnsi="宋体" w:cs="宋体" w:eastAsia="宋体" w:hint="default"/>
          <w:spacing w:val="-19"/>
          <w:sz w:val="21"/>
          <w:szCs w:val="21"/>
        </w:rPr>
      </w:r>
      <w:r>
        <w:rPr>
          <w:rFonts w:ascii="宋体" w:hAnsi="宋体" w:cs="宋体" w:eastAsia="宋体" w:hint="default"/>
          <w:spacing w:val="-2"/>
          <w:sz w:val="21"/>
          <w:szCs w:val="21"/>
        </w:rPr>
        <w:t>员工薪酬水平和劳动生产率持续提升。社会化合作运营范围扩大，探索国企民企合作新路。聚焦支撑</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企业创新转型，不断提高队伍战斗力，着力打造高素质干部人才队伍。</w:t>
      </w:r>
    </w:p>
    <w:p>
      <w:pPr>
        <w:spacing w:after="0" w:line="302" w:lineRule="auto"/>
        <w:jc w:val="left"/>
        <w:rPr>
          <w:rFonts w:ascii="宋体" w:hAnsi="宋体" w:cs="宋体" w:eastAsia="宋体" w:hint="default"/>
          <w:sz w:val="21"/>
          <w:szCs w:val="21"/>
        </w:rPr>
        <w:sectPr>
          <w:footerReference w:type="default" r:id="rId21"/>
          <w:pgSz w:w="11910" w:h="16840"/>
          <w:pgMar w:footer="502" w:header="854" w:top="1360" w:bottom="700" w:left="1280" w:right="1060"/>
        </w:sectPr>
      </w:pPr>
    </w:p>
    <w:p>
      <w:pPr>
        <w:spacing w:line="240" w:lineRule="auto" w:before="13"/>
        <w:rPr>
          <w:rFonts w:ascii="宋体" w:hAnsi="宋体" w:cs="宋体" w:eastAsia="宋体" w:hint="default"/>
          <w:sz w:val="17"/>
          <w:szCs w:val="17"/>
        </w:rPr>
      </w:pPr>
    </w:p>
    <w:p>
      <w:pPr>
        <w:pStyle w:val="Heading1"/>
        <w:tabs>
          <w:tab w:pos="4108" w:val="left" w:leader="none"/>
        </w:tabs>
        <w:spacing w:line="413" w:lineRule="exact"/>
        <w:ind w:left="2849" w:right="96"/>
        <w:jc w:val="left"/>
        <w:rPr>
          <w:b w:val="0"/>
          <w:bCs w:val="0"/>
        </w:rPr>
      </w:pPr>
      <w:bookmarkStart w:name="_bookmark3" w:id="5"/>
      <w:bookmarkEnd w:id="5"/>
      <w:r>
        <w:rPr>
          <w:b w:val="0"/>
          <w:bCs w:val="0"/>
        </w:rPr>
      </w:r>
      <w:r>
        <w:rPr/>
        <w:t>第四节</w:t>
        <w:tab/>
        <w:t>经营情况讨论与分析</w:t>
      </w:r>
      <w:r>
        <w:rPr>
          <w:b w:val="0"/>
          <w:bCs w:val="0"/>
        </w:rPr>
      </w:r>
    </w:p>
    <w:p>
      <w:pPr>
        <w:spacing w:line="240" w:lineRule="auto" w:before="12"/>
        <w:rPr>
          <w:rFonts w:ascii="Microsoft JhengHei" w:hAnsi="Microsoft JhengHei" w:cs="Microsoft JhengHei" w:eastAsia="Microsoft JhengHei" w:hint="default"/>
          <w:b/>
          <w:bCs/>
          <w:sz w:val="8"/>
          <w:szCs w:val="8"/>
        </w:rPr>
      </w:pPr>
    </w:p>
    <w:p>
      <w:pPr>
        <w:spacing w:line="335" w:lineRule="exact" w:before="0"/>
        <w:ind w:left="138" w:right="96"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一、经营情况讨论与分析</w:t>
      </w:r>
      <w:r>
        <w:rPr>
          <w:rFonts w:ascii="Microsoft JhengHei" w:hAnsi="Microsoft JhengHei" w:cs="Microsoft JhengHei" w:eastAsia="Microsoft JhengHei" w:hint="default"/>
          <w:sz w:val="21"/>
          <w:szCs w:val="21"/>
        </w:rPr>
      </w:r>
    </w:p>
    <w:p>
      <w:pPr>
        <w:spacing w:line="240" w:lineRule="auto" w:before="16"/>
        <w:rPr>
          <w:rFonts w:ascii="Microsoft JhengHei" w:hAnsi="Microsoft JhengHei" w:cs="Microsoft JhengHei" w:eastAsia="Microsoft JhengHei" w:hint="default"/>
          <w:b/>
          <w:bCs/>
          <w:sz w:val="12"/>
          <w:szCs w:val="12"/>
        </w:rPr>
      </w:pPr>
    </w:p>
    <w:p>
      <w:pPr>
        <w:spacing w:line="314" w:lineRule="auto" w:before="0"/>
        <w:ind w:left="138" w:right="96" w:firstLine="420"/>
        <w:jc w:val="left"/>
        <w:rPr>
          <w:rFonts w:ascii="宋体" w:hAnsi="宋体" w:cs="宋体" w:eastAsia="宋体" w:hint="default"/>
          <w:sz w:val="21"/>
          <w:szCs w:val="21"/>
        </w:rPr>
      </w:pPr>
      <w:r>
        <w:rPr>
          <w:rFonts w:ascii="宋体" w:hAnsi="宋体" w:cs="宋体" w:eastAsia="宋体" w:hint="default"/>
          <w:sz w:val="21"/>
          <w:szCs w:val="21"/>
        </w:rPr>
        <w:t>2019 </w:t>
      </w:r>
      <w:r>
        <w:rPr>
          <w:rFonts w:ascii="宋体" w:hAnsi="宋体" w:cs="宋体" w:eastAsia="宋体" w:hint="default"/>
          <w:spacing w:val="-2"/>
          <w:sz w:val="21"/>
          <w:szCs w:val="21"/>
        </w:rPr>
        <w:t>年是中国联通向高质量发展转型的关键一年。一年里，公司积极应对复杂形势和转型阵痛，</w:t>
      </w:r>
      <w:r>
        <w:rPr>
          <w:rFonts w:ascii="宋体" w:hAnsi="宋体" w:cs="宋体" w:eastAsia="宋体" w:hint="default"/>
          <w:w w:val="100"/>
          <w:sz w:val="21"/>
          <w:szCs w:val="21"/>
        </w:rPr>
        <w:t> </w:t>
      </w:r>
      <w:r>
        <w:rPr>
          <w:rFonts w:ascii="宋体" w:hAnsi="宋体" w:cs="宋体" w:eastAsia="宋体" w:hint="default"/>
          <w:sz w:val="21"/>
          <w:szCs w:val="21"/>
        </w:rPr>
        <w:t>深入践行新发展理念，自律坚持理性规范竞争，开创实施 </w:t>
      </w:r>
      <w:r>
        <w:rPr>
          <w:rFonts w:ascii="宋体" w:hAnsi="宋体" w:cs="宋体" w:eastAsia="宋体" w:hint="default"/>
          <w:sz w:val="21"/>
          <w:szCs w:val="21"/>
        </w:rPr>
        <w:t>5G</w:t>
      </w:r>
      <w:r>
        <w:rPr>
          <w:rFonts w:ascii="宋体" w:hAnsi="宋体" w:cs="宋体" w:eastAsia="宋体" w:hint="default"/>
          <w:spacing w:val="-33"/>
          <w:sz w:val="21"/>
          <w:szCs w:val="21"/>
        </w:rPr>
        <w:t> </w:t>
      </w:r>
      <w:r>
        <w:rPr>
          <w:rFonts w:ascii="宋体" w:hAnsi="宋体" w:cs="宋体" w:eastAsia="宋体" w:hint="default"/>
          <w:sz w:val="21"/>
          <w:szCs w:val="21"/>
        </w:rPr>
        <w:t>网络共建共享，纵深推进混合所有制改</w:t>
      </w:r>
      <w:r>
        <w:rPr>
          <w:rFonts w:ascii="宋体" w:hAnsi="宋体" w:cs="宋体" w:eastAsia="宋体" w:hint="default"/>
          <w:w w:val="100"/>
          <w:sz w:val="21"/>
          <w:szCs w:val="21"/>
        </w:rPr>
        <w:t> </w:t>
      </w:r>
      <w:r>
        <w:rPr>
          <w:rFonts w:ascii="宋体" w:hAnsi="宋体" w:cs="宋体" w:eastAsia="宋体" w:hint="default"/>
          <w:sz w:val="21"/>
          <w:szCs w:val="21"/>
        </w:rPr>
        <w:t>革，“五新”联通建设不断迈出新步伐，一些关键领域的谋篇布局取得突破性进展。</w:t>
      </w:r>
    </w:p>
    <w:p>
      <w:pPr>
        <w:spacing w:before="109"/>
        <w:ind w:left="563" w:right="96"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（一）整体业绩</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2"/>
          <w:szCs w:val="12"/>
        </w:rPr>
      </w:pPr>
    </w:p>
    <w:p>
      <w:pPr>
        <w:spacing w:line="314" w:lineRule="auto" w:before="0"/>
        <w:ind w:left="138" w:right="205" w:firstLine="420"/>
        <w:jc w:val="both"/>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10"/>
          <w:sz w:val="21"/>
          <w:szCs w:val="21"/>
        </w:rPr>
        <w:t> </w:t>
      </w:r>
      <w:r>
        <w:rPr>
          <w:rFonts w:ascii="宋体" w:hAnsi="宋体" w:cs="宋体" w:eastAsia="宋体" w:hint="default"/>
          <w:spacing w:val="-4"/>
          <w:sz w:val="21"/>
          <w:szCs w:val="21"/>
        </w:rPr>
        <w:t>年，受复杂的内外部发展环境影响，公司收入增长持续面临压力。公司以深化转型、推动高</w:t>
      </w:r>
      <w:r>
        <w:rPr>
          <w:rFonts w:ascii="宋体" w:hAnsi="宋体" w:cs="宋体" w:eastAsia="宋体" w:hint="default"/>
          <w:w w:val="100"/>
          <w:sz w:val="21"/>
          <w:szCs w:val="21"/>
        </w:rPr>
        <w:t> </w:t>
      </w:r>
      <w:r>
        <w:rPr>
          <w:rFonts w:ascii="宋体" w:hAnsi="宋体" w:cs="宋体" w:eastAsia="宋体" w:hint="default"/>
          <w:spacing w:val="-3"/>
          <w:sz w:val="21"/>
          <w:szCs w:val="21"/>
        </w:rPr>
        <w:t>质量发展积极应对严峻挑战，全年实现主营业务收入人民币</w:t>
      </w:r>
      <w:r>
        <w:rPr>
          <w:rFonts w:ascii="宋体" w:hAnsi="宋体" w:cs="宋体" w:eastAsia="宋体" w:hint="default"/>
          <w:spacing w:val="-30"/>
          <w:sz w:val="21"/>
          <w:szCs w:val="21"/>
        </w:rPr>
        <w:t> </w:t>
      </w:r>
      <w:r>
        <w:rPr>
          <w:rFonts w:ascii="宋体" w:hAnsi="宋体" w:cs="宋体" w:eastAsia="宋体" w:hint="default"/>
          <w:sz w:val="21"/>
          <w:szCs w:val="21"/>
        </w:rPr>
        <w:t>2,644</w:t>
      </w:r>
      <w:r>
        <w:rPr>
          <w:rFonts w:ascii="宋体" w:hAnsi="宋体" w:cs="宋体" w:eastAsia="宋体" w:hint="default"/>
          <w:spacing w:val="-35"/>
          <w:sz w:val="21"/>
          <w:szCs w:val="21"/>
        </w:rPr>
        <w:t> </w:t>
      </w:r>
      <w:r>
        <w:rPr>
          <w:rFonts w:ascii="宋体" w:hAnsi="宋体" w:cs="宋体" w:eastAsia="宋体" w:hint="default"/>
          <w:spacing w:val="-4"/>
          <w:sz w:val="21"/>
          <w:szCs w:val="21"/>
        </w:rPr>
        <w:t>亿元，较去年同比上涨</w:t>
      </w:r>
      <w:r>
        <w:rPr>
          <w:rFonts w:ascii="宋体" w:hAnsi="宋体" w:cs="宋体" w:eastAsia="宋体" w:hint="default"/>
          <w:spacing w:val="-30"/>
          <w:sz w:val="21"/>
          <w:szCs w:val="21"/>
        </w:rPr>
        <w:t> </w:t>
      </w:r>
      <w:r>
        <w:rPr>
          <w:rFonts w:ascii="宋体" w:hAnsi="宋体" w:cs="宋体" w:eastAsia="宋体" w:hint="default"/>
          <w:spacing w:val="-6"/>
          <w:sz w:val="21"/>
          <w:szCs w:val="21"/>
        </w:rPr>
        <w:t>0.3%</w:t>
      </w:r>
      <w:r>
        <w:rPr>
          <w:rFonts w:ascii="宋体" w:hAnsi="宋体" w:cs="宋体" w:eastAsia="宋体" w:hint="default"/>
          <w:spacing w:val="-6"/>
          <w:sz w:val="21"/>
          <w:szCs w:val="21"/>
        </w:rPr>
        <w:t>。得益</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于良好的成本管控，尽管受到提速降费的持续影响，公司盈利能力保持快速提升，</w:t>
      </w:r>
      <w:r>
        <w:rPr>
          <w:rFonts w:ascii="宋体" w:hAnsi="宋体" w:cs="宋体" w:eastAsia="宋体" w:hint="default"/>
          <w:sz w:val="21"/>
          <w:szCs w:val="21"/>
        </w:rPr>
        <w:t>EBITDA</w:t>
      </w:r>
      <w:r>
        <w:rPr>
          <w:rFonts w:ascii="宋体" w:hAnsi="宋体" w:cs="宋体" w:eastAsia="宋体" w:hint="default"/>
          <w:position w:val="11"/>
          <w:sz w:val="11"/>
          <w:szCs w:val="11"/>
        </w:rPr>
        <w:t>1 </w:t>
      </w:r>
      <w:r>
        <w:rPr>
          <w:rFonts w:ascii="宋体" w:hAnsi="宋体" w:cs="宋体" w:eastAsia="宋体" w:hint="default"/>
          <w:sz w:val="21"/>
          <w:szCs w:val="21"/>
        </w:rPr>
        <w:t>达到人民</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币</w:t>
      </w:r>
      <w:r>
        <w:rPr>
          <w:rFonts w:ascii="宋体" w:hAnsi="宋体" w:cs="宋体" w:eastAsia="宋体" w:hint="default"/>
          <w:spacing w:val="-55"/>
          <w:sz w:val="21"/>
          <w:szCs w:val="21"/>
        </w:rPr>
        <w:t> </w:t>
      </w:r>
      <w:r>
        <w:rPr>
          <w:rFonts w:ascii="宋体" w:hAnsi="宋体" w:cs="宋体" w:eastAsia="宋体" w:hint="default"/>
          <w:sz w:val="21"/>
          <w:szCs w:val="21"/>
        </w:rPr>
        <w:t>947</w:t>
      </w:r>
      <w:r>
        <w:rPr>
          <w:rFonts w:ascii="宋体" w:hAnsi="宋体" w:cs="宋体" w:eastAsia="宋体" w:hint="default"/>
          <w:spacing w:val="-57"/>
          <w:sz w:val="21"/>
          <w:szCs w:val="21"/>
        </w:rPr>
        <w:t> </w:t>
      </w:r>
      <w:r>
        <w:rPr>
          <w:rFonts w:ascii="宋体" w:hAnsi="宋体" w:cs="宋体" w:eastAsia="宋体" w:hint="default"/>
          <w:spacing w:val="-3"/>
          <w:sz w:val="21"/>
          <w:szCs w:val="21"/>
        </w:rPr>
        <w:t>亿元，同比增长</w:t>
      </w:r>
      <w:r>
        <w:rPr>
          <w:rFonts w:ascii="宋体" w:hAnsi="宋体" w:cs="宋体" w:eastAsia="宋体" w:hint="default"/>
          <w:spacing w:val="-55"/>
          <w:sz w:val="21"/>
          <w:szCs w:val="21"/>
        </w:rPr>
        <w:t> </w:t>
      </w:r>
      <w:r>
        <w:rPr>
          <w:rFonts w:ascii="宋体" w:hAnsi="宋体" w:cs="宋体" w:eastAsia="宋体" w:hint="default"/>
          <w:sz w:val="21"/>
          <w:szCs w:val="21"/>
        </w:rPr>
        <w:t>11.1%</w:t>
      </w:r>
      <w:r>
        <w:rPr>
          <w:rFonts w:ascii="宋体" w:hAnsi="宋体" w:cs="宋体" w:eastAsia="宋体" w:hint="default"/>
          <w:sz w:val="21"/>
          <w:szCs w:val="21"/>
        </w:rPr>
        <w:t>；利润总额达到人民币</w:t>
      </w:r>
      <w:r>
        <w:rPr>
          <w:rFonts w:ascii="宋体" w:hAnsi="宋体" w:cs="宋体" w:eastAsia="宋体" w:hint="default"/>
          <w:spacing w:val="-55"/>
          <w:sz w:val="21"/>
          <w:szCs w:val="21"/>
        </w:rPr>
        <w:t> </w:t>
      </w:r>
      <w:r>
        <w:rPr>
          <w:rFonts w:ascii="宋体" w:hAnsi="宋体" w:cs="宋体" w:eastAsia="宋体" w:hint="default"/>
          <w:sz w:val="21"/>
          <w:szCs w:val="21"/>
        </w:rPr>
        <w:t>140</w:t>
      </w:r>
      <w:r>
        <w:rPr>
          <w:rFonts w:ascii="宋体" w:hAnsi="宋体" w:cs="宋体" w:eastAsia="宋体" w:hint="default"/>
          <w:spacing w:val="-57"/>
          <w:sz w:val="21"/>
          <w:szCs w:val="21"/>
        </w:rPr>
        <w:t> </w:t>
      </w:r>
      <w:r>
        <w:rPr>
          <w:rFonts w:ascii="宋体" w:hAnsi="宋体" w:cs="宋体" w:eastAsia="宋体" w:hint="default"/>
          <w:sz w:val="21"/>
          <w:szCs w:val="21"/>
        </w:rPr>
        <w:t>亿元，归属于母公司净利润达到人民币</w:t>
      </w:r>
      <w:r>
        <w:rPr>
          <w:rFonts w:ascii="宋体" w:hAnsi="宋体" w:cs="宋体" w:eastAsia="宋体" w:hint="default"/>
          <w:spacing w:val="-55"/>
          <w:sz w:val="21"/>
          <w:szCs w:val="21"/>
        </w:rPr>
        <w:t> </w:t>
      </w:r>
      <w:r>
        <w:rPr>
          <w:rFonts w:ascii="宋体" w:hAnsi="宋体" w:cs="宋体" w:eastAsia="宋体" w:hint="default"/>
          <w:sz w:val="21"/>
          <w:szCs w:val="21"/>
        </w:rPr>
        <w:t>49.8</w:t>
      </w:r>
      <w:r>
        <w:rPr>
          <w:rFonts w:ascii="宋体" w:hAnsi="宋体" w:cs="宋体" w:eastAsia="宋体" w:hint="default"/>
          <w:w w:val="100"/>
          <w:sz w:val="21"/>
          <w:szCs w:val="21"/>
        </w:rPr>
        <w:t> </w:t>
      </w:r>
      <w:r>
        <w:rPr>
          <w:rFonts w:ascii="宋体" w:hAnsi="宋体" w:cs="宋体" w:eastAsia="宋体" w:hint="default"/>
          <w:sz w:val="21"/>
          <w:szCs w:val="21"/>
        </w:rPr>
        <w:t>亿元，同比增长</w:t>
      </w:r>
      <w:r>
        <w:rPr>
          <w:rFonts w:ascii="宋体" w:hAnsi="宋体" w:cs="宋体" w:eastAsia="宋体" w:hint="default"/>
          <w:spacing w:val="-54"/>
          <w:sz w:val="21"/>
          <w:szCs w:val="21"/>
        </w:rPr>
        <w:t> </w:t>
      </w:r>
      <w:r>
        <w:rPr>
          <w:rFonts w:ascii="宋体" w:hAnsi="宋体" w:cs="宋体" w:eastAsia="宋体" w:hint="default"/>
          <w:sz w:val="21"/>
          <w:szCs w:val="21"/>
        </w:rPr>
        <w:t>22.1%</w:t>
      </w:r>
      <w:r>
        <w:rPr>
          <w:rFonts w:ascii="宋体" w:hAnsi="宋体" w:cs="宋体" w:eastAsia="宋体" w:hint="default"/>
          <w:sz w:val="21"/>
          <w:szCs w:val="21"/>
        </w:rPr>
        <w:t>。</w:t>
      </w:r>
    </w:p>
    <w:p>
      <w:pPr>
        <w:spacing w:line="314" w:lineRule="auto" w:before="176"/>
        <w:ind w:left="138" w:right="205" w:firstLine="420"/>
        <w:jc w:val="both"/>
        <w:rPr>
          <w:rFonts w:ascii="宋体" w:hAnsi="宋体" w:cs="宋体" w:eastAsia="宋体" w:hint="default"/>
          <w:sz w:val="21"/>
          <w:szCs w:val="21"/>
        </w:rPr>
      </w:pPr>
      <w:r>
        <w:rPr>
          <w:rFonts w:ascii="宋体" w:hAnsi="宋体" w:cs="宋体" w:eastAsia="宋体" w:hint="default"/>
          <w:spacing w:val="-3"/>
          <w:sz w:val="21"/>
          <w:szCs w:val="21"/>
        </w:rPr>
        <w:t>公司坚持精准高效投资，创新实施</w:t>
      </w:r>
      <w:r>
        <w:rPr>
          <w:rFonts w:ascii="宋体" w:hAnsi="宋体" w:cs="宋体" w:eastAsia="宋体" w:hint="default"/>
          <w:spacing w:val="-42"/>
          <w:sz w:val="21"/>
          <w:szCs w:val="21"/>
        </w:rPr>
        <w:t> </w:t>
      </w:r>
      <w:r>
        <w:rPr>
          <w:rFonts w:ascii="宋体" w:hAnsi="宋体" w:cs="宋体" w:eastAsia="宋体" w:hint="default"/>
          <w:sz w:val="21"/>
          <w:szCs w:val="21"/>
        </w:rPr>
        <w:t>5G</w:t>
      </w:r>
      <w:r>
        <w:rPr>
          <w:rFonts w:ascii="宋体" w:hAnsi="宋体" w:cs="宋体" w:eastAsia="宋体" w:hint="default"/>
          <w:spacing w:val="-42"/>
          <w:sz w:val="21"/>
          <w:szCs w:val="21"/>
        </w:rPr>
        <w:t> </w:t>
      </w:r>
      <w:r>
        <w:rPr>
          <w:rFonts w:ascii="宋体" w:hAnsi="宋体" w:cs="宋体" w:eastAsia="宋体" w:hint="default"/>
          <w:spacing w:val="-4"/>
          <w:sz w:val="21"/>
          <w:szCs w:val="21"/>
        </w:rPr>
        <w:t>网络共建共享，在保障</w:t>
      </w:r>
      <w:r>
        <w:rPr>
          <w:rFonts w:ascii="宋体" w:hAnsi="宋体" w:cs="宋体" w:eastAsia="宋体" w:hint="default"/>
          <w:spacing w:val="-42"/>
          <w:sz w:val="21"/>
          <w:szCs w:val="21"/>
        </w:rPr>
        <w:t> </w:t>
      </w:r>
      <w:r>
        <w:rPr>
          <w:rFonts w:ascii="宋体" w:hAnsi="宋体" w:cs="宋体" w:eastAsia="宋体" w:hint="default"/>
          <w:sz w:val="21"/>
          <w:szCs w:val="21"/>
        </w:rPr>
        <w:t>5G</w:t>
      </w:r>
      <w:r>
        <w:rPr>
          <w:rFonts w:ascii="宋体" w:hAnsi="宋体" w:cs="宋体" w:eastAsia="宋体" w:hint="default"/>
          <w:spacing w:val="-45"/>
          <w:sz w:val="21"/>
          <w:szCs w:val="21"/>
        </w:rPr>
        <w:t> </w:t>
      </w:r>
      <w:r>
        <w:rPr>
          <w:rFonts w:ascii="宋体" w:hAnsi="宋体" w:cs="宋体" w:eastAsia="宋体" w:hint="default"/>
          <w:sz w:val="21"/>
          <w:szCs w:val="21"/>
        </w:rPr>
        <w:t>网络高效建设的同时大幅节省资</w:t>
      </w:r>
      <w:r>
        <w:rPr>
          <w:rFonts w:ascii="宋体" w:hAnsi="宋体" w:cs="宋体" w:eastAsia="宋体" w:hint="default"/>
          <w:w w:val="100"/>
          <w:sz w:val="21"/>
          <w:szCs w:val="21"/>
        </w:rPr>
        <w:t> </w:t>
      </w:r>
      <w:r>
        <w:rPr>
          <w:rFonts w:ascii="宋体" w:hAnsi="宋体" w:cs="宋体" w:eastAsia="宋体" w:hint="default"/>
          <w:sz w:val="21"/>
          <w:szCs w:val="21"/>
        </w:rPr>
        <w:t>本开支。</w:t>
      </w:r>
      <w:r>
        <w:rPr>
          <w:rFonts w:ascii="宋体" w:hAnsi="宋体" w:cs="宋体" w:eastAsia="宋体" w:hint="default"/>
          <w:sz w:val="21"/>
          <w:szCs w:val="21"/>
        </w:rPr>
        <w:t>2019</w:t>
      </w:r>
      <w:r>
        <w:rPr>
          <w:rFonts w:ascii="宋体" w:hAnsi="宋体" w:cs="宋体" w:eastAsia="宋体" w:hint="default"/>
          <w:spacing w:val="-56"/>
          <w:sz w:val="21"/>
          <w:szCs w:val="21"/>
        </w:rPr>
        <w:t> </w:t>
      </w:r>
      <w:r>
        <w:rPr>
          <w:rFonts w:ascii="宋体" w:hAnsi="宋体" w:cs="宋体" w:eastAsia="宋体" w:hint="default"/>
          <w:sz w:val="21"/>
          <w:szCs w:val="21"/>
        </w:rPr>
        <w:t>年，公司资本开支总额为人民币</w:t>
      </w:r>
      <w:r>
        <w:rPr>
          <w:rFonts w:ascii="宋体" w:hAnsi="宋体" w:cs="宋体" w:eastAsia="宋体" w:hint="default"/>
          <w:spacing w:val="-54"/>
          <w:sz w:val="21"/>
          <w:szCs w:val="21"/>
        </w:rPr>
        <w:t> </w:t>
      </w:r>
      <w:r>
        <w:rPr>
          <w:rFonts w:ascii="宋体" w:hAnsi="宋体" w:cs="宋体" w:eastAsia="宋体" w:hint="default"/>
          <w:sz w:val="21"/>
          <w:szCs w:val="21"/>
        </w:rPr>
        <w:t>564</w:t>
      </w:r>
      <w:r>
        <w:rPr>
          <w:rFonts w:ascii="宋体" w:hAnsi="宋体" w:cs="宋体" w:eastAsia="宋体" w:hint="default"/>
          <w:spacing w:val="-56"/>
          <w:sz w:val="21"/>
          <w:szCs w:val="21"/>
        </w:rPr>
        <w:t> </w:t>
      </w:r>
      <w:r>
        <w:rPr>
          <w:rFonts w:ascii="宋体" w:hAnsi="宋体" w:cs="宋体" w:eastAsia="宋体" w:hint="default"/>
          <w:sz w:val="21"/>
          <w:szCs w:val="21"/>
        </w:rPr>
        <w:t>亿元，自由现金流</w:t>
      </w:r>
      <w:r>
        <w:rPr>
          <w:rFonts w:ascii="宋体" w:hAnsi="宋体" w:cs="宋体" w:eastAsia="宋体" w:hint="default"/>
          <w:spacing w:val="-54"/>
          <w:sz w:val="21"/>
          <w:szCs w:val="21"/>
        </w:rPr>
        <w:t> </w:t>
      </w:r>
      <w:r>
        <w:rPr>
          <w:rFonts w:ascii="宋体" w:hAnsi="宋体" w:cs="宋体" w:eastAsia="宋体" w:hint="default"/>
          <w:position w:val="11"/>
          <w:sz w:val="11"/>
          <w:szCs w:val="11"/>
        </w:rPr>
        <w:t>2</w:t>
      </w:r>
      <w:r>
        <w:rPr>
          <w:rFonts w:ascii="宋体" w:hAnsi="宋体" w:cs="宋体" w:eastAsia="宋体" w:hint="default"/>
          <w:spacing w:val="-32"/>
          <w:position w:val="11"/>
          <w:sz w:val="11"/>
          <w:szCs w:val="11"/>
        </w:rPr>
        <w:t> </w:t>
      </w:r>
      <w:r>
        <w:rPr>
          <w:rFonts w:ascii="宋体" w:hAnsi="宋体" w:cs="宋体" w:eastAsia="宋体" w:hint="default"/>
          <w:sz w:val="21"/>
          <w:szCs w:val="21"/>
        </w:rPr>
        <w:t>保持强劲，达到人民币</w:t>
      </w:r>
      <w:r>
        <w:rPr>
          <w:rFonts w:ascii="宋体" w:hAnsi="宋体" w:cs="宋体" w:eastAsia="宋体" w:hint="default"/>
          <w:spacing w:val="-53"/>
          <w:sz w:val="21"/>
          <w:szCs w:val="21"/>
        </w:rPr>
        <w:t> </w:t>
      </w:r>
      <w:r>
        <w:rPr>
          <w:rFonts w:ascii="宋体" w:hAnsi="宋体" w:cs="宋体" w:eastAsia="宋体" w:hint="default"/>
          <w:sz w:val="21"/>
          <w:szCs w:val="21"/>
        </w:rPr>
        <w:t>276</w:t>
      </w:r>
      <w:r>
        <w:rPr>
          <w:rFonts w:ascii="宋体" w:hAnsi="宋体" w:cs="宋体" w:eastAsia="宋体" w:hint="default"/>
          <w:spacing w:val="-54"/>
          <w:sz w:val="21"/>
          <w:szCs w:val="21"/>
        </w:rPr>
        <w:t> </w:t>
      </w:r>
      <w:r>
        <w:rPr>
          <w:rFonts w:ascii="宋体" w:hAnsi="宋体" w:cs="宋体" w:eastAsia="宋体" w:hint="default"/>
          <w:sz w:val="21"/>
          <w:szCs w:val="21"/>
        </w:rPr>
        <w:t>亿</w:t>
      </w:r>
      <w:r>
        <w:rPr>
          <w:rFonts w:ascii="宋体" w:hAnsi="宋体" w:cs="宋体" w:eastAsia="宋体" w:hint="default"/>
          <w:w w:val="100"/>
          <w:sz w:val="21"/>
          <w:szCs w:val="21"/>
        </w:rPr>
        <w:t> </w:t>
      </w:r>
      <w:r>
        <w:rPr>
          <w:rFonts w:ascii="宋体" w:hAnsi="宋体" w:cs="宋体" w:eastAsia="宋体" w:hint="default"/>
          <w:sz w:val="21"/>
          <w:szCs w:val="21"/>
        </w:rPr>
        <w:t>元。截至</w:t>
      </w:r>
      <w:r>
        <w:rPr>
          <w:rFonts w:ascii="宋体" w:hAnsi="宋体" w:cs="宋体" w:eastAsia="宋体" w:hint="default"/>
          <w:spacing w:val="-56"/>
          <w:sz w:val="21"/>
          <w:szCs w:val="21"/>
        </w:rPr>
        <w:t> </w:t>
      </w:r>
      <w:r>
        <w:rPr>
          <w:rFonts w:ascii="宋体" w:hAnsi="宋体" w:cs="宋体" w:eastAsia="宋体" w:hint="default"/>
          <w:sz w:val="21"/>
          <w:szCs w:val="21"/>
        </w:rPr>
        <w:t>2019</w:t>
      </w:r>
      <w:r>
        <w:rPr>
          <w:rFonts w:ascii="宋体" w:hAnsi="宋体" w:cs="宋体" w:eastAsia="宋体" w:hint="default"/>
          <w:spacing w:val="-56"/>
          <w:sz w:val="21"/>
          <w:szCs w:val="21"/>
        </w:rPr>
        <w:t> </w:t>
      </w:r>
      <w:r>
        <w:rPr>
          <w:rFonts w:ascii="宋体" w:hAnsi="宋体" w:cs="宋体" w:eastAsia="宋体" w:hint="default"/>
          <w:sz w:val="21"/>
          <w:szCs w:val="21"/>
        </w:rPr>
        <w:t>年底，公司资产负债率</w:t>
      </w:r>
      <w:r>
        <w:rPr>
          <w:rFonts w:ascii="宋体" w:hAnsi="宋体" w:cs="宋体" w:eastAsia="宋体" w:hint="default"/>
          <w:spacing w:val="-54"/>
          <w:sz w:val="21"/>
          <w:szCs w:val="21"/>
        </w:rPr>
        <w:t> </w:t>
      </w:r>
      <w:r>
        <w:rPr>
          <w:rFonts w:ascii="宋体" w:hAnsi="宋体" w:cs="宋体" w:eastAsia="宋体" w:hint="default"/>
          <w:position w:val="11"/>
          <w:sz w:val="11"/>
          <w:szCs w:val="11"/>
        </w:rPr>
        <w:t>2</w:t>
      </w:r>
      <w:r>
        <w:rPr>
          <w:rFonts w:ascii="宋体" w:hAnsi="宋体" w:cs="宋体" w:eastAsia="宋体" w:hint="default"/>
          <w:spacing w:val="-30"/>
          <w:position w:val="11"/>
          <w:sz w:val="11"/>
          <w:szCs w:val="11"/>
        </w:rPr>
        <w:t> </w:t>
      </w:r>
      <w:r>
        <w:rPr>
          <w:rFonts w:ascii="宋体" w:hAnsi="宋体" w:cs="宋体" w:eastAsia="宋体" w:hint="default"/>
          <w:sz w:val="21"/>
          <w:szCs w:val="21"/>
        </w:rPr>
        <w:t>为</w:t>
      </w:r>
      <w:r>
        <w:rPr>
          <w:rFonts w:ascii="宋体" w:hAnsi="宋体" w:cs="宋体" w:eastAsia="宋体" w:hint="default"/>
          <w:spacing w:val="-54"/>
          <w:sz w:val="21"/>
          <w:szCs w:val="21"/>
        </w:rPr>
        <w:t> </w:t>
      </w:r>
      <w:r>
        <w:rPr>
          <w:rFonts w:ascii="宋体" w:hAnsi="宋体" w:cs="宋体" w:eastAsia="宋体" w:hint="default"/>
          <w:sz w:val="21"/>
          <w:szCs w:val="21"/>
        </w:rPr>
        <w:t>39.0%</w:t>
      </w:r>
      <w:r>
        <w:rPr>
          <w:rFonts w:ascii="宋体" w:hAnsi="宋体" w:cs="宋体" w:eastAsia="宋体" w:hint="default"/>
          <w:sz w:val="21"/>
          <w:szCs w:val="21"/>
        </w:rPr>
        <w:t>，同比下降</w:t>
      </w:r>
      <w:r>
        <w:rPr>
          <w:rFonts w:ascii="宋体" w:hAnsi="宋体" w:cs="宋体" w:eastAsia="宋体" w:hint="default"/>
          <w:spacing w:val="-53"/>
          <w:sz w:val="21"/>
          <w:szCs w:val="21"/>
        </w:rPr>
        <w:t> </w:t>
      </w:r>
      <w:r>
        <w:rPr>
          <w:rFonts w:ascii="宋体" w:hAnsi="宋体" w:cs="宋体" w:eastAsia="宋体" w:hint="default"/>
          <w:sz w:val="21"/>
          <w:szCs w:val="21"/>
        </w:rPr>
        <w:t>2.5</w:t>
      </w:r>
      <w:r>
        <w:rPr>
          <w:rFonts w:ascii="宋体" w:hAnsi="宋体" w:cs="宋体" w:eastAsia="宋体" w:hint="default"/>
          <w:spacing w:val="-56"/>
          <w:sz w:val="21"/>
          <w:szCs w:val="21"/>
        </w:rPr>
        <w:t> </w:t>
      </w:r>
      <w:r>
        <w:rPr>
          <w:rFonts w:ascii="宋体" w:hAnsi="宋体" w:cs="宋体" w:eastAsia="宋体" w:hint="default"/>
          <w:sz w:val="21"/>
          <w:szCs w:val="21"/>
        </w:rPr>
        <w:t>个百分点，财务状况更趋稳健，财务</w:t>
      </w:r>
      <w:r>
        <w:rPr>
          <w:rFonts w:ascii="宋体" w:hAnsi="宋体" w:cs="宋体" w:eastAsia="宋体" w:hint="default"/>
          <w:w w:val="100"/>
          <w:sz w:val="21"/>
          <w:szCs w:val="21"/>
        </w:rPr>
        <w:t> </w:t>
      </w:r>
      <w:r>
        <w:rPr>
          <w:rFonts w:ascii="宋体" w:hAnsi="宋体" w:cs="宋体" w:eastAsia="宋体" w:hint="default"/>
          <w:sz w:val="21"/>
          <w:szCs w:val="21"/>
        </w:rPr>
        <w:t>实力显著增强，为未来可持续发展奠定坚实基础。</w:t>
      </w:r>
    </w:p>
    <w:p>
      <w:pPr>
        <w:spacing w:line="314" w:lineRule="auto" w:before="176"/>
        <w:ind w:left="138" w:right="205" w:firstLine="420"/>
        <w:jc w:val="both"/>
        <w:rPr>
          <w:rFonts w:ascii="宋体" w:hAnsi="宋体" w:cs="宋体" w:eastAsia="宋体" w:hint="default"/>
          <w:sz w:val="21"/>
          <w:szCs w:val="21"/>
        </w:rPr>
      </w:pPr>
      <w:r>
        <w:rPr>
          <w:rFonts w:ascii="宋体" w:hAnsi="宋体" w:cs="宋体" w:eastAsia="宋体" w:hint="default"/>
          <w:spacing w:val="-2"/>
          <w:sz w:val="21"/>
          <w:szCs w:val="21"/>
        </w:rPr>
        <w:t>公司高度重视股东回报。董事会在充分考虑公司盈利状况、债务和现金流水平以及未来发展的资</w:t>
      </w:r>
      <w:r>
        <w:rPr>
          <w:rFonts w:ascii="宋体" w:hAnsi="宋体" w:cs="宋体" w:eastAsia="宋体" w:hint="default"/>
          <w:w w:val="100"/>
          <w:sz w:val="21"/>
          <w:szCs w:val="21"/>
        </w:rPr>
        <w:t> </w:t>
      </w:r>
      <w:r>
        <w:rPr>
          <w:rFonts w:ascii="宋体" w:hAnsi="宋体" w:cs="宋体" w:eastAsia="宋体" w:hint="default"/>
          <w:sz w:val="21"/>
          <w:szCs w:val="21"/>
        </w:rPr>
        <w:t>金需求等因素后，建议派发每股末期股息人民币</w:t>
      </w:r>
      <w:r>
        <w:rPr>
          <w:rFonts w:ascii="宋体" w:hAnsi="宋体" w:cs="宋体" w:eastAsia="宋体" w:hint="default"/>
          <w:spacing w:val="-48"/>
          <w:sz w:val="21"/>
          <w:szCs w:val="21"/>
        </w:rPr>
        <w:t> </w:t>
      </w:r>
      <w:r>
        <w:rPr>
          <w:rFonts w:ascii="宋体" w:hAnsi="宋体" w:cs="宋体" w:eastAsia="宋体" w:hint="default"/>
          <w:sz w:val="21"/>
          <w:szCs w:val="21"/>
        </w:rPr>
        <w:t>0.0604</w:t>
      </w:r>
      <w:r>
        <w:rPr>
          <w:rFonts w:ascii="宋体" w:hAnsi="宋体" w:cs="宋体" w:eastAsia="宋体" w:hint="default"/>
          <w:spacing w:val="-48"/>
          <w:sz w:val="21"/>
          <w:szCs w:val="21"/>
        </w:rPr>
        <w:t> </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而</w:t>
      </w:r>
      <w:r>
        <w:rPr>
          <w:rFonts w:ascii="宋体" w:hAnsi="宋体" w:cs="宋体" w:eastAsia="宋体" w:hint="default"/>
          <w:spacing w:val="-48"/>
          <w:sz w:val="21"/>
          <w:szCs w:val="21"/>
        </w:rPr>
        <w:t> </w:t>
      </w:r>
      <w:r>
        <w:rPr>
          <w:rFonts w:ascii="宋体" w:hAnsi="宋体" w:cs="宋体" w:eastAsia="宋体" w:hint="default"/>
          <w:sz w:val="21"/>
          <w:szCs w:val="21"/>
        </w:rPr>
        <w:t>2018</w:t>
      </w:r>
      <w:r>
        <w:rPr>
          <w:rFonts w:ascii="宋体" w:hAnsi="宋体" w:cs="宋体" w:eastAsia="宋体" w:hint="default"/>
          <w:spacing w:val="-50"/>
          <w:sz w:val="21"/>
          <w:szCs w:val="21"/>
        </w:rPr>
        <w:t> </w:t>
      </w:r>
      <w:r>
        <w:rPr>
          <w:rFonts w:ascii="宋体" w:hAnsi="宋体" w:cs="宋体" w:eastAsia="宋体" w:hint="default"/>
          <w:sz w:val="21"/>
          <w:szCs w:val="21"/>
        </w:rPr>
        <w:t>年度每股派息为人民币</w:t>
      </w:r>
      <w:r>
        <w:rPr>
          <w:rFonts w:ascii="宋体" w:hAnsi="宋体" w:cs="宋体" w:eastAsia="宋体" w:hint="default"/>
          <w:spacing w:val="-50"/>
          <w:sz w:val="21"/>
          <w:szCs w:val="21"/>
        </w:rPr>
        <w:t> </w:t>
      </w:r>
      <w:r>
        <w:rPr>
          <w:rFonts w:ascii="宋体" w:hAnsi="宋体" w:cs="宋体" w:eastAsia="宋体" w:hint="default"/>
          <w:sz w:val="21"/>
          <w:szCs w:val="21"/>
        </w:rPr>
        <w:t>0.0533</w:t>
      </w:r>
      <w:r>
        <w:rPr>
          <w:rFonts w:ascii="宋体" w:hAnsi="宋体" w:cs="宋体" w:eastAsia="宋体" w:hint="default"/>
          <w:w w:val="100"/>
          <w:sz w:val="21"/>
          <w:szCs w:val="21"/>
        </w:rPr>
        <w:t> </w:t>
      </w:r>
      <w:r>
        <w:rPr>
          <w:rFonts w:ascii="宋体" w:hAnsi="宋体" w:cs="宋体" w:eastAsia="宋体" w:hint="default"/>
          <w:sz w:val="21"/>
          <w:szCs w:val="21"/>
        </w:rPr>
        <w:t>元。未来公司将继续努力提升盈利能力和股东回报。</w:t>
      </w:r>
    </w:p>
    <w:p>
      <w:pPr>
        <w:spacing w:before="109"/>
        <w:ind w:left="563" w:right="96"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（二）业务发展</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2"/>
          <w:szCs w:val="12"/>
        </w:rPr>
      </w:pPr>
    </w:p>
    <w:p>
      <w:pPr>
        <w:spacing w:line="314" w:lineRule="auto" w:before="0"/>
        <w:ind w:left="138" w:right="205" w:firstLine="420"/>
        <w:jc w:val="both"/>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12"/>
          <w:sz w:val="21"/>
          <w:szCs w:val="21"/>
        </w:rPr>
        <w:t> </w:t>
      </w:r>
      <w:r>
        <w:rPr>
          <w:rFonts w:ascii="宋体" w:hAnsi="宋体" w:cs="宋体" w:eastAsia="宋体" w:hint="default"/>
          <w:spacing w:val="-4"/>
          <w:sz w:val="21"/>
          <w:szCs w:val="21"/>
        </w:rPr>
        <w:t>年以来，国内通信行业发展步入阵痛期，收入增长乏力，行业价值承压。面对行业发展的新</w:t>
      </w:r>
      <w:r>
        <w:rPr>
          <w:rFonts w:ascii="宋体" w:hAnsi="宋体" w:cs="宋体" w:eastAsia="宋体" w:hint="default"/>
          <w:w w:val="100"/>
          <w:sz w:val="21"/>
          <w:szCs w:val="21"/>
        </w:rPr>
        <w:t> </w:t>
      </w:r>
      <w:r>
        <w:rPr>
          <w:rFonts w:ascii="宋体" w:hAnsi="宋体" w:cs="宋体" w:eastAsia="宋体" w:hint="default"/>
          <w:spacing w:val="-2"/>
          <w:sz w:val="21"/>
          <w:szCs w:val="21"/>
        </w:rPr>
        <w:t>形势和新挑战，公司自下半年起积极调整经营策略，加强自律，坚持理性规范竞争，努力推进经营模</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pacing w:val="-2"/>
          <w:sz w:val="21"/>
          <w:szCs w:val="21"/>
        </w:rPr>
        <w:t>式转型和发展质量提升，加快创新业务能力布局和规模拓展，带动整体主营业务收入逐步实现企稳回</w:t>
      </w:r>
      <w:r>
        <w:rPr>
          <w:rFonts w:ascii="宋体" w:hAnsi="宋体" w:cs="宋体" w:eastAsia="宋体" w:hint="default"/>
          <w:spacing w:val="-52"/>
          <w:sz w:val="21"/>
          <w:szCs w:val="21"/>
        </w:rPr>
        <w:t> </w:t>
      </w:r>
      <w:r>
        <w:rPr>
          <w:rFonts w:ascii="宋体" w:hAnsi="宋体" w:cs="宋体" w:eastAsia="宋体" w:hint="default"/>
          <w:spacing w:val="-52"/>
          <w:sz w:val="21"/>
          <w:szCs w:val="21"/>
        </w:rPr>
      </w:r>
      <w:r>
        <w:rPr>
          <w:rFonts w:ascii="宋体" w:hAnsi="宋体" w:cs="宋体" w:eastAsia="宋体" w:hint="default"/>
          <w:sz w:val="21"/>
          <w:szCs w:val="21"/>
        </w:rPr>
        <w:t>升。</w:t>
      </w:r>
    </w:p>
    <w:p>
      <w:pPr>
        <w:spacing w:before="110"/>
        <w:ind w:left="563" w:right="96"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适时调整移动业务发展策略，促进发展质量提升</w:t>
      </w:r>
      <w:r>
        <w:rPr>
          <w:rFonts w:ascii="Microsoft JhengHei" w:hAnsi="Microsoft JhengHei" w:cs="Microsoft JhengHei" w:eastAsia="Microsoft JhengHei" w:hint="default"/>
          <w:sz w:val="21"/>
          <w:szCs w:val="21"/>
        </w:rPr>
      </w:r>
    </w:p>
    <w:p>
      <w:pPr>
        <w:spacing w:line="360" w:lineRule="exact" w:before="174"/>
        <w:ind w:left="138" w:right="96" w:firstLine="42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47"/>
          <w:sz w:val="21"/>
          <w:szCs w:val="21"/>
        </w:rPr>
        <w:t> </w:t>
      </w:r>
      <w:r>
        <w:rPr>
          <w:rFonts w:ascii="宋体" w:hAnsi="宋体" w:cs="宋体" w:eastAsia="宋体" w:hint="default"/>
          <w:sz w:val="21"/>
          <w:szCs w:val="21"/>
        </w:rPr>
        <w:t>年，公司移动业务发展受到提速降费、市场饱和、激烈市场竞争以及</w:t>
      </w:r>
      <w:r>
        <w:rPr>
          <w:rFonts w:ascii="宋体" w:hAnsi="宋体" w:cs="宋体" w:eastAsia="宋体" w:hint="default"/>
          <w:spacing w:val="-47"/>
          <w:sz w:val="21"/>
          <w:szCs w:val="21"/>
        </w:rPr>
        <w:t> </w:t>
      </w:r>
      <w:r>
        <w:rPr>
          <w:rFonts w:ascii="宋体" w:hAnsi="宋体" w:cs="宋体" w:eastAsia="宋体" w:hint="default"/>
          <w:sz w:val="21"/>
          <w:szCs w:val="21"/>
        </w:rPr>
        <w:t>4G</w:t>
      </w:r>
      <w:r>
        <w:rPr>
          <w:rFonts w:ascii="宋体" w:hAnsi="宋体" w:cs="宋体" w:eastAsia="宋体" w:hint="default"/>
          <w:spacing w:val="-46"/>
          <w:sz w:val="21"/>
          <w:szCs w:val="21"/>
        </w:rPr>
        <w:t> </w:t>
      </w:r>
      <w:r>
        <w:rPr>
          <w:rFonts w:ascii="宋体" w:hAnsi="宋体" w:cs="宋体" w:eastAsia="宋体" w:hint="default"/>
          <w:sz w:val="21"/>
          <w:szCs w:val="21"/>
        </w:rPr>
        <w:t>流量红利逐步消退</w:t>
      </w:r>
      <w:r>
        <w:rPr>
          <w:rFonts w:ascii="宋体" w:hAnsi="宋体" w:cs="宋体" w:eastAsia="宋体" w:hint="default"/>
          <w:w w:val="100"/>
          <w:sz w:val="21"/>
          <w:szCs w:val="21"/>
        </w:rPr>
        <w:t> </w:t>
      </w:r>
      <w:r>
        <w:rPr>
          <w:rFonts w:ascii="宋体" w:hAnsi="宋体" w:cs="宋体" w:eastAsia="宋体" w:hint="default"/>
          <w:spacing w:val="-2"/>
          <w:sz w:val="21"/>
          <w:szCs w:val="21"/>
        </w:rPr>
        <w:t>的严峻挑战。公司积极调整策略，坚持差异化发展，深入推进互联网化运营转型，将发展重点由专注</w:t>
      </w:r>
      <w:r>
        <w:rPr>
          <w:rFonts w:ascii="宋体" w:hAnsi="宋体" w:cs="宋体" w:eastAsia="宋体" w:hint="default"/>
          <w:spacing w:val="-52"/>
          <w:sz w:val="21"/>
          <w:szCs w:val="21"/>
        </w:rPr>
        <w:t> </w:t>
      </w:r>
      <w:r>
        <w:rPr>
          <w:rFonts w:ascii="宋体" w:hAnsi="宋体" w:cs="宋体" w:eastAsia="宋体" w:hint="default"/>
          <w:spacing w:val="-52"/>
          <w:sz w:val="21"/>
          <w:szCs w:val="21"/>
        </w:rPr>
      </w:r>
      <w:r>
        <w:rPr>
          <w:rFonts w:ascii="宋体" w:hAnsi="宋体" w:cs="宋体" w:eastAsia="宋体" w:hint="default"/>
          <w:spacing w:val="-2"/>
          <w:sz w:val="21"/>
          <w:szCs w:val="21"/>
        </w:rPr>
        <w:t>发展数量全面转向提升发展质量，维护公司价值。坚持理性规范竞争，严控营销成本、清理无效低效</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pacing w:val="-5"/>
          <w:sz w:val="21"/>
          <w:szCs w:val="21"/>
        </w:rPr>
        <w:t>产品和渠道；集中资源积极发展中高端差异化产品；以大数据为驱动精准获取新用户、精耕存量用户；</w:t>
      </w:r>
      <w:r>
        <w:rPr>
          <w:rFonts w:ascii="宋体" w:hAnsi="宋体" w:cs="宋体" w:eastAsia="宋体" w:hint="default"/>
          <w:spacing w:val="-23"/>
          <w:sz w:val="21"/>
          <w:szCs w:val="21"/>
        </w:rPr>
        <w:t> </w:t>
      </w:r>
      <w:r>
        <w:rPr>
          <w:rFonts w:ascii="宋体" w:hAnsi="宋体" w:cs="宋体" w:eastAsia="宋体" w:hint="default"/>
          <w:spacing w:val="-23"/>
          <w:sz w:val="21"/>
          <w:szCs w:val="21"/>
        </w:rPr>
      </w:r>
      <w:r>
        <w:rPr>
          <w:rFonts w:ascii="宋体" w:hAnsi="宋体" w:cs="宋体" w:eastAsia="宋体" w:hint="default"/>
          <w:spacing w:val="-4"/>
          <w:sz w:val="21"/>
          <w:szCs w:val="21"/>
        </w:rPr>
        <w:t>积极应对携号转网，以差异化产品和服务提升用户感知；率先发布“5G</w:t>
      </w:r>
      <w:r>
        <w:rPr>
          <w:rFonts w:ascii="微软雅黑" w:hAnsi="微软雅黑" w:cs="微软雅黑" w:eastAsia="微软雅黑" w:hint="default"/>
          <w:spacing w:val="-4"/>
          <w:sz w:val="21"/>
          <w:szCs w:val="21"/>
        </w:rPr>
        <w:t>ⁿ</w:t>
      </w:r>
      <w:r>
        <w:rPr>
          <w:rFonts w:ascii="宋体" w:hAnsi="宋体" w:cs="宋体" w:eastAsia="宋体" w:hint="default"/>
          <w:spacing w:val="-4"/>
          <w:sz w:val="21"/>
          <w:szCs w:val="21"/>
        </w:rPr>
        <w:t>” 品牌，引领用户消费升级，</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促进用户价值回升。</w:t>
      </w:r>
    </w:p>
    <w:p>
      <w:pPr>
        <w:spacing w:line="240" w:lineRule="auto" w:before="2"/>
        <w:rPr>
          <w:rFonts w:ascii="宋体" w:hAnsi="宋体" w:cs="宋体" w:eastAsia="宋体" w:hint="default"/>
          <w:sz w:val="15"/>
          <w:szCs w:val="15"/>
        </w:rPr>
      </w:pPr>
    </w:p>
    <w:p>
      <w:pPr>
        <w:spacing w:before="0"/>
        <w:ind w:left="558" w:right="96" w:firstLine="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34"/>
          <w:sz w:val="21"/>
          <w:szCs w:val="21"/>
        </w:rPr>
        <w:t> </w:t>
      </w:r>
      <w:r>
        <w:rPr>
          <w:rFonts w:ascii="宋体" w:hAnsi="宋体" w:cs="宋体" w:eastAsia="宋体" w:hint="default"/>
          <w:sz w:val="21"/>
          <w:szCs w:val="21"/>
        </w:rPr>
        <w:t>年，公司移动主营业务收入实现人民币</w:t>
      </w:r>
      <w:r>
        <w:rPr>
          <w:rFonts w:ascii="宋体" w:hAnsi="宋体" w:cs="宋体" w:eastAsia="宋体" w:hint="default"/>
          <w:spacing w:val="-33"/>
          <w:sz w:val="21"/>
          <w:szCs w:val="21"/>
        </w:rPr>
        <w:t> </w:t>
      </w:r>
      <w:r>
        <w:rPr>
          <w:rFonts w:ascii="宋体" w:hAnsi="宋体" w:cs="宋体" w:eastAsia="宋体" w:hint="default"/>
          <w:sz w:val="21"/>
          <w:szCs w:val="21"/>
        </w:rPr>
        <w:t>1,564</w:t>
      </w:r>
      <w:r>
        <w:rPr>
          <w:rFonts w:ascii="宋体" w:hAnsi="宋体" w:cs="宋体" w:eastAsia="宋体" w:hint="default"/>
          <w:spacing w:val="-36"/>
          <w:sz w:val="21"/>
          <w:szCs w:val="21"/>
        </w:rPr>
        <w:t> </w:t>
      </w:r>
      <w:r>
        <w:rPr>
          <w:rFonts w:ascii="宋体" w:hAnsi="宋体" w:cs="宋体" w:eastAsia="宋体" w:hint="default"/>
          <w:sz w:val="21"/>
          <w:szCs w:val="21"/>
        </w:rPr>
        <w:t>亿元，同比下降</w:t>
      </w:r>
      <w:r>
        <w:rPr>
          <w:rFonts w:ascii="宋体" w:hAnsi="宋体" w:cs="宋体" w:eastAsia="宋体" w:hint="default"/>
          <w:spacing w:val="-36"/>
          <w:sz w:val="21"/>
          <w:szCs w:val="21"/>
        </w:rPr>
        <w:t> </w:t>
      </w:r>
      <w:r>
        <w:rPr>
          <w:rFonts w:ascii="宋体" w:hAnsi="宋体" w:cs="宋体" w:eastAsia="宋体" w:hint="default"/>
          <w:sz w:val="21"/>
          <w:szCs w:val="21"/>
        </w:rPr>
        <w:t>5.3%</w:t>
      </w:r>
      <w:r>
        <w:rPr>
          <w:rFonts w:ascii="宋体" w:hAnsi="宋体" w:cs="宋体" w:eastAsia="宋体" w:hint="default"/>
          <w:sz w:val="21"/>
          <w:szCs w:val="21"/>
        </w:rPr>
        <w:t>，降幅较首三季度逐步</w:t>
      </w:r>
    </w:p>
    <w:p>
      <w:pPr>
        <w:spacing w:line="314" w:lineRule="auto" w:before="85"/>
        <w:ind w:left="138" w:right="96" w:firstLine="0"/>
        <w:jc w:val="left"/>
        <w:rPr>
          <w:rFonts w:ascii="宋体" w:hAnsi="宋体" w:cs="宋体" w:eastAsia="宋体" w:hint="default"/>
          <w:sz w:val="21"/>
          <w:szCs w:val="21"/>
        </w:rPr>
      </w:pPr>
      <w:r>
        <w:rPr>
          <w:rFonts w:ascii="宋体" w:hAnsi="宋体" w:cs="宋体" w:eastAsia="宋体" w:hint="default"/>
          <w:spacing w:val="-8"/>
          <w:sz w:val="21"/>
          <w:szCs w:val="21"/>
        </w:rPr>
        <w:t>趋缓。移动出账用户净增</w:t>
      </w:r>
      <w:r>
        <w:rPr>
          <w:rFonts w:ascii="宋体" w:hAnsi="宋体" w:cs="宋体" w:eastAsia="宋体" w:hint="default"/>
          <w:spacing w:val="-50"/>
          <w:sz w:val="21"/>
          <w:szCs w:val="21"/>
        </w:rPr>
        <w:t> </w:t>
      </w:r>
      <w:r>
        <w:rPr>
          <w:rFonts w:ascii="宋体" w:hAnsi="宋体" w:cs="宋体" w:eastAsia="宋体" w:hint="default"/>
          <w:sz w:val="21"/>
          <w:szCs w:val="21"/>
        </w:rPr>
        <w:t>344</w:t>
      </w:r>
      <w:r>
        <w:rPr>
          <w:rFonts w:ascii="宋体" w:hAnsi="宋体" w:cs="宋体" w:eastAsia="宋体" w:hint="default"/>
          <w:spacing w:val="-49"/>
          <w:sz w:val="21"/>
          <w:szCs w:val="21"/>
        </w:rPr>
        <w:t> </w:t>
      </w:r>
      <w:r>
        <w:rPr>
          <w:rFonts w:ascii="宋体" w:hAnsi="宋体" w:cs="宋体" w:eastAsia="宋体" w:hint="default"/>
          <w:spacing w:val="-12"/>
          <w:sz w:val="21"/>
          <w:szCs w:val="21"/>
        </w:rPr>
        <w:t>万户，总数达到</w:t>
      </w:r>
      <w:r>
        <w:rPr>
          <w:rFonts w:ascii="宋体" w:hAnsi="宋体" w:cs="宋体" w:eastAsia="宋体" w:hint="default"/>
          <w:spacing w:val="-50"/>
          <w:sz w:val="21"/>
          <w:szCs w:val="21"/>
        </w:rPr>
        <w:t> </w:t>
      </w:r>
      <w:r>
        <w:rPr>
          <w:rFonts w:ascii="宋体" w:hAnsi="宋体" w:cs="宋体" w:eastAsia="宋体" w:hint="default"/>
          <w:sz w:val="21"/>
          <w:szCs w:val="21"/>
        </w:rPr>
        <w:t>3.18</w:t>
      </w:r>
      <w:r>
        <w:rPr>
          <w:rFonts w:ascii="宋体" w:hAnsi="宋体" w:cs="宋体" w:eastAsia="宋体" w:hint="default"/>
          <w:spacing w:val="-52"/>
          <w:sz w:val="21"/>
          <w:szCs w:val="21"/>
        </w:rPr>
        <w:t> </w:t>
      </w:r>
      <w:r>
        <w:rPr>
          <w:rFonts w:ascii="宋体" w:hAnsi="宋体" w:cs="宋体" w:eastAsia="宋体" w:hint="default"/>
          <w:spacing w:val="-16"/>
          <w:sz w:val="21"/>
          <w:szCs w:val="21"/>
        </w:rPr>
        <w:t>亿户；其中</w:t>
      </w:r>
      <w:r>
        <w:rPr>
          <w:rFonts w:ascii="宋体" w:hAnsi="宋体" w:cs="宋体" w:eastAsia="宋体" w:hint="default"/>
          <w:spacing w:val="-49"/>
          <w:sz w:val="21"/>
          <w:szCs w:val="21"/>
        </w:rPr>
        <w:t> </w:t>
      </w:r>
      <w:r>
        <w:rPr>
          <w:rFonts w:ascii="宋体" w:hAnsi="宋体" w:cs="宋体" w:eastAsia="宋体" w:hint="default"/>
          <w:sz w:val="21"/>
          <w:szCs w:val="21"/>
        </w:rPr>
        <w:t>4G</w:t>
      </w:r>
      <w:r>
        <w:rPr>
          <w:rFonts w:ascii="宋体" w:hAnsi="宋体" w:cs="宋体" w:eastAsia="宋体" w:hint="default"/>
          <w:spacing w:val="-50"/>
          <w:sz w:val="21"/>
          <w:szCs w:val="21"/>
        </w:rPr>
        <w:t> </w:t>
      </w:r>
      <w:r>
        <w:rPr>
          <w:rFonts w:ascii="宋体" w:hAnsi="宋体" w:cs="宋体" w:eastAsia="宋体" w:hint="default"/>
          <w:sz w:val="21"/>
          <w:szCs w:val="21"/>
        </w:rPr>
        <w:t>用户净增</w:t>
      </w:r>
      <w:r>
        <w:rPr>
          <w:rFonts w:ascii="宋体" w:hAnsi="宋体" w:cs="宋体" w:eastAsia="宋体" w:hint="default"/>
          <w:spacing w:val="-50"/>
          <w:sz w:val="21"/>
          <w:szCs w:val="21"/>
        </w:rPr>
        <w:t> </w:t>
      </w:r>
      <w:r>
        <w:rPr>
          <w:rFonts w:ascii="宋体" w:hAnsi="宋体" w:cs="宋体" w:eastAsia="宋体" w:hint="default"/>
          <w:sz w:val="21"/>
          <w:szCs w:val="21"/>
        </w:rPr>
        <w:t>3,384</w:t>
      </w:r>
      <w:r>
        <w:rPr>
          <w:rFonts w:ascii="宋体" w:hAnsi="宋体" w:cs="宋体" w:eastAsia="宋体" w:hint="default"/>
          <w:spacing w:val="-50"/>
          <w:sz w:val="21"/>
          <w:szCs w:val="21"/>
        </w:rPr>
        <w:t> </w:t>
      </w:r>
      <w:r>
        <w:rPr>
          <w:rFonts w:ascii="宋体" w:hAnsi="宋体" w:cs="宋体" w:eastAsia="宋体" w:hint="default"/>
          <w:spacing w:val="-12"/>
          <w:sz w:val="21"/>
          <w:szCs w:val="21"/>
        </w:rPr>
        <w:t>万户，总数达到</w:t>
      </w:r>
      <w:r>
        <w:rPr>
          <w:rFonts w:ascii="宋体" w:hAnsi="宋体" w:cs="宋体" w:eastAsia="宋体" w:hint="default"/>
          <w:spacing w:val="-49"/>
          <w:sz w:val="21"/>
          <w:szCs w:val="21"/>
        </w:rPr>
        <w:t> </w:t>
      </w:r>
      <w:r>
        <w:rPr>
          <w:rFonts w:ascii="宋体" w:hAnsi="宋体" w:cs="宋体" w:eastAsia="宋体" w:hint="default"/>
          <w:sz w:val="21"/>
          <w:szCs w:val="21"/>
        </w:rPr>
        <w:t>2.54</w:t>
      </w:r>
      <w:r>
        <w:rPr>
          <w:rFonts w:ascii="宋体" w:hAnsi="宋体" w:cs="宋体" w:eastAsia="宋体" w:hint="default"/>
          <w:w w:val="100"/>
          <w:sz w:val="21"/>
          <w:szCs w:val="21"/>
        </w:rPr>
        <w:t> </w:t>
      </w:r>
      <w:r>
        <w:rPr>
          <w:rFonts w:ascii="宋体" w:hAnsi="宋体" w:cs="宋体" w:eastAsia="宋体" w:hint="default"/>
          <w:sz w:val="21"/>
          <w:szCs w:val="21"/>
        </w:rPr>
        <w:t>亿户，占移动出账用户比例达到</w:t>
      </w:r>
      <w:r>
        <w:rPr>
          <w:rFonts w:ascii="宋体" w:hAnsi="宋体" w:cs="宋体" w:eastAsia="宋体" w:hint="default"/>
          <w:spacing w:val="-54"/>
          <w:sz w:val="21"/>
          <w:szCs w:val="21"/>
        </w:rPr>
        <w:t> </w:t>
      </w:r>
      <w:r>
        <w:rPr>
          <w:rFonts w:ascii="宋体" w:hAnsi="宋体" w:cs="宋体" w:eastAsia="宋体" w:hint="default"/>
          <w:sz w:val="21"/>
          <w:szCs w:val="21"/>
        </w:rPr>
        <w:t>80%</w:t>
      </w:r>
      <w:r>
        <w:rPr>
          <w:rFonts w:ascii="宋体" w:hAnsi="宋体" w:cs="宋体" w:eastAsia="宋体" w:hint="default"/>
          <w:sz w:val="21"/>
          <w:szCs w:val="21"/>
        </w:rPr>
        <w:t>，同比提升</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6"/>
          <w:sz w:val="21"/>
          <w:szCs w:val="21"/>
        </w:rPr>
        <w:t> </w:t>
      </w:r>
      <w:r>
        <w:rPr>
          <w:rFonts w:ascii="宋体" w:hAnsi="宋体" w:cs="宋体" w:eastAsia="宋体" w:hint="default"/>
          <w:sz w:val="21"/>
          <w:szCs w:val="21"/>
        </w:rPr>
        <w:t>个百分点，移动用户结构持续改善。</w:t>
      </w:r>
    </w:p>
    <w:p>
      <w:pPr>
        <w:spacing w:after="0" w:line="314" w:lineRule="auto"/>
        <w:jc w:val="left"/>
        <w:rPr>
          <w:rFonts w:ascii="宋体" w:hAnsi="宋体" w:cs="宋体" w:eastAsia="宋体" w:hint="default"/>
          <w:sz w:val="21"/>
          <w:szCs w:val="21"/>
        </w:rPr>
        <w:sectPr>
          <w:footerReference w:type="default" r:id="rId22"/>
          <w:pgSz w:w="11910" w:h="16840"/>
          <w:pgMar w:footer="502" w:header="854" w:top="1360" w:bottom="700" w:left="1280" w:right="1060"/>
        </w:sectPr>
      </w:pPr>
    </w:p>
    <w:p>
      <w:pPr>
        <w:spacing w:line="240" w:lineRule="auto" w:before="13"/>
        <w:rPr>
          <w:rFonts w:ascii="宋体" w:hAnsi="宋体" w:cs="宋体" w:eastAsia="宋体" w:hint="default"/>
          <w:sz w:val="12"/>
          <w:szCs w:val="12"/>
        </w:rPr>
      </w:pPr>
    </w:p>
    <w:p>
      <w:pPr>
        <w:spacing w:line="314" w:lineRule="auto" w:before="36"/>
        <w:ind w:left="138" w:right="96" w:firstLine="420"/>
        <w:jc w:val="left"/>
        <w:rPr>
          <w:rFonts w:ascii="宋体" w:hAnsi="宋体" w:cs="宋体" w:eastAsia="宋体" w:hint="default"/>
          <w:sz w:val="21"/>
          <w:szCs w:val="21"/>
        </w:rPr>
      </w:pPr>
      <w:r>
        <w:rPr>
          <w:rFonts w:ascii="宋体" w:hAnsi="宋体" w:cs="宋体" w:eastAsia="宋体" w:hint="default"/>
          <w:spacing w:val="-3"/>
          <w:sz w:val="21"/>
          <w:szCs w:val="21"/>
        </w:rPr>
        <w:t>公司持续落实“提速降费”政策，手机上网流量单价同比大幅下降，手机上网总流量和手机用户</w:t>
      </w:r>
      <w:r>
        <w:rPr>
          <w:rFonts w:ascii="宋体" w:hAnsi="宋体" w:cs="宋体" w:eastAsia="宋体" w:hint="default"/>
          <w:w w:val="100"/>
          <w:sz w:val="21"/>
          <w:szCs w:val="21"/>
        </w:rPr>
        <w:t> </w:t>
      </w:r>
      <w:r>
        <w:rPr>
          <w:rFonts w:ascii="宋体" w:hAnsi="宋体" w:cs="宋体" w:eastAsia="宋体" w:hint="default"/>
          <w:spacing w:val="-7"/>
          <w:w w:val="100"/>
          <w:sz w:val="21"/>
          <w:szCs w:val="21"/>
        </w:rPr>
        <w:t>月户均数据流量持续显著增长。</w:t>
      </w:r>
      <w:r>
        <w:rPr>
          <w:rFonts w:ascii="宋体" w:hAnsi="宋体" w:cs="宋体" w:eastAsia="宋体" w:hint="default"/>
          <w:spacing w:val="-7"/>
          <w:w w:val="100"/>
          <w:sz w:val="21"/>
          <w:szCs w:val="21"/>
        </w:rPr>
        <w:t>2019</w:t>
      </w:r>
      <w:r>
        <w:rPr>
          <w:rFonts w:ascii="宋体" w:hAnsi="宋体" w:cs="宋体" w:eastAsia="宋体" w:hint="default"/>
          <w:spacing w:val="-45"/>
          <w:w w:val="100"/>
          <w:sz w:val="21"/>
          <w:szCs w:val="21"/>
        </w:rPr>
        <w:t> </w:t>
      </w:r>
      <w:r>
        <w:rPr>
          <w:rFonts w:ascii="宋体" w:hAnsi="宋体" w:cs="宋体" w:eastAsia="宋体" w:hint="default"/>
          <w:spacing w:val="-11"/>
          <w:w w:val="100"/>
          <w:sz w:val="21"/>
          <w:szCs w:val="21"/>
        </w:rPr>
        <w:t>年，手机上网总流量增长</w:t>
      </w:r>
      <w:r>
        <w:rPr>
          <w:rFonts w:ascii="宋体" w:hAnsi="宋体" w:cs="宋体" w:eastAsia="宋体" w:hint="default"/>
          <w:spacing w:val="-45"/>
          <w:w w:val="100"/>
          <w:sz w:val="21"/>
          <w:szCs w:val="21"/>
        </w:rPr>
        <w:t> </w:t>
      </w:r>
      <w:r>
        <w:rPr>
          <w:rFonts w:ascii="宋体" w:hAnsi="宋体" w:cs="宋体" w:eastAsia="宋体" w:hint="default"/>
          <w:spacing w:val="-8"/>
          <w:w w:val="100"/>
          <w:sz w:val="21"/>
          <w:szCs w:val="21"/>
        </w:rPr>
        <w:t>46%</w:t>
      </w:r>
      <w:r>
        <w:rPr>
          <w:rFonts w:ascii="宋体" w:hAnsi="宋体" w:cs="宋体" w:eastAsia="宋体" w:hint="default"/>
          <w:spacing w:val="-8"/>
          <w:w w:val="100"/>
          <w:sz w:val="21"/>
          <w:szCs w:val="21"/>
        </w:rPr>
        <w:t>，手机用户月户均数据流量达到</w:t>
      </w:r>
      <w:r>
        <w:rPr>
          <w:rFonts w:ascii="宋体" w:hAnsi="宋体" w:cs="宋体" w:eastAsia="宋体" w:hint="default"/>
          <w:spacing w:val="-45"/>
          <w:w w:val="100"/>
          <w:sz w:val="21"/>
          <w:szCs w:val="21"/>
        </w:rPr>
        <w:t> </w:t>
      </w:r>
      <w:r>
        <w:rPr>
          <w:rFonts w:ascii="宋体" w:hAnsi="宋体" w:cs="宋体" w:eastAsia="宋体" w:hint="default"/>
          <w:spacing w:val="-1"/>
          <w:w w:val="100"/>
          <w:sz w:val="21"/>
          <w:szCs w:val="21"/>
        </w:rPr>
        <w:t>8GB</w:t>
      </w:r>
      <w:r>
        <w:rPr>
          <w:rFonts w:ascii="宋体" w:hAnsi="宋体" w:cs="宋体" w:eastAsia="宋体" w:hint="default"/>
          <w:spacing w:val="-1"/>
          <w:w w:val="100"/>
          <w:sz w:val="21"/>
          <w:szCs w:val="21"/>
        </w:rPr>
        <w:t>；</w:t>
      </w:r>
      <w:r>
        <w:rPr>
          <w:rFonts w:ascii="宋体" w:hAnsi="宋体" w:cs="宋体" w:eastAsia="宋体" w:hint="default"/>
          <w:spacing w:val="-101"/>
          <w:w w:val="100"/>
          <w:sz w:val="21"/>
          <w:szCs w:val="21"/>
        </w:rPr>
        <w:t> </w:t>
      </w:r>
      <w:r>
        <w:rPr>
          <w:rFonts w:ascii="宋体" w:hAnsi="宋体" w:cs="宋体" w:eastAsia="宋体" w:hint="default"/>
          <w:sz w:val="21"/>
          <w:szCs w:val="21"/>
        </w:rPr>
        <w:t>手机上网收入达到人民币</w:t>
      </w:r>
      <w:r>
        <w:rPr>
          <w:rFonts w:ascii="宋体" w:hAnsi="宋体" w:cs="宋体" w:eastAsia="宋体" w:hint="default"/>
          <w:spacing w:val="-55"/>
          <w:sz w:val="21"/>
          <w:szCs w:val="21"/>
        </w:rPr>
        <w:t> </w:t>
      </w:r>
      <w:r>
        <w:rPr>
          <w:rFonts w:ascii="宋体" w:hAnsi="宋体" w:cs="宋体" w:eastAsia="宋体" w:hint="default"/>
          <w:sz w:val="21"/>
          <w:szCs w:val="21"/>
        </w:rPr>
        <w:t>1,028</w:t>
      </w:r>
      <w:r>
        <w:rPr>
          <w:rFonts w:ascii="宋体" w:hAnsi="宋体" w:cs="宋体" w:eastAsia="宋体" w:hint="default"/>
          <w:spacing w:val="-55"/>
          <w:sz w:val="21"/>
          <w:szCs w:val="21"/>
        </w:rPr>
        <w:t> </w:t>
      </w:r>
      <w:r>
        <w:rPr>
          <w:rFonts w:ascii="宋体" w:hAnsi="宋体" w:cs="宋体" w:eastAsia="宋体" w:hint="default"/>
          <w:sz w:val="21"/>
          <w:szCs w:val="21"/>
        </w:rPr>
        <w:t>亿元。</w:t>
      </w:r>
    </w:p>
    <w:p>
      <w:pPr>
        <w:spacing w:line="381" w:lineRule="auto" w:before="109"/>
        <w:ind w:left="558" w:right="96" w:firstLine="4"/>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打造宽带业务差异化优势，家庭市场取得新突破</w:t>
      </w:r>
      <w:r>
        <w:rPr>
          <w:rFonts w:ascii="Microsoft JhengHei" w:hAnsi="Microsoft JhengHei" w:cs="Microsoft JhengHei" w:eastAsia="Microsoft JhengHei" w:hint="default"/>
          <w:b/>
          <w:bCs/>
          <w:spacing w:val="-41"/>
          <w:sz w:val="21"/>
          <w:szCs w:val="21"/>
        </w:rPr>
        <w:t> </w:t>
      </w:r>
      <w:r>
        <w:rPr>
          <w:rFonts w:ascii="Microsoft JhengHei" w:hAnsi="Microsoft JhengHei" w:cs="Microsoft JhengHei" w:eastAsia="Microsoft JhengHei" w:hint="default"/>
          <w:b/>
          <w:bCs/>
          <w:spacing w:val="-41"/>
          <w:sz w:val="21"/>
          <w:szCs w:val="21"/>
        </w:rPr>
      </w:r>
      <w:r>
        <w:rPr>
          <w:rFonts w:ascii="宋体" w:hAnsi="宋体" w:cs="宋体" w:eastAsia="宋体" w:hint="default"/>
          <w:spacing w:val="-3"/>
          <w:sz w:val="21"/>
          <w:szCs w:val="21"/>
        </w:rPr>
        <w:t>面对异常激烈的宽带市场竞争，公司坚持理性规范竞争，持续打造高速带宽和融合产品的突出优</w:t>
      </w:r>
    </w:p>
    <w:p>
      <w:pPr>
        <w:spacing w:line="236" w:lineRule="exact" w:before="0"/>
        <w:ind w:left="138" w:right="0" w:firstLine="0"/>
        <w:jc w:val="both"/>
        <w:rPr>
          <w:rFonts w:ascii="宋体" w:hAnsi="宋体" w:cs="宋体" w:eastAsia="宋体" w:hint="default"/>
          <w:sz w:val="21"/>
          <w:szCs w:val="21"/>
        </w:rPr>
      </w:pPr>
      <w:r>
        <w:rPr>
          <w:rFonts w:ascii="宋体" w:hAnsi="宋体" w:cs="宋体" w:eastAsia="宋体" w:hint="default"/>
          <w:sz w:val="21"/>
          <w:szCs w:val="21"/>
        </w:rPr>
        <w:t>势积极应对挑战。年内，在重点城市发力千兆宽带，积极拓展 </w:t>
      </w:r>
      <w:r>
        <w:rPr>
          <w:rFonts w:ascii="宋体" w:hAnsi="宋体" w:cs="宋体" w:eastAsia="宋体" w:hint="default"/>
          <w:sz w:val="21"/>
          <w:szCs w:val="21"/>
        </w:rPr>
        <w:t>2I2H</w:t>
      </w:r>
      <w:r>
        <w:rPr>
          <w:rFonts w:ascii="宋体" w:hAnsi="宋体" w:cs="宋体" w:eastAsia="宋体" w:hint="default"/>
          <w:sz w:val="21"/>
          <w:szCs w:val="21"/>
        </w:rPr>
        <w:t>、</w:t>
      </w:r>
      <w:r>
        <w:rPr>
          <w:rFonts w:ascii="宋体" w:hAnsi="宋体" w:cs="宋体" w:eastAsia="宋体" w:hint="default"/>
          <w:sz w:val="21"/>
          <w:szCs w:val="21"/>
        </w:rPr>
        <w:t>2B2H</w:t>
      </w:r>
      <w:r>
        <w:rPr>
          <w:rFonts w:ascii="宋体" w:hAnsi="宋体" w:cs="宋体" w:eastAsia="宋体" w:hint="default"/>
          <w:spacing w:val="-34"/>
          <w:sz w:val="21"/>
          <w:szCs w:val="21"/>
        </w:rPr>
        <w:t> </w:t>
      </w:r>
      <w:r>
        <w:rPr>
          <w:rFonts w:ascii="宋体" w:hAnsi="宋体" w:cs="宋体" w:eastAsia="宋体" w:hint="default"/>
          <w:sz w:val="21"/>
          <w:szCs w:val="21"/>
        </w:rPr>
        <w:t>等新型宽带营销模式，面</w:t>
      </w:r>
    </w:p>
    <w:p>
      <w:pPr>
        <w:spacing w:line="314" w:lineRule="auto" w:before="85"/>
        <w:ind w:left="138" w:right="205" w:firstLine="0"/>
        <w:jc w:val="both"/>
        <w:rPr>
          <w:rFonts w:ascii="宋体" w:hAnsi="宋体" w:cs="宋体" w:eastAsia="宋体" w:hint="default"/>
          <w:sz w:val="21"/>
          <w:szCs w:val="21"/>
        </w:rPr>
      </w:pPr>
      <w:r>
        <w:rPr>
          <w:rFonts w:ascii="宋体" w:hAnsi="宋体" w:cs="宋体" w:eastAsia="宋体" w:hint="default"/>
          <w:spacing w:val="-2"/>
          <w:sz w:val="21"/>
          <w:szCs w:val="21"/>
        </w:rPr>
        <w:t>向家庭用户规模推广“沃家固话”“沃家神眼”“沃家电视”“沃家组网”等智慧家庭产品，集中开</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展“固网宽带</w:t>
      </w:r>
      <w:r>
        <w:rPr>
          <w:rFonts w:ascii="宋体" w:hAnsi="宋体" w:cs="宋体" w:eastAsia="宋体" w:hint="default"/>
          <w:sz w:val="21"/>
          <w:szCs w:val="21"/>
        </w:rPr>
        <w:t>+</w:t>
      </w:r>
      <w:r>
        <w:rPr>
          <w:rFonts w:ascii="宋体" w:hAnsi="宋体" w:cs="宋体" w:eastAsia="宋体" w:hint="default"/>
          <w:sz w:val="21"/>
          <w:szCs w:val="21"/>
        </w:rPr>
        <w:t>移网号码</w:t>
      </w:r>
      <w:r>
        <w:rPr>
          <w:rFonts w:ascii="宋体" w:hAnsi="宋体" w:cs="宋体" w:eastAsia="宋体" w:hint="default"/>
          <w:sz w:val="21"/>
          <w:szCs w:val="21"/>
        </w:rPr>
        <w:t>+</w:t>
      </w:r>
      <w:r>
        <w:rPr>
          <w:rFonts w:ascii="宋体" w:hAnsi="宋体" w:cs="宋体" w:eastAsia="宋体" w:hint="default"/>
          <w:sz w:val="21"/>
          <w:szCs w:val="21"/>
        </w:rPr>
        <w:t>智慧硬件”融合发展，促进业务相互拉动增长。</w:t>
      </w:r>
    </w:p>
    <w:p>
      <w:pPr>
        <w:spacing w:line="314" w:lineRule="auto" w:before="176"/>
        <w:ind w:left="138" w:right="205" w:firstLine="420"/>
        <w:jc w:val="both"/>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31"/>
          <w:sz w:val="21"/>
          <w:szCs w:val="21"/>
        </w:rPr>
        <w:t> </w:t>
      </w:r>
      <w:r>
        <w:rPr>
          <w:rFonts w:ascii="宋体" w:hAnsi="宋体" w:cs="宋体" w:eastAsia="宋体" w:hint="default"/>
          <w:sz w:val="21"/>
          <w:szCs w:val="21"/>
        </w:rPr>
        <w:t>年，公司固网宽带接入收入同比下降</w:t>
      </w:r>
      <w:r>
        <w:rPr>
          <w:rFonts w:ascii="宋体" w:hAnsi="宋体" w:cs="宋体" w:eastAsia="宋体" w:hint="default"/>
          <w:spacing w:val="-29"/>
          <w:sz w:val="21"/>
          <w:szCs w:val="21"/>
        </w:rPr>
        <w:t> </w:t>
      </w:r>
      <w:r>
        <w:rPr>
          <w:rFonts w:ascii="宋体" w:hAnsi="宋体" w:cs="宋体" w:eastAsia="宋体" w:hint="default"/>
          <w:sz w:val="21"/>
          <w:szCs w:val="21"/>
        </w:rPr>
        <w:t>1.7%</w:t>
      </w:r>
      <w:r>
        <w:rPr>
          <w:rFonts w:ascii="宋体" w:hAnsi="宋体" w:cs="宋体" w:eastAsia="宋体" w:hint="default"/>
          <w:sz w:val="21"/>
          <w:szCs w:val="21"/>
        </w:rPr>
        <w:t>，达到人民币</w:t>
      </w:r>
      <w:r>
        <w:rPr>
          <w:rFonts w:ascii="宋体" w:hAnsi="宋体" w:cs="宋体" w:eastAsia="宋体" w:hint="default"/>
          <w:spacing w:val="-29"/>
          <w:sz w:val="21"/>
          <w:szCs w:val="21"/>
        </w:rPr>
        <w:t> </w:t>
      </w:r>
      <w:r>
        <w:rPr>
          <w:rFonts w:ascii="宋体" w:hAnsi="宋体" w:cs="宋体" w:eastAsia="宋体" w:hint="default"/>
          <w:sz w:val="21"/>
          <w:szCs w:val="21"/>
        </w:rPr>
        <w:t>416</w:t>
      </w:r>
      <w:r>
        <w:rPr>
          <w:rFonts w:ascii="宋体" w:hAnsi="宋体" w:cs="宋体" w:eastAsia="宋体" w:hint="default"/>
          <w:spacing w:val="-31"/>
          <w:sz w:val="21"/>
          <w:szCs w:val="21"/>
        </w:rPr>
        <w:t> </w:t>
      </w:r>
      <w:r>
        <w:rPr>
          <w:rFonts w:ascii="宋体" w:hAnsi="宋体" w:cs="宋体" w:eastAsia="宋体" w:hint="default"/>
          <w:sz w:val="21"/>
          <w:szCs w:val="21"/>
        </w:rPr>
        <w:t>亿元。固网宽带用户净增</w:t>
      </w:r>
      <w:r>
        <w:rPr>
          <w:rFonts w:ascii="宋体" w:hAnsi="宋体" w:cs="宋体" w:eastAsia="宋体" w:hint="default"/>
          <w:spacing w:val="-29"/>
          <w:sz w:val="21"/>
          <w:szCs w:val="21"/>
        </w:rPr>
        <w:t> </w:t>
      </w:r>
      <w:r>
        <w:rPr>
          <w:rFonts w:ascii="宋体" w:hAnsi="宋体" w:cs="宋体" w:eastAsia="宋体" w:hint="default"/>
          <w:sz w:val="21"/>
          <w:szCs w:val="21"/>
        </w:rPr>
        <w:t>260</w:t>
      </w:r>
      <w:r>
        <w:rPr>
          <w:rFonts w:ascii="宋体" w:hAnsi="宋体" w:cs="宋体" w:eastAsia="宋体" w:hint="default"/>
          <w:w w:val="100"/>
          <w:sz w:val="21"/>
          <w:szCs w:val="21"/>
        </w:rPr>
        <w:t> </w:t>
      </w:r>
      <w:r>
        <w:rPr>
          <w:rFonts w:ascii="宋体" w:hAnsi="宋体" w:cs="宋体" w:eastAsia="宋体" w:hint="default"/>
          <w:sz w:val="21"/>
          <w:szCs w:val="21"/>
        </w:rPr>
        <w:t>万户，总数达到</w:t>
      </w:r>
      <w:r>
        <w:rPr>
          <w:rFonts w:ascii="宋体" w:hAnsi="宋体" w:cs="宋体" w:eastAsia="宋体" w:hint="default"/>
          <w:spacing w:val="-47"/>
          <w:sz w:val="21"/>
          <w:szCs w:val="21"/>
        </w:rPr>
        <w:t> </w:t>
      </w:r>
      <w:r>
        <w:rPr>
          <w:rFonts w:ascii="宋体" w:hAnsi="宋体" w:cs="宋体" w:eastAsia="宋体" w:hint="default"/>
          <w:sz w:val="21"/>
          <w:szCs w:val="21"/>
        </w:rPr>
        <w:t>8,348</w:t>
      </w:r>
      <w:r>
        <w:rPr>
          <w:rFonts w:ascii="宋体" w:hAnsi="宋体" w:cs="宋体" w:eastAsia="宋体" w:hint="default"/>
          <w:spacing w:val="-47"/>
          <w:sz w:val="21"/>
          <w:szCs w:val="21"/>
        </w:rPr>
        <w:t> </w:t>
      </w:r>
      <w:r>
        <w:rPr>
          <w:rFonts w:ascii="宋体" w:hAnsi="宋体" w:cs="宋体" w:eastAsia="宋体" w:hint="default"/>
          <w:sz w:val="21"/>
          <w:szCs w:val="21"/>
        </w:rPr>
        <w:t>万户，视频业务在固网宽带用户中的渗透率超过</w:t>
      </w:r>
      <w:r>
        <w:rPr>
          <w:rFonts w:ascii="宋体" w:hAnsi="宋体" w:cs="宋体" w:eastAsia="宋体" w:hint="default"/>
          <w:spacing w:val="-47"/>
          <w:sz w:val="21"/>
          <w:szCs w:val="21"/>
        </w:rPr>
        <w:t> </w:t>
      </w:r>
      <w:r>
        <w:rPr>
          <w:rFonts w:ascii="宋体" w:hAnsi="宋体" w:cs="宋体" w:eastAsia="宋体" w:hint="default"/>
          <w:sz w:val="21"/>
          <w:szCs w:val="21"/>
        </w:rPr>
        <w:t>50%</w:t>
      </w:r>
      <w:r>
        <w:rPr>
          <w:rFonts w:ascii="宋体" w:hAnsi="宋体" w:cs="宋体" w:eastAsia="宋体" w:hint="default"/>
          <w:sz w:val="21"/>
          <w:szCs w:val="21"/>
        </w:rPr>
        <w:t>。融合业务在固网宽带用</w:t>
      </w:r>
      <w:r>
        <w:rPr>
          <w:rFonts w:ascii="宋体" w:hAnsi="宋体" w:cs="宋体" w:eastAsia="宋体" w:hint="default"/>
          <w:w w:val="100"/>
          <w:sz w:val="21"/>
          <w:szCs w:val="21"/>
        </w:rPr>
        <w:t> </w:t>
      </w:r>
      <w:r>
        <w:rPr>
          <w:rFonts w:ascii="宋体" w:hAnsi="宋体" w:cs="宋体" w:eastAsia="宋体" w:hint="default"/>
          <w:sz w:val="21"/>
          <w:szCs w:val="21"/>
        </w:rPr>
        <w:t>户中的渗透率达到</w:t>
      </w:r>
      <w:r>
        <w:rPr>
          <w:rFonts w:ascii="宋体" w:hAnsi="宋体" w:cs="宋体" w:eastAsia="宋体" w:hint="default"/>
          <w:spacing w:val="-54"/>
          <w:sz w:val="21"/>
          <w:szCs w:val="21"/>
        </w:rPr>
        <w:t> </w:t>
      </w:r>
      <w:r>
        <w:rPr>
          <w:rFonts w:ascii="宋体" w:hAnsi="宋体" w:cs="宋体" w:eastAsia="宋体" w:hint="default"/>
          <w:sz w:val="21"/>
          <w:szCs w:val="21"/>
        </w:rPr>
        <w:t>59%</w:t>
      </w:r>
      <w:r>
        <w:rPr>
          <w:rFonts w:ascii="宋体" w:hAnsi="宋体" w:cs="宋体" w:eastAsia="宋体" w:hint="default"/>
          <w:sz w:val="21"/>
          <w:szCs w:val="21"/>
        </w:rPr>
        <w:t>，同比提升</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6"/>
          <w:sz w:val="21"/>
          <w:szCs w:val="21"/>
        </w:rPr>
        <w:t> </w:t>
      </w:r>
      <w:r>
        <w:rPr>
          <w:rFonts w:ascii="宋体" w:hAnsi="宋体" w:cs="宋体" w:eastAsia="宋体" w:hint="default"/>
          <w:sz w:val="21"/>
          <w:szCs w:val="21"/>
        </w:rPr>
        <w:t>个百分点。</w:t>
      </w:r>
    </w:p>
    <w:p>
      <w:pPr>
        <w:spacing w:line="381" w:lineRule="auto" w:before="109"/>
        <w:ind w:left="558" w:right="201" w:firstLine="4"/>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加速新旧动能转换，创新业务持续高速增长</w:t>
      </w:r>
      <w:r>
        <w:rPr>
          <w:rFonts w:ascii="Microsoft JhengHei" w:hAnsi="Microsoft JhengHei" w:cs="Microsoft JhengHei" w:eastAsia="Microsoft JhengHei" w:hint="default"/>
          <w:b/>
          <w:bCs/>
          <w:spacing w:val="-40"/>
          <w:sz w:val="21"/>
          <w:szCs w:val="21"/>
        </w:rPr>
        <w:t> </w:t>
      </w:r>
      <w:r>
        <w:rPr>
          <w:rFonts w:ascii="Microsoft JhengHei" w:hAnsi="Microsoft JhengHei" w:cs="Microsoft JhengHei" w:eastAsia="Microsoft JhengHei" w:hint="default"/>
          <w:b/>
          <w:bCs/>
          <w:spacing w:val="-40"/>
          <w:sz w:val="21"/>
          <w:szCs w:val="21"/>
        </w:rPr>
      </w:r>
      <w:r>
        <w:rPr>
          <w:rFonts w:ascii="宋体" w:hAnsi="宋体" w:cs="宋体" w:eastAsia="宋体" w:hint="default"/>
          <w:spacing w:val="-2"/>
          <w:sz w:val="21"/>
          <w:szCs w:val="21"/>
        </w:rPr>
        <w:t>公司紧抓产业数字化转型机遇，聚焦云计算、大数据及</w:t>
      </w:r>
      <w:r>
        <w:rPr>
          <w:rFonts w:ascii="宋体" w:hAnsi="宋体" w:cs="宋体" w:eastAsia="宋体" w:hint="default"/>
          <w:spacing w:val="53"/>
          <w:sz w:val="21"/>
          <w:szCs w:val="21"/>
        </w:rPr>
        <w:t> </w:t>
      </w:r>
      <w:r>
        <w:rPr>
          <w:rFonts w:ascii="宋体" w:hAnsi="宋体" w:cs="宋体" w:eastAsia="宋体" w:hint="default"/>
          <w:spacing w:val="-2"/>
          <w:sz w:val="21"/>
          <w:szCs w:val="21"/>
        </w:rPr>
        <w:t>AI</w:t>
      </w:r>
      <w:r>
        <w:rPr>
          <w:rFonts w:ascii="宋体" w:hAnsi="宋体" w:cs="宋体" w:eastAsia="宋体" w:hint="default"/>
          <w:spacing w:val="-2"/>
          <w:sz w:val="21"/>
          <w:szCs w:val="21"/>
        </w:rPr>
        <w:t>、物联网等重点创新业务，以“云</w:t>
      </w:r>
      <w:r>
        <w:rPr>
          <w:rFonts w:ascii="宋体" w:hAnsi="宋体" w:cs="宋体" w:eastAsia="宋体" w:hint="default"/>
          <w:spacing w:val="-2"/>
          <w:sz w:val="21"/>
          <w:szCs w:val="21"/>
        </w:rPr>
        <w:t>+</w:t>
      </w:r>
      <w:r>
        <w:rPr>
          <w:rFonts w:ascii="宋体" w:hAnsi="宋体" w:cs="宋体" w:eastAsia="宋体" w:hint="default"/>
          <w:spacing w:val="-2"/>
          <w:sz w:val="21"/>
          <w:szCs w:val="21"/>
        </w:rPr>
        <w:t>智</w:t>
      </w:r>
    </w:p>
    <w:p>
      <w:pPr>
        <w:spacing w:line="236" w:lineRule="exact" w:before="0"/>
        <w:ind w:left="138" w:right="0" w:firstLine="0"/>
        <w:jc w:val="both"/>
        <w:rPr>
          <w:rFonts w:ascii="宋体" w:hAnsi="宋体" w:cs="宋体" w:eastAsia="宋体" w:hint="default"/>
          <w:sz w:val="21"/>
          <w:szCs w:val="21"/>
        </w:rPr>
      </w:pPr>
      <w:r>
        <w:rPr>
          <w:rFonts w:ascii="宋体" w:hAnsi="宋体" w:cs="宋体" w:eastAsia="宋体" w:hint="default"/>
          <w:spacing w:val="3"/>
          <w:sz w:val="21"/>
          <w:szCs w:val="21"/>
        </w:rPr>
        <w:t>慧网络</w:t>
      </w:r>
      <w:r>
        <w:rPr>
          <w:rFonts w:ascii="宋体" w:hAnsi="宋体" w:cs="宋体" w:eastAsia="宋体" w:hint="default"/>
          <w:spacing w:val="3"/>
          <w:sz w:val="21"/>
          <w:szCs w:val="21"/>
        </w:rPr>
        <w:t>+</w:t>
      </w:r>
      <w:r>
        <w:rPr>
          <w:rFonts w:ascii="宋体" w:hAnsi="宋体" w:cs="宋体" w:eastAsia="宋体" w:hint="default"/>
          <w:spacing w:val="3"/>
          <w:sz w:val="21"/>
          <w:szCs w:val="21"/>
        </w:rPr>
        <w:t>智慧应用”融合经营拉动创新业务和基础业务相互促进发展。强化运营集约及“云网边端</w:t>
      </w:r>
    </w:p>
    <w:p>
      <w:pPr>
        <w:spacing w:line="314" w:lineRule="auto" w:before="85"/>
        <w:ind w:left="138" w:right="205" w:firstLine="0"/>
        <w:jc w:val="both"/>
        <w:rPr>
          <w:rFonts w:ascii="宋体" w:hAnsi="宋体" w:cs="宋体" w:eastAsia="宋体" w:hint="default"/>
          <w:sz w:val="21"/>
          <w:szCs w:val="21"/>
        </w:rPr>
      </w:pPr>
      <w:r>
        <w:rPr>
          <w:rFonts w:ascii="宋体" w:hAnsi="宋体" w:cs="宋体" w:eastAsia="宋体" w:hint="default"/>
          <w:spacing w:val="-4"/>
          <w:sz w:val="21"/>
          <w:szCs w:val="21"/>
        </w:rPr>
        <w:t>业”高度协同；通过生态合作打造云业务能力平台；加快部署政企精品网（</w:t>
      </w:r>
      <w:r>
        <w:rPr>
          <w:rFonts w:ascii="宋体" w:hAnsi="宋体" w:cs="宋体" w:eastAsia="宋体" w:hint="default"/>
          <w:spacing w:val="-4"/>
          <w:sz w:val="21"/>
          <w:szCs w:val="21"/>
        </w:rPr>
        <w:t>SDN </w:t>
      </w:r>
      <w:r>
        <w:rPr>
          <w:rFonts w:ascii="宋体" w:hAnsi="宋体" w:cs="宋体" w:eastAsia="宋体" w:hint="default"/>
          <w:spacing w:val="-4"/>
          <w:sz w:val="21"/>
          <w:szCs w:val="21"/>
        </w:rPr>
        <w:t>智能网络</w:t>
      </w:r>
      <w:r>
        <w:rPr>
          <w:rFonts w:ascii="宋体" w:hAnsi="宋体" w:cs="宋体" w:eastAsia="宋体" w:hint="default"/>
          <w:spacing w:val="-4"/>
          <w:sz w:val="21"/>
          <w:szCs w:val="21"/>
        </w:rPr>
        <w:t>)</w:t>
      </w:r>
      <w:r>
        <w:rPr>
          <w:rFonts w:ascii="宋体" w:hAnsi="宋体" w:cs="宋体" w:eastAsia="宋体" w:hint="default"/>
          <w:spacing w:val="-4"/>
          <w:sz w:val="21"/>
          <w:szCs w:val="21"/>
        </w:rPr>
        <w:t>；打造产业</w:t>
      </w:r>
      <w:r>
        <w:rPr>
          <w:rFonts w:ascii="宋体" w:hAnsi="宋体" w:cs="宋体" w:eastAsia="宋体" w:hint="default"/>
          <w:spacing w:val="-60"/>
          <w:sz w:val="21"/>
          <w:szCs w:val="21"/>
        </w:rPr>
        <w:t> </w:t>
      </w:r>
      <w:r>
        <w:rPr>
          <w:rFonts w:ascii="宋体" w:hAnsi="宋体" w:cs="宋体" w:eastAsia="宋体" w:hint="default"/>
          <w:spacing w:val="-60"/>
          <w:sz w:val="21"/>
          <w:szCs w:val="21"/>
        </w:rPr>
      </w:r>
      <w:r>
        <w:rPr>
          <w:rFonts w:ascii="宋体" w:hAnsi="宋体" w:cs="宋体" w:eastAsia="宋体" w:hint="default"/>
          <w:spacing w:val="-3"/>
          <w:sz w:val="21"/>
          <w:szCs w:val="21"/>
        </w:rPr>
        <w:t>互联网解决方案及产品；以</w:t>
      </w:r>
      <w:r>
        <w:rPr>
          <w:rFonts w:ascii="宋体" w:hAnsi="宋体" w:cs="宋体" w:eastAsia="宋体" w:hint="default"/>
          <w:spacing w:val="-45"/>
          <w:sz w:val="21"/>
          <w:szCs w:val="21"/>
        </w:rPr>
        <w:t> </w:t>
      </w:r>
      <w:r>
        <w:rPr>
          <w:rFonts w:ascii="宋体" w:hAnsi="宋体" w:cs="宋体" w:eastAsia="宋体" w:hint="default"/>
          <w:sz w:val="21"/>
          <w:szCs w:val="21"/>
        </w:rPr>
        <w:t>5G</w:t>
      </w:r>
      <w:r>
        <w:rPr>
          <w:rFonts w:ascii="宋体" w:hAnsi="宋体" w:cs="宋体" w:eastAsia="宋体" w:hint="default"/>
          <w:spacing w:val="-49"/>
          <w:sz w:val="21"/>
          <w:szCs w:val="21"/>
        </w:rPr>
        <w:t> </w:t>
      </w:r>
      <w:r>
        <w:rPr>
          <w:rFonts w:ascii="宋体" w:hAnsi="宋体" w:cs="宋体" w:eastAsia="宋体" w:hint="default"/>
          <w:sz w:val="21"/>
          <w:szCs w:val="21"/>
        </w:rPr>
        <w:t>为引领，联合重点行业头部客户积极打造典型</w:t>
      </w:r>
      <w:r>
        <w:rPr>
          <w:rFonts w:ascii="宋体" w:hAnsi="宋体" w:cs="宋体" w:eastAsia="宋体" w:hint="default"/>
          <w:spacing w:val="-49"/>
          <w:sz w:val="21"/>
          <w:szCs w:val="21"/>
        </w:rPr>
        <w:t> </w:t>
      </w:r>
      <w:r>
        <w:rPr>
          <w:rFonts w:ascii="宋体" w:hAnsi="宋体" w:cs="宋体" w:eastAsia="宋体" w:hint="default"/>
          <w:sz w:val="21"/>
          <w:szCs w:val="21"/>
        </w:rPr>
        <w:t>5G</w:t>
      </w:r>
      <w:r>
        <w:rPr>
          <w:rFonts w:ascii="宋体" w:hAnsi="宋体" w:cs="宋体" w:eastAsia="宋体" w:hint="default"/>
          <w:spacing w:val="-46"/>
          <w:sz w:val="21"/>
          <w:szCs w:val="21"/>
        </w:rPr>
        <w:t> </w:t>
      </w:r>
      <w:r>
        <w:rPr>
          <w:rFonts w:ascii="宋体" w:hAnsi="宋体" w:cs="宋体" w:eastAsia="宋体" w:hint="default"/>
          <w:spacing w:val="-3"/>
          <w:sz w:val="21"/>
          <w:szCs w:val="21"/>
        </w:rPr>
        <w:t>应用场景，加快孵化</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5G</w:t>
      </w:r>
      <w:r>
        <w:rPr>
          <w:rFonts w:ascii="宋体" w:hAnsi="宋体" w:cs="宋体" w:eastAsia="宋体" w:hint="default"/>
          <w:spacing w:val="-54"/>
          <w:sz w:val="21"/>
          <w:szCs w:val="21"/>
        </w:rPr>
        <w:t> </w:t>
      </w:r>
      <w:r>
        <w:rPr>
          <w:rFonts w:ascii="宋体" w:hAnsi="宋体" w:cs="宋体" w:eastAsia="宋体" w:hint="default"/>
          <w:sz w:val="21"/>
          <w:szCs w:val="21"/>
        </w:rPr>
        <w:t>行业创新应用，促进</w:t>
      </w:r>
      <w:r>
        <w:rPr>
          <w:rFonts w:ascii="宋体" w:hAnsi="宋体" w:cs="宋体" w:eastAsia="宋体" w:hint="default"/>
          <w:spacing w:val="-54"/>
          <w:sz w:val="21"/>
          <w:szCs w:val="21"/>
        </w:rPr>
        <w:t> </w:t>
      </w:r>
      <w:r>
        <w:rPr>
          <w:rFonts w:ascii="宋体" w:hAnsi="宋体" w:cs="宋体" w:eastAsia="宋体" w:hint="default"/>
          <w:sz w:val="21"/>
          <w:szCs w:val="21"/>
        </w:rPr>
        <w:t>5G</w:t>
      </w:r>
      <w:r>
        <w:rPr>
          <w:rFonts w:ascii="宋体" w:hAnsi="宋体" w:cs="宋体" w:eastAsia="宋体" w:hint="default"/>
          <w:spacing w:val="-53"/>
          <w:sz w:val="21"/>
          <w:szCs w:val="21"/>
        </w:rPr>
        <w:t> </w:t>
      </w:r>
      <w:r>
        <w:rPr>
          <w:rFonts w:ascii="宋体" w:hAnsi="宋体" w:cs="宋体" w:eastAsia="宋体" w:hint="default"/>
          <w:sz w:val="21"/>
          <w:szCs w:val="21"/>
        </w:rPr>
        <w:t>行业生态繁荣，为未来增长积蓄动能。</w:t>
      </w:r>
    </w:p>
    <w:p>
      <w:pPr>
        <w:spacing w:line="314" w:lineRule="auto" w:before="176"/>
        <w:ind w:left="138" w:right="205" w:firstLine="420"/>
        <w:jc w:val="both"/>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年，公司创新业务保持快速发展，产业互联网收入同比增长</w:t>
      </w:r>
      <w:r>
        <w:rPr>
          <w:rFonts w:ascii="宋体" w:hAnsi="宋体" w:cs="宋体" w:eastAsia="宋体" w:hint="default"/>
          <w:spacing w:val="-52"/>
          <w:sz w:val="21"/>
          <w:szCs w:val="21"/>
        </w:rPr>
        <w:t> </w:t>
      </w:r>
      <w:r>
        <w:rPr>
          <w:rFonts w:ascii="宋体" w:hAnsi="宋体" w:cs="宋体" w:eastAsia="宋体" w:hint="default"/>
          <w:spacing w:val="-3"/>
          <w:sz w:val="21"/>
          <w:szCs w:val="21"/>
        </w:rPr>
        <w:t>43%</w:t>
      </w:r>
      <w:r>
        <w:rPr>
          <w:rFonts w:ascii="宋体" w:hAnsi="宋体" w:cs="宋体" w:eastAsia="宋体" w:hint="default"/>
          <w:spacing w:val="-3"/>
          <w:sz w:val="21"/>
          <w:szCs w:val="21"/>
        </w:rPr>
        <w:t>，达到人民币</w:t>
      </w:r>
      <w:r>
        <w:rPr>
          <w:rFonts w:ascii="宋体" w:hAnsi="宋体" w:cs="宋体" w:eastAsia="宋体" w:hint="default"/>
          <w:spacing w:val="-51"/>
          <w:sz w:val="21"/>
          <w:szCs w:val="21"/>
        </w:rPr>
        <w:t> </w:t>
      </w:r>
      <w:r>
        <w:rPr>
          <w:rFonts w:ascii="宋体" w:hAnsi="宋体" w:cs="宋体" w:eastAsia="宋体" w:hint="default"/>
          <w:sz w:val="21"/>
          <w:szCs w:val="21"/>
        </w:rPr>
        <w:t>329</w:t>
      </w:r>
      <w:r>
        <w:rPr>
          <w:rFonts w:ascii="宋体" w:hAnsi="宋体" w:cs="宋体" w:eastAsia="宋体" w:hint="default"/>
          <w:spacing w:val="-54"/>
          <w:sz w:val="21"/>
          <w:szCs w:val="21"/>
        </w:rPr>
        <w:t> </w:t>
      </w:r>
      <w:r>
        <w:rPr>
          <w:rFonts w:ascii="宋体" w:hAnsi="宋体" w:cs="宋体" w:eastAsia="宋体" w:hint="default"/>
          <w:spacing w:val="-3"/>
          <w:sz w:val="21"/>
          <w:szCs w:val="21"/>
        </w:rPr>
        <w:t>亿元，占</w:t>
      </w:r>
      <w:r>
        <w:rPr>
          <w:rFonts w:ascii="宋体" w:hAnsi="宋体" w:cs="宋体" w:eastAsia="宋体" w:hint="default"/>
          <w:w w:val="100"/>
          <w:sz w:val="21"/>
          <w:szCs w:val="21"/>
        </w:rPr>
        <w:t> </w:t>
      </w:r>
      <w:r>
        <w:rPr>
          <w:rFonts w:ascii="宋体" w:hAnsi="宋体" w:cs="宋体" w:eastAsia="宋体" w:hint="default"/>
          <w:sz w:val="21"/>
          <w:szCs w:val="21"/>
        </w:rPr>
        <w:t>整体主营业务收入比例达到</w:t>
      </w:r>
      <w:r>
        <w:rPr>
          <w:rFonts w:ascii="宋体" w:hAnsi="宋体" w:cs="宋体" w:eastAsia="宋体" w:hint="default"/>
          <w:spacing w:val="-33"/>
          <w:sz w:val="21"/>
          <w:szCs w:val="21"/>
        </w:rPr>
        <w:t> </w:t>
      </w:r>
      <w:r>
        <w:rPr>
          <w:rFonts w:ascii="宋体" w:hAnsi="宋体" w:cs="宋体" w:eastAsia="宋体" w:hint="default"/>
          <w:sz w:val="21"/>
          <w:szCs w:val="21"/>
        </w:rPr>
        <w:t>12.4%</w:t>
      </w:r>
      <w:r>
        <w:rPr>
          <w:rFonts w:ascii="宋体" w:hAnsi="宋体" w:cs="宋体" w:eastAsia="宋体" w:hint="default"/>
          <w:sz w:val="21"/>
          <w:szCs w:val="21"/>
        </w:rPr>
        <w:t>，成为稳定主营业务收入的重要驱动力。得益于创新业务快速增长</w:t>
      </w:r>
      <w:r>
        <w:rPr>
          <w:rFonts w:ascii="宋体" w:hAnsi="宋体" w:cs="宋体" w:eastAsia="宋体" w:hint="default"/>
          <w:w w:val="100"/>
          <w:sz w:val="21"/>
          <w:szCs w:val="21"/>
        </w:rPr>
        <w:t> </w:t>
      </w:r>
      <w:r>
        <w:rPr>
          <w:rFonts w:ascii="宋体" w:hAnsi="宋体" w:cs="宋体" w:eastAsia="宋体" w:hint="default"/>
          <w:sz w:val="21"/>
          <w:szCs w:val="21"/>
        </w:rPr>
        <w:t>拉动，公司固网主营业务收入达到人民币</w:t>
      </w:r>
      <w:r>
        <w:rPr>
          <w:rFonts w:ascii="宋体" w:hAnsi="宋体" w:cs="宋体" w:eastAsia="宋体" w:hint="default"/>
          <w:spacing w:val="-55"/>
          <w:sz w:val="21"/>
          <w:szCs w:val="21"/>
        </w:rPr>
        <w:t> </w:t>
      </w:r>
      <w:r>
        <w:rPr>
          <w:rFonts w:ascii="宋体" w:hAnsi="宋体" w:cs="宋体" w:eastAsia="宋体" w:hint="default"/>
          <w:sz w:val="21"/>
          <w:szCs w:val="21"/>
        </w:rPr>
        <w:t>1,057</w:t>
      </w:r>
      <w:r>
        <w:rPr>
          <w:rFonts w:ascii="宋体" w:hAnsi="宋体" w:cs="宋体" w:eastAsia="宋体" w:hint="default"/>
          <w:spacing w:val="-55"/>
          <w:sz w:val="21"/>
          <w:szCs w:val="21"/>
        </w:rPr>
        <w:t> </w:t>
      </w:r>
      <w:r>
        <w:rPr>
          <w:rFonts w:ascii="宋体" w:hAnsi="宋体" w:cs="宋体" w:eastAsia="宋体" w:hint="default"/>
          <w:sz w:val="21"/>
          <w:szCs w:val="21"/>
        </w:rPr>
        <w:t>亿元，同比增长</w:t>
      </w:r>
      <w:r>
        <w:rPr>
          <w:rFonts w:ascii="宋体" w:hAnsi="宋体" w:cs="宋体" w:eastAsia="宋体" w:hint="default"/>
          <w:spacing w:val="-55"/>
          <w:sz w:val="21"/>
          <w:szCs w:val="21"/>
        </w:rPr>
        <w:t> </w:t>
      </w:r>
      <w:r>
        <w:rPr>
          <w:rFonts w:ascii="宋体" w:hAnsi="宋体" w:cs="宋体" w:eastAsia="宋体" w:hint="default"/>
          <w:sz w:val="21"/>
          <w:szCs w:val="21"/>
        </w:rPr>
        <w:t>9.7%</w:t>
      </w:r>
      <w:r>
        <w:rPr>
          <w:rFonts w:ascii="宋体" w:hAnsi="宋体" w:cs="宋体" w:eastAsia="宋体" w:hint="default"/>
          <w:sz w:val="21"/>
          <w:szCs w:val="21"/>
        </w:rPr>
        <w:t>。</w:t>
      </w:r>
    </w:p>
    <w:p>
      <w:pPr>
        <w:spacing w:before="109"/>
        <w:ind w:left="563" w:right="96"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（三）网络建设</w:t>
      </w:r>
      <w:r>
        <w:rPr>
          <w:rFonts w:ascii="Microsoft JhengHei" w:hAnsi="Microsoft JhengHei" w:cs="Microsoft JhengHei" w:eastAsia="Microsoft JhengHei" w:hint="default"/>
          <w:sz w:val="21"/>
          <w:szCs w:val="21"/>
        </w:rPr>
      </w:r>
    </w:p>
    <w:p>
      <w:pPr>
        <w:spacing w:before="150"/>
        <w:ind w:left="563" w:right="96"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w w:val="95"/>
          <w:sz w:val="21"/>
          <w:szCs w:val="21"/>
        </w:rPr>
        <w:t>积极践行新发展理念，</w:t>
      </w:r>
      <w:r>
        <w:rPr>
          <w:rFonts w:ascii="Arial" w:hAnsi="Arial" w:cs="Arial" w:eastAsia="Arial" w:hint="default"/>
          <w:b/>
          <w:bCs/>
          <w:w w:val="95"/>
          <w:sz w:val="21"/>
          <w:szCs w:val="21"/>
        </w:rPr>
        <w:t>5G   </w:t>
      </w:r>
      <w:r>
        <w:rPr>
          <w:rFonts w:ascii="Arial" w:hAnsi="Arial" w:cs="Arial" w:eastAsia="Arial" w:hint="default"/>
          <w:b/>
          <w:bCs/>
          <w:spacing w:val="3"/>
          <w:w w:val="95"/>
          <w:sz w:val="21"/>
          <w:szCs w:val="21"/>
        </w:rPr>
        <w:t> </w:t>
      </w:r>
      <w:r>
        <w:rPr>
          <w:rFonts w:ascii="Microsoft JhengHei" w:hAnsi="Microsoft JhengHei" w:cs="Microsoft JhengHei" w:eastAsia="Microsoft JhengHei" w:hint="default"/>
          <w:b/>
          <w:bCs/>
          <w:w w:val="95"/>
          <w:sz w:val="21"/>
          <w:szCs w:val="21"/>
        </w:rPr>
        <w:t>网络共建共享成效显著</w:t>
      </w:r>
      <w:r>
        <w:rPr>
          <w:rFonts w:ascii="Microsoft JhengHei" w:hAnsi="Microsoft JhengHei" w:cs="Microsoft JhengHei" w:eastAsia="Microsoft JhengHei" w:hint="default"/>
          <w:w w:val="95"/>
          <w:sz w:val="21"/>
          <w:szCs w:val="21"/>
        </w:rPr>
      </w:r>
    </w:p>
    <w:p>
      <w:pPr>
        <w:spacing w:line="240" w:lineRule="auto" w:before="8"/>
        <w:rPr>
          <w:rFonts w:ascii="Microsoft JhengHei" w:hAnsi="Microsoft JhengHei" w:cs="Microsoft JhengHei" w:eastAsia="Microsoft JhengHei" w:hint="default"/>
          <w:b/>
          <w:bCs/>
          <w:sz w:val="12"/>
          <w:szCs w:val="12"/>
        </w:rPr>
      </w:pPr>
    </w:p>
    <w:p>
      <w:pPr>
        <w:spacing w:line="314" w:lineRule="auto" w:before="0"/>
        <w:ind w:left="138" w:right="96" w:firstLine="420"/>
        <w:jc w:val="left"/>
        <w:rPr>
          <w:rFonts w:ascii="宋体" w:hAnsi="宋体" w:cs="宋体" w:eastAsia="宋体" w:hint="default"/>
          <w:sz w:val="21"/>
          <w:szCs w:val="21"/>
        </w:rPr>
      </w:pPr>
      <w:r>
        <w:rPr>
          <w:rFonts w:ascii="宋体" w:hAnsi="宋体" w:cs="宋体" w:eastAsia="宋体" w:hint="default"/>
          <w:sz w:val="21"/>
          <w:szCs w:val="21"/>
        </w:rPr>
        <w:t>公司坚持高效、有节奏、聚焦引领推动 </w:t>
      </w:r>
      <w:r>
        <w:rPr>
          <w:rFonts w:ascii="宋体" w:hAnsi="宋体" w:cs="宋体" w:eastAsia="宋体" w:hint="default"/>
          <w:sz w:val="21"/>
          <w:szCs w:val="21"/>
        </w:rPr>
        <w:t>5G</w:t>
      </w:r>
      <w:r>
        <w:rPr>
          <w:rFonts w:ascii="宋体" w:hAnsi="宋体" w:cs="宋体" w:eastAsia="宋体" w:hint="default"/>
          <w:spacing w:val="-31"/>
          <w:sz w:val="21"/>
          <w:szCs w:val="21"/>
        </w:rPr>
        <w:t> </w:t>
      </w:r>
      <w:r>
        <w:rPr>
          <w:rFonts w:ascii="宋体" w:hAnsi="宋体" w:cs="宋体" w:eastAsia="宋体" w:hint="default"/>
          <w:sz w:val="21"/>
          <w:szCs w:val="21"/>
        </w:rPr>
        <w:t>网络发展，秉承开放创新、合作共赢理念，积极推动</w:t>
      </w:r>
      <w:r>
        <w:rPr>
          <w:rFonts w:ascii="宋体" w:hAnsi="宋体" w:cs="宋体" w:eastAsia="宋体" w:hint="default"/>
          <w:w w:val="100"/>
          <w:sz w:val="21"/>
          <w:szCs w:val="21"/>
        </w:rPr>
        <w:t> </w:t>
      </w:r>
      <w:r>
        <w:rPr>
          <w:rFonts w:ascii="宋体" w:hAnsi="宋体" w:cs="宋体" w:eastAsia="宋体" w:hint="default"/>
          <w:sz w:val="21"/>
          <w:szCs w:val="21"/>
        </w:rPr>
        <w:t>网络共建共享。</w:t>
      </w:r>
      <w:r>
        <w:rPr>
          <w:rFonts w:ascii="宋体" w:hAnsi="宋体" w:cs="宋体" w:eastAsia="宋体" w:hint="default"/>
          <w:sz w:val="21"/>
          <w:szCs w:val="21"/>
        </w:rPr>
        <w:t>2019</w:t>
      </w:r>
      <w:r>
        <w:rPr>
          <w:rFonts w:ascii="宋体" w:hAnsi="宋体" w:cs="宋体" w:eastAsia="宋体" w:hint="default"/>
          <w:spacing w:val="-50"/>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9</w:t>
      </w:r>
      <w:r>
        <w:rPr>
          <w:rFonts w:ascii="宋体" w:hAnsi="宋体" w:cs="宋体" w:eastAsia="宋体" w:hint="default"/>
          <w:spacing w:val="-52"/>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宋体" w:hAnsi="宋体" w:cs="宋体" w:eastAsia="宋体" w:hint="default"/>
          <w:sz w:val="21"/>
          <w:szCs w:val="21"/>
        </w:rPr>
        <w:t>9</w:t>
      </w:r>
      <w:r>
        <w:rPr>
          <w:rFonts w:ascii="宋体" w:hAnsi="宋体" w:cs="宋体" w:eastAsia="宋体" w:hint="default"/>
          <w:spacing w:val="-50"/>
          <w:sz w:val="21"/>
          <w:szCs w:val="21"/>
        </w:rPr>
        <w:t> </w:t>
      </w:r>
      <w:r>
        <w:rPr>
          <w:rFonts w:ascii="宋体" w:hAnsi="宋体" w:cs="宋体" w:eastAsia="宋体" w:hint="default"/>
          <w:sz w:val="21"/>
          <w:szCs w:val="21"/>
        </w:rPr>
        <w:t>日，公司与中国电信签署合作协议，在全国范围内共建一张</w:t>
      </w:r>
      <w:r>
        <w:rPr>
          <w:rFonts w:ascii="宋体" w:hAnsi="宋体" w:cs="宋体" w:eastAsia="宋体" w:hint="default"/>
          <w:spacing w:val="-50"/>
          <w:sz w:val="21"/>
          <w:szCs w:val="21"/>
        </w:rPr>
        <w:t> </w:t>
      </w:r>
      <w:r>
        <w:rPr>
          <w:rFonts w:ascii="宋体" w:hAnsi="宋体" w:cs="宋体" w:eastAsia="宋体" w:hint="default"/>
          <w:sz w:val="21"/>
          <w:szCs w:val="21"/>
        </w:rPr>
        <w:t>5G</w:t>
      </w:r>
      <w:r>
        <w:rPr>
          <w:rFonts w:ascii="宋体" w:hAnsi="宋体" w:cs="宋体" w:eastAsia="宋体" w:hint="default"/>
          <w:spacing w:val="-50"/>
          <w:sz w:val="21"/>
          <w:szCs w:val="21"/>
        </w:rPr>
        <w:t> </w:t>
      </w:r>
      <w:r>
        <w:rPr>
          <w:rFonts w:ascii="宋体" w:hAnsi="宋体" w:cs="宋体" w:eastAsia="宋体" w:hint="default"/>
          <w:sz w:val="21"/>
          <w:szCs w:val="21"/>
        </w:rPr>
        <w:t>接入网</w:t>
      </w:r>
      <w:r>
        <w:rPr>
          <w:rFonts w:ascii="宋体" w:hAnsi="宋体" w:cs="宋体" w:eastAsia="宋体" w:hint="default"/>
          <w:w w:val="100"/>
          <w:sz w:val="21"/>
          <w:szCs w:val="21"/>
        </w:rPr>
        <w:t> </w:t>
      </w:r>
      <w:r>
        <w:rPr>
          <w:rFonts w:ascii="宋体" w:hAnsi="宋体" w:cs="宋体" w:eastAsia="宋体" w:hint="default"/>
          <w:sz w:val="21"/>
          <w:szCs w:val="21"/>
        </w:rPr>
        <w:t>络，开创集约化快速发展</w:t>
      </w:r>
      <w:r>
        <w:rPr>
          <w:rFonts w:ascii="宋体" w:hAnsi="宋体" w:cs="宋体" w:eastAsia="宋体" w:hint="default"/>
          <w:spacing w:val="-56"/>
          <w:sz w:val="21"/>
          <w:szCs w:val="21"/>
        </w:rPr>
        <w:t> </w:t>
      </w:r>
      <w:r>
        <w:rPr>
          <w:rFonts w:ascii="宋体" w:hAnsi="宋体" w:cs="宋体" w:eastAsia="宋体" w:hint="default"/>
          <w:sz w:val="21"/>
          <w:szCs w:val="21"/>
        </w:rPr>
        <w:t>5G</w:t>
      </w:r>
      <w:r>
        <w:rPr>
          <w:rFonts w:ascii="宋体" w:hAnsi="宋体" w:cs="宋体" w:eastAsia="宋体" w:hint="default"/>
          <w:spacing w:val="-54"/>
          <w:sz w:val="21"/>
          <w:szCs w:val="21"/>
        </w:rPr>
        <w:t> </w:t>
      </w:r>
      <w:r>
        <w:rPr>
          <w:rFonts w:ascii="宋体" w:hAnsi="宋体" w:cs="宋体" w:eastAsia="宋体" w:hint="default"/>
          <w:sz w:val="21"/>
          <w:szCs w:val="21"/>
        </w:rPr>
        <w:t>的全新模式，在大幅节省资本开支的同时，实现</w:t>
      </w:r>
      <w:r>
        <w:rPr>
          <w:rFonts w:ascii="宋体" w:hAnsi="宋体" w:cs="宋体" w:eastAsia="宋体" w:hint="default"/>
          <w:spacing w:val="-56"/>
          <w:sz w:val="21"/>
          <w:szCs w:val="21"/>
        </w:rPr>
        <w:t> </w:t>
      </w:r>
      <w:r>
        <w:rPr>
          <w:rFonts w:ascii="宋体" w:hAnsi="宋体" w:cs="宋体" w:eastAsia="宋体" w:hint="default"/>
          <w:sz w:val="21"/>
          <w:szCs w:val="21"/>
        </w:rPr>
        <w:t>5G</w:t>
      </w:r>
      <w:r>
        <w:rPr>
          <w:rFonts w:ascii="宋体" w:hAnsi="宋体" w:cs="宋体" w:eastAsia="宋体" w:hint="default"/>
          <w:spacing w:val="-54"/>
          <w:sz w:val="21"/>
          <w:szCs w:val="21"/>
        </w:rPr>
        <w:t> </w:t>
      </w:r>
      <w:r>
        <w:rPr>
          <w:rFonts w:ascii="宋体" w:hAnsi="宋体" w:cs="宋体" w:eastAsia="宋体" w:hint="default"/>
          <w:spacing w:val="-3"/>
          <w:sz w:val="21"/>
          <w:szCs w:val="21"/>
        </w:rPr>
        <w:t>网络覆盖翻倍、带宽</w:t>
      </w:r>
      <w:r>
        <w:rPr>
          <w:rFonts w:ascii="宋体" w:hAnsi="宋体" w:cs="宋体" w:eastAsia="宋体" w:hint="default"/>
          <w:w w:val="100"/>
          <w:sz w:val="21"/>
          <w:szCs w:val="21"/>
        </w:rPr>
        <w:t> </w:t>
      </w:r>
      <w:r>
        <w:rPr>
          <w:rFonts w:ascii="宋体" w:hAnsi="宋体" w:cs="宋体" w:eastAsia="宋体" w:hint="default"/>
          <w:spacing w:val="-3"/>
          <w:sz w:val="21"/>
          <w:szCs w:val="21"/>
        </w:rPr>
        <w:t>翻倍、容量翻倍和速率翻倍，为用户提供更好的服务感知。目前双方已累计开通共享</w:t>
      </w:r>
      <w:r>
        <w:rPr>
          <w:rFonts w:ascii="宋体" w:hAnsi="宋体" w:cs="宋体" w:eastAsia="宋体" w:hint="default"/>
          <w:spacing w:val="-34"/>
          <w:sz w:val="21"/>
          <w:szCs w:val="21"/>
        </w:rPr>
        <w:t> </w:t>
      </w:r>
      <w:r>
        <w:rPr>
          <w:rFonts w:ascii="宋体" w:hAnsi="宋体" w:cs="宋体" w:eastAsia="宋体" w:hint="default"/>
          <w:sz w:val="21"/>
          <w:szCs w:val="21"/>
        </w:rPr>
        <w:t>5G</w:t>
      </w:r>
      <w:r>
        <w:rPr>
          <w:rFonts w:ascii="宋体" w:hAnsi="宋体" w:cs="宋体" w:eastAsia="宋体" w:hint="default"/>
          <w:spacing w:val="-35"/>
          <w:sz w:val="21"/>
          <w:szCs w:val="21"/>
        </w:rPr>
        <w:t> </w:t>
      </w:r>
      <w:r>
        <w:rPr>
          <w:rFonts w:ascii="宋体" w:hAnsi="宋体" w:cs="宋体" w:eastAsia="宋体" w:hint="default"/>
          <w:sz w:val="21"/>
          <w:szCs w:val="21"/>
        </w:rPr>
        <w:t>基站</w:t>
      </w:r>
      <w:r>
        <w:rPr>
          <w:rFonts w:ascii="宋体" w:hAnsi="宋体" w:cs="宋体" w:eastAsia="宋体" w:hint="default"/>
          <w:spacing w:val="-35"/>
          <w:sz w:val="21"/>
          <w:szCs w:val="21"/>
        </w:rPr>
        <w:t> </w:t>
      </w:r>
      <w:r>
        <w:rPr>
          <w:rFonts w:ascii="宋体" w:hAnsi="宋体" w:cs="宋体" w:eastAsia="宋体" w:hint="default"/>
          <w:sz w:val="21"/>
          <w:szCs w:val="21"/>
        </w:rPr>
        <w:t>5</w:t>
      </w:r>
      <w:r>
        <w:rPr>
          <w:rFonts w:ascii="宋体" w:hAnsi="宋体" w:cs="宋体" w:eastAsia="宋体" w:hint="default"/>
          <w:spacing w:val="-38"/>
          <w:sz w:val="21"/>
          <w:szCs w:val="21"/>
        </w:rPr>
        <w:t> </w:t>
      </w:r>
      <w:r>
        <w:rPr>
          <w:rFonts w:ascii="宋体" w:hAnsi="宋体" w:cs="宋体" w:eastAsia="宋体" w:hint="default"/>
          <w:sz w:val="21"/>
          <w:szCs w:val="21"/>
        </w:rPr>
        <w:t>万个，</w:t>
      </w:r>
      <w:r>
        <w:rPr>
          <w:rFonts w:ascii="宋体" w:hAnsi="宋体" w:cs="宋体" w:eastAsia="宋体" w:hint="default"/>
          <w:spacing w:val="-98"/>
          <w:sz w:val="21"/>
          <w:szCs w:val="21"/>
        </w:rPr>
        <w:t> </w:t>
      </w:r>
      <w:r>
        <w:rPr>
          <w:rFonts w:ascii="宋体" w:hAnsi="宋体" w:cs="宋体" w:eastAsia="宋体" w:hint="default"/>
          <w:spacing w:val="-1"/>
          <w:w w:val="100"/>
          <w:sz w:val="21"/>
          <w:szCs w:val="21"/>
        </w:rPr>
        <w:t>共同节省投资成本约</w:t>
      </w:r>
      <w:r>
        <w:rPr>
          <w:rFonts w:ascii="宋体" w:hAnsi="宋体" w:cs="宋体" w:eastAsia="宋体" w:hint="default"/>
          <w:w w:val="100"/>
          <w:sz w:val="21"/>
          <w:szCs w:val="21"/>
        </w:rPr>
        <w:t> </w:t>
      </w:r>
      <w:r>
        <w:rPr>
          <w:rFonts w:ascii="宋体" w:hAnsi="宋体" w:cs="宋体" w:eastAsia="宋体" w:hint="default"/>
          <w:spacing w:val="-1"/>
          <w:w w:val="100"/>
          <w:sz w:val="21"/>
          <w:szCs w:val="21"/>
        </w:rPr>
        <w:t>100</w:t>
      </w:r>
      <w:r>
        <w:rPr>
          <w:rFonts w:ascii="宋体" w:hAnsi="宋体" w:cs="宋体" w:eastAsia="宋体" w:hint="default"/>
          <w:spacing w:val="-54"/>
          <w:w w:val="100"/>
          <w:sz w:val="21"/>
          <w:szCs w:val="21"/>
        </w:rPr>
        <w:t> </w:t>
      </w:r>
      <w:r>
        <w:rPr>
          <w:rFonts w:ascii="宋体" w:hAnsi="宋体" w:cs="宋体" w:eastAsia="宋体" w:hint="default"/>
          <w:spacing w:val="-15"/>
          <w:w w:val="100"/>
          <w:sz w:val="21"/>
          <w:szCs w:val="21"/>
        </w:rPr>
        <w:t>亿元。公司可用</w:t>
      </w:r>
      <w:r>
        <w:rPr>
          <w:rFonts w:ascii="宋体" w:hAnsi="宋体" w:cs="宋体" w:eastAsia="宋体" w:hint="default"/>
          <w:spacing w:val="-52"/>
          <w:w w:val="100"/>
          <w:sz w:val="21"/>
          <w:szCs w:val="21"/>
        </w:rPr>
        <w:t> </w:t>
      </w:r>
      <w:r>
        <w:rPr>
          <w:rFonts w:ascii="宋体" w:hAnsi="宋体" w:cs="宋体" w:eastAsia="宋体" w:hint="default"/>
          <w:w w:val="100"/>
          <w:sz w:val="21"/>
          <w:szCs w:val="21"/>
        </w:rPr>
        <w:t>5G</w:t>
      </w:r>
      <w:r>
        <w:rPr>
          <w:rFonts w:ascii="宋体" w:hAnsi="宋体" w:cs="宋体" w:eastAsia="宋体" w:hint="default"/>
          <w:spacing w:val="-54"/>
          <w:w w:val="100"/>
          <w:sz w:val="21"/>
          <w:szCs w:val="21"/>
        </w:rPr>
        <w:t> </w:t>
      </w:r>
      <w:r>
        <w:rPr>
          <w:rFonts w:ascii="宋体" w:hAnsi="宋体" w:cs="宋体" w:eastAsia="宋体" w:hint="default"/>
          <w:spacing w:val="-2"/>
          <w:w w:val="100"/>
          <w:sz w:val="21"/>
          <w:szCs w:val="21"/>
        </w:rPr>
        <w:t>基站规模超过</w:t>
      </w:r>
      <w:r>
        <w:rPr>
          <w:rFonts w:ascii="宋体" w:hAnsi="宋体" w:cs="宋体" w:eastAsia="宋体" w:hint="default"/>
          <w:spacing w:val="-52"/>
          <w:w w:val="100"/>
          <w:sz w:val="21"/>
          <w:szCs w:val="21"/>
        </w:rPr>
        <w:t> </w:t>
      </w:r>
      <w:r>
        <w:rPr>
          <w:rFonts w:ascii="宋体" w:hAnsi="宋体" w:cs="宋体" w:eastAsia="宋体" w:hint="default"/>
          <w:w w:val="100"/>
          <w:sz w:val="21"/>
          <w:szCs w:val="21"/>
        </w:rPr>
        <w:t>6</w:t>
      </w:r>
      <w:r>
        <w:rPr>
          <w:rFonts w:ascii="宋体" w:hAnsi="宋体" w:cs="宋体" w:eastAsia="宋体" w:hint="default"/>
          <w:spacing w:val="-52"/>
          <w:w w:val="100"/>
          <w:sz w:val="21"/>
          <w:szCs w:val="21"/>
        </w:rPr>
        <w:t> </w:t>
      </w:r>
      <w:r>
        <w:rPr>
          <w:rFonts w:ascii="宋体" w:hAnsi="宋体" w:cs="宋体" w:eastAsia="宋体" w:hint="default"/>
          <w:spacing w:val="-21"/>
          <w:w w:val="100"/>
          <w:sz w:val="21"/>
          <w:szCs w:val="21"/>
        </w:rPr>
        <w:t>万个，支撑</w:t>
      </w:r>
      <w:r>
        <w:rPr>
          <w:rFonts w:ascii="宋体" w:hAnsi="宋体" w:cs="宋体" w:eastAsia="宋体" w:hint="default"/>
          <w:spacing w:val="-52"/>
          <w:w w:val="100"/>
          <w:sz w:val="21"/>
          <w:szCs w:val="21"/>
        </w:rPr>
        <w:t> </w:t>
      </w:r>
      <w:r>
        <w:rPr>
          <w:rFonts w:ascii="宋体" w:hAnsi="宋体" w:cs="宋体" w:eastAsia="宋体" w:hint="default"/>
          <w:w w:val="100"/>
          <w:sz w:val="21"/>
          <w:szCs w:val="21"/>
        </w:rPr>
        <w:t>5G</w:t>
      </w:r>
      <w:r>
        <w:rPr>
          <w:rFonts w:ascii="宋体" w:hAnsi="宋体" w:cs="宋体" w:eastAsia="宋体" w:hint="default"/>
          <w:spacing w:val="-54"/>
          <w:w w:val="100"/>
          <w:sz w:val="21"/>
          <w:szCs w:val="21"/>
        </w:rPr>
        <w:t> </w:t>
      </w:r>
      <w:r>
        <w:rPr>
          <w:rFonts w:ascii="宋体" w:hAnsi="宋体" w:cs="宋体" w:eastAsia="宋体" w:hint="default"/>
          <w:spacing w:val="-2"/>
          <w:w w:val="100"/>
          <w:sz w:val="21"/>
          <w:szCs w:val="21"/>
        </w:rPr>
        <w:t>服务从试验初步迈向商用。</w:t>
      </w:r>
    </w:p>
    <w:p>
      <w:pPr>
        <w:spacing w:line="360" w:lineRule="exact" w:before="133"/>
        <w:ind w:left="138" w:right="205" w:firstLine="420"/>
        <w:jc w:val="both"/>
        <w:rPr>
          <w:rFonts w:ascii="宋体" w:hAnsi="宋体" w:cs="宋体" w:eastAsia="宋体" w:hint="default"/>
          <w:sz w:val="21"/>
          <w:szCs w:val="21"/>
        </w:rPr>
      </w:pPr>
      <w:r>
        <w:rPr>
          <w:rFonts w:ascii="宋体" w:hAnsi="宋体" w:cs="宋体" w:eastAsia="宋体" w:hint="default"/>
          <w:spacing w:val="-3"/>
          <w:sz w:val="21"/>
          <w:szCs w:val="21"/>
        </w:rPr>
        <w:t>未来，公司将积极发挥共建共享优势</w:t>
      </w:r>
      <w:r>
        <w:rPr>
          <w:rFonts w:ascii="宋体" w:hAnsi="宋体" w:cs="宋体" w:eastAsia="宋体" w:hint="default"/>
          <w:spacing w:val="-3"/>
          <w:sz w:val="21"/>
          <w:szCs w:val="21"/>
        </w:rPr>
        <w:t>,</w:t>
      </w:r>
      <w:r>
        <w:rPr>
          <w:rFonts w:ascii="宋体" w:hAnsi="宋体" w:cs="宋体" w:eastAsia="宋体" w:hint="default"/>
          <w:spacing w:val="12"/>
          <w:sz w:val="21"/>
          <w:szCs w:val="21"/>
        </w:rPr>
        <w:t> </w:t>
      </w:r>
      <w:r>
        <w:rPr>
          <w:rFonts w:ascii="宋体" w:hAnsi="宋体" w:cs="宋体" w:eastAsia="宋体" w:hint="default"/>
          <w:sz w:val="21"/>
          <w:szCs w:val="21"/>
        </w:rPr>
        <w:t>并充分考虑技术进展、产业链成熟度以及市场和业务需求</w:t>
      </w:r>
      <w:r>
        <w:rPr>
          <w:rFonts w:ascii="宋体" w:hAnsi="宋体" w:cs="宋体" w:eastAsia="宋体" w:hint="default"/>
          <w:w w:val="100"/>
          <w:sz w:val="21"/>
          <w:szCs w:val="21"/>
        </w:rPr>
        <w:t> </w:t>
      </w:r>
      <w:r>
        <w:rPr>
          <w:rFonts w:ascii="宋体" w:hAnsi="宋体" w:cs="宋体" w:eastAsia="宋体" w:hint="default"/>
          <w:spacing w:val="-3"/>
          <w:sz w:val="21"/>
          <w:szCs w:val="21"/>
        </w:rPr>
        <w:t>等稳步、精准、动态投资</w:t>
      </w:r>
      <w:r>
        <w:rPr>
          <w:rFonts w:ascii="宋体" w:hAnsi="宋体" w:cs="宋体" w:eastAsia="宋体" w:hint="default"/>
          <w:spacing w:val="-54"/>
          <w:sz w:val="21"/>
          <w:szCs w:val="21"/>
        </w:rPr>
        <w:t> </w:t>
      </w:r>
      <w:r>
        <w:rPr>
          <w:rFonts w:ascii="宋体" w:hAnsi="宋体" w:cs="宋体" w:eastAsia="宋体" w:hint="default"/>
          <w:sz w:val="21"/>
          <w:szCs w:val="21"/>
        </w:rPr>
        <w:t>5G</w:t>
      </w:r>
      <w:r>
        <w:rPr>
          <w:rFonts w:ascii="宋体" w:hAnsi="宋体" w:cs="宋体" w:eastAsia="宋体" w:hint="default"/>
          <w:spacing w:val="-54"/>
          <w:sz w:val="21"/>
          <w:szCs w:val="21"/>
        </w:rPr>
        <w:t> </w:t>
      </w:r>
      <w:r>
        <w:rPr>
          <w:rFonts w:ascii="宋体" w:hAnsi="宋体" w:cs="宋体" w:eastAsia="宋体" w:hint="default"/>
          <w:sz w:val="21"/>
          <w:szCs w:val="21"/>
        </w:rPr>
        <w:t>网络建设，在投资成本和运营成本</w:t>
      </w:r>
      <w:r>
        <w:rPr>
          <w:rFonts w:ascii="Microsoft JhengHei" w:hAnsi="Microsoft JhengHei" w:cs="Microsoft JhengHei" w:eastAsia="Microsoft JhengHei" w:hint="default"/>
          <w:sz w:val="21"/>
          <w:szCs w:val="21"/>
        </w:rPr>
        <w:t>⼤</w:t>
      </w:r>
      <w:r>
        <w:rPr>
          <w:rFonts w:ascii="宋体" w:hAnsi="宋体" w:cs="宋体" w:eastAsia="宋体" w:hint="default"/>
          <w:sz w:val="21"/>
          <w:szCs w:val="21"/>
        </w:rPr>
        <w:t>幅节省的情况下，实现</w:t>
      </w:r>
      <w:r>
        <w:rPr>
          <w:rFonts w:ascii="宋体" w:hAnsi="宋体" w:cs="宋体" w:eastAsia="宋体" w:hint="default"/>
          <w:spacing w:val="-56"/>
          <w:sz w:val="21"/>
          <w:szCs w:val="21"/>
        </w:rPr>
        <w:t> </w:t>
      </w:r>
      <w:r>
        <w:rPr>
          <w:rFonts w:ascii="宋体" w:hAnsi="宋体" w:cs="宋体" w:eastAsia="宋体" w:hint="default"/>
          <w:sz w:val="21"/>
          <w:szCs w:val="21"/>
        </w:rPr>
        <w:t>5G</w:t>
      </w:r>
      <w:r>
        <w:rPr>
          <w:rFonts w:ascii="宋体" w:hAnsi="宋体" w:cs="宋体" w:eastAsia="宋体" w:hint="default"/>
          <w:spacing w:val="-54"/>
          <w:sz w:val="21"/>
          <w:szCs w:val="21"/>
        </w:rPr>
        <w:t> </w:t>
      </w:r>
      <w:r>
        <w:rPr>
          <w:rFonts w:ascii="宋体" w:hAnsi="宋体" w:cs="宋体" w:eastAsia="宋体" w:hint="default"/>
          <w:sz w:val="21"/>
          <w:szCs w:val="21"/>
        </w:rPr>
        <w:t>网络质量</w:t>
      </w:r>
      <w:r>
        <w:rPr>
          <w:rFonts w:ascii="宋体" w:hAnsi="宋体" w:cs="宋体" w:eastAsia="宋体" w:hint="default"/>
          <w:w w:val="100"/>
          <w:sz w:val="21"/>
          <w:szCs w:val="21"/>
        </w:rPr>
        <w:t> </w:t>
      </w:r>
      <w:r>
        <w:rPr>
          <w:rFonts w:ascii="宋体" w:hAnsi="宋体" w:cs="宋体" w:eastAsia="宋体" w:hint="default"/>
          <w:sz w:val="21"/>
          <w:szCs w:val="21"/>
        </w:rPr>
        <w:t>与主导运营商基本相当。公司还将与中国电信积极加强 </w:t>
      </w:r>
      <w:r>
        <w:rPr>
          <w:rFonts w:ascii="宋体" w:hAnsi="宋体" w:cs="宋体" w:eastAsia="宋体" w:hint="default"/>
          <w:sz w:val="21"/>
          <w:szCs w:val="21"/>
        </w:rPr>
        <w:t>4G</w:t>
      </w:r>
      <w:r>
        <w:rPr>
          <w:rFonts w:ascii="宋体" w:hAnsi="宋体" w:cs="宋体" w:eastAsia="宋体" w:hint="default"/>
          <w:spacing w:val="-33"/>
          <w:sz w:val="21"/>
          <w:szCs w:val="21"/>
        </w:rPr>
        <w:t> </w:t>
      </w:r>
      <w:r>
        <w:rPr>
          <w:rFonts w:ascii="宋体" w:hAnsi="宋体" w:cs="宋体" w:eastAsia="宋体" w:hint="default"/>
          <w:sz w:val="21"/>
          <w:szCs w:val="21"/>
        </w:rPr>
        <w:t>室分、机房、光纤、管线等领域的全方位</w:t>
      </w:r>
      <w:r>
        <w:rPr>
          <w:rFonts w:ascii="宋体" w:hAnsi="宋体" w:cs="宋体" w:eastAsia="宋体" w:hint="default"/>
          <w:w w:val="100"/>
          <w:sz w:val="21"/>
          <w:szCs w:val="21"/>
        </w:rPr>
        <w:t> </w:t>
      </w:r>
      <w:r>
        <w:rPr>
          <w:rFonts w:ascii="宋体" w:hAnsi="宋体" w:cs="宋体" w:eastAsia="宋体" w:hint="default"/>
          <w:sz w:val="21"/>
          <w:szCs w:val="21"/>
        </w:rPr>
        <w:t>共建共享，进一步提升网络竞争力和公司价值。</w:t>
      </w:r>
    </w:p>
    <w:p>
      <w:pPr>
        <w:spacing w:before="132"/>
        <w:ind w:left="563" w:right="96"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推进基础设施精准建设，网络质量大幅提升</w:t>
      </w:r>
      <w:r>
        <w:rPr>
          <w:rFonts w:ascii="Microsoft JhengHei" w:hAnsi="Microsoft JhengHei" w:cs="Microsoft JhengHei" w:eastAsia="Microsoft JhengHei" w:hint="default"/>
          <w:sz w:val="21"/>
          <w:szCs w:val="21"/>
        </w:rPr>
      </w:r>
    </w:p>
    <w:p>
      <w:pPr>
        <w:spacing w:after="0"/>
        <w:jc w:val="left"/>
        <w:rPr>
          <w:rFonts w:ascii="Microsoft JhengHei" w:hAnsi="Microsoft JhengHei" w:cs="Microsoft JhengHei" w:eastAsia="Microsoft JhengHei" w:hint="default"/>
          <w:sz w:val="21"/>
          <w:szCs w:val="21"/>
        </w:rPr>
        <w:sectPr>
          <w:footerReference w:type="default" r:id="rId23"/>
          <w:pgSz w:w="11910" w:h="16840"/>
          <w:pgMar w:footer="502" w:header="854" w:top="1360" w:bottom="700" w:left="1280" w:right="1060"/>
        </w:sectPr>
      </w:pPr>
    </w:p>
    <w:p>
      <w:pPr>
        <w:spacing w:line="240" w:lineRule="auto" w:before="13"/>
        <w:rPr>
          <w:rFonts w:ascii="Microsoft JhengHei" w:hAnsi="Microsoft JhengHei" w:cs="Microsoft JhengHei" w:eastAsia="Microsoft JhengHei" w:hint="default"/>
          <w:b/>
          <w:bCs/>
          <w:sz w:val="9"/>
          <w:szCs w:val="9"/>
        </w:rPr>
      </w:pPr>
    </w:p>
    <w:p>
      <w:pPr>
        <w:spacing w:line="314" w:lineRule="auto" w:before="36"/>
        <w:ind w:left="138" w:right="96" w:firstLine="420"/>
        <w:jc w:val="left"/>
        <w:rPr>
          <w:rFonts w:ascii="宋体" w:hAnsi="宋体" w:cs="宋体" w:eastAsia="宋体" w:hint="default"/>
          <w:sz w:val="21"/>
          <w:szCs w:val="21"/>
        </w:rPr>
      </w:pPr>
      <w:r>
        <w:rPr>
          <w:rFonts w:ascii="宋体" w:hAnsi="宋体" w:cs="宋体" w:eastAsia="宋体" w:hint="default"/>
          <w:sz w:val="21"/>
          <w:szCs w:val="21"/>
        </w:rPr>
        <w:t>公司聚焦 “5G+4G”精品网、创新业务等需求，精准高效推进网络基础设施建设。充分利用</w:t>
      </w:r>
      <w:r>
        <w:rPr>
          <w:rFonts w:ascii="宋体" w:hAnsi="宋体" w:cs="宋体" w:eastAsia="宋体" w:hint="default"/>
          <w:spacing w:val="-31"/>
          <w:sz w:val="21"/>
          <w:szCs w:val="21"/>
        </w:rPr>
        <w:t> </w:t>
      </w:r>
      <w:r>
        <w:rPr>
          <w:rFonts w:ascii="宋体" w:hAnsi="宋体" w:cs="宋体" w:eastAsia="宋体" w:hint="default"/>
          <w:sz w:val="21"/>
          <w:szCs w:val="21"/>
        </w:rPr>
        <w:t>LTE</w:t>
      </w:r>
      <w:r>
        <w:rPr>
          <w:rFonts w:ascii="宋体" w:hAnsi="宋体" w:cs="宋体" w:eastAsia="宋体" w:hint="default"/>
          <w:w w:val="100"/>
          <w:sz w:val="21"/>
          <w:szCs w:val="21"/>
        </w:rPr>
        <w:t> </w:t>
      </w:r>
      <w:r>
        <w:rPr>
          <w:rFonts w:ascii="宋体" w:hAnsi="宋体" w:cs="宋体" w:eastAsia="宋体" w:hint="default"/>
          <w:sz w:val="21"/>
          <w:szCs w:val="21"/>
        </w:rPr>
        <w:t>900MHz</w:t>
      </w:r>
      <w:r>
        <w:rPr>
          <w:rFonts w:ascii="宋体" w:hAnsi="宋体" w:cs="宋体" w:eastAsia="宋体" w:hint="default"/>
          <w:spacing w:val="-53"/>
          <w:sz w:val="21"/>
          <w:szCs w:val="21"/>
        </w:rPr>
        <w:t> </w:t>
      </w:r>
      <w:r>
        <w:rPr>
          <w:rFonts w:ascii="宋体" w:hAnsi="宋体" w:cs="宋体" w:eastAsia="宋体" w:hint="default"/>
          <w:spacing w:val="-3"/>
          <w:sz w:val="21"/>
          <w:szCs w:val="21"/>
        </w:rPr>
        <w:t>优势，大力完善</w:t>
      </w:r>
      <w:r>
        <w:rPr>
          <w:rFonts w:ascii="宋体" w:hAnsi="宋体" w:cs="宋体" w:eastAsia="宋体" w:hint="default"/>
          <w:spacing w:val="-53"/>
          <w:sz w:val="21"/>
          <w:szCs w:val="21"/>
        </w:rPr>
        <w:t> </w:t>
      </w:r>
      <w:r>
        <w:rPr>
          <w:rFonts w:ascii="宋体" w:hAnsi="宋体" w:cs="宋体" w:eastAsia="宋体" w:hint="default"/>
          <w:sz w:val="21"/>
          <w:szCs w:val="21"/>
        </w:rPr>
        <w:t>4G</w:t>
      </w:r>
      <w:r>
        <w:rPr>
          <w:rFonts w:ascii="宋体" w:hAnsi="宋体" w:cs="宋体" w:eastAsia="宋体" w:hint="default"/>
          <w:spacing w:val="-52"/>
          <w:sz w:val="21"/>
          <w:szCs w:val="21"/>
        </w:rPr>
        <w:t> </w:t>
      </w:r>
      <w:r>
        <w:rPr>
          <w:rFonts w:ascii="宋体" w:hAnsi="宋体" w:cs="宋体" w:eastAsia="宋体" w:hint="default"/>
          <w:sz w:val="21"/>
          <w:szCs w:val="21"/>
        </w:rPr>
        <w:t>网络深度和广度覆盖，持续优化网络结构，加速部署网络</w:t>
      </w:r>
      <w:r>
        <w:rPr>
          <w:rFonts w:ascii="宋体" w:hAnsi="宋体" w:cs="宋体" w:eastAsia="宋体" w:hint="default"/>
          <w:spacing w:val="-53"/>
          <w:sz w:val="21"/>
          <w:szCs w:val="21"/>
        </w:rPr>
        <w:t> </w:t>
      </w:r>
      <w:r>
        <w:rPr>
          <w:rFonts w:ascii="宋体" w:hAnsi="宋体" w:cs="宋体" w:eastAsia="宋体" w:hint="default"/>
          <w:sz w:val="21"/>
          <w:szCs w:val="21"/>
        </w:rPr>
        <w:t>SDN</w:t>
      </w:r>
      <w:r>
        <w:rPr>
          <w:rFonts w:ascii="宋体" w:hAnsi="宋体" w:cs="宋体" w:eastAsia="宋体" w:hint="default"/>
          <w:spacing w:val="-53"/>
          <w:sz w:val="21"/>
          <w:szCs w:val="21"/>
        </w:rPr>
        <w:t> </w:t>
      </w:r>
      <w:r>
        <w:rPr>
          <w:rFonts w:ascii="宋体" w:hAnsi="宋体" w:cs="宋体" w:eastAsia="宋体" w:hint="default"/>
          <w:spacing w:val="-3"/>
          <w:sz w:val="21"/>
          <w:szCs w:val="21"/>
        </w:rPr>
        <w:t>化、</w:t>
      </w:r>
      <w:r>
        <w:rPr>
          <w:rFonts w:ascii="宋体" w:hAnsi="宋体" w:cs="宋体" w:eastAsia="宋体" w:hint="default"/>
          <w:spacing w:val="-3"/>
          <w:sz w:val="21"/>
          <w:szCs w:val="21"/>
        </w:rPr>
        <w:t>NFV</w:t>
      </w:r>
      <w:r>
        <w:rPr>
          <w:rFonts w:ascii="宋体" w:hAnsi="宋体" w:cs="宋体" w:eastAsia="宋体" w:hint="default"/>
          <w:spacing w:val="-53"/>
          <w:sz w:val="21"/>
          <w:szCs w:val="21"/>
        </w:rPr>
        <w:t> </w:t>
      </w:r>
      <w:r>
        <w:rPr>
          <w:rFonts w:ascii="宋体" w:hAnsi="宋体" w:cs="宋体" w:eastAsia="宋体" w:hint="default"/>
          <w:sz w:val="21"/>
          <w:szCs w:val="21"/>
        </w:rPr>
        <w:t>化、</w:t>
      </w:r>
      <w:r>
        <w:rPr>
          <w:rFonts w:ascii="宋体" w:hAnsi="宋体" w:cs="宋体" w:eastAsia="宋体" w:hint="default"/>
          <w:w w:val="100"/>
          <w:sz w:val="21"/>
          <w:szCs w:val="21"/>
        </w:rPr>
        <w:t> </w:t>
      </w:r>
      <w:r>
        <w:rPr>
          <w:rFonts w:ascii="宋体" w:hAnsi="宋体" w:cs="宋体" w:eastAsia="宋体" w:hint="default"/>
          <w:sz w:val="21"/>
          <w:szCs w:val="21"/>
        </w:rPr>
        <w:t>云化和智能化。截至</w:t>
      </w:r>
      <w:r>
        <w:rPr>
          <w:rFonts w:ascii="宋体" w:hAnsi="宋体" w:cs="宋体" w:eastAsia="宋体" w:hint="default"/>
          <w:spacing w:val="-46"/>
          <w:sz w:val="21"/>
          <w:szCs w:val="21"/>
        </w:rPr>
        <w:t> </w:t>
      </w:r>
      <w:r>
        <w:rPr>
          <w:rFonts w:ascii="宋体" w:hAnsi="宋体" w:cs="宋体" w:eastAsia="宋体" w:hint="default"/>
          <w:sz w:val="21"/>
          <w:szCs w:val="21"/>
        </w:rPr>
        <w:t>2019</w:t>
      </w:r>
      <w:r>
        <w:rPr>
          <w:rFonts w:ascii="宋体" w:hAnsi="宋体" w:cs="宋体" w:eastAsia="宋体" w:hint="default"/>
          <w:spacing w:val="-45"/>
          <w:sz w:val="21"/>
          <w:szCs w:val="21"/>
        </w:rPr>
        <w:t> </w:t>
      </w:r>
      <w:r>
        <w:rPr>
          <w:rFonts w:ascii="宋体" w:hAnsi="宋体" w:cs="宋体" w:eastAsia="宋体" w:hint="default"/>
          <w:sz w:val="21"/>
          <w:szCs w:val="21"/>
        </w:rPr>
        <w:t>年底，公司</w:t>
      </w:r>
      <w:r>
        <w:rPr>
          <w:rFonts w:ascii="宋体" w:hAnsi="宋体" w:cs="宋体" w:eastAsia="宋体" w:hint="default"/>
          <w:spacing w:val="-46"/>
          <w:sz w:val="21"/>
          <w:szCs w:val="21"/>
        </w:rPr>
        <w:t> </w:t>
      </w:r>
      <w:r>
        <w:rPr>
          <w:rFonts w:ascii="宋体" w:hAnsi="宋体" w:cs="宋体" w:eastAsia="宋体" w:hint="default"/>
          <w:sz w:val="21"/>
          <w:szCs w:val="21"/>
        </w:rPr>
        <w:t>4G</w:t>
      </w:r>
      <w:r>
        <w:rPr>
          <w:rFonts w:ascii="宋体" w:hAnsi="宋体" w:cs="宋体" w:eastAsia="宋体" w:hint="default"/>
          <w:spacing w:val="-43"/>
          <w:sz w:val="21"/>
          <w:szCs w:val="21"/>
        </w:rPr>
        <w:t> </w:t>
      </w:r>
      <w:r>
        <w:rPr>
          <w:rFonts w:ascii="宋体" w:hAnsi="宋体" w:cs="宋体" w:eastAsia="宋体" w:hint="default"/>
          <w:sz w:val="21"/>
          <w:szCs w:val="21"/>
        </w:rPr>
        <w:t>基站总数达到</w:t>
      </w:r>
      <w:r>
        <w:rPr>
          <w:rFonts w:ascii="宋体" w:hAnsi="宋体" w:cs="宋体" w:eastAsia="宋体" w:hint="default"/>
          <w:spacing w:val="-43"/>
          <w:sz w:val="21"/>
          <w:szCs w:val="21"/>
        </w:rPr>
        <w:t> </w:t>
      </w:r>
      <w:r>
        <w:rPr>
          <w:rFonts w:ascii="宋体" w:hAnsi="宋体" w:cs="宋体" w:eastAsia="宋体" w:hint="default"/>
          <w:sz w:val="21"/>
          <w:szCs w:val="21"/>
        </w:rPr>
        <w:t>141</w:t>
      </w:r>
      <w:r>
        <w:rPr>
          <w:rFonts w:ascii="宋体" w:hAnsi="宋体" w:cs="宋体" w:eastAsia="宋体" w:hint="default"/>
          <w:spacing w:val="-45"/>
          <w:sz w:val="21"/>
          <w:szCs w:val="21"/>
        </w:rPr>
        <w:t> </w:t>
      </w:r>
      <w:r>
        <w:rPr>
          <w:rFonts w:ascii="宋体" w:hAnsi="宋体" w:cs="宋体" w:eastAsia="宋体" w:hint="default"/>
          <w:sz w:val="21"/>
          <w:szCs w:val="21"/>
        </w:rPr>
        <w:t>万个（含</w:t>
      </w:r>
      <w:r>
        <w:rPr>
          <w:rFonts w:ascii="宋体" w:hAnsi="宋体" w:cs="宋体" w:eastAsia="宋体" w:hint="default"/>
          <w:spacing w:val="-43"/>
          <w:sz w:val="21"/>
          <w:szCs w:val="21"/>
        </w:rPr>
        <w:t> </w:t>
      </w:r>
      <w:r>
        <w:rPr>
          <w:rFonts w:ascii="宋体" w:hAnsi="宋体" w:cs="宋体" w:eastAsia="宋体" w:hint="default"/>
          <w:sz w:val="21"/>
          <w:szCs w:val="21"/>
        </w:rPr>
        <w:t>4G</w:t>
      </w:r>
      <w:r>
        <w:rPr>
          <w:rFonts w:ascii="宋体" w:hAnsi="宋体" w:cs="宋体" w:eastAsia="宋体" w:hint="default"/>
          <w:spacing w:val="-43"/>
          <w:sz w:val="21"/>
          <w:szCs w:val="21"/>
        </w:rPr>
        <w:t> </w:t>
      </w:r>
      <w:r>
        <w:rPr>
          <w:rFonts w:ascii="宋体" w:hAnsi="宋体" w:cs="宋体" w:eastAsia="宋体" w:hint="default"/>
          <w:sz w:val="21"/>
          <w:szCs w:val="21"/>
        </w:rPr>
        <w:t>室外站及室分信源），其中</w:t>
      </w:r>
      <w:r>
        <w:rPr>
          <w:rFonts w:ascii="宋体" w:hAnsi="宋体" w:cs="宋体" w:eastAsia="宋体" w:hint="default"/>
          <w:w w:val="100"/>
          <w:sz w:val="21"/>
          <w:szCs w:val="21"/>
        </w:rPr>
        <w:t> </w:t>
      </w:r>
      <w:r>
        <w:rPr>
          <w:rFonts w:ascii="宋体" w:hAnsi="宋体" w:cs="宋体" w:eastAsia="宋体" w:hint="default"/>
          <w:sz w:val="21"/>
          <w:szCs w:val="21"/>
        </w:rPr>
        <w:t>LTE</w:t>
      </w:r>
      <w:r>
        <w:rPr>
          <w:rFonts w:ascii="宋体" w:hAnsi="宋体" w:cs="宋体" w:eastAsia="宋体" w:hint="default"/>
          <w:spacing w:val="-27"/>
          <w:sz w:val="21"/>
          <w:szCs w:val="21"/>
        </w:rPr>
        <w:t> </w:t>
      </w:r>
      <w:r>
        <w:rPr>
          <w:rFonts w:ascii="宋体" w:hAnsi="宋体" w:cs="宋体" w:eastAsia="宋体" w:hint="default"/>
          <w:sz w:val="21"/>
          <w:szCs w:val="21"/>
        </w:rPr>
        <w:t>900MHz</w:t>
      </w:r>
      <w:r>
        <w:rPr>
          <w:rFonts w:ascii="宋体" w:hAnsi="宋体" w:cs="宋体" w:eastAsia="宋体" w:hint="default"/>
          <w:spacing w:val="-56"/>
          <w:sz w:val="21"/>
          <w:szCs w:val="21"/>
        </w:rPr>
        <w:t> </w:t>
      </w:r>
      <w:r>
        <w:rPr>
          <w:rFonts w:ascii="宋体" w:hAnsi="宋体" w:cs="宋体" w:eastAsia="宋体" w:hint="default"/>
          <w:sz w:val="21"/>
          <w:szCs w:val="21"/>
        </w:rPr>
        <w:t>基站</w:t>
      </w:r>
      <w:r>
        <w:rPr>
          <w:rFonts w:ascii="宋体" w:hAnsi="宋体" w:cs="宋体" w:eastAsia="宋体" w:hint="default"/>
          <w:spacing w:val="-54"/>
          <w:sz w:val="21"/>
          <w:szCs w:val="21"/>
        </w:rPr>
        <w:t> </w:t>
      </w:r>
      <w:r>
        <w:rPr>
          <w:rFonts w:ascii="宋体" w:hAnsi="宋体" w:cs="宋体" w:eastAsia="宋体" w:hint="default"/>
          <w:sz w:val="21"/>
          <w:szCs w:val="21"/>
        </w:rPr>
        <w:t>24</w:t>
      </w:r>
      <w:r>
        <w:rPr>
          <w:rFonts w:ascii="宋体" w:hAnsi="宋体" w:cs="宋体" w:eastAsia="宋体" w:hint="default"/>
          <w:spacing w:val="-56"/>
          <w:sz w:val="21"/>
          <w:szCs w:val="21"/>
        </w:rPr>
        <w:t> </w:t>
      </w:r>
      <w:r>
        <w:rPr>
          <w:rFonts w:ascii="宋体" w:hAnsi="宋体" w:cs="宋体" w:eastAsia="宋体" w:hint="default"/>
          <w:sz w:val="21"/>
          <w:szCs w:val="21"/>
        </w:rPr>
        <w:t>万个，</w:t>
      </w:r>
      <w:r>
        <w:rPr>
          <w:rFonts w:ascii="宋体" w:hAnsi="宋体" w:cs="宋体" w:eastAsia="宋体" w:hint="default"/>
          <w:sz w:val="21"/>
          <w:szCs w:val="21"/>
        </w:rPr>
        <w:t>4G</w:t>
      </w:r>
      <w:r>
        <w:rPr>
          <w:rFonts w:ascii="宋体" w:hAnsi="宋体" w:cs="宋体" w:eastAsia="宋体" w:hint="default"/>
          <w:spacing w:val="-54"/>
          <w:sz w:val="21"/>
          <w:szCs w:val="21"/>
        </w:rPr>
        <w:t> </w:t>
      </w:r>
      <w:r>
        <w:rPr>
          <w:rFonts w:ascii="宋体" w:hAnsi="宋体" w:cs="宋体" w:eastAsia="宋体" w:hint="default"/>
          <w:sz w:val="21"/>
          <w:szCs w:val="21"/>
        </w:rPr>
        <w:t>网络深度覆盖和农村广覆盖能力显著提升；累计开通</w:t>
      </w:r>
      <w:r>
        <w:rPr>
          <w:rFonts w:ascii="宋体" w:hAnsi="宋体" w:cs="宋体" w:eastAsia="宋体" w:hint="default"/>
          <w:spacing w:val="-54"/>
          <w:sz w:val="21"/>
          <w:szCs w:val="21"/>
        </w:rPr>
        <w:t> </w:t>
      </w:r>
      <w:r>
        <w:rPr>
          <w:rFonts w:ascii="宋体" w:hAnsi="宋体" w:cs="宋体" w:eastAsia="宋体" w:hint="default"/>
          <w:sz w:val="21"/>
          <w:szCs w:val="21"/>
        </w:rPr>
        <w:t>NB-IOT</w:t>
      </w:r>
      <w:r>
        <w:rPr>
          <w:rFonts w:ascii="宋体" w:hAnsi="宋体" w:cs="宋体" w:eastAsia="宋体" w:hint="default"/>
          <w:spacing w:val="-54"/>
          <w:sz w:val="21"/>
          <w:szCs w:val="21"/>
        </w:rPr>
        <w:t> </w:t>
      </w:r>
      <w:r>
        <w:rPr>
          <w:rFonts w:ascii="宋体" w:hAnsi="宋体" w:cs="宋体" w:eastAsia="宋体" w:hint="default"/>
          <w:sz w:val="21"/>
          <w:szCs w:val="21"/>
        </w:rPr>
        <w:t>基站</w:t>
      </w:r>
      <w:r>
        <w:rPr>
          <w:rFonts w:ascii="宋体" w:hAnsi="宋体" w:cs="宋体" w:eastAsia="宋体" w:hint="default"/>
          <w:spacing w:val="-54"/>
          <w:sz w:val="21"/>
          <w:szCs w:val="21"/>
        </w:rPr>
        <w:t> </w:t>
      </w:r>
      <w:r>
        <w:rPr>
          <w:rFonts w:ascii="宋体" w:hAnsi="宋体" w:cs="宋体" w:eastAsia="宋体" w:hint="default"/>
          <w:sz w:val="21"/>
          <w:szCs w:val="21"/>
        </w:rPr>
        <w:t>20</w:t>
      </w:r>
      <w:r>
        <w:rPr>
          <w:rFonts w:ascii="宋体" w:hAnsi="宋体" w:cs="宋体" w:eastAsia="宋体" w:hint="default"/>
          <w:spacing w:val="-56"/>
          <w:sz w:val="21"/>
          <w:szCs w:val="21"/>
        </w:rPr>
        <w:t> </w:t>
      </w:r>
      <w:r>
        <w:rPr>
          <w:rFonts w:ascii="宋体" w:hAnsi="宋体" w:cs="宋体" w:eastAsia="宋体" w:hint="default"/>
          <w:sz w:val="21"/>
          <w:szCs w:val="21"/>
        </w:rPr>
        <w:t>万</w:t>
      </w:r>
      <w:r>
        <w:rPr>
          <w:rFonts w:ascii="宋体" w:hAnsi="宋体" w:cs="宋体" w:eastAsia="宋体" w:hint="default"/>
          <w:w w:val="100"/>
          <w:sz w:val="21"/>
          <w:szCs w:val="21"/>
        </w:rPr>
        <w:t> </w:t>
      </w:r>
      <w:r>
        <w:rPr>
          <w:rFonts w:ascii="宋体" w:hAnsi="宋体" w:cs="宋体" w:eastAsia="宋体" w:hint="default"/>
          <w:sz w:val="21"/>
          <w:szCs w:val="21"/>
        </w:rPr>
        <w:t>个，物联网业务承载能力显著增强；</w:t>
      </w:r>
      <w:r>
        <w:rPr>
          <w:rFonts w:ascii="宋体" w:hAnsi="宋体" w:cs="宋体" w:eastAsia="宋体" w:hint="default"/>
          <w:sz w:val="21"/>
          <w:szCs w:val="21"/>
        </w:rPr>
        <w:t>VoLTE</w:t>
      </w:r>
      <w:r>
        <w:rPr>
          <w:rFonts w:ascii="宋体" w:hAnsi="宋体" w:cs="宋体" w:eastAsia="宋体" w:hint="default"/>
          <w:spacing w:val="-29"/>
          <w:sz w:val="21"/>
          <w:szCs w:val="21"/>
        </w:rPr>
        <w:t> </w:t>
      </w:r>
      <w:r>
        <w:rPr>
          <w:rFonts w:ascii="宋体" w:hAnsi="宋体" w:cs="宋体" w:eastAsia="宋体" w:hint="default"/>
          <w:sz w:val="21"/>
          <w:szCs w:val="21"/>
        </w:rPr>
        <w:t>业务实现自动开通并全国商用。持续推进高速固网宽带网</w:t>
      </w:r>
      <w:r>
        <w:rPr>
          <w:rFonts w:ascii="宋体" w:hAnsi="宋体" w:cs="宋体" w:eastAsia="宋体" w:hint="default"/>
          <w:w w:val="100"/>
          <w:sz w:val="21"/>
          <w:szCs w:val="21"/>
        </w:rPr>
        <w:t> </w:t>
      </w:r>
      <w:r>
        <w:rPr>
          <w:rFonts w:ascii="宋体" w:hAnsi="宋体" w:cs="宋体" w:eastAsia="宋体" w:hint="default"/>
          <w:spacing w:val="-2"/>
          <w:sz w:val="21"/>
          <w:szCs w:val="21"/>
        </w:rPr>
        <w:t>络建设，在百兆打底的基础上，在百余个重点城市开展千兆入户示范，深度推进南方宽带合作。截至</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z w:val="21"/>
          <w:szCs w:val="21"/>
        </w:rPr>
        <w:t>2019</w:t>
      </w:r>
      <w:r>
        <w:rPr>
          <w:rFonts w:ascii="宋体" w:hAnsi="宋体" w:cs="宋体" w:eastAsia="宋体" w:hint="default"/>
          <w:spacing w:val="-57"/>
          <w:sz w:val="21"/>
          <w:szCs w:val="21"/>
        </w:rPr>
        <w:t> </w:t>
      </w:r>
      <w:r>
        <w:rPr>
          <w:rFonts w:ascii="宋体" w:hAnsi="宋体" w:cs="宋体" w:eastAsia="宋体" w:hint="default"/>
          <w:sz w:val="21"/>
          <w:szCs w:val="21"/>
        </w:rPr>
        <w:t>年底，公司宽带用户中</w:t>
      </w:r>
      <w:r>
        <w:rPr>
          <w:rFonts w:ascii="宋体" w:hAnsi="宋体" w:cs="宋体" w:eastAsia="宋体" w:hint="default"/>
          <w:spacing w:val="-55"/>
          <w:sz w:val="21"/>
          <w:szCs w:val="21"/>
        </w:rPr>
        <w:t> </w:t>
      </w:r>
      <w:r>
        <w:rPr>
          <w:rFonts w:ascii="宋体" w:hAnsi="宋体" w:cs="宋体" w:eastAsia="宋体" w:hint="default"/>
          <w:sz w:val="21"/>
          <w:szCs w:val="21"/>
        </w:rPr>
        <w:t>FTTH</w:t>
      </w:r>
      <w:r>
        <w:rPr>
          <w:rFonts w:ascii="宋体" w:hAnsi="宋体" w:cs="宋体" w:eastAsia="宋体" w:hint="default"/>
          <w:spacing w:val="-55"/>
          <w:sz w:val="21"/>
          <w:szCs w:val="21"/>
        </w:rPr>
        <w:t> </w:t>
      </w:r>
      <w:r>
        <w:rPr>
          <w:rFonts w:ascii="宋体" w:hAnsi="宋体" w:cs="宋体" w:eastAsia="宋体" w:hint="default"/>
          <w:sz w:val="21"/>
          <w:szCs w:val="21"/>
        </w:rPr>
        <w:t>用户占比达到</w:t>
      </w:r>
      <w:r>
        <w:rPr>
          <w:rFonts w:ascii="宋体" w:hAnsi="宋体" w:cs="宋体" w:eastAsia="宋体" w:hint="default"/>
          <w:spacing w:val="-55"/>
          <w:sz w:val="21"/>
          <w:szCs w:val="21"/>
        </w:rPr>
        <w:t> </w:t>
      </w:r>
      <w:r>
        <w:rPr>
          <w:rFonts w:ascii="宋体" w:hAnsi="宋体" w:cs="宋体" w:eastAsia="宋体" w:hint="default"/>
          <w:sz w:val="21"/>
          <w:szCs w:val="21"/>
        </w:rPr>
        <w:t>85%</w:t>
      </w:r>
      <w:r>
        <w:rPr>
          <w:rFonts w:ascii="宋体" w:hAnsi="宋体" w:cs="宋体" w:eastAsia="宋体" w:hint="default"/>
          <w:sz w:val="21"/>
          <w:szCs w:val="21"/>
        </w:rPr>
        <w:t>。</w:t>
      </w:r>
    </w:p>
    <w:p>
      <w:pPr>
        <w:spacing w:line="314" w:lineRule="auto" w:before="176"/>
        <w:ind w:left="138" w:right="206" w:firstLine="42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30"/>
          <w:sz w:val="21"/>
          <w:szCs w:val="21"/>
        </w:rPr>
        <w:t> </w:t>
      </w:r>
      <w:r>
        <w:rPr>
          <w:rFonts w:ascii="宋体" w:hAnsi="宋体" w:cs="宋体" w:eastAsia="宋体" w:hint="default"/>
          <w:sz w:val="21"/>
          <w:szCs w:val="21"/>
        </w:rPr>
        <w:t>年，公司聚焦地区网络质量和客户感知持续提升，移网</w:t>
      </w:r>
      <w:r>
        <w:rPr>
          <w:rFonts w:ascii="宋体" w:hAnsi="宋体" w:cs="宋体" w:eastAsia="宋体" w:hint="default"/>
          <w:spacing w:val="-27"/>
          <w:sz w:val="21"/>
          <w:szCs w:val="21"/>
        </w:rPr>
        <w:t> </w:t>
      </w:r>
      <w:r>
        <w:rPr>
          <w:rFonts w:ascii="宋体" w:hAnsi="宋体" w:cs="宋体" w:eastAsia="宋体" w:hint="default"/>
          <w:sz w:val="21"/>
          <w:szCs w:val="21"/>
        </w:rPr>
        <w:t>NPS</w:t>
      </w:r>
      <w:r>
        <w:rPr>
          <w:rFonts w:ascii="宋体" w:hAnsi="宋体" w:cs="宋体" w:eastAsia="宋体" w:hint="default"/>
          <w:spacing w:val="-30"/>
          <w:sz w:val="21"/>
          <w:szCs w:val="21"/>
        </w:rPr>
        <w:t> </w:t>
      </w:r>
      <w:r>
        <w:rPr>
          <w:rFonts w:ascii="宋体" w:hAnsi="宋体" w:cs="宋体" w:eastAsia="宋体" w:hint="default"/>
          <w:sz w:val="21"/>
          <w:szCs w:val="21"/>
        </w:rPr>
        <w:t>和固网宽带</w:t>
      </w:r>
      <w:r>
        <w:rPr>
          <w:rFonts w:ascii="宋体" w:hAnsi="宋体" w:cs="宋体" w:eastAsia="宋体" w:hint="default"/>
          <w:spacing w:val="-29"/>
          <w:sz w:val="21"/>
          <w:szCs w:val="21"/>
        </w:rPr>
        <w:t> </w:t>
      </w:r>
      <w:r>
        <w:rPr>
          <w:rFonts w:ascii="宋体" w:hAnsi="宋体" w:cs="宋体" w:eastAsia="宋体" w:hint="default"/>
          <w:sz w:val="21"/>
          <w:szCs w:val="21"/>
        </w:rPr>
        <w:t>NPS</w:t>
      </w:r>
      <w:r>
        <w:rPr>
          <w:rFonts w:ascii="宋体" w:hAnsi="宋体" w:cs="宋体" w:eastAsia="宋体" w:hint="default"/>
          <w:spacing w:val="-27"/>
          <w:sz w:val="21"/>
          <w:szCs w:val="21"/>
        </w:rPr>
        <w:t> </w:t>
      </w:r>
      <w:r>
        <w:rPr>
          <w:rFonts w:ascii="宋体" w:hAnsi="宋体" w:cs="宋体" w:eastAsia="宋体" w:hint="default"/>
          <w:sz w:val="21"/>
          <w:szCs w:val="21"/>
        </w:rPr>
        <w:t>双双提升，</w:t>
      </w:r>
      <w:r>
        <w:rPr>
          <w:rFonts w:ascii="宋体" w:hAnsi="宋体" w:cs="宋体" w:eastAsia="宋体" w:hint="default"/>
          <w:sz w:val="21"/>
          <w:szCs w:val="21"/>
        </w:rPr>
        <w:t>4G</w:t>
      </w:r>
      <w:r>
        <w:rPr>
          <w:rFonts w:ascii="宋体" w:hAnsi="宋体" w:cs="宋体" w:eastAsia="宋体" w:hint="default"/>
          <w:w w:val="100"/>
          <w:sz w:val="21"/>
          <w:szCs w:val="21"/>
        </w:rPr>
        <w:t> </w:t>
      </w:r>
      <w:r>
        <w:rPr>
          <w:rFonts w:ascii="宋体" w:hAnsi="宋体" w:cs="宋体" w:eastAsia="宋体" w:hint="default"/>
          <w:sz w:val="21"/>
          <w:szCs w:val="21"/>
        </w:rPr>
        <w:t>网络平均上下行速率行业持续领先，网络时延指标行业最优。</w:t>
      </w:r>
    </w:p>
    <w:p>
      <w:pPr>
        <w:spacing w:before="109"/>
        <w:ind w:left="563" w:right="96"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（四）混合所有制改革</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2"/>
          <w:szCs w:val="12"/>
        </w:rPr>
      </w:pPr>
    </w:p>
    <w:p>
      <w:pPr>
        <w:spacing w:line="314" w:lineRule="auto" w:before="0"/>
        <w:ind w:left="138" w:right="96" w:firstLine="42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9"/>
          <w:sz w:val="21"/>
          <w:szCs w:val="21"/>
        </w:rPr>
        <w:t> </w:t>
      </w:r>
      <w:r>
        <w:rPr>
          <w:rFonts w:ascii="宋体" w:hAnsi="宋体" w:cs="宋体" w:eastAsia="宋体" w:hint="default"/>
          <w:spacing w:val="-4"/>
          <w:sz w:val="21"/>
          <w:szCs w:val="21"/>
        </w:rPr>
        <w:t>年，公司持续推进混合所有制改革，战略合作持续深化，体制机制变革纵深推进，改革红利</w:t>
      </w:r>
      <w:r>
        <w:rPr>
          <w:rFonts w:ascii="宋体" w:hAnsi="宋体" w:cs="宋体" w:eastAsia="宋体" w:hint="default"/>
          <w:w w:val="100"/>
          <w:sz w:val="21"/>
          <w:szCs w:val="21"/>
        </w:rPr>
        <w:t> </w:t>
      </w:r>
      <w:r>
        <w:rPr>
          <w:rFonts w:ascii="宋体" w:hAnsi="宋体" w:cs="宋体" w:eastAsia="宋体" w:hint="default"/>
          <w:sz w:val="21"/>
          <w:szCs w:val="21"/>
        </w:rPr>
        <w:t>持续显现。</w:t>
      </w:r>
    </w:p>
    <w:p>
      <w:pPr>
        <w:spacing w:line="381" w:lineRule="auto" w:before="109"/>
        <w:ind w:left="558" w:right="96" w:firstLine="4"/>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持续强化战略合作，互联网化转型再上新台阶</w:t>
      </w:r>
      <w:r>
        <w:rPr>
          <w:rFonts w:ascii="Microsoft JhengHei" w:hAnsi="Microsoft JhengHei" w:cs="Microsoft JhengHei" w:eastAsia="Microsoft JhengHei" w:hint="default"/>
          <w:b/>
          <w:bCs/>
          <w:spacing w:val="-39"/>
          <w:sz w:val="21"/>
          <w:szCs w:val="21"/>
        </w:rPr>
        <w:t> </w:t>
      </w:r>
      <w:r>
        <w:rPr>
          <w:rFonts w:ascii="Microsoft JhengHei" w:hAnsi="Microsoft JhengHei" w:cs="Microsoft JhengHei" w:eastAsia="Microsoft JhengHei" w:hint="default"/>
          <w:b/>
          <w:bCs/>
          <w:spacing w:val="-39"/>
          <w:sz w:val="21"/>
          <w:szCs w:val="21"/>
        </w:rPr>
      </w:r>
      <w:r>
        <w:rPr>
          <w:rFonts w:ascii="宋体" w:hAnsi="宋体" w:cs="宋体" w:eastAsia="宋体" w:hint="default"/>
          <w:spacing w:val="-2"/>
          <w:sz w:val="21"/>
          <w:szCs w:val="21"/>
        </w:rPr>
        <w:t>年内，公司积极借力战投股东优势资源和能力，不断深化和创新合作模式，战略合作协同效应进</w:t>
      </w:r>
    </w:p>
    <w:p>
      <w:pPr>
        <w:spacing w:line="236" w:lineRule="exact" w:before="0"/>
        <w:ind w:left="138" w:right="0" w:firstLine="0"/>
        <w:jc w:val="both"/>
        <w:rPr>
          <w:rFonts w:ascii="宋体" w:hAnsi="宋体" w:cs="宋体" w:eastAsia="宋体" w:hint="default"/>
          <w:sz w:val="21"/>
          <w:szCs w:val="21"/>
        </w:rPr>
      </w:pPr>
      <w:r>
        <w:rPr>
          <w:rFonts w:ascii="宋体" w:hAnsi="宋体" w:cs="宋体" w:eastAsia="宋体" w:hint="default"/>
          <w:sz w:val="21"/>
          <w:szCs w:val="21"/>
        </w:rPr>
        <w:t>一步显现。</w:t>
      </w:r>
    </w:p>
    <w:p>
      <w:pPr>
        <w:spacing w:line="240" w:lineRule="auto" w:before="6"/>
        <w:rPr>
          <w:rFonts w:ascii="宋体" w:hAnsi="宋体" w:cs="宋体" w:eastAsia="宋体" w:hint="default"/>
          <w:sz w:val="18"/>
          <w:szCs w:val="18"/>
        </w:rPr>
      </w:pPr>
    </w:p>
    <w:p>
      <w:pPr>
        <w:spacing w:line="314" w:lineRule="auto" w:before="0"/>
        <w:ind w:left="138" w:right="96" w:firstLine="420"/>
        <w:jc w:val="left"/>
        <w:rPr>
          <w:rFonts w:ascii="宋体" w:hAnsi="宋体" w:cs="宋体" w:eastAsia="宋体" w:hint="default"/>
          <w:sz w:val="21"/>
          <w:szCs w:val="21"/>
        </w:rPr>
      </w:pPr>
      <w:r>
        <w:rPr>
          <w:rFonts w:ascii="宋体" w:hAnsi="宋体" w:cs="宋体" w:eastAsia="宋体" w:hint="default"/>
          <w:spacing w:val="-4"/>
          <w:sz w:val="21"/>
          <w:szCs w:val="21"/>
        </w:rPr>
        <w:t>触点领域，与合作伙伴持续推进线上触点及权益合作，推广线下异业合作，</w:t>
      </w:r>
      <w:r>
        <w:rPr>
          <w:rFonts w:ascii="宋体" w:hAnsi="宋体" w:cs="宋体" w:eastAsia="宋体" w:hint="default"/>
          <w:spacing w:val="-4"/>
          <w:sz w:val="21"/>
          <w:szCs w:val="21"/>
        </w:rPr>
        <w:t>2I2C</w:t>
      </w:r>
      <w:r>
        <w:rPr>
          <w:rFonts w:ascii="宋体" w:hAnsi="宋体" w:cs="宋体" w:eastAsia="宋体" w:hint="default"/>
          <w:spacing w:val="-34"/>
          <w:sz w:val="21"/>
          <w:szCs w:val="21"/>
        </w:rPr>
        <w:t> </w:t>
      </w:r>
      <w:r>
        <w:rPr>
          <w:rFonts w:ascii="宋体" w:hAnsi="宋体" w:cs="宋体" w:eastAsia="宋体" w:hint="default"/>
          <w:sz w:val="21"/>
          <w:szCs w:val="21"/>
        </w:rPr>
        <w:t>出账用户规模保</w:t>
      </w:r>
      <w:r>
        <w:rPr>
          <w:rFonts w:ascii="宋体" w:hAnsi="宋体" w:cs="宋体" w:eastAsia="宋体" w:hint="default"/>
          <w:w w:val="100"/>
          <w:sz w:val="21"/>
          <w:szCs w:val="21"/>
        </w:rPr>
        <w:t> </w:t>
      </w:r>
      <w:r>
        <w:rPr>
          <w:rFonts w:ascii="宋体" w:hAnsi="宋体" w:cs="宋体" w:eastAsia="宋体" w:hint="default"/>
          <w:sz w:val="21"/>
          <w:szCs w:val="21"/>
        </w:rPr>
        <w:t>持在近</w:t>
      </w:r>
      <w:r>
        <w:rPr>
          <w:rFonts w:ascii="宋体" w:hAnsi="宋体" w:cs="宋体" w:eastAsia="宋体" w:hint="default"/>
          <w:spacing w:val="-34"/>
          <w:sz w:val="21"/>
          <w:szCs w:val="21"/>
        </w:rPr>
        <w:t> </w:t>
      </w:r>
      <w:r>
        <w:rPr>
          <w:rFonts w:ascii="宋体" w:hAnsi="宋体" w:cs="宋体" w:eastAsia="宋体" w:hint="default"/>
          <w:sz w:val="21"/>
          <w:szCs w:val="21"/>
        </w:rPr>
        <w:t>1</w:t>
      </w:r>
      <w:r>
        <w:rPr>
          <w:rFonts w:ascii="宋体" w:hAnsi="宋体" w:cs="宋体" w:eastAsia="宋体" w:hint="default"/>
          <w:spacing w:val="-34"/>
          <w:sz w:val="21"/>
          <w:szCs w:val="21"/>
        </w:rPr>
        <w:t> </w:t>
      </w:r>
      <w:r>
        <w:rPr>
          <w:rFonts w:ascii="宋体" w:hAnsi="宋体" w:cs="宋体" w:eastAsia="宋体" w:hint="default"/>
          <w:spacing w:val="-3"/>
          <w:sz w:val="21"/>
          <w:szCs w:val="21"/>
        </w:rPr>
        <w:t>亿户。智慧家庭领域，深度融合基础通信能力及智慧硬件、内容应用，成功打造多个新型产</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pacing w:val="-2"/>
          <w:sz w:val="21"/>
          <w:szCs w:val="21"/>
        </w:rPr>
        <w:t>品。云计算方面，与阿里、腾讯、百度等持续开展公有云、云联网等合作，云网协同拉动业务发展能</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pacing w:val="-2"/>
          <w:sz w:val="21"/>
          <w:szCs w:val="21"/>
        </w:rPr>
        <w:t>力不断增强。大数据方面，与腾讯合资组建的智慧文旅公司已在全国实施多个重点项目；合营公司智</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pacing w:val="-2"/>
          <w:sz w:val="21"/>
          <w:szCs w:val="21"/>
        </w:rPr>
        <w:t>慧足迹成功引入京东注资，并已成为规划和人口统计大数据领域国内第一服务商。物联网方面，在移</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pacing w:val="-5"/>
          <w:sz w:val="21"/>
          <w:szCs w:val="21"/>
        </w:rPr>
        <w:t>动支付、出行服务、智能穿戴等领域开展物联网智能连接全面合作，全年新增连接数近一千万。同时，</w:t>
      </w:r>
      <w:r>
        <w:rPr>
          <w:rFonts w:ascii="宋体" w:hAnsi="宋体" w:cs="宋体" w:eastAsia="宋体" w:hint="default"/>
          <w:spacing w:val="-18"/>
          <w:sz w:val="21"/>
          <w:szCs w:val="21"/>
        </w:rPr>
        <w:t> </w:t>
      </w:r>
      <w:r>
        <w:rPr>
          <w:rFonts w:ascii="宋体" w:hAnsi="宋体" w:cs="宋体" w:eastAsia="宋体" w:hint="default"/>
          <w:spacing w:val="-18"/>
          <w:sz w:val="21"/>
          <w:szCs w:val="21"/>
        </w:rPr>
      </w:r>
      <w:r>
        <w:rPr>
          <w:rFonts w:ascii="宋体" w:hAnsi="宋体" w:cs="宋体" w:eastAsia="宋体" w:hint="default"/>
          <w:sz w:val="21"/>
          <w:szCs w:val="21"/>
        </w:rPr>
        <w:t>在产业互联网、</w:t>
      </w:r>
      <w:r>
        <w:rPr>
          <w:rFonts w:ascii="宋体" w:hAnsi="宋体" w:cs="宋体" w:eastAsia="宋体" w:hint="default"/>
          <w:sz w:val="21"/>
          <w:szCs w:val="21"/>
        </w:rPr>
        <w:t>5G+AI</w:t>
      </w:r>
      <w:r>
        <w:rPr>
          <w:rFonts w:ascii="宋体" w:hAnsi="宋体" w:cs="宋体" w:eastAsia="宋体" w:hint="default"/>
          <w:sz w:val="21"/>
          <w:szCs w:val="21"/>
        </w:rPr>
        <w:t>、内容聚合、支付金融及基础通信等领域，持续深化业务合作和资本合作，强</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强联合，携手拓展创新业务发展的新动能。</w:t>
      </w:r>
    </w:p>
    <w:p>
      <w:pPr>
        <w:spacing w:line="384" w:lineRule="auto" w:before="109"/>
        <w:ind w:left="558" w:right="96" w:firstLine="4"/>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深化体制机制创新变革，企业微观主体活力不断增强</w:t>
      </w:r>
      <w:r>
        <w:rPr>
          <w:rFonts w:ascii="Microsoft JhengHei" w:hAnsi="Microsoft JhengHei" w:cs="Microsoft JhengHei" w:eastAsia="Microsoft JhengHei" w:hint="default"/>
          <w:b/>
          <w:bCs/>
          <w:spacing w:val="-41"/>
          <w:sz w:val="21"/>
          <w:szCs w:val="21"/>
        </w:rPr>
        <w:t> </w:t>
      </w:r>
      <w:r>
        <w:rPr>
          <w:rFonts w:ascii="Microsoft JhengHei" w:hAnsi="Microsoft JhengHei" w:cs="Microsoft JhengHei" w:eastAsia="Microsoft JhengHei" w:hint="default"/>
          <w:b/>
          <w:bCs/>
          <w:spacing w:val="-41"/>
          <w:sz w:val="21"/>
          <w:szCs w:val="21"/>
        </w:rPr>
      </w:r>
      <w:r>
        <w:rPr>
          <w:rFonts w:ascii="宋体" w:hAnsi="宋体" w:cs="宋体" w:eastAsia="宋体" w:hint="default"/>
          <w:spacing w:val="-2"/>
          <w:sz w:val="21"/>
          <w:szCs w:val="21"/>
        </w:rPr>
        <w:t>公司持续深化体制机制创新变革。瘦身健体持续深化，省、地市级机构持续精简。全生产场景划</w:t>
      </w:r>
    </w:p>
    <w:p>
      <w:pPr>
        <w:spacing w:line="234" w:lineRule="exact" w:before="0"/>
        <w:ind w:left="138" w:right="0" w:firstLine="0"/>
        <w:jc w:val="both"/>
        <w:rPr>
          <w:rFonts w:ascii="宋体" w:hAnsi="宋体" w:cs="宋体" w:eastAsia="宋体" w:hint="default"/>
          <w:sz w:val="21"/>
          <w:szCs w:val="21"/>
        </w:rPr>
      </w:pPr>
      <w:r>
        <w:rPr>
          <w:rFonts w:ascii="宋体" w:hAnsi="宋体" w:cs="宋体" w:eastAsia="宋体" w:hint="default"/>
          <w:sz w:val="21"/>
          <w:szCs w:val="21"/>
        </w:rPr>
        <w:t>小改革迭代推进，累计选聘小</w:t>
      </w:r>
      <w:r>
        <w:rPr>
          <w:rFonts w:ascii="宋体" w:hAnsi="宋体" w:cs="宋体" w:eastAsia="宋体" w:hint="default"/>
          <w:spacing w:val="-41"/>
          <w:sz w:val="21"/>
          <w:szCs w:val="21"/>
        </w:rPr>
        <w:t> </w:t>
      </w:r>
      <w:r>
        <w:rPr>
          <w:rFonts w:ascii="宋体" w:hAnsi="宋体" w:cs="宋体" w:eastAsia="宋体" w:hint="default"/>
          <w:sz w:val="21"/>
          <w:szCs w:val="21"/>
        </w:rPr>
        <w:t>CEO</w:t>
      </w:r>
      <w:r>
        <w:rPr>
          <w:rFonts w:ascii="宋体" w:hAnsi="宋体" w:cs="宋体" w:eastAsia="宋体" w:hint="default"/>
          <w:spacing w:val="-44"/>
          <w:sz w:val="21"/>
          <w:szCs w:val="21"/>
        </w:rPr>
        <w:t> </w:t>
      </w:r>
      <w:r>
        <w:rPr>
          <w:rFonts w:ascii="宋体" w:hAnsi="宋体" w:cs="宋体" w:eastAsia="宋体" w:hint="default"/>
          <w:sz w:val="21"/>
          <w:szCs w:val="21"/>
        </w:rPr>
        <w:t>达</w:t>
      </w:r>
      <w:r>
        <w:rPr>
          <w:rFonts w:ascii="宋体" w:hAnsi="宋体" w:cs="宋体" w:eastAsia="宋体" w:hint="default"/>
          <w:spacing w:val="-41"/>
          <w:sz w:val="21"/>
          <w:szCs w:val="21"/>
        </w:rPr>
        <w:t> </w:t>
      </w:r>
      <w:r>
        <w:rPr>
          <w:rFonts w:ascii="宋体" w:hAnsi="宋体" w:cs="宋体" w:eastAsia="宋体" w:hint="default"/>
          <w:sz w:val="21"/>
          <w:szCs w:val="21"/>
        </w:rPr>
        <w:t>2.4</w:t>
      </w:r>
      <w:r>
        <w:rPr>
          <w:rFonts w:ascii="宋体" w:hAnsi="宋体" w:cs="宋体" w:eastAsia="宋体" w:hint="default"/>
          <w:spacing w:val="-44"/>
          <w:sz w:val="21"/>
          <w:szCs w:val="21"/>
        </w:rPr>
        <w:t> </w:t>
      </w:r>
      <w:r>
        <w:rPr>
          <w:rFonts w:ascii="宋体" w:hAnsi="宋体" w:cs="宋体" w:eastAsia="宋体" w:hint="default"/>
          <w:spacing w:val="-3"/>
          <w:sz w:val="21"/>
          <w:szCs w:val="21"/>
        </w:rPr>
        <w:t>万名。创新人才队伍建设不断加强，引入创新领域人才累计</w:t>
      </w:r>
    </w:p>
    <w:p>
      <w:pPr>
        <w:spacing w:line="314" w:lineRule="auto" w:before="85"/>
        <w:ind w:left="138" w:right="205" w:firstLine="0"/>
        <w:jc w:val="both"/>
        <w:rPr>
          <w:rFonts w:ascii="宋体" w:hAnsi="宋体" w:cs="宋体" w:eastAsia="宋体" w:hint="default"/>
          <w:sz w:val="21"/>
          <w:szCs w:val="21"/>
        </w:rPr>
      </w:pPr>
      <w:r>
        <w:rPr>
          <w:rFonts w:ascii="宋体" w:hAnsi="宋体" w:cs="宋体" w:eastAsia="宋体" w:hint="default"/>
          <w:sz w:val="21"/>
          <w:szCs w:val="21"/>
        </w:rPr>
        <w:t>超过</w:t>
      </w:r>
      <w:r>
        <w:rPr>
          <w:rFonts w:ascii="宋体" w:hAnsi="宋体" w:cs="宋体" w:eastAsia="宋体" w:hint="default"/>
          <w:spacing w:val="-18"/>
          <w:sz w:val="21"/>
          <w:szCs w:val="21"/>
        </w:rPr>
        <w:t> </w:t>
      </w:r>
      <w:r>
        <w:rPr>
          <w:rFonts w:ascii="宋体" w:hAnsi="宋体" w:cs="宋体" w:eastAsia="宋体" w:hint="default"/>
          <w:sz w:val="21"/>
          <w:szCs w:val="21"/>
        </w:rPr>
        <w:t>7,000</w:t>
      </w:r>
      <w:r>
        <w:rPr>
          <w:rFonts w:ascii="宋体" w:hAnsi="宋体" w:cs="宋体" w:eastAsia="宋体" w:hint="default"/>
          <w:spacing w:val="-21"/>
          <w:sz w:val="21"/>
          <w:szCs w:val="21"/>
        </w:rPr>
        <w:t> </w:t>
      </w:r>
      <w:r>
        <w:rPr>
          <w:rFonts w:ascii="宋体" w:hAnsi="宋体" w:cs="宋体" w:eastAsia="宋体" w:hint="default"/>
          <w:spacing w:val="-3"/>
          <w:sz w:val="21"/>
          <w:szCs w:val="21"/>
        </w:rPr>
        <w:t>人。市场化激励机制改革持续推进，坚持增量收益分享机制，首期限制性股票首次解锁事</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pacing w:val="-2"/>
          <w:sz w:val="21"/>
          <w:szCs w:val="21"/>
        </w:rPr>
        <w:t>项顺利获得董事会批准。下属企业混改纵深推进，继云南省分公司实施全域社会化合作承包运营，广</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西省分公司 </w:t>
      </w:r>
      <w:r>
        <w:rPr>
          <w:rFonts w:ascii="宋体" w:hAnsi="宋体" w:cs="宋体" w:eastAsia="宋体" w:hint="default"/>
          <w:sz w:val="21"/>
          <w:szCs w:val="21"/>
        </w:rPr>
        <w:t>7</w:t>
      </w:r>
      <w:r>
        <w:rPr>
          <w:rFonts w:ascii="宋体" w:hAnsi="宋体" w:cs="宋体" w:eastAsia="宋体" w:hint="default"/>
          <w:spacing w:val="-26"/>
          <w:sz w:val="21"/>
          <w:szCs w:val="21"/>
        </w:rPr>
        <w:t> </w:t>
      </w:r>
      <w:r>
        <w:rPr>
          <w:rFonts w:ascii="宋体" w:hAnsi="宋体" w:cs="宋体" w:eastAsia="宋体" w:hint="default"/>
          <w:spacing w:val="-3"/>
          <w:sz w:val="21"/>
          <w:szCs w:val="21"/>
        </w:rPr>
        <w:t>个地市社会化合作运营改革正在统筹推进；合营公司智慧足迹成功引入京东作为战略投</w:t>
      </w:r>
    </w:p>
    <w:p>
      <w:pPr>
        <w:spacing w:line="314" w:lineRule="auto" w:before="20"/>
        <w:ind w:left="138" w:right="179" w:firstLine="0"/>
        <w:jc w:val="both"/>
        <w:rPr>
          <w:rFonts w:ascii="宋体" w:hAnsi="宋体" w:cs="宋体" w:eastAsia="宋体" w:hint="default"/>
          <w:sz w:val="21"/>
          <w:szCs w:val="21"/>
        </w:rPr>
      </w:pPr>
      <w:r>
        <w:rPr>
          <w:rFonts w:ascii="宋体" w:hAnsi="宋体" w:cs="宋体" w:eastAsia="宋体" w:hint="default"/>
          <w:sz w:val="21"/>
          <w:szCs w:val="21"/>
        </w:rPr>
        <w:t>资者；子公司智网科技成功引入一汽、东风汽车、广汽等</w:t>
      </w:r>
      <w:r>
        <w:rPr>
          <w:rFonts w:ascii="宋体" w:hAnsi="宋体" w:cs="宋体" w:eastAsia="宋体" w:hint="default"/>
          <w:spacing w:val="-57"/>
          <w:sz w:val="21"/>
          <w:szCs w:val="21"/>
        </w:rPr>
        <w:t> </w:t>
      </w:r>
      <w:r>
        <w:rPr>
          <w:rFonts w:ascii="宋体" w:hAnsi="宋体" w:cs="宋体" w:eastAsia="宋体" w:hint="default"/>
          <w:sz w:val="21"/>
          <w:szCs w:val="21"/>
        </w:rPr>
        <w:t>9</w:t>
      </w:r>
      <w:r>
        <w:rPr>
          <w:rFonts w:ascii="宋体" w:hAnsi="宋体" w:cs="宋体" w:eastAsia="宋体" w:hint="default"/>
          <w:spacing w:val="-57"/>
          <w:sz w:val="21"/>
          <w:szCs w:val="21"/>
        </w:rPr>
        <w:t> </w:t>
      </w:r>
      <w:r>
        <w:rPr>
          <w:rFonts w:ascii="宋体" w:hAnsi="宋体" w:cs="宋体" w:eastAsia="宋体" w:hint="default"/>
          <w:sz w:val="21"/>
          <w:szCs w:val="21"/>
        </w:rPr>
        <w:t>家战略投资者。随着体制机制持续改革，</w:t>
      </w:r>
      <w:r>
        <w:rPr>
          <w:rFonts w:ascii="宋体" w:hAnsi="宋体" w:cs="宋体" w:eastAsia="宋体" w:hint="default"/>
          <w:w w:val="100"/>
          <w:sz w:val="21"/>
          <w:szCs w:val="21"/>
        </w:rPr>
        <w:t> </w:t>
      </w:r>
      <w:r>
        <w:rPr>
          <w:rFonts w:ascii="宋体" w:hAnsi="宋体" w:cs="宋体" w:eastAsia="宋体" w:hint="default"/>
          <w:sz w:val="21"/>
          <w:szCs w:val="21"/>
        </w:rPr>
        <w:t>企业活力不断增强，运营效率显著提升。</w:t>
      </w:r>
    </w:p>
    <w:p>
      <w:pPr>
        <w:spacing w:line="384" w:lineRule="auto" w:before="109"/>
        <w:ind w:left="558" w:right="96" w:firstLine="4"/>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（五）社会责任和公司治理</w:t>
      </w:r>
      <w:r>
        <w:rPr>
          <w:rFonts w:ascii="Microsoft JhengHei" w:hAnsi="Microsoft JhengHei" w:cs="Microsoft JhengHei" w:eastAsia="Microsoft JhengHei" w:hint="default"/>
          <w:b/>
          <w:bCs/>
          <w:spacing w:val="-49"/>
          <w:sz w:val="21"/>
          <w:szCs w:val="21"/>
        </w:rPr>
        <w:t> </w:t>
      </w:r>
      <w:r>
        <w:rPr>
          <w:rFonts w:ascii="Microsoft JhengHei" w:hAnsi="Microsoft JhengHei" w:cs="Microsoft JhengHei" w:eastAsia="Microsoft JhengHei" w:hint="default"/>
          <w:b/>
          <w:bCs/>
          <w:spacing w:val="-49"/>
          <w:sz w:val="21"/>
          <w:szCs w:val="21"/>
        </w:rPr>
      </w:r>
      <w:r>
        <w:rPr>
          <w:rFonts w:ascii="宋体" w:hAnsi="宋体" w:cs="宋体" w:eastAsia="宋体" w:hint="default"/>
          <w:spacing w:val="-3"/>
          <w:sz w:val="21"/>
          <w:szCs w:val="21"/>
        </w:rPr>
        <w:t>公司长期秉承坚持新发展理念，坚持走可持续发展之路，推动社会责任在公司经营发展中不断成</w:t>
      </w:r>
    </w:p>
    <w:p>
      <w:pPr>
        <w:spacing w:line="234" w:lineRule="exact" w:before="0"/>
        <w:ind w:left="138" w:right="0" w:firstLine="0"/>
        <w:jc w:val="both"/>
        <w:rPr>
          <w:rFonts w:ascii="宋体" w:hAnsi="宋体" w:cs="宋体" w:eastAsia="宋体" w:hint="default"/>
          <w:sz w:val="21"/>
          <w:szCs w:val="21"/>
        </w:rPr>
      </w:pPr>
      <w:r>
        <w:rPr>
          <w:rFonts w:ascii="宋体" w:hAnsi="宋体" w:cs="宋体" w:eastAsia="宋体" w:hint="default"/>
          <w:sz w:val="21"/>
          <w:szCs w:val="21"/>
        </w:rPr>
        <w:t>长，为满足人民日益增长的美好信息生活需要不断做出新的贡献。</w:t>
      </w:r>
    </w:p>
    <w:p>
      <w:pPr>
        <w:spacing w:after="0" w:line="234" w:lineRule="exact"/>
        <w:jc w:val="both"/>
        <w:rPr>
          <w:rFonts w:ascii="宋体" w:hAnsi="宋体" w:cs="宋体" w:eastAsia="宋体" w:hint="default"/>
          <w:sz w:val="21"/>
          <w:szCs w:val="21"/>
        </w:rPr>
        <w:sectPr>
          <w:footerReference w:type="default" r:id="rId24"/>
          <w:pgSz w:w="11910" w:h="16840"/>
          <w:pgMar w:footer="502" w:header="854" w:top="1360" w:bottom="700" w:left="1280" w:right="1060"/>
        </w:sectPr>
      </w:pPr>
    </w:p>
    <w:p>
      <w:pPr>
        <w:spacing w:line="240" w:lineRule="auto" w:before="13"/>
        <w:rPr>
          <w:rFonts w:ascii="宋体" w:hAnsi="宋体" w:cs="宋体" w:eastAsia="宋体" w:hint="default"/>
          <w:sz w:val="12"/>
          <w:szCs w:val="12"/>
        </w:rPr>
      </w:pPr>
    </w:p>
    <w:p>
      <w:pPr>
        <w:spacing w:line="314" w:lineRule="auto" w:before="36"/>
        <w:ind w:left="138" w:right="98" w:firstLine="420"/>
        <w:jc w:val="both"/>
        <w:rPr>
          <w:rFonts w:ascii="宋体" w:hAnsi="宋体" w:cs="宋体" w:eastAsia="宋体" w:hint="default"/>
          <w:sz w:val="21"/>
          <w:szCs w:val="21"/>
        </w:rPr>
      </w:pPr>
      <w:r>
        <w:rPr>
          <w:rFonts w:ascii="宋体" w:hAnsi="宋体" w:cs="宋体" w:eastAsia="宋体" w:hint="default"/>
          <w:spacing w:val="-3"/>
          <w:sz w:val="21"/>
          <w:szCs w:val="21"/>
        </w:rPr>
        <w:t>落实网络强国战略，加快构建高速、移动、安全、泛在的新一代信息基础设施，圆满完成重大活</w:t>
      </w:r>
      <w:r>
        <w:rPr>
          <w:rFonts w:ascii="宋体" w:hAnsi="宋体" w:cs="宋体" w:eastAsia="宋体" w:hint="default"/>
          <w:w w:val="100"/>
          <w:sz w:val="21"/>
          <w:szCs w:val="21"/>
        </w:rPr>
        <w:t> </w:t>
      </w:r>
      <w:r>
        <w:rPr>
          <w:rFonts w:ascii="宋体" w:hAnsi="宋体" w:cs="宋体" w:eastAsia="宋体" w:hint="default"/>
          <w:sz w:val="21"/>
          <w:szCs w:val="21"/>
        </w:rPr>
        <w:t>动通信保障，以共建共享新模式推动 </w:t>
      </w:r>
      <w:r>
        <w:rPr>
          <w:rFonts w:ascii="宋体" w:hAnsi="宋体" w:cs="宋体" w:eastAsia="宋体" w:hint="default"/>
          <w:sz w:val="21"/>
          <w:szCs w:val="21"/>
        </w:rPr>
        <w:t>5G</w:t>
      </w:r>
      <w:r>
        <w:rPr>
          <w:rFonts w:ascii="宋体" w:hAnsi="宋体" w:cs="宋体" w:eastAsia="宋体" w:hint="default"/>
          <w:spacing w:val="-33"/>
          <w:sz w:val="21"/>
          <w:szCs w:val="21"/>
        </w:rPr>
        <w:t> </w:t>
      </w:r>
      <w:r>
        <w:rPr>
          <w:rFonts w:ascii="宋体" w:hAnsi="宋体" w:cs="宋体" w:eastAsia="宋体" w:hint="default"/>
          <w:sz w:val="21"/>
          <w:szCs w:val="21"/>
        </w:rPr>
        <w:t>发展，赋能产业转型升级。大力推进业务创新和商业模式创</w:t>
      </w:r>
      <w:r>
        <w:rPr>
          <w:rFonts w:ascii="宋体" w:hAnsi="宋体" w:cs="宋体" w:eastAsia="宋体" w:hint="default"/>
          <w:w w:val="100"/>
          <w:sz w:val="21"/>
          <w:szCs w:val="21"/>
        </w:rPr>
        <w:t> </w:t>
      </w:r>
      <w:r>
        <w:rPr>
          <w:rFonts w:ascii="宋体" w:hAnsi="宋体" w:cs="宋体" w:eastAsia="宋体" w:hint="default"/>
          <w:spacing w:val="-2"/>
          <w:sz w:val="21"/>
          <w:szCs w:val="21"/>
        </w:rPr>
        <w:t>新，打造集约化、智能化的大服务体验，积极防范打击通讯信息诈骗，为百姓提供用得上、用得好、</w:t>
      </w:r>
      <w:r>
        <w:rPr>
          <w:rFonts w:ascii="宋体" w:hAnsi="宋体" w:cs="宋体" w:eastAsia="宋体" w:hint="default"/>
          <w:spacing w:val="-24"/>
          <w:sz w:val="21"/>
          <w:szCs w:val="21"/>
        </w:rPr>
        <w:t> </w:t>
      </w:r>
      <w:r>
        <w:rPr>
          <w:rFonts w:ascii="宋体" w:hAnsi="宋体" w:cs="宋体" w:eastAsia="宋体" w:hint="default"/>
          <w:spacing w:val="-24"/>
          <w:sz w:val="21"/>
          <w:szCs w:val="21"/>
        </w:rPr>
      </w:r>
      <w:r>
        <w:rPr>
          <w:rFonts w:ascii="宋体" w:hAnsi="宋体" w:cs="宋体" w:eastAsia="宋体" w:hint="default"/>
          <w:sz w:val="21"/>
          <w:szCs w:val="21"/>
        </w:rPr>
        <w:t>用得放心的信息服务。打造智慧合作生态，加快建立 </w:t>
      </w:r>
      <w:r>
        <w:rPr>
          <w:rFonts w:ascii="宋体" w:hAnsi="宋体" w:cs="宋体" w:eastAsia="宋体" w:hint="default"/>
          <w:sz w:val="21"/>
          <w:szCs w:val="21"/>
        </w:rPr>
        <w:t>5G</w:t>
      </w:r>
      <w:r>
        <w:rPr>
          <w:rFonts w:ascii="宋体" w:hAnsi="宋体" w:cs="宋体" w:eastAsia="宋体" w:hint="default"/>
          <w:spacing w:val="-33"/>
          <w:sz w:val="21"/>
          <w:szCs w:val="21"/>
        </w:rPr>
        <w:t> </w:t>
      </w:r>
      <w:r>
        <w:rPr>
          <w:rFonts w:ascii="宋体" w:hAnsi="宋体" w:cs="宋体" w:eastAsia="宋体" w:hint="default"/>
          <w:sz w:val="21"/>
          <w:szCs w:val="21"/>
        </w:rPr>
        <w:t>合作创新体系，加强与邮政、金融等异业合</w:t>
      </w:r>
      <w:r>
        <w:rPr>
          <w:rFonts w:ascii="宋体" w:hAnsi="宋体" w:cs="宋体" w:eastAsia="宋体" w:hint="default"/>
          <w:w w:val="100"/>
          <w:sz w:val="21"/>
          <w:szCs w:val="21"/>
        </w:rPr>
        <w:t> </w:t>
      </w:r>
      <w:r>
        <w:rPr>
          <w:rFonts w:ascii="宋体" w:hAnsi="宋体" w:cs="宋体" w:eastAsia="宋体" w:hint="default"/>
          <w:spacing w:val="-3"/>
          <w:sz w:val="21"/>
          <w:szCs w:val="21"/>
        </w:rPr>
        <w:t>作，构建和谐共赢的产业新生态。深耕精准扶贫，推广低碳技术，打造绿色数字营业厅，创新绿色解</w:t>
      </w:r>
      <w:r>
        <w:rPr>
          <w:rFonts w:ascii="宋体" w:hAnsi="宋体" w:cs="宋体" w:eastAsia="宋体" w:hint="default"/>
          <w:spacing w:val="-14"/>
          <w:sz w:val="21"/>
          <w:szCs w:val="21"/>
        </w:rPr>
        <w:t> </w:t>
      </w:r>
      <w:r>
        <w:rPr>
          <w:rFonts w:ascii="宋体" w:hAnsi="宋体" w:cs="宋体" w:eastAsia="宋体" w:hint="default"/>
          <w:spacing w:val="-14"/>
          <w:sz w:val="21"/>
          <w:szCs w:val="21"/>
        </w:rPr>
      </w:r>
      <w:r>
        <w:rPr>
          <w:rFonts w:ascii="宋体" w:hAnsi="宋体" w:cs="宋体" w:eastAsia="宋体" w:hint="default"/>
          <w:spacing w:val="-2"/>
          <w:sz w:val="21"/>
          <w:szCs w:val="21"/>
        </w:rPr>
        <w:t>决方案，助力生态惠民。激发员工主人翁意识，完善激励机制，重塑教育培训体系，员工的获得感、</w:t>
      </w:r>
      <w:r>
        <w:rPr>
          <w:rFonts w:ascii="宋体" w:hAnsi="宋体" w:cs="宋体" w:eastAsia="宋体" w:hint="default"/>
          <w:spacing w:val="-24"/>
          <w:sz w:val="21"/>
          <w:szCs w:val="21"/>
        </w:rPr>
        <w:t> </w:t>
      </w:r>
      <w:r>
        <w:rPr>
          <w:rFonts w:ascii="宋体" w:hAnsi="宋体" w:cs="宋体" w:eastAsia="宋体" w:hint="default"/>
          <w:spacing w:val="-24"/>
          <w:sz w:val="21"/>
          <w:szCs w:val="21"/>
        </w:rPr>
      </w:r>
      <w:r>
        <w:rPr>
          <w:rFonts w:ascii="宋体" w:hAnsi="宋体" w:cs="宋体" w:eastAsia="宋体" w:hint="default"/>
          <w:sz w:val="21"/>
          <w:szCs w:val="21"/>
        </w:rPr>
        <w:t>幸福感持续提升。</w:t>
      </w:r>
    </w:p>
    <w:p>
      <w:pPr>
        <w:spacing w:line="314" w:lineRule="auto" w:before="176"/>
        <w:ind w:left="138" w:right="125" w:firstLine="420"/>
        <w:jc w:val="both"/>
        <w:rPr>
          <w:rFonts w:ascii="宋体" w:hAnsi="宋体" w:cs="宋体" w:eastAsia="宋体" w:hint="default"/>
          <w:sz w:val="21"/>
          <w:szCs w:val="21"/>
        </w:rPr>
      </w:pPr>
      <w:r>
        <w:rPr>
          <w:rFonts w:ascii="宋体" w:hAnsi="宋体" w:cs="宋体" w:eastAsia="宋体" w:hint="default"/>
          <w:spacing w:val="-2"/>
          <w:sz w:val="21"/>
          <w:szCs w:val="21"/>
        </w:rPr>
        <w:t>今年以来，面对年初突如其来的新型冠状病毒疫情，公司积极履行社会责任，保障通信畅通，利</w:t>
      </w:r>
      <w:r>
        <w:rPr>
          <w:rFonts w:ascii="宋体" w:hAnsi="宋体" w:cs="宋体" w:eastAsia="宋体" w:hint="default"/>
          <w:w w:val="100"/>
          <w:sz w:val="21"/>
          <w:szCs w:val="21"/>
        </w:rPr>
        <w:t> </w:t>
      </w:r>
      <w:r>
        <w:rPr>
          <w:rFonts w:ascii="宋体" w:hAnsi="宋体" w:cs="宋体" w:eastAsia="宋体" w:hint="default"/>
          <w:sz w:val="21"/>
          <w:szCs w:val="21"/>
        </w:rPr>
        <w:t>用大数据、</w:t>
      </w:r>
      <w:r>
        <w:rPr>
          <w:rFonts w:ascii="宋体" w:hAnsi="宋体" w:cs="宋体" w:eastAsia="宋体" w:hint="default"/>
          <w:sz w:val="21"/>
          <w:szCs w:val="21"/>
        </w:rPr>
        <w:t>AI</w:t>
      </w:r>
      <w:r>
        <w:rPr>
          <w:rFonts w:ascii="宋体" w:hAnsi="宋体" w:cs="宋体" w:eastAsia="宋体" w:hint="default"/>
          <w:spacing w:val="-46"/>
          <w:sz w:val="21"/>
          <w:szCs w:val="21"/>
        </w:rPr>
        <w:t> </w:t>
      </w:r>
      <w:r>
        <w:rPr>
          <w:rFonts w:ascii="宋体" w:hAnsi="宋体" w:cs="宋体" w:eastAsia="宋体" w:hint="default"/>
          <w:sz w:val="21"/>
          <w:szCs w:val="21"/>
        </w:rPr>
        <w:t>和</w:t>
      </w:r>
      <w:r>
        <w:rPr>
          <w:rFonts w:ascii="宋体" w:hAnsi="宋体" w:cs="宋体" w:eastAsia="宋体" w:hint="default"/>
          <w:spacing w:val="-46"/>
          <w:sz w:val="21"/>
          <w:szCs w:val="21"/>
        </w:rPr>
        <w:t> </w:t>
      </w:r>
      <w:r>
        <w:rPr>
          <w:rFonts w:ascii="宋体" w:hAnsi="宋体" w:cs="宋体" w:eastAsia="宋体" w:hint="default"/>
          <w:sz w:val="21"/>
          <w:szCs w:val="21"/>
        </w:rPr>
        <w:t>5G</w:t>
      </w:r>
      <w:r>
        <w:rPr>
          <w:rFonts w:ascii="宋体" w:hAnsi="宋体" w:cs="宋体" w:eastAsia="宋体" w:hint="default"/>
          <w:spacing w:val="-46"/>
          <w:sz w:val="21"/>
          <w:szCs w:val="21"/>
        </w:rPr>
        <w:t> </w:t>
      </w:r>
      <w:r>
        <w:rPr>
          <w:rFonts w:ascii="宋体" w:hAnsi="宋体" w:cs="宋体" w:eastAsia="宋体" w:hint="default"/>
          <w:sz w:val="21"/>
          <w:szCs w:val="21"/>
        </w:rPr>
        <w:t>等新技术精准防控疫情。疫情对公司的经营造成一定的短期挑战，也加速经济社</w:t>
      </w:r>
      <w:r>
        <w:rPr>
          <w:rFonts w:ascii="宋体" w:hAnsi="宋体" w:cs="宋体" w:eastAsia="宋体" w:hint="default"/>
          <w:w w:val="100"/>
          <w:sz w:val="21"/>
          <w:szCs w:val="21"/>
        </w:rPr>
        <w:t> </w:t>
      </w:r>
      <w:r>
        <w:rPr>
          <w:rFonts w:ascii="宋体" w:hAnsi="宋体" w:cs="宋体" w:eastAsia="宋体" w:hint="default"/>
          <w:spacing w:val="-3"/>
          <w:sz w:val="21"/>
          <w:szCs w:val="21"/>
        </w:rPr>
        <w:t>会数字化、网络化、智能化转型需求，为公司带来新商机。公司全力转危为机，加快互联网化运营转</w:t>
      </w:r>
      <w:r>
        <w:rPr>
          <w:rFonts w:ascii="宋体" w:hAnsi="宋体" w:cs="宋体" w:eastAsia="宋体" w:hint="default"/>
          <w:spacing w:val="-15"/>
          <w:sz w:val="21"/>
          <w:szCs w:val="21"/>
        </w:rPr>
        <w:t> </w:t>
      </w:r>
      <w:r>
        <w:rPr>
          <w:rFonts w:ascii="宋体" w:hAnsi="宋体" w:cs="宋体" w:eastAsia="宋体" w:hint="default"/>
          <w:spacing w:val="-15"/>
          <w:sz w:val="21"/>
          <w:szCs w:val="21"/>
        </w:rPr>
      </w:r>
      <w:r>
        <w:rPr>
          <w:rFonts w:ascii="宋体" w:hAnsi="宋体" w:cs="宋体" w:eastAsia="宋体" w:hint="default"/>
          <w:spacing w:val="-2"/>
          <w:sz w:val="21"/>
          <w:szCs w:val="21"/>
        </w:rPr>
        <w:t>型，创新通信供给，加大线上线下协同运营，积极推广新型信息化应用产品，为用户提供便捷高效的</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智慧生活服务。</w:t>
      </w:r>
    </w:p>
    <w:p>
      <w:pPr>
        <w:spacing w:line="314" w:lineRule="auto" w:before="176"/>
        <w:ind w:left="138" w:right="125" w:firstLine="420"/>
        <w:jc w:val="both"/>
        <w:rPr>
          <w:rFonts w:ascii="宋体" w:hAnsi="宋体" w:cs="宋体" w:eastAsia="宋体" w:hint="default"/>
          <w:sz w:val="21"/>
          <w:szCs w:val="21"/>
        </w:rPr>
      </w:pPr>
      <w:r>
        <w:rPr>
          <w:rFonts w:ascii="宋体" w:hAnsi="宋体" w:cs="宋体" w:eastAsia="宋体" w:hint="default"/>
          <w:spacing w:val="-2"/>
          <w:sz w:val="21"/>
          <w:szCs w:val="21"/>
        </w:rPr>
        <w:t>公司持续完善公司治理机制，提升执行力，强化风险管理和内部控制，为企业持续健康发展提供</w:t>
      </w:r>
      <w:r>
        <w:rPr>
          <w:rFonts w:ascii="宋体" w:hAnsi="宋体" w:cs="宋体" w:eastAsia="宋体" w:hint="default"/>
          <w:w w:val="100"/>
          <w:sz w:val="21"/>
          <w:szCs w:val="21"/>
        </w:rPr>
        <w:t> </w:t>
      </w:r>
      <w:r>
        <w:rPr>
          <w:rFonts w:ascii="宋体" w:hAnsi="宋体" w:cs="宋体" w:eastAsia="宋体" w:hint="default"/>
          <w:sz w:val="21"/>
          <w:szCs w:val="21"/>
        </w:rPr>
        <w:t>坚实保障。</w:t>
      </w:r>
      <w:r>
        <w:rPr>
          <w:rFonts w:ascii="宋体" w:hAnsi="宋体" w:cs="宋体" w:eastAsia="宋体" w:hint="default"/>
          <w:sz w:val="21"/>
          <w:szCs w:val="21"/>
        </w:rPr>
        <w:t>2019</w:t>
      </w:r>
      <w:r>
        <w:rPr>
          <w:rFonts w:ascii="宋体" w:hAnsi="宋体" w:cs="宋体" w:eastAsia="宋体" w:hint="default"/>
          <w:spacing w:val="96"/>
          <w:sz w:val="21"/>
          <w:szCs w:val="21"/>
        </w:rPr>
        <w:t> </w:t>
      </w:r>
      <w:r>
        <w:rPr>
          <w:rFonts w:ascii="宋体" w:hAnsi="宋体" w:cs="宋体" w:eastAsia="宋体" w:hint="default"/>
          <w:spacing w:val="2"/>
          <w:sz w:val="21"/>
          <w:szCs w:val="21"/>
        </w:rPr>
        <w:t>年公司荣获多项嘉许，其中包括本公司控股子公司</w:t>
      </w:r>
      <w:r>
        <w:rPr>
          <w:rFonts w:ascii="宋体" w:hAnsi="宋体" w:cs="宋体" w:eastAsia="宋体" w:hint="default"/>
          <w:spacing w:val="2"/>
          <w:sz w:val="21"/>
          <w:szCs w:val="21"/>
        </w:rPr>
        <w:t>-</w:t>
      </w:r>
      <w:r>
        <w:rPr>
          <w:rFonts w:ascii="宋体" w:hAnsi="宋体" w:cs="宋体" w:eastAsia="宋体" w:hint="default"/>
          <w:spacing w:val="2"/>
          <w:sz w:val="21"/>
          <w:szCs w:val="21"/>
        </w:rPr>
        <w:t>联通红筹公司被《金融亚洲》</w:t>
      </w:r>
    </w:p>
    <w:p>
      <w:pPr>
        <w:spacing w:line="314" w:lineRule="auto" w:before="20"/>
        <w:ind w:left="138" w:right="125" w:firstLine="0"/>
        <w:jc w:val="both"/>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Finance</w:t>
      </w:r>
      <w:r>
        <w:rPr>
          <w:rFonts w:ascii="宋体" w:hAnsi="宋体" w:cs="宋体" w:eastAsia="宋体" w:hint="default"/>
          <w:spacing w:val="-33"/>
          <w:sz w:val="21"/>
          <w:szCs w:val="21"/>
        </w:rPr>
        <w:t> </w:t>
      </w:r>
      <w:r>
        <w:rPr>
          <w:rFonts w:ascii="宋体" w:hAnsi="宋体" w:cs="宋体" w:eastAsia="宋体" w:hint="default"/>
          <w:sz w:val="21"/>
          <w:szCs w:val="21"/>
        </w:rPr>
        <w:t>Asia</w:t>
      </w:r>
      <w:r>
        <w:rPr>
          <w:rFonts w:ascii="宋体" w:hAnsi="宋体" w:cs="宋体" w:eastAsia="宋体" w:hint="default"/>
          <w:sz w:val="21"/>
          <w:szCs w:val="21"/>
        </w:rPr>
        <w:t>）再次评选为“亚洲最佳管理电信公司”第一名，被《机构投资者》</w:t>
      </w:r>
      <w:r>
        <w:rPr>
          <w:rFonts w:ascii="宋体" w:hAnsi="宋体" w:cs="宋体" w:eastAsia="宋体" w:hint="default"/>
          <w:sz w:val="21"/>
          <w:szCs w:val="21"/>
        </w:rPr>
        <w:t>(Institutional</w:t>
      </w:r>
      <w:r>
        <w:rPr>
          <w:rFonts w:ascii="宋体" w:hAnsi="宋体" w:cs="宋体" w:eastAsia="宋体" w:hint="default"/>
          <w:w w:val="100"/>
          <w:sz w:val="21"/>
          <w:szCs w:val="21"/>
        </w:rPr>
        <w:t> </w:t>
      </w:r>
      <w:r>
        <w:rPr>
          <w:rFonts w:ascii="宋体" w:hAnsi="宋体" w:cs="宋体" w:eastAsia="宋体" w:hint="default"/>
          <w:sz w:val="21"/>
          <w:szCs w:val="21"/>
        </w:rPr>
        <w:t>Investor)</w:t>
      </w:r>
      <w:r>
        <w:rPr>
          <w:rFonts w:ascii="宋体" w:hAnsi="宋体" w:cs="宋体" w:eastAsia="宋体" w:hint="default"/>
          <w:sz w:val="21"/>
          <w:szCs w:val="21"/>
        </w:rPr>
        <w:t>连续第四年评选为”亚洲最受尊崇电讯企业”第一名，被《亚洲公司管治》（</w:t>
      </w:r>
      <w:r>
        <w:rPr>
          <w:rFonts w:ascii="宋体" w:hAnsi="宋体" w:cs="宋体" w:eastAsia="宋体" w:hint="default"/>
          <w:sz w:val="21"/>
          <w:szCs w:val="21"/>
        </w:rPr>
        <w:t>Corporate</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Governance</w:t>
      </w:r>
      <w:r>
        <w:rPr>
          <w:rFonts w:ascii="宋体" w:hAnsi="宋体" w:cs="宋体" w:eastAsia="宋体" w:hint="default"/>
          <w:spacing w:val="-7"/>
          <w:sz w:val="21"/>
          <w:szCs w:val="21"/>
        </w:rPr>
        <w:t> </w:t>
      </w:r>
      <w:r>
        <w:rPr>
          <w:rFonts w:ascii="宋体" w:hAnsi="宋体" w:cs="宋体" w:eastAsia="宋体" w:hint="default"/>
          <w:sz w:val="21"/>
          <w:szCs w:val="21"/>
        </w:rPr>
        <w:t>Asia</w:t>
      </w:r>
      <w:r>
        <w:rPr>
          <w:rFonts w:ascii="宋体" w:hAnsi="宋体" w:cs="宋体" w:eastAsia="宋体" w:hint="default"/>
          <w:sz w:val="21"/>
          <w:szCs w:val="21"/>
        </w:rPr>
        <w:t>）评选为“亚洲最佳公司</w:t>
      </w:r>
      <w:r>
        <w:rPr>
          <w:rFonts w:ascii="宋体" w:hAnsi="宋体" w:cs="宋体" w:eastAsia="宋体" w:hint="default"/>
          <w:sz w:val="21"/>
          <w:szCs w:val="21"/>
        </w:rPr>
        <w:t>-</w:t>
      </w:r>
      <w:r>
        <w:rPr>
          <w:rFonts w:ascii="宋体" w:hAnsi="宋体" w:cs="宋体" w:eastAsia="宋体" w:hint="default"/>
          <w:sz w:val="21"/>
          <w:szCs w:val="21"/>
        </w:rPr>
        <w:t>企业管治典范”。</w:t>
      </w:r>
    </w:p>
    <w:p>
      <w:pPr>
        <w:spacing w:line="381" w:lineRule="auto" w:before="109"/>
        <w:ind w:left="558" w:right="0" w:firstLine="4"/>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（六）未来展望</w:t>
      </w:r>
      <w:r>
        <w:rPr>
          <w:rFonts w:ascii="Microsoft JhengHei" w:hAnsi="Microsoft JhengHei" w:cs="Microsoft JhengHei" w:eastAsia="Microsoft JhengHei" w:hint="default"/>
          <w:b/>
          <w:bCs/>
          <w:spacing w:val="-49"/>
          <w:sz w:val="21"/>
          <w:szCs w:val="21"/>
        </w:rPr>
        <w:t> </w:t>
      </w:r>
      <w:r>
        <w:rPr>
          <w:rFonts w:ascii="宋体" w:hAnsi="宋体" w:cs="宋体" w:eastAsia="宋体" w:hint="default"/>
          <w:spacing w:val="-3"/>
          <w:sz w:val="21"/>
          <w:szCs w:val="21"/>
        </w:rPr>
        <w:t>当前，中国宏观经济尽管面临国际外部环境的复杂影响和发展结构调整、新旧动能转换等诸多挑</w:t>
      </w:r>
    </w:p>
    <w:p>
      <w:pPr>
        <w:spacing w:line="236" w:lineRule="exact" w:before="0"/>
        <w:ind w:left="138" w:right="0" w:firstLine="0"/>
        <w:jc w:val="both"/>
        <w:rPr>
          <w:rFonts w:ascii="宋体" w:hAnsi="宋体" w:cs="宋体" w:eastAsia="宋体" w:hint="default"/>
          <w:sz w:val="21"/>
          <w:szCs w:val="21"/>
        </w:rPr>
      </w:pPr>
      <w:r>
        <w:rPr>
          <w:rFonts w:ascii="宋体" w:hAnsi="宋体" w:cs="宋体" w:eastAsia="宋体" w:hint="default"/>
          <w:spacing w:val="-4"/>
          <w:sz w:val="21"/>
          <w:szCs w:val="21"/>
        </w:rPr>
        <w:t>战，但稳中向好、长期增长的基本趋势没有改变。纵观信息通信产业，</w:t>
      </w:r>
      <w:r>
        <w:rPr>
          <w:rFonts w:ascii="宋体" w:hAnsi="宋体" w:cs="宋体" w:eastAsia="宋体" w:hint="default"/>
          <w:spacing w:val="-4"/>
          <w:sz w:val="21"/>
          <w:szCs w:val="21"/>
        </w:rPr>
        <w:t>5G</w:t>
      </w:r>
      <w:r>
        <w:rPr>
          <w:rFonts w:ascii="宋体" w:hAnsi="宋体" w:cs="宋体" w:eastAsia="宋体" w:hint="default"/>
          <w:spacing w:val="26"/>
          <w:sz w:val="21"/>
          <w:szCs w:val="21"/>
        </w:rPr>
        <w:t> </w:t>
      </w:r>
      <w:r>
        <w:rPr>
          <w:rFonts w:ascii="宋体" w:hAnsi="宋体" w:cs="宋体" w:eastAsia="宋体" w:hint="default"/>
          <w:spacing w:val="-3"/>
          <w:sz w:val="21"/>
          <w:szCs w:val="21"/>
        </w:rPr>
        <w:t>进入全面建设和运营，新技</w:t>
      </w:r>
    </w:p>
    <w:p>
      <w:pPr>
        <w:spacing w:line="314" w:lineRule="auto" w:before="85"/>
        <w:ind w:left="138" w:right="125" w:firstLine="0"/>
        <w:jc w:val="both"/>
        <w:rPr>
          <w:rFonts w:ascii="宋体" w:hAnsi="宋体" w:cs="宋体" w:eastAsia="宋体" w:hint="default"/>
          <w:sz w:val="21"/>
          <w:szCs w:val="21"/>
        </w:rPr>
      </w:pPr>
      <w:r>
        <w:rPr>
          <w:rFonts w:ascii="宋体" w:hAnsi="宋体" w:cs="宋体" w:eastAsia="宋体" w:hint="default"/>
          <w:spacing w:val="-2"/>
          <w:sz w:val="21"/>
          <w:szCs w:val="21"/>
        </w:rPr>
        <w:t>术广泛应用，新格局调整重构，新业态加速涌现，行业发展机遇和挑战并存。中国联通经过“聚焦战</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略”实施几年来的努力，企业综合实力得以增强，未来发展的基础日益扎实。</w:t>
      </w:r>
    </w:p>
    <w:p>
      <w:pPr>
        <w:spacing w:line="314" w:lineRule="auto" w:before="176"/>
        <w:ind w:left="138" w:right="125" w:firstLine="420"/>
        <w:jc w:val="both"/>
        <w:rPr>
          <w:rFonts w:ascii="宋体" w:hAnsi="宋体" w:cs="宋体" w:eastAsia="宋体" w:hint="default"/>
          <w:sz w:val="21"/>
          <w:szCs w:val="21"/>
        </w:rPr>
      </w:pPr>
      <w:r>
        <w:rPr>
          <w:rFonts w:ascii="宋体" w:hAnsi="宋体" w:cs="宋体" w:eastAsia="宋体" w:hint="default"/>
          <w:sz w:val="21"/>
          <w:szCs w:val="21"/>
        </w:rPr>
        <w:t>展望</w:t>
      </w:r>
      <w:r>
        <w:rPr>
          <w:rFonts w:ascii="宋体" w:hAnsi="宋体" w:cs="宋体" w:eastAsia="宋体" w:hint="default"/>
          <w:spacing w:val="-48"/>
          <w:sz w:val="21"/>
          <w:szCs w:val="21"/>
        </w:rPr>
        <w:t> </w:t>
      </w:r>
      <w:r>
        <w:rPr>
          <w:rFonts w:ascii="宋体" w:hAnsi="宋体" w:cs="宋体" w:eastAsia="宋体" w:hint="default"/>
          <w:sz w:val="21"/>
          <w:szCs w:val="21"/>
        </w:rPr>
        <w:t>2020</w:t>
      </w:r>
      <w:r>
        <w:rPr>
          <w:rFonts w:ascii="宋体" w:hAnsi="宋体" w:cs="宋体" w:eastAsia="宋体" w:hint="default"/>
          <w:spacing w:val="-45"/>
          <w:sz w:val="21"/>
          <w:szCs w:val="21"/>
        </w:rPr>
        <w:t> </w:t>
      </w:r>
      <w:r>
        <w:rPr>
          <w:rFonts w:ascii="宋体" w:hAnsi="宋体" w:cs="宋体" w:eastAsia="宋体" w:hint="default"/>
          <w:sz w:val="21"/>
          <w:szCs w:val="21"/>
        </w:rPr>
        <w:t>年，尽管公司仍旧面临传统市场高饱和、激烈市场竞争和提速降费的影响，并承受</w:t>
      </w:r>
      <w:r>
        <w:rPr>
          <w:rFonts w:ascii="宋体" w:hAnsi="宋体" w:cs="宋体" w:eastAsia="宋体" w:hint="default"/>
          <w:spacing w:val="-45"/>
          <w:sz w:val="21"/>
          <w:szCs w:val="21"/>
        </w:rPr>
        <w:t> </w:t>
      </w:r>
      <w:r>
        <w:rPr>
          <w:rFonts w:ascii="宋体" w:hAnsi="宋体" w:cs="宋体" w:eastAsia="宋体" w:hint="default"/>
          <w:spacing w:val="-3"/>
          <w:sz w:val="21"/>
          <w:szCs w:val="21"/>
        </w:rPr>
        <w:t>5G</w:t>
      </w:r>
      <w:r>
        <w:rPr>
          <w:rFonts w:ascii="宋体" w:hAnsi="宋体" w:cs="宋体" w:eastAsia="宋体" w:hint="default"/>
          <w:spacing w:val="-3"/>
          <w:w w:val="100"/>
          <w:sz w:val="21"/>
          <w:szCs w:val="21"/>
        </w:rPr>
        <w:t> </w:t>
      </w:r>
      <w:r>
        <w:rPr>
          <w:rFonts w:ascii="宋体" w:hAnsi="宋体" w:cs="宋体" w:eastAsia="宋体" w:hint="default"/>
          <w:spacing w:val="-2"/>
          <w:sz w:val="21"/>
          <w:szCs w:val="21"/>
        </w:rPr>
        <w:t>资本支出和成本上升、新型冠状病毒疫情影响等新挑战，公司有信心积极应对挑战，把握技术发展和</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pacing w:val="-2"/>
          <w:sz w:val="21"/>
          <w:szCs w:val="21"/>
        </w:rPr>
        <w:t>产业变革的宝贵机遇，坚定聚焦创新合作战略定力，扎实推进全面互联网化运营，纵深推进混合所有</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制改革，围绕“提价值、谋发展、重基础、有激情”的发展目标，开创高质量发展的新局面。</w:t>
      </w:r>
    </w:p>
    <w:p>
      <w:pPr>
        <w:spacing w:line="314" w:lineRule="auto" w:before="176"/>
        <w:ind w:left="138" w:right="125" w:firstLine="420"/>
        <w:jc w:val="both"/>
        <w:rPr>
          <w:rFonts w:ascii="宋体" w:hAnsi="宋体" w:cs="宋体" w:eastAsia="宋体" w:hint="default"/>
          <w:sz w:val="21"/>
          <w:szCs w:val="21"/>
        </w:rPr>
      </w:pPr>
      <w:r>
        <w:rPr>
          <w:rFonts w:ascii="宋体" w:hAnsi="宋体" w:cs="宋体" w:eastAsia="宋体" w:hint="default"/>
          <w:spacing w:val="-2"/>
          <w:sz w:val="21"/>
          <w:szCs w:val="21"/>
        </w:rPr>
        <w:t>公司将坚持新发展理念，以价值为导向，加快公众产品转型，加快渠道提质转型，加快客户运营</w:t>
      </w:r>
      <w:r>
        <w:rPr>
          <w:rFonts w:ascii="宋体" w:hAnsi="宋体" w:cs="宋体" w:eastAsia="宋体" w:hint="default"/>
          <w:w w:val="100"/>
          <w:sz w:val="21"/>
          <w:szCs w:val="21"/>
        </w:rPr>
        <w:t> </w:t>
      </w:r>
      <w:r>
        <w:rPr>
          <w:rFonts w:ascii="宋体" w:hAnsi="宋体" w:cs="宋体" w:eastAsia="宋体" w:hint="default"/>
          <w:spacing w:val="-2"/>
          <w:sz w:val="21"/>
          <w:szCs w:val="21"/>
        </w:rPr>
        <w:t>能力提升，实现基础业务稳定高质量发展；加快提升政企市场经营能力提升，着力打造云计算、大数</w:t>
      </w:r>
      <w:r>
        <w:rPr>
          <w:rFonts w:ascii="宋体" w:hAnsi="宋体" w:cs="宋体" w:eastAsia="宋体" w:hint="default"/>
          <w:spacing w:val="-52"/>
          <w:sz w:val="21"/>
          <w:szCs w:val="21"/>
        </w:rPr>
        <w:t> </w:t>
      </w:r>
      <w:r>
        <w:rPr>
          <w:rFonts w:ascii="宋体" w:hAnsi="宋体" w:cs="宋体" w:eastAsia="宋体" w:hint="default"/>
          <w:spacing w:val="-52"/>
          <w:sz w:val="21"/>
          <w:szCs w:val="21"/>
        </w:rPr>
      </w:r>
      <w:r>
        <w:rPr>
          <w:rFonts w:ascii="宋体" w:hAnsi="宋体" w:cs="宋体" w:eastAsia="宋体" w:hint="default"/>
          <w:spacing w:val="-2"/>
          <w:sz w:val="21"/>
          <w:szCs w:val="21"/>
        </w:rPr>
        <w:t>据、物联网等创新业务核心能力，持续深化战略与生态合作，推进创新业务规模效益发展；加快提升</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网络竞争能力，积极发挥</w:t>
      </w:r>
      <w:r>
        <w:rPr>
          <w:rFonts w:ascii="宋体" w:hAnsi="宋体" w:cs="宋体" w:eastAsia="宋体" w:hint="default"/>
          <w:spacing w:val="-57"/>
          <w:sz w:val="21"/>
          <w:szCs w:val="21"/>
        </w:rPr>
        <w:t> </w:t>
      </w:r>
      <w:r>
        <w:rPr>
          <w:rFonts w:ascii="宋体" w:hAnsi="宋体" w:cs="宋体" w:eastAsia="宋体" w:hint="default"/>
          <w:sz w:val="21"/>
          <w:szCs w:val="21"/>
        </w:rPr>
        <w:t>5G</w:t>
      </w:r>
      <w:r>
        <w:rPr>
          <w:rFonts w:ascii="宋体" w:hAnsi="宋体" w:cs="宋体" w:eastAsia="宋体" w:hint="default"/>
          <w:spacing w:val="-55"/>
          <w:sz w:val="21"/>
          <w:szCs w:val="21"/>
        </w:rPr>
        <w:t> </w:t>
      </w:r>
      <w:r>
        <w:rPr>
          <w:rFonts w:ascii="宋体" w:hAnsi="宋体" w:cs="宋体" w:eastAsia="宋体" w:hint="default"/>
          <w:sz w:val="21"/>
          <w:szCs w:val="21"/>
        </w:rPr>
        <w:t>网络共建共享优势和</w:t>
      </w:r>
      <w:r>
        <w:rPr>
          <w:rFonts w:ascii="宋体" w:hAnsi="宋体" w:cs="宋体" w:eastAsia="宋体" w:hint="default"/>
          <w:spacing w:val="-55"/>
          <w:sz w:val="21"/>
          <w:szCs w:val="21"/>
        </w:rPr>
        <w:t> </w:t>
      </w:r>
      <w:r>
        <w:rPr>
          <w:rFonts w:ascii="宋体" w:hAnsi="宋体" w:cs="宋体" w:eastAsia="宋体" w:hint="default"/>
          <w:sz w:val="21"/>
          <w:szCs w:val="21"/>
        </w:rPr>
        <w:t>LTE</w:t>
      </w:r>
      <w:r>
        <w:rPr>
          <w:rFonts w:ascii="宋体" w:hAnsi="宋体" w:cs="宋体" w:eastAsia="宋体" w:hint="default"/>
          <w:spacing w:val="-29"/>
          <w:sz w:val="21"/>
          <w:szCs w:val="21"/>
        </w:rPr>
        <w:t> </w:t>
      </w:r>
      <w:r>
        <w:rPr>
          <w:rFonts w:ascii="宋体" w:hAnsi="宋体" w:cs="宋体" w:eastAsia="宋体" w:hint="default"/>
          <w:sz w:val="21"/>
          <w:szCs w:val="21"/>
        </w:rPr>
        <w:t>900MHz</w:t>
      </w:r>
      <w:r>
        <w:rPr>
          <w:rFonts w:ascii="宋体" w:hAnsi="宋体" w:cs="宋体" w:eastAsia="宋体" w:hint="default"/>
          <w:spacing w:val="-55"/>
          <w:sz w:val="21"/>
          <w:szCs w:val="21"/>
        </w:rPr>
        <w:t> </w:t>
      </w:r>
      <w:r>
        <w:rPr>
          <w:rFonts w:ascii="宋体" w:hAnsi="宋体" w:cs="宋体" w:eastAsia="宋体" w:hint="default"/>
          <w:sz w:val="21"/>
          <w:szCs w:val="21"/>
        </w:rPr>
        <w:t>频率优势，以保障用户感知为中心，高</w:t>
      </w:r>
      <w:r>
        <w:rPr>
          <w:rFonts w:ascii="宋体" w:hAnsi="宋体" w:cs="宋体" w:eastAsia="宋体" w:hint="default"/>
          <w:w w:val="100"/>
          <w:sz w:val="21"/>
          <w:szCs w:val="21"/>
        </w:rPr>
        <w:t> </w:t>
      </w:r>
      <w:r>
        <w:rPr>
          <w:rFonts w:ascii="宋体" w:hAnsi="宋体" w:cs="宋体" w:eastAsia="宋体" w:hint="default"/>
          <w:sz w:val="21"/>
          <w:szCs w:val="21"/>
        </w:rPr>
        <w:t>效推动</w:t>
      </w:r>
      <w:r>
        <w:rPr>
          <w:rFonts w:ascii="宋体" w:hAnsi="宋体" w:cs="宋体" w:eastAsia="宋体" w:hint="default"/>
          <w:spacing w:val="-42"/>
          <w:sz w:val="21"/>
          <w:szCs w:val="21"/>
        </w:rPr>
        <w:t> </w:t>
      </w:r>
      <w:r>
        <w:rPr>
          <w:rFonts w:ascii="宋体" w:hAnsi="宋体" w:cs="宋体" w:eastAsia="宋体" w:hint="default"/>
          <w:sz w:val="21"/>
          <w:szCs w:val="21"/>
        </w:rPr>
        <w:t>5G</w:t>
      </w:r>
      <w:r>
        <w:rPr>
          <w:rFonts w:ascii="宋体" w:hAnsi="宋体" w:cs="宋体" w:eastAsia="宋体" w:hint="default"/>
          <w:spacing w:val="-45"/>
          <w:sz w:val="21"/>
          <w:szCs w:val="21"/>
        </w:rPr>
        <w:t> </w:t>
      </w:r>
      <w:r>
        <w:rPr>
          <w:rFonts w:ascii="宋体" w:hAnsi="宋体" w:cs="宋体" w:eastAsia="宋体" w:hint="default"/>
          <w:sz w:val="21"/>
          <w:szCs w:val="21"/>
        </w:rPr>
        <w:t>精品网络部署，完善</w:t>
      </w:r>
      <w:r>
        <w:rPr>
          <w:rFonts w:ascii="宋体" w:hAnsi="宋体" w:cs="宋体" w:eastAsia="宋体" w:hint="default"/>
          <w:spacing w:val="-41"/>
          <w:sz w:val="21"/>
          <w:szCs w:val="21"/>
        </w:rPr>
        <w:t> </w:t>
      </w:r>
      <w:r>
        <w:rPr>
          <w:rFonts w:ascii="宋体" w:hAnsi="宋体" w:cs="宋体" w:eastAsia="宋体" w:hint="default"/>
          <w:sz w:val="21"/>
          <w:szCs w:val="21"/>
        </w:rPr>
        <w:t>4G</w:t>
      </w:r>
      <w:r>
        <w:rPr>
          <w:rFonts w:ascii="宋体" w:hAnsi="宋体" w:cs="宋体" w:eastAsia="宋体" w:hint="default"/>
          <w:spacing w:val="-42"/>
          <w:sz w:val="21"/>
          <w:szCs w:val="21"/>
        </w:rPr>
        <w:t> </w:t>
      </w:r>
      <w:r>
        <w:rPr>
          <w:rFonts w:ascii="宋体" w:hAnsi="宋体" w:cs="宋体" w:eastAsia="宋体" w:hint="default"/>
          <w:spacing w:val="-3"/>
          <w:sz w:val="21"/>
          <w:szCs w:val="21"/>
        </w:rPr>
        <w:t>网络深度与广度覆盖，优化调整资源，提升网络利用率，谋求合作</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共享提升网络质量；着力提升 </w:t>
      </w:r>
      <w:r>
        <w:rPr>
          <w:rFonts w:ascii="宋体" w:hAnsi="宋体" w:cs="宋体" w:eastAsia="宋体" w:hint="default"/>
          <w:sz w:val="21"/>
          <w:szCs w:val="21"/>
        </w:rPr>
        <w:t>IT</w:t>
      </w:r>
      <w:r>
        <w:rPr>
          <w:rFonts w:ascii="宋体" w:hAnsi="宋体" w:cs="宋体" w:eastAsia="宋体" w:hint="default"/>
          <w:spacing w:val="-34"/>
          <w:sz w:val="21"/>
          <w:szCs w:val="21"/>
        </w:rPr>
        <w:t> </w:t>
      </w:r>
      <w:r>
        <w:rPr>
          <w:rFonts w:ascii="宋体" w:hAnsi="宋体" w:cs="宋体" w:eastAsia="宋体" w:hint="default"/>
          <w:sz w:val="21"/>
          <w:szCs w:val="21"/>
        </w:rPr>
        <w:t>集约支撑能力，完善客户服务体验，纵深推进体制机制创新变革，</w:t>
      </w:r>
      <w:r>
        <w:rPr>
          <w:rFonts w:ascii="宋体" w:hAnsi="宋体" w:cs="宋体" w:eastAsia="宋体" w:hint="default"/>
          <w:w w:val="100"/>
          <w:sz w:val="21"/>
          <w:szCs w:val="21"/>
        </w:rPr>
        <w:t> </w:t>
      </w:r>
      <w:r>
        <w:rPr>
          <w:rFonts w:ascii="宋体" w:hAnsi="宋体" w:cs="宋体" w:eastAsia="宋体" w:hint="default"/>
          <w:sz w:val="21"/>
          <w:szCs w:val="21"/>
        </w:rPr>
        <w:t>强化基础管理和风险管控，不断提升企业治理能力，为股东创造更大价值。</w:t>
      </w:r>
    </w:p>
    <w:p>
      <w:pPr>
        <w:spacing w:line="240" w:lineRule="auto" w:before="5"/>
        <w:rPr>
          <w:rFonts w:ascii="宋体" w:hAnsi="宋体" w:cs="宋体" w:eastAsia="宋体" w:hint="default"/>
          <w:sz w:val="14"/>
          <w:szCs w:val="14"/>
        </w:rPr>
      </w:pPr>
    </w:p>
    <w:p>
      <w:pPr>
        <w:spacing w:line="331" w:lineRule="auto" w:before="0"/>
        <w:ind w:left="138" w:right="134" w:firstLine="400"/>
        <w:jc w:val="both"/>
        <w:rPr>
          <w:rFonts w:ascii="宋体" w:hAnsi="宋体" w:cs="宋体" w:eastAsia="宋体" w:hint="default"/>
          <w:sz w:val="20"/>
          <w:szCs w:val="20"/>
        </w:rPr>
      </w:pPr>
      <w:r>
        <w:rPr>
          <w:rFonts w:ascii="宋体" w:hAnsi="宋体" w:cs="宋体" w:eastAsia="宋体" w:hint="default"/>
          <w:sz w:val="20"/>
          <w:szCs w:val="20"/>
        </w:rPr>
        <w:t>注</w:t>
      </w:r>
      <w:r>
        <w:rPr>
          <w:rFonts w:ascii="宋体" w:hAnsi="宋体" w:cs="宋体" w:eastAsia="宋体" w:hint="default"/>
          <w:spacing w:val="-48"/>
          <w:sz w:val="20"/>
          <w:szCs w:val="20"/>
        </w:rPr>
        <w:t> </w:t>
      </w:r>
      <w:r>
        <w:rPr>
          <w:rFonts w:ascii="宋体" w:hAnsi="宋体" w:cs="宋体" w:eastAsia="宋体" w:hint="default"/>
          <w:sz w:val="20"/>
          <w:szCs w:val="20"/>
        </w:rPr>
        <w:t>1</w:t>
      </w:r>
      <w:r>
        <w:rPr>
          <w:rFonts w:ascii="宋体" w:hAnsi="宋体" w:cs="宋体" w:eastAsia="宋体" w:hint="default"/>
          <w:sz w:val="20"/>
          <w:szCs w:val="20"/>
        </w:rPr>
        <w:t>：</w:t>
      </w:r>
      <w:r>
        <w:rPr>
          <w:rFonts w:ascii="宋体" w:hAnsi="宋体" w:cs="宋体" w:eastAsia="宋体" w:hint="default"/>
          <w:sz w:val="20"/>
          <w:szCs w:val="20"/>
        </w:rPr>
        <w:t>EBITDA</w:t>
      </w:r>
      <w:r>
        <w:rPr>
          <w:rFonts w:ascii="宋体" w:hAnsi="宋体" w:cs="宋体" w:eastAsia="宋体" w:hint="default"/>
          <w:spacing w:val="-46"/>
          <w:sz w:val="20"/>
          <w:szCs w:val="20"/>
        </w:rPr>
        <w:t> </w:t>
      </w:r>
      <w:r>
        <w:rPr>
          <w:rFonts w:ascii="宋体" w:hAnsi="宋体" w:cs="宋体" w:eastAsia="宋体" w:hint="default"/>
          <w:sz w:val="20"/>
          <w:szCs w:val="20"/>
        </w:rPr>
        <w:t>反映了加回财务费用、所得税、营业成本和管理费用及研发费用中的折旧及摊销以及减</w:t>
      </w:r>
      <w:r>
        <w:rPr>
          <w:rFonts w:ascii="宋体" w:hAnsi="宋体" w:cs="宋体" w:eastAsia="宋体" w:hint="default"/>
          <w:w w:val="99"/>
          <w:sz w:val="20"/>
          <w:szCs w:val="20"/>
        </w:rPr>
        <w:t> </w:t>
      </w:r>
      <w:r>
        <w:rPr>
          <w:rFonts w:ascii="宋体" w:hAnsi="宋体" w:cs="宋体" w:eastAsia="宋体" w:hint="default"/>
          <w:sz w:val="20"/>
          <w:szCs w:val="20"/>
        </w:rPr>
        <w:t>去投资收益、公允价值变动净收益、其他收益、营业外净收入的净利润。由于电信业是资本密集型产业，</w:t>
      </w:r>
    </w:p>
    <w:p>
      <w:pPr>
        <w:spacing w:after="0" w:line="331" w:lineRule="auto"/>
        <w:jc w:val="both"/>
        <w:rPr>
          <w:rFonts w:ascii="宋体" w:hAnsi="宋体" w:cs="宋体" w:eastAsia="宋体" w:hint="default"/>
          <w:sz w:val="20"/>
          <w:szCs w:val="20"/>
        </w:rPr>
        <w:sectPr>
          <w:footerReference w:type="default" r:id="rId25"/>
          <w:pgSz w:w="11910" w:h="16840"/>
          <w:pgMar w:footer="502" w:header="854" w:top="1360" w:bottom="700" w:left="1280" w:right="1140"/>
        </w:sectPr>
      </w:pPr>
    </w:p>
    <w:p>
      <w:pPr>
        <w:spacing w:line="240" w:lineRule="auto" w:before="10"/>
        <w:rPr>
          <w:rFonts w:ascii="宋体" w:hAnsi="宋体" w:cs="宋体" w:eastAsia="宋体" w:hint="default"/>
          <w:sz w:val="13"/>
          <w:szCs w:val="13"/>
        </w:rPr>
      </w:pPr>
    </w:p>
    <w:p>
      <w:pPr>
        <w:spacing w:line="331" w:lineRule="auto" w:before="37"/>
        <w:ind w:left="138" w:right="212" w:firstLine="0"/>
        <w:jc w:val="both"/>
        <w:rPr>
          <w:rFonts w:ascii="宋体" w:hAnsi="宋体" w:cs="宋体" w:eastAsia="宋体" w:hint="default"/>
          <w:sz w:val="20"/>
          <w:szCs w:val="20"/>
        </w:rPr>
      </w:pPr>
      <w:r>
        <w:rPr>
          <w:rFonts w:ascii="宋体" w:hAnsi="宋体" w:cs="宋体" w:eastAsia="宋体" w:hint="default"/>
          <w:sz w:val="20"/>
          <w:szCs w:val="20"/>
        </w:rPr>
        <w:t>资本开支和财务费用可能对具有类似经营成果的公司年度盈利产生重大影响。因此，公司认为，对于与公</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w w:val="95"/>
          <w:sz w:val="20"/>
          <w:szCs w:val="20"/>
        </w:rPr>
        <w:t>司类似的电信公司而言，</w:t>
      </w:r>
      <w:r>
        <w:rPr>
          <w:rFonts w:ascii="宋体" w:hAnsi="宋体" w:cs="宋体" w:eastAsia="宋体" w:hint="default"/>
          <w:w w:val="95"/>
          <w:sz w:val="20"/>
          <w:szCs w:val="20"/>
        </w:rPr>
        <w:t>EBITDA </w:t>
      </w:r>
      <w:r>
        <w:rPr>
          <w:rFonts w:ascii="宋体" w:hAnsi="宋体" w:cs="宋体" w:eastAsia="宋体" w:hint="default"/>
          <w:w w:val="95"/>
          <w:sz w:val="20"/>
          <w:szCs w:val="20"/>
        </w:rPr>
        <w:t>有助于对公司经营成果分析，但它并非公认会计原则财务指标，并无统一</w:t>
      </w:r>
      <w:r>
        <w:rPr>
          <w:rFonts w:ascii="宋体" w:hAnsi="宋体" w:cs="宋体" w:eastAsia="宋体" w:hint="default"/>
          <w:spacing w:val="-9"/>
          <w:w w:val="95"/>
          <w:sz w:val="20"/>
          <w:szCs w:val="20"/>
        </w:rPr>
        <w:t> </w:t>
      </w:r>
      <w:r>
        <w:rPr>
          <w:rFonts w:ascii="宋体" w:hAnsi="宋体" w:cs="宋体" w:eastAsia="宋体" w:hint="default"/>
          <w:spacing w:val="-9"/>
          <w:w w:val="95"/>
          <w:sz w:val="20"/>
          <w:szCs w:val="20"/>
        </w:rPr>
      </w:r>
      <w:r>
        <w:rPr>
          <w:rFonts w:ascii="宋体" w:hAnsi="宋体" w:cs="宋体" w:eastAsia="宋体" w:hint="default"/>
          <w:sz w:val="20"/>
          <w:szCs w:val="20"/>
        </w:rPr>
        <w:t>定义，故未必可与其他公司的类似指标作比较。</w:t>
      </w:r>
    </w:p>
    <w:p>
      <w:pPr>
        <w:spacing w:before="116"/>
        <w:ind w:left="539" w:right="96" w:firstLine="0"/>
        <w:jc w:val="left"/>
        <w:rPr>
          <w:rFonts w:ascii="宋体" w:hAnsi="宋体" w:cs="宋体" w:eastAsia="宋体" w:hint="default"/>
          <w:sz w:val="20"/>
          <w:szCs w:val="20"/>
        </w:rPr>
      </w:pPr>
      <w:r>
        <w:rPr>
          <w:rFonts w:ascii="宋体" w:hAnsi="宋体" w:cs="宋体" w:eastAsia="宋体" w:hint="default"/>
          <w:sz w:val="20"/>
          <w:szCs w:val="20"/>
        </w:rPr>
        <w:t>注</w:t>
      </w:r>
      <w:r>
        <w:rPr>
          <w:rFonts w:ascii="宋体" w:hAnsi="宋体" w:cs="宋体" w:eastAsia="宋体" w:hint="default"/>
          <w:spacing w:val="-4"/>
          <w:sz w:val="20"/>
          <w:szCs w:val="20"/>
        </w:rPr>
        <w:t> </w:t>
      </w:r>
      <w:r>
        <w:rPr>
          <w:rFonts w:ascii="宋体" w:hAnsi="宋体" w:cs="宋体" w:eastAsia="宋体" w:hint="default"/>
          <w:sz w:val="20"/>
          <w:szCs w:val="20"/>
        </w:rPr>
        <w:t>2</w:t>
      </w:r>
      <w:r>
        <w:rPr>
          <w:rFonts w:ascii="宋体" w:hAnsi="宋体" w:cs="宋体" w:eastAsia="宋体" w:hint="default"/>
          <w:sz w:val="20"/>
          <w:szCs w:val="20"/>
        </w:rPr>
        <w:t>：剔除执行企业会计准则第</w:t>
      </w:r>
      <w:r>
        <w:rPr>
          <w:rFonts w:ascii="宋体" w:hAnsi="宋体" w:cs="宋体" w:eastAsia="宋体" w:hint="default"/>
          <w:spacing w:val="-51"/>
          <w:sz w:val="20"/>
          <w:szCs w:val="20"/>
        </w:rPr>
        <w:t> </w:t>
      </w:r>
      <w:r>
        <w:rPr>
          <w:rFonts w:ascii="宋体" w:hAnsi="宋体" w:cs="宋体" w:eastAsia="宋体" w:hint="default"/>
          <w:sz w:val="20"/>
          <w:szCs w:val="20"/>
        </w:rPr>
        <w:t>21</w:t>
      </w:r>
      <w:r>
        <w:rPr>
          <w:rFonts w:ascii="宋体" w:hAnsi="宋体" w:cs="宋体" w:eastAsia="宋体" w:hint="default"/>
          <w:spacing w:val="-51"/>
          <w:sz w:val="20"/>
          <w:szCs w:val="20"/>
        </w:rPr>
        <w:t> </w:t>
      </w:r>
      <w:r>
        <w:rPr>
          <w:rFonts w:ascii="宋体" w:hAnsi="宋体" w:cs="宋体" w:eastAsia="宋体" w:hint="default"/>
          <w:sz w:val="20"/>
          <w:szCs w:val="20"/>
        </w:rPr>
        <w:t>号—租赁对</w:t>
      </w:r>
      <w:r>
        <w:rPr>
          <w:rFonts w:ascii="宋体" w:hAnsi="宋体" w:cs="宋体" w:eastAsia="宋体" w:hint="default"/>
          <w:spacing w:val="-52"/>
          <w:sz w:val="20"/>
          <w:szCs w:val="20"/>
        </w:rPr>
        <w:t> </w:t>
      </w:r>
      <w:r>
        <w:rPr>
          <w:rFonts w:ascii="宋体" w:hAnsi="宋体" w:cs="宋体" w:eastAsia="宋体" w:hint="default"/>
          <w:sz w:val="20"/>
          <w:szCs w:val="20"/>
        </w:rPr>
        <w:t>2019</w:t>
      </w:r>
      <w:r>
        <w:rPr>
          <w:rFonts w:ascii="宋体" w:hAnsi="宋体" w:cs="宋体" w:eastAsia="宋体" w:hint="default"/>
          <w:spacing w:val="-50"/>
          <w:sz w:val="20"/>
          <w:szCs w:val="20"/>
        </w:rPr>
        <w:t> </w:t>
      </w:r>
      <w:r>
        <w:rPr>
          <w:rFonts w:ascii="宋体" w:hAnsi="宋体" w:cs="宋体" w:eastAsia="宋体" w:hint="default"/>
          <w:sz w:val="20"/>
          <w:szCs w:val="20"/>
        </w:rPr>
        <w:t>年自由现金流及资产负债率的影响。</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p>
      <w:pPr>
        <w:spacing w:line="307" w:lineRule="auto" w:before="0"/>
        <w:ind w:left="138" w:right="6888"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二、报告期内主要经营情况</w:t>
      </w:r>
      <w:r>
        <w:rPr>
          <w:rFonts w:ascii="Microsoft JhengHei" w:hAnsi="Microsoft JhengHei" w:cs="Microsoft JhengHei" w:eastAsia="Microsoft JhengHei" w:hint="default"/>
          <w:b/>
          <w:bCs/>
          <w:spacing w:val="-42"/>
          <w:sz w:val="21"/>
          <w:szCs w:val="21"/>
        </w:rPr>
        <w:t> </w:t>
      </w:r>
      <w:r>
        <w:rPr>
          <w:rFonts w:ascii="Microsoft JhengHei" w:hAnsi="Microsoft JhengHei" w:cs="Microsoft JhengHei" w:eastAsia="Microsoft JhengHei" w:hint="default"/>
          <w:b/>
          <w:bCs/>
          <w:spacing w:val="-42"/>
          <w:sz w:val="21"/>
          <w:szCs w:val="21"/>
        </w:rPr>
      </w:r>
      <w:r>
        <w:rPr>
          <w:rFonts w:ascii="Microsoft JhengHei" w:hAnsi="Microsoft JhengHei" w:cs="Microsoft JhengHei" w:eastAsia="Microsoft JhengHei" w:hint="default"/>
          <w:b/>
          <w:bCs/>
          <w:sz w:val="21"/>
          <w:szCs w:val="21"/>
        </w:rPr>
        <w:t>第一部分：业务回顾</w:t>
      </w:r>
      <w:r>
        <w:rPr>
          <w:rFonts w:ascii="Microsoft JhengHei" w:hAnsi="Microsoft JhengHei" w:cs="Microsoft JhengHei" w:eastAsia="Microsoft JhengHei" w:hint="default"/>
          <w:sz w:val="21"/>
          <w:szCs w:val="21"/>
        </w:rPr>
      </w:r>
    </w:p>
    <w:p>
      <w:pPr>
        <w:spacing w:before="80"/>
        <w:ind w:left="563" w:right="96"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1</w:t>
      </w:r>
      <w:r>
        <w:rPr>
          <w:rFonts w:ascii="Arial" w:hAnsi="Arial" w:cs="Arial" w:eastAsia="Arial" w:hint="default"/>
          <w:b/>
          <w:bCs/>
          <w:spacing w:val="39"/>
          <w:sz w:val="21"/>
          <w:szCs w:val="21"/>
        </w:rPr>
        <w:t> </w:t>
      </w:r>
      <w:r>
        <w:rPr>
          <w:rFonts w:ascii="Microsoft JhengHei" w:hAnsi="Microsoft JhengHei" w:cs="Microsoft JhengHei" w:eastAsia="Microsoft JhengHei" w:hint="default"/>
          <w:b/>
          <w:bCs/>
          <w:sz w:val="21"/>
          <w:szCs w:val="21"/>
        </w:rPr>
        <w:t>移动业务</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2"/>
          <w:szCs w:val="12"/>
        </w:rPr>
      </w:pPr>
    </w:p>
    <w:p>
      <w:pPr>
        <w:spacing w:line="314" w:lineRule="auto" w:before="0"/>
        <w:ind w:left="138" w:right="174" w:firstLine="372"/>
        <w:jc w:val="both"/>
        <w:rPr>
          <w:rFonts w:ascii="宋体" w:hAnsi="宋体" w:cs="宋体" w:eastAsia="宋体" w:hint="default"/>
          <w:sz w:val="21"/>
          <w:szCs w:val="21"/>
        </w:rPr>
      </w:pPr>
      <w:r>
        <w:rPr>
          <w:rFonts w:ascii="宋体" w:hAnsi="宋体" w:cs="宋体" w:eastAsia="宋体" w:hint="default"/>
          <w:sz w:val="21"/>
          <w:szCs w:val="21"/>
        </w:rPr>
        <w:t>2019 </w:t>
      </w:r>
      <w:r>
        <w:rPr>
          <w:rFonts w:ascii="宋体" w:hAnsi="宋体" w:cs="宋体" w:eastAsia="宋体" w:hint="default"/>
          <w:spacing w:val="-2"/>
          <w:sz w:val="21"/>
          <w:szCs w:val="21"/>
        </w:rPr>
        <w:t>年中国联通深化聚焦战略，持续推进市场经营的互联网化转型，构建市场为先、产品为纲、</w:t>
      </w:r>
      <w:r>
        <w:rPr>
          <w:rFonts w:ascii="宋体" w:hAnsi="宋体" w:cs="宋体" w:eastAsia="宋体" w:hint="default"/>
          <w:w w:val="100"/>
          <w:sz w:val="21"/>
          <w:szCs w:val="21"/>
        </w:rPr>
        <w:t> </w:t>
      </w:r>
      <w:r>
        <w:rPr>
          <w:rFonts w:ascii="宋体" w:hAnsi="宋体" w:cs="宋体" w:eastAsia="宋体" w:hint="default"/>
          <w:sz w:val="21"/>
          <w:szCs w:val="21"/>
        </w:rPr>
        <w:t>触点为王、能力为本的中国联通“四为” 市场体系。立足用户需求的深度挖掘与细分市场，引领产</w:t>
      </w:r>
      <w:r>
        <w:rPr>
          <w:rFonts w:ascii="宋体" w:hAnsi="宋体" w:cs="宋体" w:eastAsia="宋体" w:hint="default"/>
          <w:spacing w:val="-28"/>
          <w:sz w:val="21"/>
          <w:szCs w:val="21"/>
        </w:rPr>
        <w:t> </w:t>
      </w:r>
      <w:r>
        <w:rPr>
          <w:rFonts w:ascii="宋体" w:hAnsi="宋体" w:cs="宋体" w:eastAsia="宋体" w:hint="default"/>
          <w:spacing w:val="-28"/>
          <w:sz w:val="21"/>
          <w:szCs w:val="21"/>
        </w:rPr>
      </w:r>
      <w:r>
        <w:rPr>
          <w:rFonts w:ascii="宋体" w:hAnsi="宋体" w:cs="宋体" w:eastAsia="宋体" w:hint="default"/>
          <w:sz w:val="21"/>
          <w:szCs w:val="21"/>
        </w:rPr>
        <w:t>品设计、触点适配、能力打造、品牌宣传等市场差异化优势。构建标准化</w:t>
      </w:r>
      <w:r>
        <w:rPr>
          <w:rFonts w:ascii="宋体" w:hAnsi="宋体" w:cs="宋体" w:eastAsia="宋体" w:hint="default"/>
          <w:sz w:val="21"/>
          <w:szCs w:val="21"/>
        </w:rPr>
        <w:t>+</w:t>
      </w:r>
      <w:r>
        <w:rPr>
          <w:rFonts w:ascii="宋体" w:hAnsi="宋体" w:cs="宋体" w:eastAsia="宋体" w:hint="default"/>
          <w:sz w:val="21"/>
          <w:szCs w:val="21"/>
        </w:rPr>
        <w:t>差异化的互联网化产品体</w:t>
      </w:r>
      <w:r>
        <w:rPr>
          <w:rFonts w:ascii="宋体" w:hAnsi="宋体" w:cs="宋体" w:eastAsia="宋体" w:hint="default"/>
          <w:spacing w:val="-24"/>
          <w:sz w:val="21"/>
          <w:szCs w:val="21"/>
        </w:rPr>
        <w:t> </w:t>
      </w:r>
      <w:r>
        <w:rPr>
          <w:rFonts w:ascii="宋体" w:hAnsi="宋体" w:cs="宋体" w:eastAsia="宋体" w:hint="default"/>
          <w:spacing w:val="-24"/>
          <w:sz w:val="21"/>
          <w:szCs w:val="21"/>
        </w:rPr>
      </w:r>
      <w:r>
        <w:rPr>
          <w:rFonts w:ascii="宋体" w:hAnsi="宋体" w:cs="宋体" w:eastAsia="宋体" w:hint="default"/>
          <w:sz w:val="21"/>
          <w:szCs w:val="21"/>
        </w:rPr>
        <w:t>系，通过基础业务包灵活配置、全产品加载副卡</w:t>
      </w:r>
      <w:r>
        <w:rPr>
          <w:rFonts w:ascii="宋体" w:hAnsi="宋体" w:cs="宋体" w:eastAsia="宋体" w:hint="default"/>
          <w:sz w:val="21"/>
          <w:szCs w:val="21"/>
        </w:rPr>
        <w:t>/</w:t>
      </w:r>
      <w:r>
        <w:rPr>
          <w:rFonts w:ascii="宋体" w:hAnsi="宋体" w:cs="宋体" w:eastAsia="宋体" w:hint="default"/>
          <w:sz w:val="21"/>
          <w:szCs w:val="21"/>
        </w:rPr>
        <w:t>亲情卡、全产品融合化、全场景叠加权益，满足分</w:t>
      </w:r>
      <w:r>
        <w:rPr>
          <w:rFonts w:ascii="宋体" w:hAnsi="宋体" w:cs="宋体" w:eastAsia="宋体" w:hint="default"/>
          <w:spacing w:val="-25"/>
          <w:sz w:val="21"/>
          <w:szCs w:val="21"/>
        </w:rPr>
        <w:t> </w:t>
      </w:r>
      <w:r>
        <w:rPr>
          <w:rFonts w:ascii="宋体" w:hAnsi="宋体" w:cs="宋体" w:eastAsia="宋体" w:hint="default"/>
          <w:spacing w:val="-25"/>
          <w:sz w:val="21"/>
          <w:szCs w:val="21"/>
        </w:rPr>
      </w:r>
      <w:r>
        <w:rPr>
          <w:rFonts w:ascii="宋体" w:hAnsi="宋体" w:cs="宋体" w:eastAsia="宋体" w:hint="default"/>
          <w:spacing w:val="-2"/>
          <w:sz w:val="21"/>
          <w:szCs w:val="21"/>
        </w:rPr>
        <w:t>众营销用户细分需求。存量经营转向大数据驱动的集约化精准化经营，打造互联网化新型营销网络，</w:t>
      </w:r>
      <w:r>
        <w:rPr>
          <w:rFonts w:ascii="宋体" w:hAnsi="宋体" w:cs="宋体" w:eastAsia="宋体" w:hint="default"/>
          <w:spacing w:val="-24"/>
          <w:sz w:val="21"/>
          <w:szCs w:val="21"/>
        </w:rPr>
        <w:t> </w:t>
      </w:r>
      <w:r>
        <w:rPr>
          <w:rFonts w:ascii="宋体" w:hAnsi="宋体" w:cs="宋体" w:eastAsia="宋体" w:hint="default"/>
          <w:spacing w:val="-24"/>
          <w:sz w:val="21"/>
          <w:szCs w:val="21"/>
        </w:rPr>
      </w:r>
      <w:r>
        <w:rPr>
          <w:rFonts w:ascii="宋体" w:hAnsi="宋体" w:cs="宋体" w:eastAsia="宋体" w:hint="default"/>
          <w:spacing w:val="-2"/>
          <w:sz w:val="21"/>
          <w:szCs w:val="21"/>
        </w:rPr>
        <w:t>围绕客户生活轨迹，做广做轻接触网，做优做强交付网，构建中国联通互联网化新型营销网，实现全</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pacing w:val="-4"/>
          <w:sz w:val="21"/>
          <w:szCs w:val="21"/>
        </w:rPr>
        <w:t>场景营销、多样化交付，提高客户感知和运营效率，大力拓展轻成本、广覆盖的新型触点。截至 </w:t>
      </w:r>
      <w:r>
        <w:rPr>
          <w:rFonts w:ascii="宋体" w:hAnsi="宋体" w:cs="宋体" w:eastAsia="宋体" w:hint="default"/>
          <w:sz w:val="21"/>
          <w:szCs w:val="21"/>
        </w:rPr>
        <w:t>2019</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年底出账用户达</w:t>
      </w:r>
      <w:r>
        <w:rPr>
          <w:rFonts w:ascii="宋体" w:hAnsi="宋体" w:cs="宋体" w:eastAsia="宋体" w:hint="default"/>
          <w:spacing w:val="-48"/>
          <w:sz w:val="21"/>
          <w:szCs w:val="21"/>
        </w:rPr>
        <w:t> </w:t>
      </w:r>
      <w:r>
        <w:rPr>
          <w:rFonts w:ascii="宋体" w:hAnsi="宋体" w:cs="宋体" w:eastAsia="宋体" w:hint="default"/>
          <w:sz w:val="21"/>
          <w:szCs w:val="21"/>
        </w:rPr>
        <w:t>3.2</w:t>
      </w:r>
      <w:r>
        <w:rPr>
          <w:rFonts w:ascii="宋体" w:hAnsi="宋体" w:cs="宋体" w:eastAsia="宋体" w:hint="default"/>
          <w:spacing w:val="-45"/>
          <w:sz w:val="21"/>
          <w:szCs w:val="21"/>
        </w:rPr>
        <w:t> </w:t>
      </w:r>
      <w:r>
        <w:rPr>
          <w:rFonts w:ascii="宋体" w:hAnsi="宋体" w:cs="宋体" w:eastAsia="宋体" w:hint="default"/>
          <w:sz w:val="21"/>
          <w:szCs w:val="21"/>
        </w:rPr>
        <w:t>亿户，用户</w:t>
      </w:r>
      <w:r>
        <w:rPr>
          <w:rFonts w:ascii="宋体" w:hAnsi="宋体" w:cs="宋体" w:eastAsia="宋体" w:hint="default"/>
          <w:spacing w:val="-47"/>
          <w:sz w:val="21"/>
          <w:szCs w:val="21"/>
        </w:rPr>
        <w:t> </w:t>
      </w:r>
      <w:r>
        <w:rPr>
          <w:rFonts w:ascii="宋体" w:hAnsi="宋体" w:cs="宋体" w:eastAsia="宋体" w:hint="default"/>
          <w:sz w:val="21"/>
          <w:szCs w:val="21"/>
        </w:rPr>
        <w:t>ARPU</w:t>
      </w:r>
      <w:r>
        <w:rPr>
          <w:rFonts w:ascii="宋体" w:hAnsi="宋体" w:cs="宋体" w:eastAsia="宋体" w:hint="default"/>
          <w:spacing w:val="-48"/>
          <w:sz w:val="21"/>
          <w:szCs w:val="21"/>
        </w:rPr>
        <w:t> </w:t>
      </w:r>
      <w:r>
        <w:rPr>
          <w:rFonts w:ascii="宋体" w:hAnsi="宋体" w:cs="宋体" w:eastAsia="宋体" w:hint="default"/>
          <w:sz w:val="21"/>
          <w:szCs w:val="21"/>
        </w:rPr>
        <w:t>为人民币</w:t>
      </w:r>
      <w:r>
        <w:rPr>
          <w:rFonts w:ascii="宋体" w:hAnsi="宋体" w:cs="宋体" w:eastAsia="宋体" w:hint="default"/>
          <w:spacing w:val="-46"/>
          <w:sz w:val="21"/>
          <w:szCs w:val="21"/>
        </w:rPr>
        <w:t> </w:t>
      </w:r>
      <w:r>
        <w:rPr>
          <w:rFonts w:ascii="宋体" w:hAnsi="宋体" w:cs="宋体" w:eastAsia="宋体" w:hint="default"/>
          <w:sz w:val="21"/>
          <w:szCs w:val="21"/>
        </w:rPr>
        <w:t>40.4</w:t>
      </w:r>
      <w:r>
        <w:rPr>
          <w:rFonts w:ascii="宋体" w:hAnsi="宋体" w:cs="宋体" w:eastAsia="宋体" w:hint="default"/>
          <w:spacing w:val="-45"/>
          <w:sz w:val="21"/>
          <w:szCs w:val="21"/>
        </w:rPr>
        <w:t> </w:t>
      </w:r>
      <w:r>
        <w:rPr>
          <w:rFonts w:ascii="宋体" w:hAnsi="宋体" w:cs="宋体" w:eastAsia="宋体" w:hint="default"/>
          <w:sz w:val="21"/>
          <w:szCs w:val="21"/>
        </w:rPr>
        <w:t>元，其中</w:t>
      </w:r>
      <w:r>
        <w:rPr>
          <w:rFonts w:ascii="宋体" w:hAnsi="宋体" w:cs="宋体" w:eastAsia="宋体" w:hint="default"/>
          <w:spacing w:val="-46"/>
          <w:sz w:val="21"/>
          <w:szCs w:val="21"/>
        </w:rPr>
        <w:t> </w:t>
      </w:r>
      <w:r>
        <w:rPr>
          <w:rFonts w:ascii="宋体" w:hAnsi="宋体" w:cs="宋体" w:eastAsia="宋体" w:hint="default"/>
          <w:sz w:val="21"/>
          <w:szCs w:val="21"/>
        </w:rPr>
        <w:t>4G</w:t>
      </w:r>
      <w:r>
        <w:rPr>
          <w:rFonts w:ascii="宋体" w:hAnsi="宋体" w:cs="宋体" w:eastAsia="宋体" w:hint="default"/>
          <w:spacing w:val="-48"/>
          <w:sz w:val="21"/>
          <w:szCs w:val="21"/>
        </w:rPr>
        <w:t> </w:t>
      </w:r>
      <w:r>
        <w:rPr>
          <w:rFonts w:ascii="宋体" w:hAnsi="宋体" w:cs="宋体" w:eastAsia="宋体" w:hint="default"/>
          <w:sz w:val="21"/>
          <w:szCs w:val="21"/>
        </w:rPr>
        <w:t>出账用户</w:t>
      </w:r>
      <w:r>
        <w:rPr>
          <w:rFonts w:ascii="宋体" w:hAnsi="宋体" w:cs="宋体" w:eastAsia="宋体" w:hint="default"/>
          <w:spacing w:val="-46"/>
          <w:sz w:val="21"/>
          <w:szCs w:val="21"/>
        </w:rPr>
        <w:t> </w:t>
      </w:r>
      <w:r>
        <w:rPr>
          <w:rFonts w:ascii="宋体" w:hAnsi="宋体" w:cs="宋体" w:eastAsia="宋体" w:hint="default"/>
          <w:sz w:val="21"/>
          <w:szCs w:val="21"/>
        </w:rPr>
        <w:t>2.5</w:t>
      </w:r>
      <w:r>
        <w:rPr>
          <w:rFonts w:ascii="宋体" w:hAnsi="宋体" w:cs="宋体" w:eastAsia="宋体" w:hint="default"/>
          <w:spacing w:val="-45"/>
          <w:sz w:val="21"/>
          <w:szCs w:val="21"/>
        </w:rPr>
        <w:t> </w:t>
      </w:r>
      <w:r>
        <w:rPr>
          <w:rFonts w:ascii="宋体" w:hAnsi="宋体" w:cs="宋体" w:eastAsia="宋体" w:hint="default"/>
          <w:sz w:val="21"/>
          <w:szCs w:val="21"/>
        </w:rPr>
        <w:t>亿户，手机上网流量</w:t>
      </w:r>
      <w:r>
        <w:rPr>
          <w:rFonts w:ascii="宋体" w:hAnsi="宋体" w:cs="宋体" w:eastAsia="宋体" w:hint="default"/>
          <w:w w:val="100"/>
          <w:sz w:val="21"/>
          <w:szCs w:val="21"/>
        </w:rPr>
        <w:t> </w:t>
      </w:r>
      <w:r>
        <w:rPr>
          <w:rFonts w:ascii="宋体" w:hAnsi="宋体" w:cs="宋体" w:eastAsia="宋体" w:hint="default"/>
          <w:sz w:val="21"/>
          <w:szCs w:val="21"/>
        </w:rPr>
        <w:t>3016</w:t>
      </w:r>
      <w:r>
        <w:rPr>
          <w:rFonts w:ascii="宋体" w:hAnsi="宋体" w:cs="宋体" w:eastAsia="宋体" w:hint="default"/>
          <w:spacing w:val="-56"/>
          <w:sz w:val="21"/>
          <w:szCs w:val="21"/>
        </w:rPr>
        <w:t> </w:t>
      </w:r>
      <w:r>
        <w:rPr>
          <w:rFonts w:ascii="宋体" w:hAnsi="宋体" w:cs="宋体" w:eastAsia="宋体" w:hint="default"/>
          <w:sz w:val="21"/>
          <w:szCs w:val="21"/>
        </w:rPr>
        <w:t>万</w:t>
      </w:r>
      <w:r>
        <w:rPr>
          <w:rFonts w:ascii="宋体" w:hAnsi="宋体" w:cs="宋体" w:eastAsia="宋体" w:hint="default"/>
          <w:spacing w:val="-54"/>
          <w:sz w:val="21"/>
          <w:szCs w:val="21"/>
        </w:rPr>
        <w:t> </w:t>
      </w:r>
      <w:r>
        <w:rPr>
          <w:rFonts w:ascii="宋体" w:hAnsi="宋体" w:cs="宋体" w:eastAsia="宋体" w:hint="default"/>
          <w:sz w:val="21"/>
          <w:szCs w:val="21"/>
        </w:rPr>
        <w:t>TB</w:t>
      </w:r>
      <w:r>
        <w:rPr>
          <w:rFonts w:ascii="宋体" w:hAnsi="宋体" w:cs="宋体" w:eastAsia="宋体" w:hint="default"/>
          <w:sz w:val="21"/>
          <w:szCs w:val="21"/>
        </w:rPr>
        <w:t>，同比增长</w:t>
      </w:r>
      <w:r>
        <w:rPr>
          <w:rFonts w:ascii="宋体" w:hAnsi="宋体" w:cs="宋体" w:eastAsia="宋体" w:hint="default"/>
          <w:spacing w:val="-54"/>
          <w:sz w:val="21"/>
          <w:szCs w:val="21"/>
        </w:rPr>
        <w:t> </w:t>
      </w:r>
      <w:r>
        <w:rPr>
          <w:rFonts w:ascii="宋体" w:hAnsi="宋体" w:cs="宋体" w:eastAsia="宋体" w:hint="default"/>
          <w:sz w:val="21"/>
          <w:szCs w:val="21"/>
        </w:rPr>
        <w:t>46%</w:t>
      </w:r>
      <w:r>
        <w:rPr>
          <w:rFonts w:ascii="宋体" w:hAnsi="宋体" w:cs="宋体" w:eastAsia="宋体" w:hint="default"/>
          <w:sz w:val="21"/>
          <w:szCs w:val="21"/>
        </w:rPr>
        <w:t>。</w:t>
      </w:r>
    </w:p>
    <w:p>
      <w:pPr>
        <w:spacing w:before="109"/>
        <w:ind w:left="563" w:right="96"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2</w:t>
      </w:r>
      <w:r>
        <w:rPr>
          <w:rFonts w:ascii="Arial" w:hAnsi="Arial" w:cs="Arial" w:eastAsia="Arial" w:hint="default"/>
          <w:b/>
          <w:bCs/>
          <w:spacing w:val="39"/>
          <w:sz w:val="21"/>
          <w:szCs w:val="21"/>
        </w:rPr>
        <w:t> </w:t>
      </w:r>
      <w:r>
        <w:rPr>
          <w:rFonts w:ascii="Microsoft JhengHei" w:hAnsi="Microsoft JhengHei" w:cs="Microsoft JhengHei" w:eastAsia="Microsoft JhengHei" w:hint="default"/>
          <w:b/>
          <w:bCs/>
          <w:sz w:val="21"/>
          <w:szCs w:val="21"/>
        </w:rPr>
        <w:t>固网宽带</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2"/>
          <w:szCs w:val="12"/>
        </w:rPr>
      </w:pPr>
    </w:p>
    <w:p>
      <w:pPr>
        <w:spacing w:line="314" w:lineRule="auto" w:before="0"/>
        <w:ind w:left="138" w:right="96" w:firstLine="372"/>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7"/>
          <w:sz w:val="21"/>
          <w:szCs w:val="21"/>
        </w:rPr>
        <w:t> </w:t>
      </w:r>
      <w:r>
        <w:rPr>
          <w:rFonts w:ascii="宋体" w:hAnsi="宋体" w:cs="宋体" w:eastAsia="宋体" w:hint="default"/>
          <w:sz w:val="21"/>
          <w:szCs w:val="21"/>
        </w:rPr>
        <w:t>年持续强化融合发展，突出高速和内容应用优势，推出“1+4+X”的智慧家庭产品体系，推</w:t>
      </w:r>
      <w:r>
        <w:rPr>
          <w:rFonts w:ascii="宋体" w:hAnsi="宋体" w:cs="宋体" w:eastAsia="宋体" w:hint="default"/>
          <w:w w:val="100"/>
          <w:sz w:val="21"/>
          <w:szCs w:val="21"/>
        </w:rPr>
        <w:t> </w:t>
      </w:r>
      <w:r>
        <w:rPr>
          <w:rFonts w:ascii="宋体" w:hAnsi="宋体" w:cs="宋体" w:eastAsia="宋体" w:hint="default"/>
          <w:spacing w:val="-4"/>
          <w:sz w:val="21"/>
          <w:szCs w:val="21"/>
        </w:rPr>
        <w:t>出“沃家组网、沃家电视、沃家固话、沃家神眼”4 </w:t>
      </w:r>
      <w:r>
        <w:rPr>
          <w:rFonts w:ascii="宋体" w:hAnsi="宋体" w:cs="宋体" w:eastAsia="宋体" w:hint="default"/>
          <w:spacing w:val="-3"/>
          <w:sz w:val="21"/>
          <w:szCs w:val="21"/>
        </w:rPr>
        <w:t>项重点产品，通过家庭应用形成新的收入增长点。</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同时落实宽带高质量发展工作要求，全面提升产品效能，逐步提升家庭用户价值。尽管 </w:t>
      </w:r>
      <w:r>
        <w:rPr>
          <w:rFonts w:ascii="宋体" w:hAnsi="宋体" w:cs="宋体" w:eastAsia="宋体" w:hint="default"/>
          <w:sz w:val="21"/>
          <w:szCs w:val="21"/>
        </w:rPr>
        <w:t>2019</w:t>
      </w:r>
      <w:r>
        <w:rPr>
          <w:rFonts w:ascii="宋体" w:hAnsi="宋体" w:cs="宋体" w:eastAsia="宋体" w:hint="default"/>
          <w:spacing w:val="-28"/>
          <w:sz w:val="21"/>
          <w:szCs w:val="21"/>
        </w:rPr>
        <w:t> </w:t>
      </w:r>
      <w:r>
        <w:rPr>
          <w:rFonts w:ascii="宋体" w:hAnsi="宋体" w:cs="宋体" w:eastAsia="宋体" w:hint="default"/>
          <w:spacing w:val="-3"/>
          <w:sz w:val="21"/>
          <w:szCs w:val="21"/>
        </w:rPr>
        <w:t>年固网</w:t>
      </w:r>
      <w:r>
        <w:rPr>
          <w:rFonts w:ascii="宋体" w:hAnsi="宋体" w:cs="宋体" w:eastAsia="宋体" w:hint="default"/>
          <w:spacing w:val="-3"/>
          <w:w w:val="100"/>
          <w:sz w:val="21"/>
          <w:szCs w:val="21"/>
        </w:rPr>
        <w:t> </w:t>
      </w:r>
      <w:r>
        <w:rPr>
          <w:rFonts w:ascii="宋体" w:hAnsi="宋体" w:cs="宋体" w:eastAsia="宋体" w:hint="default"/>
          <w:sz w:val="21"/>
          <w:szCs w:val="21"/>
        </w:rPr>
        <w:t>宽带收入同比下降</w:t>
      </w:r>
      <w:r>
        <w:rPr>
          <w:rFonts w:ascii="宋体" w:hAnsi="宋体" w:cs="宋体" w:eastAsia="宋体" w:hint="default"/>
          <w:spacing w:val="-48"/>
          <w:sz w:val="21"/>
          <w:szCs w:val="21"/>
        </w:rPr>
        <w:t> </w:t>
      </w:r>
      <w:r>
        <w:rPr>
          <w:rFonts w:ascii="宋体" w:hAnsi="宋体" w:cs="宋体" w:eastAsia="宋体" w:hint="default"/>
          <w:sz w:val="21"/>
          <w:szCs w:val="21"/>
        </w:rPr>
        <w:t>1.7%</w:t>
      </w:r>
      <w:r>
        <w:rPr>
          <w:rFonts w:ascii="宋体" w:hAnsi="宋体" w:cs="宋体" w:eastAsia="宋体" w:hint="default"/>
          <w:sz w:val="21"/>
          <w:szCs w:val="21"/>
        </w:rPr>
        <w:t>，四季度宽带接入收入和</w:t>
      </w:r>
      <w:r>
        <w:rPr>
          <w:rFonts w:ascii="宋体" w:hAnsi="宋体" w:cs="宋体" w:eastAsia="宋体" w:hint="default"/>
          <w:spacing w:val="-47"/>
          <w:sz w:val="21"/>
          <w:szCs w:val="21"/>
        </w:rPr>
        <w:t> </w:t>
      </w:r>
      <w:r>
        <w:rPr>
          <w:rFonts w:ascii="宋体" w:hAnsi="宋体" w:cs="宋体" w:eastAsia="宋体" w:hint="default"/>
          <w:sz w:val="21"/>
          <w:szCs w:val="21"/>
        </w:rPr>
        <w:t>ARPU</w:t>
      </w:r>
      <w:r>
        <w:rPr>
          <w:rFonts w:ascii="宋体" w:hAnsi="宋体" w:cs="宋体" w:eastAsia="宋体" w:hint="default"/>
          <w:spacing w:val="-45"/>
          <w:sz w:val="21"/>
          <w:szCs w:val="21"/>
        </w:rPr>
        <w:t> </w:t>
      </w:r>
      <w:r>
        <w:rPr>
          <w:rFonts w:ascii="宋体" w:hAnsi="宋体" w:cs="宋体" w:eastAsia="宋体" w:hint="default"/>
          <w:sz w:val="21"/>
          <w:szCs w:val="21"/>
        </w:rPr>
        <w:t>已出现止跌回升，扭转宽带业务收入持续下降</w:t>
      </w:r>
      <w:r>
        <w:rPr>
          <w:rFonts w:ascii="宋体" w:hAnsi="宋体" w:cs="宋体" w:eastAsia="宋体" w:hint="default"/>
          <w:w w:val="100"/>
          <w:sz w:val="21"/>
          <w:szCs w:val="21"/>
        </w:rPr>
        <w:t> </w:t>
      </w:r>
      <w:r>
        <w:rPr>
          <w:rFonts w:ascii="宋体" w:hAnsi="宋体" w:cs="宋体" w:eastAsia="宋体" w:hint="default"/>
          <w:sz w:val="21"/>
          <w:szCs w:val="21"/>
        </w:rPr>
        <w:t>局面。全年宽带用户净增</w:t>
      </w:r>
      <w:r>
        <w:rPr>
          <w:rFonts w:ascii="宋体" w:hAnsi="宋体" w:cs="宋体" w:eastAsia="宋体" w:hint="default"/>
          <w:spacing w:val="-52"/>
          <w:sz w:val="21"/>
          <w:szCs w:val="21"/>
        </w:rPr>
        <w:t> </w:t>
      </w:r>
      <w:r>
        <w:rPr>
          <w:rFonts w:ascii="宋体" w:hAnsi="宋体" w:cs="宋体" w:eastAsia="宋体" w:hint="default"/>
          <w:sz w:val="21"/>
          <w:szCs w:val="21"/>
        </w:rPr>
        <w:t>260</w:t>
      </w:r>
      <w:r>
        <w:rPr>
          <w:rFonts w:ascii="宋体" w:hAnsi="宋体" w:cs="宋体" w:eastAsia="宋体" w:hint="default"/>
          <w:spacing w:val="-50"/>
          <w:sz w:val="21"/>
          <w:szCs w:val="21"/>
        </w:rPr>
        <w:t> </w:t>
      </w:r>
      <w:r>
        <w:rPr>
          <w:rFonts w:ascii="宋体" w:hAnsi="宋体" w:cs="宋体" w:eastAsia="宋体" w:hint="default"/>
          <w:sz w:val="21"/>
          <w:szCs w:val="21"/>
        </w:rPr>
        <w:t>万户，达到</w:t>
      </w:r>
      <w:r>
        <w:rPr>
          <w:rFonts w:ascii="宋体" w:hAnsi="宋体" w:cs="宋体" w:eastAsia="宋体" w:hint="default"/>
          <w:spacing w:val="-50"/>
          <w:sz w:val="21"/>
          <w:szCs w:val="21"/>
        </w:rPr>
        <w:t> </w:t>
      </w:r>
      <w:r>
        <w:rPr>
          <w:rFonts w:ascii="宋体" w:hAnsi="宋体" w:cs="宋体" w:eastAsia="宋体" w:hint="default"/>
          <w:sz w:val="21"/>
          <w:szCs w:val="21"/>
        </w:rPr>
        <w:t>8348</w:t>
      </w:r>
      <w:r>
        <w:rPr>
          <w:rFonts w:ascii="宋体" w:hAnsi="宋体" w:cs="宋体" w:eastAsia="宋体" w:hint="default"/>
          <w:spacing w:val="-50"/>
          <w:sz w:val="21"/>
          <w:szCs w:val="21"/>
        </w:rPr>
        <w:t> </w:t>
      </w:r>
      <w:r>
        <w:rPr>
          <w:rFonts w:ascii="宋体" w:hAnsi="宋体" w:cs="宋体" w:eastAsia="宋体" w:hint="default"/>
          <w:sz w:val="21"/>
          <w:szCs w:val="21"/>
        </w:rPr>
        <w:t>万户，宽带用户接入</w:t>
      </w:r>
      <w:r>
        <w:rPr>
          <w:rFonts w:ascii="宋体" w:hAnsi="宋体" w:cs="宋体" w:eastAsia="宋体" w:hint="default"/>
          <w:spacing w:val="-53"/>
          <w:sz w:val="21"/>
          <w:szCs w:val="21"/>
        </w:rPr>
        <w:t> </w:t>
      </w:r>
      <w:r>
        <w:rPr>
          <w:rFonts w:ascii="宋体" w:hAnsi="宋体" w:cs="宋体" w:eastAsia="宋体" w:hint="default"/>
          <w:sz w:val="21"/>
          <w:szCs w:val="21"/>
        </w:rPr>
        <w:t>ARPU</w:t>
      </w:r>
      <w:r>
        <w:rPr>
          <w:rFonts w:ascii="宋体" w:hAnsi="宋体" w:cs="宋体" w:eastAsia="宋体" w:hint="default"/>
          <w:spacing w:val="-53"/>
          <w:sz w:val="21"/>
          <w:szCs w:val="21"/>
        </w:rPr>
        <w:t> </w:t>
      </w:r>
      <w:r>
        <w:rPr>
          <w:rFonts w:ascii="宋体" w:hAnsi="宋体" w:cs="宋体" w:eastAsia="宋体" w:hint="default"/>
          <w:sz w:val="21"/>
          <w:szCs w:val="21"/>
        </w:rPr>
        <w:t>为人民币</w:t>
      </w:r>
      <w:r>
        <w:rPr>
          <w:rFonts w:ascii="宋体" w:hAnsi="宋体" w:cs="宋体" w:eastAsia="宋体" w:hint="default"/>
          <w:spacing w:val="-50"/>
          <w:sz w:val="21"/>
          <w:szCs w:val="21"/>
        </w:rPr>
        <w:t> </w:t>
      </w:r>
      <w:r>
        <w:rPr>
          <w:rFonts w:ascii="宋体" w:hAnsi="宋体" w:cs="宋体" w:eastAsia="宋体" w:hint="default"/>
          <w:sz w:val="21"/>
          <w:szCs w:val="21"/>
        </w:rPr>
        <w:t>41.6</w:t>
      </w:r>
      <w:r>
        <w:rPr>
          <w:rFonts w:ascii="宋体" w:hAnsi="宋体" w:cs="宋体" w:eastAsia="宋体" w:hint="default"/>
          <w:spacing w:val="-50"/>
          <w:sz w:val="21"/>
          <w:szCs w:val="21"/>
        </w:rPr>
        <w:t> </w:t>
      </w:r>
      <w:r>
        <w:rPr>
          <w:rFonts w:ascii="宋体" w:hAnsi="宋体" w:cs="宋体" w:eastAsia="宋体" w:hint="default"/>
          <w:sz w:val="21"/>
          <w:szCs w:val="21"/>
        </w:rPr>
        <w:t>元；</w:t>
      </w:r>
      <w:r>
        <w:rPr>
          <w:rFonts w:ascii="宋体" w:hAnsi="宋体" w:cs="宋体" w:eastAsia="宋体" w:hint="default"/>
          <w:sz w:val="21"/>
          <w:szCs w:val="21"/>
        </w:rPr>
        <w:t>FTTH</w:t>
      </w:r>
      <w:r>
        <w:rPr>
          <w:rFonts w:ascii="宋体" w:hAnsi="宋体" w:cs="宋体" w:eastAsia="宋体" w:hint="default"/>
          <w:spacing w:val="-50"/>
          <w:sz w:val="21"/>
          <w:szCs w:val="21"/>
        </w:rPr>
        <w:t> </w:t>
      </w:r>
      <w:r>
        <w:rPr>
          <w:rFonts w:ascii="宋体" w:hAnsi="宋体" w:cs="宋体" w:eastAsia="宋体" w:hint="default"/>
          <w:sz w:val="21"/>
          <w:szCs w:val="21"/>
        </w:rPr>
        <w:t>用</w:t>
      </w:r>
      <w:r>
        <w:rPr>
          <w:rFonts w:ascii="宋体" w:hAnsi="宋体" w:cs="宋体" w:eastAsia="宋体" w:hint="default"/>
          <w:w w:val="100"/>
          <w:sz w:val="21"/>
          <w:szCs w:val="21"/>
        </w:rPr>
        <w:t> </w:t>
      </w:r>
      <w:r>
        <w:rPr>
          <w:rFonts w:ascii="宋体" w:hAnsi="宋体" w:cs="宋体" w:eastAsia="宋体" w:hint="default"/>
          <w:sz w:val="21"/>
          <w:szCs w:val="21"/>
        </w:rPr>
        <w:t>户占比达到</w:t>
      </w:r>
      <w:r>
        <w:rPr>
          <w:rFonts w:ascii="宋体" w:hAnsi="宋体" w:cs="宋体" w:eastAsia="宋体" w:hint="default"/>
          <w:spacing w:val="-53"/>
          <w:sz w:val="21"/>
          <w:szCs w:val="21"/>
        </w:rPr>
        <w:t> </w:t>
      </w:r>
      <w:r>
        <w:rPr>
          <w:rFonts w:ascii="宋体" w:hAnsi="宋体" w:cs="宋体" w:eastAsia="宋体" w:hint="default"/>
          <w:sz w:val="21"/>
          <w:szCs w:val="21"/>
        </w:rPr>
        <w:t>85%</w:t>
      </w:r>
      <w:r>
        <w:rPr>
          <w:rFonts w:ascii="宋体" w:hAnsi="宋体" w:cs="宋体" w:eastAsia="宋体" w:hint="default"/>
          <w:sz w:val="21"/>
          <w:szCs w:val="21"/>
        </w:rPr>
        <w:t>，同比提高</w:t>
      </w:r>
      <w:r>
        <w:rPr>
          <w:rFonts w:ascii="宋体" w:hAnsi="宋体" w:cs="宋体" w:eastAsia="宋体" w:hint="default"/>
          <w:spacing w:val="-52"/>
          <w:sz w:val="21"/>
          <w:szCs w:val="21"/>
        </w:rPr>
        <w:t> </w:t>
      </w:r>
      <w:r>
        <w:rPr>
          <w:rFonts w:ascii="宋体" w:hAnsi="宋体" w:cs="宋体" w:eastAsia="宋体" w:hint="default"/>
          <w:sz w:val="21"/>
          <w:szCs w:val="21"/>
        </w:rPr>
        <w:t>3.5</w:t>
      </w:r>
      <w:r>
        <w:rPr>
          <w:rFonts w:ascii="宋体" w:hAnsi="宋体" w:cs="宋体" w:eastAsia="宋体" w:hint="default"/>
          <w:spacing w:val="-55"/>
          <w:sz w:val="21"/>
          <w:szCs w:val="21"/>
        </w:rPr>
        <w:t> </w:t>
      </w:r>
      <w:r>
        <w:rPr>
          <w:rFonts w:ascii="宋体" w:hAnsi="宋体" w:cs="宋体" w:eastAsia="宋体" w:hint="default"/>
          <w:sz w:val="21"/>
          <w:szCs w:val="21"/>
        </w:rPr>
        <w:t>个百分点。</w:t>
      </w:r>
    </w:p>
    <w:p>
      <w:pPr>
        <w:spacing w:line="381" w:lineRule="auto" w:before="110"/>
        <w:ind w:left="510" w:right="96" w:firstLine="55"/>
        <w:jc w:val="left"/>
        <w:rPr>
          <w:rFonts w:ascii="宋体" w:hAnsi="宋体" w:cs="宋体" w:eastAsia="宋体" w:hint="default"/>
          <w:sz w:val="21"/>
          <w:szCs w:val="21"/>
        </w:rPr>
      </w:pPr>
      <w:r>
        <w:rPr>
          <w:rFonts w:ascii="Arial" w:hAnsi="Arial" w:cs="Arial" w:eastAsia="Arial" w:hint="default"/>
          <w:b/>
          <w:bCs/>
          <w:sz w:val="21"/>
          <w:szCs w:val="21"/>
        </w:rPr>
        <w:t>3</w:t>
      </w:r>
      <w:r>
        <w:rPr>
          <w:rFonts w:ascii="Arial" w:hAnsi="Arial" w:cs="Arial" w:eastAsia="Arial" w:hint="default"/>
          <w:b/>
          <w:bCs/>
          <w:spacing w:val="-7"/>
          <w:sz w:val="21"/>
          <w:szCs w:val="21"/>
        </w:rPr>
        <w:t> </w:t>
      </w:r>
      <w:r>
        <w:rPr>
          <w:rFonts w:ascii="Microsoft JhengHei" w:hAnsi="Microsoft JhengHei" w:cs="Microsoft JhengHei" w:eastAsia="Microsoft JhengHei" w:hint="default"/>
          <w:b/>
          <w:bCs/>
          <w:sz w:val="21"/>
          <w:szCs w:val="21"/>
        </w:rPr>
        <w:t>产业互联网</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1"/>
          <w:sz w:val="21"/>
          <w:szCs w:val="21"/>
        </w:rPr>
        <w:t>云计算方面，聚焦云引领，加强合作与提升自有能力相结合，制定云网一体、安全可信、多云协</w:t>
      </w:r>
    </w:p>
    <w:p>
      <w:pPr>
        <w:spacing w:line="236" w:lineRule="exact" w:before="0"/>
        <w:ind w:left="138" w:right="0" w:firstLine="0"/>
        <w:jc w:val="both"/>
        <w:rPr>
          <w:rFonts w:ascii="宋体" w:hAnsi="宋体" w:cs="宋体" w:eastAsia="宋体" w:hint="default"/>
          <w:sz w:val="21"/>
          <w:szCs w:val="21"/>
        </w:rPr>
      </w:pPr>
      <w:r>
        <w:rPr>
          <w:rFonts w:ascii="宋体" w:hAnsi="宋体" w:cs="宋体" w:eastAsia="宋体" w:hint="default"/>
          <w:sz w:val="21"/>
          <w:szCs w:val="21"/>
        </w:rPr>
        <w:t>同、专属定制的云业务整体发展策略；围绕云计算能力打造，发布沃云战略规划，重新布局联通全网</w:t>
      </w:r>
    </w:p>
    <w:p>
      <w:pPr>
        <w:spacing w:line="314" w:lineRule="auto" w:before="85"/>
        <w:ind w:left="138" w:right="179" w:firstLine="0"/>
        <w:jc w:val="both"/>
        <w:rPr>
          <w:rFonts w:ascii="宋体" w:hAnsi="宋体" w:cs="宋体" w:eastAsia="宋体" w:hint="default"/>
          <w:sz w:val="21"/>
          <w:szCs w:val="21"/>
        </w:rPr>
      </w:pPr>
      <w:r>
        <w:rPr>
          <w:rFonts w:ascii="宋体" w:hAnsi="宋体" w:cs="宋体" w:eastAsia="宋体" w:hint="default"/>
          <w:spacing w:val="-4"/>
          <w:sz w:val="21"/>
          <w:szCs w:val="21"/>
        </w:rPr>
        <w:t>云资源池，确定联通云品牌；积极开展“云光慧企”营销活动助力行业客户上云，</w:t>
      </w:r>
      <w:r>
        <w:rPr>
          <w:rFonts w:ascii="宋体" w:hAnsi="宋体" w:cs="宋体" w:eastAsia="宋体" w:hint="default"/>
          <w:spacing w:val="-4"/>
          <w:sz w:val="21"/>
          <w:szCs w:val="21"/>
        </w:rPr>
        <w:t>2019 </w:t>
      </w:r>
      <w:r>
        <w:rPr>
          <w:rFonts w:ascii="宋体" w:hAnsi="宋体" w:cs="宋体" w:eastAsia="宋体" w:hint="default"/>
          <w:sz w:val="21"/>
          <w:szCs w:val="21"/>
        </w:rPr>
        <w:t>年云计算收入</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达到人民币</w:t>
      </w:r>
      <w:r>
        <w:rPr>
          <w:rFonts w:ascii="宋体" w:hAnsi="宋体" w:cs="宋体" w:eastAsia="宋体" w:hint="default"/>
          <w:spacing w:val="-50"/>
          <w:sz w:val="21"/>
          <w:szCs w:val="21"/>
        </w:rPr>
        <w:t> </w:t>
      </w:r>
      <w:r>
        <w:rPr>
          <w:rFonts w:ascii="宋体" w:hAnsi="宋体" w:cs="宋体" w:eastAsia="宋体" w:hint="default"/>
          <w:sz w:val="21"/>
          <w:szCs w:val="21"/>
        </w:rPr>
        <w:t>23.6</w:t>
      </w:r>
      <w:r>
        <w:rPr>
          <w:rFonts w:ascii="宋体" w:hAnsi="宋体" w:cs="宋体" w:eastAsia="宋体" w:hint="default"/>
          <w:spacing w:val="-50"/>
          <w:sz w:val="21"/>
          <w:szCs w:val="21"/>
        </w:rPr>
        <w:t> </w:t>
      </w:r>
      <w:r>
        <w:rPr>
          <w:rFonts w:ascii="宋体" w:hAnsi="宋体" w:cs="宋体" w:eastAsia="宋体" w:hint="default"/>
          <w:sz w:val="21"/>
          <w:szCs w:val="21"/>
        </w:rPr>
        <w:t>亿元，同比增长</w:t>
      </w:r>
      <w:r>
        <w:rPr>
          <w:rFonts w:ascii="宋体" w:hAnsi="宋体" w:cs="宋体" w:eastAsia="宋体" w:hint="default"/>
          <w:spacing w:val="-50"/>
          <w:sz w:val="21"/>
          <w:szCs w:val="21"/>
        </w:rPr>
        <w:t> </w:t>
      </w:r>
      <w:r>
        <w:rPr>
          <w:rFonts w:ascii="宋体" w:hAnsi="宋体" w:cs="宋体" w:eastAsia="宋体" w:hint="default"/>
          <w:sz w:val="21"/>
          <w:szCs w:val="21"/>
        </w:rPr>
        <w:t>147%</w:t>
      </w:r>
      <w:r>
        <w:rPr>
          <w:rFonts w:ascii="宋体" w:hAnsi="宋体" w:cs="宋体" w:eastAsia="宋体" w:hint="default"/>
          <w:sz w:val="21"/>
          <w:szCs w:val="21"/>
        </w:rPr>
        <w:t>。大数据方面，建成优政、兴业、惠民的</w:t>
      </w:r>
      <w:r>
        <w:rPr>
          <w:rFonts w:ascii="宋体" w:hAnsi="宋体" w:cs="宋体" w:eastAsia="宋体" w:hint="default"/>
          <w:spacing w:val="-47"/>
          <w:sz w:val="21"/>
          <w:szCs w:val="21"/>
        </w:rPr>
        <w:t> </w:t>
      </w:r>
      <w:r>
        <w:rPr>
          <w:rFonts w:ascii="宋体" w:hAnsi="宋体" w:cs="宋体" w:eastAsia="宋体" w:hint="default"/>
          <w:sz w:val="21"/>
          <w:szCs w:val="21"/>
        </w:rPr>
        <w:t>1+2+3+4+N</w:t>
      </w:r>
      <w:r>
        <w:rPr>
          <w:rFonts w:ascii="宋体" w:hAnsi="宋体" w:cs="宋体" w:eastAsia="宋体" w:hint="default"/>
          <w:spacing w:val="-48"/>
          <w:sz w:val="21"/>
          <w:szCs w:val="21"/>
        </w:rPr>
        <w:t> </w:t>
      </w:r>
      <w:r>
        <w:rPr>
          <w:rFonts w:ascii="宋体" w:hAnsi="宋体" w:cs="宋体" w:eastAsia="宋体" w:hint="default"/>
          <w:sz w:val="21"/>
          <w:szCs w:val="21"/>
        </w:rPr>
        <w:t>产品服务</w:t>
      </w:r>
      <w:r>
        <w:rPr>
          <w:rFonts w:ascii="宋体" w:hAnsi="宋体" w:cs="宋体" w:eastAsia="宋体" w:hint="default"/>
          <w:w w:val="100"/>
          <w:sz w:val="21"/>
          <w:szCs w:val="21"/>
        </w:rPr>
        <w:t> </w:t>
      </w:r>
      <w:r>
        <w:rPr>
          <w:rFonts w:ascii="宋体" w:hAnsi="宋体" w:cs="宋体" w:eastAsia="宋体" w:hint="default"/>
          <w:spacing w:val="-4"/>
          <w:sz w:val="21"/>
          <w:szCs w:val="21"/>
        </w:rPr>
        <w:t>体系，持续提升行业影响力和市场品牌价值，注重产学研，积极与科研院所开展创新合作，</w:t>
      </w:r>
      <w:r>
        <w:rPr>
          <w:rFonts w:ascii="宋体" w:hAnsi="宋体" w:cs="宋体" w:eastAsia="宋体" w:hint="default"/>
          <w:spacing w:val="-4"/>
          <w:sz w:val="21"/>
          <w:szCs w:val="21"/>
        </w:rPr>
        <w:t>2019 </w:t>
      </w:r>
      <w:r>
        <w:rPr>
          <w:rFonts w:ascii="宋体" w:hAnsi="宋体" w:cs="宋体" w:eastAsia="宋体" w:hint="default"/>
          <w:spacing w:val="-3"/>
          <w:sz w:val="21"/>
          <w:szCs w:val="21"/>
        </w:rPr>
        <w:t>年收</w:t>
      </w:r>
      <w:r>
        <w:rPr>
          <w:rFonts w:ascii="宋体" w:hAnsi="宋体" w:cs="宋体" w:eastAsia="宋体" w:hint="default"/>
          <w:spacing w:val="-70"/>
          <w:sz w:val="21"/>
          <w:szCs w:val="21"/>
        </w:rPr>
        <w:t> </w:t>
      </w:r>
      <w:r>
        <w:rPr>
          <w:rFonts w:ascii="宋体" w:hAnsi="宋体" w:cs="宋体" w:eastAsia="宋体" w:hint="default"/>
          <w:sz w:val="21"/>
          <w:szCs w:val="21"/>
        </w:rPr>
        <w:t>入达到人民币</w:t>
      </w:r>
      <w:r>
        <w:rPr>
          <w:rFonts w:ascii="宋体" w:hAnsi="宋体" w:cs="宋体" w:eastAsia="宋体" w:hint="default"/>
          <w:spacing w:val="-48"/>
          <w:sz w:val="21"/>
          <w:szCs w:val="21"/>
        </w:rPr>
        <w:t> </w:t>
      </w:r>
      <w:r>
        <w:rPr>
          <w:rFonts w:ascii="宋体" w:hAnsi="宋体" w:cs="宋体" w:eastAsia="宋体" w:hint="default"/>
          <w:sz w:val="21"/>
          <w:szCs w:val="21"/>
        </w:rPr>
        <w:t>12.3</w:t>
      </w:r>
      <w:r>
        <w:rPr>
          <w:rFonts w:ascii="宋体" w:hAnsi="宋体" w:cs="宋体" w:eastAsia="宋体" w:hint="default"/>
          <w:spacing w:val="-45"/>
          <w:sz w:val="21"/>
          <w:szCs w:val="21"/>
        </w:rPr>
        <w:t> </w:t>
      </w:r>
      <w:r>
        <w:rPr>
          <w:rFonts w:ascii="宋体" w:hAnsi="宋体" w:cs="宋体" w:eastAsia="宋体" w:hint="default"/>
          <w:sz w:val="21"/>
          <w:szCs w:val="21"/>
        </w:rPr>
        <w:t>亿元，同比增长</w:t>
      </w:r>
      <w:r>
        <w:rPr>
          <w:rFonts w:ascii="宋体" w:hAnsi="宋体" w:cs="宋体" w:eastAsia="宋体" w:hint="default"/>
          <w:spacing w:val="-47"/>
          <w:sz w:val="21"/>
          <w:szCs w:val="21"/>
        </w:rPr>
        <w:t> </w:t>
      </w:r>
      <w:r>
        <w:rPr>
          <w:rFonts w:ascii="宋体" w:hAnsi="宋体" w:cs="宋体" w:eastAsia="宋体" w:hint="default"/>
          <w:sz w:val="21"/>
          <w:szCs w:val="21"/>
        </w:rPr>
        <w:t>103%</w:t>
      </w:r>
      <w:r>
        <w:rPr>
          <w:rFonts w:ascii="宋体" w:hAnsi="宋体" w:cs="宋体" w:eastAsia="宋体" w:hint="default"/>
          <w:sz w:val="21"/>
          <w:szCs w:val="21"/>
        </w:rPr>
        <w:t>。物联网方面，以平台为核心，持续强化物联网整体服务能</w:t>
      </w:r>
      <w:r>
        <w:rPr>
          <w:rFonts w:ascii="宋体" w:hAnsi="宋体" w:cs="宋体" w:eastAsia="宋体" w:hint="default"/>
          <w:w w:val="100"/>
          <w:sz w:val="21"/>
          <w:szCs w:val="21"/>
        </w:rPr>
        <w:t> </w:t>
      </w:r>
      <w:r>
        <w:rPr>
          <w:rFonts w:ascii="宋体" w:hAnsi="宋体" w:cs="宋体" w:eastAsia="宋体" w:hint="default"/>
          <w:sz w:val="21"/>
          <w:szCs w:val="21"/>
        </w:rPr>
        <w:t>力</w:t>
      </w:r>
      <w:r>
        <w:rPr>
          <w:rFonts w:ascii="宋体" w:hAnsi="宋体" w:cs="宋体" w:eastAsia="宋体" w:hint="default"/>
          <w:sz w:val="21"/>
          <w:szCs w:val="21"/>
        </w:rPr>
        <w:t>,</w:t>
      </w:r>
      <w:r>
        <w:rPr>
          <w:rFonts w:ascii="宋体" w:hAnsi="宋体" w:cs="宋体" w:eastAsia="宋体" w:hint="default"/>
          <w:sz w:val="21"/>
          <w:szCs w:val="21"/>
        </w:rPr>
        <w:t>打造通用使能能力和行业应用产品，通过自研</w:t>
      </w:r>
      <w:r>
        <w:rPr>
          <w:rFonts w:ascii="宋体" w:hAnsi="宋体" w:cs="宋体" w:eastAsia="宋体" w:hint="default"/>
          <w:sz w:val="21"/>
          <w:szCs w:val="21"/>
        </w:rPr>
        <w:t>+</w:t>
      </w:r>
      <w:r>
        <w:rPr>
          <w:rFonts w:ascii="宋体" w:hAnsi="宋体" w:cs="宋体" w:eastAsia="宋体" w:hint="default"/>
          <w:sz w:val="21"/>
          <w:szCs w:val="21"/>
        </w:rPr>
        <w:t>合作的模式打造端到端服务能力，连接数接近</w:t>
      </w:r>
      <w:r>
        <w:rPr>
          <w:rFonts w:ascii="宋体" w:hAnsi="宋体" w:cs="宋体" w:eastAsia="宋体" w:hint="default"/>
          <w:spacing w:val="-34"/>
          <w:sz w:val="21"/>
          <w:szCs w:val="21"/>
        </w:rPr>
        <w:t> </w:t>
      </w:r>
      <w:r>
        <w:rPr>
          <w:rFonts w:ascii="宋体" w:hAnsi="宋体" w:cs="宋体" w:eastAsia="宋体" w:hint="default"/>
          <w:sz w:val="21"/>
          <w:szCs w:val="21"/>
        </w:rPr>
        <w:t>1.9</w:t>
      </w:r>
      <w:r>
        <w:rPr>
          <w:rFonts w:ascii="宋体" w:hAnsi="宋体" w:cs="宋体" w:eastAsia="宋体" w:hint="default"/>
          <w:w w:val="100"/>
          <w:sz w:val="21"/>
          <w:szCs w:val="21"/>
        </w:rPr>
        <w:t> </w:t>
      </w:r>
      <w:r>
        <w:rPr>
          <w:rFonts w:ascii="宋体" w:hAnsi="宋体" w:cs="宋体" w:eastAsia="宋体" w:hint="default"/>
          <w:sz w:val="21"/>
          <w:szCs w:val="21"/>
        </w:rPr>
        <w:t>亿，</w:t>
      </w:r>
      <w:r>
        <w:rPr>
          <w:rFonts w:ascii="宋体" w:hAnsi="宋体" w:cs="宋体" w:eastAsia="宋体" w:hint="default"/>
          <w:sz w:val="21"/>
          <w:szCs w:val="21"/>
        </w:rPr>
        <w:t>2019</w:t>
      </w:r>
      <w:r>
        <w:rPr>
          <w:rFonts w:ascii="宋体" w:hAnsi="宋体" w:cs="宋体" w:eastAsia="宋体" w:hint="default"/>
          <w:spacing w:val="-48"/>
          <w:sz w:val="21"/>
          <w:szCs w:val="21"/>
        </w:rPr>
        <w:t> </w:t>
      </w:r>
      <w:r>
        <w:rPr>
          <w:rFonts w:ascii="宋体" w:hAnsi="宋体" w:cs="宋体" w:eastAsia="宋体" w:hint="default"/>
          <w:sz w:val="21"/>
          <w:szCs w:val="21"/>
        </w:rPr>
        <w:t>年收入达到人民币</w:t>
      </w:r>
      <w:r>
        <w:rPr>
          <w:rFonts w:ascii="宋体" w:hAnsi="宋体" w:cs="宋体" w:eastAsia="宋体" w:hint="default"/>
          <w:spacing w:val="-48"/>
          <w:sz w:val="21"/>
          <w:szCs w:val="21"/>
        </w:rPr>
        <w:t> </w:t>
      </w:r>
      <w:r>
        <w:rPr>
          <w:rFonts w:ascii="宋体" w:hAnsi="宋体" w:cs="宋体" w:eastAsia="宋体" w:hint="default"/>
          <w:sz w:val="21"/>
          <w:szCs w:val="21"/>
        </w:rPr>
        <w:t>30.4</w:t>
      </w:r>
      <w:r>
        <w:rPr>
          <w:rFonts w:ascii="宋体" w:hAnsi="宋体" w:cs="宋体" w:eastAsia="宋体" w:hint="default"/>
          <w:spacing w:val="-50"/>
          <w:sz w:val="21"/>
          <w:szCs w:val="21"/>
        </w:rPr>
        <w:t> </w:t>
      </w:r>
      <w:r>
        <w:rPr>
          <w:rFonts w:ascii="宋体" w:hAnsi="宋体" w:cs="宋体" w:eastAsia="宋体" w:hint="default"/>
          <w:sz w:val="21"/>
          <w:szCs w:val="21"/>
        </w:rPr>
        <w:t>亿元，同比增长</w:t>
      </w:r>
      <w:r>
        <w:rPr>
          <w:rFonts w:ascii="宋体" w:hAnsi="宋体" w:cs="宋体" w:eastAsia="宋体" w:hint="default"/>
          <w:spacing w:val="-48"/>
          <w:sz w:val="21"/>
          <w:szCs w:val="21"/>
        </w:rPr>
        <w:t> </w:t>
      </w:r>
      <w:r>
        <w:rPr>
          <w:rFonts w:ascii="宋体" w:hAnsi="宋体" w:cs="宋体" w:eastAsia="宋体" w:hint="default"/>
          <w:sz w:val="21"/>
          <w:szCs w:val="21"/>
        </w:rPr>
        <w:t>46%</w:t>
      </w:r>
      <w:r>
        <w:rPr>
          <w:rFonts w:ascii="宋体" w:hAnsi="宋体" w:cs="宋体" w:eastAsia="宋体" w:hint="default"/>
          <w:sz w:val="21"/>
          <w:szCs w:val="21"/>
        </w:rPr>
        <w:t>。</w:t>
      </w:r>
      <w:r>
        <w:rPr>
          <w:rFonts w:ascii="宋体" w:hAnsi="宋体" w:cs="宋体" w:eastAsia="宋体" w:hint="default"/>
          <w:sz w:val="21"/>
          <w:szCs w:val="21"/>
        </w:rPr>
        <w:t>IT</w:t>
      </w:r>
      <w:r>
        <w:rPr>
          <w:rFonts w:ascii="宋体" w:hAnsi="宋体" w:cs="宋体" w:eastAsia="宋体" w:hint="default"/>
          <w:spacing w:val="-50"/>
          <w:sz w:val="21"/>
          <w:szCs w:val="21"/>
        </w:rPr>
        <w:t> </w:t>
      </w:r>
      <w:r>
        <w:rPr>
          <w:rFonts w:ascii="宋体" w:hAnsi="宋体" w:cs="宋体" w:eastAsia="宋体" w:hint="default"/>
          <w:sz w:val="21"/>
          <w:szCs w:val="21"/>
        </w:rPr>
        <w:t>服务方面，聚焦重点领域垂直赋能，全面</w:t>
      </w:r>
      <w:r>
        <w:rPr>
          <w:rFonts w:ascii="宋体" w:hAnsi="宋体" w:cs="宋体" w:eastAsia="宋体" w:hint="default"/>
          <w:w w:val="100"/>
          <w:sz w:val="21"/>
          <w:szCs w:val="21"/>
        </w:rPr>
        <w:t> </w:t>
      </w:r>
      <w:r>
        <w:rPr>
          <w:rFonts w:ascii="宋体" w:hAnsi="宋体" w:cs="宋体" w:eastAsia="宋体" w:hint="default"/>
          <w:sz w:val="21"/>
          <w:szCs w:val="21"/>
        </w:rPr>
        <w:t>提升自主核心能力，聚焦重点市场取得明显突破，</w:t>
      </w:r>
      <w:r>
        <w:rPr>
          <w:rFonts w:ascii="宋体" w:hAnsi="宋体" w:cs="宋体" w:eastAsia="宋体" w:hint="default"/>
          <w:sz w:val="21"/>
          <w:szCs w:val="21"/>
        </w:rPr>
        <w:t>2019</w:t>
      </w:r>
      <w:r>
        <w:rPr>
          <w:rFonts w:ascii="宋体" w:hAnsi="宋体" w:cs="宋体" w:eastAsia="宋体" w:hint="default"/>
          <w:spacing w:val="-55"/>
          <w:sz w:val="21"/>
          <w:szCs w:val="21"/>
        </w:rPr>
        <w:t> </w:t>
      </w:r>
      <w:r>
        <w:rPr>
          <w:rFonts w:ascii="宋体" w:hAnsi="宋体" w:cs="宋体" w:eastAsia="宋体" w:hint="default"/>
          <w:sz w:val="21"/>
          <w:szCs w:val="21"/>
        </w:rPr>
        <w:t>年收入达到人民币</w:t>
      </w:r>
      <w:r>
        <w:rPr>
          <w:rFonts w:ascii="宋体" w:hAnsi="宋体" w:cs="宋体" w:eastAsia="宋体" w:hint="default"/>
          <w:spacing w:val="-55"/>
          <w:sz w:val="21"/>
          <w:szCs w:val="21"/>
        </w:rPr>
        <w:t> </w:t>
      </w:r>
      <w:r>
        <w:rPr>
          <w:rFonts w:ascii="宋体" w:hAnsi="宋体" w:cs="宋体" w:eastAsia="宋体" w:hint="default"/>
          <w:sz w:val="21"/>
          <w:szCs w:val="21"/>
        </w:rPr>
        <w:t>100</w:t>
      </w:r>
      <w:r>
        <w:rPr>
          <w:rFonts w:ascii="宋体" w:hAnsi="宋体" w:cs="宋体" w:eastAsia="宋体" w:hint="default"/>
          <w:spacing w:val="-55"/>
          <w:sz w:val="21"/>
          <w:szCs w:val="21"/>
        </w:rPr>
        <w:t> </w:t>
      </w:r>
      <w:r>
        <w:rPr>
          <w:rFonts w:ascii="宋体" w:hAnsi="宋体" w:cs="宋体" w:eastAsia="宋体" w:hint="default"/>
          <w:sz w:val="21"/>
          <w:szCs w:val="21"/>
        </w:rPr>
        <w:t>亿元，同比增长</w:t>
      </w:r>
      <w:r>
        <w:rPr>
          <w:rFonts w:ascii="宋体" w:hAnsi="宋体" w:cs="宋体" w:eastAsia="宋体" w:hint="default"/>
          <w:spacing w:val="-55"/>
          <w:sz w:val="21"/>
          <w:szCs w:val="21"/>
        </w:rPr>
        <w:t> </w:t>
      </w:r>
      <w:r>
        <w:rPr>
          <w:rFonts w:ascii="宋体" w:hAnsi="宋体" w:cs="宋体" w:eastAsia="宋体" w:hint="default"/>
          <w:sz w:val="21"/>
          <w:szCs w:val="21"/>
        </w:rPr>
        <w:t>78%</w:t>
      </w:r>
      <w:r>
        <w:rPr>
          <w:rFonts w:ascii="宋体" w:hAnsi="宋体" w:cs="宋体" w:eastAsia="宋体" w:hint="default"/>
          <w:sz w:val="21"/>
          <w:szCs w:val="21"/>
        </w:rPr>
        <w:t>。</w:t>
      </w:r>
    </w:p>
    <w:p>
      <w:pPr>
        <w:spacing w:after="0" w:line="314" w:lineRule="auto"/>
        <w:jc w:val="both"/>
        <w:rPr>
          <w:rFonts w:ascii="宋体" w:hAnsi="宋体" w:cs="宋体" w:eastAsia="宋体" w:hint="default"/>
          <w:sz w:val="21"/>
          <w:szCs w:val="21"/>
        </w:rPr>
        <w:sectPr>
          <w:footerReference w:type="default" r:id="rId26"/>
          <w:pgSz w:w="11910" w:h="16840"/>
          <w:pgMar w:footer="502" w:header="854" w:top="1360" w:bottom="700" w:left="1280" w:right="1060"/>
        </w:sectPr>
      </w:pPr>
    </w:p>
    <w:p>
      <w:pPr>
        <w:spacing w:line="240" w:lineRule="auto" w:before="13"/>
        <w:rPr>
          <w:rFonts w:ascii="宋体" w:hAnsi="宋体" w:cs="宋体" w:eastAsia="宋体" w:hint="default"/>
          <w:sz w:val="12"/>
          <w:szCs w:val="12"/>
        </w:rPr>
      </w:pPr>
    </w:p>
    <w:p>
      <w:pPr>
        <w:spacing w:line="335" w:lineRule="exact" w:before="0"/>
        <w:ind w:left="563" w:right="96"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4</w:t>
      </w:r>
      <w:r>
        <w:rPr>
          <w:rFonts w:ascii="Arial" w:hAnsi="Arial" w:cs="Arial" w:eastAsia="Arial" w:hint="default"/>
          <w:b/>
          <w:bCs/>
          <w:spacing w:val="39"/>
          <w:sz w:val="21"/>
          <w:szCs w:val="21"/>
        </w:rPr>
        <w:t> </w:t>
      </w:r>
      <w:r>
        <w:rPr>
          <w:rFonts w:ascii="Microsoft JhengHei" w:hAnsi="Microsoft JhengHei" w:cs="Microsoft JhengHei" w:eastAsia="Microsoft JhengHei" w:hint="default"/>
          <w:b/>
          <w:bCs/>
          <w:sz w:val="21"/>
          <w:szCs w:val="21"/>
        </w:rPr>
        <w:t>网络能力</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2"/>
          <w:szCs w:val="12"/>
        </w:rPr>
      </w:pPr>
    </w:p>
    <w:p>
      <w:pPr>
        <w:spacing w:before="0"/>
        <w:ind w:left="510" w:right="96" w:firstLine="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26"/>
          <w:sz w:val="21"/>
          <w:szCs w:val="21"/>
        </w:rPr>
        <w:t> </w:t>
      </w:r>
      <w:r>
        <w:rPr>
          <w:rFonts w:ascii="宋体" w:hAnsi="宋体" w:cs="宋体" w:eastAsia="宋体" w:hint="default"/>
          <w:spacing w:val="-3"/>
          <w:sz w:val="21"/>
          <w:szCs w:val="21"/>
        </w:rPr>
        <w:t>年，公司全面落实“聚焦”战略，推行以投资收益为导向的科学建设方法，积极探索互联网</w:t>
      </w:r>
    </w:p>
    <w:p>
      <w:pPr>
        <w:spacing w:line="314" w:lineRule="auto" w:before="85"/>
        <w:ind w:left="138" w:right="205" w:firstLine="0"/>
        <w:jc w:val="both"/>
        <w:rPr>
          <w:rFonts w:ascii="宋体" w:hAnsi="宋体" w:cs="宋体" w:eastAsia="宋体" w:hint="default"/>
          <w:sz w:val="21"/>
          <w:szCs w:val="21"/>
        </w:rPr>
      </w:pPr>
      <w:r>
        <w:rPr>
          <w:rFonts w:ascii="宋体" w:hAnsi="宋体" w:cs="宋体" w:eastAsia="宋体" w:hint="default"/>
          <w:sz w:val="21"/>
          <w:szCs w:val="21"/>
        </w:rPr>
        <w:t>化网络建设、运营和优化的新模式，从用户角度打造一张覆盖好、上网快的高品质网络。截至</w:t>
      </w:r>
      <w:r>
        <w:rPr>
          <w:rFonts w:ascii="宋体" w:hAnsi="宋体" w:cs="宋体" w:eastAsia="宋体" w:hint="default"/>
          <w:spacing w:val="69"/>
          <w:sz w:val="21"/>
          <w:szCs w:val="21"/>
        </w:rPr>
        <w:t> </w:t>
      </w:r>
      <w:r>
        <w:rPr>
          <w:rFonts w:ascii="宋体" w:hAnsi="宋体" w:cs="宋体" w:eastAsia="宋体" w:hint="default"/>
          <w:sz w:val="21"/>
          <w:szCs w:val="21"/>
        </w:rPr>
        <w:t>2019</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5"/>
          <w:sz w:val="21"/>
          <w:szCs w:val="21"/>
        </w:rPr>
        <w:t>年底，</w:t>
      </w:r>
      <w:r>
        <w:rPr>
          <w:rFonts w:ascii="宋体" w:hAnsi="宋体" w:cs="宋体" w:eastAsia="宋体" w:hint="default"/>
          <w:spacing w:val="-5"/>
          <w:sz w:val="21"/>
          <w:szCs w:val="21"/>
        </w:rPr>
        <w:t>4G</w:t>
      </w:r>
      <w:r>
        <w:rPr>
          <w:rFonts w:ascii="宋体" w:hAnsi="宋体" w:cs="宋体" w:eastAsia="宋体" w:hint="default"/>
          <w:spacing w:val="-51"/>
          <w:sz w:val="21"/>
          <w:szCs w:val="21"/>
        </w:rPr>
        <w:t> </w:t>
      </w:r>
      <w:r>
        <w:rPr>
          <w:rFonts w:ascii="宋体" w:hAnsi="宋体" w:cs="宋体" w:eastAsia="宋体" w:hint="default"/>
          <w:sz w:val="21"/>
          <w:szCs w:val="21"/>
        </w:rPr>
        <w:t>基站达到</w:t>
      </w:r>
      <w:r>
        <w:rPr>
          <w:rFonts w:ascii="宋体" w:hAnsi="宋体" w:cs="宋体" w:eastAsia="宋体" w:hint="default"/>
          <w:spacing w:val="-51"/>
          <w:sz w:val="21"/>
          <w:szCs w:val="21"/>
        </w:rPr>
        <w:t> </w:t>
      </w:r>
      <w:r>
        <w:rPr>
          <w:rFonts w:ascii="宋体" w:hAnsi="宋体" w:cs="宋体" w:eastAsia="宋体" w:hint="default"/>
          <w:sz w:val="21"/>
          <w:szCs w:val="21"/>
        </w:rPr>
        <w:t>141</w:t>
      </w:r>
      <w:r>
        <w:rPr>
          <w:rFonts w:ascii="宋体" w:hAnsi="宋体" w:cs="宋体" w:eastAsia="宋体" w:hint="default"/>
          <w:spacing w:val="-51"/>
          <w:sz w:val="21"/>
          <w:szCs w:val="21"/>
        </w:rPr>
        <w:t> </w:t>
      </w:r>
      <w:r>
        <w:rPr>
          <w:rFonts w:ascii="宋体" w:hAnsi="宋体" w:cs="宋体" w:eastAsia="宋体" w:hint="default"/>
          <w:spacing w:val="-5"/>
          <w:sz w:val="21"/>
          <w:szCs w:val="21"/>
        </w:rPr>
        <w:t>万站，</w:t>
      </w:r>
      <w:r>
        <w:rPr>
          <w:rFonts w:ascii="宋体" w:hAnsi="宋体" w:cs="宋体" w:eastAsia="宋体" w:hint="default"/>
          <w:spacing w:val="-5"/>
          <w:sz w:val="21"/>
          <w:szCs w:val="21"/>
        </w:rPr>
        <w:t>4G</w:t>
      </w:r>
      <w:r>
        <w:rPr>
          <w:rFonts w:ascii="宋体" w:hAnsi="宋体" w:cs="宋体" w:eastAsia="宋体" w:hint="default"/>
          <w:spacing w:val="-49"/>
          <w:sz w:val="21"/>
          <w:szCs w:val="21"/>
        </w:rPr>
        <w:t> </w:t>
      </w:r>
      <w:r>
        <w:rPr>
          <w:rFonts w:ascii="宋体" w:hAnsi="宋体" w:cs="宋体" w:eastAsia="宋体" w:hint="default"/>
          <w:sz w:val="21"/>
          <w:szCs w:val="21"/>
        </w:rPr>
        <w:t>人口覆盖率达到</w:t>
      </w:r>
      <w:r>
        <w:rPr>
          <w:rFonts w:ascii="宋体" w:hAnsi="宋体" w:cs="宋体" w:eastAsia="宋体" w:hint="default"/>
          <w:spacing w:val="-51"/>
          <w:sz w:val="21"/>
          <w:szCs w:val="21"/>
        </w:rPr>
        <w:t> </w:t>
      </w:r>
      <w:r>
        <w:rPr>
          <w:rFonts w:ascii="宋体" w:hAnsi="宋体" w:cs="宋体" w:eastAsia="宋体" w:hint="default"/>
          <w:spacing w:val="-5"/>
          <w:sz w:val="21"/>
          <w:szCs w:val="21"/>
        </w:rPr>
        <w:t>93%</w:t>
      </w:r>
      <w:r>
        <w:rPr>
          <w:rFonts w:ascii="宋体" w:hAnsi="宋体" w:cs="宋体" w:eastAsia="宋体" w:hint="default"/>
          <w:spacing w:val="-5"/>
          <w:sz w:val="21"/>
          <w:szCs w:val="21"/>
        </w:rPr>
        <w:t>，</w:t>
      </w:r>
      <w:r>
        <w:rPr>
          <w:rFonts w:ascii="宋体" w:hAnsi="宋体" w:cs="宋体" w:eastAsia="宋体" w:hint="default"/>
          <w:spacing w:val="-5"/>
          <w:sz w:val="21"/>
          <w:szCs w:val="21"/>
        </w:rPr>
        <w:t>4G</w:t>
      </w:r>
      <w:r>
        <w:rPr>
          <w:rFonts w:ascii="宋体" w:hAnsi="宋体" w:cs="宋体" w:eastAsia="宋体" w:hint="default"/>
          <w:spacing w:val="-49"/>
          <w:sz w:val="21"/>
          <w:szCs w:val="21"/>
        </w:rPr>
        <w:t> </w:t>
      </w:r>
      <w:r>
        <w:rPr>
          <w:rFonts w:ascii="宋体" w:hAnsi="宋体" w:cs="宋体" w:eastAsia="宋体" w:hint="default"/>
          <w:sz w:val="21"/>
          <w:szCs w:val="21"/>
        </w:rPr>
        <w:t>行政村覆盖率达到</w:t>
      </w:r>
      <w:r>
        <w:rPr>
          <w:rFonts w:ascii="宋体" w:hAnsi="宋体" w:cs="宋体" w:eastAsia="宋体" w:hint="default"/>
          <w:spacing w:val="-49"/>
          <w:sz w:val="21"/>
          <w:szCs w:val="21"/>
        </w:rPr>
        <w:t> </w:t>
      </w:r>
      <w:r>
        <w:rPr>
          <w:rFonts w:ascii="宋体" w:hAnsi="宋体" w:cs="宋体" w:eastAsia="宋体" w:hint="default"/>
          <w:spacing w:val="-3"/>
          <w:sz w:val="21"/>
          <w:szCs w:val="21"/>
        </w:rPr>
        <w:t>84%</w:t>
      </w:r>
      <w:r>
        <w:rPr>
          <w:rFonts w:ascii="宋体" w:hAnsi="宋体" w:cs="宋体" w:eastAsia="宋体" w:hint="default"/>
          <w:spacing w:val="-3"/>
          <w:sz w:val="21"/>
          <w:szCs w:val="21"/>
        </w:rPr>
        <w:t>，固定网络方面继续</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扩大新增区域网络覆盖和</w:t>
      </w:r>
      <w:r>
        <w:rPr>
          <w:rFonts w:ascii="宋体" w:hAnsi="宋体" w:cs="宋体" w:eastAsia="宋体" w:hint="default"/>
          <w:spacing w:val="-42"/>
          <w:sz w:val="21"/>
          <w:szCs w:val="21"/>
        </w:rPr>
        <w:t> </w:t>
      </w:r>
      <w:r>
        <w:rPr>
          <w:rFonts w:ascii="宋体" w:hAnsi="宋体" w:cs="宋体" w:eastAsia="宋体" w:hint="default"/>
          <w:sz w:val="21"/>
          <w:szCs w:val="21"/>
        </w:rPr>
        <w:t>PON+LAN</w:t>
      </w:r>
      <w:r>
        <w:rPr>
          <w:rFonts w:ascii="宋体" w:hAnsi="宋体" w:cs="宋体" w:eastAsia="宋体" w:hint="default"/>
          <w:spacing w:val="-42"/>
          <w:sz w:val="21"/>
          <w:szCs w:val="21"/>
        </w:rPr>
        <w:t> </w:t>
      </w:r>
      <w:r>
        <w:rPr>
          <w:rFonts w:ascii="宋体" w:hAnsi="宋体" w:cs="宋体" w:eastAsia="宋体" w:hint="default"/>
          <w:sz w:val="21"/>
          <w:szCs w:val="21"/>
        </w:rPr>
        <w:t>区域网络改造，宽带端口总数达到</w:t>
      </w:r>
      <w:r>
        <w:rPr>
          <w:rFonts w:ascii="宋体" w:hAnsi="宋体" w:cs="宋体" w:eastAsia="宋体" w:hint="default"/>
          <w:spacing w:val="-40"/>
          <w:sz w:val="21"/>
          <w:szCs w:val="21"/>
        </w:rPr>
        <w:t> </w:t>
      </w:r>
      <w:r>
        <w:rPr>
          <w:rFonts w:ascii="宋体" w:hAnsi="宋体" w:cs="宋体" w:eastAsia="宋体" w:hint="default"/>
          <w:sz w:val="21"/>
          <w:szCs w:val="21"/>
        </w:rPr>
        <w:t>2.2</w:t>
      </w:r>
      <w:r>
        <w:rPr>
          <w:rFonts w:ascii="宋体" w:hAnsi="宋体" w:cs="宋体" w:eastAsia="宋体" w:hint="default"/>
          <w:spacing w:val="-40"/>
          <w:sz w:val="21"/>
          <w:szCs w:val="21"/>
        </w:rPr>
        <w:t> </w:t>
      </w:r>
      <w:r>
        <w:rPr>
          <w:rFonts w:ascii="宋体" w:hAnsi="宋体" w:cs="宋体" w:eastAsia="宋体" w:hint="default"/>
          <w:sz w:val="21"/>
          <w:szCs w:val="21"/>
        </w:rPr>
        <w:t>亿个，其中</w:t>
      </w:r>
      <w:r>
        <w:rPr>
          <w:rFonts w:ascii="宋体" w:hAnsi="宋体" w:cs="宋体" w:eastAsia="宋体" w:hint="default"/>
          <w:spacing w:val="-39"/>
          <w:sz w:val="21"/>
          <w:szCs w:val="21"/>
        </w:rPr>
        <w:t> </w:t>
      </w:r>
      <w:r>
        <w:rPr>
          <w:rFonts w:ascii="宋体" w:hAnsi="宋体" w:cs="宋体" w:eastAsia="宋体" w:hint="default"/>
          <w:sz w:val="21"/>
          <w:szCs w:val="21"/>
        </w:rPr>
        <w:t>FTTH</w:t>
      </w:r>
      <w:r>
        <w:rPr>
          <w:rFonts w:ascii="宋体" w:hAnsi="宋体" w:cs="宋体" w:eastAsia="宋体" w:hint="default"/>
          <w:spacing w:val="-42"/>
          <w:sz w:val="21"/>
          <w:szCs w:val="21"/>
        </w:rPr>
        <w:t> </w:t>
      </w:r>
      <w:r>
        <w:rPr>
          <w:rFonts w:ascii="宋体" w:hAnsi="宋体" w:cs="宋体" w:eastAsia="宋体" w:hint="default"/>
          <w:sz w:val="21"/>
          <w:szCs w:val="21"/>
        </w:rPr>
        <w:t>端口占比</w:t>
      </w:r>
      <w:r>
        <w:rPr>
          <w:rFonts w:ascii="宋体" w:hAnsi="宋体" w:cs="宋体" w:eastAsia="宋体" w:hint="default"/>
          <w:w w:val="100"/>
          <w:sz w:val="21"/>
          <w:szCs w:val="21"/>
        </w:rPr>
        <w:t> </w:t>
      </w:r>
      <w:r>
        <w:rPr>
          <w:rFonts w:ascii="宋体" w:hAnsi="宋体" w:cs="宋体" w:eastAsia="宋体" w:hint="default"/>
          <w:sz w:val="21"/>
          <w:szCs w:val="21"/>
        </w:rPr>
        <w:t>85%</w:t>
      </w:r>
      <w:r>
        <w:rPr>
          <w:rFonts w:ascii="宋体" w:hAnsi="宋体" w:cs="宋体" w:eastAsia="宋体" w:hint="default"/>
          <w:sz w:val="21"/>
          <w:szCs w:val="21"/>
        </w:rPr>
        <w:t>。</w:t>
      </w:r>
    </w:p>
    <w:p>
      <w:pPr>
        <w:spacing w:line="314" w:lineRule="auto" w:before="176"/>
        <w:ind w:left="138" w:right="96" w:firstLine="372"/>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30"/>
          <w:sz w:val="21"/>
          <w:szCs w:val="21"/>
        </w:rPr>
        <w:t> </w:t>
      </w:r>
      <w:r>
        <w:rPr>
          <w:rFonts w:ascii="宋体" w:hAnsi="宋体" w:cs="宋体" w:eastAsia="宋体" w:hint="default"/>
          <w:sz w:val="21"/>
          <w:szCs w:val="21"/>
        </w:rPr>
        <w:t>年，公司与中国电信签署合作协议，在全国范围内共建一张</w:t>
      </w:r>
      <w:r>
        <w:rPr>
          <w:rFonts w:ascii="宋体" w:hAnsi="宋体" w:cs="宋体" w:eastAsia="宋体" w:hint="default"/>
          <w:spacing w:val="-30"/>
          <w:sz w:val="21"/>
          <w:szCs w:val="21"/>
        </w:rPr>
        <w:t> </w:t>
      </w:r>
      <w:r>
        <w:rPr>
          <w:rFonts w:ascii="宋体" w:hAnsi="宋体" w:cs="宋体" w:eastAsia="宋体" w:hint="default"/>
          <w:sz w:val="21"/>
          <w:szCs w:val="21"/>
        </w:rPr>
        <w:t>5G</w:t>
      </w:r>
      <w:r>
        <w:rPr>
          <w:rFonts w:ascii="宋体" w:hAnsi="宋体" w:cs="宋体" w:eastAsia="宋体" w:hint="default"/>
          <w:spacing w:val="-30"/>
          <w:sz w:val="21"/>
          <w:szCs w:val="21"/>
        </w:rPr>
        <w:t> </w:t>
      </w:r>
      <w:r>
        <w:rPr>
          <w:rFonts w:ascii="宋体" w:hAnsi="宋体" w:cs="宋体" w:eastAsia="宋体" w:hint="default"/>
          <w:sz w:val="21"/>
          <w:szCs w:val="21"/>
        </w:rPr>
        <w:t>接入网络，在大幅节省资本</w:t>
      </w:r>
      <w:r>
        <w:rPr>
          <w:rFonts w:ascii="宋体" w:hAnsi="宋体" w:cs="宋体" w:eastAsia="宋体" w:hint="default"/>
          <w:w w:val="100"/>
          <w:sz w:val="21"/>
          <w:szCs w:val="21"/>
        </w:rPr>
        <w:t> </w:t>
      </w:r>
      <w:r>
        <w:rPr>
          <w:rFonts w:ascii="宋体" w:hAnsi="宋体" w:cs="宋体" w:eastAsia="宋体" w:hint="default"/>
          <w:spacing w:val="-3"/>
          <w:sz w:val="21"/>
          <w:szCs w:val="21"/>
        </w:rPr>
        <w:t>开支的同时，实现</w:t>
      </w:r>
      <w:r>
        <w:rPr>
          <w:rFonts w:ascii="宋体" w:hAnsi="宋体" w:cs="宋体" w:eastAsia="宋体" w:hint="default"/>
          <w:spacing w:val="-56"/>
          <w:sz w:val="21"/>
          <w:szCs w:val="21"/>
        </w:rPr>
        <w:t> </w:t>
      </w:r>
      <w:r>
        <w:rPr>
          <w:rFonts w:ascii="宋体" w:hAnsi="宋体" w:cs="宋体" w:eastAsia="宋体" w:hint="default"/>
          <w:sz w:val="21"/>
          <w:szCs w:val="21"/>
        </w:rPr>
        <w:t>5G</w:t>
      </w:r>
      <w:r>
        <w:rPr>
          <w:rFonts w:ascii="宋体" w:hAnsi="宋体" w:cs="宋体" w:eastAsia="宋体" w:hint="default"/>
          <w:spacing w:val="-58"/>
          <w:sz w:val="21"/>
          <w:szCs w:val="21"/>
        </w:rPr>
        <w:t> </w:t>
      </w:r>
      <w:r>
        <w:rPr>
          <w:rFonts w:ascii="宋体" w:hAnsi="宋体" w:cs="宋体" w:eastAsia="宋体" w:hint="default"/>
          <w:sz w:val="21"/>
          <w:szCs w:val="21"/>
        </w:rPr>
        <w:t>网络覆盖翻倍、带宽翻倍、容量翻倍和速率翻倍，为用户提供更好的服务感知，</w:t>
      </w:r>
      <w:r>
        <w:rPr>
          <w:rFonts w:ascii="宋体" w:hAnsi="宋体" w:cs="宋体" w:eastAsia="宋体" w:hint="default"/>
          <w:w w:val="100"/>
          <w:sz w:val="21"/>
          <w:szCs w:val="21"/>
        </w:rPr>
        <w:t> </w:t>
      </w:r>
      <w:r>
        <w:rPr>
          <w:rFonts w:ascii="宋体" w:hAnsi="宋体" w:cs="宋体" w:eastAsia="宋体" w:hint="default"/>
          <w:sz w:val="21"/>
          <w:szCs w:val="21"/>
        </w:rPr>
        <w:t>公司可用</w:t>
      </w:r>
      <w:r>
        <w:rPr>
          <w:rFonts w:ascii="宋体" w:hAnsi="宋体" w:cs="宋体" w:eastAsia="宋体" w:hint="default"/>
          <w:spacing w:val="-54"/>
          <w:sz w:val="21"/>
          <w:szCs w:val="21"/>
        </w:rPr>
        <w:t> </w:t>
      </w:r>
      <w:r>
        <w:rPr>
          <w:rFonts w:ascii="宋体" w:hAnsi="宋体" w:cs="宋体" w:eastAsia="宋体" w:hint="default"/>
          <w:sz w:val="21"/>
          <w:szCs w:val="21"/>
        </w:rPr>
        <w:t>5G</w:t>
      </w:r>
      <w:r>
        <w:rPr>
          <w:rFonts w:ascii="宋体" w:hAnsi="宋体" w:cs="宋体" w:eastAsia="宋体" w:hint="default"/>
          <w:spacing w:val="-54"/>
          <w:sz w:val="21"/>
          <w:szCs w:val="21"/>
        </w:rPr>
        <w:t> </w:t>
      </w:r>
      <w:r>
        <w:rPr>
          <w:rFonts w:ascii="宋体" w:hAnsi="宋体" w:cs="宋体" w:eastAsia="宋体" w:hint="default"/>
          <w:sz w:val="21"/>
          <w:szCs w:val="21"/>
        </w:rPr>
        <w:t>基站超过</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6"/>
          <w:sz w:val="21"/>
          <w:szCs w:val="21"/>
        </w:rPr>
        <w:t> </w:t>
      </w:r>
      <w:r>
        <w:rPr>
          <w:rFonts w:ascii="宋体" w:hAnsi="宋体" w:cs="宋体" w:eastAsia="宋体" w:hint="default"/>
          <w:sz w:val="21"/>
          <w:szCs w:val="21"/>
        </w:rPr>
        <w:t>万站，支撑</w:t>
      </w:r>
      <w:r>
        <w:rPr>
          <w:rFonts w:ascii="宋体" w:hAnsi="宋体" w:cs="宋体" w:eastAsia="宋体" w:hint="default"/>
          <w:spacing w:val="-53"/>
          <w:sz w:val="21"/>
          <w:szCs w:val="21"/>
        </w:rPr>
        <w:t> </w:t>
      </w:r>
      <w:r>
        <w:rPr>
          <w:rFonts w:ascii="宋体" w:hAnsi="宋体" w:cs="宋体" w:eastAsia="宋体" w:hint="default"/>
          <w:sz w:val="21"/>
          <w:szCs w:val="21"/>
        </w:rPr>
        <w:t>5G</w:t>
      </w:r>
      <w:r>
        <w:rPr>
          <w:rFonts w:ascii="宋体" w:hAnsi="宋体" w:cs="宋体" w:eastAsia="宋体" w:hint="default"/>
          <w:spacing w:val="-54"/>
          <w:sz w:val="21"/>
          <w:szCs w:val="21"/>
        </w:rPr>
        <w:t> </w:t>
      </w:r>
      <w:r>
        <w:rPr>
          <w:rFonts w:ascii="宋体" w:hAnsi="宋体" w:cs="宋体" w:eastAsia="宋体" w:hint="default"/>
          <w:sz w:val="21"/>
          <w:szCs w:val="21"/>
        </w:rPr>
        <w:t>服务从试验初步迈向商用。</w:t>
      </w:r>
    </w:p>
    <w:p>
      <w:pPr>
        <w:spacing w:line="314" w:lineRule="auto" w:before="176"/>
        <w:ind w:left="138" w:right="204" w:firstLine="372"/>
        <w:jc w:val="left"/>
        <w:rPr>
          <w:rFonts w:ascii="宋体" w:hAnsi="宋体" w:cs="宋体" w:eastAsia="宋体" w:hint="default"/>
          <w:sz w:val="21"/>
          <w:szCs w:val="21"/>
        </w:rPr>
      </w:pPr>
      <w:r>
        <w:rPr>
          <w:rFonts w:ascii="宋体" w:hAnsi="宋体" w:cs="宋体" w:eastAsia="宋体" w:hint="default"/>
          <w:sz w:val="21"/>
          <w:szCs w:val="21"/>
        </w:rPr>
        <w:t>公司持续完善国际网络布局。截至</w:t>
      </w:r>
      <w:r>
        <w:rPr>
          <w:rFonts w:ascii="宋体" w:hAnsi="宋体" w:cs="宋体" w:eastAsia="宋体" w:hint="default"/>
          <w:spacing w:val="-30"/>
          <w:sz w:val="21"/>
          <w:szCs w:val="21"/>
        </w:rPr>
        <w:t> </w:t>
      </w:r>
      <w:r>
        <w:rPr>
          <w:rFonts w:ascii="宋体" w:hAnsi="宋体" w:cs="宋体" w:eastAsia="宋体" w:hint="default"/>
          <w:sz w:val="21"/>
          <w:szCs w:val="21"/>
        </w:rPr>
        <w:t>2019</w:t>
      </w:r>
      <w:r>
        <w:rPr>
          <w:rFonts w:ascii="宋体" w:hAnsi="宋体" w:cs="宋体" w:eastAsia="宋体" w:hint="default"/>
          <w:spacing w:val="-30"/>
          <w:sz w:val="21"/>
          <w:szCs w:val="21"/>
        </w:rPr>
        <w:t> </w:t>
      </w:r>
      <w:r>
        <w:rPr>
          <w:rFonts w:ascii="宋体" w:hAnsi="宋体" w:cs="宋体" w:eastAsia="宋体" w:hint="default"/>
          <w:sz w:val="21"/>
          <w:szCs w:val="21"/>
        </w:rPr>
        <w:t>年底，国际海缆资源容量达到</w:t>
      </w:r>
      <w:r>
        <w:rPr>
          <w:rFonts w:ascii="宋体" w:hAnsi="宋体" w:cs="宋体" w:eastAsia="宋体" w:hint="default"/>
          <w:spacing w:val="-30"/>
          <w:sz w:val="21"/>
          <w:szCs w:val="21"/>
        </w:rPr>
        <w:t> </w:t>
      </w:r>
      <w:r>
        <w:rPr>
          <w:rFonts w:ascii="宋体" w:hAnsi="宋体" w:cs="宋体" w:eastAsia="宋体" w:hint="default"/>
          <w:sz w:val="21"/>
          <w:szCs w:val="21"/>
        </w:rPr>
        <w:t>34T</w:t>
      </w:r>
      <w:r>
        <w:rPr>
          <w:rFonts w:ascii="宋体" w:hAnsi="宋体" w:cs="宋体" w:eastAsia="宋体" w:hint="default"/>
          <w:spacing w:val="-3"/>
          <w:sz w:val="21"/>
          <w:szCs w:val="21"/>
        </w:rPr>
        <w:t> </w:t>
      </w:r>
      <w:r>
        <w:rPr>
          <w:rFonts w:ascii="宋体" w:hAnsi="宋体" w:cs="宋体" w:eastAsia="宋体" w:hint="default"/>
          <w:sz w:val="21"/>
          <w:szCs w:val="21"/>
        </w:rPr>
        <w:t>；互联网国际出口容</w:t>
      </w:r>
      <w:r>
        <w:rPr>
          <w:rFonts w:ascii="宋体" w:hAnsi="宋体" w:cs="宋体" w:eastAsia="宋体" w:hint="default"/>
          <w:w w:val="100"/>
          <w:sz w:val="21"/>
          <w:szCs w:val="21"/>
        </w:rPr>
        <w:t> </w:t>
      </w:r>
      <w:r>
        <w:rPr>
          <w:rFonts w:ascii="宋体" w:hAnsi="宋体" w:cs="宋体" w:eastAsia="宋体" w:hint="default"/>
          <w:sz w:val="21"/>
          <w:szCs w:val="21"/>
        </w:rPr>
        <w:t>量</w:t>
      </w:r>
      <w:r>
        <w:rPr>
          <w:rFonts w:ascii="宋体" w:hAnsi="宋体" w:cs="宋体" w:eastAsia="宋体" w:hint="default"/>
          <w:spacing w:val="-55"/>
          <w:sz w:val="21"/>
          <w:szCs w:val="21"/>
        </w:rPr>
        <w:t> </w:t>
      </w:r>
      <w:r>
        <w:rPr>
          <w:rFonts w:ascii="宋体" w:hAnsi="宋体" w:cs="宋体" w:eastAsia="宋体" w:hint="default"/>
          <w:sz w:val="21"/>
          <w:szCs w:val="21"/>
        </w:rPr>
        <w:t>3.2T</w:t>
      </w:r>
      <w:r>
        <w:rPr>
          <w:rFonts w:ascii="宋体" w:hAnsi="宋体" w:cs="宋体" w:eastAsia="宋体" w:hint="default"/>
          <w:sz w:val="21"/>
          <w:szCs w:val="21"/>
        </w:rPr>
        <w:t>，回国带宽</w:t>
      </w:r>
      <w:r>
        <w:rPr>
          <w:rFonts w:ascii="宋体" w:hAnsi="宋体" w:cs="宋体" w:eastAsia="宋体" w:hint="default"/>
          <w:spacing w:val="-55"/>
          <w:sz w:val="21"/>
          <w:szCs w:val="21"/>
        </w:rPr>
        <w:t> </w:t>
      </w:r>
      <w:r>
        <w:rPr>
          <w:rFonts w:ascii="宋体" w:hAnsi="宋体" w:cs="宋体" w:eastAsia="宋体" w:hint="default"/>
          <w:sz w:val="21"/>
          <w:szCs w:val="21"/>
        </w:rPr>
        <w:t>2.8T</w:t>
      </w:r>
      <w:r>
        <w:rPr>
          <w:rFonts w:ascii="宋体" w:hAnsi="宋体" w:cs="宋体" w:eastAsia="宋体" w:hint="default"/>
          <w:sz w:val="21"/>
          <w:szCs w:val="21"/>
        </w:rPr>
        <w:t>；国际漫游覆盖达到</w:t>
      </w:r>
      <w:r>
        <w:rPr>
          <w:rFonts w:ascii="宋体" w:hAnsi="宋体" w:cs="宋体" w:eastAsia="宋体" w:hint="default"/>
          <w:spacing w:val="-54"/>
          <w:sz w:val="21"/>
          <w:szCs w:val="21"/>
        </w:rPr>
        <w:t> </w:t>
      </w:r>
      <w:r>
        <w:rPr>
          <w:rFonts w:ascii="宋体" w:hAnsi="宋体" w:cs="宋体" w:eastAsia="宋体" w:hint="default"/>
          <w:sz w:val="21"/>
          <w:szCs w:val="21"/>
        </w:rPr>
        <w:t>253</w:t>
      </w:r>
      <w:r>
        <w:rPr>
          <w:rFonts w:ascii="宋体" w:hAnsi="宋体" w:cs="宋体" w:eastAsia="宋体" w:hint="default"/>
          <w:spacing w:val="-55"/>
          <w:sz w:val="21"/>
          <w:szCs w:val="21"/>
        </w:rPr>
        <w:t> </w:t>
      </w:r>
      <w:r>
        <w:rPr>
          <w:rFonts w:ascii="宋体" w:hAnsi="宋体" w:cs="宋体" w:eastAsia="宋体" w:hint="default"/>
          <w:sz w:val="21"/>
          <w:szCs w:val="21"/>
        </w:rPr>
        <w:t>个国家和地区的</w:t>
      </w:r>
      <w:r>
        <w:rPr>
          <w:rFonts w:ascii="宋体" w:hAnsi="宋体" w:cs="宋体" w:eastAsia="宋体" w:hint="default"/>
          <w:spacing w:val="-55"/>
          <w:sz w:val="21"/>
          <w:szCs w:val="21"/>
        </w:rPr>
        <w:t> </w:t>
      </w:r>
      <w:r>
        <w:rPr>
          <w:rFonts w:ascii="宋体" w:hAnsi="宋体" w:cs="宋体" w:eastAsia="宋体" w:hint="default"/>
          <w:sz w:val="21"/>
          <w:szCs w:val="21"/>
        </w:rPr>
        <w:t>625</w:t>
      </w:r>
      <w:r>
        <w:rPr>
          <w:rFonts w:ascii="宋体" w:hAnsi="宋体" w:cs="宋体" w:eastAsia="宋体" w:hint="default"/>
          <w:spacing w:val="-55"/>
          <w:sz w:val="21"/>
          <w:szCs w:val="21"/>
        </w:rPr>
        <w:t> </w:t>
      </w:r>
      <w:r>
        <w:rPr>
          <w:rFonts w:ascii="宋体" w:hAnsi="宋体" w:cs="宋体" w:eastAsia="宋体" w:hint="default"/>
          <w:sz w:val="21"/>
          <w:szCs w:val="21"/>
        </w:rPr>
        <w:t>家运营商。</w:t>
      </w:r>
    </w:p>
    <w:p>
      <w:pPr>
        <w:spacing w:before="109"/>
        <w:ind w:left="563" w:right="96"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5</w:t>
      </w:r>
      <w:r>
        <w:rPr>
          <w:rFonts w:ascii="Arial" w:hAnsi="Arial" w:cs="Arial" w:eastAsia="Arial" w:hint="default"/>
          <w:b/>
          <w:bCs/>
          <w:spacing w:val="39"/>
          <w:sz w:val="21"/>
          <w:szCs w:val="21"/>
        </w:rPr>
        <w:t> </w:t>
      </w:r>
      <w:r>
        <w:rPr>
          <w:rFonts w:ascii="Microsoft JhengHei" w:hAnsi="Microsoft JhengHei" w:cs="Microsoft JhengHei" w:eastAsia="Microsoft JhengHei" w:hint="default"/>
          <w:b/>
          <w:bCs/>
          <w:sz w:val="21"/>
          <w:szCs w:val="21"/>
        </w:rPr>
        <w:t>市场营销</w:t>
      </w:r>
      <w:r>
        <w:rPr>
          <w:rFonts w:ascii="Microsoft JhengHei" w:hAnsi="Microsoft JhengHei" w:cs="Microsoft JhengHei" w:eastAsia="Microsoft JhengHei" w:hint="default"/>
          <w:sz w:val="21"/>
          <w:szCs w:val="21"/>
        </w:rPr>
      </w:r>
    </w:p>
    <w:p>
      <w:pPr>
        <w:spacing w:before="150"/>
        <w:ind w:left="563" w:right="96"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1</w:t>
      </w:r>
      <w:r>
        <w:rPr>
          <w:rFonts w:ascii="Microsoft JhengHei" w:hAnsi="Microsoft JhengHei" w:cs="Microsoft JhengHei" w:eastAsia="Microsoft JhengHei" w:hint="default"/>
          <w:b/>
          <w:bCs/>
          <w:sz w:val="21"/>
          <w:szCs w:val="21"/>
        </w:rPr>
        <w:t>）品牌策略</w:t>
      </w:r>
      <w:r>
        <w:rPr>
          <w:rFonts w:ascii="Microsoft JhengHei" w:hAnsi="Microsoft JhengHei" w:cs="Microsoft JhengHei" w:eastAsia="Microsoft JhengHei" w:hint="default"/>
          <w:sz w:val="21"/>
          <w:szCs w:val="21"/>
        </w:rPr>
      </w:r>
    </w:p>
    <w:p>
      <w:pPr>
        <w:spacing w:line="360" w:lineRule="exact" w:before="174"/>
        <w:ind w:left="138" w:right="96" w:firstLine="372"/>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12"/>
          <w:sz w:val="21"/>
          <w:szCs w:val="21"/>
        </w:rPr>
        <w:t> </w:t>
      </w:r>
      <w:r>
        <w:rPr>
          <w:rFonts w:ascii="宋体" w:hAnsi="宋体" w:cs="宋体" w:eastAsia="宋体" w:hint="default"/>
          <w:spacing w:val="-5"/>
          <w:sz w:val="21"/>
          <w:szCs w:val="21"/>
        </w:rPr>
        <w:t>年，公司围绕塑品牌、促业务、强口碑三个方面，全面塑造联通新品牌形象，加强用户感知，</w:t>
      </w:r>
      <w:r>
        <w:rPr>
          <w:rFonts w:ascii="宋体" w:hAnsi="宋体" w:cs="宋体" w:eastAsia="宋体" w:hint="default"/>
          <w:w w:val="100"/>
          <w:sz w:val="21"/>
          <w:szCs w:val="21"/>
        </w:rPr>
        <w:t> </w:t>
      </w:r>
      <w:r>
        <w:rPr>
          <w:rFonts w:ascii="宋体" w:hAnsi="宋体" w:cs="宋体" w:eastAsia="宋体" w:hint="default"/>
          <w:spacing w:val="-2"/>
          <w:sz w:val="21"/>
          <w:szCs w:val="21"/>
        </w:rPr>
        <w:t>深入推进品牌互联网化。宣传联通为精准扶贫、提速降费所做贡献彰显央企实力和担当形象。构建联</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通</w:t>
      </w:r>
      <w:r>
        <w:rPr>
          <w:rFonts w:ascii="宋体" w:hAnsi="宋体" w:cs="宋体" w:eastAsia="宋体" w:hint="default"/>
          <w:spacing w:val="-45"/>
          <w:sz w:val="21"/>
          <w:szCs w:val="21"/>
        </w:rPr>
        <w:t> </w:t>
      </w:r>
      <w:r>
        <w:rPr>
          <w:rFonts w:ascii="宋体" w:hAnsi="宋体" w:cs="宋体" w:eastAsia="宋体" w:hint="default"/>
          <w:sz w:val="21"/>
          <w:szCs w:val="21"/>
        </w:rPr>
        <w:t>5G</w:t>
      </w:r>
      <w:r>
        <w:rPr>
          <w:rFonts w:ascii="宋体" w:hAnsi="宋体" w:cs="宋体" w:eastAsia="宋体" w:hint="default"/>
          <w:spacing w:val="-48"/>
          <w:sz w:val="21"/>
          <w:szCs w:val="21"/>
        </w:rPr>
        <w:t> </w:t>
      </w:r>
      <w:r>
        <w:rPr>
          <w:rFonts w:ascii="宋体" w:hAnsi="宋体" w:cs="宋体" w:eastAsia="宋体" w:hint="default"/>
          <w:spacing w:val="-4"/>
          <w:sz w:val="21"/>
          <w:szCs w:val="21"/>
        </w:rPr>
        <w:t>整体品牌体系架构，发布</w:t>
      </w:r>
      <w:r>
        <w:rPr>
          <w:rFonts w:ascii="宋体" w:hAnsi="宋体" w:cs="宋体" w:eastAsia="宋体" w:hint="default"/>
          <w:spacing w:val="-44"/>
          <w:sz w:val="21"/>
          <w:szCs w:val="21"/>
        </w:rPr>
        <w:t> </w:t>
      </w:r>
      <w:r>
        <w:rPr>
          <w:rFonts w:ascii="宋体" w:hAnsi="宋体" w:cs="宋体" w:eastAsia="宋体" w:hint="default"/>
          <w:sz w:val="21"/>
          <w:szCs w:val="21"/>
        </w:rPr>
        <w:t>5G</w:t>
      </w:r>
      <w:r>
        <w:rPr>
          <w:rFonts w:ascii="宋体" w:hAnsi="宋体" w:cs="宋体" w:eastAsia="宋体" w:hint="default"/>
          <w:spacing w:val="-45"/>
          <w:sz w:val="21"/>
          <w:szCs w:val="21"/>
        </w:rPr>
        <w:t> </w:t>
      </w:r>
      <w:r>
        <w:rPr>
          <w:rFonts w:ascii="宋体" w:hAnsi="宋体" w:cs="宋体" w:eastAsia="宋体" w:hint="default"/>
          <w:sz w:val="21"/>
          <w:szCs w:val="21"/>
        </w:rPr>
        <w:t>品牌标识</w:t>
      </w:r>
      <w:r>
        <w:rPr>
          <w:rFonts w:ascii="宋体" w:hAnsi="宋体" w:cs="宋体" w:eastAsia="宋体" w:hint="default"/>
          <w:spacing w:val="-45"/>
          <w:sz w:val="21"/>
          <w:szCs w:val="21"/>
        </w:rPr>
        <w:t> </w:t>
      </w:r>
      <w:r>
        <w:rPr>
          <w:rFonts w:ascii="宋体" w:hAnsi="宋体" w:cs="宋体" w:eastAsia="宋体" w:hint="default"/>
          <w:spacing w:val="-3"/>
          <w:sz w:val="21"/>
          <w:szCs w:val="21"/>
        </w:rPr>
        <w:t>5G</w:t>
      </w:r>
      <w:r>
        <w:rPr>
          <w:rFonts w:ascii="微软雅黑" w:hAnsi="微软雅黑" w:cs="微软雅黑" w:eastAsia="微软雅黑" w:hint="default"/>
          <w:spacing w:val="-3"/>
          <w:sz w:val="21"/>
          <w:szCs w:val="21"/>
        </w:rPr>
        <w:t>ⁿ</w:t>
      </w:r>
      <w:r>
        <w:rPr>
          <w:rFonts w:ascii="宋体" w:hAnsi="宋体" w:cs="宋体" w:eastAsia="宋体" w:hint="default"/>
          <w:spacing w:val="-3"/>
          <w:sz w:val="21"/>
          <w:szCs w:val="21"/>
        </w:rPr>
        <w:t>及主题口号——让未来生长，针对</w:t>
      </w:r>
      <w:r>
        <w:rPr>
          <w:rFonts w:ascii="宋体" w:hAnsi="宋体" w:cs="宋体" w:eastAsia="宋体" w:hint="default"/>
          <w:spacing w:val="-44"/>
          <w:sz w:val="21"/>
          <w:szCs w:val="21"/>
        </w:rPr>
        <w:t> </w:t>
      </w:r>
      <w:r>
        <w:rPr>
          <w:rFonts w:ascii="宋体" w:hAnsi="宋体" w:cs="宋体" w:eastAsia="宋体" w:hint="default"/>
          <w:sz w:val="21"/>
          <w:szCs w:val="21"/>
        </w:rPr>
        <w:t>5G</w:t>
      </w:r>
      <w:r>
        <w:rPr>
          <w:rFonts w:ascii="宋体" w:hAnsi="宋体" w:cs="宋体" w:eastAsia="宋体" w:hint="default"/>
          <w:spacing w:val="-45"/>
          <w:sz w:val="21"/>
          <w:szCs w:val="21"/>
        </w:rPr>
        <w:t> </w:t>
      </w:r>
      <w:r>
        <w:rPr>
          <w:rFonts w:ascii="宋体" w:hAnsi="宋体" w:cs="宋体" w:eastAsia="宋体" w:hint="default"/>
          <w:spacing w:val="-5"/>
          <w:sz w:val="21"/>
          <w:szCs w:val="21"/>
        </w:rPr>
        <w:t>商用上市，着重</w:t>
      </w:r>
    </w:p>
    <w:p>
      <w:pPr>
        <w:spacing w:line="360" w:lineRule="exact" w:before="0"/>
        <w:ind w:left="138" w:right="96" w:firstLine="0"/>
        <w:jc w:val="left"/>
        <w:rPr>
          <w:rFonts w:ascii="宋体" w:hAnsi="宋体" w:cs="宋体" w:eastAsia="宋体" w:hint="default"/>
          <w:sz w:val="21"/>
          <w:szCs w:val="21"/>
        </w:rPr>
      </w:pPr>
      <w:r>
        <w:rPr>
          <w:rFonts w:ascii="宋体" w:hAnsi="宋体" w:cs="宋体" w:eastAsia="宋体" w:hint="default"/>
          <w:sz w:val="21"/>
          <w:szCs w:val="21"/>
        </w:rPr>
        <w:t>围绕“联通</w:t>
      </w:r>
      <w:r>
        <w:rPr>
          <w:rFonts w:ascii="宋体" w:hAnsi="宋体" w:cs="宋体" w:eastAsia="宋体" w:hint="default"/>
          <w:spacing w:val="-51"/>
          <w:sz w:val="21"/>
          <w:szCs w:val="21"/>
        </w:rPr>
        <w:t> </w:t>
      </w:r>
      <w:r>
        <w:rPr>
          <w:rFonts w:ascii="宋体" w:hAnsi="宋体" w:cs="宋体" w:eastAsia="宋体" w:hint="default"/>
          <w:sz w:val="21"/>
          <w:szCs w:val="21"/>
        </w:rPr>
        <w:t>5G</w:t>
      </w:r>
      <w:r>
        <w:rPr>
          <w:rFonts w:ascii="宋体" w:hAnsi="宋体" w:cs="宋体" w:eastAsia="宋体" w:hint="default"/>
          <w:spacing w:val="-53"/>
          <w:sz w:val="21"/>
          <w:szCs w:val="21"/>
        </w:rPr>
        <w:t> </w:t>
      </w:r>
      <w:r>
        <w:rPr>
          <w:rFonts w:ascii="宋体" w:hAnsi="宋体" w:cs="宋体" w:eastAsia="宋体" w:hint="default"/>
          <w:sz w:val="21"/>
          <w:szCs w:val="21"/>
        </w:rPr>
        <w:t>赋能智慧冬奥”、庆祝中华人民共和国成立</w:t>
      </w:r>
      <w:r>
        <w:rPr>
          <w:rFonts w:ascii="宋体" w:hAnsi="宋体" w:cs="宋体" w:eastAsia="宋体" w:hint="default"/>
          <w:spacing w:val="-51"/>
          <w:sz w:val="21"/>
          <w:szCs w:val="21"/>
        </w:rPr>
        <w:t> </w:t>
      </w:r>
      <w:r>
        <w:rPr>
          <w:rFonts w:ascii="宋体" w:hAnsi="宋体" w:cs="宋体" w:eastAsia="宋体" w:hint="default"/>
          <w:sz w:val="21"/>
          <w:szCs w:val="21"/>
        </w:rPr>
        <w:t>70</w:t>
      </w:r>
      <w:r>
        <w:rPr>
          <w:rFonts w:ascii="宋体" w:hAnsi="宋体" w:cs="宋体" w:eastAsia="宋体" w:hint="default"/>
          <w:spacing w:val="-53"/>
          <w:sz w:val="21"/>
          <w:szCs w:val="21"/>
        </w:rPr>
        <w:t> </w:t>
      </w:r>
      <w:r>
        <w:rPr>
          <w:rFonts w:ascii="宋体" w:hAnsi="宋体" w:cs="宋体" w:eastAsia="宋体" w:hint="default"/>
          <w:spacing w:val="-3"/>
          <w:sz w:val="21"/>
          <w:szCs w:val="21"/>
        </w:rPr>
        <w:t>周年等重大事件、重点展会等宣传，增</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4"/>
          <w:sz w:val="21"/>
          <w:szCs w:val="21"/>
        </w:rPr>
        <w:t>强业务解读和用户体验，提升联通</w:t>
      </w:r>
      <w:r>
        <w:rPr>
          <w:rFonts w:ascii="宋体" w:hAnsi="宋体" w:cs="宋体" w:eastAsia="宋体" w:hint="default"/>
          <w:spacing w:val="-46"/>
          <w:sz w:val="21"/>
          <w:szCs w:val="21"/>
        </w:rPr>
        <w:t> </w:t>
      </w:r>
      <w:r>
        <w:rPr>
          <w:rFonts w:ascii="宋体" w:hAnsi="宋体" w:cs="宋体" w:eastAsia="宋体" w:hint="default"/>
          <w:spacing w:val="-5"/>
          <w:sz w:val="21"/>
          <w:szCs w:val="21"/>
        </w:rPr>
        <w:t>5G</w:t>
      </w:r>
      <w:r>
        <w:rPr>
          <w:rFonts w:ascii="微软雅黑" w:hAnsi="微软雅黑" w:cs="微软雅黑" w:eastAsia="微软雅黑" w:hint="default"/>
          <w:spacing w:val="-5"/>
          <w:sz w:val="21"/>
          <w:szCs w:val="21"/>
        </w:rPr>
        <w:t>ⁿ</w:t>
      </w:r>
      <w:r>
        <w:rPr>
          <w:rFonts w:ascii="宋体" w:hAnsi="宋体" w:cs="宋体" w:eastAsia="宋体" w:hint="default"/>
          <w:spacing w:val="-5"/>
          <w:sz w:val="21"/>
          <w:szCs w:val="21"/>
        </w:rPr>
        <w:t>品牌认知；以联通</w:t>
      </w:r>
      <w:r>
        <w:rPr>
          <w:rFonts w:ascii="宋体" w:hAnsi="宋体" w:cs="宋体" w:eastAsia="宋体" w:hint="default"/>
          <w:spacing w:val="-46"/>
          <w:sz w:val="21"/>
          <w:szCs w:val="21"/>
        </w:rPr>
        <w:t> </w:t>
      </w:r>
      <w:r>
        <w:rPr>
          <w:rFonts w:ascii="宋体" w:hAnsi="宋体" w:cs="宋体" w:eastAsia="宋体" w:hint="default"/>
          <w:sz w:val="21"/>
          <w:szCs w:val="21"/>
        </w:rPr>
        <w:t>5G</w:t>
      </w:r>
      <w:r>
        <w:rPr>
          <w:rFonts w:ascii="宋体" w:hAnsi="宋体" w:cs="宋体" w:eastAsia="宋体" w:hint="default"/>
          <w:spacing w:val="-46"/>
          <w:sz w:val="21"/>
          <w:szCs w:val="21"/>
        </w:rPr>
        <w:t> </w:t>
      </w:r>
      <w:r>
        <w:rPr>
          <w:rFonts w:ascii="宋体" w:hAnsi="宋体" w:cs="宋体" w:eastAsia="宋体" w:hint="default"/>
          <w:sz w:val="21"/>
          <w:szCs w:val="21"/>
        </w:rPr>
        <w:t>邀请</w:t>
      </w:r>
      <w:r>
        <w:rPr>
          <w:rFonts w:ascii="宋体" w:hAnsi="宋体" w:cs="宋体" w:eastAsia="宋体" w:hint="default"/>
          <w:sz w:val="21"/>
          <w:szCs w:val="21"/>
        </w:rPr>
        <w:t>#</w:t>
      </w:r>
      <w:r>
        <w:rPr>
          <w:rFonts w:ascii="宋体" w:hAnsi="宋体" w:cs="宋体" w:eastAsia="宋体" w:hint="default"/>
          <w:sz w:val="21"/>
          <w:szCs w:val="21"/>
        </w:rPr>
        <w:t>每个三亿分之一</w:t>
      </w:r>
      <w:r>
        <w:rPr>
          <w:rFonts w:ascii="宋体" w:hAnsi="宋体" w:cs="宋体" w:eastAsia="宋体" w:hint="default"/>
          <w:sz w:val="21"/>
          <w:szCs w:val="21"/>
        </w:rPr>
        <w:t>#</w:t>
      </w:r>
      <w:r>
        <w:rPr>
          <w:rFonts w:ascii="宋体" w:hAnsi="宋体" w:cs="宋体" w:eastAsia="宋体" w:hint="default"/>
          <w:sz w:val="21"/>
          <w:szCs w:val="21"/>
        </w:rPr>
        <w:t>共赴冰雪为主题整</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5"/>
          <w:sz w:val="21"/>
          <w:szCs w:val="21"/>
        </w:rPr>
        <w:t>合传播，强化联通冬奥品牌印记。持续通过线上互联网精准传播、线下活动创新推广，强化智慧沃家、</w:t>
      </w:r>
      <w:r>
        <w:rPr>
          <w:rFonts w:ascii="宋体" w:hAnsi="宋体" w:cs="宋体" w:eastAsia="宋体" w:hint="default"/>
          <w:spacing w:val="-18"/>
          <w:sz w:val="21"/>
          <w:szCs w:val="21"/>
        </w:rPr>
        <w:t> </w:t>
      </w:r>
      <w:r>
        <w:rPr>
          <w:rFonts w:ascii="宋体" w:hAnsi="宋体" w:cs="宋体" w:eastAsia="宋体" w:hint="default"/>
          <w:spacing w:val="-18"/>
          <w:sz w:val="21"/>
          <w:szCs w:val="21"/>
        </w:rPr>
      </w:r>
      <w:r>
        <w:rPr>
          <w:rFonts w:ascii="宋体" w:hAnsi="宋体" w:cs="宋体" w:eastAsia="宋体" w:hint="default"/>
          <w:sz w:val="21"/>
          <w:szCs w:val="21"/>
        </w:rPr>
        <w:t>2I</w:t>
      </w:r>
      <w:r>
        <w:rPr>
          <w:rFonts w:ascii="宋体" w:hAnsi="宋体" w:cs="宋体" w:eastAsia="宋体" w:hint="default"/>
          <w:spacing w:val="12"/>
          <w:sz w:val="21"/>
          <w:szCs w:val="21"/>
        </w:rPr>
        <w:t> </w:t>
      </w:r>
      <w:r>
        <w:rPr>
          <w:rFonts w:ascii="宋体" w:hAnsi="宋体" w:cs="宋体" w:eastAsia="宋体" w:hint="default"/>
          <w:spacing w:val="-2"/>
          <w:sz w:val="21"/>
          <w:szCs w:val="21"/>
        </w:rPr>
        <w:t>互联网业务、跨域服务、行业应用、国际业务等重点业务宣传，提升业务口碑。</w:t>
      </w:r>
    </w:p>
    <w:p>
      <w:pPr>
        <w:spacing w:before="132"/>
        <w:ind w:left="563" w:right="96"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2</w:t>
      </w:r>
      <w:r>
        <w:rPr>
          <w:rFonts w:ascii="Microsoft JhengHei" w:hAnsi="Microsoft JhengHei" w:cs="Microsoft JhengHei" w:eastAsia="Microsoft JhengHei" w:hint="default"/>
          <w:b/>
          <w:bCs/>
          <w:sz w:val="21"/>
          <w:szCs w:val="21"/>
        </w:rPr>
        <w:t>）营销策略</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2"/>
          <w:szCs w:val="12"/>
        </w:rPr>
      </w:pPr>
    </w:p>
    <w:p>
      <w:pPr>
        <w:spacing w:line="314" w:lineRule="auto" w:before="0"/>
        <w:ind w:left="138" w:right="96" w:firstLine="372"/>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34"/>
          <w:sz w:val="21"/>
          <w:szCs w:val="21"/>
        </w:rPr>
        <w:t> </w:t>
      </w:r>
      <w:r>
        <w:rPr>
          <w:rFonts w:ascii="宋体" w:hAnsi="宋体" w:cs="宋体" w:eastAsia="宋体" w:hint="default"/>
          <w:spacing w:val="-3"/>
          <w:sz w:val="21"/>
          <w:szCs w:val="21"/>
        </w:rPr>
        <w:t>年，公司深入贯彻新发展理念，积极推进高质量发展。加大中高端产品发展力度、清理无效</w:t>
      </w:r>
      <w:r>
        <w:rPr>
          <w:rFonts w:ascii="宋体" w:hAnsi="宋体" w:cs="宋体" w:eastAsia="宋体" w:hint="default"/>
          <w:w w:val="100"/>
          <w:sz w:val="21"/>
          <w:szCs w:val="21"/>
        </w:rPr>
        <w:t> </w:t>
      </w:r>
      <w:r>
        <w:rPr>
          <w:rFonts w:ascii="宋体" w:hAnsi="宋体" w:cs="宋体" w:eastAsia="宋体" w:hint="default"/>
          <w:spacing w:val="-5"/>
          <w:sz w:val="21"/>
          <w:szCs w:val="21"/>
        </w:rPr>
        <w:t>低效产品，改善用户质态；全面推进以大数据驱动的集约化运营，实现存量用户精细化、精准化经营，</w:t>
      </w:r>
      <w:r>
        <w:rPr>
          <w:rFonts w:ascii="宋体" w:hAnsi="宋体" w:cs="宋体" w:eastAsia="宋体" w:hint="default"/>
          <w:spacing w:val="-16"/>
          <w:sz w:val="21"/>
          <w:szCs w:val="21"/>
        </w:rPr>
        <w:t> </w:t>
      </w:r>
      <w:r>
        <w:rPr>
          <w:rFonts w:ascii="宋体" w:hAnsi="宋体" w:cs="宋体" w:eastAsia="宋体" w:hint="default"/>
          <w:spacing w:val="-16"/>
          <w:sz w:val="21"/>
          <w:szCs w:val="21"/>
        </w:rPr>
      </w:r>
      <w:r>
        <w:rPr>
          <w:rFonts w:ascii="宋体" w:hAnsi="宋体" w:cs="宋体" w:eastAsia="宋体" w:hint="default"/>
          <w:sz w:val="21"/>
          <w:szCs w:val="21"/>
        </w:rPr>
        <w:t>提升用户价值；积极推进 </w:t>
      </w:r>
      <w:r>
        <w:rPr>
          <w:rFonts w:ascii="宋体" w:hAnsi="宋体" w:cs="宋体" w:eastAsia="宋体" w:hint="default"/>
          <w:sz w:val="21"/>
          <w:szCs w:val="21"/>
        </w:rPr>
        <w:t>5G</w:t>
      </w:r>
      <w:r>
        <w:rPr>
          <w:rFonts w:ascii="宋体" w:hAnsi="宋体" w:cs="宋体" w:eastAsia="宋体" w:hint="default"/>
          <w:spacing w:val="-32"/>
          <w:sz w:val="21"/>
          <w:szCs w:val="21"/>
        </w:rPr>
        <w:t> </w:t>
      </w:r>
      <w:r>
        <w:rPr>
          <w:rFonts w:ascii="宋体" w:hAnsi="宋体" w:cs="宋体" w:eastAsia="宋体" w:hint="default"/>
          <w:sz w:val="21"/>
          <w:szCs w:val="21"/>
        </w:rPr>
        <w:t>营销，拓展价值增长新空间；实施校园、家庭等重点细分市场突破，探</w:t>
      </w:r>
      <w:r>
        <w:rPr>
          <w:rFonts w:ascii="宋体" w:hAnsi="宋体" w:cs="宋体" w:eastAsia="宋体" w:hint="default"/>
          <w:w w:val="100"/>
          <w:sz w:val="21"/>
          <w:szCs w:val="21"/>
        </w:rPr>
        <w:t> </w:t>
      </w:r>
      <w:r>
        <w:rPr>
          <w:rFonts w:ascii="宋体" w:hAnsi="宋体" w:cs="宋体" w:eastAsia="宋体" w:hint="default"/>
          <w:sz w:val="21"/>
          <w:szCs w:val="21"/>
        </w:rPr>
        <w:t>索价值增长新模式。积极顺应国家数字经济发展大趋势，大力推进“云</w:t>
      </w:r>
      <w:r>
        <w:rPr>
          <w:rFonts w:ascii="宋体" w:hAnsi="宋体" w:cs="宋体" w:eastAsia="宋体" w:hint="default"/>
          <w:sz w:val="21"/>
          <w:szCs w:val="21"/>
        </w:rPr>
        <w:t>+</w:t>
      </w:r>
      <w:r>
        <w:rPr>
          <w:rFonts w:ascii="宋体" w:hAnsi="宋体" w:cs="宋体" w:eastAsia="宋体" w:hint="default"/>
          <w:sz w:val="21"/>
          <w:szCs w:val="21"/>
        </w:rPr>
        <w:t>网+X”组合营销新模式，拓</w:t>
      </w:r>
      <w:r>
        <w:rPr>
          <w:rFonts w:ascii="宋体" w:hAnsi="宋体" w:cs="宋体" w:eastAsia="宋体" w:hint="default"/>
          <w:spacing w:val="-27"/>
          <w:sz w:val="21"/>
          <w:szCs w:val="21"/>
        </w:rPr>
        <w:t> </w:t>
      </w:r>
      <w:r>
        <w:rPr>
          <w:rFonts w:ascii="宋体" w:hAnsi="宋体" w:cs="宋体" w:eastAsia="宋体" w:hint="default"/>
          <w:spacing w:val="-27"/>
          <w:sz w:val="21"/>
          <w:szCs w:val="21"/>
        </w:rPr>
      </w:r>
      <w:r>
        <w:rPr>
          <w:rFonts w:ascii="宋体" w:hAnsi="宋体" w:cs="宋体" w:eastAsia="宋体" w:hint="default"/>
          <w:spacing w:val="-3"/>
          <w:sz w:val="21"/>
          <w:szCs w:val="21"/>
        </w:rPr>
        <w:t>展产业互联网市场。大力推进互联网化转型，构建互联网化的产品体系、渠道体系、营销体系等，提</w:t>
      </w:r>
      <w:r>
        <w:rPr>
          <w:rFonts w:ascii="宋体" w:hAnsi="宋体" w:cs="宋体" w:eastAsia="宋体" w:hint="default"/>
          <w:spacing w:val="-14"/>
          <w:sz w:val="21"/>
          <w:szCs w:val="21"/>
        </w:rPr>
        <w:t> </w:t>
      </w:r>
      <w:r>
        <w:rPr>
          <w:rFonts w:ascii="宋体" w:hAnsi="宋体" w:cs="宋体" w:eastAsia="宋体" w:hint="default"/>
          <w:spacing w:val="-14"/>
          <w:sz w:val="21"/>
          <w:szCs w:val="21"/>
        </w:rPr>
      </w:r>
      <w:r>
        <w:rPr>
          <w:rFonts w:ascii="宋体" w:hAnsi="宋体" w:cs="宋体" w:eastAsia="宋体" w:hint="default"/>
          <w:sz w:val="21"/>
          <w:szCs w:val="21"/>
        </w:rPr>
        <w:t>升营销效率。</w:t>
      </w:r>
    </w:p>
    <w:p>
      <w:pPr>
        <w:spacing w:before="109"/>
        <w:ind w:left="563" w:right="96"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3</w:t>
      </w:r>
      <w:r>
        <w:rPr>
          <w:rFonts w:ascii="Microsoft JhengHei" w:hAnsi="Microsoft JhengHei" w:cs="Microsoft JhengHei" w:eastAsia="Microsoft JhengHei" w:hint="default"/>
          <w:b/>
          <w:bCs/>
          <w:sz w:val="21"/>
          <w:szCs w:val="21"/>
        </w:rPr>
        <w:t>）营销渠道</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2"/>
          <w:szCs w:val="12"/>
        </w:rPr>
      </w:pPr>
    </w:p>
    <w:p>
      <w:pPr>
        <w:spacing w:line="314" w:lineRule="auto" w:before="0"/>
        <w:ind w:left="138" w:right="178" w:firstLine="372"/>
        <w:jc w:val="both"/>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18"/>
          <w:sz w:val="21"/>
          <w:szCs w:val="21"/>
        </w:rPr>
        <w:t> </w:t>
      </w:r>
      <w:r>
        <w:rPr>
          <w:rFonts w:ascii="宋体" w:hAnsi="宋体" w:cs="宋体" w:eastAsia="宋体" w:hint="default"/>
          <w:spacing w:val="-3"/>
          <w:sz w:val="21"/>
          <w:szCs w:val="21"/>
        </w:rPr>
        <w:t>年，公司积极落实互联网化转型战略，推进线上线下一体化，进一步做广做轻接触网。实体</w:t>
      </w:r>
      <w:r>
        <w:rPr>
          <w:rFonts w:ascii="宋体" w:hAnsi="宋体" w:cs="宋体" w:eastAsia="宋体" w:hint="default"/>
          <w:w w:val="100"/>
          <w:sz w:val="21"/>
          <w:szCs w:val="21"/>
        </w:rPr>
        <w:t> </w:t>
      </w:r>
      <w:r>
        <w:rPr>
          <w:rFonts w:ascii="宋体" w:hAnsi="宋体" w:cs="宋体" w:eastAsia="宋体" w:hint="default"/>
          <w:spacing w:val="-2"/>
          <w:sz w:val="21"/>
          <w:szCs w:val="21"/>
        </w:rPr>
        <w:t>渠道稳盘托底的同时，大力拓展线上及轻触点，构建低成本、广覆盖的触点体系。做优做强交付网，</w:t>
      </w:r>
      <w:r>
        <w:rPr>
          <w:rFonts w:ascii="宋体" w:hAnsi="宋体" w:cs="宋体" w:eastAsia="宋体" w:hint="default"/>
          <w:spacing w:val="-24"/>
          <w:sz w:val="21"/>
          <w:szCs w:val="21"/>
        </w:rPr>
        <w:t> </w:t>
      </w:r>
      <w:r>
        <w:rPr>
          <w:rFonts w:ascii="宋体" w:hAnsi="宋体" w:cs="宋体" w:eastAsia="宋体" w:hint="default"/>
          <w:spacing w:val="-24"/>
          <w:sz w:val="21"/>
          <w:szCs w:val="21"/>
        </w:rPr>
      </w:r>
      <w:r>
        <w:rPr>
          <w:rFonts w:ascii="宋体" w:hAnsi="宋体" w:cs="宋体" w:eastAsia="宋体" w:hint="default"/>
          <w:spacing w:val="-3"/>
          <w:sz w:val="21"/>
          <w:szCs w:val="21"/>
        </w:rPr>
        <w:t>构建以专职队伍，实体渠道复用等有机组成、上门为主的交付体系。依托中台，实现全场景销售，多</w:t>
      </w:r>
      <w:r>
        <w:rPr>
          <w:rFonts w:ascii="宋体" w:hAnsi="宋体" w:cs="宋体" w:eastAsia="宋体" w:hint="default"/>
          <w:spacing w:val="-14"/>
          <w:sz w:val="21"/>
          <w:szCs w:val="21"/>
        </w:rPr>
        <w:t> </w:t>
      </w:r>
      <w:r>
        <w:rPr>
          <w:rFonts w:ascii="宋体" w:hAnsi="宋体" w:cs="宋体" w:eastAsia="宋体" w:hint="default"/>
          <w:spacing w:val="-14"/>
          <w:sz w:val="21"/>
          <w:szCs w:val="21"/>
        </w:rPr>
      </w:r>
      <w:r>
        <w:rPr>
          <w:rFonts w:ascii="宋体" w:hAnsi="宋体" w:cs="宋体" w:eastAsia="宋体" w:hint="default"/>
          <w:sz w:val="21"/>
          <w:szCs w:val="21"/>
        </w:rPr>
        <w:t>样化交付，打造中国联通互联网化新型营销网，提升客户感知和企业运营效率。</w:t>
      </w:r>
    </w:p>
    <w:p>
      <w:pPr>
        <w:spacing w:before="109"/>
        <w:ind w:left="563" w:right="96"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4</w:t>
      </w:r>
      <w:r>
        <w:rPr>
          <w:rFonts w:ascii="Microsoft JhengHei" w:hAnsi="Microsoft JhengHei" w:cs="Microsoft JhengHei" w:eastAsia="Microsoft JhengHei" w:hint="default"/>
          <w:b/>
          <w:bCs/>
          <w:sz w:val="21"/>
          <w:szCs w:val="21"/>
        </w:rPr>
        <w:t>）客户服务</w:t>
      </w:r>
      <w:r>
        <w:rPr>
          <w:rFonts w:ascii="Microsoft JhengHei" w:hAnsi="Microsoft JhengHei" w:cs="Microsoft JhengHei" w:eastAsia="Microsoft JhengHei" w:hint="default"/>
          <w:sz w:val="21"/>
          <w:szCs w:val="21"/>
        </w:rPr>
      </w:r>
    </w:p>
    <w:p>
      <w:pPr>
        <w:spacing w:after="0"/>
        <w:jc w:val="left"/>
        <w:rPr>
          <w:rFonts w:ascii="Microsoft JhengHei" w:hAnsi="Microsoft JhengHei" w:cs="Microsoft JhengHei" w:eastAsia="Microsoft JhengHei" w:hint="default"/>
          <w:sz w:val="21"/>
          <w:szCs w:val="21"/>
        </w:rPr>
        <w:sectPr>
          <w:footerReference w:type="default" r:id="rId27"/>
          <w:pgSz w:w="11910" w:h="16840"/>
          <w:pgMar w:footer="502" w:header="854" w:top="1360" w:bottom="700" w:left="1280" w:right="1060"/>
        </w:sectPr>
      </w:pPr>
    </w:p>
    <w:p>
      <w:pPr>
        <w:spacing w:line="240" w:lineRule="auto" w:before="13"/>
        <w:rPr>
          <w:rFonts w:ascii="Microsoft JhengHei" w:hAnsi="Microsoft JhengHei" w:cs="Microsoft JhengHei" w:eastAsia="Microsoft JhengHei" w:hint="default"/>
          <w:b/>
          <w:bCs/>
          <w:sz w:val="9"/>
          <w:szCs w:val="9"/>
        </w:rPr>
      </w:pPr>
    </w:p>
    <w:p>
      <w:pPr>
        <w:spacing w:line="314" w:lineRule="auto" w:before="36"/>
        <w:ind w:left="138" w:right="128" w:firstLine="372"/>
        <w:jc w:val="both"/>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1"/>
          <w:sz w:val="21"/>
          <w:szCs w:val="21"/>
        </w:rPr>
        <w:t> </w:t>
      </w:r>
      <w:r>
        <w:rPr>
          <w:rFonts w:ascii="宋体" w:hAnsi="宋体" w:cs="宋体" w:eastAsia="宋体" w:hint="default"/>
          <w:spacing w:val="-3"/>
          <w:sz w:val="21"/>
          <w:szCs w:val="21"/>
        </w:rPr>
        <w:t>年，公司以服务百姓为宗旨治理顽疾问题，实现服务口碑持续改善，加快推进服务互联网化</w:t>
      </w:r>
      <w:r>
        <w:rPr>
          <w:rFonts w:ascii="宋体" w:hAnsi="宋体" w:cs="宋体" w:eastAsia="宋体" w:hint="default"/>
          <w:w w:val="100"/>
          <w:sz w:val="21"/>
          <w:szCs w:val="21"/>
        </w:rPr>
        <w:t> </w:t>
      </w:r>
      <w:r>
        <w:rPr>
          <w:rFonts w:ascii="宋体" w:hAnsi="宋体" w:cs="宋体" w:eastAsia="宋体" w:hint="default"/>
          <w:sz w:val="21"/>
          <w:szCs w:val="21"/>
        </w:rPr>
        <w:t>转型，实现服务渠道运营效率、客户体验进一步提升。截至四季度，移网客户口碑（</w:t>
      </w:r>
      <w:r>
        <w:rPr>
          <w:rFonts w:ascii="宋体" w:hAnsi="宋体" w:cs="宋体" w:eastAsia="宋体" w:hint="default"/>
          <w:sz w:val="21"/>
          <w:szCs w:val="21"/>
        </w:rPr>
        <w:t>NPS</w:t>
      </w:r>
      <w:r>
        <w:rPr>
          <w:rFonts w:ascii="宋体" w:hAnsi="宋体" w:cs="宋体" w:eastAsia="宋体" w:hint="default"/>
          <w:sz w:val="21"/>
          <w:szCs w:val="21"/>
        </w:rPr>
        <w:t>）同比提升</w:t>
      </w:r>
      <w:r>
        <w:rPr>
          <w:rFonts w:ascii="宋体" w:hAnsi="宋体" w:cs="宋体" w:eastAsia="宋体" w:hint="default"/>
          <w:spacing w:val="-27"/>
          <w:sz w:val="21"/>
          <w:szCs w:val="21"/>
        </w:rPr>
        <w:t> </w:t>
      </w:r>
      <w:r>
        <w:rPr>
          <w:rFonts w:ascii="宋体" w:hAnsi="宋体" w:cs="宋体" w:eastAsia="宋体" w:hint="default"/>
          <w:spacing w:val="-27"/>
          <w:sz w:val="21"/>
          <w:szCs w:val="21"/>
        </w:rPr>
      </w:r>
      <w:r>
        <w:rPr>
          <w:rFonts w:ascii="宋体" w:hAnsi="宋体" w:cs="宋体" w:eastAsia="宋体" w:hint="default"/>
          <w:sz w:val="21"/>
          <w:szCs w:val="21"/>
        </w:rPr>
        <w:t>7.2</w:t>
      </w:r>
      <w:r>
        <w:rPr>
          <w:rFonts w:ascii="宋体" w:hAnsi="宋体" w:cs="宋体" w:eastAsia="宋体" w:hint="default"/>
          <w:spacing w:val="-54"/>
          <w:sz w:val="21"/>
          <w:szCs w:val="21"/>
        </w:rPr>
        <w:t> </w:t>
      </w:r>
      <w:r>
        <w:rPr>
          <w:rFonts w:ascii="宋体" w:hAnsi="宋体" w:cs="宋体" w:eastAsia="宋体" w:hint="default"/>
          <w:sz w:val="21"/>
          <w:szCs w:val="21"/>
        </w:rPr>
        <w:t>分，固网提升</w:t>
      </w:r>
      <w:r>
        <w:rPr>
          <w:rFonts w:ascii="宋体" w:hAnsi="宋体" w:cs="宋体" w:eastAsia="宋体" w:hint="default"/>
          <w:spacing w:val="-54"/>
          <w:sz w:val="21"/>
          <w:szCs w:val="21"/>
        </w:rPr>
        <w:t> </w:t>
      </w:r>
      <w:r>
        <w:rPr>
          <w:rFonts w:ascii="宋体" w:hAnsi="宋体" w:cs="宋体" w:eastAsia="宋体" w:hint="default"/>
          <w:sz w:val="21"/>
          <w:szCs w:val="21"/>
        </w:rPr>
        <w:t>8.1</w:t>
      </w:r>
      <w:r>
        <w:rPr>
          <w:rFonts w:ascii="宋体" w:hAnsi="宋体" w:cs="宋体" w:eastAsia="宋体" w:hint="default"/>
          <w:spacing w:val="-54"/>
          <w:sz w:val="21"/>
          <w:szCs w:val="21"/>
        </w:rPr>
        <w:t> </w:t>
      </w:r>
      <w:r>
        <w:rPr>
          <w:rFonts w:ascii="宋体" w:hAnsi="宋体" w:cs="宋体" w:eastAsia="宋体" w:hint="default"/>
          <w:sz w:val="21"/>
          <w:szCs w:val="21"/>
        </w:rPr>
        <w:t>分；截至</w:t>
      </w:r>
      <w:r>
        <w:rPr>
          <w:rFonts w:ascii="宋体" w:hAnsi="宋体" w:cs="宋体" w:eastAsia="宋体" w:hint="default"/>
          <w:spacing w:val="-53"/>
          <w:sz w:val="21"/>
          <w:szCs w:val="21"/>
        </w:rPr>
        <w:t> </w:t>
      </w:r>
      <w:r>
        <w:rPr>
          <w:rFonts w:ascii="宋体" w:hAnsi="宋体" w:cs="宋体" w:eastAsia="宋体" w:hint="default"/>
          <w:sz w:val="21"/>
          <w:szCs w:val="21"/>
        </w:rPr>
        <w:t>12</w:t>
      </w:r>
      <w:r>
        <w:rPr>
          <w:rFonts w:ascii="宋体" w:hAnsi="宋体" w:cs="宋体" w:eastAsia="宋体" w:hint="default"/>
          <w:spacing w:val="-56"/>
          <w:sz w:val="21"/>
          <w:szCs w:val="21"/>
        </w:rPr>
        <w:t> </w:t>
      </w:r>
      <w:r>
        <w:rPr>
          <w:rFonts w:ascii="宋体" w:hAnsi="宋体" w:cs="宋体" w:eastAsia="宋体" w:hint="default"/>
          <w:sz w:val="21"/>
          <w:szCs w:val="21"/>
        </w:rPr>
        <w:t>月底，工信部有效申诉率同比下降</w:t>
      </w:r>
      <w:r>
        <w:rPr>
          <w:rFonts w:ascii="宋体" w:hAnsi="宋体" w:cs="宋体" w:eastAsia="宋体" w:hint="default"/>
          <w:spacing w:val="-54"/>
          <w:sz w:val="21"/>
          <w:szCs w:val="21"/>
        </w:rPr>
        <w:t> </w:t>
      </w:r>
      <w:r>
        <w:rPr>
          <w:rFonts w:ascii="宋体" w:hAnsi="宋体" w:cs="宋体" w:eastAsia="宋体" w:hint="default"/>
          <w:sz w:val="21"/>
          <w:szCs w:val="21"/>
        </w:rPr>
        <w:t>50%</w:t>
      </w:r>
      <w:r>
        <w:rPr>
          <w:rFonts w:ascii="宋体" w:hAnsi="宋体" w:cs="宋体" w:eastAsia="宋体" w:hint="default"/>
          <w:sz w:val="21"/>
          <w:szCs w:val="21"/>
        </w:rPr>
        <w:t>。</w:t>
      </w:r>
    </w:p>
    <w:p>
      <w:pPr>
        <w:spacing w:line="240" w:lineRule="auto" w:before="1"/>
        <w:rPr>
          <w:rFonts w:ascii="宋体" w:hAnsi="宋体" w:cs="宋体" w:eastAsia="宋体" w:hint="default"/>
          <w:sz w:val="16"/>
          <w:szCs w:val="16"/>
        </w:rPr>
      </w:pPr>
    </w:p>
    <w:p>
      <w:pPr>
        <w:spacing w:line="343" w:lineRule="auto" w:before="0"/>
        <w:ind w:left="561" w:right="5817" w:hanging="423"/>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pacing w:val="-1"/>
          <w:sz w:val="21"/>
          <w:szCs w:val="21"/>
        </w:rPr>
        <w:t>第二部分：财务情况讨论与分析</w:t>
      </w:r>
      <w:r>
        <w:rPr>
          <w:rFonts w:ascii="Microsoft JhengHei" w:hAnsi="Microsoft JhengHei" w:cs="Microsoft JhengHei" w:eastAsia="Microsoft JhengHei" w:hint="default"/>
          <w:b/>
          <w:bCs/>
          <w:spacing w:val="-29"/>
          <w:sz w:val="21"/>
          <w:szCs w:val="21"/>
        </w:rPr>
        <w:t> </w:t>
      </w:r>
      <w:r>
        <w:rPr>
          <w:rFonts w:ascii="Microsoft JhengHei" w:hAnsi="Microsoft JhengHei" w:cs="Microsoft JhengHei" w:eastAsia="Microsoft JhengHei" w:hint="default"/>
          <w:b/>
          <w:bCs/>
          <w:spacing w:val="-29"/>
          <w:sz w:val="21"/>
          <w:szCs w:val="21"/>
        </w:rPr>
      </w:r>
      <w:r>
        <w:rPr>
          <w:rFonts w:ascii="Arial" w:hAnsi="Arial" w:cs="Arial" w:eastAsia="Arial" w:hint="default"/>
          <w:b/>
          <w:bCs/>
          <w:w w:val="105"/>
          <w:sz w:val="21"/>
          <w:szCs w:val="21"/>
        </w:rPr>
        <w:t>1.</w:t>
      </w:r>
      <w:r>
        <w:rPr>
          <w:rFonts w:ascii="Microsoft JhengHei" w:hAnsi="Microsoft JhengHei" w:cs="Microsoft JhengHei" w:eastAsia="Microsoft JhengHei" w:hint="default"/>
          <w:b/>
          <w:bCs/>
          <w:w w:val="105"/>
          <w:sz w:val="21"/>
          <w:szCs w:val="21"/>
        </w:rPr>
        <w:t>概述</w:t>
      </w:r>
      <w:r>
        <w:rPr>
          <w:rFonts w:ascii="Microsoft JhengHei" w:hAnsi="Microsoft JhengHei" w:cs="Microsoft JhengHei" w:eastAsia="Microsoft JhengHei" w:hint="default"/>
          <w:w w:val="105"/>
          <w:sz w:val="21"/>
          <w:szCs w:val="21"/>
        </w:rPr>
      </w:r>
    </w:p>
    <w:p>
      <w:pPr>
        <w:spacing w:before="97"/>
        <w:ind w:left="558" w:right="0" w:firstLine="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34"/>
          <w:sz w:val="21"/>
          <w:szCs w:val="21"/>
        </w:rPr>
        <w:t> </w:t>
      </w:r>
      <w:r>
        <w:rPr>
          <w:rFonts w:ascii="宋体" w:hAnsi="宋体" w:cs="宋体" w:eastAsia="宋体" w:hint="default"/>
          <w:sz w:val="21"/>
          <w:szCs w:val="21"/>
        </w:rPr>
        <w:t>年公司持续深化实施聚焦战略，实现营业收入人民币</w:t>
      </w:r>
      <w:r>
        <w:rPr>
          <w:rFonts w:ascii="宋体" w:hAnsi="宋体" w:cs="宋体" w:eastAsia="宋体" w:hint="default"/>
          <w:spacing w:val="-37"/>
          <w:sz w:val="21"/>
          <w:szCs w:val="21"/>
        </w:rPr>
        <w:t> </w:t>
      </w:r>
      <w:r>
        <w:rPr>
          <w:rFonts w:ascii="宋体" w:hAnsi="宋体" w:cs="宋体" w:eastAsia="宋体" w:hint="default"/>
          <w:sz w:val="21"/>
          <w:szCs w:val="21"/>
        </w:rPr>
        <w:t>2,905.1</w:t>
      </w:r>
      <w:r>
        <w:rPr>
          <w:rFonts w:ascii="宋体" w:hAnsi="宋体" w:cs="宋体" w:eastAsia="宋体" w:hint="default"/>
          <w:spacing w:val="-34"/>
          <w:sz w:val="21"/>
          <w:szCs w:val="21"/>
        </w:rPr>
        <w:t> </w:t>
      </w:r>
      <w:r>
        <w:rPr>
          <w:rFonts w:ascii="宋体" w:hAnsi="宋体" w:cs="宋体" w:eastAsia="宋体" w:hint="default"/>
          <w:sz w:val="21"/>
          <w:szCs w:val="21"/>
        </w:rPr>
        <w:t>亿元，同比下降</w:t>
      </w:r>
      <w:r>
        <w:rPr>
          <w:rFonts w:ascii="宋体" w:hAnsi="宋体" w:cs="宋体" w:eastAsia="宋体" w:hint="default"/>
          <w:spacing w:val="-37"/>
          <w:sz w:val="21"/>
          <w:szCs w:val="21"/>
        </w:rPr>
        <w:t> </w:t>
      </w:r>
      <w:r>
        <w:rPr>
          <w:rFonts w:ascii="宋体" w:hAnsi="宋体" w:cs="宋体" w:eastAsia="宋体" w:hint="default"/>
          <w:sz w:val="21"/>
          <w:szCs w:val="21"/>
        </w:rPr>
        <w:t>0.1%</w:t>
      </w:r>
      <w:r>
        <w:rPr>
          <w:rFonts w:ascii="宋体" w:hAnsi="宋体" w:cs="宋体" w:eastAsia="宋体" w:hint="default"/>
          <w:sz w:val="21"/>
          <w:szCs w:val="21"/>
        </w:rPr>
        <w:t>，主营</w:t>
      </w:r>
    </w:p>
    <w:p>
      <w:pPr>
        <w:spacing w:before="85"/>
        <w:ind w:left="138" w:right="0" w:firstLine="0"/>
        <w:jc w:val="left"/>
        <w:rPr>
          <w:rFonts w:ascii="宋体" w:hAnsi="宋体" w:cs="宋体" w:eastAsia="宋体" w:hint="default"/>
          <w:sz w:val="21"/>
          <w:szCs w:val="21"/>
        </w:rPr>
      </w:pPr>
      <w:r>
        <w:rPr>
          <w:rFonts w:ascii="宋体" w:hAnsi="宋体" w:cs="宋体" w:eastAsia="宋体" w:hint="default"/>
          <w:sz w:val="21"/>
          <w:szCs w:val="21"/>
        </w:rPr>
        <w:t>业务收入达到人民币</w:t>
      </w:r>
      <w:r>
        <w:rPr>
          <w:rFonts w:ascii="宋体" w:hAnsi="宋体" w:cs="宋体" w:eastAsia="宋体" w:hint="default"/>
          <w:spacing w:val="-52"/>
          <w:sz w:val="21"/>
          <w:szCs w:val="21"/>
        </w:rPr>
        <w:t> </w:t>
      </w:r>
      <w:r>
        <w:rPr>
          <w:rFonts w:ascii="宋体" w:hAnsi="宋体" w:cs="宋体" w:eastAsia="宋体" w:hint="default"/>
          <w:sz w:val="21"/>
          <w:szCs w:val="21"/>
        </w:rPr>
        <w:t>2,643.9</w:t>
      </w:r>
      <w:r>
        <w:rPr>
          <w:rFonts w:ascii="宋体" w:hAnsi="宋体" w:cs="宋体" w:eastAsia="宋体" w:hint="default"/>
          <w:spacing w:val="-49"/>
          <w:sz w:val="21"/>
          <w:szCs w:val="21"/>
        </w:rPr>
        <w:t> </w:t>
      </w:r>
      <w:r>
        <w:rPr>
          <w:rFonts w:ascii="宋体" w:hAnsi="宋体" w:cs="宋体" w:eastAsia="宋体" w:hint="default"/>
          <w:sz w:val="21"/>
          <w:szCs w:val="21"/>
        </w:rPr>
        <w:t>亿元，同比增长</w:t>
      </w:r>
      <w:r>
        <w:rPr>
          <w:rFonts w:ascii="宋体" w:hAnsi="宋体" w:cs="宋体" w:eastAsia="宋体" w:hint="default"/>
          <w:spacing w:val="-49"/>
          <w:sz w:val="21"/>
          <w:szCs w:val="21"/>
        </w:rPr>
        <w:t> </w:t>
      </w:r>
      <w:r>
        <w:rPr>
          <w:rFonts w:ascii="宋体" w:hAnsi="宋体" w:cs="宋体" w:eastAsia="宋体" w:hint="default"/>
          <w:sz w:val="21"/>
          <w:szCs w:val="21"/>
        </w:rPr>
        <w:t>0.3%</w:t>
      </w:r>
      <w:r>
        <w:rPr>
          <w:rFonts w:ascii="宋体" w:hAnsi="宋体" w:cs="宋体" w:eastAsia="宋体" w:hint="default"/>
          <w:sz w:val="21"/>
          <w:szCs w:val="21"/>
        </w:rPr>
        <w:t>。归属于母公司净利润实现人民币</w:t>
      </w:r>
      <w:r>
        <w:rPr>
          <w:rFonts w:ascii="宋体" w:hAnsi="宋体" w:cs="宋体" w:eastAsia="宋体" w:hint="default"/>
          <w:spacing w:val="-48"/>
          <w:sz w:val="21"/>
          <w:szCs w:val="21"/>
        </w:rPr>
        <w:t> </w:t>
      </w:r>
      <w:r>
        <w:rPr>
          <w:rFonts w:ascii="宋体" w:hAnsi="宋体" w:cs="宋体" w:eastAsia="宋体" w:hint="default"/>
          <w:sz w:val="21"/>
          <w:szCs w:val="21"/>
        </w:rPr>
        <w:t>49.8</w:t>
      </w:r>
      <w:r>
        <w:rPr>
          <w:rFonts w:ascii="宋体" w:hAnsi="宋体" w:cs="宋体" w:eastAsia="宋体" w:hint="default"/>
          <w:spacing w:val="-49"/>
          <w:sz w:val="21"/>
          <w:szCs w:val="21"/>
        </w:rPr>
        <w:t> </w:t>
      </w:r>
      <w:r>
        <w:rPr>
          <w:rFonts w:ascii="宋体" w:hAnsi="宋体" w:cs="宋体" w:eastAsia="宋体" w:hint="default"/>
          <w:sz w:val="21"/>
          <w:szCs w:val="21"/>
        </w:rPr>
        <w:t>亿元，同</w:t>
      </w:r>
    </w:p>
    <w:p>
      <w:pPr>
        <w:spacing w:before="85"/>
        <w:ind w:left="138" w:right="0" w:firstLine="0"/>
        <w:jc w:val="left"/>
        <w:rPr>
          <w:rFonts w:ascii="宋体" w:hAnsi="宋体" w:cs="宋体" w:eastAsia="宋体" w:hint="default"/>
          <w:sz w:val="21"/>
          <w:szCs w:val="21"/>
        </w:rPr>
      </w:pPr>
      <w:r>
        <w:rPr>
          <w:rFonts w:ascii="宋体" w:hAnsi="宋体" w:cs="宋体" w:eastAsia="宋体" w:hint="default"/>
          <w:sz w:val="21"/>
          <w:szCs w:val="21"/>
        </w:rPr>
        <w:t>比增加人民币</w:t>
      </w:r>
      <w:r>
        <w:rPr>
          <w:rFonts w:ascii="宋体" w:hAnsi="宋体" w:cs="宋体" w:eastAsia="宋体" w:hint="default"/>
          <w:spacing w:val="-53"/>
          <w:sz w:val="21"/>
          <w:szCs w:val="21"/>
        </w:rPr>
        <w:t> </w:t>
      </w:r>
      <w:r>
        <w:rPr>
          <w:rFonts w:ascii="宋体" w:hAnsi="宋体" w:cs="宋体" w:eastAsia="宋体" w:hint="default"/>
          <w:sz w:val="21"/>
          <w:szCs w:val="21"/>
        </w:rPr>
        <w:t>9.0</w:t>
      </w:r>
      <w:r>
        <w:rPr>
          <w:rFonts w:ascii="宋体" w:hAnsi="宋体" w:cs="宋体" w:eastAsia="宋体" w:hint="default"/>
          <w:spacing w:val="-53"/>
          <w:sz w:val="21"/>
          <w:szCs w:val="21"/>
        </w:rPr>
        <w:t> </w:t>
      </w:r>
      <w:r>
        <w:rPr>
          <w:rFonts w:ascii="宋体" w:hAnsi="宋体" w:cs="宋体" w:eastAsia="宋体" w:hint="default"/>
          <w:sz w:val="21"/>
          <w:szCs w:val="21"/>
        </w:rPr>
        <w:t>亿元。</w:t>
      </w:r>
    </w:p>
    <w:p>
      <w:pPr>
        <w:spacing w:line="240" w:lineRule="auto" w:before="6"/>
        <w:rPr>
          <w:rFonts w:ascii="宋体" w:hAnsi="宋体" w:cs="宋体" w:eastAsia="宋体" w:hint="default"/>
          <w:sz w:val="18"/>
          <w:szCs w:val="18"/>
        </w:rPr>
      </w:pPr>
    </w:p>
    <w:p>
      <w:pPr>
        <w:spacing w:before="0"/>
        <w:ind w:left="558" w:right="0" w:firstLine="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30"/>
          <w:sz w:val="21"/>
          <w:szCs w:val="21"/>
        </w:rPr>
        <w:t> </w:t>
      </w:r>
      <w:r>
        <w:rPr>
          <w:rFonts w:ascii="宋体" w:hAnsi="宋体" w:cs="宋体" w:eastAsia="宋体" w:hint="default"/>
          <w:sz w:val="21"/>
          <w:szCs w:val="21"/>
        </w:rPr>
        <w:t>年公司经营活动现金流量净额为人民币</w:t>
      </w:r>
      <w:r>
        <w:rPr>
          <w:rFonts w:ascii="宋体" w:hAnsi="宋体" w:cs="宋体" w:eastAsia="宋体" w:hint="default"/>
          <w:spacing w:val="-27"/>
          <w:sz w:val="21"/>
          <w:szCs w:val="21"/>
        </w:rPr>
        <w:t> </w:t>
      </w:r>
      <w:r>
        <w:rPr>
          <w:rFonts w:ascii="宋体" w:hAnsi="宋体" w:cs="宋体" w:eastAsia="宋体" w:hint="default"/>
          <w:sz w:val="21"/>
          <w:szCs w:val="21"/>
        </w:rPr>
        <w:t>962.1</w:t>
      </w:r>
      <w:r>
        <w:rPr>
          <w:rFonts w:ascii="宋体" w:hAnsi="宋体" w:cs="宋体" w:eastAsia="宋体" w:hint="default"/>
          <w:spacing w:val="-29"/>
          <w:sz w:val="21"/>
          <w:szCs w:val="21"/>
        </w:rPr>
        <w:t> </w:t>
      </w:r>
      <w:r>
        <w:rPr>
          <w:rFonts w:ascii="宋体" w:hAnsi="宋体" w:cs="宋体" w:eastAsia="宋体" w:hint="default"/>
          <w:sz w:val="21"/>
          <w:szCs w:val="21"/>
        </w:rPr>
        <w:t>亿元，资本开支为人民币</w:t>
      </w:r>
      <w:r>
        <w:rPr>
          <w:rFonts w:ascii="宋体" w:hAnsi="宋体" w:cs="宋体" w:eastAsia="宋体" w:hint="default"/>
          <w:spacing w:val="-29"/>
          <w:sz w:val="21"/>
          <w:szCs w:val="21"/>
        </w:rPr>
        <w:t> </w:t>
      </w:r>
      <w:r>
        <w:rPr>
          <w:rFonts w:ascii="宋体" w:hAnsi="宋体" w:cs="宋体" w:eastAsia="宋体" w:hint="default"/>
          <w:sz w:val="21"/>
          <w:szCs w:val="21"/>
        </w:rPr>
        <w:t>564.2</w:t>
      </w:r>
      <w:r>
        <w:rPr>
          <w:rFonts w:ascii="宋体" w:hAnsi="宋体" w:cs="宋体" w:eastAsia="宋体" w:hint="default"/>
          <w:spacing w:val="-30"/>
          <w:sz w:val="21"/>
          <w:szCs w:val="21"/>
        </w:rPr>
        <w:t> </w:t>
      </w:r>
      <w:r>
        <w:rPr>
          <w:rFonts w:ascii="宋体" w:hAnsi="宋体" w:cs="宋体" w:eastAsia="宋体" w:hint="default"/>
          <w:sz w:val="21"/>
          <w:szCs w:val="21"/>
        </w:rPr>
        <w:t>亿元。截至</w:t>
      </w:r>
    </w:p>
    <w:p>
      <w:pPr>
        <w:spacing w:before="85"/>
        <w:ind w:left="138" w:right="0" w:firstLine="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6"/>
          <w:sz w:val="21"/>
          <w:szCs w:val="21"/>
        </w:rPr>
        <w:t> </w:t>
      </w:r>
      <w:r>
        <w:rPr>
          <w:rFonts w:ascii="宋体" w:hAnsi="宋体" w:cs="宋体" w:eastAsia="宋体" w:hint="default"/>
          <w:sz w:val="21"/>
          <w:szCs w:val="21"/>
        </w:rPr>
        <w:t>年底，公司资产负债率为</w:t>
      </w:r>
      <w:r>
        <w:rPr>
          <w:rFonts w:ascii="宋体" w:hAnsi="宋体" w:cs="宋体" w:eastAsia="宋体" w:hint="default"/>
          <w:spacing w:val="-54"/>
          <w:sz w:val="21"/>
          <w:szCs w:val="21"/>
        </w:rPr>
        <w:t> </w:t>
      </w:r>
      <w:r>
        <w:rPr>
          <w:rFonts w:ascii="宋体" w:hAnsi="宋体" w:cs="宋体" w:eastAsia="宋体" w:hint="default"/>
          <w:sz w:val="21"/>
          <w:szCs w:val="21"/>
        </w:rPr>
        <w:t>42.7%</w:t>
      </w:r>
      <w:r>
        <w:rPr>
          <w:rFonts w:ascii="宋体" w:hAnsi="宋体" w:cs="宋体" w:eastAsia="宋体" w:hint="default"/>
          <w:sz w:val="21"/>
          <w:szCs w:val="21"/>
        </w:rPr>
        <w:t>。</w:t>
      </w:r>
    </w:p>
    <w:p>
      <w:pPr>
        <w:spacing w:line="240" w:lineRule="auto" w:before="6"/>
        <w:rPr>
          <w:rFonts w:ascii="宋体" w:hAnsi="宋体" w:cs="宋体" w:eastAsia="宋体" w:hint="default"/>
          <w:sz w:val="18"/>
          <w:szCs w:val="18"/>
        </w:rPr>
      </w:pPr>
    </w:p>
    <w:p>
      <w:pPr>
        <w:spacing w:line="309" w:lineRule="auto" w:before="0"/>
        <w:ind w:left="138" w:right="99" w:firstLine="420"/>
        <w:jc w:val="both"/>
        <w:rPr>
          <w:rFonts w:ascii="宋体" w:hAnsi="宋体" w:cs="宋体" w:eastAsia="宋体" w:hint="default"/>
          <w:sz w:val="21"/>
          <w:szCs w:val="21"/>
        </w:rPr>
      </w:pPr>
      <w:r>
        <w:rPr>
          <w:rFonts w:ascii="宋体" w:hAnsi="宋体" w:cs="宋体" w:eastAsia="宋体" w:hint="default"/>
          <w:sz w:val="21"/>
          <w:szCs w:val="21"/>
        </w:rPr>
        <w:t>公司自</w:t>
      </w:r>
      <w:r>
        <w:rPr>
          <w:rFonts w:ascii="宋体" w:hAnsi="宋体" w:cs="宋体" w:eastAsia="宋体" w:hint="default"/>
          <w:spacing w:val="-54"/>
          <w:sz w:val="21"/>
          <w:szCs w:val="21"/>
        </w:rPr>
        <w:t> </w:t>
      </w: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日起执行《企业会计准则第</w:t>
      </w:r>
      <w:r>
        <w:rPr>
          <w:rFonts w:ascii="宋体" w:hAnsi="宋体" w:cs="宋体" w:eastAsia="宋体" w:hint="default"/>
          <w:spacing w:val="-54"/>
          <w:sz w:val="21"/>
          <w:szCs w:val="21"/>
        </w:rPr>
        <w:t> </w:t>
      </w:r>
      <w:r>
        <w:rPr>
          <w:rFonts w:ascii="宋体" w:hAnsi="宋体" w:cs="宋体" w:eastAsia="宋体" w:hint="default"/>
          <w:sz w:val="21"/>
          <w:szCs w:val="21"/>
        </w:rPr>
        <w:t>21</w:t>
      </w:r>
      <w:r>
        <w:rPr>
          <w:rFonts w:ascii="宋体" w:hAnsi="宋体" w:cs="宋体" w:eastAsia="宋体" w:hint="default"/>
          <w:spacing w:val="-56"/>
          <w:sz w:val="21"/>
          <w:szCs w:val="21"/>
        </w:rPr>
        <w:t> </w:t>
      </w:r>
      <w:r>
        <w:rPr>
          <w:rFonts w:ascii="宋体" w:hAnsi="宋体" w:cs="宋体" w:eastAsia="宋体" w:hint="default"/>
          <w:sz w:val="21"/>
          <w:szCs w:val="21"/>
        </w:rPr>
        <w:t>号——租赁</w:t>
      </w:r>
      <w:r>
        <w:rPr>
          <w:rFonts w:ascii="宋体" w:hAnsi="宋体" w:cs="宋体" w:eastAsia="宋体" w:hint="default"/>
          <w:spacing w:val="-3"/>
          <w:sz w:val="21"/>
          <w:szCs w:val="21"/>
        </w:rPr>
        <w:t> </w:t>
      </w:r>
      <w:r>
        <w:rPr>
          <w:rFonts w:ascii="宋体" w:hAnsi="宋体" w:cs="宋体" w:eastAsia="宋体" w:hint="default"/>
          <w:sz w:val="21"/>
          <w:szCs w:val="21"/>
        </w:rPr>
        <w:t>(</w:t>
      </w:r>
      <w:r>
        <w:rPr>
          <w:rFonts w:ascii="宋体" w:hAnsi="宋体" w:cs="宋体" w:eastAsia="宋体" w:hint="default"/>
          <w:sz w:val="21"/>
          <w:szCs w:val="21"/>
        </w:rPr>
        <w:t>修订</w:t>
      </w:r>
      <w:r>
        <w:rPr>
          <w:rFonts w:ascii="宋体" w:hAnsi="宋体" w:cs="宋体" w:eastAsia="宋体" w:hint="default"/>
          <w:sz w:val="21"/>
          <w:szCs w:val="21"/>
        </w:rPr>
        <w:t>)</w:t>
      </w:r>
      <w:r>
        <w:rPr>
          <w:rFonts w:ascii="宋体" w:hAnsi="宋体" w:cs="宋体" w:eastAsia="宋体" w:hint="default"/>
          <w:spacing w:val="-3"/>
          <w:sz w:val="21"/>
          <w:szCs w:val="21"/>
        </w:rPr>
        <w:t> </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“新租赁准则”</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w w:val="100"/>
          <w:sz w:val="21"/>
          <w:szCs w:val="21"/>
        </w:rPr>
        <w:t> </w:t>
      </w:r>
      <w:r>
        <w:rPr>
          <w:rFonts w:ascii="宋体" w:hAnsi="宋体" w:cs="宋体" w:eastAsia="宋体" w:hint="default"/>
          <w:spacing w:val="-3"/>
          <w:sz w:val="21"/>
          <w:szCs w:val="21"/>
        </w:rPr>
        <w:t>根据准则允许的简化处理方法，对所有适用的租赁确认租赁负债及相应的使用权资产，并确认租赁负</w:t>
      </w:r>
      <w:r>
        <w:rPr>
          <w:rFonts w:ascii="宋体" w:hAnsi="宋体" w:cs="宋体" w:eastAsia="宋体" w:hint="default"/>
          <w:spacing w:val="-12"/>
          <w:sz w:val="21"/>
          <w:szCs w:val="21"/>
        </w:rPr>
        <w:t> </w:t>
      </w:r>
      <w:r>
        <w:rPr>
          <w:rFonts w:ascii="宋体" w:hAnsi="宋体" w:cs="宋体" w:eastAsia="宋体" w:hint="default"/>
          <w:spacing w:val="-12"/>
          <w:sz w:val="21"/>
          <w:szCs w:val="21"/>
        </w:rPr>
      </w:r>
      <w:r>
        <w:rPr>
          <w:rFonts w:ascii="宋体" w:hAnsi="宋体" w:cs="宋体" w:eastAsia="宋体" w:hint="default"/>
          <w:spacing w:val="-2"/>
          <w:sz w:val="21"/>
          <w:szCs w:val="21"/>
        </w:rPr>
        <w:t>债未偿还余额所产生的利息费用以及使用权资产的折旧费用。公司选择采用修订追溯法执行该准则，</w:t>
      </w:r>
      <w:r>
        <w:rPr>
          <w:rFonts w:ascii="宋体" w:hAnsi="宋体" w:cs="宋体" w:eastAsia="宋体" w:hint="default"/>
          <w:spacing w:val="-24"/>
          <w:sz w:val="21"/>
          <w:szCs w:val="21"/>
        </w:rPr>
        <w:t> </w:t>
      </w:r>
      <w:r>
        <w:rPr>
          <w:rFonts w:ascii="宋体" w:hAnsi="宋体" w:cs="宋体" w:eastAsia="宋体" w:hint="default"/>
          <w:spacing w:val="-24"/>
          <w:sz w:val="21"/>
          <w:szCs w:val="21"/>
        </w:rPr>
      </w:r>
      <w:r>
        <w:rPr>
          <w:rFonts w:ascii="宋体" w:hAnsi="宋体" w:cs="宋体" w:eastAsia="宋体" w:hint="default"/>
          <w:spacing w:val="-2"/>
          <w:sz w:val="21"/>
          <w:szCs w:val="21"/>
        </w:rPr>
        <w:t>即对首次执行前年度</w:t>
      </w:r>
      <w:r>
        <w:rPr>
          <w:rFonts w:ascii="宋体" w:hAnsi="宋体" w:cs="宋体" w:eastAsia="宋体" w:hint="default"/>
          <w:spacing w:val="-2"/>
          <w:sz w:val="21"/>
          <w:szCs w:val="21"/>
        </w:rPr>
        <w:t>/</w:t>
      </w:r>
      <w:r>
        <w:rPr>
          <w:rFonts w:ascii="宋体" w:hAnsi="宋体" w:cs="宋体" w:eastAsia="宋体" w:hint="default"/>
          <w:spacing w:val="-2"/>
          <w:sz w:val="21"/>
          <w:szCs w:val="21"/>
        </w:rPr>
        <w:t>期间可比期间不予调整，同时将首次执行累积影响数确认为</w:t>
      </w:r>
      <w:r>
        <w:rPr>
          <w:rFonts w:ascii="宋体" w:hAnsi="宋体" w:cs="宋体" w:eastAsia="宋体" w:hint="default"/>
          <w:spacing w:val="-2"/>
          <w:sz w:val="22"/>
          <w:szCs w:val="22"/>
        </w:rPr>
        <w:t>首次执行新租赁准</w:t>
      </w:r>
      <w:r>
        <w:rPr>
          <w:rFonts w:ascii="宋体" w:hAnsi="宋体" w:cs="宋体" w:eastAsia="宋体" w:hint="default"/>
          <w:spacing w:val="-33"/>
          <w:sz w:val="22"/>
          <w:szCs w:val="22"/>
        </w:rPr>
        <w:t> </w:t>
      </w:r>
      <w:r>
        <w:rPr>
          <w:rFonts w:ascii="宋体" w:hAnsi="宋体" w:cs="宋体" w:eastAsia="宋体" w:hint="default"/>
          <w:spacing w:val="-33"/>
          <w:sz w:val="22"/>
          <w:szCs w:val="22"/>
        </w:rPr>
      </w:r>
      <w:r>
        <w:rPr>
          <w:rFonts w:ascii="宋体" w:hAnsi="宋体" w:cs="宋体" w:eastAsia="宋体" w:hint="default"/>
          <w:sz w:val="22"/>
          <w:szCs w:val="22"/>
        </w:rPr>
        <w:t>则当年年初留存收益及财务报表其他相关项目金额</w:t>
      </w:r>
      <w:r>
        <w:rPr>
          <w:rFonts w:ascii="宋体" w:hAnsi="宋体" w:cs="宋体" w:eastAsia="宋体" w:hint="default"/>
          <w:sz w:val="21"/>
          <w:szCs w:val="21"/>
        </w:rPr>
        <w:t>。因此，执行新租赁准则导致 </w:t>
      </w:r>
      <w:r>
        <w:rPr>
          <w:rFonts w:ascii="宋体" w:hAnsi="宋体" w:cs="宋体" w:eastAsia="宋体" w:hint="default"/>
          <w:sz w:val="21"/>
          <w:szCs w:val="21"/>
        </w:rPr>
        <w:t>2019</w:t>
      </w:r>
      <w:r>
        <w:rPr>
          <w:rFonts w:ascii="宋体" w:hAnsi="宋体" w:cs="宋体" w:eastAsia="宋体" w:hint="default"/>
          <w:spacing w:val="-41"/>
          <w:sz w:val="21"/>
          <w:szCs w:val="21"/>
        </w:rPr>
        <w:t> </w:t>
      </w:r>
      <w:r>
        <w:rPr>
          <w:rFonts w:ascii="宋体" w:hAnsi="宋体" w:cs="宋体" w:eastAsia="宋体" w:hint="default"/>
          <w:sz w:val="21"/>
          <w:szCs w:val="21"/>
        </w:rPr>
        <w:t>年折旧及摊</w:t>
      </w:r>
      <w:r>
        <w:rPr>
          <w:rFonts w:ascii="宋体" w:hAnsi="宋体" w:cs="宋体" w:eastAsia="宋体" w:hint="default"/>
          <w:w w:val="100"/>
          <w:sz w:val="21"/>
          <w:szCs w:val="21"/>
        </w:rPr>
        <w:t> </w:t>
      </w:r>
      <w:r>
        <w:rPr>
          <w:rFonts w:ascii="宋体" w:hAnsi="宋体" w:cs="宋体" w:eastAsia="宋体" w:hint="default"/>
          <w:sz w:val="21"/>
          <w:szCs w:val="21"/>
        </w:rPr>
        <w:t>销和财务费用有所增加，但同时网络运行及支撑成本中的租赁费用相应有所下降。</w:t>
      </w:r>
    </w:p>
    <w:p>
      <w:pPr>
        <w:spacing w:before="113"/>
        <w:ind w:left="561"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05"/>
          <w:sz w:val="21"/>
          <w:szCs w:val="21"/>
        </w:rPr>
        <w:t>2.</w:t>
      </w:r>
      <w:r>
        <w:rPr>
          <w:rFonts w:ascii="Microsoft JhengHei" w:hAnsi="Microsoft JhengHei" w:cs="Microsoft JhengHei" w:eastAsia="Microsoft JhengHei" w:hint="default"/>
          <w:b/>
          <w:bCs/>
          <w:w w:val="105"/>
          <w:sz w:val="21"/>
          <w:szCs w:val="21"/>
        </w:rPr>
        <w:t>营业收入</w:t>
      </w:r>
      <w:r>
        <w:rPr>
          <w:rFonts w:ascii="Microsoft JhengHei" w:hAnsi="Microsoft JhengHei" w:cs="Microsoft JhengHei" w:eastAsia="Microsoft JhengHei" w:hint="default"/>
          <w:w w:val="105"/>
          <w:sz w:val="21"/>
          <w:szCs w:val="21"/>
        </w:rPr>
      </w:r>
    </w:p>
    <w:p>
      <w:pPr>
        <w:spacing w:line="240" w:lineRule="auto" w:before="8"/>
        <w:rPr>
          <w:rFonts w:ascii="Microsoft JhengHei" w:hAnsi="Microsoft JhengHei" w:cs="Microsoft JhengHei" w:eastAsia="Microsoft JhengHei" w:hint="default"/>
          <w:b/>
          <w:bCs/>
          <w:sz w:val="12"/>
          <w:szCs w:val="12"/>
        </w:rPr>
      </w:pPr>
    </w:p>
    <w:p>
      <w:pPr>
        <w:spacing w:before="0"/>
        <w:ind w:left="510" w:right="0" w:firstLine="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22"/>
          <w:sz w:val="21"/>
          <w:szCs w:val="21"/>
        </w:rPr>
        <w:t> </w:t>
      </w:r>
      <w:r>
        <w:rPr>
          <w:rFonts w:ascii="宋体" w:hAnsi="宋体" w:cs="宋体" w:eastAsia="宋体" w:hint="default"/>
          <w:sz w:val="21"/>
          <w:szCs w:val="21"/>
        </w:rPr>
        <w:t>年公司营业收入实现人民币</w:t>
      </w:r>
      <w:r>
        <w:rPr>
          <w:rFonts w:ascii="宋体" w:hAnsi="宋体" w:cs="宋体" w:eastAsia="宋体" w:hint="default"/>
          <w:spacing w:val="-25"/>
          <w:sz w:val="21"/>
          <w:szCs w:val="21"/>
        </w:rPr>
        <w:t> </w:t>
      </w:r>
      <w:r>
        <w:rPr>
          <w:rFonts w:ascii="宋体" w:hAnsi="宋体" w:cs="宋体" w:eastAsia="宋体" w:hint="default"/>
          <w:sz w:val="21"/>
          <w:szCs w:val="21"/>
        </w:rPr>
        <w:t>2,905.1</w:t>
      </w:r>
      <w:r>
        <w:rPr>
          <w:rFonts w:ascii="宋体" w:hAnsi="宋体" w:cs="宋体" w:eastAsia="宋体" w:hint="default"/>
          <w:spacing w:val="-22"/>
          <w:sz w:val="21"/>
          <w:szCs w:val="21"/>
        </w:rPr>
        <w:t> </w:t>
      </w:r>
      <w:r>
        <w:rPr>
          <w:rFonts w:ascii="宋体" w:hAnsi="宋体" w:cs="宋体" w:eastAsia="宋体" w:hint="default"/>
          <w:sz w:val="21"/>
          <w:szCs w:val="21"/>
        </w:rPr>
        <w:t>亿元，同比下降</w:t>
      </w:r>
      <w:r>
        <w:rPr>
          <w:rFonts w:ascii="宋体" w:hAnsi="宋体" w:cs="宋体" w:eastAsia="宋体" w:hint="default"/>
          <w:spacing w:val="-25"/>
          <w:sz w:val="21"/>
          <w:szCs w:val="21"/>
        </w:rPr>
        <w:t> </w:t>
      </w:r>
      <w:r>
        <w:rPr>
          <w:rFonts w:ascii="宋体" w:hAnsi="宋体" w:cs="宋体" w:eastAsia="宋体" w:hint="default"/>
          <w:sz w:val="21"/>
          <w:szCs w:val="21"/>
        </w:rPr>
        <w:t>0.1%</w:t>
      </w:r>
      <w:r>
        <w:rPr>
          <w:rFonts w:ascii="宋体" w:hAnsi="宋体" w:cs="宋体" w:eastAsia="宋体" w:hint="default"/>
          <w:sz w:val="21"/>
          <w:szCs w:val="21"/>
        </w:rPr>
        <w:t>，其中，主营业务收入为人民币</w:t>
      </w:r>
    </w:p>
    <w:p>
      <w:pPr>
        <w:spacing w:before="85"/>
        <w:ind w:left="138" w:right="0" w:firstLine="0"/>
        <w:jc w:val="left"/>
        <w:rPr>
          <w:rFonts w:ascii="宋体" w:hAnsi="宋体" w:cs="宋体" w:eastAsia="宋体" w:hint="default"/>
          <w:sz w:val="21"/>
          <w:szCs w:val="21"/>
        </w:rPr>
      </w:pPr>
      <w:r>
        <w:rPr>
          <w:rFonts w:ascii="宋体" w:hAnsi="宋体" w:cs="宋体" w:eastAsia="宋体" w:hint="default"/>
          <w:sz w:val="21"/>
          <w:szCs w:val="21"/>
        </w:rPr>
        <w:t>2,643.9</w:t>
      </w:r>
      <w:r>
        <w:rPr>
          <w:rFonts w:ascii="宋体" w:hAnsi="宋体" w:cs="宋体" w:eastAsia="宋体" w:hint="default"/>
          <w:spacing w:val="-55"/>
          <w:sz w:val="21"/>
          <w:szCs w:val="21"/>
        </w:rPr>
        <w:t> </w:t>
      </w:r>
      <w:r>
        <w:rPr>
          <w:rFonts w:ascii="宋体" w:hAnsi="宋体" w:cs="宋体" w:eastAsia="宋体" w:hint="default"/>
          <w:sz w:val="21"/>
          <w:szCs w:val="21"/>
        </w:rPr>
        <w:t>亿元，同比增长</w:t>
      </w:r>
      <w:r>
        <w:rPr>
          <w:rFonts w:ascii="宋体" w:hAnsi="宋体" w:cs="宋体" w:eastAsia="宋体" w:hint="default"/>
          <w:spacing w:val="-57"/>
          <w:sz w:val="21"/>
          <w:szCs w:val="21"/>
        </w:rPr>
        <w:t> </w:t>
      </w:r>
      <w:r>
        <w:rPr>
          <w:rFonts w:ascii="宋体" w:hAnsi="宋体" w:cs="宋体" w:eastAsia="宋体" w:hint="default"/>
          <w:sz w:val="21"/>
          <w:szCs w:val="21"/>
        </w:rPr>
        <w:t>0.3%</w:t>
      </w:r>
      <w:r>
        <w:rPr>
          <w:rFonts w:ascii="宋体" w:hAnsi="宋体" w:cs="宋体" w:eastAsia="宋体" w:hint="default"/>
          <w:sz w:val="21"/>
          <w:szCs w:val="21"/>
        </w:rPr>
        <w:t>，收入结构不断优化。</w:t>
      </w:r>
    </w:p>
    <w:p>
      <w:pPr>
        <w:spacing w:line="240" w:lineRule="auto" w:before="6"/>
        <w:rPr>
          <w:rFonts w:ascii="宋体" w:hAnsi="宋体" w:cs="宋体" w:eastAsia="宋体" w:hint="default"/>
          <w:sz w:val="18"/>
          <w:szCs w:val="18"/>
        </w:rPr>
      </w:pPr>
    </w:p>
    <w:p>
      <w:pPr>
        <w:spacing w:line="314" w:lineRule="auto" w:before="0"/>
        <w:ind w:left="138" w:right="125" w:firstLine="372"/>
        <w:jc w:val="both"/>
        <w:rPr>
          <w:rFonts w:ascii="宋体" w:hAnsi="宋体" w:cs="宋体" w:eastAsia="宋体" w:hint="default"/>
          <w:sz w:val="21"/>
          <w:szCs w:val="21"/>
        </w:rPr>
      </w:pPr>
      <w:r>
        <w:rPr>
          <w:rFonts w:ascii="宋体" w:hAnsi="宋体" w:cs="宋体" w:eastAsia="宋体" w:hint="default"/>
          <w:sz w:val="21"/>
          <w:szCs w:val="21"/>
        </w:rPr>
        <w:t>下表反映了公司</w:t>
      </w:r>
      <w:r>
        <w:rPr>
          <w:rFonts w:ascii="宋体" w:hAnsi="宋体" w:cs="宋体" w:eastAsia="宋体" w:hint="default"/>
          <w:spacing w:val="-50"/>
          <w:sz w:val="21"/>
          <w:szCs w:val="21"/>
        </w:rPr>
        <w:t> </w:t>
      </w:r>
      <w:r>
        <w:rPr>
          <w:rFonts w:ascii="宋体" w:hAnsi="宋体" w:cs="宋体" w:eastAsia="宋体" w:hint="default"/>
          <w:sz w:val="21"/>
          <w:szCs w:val="21"/>
        </w:rPr>
        <w:t>2019</w:t>
      </w:r>
      <w:r>
        <w:rPr>
          <w:rFonts w:ascii="宋体" w:hAnsi="宋体" w:cs="宋体" w:eastAsia="宋体" w:hint="default"/>
          <w:spacing w:val="-50"/>
          <w:sz w:val="21"/>
          <w:szCs w:val="21"/>
        </w:rPr>
        <w:t> </w:t>
      </w:r>
      <w:r>
        <w:rPr>
          <w:rFonts w:ascii="宋体" w:hAnsi="宋体" w:cs="宋体" w:eastAsia="宋体" w:hint="default"/>
          <w:sz w:val="21"/>
          <w:szCs w:val="21"/>
        </w:rPr>
        <w:t>年和</w:t>
      </w:r>
      <w:r>
        <w:rPr>
          <w:rFonts w:ascii="宋体" w:hAnsi="宋体" w:cs="宋体" w:eastAsia="宋体" w:hint="default"/>
          <w:spacing w:val="-48"/>
          <w:sz w:val="21"/>
          <w:szCs w:val="21"/>
        </w:rPr>
        <w:t> </w:t>
      </w:r>
      <w:r>
        <w:rPr>
          <w:rFonts w:ascii="宋体" w:hAnsi="宋体" w:cs="宋体" w:eastAsia="宋体" w:hint="default"/>
          <w:sz w:val="21"/>
          <w:szCs w:val="21"/>
        </w:rPr>
        <w:t>2018</w:t>
      </w:r>
      <w:r>
        <w:rPr>
          <w:rFonts w:ascii="宋体" w:hAnsi="宋体" w:cs="宋体" w:eastAsia="宋体" w:hint="default"/>
          <w:spacing w:val="-50"/>
          <w:sz w:val="21"/>
          <w:szCs w:val="21"/>
        </w:rPr>
        <w:t> </w:t>
      </w:r>
      <w:r>
        <w:rPr>
          <w:rFonts w:ascii="宋体" w:hAnsi="宋体" w:cs="宋体" w:eastAsia="宋体" w:hint="default"/>
          <w:sz w:val="21"/>
          <w:szCs w:val="21"/>
        </w:rPr>
        <w:t>年主营业务收入构成的变化情况及各业务主营业务收入所占主营</w:t>
      </w:r>
      <w:r>
        <w:rPr>
          <w:rFonts w:ascii="宋体" w:hAnsi="宋体" w:cs="宋体" w:eastAsia="宋体" w:hint="default"/>
          <w:w w:val="100"/>
          <w:sz w:val="21"/>
          <w:szCs w:val="21"/>
        </w:rPr>
        <w:t> </w:t>
      </w:r>
      <w:r>
        <w:rPr>
          <w:rFonts w:ascii="宋体" w:hAnsi="宋体" w:cs="宋体" w:eastAsia="宋体" w:hint="default"/>
          <w:sz w:val="21"/>
          <w:szCs w:val="21"/>
        </w:rPr>
        <w:t>业务收入百分比情况：</w:t>
      </w:r>
    </w:p>
    <w:p>
      <w:pPr>
        <w:spacing w:line="240" w:lineRule="auto" w:before="3"/>
        <w:rPr>
          <w:rFonts w:ascii="宋体" w:hAnsi="宋体" w:cs="宋体" w:eastAsia="宋体" w:hint="default"/>
          <w:sz w:val="10"/>
          <w:szCs w:val="10"/>
        </w:rPr>
      </w:pPr>
    </w:p>
    <w:tbl>
      <w:tblPr>
        <w:tblW w:w="0" w:type="auto"/>
        <w:jc w:val="left"/>
        <w:tblInd w:w="407" w:type="dxa"/>
        <w:tblLayout w:type="fixed"/>
        <w:tblCellMar>
          <w:top w:w="0" w:type="dxa"/>
          <w:left w:w="0" w:type="dxa"/>
          <w:bottom w:w="0" w:type="dxa"/>
          <w:right w:w="0" w:type="dxa"/>
        </w:tblCellMar>
        <w:tblLook w:val="01E0"/>
      </w:tblPr>
      <w:tblGrid>
        <w:gridCol w:w="3075"/>
        <w:gridCol w:w="1358"/>
        <w:gridCol w:w="1320"/>
        <w:gridCol w:w="1358"/>
        <w:gridCol w:w="1321"/>
      </w:tblGrid>
      <w:tr>
        <w:trPr>
          <w:trHeight w:val="343" w:hRule="exact"/>
        </w:trPr>
        <w:tc>
          <w:tcPr>
            <w:tcW w:w="3075" w:type="dxa"/>
            <w:vMerge w:val="restart"/>
            <w:tcBorders>
              <w:top w:val="single" w:sz="17"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494" w:right="0"/>
              <w:jc w:val="left"/>
              <w:rPr>
                <w:rFonts w:ascii="宋体" w:hAnsi="宋体" w:cs="宋体" w:eastAsia="宋体" w:hint="default"/>
                <w:sz w:val="21"/>
                <w:szCs w:val="21"/>
              </w:rPr>
            </w:pPr>
            <w:r>
              <w:rPr>
                <w:rFonts w:ascii="宋体" w:hAnsi="宋体" w:cs="宋体" w:eastAsia="宋体" w:hint="default"/>
                <w:sz w:val="21"/>
                <w:szCs w:val="21"/>
              </w:rPr>
              <w:t>（单位：人民币亿元）</w:t>
            </w:r>
          </w:p>
        </w:tc>
        <w:tc>
          <w:tcPr>
            <w:tcW w:w="2679" w:type="dxa"/>
            <w:gridSpan w:val="2"/>
            <w:tcBorders>
              <w:top w:val="single" w:sz="17" w:space="0" w:color="000000"/>
              <w:left w:val="single" w:sz="4" w:space="0" w:color="000000"/>
              <w:bottom w:val="single" w:sz="4" w:space="0" w:color="000000"/>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679" w:type="dxa"/>
            <w:gridSpan w:val="2"/>
            <w:tcBorders>
              <w:top w:val="single" w:sz="17" w:space="0" w:color="000000"/>
              <w:left w:val="single" w:sz="4" w:space="0" w:color="000000"/>
              <w:bottom w:val="single" w:sz="4" w:space="0" w:color="000000"/>
              <w:right w:val="nil" w:sz="6" w:space="0" w:color="auto"/>
            </w:tcBorders>
          </w:tcPr>
          <w:p>
            <w:pPr>
              <w:pStyle w:val="TableParagraph"/>
              <w:spacing w:line="267" w:lineRule="exact"/>
              <w:ind w:right="0"/>
              <w:jc w:val="center"/>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1"/>
                <w:sz w:val="21"/>
                <w:szCs w:val="21"/>
              </w:rPr>
              <w:t> </w:t>
            </w:r>
            <w:r>
              <w:rPr>
                <w:rFonts w:ascii="宋体" w:hAnsi="宋体" w:cs="宋体" w:eastAsia="宋体" w:hint="default"/>
                <w:sz w:val="21"/>
                <w:szCs w:val="21"/>
              </w:rPr>
              <w:t>年</w:t>
            </w:r>
          </w:p>
        </w:tc>
      </w:tr>
      <w:tr>
        <w:trPr>
          <w:trHeight w:val="949" w:hRule="exact"/>
        </w:trPr>
        <w:tc>
          <w:tcPr>
            <w:tcW w:w="3075" w:type="dxa"/>
            <w:vMerge/>
            <w:tcBorders>
              <w:left w:val="nil" w:sz="6" w:space="0" w:color="auto"/>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244" w:right="0"/>
              <w:jc w:val="left"/>
              <w:rPr>
                <w:rFonts w:ascii="宋体" w:hAnsi="宋体" w:cs="宋体" w:eastAsia="宋体" w:hint="default"/>
                <w:sz w:val="21"/>
                <w:szCs w:val="21"/>
              </w:rPr>
            </w:pPr>
            <w:r>
              <w:rPr>
                <w:rFonts w:ascii="宋体" w:hAnsi="宋体" w:cs="宋体" w:eastAsia="宋体" w:hint="default"/>
                <w:sz w:val="21"/>
                <w:szCs w:val="21"/>
              </w:rPr>
              <w:t>累计完成</w:t>
            </w:r>
          </w:p>
        </w:tc>
        <w:tc>
          <w:tcPr>
            <w:tcW w:w="1320" w:type="dxa"/>
            <w:tcBorders>
              <w:top w:val="single" w:sz="4" w:space="0" w:color="000000"/>
              <w:left w:val="nil" w:sz="6" w:space="0" w:color="auto"/>
              <w:bottom w:val="single" w:sz="4" w:space="0" w:color="000000"/>
              <w:right w:val="single" w:sz="4" w:space="0" w:color="000000"/>
            </w:tcBorders>
          </w:tcPr>
          <w:p>
            <w:pPr>
              <w:pStyle w:val="TableParagraph"/>
              <w:spacing w:line="273" w:lineRule="auto"/>
              <w:ind w:left="124" w:right="135"/>
              <w:jc w:val="center"/>
              <w:rPr>
                <w:rFonts w:ascii="宋体" w:hAnsi="宋体" w:cs="宋体" w:eastAsia="宋体" w:hint="default"/>
                <w:sz w:val="21"/>
                <w:szCs w:val="21"/>
              </w:rPr>
            </w:pPr>
            <w:r>
              <w:rPr>
                <w:rFonts w:ascii="宋体" w:hAnsi="宋体" w:cs="宋体" w:eastAsia="宋体" w:hint="default"/>
                <w:spacing w:val="-1"/>
                <w:sz w:val="21"/>
                <w:szCs w:val="21"/>
              </w:rPr>
              <w:t>所占主营业</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1"/>
                <w:sz w:val="21"/>
                <w:szCs w:val="21"/>
              </w:rPr>
              <w:t>务收入百分</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比</w:t>
            </w:r>
          </w:p>
        </w:tc>
        <w:tc>
          <w:tcPr>
            <w:tcW w:w="135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244" w:right="0"/>
              <w:jc w:val="left"/>
              <w:rPr>
                <w:rFonts w:ascii="宋体" w:hAnsi="宋体" w:cs="宋体" w:eastAsia="宋体" w:hint="default"/>
                <w:sz w:val="21"/>
                <w:szCs w:val="21"/>
              </w:rPr>
            </w:pPr>
            <w:r>
              <w:rPr>
                <w:rFonts w:ascii="宋体" w:hAnsi="宋体" w:cs="宋体" w:eastAsia="宋体" w:hint="default"/>
                <w:sz w:val="21"/>
                <w:szCs w:val="21"/>
              </w:rPr>
              <w:t>累计完成</w:t>
            </w:r>
          </w:p>
        </w:tc>
        <w:tc>
          <w:tcPr>
            <w:tcW w:w="1321" w:type="dxa"/>
            <w:tcBorders>
              <w:top w:val="single" w:sz="4" w:space="0" w:color="000000"/>
              <w:left w:val="nil" w:sz="6" w:space="0" w:color="auto"/>
              <w:bottom w:val="single" w:sz="4" w:space="0" w:color="000000"/>
              <w:right w:val="nil" w:sz="6" w:space="0" w:color="auto"/>
            </w:tcBorders>
          </w:tcPr>
          <w:p>
            <w:pPr>
              <w:pStyle w:val="TableParagraph"/>
              <w:spacing w:line="273" w:lineRule="auto"/>
              <w:ind w:left="123" w:right="141"/>
              <w:jc w:val="center"/>
              <w:rPr>
                <w:rFonts w:ascii="宋体" w:hAnsi="宋体" w:cs="宋体" w:eastAsia="宋体" w:hint="default"/>
                <w:sz w:val="21"/>
                <w:szCs w:val="21"/>
              </w:rPr>
            </w:pPr>
            <w:r>
              <w:rPr>
                <w:rFonts w:ascii="宋体" w:hAnsi="宋体" w:cs="宋体" w:eastAsia="宋体" w:hint="default"/>
                <w:spacing w:val="-1"/>
                <w:sz w:val="21"/>
                <w:szCs w:val="21"/>
              </w:rPr>
              <w:t>所占主营业</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务收入百分</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比</w:t>
            </w:r>
          </w:p>
        </w:tc>
      </w:tr>
      <w:tr>
        <w:trPr>
          <w:trHeight w:val="318" w:hRule="exact"/>
        </w:trPr>
        <w:tc>
          <w:tcPr>
            <w:tcW w:w="3075" w:type="dxa"/>
            <w:tcBorders>
              <w:top w:val="single" w:sz="4" w:space="0" w:color="000000"/>
              <w:left w:val="nil" w:sz="6" w:space="0" w:color="auto"/>
              <w:bottom w:val="nil" w:sz="6" w:space="0" w:color="auto"/>
              <w:right w:val="single" w:sz="4" w:space="0" w:color="000000"/>
            </w:tcBorders>
          </w:tcPr>
          <w:p>
            <w:pPr>
              <w:pStyle w:val="TableParagraph"/>
              <w:spacing w:line="286" w:lineRule="exact"/>
              <w:ind w:left="122"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主营业务收入</w:t>
            </w:r>
            <w:r>
              <w:rPr>
                <w:rFonts w:ascii="Microsoft JhengHei" w:hAnsi="Microsoft JhengHei" w:cs="Microsoft JhengHei" w:eastAsia="Microsoft JhengHei" w:hint="default"/>
                <w:sz w:val="21"/>
                <w:szCs w:val="21"/>
              </w:rPr>
            </w:r>
          </w:p>
        </w:tc>
        <w:tc>
          <w:tcPr>
            <w:tcW w:w="1358" w:type="dxa"/>
            <w:tcBorders>
              <w:top w:val="single" w:sz="4" w:space="0" w:color="000000"/>
              <w:left w:val="single" w:sz="4" w:space="0" w:color="000000"/>
              <w:bottom w:val="nil" w:sz="6" w:space="0" w:color="auto"/>
              <w:right w:val="nil" w:sz="6" w:space="0" w:color="auto"/>
            </w:tcBorders>
          </w:tcPr>
          <w:p>
            <w:pPr>
              <w:pStyle w:val="TableParagraph"/>
              <w:spacing w:line="262" w:lineRule="exact"/>
              <w:ind w:right="122"/>
              <w:jc w:val="right"/>
              <w:rPr>
                <w:rFonts w:ascii="宋体" w:hAnsi="宋体" w:cs="宋体" w:eastAsia="宋体" w:hint="default"/>
                <w:sz w:val="21"/>
                <w:szCs w:val="21"/>
              </w:rPr>
            </w:pPr>
            <w:r>
              <w:rPr>
                <w:rFonts w:ascii="宋体"/>
                <w:spacing w:val="-1"/>
                <w:sz w:val="21"/>
              </w:rPr>
              <w:t>2,643.9</w:t>
            </w:r>
          </w:p>
        </w:tc>
        <w:tc>
          <w:tcPr>
            <w:tcW w:w="1320" w:type="dxa"/>
            <w:tcBorders>
              <w:top w:val="single" w:sz="4" w:space="0" w:color="000000"/>
              <w:left w:val="nil" w:sz="6" w:space="0" w:color="auto"/>
              <w:bottom w:val="nil" w:sz="6" w:space="0" w:color="auto"/>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100.00%</w:t>
            </w:r>
          </w:p>
        </w:tc>
        <w:tc>
          <w:tcPr>
            <w:tcW w:w="1358" w:type="dxa"/>
            <w:tcBorders>
              <w:top w:val="single" w:sz="4" w:space="0" w:color="000000"/>
              <w:left w:val="single" w:sz="4" w:space="0" w:color="000000"/>
              <w:bottom w:val="nil" w:sz="6" w:space="0" w:color="auto"/>
              <w:right w:val="nil" w:sz="6" w:space="0" w:color="auto"/>
            </w:tcBorders>
          </w:tcPr>
          <w:p>
            <w:pPr>
              <w:pStyle w:val="TableParagraph"/>
              <w:spacing w:line="262" w:lineRule="exact"/>
              <w:ind w:right="121"/>
              <w:jc w:val="right"/>
              <w:rPr>
                <w:rFonts w:ascii="宋体" w:hAnsi="宋体" w:cs="宋体" w:eastAsia="宋体" w:hint="default"/>
                <w:sz w:val="21"/>
                <w:szCs w:val="21"/>
              </w:rPr>
            </w:pPr>
            <w:r>
              <w:rPr>
                <w:rFonts w:ascii="宋体"/>
                <w:spacing w:val="-1"/>
                <w:sz w:val="21"/>
              </w:rPr>
              <w:t>2,636.8</w:t>
            </w:r>
          </w:p>
        </w:tc>
        <w:tc>
          <w:tcPr>
            <w:tcW w:w="1321" w:type="dxa"/>
            <w:tcBorders>
              <w:top w:val="single" w:sz="4" w:space="0" w:color="000000"/>
              <w:left w:val="nil" w:sz="6" w:space="0" w:color="auto"/>
              <w:bottom w:val="nil" w:sz="6" w:space="0" w:color="auto"/>
              <w:right w:val="nil" w:sz="6" w:space="0" w:color="auto"/>
            </w:tcBorders>
          </w:tcPr>
          <w:p>
            <w:pPr>
              <w:pStyle w:val="TableParagraph"/>
              <w:spacing w:line="262" w:lineRule="exact"/>
              <w:ind w:right="107"/>
              <w:jc w:val="right"/>
              <w:rPr>
                <w:rFonts w:ascii="宋体" w:hAnsi="宋体" w:cs="宋体" w:eastAsia="宋体" w:hint="default"/>
                <w:sz w:val="21"/>
                <w:szCs w:val="21"/>
              </w:rPr>
            </w:pPr>
            <w:r>
              <w:rPr>
                <w:rFonts w:ascii="宋体"/>
                <w:spacing w:val="-1"/>
                <w:sz w:val="21"/>
              </w:rPr>
              <w:t>100.00%</w:t>
            </w:r>
          </w:p>
        </w:tc>
      </w:tr>
      <w:tr>
        <w:trPr>
          <w:trHeight w:val="312" w:hRule="exact"/>
        </w:trPr>
        <w:tc>
          <w:tcPr>
            <w:tcW w:w="3075" w:type="dxa"/>
            <w:tcBorders>
              <w:top w:val="nil" w:sz="6" w:space="0" w:color="auto"/>
              <w:left w:val="nil" w:sz="6" w:space="0" w:color="auto"/>
              <w:bottom w:val="nil" w:sz="6" w:space="0" w:color="auto"/>
              <w:right w:val="single" w:sz="4" w:space="0" w:color="000000"/>
            </w:tcBorders>
          </w:tcPr>
          <w:p>
            <w:pPr>
              <w:pStyle w:val="TableParagraph"/>
              <w:spacing w:line="285" w:lineRule="exact"/>
              <w:ind w:left="333"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其中：语音业务</w:t>
            </w:r>
            <w:r>
              <w:rPr>
                <w:rFonts w:ascii="Microsoft JhengHei" w:hAnsi="Microsoft JhengHei" w:cs="Microsoft JhengHei" w:eastAsia="Microsoft JhengHei" w:hint="default"/>
                <w:sz w:val="21"/>
                <w:szCs w:val="21"/>
              </w:rPr>
            </w:r>
          </w:p>
        </w:tc>
        <w:tc>
          <w:tcPr>
            <w:tcW w:w="1358" w:type="dxa"/>
            <w:tcBorders>
              <w:top w:val="nil" w:sz="6" w:space="0" w:color="auto"/>
              <w:left w:val="single" w:sz="4" w:space="0" w:color="000000"/>
              <w:bottom w:val="nil" w:sz="6" w:space="0" w:color="auto"/>
              <w:right w:val="nil" w:sz="6" w:space="0" w:color="auto"/>
            </w:tcBorders>
          </w:tcPr>
          <w:p>
            <w:pPr>
              <w:pStyle w:val="TableParagraph"/>
              <w:spacing w:line="261" w:lineRule="exact"/>
              <w:ind w:right="122"/>
              <w:jc w:val="right"/>
              <w:rPr>
                <w:rFonts w:ascii="宋体" w:hAnsi="宋体" w:cs="宋体" w:eastAsia="宋体" w:hint="default"/>
                <w:sz w:val="21"/>
                <w:szCs w:val="21"/>
              </w:rPr>
            </w:pPr>
            <w:r>
              <w:rPr>
                <w:rFonts w:ascii="宋体"/>
                <w:sz w:val="21"/>
              </w:rPr>
              <w:t>394.8</w:t>
            </w:r>
          </w:p>
        </w:tc>
        <w:tc>
          <w:tcPr>
            <w:tcW w:w="1320" w:type="dxa"/>
            <w:tcBorders>
              <w:top w:val="nil" w:sz="6" w:space="0" w:color="auto"/>
              <w:left w:val="nil" w:sz="6" w:space="0" w:color="auto"/>
              <w:bottom w:val="nil" w:sz="6" w:space="0" w:color="auto"/>
              <w:right w:val="single" w:sz="4" w:space="0" w:color="000000"/>
            </w:tcBorders>
          </w:tcPr>
          <w:p>
            <w:pPr>
              <w:pStyle w:val="TableParagraph"/>
              <w:spacing w:line="261" w:lineRule="exact"/>
              <w:ind w:right="98"/>
              <w:jc w:val="right"/>
              <w:rPr>
                <w:rFonts w:ascii="宋体" w:hAnsi="宋体" w:cs="宋体" w:eastAsia="宋体" w:hint="default"/>
                <w:sz w:val="21"/>
                <w:szCs w:val="21"/>
              </w:rPr>
            </w:pPr>
            <w:r>
              <w:rPr>
                <w:rFonts w:ascii="宋体"/>
                <w:sz w:val="21"/>
              </w:rPr>
              <w:t>14.93%</w:t>
            </w:r>
          </w:p>
        </w:tc>
        <w:tc>
          <w:tcPr>
            <w:tcW w:w="1358" w:type="dxa"/>
            <w:tcBorders>
              <w:top w:val="nil" w:sz="6" w:space="0" w:color="auto"/>
              <w:left w:val="single" w:sz="4" w:space="0" w:color="000000"/>
              <w:bottom w:val="nil" w:sz="6" w:space="0" w:color="auto"/>
              <w:right w:val="nil" w:sz="6" w:space="0" w:color="auto"/>
            </w:tcBorders>
          </w:tcPr>
          <w:p>
            <w:pPr>
              <w:pStyle w:val="TableParagraph"/>
              <w:spacing w:line="261" w:lineRule="exact"/>
              <w:ind w:right="121"/>
              <w:jc w:val="right"/>
              <w:rPr>
                <w:rFonts w:ascii="宋体" w:hAnsi="宋体" w:cs="宋体" w:eastAsia="宋体" w:hint="default"/>
                <w:sz w:val="21"/>
                <w:szCs w:val="21"/>
              </w:rPr>
            </w:pPr>
            <w:r>
              <w:rPr>
                <w:rFonts w:ascii="宋体"/>
                <w:sz w:val="21"/>
              </w:rPr>
              <w:t>460.6</w:t>
            </w:r>
          </w:p>
        </w:tc>
        <w:tc>
          <w:tcPr>
            <w:tcW w:w="1321" w:type="dxa"/>
            <w:tcBorders>
              <w:top w:val="nil" w:sz="6" w:space="0" w:color="auto"/>
              <w:left w:val="nil" w:sz="6" w:space="0" w:color="auto"/>
              <w:bottom w:val="nil" w:sz="6" w:space="0" w:color="auto"/>
              <w:right w:val="nil" w:sz="6" w:space="0" w:color="auto"/>
            </w:tcBorders>
          </w:tcPr>
          <w:p>
            <w:pPr>
              <w:pStyle w:val="TableParagraph"/>
              <w:spacing w:line="261" w:lineRule="exact"/>
              <w:ind w:right="107"/>
              <w:jc w:val="right"/>
              <w:rPr>
                <w:rFonts w:ascii="宋体" w:hAnsi="宋体" w:cs="宋体" w:eastAsia="宋体" w:hint="default"/>
                <w:sz w:val="21"/>
                <w:szCs w:val="21"/>
              </w:rPr>
            </w:pPr>
            <w:r>
              <w:rPr>
                <w:rFonts w:ascii="宋体"/>
                <w:sz w:val="21"/>
              </w:rPr>
              <w:t>17.47%</w:t>
            </w:r>
          </w:p>
        </w:tc>
      </w:tr>
      <w:tr>
        <w:trPr>
          <w:trHeight w:val="325" w:hRule="exact"/>
        </w:trPr>
        <w:tc>
          <w:tcPr>
            <w:tcW w:w="3075" w:type="dxa"/>
            <w:tcBorders>
              <w:top w:val="nil" w:sz="6" w:space="0" w:color="auto"/>
              <w:left w:val="nil" w:sz="6" w:space="0" w:color="auto"/>
              <w:bottom w:val="single" w:sz="12" w:space="0" w:color="000000"/>
              <w:right w:val="single" w:sz="4" w:space="0" w:color="000000"/>
            </w:tcBorders>
          </w:tcPr>
          <w:p>
            <w:pPr>
              <w:pStyle w:val="TableParagraph"/>
              <w:spacing w:line="285" w:lineRule="exact"/>
              <w:ind w:left="96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非语音业务</w:t>
            </w:r>
            <w:r>
              <w:rPr>
                <w:rFonts w:ascii="Microsoft JhengHei" w:hAnsi="Microsoft JhengHei" w:cs="Microsoft JhengHei" w:eastAsia="Microsoft JhengHei" w:hint="default"/>
                <w:sz w:val="21"/>
                <w:szCs w:val="21"/>
              </w:rPr>
            </w:r>
          </w:p>
        </w:tc>
        <w:tc>
          <w:tcPr>
            <w:tcW w:w="1358" w:type="dxa"/>
            <w:tcBorders>
              <w:top w:val="nil" w:sz="6" w:space="0" w:color="auto"/>
              <w:left w:val="single" w:sz="4" w:space="0" w:color="000000"/>
              <w:bottom w:val="single" w:sz="12" w:space="0" w:color="000000"/>
              <w:right w:val="nil" w:sz="6" w:space="0" w:color="auto"/>
            </w:tcBorders>
          </w:tcPr>
          <w:p>
            <w:pPr>
              <w:pStyle w:val="TableParagraph"/>
              <w:spacing w:line="261" w:lineRule="exact"/>
              <w:ind w:right="122"/>
              <w:jc w:val="right"/>
              <w:rPr>
                <w:rFonts w:ascii="宋体" w:hAnsi="宋体" w:cs="宋体" w:eastAsia="宋体" w:hint="default"/>
                <w:sz w:val="21"/>
                <w:szCs w:val="21"/>
              </w:rPr>
            </w:pPr>
            <w:r>
              <w:rPr>
                <w:rFonts w:ascii="宋体"/>
                <w:spacing w:val="-1"/>
                <w:sz w:val="21"/>
              </w:rPr>
              <w:t>2,249.1</w:t>
            </w:r>
          </w:p>
        </w:tc>
        <w:tc>
          <w:tcPr>
            <w:tcW w:w="1320" w:type="dxa"/>
            <w:tcBorders>
              <w:top w:val="nil" w:sz="6" w:space="0" w:color="auto"/>
              <w:left w:val="nil" w:sz="6" w:space="0" w:color="auto"/>
              <w:bottom w:val="single" w:sz="12" w:space="0" w:color="000000"/>
              <w:right w:val="single" w:sz="4" w:space="0" w:color="000000"/>
            </w:tcBorders>
          </w:tcPr>
          <w:p>
            <w:pPr>
              <w:pStyle w:val="TableParagraph"/>
              <w:spacing w:line="261" w:lineRule="exact"/>
              <w:ind w:right="98"/>
              <w:jc w:val="right"/>
              <w:rPr>
                <w:rFonts w:ascii="宋体" w:hAnsi="宋体" w:cs="宋体" w:eastAsia="宋体" w:hint="default"/>
                <w:sz w:val="21"/>
                <w:szCs w:val="21"/>
              </w:rPr>
            </w:pPr>
            <w:r>
              <w:rPr>
                <w:rFonts w:ascii="宋体"/>
                <w:sz w:val="21"/>
              </w:rPr>
              <w:t>85.07%</w:t>
            </w:r>
          </w:p>
        </w:tc>
        <w:tc>
          <w:tcPr>
            <w:tcW w:w="1358" w:type="dxa"/>
            <w:tcBorders>
              <w:top w:val="nil" w:sz="6" w:space="0" w:color="auto"/>
              <w:left w:val="single" w:sz="4" w:space="0" w:color="000000"/>
              <w:bottom w:val="single" w:sz="12" w:space="0" w:color="000000"/>
              <w:right w:val="nil" w:sz="6" w:space="0" w:color="auto"/>
            </w:tcBorders>
          </w:tcPr>
          <w:p>
            <w:pPr>
              <w:pStyle w:val="TableParagraph"/>
              <w:spacing w:line="261" w:lineRule="exact"/>
              <w:ind w:right="121"/>
              <w:jc w:val="right"/>
              <w:rPr>
                <w:rFonts w:ascii="宋体" w:hAnsi="宋体" w:cs="宋体" w:eastAsia="宋体" w:hint="default"/>
                <w:sz w:val="21"/>
                <w:szCs w:val="21"/>
              </w:rPr>
            </w:pPr>
            <w:r>
              <w:rPr>
                <w:rFonts w:ascii="宋体"/>
                <w:spacing w:val="-1"/>
                <w:sz w:val="21"/>
              </w:rPr>
              <w:t>2,176.2</w:t>
            </w:r>
          </w:p>
        </w:tc>
        <w:tc>
          <w:tcPr>
            <w:tcW w:w="1321" w:type="dxa"/>
            <w:tcBorders>
              <w:top w:val="nil" w:sz="6" w:space="0" w:color="auto"/>
              <w:left w:val="nil" w:sz="6" w:space="0" w:color="auto"/>
              <w:bottom w:val="single" w:sz="12" w:space="0" w:color="000000"/>
              <w:right w:val="nil" w:sz="6" w:space="0" w:color="auto"/>
            </w:tcBorders>
          </w:tcPr>
          <w:p>
            <w:pPr>
              <w:pStyle w:val="TableParagraph"/>
              <w:spacing w:line="261" w:lineRule="exact"/>
              <w:ind w:right="107"/>
              <w:jc w:val="right"/>
              <w:rPr>
                <w:rFonts w:ascii="宋体" w:hAnsi="宋体" w:cs="宋体" w:eastAsia="宋体" w:hint="default"/>
                <w:sz w:val="21"/>
                <w:szCs w:val="21"/>
              </w:rPr>
            </w:pPr>
            <w:r>
              <w:rPr>
                <w:rFonts w:ascii="宋体"/>
                <w:sz w:val="21"/>
              </w:rPr>
              <w:t>82.53%</w:t>
            </w:r>
          </w:p>
        </w:tc>
      </w:tr>
    </w:tbl>
    <w:p>
      <w:pPr>
        <w:spacing w:line="240" w:lineRule="auto" w:before="3"/>
        <w:rPr>
          <w:rFonts w:ascii="宋体" w:hAnsi="宋体" w:cs="宋体" w:eastAsia="宋体" w:hint="default"/>
          <w:sz w:val="8"/>
          <w:szCs w:val="8"/>
        </w:rPr>
      </w:pPr>
    </w:p>
    <w:p>
      <w:pPr>
        <w:spacing w:line="335" w:lineRule="exact" w:before="0"/>
        <w:ind w:left="561"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1</w:t>
      </w:r>
      <w:r>
        <w:rPr>
          <w:rFonts w:ascii="Microsoft JhengHei" w:hAnsi="Microsoft JhengHei" w:cs="Microsoft JhengHei" w:eastAsia="Microsoft JhengHei" w:hint="default"/>
          <w:b/>
          <w:bCs/>
          <w:sz w:val="21"/>
          <w:szCs w:val="21"/>
        </w:rPr>
        <w:t>）语音业务</w:t>
      </w:r>
      <w:r>
        <w:rPr>
          <w:rFonts w:ascii="Microsoft JhengHei" w:hAnsi="Microsoft JhengHei" w:cs="Microsoft JhengHei" w:eastAsia="Microsoft JhengHei" w:hint="default"/>
          <w:sz w:val="21"/>
          <w:szCs w:val="21"/>
        </w:rPr>
      </w:r>
    </w:p>
    <w:p>
      <w:pPr>
        <w:spacing w:before="169"/>
        <w:ind w:left="558" w:right="0" w:firstLine="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7"/>
          <w:sz w:val="21"/>
          <w:szCs w:val="21"/>
        </w:rPr>
        <w:t> </w:t>
      </w:r>
      <w:r>
        <w:rPr>
          <w:rFonts w:ascii="宋体" w:hAnsi="宋体" w:cs="宋体" w:eastAsia="宋体" w:hint="default"/>
          <w:sz w:val="21"/>
          <w:szCs w:val="21"/>
        </w:rPr>
        <w:t>年公司语音业务收入实现人民币</w:t>
      </w:r>
      <w:r>
        <w:rPr>
          <w:rFonts w:ascii="宋体" w:hAnsi="宋体" w:cs="宋体" w:eastAsia="宋体" w:hint="default"/>
          <w:spacing w:val="-55"/>
          <w:sz w:val="21"/>
          <w:szCs w:val="21"/>
        </w:rPr>
        <w:t> </w:t>
      </w:r>
      <w:r>
        <w:rPr>
          <w:rFonts w:ascii="宋体" w:hAnsi="宋体" w:cs="宋体" w:eastAsia="宋体" w:hint="default"/>
          <w:sz w:val="21"/>
          <w:szCs w:val="21"/>
        </w:rPr>
        <w:t>394.8</w:t>
      </w:r>
      <w:r>
        <w:rPr>
          <w:rFonts w:ascii="宋体" w:hAnsi="宋体" w:cs="宋体" w:eastAsia="宋体" w:hint="default"/>
          <w:spacing w:val="-55"/>
          <w:sz w:val="21"/>
          <w:szCs w:val="21"/>
        </w:rPr>
        <w:t> </w:t>
      </w:r>
      <w:r>
        <w:rPr>
          <w:rFonts w:ascii="宋体" w:hAnsi="宋体" w:cs="宋体" w:eastAsia="宋体" w:hint="default"/>
          <w:sz w:val="21"/>
          <w:szCs w:val="21"/>
        </w:rPr>
        <w:t>亿元，同比下降</w:t>
      </w:r>
      <w:r>
        <w:rPr>
          <w:rFonts w:ascii="宋体" w:hAnsi="宋体" w:cs="宋体" w:eastAsia="宋体" w:hint="default"/>
          <w:spacing w:val="-55"/>
          <w:sz w:val="21"/>
          <w:szCs w:val="21"/>
        </w:rPr>
        <w:t> </w:t>
      </w:r>
      <w:r>
        <w:rPr>
          <w:rFonts w:ascii="宋体" w:hAnsi="宋体" w:cs="宋体" w:eastAsia="宋体" w:hint="default"/>
          <w:sz w:val="21"/>
          <w:szCs w:val="21"/>
        </w:rPr>
        <w:t>14.3%</w:t>
      </w:r>
      <w:r>
        <w:rPr>
          <w:rFonts w:ascii="宋体" w:hAnsi="宋体" w:cs="宋体" w:eastAsia="宋体" w:hint="default"/>
          <w:sz w:val="21"/>
          <w:szCs w:val="21"/>
        </w:rPr>
        <w:t>。</w:t>
      </w:r>
    </w:p>
    <w:p>
      <w:pPr>
        <w:spacing w:before="126"/>
        <w:ind w:left="561"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2</w:t>
      </w:r>
      <w:r>
        <w:rPr>
          <w:rFonts w:ascii="Microsoft JhengHei" w:hAnsi="Microsoft JhengHei" w:cs="Microsoft JhengHei" w:eastAsia="Microsoft JhengHei" w:hint="default"/>
          <w:b/>
          <w:bCs/>
          <w:sz w:val="21"/>
          <w:szCs w:val="21"/>
        </w:rPr>
        <w:t>）非语音业务</w:t>
      </w:r>
      <w:r>
        <w:rPr>
          <w:rFonts w:ascii="Microsoft JhengHei" w:hAnsi="Microsoft JhengHei" w:cs="Microsoft JhengHei" w:eastAsia="Microsoft JhengHei" w:hint="default"/>
          <w:sz w:val="21"/>
          <w:szCs w:val="21"/>
        </w:rPr>
      </w:r>
    </w:p>
    <w:p>
      <w:pPr>
        <w:spacing w:before="169"/>
        <w:ind w:left="558" w:right="0" w:firstLine="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7"/>
          <w:sz w:val="21"/>
          <w:szCs w:val="21"/>
        </w:rPr>
        <w:t> </w:t>
      </w:r>
      <w:r>
        <w:rPr>
          <w:rFonts w:ascii="宋体" w:hAnsi="宋体" w:cs="宋体" w:eastAsia="宋体" w:hint="default"/>
          <w:sz w:val="21"/>
          <w:szCs w:val="21"/>
        </w:rPr>
        <w:t>年公司非语音业务收入实现人民币</w:t>
      </w:r>
      <w:r>
        <w:rPr>
          <w:rFonts w:ascii="宋体" w:hAnsi="宋体" w:cs="宋体" w:eastAsia="宋体" w:hint="default"/>
          <w:spacing w:val="-55"/>
          <w:sz w:val="21"/>
          <w:szCs w:val="21"/>
        </w:rPr>
        <w:t> </w:t>
      </w:r>
      <w:r>
        <w:rPr>
          <w:rFonts w:ascii="宋体" w:hAnsi="宋体" w:cs="宋体" w:eastAsia="宋体" w:hint="default"/>
          <w:sz w:val="21"/>
          <w:szCs w:val="21"/>
        </w:rPr>
        <w:t>2,249.1</w:t>
      </w:r>
      <w:r>
        <w:rPr>
          <w:rFonts w:ascii="宋体" w:hAnsi="宋体" w:cs="宋体" w:eastAsia="宋体" w:hint="default"/>
          <w:spacing w:val="-54"/>
          <w:sz w:val="21"/>
          <w:szCs w:val="21"/>
        </w:rPr>
        <w:t> </w:t>
      </w:r>
      <w:r>
        <w:rPr>
          <w:rFonts w:ascii="宋体" w:hAnsi="宋体" w:cs="宋体" w:eastAsia="宋体" w:hint="default"/>
          <w:sz w:val="21"/>
          <w:szCs w:val="21"/>
        </w:rPr>
        <w:t>亿元，同比增长</w:t>
      </w:r>
      <w:r>
        <w:rPr>
          <w:rFonts w:ascii="宋体" w:hAnsi="宋体" w:cs="宋体" w:eastAsia="宋体" w:hint="default"/>
          <w:spacing w:val="-55"/>
          <w:sz w:val="21"/>
          <w:szCs w:val="21"/>
        </w:rPr>
        <w:t> </w:t>
      </w:r>
      <w:r>
        <w:rPr>
          <w:rFonts w:ascii="宋体" w:hAnsi="宋体" w:cs="宋体" w:eastAsia="宋体" w:hint="default"/>
          <w:sz w:val="21"/>
          <w:szCs w:val="21"/>
        </w:rPr>
        <w:t>3.3%</w:t>
      </w:r>
      <w:r>
        <w:rPr>
          <w:rFonts w:ascii="宋体" w:hAnsi="宋体" w:cs="宋体" w:eastAsia="宋体" w:hint="default"/>
          <w:sz w:val="21"/>
          <w:szCs w:val="21"/>
        </w:rPr>
        <w:t>。</w:t>
      </w:r>
    </w:p>
    <w:p>
      <w:pPr>
        <w:spacing w:before="126"/>
        <w:ind w:left="561"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05"/>
          <w:sz w:val="21"/>
          <w:szCs w:val="21"/>
        </w:rPr>
        <w:t>3.</w:t>
      </w:r>
      <w:r>
        <w:rPr>
          <w:rFonts w:ascii="Microsoft JhengHei" w:hAnsi="Microsoft JhengHei" w:cs="Microsoft JhengHei" w:eastAsia="Microsoft JhengHei" w:hint="default"/>
          <w:b/>
          <w:bCs/>
          <w:w w:val="105"/>
          <w:sz w:val="21"/>
          <w:szCs w:val="21"/>
        </w:rPr>
        <w:t>成本费用</w:t>
      </w:r>
      <w:r>
        <w:rPr>
          <w:rFonts w:ascii="Microsoft JhengHei" w:hAnsi="Microsoft JhengHei" w:cs="Microsoft JhengHei" w:eastAsia="Microsoft JhengHei" w:hint="default"/>
          <w:w w:val="105"/>
          <w:sz w:val="21"/>
          <w:szCs w:val="21"/>
        </w:rPr>
      </w:r>
    </w:p>
    <w:p>
      <w:pPr>
        <w:spacing w:after="0"/>
        <w:jc w:val="left"/>
        <w:rPr>
          <w:rFonts w:ascii="Microsoft JhengHei" w:hAnsi="Microsoft JhengHei" w:cs="Microsoft JhengHei" w:eastAsia="Microsoft JhengHei" w:hint="default"/>
          <w:sz w:val="21"/>
          <w:szCs w:val="21"/>
        </w:rPr>
        <w:sectPr>
          <w:footerReference w:type="default" r:id="rId28"/>
          <w:pgSz w:w="11910" w:h="16840"/>
          <w:pgMar w:footer="502" w:header="854" w:top="1360" w:bottom="700" w:left="1280" w:right="1140"/>
        </w:sectPr>
      </w:pPr>
    </w:p>
    <w:p>
      <w:pPr>
        <w:spacing w:line="240" w:lineRule="auto" w:before="13"/>
        <w:rPr>
          <w:rFonts w:ascii="Microsoft JhengHei" w:hAnsi="Microsoft JhengHei" w:cs="Microsoft JhengHei" w:eastAsia="Microsoft JhengHei" w:hint="default"/>
          <w:b/>
          <w:bCs/>
          <w:sz w:val="9"/>
          <w:szCs w:val="9"/>
        </w:rPr>
      </w:pPr>
    </w:p>
    <w:p>
      <w:pPr>
        <w:spacing w:before="36"/>
        <w:ind w:left="510" w:right="96" w:firstLine="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7"/>
          <w:sz w:val="21"/>
          <w:szCs w:val="21"/>
        </w:rPr>
        <w:t> </w:t>
      </w:r>
      <w:r>
        <w:rPr>
          <w:rFonts w:ascii="宋体" w:hAnsi="宋体" w:cs="宋体" w:eastAsia="宋体" w:hint="default"/>
          <w:sz w:val="21"/>
          <w:szCs w:val="21"/>
        </w:rPr>
        <w:t>年公司成本费用合计为人民币</w:t>
      </w:r>
      <w:r>
        <w:rPr>
          <w:rFonts w:ascii="宋体" w:hAnsi="宋体" w:cs="宋体" w:eastAsia="宋体" w:hint="default"/>
          <w:spacing w:val="-55"/>
          <w:sz w:val="21"/>
          <w:szCs w:val="21"/>
        </w:rPr>
        <w:t> </w:t>
      </w:r>
      <w:r>
        <w:rPr>
          <w:rFonts w:ascii="宋体" w:hAnsi="宋体" w:cs="宋体" w:eastAsia="宋体" w:hint="default"/>
          <w:sz w:val="21"/>
          <w:szCs w:val="21"/>
        </w:rPr>
        <w:t>2,730.8</w:t>
      </w:r>
      <w:r>
        <w:rPr>
          <w:rFonts w:ascii="宋体" w:hAnsi="宋体" w:cs="宋体" w:eastAsia="宋体" w:hint="default"/>
          <w:spacing w:val="-55"/>
          <w:sz w:val="21"/>
          <w:szCs w:val="21"/>
        </w:rPr>
        <w:t> </w:t>
      </w:r>
      <w:r>
        <w:rPr>
          <w:rFonts w:ascii="宋体" w:hAnsi="宋体" w:cs="宋体" w:eastAsia="宋体" w:hint="default"/>
          <w:sz w:val="21"/>
          <w:szCs w:val="21"/>
        </w:rPr>
        <w:t>亿元，同比增长</w:t>
      </w:r>
      <w:r>
        <w:rPr>
          <w:rFonts w:ascii="宋体" w:hAnsi="宋体" w:cs="宋体" w:eastAsia="宋体" w:hint="default"/>
          <w:spacing w:val="-55"/>
          <w:sz w:val="21"/>
          <w:szCs w:val="21"/>
        </w:rPr>
        <w:t> </w:t>
      </w:r>
      <w:r>
        <w:rPr>
          <w:rFonts w:ascii="宋体" w:hAnsi="宋体" w:cs="宋体" w:eastAsia="宋体" w:hint="default"/>
          <w:sz w:val="21"/>
          <w:szCs w:val="21"/>
        </w:rPr>
        <w:t>0.2%</w:t>
      </w:r>
      <w:r>
        <w:rPr>
          <w:rFonts w:ascii="宋体" w:hAnsi="宋体" w:cs="宋体" w:eastAsia="宋体" w:hint="default"/>
          <w:sz w:val="21"/>
          <w:szCs w:val="21"/>
        </w:rPr>
        <w:t>。</w:t>
      </w:r>
    </w:p>
    <w:p>
      <w:pPr>
        <w:spacing w:line="240" w:lineRule="auto" w:before="6"/>
        <w:rPr>
          <w:rFonts w:ascii="宋体" w:hAnsi="宋体" w:cs="宋体" w:eastAsia="宋体" w:hint="default"/>
          <w:sz w:val="18"/>
          <w:szCs w:val="18"/>
        </w:rPr>
      </w:pPr>
    </w:p>
    <w:p>
      <w:pPr>
        <w:spacing w:before="0"/>
        <w:ind w:left="510" w:right="96" w:firstLine="0"/>
        <w:jc w:val="left"/>
        <w:rPr>
          <w:rFonts w:ascii="宋体" w:hAnsi="宋体" w:cs="宋体" w:eastAsia="宋体" w:hint="default"/>
          <w:sz w:val="21"/>
          <w:szCs w:val="21"/>
        </w:rPr>
      </w:pPr>
      <w:r>
        <w:rPr>
          <w:rFonts w:ascii="宋体" w:hAnsi="宋体" w:cs="宋体" w:eastAsia="宋体" w:hint="default"/>
          <w:sz w:val="21"/>
          <w:szCs w:val="21"/>
        </w:rPr>
        <w:t>下表列出了</w:t>
      </w:r>
      <w:r>
        <w:rPr>
          <w:rFonts w:ascii="宋体" w:hAnsi="宋体" w:cs="宋体" w:eastAsia="宋体" w:hint="default"/>
          <w:spacing w:val="-55"/>
          <w:sz w:val="21"/>
          <w:szCs w:val="21"/>
        </w:rPr>
        <w:t> </w:t>
      </w:r>
      <w:r>
        <w:rPr>
          <w:rFonts w:ascii="宋体" w:hAnsi="宋体" w:cs="宋体" w:eastAsia="宋体" w:hint="default"/>
          <w:sz w:val="21"/>
          <w:szCs w:val="21"/>
        </w:rPr>
        <w:t>2019</w:t>
      </w:r>
      <w:r>
        <w:rPr>
          <w:rFonts w:ascii="宋体" w:hAnsi="宋体" w:cs="宋体" w:eastAsia="宋体" w:hint="default"/>
          <w:spacing w:val="-55"/>
          <w:sz w:val="21"/>
          <w:szCs w:val="21"/>
        </w:rPr>
        <w:t> </w:t>
      </w:r>
      <w:r>
        <w:rPr>
          <w:rFonts w:ascii="宋体" w:hAnsi="宋体" w:cs="宋体" w:eastAsia="宋体" w:hint="default"/>
          <w:sz w:val="21"/>
          <w:szCs w:val="21"/>
        </w:rPr>
        <w:t>年和</w:t>
      </w:r>
      <w:r>
        <w:rPr>
          <w:rFonts w:ascii="宋体" w:hAnsi="宋体" w:cs="宋体" w:eastAsia="宋体" w:hint="default"/>
          <w:spacing w:val="-54"/>
          <w:sz w:val="21"/>
          <w:szCs w:val="21"/>
        </w:rPr>
        <w:t> </w:t>
      </w:r>
      <w:r>
        <w:rPr>
          <w:rFonts w:ascii="宋体" w:hAnsi="宋体" w:cs="宋体" w:eastAsia="宋体" w:hint="default"/>
          <w:sz w:val="21"/>
          <w:szCs w:val="21"/>
        </w:rPr>
        <w:t>2018</w:t>
      </w:r>
      <w:r>
        <w:rPr>
          <w:rFonts w:ascii="宋体" w:hAnsi="宋体" w:cs="宋体" w:eastAsia="宋体" w:hint="default"/>
          <w:spacing w:val="-55"/>
          <w:sz w:val="21"/>
          <w:szCs w:val="21"/>
        </w:rPr>
        <w:t> </w:t>
      </w:r>
      <w:r>
        <w:rPr>
          <w:rFonts w:ascii="宋体" w:hAnsi="宋体" w:cs="宋体" w:eastAsia="宋体" w:hint="default"/>
          <w:sz w:val="21"/>
          <w:szCs w:val="21"/>
        </w:rPr>
        <w:t>年公司成本费用项目以及每个项目所占营业收入的百分比变化情况：</w:t>
      </w:r>
    </w:p>
    <w:p>
      <w:pPr>
        <w:spacing w:line="240" w:lineRule="auto" w:before="2"/>
        <w:rPr>
          <w:rFonts w:ascii="宋体" w:hAnsi="宋体" w:cs="宋体" w:eastAsia="宋体" w:hint="default"/>
          <w:sz w:val="15"/>
          <w:szCs w:val="15"/>
        </w:rPr>
      </w:pPr>
    </w:p>
    <w:tbl>
      <w:tblPr>
        <w:tblW w:w="0" w:type="auto"/>
        <w:jc w:val="left"/>
        <w:tblInd w:w="551" w:type="dxa"/>
        <w:tblLayout w:type="fixed"/>
        <w:tblCellMar>
          <w:top w:w="0" w:type="dxa"/>
          <w:left w:w="0" w:type="dxa"/>
          <w:bottom w:w="0" w:type="dxa"/>
          <w:right w:w="0" w:type="dxa"/>
        </w:tblCellMar>
        <w:tblLook w:val="01E0"/>
      </w:tblPr>
      <w:tblGrid>
        <w:gridCol w:w="3392"/>
        <w:gridCol w:w="1207"/>
        <w:gridCol w:w="1210"/>
        <w:gridCol w:w="1206"/>
        <w:gridCol w:w="1209"/>
      </w:tblGrid>
      <w:tr>
        <w:trPr>
          <w:trHeight w:val="626" w:hRule="exact"/>
        </w:trPr>
        <w:tc>
          <w:tcPr>
            <w:tcW w:w="3392" w:type="dxa"/>
            <w:vMerge w:val="restart"/>
            <w:tcBorders>
              <w:top w:val="single" w:sz="17"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650" w:right="0"/>
              <w:jc w:val="left"/>
              <w:rPr>
                <w:rFonts w:ascii="宋体" w:hAnsi="宋体" w:cs="宋体" w:eastAsia="宋体" w:hint="default"/>
                <w:sz w:val="21"/>
                <w:szCs w:val="21"/>
              </w:rPr>
            </w:pPr>
            <w:r>
              <w:rPr>
                <w:rFonts w:ascii="宋体" w:hAnsi="宋体" w:cs="宋体" w:eastAsia="宋体" w:hint="default"/>
                <w:sz w:val="21"/>
                <w:szCs w:val="21"/>
              </w:rPr>
              <w:t>（单位：人民币亿元）</w:t>
            </w:r>
          </w:p>
        </w:tc>
        <w:tc>
          <w:tcPr>
            <w:tcW w:w="2417" w:type="dxa"/>
            <w:gridSpan w:val="2"/>
            <w:tcBorders>
              <w:top w:val="single" w:sz="17" w:space="0" w:color="000000"/>
              <w:left w:val="single" w:sz="4" w:space="0" w:color="000000"/>
              <w:bottom w:val="single" w:sz="8" w:space="0" w:color="000000"/>
              <w:right w:val="single" w:sz="4" w:space="0" w:color="000000"/>
            </w:tcBorders>
          </w:tcPr>
          <w:p>
            <w:pPr>
              <w:pStyle w:val="TableParagraph"/>
              <w:spacing w:line="240" w:lineRule="auto" w:before="131"/>
              <w:ind w:right="0"/>
              <w:jc w:val="center"/>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415" w:type="dxa"/>
            <w:gridSpan w:val="2"/>
            <w:tcBorders>
              <w:top w:val="single" w:sz="17" w:space="0" w:color="000000"/>
              <w:left w:val="single" w:sz="4" w:space="0" w:color="000000"/>
              <w:bottom w:val="single" w:sz="8" w:space="0" w:color="000000"/>
              <w:right w:val="nil" w:sz="6" w:space="0" w:color="auto"/>
            </w:tcBorders>
          </w:tcPr>
          <w:p>
            <w:pPr>
              <w:pStyle w:val="TableParagraph"/>
              <w:spacing w:line="240" w:lineRule="auto" w:before="131"/>
              <w:ind w:right="5"/>
              <w:jc w:val="center"/>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950" w:hRule="exact"/>
        </w:trPr>
        <w:tc>
          <w:tcPr>
            <w:tcW w:w="3392" w:type="dxa"/>
            <w:vMerge/>
            <w:tcBorders>
              <w:left w:val="nil" w:sz="6" w:space="0" w:color="auto"/>
              <w:bottom w:val="single" w:sz="4" w:space="0" w:color="000000"/>
              <w:right w:val="single" w:sz="4" w:space="0" w:color="000000"/>
            </w:tcBorders>
          </w:tcPr>
          <w:p>
            <w:pPr/>
          </w:p>
        </w:tc>
        <w:tc>
          <w:tcPr>
            <w:tcW w:w="1207"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177" w:right="0"/>
              <w:jc w:val="left"/>
              <w:rPr>
                <w:rFonts w:ascii="宋体" w:hAnsi="宋体" w:cs="宋体" w:eastAsia="宋体" w:hint="default"/>
                <w:sz w:val="21"/>
                <w:szCs w:val="21"/>
              </w:rPr>
            </w:pPr>
            <w:r>
              <w:rPr>
                <w:rFonts w:ascii="宋体" w:hAnsi="宋体" w:cs="宋体" w:eastAsia="宋体" w:hint="default"/>
                <w:sz w:val="21"/>
                <w:szCs w:val="21"/>
              </w:rPr>
              <w:t>累计发生</w:t>
            </w:r>
          </w:p>
        </w:tc>
        <w:tc>
          <w:tcPr>
            <w:tcW w:w="1210" w:type="dxa"/>
            <w:tcBorders>
              <w:top w:val="single" w:sz="8" w:space="0" w:color="000000"/>
              <w:left w:val="nil" w:sz="6" w:space="0" w:color="auto"/>
              <w:bottom w:val="single" w:sz="4" w:space="0" w:color="000000"/>
              <w:right w:val="single" w:sz="4" w:space="0" w:color="000000"/>
            </w:tcBorders>
          </w:tcPr>
          <w:p>
            <w:pPr>
              <w:pStyle w:val="TableParagraph"/>
              <w:spacing w:line="273" w:lineRule="auto"/>
              <w:ind w:left="182" w:right="177"/>
              <w:jc w:val="center"/>
              <w:rPr>
                <w:rFonts w:ascii="宋体" w:hAnsi="宋体" w:cs="宋体" w:eastAsia="宋体" w:hint="default"/>
                <w:sz w:val="21"/>
                <w:szCs w:val="21"/>
              </w:rPr>
            </w:pPr>
            <w:r>
              <w:rPr>
                <w:rFonts w:ascii="宋体" w:hAnsi="宋体" w:cs="宋体" w:eastAsia="宋体" w:hint="default"/>
                <w:spacing w:val="-1"/>
                <w:sz w:val="21"/>
                <w:szCs w:val="21"/>
              </w:rPr>
              <w:t>所占营业</w:t>
            </w:r>
            <w:r>
              <w:rPr>
                <w:rFonts w:ascii="宋体" w:hAnsi="宋体" w:cs="宋体" w:eastAsia="宋体" w:hint="default"/>
                <w:w w:val="100"/>
                <w:sz w:val="21"/>
                <w:szCs w:val="21"/>
              </w:rPr>
              <w:t> </w:t>
            </w:r>
            <w:r>
              <w:rPr>
                <w:rFonts w:ascii="宋体" w:hAnsi="宋体" w:cs="宋体" w:eastAsia="宋体" w:hint="default"/>
                <w:spacing w:val="-1"/>
                <w:sz w:val="21"/>
                <w:szCs w:val="21"/>
              </w:rPr>
              <w:t>收入百分</w:t>
            </w:r>
            <w:r>
              <w:rPr>
                <w:rFonts w:ascii="宋体" w:hAnsi="宋体" w:cs="宋体" w:eastAsia="宋体" w:hint="default"/>
                <w:w w:val="100"/>
                <w:sz w:val="21"/>
                <w:szCs w:val="21"/>
              </w:rPr>
              <w:t> </w:t>
            </w:r>
            <w:r>
              <w:rPr>
                <w:rFonts w:ascii="宋体" w:hAnsi="宋体" w:cs="宋体" w:eastAsia="宋体" w:hint="default"/>
                <w:sz w:val="21"/>
                <w:szCs w:val="21"/>
              </w:rPr>
              <w:t>比</w:t>
            </w:r>
          </w:p>
        </w:tc>
        <w:tc>
          <w:tcPr>
            <w:tcW w:w="1206"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6"/>
              <w:jc w:val="center"/>
              <w:rPr>
                <w:rFonts w:ascii="宋体" w:hAnsi="宋体" w:cs="宋体" w:eastAsia="宋体" w:hint="default"/>
                <w:sz w:val="21"/>
                <w:szCs w:val="21"/>
              </w:rPr>
            </w:pPr>
            <w:r>
              <w:rPr>
                <w:rFonts w:ascii="宋体" w:hAnsi="宋体" w:cs="宋体" w:eastAsia="宋体" w:hint="default"/>
                <w:sz w:val="21"/>
                <w:szCs w:val="21"/>
              </w:rPr>
              <w:t>累计发生</w:t>
            </w:r>
          </w:p>
        </w:tc>
        <w:tc>
          <w:tcPr>
            <w:tcW w:w="1209" w:type="dxa"/>
            <w:tcBorders>
              <w:top w:val="single" w:sz="8" w:space="0" w:color="000000"/>
              <w:left w:val="nil" w:sz="6" w:space="0" w:color="auto"/>
              <w:bottom w:val="single" w:sz="4" w:space="0" w:color="000000"/>
              <w:right w:val="nil" w:sz="6" w:space="0" w:color="auto"/>
            </w:tcBorders>
          </w:tcPr>
          <w:p>
            <w:pPr>
              <w:pStyle w:val="TableParagraph"/>
              <w:spacing w:line="273" w:lineRule="auto"/>
              <w:ind w:left="183" w:right="180"/>
              <w:jc w:val="center"/>
              <w:rPr>
                <w:rFonts w:ascii="宋体" w:hAnsi="宋体" w:cs="宋体" w:eastAsia="宋体" w:hint="default"/>
                <w:sz w:val="21"/>
                <w:szCs w:val="21"/>
              </w:rPr>
            </w:pPr>
            <w:r>
              <w:rPr>
                <w:rFonts w:ascii="宋体" w:hAnsi="宋体" w:cs="宋体" w:eastAsia="宋体" w:hint="default"/>
                <w:spacing w:val="-1"/>
                <w:sz w:val="21"/>
                <w:szCs w:val="21"/>
              </w:rPr>
              <w:t>所占营业</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1"/>
                <w:sz w:val="21"/>
                <w:szCs w:val="21"/>
              </w:rPr>
              <w:t>收入百分</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比</w:t>
            </w:r>
          </w:p>
        </w:tc>
      </w:tr>
      <w:tr>
        <w:trPr>
          <w:trHeight w:val="360" w:hRule="exact"/>
        </w:trPr>
        <w:tc>
          <w:tcPr>
            <w:tcW w:w="3392" w:type="dxa"/>
            <w:tcBorders>
              <w:top w:val="single" w:sz="4" w:space="0" w:color="000000"/>
              <w:left w:val="nil" w:sz="6" w:space="0" w:color="auto"/>
              <w:bottom w:val="nil" w:sz="6" w:space="0" w:color="auto"/>
              <w:right w:val="single" w:sz="4" w:space="0" w:color="000000"/>
            </w:tcBorders>
          </w:tcPr>
          <w:p>
            <w:pPr>
              <w:pStyle w:val="TableParagraph"/>
              <w:spacing w:line="320" w:lineRule="exact"/>
              <w:ind w:left="120"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成本费用合计</w:t>
            </w:r>
            <w:r>
              <w:rPr>
                <w:rFonts w:ascii="Microsoft JhengHei" w:hAnsi="Microsoft JhengHei" w:cs="Microsoft JhengHei" w:eastAsia="Microsoft JhengHei" w:hint="default"/>
                <w:sz w:val="21"/>
                <w:szCs w:val="21"/>
              </w:rPr>
            </w:r>
          </w:p>
        </w:tc>
        <w:tc>
          <w:tcPr>
            <w:tcW w:w="1207" w:type="dxa"/>
            <w:tcBorders>
              <w:top w:val="single" w:sz="4" w:space="0" w:color="000000"/>
              <w:left w:val="single" w:sz="4" w:space="0" w:color="000000"/>
              <w:bottom w:val="nil" w:sz="6" w:space="0" w:color="auto"/>
              <w:right w:val="nil" w:sz="6" w:space="0" w:color="auto"/>
            </w:tcBorders>
          </w:tcPr>
          <w:p>
            <w:pPr>
              <w:pStyle w:val="TableParagraph"/>
              <w:spacing w:line="240" w:lineRule="auto" w:before="4"/>
              <w:ind w:left="230" w:right="0"/>
              <w:jc w:val="left"/>
              <w:rPr>
                <w:rFonts w:ascii="宋体" w:hAnsi="宋体" w:cs="宋体" w:eastAsia="宋体" w:hint="default"/>
                <w:sz w:val="21"/>
                <w:szCs w:val="21"/>
              </w:rPr>
            </w:pPr>
            <w:r>
              <w:rPr>
                <w:rFonts w:ascii="宋体"/>
                <w:sz w:val="21"/>
              </w:rPr>
              <w:t>2,730.8</w:t>
            </w:r>
          </w:p>
        </w:tc>
        <w:tc>
          <w:tcPr>
            <w:tcW w:w="1210" w:type="dxa"/>
            <w:tcBorders>
              <w:top w:val="single" w:sz="4" w:space="0" w:color="000000"/>
              <w:left w:val="nil" w:sz="6" w:space="0" w:color="auto"/>
              <w:bottom w:val="nil" w:sz="6" w:space="0" w:color="auto"/>
              <w:right w:val="single" w:sz="4" w:space="0" w:color="000000"/>
            </w:tcBorders>
          </w:tcPr>
          <w:p>
            <w:pPr>
              <w:pStyle w:val="TableParagraph"/>
              <w:spacing w:line="240" w:lineRule="auto" w:before="4"/>
              <w:ind w:right="281"/>
              <w:jc w:val="right"/>
              <w:rPr>
                <w:rFonts w:ascii="宋体" w:hAnsi="宋体" w:cs="宋体" w:eastAsia="宋体" w:hint="default"/>
                <w:sz w:val="21"/>
                <w:szCs w:val="21"/>
              </w:rPr>
            </w:pPr>
            <w:r>
              <w:rPr>
                <w:rFonts w:ascii="宋体"/>
                <w:sz w:val="21"/>
              </w:rPr>
              <w:t>94.00%</w:t>
            </w:r>
          </w:p>
        </w:tc>
        <w:tc>
          <w:tcPr>
            <w:tcW w:w="1206" w:type="dxa"/>
            <w:tcBorders>
              <w:top w:val="single" w:sz="4" w:space="0" w:color="000000"/>
              <w:left w:val="single" w:sz="4" w:space="0" w:color="000000"/>
              <w:bottom w:val="nil" w:sz="6" w:space="0" w:color="auto"/>
              <w:right w:val="nil" w:sz="6" w:space="0" w:color="auto"/>
            </w:tcBorders>
          </w:tcPr>
          <w:p>
            <w:pPr>
              <w:pStyle w:val="TableParagraph"/>
              <w:spacing w:line="240" w:lineRule="auto" w:before="4"/>
              <w:ind w:right="6"/>
              <w:jc w:val="center"/>
              <w:rPr>
                <w:rFonts w:ascii="宋体" w:hAnsi="宋体" w:cs="宋体" w:eastAsia="宋体" w:hint="default"/>
                <w:sz w:val="21"/>
                <w:szCs w:val="21"/>
              </w:rPr>
            </w:pPr>
            <w:r>
              <w:rPr>
                <w:rFonts w:ascii="宋体"/>
                <w:sz w:val="21"/>
              </w:rPr>
              <w:t>2,724.1</w:t>
            </w:r>
          </w:p>
        </w:tc>
        <w:tc>
          <w:tcPr>
            <w:tcW w:w="1209" w:type="dxa"/>
            <w:tcBorders>
              <w:top w:val="single" w:sz="4" w:space="0" w:color="000000"/>
              <w:left w:val="nil" w:sz="6" w:space="0" w:color="auto"/>
              <w:bottom w:val="nil" w:sz="6" w:space="0" w:color="auto"/>
              <w:right w:val="nil" w:sz="6" w:space="0" w:color="auto"/>
            </w:tcBorders>
          </w:tcPr>
          <w:p>
            <w:pPr>
              <w:pStyle w:val="TableParagraph"/>
              <w:spacing w:line="240" w:lineRule="auto" w:before="4"/>
              <w:ind w:left="289" w:right="0"/>
              <w:jc w:val="left"/>
              <w:rPr>
                <w:rFonts w:ascii="宋体" w:hAnsi="宋体" w:cs="宋体" w:eastAsia="宋体" w:hint="default"/>
                <w:sz w:val="21"/>
                <w:szCs w:val="21"/>
              </w:rPr>
            </w:pPr>
            <w:r>
              <w:rPr>
                <w:rFonts w:ascii="宋体"/>
                <w:sz w:val="21"/>
              </w:rPr>
              <w:t>93.65%</w:t>
            </w:r>
          </w:p>
        </w:tc>
      </w:tr>
      <w:tr>
        <w:trPr>
          <w:trHeight w:val="346"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0" w:right="0"/>
              <w:jc w:val="left"/>
              <w:rPr>
                <w:rFonts w:ascii="宋体" w:hAnsi="宋体" w:cs="宋体" w:eastAsia="宋体" w:hint="default"/>
                <w:sz w:val="21"/>
                <w:szCs w:val="21"/>
              </w:rPr>
            </w:pPr>
            <w:r>
              <w:rPr>
                <w:rFonts w:ascii="宋体" w:hAnsi="宋体" w:cs="宋体" w:eastAsia="宋体" w:hint="default"/>
                <w:sz w:val="21"/>
                <w:szCs w:val="21"/>
              </w:rPr>
              <w:t>其中：网间结算成本</w:t>
            </w:r>
          </w:p>
        </w:tc>
        <w:tc>
          <w:tcPr>
            <w:tcW w:w="1207" w:type="dxa"/>
            <w:tcBorders>
              <w:top w:val="nil" w:sz="6" w:space="0" w:color="auto"/>
              <w:left w:val="single" w:sz="4" w:space="0" w:color="000000"/>
              <w:bottom w:val="nil" w:sz="6" w:space="0" w:color="auto"/>
              <w:right w:val="nil" w:sz="6" w:space="0" w:color="auto"/>
            </w:tcBorders>
          </w:tcPr>
          <w:p>
            <w:pPr>
              <w:pStyle w:val="TableParagraph"/>
              <w:spacing w:line="270" w:lineRule="exact"/>
              <w:ind w:left="335" w:right="0"/>
              <w:jc w:val="left"/>
              <w:rPr>
                <w:rFonts w:ascii="宋体" w:hAnsi="宋体" w:cs="宋体" w:eastAsia="宋体" w:hint="default"/>
                <w:sz w:val="21"/>
                <w:szCs w:val="21"/>
              </w:rPr>
            </w:pPr>
            <w:r>
              <w:rPr>
                <w:rFonts w:ascii="宋体"/>
                <w:sz w:val="21"/>
              </w:rPr>
              <w:t>115.1</w:t>
            </w:r>
          </w:p>
        </w:tc>
        <w:tc>
          <w:tcPr>
            <w:tcW w:w="1210" w:type="dxa"/>
            <w:tcBorders>
              <w:top w:val="nil" w:sz="6" w:space="0" w:color="auto"/>
              <w:left w:val="nil" w:sz="6" w:space="0" w:color="auto"/>
              <w:bottom w:val="nil" w:sz="6" w:space="0" w:color="auto"/>
              <w:right w:val="single" w:sz="4" w:space="0" w:color="000000"/>
            </w:tcBorders>
          </w:tcPr>
          <w:p>
            <w:pPr>
              <w:pStyle w:val="TableParagraph"/>
              <w:spacing w:line="270" w:lineRule="exact"/>
              <w:ind w:right="335"/>
              <w:jc w:val="right"/>
              <w:rPr>
                <w:rFonts w:ascii="宋体" w:hAnsi="宋体" w:cs="宋体" w:eastAsia="宋体" w:hint="default"/>
                <w:sz w:val="21"/>
                <w:szCs w:val="21"/>
              </w:rPr>
            </w:pPr>
            <w:r>
              <w:rPr>
                <w:rFonts w:ascii="宋体"/>
                <w:sz w:val="21"/>
              </w:rPr>
              <w:t>3.96%</w:t>
            </w:r>
          </w:p>
        </w:tc>
        <w:tc>
          <w:tcPr>
            <w:tcW w:w="1206" w:type="dxa"/>
            <w:tcBorders>
              <w:top w:val="nil" w:sz="6" w:space="0" w:color="auto"/>
              <w:left w:val="single" w:sz="4" w:space="0" w:color="000000"/>
              <w:bottom w:val="nil" w:sz="6" w:space="0" w:color="auto"/>
              <w:right w:val="nil" w:sz="6" w:space="0" w:color="auto"/>
            </w:tcBorders>
          </w:tcPr>
          <w:p>
            <w:pPr>
              <w:pStyle w:val="TableParagraph"/>
              <w:spacing w:line="270" w:lineRule="exact"/>
              <w:ind w:right="4"/>
              <w:jc w:val="center"/>
              <w:rPr>
                <w:rFonts w:ascii="宋体" w:hAnsi="宋体" w:cs="宋体" w:eastAsia="宋体" w:hint="default"/>
                <w:sz w:val="21"/>
                <w:szCs w:val="21"/>
              </w:rPr>
            </w:pPr>
            <w:r>
              <w:rPr>
                <w:rFonts w:ascii="宋体"/>
                <w:sz w:val="21"/>
              </w:rPr>
              <w:t>125.8</w:t>
            </w:r>
          </w:p>
        </w:tc>
        <w:tc>
          <w:tcPr>
            <w:tcW w:w="1209" w:type="dxa"/>
            <w:tcBorders>
              <w:top w:val="nil" w:sz="6" w:space="0" w:color="auto"/>
              <w:left w:val="nil" w:sz="6" w:space="0" w:color="auto"/>
              <w:bottom w:val="nil" w:sz="6" w:space="0" w:color="auto"/>
              <w:right w:val="nil" w:sz="6" w:space="0" w:color="auto"/>
            </w:tcBorders>
          </w:tcPr>
          <w:p>
            <w:pPr>
              <w:pStyle w:val="TableParagraph"/>
              <w:spacing w:line="270" w:lineRule="exact"/>
              <w:ind w:left="342" w:right="0"/>
              <w:jc w:val="left"/>
              <w:rPr>
                <w:rFonts w:ascii="宋体" w:hAnsi="宋体" w:cs="宋体" w:eastAsia="宋体" w:hint="default"/>
                <w:sz w:val="21"/>
                <w:szCs w:val="21"/>
              </w:rPr>
            </w:pPr>
            <w:r>
              <w:rPr>
                <w:rFonts w:ascii="宋体"/>
                <w:sz w:val="21"/>
              </w:rPr>
              <w:t>4.32%</w:t>
            </w:r>
          </w:p>
        </w:tc>
      </w:tr>
      <w:tr>
        <w:trPr>
          <w:trHeight w:val="345"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792"/>
              <w:jc w:val="right"/>
              <w:rPr>
                <w:rFonts w:ascii="宋体" w:hAnsi="宋体" w:cs="宋体" w:eastAsia="宋体" w:hint="default"/>
                <w:sz w:val="21"/>
                <w:szCs w:val="21"/>
              </w:rPr>
            </w:pPr>
            <w:r>
              <w:rPr>
                <w:rFonts w:ascii="宋体" w:hAnsi="宋体" w:cs="宋体" w:eastAsia="宋体" w:hint="default"/>
                <w:sz w:val="21"/>
                <w:szCs w:val="21"/>
              </w:rPr>
              <w:t>折旧及摊销（注</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z w:val="21"/>
                <w:szCs w:val="21"/>
              </w:rPr>
              <w:t>）</w:t>
            </w:r>
          </w:p>
        </w:tc>
        <w:tc>
          <w:tcPr>
            <w:tcW w:w="1207" w:type="dxa"/>
            <w:tcBorders>
              <w:top w:val="nil" w:sz="6" w:space="0" w:color="auto"/>
              <w:left w:val="single" w:sz="4" w:space="0" w:color="000000"/>
              <w:bottom w:val="nil" w:sz="6" w:space="0" w:color="auto"/>
              <w:right w:val="nil" w:sz="6" w:space="0" w:color="auto"/>
            </w:tcBorders>
          </w:tcPr>
          <w:p>
            <w:pPr>
              <w:pStyle w:val="TableParagraph"/>
              <w:spacing w:line="270" w:lineRule="exact"/>
              <w:ind w:left="335" w:right="0"/>
              <w:jc w:val="left"/>
              <w:rPr>
                <w:rFonts w:ascii="宋体" w:hAnsi="宋体" w:cs="宋体" w:eastAsia="宋体" w:hint="default"/>
                <w:sz w:val="21"/>
                <w:szCs w:val="21"/>
              </w:rPr>
            </w:pPr>
            <w:r>
              <w:rPr>
                <w:rFonts w:ascii="宋体"/>
                <w:sz w:val="21"/>
              </w:rPr>
              <w:t>836.1</w:t>
            </w:r>
          </w:p>
        </w:tc>
        <w:tc>
          <w:tcPr>
            <w:tcW w:w="1210" w:type="dxa"/>
            <w:tcBorders>
              <w:top w:val="nil" w:sz="6" w:space="0" w:color="auto"/>
              <w:left w:val="nil" w:sz="6" w:space="0" w:color="auto"/>
              <w:bottom w:val="nil" w:sz="6" w:space="0" w:color="auto"/>
              <w:right w:val="single" w:sz="4" w:space="0" w:color="000000"/>
            </w:tcBorders>
          </w:tcPr>
          <w:p>
            <w:pPr>
              <w:pStyle w:val="TableParagraph"/>
              <w:spacing w:line="270" w:lineRule="exact"/>
              <w:ind w:right="281"/>
              <w:jc w:val="right"/>
              <w:rPr>
                <w:rFonts w:ascii="宋体" w:hAnsi="宋体" w:cs="宋体" w:eastAsia="宋体" w:hint="default"/>
                <w:sz w:val="21"/>
                <w:szCs w:val="21"/>
              </w:rPr>
            </w:pPr>
            <w:r>
              <w:rPr>
                <w:rFonts w:ascii="宋体"/>
                <w:sz w:val="21"/>
              </w:rPr>
              <w:t>28.78%</w:t>
            </w:r>
          </w:p>
        </w:tc>
        <w:tc>
          <w:tcPr>
            <w:tcW w:w="1206" w:type="dxa"/>
            <w:tcBorders>
              <w:top w:val="nil" w:sz="6" w:space="0" w:color="auto"/>
              <w:left w:val="single" w:sz="4" w:space="0" w:color="000000"/>
              <w:bottom w:val="nil" w:sz="6" w:space="0" w:color="auto"/>
              <w:right w:val="nil" w:sz="6" w:space="0" w:color="auto"/>
            </w:tcBorders>
          </w:tcPr>
          <w:p>
            <w:pPr>
              <w:pStyle w:val="TableParagraph"/>
              <w:spacing w:line="270" w:lineRule="exact"/>
              <w:ind w:right="4"/>
              <w:jc w:val="center"/>
              <w:rPr>
                <w:rFonts w:ascii="宋体" w:hAnsi="宋体" w:cs="宋体" w:eastAsia="宋体" w:hint="default"/>
                <w:sz w:val="21"/>
                <w:szCs w:val="21"/>
              </w:rPr>
            </w:pPr>
            <w:r>
              <w:rPr>
                <w:rFonts w:ascii="宋体"/>
                <w:sz w:val="21"/>
              </w:rPr>
              <w:t>762.9</w:t>
            </w:r>
          </w:p>
        </w:tc>
        <w:tc>
          <w:tcPr>
            <w:tcW w:w="1209" w:type="dxa"/>
            <w:tcBorders>
              <w:top w:val="nil" w:sz="6" w:space="0" w:color="auto"/>
              <w:left w:val="nil" w:sz="6" w:space="0" w:color="auto"/>
              <w:bottom w:val="nil" w:sz="6" w:space="0" w:color="auto"/>
              <w:right w:val="nil" w:sz="6" w:space="0" w:color="auto"/>
            </w:tcBorders>
          </w:tcPr>
          <w:p>
            <w:pPr>
              <w:pStyle w:val="TableParagraph"/>
              <w:spacing w:line="270" w:lineRule="exact"/>
              <w:ind w:left="289" w:right="0"/>
              <w:jc w:val="left"/>
              <w:rPr>
                <w:rFonts w:ascii="宋体" w:hAnsi="宋体" w:cs="宋体" w:eastAsia="宋体" w:hint="default"/>
                <w:sz w:val="21"/>
                <w:szCs w:val="21"/>
              </w:rPr>
            </w:pPr>
            <w:r>
              <w:rPr>
                <w:rFonts w:ascii="宋体"/>
                <w:sz w:val="21"/>
              </w:rPr>
              <w:t>26.23%</w:t>
            </w:r>
          </w:p>
        </w:tc>
      </w:tr>
      <w:tr>
        <w:trPr>
          <w:trHeight w:val="344"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739"/>
              <w:jc w:val="right"/>
              <w:rPr>
                <w:rFonts w:ascii="宋体" w:hAnsi="宋体" w:cs="宋体" w:eastAsia="宋体" w:hint="default"/>
                <w:sz w:val="21"/>
                <w:szCs w:val="21"/>
              </w:rPr>
            </w:pPr>
            <w:r>
              <w:rPr>
                <w:rFonts w:ascii="宋体" w:hAnsi="宋体" w:cs="宋体" w:eastAsia="宋体" w:hint="default"/>
                <w:spacing w:val="-1"/>
                <w:sz w:val="21"/>
                <w:szCs w:val="21"/>
              </w:rPr>
              <w:t>网络运行及支撑成本</w:t>
            </w:r>
          </w:p>
        </w:tc>
        <w:tc>
          <w:tcPr>
            <w:tcW w:w="1207" w:type="dxa"/>
            <w:tcBorders>
              <w:top w:val="nil" w:sz="6" w:space="0" w:color="auto"/>
              <w:left w:val="single" w:sz="4" w:space="0" w:color="000000"/>
              <w:bottom w:val="nil" w:sz="6" w:space="0" w:color="auto"/>
              <w:right w:val="nil" w:sz="6" w:space="0" w:color="auto"/>
            </w:tcBorders>
          </w:tcPr>
          <w:p>
            <w:pPr>
              <w:pStyle w:val="TableParagraph"/>
              <w:spacing w:line="269" w:lineRule="exact"/>
              <w:ind w:left="335" w:right="0"/>
              <w:jc w:val="left"/>
              <w:rPr>
                <w:rFonts w:ascii="宋体" w:hAnsi="宋体" w:cs="宋体" w:eastAsia="宋体" w:hint="default"/>
                <w:sz w:val="21"/>
                <w:szCs w:val="21"/>
              </w:rPr>
            </w:pPr>
            <w:r>
              <w:rPr>
                <w:rFonts w:ascii="宋体"/>
                <w:sz w:val="21"/>
              </w:rPr>
              <w:t>432.4</w:t>
            </w:r>
          </w:p>
        </w:tc>
        <w:tc>
          <w:tcPr>
            <w:tcW w:w="1210" w:type="dxa"/>
            <w:tcBorders>
              <w:top w:val="nil" w:sz="6" w:space="0" w:color="auto"/>
              <w:left w:val="nil" w:sz="6" w:space="0" w:color="auto"/>
              <w:bottom w:val="nil" w:sz="6" w:space="0" w:color="auto"/>
              <w:right w:val="single" w:sz="4" w:space="0" w:color="000000"/>
            </w:tcBorders>
          </w:tcPr>
          <w:p>
            <w:pPr>
              <w:pStyle w:val="TableParagraph"/>
              <w:spacing w:line="269" w:lineRule="exact"/>
              <w:ind w:right="281"/>
              <w:jc w:val="right"/>
              <w:rPr>
                <w:rFonts w:ascii="宋体" w:hAnsi="宋体" w:cs="宋体" w:eastAsia="宋体" w:hint="default"/>
                <w:sz w:val="21"/>
                <w:szCs w:val="21"/>
              </w:rPr>
            </w:pPr>
            <w:r>
              <w:rPr>
                <w:rFonts w:ascii="宋体"/>
                <w:sz w:val="21"/>
              </w:rPr>
              <w:t>14.88%</w:t>
            </w:r>
          </w:p>
        </w:tc>
        <w:tc>
          <w:tcPr>
            <w:tcW w:w="1206" w:type="dxa"/>
            <w:tcBorders>
              <w:top w:val="nil" w:sz="6" w:space="0" w:color="auto"/>
              <w:left w:val="single" w:sz="4" w:space="0" w:color="000000"/>
              <w:bottom w:val="nil" w:sz="6" w:space="0" w:color="auto"/>
              <w:right w:val="nil" w:sz="6" w:space="0" w:color="auto"/>
            </w:tcBorders>
          </w:tcPr>
          <w:p>
            <w:pPr>
              <w:pStyle w:val="TableParagraph"/>
              <w:spacing w:line="269" w:lineRule="exact"/>
              <w:ind w:right="4"/>
              <w:jc w:val="center"/>
              <w:rPr>
                <w:rFonts w:ascii="宋体" w:hAnsi="宋体" w:cs="宋体" w:eastAsia="宋体" w:hint="default"/>
                <w:sz w:val="21"/>
                <w:szCs w:val="21"/>
              </w:rPr>
            </w:pPr>
            <w:r>
              <w:rPr>
                <w:rFonts w:ascii="宋体"/>
                <w:sz w:val="21"/>
              </w:rPr>
              <w:t>550.8</w:t>
            </w:r>
          </w:p>
        </w:tc>
        <w:tc>
          <w:tcPr>
            <w:tcW w:w="1209" w:type="dxa"/>
            <w:tcBorders>
              <w:top w:val="nil" w:sz="6" w:space="0" w:color="auto"/>
              <w:left w:val="nil" w:sz="6" w:space="0" w:color="auto"/>
              <w:bottom w:val="nil" w:sz="6" w:space="0" w:color="auto"/>
              <w:right w:val="nil" w:sz="6" w:space="0" w:color="auto"/>
            </w:tcBorders>
          </w:tcPr>
          <w:p>
            <w:pPr>
              <w:pStyle w:val="TableParagraph"/>
              <w:spacing w:line="269" w:lineRule="exact"/>
              <w:ind w:left="289" w:right="0"/>
              <w:jc w:val="left"/>
              <w:rPr>
                <w:rFonts w:ascii="宋体" w:hAnsi="宋体" w:cs="宋体" w:eastAsia="宋体" w:hint="default"/>
                <w:sz w:val="21"/>
                <w:szCs w:val="21"/>
              </w:rPr>
            </w:pPr>
            <w:r>
              <w:rPr>
                <w:rFonts w:ascii="宋体"/>
                <w:sz w:val="21"/>
              </w:rPr>
              <w:t>18.93%</w:t>
            </w:r>
          </w:p>
        </w:tc>
      </w:tr>
      <w:tr>
        <w:trPr>
          <w:trHeight w:val="346"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751" w:right="0"/>
              <w:jc w:val="left"/>
              <w:rPr>
                <w:rFonts w:ascii="宋体" w:hAnsi="宋体" w:cs="宋体" w:eastAsia="宋体" w:hint="default"/>
                <w:sz w:val="21"/>
                <w:szCs w:val="21"/>
              </w:rPr>
            </w:pPr>
            <w:r>
              <w:rPr>
                <w:rFonts w:ascii="宋体" w:hAnsi="宋体" w:cs="宋体" w:eastAsia="宋体" w:hint="default"/>
                <w:sz w:val="21"/>
                <w:szCs w:val="21"/>
              </w:rPr>
              <w:t>人工成本（注</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z w:val="21"/>
                <w:szCs w:val="21"/>
              </w:rPr>
              <w:t>）</w:t>
            </w:r>
          </w:p>
        </w:tc>
        <w:tc>
          <w:tcPr>
            <w:tcW w:w="1207" w:type="dxa"/>
            <w:tcBorders>
              <w:top w:val="nil" w:sz="6" w:space="0" w:color="auto"/>
              <w:left w:val="single" w:sz="4" w:space="0" w:color="000000"/>
              <w:bottom w:val="nil" w:sz="6" w:space="0" w:color="auto"/>
              <w:right w:val="nil" w:sz="6" w:space="0" w:color="auto"/>
            </w:tcBorders>
          </w:tcPr>
          <w:p>
            <w:pPr>
              <w:pStyle w:val="TableParagraph"/>
              <w:spacing w:line="270" w:lineRule="exact"/>
              <w:ind w:left="335" w:right="0"/>
              <w:jc w:val="left"/>
              <w:rPr>
                <w:rFonts w:ascii="宋体" w:hAnsi="宋体" w:cs="宋体" w:eastAsia="宋体" w:hint="default"/>
                <w:sz w:val="21"/>
                <w:szCs w:val="21"/>
              </w:rPr>
            </w:pPr>
            <w:r>
              <w:rPr>
                <w:rFonts w:ascii="宋体"/>
                <w:sz w:val="21"/>
              </w:rPr>
              <w:t>505.2</w:t>
            </w:r>
          </w:p>
        </w:tc>
        <w:tc>
          <w:tcPr>
            <w:tcW w:w="1210" w:type="dxa"/>
            <w:tcBorders>
              <w:top w:val="nil" w:sz="6" w:space="0" w:color="auto"/>
              <w:left w:val="nil" w:sz="6" w:space="0" w:color="auto"/>
              <w:bottom w:val="nil" w:sz="6" w:space="0" w:color="auto"/>
              <w:right w:val="single" w:sz="4" w:space="0" w:color="000000"/>
            </w:tcBorders>
          </w:tcPr>
          <w:p>
            <w:pPr>
              <w:pStyle w:val="TableParagraph"/>
              <w:spacing w:line="270" w:lineRule="exact"/>
              <w:ind w:right="281"/>
              <w:jc w:val="right"/>
              <w:rPr>
                <w:rFonts w:ascii="宋体" w:hAnsi="宋体" w:cs="宋体" w:eastAsia="宋体" w:hint="default"/>
                <w:sz w:val="21"/>
                <w:szCs w:val="21"/>
              </w:rPr>
            </w:pPr>
            <w:r>
              <w:rPr>
                <w:rFonts w:ascii="宋体"/>
                <w:sz w:val="21"/>
              </w:rPr>
              <w:t>17.39%</w:t>
            </w:r>
          </w:p>
        </w:tc>
        <w:tc>
          <w:tcPr>
            <w:tcW w:w="1206" w:type="dxa"/>
            <w:tcBorders>
              <w:top w:val="nil" w:sz="6" w:space="0" w:color="auto"/>
              <w:left w:val="single" w:sz="4" w:space="0" w:color="000000"/>
              <w:bottom w:val="nil" w:sz="6" w:space="0" w:color="auto"/>
              <w:right w:val="nil" w:sz="6" w:space="0" w:color="auto"/>
            </w:tcBorders>
          </w:tcPr>
          <w:p>
            <w:pPr>
              <w:pStyle w:val="TableParagraph"/>
              <w:spacing w:line="270" w:lineRule="exact"/>
              <w:ind w:right="4"/>
              <w:jc w:val="center"/>
              <w:rPr>
                <w:rFonts w:ascii="宋体" w:hAnsi="宋体" w:cs="宋体" w:eastAsia="宋体" w:hint="default"/>
                <w:sz w:val="21"/>
                <w:szCs w:val="21"/>
              </w:rPr>
            </w:pPr>
            <w:r>
              <w:rPr>
                <w:rFonts w:ascii="宋体"/>
                <w:sz w:val="21"/>
              </w:rPr>
              <w:t>481.4</w:t>
            </w:r>
          </w:p>
        </w:tc>
        <w:tc>
          <w:tcPr>
            <w:tcW w:w="1209" w:type="dxa"/>
            <w:tcBorders>
              <w:top w:val="nil" w:sz="6" w:space="0" w:color="auto"/>
              <w:left w:val="nil" w:sz="6" w:space="0" w:color="auto"/>
              <w:bottom w:val="nil" w:sz="6" w:space="0" w:color="auto"/>
              <w:right w:val="nil" w:sz="6" w:space="0" w:color="auto"/>
            </w:tcBorders>
          </w:tcPr>
          <w:p>
            <w:pPr>
              <w:pStyle w:val="TableParagraph"/>
              <w:spacing w:line="270" w:lineRule="exact"/>
              <w:ind w:left="289" w:right="0"/>
              <w:jc w:val="left"/>
              <w:rPr>
                <w:rFonts w:ascii="宋体" w:hAnsi="宋体" w:cs="宋体" w:eastAsia="宋体" w:hint="default"/>
                <w:sz w:val="21"/>
                <w:szCs w:val="21"/>
              </w:rPr>
            </w:pPr>
            <w:r>
              <w:rPr>
                <w:rFonts w:ascii="宋体"/>
                <w:sz w:val="21"/>
              </w:rPr>
              <w:t>16.55%</w:t>
            </w:r>
          </w:p>
        </w:tc>
      </w:tr>
      <w:tr>
        <w:trPr>
          <w:trHeight w:val="346"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751" w:right="0"/>
              <w:jc w:val="left"/>
              <w:rPr>
                <w:rFonts w:ascii="宋体" w:hAnsi="宋体" w:cs="宋体" w:eastAsia="宋体" w:hint="default"/>
                <w:sz w:val="21"/>
                <w:szCs w:val="21"/>
              </w:rPr>
            </w:pPr>
            <w:r>
              <w:rPr>
                <w:rFonts w:ascii="宋体" w:hAnsi="宋体" w:cs="宋体" w:eastAsia="宋体" w:hint="default"/>
                <w:sz w:val="21"/>
                <w:szCs w:val="21"/>
              </w:rPr>
              <w:t>销售通信产品成本</w:t>
            </w:r>
          </w:p>
        </w:tc>
        <w:tc>
          <w:tcPr>
            <w:tcW w:w="1207" w:type="dxa"/>
            <w:tcBorders>
              <w:top w:val="nil" w:sz="6" w:space="0" w:color="auto"/>
              <w:left w:val="single" w:sz="4" w:space="0" w:color="000000"/>
              <w:bottom w:val="nil" w:sz="6" w:space="0" w:color="auto"/>
              <w:right w:val="nil" w:sz="6" w:space="0" w:color="auto"/>
            </w:tcBorders>
          </w:tcPr>
          <w:p>
            <w:pPr>
              <w:pStyle w:val="TableParagraph"/>
              <w:spacing w:line="270" w:lineRule="exact"/>
              <w:ind w:left="335" w:right="0"/>
              <w:jc w:val="left"/>
              <w:rPr>
                <w:rFonts w:ascii="宋体" w:hAnsi="宋体" w:cs="宋体" w:eastAsia="宋体" w:hint="default"/>
                <w:sz w:val="21"/>
                <w:szCs w:val="21"/>
              </w:rPr>
            </w:pPr>
            <w:r>
              <w:rPr>
                <w:rFonts w:ascii="宋体"/>
                <w:sz w:val="21"/>
              </w:rPr>
              <w:t>264.1</w:t>
            </w:r>
          </w:p>
        </w:tc>
        <w:tc>
          <w:tcPr>
            <w:tcW w:w="1210" w:type="dxa"/>
            <w:tcBorders>
              <w:top w:val="nil" w:sz="6" w:space="0" w:color="auto"/>
              <w:left w:val="nil" w:sz="6" w:space="0" w:color="auto"/>
              <w:bottom w:val="nil" w:sz="6" w:space="0" w:color="auto"/>
              <w:right w:val="single" w:sz="4" w:space="0" w:color="000000"/>
            </w:tcBorders>
          </w:tcPr>
          <w:p>
            <w:pPr>
              <w:pStyle w:val="TableParagraph"/>
              <w:spacing w:line="270" w:lineRule="exact"/>
              <w:ind w:right="335"/>
              <w:jc w:val="right"/>
              <w:rPr>
                <w:rFonts w:ascii="宋体" w:hAnsi="宋体" w:cs="宋体" w:eastAsia="宋体" w:hint="default"/>
                <w:sz w:val="21"/>
                <w:szCs w:val="21"/>
              </w:rPr>
            </w:pPr>
            <w:r>
              <w:rPr>
                <w:rFonts w:ascii="宋体"/>
                <w:sz w:val="21"/>
              </w:rPr>
              <w:t>9.09%</w:t>
            </w:r>
          </w:p>
        </w:tc>
        <w:tc>
          <w:tcPr>
            <w:tcW w:w="1206" w:type="dxa"/>
            <w:tcBorders>
              <w:top w:val="nil" w:sz="6" w:space="0" w:color="auto"/>
              <w:left w:val="single" w:sz="4" w:space="0" w:color="000000"/>
              <w:bottom w:val="nil" w:sz="6" w:space="0" w:color="auto"/>
              <w:right w:val="nil" w:sz="6" w:space="0" w:color="auto"/>
            </w:tcBorders>
          </w:tcPr>
          <w:p>
            <w:pPr>
              <w:pStyle w:val="TableParagraph"/>
              <w:spacing w:line="270" w:lineRule="exact"/>
              <w:ind w:right="4"/>
              <w:jc w:val="center"/>
              <w:rPr>
                <w:rFonts w:ascii="宋体" w:hAnsi="宋体" w:cs="宋体" w:eastAsia="宋体" w:hint="default"/>
                <w:sz w:val="21"/>
                <w:szCs w:val="21"/>
              </w:rPr>
            </w:pPr>
            <w:r>
              <w:rPr>
                <w:rFonts w:ascii="宋体"/>
                <w:sz w:val="21"/>
              </w:rPr>
              <w:t>276.0</w:t>
            </w:r>
          </w:p>
        </w:tc>
        <w:tc>
          <w:tcPr>
            <w:tcW w:w="1209" w:type="dxa"/>
            <w:tcBorders>
              <w:top w:val="nil" w:sz="6" w:space="0" w:color="auto"/>
              <w:left w:val="nil" w:sz="6" w:space="0" w:color="auto"/>
              <w:bottom w:val="nil" w:sz="6" w:space="0" w:color="auto"/>
              <w:right w:val="nil" w:sz="6" w:space="0" w:color="auto"/>
            </w:tcBorders>
          </w:tcPr>
          <w:p>
            <w:pPr>
              <w:pStyle w:val="TableParagraph"/>
              <w:spacing w:line="270" w:lineRule="exact"/>
              <w:ind w:left="342" w:right="0"/>
              <w:jc w:val="left"/>
              <w:rPr>
                <w:rFonts w:ascii="宋体" w:hAnsi="宋体" w:cs="宋体" w:eastAsia="宋体" w:hint="default"/>
                <w:sz w:val="21"/>
                <w:szCs w:val="21"/>
              </w:rPr>
            </w:pPr>
            <w:r>
              <w:rPr>
                <w:rFonts w:ascii="宋体"/>
                <w:sz w:val="21"/>
              </w:rPr>
              <w:t>9.49%</w:t>
            </w:r>
          </w:p>
        </w:tc>
      </w:tr>
      <w:tr>
        <w:trPr>
          <w:trHeight w:val="337"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751"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207" w:type="dxa"/>
            <w:tcBorders>
              <w:top w:val="nil" w:sz="6" w:space="0" w:color="auto"/>
              <w:left w:val="single" w:sz="4" w:space="0" w:color="000000"/>
              <w:bottom w:val="nil" w:sz="6" w:space="0" w:color="auto"/>
              <w:right w:val="nil" w:sz="6" w:space="0" w:color="auto"/>
            </w:tcBorders>
          </w:tcPr>
          <w:p>
            <w:pPr>
              <w:pStyle w:val="TableParagraph"/>
              <w:spacing w:line="270" w:lineRule="exact"/>
              <w:ind w:left="335" w:right="0"/>
              <w:jc w:val="left"/>
              <w:rPr>
                <w:rFonts w:ascii="宋体" w:hAnsi="宋体" w:cs="宋体" w:eastAsia="宋体" w:hint="default"/>
                <w:sz w:val="21"/>
                <w:szCs w:val="21"/>
              </w:rPr>
            </w:pPr>
            <w:r>
              <w:rPr>
                <w:rFonts w:ascii="宋体"/>
                <w:sz w:val="21"/>
              </w:rPr>
              <w:t>335.4</w:t>
            </w:r>
          </w:p>
        </w:tc>
        <w:tc>
          <w:tcPr>
            <w:tcW w:w="1210" w:type="dxa"/>
            <w:tcBorders>
              <w:top w:val="nil" w:sz="6" w:space="0" w:color="auto"/>
              <w:left w:val="nil" w:sz="6" w:space="0" w:color="auto"/>
              <w:bottom w:val="nil" w:sz="6" w:space="0" w:color="auto"/>
              <w:right w:val="single" w:sz="4" w:space="0" w:color="000000"/>
            </w:tcBorders>
          </w:tcPr>
          <w:p>
            <w:pPr>
              <w:pStyle w:val="TableParagraph"/>
              <w:spacing w:line="270" w:lineRule="exact"/>
              <w:ind w:right="281"/>
              <w:jc w:val="right"/>
              <w:rPr>
                <w:rFonts w:ascii="宋体" w:hAnsi="宋体" w:cs="宋体" w:eastAsia="宋体" w:hint="default"/>
                <w:sz w:val="21"/>
                <w:szCs w:val="21"/>
              </w:rPr>
            </w:pPr>
            <w:r>
              <w:rPr>
                <w:rFonts w:ascii="宋体"/>
                <w:sz w:val="21"/>
              </w:rPr>
              <w:t>11.55%</w:t>
            </w:r>
          </w:p>
        </w:tc>
        <w:tc>
          <w:tcPr>
            <w:tcW w:w="1206" w:type="dxa"/>
            <w:tcBorders>
              <w:top w:val="nil" w:sz="6" w:space="0" w:color="auto"/>
              <w:left w:val="single" w:sz="4" w:space="0" w:color="000000"/>
              <w:bottom w:val="nil" w:sz="6" w:space="0" w:color="auto"/>
              <w:right w:val="nil" w:sz="6" w:space="0" w:color="auto"/>
            </w:tcBorders>
          </w:tcPr>
          <w:p>
            <w:pPr>
              <w:pStyle w:val="TableParagraph"/>
              <w:spacing w:line="270" w:lineRule="exact"/>
              <w:ind w:right="4"/>
              <w:jc w:val="center"/>
              <w:rPr>
                <w:rFonts w:ascii="宋体" w:hAnsi="宋体" w:cs="宋体" w:eastAsia="宋体" w:hint="default"/>
                <w:sz w:val="21"/>
                <w:szCs w:val="21"/>
              </w:rPr>
            </w:pPr>
            <w:r>
              <w:rPr>
                <w:rFonts w:ascii="宋体"/>
                <w:sz w:val="21"/>
              </w:rPr>
              <w:t>351.7</w:t>
            </w:r>
          </w:p>
        </w:tc>
        <w:tc>
          <w:tcPr>
            <w:tcW w:w="1209" w:type="dxa"/>
            <w:tcBorders>
              <w:top w:val="nil" w:sz="6" w:space="0" w:color="auto"/>
              <w:left w:val="nil" w:sz="6" w:space="0" w:color="auto"/>
              <w:bottom w:val="nil" w:sz="6" w:space="0" w:color="auto"/>
              <w:right w:val="nil" w:sz="6" w:space="0" w:color="auto"/>
            </w:tcBorders>
          </w:tcPr>
          <w:p>
            <w:pPr>
              <w:pStyle w:val="TableParagraph"/>
              <w:spacing w:line="270" w:lineRule="exact"/>
              <w:ind w:left="289" w:right="0"/>
              <w:jc w:val="left"/>
              <w:rPr>
                <w:rFonts w:ascii="宋体" w:hAnsi="宋体" w:cs="宋体" w:eastAsia="宋体" w:hint="default"/>
                <w:sz w:val="21"/>
                <w:szCs w:val="21"/>
              </w:rPr>
            </w:pPr>
            <w:r>
              <w:rPr>
                <w:rFonts w:ascii="宋体"/>
                <w:sz w:val="21"/>
              </w:rPr>
              <w:t>12.09%</w:t>
            </w:r>
          </w:p>
        </w:tc>
      </w:tr>
      <w:tr>
        <w:trPr>
          <w:trHeight w:val="631"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61" w:lineRule="exact"/>
              <w:ind w:left="751" w:right="0"/>
              <w:jc w:val="left"/>
              <w:rPr>
                <w:rFonts w:ascii="宋体" w:hAnsi="宋体" w:cs="宋体" w:eastAsia="宋体" w:hint="default"/>
                <w:sz w:val="21"/>
                <w:szCs w:val="21"/>
              </w:rPr>
            </w:pPr>
            <w:r>
              <w:rPr>
                <w:rFonts w:ascii="宋体" w:hAnsi="宋体" w:cs="宋体" w:eastAsia="宋体" w:hint="default"/>
                <w:sz w:val="21"/>
                <w:szCs w:val="21"/>
              </w:rPr>
              <w:t>其他营业成本及管理费用</w:t>
            </w:r>
          </w:p>
          <w:p>
            <w:pPr>
              <w:pStyle w:val="TableParagraph"/>
              <w:spacing w:line="240" w:lineRule="auto" w:before="37"/>
              <w:ind w:left="120" w:right="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z w:val="21"/>
                <w:szCs w:val="21"/>
              </w:rPr>
              <w:t>）</w:t>
            </w:r>
          </w:p>
        </w:tc>
        <w:tc>
          <w:tcPr>
            <w:tcW w:w="1207" w:type="dxa"/>
            <w:tcBorders>
              <w:top w:val="nil" w:sz="6" w:space="0" w:color="auto"/>
              <w:left w:val="single" w:sz="4" w:space="0" w:color="000000"/>
              <w:bottom w:val="nil" w:sz="6" w:space="0" w:color="auto"/>
              <w:right w:val="nil" w:sz="6" w:space="0" w:color="auto"/>
            </w:tcBorders>
          </w:tcPr>
          <w:p>
            <w:pPr>
              <w:pStyle w:val="TableParagraph"/>
              <w:spacing w:line="240" w:lineRule="auto" w:before="142"/>
              <w:ind w:left="335" w:right="0"/>
              <w:jc w:val="left"/>
              <w:rPr>
                <w:rFonts w:ascii="宋体" w:hAnsi="宋体" w:cs="宋体" w:eastAsia="宋体" w:hint="default"/>
                <w:sz w:val="21"/>
                <w:szCs w:val="21"/>
              </w:rPr>
            </w:pPr>
            <w:r>
              <w:rPr>
                <w:rFonts w:ascii="宋体"/>
                <w:sz w:val="21"/>
              </w:rPr>
              <w:t>235.3</w:t>
            </w:r>
          </w:p>
        </w:tc>
        <w:tc>
          <w:tcPr>
            <w:tcW w:w="1210" w:type="dxa"/>
            <w:tcBorders>
              <w:top w:val="nil" w:sz="6" w:space="0" w:color="auto"/>
              <w:left w:val="nil" w:sz="6" w:space="0" w:color="auto"/>
              <w:bottom w:val="nil" w:sz="6" w:space="0" w:color="auto"/>
              <w:right w:val="single" w:sz="4" w:space="0" w:color="000000"/>
            </w:tcBorders>
          </w:tcPr>
          <w:p>
            <w:pPr>
              <w:pStyle w:val="TableParagraph"/>
              <w:spacing w:line="240" w:lineRule="auto" w:before="142"/>
              <w:ind w:right="335"/>
              <w:jc w:val="right"/>
              <w:rPr>
                <w:rFonts w:ascii="宋体" w:hAnsi="宋体" w:cs="宋体" w:eastAsia="宋体" w:hint="default"/>
                <w:sz w:val="21"/>
                <w:szCs w:val="21"/>
              </w:rPr>
            </w:pPr>
            <w:r>
              <w:rPr>
                <w:rFonts w:ascii="宋体"/>
                <w:sz w:val="21"/>
              </w:rPr>
              <w:t>8.10%</w:t>
            </w:r>
          </w:p>
        </w:tc>
        <w:tc>
          <w:tcPr>
            <w:tcW w:w="1206" w:type="dxa"/>
            <w:tcBorders>
              <w:top w:val="nil" w:sz="6" w:space="0" w:color="auto"/>
              <w:left w:val="single" w:sz="4" w:space="0" w:color="000000"/>
              <w:bottom w:val="nil" w:sz="6" w:space="0" w:color="auto"/>
              <w:right w:val="nil" w:sz="6" w:space="0" w:color="auto"/>
            </w:tcBorders>
          </w:tcPr>
          <w:p>
            <w:pPr>
              <w:pStyle w:val="TableParagraph"/>
              <w:spacing w:line="240" w:lineRule="auto" w:before="142"/>
              <w:ind w:right="4"/>
              <w:jc w:val="center"/>
              <w:rPr>
                <w:rFonts w:ascii="宋体" w:hAnsi="宋体" w:cs="宋体" w:eastAsia="宋体" w:hint="default"/>
                <w:sz w:val="21"/>
                <w:szCs w:val="21"/>
              </w:rPr>
            </w:pPr>
            <w:r>
              <w:rPr>
                <w:rFonts w:ascii="宋体"/>
                <w:sz w:val="21"/>
              </w:rPr>
              <w:t>176.9</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42"/>
              <w:ind w:left="342" w:right="0"/>
              <w:jc w:val="left"/>
              <w:rPr>
                <w:rFonts w:ascii="宋体" w:hAnsi="宋体" w:cs="宋体" w:eastAsia="宋体" w:hint="default"/>
                <w:sz w:val="21"/>
                <w:szCs w:val="21"/>
              </w:rPr>
            </w:pPr>
            <w:r>
              <w:rPr>
                <w:rFonts w:ascii="宋体"/>
                <w:sz w:val="21"/>
              </w:rPr>
              <w:t>6.08%</w:t>
            </w:r>
          </w:p>
        </w:tc>
      </w:tr>
      <w:tr>
        <w:trPr>
          <w:trHeight w:val="359" w:hRule="exact"/>
        </w:trPr>
        <w:tc>
          <w:tcPr>
            <w:tcW w:w="3392" w:type="dxa"/>
            <w:tcBorders>
              <w:top w:val="nil" w:sz="6" w:space="0" w:color="auto"/>
              <w:left w:val="nil" w:sz="6" w:space="0" w:color="auto"/>
              <w:bottom w:val="single" w:sz="17" w:space="0" w:color="000000"/>
              <w:right w:val="single" w:sz="4" w:space="0" w:color="000000"/>
            </w:tcBorders>
          </w:tcPr>
          <w:p>
            <w:pPr>
              <w:pStyle w:val="TableParagraph"/>
              <w:spacing w:line="240" w:lineRule="auto" w:before="10"/>
              <w:ind w:left="751"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207" w:type="dxa"/>
            <w:tcBorders>
              <w:top w:val="nil" w:sz="6" w:space="0" w:color="auto"/>
              <w:left w:val="single" w:sz="4" w:space="0" w:color="000000"/>
              <w:bottom w:val="single" w:sz="17" w:space="0" w:color="000000"/>
              <w:right w:val="nil" w:sz="6" w:space="0" w:color="auto"/>
            </w:tcBorders>
          </w:tcPr>
          <w:p>
            <w:pPr>
              <w:pStyle w:val="TableParagraph"/>
              <w:spacing w:line="269" w:lineRule="exact"/>
              <w:ind w:right="0"/>
              <w:jc w:val="center"/>
              <w:rPr>
                <w:rFonts w:ascii="宋体" w:hAnsi="宋体" w:cs="宋体" w:eastAsia="宋体" w:hint="default"/>
                <w:sz w:val="21"/>
                <w:szCs w:val="21"/>
              </w:rPr>
            </w:pPr>
            <w:r>
              <w:rPr>
                <w:rFonts w:ascii="宋体"/>
                <w:sz w:val="21"/>
              </w:rPr>
              <w:t>7.2</w:t>
            </w:r>
          </w:p>
        </w:tc>
        <w:tc>
          <w:tcPr>
            <w:tcW w:w="1210" w:type="dxa"/>
            <w:tcBorders>
              <w:top w:val="nil" w:sz="6" w:space="0" w:color="auto"/>
              <w:left w:val="nil" w:sz="6" w:space="0" w:color="auto"/>
              <w:bottom w:val="single" w:sz="17" w:space="0" w:color="000000"/>
              <w:right w:val="single" w:sz="4" w:space="0" w:color="000000"/>
            </w:tcBorders>
          </w:tcPr>
          <w:p>
            <w:pPr>
              <w:pStyle w:val="TableParagraph"/>
              <w:spacing w:line="269" w:lineRule="exact"/>
              <w:ind w:right="335"/>
              <w:jc w:val="right"/>
              <w:rPr>
                <w:rFonts w:ascii="宋体" w:hAnsi="宋体" w:cs="宋体" w:eastAsia="宋体" w:hint="default"/>
                <w:sz w:val="21"/>
                <w:szCs w:val="21"/>
              </w:rPr>
            </w:pPr>
            <w:r>
              <w:rPr>
                <w:rFonts w:ascii="宋体"/>
                <w:sz w:val="21"/>
              </w:rPr>
              <w:t>0.25%</w:t>
            </w:r>
          </w:p>
        </w:tc>
        <w:tc>
          <w:tcPr>
            <w:tcW w:w="1206" w:type="dxa"/>
            <w:tcBorders>
              <w:top w:val="nil" w:sz="6" w:space="0" w:color="auto"/>
              <w:left w:val="single" w:sz="4" w:space="0" w:color="000000"/>
              <w:bottom w:val="single" w:sz="17" w:space="0" w:color="000000"/>
              <w:right w:val="nil" w:sz="6" w:space="0" w:color="auto"/>
            </w:tcBorders>
          </w:tcPr>
          <w:p>
            <w:pPr>
              <w:pStyle w:val="TableParagraph"/>
              <w:spacing w:line="269" w:lineRule="exact"/>
              <w:ind w:right="4"/>
              <w:jc w:val="center"/>
              <w:rPr>
                <w:rFonts w:ascii="宋体" w:hAnsi="宋体" w:cs="宋体" w:eastAsia="宋体" w:hint="default"/>
                <w:sz w:val="21"/>
                <w:szCs w:val="21"/>
              </w:rPr>
            </w:pPr>
            <w:r>
              <w:rPr>
                <w:rFonts w:ascii="宋体"/>
                <w:sz w:val="21"/>
              </w:rPr>
              <w:t>-1.4</w:t>
            </w:r>
          </w:p>
        </w:tc>
        <w:tc>
          <w:tcPr>
            <w:tcW w:w="1209" w:type="dxa"/>
            <w:tcBorders>
              <w:top w:val="nil" w:sz="6" w:space="0" w:color="auto"/>
              <w:left w:val="nil" w:sz="6" w:space="0" w:color="auto"/>
              <w:bottom w:val="single" w:sz="17" w:space="0" w:color="000000"/>
              <w:right w:val="nil" w:sz="6" w:space="0" w:color="auto"/>
            </w:tcBorders>
          </w:tcPr>
          <w:p>
            <w:pPr>
              <w:pStyle w:val="TableParagraph"/>
              <w:spacing w:line="269" w:lineRule="exact"/>
              <w:ind w:left="289" w:right="0"/>
              <w:jc w:val="left"/>
              <w:rPr>
                <w:rFonts w:ascii="宋体" w:hAnsi="宋体" w:cs="宋体" w:eastAsia="宋体" w:hint="default"/>
                <w:sz w:val="21"/>
                <w:szCs w:val="21"/>
              </w:rPr>
            </w:pPr>
            <w:r>
              <w:rPr>
                <w:rFonts w:ascii="宋体"/>
                <w:sz w:val="21"/>
              </w:rPr>
              <w:t>-0.05%</w:t>
            </w:r>
          </w:p>
        </w:tc>
      </w:tr>
    </w:tbl>
    <w:p>
      <w:pPr>
        <w:spacing w:line="240" w:lineRule="auto" w:before="10"/>
        <w:rPr>
          <w:rFonts w:ascii="宋体" w:hAnsi="宋体" w:cs="宋体" w:eastAsia="宋体" w:hint="default"/>
          <w:sz w:val="7"/>
          <w:szCs w:val="7"/>
        </w:rPr>
      </w:pPr>
    </w:p>
    <w:p>
      <w:pPr>
        <w:spacing w:before="35"/>
        <w:ind w:left="491" w:right="0" w:firstLine="0"/>
        <w:jc w:val="left"/>
        <w:rPr>
          <w:rFonts w:ascii="宋体" w:hAnsi="宋体" w:cs="宋体" w:eastAsia="宋体" w:hint="default"/>
          <w:sz w:val="21"/>
          <w:szCs w:val="21"/>
        </w:rPr>
      </w:pPr>
      <w:r>
        <w:rPr>
          <w:rFonts w:ascii="宋体" w:hAnsi="宋体" w:cs="宋体" w:eastAsia="宋体" w:hint="default"/>
          <w:w w:val="95"/>
          <w:sz w:val="21"/>
          <w:szCs w:val="21"/>
        </w:rPr>
        <w:t>注</w:t>
      </w:r>
      <w:r>
        <w:rPr>
          <w:rFonts w:ascii="宋体" w:hAnsi="宋体" w:cs="宋体" w:eastAsia="宋体" w:hint="default"/>
          <w:spacing w:val="-42"/>
          <w:w w:val="95"/>
          <w:sz w:val="21"/>
          <w:szCs w:val="21"/>
        </w:rPr>
        <w:t> </w:t>
      </w:r>
      <w:r>
        <w:rPr>
          <w:rFonts w:ascii="Times New Roman" w:hAnsi="Times New Roman" w:cs="Times New Roman" w:eastAsia="Times New Roman" w:hint="default"/>
          <w:i/>
          <w:spacing w:val="-4"/>
          <w:w w:val="95"/>
          <w:sz w:val="20"/>
          <w:szCs w:val="20"/>
        </w:rPr>
        <w:t>1</w:t>
      </w:r>
      <w:r>
        <w:rPr>
          <w:rFonts w:ascii="宋体" w:hAnsi="宋体" w:cs="宋体" w:eastAsia="宋体" w:hint="default"/>
          <w:spacing w:val="-4"/>
          <w:w w:val="95"/>
          <w:sz w:val="21"/>
          <w:szCs w:val="21"/>
        </w:rPr>
        <w:t>：上述“折旧及摊销”和“人工成本”为营业成本和管理费用和研发费用中相同性质的数据的总额。</w:t>
      </w:r>
      <w:r>
        <w:rPr>
          <w:rFonts w:ascii="宋体" w:hAnsi="宋体" w:cs="宋体" w:eastAsia="宋体" w:hint="default"/>
          <w:spacing w:val="-4"/>
          <w:sz w:val="21"/>
          <w:szCs w:val="21"/>
        </w:rPr>
      </w:r>
    </w:p>
    <w:p>
      <w:pPr>
        <w:spacing w:line="259" w:lineRule="auto" w:before="180"/>
        <w:ind w:left="138" w:right="207" w:firstLine="352"/>
        <w:jc w:val="left"/>
        <w:rPr>
          <w:rFonts w:ascii="宋体" w:hAnsi="宋体" w:cs="宋体" w:eastAsia="宋体" w:hint="default"/>
          <w:sz w:val="21"/>
          <w:szCs w:val="21"/>
        </w:rPr>
      </w:pPr>
      <w:r>
        <w:rPr>
          <w:rFonts w:ascii="宋体" w:hAnsi="宋体" w:cs="宋体" w:eastAsia="宋体" w:hint="default"/>
          <w:w w:val="95"/>
          <w:sz w:val="21"/>
          <w:szCs w:val="21"/>
        </w:rPr>
        <w:t>注</w:t>
      </w:r>
      <w:r>
        <w:rPr>
          <w:rFonts w:ascii="宋体" w:hAnsi="宋体" w:cs="宋体" w:eastAsia="宋体" w:hint="default"/>
          <w:spacing w:val="-36"/>
          <w:w w:val="95"/>
          <w:sz w:val="21"/>
          <w:szCs w:val="21"/>
        </w:rPr>
        <w:t> </w:t>
      </w:r>
      <w:r>
        <w:rPr>
          <w:rFonts w:ascii="Times New Roman" w:hAnsi="Times New Roman" w:cs="Times New Roman" w:eastAsia="Times New Roman" w:hint="default"/>
          <w:i/>
          <w:spacing w:val="-2"/>
          <w:w w:val="95"/>
          <w:sz w:val="20"/>
          <w:szCs w:val="20"/>
        </w:rPr>
        <w:t>2</w:t>
      </w:r>
      <w:r>
        <w:rPr>
          <w:rFonts w:ascii="宋体" w:hAnsi="宋体" w:cs="宋体" w:eastAsia="宋体" w:hint="default"/>
          <w:spacing w:val="-2"/>
          <w:w w:val="95"/>
          <w:sz w:val="21"/>
          <w:szCs w:val="21"/>
        </w:rPr>
        <w:t>：上述“其他营业成本及管理费用”为营业成本、管理费用和研发费用合计扣除网间结算成本、折</w:t>
      </w:r>
      <w:r>
        <w:rPr>
          <w:rFonts w:ascii="宋体" w:hAnsi="宋体" w:cs="宋体" w:eastAsia="宋体" w:hint="default"/>
          <w:w w:val="94"/>
          <w:sz w:val="21"/>
          <w:szCs w:val="21"/>
        </w:rPr>
        <w:t> </w:t>
      </w:r>
      <w:r>
        <w:rPr>
          <w:rFonts w:ascii="宋体" w:hAnsi="宋体" w:cs="宋体" w:eastAsia="宋体" w:hint="default"/>
          <w:sz w:val="21"/>
          <w:szCs w:val="21"/>
        </w:rPr>
        <w:t>旧及摊销、网络运行及支撑成本、人工成本及销售通信产品成本后的数据。</w:t>
      </w:r>
    </w:p>
    <w:p>
      <w:pPr>
        <w:spacing w:before="95"/>
        <w:ind w:left="561" w:right="96"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1</w:t>
      </w:r>
      <w:r>
        <w:rPr>
          <w:rFonts w:ascii="Microsoft JhengHei" w:hAnsi="Microsoft JhengHei" w:cs="Microsoft JhengHei" w:eastAsia="Microsoft JhengHei" w:hint="default"/>
          <w:b/>
          <w:bCs/>
          <w:sz w:val="21"/>
          <w:szCs w:val="21"/>
        </w:rPr>
        <w:t>）网间结算成本</w:t>
      </w:r>
      <w:r>
        <w:rPr>
          <w:rFonts w:ascii="Microsoft JhengHei" w:hAnsi="Microsoft JhengHei" w:cs="Microsoft JhengHei" w:eastAsia="Microsoft JhengHei" w:hint="default"/>
          <w:sz w:val="21"/>
          <w:szCs w:val="21"/>
        </w:rPr>
      </w:r>
    </w:p>
    <w:p>
      <w:pPr>
        <w:spacing w:line="240" w:lineRule="auto" w:before="16"/>
        <w:rPr>
          <w:rFonts w:ascii="Microsoft JhengHei" w:hAnsi="Microsoft JhengHei" w:cs="Microsoft JhengHei" w:eastAsia="Microsoft JhengHei" w:hint="default"/>
          <w:b/>
          <w:bCs/>
          <w:sz w:val="11"/>
          <w:szCs w:val="11"/>
        </w:rPr>
      </w:pPr>
    </w:p>
    <w:p>
      <w:pPr>
        <w:spacing w:line="314" w:lineRule="auto" w:before="0"/>
        <w:ind w:left="138" w:right="96" w:firstLine="372"/>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41"/>
          <w:sz w:val="21"/>
          <w:szCs w:val="21"/>
        </w:rPr>
        <w:t> </w:t>
      </w:r>
      <w:r>
        <w:rPr>
          <w:rFonts w:ascii="宋体" w:hAnsi="宋体" w:cs="宋体" w:eastAsia="宋体" w:hint="default"/>
          <w:spacing w:val="-3"/>
          <w:sz w:val="21"/>
          <w:szCs w:val="21"/>
        </w:rPr>
        <w:t>年公司受话务量下降影响，网间结算成本发生人民币</w:t>
      </w:r>
      <w:r>
        <w:rPr>
          <w:rFonts w:ascii="宋体" w:hAnsi="宋体" w:cs="宋体" w:eastAsia="宋体" w:hint="default"/>
          <w:spacing w:val="-38"/>
          <w:sz w:val="21"/>
          <w:szCs w:val="21"/>
        </w:rPr>
        <w:t> </w:t>
      </w:r>
      <w:r>
        <w:rPr>
          <w:rFonts w:ascii="宋体" w:hAnsi="宋体" w:cs="宋体" w:eastAsia="宋体" w:hint="default"/>
          <w:sz w:val="21"/>
          <w:szCs w:val="21"/>
        </w:rPr>
        <w:t>115.1</w:t>
      </w:r>
      <w:r>
        <w:rPr>
          <w:rFonts w:ascii="宋体" w:hAnsi="宋体" w:cs="宋体" w:eastAsia="宋体" w:hint="default"/>
          <w:spacing w:val="-39"/>
          <w:sz w:val="21"/>
          <w:szCs w:val="21"/>
        </w:rPr>
        <w:t> </w:t>
      </w:r>
      <w:r>
        <w:rPr>
          <w:rFonts w:ascii="宋体" w:hAnsi="宋体" w:cs="宋体" w:eastAsia="宋体" w:hint="default"/>
          <w:spacing w:val="-6"/>
          <w:sz w:val="21"/>
          <w:szCs w:val="21"/>
        </w:rPr>
        <w:t>亿元，同比下降</w:t>
      </w:r>
      <w:r>
        <w:rPr>
          <w:rFonts w:ascii="宋体" w:hAnsi="宋体" w:cs="宋体" w:eastAsia="宋体" w:hint="default"/>
          <w:spacing w:val="-38"/>
          <w:sz w:val="21"/>
          <w:szCs w:val="21"/>
        </w:rPr>
        <w:t> </w:t>
      </w:r>
      <w:r>
        <w:rPr>
          <w:rFonts w:ascii="宋体" w:hAnsi="宋体" w:cs="宋体" w:eastAsia="宋体" w:hint="default"/>
          <w:spacing w:val="-5"/>
          <w:sz w:val="21"/>
          <w:szCs w:val="21"/>
        </w:rPr>
        <w:t>8.5%</w:t>
      </w:r>
      <w:r>
        <w:rPr>
          <w:rFonts w:ascii="宋体" w:hAnsi="宋体" w:cs="宋体" w:eastAsia="宋体" w:hint="default"/>
          <w:spacing w:val="-5"/>
          <w:sz w:val="21"/>
          <w:szCs w:val="21"/>
        </w:rPr>
        <w:t>，所占营业</w:t>
      </w:r>
      <w:r>
        <w:rPr>
          <w:rFonts w:ascii="宋体" w:hAnsi="宋体" w:cs="宋体" w:eastAsia="宋体" w:hint="default"/>
          <w:w w:val="100"/>
          <w:sz w:val="21"/>
          <w:szCs w:val="21"/>
        </w:rPr>
        <w:t> </w:t>
      </w:r>
      <w:r>
        <w:rPr>
          <w:rFonts w:ascii="宋体" w:hAnsi="宋体" w:cs="宋体" w:eastAsia="宋体" w:hint="default"/>
          <w:sz w:val="21"/>
          <w:szCs w:val="21"/>
        </w:rPr>
        <w:t>收入的比重由上年的</w:t>
      </w:r>
      <w:r>
        <w:rPr>
          <w:rFonts w:ascii="宋体" w:hAnsi="宋体" w:cs="宋体" w:eastAsia="宋体" w:hint="default"/>
          <w:spacing w:val="-56"/>
          <w:sz w:val="21"/>
          <w:szCs w:val="21"/>
        </w:rPr>
        <w:t> </w:t>
      </w:r>
      <w:r>
        <w:rPr>
          <w:rFonts w:ascii="宋体" w:hAnsi="宋体" w:cs="宋体" w:eastAsia="宋体" w:hint="default"/>
          <w:sz w:val="21"/>
          <w:szCs w:val="21"/>
        </w:rPr>
        <w:t>4.32%</w:t>
      </w:r>
      <w:r>
        <w:rPr>
          <w:rFonts w:ascii="宋体" w:hAnsi="宋体" w:cs="宋体" w:eastAsia="宋体" w:hint="default"/>
          <w:sz w:val="21"/>
          <w:szCs w:val="21"/>
        </w:rPr>
        <w:t>下降至</w:t>
      </w:r>
      <w:r>
        <w:rPr>
          <w:rFonts w:ascii="宋体" w:hAnsi="宋体" w:cs="宋体" w:eastAsia="宋体" w:hint="default"/>
          <w:spacing w:val="-56"/>
          <w:sz w:val="21"/>
          <w:szCs w:val="21"/>
        </w:rPr>
        <w:t> </w:t>
      </w:r>
      <w:r>
        <w:rPr>
          <w:rFonts w:ascii="宋体" w:hAnsi="宋体" w:cs="宋体" w:eastAsia="宋体" w:hint="default"/>
          <w:sz w:val="21"/>
          <w:szCs w:val="21"/>
        </w:rPr>
        <w:t>3.96%</w:t>
      </w:r>
      <w:r>
        <w:rPr>
          <w:rFonts w:ascii="宋体" w:hAnsi="宋体" w:cs="宋体" w:eastAsia="宋体" w:hint="default"/>
          <w:sz w:val="21"/>
          <w:szCs w:val="21"/>
        </w:rPr>
        <w:t>。</w:t>
      </w:r>
    </w:p>
    <w:p>
      <w:pPr>
        <w:spacing w:before="32"/>
        <w:ind w:left="561" w:right="96"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2</w:t>
      </w:r>
      <w:r>
        <w:rPr>
          <w:rFonts w:ascii="Microsoft JhengHei" w:hAnsi="Microsoft JhengHei" w:cs="Microsoft JhengHei" w:eastAsia="Microsoft JhengHei" w:hint="default"/>
          <w:b/>
          <w:bCs/>
          <w:sz w:val="21"/>
          <w:szCs w:val="21"/>
        </w:rPr>
        <w:t>）折旧及摊销</w:t>
      </w:r>
      <w:r>
        <w:rPr>
          <w:rFonts w:ascii="Microsoft JhengHei" w:hAnsi="Microsoft JhengHei" w:cs="Microsoft JhengHei" w:eastAsia="Microsoft JhengHei" w:hint="default"/>
          <w:sz w:val="21"/>
          <w:szCs w:val="21"/>
        </w:rPr>
      </w:r>
    </w:p>
    <w:p>
      <w:pPr>
        <w:spacing w:line="240" w:lineRule="auto" w:before="14"/>
        <w:rPr>
          <w:rFonts w:ascii="Microsoft JhengHei" w:hAnsi="Microsoft JhengHei" w:cs="Microsoft JhengHei" w:eastAsia="Microsoft JhengHei" w:hint="default"/>
          <w:b/>
          <w:bCs/>
          <w:sz w:val="11"/>
          <w:szCs w:val="11"/>
        </w:rPr>
      </w:pPr>
    </w:p>
    <w:p>
      <w:pPr>
        <w:spacing w:line="314" w:lineRule="auto" w:before="0"/>
        <w:ind w:left="138" w:right="96" w:firstLine="372"/>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47"/>
          <w:sz w:val="21"/>
          <w:szCs w:val="21"/>
        </w:rPr>
        <w:t> </w:t>
      </w:r>
      <w:r>
        <w:rPr>
          <w:rFonts w:ascii="宋体" w:hAnsi="宋体" w:cs="宋体" w:eastAsia="宋体" w:hint="default"/>
          <w:sz w:val="21"/>
          <w:szCs w:val="21"/>
        </w:rPr>
        <w:t>年公司资产折旧及摊销发生人民币</w:t>
      </w:r>
      <w:r>
        <w:rPr>
          <w:rFonts w:ascii="宋体" w:hAnsi="宋体" w:cs="宋体" w:eastAsia="宋体" w:hint="default"/>
          <w:spacing w:val="-45"/>
          <w:sz w:val="21"/>
          <w:szCs w:val="21"/>
        </w:rPr>
        <w:t> </w:t>
      </w:r>
      <w:r>
        <w:rPr>
          <w:rFonts w:ascii="宋体" w:hAnsi="宋体" w:cs="宋体" w:eastAsia="宋体" w:hint="default"/>
          <w:sz w:val="21"/>
          <w:szCs w:val="21"/>
        </w:rPr>
        <w:t>836.1</w:t>
      </w:r>
      <w:r>
        <w:rPr>
          <w:rFonts w:ascii="宋体" w:hAnsi="宋体" w:cs="宋体" w:eastAsia="宋体" w:hint="default"/>
          <w:spacing w:val="-47"/>
          <w:sz w:val="21"/>
          <w:szCs w:val="21"/>
        </w:rPr>
        <w:t> </w:t>
      </w:r>
      <w:r>
        <w:rPr>
          <w:rFonts w:ascii="宋体" w:hAnsi="宋体" w:cs="宋体" w:eastAsia="宋体" w:hint="default"/>
          <w:spacing w:val="-8"/>
          <w:sz w:val="21"/>
          <w:szCs w:val="21"/>
        </w:rPr>
        <w:t>亿元，同比增长</w:t>
      </w:r>
      <w:r>
        <w:rPr>
          <w:rFonts w:ascii="宋体" w:hAnsi="宋体" w:cs="宋体" w:eastAsia="宋体" w:hint="default"/>
          <w:spacing w:val="-45"/>
          <w:sz w:val="21"/>
          <w:szCs w:val="21"/>
        </w:rPr>
        <w:t> </w:t>
      </w:r>
      <w:r>
        <w:rPr>
          <w:rFonts w:ascii="宋体" w:hAnsi="宋体" w:cs="宋体" w:eastAsia="宋体" w:hint="default"/>
          <w:spacing w:val="-4"/>
          <w:sz w:val="21"/>
          <w:szCs w:val="21"/>
        </w:rPr>
        <w:t>9.6%</w:t>
      </w:r>
      <w:r>
        <w:rPr>
          <w:rFonts w:ascii="宋体" w:hAnsi="宋体" w:cs="宋体" w:eastAsia="宋体" w:hint="default"/>
          <w:spacing w:val="-4"/>
          <w:sz w:val="21"/>
          <w:szCs w:val="21"/>
        </w:rPr>
        <w:t>，所占营业收入的比重由上年</w:t>
      </w:r>
      <w:r>
        <w:rPr>
          <w:rFonts w:ascii="宋体" w:hAnsi="宋体" w:cs="宋体" w:eastAsia="宋体" w:hint="default"/>
          <w:w w:val="100"/>
          <w:sz w:val="21"/>
          <w:szCs w:val="21"/>
        </w:rPr>
        <w:t> </w:t>
      </w:r>
      <w:r>
        <w:rPr>
          <w:rFonts w:ascii="宋体" w:hAnsi="宋体" w:cs="宋体" w:eastAsia="宋体" w:hint="default"/>
          <w:sz w:val="21"/>
          <w:szCs w:val="21"/>
        </w:rPr>
        <w:t>的</w:t>
      </w:r>
      <w:r>
        <w:rPr>
          <w:rFonts w:ascii="宋体" w:hAnsi="宋体" w:cs="宋体" w:eastAsia="宋体" w:hint="default"/>
          <w:spacing w:val="-56"/>
          <w:sz w:val="21"/>
          <w:szCs w:val="21"/>
        </w:rPr>
        <w:t> </w:t>
      </w:r>
      <w:r>
        <w:rPr>
          <w:rFonts w:ascii="宋体" w:hAnsi="宋体" w:cs="宋体" w:eastAsia="宋体" w:hint="default"/>
          <w:sz w:val="21"/>
          <w:szCs w:val="21"/>
        </w:rPr>
        <w:t>26.23%</w:t>
      </w:r>
      <w:r>
        <w:rPr>
          <w:rFonts w:ascii="宋体" w:hAnsi="宋体" w:cs="宋体" w:eastAsia="宋体" w:hint="default"/>
          <w:sz w:val="21"/>
          <w:szCs w:val="21"/>
        </w:rPr>
        <w:t>变化至</w:t>
      </w:r>
      <w:r>
        <w:rPr>
          <w:rFonts w:ascii="宋体" w:hAnsi="宋体" w:cs="宋体" w:eastAsia="宋体" w:hint="default"/>
          <w:spacing w:val="-56"/>
          <w:sz w:val="21"/>
          <w:szCs w:val="21"/>
        </w:rPr>
        <w:t> </w:t>
      </w:r>
      <w:r>
        <w:rPr>
          <w:rFonts w:ascii="宋体" w:hAnsi="宋体" w:cs="宋体" w:eastAsia="宋体" w:hint="default"/>
          <w:sz w:val="21"/>
          <w:szCs w:val="21"/>
        </w:rPr>
        <w:t>28.78%</w:t>
      </w:r>
      <w:r>
        <w:rPr>
          <w:rFonts w:ascii="宋体" w:hAnsi="宋体" w:cs="宋体" w:eastAsia="宋体" w:hint="default"/>
          <w:sz w:val="21"/>
          <w:szCs w:val="21"/>
        </w:rPr>
        <w:t>，主要是受执行新租赁准则的影响。</w:t>
      </w:r>
    </w:p>
    <w:p>
      <w:pPr>
        <w:spacing w:before="32"/>
        <w:ind w:left="561" w:right="96"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3</w:t>
      </w:r>
      <w:r>
        <w:rPr>
          <w:rFonts w:ascii="Microsoft JhengHei" w:hAnsi="Microsoft JhengHei" w:cs="Microsoft JhengHei" w:eastAsia="Microsoft JhengHei" w:hint="default"/>
          <w:b/>
          <w:bCs/>
          <w:sz w:val="21"/>
          <w:szCs w:val="21"/>
        </w:rPr>
        <w:t>）网络运行及支撑成本</w:t>
      </w:r>
      <w:r>
        <w:rPr>
          <w:rFonts w:ascii="Microsoft JhengHei" w:hAnsi="Microsoft JhengHei" w:cs="Microsoft JhengHei" w:eastAsia="Microsoft JhengHei" w:hint="default"/>
          <w:sz w:val="21"/>
          <w:szCs w:val="21"/>
        </w:rPr>
      </w:r>
    </w:p>
    <w:p>
      <w:pPr>
        <w:spacing w:line="240" w:lineRule="auto" w:before="16"/>
        <w:rPr>
          <w:rFonts w:ascii="Microsoft JhengHei" w:hAnsi="Microsoft JhengHei" w:cs="Microsoft JhengHei" w:eastAsia="Microsoft JhengHei" w:hint="default"/>
          <w:b/>
          <w:bCs/>
          <w:sz w:val="11"/>
          <w:szCs w:val="11"/>
        </w:rPr>
      </w:pPr>
    </w:p>
    <w:p>
      <w:pPr>
        <w:spacing w:line="314" w:lineRule="auto" w:before="0"/>
        <w:ind w:left="138" w:right="202" w:firstLine="372"/>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48"/>
          <w:sz w:val="21"/>
          <w:szCs w:val="21"/>
        </w:rPr>
        <w:t> </w:t>
      </w:r>
      <w:r>
        <w:rPr>
          <w:rFonts w:ascii="宋体" w:hAnsi="宋体" w:cs="宋体" w:eastAsia="宋体" w:hint="default"/>
          <w:sz w:val="21"/>
          <w:szCs w:val="21"/>
        </w:rPr>
        <w:t>年公司网络运行及支撑成本发生人民币</w:t>
      </w:r>
      <w:r>
        <w:rPr>
          <w:rFonts w:ascii="宋体" w:hAnsi="宋体" w:cs="宋体" w:eastAsia="宋体" w:hint="default"/>
          <w:spacing w:val="-48"/>
          <w:sz w:val="21"/>
          <w:szCs w:val="21"/>
        </w:rPr>
        <w:t> </w:t>
      </w:r>
      <w:r>
        <w:rPr>
          <w:rFonts w:ascii="宋体" w:hAnsi="宋体" w:cs="宋体" w:eastAsia="宋体" w:hint="default"/>
          <w:sz w:val="21"/>
          <w:szCs w:val="21"/>
        </w:rPr>
        <w:t>432.4</w:t>
      </w:r>
      <w:r>
        <w:rPr>
          <w:rFonts w:ascii="宋体" w:hAnsi="宋体" w:cs="宋体" w:eastAsia="宋体" w:hint="default"/>
          <w:spacing w:val="-50"/>
          <w:sz w:val="21"/>
          <w:szCs w:val="21"/>
        </w:rPr>
        <w:t> </w:t>
      </w:r>
      <w:r>
        <w:rPr>
          <w:rFonts w:ascii="宋体" w:hAnsi="宋体" w:cs="宋体" w:eastAsia="宋体" w:hint="default"/>
          <w:sz w:val="21"/>
          <w:szCs w:val="21"/>
        </w:rPr>
        <w:t>亿元，同比下降</w:t>
      </w:r>
      <w:r>
        <w:rPr>
          <w:rFonts w:ascii="宋体" w:hAnsi="宋体" w:cs="宋体" w:eastAsia="宋体" w:hint="default"/>
          <w:spacing w:val="-50"/>
          <w:sz w:val="21"/>
          <w:szCs w:val="21"/>
        </w:rPr>
        <w:t> </w:t>
      </w:r>
      <w:r>
        <w:rPr>
          <w:rFonts w:ascii="宋体" w:hAnsi="宋体" w:cs="宋体" w:eastAsia="宋体" w:hint="default"/>
          <w:sz w:val="21"/>
          <w:szCs w:val="21"/>
        </w:rPr>
        <w:t>21.5%</w:t>
      </w:r>
      <w:r>
        <w:rPr>
          <w:rFonts w:ascii="宋体" w:hAnsi="宋体" w:cs="宋体" w:eastAsia="宋体" w:hint="default"/>
          <w:sz w:val="21"/>
          <w:szCs w:val="21"/>
        </w:rPr>
        <w:t>，所占营业收入的比重</w:t>
      </w:r>
      <w:r>
        <w:rPr>
          <w:rFonts w:ascii="宋体" w:hAnsi="宋体" w:cs="宋体" w:eastAsia="宋体" w:hint="default"/>
          <w:w w:val="100"/>
          <w:sz w:val="21"/>
          <w:szCs w:val="21"/>
        </w:rPr>
        <w:t> </w:t>
      </w:r>
      <w:r>
        <w:rPr>
          <w:rFonts w:ascii="宋体" w:hAnsi="宋体" w:cs="宋体" w:eastAsia="宋体" w:hint="default"/>
          <w:sz w:val="21"/>
          <w:szCs w:val="21"/>
        </w:rPr>
        <w:t>由上年的</w:t>
      </w:r>
      <w:r>
        <w:rPr>
          <w:rFonts w:ascii="宋体" w:hAnsi="宋体" w:cs="宋体" w:eastAsia="宋体" w:hint="default"/>
          <w:spacing w:val="-55"/>
          <w:sz w:val="21"/>
          <w:szCs w:val="21"/>
        </w:rPr>
        <w:t> </w:t>
      </w:r>
      <w:r>
        <w:rPr>
          <w:rFonts w:ascii="宋体" w:hAnsi="宋体" w:cs="宋体" w:eastAsia="宋体" w:hint="default"/>
          <w:sz w:val="21"/>
          <w:szCs w:val="21"/>
        </w:rPr>
        <w:t>18.93%</w:t>
      </w:r>
      <w:r>
        <w:rPr>
          <w:rFonts w:ascii="宋体" w:hAnsi="宋体" w:cs="宋体" w:eastAsia="宋体" w:hint="default"/>
          <w:sz w:val="21"/>
          <w:szCs w:val="21"/>
        </w:rPr>
        <w:t>下降至</w:t>
      </w:r>
      <w:r>
        <w:rPr>
          <w:rFonts w:ascii="宋体" w:hAnsi="宋体" w:cs="宋体" w:eastAsia="宋体" w:hint="default"/>
          <w:spacing w:val="-55"/>
          <w:sz w:val="21"/>
          <w:szCs w:val="21"/>
        </w:rPr>
        <w:t> </w:t>
      </w:r>
      <w:r>
        <w:rPr>
          <w:rFonts w:ascii="宋体" w:hAnsi="宋体" w:cs="宋体" w:eastAsia="宋体" w:hint="default"/>
          <w:sz w:val="21"/>
          <w:szCs w:val="21"/>
        </w:rPr>
        <w:t>14.88%</w:t>
      </w:r>
      <w:r>
        <w:rPr>
          <w:rFonts w:ascii="宋体" w:hAnsi="宋体" w:cs="宋体" w:eastAsia="宋体" w:hint="default"/>
          <w:sz w:val="21"/>
          <w:szCs w:val="21"/>
        </w:rPr>
        <w:t>，主要是受执行新租赁准则的影响。</w:t>
      </w:r>
    </w:p>
    <w:p>
      <w:pPr>
        <w:spacing w:before="32"/>
        <w:ind w:left="561" w:right="96"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4</w:t>
      </w:r>
      <w:r>
        <w:rPr>
          <w:rFonts w:ascii="Microsoft JhengHei" w:hAnsi="Microsoft JhengHei" w:cs="Microsoft JhengHei" w:eastAsia="Microsoft JhengHei" w:hint="default"/>
          <w:b/>
          <w:bCs/>
          <w:sz w:val="21"/>
          <w:szCs w:val="21"/>
        </w:rPr>
        <w:t>）人工成本</w:t>
      </w:r>
      <w:r>
        <w:rPr>
          <w:rFonts w:ascii="Microsoft JhengHei" w:hAnsi="Microsoft JhengHei" w:cs="Microsoft JhengHei" w:eastAsia="Microsoft JhengHei" w:hint="default"/>
          <w:sz w:val="21"/>
          <w:szCs w:val="21"/>
        </w:rPr>
      </w:r>
    </w:p>
    <w:p>
      <w:pPr>
        <w:spacing w:line="240" w:lineRule="auto" w:before="14"/>
        <w:rPr>
          <w:rFonts w:ascii="Microsoft JhengHei" w:hAnsi="Microsoft JhengHei" w:cs="Microsoft JhengHei" w:eastAsia="Microsoft JhengHei" w:hint="default"/>
          <w:b/>
          <w:bCs/>
          <w:sz w:val="11"/>
          <w:szCs w:val="11"/>
        </w:rPr>
      </w:pPr>
    </w:p>
    <w:p>
      <w:pPr>
        <w:spacing w:line="314" w:lineRule="auto" w:before="0"/>
        <w:ind w:left="138" w:right="96" w:firstLine="372"/>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43"/>
          <w:sz w:val="21"/>
          <w:szCs w:val="21"/>
        </w:rPr>
        <w:t> </w:t>
      </w:r>
      <w:r>
        <w:rPr>
          <w:rFonts w:ascii="宋体" w:hAnsi="宋体" w:cs="宋体" w:eastAsia="宋体" w:hint="default"/>
          <w:spacing w:val="-3"/>
          <w:sz w:val="21"/>
          <w:szCs w:val="21"/>
        </w:rPr>
        <w:t>年随着公司经营业绩上升，人工成本发生人民币</w:t>
      </w:r>
      <w:r>
        <w:rPr>
          <w:rFonts w:ascii="宋体" w:hAnsi="宋体" w:cs="宋体" w:eastAsia="宋体" w:hint="default"/>
          <w:spacing w:val="-39"/>
          <w:sz w:val="21"/>
          <w:szCs w:val="21"/>
        </w:rPr>
        <w:t> </w:t>
      </w:r>
      <w:r>
        <w:rPr>
          <w:rFonts w:ascii="宋体" w:hAnsi="宋体" w:cs="宋体" w:eastAsia="宋体" w:hint="default"/>
          <w:sz w:val="21"/>
          <w:szCs w:val="21"/>
        </w:rPr>
        <w:t>505.2</w:t>
      </w:r>
      <w:r>
        <w:rPr>
          <w:rFonts w:ascii="宋体" w:hAnsi="宋体" w:cs="宋体" w:eastAsia="宋体" w:hint="default"/>
          <w:spacing w:val="-40"/>
          <w:sz w:val="21"/>
          <w:szCs w:val="21"/>
        </w:rPr>
        <w:t> </w:t>
      </w:r>
      <w:r>
        <w:rPr>
          <w:rFonts w:ascii="宋体" w:hAnsi="宋体" w:cs="宋体" w:eastAsia="宋体" w:hint="default"/>
          <w:spacing w:val="-6"/>
          <w:sz w:val="21"/>
          <w:szCs w:val="21"/>
        </w:rPr>
        <w:t>亿元，同比增长</w:t>
      </w:r>
      <w:r>
        <w:rPr>
          <w:rFonts w:ascii="宋体" w:hAnsi="宋体" w:cs="宋体" w:eastAsia="宋体" w:hint="default"/>
          <w:spacing w:val="-40"/>
          <w:sz w:val="21"/>
          <w:szCs w:val="21"/>
        </w:rPr>
        <w:t> </w:t>
      </w:r>
      <w:r>
        <w:rPr>
          <w:rFonts w:ascii="宋体" w:hAnsi="宋体" w:cs="宋体" w:eastAsia="宋体" w:hint="default"/>
          <w:spacing w:val="-4"/>
          <w:sz w:val="21"/>
          <w:szCs w:val="21"/>
        </w:rPr>
        <w:t>4.9%</w:t>
      </w:r>
      <w:r>
        <w:rPr>
          <w:rFonts w:ascii="宋体" w:hAnsi="宋体" w:cs="宋体" w:eastAsia="宋体" w:hint="default"/>
          <w:spacing w:val="-4"/>
          <w:sz w:val="21"/>
          <w:szCs w:val="21"/>
        </w:rPr>
        <w:t>，所占营业收入</w:t>
      </w:r>
      <w:r>
        <w:rPr>
          <w:rFonts w:ascii="宋体" w:hAnsi="宋体" w:cs="宋体" w:eastAsia="宋体" w:hint="default"/>
          <w:w w:val="100"/>
          <w:sz w:val="21"/>
          <w:szCs w:val="21"/>
        </w:rPr>
        <w:t> </w:t>
      </w:r>
      <w:r>
        <w:rPr>
          <w:rFonts w:ascii="宋体" w:hAnsi="宋体" w:cs="宋体" w:eastAsia="宋体" w:hint="default"/>
          <w:sz w:val="21"/>
          <w:szCs w:val="21"/>
        </w:rPr>
        <w:t>的比重由上年的</w:t>
      </w:r>
      <w:r>
        <w:rPr>
          <w:rFonts w:ascii="宋体" w:hAnsi="宋体" w:cs="宋体" w:eastAsia="宋体" w:hint="default"/>
          <w:spacing w:val="-55"/>
          <w:sz w:val="21"/>
          <w:szCs w:val="21"/>
        </w:rPr>
        <w:t> </w:t>
      </w:r>
      <w:r>
        <w:rPr>
          <w:rFonts w:ascii="宋体" w:hAnsi="宋体" w:cs="宋体" w:eastAsia="宋体" w:hint="default"/>
          <w:sz w:val="21"/>
          <w:szCs w:val="21"/>
        </w:rPr>
        <w:t>16.55%</w:t>
      </w:r>
      <w:r>
        <w:rPr>
          <w:rFonts w:ascii="宋体" w:hAnsi="宋体" w:cs="宋体" w:eastAsia="宋体" w:hint="default"/>
          <w:sz w:val="21"/>
          <w:szCs w:val="21"/>
        </w:rPr>
        <w:t>变化至</w:t>
      </w:r>
      <w:r>
        <w:rPr>
          <w:rFonts w:ascii="宋体" w:hAnsi="宋体" w:cs="宋体" w:eastAsia="宋体" w:hint="default"/>
          <w:spacing w:val="-54"/>
          <w:sz w:val="21"/>
          <w:szCs w:val="21"/>
        </w:rPr>
        <w:t> </w:t>
      </w:r>
      <w:r>
        <w:rPr>
          <w:rFonts w:ascii="宋体" w:hAnsi="宋体" w:cs="宋体" w:eastAsia="宋体" w:hint="default"/>
          <w:sz w:val="21"/>
          <w:szCs w:val="21"/>
        </w:rPr>
        <w:t>17.39%</w:t>
      </w:r>
      <w:r>
        <w:rPr>
          <w:rFonts w:ascii="宋体" w:hAnsi="宋体" w:cs="宋体" w:eastAsia="宋体" w:hint="default"/>
          <w:sz w:val="21"/>
          <w:szCs w:val="21"/>
        </w:rPr>
        <w:t>。</w:t>
      </w:r>
    </w:p>
    <w:p>
      <w:pPr>
        <w:spacing w:before="32"/>
        <w:ind w:left="561" w:right="96"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5</w:t>
      </w:r>
      <w:r>
        <w:rPr>
          <w:rFonts w:ascii="Microsoft JhengHei" w:hAnsi="Microsoft JhengHei" w:cs="Microsoft JhengHei" w:eastAsia="Microsoft JhengHei" w:hint="default"/>
          <w:b/>
          <w:bCs/>
          <w:sz w:val="21"/>
          <w:szCs w:val="21"/>
        </w:rPr>
        <w:t>）销售通信产品成本</w:t>
      </w:r>
      <w:r>
        <w:rPr>
          <w:rFonts w:ascii="Microsoft JhengHei" w:hAnsi="Microsoft JhengHei" w:cs="Microsoft JhengHei" w:eastAsia="Microsoft JhengHei" w:hint="default"/>
          <w:sz w:val="21"/>
          <w:szCs w:val="21"/>
        </w:rPr>
      </w:r>
    </w:p>
    <w:p>
      <w:pPr>
        <w:spacing w:line="240" w:lineRule="auto" w:before="14"/>
        <w:rPr>
          <w:rFonts w:ascii="Microsoft JhengHei" w:hAnsi="Microsoft JhengHei" w:cs="Microsoft JhengHei" w:eastAsia="Microsoft JhengHei" w:hint="default"/>
          <w:b/>
          <w:bCs/>
          <w:sz w:val="11"/>
          <w:szCs w:val="11"/>
        </w:rPr>
      </w:pPr>
    </w:p>
    <w:p>
      <w:pPr>
        <w:spacing w:before="0"/>
        <w:ind w:left="510" w:right="96" w:firstLine="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49"/>
          <w:sz w:val="21"/>
          <w:szCs w:val="21"/>
        </w:rPr>
        <w:t> </w:t>
      </w:r>
      <w:r>
        <w:rPr>
          <w:rFonts w:ascii="宋体" w:hAnsi="宋体" w:cs="宋体" w:eastAsia="宋体" w:hint="default"/>
          <w:sz w:val="21"/>
          <w:szCs w:val="21"/>
        </w:rPr>
        <w:t>年公司销售通信产品成本发生人民币</w:t>
      </w:r>
      <w:r>
        <w:rPr>
          <w:rFonts w:ascii="宋体" w:hAnsi="宋体" w:cs="宋体" w:eastAsia="宋体" w:hint="default"/>
          <w:spacing w:val="-47"/>
          <w:sz w:val="21"/>
          <w:szCs w:val="21"/>
        </w:rPr>
        <w:t> </w:t>
      </w:r>
      <w:r>
        <w:rPr>
          <w:rFonts w:ascii="宋体" w:hAnsi="宋体" w:cs="宋体" w:eastAsia="宋体" w:hint="default"/>
          <w:sz w:val="21"/>
          <w:szCs w:val="21"/>
        </w:rPr>
        <w:t>264.1</w:t>
      </w:r>
      <w:r>
        <w:rPr>
          <w:rFonts w:ascii="宋体" w:hAnsi="宋体" w:cs="宋体" w:eastAsia="宋体" w:hint="default"/>
          <w:spacing w:val="-47"/>
          <w:sz w:val="21"/>
          <w:szCs w:val="21"/>
        </w:rPr>
        <w:t> </w:t>
      </w:r>
      <w:r>
        <w:rPr>
          <w:rFonts w:ascii="宋体" w:hAnsi="宋体" w:cs="宋体" w:eastAsia="宋体" w:hint="default"/>
          <w:spacing w:val="-4"/>
          <w:sz w:val="21"/>
          <w:szCs w:val="21"/>
        </w:rPr>
        <w:t>亿元，同期销售通信产品收入为人民币</w:t>
      </w:r>
      <w:r>
        <w:rPr>
          <w:rFonts w:ascii="宋体" w:hAnsi="宋体" w:cs="宋体" w:eastAsia="宋体" w:hint="default"/>
          <w:spacing w:val="-46"/>
          <w:sz w:val="21"/>
          <w:szCs w:val="21"/>
        </w:rPr>
        <w:t> </w:t>
      </w:r>
      <w:r>
        <w:rPr>
          <w:rFonts w:ascii="宋体" w:hAnsi="宋体" w:cs="宋体" w:eastAsia="宋体" w:hint="default"/>
          <w:sz w:val="21"/>
          <w:szCs w:val="21"/>
        </w:rPr>
        <w:t>261.3</w:t>
      </w:r>
      <w:r>
        <w:rPr>
          <w:rFonts w:ascii="宋体" w:hAnsi="宋体" w:cs="宋体" w:eastAsia="宋体" w:hint="default"/>
          <w:spacing w:val="-47"/>
          <w:sz w:val="21"/>
          <w:szCs w:val="21"/>
        </w:rPr>
        <w:t> </w:t>
      </w:r>
      <w:r>
        <w:rPr>
          <w:rFonts w:ascii="宋体" w:hAnsi="宋体" w:cs="宋体" w:eastAsia="宋体" w:hint="default"/>
          <w:sz w:val="21"/>
          <w:szCs w:val="21"/>
        </w:rPr>
        <w:t>亿</w:t>
      </w:r>
    </w:p>
    <w:p>
      <w:pPr>
        <w:spacing w:before="85"/>
        <w:ind w:left="138" w:right="0" w:firstLine="0"/>
        <w:jc w:val="left"/>
        <w:rPr>
          <w:rFonts w:ascii="宋体" w:hAnsi="宋体" w:cs="宋体" w:eastAsia="宋体" w:hint="default"/>
          <w:sz w:val="21"/>
          <w:szCs w:val="21"/>
        </w:rPr>
      </w:pPr>
      <w:r>
        <w:rPr>
          <w:rFonts w:ascii="宋体" w:hAnsi="宋体" w:cs="宋体" w:eastAsia="宋体" w:hint="default"/>
          <w:spacing w:val="-3"/>
          <w:sz w:val="21"/>
          <w:szCs w:val="21"/>
        </w:rPr>
        <w:t>元，销售通信产品亏损为人民币</w:t>
      </w:r>
      <w:r>
        <w:rPr>
          <w:rFonts w:ascii="宋体" w:hAnsi="宋体" w:cs="宋体" w:eastAsia="宋体" w:hint="default"/>
          <w:spacing w:val="-45"/>
          <w:sz w:val="21"/>
          <w:szCs w:val="21"/>
        </w:rPr>
        <w:t> </w:t>
      </w:r>
      <w:r>
        <w:rPr>
          <w:rFonts w:ascii="宋体" w:hAnsi="宋体" w:cs="宋体" w:eastAsia="宋体" w:hint="default"/>
          <w:sz w:val="21"/>
          <w:szCs w:val="21"/>
        </w:rPr>
        <w:t>2.8</w:t>
      </w:r>
      <w:r>
        <w:rPr>
          <w:rFonts w:ascii="宋体" w:hAnsi="宋体" w:cs="宋体" w:eastAsia="宋体" w:hint="default"/>
          <w:spacing w:val="-47"/>
          <w:sz w:val="21"/>
          <w:szCs w:val="21"/>
        </w:rPr>
        <w:t> </w:t>
      </w:r>
      <w:r>
        <w:rPr>
          <w:rFonts w:ascii="宋体" w:hAnsi="宋体" w:cs="宋体" w:eastAsia="宋体" w:hint="default"/>
          <w:spacing w:val="-4"/>
          <w:sz w:val="21"/>
          <w:szCs w:val="21"/>
        </w:rPr>
        <w:t>亿元，其中，终端补贴成本为人民币</w:t>
      </w:r>
      <w:r>
        <w:rPr>
          <w:rFonts w:ascii="宋体" w:hAnsi="宋体" w:cs="宋体" w:eastAsia="宋体" w:hint="default"/>
          <w:spacing w:val="-45"/>
          <w:sz w:val="21"/>
          <w:szCs w:val="21"/>
        </w:rPr>
        <w:t> </w:t>
      </w:r>
      <w:r>
        <w:rPr>
          <w:rFonts w:ascii="宋体" w:hAnsi="宋体" w:cs="宋体" w:eastAsia="宋体" w:hint="default"/>
          <w:sz w:val="21"/>
          <w:szCs w:val="21"/>
        </w:rPr>
        <w:t>7.9</w:t>
      </w:r>
      <w:r>
        <w:rPr>
          <w:rFonts w:ascii="宋体" w:hAnsi="宋体" w:cs="宋体" w:eastAsia="宋体" w:hint="default"/>
          <w:spacing w:val="-45"/>
          <w:sz w:val="21"/>
          <w:szCs w:val="21"/>
        </w:rPr>
        <w:t> </w:t>
      </w:r>
      <w:r>
        <w:rPr>
          <w:rFonts w:ascii="宋体" w:hAnsi="宋体" w:cs="宋体" w:eastAsia="宋体" w:hint="default"/>
          <w:spacing w:val="-4"/>
          <w:sz w:val="21"/>
          <w:szCs w:val="21"/>
        </w:rPr>
        <w:t>亿元，同比下降</w:t>
      </w:r>
      <w:r>
        <w:rPr>
          <w:rFonts w:ascii="宋体" w:hAnsi="宋体" w:cs="宋体" w:eastAsia="宋体" w:hint="default"/>
          <w:spacing w:val="-44"/>
          <w:sz w:val="21"/>
          <w:szCs w:val="21"/>
        </w:rPr>
        <w:t> </w:t>
      </w:r>
      <w:r>
        <w:rPr>
          <w:rFonts w:ascii="宋体" w:hAnsi="宋体" w:cs="宋体" w:eastAsia="宋体" w:hint="default"/>
          <w:sz w:val="21"/>
          <w:szCs w:val="21"/>
        </w:rPr>
        <w:t>17.0%</w:t>
      </w:r>
      <w:r>
        <w:rPr>
          <w:rFonts w:ascii="宋体" w:hAnsi="宋体" w:cs="宋体" w:eastAsia="宋体" w:hint="default"/>
          <w:sz w:val="21"/>
          <w:szCs w:val="21"/>
        </w:rPr>
        <w:t>。</w:t>
      </w:r>
    </w:p>
    <w:p>
      <w:pPr>
        <w:spacing w:after="0"/>
        <w:jc w:val="left"/>
        <w:rPr>
          <w:rFonts w:ascii="宋体" w:hAnsi="宋体" w:cs="宋体" w:eastAsia="宋体" w:hint="default"/>
          <w:sz w:val="21"/>
          <w:szCs w:val="21"/>
        </w:rPr>
        <w:sectPr>
          <w:footerReference w:type="default" r:id="rId29"/>
          <w:pgSz w:w="11910" w:h="16840"/>
          <w:pgMar w:footer="502" w:header="854" w:top="1360" w:bottom="700" w:left="1280" w:right="1060"/>
        </w:sectPr>
      </w:pPr>
    </w:p>
    <w:p>
      <w:pPr>
        <w:spacing w:before="62"/>
        <w:ind w:left="561"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6</w:t>
      </w:r>
      <w:r>
        <w:rPr>
          <w:rFonts w:ascii="Microsoft JhengHei" w:hAnsi="Microsoft JhengHei" w:cs="Microsoft JhengHei" w:eastAsia="Microsoft JhengHei" w:hint="default"/>
          <w:b/>
          <w:bCs/>
          <w:sz w:val="21"/>
          <w:szCs w:val="21"/>
        </w:rPr>
        <w:t>）销售费用</w:t>
      </w:r>
      <w:r>
        <w:rPr>
          <w:rFonts w:ascii="Microsoft JhengHei" w:hAnsi="Microsoft JhengHei" w:cs="Microsoft JhengHei" w:eastAsia="Microsoft JhengHei" w:hint="default"/>
          <w:sz w:val="21"/>
          <w:szCs w:val="21"/>
        </w:rPr>
      </w:r>
    </w:p>
    <w:p>
      <w:pPr>
        <w:spacing w:line="240" w:lineRule="auto" w:before="16"/>
        <w:rPr>
          <w:rFonts w:ascii="Microsoft JhengHei" w:hAnsi="Microsoft JhengHei" w:cs="Microsoft JhengHei" w:eastAsia="Microsoft JhengHei" w:hint="default"/>
          <w:b/>
          <w:bCs/>
          <w:sz w:val="11"/>
          <w:szCs w:val="11"/>
        </w:rPr>
      </w:pPr>
    </w:p>
    <w:p>
      <w:pPr>
        <w:spacing w:line="314" w:lineRule="auto" w:before="0"/>
        <w:ind w:left="138" w:right="0" w:firstLine="372"/>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
          <w:sz w:val="21"/>
          <w:szCs w:val="21"/>
        </w:rPr>
        <w:t> </w:t>
      </w:r>
      <w:r>
        <w:rPr>
          <w:rFonts w:ascii="宋体" w:hAnsi="宋体" w:cs="宋体" w:eastAsia="宋体" w:hint="default"/>
          <w:spacing w:val="-3"/>
          <w:sz w:val="21"/>
          <w:szCs w:val="21"/>
        </w:rPr>
        <w:t>年随着公司适时调整移动业务发展策略，深化互联网化运营转型，严控用户发展成本，销售</w:t>
      </w:r>
      <w:r>
        <w:rPr>
          <w:rFonts w:ascii="宋体" w:hAnsi="宋体" w:cs="宋体" w:eastAsia="宋体" w:hint="default"/>
          <w:spacing w:val="-3"/>
          <w:w w:val="100"/>
          <w:sz w:val="21"/>
          <w:szCs w:val="21"/>
        </w:rPr>
        <w:t> </w:t>
      </w:r>
      <w:r>
        <w:rPr>
          <w:rFonts w:ascii="宋体" w:hAnsi="宋体" w:cs="宋体" w:eastAsia="宋体" w:hint="default"/>
          <w:sz w:val="21"/>
          <w:szCs w:val="21"/>
        </w:rPr>
        <w:t>费用发生人民币</w:t>
      </w:r>
      <w:r>
        <w:rPr>
          <w:rFonts w:ascii="宋体" w:hAnsi="宋体" w:cs="宋体" w:eastAsia="宋体" w:hint="default"/>
          <w:spacing w:val="-55"/>
          <w:sz w:val="21"/>
          <w:szCs w:val="21"/>
        </w:rPr>
        <w:t> </w:t>
      </w:r>
      <w:r>
        <w:rPr>
          <w:rFonts w:ascii="宋体" w:hAnsi="宋体" w:cs="宋体" w:eastAsia="宋体" w:hint="default"/>
          <w:sz w:val="21"/>
          <w:szCs w:val="21"/>
        </w:rPr>
        <w:t>335.4</w:t>
      </w:r>
      <w:r>
        <w:rPr>
          <w:rFonts w:ascii="宋体" w:hAnsi="宋体" w:cs="宋体" w:eastAsia="宋体" w:hint="default"/>
          <w:spacing w:val="-55"/>
          <w:sz w:val="21"/>
          <w:szCs w:val="21"/>
        </w:rPr>
        <w:t> </w:t>
      </w:r>
      <w:r>
        <w:rPr>
          <w:rFonts w:ascii="宋体" w:hAnsi="宋体" w:cs="宋体" w:eastAsia="宋体" w:hint="default"/>
          <w:sz w:val="21"/>
          <w:szCs w:val="21"/>
        </w:rPr>
        <w:t>亿元，同比下降</w:t>
      </w:r>
      <w:r>
        <w:rPr>
          <w:rFonts w:ascii="宋体" w:hAnsi="宋体" w:cs="宋体" w:eastAsia="宋体" w:hint="default"/>
          <w:spacing w:val="-54"/>
          <w:sz w:val="21"/>
          <w:szCs w:val="21"/>
        </w:rPr>
        <w:t> </w:t>
      </w:r>
      <w:r>
        <w:rPr>
          <w:rFonts w:ascii="宋体" w:hAnsi="宋体" w:cs="宋体" w:eastAsia="宋体" w:hint="default"/>
          <w:sz w:val="21"/>
          <w:szCs w:val="21"/>
        </w:rPr>
        <w:t>4.6%</w:t>
      </w:r>
      <w:r>
        <w:rPr>
          <w:rFonts w:ascii="宋体" w:hAnsi="宋体" w:cs="宋体" w:eastAsia="宋体" w:hint="default"/>
          <w:sz w:val="21"/>
          <w:szCs w:val="21"/>
        </w:rPr>
        <w:t>，所占营业收入的比重由上年的</w:t>
      </w:r>
      <w:r>
        <w:rPr>
          <w:rFonts w:ascii="宋体" w:hAnsi="宋体" w:cs="宋体" w:eastAsia="宋体" w:hint="default"/>
          <w:spacing w:val="-57"/>
          <w:sz w:val="21"/>
          <w:szCs w:val="21"/>
        </w:rPr>
        <w:t> </w:t>
      </w:r>
      <w:r>
        <w:rPr>
          <w:rFonts w:ascii="宋体" w:hAnsi="宋体" w:cs="宋体" w:eastAsia="宋体" w:hint="default"/>
          <w:sz w:val="21"/>
          <w:szCs w:val="21"/>
        </w:rPr>
        <w:t>12.09%</w:t>
      </w:r>
      <w:r>
        <w:rPr>
          <w:rFonts w:ascii="宋体" w:hAnsi="宋体" w:cs="宋体" w:eastAsia="宋体" w:hint="default"/>
          <w:sz w:val="21"/>
          <w:szCs w:val="21"/>
        </w:rPr>
        <w:t>下降至</w:t>
      </w:r>
      <w:r>
        <w:rPr>
          <w:rFonts w:ascii="宋体" w:hAnsi="宋体" w:cs="宋体" w:eastAsia="宋体" w:hint="default"/>
          <w:spacing w:val="-55"/>
          <w:sz w:val="21"/>
          <w:szCs w:val="21"/>
        </w:rPr>
        <w:t> </w:t>
      </w:r>
      <w:r>
        <w:rPr>
          <w:rFonts w:ascii="宋体" w:hAnsi="宋体" w:cs="宋体" w:eastAsia="宋体" w:hint="default"/>
          <w:sz w:val="21"/>
          <w:szCs w:val="21"/>
        </w:rPr>
        <w:t>11.55%</w:t>
      </w:r>
      <w:r>
        <w:rPr>
          <w:rFonts w:ascii="宋体" w:hAnsi="宋体" w:cs="宋体" w:eastAsia="宋体" w:hint="default"/>
          <w:sz w:val="21"/>
          <w:szCs w:val="21"/>
        </w:rPr>
        <w:t>。</w:t>
      </w:r>
    </w:p>
    <w:p>
      <w:pPr>
        <w:spacing w:before="32"/>
        <w:ind w:left="561"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7</w:t>
      </w:r>
      <w:r>
        <w:rPr>
          <w:rFonts w:ascii="Microsoft JhengHei" w:hAnsi="Microsoft JhengHei" w:cs="Microsoft JhengHei" w:eastAsia="Microsoft JhengHei" w:hint="default"/>
          <w:b/>
          <w:bCs/>
          <w:sz w:val="21"/>
          <w:szCs w:val="21"/>
        </w:rPr>
        <w:t>）其他营业成本及管理费用</w:t>
      </w:r>
      <w:r>
        <w:rPr>
          <w:rFonts w:ascii="Microsoft JhengHei" w:hAnsi="Microsoft JhengHei" w:cs="Microsoft JhengHei" w:eastAsia="Microsoft JhengHei" w:hint="default"/>
          <w:sz w:val="21"/>
          <w:szCs w:val="21"/>
        </w:rPr>
      </w:r>
    </w:p>
    <w:p>
      <w:pPr>
        <w:spacing w:line="240" w:lineRule="auto" w:before="14"/>
        <w:rPr>
          <w:rFonts w:ascii="Microsoft JhengHei" w:hAnsi="Microsoft JhengHei" w:cs="Microsoft JhengHei" w:eastAsia="Microsoft JhengHei" w:hint="default"/>
          <w:b/>
          <w:bCs/>
          <w:sz w:val="11"/>
          <w:szCs w:val="11"/>
        </w:rPr>
      </w:pPr>
    </w:p>
    <w:p>
      <w:pPr>
        <w:spacing w:line="314" w:lineRule="auto" w:before="0"/>
        <w:ind w:left="138" w:right="0" w:firstLine="372"/>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40"/>
          <w:sz w:val="21"/>
          <w:szCs w:val="21"/>
        </w:rPr>
        <w:t> </w:t>
      </w:r>
      <w:r>
        <w:rPr>
          <w:rFonts w:ascii="宋体" w:hAnsi="宋体" w:cs="宋体" w:eastAsia="宋体" w:hint="default"/>
          <w:sz w:val="21"/>
          <w:szCs w:val="21"/>
        </w:rPr>
        <w:t>年公司其他营业成本及管理费用发生人民币</w:t>
      </w:r>
      <w:r>
        <w:rPr>
          <w:rFonts w:ascii="宋体" w:hAnsi="宋体" w:cs="宋体" w:eastAsia="宋体" w:hint="default"/>
          <w:spacing w:val="-40"/>
          <w:sz w:val="21"/>
          <w:szCs w:val="21"/>
        </w:rPr>
        <w:t> </w:t>
      </w:r>
      <w:r>
        <w:rPr>
          <w:rFonts w:ascii="宋体" w:hAnsi="宋体" w:cs="宋体" w:eastAsia="宋体" w:hint="default"/>
          <w:sz w:val="21"/>
          <w:szCs w:val="21"/>
        </w:rPr>
        <w:t>235.3</w:t>
      </w:r>
      <w:r>
        <w:rPr>
          <w:rFonts w:ascii="宋体" w:hAnsi="宋体" w:cs="宋体" w:eastAsia="宋体" w:hint="default"/>
          <w:spacing w:val="-40"/>
          <w:sz w:val="21"/>
          <w:szCs w:val="21"/>
        </w:rPr>
        <w:t> </w:t>
      </w:r>
      <w:r>
        <w:rPr>
          <w:rFonts w:ascii="宋体" w:hAnsi="宋体" w:cs="宋体" w:eastAsia="宋体" w:hint="default"/>
          <w:sz w:val="21"/>
          <w:szCs w:val="21"/>
        </w:rPr>
        <w:t>亿元，同比增长</w:t>
      </w:r>
      <w:r>
        <w:rPr>
          <w:rFonts w:ascii="宋体" w:hAnsi="宋体" w:cs="宋体" w:eastAsia="宋体" w:hint="default"/>
          <w:spacing w:val="-41"/>
          <w:sz w:val="21"/>
          <w:szCs w:val="21"/>
        </w:rPr>
        <w:t> </w:t>
      </w:r>
      <w:r>
        <w:rPr>
          <w:rFonts w:ascii="宋体" w:hAnsi="宋体" w:cs="宋体" w:eastAsia="宋体" w:hint="default"/>
          <w:sz w:val="21"/>
          <w:szCs w:val="21"/>
        </w:rPr>
        <w:t>33.0%</w:t>
      </w:r>
      <w:r>
        <w:rPr>
          <w:rFonts w:ascii="宋体" w:hAnsi="宋体" w:cs="宋体" w:eastAsia="宋体" w:hint="default"/>
          <w:sz w:val="21"/>
          <w:szCs w:val="21"/>
        </w:rPr>
        <w:t>，主要是由于</w:t>
      </w:r>
      <w:r>
        <w:rPr>
          <w:rFonts w:ascii="宋体" w:hAnsi="宋体" w:cs="宋体" w:eastAsia="宋体" w:hint="default"/>
          <w:spacing w:val="-40"/>
          <w:sz w:val="21"/>
          <w:szCs w:val="21"/>
        </w:rPr>
        <w:t> </w:t>
      </w:r>
      <w:r>
        <w:rPr>
          <w:rFonts w:ascii="宋体" w:hAnsi="宋体" w:cs="宋体" w:eastAsia="宋体" w:hint="default"/>
          <w:sz w:val="21"/>
          <w:szCs w:val="21"/>
        </w:rPr>
        <w:t>ICT</w:t>
      </w:r>
      <w:r>
        <w:rPr>
          <w:rFonts w:ascii="宋体" w:hAnsi="宋体" w:cs="宋体" w:eastAsia="宋体" w:hint="default"/>
          <w:w w:val="100"/>
          <w:sz w:val="21"/>
          <w:szCs w:val="21"/>
        </w:rPr>
        <w:t> </w:t>
      </w:r>
      <w:r>
        <w:rPr>
          <w:rFonts w:ascii="宋体" w:hAnsi="宋体" w:cs="宋体" w:eastAsia="宋体" w:hint="default"/>
          <w:sz w:val="21"/>
          <w:szCs w:val="21"/>
        </w:rPr>
        <w:t>业务快速增长导致相关服务成本增加，以及加大对创新业务技术支撑的投入。</w:t>
      </w:r>
    </w:p>
    <w:p>
      <w:pPr>
        <w:spacing w:before="32"/>
        <w:ind w:left="561"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8</w:t>
      </w:r>
      <w:r>
        <w:rPr>
          <w:rFonts w:ascii="Microsoft JhengHei" w:hAnsi="Microsoft JhengHei" w:cs="Microsoft JhengHei" w:eastAsia="Microsoft JhengHei" w:hint="default"/>
          <w:b/>
          <w:bCs/>
          <w:sz w:val="21"/>
          <w:szCs w:val="21"/>
        </w:rPr>
        <w:t>）财务费用</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1"/>
          <w:szCs w:val="11"/>
        </w:rPr>
      </w:pPr>
    </w:p>
    <w:p>
      <w:pPr>
        <w:spacing w:line="314" w:lineRule="auto" w:before="0"/>
        <w:ind w:left="138" w:right="0" w:firstLine="372"/>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49"/>
          <w:sz w:val="21"/>
          <w:szCs w:val="21"/>
        </w:rPr>
        <w:t> </w:t>
      </w:r>
      <w:r>
        <w:rPr>
          <w:rFonts w:ascii="宋体" w:hAnsi="宋体" w:cs="宋体" w:eastAsia="宋体" w:hint="default"/>
          <w:sz w:val="21"/>
          <w:szCs w:val="21"/>
        </w:rPr>
        <w:t>年公司财务费用发生人民币</w:t>
      </w:r>
      <w:r>
        <w:rPr>
          <w:rFonts w:ascii="宋体" w:hAnsi="宋体" w:cs="宋体" w:eastAsia="宋体" w:hint="default"/>
          <w:spacing w:val="-47"/>
          <w:sz w:val="21"/>
          <w:szCs w:val="21"/>
        </w:rPr>
        <w:t> </w:t>
      </w:r>
      <w:r>
        <w:rPr>
          <w:rFonts w:ascii="宋体" w:hAnsi="宋体" w:cs="宋体" w:eastAsia="宋体" w:hint="default"/>
          <w:sz w:val="21"/>
          <w:szCs w:val="21"/>
        </w:rPr>
        <w:t>7.2</w:t>
      </w:r>
      <w:r>
        <w:rPr>
          <w:rFonts w:ascii="宋体" w:hAnsi="宋体" w:cs="宋体" w:eastAsia="宋体" w:hint="default"/>
          <w:spacing w:val="-49"/>
          <w:sz w:val="21"/>
          <w:szCs w:val="21"/>
        </w:rPr>
        <w:t> </w:t>
      </w:r>
      <w:r>
        <w:rPr>
          <w:rFonts w:ascii="宋体" w:hAnsi="宋体" w:cs="宋体" w:eastAsia="宋体" w:hint="default"/>
          <w:spacing w:val="-3"/>
          <w:sz w:val="21"/>
          <w:szCs w:val="21"/>
        </w:rPr>
        <w:t>亿元，同比增加人民币</w:t>
      </w:r>
      <w:r>
        <w:rPr>
          <w:rFonts w:ascii="宋体" w:hAnsi="宋体" w:cs="宋体" w:eastAsia="宋体" w:hint="default"/>
          <w:spacing w:val="-46"/>
          <w:sz w:val="21"/>
          <w:szCs w:val="21"/>
        </w:rPr>
        <w:t> </w:t>
      </w:r>
      <w:r>
        <w:rPr>
          <w:rFonts w:ascii="宋体" w:hAnsi="宋体" w:cs="宋体" w:eastAsia="宋体" w:hint="default"/>
          <w:sz w:val="21"/>
          <w:szCs w:val="21"/>
        </w:rPr>
        <w:t>8.6</w:t>
      </w:r>
      <w:r>
        <w:rPr>
          <w:rFonts w:ascii="宋体" w:hAnsi="宋体" w:cs="宋体" w:eastAsia="宋体" w:hint="default"/>
          <w:spacing w:val="-47"/>
          <w:sz w:val="21"/>
          <w:szCs w:val="21"/>
        </w:rPr>
        <w:t> </w:t>
      </w:r>
      <w:r>
        <w:rPr>
          <w:rFonts w:ascii="宋体" w:hAnsi="宋体" w:cs="宋体" w:eastAsia="宋体" w:hint="default"/>
          <w:spacing w:val="-3"/>
          <w:sz w:val="21"/>
          <w:szCs w:val="21"/>
        </w:rPr>
        <w:t>亿元，主要是受执行新租赁准则</w:t>
      </w:r>
      <w:r>
        <w:rPr>
          <w:rFonts w:ascii="宋体" w:hAnsi="宋体" w:cs="宋体" w:eastAsia="宋体" w:hint="default"/>
          <w:w w:val="100"/>
          <w:sz w:val="21"/>
          <w:szCs w:val="21"/>
        </w:rPr>
        <w:t> </w:t>
      </w:r>
      <w:r>
        <w:rPr>
          <w:rFonts w:ascii="宋体" w:hAnsi="宋体" w:cs="宋体" w:eastAsia="宋体" w:hint="default"/>
          <w:sz w:val="21"/>
          <w:szCs w:val="21"/>
        </w:rPr>
        <w:t>的影响。</w:t>
      </w:r>
    </w:p>
    <w:p>
      <w:pPr>
        <w:spacing w:before="54"/>
        <w:ind w:left="561"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05"/>
          <w:sz w:val="21"/>
          <w:szCs w:val="21"/>
        </w:rPr>
        <w:t>4.</w:t>
      </w:r>
      <w:r>
        <w:rPr>
          <w:rFonts w:ascii="Microsoft JhengHei" w:hAnsi="Microsoft JhengHei" w:cs="Microsoft JhengHei" w:eastAsia="Microsoft JhengHei" w:hint="default"/>
          <w:b/>
          <w:bCs/>
          <w:w w:val="105"/>
          <w:sz w:val="21"/>
          <w:szCs w:val="21"/>
        </w:rPr>
        <w:t>盈利水平</w:t>
      </w:r>
      <w:r>
        <w:rPr>
          <w:rFonts w:ascii="Microsoft JhengHei" w:hAnsi="Microsoft JhengHei" w:cs="Microsoft JhengHei" w:eastAsia="Microsoft JhengHei" w:hint="default"/>
          <w:w w:val="105"/>
          <w:sz w:val="21"/>
          <w:szCs w:val="21"/>
        </w:rPr>
      </w:r>
    </w:p>
    <w:p>
      <w:pPr>
        <w:spacing w:before="102"/>
        <w:ind w:left="561"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1</w:t>
      </w:r>
      <w:r>
        <w:rPr>
          <w:rFonts w:ascii="Microsoft JhengHei" w:hAnsi="Microsoft JhengHei" w:cs="Microsoft JhengHei" w:eastAsia="Microsoft JhengHei" w:hint="default"/>
          <w:b/>
          <w:bCs/>
          <w:sz w:val="21"/>
          <w:szCs w:val="21"/>
        </w:rPr>
        <w:t>）税前利润</w:t>
      </w:r>
      <w:r>
        <w:rPr>
          <w:rFonts w:ascii="Microsoft JhengHei" w:hAnsi="Microsoft JhengHei" w:cs="Microsoft JhengHei" w:eastAsia="Microsoft JhengHei" w:hint="default"/>
          <w:sz w:val="21"/>
          <w:szCs w:val="21"/>
        </w:rPr>
      </w:r>
    </w:p>
    <w:p>
      <w:pPr>
        <w:spacing w:line="240" w:lineRule="auto" w:before="16"/>
        <w:rPr>
          <w:rFonts w:ascii="Microsoft JhengHei" w:hAnsi="Microsoft JhengHei" w:cs="Microsoft JhengHei" w:eastAsia="Microsoft JhengHei" w:hint="default"/>
          <w:b/>
          <w:bCs/>
          <w:sz w:val="12"/>
          <w:szCs w:val="12"/>
        </w:rPr>
      </w:pPr>
    </w:p>
    <w:p>
      <w:pPr>
        <w:spacing w:before="0"/>
        <w:ind w:left="510" w:right="0" w:firstLine="0"/>
        <w:jc w:val="left"/>
        <w:rPr>
          <w:rFonts w:ascii="宋体" w:hAnsi="宋体" w:cs="宋体" w:eastAsia="宋体" w:hint="default"/>
          <w:sz w:val="21"/>
          <w:szCs w:val="21"/>
        </w:rPr>
      </w:pPr>
      <w:r>
        <w:rPr>
          <w:rFonts w:ascii="宋体" w:hAnsi="宋体" w:cs="宋体" w:eastAsia="宋体" w:hint="default"/>
          <w:sz w:val="21"/>
          <w:szCs w:val="21"/>
        </w:rPr>
        <w:t>2019 </w:t>
      </w:r>
      <w:r>
        <w:rPr>
          <w:rFonts w:ascii="宋体" w:hAnsi="宋体" w:cs="宋体" w:eastAsia="宋体" w:hint="default"/>
          <w:sz w:val="21"/>
          <w:szCs w:val="21"/>
        </w:rPr>
        <w:t>年公司得益于发展质量和盈利能力持续提升，税前利润实现人民币 </w:t>
      </w:r>
      <w:r>
        <w:rPr>
          <w:rFonts w:ascii="宋体" w:hAnsi="宋体" w:cs="宋体" w:eastAsia="宋体" w:hint="default"/>
          <w:sz w:val="21"/>
          <w:szCs w:val="21"/>
        </w:rPr>
        <w:t>140.4</w:t>
      </w:r>
      <w:r>
        <w:rPr>
          <w:rFonts w:ascii="宋体" w:hAnsi="宋体" w:cs="宋体" w:eastAsia="宋体" w:hint="default"/>
          <w:spacing w:val="20"/>
          <w:sz w:val="21"/>
          <w:szCs w:val="21"/>
        </w:rPr>
        <w:t> </w:t>
      </w:r>
      <w:r>
        <w:rPr>
          <w:rFonts w:ascii="宋体" w:hAnsi="宋体" w:cs="宋体" w:eastAsia="宋体" w:hint="default"/>
          <w:sz w:val="21"/>
          <w:szCs w:val="21"/>
        </w:rPr>
        <w:t>亿元，同比增长</w:t>
      </w:r>
    </w:p>
    <w:p>
      <w:pPr>
        <w:spacing w:before="85"/>
        <w:ind w:left="138" w:right="0" w:firstLine="0"/>
        <w:jc w:val="left"/>
        <w:rPr>
          <w:rFonts w:ascii="宋体" w:hAnsi="宋体" w:cs="宋体" w:eastAsia="宋体" w:hint="default"/>
          <w:sz w:val="21"/>
          <w:szCs w:val="21"/>
        </w:rPr>
      </w:pPr>
      <w:r>
        <w:rPr>
          <w:rFonts w:ascii="宋体" w:hAnsi="宋体" w:cs="宋体" w:eastAsia="宋体" w:hint="default"/>
          <w:sz w:val="21"/>
          <w:szCs w:val="21"/>
        </w:rPr>
        <w:t>16.2%</w:t>
      </w:r>
      <w:r>
        <w:rPr>
          <w:rFonts w:ascii="宋体" w:hAnsi="宋体" w:cs="宋体" w:eastAsia="宋体" w:hint="default"/>
          <w:sz w:val="21"/>
          <w:szCs w:val="21"/>
        </w:rPr>
        <w:t>。</w:t>
      </w:r>
    </w:p>
    <w:p>
      <w:pPr>
        <w:spacing w:before="119"/>
        <w:ind w:left="561"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2</w:t>
      </w:r>
      <w:r>
        <w:rPr>
          <w:rFonts w:ascii="Microsoft JhengHei" w:hAnsi="Microsoft JhengHei" w:cs="Microsoft JhengHei" w:eastAsia="Microsoft JhengHei" w:hint="default"/>
          <w:b/>
          <w:bCs/>
          <w:sz w:val="21"/>
          <w:szCs w:val="21"/>
        </w:rPr>
        <w:t>）所得税</w:t>
      </w:r>
      <w:r>
        <w:rPr>
          <w:rFonts w:ascii="Microsoft JhengHei" w:hAnsi="Microsoft JhengHei" w:cs="Microsoft JhengHei" w:eastAsia="Microsoft JhengHei" w:hint="default"/>
          <w:sz w:val="21"/>
          <w:szCs w:val="21"/>
        </w:rPr>
      </w:r>
    </w:p>
    <w:p>
      <w:pPr>
        <w:spacing w:line="240" w:lineRule="auto" w:before="16"/>
        <w:rPr>
          <w:rFonts w:ascii="Microsoft JhengHei" w:hAnsi="Microsoft JhengHei" w:cs="Microsoft JhengHei" w:eastAsia="Microsoft JhengHei" w:hint="default"/>
          <w:b/>
          <w:bCs/>
          <w:sz w:val="12"/>
          <w:szCs w:val="12"/>
        </w:rPr>
      </w:pPr>
    </w:p>
    <w:p>
      <w:pPr>
        <w:spacing w:before="0"/>
        <w:ind w:left="510" w:right="0" w:firstLine="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6"/>
          <w:sz w:val="21"/>
          <w:szCs w:val="21"/>
        </w:rPr>
        <w:t> </w:t>
      </w:r>
      <w:r>
        <w:rPr>
          <w:rFonts w:ascii="宋体" w:hAnsi="宋体" w:cs="宋体" w:eastAsia="宋体" w:hint="default"/>
          <w:sz w:val="21"/>
          <w:szCs w:val="21"/>
        </w:rPr>
        <w:t>年公司的所得税为人民币</w:t>
      </w:r>
      <w:r>
        <w:rPr>
          <w:rFonts w:ascii="宋体" w:hAnsi="宋体" w:cs="宋体" w:eastAsia="宋体" w:hint="default"/>
          <w:spacing w:val="-53"/>
          <w:sz w:val="21"/>
          <w:szCs w:val="21"/>
        </w:rPr>
        <w:t> </w:t>
      </w:r>
      <w:r>
        <w:rPr>
          <w:rFonts w:ascii="宋体" w:hAnsi="宋体" w:cs="宋体" w:eastAsia="宋体" w:hint="default"/>
          <w:sz w:val="21"/>
          <w:szCs w:val="21"/>
        </w:rPr>
        <w:t>27.7</w:t>
      </w:r>
      <w:r>
        <w:rPr>
          <w:rFonts w:ascii="宋体" w:hAnsi="宋体" w:cs="宋体" w:eastAsia="宋体" w:hint="default"/>
          <w:spacing w:val="-56"/>
          <w:sz w:val="21"/>
          <w:szCs w:val="21"/>
        </w:rPr>
        <w:t> </w:t>
      </w:r>
      <w:r>
        <w:rPr>
          <w:rFonts w:ascii="宋体" w:hAnsi="宋体" w:cs="宋体" w:eastAsia="宋体" w:hint="default"/>
          <w:sz w:val="21"/>
          <w:szCs w:val="21"/>
        </w:rPr>
        <w:t>亿元，全年实际税率为</w:t>
      </w:r>
      <w:r>
        <w:rPr>
          <w:rFonts w:ascii="宋体" w:hAnsi="宋体" w:cs="宋体" w:eastAsia="宋体" w:hint="default"/>
          <w:spacing w:val="-54"/>
          <w:sz w:val="21"/>
          <w:szCs w:val="21"/>
        </w:rPr>
        <w:t> </w:t>
      </w:r>
      <w:r>
        <w:rPr>
          <w:rFonts w:ascii="宋体" w:hAnsi="宋体" w:cs="宋体" w:eastAsia="宋体" w:hint="default"/>
          <w:sz w:val="21"/>
          <w:szCs w:val="21"/>
        </w:rPr>
        <w:t>19.7%</w:t>
      </w:r>
      <w:r>
        <w:rPr>
          <w:rFonts w:ascii="宋体" w:hAnsi="宋体" w:cs="宋体" w:eastAsia="宋体" w:hint="default"/>
          <w:sz w:val="21"/>
          <w:szCs w:val="21"/>
        </w:rPr>
        <w:t>。</w:t>
      </w:r>
    </w:p>
    <w:p>
      <w:pPr>
        <w:spacing w:before="119"/>
        <w:ind w:left="561"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3</w:t>
      </w:r>
      <w:r>
        <w:rPr>
          <w:rFonts w:ascii="Microsoft JhengHei" w:hAnsi="Microsoft JhengHei" w:cs="Microsoft JhengHei" w:eastAsia="Microsoft JhengHei" w:hint="default"/>
          <w:b/>
          <w:bCs/>
          <w:sz w:val="21"/>
          <w:szCs w:val="21"/>
        </w:rPr>
        <w:t>）年度盈利</w:t>
      </w:r>
      <w:r>
        <w:rPr>
          <w:rFonts w:ascii="Microsoft JhengHei" w:hAnsi="Microsoft JhengHei" w:cs="Microsoft JhengHei" w:eastAsia="Microsoft JhengHei" w:hint="default"/>
          <w:sz w:val="21"/>
          <w:szCs w:val="21"/>
        </w:rPr>
      </w:r>
    </w:p>
    <w:p>
      <w:pPr>
        <w:spacing w:line="240" w:lineRule="auto" w:before="16"/>
        <w:rPr>
          <w:rFonts w:ascii="Microsoft JhengHei" w:hAnsi="Microsoft JhengHei" w:cs="Microsoft JhengHei" w:eastAsia="Microsoft JhengHei" w:hint="default"/>
          <w:b/>
          <w:bCs/>
          <w:sz w:val="12"/>
          <w:szCs w:val="12"/>
        </w:rPr>
      </w:pPr>
    </w:p>
    <w:p>
      <w:pPr>
        <w:spacing w:before="0"/>
        <w:ind w:left="510" w:right="0" w:firstLine="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47"/>
          <w:sz w:val="21"/>
          <w:szCs w:val="21"/>
        </w:rPr>
        <w:t> </w:t>
      </w:r>
      <w:r>
        <w:rPr>
          <w:rFonts w:ascii="宋体" w:hAnsi="宋体" w:cs="宋体" w:eastAsia="宋体" w:hint="default"/>
          <w:sz w:val="21"/>
          <w:szCs w:val="21"/>
        </w:rPr>
        <w:t>年公司归属于母公司净利润实现人民币</w:t>
      </w:r>
      <w:r>
        <w:rPr>
          <w:rFonts w:ascii="宋体" w:hAnsi="宋体" w:cs="宋体" w:eastAsia="宋体" w:hint="default"/>
          <w:spacing w:val="-45"/>
          <w:sz w:val="21"/>
          <w:szCs w:val="21"/>
        </w:rPr>
        <w:t> </w:t>
      </w:r>
      <w:r>
        <w:rPr>
          <w:rFonts w:ascii="宋体" w:hAnsi="宋体" w:cs="宋体" w:eastAsia="宋体" w:hint="default"/>
          <w:sz w:val="21"/>
          <w:szCs w:val="21"/>
        </w:rPr>
        <w:t>49.8</w:t>
      </w:r>
      <w:r>
        <w:rPr>
          <w:rFonts w:ascii="宋体" w:hAnsi="宋体" w:cs="宋体" w:eastAsia="宋体" w:hint="default"/>
          <w:spacing w:val="-47"/>
          <w:sz w:val="21"/>
          <w:szCs w:val="21"/>
        </w:rPr>
        <w:t> </w:t>
      </w:r>
      <w:r>
        <w:rPr>
          <w:rFonts w:ascii="宋体" w:hAnsi="宋体" w:cs="宋体" w:eastAsia="宋体" w:hint="default"/>
          <w:spacing w:val="-8"/>
          <w:sz w:val="21"/>
          <w:szCs w:val="21"/>
        </w:rPr>
        <w:t>亿元，同比增长</w:t>
      </w:r>
      <w:r>
        <w:rPr>
          <w:rFonts w:ascii="宋体" w:hAnsi="宋体" w:cs="宋体" w:eastAsia="宋体" w:hint="default"/>
          <w:spacing w:val="-47"/>
          <w:sz w:val="21"/>
          <w:szCs w:val="21"/>
        </w:rPr>
        <w:t> </w:t>
      </w:r>
      <w:r>
        <w:rPr>
          <w:rFonts w:ascii="宋体" w:hAnsi="宋体" w:cs="宋体" w:eastAsia="宋体" w:hint="default"/>
          <w:spacing w:val="-4"/>
          <w:sz w:val="21"/>
          <w:szCs w:val="21"/>
        </w:rPr>
        <w:t>22.1%</w:t>
      </w:r>
      <w:r>
        <w:rPr>
          <w:rFonts w:ascii="宋体" w:hAnsi="宋体" w:cs="宋体" w:eastAsia="宋体" w:hint="default"/>
          <w:spacing w:val="-4"/>
          <w:sz w:val="21"/>
          <w:szCs w:val="21"/>
        </w:rPr>
        <w:t>。每股基本盈利为人民币</w:t>
      </w:r>
    </w:p>
    <w:p>
      <w:pPr>
        <w:spacing w:before="85"/>
        <w:ind w:left="138" w:right="0" w:firstLine="0"/>
        <w:jc w:val="left"/>
        <w:rPr>
          <w:rFonts w:ascii="宋体" w:hAnsi="宋体" w:cs="宋体" w:eastAsia="宋体" w:hint="default"/>
          <w:sz w:val="21"/>
          <w:szCs w:val="21"/>
        </w:rPr>
      </w:pPr>
      <w:r>
        <w:rPr>
          <w:rFonts w:ascii="宋体" w:hAnsi="宋体" w:cs="宋体" w:eastAsia="宋体" w:hint="default"/>
          <w:sz w:val="21"/>
          <w:szCs w:val="21"/>
        </w:rPr>
        <w:t>0.161</w:t>
      </w:r>
      <w:r>
        <w:rPr>
          <w:rFonts w:ascii="宋体" w:hAnsi="宋体" w:cs="宋体" w:eastAsia="宋体" w:hint="default"/>
          <w:spacing w:val="-54"/>
          <w:sz w:val="21"/>
          <w:szCs w:val="21"/>
        </w:rPr>
        <w:t> </w:t>
      </w:r>
      <w:r>
        <w:rPr>
          <w:rFonts w:ascii="宋体" w:hAnsi="宋体" w:cs="宋体" w:eastAsia="宋体" w:hint="default"/>
          <w:sz w:val="21"/>
          <w:szCs w:val="21"/>
        </w:rPr>
        <w:t>元，同比增长</w:t>
      </w:r>
      <w:r>
        <w:rPr>
          <w:rFonts w:ascii="宋体" w:hAnsi="宋体" w:cs="宋体" w:eastAsia="宋体" w:hint="default"/>
          <w:spacing w:val="-54"/>
          <w:sz w:val="21"/>
          <w:szCs w:val="21"/>
        </w:rPr>
        <w:t> </w:t>
      </w:r>
      <w:r>
        <w:rPr>
          <w:rFonts w:ascii="宋体" w:hAnsi="宋体" w:cs="宋体" w:eastAsia="宋体" w:hint="default"/>
          <w:sz w:val="21"/>
          <w:szCs w:val="21"/>
        </w:rPr>
        <w:t>22.0%</w:t>
      </w:r>
      <w:r>
        <w:rPr>
          <w:rFonts w:ascii="宋体" w:hAnsi="宋体" w:cs="宋体" w:eastAsia="宋体" w:hint="default"/>
          <w:sz w:val="21"/>
          <w:szCs w:val="21"/>
        </w:rPr>
        <w:t>。</w:t>
      </w:r>
    </w:p>
    <w:p>
      <w:pPr>
        <w:spacing w:line="240" w:lineRule="auto" w:before="12"/>
        <w:rPr>
          <w:rFonts w:ascii="宋体" w:hAnsi="宋体" w:cs="宋体" w:eastAsia="宋体" w:hint="default"/>
          <w:sz w:val="17"/>
          <w:szCs w:val="17"/>
        </w:rPr>
      </w:pPr>
    </w:p>
    <w:p>
      <w:pPr>
        <w:spacing w:before="0"/>
        <w:ind w:left="561" w:right="0" w:firstLine="0"/>
        <w:jc w:val="left"/>
        <w:rPr>
          <w:rFonts w:ascii="Arial" w:hAnsi="Arial" w:cs="Arial" w:eastAsia="Arial" w:hint="default"/>
          <w:sz w:val="21"/>
          <w:szCs w:val="21"/>
        </w:rPr>
      </w:pPr>
      <w:r>
        <w:rPr>
          <w:rFonts w:ascii="Arial"/>
          <w:b/>
          <w:sz w:val="21"/>
        </w:rPr>
        <w:t>5.EBITDA</w:t>
      </w:r>
      <w:r>
        <w:rPr>
          <w:rFonts w:ascii="Arial"/>
          <w:sz w:val="21"/>
        </w:rPr>
      </w:r>
    </w:p>
    <w:p>
      <w:pPr>
        <w:spacing w:line="240" w:lineRule="auto" w:before="3"/>
        <w:rPr>
          <w:rFonts w:ascii="Arial" w:hAnsi="Arial" w:cs="Arial" w:eastAsia="Arial" w:hint="default"/>
          <w:b/>
          <w:bCs/>
          <w:sz w:val="20"/>
          <w:szCs w:val="20"/>
        </w:rPr>
      </w:pPr>
    </w:p>
    <w:p>
      <w:pPr>
        <w:spacing w:before="0"/>
        <w:ind w:left="510" w:right="0" w:firstLine="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43"/>
          <w:sz w:val="21"/>
          <w:szCs w:val="21"/>
        </w:rPr>
        <w:t> </w:t>
      </w:r>
      <w:r>
        <w:rPr>
          <w:rFonts w:ascii="宋体" w:hAnsi="宋体" w:cs="宋体" w:eastAsia="宋体" w:hint="default"/>
          <w:sz w:val="21"/>
          <w:szCs w:val="21"/>
        </w:rPr>
        <w:t>年公司</w:t>
      </w:r>
      <w:r>
        <w:rPr>
          <w:rFonts w:ascii="宋体" w:hAnsi="宋体" w:cs="宋体" w:eastAsia="宋体" w:hint="default"/>
          <w:spacing w:val="-43"/>
          <w:sz w:val="21"/>
          <w:szCs w:val="21"/>
        </w:rPr>
        <w:t> </w:t>
      </w:r>
      <w:r>
        <w:rPr>
          <w:rFonts w:ascii="宋体" w:hAnsi="宋体" w:cs="宋体" w:eastAsia="宋体" w:hint="default"/>
          <w:sz w:val="21"/>
          <w:szCs w:val="21"/>
        </w:rPr>
        <w:t>EBITDA</w:t>
      </w:r>
      <w:r>
        <w:rPr>
          <w:rFonts w:ascii="宋体" w:hAnsi="宋体" w:cs="宋体" w:eastAsia="宋体" w:hint="default"/>
          <w:spacing w:val="-46"/>
          <w:sz w:val="21"/>
          <w:szCs w:val="21"/>
        </w:rPr>
        <w:t> </w:t>
      </w:r>
      <w:r>
        <w:rPr>
          <w:rFonts w:ascii="宋体" w:hAnsi="宋体" w:cs="宋体" w:eastAsia="宋体" w:hint="default"/>
          <w:sz w:val="21"/>
          <w:szCs w:val="21"/>
        </w:rPr>
        <w:t>为人民币</w:t>
      </w:r>
      <w:r>
        <w:rPr>
          <w:rFonts w:ascii="宋体" w:hAnsi="宋体" w:cs="宋体" w:eastAsia="宋体" w:hint="default"/>
          <w:spacing w:val="-43"/>
          <w:sz w:val="21"/>
          <w:szCs w:val="21"/>
        </w:rPr>
        <w:t> </w:t>
      </w:r>
      <w:r>
        <w:rPr>
          <w:rFonts w:ascii="宋体" w:hAnsi="宋体" w:cs="宋体" w:eastAsia="宋体" w:hint="default"/>
          <w:sz w:val="21"/>
          <w:szCs w:val="21"/>
        </w:rPr>
        <w:t>946.7</w:t>
      </w:r>
      <w:r>
        <w:rPr>
          <w:rFonts w:ascii="宋体" w:hAnsi="宋体" w:cs="宋体" w:eastAsia="宋体" w:hint="default"/>
          <w:spacing w:val="-43"/>
          <w:sz w:val="21"/>
          <w:szCs w:val="21"/>
        </w:rPr>
        <w:t> </w:t>
      </w:r>
      <w:r>
        <w:rPr>
          <w:rFonts w:ascii="宋体" w:hAnsi="宋体" w:cs="宋体" w:eastAsia="宋体" w:hint="default"/>
          <w:sz w:val="21"/>
          <w:szCs w:val="21"/>
        </w:rPr>
        <w:t>亿元，同比增长</w:t>
      </w:r>
      <w:r>
        <w:rPr>
          <w:rFonts w:ascii="宋体" w:hAnsi="宋体" w:cs="宋体" w:eastAsia="宋体" w:hint="default"/>
          <w:spacing w:val="-43"/>
          <w:sz w:val="21"/>
          <w:szCs w:val="21"/>
        </w:rPr>
        <w:t> </w:t>
      </w:r>
      <w:r>
        <w:rPr>
          <w:rFonts w:ascii="宋体" w:hAnsi="宋体" w:cs="宋体" w:eastAsia="宋体" w:hint="default"/>
          <w:sz w:val="21"/>
          <w:szCs w:val="21"/>
        </w:rPr>
        <w:t>11.1%</w:t>
      </w:r>
      <w:r>
        <w:rPr>
          <w:rFonts w:ascii="宋体" w:hAnsi="宋体" w:cs="宋体" w:eastAsia="宋体" w:hint="default"/>
          <w:sz w:val="21"/>
          <w:szCs w:val="21"/>
        </w:rPr>
        <w:t>，</w:t>
      </w:r>
      <w:r>
        <w:rPr>
          <w:rFonts w:ascii="宋体" w:hAnsi="宋体" w:cs="宋体" w:eastAsia="宋体" w:hint="default"/>
          <w:sz w:val="21"/>
          <w:szCs w:val="21"/>
        </w:rPr>
        <w:t>EBITDA</w:t>
      </w:r>
      <w:r>
        <w:rPr>
          <w:rFonts w:ascii="宋体" w:hAnsi="宋体" w:cs="宋体" w:eastAsia="宋体" w:hint="default"/>
          <w:spacing w:val="-46"/>
          <w:sz w:val="21"/>
          <w:szCs w:val="21"/>
        </w:rPr>
        <w:t> </w:t>
      </w:r>
      <w:r>
        <w:rPr>
          <w:rFonts w:ascii="宋体" w:hAnsi="宋体" w:cs="宋体" w:eastAsia="宋体" w:hint="default"/>
          <w:sz w:val="21"/>
          <w:szCs w:val="21"/>
        </w:rPr>
        <w:t>占主营业务收入的百分比为</w:t>
      </w:r>
    </w:p>
    <w:p>
      <w:pPr>
        <w:spacing w:before="85"/>
        <w:ind w:left="138" w:right="0" w:firstLine="0"/>
        <w:jc w:val="left"/>
        <w:rPr>
          <w:rFonts w:ascii="宋体" w:hAnsi="宋体" w:cs="宋体" w:eastAsia="宋体" w:hint="default"/>
          <w:sz w:val="21"/>
          <w:szCs w:val="21"/>
        </w:rPr>
      </w:pPr>
      <w:r>
        <w:rPr>
          <w:rFonts w:ascii="宋体" w:hAnsi="宋体" w:cs="宋体" w:eastAsia="宋体" w:hint="default"/>
          <w:sz w:val="21"/>
          <w:szCs w:val="21"/>
        </w:rPr>
        <w:t>35.8%</w:t>
      </w:r>
      <w:r>
        <w:rPr>
          <w:rFonts w:ascii="宋体" w:hAnsi="宋体" w:cs="宋体" w:eastAsia="宋体" w:hint="default"/>
          <w:sz w:val="21"/>
          <w:szCs w:val="21"/>
        </w:rPr>
        <w:t>，同比提高</w:t>
      </w:r>
      <w:r>
        <w:rPr>
          <w:rFonts w:ascii="宋体" w:hAnsi="宋体" w:cs="宋体" w:eastAsia="宋体" w:hint="default"/>
          <w:spacing w:val="-55"/>
          <w:sz w:val="21"/>
          <w:szCs w:val="21"/>
        </w:rPr>
        <w:t> </w:t>
      </w:r>
      <w:r>
        <w:rPr>
          <w:rFonts w:ascii="宋体" w:hAnsi="宋体" w:cs="宋体" w:eastAsia="宋体" w:hint="default"/>
          <w:sz w:val="21"/>
          <w:szCs w:val="21"/>
        </w:rPr>
        <w:t>3.5</w:t>
      </w:r>
      <w:r>
        <w:rPr>
          <w:rFonts w:ascii="宋体" w:hAnsi="宋体" w:cs="宋体" w:eastAsia="宋体" w:hint="default"/>
          <w:spacing w:val="-55"/>
          <w:sz w:val="21"/>
          <w:szCs w:val="21"/>
        </w:rPr>
        <w:t> </w:t>
      </w:r>
      <w:r>
        <w:rPr>
          <w:rFonts w:ascii="宋体" w:hAnsi="宋体" w:cs="宋体" w:eastAsia="宋体" w:hint="default"/>
          <w:sz w:val="21"/>
          <w:szCs w:val="21"/>
        </w:rPr>
        <w:t>个百分点，主要是受执行新租赁准则的影响。</w:t>
      </w:r>
    </w:p>
    <w:p>
      <w:pPr>
        <w:spacing w:before="119"/>
        <w:ind w:left="561"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05"/>
          <w:sz w:val="21"/>
          <w:szCs w:val="21"/>
        </w:rPr>
        <w:t>6.</w:t>
      </w:r>
      <w:r>
        <w:rPr>
          <w:rFonts w:ascii="Microsoft JhengHei" w:hAnsi="Microsoft JhengHei" w:cs="Microsoft JhengHei" w:eastAsia="Microsoft JhengHei" w:hint="default"/>
          <w:b/>
          <w:bCs/>
          <w:w w:val="105"/>
          <w:sz w:val="21"/>
          <w:szCs w:val="21"/>
        </w:rPr>
        <w:t>资本开支及现金流</w:t>
      </w:r>
      <w:r>
        <w:rPr>
          <w:rFonts w:ascii="Microsoft JhengHei" w:hAnsi="Microsoft JhengHei" w:cs="Microsoft JhengHei" w:eastAsia="Microsoft JhengHei" w:hint="default"/>
          <w:w w:val="105"/>
          <w:sz w:val="21"/>
          <w:szCs w:val="21"/>
        </w:rPr>
      </w:r>
    </w:p>
    <w:p>
      <w:pPr>
        <w:spacing w:line="240" w:lineRule="auto" w:before="16"/>
        <w:rPr>
          <w:rFonts w:ascii="Microsoft JhengHei" w:hAnsi="Microsoft JhengHei" w:cs="Microsoft JhengHei" w:eastAsia="Microsoft JhengHei" w:hint="default"/>
          <w:b/>
          <w:bCs/>
          <w:sz w:val="12"/>
          <w:szCs w:val="12"/>
        </w:rPr>
      </w:pPr>
    </w:p>
    <w:p>
      <w:pPr>
        <w:spacing w:line="314" w:lineRule="auto" w:before="0"/>
        <w:ind w:left="138" w:right="125" w:firstLine="372"/>
        <w:jc w:val="both"/>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48"/>
          <w:sz w:val="21"/>
          <w:szCs w:val="21"/>
        </w:rPr>
        <w:t> </w:t>
      </w:r>
      <w:r>
        <w:rPr>
          <w:rFonts w:ascii="宋体" w:hAnsi="宋体" w:cs="宋体" w:eastAsia="宋体" w:hint="default"/>
          <w:sz w:val="21"/>
          <w:szCs w:val="21"/>
        </w:rPr>
        <w:t>年公司各项资本开支合计人民币</w:t>
      </w:r>
      <w:r>
        <w:rPr>
          <w:rFonts w:ascii="宋体" w:hAnsi="宋体" w:cs="宋体" w:eastAsia="宋体" w:hint="default"/>
          <w:spacing w:val="-46"/>
          <w:sz w:val="21"/>
          <w:szCs w:val="21"/>
        </w:rPr>
        <w:t> </w:t>
      </w:r>
      <w:r>
        <w:rPr>
          <w:rFonts w:ascii="宋体" w:hAnsi="宋体" w:cs="宋体" w:eastAsia="宋体" w:hint="default"/>
          <w:sz w:val="21"/>
          <w:szCs w:val="21"/>
        </w:rPr>
        <w:t>564.2</w:t>
      </w:r>
      <w:r>
        <w:rPr>
          <w:rFonts w:ascii="宋体" w:hAnsi="宋体" w:cs="宋体" w:eastAsia="宋体" w:hint="default"/>
          <w:spacing w:val="-46"/>
          <w:sz w:val="21"/>
          <w:szCs w:val="21"/>
        </w:rPr>
        <w:t> </w:t>
      </w:r>
      <w:r>
        <w:rPr>
          <w:rFonts w:ascii="宋体" w:hAnsi="宋体" w:cs="宋体" w:eastAsia="宋体" w:hint="default"/>
          <w:spacing w:val="-3"/>
          <w:sz w:val="21"/>
          <w:szCs w:val="21"/>
        </w:rPr>
        <w:t>亿元，主要用于移动网络、宽带及数据、基础设施及</w:t>
      </w:r>
      <w:r>
        <w:rPr>
          <w:rFonts w:ascii="宋体" w:hAnsi="宋体" w:cs="宋体" w:eastAsia="宋体" w:hint="default"/>
          <w:w w:val="100"/>
          <w:sz w:val="21"/>
          <w:szCs w:val="21"/>
        </w:rPr>
        <w:t> </w:t>
      </w:r>
      <w:r>
        <w:rPr>
          <w:rFonts w:ascii="宋体" w:hAnsi="宋体" w:cs="宋体" w:eastAsia="宋体" w:hint="default"/>
          <w:spacing w:val="-5"/>
          <w:sz w:val="21"/>
          <w:szCs w:val="21"/>
        </w:rPr>
        <w:t>传送网建设等方面。</w:t>
      </w:r>
      <w:r>
        <w:rPr>
          <w:rFonts w:ascii="宋体" w:hAnsi="宋体" w:cs="宋体" w:eastAsia="宋体" w:hint="default"/>
          <w:spacing w:val="-5"/>
          <w:sz w:val="21"/>
          <w:szCs w:val="21"/>
        </w:rPr>
        <w:t>2019</w:t>
      </w:r>
      <w:r>
        <w:rPr>
          <w:rFonts w:ascii="宋体" w:hAnsi="宋体" w:cs="宋体" w:eastAsia="宋体" w:hint="default"/>
          <w:spacing w:val="-42"/>
          <w:sz w:val="21"/>
          <w:szCs w:val="21"/>
        </w:rPr>
        <w:t> </w:t>
      </w:r>
      <w:r>
        <w:rPr>
          <w:rFonts w:ascii="宋体" w:hAnsi="宋体" w:cs="宋体" w:eastAsia="宋体" w:hint="default"/>
          <w:sz w:val="21"/>
          <w:szCs w:val="21"/>
        </w:rPr>
        <w:t>年公司经营活动现金流量净额为人民币</w:t>
      </w:r>
      <w:r>
        <w:rPr>
          <w:rFonts w:ascii="宋体" w:hAnsi="宋体" w:cs="宋体" w:eastAsia="宋体" w:hint="default"/>
          <w:spacing w:val="-39"/>
          <w:sz w:val="21"/>
          <w:szCs w:val="21"/>
        </w:rPr>
        <w:t> </w:t>
      </w:r>
      <w:r>
        <w:rPr>
          <w:rFonts w:ascii="宋体" w:hAnsi="宋体" w:cs="宋体" w:eastAsia="宋体" w:hint="default"/>
          <w:sz w:val="21"/>
          <w:szCs w:val="21"/>
        </w:rPr>
        <w:t>962.1</w:t>
      </w:r>
      <w:r>
        <w:rPr>
          <w:rFonts w:ascii="宋体" w:hAnsi="宋体" w:cs="宋体" w:eastAsia="宋体" w:hint="default"/>
          <w:spacing w:val="-42"/>
          <w:sz w:val="21"/>
          <w:szCs w:val="21"/>
        </w:rPr>
        <w:t> </w:t>
      </w:r>
      <w:r>
        <w:rPr>
          <w:rFonts w:ascii="宋体" w:hAnsi="宋体" w:cs="宋体" w:eastAsia="宋体" w:hint="default"/>
          <w:spacing w:val="-5"/>
          <w:sz w:val="21"/>
          <w:szCs w:val="21"/>
        </w:rPr>
        <w:t>亿元，扣除本年资本开支后自</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由现金流</w:t>
      </w:r>
      <w:r>
        <w:rPr>
          <w:rFonts w:ascii="宋体" w:hAnsi="宋体" w:cs="宋体" w:eastAsia="宋体" w:hint="default"/>
          <w:spacing w:val="-52"/>
          <w:sz w:val="21"/>
          <w:szCs w:val="21"/>
        </w:rPr>
        <w:t> </w:t>
      </w:r>
      <w:r>
        <w:rPr>
          <w:rFonts w:ascii="宋体" w:hAnsi="宋体" w:cs="宋体" w:eastAsia="宋体" w:hint="default"/>
          <w:position w:val="11"/>
          <w:sz w:val="11"/>
          <w:szCs w:val="11"/>
        </w:rPr>
        <w:t>1</w:t>
      </w:r>
      <w:r>
        <w:rPr>
          <w:rFonts w:ascii="宋体" w:hAnsi="宋体" w:cs="宋体" w:eastAsia="宋体" w:hint="default"/>
          <w:spacing w:val="-29"/>
          <w:position w:val="11"/>
          <w:sz w:val="11"/>
          <w:szCs w:val="11"/>
        </w:rPr>
        <w:t> </w:t>
      </w:r>
      <w:r>
        <w:rPr>
          <w:rFonts w:ascii="宋体" w:hAnsi="宋体" w:cs="宋体" w:eastAsia="宋体" w:hint="default"/>
          <w:sz w:val="21"/>
          <w:szCs w:val="21"/>
        </w:rPr>
        <w:t>为人民币</w:t>
      </w:r>
      <w:r>
        <w:rPr>
          <w:rFonts w:ascii="宋体" w:hAnsi="宋体" w:cs="宋体" w:eastAsia="宋体" w:hint="default"/>
          <w:spacing w:val="-52"/>
          <w:sz w:val="21"/>
          <w:szCs w:val="21"/>
        </w:rPr>
        <w:t> </w:t>
      </w:r>
      <w:r>
        <w:rPr>
          <w:rFonts w:ascii="宋体" w:hAnsi="宋体" w:cs="宋体" w:eastAsia="宋体" w:hint="default"/>
          <w:sz w:val="21"/>
          <w:szCs w:val="21"/>
        </w:rPr>
        <w:t>397.9</w:t>
      </w:r>
      <w:r>
        <w:rPr>
          <w:rFonts w:ascii="宋体" w:hAnsi="宋体" w:cs="宋体" w:eastAsia="宋体" w:hint="default"/>
          <w:spacing w:val="-53"/>
          <w:sz w:val="21"/>
          <w:szCs w:val="21"/>
        </w:rPr>
        <w:t> </w:t>
      </w:r>
      <w:r>
        <w:rPr>
          <w:rFonts w:ascii="宋体" w:hAnsi="宋体" w:cs="宋体" w:eastAsia="宋体" w:hint="default"/>
          <w:sz w:val="21"/>
          <w:szCs w:val="21"/>
        </w:rPr>
        <w:t>亿元。</w:t>
      </w:r>
    </w:p>
    <w:p>
      <w:pPr>
        <w:spacing w:before="168"/>
        <w:ind w:left="510" w:right="0" w:firstLine="0"/>
        <w:jc w:val="left"/>
        <w:rPr>
          <w:rFonts w:ascii="宋体" w:hAnsi="宋体" w:cs="宋体" w:eastAsia="宋体" w:hint="default"/>
          <w:sz w:val="21"/>
          <w:szCs w:val="21"/>
        </w:rPr>
      </w:pPr>
      <w:r>
        <w:rPr>
          <w:rFonts w:ascii="宋体" w:hAnsi="宋体" w:cs="宋体" w:eastAsia="宋体" w:hint="default"/>
          <w:sz w:val="21"/>
          <w:szCs w:val="21"/>
        </w:rPr>
        <w:t>下表列出了公司</w:t>
      </w:r>
      <w:r>
        <w:rPr>
          <w:rFonts w:ascii="宋体" w:hAnsi="宋体" w:cs="宋体" w:eastAsia="宋体" w:hint="default"/>
          <w:spacing w:val="-56"/>
          <w:sz w:val="21"/>
          <w:szCs w:val="21"/>
        </w:rPr>
        <w:t> </w:t>
      </w:r>
      <w:r>
        <w:rPr>
          <w:rFonts w:ascii="宋体" w:hAnsi="宋体" w:cs="宋体" w:eastAsia="宋体" w:hint="default"/>
          <w:sz w:val="21"/>
          <w:szCs w:val="21"/>
        </w:rPr>
        <w:t>2019</w:t>
      </w:r>
      <w:r>
        <w:rPr>
          <w:rFonts w:ascii="宋体" w:hAnsi="宋体" w:cs="宋体" w:eastAsia="宋体" w:hint="default"/>
          <w:spacing w:val="-55"/>
          <w:sz w:val="21"/>
          <w:szCs w:val="21"/>
        </w:rPr>
        <w:t> </w:t>
      </w:r>
      <w:r>
        <w:rPr>
          <w:rFonts w:ascii="宋体" w:hAnsi="宋体" w:cs="宋体" w:eastAsia="宋体" w:hint="default"/>
          <w:sz w:val="21"/>
          <w:szCs w:val="21"/>
        </w:rPr>
        <w:t>年主要资本开支项目情况。</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2"/>
          <w:szCs w:val="12"/>
        </w:rPr>
      </w:pPr>
    </w:p>
    <w:tbl>
      <w:tblPr>
        <w:tblW w:w="0" w:type="auto"/>
        <w:jc w:val="left"/>
        <w:tblInd w:w="422" w:type="dxa"/>
        <w:tblLayout w:type="fixed"/>
        <w:tblCellMar>
          <w:top w:w="0" w:type="dxa"/>
          <w:left w:w="0" w:type="dxa"/>
          <w:bottom w:w="0" w:type="dxa"/>
          <w:right w:w="0" w:type="dxa"/>
        </w:tblCellMar>
        <w:tblLook w:val="01E0"/>
      </w:tblPr>
      <w:tblGrid>
        <w:gridCol w:w="4131"/>
        <w:gridCol w:w="2203"/>
        <w:gridCol w:w="2565"/>
      </w:tblGrid>
      <w:tr>
        <w:trPr>
          <w:trHeight w:val="343" w:hRule="exact"/>
        </w:trPr>
        <w:tc>
          <w:tcPr>
            <w:tcW w:w="4131" w:type="dxa"/>
            <w:vMerge w:val="restart"/>
            <w:tcBorders>
              <w:top w:val="single" w:sz="17" w:space="0" w:color="000000"/>
              <w:left w:val="nil" w:sz="6" w:space="0" w:color="auto"/>
              <w:right w:val="single" w:sz="4" w:space="0" w:color="000000"/>
            </w:tcBorders>
          </w:tcPr>
          <w:p>
            <w:pPr>
              <w:pStyle w:val="TableParagraph"/>
              <w:spacing w:line="240" w:lineRule="auto" w:before="150"/>
              <w:ind w:left="1015" w:right="0"/>
              <w:jc w:val="left"/>
              <w:rPr>
                <w:rFonts w:ascii="宋体" w:hAnsi="宋体" w:cs="宋体" w:eastAsia="宋体" w:hint="default"/>
                <w:sz w:val="21"/>
                <w:szCs w:val="21"/>
              </w:rPr>
            </w:pPr>
            <w:r>
              <w:rPr>
                <w:rFonts w:ascii="宋体" w:hAnsi="宋体" w:cs="宋体" w:eastAsia="宋体" w:hint="default"/>
                <w:sz w:val="21"/>
                <w:szCs w:val="21"/>
              </w:rPr>
              <w:t>（单位：人民币亿元）</w:t>
            </w:r>
          </w:p>
        </w:tc>
        <w:tc>
          <w:tcPr>
            <w:tcW w:w="4767" w:type="dxa"/>
            <w:gridSpan w:val="2"/>
            <w:tcBorders>
              <w:top w:val="single" w:sz="17" w:space="0" w:color="000000"/>
              <w:left w:val="single" w:sz="4" w:space="0" w:color="000000"/>
              <w:bottom w:val="nil" w:sz="6" w:space="0" w:color="auto"/>
              <w:right w:val="single" w:sz="4" w:space="0" w:color="000000"/>
            </w:tcBorders>
          </w:tcPr>
          <w:p>
            <w:pPr>
              <w:pStyle w:val="TableParagraph"/>
              <w:spacing w:line="265" w:lineRule="exact"/>
              <w:ind w:left="2" w:right="0"/>
              <w:jc w:val="center"/>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322" w:hRule="exact"/>
        </w:trPr>
        <w:tc>
          <w:tcPr>
            <w:tcW w:w="4131" w:type="dxa"/>
            <w:vMerge/>
            <w:tcBorders>
              <w:left w:val="nil" w:sz="6" w:space="0" w:color="auto"/>
              <w:bottom w:val="single" w:sz="4" w:space="0" w:color="000000"/>
              <w:right w:val="single" w:sz="4" w:space="0" w:color="000000"/>
            </w:tcBorders>
          </w:tcPr>
          <w:p>
            <w:pPr/>
          </w:p>
        </w:tc>
        <w:tc>
          <w:tcPr>
            <w:tcW w:w="2203" w:type="dxa"/>
            <w:tcBorders>
              <w:top w:val="nil" w:sz="6" w:space="0" w:color="auto"/>
              <w:left w:val="single" w:sz="4" w:space="0" w:color="000000"/>
              <w:bottom w:val="single" w:sz="4" w:space="0" w:color="000000"/>
              <w:right w:val="nil" w:sz="6" w:space="0" w:color="auto"/>
            </w:tcBorders>
          </w:tcPr>
          <w:p>
            <w:pPr>
              <w:pStyle w:val="TableParagraph"/>
              <w:spacing w:line="267" w:lineRule="exact"/>
              <w:ind w:right="287"/>
              <w:jc w:val="center"/>
              <w:rPr>
                <w:rFonts w:ascii="宋体" w:hAnsi="宋体" w:cs="宋体" w:eastAsia="宋体" w:hint="default"/>
                <w:sz w:val="21"/>
                <w:szCs w:val="21"/>
              </w:rPr>
            </w:pPr>
            <w:r>
              <w:rPr>
                <w:rFonts w:ascii="宋体" w:hAnsi="宋体" w:cs="宋体" w:eastAsia="宋体" w:hint="default"/>
                <w:sz w:val="21"/>
                <w:szCs w:val="21"/>
              </w:rPr>
              <w:t>累计支出</w:t>
            </w:r>
          </w:p>
        </w:tc>
        <w:tc>
          <w:tcPr>
            <w:tcW w:w="2565" w:type="dxa"/>
            <w:tcBorders>
              <w:top w:val="nil" w:sz="6" w:space="0" w:color="auto"/>
              <w:left w:val="nil" w:sz="6" w:space="0" w:color="auto"/>
              <w:bottom w:val="single" w:sz="4" w:space="0" w:color="000000"/>
              <w:right w:val="single" w:sz="4" w:space="0" w:color="000000"/>
            </w:tcBorders>
          </w:tcPr>
          <w:p>
            <w:pPr>
              <w:pStyle w:val="TableParagraph"/>
              <w:spacing w:line="267" w:lineRule="exact"/>
              <w:ind w:left="927" w:right="0"/>
              <w:jc w:val="left"/>
              <w:rPr>
                <w:rFonts w:ascii="宋体" w:hAnsi="宋体" w:cs="宋体" w:eastAsia="宋体" w:hint="default"/>
                <w:sz w:val="21"/>
                <w:szCs w:val="21"/>
              </w:rPr>
            </w:pPr>
            <w:r>
              <w:rPr>
                <w:rFonts w:ascii="宋体" w:hAnsi="宋体" w:cs="宋体" w:eastAsia="宋体" w:hint="default"/>
                <w:sz w:val="21"/>
                <w:szCs w:val="21"/>
              </w:rPr>
              <w:t>占比</w:t>
            </w:r>
          </w:p>
        </w:tc>
      </w:tr>
      <w:tr>
        <w:trPr>
          <w:trHeight w:val="318" w:hRule="exact"/>
        </w:trPr>
        <w:tc>
          <w:tcPr>
            <w:tcW w:w="4131" w:type="dxa"/>
            <w:tcBorders>
              <w:top w:val="single" w:sz="4" w:space="0" w:color="000000"/>
              <w:left w:val="nil" w:sz="6" w:space="0" w:color="auto"/>
              <w:bottom w:val="nil" w:sz="6" w:space="0" w:color="auto"/>
              <w:right w:val="single" w:sz="4" w:space="0" w:color="000000"/>
            </w:tcBorders>
          </w:tcPr>
          <w:p>
            <w:pPr>
              <w:pStyle w:val="TableParagraph"/>
              <w:spacing w:line="286" w:lineRule="exact"/>
              <w:ind w:left="108"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2203" w:type="dxa"/>
            <w:tcBorders>
              <w:top w:val="single" w:sz="4" w:space="0" w:color="000000"/>
              <w:left w:val="single" w:sz="4" w:space="0" w:color="000000"/>
              <w:bottom w:val="nil" w:sz="6" w:space="0" w:color="auto"/>
              <w:right w:val="nil" w:sz="6" w:space="0" w:color="auto"/>
            </w:tcBorders>
          </w:tcPr>
          <w:p>
            <w:pPr>
              <w:pStyle w:val="TableParagraph"/>
              <w:spacing w:line="262" w:lineRule="exact"/>
              <w:ind w:right="289"/>
              <w:jc w:val="center"/>
              <w:rPr>
                <w:rFonts w:ascii="宋体" w:hAnsi="宋体" w:cs="宋体" w:eastAsia="宋体" w:hint="default"/>
                <w:sz w:val="21"/>
                <w:szCs w:val="21"/>
              </w:rPr>
            </w:pPr>
            <w:r>
              <w:rPr>
                <w:rFonts w:ascii="宋体"/>
                <w:sz w:val="21"/>
              </w:rPr>
              <w:t>564.2</w:t>
            </w:r>
          </w:p>
        </w:tc>
        <w:tc>
          <w:tcPr>
            <w:tcW w:w="2565" w:type="dxa"/>
            <w:tcBorders>
              <w:top w:val="single" w:sz="4" w:space="0" w:color="000000"/>
              <w:left w:val="nil" w:sz="6" w:space="0" w:color="auto"/>
              <w:bottom w:val="nil" w:sz="6" w:space="0" w:color="auto"/>
              <w:right w:val="single" w:sz="4" w:space="0" w:color="000000"/>
            </w:tcBorders>
          </w:tcPr>
          <w:p>
            <w:pPr>
              <w:pStyle w:val="TableParagraph"/>
              <w:spacing w:line="262" w:lineRule="exact"/>
              <w:ind w:left="822" w:right="0"/>
              <w:jc w:val="left"/>
              <w:rPr>
                <w:rFonts w:ascii="宋体" w:hAnsi="宋体" w:cs="宋体" w:eastAsia="宋体" w:hint="default"/>
                <w:sz w:val="21"/>
                <w:szCs w:val="21"/>
              </w:rPr>
            </w:pPr>
            <w:r>
              <w:rPr>
                <w:rFonts w:ascii="宋体"/>
                <w:sz w:val="21"/>
              </w:rPr>
              <w:t>100.0%</w:t>
            </w:r>
          </w:p>
        </w:tc>
      </w:tr>
      <w:tr>
        <w:trPr>
          <w:trHeight w:val="312" w:hRule="exact"/>
        </w:trPr>
        <w:tc>
          <w:tcPr>
            <w:tcW w:w="4131" w:type="dxa"/>
            <w:tcBorders>
              <w:top w:val="nil" w:sz="6" w:space="0" w:color="auto"/>
              <w:left w:val="nil" w:sz="6" w:space="0" w:color="auto"/>
              <w:bottom w:val="nil" w:sz="6" w:space="0" w:color="auto"/>
              <w:right w:val="single" w:sz="4" w:space="0" w:color="000000"/>
            </w:tcBorders>
          </w:tcPr>
          <w:p>
            <w:pPr>
              <w:pStyle w:val="TableParagraph"/>
              <w:spacing w:line="261" w:lineRule="exact"/>
              <w:ind w:left="108" w:right="0"/>
              <w:jc w:val="left"/>
              <w:rPr>
                <w:rFonts w:ascii="宋体" w:hAnsi="宋体" w:cs="宋体" w:eastAsia="宋体" w:hint="default"/>
                <w:sz w:val="21"/>
                <w:szCs w:val="21"/>
              </w:rPr>
            </w:pPr>
            <w:r>
              <w:rPr>
                <w:rFonts w:ascii="宋体" w:hAnsi="宋体" w:cs="宋体" w:eastAsia="宋体" w:hint="default"/>
                <w:sz w:val="21"/>
                <w:szCs w:val="21"/>
              </w:rPr>
              <w:t>其中：移动网络</w:t>
            </w:r>
          </w:p>
        </w:tc>
        <w:tc>
          <w:tcPr>
            <w:tcW w:w="2203" w:type="dxa"/>
            <w:tcBorders>
              <w:top w:val="nil" w:sz="6" w:space="0" w:color="auto"/>
              <w:left w:val="single" w:sz="4" w:space="0" w:color="000000"/>
              <w:bottom w:val="nil" w:sz="6" w:space="0" w:color="auto"/>
              <w:right w:val="nil" w:sz="6" w:space="0" w:color="auto"/>
            </w:tcBorders>
          </w:tcPr>
          <w:p>
            <w:pPr>
              <w:pStyle w:val="TableParagraph"/>
              <w:spacing w:line="261" w:lineRule="exact"/>
              <w:ind w:right="289"/>
              <w:jc w:val="center"/>
              <w:rPr>
                <w:rFonts w:ascii="宋体" w:hAnsi="宋体" w:cs="宋体" w:eastAsia="宋体" w:hint="default"/>
                <w:sz w:val="21"/>
                <w:szCs w:val="21"/>
              </w:rPr>
            </w:pPr>
            <w:r>
              <w:rPr>
                <w:rFonts w:ascii="宋体"/>
                <w:sz w:val="21"/>
              </w:rPr>
              <w:t>296.5</w:t>
            </w:r>
          </w:p>
        </w:tc>
        <w:tc>
          <w:tcPr>
            <w:tcW w:w="2565" w:type="dxa"/>
            <w:tcBorders>
              <w:top w:val="nil" w:sz="6" w:space="0" w:color="auto"/>
              <w:left w:val="nil" w:sz="6" w:space="0" w:color="auto"/>
              <w:bottom w:val="nil" w:sz="6" w:space="0" w:color="auto"/>
              <w:right w:val="single" w:sz="4" w:space="0" w:color="000000"/>
            </w:tcBorders>
          </w:tcPr>
          <w:p>
            <w:pPr>
              <w:pStyle w:val="TableParagraph"/>
              <w:spacing w:line="261" w:lineRule="exact"/>
              <w:ind w:left="875" w:right="0"/>
              <w:jc w:val="left"/>
              <w:rPr>
                <w:rFonts w:ascii="宋体" w:hAnsi="宋体" w:cs="宋体" w:eastAsia="宋体" w:hint="default"/>
                <w:sz w:val="21"/>
                <w:szCs w:val="21"/>
              </w:rPr>
            </w:pPr>
            <w:r>
              <w:rPr>
                <w:rFonts w:ascii="宋体"/>
                <w:sz w:val="21"/>
              </w:rPr>
              <w:t>52.5%</w:t>
            </w:r>
          </w:p>
        </w:tc>
      </w:tr>
      <w:tr>
        <w:trPr>
          <w:trHeight w:val="376" w:hRule="exact"/>
        </w:trPr>
        <w:tc>
          <w:tcPr>
            <w:tcW w:w="4131"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739" w:right="0"/>
              <w:jc w:val="left"/>
              <w:rPr>
                <w:rFonts w:ascii="宋体" w:hAnsi="宋体" w:cs="宋体" w:eastAsia="宋体" w:hint="default"/>
                <w:sz w:val="21"/>
                <w:szCs w:val="21"/>
              </w:rPr>
            </w:pPr>
            <w:r>
              <w:rPr>
                <w:rFonts w:ascii="宋体" w:hAnsi="宋体" w:cs="宋体" w:eastAsia="宋体" w:hint="default"/>
                <w:sz w:val="21"/>
                <w:szCs w:val="21"/>
              </w:rPr>
              <w:t>宽带及数据</w:t>
            </w:r>
          </w:p>
        </w:tc>
        <w:tc>
          <w:tcPr>
            <w:tcW w:w="2203" w:type="dxa"/>
            <w:tcBorders>
              <w:top w:val="nil" w:sz="6" w:space="0" w:color="auto"/>
              <w:left w:val="single" w:sz="4" w:space="0" w:color="000000"/>
              <w:bottom w:val="nil" w:sz="6" w:space="0" w:color="auto"/>
              <w:right w:val="nil" w:sz="6" w:space="0" w:color="auto"/>
            </w:tcBorders>
          </w:tcPr>
          <w:p>
            <w:pPr>
              <w:pStyle w:val="TableParagraph"/>
              <w:spacing w:line="262" w:lineRule="exact"/>
              <w:ind w:right="289"/>
              <w:jc w:val="center"/>
              <w:rPr>
                <w:rFonts w:ascii="宋体" w:hAnsi="宋体" w:cs="宋体" w:eastAsia="宋体" w:hint="default"/>
                <w:sz w:val="21"/>
                <w:szCs w:val="21"/>
              </w:rPr>
            </w:pPr>
            <w:r>
              <w:rPr>
                <w:rFonts w:ascii="宋体"/>
                <w:sz w:val="21"/>
              </w:rPr>
              <w:t>84.3</w:t>
            </w:r>
          </w:p>
        </w:tc>
        <w:tc>
          <w:tcPr>
            <w:tcW w:w="2565" w:type="dxa"/>
            <w:tcBorders>
              <w:top w:val="nil" w:sz="6" w:space="0" w:color="auto"/>
              <w:left w:val="nil" w:sz="6" w:space="0" w:color="auto"/>
              <w:bottom w:val="nil" w:sz="6" w:space="0" w:color="auto"/>
              <w:right w:val="single" w:sz="4" w:space="0" w:color="000000"/>
            </w:tcBorders>
          </w:tcPr>
          <w:p>
            <w:pPr>
              <w:pStyle w:val="TableParagraph"/>
              <w:spacing w:line="262" w:lineRule="exact"/>
              <w:ind w:left="875" w:right="0"/>
              <w:jc w:val="left"/>
              <w:rPr>
                <w:rFonts w:ascii="宋体" w:hAnsi="宋体" w:cs="宋体" w:eastAsia="宋体" w:hint="default"/>
                <w:sz w:val="21"/>
                <w:szCs w:val="21"/>
              </w:rPr>
            </w:pPr>
            <w:r>
              <w:rPr>
                <w:rFonts w:ascii="宋体"/>
                <w:sz w:val="21"/>
              </w:rPr>
              <w:t>14.9%</w:t>
            </w:r>
          </w:p>
        </w:tc>
      </w:tr>
    </w:tbl>
    <w:p>
      <w:pPr>
        <w:spacing w:after="0" w:line="262" w:lineRule="exact"/>
        <w:jc w:val="left"/>
        <w:rPr>
          <w:rFonts w:ascii="宋体" w:hAnsi="宋体" w:cs="宋体" w:eastAsia="宋体" w:hint="default"/>
          <w:sz w:val="21"/>
          <w:szCs w:val="21"/>
        </w:rPr>
        <w:sectPr>
          <w:footerReference w:type="default" r:id="rId30"/>
          <w:pgSz w:w="11910" w:h="16840"/>
          <w:pgMar w:footer="502" w:header="854" w:top="1360" w:bottom="700" w:left="1280" w:right="1140"/>
        </w:sectPr>
      </w:pPr>
    </w:p>
    <w:p>
      <w:pPr>
        <w:spacing w:line="240" w:lineRule="auto" w:before="6"/>
        <w:rPr>
          <w:rFonts w:ascii="宋体" w:hAnsi="宋体" w:cs="宋体" w:eastAsia="宋体" w:hint="default"/>
          <w:sz w:val="12"/>
          <w:szCs w:val="12"/>
        </w:rPr>
      </w:pPr>
    </w:p>
    <w:tbl>
      <w:tblPr>
        <w:tblW w:w="0" w:type="auto"/>
        <w:jc w:val="left"/>
        <w:tblInd w:w="807" w:type="dxa"/>
        <w:tblLayout w:type="fixed"/>
        <w:tblCellMar>
          <w:top w:w="0" w:type="dxa"/>
          <w:left w:w="0" w:type="dxa"/>
          <w:bottom w:w="0" w:type="dxa"/>
          <w:right w:w="0" w:type="dxa"/>
        </w:tblCellMar>
        <w:tblLook w:val="01E0"/>
      </w:tblPr>
      <w:tblGrid>
        <w:gridCol w:w="4145"/>
        <w:gridCol w:w="2150"/>
        <w:gridCol w:w="2617"/>
      </w:tblGrid>
      <w:tr>
        <w:trPr>
          <w:trHeight w:val="381" w:hRule="exact"/>
        </w:trPr>
        <w:tc>
          <w:tcPr>
            <w:tcW w:w="4145"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753" w:right="0"/>
              <w:jc w:val="left"/>
              <w:rPr>
                <w:rFonts w:ascii="宋体" w:hAnsi="宋体" w:cs="宋体" w:eastAsia="宋体" w:hint="default"/>
                <w:sz w:val="21"/>
                <w:szCs w:val="21"/>
              </w:rPr>
            </w:pPr>
            <w:r>
              <w:rPr>
                <w:rFonts w:ascii="宋体" w:hAnsi="宋体" w:cs="宋体" w:eastAsia="宋体" w:hint="default"/>
                <w:sz w:val="21"/>
                <w:szCs w:val="21"/>
              </w:rPr>
              <w:t>基础设施及传送网</w:t>
            </w:r>
          </w:p>
        </w:tc>
        <w:tc>
          <w:tcPr>
            <w:tcW w:w="2150" w:type="dxa"/>
            <w:tcBorders>
              <w:top w:val="nil" w:sz="6" w:space="0" w:color="auto"/>
              <w:left w:val="single" w:sz="4" w:space="0" w:color="000000"/>
              <w:bottom w:val="nil" w:sz="6" w:space="0" w:color="auto"/>
              <w:right w:val="nil" w:sz="6" w:space="0" w:color="auto"/>
            </w:tcBorders>
          </w:tcPr>
          <w:p>
            <w:pPr>
              <w:pStyle w:val="TableParagraph"/>
              <w:spacing w:line="263" w:lineRule="exact"/>
              <w:ind w:left="689" w:right="0"/>
              <w:jc w:val="left"/>
              <w:rPr>
                <w:rFonts w:ascii="宋体" w:hAnsi="宋体" w:cs="宋体" w:eastAsia="宋体" w:hint="default"/>
                <w:sz w:val="21"/>
                <w:szCs w:val="21"/>
              </w:rPr>
            </w:pPr>
            <w:r>
              <w:rPr>
                <w:rFonts w:ascii="宋体"/>
                <w:sz w:val="21"/>
              </w:rPr>
              <w:t>114.2</w:t>
            </w:r>
          </w:p>
        </w:tc>
        <w:tc>
          <w:tcPr>
            <w:tcW w:w="2617" w:type="dxa"/>
            <w:tcBorders>
              <w:top w:val="nil" w:sz="6" w:space="0" w:color="auto"/>
              <w:left w:val="nil" w:sz="6" w:space="0" w:color="auto"/>
              <w:bottom w:val="nil" w:sz="6" w:space="0" w:color="auto"/>
              <w:right w:val="single" w:sz="4" w:space="0" w:color="000000"/>
            </w:tcBorders>
          </w:tcPr>
          <w:p>
            <w:pPr>
              <w:pStyle w:val="TableParagraph"/>
              <w:spacing w:line="263" w:lineRule="exact"/>
              <w:ind w:left="927" w:right="0"/>
              <w:jc w:val="left"/>
              <w:rPr>
                <w:rFonts w:ascii="宋体" w:hAnsi="宋体" w:cs="宋体" w:eastAsia="宋体" w:hint="default"/>
                <w:sz w:val="21"/>
                <w:szCs w:val="21"/>
              </w:rPr>
            </w:pPr>
            <w:r>
              <w:rPr>
                <w:rFonts w:ascii="宋体"/>
                <w:sz w:val="21"/>
              </w:rPr>
              <w:t>20.2%</w:t>
            </w:r>
          </w:p>
        </w:tc>
      </w:tr>
      <w:tr>
        <w:trPr>
          <w:trHeight w:val="419" w:hRule="exact"/>
        </w:trPr>
        <w:tc>
          <w:tcPr>
            <w:tcW w:w="4145" w:type="dxa"/>
            <w:tcBorders>
              <w:top w:val="nil" w:sz="6" w:space="0" w:color="auto"/>
              <w:left w:val="nil" w:sz="6" w:space="0" w:color="auto"/>
              <w:bottom w:val="single" w:sz="17" w:space="0" w:color="000000"/>
              <w:right w:val="single" w:sz="4" w:space="0" w:color="000000"/>
            </w:tcBorders>
          </w:tcPr>
          <w:p>
            <w:pPr>
              <w:pStyle w:val="TableParagraph"/>
              <w:spacing w:line="240" w:lineRule="auto" w:before="70"/>
              <w:ind w:left="75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150" w:type="dxa"/>
            <w:tcBorders>
              <w:top w:val="nil" w:sz="6" w:space="0" w:color="auto"/>
              <w:left w:val="single" w:sz="4" w:space="0" w:color="000000"/>
              <w:bottom w:val="single" w:sz="17" w:space="0" w:color="000000"/>
              <w:right w:val="nil" w:sz="6" w:space="0" w:color="auto"/>
            </w:tcBorders>
          </w:tcPr>
          <w:p>
            <w:pPr>
              <w:pStyle w:val="TableParagraph"/>
              <w:spacing w:line="261" w:lineRule="exact"/>
              <w:ind w:left="741" w:right="0"/>
              <w:jc w:val="left"/>
              <w:rPr>
                <w:rFonts w:ascii="宋体" w:hAnsi="宋体" w:cs="宋体" w:eastAsia="宋体" w:hint="default"/>
                <w:sz w:val="21"/>
                <w:szCs w:val="21"/>
              </w:rPr>
            </w:pPr>
            <w:r>
              <w:rPr>
                <w:rFonts w:ascii="宋体"/>
                <w:sz w:val="21"/>
              </w:rPr>
              <w:t>69.3</w:t>
            </w:r>
          </w:p>
        </w:tc>
        <w:tc>
          <w:tcPr>
            <w:tcW w:w="2617" w:type="dxa"/>
            <w:tcBorders>
              <w:top w:val="nil" w:sz="6" w:space="0" w:color="auto"/>
              <w:left w:val="nil" w:sz="6" w:space="0" w:color="auto"/>
              <w:bottom w:val="single" w:sz="17" w:space="0" w:color="000000"/>
              <w:right w:val="single" w:sz="4" w:space="0" w:color="000000"/>
            </w:tcBorders>
          </w:tcPr>
          <w:p>
            <w:pPr>
              <w:pStyle w:val="TableParagraph"/>
              <w:spacing w:line="261" w:lineRule="exact"/>
              <w:ind w:left="927" w:right="0"/>
              <w:jc w:val="left"/>
              <w:rPr>
                <w:rFonts w:ascii="宋体" w:hAnsi="宋体" w:cs="宋体" w:eastAsia="宋体" w:hint="default"/>
                <w:sz w:val="21"/>
                <w:szCs w:val="21"/>
              </w:rPr>
            </w:pPr>
            <w:r>
              <w:rPr>
                <w:rFonts w:ascii="宋体"/>
                <w:sz w:val="21"/>
              </w:rPr>
              <w:t>12.3%</w:t>
            </w:r>
          </w:p>
        </w:tc>
      </w:tr>
    </w:tbl>
    <w:p>
      <w:pPr>
        <w:spacing w:line="240" w:lineRule="auto" w:before="3"/>
        <w:rPr>
          <w:rFonts w:ascii="宋体" w:hAnsi="宋体" w:cs="宋体" w:eastAsia="宋体" w:hint="default"/>
          <w:sz w:val="8"/>
          <w:szCs w:val="8"/>
        </w:rPr>
      </w:pPr>
    </w:p>
    <w:p>
      <w:pPr>
        <w:spacing w:line="335" w:lineRule="exact" w:before="0"/>
        <w:ind w:left="855"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05"/>
          <w:sz w:val="21"/>
          <w:szCs w:val="21"/>
        </w:rPr>
        <w:t>7.</w:t>
      </w:r>
      <w:r>
        <w:rPr>
          <w:rFonts w:ascii="Microsoft JhengHei" w:hAnsi="Microsoft JhengHei" w:cs="Microsoft JhengHei" w:eastAsia="Microsoft JhengHei" w:hint="default"/>
          <w:b/>
          <w:bCs/>
          <w:w w:val="105"/>
          <w:sz w:val="21"/>
          <w:szCs w:val="21"/>
        </w:rPr>
        <w:t>资产负债情况</w:t>
      </w:r>
      <w:r>
        <w:rPr>
          <w:rFonts w:ascii="Microsoft JhengHei" w:hAnsi="Microsoft JhengHei" w:cs="Microsoft JhengHei" w:eastAsia="Microsoft JhengHei" w:hint="default"/>
          <w:w w:val="105"/>
          <w:sz w:val="21"/>
          <w:szCs w:val="21"/>
        </w:rPr>
      </w:r>
    </w:p>
    <w:p>
      <w:pPr>
        <w:spacing w:line="240" w:lineRule="auto" w:before="16"/>
        <w:rPr>
          <w:rFonts w:ascii="Microsoft JhengHei" w:hAnsi="Microsoft JhengHei" w:cs="Microsoft JhengHei" w:eastAsia="Microsoft JhengHei" w:hint="default"/>
          <w:b/>
          <w:bCs/>
          <w:sz w:val="12"/>
          <w:szCs w:val="12"/>
        </w:rPr>
      </w:pPr>
    </w:p>
    <w:p>
      <w:pPr>
        <w:spacing w:before="0"/>
        <w:ind w:left="910" w:right="0" w:firstLine="0"/>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48"/>
          <w:sz w:val="21"/>
          <w:szCs w:val="21"/>
        </w:rPr>
        <w:t> </w:t>
      </w:r>
      <w:r>
        <w:rPr>
          <w:rFonts w:ascii="宋体" w:hAnsi="宋体" w:cs="宋体" w:eastAsia="宋体" w:hint="default"/>
          <w:sz w:val="21"/>
          <w:szCs w:val="21"/>
        </w:rPr>
        <w:t>2019</w:t>
      </w:r>
      <w:r>
        <w:rPr>
          <w:rFonts w:ascii="宋体" w:hAnsi="宋体" w:cs="宋体" w:eastAsia="宋体" w:hint="default"/>
          <w:spacing w:val="-50"/>
          <w:sz w:val="21"/>
          <w:szCs w:val="21"/>
        </w:rPr>
        <w:t> </w:t>
      </w:r>
      <w:r>
        <w:rPr>
          <w:rFonts w:ascii="宋体" w:hAnsi="宋体" w:cs="宋体" w:eastAsia="宋体" w:hint="default"/>
          <w:spacing w:val="-4"/>
          <w:sz w:val="21"/>
          <w:szCs w:val="21"/>
        </w:rPr>
        <w:t>年底，公司资产总额由上年底的人民币</w:t>
      </w:r>
      <w:r>
        <w:rPr>
          <w:rFonts w:ascii="宋体" w:hAnsi="宋体" w:cs="宋体" w:eastAsia="宋体" w:hint="default"/>
          <w:spacing w:val="-47"/>
          <w:sz w:val="21"/>
          <w:szCs w:val="21"/>
        </w:rPr>
        <w:t> </w:t>
      </w:r>
      <w:r>
        <w:rPr>
          <w:rFonts w:ascii="宋体" w:hAnsi="宋体" w:cs="宋体" w:eastAsia="宋体" w:hint="default"/>
          <w:sz w:val="21"/>
          <w:szCs w:val="21"/>
        </w:rPr>
        <w:t>5,417.6</w:t>
      </w:r>
      <w:r>
        <w:rPr>
          <w:rFonts w:ascii="宋体" w:hAnsi="宋体" w:cs="宋体" w:eastAsia="宋体" w:hint="default"/>
          <w:spacing w:val="-50"/>
          <w:sz w:val="21"/>
          <w:szCs w:val="21"/>
        </w:rPr>
        <w:t> </w:t>
      </w:r>
      <w:r>
        <w:rPr>
          <w:rFonts w:ascii="宋体" w:hAnsi="宋体" w:cs="宋体" w:eastAsia="宋体" w:hint="default"/>
          <w:sz w:val="21"/>
          <w:szCs w:val="21"/>
        </w:rPr>
        <w:t>亿元变化至人民币</w:t>
      </w:r>
      <w:r>
        <w:rPr>
          <w:rFonts w:ascii="宋体" w:hAnsi="宋体" w:cs="宋体" w:eastAsia="宋体" w:hint="default"/>
          <w:spacing w:val="-50"/>
          <w:sz w:val="21"/>
          <w:szCs w:val="21"/>
        </w:rPr>
        <w:t> </w:t>
      </w:r>
      <w:r>
        <w:rPr>
          <w:rFonts w:ascii="宋体" w:hAnsi="宋体" w:cs="宋体" w:eastAsia="宋体" w:hint="default"/>
          <w:sz w:val="21"/>
          <w:szCs w:val="21"/>
        </w:rPr>
        <w:t>5,642.3</w:t>
      </w:r>
      <w:r>
        <w:rPr>
          <w:rFonts w:ascii="宋体" w:hAnsi="宋体" w:cs="宋体" w:eastAsia="宋体" w:hint="default"/>
          <w:spacing w:val="-48"/>
          <w:sz w:val="21"/>
          <w:szCs w:val="21"/>
        </w:rPr>
        <w:t> </w:t>
      </w:r>
      <w:r>
        <w:rPr>
          <w:rFonts w:ascii="宋体" w:hAnsi="宋体" w:cs="宋体" w:eastAsia="宋体" w:hint="default"/>
          <w:spacing w:val="-10"/>
          <w:sz w:val="21"/>
          <w:szCs w:val="21"/>
        </w:rPr>
        <w:t>亿元，负债</w:t>
      </w:r>
    </w:p>
    <w:p>
      <w:pPr>
        <w:spacing w:line="314" w:lineRule="auto" w:before="85"/>
        <w:ind w:left="538" w:right="544" w:firstLine="0"/>
        <w:jc w:val="left"/>
        <w:rPr>
          <w:rFonts w:ascii="宋体" w:hAnsi="宋体" w:cs="宋体" w:eastAsia="宋体" w:hint="default"/>
          <w:sz w:val="21"/>
          <w:szCs w:val="21"/>
        </w:rPr>
      </w:pPr>
      <w:r>
        <w:rPr>
          <w:rFonts w:ascii="宋体" w:hAnsi="宋体" w:cs="宋体" w:eastAsia="宋体" w:hint="default"/>
          <w:sz w:val="21"/>
          <w:szCs w:val="21"/>
        </w:rPr>
        <w:t>总额由上年底的人民币</w:t>
      </w:r>
      <w:r>
        <w:rPr>
          <w:rFonts w:ascii="宋体" w:hAnsi="宋体" w:cs="宋体" w:eastAsia="宋体" w:hint="default"/>
          <w:spacing w:val="-48"/>
          <w:sz w:val="21"/>
          <w:szCs w:val="21"/>
        </w:rPr>
        <w:t> </w:t>
      </w:r>
      <w:r>
        <w:rPr>
          <w:rFonts w:ascii="宋体" w:hAnsi="宋体" w:cs="宋体" w:eastAsia="宋体" w:hint="default"/>
          <w:sz w:val="21"/>
          <w:szCs w:val="21"/>
        </w:rPr>
        <w:t>2,248.2</w:t>
      </w:r>
      <w:r>
        <w:rPr>
          <w:rFonts w:ascii="宋体" w:hAnsi="宋体" w:cs="宋体" w:eastAsia="宋体" w:hint="default"/>
          <w:spacing w:val="-50"/>
          <w:sz w:val="21"/>
          <w:szCs w:val="21"/>
        </w:rPr>
        <w:t> </w:t>
      </w:r>
      <w:r>
        <w:rPr>
          <w:rFonts w:ascii="宋体" w:hAnsi="宋体" w:cs="宋体" w:eastAsia="宋体" w:hint="default"/>
          <w:sz w:val="21"/>
          <w:szCs w:val="21"/>
        </w:rPr>
        <w:t>亿元变化至人民币</w:t>
      </w:r>
      <w:r>
        <w:rPr>
          <w:rFonts w:ascii="宋体" w:hAnsi="宋体" w:cs="宋体" w:eastAsia="宋体" w:hint="default"/>
          <w:spacing w:val="-48"/>
          <w:sz w:val="21"/>
          <w:szCs w:val="21"/>
        </w:rPr>
        <w:t> </w:t>
      </w:r>
      <w:r>
        <w:rPr>
          <w:rFonts w:ascii="宋体" w:hAnsi="宋体" w:cs="宋体" w:eastAsia="宋体" w:hint="default"/>
          <w:sz w:val="21"/>
          <w:szCs w:val="21"/>
        </w:rPr>
        <w:t>2,407.3</w:t>
      </w:r>
      <w:r>
        <w:rPr>
          <w:rFonts w:ascii="宋体" w:hAnsi="宋体" w:cs="宋体" w:eastAsia="宋体" w:hint="default"/>
          <w:spacing w:val="-50"/>
          <w:sz w:val="21"/>
          <w:szCs w:val="21"/>
        </w:rPr>
        <w:t> </w:t>
      </w:r>
      <w:r>
        <w:rPr>
          <w:rFonts w:ascii="宋体" w:hAnsi="宋体" w:cs="宋体" w:eastAsia="宋体" w:hint="default"/>
          <w:sz w:val="21"/>
          <w:szCs w:val="21"/>
        </w:rPr>
        <w:t>亿元，资产负债率由上年底的</w:t>
      </w:r>
      <w:r>
        <w:rPr>
          <w:rFonts w:ascii="宋体" w:hAnsi="宋体" w:cs="宋体" w:eastAsia="宋体" w:hint="default"/>
          <w:spacing w:val="-50"/>
          <w:sz w:val="21"/>
          <w:szCs w:val="21"/>
        </w:rPr>
        <w:t> </w:t>
      </w:r>
      <w:r>
        <w:rPr>
          <w:rFonts w:ascii="宋体" w:hAnsi="宋体" w:cs="宋体" w:eastAsia="宋体" w:hint="default"/>
          <w:sz w:val="21"/>
          <w:szCs w:val="21"/>
        </w:rPr>
        <w:t>41.5%</w:t>
      </w:r>
      <w:r>
        <w:rPr>
          <w:rFonts w:ascii="宋体" w:hAnsi="宋体" w:cs="宋体" w:eastAsia="宋体" w:hint="default"/>
          <w:sz w:val="21"/>
          <w:szCs w:val="21"/>
        </w:rPr>
        <w:t>变化</w:t>
      </w:r>
      <w:r>
        <w:rPr>
          <w:rFonts w:ascii="宋体" w:hAnsi="宋体" w:cs="宋体" w:eastAsia="宋体" w:hint="default"/>
          <w:spacing w:val="-3"/>
          <w:w w:val="100"/>
          <w:sz w:val="21"/>
          <w:szCs w:val="21"/>
        </w:rPr>
        <w:t> </w:t>
      </w:r>
      <w:r>
        <w:rPr>
          <w:rFonts w:ascii="宋体" w:hAnsi="宋体" w:cs="宋体" w:eastAsia="宋体" w:hint="default"/>
          <w:sz w:val="21"/>
          <w:szCs w:val="21"/>
        </w:rPr>
        <w:t>至</w:t>
      </w:r>
      <w:r>
        <w:rPr>
          <w:rFonts w:ascii="宋体" w:hAnsi="宋体" w:cs="宋体" w:eastAsia="宋体" w:hint="default"/>
          <w:spacing w:val="-55"/>
          <w:sz w:val="21"/>
          <w:szCs w:val="21"/>
        </w:rPr>
        <w:t> </w:t>
      </w:r>
      <w:r>
        <w:rPr>
          <w:rFonts w:ascii="宋体" w:hAnsi="宋体" w:cs="宋体" w:eastAsia="宋体" w:hint="default"/>
          <w:sz w:val="21"/>
          <w:szCs w:val="21"/>
        </w:rPr>
        <w:t>42.7%</w:t>
      </w:r>
      <w:r>
        <w:rPr>
          <w:rFonts w:ascii="宋体" w:hAnsi="宋体" w:cs="宋体" w:eastAsia="宋体" w:hint="default"/>
          <w:sz w:val="21"/>
          <w:szCs w:val="21"/>
        </w:rPr>
        <w:t>，主要是受执行新租赁准则的影响。</w:t>
      </w:r>
    </w:p>
    <w:p>
      <w:pPr>
        <w:spacing w:line="240" w:lineRule="auto" w:before="2"/>
        <w:rPr>
          <w:rFonts w:ascii="宋体" w:hAnsi="宋体" w:cs="宋体" w:eastAsia="宋体" w:hint="default"/>
          <w:sz w:val="16"/>
          <w:szCs w:val="16"/>
        </w:rPr>
      </w:pPr>
    </w:p>
    <w:p>
      <w:pPr>
        <w:spacing w:line="367" w:lineRule="auto" w:before="0"/>
        <w:ind w:left="538" w:right="536" w:firstLine="0"/>
        <w:jc w:val="left"/>
        <w:rPr>
          <w:rFonts w:ascii="宋体" w:hAnsi="宋体" w:cs="宋体" w:eastAsia="宋体" w:hint="default"/>
          <w:sz w:val="18"/>
          <w:szCs w:val="18"/>
        </w:rPr>
      </w:pPr>
      <w:r>
        <w:rPr>
          <w:rFonts w:ascii="宋体" w:hAnsi="宋体" w:cs="宋体" w:eastAsia="宋体" w:hint="default"/>
          <w:sz w:val="18"/>
          <w:szCs w:val="18"/>
        </w:rPr>
        <w:t>附注</w:t>
      </w:r>
      <w:r>
        <w:rPr>
          <w:rFonts w:ascii="宋体" w:hAnsi="宋体" w:cs="宋体" w:eastAsia="宋体" w:hint="default"/>
          <w:spacing w:val="-58"/>
          <w:sz w:val="18"/>
          <w:szCs w:val="18"/>
        </w:rPr>
        <w:t> </w:t>
      </w:r>
      <w:r>
        <w:rPr>
          <w:rFonts w:ascii="宋体" w:hAnsi="宋体" w:cs="宋体" w:eastAsia="宋体" w:hint="default"/>
          <w:sz w:val="18"/>
          <w:szCs w:val="18"/>
        </w:rPr>
        <w:t>1:</w:t>
      </w:r>
      <w:r>
        <w:rPr>
          <w:rFonts w:ascii="宋体" w:hAnsi="宋体" w:cs="宋体" w:eastAsia="宋体" w:hint="default"/>
          <w:sz w:val="18"/>
          <w:szCs w:val="18"/>
        </w:rPr>
        <w:t>自由现金流反映了扣除资本开支的经营现金流，但它并非公认会计原则财务指标，并无统一定义，故未必可与 其他公司的类似指标作比较。</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footerReference w:type="default" r:id="rId31"/>
          <w:pgSz w:w="11910" w:h="16840"/>
          <w:pgMar w:footer="502" w:header="854" w:top="1360" w:bottom="700" w:left="880" w:right="720"/>
        </w:sectPr>
      </w:pPr>
    </w:p>
    <w:p>
      <w:pPr>
        <w:tabs>
          <w:tab w:pos="1378" w:val="left" w:leader="none"/>
        </w:tabs>
        <w:spacing w:line="335" w:lineRule="exact" w:before="0"/>
        <w:ind w:left="538"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5"/>
          <w:sz w:val="21"/>
          <w:szCs w:val="21"/>
        </w:rPr>
        <w:t>(</w:t>
      </w:r>
      <w:r>
        <w:rPr>
          <w:rFonts w:ascii="Microsoft JhengHei" w:hAnsi="Microsoft JhengHei" w:cs="Microsoft JhengHei" w:eastAsia="Microsoft JhengHei" w:hint="default"/>
          <w:b/>
          <w:bCs/>
          <w:w w:val="115"/>
          <w:sz w:val="21"/>
          <w:szCs w:val="21"/>
        </w:rPr>
        <w:t>一</w:t>
      </w:r>
      <w:r>
        <w:rPr>
          <w:rFonts w:ascii="Arial" w:hAnsi="Arial" w:cs="Arial" w:eastAsia="Arial" w:hint="default"/>
          <w:b/>
          <w:bCs/>
          <w:w w:val="115"/>
          <w:sz w:val="21"/>
          <w:szCs w:val="21"/>
        </w:rPr>
        <w:t>)</w:t>
        <w:tab/>
      </w:r>
      <w:r>
        <w:rPr>
          <w:rFonts w:ascii="Microsoft JhengHei" w:hAnsi="Microsoft JhengHei" w:cs="Microsoft JhengHei" w:eastAsia="Microsoft JhengHei" w:hint="default"/>
          <w:b/>
          <w:bCs/>
          <w:w w:val="115"/>
          <w:sz w:val="21"/>
          <w:szCs w:val="21"/>
        </w:rPr>
        <w:t>主营业务分析</w:t>
      </w:r>
      <w:r>
        <w:rPr>
          <w:rFonts w:ascii="Microsoft JhengHei" w:hAnsi="Microsoft JhengHei" w:cs="Microsoft JhengHei" w:eastAsia="Microsoft JhengHei" w:hint="default"/>
          <w:w w:val="115"/>
          <w:sz w:val="21"/>
          <w:szCs w:val="21"/>
        </w:rPr>
      </w:r>
    </w:p>
    <w:p>
      <w:pPr>
        <w:tabs>
          <w:tab w:pos="958" w:val="left" w:leader="none"/>
        </w:tabs>
        <w:spacing w:before="6"/>
        <w:ind w:left="538"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0"/>
          <w:sz w:val="21"/>
          <w:szCs w:val="21"/>
        </w:rPr>
        <w:t>1.</w:t>
        <w:tab/>
      </w:r>
      <w:r>
        <w:rPr>
          <w:rFonts w:ascii="Microsoft JhengHei" w:hAnsi="Microsoft JhengHei" w:cs="Microsoft JhengHei" w:eastAsia="Microsoft JhengHei" w:hint="default"/>
          <w:b/>
          <w:bCs/>
          <w:spacing w:val="-1"/>
          <w:sz w:val="21"/>
          <w:szCs w:val="21"/>
        </w:rPr>
        <w:t>利润表及现金流量表相关科目变动分析表</w:t>
      </w:r>
      <w:r>
        <w:rPr>
          <w:rFonts w:ascii="Microsoft JhengHei" w:hAnsi="Microsoft JhengHei" w:cs="Microsoft JhengHei" w:eastAsia="Microsoft JhengHei" w:hint="default"/>
          <w:spacing w:val="-1"/>
          <w:sz w:val="21"/>
          <w:szCs w:val="21"/>
        </w:rPr>
      </w:r>
    </w:p>
    <w:p>
      <w:pPr>
        <w:spacing w:line="240" w:lineRule="auto" w:before="0"/>
        <w:rPr>
          <w:rFonts w:ascii="Microsoft JhengHei" w:hAnsi="Microsoft JhengHei" w:cs="Microsoft JhengHei" w:eastAsia="Microsoft JhengHei" w:hint="default"/>
          <w:b/>
          <w:bCs/>
          <w:sz w:val="20"/>
          <w:szCs w:val="20"/>
        </w:rPr>
      </w:pPr>
      <w:r>
        <w:rPr/>
        <w:br w:type="column"/>
      </w:r>
      <w:r>
        <w:rPr>
          <w:rFonts w:ascii="Microsoft JhengHei"/>
          <w:b/>
          <w:sz w:val="20"/>
        </w:rPr>
      </w:r>
    </w:p>
    <w:p>
      <w:pPr>
        <w:spacing w:line="240" w:lineRule="auto" w:before="14"/>
        <w:rPr>
          <w:rFonts w:ascii="Microsoft JhengHei" w:hAnsi="Microsoft JhengHei" w:cs="Microsoft JhengHei" w:eastAsia="Microsoft JhengHei" w:hint="default"/>
          <w:b/>
          <w:bCs/>
          <w:sz w:val="24"/>
          <w:szCs w:val="24"/>
        </w:rPr>
      </w:pPr>
    </w:p>
    <w:p>
      <w:pPr>
        <w:tabs>
          <w:tab w:pos="1485" w:val="left" w:leader="none"/>
        </w:tabs>
        <w:spacing w:before="0"/>
        <w:ind w:left="538" w:right="0" w:firstLine="0"/>
        <w:jc w:val="left"/>
        <w:rPr>
          <w:rFonts w:ascii="宋体" w:hAnsi="宋体" w:cs="宋体" w:eastAsia="宋体" w:hint="default"/>
          <w:sz w:val="21"/>
          <w:szCs w:val="21"/>
        </w:rPr>
      </w:pPr>
      <w:r>
        <w:rPr>
          <w:rFonts w:ascii="宋体" w:hAnsi="宋体" w:cs="宋体" w:eastAsia="宋体" w:hint="default"/>
          <w:spacing w:val="-1"/>
          <w:sz w:val="21"/>
          <w:szCs w:val="21"/>
        </w:rPr>
        <w:t>单位</w:t>
      </w:r>
      <w:r>
        <w:rPr>
          <w:rFonts w:ascii="宋体" w:hAnsi="宋体" w:cs="宋体" w:eastAsia="宋体" w:hint="default"/>
          <w:spacing w:val="-1"/>
          <w:sz w:val="21"/>
          <w:szCs w:val="21"/>
        </w:rPr>
        <w:t>:</w:t>
      </w:r>
      <w:r>
        <w:rPr>
          <w:rFonts w:ascii="宋体" w:hAnsi="宋体" w:cs="宋体" w:eastAsia="宋体" w:hint="default"/>
          <w:spacing w:val="-1"/>
          <w:sz w:val="21"/>
          <w:szCs w:val="21"/>
        </w:rPr>
        <w:t>元</w:t>
        <w:tab/>
        <w:t>币种</w:t>
      </w:r>
      <w:r>
        <w:rPr>
          <w:rFonts w:ascii="宋体" w:hAnsi="宋体" w:cs="宋体" w:eastAsia="宋体" w:hint="default"/>
          <w:spacing w:val="-1"/>
          <w:sz w:val="21"/>
          <w:szCs w:val="21"/>
        </w:rPr>
        <w:t>:</w:t>
      </w:r>
      <w:r>
        <w:rPr>
          <w:rFonts w:ascii="宋体" w:hAnsi="宋体" w:cs="宋体" w:eastAsia="宋体" w:hint="default"/>
          <w:spacing w:val="-1"/>
          <w:sz w:val="21"/>
          <w:szCs w:val="21"/>
        </w:rPr>
        <w:t>人民币</w:t>
      </w:r>
    </w:p>
    <w:p>
      <w:pPr>
        <w:spacing w:after="0"/>
        <w:jc w:val="left"/>
        <w:rPr>
          <w:rFonts w:ascii="宋体" w:hAnsi="宋体" w:cs="宋体" w:eastAsia="宋体" w:hint="default"/>
          <w:sz w:val="21"/>
          <w:szCs w:val="21"/>
        </w:rPr>
        <w:sectPr>
          <w:type w:val="continuous"/>
          <w:pgSz w:w="11910" w:h="16840"/>
          <w:pgMar w:top="1360" w:bottom="700" w:left="880" w:right="720"/>
          <w:cols w:num="2" w:equalWidth="0">
            <w:col w:w="4756" w:space="2358"/>
            <w:col w:w="3196"/>
          </w:cols>
        </w:sectPr>
      </w:pPr>
    </w:p>
    <w:p>
      <w:pPr>
        <w:spacing w:line="240" w:lineRule="auto" w:before="10"/>
        <w:rPr>
          <w:rFonts w:ascii="宋体" w:hAnsi="宋体" w:cs="宋体" w:eastAsia="宋体" w:hint="default"/>
          <w:sz w:val="3"/>
          <w:szCs w:val="3"/>
        </w:rPr>
      </w:pPr>
    </w:p>
    <w:tbl>
      <w:tblPr>
        <w:tblW w:w="0" w:type="auto"/>
        <w:jc w:val="left"/>
        <w:tblInd w:w="426" w:type="dxa"/>
        <w:tblLayout w:type="fixed"/>
        <w:tblCellMar>
          <w:top w:w="0" w:type="dxa"/>
          <w:left w:w="0" w:type="dxa"/>
          <w:bottom w:w="0" w:type="dxa"/>
          <w:right w:w="0" w:type="dxa"/>
        </w:tblCellMar>
        <w:tblLook w:val="01E0"/>
      </w:tblPr>
      <w:tblGrid>
        <w:gridCol w:w="3500"/>
        <w:gridCol w:w="1976"/>
        <w:gridCol w:w="1975"/>
        <w:gridCol w:w="1981"/>
      </w:tblGrid>
      <w:tr>
        <w:trPr>
          <w:trHeight w:val="322" w:hRule="exact"/>
        </w:trPr>
        <w:tc>
          <w:tcPr>
            <w:tcW w:w="35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科目</w:t>
            </w:r>
          </w:p>
        </w:tc>
        <w:tc>
          <w:tcPr>
            <w:tcW w:w="19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本期数</w:t>
            </w:r>
          </w:p>
        </w:tc>
        <w:tc>
          <w:tcPr>
            <w:tcW w:w="19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456" w:right="0"/>
              <w:jc w:val="left"/>
              <w:rPr>
                <w:rFonts w:ascii="宋体" w:hAnsi="宋体" w:cs="宋体" w:eastAsia="宋体" w:hint="default"/>
                <w:sz w:val="21"/>
                <w:szCs w:val="21"/>
              </w:rPr>
            </w:pPr>
            <w:r>
              <w:rPr>
                <w:rFonts w:ascii="宋体" w:hAnsi="宋体" w:cs="宋体" w:eastAsia="宋体" w:hint="default"/>
                <w:sz w:val="21"/>
                <w:szCs w:val="21"/>
              </w:rPr>
              <w:t>上年同期数</w:t>
            </w:r>
          </w:p>
        </w:tc>
        <w:tc>
          <w:tcPr>
            <w:tcW w:w="19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302" w:right="0"/>
              <w:jc w:val="left"/>
              <w:rPr>
                <w:rFonts w:ascii="宋体" w:hAnsi="宋体" w:cs="宋体" w:eastAsia="宋体" w:hint="default"/>
                <w:sz w:val="21"/>
                <w:szCs w:val="21"/>
              </w:rPr>
            </w:pPr>
            <w:r>
              <w:rPr>
                <w:rFonts w:ascii="宋体" w:hAnsi="宋体" w:cs="宋体" w:eastAsia="宋体" w:hint="default"/>
                <w:sz w:val="21"/>
                <w:szCs w:val="21"/>
              </w:rPr>
              <w:t>变动比例（</w:t>
            </w:r>
            <w:r>
              <w:rPr>
                <w:rFonts w:ascii="宋体" w:hAnsi="宋体" w:cs="宋体" w:eastAsia="宋体" w:hint="default"/>
                <w:sz w:val="21"/>
                <w:szCs w:val="21"/>
              </w:rPr>
              <w:t>%</w:t>
            </w:r>
            <w:r>
              <w:rPr>
                <w:rFonts w:ascii="宋体" w:hAnsi="宋体" w:cs="宋体" w:eastAsia="宋体" w:hint="default"/>
                <w:sz w:val="21"/>
                <w:szCs w:val="21"/>
              </w:rPr>
              <w:t>）</w:t>
            </w:r>
          </w:p>
        </w:tc>
      </w:tr>
      <w:tr>
        <w:trPr>
          <w:trHeight w:val="322" w:hRule="exact"/>
        </w:trPr>
        <w:tc>
          <w:tcPr>
            <w:tcW w:w="35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290,514,554,553</w:t>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290,876,776,866</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-0.1</w:t>
            </w:r>
          </w:p>
        </w:tc>
      </w:tr>
      <w:tr>
        <w:trPr>
          <w:trHeight w:val="322" w:hRule="exact"/>
        </w:trPr>
        <w:tc>
          <w:tcPr>
            <w:tcW w:w="35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214,133,057,016</w:t>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213,585,637,513</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0.3</w:t>
            </w:r>
          </w:p>
        </w:tc>
      </w:tr>
      <w:tr>
        <w:trPr>
          <w:trHeight w:val="322" w:hRule="exact"/>
        </w:trPr>
        <w:tc>
          <w:tcPr>
            <w:tcW w:w="35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33,544,986,730</w:t>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35,169,715,460</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-4.6</w:t>
            </w:r>
          </w:p>
        </w:tc>
      </w:tr>
      <w:tr>
        <w:trPr>
          <w:trHeight w:val="322" w:hRule="exact"/>
        </w:trPr>
        <w:tc>
          <w:tcPr>
            <w:tcW w:w="35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3" w:lineRule="exact"/>
              <w:ind w:left="103"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99"/>
              <w:jc w:val="right"/>
              <w:rPr>
                <w:rFonts w:ascii="宋体" w:hAnsi="宋体" w:cs="宋体" w:eastAsia="宋体" w:hint="default"/>
                <w:sz w:val="21"/>
                <w:szCs w:val="21"/>
              </w:rPr>
            </w:pPr>
            <w:r>
              <w:rPr>
                <w:rFonts w:ascii="宋体"/>
                <w:spacing w:val="-1"/>
                <w:sz w:val="21"/>
              </w:rPr>
              <w:t>22,977,013,828</w:t>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98"/>
              <w:jc w:val="right"/>
              <w:rPr>
                <w:rFonts w:ascii="宋体" w:hAnsi="宋体" w:cs="宋体" w:eastAsia="宋体" w:hint="default"/>
                <w:sz w:val="21"/>
                <w:szCs w:val="21"/>
              </w:rPr>
            </w:pPr>
            <w:r>
              <w:rPr>
                <w:rFonts w:ascii="宋体"/>
                <w:spacing w:val="-1"/>
                <w:sz w:val="21"/>
              </w:rPr>
              <w:t>22,925,119,665</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98"/>
              <w:jc w:val="right"/>
              <w:rPr>
                <w:rFonts w:ascii="宋体" w:hAnsi="宋体" w:cs="宋体" w:eastAsia="宋体" w:hint="default"/>
                <w:sz w:val="21"/>
                <w:szCs w:val="21"/>
              </w:rPr>
            </w:pPr>
            <w:r>
              <w:rPr>
                <w:rFonts w:ascii="宋体"/>
                <w:sz w:val="21"/>
              </w:rPr>
              <w:t>0.2</w:t>
            </w:r>
          </w:p>
        </w:tc>
      </w:tr>
      <w:tr>
        <w:trPr>
          <w:trHeight w:val="324" w:hRule="exact"/>
        </w:trPr>
        <w:tc>
          <w:tcPr>
            <w:tcW w:w="35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研发费用</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9"/>
              <w:jc w:val="right"/>
              <w:rPr>
                <w:rFonts w:ascii="宋体" w:hAnsi="宋体" w:cs="宋体" w:eastAsia="宋体" w:hint="default"/>
                <w:sz w:val="21"/>
                <w:szCs w:val="21"/>
              </w:rPr>
            </w:pPr>
            <w:r>
              <w:rPr>
                <w:rFonts w:ascii="宋体"/>
                <w:spacing w:val="-1"/>
                <w:sz w:val="21"/>
              </w:rPr>
              <w:t>1,708,969,828</w:t>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rFonts w:ascii="宋体" w:hAnsi="宋体" w:cs="宋体" w:eastAsia="宋体" w:hint="default"/>
                <w:sz w:val="21"/>
                <w:szCs w:val="21"/>
              </w:rPr>
            </w:pPr>
            <w:r>
              <w:rPr>
                <w:rFonts w:ascii="宋体"/>
                <w:spacing w:val="-1"/>
                <w:sz w:val="21"/>
              </w:rPr>
              <w:t>872,225,770</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rFonts w:ascii="宋体" w:hAnsi="宋体" w:cs="宋体" w:eastAsia="宋体" w:hint="default"/>
                <w:sz w:val="21"/>
                <w:szCs w:val="21"/>
              </w:rPr>
            </w:pPr>
            <w:r>
              <w:rPr>
                <w:rFonts w:ascii="宋体"/>
                <w:sz w:val="21"/>
              </w:rPr>
              <w:t>95.9</w:t>
            </w:r>
          </w:p>
        </w:tc>
      </w:tr>
      <w:tr>
        <w:trPr>
          <w:trHeight w:val="322" w:hRule="exact"/>
        </w:trPr>
        <w:tc>
          <w:tcPr>
            <w:tcW w:w="35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717,430,307</w:t>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-137,779,791</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620.7</w:t>
            </w:r>
          </w:p>
        </w:tc>
      </w:tr>
      <w:tr>
        <w:trPr>
          <w:trHeight w:val="322" w:hRule="exact"/>
        </w:trPr>
        <w:tc>
          <w:tcPr>
            <w:tcW w:w="35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right="99"/>
              <w:jc w:val="right"/>
              <w:rPr>
                <w:rFonts w:ascii="宋体" w:hAnsi="宋体" w:cs="宋体" w:eastAsia="宋体" w:hint="default"/>
                <w:sz w:val="22"/>
                <w:szCs w:val="22"/>
              </w:rPr>
            </w:pPr>
            <w:r>
              <w:rPr>
                <w:rFonts w:ascii="宋体"/>
                <w:spacing w:val="-1"/>
                <w:sz w:val="22"/>
              </w:rPr>
              <w:t>96,208,235,799</w:t>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94,829,725,347</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1.5</w:t>
            </w:r>
          </w:p>
        </w:tc>
      </w:tr>
      <w:tr>
        <w:trPr>
          <w:trHeight w:val="322" w:hRule="exact"/>
        </w:trPr>
        <w:tc>
          <w:tcPr>
            <w:tcW w:w="35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投资活动产生的现金流量净额</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right="98"/>
              <w:jc w:val="right"/>
              <w:rPr>
                <w:rFonts w:ascii="宋体" w:hAnsi="宋体" w:cs="宋体" w:eastAsia="宋体" w:hint="default"/>
                <w:sz w:val="21"/>
                <w:szCs w:val="21"/>
              </w:rPr>
            </w:pPr>
            <w:r>
              <w:rPr>
                <w:rFonts w:ascii="宋体"/>
                <w:spacing w:val="-1"/>
                <w:sz w:val="22"/>
              </w:rPr>
              <w:t>-</w:t>
            </w:r>
            <w:r>
              <w:rPr>
                <w:rFonts w:ascii="宋体"/>
                <w:spacing w:val="-1"/>
                <w:sz w:val="21"/>
              </w:rPr>
              <w:t>58,877,259,973</w:t>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-61,167,017,208</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3.7</w:t>
            </w:r>
          </w:p>
        </w:tc>
      </w:tr>
      <w:tr>
        <w:trPr>
          <w:trHeight w:val="322" w:hRule="exact"/>
        </w:trPr>
        <w:tc>
          <w:tcPr>
            <w:tcW w:w="35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筹资活动产生的现金流量净额</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-32,469,497,587</w:t>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-36,549,771,905</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11.2</w:t>
            </w:r>
          </w:p>
        </w:tc>
      </w:tr>
    </w:tbl>
    <w:p>
      <w:pPr>
        <w:spacing w:line="240" w:lineRule="auto" w:before="9"/>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type w:val="continuous"/>
          <w:pgSz w:w="11910" w:h="16840"/>
          <w:pgMar w:top="1360" w:bottom="700" w:left="880" w:right="720"/>
        </w:sectPr>
      </w:pPr>
    </w:p>
    <w:p>
      <w:pPr>
        <w:tabs>
          <w:tab w:pos="958" w:val="left" w:leader="none"/>
        </w:tabs>
        <w:spacing w:line="335" w:lineRule="exact" w:before="0"/>
        <w:ind w:left="538" w:right="-18"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0"/>
          <w:sz w:val="21"/>
          <w:szCs w:val="21"/>
        </w:rPr>
        <w:t>2.</w:t>
        <w:tab/>
      </w:r>
      <w:r>
        <w:rPr>
          <w:rFonts w:ascii="Microsoft JhengHei" w:hAnsi="Microsoft JhengHei" w:cs="Microsoft JhengHei" w:eastAsia="Microsoft JhengHei" w:hint="default"/>
          <w:b/>
          <w:bCs/>
          <w:w w:val="110"/>
          <w:sz w:val="21"/>
          <w:szCs w:val="21"/>
        </w:rPr>
        <w:t>收入和成本分析</w:t>
      </w:r>
      <w:r>
        <w:rPr>
          <w:rFonts w:ascii="Microsoft JhengHei" w:hAnsi="Microsoft JhengHei" w:cs="Microsoft JhengHei" w:eastAsia="Microsoft JhengHei" w:hint="default"/>
          <w:w w:val="110"/>
          <w:sz w:val="21"/>
          <w:szCs w:val="21"/>
        </w:rPr>
      </w:r>
    </w:p>
    <w:p>
      <w:pPr>
        <w:spacing w:before="6"/>
        <w:ind w:left="538" w:right="-18" w:firstLine="0"/>
        <w:jc w:val="left"/>
        <w:rPr>
          <w:rFonts w:ascii="Microsoft JhengHei" w:hAnsi="Microsoft JhengHei" w:cs="Microsoft JhengHei" w:eastAsia="Microsoft JhengHei" w:hint="default"/>
          <w:sz w:val="21"/>
          <w:szCs w:val="21"/>
        </w:rPr>
      </w:pPr>
      <w:r>
        <w:rPr>
          <w:rFonts w:ascii="Arial" w:hAnsi="Arial" w:cs="Arial" w:eastAsia="Arial" w:hint="default"/>
          <w:b/>
          <w:bCs/>
          <w:w w:val="105"/>
          <w:sz w:val="21"/>
          <w:szCs w:val="21"/>
        </w:rPr>
        <w:t>(1).</w:t>
      </w:r>
      <w:r>
        <w:rPr>
          <w:rFonts w:ascii="Arial" w:hAnsi="Arial" w:cs="Arial" w:eastAsia="Arial" w:hint="default"/>
          <w:b/>
          <w:bCs/>
          <w:spacing w:val="10"/>
          <w:w w:val="105"/>
          <w:sz w:val="21"/>
          <w:szCs w:val="21"/>
        </w:rPr>
        <w:t> </w:t>
      </w:r>
      <w:r>
        <w:rPr>
          <w:rFonts w:ascii="Microsoft JhengHei" w:hAnsi="Microsoft JhengHei" w:cs="Microsoft JhengHei" w:eastAsia="Microsoft JhengHei" w:hint="default"/>
          <w:b/>
          <w:bCs/>
          <w:w w:val="105"/>
          <w:sz w:val="21"/>
          <w:szCs w:val="21"/>
        </w:rPr>
        <w:t>主营业务分行业、分产品、分地区情况</w:t>
      </w:r>
      <w:r>
        <w:rPr>
          <w:rFonts w:ascii="Microsoft JhengHei" w:hAnsi="Microsoft JhengHei" w:cs="Microsoft JhengHei" w:eastAsia="Microsoft JhengHei" w:hint="default"/>
          <w:w w:val="105"/>
          <w:sz w:val="21"/>
          <w:szCs w:val="21"/>
        </w:rPr>
      </w:r>
    </w:p>
    <w:p>
      <w:pPr>
        <w:spacing w:line="240" w:lineRule="auto" w:before="0"/>
        <w:rPr>
          <w:rFonts w:ascii="Microsoft JhengHei" w:hAnsi="Microsoft JhengHei" w:cs="Microsoft JhengHei" w:eastAsia="Microsoft JhengHei" w:hint="default"/>
          <w:b/>
          <w:bCs/>
          <w:sz w:val="20"/>
          <w:szCs w:val="20"/>
        </w:rPr>
      </w:pPr>
      <w:r>
        <w:rPr/>
        <w:br w:type="column"/>
      </w:r>
      <w:r>
        <w:rPr>
          <w:rFonts w:ascii="Microsoft JhengHei"/>
          <w:b/>
          <w:sz w:val="20"/>
        </w:rPr>
      </w:r>
    </w:p>
    <w:p>
      <w:pPr>
        <w:spacing w:line="240" w:lineRule="auto" w:before="14"/>
        <w:rPr>
          <w:rFonts w:ascii="Microsoft JhengHei" w:hAnsi="Microsoft JhengHei" w:cs="Microsoft JhengHei" w:eastAsia="Microsoft JhengHei" w:hint="default"/>
          <w:b/>
          <w:bCs/>
          <w:sz w:val="24"/>
          <w:szCs w:val="24"/>
        </w:rPr>
      </w:pPr>
    </w:p>
    <w:p>
      <w:pPr>
        <w:tabs>
          <w:tab w:pos="1905" w:val="left" w:leader="none"/>
        </w:tabs>
        <w:spacing w:before="0"/>
        <w:ind w:left="538" w:right="0" w:firstLine="0"/>
        <w:jc w:val="left"/>
        <w:rPr>
          <w:rFonts w:ascii="宋体" w:hAnsi="宋体" w:cs="宋体" w:eastAsia="宋体" w:hint="default"/>
          <w:sz w:val="21"/>
          <w:szCs w:val="21"/>
        </w:rPr>
      </w:pPr>
      <w:r>
        <w:rPr>
          <w:rFonts w:ascii="宋体" w:hAnsi="宋体" w:cs="宋体" w:eastAsia="宋体" w:hint="default"/>
          <w:spacing w:val="-1"/>
          <w:sz w:val="21"/>
          <w:szCs w:val="21"/>
        </w:rPr>
        <w:t>单位</w:t>
      </w:r>
      <w:r>
        <w:rPr>
          <w:rFonts w:ascii="宋体" w:hAnsi="宋体" w:cs="宋体" w:eastAsia="宋体" w:hint="default"/>
          <w:spacing w:val="-1"/>
          <w:sz w:val="21"/>
          <w:szCs w:val="21"/>
        </w:rPr>
        <w:t>:</w:t>
      </w:r>
      <w:r>
        <w:rPr>
          <w:rFonts w:ascii="宋体" w:hAnsi="宋体" w:cs="宋体" w:eastAsia="宋体" w:hint="default"/>
          <w:spacing w:val="-1"/>
          <w:sz w:val="21"/>
          <w:szCs w:val="21"/>
        </w:rPr>
        <w:t>百万元</w:t>
        <w:tab/>
        <w:t>币种</w:t>
      </w:r>
      <w:r>
        <w:rPr>
          <w:rFonts w:ascii="宋体" w:hAnsi="宋体" w:cs="宋体" w:eastAsia="宋体" w:hint="default"/>
          <w:spacing w:val="-1"/>
          <w:sz w:val="21"/>
          <w:szCs w:val="21"/>
        </w:rPr>
        <w:t>:</w:t>
      </w:r>
      <w:r>
        <w:rPr>
          <w:rFonts w:ascii="宋体" w:hAnsi="宋体" w:cs="宋体" w:eastAsia="宋体" w:hint="default"/>
          <w:spacing w:val="-1"/>
          <w:sz w:val="21"/>
          <w:szCs w:val="21"/>
        </w:rPr>
        <w:t>人民币</w:t>
      </w:r>
    </w:p>
    <w:p>
      <w:pPr>
        <w:spacing w:after="0"/>
        <w:jc w:val="left"/>
        <w:rPr>
          <w:rFonts w:ascii="宋体" w:hAnsi="宋体" w:cs="宋体" w:eastAsia="宋体" w:hint="default"/>
          <w:sz w:val="21"/>
          <w:szCs w:val="21"/>
        </w:rPr>
        <w:sectPr>
          <w:type w:val="continuous"/>
          <w:pgSz w:w="11910" w:h="16840"/>
          <w:pgMar w:top="1360" w:bottom="700" w:left="880" w:right="720"/>
          <w:cols w:num="2" w:equalWidth="0">
            <w:col w:w="4692" w:space="2000"/>
            <w:col w:w="3618"/>
          </w:cols>
        </w:sectPr>
      </w:pPr>
    </w:p>
    <w:p>
      <w:pPr>
        <w:spacing w:line="240" w:lineRule="auto" w:before="12"/>
        <w:rPr>
          <w:rFonts w:ascii="宋体" w:hAnsi="宋体" w:cs="宋体" w:eastAsia="宋体" w:hint="default"/>
          <w:sz w:val="3"/>
          <w:szCs w:val="3"/>
        </w:rPr>
      </w:pPr>
    </w:p>
    <w:tbl>
      <w:tblPr>
        <w:tblW w:w="0" w:type="auto"/>
        <w:jc w:val="left"/>
        <w:tblInd w:w="106" w:type="dxa"/>
        <w:tblLayout w:type="fixed"/>
        <w:tblCellMar>
          <w:top w:w="0" w:type="dxa"/>
          <w:left w:w="0" w:type="dxa"/>
          <w:bottom w:w="0" w:type="dxa"/>
          <w:right w:w="0" w:type="dxa"/>
        </w:tblCellMar>
        <w:tblLook w:val="01E0"/>
      </w:tblPr>
      <w:tblGrid>
        <w:gridCol w:w="1292"/>
        <w:gridCol w:w="1453"/>
        <w:gridCol w:w="1543"/>
        <w:gridCol w:w="1287"/>
        <w:gridCol w:w="1286"/>
        <w:gridCol w:w="1285"/>
        <w:gridCol w:w="1925"/>
      </w:tblGrid>
      <w:tr>
        <w:trPr>
          <w:trHeight w:val="323" w:hRule="exact"/>
        </w:trPr>
        <w:tc>
          <w:tcPr>
            <w:tcW w:w="10070" w:type="dxa"/>
            <w:gridSpan w:val="7"/>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主营业务分行业情况</w:t>
            </w:r>
          </w:p>
        </w:tc>
      </w:tr>
      <w:tr>
        <w:trPr>
          <w:trHeight w:val="946" w:hRule="exact"/>
        </w:trPr>
        <w:tc>
          <w:tcPr>
            <w:tcW w:w="12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321"/>
              <w:jc w:val="right"/>
              <w:rPr>
                <w:rFonts w:ascii="宋体" w:hAnsi="宋体" w:cs="宋体" w:eastAsia="宋体" w:hint="default"/>
                <w:sz w:val="21"/>
                <w:szCs w:val="21"/>
              </w:rPr>
            </w:pPr>
            <w:r>
              <w:rPr>
                <w:rFonts w:ascii="宋体" w:hAnsi="宋体" w:cs="宋体" w:eastAsia="宋体" w:hint="default"/>
                <w:sz w:val="21"/>
                <w:szCs w:val="21"/>
              </w:rPr>
              <w:t>分行业</w:t>
            </w:r>
          </w:p>
        </w:tc>
        <w:tc>
          <w:tcPr>
            <w:tcW w:w="14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299"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5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34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2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14"/>
              <w:jc w:val="right"/>
              <w:rPr>
                <w:rFonts w:ascii="宋体" w:hAnsi="宋体" w:cs="宋体" w:eastAsia="宋体" w:hint="default"/>
                <w:sz w:val="21"/>
                <w:szCs w:val="21"/>
              </w:rPr>
            </w:pPr>
            <w:r>
              <w:rPr>
                <w:rFonts w:ascii="宋体" w:hAnsi="宋体" w:cs="宋体" w:eastAsia="宋体" w:hint="default"/>
                <w:spacing w:val="-1"/>
                <w:sz w:val="21"/>
                <w:szCs w:val="21"/>
              </w:rPr>
              <w:t>毛利率（</w:t>
            </w:r>
            <w:r>
              <w:rPr>
                <w:rFonts w:ascii="宋体" w:hAnsi="宋体" w:cs="宋体" w:eastAsia="宋体" w:hint="default"/>
                <w:spacing w:val="-1"/>
                <w:sz w:val="21"/>
                <w:szCs w:val="21"/>
              </w:rPr>
              <w:t>%</w:t>
            </w:r>
            <w:r>
              <w:rPr>
                <w:rFonts w:ascii="宋体" w:hAnsi="宋体" w:cs="宋体" w:eastAsia="宋体" w:hint="default"/>
                <w:spacing w:val="-1"/>
                <w:sz w:val="21"/>
                <w:szCs w:val="21"/>
              </w:rPr>
              <w:t>）</w:t>
            </w:r>
          </w:p>
        </w:tc>
        <w:tc>
          <w:tcPr>
            <w:tcW w:w="12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112" w:right="108"/>
              <w:jc w:val="center"/>
              <w:rPr>
                <w:rFonts w:ascii="宋体" w:hAnsi="宋体" w:cs="宋体" w:eastAsia="宋体" w:hint="default"/>
                <w:sz w:val="21"/>
                <w:szCs w:val="21"/>
              </w:rPr>
            </w:pPr>
            <w:r>
              <w:rPr>
                <w:rFonts w:ascii="宋体" w:hAnsi="宋体" w:cs="宋体" w:eastAsia="宋体" w:hint="default"/>
                <w:sz w:val="21"/>
                <w:szCs w:val="21"/>
              </w:rPr>
              <w:t>营业收入比</w:t>
            </w:r>
            <w:r>
              <w:rPr>
                <w:rFonts w:ascii="宋体" w:hAnsi="宋体" w:cs="宋体" w:eastAsia="宋体" w:hint="default"/>
                <w:w w:val="100"/>
                <w:sz w:val="21"/>
                <w:szCs w:val="21"/>
              </w:rPr>
              <w:t> </w:t>
            </w:r>
            <w:r>
              <w:rPr>
                <w:rFonts w:ascii="宋体" w:hAnsi="宋体" w:cs="宋体" w:eastAsia="宋体" w:hint="default"/>
                <w:sz w:val="21"/>
                <w:szCs w:val="21"/>
              </w:rPr>
              <w:t>上年增减</w:t>
            </w:r>
          </w:p>
          <w:p>
            <w:pPr>
              <w:pStyle w:val="TableParagraph"/>
              <w:spacing w:line="240" w:lineRule="auto" w:before="7"/>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12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110" w:right="108"/>
              <w:jc w:val="center"/>
              <w:rPr>
                <w:rFonts w:ascii="宋体" w:hAnsi="宋体" w:cs="宋体" w:eastAsia="宋体" w:hint="default"/>
                <w:sz w:val="21"/>
                <w:szCs w:val="21"/>
              </w:rPr>
            </w:pPr>
            <w:r>
              <w:rPr>
                <w:rFonts w:ascii="宋体" w:hAnsi="宋体" w:cs="宋体" w:eastAsia="宋体" w:hint="default"/>
                <w:sz w:val="21"/>
                <w:szCs w:val="21"/>
              </w:rPr>
              <w:t>营业成本比</w:t>
            </w:r>
            <w:r>
              <w:rPr>
                <w:rFonts w:ascii="宋体" w:hAnsi="宋体" w:cs="宋体" w:eastAsia="宋体" w:hint="default"/>
                <w:w w:val="100"/>
                <w:sz w:val="21"/>
                <w:szCs w:val="21"/>
              </w:rPr>
              <w:t> </w:t>
            </w:r>
            <w:r>
              <w:rPr>
                <w:rFonts w:ascii="宋体" w:hAnsi="宋体" w:cs="宋体" w:eastAsia="宋体" w:hint="default"/>
                <w:sz w:val="21"/>
                <w:szCs w:val="21"/>
              </w:rPr>
              <w:t>上年增减</w:t>
            </w:r>
          </w:p>
          <w:p>
            <w:pPr>
              <w:pStyle w:val="TableParagraph"/>
              <w:spacing w:line="240" w:lineRule="auto" w:before="7"/>
              <w:ind w:right="2"/>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19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毛利率比上年增减</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r>
      <w:tr>
        <w:trPr>
          <w:trHeight w:val="322" w:hRule="exact"/>
        </w:trPr>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电信业</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pacing w:val="-1"/>
                <w:sz w:val="21"/>
              </w:rPr>
              <w:t>290,515</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pacing w:val="-1"/>
                <w:sz w:val="21"/>
              </w:rPr>
              <w:t>215,369</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25.9</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-0.1</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0.2</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3"/>
                <w:sz w:val="21"/>
                <w:szCs w:val="21"/>
              </w:rPr>
              <w:t> </w:t>
            </w:r>
            <w:r>
              <w:rPr>
                <w:rFonts w:ascii="宋体" w:hAnsi="宋体" w:cs="宋体" w:eastAsia="宋体" w:hint="default"/>
                <w:sz w:val="21"/>
                <w:szCs w:val="21"/>
              </w:rPr>
              <w:t>0.2</w:t>
            </w:r>
            <w:r>
              <w:rPr>
                <w:rFonts w:ascii="宋体" w:hAnsi="宋体" w:cs="宋体" w:eastAsia="宋体" w:hint="default"/>
                <w:spacing w:val="-53"/>
                <w:sz w:val="21"/>
                <w:szCs w:val="21"/>
              </w:rPr>
              <w:t> </w:t>
            </w:r>
            <w:r>
              <w:rPr>
                <w:rFonts w:ascii="宋体" w:hAnsi="宋体" w:cs="宋体" w:eastAsia="宋体" w:hint="default"/>
                <w:sz w:val="21"/>
                <w:szCs w:val="21"/>
              </w:rPr>
              <w:t>个百分点</w:t>
            </w:r>
          </w:p>
        </w:tc>
      </w:tr>
      <w:tr>
        <w:trPr>
          <w:trHeight w:val="322" w:hRule="exact"/>
        </w:trPr>
        <w:tc>
          <w:tcPr>
            <w:tcW w:w="10070" w:type="dxa"/>
            <w:gridSpan w:val="7"/>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主营业务分产品情况</w:t>
            </w:r>
          </w:p>
        </w:tc>
      </w:tr>
      <w:tr>
        <w:trPr>
          <w:trHeight w:val="946" w:hRule="exact"/>
        </w:trPr>
        <w:tc>
          <w:tcPr>
            <w:tcW w:w="12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321"/>
              <w:jc w:val="right"/>
              <w:rPr>
                <w:rFonts w:ascii="宋体" w:hAnsi="宋体" w:cs="宋体" w:eastAsia="宋体" w:hint="default"/>
                <w:sz w:val="21"/>
                <w:szCs w:val="21"/>
              </w:rPr>
            </w:pPr>
            <w:r>
              <w:rPr>
                <w:rFonts w:ascii="宋体" w:hAnsi="宋体" w:cs="宋体" w:eastAsia="宋体" w:hint="default"/>
                <w:sz w:val="21"/>
                <w:szCs w:val="21"/>
              </w:rPr>
              <w:t>分产品</w:t>
            </w:r>
          </w:p>
        </w:tc>
        <w:tc>
          <w:tcPr>
            <w:tcW w:w="14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299"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5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34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2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14"/>
              <w:jc w:val="right"/>
              <w:rPr>
                <w:rFonts w:ascii="宋体" w:hAnsi="宋体" w:cs="宋体" w:eastAsia="宋体" w:hint="default"/>
                <w:sz w:val="21"/>
                <w:szCs w:val="21"/>
              </w:rPr>
            </w:pPr>
            <w:r>
              <w:rPr>
                <w:rFonts w:ascii="宋体" w:hAnsi="宋体" w:cs="宋体" w:eastAsia="宋体" w:hint="default"/>
                <w:spacing w:val="-1"/>
                <w:sz w:val="21"/>
                <w:szCs w:val="21"/>
              </w:rPr>
              <w:t>毛利率（</w:t>
            </w:r>
            <w:r>
              <w:rPr>
                <w:rFonts w:ascii="宋体" w:hAnsi="宋体" w:cs="宋体" w:eastAsia="宋体" w:hint="default"/>
                <w:spacing w:val="-1"/>
                <w:sz w:val="21"/>
                <w:szCs w:val="21"/>
              </w:rPr>
              <w:t>%</w:t>
            </w:r>
            <w:r>
              <w:rPr>
                <w:rFonts w:ascii="宋体" w:hAnsi="宋体" w:cs="宋体" w:eastAsia="宋体" w:hint="default"/>
                <w:spacing w:val="-1"/>
                <w:sz w:val="21"/>
                <w:szCs w:val="21"/>
              </w:rPr>
              <w:t>）</w:t>
            </w:r>
          </w:p>
        </w:tc>
        <w:tc>
          <w:tcPr>
            <w:tcW w:w="12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112" w:right="108"/>
              <w:jc w:val="center"/>
              <w:rPr>
                <w:rFonts w:ascii="宋体" w:hAnsi="宋体" w:cs="宋体" w:eastAsia="宋体" w:hint="default"/>
                <w:sz w:val="21"/>
                <w:szCs w:val="21"/>
              </w:rPr>
            </w:pPr>
            <w:r>
              <w:rPr>
                <w:rFonts w:ascii="宋体" w:hAnsi="宋体" w:cs="宋体" w:eastAsia="宋体" w:hint="default"/>
                <w:sz w:val="21"/>
                <w:szCs w:val="21"/>
              </w:rPr>
              <w:t>营业收入比</w:t>
            </w:r>
            <w:r>
              <w:rPr>
                <w:rFonts w:ascii="宋体" w:hAnsi="宋体" w:cs="宋体" w:eastAsia="宋体" w:hint="default"/>
                <w:w w:val="100"/>
                <w:sz w:val="21"/>
                <w:szCs w:val="21"/>
              </w:rPr>
              <w:t> </w:t>
            </w:r>
            <w:r>
              <w:rPr>
                <w:rFonts w:ascii="宋体" w:hAnsi="宋体" w:cs="宋体" w:eastAsia="宋体" w:hint="default"/>
                <w:sz w:val="21"/>
                <w:szCs w:val="21"/>
              </w:rPr>
              <w:t>上年增减</w:t>
            </w:r>
          </w:p>
          <w:p>
            <w:pPr>
              <w:pStyle w:val="TableParagraph"/>
              <w:spacing w:line="240" w:lineRule="auto" w:before="7"/>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12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110" w:right="108"/>
              <w:jc w:val="center"/>
              <w:rPr>
                <w:rFonts w:ascii="宋体" w:hAnsi="宋体" w:cs="宋体" w:eastAsia="宋体" w:hint="default"/>
                <w:sz w:val="21"/>
                <w:szCs w:val="21"/>
              </w:rPr>
            </w:pPr>
            <w:r>
              <w:rPr>
                <w:rFonts w:ascii="宋体" w:hAnsi="宋体" w:cs="宋体" w:eastAsia="宋体" w:hint="default"/>
                <w:sz w:val="21"/>
                <w:szCs w:val="21"/>
              </w:rPr>
              <w:t>营业成本比</w:t>
            </w:r>
            <w:r>
              <w:rPr>
                <w:rFonts w:ascii="宋体" w:hAnsi="宋体" w:cs="宋体" w:eastAsia="宋体" w:hint="default"/>
                <w:w w:val="100"/>
                <w:sz w:val="21"/>
                <w:szCs w:val="21"/>
              </w:rPr>
              <w:t> </w:t>
            </w:r>
            <w:r>
              <w:rPr>
                <w:rFonts w:ascii="宋体" w:hAnsi="宋体" w:cs="宋体" w:eastAsia="宋体" w:hint="default"/>
                <w:sz w:val="21"/>
                <w:szCs w:val="21"/>
              </w:rPr>
              <w:t>上年增减</w:t>
            </w:r>
          </w:p>
          <w:p>
            <w:pPr>
              <w:pStyle w:val="TableParagraph"/>
              <w:spacing w:line="240" w:lineRule="auto" w:before="7"/>
              <w:ind w:right="2"/>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19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毛利率比上年增减</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r>
      <w:tr>
        <w:trPr>
          <w:trHeight w:val="323" w:hRule="exact"/>
        </w:trPr>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电信服务</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pacing w:val="-1"/>
                <w:sz w:val="21"/>
              </w:rPr>
              <w:t>290,515</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pacing w:val="-1"/>
                <w:sz w:val="21"/>
              </w:rPr>
              <w:t>215,369</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z w:val="21"/>
              </w:rPr>
              <w:t>25.9</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-0.1</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z w:val="21"/>
              </w:rPr>
              <w:t>0.2</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3"/>
                <w:sz w:val="21"/>
                <w:szCs w:val="21"/>
              </w:rPr>
              <w:t> </w:t>
            </w:r>
            <w:r>
              <w:rPr>
                <w:rFonts w:ascii="宋体" w:hAnsi="宋体" w:cs="宋体" w:eastAsia="宋体" w:hint="default"/>
                <w:sz w:val="21"/>
                <w:szCs w:val="21"/>
              </w:rPr>
              <w:t>0.2</w:t>
            </w:r>
            <w:r>
              <w:rPr>
                <w:rFonts w:ascii="宋体" w:hAnsi="宋体" w:cs="宋体" w:eastAsia="宋体" w:hint="default"/>
                <w:spacing w:val="-53"/>
                <w:sz w:val="21"/>
                <w:szCs w:val="21"/>
              </w:rPr>
              <w:t> </w:t>
            </w:r>
            <w:r>
              <w:rPr>
                <w:rFonts w:ascii="宋体" w:hAnsi="宋体" w:cs="宋体" w:eastAsia="宋体" w:hint="default"/>
                <w:sz w:val="21"/>
                <w:szCs w:val="21"/>
              </w:rPr>
              <w:t>个百分点</w:t>
            </w:r>
          </w:p>
        </w:tc>
      </w:tr>
      <w:tr>
        <w:trPr>
          <w:trHeight w:val="323" w:hRule="exact"/>
        </w:trPr>
        <w:tc>
          <w:tcPr>
            <w:tcW w:w="10070" w:type="dxa"/>
            <w:gridSpan w:val="7"/>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主营业务分地区情况</w:t>
            </w:r>
          </w:p>
        </w:tc>
      </w:tr>
      <w:tr>
        <w:trPr>
          <w:trHeight w:val="322" w:hRule="exact"/>
        </w:trPr>
        <w:tc>
          <w:tcPr>
            <w:tcW w:w="12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right="321"/>
              <w:jc w:val="right"/>
              <w:rPr>
                <w:rFonts w:ascii="宋体" w:hAnsi="宋体" w:cs="宋体" w:eastAsia="宋体" w:hint="default"/>
                <w:sz w:val="21"/>
                <w:szCs w:val="21"/>
              </w:rPr>
            </w:pPr>
            <w:r>
              <w:rPr>
                <w:rFonts w:ascii="宋体" w:hAnsi="宋体" w:cs="宋体" w:eastAsia="宋体" w:hint="default"/>
                <w:sz w:val="21"/>
                <w:szCs w:val="21"/>
              </w:rPr>
              <w:t>分地区</w:t>
            </w:r>
          </w:p>
        </w:tc>
        <w:tc>
          <w:tcPr>
            <w:tcW w:w="14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299"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5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34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2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right="14"/>
              <w:jc w:val="right"/>
              <w:rPr>
                <w:rFonts w:ascii="宋体" w:hAnsi="宋体" w:cs="宋体" w:eastAsia="宋体" w:hint="default"/>
                <w:sz w:val="21"/>
                <w:szCs w:val="21"/>
              </w:rPr>
            </w:pPr>
            <w:r>
              <w:rPr>
                <w:rFonts w:ascii="宋体" w:hAnsi="宋体" w:cs="宋体" w:eastAsia="宋体" w:hint="default"/>
                <w:spacing w:val="-1"/>
                <w:sz w:val="21"/>
                <w:szCs w:val="21"/>
              </w:rPr>
              <w:t>毛利率（</w:t>
            </w:r>
            <w:r>
              <w:rPr>
                <w:rFonts w:ascii="宋体" w:hAnsi="宋体" w:cs="宋体" w:eastAsia="宋体" w:hint="default"/>
                <w:spacing w:val="-1"/>
                <w:sz w:val="21"/>
                <w:szCs w:val="21"/>
              </w:rPr>
              <w:t>%</w:t>
            </w:r>
            <w:r>
              <w:rPr>
                <w:rFonts w:ascii="宋体" w:hAnsi="宋体" w:cs="宋体" w:eastAsia="宋体" w:hint="default"/>
                <w:spacing w:val="-1"/>
                <w:sz w:val="21"/>
                <w:szCs w:val="21"/>
              </w:rPr>
              <w:t>）</w:t>
            </w:r>
          </w:p>
        </w:tc>
        <w:tc>
          <w:tcPr>
            <w:tcW w:w="12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right="108"/>
              <w:jc w:val="right"/>
              <w:rPr>
                <w:rFonts w:ascii="宋体" w:hAnsi="宋体" w:cs="宋体" w:eastAsia="宋体" w:hint="default"/>
                <w:sz w:val="21"/>
                <w:szCs w:val="21"/>
              </w:rPr>
            </w:pPr>
            <w:r>
              <w:rPr>
                <w:rFonts w:ascii="宋体" w:hAnsi="宋体" w:cs="宋体" w:eastAsia="宋体" w:hint="default"/>
                <w:spacing w:val="-1"/>
                <w:sz w:val="21"/>
                <w:szCs w:val="21"/>
              </w:rPr>
              <w:t>营业收入比</w:t>
            </w:r>
          </w:p>
        </w:tc>
        <w:tc>
          <w:tcPr>
            <w:tcW w:w="12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right="108"/>
              <w:jc w:val="right"/>
              <w:rPr>
                <w:rFonts w:ascii="宋体" w:hAnsi="宋体" w:cs="宋体" w:eastAsia="宋体" w:hint="default"/>
                <w:sz w:val="21"/>
                <w:szCs w:val="21"/>
              </w:rPr>
            </w:pPr>
            <w:r>
              <w:rPr>
                <w:rFonts w:ascii="宋体" w:hAnsi="宋体" w:cs="宋体" w:eastAsia="宋体" w:hint="default"/>
                <w:spacing w:val="-1"/>
                <w:sz w:val="21"/>
                <w:szCs w:val="21"/>
              </w:rPr>
              <w:t>营业成本比</w:t>
            </w:r>
          </w:p>
        </w:tc>
        <w:tc>
          <w:tcPr>
            <w:tcW w:w="19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right="115"/>
              <w:jc w:val="right"/>
              <w:rPr>
                <w:rFonts w:ascii="宋体" w:hAnsi="宋体" w:cs="宋体" w:eastAsia="宋体" w:hint="default"/>
                <w:sz w:val="21"/>
                <w:szCs w:val="21"/>
              </w:rPr>
            </w:pPr>
            <w:r>
              <w:rPr>
                <w:rFonts w:ascii="宋体" w:hAnsi="宋体" w:cs="宋体" w:eastAsia="宋体" w:hint="default"/>
                <w:spacing w:val="-2"/>
                <w:sz w:val="21"/>
                <w:szCs w:val="21"/>
              </w:rPr>
              <w:t>毛利率比上年增减</w:t>
            </w:r>
          </w:p>
        </w:tc>
      </w:tr>
    </w:tbl>
    <w:p>
      <w:pPr>
        <w:spacing w:after="0" w:line="262" w:lineRule="exact"/>
        <w:jc w:val="right"/>
        <w:rPr>
          <w:rFonts w:ascii="宋体" w:hAnsi="宋体" w:cs="宋体" w:eastAsia="宋体" w:hint="default"/>
          <w:sz w:val="21"/>
          <w:szCs w:val="21"/>
        </w:rPr>
        <w:sectPr>
          <w:type w:val="continuous"/>
          <w:pgSz w:w="11910" w:h="16840"/>
          <w:pgMar w:top="1360" w:bottom="700" w:left="880" w:right="720"/>
        </w:sectPr>
      </w:pPr>
    </w:p>
    <w:p>
      <w:pPr>
        <w:spacing w:line="240" w:lineRule="auto" w:before="7"/>
        <w:rPr>
          <w:rFonts w:ascii="宋体" w:hAnsi="宋体" w:cs="宋体" w:eastAsia="宋体" w:hint="default"/>
          <w:sz w:val="12"/>
          <w:szCs w:val="12"/>
        </w:rPr>
      </w:pPr>
    </w:p>
    <w:tbl>
      <w:tblPr>
        <w:tblW w:w="0" w:type="auto"/>
        <w:jc w:val="left"/>
        <w:tblInd w:w="386" w:type="dxa"/>
        <w:tblLayout w:type="fixed"/>
        <w:tblCellMar>
          <w:top w:w="0" w:type="dxa"/>
          <w:left w:w="0" w:type="dxa"/>
          <w:bottom w:w="0" w:type="dxa"/>
          <w:right w:w="0" w:type="dxa"/>
        </w:tblCellMar>
        <w:tblLook w:val="01E0"/>
      </w:tblPr>
      <w:tblGrid>
        <w:gridCol w:w="1292"/>
        <w:gridCol w:w="1453"/>
        <w:gridCol w:w="1543"/>
        <w:gridCol w:w="1287"/>
        <w:gridCol w:w="1286"/>
        <w:gridCol w:w="1285"/>
        <w:gridCol w:w="1924"/>
      </w:tblGrid>
      <w:tr>
        <w:trPr>
          <w:trHeight w:val="635" w:hRule="exact"/>
        </w:trPr>
        <w:tc>
          <w:tcPr>
            <w:tcW w:w="1292"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453"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543"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287"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2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left="2" w:right="0"/>
              <w:jc w:val="center"/>
              <w:rPr>
                <w:rFonts w:ascii="宋体" w:hAnsi="宋体" w:cs="宋体" w:eastAsia="宋体" w:hint="default"/>
                <w:sz w:val="21"/>
                <w:szCs w:val="21"/>
              </w:rPr>
            </w:pPr>
            <w:r>
              <w:rPr>
                <w:rFonts w:ascii="宋体" w:hAnsi="宋体" w:cs="宋体" w:eastAsia="宋体" w:hint="default"/>
                <w:sz w:val="21"/>
                <w:szCs w:val="21"/>
              </w:rPr>
              <w:t>上年增减</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12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上年增减</w:t>
            </w:r>
          </w:p>
          <w:p>
            <w:pPr>
              <w:pStyle w:val="TableParagraph"/>
              <w:spacing w:line="240" w:lineRule="auto" w:before="37"/>
              <w:ind w:right="2"/>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19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left="1"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r>
      <w:tr>
        <w:trPr>
          <w:trHeight w:val="322" w:hRule="exact"/>
        </w:trPr>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全国范围内</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602" w:right="0"/>
              <w:jc w:val="left"/>
              <w:rPr>
                <w:rFonts w:ascii="宋体" w:hAnsi="宋体" w:cs="宋体" w:eastAsia="宋体" w:hint="default"/>
                <w:sz w:val="21"/>
                <w:szCs w:val="21"/>
              </w:rPr>
            </w:pPr>
            <w:r>
              <w:rPr>
                <w:rFonts w:ascii="宋体"/>
                <w:sz w:val="21"/>
              </w:rPr>
              <w:t>290,515</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693" w:right="0"/>
              <w:jc w:val="left"/>
              <w:rPr>
                <w:rFonts w:ascii="宋体" w:hAnsi="宋体" w:cs="宋体" w:eastAsia="宋体" w:hint="default"/>
                <w:sz w:val="21"/>
                <w:szCs w:val="21"/>
              </w:rPr>
            </w:pPr>
            <w:r>
              <w:rPr>
                <w:rFonts w:ascii="宋体"/>
                <w:sz w:val="21"/>
              </w:rPr>
              <w:t>215,369</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753" w:right="0"/>
              <w:jc w:val="left"/>
              <w:rPr>
                <w:rFonts w:ascii="宋体" w:hAnsi="宋体" w:cs="宋体" w:eastAsia="宋体" w:hint="default"/>
                <w:sz w:val="21"/>
                <w:szCs w:val="21"/>
              </w:rPr>
            </w:pPr>
            <w:r>
              <w:rPr>
                <w:rFonts w:ascii="宋体"/>
                <w:sz w:val="21"/>
              </w:rPr>
              <w:t>25.9</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753" w:right="0"/>
              <w:jc w:val="left"/>
              <w:rPr>
                <w:rFonts w:ascii="宋体" w:hAnsi="宋体" w:cs="宋体" w:eastAsia="宋体" w:hint="default"/>
                <w:sz w:val="21"/>
                <w:szCs w:val="21"/>
              </w:rPr>
            </w:pPr>
            <w:r>
              <w:rPr>
                <w:rFonts w:ascii="宋体"/>
                <w:sz w:val="21"/>
              </w:rPr>
              <w:t>-0.1</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z w:val="21"/>
              </w:rPr>
              <w:t>0.2</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7" w:right="0"/>
              <w:jc w:val="center"/>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3"/>
                <w:sz w:val="21"/>
                <w:szCs w:val="21"/>
              </w:rPr>
              <w:t> </w:t>
            </w:r>
            <w:r>
              <w:rPr>
                <w:rFonts w:ascii="宋体" w:hAnsi="宋体" w:cs="宋体" w:eastAsia="宋体" w:hint="default"/>
                <w:sz w:val="21"/>
                <w:szCs w:val="21"/>
              </w:rPr>
              <w:t>0.2</w:t>
            </w:r>
            <w:r>
              <w:rPr>
                <w:rFonts w:ascii="宋体" w:hAnsi="宋体" w:cs="宋体" w:eastAsia="宋体" w:hint="default"/>
                <w:spacing w:val="-53"/>
                <w:sz w:val="21"/>
                <w:szCs w:val="21"/>
              </w:rPr>
              <w:t> </w:t>
            </w:r>
            <w:r>
              <w:rPr>
                <w:rFonts w:ascii="宋体" w:hAnsi="宋体" w:cs="宋体" w:eastAsia="宋体" w:hint="default"/>
                <w:sz w:val="21"/>
                <w:szCs w:val="21"/>
              </w:rPr>
              <w:t>个百分点</w:t>
            </w:r>
          </w:p>
        </w:tc>
      </w:tr>
    </w:tbl>
    <w:p>
      <w:pPr>
        <w:spacing w:line="273" w:lineRule="auto" w:before="0"/>
        <w:ind w:left="818" w:right="1134" w:firstLine="0"/>
        <w:jc w:val="left"/>
        <w:rPr>
          <w:rFonts w:ascii="宋体" w:hAnsi="宋体" w:cs="宋体" w:eastAsia="宋体" w:hint="default"/>
          <w:sz w:val="21"/>
          <w:szCs w:val="21"/>
        </w:rPr>
      </w:pPr>
      <w:r>
        <w:rPr>
          <w:rFonts w:ascii="宋体" w:hAnsi="宋体" w:cs="宋体" w:eastAsia="宋体" w:hint="default"/>
          <w:sz w:val="21"/>
          <w:szCs w:val="21"/>
        </w:rPr>
        <w:t>主营业务分行业、分产品、分地区情况的说明</w:t>
      </w:r>
      <w:r>
        <w:rPr>
          <w:rFonts w:ascii="宋体" w:hAnsi="宋体" w:cs="宋体" w:eastAsia="宋体" w:hint="default"/>
          <w:w w:val="100"/>
          <w:sz w:val="21"/>
          <w:szCs w:val="21"/>
        </w:rPr>
        <w:t> </w:t>
      </w:r>
      <w:r>
        <w:rPr>
          <w:rFonts w:ascii="宋体" w:hAnsi="宋体" w:cs="宋体" w:eastAsia="宋体" w:hint="default"/>
          <w:spacing w:val="-2"/>
          <w:sz w:val="21"/>
          <w:szCs w:val="21"/>
        </w:rPr>
        <w:t>1.</w:t>
      </w:r>
      <w:r>
        <w:rPr>
          <w:rFonts w:ascii="宋体" w:hAnsi="宋体" w:cs="宋体" w:eastAsia="宋体" w:hint="default"/>
          <w:spacing w:val="-2"/>
          <w:sz w:val="21"/>
          <w:szCs w:val="21"/>
        </w:rPr>
        <w:t>上述资料所列的“营业成本”包括税金及附加；</w:t>
      </w:r>
    </w:p>
    <w:p>
      <w:pPr>
        <w:spacing w:line="273" w:lineRule="auto" w:before="7"/>
        <w:ind w:left="818" w:right="353" w:firstLine="0"/>
        <w:jc w:val="left"/>
        <w:rPr>
          <w:rFonts w:ascii="宋体" w:hAnsi="宋体" w:cs="宋体" w:eastAsia="宋体" w:hint="default"/>
          <w:sz w:val="21"/>
          <w:szCs w:val="21"/>
        </w:rPr>
      </w:pPr>
      <w:r>
        <w:rPr>
          <w:rFonts w:ascii="宋体" w:hAnsi="宋体" w:cs="宋体" w:eastAsia="宋体" w:hint="default"/>
          <w:spacing w:val="-2"/>
          <w:sz w:val="21"/>
          <w:szCs w:val="21"/>
        </w:rPr>
        <w:t>2.</w:t>
      </w:r>
      <w:r>
        <w:rPr>
          <w:rFonts w:ascii="宋体" w:hAnsi="宋体" w:cs="宋体" w:eastAsia="宋体" w:hint="default"/>
          <w:spacing w:val="-2"/>
          <w:sz w:val="21"/>
          <w:szCs w:val="21"/>
        </w:rPr>
        <w:t>本公司的主要经营决策者根据内部管理职能分配资源，将本集团视为一个整体而非以业务之种类或</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地区角度进行业绩评估，因此，本集团只有一个经营分部。本集团业务大部于中国境内开展。</w:t>
      </w:r>
      <w:r>
        <w:rPr>
          <w:rFonts w:ascii="宋体" w:hAnsi="宋体" w:cs="宋体" w:eastAsia="宋体" w:hint="default"/>
          <w:w w:val="100"/>
          <w:sz w:val="21"/>
          <w:szCs w:val="21"/>
        </w:rPr>
        <w:t> </w:t>
      </w:r>
      <w:r>
        <w:rPr>
          <w:rFonts w:ascii="宋体" w:hAnsi="宋体" w:cs="宋体" w:eastAsia="宋体" w:hint="default"/>
          <w:sz w:val="21"/>
          <w:szCs w:val="21"/>
        </w:rPr>
        <w:t>3.</w:t>
      </w:r>
      <w:r>
        <w:rPr>
          <w:rFonts w:ascii="宋体" w:hAnsi="宋体" w:cs="宋体" w:eastAsia="宋体" w:hint="default"/>
          <w:sz w:val="21"/>
          <w:szCs w:val="21"/>
        </w:rPr>
        <w:t>毛利率</w:t>
      </w:r>
      <w:r>
        <w:rPr>
          <w:rFonts w:ascii="宋体" w:hAnsi="宋体" w:cs="宋体" w:eastAsia="宋体" w:hint="default"/>
          <w:sz w:val="21"/>
          <w:szCs w:val="21"/>
        </w:rPr>
        <w:t>= ( </w:t>
      </w:r>
      <w:r>
        <w:rPr>
          <w:rFonts w:ascii="宋体" w:hAnsi="宋体" w:cs="宋体" w:eastAsia="宋体" w:hint="default"/>
          <w:sz w:val="21"/>
          <w:szCs w:val="21"/>
        </w:rPr>
        <w:t>营业收入</w:t>
      </w:r>
      <w:r>
        <w:rPr>
          <w:rFonts w:ascii="宋体" w:hAnsi="宋体" w:cs="宋体" w:eastAsia="宋体" w:hint="default"/>
          <w:sz w:val="21"/>
          <w:szCs w:val="21"/>
        </w:rPr>
        <w:t>-</w:t>
      </w:r>
      <w:r>
        <w:rPr>
          <w:rFonts w:ascii="宋体" w:hAnsi="宋体" w:cs="宋体" w:eastAsia="宋体" w:hint="default"/>
          <w:sz w:val="21"/>
          <w:szCs w:val="21"/>
        </w:rPr>
        <w:t>营业成本 </w:t>
      </w:r>
      <w:r>
        <w:rPr>
          <w:rFonts w:ascii="宋体" w:hAnsi="宋体" w:cs="宋体" w:eastAsia="宋体" w:hint="default"/>
          <w:sz w:val="21"/>
          <w:szCs w:val="21"/>
        </w:rPr>
        <w:t>)</w:t>
      </w:r>
      <w:r>
        <w:rPr>
          <w:rFonts w:ascii="宋体" w:hAnsi="宋体" w:cs="宋体" w:eastAsia="宋体" w:hint="default"/>
          <w:spacing w:val="-8"/>
          <w:sz w:val="21"/>
          <w:szCs w:val="21"/>
        </w:rPr>
        <w:t> </w:t>
      </w:r>
      <w:r>
        <w:rPr>
          <w:rFonts w:ascii="宋体" w:hAnsi="宋体" w:cs="宋体" w:eastAsia="宋体" w:hint="default"/>
          <w:sz w:val="21"/>
          <w:szCs w:val="21"/>
        </w:rPr>
        <w:t>/</w:t>
      </w:r>
      <w:r>
        <w:rPr>
          <w:rFonts w:ascii="宋体" w:hAnsi="宋体" w:cs="宋体" w:eastAsia="宋体" w:hint="default"/>
          <w:sz w:val="21"/>
          <w:szCs w:val="21"/>
        </w:rPr>
        <w:t>营业收入</w:t>
      </w:r>
      <w:r>
        <w:rPr>
          <w:rFonts w:ascii="宋体" w:hAnsi="宋体" w:cs="宋体" w:eastAsia="宋体" w:hint="default"/>
          <w:sz w:val="21"/>
          <w:szCs w:val="21"/>
        </w:rPr>
        <w:t>*100</w:t>
      </w:r>
      <w:r>
        <w:rPr>
          <w:rFonts w:ascii="宋体" w:hAnsi="宋体" w:cs="宋体" w:eastAsia="宋体" w:hint="default"/>
          <w:sz w:val="21"/>
          <w:szCs w:val="21"/>
        </w:rPr>
        <w:t>。</w:t>
      </w:r>
    </w:p>
    <w:p>
      <w:pPr>
        <w:spacing w:line="240" w:lineRule="auto" w:before="12"/>
        <w:rPr>
          <w:rFonts w:ascii="宋体" w:hAnsi="宋体" w:cs="宋体" w:eastAsia="宋体" w:hint="default"/>
          <w:sz w:val="23"/>
          <w:szCs w:val="23"/>
        </w:rPr>
      </w:pPr>
    </w:p>
    <w:p>
      <w:pPr>
        <w:spacing w:before="0"/>
        <w:ind w:left="818" w:right="1134"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0"/>
          <w:sz w:val="21"/>
          <w:szCs w:val="21"/>
        </w:rPr>
        <w:t>(2).</w:t>
      </w:r>
      <w:r>
        <w:rPr>
          <w:rFonts w:ascii="Arial" w:hAnsi="Arial" w:cs="Arial" w:eastAsia="Arial" w:hint="default"/>
          <w:b/>
          <w:bCs/>
          <w:spacing w:val="-4"/>
          <w:w w:val="110"/>
          <w:sz w:val="21"/>
          <w:szCs w:val="21"/>
        </w:rPr>
        <w:t> </w:t>
      </w:r>
      <w:r>
        <w:rPr>
          <w:rFonts w:ascii="Microsoft JhengHei" w:hAnsi="Microsoft JhengHei" w:cs="Microsoft JhengHei" w:eastAsia="Microsoft JhengHei" w:hint="default"/>
          <w:b/>
          <w:bCs/>
          <w:w w:val="110"/>
          <w:sz w:val="21"/>
          <w:szCs w:val="21"/>
        </w:rPr>
        <w:t>产销量情况分析表</w:t>
      </w:r>
      <w:r>
        <w:rPr>
          <w:rFonts w:ascii="Microsoft JhengHei" w:hAnsi="Microsoft JhengHei" w:cs="Microsoft JhengHei" w:eastAsia="Microsoft JhengHei" w:hint="default"/>
          <w:w w:val="110"/>
          <w:sz w:val="21"/>
          <w:szCs w:val="21"/>
        </w:rPr>
      </w:r>
    </w:p>
    <w:p>
      <w:pPr>
        <w:spacing w:before="74"/>
        <w:ind w:left="818" w:right="1134"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7"/>
        <w:rPr>
          <w:rFonts w:ascii="宋体" w:hAnsi="宋体" w:cs="宋体" w:eastAsia="宋体" w:hint="default"/>
          <w:sz w:val="28"/>
          <w:szCs w:val="28"/>
        </w:rPr>
      </w:pPr>
    </w:p>
    <w:p>
      <w:pPr>
        <w:spacing w:line="335" w:lineRule="exact" w:before="0"/>
        <w:ind w:left="818" w:right="1134"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5"/>
          <w:sz w:val="21"/>
          <w:szCs w:val="21"/>
        </w:rPr>
        <w:t>(3).</w:t>
      </w:r>
      <w:r>
        <w:rPr>
          <w:rFonts w:ascii="Arial" w:hAnsi="Arial" w:cs="Arial" w:eastAsia="Arial" w:hint="default"/>
          <w:b/>
          <w:bCs/>
          <w:spacing w:val="-15"/>
          <w:w w:val="115"/>
          <w:sz w:val="21"/>
          <w:szCs w:val="21"/>
        </w:rPr>
        <w:t> </w:t>
      </w:r>
      <w:r>
        <w:rPr>
          <w:rFonts w:ascii="Microsoft JhengHei" w:hAnsi="Microsoft JhengHei" w:cs="Microsoft JhengHei" w:eastAsia="Microsoft JhengHei" w:hint="default"/>
          <w:b/>
          <w:bCs/>
          <w:w w:val="115"/>
          <w:sz w:val="21"/>
          <w:szCs w:val="21"/>
        </w:rPr>
        <w:t>成本分析表</w:t>
      </w:r>
      <w:r>
        <w:rPr>
          <w:rFonts w:ascii="Microsoft JhengHei" w:hAnsi="Microsoft JhengHei" w:cs="Microsoft JhengHei" w:eastAsia="Microsoft JhengHei" w:hint="default"/>
          <w:w w:val="115"/>
          <w:sz w:val="21"/>
          <w:szCs w:val="21"/>
        </w:rPr>
      </w:r>
    </w:p>
    <w:p>
      <w:pPr>
        <w:spacing w:before="73"/>
        <w:ind w:left="0" w:right="668"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10"/>
        <w:rPr>
          <w:rFonts w:ascii="宋体" w:hAnsi="宋体" w:cs="宋体" w:eastAsia="宋体" w:hint="default"/>
          <w:sz w:val="3"/>
          <w:szCs w:val="3"/>
        </w:rPr>
      </w:pPr>
    </w:p>
    <w:tbl>
      <w:tblPr>
        <w:tblW w:w="0" w:type="auto"/>
        <w:jc w:val="left"/>
        <w:tblInd w:w="105" w:type="dxa"/>
        <w:tblLayout w:type="fixed"/>
        <w:tblCellMar>
          <w:top w:w="0" w:type="dxa"/>
          <w:left w:w="0" w:type="dxa"/>
          <w:bottom w:w="0" w:type="dxa"/>
          <w:right w:w="0" w:type="dxa"/>
        </w:tblCellMar>
        <w:tblLook w:val="01E0"/>
      </w:tblPr>
      <w:tblGrid>
        <w:gridCol w:w="887"/>
        <w:gridCol w:w="1523"/>
        <w:gridCol w:w="259"/>
        <w:gridCol w:w="1755"/>
        <w:gridCol w:w="108"/>
        <w:gridCol w:w="1042"/>
        <w:gridCol w:w="1687"/>
        <w:gridCol w:w="120"/>
        <w:gridCol w:w="855"/>
        <w:gridCol w:w="130"/>
        <w:gridCol w:w="1226"/>
        <w:gridCol w:w="890"/>
      </w:tblGrid>
      <w:tr>
        <w:trPr>
          <w:trHeight w:val="322" w:hRule="exact"/>
        </w:trPr>
        <w:tc>
          <w:tcPr>
            <w:tcW w:w="10483" w:type="dxa"/>
            <w:gridSpan w:val="1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分行业情况</w:t>
            </w:r>
          </w:p>
        </w:tc>
      </w:tr>
      <w:tr>
        <w:trPr>
          <w:trHeight w:val="1652" w:hRule="exact"/>
        </w:trPr>
        <w:tc>
          <w:tcPr>
            <w:tcW w:w="8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9"/>
                <w:szCs w:val="29"/>
              </w:rPr>
            </w:pPr>
          </w:p>
          <w:p>
            <w:pPr>
              <w:pStyle w:val="TableParagraph"/>
              <w:spacing w:line="240" w:lineRule="auto"/>
              <w:ind w:left="139" w:right="0"/>
              <w:jc w:val="left"/>
              <w:rPr>
                <w:rFonts w:ascii="宋体" w:hAnsi="宋体" w:cs="宋体" w:eastAsia="宋体" w:hint="default"/>
                <w:sz w:val="21"/>
                <w:szCs w:val="21"/>
              </w:rPr>
            </w:pPr>
            <w:r>
              <w:rPr>
                <w:rFonts w:ascii="宋体" w:hAnsi="宋体" w:cs="宋体" w:eastAsia="宋体" w:hint="default"/>
                <w:sz w:val="21"/>
                <w:szCs w:val="21"/>
              </w:rPr>
              <w:t>分行业</w:t>
            </w:r>
          </w:p>
        </w:tc>
        <w:tc>
          <w:tcPr>
            <w:tcW w:w="1782"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9"/>
                <w:szCs w:val="29"/>
              </w:rPr>
            </w:pPr>
          </w:p>
          <w:p>
            <w:pPr>
              <w:pStyle w:val="TableParagraph"/>
              <w:spacing w:line="240" w:lineRule="auto"/>
              <w:ind w:left="272" w:right="0"/>
              <w:jc w:val="left"/>
              <w:rPr>
                <w:rFonts w:ascii="宋体" w:hAnsi="宋体" w:cs="宋体" w:eastAsia="宋体" w:hint="default"/>
                <w:sz w:val="21"/>
                <w:szCs w:val="21"/>
              </w:rPr>
            </w:pPr>
            <w:r>
              <w:rPr>
                <w:rFonts w:ascii="宋体" w:hAnsi="宋体" w:cs="宋体" w:eastAsia="宋体" w:hint="default"/>
                <w:sz w:val="21"/>
                <w:szCs w:val="21"/>
              </w:rPr>
              <w:t>成本构成项目</w:t>
            </w:r>
          </w:p>
        </w:tc>
        <w:tc>
          <w:tcPr>
            <w:tcW w:w="186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9"/>
                <w:szCs w:val="29"/>
              </w:rPr>
            </w:pPr>
          </w:p>
          <w:p>
            <w:pPr>
              <w:pStyle w:val="TableParagraph"/>
              <w:spacing w:line="240" w:lineRule="auto"/>
              <w:ind w:left="504"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0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6"/>
                <w:szCs w:val="26"/>
              </w:rPr>
            </w:pPr>
          </w:p>
          <w:p>
            <w:pPr>
              <w:pStyle w:val="TableParagraph"/>
              <w:spacing w:line="273" w:lineRule="auto"/>
              <w:ind w:left="148" w:right="144" w:firstLine="50"/>
              <w:jc w:val="both"/>
              <w:rPr>
                <w:rFonts w:ascii="宋体" w:hAnsi="宋体" w:cs="宋体" w:eastAsia="宋体" w:hint="default"/>
                <w:sz w:val="21"/>
                <w:szCs w:val="21"/>
              </w:rPr>
            </w:pPr>
            <w:r>
              <w:rPr>
                <w:rFonts w:ascii="宋体" w:hAnsi="宋体" w:cs="宋体" w:eastAsia="宋体" w:hint="default"/>
                <w:sz w:val="21"/>
                <w:szCs w:val="21"/>
              </w:rPr>
              <w:t>本期占</w:t>
            </w:r>
            <w:r>
              <w:rPr>
                <w:rFonts w:ascii="宋体" w:hAnsi="宋体" w:cs="宋体" w:eastAsia="宋体" w:hint="default"/>
                <w:w w:val="100"/>
                <w:sz w:val="21"/>
                <w:szCs w:val="21"/>
              </w:rPr>
              <w:t> </w:t>
            </w:r>
            <w:r>
              <w:rPr>
                <w:rFonts w:ascii="宋体" w:hAnsi="宋体" w:cs="宋体" w:eastAsia="宋体" w:hint="default"/>
                <w:sz w:val="21"/>
                <w:szCs w:val="21"/>
              </w:rPr>
              <w:t>总成本</w:t>
            </w:r>
            <w:r>
              <w:rPr>
                <w:rFonts w:ascii="宋体" w:hAnsi="宋体" w:cs="宋体" w:eastAsia="宋体" w:hint="default"/>
                <w:spacing w:val="-102"/>
                <w:sz w:val="21"/>
                <w:szCs w:val="21"/>
              </w:rPr>
              <w:t> </w:t>
            </w:r>
            <w:r>
              <w:rPr>
                <w:rFonts w:ascii="宋体" w:hAnsi="宋体" w:cs="宋体" w:eastAsia="宋体" w:hint="default"/>
                <w:sz w:val="21"/>
                <w:szCs w:val="21"/>
              </w:rPr>
              <w:t>比例</w:t>
            </w:r>
            <w:r>
              <w:rPr>
                <w:rFonts w:ascii="宋体" w:hAnsi="宋体" w:cs="宋体" w:eastAsia="宋体" w:hint="default"/>
                <w:sz w:val="21"/>
                <w:szCs w:val="21"/>
              </w:rPr>
              <w:t>(%)</w:t>
            </w:r>
          </w:p>
        </w:tc>
        <w:tc>
          <w:tcPr>
            <w:tcW w:w="180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9"/>
                <w:szCs w:val="29"/>
              </w:rPr>
            </w:pPr>
          </w:p>
          <w:p>
            <w:pPr>
              <w:pStyle w:val="TableParagraph"/>
              <w:spacing w:line="240" w:lineRule="auto"/>
              <w:ind w:left="268" w:right="0"/>
              <w:jc w:val="left"/>
              <w:rPr>
                <w:rFonts w:ascii="宋体" w:hAnsi="宋体" w:cs="宋体" w:eastAsia="宋体" w:hint="default"/>
                <w:sz w:val="21"/>
                <w:szCs w:val="21"/>
              </w:rPr>
            </w:pPr>
            <w:r>
              <w:rPr>
                <w:rFonts w:ascii="宋体" w:hAnsi="宋体" w:cs="宋体" w:eastAsia="宋体" w:hint="default"/>
                <w:sz w:val="21"/>
                <w:szCs w:val="21"/>
              </w:rPr>
              <w:t>上年同期金额</w:t>
            </w:r>
          </w:p>
        </w:tc>
        <w:tc>
          <w:tcPr>
            <w:tcW w:w="98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4"/>
                <w:szCs w:val="14"/>
              </w:rPr>
            </w:pPr>
          </w:p>
          <w:p>
            <w:pPr>
              <w:pStyle w:val="TableParagraph"/>
              <w:spacing w:line="273" w:lineRule="auto"/>
              <w:ind w:left="170" w:right="170"/>
              <w:jc w:val="both"/>
              <w:rPr>
                <w:rFonts w:ascii="宋体" w:hAnsi="宋体" w:cs="宋体" w:eastAsia="宋体" w:hint="default"/>
                <w:sz w:val="21"/>
                <w:szCs w:val="21"/>
              </w:rPr>
            </w:pPr>
            <w:r>
              <w:rPr>
                <w:rFonts w:ascii="宋体" w:hAnsi="宋体" w:cs="宋体" w:eastAsia="宋体" w:hint="default"/>
                <w:sz w:val="21"/>
                <w:szCs w:val="21"/>
              </w:rPr>
              <w:t>上年同</w:t>
            </w:r>
            <w:r>
              <w:rPr>
                <w:rFonts w:ascii="宋体" w:hAnsi="宋体" w:cs="宋体" w:eastAsia="宋体" w:hint="default"/>
                <w:spacing w:val="-102"/>
                <w:sz w:val="21"/>
                <w:szCs w:val="21"/>
              </w:rPr>
              <w:t> </w:t>
            </w:r>
            <w:r>
              <w:rPr>
                <w:rFonts w:ascii="宋体" w:hAnsi="宋体" w:cs="宋体" w:eastAsia="宋体" w:hint="default"/>
                <w:sz w:val="21"/>
                <w:szCs w:val="21"/>
              </w:rPr>
              <w:t>期占总</w:t>
            </w:r>
            <w:r>
              <w:rPr>
                <w:rFonts w:ascii="宋体" w:hAnsi="宋体" w:cs="宋体" w:eastAsia="宋体" w:hint="default"/>
                <w:spacing w:val="-102"/>
                <w:sz w:val="21"/>
                <w:szCs w:val="21"/>
              </w:rPr>
              <w:t> </w:t>
            </w:r>
            <w:r>
              <w:rPr>
                <w:rFonts w:ascii="宋体" w:hAnsi="宋体" w:cs="宋体" w:eastAsia="宋体" w:hint="default"/>
                <w:sz w:val="21"/>
                <w:szCs w:val="21"/>
              </w:rPr>
              <w:t>成本比</w:t>
            </w:r>
            <w:r>
              <w:rPr>
                <w:rFonts w:ascii="宋体" w:hAnsi="宋体" w:cs="宋体" w:eastAsia="宋体" w:hint="default"/>
                <w:spacing w:val="-102"/>
                <w:sz w:val="21"/>
                <w:szCs w:val="21"/>
              </w:rPr>
              <w:t> </w:t>
            </w:r>
            <w:r>
              <w:rPr>
                <w:rFonts w:ascii="宋体" w:hAnsi="宋体" w:cs="宋体" w:eastAsia="宋体" w:hint="default"/>
                <w:sz w:val="21"/>
                <w:szCs w:val="21"/>
              </w:rPr>
              <w:t>例</w:t>
            </w:r>
            <w:r>
              <w:rPr>
                <w:rFonts w:ascii="宋体" w:hAnsi="宋体" w:cs="宋体" w:eastAsia="宋体" w:hint="default"/>
                <w:sz w:val="21"/>
                <w:szCs w:val="21"/>
              </w:rPr>
              <w:t>(%)</w:t>
            </w:r>
          </w:p>
        </w:tc>
        <w:tc>
          <w:tcPr>
            <w:tcW w:w="12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4"/>
                <w:szCs w:val="14"/>
              </w:rPr>
            </w:pPr>
          </w:p>
          <w:p>
            <w:pPr>
              <w:pStyle w:val="TableParagraph"/>
              <w:spacing w:line="273" w:lineRule="auto"/>
              <w:ind w:left="187" w:right="185"/>
              <w:jc w:val="center"/>
              <w:rPr>
                <w:rFonts w:ascii="宋体" w:hAnsi="宋体" w:cs="宋体" w:eastAsia="宋体" w:hint="default"/>
                <w:sz w:val="21"/>
                <w:szCs w:val="21"/>
              </w:rPr>
            </w:pPr>
            <w:r>
              <w:rPr>
                <w:rFonts w:ascii="宋体" w:hAnsi="宋体" w:cs="宋体" w:eastAsia="宋体" w:hint="default"/>
                <w:sz w:val="21"/>
                <w:szCs w:val="21"/>
              </w:rPr>
              <w:t>本期金额</w:t>
            </w:r>
            <w:r>
              <w:rPr>
                <w:rFonts w:ascii="宋体" w:hAnsi="宋体" w:cs="宋体" w:eastAsia="宋体" w:hint="default"/>
                <w:w w:val="100"/>
                <w:sz w:val="21"/>
                <w:szCs w:val="21"/>
              </w:rPr>
              <w:t> </w:t>
            </w:r>
            <w:r>
              <w:rPr>
                <w:rFonts w:ascii="宋体" w:hAnsi="宋体" w:cs="宋体" w:eastAsia="宋体" w:hint="default"/>
                <w:sz w:val="21"/>
                <w:szCs w:val="21"/>
              </w:rPr>
              <w:t>较上年同</w:t>
            </w:r>
            <w:r>
              <w:rPr>
                <w:rFonts w:ascii="宋体" w:hAnsi="宋体" w:cs="宋体" w:eastAsia="宋体" w:hint="default"/>
                <w:w w:val="100"/>
                <w:sz w:val="21"/>
                <w:szCs w:val="21"/>
              </w:rPr>
              <w:t> </w:t>
            </w:r>
            <w:r>
              <w:rPr>
                <w:rFonts w:ascii="宋体" w:hAnsi="宋体" w:cs="宋体" w:eastAsia="宋体" w:hint="default"/>
                <w:sz w:val="21"/>
                <w:szCs w:val="21"/>
              </w:rPr>
              <w:t>期变动比</w:t>
            </w:r>
            <w:r>
              <w:rPr>
                <w:rFonts w:ascii="宋体" w:hAnsi="宋体" w:cs="宋体" w:eastAsia="宋体" w:hint="default"/>
                <w:w w:val="100"/>
                <w:sz w:val="21"/>
                <w:szCs w:val="21"/>
              </w:rPr>
              <w:t> </w:t>
            </w:r>
            <w:r>
              <w:rPr>
                <w:rFonts w:ascii="宋体" w:hAnsi="宋体" w:cs="宋体" w:eastAsia="宋体" w:hint="default"/>
                <w:sz w:val="21"/>
                <w:szCs w:val="21"/>
              </w:rPr>
              <w:t>例</w:t>
            </w:r>
            <w:r>
              <w:rPr>
                <w:rFonts w:ascii="宋体" w:hAnsi="宋体" w:cs="宋体" w:eastAsia="宋体" w:hint="default"/>
                <w:sz w:val="21"/>
                <w:szCs w:val="21"/>
              </w:rPr>
              <w:t>(%)</w:t>
            </w:r>
          </w:p>
        </w:tc>
        <w:tc>
          <w:tcPr>
            <w:tcW w:w="8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73" w:lineRule="auto"/>
              <w:ind w:left="230" w:right="227"/>
              <w:jc w:val="left"/>
              <w:rPr>
                <w:rFonts w:ascii="宋体" w:hAnsi="宋体" w:cs="宋体" w:eastAsia="宋体" w:hint="default"/>
                <w:sz w:val="21"/>
                <w:szCs w:val="21"/>
              </w:rPr>
            </w:pPr>
            <w:r>
              <w:rPr>
                <w:rFonts w:ascii="宋体" w:hAnsi="宋体" w:cs="宋体" w:eastAsia="宋体" w:hint="default"/>
                <w:sz w:val="21"/>
                <w:szCs w:val="21"/>
              </w:rPr>
              <w:t>情况</w:t>
            </w:r>
            <w:r>
              <w:rPr>
                <w:rFonts w:ascii="宋体" w:hAnsi="宋体" w:cs="宋体" w:eastAsia="宋体" w:hint="default"/>
                <w:spacing w:val="-103"/>
                <w:sz w:val="21"/>
                <w:szCs w:val="21"/>
              </w:rPr>
              <w:t> </w:t>
            </w:r>
            <w:r>
              <w:rPr>
                <w:rFonts w:ascii="宋体" w:hAnsi="宋体" w:cs="宋体" w:eastAsia="宋体" w:hint="default"/>
                <w:sz w:val="21"/>
                <w:szCs w:val="21"/>
              </w:rPr>
              <w:t>说明</w:t>
            </w:r>
          </w:p>
        </w:tc>
      </w:tr>
      <w:tr>
        <w:trPr>
          <w:trHeight w:val="634" w:hRule="exact"/>
        </w:trPr>
        <w:tc>
          <w:tcPr>
            <w:tcW w:w="88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8"/>
              <w:ind w:left="100" w:right="0"/>
              <w:jc w:val="left"/>
              <w:rPr>
                <w:rFonts w:ascii="宋体" w:hAnsi="宋体" w:cs="宋体" w:eastAsia="宋体" w:hint="default"/>
                <w:sz w:val="21"/>
                <w:szCs w:val="21"/>
              </w:rPr>
            </w:pPr>
            <w:r>
              <w:rPr>
                <w:rFonts w:ascii="宋体" w:hAnsi="宋体" w:cs="宋体" w:eastAsia="宋体" w:hint="default"/>
                <w:sz w:val="21"/>
                <w:szCs w:val="21"/>
              </w:rPr>
              <w:t>电信业</w:t>
            </w:r>
          </w:p>
        </w:tc>
        <w:tc>
          <w:tcPr>
            <w:tcW w:w="17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37" w:right="102"/>
              <w:jc w:val="left"/>
              <w:rPr>
                <w:rFonts w:ascii="宋体" w:hAnsi="宋体" w:cs="宋体" w:eastAsia="宋体" w:hint="default"/>
                <w:sz w:val="21"/>
                <w:szCs w:val="21"/>
              </w:rPr>
            </w:pPr>
            <w:r>
              <w:rPr>
                <w:rFonts w:ascii="宋体" w:hAnsi="宋体" w:cs="宋体" w:eastAsia="宋体" w:hint="default"/>
                <w:spacing w:val="6"/>
                <w:sz w:val="21"/>
                <w:szCs w:val="21"/>
              </w:rPr>
              <w:t>网络运行及支撑</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成本</w:t>
            </w:r>
          </w:p>
        </w:tc>
        <w:tc>
          <w:tcPr>
            <w:tcW w:w="18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78" w:right="0"/>
              <w:jc w:val="left"/>
              <w:rPr>
                <w:rFonts w:ascii="宋体" w:hAnsi="宋体" w:cs="宋体" w:eastAsia="宋体" w:hint="default"/>
                <w:sz w:val="21"/>
                <w:szCs w:val="21"/>
              </w:rPr>
            </w:pPr>
            <w:r>
              <w:rPr>
                <w:rFonts w:ascii="宋体"/>
                <w:sz w:val="21"/>
              </w:rPr>
              <w:t>43,236,311,023</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z w:val="21"/>
              </w:rPr>
              <w:t>20.2</w:t>
            </w:r>
          </w:p>
        </w:tc>
        <w:tc>
          <w:tcPr>
            <w:tcW w:w="18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23" w:right="0"/>
              <w:jc w:val="left"/>
              <w:rPr>
                <w:rFonts w:ascii="宋体" w:hAnsi="宋体" w:cs="宋体" w:eastAsia="宋体" w:hint="default"/>
                <w:sz w:val="21"/>
                <w:szCs w:val="21"/>
              </w:rPr>
            </w:pPr>
            <w:r>
              <w:rPr>
                <w:rFonts w:ascii="宋体"/>
                <w:sz w:val="21"/>
              </w:rPr>
              <w:t>55,076,898,324</w:t>
            </w:r>
          </w:p>
        </w:tc>
        <w:tc>
          <w:tcPr>
            <w:tcW w:w="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451" w:right="0"/>
              <w:jc w:val="left"/>
              <w:rPr>
                <w:rFonts w:ascii="宋体" w:hAnsi="宋体" w:cs="宋体" w:eastAsia="宋体" w:hint="default"/>
                <w:sz w:val="21"/>
                <w:szCs w:val="21"/>
              </w:rPr>
            </w:pPr>
            <w:r>
              <w:rPr>
                <w:rFonts w:ascii="宋体"/>
                <w:sz w:val="21"/>
              </w:rPr>
              <w:t>25.8</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z w:val="21"/>
              </w:rPr>
              <w:t>-21.5</w:t>
            </w:r>
          </w:p>
        </w:tc>
        <w:tc>
          <w:tcPr>
            <w:tcW w:w="89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3" w:lineRule="auto" w:before="138"/>
              <w:ind w:left="103" w:right="353"/>
              <w:jc w:val="left"/>
              <w:rPr>
                <w:rFonts w:ascii="宋体" w:hAnsi="宋体" w:cs="宋体" w:eastAsia="宋体" w:hint="default"/>
                <w:sz w:val="21"/>
                <w:szCs w:val="21"/>
              </w:rPr>
            </w:pPr>
            <w:r>
              <w:rPr>
                <w:rFonts w:ascii="宋体" w:hAnsi="宋体" w:cs="宋体" w:eastAsia="宋体" w:hint="default"/>
                <w:sz w:val="21"/>
                <w:szCs w:val="21"/>
              </w:rPr>
              <w:t>见下</w:t>
            </w:r>
            <w:r>
              <w:rPr>
                <w:rFonts w:ascii="宋体" w:hAnsi="宋体" w:cs="宋体" w:eastAsia="宋体" w:hint="default"/>
                <w:spacing w:val="-103"/>
                <w:sz w:val="21"/>
                <w:szCs w:val="21"/>
              </w:rPr>
              <w:t> </w:t>
            </w:r>
            <w:r>
              <w:rPr>
                <w:rFonts w:ascii="宋体" w:hAnsi="宋体" w:cs="宋体" w:eastAsia="宋体" w:hint="default"/>
                <w:sz w:val="21"/>
                <w:szCs w:val="21"/>
              </w:rPr>
              <w:t>说明</w:t>
            </w:r>
          </w:p>
        </w:tc>
      </w:tr>
      <w:tr>
        <w:trPr>
          <w:trHeight w:val="322" w:hRule="exact"/>
        </w:trPr>
        <w:tc>
          <w:tcPr>
            <w:tcW w:w="887" w:type="dxa"/>
            <w:vMerge/>
            <w:tcBorders>
              <w:left w:val="single" w:sz="4" w:space="0" w:color="000000"/>
              <w:right w:val="single" w:sz="4" w:space="0" w:color="000000"/>
            </w:tcBorders>
          </w:tcPr>
          <w:p>
            <w:pPr/>
          </w:p>
        </w:tc>
        <w:tc>
          <w:tcPr>
            <w:tcW w:w="17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37" w:right="0"/>
              <w:jc w:val="left"/>
              <w:rPr>
                <w:rFonts w:ascii="宋体" w:hAnsi="宋体" w:cs="宋体" w:eastAsia="宋体" w:hint="default"/>
                <w:sz w:val="21"/>
                <w:szCs w:val="21"/>
              </w:rPr>
            </w:pPr>
            <w:r>
              <w:rPr>
                <w:rFonts w:ascii="宋体" w:hAnsi="宋体" w:cs="宋体" w:eastAsia="宋体" w:hint="default"/>
                <w:sz w:val="21"/>
                <w:szCs w:val="21"/>
              </w:rPr>
              <w:t>网间结算成本</w:t>
            </w:r>
          </w:p>
        </w:tc>
        <w:tc>
          <w:tcPr>
            <w:tcW w:w="18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78" w:right="0"/>
              <w:jc w:val="left"/>
              <w:rPr>
                <w:rFonts w:ascii="宋体" w:hAnsi="宋体" w:cs="宋体" w:eastAsia="宋体" w:hint="default"/>
                <w:sz w:val="21"/>
                <w:szCs w:val="21"/>
              </w:rPr>
            </w:pPr>
            <w:r>
              <w:rPr>
                <w:rFonts w:ascii="宋体"/>
                <w:sz w:val="21"/>
              </w:rPr>
              <w:t>11,512,876,268</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z w:val="21"/>
              </w:rPr>
              <w:t>5.4</w:t>
            </w:r>
          </w:p>
        </w:tc>
        <w:tc>
          <w:tcPr>
            <w:tcW w:w="18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23" w:right="0"/>
              <w:jc w:val="left"/>
              <w:rPr>
                <w:rFonts w:ascii="宋体" w:hAnsi="宋体" w:cs="宋体" w:eastAsia="宋体" w:hint="default"/>
                <w:sz w:val="21"/>
                <w:szCs w:val="21"/>
              </w:rPr>
            </w:pPr>
            <w:r>
              <w:rPr>
                <w:rFonts w:ascii="宋体"/>
                <w:sz w:val="21"/>
              </w:rPr>
              <w:t>12,579,380,472</w:t>
            </w:r>
          </w:p>
        </w:tc>
        <w:tc>
          <w:tcPr>
            <w:tcW w:w="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556" w:right="0"/>
              <w:jc w:val="left"/>
              <w:rPr>
                <w:rFonts w:ascii="宋体" w:hAnsi="宋体" w:cs="宋体" w:eastAsia="宋体" w:hint="default"/>
                <w:sz w:val="21"/>
                <w:szCs w:val="21"/>
              </w:rPr>
            </w:pPr>
            <w:r>
              <w:rPr>
                <w:rFonts w:ascii="宋体"/>
                <w:sz w:val="21"/>
              </w:rPr>
              <w:t>5.9</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z w:val="21"/>
              </w:rPr>
              <w:t>-8.5</w:t>
            </w:r>
          </w:p>
        </w:tc>
        <w:tc>
          <w:tcPr>
            <w:tcW w:w="890" w:type="dxa"/>
            <w:vMerge/>
            <w:tcBorders>
              <w:left w:val="single" w:sz="4" w:space="0" w:color="000000"/>
              <w:right w:val="single" w:sz="4" w:space="0" w:color="000000"/>
            </w:tcBorders>
          </w:tcPr>
          <w:p>
            <w:pPr/>
          </w:p>
        </w:tc>
      </w:tr>
      <w:tr>
        <w:trPr>
          <w:trHeight w:val="322" w:hRule="exact"/>
        </w:trPr>
        <w:tc>
          <w:tcPr>
            <w:tcW w:w="887" w:type="dxa"/>
            <w:vMerge/>
            <w:tcBorders>
              <w:left w:val="single" w:sz="4" w:space="0" w:color="000000"/>
              <w:right w:val="single" w:sz="4" w:space="0" w:color="000000"/>
            </w:tcBorders>
          </w:tcPr>
          <w:p>
            <w:pPr/>
          </w:p>
        </w:tc>
        <w:tc>
          <w:tcPr>
            <w:tcW w:w="17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37" w:right="0"/>
              <w:jc w:val="left"/>
              <w:rPr>
                <w:rFonts w:ascii="宋体" w:hAnsi="宋体" w:cs="宋体" w:eastAsia="宋体" w:hint="default"/>
                <w:sz w:val="21"/>
                <w:szCs w:val="21"/>
              </w:rPr>
            </w:pPr>
            <w:r>
              <w:rPr>
                <w:rFonts w:ascii="宋体" w:hAnsi="宋体" w:cs="宋体" w:eastAsia="宋体" w:hint="default"/>
                <w:sz w:val="21"/>
                <w:szCs w:val="21"/>
              </w:rPr>
              <w:t>人工成本</w:t>
            </w:r>
          </w:p>
        </w:tc>
        <w:tc>
          <w:tcPr>
            <w:tcW w:w="18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78" w:right="0"/>
              <w:jc w:val="left"/>
              <w:rPr>
                <w:rFonts w:ascii="宋体" w:hAnsi="宋体" w:cs="宋体" w:eastAsia="宋体" w:hint="default"/>
                <w:sz w:val="21"/>
                <w:szCs w:val="21"/>
              </w:rPr>
            </w:pPr>
            <w:r>
              <w:rPr>
                <w:rFonts w:ascii="宋体"/>
                <w:sz w:val="21"/>
              </w:rPr>
              <w:t>35,980,056,689</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z w:val="21"/>
              </w:rPr>
              <w:t>16.8</w:t>
            </w:r>
          </w:p>
        </w:tc>
        <w:tc>
          <w:tcPr>
            <w:tcW w:w="18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23" w:right="0"/>
              <w:jc w:val="left"/>
              <w:rPr>
                <w:rFonts w:ascii="宋体" w:hAnsi="宋体" w:cs="宋体" w:eastAsia="宋体" w:hint="default"/>
                <w:sz w:val="21"/>
                <w:szCs w:val="21"/>
              </w:rPr>
            </w:pPr>
            <w:r>
              <w:rPr>
                <w:rFonts w:ascii="宋体"/>
                <w:sz w:val="21"/>
              </w:rPr>
              <w:t>34,815,398,472</w:t>
            </w:r>
          </w:p>
        </w:tc>
        <w:tc>
          <w:tcPr>
            <w:tcW w:w="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451" w:right="0"/>
              <w:jc w:val="left"/>
              <w:rPr>
                <w:rFonts w:ascii="宋体" w:hAnsi="宋体" w:cs="宋体" w:eastAsia="宋体" w:hint="default"/>
                <w:sz w:val="21"/>
                <w:szCs w:val="21"/>
              </w:rPr>
            </w:pPr>
            <w:r>
              <w:rPr>
                <w:rFonts w:ascii="宋体"/>
                <w:sz w:val="21"/>
              </w:rPr>
              <w:t>16.3</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z w:val="21"/>
              </w:rPr>
              <w:t>3.3</w:t>
            </w:r>
          </w:p>
        </w:tc>
        <w:tc>
          <w:tcPr>
            <w:tcW w:w="890" w:type="dxa"/>
            <w:vMerge/>
            <w:tcBorders>
              <w:left w:val="single" w:sz="4" w:space="0" w:color="000000"/>
              <w:right w:val="single" w:sz="4" w:space="0" w:color="000000"/>
            </w:tcBorders>
          </w:tcPr>
          <w:p>
            <w:pPr/>
          </w:p>
        </w:tc>
      </w:tr>
      <w:tr>
        <w:trPr>
          <w:trHeight w:val="322" w:hRule="exact"/>
        </w:trPr>
        <w:tc>
          <w:tcPr>
            <w:tcW w:w="887" w:type="dxa"/>
            <w:vMerge/>
            <w:tcBorders>
              <w:left w:val="single" w:sz="4" w:space="0" w:color="000000"/>
              <w:right w:val="single" w:sz="4" w:space="0" w:color="000000"/>
            </w:tcBorders>
          </w:tcPr>
          <w:p>
            <w:pPr/>
          </w:p>
        </w:tc>
        <w:tc>
          <w:tcPr>
            <w:tcW w:w="17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37" w:right="0"/>
              <w:jc w:val="left"/>
              <w:rPr>
                <w:rFonts w:ascii="宋体" w:hAnsi="宋体" w:cs="宋体" w:eastAsia="宋体" w:hint="default"/>
                <w:sz w:val="21"/>
                <w:szCs w:val="21"/>
              </w:rPr>
            </w:pPr>
            <w:r>
              <w:rPr>
                <w:rFonts w:ascii="宋体" w:hAnsi="宋体" w:cs="宋体" w:eastAsia="宋体" w:hint="default"/>
                <w:sz w:val="21"/>
                <w:szCs w:val="21"/>
              </w:rPr>
              <w:t>折旧及摊销</w:t>
            </w:r>
          </w:p>
        </w:tc>
        <w:tc>
          <w:tcPr>
            <w:tcW w:w="18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78" w:right="0"/>
              <w:jc w:val="left"/>
              <w:rPr>
                <w:rFonts w:ascii="宋体" w:hAnsi="宋体" w:cs="宋体" w:eastAsia="宋体" w:hint="default"/>
                <w:sz w:val="21"/>
                <w:szCs w:val="21"/>
              </w:rPr>
            </w:pPr>
            <w:r>
              <w:rPr>
                <w:rFonts w:ascii="宋体"/>
                <w:sz w:val="21"/>
              </w:rPr>
              <w:t>79,093,194,078</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z w:val="21"/>
              </w:rPr>
              <w:t>36.9</w:t>
            </w:r>
          </w:p>
        </w:tc>
        <w:tc>
          <w:tcPr>
            <w:tcW w:w="18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23" w:right="0"/>
              <w:jc w:val="left"/>
              <w:rPr>
                <w:rFonts w:ascii="宋体" w:hAnsi="宋体" w:cs="宋体" w:eastAsia="宋体" w:hint="default"/>
                <w:sz w:val="21"/>
                <w:szCs w:val="21"/>
              </w:rPr>
            </w:pPr>
            <w:r>
              <w:rPr>
                <w:rFonts w:ascii="宋体"/>
                <w:sz w:val="21"/>
              </w:rPr>
              <w:t>71,565,352,182</w:t>
            </w:r>
          </w:p>
        </w:tc>
        <w:tc>
          <w:tcPr>
            <w:tcW w:w="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451" w:right="0"/>
              <w:jc w:val="left"/>
              <w:rPr>
                <w:rFonts w:ascii="宋体" w:hAnsi="宋体" w:cs="宋体" w:eastAsia="宋体" w:hint="default"/>
                <w:sz w:val="21"/>
                <w:szCs w:val="21"/>
              </w:rPr>
            </w:pPr>
            <w:r>
              <w:rPr>
                <w:rFonts w:ascii="宋体"/>
                <w:sz w:val="21"/>
              </w:rPr>
              <w:t>33.5</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z w:val="21"/>
              </w:rPr>
              <w:t>10.5</w:t>
            </w:r>
          </w:p>
        </w:tc>
        <w:tc>
          <w:tcPr>
            <w:tcW w:w="890" w:type="dxa"/>
            <w:vMerge/>
            <w:tcBorders>
              <w:left w:val="single" w:sz="4" w:space="0" w:color="000000"/>
              <w:right w:val="single" w:sz="4" w:space="0" w:color="000000"/>
            </w:tcBorders>
          </w:tcPr>
          <w:p>
            <w:pPr/>
          </w:p>
        </w:tc>
      </w:tr>
      <w:tr>
        <w:trPr>
          <w:trHeight w:val="635" w:hRule="exact"/>
        </w:trPr>
        <w:tc>
          <w:tcPr>
            <w:tcW w:w="887" w:type="dxa"/>
            <w:vMerge/>
            <w:tcBorders>
              <w:left w:val="single" w:sz="4" w:space="0" w:color="000000"/>
              <w:bottom w:val="single" w:sz="4" w:space="0" w:color="000000"/>
              <w:right w:val="single" w:sz="4" w:space="0" w:color="000000"/>
            </w:tcBorders>
          </w:tcPr>
          <w:p>
            <w:pPr/>
          </w:p>
        </w:tc>
        <w:tc>
          <w:tcPr>
            <w:tcW w:w="17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37" w:right="102"/>
              <w:jc w:val="left"/>
              <w:rPr>
                <w:rFonts w:ascii="宋体" w:hAnsi="宋体" w:cs="宋体" w:eastAsia="宋体" w:hint="default"/>
                <w:sz w:val="21"/>
                <w:szCs w:val="21"/>
              </w:rPr>
            </w:pPr>
            <w:r>
              <w:rPr>
                <w:rFonts w:ascii="宋体" w:hAnsi="宋体" w:cs="宋体" w:eastAsia="宋体" w:hint="default"/>
                <w:spacing w:val="6"/>
                <w:sz w:val="21"/>
                <w:szCs w:val="21"/>
              </w:rPr>
              <w:t>销售通信产品支</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出</w:t>
            </w:r>
          </w:p>
        </w:tc>
        <w:tc>
          <w:tcPr>
            <w:tcW w:w="18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78" w:right="0"/>
              <w:jc w:val="left"/>
              <w:rPr>
                <w:rFonts w:ascii="宋体" w:hAnsi="宋体" w:cs="宋体" w:eastAsia="宋体" w:hint="default"/>
                <w:sz w:val="21"/>
                <w:szCs w:val="21"/>
              </w:rPr>
            </w:pPr>
            <w:r>
              <w:rPr>
                <w:rFonts w:ascii="宋体"/>
                <w:sz w:val="21"/>
              </w:rPr>
              <w:t>26,411,828,676</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z w:val="21"/>
              </w:rPr>
              <w:t>12.3</w:t>
            </w:r>
          </w:p>
        </w:tc>
        <w:tc>
          <w:tcPr>
            <w:tcW w:w="18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23" w:right="0"/>
              <w:jc w:val="left"/>
              <w:rPr>
                <w:rFonts w:ascii="宋体" w:hAnsi="宋体" w:cs="宋体" w:eastAsia="宋体" w:hint="default"/>
                <w:sz w:val="21"/>
                <w:szCs w:val="21"/>
              </w:rPr>
            </w:pPr>
            <w:r>
              <w:rPr>
                <w:rFonts w:ascii="宋体"/>
                <w:sz w:val="21"/>
              </w:rPr>
              <w:t>27,604,015,917</w:t>
            </w:r>
          </w:p>
        </w:tc>
        <w:tc>
          <w:tcPr>
            <w:tcW w:w="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451" w:right="0"/>
              <w:jc w:val="left"/>
              <w:rPr>
                <w:rFonts w:ascii="宋体" w:hAnsi="宋体" w:cs="宋体" w:eastAsia="宋体" w:hint="default"/>
                <w:sz w:val="21"/>
                <w:szCs w:val="21"/>
              </w:rPr>
            </w:pPr>
            <w:r>
              <w:rPr>
                <w:rFonts w:ascii="宋体"/>
                <w:sz w:val="21"/>
              </w:rPr>
              <w:t>12.9</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sz w:val="21"/>
              </w:rPr>
              <w:t>-4.3</w:t>
            </w:r>
          </w:p>
        </w:tc>
        <w:tc>
          <w:tcPr>
            <w:tcW w:w="890" w:type="dxa"/>
            <w:vMerge/>
            <w:tcBorders>
              <w:left w:val="single" w:sz="4" w:space="0" w:color="000000"/>
              <w:bottom w:val="single" w:sz="4" w:space="0" w:color="000000"/>
              <w:right w:val="single" w:sz="4" w:space="0" w:color="000000"/>
            </w:tcBorders>
          </w:tcPr>
          <w:p>
            <w:pPr/>
          </w:p>
        </w:tc>
      </w:tr>
      <w:tr>
        <w:trPr>
          <w:trHeight w:val="323" w:hRule="exact"/>
        </w:trPr>
        <w:tc>
          <w:tcPr>
            <w:tcW w:w="10483" w:type="dxa"/>
            <w:gridSpan w:val="1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分产品情况</w:t>
            </w:r>
          </w:p>
        </w:tc>
      </w:tr>
      <w:tr>
        <w:trPr>
          <w:trHeight w:val="1258" w:hRule="exact"/>
        </w:trPr>
        <w:tc>
          <w:tcPr>
            <w:tcW w:w="8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分产品</w:t>
            </w:r>
          </w:p>
        </w:tc>
        <w:tc>
          <w:tcPr>
            <w:tcW w:w="152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成本构成项目</w:t>
            </w:r>
          </w:p>
        </w:tc>
        <w:tc>
          <w:tcPr>
            <w:tcW w:w="201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80"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15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143"/>
              <w:ind w:left="148" w:right="147"/>
              <w:jc w:val="center"/>
              <w:rPr>
                <w:rFonts w:ascii="宋体" w:hAnsi="宋体" w:cs="宋体" w:eastAsia="宋体" w:hint="default"/>
                <w:sz w:val="21"/>
                <w:szCs w:val="21"/>
              </w:rPr>
            </w:pPr>
            <w:r>
              <w:rPr>
                <w:rFonts w:ascii="宋体" w:hAnsi="宋体" w:cs="宋体" w:eastAsia="宋体" w:hint="default"/>
                <w:sz w:val="21"/>
                <w:szCs w:val="21"/>
              </w:rPr>
              <w:t>本期占总</w:t>
            </w:r>
            <w:r>
              <w:rPr>
                <w:rFonts w:ascii="宋体" w:hAnsi="宋体" w:cs="宋体" w:eastAsia="宋体" w:hint="default"/>
                <w:w w:val="100"/>
                <w:sz w:val="21"/>
                <w:szCs w:val="21"/>
              </w:rPr>
              <w:t> </w:t>
            </w:r>
            <w:r>
              <w:rPr>
                <w:rFonts w:ascii="宋体" w:hAnsi="宋体" w:cs="宋体" w:eastAsia="宋体" w:hint="default"/>
                <w:sz w:val="21"/>
                <w:szCs w:val="21"/>
              </w:rPr>
              <w:t>成本比例</w:t>
            </w:r>
            <w:r>
              <w:rPr>
                <w:rFonts w:ascii="宋体" w:hAnsi="宋体" w:cs="宋体" w:eastAsia="宋体" w:hint="default"/>
                <w:w w:val="100"/>
                <w:sz w:val="21"/>
                <w:szCs w:val="21"/>
              </w:rPr>
              <w:t> </w:t>
            </w:r>
            <w:r>
              <w:rPr>
                <w:rFonts w:ascii="宋体" w:hAnsi="宋体" w:cs="宋体" w:eastAsia="宋体" w:hint="default"/>
                <w:sz w:val="21"/>
                <w:szCs w:val="21"/>
              </w:rPr>
              <w:t>(%)</w:t>
            </w:r>
          </w:p>
        </w:tc>
        <w:tc>
          <w:tcPr>
            <w:tcW w:w="16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上年同期金额</w:t>
            </w:r>
          </w:p>
        </w:tc>
        <w:tc>
          <w:tcPr>
            <w:tcW w:w="97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165" w:right="164"/>
              <w:jc w:val="both"/>
              <w:rPr>
                <w:rFonts w:ascii="宋体" w:hAnsi="宋体" w:cs="宋体" w:eastAsia="宋体" w:hint="default"/>
                <w:sz w:val="21"/>
                <w:szCs w:val="21"/>
              </w:rPr>
            </w:pPr>
            <w:r>
              <w:rPr>
                <w:rFonts w:ascii="宋体" w:hAnsi="宋体" w:cs="宋体" w:eastAsia="宋体" w:hint="default"/>
                <w:sz w:val="21"/>
                <w:szCs w:val="21"/>
              </w:rPr>
              <w:t>上年同</w:t>
            </w:r>
            <w:r>
              <w:rPr>
                <w:rFonts w:ascii="宋体" w:hAnsi="宋体" w:cs="宋体" w:eastAsia="宋体" w:hint="default"/>
                <w:spacing w:val="-102"/>
                <w:sz w:val="21"/>
                <w:szCs w:val="21"/>
              </w:rPr>
              <w:t> </w:t>
            </w:r>
            <w:r>
              <w:rPr>
                <w:rFonts w:ascii="宋体" w:hAnsi="宋体" w:cs="宋体" w:eastAsia="宋体" w:hint="default"/>
                <w:sz w:val="21"/>
                <w:szCs w:val="21"/>
              </w:rPr>
              <w:t>期占总</w:t>
            </w:r>
            <w:r>
              <w:rPr>
                <w:rFonts w:ascii="宋体" w:hAnsi="宋体" w:cs="宋体" w:eastAsia="宋体" w:hint="default"/>
                <w:spacing w:val="-102"/>
                <w:sz w:val="21"/>
                <w:szCs w:val="21"/>
              </w:rPr>
              <w:t> </w:t>
            </w:r>
            <w:r>
              <w:rPr>
                <w:rFonts w:ascii="宋体" w:hAnsi="宋体" w:cs="宋体" w:eastAsia="宋体" w:hint="default"/>
                <w:sz w:val="21"/>
                <w:szCs w:val="21"/>
              </w:rPr>
              <w:t>成本比</w:t>
            </w:r>
            <w:r>
              <w:rPr>
                <w:rFonts w:ascii="宋体" w:hAnsi="宋体" w:cs="宋体" w:eastAsia="宋体" w:hint="default"/>
                <w:spacing w:val="-102"/>
                <w:sz w:val="21"/>
                <w:szCs w:val="21"/>
              </w:rPr>
              <w:t> </w:t>
            </w:r>
            <w:r>
              <w:rPr>
                <w:rFonts w:ascii="宋体" w:hAnsi="宋体" w:cs="宋体" w:eastAsia="宋体" w:hint="default"/>
                <w:sz w:val="21"/>
                <w:szCs w:val="21"/>
              </w:rPr>
              <w:t>例</w:t>
            </w:r>
            <w:r>
              <w:rPr>
                <w:rFonts w:ascii="宋体" w:hAnsi="宋体" w:cs="宋体" w:eastAsia="宋体" w:hint="default"/>
                <w:sz w:val="21"/>
                <w:szCs w:val="21"/>
              </w:rPr>
              <w:t>(%)</w:t>
            </w:r>
          </w:p>
        </w:tc>
        <w:tc>
          <w:tcPr>
            <w:tcW w:w="135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143"/>
              <w:ind w:left="146" w:right="144"/>
              <w:jc w:val="both"/>
              <w:rPr>
                <w:rFonts w:ascii="宋体" w:hAnsi="宋体" w:cs="宋体" w:eastAsia="宋体" w:hint="default"/>
                <w:sz w:val="21"/>
                <w:szCs w:val="21"/>
              </w:rPr>
            </w:pPr>
            <w:r>
              <w:rPr>
                <w:rFonts w:ascii="宋体" w:hAnsi="宋体" w:cs="宋体" w:eastAsia="宋体" w:hint="default"/>
                <w:sz w:val="21"/>
                <w:szCs w:val="21"/>
              </w:rPr>
              <w:t>本期金额较</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上年同期变</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动比例</w:t>
            </w:r>
            <w:r>
              <w:rPr>
                <w:rFonts w:ascii="宋体" w:hAnsi="宋体" w:cs="宋体" w:eastAsia="宋体" w:hint="default"/>
                <w:sz w:val="21"/>
                <w:szCs w:val="21"/>
              </w:rPr>
              <w:t>(%)</w:t>
            </w:r>
          </w:p>
        </w:tc>
        <w:tc>
          <w:tcPr>
            <w:tcW w:w="8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22"/>
                <w:szCs w:val="22"/>
              </w:rPr>
            </w:pPr>
          </w:p>
          <w:p>
            <w:pPr>
              <w:pStyle w:val="TableParagraph"/>
              <w:spacing w:line="273" w:lineRule="auto"/>
              <w:ind w:left="230" w:right="227"/>
              <w:jc w:val="left"/>
              <w:rPr>
                <w:rFonts w:ascii="宋体" w:hAnsi="宋体" w:cs="宋体" w:eastAsia="宋体" w:hint="default"/>
                <w:sz w:val="21"/>
                <w:szCs w:val="21"/>
              </w:rPr>
            </w:pPr>
            <w:r>
              <w:rPr>
                <w:rFonts w:ascii="宋体" w:hAnsi="宋体" w:cs="宋体" w:eastAsia="宋体" w:hint="default"/>
                <w:sz w:val="21"/>
                <w:szCs w:val="21"/>
              </w:rPr>
              <w:t>情况</w:t>
            </w:r>
            <w:r>
              <w:rPr>
                <w:rFonts w:ascii="宋体" w:hAnsi="宋体" w:cs="宋体" w:eastAsia="宋体" w:hint="default"/>
                <w:spacing w:val="-103"/>
                <w:sz w:val="21"/>
                <w:szCs w:val="21"/>
              </w:rPr>
              <w:t> </w:t>
            </w:r>
            <w:r>
              <w:rPr>
                <w:rFonts w:ascii="宋体" w:hAnsi="宋体" w:cs="宋体" w:eastAsia="宋体" w:hint="default"/>
                <w:sz w:val="21"/>
                <w:szCs w:val="21"/>
              </w:rPr>
              <w:t>说明</w:t>
            </w:r>
          </w:p>
        </w:tc>
      </w:tr>
      <w:tr>
        <w:trPr>
          <w:trHeight w:val="634" w:hRule="exact"/>
        </w:trPr>
        <w:tc>
          <w:tcPr>
            <w:tcW w:w="88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73" w:lineRule="auto"/>
              <w:ind w:left="100" w:right="141"/>
              <w:jc w:val="left"/>
              <w:rPr>
                <w:rFonts w:ascii="宋体" w:hAnsi="宋体" w:cs="宋体" w:eastAsia="宋体" w:hint="default"/>
                <w:sz w:val="21"/>
                <w:szCs w:val="21"/>
              </w:rPr>
            </w:pPr>
            <w:r>
              <w:rPr>
                <w:rFonts w:ascii="宋体" w:hAnsi="宋体" w:cs="宋体" w:eastAsia="宋体" w:hint="default"/>
                <w:sz w:val="21"/>
                <w:szCs w:val="21"/>
              </w:rPr>
              <w:t>电信服</w:t>
            </w:r>
            <w:r>
              <w:rPr>
                <w:rFonts w:ascii="宋体" w:hAnsi="宋体" w:cs="宋体" w:eastAsia="宋体" w:hint="default"/>
                <w:spacing w:val="-102"/>
                <w:sz w:val="21"/>
                <w:szCs w:val="21"/>
              </w:rPr>
              <w:t> </w:t>
            </w:r>
            <w:r>
              <w:rPr>
                <w:rFonts w:ascii="宋体" w:hAnsi="宋体" w:cs="宋体" w:eastAsia="宋体" w:hint="default"/>
                <w:sz w:val="21"/>
                <w:szCs w:val="21"/>
              </w:rPr>
              <w:t>务</w:t>
            </w:r>
          </w:p>
        </w:tc>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65" w:right="99"/>
              <w:jc w:val="left"/>
              <w:rPr>
                <w:rFonts w:ascii="宋体" w:hAnsi="宋体" w:cs="宋体" w:eastAsia="宋体" w:hint="default"/>
                <w:sz w:val="21"/>
                <w:szCs w:val="21"/>
              </w:rPr>
            </w:pPr>
            <w:r>
              <w:rPr>
                <w:rFonts w:ascii="宋体" w:hAnsi="宋体" w:cs="宋体" w:eastAsia="宋体" w:hint="default"/>
                <w:spacing w:val="11"/>
                <w:sz w:val="21"/>
                <w:szCs w:val="21"/>
              </w:rPr>
              <w:t>网络运行及支</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撑成本</w:t>
            </w:r>
          </w:p>
        </w:tc>
        <w:tc>
          <w:tcPr>
            <w:tcW w:w="20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429" w:right="0"/>
              <w:jc w:val="left"/>
              <w:rPr>
                <w:rFonts w:ascii="宋体" w:hAnsi="宋体" w:cs="宋体" w:eastAsia="宋体" w:hint="default"/>
                <w:sz w:val="21"/>
                <w:szCs w:val="21"/>
              </w:rPr>
            </w:pPr>
            <w:r>
              <w:rPr>
                <w:rFonts w:ascii="宋体"/>
                <w:sz w:val="21"/>
              </w:rPr>
              <w:t>43,236,311,023</w:t>
            </w:r>
          </w:p>
        </w:tc>
        <w:tc>
          <w:tcPr>
            <w:tcW w:w="11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616" w:right="0"/>
              <w:jc w:val="left"/>
              <w:rPr>
                <w:rFonts w:ascii="宋体" w:hAnsi="宋体" w:cs="宋体" w:eastAsia="宋体" w:hint="default"/>
                <w:sz w:val="21"/>
                <w:szCs w:val="21"/>
              </w:rPr>
            </w:pPr>
            <w:r>
              <w:rPr>
                <w:rFonts w:ascii="宋体"/>
                <w:sz w:val="21"/>
              </w:rPr>
              <w:t>20.2</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55,076,898,324</w:t>
            </w:r>
          </w:p>
        </w:tc>
        <w:tc>
          <w:tcPr>
            <w:tcW w:w="9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441" w:right="0"/>
              <w:jc w:val="left"/>
              <w:rPr>
                <w:rFonts w:ascii="宋体" w:hAnsi="宋体" w:cs="宋体" w:eastAsia="宋体" w:hint="default"/>
                <w:sz w:val="21"/>
                <w:szCs w:val="21"/>
              </w:rPr>
            </w:pPr>
            <w:r>
              <w:rPr>
                <w:rFonts w:ascii="宋体"/>
                <w:sz w:val="21"/>
              </w:rPr>
              <w:t>25.8</w:t>
            </w:r>
          </w:p>
        </w:tc>
        <w:tc>
          <w:tcPr>
            <w:tcW w:w="13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717" w:right="0"/>
              <w:jc w:val="left"/>
              <w:rPr>
                <w:rFonts w:ascii="宋体" w:hAnsi="宋体" w:cs="宋体" w:eastAsia="宋体" w:hint="default"/>
                <w:sz w:val="21"/>
                <w:szCs w:val="21"/>
              </w:rPr>
            </w:pPr>
            <w:r>
              <w:rPr>
                <w:rFonts w:ascii="宋体"/>
                <w:sz w:val="21"/>
              </w:rPr>
              <w:t>-21.5</w:t>
            </w:r>
          </w:p>
        </w:tc>
        <w:tc>
          <w:tcPr>
            <w:tcW w:w="89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3" w:lineRule="auto" w:before="138"/>
              <w:ind w:left="103" w:right="77"/>
              <w:jc w:val="left"/>
              <w:rPr>
                <w:rFonts w:ascii="宋体" w:hAnsi="宋体" w:cs="宋体" w:eastAsia="宋体" w:hint="default"/>
                <w:sz w:val="21"/>
                <w:szCs w:val="21"/>
              </w:rPr>
            </w:pPr>
            <w:r>
              <w:rPr>
                <w:rFonts w:ascii="宋体" w:hAnsi="宋体" w:cs="宋体" w:eastAsia="宋体" w:hint="default"/>
                <w:spacing w:val="13"/>
                <w:sz w:val="21"/>
                <w:szCs w:val="21"/>
              </w:rPr>
              <w:t>见下说</w:t>
            </w:r>
            <w:r>
              <w:rPr>
                <w:rFonts w:ascii="宋体" w:hAnsi="宋体" w:cs="宋体" w:eastAsia="宋体" w:hint="default"/>
                <w:spacing w:val="-99"/>
                <w:sz w:val="21"/>
                <w:szCs w:val="21"/>
              </w:rPr>
              <w:t> </w:t>
            </w:r>
            <w:r>
              <w:rPr>
                <w:rFonts w:ascii="宋体" w:hAnsi="宋体" w:cs="宋体" w:eastAsia="宋体" w:hint="default"/>
                <w:sz w:val="21"/>
                <w:szCs w:val="21"/>
              </w:rPr>
              <w:t>明</w:t>
            </w:r>
          </w:p>
        </w:tc>
      </w:tr>
      <w:tr>
        <w:trPr>
          <w:trHeight w:val="322" w:hRule="exact"/>
        </w:trPr>
        <w:tc>
          <w:tcPr>
            <w:tcW w:w="887" w:type="dxa"/>
            <w:vMerge/>
            <w:tcBorders>
              <w:left w:val="single" w:sz="4" w:space="0" w:color="000000"/>
              <w:right w:val="single" w:sz="4" w:space="0" w:color="000000"/>
            </w:tcBorders>
          </w:tcPr>
          <w:p>
            <w:pPr/>
          </w:p>
        </w:tc>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65" w:right="0"/>
              <w:jc w:val="left"/>
              <w:rPr>
                <w:rFonts w:ascii="宋体" w:hAnsi="宋体" w:cs="宋体" w:eastAsia="宋体" w:hint="default"/>
                <w:sz w:val="21"/>
                <w:szCs w:val="21"/>
              </w:rPr>
            </w:pPr>
            <w:r>
              <w:rPr>
                <w:rFonts w:ascii="宋体" w:hAnsi="宋体" w:cs="宋体" w:eastAsia="宋体" w:hint="default"/>
                <w:sz w:val="21"/>
                <w:szCs w:val="21"/>
              </w:rPr>
              <w:t>网间结算成本</w:t>
            </w:r>
          </w:p>
        </w:tc>
        <w:tc>
          <w:tcPr>
            <w:tcW w:w="20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429" w:right="0"/>
              <w:jc w:val="left"/>
              <w:rPr>
                <w:rFonts w:ascii="宋体" w:hAnsi="宋体" w:cs="宋体" w:eastAsia="宋体" w:hint="default"/>
                <w:sz w:val="21"/>
                <w:szCs w:val="21"/>
              </w:rPr>
            </w:pPr>
            <w:r>
              <w:rPr>
                <w:rFonts w:ascii="宋体"/>
                <w:sz w:val="21"/>
              </w:rPr>
              <w:t>11,512,876,268</w:t>
            </w:r>
          </w:p>
        </w:tc>
        <w:tc>
          <w:tcPr>
            <w:tcW w:w="11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722" w:right="0"/>
              <w:jc w:val="left"/>
              <w:rPr>
                <w:rFonts w:ascii="宋体" w:hAnsi="宋体" w:cs="宋体" w:eastAsia="宋体" w:hint="default"/>
                <w:sz w:val="21"/>
                <w:szCs w:val="21"/>
              </w:rPr>
            </w:pPr>
            <w:r>
              <w:rPr>
                <w:rFonts w:ascii="宋体"/>
                <w:sz w:val="21"/>
              </w:rPr>
              <w:t>5.4</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12,579,380,472</w:t>
            </w:r>
          </w:p>
        </w:tc>
        <w:tc>
          <w:tcPr>
            <w:tcW w:w="9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547" w:right="0"/>
              <w:jc w:val="left"/>
              <w:rPr>
                <w:rFonts w:ascii="宋体" w:hAnsi="宋体" w:cs="宋体" w:eastAsia="宋体" w:hint="default"/>
                <w:sz w:val="21"/>
                <w:szCs w:val="21"/>
              </w:rPr>
            </w:pPr>
            <w:r>
              <w:rPr>
                <w:rFonts w:ascii="宋体"/>
                <w:sz w:val="21"/>
              </w:rPr>
              <w:t>5.9</w:t>
            </w:r>
          </w:p>
        </w:tc>
        <w:tc>
          <w:tcPr>
            <w:tcW w:w="13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823" w:right="0"/>
              <w:jc w:val="left"/>
              <w:rPr>
                <w:rFonts w:ascii="宋体" w:hAnsi="宋体" w:cs="宋体" w:eastAsia="宋体" w:hint="default"/>
                <w:sz w:val="21"/>
                <w:szCs w:val="21"/>
              </w:rPr>
            </w:pPr>
            <w:r>
              <w:rPr>
                <w:rFonts w:ascii="宋体"/>
                <w:sz w:val="21"/>
              </w:rPr>
              <w:t>-8.5</w:t>
            </w:r>
          </w:p>
        </w:tc>
        <w:tc>
          <w:tcPr>
            <w:tcW w:w="890" w:type="dxa"/>
            <w:vMerge/>
            <w:tcBorders>
              <w:left w:val="single" w:sz="4" w:space="0" w:color="000000"/>
              <w:right w:val="single" w:sz="4" w:space="0" w:color="000000"/>
            </w:tcBorders>
          </w:tcPr>
          <w:p>
            <w:pPr/>
          </w:p>
        </w:tc>
      </w:tr>
      <w:tr>
        <w:trPr>
          <w:trHeight w:val="322" w:hRule="exact"/>
        </w:trPr>
        <w:tc>
          <w:tcPr>
            <w:tcW w:w="887" w:type="dxa"/>
            <w:vMerge/>
            <w:tcBorders>
              <w:left w:val="single" w:sz="4" w:space="0" w:color="000000"/>
              <w:right w:val="single" w:sz="4" w:space="0" w:color="000000"/>
            </w:tcBorders>
          </w:tcPr>
          <w:p>
            <w:pPr/>
          </w:p>
        </w:tc>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65" w:right="0"/>
              <w:jc w:val="left"/>
              <w:rPr>
                <w:rFonts w:ascii="宋体" w:hAnsi="宋体" w:cs="宋体" w:eastAsia="宋体" w:hint="default"/>
                <w:sz w:val="21"/>
                <w:szCs w:val="21"/>
              </w:rPr>
            </w:pPr>
            <w:r>
              <w:rPr>
                <w:rFonts w:ascii="宋体" w:hAnsi="宋体" w:cs="宋体" w:eastAsia="宋体" w:hint="default"/>
                <w:sz w:val="21"/>
                <w:szCs w:val="21"/>
              </w:rPr>
              <w:t>人工成本</w:t>
            </w:r>
          </w:p>
        </w:tc>
        <w:tc>
          <w:tcPr>
            <w:tcW w:w="20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429" w:right="0"/>
              <w:jc w:val="left"/>
              <w:rPr>
                <w:rFonts w:ascii="宋体" w:hAnsi="宋体" w:cs="宋体" w:eastAsia="宋体" w:hint="default"/>
                <w:sz w:val="21"/>
                <w:szCs w:val="21"/>
              </w:rPr>
            </w:pPr>
            <w:r>
              <w:rPr>
                <w:rFonts w:ascii="宋体"/>
                <w:sz w:val="21"/>
              </w:rPr>
              <w:t>35,980,056,689</w:t>
            </w:r>
          </w:p>
        </w:tc>
        <w:tc>
          <w:tcPr>
            <w:tcW w:w="11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616" w:right="0"/>
              <w:jc w:val="left"/>
              <w:rPr>
                <w:rFonts w:ascii="宋体" w:hAnsi="宋体" w:cs="宋体" w:eastAsia="宋体" w:hint="default"/>
                <w:sz w:val="21"/>
                <w:szCs w:val="21"/>
              </w:rPr>
            </w:pPr>
            <w:r>
              <w:rPr>
                <w:rFonts w:ascii="宋体"/>
                <w:sz w:val="21"/>
              </w:rPr>
              <w:t>16.8</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34,815,398,472</w:t>
            </w:r>
          </w:p>
        </w:tc>
        <w:tc>
          <w:tcPr>
            <w:tcW w:w="9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441" w:right="0"/>
              <w:jc w:val="left"/>
              <w:rPr>
                <w:rFonts w:ascii="宋体" w:hAnsi="宋体" w:cs="宋体" w:eastAsia="宋体" w:hint="default"/>
                <w:sz w:val="21"/>
                <w:szCs w:val="21"/>
              </w:rPr>
            </w:pPr>
            <w:r>
              <w:rPr>
                <w:rFonts w:ascii="宋体"/>
                <w:sz w:val="21"/>
              </w:rPr>
              <w:t>16.3</w:t>
            </w:r>
          </w:p>
        </w:tc>
        <w:tc>
          <w:tcPr>
            <w:tcW w:w="13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3.3</w:t>
            </w:r>
          </w:p>
        </w:tc>
        <w:tc>
          <w:tcPr>
            <w:tcW w:w="890" w:type="dxa"/>
            <w:vMerge/>
            <w:tcBorders>
              <w:left w:val="single" w:sz="4" w:space="0" w:color="000000"/>
              <w:right w:val="single" w:sz="4" w:space="0" w:color="000000"/>
            </w:tcBorders>
          </w:tcPr>
          <w:p>
            <w:pPr/>
          </w:p>
        </w:tc>
      </w:tr>
      <w:tr>
        <w:trPr>
          <w:trHeight w:val="322" w:hRule="exact"/>
        </w:trPr>
        <w:tc>
          <w:tcPr>
            <w:tcW w:w="887" w:type="dxa"/>
            <w:vMerge/>
            <w:tcBorders>
              <w:left w:val="single" w:sz="4" w:space="0" w:color="000000"/>
              <w:right w:val="single" w:sz="4" w:space="0" w:color="000000"/>
            </w:tcBorders>
          </w:tcPr>
          <w:p>
            <w:pPr/>
          </w:p>
        </w:tc>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65" w:right="0"/>
              <w:jc w:val="left"/>
              <w:rPr>
                <w:rFonts w:ascii="宋体" w:hAnsi="宋体" w:cs="宋体" w:eastAsia="宋体" w:hint="default"/>
                <w:sz w:val="21"/>
                <w:szCs w:val="21"/>
              </w:rPr>
            </w:pPr>
            <w:r>
              <w:rPr>
                <w:rFonts w:ascii="宋体" w:hAnsi="宋体" w:cs="宋体" w:eastAsia="宋体" w:hint="default"/>
                <w:sz w:val="21"/>
                <w:szCs w:val="21"/>
              </w:rPr>
              <w:t>折旧及摊销</w:t>
            </w:r>
          </w:p>
        </w:tc>
        <w:tc>
          <w:tcPr>
            <w:tcW w:w="20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429" w:right="0"/>
              <w:jc w:val="left"/>
              <w:rPr>
                <w:rFonts w:ascii="宋体" w:hAnsi="宋体" w:cs="宋体" w:eastAsia="宋体" w:hint="default"/>
                <w:sz w:val="21"/>
                <w:szCs w:val="21"/>
              </w:rPr>
            </w:pPr>
            <w:r>
              <w:rPr>
                <w:rFonts w:ascii="宋体"/>
                <w:sz w:val="21"/>
              </w:rPr>
              <w:t>79,093,194,078</w:t>
            </w:r>
          </w:p>
        </w:tc>
        <w:tc>
          <w:tcPr>
            <w:tcW w:w="11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616" w:right="0"/>
              <w:jc w:val="left"/>
              <w:rPr>
                <w:rFonts w:ascii="宋体" w:hAnsi="宋体" w:cs="宋体" w:eastAsia="宋体" w:hint="default"/>
                <w:sz w:val="21"/>
                <w:szCs w:val="21"/>
              </w:rPr>
            </w:pPr>
            <w:r>
              <w:rPr>
                <w:rFonts w:ascii="宋体"/>
                <w:sz w:val="21"/>
              </w:rPr>
              <w:t>36.9</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71,565,352,182</w:t>
            </w:r>
          </w:p>
        </w:tc>
        <w:tc>
          <w:tcPr>
            <w:tcW w:w="9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441" w:right="0"/>
              <w:jc w:val="left"/>
              <w:rPr>
                <w:rFonts w:ascii="宋体" w:hAnsi="宋体" w:cs="宋体" w:eastAsia="宋体" w:hint="default"/>
                <w:sz w:val="21"/>
                <w:szCs w:val="21"/>
              </w:rPr>
            </w:pPr>
            <w:r>
              <w:rPr>
                <w:rFonts w:ascii="宋体"/>
                <w:sz w:val="21"/>
              </w:rPr>
              <w:t>33.5</w:t>
            </w:r>
          </w:p>
        </w:tc>
        <w:tc>
          <w:tcPr>
            <w:tcW w:w="13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823" w:right="0"/>
              <w:jc w:val="left"/>
              <w:rPr>
                <w:rFonts w:ascii="宋体" w:hAnsi="宋体" w:cs="宋体" w:eastAsia="宋体" w:hint="default"/>
                <w:sz w:val="21"/>
                <w:szCs w:val="21"/>
              </w:rPr>
            </w:pPr>
            <w:r>
              <w:rPr>
                <w:rFonts w:ascii="宋体"/>
                <w:sz w:val="21"/>
              </w:rPr>
              <w:t>10.5</w:t>
            </w:r>
          </w:p>
        </w:tc>
        <w:tc>
          <w:tcPr>
            <w:tcW w:w="890" w:type="dxa"/>
            <w:vMerge/>
            <w:tcBorders>
              <w:left w:val="single" w:sz="4" w:space="0" w:color="000000"/>
              <w:right w:val="single" w:sz="4" w:space="0" w:color="000000"/>
            </w:tcBorders>
          </w:tcPr>
          <w:p>
            <w:pPr/>
          </w:p>
        </w:tc>
      </w:tr>
      <w:tr>
        <w:trPr>
          <w:trHeight w:val="636" w:hRule="exact"/>
        </w:trPr>
        <w:tc>
          <w:tcPr>
            <w:tcW w:w="887" w:type="dxa"/>
            <w:vMerge/>
            <w:tcBorders>
              <w:left w:val="single" w:sz="4" w:space="0" w:color="000000"/>
              <w:bottom w:val="single" w:sz="4" w:space="0" w:color="000000"/>
              <w:right w:val="single" w:sz="4" w:space="0" w:color="000000"/>
            </w:tcBorders>
          </w:tcPr>
          <w:p>
            <w:pPr/>
          </w:p>
        </w:tc>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65" w:right="99"/>
              <w:jc w:val="left"/>
              <w:rPr>
                <w:rFonts w:ascii="宋体" w:hAnsi="宋体" w:cs="宋体" w:eastAsia="宋体" w:hint="default"/>
                <w:sz w:val="21"/>
                <w:szCs w:val="21"/>
              </w:rPr>
            </w:pPr>
            <w:r>
              <w:rPr>
                <w:rFonts w:ascii="宋体" w:hAnsi="宋体" w:cs="宋体" w:eastAsia="宋体" w:hint="default"/>
                <w:spacing w:val="11"/>
                <w:sz w:val="21"/>
                <w:szCs w:val="21"/>
              </w:rPr>
              <w:t>销售通信产品</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支出</w:t>
            </w:r>
          </w:p>
        </w:tc>
        <w:tc>
          <w:tcPr>
            <w:tcW w:w="20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429" w:right="0"/>
              <w:jc w:val="left"/>
              <w:rPr>
                <w:rFonts w:ascii="宋体" w:hAnsi="宋体" w:cs="宋体" w:eastAsia="宋体" w:hint="default"/>
                <w:sz w:val="21"/>
                <w:szCs w:val="21"/>
              </w:rPr>
            </w:pPr>
            <w:r>
              <w:rPr>
                <w:rFonts w:ascii="宋体"/>
                <w:sz w:val="21"/>
              </w:rPr>
              <w:t>26,411,828,676</w:t>
            </w:r>
          </w:p>
        </w:tc>
        <w:tc>
          <w:tcPr>
            <w:tcW w:w="11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16" w:right="0"/>
              <w:jc w:val="left"/>
              <w:rPr>
                <w:rFonts w:ascii="宋体" w:hAnsi="宋体" w:cs="宋体" w:eastAsia="宋体" w:hint="default"/>
                <w:sz w:val="21"/>
                <w:szCs w:val="21"/>
              </w:rPr>
            </w:pPr>
            <w:r>
              <w:rPr>
                <w:rFonts w:ascii="宋体"/>
                <w:sz w:val="21"/>
              </w:rPr>
              <w:t>12.3</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 w:right="0"/>
              <w:jc w:val="center"/>
              <w:rPr>
                <w:rFonts w:ascii="宋体" w:hAnsi="宋体" w:cs="宋体" w:eastAsia="宋体" w:hint="default"/>
                <w:sz w:val="21"/>
                <w:szCs w:val="21"/>
              </w:rPr>
            </w:pPr>
            <w:r>
              <w:rPr>
                <w:rFonts w:ascii="宋体"/>
                <w:sz w:val="21"/>
              </w:rPr>
              <w:t>27,604,015,917</w:t>
            </w:r>
          </w:p>
        </w:tc>
        <w:tc>
          <w:tcPr>
            <w:tcW w:w="9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441" w:right="0"/>
              <w:jc w:val="left"/>
              <w:rPr>
                <w:rFonts w:ascii="宋体" w:hAnsi="宋体" w:cs="宋体" w:eastAsia="宋体" w:hint="default"/>
                <w:sz w:val="21"/>
                <w:szCs w:val="21"/>
              </w:rPr>
            </w:pPr>
            <w:r>
              <w:rPr>
                <w:rFonts w:ascii="宋体"/>
                <w:sz w:val="21"/>
              </w:rPr>
              <w:t>12.9</w:t>
            </w:r>
          </w:p>
        </w:tc>
        <w:tc>
          <w:tcPr>
            <w:tcW w:w="13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823" w:right="0"/>
              <w:jc w:val="left"/>
              <w:rPr>
                <w:rFonts w:ascii="宋体" w:hAnsi="宋体" w:cs="宋体" w:eastAsia="宋体" w:hint="default"/>
                <w:sz w:val="21"/>
                <w:szCs w:val="21"/>
              </w:rPr>
            </w:pPr>
            <w:r>
              <w:rPr>
                <w:rFonts w:ascii="宋体"/>
                <w:sz w:val="21"/>
              </w:rPr>
              <w:t>-4.3</w:t>
            </w:r>
          </w:p>
        </w:tc>
        <w:tc>
          <w:tcPr>
            <w:tcW w:w="890" w:type="dxa"/>
            <w:vMerge/>
            <w:tcBorders>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20"/>
          <w:szCs w:val="20"/>
        </w:rPr>
      </w:pPr>
    </w:p>
    <w:p>
      <w:pPr>
        <w:spacing w:before="36"/>
        <w:ind w:left="818" w:right="1134" w:firstLine="0"/>
        <w:jc w:val="left"/>
        <w:rPr>
          <w:rFonts w:ascii="宋体" w:hAnsi="宋体" w:cs="宋体" w:eastAsia="宋体" w:hint="default"/>
          <w:sz w:val="21"/>
          <w:szCs w:val="21"/>
        </w:rPr>
      </w:pPr>
      <w:r>
        <w:rPr>
          <w:rFonts w:ascii="宋体" w:hAnsi="宋体" w:cs="宋体" w:eastAsia="宋体" w:hint="default"/>
          <w:sz w:val="21"/>
          <w:szCs w:val="21"/>
        </w:rPr>
        <w:t>成本分析其他情况说明</w:t>
      </w:r>
    </w:p>
    <w:p>
      <w:pPr>
        <w:spacing w:before="37"/>
        <w:ind w:left="818" w:right="1134" w:firstLine="0"/>
        <w:jc w:val="left"/>
        <w:rPr>
          <w:rFonts w:ascii="宋体" w:hAnsi="宋体" w:cs="宋体" w:eastAsia="宋体" w:hint="default"/>
          <w:sz w:val="21"/>
          <w:szCs w:val="21"/>
        </w:rPr>
      </w:pPr>
      <w:r>
        <w:rPr>
          <w:rFonts w:ascii="宋体" w:hAnsi="宋体" w:cs="宋体" w:eastAsia="宋体" w:hint="default"/>
          <w:spacing w:val="-2"/>
          <w:sz w:val="21"/>
          <w:szCs w:val="21"/>
        </w:rPr>
        <w:t>1.</w:t>
      </w:r>
      <w:r>
        <w:rPr>
          <w:rFonts w:ascii="宋体" w:hAnsi="宋体" w:cs="宋体" w:eastAsia="宋体" w:hint="default"/>
          <w:spacing w:val="-2"/>
          <w:sz w:val="21"/>
          <w:szCs w:val="21"/>
        </w:rPr>
        <w:t>网络运行及支撑成本：同比下降</w:t>
      </w:r>
      <w:r>
        <w:rPr>
          <w:rFonts w:ascii="宋体" w:hAnsi="宋体" w:cs="宋体" w:eastAsia="宋体" w:hint="default"/>
          <w:spacing w:val="16"/>
          <w:sz w:val="21"/>
          <w:szCs w:val="21"/>
        </w:rPr>
        <w:t> </w:t>
      </w:r>
      <w:r>
        <w:rPr>
          <w:rFonts w:ascii="宋体" w:hAnsi="宋体" w:cs="宋体" w:eastAsia="宋体" w:hint="default"/>
          <w:spacing w:val="-2"/>
          <w:sz w:val="21"/>
          <w:szCs w:val="21"/>
        </w:rPr>
        <w:t>21.5%</w:t>
      </w:r>
      <w:r>
        <w:rPr>
          <w:rFonts w:ascii="宋体" w:hAnsi="宋体" w:cs="宋体" w:eastAsia="宋体" w:hint="default"/>
          <w:spacing w:val="-2"/>
          <w:sz w:val="21"/>
          <w:szCs w:val="21"/>
        </w:rPr>
        <w:t>，主要是受执行新租赁准则的影响；</w:t>
      </w:r>
    </w:p>
    <w:p>
      <w:pPr>
        <w:spacing w:after="0"/>
        <w:jc w:val="left"/>
        <w:rPr>
          <w:rFonts w:ascii="宋体" w:hAnsi="宋体" w:cs="宋体" w:eastAsia="宋体" w:hint="default"/>
          <w:sz w:val="21"/>
          <w:szCs w:val="21"/>
        </w:rPr>
        <w:sectPr>
          <w:footerReference w:type="default" r:id="rId32"/>
          <w:pgSz w:w="11910" w:h="16840"/>
          <w:pgMar w:footer="502" w:header="854" w:top="1360" w:bottom="700" w:left="600" w:right="600"/>
        </w:sectPr>
      </w:pPr>
    </w:p>
    <w:p>
      <w:pPr>
        <w:spacing w:line="240" w:lineRule="auto" w:before="10"/>
        <w:rPr>
          <w:rFonts w:ascii="宋体" w:hAnsi="宋体" w:cs="宋体" w:eastAsia="宋体" w:hint="default"/>
          <w:sz w:val="8"/>
          <w:szCs w:val="8"/>
        </w:rPr>
      </w:pPr>
    </w:p>
    <w:p>
      <w:pPr>
        <w:spacing w:before="36"/>
        <w:ind w:left="218" w:right="120" w:firstLine="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网间结算成本：成本下降主要受网间话务量下滑影响；</w:t>
      </w:r>
    </w:p>
    <w:p>
      <w:pPr>
        <w:spacing w:before="37"/>
        <w:ind w:left="218" w:right="120" w:firstLine="0"/>
        <w:jc w:val="left"/>
        <w:rPr>
          <w:rFonts w:ascii="宋体" w:hAnsi="宋体" w:cs="宋体" w:eastAsia="宋体" w:hint="default"/>
          <w:sz w:val="21"/>
          <w:szCs w:val="21"/>
        </w:rPr>
      </w:pPr>
      <w:r>
        <w:rPr>
          <w:rFonts w:ascii="宋体" w:hAnsi="宋体" w:cs="宋体" w:eastAsia="宋体" w:hint="default"/>
          <w:spacing w:val="-2"/>
          <w:sz w:val="21"/>
          <w:szCs w:val="21"/>
        </w:rPr>
        <w:t>3.</w:t>
      </w:r>
      <w:r>
        <w:rPr>
          <w:rFonts w:ascii="宋体" w:hAnsi="宋体" w:cs="宋体" w:eastAsia="宋体" w:hint="default"/>
          <w:spacing w:val="-2"/>
          <w:sz w:val="21"/>
          <w:szCs w:val="21"/>
        </w:rPr>
        <w:t>人工成本：同比增长</w:t>
      </w:r>
      <w:r>
        <w:rPr>
          <w:rFonts w:ascii="宋体" w:hAnsi="宋体" w:cs="宋体" w:eastAsia="宋体" w:hint="default"/>
          <w:spacing w:val="24"/>
          <w:sz w:val="21"/>
          <w:szCs w:val="21"/>
        </w:rPr>
        <w:t> </w:t>
      </w:r>
      <w:r>
        <w:rPr>
          <w:rFonts w:ascii="宋体" w:hAnsi="宋体" w:cs="宋体" w:eastAsia="宋体" w:hint="default"/>
          <w:spacing w:val="-2"/>
          <w:sz w:val="21"/>
          <w:szCs w:val="21"/>
        </w:rPr>
        <w:t>3.3%</w:t>
      </w:r>
      <w:r>
        <w:rPr>
          <w:rFonts w:ascii="宋体" w:hAnsi="宋体" w:cs="宋体" w:eastAsia="宋体" w:hint="default"/>
          <w:spacing w:val="-2"/>
          <w:sz w:val="21"/>
          <w:szCs w:val="21"/>
        </w:rPr>
        <w:t>，主要由于公司强化激励与绩效挂钩，同时加大引入创新人才；</w:t>
      </w:r>
    </w:p>
    <w:p>
      <w:pPr>
        <w:spacing w:before="37"/>
        <w:ind w:left="218" w:right="120" w:firstLine="0"/>
        <w:jc w:val="left"/>
        <w:rPr>
          <w:rFonts w:ascii="宋体" w:hAnsi="宋体" w:cs="宋体" w:eastAsia="宋体" w:hint="default"/>
          <w:sz w:val="21"/>
          <w:szCs w:val="21"/>
        </w:rPr>
      </w:pPr>
      <w:r>
        <w:rPr>
          <w:rFonts w:ascii="宋体" w:hAnsi="宋体" w:cs="宋体" w:eastAsia="宋体" w:hint="default"/>
          <w:spacing w:val="-2"/>
          <w:sz w:val="21"/>
          <w:szCs w:val="21"/>
        </w:rPr>
        <w:t>4.</w:t>
      </w:r>
      <w:r>
        <w:rPr>
          <w:rFonts w:ascii="宋体" w:hAnsi="宋体" w:cs="宋体" w:eastAsia="宋体" w:hint="default"/>
          <w:spacing w:val="-2"/>
          <w:sz w:val="21"/>
          <w:szCs w:val="21"/>
        </w:rPr>
        <w:t>折旧及摊销：同比增长</w:t>
      </w:r>
      <w:r>
        <w:rPr>
          <w:rFonts w:ascii="宋体" w:hAnsi="宋体" w:cs="宋体" w:eastAsia="宋体" w:hint="default"/>
          <w:spacing w:val="8"/>
          <w:sz w:val="21"/>
          <w:szCs w:val="21"/>
        </w:rPr>
        <w:t> </w:t>
      </w:r>
      <w:r>
        <w:rPr>
          <w:rFonts w:ascii="宋体" w:hAnsi="宋体" w:cs="宋体" w:eastAsia="宋体" w:hint="default"/>
          <w:spacing w:val="-2"/>
          <w:sz w:val="21"/>
          <w:szCs w:val="21"/>
        </w:rPr>
        <w:t>10.5%</w:t>
      </w:r>
      <w:r>
        <w:rPr>
          <w:rFonts w:ascii="宋体" w:hAnsi="宋体" w:cs="宋体" w:eastAsia="宋体" w:hint="default"/>
          <w:spacing w:val="-2"/>
          <w:sz w:val="21"/>
          <w:szCs w:val="21"/>
        </w:rPr>
        <w:t>，主要是受执行新租赁准则的影响；</w:t>
      </w:r>
    </w:p>
    <w:p>
      <w:pPr>
        <w:spacing w:before="37"/>
        <w:ind w:left="218" w:right="120" w:firstLine="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z w:val="21"/>
          <w:szCs w:val="21"/>
        </w:rPr>
        <w:t>销售通信产品成本：公司销售通信产品成本发生人民币</w:t>
      </w:r>
      <w:r>
        <w:rPr>
          <w:rFonts w:ascii="宋体" w:hAnsi="宋体" w:cs="宋体" w:eastAsia="宋体" w:hint="default"/>
          <w:spacing w:val="-47"/>
          <w:sz w:val="21"/>
          <w:szCs w:val="21"/>
        </w:rPr>
        <w:t> </w:t>
      </w:r>
      <w:r>
        <w:rPr>
          <w:rFonts w:ascii="宋体" w:hAnsi="宋体" w:cs="宋体" w:eastAsia="宋体" w:hint="default"/>
          <w:sz w:val="21"/>
          <w:szCs w:val="21"/>
        </w:rPr>
        <w:t>264.1</w:t>
      </w:r>
      <w:r>
        <w:rPr>
          <w:rFonts w:ascii="宋体" w:hAnsi="宋体" w:cs="宋体" w:eastAsia="宋体" w:hint="default"/>
          <w:spacing w:val="-47"/>
          <w:sz w:val="21"/>
          <w:szCs w:val="21"/>
        </w:rPr>
        <w:t> </w:t>
      </w:r>
      <w:r>
        <w:rPr>
          <w:rFonts w:ascii="宋体" w:hAnsi="宋体" w:cs="宋体" w:eastAsia="宋体" w:hint="default"/>
          <w:spacing w:val="-3"/>
          <w:sz w:val="21"/>
          <w:szCs w:val="21"/>
        </w:rPr>
        <w:t>亿元，同期销售通信产品收入为人民</w:t>
      </w:r>
    </w:p>
    <w:p>
      <w:pPr>
        <w:spacing w:line="273" w:lineRule="auto" w:before="37"/>
        <w:ind w:left="218" w:right="120" w:firstLine="0"/>
        <w:jc w:val="left"/>
        <w:rPr>
          <w:rFonts w:ascii="宋体" w:hAnsi="宋体" w:cs="宋体" w:eastAsia="宋体" w:hint="default"/>
          <w:sz w:val="21"/>
          <w:szCs w:val="21"/>
        </w:rPr>
      </w:pPr>
      <w:r>
        <w:rPr>
          <w:rFonts w:ascii="宋体" w:hAnsi="宋体" w:cs="宋体" w:eastAsia="宋体" w:hint="default"/>
          <w:sz w:val="21"/>
          <w:szCs w:val="21"/>
        </w:rPr>
        <w:t>币</w:t>
      </w:r>
      <w:r>
        <w:rPr>
          <w:rFonts w:ascii="宋体" w:hAnsi="宋体" w:cs="宋体" w:eastAsia="宋体" w:hint="default"/>
          <w:spacing w:val="-49"/>
          <w:sz w:val="21"/>
          <w:szCs w:val="21"/>
        </w:rPr>
        <w:t> </w:t>
      </w:r>
      <w:r>
        <w:rPr>
          <w:rFonts w:ascii="宋体" w:hAnsi="宋体" w:cs="宋体" w:eastAsia="宋体" w:hint="default"/>
          <w:sz w:val="21"/>
          <w:szCs w:val="21"/>
        </w:rPr>
        <w:t>261.3</w:t>
      </w:r>
      <w:r>
        <w:rPr>
          <w:rFonts w:ascii="宋体" w:hAnsi="宋体" w:cs="宋体" w:eastAsia="宋体" w:hint="default"/>
          <w:spacing w:val="-49"/>
          <w:sz w:val="21"/>
          <w:szCs w:val="21"/>
        </w:rPr>
        <w:t> </w:t>
      </w:r>
      <w:r>
        <w:rPr>
          <w:rFonts w:ascii="宋体" w:hAnsi="宋体" w:cs="宋体" w:eastAsia="宋体" w:hint="default"/>
          <w:spacing w:val="-3"/>
          <w:sz w:val="21"/>
          <w:szCs w:val="21"/>
        </w:rPr>
        <w:t>亿元，销售通信产品亏损为人民币</w:t>
      </w:r>
      <w:r>
        <w:rPr>
          <w:rFonts w:ascii="宋体" w:hAnsi="宋体" w:cs="宋体" w:eastAsia="宋体" w:hint="default"/>
          <w:spacing w:val="-49"/>
          <w:sz w:val="21"/>
          <w:szCs w:val="21"/>
        </w:rPr>
        <w:t> </w:t>
      </w:r>
      <w:r>
        <w:rPr>
          <w:rFonts w:ascii="宋体" w:hAnsi="宋体" w:cs="宋体" w:eastAsia="宋体" w:hint="default"/>
          <w:sz w:val="21"/>
          <w:szCs w:val="21"/>
        </w:rPr>
        <w:t>2.8</w:t>
      </w:r>
      <w:r>
        <w:rPr>
          <w:rFonts w:ascii="宋体" w:hAnsi="宋体" w:cs="宋体" w:eastAsia="宋体" w:hint="default"/>
          <w:spacing w:val="-49"/>
          <w:sz w:val="21"/>
          <w:szCs w:val="21"/>
        </w:rPr>
        <w:t> </w:t>
      </w:r>
      <w:r>
        <w:rPr>
          <w:rFonts w:ascii="宋体" w:hAnsi="宋体" w:cs="宋体" w:eastAsia="宋体" w:hint="default"/>
          <w:sz w:val="21"/>
          <w:szCs w:val="21"/>
        </w:rPr>
        <w:t>亿元，其中包括终端补贴人民币</w:t>
      </w:r>
      <w:r>
        <w:rPr>
          <w:rFonts w:ascii="宋体" w:hAnsi="宋体" w:cs="宋体" w:eastAsia="宋体" w:hint="default"/>
          <w:spacing w:val="-48"/>
          <w:sz w:val="21"/>
          <w:szCs w:val="21"/>
        </w:rPr>
        <w:t> </w:t>
      </w:r>
      <w:r>
        <w:rPr>
          <w:rFonts w:ascii="宋体" w:hAnsi="宋体" w:cs="宋体" w:eastAsia="宋体" w:hint="default"/>
          <w:sz w:val="21"/>
          <w:szCs w:val="21"/>
        </w:rPr>
        <w:t>7.9</w:t>
      </w:r>
      <w:r>
        <w:rPr>
          <w:rFonts w:ascii="宋体" w:hAnsi="宋体" w:cs="宋体" w:eastAsia="宋体" w:hint="default"/>
          <w:spacing w:val="-49"/>
          <w:sz w:val="21"/>
          <w:szCs w:val="21"/>
        </w:rPr>
        <w:t> </w:t>
      </w:r>
      <w:r>
        <w:rPr>
          <w:rFonts w:ascii="宋体" w:hAnsi="宋体" w:cs="宋体" w:eastAsia="宋体" w:hint="default"/>
          <w:spacing w:val="-3"/>
          <w:sz w:val="21"/>
          <w:szCs w:val="21"/>
        </w:rPr>
        <w:t>亿元，终端补贴</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较上年下降</w:t>
      </w:r>
      <w:r>
        <w:rPr>
          <w:rFonts w:ascii="宋体" w:hAnsi="宋体" w:cs="宋体" w:eastAsia="宋体" w:hint="default"/>
          <w:spacing w:val="-56"/>
          <w:sz w:val="21"/>
          <w:szCs w:val="21"/>
        </w:rPr>
        <w:t> </w:t>
      </w:r>
      <w:r>
        <w:rPr>
          <w:rFonts w:ascii="宋体" w:hAnsi="宋体" w:cs="宋体" w:eastAsia="宋体" w:hint="default"/>
          <w:sz w:val="21"/>
          <w:szCs w:val="21"/>
        </w:rPr>
        <w:t>17.0%</w:t>
      </w:r>
      <w:r>
        <w:rPr>
          <w:rFonts w:ascii="宋体" w:hAnsi="宋体" w:cs="宋体" w:eastAsia="宋体" w:hint="default"/>
          <w:sz w:val="21"/>
          <w:szCs w:val="21"/>
        </w:rPr>
        <w:t>，主要得益于公司全面推动商业模式转型。</w:t>
      </w:r>
    </w:p>
    <w:p>
      <w:pPr>
        <w:spacing w:line="240" w:lineRule="auto" w:before="12"/>
        <w:rPr>
          <w:rFonts w:ascii="宋体" w:hAnsi="宋体" w:cs="宋体" w:eastAsia="宋体" w:hint="default"/>
          <w:sz w:val="23"/>
          <w:szCs w:val="23"/>
        </w:rPr>
      </w:pPr>
    </w:p>
    <w:p>
      <w:pPr>
        <w:spacing w:before="0"/>
        <w:ind w:left="218" w:right="12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05"/>
          <w:sz w:val="21"/>
          <w:szCs w:val="21"/>
        </w:rPr>
        <w:t>(4).</w:t>
      </w:r>
      <w:r>
        <w:rPr>
          <w:rFonts w:ascii="Arial" w:hAnsi="Arial" w:cs="Arial" w:eastAsia="Arial" w:hint="default"/>
          <w:b/>
          <w:bCs/>
          <w:spacing w:val="37"/>
          <w:w w:val="105"/>
          <w:sz w:val="21"/>
          <w:szCs w:val="21"/>
        </w:rPr>
        <w:t> </w:t>
      </w:r>
      <w:r>
        <w:rPr>
          <w:rFonts w:ascii="Microsoft JhengHei" w:hAnsi="Microsoft JhengHei" w:cs="Microsoft JhengHei" w:eastAsia="Microsoft JhengHei" w:hint="default"/>
          <w:b/>
          <w:bCs/>
          <w:w w:val="105"/>
          <w:sz w:val="21"/>
          <w:szCs w:val="21"/>
        </w:rPr>
        <w:t>主要销售客户及主要供应商情况</w:t>
      </w:r>
      <w:r>
        <w:rPr>
          <w:rFonts w:ascii="Microsoft JhengHei" w:hAnsi="Microsoft JhengHei" w:cs="Microsoft JhengHei" w:eastAsia="Microsoft JhengHei" w:hint="default"/>
          <w:w w:val="105"/>
          <w:sz w:val="21"/>
          <w:szCs w:val="21"/>
        </w:rPr>
      </w:r>
    </w:p>
    <w:p>
      <w:pPr>
        <w:spacing w:before="73"/>
        <w:ind w:left="218" w:right="120" w:firstLine="0"/>
        <w:jc w:val="left"/>
        <w:rPr>
          <w:rFonts w:ascii="宋体" w:hAnsi="宋体" w:cs="宋体" w:eastAsia="宋体" w:hint="default"/>
          <w:sz w:val="21"/>
          <w:szCs w:val="21"/>
        </w:rPr>
      </w:pPr>
      <w:r>
        <w:rPr>
          <w:rFonts w:ascii="宋体" w:hAnsi="宋体" w:cs="宋体" w:eastAsia="宋体" w:hint="default"/>
          <w:sz w:val="21"/>
          <w:szCs w:val="21"/>
        </w:rPr>
        <w:t>前五名客户销售额</w:t>
      </w:r>
      <w:r>
        <w:rPr>
          <w:rFonts w:ascii="宋体" w:hAnsi="宋体" w:cs="宋体" w:eastAsia="宋体" w:hint="default"/>
          <w:spacing w:val="-55"/>
          <w:sz w:val="21"/>
          <w:szCs w:val="21"/>
        </w:rPr>
        <w:t> </w:t>
      </w:r>
      <w:r>
        <w:rPr>
          <w:rFonts w:ascii="宋体" w:hAnsi="宋体" w:cs="宋体" w:eastAsia="宋体" w:hint="default"/>
          <w:sz w:val="21"/>
          <w:szCs w:val="21"/>
        </w:rPr>
        <w:t>83.42</w:t>
      </w:r>
      <w:r>
        <w:rPr>
          <w:rFonts w:ascii="宋体" w:hAnsi="宋体" w:cs="宋体" w:eastAsia="宋体" w:hint="default"/>
          <w:spacing w:val="-57"/>
          <w:sz w:val="21"/>
          <w:szCs w:val="21"/>
        </w:rPr>
        <w:t> </w:t>
      </w:r>
      <w:r>
        <w:rPr>
          <w:rFonts w:ascii="宋体" w:hAnsi="宋体" w:cs="宋体" w:eastAsia="宋体" w:hint="default"/>
          <w:sz w:val="21"/>
          <w:szCs w:val="21"/>
        </w:rPr>
        <w:t>亿元，占年度销售总额</w:t>
      </w:r>
      <w:r>
        <w:rPr>
          <w:rFonts w:ascii="宋体" w:hAnsi="宋体" w:cs="宋体" w:eastAsia="宋体" w:hint="default"/>
          <w:spacing w:val="-55"/>
          <w:sz w:val="21"/>
          <w:szCs w:val="21"/>
        </w:rPr>
        <w:t> </w:t>
      </w:r>
      <w:r>
        <w:rPr>
          <w:rFonts w:ascii="宋体" w:hAnsi="宋体" w:cs="宋体" w:eastAsia="宋体" w:hint="default"/>
          <w:sz w:val="21"/>
          <w:szCs w:val="21"/>
        </w:rPr>
        <w:t>2.9%</w:t>
      </w:r>
      <w:r>
        <w:rPr>
          <w:rFonts w:ascii="宋体" w:hAnsi="宋体" w:cs="宋体" w:eastAsia="宋体" w:hint="default"/>
          <w:sz w:val="21"/>
          <w:szCs w:val="21"/>
        </w:rPr>
        <w:t>；其中前五名客户销售额中关联方销售额</w:t>
      </w:r>
      <w:r>
        <w:rPr>
          <w:rFonts w:ascii="宋体" w:hAnsi="宋体" w:cs="宋体" w:eastAsia="宋体" w:hint="default"/>
          <w:spacing w:val="-55"/>
          <w:sz w:val="21"/>
          <w:szCs w:val="21"/>
        </w:rPr>
        <w:t> </w:t>
      </w:r>
      <w:r>
        <w:rPr>
          <w:rFonts w:ascii="宋体" w:hAnsi="宋体" w:cs="宋体" w:eastAsia="宋体" w:hint="default"/>
          <w:sz w:val="21"/>
          <w:szCs w:val="21"/>
        </w:rPr>
        <w:t>27.5</w:t>
      </w:r>
    </w:p>
    <w:p>
      <w:pPr>
        <w:spacing w:before="37"/>
        <w:ind w:left="218" w:right="120" w:firstLine="0"/>
        <w:jc w:val="left"/>
        <w:rPr>
          <w:rFonts w:ascii="宋体" w:hAnsi="宋体" w:cs="宋体" w:eastAsia="宋体" w:hint="default"/>
          <w:sz w:val="21"/>
          <w:szCs w:val="21"/>
        </w:rPr>
      </w:pPr>
      <w:r>
        <w:rPr>
          <w:rFonts w:ascii="宋体" w:hAnsi="宋体" w:cs="宋体" w:eastAsia="宋体" w:hint="default"/>
          <w:sz w:val="21"/>
          <w:szCs w:val="21"/>
        </w:rPr>
        <w:t>亿元，占年度销售总额 </w:t>
      </w:r>
      <w:r>
        <w:rPr>
          <w:rFonts w:ascii="宋体" w:hAnsi="宋体" w:cs="宋体" w:eastAsia="宋体" w:hint="default"/>
          <w:sz w:val="21"/>
          <w:szCs w:val="21"/>
        </w:rPr>
        <w:t>1.0</w:t>
      </w:r>
      <w:r>
        <w:rPr>
          <w:rFonts w:ascii="宋体" w:hAnsi="宋体" w:cs="宋体" w:eastAsia="宋体" w:hint="default"/>
          <w:spacing w:val="-55"/>
          <w:sz w:val="21"/>
          <w:szCs w:val="21"/>
        </w:rPr>
        <w:t> </w:t>
      </w:r>
      <w:r>
        <w:rPr>
          <w:rFonts w:ascii="宋体" w:hAnsi="宋体" w:cs="宋体" w:eastAsia="宋体" w:hint="default"/>
          <w:sz w:val="21"/>
          <w:szCs w:val="21"/>
        </w:rPr>
        <w:t>%</w:t>
      </w:r>
      <w:r>
        <w:rPr>
          <w:rFonts w:ascii="宋体" w:hAnsi="宋体" w:cs="宋体" w:eastAsia="宋体" w:hint="default"/>
          <w:sz w:val="21"/>
          <w:szCs w:val="21"/>
        </w:rPr>
        <w:t>。</w:t>
      </w:r>
    </w:p>
    <w:p>
      <w:pPr>
        <w:spacing w:line="240" w:lineRule="auto" w:before="10"/>
        <w:rPr>
          <w:rFonts w:ascii="宋体" w:hAnsi="宋体" w:cs="宋体" w:eastAsia="宋体" w:hint="default"/>
          <w:sz w:val="26"/>
          <w:szCs w:val="26"/>
        </w:rPr>
      </w:pPr>
    </w:p>
    <w:p>
      <w:pPr>
        <w:spacing w:line="273" w:lineRule="auto" w:before="0"/>
        <w:ind w:left="218" w:right="120" w:firstLine="0"/>
        <w:jc w:val="left"/>
        <w:rPr>
          <w:rFonts w:ascii="宋体" w:hAnsi="宋体" w:cs="宋体" w:eastAsia="宋体" w:hint="default"/>
          <w:sz w:val="21"/>
          <w:szCs w:val="21"/>
        </w:rPr>
      </w:pPr>
      <w:r>
        <w:rPr>
          <w:rFonts w:ascii="宋体" w:hAnsi="宋体" w:cs="宋体" w:eastAsia="宋体" w:hint="default"/>
          <w:sz w:val="21"/>
          <w:szCs w:val="21"/>
        </w:rPr>
        <w:t>前五名供应商采购额</w:t>
      </w:r>
      <w:r>
        <w:rPr>
          <w:rFonts w:ascii="宋体" w:hAnsi="宋体" w:cs="宋体" w:eastAsia="宋体" w:hint="default"/>
          <w:spacing w:val="-40"/>
          <w:sz w:val="21"/>
          <w:szCs w:val="21"/>
        </w:rPr>
        <w:t> </w:t>
      </w:r>
      <w:r>
        <w:rPr>
          <w:rFonts w:ascii="宋体" w:hAnsi="宋体" w:cs="宋体" w:eastAsia="宋体" w:hint="default"/>
          <w:sz w:val="21"/>
          <w:szCs w:val="21"/>
        </w:rPr>
        <w:t>568.07</w:t>
      </w:r>
      <w:r>
        <w:rPr>
          <w:rFonts w:ascii="宋体" w:hAnsi="宋体" w:cs="宋体" w:eastAsia="宋体" w:hint="default"/>
          <w:spacing w:val="-39"/>
          <w:sz w:val="21"/>
          <w:szCs w:val="21"/>
        </w:rPr>
        <w:t> </w:t>
      </w:r>
      <w:r>
        <w:rPr>
          <w:rFonts w:ascii="宋体" w:hAnsi="宋体" w:cs="宋体" w:eastAsia="宋体" w:hint="default"/>
          <w:spacing w:val="-6"/>
          <w:sz w:val="21"/>
          <w:szCs w:val="21"/>
        </w:rPr>
        <w:t>亿元，占年度采购总额</w:t>
      </w:r>
      <w:r>
        <w:rPr>
          <w:rFonts w:ascii="宋体" w:hAnsi="宋体" w:cs="宋体" w:eastAsia="宋体" w:hint="default"/>
          <w:spacing w:val="-43"/>
          <w:sz w:val="21"/>
          <w:szCs w:val="21"/>
        </w:rPr>
        <w:t> </w:t>
      </w:r>
      <w:r>
        <w:rPr>
          <w:rFonts w:ascii="宋体" w:hAnsi="宋体" w:cs="宋体" w:eastAsia="宋体" w:hint="default"/>
          <w:spacing w:val="-3"/>
          <w:sz w:val="21"/>
          <w:szCs w:val="21"/>
        </w:rPr>
        <w:t>66.5%</w:t>
      </w:r>
      <w:r>
        <w:rPr>
          <w:rFonts w:ascii="宋体" w:hAnsi="宋体" w:cs="宋体" w:eastAsia="宋体" w:hint="default"/>
          <w:spacing w:val="-3"/>
          <w:sz w:val="21"/>
          <w:szCs w:val="21"/>
        </w:rPr>
        <w:t>；其中前五名供应商采购额中关联方采购额</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108.36</w:t>
      </w:r>
      <w:r>
        <w:rPr>
          <w:rFonts w:ascii="宋体" w:hAnsi="宋体" w:cs="宋体" w:eastAsia="宋体" w:hint="default"/>
          <w:spacing w:val="-56"/>
          <w:sz w:val="21"/>
          <w:szCs w:val="21"/>
        </w:rPr>
        <w:t> </w:t>
      </w:r>
      <w:r>
        <w:rPr>
          <w:rFonts w:ascii="宋体" w:hAnsi="宋体" w:cs="宋体" w:eastAsia="宋体" w:hint="default"/>
          <w:sz w:val="21"/>
          <w:szCs w:val="21"/>
        </w:rPr>
        <w:t>亿元，占年度采购总额</w:t>
      </w:r>
      <w:r>
        <w:rPr>
          <w:rFonts w:ascii="宋体" w:hAnsi="宋体" w:cs="宋体" w:eastAsia="宋体" w:hint="default"/>
          <w:spacing w:val="-55"/>
          <w:sz w:val="21"/>
          <w:szCs w:val="21"/>
        </w:rPr>
        <w:t> </w:t>
      </w:r>
      <w:r>
        <w:rPr>
          <w:rFonts w:ascii="宋体" w:hAnsi="宋体" w:cs="宋体" w:eastAsia="宋体" w:hint="default"/>
          <w:sz w:val="21"/>
          <w:szCs w:val="21"/>
        </w:rPr>
        <w:t>12.7%</w:t>
      </w:r>
      <w:r>
        <w:rPr>
          <w:rFonts w:ascii="宋体" w:hAnsi="宋体" w:cs="宋体" w:eastAsia="宋体" w:hint="default"/>
          <w:sz w:val="21"/>
          <w:szCs w:val="21"/>
        </w:rPr>
        <w:t>。</w:t>
      </w:r>
    </w:p>
    <w:p>
      <w:pPr>
        <w:spacing w:line="240" w:lineRule="auto" w:before="12"/>
        <w:rPr>
          <w:rFonts w:ascii="宋体" w:hAnsi="宋体" w:cs="宋体" w:eastAsia="宋体" w:hint="default"/>
          <w:sz w:val="23"/>
          <w:szCs w:val="23"/>
        </w:rPr>
      </w:pPr>
    </w:p>
    <w:p>
      <w:pPr>
        <w:tabs>
          <w:tab w:pos="638" w:val="left" w:leader="none"/>
        </w:tabs>
        <w:spacing w:before="0"/>
        <w:ind w:left="218" w:right="12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0"/>
          <w:sz w:val="21"/>
          <w:szCs w:val="21"/>
        </w:rPr>
        <w:t>3.</w:t>
        <w:tab/>
      </w:r>
      <w:r>
        <w:rPr>
          <w:rFonts w:ascii="Microsoft JhengHei" w:hAnsi="Microsoft JhengHei" w:cs="Microsoft JhengHei" w:eastAsia="Microsoft JhengHei" w:hint="default"/>
          <w:b/>
          <w:bCs/>
          <w:w w:val="110"/>
          <w:sz w:val="21"/>
          <w:szCs w:val="21"/>
        </w:rPr>
        <w:t>费用</w:t>
      </w:r>
      <w:r>
        <w:rPr>
          <w:rFonts w:ascii="Microsoft JhengHei" w:hAnsi="Microsoft JhengHei" w:cs="Microsoft JhengHei" w:eastAsia="Microsoft JhengHei" w:hint="default"/>
          <w:w w:val="110"/>
          <w:sz w:val="21"/>
          <w:szCs w:val="21"/>
        </w:rPr>
      </w:r>
    </w:p>
    <w:p>
      <w:pPr>
        <w:spacing w:line="240" w:lineRule="auto" w:before="17"/>
        <w:rPr>
          <w:rFonts w:ascii="Microsoft JhengHei" w:hAnsi="Microsoft JhengHei" w:cs="Microsoft JhengHei" w:eastAsia="Microsoft JhengHei" w:hint="default"/>
          <w:b/>
          <w:bCs/>
          <w:sz w:val="4"/>
          <w:szCs w:val="4"/>
        </w:rPr>
      </w:pPr>
    </w:p>
    <w:tbl>
      <w:tblPr>
        <w:tblW w:w="0" w:type="auto"/>
        <w:jc w:val="left"/>
        <w:tblInd w:w="295" w:type="dxa"/>
        <w:tblLayout w:type="fixed"/>
        <w:tblCellMar>
          <w:top w:w="0" w:type="dxa"/>
          <w:left w:w="0" w:type="dxa"/>
          <w:bottom w:w="0" w:type="dxa"/>
          <w:right w:w="0" w:type="dxa"/>
        </w:tblCellMar>
        <w:tblLook w:val="01E0"/>
      </w:tblPr>
      <w:tblGrid>
        <w:gridCol w:w="2264"/>
        <w:gridCol w:w="2261"/>
        <w:gridCol w:w="2264"/>
        <w:gridCol w:w="2264"/>
      </w:tblGrid>
      <w:tr>
        <w:trPr>
          <w:trHeight w:val="323" w:hRule="exact"/>
        </w:trPr>
        <w:tc>
          <w:tcPr>
            <w:tcW w:w="22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left="1" w:right="0"/>
              <w:jc w:val="center"/>
              <w:rPr>
                <w:rFonts w:ascii="宋体" w:hAnsi="宋体" w:cs="宋体" w:eastAsia="宋体" w:hint="default"/>
                <w:sz w:val="21"/>
                <w:szCs w:val="21"/>
              </w:rPr>
            </w:pPr>
            <w:r>
              <w:rPr>
                <w:rFonts w:ascii="宋体" w:hAnsi="宋体" w:cs="宋体" w:eastAsia="宋体" w:hint="default"/>
                <w:sz w:val="21"/>
                <w:szCs w:val="21"/>
              </w:rPr>
              <w:t>科目</w:t>
            </w:r>
          </w:p>
        </w:tc>
        <w:tc>
          <w:tcPr>
            <w:tcW w:w="22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本期数</w:t>
            </w:r>
          </w:p>
        </w:tc>
        <w:tc>
          <w:tcPr>
            <w:tcW w:w="22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上年同期数</w:t>
            </w:r>
          </w:p>
        </w:tc>
        <w:tc>
          <w:tcPr>
            <w:tcW w:w="22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变动比例（％）</w:t>
            </w:r>
          </w:p>
        </w:tc>
      </w:tr>
      <w:tr>
        <w:trPr>
          <w:trHeight w:val="32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销售费用</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33,544,986,730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35,169,715,460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
              <w:jc w:val="center"/>
              <w:rPr>
                <w:rFonts w:ascii="宋体" w:hAnsi="宋体" w:cs="宋体" w:eastAsia="宋体" w:hint="default"/>
                <w:sz w:val="21"/>
                <w:szCs w:val="21"/>
              </w:rPr>
            </w:pPr>
            <w:r>
              <w:rPr>
                <w:rFonts w:ascii="宋体"/>
                <w:sz w:val="21"/>
              </w:rPr>
              <w:t>-4.6</w:t>
            </w:r>
          </w:p>
        </w:tc>
      </w:tr>
      <w:tr>
        <w:trPr>
          <w:trHeight w:val="32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管理费用</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22,977,013,828</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22,925,119,665</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
              <w:jc w:val="center"/>
              <w:rPr>
                <w:rFonts w:ascii="宋体" w:hAnsi="宋体" w:cs="宋体" w:eastAsia="宋体" w:hint="default"/>
                <w:sz w:val="21"/>
                <w:szCs w:val="21"/>
              </w:rPr>
            </w:pPr>
            <w:r>
              <w:rPr>
                <w:rFonts w:ascii="宋体"/>
                <w:sz w:val="21"/>
              </w:rPr>
              <w:t>0.2</w:t>
            </w:r>
          </w:p>
        </w:tc>
      </w:tr>
      <w:tr>
        <w:trPr>
          <w:trHeight w:val="32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研发费用</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1,708,969,828</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872,225,770</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
              <w:jc w:val="center"/>
              <w:rPr>
                <w:rFonts w:ascii="宋体" w:hAnsi="宋体" w:cs="宋体" w:eastAsia="宋体" w:hint="default"/>
                <w:sz w:val="21"/>
                <w:szCs w:val="21"/>
              </w:rPr>
            </w:pPr>
            <w:r>
              <w:rPr>
                <w:rFonts w:ascii="宋体"/>
                <w:sz w:val="21"/>
              </w:rPr>
              <w:t>95.9</w:t>
            </w:r>
          </w:p>
        </w:tc>
      </w:tr>
      <w:tr>
        <w:trPr>
          <w:trHeight w:val="32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财务费用</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717,430,307</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-137,779,791</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
              <w:jc w:val="center"/>
              <w:rPr>
                <w:rFonts w:ascii="宋体" w:hAnsi="宋体" w:cs="宋体" w:eastAsia="宋体" w:hint="default"/>
                <w:sz w:val="21"/>
                <w:szCs w:val="21"/>
              </w:rPr>
            </w:pPr>
            <w:r>
              <w:rPr>
                <w:rFonts w:ascii="宋体"/>
                <w:sz w:val="21"/>
              </w:rPr>
              <w:t>620.7</w:t>
            </w:r>
          </w:p>
        </w:tc>
      </w:tr>
    </w:tbl>
    <w:p>
      <w:pPr>
        <w:spacing w:line="240" w:lineRule="auto" w:before="10"/>
        <w:rPr>
          <w:rFonts w:ascii="Microsoft JhengHei" w:hAnsi="Microsoft JhengHei" w:cs="Microsoft JhengHei" w:eastAsia="Microsoft JhengHei" w:hint="default"/>
          <w:b/>
          <w:bCs/>
          <w:sz w:val="18"/>
          <w:szCs w:val="18"/>
        </w:rPr>
      </w:pPr>
    </w:p>
    <w:p>
      <w:pPr>
        <w:spacing w:after="0" w:line="240" w:lineRule="auto"/>
        <w:rPr>
          <w:rFonts w:ascii="Microsoft JhengHei" w:hAnsi="Microsoft JhengHei" w:cs="Microsoft JhengHei" w:eastAsia="Microsoft JhengHei" w:hint="default"/>
          <w:sz w:val="18"/>
          <w:szCs w:val="18"/>
        </w:rPr>
        <w:sectPr>
          <w:footerReference w:type="default" r:id="rId33"/>
          <w:pgSz w:w="11910" w:h="16840"/>
          <w:pgMar w:footer="502" w:header="854" w:top="1360" w:bottom="700" w:left="1200" w:right="1040"/>
        </w:sectPr>
      </w:pPr>
    </w:p>
    <w:p>
      <w:pPr>
        <w:tabs>
          <w:tab w:pos="638" w:val="left" w:leader="none"/>
        </w:tabs>
        <w:spacing w:line="335" w:lineRule="exact" w:before="0"/>
        <w:ind w:left="218" w:right="-17"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0"/>
          <w:sz w:val="21"/>
          <w:szCs w:val="21"/>
        </w:rPr>
        <w:t>4.</w:t>
        <w:tab/>
      </w:r>
      <w:r>
        <w:rPr>
          <w:rFonts w:ascii="Microsoft JhengHei" w:hAnsi="Microsoft JhengHei" w:cs="Microsoft JhengHei" w:eastAsia="Microsoft JhengHei" w:hint="default"/>
          <w:b/>
          <w:bCs/>
          <w:w w:val="110"/>
          <w:sz w:val="21"/>
          <w:szCs w:val="21"/>
        </w:rPr>
        <w:t>研发投入</w:t>
      </w:r>
      <w:r>
        <w:rPr>
          <w:rFonts w:ascii="Microsoft JhengHei" w:hAnsi="Microsoft JhengHei" w:cs="Microsoft JhengHei" w:eastAsia="Microsoft JhengHei" w:hint="default"/>
          <w:w w:val="110"/>
          <w:sz w:val="21"/>
          <w:szCs w:val="21"/>
        </w:rPr>
      </w:r>
    </w:p>
    <w:p>
      <w:pPr>
        <w:spacing w:before="6"/>
        <w:ind w:left="218" w:right="-17"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0"/>
          <w:sz w:val="21"/>
          <w:szCs w:val="21"/>
        </w:rPr>
        <w:t>(1).</w:t>
      </w:r>
      <w:r>
        <w:rPr>
          <w:rFonts w:ascii="Arial" w:hAnsi="Arial" w:cs="Arial" w:eastAsia="Arial" w:hint="default"/>
          <w:b/>
          <w:bCs/>
          <w:spacing w:val="-24"/>
          <w:w w:val="110"/>
          <w:sz w:val="21"/>
          <w:szCs w:val="21"/>
        </w:rPr>
        <w:t> </w:t>
      </w:r>
      <w:r>
        <w:rPr>
          <w:rFonts w:ascii="Microsoft JhengHei" w:hAnsi="Microsoft JhengHei" w:cs="Microsoft JhengHei" w:eastAsia="Microsoft JhengHei" w:hint="default"/>
          <w:b/>
          <w:bCs/>
          <w:w w:val="110"/>
          <w:sz w:val="21"/>
          <w:szCs w:val="21"/>
        </w:rPr>
        <w:t>研发投入情况表</w:t>
      </w:r>
      <w:r>
        <w:rPr>
          <w:rFonts w:ascii="Microsoft JhengHei" w:hAnsi="Microsoft JhengHei" w:cs="Microsoft JhengHei" w:eastAsia="Microsoft JhengHei" w:hint="default"/>
          <w:w w:val="110"/>
          <w:sz w:val="21"/>
          <w:szCs w:val="21"/>
        </w:rPr>
      </w:r>
    </w:p>
    <w:p>
      <w:pPr>
        <w:spacing w:line="240" w:lineRule="auto" w:before="0"/>
        <w:rPr>
          <w:rFonts w:ascii="Microsoft JhengHei" w:hAnsi="Microsoft JhengHei" w:cs="Microsoft JhengHei" w:eastAsia="Microsoft JhengHei" w:hint="default"/>
          <w:b/>
          <w:bCs/>
          <w:sz w:val="20"/>
          <w:szCs w:val="20"/>
        </w:rPr>
      </w:pPr>
      <w:r>
        <w:rPr/>
        <w:br w:type="column"/>
      </w:r>
      <w:r>
        <w:rPr>
          <w:rFonts w:ascii="Microsoft JhengHei"/>
          <w:b/>
          <w:sz w:val="20"/>
        </w:rPr>
      </w:r>
    </w:p>
    <w:p>
      <w:pPr>
        <w:spacing w:line="240" w:lineRule="auto" w:before="14"/>
        <w:rPr>
          <w:rFonts w:ascii="Microsoft JhengHei" w:hAnsi="Microsoft JhengHei" w:cs="Microsoft JhengHei" w:eastAsia="Microsoft JhengHei" w:hint="default"/>
          <w:b/>
          <w:bCs/>
          <w:sz w:val="24"/>
          <w:szCs w:val="24"/>
        </w:rPr>
      </w:pPr>
    </w:p>
    <w:p>
      <w:pPr>
        <w:spacing w:before="0"/>
        <w:ind w:left="218" w:right="0" w:firstLine="0"/>
        <w:jc w:val="left"/>
        <w:rPr>
          <w:rFonts w:ascii="宋体" w:hAnsi="宋体" w:cs="宋体" w:eastAsia="宋体" w:hint="default"/>
          <w:sz w:val="21"/>
          <w:szCs w:val="21"/>
        </w:rPr>
      </w:pPr>
      <w:r>
        <w:rPr>
          <w:rFonts w:ascii="宋体" w:hAnsi="宋体" w:cs="宋体" w:eastAsia="宋体" w:hint="default"/>
          <w:sz w:val="21"/>
          <w:szCs w:val="21"/>
        </w:rPr>
        <w:t>单位：元</w:t>
      </w:r>
    </w:p>
    <w:p>
      <w:pPr>
        <w:spacing w:after="0"/>
        <w:jc w:val="left"/>
        <w:rPr>
          <w:rFonts w:ascii="宋体" w:hAnsi="宋体" w:cs="宋体" w:eastAsia="宋体" w:hint="default"/>
          <w:sz w:val="21"/>
          <w:szCs w:val="21"/>
        </w:rPr>
        <w:sectPr>
          <w:type w:val="continuous"/>
          <w:pgSz w:w="11910" w:h="16840"/>
          <w:pgMar w:top="1360" w:bottom="700" w:left="1200" w:right="1040"/>
          <w:cols w:num="2" w:equalWidth="0">
            <w:col w:w="2226" w:space="6149"/>
            <w:col w:w="1295"/>
          </w:cols>
        </w:sectPr>
      </w:pPr>
    </w:p>
    <w:p>
      <w:pPr>
        <w:spacing w:line="240" w:lineRule="auto" w:before="10"/>
        <w:rPr>
          <w:rFonts w:ascii="宋体" w:hAnsi="宋体" w:cs="宋体" w:eastAsia="宋体" w:hint="default"/>
          <w:sz w:val="3"/>
          <w:szCs w:val="3"/>
        </w:rPr>
      </w:pPr>
    </w:p>
    <w:tbl>
      <w:tblPr>
        <w:tblW w:w="0" w:type="auto"/>
        <w:jc w:val="left"/>
        <w:tblInd w:w="106" w:type="dxa"/>
        <w:tblLayout w:type="fixed"/>
        <w:tblCellMar>
          <w:top w:w="0" w:type="dxa"/>
          <w:left w:w="0" w:type="dxa"/>
          <w:bottom w:w="0" w:type="dxa"/>
          <w:right w:w="0" w:type="dxa"/>
        </w:tblCellMar>
        <w:tblLook w:val="01E0"/>
      </w:tblPr>
      <w:tblGrid>
        <w:gridCol w:w="3956"/>
        <w:gridCol w:w="5475"/>
      </w:tblGrid>
      <w:tr>
        <w:trPr>
          <w:trHeight w:val="324" w:hRule="exact"/>
        </w:trPr>
        <w:tc>
          <w:tcPr>
            <w:tcW w:w="39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本期费用化研发投入</w:t>
            </w:r>
          </w:p>
        </w:tc>
        <w:tc>
          <w:tcPr>
            <w:tcW w:w="547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rFonts w:ascii="宋体" w:hAnsi="宋体" w:cs="宋体" w:eastAsia="宋体" w:hint="default"/>
                <w:sz w:val="21"/>
                <w:szCs w:val="21"/>
              </w:rPr>
            </w:pPr>
            <w:r>
              <w:rPr>
                <w:rFonts w:ascii="宋体"/>
                <w:spacing w:val="-1"/>
                <w:sz w:val="21"/>
              </w:rPr>
              <w:t>1,708,969,828</w:t>
            </w:r>
          </w:p>
        </w:tc>
      </w:tr>
      <w:tr>
        <w:trPr>
          <w:trHeight w:val="322" w:hRule="exact"/>
        </w:trPr>
        <w:tc>
          <w:tcPr>
            <w:tcW w:w="39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本期资本化研发投入</w:t>
            </w:r>
          </w:p>
        </w:tc>
        <w:tc>
          <w:tcPr>
            <w:tcW w:w="547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801,238,991</w:t>
            </w:r>
          </w:p>
        </w:tc>
      </w:tr>
      <w:tr>
        <w:trPr>
          <w:trHeight w:val="322" w:hRule="exact"/>
        </w:trPr>
        <w:tc>
          <w:tcPr>
            <w:tcW w:w="39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研发投入合计</w:t>
            </w:r>
          </w:p>
        </w:tc>
        <w:tc>
          <w:tcPr>
            <w:tcW w:w="547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2,510,208,819</w:t>
            </w:r>
          </w:p>
        </w:tc>
      </w:tr>
      <w:tr>
        <w:trPr>
          <w:trHeight w:val="322" w:hRule="exact"/>
        </w:trPr>
        <w:tc>
          <w:tcPr>
            <w:tcW w:w="39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研发投入总额占营业收入比例（</w:t>
            </w:r>
            <w:r>
              <w:rPr>
                <w:rFonts w:ascii="宋体" w:hAnsi="宋体" w:cs="宋体" w:eastAsia="宋体" w:hint="default"/>
                <w:sz w:val="21"/>
                <w:szCs w:val="21"/>
              </w:rPr>
              <w:t>%</w:t>
            </w:r>
            <w:r>
              <w:rPr>
                <w:rFonts w:ascii="宋体" w:hAnsi="宋体" w:cs="宋体" w:eastAsia="宋体" w:hint="default"/>
                <w:sz w:val="21"/>
                <w:szCs w:val="21"/>
              </w:rPr>
              <w:t>）</w:t>
            </w:r>
          </w:p>
        </w:tc>
        <w:tc>
          <w:tcPr>
            <w:tcW w:w="547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0.86</w:t>
            </w:r>
          </w:p>
        </w:tc>
      </w:tr>
      <w:tr>
        <w:trPr>
          <w:trHeight w:val="322" w:hRule="exact"/>
        </w:trPr>
        <w:tc>
          <w:tcPr>
            <w:tcW w:w="39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公司研发人员的数量</w:t>
            </w:r>
          </w:p>
        </w:tc>
        <w:tc>
          <w:tcPr>
            <w:tcW w:w="547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9,155</w:t>
            </w:r>
          </w:p>
        </w:tc>
      </w:tr>
      <w:tr>
        <w:trPr>
          <w:trHeight w:val="323" w:hRule="exact"/>
        </w:trPr>
        <w:tc>
          <w:tcPr>
            <w:tcW w:w="39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3" w:lineRule="exact"/>
              <w:ind w:left="103" w:right="0"/>
              <w:jc w:val="left"/>
              <w:rPr>
                <w:rFonts w:ascii="宋体" w:hAnsi="宋体" w:cs="宋体" w:eastAsia="宋体" w:hint="default"/>
                <w:sz w:val="21"/>
                <w:szCs w:val="21"/>
              </w:rPr>
            </w:pPr>
            <w:r>
              <w:rPr>
                <w:rFonts w:ascii="宋体" w:hAnsi="宋体" w:cs="宋体" w:eastAsia="宋体" w:hint="default"/>
                <w:sz w:val="21"/>
                <w:szCs w:val="21"/>
              </w:rPr>
              <w:t>研发人员数量占公司总人数的比例（</w:t>
            </w:r>
            <w:r>
              <w:rPr>
                <w:rFonts w:ascii="宋体" w:hAnsi="宋体" w:cs="宋体" w:eastAsia="宋体" w:hint="default"/>
                <w:sz w:val="21"/>
                <w:szCs w:val="21"/>
              </w:rPr>
              <w:t>%</w:t>
            </w:r>
            <w:r>
              <w:rPr>
                <w:rFonts w:ascii="宋体" w:hAnsi="宋体" w:cs="宋体" w:eastAsia="宋体" w:hint="default"/>
                <w:sz w:val="21"/>
                <w:szCs w:val="21"/>
              </w:rPr>
              <w:t>）</w:t>
            </w:r>
          </w:p>
        </w:tc>
        <w:tc>
          <w:tcPr>
            <w:tcW w:w="5475"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98"/>
              <w:jc w:val="right"/>
              <w:rPr>
                <w:rFonts w:ascii="宋体" w:hAnsi="宋体" w:cs="宋体" w:eastAsia="宋体" w:hint="default"/>
                <w:sz w:val="21"/>
                <w:szCs w:val="21"/>
              </w:rPr>
            </w:pPr>
            <w:r>
              <w:rPr>
                <w:rFonts w:ascii="宋体"/>
                <w:sz w:val="21"/>
              </w:rPr>
              <w:t>3.75</w:t>
            </w:r>
          </w:p>
        </w:tc>
      </w:tr>
      <w:tr>
        <w:trPr>
          <w:trHeight w:val="323" w:hRule="exact"/>
        </w:trPr>
        <w:tc>
          <w:tcPr>
            <w:tcW w:w="39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left="103" w:right="0"/>
              <w:jc w:val="left"/>
              <w:rPr>
                <w:rFonts w:ascii="宋体" w:hAnsi="宋体" w:cs="宋体" w:eastAsia="宋体" w:hint="default"/>
                <w:sz w:val="21"/>
                <w:szCs w:val="21"/>
              </w:rPr>
            </w:pPr>
            <w:r>
              <w:rPr>
                <w:rFonts w:ascii="宋体" w:hAnsi="宋体" w:cs="宋体" w:eastAsia="宋体" w:hint="default"/>
                <w:sz w:val="21"/>
                <w:szCs w:val="21"/>
              </w:rPr>
              <w:t>研发投入资本化的比重（</w:t>
            </w:r>
            <w:r>
              <w:rPr>
                <w:rFonts w:ascii="宋体" w:hAnsi="宋体" w:cs="宋体" w:eastAsia="宋体" w:hint="default"/>
                <w:sz w:val="21"/>
                <w:szCs w:val="21"/>
              </w:rPr>
              <w:t>%</w:t>
            </w:r>
            <w:r>
              <w:rPr>
                <w:rFonts w:ascii="宋体" w:hAnsi="宋体" w:cs="宋体" w:eastAsia="宋体" w:hint="default"/>
                <w:sz w:val="21"/>
                <w:szCs w:val="21"/>
              </w:rPr>
              <w:t>）</w:t>
            </w:r>
          </w:p>
        </w:tc>
        <w:tc>
          <w:tcPr>
            <w:tcW w:w="5475"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98"/>
              <w:jc w:val="right"/>
              <w:rPr>
                <w:rFonts w:ascii="宋体" w:hAnsi="宋体" w:cs="宋体" w:eastAsia="宋体" w:hint="default"/>
                <w:sz w:val="21"/>
                <w:szCs w:val="21"/>
              </w:rPr>
            </w:pPr>
            <w:r>
              <w:rPr>
                <w:rFonts w:ascii="宋体"/>
                <w:sz w:val="21"/>
              </w:rPr>
              <w:t>31.9</w:t>
            </w:r>
          </w:p>
        </w:tc>
      </w:tr>
    </w:tbl>
    <w:p>
      <w:pPr>
        <w:spacing w:line="240" w:lineRule="auto" w:before="9"/>
        <w:rPr>
          <w:rFonts w:ascii="宋体" w:hAnsi="宋体" w:cs="宋体" w:eastAsia="宋体" w:hint="default"/>
          <w:sz w:val="24"/>
          <w:szCs w:val="24"/>
        </w:rPr>
      </w:pPr>
    </w:p>
    <w:p>
      <w:pPr>
        <w:spacing w:line="335" w:lineRule="exact" w:before="0"/>
        <w:ind w:left="218" w:right="12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5"/>
          <w:sz w:val="21"/>
          <w:szCs w:val="21"/>
        </w:rPr>
        <w:t>(2).</w:t>
      </w:r>
      <w:r>
        <w:rPr>
          <w:rFonts w:ascii="Arial" w:hAnsi="Arial" w:cs="Arial" w:eastAsia="Arial" w:hint="default"/>
          <w:b/>
          <w:bCs/>
          <w:spacing w:val="-24"/>
          <w:w w:val="115"/>
          <w:sz w:val="21"/>
          <w:szCs w:val="21"/>
        </w:rPr>
        <w:t> </w:t>
      </w:r>
      <w:r>
        <w:rPr>
          <w:rFonts w:ascii="Microsoft JhengHei" w:hAnsi="Microsoft JhengHei" w:cs="Microsoft JhengHei" w:eastAsia="Microsoft JhengHei" w:hint="default"/>
          <w:b/>
          <w:bCs/>
          <w:w w:val="115"/>
          <w:sz w:val="21"/>
          <w:szCs w:val="21"/>
        </w:rPr>
        <w:t>情况说明</w:t>
      </w:r>
      <w:r>
        <w:rPr>
          <w:rFonts w:ascii="Microsoft JhengHei" w:hAnsi="Microsoft JhengHei" w:cs="Microsoft JhengHei" w:eastAsia="Microsoft JhengHei" w:hint="default"/>
          <w:w w:val="115"/>
          <w:sz w:val="21"/>
          <w:szCs w:val="21"/>
        </w:rPr>
      </w:r>
    </w:p>
    <w:p>
      <w:pPr>
        <w:spacing w:before="73"/>
        <w:ind w:left="218" w:right="120"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0"/>
        <w:rPr>
          <w:rFonts w:ascii="宋体" w:hAnsi="宋体" w:cs="宋体" w:eastAsia="宋体" w:hint="default"/>
          <w:sz w:val="20"/>
          <w:szCs w:val="20"/>
        </w:rPr>
      </w:pPr>
    </w:p>
    <w:p>
      <w:pPr>
        <w:tabs>
          <w:tab w:pos="638" w:val="left" w:leader="none"/>
        </w:tabs>
        <w:spacing w:before="140"/>
        <w:ind w:left="218" w:right="12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0"/>
          <w:sz w:val="21"/>
          <w:szCs w:val="21"/>
        </w:rPr>
        <w:t>5.</w:t>
        <w:tab/>
      </w:r>
      <w:r>
        <w:rPr>
          <w:rFonts w:ascii="Microsoft JhengHei" w:hAnsi="Microsoft JhengHei" w:cs="Microsoft JhengHei" w:eastAsia="Microsoft JhengHei" w:hint="default"/>
          <w:b/>
          <w:bCs/>
          <w:w w:val="110"/>
          <w:sz w:val="21"/>
          <w:szCs w:val="21"/>
        </w:rPr>
        <w:t>现金流</w:t>
      </w:r>
      <w:r>
        <w:rPr>
          <w:rFonts w:ascii="Microsoft JhengHei" w:hAnsi="Microsoft JhengHei" w:cs="Microsoft JhengHei" w:eastAsia="Microsoft JhengHei" w:hint="default"/>
          <w:w w:val="110"/>
          <w:sz w:val="21"/>
          <w:szCs w:val="21"/>
        </w:rPr>
      </w:r>
    </w:p>
    <w:p>
      <w:pPr>
        <w:spacing w:line="240" w:lineRule="auto" w:before="16"/>
        <w:rPr>
          <w:rFonts w:ascii="Microsoft JhengHei" w:hAnsi="Microsoft JhengHei" w:cs="Microsoft JhengHei" w:eastAsia="Microsoft JhengHei" w:hint="default"/>
          <w:b/>
          <w:bCs/>
          <w:sz w:val="12"/>
          <w:szCs w:val="12"/>
        </w:rPr>
      </w:pPr>
    </w:p>
    <w:p>
      <w:pPr>
        <w:spacing w:before="0"/>
        <w:ind w:left="638" w:right="120" w:firstLine="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44"/>
          <w:sz w:val="21"/>
          <w:szCs w:val="21"/>
        </w:rPr>
        <w:t> </w:t>
      </w:r>
      <w:r>
        <w:rPr>
          <w:rFonts w:ascii="宋体" w:hAnsi="宋体" w:cs="宋体" w:eastAsia="宋体" w:hint="default"/>
          <w:sz w:val="21"/>
          <w:szCs w:val="21"/>
        </w:rPr>
        <w:t>年公司经营活动现金流量净额为人民币</w:t>
      </w:r>
      <w:r>
        <w:rPr>
          <w:rFonts w:ascii="宋体" w:hAnsi="宋体" w:cs="宋体" w:eastAsia="宋体" w:hint="default"/>
          <w:spacing w:val="-41"/>
          <w:sz w:val="21"/>
          <w:szCs w:val="21"/>
        </w:rPr>
        <w:t> </w:t>
      </w:r>
      <w:r>
        <w:rPr>
          <w:rFonts w:ascii="宋体" w:hAnsi="宋体" w:cs="宋体" w:eastAsia="宋体" w:hint="default"/>
          <w:sz w:val="21"/>
          <w:szCs w:val="21"/>
        </w:rPr>
        <w:t>962.1</w:t>
      </w:r>
      <w:r>
        <w:rPr>
          <w:rFonts w:ascii="宋体" w:hAnsi="宋体" w:cs="宋体" w:eastAsia="宋体" w:hint="default"/>
          <w:spacing w:val="-44"/>
          <w:sz w:val="21"/>
          <w:szCs w:val="21"/>
        </w:rPr>
        <w:t> </w:t>
      </w:r>
      <w:r>
        <w:rPr>
          <w:rFonts w:ascii="宋体" w:hAnsi="宋体" w:cs="宋体" w:eastAsia="宋体" w:hint="default"/>
          <w:spacing w:val="-6"/>
          <w:sz w:val="21"/>
          <w:szCs w:val="21"/>
        </w:rPr>
        <w:t>亿元，扣除本年资本开支后自由现金流为人民</w:t>
      </w:r>
    </w:p>
    <w:p>
      <w:pPr>
        <w:spacing w:line="314" w:lineRule="auto" w:before="85"/>
        <w:ind w:left="218" w:right="120" w:firstLine="0"/>
        <w:jc w:val="left"/>
        <w:rPr>
          <w:rFonts w:ascii="宋体" w:hAnsi="宋体" w:cs="宋体" w:eastAsia="宋体" w:hint="default"/>
          <w:sz w:val="21"/>
          <w:szCs w:val="21"/>
        </w:rPr>
      </w:pPr>
      <w:r>
        <w:rPr>
          <w:rFonts w:ascii="宋体" w:hAnsi="宋体" w:cs="宋体" w:eastAsia="宋体" w:hint="default"/>
          <w:sz w:val="21"/>
          <w:szCs w:val="21"/>
        </w:rPr>
        <w:t>币</w:t>
      </w:r>
      <w:r>
        <w:rPr>
          <w:rFonts w:ascii="宋体" w:hAnsi="宋体" w:cs="宋体" w:eastAsia="宋体" w:hint="default"/>
          <w:spacing w:val="-20"/>
          <w:sz w:val="21"/>
          <w:szCs w:val="21"/>
        </w:rPr>
        <w:t> </w:t>
      </w:r>
      <w:r>
        <w:rPr>
          <w:rFonts w:ascii="宋体" w:hAnsi="宋体" w:cs="宋体" w:eastAsia="宋体" w:hint="default"/>
          <w:sz w:val="21"/>
          <w:szCs w:val="21"/>
        </w:rPr>
        <w:t>397.9</w:t>
      </w:r>
      <w:r>
        <w:rPr>
          <w:rFonts w:ascii="宋体" w:hAnsi="宋体" w:cs="宋体" w:eastAsia="宋体" w:hint="default"/>
          <w:spacing w:val="-20"/>
          <w:sz w:val="21"/>
          <w:szCs w:val="21"/>
        </w:rPr>
        <w:t> </w:t>
      </w:r>
      <w:r>
        <w:rPr>
          <w:rFonts w:ascii="宋体" w:hAnsi="宋体" w:cs="宋体" w:eastAsia="宋体" w:hint="default"/>
          <w:spacing w:val="-3"/>
          <w:sz w:val="21"/>
          <w:szCs w:val="21"/>
        </w:rPr>
        <w:t>亿元。考虑到公司经营活动净现金流入保持稳定以及良好的信贷信用，我们相信公司应有足</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够的运营资金满足生产经营需要。</w:t>
      </w:r>
    </w:p>
    <w:p>
      <w:pPr>
        <w:spacing w:after="0" w:line="314" w:lineRule="auto"/>
        <w:jc w:val="left"/>
        <w:rPr>
          <w:rFonts w:ascii="宋体" w:hAnsi="宋体" w:cs="宋体" w:eastAsia="宋体" w:hint="default"/>
          <w:sz w:val="21"/>
          <w:szCs w:val="21"/>
        </w:rPr>
        <w:sectPr>
          <w:type w:val="continuous"/>
          <w:pgSz w:w="11910" w:h="16840"/>
          <w:pgMar w:top="1360" w:bottom="700" w:left="1200" w:right="1040"/>
        </w:sectPr>
      </w:pPr>
    </w:p>
    <w:p>
      <w:pPr>
        <w:spacing w:line="240" w:lineRule="auto" w:before="10"/>
        <w:rPr>
          <w:rFonts w:ascii="宋体" w:hAnsi="宋体" w:cs="宋体" w:eastAsia="宋体" w:hint="default"/>
          <w:sz w:val="8"/>
          <w:szCs w:val="8"/>
        </w:rPr>
      </w:pPr>
    </w:p>
    <w:p>
      <w:pPr>
        <w:tabs>
          <w:tab w:pos="1518" w:val="left" w:leader="none"/>
        </w:tabs>
        <w:spacing w:line="335" w:lineRule="exact" w:before="0"/>
        <w:ind w:left="678"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5"/>
          <w:sz w:val="21"/>
          <w:szCs w:val="21"/>
        </w:rPr>
        <w:t>(</w:t>
      </w:r>
      <w:r>
        <w:rPr>
          <w:rFonts w:ascii="Microsoft JhengHei" w:hAnsi="Microsoft JhengHei" w:cs="Microsoft JhengHei" w:eastAsia="Microsoft JhengHei" w:hint="default"/>
          <w:b/>
          <w:bCs/>
          <w:w w:val="115"/>
          <w:sz w:val="21"/>
          <w:szCs w:val="21"/>
        </w:rPr>
        <w:t>二</w:t>
      </w:r>
      <w:r>
        <w:rPr>
          <w:rFonts w:ascii="Arial" w:hAnsi="Arial" w:cs="Arial" w:eastAsia="Arial" w:hint="default"/>
          <w:b/>
          <w:bCs/>
          <w:w w:val="115"/>
          <w:sz w:val="21"/>
          <w:szCs w:val="21"/>
        </w:rPr>
        <w:t>)</w:t>
        <w:tab/>
      </w:r>
      <w:r>
        <w:rPr>
          <w:rFonts w:ascii="Microsoft JhengHei" w:hAnsi="Microsoft JhengHei" w:cs="Microsoft JhengHei" w:eastAsia="Microsoft JhengHei" w:hint="default"/>
          <w:b/>
          <w:bCs/>
          <w:spacing w:val="-1"/>
          <w:w w:val="115"/>
          <w:sz w:val="21"/>
          <w:szCs w:val="21"/>
        </w:rPr>
        <w:t>非主营业务导致利润重大变化的说明</w:t>
      </w:r>
      <w:r>
        <w:rPr>
          <w:rFonts w:ascii="Microsoft JhengHei" w:hAnsi="Microsoft JhengHei" w:cs="Microsoft JhengHei" w:eastAsia="Microsoft JhengHei" w:hint="default"/>
          <w:spacing w:val="-1"/>
          <w:w w:val="115"/>
          <w:sz w:val="21"/>
          <w:szCs w:val="21"/>
        </w:rPr>
      </w:r>
    </w:p>
    <w:p>
      <w:pPr>
        <w:spacing w:before="73"/>
        <w:ind w:left="678" w:right="0"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7"/>
        <w:rPr>
          <w:rFonts w:ascii="宋体" w:hAnsi="宋体" w:cs="宋体" w:eastAsia="宋体" w:hint="default"/>
          <w:sz w:val="28"/>
          <w:szCs w:val="28"/>
        </w:rPr>
      </w:pPr>
    </w:p>
    <w:p>
      <w:pPr>
        <w:spacing w:after="0" w:line="240" w:lineRule="auto"/>
        <w:rPr>
          <w:rFonts w:ascii="宋体" w:hAnsi="宋体" w:cs="宋体" w:eastAsia="宋体" w:hint="default"/>
          <w:sz w:val="28"/>
          <w:szCs w:val="28"/>
        </w:rPr>
        <w:sectPr>
          <w:footerReference w:type="default" r:id="rId34"/>
          <w:pgSz w:w="11910" w:h="16840"/>
          <w:pgMar w:footer="502" w:header="854" w:top="1360" w:bottom="700" w:left="740" w:right="440"/>
        </w:sectPr>
      </w:pPr>
    </w:p>
    <w:p>
      <w:pPr>
        <w:tabs>
          <w:tab w:pos="1518" w:val="left" w:leader="none"/>
        </w:tabs>
        <w:spacing w:line="335" w:lineRule="exact" w:before="0"/>
        <w:ind w:left="678" w:right="-9"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5"/>
          <w:sz w:val="21"/>
          <w:szCs w:val="21"/>
        </w:rPr>
        <w:t>(</w:t>
      </w:r>
      <w:r>
        <w:rPr>
          <w:rFonts w:ascii="Microsoft JhengHei" w:hAnsi="Microsoft JhengHei" w:cs="Microsoft JhengHei" w:eastAsia="Microsoft JhengHei" w:hint="default"/>
          <w:b/>
          <w:bCs/>
          <w:w w:val="115"/>
          <w:sz w:val="21"/>
          <w:szCs w:val="21"/>
        </w:rPr>
        <w:t>三</w:t>
      </w:r>
      <w:r>
        <w:rPr>
          <w:rFonts w:ascii="Arial" w:hAnsi="Arial" w:cs="Arial" w:eastAsia="Arial" w:hint="default"/>
          <w:b/>
          <w:bCs/>
          <w:w w:val="115"/>
          <w:sz w:val="21"/>
          <w:szCs w:val="21"/>
        </w:rPr>
        <w:t>)</w:t>
        <w:tab/>
      </w:r>
      <w:r>
        <w:rPr>
          <w:rFonts w:ascii="Microsoft JhengHei" w:hAnsi="Microsoft JhengHei" w:cs="Microsoft JhengHei" w:eastAsia="Microsoft JhengHei" w:hint="default"/>
          <w:b/>
          <w:bCs/>
          <w:sz w:val="21"/>
          <w:szCs w:val="21"/>
        </w:rPr>
        <w:t>资产、负债情况分析</w:t>
      </w:r>
      <w:r>
        <w:rPr>
          <w:rFonts w:ascii="Microsoft JhengHei" w:hAnsi="Microsoft JhengHei" w:cs="Microsoft JhengHei" w:eastAsia="Microsoft JhengHei" w:hint="default"/>
          <w:sz w:val="21"/>
          <w:szCs w:val="21"/>
        </w:rPr>
      </w:r>
    </w:p>
    <w:p>
      <w:pPr>
        <w:tabs>
          <w:tab w:pos="1098" w:val="left" w:leader="none"/>
        </w:tabs>
        <w:spacing w:before="6"/>
        <w:ind w:left="678" w:right="-9"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0"/>
          <w:sz w:val="21"/>
          <w:szCs w:val="21"/>
        </w:rPr>
        <w:t>1.</w:t>
        <w:tab/>
      </w:r>
      <w:r>
        <w:rPr>
          <w:rFonts w:ascii="Microsoft JhengHei" w:hAnsi="Microsoft JhengHei" w:cs="Microsoft JhengHei" w:eastAsia="Microsoft JhengHei" w:hint="default"/>
          <w:b/>
          <w:bCs/>
          <w:w w:val="110"/>
          <w:sz w:val="21"/>
          <w:szCs w:val="21"/>
        </w:rPr>
        <w:t>资产及负债状况</w:t>
      </w:r>
      <w:r>
        <w:rPr>
          <w:rFonts w:ascii="Microsoft JhengHei" w:hAnsi="Microsoft JhengHei" w:cs="Microsoft JhengHei" w:eastAsia="Microsoft JhengHei" w:hint="default"/>
          <w:w w:val="110"/>
          <w:sz w:val="21"/>
          <w:szCs w:val="21"/>
        </w:rPr>
      </w:r>
    </w:p>
    <w:p>
      <w:pPr>
        <w:spacing w:line="240" w:lineRule="auto" w:before="0"/>
        <w:rPr>
          <w:rFonts w:ascii="Microsoft JhengHei" w:hAnsi="Microsoft JhengHei" w:cs="Microsoft JhengHei" w:eastAsia="Microsoft JhengHei" w:hint="default"/>
          <w:b/>
          <w:bCs/>
          <w:sz w:val="20"/>
          <w:szCs w:val="20"/>
        </w:rPr>
      </w:pPr>
      <w:r>
        <w:rPr/>
        <w:br w:type="column"/>
      </w:r>
      <w:r>
        <w:rPr>
          <w:rFonts w:ascii="Microsoft JhengHei"/>
          <w:b/>
          <w:sz w:val="20"/>
        </w:rPr>
      </w:r>
    </w:p>
    <w:p>
      <w:pPr>
        <w:spacing w:line="240" w:lineRule="auto" w:before="14"/>
        <w:rPr>
          <w:rFonts w:ascii="Microsoft JhengHei" w:hAnsi="Microsoft JhengHei" w:cs="Microsoft JhengHei" w:eastAsia="Microsoft JhengHei" w:hint="default"/>
          <w:b/>
          <w:bCs/>
          <w:sz w:val="24"/>
          <w:szCs w:val="24"/>
        </w:rPr>
      </w:pPr>
    </w:p>
    <w:p>
      <w:pPr>
        <w:spacing w:before="0"/>
        <w:ind w:left="678" w:right="0" w:firstLine="0"/>
        <w:jc w:val="left"/>
        <w:rPr>
          <w:rFonts w:ascii="宋体" w:hAnsi="宋体" w:cs="宋体" w:eastAsia="宋体" w:hint="default"/>
          <w:sz w:val="21"/>
          <w:szCs w:val="21"/>
        </w:rPr>
      </w:pPr>
      <w:r>
        <w:rPr>
          <w:rFonts w:ascii="宋体" w:hAnsi="宋体" w:cs="宋体" w:eastAsia="宋体" w:hint="default"/>
          <w:sz w:val="21"/>
          <w:szCs w:val="21"/>
        </w:rPr>
        <w:t>单位：元</w:t>
      </w:r>
    </w:p>
    <w:p>
      <w:pPr>
        <w:spacing w:after="0"/>
        <w:jc w:val="left"/>
        <w:rPr>
          <w:rFonts w:ascii="宋体" w:hAnsi="宋体" w:cs="宋体" w:eastAsia="宋体" w:hint="default"/>
          <w:sz w:val="21"/>
          <w:szCs w:val="21"/>
        </w:rPr>
        <w:sectPr>
          <w:type w:val="continuous"/>
          <w:pgSz w:w="11910" w:h="16840"/>
          <w:pgMar w:top="1360" w:bottom="700" w:left="740" w:right="440"/>
          <w:cols w:num="2" w:equalWidth="0">
            <w:col w:w="3420" w:space="4955"/>
            <w:col w:w="2355"/>
          </w:cols>
        </w:sectPr>
      </w:pPr>
    </w:p>
    <w:p>
      <w:pPr>
        <w:spacing w:line="240" w:lineRule="auto" w:before="12"/>
        <w:rPr>
          <w:rFonts w:ascii="宋体" w:hAnsi="宋体" w:cs="宋体" w:eastAsia="宋体"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1419"/>
        <w:gridCol w:w="1844"/>
        <w:gridCol w:w="1152"/>
        <w:gridCol w:w="1920"/>
        <w:gridCol w:w="886"/>
        <w:gridCol w:w="1035"/>
        <w:gridCol w:w="2237"/>
      </w:tblGrid>
      <w:tr>
        <w:trPr>
          <w:trHeight w:val="1883" w:hRule="exact"/>
        </w:trPr>
        <w:tc>
          <w:tcPr>
            <w:tcW w:w="14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项目名称</w:t>
            </w:r>
          </w:p>
        </w:tc>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本期期末数</w:t>
            </w:r>
          </w:p>
        </w:tc>
        <w:tc>
          <w:tcPr>
            <w:tcW w:w="11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
              <w:ind w:right="0"/>
              <w:jc w:val="left"/>
              <w:rPr>
                <w:rFonts w:ascii="宋体" w:hAnsi="宋体" w:cs="宋体" w:eastAsia="宋体" w:hint="default"/>
                <w:sz w:val="22"/>
                <w:szCs w:val="22"/>
              </w:rPr>
            </w:pPr>
          </w:p>
          <w:p>
            <w:pPr>
              <w:pStyle w:val="TableParagraph"/>
              <w:spacing w:line="273" w:lineRule="auto"/>
              <w:ind w:left="151" w:right="146"/>
              <w:jc w:val="both"/>
              <w:rPr>
                <w:rFonts w:ascii="宋体" w:hAnsi="宋体" w:cs="宋体" w:eastAsia="宋体" w:hint="default"/>
                <w:sz w:val="21"/>
                <w:szCs w:val="21"/>
              </w:rPr>
            </w:pPr>
            <w:r>
              <w:rPr>
                <w:rFonts w:ascii="宋体" w:hAnsi="宋体" w:cs="宋体" w:eastAsia="宋体" w:hint="default"/>
                <w:sz w:val="21"/>
                <w:szCs w:val="21"/>
              </w:rPr>
              <w:t>本期期末</w:t>
            </w:r>
            <w:r>
              <w:rPr>
                <w:rFonts w:ascii="宋体" w:hAnsi="宋体" w:cs="宋体" w:eastAsia="宋体" w:hint="default"/>
                <w:w w:val="100"/>
                <w:sz w:val="21"/>
                <w:szCs w:val="21"/>
              </w:rPr>
              <w:t> </w:t>
            </w:r>
            <w:r>
              <w:rPr>
                <w:rFonts w:ascii="宋体" w:hAnsi="宋体" w:cs="宋体" w:eastAsia="宋体" w:hint="default"/>
                <w:sz w:val="21"/>
                <w:szCs w:val="21"/>
              </w:rPr>
              <w:t>数占总资</w:t>
            </w:r>
            <w:r>
              <w:rPr>
                <w:rFonts w:ascii="宋体" w:hAnsi="宋体" w:cs="宋体" w:eastAsia="宋体" w:hint="default"/>
                <w:w w:val="100"/>
                <w:sz w:val="21"/>
                <w:szCs w:val="21"/>
              </w:rPr>
              <w:t> </w:t>
            </w:r>
            <w:r>
              <w:rPr>
                <w:rFonts w:ascii="宋体" w:hAnsi="宋体" w:cs="宋体" w:eastAsia="宋体" w:hint="default"/>
                <w:sz w:val="21"/>
                <w:szCs w:val="21"/>
              </w:rPr>
              <w:t>产的比例</w:t>
            </w:r>
          </w:p>
          <w:p>
            <w:pPr>
              <w:pStyle w:val="TableParagraph"/>
              <w:spacing w:line="240" w:lineRule="auto" w:before="7"/>
              <w:ind w:left="307"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19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上期期末数</w:t>
            </w:r>
          </w:p>
        </w:tc>
        <w:tc>
          <w:tcPr>
            <w:tcW w:w="8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144"/>
              <w:ind w:left="122" w:right="119"/>
              <w:jc w:val="both"/>
              <w:rPr>
                <w:rFonts w:ascii="宋体" w:hAnsi="宋体" w:cs="宋体" w:eastAsia="宋体" w:hint="default"/>
                <w:sz w:val="21"/>
                <w:szCs w:val="21"/>
              </w:rPr>
            </w:pPr>
            <w:r>
              <w:rPr>
                <w:rFonts w:ascii="宋体" w:hAnsi="宋体" w:cs="宋体" w:eastAsia="宋体" w:hint="default"/>
                <w:sz w:val="21"/>
                <w:szCs w:val="21"/>
              </w:rPr>
              <w:t>上期期</w:t>
            </w:r>
            <w:r>
              <w:rPr>
                <w:rFonts w:ascii="宋体" w:hAnsi="宋体" w:cs="宋体" w:eastAsia="宋体" w:hint="default"/>
                <w:spacing w:val="-102"/>
                <w:sz w:val="21"/>
                <w:szCs w:val="21"/>
              </w:rPr>
              <w:t> </w:t>
            </w:r>
            <w:r>
              <w:rPr>
                <w:rFonts w:ascii="宋体" w:hAnsi="宋体" w:cs="宋体" w:eastAsia="宋体" w:hint="default"/>
                <w:sz w:val="21"/>
                <w:szCs w:val="21"/>
              </w:rPr>
              <w:t>末数占</w:t>
            </w:r>
            <w:r>
              <w:rPr>
                <w:rFonts w:ascii="宋体" w:hAnsi="宋体" w:cs="宋体" w:eastAsia="宋体" w:hint="default"/>
                <w:spacing w:val="-102"/>
                <w:sz w:val="21"/>
                <w:szCs w:val="21"/>
              </w:rPr>
              <w:t> </w:t>
            </w:r>
            <w:r>
              <w:rPr>
                <w:rFonts w:ascii="宋体" w:hAnsi="宋体" w:cs="宋体" w:eastAsia="宋体" w:hint="default"/>
                <w:sz w:val="21"/>
                <w:szCs w:val="21"/>
              </w:rPr>
              <w:t>总资产</w:t>
            </w:r>
            <w:r>
              <w:rPr>
                <w:rFonts w:ascii="宋体" w:hAnsi="宋体" w:cs="宋体" w:eastAsia="宋体" w:hint="default"/>
                <w:spacing w:val="-102"/>
                <w:sz w:val="21"/>
                <w:szCs w:val="21"/>
              </w:rPr>
              <w:t> </w:t>
            </w:r>
            <w:r>
              <w:rPr>
                <w:rFonts w:ascii="宋体" w:hAnsi="宋体" w:cs="宋体" w:eastAsia="宋体" w:hint="default"/>
                <w:sz w:val="21"/>
                <w:szCs w:val="21"/>
              </w:rPr>
              <w:t>的比例</w:t>
            </w:r>
          </w:p>
          <w:p>
            <w:pPr>
              <w:pStyle w:val="TableParagraph"/>
              <w:spacing w:line="240" w:lineRule="auto" w:before="7"/>
              <w:ind w:left="175" w:right="0"/>
              <w:jc w:val="both"/>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10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196" w:right="194"/>
              <w:jc w:val="both"/>
              <w:rPr>
                <w:rFonts w:ascii="宋体" w:hAnsi="宋体" w:cs="宋体" w:eastAsia="宋体" w:hint="default"/>
                <w:sz w:val="21"/>
                <w:szCs w:val="21"/>
              </w:rPr>
            </w:pPr>
            <w:r>
              <w:rPr>
                <w:rFonts w:ascii="宋体" w:hAnsi="宋体" w:cs="宋体" w:eastAsia="宋体" w:hint="default"/>
                <w:sz w:val="21"/>
                <w:szCs w:val="21"/>
              </w:rPr>
              <w:t>本期期</w:t>
            </w:r>
            <w:r>
              <w:rPr>
                <w:rFonts w:ascii="宋体" w:hAnsi="宋体" w:cs="宋体" w:eastAsia="宋体" w:hint="default"/>
                <w:spacing w:val="-102"/>
                <w:sz w:val="21"/>
                <w:szCs w:val="21"/>
              </w:rPr>
              <w:t> </w:t>
            </w:r>
            <w:r>
              <w:rPr>
                <w:rFonts w:ascii="宋体" w:hAnsi="宋体" w:cs="宋体" w:eastAsia="宋体" w:hint="default"/>
                <w:sz w:val="21"/>
                <w:szCs w:val="21"/>
              </w:rPr>
              <w:t>末金额</w:t>
            </w:r>
            <w:r>
              <w:rPr>
                <w:rFonts w:ascii="宋体" w:hAnsi="宋体" w:cs="宋体" w:eastAsia="宋体" w:hint="default"/>
                <w:spacing w:val="-102"/>
                <w:sz w:val="21"/>
                <w:szCs w:val="21"/>
              </w:rPr>
              <w:t> </w:t>
            </w:r>
            <w:r>
              <w:rPr>
                <w:rFonts w:ascii="宋体" w:hAnsi="宋体" w:cs="宋体" w:eastAsia="宋体" w:hint="default"/>
                <w:sz w:val="21"/>
                <w:szCs w:val="21"/>
              </w:rPr>
              <w:t>较上期</w:t>
            </w:r>
            <w:r>
              <w:rPr>
                <w:rFonts w:ascii="宋体" w:hAnsi="宋体" w:cs="宋体" w:eastAsia="宋体" w:hint="default"/>
                <w:spacing w:val="-102"/>
                <w:sz w:val="21"/>
                <w:szCs w:val="21"/>
              </w:rPr>
              <w:t> </w:t>
            </w:r>
            <w:r>
              <w:rPr>
                <w:rFonts w:ascii="宋体" w:hAnsi="宋体" w:cs="宋体" w:eastAsia="宋体" w:hint="default"/>
                <w:sz w:val="21"/>
                <w:szCs w:val="21"/>
              </w:rPr>
              <w:t>期末变</w:t>
            </w:r>
            <w:r>
              <w:rPr>
                <w:rFonts w:ascii="宋体" w:hAnsi="宋体" w:cs="宋体" w:eastAsia="宋体" w:hint="default"/>
                <w:spacing w:val="-102"/>
                <w:sz w:val="21"/>
                <w:szCs w:val="21"/>
              </w:rPr>
              <w:t> </w:t>
            </w:r>
            <w:r>
              <w:rPr>
                <w:rFonts w:ascii="宋体" w:hAnsi="宋体" w:cs="宋体" w:eastAsia="宋体" w:hint="default"/>
                <w:sz w:val="21"/>
                <w:szCs w:val="21"/>
              </w:rPr>
              <w:t>动比例</w:t>
            </w:r>
          </w:p>
          <w:p>
            <w:pPr>
              <w:pStyle w:val="TableParagraph"/>
              <w:spacing w:line="240" w:lineRule="auto" w:before="7"/>
              <w:ind w:left="249" w:right="0"/>
              <w:jc w:val="both"/>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22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693" w:right="0"/>
              <w:jc w:val="left"/>
              <w:rPr>
                <w:rFonts w:ascii="宋体" w:hAnsi="宋体" w:cs="宋体" w:eastAsia="宋体" w:hint="default"/>
                <w:sz w:val="21"/>
                <w:szCs w:val="21"/>
              </w:rPr>
            </w:pPr>
            <w:r>
              <w:rPr>
                <w:rFonts w:ascii="宋体" w:hAnsi="宋体" w:cs="宋体" w:eastAsia="宋体" w:hint="default"/>
                <w:sz w:val="21"/>
                <w:szCs w:val="21"/>
              </w:rPr>
              <w:t>情况说明</w:t>
            </w:r>
          </w:p>
        </w:tc>
      </w:tr>
      <w:tr>
        <w:trPr>
          <w:trHeight w:val="946"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固定资产</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2" w:right="0"/>
              <w:jc w:val="center"/>
              <w:rPr>
                <w:rFonts w:ascii="宋体" w:hAnsi="宋体" w:cs="宋体" w:eastAsia="宋体" w:hint="default"/>
                <w:sz w:val="21"/>
                <w:szCs w:val="21"/>
              </w:rPr>
            </w:pPr>
            <w:r>
              <w:rPr>
                <w:rFonts w:ascii="宋体"/>
                <w:sz w:val="21"/>
              </w:rPr>
              <w:t>312,533,736,358</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sz w:val="21"/>
              </w:rPr>
              <w:t>55.4</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sz w:val="21"/>
              </w:rPr>
              <w:t>341,452,644,261</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2" w:right="0"/>
              <w:jc w:val="center"/>
              <w:rPr>
                <w:rFonts w:ascii="宋体" w:hAnsi="宋体" w:cs="宋体" w:eastAsia="宋体" w:hint="default"/>
                <w:sz w:val="21"/>
                <w:szCs w:val="21"/>
              </w:rPr>
            </w:pPr>
            <w:r>
              <w:rPr>
                <w:rFonts w:ascii="宋体"/>
                <w:sz w:val="21"/>
              </w:rPr>
              <w:t>63.0</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302" w:right="0"/>
              <w:jc w:val="left"/>
              <w:rPr>
                <w:rFonts w:ascii="宋体" w:hAnsi="宋体" w:cs="宋体" w:eastAsia="宋体" w:hint="default"/>
                <w:sz w:val="21"/>
                <w:szCs w:val="21"/>
              </w:rPr>
            </w:pPr>
            <w:r>
              <w:rPr>
                <w:rFonts w:ascii="宋体"/>
                <w:sz w:val="21"/>
              </w:rPr>
              <w:t>-8.5</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82"/>
              <w:jc w:val="both"/>
              <w:rPr>
                <w:rFonts w:ascii="宋体" w:hAnsi="宋体" w:cs="宋体" w:eastAsia="宋体" w:hint="default"/>
                <w:sz w:val="21"/>
                <w:szCs w:val="21"/>
              </w:rPr>
            </w:pPr>
            <w:r>
              <w:rPr>
                <w:rFonts w:ascii="宋体" w:hAnsi="宋体" w:cs="宋体" w:eastAsia="宋体" w:hint="default"/>
                <w:spacing w:val="14"/>
                <w:sz w:val="21"/>
                <w:szCs w:val="21"/>
              </w:rPr>
              <w:t>主要是由于资产折旧</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pacing w:val="12"/>
                <w:sz w:val="21"/>
                <w:szCs w:val="21"/>
              </w:rPr>
              <w:t>金额大于新增资产金</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额</w:t>
            </w:r>
          </w:p>
        </w:tc>
      </w:tr>
      <w:tr>
        <w:trPr>
          <w:trHeight w:val="634"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使用权资产</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sz w:val="21"/>
              </w:rPr>
              <w:t>33,900,554,955</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sz w:val="21"/>
              </w:rPr>
              <w:t>6.0</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94"/>
              <w:jc w:val="right"/>
              <w:rPr>
                <w:rFonts w:ascii="宋体" w:hAnsi="宋体" w:cs="宋体" w:eastAsia="宋体" w:hint="default"/>
                <w:sz w:val="21"/>
                <w:szCs w:val="21"/>
              </w:rPr>
            </w:pPr>
            <w:r>
              <w:rPr>
                <w:rFonts w:ascii="宋体" w:hAnsi="宋体" w:cs="宋体" w:eastAsia="宋体" w:hint="default"/>
                <w:sz w:val="21"/>
                <w:szCs w:val="21"/>
              </w:rPr>
              <w:t>不适用</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6"/>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24"/>
                <w:sz w:val="21"/>
                <w:szCs w:val="21"/>
              </w:rPr>
              <w:t> </w:t>
            </w:r>
            <w:r>
              <w:rPr>
                <w:rFonts w:ascii="宋体" w:hAnsi="宋体" w:cs="宋体" w:eastAsia="宋体" w:hint="default"/>
                <w:sz w:val="21"/>
                <w:szCs w:val="21"/>
              </w:rPr>
              <w:t>年开始执行新租</w:t>
            </w:r>
            <w:r>
              <w:rPr>
                <w:rFonts w:ascii="宋体" w:hAnsi="宋体" w:cs="宋体" w:eastAsia="宋体" w:hint="default"/>
                <w:spacing w:val="-102"/>
                <w:sz w:val="21"/>
                <w:szCs w:val="21"/>
              </w:rPr>
              <w:t> </w:t>
            </w:r>
            <w:r>
              <w:rPr>
                <w:rFonts w:ascii="宋体" w:hAnsi="宋体" w:cs="宋体" w:eastAsia="宋体" w:hint="default"/>
                <w:sz w:val="21"/>
                <w:szCs w:val="21"/>
              </w:rPr>
              <w:t>赁准则</w:t>
            </w:r>
          </w:p>
        </w:tc>
      </w:tr>
      <w:tr>
        <w:trPr>
          <w:trHeight w:val="634"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租赁负债</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sz w:val="21"/>
              </w:rPr>
              <w:t>21,535,283,336</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sz w:val="21"/>
              </w:rPr>
              <w:t>3.8</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94"/>
              <w:jc w:val="right"/>
              <w:rPr>
                <w:rFonts w:ascii="宋体" w:hAnsi="宋体" w:cs="宋体" w:eastAsia="宋体" w:hint="default"/>
                <w:sz w:val="21"/>
                <w:szCs w:val="21"/>
              </w:rPr>
            </w:pPr>
            <w:r>
              <w:rPr>
                <w:rFonts w:ascii="宋体" w:hAnsi="宋体" w:cs="宋体" w:eastAsia="宋体" w:hint="default"/>
                <w:sz w:val="21"/>
                <w:szCs w:val="21"/>
              </w:rPr>
              <w:t>不适用</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6"/>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24"/>
                <w:sz w:val="21"/>
                <w:szCs w:val="21"/>
              </w:rPr>
              <w:t> </w:t>
            </w:r>
            <w:r>
              <w:rPr>
                <w:rFonts w:ascii="宋体" w:hAnsi="宋体" w:cs="宋体" w:eastAsia="宋体" w:hint="default"/>
                <w:sz w:val="21"/>
                <w:szCs w:val="21"/>
              </w:rPr>
              <w:t>年开始执行新租</w:t>
            </w:r>
            <w:r>
              <w:rPr>
                <w:rFonts w:ascii="宋体" w:hAnsi="宋体" w:cs="宋体" w:eastAsia="宋体" w:hint="default"/>
                <w:spacing w:val="-102"/>
                <w:sz w:val="21"/>
                <w:szCs w:val="21"/>
              </w:rPr>
              <w:t> </w:t>
            </w:r>
            <w:r>
              <w:rPr>
                <w:rFonts w:ascii="宋体" w:hAnsi="宋体" w:cs="宋体" w:eastAsia="宋体" w:hint="default"/>
                <w:sz w:val="21"/>
                <w:szCs w:val="21"/>
              </w:rPr>
              <w:t>赁准则</w:t>
            </w:r>
          </w:p>
        </w:tc>
      </w:tr>
      <w:tr>
        <w:trPr>
          <w:trHeight w:val="634"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宋体" w:hAnsi="宋体" w:cs="宋体" w:eastAsia="宋体" w:hint="default"/>
                <w:sz w:val="21"/>
                <w:szCs w:val="21"/>
              </w:rPr>
            </w:pPr>
            <w:r>
              <w:rPr>
                <w:rFonts w:ascii="宋体" w:hAnsi="宋体" w:cs="宋体" w:eastAsia="宋体" w:hint="default"/>
                <w:sz w:val="21"/>
                <w:szCs w:val="21"/>
              </w:rPr>
              <w:t>应付票据</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宋体" w:hAnsi="宋体" w:cs="宋体" w:eastAsia="宋体" w:hint="default"/>
                <w:sz w:val="21"/>
                <w:szCs w:val="21"/>
              </w:rPr>
            </w:pPr>
            <w:r>
              <w:rPr>
                <w:rFonts w:ascii="宋体"/>
                <w:sz w:val="21"/>
              </w:rPr>
              <w:t>4,039,285,678</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宋体" w:hAnsi="宋体" w:cs="宋体" w:eastAsia="宋体" w:hint="default"/>
                <w:sz w:val="21"/>
                <w:szCs w:val="21"/>
              </w:rPr>
            </w:pPr>
            <w:r>
              <w:rPr>
                <w:rFonts w:ascii="宋体"/>
                <w:sz w:val="21"/>
              </w:rPr>
              <w:t>0.7</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宋体" w:hAnsi="宋体" w:cs="宋体" w:eastAsia="宋体" w:hint="default"/>
                <w:sz w:val="21"/>
                <w:szCs w:val="21"/>
              </w:rPr>
            </w:pPr>
            <w:r>
              <w:rPr>
                <w:rFonts w:ascii="宋体"/>
                <w:sz w:val="21"/>
              </w:rPr>
              <w:t>99,657,098</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2" w:right="0"/>
              <w:jc w:val="center"/>
              <w:rPr>
                <w:rFonts w:ascii="宋体" w:hAnsi="宋体" w:cs="宋体" w:eastAsia="宋体" w:hint="default"/>
                <w:sz w:val="21"/>
                <w:szCs w:val="21"/>
              </w:rPr>
            </w:pPr>
            <w:r>
              <w:rPr>
                <w:rFonts w:ascii="宋体"/>
                <w:sz w:val="21"/>
              </w:rPr>
              <w:t>0.02</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46"/>
              <w:jc w:val="right"/>
              <w:rPr>
                <w:rFonts w:ascii="宋体" w:hAnsi="宋体" w:cs="宋体" w:eastAsia="宋体" w:hint="default"/>
                <w:sz w:val="21"/>
                <w:szCs w:val="21"/>
              </w:rPr>
            </w:pPr>
            <w:r>
              <w:rPr>
                <w:rFonts w:ascii="宋体"/>
                <w:spacing w:val="-1"/>
                <w:sz w:val="21"/>
              </w:rPr>
              <w:t>3,953.2</w:t>
            </w:r>
            <w:r>
              <w:rPr>
                <w:rFonts w:ascii="宋体"/>
                <w:sz w:val="21"/>
              </w:rPr>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0"/>
              <w:jc w:val="left"/>
              <w:rPr>
                <w:rFonts w:ascii="宋体" w:hAnsi="宋体" w:cs="宋体" w:eastAsia="宋体" w:hint="default"/>
                <w:sz w:val="21"/>
                <w:szCs w:val="21"/>
              </w:rPr>
            </w:pPr>
            <w:r>
              <w:rPr>
                <w:rFonts w:ascii="宋体" w:hAnsi="宋体" w:cs="宋体" w:eastAsia="宋体" w:hint="default"/>
                <w:spacing w:val="12"/>
                <w:sz w:val="21"/>
                <w:szCs w:val="21"/>
              </w:rPr>
              <w:t>主要是统筹使用金融</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工具。</w:t>
            </w:r>
          </w:p>
        </w:tc>
      </w:tr>
      <w:tr>
        <w:trPr>
          <w:trHeight w:val="1572"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应付债券</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sz w:val="21"/>
              </w:rPr>
              <w:t>3,995,426,810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sz w:val="21"/>
              </w:rPr>
              <w:t>0.7</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sz w:val="21"/>
              </w:rPr>
              <w:t>998,985,859</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21"/>
                <w:szCs w:val="21"/>
              </w:rPr>
            </w:pPr>
            <w:r>
              <w:rPr>
                <w:rFonts w:ascii="宋体"/>
                <w:sz w:val="21"/>
              </w:rPr>
              <w:t>0.18</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245"/>
              <w:jc w:val="right"/>
              <w:rPr>
                <w:rFonts w:ascii="宋体" w:hAnsi="宋体" w:cs="宋体" w:eastAsia="宋体" w:hint="default"/>
                <w:sz w:val="21"/>
                <w:szCs w:val="21"/>
              </w:rPr>
            </w:pPr>
            <w:r>
              <w:rPr>
                <w:rFonts w:ascii="宋体"/>
                <w:sz w:val="21"/>
              </w:rPr>
              <w:t>299.9</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9"/>
              <w:jc w:val="left"/>
              <w:rPr>
                <w:rFonts w:ascii="宋体" w:hAnsi="宋体" w:cs="宋体" w:eastAsia="宋体" w:hint="default"/>
                <w:sz w:val="21"/>
                <w:szCs w:val="21"/>
              </w:rPr>
            </w:pPr>
            <w:r>
              <w:rPr>
                <w:rFonts w:ascii="宋体" w:hAnsi="宋体" w:cs="宋体" w:eastAsia="宋体" w:hint="default"/>
                <w:spacing w:val="12"/>
                <w:sz w:val="21"/>
                <w:szCs w:val="21"/>
              </w:rPr>
              <w:t>主要是由于联通运营</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公司于</w:t>
            </w:r>
            <w:r>
              <w:rPr>
                <w:rFonts w:ascii="宋体" w:hAnsi="宋体" w:cs="宋体" w:eastAsia="宋体" w:hint="default"/>
                <w:spacing w:val="-47"/>
                <w:sz w:val="21"/>
                <w:szCs w:val="21"/>
              </w:rPr>
              <w:t> </w:t>
            </w:r>
            <w:r>
              <w:rPr>
                <w:rFonts w:ascii="宋体" w:hAnsi="宋体" w:cs="宋体" w:eastAsia="宋体" w:hint="default"/>
                <w:sz w:val="21"/>
                <w:szCs w:val="21"/>
              </w:rPr>
              <w:t>2019</w:t>
            </w:r>
            <w:r>
              <w:rPr>
                <w:rFonts w:ascii="宋体" w:hAnsi="宋体" w:cs="宋体" w:eastAsia="宋体" w:hint="default"/>
                <w:spacing w:val="-47"/>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宋体" w:hAnsi="宋体" w:cs="宋体" w:eastAsia="宋体" w:hint="default"/>
                <w:sz w:val="21"/>
                <w:szCs w:val="21"/>
              </w:rPr>
              <w:t>6</w:t>
            </w:r>
            <w:r>
              <w:rPr>
                <w:rFonts w:ascii="宋体" w:hAnsi="宋体" w:cs="宋体" w:eastAsia="宋体" w:hint="default"/>
                <w:spacing w:val="-47"/>
                <w:sz w:val="21"/>
                <w:szCs w:val="21"/>
              </w:rPr>
              <w:t> </w:t>
            </w:r>
            <w:r>
              <w:rPr>
                <w:rFonts w:ascii="宋体" w:hAnsi="宋体" w:cs="宋体" w:eastAsia="宋体" w:hint="default"/>
                <w:sz w:val="21"/>
                <w:szCs w:val="21"/>
              </w:rPr>
              <w:t>月和</w:t>
            </w:r>
          </w:p>
          <w:p>
            <w:pPr>
              <w:pStyle w:val="TableParagraph"/>
              <w:spacing w:line="240" w:lineRule="auto" w:before="7"/>
              <w:ind w:left="103" w:right="0"/>
              <w:jc w:val="left"/>
              <w:rPr>
                <w:rFonts w:ascii="宋体" w:hAnsi="宋体" w:cs="宋体" w:eastAsia="宋体" w:hint="default"/>
                <w:sz w:val="21"/>
                <w:szCs w:val="21"/>
              </w:rPr>
            </w:pPr>
            <w:r>
              <w:rPr>
                <w:rFonts w:ascii="宋体" w:hAnsi="宋体" w:cs="宋体" w:eastAsia="宋体" w:hint="default"/>
                <w:sz w:val="21"/>
                <w:szCs w:val="21"/>
              </w:rPr>
              <w:t>11</w:t>
            </w:r>
            <w:r>
              <w:rPr>
                <w:rFonts w:ascii="宋体" w:hAnsi="宋体" w:cs="宋体" w:eastAsia="宋体" w:hint="default"/>
                <w:spacing w:val="25"/>
                <w:sz w:val="21"/>
                <w:szCs w:val="21"/>
              </w:rPr>
              <w:t> </w:t>
            </w:r>
            <w:r>
              <w:rPr>
                <w:rFonts w:ascii="宋体" w:hAnsi="宋体" w:cs="宋体" w:eastAsia="宋体" w:hint="default"/>
                <w:sz w:val="21"/>
                <w:szCs w:val="21"/>
              </w:rPr>
              <w:t>月分别发行公司债</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券人民币 </w:t>
            </w:r>
            <w:r>
              <w:rPr>
                <w:rFonts w:ascii="宋体" w:hAnsi="宋体" w:cs="宋体" w:eastAsia="宋体" w:hint="default"/>
                <w:sz w:val="21"/>
                <w:szCs w:val="21"/>
              </w:rPr>
              <w:t>20</w:t>
            </w:r>
            <w:r>
              <w:rPr>
                <w:rFonts w:ascii="宋体" w:hAnsi="宋体" w:cs="宋体" w:eastAsia="宋体" w:hint="default"/>
                <w:spacing w:val="-80"/>
                <w:sz w:val="21"/>
                <w:szCs w:val="21"/>
              </w:rPr>
              <w:t> </w:t>
            </w:r>
            <w:r>
              <w:rPr>
                <w:rFonts w:ascii="宋体" w:hAnsi="宋体" w:cs="宋体" w:eastAsia="宋体" w:hint="default"/>
                <w:sz w:val="21"/>
                <w:szCs w:val="21"/>
              </w:rPr>
              <w:t>亿元和中</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期票据</w:t>
            </w:r>
            <w:r>
              <w:rPr>
                <w:rFonts w:ascii="宋体" w:hAnsi="宋体" w:cs="宋体" w:eastAsia="宋体" w:hint="default"/>
                <w:spacing w:val="-52"/>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亿元。</w:t>
            </w:r>
          </w:p>
        </w:tc>
      </w:tr>
    </w:tbl>
    <w:p>
      <w:pPr>
        <w:spacing w:line="262" w:lineRule="exact" w:before="0"/>
        <w:ind w:left="678" w:right="0" w:firstLine="0"/>
        <w:jc w:val="left"/>
        <w:rPr>
          <w:rFonts w:ascii="宋体" w:hAnsi="宋体" w:cs="宋体" w:eastAsia="宋体" w:hint="default"/>
          <w:sz w:val="21"/>
          <w:szCs w:val="21"/>
        </w:rPr>
      </w:pPr>
      <w:r>
        <w:rPr>
          <w:rFonts w:ascii="宋体" w:hAnsi="宋体" w:cs="宋体" w:eastAsia="宋体" w:hint="default"/>
          <w:sz w:val="21"/>
          <w:szCs w:val="21"/>
        </w:rPr>
        <w:t>其他说明</w:t>
      </w:r>
    </w:p>
    <w:p>
      <w:pPr>
        <w:spacing w:line="240" w:lineRule="auto" w:before="13"/>
        <w:rPr>
          <w:rFonts w:ascii="宋体" w:hAnsi="宋体" w:cs="宋体" w:eastAsia="宋体" w:hint="default"/>
          <w:sz w:val="18"/>
          <w:szCs w:val="18"/>
        </w:rPr>
      </w:pPr>
    </w:p>
    <w:p>
      <w:pPr>
        <w:spacing w:before="0"/>
        <w:ind w:left="1050" w:right="0" w:firstLine="0"/>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48"/>
          <w:sz w:val="21"/>
          <w:szCs w:val="21"/>
        </w:rPr>
        <w:t> </w:t>
      </w:r>
      <w:r>
        <w:rPr>
          <w:rFonts w:ascii="宋体" w:hAnsi="宋体" w:cs="宋体" w:eastAsia="宋体" w:hint="default"/>
          <w:sz w:val="21"/>
          <w:szCs w:val="21"/>
        </w:rPr>
        <w:t>2019</w:t>
      </w:r>
      <w:r>
        <w:rPr>
          <w:rFonts w:ascii="宋体" w:hAnsi="宋体" w:cs="宋体" w:eastAsia="宋体" w:hint="default"/>
          <w:spacing w:val="-50"/>
          <w:sz w:val="21"/>
          <w:szCs w:val="21"/>
        </w:rPr>
        <w:t> </w:t>
      </w:r>
      <w:r>
        <w:rPr>
          <w:rFonts w:ascii="宋体" w:hAnsi="宋体" w:cs="宋体" w:eastAsia="宋体" w:hint="default"/>
          <w:spacing w:val="-4"/>
          <w:sz w:val="21"/>
          <w:szCs w:val="21"/>
        </w:rPr>
        <w:t>年底，公司资产总额由上年底的人民币</w:t>
      </w:r>
      <w:r>
        <w:rPr>
          <w:rFonts w:ascii="宋体" w:hAnsi="宋体" w:cs="宋体" w:eastAsia="宋体" w:hint="default"/>
          <w:spacing w:val="-47"/>
          <w:sz w:val="21"/>
          <w:szCs w:val="21"/>
        </w:rPr>
        <w:t> </w:t>
      </w:r>
      <w:r>
        <w:rPr>
          <w:rFonts w:ascii="宋体" w:hAnsi="宋体" w:cs="宋体" w:eastAsia="宋体" w:hint="default"/>
          <w:sz w:val="21"/>
          <w:szCs w:val="21"/>
        </w:rPr>
        <w:t>5,417.6</w:t>
      </w:r>
      <w:r>
        <w:rPr>
          <w:rFonts w:ascii="宋体" w:hAnsi="宋体" w:cs="宋体" w:eastAsia="宋体" w:hint="default"/>
          <w:spacing w:val="-50"/>
          <w:sz w:val="21"/>
          <w:szCs w:val="21"/>
        </w:rPr>
        <w:t> </w:t>
      </w:r>
      <w:r>
        <w:rPr>
          <w:rFonts w:ascii="宋体" w:hAnsi="宋体" w:cs="宋体" w:eastAsia="宋体" w:hint="default"/>
          <w:sz w:val="21"/>
          <w:szCs w:val="21"/>
        </w:rPr>
        <w:t>亿元变化至人民币</w:t>
      </w:r>
      <w:r>
        <w:rPr>
          <w:rFonts w:ascii="宋体" w:hAnsi="宋体" w:cs="宋体" w:eastAsia="宋体" w:hint="default"/>
          <w:spacing w:val="-50"/>
          <w:sz w:val="21"/>
          <w:szCs w:val="21"/>
        </w:rPr>
        <w:t> </w:t>
      </w:r>
      <w:r>
        <w:rPr>
          <w:rFonts w:ascii="宋体" w:hAnsi="宋体" w:cs="宋体" w:eastAsia="宋体" w:hint="default"/>
          <w:sz w:val="21"/>
          <w:szCs w:val="21"/>
        </w:rPr>
        <w:t>5,642.3</w:t>
      </w:r>
      <w:r>
        <w:rPr>
          <w:rFonts w:ascii="宋体" w:hAnsi="宋体" w:cs="宋体" w:eastAsia="宋体" w:hint="default"/>
          <w:spacing w:val="-48"/>
          <w:sz w:val="21"/>
          <w:szCs w:val="21"/>
        </w:rPr>
        <w:t> </w:t>
      </w:r>
      <w:r>
        <w:rPr>
          <w:rFonts w:ascii="宋体" w:hAnsi="宋体" w:cs="宋体" w:eastAsia="宋体" w:hint="default"/>
          <w:spacing w:val="-10"/>
          <w:sz w:val="21"/>
          <w:szCs w:val="21"/>
        </w:rPr>
        <w:t>亿元，负债</w:t>
      </w:r>
    </w:p>
    <w:p>
      <w:pPr>
        <w:spacing w:line="314" w:lineRule="auto" w:before="85"/>
        <w:ind w:left="678" w:right="824" w:firstLine="0"/>
        <w:jc w:val="left"/>
        <w:rPr>
          <w:rFonts w:ascii="宋体" w:hAnsi="宋体" w:cs="宋体" w:eastAsia="宋体" w:hint="default"/>
          <w:sz w:val="21"/>
          <w:szCs w:val="21"/>
        </w:rPr>
      </w:pPr>
      <w:r>
        <w:rPr>
          <w:rFonts w:ascii="宋体" w:hAnsi="宋体" w:cs="宋体" w:eastAsia="宋体" w:hint="default"/>
          <w:sz w:val="21"/>
          <w:szCs w:val="21"/>
        </w:rPr>
        <w:t>总额由上年底的人民币</w:t>
      </w:r>
      <w:r>
        <w:rPr>
          <w:rFonts w:ascii="宋体" w:hAnsi="宋体" w:cs="宋体" w:eastAsia="宋体" w:hint="default"/>
          <w:spacing w:val="-48"/>
          <w:sz w:val="21"/>
          <w:szCs w:val="21"/>
        </w:rPr>
        <w:t> </w:t>
      </w:r>
      <w:r>
        <w:rPr>
          <w:rFonts w:ascii="宋体" w:hAnsi="宋体" w:cs="宋体" w:eastAsia="宋体" w:hint="default"/>
          <w:sz w:val="21"/>
          <w:szCs w:val="21"/>
        </w:rPr>
        <w:t>2,248.2</w:t>
      </w:r>
      <w:r>
        <w:rPr>
          <w:rFonts w:ascii="宋体" w:hAnsi="宋体" w:cs="宋体" w:eastAsia="宋体" w:hint="default"/>
          <w:spacing w:val="-50"/>
          <w:sz w:val="21"/>
          <w:szCs w:val="21"/>
        </w:rPr>
        <w:t> </w:t>
      </w:r>
      <w:r>
        <w:rPr>
          <w:rFonts w:ascii="宋体" w:hAnsi="宋体" w:cs="宋体" w:eastAsia="宋体" w:hint="default"/>
          <w:sz w:val="21"/>
          <w:szCs w:val="21"/>
        </w:rPr>
        <w:t>亿元变化至人民币</w:t>
      </w:r>
      <w:r>
        <w:rPr>
          <w:rFonts w:ascii="宋体" w:hAnsi="宋体" w:cs="宋体" w:eastAsia="宋体" w:hint="default"/>
          <w:spacing w:val="-48"/>
          <w:sz w:val="21"/>
          <w:szCs w:val="21"/>
        </w:rPr>
        <w:t> </w:t>
      </w:r>
      <w:r>
        <w:rPr>
          <w:rFonts w:ascii="宋体" w:hAnsi="宋体" w:cs="宋体" w:eastAsia="宋体" w:hint="default"/>
          <w:sz w:val="21"/>
          <w:szCs w:val="21"/>
        </w:rPr>
        <w:t>2,407.3</w:t>
      </w:r>
      <w:r>
        <w:rPr>
          <w:rFonts w:ascii="宋体" w:hAnsi="宋体" w:cs="宋体" w:eastAsia="宋体" w:hint="default"/>
          <w:spacing w:val="-50"/>
          <w:sz w:val="21"/>
          <w:szCs w:val="21"/>
        </w:rPr>
        <w:t> </w:t>
      </w:r>
      <w:r>
        <w:rPr>
          <w:rFonts w:ascii="宋体" w:hAnsi="宋体" w:cs="宋体" w:eastAsia="宋体" w:hint="default"/>
          <w:sz w:val="21"/>
          <w:szCs w:val="21"/>
        </w:rPr>
        <w:t>亿元，资产负债率由上年底的</w:t>
      </w:r>
      <w:r>
        <w:rPr>
          <w:rFonts w:ascii="宋体" w:hAnsi="宋体" w:cs="宋体" w:eastAsia="宋体" w:hint="default"/>
          <w:spacing w:val="-50"/>
          <w:sz w:val="21"/>
          <w:szCs w:val="21"/>
        </w:rPr>
        <w:t> </w:t>
      </w:r>
      <w:r>
        <w:rPr>
          <w:rFonts w:ascii="宋体" w:hAnsi="宋体" w:cs="宋体" w:eastAsia="宋体" w:hint="default"/>
          <w:sz w:val="21"/>
          <w:szCs w:val="21"/>
        </w:rPr>
        <w:t>41.5%</w:t>
      </w:r>
      <w:r>
        <w:rPr>
          <w:rFonts w:ascii="宋体" w:hAnsi="宋体" w:cs="宋体" w:eastAsia="宋体" w:hint="default"/>
          <w:sz w:val="21"/>
          <w:szCs w:val="21"/>
        </w:rPr>
        <w:t>变化</w:t>
      </w:r>
      <w:r>
        <w:rPr>
          <w:rFonts w:ascii="宋体" w:hAnsi="宋体" w:cs="宋体" w:eastAsia="宋体" w:hint="default"/>
          <w:spacing w:val="-3"/>
          <w:w w:val="100"/>
          <w:sz w:val="21"/>
          <w:szCs w:val="21"/>
        </w:rPr>
        <w:t> </w:t>
      </w:r>
      <w:r>
        <w:rPr>
          <w:rFonts w:ascii="宋体" w:hAnsi="宋体" w:cs="宋体" w:eastAsia="宋体" w:hint="default"/>
          <w:sz w:val="21"/>
          <w:szCs w:val="21"/>
        </w:rPr>
        <w:t>至</w:t>
      </w:r>
      <w:r>
        <w:rPr>
          <w:rFonts w:ascii="宋体" w:hAnsi="宋体" w:cs="宋体" w:eastAsia="宋体" w:hint="default"/>
          <w:spacing w:val="-55"/>
          <w:sz w:val="21"/>
          <w:szCs w:val="21"/>
        </w:rPr>
        <w:t> </w:t>
      </w:r>
      <w:r>
        <w:rPr>
          <w:rFonts w:ascii="宋体" w:hAnsi="宋体" w:cs="宋体" w:eastAsia="宋体" w:hint="default"/>
          <w:sz w:val="21"/>
          <w:szCs w:val="21"/>
        </w:rPr>
        <w:t>42.7%</w:t>
      </w:r>
      <w:r>
        <w:rPr>
          <w:rFonts w:ascii="宋体" w:hAnsi="宋体" w:cs="宋体" w:eastAsia="宋体" w:hint="default"/>
          <w:sz w:val="21"/>
          <w:szCs w:val="21"/>
        </w:rPr>
        <w:t>，主要是受执行新租赁准则的影响。</w:t>
      </w:r>
    </w:p>
    <w:p>
      <w:pPr>
        <w:spacing w:line="240" w:lineRule="auto" w:before="0"/>
        <w:rPr>
          <w:rFonts w:ascii="宋体" w:hAnsi="宋体" w:cs="宋体" w:eastAsia="宋体" w:hint="default"/>
          <w:sz w:val="20"/>
          <w:szCs w:val="20"/>
        </w:rPr>
      </w:pPr>
    </w:p>
    <w:p>
      <w:pPr>
        <w:tabs>
          <w:tab w:pos="1098" w:val="left" w:leader="none"/>
        </w:tabs>
        <w:spacing w:before="164"/>
        <w:ind w:left="678"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0"/>
          <w:sz w:val="21"/>
          <w:szCs w:val="21"/>
        </w:rPr>
        <w:t>2.</w:t>
        <w:tab/>
      </w:r>
      <w:r>
        <w:rPr>
          <w:rFonts w:ascii="Microsoft JhengHei" w:hAnsi="Microsoft JhengHei" w:cs="Microsoft JhengHei" w:eastAsia="Microsoft JhengHei" w:hint="default"/>
          <w:b/>
          <w:bCs/>
          <w:w w:val="110"/>
          <w:sz w:val="21"/>
          <w:szCs w:val="21"/>
        </w:rPr>
        <w:t>截至报告期末主要资产受限情况</w:t>
      </w:r>
      <w:r>
        <w:rPr>
          <w:rFonts w:ascii="Microsoft JhengHei" w:hAnsi="Microsoft JhengHei" w:cs="Microsoft JhengHei" w:eastAsia="Microsoft JhengHei" w:hint="default"/>
          <w:w w:val="110"/>
          <w:sz w:val="21"/>
          <w:szCs w:val="21"/>
        </w:rPr>
      </w:r>
    </w:p>
    <w:p>
      <w:pPr>
        <w:tabs>
          <w:tab w:pos="1521" w:val="left" w:leader="none"/>
        </w:tabs>
        <w:spacing w:before="73"/>
        <w:ind w:left="678" w:right="0" w:firstLine="0"/>
        <w:jc w:val="left"/>
        <w:rPr>
          <w:rFonts w:ascii="宋体" w:hAnsi="宋体" w:cs="宋体" w:eastAsia="宋体" w:hint="default"/>
          <w:sz w:val="21"/>
          <w:szCs w:val="21"/>
        </w:rPr>
      </w:pPr>
      <w:r>
        <w:rPr>
          <w:rFonts w:ascii="宋体" w:hAnsi="宋体" w:cs="宋体" w:eastAsia="宋体" w:hint="default"/>
          <w:sz w:val="21"/>
          <w:szCs w:val="21"/>
        </w:rPr>
        <w:t>□适用</w:t>
        <w:tab/>
        <w:t>√不适用</w:t>
      </w:r>
    </w:p>
    <w:p>
      <w:pPr>
        <w:spacing w:line="240" w:lineRule="auto" w:before="2"/>
        <w:rPr>
          <w:rFonts w:ascii="宋体" w:hAnsi="宋体" w:cs="宋体" w:eastAsia="宋体" w:hint="default"/>
          <w:sz w:val="26"/>
          <w:szCs w:val="26"/>
        </w:rPr>
      </w:pPr>
    </w:p>
    <w:p>
      <w:pPr>
        <w:tabs>
          <w:tab w:pos="1518" w:val="left" w:leader="none"/>
        </w:tabs>
        <w:spacing w:before="0"/>
        <w:ind w:left="678"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5"/>
          <w:sz w:val="21"/>
          <w:szCs w:val="21"/>
        </w:rPr>
        <w:t>(</w:t>
      </w:r>
      <w:r>
        <w:rPr>
          <w:rFonts w:ascii="Microsoft JhengHei" w:hAnsi="Microsoft JhengHei" w:cs="Microsoft JhengHei" w:eastAsia="Microsoft JhengHei" w:hint="default"/>
          <w:b/>
          <w:bCs/>
          <w:w w:val="115"/>
          <w:sz w:val="21"/>
          <w:szCs w:val="21"/>
        </w:rPr>
        <w:t>四</w:t>
      </w:r>
      <w:r>
        <w:rPr>
          <w:rFonts w:ascii="Arial" w:hAnsi="Arial" w:cs="Arial" w:eastAsia="Arial" w:hint="default"/>
          <w:b/>
          <w:bCs/>
          <w:w w:val="115"/>
          <w:sz w:val="21"/>
          <w:szCs w:val="21"/>
        </w:rPr>
        <w:t>)</w:t>
        <w:tab/>
      </w:r>
      <w:r>
        <w:rPr>
          <w:rFonts w:ascii="Microsoft JhengHei" w:hAnsi="Microsoft JhengHei" w:cs="Microsoft JhengHei" w:eastAsia="Microsoft JhengHei" w:hint="default"/>
          <w:b/>
          <w:bCs/>
          <w:w w:val="115"/>
          <w:sz w:val="21"/>
          <w:szCs w:val="21"/>
        </w:rPr>
        <w:t>行业经营性信息分析</w:t>
      </w:r>
      <w:r>
        <w:rPr>
          <w:rFonts w:ascii="Microsoft JhengHei" w:hAnsi="Microsoft JhengHei" w:cs="Microsoft JhengHei" w:eastAsia="Microsoft JhengHei" w:hint="default"/>
          <w:w w:val="115"/>
          <w:sz w:val="21"/>
          <w:szCs w:val="21"/>
        </w:rPr>
      </w:r>
    </w:p>
    <w:p>
      <w:pPr>
        <w:spacing w:line="240" w:lineRule="auto" w:before="16"/>
        <w:rPr>
          <w:rFonts w:ascii="Microsoft JhengHei" w:hAnsi="Microsoft JhengHei" w:cs="Microsoft JhengHei" w:eastAsia="Microsoft JhengHei" w:hint="default"/>
          <w:b/>
          <w:bCs/>
          <w:sz w:val="12"/>
          <w:szCs w:val="12"/>
        </w:rPr>
      </w:pPr>
    </w:p>
    <w:p>
      <w:pPr>
        <w:spacing w:line="314" w:lineRule="auto" w:before="0"/>
        <w:ind w:left="678" w:right="0" w:firstLine="372"/>
        <w:jc w:val="left"/>
        <w:rPr>
          <w:rFonts w:ascii="宋体" w:hAnsi="宋体" w:cs="宋体" w:eastAsia="宋体" w:hint="default"/>
          <w:sz w:val="21"/>
          <w:szCs w:val="21"/>
        </w:rPr>
      </w:pPr>
      <w:r>
        <w:rPr>
          <w:rFonts w:ascii="宋体" w:hAnsi="宋体" w:cs="宋体" w:eastAsia="宋体" w:hint="default"/>
          <w:sz w:val="21"/>
          <w:szCs w:val="21"/>
        </w:rPr>
        <w:t>2019 </w:t>
      </w:r>
      <w:r>
        <w:rPr>
          <w:rFonts w:ascii="宋体" w:hAnsi="宋体" w:cs="宋体" w:eastAsia="宋体" w:hint="default"/>
          <w:spacing w:val="-3"/>
          <w:sz w:val="21"/>
          <w:szCs w:val="21"/>
        </w:rPr>
        <w:t>年，我国通信业深入贯彻落实党中央、国务院决策部署，坚持新发展理念，积极践行网络强</w:t>
      </w:r>
      <w:r>
        <w:rPr>
          <w:rFonts w:ascii="宋体" w:hAnsi="宋体" w:cs="宋体" w:eastAsia="宋体" w:hint="default"/>
          <w:w w:val="100"/>
          <w:sz w:val="21"/>
          <w:szCs w:val="21"/>
        </w:rPr>
        <w:t> </w:t>
      </w:r>
      <w:r>
        <w:rPr>
          <w:rFonts w:ascii="宋体" w:hAnsi="宋体" w:cs="宋体" w:eastAsia="宋体" w:hint="default"/>
          <w:spacing w:val="-2"/>
          <w:sz w:val="21"/>
          <w:szCs w:val="21"/>
        </w:rPr>
        <w:t>国战略，</w:t>
      </w:r>
      <w:r>
        <w:rPr>
          <w:rFonts w:ascii="宋体" w:hAnsi="宋体" w:cs="宋体" w:eastAsia="宋体" w:hint="default"/>
          <w:spacing w:val="-2"/>
          <w:sz w:val="21"/>
          <w:szCs w:val="21"/>
        </w:rPr>
        <w:t>5G</w:t>
      </w:r>
      <w:r>
        <w:rPr>
          <w:rFonts w:ascii="宋体" w:hAnsi="宋体" w:cs="宋体" w:eastAsia="宋体" w:hint="default"/>
          <w:spacing w:val="22"/>
          <w:sz w:val="21"/>
          <w:szCs w:val="21"/>
        </w:rPr>
        <w:t> </w:t>
      </w:r>
      <w:r>
        <w:rPr>
          <w:rFonts w:ascii="宋体" w:hAnsi="宋体" w:cs="宋体" w:eastAsia="宋体" w:hint="default"/>
          <w:spacing w:val="-2"/>
          <w:sz w:val="21"/>
          <w:szCs w:val="21"/>
        </w:rPr>
        <w:t>建设有序推进，新型信息基础设施能力不断提升，有力支撑社会的数字化转型。</w:t>
      </w:r>
    </w:p>
    <w:p>
      <w:pPr>
        <w:spacing w:line="314" w:lineRule="auto" w:before="176"/>
        <w:ind w:left="678" w:right="0" w:firstLine="372"/>
        <w:jc w:val="left"/>
        <w:rPr>
          <w:rFonts w:ascii="宋体" w:hAnsi="宋体" w:cs="宋体" w:eastAsia="宋体" w:hint="default"/>
          <w:sz w:val="21"/>
          <w:szCs w:val="21"/>
        </w:rPr>
      </w:pPr>
      <w:r>
        <w:rPr>
          <w:rFonts w:ascii="宋体" w:hAnsi="宋体" w:cs="宋体" w:eastAsia="宋体" w:hint="default"/>
          <w:sz w:val="21"/>
          <w:szCs w:val="21"/>
        </w:rPr>
        <w:t>2019 </w:t>
      </w:r>
      <w:r>
        <w:rPr>
          <w:rFonts w:ascii="宋体" w:hAnsi="宋体" w:cs="宋体" w:eastAsia="宋体" w:hint="default"/>
          <w:spacing w:val="-4"/>
          <w:sz w:val="21"/>
          <w:szCs w:val="21"/>
        </w:rPr>
        <w:t>年，我国电信行业保持平稳运行。电信业务收入企稳回升，比上年增长</w:t>
      </w:r>
      <w:r>
        <w:rPr>
          <w:rFonts w:ascii="宋体" w:hAnsi="宋体" w:cs="宋体" w:eastAsia="宋体" w:hint="default"/>
          <w:spacing w:val="-43"/>
          <w:sz w:val="21"/>
          <w:szCs w:val="21"/>
        </w:rPr>
        <w:t> </w:t>
      </w:r>
      <w:r>
        <w:rPr>
          <w:rFonts w:ascii="宋体" w:hAnsi="宋体" w:cs="宋体" w:eastAsia="宋体" w:hint="default"/>
          <w:spacing w:val="-4"/>
          <w:sz w:val="21"/>
          <w:szCs w:val="21"/>
        </w:rPr>
        <w:t>0.8%</w:t>
      </w:r>
      <w:r>
        <w:rPr>
          <w:rFonts w:ascii="宋体" w:hAnsi="宋体" w:cs="宋体" w:eastAsia="宋体" w:hint="default"/>
          <w:spacing w:val="-4"/>
          <w:sz w:val="21"/>
          <w:szCs w:val="21"/>
        </w:rPr>
        <w:t>，电信业务总量</w:t>
      </w:r>
      <w:r>
        <w:rPr>
          <w:rFonts w:ascii="宋体" w:hAnsi="宋体" w:cs="宋体" w:eastAsia="宋体" w:hint="default"/>
          <w:w w:val="100"/>
          <w:sz w:val="21"/>
          <w:szCs w:val="21"/>
        </w:rPr>
        <w:t> </w:t>
      </w:r>
      <w:r>
        <w:rPr>
          <w:rFonts w:ascii="宋体" w:hAnsi="宋体" w:cs="宋体" w:eastAsia="宋体" w:hint="default"/>
          <w:sz w:val="21"/>
          <w:szCs w:val="21"/>
        </w:rPr>
        <w:t>较快增长，按照上年价格计算，比上年增长</w:t>
      </w:r>
      <w:r>
        <w:rPr>
          <w:rFonts w:ascii="宋体" w:hAnsi="宋体" w:cs="宋体" w:eastAsia="宋体" w:hint="default"/>
          <w:spacing w:val="-49"/>
          <w:sz w:val="21"/>
          <w:szCs w:val="21"/>
        </w:rPr>
        <w:t> </w:t>
      </w:r>
      <w:r>
        <w:rPr>
          <w:rFonts w:ascii="宋体" w:hAnsi="宋体" w:cs="宋体" w:eastAsia="宋体" w:hint="default"/>
          <w:sz w:val="21"/>
          <w:szCs w:val="21"/>
        </w:rPr>
        <w:t>18.5%</w:t>
      </w:r>
      <w:r>
        <w:rPr>
          <w:rFonts w:ascii="宋体" w:hAnsi="宋体" w:cs="宋体" w:eastAsia="宋体" w:hint="default"/>
          <w:sz w:val="21"/>
          <w:szCs w:val="21"/>
        </w:rPr>
        <w:t>。固定通信业务收入完成</w:t>
      </w:r>
      <w:r>
        <w:rPr>
          <w:rFonts w:ascii="宋体" w:hAnsi="宋体" w:cs="宋体" w:eastAsia="宋体" w:hint="default"/>
          <w:spacing w:val="-49"/>
          <w:sz w:val="21"/>
          <w:szCs w:val="21"/>
        </w:rPr>
        <w:t> </w:t>
      </w:r>
      <w:r>
        <w:rPr>
          <w:rFonts w:ascii="宋体" w:hAnsi="宋体" w:cs="宋体" w:eastAsia="宋体" w:hint="default"/>
          <w:sz w:val="21"/>
          <w:szCs w:val="21"/>
        </w:rPr>
        <w:t>4,161</w:t>
      </w:r>
      <w:r>
        <w:rPr>
          <w:rFonts w:ascii="宋体" w:hAnsi="宋体" w:cs="宋体" w:eastAsia="宋体" w:hint="default"/>
          <w:spacing w:val="-47"/>
          <w:sz w:val="21"/>
          <w:szCs w:val="21"/>
        </w:rPr>
        <w:t> </w:t>
      </w:r>
      <w:r>
        <w:rPr>
          <w:rFonts w:ascii="宋体" w:hAnsi="宋体" w:cs="宋体" w:eastAsia="宋体" w:hint="default"/>
          <w:sz w:val="21"/>
          <w:szCs w:val="21"/>
        </w:rPr>
        <w:t>亿元，比上年增长</w:t>
      </w:r>
    </w:p>
    <w:p>
      <w:pPr>
        <w:spacing w:after="0" w:line="314" w:lineRule="auto"/>
        <w:jc w:val="left"/>
        <w:rPr>
          <w:rFonts w:ascii="宋体" w:hAnsi="宋体" w:cs="宋体" w:eastAsia="宋体" w:hint="default"/>
          <w:sz w:val="21"/>
          <w:szCs w:val="21"/>
        </w:rPr>
        <w:sectPr>
          <w:type w:val="continuous"/>
          <w:pgSz w:w="11910" w:h="16840"/>
          <w:pgMar w:top="1360" w:bottom="700" w:left="740" w:right="440"/>
        </w:sectPr>
      </w:pPr>
    </w:p>
    <w:p>
      <w:pPr>
        <w:spacing w:line="240" w:lineRule="auto" w:before="13"/>
        <w:rPr>
          <w:rFonts w:ascii="宋体" w:hAnsi="宋体" w:cs="宋体" w:eastAsia="宋体" w:hint="default"/>
          <w:sz w:val="12"/>
          <w:szCs w:val="12"/>
        </w:rPr>
      </w:pPr>
    </w:p>
    <w:p>
      <w:pPr>
        <w:spacing w:line="314" w:lineRule="auto" w:before="36"/>
        <w:ind w:left="538" w:right="125" w:firstLine="0"/>
        <w:jc w:val="left"/>
        <w:rPr>
          <w:rFonts w:ascii="宋体" w:hAnsi="宋体" w:cs="宋体" w:eastAsia="宋体" w:hint="default"/>
          <w:sz w:val="21"/>
          <w:szCs w:val="21"/>
        </w:rPr>
      </w:pPr>
      <w:r>
        <w:rPr>
          <w:rFonts w:ascii="宋体" w:hAnsi="宋体" w:cs="宋体" w:eastAsia="宋体" w:hint="default"/>
          <w:sz w:val="21"/>
          <w:szCs w:val="21"/>
        </w:rPr>
        <w:t>9.5%</w:t>
      </w:r>
      <w:r>
        <w:rPr>
          <w:rFonts w:ascii="宋体" w:hAnsi="宋体" w:cs="宋体" w:eastAsia="宋体" w:hint="default"/>
          <w:sz w:val="21"/>
          <w:szCs w:val="21"/>
        </w:rPr>
        <w:t>，占比持续提高，移动通信业务实现收入</w:t>
      </w:r>
      <w:r>
        <w:rPr>
          <w:rFonts w:ascii="宋体" w:hAnsi="宋体" w:cs="宋体" w:eastAsia="宋体" w:hint="default"/>
          <w:spacing w:val="-55"/>
          <w:sz w:val="21"/>
          <w:szCs w:val="21"/>
        </w:rPr>
        <w:t> </w:t>
      </w:r>
      <w:r>
        <w:rPr>
          <w:rFonts w:ascii="宋体" w:hAnsi="宋体" w:cs="宋体" w:eastAsia="宋体" w:hint="default"/>
          <w:sz w:val="21"/>
          <w:szCs w:val="21"/>
        </w:rPr>
        <w:t>8,942</w:t>
      </w:r>
      <w:r>
        <w:rPr>
          <w:rFonts w:ascii="宋体" w:hAnsi="宋体" w:cs="宋体" w:eastAsia="宋体" w:hint="default"/>
          <w:spacing w:val="-55"/>
          <w:sz w:val="21"/>
          <w:szCs w:val="21"/>
        </w:rPr>
        <w:t> </w:t>
      </w:r>
      <w:r>
        <w:rPr>
          <w:rFonts w:ascii="宋体" w:hAnsi="宋体" w:cs="宋体" w:eastAsia="宋体" w:hint="default"/>
          <w:sz w:val="21"/>
          <w:szCs w:val="21"/>
        </w:rPr>
        <w:t>亿元，较上年减少</w:t>
      </w:r>
      <w:r>
        <w:rPr>
          <w:rFonts w:ascii="宋体" w:hAnsi="宋体" w:cs="宋体" w:eastAsia="宋体" w:hint="default"/>
          <w:spacing w:val="-57"/>
          <w:sz w:val="21"/>
          <w:szCs w:val="21"/>
        </w:rPr>
        <w:t> </w:t>
      </w:r>
      <w:r>
        <w:rPr>
          <w:rFonts w:ascii="宋体" w:hAnsi="宋体" w:cs="宋体" w:eastAsia="宋体" w:hint="default"/>
          <w:sz w:val="21"/>
          <w:szCs w:val="21"/>
        </w:rPr>
        <w:t>2.9%</w:t>
      </w:r>
      <w:r>
        <w:rPr>
          <w:rFonts w:ascii="宋体" w:hAnsi="宋体" w:cs="宋体" w:eastAsia="宋体" w:hint="default"/>
          <w:sz w:val="21"/>
          <w:szCs w:val="21"/>
        </w:rPr>
        <w:t>。在用户规模增长放缓、</w:t>
      </w:r>
      <w:r>
        <w:rPr>
          <w:rFonts w:ascii="宋体" w:hAnsi="宋体" w:cs="宋体" w:eastAsia="宋体" w:hint="default"/>
          <w:w w:val="100"/>
          <w:sz w:val="21"/>
          <w:szCs w:val="21"/>
        </w:rPr>
        <w:t> </w:t>
      </w:r>
      <w:r>
        <w:rPr>
          <w:rFonts w:ascii="宋体" w:hAnsi="宋体" w:cs="宋体" w:eastAsia="宋体" w:hint="default"/>
          <w:sz w:val="21"/>
          <w:szCs w:val="21"/>
        </w:rPr>
        <w:t>互联网应用的替代作用影响下，</w:t>
      </w:r>
      <w:r>
        <w:rPr>
          <w:rFonts w:ascii="宋体" w:hAnsi="宋体" w:cs="宋体" w:eastAsia="宋体" w:hint="default"/>
          <w:sz w:val="21"/>
          <w:szCs w:val="21"/>
        </w:rPr>
        <w:t>2019</w:t>
      </w:r>
      <w:r>
        <w:rPr>
          <w:rFonts w:ascii="宋体" w:hAnsi="宋体" w:cs="宋体" w:eastAsia="宋体" w:hint="default"/>
          <w:spacing w:val="-57"/>
          <w:sz w:val="21"/>
          <w:szCs w:val="21"/>
        </w:rPr>
        <w:t> </w:t>
      </w:r>
      <w:r>
        <w:rPr>
          <w:rFonts w:ascii="宋体" w:hAnsi="宋体" w:cs="宋体" w:eastAsia="宋体" w:hint="default"/>
          <w:sz w:val="21"/>
          <w:szCs w:val="21"/>
        </w:rPr>
        <w:t>年，话音业务收入下降</w:t>
      </w:r>
      <w:r>
        <w:rPr>
          <w:rFonts w:ascii="宋体" w:hAnsi="宋体" w:cs="宋体" w:eastAsia="宋体" w:hint="default"/>
          <w:spacing w:val="-57"/>
          <w:sz w:val="21"/>
          <w:szCs w:val="21"/>
        </w:rPr>
        <w:t> </w:t>
      </w:r>
      <w:r>
        <w:rPr>
          <w:rFonts w:ascii="宋体" w:hAnsi="宋体" w:cs="宋体" w:eastAsia="宋体" w:hint="default"/>
          <w:sz w:val="21"/>
          <w:szCs w:val="21"/>
        </w:rPr>
        <w:t>15.5%</w:t>
      </w:r>
      <w:r>
        <w:rPr>
          <w:rFonts w:ascii="宋体" w:hAnsi="宋体" w:cs="宋体" w:eastAsia="宋体" w:hint="default"/>
          <w:sz w:val="21"/>
          <w:szCs w:val="21"/>
        </w:rPr>
        <w:t>。</w:t>
      </w:r>
    </w:p>
    <w:p>
      <w:pPr>
        <w:spacing w:line="314" w:lineRule="auto" w:before="176"/>
        <w:ind w:left="538" w:right="0" w:firstLine="372"/>
        <w:jc w:val="left"/>
        <w:rPr>
          <w:rFonts w:ascii="宋体" w:hAnsi="宋体" w:cs="宋体" w:eastAsia="宋体" w:hint="default"/>
          <w:sz w:val="21"/>
          <w:szCs w:val="21"/>
        </w:rPr>
      </w:pPr>
      <w:r>
        <w:rPr>
          <w:rFonts w:ascii="宋体" w:hAnsi="宋体" w:cs="宋体" w:eastAsia="宋体" w:hint="default"/>
          <w:sz w:val="21"/>
          <w:szCs w:val="21"/>
        </w:rPr>
        <w:t>密切配合地方政府，加快推动智慧城市等重大工程和项目建设，积极提供</w:t>
      </w:r>
      <w:r>
        <w:rPr>
          <w:rFonts w:ascii="宋体" w:hAnsi="宋体" w:cs="宋体" w:eastAsia="宋体" w:hint="default"/>
          <w:spacing w:val="-56"/>
          <w:sz w:val="21"/>
          <w:szCs w:val="21"/>
        </w:rPr>
        <w:t> </w:t>
      </w:r>
      <w:r>
        <w:rPr>
          <w:rFonts w:ascii="宋体" w:hAnsi="宋体" w:cs="宋体" w:eastAsia="宋体" w:hint="default"/>
          <w:sz w:val="21"/>
          <w:szCs w:val="21"/>
        </w:rPr>
        <w:t>5G</w:t>
      </w:r>
      <w:r>
        <w:rPr>
          <w:rFonts w:ascii="宋体" w:hAnsi="宋体" w:cs="宋体" w:eastAsia="宋体" w:hint="default"/>
          <w:sz w:val="21"/>
          <w:szCs w:val="21"/>
        </w:rPr>
        <w:t>、物联网、大数据、</w:t>
      </w:r>
      <w:r>
        <w:rPr>
          <w:rFonts w:ascii="宋体" w:hAnsi="宋体" w:cs="宋体" w:eastAsia="宋体" w:hint="default"/>
          <w:w w:val="100"/>
          <w:sz w:val="21"/>
          <w:szCs w:val="21"/>
        </w:rPr>
        <w:t> </w:t>
      </w:r>
      <w:r>
        <w:rPr>
          <w:rFonts w:ascii="宋体" w:hAnsi="宋体" w:cs="宋体" w:eastAsia="宋体" w:hint="default"/>
          <w:spacing w:val="-3"/>
          <w:sz w:val="21"/>
          <w:szCs w:val="21"/>
        </w:rPr>
        <w:t>云计算、人工智能等新兴业务，固定增值及其他业务逐渐成为行业发展新动力。</w:t>
      </w:r>
      <w:r>
        <w:rPr>
          <w:rFonts w:ascii="宋体" w:hAnsi="宋体" w:cs="宋体" w:eastAsia="宋体" w:hint="default"/>
          <w:spacing w:val="-3"/>
          <w:sz w:val="21"/>
          <w:szCs w:val="21"/>
        </w:rPr>
        <w:t>2019</w:t>
      </w:r>
      <w:r>
        <w:rPr>
          <w:rFonts w:ascii="宋体" w:hAnsi="宋体" w:cs="宋体" w:eastAsia="宋体" w:hint="default"/>
          <w:spacing w:val="-39"/>
          <w:sz w:val="21"/>
          <w:szCs w:val="21"/>
        </w:rPr>
        <w:t> </w:t>
      </w:r>
      <w:r>
        <w:rPr>
          <w:rFonts w:ascii="宋体" w:hAnsi="宋体" w:cs="宋体" w:eastAsia="宋体" w:hint="default"/>
          <w:spacing w:val="-4"/>
          <w:sz w:val="21"/>
          <w:szCs w:val="21"/>
        </w:rPr>
        <w:t>年，固定数据及</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互联网业务收入比上年增长</w:t>
      </w:r>
      <w:r>
        <w:rPr>
          <w:rFonts w:ascii="宋体" w:hAnsi="宋体" w:cs="宋体" w:eastAsia="宋体" w:hint="default"/>
          <w:spacing w:val="-46"/>
          <w:sz w:val="21"/>
          <w:szCs w:val="21"/>
        </w:rPr>
        <w:t> </w:t>
      </w:r>
      <w:r>
        <w:rPr>
          <w:rFonts w:ascii="宋体" w:hAnsi="宋体" w:cs="宋体" w:eastAsia="宋体" w:hint="default"/>
          <w:sz w:val="21"/>
          <w:szCs w:val="21"/>
        </w:rPr>
        <w:t>5.1%</w:t>
      </w:r>
      <w:r>
        <w:rPr>
          <w:rFonts w:ascii="宋体" w:hAnsi="宋体" w:cs="宋体" w:eastAsia="宋体" w:hint="default"/>
          <w:sz w:val="21"/>
          <w:szCs w:val="21"/>
        </w:rPr>
        <w:t>，在电信业务收入中占比由上年的</w:t>
      </w:r>
      <w:r>
        <w:rPr>
          <w:rFonts w:ascii="宋体" w:hAnsi="宋体" w:cs="宋体" w:eastAsia="宋体" w:hint="default"/>
          <w:spacing w:val="-46"/>
          <w:sz w:val="21"/>
          <w:szCs w:val="21"/>
        </w:rPr>
        <w:t> </w:t>
      </w:r>
      <w:r>
        <w:rPr>
          <w:rFonts w:ascii="宋体" w:hAnsi="宋体" w:cs="宋体" w:eastAsia="宋体" w:hint="default"/>
          <w:sz w:val="21"/>
          <w:szCs w:val="21"/>
        </w:rPr>
        <w:t>15.9%</w:t>
      </w:r>
      <w:r>
        <w:rPr>
          <w:rFonts w:ascii="宋体" w:hAnsi="宋体" w:cs="宋体" w:eastAsia="宋体" w:hint="default"/>
          <w:sz w:val="21"/>
          <w:szCs w:val="21"/>
        </w:rPr>
        <w:t>提升到</w:t>
      </w:r>
      <w:r>
        <w:rPr>
          <w:rFonts w:ascii="宋体" w:hAnsi="宋体" w:cs="宋体" w:eastAsia="宋体" w:hint="default"/>
          <w:spacing w:val="-48"/>
          <w:sz w:val="21"/>
          <w:szCs w:val="21"/>
        </w:rPr>
        <w:t> </w:t>
      </w:r>
      <w:r>
        <w:rPr>
          <w:rFonts w:ascii="宋体" w:hAnsi="宋体" w:cs="宋体" w:eastAsia="宋体" w:hint="default"/>
          <w:sz w:val="21"/>
          <w:szCs w:val="21"/>
        </w:rPr>
        <w:t>16.6%</w:t>
      </w:r>
      <w:r>
        <w:rPr>
          <w:rFonts w:ascii="宋体" w:hAnsi="宋体" w:cs="宋体" w:eastAsia="宋体" w:hint="default"/>
          <w:sz w:val="21"/>
          <w:szCs w:val="21"/>
        </w:rPr>
        <w:t>；移动数据及</w:t>
      </w:r>
      <w:r>
        <w:rPr>
          <w:rFonts w:ascii="宋体" w:hAnsi="宋体" w:cs="宋体" w:eastAsia="宋体" w:hint="default"/>
          <w:w w:val="100"/>
          <w:sz w:val="21"/>
          <w:szCs w:val="21"/>
        </w:rPr>
        <w:t> </w:t>
      </w:r>
      <w:r>
        <w:rPr>
          <w:rFonts w:ascii="宋体" w:hAnsi="宋体" w:cs="宋体" w:eastAsia="宋体" w:hint="default"/>
          <w:sz w:val="21"/>
          <w:szCs w:val="21"/>
        </w:rPr>
        <w:t>互联网业务收入增长</w:t>
      </w:r>
      <w:r>
        <w:rPr>
          <w:rFonts w:ascii="宋体" w:hAnsi="宋体" w:cs="宋体" w:eastAsia="宋体" w:hint="default"/>
          <w:spacing w:val="-38"/>
          <w:sz w:val="21"/>
          <w:szCs w:val="21"/>
        </w:rPr>
        <w:t> </w:t>
      </w:r>
      <w:r>
        <w:rPr>
          <w:rFonts w:ascii="宋体" w:hAnsi="宋体" w:cs="宋体" w:eastAsia="宋体" w:hint="default"/>
          <w:spacing w:val="-5"/>
          <w:sz w:val="21"/>
          <w:szCs w:val="21"/>
        </w:rPr>
        <w:t>1.5%</w:t>
      </w:r>
      <w:r>
        <w:rPr>
          <w:rFonts w:ascii="宋体" w:hAnsi="宋体" w:cs="宋体" w:eastAsia="宋体" w:hint="default"/>
          <w:spacing w:val="-5"/>
          <w:sz w:val="21"/>
          <w:szCs w:val="21"/>
        </w:rPr>
        <w:t>；固定增值业务比上年增长</w:t>
      </w:r>
      <w:r>
        <w:rPr>
          <w:rFonts w:ascii="宋体" w:hAnsi="宋体" w:cs="宋体" w:eastAsia="宋体" w:hint="default"/>
          <w:spacing w:val="-36"/>
          <w:sz w:val="21"/>
          <w:szCs w:val="21"/>
        </w:rPr>
        <w:t> </w:t>
      </w:r>
      <w:r>
        <w:rPr>
          <w:rFonts w:ascii="宋体" w:hAnsi="宋体" w:cs="宋体" w:eastAsia="宋体" w:hint="default"/>
          <w:spacing w:val="-12"/>
          <w:sz w:val="21"/>
          <w:szCs w:val="21"/>
        </w:rPr>
        <w:t>21.2%</w:t>
      </w:r>
      <w:r>
        <w:rPr>
          <w:rFonts w:ascii="宋体" w:hAnsi="宋体" w:cs="宋体" w:eastAsia="宋体" w:hint="default"/>
          <w:spacing w:val="-12"/>
          <w:sz w:val="21"/>
          <w:szCs w:val="21"/>
        </w:rPr>
        <w:t>，其中，</w:t>
      </w:r>
      <w:r>
        <w:rPr>
          <w:rFonts w:ascii="宋体" w:hAnsi="宋体" w:cs="宋体" w:eastAsia="宋体" w:hint="default"/>
          <w:spacing w:val="-12"/>
          <w:sz w:val="21"/>
          <w:szCs w:val="21"/>
        </w:rPr>
        <w:t>IPTV</w:t>
      </w:r>
      <w:r>
        <w:rPr>
          <w:rFonts w:ascii="宋体" w:hAnsi="宋体" w:cs="宋体" w:eastAsia="宋体" w:hint="default"/>
          <w:spacing w:val="-12"/>
          <w:sz w:val="21"/>
          <w:szCs w:val="21"/>
        </w:rPr>
        <w:t>（网络电视）业务增长</w:t>
      </w:r>
      <w:r>
        <w:rPr>
          <w:rFonts w:ascii="宋体" w:hAnsi="宋体" w:cs="宋体" w:eastAsia="宋体" w:hint="default"/>
          <w:spacing w:val="-36"/>
          <w:sz w:val="21"/>
          <w:szCs w:val="21"/>
        </w:rPr>
        <w:t> </w:t>
      </w:r>
      <w:r>
        <w:rPr>
          <w:rFonts w:ascii="宋体" w:hAnsi="宋体" w:cs="宋体" w:eastAsia="宋体" w:hint="default"/>
          <w:sz w:val="21"/>
          <w:szCs w:val="21"/>
        </w:rPr>
        <w:t>21.1%</w:t>
      </w:r>
      <w:r>
        <w:rPr>
          <w:rFonts w:ascii="宋体" w:hAnsi="宋体" w:cs="宋体" w:eastAsia="宋体" w:hint="default"/>
          <w:sz w:val="21"/>
          <w:szCs w:val="21"/>
        </w:rPr>
        <w:t>；</w:t>
      </w:r>
      <w:r>
        <w:rPr>
          <w:rFonts w:ascii="宋体" w:hAnsi="宋体" w:cs="宋体" w:eastAsia="宋体" w:hint="default"/>
          <w:spacing w:val="-99"/>
          <w:sz w:val="21"/>
          <w:szCs w:val="21"/>
        </w:rPr>
        <w:t> </w:t>
      </w:r>
      <w:r>
        <w:rPr>
          <w:rFonts w:ascii="宋体" w:hAnsi="宋体" w:cs="宋体" w:eastAsia="宋体" w:hint="default"/>
          <w:sz w:val="21"/>
          <w:szCs w:val="21"/>
        </w:rPr>
        <w:t>物联网业务收入比上年增长</w:t>
      </w:r>
      <w:r>
        <w:rPr>
          <w:rFonts w:ascii="宋体" w:hAnsi="宋体" w:cs="宋体" w:eastAsia="宋体" w:hint="default"/>
          <w:spacing w:val="-54"/>
          <w:sz w:val="21"/>
          <w:szCs w:val="21"/>
        </w:rPr>
        <w:t> </w:t>
      </w:r>
      <w:r>
        <w:rPr>
          <w:rFonts w:ascii="宋体" w:hAnsi="宋体" w:cs="宋体" w:eastAsia="宋体" w:hint="default"/>
          <w:sz w:val="21"/>
          <w:szCs w:val="21"/>
        </w:rPr>
        <w:t>25.5%</w:t>
      </w:r>
      <w:r>
        <w:rPr>
          <w:rFonts w:ascii="宋体" w:hAnsi="宋体" w:cs="宋体" w:eastAsia="宋体" w:hint="default"/>
          <w:sz w:val="21"/>
          <w:szCs w:val="21"/>
        </w:rPr>
        <w:t>。</w:t>
      </w:r>
    </w:p>
    <w:p>
      <w:pPr>
        <w:spacing w:line="314" w:lineRule="auto" w:before="176"/>
        <w:ind w:left="538" w:right="0" w:firstLine="372"/>
        <w:jc w:val="left"/>
        <w:rPr>
          <w:rFonts w:ascii="宋体" w:hAnsi="宋体" w:cs="宋体" w:eastAsia="宋体" w:hint="default"/>
          <w:sz w:val="21"/>
          <w:szCs w:val="21"/>
        </w:rPr>
      </w:pPr>
      <w:r>
        <w:rPr>
          <w:rFonts w:ascii="宋体" w:hAnsi="宋体" w:cs="宋体" w:eastAsia="宋体" w:hint="default"/>
          <w:sz w:val="21"/>
          <w:szCs w:val="21"/>
        </w:rPr>
        <w:t>线上线下服务融合创新保持活跃，各类互联网应用加快向四五线城市和农村用户渗透，使移动互</w:t>
      </w:r>
      <w:r>
        <w:rPr>
          <w:rFonts w:ascii="宋体" w:hAnsi="宋体" w:cs="宋体" w:eastAsia="宋体" w:hint="default"/>
          <w:w w:val="100"/>
          <w:sz w:val="21"/>
          <w:szCs w:val="21"/>
        </w:rPr>
        <w:t> </w:t>
      </w:r>
      <w:r>
        <w:rPr>
          <w:rFonts w:ascii="宋体" w:hAnsi="宋体" w:cs="宋体" w:eastAsia="宋体" w:hint="default"/>
          <w:spacing w:val="-7"/>
          <w:w w:val="100"/>
          <w:sz w:val="21"/>
          <w:szCs w:val="21"/>
        </w:rPr>
        <w:t>联网接入流量消费保持较快增长。</w:t>
      </w:r>
      <w:r>
        <w:rPr>
          <w:rFonts w:ascii="宋体" w:hAnsi="宋体" w:cs="宋体" w:eastAsia="宋体" w:hint="default"/>
          <w:spacing w:val="-7"/>
          <w:w w:val="100"/>
          <w:sz w:val="21"/>
          <w:szCs w:val="21"/>
        </w:rPr>
        <w:t>2019</w:t>
      </w:r>
      <w:r>
        <w:rPr>
          <w:rFonts w:ascii="宋体" w:hAnsi="宋体" w:cs="宋体" w:eastAsia="宋体" w:hint="default"/>
          <w:spacing w:val="-71"/>
          <w:w w:val="100"/>
          <w:sz w:val="21"/>
          <w:szCs w:val="21"/>
        </w:rPr>
        <w:t> </w:t>
      </w:r>
      <w:r>
        <w:rPr>
          <w:rFonts w:ascii="宋体" w:hAnsi="宋体" w:cs="宋体" w:eastAsia="宋体" w:hint="default"/>
          <w:spacing w:val="-9"/>
          <w:w w:val="100"/>
          <w:sz w:val="21"/>
          <w:szCs w:val="21"/>
        </w:rPr>
        <w:t>年，移动互联网接入流量消费达</w:t>
      </w:r>
      <w:r>
        <w:rPr>
          <w:rFonts w:ascii="宋体" w:hAnsi="宋体" w:cs="宋体" w:eastAsia="宋体" w:hint="default"/>
          <w:spacing w:val="-69"/>
          <w:w w:val="100"/>
          <w:sz w:val="21"/>
          <w:szCs w:val="21"/>
        </w:rPr>
        <w:t> </w:t>
      </w:r>
      <w:r>
        <w:rPr>
          <w:rFonts w:ascii="宋体" w:hAnsi="宋体" w:cs="宋体" w:eastAsia="宋体" w:hint="default"/>
          <w:spacing w:val="-1"/>
          <w:w w:val="100"/>
          <w:sz w:val="21"/>
          <w:szCs w:val="21"/>
        </w:rPr>
        <w:t>1,220</w:t>
      </w:r>
      <w:r>
        <w:rPr>
          <w:rFonts w:ascii="宋体" w:hAnsi="宋体" w:cs="宋体" w:eastAsia="宋体" w:hint="default"/>
          <w:spacing w:val="-71"/>
          <w:w w:val="100"/>
          <w:sz w:val="21"/>
          <w:szCs w:val="21"/>
        </w:rPr>
        <w:t> </w:t>
      </w:r>
      <w:r>
        <w:rPr>
          <w:rFonts w:ascii="宋体" w:hAnsi="宋体" w:cs="宋体" w:eastAsia="宋体" w:hint="default"/>
          <w:w w:val="100"/>
          <w:sz w:val="21"/>
          <w:szCs w:val="21"/>
        </w:rPr>
        <w:t>亿</w:t>
      </w:r>
      <w:r>
        <w:rPr>
          <w:rFonts w:ascii="宋体" w:hAnsi="宋体" w:cs="宋体" w:eastAsia="宋体" w:hint="default"/>
          <w:spacing w:val="-67"/>
          <w:w w:val="100"/>
          <w:sz w:val="21"/>
          <w:szCs w:val="21"/>
        </w:rPr>
        <w:t> </w:t>
      </w:r>
      <w:r>
        <w:rPr>
          <w:rFonts w:ascii="宋体" w:hAnsi="宋体" w:cs="宋体" w:eastAsia="宋体" w:hint="default"/>
          <w:spacing w:val="-14"/>
          <w:w w:val="100"/>
          <w:sz w:val="21"/>
          <w:szCs w:val="21"/>
        </w:rPr>
        <w:t>GB</w:t>
      </w:r>
      <w:r>
        <w:rPr>
          <w:rFonts w:ascii="宋体" w:hAnsi="宋体" w:cs="宋体" w:eastAsia="宋体" w:hint="default"/>
          <w:spacing w:val="-14"/>
          <w:w w:val="100"/>
          <w:sz w:val="21"/>
          <w:szCs w:val="21"/>
        </w:rPr>
        <w:t>，比上年增长</w:t>
      </w:r>
      <w:r>
        <w:rPr>
          <w:rFonts w:ascii="宋体" w:hAnsi="宋体" w:cs="宋体" w:eastAsia="宋体" w:hint="default"/>
          <w:spacing w:val="-69"/>
          <w:w w:val="100"/>
          <w:sz w:val="21"/>
          <w:szCs w:val="21"/>
        </w:rPr>
        <w:t> </w:t>
      </w:r>
      <w:r>
        <w:rPr>
          <w:rFonts w:ascii="宋体" w:hAnsi="宋体" w:cs="宋体" w:eastAsia="宋体" w:hint="default"/>
          <w:spacing w:val="-1"/>
          <w:w w:val="100"/>
          <w:sz w:val="21"/>
          <w:szCs w:val="21"/>
        </w:rPr>
        <w:t>71.6%</w:t>
      </w:r>
      <w:r>
        <w:rPr>
          <w:rFonts w:ascii="宋体" w:hAnsi="宋体" w:cs="宋体" w:eastAsia="宋体" w:hint="default"/>
          <w:spacing w:val="-1"/>
          <w:w w:val="100"/>
          <w:sz w:val="21"/>
          <w:szCs w:val="21"/>
        </w:rPr>
        <w:t>，</w:t>
      </w:r>
      <w:r>
        <w:rPr>
          <w:rFonts w:ascii="宋体" w:hAnsi="宋体" w:cs="宋体" w:eastAsia="宋体" w:hint="default"/>
          <w:w w:val="100"/>
          <w:sz w:val="21"/>
          <w:szCs w:val="21"/>
        </w:rPr>
        <w:t> </w:t>
      </w:r>
      <w:r>
        <w:rPr>
          <w:rFonts w:ascii="宋体" w:hAnsi="宋体" w:cs="宋体" w:eastAsia="宋体" w:hint="default"/>
          <w:sz w:val="21"/>
          <w:szCs w:val="21"/>
        </w:rPr>
        <w:t>增速较上年收窄</w:t>
      </w:r>
      <w:r>
        <w:rPr>
          <w:rFonts w:ascii="宋体" w:hAnsi="宋体" w:cs="宋体" w:eastAsia="宋体" w:hint="default"/>
          <w:spacing w:val="-45"/>
          <w:sz w:val="21"/>
          <w:szCs w:val="21"/>
        </w:rPr>
        <w:t> </w:t>
      </w:r>
      <w:r>
        <w:rPr>
          <w:rFonts w:ascii="宋体" w:hAnsi="宋体" w:cs="宋体" w:eastAsia="宋体" w:hint="default"/>
          <w:sz w:val="21"/>
          <w:szCs w:val="21"/>
        </w:rPr>
        <w:t>116.7</w:t>
      </w:r>
      <w:r>
        <w:rPr>
          <w:rFonts w:ascii="宋体" w:hAnsi="宋体" w:cs="宋体" w:eastAsia="宋体" w:hint="default"/>
          <w:spacing w:val="-45"/>
          <w:sz w:val="21"/>
          <w:szCs w:val="21"/>
        </w:rPr>
        <w:t> </w:t>
      </w:r>
      <w:r>
        <w:rPr>
          <w:rFonts w:ascii="宋体" w:hAnsi="宋体" w:cs="宋体" w:eastAsia="宋体" w:hint="default"/>
          <w:spacing w:val="-9"/>
          <w:sz w:val="21"/>
          <w:szCs w:val="21"/>
        </w:rPr>
        <w:t>个百分点。全年移动互联网月户均流量（</w:t>
      </w:r>
      <w:r>
        <w:rPr>
          <w:rFonts w:ascii="宋体" w:hAnsi="宋体" w:cs="宋体" w:eastAsia="宋体" w:hint="default"/>
          <w:spacing w:val="-9"/>
          <w:sz w:val="21"/>
          <w:szCs w:val="21"/>
        </w:rPr>
        <w:t>DOU</w:t>
      </w:r>
      <w:r>
        <w:rPr>
          <w:rFonts w:ascii="宋体" w:hAnsi="宋体" w:cs="宋体" w:eastAsia="宋体" w:hint="default"/>
          <w:spacing w:val="-9"/>
          <w:sz w:val="21"/>
          <w:szCs w:val="21"/>
        </w:rPr>
        <w:t>）达</w:t>
      </w:r>
      <w:r>
        <w:rPr>
          <w:rFonts w:ascii="宋体" w:hAnsi="宋体" w:cs="宋体" w:eastAsia="宋体" w:hint="default"/>
          <w:spacing w:val="-45"/>
          <w:sz w:val="21"/>
          <w:szCs w:val="21"/>
        </w:rPr>
        <w:t> </w:t>
      </w:r>
      <w:r>
        <w:rPr>
          <w:rFonts w:ascii="宋体" w:hAnsi="宋体" w:cs="宋体" w:eastAsia="宋体" w:hint="default"/>
          <w:spacing w:val="-6"/>
          <w:sz w:val="21"/>
          <w:szCs w:val="21"/>
        </w:rPr>
        <w:t>7.82GB/</w:t>
      </w:r>
      <w:r>
        <w:rPr>
          <w:rFonts w:ascii="宋体" w:hAnsi="宋体" w:cs="宋体" w:eastAsia="宋体" w:hint="default"/>
          <w:spacing w:val="-6"/>
          <w:sz w:val="21"/>
          <w:szCs w:val="21"/>
        </w:rPr>
        <w:t>户</w:t>
      </w:r>
      <w:r>
        <w:rPr>
          <w:rFonts w:ascii="宋体" w:hAnsi="宋体" w:cs="宋体" w:eastAsia="宋体" w:hint="default"/>
          <w:spacing w:val="-6"/>
          <w:sz w:val="21"/>
          <w:szCs w:val="21"/>
        </w:rPr>
        <w:t>/</w:t>
      </w:r>
      <w:r>
        <w:rPr>
          <w:rFonts w:ascii="宋体" w:hAnsi="宋体" w:cs="宋体" w:eastAsia="宋体" w:hint="default"/>
          <w:spacing w:val="-6"/>
          <w:sz w:val="21"/>
          <w:szCs w:val="21"/>
        </w:rPr>
        <w:t>月，是上年的</w:t>
      </w:r>
      <w:r>
        <w:rPr>
          <w:rFonts w:ascii="宋体" w:hAnsi="宋体" w:cs="宋体" w:eastAsia="宋体" w:hint="default"/>
          <w:spacing w:val="-45"/>
          <w:sz w:val="21"/>
          <w:szCs w:val="21"/>
        </w:rPr>
        <w:t> </w:t>
      </w:r>
      <w:r>
        <w:rPr>
          <w:rFonts w:ascii="宋体" w:hAnsi="宋体" w:cs="宋体" w:eastAsia="宋体" w:hint="default"/>
          <w:sz w:val="21"/>
          <w:szCs w:val="21"/>
        </w:rPr>
        <w:t>1.69</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倍。移动短信业务量较快增长，话音业务量小幅下滑。</w:t>
      </w:r>
    </w:p>
    <w:p>
      <w:pPr>
        <w:spacing w:line="314" w:lineRule="auto" w:before="176"/>
        <w:ind w:left="538" w:right="125" w:firstLine="372"/>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41"/>
          <w:sz w:val="21"/>
          <w:szCs w:val="21"/>
        </w:rPr>
        <w:t> </w:t>
      </w:r>
      <w:r>
        <w:rPr>
          <w:rFonts w:ascii="宋体" w:hAnsi="宋体" w:cs="宋体" w:eastAsia="宋体" w:hint="default"/>
          <w:spacing w:val="-4"/>
          <w:sz w:val="21"/>
          <w:szCs w:val="21"/>
        </w:rPr>
        <w:t>年，全国</w:t>
      </w:r>
      <w:r>
        <w:rPr>
          <w:rFonts w:ascii="宋体" w:hAnsi="宋体" w:cs="宋体" w:eastAsia="宋体" w:hint="default"/>
          <w:spacing w:val="-41"/>
          <w:sz w:val="21"/>
          <w:szCs w:val="21"/>
        </w:rPr>
        <w:t> </w:t>
      </w:r>
      <w:r>
        <w:rPr>
          <w:rFonts w:ascii="宋体" w:hAnsi="宋体" w:cs="宋体" w:eastAsia="宋体" w:hint="default"/>
          <w:sz w:val="21"/>
          <w:szCs w:val="21"/>
        </w:rPr>
        <w:t>5G</w:t>
      </w:r>
      <w:r>
        <w:rPr>
          <w:rFonts w:ascii="宋体" w:hAnsi="宋体" w:cs="宋体" w:eastAsia="宋体" w:hint="default"/>
          <w:spacing w:val="-41"/>
          <w:sz w:val="21"/>
          <w:szCs w:val="21"/>
        </w:rPr>
        <w:t> </w:t>
      </w:r>
      <w:r>
        <w:rPr>
          <w:rFonts w:ascii="宋体" w:hAnsi="宋体" w:cs="宋体" w:eastAsia="宋体" w:hint="default"/>
          <w:spacing w:val="-3"/>
          <w:sz w:val="21"/>
          <w:szCs w:val="21"/>
        </w:rPr>
        <w:t>网络建设顺利推进，在多个城市已实现</w:t>
      </w:r>
      <w:r>
        <w:rPr>
          <w:rFonts w:ascii="宋体" w:hAnsi="宋体" w:cs="宋体" w:eastAsia="宋体" w:hint="default"/>
          <w:spacing w:val="-38"/>
          <w:sz w:val="21"/>
          <w:szCs w:val="21"/>
        </w:rPr>
        <w:t> </w:t>
      </w:r>
      <w:r>
        <w:rPr>
          <w:rFonts w:ascii="宋体" w:hAnsi="宋体" w:cs="宋体" w:eastAsia="宋体" w:hint="default"/>
          <w:sz w:val="21"/>
          <w:szCs w:val="21"/>
        </w:rPr>
        <w:t>5G</w:t>
      </w:r>
      <w:r>
        <w:rPr>
          <w:rFonts w:ascii="宋体" w:hAnsi="宋体" w:cs="宋体" w:eastAsia="宋体" w:hint="default"/>
          <w:spacing w:val="-41"/>
          <w:sz w:val="21"/>
          <w:szCs w:val="21"/>
        </w:rPr>
        <w:t> </w:t>
      </w:r>
      <w:r>
        <w:rPr>
          <w:rFonts w:ascii="宋体" w:hAnsi="宋体" w:cs="宋体" w:eastAsia="宋体" w:hint="default"/>
          <w:spacing w:val="-3"/>
          <w:sz w:val="21"/>
          <w:szCs w:val="21"/>
        </w:rPr>
        <w:t>网络的重点市区室外的连续覆盖，并</w:t>
      </w:r>
      <w:r>
        <w:rPr>
          <w:rFonts w:ascii="宋体" w:hAnsi="宋体" w:cs="宋体" w:eastAsia="宋体" w:hint="default"/>
          <w:w w:val="100"/>
          <w:sz w:val="21"/>
          <w:szCs w:val="21"/>
        </w:rPr>
        <w:t> </w:t>
      </w:r>
      <w:r>
        <w:rPr>
          <w:rFonts w:ascii="宋体" w:hAnsi="宋体" w:cs="宋体" w:eastAsia="宋体" w:hint="default"/>
          <w:sz w:val="21"/>
          <w:szCs w:val="21"/>
        </w:rPr>
        <w:t>协助各地方政府在展览会、重要场所、重点商圈、机场等区域实现室内覆盖。</w:t>
      </w:r>
    </w:p>
    <w:p>
      <w:pPr>
        <w:spacing w:line="240" w:lineRule="auto" w:before="0"/>
        <w:rPr>
          <w:rFonts w:ascii="宋体" w:hAnsi="宋体" w:cs="宋体" w:eastAsia="宋体" w:hint="default"/>
          <w:sz w:val="20"/>
          <w:szCs w:val="20"/>
        </w:rPr>
      </w:pPr>
    </w:p>
    <w:p>
      <w:pPr>
        <w:tabs>
          <w:tab w:pos="1378" w:val="left" w:leader="none"/>
        </w:tabs>
        <w:spacing w:before="164"/>
        <w:ind w:left="538" w:right="125"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5"/>
          <w:sz w:val="21"/>
          <w:szCs w:val="21"/>
        </w:rPr>
        <w:t>(</w:t>
      </w:r>
      <w:r>
        <w:rPr>
          <w:rFonts w:ascii="Microsoft JhengHei" w:hAnsi="Microsoft JhengHei" w:cs="Microsoft JhengHei" w:eastAsia="Microsoft JhengHei" w:hint="default"/>
          <w:b/>
          <w:bCs/>
          <w:w w:val="115"/>
          <w:sz w:val="21"/>
          <w:szCs w:val="21"/>
        </w:rPr>
        <w:t>五</w:t>
      </w:r>
      <w:r>
        <w:rPr>
          <w:rFonts w:ascii="Arial" w:hAnsi="Arial" w:cs="Arial" w:eastAsia="Arial" w:hint="default"/>
          <w:b/>
          <w:bCs/>
          <w:w w:val="115"/>
          <w:sz w:val="21"/>
          <w:szCs w:val="21"/>
        </w:rPr>
        <w:t>)</w:t>
        <w:tab/>
      </w:r>
      <w:r>
        <w:rPr>
          <w:rFonts w:ascii="Microsoft JhengHei" w:hAnsi="Microsoft JhengHei" w:cs="Microsoft JhengHei" w:eastAsia="Microsoft JhengHei" w:hint="default"/>
          <w:b/>
          <w:bCs/>
          <w:w w:val="115"/>
          <w:sz w:val="21"/>
          <w:szCs w:val="21"/>
        </w:rPr>
        <w:t>投资状况分析</w:t>
      </w:r>
      <w:r>
        <w:rPr>
          <w:rFonts w:ascii="Microsoft JhengHei" w:hAnsi="Microsoft JhengHei" w:cs="Microsoft JhengHei" w:eastAsia="Microsoft JhengHei" w:hint="default"/>
          <w:w w:val="115"/>
          <w:sz w:val="21"/>
          <w:szCs w:val="21"/>
        </w:rPr>
      </w:r>
    </w:p>
    <w:p>
      <w:pPr>
        <w:spacing w:before="6"/>
        <w:ind w:left="538" w:right="125"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1</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49"/>
          <w:sz w:val="21"/>
          <w:szCs w:val="21"/>
        </w:rPr>
        <w:t> </w:t>
      </w:r>
      <w:r>
        <w:rPr>
          <w:rFonts w:ascii="Microsoft JhengHei" w:hAnsi="Microsoft JhengHei" w:cs="Microsoft JhengHei" w:eastAsia="Microsoft JhengHei" w:hint="default"/>
          <w:b/>
          <w:bCs/>
          <w:sz w:val="21"/>
          <w:szCs w:val="21"/>
        </w:rPr>
        <w:t>对外股权投资总体分析</w:t>
      </w:r>
      <w:r>
        <w:rPr>
          <w:rFonts w:ascii="Microsoft JhengHei" w:hAnsi="Microsoft JhengHei" w:cs="Microsoft JhengHei" w:eastAsia="Microsoft JhengHei" w:hint="default"/>
          <w:sz w:val="21"/>
          <w:szCs w:val="21"/>
        </w:rPr>
      </w:r>
    </w:p>
    <w:p>
      <w:pPr>
        <w:spacing w:line="240" w:lineRule="auto" w:before="16"/>
        <w:rPr>
          <w:rFonts w:ascii="Microsoft JhengHei" w:hAnsi="Microsoft JhengHei" w:cs="Microsoft JhengHei" w:eastAsia="Microsoft JhengHei" w:hint="default"/>
          <w:b/>
          <w:bCs/>
          <w:sz w:val="12"/>
          <w:szCs w:val="12"/>
        </w:rPr>
      </w:pPr>
    </w:p>
    <w:p>
      <w:pPr>
        <w:spacing w:line="314" w:lineRule="auto" w:before="0"/>
        <w:ind w:left="538" w:right="125" w:firstLine="0"/>
        <w:jc w:val="left"/>
        <w:rPr>
          <w:rFonts w:ascii="宋体" w:hAnsi="宋体" w:cs="宋体" w:eastAsia="宋体" w:hint="default"/>
          <w:sz w:val="21"/>
          <w:szCs w:val="21"/>
        </w:rPr>
      </w:pPr>
      <w:r>
        <w:rPr>
          <w:rFonts w:ascii="宋体" w:hAnsi="宋体" w:cs="宋体" w:eastAsia="宋体" w:hint="default"/>
          <w:spacing w:val="-2"/>
          <w:sz w:val="21"/>
          <w:szCs w:val="21"/>
        </w:rPr>
        <w:t>公司本年无新增重大股权投资，报告期内持有的重大股权投资包括：联通运营公司持有于香港上市的</w:t>
      </w:r>
      <w:r>
        <w:rPr>
          <w:rFonts w:ascii="宋体" w:hAnsi="宋体" w:cs="宋体" w:eastAsia="宋体" w:hint="default"/>
          <w:spacing w:val="-52"/>
          <w:sz w:val="21"/>
          <w:szCs w:val="21"/>
        </w:rPr>
        <w:t> </w:t>
      </w:r>
      <w:r>
        <w:rPr>
          <w:rFonts w:ascii="宋体" w:hAnsi="宋体" w:cs="宋体" w:eastAsia="宋体" w:hint="default"/>
          <w:spacing w:val="-52"/>
          <w:sz w:val="21"/>
          <w:szCs w:val="21"/>
        </w:rPr>
      </w:r>
      <w:r>
        <w:rPr>
          <w:rFonts w:ascii="宋体" w:hAnsi="宋体" w:cs="宋体" w:eastAsia="宋体" w:hint="default"/>
          <w:sz w:val="21"/>
          <w:szCs w:val="21"/>
        </w:rPr>
        <w:t>铁塔公司普通股股份约</w:t>
      </w:r>
      <w:r>
        <w:rPr>
          <w:rFonts w:ascii="宋体" w:hAnsi="宋体" w:cs="宋体" w:eastAsia="宋体" w:hint="default"/>
          <w:spacing w:val="-56"/>
          <w:sz w:val="21"/>
          <w:szCs w:val="21"/>
        </w:rPr>
        <w:t> </w:t>
      </w:r>
      <w:r>
        <w:rPr>
          <w:rFonts w:ascii="宋体" w:hAnsi="宋体" w:cs="宋体" w:eastAsia="宋体" w:hint="default"/>
          <w:sz w:val="21"/>
          <w:szCs w:val="21"/>
        </w:rPr>
        <w:t>3,634,584</w:t>
      </w:r>
      <w:r>
        <w:rPr>
          <w:rFonts w:ascii="宋体" w:hAnsi="宋体" w:cs="宋体" w:eastAsia="宋体" w:hint="default"/>
          <w:spacing w:val="-5"/>
          <w:sz w:val="21"/>
          <w:szCs w:val="21"/>
        </w:rPr>
        <w:t> </w:t>
      </w:r>
      <w:r>
        <w:rPr>
          <w:rFonts w:ascii="宋体" w:hAnsi="宋体" w:cs="宋体" w:eastAsia="宋体" w:hint="default"/>
          <w:sz w:val="21"/>
          <w:szCs w:val="21"/>
        </w:rPr>
        <w:t>万股，约占铁塔公司总股份的</w:t>
      </w:r>
      <w:r>
        <w:rPr>
          <w:rFonts w:ascii="宋体" w:hAnsi="宋体" w:cs="宋体" w:eastAsia="宋体" w:hint="default"/>
          <w:spacing w:val="-56"/>
          <w:sz w:val="21"/>
          <w:szCs w:val="21"/>
        </w:rPr>
        <w:t> </w:t>
      </w:r>
      <w:r>
        <w:rPr>
          <w:rFonts w:ascii="宋体" w:hAnsi="宋体" w:cs="宋体" w:eastAsia="宋体" w:hint="default"/>
          <w:sz w:val="21"/>
          <w:szCs w:val="21"/>
        </w:rPr>
        <w:t>20.65%</w:t>
      </w:r>
      <w:r>
        <w:rPr>
          <w:rFonts w:ascii="宋体" w:hAnsi="宋体" w:cs="宋体" w:eastAsia="宋体" w:hint="default"/>
          <w:sz w:val="21"/>
          <w:szCs w:val="21"/>
        </w:rPr>
        <w:t>；联通运营公司对招联消费</w:t>
      </w:r>
      <w:r>
        <w:rPr>
          <w:rFonts w:ascii="宋体" w:hAnsi="宋体" w:cs="宋体" w:eastAsia="宋体" w:hint="default"/>
          <w:w w:val="100"/>
          <w:sz w:val="21"/>
          <w:szCs w:val="21"/>
        </w:rPr>
        <w:t> </w:t>
      </w:r>
      <w:r>
        <w:rPr>
          <w:rFonts w:ascii="宋体" w:hAnsi="宋体" w:cs="宋体" w:eastAsia="宋体" w:hint="default"/>
          <w:sz w:val="21"/>
          <w:szCs w:val="21"/>
        </w:rPr>
        <w:t>金融有限公司投资成本共计人民币</w:t>
      </w:r>
      <w:r>
        <w:rPr>
          <w:rFonts w:ascii="宋体" w:hAnsi="宋体" w:cs="宋体" w:eastAsia="宋体" w:hint="default"/>
          <w:spacing w:val="-39"/>
          <w:sz w:val="21"/>
          <w:szCs w:val="21"/>
        </w:rPr>
        <w:t> </w:t>
      </w:r>
      <w:r>
        <w:rPr>
          <w:rFonts w:ascii="宋体" w:hAnsi="宋体" w:cs="宋体" w:eastAsia="宋体" w:hint="default"/>
          <w:sz w:val="21"/>
          <w:szCs w:val="21"/>
        </w:rPr>
        <w:t>26</w:t>
      </w:r>
      <w:r>
        <w:rPr>
          <w:rFonts w:ascii="宋体" w:hAnsi="宋体" w:cs="宋体" w:eastAsia="宋体" w:hint="default"/>
          <w:spacing w:val="-39"/>
          <w:sz w:val="21"/>
          <w:szCs w:val="21"/>
        </w:rPr>
        <w:t> </w:t>
      </w:r>
      <w:r>
        <w:rPr>
          <w:rFonts w:ascii="宋体" w:hAnsi="宋体" w:cs="宋体" w:eastAsia="宋体" w:hint="default"/>
          <w:spacing w:val="-7"/>
          <w:sz w:val="21"/>
          <w:szCs w:val="21"/>
        </w:rPr>
        <w:t>亿元，持股比例为</w:t>
      </w:r>
      <w:r>
        <w:rPr>
          <w:rFonts w:ascii="宋体" w:hAnsi="宋体" w:cs="宋体" w:eastAsia="宋体" w:hint="default"/>
          <w:spacing w:val="-39"/>
          <w:sz w:val="21"/>
          <w:szCs w:val="21"/>
        </w:rPr>
        <w:t> </w:t>
      </w:r>
      <w:r>
        <w:rPr>
          <w:rFonts w:ascii="宋体" w:hAnsi="宋体" w:cs="宋体" w:eastAsia="宋体" w:hint="default"/>
          <w:spacing w:val="-4"/>
          <w:sz w:val="21"/>
          <w:szCs w:val="21"/>
        </w:rPr>
        <w:t>50%</w:t>
      </w:r>
      <w:r>
        <w:rPr>
          <w:rFonts w:ascii="宋体" w:hAnsi="宋体" w:cs="宋体" w:eastAsia="宋体" w:hint="default"/>
          <w:spacing w:val="-4"/>
          <w:sz w:val="21"/>
          <w:szCs w:val="21"/>
        </w:rPr>
        <w:t>；联通红筹公司持有西班牙电信普通股股</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份约</w:t>
      </w:r>
      <w:r>
        <w:rPr>
          <w:rFonts w:ascii="宋体" w:hAnsi="宋体" w:cs="宋体" w:eastAsia="宋体" w:hint="default"/>
          <w:spacing w:val="-52"/>
          <w:sz w:val="21"/>
          <w:szCs w:val="21"/>
        </w:rPr>
        <w:t> </w:t>
      </w:r>
      <w:r>
        <w:rPr>
          <w:rFonts w:ascii="宋体" w:hAnsi="宋体" w:cs="宋体" w:eastAsia="宋体" w:hint="default"/>
          <w:sz w:val="21"/>
          <w:szCs w:val="21"/>
        </w:rPr>
        <w:t>6,420</w:t>
      </w:r>
      <w:r>
        <w:rPr>
          <w:rFonts w:ascii="宋体" w:hAnsi="宋体" w:cs="宋体" w:eastAsia="宋体" w:hint="default"/>
          <w:spacing w:val="-54"/>
          <w:sz w:val="21"/>
          <w:szCs w:val="21"/>
        </w:rPr>
        <w:t> </w:t>
      </w:r>
      <w:r>
        <w:rPr>
          <w:rFonts w:ascii="宋体" w:hAnsi="宋体" w:cs="宋体" w:eastAsia="宋体" w:hint="default"/>
          <w:sz w:val="21"/>
          <w:szCs w:val="21"/>
        </w:rPr>
        <w:t>万股。</w:t>
      </w:r>
    </w:p>
    <w:p>
      <w:pPr>
        <w:spacing w:line="240" w:lineRule="auto" w:before="0"/>
        <w:rPr>
          <w:rFonts w:ascii="宋体" w:hAnsi="宋体" w:cs="宋体" w:eastAsia="宋体" w:hint="default"/>
          <w:sz w:val="20"/>
          <w:szCs w:val="20"/>
        </w:rPr>
      </w:pPr>
    </w:p>
    <w:p>
      <w:pPr>
        <w:spacing w:before="164"/>
        <w:ind w:left="538" w:right="125"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(1) </w:t>
      </w:r>
      <w:r>
        <w:rPr>
          <w:rFonts w:ascii="Calibri" w:hAnsi="Calibri" w:cs="Calibri" w:eastAsia="Calibri" w:hint="default"/>
          <w:b/>
          <w:bCs/>
          <w:spacing w:val="35"/>
          <w:sz w:val="21"/>
          <w:szCs w:val="21"/>
        </w:rPr>
        <w:t> </w:t>
      </w:r>
      <w:r>
        <w:rPr>
          <w:rFonts w:ascii="Microsoft JhengHei" w:hAnsi="Microsoft JhengHei" w:cs="Microsoft JhengHei" w:eastAsia="Microsoft JhengHei" w:hint="default"/>
          <w:b/>
          <w:bCs/>
          <w:sz w:val="21"/>
          <w:szCs w:val="21"/>
        </w:rPr>
        <w:t>重大的股权投资</w:t>
      </w:r>
      <w:r>
        <w:rPr>
          <w:rFonts w:ascii="Microsoft JhengHei" w:hAnsi="Microsoft JhengHei" w:cs="Microsoft JhengHei" w:eastAsia="Microsoft JhengHei" w:hint="default"/>
          <w:sz w:val="21"/>
          <w:szCs w:val="21"/>
        </w:rPr>
      </w:r>
    </w:p>
    <w:p>
      <w:pPr>
        <w:tabs>
          <w:tab w:pos="1381" w:val="left" w:leader="none"/>
        </w:tabs>
        <w:spacing w:before="70"/>
        <w:ind w:left="538" w:right="125" w:firstLine="0"/>
        <w:jc w:val="left"/>
        <w:rPr>
          <w:rFonts w:ascii="宋体" w:hAnsi="宋体" w:cs="宋体" w:eastAsia="宋体" w:hint="default"/>
          <w:sz w:val="21"/>
          <w:szCs w:val="21"/>
        </w:rPr>
      </w:pPr>
      <w:r>
        <w:rPr>
          <w:rFonts w:ascii="宋体" w:hAnsi="宋体" w:cs="宋体" w:eastAsia="宋体" w:hint="default"/>
          <w:sz w:val="21"/>
          <w:szCs w:val="21"/>
        </w:rPr>
        <w:t>□适用</w:t>
        <w:tab/>
        <w:t>√不适用</w:t>
      </w:r>
    </w:p>
    <w:p>
      <w:pPr>
        <w:spacing w:line="240" w:lineRule="auto" w:before="2"/>
        <w:rPr>
          <w:rFonts w:ascii="宋体" w:hAnsi="宋体" w:cs="宋体" w:eastAsia="宋体" w:hint="default"/>
          <w:sz w:val="26"/>
          <w:szCs w:val="26"/>
        </w:rPr>
      </w:pPr>
    </w:p>
    <w:p>
      <w:pPr>
        <w:spacing w:before="0"/>
        <w:ind w:left="538" w:right="125"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(2) </w:t>
      </w:r>
      <w:r>
        <w:rPr>
          <w:rFonts w:ascii="Calibri" w:hAnsi="Calibri" w:cs="Calibri" w:eastAsia="Calibri" w:hint="default"/>
          <w:b/>
          <w:bCs/>
          <w:spacing w:val="36"/>
          <w:sz w:val="21"/>
          <w:szCs w:val="21"/>
        </w:rPr>
        <w:t> </w:t>
      </w:r>
      <w:r>
        <w:rPr>
          <w:rFonts w:ascii="Microsoft JhengHei" w:hAnsi="Microsoft JhengHei" w:cs="Microsoft JhengHei" w:eastAsia="Microsoft JhengHei" w:hint="default"/>
          <w:b/>
          <w:bCs/>
          <w:sz w:val="21"/>
          <w:szCs w:val="21"/>
        </w:rPr>
        <w:t>重大的非股权投资</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2"/>
          <w:szCs w:val="12"/>
        </w:rPr>
      </w:pPr>
    </w:p>
    <w:p>
      <w:pPr>
        <w:spacing w:line="314" w:lineRule="auto" w:before="0"/>
        <w:ind w:left="538" w:right="124" w:firstLine="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6"/>
          <w:sz w:val="21"/>
          <w:szCs w:val="21"/>
        </w:rPr>
        <w:t> </w:t>
      </w:r>
      <w:r>
        <w:rPr>
          <w:rFonts w:ascii="宋体" w:hAnsi="宋体" w:cs="宋体" w:eastAsia="宋体" w:hint="default"/>
          <w:sz w:val="21"/>
          <w:szCs w:val="21"/>
        </w:rPr>
        <w:t>年，公司累计完成资本开支</w:t>
      </w:r>
      <w:r>
        <w:rPr>
          <w:rFonts w:ascii="宋体" w:hAnsi="宋体" w:cs="宋体" w:eastAsia="宋体" w:hint="default"/>
          <w:spacing w:val="-54"/>
          <w:sz w:val="21"/>
          <w:szCs w:val="21"/>
        </w:rPr>
        <w:t> </w:t>
      </w:r>
      <w:r>
        <w:rPr>
          <w:rFonts w:ascii="宋体" w:hAnsi="宋体" w:cs="宋体" w:eastAsia="宋体" w:hint="default"/>
          <w:sz w:val="21"/>
          <w:szCs w:val="21"/>
        </w:rPr>
        <w:t>564</w:t>
      </w:r>
      <w:r>
        <w:rPr>
          <w:rFonts w:ascii="宋体" w:hAnsi="宋体" w:cs="宋体" w:eastAsia="宋体" w:hint="default"/>
          <w:spacing w:val="-56"/>
          <w:sz w:val="21"/>
          <w:szCs w:val="21"/>
        </w:rPr>
        <w:t> </w:t>
      </w:r>
      <w:r>
        <w:rPr>
          <w:rFonts w:ascii="宋体" w:hAnsi="宋体" w:cs="宋体" w:eastAsia="宋体" w:hint="default"/>
          <w:sz w:val="21"/>
          <w:szCs w:val="21"/>
        </w:rPr>
        <w:t>亿元，重点保障移动网、宽带数据网、基础设施和传送网专业，</w:t>
      </w:r>
      <w:r>
        <w:rPr>
          <w:rFonts w:ascii="宋体" w:hAnsi="宋体" w:cs="宋体" w:eastAsia="宋体" w:hint="default"/>
          <w:w w:val="100"/>
          <w:sz w:val="21"/>
          <w:szCs w:val="21"/>
        </w:rPr>
        <w:t> </w:t>
      </w:r>
      <w:r>
        <w:rPr>
          <w:rFonts w:ascii="宋体" w:hAnsi="宋体" w:cs="宋体" w:eastAsia="宋体" w:hint="default"/>
          <w:sz w:val="21"/>
          <w:szCs w:val="21"/>
        </w:rPr>
        <w:t>总计投资</w:t>
      </w:r>
      <w:r>
        <w:rPr>
          <w:rFonts w:ascii="宋体" w:hAnsi="宋体" w:cs="宋体" w:eastAsia="宋体" w:hint="default"/>
          <w:spacing w:val="-45"/>
          <w:sz w:val="21"/>
          <w:szCs w:val="21"/>
        </w:rPr>
        <w:t> </w:t>
      </w:r>
      <w:r>
        <w:rPr>
          <w:rFonts w:ascii="宋体" w:hAnsi="宋体" w:cs="宋体" w:eastAsia="宋体" w:hint="default"/>
          <w:sz w:val="21"/>
          <w:szCs w:val="21"/>
        </w:rPr>
        <w:t>495</w:t>
      </w:r>
      <w:r>
        <w:rPr>
          <w:rFonts w:ascii="宋体" w:hAnsi="宋体" w:cs="宋体" w:eastAsia="宋体" w:hint="default"/>
          <w:spacing w:val="-45"/>
          <w:sz w:val="21"/>
          <w:szCs w:val="21"/>
        </w:rPr>
        <w:t> </w:t>
      </w:r>
      <w:r>
        <w:rPr>
          <w:rFonts w:ascii="宋体" w:hAnsi="宋体" w:cs="宋体" w:eastAsia="宋体" w:hint="default"/>
          <w:spacing w:val="-3"/>
          <w:sz w:val="21"/>
          <w:szCs w:val="21"/>
        </w:rPr>
        <w:t>亿元，其中</w:t>
      </w:r>
      <w:r>
        <w:rPr>
          <w:rFonts w:ascii="宋体" w:hAnsi="宋体" w:cs="宋体" w:eastAsia="宋体" w:hint="default"/>
          <w:spacing w:val="-48"/>
          <w:sz w:val="21"/>
          <w:szCs w:val="21"/>
        </w:rPr>
        <w:t> </w:t>
      </w:r>
      <w:r>
        <w:rPr>
          <w:rFonts w:ascii="宋体" w:hAnsi="宋体" w:cs="宋体" w:eastAsia="宋体" w:hint="default"/>
          <w:sz w:val="21"/>
          <w:szCs w:val="21"/>
        </w:rPr>
        <w:t>5G</w:t>
      </w:r>
      <w:r>
        <w:rPr>
          <w:rFonts w:ascii="宋体" w:hAnsi="宋体" w:cs="宋体" w:eastAsia="宋体" w:hint="default"/>
          <w:spacing w:val="-45"/>
          <w:sz w:val="21"/>
          <w:szCs w:val="21"/>
        </w:rPr>
        <w:t> </w:t>
      </w:r>
      <w:r>
        <w:rPr>
          <w:rFonts w:ascii="宋体" w:hAnsi="宋体" w:cs="宋体" w:eastAsia="宋体" w:hint="default"/>
          <w:sz w:val="21"/>
          <w:szCs w:val="21"/>
        </w:rPr>
        <w:t>完成投资</w:t>
      </w:r>
      <w:r>
        <w:rPr>
          <w:rFonts w:ascii="宋体" w:hAnsi="宋体" w:cs="宋体" w:eastAsia="宋体" w:hint="default"/>
          <w:spacing w:val="-45"/>
          <w:sz w:val="21"/>
          <w:szCs w:val="21"/>
        </w:rPr>
        <w:t> </w:t>
      </w:r>
      <w:r>
        <w:rPr>
          <w:rFonts w:ascii="宋体" w:hAnsi="宋体" w:cs="宋体" w:eastAsia="宋体" w:hint="default"/>
          <w:sz w:val="21"/>
          <w:szCs w:val="21"/>
        </w:rPr>
        <w:t>79</w:t>
      </w:r>
      <w:r>
        <w:rPr>
          <w:rFonts w:ascii="宋体" w:hAnsi="宋体" w:cs="宋体" w:eastAsia="宋体" w:hint="default"/>
          <w:spacing w:val="-48"/>
          <w:sz w:val="21"/>
          <w:szCs w:val="21"/>
        </w:rPr>
        <w:t> </w:t>
      </w:r>
      <w:r>
        <w:rPr>
          <w:rFonts w:ascii="宋体" w:hAnsi="宋体" w:cs="宋体" w:eastAsia="宋体" w:hint="default"/>
          <w:spacing w:val="-3"/>
          <w:sz w:val="21"/>
          <w:szCs w:val="21"/>
        </w:rPr>
        <w:t>亿元。资金来源包括自筹、借款及募集资金。公司积极践行</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pacing w:val="-4"/>
          <w:sz w:val="21"/>
          <w:szCs w:val="21"/>
        </w:rPr>
        <w:t>新发展理念，</w:t>
      </w:r>
      <w:r>
        <w:rPr>
          <w:rFonts w:ascii="宋体" w:hAnsi="宋体" w:cs="宋体" w:eastAsia="宋体" w:hint="default"/>
          <w:spacing w:val="-4"/>
          <w:sz w:val="21"/>
          <w:szCs w:val="21"/>
        </w:rPr>
        <w:t>5G </w:t>
      </w:r>
      <w:r>
        <w:rPr>
          <w:rFonts w:ascii="宋体" w:hAnsi="宋体" w:cs="宋体" w:eastAsia="宋体" w:hint="default"/>
          <w:spacing w:val="-4"/>
          <w:sz w:val="21"/>
          <w:szCs w:val="21"/>
        </w:rPr>
        <w:t>网络共建共享成效显著，推进基础设施精准建设，网络质量大幅提升，网络竞争力和</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sz w:val="21"/>
          <w:szCs w:val="21"/>
        </w:rPr>
        <w:t>公司价值进一步提升。</w:t>
      </w:r>
    </w:p>
    <w:p>
      <w:pPr>
        <w:spacing w:line="240" w:lineRule="auto" w:before="0"/>
        <w:rPr>
          <w:rFonts w:ascii="宋体" w:hAnsi="宋体" w:cs="宋体" w:eastAsia="宋体" w:hint="default"/>
          <w:sz w:val="20"/>
          <w:szCs w:val="20"/>
        </w:rPr>
      </w:pPr>
    </w:p>
    <w:p>
      <w:pPr>
        <w:spacing w:before="164"/>
        <w:ind w:left="538" w:right="125"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(3) </w:t>
      </w:r>
      <w:r>
        <w:rPr>
          <w:rFonts w:ascii="Calibri" w:hAnsi="Calibri" w:cs="Calibri" w:eastAsia="Calibri" w:hint="default"/>
          <w:b/>
          <w:bCs/>
          <w:spacing w:val="35"/>
          <w:sz w:val="21"/>
          <w:szCs w:val="21"/>
        </w:rPr>
        <w:t> </w:t>
      </w:r>
      <w:r>
        <w:rPr>
          <w:rFonts w:ascii="Microsoft JhengHei" w:hAnsi="Microsoft JhengHei" w:cs="Microsoft JhengHei" w:eastAsia="Microsoft JhengHei" w:hint="default"/>
          <w:b/>
          <w:bCs/>
          <w:sz w:val="21"/>
          <w:szCs w:val="21"/>
        </w:rPr>
        <w:t>以公允价值计量的金融资产</w:t>
      </w:r>
      <w:r>
        <w:rPr>
          <w:rFonts w:ascii="Microsoft JhengHei" w:hAnsi="Microsoft JhengHei" w:cs="Microsoft JhengHei" w:eastAsia="Microsoft JhengHei" w:hint="default"/>
          <w:sz w:val="21"/>
          <w:szCs w:val="21"/>
        </w:rPr>
      </w:r>
    </w:p>
    <w:p>
      <w:pPr>
        <w:spacing w:line="240" w:lineRule="auto" w:before="14"/>
        <w:rPr>
          <w:rFonts w:ascii="Microsoft JhengHei" w:hAnsi="Microsoft JhengHei" w:cs="Microsoft JhengHei" w:eastAsia="Microsoft JhengHei" w:hint="default"/>
          <w:b/>
          <w:bCs/>
          <w:sz w:val="4"/>
          <w:szCs w:val="4"/>
        </w:rPr>
      </w:pPr>
    </w:p>
    <w:tbl>
      <w:tblPr>
        <w:tblW w:w="0" w:type="auto"/>
        <w:jc w:val="left"/>
        <w:tblInd w:w="106" w:type="dxa"/>
        <w:tblLayout w:type="fixed"/>
        <w:tblCellMar>
          <w:top w:w="0" w:type="dxa"/>
          <w:left w:w="0" w:type="dxa"/>
          <w:bottom w:w="0" w:type="dxa"/>
          <w:right w:w="0" w:type="dxa"/>
        </w:tblCellMar>
        <w:tblLook w:val="01E0"/>
      </w:tblPr>
      <w:tblGrid>
        <w:gridCol w:w="3243"/>
        <w:gridCol w:w="1721"/>
        <w:gridCol w:w="1702"/>
        <w:gridCol w:w="1702"/>
        <w:gridCol w:w="1274"/>
      </w:tblGrid>
      <w:tr>
        <w:trPr>
          <w:trHeight w:val="635" w:hRule="exact"/>
        </w:trPr>
        <w:tc>
          <w:tcPr>
            <w:tcW w:w="32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4"/>
              <w:ind w:right="0"/>
              <w:jc w:val="center"/>
              <w:rPr>
                <w:rFonts w:ascii="宋体" w:hAnsi="宋体" w:cs="宋体" w:eastAsia="宋体" w:hint="default"/>
                <w:sz w:val="21"/>
                <w:szCs w:val="21"/>
              </w:rPr>
            </w:pPr>
            <w:r>
              <w:rPr>
                <w:rFonts w:ascii="宋体" w:hAnsi="宋体" w:cs="宋体" w:eastAsia="宋体" w:hint="default"/>
                <w:sz w:val="21"/>
                <w:szCs w:val="21"/>
              </w:rPr>
              <w:t>项目名称</w:t>
            </w:r>
          </w:p>
        </w:tc>
        <w:tc>
          <w:tcPr>
            <w:tcW w:w="17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4"/>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4"/>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4"/>
              <w:ind w:left="424" w:right="0"/>
              <w:jc w:val="left"/>
              <w:rPr>
                <w:rFonts w:ascii="宋体" w:hAnsi="宋体" w:cs="宋体" w:eastAsia="宋体" w:hint="default"/>
                <w:sz w:val="21"/>
                <w:szCs w:val="21"/>
              </w:rPr>
            </w:pPr>
            <w:r>
              <w:rPr>
                <w:rFonts w:ascii="宋体" w:hAnsi="宋体" w:cs="宋体" w:eastAsia="宋体" w:hint="default"/>
                <w:sz w:val="21"/>
                <w:szCs w:val="21"/>
              </w:rPr>
              <w:t>当期变动</w:t>
            </w:r>
          </w:p>
        </w:tc>
        <w:tc>
          <w:tcPr>
            <w:tcW w:w="12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105" w:right="103"/>
              <w:jc w:val="left"/>
              <w:rPr>
                <w:rFonts w:ascii="宋体" w:hAnsi="宋体" w:cs="宋体" w:eastAsia="宋体" w:hint="default"/>
                <w:sz w:val="21"/>
                <w:szCs w:val="21"/>
              </w:rPr>
            </w:pPr>
            <w:r>
              <w:rPr>
                <w:rFonts w:ascii="宋体" w:hAnsi="宋体" w:cs="宋体" w:eastAsia="宋体" w:hint="default"/>
                <w:sz w:val="21"/>
                <w:szCs w:val="21"/>
              </w:rPr>
              <w:t>对当期利润</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影响的金额</w:t>
            </w:r>
          </w:p>
        </w:tc>
      </w:tr>
      <w:tr>
        <w:trPr>
          <w:trHeight w:val="322" w:hRule="exact"/>
        </w:trPr>
        <w:tc>
          <w:tcPr>
            <w:tcW w:w="3243"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103"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0"/>
              <w:jc w:val="center"/>
              <w:rPr>
                <w:rFonts w:ascii="宋体" w:hAnsi="宋体" w:cs="宋体" w:eastAsia="宋体" w:hint="default"/>
                <w:sz w:val="21"/>
                <w:szCs w:val="21"/>
              </w:rPr>
            </w:pPr>
            <w:r>
              <w:rPr>
                <w:rFonts w:ascii="宋体"/>
                <w:sz w:val="21"/>
              </w:rPr>
              <w:t>769,905,347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 w:right="0"/>
              <w:jc w:val="center"/>
              <w:rPr>
                <w:rFonts w:ascii="宋体" w:hAnsi="宋体" w:cs="宋体" w:eastAsia="宋体" w:hint="default"/>
                <w:sz w:val="21"/>
                <w:szCs w:val="21"/>
              </w:rPr>
            </w:pPr>
            <w:r>
              <w:rPr>
                <w:rFonts w:ascii="宋体"/>
                <w:sz w:val="21"/>
              </w:rPr>
              <w:t>201,854,202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212"/>
              <w:jc w:val="right"/>
              <w:rPr>
                <w:rFonts w:ascii="宋体" w:hAnsi="宋体" w:cs="宋体" w:eastAsia="宋体" w:hint="default"/>
                <w:sz w:val="21"/>
                <w:szCs w:val="21"/>
              </w:rPr>
            </w:pPr>
            <w:r>
              <w:rPr>
                <w:rFonts w:ascii="宋体"/>
                <w:spacing w:val="-1"/>
                <w:sz w:val="21"/>
              </w:rPr>
              <w:t>-568,051,145</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0"/>
              <w:jc w:val="center"/>
              <w:rPr>
                <w:rFonts w:ascii="宋体" w:hAnsi="宋体" w:cs="宋体" w:eastAsia="宋体" w:hint="default"/>
                <w:sz w:val="21"/>
                <w:szCs w:val="21"/>
              </w:rPr>
            </w:pPr>
            <w:r>
              <w:rPr>
                <w:rFonts w:ascii="宋体"/>
                <w:sz w:val="21"/>
              </w:rPr>
              <w:t>69,880,261</w:t>
            </w:r>
          </w:p>
        </w:tc>
      </w:tr>
      <w:tr>
        <w:trPr>
          <w:trHeight w:val="322" w:hRule="exact"/>
        </w:trPr>
        <w:tc>
          <w:tcPr>
            <w:tcW w:w="324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其他非流动金融资产</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w w:val="100"/>
                <w:sz w:val="21"/>
              </w:rPr>
              <w:t>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568,316,711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64"/>
              <w:jc w:val="right"/>
              <w:rPr>
                <w:rFonts w:ascii="宋体" w:hAnsi="宋体" w:cs="宋体" w:eastAsia="宋体" w:hint="default"/>
                <w:sz w:val="21"/>
                <w:szCs w:val="21"/>
              </w:rPr>
            </w:pPr>
            <w:r>
              <w:rPr>
                <w:rFonts w:ascii="宋体"/>
                <w:spacing w:val="-1"/>
                <w:sz w:val="21"/>
              </w:rPr>
              <w:t>568,316,711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2,175,053</w:t>
            </w:r>
          </w:p>
        </w:tc>
      </w:tr>
    </w:tbl>
    <w:p>
      <w:pPr>
        <w:spacing w:after="0" w:line="262" w:lineRule="exact"/>
        <w:jc w:val="center"/>
        <w:rPr>
          <w:rFonts w:ascii="宋体" w:hAnsi="宋体" w:cs="宋体" w:eastAsia="宋体" w:hint="default"/>
          <w:sz w:val="21"/>
          <w:szCs w:val="21"/>
        </w:rPr>
        <w:sectPr>
          <w:footerReference w:type="default" r:id="rId35"/>
          <w:pgSz w:w="11910" w:h="16840"/>
          <w:pgMar w:footer="502" w:header="854" w:top="1360" w:bottom="700" w:left="880" w:right="1060"/>
        </w:sectPr>
      </w:pPr>
    </w:p>
    <w:p>
      <w:pPr>
        <w:spacing w:line="240" w:lineRule="auto" w:before="6"/>
        <w:rPr>
          <w:rFonts w:ascii="Microsoft JhengHei" w:hAnsi="Microsoft JhengHei" w:cs="Microsoft JhengHei" w:eastAsia="Microsoft JhengHei" w:hint="default"/>
          <w:b/>
          <w:bCs/>
          <w:sz w:val="9"/>
          <w:szCs w:val="9"/>
        </w:rPr>
      </w:pPr>
    </w:p>
    <w:tbl>
      <w:tblPr>
        <w:tblW w:w="0" w:type="auto"/>
        <w:jc w:val="left"/>
        <w:tblInd w:w="106" w:type="dxa"/>
        <w:tblLayout w:type="fixed"/>
        <w:tblCellMar>
          <w:top w:w="0" w:type="dxa"/>
          <w:left w:w="0" w:type="dxa"/>
          <w:bottom w:w="0" w:type="dxa"/>
          <w:right w:w="0" w:type="dxa"/>
        </w:tblCellMar>
        <w:tblLook w:val="01E0"/>
      </w:tblPr>
      <w:tblGrid>
        <w:gridCol w:w="3243"/>
        <w:gridCol w:w="1721"/>
        <w:gridCol w:w="1702"/>
        <w:gridCol w:w="1702"/>
        <w:gridCol w:w="1274"/>
      </w:tblGrid>
      <w:tr>
        <w:trPr>
          <w:trHeight w:val="324" w:hRule="exact"/>
        </w:trPr>
        <w:tc>
          <w:tcPr>
            <w:tcW w:w="324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子公司持有的交通银行股票</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sz w:val="21"/>
              </w:rPr>
              <w:t>146,975,276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 w:right="0"/>
              <w:jc w:val="center"/>
              <w:rPr>
                <w:rFonts w:ascii="宋体" w:hAnsi="宋体" w:cs="宋体" w:eastAsia="宋体" w:hint="default"/>
                <w:sz w:val="21"/>
                <w:szCs w:val="21"/>
              </w:rPr>
            </w:pPr>
            <w:r>
              <w:rPr>
                <w:rFonts w:ascii="宋体"/>
                <w:sz w:val="21"/>
              </w:rPr>
              <w:t>142,913,783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sz w:val="21"/>
              </w:rPr>
              <w:t>-4,061,493</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w w:val="100"/>
                <w:sz w:val="21"/>
              </w:rPr>
              <w:t>0</w:t>
            </w:r>
          </w:p>
        </w:tc>
      </w:tr>
      <w:tr>
        <w:trPr>
          <w:trHeight w:val="322" w:hRule="exact"/>
        </w:trPr>
        <w:tc>
          <w:tcPr>
            <w:tcW w:w="324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子公司持有的西班牙电信股票</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3,697,639,436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3,124,646,831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 w:right="0"/>
              <w:jc w:val="center"/>
              <w:rPr>
                <w:rFonts w:ascii="宋体" w:hAnsi="宋体" w:cs="宋体" w:eastAsia="宋体" w:hint="default"/>
                <w:sz w:val="21"/>
                <w:szCs w:val="21"/>
              </w:rPr>
            </w:pPr>
            <w:r>
              <w:rPr>
                <w:rFonts w:ascii="宋体"/>
                <w:sz w:val="21"/>
              </w:rPr>
              <w:t>-572,992,605</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w w:val="100"/>
                <w:sz w:val="21"/>
              </w:rPr>
              <w:t>0</w:t>
            </w:r>
          </w:p>
        </w:tc>
      </w:tr>
      <w:tr>
        <w:trPr>
          <w:trHeight w:val="322" w:hRule="exact"/>
        </w:trPr>
        <w:tc>
          <w:tcPr>
            <w:tcW w:w="324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其他子公司持有的其他权益工具</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58,280,271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55,570,074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-2,710,197</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w w:val="100"/>
                <w:sz w:val="21"/>
              </w:rPr>
              <w:t>0</w:t>
            </w:r>
          </w:p>
        </w:tc>
      </w:tr>
      <w:tr>
        <w:trPr>
          <w:trHeight w:val="322" w:hRule="exact"/>
        </w:trPr>
        <w:tc>
          <w:tcPr>
            <w:tcW w:w="324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4,672,800,330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4,093,301,601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 w:right="0"/>
              <w:jc w:val="center"/>
              <w:rPr>
                <w:rFonts w:ascii="宋体" w:hAnsi="宋体" w:cs="宋体" w:eastAsia="宋体" w:hint="default"/>
                <w:sz w:val="21"/>
                <w:szCs w:val="21"/>
              </w:rPr>
            </w:pPr>
            <w:r>
              <w:rPr>
                <w:rFonts w:ascii="宋体"/>
                <w:sz w:val="21"/>
              </w:rPr>
              <w:t>-579,498,729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72,055,314</w:t>
            </w:r>
          </w:p>
        </w:tc>
      </w:tr>
    </w:tbl>
    <w:p>
      <w:pPr>
        <w:spacing w:line="240" w:lineRule="auto" w:before="10"/>
        <w:rPr>
          <w:rFonts w:ascii="Microsoft JhengHei" w:hAnsi="Microsoft JhengHei" w:cs="Microsoft JhengHei" w:eastAsia="Microsoft JhengHei" w:hint="default"/>
          <w:b/>
          <w:bCs/>
          <w:sz w:val="18"/>
          <w:szCs w:val="18"/>
        </w:rPr>
      </w:pPr>
    </w:p>
    <w:p>
      <w:pPr>
        <w:spacing w:line="335" w:lineRule="exact" w:before="0"/>
        <w:ind w:left="538" w:right="125"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2</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49"/>
          <w:sz w:val="21"/>
          <w:szCs w:val="21"/>
        </w:rPr>
        <w:t> </w:t>
      </w:r>
      <w:r>
        <w:rPr>
          <w:rFonts w:ascii="Microsoft JhengHei" w:hAnsi="Microsoft JhengHei" w:cs="Microsoft JhengHei" w:eastAsia="Microsoft JhengHei" w:hint="default"/>
          <w:b/>
          <w:bCs/>
          <w:sz w:val="21"/>
          <w:szCs w:val="21"/>
        </w:rPr>
        <w:t>募集资金使用情况</w:t>
      </w:r>
      <w:r>
        <w:rPr>
          <w:rFonts w:ascii="Microsoft JhengHei" w:hAnsi="Microsoft JhengHei" w:cs="Microsoft JhengHei" w:eastAsia="Microsoft JhengHei" w:hint="default"/>
          <w:sz w:val="21"/>
          <w:szCs w:val="21"/>
        </w:rPr>
      </w:r>
    </w:p>
    <w:p>
      <w:pPr>
        <w:spacing w:before="157"/>
        <w:ind w:left="961" w:right="125" w:firstLine="0"/>
        <w:jc w:val="left"/>
        <w:rPr>
          <w:rFonts w:ascii="Microsoft JhengHei" w:hAnsi="Microsoft JhengHei" w:cs="Microsoft JhengHei" w:eastAsia="Microsoft JhengHei" w:hint="default"/>
          <w:sz w:val="21"/>
          <w:szCs w:val="21"/>
        </w:rPr>
      </w:pPr>
      <w:r>
        <w:rPr>
          <w:rFonts w:ascii="Arial" w:hAnsi="Arial" w:cs="Arial" w:eastAsia="Arial" w:hint="default"/>
          <w:b/>
          <w:bCs/>
          <w:w w:val="105"/>
          <w:sz w:val="21"/>
          <w:szCs w:val="21"/>
        </w:rPr>
        <w:t>2.1</w:t>
      </w:r>
      <w:r>
        <w:rPr>
          <w:rFonts w:ascii="Arial" w:hAnsi="Arial" w:cs="Arial" w:eastAsia="Arial" w:hint="default"/>
          <w:b/>
          <w:bCs/>
          <w:spacing w:val="-21"/>
          <w:w w:val="105"/>
          <w:sz w:val="21"/>
          <w:szCs w:val="21"/>
        </w:rPr>
        <w:t> </w:t>
      </w:r>
      <w:r>
        <w:rPr>
          <w:rFonts w:ascii="Microsoft JhengHei" w:hAnsi="Microsoft JhengHei" w:cs="Microsoft JhengHei" w:eastAsia="Microsoft JhengHei" w:hint="default"/>
          <w:b/>
          <w:bCs/>
          <w:w w:val="105"/>
          <w:sz w:val="21"/>
          <w:szCs w:val="21"/>
        </w:rPr>
        <w:t>募集资金基本情况</w:t>
      </w:r>
      <w:r>
        <w:rPr>
          <w:rFonts w:ascii="Microsoft JhengHei" w:hAnsi="Microsoft JhengHei" w:cs="Microsoft JhengHei" w:eastAsia="Microsoft JhengHei" w:hint="default"/>
          <w:w w:val="105"/>
          <w:sz w:val="21"/>
          <w:szCs w:val="21"/>
        </w:rPr>
      </w:r>
    </w:p>
    <w:p>
      <w:pPr>
        <w:spacing w:line="240" w:lineRule="auto" w:before="8"/>
        <w:rPr>
          <w:rFonts w:ascii="Microsoft JhengHei" w:hAnsi="Microsoft JhengHei" w:cs="Microsoft JhengHei" w:eastAsia="Microsoft JhengHei" w:hint="default"/>
          <w:b/>
          <w:bCs/>
          <w:sz w:val="12"/>
          <w:szCs w:val="12"/>
        </w:rPr>
      </w:pPr>
    </w:p>
    <w:p>
      <w:pPr>
        <w:spacing w:line="314" w:lineRule="auto" w:before="0"/>
        <w:ind w:left="538" w:right="125" w:firstLine="42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45"/>
          <w:sz w:val="21"/>
          <w:szCs w:val="21"/>
        </w:rPr>
        <w:t> </w:t>
      </w:r>
      <w:r>
        <w:rPr>
          <w:rFonts w:ascii="宋体" w:hAnsi="宋体" w:cs="宋体" w:eastAsia="宋体" w:hint="default"/>
          <w:sz w:val="21"/>
          <w:szCs w:val="21"/>
        </w:rPr>
        <w:t>年</w:t>
      </w:r>
      <w:r>
        <w:rPr>
          <w:rFonts w:ascii="宋体" w:hAnsi="宋体" w:cs="宋体" w:eastAsia="宋体" w:hint="default"/>
          <w:spacing w:val="-43"/>
          <w:sz w:val="21"/>
          <w:szCs w:val="21"/>
        </w:rPr>
        <w:t> </w:t>
      </w:r>
      <w:r>
        <w:rPr>
          <w:rFonts w:ascii="宋体" w:hAnsi="宋体" w:cs="宋体" w:eastAsia="宋体" w:hint="default"/>
          <w:sz w:val="21"/>
          <w:szCs w:val="21"/>
        </w:rPr>
        <w:t>10</w:t>
      </w:r>
      <w:r>
        <w:rPr>
          <w:rFonts w:ascii="宋体" w:hAnsi="宋体" w:cs="宋体" w:eastAsia="宋体" w:hint="default"/>
          <w:spacing w:val="-45"/>
          <w:sz w:val="21"/>
          <w:szCs w:val="21"/>
        </w:rPr>
        <w:t> </w:t>
      </w:r>
      <w:r>
        <w:rPr>
          <w:rFonts w:ascii="宋体" w:hAnsi="宋体" w:cs="宋体" w:eastAsia="宋体" w:hint="default"/>
          <w:sz w:val="21"/>
          <w:szCs w:val="21"/>
        </w:rPr>
        <w:t>月</w:t>
      </w:r>
      <w:r>
        <w:rPr>
          <w:rFonts w:ascii="宋体" w:hAnsi="宋体" w:cs="宋体" w:eastAsia="宋体" w:hint="default"/>
          <w:spacing w:val="-43"/>
          <w:sz w:val="21"/>
          <w:szCs w:val="21"/>
        </w:rPr>
        <w:t> </w:t>
      </w:r>
      <w:r>
        <w:rPr>
          <w:rFonts w:ascii="宋体" w:hAnsi="宋体" w:cs="宋体" w:eastAsia="宋体" w:hint="default"/>
          <w:sz w:val="21"/>
          <w:szCs w:val="21"/>
        </w:rPr>
        <w:t>13</w:t>
      </w:r>
      <w:r>
        <w:rPr>
          <w:rFonts w:ascii="宋体" w:hAnsi="宋体" w:cs="宋体" w:eastAsia="宋体" w:hint="default"/>
          <w:spacing w:val="-43"/>
          <w:sz w:val="21"/>
          <w:szCs w:val="21"/>
        </w:rPr>
        <w:t> </w:t>
      </w:r>
      <w:r>
        <w:rPr>
          <w:rFonts w:ascii="宋体" w:hAnsi="宋体" w:cs="宋体" w:eastAsia="宋体" w:hint="default"/>
          <w:spacing w:val="-4"/>
          <w:sz w:val="21"/>
          <w:szCs w:val="21"/>
        </w:rPr>
        <w:t>日，公司收到中国证券监督管理委员会下发的《关于核准中国联合网络通信股份</w:t>
      </w:r>
      <w:r>
        <w:rPr>
          <w:rFonts w:ascii="宋体" w:hAnsi="宋体" w:cs="宋体" w:eastAsia="宋体" w:hint="default"/>
          <w:w w:val="100"/>
          <w:sz w:val="21"/>
          <w:szCs w:val="21"/>
        </w:rPr>
        <w:t> </w:t>
      </w:r>
      <w:r>
        <w:rPr>
          <w:rFonts w:ascii="宋体" w:hAnsi="宋体" w:cs="宋体" w:eastAsia="宋体" w:hint="default"/>
          <w:sz w:val="21"/>
          <w:szCs w:val="21"/>
        </w:rPr>
        <w:t>有限公司非公开发行股票的批复》（证监许可〔</w:t>
      </w:r>
      <w:r>
        <w:rPr>
          <w:rFonts w:ascii="宋体" w:hAnsi="宋体" w:cs="宋体" w:eastAsia="宋体" w:hint="default"/>
          <w:sz w:val="21"/>
          <w:szCs w:val="21"/>
        </w:rPr>
        <w:t>2017</w:t>
      </w:r>
      <w:r>
        <w:rPr>
          <w:rFonts w:ascii="宋体" w:hAnsi="宋体" w:cs="宋体" w:eastAsia="宋体" w:hint="default"/>
          <w:sz w:val="21"/>
          <w:szCs w:val="21"/>
        </w:rPr>
        <w:t>〕</w:t>
      </w:r>
      <w:r>
        <w:rPr>
          <w:rFonts w:ascii="宋体" w:hAnsi="宋体" w:cs="宋体" w:eastAsia="宋体" w:hint="default"/>
          <w:sz w:val="21"/>
          <w:szCs w:val="21"/>
        </w:rPr>
        <w:t>1822</w:t>
      </w:r>
      <w:r>
        <w:rPr>
          <w:rFonts w:ascii="宋体" w:hAnsi="宋体" w:cs="宋体" w:eastAsia="宋体" w:hint="default"/>
          <w:spacing w:val="-54"/>
          <w:sz w:val="21"/>
          <w:szCs w:val="21"/>
        </w:rPr>
        <w:t> </w:t>
      </w:r>
      <w:r>
        <w:rPr>
          <w:rFonts w:ascii="宋体" w:hAnsi="宋体" w:cs="宋体" w:eastAsia="宋体" w:hint="default"/>
          <w:sz w:val="21"/>
          <w:szCs w:val="21"/>
        </w:rPr>
        <w:t>号），核准公司非公开发行不超过</w:t>
      </w:r>
      <w:r>
        <w:rPr>
          <w:rFonts w:ascii="宋体" w:hAnsi="宋体" w:cs="宋体" w:eastAsia="宋体" w:hint="default"/>
          <w:w w:val="100"/>
          <w:sz w:val="21"/>
          <w:szCs w:val="21"/>
        </w:rPr>
        <w:t> </w:t>
      </w:r>
      <w:r>
        <w:rPr>
          <w:rFonts w:ascii="宋体" w:hAnsi="宋体" w:cs="宋体" w:eastAsia="宋体" w:hint="default"/>
          <w:sz w:val="21"/>
          <w:szCs w:val="21"/>
        </w:rPr>
        <w:t>9,037,354,292</w:t>
      </w:r>
      <w:r>
        <w:rPr>
          <w:rFonts w:ascii="宋体" w:hAnsi="宋体" w:cs="宋体" w:eastAsia="宋体" w:hint="default"/>
          <w:spacing w:val="-55"/>
          <w:sz w:val="21"/>
          <w:szCs w:val="21"/>
        </w:rPr>
        <w:t> </w:t>
      </w:r>
      <w:r>
        <w:rPr>
          <w:rFonts w:ascii="宋体" w:hAnsi="宋体" w:cs="宋体" w:eastAsia="宋体" w:hint="default"/>
          <w:sz w:val="21"/>
          <w:szCs w:val="21"/>
        </w:rPr>
        <w:t>股新股。公司采用非公开发行的方式，向特定对象非公开发行人民币普通股（</w:t>
      </w:r>
      <w:r>
        <w:rPr>
          <w:rFonts w:ascii="宋体" w:hAnsi="宋体" w:cs="宋体" w:eastAsia="宋体" w:hint="default"/>
          <w:sz w:val="21"/>
          <w:szCs w:val="21"/>
        </w:rPr>
        <w:t>A</w:t>
      </w:r>
      <w:r>
        <w:rPr>
          <w:rFonts w:ascii="宋体" w:hAnsi="宋体" w:cs="宋体" w:eastAsia="宋体" w:hint="default"/>
          <w:spacing w:val="-55"/>
          <w:sz w:val="21"/>
          <w:szCs w:val="21"/>
        </w:rPr>
        <w:t> </w:t>
      </w:r>
      <w:r>
        <w:rPr>
          <w:rFonts w:ascii="宋体" w:hAnsi="宋体" w:cs="宋体" w:eastAsia="宋体" w:hint="default"/>
          <w:sz w:val="21"/>
          <w:szCs w:val="21"/>
        </w:rPr>
        <w:t>股）</w:t>
      </w:r>
    </w:p>
    <w:p>
      <w:pPr>
        <w:spacing w:before="20"/>
        <w:ind w:left="538" w:right="125" w:firstLine="0"/>
        <w:jc w:val="left"/>
        <w:rPr>
          <w:rFonts w:ascii="宋体" w:hAnsi="宋体" w:cs="宋体" w:eastAsia="宋体" w:hint="default"/>
          <w:sz w:val="21"/>
          <w:szCs w:val="21"/>
        </w:rPr>
      </w:pPr>
      <w:r>
        <w:rPr>
          <w:rFonts w:ascii="宋体" w:hAnsi="宋体" w:cs="宋体" w:eastAsia="宋体" w:hint="default"/>
          <w:sz w:val="21"/>
          <w:szCs w:val="21"/>
        </w:rPr>
        <w:t>股票</w:t>
      </w:r>
      <w:r>
        <w:rPr>
          <w:rFonts w:ascii="宋体" w:hAnsi="宋体" w:cs="宋体" w:eastAsia="宋体" w:hint="default"/>
          <w:spacing w:val="-54"/>
          <w:sz w:val="21"/>
          <w:szCs w:val="21"/>
        </w:rPr>
        <w:t> </w:t>
      </w:r>
      <w:r>
        <w:rPr>
          <w:rFonts w:ascii="宋体" w:hAnsi="宋体" w:cs="宋体" w:eastAsia="宋体" w:hint="default"/>
          <w:sz w:val="21"/>
          <w:szCs w:val="21"/>
        </w:rPr>
        <w:t>9,037,354,292</w:t>
      </w:r>
      <w:r>
        <w:rPr>
          <w:rFonts w:ascii="宋体" w:hAnsi="宋体" w:cs="宋体" w:eastAsia="宋体" w:hint="default"/>
          <w:spacing w:val="-56"/>
          <w:sz w:val="21"/>
          <w:szCs w:val="21"/>
        </w:rPr>
        <w:t> </w:t>
      </w:r>
      <w:r>
        <w:rPr>
          <w:rFonts w:ascii="宋体" w:hAnsi="宋体" w:cs="宋体" w:eastAsia="宋体" w:hint="default"/>
          <w:sz w:val="21"/>
          <w:szCs w:val="21"/>
        </w:rPr>
        <w:t>股，发行价格为人民币</w:t>
      </w:r>
      <w:r>
        <w:rPr>
          <w:rFonts w:ascii="宋体" w:hAnsi="宋体" w:cs="宋体" w:eastAsia="宋体" w:hint="default"/>
          <w:spacing w:val="-54"/>
          <w:sz w:val="21"/>
          <w:szCs w:val="21"/>
        </w:rPr>
        <w:t> </w:t>
      </w:r>
      <w:r>
        <w:rPr>
          <w:rFonts w:ascii="宋体" w:hAnsi="宋体" w:cs="宋体" w:eastAsia="宋体" w:hint="default"/>
          <w:sz w:val="21"/>
          <w:szCs w:val="21"/>
        </w:rPr>
        <w:t>6.83</w:t>
      </w:r>
      <w:r>
        <w:rPr>
          <w:rFonts w:ascii="宋体" w:hAnsi="宋体" w:cs="宋体" w:eastAsia="宋体" w:hint="default"/>
          <w:spacing w:val="-56"/>
          <w:sz w:val="21"/>
          <w:szCs w:val="21"/>
        </w:rPr>
        <w:t> </w:t>
      </w:r>
      <w:r>
        <w:rPr>
          <w:rFonts w:ascii="宋体" w:hAnsi="宋体" w:cs="宋体" w:eastAsia="宋体" w:hint="default"/>
          <w:sz w:val="21"/>
          <w:szCs w:val="21"/>
        </w:rPr>
        <w:t>元</w:t>
      </w:r>
      <w:r>
        <w:rPr>
          <w:rFonts w:ascii="宋体" w:hAnsi="宋体" w:cs="宋体" w:eastAsia="宋体" w:hint="default"/>
          <w:sz w:val="21"/>
          <w:szCs w:val="21"/>
        </w:rPr>
        <w:t>/</w:t>
      </w:r>
      <w:r>
        <w:rPr>
          <w:rFonts w:ascii="宋体" w:hAnsi="宋体" w:cs="宋体" w:eastAsia="宋体" w:hint="default"/>
          <w:sz w:val="21"/>
          <w:szCs w:val="21"/>
        </w:rPr>
        <w:t>股。本次发行的募集资金总额人民币</w:t>
      </w:r>
    </w:p>
    <w:p>
      <w:pPr>
        <w:spacing w:before="85"/>
        <w:ind w:left="538" w:right="125" w:firstLine="0"/>
        <w:jc w:val="left"/>
        <w:rPr>
          <w:rFonts w:ascii="宋体" w:hAnsi="宋体" w:cs="宋体" w:eastAsia="宋体" w:hint="default"/>
          <w:sz w:val="21"/>
          <w:szCs w:val="21"/>
        </w:rPr>
      </w:pPr>
      <w:r>
        <w:rPr>
          <w:rFonts w:ascii="宋体" w:hAnsi="宋体" w:cs="宋体" w:eastAsia="宋体" w:hint="default"/>
          <w:sz w:val="21"/>
          <w:szCs w:val="21"/>
        </w:rPr>
        <w:t>61,725,129,814.36</w:t>
      </w:r>
      <w:r>
        <w:rPr>
          <w:rFonts w:ascii="宋体" w:hAnsi="宋体" w:cs="宋体" w:eastAsia="宋体" w:hint="default"/>
          <w:spacing w:val="-38"/>
          <w:sz w:val="21"/>
          <w:szCs w:val="21"/>
        </w:rPr>
        <w:t> </w:t>
      </w:r>
      <w:r>
        <w:rPr>
          <w:rFonts w:ascii="宋体" w:hAnsi="宋体" w:cs="宋体" w:eastAsia="宋体" w:hint="default"/>
          <w:spacing w:val="-4"/>
          <w:sz w:val="21"/>
          <w:szCs w:val="21"/>
        </w:rPr>
        <w:t>元，扣除承销保荐费用和其他发行费用总计人民币</w:t>
      </w:r>
      <w:r>
        <w:rPr>
          <w:rFonts w:ascii="宋体" w:hAnsi="宋体" w:cs="宋体" w:eastAsia="宋体" w:hint="default"/>
          <w:spacing w:val="-34"/>
          <w:sz w:val="21"/>
          <w:szCs w:val="21"/>
        </w:rPr>
        <w:t> </w:t>
      </w:r>
      <w:r>
        <w:rPr>
          <w:rFonts w:ascii="宋体" w:hAnsi="宋体" w:cs="宋体" w:eastAsia="宋体" w:hint="default"/>
          <w:sz w:val="21"/>
          <w:szCs w:val="21"/>
        </w:rPr>
        <w:t>179,060,127.77</w:t>
      </w:r>
      <w:r>
        <w:rPr>
          <w:rFonts w:ascii="宋体" w:hAnsi="宋体" w:cs="宋体" w:eastAsia="宋体" w:hint="default"/>
          <w:spacing w:val="-38"/>
          <w:sz w:val="21"/>
          <w:szCs w:val="21"/>
        </w:rPr>
        <w:t> </w:t>
      </w:r>
      <w:r>
        <w:rPr>
          <w:rFonts w:ascii="宋体" w:hAnsi="宋体" w:cs="宋体" w:eastAsia="宋体" w:hint="default"/>
          <w:spacing w:val="-8"/>
          <w:sz w:val="21"/>
          <w:szCs w:val="21"/>
        </w:rPr>
        <w:t>元（不含增值</w:t>
      </w:r>
    </w:p>
    <w:p>
      <w:pPr>
        <w:spacing w:before="85"/>
        <w:ind w:left="538" w:right="0" w:firstLine="0"/>
        <w:jc w:val="left"/>
        <w:rPr>
          <w:rFonts w:ascii="宋体" w:hAnsi="宋体" w:cs="宋体" w:eastAsia="宋体" w:hint="default"/>
          <w:sz w:val="21"/>
          <w:szCs w:val="21"/>
        </w:rPr>
      </w:pPr>
      <w:r>
        <w:rPr>
          <w:rFonts w:ascii="宋体" w:hAnsi="宋体" w:cs="宋体" w:eastAsia="宋体" w:hint="default"/>
          <w:spacing w:val="-6"/>
          <w:sz w:val="21"/>
          <w:szCs w:val="21"/>
        </w:rPr>
        <w:t>税），公司募集资金净额为人民币 </w:t>
      </w:r>
      <w:r>
        <w:rPr>
          <w:rFonts w:ascii="宋体" w:hAnsi="宋体" w:cs="宋体" w:eastAsia="宋体" w:hint="default"/>
          <w:sz w:val="21"/>
          <w:szCs w:val="21"/>
        </w:rPr>
        <w:t>61,546,069,686.59</w:t>
      </w:r>
      <w:r>
        <w:rPr>
          <w:rFonts w:ascii="宋体" w:hAnsi="宋体" w:cs="宋体" w:eastAsia="宋体" w:hint="default"/>
          <w:spacing w:val="-45"/>
          <w:sz w:val="21"/>
          <w:szCs w:val="21"/>
        </w:rPr>
        <w:t> </w:t>
      </w:r>
      <w:r>
        <w:rPr>
          <w:rFonts w:ascii="宋体" w:hAnsi="宋体" w:cs="宋体" w:eastAsia="宋体" w:hint="default"/>
          <w:spacing w:val="-5"/>
          <w:sz w:val="21"/>
          <w:szCs w:val="21"/>
        </w:rPr>
        <w:t>元。毕马威华振会计师事务所（特殊普通合伙）</w:t>
      </w:r>
    </w:p>
    <w:p>
      <w:pPr>
        <w:spacing w:before="85"/>
        <w:ind w:left="538" w:right="125" w:firstLine="0"/>
        <w:jc w:val="left"/>
        <w:rPr>
          <w:rFonts w:ascii="宋体" w:hAnsi="宋体" w:cs="宋体" w:eastAsia="宋体" w:hint="default"/>
          <w:sz w:val="21"/>
          <w:szCs w:val="21"/>
        </w:rPr>
      </w:pPr>
      <w:r>
        <w:rPr>
          <w:rFonts w:ascii="宋体" w:hAnsi="宋体" w:cs="宋体" w:eastAsia="宋体" w:hint="default"/>
          <w:sz w:val="21"/>
          <w:szCs w:val="21"/>
        </w:rPr>
        <w:t>对截至</w:t>
      </w:r>
      <w:r>
        <w:rPr>
          <w:rFonts w:ascii="宋体" w:hAnsi="宋体" w:cs="宋体" w:eastAsia="宋体" w:hint="default"/>
          <w:spacing w:val="-53"/>
          <w:sz w:val="21"/>
          <w:szCs w:val="21"/>
        </w:rPr>
        <w:t> </w:t>
      </w:r>
      <w:r>
        <w:rPr>
          <w:rFonts w:ascii="宋体" w:hAnsi="宋体" w:cs="宋体" w:eastAsia="宋体" w:hint="default"/>
          <w:sz w:val="21"/>
          <w:szCs w:val="21"/>
        </w:rPr>
        <w:t>2017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10</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26</w:t>
      </w:r>
      <w:r>
        <w:rPr>
          <w:rFonts w:ascii="宋体" w:hAnsi="宋体" w:cs="宋体" w:eastAsia="宋体" w:hint="default"/>
          <w:spacing w:val="-55"/>
          <w:sz w:val="21"/>
          <w:szCs w:val="21"/>
        </w:rPr>
        <w:t> </w:t>
      </w:r>
      <w:r>
        <w:rPr>
          <w:rFonts w:ascii="宋体" w:hAnsi="宋体" w:cs="宋体" w:eastAsia="宋体" w:hint="default"/>
          <w:sz w:val="21"/>
          <w:szCs w:val="21"/>
        </w:rPr>
        <w:t>日公司本次非公开发行股票的募集资金到账情况进行了审验，于</w:t>
      </w:r>
      <w:r>
        <w:rPr>
          <w:rFonts w:ascii="宋体" w:hAnsi="宋体" w:cs="宋体" w:eastAsia="宋体" w:hint="default"/>
          <w:spacing w:val="-52"/>
          <w:sz w:val="21"/>
          <w:szCs w:val="21"/>
        </w:rPr>
        <w:t> </w:t>
      </w:r>
      <w:r>
        <w:rPr>
          <w:rFonts w:ascii="宋体" w:hAnsi="宋体" w:cs="宋体" w:eastAsia="宋体" w:hint="default"/>
          <w:sz w:val="21"/>
          <w:szCs w:val="21"/>
        </w:rPr>
        <w:t>2017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10</w:t>
      </w:r>
    </w:p>
    <w:p>
      <w:pPr>
        <w:spacing w:before="85"/>
        <w:ind w:left="538" w:right="125" w:firstLine="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27</w:t>
      </w:r>
      <w:r>
        <w:rPr>
          <w:rFonts w:ascii="宋体" w:hAnsi="宋体" w:cs="宋体" w:eastAsia="宋体" w:hint="default"/>
          <w:spacing w:val="-55"/>
          <w:sz w:val="21"/>
          <w:szCs w:val="21"/>
        </w:rPr>
        <w:t> </w:t>
      </w:r>
      <w:r>
        <w:rPr>
          <w:rFonts w:ascii="宋体" w:hAnsi="宋体" w:cs="宋体" w:eastAsia="宋体" w:hint="default"/>
          <w:sz w:val="21"/>
          <w:szCs w:val="21"/>
        </w:rPr>
        <w:t>日出具了毕马威华振验字第</w:t>
      </w:r>
      <w:r>
        <w:rPr>
          <w:rFonts w:ascii="宋体" w:hAnsi="宋体" w:cs="宋体" w:eastAsia="宋体" w:hint="default"/>
          <w:spacing w:val="-53"/>
          <w:sz w:val="21"/>
          <w:szCs w:val="21"/>
        </w:rPr>
        <w:t> </w:t>
      </w:r>
      <w:r>
        <w:rPr>
          <w:rFonts w:ascii="宋体" w:hAnsi="宋体" w:cs="宋体" w:eastAsia="宋体" w:hint="default"/>
          <w:sz w:val="21"/>
          <w:szCs w:val="21"/>
        </w:rPr>
        <w:t>1700642</w:t>
      </w:r>
      <w:r>
        <w:rPr>
          <w:rFonts w:ascii="宋体" w:hAnsi="宋体" w:cs="宋体" w:eastAsia="宋体" w:hint="default"/>
          <w:spacing w:val="-55"/>
          <w:sz w:val="21"/>
          <w:szCs w:val="21"/>
        </w:rPr>
        <w:t> </w:t>
      </w:r>
      <w:r>
        <w:rPr>
          <w:rFonts w:ascii="宋体" w:hAnsi="宋体" w:cs="宋体" w:eastAsia="宋体" w:hint="default"/>
          <w:sz w:val="21"/>
          <w:szCs w:val="21"/>
        </w:rPr>
        <w:t>号《验资报告》。</w:t>
      </w:r>
    </w:p>
    <w:p>
      <w:pPr>
        <w:spacing w:line="240" w:lineRule="auto" w:before="6"/>
        <w:rPr>
          <w:rFonts w:ascii="宋体" w:hAnsi="宋体" w:cs="宋体" w:eastAsia="宋体" w:hint="default"/>
          <w:sz w:val="18"/>
          <w:szCs w:val="18"/>
        </w:rPr>
      </w:pPr>
    </w:p>
    <w:p>
      <w:pPr>
        <w:spacing w:before="0"/>
        <w:ind w:left="958" w:right="125" w:firstLine="0"/>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54"/>
          <w:sz w:val="21"/>
          <w:szCs w:val="21"/>
        </w:rPr>
        <w:t> </w:t>
      </w:r>
      <w:r>
        <w:rPr>
          <w:rFonts w:ascii="宋体" w:hAnsi="宋体" w:cs="宋体" w:eastAsia="宋体" w:hint="default"/>
          <w:sz w:val="21"/>
          <w:szCs w:val="21"/>
        </w:rPr>
        <w:t>2019</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日，本公司募集资金投资项目及使用情况如下</w:t>
      </w:r>
      <w:r>
        <w:rPr>
          <w:rFonts w:ascii="宋体" w:hAnsi="宋体" w:cs="宋体" w:eastAsia="宋体" w:hint="default"/>
          <w:sz w:val="21"/>
          <w:szCs w:val="21"/>
        </w:rPr>
        <w:t>:</w:t>
      </w:r>
    </w:p>
    <w:p>
      <w:pPr>
        <w:spacing w:line="240" w:lineRule="auto" w:before="3"/>
        <w:rPr>
          <w:rFonts w:ascii="宋体" w:hAnsi="宋体" w:cs="宋体" w:eastAsia="宋体" w:hint="default"/>
          <w:sz w:val="14"/>
          <w:szCs w:val="14"/>
        </w:rPr>
      </w:pPr>
    </w:p>
    <w:p>
      <w:pPr>
        <w:spacing w:before="0"/>
        <w:ind w:left="0" w:right="416" w:firstLine="0"/>
        <w:jc w:val="right"/>
        <w:rPr>
          <w:rFonts w:ascii="宋体" w:hAnsi="宋体" w:cs="宋体" w:eastAsia="宋体" w:hint="default"/>
          <w:sz w:val="21"/>
          <w:szCs w:val="21"/>
        </w:rPr>
      </w:pPr>
      <w:r>
        <w:rPr>
          <w:rFonts w:ascii="宋体" w:hAnsi="宋体" w:cs="宋体" w:eastAsia="宋体" w:hint="default"/>
          <w:spacing w:val="-1"/>
          <w:sz w:val="21"/>
          <w:szCs w:val="21"/>
        </w:rPr>
        <w:t>单位：人民币亿元</w:t>
      </w:r>
    </w:p>
    <w:p>
      <w:pPr>
        <w:spacing w:line="240" w:lineRule="auto" w:before="10"/>
        <w:rPr>
          <w:rFonts w:ascii="宋体" w:hAnsi="宋体" w:cs="宋体" w:eastAsia="宋体" w:hint="default"/>
          <w:sz w:val="3"/>
          <w:szCs w:val="3"/>
        </w:rPr>
      </w:pPr>
    </w:p>
    <w:tbl>
      <w:tblPr>
        <w:tblW w:w="0" w:type="auto"/>
        <w:jc w:val="left"/>
        <w:tblInd w:w="421" w:type="dxa"/>
        <w:tblLayout w:type="fixed"/>
        <w:tblCellMar>
          <w:top w:w="0" w:type="dxa"/>
          <w:left w:w="0" w:type="dxa"/>
          <w:bottom w:w="0" w:type="dxa"/>
          <w:right w:w="0" w:type="dxa"/>
        </w:tblCellMar>
        <w:tblLook w:val="01E0"/>
      </w:tblPr>
      <w:tblGrid>
        <w:gridCol w:w="686"/>
        <w:gridCol w:w="2972"/>
        <w:gridCol w:w="1700"/>
        <w:gridCol w:w="1702"/>
        <w:gridCol w:w="2269"/>
      </w:tblGrid>
      <w:tr>
        <w:trPr>
          <w:trHeight w:val="555" w:hRule="exact"/>
        </w:trPr>
        <w:tc>
          <w:tcPr>
            <w:tcW w:w="6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3"/>
              <w:ind w:right="0"/>
              <w:jc w:val="center"/>
              <w:rPr>
                <w:rFonts w:ascii="宋体" w:hAnsi="宋体" w:cs="宋体" w:eastAsia="宋体" w:hint="default"/>
                <w:sz w:val="21"/>
                <w:szCs w:val="21"/>
              </w:rPr>
            </w:pPr>
            <w:r>
              <w:rPr>
                <w:rFonts w:ascii="宋体" w:hAnsi="宋体" w:cs="宋体" w:eastAsia="宋体" w:hint="default"/>
                <w:color w:val="333333"/>
                <w:sz w:val="21"/>
                <w:szCs w:val="21"/>
              </w:rPr>
              <w:t>序号</w:t>
            </w:r>
            <w:r>
              <w:rPr>
                <w:rFonts w:ascii="宋体" w:hAnsi="宋体" w:cs="宋体" w:eastAsia="宋体" w:hint="default"/>
                <w:sz w:val="21"/>
                <w:szCs w:val="21"/>
              </w:rPr>
            </w:r>
          </w:p>
        </w:tc>
        <w:tc>
          <w:tcPr>
            <w:tcW w:w="297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3"/>
              <w:ind w:left="1" w:right="0"/>
              <w:jc w:val="center"/>
              <w:rPr>
                <w:rFonts w:ascii="宋体" w:hAnsi="宋体" w:cs="宋体" w:eastAsia="宋体" w:hint="default"/>
                <w:sz w:val="21"/>
                <w:szCs w:val="21"/>
              </w:rPr>
            </w:pPr>
            <w:r>
              <w:rPr>
                <w:rFonts w:ascii="宋体" w:hAnsi="宋体" w:cs="宋体" w:eastAsia="宋体" w:hint="default"/>
                <w:color w:val="333333"/>
                <w:sz w:val="21"/>
                <w:szCs w:val="21"/>
              </w:rPr>
              <w:t>项目名称</w:t>
            </w:r>
            <w:r>
              <w:rPr>
                <w:rFonts w:ascii="宋体" w:hAnsi="宋体" w:cs="宋体" w:eastAsia="宋体" w:hint="default"/>
                <w:sz w:val="21"/>
                <w:szCs w:val="21"/>
              </w:rPr>
            </w:r>
          </w:p>
        </w:tc>
        <w:tc>
          <w:tcPr>
            <w:tcW w:w="1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right="108"/>
              <w:jc w:val="center"/>
              <w:rPr>
                <w:rFonts w:ascii="宋体" w:hAnsi="宋体" w:cs="宋体" w:eastAsia="宋体" w:hint="default"/>
                <w:sz w:val="21"/>
                <w:szCs w:val="21"/>
              </w:rPr>
            </w:pPr>
            <w:r>
              <w:rPr>
                <w:rFonts w:ascii="宋体" w:hAnsi="宋体" w:cs="宋体" w:eastAsia="宋体" w:hint="default"/>
                <w:color w:val="333333"/>
                <w:sz w:val="21"/>
                <w:szCs w:val="21"/>
              </w:rPr>
              <w:t>募集资金拟投入</w:t>
            </w:r>
            <w:r>
              <w:rPr>
                <w:rFonts w:ascii="宋体" w:hAnsi="宋体" w:cs="宋体" w:eastAsia="宋体" w:hint="default"/>
                <w:sz w:val="21"/>
                <w:szCs w:val="21"/>
              </w:rPr>
            </w:r>
          </w:p>
          <w:p>
            <w:pPr>
              <w:pStyle w:val="TableParagraph"/>
              <w:spacing w:line="274" w:lineRule="exact"/>
              <w:ind w:right="108"/>
              <w:jc w:val="center"/>
              <w:rPr>
                <w:rFonts w:ascii="宋体" w:hAnsi="宋体" w:cs="宋体" w:eastAsia="宋体" w:hint="default"/>
                <w:sz w:val="21"/>
                <w:szCs w:val="21"/>
              </w:rPr>
            </w:pPr>
            <w:r>
              <w:rPr>
                <w:rFonts w:ascii="宋体" w:hAnsi="宋体" w:cs="宋体" w:eastAsia="宋体" w:hint="default"/>
                <w:color w:val="333333"/>
                <w:sz w:val="21"/>
                <w:szCs w:val="21"/>
              </w:rPr>
              <w:t>金额</w:t>
            </w:r>
            <w:r>
              <w:rPr>
                <w:rFonts w:ascii="宋体" w:hAnsi="宋体" w:cs="宋体" w:eastAsia="宋体" w:hint="default"/>
                <w:sz w:val="21"/>
                <w:szCs w:val="21"/>
              </w:rPr>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color w:val="333333"/>
                <w:sz w:val="21"/>
                <w:szCs w:val="21"/>
              </w:rPr>
              <w:t>募集资金累计支</w:t>
            </w:r>
            <w:r>
              <w:rPr>
                <w:rFonts w:ascii="宋体" w:hAnsi="宋体" w:cs="宋体" w:eastAsia="宋体" w:hint="default"/>
                <w:sz w:val="21"/>
                <w:szCs w:val="21"/>
              </w:rPr>
            </w:r>
          </w:p>
          <w:p>
            <w:pPr>
              <w:pStyle w:val="TableParagraph"/>
              <w:spacing w:line="274" w:lineRule="exact"/>
              <w:ind w:left="2" w:right="0"/>
              <w:jc w:val="center"/>
              <w:rPr>
                <w:rFonts w:ascii="宋体" w:hAnsi="宋体" w:cs="宋体" w:eastAsia="宋体" w:hint="default"/>
                <w:sz w:val="21"/>
                <w:szCs w:val="21"/>
              </w:rPr>
            </w:pPr>
            <w:r>
              <w:rPr>
                <w:rFonts w:ascii="宋体" w:hAnsi="宋体" w:cs="宋体" w:eastAsia="宋体" w:hint="default"/>
                <w:color w:val="333333"/>
                <w:sz w:val="21"/>
                <w:szCs w:val="21"/>
              </w:rPr>
              <w:t>付额</w:t>
            </w:r>
            <w:r>
              <w:rPr>
                <w:rFonts w:ascii="宋体" w:hAnsi="宋体" w:cs="宋体" w:eastAsia="宋体" w:hint="default"/>
                <w:sz w:val="21"/>
                <w:szCs w:val="21"/>
              </w:rPr>
            </w:r>
          </w:p>
        </w:tc>
        <w:tc>
          <w:tcPr>
            <w:tcW w:w="22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82" w:right="0"/>
              <w:jc w:val="left"/>
              <w:rPr>
                <w:rFonts w:ascii="宋体" w:hAnsi="宋体" w:cs="宋体" w:eastAsia="宋体" w:hint="default"/>
                <w:sz w:val="21"/>
                <w:szCs w:val="21"/>
              </w:rPr>
            </w:pPr>
            <w:r>
              <w:rPr>
                <w:rFonts w:ascii="宋体" w:hAnsi="宋体" w:cs="宋体" w:eastAsia="宋体" w:hint="default"/>
                <w:color w:val="333333"/>
                <w:sz w:val="21"/>
                <w:szCs w:val="21"/>
              </w:rPr>
              <w:t>截至</w:t>
            </w:r>
            <w:r>
              <w:rPr>
                <w:rFonts w:ascii="宋体" w:hAnsi="宋体" w:cs="宋体" w:eastAsia="宋体" w:hint="default"/>
                <w:color w:val="333333"/>
                <w:sz w:val="21"/>
                <w:szCs w:val="21"/>
              </w:rPr>
              <w:t>2019</w:t>
            </w:r>
            <w:r>
              <w:rPr>
                <w:rFonts w:ascii="宋体" w:hAnsi="宋体" w:cs="宋体" w:eastAsia="宋体" w:hint="default"/>
                <w:color w:val="333333"/>
                <w:sz w:val="21"/>
                <w:szCs w:val="21"/>
              </w:rPr>
              <w:t>年</w:t>
            </w:r>
            <w:r>
              <w:rPr>
                <w:rFonts w:ascii="宋体" w:hAnsi="宋体" w:cs="宋体" w:eastAsia="宋体" w:hint="default"/>
                <w:color w:val="333333"/>
                <w:sz w:val="21"/>
                <w:szCs w:val="21"/>
              </w:rPr>
              <w:t>12</w:t>
            </w:r>
            <w:r>
              <w:rPr>
                <w:rFonts w:ascii="宋体" w:hAnsi="宋体" w:cs="宋体" w:eastAsia="宋体" w:hint="default"/>
                <w:color w:val="333333"/>
                <w:sz w:val="21"/>
                <w:szCs w:val="21"/>
              </w:rPr>
              <w:t>月</w:t>
            </w:r>
            <w:r>
              <w:rPr>
                <w:rFonts w:ascii="宋体" w:hAnsi="宋体" w:cs="宋体" w:eastAsia="宋体" w:hint="default"/>
                <w:color w:val="333333"/>
                <w:sz w:val="21"/>
                <w:szCs w:val="21"/>
              </w:rPr>
              <w:t>31</w:t>
            </w:r>
            <w:r>
              <w:rPr>
                <w:rFonts w:ascii="宋体" w:hAnsi="宋体" w:cs="宋体" w:eastAsia="宋体" w:hint="default"/>
                <w:color w:val="333333"/>
                <w:sz w:val="21"/>
                <w:szCs w:val="21"/>
              </w:rPr>
              <w:t>日</w:t>
            </w:r>
            <w:r>
              <w:rPr>
                <w:rFonts w:ascii="宋体" w:hAnsi="宋体" w:cs="宋体" w:eastAsia="宋体" w:hint="default"/>
                <w:sz w:val="21"/>
                <w:szCs w:val="21"/>
              </w:rPr>
            </w:r>
          </w:p>
          <w:p>
            <w:pPr>
              <w:pStyle w:val="TableParagraph"/>
              <w:spacing w:line="274" w:lineRule="exact"/>
              <w:ind w:left="182" w:right="0"/>
              <w:jc w:val="left"/>
              <w:rPr>
                <w:rFonts w:ascii="宋体" w:hAnsi="宋体" w:cs="宋体" w:eastAsia="宋体" w:hint="default"/>
                <w:sz w:val="21"/>
                <w:szCs w:val="21"/>
              </w:rPr>
            </w:pPr>
            <w:r>
              <w:rPr>
                <w:rFonts w:ascii="宋体" w:hAnsi="宋体" w:cs="宋体" w:eastAsia="宋体" w:hint="default"/>
                <w:color w:val="333333"/>
                <w:sz w:val="21"/>
                <w:szCs w:val="21"/>
              </w:rPr>
              <w:t>募集资金的使用进度</w:t>
            </w:r>
            <w:r>
              <w:rPr>
                <w:rFonts w:ascii="宋体" w:hAnsi="宋体" w:cs="宋体" w:eastAsia="宋体" w:hint="default"/>
                <w:sz w:val="21"/>
                <w:szCs w:val="21"/>
              </w:rPr>
            </w:r>
          </w:p>
        </w:tc>
      </w:tr>
      <w:tr>
        <w:trPr>
          <w:trHeight w:val="283" w:hRule="exact"/>
        </w:trPr>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1</w:t>
            </w:r>
          </w:p>
        </w:tc>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4G</w:t>
            </w:r>
            <w:r>
              <w:rPr>
                <w:rFonts w:ascii="宋体" w:hAnsi="宋体" w:cs="宋体" w:eastAsia="宋体" w:hint="default"/>
                <w:color w:val="333333"/>
                <w:sz w:val="21"/>
                <w:szCs w:val="21"/>
              </w:rPr>
              <w:t>能力提升项目</w:t>
            </w:r>
            <w:r>
              <w:rPr>
                <w:rFonts w:ascii="宋体" w:hAnsi="宋体" w:cs="宋体" w:eastAsia="宋体" w:hint="default"/>
                <w:sz w:val="21"/>
                <w:szCs w:val="21"/>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z w:val="21"/>
              </w:rPr>
              <w:t>398.16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398.16</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color w:val="333333"/>
                <w:sz w:val="21"/>
              </w:rPr>
              <w:t>100%</w:t>
            </w:r>
            <w:r>
              <w:rPr>
                <w:rFonts w:ascii="宋体"/>
                <w:sz w:val="21"/>
              </w:rPr>
            </w:r>
          </w:p>
        </w:tc>
      </w:tr>
      <w:tr>
        <w:trPr>
          <w:trHeight w:val="554" w:hRule="exact"/>
        </w:trPr>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w w:val="100"/>
                <w:sz w:val="21"/>
              </w:rPr>
              <w:t>2</w:t>
            </w:r>
          </w:p>
        </w:tc>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5G</w:t>
            </w:r>
            <w:r>
              <w:rPr>
                <w:rFonts w:ascii="宋体" w:hAnsi="宋体" w:cs="宋体" w:eastAsia="宋体" w:hint="default"/>
                <w:color w:val="333333"/>
                <w:sz w:val="21"/>
                <w:szCs w:val="21"/>
              </w:rPr>
              <w:t>组网技术验证、相关业务使</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color w:val="333333"/>
                <w:sz w:val="21"/>
                <w:szCs w:val="21"/>
              </w:rPr>
              <w:t>能及网络试商用建设项目</w:t>
            </w:r>
            <w:r>
              <w:rPr>
                <w:rFonts w:ascii="宋体" w:hAnsi="宋体" w:cs="宋体" w:eastAsia="宋体" w:hint="default"/>
                <w:sz w:val="21"/>
                <w:szCs w:val="21"/>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z w:val="21"/>
              </w:rPr>
              <w:t>195.87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color w:val="333333"/>
                <w:sz w:val="21"/>
              </w:rPr>
              <w:t>26.37</w:t>
            </w:r>
            <w:r>
              <w:rPr>
                <w:rFonts w:ascii="宋体"/>
                <w:sz w:val="21"/>
              </w:rPr>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color w:val="333333"/>
                <w:sz w:val="21"/>
              </w:rPr>
              <w:t>13%</w:t>
            </w:r>
            <w:r>
              <w:rPr>
                <w:rFonts w:ascii="宋体"/>
                <w:sz w:val="21"/>
              </w:rPr>
            </w:r>
          </w:p>
        </w:tc>
      </w:tr>
      <w:tr>
        <w:trPr>
          <w:trHeight w:val="283" w:hRule="exact"/>
        </w:trPr>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3</w:t>
            </w:r>
          </w:p>
        </w:tc>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color w:val="333333"/>
                <w:sz w:val="21"/>
                <w:szCs w:val="21"/>
              </w:rPr>
              <w:t>创新业务建设项目</w:t>
            </w:r>
            <w:r>
              <w:rPr>
                <w:rFonts w:ascii="宋体" w:hAnsi="宋体" w:cs="宋体" w:eastAsia="宋体" w:hint="default"/>
                <w:sz w:val="21"/>
                <w:szCs w:val="21"/>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23.22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color w:val="333333"/>
                <w:sz w:val="21"/>
              </w:rPr>
              <w:t>16.50</w:t>
            </w:r>
            <w:r>
              <w:rPr>
                <w:rFonts w:ascii="宋体"/>
                <w:sz w:val="21"/>
              </w:rPr>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color w:val="333333"/>
                <w:sz w:val="21"/>
              </w:rPr>
              <w:t>71%</w:t>
            </w:r>
            <w:r>
              <w:rPr>
                <w:rFonts w:ascii="宋体"/>
                <w:sz w:val="21"/>
              </w:rPr>
            </w:r>
          </w:p>
        </w:tc>
      </w:tr>
      <w:tr>
        <w:trPr>
          <w:trHeight w:val="283" w:hRule="exact"/>
        </w:trPr>
        <w:tc>
          <w:tcPr>
            <w:tcW w:w="365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color w:val="333333"/>
                <w:sz w:val="21"/>
                <w:szCs w:val="21"/>
              </w:rPr>
              <w:t>合计</w:t>
            </w:r>
            <w:r>
              <w:rPr>
                <w:rFonts w:ascii="宋体" w:hAnsi="宋体" w:cs="宋体" w:eastAsia="宋体" w:hint="default"/>
                <w:sz w:val="21"/>
                <w:szCs w:val="21"/>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617.25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color w:val="333333"/>
                <w:sz w:val="21"/>
              </w:rPr>
              <w:t>441.03</w:t>
            </w:r>
            <w:r>
              <w:rPr>
                <w:rFonts w:ascii="宋体"/>
                <w:sz w:val="21"/>
              </w:rPr>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color w:val="333333"/>
                <w:sz w:val="21"/>
              </w:rPr>
              <w:t>71%</w:t>
            </w:r>
            <w:r>
              <w:rPr>
                <w:rFonts w:ascii="宋体"/>
                <w:sz w:val="21"/>
              </w:rPr>
            </w:r>
          </w:p>
        </w:tc>
      </w:tr>
    </w:tbl>
    <w:p>
      <w:pPr>
        <w:spacing w:line="240" w:lineRule="auto" w:before="5"/>
        <w:rPr>
          <w:rFonts w:ascii="宋体" w:hAnsi="宋体" w:cs="宋体" w:eastAsia="宋体" w:hint="default"/>
          <w:sz w:val="12"/>
          <w:szCs w:val="12"/>
        </w:rPr>
      </w:pPr>
    </w:p>
    <w:p>
      <w:pPr>
        <w:spacing w:line="335" w:lineRule="exact" w:before="0"/>
        <w:ind w:left="961" w:right="125"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2.2 </w:t>
      </w:r>
      <w:r>
        <w:rPr>
          <w:rFonts w:ascii="Arial" w:hAnsi="Arial" w:cs="Arial" w:eastAsia="Arial" w:hint="default"/>
          <w:b/>
          <w:bCs/>
          <w:spacing w:val="29"/>
          <w:sz w:val="21"/>
          <w:szCs w:val="21"/>
        </w:rPr>
        <w:t> </w:t>
      </w:r>
      <w:r>
        <w:rPr>
          <w:rFonts w:ascii="Microsoft JhengHei" w:hAnsi="Microsoft JhengHei" w:cs="Microsoft JhengHei" w:eastAsia="Microsoft JhengHei" w:hint="default"/>
          <w:b/>
          <w:bCs/>
          <w:sz w:val="21"/>
          <w:szCs w:val="21"/>
        </w:rPr>
        <w:t>部分募集资金投资项目延期的具体情况及原因</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2"/>
          <w:szCs w:val="12"/>
        </w:rPr>
      </w:pPr>
    </w:p>
    <w:p>
      <w:pPr>
        <w:spacing w:before="0"/>
        <w:ind w:left="958" w:right="125"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本次募投项目延期原因</w:t>
      </w:r>
    </w:p>
    <w:p>
      <w:pPr>
        <w:spacing w:line="240" w:lineRule="auto" w:before="6"/>
        <w:rPr>
          <w:rFonts w:ascii="宋体" w:hAnsi="宋体" w:cs="宋体" w:eastAsia="宋体" w:hint="default"/>
          <w:sz w:val="18"/>
          <w:szCs w:val="18"/>
        </w:rPr>
      </w:pPr>
    </w:p>
    <w:p>
      <w:pPr>
        <w:spacing w:before="0"/>
        <w:ind w:left="958" w:right="125" w:firstLine="0"/>
        <w:jc w:val="left"/>
        <w:rPr>
          <w:rFonts w:ascii="宋体" w:hAnsi="宋体" w:cs="宋体" w:eastAsia="宋体" w:hint="default"/>
          <w:sz w:val="21"/>
          <w:szCs w:val="21"/>
        </w:rPr>
      </w:pPr>
      <w:r>
        <w:rPr>
          <w:rFonts w:ascii="宋体" w:hAnsi="宋体" w:cs="宋体" w:eastAsia="宋体" w:hint="default"/>
          <w:sz w:val="21"/>
          <w:szCs w:val="21"/>
        </w:rPr>
        <w:t>A) 5G</w:t>
      </w:r>
      <w:r>
        <w:rPr>
          <w:rFonts w:ascii="宋体" w:hAnsi="宋体" w:cs="宋体" w:eastAsia="宋体" w:hint="default"/>
          <w:spacing w:val="-55"/>
          <w:sz w:val="21"/>
          <w:szCs w:val="21"/>
        </w:rPr>
        <w:t> </w:t>
      </w:r>
      <w:r>
        <w:rPr>
          <w:rFonts w:ascii="宋体" w:hAnsi="宋体" w:cs="宋体" w:eastAsia="宋体" w:hint="default"/>
          <w:sz w:val="21"/>
          <w:szCs w:val="21"/>
        </w:rPr>
        <w:t>组网技术验证、相关业务使能及网络试商用建设项目</w:t>
      </w:r>
    </w:p>
    <w:p>
      <w:pPr>
        <w:spacing w:line="240" w:lineRule="auto" w:before="6"/>
        <w:rPr>
          <w:rFonts w:ascii="宋体" w:hAnsi="宋体" w:cs="宋体" w:eastAsia="宋体" w:hint="default"/>
          <w:sz w:val="18"/>
          <w:szCs w:val="18"/>
        </w:rPr>
      </w:pPr>
    </w:p>
    <w:p>
      <w:pPr>
        <w:spacing w:line="314" w:lineRule="auto" w:before="0"/>
        <w:ind w:left="538" w:right="125" w:firstLine="420"/>
        <w:jc w:val="left"/>
        <w:rPr>
          <w:rFonts w:ascii="宋体" w:hAnsi="宋体" w:cs="宋体" w:eastAsia="宋体" w:hint="default"/>
          <w:sz w:val="21"/>
          <w:szCs w:val="21"/>
        </w:rPr>
      </w:pPr>
      <w:r>
        <w:rPr>
          <w:rFonts w:ascii="宋体" w:hAnsi="宋体" w:cs="宋体" w:eastAsia="宋体" w:hint="default"/>
          <w:w w:val="100"/>
          <w:sz w:val="21"/>
          <w:szCs w:val="21"/>
        </w:rPr>
        <w:t>截至</w:t>
      </w:r>
      <w:r>
        <w:rPr>
          <w:rFonts w:ascii="宋体" w:hAnsi="宋体" w:cs="宋体" w:eastAsia="宋体" w:hint="default"/>
          <w:spacing w:val="-71"/>
          <w:w w:val="100"/>
          <w:sz w:val="21"/>
          <w:szCs w:val="21"/>
        </w:rPr>
        <w:t> </w:t>
      </w:r>
      <w:r>
        <w:rPr>
          <w:rFonts w:ascii="宋体" w:hAnsi="宋体" w:cs="宋体" w:eastAsia="宋体" w:hint="default"/>
          <w:spacing w:val="-1"/>
          <w:w w:val="100"/>
          <w:sz w:val="21"/>
          <w:szCs w:val="21"/>
        </w:rPr>
        <w:t>2019</w:t>
      </w:r>
      <w:r>
        <w:rPr>
          <w:rFonts w:ascii="宋体" w:hAnsi="宋体" w:cs="宋体" w:eastAsia="宋体" w:hint="default"/>
          <w:spacing w:val="-70"/>
          <w:w w:val="100"/>
          <w:sz w:val="21"/>
          <w:szCs w:val="21"/>
        </w:rPr>
        <w:t> </w:t>
      </w:r>
      <w:r>
        <w:rPr>
          <w:rFonts w:ascii="宋体" w:hAnsi="宋体" w:cs="宋体" w:eastAsia="宋体" w:hint="default"/>
          <w:w w:val="100"/>
          <w:sz w:val="21"/>
          <w:szCs w:val="21"/>
        </w:rPr>
        <w:t>年</w:t>
      </w:r>
      <w:r>
        <w:rPr>
          <w:rFonts w:ascii="宋体" w:hAnsi="宋体" w:cs="宋体" w:eastAsia="宋体" w:hint="default"/>
          <w:spacing w:val="-73"/>
          <w:w w:val="100"/>
          <w:sz w:val="21"/>
          <w:szCs w:val="21"/>
        </w:rPr>
        <w:t> </w:t>
      </w:r>
      <w:r>
        <w:rPr>
          <w:rFonts w:ascii="宋体" w:hAnsi="宋体" w:cs="宋体" w:eastAsia="宋体" w:hint="default"/>
          <w:w w:val="100"/>
          <w:sz w:val="21"/>
          <w:szCs w:val="21"/>
        </w:rPr>
        <w:t>12</w:t>
      </w:r>
      <w:r>
        <w:rPr>
          <w:rFonts w:ascii="宋体" w:hAnsi="宋体" w:cs="宋体" w:eastAsia="宋体" w:hint="default"/>
          <w:spacing w:val="-70"/>
          <w:w w:val="100"/>
          <w:sz w:val="21"/>
          <w:szCs w:val="21"/>
        </w:rPr>
        <w:t> </w:t>
      </w:r>
      <w:r>
        <w:rPr>
          <w:rFonts w:ascii="宋体" w:hAnsi="宋体" w:cs="宋体" w:eastAsia="宋体" w:hint="default"/>
          <w:w w:val="100"/>
          <w:sz w:val="21"/>
          <w:szCs w:val="21"/>
        </w:rPr>
        <w:t>月</w:t>
      </w:r>
      <w:r>
        <w:rPr>
          <w:rFonts w:ascii="宋体" w:hAnsi="宋体" w:cs="宋体" w:eastAsia="宋体" w:hint="default"/>
          <w:spacing w:val="-70"/>
          <w:w w:val="100"/>
          <w:sz w:val="21"/>
          <w:szCs w:val="21"/>
        </w:rPr>
        <w:t> </w:t>
      </w:r>
      <w:r>
        <w:rPr>
          <w:rFonts w:ascii="宋体" w:hAnsi="宋体" w:cs="宋体" w:eastAsia="宋体" w:hint="default"/>
          <w:spacing w:val="-2"/>
          <w:w w:val="100"/>
          <w:sz w:val="21"/>
          <w:szCs w:val="21"/>
        </w:rPr>
        <w:t>31</w:t>
      </w:r>
      <w:r>
        <w:rPr>
          <w:rFonts w:ascii="宋体" w:hAnsi="宋体" w:cs="宋体" w:eastAsia="宋体" w:hint="default"/>
          <w:spacing w:val="-70"/>
          <w:w w:val="100"/>
          <w:sz w:val="21"/>
          <w:szCs w:val="21"/>
        </w:rPr>
        <w:t> </w:t>
      </w:r>
      <w:r>
        <w:rPr>
          <w:rFonts w:ascii="宋体" w:hAnsi="宋体" w:cs="宋体" w:eastAsia="宋体" w:hint="default"/>
          <w:spacing w:val="-28"/>
          <w:w w:val="100"/>
          <w:sz w:val="21"/>
          <w:szCs w:val="21"/>
        </w:rPr>
        <w:t>日，</w:t>
      </w:r>
      <w:r>
        <w:rPr>
          <w:rFonts w:ascii="宋体" w:hAnsi="宋体" w:cs="宋体" w:eastAsia="宋体" w:hint="default"/>
          <w:spacing w:val="-28"/>
          <w:w w:val="100"/>
          <w:sz w:val="21"/>
          <w:szCs w:val="21"/>
        </w:rPr>
        <w:t>5G</w:t>
      </w:r>
      <w:r>
        <w:rPr>
          <w:rFonts w:ascii="宋体" w:hAnsi="宋体" w:cs="宋体" w:eastAsia="宋体" w:hint="default"/>
          <w:spacing w:val="-70"/>
          <w:w w:val="100"/>
          <w:sz w:val="21"/>
          <w:szCs w:val="21"/>
        </w:rPr>
        <w:t> </w:t>
      </w:r>
      <w:r>
        <w:rPr>
          <w:rFonts w:ascii="宋体" w:hAnsi="宋体" w:cs="宋体" w:eastAsia="宋体" w:hint="default"/>
          <w:spacing w:val="-5"/>
          <w:w w:val="100"/>
          <w:sz w:val="21"/>
          <w:szCs w:val="21"/>
        </w:rPr>
        <w:t>组网技术验证、相关业务使能及网络试商用建设项目已累计投入</w:t>
      </w:r>
      <w:r>
        <w:rPr>
          <w:rFonts w:ascii="宋体" w:hAnsi="宋体" w:cs="宋体" w:eastAsia="宋体" w:hint="default"/>
          <w:spacing w:val="-70"/>
          <w:w w:val="100"/>
          <w:sz w:val="21"/>
          <w:szCs w:val="21"/>
        </w:rPr>
        <w:t> </w:t>
      </w:r>
      <w:r>
        <w:rPr>
          <w:rFonts w:ascii="宋体" w:hAnsi="宋体" w:cs="宋体" w:eastAsia="宋体" w:hint="default"/>
          <w:spacing w:val="-1"/>
          <w:w w:val="100"/>
          <w:sz w:val="21"/>
          <w:szCs w:val="21"/>
        </w:rPr>
        <w:t>26.37</w:t>
      </w:r>
      <w:r>
        <w:rPr>
          <w:rFonts w:ascii="宋体" w:hAnsi="宋体" w:cs="宋体" w:eastAsia="宋体" w:hint="default"/>
          <w:w w:val="100"/>
          <w:sz w:val="21"/>
          <w:szCs w:val="21"/>
        </w:rPr>
        <w:t> </w:t>
      </w:r>
      <w:r>
        <w:rPr>
          <w:rFonts w:ascii="宋体" w:hAnsi="宋体" w:cs="宋体" w:eastAsia="宋体" w:hint="default"/>
          <w:sz w:val="21"/>
          <w:szCs w:val="21"/>
        </w:rPr>
        <w:t>亿元，募集资金使用进度为</w:t>
      </w:r>
      <w:r>
        <w:rPr>
          <w:rFonts w:ascii="宋体" w:hAnsi="宋体" w:cs="宋体" w:eastAsia="宋体" w:hint="default"/>
          <w:spacing w:val="-54"/>
          <w:sz w:val="21"/>
          <w:szCs w:val="21"/>
        </w:rPr>
        <w:t> </w:t>
      </w:r>
      <w:r>
        <w:rPr>
          <w:rFonts w:ascii="宋体" w:hAnsi="宋体" w:cs="宋体" w:eastAsia="宋体" w:hint="default"/>
          <w:sz w:val="21"/>
          <w:szCs w:val="21"/>
        </w:rPr>
        <w:t>13%</w:t>
      </w:r>
      <w:r>
        <w:rPr>
          <w:rFonts w:ascii="宋体" w:hAnsi="宋体" w:cs="宋体" w:eastAsia="宋体" w:hint="default"/>
          <w:sz w:val="21"/>
          <w:szCs w:val="21"/>
        </w:rPr>
        <w:t>。</w:t>
      </w: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年，公司根据</w:t>
      </w:r>
      <w:r>
        <w:rPr>
          <w:rFonts w:ascii="宋体" w:hAnsi="宋体" w:cs="宋体" w:eastAsia="宋体" w:hint="default"/>
          <w:spacing w:val="-54"/>
          <w:sz w:val="21"/>
          <w:szCs w:val="21"/>
        </w:rPr>
        <w:t> </w:t>
      </w:r>
      <w:r>
        <w:rPr>
          <w:rFonts w:ascii="宋体" w:hAnsi="宋体" w:cs="宋体" w:eastAsia="宋体" w:hint="default"/>
          <w:sz w:val="21"/>
          <w:szCs w:val="21"/>
        </w:rPr>
        <w:t>5G</w:t>
      </w:r>
      <w:r>
        <w:rPr>
          <w:rFonts w:ascii="宋体" w:hAnsi="宋体" w:cs="宋体" w:eastAsia="宋体" w:hint="default"/>
          <w:spacing w:val="-56"/>
          <w:sz w:val="21"/>
          <w:szCs w:val="21"/>
        </w:rPr>
        <w:t> </w:t>
      </w:r>
      <w:r>
        <w:rPr>
          <w:rFonts w:ascii="宋体" w:hAnsi="宋体" w:cs="宋体" w:eastAsia="宋体" w:hint="default"/>
          <w:sz w:val="21"/>
          <w:szCs w:val="21"/>
        </w:rPr>
        <w:t>标准进展积极推进产业链成熟和业务探索，</w:t>
      </w:r>
      <w:r>
        <w:rPr>
          <w:rFonts w:ascii="宋体" w:hAnsi="宋体" w:cs="宋体" w:eastAsia="宋体" w:hint="default"/>
          <w:w w:val="100"/>
          <w:sz w:val="21"/>
          <w:szCs w:val="21"/>
        </w:rPr>
        <w:t> </w:t>
      </w:r>
      <w:r>
        <w:rPr>
          <w:rFonts w:ascii="宋体" w:hAnsi="宋体" w:cs="宋体" w:eastAsia="宋体" w:hint="default"/>
          <w:sz w:val="21"/>
          <w:szCs w:val="21"/>
        </w:rPr>
        <w:t>主要开展了</w:t>
      </w:r>
      <w:r>
        <w:rPr>
          <w:rFonts w:ascii="宋体" w:hAnsi="宋体" w:cs="宋体" w:eastAsia="宋体" w:hint="default"/>
          <w:spacing w:val="-43"/>
          <w:sz w:val="21"/>
          <w:szCs w:val="21"/>
        </w:rPr>
        <w:t> </w:t>
      </w:r>
      <w:r>
        <w:rPr>
          <w:rFonts w:ascii="宋体" w:hAnsi="宋体" w:cs="宋体" w:eastAsia="宋体" w:hint="default"/>
          <w:sz w:val="21"/>
          <w:szCs w:val="21"/>
        </w:rPr>
        <w:t>17</w:t>
      </w:r>
      <w:r>
        <w:rPr>
          <w:rFonts w:ascii="宋体" w:hAnsi="宋体" w:cs="宋体" w:eastAsia="宋体" w:hint="default"/>
          <w:spacing w:val="-45"/>
          <w:sz w:val="21"/>
          <w:szCs w:val="21"/>
        </w:rPr>
        <w:t> </w:t>
      </w:r>
      <w:r>
        <w:rPr>
          <w:rFonts w:ascii="宋体" w:hAnsi="宋体" w:cs="宋体" w:eastAsia="宋体" w:hint="default"/>
          <w:spacing w:val="-3"/>
          <w:sz w:val="21"/>
          <w:szCs w:val="21"/>
        </w:rPr>
        <w:t>个城市规模组网和业务示范验证。</w:t>
      </w:r>
      <w:r>
        <w:rPr>
          <w:rFonts w:ascii="宋体" w:hAnsi="宋体" w:cs="宋体" w:eastAsia="宋体" w:hint="default"/>
          <w:spacing w:val="-3"/>
          <w:sz w:val="21"/>
          <w:szCs w:val="21"/>
        </w:rPr>
        <w:t>2019</w:t>
      </w:r>
      <w:r>
        <w:rPr>
          <w:rFonts w:ascii="宋体" w:hAnsi="宋体" w:cs="宋体" w:eastAsia="宋体" w:hint="default"/>
          <w:spacing w:val="-42"/>
          <w:sz w:val="21"/>
          <w:szCs w:val="21"/>
        </w:rPr>
        <w:t> </w:t>
      </w:r>
      <w:r>
        <w:rPr>
          <w:rFonts w:ascii="宋体" w:hAnsi="宋体" w:cs="宋体" w:eastAsia="宋体" w:hint="default"/>
          <w:spacing w:val="-5"/>
          <w:sz w:val="21"/>
          <w:szCs w:val="21"/>
        </w:rPr>
        <w:t>年，公司为积极应对</w:t>
      </w:r>
      <w:r>
        <w:rPr>
          <w:rFonts w:ascii="宋体" w:hAnsi="宋体" w:cs="宋体" w:eastAsia="宋体" w:hint="default"/>
          <w:spacing w:val="-43"/>
          <w:sz w:val="21"/>
          <w:szCs w:val="21"/>
        </w:rPr>
        <w:t> </w:t>
      </w:r>
      <w:r>
        <w:rPr>
          <w:rFonts w:ascii="宋体" w:hAnsi="宋体" w:cs="宋体" w:eastAsia="宋体" w:hint="default"/>
          <w:sz w:val="21"/>
          <w:szCs w:val="21"/>
        </w:rPr>
        <w:t>5G</w:t>
      </w:r>
      <w:r>
        <w:rPr>
          <w:rFonts w:ascii="宋体" w:hAnsi="宋体" w:cs="宋体" w:eastAsia="宋体" w:hint="default"/>
          <w:spacing w:val="-45"/>
          <w:sz w:val="21"/>
          <w:szCs w:val="21"/>
        </w:rPr>
        <w:t> </w:t>
      </w:r>
      <w:r>
        <w:rPr>
          <w:rFonts w:ascii="宋体" w:hAnsi="宋体" w:cs="宋体" w:eastAsia="宋体" w:hint="default"/>
          <w:spacing w:val="-4"/>
          <w:sz w:val="21"/>
          <w:szCs w:val="21"/>
        </w:rPr>
        <w:t>网络建设，与中国电信</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开展全方面的网络共建共享，压降网络投资，并随着</w:t>
      </w:r>
      <w:r>
        <w:rPr>
          <w:rFonts w:ascii="宋体" w:hAnsi="宋体" w:cs="宋体" w:eastAsia="宋体" w:hint="default"/>
          <w:spacing w:val="-55"/>
          <w:sz w:val="21"/>
          <w:szCs w:val="21"/>
        </w:rPr>
        <w:t> </w:t>
      </w:r>
      <w:r>
        <w:rPr>
          <w:rFonts w:ascii="宋体" w:hAnsi="宋体" w:cs="宋体" w:eastAsia="宋体" w:hint="default"/>
          <w:sz w:val="21"/>
          <w:szCs w:val="21"/>
        </w:rPr>
        <w:t>5G</w:t>
      </w:r>
      <w:r>
        <w:rPr>
          <w:rFonts w:ascii="宋体" w:hAnsi="宋体" w:cs="宋体" w:eastAsia="宋体" w:hint="default"/>
          <w:spacing w:val="-29"/>
          <w:sz w:val="21"/>
          <w:szCs w:val="21"/>
        </w:rPr>
        <w:t> </w:t>
      </w:r>
      <w:r>
        <w:rPr>
          <w:rFonts w:ascii="宋体" w:hAnsi="宋体" w:cs="宋体" w:eastAsia="宋体" w:hint="default"/>
          <w:sz w:val="21"/>
          <w:szCs w:val="21"/>
        </w:rPr>
        <w:t>SA</w:t>
      </w:r>
      <w:r>
        <w:rPr>
          <w:rFonts w:ascii="宋体" w:hAnsi="宋体" w:cs="宋体" w:eastAsia="宋体" w:hint="default"/>
          <w:spacing w:val="-55"/>
          <w:sz w:val="21"/>
          <w:szCs w:val="21"/>
        </w:rPr>
        <w:t> </w:t>
      </w:r>
      <w:r>
        <w:rPr>
          <w:rFonts w:ascii="宋体" w:hAnsi="宋体" w:cs="宋体" w:eastAsia="宋体" w:hint="default"/>
          <w:sz w:val="21"/>
          <w:szCs w:val="21"/>
        </w:rPr>
        <w:t>技术以及</w:t>
      </w:r>
      <w:r>
        <w:rPr>
          <w:rFonts w:ascii="宋体" w:hAnsi="宋体" w:cs="宋体" w:eastAsia="宋体" w:hint="default"/>
          <w:spacing w:val="-55"/>
          <w:sz w:val="21"/>
          <w:szCs w:val="21"/>
        </w:rPr>
        <w:t> </w:t>
      </w:r>
      <w:r>
        <w:rPr>
          <w:rFonts w:ascii="宋体" w:hAnsi="宋体" w:cs="宋体" w:eastAsia="宋体" w:hint="default"/>
          <w:sz w:val="21"/>
          <w:szCs w:val="21"/>
        </w:rPr>
        <w:t>F60</w:t>
      </w:r>
      <w:r>
        <w:rPr>
          <w:rFonts w:ascii="宋体" w:hAnsi="宋体" w:cs="宋体" w:eastAsia="宋体" w:hint="default"/>
          <w:spacing w:val="-55"/>
          <w:sz w:val="21"/>
          <w:szCs w:val="21"/>
        </w:rPr>
        <w:t> </w:t>
      </w:r>
      <w:r>
        <w:rPr>
          <w:rFonts w:ascii="宋体" w:hAnsi="宋体" w:cs="宋体" w:eastAsia="宋体" w:hint="default"/>
          <w:sz w:val="21"/>
          <w:szCs w:val="21"/>
        </w:rPr>
        <w:t>版本的逐步成熟，按节奏推</w:t>
      </w:r>
      <w:r>
        <w:rPr>
          <w:rFonts w:ascii="宋体" w:hAnsi="宋体" w:cs="宋体" w:eastAsia="宋体" w:hint="default"/>
          <w:w w:val="100"/>
          <w:sz w:val="21"/>
          <w:szCs w:val="21"/>
        </w:rPr>
        <w:t> </w:t>
      </w:r>
      <w:r>
        <w:rPr>
          <w:rFonts w:ascii="宋体" w:hAnsi="宋体" w:cs="宋体" w:eastAsia="宋体" w:hint="default"/>
          <w:spacing w:val="-2"/>
          <w:sz w:val="21"/>
          <w:szCs w:val="21"/>
        </w:rPr>
        <w:t>进建设部署。经研究论证，公司根据项目实际情况，拟继续实施该项目，并将募集资金投入完成时间</w:t>
      </w:r>
      <w:r>
        <w:rPr>
          <w:rFonts w:ascii="宋体" w:hAnsi="宋体" w:cs="宋体" w:eastAsia="宋体" w:hint="default"/>
          <w:spacing w:val="-52"/>
          <w:sz w:val="21"/>
          <w:szCs w:val="21"/>
        </w:rPr>
        <w:t> </w:t>
      </w:r>
      <w:r>
        <w:rPr>
          <w:rFonts w:ascii="宋体" w:hAnsi="宋体" w:cs="宋体" w:eastAsia="宋体" w:hint="default"/>
          <w:spacing w:val="-52"/>
          <w:sz w:val="21"/>
          <w:szCs w:val="21"/>
        </w:rPr>
      </w:r>
      <w:r>
        <w:rPr>
          <w:rFonts w:ascii="宋体" w:hAnsi="宋体" w:cs="宋体" w:eastAsia="宋体" w:hint="default"/>
          <w:sz w:val="21"/>
          <w:szCs w:val="21"/>
        </w:rPr>
        <w:t>延期至</w:t>
      </w:r>
      <w:r>
        <w:rPr>
          <w:rFonts w:ascii="宋体" w:hAnsi="宋体" w:cs="宋体" w:eastAsia="宋体" w:hint="default"/>
          <w:spacing w:val="-52"/>
          <w:sz w:val="21"/>
          <w:szCs w:val="21"/>
        </w:rPr>
        <w:t> </w:t>
      </w:r>
      <w:r>
        <w:rPr>
          <w:rFonts w:ascii="宋体" w:hAnsi="宋体" w:cs="宋体" w:eastAsia="宋体" w:hint="default"/>
          <w:sz w:val="21"/>
          <w:szCs w:val="21"/>
        </w:rPr>
        <w:t>2021</w:t>
      </w:r>
      <w:r>
        <w:rPr>
          <w:rFonts w:ascii="宋体" w:hAnsi="宋体" w:cs="宋体" w:eastAsia="宋体" w:hint="default"/>
          <w:spacing w:val="-52"/>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r>
    </w:p>
    <w:p>
      <w:pPr>
        <w:spacing w:before="176"/>
        <w:ind w:left="958" w:right="125" w:firstLine="0"/>
        <w:jc w:val="left"/>
        <w:rPr>
          <w:rFonts w:ascii="宋体" w:hAnsi="宋体" w:cs="宋体" w:eastAsia="宋体" w:hint="default"/>
          <w:sz w:val="21"/>
          <w:szCs w:val="21"/>
        </w:rPr>
      </w:pPr>
      <w:r>
        <w:rPr>
          <w:rFonts w:ascii="宋体" w:hAnsi="宋体" w:cs="宋体" w:eastAsia="宋体" w:hint="default"/>
          <w:sz w:val="21"/>
          <w:szCs w:val="21"/>
        </w:rPr>
        <w:t>B)</w:t>
      </w:r>
      <w:r>
        <w:rPr>
          <w:rFonts w:ascii="宋体" w:hAnsi="宋体" w:cs="宋体" w:eastAsia="宋体" w:hint="default"/>
          <w:spacing w:val="-2"/>
          <w:sz w:val="21"/>
          <w:szCs w:val="21"/>
        </w:rPr>
        <w:t> </w:t>
      </w:r>
      <w:r>
        <w:rPr>
          <w:rFonts w:ascii="宋体" w:hAnsi="宋体" w:cs="宋体" w:eastAsia="宋体" w:hint="default"/>
          <w:sz w:val="21"/>
          <w:szCs w:val="21"/>
        </w:rPr>
        <w:t>创新业务建设项目</w:t>
      </w:r>
    </w:p>
    <w:p>
      <w:pPr>
        <w:spacing w:line="240" w:lineRule="auto" w:before="6"/>
        <w:rPr>
          <w:rFonts w:ascii="宋体" w:hAnsi="宋体" w:cs="宋体" w:eastAsia="宋体" w:hint="default"/>
          <w:sz w:val="18"/>
          <w:szCs w:val="18"/>
        </w:rPr>
      </w:pPr>
    </w:p>
    <w:p>
      <w:pPr>
        <w:spacing w:before="0"/>
        <w:ind w:left="958" w:right="0" w:firstLine="0"/>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54"/>
          <w:sz w:val="21"/>
          <w:szCs w:val="21"/>
        </w:rPr>
        <w:t> </w:t>
      </w:r>
      <w:r>
        <w:rPr>
          <w:rFonts w:ascii="宋体" w:hAnsi="宋体" w:cs="宋体" w:eastAsia="宋体" w:hint="default"/>
          <w:sz w:val="21"/>
          <w:szCs w:val="21"/>
        </w:rPr>
        <w:t>2019</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日，创新业务建设项目已累计投入</w:t>
      </w:r>
      <w:r>
        <w:rPr>
          <w:rFonts w:ascii="宋体" w:hAnsi="宋体" w:cs="宋体" w:eastAsia="宋体" w:hint="default"/>
          <w:spacing w:val="-54"/>
          <w:sz w:val="21"/>
          <w:szCs w:val="21"/>
        </w:rPr>
        <w:t> </w:t>
      </w:r>
      <w:r>
        <w:rPr>
          <w:rFonts w:ascii="宋体" w:hAnsi="宋体" w:cs="宋体" w:eastAsia="宋体" w:hint="default"/>
          <w:sz w:val="21"/>
          <w:szCs w:val="21"/>
        </w:rPr>
        <w:t>16.50</w:t>
      </w:r>
      <w:r>
        <w:rPr>
          <w:rFonts w:ascii="宋体" w:hAnsi="宋体" w:cs="宋体" w:eastAsia="宋体" w:hint="default"/>
          <w:spacing w:val="-56"/>
          <w:sz w:val="21"/>
          <w:szCs w:val="21"/>
        </w:rPr>
        <w:t> </w:t>
      </w:r>
      <w:r>
        <w:rPr>
          <w:rFonts w:ascii="宋体" w:hAnsi="宋体" w:cs="宋体" w:eastAsia="宋体" w:hint="default"/>
          <w:sz w:val="21"/>
          <w:szCs w:val="21"/>
        </w:rPr>
        <w:t>亿元，募集资金使用进度为</w:t>
      </w:r>
      <w:r>
        <w:rPr>
          <w:rFonts w:ascii="宋体" w:hAnsi="宋体" w:cs="宋体" w:eastAsia="宋体" w:hint="default"/>
          <w:spacing w:val="-53"/>
          <w:sz w:val="21"/>
          <w:szCs w:val="21"/>
        </w:rPr>
        <w:t> </w:t>
      </w:r>
      <w:r>
        <w:rPr>
          <w:rFonts w:ascii="宋体" w:hAnsi="宋体" w:cs="宋体" w:eastAsia="宋体" w:hint="default"/>
          <w:sz w:val="21"/>
          <w:szCs w:val="21"/>
        </w:rPr>
        <w:t>71%</w:t>
      </w:r>
      <w:r>
        <w:rPr>
          <w:rFonts w:ascii="宋体" w:hAnsi="宋体" w:cs="宋体" w:eastAsia="宋体" w:hint="default"/>
          <w:sz w:val="21"/>
          <w:szCs w:val="21"/>
        </w:rPr>
        <w:t>。</w:t>
      </w:r>
    </w:p>
    <w:p>
      <w:pPr>
        <w:spacing w:before="85"/>
        <w:ind w:left="538" w:right="125" w:firstLine="0"/>
        <w:jc w:val="left"/>
        <w:rPr>
          <w:rFonts w:ascii="宋体" w:hAnsi="宋体" w:cs="宋体" w:eastAsia="宋体" w:hint="default"/>
          <w:sz w:val="21"/>
          <w:szCs w:val="21"/>
        </w:rPr>
      </w:pPr>
      <w:r>
        <w:rPr>
          <w:rFonts w:ascii="宋体" w:hAnsi="宋体" w:cs="宋体" w:eastAsia="宋体" w:hint="default"/>
          <w:sz w:val="21"/>
          <w:szCs w:val="21"/>
        </w:rPr>
        <w:t>公司根据项目实际情况，拟继续实施该项目，并将募集资金投入完成时间延期至</w:t>
      </w:r>
      <w:r>
        <w:rPr>
          <w:rFonts w:ascii="宋体" w:hAnsi="宋体" w:cs="宋体" w:eastAsia="宋体" w:hint="default"/>
          <w:spacing w:val="-53"/>
          <w:sz w:val="21"/>
          <w:szCs w:val="21"/>
        </w:rPr>
        <w:t> </w:t>
      </w:r>
      <w:r>
        <w:rPr>
          <w:rFonts w:ascii="宋体" w:hAnsi="宋体" w:cs="宋体" w:eastAsia="宋体" w:hint="default"/>
          <w:sz w:val="21"/>
          <w:szCs w:val="21"/>
        </w:rPr>
        <w:t>2021</w:t>
      </w:r>
      <w:r>
        <w:rPr>
          <w:rFonts w:ascii="宋体" w:hAnsi="宋体" w:cs="宋体" w:eastAsia="宋体" w:hint="default"/>
          <w:spacing w:val="-56"/>
          <w:sz w:val="21"/>
          <w:szCs w:val="21"/>
        </w:rPr>
        <w:t> </w:t>
      </w:r>
      <w:r>
        <w:rPr>
          <w:rFonts w:ascii="宋体" w:hAnsi="宋体" w:cs="宋体" w:eastAsia="宋体" w:hint="default"/>
          <w:sz w:val="21"/>
          <w:szCs w:val="21"/>
        </w:rPr>
        <w:t>年。</w:t>
      </w:r>
    </w:p>
    <w:p>
      <w:pPr>
        <w:spacing w:after="0"/>
        <w:jc w:val="left"/>
        <w:rPr>
          <w:rFonts w:ascii="宋体" w:hAnsi="宋体" w:cs="宋体" w:eastAsia="宋体" w:hint="default"/>
          <w:sz w:val="21"/>
          <w:szCs w:val="21"/>
        </w:rPr>
        <w:sectPr>
          <w:footerReference w:type="default" r:id="rId36"/>
          <w:pgSz w:w="11910" w:h="16840"/>
          <w:pgMar w:footer="502" w:header="854" w:top="1360" w:bottom="700" w:left="880" w:right="1060"/>
        </w:sectPr>
      </w:pPr>
    </w:p>
    <w:p>
      <w:pPr>
        <w:spacing w:line="240" w:lineRule="auto" w:before="13"/>
        <w:rPr>
          <w:rFonts w:ascii="宋体" w:hAnsi="宋体" w:cs="宋体" w:eastAsia="宋体" w:hint="default"/>
          <w:sz w:val="12"/>
          <w:szCs w:val="12"/>
        </w:rPr>
      </w:pPr>
    </w:p>
    <w:p>
      <w:pPr>
        <w:spacing w:before="36"/>
        <w:ind w:left="638" w:right="120" w:firstLine="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募投项目资金投入完成时间调整情况</w:t>
      </w:r>
    </w:p>
    <w:p>
      <w:pPr>
        <w:spacing w:line="240" w:lineRule="auto" w:before="6"/>
        <w:rPr>
          <w:rFonts w:ascii="宋体" w:hAnsi="宋体" w:cs="宋体" w:eastAsia="宋体" w:hint="default"/>
          <w:sz w:val="18"/>
          <w:szCs w:val="18"/>
        </w:rPr>
      </w:pPr>
    </w:p>
    <w:p>
      <w:pPr>
        <w:spacing w:line="314" w:lineRule="auto" w:before="0"/>
        <w:ind w:left="218" w:right="225" w:firstLine="420"/>
        <w:jc w:val="both"/>
        <w:rPr>
          <w:rFonts w:ascii="宋体" w:hAnsi="宋体" w:cs="宋体" w:eastAsia="宋体" w:hint="default"/>
          <w:sz w:val="21"/>
          <w:szCs w:val="21"/>
        </w:rPr>
      </w:pPr>
      <w:r>
        <w:rPr>
          <w:rFonts w:ascii="宋体" w:hAnsi="宋体" w:cs="宋体" w:eastAsia="宋体" w:hint="default"/>
          <w:spacing w:val="-2"/>
          <w:sz w:val="21"/>
          <w:szCs w:val="21"/>
        </w:rPr>
        <w:t>为保证募投项目顺利实施，保证募集资金的合理有效运用，同时提升科技研发水平，经公司谨慎</w:t>
      </w:r>
      <w:r>
        <w:rPr>
          <w:rFonts w:ascii="宋体" w:hAnsi="宋体" w:cs="宋体" w:eastAsia="宋体" w:hint="default"/>
          <w:w w:val="100"/>
          <w:sz w:val="21"/>
          <w:szCs w:val="21"/>
        </w:rPr>
        <w:t> </w:t>
      </w:r>
      <w:r>
        <w:rPr>
          <w:rFonts w:ascii="宋体" w:hAnsi="宋体" w:cs="宋体" w:eastAsia="宋体" w:hint="default"/>
          <w:spacing w:val="-2"/>
          <w:sz w:val="21"/>
          <w:szCs w:val="21"/>
        </w:rPr>
        <w:t>研究决定，拟将下列项目募集资金投入完成时间进行延期，募集资金投资项目实施主体、募集资金投</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资用途及投资总额均不发生变化，具体调整请见下表：</w:t>
      </w:r>
    </w:p>
    <w:p>
      <w:pPr>
        <w:spacing w:line="240" w:lineRule="auto" w:before="4"/>
        <w:rPr>
          <w:rFonts w:ascii="宋体" w:hAnsi="宋体" w:cs="宋体" w:eastAsia="宋体" w:hint="default"/>
          <w:sz w:val="10"/>
          <w:szCs w:val="10"/>
        </w:rPr>
      </w:pPr>
    </w:p>
    <w:tbl>
      <w:tblPr>
        <w:tblW w:w="0" w:type="auto"/>
        <w:jc w:val="left"/>
        <w:tblInd w:w="106" w:type="dxa"/>
        <w:tblLayout w:type="fixed"/>
        <w:tblCellMar>
          <w:top w:w="0" w:type="dxa"/>
          <w:left w:w="0" w:type="dxa"/>
          <w:bottom w:w="0" w:type="dxa"/>
          <w:right w:w="0" w:type="dxa"/>
        </w:tblCellMar>
        <w:tblLook w:val="01E0"/>
      </w:tblPr>
      <w:tblGrid>
        <w:gridCol w:w="5384"/>
        <w:gridCol w:w="2105"/>
        <w:gridCol w:w="1942"/>
      </w:tblGrid>
      <w:tr>
        <w:trPr>
          <w:trHeight w:val="556" w:hRule="exact"/>
        </w:trPr>
        <w:tc>
          <w:tcPr>
            <w:tcW w:w="53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color w:val="333333"/>
                <w:sz w:val="21"/>
                <w:szCs w:val="21"/>
              </w:rPr>
              <w:t>项目名称</w:t>
            </w:r>
            <w:r>
              <w:rPr>
                <w:rFonts w:ascii="宋体" w:hAnsi="宋体" w:cs="宋体" w:eastAsia="宋体" w:hint="default"/>
                <w:sz w:val="21"/>
                <w:szCs w:val="21"/>
              </w:rPr>
            </w:r>
          </w:p>
        </w:tc>
        <w:tc>
          <w:tcPr>
            <w:tcW w:w="21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color w:val="333333"/>
                <w:sz w:val="21"/>
                <w:szCs w:val="21"/>
              </w:rPr>
              <w:t>调整前募集资金投</w:t>
            </w:r>
            <w:r>
              <w:rPr>
                <w:rFonts w:ascii="宋体" w:hAnsi="宋体" w:cs="宋体" w:eastAsia="宋体" w:hint="default"/>
                <w:sz w:val="21"/>
                <w:szCs w:val="21"/>
              </w:rPr>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color w:val="333333"/>
                <w:sz w:val="21"/>
                <w:szCs w:val="21"/>
              </w:rPr>
              <w:t>入完成时间</w:t>
            </w:r>
            <w:r>
              <w:rPr>
                <w:rFonts w:ascii="宋体" w:hAnsi="宋体" w:cs="宋体" w:eastAsia="宋体" w:hint="default"/>
                <w:sz w:val="21"/>
                <w:szCs w:val="21"/>
              </w:rPr>
            </w:r>
          </w:p>
        </w:tc>
        <w:tc>
          <w:tcPr>
            <w:tcW w:w="19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color w:val="333333"/>
                <w:sz w:val="21"/>
                <w:szCs w:val="21"/>
              </w:rPr>
              <w:t>调整后募集资金投</w:t>
            </w:r>
            <w:r>
              <w:rPr>
                <w:rFonts w:ascii="宋体" w:hAnsi="宋体" w:cs="宋体" w:eastAsia="宋体" w:hint="default"/>
                <w:sz w:val="21"/>
                <w:szCs w:val="21"/>
              </w:rPr>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color w:val="333333"/>
                <w:sz w:val="21"/>
                <w:szCs w:val="21"/>
              </w:rPr>
              <w:t>入完成时间</w:t>
            </w:r>
            <w:r>
              <w:rPr>
                <w:rFonts w:ascii="宋体" w:hAnsi="宋体" w:cs="宋体" w:eastAsia="宋体" w:hint="default"/>
                <w:sz w:val="21"/>
                <w:szCs w:val="21"/>
              </w:rPr>
            </w:r>
          </w:p>
        </w:tc>
      </w:tr>
      <w:tr>
        <w:trPr>
          <w:trHeight w:val="281" w:hRule="exact"/>
        </w:trPr>
        <w:tc>
          <w:tcPr>
            <w:tcW w:w="53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5G</w:t>
            </w:r>
            <w:r>
              <w:rPr>
                <w:rFonts w:ascii="宋体" w:hAnsi="宋体" w:cs="宋体" w:eastAsia="宋体" w:hint="default"/>
                <w:color w:val="333333"/>
                <w:sz w:val="21"/>
                <w:szCs w:val="21"/>
              </w:rPr>
              <w:t>组网技术验证、相关业务使能及网络试商用建设项目</w:t>
            </w:r>
            <w:r>
              <w:rPr>
                <w:rFonts w:ascii="宋体" w:hAnsi="宋体" w:cs="宋体" w:eastAsia="宋体" w:hint="default"/>
                <w:sz w:val="21"/>
                <w:szCs w:val="21"/>
              </w:rPr>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color w:val="333333"/>
                <w:sz w:val="21"/>
                <w:szCs w:val="21"/>
              </w:rPr>
              <w:t>2019</w:t>
            </w:r>
            <w:r>
              <w:rPr>
                <w:rFonts w:ascii="宋体" w:hAnsi="宋体" w:cs="宋体" w:eastAsia="宋体" w:hint="default"/>
                <w:color w:val="333333"/>
                <w:sz w:val="21"/>
                <w:szCs w:val="21"/>
              </w:rPr>
              <w:t>年</w:t>
            </w:r>
            <w:r>
              <w:rPr>
                <w:rFonts w:ascii="宋体" w:hAnsi="宋体" w:cs="宋体" w:eastAsia="宋体" w:hint="default"/>
                <w:sz w:val="21"/>
                <w:szCs w:val="21"/>
              </w:rPr>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color w:val="333333"/>
                <w:sz w:val="21"/>
                <w:szCs w:val="21"/>
              </w:rPr>
              <w:t>2021</w:t>
            </w:r>
            <w:r>
              <w:rPr>
                <w:rFonts w:ascii="宋体" w:hAnsi="宋体" w:cs="宋体" w:eastAsia="宋体" w:hint="default"/>
                <w:color w:val="333333"/>
                <w:sz w:val="21"/>
                <w:szCs w:val="21"/>
              </w:rPr>
              <w:t>年</w:t>
            </w:r>
            <w:r>
              <w:rPr>
                <w:rFonts w:ascii="宋体" w:hAnsi="宋体" w:cs="宋体" w:eastAsia="宋体" w:hint="default"/>
                <w:sz w:val="21"/>
                <w:szCs w:val="21"/>
              </w:rPr>
            </w:r>
          </w:p>
        </w:tc>
      </w:tr>
      <w:tr>
        <w:trPr>
          <w:trHeight w:val="283" w:hRule="exact"/>
        </w:trPr>
        <w:tc>
          <w:tcPr>
            <w:tcW w:w="53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color w:val="333333"/>
                <w:sz w:val="21"/>
                <w:szCs w:val="21"/>
              </w:rPr>
              <w:t>创新业务建设项目</w:t>
            </w:r>
            <w:r>
              <w:rPr>
                <w:rFonts w:ascii="宋体" w:hAnsi="宋体" w:cs="宋体" w:eastAsia="宋体" w:hint="default"/>
                <w:sz w:val="21"/>
                <w:szCs w:val="21"/>
              </w:rPr>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color w:val="333333"/>
                <w:sz w:val="21"/>
                <w:szCs w:val="21"/>
              </w:rPr>
              <w:t>2019</w:t>
            </w:r>
            <w:r>
              <w:rPr>
                <w:rFonts w:ascii="宋体" w:hAnsi="宋体" w:cs="宋体" w:eastAsia="宋体" w:hint="default"/>
                <w:color w:val="333333"/>
                <w:sz w:val="21"/>
                <w:szCs w:val="21"/>
              </w:rPr>
              <w:t>年</w:t>
            </w:r>
            <w:r>
              <w:rPr>
                <w:rFonts w:ascii="宋体" w:hAnsi="宋体" w:cs="宋体" w:eastAsia="宋体" w:hint="default"/>
                <w:sz w:val="21"/>
                <w:szCs w:val="21"/>
              </w:rPr>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color w:val="333333"/>
                <w:sz w:val="21"/>
                <w:szCs w:val="21"/>
              </w:rPr>
              <w:t>2021</w:t>
            </w:r>
            <w:r>
              <w:rPr>
                <w:rFonts w:ascii="宋体" w:hAnsi="宋体" w:cs="宋体" w:eastAsia="宋体" w:hint="default"/>
                <w:color w:val="333333"/>
                <w:sz w:val="21"/>
                <w:szCs w:val="21"/>
              </w:rPr>
              <w:t>年</w:t>
            </w:r>
            <w:r>
              <w:rPr>
                <w:rFonts w:ascii="宋体" w:hAnsi="宋体" w:cs="宋体" w:eastAsia="宋体" w:hint="default"/>
                <w:sz w:val="21"/>
                <w:szCs w:val="21"/>
              </w:rPr>
            </w:r>
          </w:p>
        </w:tc>
      </w:tr>
    </w:tbl>
    <w:p>
      <w:pPr>
        <w:spacing w:line="240" w:lineRule="auto" w:before="6"/>
        <w:rPr>
          <w:rFonts w:ascii="宋体" w:hAnsi="宋体" w:cs="宋体" w:eastAsia="宋体" w:hint="default"/>
          <w:sz w:val="12"/>
          <w:szCs w:val="12"/>
        </w:rPr>
      </w:pPr>
    </w:p>
    <w:p>
      <w:pPr>
        <w:spacing w:before="36"/>
        <w:ind w:left="638" w:right="120" w:firstLine="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重新论证募集资金投资项目</w:t>
      </w:r>
    </w:p>
    <w:p>
      <w:pPr>
        <w:spacing w:line="240" w:lineRule="auto" w:before="6"/>
        <w:rPr>
          <w:rFonts w:ascii="宋体" w:hAnsi="宋体" w:cs="宋体" w:eastAsia="宋体" w:hint="default"/>
          <w:sz w:val="18"/>
          <w:szCs w:val="18"/>
        </w:rPr>
      </w:pPr>
    </w:p>
    <w:p>
      <w:pPr>
        <w:spacing w:line="314" w:lineRule="auto" w:before="0"/>
        <w:ind w:left="218" w:right="251" w:firstLine="420"/>
        <w:jc w:val="left"/>
        <w:rPr>
          <w:rFonts w:ascii="宋体" w:hAnsi="宋体" w:cs="宋体" w:eastAsia="宋体" w:hint="default"/>
          <w:sz w:val="21"/>
          <w:szCs w:val="21"/>
        </w:rPr>
      </w:pPr>
      <w:r>
        <w:rPr>
          <w:rFonts w:ascii="宋体" w:hAnsi="宋体" w:cs="宋体" w:eastAsia="宋体" w:hint="default"/>
          <w:sz w:val="21"/>
          <w:szCs w:val="21"/>
        </w:rPr>
        <w:t>根据《上海证券交易所上市公司募集资金管理办法（</w:t>
      </w:r>
      <w:r>
        <w:rPr>
          <w:rFonts w:ascii="宋体" w:hAnsi="宋体" w:cs="宋体" w:eastAsia="宋体" w:hint="default"/>
          <w:sz w:val="21"/>
          <w:szCs w:val="21"/>
        </w:rPr>
        <w:t>2013</w:t>
      </w:r>
      <w:r>
        <w:rPr>
          <w:rFonts w:ascii="宋体" w:hAnsi="宋体" w:cs="宋体" w:eastAsia="宋体" w:hint="default"/>
          <w:spacing w:val="-56"/>
          <w:sz w:val="21"/>
          <w:szCs w:val="21"/>
        </w:rPr>
        <w:t> </w:t>
      </w:r>
      <w:r>
        <w:rPr>
          <w:rFonts w:ascii="宋体" w:hAnsi="宋体" w:cs="宋体" w:eastAsia="宋体" w:hint="default"/>
          <w:sz w:val="21"/>
          <w:szCs w:val="21"/>
        </w:rPr>
        <w:t>年修订）》的相关规定，公司对</w:t>
      </w:r>
      <w:r>
        <w:rPr>
          <w:rFonts w:ascii="宋体" w:hAnsi="宋体" w:cs="宋体" w:eastAsia="宋体" w:hint="default"/>
          <w:spacing w:val="-56"/>
          <w:sz w:val="21"/>
          <w:szCs w:val="21"/>
        </w:rPr>
        <w:t> </w:t>
      </w:r>
      <w:r>
        <w:rPr>
          <w:rFonts w:ascii="宋体" w:hAnsi="宋体" w:cs="宋体" w:eastAsia="宋体" w:hint="default"/>
          <w:sz w:val="21"/>
          <w:szCs w:val="21"/>
        </w:rPr>
        <w:t>5G</w:t>
      </w:r>
      <w:r>
        <w:rPr>
          <w:rFonts w:ascii="宋体" w:hAnsi="宋体" w:cs="宋体" w:eastAsia="宋体" w:hint="default"/>
          <w:spacing w:val="-56"/>
          <w:sz w:val="21"/>
          <w:szCs w:val="21"/>
        </w:rPr>
        <w:t> </w:t>
      </w:r>
      <w:r>
        <w:rPr>
          <w:rFonts w:ascii="宋体" w:hAnsi="宋体" w:cs="宋体" w:eastAsia="宋体" w:hint="default"/>
          <w:sz w:val="21"/>
          <w:szCs w:val="21"/>
        </w:rPr>
        <w:t>组</w:t>
      </w:r>
      <w:r>
        <w:rPr>
          <w:rFonts w:ascii="宋体" w:hAnsi="宋体" w:cs="宋体" w:eastAsia="宋体" w:hint="default"/>
          <w:w w:val="100"/>
          <w:sz w:val="21"/>
          <w:szCs w:val="21"/>
        </w:rPr>
        <w:t> </w:t>
      </w:r>
      <w:r>
        <w:rPr>
          <w:rFonts w:ascii="宋体" w:hAnsi="宋体" w:cs="宋体" w:eastAsia="宋体" w:hint="default"/>
          <w:sz w:val="21"/>
          <w:szCs w:val="21"/>
        </w:rPr>
        <w:t>网技术验证、相关业务使能及网络试商用建设项目的可行性和必要性进行了重新论证。</w:t>
      </w:r>
    </w:p>
    <w:p>
      <w:pPr>
        <w:spacing w:line="314" w:lineRule="auto" w:before="176"/>
        <w:ind w:left="218" w:right="120" w:firstLine="420"/>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54"/>
          <w:sz w:val="21"/>
          <w:szCs w:val="21"/>
        </w:rPr>
        <w:t> </w:t>
      </w:r>
      <w:r>
        <w:rPr>
          <w:rFonts w:ascii="宋体" w:hAnsi="宋体" w:cs="宋体" w:eastAsia="宋体" w:hint="default"/>
          <w:sz w:val="21"/>
          <w:szCs w:val="21"/>
        </w:rPr>
        <w:t>2019</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r>
        <w:rPr>
          <w:rFonts w:ascii="宋体" w:hAnsi="宋体" w:cs="宋体" w:eastAsia="宋体" w:hint="default"/>
          <w:sz w:val="21"/>
          <w:szCs w:val="21"/>
        </w:rPr>
        <w:t>5G</w:t>
      </w:r>
      <w:r>
        <w:rPr>
          <w:rFonts w:ascii="宋体" w:hAnsi="宋体" w:cs="宋体" w:eastAsia="宋体" w:hint="default"/>
          <w:spacing w:val="-54"/>
          <w:sz w:val="21"/>
          <w:szCs w:val="21"/>
        </w:rPr>
        <w:t> </w:t>
      </w:r>
      <w:r>
        <w:rPr>
          <w:rFonts w:ascii="宋体" w:hAnsi="宋体" w:cs="宋体" w:eastAsia="宋体" w:hint="default"/>
          <w:sz w:val="21"/>
          <w:szCs w:val="21"/>
        </w:rPr>
        <w:t>组网技术验证、相关业务使能及网络试商用建设项目募集资金使用</w:t>
      </w:r>
      <w:r>
        <w:rPr>
          <w:rFonts w:ascii="宋体" w:hAnsi="宋体" w:cs="宋体" w:eastAsia="宋体" w:hint="default"/>
          <w:w w:val="100"/>
          <w:sz w:val="21"/>
          <w:szCs w:val="21"/>
        </w:rPr>
        <w:t> </w:t>
      </w:r>
      <w:r>
        <w:rPr>
          <w:rFonts w:ascii="宋体" w:hAnsi="宋体" w:cs="宋体" w:eastAsia="宋体" w:hint="default"/>
          <w:sz w:val="21"/>
          <w:szCs w:val="21"/>
        </w:rPr>
        <w:t>进度为</w:t>
      </w:r>
      <w:r>
        <w:rPr>
          <w:rFonts w:ascii="宋体" w:hAnsi="宋体" w:cs="宋体" w:eastAsia="宋体" w:hint="default"/>
          <w:spacing w:val="-56"/>
          <w:sz w:val="21"/>
          <w:szCs w:val="21"/>
        </w:rPr>
        <w:t> </w:t>
      </w:r>
      <w:r>
        <w:rPr>
          <w:rFonts w:ascii="宋体" w:hAnsi="宋体" w:cs="宋体" w:eastAsia="宋体" w:hint="default"/>
          <w:sz w:val="21"/>
          <w:szCs w:val="21"/>
        </w:rPr>
        <w:t>13%</w:t>
      </w:r>
      <w:r>
        <w:rPr>
          <w:rFonts w:ascii="宋体" w:hAnsi="宋体" w:cs="宋体" w:eastAsia="宋体" w:hint="default"/>
          <w:sz w:val="21"/>
          <w:szCs w:val="21"/>
        </w:rPr>
        <w:t>，本项目的实施是落地公司</w:t>
      </w:r>
      <w:r>
        <w:rPr>
          <w:rFonts w:ascii="宋体" w:hAnsi="宋体" w:cs="宋体" w:eastAsia="宋体" w:hint="default"/>
          <w:spacing w:val="-55"/>
          <w:sz w:val="21"/>
          <w:szCs w:val="21"/>
        </w:rPr>
        <w:t> </w:t>
      </w:r>
      <w:r>
        <w:rPr>
          <w:rFonts w:ascii="宋体" w:hAnsi="宋体" w:cs="宋体" w:eastAsia="宋体" w:hint="default"/>
          <w:sz w:val="21"/>
          <w:szCs w:val="21"/>
        </w:rPr>
        <w:t>5G</w:t>
      </w:r>
      <w:r>
        <w:rPr>
          <w:rFonts w:ascii="宋体" w:hAnsi="宋体" w:cs="宋体" w:eastAsia="宋体" w:hint="default"/>
          <w:spacing w:val="-56"/>
          <w:sz w:val="21"/>
          <w:szCs w:val="21"/>
        </w:rPr>
        <w:t> </w:t>
      </w:r>
      <w:r>
        <w:rPr>
          <w:rFonts w:ascii="宋体" w:hAnsi="宋体" w:cs="宋体" w:eastAsia="宋体" w:hint="default"/>
          <w:sz w:val="21"/>
          <w:szCs w:val="21"/>
        </w:rPr>
        <w:t>网络部署的重要环节，项目具有可行性和必要性。</w:t>
      </w:r>
    </w:p>
    <w:p>
      <w:pPr>
        <w:spacing w:line="314" w:lineRule="auto" w:before="176"/>
        <w:ind w:left="218" w:right="120" w:firstLine="420"/>
        <w:jc w:val="left"/>
        <w:rPr>
          <w:rFonts w:ascii="宋体" w:hAnsi="宋体" w:cs="宋体" w:eastAsia="宋体" w:hint="default"/>
          <w:sz w:val="21"/>
          <w:szCs w:val="21"/>
        </w:rPr>
      </w:pPr>
      <w:r>
        <w:rPr>
          <w:rFonts w:ascii="宋体" w:hAnsi="宋体" w:cs="宋体" w:eastAsia="宋体" w:hint="default"/>
          <w:sz w:val="21"/>
          <w:szCs w:val="21"/>
        </w:rPr>
        <w:t>因此，经过公司重新论证，公司认为</w:t>
      </w:r>
      <w:r>
        <w:rPr>
          <w:rFonts w:ascii="宋体" w:hAnsi="宋体" w:cs="宋体" w:eastAsia="宋体" w:hint="default"/>
          <w:spacing w:val="-55"/>
          <w:sz w:val="21"/>
          <w:szCs w:val="21"/>
        </w:rPr>
        <w:t> </w:t>
      </w:r>
      <w:r>
        <w:rPr>
          <w:rFonts w:ascii="宋体" w:hAnsi="宋体" w:cs="宋体" w:eastAsia="宋体" w:hint="default"/>
          <w:sz w:val="21"/>
          <w:szCs w:val="21"/>
        </w:rPr>
        <w:t>5G</w:t>
      </w:r>
      <w:r>
        <w:rPr>
          <w:rFonts w:ascii="宋体" w:hAnsi="宋体" w:cs="宋体" w:eastAsia="宋体" w:hint="default"/>
          <w:spacing w:val="-57"/>
          <w:sz w:val="21"/>
          <w:szCs w:val="21"/>
        </w:rPr>
        <w:t> </w:t>
      </w:r>
      <w:r>
        <w:rPr>
          <w:rFonts w:ascii="宋体" w:hAnsi="宋体" w:cs="宋体" w:eastAsia="宋体" w:hint="default"/>
          <w:sz w:val="21"/>
          <w:szCs w:val="21"/>
        </w:rPr>
        <w:t>组网技术验证、相关业务使能及网络试商用建设项目符</w:t>
      </w:r>
      <w:r>
        <w:rPr>
          <w:rFonts w:ascii="宋体" w:hAnsi="宋体" w:cs="宋体" w:eastAsia="宋体" w:hint="default"/>
          <w:w w:val="100"/>
          <w:sz w:val="21"/>
          <w:szCs w:val="21"/>
        </w:rPr>
        <w:t> </w:t>
      </w:r>
      <w:r>
        <w:rPr>
          <w:rFonts w:ascii="宋体" w:hAnsi="宋体" w:cs="宋体" w:eastAsia="宋体" w:hint="default"/>
          <w:spacing w:val="-2"/>
          <w:sz w:val="21"/>
          <w:szCs w:val="21"/>
        </w:rPr>
        <w:t>合公司战略发展的需要，仍然具备投资的必要性和可行性，公司将继续实施上述项目。同时公司将密</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切关注相关环境变化并对募集资金投资进行适时安排。</w:t>
      </w:r>
    </w:p>
    <w:p>
      <w:pPr>
        <w:spacing w:before="176"/>
        <w:ind w:left="638" w:right="120" w:firstLine="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公司决策所履行的程序</w:t>
      </w:r>
    </w:p>
    <w:p>
      <w:pPr>
        <w:spacing w:line="240" w:lineRule="auto" w:before="6"/>
        <w:rPr>
          <w:rFonts w:ascii="宋体" w:hAnsi="宋体" w:cs="宋体" w:eastAsia="宋体" w:hint="default"/>
          <w:sz w:val="18"/>
          <w:szCs w:val="18"/>
        </w:rPr>
      </w:pPr>
    </w:p>
    <w:p>
      <w:pPr>
        <w:spacing w:line="314" w:lineRule="auto" w:before="0"/>
        <w:ind w:left="218" w:right="120" w:firstLine="42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43"/>
          <w:sz w:val="21"/>
          <w:szCs w:val="21"/>
        </w:rPr>
        <w:t> </w:t>
      </w:r>
      <w:r>
        <w:rPr>
          <w:rFonts w:ascii="宋体" w:hAnsi="宋体" w:cs="宋体" w:eastAsia="宋体" w:hint="default"/>
          <w:sz w:val="21"/>
          <w:szCs w:val="21"/>
        </w:rPr>
        <w:t>2020</w:t>
      </w:r>
      <w:r>
        <w:rPr>
          <w:rFonts w:ascii="宋体" w:hAnsi="宋体" w:cs="宋体" w:eastAsia="宋体" w:hint="default"/>
          <w:spacing w:val="-43"/>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宋体" w:hAnsi="宋体" w:cs="宋体" w:eastAsia="宋体" w:hint="default"/>
          <w:sz w:val="21"/>
          <w:szCs w:val="21"/>
        </w:rPr>
        <w:t>3</w:t>
      </w:r>
      <w:r>
        <w:rPr>
          <w:rFonts w:ascii="宋体" w:hAnsi="宋体" w:cs="宋体" w:eastAsia="宋体" w:hint="default"/>
          <w:spacing w:val="-43"/>
          <w:sz w:val="21"/>
          <w:szCs w:val="21"/>
        </w:rPr>
        <w:t> </w:t>
      </w:r>
      <w:r>
        <w:rPr>
          <w:rFonts w:ascii="宋体" w:hAnsi="宋体" w:cs="宋体" w:eastAsia="宋体" w:hint="default"/>
          <w:sz w:val="21"/>
          <w:szCs w:val="21"/>
        </w:rPr>
        <w:t>月</w:t>
      </w:r>
      <w:r>
        <w:rPr>
          <w:rFonts w:ascii="宋体" w:hAnsi="宋体" w:cs="宋体" w:eastAsia="宋体" w:hint="default"/>
          <w:spacing w:val="-45"/>
          <w:sz w:val="21"/>
          <w:szCs w:val="21"/>
        </w:rPr>
        <w:t> </w:t>
      </w:r>
      <w:r>
        <w:rPr>
          <w:rFonts w:ascii="宋体" w:hAnsi="宋体" w:cs="宋体" w:eastAsia="宋体" w:hint="default"/>
          <w:sz w:val="21"/>
          <w:szCs w:val="21"/>
        </w:rPr>
        <w:t>23</w:t>
      </w:r>
      <w:r>
        <w:rPr>
          <w:rFonts w:ascii="宋体" w:hAnsi="宋体" w:cs="宋体" w:eastAsia="宋体" w:hint="default"/>
          <w:spacing w:val="-42"/>
          <w:sz w:val="21"/>
          <w:szCs w:val="21"/>
        </w:rPr>
        <w:t> </w:t>
      </w:r>
      <w:r>
        <w:rPr>
          <w:rFonts w:ascii="宋体" w:hAnsi="宋体" w:cs="宋体" w:eastAsia="宋体" w:hint="default"/>
          <w:spacing w:val="-3"/>
          <w:sz w:val="21"/>
          <w:szCs w:val="21"/>
        </w:rPr>
        <w:t>日召开第六届董事会第十七次会议、第六届监事会第十三次会议，审议通</w:t>
      </w:r>
      <w:r>
        <w:rPr>
          <w:rFonts w:ascii="宋体" w:hAnsi="宋体" w:cs="宋体" w:eastAsia="宋体" w:hint="default"/>
          <w:w w:val="100"/>
          <w:sz w:val="21"/>
          <w:szCs w:val="21"/>
        </w:rPr>
        <w:t> </w:t>
      </w:r>
      <w:r>
        <w:rPr>
          <w:rFonts w:ascii="宋体" w:hAnsi="宋体" w:cs="宋体" w:eastAsia="宋体" w:hint="default"/>
          <w:sz w:val="21"/>
          <w:szCs w:val="21"/>
        </w:rPr>
        <w:t>过了《关于公司部分募集资金投资项目延期的议案》，独立董事已发表了一致同意的意见。</w:t>
      </w:r>
    </w:p>
    <w:p>
      <w:pPr>
        <w:spacing w:line="381" w:lineRule="auto" w:before="109"/>
        <w:ind w:left="638" w:right="120" w:firstLine="2"/>
        <w:jc w:val="left"/>
        <w:rPr>
          <w:rFonts w:ascii="宋体" w:hAnsi="宋体" w:cs="宋体" w:eastAsia="宋体" w:hint="default"/>
          <w:sz w:val="21"/>
          <w:szCs w:val="21"/>
        </w:rPr>
      </w:pPr>
      <w:r>
        <w:rPr>
          <w:rFonts w:ascii="Arial" w:hAnsi="Arial" w:cs="Arial" w:eastAsia="Arial" w:hint="default"/>
          <w:b/>
          <w:bCs/>
          <w:sz w:val="21"/>
          <w:szCs w:val="21"/>
        </w:rPr>
        <w:t>2.3 </w:t>
      </w:r>
      <w:r>
        <w:rPr>
          <w:rFonts w:ascii="Microsoft JhengHei" w:hAnsi="Microsoft JhengHei" w:cs="Microsoft JhengHei" w:eastAsia="Microsoft JhengHei" w:hint="default"/>
          <w:b/>
          <w:bCs/>
          <w:sz w:val="21"/>
          <w:szCs w:val="21"/>
        </w:rPr>
        <w:t>部分募集资金投资项目延期对公司的影响</w:t>
      </w:r>
      <w:r>
        <w:rPr>
          <w:rFonts w:ascii="Microsoft JhengHei" w:hAnsi="Microsoft JhengHei" w:cs="Microsoft JhengHei" w:eastAsia="Microsoft JhengHei" w:hint="default"/>
          <w:b/>
          <w:bCs/>
          <w:spacing w:val="-23"/>
          <w:sz w:val="21"/>
          <w:szCs w:val="21"/>
        </w:rPr>
        <w:t> </w:t>
      </w:r>
      <w:r>
        <w:rPr>
          <w:rFonts w:ascii="Microsoft JhengHei" w:hAnsi="Microsoft JhengHei" w:cs="Microsoft JhengHei" w:eastAsia="Microsoft JhengHei" w:hint="default"/>
          <w:b/>
          <w:bCs/>
          <w:spacing w:val="-23"/>
          <w:sz w:val="21"/>
          <w:szCs w:val="21"/>
        </w:rPr>
      </w:r>
      <w:r>
        <w:rPr>
          <w:rFonts w:ascii="宋体" w:hAnsi="宋体" w:cs="宋体" w:eastAsia="宋体" w:hint="default"/>
          <w:spacing w:val="-2"/>
          <w:sz w:val="21"/>
          <w:szCs w:val="21"/>
        </w:rPr>
        <w:t>本次部分募集资金投资项目延期符合公司募集资金投资项目实际情况，不会对公司生产经营造成</w:t>
      </w:r>
    </w:p>
    <w:p>
      <w:pPr>
        <w:spacing w:line="236" w:lineRule="exact" w:before="0"/>
        <w:ind w:left="218" w:right="120" w:firstLine="0"/>
        <w:jc w:val="left"/>
        <w:rPr>
          <w:rFonts w:ascii="宋体" w:hAnsi="宋体" w:cs="宋体" w:eastAsia="宋体" w:hint="default"/>
          <w:sz w:val="21"/>
          <w:szCs w:val="21"/>
        </w:rPr>
      </w:pPr>
      <w:r>
        <w:rPr>
          <w:rFonts w:ascii="宋体" w:hAnsi="宋体" w:cs="宋体" w:eastAsia="宋体" w:hint="default"/>
          <w:sz w:val="21"/>
          <w:szCs w:val="21"/>
        </w:rPr>
        <w:t>不利影响，有利于保证募集资金投资项目顺利实施和募集资金合理有效使用。</w:t>
      </w:r>
    </w:p>
    <w:p>
      <w:pPr>
        <w:spacing w:line="240" w:lineRule="auto" w:before="6"/>
        <w:rPr>
          <w:rFonts w:ascii="宋体" w:hAnsi="宋体" w:cs="宋体" w:eastAsia="宋体" w:hint="default"/>
          <w:sz w:val="18"/>
          <w:szCs w:val="18"/>
        </w:rPr>
      </w:pPr>
    </w:p>
    <w:p>
      <w:pPr>
        <w:spacing w:before="0"/>
        <w:ind w:left="638" w:right="120" w:firstLine="0"/>
        <w:jc w:val="left"/>
        <w:rPr>
          <w:rFonts w:ascii="宋体" w:hAnsi="宋体" w:cs="宋体" w:eastAsia="宋体" w:hint="default"/>
          <w:sz w:val="21"/>
          <w:szCs w:val="21"/>
        </w:rPr>
      </w:pPr>
      <w:r>
        <w:rPr>
          <w:rFonts w:ascii="宋体" w:hAnsi="宋体" w:cs="宋体" w:eastAsia="宋体" w:hint="default"/>
          <w:sz w:val="21"/>
          <w:szCs w:val="21"/>
        </w:rPr>
        <w:t>上述部分募集资金投资项目延期事项尚需提交股东大会审议。</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1"/>
          <w:szCs w:val="21"/>
        </w:rPr>
      </w:pPr>
    </w:p>
    <w:p>
      <w:pPr>
        <w:tabs>
          <w:tab w:pos="1058" w:val="left" w:leader="none"/>
        </w:tabs>
        <w:spacing w:before="0"/>
        <w:ind w:left="218" w:right="12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5"/>
          <w:sz w:val="21"/>
          <w:szCs w:val="21"/>
        </w:rPr>
        <w:t>(</w:t>
      </w:r>
      <w:r>
        <w:rPr>
          <w:rFonts w:ascii="Microsoft JhengHei" w:hAnsi="Microsoft JhengHei" w:cs="Microsoft JhengHei" w:eastAsia="Microsoft JhengHei" w:hint="default"/>
          <w:b/>
          <w:bCs/>
          <w:w w:val="115"/>
          <w:sz w:val="21"/>
          <w:szCs w:val="21"/>
        </w:rPr>
        <w:t>六</w:t>
      </w:r>
      <w:r>
        <w:rPr>
          <w:rFonts w:ascii="Arial" w:hAnsi="Arial" w:cs="Arial" w:eastAsia="Arial" w:hint="default"/>
          <w:b/>
          <w:bCs/>
          <w:w w:val="115"/>
          <w:sz w:val="21"/>
          <w:szCs w:val="21"/>
        </w:rPr>
        <w:t>)</w:t>
        <w:tab/>
      </w:r>
      <w:r>
        <w:rPr>
          <w:rFonts w:ascii="Microsoft JhengHei" w:hAnsi="Microsoft JhengHei" w:cs="Microsoft JhengHei" w:eastAsia="Microsoft JhengHei" w:hint="default"/>
          <w:b/>
          <w:bCs/>
          <w:w w:val="115"/>
          <w:sz w:val="21"/>
          <w:szCs w:val="21"/>
        </w:rPr>
        <w:t>重大资产和股权出售</w:t>
      </w:r>
      <w:r>
        <w:rPr>
          <w:rFonts w:ascii="Microsoft JhengHei" w:hAnsi="Microsoft JhengHei" w:cs="Microsoft JhengHei" w:eastAsia="Microsoft JhengHei" w:hint="default"/>
          <w:w w:val="115"/>
          <w:sz w:val="21"/>
          <w:szCs w:val="21"/>
        </w:rPr>
      </w:r>
    </w:p>
    <w:p>
      <w:pPr>
        <w:tabs>
          <w:tab w:pos="1061" w:val="left" w:leader="none"/>
        </w:tabs>
        <w:spacing w:before="73"/>
        <w:ind w:left="218" w:right="120" w:firstLine="0"/>
        <w:jc w:val="left"/>
        <w:rPr>
          <w:rFonts w:ascii="宋体" w:hAnsi="宋体" w:cs="宋体" w:eastAsia="宋体" w:hint="default"/>
          <w:sz w:val="21"/>
          <w:szCs w:val="21"/>
        </w:rPr>
      </w:pPr>
      <w:r>
        <w:rPr>
          <w:rFonts w:ascii="宋体" w:hAnsi="宋体" w:cs="宋体" w:eastAsia="宋体" w:hint="default"/>
          <w:sz w:val="21"/>
          <w:szCs w:val="21"/>
        </w:rPr>
        <w:t>□适用</w:t>
        <w:tab/>
        <w:t>√不适用</w:t>
      </w:r>
    </w:p>
    <w:p>
      <w:pPr>
        <w:spacing w:line="240" w:lineRule="auto" w:before="2"/>
        <w:rPr>
          <w:rFonts w:ascii="宋体" w:hAnsi="宋体" w:cs="宋体" w:eastAsia="宋体" w:hint="default"/>
          <w:sz w:val="26"/>
          <w:szCs w:val="26"/>
        </w:rPr>
      </w:pPr>
    </w:p>
    <w:p>
      <w:pPr>
        <w:tabs>
          <w:tab w:pos="1058" w:val="left" w:leader="none"/>
        </w:tabs>
        <w:spacing w:before="0"/>
        <w:ind w:left="218" w:right="12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5"/>
          <w:sz w:val="21"/>
          <w:szCs w:val="21"/>
        </w:rPr>
        <w:t>(</w:t>
      </w:r>
      <w:r>
        <w:rPr>
          <w:rFonts w:ascii="Microsoft JhengHei" w:hAnsi="Microsoft JhengHei" w:cs="Microsoft JhengHei" w:eastAsia="Microsoft JhengHei" w:hint="default"/>
          <w:b/>
          <w:bCs/>
          <w:w w:val="115"/>
          <w:sz w:val="21"/>
          <w:szCs w:val="21"/>
        </w:rPr>
        <w:t>七</w:t>
      </w:r>
      <w:r>
        <w:rPr>
          <w:rFonts w:ascii="Arial" w:hAnsi="Arial" w:cs="Arial" w:eastAsia="Arial" w:hint="default"/>
          <w:b/>
          <w:bCs/>
          <w:w w:val="115"/>
          <w:sz w:val="21"/>
          <w:szCs w:val="21"/>
        </w:rPr>
        <w:t>)</w:t>
        <w:tab/>
      </w:r>
      <w:r>
        <w:rPr>
          <w:rFonts w:ascii="Microsoft JhengHei" w:hAnsi="Microsoft JhengHei" w:cs="Microsoft JhengHei" w:eastAsia="Microsoft JhengHei" w:hint="default"/>
          <w:b/>
          <w:bCs/>
          <w:spacing w:val="-1"/>
          <w:w w:val="115"/>
          <w:sz w:val="21"/>
          <w:szCs w:val="21"/>
        </w:rPr>
        <w:t>主要控股参股公司分析</w:t>
      </w:r>
      <w:r>
        <w:rPr>
          <w:rFonts w:ascii="Microsoft JhengHei" w:hAnsi="Microsoft JhengHei" w:cs="Microsoft JhengHei" w:eastAsia="Microsoft JhengHei" w:hint="default"/>
          <w:spacing w:val="-1"/>
          <w:w w:val="115"/>
          <w:sz w:val="21"/>
          <w:szCs w:val="21"/>
        </w:rPr>
      </w:r>
    </w:p>
    <w:p>
      <w:pPr>
        <w:spacing w:line="240" w:lineRule="auto" w:before="16"/>
        <w:rPr>
          <w:rFonts w:ascii="Microsoft JhengHei" w:hAnsi="Microsoft JhengHei" w:cs="Microsoft JhengHei" w:eastAsia="Microsoft JhengHei" w:hint="default"/>
          <w:b/>
          <w:bCs/>
          <w:sz w:val="12"/>
          <w:szCs w:val="12"/>
        </w:rPr>
      </w:pPr>
    </w:p>
    <w:p>
      <w:pPr>
        <w:spacing w:line="451" w:lineRule="auto" w:before="0"/>
        <w:ind w:left="218" w:right="120" w:firstLine="0"/>
        <w:jc w:val="left"/>
        <w:rPr>
          <w:rFonts w:ascii="宋体" w:hAnsi="宋体" w:cs="宋体" w:eastAsia="宋体" w:hint="default"/>
          <w:sz w:val="21"/>
          <w:szCs w:val="21"/>
        </w:rPr>
      </w:pPr>
      <w:r>
        <w:rPr>
          <w:rFonts w:ascii="宋体" w:hAnsi="宋体" w:cs="宋体" w:eastAsia="宋体" w:hint="default"/>
          <w:spacing w:val="-2"/>
          <w:sz w:val="21"/>
          <w:szCs w:val="21"/>
        </w:rPr>
        <w:t>公司主要子公司为联通运营公司，详见本节“一、经营情况讨论与分析”。</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公司主要参股公司为西班牙电信及中国铁塔股份有限公司。</w:t>
      </w:r>
    </w:p>
    <w:p>
      <w:pPr>
        <w:spacing w:before="56"/>
        <w:ind w:left="218" w:right="120" w:firstLine="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7"/>
          <w:sz w:val="21"/>
          <w:szCs w:val="21"/>
        </w:rPr>
        <w:t> </w:t>
      </w:r>
      <w:r>
        <w:rPr>
          <w:rFonts w:ascii="宋体" w:hAnsi="宋体" w:cs="宋体" w:eastAsia="宋体" w:hint="default"/>
          <w:sz w:val="21"/>
          <w:szCs w:val="21"/>
        </w:rPr>
        <w:t>年度，本公司所属子公司联通红筹公司收到西班牙电信宣布派发的现金股利人民币</w:t>
      </w:r>
      <w:r>
        <w:rPr>
          <w:rFonts w:ascii="宋体" w:hAnsi="宋体" w:cs="宋体" w:eastAsia="宋体" w:hint="default"/>
          <w:spacing w:val="-55"/>
          <w:sz w:val="21"/>
          <w:szCs w:val="21"/>
        </w:rPr>
        <w:t> </w:t>
      </w:r>
      <w:r>
        <w:rPr>
          <w:rFonts w:ascii="宋体" w:hAnsi="宋体" w:cs="宋体" w:eastAsia="宋体" w:hint="default"/>
          <w:sz w:val="21"/>
          <w:szCs w:val="21"/>
        </w:rPr>
        <w:t>1.97</w:t>
      </w:r>
      <w:r>
        <w:rPr>
          <w:rFonts w:ascii="宋体" w:hAnsi="宋体" w:cs="宋体" w:eastAsia="宋体" w:hint="default"/>
          <w:spacing w:val="-55"/>
          <w:sz w:val="21"/>
          <w:szCs w:val="21"/>
        </w:rPr>
        <w:t> </w:t>
      </w:r>
      <w:r>
        <w:rPr>
          <w:rFonts w:ascii="宋体" w:hAnsi="宋体" w:cs="宋体" w:eastAsia="宋体" w:hint="default"/>
          <w:sz w:val="21"/>
          <w:szCs w:val="21"/>
        </w:rPr>
        <w:t>亿元。</w:t>
      </w:r>
    </w:p>
    <w:p>
      <w:pPr>
        <w:spacing w:after="0"/>
        <w:jc w:val="left"/>
        <w:rPr>
          <w:rFonts w:ascii="宋体" w:hAnsi="宋体" w:cs="宋体" w:eastAsia="宋体" w:hint="default"/>
          <w:sz w:val="21"/>
          <w:szCs w:val="21"/>
        </w:rPr>
        <w:sectPr>
          <w:footerReference w:type="default" r:id="rId37"/>
          <w:pgSz w:w="11910" w:h="16840"/>
          <w:pgMar w:footer="502" w:header="854" w:top="1360" w:bottom="700" w:left="1200" w:right="1040"/>
        </w:sectPr>
      </w:pPr>
    </w:p>
    <w:p>
      <w:pPr>
        <w:spacing w:line="240" w:lineRule="auto" w:before="13"/>
        <w:rPr>
          <w:rFonts w:ascii="宋体" w:hAnsi="宋体" w:cs="宋体" w:eastAsia="宋体" w:hint="default"/>
          <w:sz w:val="12"/>
          <w:szCs w:val="12"/>
        </w:rPr>
      </w:pPr>
    </w:p>
    <w:p>
      <w:pPr>
        <w:spacing w:before="36"/>
        <w:ind w:left="138" w:right="96" w:firstLine="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2"/>
          <w:sz w:val="21"/>
          <w:szCs w:val="21"/>
        </w:rPr>
        <w:t> </w:t>
      </w:r>
      <w:r>
        <w:rPr>
          <w:rFonts w:ascii="宋体" w:hAnsi="宋体" w:cs="宋体" w:eastAsia="宋体" w:hint="default"/>
          <w:sz w:val="21"/>
          <w:szCs w:val="21"/>
        </w:rPr>
        <w:t>年度，公司收到铁塔公司宣布派发的现金股利人民币</w:t>
      </w:r>
      <w:r>
        <w:rPr>
          <w:rFonts w:ascii="宋体" w:hAnsi="宋体" w:cs="宋体" w:eastAsia="宋体" w:hint="default"/>
          <w:spacing w:val="-48"/>
          <w:sz w:val="21"/>
          <w:szCs w:val="21"/>
        </w:rPr>
        <w:t> </w:t>
      </w:r>
      <w:r>
        <w:rPr>
          <w:rFonts w:ascii="宋体" w:hAnsi="宋体" w:cs="宋体" w:eastAsia="宋体" w:hint="default"/>
          <w:sz w:val="21"/>
          <w:szCs w:val="21"/>
        </w:rPr>
        <w:t>0.82</w:t>
      </w:r>
      <w:r>
        <w:rPr>
          <w:rFonts w:ascii="宋体" w:hAnsi="宋体" w:cs="宋体" w:eastAsia="宋体" w:hint="default"/>
          <w:spacing w:val="8"/>
          <w:sz w:val="21"/>
          <w:szCs w:val="21"/>
        </w:rPr>
        <w:t> </w:t>
      </w:r>
      <w:r>
        <w:rPr>
          <w:rFonts w:ascii="宋体" w:hAnsi="宋体" w:cs="宋体" w:eastAsia="宋体" w:hint="default"/>
          <w:spacing w:val="-3"/>
          <w:sz w:val="21"/>
          <w:szCs w:val="21"/>
        </w:rPr>
        <w:t>亿元，按权益法核算的投资收益为人</w:t>
      </w:r>
    </w:p>
    <w:p>
      <w:pPr>
        <w:spacing w:before="85"/>
        <w:ind w:left="138" w:right="96" w:firstLine="0"/>
        <w:jc w:val="left"/>
        <w:rPr>
          <w:rFonts w:ascii="宋体" w:hAnsi="宋体" w:cs="宋体" w:eastAsia="宋体" w:hint="default"/>
          <w:sz w:val="21"/>
          <w:szCs w:val="21"/>
        </w:rPr>
      </w:pPr>
      <w:r>
        <w:rPr>
          <w:rFonts w:ascii="宋体" w:hAnsi="宋体" w:cs="宋体" w:eastAsia="宋体" w:hint="default"/>
          <w:sz w:val="21"/>
          <w:szCs w:val="21"/>
        </w:rPr>
        <w:t>民币</w:t>
      </w:r>
      <w:r>
        <w:rPr>
          <w:rFonts w:ascii="宋体" w:hAnsi="宋体" w:cs="宋体" w:eastAsia="宋体" w:hint="default"/>
          <w:spacing w:val="-52"/>
          <w:sz w:val="21"/>
          <w:szCs w:val="21"/>
        </w:rPr>
        <w:t> </w:t>
      </w:r>
      <w:r>
        <w:rPr>
          <w:rFonts w:ascii="宋体" w:hAnsi="宋体" w:cs="宋体" w:eastAsia="宋体" w:hint="default"/>
          <w:sz w:val="21"/>
          <w:szCs w:val="21"/>
        </w:rPr>
        <w:t>13.32</w:t>
      </w:r>
      <w:r>
        <w:rPr>
          <w:rFonts w:ascii="宋体" w:hAnsi="宋体" w:cs="宋体" w:eastAsia="宋体" w:hint="default"/>
          <w:spacing w:val="-54"/>
          <w:sz w:val="21"/>
          <w:szCs w:val="21"/>
        </w:rPr>
        <w:t> </w:t>
      </w:r>
      <w:r>
        <w:rPr>
          <w:rFonts w:ascii="宋体" w:hAnsi="宋体" w:cs="宋体" w:eastAsia="宋体" w:hint="default"/>
          <w:sz w:val="21"/>
          <w:szCs w:val="21"/>
        </w:rPr>
        <w:t>亿元。</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spacing w:line="283" w:lineRule="auto" w:before="0"/>
        <w:ind w:left="138" w:right="5301"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pacing w:val="-1"/>
          <w:sz w:val="21"/>
          <w:szCs w:val="21"/>
        </w:rPr>
        <w:t>三、公司关于公司未来发展的讨论与分析</w:t>
      </w:r>
      <w:r>
        <w:rPr>
          <w:rFonts w:ascii="Microsoft JhengHei" w:hAnsi="Microsoft JhengHei" w:cs="Microsoft JhengHei" w:eastAsia="Microsoft JhengHei" w:hint="default"/>
          <w:b/>
          <w:bCs/>
          <w:spacing w:val="-20"/>
          <w:sz w:val="21"/>
          <w:szCs w:val="21"/>
        </w:rPr>
        <w:t> </w:t>
      </w:r>
      <w:r>
        <w:rPr>
          <w:rFonts w:ascii="Microsoft JhengHei" w:hAnsi="Microsoft JhengHei" w:cs="Microsoft JhengHei" w:eastAsia="Microsoft JhengHei" w:hint="default"/>
          <w:b/>
          <w:bCs/>
          <w:spacing w:val="-20"/>
          <w:sz w:val="21"/>
          <w:szCs w:val="21"/>
        </w:rPr>
      </w:r>
      <w:r>
        <w:rPr>
          <w:rFonts w:ascii="Arial" w:hAnsi="Arial" w:cs="Arial" w:eastAsia="Arial" w:hint="default"/>
          <w:b/>
          <w:bCs/>
          <w:w w:val="110"/>
          <w:sz w:val="21"/>
          <w:szCs w:val="21"/>
        </w:rPr>
        <w:t>(</w:t>
      </w:r>
      <w:r>
        <w:rPr>
          <w:rFonts w:ascii="Microsoft JhengHei" w:hAnsi="Microsoft JhengHei" w:cs="Microsoft JhengHei" w:eastAsia="Microsoft JhengHei" w:hint="default"/>
          <w:b/>
          <w:bCs/>
          <w:w w:val="110"/>
          <w:sz w:val="21"/>
          <w:szCs w:val="21"/>
        </w:rPr>
        <w:t>一</w:t>
      </w:r>
      <w:r>
        <w:rPr>
          <w:rFonts w:ascii="Arial" w:hAnsi="Arial" w:cs="Arial" w:eastAsia="Arial" w:hint="default"/>
          <w:b/>
          <w:bCs/>
          <w:w w:val="110"/>
          <w:sz w:val="21"/>
          <w:szCs w:val="21"/>
        </w:rPr>
        <w:t>)</w:t>
      </w:r>
      <w:r>
        <w:rPr>
          <w:rFonts w:ascii="Arial" w:hAnsi="Arial" w:cs="Arial" w:eastAsia="Arial" w:hint="default"/>
          <w:b/>
          <w:bCs/>
          <w:spacing w:val="-3"/>
          <w:w w:val="110"/>
          <w:sz w:val="21"/>
          <w:szCs w:val="21"/>
        </w:rPr>
        <w:t> </w:t>
      </w:r>
      <w:r>
        <w:rPr>
          <w:rFonts w:ascii="Microsoft JhengHei" w:hAnsi="Microsoft JhengHei" w:cs="Microsoft JhengHei" w:eastAsia="Microsoft JhengHei" w:hint="default"/>
          <w:b/>
          <w:bCs/>
          <w:w w:val="110"/>
          <w:sz w:val="21"/>
          <w:szCs w:val="21"/>
        </w:rPr>
        <w:t>行业格局和趋势</w:t>
      </w:r>
      <w:r>
        <w:rPr>
          <w:rFonts w:ascii="Microsoft JhengHei" w:hAnsi="Microsoft JhengHei" w:cs="Microsoft JhengHei" w:eastAsia="Microsoft JhengHei" w:hint="default"/>
          <w:w w:val="110"/>
          <w:sz w:val="21"/>
          <w:szCs w:val="21"/>
        </w:rPr>
      </w:r>
    </w:p>
    <w:p>
      <w:pPr>
        <w:spacing w:line="314" w:lineRule="auto" w:before="174"/>
        <w:ind w:left="138" w:right="96" w:firstLine="420"/>
        <w:jc w:val="left"/>
        <w:rPr>
          <w:rFonts w:ascii="宋体" w:hAnsi="宋体" w:cs="宋体" w:eastAsia="宋体" w:hint="default"/>
          <w:sz w:val="21"/>
          <w:szCs w:val="21"/>
        </w:rPr>
      </w:pPr>
      <w:r>
        <w:rPr>
          <w:rFonts w:ascii="宋体" w:hAnsi="宋体" w:cs="宋体" w:eastAsia="宋体" w:hint="default"/>
          <w:sz w:val="21"/>
          <w:szCs w:val="21"/>
        </w:rPr>
        <w:t>进入 </w:t>
      </w:r>
      <w:r>
        <w:rPr>
          <w:rFonts w:ascii="宋体" w:hAnsi="宋体" w:cs="宋体" w:eastAsia="宋体" w:hint="default"/>
          <w:sz w:val="21"/>
          <w:szCs w:val="21"/>
        </w:rPr>
        <w:t>5G</w:t>
      </w:r>
      <w:r>
        <w:rPr>
          <w:rFonts w:ascii="宋体" w:hAnsi="宋体" w:cs="宋体" w:eastAsia="宋体" w:hint="default"/>
          <w:spacing w:val="-31"/>
          <w:sz w:val="21"/>
          <w:szCs w:val="21"/>
        </w:rPr>
        <w:t> </w:t>
      </w:r>
      <w:r>
        <w:rPr>
          <w:rFonts w:ascii="宋体" w:hAnsi="宋体" w:cs="宋体" w:eastAsia="宋体" w:hint="default"/>
          <w:sz w:val="21"/>
          <w:szCs w:val="21"/>
        </w:rPr>
        <w:t>时代，伴随着移动互联网的进一步深化发展，传统电信业向综合信息服务业转型升级的</w:t>
      </w:r>
      <w:r>
        <w:rPr>
          <w:rFonts w:ascii="宋体" w:hAnsi="宋体" w:cs="宋体" w:eastAsia="宋体" w:hint="default"/>
          <w:w w:val="100"/>
          <w:sz w:val="21"/>
          <w:szCs w:val="21"/>
        </w:rPr>
        <w:t> </w:t>
      </w:r>
      <w:r>
        <w:rPr>
          <w:rFonts w:ascii="宋体" w:hAnsi="宋体" w:cs="宋体" w:eastAsia="宋体" w:hint="default"/>
          <w:spacing w:val="-5"/>
          <w:sz w:val="21"/>
          <w:szCs w:val="21"/>
        </w:rPr>
        <w:t>态势还将持续，并逐步在广度和深度上得到拓展，基础电信企业将进一步深化与产业链上下游的合作，</w:t>
      </w:r>
      <w:r>
        <w:rPr>
          <w:rFonts w:ascii="宋体" w:hAnsi="宋体" w:cs="宋体" w:eastAsia="宋体" w:hint="default"/>
          <w:spacing w:val="-19"/>
          <w:sz w:val="21"/>
          <w:szCs w:val="21"/>
        </w:rPr>
        <w:t> </w:t>
      </w:r>
      <w:r>
        <w:rPr>
          <w:rFonts w:ascii="宋体" w:hAnsi="宋体" w:cs="宋体" w:eastAsia="宋体" w:hint="default"/>
          <w:spacing w:val="-19"/>
          <w:sz w:val="21"/>
          <w:szCs w:val="21"/>
        </w:rPr>
      </w:r>
      <w:r>
        <w:rPr>
          <w:rFonts w:ascii="宋体" w:hAnsi="宋体" w:cs="宋体" w:eastAsia="宋体" w:hint="default"/>
          <w:sz w:val="21"/>
          <w:szCs w:val="21"/>
        </w:rPr>
        <w:t>推进经营转型，创新业务模式，跨界融合速度不断加快，网络和终端更加智能化，云计算、物联网、</w:t>
      </w:r>
      <w:r>
        <w:rPr>
          <w:rFonts w:ascii="宋体" w:hAnsi="宋体" w:cs="宋体" w:eastAsia="宋体" w:hint="default"/>
          <w:w w:val="100"/>
          <w:sz w:val="21"/>
          <w:szCs w:val="21"/>
        </w:rPr>
        <w:t> </w:t>
      </w:r>
      <w:r>
        <w:rPr>
          <w:rFonts w:ascii="宋体" w:hAnsi="宋体" w:cs="宋体" w:eastAsia="宋体" w:hint="default"/>
          <w:spacing w:val="-5"/>
          <w:sz w:val="21"/>
          <w:szCs w:val="21"/>
        </w:rPr>
        <w:t>大数据、人工智能等应用服务将更加规模化，运营商传统业务受到冲击的同时也将拓展新的蓝海市场。</w:t>
      </w:r>
    </w:p>
    <w:p>
      <w:pPr>
        <w:spacing w:line="314" w:lineRule="auto" w:before="176"/>
        <w:ind w:left="138" w:right="96" w:firstLine="420"/>
        <w:jc w:val="left"/>
        <w:rPr>
          <w:rFonts w:ascii="宋体" w:hAnsi="宋体" w:cs="宋体" w:eastAsia="宋体" w:hint="default"/>
          <w:sz w:val="21"/>
          <w:szCs w:val="21"/>
        </w:rPr>
      </w:pPr>
      <w:r>
        <w:rPr>
          <w:rFonts w:ascii="宋体" w:hAnsi="宋体" w:cs="宋体" w:eastAsia="宋体" w:hint="default"/>
          <w:spacing w:val="-3"/>
          <w:sz w:val="21"/>
          <w:szCs w:val="21"/>
        </w:rPr>
        <w:t>未来，公司将抢抓机遇，直面行业发展新挑战新要求，推动经营转型，建设客户体验引领的服务</w:t>
      </w:r>
      <w:r>
        <w:rPr>
          <w:rFonts w:ascii="宋体" w:hAnsi="宋体" w:cs="宋体" w:eastAsia="宋体" w:hint="default"/>
          <w:w w:val="100"/>
          <w:sz w:val="21"/>
          <w:szCs w:val="21"/>
        </w:rPr>
        <w:t> </w:t>
      </w:r>
      <w:r>
        <w:rPr>
          <w:rFonts w:ascii="宋体" w:hAnsi="宋体" w:cs="宋体" w:eastAsia="宋体" w:hint="default"/>
          <w:sz w:val="21"/>
          <w:szCs w:val="21"/>
        </w:rPr>
        <w:t>型企业。持续深入落实网络强国战略，践行新发展理念，以 </w:t>
      </w:r>
      <w:r>
        <w:rPr>
          <w:rFonts w:ascii="宋体" w:hAnsi="宋体" w:cs="宋体" w:eastAsia="宋体" w:hint="default"/>
          <w:sz w:val="21"/>
          <w:szCs w:val="21"/>
        </w:rPr>
        <w:t>5G</w:t>
      </w:r>
      <w:r>
        <w:rPr>
          <w:rFonts w:ascii="宋体" w:hAnsi="宋体" w:cs="宋体" w:eastAsia="宋体" w:hint="default"/>
          <w:spacing w:val="-32"/>
          <w:sz w:val="21"/>
          <w:szCs w:val="21"/>
        </w:rPr>
        <w:t> </w:t>
      </w:r>
      <w:r>
        <w:rPr>
          <w:rFonts w:ascii="宋体" w:hAnsi="宋体" w:cs="宋体" w:eastAsia="宋体" w:hint="default"/>
          <w:sz w:val="21"/>
          <w:szCs w:val="21"/>
        </w:rPr>
        <w:t>共建共享为重点，稳步推动网络基础</w:t>
      </w:r>
      <w:r>
        <w:rPr>
          <w:rFonts w:ascii="宋体" w:hAnsi="宋体" w:cs="宋体" w:eastAsia="宋体" w:hint="default"/>
          <w:w w:val="100"/>
          <w:sz w:val="21"/>
          <w:szCs w:val="21"/>
        </w:rPr>
        <w:t> </w:t>
      </w:r>
      <w:r>
        <w:rPr>
          <w:rFonts w:ascii="宋体" w:hAnsi="宋体" w:cs="宋体" w:eastAsia="宋体" w:hint="default"/>
          <w:spacing w:val="-2"/>
          <w:sz w:val="21"/>
          <w:szCs w:val="21"/>
        </w:rPr>
        <w:t>设施演进升级。深化实施聚焦创新合作战略，纵深推进混合所有制改革，构建合作共赢的产业生态环</w:t>
      </w:r>
      <w:r>
        <w:rPr>
          <w:rFonts w:ascii="宋体" w:hAnsi="宋体" w:cs="宋体" w:eastAsia="宋体" w:hint="default"/>
          <w:spacing w:val="-52"/>
          <w:sz w:val="21"/>
          <w:szCs w:val="21"/>
        </w:rPr>
        <w:t> </w:t>
      </w:r>
      <w:r>
        <w:rPr>
          <w:rFonts w:ascii="宋体" w:hAnsi="宋体" w:cs="宋体" w:eastAsia="宋体" w:hint="default"/>
          <w:spacing w:val="-52"/>
          <w:sz w:val="21"/>
          <w:szCs w:val="21"/>
        </w:rPr>
      </w:r>
      <w:r>
        <w:rPr>
          <w:rFonts w:ascii="宋体" w:hAnsi="宋体" w:cs="宋体" w:eastAsia="宋体" w:hint="default"/>
          <w:spacing w:val="-5"/>
          <w:sz w:val="21"/>
          <w:szCs w:val="21"/>
        </w:rPr>
        <w:t>境，实现转型发展。聚焦效益和效率提升，不断夯实企业管理，把党建与业务深度融合工作落到实处，</w:t>
      </w:r>
      <w:r>
        <w:rPr>
          <w:rFonts w:ascii="宋体" w:hAnsi="宋体" w:cs="宋体" w:eastAsia="宋体" w:hint="default"/>
          <w:spacing w:val="-17"/>
          <w:sz w:val="21"/>
          <w:szCs w:val="21"/>
        </w:rPr>
        <w:t> </w:t>
      </w:r>
      <w:r>
        <w:rPr>
          <w:rFonts w:ascii="宋体" w:hAnsi="宋体" w:cs="宋体" w:eastAsia="宋体" w:hint="default"/>
          <w:spacing w:val="-17"/>
          <w:sz w:val="21"/>
          <w:szCs w:val="21"/>
        </w:rPr>
      </w:r>
      <w:r>
        <w:rPr>
          <w:rFonts w:ascii="宋体" w:hAnsi="宋体" w:cs="宋体" w:eastAsia="宋体" w:hint="default"/>
          <w:sz w:val="21"/>
          <w:szCs w:val="21"/>
        </w:rPr>
        <w:t>企业党建水平全面提高，奋力开创“五新”联通建设和高质量发展的新局面。</w:t>
      </w:r>
    </w:p>
    <w:p>
      <w:pPr>
        <w:spacing w:line="240" w:lineRule="auto" w:before="0"/>
        <w:rPr>
          <w:rFonts w:ascii="宋体" w:hAnsi="宋体" w:cs="宋体" w:eastAsia="宋体" w:hint="default"/>
          <w:sz w:val="20"/>
          <w:szCs w:val="20"/>
        </w:rPr>
      </w:pPr>
    </w:p>
    <w:p>
      <w:pPr>
        <w:spacing w:line="388" w:lineRule="auto" w:before="164"/>
        <w:ind w:left="558" w:right="96" w:hanging="420"/>
        <w:jc w:val="left"/>
        <w:rPr>
          <w:rFonts w:ascii="宋体" w:hAnsi="宋体" w:cs="宋体" w:eastAsia="宋体" w:hint="default"/>
          <w:sz w:val="21"/>
          <w:szCs w:val="21"/>
        </w:rPr>
      </w:pPr>
      <w:r>
        <w:rPr>
          <w:rFonts w:ascii="Arial" w:hAnsi="Arial" w:cs="Arial" w:eastAsia="Arial" w:hint="default"/>
          <w:b/>
          <w:bCs/>
          <w:w w:val="110"/>
          <w:sz w:val="21"/>
          <w:szCs w:val="21"/>
        </w:rPr>
        <w:t>(</w:t>
      </w:r>
      <w:r>
        <w:rPr>
          <w:rFonts w:ascii="Microsoft JhengHei" w:hAnsi="Microsoft JhengHei" w:cs="Microsoft JhengHei" w:eastAsia="Microsoft JhengHei" w:hint="default"/>
          <w:b/>
          <w:bCs/>
          <w:w w:val="110"/>
          <w:sz w:val="21"/>
          <w:szCs w:val="21"/>
        </w:rPr>
        <w:t>二</w:t>
      </w:r>
      <w:r>
        <w:rPr>
          <w:rFonts w:ascii="Arial" w:hAnsi="Arial" w:cs="Arial" w:eastAsia="Arial" w:hint="default"/>
          <w:b/>
          <w:bCs/>
          <w:w w:val="110"/>
          <w:sz w:val="21"/>
          <w:szCs w:val="21"/>
        </w:rPr>
        <w:t>)</w:t>
      </w:r>
      <w:r>
        <w:rPr>
          <w:rFonts w:ascii="Arial" w:hAnsi="Arial" w:cs="Arial" w:eastAsia="Arial" w:hint="default"/>
          <w:b/>
          <w:bCs/>
          <w:spacing w:val="32"/>
          <w:w w:val="110"/>
          <w:sz w:val="21"/>
          <w:szCs w:val="21"/>
        </w:rPr>
        <w:t> </w:t>
      </w:r>
      <w:r>
        <w:rPr>
          <w:rFonts w:ascii="Microsoft JhengHei" w:hAnsi="Microsoft JhengHei" w:cs="Microsoft JhengHei" w:eastAsia="Microsoft JhengHei" w:hint="default"/>
          <w:b/>
          <w:bCs/>
          <w:w w:val="110"/>
          <w:sz w:val="21"/>
          <w:szCs w:val="21"/>
        </w:rPr>
        <w:t>公司发展战略</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中国联通坚持以习近平新时代中国特色社会主义思想为指导，全面贯彻党的十九大和十九届历次</w:t>
      </w:r>
    </w:p>
    <w:p>
      <w:pPr>
        <w:spacing w:line="230" w:lineRule="exact" w:before="0"/>
        <w:ind w:left="138" w:right="96" w:firstLine="0"/>
        <w:jc w:val="left"/>
        <w:rPr>
          <w:rFonts w:ascii="宋体" w:hAnsi="宋体" w:cs="宋体" w:eastAsia="宋体" w:hint="default"/>
          <w:sz w:val="21"/>
          <w:szCs w:val="21"/>
        </w:rPr>
      </w:pPr>
      <w:r>
        <w:rPr>
          <w:rFonts w:ascii="宋体" w:hAnsi="宋体" w:cs="宋体" w:eastAsia="宋体" w:hint="default"/>
          <w:sz w:val="21"/>
          <w:szCs w:val="21"/>
        </w:rPr>
        <w:t>全会精神，坚持新发展理念，按照高质量发展的要求，以供给侧结构性改革为主线，以混合所有制改</w:t>
      </w:r>
    </w:p>
    <w:p>
      <w:pPr>
        <w:spacing w:line="314" w:lineRule="auto" w:before="85"/>
        <w:ind w:left="138" w:right="179" w:firstLine="0"/>
        <w:jc w:val="both"/>
        <w:rPr>
          <w:rFonts w:ascii="宋体" w:hAnsi="宋体" w:cs="宋体" w:eastAsia="宋体" w:hint="default"/>
          <w:sz w:val="21"/>
          <w:szCs w:val="21"/>
        </w:rPr>
      </w:pPr>
      <w:r>
        <w:rPr>
          <w:rFonts w:ascii="宋体" w:hAnsi="宋体" w:cs="宋体" w:eastAsia="宋体" w:hint="default"/>
          <w:spacing w:val="-2"/>
          <w:sz w:val="21"/>
          <w:szCs w:val="21"/>
        </w:rPr>
        <w:t>革为突破，深入实施聚焦创新合作战略，探索完善公司混改新治理，培育强健互联网新基因，全力加</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pacing w:val="-2"/>
          <w:sz w:val="21"/>
          <w:szCs w:val="21"/>
        </w:rPr>
        <w:t>快互联网化新运营，着力增强创新发展新动能，积极构建外联内通新生态，打造差异化竞争优势，奋</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pacing w:val="-2"/>
          <w:sz w:val="21"/>
          <w:szCs w:val="21"/>
        </w:rPr>
        <w:t>力建设新时代中国特色社会主义新央企。通过努力，公司战略转型和互联网化运营取得重大进展，基</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pacing w:val="-2"/>
          <w:sz w:val="21"/>
          <w:szCs w:val="21"/>
        </w:rPr>
        <w:t>础业务有效发展，创新业务重点突破，体制机制更加完善，客户体验极致卓越，品牌影响持续扩大，</w:t>
      </w:r>
      <w:r>
        <w:rPr>
          <w:rFonts w:ascii="宋体" w:hAnsi="宋体" w:cs="宋体" w:eastAsia="宋体" w:hint="default"/>
          <w:spacing w:val="-24"/>
          <w:sz w:val="21"/>
          <w:szCs w:val="21"/>
        </w:rPr>
        <w:t> </w:t>
      </w:r>
      <w:r>
        <w:rPr>
          <w:rFonts w:ascii="宋体" w:hAnsi="宋体" w:cs="宋体" w:eastAsia="宋体" w:hint="default"/>
          <w:spacing w:val="-24"/>
          <w:sz w:val="21"/>
          <w:szCs w:val="21"/>
        </w:rPr>
      </w:r>
      <w:r>
        <w:rPr>
          <w:rFonts w:ascii="宋体" w:hAnsi="宋体" w:cs="宋体" w:eastAsia="宋体" w:hint="default"/>
          <w:sz w:val="21"/>
          <w:szCs w:val="21"/>
        </w:rPr>
        <w:t>运营管理简捷高效，价值创造全面提升，争创具有全球竞争力的世界一流企业。</w:t>
      </w:r>
    </w:p>
    <w:p>
      <w:pPr>
        <w:spacing w:line="240" w:lineRule="auto" w:before="0"/>
        <w:rPr>
          <w:rFonts w:ascii="宋体" w:hAnsi="宋体" w:cs="宋体" w:eastAsia="宋体" w:hint="default"/>
          <w:sz w:val="20"/>
          <w:szCs w:val="20"/>
        </w:rPr>
      </w:pPr>
    </w:p>
    <w:p>
      <w:pPr>
        <w:spacing w:before="165"/>
        <w:ind w:left="138" w:right="96"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5"/>
          <w:sz w:val="21"/>
          <w:szCs w:val="21"/>
        </w:rPr>
        <w:t>(</w:t>
      </w:r>
      <w:r>
        <w:rPr>
          <w:rFonts w:ascii="Microsoft JhengHei" w:hAnsi="Microsoft JhengHei" w:cs="Microsoft JhengHei" w:eastAsia="Microsoft JhengHei" w:hint="default"/>
          <w:b/>
          <w:bCs/>
          <w:w w:val="115"/>
          <w:sz w:val="21"/>
          <w:szCs w:val="21"/>
        </w:rPr>
        <w:t>三</w:t>
      </w:r>
      <w:r>
        <w:rPr>
          <w:rFonts w:ascii="Arial" w:hAnsi="Arial" w:cs="Arial" w:eastAsia="Arial" w:hint="default"/>
          <w:b/>
          <w:bCs/>
          <w:w w:val="115"/>
          <w:sz w:val="21"/>
          <w:szCs w:val="21"/>
        </w:rPr>
        <w:t>)</w:t>
      </w:r>
      <w:r>
        <w:rPr>
          <w:rFonts w:ascii="Arial" w:hAnsi="Arial" w:cs="Arial" w:eastAsia="Arial" w:hint="default"/>
          <w:b/>
          <w:bCs/>
          <w:spacing w:val="-6"/>
          <w:w w:val="115"/>
          <w:sz w:val="21"/>
          <w:szCs w:val="21"/>
        </w:rPr>
        <w:t> </w:t>
      </w:r>
      <w:r>
        <w:rPr>
          <w:rFonts w:ascii="Microsoft JhengHei" w:hAnsi="Microsoft JhengHei" w:cs="Microsoft JhengHei" w:eastAsia="Microsoft JhengHei" w:hint="default"/>
          <w:b/>
          <w:bCs/>
          <w:w w:val="115"/>
          <w:sz w:val="21"/>
          <w:szCs w:val="21"/>
        </w:rPr>
        <w:t>经营计划</w:t>
      </w:r>
      <w:r>
        <w:rPr>
          <w:rFonts w:ascii="Microsoft JhengHei" w:hAnsi="Microsoft JhengHei" w:cs="Microsoft JhengHei" w:eastAsia="Microsoft JhengHei" w:hint="default"/>
          <w:w w:val="115"/>
          <w:sz w:val="21"/>
          <w:szCs w:val="21"/>
        </w:rPr>
      </w:r>
    </w:p>
    <w:p>
      <w:pPr>
        <w:spacing w:line="240" w:lineRule="auto" w:before="16"/>
        <w:rPr>
          <w:rFonts w:ascii="Microsoft JhengHei" w:hAnsi="Microsoft JhengHei" w:cs="Microsoft JhengHei" w:eastAsia="Microsoft JhengHei" w:hint="default"/>
          <w:b/>
          <w:bCs/>
          <w:sz w:val="12"/>
          <w:szCs w:val="12"/>
        </w:rPr>
      </w:pPr>
    </w:p>
    <w:p>
      <w:pPr>
        <w:spacing w:line="314" w:lineRule="auto" w:before="0"/>
        <w:ind w:left="138" w:right="205" w:firstLine="420"/>
        <w:jc w:val="both"/>
        <w:rPr>
          <w:rFonts w:ascii="宋体" w:hAnsi="宋体" w:cs="宋体" w:eastAsia="宋体" w:hint="default"/>
          <w:sz w:val="21"/>
          <w:szCs w:val="21"/>
        </w:rPr>
      </w:pPr>
      <w:r>
        <w:rPr>
          <w:rFonts w:ascii="宋体" w:hAnsi="宋体" w:cs="宋体" w:eastAsia="宋体" w:hint="default"/>
          <w:sz w:val="21"/>
          <w:szCs w:val="21"/>
        </w:rPr>
        <w:t>2020 </w:t>
      </w:r>
      <w:r>
        <w:rPr>
          <w:rFonts w:ascii="宋体" w:hAnsi="宋体" w:cs="宋体" w:eastAsia="宋体" w:hint="default"/>
          <w:spacing w:val="-4"/>
          <w:sz w:val="21"/>
          <w:szCs w:val="21"/>
        </w:rPr>
        <w:t>年，公司将坚定不移以高质量发展为根本出发点，构建以价值经营为导向的线上线下一体化</w:t>
      </w:r>
      <w:r>
        <w:rPr>
          <w:rFonts w:ascii="宋体" w:hAnsi="宋体" w:cs="宋体" w:eastAsia="宋体" w:hint="default"/>
          <w:w w:val="100"/>
          <w:sz w:val="21"/>
          <w:szCs w:val="21"/>
        </w:rPr>
        <w:t> </w:t>
      </w:r>
      <w:r>
        <w:rPr>
          <w:rFonts w:ascii="宋体" w:hAnsi="宋体" w:cs="宋体" w:eastAsia="宋体" w:hint="default"/>
          <w:sz w:val="21"/>
          <w:szCs w:val="21"/>
        </w:rPr>
        <w:t>客户运营体系；推进政企客户数字化转型；构建智慧客服体系，纵深推进高质量发展，开创 </w:t>
      </w:r>
      <w:r>
        <w:rPr>
          <w:rFonts w:ascii="宋体" w:hAnsi="宋体" w:cs="宋体" w:eastAsia="宋体" w:hint="default"/>
          <w:sz w:val="21"/>
          <w:szCs w:val="21"/>
        </w:rPr>
        <w:t>5G</w:t>
      </w:r>
      <w:r>
        <w:rPr>
          <w:rFonts w:ascii="宋体" w:hAnsi="宋体" w:cs="宋体" w:eastAsia="宋体" w:hint="default"/>
          <w:spacing w:val="-31"/>
          <w:sz w:val="21"/>
          <w:szCs w:val="21"/>
        </w:rPr>
        <w:t> </w:t>
      </w:r>
      <w:r>
        <w:rPr>
          <w:rFonts w:ascii="宋体" w:hAnsi="宋体" w:cs="宋体" w:eastAsia="宋体" w:hint="default"/>
          <w:spacing w:val="-3"/>
          <w:sz w:val="21"/>
          <w:szCs w:val="21"/>
        </w:rPr>
        <w:t>时代</w:t>
      </w:r>
      <w:r>
        <w:rPr>
          <w:rFonts w:ascii="宋体" w:hAnsi="宋体" w:cs="宋体" w:eastAsia="宋体" w:hint="default"/>
          <w:spacing w:val="-3"/>
          <w:w w:val="100"/>
          <w:sz w:val="21"/>
          <w:szCs w:val="21"/>
        </w:rPr>
        <w:t> </w:t>
      </w:r>
      <w:r>
        <w:rPr>
          <w:rFonts w:ascii="宋体" w:hAnsi="宋体" w:cs="宋体" w:eastAsia="宋体" w:hint="default"/>
          <w:sz w:val="21"/>
          <w:szCs w:val="21"/>
        </w:rPr>
        <w:t>市场经营新格局。</w:t>
      </w:r>
    </w:p>
    <w:p>
      <w:pPr>
        <w:spacing w:line="314" w:lineRule="auto" w:before="176"/>
        <w:ind w:left="138" w:right="179" w:firstLine="420"/>
        <w:jc w:val="both"/>
        <w:rPr>
          <w:rFonts w:ascii="宋体" w:hAnsi="宋体" w:cs="宋体" w:eastAsia="宋体" w:hint="default"/>
          <w:sz w:val="21"/>
          <w:szCs w:val="21"/>
        </w:rPr>
      </w:pPr>
      <w:r>
        <w:rPr>
          <w:rFonts w:ascii="宋体" w:hAnsi="宋体" w:cs="宋体" w:eastAsia="宋体" w:hint="default"/>
          <w:spacing w:val="-2"/>
          <w:sz w:val="21"/>
          <w:szCs w:val="21"/>
        </w:rPr>
        <w:t>公司将坚定不移实施互联网化运营转型，以价值经营为导向，深耕存量用户、精准发展用户，实</w:t>
      </w:r>
      <w:r>
        <w:rPr>
          <w:rFonts w:ascii="宋体" w:hAnsi="宋体" w:cs="宋体" w:eastAsia="宋体" w:hint="default"/>
          <w:w w:val="100"/>
          <w:sz w:val="21"/>
          <w:szCs w:val="21"/>
        </w:rPr>
        <w:t> </w:t>
      </w:r>
      <w:r>
        <w:rPr>
          <w:rFonts w:ascii="宋体" w:hAnsi="宋体" w:cs="宋体" w:eastAsia="宋体" w:hint="default"/>
          <w:spacing w:val="-2"/>
          <w:sz w:val="21"/>
          <w:szCs w:val="21"/>
        </w:rPr>
        <w:t>现有效增收。围绕线上线下一体化，优化渠道结构，提高渠道效能，重构渠道体系；围绕客户运营，</w:t>
      </w:r>
      <w:r>
        <w:rPr>
          <w:rFonts w:ascii="宋体" w:hAnsi="宋体" w:cs="宋体" w:eastAsia="宋体" w:hint="default"/>
          <w:spacing w:val="-24"/>
          <w:sz w:val="21"/>
          <w:szCs w:val="21"/>
        </w:rPr>
        <w:t> </w:t>
      </w:r>
      <w:r>
        <w:rPr>
          <w:rFonts w:ascii="宋体" w:hAnsi="宋体" w:cs="宋体" w:eastAsia="宋体" w:hint="default"/>
          <w:spacing w:val="-24"/>
          <w:sz w:val="21"/>
          <w:szCs w:val="21"/>
        </w:rPr>
      </w:r>
      <w:r>
        <w:rPr>
          <w:rFonts w:ascii="宋体" w:hAnsi="宋体" w:cs="宋体" w:eastAsia="宋体" w:hint="default"/>
          <w:sz w:val="21"/>
          <w:szCs w:val="21"/>
        </w:rPr>
        <w:t>强化数字化运营、大服务等关键能力建设，持续推进公司营销模式转型，推进高质量发展。</w:t>
      </w:r>
    </w:p>
    <w:p>
      <w:pPr>
        <w:spacing w:line="240" w:lineRule="auto" w:before="0"/>
        <w:rPr>
          <w:rFonts w:ascii="宋体" w:hAnsi="宋体" w:cs="宋体" w:eastAsia="宋体" w:hint="default"/>
          <w:sz w:val="20"/>
          <w:szCs w:val="20"/>
        </w:rPr>
      </w:pPr>
    </w:p>
    <w:p>
      <w:pPr>
        <w:spacing w:line="343" w:lineRule="auto" w:before="164"/>
        <w:ind w:left="561" w:right="5301" w:hanging="423"/>
        <w:jc w:val="left"/>
        <w:rPr>
          <w:rFonts w:ascii="Microsoft JhengHei" w:hAnsi="Microsoft JhengHei" w:cs="Microsoft JhengHei" w:eastAsia="Microsoft JhengHei" w:hint="default"/>
          <w:sz w:val="21"/>
          <w:szCs w:val="21"/>
        </w:rPr>
      </w:pPr>
      <w:r>
        <w:rPr>
          <w:rFonts w:ascii="Arial" w:hAnsi="Arial" w:cs="Arial" w:eastAsia="Arial" w:hint="default"/>
          <w:b/>
          <w:bCs/>
          <w:w w:val="110"/>
          <w:sz w:val="21"/>
          <w:szCs w:val="21"/>
        </w:rPr>
        <w:t>(</w:t>
      </w:r>
      <w:r>
        <w:rPr>
          <w:rFonts w:ascii="Microsoft JhengHei" w:hAnsi="Microsoft JhengHei" w:cs="Microsoft JhengHei" w:eastAsia="Microsoft JhengHei" w:hint="default"/>
          <w:b/>
          <w:bCs/>
          <w:w w:val="110"/>
          <w:sz w:val="21"/>
          <w:szCs w:val="21"/>
        </w:rPr>
        <w:t>四</w:t>
      </w:r>
      <w:r>
        <w:rPr>
          <w:rFonts w:ascii="Arial" w:hAnsi="Arial" w:cs="Arial" w:eastAsia="Arial" w:hint="default"/>
          <w:b/>
          <w:bCs/>
          <w:w w:val="110"/>
          <w:sz w:val="21"/>
          <w:szCs w:val="21"/>
        </w:rPr>
        <w:t>)</w:t>
      </w:r>
      <w:r>
        <w:rPr>
          <w:rFonts w:ascii="Arial" w:hAnsi="Arial" w:cs="Arial" w:eastAsia="Arial" w:hint="default"/>
          <w:b/>
          <w:bCs/>
          <w:spacing w:val="19"/>
          <w:w w:val="110"/>
          <w:sz w:val="21"/>
          <w:szCs w:val="21"/>
        </w:rPr>
        <w:t> </w:t>
      </w:r>
      <w:r>
        <w:rPr>
          <w:rFonts w:ascii="Microsoft JhengHei" w:hAnsi="Microsoft JhengHei" w:cs="Microsoft JhengHei" w:eastAsia="Microsoft JhengHei" w:hint="default"/>
          <w:b/>
          <w:bCs/>
          <w:w w:val="110"/>
          <w:sz w:val="21"/>
          <w:szCs w:val="21"/>
        </w:rPr>
        <w:t>可能面对的风险</w:t>
      </w:r>
      <w:r>
        <w:rPr>
          <w:rFonts w:ascii="Microsoft JhengHei" w:hAnsi="Microsoft JhengHei" w:cs="Microsoft JhengHei" w:eastAsia="Microsoft JhengHei" w:hint="default"/>
          <w:b/>
          <w:bCs/>
          <w:w w:val="100"/>
          <w:sz w:val="21"/>
          <w:szCs w:val="21"/>
        </w:rPr>
        <w:t> </w:t>
      </w:r>
      <w:r>
        <w:rPr>
          <w:rFonts w:ascii="Arial" w:hAnsi="Arial" w:cs="Arial" w:eastAsia="Arial" w:hint="default"/>
          <w:b/>
          <w:bCs/>
          <w:spacing w:val="-1"/>
          <w:sz w:val="21"/>
          <w:szCs w:val="21"/>
        </w:rPr>
        <w:t>1.</w:t>
      </w:r>
      <w:r>
        <w:rPr>
          <w:rFonts w:ascii="Microsoft JhengHei" w:hAnsi="Microsoft JhengHei" w:cs="Microsoft JhengHei" w:eastAsia="Microsoft JhengHei" w:hint="default"/>
          <w:b/>
          <w:bCs/>
          <w:spacing w:val="-1"/>
          <w:sz w:val="21"/>
          <w:szCs w:val="21"/>
        </w:rPr>
        <w:t>宏观经济和市场竞争风险</w:t>
      </w:r>
      <w:r>
        <w:rPr>
          <w:rFonts w:ascii="Microsoft JhengHei" w:hAnsi="Microsoft JhengHei" w:cs="Microsoft JhengHei" w:eastAsia="Microsoft JhengHei" w:hint="default"/>
          <w:spacing w:val="-1"/>
          <w:sz w:val="21"/>
          <w:szCs w:val="21"/>
        </w:rPr>
      </w:r>
    </w:p>
    <w:p>
      <w:pPr>
        <w:spacing w:after="0" w:line="343" w:lineRule="auto"/>
        <w:jc w:val="left"/>
        <w:rPr>
          <w:rFonts w:ascii="Microsoft JhengHei" w:hAnsi="Microsoft JhengHei" w:cs="Microsoft JhengHei" w:eastAsia="Microsoft JhengHei" w:hint="default"/>
          <w:sz w:val="21"/>
          <w:szCs w:val="21"/>
        </w:rPr>
        <w:sectPr>
          <w:footerReference w:type="default" r:id="rId38"/>
          <w:pgSz w:w="11910" w:h="16840"/>
          <w:pgMar w:footer="502" w:header="854" w:top="1360" w:bottom="700" w:left="1280" w:right="1060"/>
        </w:sectPr>
      </w:pPr>
    </w:p>
    <w:p>
      <w:pPr>
        <w:spacing w:line="240" w:lineRule="auto" w:before="13"/>
        <w:rPr>
          <w:rFonts w:ascii="Microsoft JhengHei" w:hAnsi="Microsoft JhengHei" w:cs="Microsoft JhengHei" w:eastAsia="Microsoft JhengHei" w:hint="default"/>
          <w:b/>
          <w:bCs/>
          <w:sz w:val="9"/>
          <w:szCs w:val="9"/>
        </w:rPr>
      </w:pPr>
    </w:p>
    <w:p>
      <w:pPr>
        <w:spacing w:line="314" w:lineRule="auto" w:before="36"/>
        <w:ind w:left="138" w:right="96" w:firstLine="420"/>
        <w:jc w:val="left"/>
        <w:rPr>
          <w:rFonts w:ascii="宋体" w:hAnsi="宋体" w:cs="宋体" w:eastAsia="宋体" w:hint="default"/>
          <w:sz w:val="21"/>
          <w:szCs w:val="21"/>
        </w:rPr>
      </w:pPr>
      <w:r>
        <w:rPr>
          <w:rFonts w:ascii="宋体" w:hAnsi="宋体" w:cs="宋体" w:eastAsia="宋体" w:hint="default"/>
          <w:spacing w:val="-2"/>
          <w:sz w:val="21"/>
          <w:szCs w:val="21"/>
        </w:rPr>
        <w:t>中国经济受到外部环境深刻变化等多重因素影响，经济下行压力有所加大。新冠疫情短期对公司</w:t>
      </w:r>
      <w:r>
        <w:rPr>
          <w:rFonts w:ascii="宋体" w:hAnsi="宋体" w:cs="宋体" w:eastAsia="宋体" w:hint="default"/>
          <w:w w:val="100"/>
          <w:sz w:val="21"/>
          <w:szCs w:val="21"/>
        </w:rPr>
        <w:t> </w:t>
      </w:r>
      <w:r>
        <w:rPr>
          <w:rFonts w:ascii="宋体" w:hAnsi="宋体" w:cs="宋体" w:eastAsia="宋体" w:hint="default"/>
          <w:spacing w:val="-3"/>
          <w:sz w:val="21"/>
          <w:szCs w:val="21"/>
        </w:rPr>
        <w:t>经营（包括业务发展、网络建设、坏账风险等）带来一定挑战，也加速经济社会数字化、网络化、智</w:t>
      </w:r>
      <w:r>
        <w:rPr>
          <w:rFonts w:ascii="宋体" w:hAnsi="宋体" w:cs="宋体" w:eastAsia="宋体" w:hint="default"/>
          <w:spacing w:val="-12"/>
          <w:sz w:val="21"/>
          <w:szCs w:val="21"/>
        </w:rPr>
        <w:t> </w:t>
      </w:r>
      <w:r>
        <w:rPr>
          <w:rFonts w:ascii="宋体" w:hAnsi="宋体" w:cs="宋体" w:eastAsia="宋体" w:hint="default"/>
          <w:spacing w:val="-12"/>
          <w:sz w:val="21"/>
          <w:szCs w:val="21"/>
        </w:rPr>
      </w:r>
      <w:r>
        <w:rPr>
          <w:rFonts w:ascii="宋体" w:hAnsi="宋体" w:cs="宋体" w:eastAsia="宋体" w:hint="default"/>
          <w:spacing w:val="-2"/>
          <w:sz w:val="21"/>
          <w:szCs w:val="21"/>
        </w:rPr>
        <w:t>能化转型的需求，为公司带来新商机。国内电信业传统业务逐步饱和，市场竞争持续激烈。公司将将</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积极应对新的变化，深入落实公司聚焦创新合作战略，凝心聚力，真抓实干，纵深推进高质量发展，</w:t>
      </w:r>
      <w:r>
        <w:rPr>
          <w:rFonts w:ascii="宋体" w:hAnsi="宋体" w:cs="宋体" w:eastAsia="宋体" w:hint="default"/>
          <w:w w:val="100"/>
          <w:sz w:val="21"/>
          <w:szCs w:val="21"/>
        </w:rPr>
        <w:t> </w:t>
      </w:r>
      <w:r>
        <w:rPr>
          <w:rFonts w:ascii="宋体" w:hAnsi="宋体" w:cs="宋体" w:eastAsia="宋体" w:hint="default"/>
          <w:spacing w:val="-5"/>
          <w:sz w:val="21"/>
          <w:szCs w:val="21"/>
        </w:rPr>
        <w:t>坚定不移推进“创新、协调、绿色、开放、共享”理念的持续深入落地，在创新驱动中培育增长动能、</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pacing w:val="-2"/>
          <w:sz w:val="21"/>
          <w:szCs w:val="21"/>
        </w:rPr>
        <w:t>沉淀核心能力、巩固互联网化运营差异化优势，在开放共享中落实好网络共建共享、全面改善行业生</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态，提升企业价值，奋力开创</w:t>
      </w:r>
      <w:r>
        <w:rPr>
          <w:rFonts w:ascii="宋体" w:hAnsi="宋体" w:cs="宋体" w:eastAsia="宋体" w:hint="default"/>
          <w:sz w:val="21"/>
          <w:szCs w:val="21"/>
        </w:rPr>
        <w:t>5G</w:t>
      </w:r>
      <w:r>
        <w:rPr>
          <w:rFonts w:ascii="宋体" w:hAnsi="宋体" w:cs="宋体" w:eastAsia="宋体" w:hint="default"/>
          <w:sz w:val="21"/>
          <w:szCs w:val="21"/>
        </w:rPr>
        <w:t>时代市场经营新局面。</w:t>
      </w:r>
    </w:p>
    <w:p>
      <w:pPr>
        <w:spacing w:line="384" w:lineRule="auto" w:before="109"/>
        <w:ind w:left="558" w:right="96" w:firstLine="2"/>
        <w:jc w:val="left"/>
        <w:rPr>
          <w:rFonts w:ascii="宋体" w:hAnsi="宋体" w:cs="宋体" w:eastAsia="宋体" w:hint="default"/>
          <w:sz w:val="21"/>
          <w:szCs w:val="21"/>
        </w:rPr>
      </w:pPr>
      <w:r>
        <w:rPr>
          <w:rFonts w:ascii="Arial" w:hAnsi="Arial" w:cs="Arial" w:eastAsia="Arial" w:hint="default"/>
          <w:b/>
          <w:bCs/>
          <w:sz w:val="21"/>
          <w:szCs w:val="21"/>
        </w:rPr>
        <w:t>2.</w:t>
      </w:r>
      <w:r>
        <w:rPr>
          <w:rFonts w:ascii="Microsoft JhengHei" w:hAnsi="Microsoft JhengHei" w:cs="Microsoft JhengHei" w:eastAsia="Microsoft JhengHei" w:hint="default"/>
          <w:b/>
          <w:bCs/>
          <w:sz w:val="21"/>
          <w:szCs w:val="21"/>
        </w:rPr>
        <w:t>行业监管政策变化风险</w:t>
      </w:r>
      <w:r>
        <w:rPr>
          <w:rFonts w:ascii="Microsoft JhengHei" w:hAnsi="Microsoft JhengHei" w:cs="Microsoft JhengHei" w:eastAsia="Microsoft JhengHei" w:hint="default"/>
          <w:b/>
          <w:bCs/>
          <w:spacing w:val="-8"/>
          <w:sz w:val="21"/>
          <w:szCs w:val="21"/>
        </w:rPr>
        <w:t> </w:t>
      </w:r>
      <w:r>
        <w:rPr>
          <w:rFonts w:ascii="宋体" w:hAnsi="宋体" w:cs="宋体" w:eastAsia="宋体" w:hint="default"/>
          <w:spacing w:val="-3"/>
          <w:sz w:val="21"/>
          <w:szCs w:val="21"/>
        </w:rPr>
        <w:t>中国政府将继续推进电信业向外资和民间资本开放、“提速降费”、国内电信业务网间结算调整</w:t>
      </w:r>
    </w:p>
    <w:p>
      <w:pPr>
        <w:spacing w:line="234" w:lineRule="exact" w:before="0"/>
        <w:ind w:left="138" w:right="96" w:firstLine="0"/>
        <w:jc w:val="left"/>
        <w:rPr>
          <w:rFonts w:ascii="宋体" w:hAnsi="宋体" w:cs="宋体" w:eastAsia="宋体" w:hint="default"/>
          <w:sz w:val="21"/>
          <w:szCs w:val="21"/>
        </w:rPr>
      </w:pPr>
      <w:r>
        <w:rPr>
          <w:rFonts w:ascii="宋体" w:hAnsi="宋体" w:cs="宋体" w:eastAsia="宋体" w:hint="default"/>
          <w:sz w:val="21"/>
          <w:szCs w:val="21"/>
        </w:rPr>
        <w:t>等政策，这些监管政策在给公司带来新的发展机遇的同时也带来挑战。公司将密切关注监管政策的变</w:t>
      </w:r>
    </w:p>
    <w:p>
      <w:pPr>
        <w:spacing w:line="391" w:lineRule="auto" w:before="85"/>
        <w:ind w:left="561" w:right="2136" w:hanging="423"/>
        <w:jc w:val="left"/>
        <w:rPr>
          <w:rFonts w:ascii="Microsoft JhengHei" w:hAnsi="Microsoft JhengHei" w:cs="Microsoft JhengHei" w:eastAsia="Microsoft JhengHei" w:hint="default"/>
          <w:sz w:val="21"/>
          <w:szCs w:val="21"/>
        </w:rPr>
      </w:pPr>
      <w:r>
        <w:rPr>
          <w:rFonts w:ascii="宋体" w:hAnsi="宋体" w:cs="宋体" w:eastAsia="宋体" w:hint="default"/>
          <w:spacing w:val="-2"/>
          <w:sz w:val="21"/>
          <w:szCs w:val="21"/>
        </w:rPr>
        <w:t>化，落实监管机构要求，并及时应对监管政策调整带来的相关影响。</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Arial" w:hAnsi="Arial" w:cs="Arial" w:eastAsia="Arial" w:hint="default"/>
          <w:b/>
          <w:bCs/>
          <w:w w:val="105"/>
          <w:sz w:val="21"/>
          <w:szCs w:val="21"/>
        </w:rPr>
        <w:t>3.</w:t>
      </w:r>
      <w:r>
        <w:rPr>
          <w:rFonts w:ascii="Microsoft JhengHei" w:hAnsi="Microsoft JhengHei" w:cs="Microsoft JhengHei" w:eastAsia="Microsoft JhengHei" w:hint="default"/>
          <w:b/>
          <w:bCs/>
          <w:w w:val="105"/>
          <w:sz w:val="21"/>
          <w:szCs w:val="21"/>
        </w:rPr>
        <w:t>技术升级风险</w:t>
      </w:r>
      <w:r>
        <w:rPr>
          <w:rFonts w:ascii="Microsoft JhengHei" w:hAnsi="Microsoft JhengHei" w:cs="Microsoft JhengHei" w:eastAsia="Microsoft JhengHei" w:hint="default"/>
          <w:w w:val="105"/>
          <w:sz w:val="21"/>
          <w:szCs w:val="21"/>
        </w:rPr>
      </w:r>
    </w:p>
    <w:p>
      <w:pPr>
        <w:spacing w:line="314" w:lineRule="auto" w:before="41"/>
        <w:ind w:left="138" w:right="96" w:firstLine="420"/>
        <w:jc w:val="left"/>
        <w:rPr>
          <w:rFonts w:ascii="宋体" w:hAnsi="宋体" w:cs="宋体" w:eastAsia="宋体" w:hint="default"/>
          <w:sz w:val="21"/>
          <w:szCs w:val="21"/>
        </w:rPr>
      </w:pPr>
      <w:r>
        <w:rPr>
          <w:rFonts w:ascii="宋体" w:hAnsi="宋体" w:cs="宋体" w:eastAsia="宋体" w:hint="default"/>
          <w:spacing w:val="-2"/>
          <w:sz w:val="21"/>
          <w:szCs w:val="21"/>
        </w:rPr>
        <w:t>全球电信运营商加快网络升级与业务转型，信息通信新技术加速升级迭代。公司拥有丰富的移动</w:t>
      </w:r>
      <w:r>
        <w:rPr>
          <w:rFonts w:ascii="宋体" w:hAnsi="宋体" w:cs="宋体" w:eastAsia="宋体" w:hint="default"/>
          <w:w w:val="100"/>
          <w:sz w:val="21"/>
          <w:szCs w:val="21"/>
        </w:rPr>
        <w:t> </w:t>
      </w:r>
      <w:r>
        <w:rPr>
          <w:rFonts w:ascii="宋体" w:hAnsi="宋体" w:cs="宋体" w:eastAsia="宋体" w:hint="default"/>
          <w:spacing w:val="-5"/>
          <w:sz w:val="21"/>
          <w:szCs w:val="21"/>
        </w:rPr>
        <w:t>网络建设及运营经验，积极参与世界主流国际标准组织工作，深入开展新技术与新业务的研究与试验，</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pacing w:val="-2"/>
          <w:sz w:val="21"/>
          <w:szCs w:val="21"/>
        </w:rPr>
        <w:t>以共建共享新模式推动</w:t>
      </w:r>
      <w:r>
        <w:rPr>
          <w:rFonts w:ascii="宋体" w:hAnsi="宋体" w:cs="宋体" w:eastAsia="宋体" w:hint="default"/>
          <w:spacing w:val="-2"/>
          <w:sz w:val="21"/>
          <w:szCs w:val="21"/>
        </w:rPr>
        <w:t>5G</w:t>
      </w:r>
      <w:r>
        <w:rPr>
          <w:rFonts w:ascii="宋体" w:hAnsi="宋体" w:cs="宋体" w:eastAsia="宋体" w:hint="default"/>
          <w:spacing w:val="-2"/>
          <w:sz w:val="21"/>
          <w:szCs w:val="21"/>
        </w:rPr>
        <w:t>发展取得突破性进展，持续提高技术创新能力，合理规划建设网络，保持竞</w:t>
      </w:r>
      <w:r>
        <w:rPr>
          <w:rFonts w:ascii="宋体" w:hAnsi="宋体" w:cs="宋体" w:eastAsia="宋体" w:hint="default"/>
          <w:spacing w:val="-49"/>
          <w:sz w:val="21"/>
          <w:szCs w:val="21"/>
        </w:rPr>
        <w:t> </w:t>
      </w:r>
      <w:r>
        <w:rPr>
          <w:rFonts w:ascii="宋体" w:hAnsi="宋体" w:cs="宋体" w:eastAsia="宋体" w:hint="default"/>
          <w:spacing w:val="-49"/>
          <w:sz w:val="21"/>
          <w:szCs w:val="21"/>
        </w:rPr>
      </w:r>
      <w:r>
        <w:rPr>
          <w:rFonts w:ascii="宋体" w:hAnsi="宋体" w:cs="宋体" w:eastAsia="宋体" w:hint="default"/>
          <w:sz w:val="21"/>
          <w:szCs w:val="21"/>
        </w:rPr>
        <w:t>争实力。</w:t>
      </w:r>
    </w:p>
    <w:p>
      <w:pPr>
        <w:spacing w:line="381" w:lineRule="auto" w:before="109"/>
        <w:ind w:left="558" w:right="96" w:firstLine="2"/>
        <w:jc w:val="left"/>
        <w:rPr>
          <w:rFonts w:ascii="宋体" w:hAnsi="宋体" w:cs="宋体" w:eastAsia="宋体" w:hint="default"/>
          <w:sz w:val="21"/>
          <w:szCs w:val="21"/>
        </w:rPr>
      </w:pPr>
      <w:r>
        <w:rPr>
          <w:rFonts w:ascii="Arial" w:hAnsi="Arial" w:cs="Arial" w:eastAsia="Arial" w:hint="default"/>
          <w:b/>
          <w:bCs/>
          <w:w w:val="105"/>
          <w:sz w:val="21"/>
          <w:szCs w:val="21"/>
        </w:rPr>
        <w:t>4.</w:t>
      </w:r>
      <w:r>
        <w:rPr>
          <w:rFonts w:ascii="Microsoft JhengHei" w:hAnsi="Microsoft JhengHei" w:cs="Microsoft JhengHei" w:eastAsia="Microsoft JhengHei" w:hint="default"/>
          <w:b/>
          <w:bCs/>
          <w:w w:val="105"/>
          <w:sz w:val="21"/>
          <w:szCs w:val="21"/>
        </w:rPr>
        <w:t>利率和汇率风险</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2"/>
          <w:sz w:val="21"/>
          <w:szCs w:val="21"/>
        </w:rPr>
        <w:t>本公司持有以外币计价的资产及负债，人民币汇率变动可能会对本公司的利润产生一定的影响；</w:t>
      </w:r>
    </w:p>
    <w:p>
      <w:pPr>
        <w:spacing w:line="236" w:lineRule="exact" w:before="0"/>
        <w:ind w:left="138" w:right="96" w:firstLine="0"/>
        <w:jc w:val="left"/>
        <w:rPr>
          <w:rFonts w:ascii="宋体" w:hAnsi="宋体" w:cs="宋体" w:eastAsia="宋体" w:hint="default"/>
          <w:sz w:val="21"/>
          <w:szCs w:val="21"/>
        </w:rPr>
      </w:pPr>
      <w:r>
        <w:rPr>
          <w:rFonts w:ascii="宋体" w:hAnsi="宋体" w:cs="宋体" w:eastAsia="宋体" w:hint="default"/>
          <w:sz w:val="21"/>
          <w:szCs w:val="21"/>
        </w:rPr>
        <w:t>利率上升可能使公司带息债务的利息支出上升。公司将持续关注汇率及利率市场变化，通过合理调整</w:t>
      </w:r>
    </w:p>
    <w:p>
      <w:pPr>
        <w:spacing w:before="85"/>
        <w:ind w:left="138" w:right="96" w:firstLine="0"/>
        <w:jc w:val="left"/>
        <w:rPr>
          <w:rFonts w:ascii="宋体" w:hAnsi="宋体" w:cs="宋体" w:eastAsia="宋体" w:hint="default"/>
          <w:sz w:val="21"/>
          <w:szCs w:val="21"/>
        </w:rPr>
      </w:pPr>
      <w:r>
        <w:rPr>
          <w:rFonts w:ascii="宋体" w:hAnsi="宋体" w:cs="宋体" w:eastAsia="宋体" w:hint="default"/>
          <w:sz w:val="21"/>
          <w:szCs w:val="21"/>
        </w:rPr>
        <w:t>债务结构，加强资金管理，降低汇率及利率风险。</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spacing w:before="0"/>
        <w:ind w:left="138" w:right="96"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四、公司因不适用准则规定或国家秘密、商业秘密等特殊原因，未按准则披露的情况和原因说明</w:t>
      </w:r>
      <w:r>
        <w:rPr>
          <w:rFonts w:ascii="Microsoft JhengHei" w:hAnsi="Microsoft JhengHei" w:cs="Microsoft JhengHei" w:eastAsia="Microsoft JhengHei" w:hint="default"/>
          <w:sz w:val="21"/>
          <w:szCs w:val="21"/>
        </w:rPr>
      </w:r>
    </w:p>
    <w:p>
      <w:pPr>
        <w:tabs>
          <w:tab w:pos="981" w:val="left" w:leader="none"/>
        </w:tabs>
        <w:spacing w:before="73"/>
        <w:ind w:left="138" w:right="96" w:firstLine="0"/>
        <w:jc w:val="left"/>
        <w:rPr>
          <w:rFonts w:ascii="宋体" w:hAnsi="宋体" w:cs="宋体" w:eastAsia="宋体" w:hint="default"/>
          <w:sz w:val="21"/>
          <w:szCs w:val="21"/>
        </w:rPr>
      </w:pPr>
      <w:r>
        <w:rPr>
          <w:rFonts w:ascii="宋体" w:hAnsi="宋体" w:cs="宋体" w:eastAsia="宋体" w:hint="default"/>
          <w:sz w:val="21"/>
          <w:szCs w:val="21"/>
        </w:rPr>
        <w:t>□适用</w:t>
        <w:tab/>
        <w:t>√不适用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p>
      <w:pPr>
        <w:pStyle w:val="Heading1"/>
        <w:tabs>
          <w:tab w:pos="1259" w:val="left" w:leader="none"/>
        </w:tabs>
        <w:spacing w:line="240" w:lineRule="auto"/>
        <w:ind w:right="74"/>
        <w:jc w:val="center"/>
        <w:rPr>
          <w:b w:val="0"/>
          <w:bCs w:val="0"/>
        </w:rPr>
      </w:pPr>
      <w:bookmarkStart w:name="_bookmark4" w:id="6"/>
      <w:bookmarkEnd w:id="6"/>
      <w:r>
        <w:rPr>
          <w:b w:val="0"/>
          <w:bCs w:val="0"/>
        </w:rPr>
      </w:r>
      <w:r>
        <w:rPr/>
        <w:t>第五节</w:t>
        <w:tab/>
        <w:t>重要事项</w:t>
      </w:r>
      <w:r>
        <w:rPr>
          <w:b w:val="0"/>
          <w:bCs w:val="0"/>
        </w:rPr>
      </w:r>
    </w:p>
    <w:p>
      <w:pPr>
        <w:spacing w:before="120"/>
        <w:ind w:left="138" w:right="96"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一、普通股利润分配或资本公积金转增预案</w:t>
      </w:r>
      <w:r>
        <w:rPr>
          <w:rFonts w:ascii="Microsoft JhengHei" w:hAnsi="Microsoft JhengHei" w:cs="Microsoft JhengHei" w:eastAsia="Microsoft JhengHei" w:hint="default"/>
          <w:sz w:val="21"/>
          <w:szCs w:val="21"/>
        </w:rPr>
      </w:r>
    </w:p>
    <w:p>
      <w:pPr>
        <w:spacing w:line="240" w:lineRule="auto" w:before="12"/>
        <w:rPr>
          <w:rFonts w:ascii="Microsoft JhengHei" w:hAnsi="Microsoft JhengHei" w:cs="Microsoft JhengHei" w:eastAsia="Microsoft JhengHei" w:hint="default"/>
          <w:b/>
          <w:bCs/>
          <w:sz w:val="10"/>
          <w:szCs w:val="10"/>
        </w:rPr>
      </w:pPr>
    </w:p>
    <w:p>
      <w:pPr>
        <w:spacing w:line="384" w:lineRule="auto" w:before="0"/>
        <w:ind w:left="558" w:right="95" w:hanging="420"/>
        <w:jc w:val="left"/>
        <w:rPr>
          <w:rFonts w:ascii="宋体" w:hAnsi="宋体" w:cs="宋体" w:eastAsia="宋体"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一</w:t>
      </w:r>
      <w:r>
        <w:rPr>
          <w:rFonts w:ascii="Calibri" w:hAnsi="Calibri" w:cs="Calibri" w:eastAsia="Calibri" w:hint="default"/>
          <w:b/>
          <w:bCs/>
          <w:sz w:val="21"/>
          <w:szCs w:val="21"/>
        </w:rPr>
        <w:t>) </w:t>
      </w:r>
      <w:r>
        <w:rPr>
          <w:rFonts w:ascii="Microsoft JhengHei" w:hAnsi="Microsoft JhengHei" w:cs="Microsoft JhengHei" w:eastAsia="Microsoft JhengHei" w:hint="default"/>
          <w:b/>
          <w:bCs/>
          <w:sz w:val="21"/>
          <w:szCs w:val="21"/>
        </w:rPr>
        <w:t>现金分红政策的制定、执行或调整情况</w:t>
      </w:r>
      <w:r>
        <w:rPr>
          <w:rFonts w:ascii="Microsoft JhengHei" w:hAnsi="Microsoft JhengHei" w:cs="Microsoft JhengHei" w:eastAsia="Microsoft JhengHei" w:hint="default"/>
          <w:b/>
          <w:bCs/>
          <w:spacing w:val="-8"/>
          <w:sz w:val="21"/>
          <w:szCs w:val="21"/>
        </w:rPr>
        <w:t> </w:t>
      </w:r>
      <w:r>
        <w:rPr>
          <w:rFonts w:ascii="Microsoft JhengHei" w:hAnsi="Microsoft JhengHei" w:cs="Microsoft JhengHei" w:eastAsia="Microsoft JhengHei" w:hint="default"/>
          <w:b/>
          <w:bCs/>
          <w:spacing w:val="-8"/>
          <w:sz w:val="21"/>
          <w:szCs w:val="21"/>
        </w:rPr>
      </w:r>
      <w:r>
        <w:rPr>
          <w:rFonts w:ascii="宋体" w:hAnsi="宋体" w:cs="宋体" w:eastAsia="宋体" w:hint="default"/>
          <w:spacing w:val="-6"/>
          <w:w w:val="100"/>
          <w:sz w:val="21"/>
          <w:szCs w:val="21"/>
        </w:rPr>
        <w:t>公司董事会审议的报告期利润分配预案如下：本公司通过联通</w:t>
      </w:r>
      <w:r>
        <w:rPr>
          <w:rFonts w:ascii="宋体" w:hAnsi="宋体" w:cs="宋体" w:eastAsia="宋体" w:hint="default"/>
          <w:spacing w:val="-52"/>
          <w:w w:val="100"/>
          <w:sz w:val="21"/>
          <w:szCs w:val="21"/>
        </w:rPr>
        <w:t> </w:t>
      </w:r>
      <w:r>
        <w:rPr>
          <w:rFonts w:ascii="宋体" w:hAnsi="宋体" w:cs="宋体" w:eastAsia="宋体" w:hint="default"/>
          <w:w w:val="100"/>
          <w:sz w:val="21"/>
          <w:szCs w:val="21"/>
        </w:rPr>
        <w:t>BVI</w:t>
      </w:r>
      <w:r>
        <w:rPr>
          <w:rFonts w:ascii="宋体" w:hAnsi="宋体" w:cs="宋体" w:eastAsia="宋体" w:hint="default"/>
          <w:spacing w:val="-52"/>
          <w:w w:val="100"/>
          <w:sz w:val="21"/>
          <w:szCs w:val="21"/>
        </w:rPr>
        <w:t> </w:t>
      </w:r>
      <w:r>
        <w:rPr>
          <w:rFonts w:ascii="宋体" w:hAnsi="宋体" w:cs="宋体" w:eastAsia="宋体" w:hint="default"/>
          <w:spacing w:val="-2"/>
          <w:w w:val="100"/>
          <w:sz w:val="21"/>
          <w:szCs w:val="21"/>
        </w:rPr>
        <w:t>公司持有联通红筹公司的股权。</w:t>
      </w:r>
    </w:p>
    <w:p>
      <w:pPr>
        <w:spacing w:line="234" w:lineRule="exact" w:before="0"/>
        <w:ind w:left="138" w:right="96" w:firstLine="0"/>
        <w:jc w:val="left"/>
        <w:rPr>
          <w:rFonts w:ascii="宋体" w:hAnsi="宋体" w:cs="宋体" w:eastAsia="宋体" w:hint="default"/>
          <w:sz w:val="21"/>
          <w:szCs w:val="21"/>
        </w:rPr>
      </w:pPr>
      <w:r>
        <w:rPr>
          <w:rFonts w:ascii="宋体" w:hAnsi="宋体" w:cs="宋体" w:eastAsia="宋体" w:hint="default"/>
          <w:spacing w:val="-3"/>
          <w:sz w:val="21"/>
          <w:szCs w:val="21"/>
        </w:rPr>
        <w:t>按本公司章程规定，应将自联通红筹公司分红所得现金在扣除公司日常现金开支、税费及法律法规规</w:t>
      </w:r>
    </w:p>
    <w:p>
      <w:pPr>
        <w:spacing w:before="85"/>
        <w:ind w:left="138" w:right="96" w:firstLine="0"/>
        <w:jc w:val="left"/>
        <w:rPr>
          <w:rFonts w:ascii="宋体" w:hAnsi="宋体" w:cs="宋体" w:eastAsia="宋体" w:hint="default"/>
          <w:sz w:val="21"/>
          <w:szCs w:val="21"/>
        </w:rPr>
      </w:pPr>
      <w:r>
        <w:rPr>
          <w:rFonts w:ascii="宋体" w:hAnsi="宋体" w:cs="宋体" w:eastAsia="宋体" w:hint="default"/>
          <w:sz w:val="21"/>
          <w:szCs w:val="21"/>
        </w:rPr>
        <w:t>定应当提取的各项公积金后，以现金方式全额分配给股东。</w:t>
      </w:r>
    </w:p>
    <w:p>
      <w:pPr>
        <w:spacing w:after="0"/>
        <w:jc w:val="left"/>
        <w:rPr>
          <w:rFonts w:ascii="宋体" w:hAnsi="宋体" w:cs="宋体" w:eastAsia="宋体" w:hint="default"/>
          <w:sz w:val="21"/>
          <w:szCs w:val="21"/>
        </w:rPr>
        <w:sectPr>
          <w:footerReference w:type="default" r:id="rId39"/>
          <w:pgSz w:w="11910" w:h="16840"/>
          <w:pgMar w:footer="502" w:header="854" w:top="1360" w:bottom="700" w:left="1280" w:right="1060"/>
        </w:sectPr>
      </w:pPr>
    </w:p>
    <w:p>
      <w:pPr>
        <w:spacing w:line="240" w:lineRule="auto" w:before="13"/>
        <w:rPr>
          <w:rFonts w:ascii="宋体" w:hAnsi="宋体" w:cs="宋体" w:eastAsia="宋体" w:hint="default"/>
          <w:sz w:val="12"/>
          <w:szCs w:val="12"/>
        </w:rPr>
      </w:pPr>
    </w:p>
    <w:p>
      <w:pPr>
        <w:spacing w:before="36"/>
        <w:ind w:left="0" w:right="1125" w:firstLine="0"/>
        <w:jc w:val="right"/>
        <w:rPr>
          <w:rFonts w:ascii="宋体" w:hAnsi="宋体" w:cs="宋体" w:eastAsia="宋体" w:hint="default"/>
          <w:sz w:val="21"/>
          <w:szCs w:val="21"/>
        </w:rPr>
      </w:pPr>
      <w:r>
        <w:rPr>
          <w:rFonts w:ascii="宋体" w:hAnsi="宋体" w:cs="宋体" w:eastAsia="宋体" w:hint="default"/>
          <w:sz w:val="21"/>
          <w:szCs w:val="21"/>
        </w:rPr>
        <w:t>联通红筹公司董事会于</w:t>
      </w:r>
      <w:r>
        <w:rPr>
          <w:rFonts w:ascii="宋体" w:hAnsi="宋体" w:cs="宋体" w:eastAsia="宋体" w:hint="default"/>
          <w:spacing w:val="-45"/>
          <w:sz w:val="21"/>
          <w:szCs w:val="21"/>
        </w:rPr>
        <w:t> </w:t>
      </w:r>
      <w:r>
        <w:rPr>
          <w:rFonts w:ascii="宋体" w:hAnsi="宋体" w:cs="宋体" w:eastAsia="宋体" w:hint="default"/>
          <w:sz w:val="21"/>
          <w:szCs w:val="21"/>
        </w:rPr>
        <w:t>2020</w:t>
      </w:r>
      <w:r>
        <w:rPr>
          <w:rFonts w:ascii="宋体" w:hAnsi="宋体" w:cs="宋体" w:eastAsia="宋体" w:hint="default"/>
          <w:spacing w:val="-46"/>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宋体" w:hAnsi="宋体" w:cs="宋体" w:eastAsia="宋体" w:hint="default"/>
          <w:sz w:val="21"/>
          <w:szCs w:val="21"/>
        </w:rPr>
        <w:t>3</w:t>
      </w:r>
      <w:r>
        <w:rPr>
          <w:rFonts w:ascii="宋体" w:hAnsi="宋体" w:cs="宋体" w:eastAsia="宋体" w:hint="default"/>
          <w:spacing w:val="-45"/>
          <w:sz w:val="21"/>
          <w:szCs w:val="21"/>
        </w:rPr>
        <w:t> </w:t>
      </w:r>
      <w:r>
        <w:rPr>
          <w:rFonts w:ascii="宋体" w:hAnsi="宋体" w:cs="宋体" w:eastAsia="宋体" w:hint="default"/>
          <w:sz w:val="21"/>
          <w:szCs w:val="21"/>
        </w:rPr>
        <w:t>月</w:t>
      </w:r>
      <w:r>
        <w:rPr>
          <w:rFonts w:ascii="宋体" w:hAnsi="宋体" w:cs="宋体" w:eastAsia="宋体" w:hint="default"/>
          <w:spacing w:val="-45"/>
          <w:sz w:val="21"/>
          <w:szCs w:val="21"/>
        </w:rPr>
        <w:t> </w:t>
      </w:r>
      <w:r>
        <w:rPr>
          <w:rFonts w:ascii="宋体" w:hAnsi="宋体" w:cs="宋体" w:eastAsia="宋体" w:hint="default"/>
          <w:sz w:val="21"/>
          <w:szCs w:val="21"/>
        </w:rPr>
        <w:t>23</w:t>
      </w:r>
      <w:r>
        <w:rPr>
          <w:rFonts w:ascii="宋体" w:hAnsi="宋体" w:cs="宋体" w:eastAsia="宋体" w:hint="default"/>
          <w:spacing w:val="-48"/>
          <w:sz w:val="21"/>
          <w:szCs w:val="21"/>
        </w:rPr>
        <w:t> </w:t>
      </w:r>
      <w:r>
        <w:rPr>
          <w:rFonts w:ascii="宋体" w:hAnsi="宋体" w:cs="宋体" w:eastAsia="宋体" w:hint="default"/>
          <w:sz w:val="21"/>
          <w:szCs w:val="21"/>
        </w:rPr>
        <w:t>日提议派发</w:t>
      </w:r>
      <w:r>
        <w:rPr>
          <w:rFonts w:ascii="宋体" w:hAnsi="宋体" w:cs="宋体" w:eastAsia="宋体" w:hint="default"/>
          <w:spacing w:val="-48"/>
          <w:sz w:val="21"/>
          <w:szCs w:val="21"/>
        </w:rPr>
        <w:t> </w:t>
      </w:r>
      <w:r>
        <w:rPr>
          <w:rFonts w:ascii="宋体" w:hAnsi="宋体" w:cs="宋体" w:eastAsia="宋体" w:hint="default"/>
          <w:sz w:val="21"/>
          <w:szCs w:val="21"/>
        </w:rPr>
        <w:t>2019</w:t>
      </w:r>
      <w:r>
        <w:rPr>
          <w:rFonts w:ascii="宋体" w:hAnsi="宋体" w:cs="宋体" w:eastAsia="宋体" w:hint="default"/>
          <w:spacing w:val="-45"/>
          <w:sz w:val="21"/>
          <w:szCs w:val="21"/>
        </w:rPr>
        <w:t> </w:t>
      </w:r>
      <w:r>
        <w:rPr>
          <w:rFonts w:ascii="宋体" w:hAnsi="宋体" w:cs="宋体" w:eastAsia="宋体" w:hint="default"/>
          <w:sz w:val="21"/>
          <w:szCs w:val="21"/>
        </w:rPr>
        <w:t>年度股利，每股派发股利</w:t>
      </w:r>
      <w:r>
        <w:rPr>
          <w:rFonts w:ascii="宋体" w:hAnsi="宋体" w:cs="宋体" w:eastAsia="宋体" w:hint="default"/>
          <w:spacing w:val="-45"/>
          <w:sz w:val="21"/>
          <w:szCs w:val="21"/>
        </w:rPr>
        <w:t> </w:t>
      </w:r>
      <w:r>
        <w:rPr>
          <w:rFonts w:ascii="宋体" w:hAnsi="宋体" w:cs="宋体" w:eastAsia="宋体" w:hint="default"/>
          <w:sz w:val="21"/>
          <w:szCs w:val="21"/>
        </w:rPr>
        <w:t>0.148</w:t>
      </w:r>
      <w:r>
        <w:rPr>
          <w:rFonts w:ascii="宋体" w:hAnsi="宋体" w:cs="宋体" w:eastAsia="宋体" w:hint="default"/>
          <w:spacing w:val="-46"/>
          <w:sz w:val="21"/>
          <w:szCs w:val="21"/>
        </w:rPr>
        <w:t> </w:t>
      </w:r>
      <w:r>
        <w:rPr>
          <w:rFonts w:ascii="宋体" w:hAnsi="宋体" w:cs="宋体" w:eastAsia="宋体" w:hint="default"/>
          <w:sz w:val="21"/>
          <w:szCs w:val="21"/>
        </w:rPr>
        <w:t>元。如</w:t>
      </w:r>
    </w:p>
    <w:p>
      <w:pPr>
        <w:spacing w:before="85"/>
        <w:ind w:left="1098" w:right="373" w:firstLine="0"/>
        <w:jc w:val="left"/>
        <w:rPr>
          <w:rFonts w:ascii="宋体" w:hAnsi="宋体" w:cs="宋体" w:eastAsia="宋体" w:hint="default"/>
          <w:sz w:val="21"/>
          <w:szCs w:val="21"/>
        </w:rPr>
      </w:pPr>
      <w:r>
        <w:rPr>
          <w:rFonts w:ascii="宋体" w:hAnsi="宋体" w:cs="宋体" w:eastAsia="宋体" w:hint="default"/>
          <w:sz w:val="21"/>
          <w:szCs w:val="21"/>
        </w:rPr>
        <w:t>获联通红筹公司周年股东大会批准，本公司预计将收到按持股比例计算的股利约</w:t>
      </w:r>
      <w:r>
        <w:rPr>
          <w:rFonts w:ascii="宋体" w:hAnsi="宋体" w:cs="宋体" w:eastAsia="宋体" w:hint="default"/>
          <w:spacing w:val="-57"/>
          <w:sz w:val="21"/>
          <w:szCs w:val="21"/>
        </w:rPr>
        <w:t> </w:t>
      </w:r>
      <w:r>
        <w:rPr>
          <w:rFonts w:ascii="宋体" w:hAnsi="宋体" w:cs="宋体" w:eastAsia="宋体" w:hint="default"/>
          <w:sz w:val="21"/>
          <w:szCs w:val="21"/>
        </w:rPr>
        <w:t>19.90</w:t>
      </w:r>
      <w:r>
        <w:rPr>
          <w:rFonts w:ascii="宋体" w:hAnsi="宋体" w:cs="宋体" w:eastAsia="宋体" w:hint="default"/>
          <w:spacing w:val="-60"/>
          <w:sz w:val="21"/>
          <w:szCs w:val="21"/>
        </w:rPr>
        <w:t> </w:t>
      </w:r>
      <w:r>
        <w:rPr>
          <w:rFonts w:ascii="宋体" w:hAnsi="宋体" w:cs="宋体" w:eastAsia="宋体" w:hint="default"/>
          <w:spacing w:val="-4"/>
          <w:sz w:val="21"/>
          <w:szCs w:val="21"/>
        </w:rPr>
        <w:t>亿元。依照公</w:t>
      </w:r>
    </w:p>
    <w:p>
      <w:pPr>
        <w:spacing w:before="85"/>
        <w:ind w:left="1098" w:right="373" w:firstLine="0"/>
        <w:jc w:val="left"/>
        <w:rPr>
          <w:rFonts w:ascii="宋体" w:hAnsi="宋体" w:cs="宋体" w:eastAsia="宋体" w:hint="default"/>
          <w:sz w:val="21"/>
          <w:szCs w:val="21"/>
        </w:rPr>
      </w:pPr>
      <w:r>
        <w:rPr>
          <w:rFonts w:ascii="宋体" w:hAnsi="宋体" w:cs="宋体" w:eastAsia="宋体" w:hint="default"/>
          <w:spacing w:val="-7"/>
          <w:sz w:val="21"/>
          <w:szCs w:val="21"/>
        </w:rPr>
        <w:t>司章程，在收到此等股利后，扣除本公司日常开支约</w:t>
      </w:r>
      <w:r>
        <w:rPr>
          <w:rFonts w:ascii="宋体" w:hAnsi="宋体" w:cs="宋体" w:eastAsia="宋体" w:hint="default"/>
          <w:spacing w:val="-43"/>
          <w:sz w:val="21"/>
          <w:szCs w:val="21"/>
        </w:rPr>
        <w:t> </w:t>
      </w:r>
      <w:r>
        <w:rPr>
          <w:rFonts w:ascii="宋体" w:hAnsi="宋体" w:cs="宋体" w:eastAsia="宋体" w:hint="default"/>
          <w:sz w:val="21"/>
          <w:szCs w:val="21"/>
        </w:rPr>
        <w:t>0.1</w:t>
      </w:r>
      <w:r>
        <w:rPr>
          <w:rFonts w:ascii="宋体" w:hAnsi="宋体" w:cs="宋体" w:eastAsia="宋体" w:hint="default"/>
          <w:spacing w:val="-46"/>
          <w:sz w:val="21"/>
          <w:szCs w:val="21"/>
        </w:rPr>
        <w:t> </w:t>
      </w:r>
      <w:r>
        <w:rPr>
          <w:rFonts w:ascii="宋体" w:hAnsi="宋体" w:cs="宋体" w:eastAsia="宋体" w:hint="default"/>
          <w:spacing w:val="-11"/>
          <w:sz w:val="21"/>
          <w:szCs w:val="21"/>
        </w:rPr>
        <w:t>亿元，减去预提</w:t>
      </w:r>
      <w:r>
        <w:rPr>
          <w:rFonts w:ascii="宋体" w:hAnsi="宋体" w:cs="宋体" w:eastAsia="宋体" w:hint="default"/>
          <w:spacing w:val="-43"/>
          <w:sz w:val="21"/>
          <w:szCs w:val="21"/>
        </w:rPr>
        <w:t> </w:t>
      </w:r>
      <w:r>
        <w:rPr>
          <w:rFonts w:ascii="宋体" w:hAnsi="宋体" w:cs="宋体" w:eastAsia="宋体" w:hint="default"/>
          <w:sz w:val="21"/>
          <w:szCs w:val="21"/>
        </w:rPr>
        <w:t>2020</w:t>
      </w:r>
      <w:r>
        <w:rPr>
          <w:rFonts w:ascii="宋体" w:hAnsi="宋体" w:cs="宋体" w:eastAsia="宋体" w:hint="default"/>
          <w:spacing w:val="-43"/>
          <w:sz w:val="21"/>
          <w:szCs w:val="21"/>
        </w:rPr>
        <w:t> </w:t>
      </w:r>
      <w:r>
        <w:rPr>
          <w:rFonts w:ascii="宋体" w:hAnsi="宋体" w:cs="宋体" w:eastAsia="宋体" w:hint="default"/>
          <w:sz w:val="21"/>
          <w:szCs w:val="21"/>
        </w:rPr>
        <w:t>年度法定公积金约</w:t>
      </w:r>
      <w:r>
        <w:rPr>
          <w:rFonts w:ascii="宋体" w:hAnsi="宋体" w:cs="宋体" w:eastAsia="宋体" w:hint="default"/>
          <w:spacing w:val="-46"/>
          <w:sz w:val="21"/>
          <w:szCs w:val="21"/>
        </w:rPr>
        <w:t> </w:t>
      </w:r>
      <w:r>
        <w:rPr>
          <w:rFonts w:ascii="宋体" w:hAnsi="宋体" w:cs="宋体" w:eastAsia="宋体" w:hint="default"/>
          <w:sz w:val="21"/>
          <w:szCs w:val="21"/>
        </w:rPr>
        <w:t>1.98</w:t>
      </w:r>
    </w:p>
    <w:p>
      <w:pPr>
        <w:spacing w:before="85"/>
        <w:ind w:left="1098" w:right="373" w:firstLine="0"/>
        <w:jc w:val="left"/>
        <w:rPr>
          <w:rFonts w:ascii="宋体" w:hAnsi="宋体" w:cs="宋体" w:eastAsia="宋体" w:hint="default"/>
          <w:sz w:val="21"/>
          <w:szCs w:val="21"/>
        </w:rPr>
      </w:pPr>
      <w:r>
        <w:rPr>
          <w:rFonts w:ascii="宋体" w:hAnsi="宋体" w:cs="宋体" w:eastAsia="宋体" w:hint="default"/>
          <w:spacing w:val="-3"/>
          <w:sz w:val="21"/>
          <w:szCs w:val="21"/>
        </w:rPr>
        <w:t>亿元，加上</w:t>
      </w:r>
      <w:r>
        <w:rPr>
          <w:rFonts w:ascii="宋体" w:hAnsi="宋体" w:cs="宋体" w:eastAsia="宋体" w:hint="default"/>
          <w:spacing w:val="-54"/>
          <w:sz w:val="21"/>
          <w:szCs w:val="21"/>
        </w:rPr>
        <w:t> </w:t>
      </w:r>
      <w:r>
        <w:rPr>
          <w:rFonts w:ascii="宋体" w:hAnsi="宋体" w:cs="宋体" w:eastAsia="宋体" w:hint="default"/>
          <w:sz w:val="21"/>
          <w:szCs w:val="21"/>
        </w:rPr>
        <w:t>2019</w:t>
      </w:r>
      <w:r>
        <w:rPr>
          <w:rFonts w:ascii="宋体" w:hAnsi="宋体" w:cs="宋体" w:eastAsia="宋体" w:hint="default"/>
          <w:spacing w:val="-56"/>
          <w:sz w:val="21"/>
          <w:szCs w:val="21"/>
        </w:rPr>
        <w:t> </w:t>
      </w:r>
      <w:r>
        <w:rPr>
          <w:rFonts w:ascii="宋体" w:hAnsi="宋体" w:cs="宋体" w:eastAsia="宋体" w:hint="default"/>
          <w:sz w:val="21"/>
          <w:szCs w:val="21"/>
        </w:rPr>
        <w:t>年末本公司可供股东分配利润</w:t>
      </w:r>
      <w:r>
        <w:rPr>
          <w:rFonts w:ascii="宋体" w:hAnsi="宋体" w:cs="宋体" w:eastAsia="宋体" w:hint="default"/>
          <w:spacing w:val="-54"/>
          <w:sz w:val="21"/>
          <w:szCs w:val="21"/>
        </w:rPr>
        <w:t> </w:t>
      </w:r>
      <w:r>
        <w:rPr>
          <w:rFonts w:ascii="宋体" w:hAnsi="宋体" w:cs="宋体" w:eastAsia="宋体" w:hint="default"/>
          <w:sz w:val="21"/>
          <w:szCs w:val="21"/>
        </w:rPr>
        <w:t>0.94</w:t>
      </w:r>
      <w:r>
        <w:rPr>
          <w:rFonts w:ascii="宋体" w:hAnsi="宋体" w:cs="宋体" w:eastAsia="宋体" w:hint="default"/>
          <w:spacing w:val="-56"/>
          <w:sz w:val="21"/>
          <w:szCs w:val="21"/>
        </w:rPr>
        <w:t> </w:t>
      </w:r>
      <w:r>
        <w:rPr>
          <w:rFonts w:ascii="宋体" w:hAnsi="宋体" w:cs="宋体" w:eastAsia="宋体" w:hint="default"/>
          <w:sz w:val="21"/>
          <w:szCs w:val="21"/>
        </w:rPr>
        <w:t>亿元后，可供股东分配的利润约</w:t>
      </w:r>
      <w:r>
        <w:rPr>
          <w:rFonts w:ascii="宋体" w:hAnsi="宋体" w:cs="宋体" w:eastAsia="宋体" w:hint="default"/>
          <w:spacing w:val="-53"/>
          <w:sz w:val="21"/>
          <w:szCs w:val="21"/>
        </w:rPr>
        <w:t> </w:t>
      </w:r>
      <w:r>
        <w:rPr>
          <w:rFonts w:ascii="宋体" w:hAnsi="宋体" w:cs="宋体" w:eastAsia="宋体" w:hint="default"/>
          <w:sz w:val="21"/>
          <w:szCs w:val="21"/>
        </w:rPr>
        <w:t>18.76</w:t>
      </w:r>
      <w:r>
        <w:rPr>
          <w:rFonts w:ascii="宋体" w:hAnsi="宋体" w:cs="宋体" w:eastAsia="宋体" w:hint="default"/>
          <w:spacing w:val="-54"/>
          <w:sz w:val="21"/>
          <w:szCs w:val="21"/>
        </w:rPr>
        <w:t> </w:t>
      </w:r>
      <w:r>
        <w:rPr>
          <w:rFonts w:ascii="宋体" w:hAnsi="宋体" w:cs="宋体" w:eastAsia="宋体" w:hint="default"/>
          <w:spacing w:val="-4"/>
          <w:sz w:val="21"/>
          <w:szCs w:val="21"/>
        </w:rPr>
        <w:t>亿元。据</w:t>
      </w:r>
    </w:p>
    <w:p>
      <w:pPr>
        <w:spacing w:before="85"/>
        <w:ind w:left="1098" w:right="373" w:firstLine="0"/>
        <w:jc w:val="left"/>
        <w:rPr>
          <w:rFonts w:ascii="宋体" w:hAnsi="宋体" w:cs="宋体" w:eastAsia="宋体" w:hint="default"/>
          <w:sz w:val="21"/>
          <w:szCs w:val="21"/>
        </w:rPr>
      </w:pPr>
      <w:r>
        <w:rPr>
          <w:rFonts w:ascii="宋体" w:hAnsi="宋体" w:cs="宋体" w:eastAsia="宋体" w:hint="default"/>
          <w:sz w:val="21"/>
          <w:szCs w:val="21"/>
        </w:rPr>
        <w:t>此，董事会建议，本公司对现金红利实施公告中确定的股权登记日收市后在册的股东，每 </w:t>
      </w:r>
      <w:r>
        <w:rPr>
          <w:rFonts w:ascii="宋体" w:hAnsi="宋体" w:cs="宋体" w:eastAsia="宋体" w:hint="default"/>
          <w:sz w:val="21"/>
          <w:szCs w:val="21"/>
        </w:rPr>
        <w:t>10</w:t>
      </w:r>
      <w:r>
        <w:rPr>
          <w:rFonts w:ascii="宋体" w:hAnsi="宋体" w:cs="宋体" w:eastAsia="宋体" w:hint="default"/>
          <w:spacing w:val="-28"/>
          <w:sz w:val="21"/>
          <w:szCs w:val="21"/>
        </w:rPr>
        <w:t> </w:t>
      </w:r>
      <w:r>
        <w:rPr>
          <w:rFonts w:ascii="宋体" w:hAnsi="宋体" w:cs="宋体" w:eastAsia="宋体" w:hint="default"/>
          <w:spacing w:val="-3"/>
          <w:sz w:val="21"/>
          <w:szCs w:val="21"/>
        </w:rPr>
        <w:t>股拟派</w:t>
      </w:r>
      <w:r>
        <w:rPr>
          <w:rFonts w:ascii="宋体" w:hAnsi="宋体" w:cs="宋体" w:eastAsia="宋体" w:hint="default"/>
          <w:sz w:val="21"/>
          <w:szCs w:val="21"/>
        </w:rPr>
      </w:r>
    </w:p>
    <w:p>
      <w:pPr>
        <w:spacing w:line="314" w:lineRule="auto" w:before="85"/>
        <w:ind w:left="1098" w:right="373" w:firstLine="0"/>
        <w:jc w:val="left"/>
        <w:rPr>
          <w:rFonts w:ascii="宋体" w:hAnsi="宋体" w:cs="宋体" w:eastAsia="宋体" w:hint="default"/>
          <w:sz w:val="21"/>
          <w:szCs w:val="21"/>
        </w:rPr>
      </w:pPr>
      <w:r>
        <w:rPr>
          <w:rFonts w:ascii="宋体" w:hAnsi="宋体" w:cs="宋体" w:eastAsia="宋体" w:hint="default"/>
          <w:sz w:val="21"/>
          <w:szCs w:val="21"/>
        </w:rPr>
        <w:t>发现金股利</w:t>
      </w:r>
      <w:r>
        <w:rPr>
          <w:rFonts w:ascii="宋体" w:hAnsi="宋体" w:cs="宋体" w:eastAsia="宋体" w:hint="default"/>
          <w:spacing w:val="-49"/>
          <w:sz w:val="21"/>
          <w:szCs w:val="21"/>
        </w:rPr>
        <w:t> </w:t>
      </w:r>
      <w:r>
        <w:rPr>
          <w:rFonts w:ascii="宋体" w:hAnsi="宋体" w:cs="宋体" w:eastAsia="宋体" w:hint="default"/>
          <w:sz w:val="21"/>
          <w:szCs w:val="21"/>
        </w:rPr>
        <w:t>0.604</w:t>
      </w:r>
      <w:r>
        <w:rPr>
          <w:rFonts w:ascii="宋体" w:hAnsi="宋体" w:cs="宋体" w:eastAsia="宋体" w:hint="default"/>
          <w:spacing w:val="-49"/>
          <w:sz w:val="21"/>
          <w:szCs w:val="21"/>
        </w:rPr>
        <w:t> </w:t>
      </w:r>
      <w:r>
        <w:rPr>
          <w:rFonts w:ascii="宋体" w:hAnsi="宋体" w:cs="宋体" w:eastAsia="宋体" w:hint="default"/>
          <w:spacing w:val="-3"/>
          <w:sz w:val="21"/>
          <w:szCs w:val="21"/>
        </w:rPr>
        <w:t>元</w:t>
      </w:r>
      <w:r>
        <w:rPr>
          <w:rFonts w:ascii="宋体" w:hAnsi="宋体" w:cs="宋体" w:eastAsia="宋体" w:hint="default"/>
          <w:spacing w:val="-3"/>
          <w:sz w:val="21"/>
          <w:szCs w:val="21"/>
        </w:rPr>
        <w:t>(</w:t>
      </w:r>
      <w:r>
        <w:rPr>
          <w:rFonts w:ascii="宋体" w:hAnsi="宋体" w:cs="宋体" w:eastAsia="宋体" w:hint="default"/>
          <w:spacing w:val="-3"/>
          <w:sz w:val="21"/>
          <w:szCs w:val="21"/>
        </w:rPr>
        <w:t>含税</w:t>
      </w:r>
      <w:r>
        <w:rPr>
          <w:rFonts w:ascii="宋体" w:hAnsi="宋体" w:cs="宋体" w:eastAsia="宋体" w:hint="default"/>
          <w:spacing w:val="-3"/>
          <w:sz w:val="21"/>
          <w:szCs w:val="21"/>
        </w:rPr>
        <w:t>)</w:t>
      </w:r>
      <w:r>
        <w:rPr>
          <w:rFonts w:ascii="宋体" w:hAnsi="宋体" w:cs="宋体" w:eastAsia="宋体" w:hint="default"/>
          <w:spacing w:val="-3"/>
          <w:sz w:val="21"/>
          <w:szCs w:val="21"/>
        </w:rPr>
        <w:t>，共计拟向本公司股东派发约</w:t>
      </w:r>
      <w:r>
        <w:rPr>
          <w:rFonts w:ascii="宋体" w:hAnsi="宋体" w:cs="宋体" w:eastAsia="宋体" w:hint="default"/>
          <w:spacing w:val="-49"/>
          <w:sz w:val="21"/>
          <w:szCs w:val="21"/>
        </w:rPr>
        <w:t> </w:t>
      </w:r>
      <w:r>
        <w:rPr>
          <w:rFonts w:ascii="宋体" w:hAnsi="宋体" w:cs="宋体" w:eastAsia="宋体" w:hint="default"/>
          <w:sz w:val="21"/>
          <w:szCs w:val="21"/>
        </w:rPr>
        <w:t>18.74</w:t>
      </w:r>
      <w:r>
        <w:rPr>
          <w:rFonts w:ascii="宋体" w:hAnsi="宋体" w:cs="宋体" w:eastAsia="宋体" w:hint="default"/>
          <w:spacing w:val="-51"/>
          <w:sz w:val="21"/>
          <w:szCs w:val="21"/>
        </w:rPr>
        <w:t> </w:t>
      </w:r>
      <w:r>
        <w:rPr>
          <w:rFonts w:ascii="宋体" w:hAnsi="宋体" w:cs="宋体" w:eastAsia="宋体" w:hint="default"/>
          <w:sz w:val="21"/>
          <w:szCs w:val="21"/>
        </w:rPr>
        <w:t>亿元</w:t>
      </w:r>
      <w:r>
        <w:rPr>
          <w:rFonts w:ascii="宋体" w:hAnsi="宋体" w:cs="宋体" w:eastAsia="宋体" w:hint="default"/>
          <w:sz w:val="21"/>
          <w:szCs w:val="21"/>
        </w:rPr>
        <w:t>(</w:t>
      </w:r>
      <w:r>
        <w:rPr>
          <w:rFonts w:ascii="宋体" w:hAnsi="宋体" w:cs="宋体" w:eastAsia="宋体" w:hint="default"/>
          <w:sz w:val="21"/>
          <w:szCs w:val="21"/>
        </w:rPr>
        <w:t>含税</w:t>
      </w:r>
      <w:r>
        <w:rPr>
          <w:rFonts w:ascii="宋体" w:hAnsi="宋体" w:cs="宋体" w:eastAsia="宋体" w:hint="default"/>
          <w:sz w:val="21"/>
          <w:szCs w:val="21"/>
        </w:rPr>
        <w:t>)</w:t>
      </w:r>
      <w:r>
        <w:rPr>
          <w:rFonts w:ascii="宋体" w:hAnsi="宋体" w:cs="宋体" w:eastAsia="宋体" w:hint="default"/>
          <w:sz w:val="21"/>
          <w:szCs w:val="21"/>
        </w:rPr>
        <w:t>的股利，剩余可供股东分</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配的利润将用于以后年度的利润分配。</w:t>
      </w:r>
    </w:p>
    <w:p>
      <w:pPr>
        <w:spacing w:before="176"/>
        <w:ind w:left="1518" w:right="373" w:firstLine="0"/>
        <w:jc w:val="left"/>
        <w:rPr>
          <w:rFonts w:ascii="宋体" w:hAnsi="宋体" w:cs="宋体" w:eastAsia="宋体" w:hint="default"/>
          <w:sz w:val="21"/>
          <w:szCs w:val="21"/>
        </w:rPr>
      </w:pPr>
      <w:r>
        <w:rPr>
          <w:rFonts w:ascii="宋体" w:hAnsi="宋体" w:cs="宋体" w:eastAsia="宋体" w:hint="default"/>
          <w:sz w:val="21"/>
          <w:szCs w:val="21"/>
        </w:rPr>
        <w:t>此方案尚需提交本公司股东大会审议。</w:t>
      </w:r>
    </w:p>
    <w:p>
      <w:pPr>
        <w:spacing w:line="240" w:lineRule="auto" w:before="1"/>
        <w:rPr>
          <w:rFonts w:ascii="宋体" w:hAnsi="宋体" w:cs="宋体" w:eastAsia="宋体" w:hint="default"/>
          <w:sz w:val="21"/>
          <w:szCs w:val="21"/>
        </w:rPr>
      </w:pPr>
    </w:p>
    <w:p>
      <w:pPr>
        <w:spacing w:before="0"/>
        <w:ind w:left="1098" w:right="373"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二</w:t>
      </w:r>
      <w:r>
        <w:rPr>
          <w:rFonts w:ascii="Calibri" w:hAnsi="Calibri" w:cs="Calibri" w:eastAsia="Calibri" w:hint="default"/>
          <w:b/>
          <w:bCs/>
          <w:sz w:val="21"/>
          <w:szCs w:val="21"/>
        </w:rPr>
        <w:t>) </w:t>
      </w:r>
      <w:r>
        <w:rPr>
          <w:rFonts w:ascii="Calibri" w:hAnsi="Calibri" w:cs="Calibri" w:eastAsia="Calibri" w:hint="default"/>
          <w:b/>
          <w:bCs/>
          <w:spacing w:val="11"/>
          <w:sz w:val="21"/>
          <w:szCs w:val="21"/>
        </w:rPr>
        <w:t> </w:t>
      </w:r>
      <w:r>
        <w:rPr>
          <w:rFonts w:ascii="Microsoft JhengHei" w:hAnsi="Microsoft JhengHei" w:cs="Microsoft JhengHei" w:eastAsia="Microsoft JhengHei" w:hint="default"/>
          <w:b/>
          <w:bCs/>
          <w:sz w:val="21"/>
          <w:szCs w:val="21"/>
        </w:rPr>
        <w:t>公司近三年（含报告期）的普通股股利分配方案或预案、资本公积金转增股本方案或预案</w:t>
      </w:r>
      <w:r>
        <w:rPr>
          <w:rFonts w:ascii="Microsoft JhengHei" w:hAnsi="Microsoft JhengHei" w:cs="Microsoft JhengHei" w:eastAsia="Microsoft JhengHei" w:hint="default"/>
          <w:sz w:val="21"/>
          <w:szCs w:val="21"/>
        </w:rPr>
      </w:r>
    </w:p>
    <w:p>
      <w:pPr>
        <w:tabs>
          <w:tab w:pos="1051" w:val="left" w:leader="none"/>
        </w:tabs>
        <w:spacing w:before="70"/>
        <w:ind w:left="0" w:right="1127" w:firstLine="0"/>
        <w:jc w:val="right"/>
        <w:rPr>
          <w:rFonts w:ascii="宋体" w:hAnsi="宋体" w:cs="宋体" w:eastAsia="宋体" w:hint="default"/>
          <w:sz w:val="21"/>
          <w:szCs w:val="21"/>
        </w:rPr>
      </w:pPr>
      <w:r>
        <w:rPr>
          <w:rFonts w:ascii="宋体" w:hAnsi="宋体" w:cs="宋体" w:eastAsia="宋体" w:hint="default"/>
          <w:spacing w:val="-1"/>
          <w:sz w:val="21"/>
          <w:szCs w:val="21"/>
        </w:rPr>
        <w:t>单位：元</w:t>
        <w:tab/>
      </w:r>
      <w:r>
        <w:rPr>
          <w:rFonts w:ascii="宋体" w:hAnsi="宋体" w:cs="宋体" w:eastAsia="宋体" w:hint="default"/>
          <w:spacing w:val="-2"/>
          <w:sz w:val="21"/>
          <w:szCs w:val="21"/>
        </w:rPr>
        <w:t>币种：人民币</w:t>
      </w:r>
    </w:p>
    <w:p>
      <w:pPr>
        <w:spacing w:line="240" w:lineRule="auto" w:before="12"/>
        <w:rPr>
          <w:rFonts w:ascii="宋体" w:hAnsi="宋体" w:cs="宋体" w:eastAsia="宋体" w:hint="default"/>
          <w:sz w:val="3"/>
          <w:szCs w:val="3"/>
        </w:rPr>
      </w:pPr>
    </w:p>
    <w:tbl>
      <w:tblPr>
        <w:tblW w:w="0" w:type="auto"/>
        <w:jc w:val="left"/>
        <w:tblInd w:w="986" w:type="dxa"/>
        <w:tblLayout w:type="fixed"/>
        <w:tblCellMar>
          <w:top w:w="0" w:type="dxa"/>
          <w:left w:w="0" w:type="dxa"/>
          <w:bottom w:w="0" w:type="dxa"/>
          <w:right w:w="0" w:type="dxa"/>
        </w:tblCellMar>
        <w:tblLook w:val="01E0"/>
      </w:tblPr>
      <w:tblGrid>
        <w:gridCol w:w="998"/>
        <w:gridCol w:w="1198"/>
        <w:gridCol w:w="1191"/>
        <w:gridCol w:w="1200"/>
        <w:gridCol w:w="1582"/>
        <w:gridCol w:w="1738"/>
        <w:gridCol w:w="1702"/>
      </w:tblGrid>
      <w:tr>
        <w:trPr>
          <w:trHeight w:val="1259" w:hRule="exact"/>
        </w:trPr>
        <w:tc>
          <w:tcPr>
            <w:tcW w:w="9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
              <w:ind w:right="0"/>
              <w:jc w:val="left"/>
              <w:rPr>
                <w:rFonts w:ascii="宋体" w:hAnsi="宋体" w:cs="宋体" w:eastAsia="宋体" w:hint="default"/>
                <w:sz w:val="22"/>
                <w:szCs w:val="22"/>
              </w:rPr>
            </w:pPr>
          </w:p>
          <w:p>
            <w:pPr>
              <w:pStyle w:val="TableParagraph"/>
              <w:spacing w:line="273" w:lineRule="auto"/>
              <w:ind w:left="283" w:right="281"/>
              <w:jc w:val="left"/>
              <w:rPr>
                <w:rFonts w:ascii="宋体" w:hAnsi="宋体" w:cs="宋体" w:eastAsia="宋体" w:hint="default"/>
                <w:sz w:val="21"/>
                <w:szCs w:val="21"/>
              </w:rPr>
            </w:pPr>
            <w:r>
              <w:rPr>
                <w:rFonts w:ascii="宋体" w:hAnsi="宋体" w:cs="宋体" w:eastAsia="宋体" w:hint="default"/>
                <w:sz w:val="21"/>
                <w:szCs w:val="21"/>
              </w:rPr>
              <w:t>分红</w:t>
            </w:r>
            <w:r>
              <w:rPr>
                <w:rFonts w:ascii="宋体" w:hAnsi="宋体" w:cs="宋体" w:eastAsia="宋体" w:hint="default"/>
                <w:spacing w:val="-103"/>
                <w:sz w:val="21"/>
                <w:szCs w:val="21"/>
              </w:rPr>
              <w:t> </w:t>
            </w:r>
            <w:r>
              <w:rPr>
                <w:rFonts w:ascii="宋体" w:hAnsi="宋体" w:cs="宋体" w:eastAsia="宋体" w:hint="default"/>
                <w:sz w:val="21"/>
                <w:szCs w:val="21"/>
              </w:rPr>
              <w:t>年度</w:t>
            </w:r>
          </w:p>
        </w:tc>
        <w:tc>
          <w:tcPr>
            <w:tcW w:w="11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144"/>
              <w:ind w:left="122" w:right="115"/>
              <w:jc w:val="center"/>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1"/>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股送</w:t>
            </w:r>
            <w:r>
              <w:rPr>
                <w:rFonts w:ascii="宋体" w:hAnsi="宋体" w:cs="宋体" w:eastAsia="宋体" w:hint="default"/>
                <w:w w:val="100"/>
                <w:sz w:val="21"/>
                <w:szCs w:val="21"/>
              </w:rPr>
              <w:t> </w:t>
            </w:r>
            <w:r>
              <w:rPr>
                <w:rFonts w:ascii="宋体" w:hAnsi="宋体" w:cs="宋体" w:eastAsia="宋体" w:hint="default"/>
                <w:sz w:val="21"/>
                <w:szCs w:val="21"/>
              </w:rPr>
              <w:t>红股数</w:t>
            </w:r>
          </w:p>
          <w:p>
            <w:pPr>
              <w:pStyle w:val="TableParagraph"/>
              <w:spacing w:line="240" w:lineRule="auto" w:before="7"/>
              <w:ind w:left="2" w:right="0"/>
              <w:jc w:val="center"/>
              <w:rPr>
                <w:rFonts w:ascii="宋体" w:hAnsi="宋体" w:cs="宋体" w:eastAsia="宋体" w:hint="default"/>
                <w:sz w:val="21"/>
                <w:szCs w:val="21"/>
              </w:rPr>
            </w:pPr>
            <w:r>
              <w:rPr>
                <w:rFonts w:ascii="宋体" w:hAnsi="宋体" w:cs="宋体" w:eastAsia="宋体" w:hint="default"/>
                <w:sz w:val="21"/>
                <w:szCs w:val="21"/>
              </w:rPr>
              <w:t>（股）</w:t>
            </w:r>
          </w:p>
        </w:tc>
        <w:tc>
          <w:tcPr>
            <w:tcW w:w="1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144"/>
              <w:ind w:left="170" w:right="113" w:hanging="53"/>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0"/>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股派</w:t>
            </w:r>
            <w:r>
              <w:rPr>
                <w:rFonts w:ascii="宋体" w:hAnsi="宋体" w:cs="宋体" w:eastAsia="宋体" w:hint="default"/>
                <w:w w:val="100"/>
                <w:sz w:val="21"/>
                <w:szCs w:val="21"/>
              </w:rPr>
              <w:t> </w:t>
            </w:r>
            <w:r>
              <w:rPr>
                <w:rFonts w:ascii="宋体" w:hAnsi="宋体" w:cs="宋体" w:eastAsia="宋体" w:hint="default"/>
                <w:sz w:val="21"/>
                <w:szCs w:val="21"/>
              </w:rPr>
              <w:t>息数</w:t>
            </w:r>
            <w:r>
              <w:rPr>
                <w:rFonts w:ascii="宋体" w:hAnsi="宋体" w:cs="宋体" w:eastAsia="宋体" w:hint="default"/>
                <w:sz w:val="21"/>
                <w:szCs w:val="21"/>
              </w:rPr>
              <w:t>(</w:t>
            </w:r>
            <w:r>
              <w:rPr>
                <w:rFonts w:ascii="宋体" w:hAnsi="宋体" w:cs="宋体" w:eastAsia="宋体" w:hint="default"/>
                <w:sz w:val="21"/>
                <w:szCs w:val="21"/>
              </w:rPr>
              <w:t>元</w:t>
            </w:r>
            <w:r>
              <w:rPr>
                <w:rFonts w:ascii="宋体" w:hAnsi="宋体" w:cs="宋体" w:eastAsia="宋体" w:hint="default"/>
                <w:sz w:val="21"/>
                <w:szCs w:val="21"/>
              </w:rPr>
              <w:t>)</w:t>
            </w:r>
          </w:p>
          <w:p>
            <w:pPr>
              <w:pStyle w:val="TableParagraph"/>
              <w:spacing w:line="240" w:lineRule="auto" w:before="7"/>
              <w:ind w:left="170" w:right="0"/>
              <w:jc w:val="left"/>
              <w:rPr>
                <w:rFonts w:ascii="宋体" w:hAnsi="宋体" w:cs="宋体" w:eastAsia="宋体" w:hint="default"/>
                <w:sz w:val="21"/>
                <w:szCs w:val="21"/>
              </w:rPr>
            </w:pPr>
            <w:r>
              <w:rPr>
                <w:rFonts w:ascii="宋体" w:hAnsi="宋体" w:cs="宋体" w:eastAsia="宋体" w:hint="default"/>
                <w:sz w:val="21"/>
                <w:szCs w:val="21"/>
              </w:rPr>
              <w:t>（含税）</w:t>
            </w:r>
          </w:p>
        </w:tc>
        <w:tc>
          <w:tcPr>
            <w:tcW w:w="12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
              <w:ind w:right="0"/>
              <w:jc w:val="left"/>
              <w:rPr>
                <w:rFonts w:ascii="宋体" w:hAnsi="宋体" w:cs="宋体" w:eastAsia="宋体" w:hint="default"/>
                <w:sz w:val="22"/>
                <w:szCs w:val="22"/>
              </w:rPr>
            </w:pPr>
          </w:p>
          <w:p>
            <w:pPr>
              <w:pStyle w:val="TableParagraph"/>
              <w:spacing w:line="273" w:lineRule="auto"/>
              <w:ind w:left="103" w:right="31" w:firstLine="19"/>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2"/>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股转</w:t>
            </w:r>
            <w:r>
              <w:rPr>
                <w:rFonts w:ascii="宋体" w:hAnsi="宋体" w:cs="宋体" w:eastAsia="宋体" w:hint="default"/>
                <w:w w:val="100"/>
                <w:sz w:val="21"/>
                <w:szCs w:val="21"/>
              </w:rPr>
              <w:t> </w:t>
            </w:r>
            <w:r>
              <w:rPr>
                <w:rFonts w:ascii="宋体" w:hAnsi="宋体" w:cs="宋体" w:eastAsia="宋体" w:hint="default"/>
                <w:sz w:val="21"/>
                <w:szCs w:val="21"/>
              </w:rPr>
              <w:t>增数（股）</w:t>
            </w:r>
          </w:p>
        </w:tc>
        <w:tc>
          <w:tcPr>
            <w:tcW w:w="15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
              <w:ind w:right="0"/>
              <w:jc w:val="left"/>
              <w:rPr>
                <w:rFonts w:ascii="宋体" w:hAnsi="宋体" w:cs="宋体" w:eastAsia="宋体" w:hint="default"/>
                <w:sz w:val="22"/>
                <w:szCs w:val="22"/>
              </w:rPr>
            </w:pPr>
          </w:p>
          <w:p>
            <w:pPr>
              <w:pStyle w:val="TableParagraph"/>
              <w:spacing w:line="273" w:lineRule="auto"/>
              <w:ind w:left="259" w:right="151" w:hanging="104"/>
              <w:jc w:val="left"/>
              <w:rPr>
                <w:rFonts w:ascii="宋体" w:hAnsi="宋体" w:cs="宋体" w:eastAsia="宋体" w:hint="default"/>
                <w:sz w:val="21"/>
                <w:szCs w:val="21"/>
              </w:rPr>
            </w:pPr>
            <w:r>
              <w:rPr>
                <w:rFonts w:ascii="宋体" w:hAnsi="宋体" w:cs="宋体" w:eastAsia="宋体" w:hint="default"/>
                <w:sz w:val="21"/>
                <w:szCs w:val="21"/>
              </w:rPr>
              <w:t>现金分红的数</w:t>
            </w:r>
            <w:r>
              <w:rPr>
                <w:rFonts w:ascii="宋体" w:hAnsi="宋体" w:cs="宋体" w:eastAsia="宋体" w:hint="default"/>
                <w:w w:val="100"/>
                <w:sz w:val="21"/>
                <w:szCs w:val="21"/>
              </w:rPr>
              <w:t> </w:t>
            </w:r>
            <w:r>
              <w:rPr>
                <w:rFonts w:ascii="宋体" w:hAnsi="宋体" w:cs="宋体" w:eastAsia="宋体" w:hint="default"/>
                <w:sz w:val="21"/>
                <w:szCs w:val="21"/>
              </w:rPr>
              <w:t>额（含税）</w:t>
            </w:r>
          </w:p>
        </w:tc>
        <w:tc>
          <w:tcPr>
            <w:tcW w:w="17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127" w:right="125"/>
              <w:jc w:val="center"/>
              <w:rPr>
                <w:rFonts w:ascii="宋体" w:hAnsi="宋体" w:cs="宋体" w:eastAsia="宋体" w:hint="default"/>
                <w:sz w:val="21"/>
                <w:szCs w:val="21"/>
              </w:rPr>
            </w:pPr>
            <w:r>
              <w:rPr>
                <w:rFonts w:ascii="宋体" w:hAnsi="宋体" w:cs="宋体" w:eastAsia="宋体" w:hint="default"/>
                <w:spacing w:val="-1"/>
                <w:sz w:val="21"/>
                <w:szCs w:val="21"/>
              </w:rPr>
              <w:t>分红年度合并报</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
                <w:sz w:val="21"/>
                <w:szCs w:val="21"/>
              </w:rPr>
              <w:t>表中归属于上市</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
                <w:sz w:val="21"/>
                <w:szCs w:val="21"/>
              </w:rPr>
              <w:t>公司普通股股东</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的净利润</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110" w:right="105"/>
              <w:jc w:val="center"/>
              <w:rPr>
                <w:rFonts w:ascii="宋体" w:hAnsi="宋体" w:cs="宋体" w:eastAsia="宋体" w:hint="default"/>
                <w:sz w:val="21"/>
                <w:szCs w:val="21"/>
              </w:rPr>
            </w:pPr>
            <w:r>
              <w:rPr>
                <w:rFonts w:ascii="宋体" w:hAnsi="宋体" w:cs="宋体" w:eastAsia="宋体" w:hint="default"/>
                <w:spacing w:val="-1"/>
                <w:sz w:val="21"/>
                <w:szCs w:val="21"/>
              </w:rPr>
              <w:t>占合并报表中归</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
                <w:sz w:val="21"/>
                <w:szCs w:val="21"/>
              </w:rPr>
              <w:t>属于上市公司普</w:t>
            </w:r>
            <w:r>
              <w:rPr>
                <w:rFonts w:ascii="宋体" w:hAnsi="宋体" w:cs="宋体" w:eastAsia="宋体" w:hint="default"/>
                <w:w w:val="100"/>
                <w:sz w:val="21"/>
                <w:szCs w:val="21"/>
              </w:rPr>
              <w:t> </w:t>
            </w:r>
            <w:r>
              <w:rPr>
                <w:rFonts w:ascii="宋体" w:hAnsi="宋体" w:cs="宋体" w:eastAsia="宋体" w:hint="default"/>
                <w:spacing w:val="-1"/>
                <w:sz w:val="21"/>
                <w:szCs w:val="21"/>
              </w:rPr>
              <w:t>通股股东的净利</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润的比率</w:t>
            </w:r>
            <w:r>
              <w:rPr>
                <w:rFonts w:ascii="宋体" w:hAnsi="宋体" w:cs="宋体" w:eastAsia="宋体" w:hint="default"/>
                <w:sz w:val="21"/>
                <w:szCs w:val="21"/>
              </w:rPr>
              <w:t>(%)</w:t>
            </w:r>
          </w:p>
        </w:tc>
      </w:tr>
      <w:tr>
        <w:trPr>
          <w:trHeight w:val="322" w:hRule="exact"/>
        </w:trPr>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w w:val="100"/>
                <w:sz w:val="21"/>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0.604</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w w:val="100"/>
                <w:sz w:val="21"/>
              </w:rPr>
              <w:t>0</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1,873,940,664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4,982,083,711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37.61</w:t>
            </w:r>
          </w:p>
        </w:tc>
      </w:tr>
      <w:tr>
        <w:trPr>
          <w:trHeight w:val="322" w:hRule="exact"/>
        </w:trPr>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w w:val="100"/>
                <w:sz w:val="21"/>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0.533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w w:val="100"/>
                <w:sz w:val="21"/>
              </w:rPr>
              <w:t>0</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1,654,483,578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4,080,771,727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40.54</w:t>
            </w:r>
          </w:p>
        </w:tc>
      </w:tr>
      <w:tr>
        <w:trPr>
          <w:trHeight w:val="322" w:hRule="exact"/>
        </w:trPr>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w w:val="100"/>
                <w:sz w:val="21"/>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0.198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w w:val="100"/>
                <w:sz w:val="21"/>
              </w:rPr>
              <w:t>0</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614,350,671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425,844,654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144.27</w:t>
            </w:r>
          </w:p>
        </w:tc>
      </w:tr>
    </w:tbl>
    <w:p>
      <w:pPr>
        <w:spacing w:line="240" w:lineRule="auto" w:before="10"/>
        <w:rPr>
          <w:rFonts w:ascii="宋体" w:hAnsi="宋体" w:cs="宋体" w:eastAsia="宋体" w:hint="default"/>
          <w:sz w:val="24"/>
          <w:szCs w:val="24"/>
        </w:rPr>
      </w:pPr>
    </w:p>
    <w:p>
      <w:pPr>
        <w:spacing w:line="338" w:lineRule="exact" w:before="0"/>
        <w:ind w:left="1098" w:right="373"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三</w:t>
      </w:r>
      <w:r>
        <w:rPr>
          <w:rFonts w:ascii="Calibri" w:hAnsi="Calibri" w:cs="Calibri" w:eastAsia="Calibri" w:hint="default"/>
          <w:b/>
          <w:bCs/>
          <w:sz w:val="21"/>
          <w:szCs w:val="21"/>
        </w:rPr>
        <w:t>)</w:t>
      </w:r>
      <w:r>
        <w:rPr>
          <w:rFonts w:ascii="Calibri" w:hAnsi="Calibri" w:cs="Calibri" w:eastAsia="Calibri" w:hint="default"/>
          <w:b/>
          <w:bCs/>
          <w:spacing w:val="46"/>
          <w:sz w:val="21"/>
          <w:szCs w:val="21"/>
        </w:rPr>
        <w:t> </w:t>
      </w:r>
      <w:r>
        <w:rPr>
          <w:rFonts w:ascii="Microsoft JhengHei" w:hAnsi="Microsoft JhengHei" w:cs="Microsoft JhengHei" w:eastAsia="Microsoft JhengHei" w:hint="default"/>
          <w:b/>
          <w:bCs/>
          <w:sz w:val="21"/>
          <w:szCs w:val="21"/>
        </w:rPr>
        <w:t>以现金方式回购股份计入现金分红的情况</w:t>
      </w:r>
      <w:r>
        <w:rPr>
          <w:rFonts w:ascii="Microsoft JhengHei" w:hAnsi="Microsoft JhengHei" w:cs="Microsoft JhengHei" w:eastAsia="Microsoft JhengHei" w:hint="default"/>
          <w:sz w:val="21"/>
          <w:szCs w:val="21"/>
        </w:rPr>
      </w:r>
    </w:p>
    <w:p>
      <w:pPr>
        <w:spacing w:before="70"/>
        <w:ind w:left="1098" w:right="373"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0"/>
        <w:rPr>
          <w:rFonts w:ascii="宋体" w:hAnsi="宋体" w:cs="宋体" w:eastAsia="宋体" w:hint="default"/>
          <w:sz w:val="20"/>
          <w:szCs w:val="20"/>
        </w:rPr>
      </w:pPr>
    </w:p>
    <w:p>
      <w:pPr>
        <w:spacing w:line="312" w:lineRule="exact" w:before="143"/>
        <w:ind w:left="1518" w:right="373" w:hanging="42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四</w:t>
      </w:r>
      <w:r>
        <w:rPr>
          <w:rFonts w:ascii="Calibri" w:hAnsi="Calibri" w:cs="Calibri" w:eastAsia="Calibri" w:hint="default"/>
          <w:b/>
          <w:bCs/>
          <w:sz w:val="21"/>
          <w:szCs w:val="21"/>
        </w:rPr>
        <w:t>) </w:t>
      </w:r>
      <w:r>
        <w:rPr>
          <w:rFonts w:ascii="Microsoft JhengHei" w:hAnsi="Microsoft JhengHei" w:cs="Microsoft JhengHei" w:eastAsia="Microsoft JhengHei" w:hint="default"/>
          <w:b/>
          <w:bCs/>
          <w:spacing w:val="2"/>
          <w:sz w:val="21"/>
          <w:szCs w:val="21"/>
        </w:rPr>
        <w:t>报告期内盈利且母公司可供普通股股东分配利润为正，但未提出普通股现金利润分配方案预案</w:t>
      </w:r>
      <w:r>
        <w:rPr>
          <w:rFonts w:ascii="Microsoft JhengHei" w:hAnsi="Microsoft JhengHei" w:cs="Microsoft JhengHei" w:eastAsia="Microsoft JhengHei" w:hint="default"/>
          <w:b/>
          <w:bCs/>
          <w:spacing w:val="-35"/>
          <w:sz w:val="21"/>
          <w:szCs w:val="21"/>
        </w:rPr>
        <w:t> </w:t>
      </w:r>
      <w:r>
        <w:rPr>
          <w:rFonts w:ascii="Microsoft JhengHei" w:hAnsi="Microsoft JhengHei" w:cs="Microsoft JhengHei" w:eastAsia="Microsoft JhengHei" w:hint="default"/>
          <w:b/>
          <w:bCs/>
          <w:spacing w:val="-35"/>
          <w:sz w:val="21"/>
          <w:szCs w:val="21"/>
        </w:rPr>
      </w:r>
      <w:r>
        <w:rPr>
          <w:rFonts w:ascii="Microsoft JhengHei" w:hAnsi="Microsoft JhengHei" w:cs="Microsoft JhengHei" w:eastAsia="Microsoft JhengHei" w:hint="default"/>
          <w:b/>
          <w:bCs/>
          <w:sz w:val="21"/>
          <w:szCs w:val="21"/>
        </w:rPr>
        <w:t>的，公司应当详细披露原因以及未分配利润的用途和使用计划</w:t>
      </w:r>
      <w:r>
        <w:rPr>
          <w:rFonts w:ascii="Microsoft JhengHei" w:hAnsi="Microsoft JhengHei" w:cs="Microsoft JhengHei" w:eastAsia="Microsoft JhengHei" w:hint="default"/>
          <w:sz w:val="21"/>
          <w:szCs w:val="21"/>
        </w:rPr>
      </w:r>
    </w:p>
    <w:p>
      <w:pPr>
        <w:spacing w:before="64"/>
        <w:ind w:left="1098" w:right="373"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2"/>
        <w:rPr>
          <w:rFonts w:ascii="宋体" w:hAnsi="宋体" w:cs="宋体" w:eastAsia="宋体" w:hint="default"/>
          <w:sz w:val="26"/>
          <w:szCs w:val="26"/>
        </w:rPr>
      </w:pPr>
    </w:p>
    <w:p>
      <w:pPr>
        <w:spacing w:before="0"/>
        <w:ind w:left="1098" w:right="37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二、承诺事项履行情况</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4"/>
          <w:szCs w:val="14"/>
        </w:rPr>
      </w:pPr>
    </w:p>
    <w:p>
      <w:pPr>
        <w:spacing w:line="312" w:lineRule="exact" w:before="0"/>
        <w:ind w:left="1665" w:right="373" w:hanging="567"/>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一</w:t>
      </w:r>
      <w:r>
        <w:rPr>
          <w:rFonts w:ascii="Calibri" w:hAnsi="Calibri" w:cs="Calibri" w:eastAsia="Calibri" w:hint="default"/>
          <w:b/>
          <w:bCs/>
          <w:sz w:val="21"/>
          <w:szCs w:val="21"/>
        </w:rPr>
        <w:t>)</w:t>
      </w:r>
      <w:r>
        <w:rPr>
          <w:rFonts w:ascii="Calibri" w:hAnsi="Calibri" w:cs="Calibri" w:eastAsia="Calibri" w:hint="default"/>
          <w:b/>
          <w:bCs/>
          <w:spacing w:val="31"/>
          <w:sz w:val="21"/>
          <w:szCs w:val="21"/>
        </w:rPr>
        <w:t> </w:t>
      </w:r>
      <w:r>
        <w:rPr>
          <w:rFonts w:ascii="Microsoft JhengHei" w:hAnsi="Microsoft JhengHei" w:cs="Microsoft JhengHei" w:eastAsia="Microsoft JhengHei" w:hint="default"/>
          <w:b/>
          <w:bCs/>
          <w:spacing w:val="-2"/>
          <w:sz w:val="21"/>
          <w:szCs w:val="21"/>
        </w:rPr>
        <w:t>公司实际控制人、股东、关联方、收购人以及公司等承诺相关方在报告期内或持续到报告期内的</w:t>
      </w:r>
      <w:r>
        <w:rPr>
          <w:rFonts w:ascii="Microsoft JhengHei" w:hAnsi="Microsoft JhengHei" w:cs="Microsoft JhengHei" w:eastAsia="Microsoft JhengHei" w:hint="default"/>
          <w:b/>
          <w:bCs/>
          <w:spacing w:val="-44"/>
          <w:sz w:val="21"/>
          <w:szCs w:val="21"/>
        </w:rPr>
        <w:t> </w:t>
      </w:r>
      <w:r>
        <w:rPr>
          <w:rFonts w:ascii="Microsoft JhengHei" w:hAnsi="Microsoft JhengHei" w:cs="Microsoft JhengHei" w:eastAsia="Microsoft JhengHei" w:hint="default"/>
          <w:b/>
          <w:bCs/>
          <w:spacing w:val="-44"/>
          <w:sz w:val="21"/>
          <w:szCs w:val="21"/>
        </w:rPr>
      </w:r>
      <w:r>
        <w:rPr>
          <w:rFonts w:ascii="Microsoft JhengHei" w:hAnsi="Microsoft JhengHei" w:cs="Microsoft JhengHei" w:eastAsia="Microsoft JhengHei" w:hint="default"/>
          <w:b/>
          <w:bCs/>
          <w:sz w:val="21"/>
          <w:szCs w:val="21"/>
        </w:rPr>
        <w:t>承诺事项</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22"/>
          <w:szCs w:val="22"/>
        </w:rPr>
      </w:pPr>
    </w:p>
    <w:tbl>
      <w:tblPr>
        <w:tblW w:w="0" w:type="auto"/>
        <w:jc w:val="left"/>
        <w:tblInd w:w="100" w:type="dxa"/>
        <w:tblLayout w:type="fixed"/>
        <w:tblCellMar>
          <w:top w:w="0" w:type="dxa"/>
          <w:left w:w="0" w:type="dxa"/>
          <w:bottom w:w="0" w:type="dxa"/>
          <w:right w:w="0" w:type="dxa"/>
        </w:tblCellMar>
        <w:tblLook w:val="01E0"/>
      </w:tblPr>
      <w:tblGrid>
        <w:gridCol w:w="1071"/>
        <w:gridCol w:w="758"/>
        <w:gridCol w:w="2576"/>
        <w:gridCol w:w="1666"/>
        <w:gridCol w:w="1524"/>
        <w:gridCol w:w="756"/>
        <w:gridCol w:w="759"/>
        <w:gridCol w:w="1061"/>
        <w:gridCol w:w="1054"/>
      </w:tblGrid>
      <w:tr>
        <w:trPr>
          <w:trHeight w:val="1570" w:hRule="exact"/>
        </w:trPr>
        <w:tc>
          <w:tcPr>
            <w:tcW w:w="10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2"/>
              <w:ind w:right="0"/>
              <w:jc w:val="left"/>
              <w:rPr>
                <w:rFonts w:ascii="Microsoft JhengHei" w:hAnsi="Microsoft JhengHei" w:cs="Microsoft JhengHei" w:eastAsia="Microsoft JhengHei" w:hint="default"/>
                <w:b/>
                <w:bCs/>
                <w:sz w:val="15"/>
                <w:szCs w:val="15"/>
              </w:rPr>
            </w:pPr>
          </w:p>
          <w:p>
            <w:pPr>
              <w:pStyle w:val="TableParagraph"/>
              <w:spacing w:line="240" w:lineRule="auto"/>
              <w:ind w:left="110" w:right="0"/>
              <w:jc w:val="left"/>
              <w:rPr>
                <w:rFonts w:ascii="宋体" w:hAnsi="宋体" w:cs="宋体" w:eastAsia="宋体" w:hint="default"/>
                <w:sz w:val="21"/>
                <w:szCs w:val="21"/>
              </w:rPr>
            </w:pPr>
            <w:r>
              <w:rPr>
                <w:rFonts w:ascii="宋体" w:hAnsi="宋体" w:cs="宋体" w:eastAsia="宋体" w:hint="default"/>
                <w:sz w:val="21"/>
                <w:szCs w:val="21"/>
              </w:rPr>
              <w:t>承诺背景</w:t>
            </w:r>
          </w:p>
        </w:tc>
        <w:tc>
          <w:tcPr>
            <w:tcW w:w="7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Microsoft JhengHei" w:hAnsi="Microsoft JhengHei" w:cs="Microsoft JhengHei" w:eastAsia="Microsoft JhengHei" w:hint="default"/>
                <w:b/>
                <w:bCs/>
                <w:sz w:val="26"/>
                <w:szCs w:val="26"/>
              </w:rPr>
            </w:pPr>
          </w:p>
          <w:p>
            <w:pPr>
              <w:pStyle w:val="TableParagraph"/>
              <w:spacing w:line="273" w:lineRule="auto"/>
              <w:ind w:left="163" w:right="161"/>
              <w:jc w:val="left"/>
              <w:rPr>
                <w:rFonts w:ascii="宋体" w:hAnsi="宋体" w:cs="宋体" w:eastAsia="宋体" w:hint="default"/>
                <w:sz w:val="21"/>
                <w:szCs w:val="21"/>
              </w:rPr>
            </w:pPr>
            <w:r>
              <w:rPr>
                <w:rFonts w:ascii="宋体" w:hAnsi="宋体" w:cs="宋体" w:eastAsia="宋体" w:hint="default"/>
                <w:sz w:val="21"/>
                <w:szCs w:val="21"/>
              </w:rPr>
              <w:t>承诺</w:t>
            </w:r>
            <w:r>
              <w:rPr>
                <w:rFonts w:ascii="宋体" w:hAnsi="宋体" w:cs="宋体" w:eastAsia="宋体" w:hint="default"/>
                <w:spacing w:val="-103"/>
                <w:sz w:val="21"/>
                <w:szCs w:val="21"/>
              </w:rPr>
              <w:t> </w:t>
            </w:r>
            <w:r>
              <w:rPr>
                <w:rFonts w:ascii="宋体" w:hAnsi="宋体" w:cs="宋体" w:eastAsia="宋体" w:hint="default"/>
                <w:sz w:val="21"/>
                <w:szCs w:val="21"/>
              </w:rPr>
              <w:t>类型</w:t>
            </w:r>
          </w:p>
        </w:tc>
        <w:tc>
          <w:tcPr>
            <w:tcW w:w="25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2"/>
              <w:ind w:right="0"/>
              <w:jc w:val="left"/>
              <w:rPr>
                <w:rFonts w:ascii="Microsoft JhengHei" w:hAnsi="Microsoft JhengHei" w:cs="Microsoft JhengHei" w:eastAsia="Microsoft JhengHei" w:hint="default"/>
                <w:b/>
                <w:bCs/>
                <w:sz w:val="15"/>
                <w:szCs w:val="15"/>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承诺方</w:t>
            </w:r>
          </w:p>
        </w:tc>
        <w:tc>
          <w:tcPr>
            <w:tcW w:w="16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Microsoft JhengHei" w:hAnsi="Microsoft JhengHei" w:cs="Microsoft JhengHei" w:eastAsia="Microsoft JhengHei" w:hint="default"/>
                <w:b/>
                <w:bCs/>
                <w:sz w:val="26"/>
                <w:szCs w:val="26"/>
              </w:rPr>
            </w:pPr>
          </w:p>
          <w:p>
            <w:pPr>
              <w:pStyle w:val="TableParagraph"/>
              <w:spacing w:line="273" w:lineRule="auto"/>
              <w:ind w:left="616" w:right="615"/>
              <w:jc w:val="center"/>
              <w:rPr>
                <w:rFonts w:ascii="宋体" w:hAnsi="宋体" w:cs="宋体" w:eastAsia="宋体" w:hint="default"/>
                <w:sz w:val="21"/>
                <w:szCs w:val="21"/>
              </w:rPr>
            </w:pPr>
            <w:r>
              <w:rPr>
                <w:rFonts w:ascii="宋体" w:hAnsi="宋体" w:cs="宋体" w:eastAsia="宋体" w:hint="default"/>
                <w:sz w:val="21"/>
                <w:szCs w:val="21"/>
              </w:rPr>
              <w:t>承诺</w:t>
            </w:r>
            <w:r>
              <w:rPr>
                <w:rFonts w:ascii="宋体" w:hAnsi="宋体" w:cs="宋体" w:eastAsia="宋体" w:hint="default"/>
                <w:w w:val="100"/>
                <w:sz w:val="21"/>
                <w:szCs w:val="21"/>
              </w:rPr>
              <w:t> </w:t>
            </w:r>
            <w:r>
              <w:rPr>
                <w:rFonts w:ascii="宋体" w:hAnsi="宋体" w:cs="宋体" w:eastAsia="宋体" w:hint="default"/>
                <w:sz w:val="21"/>
                <w:szCs w:val="21"/>
              </w:rPr>
              <w:t>内容</w:t>
            </w:r>
          </w:p>
        </w:tc>
        <w:tc>
          <w:tcPr>
            <w:tcW w:w="15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Microsoft JhengHei" w:hAnsi="Microsoft JhengHei" w:cs="Microsoft JhengHei" w:eastAsia="Microsoft JhengHei" w:hint="default"/>
                <w:b/>
                <w:bCs/>
                <w:sz w:val="26"/>
                <w:szCs w:val="26"/>
              </w:rPr>
            </w:pPr>
          </w:p>
          <w:p>
            <w:pPr>
              <w:pStyle w:val="TableParagraph"/>
              <w:spacing w:line="273" w:lineRule="auto"/>
              <w:ind w:left="439" w:right="336" w:hanging="106"/>
              <w:jc w:val="left"/>
              <w:rPr>
                <w:rFonts w:ascii="宋体" w:hAnsi="宋体" w:cs="宋体" w:eastAsia="宋体" w:hint="default"/>
                <w:sz w:val="21"/>
                <w:szCs w:val="21"/>
              </w:rPr>
            </w:pPr>
            <w:r>
              <w:rPr>
                <w:rFonts w:ascii="宋体" w:hAnsi="宋体" w:cs="宋体" w:eastAsia="宋体" w:hint="default"/>
                <w:sz w:val="21"/>
                <w:szCs w:val="21"/>
              </w:rPr>
              <w:t>承诺时间</w:t>
            </w:r>
            <w:r>
              <w:rPr>
                <w:rFonts w:ascii="宋体" w:hAnsi="宋体" w:cs="宋体" w:eastAsia="宋体" w:hint="default"/>
                <w:w w:val="100"/>
                <w:sz w:val="21"/>
                <w:szCs w:val="21"/>
              </w:rPr>
              <w:t> </w:t>
            </w:r>
            <w:r>
              <w:rPr>
                <w:rFonts w:ascii="宋体" w:hAnsi="宋体" w:cs="宋体" w:eastAsia="宋体" w:hint="default"/>
                <w:sz w:val="21"/>
                <w:szCs w:val="21"/>
              </w:rPr>
              <w:t>及期限</w:t>
            </w:r>
          </w:p>
        </w:tc>
        <w:tc>
          <w:tcPr>
            <w:tcW w:w="7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143"/>
              <w:ind w:left="160" w:right="161"/>
              <w:jc w:val="both"/>
              <w:rPr>
                <w:rFonts w:ascii="宋体" w:hAnsi="宋体" w:cs="宋体" w:eastAsia="宋体" w:hint="default"/>
                <w:sz w:val="21"/>
                <w:szCs w:val="21"/>
              </w:rPr>
            </w:pPr>
            <w:r>
              <w:rPr>
                <w:rFonts w:ascii="宋体" w:hAnsi="宋体" w:cs="宋体" w:eastAsia="宋体" w:hint="default"/>
                <w:sz w:val="21"/>
                <w:szCs w:val="21"/>
              </w:rPr>
              <w:t>是否</w:t>
            </w:r>
            <w:r>
              <w:rPr>
                <w:rFonts w:ascii="宋体" w:hAnsi="宋体" w:cs="宋体" w:eastAsia="宋体" w:hint="default"/>
                <w:spacing w:val="-103"/>
                <w:sz w:val="21"/>
                <w:szCs w:val="21"/>
              </w:rPr>
              <w:t> </w:t>
            </w:r>
            <w:r>
              <w:rPr>
                <w:rFonts w:ascii="宋体" w:hAnsi="宋体" w:cs="宋体" w:eastAsia="宋体" w:hint="default"/>
                <w:sz w:val="21"/>
                <w:szCs w:val="21"/>
              </w:rPr>
              <w:t>有履</w:t>
            </w:r>
            <w:r>
              <w:rPr>
                <w:rFonts w:ascii="宋体" w:hAnsi="宋体" w:cs="宋体" w:eastAsia="宋体" w:hint="default"/>
                <w:spacing w:val="-103"/>
                <w:sz w:val="21"/>
                <w:szCs w:val="21"/>
              </w:rPr>
              <w:t> </w:t>
            </w:r>
            <w:r>
              <w:rPr>
                <w:rFonts w:ascii="宋体" w:hAnsi="宋体" w:cs="宋体" w:eastAsia="宋体" w:hint="default"/>
                <w:sz w:val="21"/>
                <w:szCs w:val="21"/>
              </w:rPr>
              <w:t>行期</w:t>
            </w:r>
            <w:r>
              <w:rPr>
                <w:rFonts w:ascii="宋体" w:hAnsi="宋体" w:cs="宋体" w:eastAsia="宋体" w:hint="default"/>
                <w:spacing w:val="-103"/>
                <w:sz w:val="21"/>
                <w:szCs w:val="21"/>
              </w:rPr>
              <w:t> </w:t>
            </w:r>
            <w:r>
              <w:rPr>
                <w:rFonts w:ascii="宋体" w:hAnsi="宋体" w:cs="宋体" w:eastAsia="宋体" w:hint="default"/>
                <w:sz w:val="21"/>
                <w:szCs w:val="21"/>
              </w:rPr>
              <w:t>限</w:t>
            </w:r>
          </w:p>
        </w:tc>
        <w:tc>
          <w:tcPr>
            <w:tcW w:w="7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143"/>
              <w:ind w:left="161" w:right="163"/>
              <w:jc w:val="both"/>
              <w:rPr>
                <w:rFonts w:ascii="宋体" w:hAnsi="宋体" w:cs="宋体" w:eastAsia="宋体" w:hint="default"/>
                <w:sz w:val="21"/>
                <w:szCs w:val="21"/>
              </w:rPr>
            </w:pPr>
            <w:r>
              <w:rPr>
                <w:rFonts w:ascii="宋体" w:hAnsi="宋体" w:cs="宋体" w:eastAsia="宋体" w:hint="default"/>
                <w:sz w:val="21"/>
                <w:szCs w:val="21"/>
              </w:rPr>
              <w:t>是否</w:t>
            </w:r>
            <w:r>
              <w:rPr>
                <w:rFonts w:ascii="宋体" w:hAnsi="宋体" w:cs="宋体" w:eastAsia="宋体" w:hint="default"/>
                <w:spacing w:val="-103"/>
                <w:sz w:val="21"/>
                <w:szCs w:val="21"/>
              </w:rPr>
              <w:t> </w:t>
            </w:r>
            <w:r>
              <w:rPr>
                <w:rFonts w:ascii="宋体" w:hAnsi="宋体" w:cs="宋体" w:eastAsia="宋体" w:hint="default"/>
                <w:sz w:val="21"/>
                <w:szCs w:val="21"/>
              </w:rPr>
              <w:t>及时</w:t>
            </w:r>
            <w:r>
              <w:rPr>
                <w:rFonts w:ascii="宋体" w:hAnsi="宋体" w:cs="宋体" w:eastAsia="宋体" w:hint="default"/>
                <w:spacing w:val="-103"/>
                <w:sz w:val="21"/>
                <w:szCs w:val="21"/>
              </w:rPr>
              <w:t> </w:t>
            </w:r>
            <w:r>
              <w:rPr>
                <w:rFonts w:ascii="宋体" w:hAnsi="宋体" w:cs="宋体" w:eastAsia="宋体" w:hint="default"/>
                <w:sz w:val="21"/>
                <w:szCs w:val="21"/>
              </w:rPr>
              <w:t>严格</w:t>
            </w:r>
            <w:r>
              <w:rPr>
                <w:rFonts w:ascii="宋体" w:hAnsi="宋体" w:cs="宋体" w:eastAsia="宋体" w:hint="default"/>
                <w:spacing w:val="-103"/>
                <w:sz w:val="21"/>
                <w:szCs w:val="21"/>
              </w:rPr>
              <w:t> </w:t>
            </w:r>
            <w:r>
              <w:rPr>
                <w:rFonts w:ascii="宋体" w:hAnsi="宋体" w:cs="宋体" w:eastAsia="宋体" w:hint="default"/>
                <w:sz w:val="21"/>
                <w:szCs w:val="21"/>
              </w:rPr>
              <w:t>履行</w:t>
            </w:r>
          </w:p>
        </w:tc>
        <w:tc>
          <w:tcPr>
            <w:tcW w:w="10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105" w:right="101"/>
              <w:jc w:val="both"/>
              <w:rPr>
                <w:rFonts w:ascii="宋体" w:hAnsi="宋体" w:cs="宋体" w:eastAsia="宋体" w:hint="default"/>
                <w:sz w:val="21"/>
                <w:szCs w:val="21"/>
              </w:rPr>
            </w:pPr>
            <w:r>
              <w:rPr>
                <w:rFonts w:ascii="宋体" w:hAnsi="宋体" w:cs="宋体" w:eastAsia="宋体" w:hint="default"/>
                <w:sz w:val="21"/>
                <w:szCs w:val="21"/>
              </w:rPr>
              <w:t>如未能及</w:t>
            </w:r>
            <w:r>
              <w:rPr>
                <w:rFonts w:ascii="宋体" w:hAnsi="宋体" w:cs="宋体" w:eastAsia="宋体" w:hint="default"/>
                <w:w w:val="100"/>
                <w:sz w:val="21"/>
                <w:szCs w:val="21"/>
              </w:rPr>
              <w:t> </w:t>
            </w:r>
            <w:r>
              <w:rPr>
                <w:rFonts w:ascii="宋体" w:hAnsi="宋体" w:cs="宋体" w:eastAsia="宋体" w:hint="default"/>
                <w:sz w:val="21"/>
                <w:szCs w:val="21"/>
              </w:rPr>
              <w:t>时履行应</w:t>
            </w:r>
            <w:r>
              <w:rPr>
                <w:rFonts w:ascii="宋体" w:hAnsi="宋体" w:cs="宋体" w:eastAsia="宋体" w:hint="default"/>
                <w:w w:val="100"/>
                <w:sz w:val="21"/>
                <w:szCs w:val="21"/>
              </w:rPr>
              <w:t> </w:t>
            </w:r>
            <w:r>
              <w:rPr>
                <w:rFonts w:ascii="宋体" w:hAnsi="宋体" w:cs="宋体" w:eastAsia="宋体" w:hint="default"/>
                <w:sz w:val="21"/>
                <w:szCs w:val="21"/>
              </w:rPr>
              <w:t>说明未完</w:t>
            </w:r>
            <w:r>
              <w:rPr>
                <w:rFonts w:ascii="宋体" w:hAnsi="宋体" w:cs="宋体" w:eastAsia="宋体" w:hint="default"/>
                <w:w w:val="100"/>
                <w:sz w:val="21"/>
                <w:szCs w:val="21"/>
              </w:rPr>
              <w:t> </w:t>
            </w:r>
            <w:r>
              <w:rPr>
                <w:rFonts w:ascii="宋体" w:hAnsi="宋体" w:cs="宋体" w:eastAsia="宋体" w:hint="default"/>
                <w:sz w:val="21"/>
                <w:szCs w:val="21"/>
              </w:rPr>
              <w:t>成履行的</w:t>
            </w:r>
            <w:r>
              <w:rPr>
                <w:rFonts w:ascii="宋体" w:hAnsi="宋体" w:cs="宋体" w:eastAsia="宋体" w:hint="default"/>
                <w:w w:val="100"/>
                <w:sz w:val="21"/>
                <w:szCs w:val="21"/>
              </w:rPr>
              <w:t> </w:t>
            </w:r>
            <w:r>
              <w:rPr>
                <w:rFonts w:ascii="宋体" w:hAnsi="宋体" w:cs="宋体" w:eastAsia="宋体" w:hint="default"/>
                <w:sz w:val="21"/>
                <w:szCs w:val="21"/>
              </w:rPr>
              <w:t>具体原因</w:t>
            </w:r>
          </w:p>
        </w:tc>
        <w:tc>
          <w:tcPr>
            <w:tcW w:w="10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206" w:right="202"/>
              <w:jc w:val="both"/>
              <w:rPr>
                <w:rFonts w:ascii="宋体" w:hAnsi="宋体" w:cs="宋体" w:eastAsia="宋体" w:hint="default"/>
                <w:sz w:val="21"/>
                <w:szCs w:val="21"/>
              </w:rPr>
            </w:pPr>
            <w:r>
              <w:rPr>
                <w:rFonts w:ascii="宋体" w:hAnsi="宋体" w:cs="宋体" w:eastAsia="宋体" w:hint="default"/>
                <w:sz w:val="21"/>
                <w:szCs w:val="21"/>
              </w:rPr>
              <w:t>如未能</w:t>
            </w:r>
            <w:r>
              <w:rPr>
                <w:rFonts w:ascii="宋体" w:hAnsi="宋体" w:cs="宋体" w:eastAsia="宋体" w:hint="default"/>
                <w:spacing w:val="-102"/>
                <w:sz w:val="21"/>
                <w:szCs w:val="21"/>
              </w:rPr>
              <w:t> </w:t>
            </w:r>
            <w:r>
              <w:rPr>
                <w:rFonts w:ascii="宋体" w:hAnsi="宋体" w:cs="宋体" w:eastAsia="宋体" w:hint="default"/>
                <w:sz w:val="21"/>
                <w:szCs w:val="21"/>
              </w:rPr>
              <w:t>及时履</w:t>
            </w:r>
            <w:r>
              <w:rPr>
                <w:rFonts w:ascii="宋体" w:hAnsi="宋体" w:cs="宋体" w:eastAsia="宋体" w:hint="default"/>
                <w:spacing w:val="-102"/>
                <w:sz w:val="21"/>
                <w:szCs w:val="21"/>
              </w:rPr>
              <w:t> </w:t>
            </w:r>
            <w:r>
              <w:rPr>
                <w:rFonts w:ascii="宋体" w:hAnsi="宋体" w:cs="宋体" w:eastAsia="宋体" w:hint="default"/>
                <w:sz w:val="21"/>
                <w:szCs w:val="21"/>
              </w:rPr>
              <w:t>行应说</w:t>
            </w:r>
            <w:r>
              <w:rPr>
                <w:rFonts w:ascii="宋体" w:hAnsi="宋体" w:cs="宋体" w:eastAsia="宋体" w:hint="default"/>
                <w:spacing w:val="-102"/>
                <w:sz w:val="21"/>
                <w:szCs w:val="21"/>
              </w:rPr>
              <w:t> </w:t>
            </w:r>
            <w:r>
              <w:rPr>
                <w:rFonts w:ascii="宋体" w:hAnsi="宋体" w:cs="宋体" w:eastAsia="宋体" w:hint="default"/>
                <w:sz w:val="21"/>
                <w:szCs w:val="21"/>
              </w:rPr>
              <w:t>明下一</w:t>
            </w:r>
            <w:r>
              <w:rPr>
                <w:rFonts w:ascii="宋体" w:hAnsi="宋体" w:cs="宋体" w:eastAsia="宋体" w:hint="default"/>
                <w:spacing w:val="-102"/>
                <w:sz w:val="21"/>
                <w:szCs w:val="21"/>
              </w:rPr>
              <w:t> </w:t>
            </w:r>
            <w:r>
              <w:rPr>
                <w:rFonts w:ascii="宋体" w:hAnsi="宋体" w:cs="宋体" w:eastAsia="宋体" w:hint="default"/>
                <w:sz w:val="21"/>
                <w:szCs w:val="21"/>
              </w:rPr>
              <w:t>步计划</w:t>
            </w:r>
          </w:p>
        </w:tc>
      </w:tr>
      <w:tr>
        <w:trPr>
          <w:trHeight w:val="1572" w:hRule="exact"/>
        </w:trPr>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9"/>
              <w:jc w:val="both"/>
              <w:rPr>
                <w:rFonts w:ascii="宋体" w:hAnsi="宋体" w:cs="宋体" w:eastAsia="宋体" w:hint="default"/>
                <w:sz w:val="21"/>
                <w:szCs w:val="21"/>
              </w:rPr>
            </w:pPr>
            <w:r>
              <w:rPr>
                <w:rFonts w:ascii="宋体" w:hAnsi="宋体" w:cs="宋体" w:eastAsia="宋体" w:hint="default"/>
                <w:sz w:val="21"/>
                <w:szCs w:val="21"/>
              </w:rPr>
              <w:t>收购报告</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书或权益</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变动报告</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书中所作</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承诺</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26"/>
                <w:szCs w:val="26"/>
              </w:rPr>
            </w:pPr>
          </w:p>
          <w:p>
            <w:pPr>
              <w:pStyle w:val="TableParagraph"/>
              <w:spacing w:line="273" w:lineRule="auto"/>
              <w:ind w:left="103" w:right="221"/>
              <w:jc w:val="left"/>
              <w:rPr>
                <w:rFonts w:ascii="宋体" w:hAnsi="宋体" w:cs="宋体" w:eastAsia="宋体" w:hint="default"/>
                <w:sz w:val="21"/>
                <w:szCs w:val="21"/>
              </w:rPr>
            </w:pPr>
            <w:r>
              <w:rPr>
                <w:rFonts w:ascii="宋体" w:hAnsi="宋体" w:cs="宋体" w:eastAsia="宋体" w:hint="default"/>
                <w:sz w:val="21"/>
                <w:szCs w:val="21"/>
              </w:rPr>
              <w:t>股份</w:t>
            </w:r>
            <w:r>
              <w:rPr>
                <w:rFonts w:ascii="宋体" w:hAnsi="宋体" w:cs="宋体" w:eastAsia="宋体" w:hint="default"/>
                <w:spacing w:val="-103"/>
                <w:sz w:val="21"/>
                <w:szCs w:val="21"/>
              </w:rPr>
              <w:t> </w:t>
            </w:r>
            <w:r>
              <w:rPr>
                <w:rFonts w:ascii="宋体" w:hAnsi="宋体" w:cs="宋体" w:eastAsia="宋体" w:hint="default"/>
                <w:sz w:val="21"/>
                <w:szCs w:val="21"/>
              </w:rPr>
              <w:t>限售</w:t>
            </w:r>
          </w:p>
        </w:tc>
        <w:tc>
          <w:tcPr>
            <w:tcW w:w="2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9"/>
              <w:ind w:right="0"/>
              <w:jc w:val="left"/>
              <w:rPr>
                <w:rFonts w:ascii="Microsoft JhengHei" w:hAnsi="Microsoft JhengHei" w:cs="Microsoft JhengHei" w:eastAsia="Microsoft JhengHei" w:hint="default"/>
                <w:b/>
                <w:bCs/>
                <w:sz w:val="9"/>
                <w:szCs w:val="9"/>
              </w:rPr>
            </w:pPr>
          </w:p>
          <w:p>
            <w:pPr>
              <w:pStyle w:val="TableParagraph"/>
              <w:spacing w:line="319" w:lineRule="auto"/>
              <w:ind w:left="-8" w:right="-1"/>
              <w:jc w:val="left"/>
              <w:rPr>
                <w:rFonts w:ascii="宋体" w:hAnsi="宋体" w:cs="宋体" w:eastAsia="宋体" w:hint="default"/>
                <w:sz w:val="18"/>
                <w:szCs w:val="18"/>
              </w:rPr>
            </w:pPr>
            <w:r>
              <w:rPr>
                <w:rFonts w:ascii="宋体" w:hAnsi="宋体" w:cs="宋体" w:eastAsia="宋体" w:hint="default"/>
                <w:spacing w:val="3"/>
                <w:sz w:val="18"/>
                <w:szCs w:val="18"/>
              </w:rPr>
              <w:t>中国国有企业结构调整基金股份</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有限公司</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11"/>
              <w:jc w:val="left"/>
              <w:rPr>
                <w:rFonts w:ascii="宋体" w:hAnsi="宋体" w:cs="宋体" w:eastAsia="宋体" w:hint="default"/>
                <w:sz w:val="18"/>
                <w:szCs w:val="18"/>
              </w:rPr>
            </w:pPr>
            <w:r>
              <w:rPr>
                <w:rFonts w:ascii="宋体" w:hAnsi="宋体" w:cs="宋体" w:eastAsia="宋体" w:hint="default"/>
                <w:sz w:val="18"/>
                <w:szCs w:val="18"/>
              </w:rPr>
              <w:t>自交割日起</w:t>
            </w:r>
            <w:r>
              <w:rPr>
                <w:rFonts w:ascii="宋体" w:hAnsi="宋体" w:cs="宋体" w:eastAsia="宋体" w:hint="default"/>
                <w:spacing w:val="-45"/>
                <w:sz w:val="18"/>
                <w:szCs w:val="18"/>
              </w:rPr>
              <w:t> </w:t>
            </w:r>
            <w:r>
              <w:rPr>
                <w:rFonts w:ascii="宋体" w:hAnsi="宋体" w:cs="宋体" w:eastAsia="宋体" w:hint="default"/>
                <w:sz w:val="18"/>
                <w:szCs w:val="18"/>
              </w:rPr>
              <w:t>36</w:t>
            </w:r>
            <w:r>
              <w:rPr>
                <w:rFonts w:ascii="宋体" w:hAnsi="宋体" w:cs="宋体" w:eastAsia="宋体" w:hint="default"/>
                <w:spacing w:val="-44"/>
                <w:sz w:val="18"/>
                <w:szCs w:val="18"/>
              </w:rPr>
              <w:t> </w:t>
            </w:r>
            <w:r>
              <w:rPr>
                <w:rFonts w:ascii="宋体" w:hAnsi="宋体" w:cs="宋体" w:eastAsia="宋体" w:hint="default"/>
                <w:sz w:val="18"/>
                <w:szCs w:val="18"/>
              </w:rPr>
              <w:t>个 月内不得直接或间 接转让此次协议转 让股份</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0" w:right="74"/>
              <w:jc w:val="both"/>
              <w:rPr>
                <w:rFonts w:ascii="宋体" w:hAnsi="宋体" w:cs="宋体" w:eastAsia="宋体" w:hint="default"/>
                <w:sz w:val="18"/>
                <w:szCs w:val="18"/>
              </w:rPr>
            </w:pPr>
            <w:r>
              <w:rPr>
                <w:rFonts w:ascii="宋体" w:hAnsi="宋体" w:cs="宋体" w:eastAsia="宋体" w:hint="default"/>
                <w:spacing w:val="5"/>
                <w:sz w:val="18"/>
                <w:szCs w:val="18"/>
              </w:rPr>
              <w:t>承诺时间：</w:t>
            </w:r>
            <w:r>
              <w:rPr>
                <w:rFonts w:ascii="宋体" w:hAnsi="宋体" w:cs="宋体" w:eastAsia="宋体" w:hint="default"/>
                <w:spacing w:val="5"/>
                <w:sz w:val="18"/>
                <w:szCs w:val="18"/>
              </w:rPr>
              <w:t>2017</w:t>
            </w:r>
            <w:r>
              <w:rPr>
                <w:rFonts w:ascii="宋体" w:hAnsi="宋体" w:cs="宋体" w:eastAsia="宋体" w:hint="default"/>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宋体" w:hAnsi="宋体" w:cs="宋体" w:eastAsia="宋体" w:hint="default"/>
                <w:sz w:val="18"/>
                <w:szCs w:val="18"/>
              </w:rPr>
              <w:t>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宋体" w:hAnsi="宋体" w:cs="宋体" w:eastAsia="宋体" w:hint="default"/>
                <w:sz w:val="18"/>
                <w:szCs w:val="18"/>
              </w:rPr>
              <w:t>16</w:t>
            </w:r>
            <w:r>
              <w:rPr>
                <w:rFonts w:ascii="宋体" w:hAnsi="宋体" w:cs="宋体" w:eastAsia="宋体" w:hint="default"/>
                <w:spacing w:val="-56"/>
                <w:sz w:val="18"/>
                <w:szCs w:val="18"/>
              </w:rPr>
              <w:t> </w:t>
            </w:r>
            <w:r>
              <w:rPr>
                <w:rFonts w:ascii="宋体" w:hAnsi="宋体" w:cs="宋体" w:eastAsia="宋体" w:hint="default"/>
                <w:sz w:val="18"/>
                <w:szCs w:val="18"/>
              </w:rPr>
              <w:t>日承诺 </w:t>
            </w:r>
            <w:r>
              <w:rPr>
                <w:rFonts w:ascii="宋体" w:hAnsi="宋体" w:cs="宋体" w:eastAsia="宋体" w:hint="default"/>
                <w:spacing w:val="18"/>
                <w:sz w:val="18"/>
                <w:szCs w:val="18"/>
              </w:rPr>
              <w:t>期限：</w:t>
            </w:r>
            <w:r>
              <w:rPr>
                <w:rFonts w:ascii="宋体" w:hAnsi="宋体" w:cs="宋体" w:eastAsia="宋体" w:hint="default"/>
                <w:spacing w:val="-64"/>
                <w:sz w:val="18"/>
                <w:szCs w:val="18"/>
              </w:rPr>
              <w:t> </w:t>
            </w:r>
            <w:r>
              <w:rPr>
                <w:rFonts w:ascii="宋体" w:hAnsi="宋体" w:cs="宋体" w:eastAsia="宋体" w:hint="default"/>
                <w:sz w:val="18"/>
                <w:szCs w:val="18"/>
              </w:rPr>
              <w:t>36</w:t>
            </w:r>
            <w:r>
              <w:rPr>
                <w:rFonts w:ascii="宋体" w:hAnsi="宋体" w:cs="宋体" w:eastAsia="宋体" w:hint="default"/>
                <w:spacing w:val="30"/>
                <w:sz w:val="18"/>
                <w:szCs w:val="18"/>
              </w:rPr>
              <w:t> </w:t>
            </w:r>
            <w:r>
              <w:rPr>
                <w:rFonts w:ascii="宋体" w:hAnsi="宋体" w:cs="宋体" w:eastAsia="宋体" w:hint="default"/>
                <w:spacing w:val="13"/>
                <w:sz w:val="18"/>
                <w:szCs w:val="18"/>
              </w:rPr>
              <w:t>个月</w:t>
            </w:r>
            <w:r>
              <w:rPr>
                <w:rFonts w:ascii="宋体" w:hAnsi="宋体" w:cs="宋体" w:eastAsia="宋体" w:hint="default"/>
                <w:spacing w:val="-64"/>
                <w:sz w:val="18"/>
                <w:szCs w:val="18"/>
              </w:rPr>
              <w:t> </w:t>
            </w:r>
            <w:r>
              <w:rPr>
                <w:rFonts w:ascii="宋体" w:hAnsi="宋体" w:cs="宋体" w:eastAsia="宋体" w:hint="default"/>
                <w:sz w:val="18"/>
                <w:szCs w:val="18"/>
              </w:rPr>
            </w:r>
          </w:p>
          <w:p>
            <w:pPr>
              <w:pStyle w:val="TableParagraph"/>
              <w:spacing w:line="316" w:lineRule="auto" w:before="19"/>
              <w:ind w:left="100" w:right="101"/>
              <w:jc w:val="both"/>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2017 </w:t>
            </w:r>
            <w:r>
              <w:rPr>
                <w:rFonts w:ascii="宋体" w:hAnsi="宋体" w:cs="宋体" w:eastAsia="宋体" w:hint="default"/>
                <w:sz w:val="18"/>
                <w:szCs w:val="18"/>
              </w:rPr>
              <w:t>年 </w:t>
            </w:r>
            <w:r>
              <w:rPr>
                <w:rFonts w:ascii="宋体" w:hAnsi="宋体" w:cs="宋体" w:eastAsia="宋体" w:hint="default"/>
                <w:sz w:val="18"/>
                <w:szCs w:val="18"/>
              </w:rPr>
              <w:t>11</w:t>
            </w:r>
            <w:r>
              <w:rPr>
                <w:rFonts w:ascii="宋体" w:hAnsi="宋体" w:cs="宋体" w:eastAsia="宋体" w:hint="default"/>
                <w:spacing w:val="-43"/>
                <w:sz w:val="18"/>
                <w:szCs w:val="18"/>
              </w:rPr>
              <w:t> </w:t>
            </w:r>
            <w:r>
              <w:rPr>
                <w:rFonts w:ascii="宋体" w:hAnsi="宋体" w:cs="宋体" w:eastAsia="宋体" w:hint="default"/>
                <w:sz w:val="18"/>
                <w:szCs w:val="18"/>
              </w:rPr>
              <w:t>月 </w:t>
            </w:r>
            <w:r>
              <w:rPr>
                <w:rFonts w:ascii="宋体" w:hAnsi="宋体" w:cs="宋体" w:eastAsia="宋体" w:hint="default"/>
                <w:sz w:val="18"/>
                <w:szCs w:val="18"/>
              </w:rPr>
              <w:t>27 </w:t>
            </w:r>
            <w:r>
              <w:rPr>
                <w:rFonts w:ascii="宋体" w:hAnsi="宋体" w:cs="宋体" w:eastAsia="宋体" w:hint="default"/>
                <w:sz w:val="18"/>
                <w:szCs w:val="18"/>
              </w:rPr>
              <w:t>日至 </w:t>
            </w:r>
            <w:r>
              <w:rPr>
                <w:rFonts w:ascii="宋体" w:hAnsi="宋体" w:cs="宋体" w:eastAsia="宋体" w:hint="default"/>
                <w:sz w:val="18"/>
                <w:szCs w:val="18"/>
              </w:rPr>
              <w:t>2020</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8"/>
              <w:ind w:right="0"/>
              <w:jc w:val="left"/>
              <w:rPr>
                <w:rFonts w:ascii="Microsoft JhengHei" w:hAnsi="Microsoft JhengHei" w:cs="Microsoft JhengHei" w:eastAsia="Microsoft JhengHei" w:hint="default"/>
                <w:b/>
                <w:bCs/>
                <w:sz w:val="18"/>
                <w:szCs w:val="18"/>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8"/>
              <w:ind w:right="0"/>
              <w:jc w:val="left"/>
              <w:rPr>
                <w:rFonts w:ascii="Microsoft JhengHei" w:hAnsi="Microsoft JhengHei" w:cs="Microsoft JhengHei" w:eastAsia="Microsoft JhengHei" w:hint="default"/>
                <w:b/>
                <w:bCs/>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8"/>
              <w:ind w:right="0"/>
              <w:jc w:val="left"/>
              <w:rPr>
                <w:rFonts w:ascii="Microsoft JhengHei" w:hAnsi="Microsoft JhengHei" w:cs="Microsoft JhengHei" w:eastAsia="Microsoft JhengHei" w:hint="default"/>
                <w:b/>
                <w:bCs/>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8"/>
              <w:ind w:right="0"/>
              <w:jc w:val="left"/>
              <w:rPr>
                <w:rFonts w:ascii="Microsoft JhengHei" w:hAnsi="Microsoft JhengHei" w:cs="Microsoft JhengHei" w:eastAsia="Microsoft JhengHei" w:hint="default"/>
                <w:b/>
                <w:bCs/>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footerReference w:type="default" r:id="rId40"/>
          <w:pgSz w:w="11910" w:h="16840"/>
          <w:pgMar w:footer="502" w:header="854" w:top="1360" w:bottom="700" w:left="320" w:right="140"/>
        </w:sectPr>
      </w:pPr>
    </w:p>
    <w:p>
      <w:pPr>
        <w:spacing w:line="240" w:lineRule="auto" w:before="6"/>
        <w:rPr>
          <w:rFonts w:ascii="Microsoft JhengHei" w:hAnsi="Microsoft JhengHei" w:cs="Microsoft JhengHei" w:eastAsia="Microsoft JhengHei" w:hint="default"/>
          <w:b/>
          <w:bCs/>
          <w:sz w:val="9"/>
          <w:szCs w:val="9"/>
        </w:rPr>
      </w:pPr>
    </w:p>
    <w:tbl>
      <w:tblPr>
        <w:tblW w:w="0" w:type="auto"/>
        <w:jc w:val="left"/>
        <w:tblInd w:w="100" w:type="dxa"/>
        <w:tblLayout w:type="fixed"/>
        <w:tblCellMar>
          <w:top w:w="0" w:type="dxa"/>
          <w:left w:w="0" w:type="dxa"/>
          <w:bottom w:w="0" w:type="dxa"/>
          <w:right w:w="0" w:type="dxa"/>
        </w:tblCellMar>
        <w:tblLook w:val="01E0"/>
      </w:tblPr>
      <w:tblGrid>
        <w:gridCol w:w="1071"/>
        <w:gridCol w:w="758"/>
        <w:gridCol w:w="2576"/>
        <w:gridCol w:w="1666"/>
        <w:gridCol w:w="1524"/>
        <w:gridCol w:w="756"/>
        <w:gridCol w:w="759"/>
        <w:gridCol w:w="1061"/>
        <w:gridCol w:w="1054"/>
      </w:tblGrid>
      <w:tr>
        <w:trPr>
          <w:trHeight w:val="641" w:hRule="exact"/>
        </w:trPr>
        <w:tc>
          <w:tcPr>
            <w:tcW w:w="1071" w:type="dxa"/>
            <w:tcBorders>
              <w:top w:val="single" w:sz="4" w:space="0" w:color="000000"/>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
        </w:tc>
        <w:tc>
          <w:tcPr>
            <w:tcW w:w="2576" w:type="dxa"/>
            <w:tcBorders>
              <w:top w:val="single" w:sz="4" w:space="0" w:color="000000"/>
              <w:left w:val="single" w:sz="4" w:space="0" w:color="000000"/>
              <w:bottom w:val="single" w:sz="4" w:space="0" w:color="000000"/>
              <w:right w:val="single" w:sz="4" w:space="0" w:color="000000"/>
            </w:tcBorders>
          </w:tcPr>
          <w:p>
            <w:pPr/>
          </w:p>
        </w:tc>
        <w:tc>
          <w:tcPr>
            <w:tcW w:w="1666" w:type="dxa"/>
            <w:tcBorders>
              <w:top w:val="single" w:sz="4" w:space="0" w:color="000000"/>
              <w:left w:val="single" w:sz="4" w:space="0" w:color="000000"/>
              <w:bottom w:val="single" w:sz="4" w:space="0" w:color="000000"/>
              <w:right w:val="single" w:sz="4" w:space="0" w:color="000000"/>
            </w:tcBorders>
          </w:tcPr>
          <w:p>
            <w:pP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26</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756" w:type="dxa"/>
            <w:tcBorders>
              <w:top w:val="single" w:sz="4" w:space="0" w:color="000000"/>
              <w:left w:val="single" w:sz="4" w:space="0" w:color="000000"/>
              <w:bottom w:val="single" w:sz="4" w:space="0" w:color="000000"/>
              <w:right w:val="single" w:sz="4" w:space="0" w:color="000000"/>
            </w:tcBorders>
          </w:tcPr>
          <w:p>
            <w:pPr/>
          </w:p>
        </w:tc>
        <w:tc>
          <w:tcPr>
            <w:tcW w:w="759"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54" w:type="dxa"/>
            <w:tcBorders>
              <w:top w:val="single" w:sz="4" w:space="0" w:color="000000"/>
              <w:left w:val="single" w:sz="4" w:space="0" w:color="000000"/>
              <w:bottom w:val="single" w:sz="4" w:space="0" w:color="000000"/>
              <w:right w:val="single" w:sz="4" w:space="0" w:color="000000"/>
            </w:tcBorders>
          </w:tcPr>
          <w:p>
            <w:pPr/>
          </w:p>
        </w:tc>
      </w:tr>
      <w:tr>
        <w:trPr>
          <w:trHeight w:val="3754" w:hRule="exact"/>
        </w:trPr>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7"/>
              <w:ind w:right="0"/>
              <w:jc w:val="left"/>
              <w:rPr>
                <w:rFonts w:ascii="Microsoft JhengHei" w:hAnsi="Microsoft JhengHei" w:cs="Microsoft JhengHei" w:eastAsia="Microsoft JhengHei" w:hint="default"/>
                <w:b/>
                <w:bCs/>
                <w:sz w:val="19"/>
                <w:szCs w:val="19"/>
              </w:rPr>
            </w:pPr>
          </w:p>
          <w:p>
            <w:pPr>
              <w:pStyle w:val="TableParagraph"/>
              <w:spacing w:line="273" w:lineRule="auto"/>
              <w:ind w:left="103" w:right="99"/>
              <w:jc w:val="both"/>
              <w:rPr>
                <w:rFonts w:ascii="宋体" w:hAnsi="宋体" w:cs="宋体" w:eastAsia="宋体" w:hint="default"/>
                <w:sz w:val="21"/>
                <w:szCs w:val="21"/>
              </w:rPr>
            </w:pPr>
            <w:r>
              <w:rPr>
                <w:rFonts w:ascii="宋体" w:hAnsi="宋体" w:cs="宋体" w:eastAsia="宋体" w:hint="default"/>
                <w:sz w:val="21"/>
                <w:szCs w:val="21"/>
              </w:rPr>
              <w:t>与再融资</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相关的承</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诺</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6"/>
              <w:ind w:right="0"/>
              <w:jc w:val="left"/>
              <w:rPr>
                <w:rFonts w:ascii="Microsoft JhengHei" w:hAnsi="Microsoft JhengHei" w:cs="Microsoft JhengHei" w:eastAsia="Microsoft JhengHei" w:hint="default"/>
                <w:b/>
                <w:bCs/>
                <w:sz w:val="28"/>
                <w:szCs w:val="28"/>
              </w:rPr>
            </w:pPr>
          </w:p>
          <w:p>
            <w:pPr>
              <w:pStyle w:val="TableParagraph"/>
              <w:spacing w:line="273" w:lineRule="auto"/>
              <w:ind w:left="103" w:right="221"/>
              <w:jc w:val="left"/>
              <w:rPr>
                <w:rFonts w:ascii="宋体" w:hAnsi="宋体" w:cs="宋体" w:eastAsia="宋体" w:hint="default"/>
                <w:sz w:val="21"/>
                <w:szCs w:val="21"/>
              </w:rPr>
            </w:pPr>
            <w:r>
              <w:rPr>
                <w:rFonts w:ascii="宋体" w:hAnsi="宋体" w:cs="宋体" w:eastAsia="宋体" w:hint="default"/>
                <w:sz w:val="21"/>
                <w:szCs w:val="21"/>
              </w:rPr>
              <w:t>股份</w:t>
            </w:r>
            <w:r>
              <w:rPr>
                <w:rFonts w:ascii="宋体" w:hAnsi="宋体" w:cs="宋体" w:eastAsia="宋体" w:hint="default"/>
                <w:spacing w:val="-103"/>
                <w:sz w:val="21"/>
                <w:szCs w:val="21"/>
              </w:rPr>
              <w:t> </w:t>
            </w:r>
            <w:r>
              <w:rPr>
                <w:rFonts w:ascii="宋体" w:hAnsi="宋体" w:cs="宋体" w:eastAsia="宋体" w:hint="default"/>
                <w:sz w:val="21"/>
                <w:szCs w:val="21"/>
              </w:rPr>
              <w:t>限售</w:t>
            </w:r>
          </w:p>
        </w:tc>
        <w:tc>
          <w:tcPr>
            <w:tcW w:w="25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8" w:right="-2"/>
              <w:jc w:val="both"/>
              <w:rPr>
                <w:rFonts w:ascii="宋体" w:hAnsi="宋体" w:cs="宋体" w:eastAsia="宋体" w:hint="default"/>
                <w:sz w:val="18"/>
                <w:szCs w:val="18"/>
              </w:rPr>
            </w:pPr>
            <w:r>
              <w:rPr>
                <w:rFonts w:ascii="宋体" w:hAnsi="宋体" w:cs="宋体" w:eastAsia="宋体" w:hint="default"/>
                <w:spacing w:val="3"/>
                <w:sz w:val="18"/>
                <w:szCs w:val="18"/>
              </w:rPr>
              <w:t>中国人寿保险股份有限公司；深</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圳市腾讯信达有限合伙企业（有</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限合伙）；宁波梅山保税港区百</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7"/>
                <w:sz w:val="18"/>
                <w:szCs w:val="18"/>
              </w:rPr>
              <w:t>度鹏寰投资合伙企业（有限合</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3"/>
                <w:sz w:val="18"/>
                <w:szCs w:val="18"/>
              </w:rPr>
              <w:t>伙）；宿迁京东三弘企业管理中</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心（有限合伙）；杭州阿里创业</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投资有限公司；苏宁易购集团股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份有限公司</w:t>
            </w:r>
            <w:r>
              <w:rPr>
                <w:rFonts w:ascii="宋体" w:hAnsi="宋体" w:cs="宋体" w:eastAsia="宋体" w:hint="default"/>
                <w:spacing w:val="-3"/>
                <w:sz w:val="18"/>
                <w:szCs w:val="18"/>
              </w:rPr>
              <w:t>*</w:t>
            </w:r>
            <w:r>
              <w:rPr>
                <w:rFonts w:ascii="宋体" w:hAnsi="宋体" w:cs="宋体" w:eastAsia="宋体" w:hint="default"/>
                <w:spacing w:val="-3"/>
                <w:sz w:val="18"/>
                <w:szCs w:val="18"/>
              </w:rPr>
              <w:t>；深圳光启互联技术</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3"/>
                <w:sz w:val="18"/>
                <w:szCs w:val="18"/>
              </w:rPr>
              <w:t>投资合伙企业（有限合伙）；深</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圳淮海方舟信息产业股权投资基</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3"/>
                <w:sz w:val="18"/>
                <w:szCs w:val="18"/>
              </w:rPr>
              <w:t>金（有限合伙）；兴全基金管理</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有限公司</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84"/>
              <w:jc w:val="both"/>
              <w:rPr>
                <w:rFonts w:ascii="宋体" w:hAnsi="宋体" w:cs="宋体" w:eastAsia="宋体" w:hint="default"/>
                <w:sz w:val="18"/>
                <w:szCs w:val="18"/>
              </w:rPr>
            </w:pPr>
            <w:r>
              <w:rPr>
                <w:rFonts w:ascii="宋体" w:hAnsi="宋体" w:cs="宋体" w:eastAsia="宋体" w:hint="default"/>
                <w:sz w:val="18"/>
                <w:szCs w:val="18"/>
              </w:rPr>
              <w:t>认购的本公司非公</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12"/>
                <w:sz w:val="18"/>
                <w:szCs w:val="18"/>
              </w:rPr>
              <w:t>开发行的 </w:t>
            </w:r>
            <w:r>
              <w:rPr>
                <w:rFonts w:ascii="宋体" w:hAnsi="宋体" w:cs="宋体" w:eastAsia="宋体" w:hint="default"/>
                <w:sz w:val="18"/>
                <w:szCs w:val="18"/>
              </w:rPr>
              <w:t>A</w:t>
            </w:r>
            <w:r>
              <w:rPr>
                <w:rFonts w:ascii="宋体" w:hAnsi="宋体" w:cs="宋体" w:eastAsia="宋体" w:hint="default"/>
                <w:spacing w:val="19"/>
                <w:sz w:val="18"/>
                <w:szCs w:val="18"/>
              </w:rPr>
              <w:t> </w:t>
            </w:r>
            <w:r>
              <w:rPr>
                <w:rFonts w:ascii="宋体" w:hAnsi="宋体" w:cs="宋体" w:eastAsia="宋体" w:hint="default"/>
                <w:spacing w:val="8"/>
                <w:sz w:val="18"/>
                <w:szCs w:val="18"/>
              </w:rPr>
              <w:t>股股</w:t>
            </w:r>
            <w:r>
              <w:rPr>
                <w:rFonts w:ascii="宋体" w:hAnsi="宋体" w:cs="宋体" w:eastAsia="宋体" w:hint="default"/>
                <w:spacing w:val="-74"/>
                <w:sz w:val="18"/>
                <w:szCs w:val="18"/>
              </w:rPr>
              <w:t> </w:t>
            </w:r>
            <w:r>
              <w:rPr>
                <w:rFonts w:ascii="宋体" w:hAnsi="宋体" w:cs="宋体" w:eastAsia="宋体" w:hint="default"/>
                <w:sz w:val="18"/>
                <w:szCs w:val="18"/>
              </w:rPr>
              <w:t>票，以及发行结束</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后基于本次认购的</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A</w:t>
            </w:r>
            <w:r>
              <w:rPr>
                <w:rFonts w:ascii="宋体" w:hAnsi="宋体" w:cs="宋体" w:eastAsia="宋体" w:hint="default"/>
                <w:spacing w:val="8"/>
                <w:sz w:val="18"/>
                <w:szCs w:val="18"/>
              </w:rPr>
              <w:t> </w:t>
            </w:r>
            <w:r>
              <w:rPr>
                <w:rFonts w:ascii="宋体" w:hAnsi="宋体" w:cs="宋体" w:eastAsia="宋体" w:hint="default"/>
                <w:sz w:val="18"/>
                <w:szCs w:val="18"/>
              </w:rPr>
              <w:t>股股票因公司派 发股票股利、转增</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股本而持有的公司</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股份，自股份登记</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完成之日起 </w:t>
            </w:r>
            <w:r>
              <w:rPr>
                <w:rFonts w:ascii="宋体" w:hAnsi="宋体" w:cs="宋体" w:eastAsia="宋体" w:hint="default"/>
                <w:sz w:val="18"/>
                <w:szCs w:val="18"/>
              </w:rPr>
              <w:t>36</w:t>
            </w:r>
            <w:r>
              <w:rPr>
                <w:rFonts w:ascii="宋体" w:hAnsi="宋体" w:cs="宋体" w:eastAsia="宋体" w:hint="default"/>
                <w:spacing w:val="7"/>
                <w:sz w:val="18"/>
                <w:szCs w:val="18"/>
              </w:rPr>
              <w:t> </w:t>
            </w:r>
            <w:r>
              <w:rPr>
                <w:rFonts w:ascii="宋体" w:hAnsi="宋体" w:cs="宋体" w:eastAsia="宋体" w:hint="default"/>
                <w:sz w:val="18"/>
                <w:szCs w:val="18"/>
              </w:rPr>
              <w:t>个 月内不得直接或间</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接转让</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4"/>
              <w:ind w:right="0"/>
              <w:jc w:val="left"/>
              <w:rPr>
                <w:rFonts w:ascii="Microsoft JhengHei" w:hAnsi="Microsoft JhengHei" w:cs="Microsoft JhengHei" w:eastAsia="Microsoft JhengHei" w:hint="default"/>
                <w:b/>
                <w:bCs/>
                <w:sz w:val="18"/>
                <w:szCs w:val="18"/>
              </w:rPr>
            </w:pPr>
          </w:p>
          <w:p>
            <w:pPr>
              <w:pStyle w:val="TableParagraph"/>
              <w:spacing w:line="316" w:lineRule="auto"/>
              <w:ind w:left="100" w:right="74"/>
              <w:jc w:val="both"/>
              <w:rPr>
                <w:rFonts w:ascii="宋体" w:hAnsi="宋体" w:cs="宋体" w:eastAsia="宋体" w:hint="default"/>
                <w:sz w:val="18"/>
                <w:szCs w:val="18"/>
              </w:rPr>
            </w:pPr>
            <w:r>
              <w:rPr>
                <w:rFonts w:ascii="宋体" w:hAnsi="宋体" w:cs="宋体" w:eastAsia="宋体" w:hint="default"/>
                <w:spacing w:val="5"/>
                <w:sz w:val="18"/>
                <w:szCs w:val="18"/>
              </w:rPr>
              <w:t>承诺时间：</w:t>
            </w:r>
            <w:r>
              <w:rPr>
                <w:rFonts w:ascii="宋体" w:hAnsi="宋体" w:cs="宋体" w:eastAsia="宋体" w:hint="default"/>
                <w:spacing w:val="5"/>
                <w:sz w:val="18"/>
                <w:szCs w:val="18"/>
              </w:rPr>
              <w:t>2017</w:t>
            </w:r>
            <w:r>
              <w:rPr>
                <w:rFonts w:ascii="宋体" w:hAnsi="宋体" w:cs="宋体" w:eastAsia="宋体" w:hint="default"/>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宋体" w:hAnsi="宋体" w:cs="宋体" w:eastAsia="宋体" w:hint="default"/>
                <w:sz w:val="18"/>
                <w:szCs w:val="18"/>
              </w:rPr>
              <w:t>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宋体" w:hAnsi="宋体" w:cs="宋体" w:eastAsia="宋体" w:hint="default"/>
                <w:sz w:val="18"/>
                <w:szCs w:val="18"/>
              </w:rPr>
              <w:t>16</w:t>
            </w:r>
            <w:r>
              <w:rPr>
                <w:rFonts w:ascii="宋体" w:hAnsi="宋体" w:cs="宋体" w:eastAsia="宋体" w:hint="default"/>
                <w:spacing w:val="-56"/>
                <w:sz w:val="18"/>
                <w:szCs w:val="18"/>
              </w:rPr>
              <w:t> </w:t>
            </w:r>
            <w:r>
              <w:rPr>
                <w:rFonts w:ascii="宋体" w:hAnsi="宋体" w:cs="宋体" w:eastAsia="宋体" w:hint="default"/>
                <w:sz w:val="18"/>
                <w:szCs w:val="18"/>
              </w:rPr>
              <w:t>日承诺 </w:t>
            </w:r>
            <w:r>
              <w:rPr>
                <w:rFonts w:ascii="宋体" w:hAnsi="宋体" w:cs="宋体" w:eastAsia="宋体" w:hint="default"/>
                <w:spacing w:val="18"/>
                <w:sz w:val="18"/>
                <w:szCs w:val="18"/>
              </w:rPr>
              <w:t>期限：</w:t>
            </w:r>
            <w:r>
              <w:rPr>
                <w:rFonts w:ascii="宋体" w:hAnsi="宋体" w:cs="宋体" w:eastAsia="宋体" w:hint="default"/>
                <w:spacing w:val="-64"/>
                <w:sz w:val="18"/>
                <w:szCs w:val="18"/>
              </w:rPr>
              <w:t> </w:t>
            </w:r>
            <w:r>
              <w:rPr>
                <w:rFonts w:ascii="宋体" w:hAnsi="宋体" w:cs="宋体" w:eastAsia="宋体" w:hint="default"/>
                <w:sz w:val="18"/>
                <w:szCs w:val="18"/>
              </w:rPr>
              <w:t>36</w:t>
            </w:r>
            <w:r>
              <w:rPr>
                <w:rFonts w:ascii="宋体" w:hAnsi="宋体" w:cs="宋体" w:eastAsia="宋体" w:hint="default"/>
                <w:spacing w:val="30"/>
                <w:sz w:val="18"/>
                <w:szCs w:val="18"/>
              </w:rPr>
              <w:t> </w:t>
            </w:r>
            <w:r>
              <w:rPr>
                <w:rFonts w:ascii="宋体" w:hAnsi="宋体" w:cs="宋体" w:eastAsia="宋体" w:hint="default"/>
                <w:spacing w:val="13"/>
                <w:sz w:val="18"/>
                <w:szCs w:val="18"/>
              </w:rPr>
              <w:t>个月</w:t>
            </w:r>
            <w:r>
              <w:rPr>
                <w:rFonts w:ascii="宋体" w:hAnsi="宋体" w:cs="宋体" w:eastAsia="宋体" w:hint="default"/>
                <w:spacing w:val="-64"/>
                <w:sz w:val="18"/>
                <w:szCs w:val="18"/>
              </w:rPr>
              <w:t> </w:t>
            </w:r>
            <w:r>
              <w:rPr>
                <w:rFonts w:ascii="宋体" w:hAnsi="宋体" w:cs="宋体" w:eastAsia="宋体" w:hint="default"/>
                <w:sz w:val="18"/>
                <w:szCs w:val="18"/>
              </w:rPr>
            </w:r>
          </w:p>
          <w:p>
            <w:pPr>
              <w:pStyle w:val="TableParagraph"/>
              <w:spacing w:line="316" w:lineRule="auto" w:before="19"/>
              <w:ind w:left="100" w:right="101"/>
              <w:jc w:val="both"/>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2017 </w:t>
            </w:r>
            <w:r>
              <w:rPr>
                <w:rFonts w:ascii="宋体" w:hAnsi="宋体" w:cs="宋体" w:eastAsia="宋体" w:hint="default"/>
                <w:sz w:val="18"/>
                <w:szCs w:val="18"/>
              </w:rPr>
              <w:t>年 </w:t>
            </w:r>
            <w:r>
              <w:rPr>
                <w:rFonts w:ascii="宋体" w:hAnsi="宋体" w:cs="宋体" w:eastAsia="宋体" w:hint="default"/>
                <w:sz w:val="18"/>
                <w:szCs w:val="18"/>
              </w:rPr>
              <w:t>10</w:t>
            </w:r>
            <w:r>
              <w:rPr>
                <w:rFonts w:ascii="宋体" w:hAnsi="宋体" w:cs="宋体" w:eastAsia="宋体" w:hint="default"/>
                <w:spacing w:val="-43"/>
                <w:sz w:val="18"/>
                <w:szCs w:val="18"/>
              </w:rPr>
              <w:t> </w:t>
            </w:r>
            <w:r>
              <w:rPr>
                <w:rFonts w:ascii="宋体" w:hAnsi="宋体" w:cs="宋体" w:eastAsia="宋体" w:hint="default"/>
                <w:sz w:val="18"/>
                <w:szCs w:val="18"/>
              </w:rPr>
              <w:t>月 </w:t>
            </w:r>
            <w:r>
              <w:rPr>
                <w:rFonts w:ascii="宋体" w:hAnsi="宋体" w:cs="宋体" w:eastAsia="宋体" w:hint="default"/>
                <w:sz w:val="18"/>
                <w:szCs w:val="18"/>
              </w:rPr>
              <w:t>31 </w:t>
            </w:r>
            <w:r>
              <w:rPr>
                <w:rFonts w:ascii="宋体" w:hAnsi="宋体" w:cs="宋体" w:eastAsia="宋体" w:hint="default"/>
                <w:sz w:val="18"/>
                <w:szCs w:val="18"/>
              </w:rPr>
              <w:t>日至 </w:t>
            </w:r>
            <w:r>
              <w:rPr>
                <w:rFonts w:ascii="宋体" w:hAnsi="宋体" w:cs="宋体" w:eastAsia="宋体" w:hint="default"/>
                <w:sz w:val="18"/>
                <w:szCs w:val="18"/>
              </w:rPr>
              <w:t>2020</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19"/>
              <w:ind w:left="100" w:right="0"/>
              <w:jc w:val="both"/>
              <w:rPr>
                <w:rFonts w:ascii="宋体" w:hAnsi="宋体" w:cs="宋体" w:eastAsia="宋体" w:hint="default"/>
                <w:sz w:val="18"/>
                <w:szCs w:val="18"/>
              </w:rPr>
            </w:pP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7"/>
              <w:ind w:left="1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7"/>
              <w:ind w:left="10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7"/>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7"/>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1882" w:hRule="exact"/>
        </w:trPr>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26"/>
                <w:szCs w:val="26"/>
              </w:rPr>
            </w:pPr>
          </w:p>
          <w:p>
            <w:pPr>
              <w:pStyle w:val="TableParagraph"/>
              <w:spacing w:line="273" w:lineRule="auto"/>
              <w:ind w:left="103" w:right="99"/>
              <w:jc w:val="both"/>
              <w:rPr>
                <w:rFonts w:ascii="宋体" w:hAnsi="宋体" w:cs="宋体" w:eastAsia="宋体" w:hint="default"/>
                <w:sz w:val="21"/>
                <w:szCs w:val="21"/>
              </w:rPr>
            </w:pPr>
            <w:r>
              <w:rPr>
                <w:rFonts w:ascii="宋体" w:hAnsi="宋体" w:cs="宋体" w:eastAsia="宋体" w:hint="default"/>
                <w:sz w:val="21"/>
                <w:szCs w:val="21"/>
              </w:rPr>
              <w:t>与股权激</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励相关的</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承诺</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2"/>
              <w:ind w:right="0"/>
              <w:jc w:val="left"/>
              <w:rPr>
                <w:rFonts w:ascii="Microsoft JhengHei" w:hAnsi="Microsoft JhengHei" w:cs="Microsoft JhengHei" w:eastAsia="Microsoft JhengHei" w:hint="default"/>
                <w:b/>
                <w:bCs/>
                <w:sz w:val="24"/>
                <w:szCs w:val="2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2"/>
              <w:ind w:right="0"/>
              <w:jc w:val="left"/>
              <w:rPr>
                <w:rFonts w:ascii="Microsoft JhengHei" w:hAnsi="Microsoft JhengHei" w:cs="Microsoft JhengHei" w:eastAsia="Microsoft JhengHei" w:hint="default"/>
                <w:b/>
                <w:bCs/>
                <w:sz w:val="24"/>
                <w:szCs w:val="2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11"/>
              <w:jc w:val="both"/>
              <w:rPr>
                <w:rFonts w:ascii="宋体" w:hAnsi="宋体" w:cs="宋体" w:eastAsia="宋体" w:hint="default"/>
                <w:sz w:val="18"/>
                <w:szCs w:val="18"/>
              </w:rPr>
            </w:pPr>
            <w:r>
              <w:rPr>
                <w:rFonts w:ascii="宋体" w:hAnsi="宋体" w:cs="宋体" w:eastAsia="宋体" w:hint="default"/>
                <w:sz w:val="18"/>
                <w:szCs w:val="18"/>
              </w:rPr>
              <w:t>不为激励对象依据 股权激励方案获得 的有关权益提供贷 款或任何形式的财 务资助，包括为其 贷款提供担保。</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8"/>
                <w:szCs w:val="18"/>
              </w:rPr>
            </w:pPr>
          </w:p>
          <w:p>
            <w:pPr>
              <w:pStyle w:val="TableParagraph"/>
              <w:spacing w:line="316" w:lineRule="auto"/>
              <w:ind w:left="100" w:right="102"/>
              <w:jc w:val="both"/>
              <w:rPr>
                <w:rFonts w:ascii="宋体" w:hAnsi="宋体" w:cs="宋体" w:eastAsia="宋体" w:hint="default"/>
                <w:sz w:val="18"/>
                <w:szCs w:val="18"/>
              </w:rPr>
            </w:pPr>
            <w:r>
              <w:rPr>
                <w:rFonts w:ascii="宋体" w:hAnsi="宋体" w:cs="宋体" w:eastAsia="宋体" w:hint="default"/>
                <w:spacing w:val="5"/>
                <w:sz w:val="18"/>
                <w:szCs w:val="18"/>
              </w:rPr>
              <w:t>承诺时间：</w:t>
            </w:r>
            <w:r>
              <w:rPr>
                <w:rFonts w:ascii="宋体" w:hAnsi="宋体" w:cs="宋体" w:eastAsia="宋体" w:hint="default"/>
                <w:spacing w:val="5"/>
                <w:sz w:val="18"/>
                <w:szCs w:val="18"/>
              </w:rPr>
              <w:t>2017</w:t>
            </w:r>
            <w:r>
              <w:rPr>
                <w:rFonts w:ascii="宋体" w:hAnsi="宋体" w:cs="宋体" w:eastAsia="宋体" w:hint="default"/>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宋体" w:hAnsi="宋体" w:cs="宋体" w:eastAsia="宋体" w:hint="default"/>
                <w:sz w:val="18"/>
                <w:szCs w:val="18"/>
              </w:rPr>
              <w:t>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宋体" w:hAnsi="宋体" w:cs="宋体" w:eastAsia="宋体" w:hint="default"/>
                <w:sz w:val="18"/>
                <w:szCs w:val="18"/>
              </w:rPr>
              <w:t>16</w:t>
            </w:r>
            <w:r>
              <w:rPr>
                <w:rFonts w:ascii="宋体" w:hAnsi="宋体" w:cs="宋体" w:eastAsia="宋体" w:hint="default"/>
                <w:spacing w:val="-56"/>
                <w:sz w:val="18"/>
                <w:szCs w:val="18"/>
              </w:rPr>
              <w:t> </w:t>
            </w:r>
            <w:r>
              <w:rPr>
                <w:rFonts w:ascii="宋体" w:hAnsi="宋体" w:cs="宋体" w:eastAsia="宋体" w:hint="default"/>
                <w:sz w:val="18"/>
                <w:szCs w:val="18"/>
              </w:rPr>
              <w:t>日承诺 </w:t>
            </w:r>
            <w:r>
              <w:rPr>
                <w:rFonts w:ascii="宋体" w:hAnsi="宋体" w:cs="宋体" w:eastAsia="宋体" w:hint="default"/>
                <w:spacing w:val="6"/>
                <w:sz w:val="18"/>
                <w:szCs w:val="18"/>
              </w:rPr>
              <w:t>期限：至承诺履</w:t>
            </w:r>
            <w:r>
              <w:rPr>
                <w:rFonts w:ascii="宋体" w:hAnsi="宋体" w:cs="宋体" w:eastAsia="宋体" w:hint="default"/>
                <w:sz w:val="18"/>
                <w:szCs w:val="18"/>
              </w:rPr>
              <w:t> 行完毕</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61"/>
              <w:ind w:left="1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61"/>
              <w:ind w:left="10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61"/>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61"/>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73" w:lineRule="auto" w:before="0"/>
        <w:ind w:left="1098" w:right="373" w:firstLine="0"/>
        <w:jc w:val="left"/>
        <w:rPr>
          <w:rFonts w:ascii="宋体" w:hAnsi="宋体" w:cs="宋体" w:eastAsia="宋体" w:hint="default"/>
          <w:sz w:val="21"/>
          <w:szCs w:val="21"/>
        </w:rPr>
      </w:pPr>
      <w:r>
        <w:rPr>
          <w:rFonts w:ascii="宋体" w:hAnsi="宋体" w:cs="宋体" w:eastAsia="宋体" w:hint="default"/>
          <w:spacing w:val="-5"/>
          <w:sz w:val="21"/>
          <w:szCs w:val="21"/>
        </w:rPr>
        <w:t>注：根据公开披露信息，</w:t>
      </w:r>
      <w:r>
        <w:rPr>
          <w:rFonts w:ascii="宋体" w:hAnsi="宋体" w:cs="宋体" w:eastAsia="宋体" w:hint="default"/>
          <w:spacing w:val="-5"/>
          <w:sz w:val="21"/>
          <w:szCs w:val="21"/>
        </w:rPr>
        <w:t>2018</w:t>
      </w:r>
      <w:r>
        <w:rPr>
          <w:rFonts w:ascii="宋体" w:hAnsi="宋体" w:cs="宋体" w:eastAsia="宋体" w:hint="default"/>
          <w:spacing w:val="-39"/>
          <w:sz w:val="21"/>
          <w:szCs w:val="21"/>
        </w:rPr>
        <w:t> </w:t>
      </w:r>
      <w:r>
        <w:rPr>
          <w:rFonts w:ascii="宋体" w:hAnsi="宋体" w:cs="宋体" w:eastAsia="宋体" w:hint="default"/>
          <w:sz w:val="21"/>
          <w:szCs w:val="21"/>
        </w:rPr>
        <w:t>年</w:t>
      </w:r>
      <w:r>
        <w:rPr>
          <w:rFonts w:ascii="宋体" w:hAnsi="宋体" w:cs="宋体" w:eastAsia="宋体" w:hint="default"/>
          <w:spacing w:val="-43"/>
          <w:sz w:val="21"/>
          <w:szCs w:val="21"/>
        </w:rPr>
        <w:t> </w:t>
      </w:r>
      <w:r>
        <w:rPr>
          <w:rFonts w:ascii="宋体" w:hAnsi="宋体" w:cs="宋体" w:eastAsia="宋体" w:hint="default"/>
          <w:sz w:val="21"/>
          <w:szCs w:val="21"/>
        </w:rPr>
        <w:t>2</w:t>
      </w:r>
      <w:r>
        <w:rPr>
          <w:rFonts w:ascii="宋体" w:hAnsi="宋体" w:cs="宋体" w:eastAsia="宋体" w:hint="default"/>
          <w:spacing w:val="-40"/>
          <w:sz w:val="21"/>
          <w:szCs w:val="21"/>
        </w:rPr>
        <w:t> </w:t>
      </w:r>
      <w:r>
        <w:rPr>
          <w:rFonts w:ascii="宋体" w:hAnsi="宋体" w:cs="宋体" w:eastAsia="宋体" w:hint="default"/>
          <w:sz w:val="21"/>
          <w:szCs w:val="21"/>
        </w:rPr>
        <w:t>月</w:t>
      </w:r>
      <w:r>
        <w:rPr>
          <w:rFonts w:ascii="宋体" w:hAnsi="宋体" w:cs="宋体" w:eastAsia="宋体" w:hint="default"/>
          <w:spacing w:val="-43"/>
          <w:sz w:val="21"/>
          <w:szCs w:val="21"/>
        </w:rPr>
        <w:t> </w:t>
      </w:r>
      <w:r>
        <w:rPr>
          <w:rFonts w:ascii="宋体" w:hAnsi="宋体" w:cs="宋体" w:eastAsia="宋体" w:hint="default"/>
          <w:sz w:val="21"/>
          <w:szCs w:val="21"/>
        </w:rPr>
        <w:t>5</w:t>
      </w:r>
      <w:r>
        <w:rPr>
          <w:rFonts w:ascii="宋体" w:hAnsi="宋体" w:cs="宋体" w:eastAsia="宋体" w:hint="default"/>
          <w:spacing w:val="-40"/>
          <w:sz w:val="21"/>
          <w:szCs w:val="21"/>
        </w:rPr>
        <w:t> </w:t>
      </w:r>
      <w:r>
        <w:rPr>
          <w:rFonts w:ascii="宋体" w:hAnsi="宋体" w:cs="宋体" w:eastAsia="宋体" w:hint="default"/>
          <w:spacing w:val="-3"/>
          <w:sz w:val="21"/>
          <w:szCs w:val="21"/>
        </w:rPr>
        <w:t>日，公司股东“苏宁云商集团股份有限公司”名称变更为“苏</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宁易购集团股份有限公司”（简称“苏宁易购”）</w:t>
      </w:r>
    </w:p>
    <w:p>
      <w:pPr>
        <w:spacing w:line="240" w:lineRule="auto" w:before="12"/>
        <w:rPr>
          <w:rFonts w:ascii="宋体" w:hAnsi="宋体" w:cs="宋体" w:eastAsia="宋体" w:hint="default"/>
          <w:sz w:val="23"/>
          <w:szCs w:val="23"/>
        </w:rPr>
      </w:pPr>
    </w:p>
    <w:p>
      <w:pPr>
        <w:spacing w:line="242" w:lineRule="auto" w:before="0"/>
        <w:ind w:left="1098" w:right="373"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二</w:t>
      </w:r>
      <w:r>
        <w:rPr>
          <w:rFonts w:ascii="Calibri" w:hAnsi="Calibri" w:cs="Calibri" w:eastAsia="Calibri" w:hint="default"/>
          <w:b/>
          <w:bCs/>
          <w:sz w:val="21"/>
          <w:szCs w:val="21"/>
        </w:rPr>
        <w:t>) </w:t>
      </w:r>
      <w:r>
        <w:rPr>
          <w:rFonts w:ascii="Microsoft JhengHei" w:hAnsi="Microsoft JhengHei" w:cs="Microsoft JhengHei" w:eastAsia="Microsoft JhengHei" w:hint="default"/>
          <w:b/>
          <w:bCs/>
          <w:sz w:val="21"/>
          <w:szCs w:val="21"/>
        </w:rPr>
        <w:t>公司资产或项目存在盈利预测，且报告期仍处在盈利预测期间，公司就资产或项目</w:t>
      </w:r>
      <w:r>
        <w:rPr>
          <w:rFonts w:ascii="Microsoft JhengHei" w:hAnsi="Microsoft JhengHei" w:cs="Microsoft JhengHei" w:eastAsia="Microsoft JhengHei" w:hint="default"/>
          <w:b/>
          <w:bCs/>
          <w:spacing w:val="-45"/>
          <w:sz w:val="21"/>
          <w:szCs w:val="21"/>
        </w:rPr>
        <w:t> </w:t>
      </w:r>
      <w:r>
        <w:rPr>
          <w:rFonts w:ascii="Microsoft JhengHei" w:hAnsi="Microsoft JhengHei" w:cs="Microsoft JhengHei" w:eastAsia="Microsoft JhengHei" w:hint="default"/>
          <w:b/>
          <w:bCs/>
          <w:spacing w:val="-45"/>
          <w:sz w:val="21"/>
          <w:szCs w:val="21"/>
        </w:rPr>
      </w:r>
      <w:r>
        <w:rPr>
          <w:rFonts w:ascii="Microsoft JhengHei" w:hAnsi="Microsoft JhengHei" w:cs="Microsoft JhengHei" w:eastAsia="Microsoft JhengHei" w:hint="default"/>
          <w:b/>
          <w:bCs/>
          <w:sz w:val="21"/>
          <w:szCs w:val="21"/>
        </w:rPr>
        <w:t>是否达到原盈利预测及其原因作出说明</w:t>
      </w:r>
      <w:r>
        <w:rPr>
          <w:rFonts w:ascii="Microsoft JhengHei" w:hAnsi="Microsoft JhengHei" w:cs="Microsoft JhengHei" w:eastAsia="Microsoft JhengHei" w:hint="default"/>
          <w:sz w:val="21"/>
          <w:szCs w:val="21"/>
        </w:rPr>
      </w:r>
    </w:p>
    <w:p>
      <w:pPr>
        <w:spacing w:before="10"/>
        <w:ind w:left="1098" w:right="373" w:firstLine="0"/>
        <w:jc w:val="left"/>
        <w:rPr>
          <w:rFonts w:ascii="宋体" w:hAnsi="宋体" w:cs="宋体" w:eastAsia="宋体" w:hint="default"/>
          <w:sz w:val="21"/>
          <w:szCs w:val="21"/>
        </w:rPr>
      </w:pPr>
      <w:r>
        <w:rPr>
          <w:rFonts w:ascii="宋体" w:hAnsi="宋体" w:cs="宋体" w:eastAsia="宋体" w:hint="default"/>
          <w:sz w:val="21"/>
          <w:szCs w:val="21"/>
        </w:rPr>
        <w:t>□已达到 □未达到</w:t>
      </w:r>
      <w:r>
        <w:rPr>
          <w:rFonts w:ascii="宋体" w:hAnsi="宋体" w:cs="宋体" w:eastAsia="宋体" w:hint="default"/>
          <w:spacing w:val="1"/>
          <w:sz w:val="21"/>
          <w:szCs w:val="21"/>
        </w:rPr>
        <w:t> </w:t>
      </w:r>
      <w:r>
        <w:rPr>
          <w:rFonts w:ascii="宋体" w:hAnsi="宋体" w:cs="宋体" w:eastAsia="宋体" w:hint="default"/>
          <w:sz w:val="21"/>
          <w:szCs w:val="21"/>
        </w:rPr>
        <w:t>√不适用</w:t>
      </w:r>
    </w:p>
    <w:p>
      <w:pPr>
        <w:spacing w:line="240" w:lineRule="auto" w:before="2"/>
        <w:rPr>
          <w:rFonts w:ascii="宋体" w:hAnsi="宋体" w:cs="宋体" w:eastAsia="宋体" w:hint="default"/>
          <w:sz w:val="26"/>
          <w:szCs w:val="26"/>
        </w:rPr>
      </w:pPr>
    </w:p>
    <w:p>
      <w:pPr>
        <w:spacing w:before="0"/>
        <w:ind w:left="1098" w:right="373"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三</w:t>
      </w:r>
      <w:r>
        <w:rPr>
          <w:rFonts w:ascii="Calibri" w:hAnsi="Calibri" w:cs="Calibri" w:eastAsia="Calibri" w:hint="default"/>
          <w:b/>
          <w:bCs/>
          <w:sz w:val="21"/>
          <w:szCs w:val="21"/>
        </w:rPr>
        <w:t>)</w:t>
      </w:r>
      <w:r>
        <w:rPr>
          <w:rFonts w:ascii="Calibri" w:hAnsi="Calibri" w:cs="Calibri" w:eastAsia="Calibri" w:hint="default"/>
          <w:b/>
          <w:bCs/>
          <w:spacing w:val="46"/>
          <w:sz w:val="21"/>
          <w:szCs w:val="21"/>
        </w:rPr>
        <w:t> </w:t>
      </w:r>
      <w:r>
        <w:rPr>
          <w:rFonts w:ascii="Microsoft JhengHei" w:hAnsi="Microsoft JhengHei" w:cs="Microsoft JhengHei" w:eastAsia="Microsoft JhengHei" w:hint="default"/>
          <w:b/>
          <w:bCs/>
          <w:sz w:val="21"/>
          <w:szCs w:val="21"/>
        </w:rPr>
        <w:t>业绩承诺的完成情况及其对商誉减值测试的影响</w:t>
      </w:r>
      <w:r>
        <w:rPr>
          <w:rFonts w:ascii="Microsoft JhengHei" w:hAnsi="Microsoft JhengHei" w:cs="Microsoft JhengHei" w:eastAsia="Microsoft JhengHei" w:hint="default"/>
          <w:sz w:val="21"/>
          <w:szCs w:val="21"/>
        </w:rPr>
      </w:r>
    </w:p>
    <w:p>
      <w:pPr>
        <w:spacing w:before="70"/>
        <w:ind w:left="1098" w:right="373"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3"/>
        <w:rPr>
          <w:rFonts w:ascii="宋体" w:hAnsi="宋体" w:cs="宋体" w:eastAsia="宋体" w:hint="default"/>
          <w:sz w:val="26"/>
          <w:szCs w:val="26"/>
        </w:rPr>
      </w:pPr>
    </w:p>
    <w:p>
      <w:pPr>
        <w:spacing w:before="0"/>
        <w:ind w:left="1098" w:right="37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三、报告期内资金被占用情况及清欠进展情况</w:t>
      </w:r>
      <w:r>
        <w:rPr>
          <w:rFonts w:ascii="Microsoft JhengHei" w:hAnsi="Microsoft JhengHei" w:cs="Microsoft JhengHei" w:eastAsia="Microsoft JhengHei" w:hint="default"/>
          <w:sz w:val="21"/>
          <w:szCs w:val="21"/>
        </w:rPr>
      </w:r>
    </w:p>
    <w:p>
      <w:pPr>
        <w:spacing w:before="73"/>
        <w:ind w:left="1098" w:right="373"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2"/>
        <w:rPr>
          <w:rFonts w:ascii="宋体" w:hAnsi="宋体" w:cs="宋体" w:eastAsia="宋体" w:hint="default"/>
          <w:sz w:val="26"/>
          <w:szCs w:val="26"/>
        </w:rPr>
      </w:pPr>
    </w:p>
    <w:p>
      <w:pPr>
        <w:spacing w:before="0"/>
        <w:ind w:left="1098" w:right="37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四、公司对会计师事务所“非标准意见审计报告”的说明</w:t>
      </w:r>
      <w:r>
        <w:rPr>
          <w:rFonts w:ascii="Microsoft JhengHei" w:hAnsi="Microsoft JhengHei" w:cs="Microsoft JhengHei" w:eastAsia="Microsoft JhengHei" w:hint="default"/>
          <w:sz w:val="21"/>
          <w:szCs w:val="21"/>
        </w:rPr>
      </w:r>
    </w:p>
    <w:p>
      <w:pPr>
        <w:spacing w:before="73"/>
        <w:ind w:left="1098" w:right="373"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2"/>
        <w:rPr>
          <w:rFonts w:ascii="宋体" w:hAnsi="宋体" w:cs="宋体" w:eastAsia="宋体" w:hint="default"/>
          <w:sz w:val="26"/>
          <w:szCs w:val="26"/>
        </w:rPr>
      </w:pPr>
    </w:p>
    <w:p>
      <w:pPr>
        <w:spacing w:before="0"/>
        <w:ind w:left="1098" w:right="37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五、公司对会计政策、会计估计变更或重大会计差错更正原因和影响的分析说明</w:t>
      </w:r>
      <w:r>
        <w:rPr>
          <w:rFonts w:ascii="Microsoft JhengHei" w:hAnsi="Microsoft JhengHei" w:cs="Microsoft JhengHei" w:eastAsia="Microsoft JhengHei" w:hint="default"/>
          <w:sz w:val="21"/>
          <w:szCs w:val="21"/>
        </w:rPr>
      </w:r>
    </w:p>
    <w:p>
      <w:pPr>
        <w:spacing w:line="324" w:lineRule="auto" w:before="6"/>
        <w:ind w:left="1518" w:right="373" w:hanging="420"/>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（一）公司对会计政策、会计估计变更原因及影响的分析说明</w:t>
      </w:r>
      <w:r>
        <w:rPr>
          <w:rFonts w:ascii="Microsoft JhengHei" w:hAnsi="Microsoft JhengHei" w:cs="Microsoft JhengHei" w:eastAsia="Microsoft JhengHei" w:hint="default"/>
          <w:b/>
          <w:bCs/>
          <w:spacing w:val="-34"/>
          <w:sz w:val="21"/>
          <w:szCs w:val="21"/>
        </w:rPr>
        <w:t> </w:t>
      </w:r>
      <w:r>
        <w:rPr>
          <w:rFonts w:ascii="Microsoft JhengHei" w:hAnsi="Microsoft JhengHei" w:cs="Microsoft JhengHei" w:eastAsia="Microsoft JhengHei" w:hint="default"/>
          <w:b/>
          <w:bCs/>
          <w:spacing w:val="-34"/>
          <w:sz w:val="21"/>
          <w:szCs w:val="21"/>
        </w:rPr>
      </w:r>
      <w:r>
        <w:rPr>
          <w:rFonts w:ascii="宋体" w:hAnsi="宋体" w:cs="宋体" w:eastAsia="宋体" w:hint="default"/>
          <w:spacing w:val="-2"/>
          <w:sz w:val="21"/>
          <w:szCs w:val="21"/>
        </w:rPr>
        <w:t>本集团于</w:t>
      </w:r>
      <w:r>
        <w:rPr>
          <w:rFonts w:ascii="宋体" w:hAnsi="宋体" w:cs="宋体" w:eastAsia="宋体" w:hint="default"/>
          <w:spacing w:val="-2"/>
          <w:sz w:val="21"/>
          <w:szCs w:val="21"/>
        </w:rPr>
        <w:t>2019</w:t>
      </w:r>
      <w:r>
        <w:rPr>
          <w:rFonts w:ascii="宋体" w:hAnsi="宋体" w:cs="宋体" w:eastAsia="宋体" w:hint="default"/>
          <w:spacing w:val="-2"/>
          <w:sz w:val="21"/>
          <w:szCs w:val="21"/>
        </w:rPr>
        <w:t>年度执行了财政部于近年颁布的以下企业会计准则修订：</w:t>
      </w:r>
    </w:p>
    <w:p>
      <w:pPr>
        <w:tabs>
          <w:tab w:pos="1938" w:val="left" w:leader="none"/>
        </w:tabs>
        <w:spacing w:before="12"/>
        <w:ind w:left="1566" w:right="373" w:firstLine="0"/>
        <w:jc w:val="left"/>
        <w:rPr>
          <w:rFonts w:ascii="宋体" w:hAnsi="宋体" w:cs="宋体" w:eastAsia="宋体" w:hint="default"/>
          <w:sz w:val="21"/>
          <w:szCs w:val="21"/>
        </w:rPr>
      </w:pPr>
      <w:r>
        <w:rPr>
          <w:rFonts w:ascii="宋体" w:hAnsi="宋体" w:cs="宋体" w:eastAsia="宋体" w:hint="default"/>
          <w:sz w:val="21"/>
          <w:szCs w:val="21"/>
        </w:rPr>
        <w:t>-</w:t>
        <w:tab/>
      </w:r>
      <w:r>
        <w:rPr>
          <w:rFonts w:ascii="宋体" w:hAnsi="宋体" w:cs="宋体" w:eastAsia="宋体" w:hint="default"/>
          <w:sz w:val="21"/>
          <w:szCs w:val="21"/>
        </w:rPr>
        <w:t>《企业会计准则第</w:t>
      </w:r>
      <w:r>
        <w:rPr>
          <w:rFonts w:ascii="宋体" w:hAnsi="宋体" w:cs="宋体" w:eastAsia="宋体" w:hint="default"/>
          <w:sz w:val="21"/>
          <w:szCs w:val="21"/>
        </w:rPr>
        <w:t>21</w:t>
      </w:r>
      <w:r>
        <w:rPr>
          <w:rFonts w:ascii="宋体" w:hAnsi="宋体" w:cs="宋体" w:eastAsia="宋体" w:hint="default"/>
          <w:sz w:val="21"/>
          <w:szCs w:val="21"/>
        </w:rPr>
        <w:t>号——租赁</w:t>
      </w:r>
      <w:r>
        <w:rPr>
          <w:rFonts w:ascii="宋体" w:hAnsi="宋体" w:cs="宋体" w:eastAsia="宋体" w:hint="default"/>
          <w:sz w:val="21"/>
          <w:szCs w:val="21"/>
        </w:rPr>
        <w:t>(</w:t>
      </w:r>
      <w:r>
        <w:rPr>
          <w:rFonts w:ascii="宋体" w:hAnsi="宋体" w:cs="宋体" w:eastAsia="宋体" w:hint="default"/>
          <w:sz w:val="21"/>
          <w:szCs w:val="21"/>
        </w:rPr>
        <w:t>修订</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“新租赁准则”</w:t>
      </w:r>
      <w:r>
        <w:rPr>
          <w:rFonts w:ascii="宋体" w:hAnsi="宋体" w:cs="宋体" w:eastAsia="宋体" w:hint="default"/>
          <w:sz w:val="21"/>
          <w:szCs w:val="21"/>
        </w:rPr>
        <w:t>)</w:t>
      </w:r>
    </w:p>
    <w:p>
      <w:pPr>
        <w:tabs>
          <w:tab w:pos="1938" w:val="left" w:leader="none"/>
        </w:tabs>
        <w:spacing w:before="85"/>
        <w:ind w:left="1566" w:right="373" w:firstLine="0"/>
        <w:jc w:val="left"/>
        <w:rPr>
          <w:rFonts w:ascii="宋体" w:hAnsi="宋体" w:cs="宋体" w:eastAsia="宋体" w:hint="default"/>
          <w:sz w:val="21"/>
          <w:szCs w:val="21"/>
        </w:rPr>
      </w:pPr>
      <w:r>
        <w:rPr>
          <w:rFonts w:ascii="宋体" w:hAnsi="宋体" w:cs="宋体" w:eastAsia="宋体" w:hint="default"/>
          <w:sz w:val="21"/>
          <w:szCs w:val="21"/>
        </w:rPr>
        <w:t>-</w:t>
        <w:tab/>
      </w:r>
      <w:r>
        <w:rPr>
          <w:rFonts w:ascii="宋体" w:hAnsi="宋体" w:cs="宋体" w:eastAsia="宋体" w:hint="default"/>
          <w:sz w:val="21"/>
          <w:szCs w:val="21"/>
        </w:rPr>
        <w:t>《关于修订印发</w:t>
      </w:r>
      <w:r>
        <w:rPr>
          <w:rFonts w:ascii="宋体" w:hAnsi="宋体" w:cs="宋体" w:eastAsia="宋体" w:hint="default"/>
          <w:sz w:val="21"/>
          <w:szCs w:val="21"/>
        </w:rPr>
        <w:t>2019</w:t>
      </w:r>
      <w:r>
        <w:rPr>
          <w:rFonts w:ascii="宋体" w:hAnsi="宋体" w:cs="宋体" w:eastAsia="宋体" w:hint="default"/>
          <w:sz w:val="21"/>
          <w:szCs w:val="21"/>
        </w:rPr>
        <w:t>年度一般企业财务报表格式的通知》</w:t>
      </w:r>
      <w:r>
        <w:rPr>
          <w:rFonts w:ascii="宋体" w:hAnsi="宋体" w:cs="宋体" w:eastAsia="宋体" w:hint="default"/>
          <w:sz w:val="21"/>
          <w:szCs w:val="21"/>
        </w:rPr>
        <w:t>(</w:t>
      </w:r>
      <w:r>
        <w:rPr>
          <w:rFonts w:ascii="宋体" w:hAnsi="宋体" w:cs="宋体" w:eastAsia="宋体" w:hint="default"/>
          <w:sz w:val="21"/>
          <w:szCs w:val="21"/>
        </w:rPr>
        <w:t>财会</w:t>
      </w:r>
      <w:r>
        <w:rPr>
          <w:rFonts w:ascii="宋体" w:hAnsi="宋体" w:cs="宋体" w:eastAsia="宋体" w:hint="default"/>
          <w:sz w:val="21"/>
          <w:szCs w:val="21"/>
        </w:rPr>
        <w:t>[2019]6</w:t>
      </w:r>
      <w:r>
        <w:rPr>
          <w:rFonts w:ascii="宋体" w:hAnsi="宋体" w:cs="宋体" w:eastAsia="宋体" w:hint="default"/>
          <w:sz w:val="21"/>
          <w:szCs w:val="21"/>
        </w:rPr>
        <w:t>号</w:t>
      </w:r>
      <w:r>
        <w:rPr>
          <w:rFonts w:ascii="宋体" w:hAnsi="宋体" w:cs="宋体" w:eastAsia="宋体" w:hint="default"/>
          <w:sz w:val="21"/>
          <w:szCs w:val="21"/>
        </w:rPr>
        <w:t>)</w:t>
      </w:r>
      <w:r>
        <w:rPr>
          <w:rFonts w:ascii="宋体" w:hAnsi="宋体" w:cs="宋体" w:eastAsia="宋体" w:hint="default"/>
          <w:sz w:val="21"/>
          <w:szCs w:val="21"/>
        </w:rPr>
        <w:t>；</w:t>
      </w:r>
    </w:p>
    <w:p>
      <w:pPr>
        <w:spacing w:after="0"/>
        <w:jc w:val="left"/>
        <w:rPr>
          <w:rFonts w:ascii="宋体" w:hAnsi="宋体" w:cs="宋体" w:eastAsia="宋体" w:hint="default"/>
          <w:sz w:val="21"/>
          <w:szCs w:val="21"/>
        </w:rPr>
        <w:sectPr>
          <w:footerReference w:type="default" r:id="rId41"/>
          <w:pgSz w:w="11910" w:h="16840"/>
          <w:pgMar w:footer="502" w:header="854" w:top="1360" w:bottom="700" w:left="320" w:right="140"/>
        </w:sectPr>
      </w:pPr>
    </w:p>
    <w:p>
      <w:pPr>
        <w:spacing w:line="240" w:lineRule="auto" w:before="13"/>
        <w:rPr>
          <w:rFonts w:ascii="宋体" w:hAnsi="宋体" w:cs="宋体" w:eastAsia="宋体" w:hint="default"/>
          <w:sz w:val="12"/>
          <w:szCs w:val="12"/>
        </w:rPr>
      </w:pPr>
    </w:p>
    <w:p>
      <w:pPr>
        <w:tabs>
          <w:tab w:pos="1058" w:val="left" w:leader="none"/>
        </w:tabs>
        <w:spacing w:before="36"/>
        <w:ind w:left="686" w:right="0" w:firstLine="0"/>
        <w:jc w:val="left"/>
        <w:rPr>
          <w:rFonts w:ascii="宋体" w:hAnsi="宋体" w:cs="宋体" w:eastAsia="宋体" w:hint="default"/>
          <w:sz w:val="21"/>
          <w:szCs w:val="21"/>
        </w:rPr>
      </w:pPr>
      <w:r>
        <w:rPr>
          <w:rFonts w:ascii="宋体" w:hAnsi="宋体" w:cs="宋体" w:eastAsia="宋体" w:hint="default"/>
          <w:sz w:val="21"/>
          <w:szCs w:val="21"/>
        </w:rPr>
        <w:t>-</w:t>
        <w:tab/>
      </w:r>
      <w:r>
        <w:rPr>
          <w:rFonts w:ascii="宋体" w:hAnsi="宋体" w:cs="宋体" w:eastAsia="宋体" w:hint="default"/>
          <w:sz w:val="21"/>
          <w:szCs w:val="21"/>
        </w:rPr>
        <w:t>《企业会计准则第</w:t>
      </w:r>
      <w:r>
        <w:rPr>
          <w:rFonts w:ascii="宋体" w:hAnsi="宋体" w:cs="宋体" w:eastAsia="宋体" w:hint="default"/>
          <w:sz w:val="21"/>
          <w:szCs w:val="21"/>
        </w:rPr>
        <w:t>7</w:t>
      </w:r>
      <w:r>
        <w:rPr>
          <w:rFonts w:ascii="宋体" w:hAnsi="宋体" w:cs="宋体" w:eastAsia="宋体" w:hint="default"/>
          <w:sz w:val="21"/>
          <w:szCs w:val="21"/>
        </w:rPr>
        <w:t>号——非货币性资产交换（修订）》</w:t>
      </w:r>
      <w:r>
        <w:rPr>
          <w:rFonts w:ascii="宋体" w:hAnsi="宋体" w:cs="宋体" w:eastAsia="宋体" w:hint="default"/>
          <w:sz w:val="21"/>
          <w:szCs w:val="21"/>
        </w:rPr>
        <w:t>(</w:t>
      </w:r>
      <w:r>
        <w:rPr>
          <w:rFonts w:ascii="宋体" w:hAnsi="宋体" w:cs="宋体" w:eastAsia="宋体" w:hint="default"/>
          <w:sz w:val="21"/>
          <w:szCs w:val="21"/>
        </w:rPr>
        <w:t>“准则</w:t>
      </w:r>
      <w:r>
        <w:rPr>
          <w:rFonts w:ascii="宋体" w:hAnsi="宋体" w:cs="宋体" w:eastAsia="宋体" w:hint="default"/>
          <w:sz w:val="21"/>
          <w:szCs w:val="21"/>
        </w:rPr>
        <w:t>7</w:t>
      </w:r>
      <w:r>
        <w:rPr>
          <w:rFonts w:ascii="宋体" w:hAnsi="宋体" w:cs="宋体" w:eastAsia="宋体" w:hint="default"/>
          <w:sz w:val="21"/>
          <w:szCs w:val="21"/>
        </w:rPr>
        <w:t>号</w:t>
      </w:r>
      <w:r>
        <w:rPr>
          <w:rFonts w:ascii="宋体" w:hAnsi="宋体" w:cs="宋体" w:eastAsia="宋体" w:hint="default"/>
          <w:sz w:val="21"/>
          <w:szCs w:val="21"/>
        </w:rPr>
        <w:t>(2019)</w:t>
      </w:r>
      <w:r>
        <w:rPr>
          <w:rFonts w:ascii="宋体" w:hAnsi="宋体" w:cs="宋体" w:eastAsia="宋体" w:hint="default"/>
          <w:sz w:val="21"/>
          <w:szCs w:val="21"/>
        </w:rPr>
        <w:t>”</w:t>
      </w:r>
      <w:r>
        <w:rPr>
          <w:rFonts w:ascii="宋体" w:hAnsi="宋体" w:cs="宋体" w:eastAsia="宋体" w:hint="default"/>
          <w:sz w:val="21"/>
          <w:szCs w:val="21"/>
        </w:rPr>
        <w:t>)</w:t>
      </w:r>
    </w:p>
    <w:p>
      <w:pPr>
        <w:tabs>
          <w:tab w:pos="1058" w:val="left" w:leader="none"/>
        </w:tabs>
        <w:spacing w:before="85"/>
        <w:ind w:left="686" w:right="0" w:firstLine="0"/>
        <w:jc w:val="left"/>
        <w:rPr>
          <w:rFonts w:ascii="宋体" w:hAnsi="宋体" w:cs="宋体" w:eastAsia="宋体" w:hint="default"/>
          <w:sz w:val="21"/>
          <w:szCs w:val="21"/>
        </w:rPr>
      </w:pPr>
      <w:r>
        <w:rPr>
          <w:rFonts w:ascii="宋体" w:hAnsi="宋体" w:cs="宋体" w:eastAsia="宋体" w:hint="default"/>
          <w:sz w:val="21"/>
          <w:szCs w:val="21"/>
        </w:rPr>
        <w:t>-</w:t>
        <w:tab/>
      </w:r>
      <w:r>
        <w:rPr>
          <w:rFonts w:ascii="宋体" w:hAnsi="宋体" w:cs="宋体" w:eastAsia="宋体" w:hint="default"/>
          <w:sz w:val="21"/>
          <w:szCs w:val="21"/>
        </w:rPr>
        <w:t>《企业会计准则第</w:t>
      </w:r>
      <w:r>
        <w:rPr>
          <w:rFonts w:ascii="宋体" w:hAnsi="宋体" w:cs="宋体" w:eastAsia="宋体" w:hint="default"/>
          <w:sz w:val="21"/>
          <w:szCs w:val="21"/>
        </w:rPr>
        <w:t>12</w:t>
      </w:r>
      <w:r>
        <w:rPr>
          <w:rFonts w:ascii="宋体" w:hAnsi="宋体" w:cs="宋体" w:eastAsia="宋体" w:hint="default"/>
          <w:sz w:val="21"/>
          <w:szCs w:val="21"/>
        </w:rPr>
        <w:t>号——债务重组（修订）》</w:t>
      </w:r>
      <w:r>
        <w:rPr>
          <w:rFonts w:ascii="宋体" w:hAnsi="宋体" w:cs="宋体" w:eastAsia="宋体" w:hint="default"/>
          <w:sz w:val="21"/>
          <w:szCs w:val="21"/>
        </w:rPr>
        <w:t>(</w:t>
      </w:r>
      <w:r>
        <w:rPr>
          <w:rFonts w:ascii="宋体" w:hAnsi="宋体" w:cs="宋体" w:eastAsia="宋体" w:hint="default"/>
          <w:sz w:val="21"/>
          <w:szCs w:val="21"/>
        </w:rPr>
        <w:t>“准则</w:t>
      </w:r>
      <w:r>
        <w:rPr>
          <w:rFonts w:ascii="宋体" w:hAnsi="宋体" w:cs="宋体" w:eastAsia="宋体" w:hint="default"/>
          <w:sz w:val="21"/>
          <w:szCs w:val="21"/>
        </w:rPr>
        <w:t>12</w:t>
      </w:r>
      <w:r>
        <w:rPr>
          <w:rFonts w:ascii="宋体" w:hAnsi="宋体" w:cs="宋体" w:eastAsia="宋体" w:hint="default"/>
          <w:sz w:val="21"/>
          <w:szCs w:val="21"/>
        </w:rPr>
        <w:t>号</w:t>
      </w:r>
      <w:r>
        <w:rPr>
          <w:rFonts w:ascii="宋体" w:hAnsi="宋体" w:cs="宋体" w:eastAsia="宋体" w:hint="default"/>
          <w:sz w:val="21"/>
          <w:szCs w:val="21"/>
        </w:rPr>
        <w:t>(2019)</w:t>
      </w:r>
      <w:r>
        <w:rPr>
          <w:rFonts w:ascii="宋体" w:hAnsi="宋体" w:cs="宋体" w:eastAsia="宋体" w:hint="default"/>
          <w:sz w:val="21"/>
          <w:szCs w:val="21"/>
        </w:rPr>
        <w:t>”</w:t>
      </w:r>
      <w:r>
        <w:rPr>
          <w:rFonts w:ascii="宋体" w:hAnsi="宋体" w:cs="宋体" w:eastAsia="宋体" w:hint="default"/>
          <w:sz w:val="21"/>
          <w:szCs w:val="21"/>
        </w:rPr>
        <w:t>)</w:t>
      </w:r>
    </w:p>
    <w:p>
      <w:pPr>
        <w:tabs>
          <w:tab w:pos="1058" w:val="left" w:leader="none"/>
        </w:tabs>
        <w:spacing w:before="85"/>
        <w:ind w:left="686" w:right="0" w:firstLine="0"/>
        <w:jc w:val="left"/>
        <w:rPr>
          <w:rFonts w:ascii="宋体" w:hAnsi="宋体" w:cs="宋体" w:eastAsia="宋体" w:hint="default"/>
          <w:sz w:val="21"/>
          <w:szCs w:val="21"/>
        </w:rPr>
      </w:pPr>
      <w:r>
        <w:rPr>
          <w:rFonts w:ascii="宋体" w:hAnsi="宋体" w:cs="宋体" w:eastAsia="宋体" w:hint="default"/>
          <w:sz w:val="21"/>
          <w:szCs w:val="21"/>
        </w:rPr>
        <w:t>-</w:t>
        <w:tab/>
      </w:r>
      <w:r>
        <w:rPr>
          <w:rFonts w:ascii="宋体" w:hAnsi="宋体" w:cs="宋体" w:eastAsia="宋体" w:hint="default"/>
          <w:sz w:val="21"/>
          <w:szCs w:val="21"/>
        </w:rPr>
        <w:t>《关于修订印发合并财务报表格式（</w:t>
      </w:r>
      <w:r>
        <w:rPr>
          <w:rFonts w:ascii="宋体" w:hAnsi="宋体" w:cs="宋体" w:eastAsia="宋体" w:hint="default"/>
          <w:sz w:val="21"/>
          <w:szCs w:val="21"/>
        </w:rPr>
        <w:t>2019</w:t>
      </w:r>
      <w:r>
        <w:rPr>
          <w:rFonts w:ascii="宋体" w:hAnsi="宋体" w:cs="宋体" w:eastAsia="宋体" w:hint="default"/>
          <w:sz w:val="21"/>
          <w:szCs w:val="21"/>
        </w:rPr>
        <w:t>版）的通知》</w:t>
      </w:r>
      <w:r>
        <w:rPr>
          <w:rFonts w:ascii="宋体" w:hAnsi="宋体" w:cs="宋体" w:eastAsia="宋体" w:hint="default"/>
          <w:sz w:val="21"/>
          <w:szCs w:val="21"/>
        </w:rPr>
        <w:t>(</w:t>
      </w:r>
      <w:r>
        <w:rPr>
          <w:rFonts w:ascii="宋体" w:hAnsi="宋体" w:cs="宋体" w:eastAsia="宋体" w:hint="default"/>
          <w:sz w:val="21"/>
          <w:szCs w:val="21"/>
        </w:rPr>
        <w:t>财会</w:t>
      </w:r>
      <w:r>
        <w:rPr>
          <w:rFonts w:ascii="宋体" w:hAnsi="宋体" w:cs="宋体" w:eastAsia="宋体" w:hint="default"/>
          <w:sz w:val="21"/>
          <w:szCs w:val="21"/>
        </w:rPr>
        <w:t>[2019]16</w:t>
      </w:r>
      <w:r>
        <w:rPr>
          <w:rFonts w:ascii="宋体" w:hAnsi="宋体" w:cs="宋体" w:eastAsia="宋体" w:hint="default"/>
          <w:sz w:val="21"/>
          <w:szCs w:val="21"/>
        </w:rPr>
        <w:t>号</w:t>
      </w:r>
      <w:r>
        <w:rPr>
          <w:rFonts w:ascii="宋体" w:hAnsi="宋体" w:cs="宋体" w:eastAsia="宋体" w:hint="default"/>
          <w:sz w:val="21"/>
          <w:szCs w:val="21"/>
        </w:rPr>
        <w:t>)</w:t>
      </w:r>
      <w:r>
        <w:rPr>
          <w:rFonts w:ascii="宋体" w:hAnsi="宋体" w:cs="宋体" w:eastAsia="宋体" w:hint="default"/>
          <w:sz w:val="21"/>
          <w:szCs w:val="21"/>
        </w:rPr>
        <w:t>；</w:t>
      </w:r>
    </w:p>
    <w:p>
      <w:pPr>
        <w:spacing w:line="314" w:lineRule="auto" w:before="85"/>
        <w:ind w:left="638" w:right="0" w:firstLine="0"/>
        <w:jc w:val="left"/>
        <w:rPr>
          <w:rFonts w:ascii="宋体" w:hAnsi="宋体" w:cs="宋体" w:eastAsia="宋体" w:hint="default"/>
          <w:sz w:val="21"/>
          <w:szCs w:val="21"/>
        </w:rPr>
      </w:pPr>
      <w:r>
        <w:rPr>
          <w:rFonts w:ascii="宋体" w:hAnsi="宋体" w:cs="宋体" w:eastAsia="宋体" w:hint="default"/>
          <w:sz w:val="21"/>
          <w:szCs w:val="21"/>
        </w:rPr>
        <w:t>本集团自</w:t>
      </w:r>
      <w:r>
        <w:rPr>
          <w:rFonts w:ascii="宋体" w:hAnsi="宋体" w:cs="宋体" w:eastAsia="宋体" w:hint="default"/>
          <w:spacing w:val="-42"/>
          <w:sz w:val="21"/>
          <w:szCs w:val="21"/>
        </w:rPr>
        <w:t> </w:t>
      </w:r>
      <w:r>
        <w:rPr>
          <w:rFonts w:ascii="宋体" w:hAnsi="宋体" w:cs="宋体" w:eastAsia="宋体" w:hint="default"/>
          <w:sz w:val="21"/>
          <w:szCs w:val="21"/>
        </w:rPr>
        <w:t>2019</w:t>
      </w:r>
      <w:r>
        <w:rPr>
          <w:rFonts w:ascii="宋体" w:hAnsi="宋体" w:cs="宋体" w:eastAsia="宋体" w:hint="default"/>
          <w:spacing w:val="-45"/>
          <w:sz w:val="21"/>
          <w:szCs w:val="21"/>
        </w:rPr>
        <w:t> </w:t>
      </w:r>
      <w:r>
        <w:rPr>
          <w:rFonts w:ascii="宋体" w:hAnsi="宋体" w:cs="宋体" w:eastAsia="宋体" w:hint="default"/>
          <w:sz w:val="21"/>
          <w:szCs w:val="21"/>
        </w:rPr>
        <w:t>年</w:t>
      </w:r>
      <w:r>
        <w:rPr>
          <w:rFonts w:ascii="宋体" w:hAnsi="宋体" w:cs="宋体" w:eastAsia="宋体" w:hint="default"/>
          <w:spacing w:val="-42"/>
          <w:sz w:val="21"/>
          <w:szCs w:val="21"/>
        </w:rPr>
        <w:t> </w:t>
      </w:r>
      <w:r>
        <w:rPr>
          <w:rFonts w:ascii="宋体" w:hAnsi="宋体" w:cs="宋体" w:eastAsia="宋体" w:hint="default"/>
          <w:sz w:val="21"/>
          <w:szCs w:val="21"/>
        </w:rPr>
        <w:t>1</w:t>
      </w:r>
      <w:r>
        <w:rPr>
          <w:rFonts w:ascii="宋体" w:hAnsi="宋体" w:cs="宋体" w:eastAsia="宋体" w:hint="default"/>
          <w:spacing w:val="-45"/>
          <w:sz w:val="21"/>
          <w:szCs w:val="21"/>
        </w:rPr>
        <w:t> </w:t>
      </w:r>
      <w:r>
        <w:rPr>
          <w:rFonts w:ascii="宋体" w:hAnsi="宋体" w:cs="宋体" w:eastAsia="宋体" w:hint="default"/>
          <w:sz w:val="21"/>
          <w:szCs w:val="21"/>
        </w:rPr>
        <w:t>月</w:t>
      </w:r>
      <w:r>
        <w:rPr>
          <w:rFonts w:ascii="宋体" w:hAnsi="宋体" w:cs="宋体" w:eastAsia="宋体" w:hint="default"/>
          <w:spacing w:val="-41"/>
          <w:sz w:val="21"/>
          <w:szCs w:val="21"/>
        </w:rPr>
        <w:t> </w:t>
      </w:r>
      <w:r>
        <w:rPr>
          <w:rFonts w:ascii="宋体" w:hAnsi="宋体" w:cs="宋体" w:eastAsia="宋体" w:hint="default"/>
          <w:sz w:val="21"/>
          <w:szCs w:val="21"/>
        </w:rPr>
        <w:t>1</w:t>
      </w:r>
      <w:r>
        <w:rPr>
          <w:rFonts w:ascii="宋体" w:hAnsi="宋体" w:cs="宋体" w:eastAsia="宋体" w:hint="default"/>
          <w:spacing w:val="-45"/>
          <w:sz w:val="21"/>
          <w:szCs w:val="21"/>
        </w:rPr>
        <w:t> </w:t>
      </w:r>
      <w:r>
        <w:rPr>
          <w:rFonts w:ascii="宋体" w:hAnsi="宋体" w:cs="宋体" w:eastAsia="宋体" w:hint="default"/>
          <w:spacing w:val="-3"/>
          <w:sz w:val="21"/>
          <w:szCs w:val="21"/>
        </w:rPr>
        <w:t>日起执行上述企业会计准则修订及解释，对会计政策相关内容进行调整。</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具体影响详见财务报告。</w:t>
      </w:r>
    </w:p>
    <w:p>
      <w:pPr>
        <w:spacing w:line="240" w:lineRule="auto" w:before="8"/>
        <w:rPr>
          <w:rFonts w:ascii="宋体" w:hAnsi="宋体" w:cs="宋体" w:eastAsia="宋体" w:hint="default"/>
          <w:sz w:val="20"/>
          <w:szCs w:val="20"/>
        </w:rPr>
      </w:pPr>
    </w:p>
    <w:p>
      <w:pPr>
        <w:spacing w:before="0"/>
        <w:ind w:left="218"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（二）公司对重大会计差错更正原因及影响的分析说明</w:t>
      </w:r>
      <w:r>
        <w:rPr>
          <w:rFonts w:ascii="Microsoft JhengHei" w:hAnsi="Microsoft JhengHei" w:cs="Microsoft JhengHei" w:eastAsia="Microsoft JhengHei" w:hint="default"/>
          <w:sz w:val="21"/>
          <w:szCs w:val="21"/>
        </w:rPr>
      </w:r>
    </w:p>
    <w:p>
      <w:pPr>
        <w:tabs>
          <w:tab w:pos="1061" w:val="left" w:leader="none"/>
        </w:tabs>
        <w:spacing w:before="73"/>
        <w:ind w:left="218" w:right="0" w:firstLine="0"/>
        <w:jc w:val="left"/>
        <w:rPr>
          <w:rFonts w:ascii="宋体" w:hAnsi="宋体" w:cs="宋体" w:eastAsia="宋体" w:hint="default"/>
          <w:sz w:val="21"/>
          <w:szCs w:val="21"/>
        </w:rPr>
      </w:pPr>
      <w:r>
        <w:rPr>
          <w:rFonts w:ascii="宋体" w:hAnsi="宋体" w:cs="宋体" w:eastAsia="宋体" w:hint="default"/>
          <w:sz w:val="21"/>
          <w:szCs w:val="21"/>
        </w:rPr>
        <w:t>□适用</w:t>
        <w:tab/>
        <w:t>√不适用</w:t>
      </w:r>
    </w:p>
    <w:p>
      <w:pPr>
        <w:spacing w:line="240" w:lineRule="auto" w:before="3"/>
        <w:rPr>
          <w:rFonts w:ascii="宋体" w:hAnsi="宋体" w:cs="宋体" w:eastAsia="宋体" w:hint="default"/>
          <w:sz w:val="26"/>
          <w:szCs w:val="26"/>
        </w:rPr>
      </w:pPr>
    </w:p>
    <w:p>
      <w:pPr>
        <w:spacing w:before="0"/>
        <w:ind w:left="218"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（三）与前任会计师事务所进行的沟通情况</w:t>
      </w:r>
      <w:r>
        <w:rPr>
          <w:rFonts w:ascii="Microsoft JhengHei" w:hAnsi="Microsoft JhengHei" w:cs="Microsoft JhengHei" w:eastAsia="Microsoft JhengHei" w:hint="default"/>
          <w:sz w:val="21"/>
          <w:szCs w:val="21"/>
        </w:rPr>
      </w:r>
    </w:p>
    <w:p>
      <w:pPr>
        <w:tabs>
          <w:tab w:pos="1061" w:val="left" w:leader="none"/>
        </w:tabs>
        <w:spacing w:before="73"/>
        <w:ind w:left="218" w:right="0" w:firstLine="0"/>
        <w:jc w:val="left"/>
        <w:rPr>
          <w:rFonts w:ascii="宋体" w:hAnsi="宋体" w:cs="宋体" w:eastAsia="宋体" w:hint="default"/>
          <w:sz w:val="21"/>
          <w:szCs w:val="21"/>
        </w:rPr>
      </w:pPr>
      <w:r>
        <w:rPr>
          <w:rFonts w:ascii="宋体" w:hAnsi="宋体" w:cs="宋体" w:eastAsia="宋体" w:hint="default"/>
          <w:sz w:val="21"/>
          <w:szCs w:val="21"/>
        </w:rPr>
        <w:t>□适用</w:t>
        <w:tab/>
        <w:t>√不适用</w:t>
      </w:r>
    </w:p>
    <w:p>
      <w:pPr>
        <w:spacing w:line="240" w:lineRule="auto" w:before="7"/>
        <w:rPr>
          <w:rFonts w:ascii="宋体" w:hAnsi="宋体" w:cs="宋体" w:eastAsia="宋体" w:hint="default"/>
          <w:sz w:val="28"/>
          <w:szCs w:val="28"/>
        </w:rPr>
      </w:pPr>
    </w:p>
    <w:p>
      <w:pPr>
        <w:spacing w:line="335" w:lineRule="exact" w:before="0"/>
        <w:ind w:left="218"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六、聘任、解聘会计师事务所情况</w:t>
      </w:r>
      <w:r>
        <w:rPr>
          <w:rFonts w:ascii="Microsoft JhengHei" w:hAnsi="Microsoft JhengHei" w:cs="Microsoft JhengHei" w:eastAsia="Microsoft JhengHei" w:hint="default"/>
          <w:sz w:val="21"/>
          <w:szCs w:val="21"/>
        </w:rPr>
      </w:r>
    </w:p>
    <w:p>
      <w:pPr>
        <w:tabs>
          <w:tab w:pos="1262" w:val="left" w:leader="none"/>
        </w:tabs>
        <w:spacing w:before="73"/>
        <w:ind w:left="0" w:right="210" w:firstLine="0"/>
        <w:jc w:val="right"/>
        <w:rPr>
          <w:rFonts w:ascii="宋体" w:hAnsi="宋体" w:cs="宋体" w:eastAsia="宋体" w:hint="default"/>
          <w:sz w:val="21"/>
          <w:szCs w:val="21"/>
        </w:rPr>
      </w:pPr>
      <w:r>
        <w:rPr>
          <w:rFonts w:ascii="宋体" w:hAnsi="宋体" w:cs="宋体" w:eastAsia="宋体" w:hint="default"/>
          <w:spacing w:val="-1"/>
          <w:sz w:val="21"/>
          <w:szCs w:val="21"/>
        </w:rPr>
        <w:t>单位：万元</w:t>
        <w:tab/>
      </w:r>
      <w:r>
        <w:rPr>
          <w:rFonts w:ascii="宋体" w:hAnsi="宋体" w:cs="宋体" w:eastAsia="宋体" w:hint="default"/>
          <w:spacing w:val="-2"/>
          <w:sz w:val="21"/>
          <w:szCs w:val="21"/>
        </w:rPr>
        <w:t>币种：人民币</w:t>
      </w:r>
    </w:p>
    <w:p>
      <w:pPr>
        <w:spacing w:line="240" w:lineRule="auto" w:before="12"/>
        <w:rPr>
          <w:rFonts w:ascii="宋体" w:hAnsi="宋体" w:cs="宋体" w:eastAsia="宋体" w:hint="default"/>
          <w:sz w:val="3"/>
          <w:szCs w:val="3"/>
        </w:rPr>
      </w:pPr>
    </w:p>
    <w:tbl>
      <w:tblPr>
        <w:tblW w:w="0" w:type="auto"/>
        <w:jc w:val="left"/>
        <w:tblInd w:w="106" w:type="dxa"/>
        <w:tblLayout w:type="fixed"/>
        <w:tblCellMar>
          <w:top w:w="0" w:type="dxa"/>
          <w:left w:w="0" w:type="dxa"/>
          <w:bottom w:w="0" w:type="dxa"/>
          <w:right w:w="0" w:type="dxa"/>
        </w:tblCellMar>
        <w:tblLook w:val="01E0"/>
      </w:tblPr>
      <w:tblGrid>
        <w:gridCol w:w="4525"/>
        <w:gridCol w:w="4525"/>
      </w:tblGrid>
      <w:tr>
        <w:trPr>
          <w:trHeight w:val="318" w:hRule="exact"/>
        </w:trPr>
        <w:tc>
          <w:tcPr>
            <w:tcW w:w="4525"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45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left="2" w:right="0"/>
              <w:jc w:val="center"/>
              <w:rPr>
                <w:rFonts w:ascii="宋体" w:hAnsi="宋体" w:cs="宋体" w:eastAsia="宋体" w:hint="default"/>
                <w:sz w:val="21"/>
                <w:szCs w:val="21"/>
              </w:rPr>
            </w:pPr>
            <w:r>
              <w:rPr>
                <w:rFonts w:ascii="宋体" w:hAnsi="宋体" w:cs="宋体" w:eastAsia="宋体" w:hint="default"/>
                <w:sz w:val="21"/>
                <w:szCs w:val="21"/>
              </w:rPr>
              <w:t>现聘任</w:t>
            </w:r>
          </w:p>
        </w:tc>
      </w:tr>
      <w:tr>
        <w:trPr>
          <w:trHeight w:val="326" w:hRule="exact"/>
        </w:trPr>
        <w:tc>
          <w:tcPr>
            <w:tcW w:w="45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7"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境内会计师事务所名称</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103" w:right="0"/>
              <w:jc w:val="left"/>
              <w:rPr>
                <w:rFonts w:ascii="宋体" w:hAnsi="宋体" w:cs="宋体" w:eastAsia="宋体" w:hint="default"/>
                <w:sz w:val="21"/>
                <w:szCs w:val="21"/>
              </w:rPr>
            </w:pPr>
            <w:r>
              <w:rPr>
                <w:rFonts w:ascii="宋体" w:hAnsi="宋体" w:cs="宋体" w:eastAsia="宋体" w:hint="default"/>
                <w:sz w:val="21"/>
                <w:szCs w:val="21"/>
              </w:rPr>
              <w:t>毕马威华振会计师事务所（特殊普通合伙）</w:t>
            </w:r>
          </w:p>
        </w:tc>
      </w:tr>
      <w:tr>
        <w:trPr>
          <w:trHeight w:val="322" w:hRule="exact"/>
        </w:trPr>
        <w:tc>
          <w:tcPr>
            <w:tcW w:w="45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境内会计师事务所报酬</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670</w:t>
            </w:r>
            <w:r>
              <w:rPr>
                <w:rFonts w:ascii="宋体" w:hAnsi="宋体" w:cs="宋体" w:eastAsia="宋体" w:hint="default"/>
                <w:spacing w:val="-48"/>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r>
      <w:tr>
        <w:trPr>
          <w:trHeight w:val="322" w:hRule="exact"/>
        </w:trPr>
        <w:tc>
          <w:tcPr>
            <w:tcW w:w="45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境内会计师事务所审计年限</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年</w:t>
            </w:r>
          </w:p>
        </w:tc>
      </w:tr>
    </w:tbl>
    <w:p>
      <w:pPr>
        <w:spacing w:line="262" w:lineRule="exact" w:before="0"/>
        <w:ind w:left="218" w:right="0" w:firstLine="0"/>
        <w:jc w:val="left"/>
        <w:rPr>
          <w:rFonts w:ascii="宋体" w:hAnsi="宋体" w:cs="宋体" w:eastAsia="宋体" w:hint="default"/>
          <w:sz w:val="21"/>
          <w:szCs w:val="21"/>
        </w:rPr>
      </w:pPr>
      <w:r>
        <w:rPr>
          <w:rFonts w:ascii="宋体" w:hAnsi="宋体" w:cs="宋体" w:eastAsia="宋体" w:hint="default"/>
          <w:spacing w:val="-4"/>
          <w:sz w:val="21"/>
          <w:szCs w:val="21"/>
        </w:rPr>
        <w:t>注：</w:t>
      </w:r>
      <w:r>
        <w:rPr>
          <w:rFonts w:ascii="宋体" w:hAnsi="宋体" w:cs="宋体" w:eastAsia="宋体" w:hint="default"/>
          <w:spacing w:val="-4"/>
          <w:sz w:val="21"/>
          <w:szCs w:val="21"/>
        </w:rPr>
        <w:t>2019</w:t>
      </w:r>
      <w:r>
        <w:rPr>
          <w:rFonts w:ascii="宋体" w:hAnsi="宋体" w:cs="宋体" w:eastAsia="宋体" w:hint="default"/>
          <w:spacing w:val="-44"/>
          <w:sz w:val="21"/>
          <w:szCs w:val="21"/>
        </w:rPr>
        <w:t> </w:t>
      </w:r>
      <w:r>
        <w:rPr>
          <w:rFonts w:ascii="宋体" w:hAnsi="宋体" w:cs="宋体" w:eastAsia="宋体" w:hint="default"/>
          <w:sz w:val="21"/>
          <w:szCs w:val="21"/>
        </w:rPr>
        <w:t>年度境内会计师事务所报酬合计</w:t>
      </w:r>
      <w:r>
        <w:rPr>
          <w:rFonts w:ascii="宋体" w:hAnsi="宋体" w:cs="宋体" w:eastAsia="宋体" w:hint="default"/>
          <w:spacing w:val="-44"/>
          <w:sz w:val="21"/>
          <w:szCs w:val="21"/>
        </w:rPr>
        <w:t> </w:t>
      </w:r>
      <w:r>
        <w:rPr>
          <w:rFonts w:ascii="宋体" w:hAnsi="宋体" w:cs="宋体" w:eastAsia="宋体" w:hint="default"/>
          <w:sz w:val="21"/>
          <w:szCs w:val="21"/>
        </w:rPr>
        <w:t>670</w:t>
      </w:r>
      <w:r>
        <w:rPr>
          <w:rFonts w:ascii="宋体" w:hAnsi="宋体" w:cs="宋体" w:eastAsia="宋体" w:hint="default"/>
          <w:spacing w:val="-46"/>
          <w:sz w:val="21"/>
          <w:szCs w:val="21"/>
        </w:rPr>
        <w:t> </w:t>
      </w:r>
      <w:r>
        <w:rPr>
          <w:rFonts w:ascii="宋体" w:hAnsi="宋体" w:cs="宋体" w:eastAsia="宋体" w:hint="default"/>
          <w:spacing w:val="-5"/>
          <w:sz w:val="21"/>
          <w:szCs w:val="21"/>
        </w:rPr>
        <w:t>万元（不含增值税），其中审计费用</w:t>
      </w:r>
      <w:r>
        <w:rPr>
          <w:rFonts w:ascii="宋体" w:hAnsi="宋体" w:cs="宋体" w:eastAsia="宋体" w:hint="default"/>
          <w:spacing w:val="-43"/>
          <w:sz w:val="21"/>
          <w:szCs w:val="21"/>
        </w:rPr>
        <w:t> </w:t>
      </w:r>
      <w:r>
        <w:rPr>
          <w:rFonts w:ascii="宋体" w:hAnsi="宋体" w:cs="宋体" w:eastAsia="宋体" w:hint="default"/>
          <w:sz w:val="21"/>
          <w:szCs w:val="21"/>
        </w:rPr>
        <w:t>472</w:t>
      </w:r>
      <w:r>
        <w:rPr>
          <w:rFonts w:ascii="宋体" w:hAnsi="宋体" w:cs="宋体" w:eastAsia="宋体" w:hint="default"/>
          <w:spacing w:val="-46"/>
          <w:sz w:val="21"/>
          <w:szCs w:val="21"/>
        </w:rPr>
        <w:t> </w:t>
      </w:r>
      <w:r>
        <w:rPr>
          <w:rFonts w:ascii="宋体" w:hAnsi="宋体" w:cs="宋体" w:eastAsia="宋体" w:hint="default"/>
          <w:spacing w:val="-4"/>
          <w:sz w:val="21"/>
          <w:szCs w:val="21"/>
        </w:rPr>
        <w:t>万（含内控审</w:t>
      </w:r>
    </w:p>
    <w:p>
      <w:pPr>
        <w:spacing w:before="37"/>
        <w:ind w:left="218" w:right="0" w:firstLine="0"/>
        <w:jc w:val="left"/>
        <w:rPr>
          <w:rFonts w:ascii="宋体" w:hAnsi="宋体" w:cs="宋体" w:eastAsia="宋体" w:hint="default"/>
          <w:sz w:val="21"/>
          <w:szCs w:val="21"/>
        </w:rPr>
      </w:pPr>
      <w:r>
        <w:rPr>
          <w:rFonts w:ascii="宋体" w:hAnsi="宋体" w:cs="宋体" w:eastAsia="宋体" w:hint="default"/>
          <w:sz w:val="21"/>
          <w:szCs w:val="21"/>
        </w:rPr>
        <w:t>计费用</w:t>
      </w:r>
      <w:r>
        <w:rPr>
          <w:rFonts w:ascii="宋体" w:hAnsi="宋体" w:cs="宋体" w:eastAsia="宋体" w:hint="default"/>
          <w:spacing w:val="-53"/>
          <w:sz w:val="21"/>
          <w:szCs w:val="21"/>
        </w:rPr>
        <w:t> </w:t>
      </w:r>
      <w:r>
        <w:rPr>
          <w:rFonts w:ascii="宋体" w:hAnsi="宋体" w:cs="宋体" w:eastAsia="宋体" w:hint="default"/>
          <w:sz w:val="21"/>
          <w:szCs w:val="21"/>
        </w:rPr>
        <w:t>152</w:t>
      </w:r>
      <w:r>
        <w:rPr>
          <w:rFonts w:ascii="宋体" w:hAnsi="宋体" w:cs="宋体" w:eastAsia="宋体" w:hint="default"/>
          <w:spacing w:val="-55"/>
          <w:sz w:val="21"/>
          <w:szCs w:val="21"/>
        </w:rPr>
        <w:t> </w:t>
      </w:r>
      <w:r>
        <w:rPr>
          <w:rFonts w:ascii="宋体" w:hAnsi="宋体" w:cs="宋体" w:eastAsia="宋体" w:hint="default"/>
          <w:sz w:val="21"/>
          <w:szCs w:val="21"/>
        </w:rPr>
        <w:t>万元），其他鉴证及相关服务费用</w:t>
      </w:r>
      <w:r>
        <w:rPr>
          <w:rFonts w:ascii="宋体" w:hAnsi="宋体" w:cs="宋体" w:eastAsia="宋体" w:hint="default"/>
          <w:spacing w:val="-53"/>
          <w:sz w:val="21"/>
          <w:szCs w:val="21"/>
        </w:rPr>
        <w:t> </w:t>
      </w:r>
      <w:r>
        <w:rPr>
          <w:rFonts w:ascii="宋体" w:hAnsi="宋体" w:cs="宋体" w:eastAsia="宋体" w:hint="default"/>
          <w:sz w:val="21"/>
          <w:szCs w:val="21"/>
        </w:rPr>
        <w:t>198</w:t>
      </w:r>
      <w:r>
        <w:rPr>
          <w:rFonts w:ascii="宋体" w:hAnsi="宋体" w:cs="宋体" w:eastAsia="宋体" w:hint="default"/>
          <w:spacing w:val="-55"/>
          <w:sz w:val="21"/>
          <w:szCs w:val="21"/>
        </w:rPr>
        <w:t> </w:t>
      </w:r>
      <w:r>
        <w:rPr>
          <w:rFonts w:ascii="宋体" w:hAnsi="宋体" w:cs="宋体" w:eastAsia="宋体" w:hint="default"/>
          <w:sz w:val="21"/>
          <w:szCs w:val="21"/>
        </w:rPr>
        <w:t>万。</w:t>
      </w:r>
    </w:p>
    <w:p>
      <w:pPr>
        <w:spacing w:line="240" w:lineRule="auto" w:before="8"/>
        <w:rPr>
          <w:rFonts w:ascii="宋体" w:hAnsi="宋体" w:cs="宋体" w:eastAsia="宋体"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3016"/>
        <w:gridCol w:w="3016"/>
        <w:gridCol w:w="3017"/>
      </w:tblGrid>
      <w:tr>
        <w:trPr>
          <w:trHeight w:val="322" w:hRule="exact"/>
        </w:trPr>
        <w:tc>
          <w:tcPr>
            <w:tcW w:w="3016"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30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名称</w:t>
            </w:r>
          </w:p>
        </w:tc>
        <w:tc>
          <w:tcPr>
            <w:tcW w:w="30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 w:right="0"/>
              <w:jc w:val="center"/>
              <w:rPr>
                <w:rFonts w:ascii="宋体" w:hAnsi="宋体" w:cs="宋体" w:eastAsia="宋体" w:hint="default"/>
                <w:sz w:val="21"/>
                <w:szCs w:val="21"/>
              </w:rPr>
            </w:pPr>
            <w:r>
              <w:rPr>
                <w:rFonts w:ascii="宋体" w:hAnsi="宋体" w:cs="宋体" w:eastAsia="宋体" w:hint="default"/>
                <w:sz w:val="21"/>
                <w:szCs w:val="21"/>
              </w:rPr>
              <w:t>报酬</w:t>
            </w:r>
          </w:p>
        </w:tc>
      </w:tr>
      <w:tr>
        <w:trPr>
          <w:trHeight w:val="636" w:hRule="exact"/>
        </w:trPr>
        <w:tc>
          <w:tcPr>
            <w:tcW w:w="30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内部控制审计会计师事务所</w:t>
            </w:r>
          </w:p>
        </w:tc>
        <w:tc>
          <w:tcPr>
            <w:tcW w:w="301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2" w:right="96"/>
              <w:jc w:val="left"/>
              <w:rPr>
                <w:rFonts w:ascii="宋体" w:hAnsi="宋体" w:cs="宋体" w:eastAsia="宋体" w:hint="default"/>
                <w:sz w:val="21"/>
                <w:szCs w:val="21"/>
              </w:rPr>
            </w:pPr>
            <w:r>
              <w:rPr>
                <w:rFonts w:ascii="宋体" w:hAnsi="宋体" w:cs="宋体" w:eastAsia="宋体" w:hint="default"/>
                <w:spacing w:val="2"/>
                <w:sz w:val="21"/>
                <w:szCs w:val="21"/>
              </w:rPr>
              <w:t>毕马威华振会计师事务所（特</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z w:val="21"/>
                <w:szCs w:val="21"/>
              </w:rPr>
              <w:t>殊普通合伙）</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152</w:t>
            </w:r>
            <w:r>
              <w:rPr>
                <w:rFonts w:ascii="宋体" w:hAnsi="宋体" w:cs="宋体" w:eastAsia="宋体" w:hint="default"/>
                <w:spacing w:val="-49"/>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r>
    </w:tbl>
    <w:p>
      <w:pPr>
        <w:spacing w:line="240" w:lineRule="auto" w:before="2"/>
        <w:rPr>
          <w:rFonts w:ascii="宋体" w:hAnsi="宋体" w:cs="宋体" w:eastAsia="宋体" w:hint="default"/>
          <w:sz w:val="20"/>
          <w:szCs w:val="20"/>
        </w:rPr>
      </w:pPr>
    </w:p>
    <w:p>
      <w:pPr>
        <w:spacing w:before="36"/>
        <w:ind w:left="218" w:right="0" w:firstLine="0"/>
        <w:jc w:val="both"/>
        <w:rPr>
          <w:rFonts w:ascii="宋体" w:hAnsi="宋体" w:cs="宋体" w:eastAsia="宋体" w:hint="default"/>
          <w:sz w:val="21"/>
          <w:szCs w:val="21"/>
        </w:rPr>
      </w:pPr>
      <w:r>
        <w:rPr>
          <w:rFonts w:ascii="宋体" w:hAnsi="宋体" w:cs="宋体" w:eastAsia="宋体" w:hint="default"/>
          <w:sz w:val="21"/>
          <w:szCs w:val="21"/>
        </w:rPr>
        <w:t>聘任、解聘会计师事务所的情况说明</w:t>
      </w:r>
    </w:p>
    <w:p>
      <w:pPr>
        <w:spacing w:line="240" w:lineRule="auto" w:before="13"/>
        <w:rPr>
          <w:rFonts w:ascii="宋体" w:hAnsi="宋体" w:cs="宋体" w:eastAsia="宋体" w:hint="default"/>
          <w:sz w:val="18"/>
          <w:szCs w:val="18"/>
        </w:rPr>
      </w:pPr>
    </w:p>
    <w:p>
      <w:pPr>
        <w:spacing w:before="0"/>
        <w:ind w:left="638" w:right="0" w:firstLine="0"/>
        <w:jc w:val="left"/>
        <w:rPr>
          <w:rFonts w:ascii="宋体" w:hAnsi="宋体" w:cs="宋体" w:eastAsia="宋体" w:hint="default"/>
          <w:sz w:val="21"/>
          <w:szCs w:val="21"/>
        </w:rPr>
      </w:pPr>
      <w:r>
        <w:rPr>
          <w:rFonts w:ascii="宋体" w:hAnsi="宋体" w:cs="宋体" w:eastAsia="宋体" w:hint="default"/>
          <w:sz w:val="21"/>
          <w:szCs w:val="21"/>
        </w:rPr>
        <w:t>经公司</w:t>
      </w:r>
      <w:r>
        <w:rPr>
          <w:rFonts w:ascii="宋体" w:hAnsi="宋体" w:cs="宋体" w:eastAsia="宋体" w:hint="default"/>
          <w:spacing w:val="-47"/>
          <w:sz w:val="21"/>
          <w:szCs w:val="21"/>
        </w:rPr>
        <w:t> </w:t>
      </w:r>
      <w:r>
        <w:rPr>
          <w:rFonts w:ascii="宋体" w:hAnsi="宋体" w:cs="宋体" w:eastAsia="宋体" w:hint="default"/>
          <w:sz w:val="21"/>
          <w:szCs w:val="21"/>
        </w:rPr>
        <w:t>2019</w:t>
      </w:r>
      <w:r>
        <w:rPr>
          <w:rFonts w:ascii="宋体" w:hAnsi="宋体" w:cs="宋体" w:eastAsia="宋体" w:hint="default"/>
          <w:spacing w:val="-47"/>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5</w:t>
      </w:r>
      <w:r>
        <w:rPr>
          <w:rFonts w:ascii="宋体" w:hAnsi="宋体" w:cs="宋体" w:eastAsia="宋体" w:hint="default"/>
          <w:spacing w:val="-47"/>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宋体" w:hAnsi="宋体" w:cs="宋体" w:eastAsia="宋体" w:hint="default"/>
          <w:sz w:val="21"/>
          <w:szCs w:val="21"/>
        </w:rPr>
        <w:t>8</w:t>
      </w:r>
      <w:r>
        <w:rPr>
          <w:rFonts w:ascii="宋体" w:hAnsi="宋体" w:cs="宋体" w:eastAsia="宋体" w:hint="default"/>
          <w:spacing w:val="-46"/>
          <w:sz w:val="21"/>
          <w:szCs w:val="21"/>
        </w:rPr>
        <w:t> </w:t>
      </w:r>
      <w:r>
        <w:rPr>
          <w:rFonts w:ascii="宋体" w:hAnsi="宋体" w:cs="宋体" w:eastAsia="宋体" w:hint="default"/>
          <w:sz w:val="21"/>
          <w:szCs w:val="21"/>
        </w:rPr>
        <w:t>日召开的</w:t>
      </w:r>
      <w:r>
        <w:rPr>
          <w:rFonts w:ascii="宋体" w:hAnsi="宋体" w:cs="宋体" w:eastAsia="宋体" w:hint="default"/>
          <w:spacing w:val="-47"/>
          <w:sz w:val="21"/>
          <w:szCs w:val="21"/>
        </w:rPr>
        <w:t> </w:t>
      </w:r>
      <w:r>
        <w:rPr>
          <w:rFonts w:ascii="宋体" w:hAnsi="宋体" w:cs="宋体" w:eastAsia="宋体" w:hint="default"/>
          <w:sz w:val="21"/>
          <w:szCs w:val="21"/>
        </w:rPr>
        <w:t>2018</w:t>
      </w:r>
      <w:r>
        <w:rPr>
          <w:rFonts w:ascii="宋体" w:hAnsi="宋体" w:cs="宋体" w:eastAsia="宋体" w:hint="default"/>
          <w:spacing w:val="-50"/>
          <w:sz w:val="21"/>
          <w:szCs w:val="21"/>
        </w:rPr>
        <w:t> </w:t>
      </w:r>
      <w:r>
        <w:rPr>
          <w:rFonts w:ascii="宋体" w:hAnsi="宋体" w:cs="宋体" w:eastAsia="宋体" w:hint="default"/>
          <w:spacing w:val="-3"/>
          <w:sz w:val="21"/>
          <w:szCs w:val="21"/>
        </w:rPr>
        <w:t>年度股东大会通过，同意续聘毕马威华振会计师事务所（特</w:t>
      </w:r>
    </w:p>
    <w:p>
      <w:pPr>
        <w:spacing w:line="314" w:lineRule="auto" w:before="85"/>
        <w:ind w:left="218" w:right="208" w:firstLine="0"/>
        <w:jc w:val="both"/>
        <w:rPr>
          <w:rFonts w:ascii="宋体" w:hAnsi="宋体" w:cs="宋体" w:eastAsia="宋体" w:hint="default"/>
          <w:sz w:val="21"/>
          <w:szCs w:val="21"/>
        </w:rPr>
      </w:pPr>
      <w:r>
        <w:rPr>
          <w:rFonts w:ascii="宋体" w:hAnsi="宋体" w:cs="宋体" w:eastAsia="宋体" w:hint="default"/>
          <w:spacing w:val="-4"/>
          <w:sz w:val="21"/>
          <w:szCs w:val="21"/>
        </w:rPr>
        <w:t>殊普通合伙）为公司</w:t>
      </w:r>
      <w:r>
        <w:rPr>
          <w:rFonts w:ascii="宋体" w:hAnsi="宋体" w:cs="宋体" w:eastAsia="宋体" w:hint="default"/>
          <w:spacing w:val="-48"/>
          <w:sz w:val="21"/>
          <w:szCs w:val="21"/>
        </w:rPr>
        <w:t> </w:t>
      </w:r>
      <w:r>
        <w:rPr>
          <w:rFonts w:ascii="宋体" w:hAnsi="宋体" w:cs="宋体" w:eastAsia="宋体" w:hint="default"/>
          <w:sz w:val="21"/>
          <w:szCs w:val="21"/>
        </w:rPr>
        <w:t>2019</w:t>
      </w:r>
      <w:r>
        <w:rPr>
          <w:rFonts w:ascii="宋体" w:hAnsi="宋体" w:cs="宋体" w:eastAsia="宋体" w:hint="default"/>
          <w:spacing w:val="-46"/>
          <w:sz w:val="21"/>
          <w:szCs w:val="21"/>
        </w:rPr>
        <w:t> </w:t>
      </w:r>
      <w:r>
        <w:rPr>
          <w:rFonts w:ascii="宋体" w:hAnsi="宋体" w:cs="宋体" w:eastAsia="宋体" w:hint="default"/>
          <w:spacing w:val="-4"/>
          <w:sz w:val="21"/>
          <w:szCs w:val="21"/>
        </w:rPr>
        <w:t>年度审计师，为公司提供包括</w:t>
      </w:r>
      <w:r>
        <w:rPr>
          <w:rFonts w:ascii="宋体" w:hAnsi="宋体" w:cs="宋体" w:eastAsia="宋体" w:hint="default"/>
          <w:spacing w:val="-45"/>
          <w:sz w:val="21"/>
          <w:szCs w:val="21"/>
        </w:rPr>
        <w:t> </w:t>
      </w:r>
      <w:r>
        <w:rPr>
          <w:rFonts w:ascii="宋体" w:hAnsi="宋体" w:cs="宋体" w:eastAsia="宋体" w:hint="default"/>
          <w:sz w:val="21"/>
          <w:szCs w:val="21"/>
        </w:rPr>
        <w:t>2019</w:t>
      </w:r>
      <w:r>
        <w:rPr>
          <w:rFonts w:ascii="宋体" w:hAnsi="宋体" w:cs="宋体" w:eastAsia="宋体" w:hint="default"/>
          <w:spacing w:val="-48"/>
          <w:sz w:val="21"/>
          <w:szCs w:val="21"/>
        </w:rPr>
        <w:t> </w:t>
      </w:r>
      <w:r>
        <w:rPr>
          <w:rFonts w:ascii="宋体" w:hAnsi="宋体" w:cs="宋体" w:eastAsia="宋体" w:hint="default"/>
          <w:spacing w:val="-4"/>
          <w:sz w:val="21"/>
          <w:szCs w:val="21"/>
        </w:rPr>
        <w:t>年年度审计、</w:t>
      </w:r>
      <w:r>
        <w:rPr>
          <w:rFonts w:ascii="宋体" w:hAnsi="宋体" w:cs="宋体" w:eastAsia="宋体" w:hint="default"/>
          <w:spacing w:val="-4"/>
          <w:sz w:val="21"/>
          <w:szCs w:val="21"/>
        </w:rPr>
        <w:t>2019</w:t>
      </w:r>
      <w:r>
        <w:rPr>
          <w:rFonts w:ascii="宋体" w:hAnsi="宋体" w:cs="宋体" w:eastAsia="宋体" w:hint="default"/>
          <w:spacing w:val="-45"/>
          <w:sz w:val="21"/>
          <w:szCs w:val="21"/>
        </w:rPr>
        <w:t> </w:t>
      </w:r>
      <w:r>
        <w:rPr>
          <w:rFonts w:ascii="宋体" w:hAnsi="宋体" w:cs="宋体" w:eastAsia="宋体" w:hint="default"/>
          <w:sz w:val="21"/>
          <w:szCs w:val="21"/>
        </w:rPr>
        <w:t>年度与财务报告相关</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内控审计、</w:t>
      </w:r>
      <w:r>
        <w:rPr>
          <w:rFonts w:ascii="宋体" w:hAnsi="宋体" w:cs="宋体" w:eastAsia="宋体" w:hint="default"/>
          <w:sz w:val="21"/>
          <w:szCs w:val="21"/>
        </w:rPr>
        <w:t>2019</w:t>
      </w:r>
      <w:r>
        <w:rPr>
          <w:rFonts w:ascii="宋体" w:hAnsi="宋体" w:cs="宋体" w:eastAsia="宋体" w:hint="default"/>
          <w:spacing w:val="-56"/>
          <w:sz w:val="21"/>
          <w:szCs w:val="21"/>
        </w:rPr>
        <w:t> </w:t>
      </w:r>
      <w:r>
        <w:rPr>
          <w:rFonts w:ascii="宋体" w:hAnsi="宋体" w:cs="宋体" w:eastAsia="宋体" w:hint="default"/>
          <w:sz w:val="21"/>
          <w:szCs w:val="21"/>
        </w:rPr>
        <w:t>年度半年度审阅以及</w:t>
      </w:r>
      <w:r>
        <w:rPr>
          <w:rFonts w:ascii="宋体" w:hAnsi="宋体" w:cs="宋体" w:eastAsia="宋体" w:hint="default"/>
          <w:spacing w:val="-55"/>
          <w:sz w:val="21"/>
          <w:szCs w:val="21"/>
        </w:rPr>
        <w:t> </w:t>
      </w:r>
      <w:r>
        <w:rPr>
          <w:rFonts w:ascii="宋体" w:hAnsi="宋体" w:cs="宋体" w:eastAsia="宋体" w:hint="default"/>
          <w:sz w:val="21"/>
          <w:szCs w:val="21"/>
        </w:rPr>
        <w:t>2019</w:t>
      </w:r>
      <w:r>
        <w:rPr>
          <w:rFonts w:ascii="宋体" w:hAnsi="宋体" w:cs="宋体" w:eastAsia="宋体" w:hint="default"/>
          <w:spacing w:val="-56"/>
          <w:sz w:val="21"/>
          <w:szCs w:val="21"/>
        </w:rPr>
        <w:t> </w:t>
      </w:r>
      <w:r>
        <w:rPr>
          <w:rFonts w:ascii="宋体" w:hAnsi="宋体" w:cs="宋体" w:eastAsia="宋体" w:hint="default"/>
          <w:sz w:val="21"/>
          <w:szCs w:val="21"/>
        </w:rPr>
        <w:t>年第一季度和第三季度财务信息商定程序的专业服务。同</w:t>
      </w:r>
      <w:r>
        <w:rPr>
          <w:rFonts w:ascii="宋体" w:hAnsi="宋体" w:cs="宋体" w:eastAsia="宋体" w:hint="default"/>
          <w:w w:val="100"/>
          <w:sz w:val="21"/>
          <w:szCs w:val="21"/>
        </w:rPr>
        <w:t> </w:t>
      </w:r>
      <w:r>
        <w:rPr>
          <w:rFonts w:ascii="宋体" w:hAnsi="宋体" w:cs="宋体" w:eastAsia="宋体" w:hint="default"/>
          <w:sz w:val="21"/>
          <w:szCs w:val="21"/>
        </w:rPr>
        <w:t>时授权管理层按照成本控制的原则决定审计及相关服务费用。</w:t>
      </w:r>
    </w:p>
    <w:p>
      <w:pPr>
        <w:spacing w:line="240" w:lineRule="auto" w:before="0"/>
        <w:rPr>
          <w:rFonts w:ascii="宋体" w:hAnsi="宋体" w:cs="宋体" w:eastAsia="宋体" w:hint="default"/>
          <w:sz w:val="20"/>
          <w:szCs w:val="20"/>
        </w:rPr>
      </w:pPr>
    </w:p>
    <w:p>
      <w:pPr>
        <w:spacing w:before="164"/>
        <w:ind w:left="218" w:right="0" w:firstLine="0"/>
        <w:jc w:val="both"/>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七、面临暂停上市风险的情况</w:t>
      </w:r>
      <w:r>
        <w:rPr>
          <w:rFonts w:ascii="Microsoft JhengHei" w:hAnsi="Microsoft JhengHei" w:cs="Microsoft JhengHei" w:eastAsia="Microsoft JhengHei" w:hint="default"/>
          <w:sz w:val="21"/>
          <w:szCs w:val="21"/>
        </w:rPr>
      </w:r>
    </w:p>
    <w:p>
      <w:pPr>
        <w:spacing w:before="73"/>
        <w:ind w:left="218" w:right="0" w:firstLine="0"/>
        <w:jc w:val="both"/>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2"/>
        <w:rPr>
          <w:rFonts w:ascii="宋体" w:hAnsi="宋体" w:cs="宋体" w:eastAsia="宋体" w:hint="default"/>
          <w:sz w:val="26"/>
          <w:szCs w:val="26"/>
        </w:rPr>
      </w:pPr>
    </w:p>
    <w:p>
      <w:pPr>
        <w:spacing w:before="0"/>
        <w:ind w:left="218" w:right="0" w:firstLine="0"/>
        <w:jc w:val="both"/>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八、面临终止上市的情况和原因</w:t>
      </w:r>
      <w:r>
        <w:rPr>
          <w:rFonts w:ascii="Microsoft JhengHei" w:hAnsi="Microsoft JhengHei" w:cs="Microsoft JhengHei" w:eastAsia="Microsoft JhengHei" w:hint="default"/>
          <w:sz w:val="21"/>
          <w:szCs w:val="21"/>
        </w:rPr>
      </w:r>
    </w:p>
    <w:p>
      <w:pPr>
        <w:spacing w:before="73"/>
        <w:ind w:left="218" w:right="0" w:firstLine="0"/>
        <w:jc w:val="both"/>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3"/>
        <w:rPr>
          <w:rFonts w:ascii="宋体" w:hAnsi="宋体" w:cs="宋体" w:eastAsia="宋体" w:hint="default"/>
          <w:sz w:val="26"/>
          <w:szCs w:val="26"/>
        </w:rPr>
      </w:pPr>
    </w:p>
    <w:p>
      <w:pPr>
        <w:spacing w:before="0"/>
        <w:ind w:left="218" w:right="0" w:firstLine="0"/>
        <w:jc w:val="both"/>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九、破产重整相关事项</w:t>
      </w:r>
      <w:r>
        <w:rPr>
          <w:rFonts w:ascii="Microsoft JhengHei" w:hAnsi="Microsoft JhengHei" w:cs="Microsoft JhengHei" w:eastAsia="Microsoft JhengHei" w:hint="default"/>
          <w:sz w:val="21"/>
          <w:szCs w:val="21"/>
        </w:rPr>
      </w:r>
    </w:p>
    <w:p>
      <w:pPr>
        <w:spacing w:before="73"/>
        <w:ind w:left="218" w:right="0" w:firstLine="0"/>
        <w:jc w:val="both"/>
        <w:rPr>
          <w:rFonts w:ascii="宋体" w:hAnsi="宋体" w:cs="宋体" w:eastAsia="宋体" w:hint="default"/>
          <w:sz w:val="21"/>
          <w:szCs w:val="21"/>
        </w:rPr>
      </w:pPr>
      <w:r>
        <w:rPr>
          <w:rFonts w:ascii="宋体" w:hAnsi="宋体" w:cs="宋体" w:eastAsia="宋体" w:hint="default"/>
          <w:sz w:val="21"/>
          <w:szCs w:val="21"/>
        </w:rPr>
        <w:t>□适用 √不适用</w:t>
      </w:r>
    </w:p>
    <w:p>
      <w:pPr>
        <w:spacing w:after="0"/>
        <w:jc w:val="both"/>
        <w:rPr>
          <w:rFonts w:ascii="宋体" w:hAnsi="宋体" w:cs="宋体" w:eastAsia="宋体" w:hint="default"/>
          <w:sz w:val="21"/>
          <w:szCs w:val="21"/>
        </w:rPr>
        <w:sectPr>
          <w:footerReference w:type="default" r:id="rId42"/>
          <w:pgSz w:w="11910" w:h="16840"/>
          <w:pgMar w:footer="502" w:header="854" w:top="1360" w:bottom="700" w:left="1200" w:right="106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spacing w:line="335" w:lineRule="exact" w:before="0"/>
        <w:ind w:left="218" w:right="12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十、重大诉讼、仲裁事项</w:t>
      </w:r>
      <w:r>
        <w:rPr>
          <w:rFonts w:ascii="Microsoft JhengHei" w:hAnsi="Microsoft JhengHei" w:cs="Microsoft JhengHei" w:eastAsia="Microsoft JhengHei" w:hint="default"/>
          <w:sz w:val="21"/>
          <w:szCs w:val="21"/>
        </w:rPr>
      </w:r>
    </w:p>
    <w:p>
      <w:pPr>
        <w:tabs>
          <w:tab w:pos="3896" w:val="left" w:leader="none"/>
        </w:tabs>
        <w:spacing w:before="73"/>
        <w:ind w:left="218" w:right="120" w:firstLine="0"/>
        <w:jc w:val="left"/>
        <w:rPr>
          <w:rFonts w:ascii="宋体" w:hAnsi="宋体" w:cs="宋体" w:eastAsia="宋体" w:hint="default"/>
          <w:sz w:val="21"/>
          <w:szCs w:val="21"/>
        </w:rPr>
      </w:pPr>
      <w:r>
        <w:rPr>
          <w:rFonts w:ascii="宋体" w:hAnsi="宋体" w:cs="宋体" w:eastAsia="宋体" w:hint="default"/>
          <w:spacing w:val="-2"/>
          <w:sz w:val="21"/>
          <w:szCs w:val="21"/>
        </w:rPr>
        <w:t>□本年度公司有重大诉讼、仲裁事项</w:t>
        <w:tab/>
        <w:t>√本年度公司无重大诉讼、仲裁事项</w:t>
      </w:r>
    </w:p>
    <w:p>
      <w:pPr>
        <w:spacing w:line="240" w:lineRule="auto" w:before="2"/>
        <w:rPr>
          <w:rFonts w:ascii="宋体" w:hAnsi="宋体" w:cs="宋体" w:eastAsia="宋体" w:hint="default"/>
          <w:sz w:val="26"/>
          <w:szCs w:val="26"/>
        </w:rPr>
      </w:pPr>
    </w:p>
    <w:p>
      <w:pPr>
        <w:spacing w:before="0"/>
        <w:ind w:left="218" w:right="12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十一、上市公司及其董事、监事、高级管理人员、控股股东、实际控制人、收购人处罚及整改情况</w:t>
      </w:r>
      <w:r>
        <w:rPr>
          <w:rFonts w:ascii="Microsoft JhengHei" w:hAnsi="Microsoft JhengHei" w:cs="Microsoft JhengHei" w:eastAsia="Microsoft JhengHei" w:hint="default"/>
          <w:sz w:val="21"/>
          <w:szCs w:val="21"/>
        </w:rPr>
      </w:r>
    </w:p>
    <w:p>
      <w:pPr>
        <w:spacing w:before="73"/>
        <w:ind w:left="218" w:right="120"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2"/>
        <w:rPr>
          <w:rFonts w:ascii="宋体" w:hAnsi="宋体" w:cs="宋体" w:eastAsia="宋体" w:hint="default"/>
          <w:sz w:val="26"/>
          <w:szCs w:val="26"/>
        </w:rPr>
      </w:pPr>
    </w:p>
    <w:p>
      <w:pPr>
        <w:spacing w:line="386" w:lineRule="auto" w:before="0"/>
        <w:ind w:left="638" w:right="120" w:hanging="420"/>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十二、报告期内公司及其控股股东、实际控制人诚信状况的说明</w:t>
      </w:r>
      <w:r>
        <w:rPr>
          <w:rFonts w:ascii="Microsoft JhengHei" w:hAnsi="Microsoft JhengHei" w:cs="Microsoft JhengHei" w:eastAsia="Microsoft JhengHei" w:hint="default"/>
          <w:b/>
          <w:bCs/>
          <w:spacing w:val="-32"/>
          <w:sz w:val="21"/>
          <w:szCs w:val="21"/>
        </w:rPr>
        <w:t> </w:t>
      </w:r>
      <w:r>
        <w:rPr>
          <w:rFonts w:ascii="Microsoft JhengHei" w:hAnsi="Microsoft JhengHei" w:cs="Microsoft JhengHei" w:eastAsia="Microsoft JhengHei" w:hint="default"/>
          <w:b/>
          <w:bCs/>
          <w:spacing w:val="-32"/>
          <w:sz w:val="21"/>
          <w:szCs w:val="21"/>
        </w:rPr>
      </w:r>
      <w:r>
        <w:rPr>
          <w:rFonts w:ascii="宋体" w:hAnsi="宋体" w:cs="宋体" w:eastAsia="宋体" w:hint="default"/>
          <w:spacing w:val="-3"/>
          <w:sz w:val="21"/>
          <w:szCs w:val="21"/>
        </w:rPr>
        <w:t>报告期内，本公司及其控股股东、实际控制人的诚信状况良好，不存在未履行法院生效判决、所</w:t>
      </w:r>
    </w:p>
    <w:p>
      <w:pPr>
        <w:spacing w:line="233" w:lineRule="exact" w:before="0"/>
        <w:ind w:left="218" w:right="120" w:firstLine="0"/>
        <w:jc w:val="left"/>
        <w:rPr>
          <w:rFonts w:ascii="宋体" w:hAnsi="宋体" w:cs="宋体" w:eastAsia="宋体" w:hint="default"/>
          <w:sz w:val="21"/>
          <w:szCs w:val="21"/>
        </w:rPr>
      </w:pPr>
      <w:r>
        <w:rPr>
          <w:rFonts w:ascii="宋体" w:hAnsi="宋体" w:cs="宋体" w:eastAsia="宋体" w:hint="default"/>
          <w:sz w:val="21"/>
          <w:szCs w:val="21"/>
        </w:rPr>
        <w:t>负数额较大的债务到期未清偿等情况。</w:t>
      </w:r>
    </w:p>
    <w:p>
      <w:pPr>
        <w:spacing w:line="240" w:lineRule="auto" w:before="6"/>
        <w:rPr>
          <w:rFonts w:ascii="宋体" w:hAnsi="宋体" w:cs="宋体" w:eastAsia="宋体" w:hint="default"/>
          <w:sz w:val="18"/>
          <w:szCs w:val="18"/>
        </w:rPr>
      </w:pPr>
    </w:p>
    <w:p>
      <w:pPr>
        <w:spacing w:line="314" w:lineRule="auto" w:before="0"/>
        <w:ind w:left="218" w:right="199" w:firstLine="420"/>
        <w:jc w:val="both"/>
        <w:rPr>
          <w:rFonts w:ascii="宋体" w:hAnsi="宋体" w:cs="宋体" w:eastAsia="宋体" w:hint="default"/>
          <w:sz w:val="21"/>
          <w:szCs w:val="21"/>
        </w:rPr>
      </w:pPr>
      <w:r>
        <w:rPr>
          <w:rFonts w:ascii="宋体" w:hAnsi="宋体" w:cs="宋体" w:eastAsia="宋体" w:hint="default"/>
          <w:spacing w:val="-2"/>
          <w:sz w:val="21"/>
          <w:szCs w:val="21"/>
        </w:rPr>
        <w:t>公司严格按照法律法规及监管规则要求，据实公平披露信息，积极履行对资本市场的承诺事项。</w:t>
      </w:r>
      <w:r>
        <w:rPr>
          <w:rFonts w:ascii="宋体" w:hAnsi="宋体" w:cs="宋体" w:eastAsia="宋体" w:hint="default"/>
          <w:w w:val="100"/>
          <w:sz w:val="21"/>
          <w:szCs w:val="21"/>
        </w:rPr>
        <w:t> </w:t>
      </w:r>
      <w:r>
        <w:rPr>
          <w:rFonts w:ascii="宋体" w:hAnsi="宋体" w:cs="宋体" w:eastAsia="宋体" w:hint="default"/>
          <w:spacing w:val="-2"/>
          <w:sz w:val="21"/>
          <w:szCs w:val="21"/>
        </w:rPr>
        <w:t>有关本公司及其实际控制人、股东、关联方等在报告期内或持续到报告期内的承诺事项履行情况，请</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参见本节“二、承诺事项履行情况”。</w:t>
      </w:r>
    </w:p>
    <w:p>
      <w:pPr>
        <w:spacing w:line="240" w:lineRule="auto" w:before="0"/>
        <w:rPr>
          <w:rFonts w:ascii="宋体" w:hAnsi="宋体" w:cs="宋体" w:eastAsia="宋体" w:hint="default"/>
          <w:sz w:val="20"/>
          <w:szCs w:val="20"/>
        </w:rPr>
      </w:pPr>
    </w:p>
    <w:p>
      <w:pPr>
        <w:spacing w:line="283" w:lineRule="auto" w:before="164"/>
        <w:ind w:left="218" w:right="2012"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pacing w:val="-1"/>
          <w:sz w:val="21"/>
          <w:szCs w:val="21"/>
        </w:rPr>
        <w:t>十三、公司股权激励计划、员工持股计划或其他员工激励措施的情况及其影响</w:t>
      </w:r>
      <w:r>
        <w:rPr>
          <w:rFonts w:ascii="Microsoft JhengHei" w:hAnsi="Microsoft JhengHei" w:cs="Microsoft JhengHei" w:eastAsia="Microsoft JhengHei" w:hint="default"/>
          <w:b/>
          <w:bCs/>
          <w:spacing w:val="9"/>
          <w:sz w:val="21"/>
          <w:szCs w:val="21"/>
        </w:rPr>
        <w:t> </w:t>
      </w:r>
      <w:r>
        <w:rPr>
          <w:rFonts w:ascii="Microsoft JhengHei" w:hAnsi="Microsoft JhengHei" w:cs="Microsoft JhengHei" w:eastAsia="Microsoft JhengHei" w:hint="default"/>
          <w:b/>
          <w:bCs/>
          <w:spacing w:val="9"/>
          <w:sz w:val="21"/>
          <w:szCs w:val="21"/>
        </w:rPr>
      </w:r>
      <w:r>
        <w:rPr>
          <w:rFonts w:ascii="Arial" w:hAnsi="Arial" w:cs="Arial" w:eastAsia="Arial" w:hint="default"/>
          <w:b/>
          <w:bCs/>
          <w:sz w:val="21"/>
          <w:szCs w:val="21"/>
        </w:rPr>
        <w:t>(</w:t>
      </w:r>
      <w:r>
        <w:rPr>
          <w:rFonts w:ascii="Microsoft JhengHei" w:hAnsi="Microsoft JhengHei" w:cs="Microsoft JhengHei" w:eastAsia="Microsoft JhengHei" w:hint="default"/>
          <w:b/>
          <w:bCs/>
          <w:sz w:val="21"/>
          <w:szCs w:val="21"/>
        </w:rPr>
        <w:t>一</w:t>
      </w:r>
      <w:r>
        <w:rPr>
          <w:rFonts w:ascii="Arial" w:hAnsi="Arial" w:cs="Arial" w:eastAsia="Arial" w:hint="default"/>
          <w:b/>
          <w:bCs/>
          <w:sz w:val="21"/>
          <w:szCs w:val="21"/>
        </w:rPr>
        <w:t>)   </w:t>
      </w:r>
      <w:r>
        <w:rPr>
          <w:rFonts w:ascii="Arial" w:hAnsi="Arial" w:cs="Arial" w:eastAsia="Arial" w:hint="default"/>
          <w:b/>
          <w:bCs/>
          <w:spacing w:val="2"/>
          <w:sz w:val="21"/>
          <w:szCs w:val="21"/>
        </w:rPr>
        <w:t> </w:t>
      </w:r>
      <w:r>
        <w:rPr>
          <w:rFonts w:ascii="Microsoft JhengHei" w:hAnsi="Microsoft JhengHei" w:cs="Microsoft JhengHei" w:eastAsia="Microsoft JhengHei" w:hint="default"/>
          <w:b/>
          <w:bCs/>
          <w:sz w:val="21"/>
          <w:szCs w:val="21"/>
        </w:rPr>
        <w:t>相关激励事项已在临时公告披露且后续实施无进展或变化的</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
          <w:szCs w:val="2"/>
        </w:rPr>
      </w:pPr>
    </w:p>
    <w:tbl>
      <w:tblPr>
        <w:tblW w:w="0" w:type="auto"/>
        <w:jc w:val="left"/>
        <w:tblInd w:w="106" w:type="dxa"/>
        <w:tblLayout w:type="fixed"/>
        <w:tblCellMar>
          <w:top w:w="0" w:type="dxa"/>
          <w:left w:w="0" w:type="dxa"/>
          <w:bottom w:w="0" w:type="dxa"/>
          <w:right w:w="0" w:type="dxa"/>
        </w:tblCellMar>
        <w:tblLook w:val="01E0"/>
      </w:tblPr>
      <w:tblGrid>
        <w:gridCol w:w="4841"/>
        <w:gridCol w:w="4590"/>
      </w:tblGrid>
      <w:tr>
        <w:trPr>
          <w:trHeight w:val="323" w:hRule="exact"/>
        </w:trPr>
        <w:tc>
          <w:tcPr>
            <w:tcW w:w="48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事项概述</w:t>
            </w:r>
          </w:p>
        </w:tc>
        <w:tc>
          <w:tcPr>
            <w:tcW w:w="45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left="2" w:right="0"/>
              <w:jc w:val="center"/>
              <w:rPr>
                <w:rFonts w:ascii="宋体" w:hAnsi="宋体" w:cs="宋体" w:eastAsia="宋体" w:hint="default"/>
                <w:sz w:val="21"/>
                <w:szCs w:val="21"/>
              </w:rPr>
            </w:pPr>
            <w:r>
              <w:rPr>
                <w:rFonts w:ascii="宋体" w:hAnsi="宋体" w:cs="宋体" w:eastAsia="宋体" w:hint="default"/>
                <w:sz w:val="21"/>
                <w:szCs w:val="21"/>
              </w:rPr>
              <w:t>查询索引</w:t>
            </w:r>
          </w:p>
        </w:tc>
      </w:tr>
      <w:tr>
        <w:trPr>
          <w:trHeight w:val="2482" w:hRule="exact"/>
        </w:trPr>
        <w:tc>
          <w:tcPr>
            <w:tcW w:w="4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1"/>
                <w:szCs w:val="11"/>
              </w:rPr>
            </w:pPr>
          </w:p>
          <w:p>
            <w:pPr>
              <w:pStyle w:val="TableParagraph"/>
              <w:spacing w:line="314" w:lineRule="auto"/>
              <w:ind w:left="103" w:right="74"/>
              <w:jc w:val="both"/>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0"/>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宋体" w:hAnsi="宋体" w:cs="宋体" w:eastAsia="宋体" w:hint="default"/>
                <w:sz w:val="21"/>
                <w:szCs w:val="21"/>
              </w:rPr>
              <w:t>3</w:t>
            </w:r>
            <w:r>
              <w:rPr>
                <w:rFonts w:ascii="宋体" w:hAnsi="宋体" w:cs="宋体" w:eastAsia="宋体" w:hint="default"/>
                <w:spacing w:val="-50"/>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宋体" w:hAnsi="宋体" w:cs="宋体" w:eastAsia="宋体" w:hint="default"/>
                <w:sz w:val="21"/>
                <w:szCs w:val="21"/>
              </w:rPr>
              <w:t>5</w:t>
            </w:r>
            <w:r>
              <w:rPr>
                <w:rFonts w:ascii="宋体" w:hAnsi="宋体" w:cs="宋体" w:eastAsia="宋体" w:hint="default"/>
                <w:spacing w:val="-50"/>
                <w:sz w:val="21"/>
                <w:szCs w:val="21"/>
              </w:rPr>
              <w:t> </w:t>
            </w:r>
            <w:r>
              <w:rPr>
                <w:rFonts w:ascii="宋体" w:hAnsi="宋体" w:cs="宋体" w:eastAsia="宋体" w:hint="default"/>
                <w:spacing w:val="-3"/>
                <w:sz w:val="21"/>
                <w:szCs w:val="21"/>
              </w:rPr>
              <w:t>日，公司限制性股票激励计划首期授</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予预留股票（以下简称“本次授予”）登记完成。</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本次授予的授予日为</w:t>
            </w:r>
            <w:r>
              <w:rPr>
                <w:rFonts w:ascii="宋体" w:hAnsi="宋体" w:cs="宋体" w:eastAsia="宋体" w:hint="default"/>
                <w:spacing w:val="-51"/>
                <w:sz w:val="21"/>
                <w:szCs w:val="21"/>
              </w:rPr>
              <w:t> </w:t>
            </w:r>
            <w:r>
              <w:rPr>
                <w:rFonts w:ascii="宋体" w:hAnsi="宋体" w:cs="宋体" w:eastAsia="宋体" w:hint="default"/>
                <w:sz w:val="21"/>
                <w:szCs w:val="21"/>
              </w:rPr>
              <w:t>2019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pacing w:val="-51"/>
                <w:sz w:val="21"/>
                <w:szCs w:val="21"/>
              </w:rPr>
              <w:t> </w:t>
            </w:r>
            <w:r>
              <w:rPr>
                <w:rFonts w:ascii="宋体" w:hAnsi="宋体" w:cs="宋体" w:eastAsia="宋体" w:hint="default"/>
                <w:spacing w:val="-13"/>
                <w:sz w:val="21"/>
                <w:szCs w:val="21"/>
              </w:rPr>
              <w:t>日；授予数量为</w:t>
            </w:r>
          </w:p>
          <w:p>
            <w:pPr>
              <w:pStyle w:val="TableParagraph"/>
              <w:spacing w:line="314" w:lineRule="auto" w:before="20"/>
              <w:ind w:left="103" w:right="74"/>
              <w:jc w:val="both"/>
              <w:rPr>
                <w:rFonts w:ascii="宋体" w:hAnsi="宋体" w:cs="宋体" w:eastAsia="宋体" w:hint="default"/>
                <w:sz w:val="21"/>
                <w:szCs w:val="21"/>
              </w:rPr>
            </w:pPr>
            <w:r>
              <w:rPr>
                <w:rFonts w:ascii="宋体" w:hAnsi="宋体" w:cs="宋体" w:eastAsia="宋体" w:hint="default"/>
                <w:spacing w:val="-1"/>
                <w:w w:val="100"/>
                <w:sz w:val="21"/>
                <w:szCs w:val="21"/>
              </w:rPr>
              <w:t>1,315.6</w:t>
            </w:r>
            <w:r>
              <w:rPr>
                <w:rFonts w:ascii="宋体" w:hAnsi="宋体" w:cs="宋体" w:eastAsia="宋体" w:hint="default"/>
                <w:spacing w:val="-52"/>
                <w:w w:val="100"/>
                <w:sz w:val="21"/>
                <w:szCs w:val="21"/>
              </w:rPr>
              <w:t> </w:t>
            </w:r>
            <w:r>
              <w:rPr>
                <w:rFonts w:ascii="宋体" w:hAnsi="宋体" w:cs="宋体" w:eastAsia="宋体" w:hint="default"/>
                <w:spacing w:val="-13"/>
                <w:w w:val="100"/>
                <w:sz w:val="21"/>
                <w:szCs w:val="21"/>
              </w:rPr>
              <w:t>万股；授予人数为</w:t>
            </w:r>
            <w:r>
              <w:rPr>
                <w:rFonts w:ascii="宋体" w:hAnsi="宋体" w:cs="宋体" w:eastAsia="宋体" w:hint="default"/>
                <w:spacing w:val="-54"/>
                <w:w w:val="100"/>
                <w:sz w:val="21"/>
                <w:szCs w:val="21"/>
              </w:rPr>
              <w:t> </w:t>
            </w:r>
            <w:r>
              <w:rPr>
                <w:rFonts w:ascii="宋体" w:hAnsi="宋体" w:cs="宋体" w:eastAsia="宋体" w:hint="default"/>
                <w:w w:val="100"/>
                <w:sz w:val="21"/>
                <w:szCs w:val="21"/>
              </w:rPr>
              <w:t>193</w:t>
            </w:r>
            <w:r>
              <w:rPr>
                <w:rFonts w:ascii="宋体" w:hAnsi="宋体" w:cs="宋体" w:eastAsia="宋体" w:hint="default"/>
                <w:spacing w:val="-52"/>
                <w:w w:val="100"/>
                <w:sz w:val="21"/>
                <w:szCs w:val="21"/>
              </w:rPr>
              <w:t> </w:t>
            </w:r>
            <w:r>
              <w:rPr>
                <w:rFonts w:ascii="宋体" w:hAnsi="宋体" w:cs="宋体" w:eastAsia="宋体" w:hint="default"/>
                <w:spacing w:val="-15"/>
                <w:w w:val="100"/>
                <w:sz w:val="21"/>
                <w:szCs w:val="21"/>
              </w:rPr>
              <w:t>人；授予价格为</w:t>
            </w:r>
            <w:r>
              <w:rPr>
                <w:rFonts w:ascii="宋体" w:hAnsi="宋体" w:cs="宋体" w:eastAsia="宋体" w:hint="default"/>
                <w:spacing w:val="-54"/>
                <w:w w:val="100"/>
                <w:sz w:val="21"/>
                <w:szCs w:val="21"/>
              </w:rPr>
              <w:t> </w:t>
            </w:r>
            <w:r>
              <w:rPr>
                <w:rFonts w:ascii="宋体" w:hAnsi="宋体" w:cs="宋体" w:eastAsia="宋体" w:hint="default"/>
                <w:w w:val="100"/>
                <w:sz w:val="21"/>
                <w:szCs w:val="21"/>
              </w:rPr>
              <w:t>3.79 </w:t>
            </w:r>
            <w:r>
              <w:rPr>
                <w:rFonts w:ascii="宋体" w:hAnsi="宋体" w:cs="宋体" w:eastAsia="宋体" w:hint="default"/>
                <w:spacing w:val="-5"/>
                <w:sz w:val="21"/>
                <w:szCs w:val="21"/>
              </w:rPr>
              <w:t>元人民币</w:t>
            </w:r>
            <w:r>
              <w:rPr>
                <w:rFonts w:ascii="宋体" w:hAnsi="宋体" w:cs="宋体" w:eastAsia="宋体" w:hint="default"/>
                <w:spacing w:val="-5"/>
                <w:sz w:val="21"/>
                <w:szCs w:val="21"/>
              </w:rPr>
              <w:t>/</w:t>
            </w:r>
            <w:r>
              <w:rPr>
                <w:rFonts w:ascii="宋体" w:hAnsi="宋体" w:cs="宋体" w:eastAsia="宋体" w:hint="default"/>
                <w:spacing w:val="-5"/>
                <w:sz w:val="21"/>
                <w:szCs w:val="21"/>
              </w:rPr>
              <w:t>股；股票来源为公司向激励对象定向发行</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的公司</w:t>
            </w:r>
            <w:r>
              <w:rPr>
                <w:rFonts w:ascii="宋体" w:hAnsi="宋体" w:cs="宋体" w:eastAsia="宋体" w:hint="default"/>
                <w:spacing w:val="-53"/>
                <w:sz w:val="21"/>
                <w:szCs w:val="21"/>
              </w:rPr>
              <w:t> </w:t>
            </w:r>
            <w:r>
              <w:rPr>
                <w:rFonts w:ascii="宋体" w:hAnsi="宋体" w:cs="宋体" w:eastAsia="宋体" w:hint="default"/>
                <w:sz w:val="21"/>
                <w:szCs w:val="21"/>
              </w:rPr>
              <w:t>A</w:t>
            </w:r>
            <w:r>
              <w:rPr>
                <w:rFonts w:ascii="宋体" w:hAnsi="宋体" w:cs="宋体" w:eastAsia="宋体" w:hint="default"/>
                <w:spacing w:val="-53"/>
                <w:sz w:val="21"/>
                <w:szCs w:val="21"/>
              </w:rPr>
              <w:t> </w:t>
            </w:r>
            <w:r>
              <w:rPr>
                <w:rFonts w:ascii="宋体" w:hAnsi="宋体" w:cs="宋体" w:eastAsia="宋体" w:hint="default"/>
                <w:sz w:val="21"/>
                <w:szCs w:val="21"/>
              </w:rPr>
              <w:t>股普通股股票。</w:t>
            </w:r>
          </w:p>
        </w:tc>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1"/>
                <w:szCs w:val="11"/>
              </w:rPr>
            </w:pPr>
          </w:p>
          <w:p>
            <w:pPr>
              <w:pStyle w:val="TableParagraph"/>
              <w:spacing w:line="314" w:lineRule="auto"/>
              <w:ind w:left="103" w:right="96"/>
              <w:jc w:val="both"/>
              <w:rPr>
                <w:rFonts w:ascii="宋体" w:hAnsi="宋体" w:cs="宋体" w:eastAsia="宋体" w:hint="default"/>
                <w:sz w:val="21"/>
                <w:szCs w:val="21"/>
              </w:rPr>
            </w:pPr>
            <w:r>
              <w:rPr>
                <w:rFonts w:ascii="宋体" w:hAnsi="宋体" w:cs="宋体" w:eastAsia="宋体" w:hint="default"/>
                <w:sz w:val="21"/>
                <w:szCs w:val="21"/>
              </w:rPr>
              <w:t>有关详情请见公司于</w:t>
            </w:r>
            <w:r>
              <w:rPr>
                <w:rFonts w:ascii="宋体" w:hAnsi="宋体" w:cs="宋体" w:eastAsia="宋体" w:hint="default"/>
                <w:spacing w:val="-41"/>
                <w:sz w:val="21"/>
                <w:szCs w:val="21"/>
              </w:rPr>
              <w:t> </w:t>
            </w:r>
            <w:r>
              <w:rPr>
                <w:rFonts w:ascii="宋体" w:hAnsi="宋体" w:cs="宋体" w:eastAsia="宋体" w:hint="default"/>
                <w:sz w:val="21"/>
                <w:szCs w:val="21"/>
              </w:rPr>
              <w:t>2019</w:t>
            </w:r>
            <w:r>
              <w:rPr>
                <w:rFonts w:ascii="宋体" w:hAnsi="宋体" w:cs="宋体" w:eastAsia="宋体" w:hint="default"/>
                <w:spacing w:val="-43"/>
                <w:sz w:val="21"/>
                <w:szCs w:val="21"/>
              </w:rPr>
              <w:t> </w:t>
            </w:r>
            <w:r>
              <w:rPr>
                <w:rFonts w:ascii="宋体" w:hAnsi="宋体" w:cs="宋体" w:eastAsia="宋体" w:hint="default"/>
                <w:sz w:val="21"/>
                <w:szCs w:val="21"/>
              </w:rPr>
              <w:t>年</w:t>
            </w:r>
            <w:r>
              <w:rPr>
                <w:rFonts w:ascii="宋体" w:hAnsi="宋体" w:cs="宋体" w:eastAsia="宋体" w:hint="default"/>
                <w:spacing w:val="-42"/>
                <w:sz w:val="21"/>
                <w:szCs w:val="21"/>
              </w:rPr>
              <w:t> </w:t>
            </w:r>
            <w:r>
              <w:rPr>
                <w:rFonts w:ascii="宋体" w:hAnsi="宋体" w:cs="宋体" w:eastAsia="宋体" w:hint="default"/>
                <w:sz w:val="21"/>
                <w:szCs w:val="21"/>
              </w:rPr>
              <w:t>3</w:t>
            </w:r>
            <w:r>
              <w:rPr>
                <w:rFonts w:ascii="宋体" w:hAnsi="宋体" w:cs="宋体" w:eastAsia="宋体" w:hint="default"/>
                <w:spacing w:val="-41"/>
                <w:sz w:val="21"/>
                <w:szCs w:val="21"/>
              </w:rPr>
              <w:t> </w:t>
            </w:r>
            <w:r>
              <w:rPr>
                <w:rFonts w:ascii="宋体" w:hAnsi="宋体" w:cs="宋体" w:eastAsia="宋体" w:hint="default"/>
                <w:sz w:val="21"/>
                <w:szCs w:val="21"/>
              </w:rPr>
              <w:t>月</w:t>
            </w:r>
            <w:r>
              <w:rPr>
                <w:rFonts w:ascii="宋体" w:hAnsi="宋体" w:cs="宋体" w:eastAsia="宋体" w:hint="default"/>
                <w:spacing w:val="-43"/>
                <w:sz w:val="21"/>
                <w:szCs w:val="21"/>
              </w:rPr>
              <w:t> </w:t>
            </w:r>
            <w:r>
              <w:rPr>
                <w:rFonts w:ascii="宋体" w:hAnsi="宋体" w:cs="宋体" w:eastAsia="宋体" w:hint="default"/>
                <w:sz w:val="21"/>
                <w:szCs w:val="21"/>
              </w:rPr>
              <w:t>7</w:t>
            </w:r>
            <w:r>
              <w:rPr>
                <w:rFonts w:ascii="宋体" w:hAnsi="宋体" w:cs="宋体" w:eastAsia="宋体" w:hint="default"/>
                <w:spacing w:val="-43"/>
                <w:sz w:val="21"/>
                <w:szCs w:val="21"/>
              </w:rPr>
              <w:t> </w:t>
            </w:r>
            <w:r>
              <w:rPr>
                <w:rFonts w:ascii="宋体" w:hAnsi="宋体" w:cs="宋体" w:eastAsia="宋体" w:hint="default"/>
                <w:sz w:val="21"/>
                <w:szCs w:val="21"/>
              </w:rPr>
              <w:t>日在《中国</w:t>
            </w:r>
            <w:r>
              <w:rPr>
                <w:rFonts w:ascii="宋体" w:hAnsi="宋体" w:cs="宋体" w:eastAsia="宋体" w:hint="default"/>
                <w:w w:val="100"/>
                <w:sz w:val="21"/>
                <w:szCs w:val="21"/>
              </w:rPr>
              <w:t> </w:t>
            </w:r>
            <w:r>
              <w:rPr>
                <w:rFonts w:ascii="宋体" w:hAnsi="宋体" w:cs="宋体" w:eastAsia="宋体" w:hint="default"/>
                <w:spacing w:val="-4"/>
                <w:sz w:val="21"/>
                <w:szCs w:val="21"/>
              </w:rPr>
              <w:t>证券报》《上海证券报》《证券时报》、上海证</w:t>
            </w:r>
            <w:r>
              <w:rPr>
                <w:rFonts w:ascii="宋体" w:hAnsi="宋体" w:cs="宋体" w:eastAsia="宋体" w:hint="default"/>
                <w:spacing w:val="-61"/>
                <w:sz w:val="21"/>
                <w:szCs w:val="21"/>
              </w:rPr>
              <w:t> </w:t>
            </w:r>
            <w:r>
              <w:rPr>
                <w:rFonts w:ascii="宋体" w:hAnsi="宋体" w:cs="宋体" w:eastAsia="宋体" w:hint="default"/>
                <w:spacing w:val="-61"/>
                <w:sz w:val="21"/>
                <w:szCs w:val="21"/>
              </w:rPr>
            </w:r>
            <w:r>
              <w:rPr>
                <w:rFonts w:ascii="宋体" w:hAnsi="宋体" w:cs="宋体" w:eastAsia="宋体" w:hint="default"/>
                <w:spacing w:val="-3"/>
                <w:sz w:val="21"/>
                <w:szCs w:val="21"/>
              </w:rPr>
              <w:t>券交易所网站及本公司网站发布的《关于限制性</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pacing w:val="5"/>
                <w:sz w:val="21"/>
                <w:szCs w:val="21"/>
              </w:rPr>
              <w:t>股票激励计划首期授予预留股票登记完成的公</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z w:val="21"/>
                <w:szCs w:val="21"/>
              </w:rPr>
              <w:t>告》（公告编号：</w:t>
            </w:r>
            <w:r>
              <w:rPr>
                <w:rFonts w:ascii="宋体" w:hAnsi="宋体" w:cs="宋体" w:eastAsia="宋体" w:hint="default"/>
                <w:sz w:val="21"/>
                <w:szCs w:val="21"/>
              </w:rPr>
              <w:t>2019-010</w:t>
            </w:r>
            <w:r>
              <w:rPr>
                <w:rFonts w:ascii="宋体" w:hAnsi="宋体" w:cs="宋体" w:eastAsia="宋体" w:hint="default"/>
                <w:sz w:val="21"/>
                <w:szCs w:val="21"/>
              </w:rPr>
              <w:t>）</w:t>
            </w:r>
          </w:p>
        </w:tc>
      </w:tr>
      <w:tr>
        <w:trPr>
          <w:trHeight w:val="2842" w:hRule="exact"/>
        </w:trPr>
        <w:tc>
          <w:tcPr>
            <w:tcW w:w="4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1"/>
                <w:szCs w:val="11"/>
              </w:rPr>
            </w:pPr>
          </w:p>
          <w:p>
            <w:pPr>
              <w:pStyle w:val="TableParagraph"/>
              <w:spacing w:line="314" w:lineRule="auto"/>
              <w:ind w:left="103" w:right="96"/>
              <w:jc w:val="both"/>
              <w:rPr>
                <w:rFonts w:ascii="宋体" w:hAnsi="宋体" w:cs="宋体" w:eastAsia="宋体" w:hint="default"/>
                <w:sz w:val="21"/>
                <w:szCs w:val="21"/>
              </w:rPr>
            </w:pPr>
            <w:r>
              <w:rPr>
                <w:rFonts w:ascii="宋体" w:hAnsi="宋体" w:cs="宋体" w:eastAsia="宋体" w:hint="default"/>
                <w:spacing w:val="-1"/>
                <w:sz w:val="21"/>
                <w:szCs w:val="21"/>
              </w:rPr>
              <w:t>报告期内，经公司股东会与董事会审议通过，调整</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pacing w:val="-1"/>
                <w:sz w:val="21"/>
                <w:szCs w:val="21"/>
              </w:rPr>
              <w:t>公司限制性股票激励计划及首期授予方案中除息与</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特殊情况。</w:t>
            </w:r>
          </w:p>
        </w:tc>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1"/>
                <w:szCs w:val="11"/>
              </w:rPr>
            </w:pPr>
          </w:p>
          <w:p>
            <w:pPr>
              <w:pStyle w:val="TableParagraph"/>
              <w:spacing w:line="314" w:lineRule="auto"/>
              <w:ind w:left="103" w:right="-5"/>
              <w:jc w:val="left"/>
              <w:rPr>
                <w:rFonts w:ascii="宋体" w:hAnsi="宋体" w:cs="宋体" w:eastAsia="宋体" w:hint="default"/>
                <w:sz w:val="21"/>
                <w:szCs w:val="21"/>
              </w:rPr>
            </w:pPr>
            <w:r>
              <w:rPr>
                <w:rFonts w:ascii="宋体" w:hAnsi="宋体" w:cs="宋体" w:eastAsia="宋体" w:hint="default"/>
                <w:sz w:val="21"/>
                <w:szCs w:val="21"/>
              </w:rPr>
              <w:t>有关详情请见公司于</w:t>
            </w:r>
            <w:r>
              <w:rPr>
                <w:rFonts w:ascii="宋体" w:hAnsi="宋体" w:cs="宋体" w:eastAsia="宋体" w:hint="default"/>
                <w:spacing w:val="-45"/>
                <w:sz w:val="21"/>
                <w:szCs w:val="21"/>
              </w:rPr>
              <w:t> </w:t>
            </w:r>
            <w:r>
              <w:rPr>
                <w:rFonts w:ascii="宋体" w:hAnsi="宋体" w:cs="宋体" w:eastAsia="宋体" w:hint="default"/>
                <w:sz w:val="21"/>
                <w:szCs w:val="21"/>
              </w:rPr>
              <w:t>2019</w:t>
            </w:r>
            <w:r>
              <w:rPr>
                <w:rFonts w:ascii="宋体" w:hAnsi="宋体" w:cs="宋体" w:eastAsia="宋体" w:hint="default"/>
                <w:spacing w:val="-47"/>
                <w:sz w:val="21"/>
                <w:szCs w:val="21"/>
              </w:rPr>
              <w:t> </w:t>
            </w:r>
            <w:r>
              <w:rPr>
                <w:rFonts w:ascii="宋体" w:hAnsi="宋体" w:cs="宋体" w:eastAsia="宋体" w:hint="default"/>
                <w:sz w:val="21"/>
                <w:szCs w:val="21"/>
              </w:rPr>
              <w:t>年</w:t>
            </w:r>
            <w:r>
              <w:rPr>
                <w:rFonts w:ascii="宋体" w:hAnsi="宋体" w:cs="宋体" w:eastAsia="宋体" w:hint="default"/>
                <w:spacing w:val="-44"/>
                <w:sz w:val="21"/>
                <w:szCs w:val="21"/>
              </w:rPr>
              <w:t> </w:t>
            </w:r>
            <w:r>
              <w:rPr>
                <w:rFonts w:ascii="宋体" w:hAnsi="宋体" w:cs="宋体" w:eastAsia="宋体" w:hint="default"/>
                <w:sz w:val="21"/>
                <w:szCs w:val="21"/>
              </w:rPr>
              <w:t>3</w:t>
            </w:r>
            <w:r>
              <w:rPr>
                <w:rFonts w:ascii="宋体" w:hAnsi="宋体" w:cs="宋体" w:eastAsia="宋体" w:hint="default"/>
                <w:spacing w:val="-44"/>
                <w:sz w:val="21"/>
                <w:szCs w:val="21"/>
              </w:rPr>
              <w:t> </w:t>
            </w:r>
            <w:r>
              <w:rPr>
                <w:rFonts w:ascii="宋体" w:hAnsi="宋体" w:cs="宋体" w:eastAsia="宋体" w:hint="default"/>
                <w:sz w:val="21"/>
                <w:szCs w:val="21"/>
              </w:rPr>
              <w:t>月</w:t>
            </w:r>
            <w:r>
              <w:rPr>
                <w:rFonts w:ascii="宋体" w:hAnsi="宋体" w:cs="宋体" w:eastAsia="宋体" w:hint="default"/>
                <w:spacing w:val="-44"/>
                <w:sz w:val="21"/>
                <w:szCs w:val="21"/>
              </w:rPr>
              <w:t> </w:t>
            </w:r>
            <w:r>
              <w:rPr>
                <w:rFonts w:ascii="宋体" w:hAnsi="宋体" w:cs="宋体" w:eastAsia="宋体" w:hint="default"/>
                <w:sz w:val="21"/>
                <w:szCs w:val="21"/>
              </w:rPr>
              <w:t>14</w:t>
            </w:r>
            <w:r>
              <w:rPr>
                <w:rFonts w:ascii="宋体" w:hAnsi="宋体" w:cs="宋体" w:eastAsia="宋体" w:hint="default"/>
                <w:spacing w:val="-44"/>
                <w:sz w:val="21"/>
                <w:szCs w:val="21"/>
              </w:rPr>
              <w:t> </w:t>
            </w:r>
            <w:r>
              <w:rPr>
                <w:rFonts w:ascii="宋体" w:hAnsi="宋体" w:cs="宋体" w:eastAsia="宋体" w:hint="default"/>
                <w:sz w:val="21"/>
                <w:szCs w:val="21"/>
              </w:rPr>
              <w:t>日、</w:t>
            </w:r>
            <w:r>
              <w:rPr>
                <w:rFonts w:ascii="宋体" w:hAnsi="宋体" w:cs="宋体" w:eastAsia="宋体" w:hint="default"/>
                <w:sz w:val="21"/>
                <w:szCs w:val="21"/>
              </w:rPr>
              <w:t>5</w:t>
            </w:r>
            <w:r>
              <w:rPr>
                <w:rFonts w:ascii="宋体" w:hAnsi="宋体" w:cs="宋体" w:eastAsia="宋体" w:hint="default"/>
                <w:spacing w:val="-44"/>
                <w:sz w:val="21"/>
                <w:szCs w:val="21"/>
              </w:rPr>
              <w:t> </w:t>
            </w:r>
            <w:r>
              <w:rPr>
                <w:rFonts w:ascii="宋体" w:hAnsi="宋体" w:cs="宋体" w:eastAsia="宋体" w:hint="default"/>
                <w:sz w:val="21"/>
                <w:szCs w:val="21"/>
              </w:rPr>
              <w:t>月</w:t>
            </w:r>
            <w:r>
              <w:rPr>
                <w:rFonts w:ascii="宋体" w:hAnsi="宋体" w:cs="宋体" w:eastAsia="宋体" w:hint="default"/>
                <w:spacing w:val="-44"/>
                <w:sz w:val="21"/>
                <w:szCs w:val="21"/>
              </w:rPr>
              <w:t> </w:t>
            </w:r>
            <w:r>
              <w:rPr>
                <w:rFonts w:ascii="宋体" w:hAnsi="宋体" w:cs="宋体" w:eastAsia="宋体" w:hint="default"/>
                <w:sz w:val="21"/>
                <w:szCs w:val="21"/>
              </w:rPr>
              <w:t>9</w:t>
            </w:r>
            <w:r>
              <w:rPr>
                <w:rFonts w:ascii="宋体" w:hAnsi="宋体" w:cs="宋体" w:eastAsia="宋体" w:hint="default"/>
                <w:spacing w:val="-103"/>
                <w:sz w:val="21"/>
                <w:szCs w:val="21"/>
              </w:rPr>
              <w:t> </w:t>
            </w:r>
            <w:r>
              <w:rPr>
                <w:rFonts w:ascii="宋体" w:hAnsi="宋体" w:cs="宋体" w:eastAsia="宋体" w:hint="default"/>
                <w:spacing w:val="-17"/>
                <w:w w:val="100"/>
                <w:sz w:val="21"/>
                <w:szCs w:val="21"/>
              </w:rPr>
              <w:t>日在《中国证券报》《上海证券报》《证券时报》、</w:t>
            </w:r>
            <w:r>
              <w:rPr>
                <w:rFonts w:ascii="宋体" w:hAnsi="宋体" w:cs="宋体" w:eastAsia="宋体" w:hint="default"/>
                <w:spacing w:val="-98"/>
                <w:w w:val="100"/>
                <w:sz w:val="21"/>
                <w:szCs w:val="21"/>
              </w:rPr>
              <w:t> </w:t>
            </w:r>
            <w:r>
              <w:rPr>
                <w:rFonts w:ascii="宋体" w:hAnsi="宋体" w:cs="宋体" w:eastAsia="宋体" w:hint="default"/>
                <w:spacing w:val="-98"/>
                <w:w w:val="100"/>
                <w:sz w:val="21"/>
                <w:szCs w:val="21"/>
              </w:rPr>
            </w:r>
            <w:r>
              <w:rPr>
                <w:rFonts w:ascii="宋体" w:hAnsi="宋体" w:cs="宋体" w:eastAsia="宋体" w:hint="default"/>
                <w:spacing w:val="-3"/>
                <w:sz w:val="21"/>
                <w:szCs w:val="21"/>
              </w:rPr>
              <w:t>上海证券交易所网站及本公司网站发布的《关于</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pacing w:val="5"/>
                <w:sz w:val="21"/>
                <w:szCs w:val="21"/>
              </w:rPr>
              <w:t>调整限制性股票激励计划及首期授予方案除息</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z w:val="21"/>
                <w:szCs w:val="21"/>
              </w:rPr>
              <w:t>与特殊情况的公告》（公告编号：</w:t>
            </w:r>
            <w:r>
              <w:rPr>
                <w:rFonts w:ascii="宋体" w:hAnsi="宋体" w:cs="宋体" w:eastAsia="宋体" w:hint="default"/>
                <w:sz w:val="21"/>
                <w:szCs w:val="21"/>
              </w:rPr>
              <w:t>2019-018</w:t>
            </w:r>
            <w:r>
              <w:rPr>
                <w:rFonts w:ascii="宋体" w:hAnsi="宋体" w:cs="宋体" w:eastAsia="宋体" w:hint="default"/>
                <w:sz w:val="21"/>
                <w:szCs w:val="21"/>
              </w:rPr>
              <w:t>）、</w:t>
            </w:r>
          </w:p>
          <w:p>
            <w:pPr>
              <w:pStyle w:val="TableParagraph"/>
              <w:spacing w:line="314" w:lineRule="auto" w:before="20"/>
              <w:ind w:left="103" w:right="9"/>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2018</w:t>
            </w:r>
            <w:r>
              <w:rPr>
                <w:rFonts w:ascii="宋体" w:hAnsi="宋体" w:cs="宋体" w:eastAsia="宋体" w:hint="default"/>
                <w:spacing w:val="-57"/>
                <w:sz w:val="21"/>
                <w:szCs w:val="21"/>
              </w:rPr>
              <w:t> </w:t>
            </w:r>
            <w:r>
              <w:rPr>
                <w:rFonts w:ascii="宋体" w:hAnsi="宋体" w:cs="宋体" w:eastAsia="宋体" w:hint="default"/>
                <w:sz w:val="21"/>
                <w:szCs w:val="21"/>
              </w:rPr>
              <w:t>年年度股东大会决议公告》（公告编号：</w:t>
            </w:r>
            <w:r>
              <w:rPr>
                <w:rFonts w:ascii="宋体" w:hAnsi="宋体" w:cs="宋体" w:eastAsia="宋体" w:hint="default"/>
                <w:w w:val="100"/>
                <w:sz w:val="21"/>
                <w:szCs w:val="21"/>
              </w:rPr>
              <w:t> </w:t>
            </w:r>
            <w:r>
              <w:rPr>
                <w:rFonts w:ascii="宋体" w:hAnsi="宋体" w:cs="宋体" w:eastAsia="宋体" w:hint="default"/>
                <w:sz w:val="21"/>
                <w:szCs w:val="21"/>
              </w:rPr>
              <w:t>2019-025</w:t>
            </w:r>
            <w:r>
              <w:rPr>
                <w:rFonts w:ascii="宋体" w:hAnsi="宋体" w:cs="宋体" w:eastAsia="宋体" w:hint="default"/>
                <w:sz w:val="21"/>
                <w:szCs w:val="21"/>
              </w:rPr>
              <w:t>）</w:t>
            </w:r>
          </w:p>
        </w:tc>
      </w:tr>
      <w:tr>
        <w:trPr>
          <w:trHeight w:val="1966" w:hRule="exact"/>
        </w:trPr>
        <w:tc>
          <w:tcPr>
            <w:tcW w:w="4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1"/>
                <w:szCs w:val="11"/>
              </w:rPr>
            </w:pPr>
          </w:p>
          <w:p>
            <w:pPr>
              <w:pStyle w:val="TableParagraph"/>
              <w:spacing w:line="314" w:lineRule="auto"/>
              <w:ind w:left="103" w:right="96"/>
              <w:jc w:val="both"/>
              <w:rPr>
                <w:rFonts w:ascii="宋体" w:hAnsi="宋体" w:cs="宋体" w:eastAsia="宋体" w:hint="default"/>
                <w:sz w:val="21"/>
                <w:szCs w:val="21"/>
              </w:rPr>
            </w:pPr>
            <w:r>
              <w:rPr>
                <w:rFonts w:ascii="宋体" w:hAnsi="宋体" w:cs="宋体" w:eastAsia="宋体" w:hint="default"/>
                <w:spacing w:val="-1"/>
                <w:sz w:val="21"/>
                <w:szCs w:val="21"/>
              </w:rPr>
              <w:t>报告期内，经公司股东会与董事会审议通过，回购</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pacing w:val="-1"/>
                <w:sz w:val="21"/>
                <w:szCs w:val="21"/>
              </w:rPr>
              <w:t>注销公司部分已不属于激励范围激励对象持有的尚</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未解锁的限制性股票事项。</w:t>
            </w:r>
          </w:p>
        </w:tc>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2"/>
                <w:szCs w:val="12"/>
              </w:rPr>
            </w:pPr>
          </w:p>
          <w:p>
            <w:pPr>
              <w:pStyle w:val="TableParagraph"/>
              <w:spacing w:line="240" w:lineRule="auto"/>
              <w:ind w:left="103" w:right="0"/>
              <w:jc w:val="both"/>
              <w:rPr>
                <w:rFonts w:ascii="宋体" w:hAnsi="宋体" w:cs="宋体" w:eastAsia="宋体" w:hint="default"/>
                <w:sz w:val="20"/>
                <w:szCs w:val="20"/>
              </w:rPr>
            </w:pPr>
            <w:r>
              <w:rPr>
                <w:rFonts w:ascii="宋体" w:hAnsi="宋体" w:cs="宋体" w:eastAsia="宋体" w:hint="default"/>
                <w:w w:val="99"/>
                <w:sz w:val="20"/>
                <w:szCs w:val="20"/>
              </w:rPr>
              <w:t>有关详</w:t>
            </w:r>
            <w:r>
              <w:rPr>
                <w:rFonts w:ascii="宋体" w:hAnsi="宋体" w:cs="宋体" w:eastAsia="宋体" w:hint="default"/>
                <w:spacing w:val="2"/>
                <w:w w:val="99"/>
                <w:sz w:val="20"/>
                <w:szCs w:val="20"/>
              </w:rPr>
              <w:t>情</w:t>
            </w:r>
            <w:r>
              <w:rPr>
                <w:rFonts w:ascii="宋体" w:hAnsi="宋体" w:cs="宋体" w:eastAsia="宋体" w:hint="default"/>
                <w:w w:val="99"/>
                <w:sz w:val="20"/>
                <w:szCs w:val="20"/>
              </w:rPr>
              <w:t>请见</w:t>
            </w:r>
            <w:r>
              <w:rPr>
                <w:rFonts w:ascii="宋体" w:hAnsi="宋体" w:cs="宋体" w:eastAsia="宋体" w:hint="default"/>
                <w:spacing w:val="2"/>
                <w:w w:val="99"/>
                <w:sz w:val="20"/>
                <w:szCs w:val="20"/>
              </w:rPr>
              <w:t>公</w:t>
            </w:r>
            <w:r>
              <w:rPr>
                <w:rFonts w:ascii="宋体" w:hAnsi="宋体" w:cs="宋体" w:eastAsia="宋体" w:hint="default"/>
                <w:w w:val="99"/>
                <w:sz w:val="20"/>
                <w:szCs w:val="20"/>
              </w:rPr>
              <w:t>司</w:t>
            </w:r>
            <w:r>
              <w:rPr>
                <w:rFonts w:ascii="宋体" w:hAnsi="宋体" w:cs="宋体" w:eastAsia="宋体" w:hint="default"/>
                <w:spacing w:val="-41"/>
                <w:w w:val="99"/>
                <w:sz w:val="20"/>
                <w:szCs w:val="20"/>
              </w:rPr>
              <w:t>在</w:t>
            </w:r>
            <w:r>
              <w:rPr>
                <w:rFonts w:ascii="宋体" w:hAnsi="宋体" w:cs="宋体" w:eastAsia="宋体" w:hint="default"/>
                <w:w w:val="99"/>
                <w:sz w:val="20"/>
                <w:szCs w:val="20"/>
              </w:rPr>
              <w:t>《中</w:t>
            </w:r>
            <w:r>
              <w:rPr>
                <w:rFonts w:ascii="宋体" w:hAnsi="宋体" w:cs="宋体" w:eastAsia="宋体" w:hint="default"/>
                <w:spacing w:val="2"/>
                <w:w w:val="99"/>
                <w:sz w:val="20"/>
                <w:szCs w:val="20"/>
              </w:rPr>
              <w:t>国</w:t>
            </w:r>
            <w:r>
              <w:rPr>
                <w:rFonts w:ascii="宋体" w:hAnsi="宋体" w:cs="宋体" w:eastAsia="宋体" w:hint="default"/>
                <w:w w:val="99"/>
                <w:sz w:val="20"/>
                <w:szCs w:val="20"/>
              </w:rPr>
              <w:t>证券</w:t>
            </w:r>
            <w:r>
              <w:rPr>
                <w:rFonts w:ascii="宋体" w:hAnsi="宋体" w:cs="宋体" w:eastAsia="宋体" w:hint="default"/>
                <w:spacing w:val="2"/>
                <w:w w:val="99"/>
                <w:sz w:val="20"/>
                <w:szCs w:val="20"/>
              </w:rPr>
              <w:t>报</w:t>
            </w:r>
            <w:r>
              <w:rPr>
                <w:rFonts w:ascii="宋体" w:hAnsi="宋体" w:cs="宋体" w:eastAsia="宋体" w:hint="default"/>
                <w:spacing w:val="-87"/>
                <w:w w:val="99"/>
                <w:sz w:val="20"/>
                <w:szCs w:val="20"/>
              </w:rPr>
              <w:t>》</w:t>
            </w:r>
            <w:r>
              <w:rPr>
                <w:rFonts w:ascii="宋体" w:hAnsi="宋体" w:cs="宋体" w:eastAsia="宋体" w:hint="default"/>
                <w:spacing w:val="2"/>
                <w:w w:val="99"/>
                <w:sz w:val="20"/>
                <w:szCs w:val="20"/>
              </w:rPr>
              <w:t>《</w:t>
            </w:r>
            <w:r>
              <w:rPr>
                <w:rFonts w:ascii="宋体" w:hAnsi="宋体" w:cs="宋体" w:eastAsia="宋体" w:hint="default"/>
                <w:w w:val="99"/>
                <w:sz w:val="20"/>
                <w:szCs w:val="20"/>
              </w:rPr>
              <w:t>上海</w:t>
            </w:r>
            <w:r>
              <w:rPr>
                <w:rFonts w:ascii="宋体" w:hAnsi="宋体" w:cs="宋体" w:eastAsia="宋体" w:hint="default"/>
                <w:spacing w:val="2"/>
                <w:w w:val="99"/>
                <w:sz w:val="20"/>
                <w:szCs w:val="20"/>
              </w:rPr>
              <w:t>证</w:t>
            </w:r>
            <w:r>
              <w:rPr>
                <w:rFonts w:ascii="宋体" w:hAnsi="宋体" w:cs="宋体" w:eastAsia="宋体" w:hint="default"/>
                <w:w w:val="99"/>
                <w:sz w:val="20"/>
                <w:szCs w:val="20"/>
              </w:rPr>
              <w:t>券</w:t>
            </w:r>
            <w:r>
              <w:rPr>
                <w:rFonts w:ascii="宋体" w:hAnsi="宋体" w:cs="宋体" w:eastAsia="宋体" w:hint="default"/>
                <w:spacing w:val="2"/>
                <w:w w:val="99"/>
                <w:sz w:val="20"/>
                <w:szCs w:val="20"/>
              </w:rPr>
              <w:t>报</w:t>
            </w:r>
            <w:r>
              <w:rPr>
                <w:rFonts w:ascii="宋体" w:hAnsi="宋体" w:cs="宋体" w:eastAsia="宋体" w:hint="default"/>
                <w:w w:val="99"/>
                <w:sz w:val="20"/>
                <w:szCs w:val="20"/>
              </w:rPr>
              <w:t>》</w:t>
            </w:r>
            <w:r>
              <w:rPr>
                <w:rFonts w:ascii="宋体" w:hAnsi="宋体" w:cs="宋体" w:eastAsia="宋体" w:hint="default"/>
                <w:sz w:val="20"/>
                <w:szCs w:val="20"/>
              </w:rPr>
            </w:r>
          </w:p>
          <w:p>
            <w:pPr>
              <w:pStyle w:val="TableParagraph"/>
              <w:spacing w:line="331" w:lineRule="auto" w:before="98"/>
              <w:ind w:left="103" w:right="83"/>
              <w:jc w:val="both"/>
              <w:rPr>
                <w:rFonts w:ascii="宋体" w:hAnsi="宋体" w:cs="宋体" w:eastAsia="宋体" w:hint="default"/>
                <w:sz w:val="20"/>
                <w:szCs w:val="20"/>
              </w:rPr>
            </w:pPr>
            <w:r>
              <w:rPr>
                <w:rFonts w:ascii="宋体" w:hAnsi="宋体" w:cs="宋体" w:eastAsia="宋体" w:hint="default"/>
                <w:w w:val="95"/>
                <w:sz w:val="20"/>
                <w:szCs w:val="20"/>
              </w:rPr>
              <w:t>《证券时报》、上海证券交易所网站及本公司网站</w:t>
            </w:r>
            <w:r>
              <w:rPr>
                <w:rFonts w:ascii="宋体" w:hAnsi="宋体" w:cs="宋体" w:eastAsia="宋体" w:hint="default"/>
                <w:spacing w:val="92"/>
                <w:w w:val="95"/>
                <w:sz w:val="20"/>
                <w:szCs w:val="20"/>
              </w:rPr>
              <w:t> </w:t>
            </w:r>
            <w:r>
              <w:rPr>
                <w:rFonts w:ascii="宋体" w:hAnsi="宋体" w:cs="宋体" w:eastAsia="宋体" w:hint="default"/>
                <w:spacing w:val="92"/>
                <w:w w:val="95"/>
                <w:sz w:val="20"/>
                <w:szCs w:val="20"/>
              </w:rPr>
            </w:r>
            <w:r>
              <w:rPr>
                <w:rFonts w:ascii="宋体" w:hAnsi="宋体" w:cs="宋体" w:eastAsia="宋体" w:hint="default"/>
                <w:w w:val="95"/>
                <w:sz w:val="20"/>
                <w:szCs w:val="20"/>
              </w:rPr>
              <w:t>发布的《关于回购注销首期限制性股票计划部分激</w:t>
            </w:r>
            <w:r>
              <w:rPr>
                <w:rFonts w:ascii="宋体" w:hAnsi="宋体" w:cs="宋体" w:eastAsia="宋体" w:hint="default"/>
                <w:spacing w:val="92"/>
                <w:w w:val="95"/>
                <w:sz w:val="20"/>
                <w:szCs w:val="20"/>
              </w:rPr>
              <w:t> </w:t>
            </w:r>
            <w:r>
              <w:rPr>
                <w:rFonts w:ascii="宋体" w:hAnsi="宋体" w:cs="宋体" w:eastAsia="宋体" w:hint="default"/>
                <w:spacing w:val="92"/>
                <w:w w:val="95"/>
                <w:sz w:val="20"/>
                <w:szCs w:val="20"/>
              </w:rPr>
            </w:r>
            <w:r>
              <w:rPr>
                <w:rFonts w:ascii="宋体" w:hAnsi="宋体" w:cs="宋体" w:eastAsia="宋体" w:hint="default"/>
                <w:spacing w:val="-15"/>
                <w:w w:val="99"/>
                <w:sz w:val="20"/>
                <w:szCs w:val="20"/>
              </w:rPr>
              <w:t>励对象限制性股票的公告》（公告编号：</w:t>
            </w:r>
            <w:r>
              <w:rPr>
                <w:rFonts w:ascii="宋体" w:hAnsi="宋体" w:cs="宋体" w:eastAsia="宋体" w:hint="default"/>
                <w:spacing w:val="-15"/>
                <w:w w:val="99"/>
                <w:sz w:val="20"/>
                <w:szCs w:val="20"/>
              </w:rPr>
              <w:t>2019-017</w:t>
            </w:r>
            <w:r>
              <w:rPr>
                <w:rFonts w:ascii="宋体" w:hAnsi="宋体" w:cs="宋体" w:eastAsia="宋体" w:hint="default"/>
                <w:spacing w:val="-15"/>
                <w:w w:val="99"/>
                <w:sz w:val="20"/>
                <w:szCs w:val="20"/>
              </w:rPr>
              <w:t>）、</w:t>
            </w:r>
            <w:r>
              <w:rPr>
                <w:rFonts w:ascii="宋体" w:hAnsi="宋体" w:cs="宋体" w:eastAsia="宋体" w:hint="default"/>
                <w:sz w:val="20"/>
                <w:szCs w:val="20"/>
              </w:rPr>
            </w:r>
          </w:p>
          <w:p>
            <w:pPr>
              <w:pStyle w:val="TableParagraph"/>
              <w:spacing w:line="240" w:lineRule="auto" w:before="22"/>
              <w:ind w:left="103" w:right="0"/>
              <w:jc w:val="both"/>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2018</w:t>
            </w:r>
            <w:r>
              <w:rPr>
                <w:rFonts w:ascii="宋体" w:hAnsi="宋体" w:cs="宋体" w:eastAsia="宋体" w:hint="default"/>
                <w:spacing w:val="3"/>
                <w:sz w:val="20"/>
                <w:szCs w:val="20"/>
              </w:rPr>
              <w:t> </w:t>
            </w:r>
            <w:r>
              <w:rPr>
                <w:rFonts w:ascii="宋体" w:hAnsi="宋体" w:cs="宋体" w:eastAsia="宋体" w:hint="default"/>
                <w:spacing w:val="3"/>
                <w:sz w:val="20"/>
                <w:szCs w:val="20"/>
              </w:rPr>
              <w:t>年年度股东大会决议公告》（公告编号：</w:t>
            </w:r>
          </w:p>
        </w:tc>
      </w:tr>
    </w:tbl>
    <w:p>
      <w:pPr>
        <w:spacing w:after="0" w:line="240" w:lineRule="auto"/>
        <w:jc w:val="both"/>
        <w:rPr>
          <w:rFonts w:ascii="宋体" w:hAnsi="宋体" w:cs="宋体" w:eastAsia="宋体" w:hint="default"/>
          <w:sz w:val="20"/>
          <w:szCs w:val="20"/>
        </w:rPr>
        <w:sectPr>
          <w:footerReference w:type="default" r:id="rId43"/>
          <w:pgSz w:w="11910" w:h="16840"/>
          <w:pgMar w:footer="502" w:header="854" w:top="1360" w:bottom="700" w:left="1200" w:right="1040"/>
        </w:sectPr>
      </w:pPr>
    </w:p>
    <w:p>
      <w:pPr>
        <w:spacing w:line="240" w:lineRule="auto" w:before="2"/>
        <w:rPr>
          <w:rFonts w:ascii="Microsoft JhengHei" w:hAnsi="Microsoft JhengHei" w:cs="Microsoft JhengHei" w:eastAsia="Microsoft JhengHei" w:hint="default"/>
          <w:b/>
          <w:bCs/>
          <w:sz w:val="9"/>
          <w:szCs w:val="9"/>
        </w:rPr>
      </w:pPr>
    </w:p>
    <w:p>
      <w:pPr>
        <w:spacing w:line="1627" w:lineRule="exact"/>
        <w:ind w:left="106"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32"/>
          <w:sz w:val="20"/>
          <w:szCs w:val="20"/>
        </w:rPr>
        <w:pict>
          <v:group style="width:472.05pt;height:81.4pt;mso-position-horizontal-relative:char;mso-position-vertical-relative:line" coordorigin="0,0" coordsize="9441,1628">
            <v:group style="position:absolute;left:10;top:10;width:4832;height:2" coordorigin="10,10" coordsize="4832,2">
              <v:shape style="position:absolute;left:10;top:10;width:4832;height:2" coordorigin="10,10" coordsize="4832,0" path="m10,10l4841,10e" filled="false" stroked="true" strokeweight=".504pt" strokecolor="#000000">
                <v:path arrowok="t"/>
              </v:shape>
            </v:group>
            <v:group style="position:absolute;left:4851;top:10;width:4581;height:2" coordorigin="4851,10" coordsize="4581,2">
              <v:shape style="position:absolute;left:4851;top:10;width:4581;height:2" coordorigin="4851,10" coordsize="4581,0" path="m4851,10l9431,10e" filled="false" stroked="true" strokeweight=".504pt" strokecolor="#000000">
                <v:path arrowok="t"/>
              </v:shape>
            </v:group>
            <v:group style="position:absolute;left:5;top:5;width:2;height:1619" coordorigin="5,5" coordsize="2,1619">
              <v:shape style="position:absolute;left:5;top:5;width:2;height:1619" coordorigin="5,5" coordsize="0,1619" path="m5,5l5,1623e" filled="false" stroked="true" strokeweight=".48pt" strokecolor="#000000">
                <v:path arrowok="t"/>
              </v:shape>
            </v:group>
            <v:group style="position:absolute;left:10;top:1618;width:4832;height:2" coordorigin="10,1618" coordsize="4832,2">
              <v:shape style="position:absolute;left:10;top:1618;width:4832;height:2" coordorigin="10,1618" coordsize="4832,0" path="m10,1618l4841,1618e" filled="false" stroked="true" strokeweight=".48pt" strokecolor="#000000">
                <v:path arrowok="t"/>
              </v:shape>
            </v:group>
            <v:group style="position:absolute;left:4846;top:5;width:2;height:1619" coordorigin="4846,5" coordsize="2,1619">
              <v:shape style="position:absolute;left:4846;top:5;width:2;height:1619" coordorigin="4846,5" coordsize="0,1619" path="m4846,5l4846,1623e" filled="false" stroked="true" strokeweight=".48pt" strokecolor="#000000">
                <v:path arrowok="t"/>
              </v:shape>
            </v:group>
            <v:group style="position:absolute;left:4851;top:1618;width:4581;height:2" coordorigin="4851,1618" coordsize="4581,2">
              <v:shape style="position:absolute;left:4851;top:1618;width:4581;height:2" coordorigin="4851,1618" coordsize="4581,0" path="m4851,1618l9431,1618e" filled="false" stroked="true" strokeweight=".48pt" strokecolor="#000000">
                <v:path arrowok="t"/>
              </v:shape>
            </v:group>
            <v:group style="position:absolute;left:9436;top:5;width:2;height:1619" coordorigin="9436,5" coordsize="2,1619">
              <v:shape style="position:absolute;left:9436;top:5;width:2;height:1619" coordorigin="9436,5" coordsize="0,1619" path="m9436,5l9436,1623e" filled="false" stroked="true" strokeweight=".48pt" strokecolor="#000000">
                <v:path arrowok="t"/>
              </v:shape>
              <v:shape style="position:absolute;left:4846;top:10;width:4590;height:1609" type="#_x0000_t202" filled="false" stroked="false">
                <v:textbox inset="0,0,0,0">
                  <w:txbxContent>
                    <w:p>
                      <w:pPr>
                        <w:spacing w:line="331" w:lineRule="auto" w:before="62"/>
                        <w:ind w:left="108" w:right="96" w:firstLine="0"/>
                        <w:jc w:val="both"/>
                        <w:rPr>
                          <w:rFonts w:ascii="宋体" w:hAnsi="宋体" w:cs="宋体" w:eastAsia="宋体" w:hint="default"/>
                          <w:sz w:val="20"/>
                          <w:szCs w:val="20"/>
                        </w:rPr>
                      </w:pPr>
                      <w:r>
                        <w:rPr>
                          <w:rFonts w:ascii="宋体" w:hAnsi="宋体" w:cs="宋体" w:eastAsia="宋体" w:hint="default"/>
                          <w:spacing w:val="-1"/>
                          <w:sz w:val="20"/>
                          <w:szCs w:val="20"/>
                        </w:rPr>
                        <w:t>2019-025</w:t>
                      </w:r>
                      <w:r>
                        <w:rPr>
                          <w:rFonts w:ascii="宋体" w:hAnsi="宋体" w:cs="宋体" w:eastAsia="宋体" w:hint="default"/>
                          <w:spacing w:val="-1"/>
                          <w:sz w:val="20"/>
                          <w:szCs w:val="20"/>
                        </w:rPr>
                        <w:t>）、《关于回购注销首期限制性股票计划</w:t>
                      </w:r>
                      <w:r>
                        <w:rPr>
                          <w:rFonts w:ascii="宋体" w:hAnsi="宋体" w:cs="宋体" w:eastAsia="宋体" w:hint="default"/>
                          <w:w w:val="99"/>
                          <w:sz w:val="20"/>
                          <w:szCs w:val="20"/>
                        </w:rPr>
                        <w:t> </w:t>
                      </w:r>
                      <w:r>
                        <w:rPr>
                          <w:rFonts w:ascii="宋体" w:hAnsi="宋体" w:cs="宋体" w:eastAsia="宋体" w:hint="default"/>
                          <w:spacing w:val="8"/>
                          <w:sz w:val="20"/>
                          <w:szCs w:val="20"/>
                        </w:rPr>
                        <w:t>部分激励对象限制性股票的公告》（公告编号：</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6"/>
                          <w:sz w:val="20"/>
                          <w:szCs w:val="20"/>
                        </w:rPr>
                        <w:t>2019-057</w:t>
                      </w:r>
                      <w:r>
                        <w:rPr>
                          <w:rFonts w:ascii="宋体" w:hAnsi="宋体" w:cs="宋体" w:eastAsia="宋体" w:hint="default"/>
                          <w:spacing w:val="-6"/>
                          <w:sz w:val="20"/>
                          <w:szCs w:val="20"/>
                        </w:rPr>
                        <w:t>）、《</w:t>
                      </w:r>
                      <w:r>
                        <w:rPr>
                          <w:rFonts w:ascii="宋体" w:hAnsi="宋体" w:cs="宋体" w:eastAsia="宋体" w:hint="default"/>
                          <w:spacing w:val="-6"/>
                          <w:sz w:val="20"/>
                          <w:szCs w:val="20"/>
                        </w:rPr>
                        <w:t>2019</w:t>
                      </w:r>
                      <w:r>
                        <w:rPr>
                          <w:rFonts w:ascii="宋体" w:hAnsi="宋体" w:cs="宋体" w:eastAsia="宋体" w:hint="default"/>
                          <w:spacing w:val="-47"/>
                          <w:sz w:val="20"/>
                          <w:szCs w:val="20"/>
                        </w:rPr>
                        <w:t> </w:t>
                      </w:r>
                      <w:r>
                        <w:rPr>
                          <w:rFonts w:ascii="宋体" w:hAnsi="宋体" w:cs="宋体" w:eastAsia="宋体" w:hint="default"/>
                          <w:sz w:val="20"/>
                          <w:szCs w:val="20"/>
                        </w:rPr>
                        <w:t>年第二次临时股东大会决议公</w:t>
                      </w:r>
                      <w:r>
                        <w:rPr>
                          <w:rFonts w:ascii="宋体" w:hAnsi="宋体" w:cs="宋体" w:eastAsia="宋体" w:hint="default"/>
                          <w:w w:val="99"/>
                          <w:sz w:val="20"/>
                          <w:szCs w:val="20"/>
                        </w:rPr>
                        <w:t> </w:t>
                      </w:r>
                      <w:r>
                        <w:rPr>
                          <w:rFonts w:ascii="宋体" w:hAnsi="宋体" w:cs="宋体" w:eastAsia="宋体" w:hint="default"/>
                          <w:sz w:val="20"/>
                          <w:szCs w:val="20"/>
                        </w:rPr>
                        <w:t>告》（公告编号：</w:t>
                      </w:r>
                      <w:r>
                        <w:rPr>
                          <w:rFonts w:ascii="宋体" w:hAnsi="宋体" w:cs="宋体" w:eastAsia="宋体" w:hint="default"/>
                          <w:sz w:val="20"/>
                          <w:szCs w:val="20"/>
                        </w:rPr>
                        <w:t>2019-068</w:t>
                      </w:r>
                      <w:r>
                        <w:rPr>
                          <w:rFonts w:ascii="宋体" w:hAnsi="宋体" w:cs="宋体" w:eastAsia="宋体" w:hint="default"/>
                          <w:sz w:val="20"/>
                          <w:szCs w:val="20"/>
                        </w:rPr>
                        <w:t>）</w:t>
                      </w:r>
                    </w:p>
                  </w:txbxContent>
                </v:textbox>
                <w10:wrap type="none"/>
              </v:shape>
            </v:group>
          </v:group>
        </w:pict>
      </w:r>
      <w:r>
        <w:rPr>
          <w:rFonts w:ascii="Microsoft JhengHei" w:hAnsi="Microsoft JhengHei" w:cs="Microsoft JhengHei" w:eastAsia="Microsoft JhengHei" w:hint="default"/>
          <w:position w:val="-32"/>
          <w:sz w:val="20"/>
          <w:szCs w:val="20"/>
        </w:rPr>
      </w:r>
    </w:p>
    <w:p>
      <w:pPr>
        <w:spacing w:line="240" w:lineRule="auto" w:before="6"/>
        <w:rPr>
          <w:rFonts w:ascii="Microsoft JhengHei" w:hAnsi="Microsoft JhengHei" w:cs="Microsoft JhengHei" w:eastAsia="Microsoft JhengHei" w:hint="default"/>
          <w:b/>
          <w:bCs/>
          <w:sz w:val="18"/>
          <w:szCs w:val="18"/>
        </w:rPr>
      </w:pPr>
    </w:p>
    <w:p>
      <w:pPr>
        <w:spacing w:line="335" w:lineRule="exact" w:before="0"/>
        <w:ind w:left="218" w:right="120"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w:t>
      </w:r>
      <w:r>
        <w:rPr>
          <w:rFonts w:ascii="Microsoft JhengHei" w:hAnsi="Microsoft JhengHei" w:cs="Microsoft JhengHei" w:eastAsia="Microsoft JhengHei" w:hint="default"/>
          <w:b/>
          <w:bCs/>
          <w:sz w:val="21"/>
          <w:szCs w:val="21"/>
        </w:rPr>
        <w:t>二</w:t>
      </w:r>
      <w:r>
        <w:rPr>
          <w:rFonts w:ascii="Arial" w:hAnsi="Arial" w:cs="Arial" w:eastAsia="Arial" w:hint="default"/>
          <w:b/>
          <w:bCs/>
          <w:sz w:val="21"/>
          <w:szCs w:val="21"/>
        </w:rPr>
        <w:t>)  </w:t>
      </w:r>
      <w:r>
        <w:rPr>
          <w:rFonts w:ascii="Arial" w:hAnsi="Arial" w:cs="Arial" w:eastAsia="Arial" w:hint="default"/>
          <w:b/>
          <w:bCs/>
          <w:spacing w:val="56"/>
          <w:sz w:val="21"/>
          <w:szCs w:val="21"/>
        </w:rPr>
        <w:t> </w:t>
      </w:r>
      <w:r>
        <w:rPr>
          <w:rFonts w:ascii="Microsoft JhengHei" w:hAnsi="Microsoft JhengHei" w:cs="Microsoft JhengHei" w:eastAsia="Microsoft JhengHei" w:hint="default"/>
          <w:b/>
          <w:bCs/>
          <w:sz w:val="21"/>
          <w:szCs w:val="21"/>
        </w:rPr>
        <w:t>临时公告未披露或有后续进展的激励情况</w:t>
      </w:r>
      <w:r>
        <w:rPr>
          <w:rFonts w:ascii="Microsoft JhengHei" w:hAnsi="Microsoft JhengHei" w:cs="Microsoft JhengHei" w:eastAsia="Microsoft JhengHei" w:hint="default"/>
          <w:sz w:val="21"/>
          <w:szCs w:val="21"/>
        </w:rPr>
      </w:r>
    </w:p>
    <w:p>
      <w:pPr>
        <w:spacing w:before="73"/>
        <w:ind w:left="218" w:right="120"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3"/>
        <w:rPr>
          <w:rFonts w:ascii="宋体" w:hAnsi="宋体" w:cs="宋体" w:eastAsia="宋体" w:hint="default"/>
          <w:sz w:val="26"/>
          <w:szCs w:val="26"/>
        </w:rPr>
      </w:pPr>
    </w:p>
    <w:p>
      <w:pPr>
        <w:spacing w:before="0"/>
        <w:ind w:left="218" w:right="12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十四、重大关联交易</w:t>
      </w:r>
      <w:r>
        <w:rPr>
          <w:rFonts w:ascii="Microsoft JhengHei" w:hAnsi="Microsoft JhengHei" w:cs="Microsoft JhengHei" w:eastAsia="Microsoft JhengHei" w:hint="default"/>
          <w:sz w:val="21"/>
          <w:szCs w:val="21"/>
        </w:rPr>
      </w:r>
    </w:p>
    <w:p>
      <w:pPr>
        <w:spacing w:line="285" w:lineRule="auto" w:before="6"/>
        <w:ind w:left="218" w:right="2012" w:firstLine="0"/>
        <w:jc w:val="left"/>
        <w:rPr>
          <w:rFonts w:ascii="宋体" w:hAnsi="宋体" w:cs="宋体" w:eastAsia="宋体"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一</w:t>
      </w:r>
      <w:r>
        <w:rPr>
          <w:rFonts w:ascii="Calibri" w:hAnsi="Calibri" w:cs="Calibri" w:eastAsia="Calibri" w:hint="default"/>
          <w:b/>
          <w:bCs/>
          <w:sz w:val="21"/>
          <w:szCs w:val="21"/>
        </w:rPr>
        <w:t>)</w:t>
      </w:r>
      <w:r>
        <w:rPr>
          <w:rFonts w:ascii="Calibri" w:hAnsi="Calibri" w:cs="Calibri" w:eastAsia="Calibri" w:hint="default"/>
          <w:b/>
          <w:bCs/>
          <w:spacing w:val="27"/>
          <w:sz w:val="21"/>
          <w:szCs w:val="21"/>
        </w:rPr>
        <w:t> </w:t>
      </w:r>
      <w:r>
        <w:rPr>
          <w:rFonts w:ascii="Microsoft JhengHei" w:hAnsi="Microsoft JhengHei" w:cs="Microsoft JhengHei" w:eastAsia="Microsoft JhengHei" w:hint="default"/>
          <w:b/>
          <w:bCs/>
          <w:sz w:val="21"/>
          <w:szCs w:val="21"/>
        </w:rPr>
        <w:t>与日常经营相关的关联交易</w:t>
      </w:r>
      <w:r>
        <w:rPr>
          <w:rFonts w:ascii="Microsoft JhengHei" w:hAnsi="Microsoft JhengHei" w:cs="Microsoft JhengHei" w:eastAsia="Microsoft JhengHei" w:hint="default"/>
          <w:b/>
          <w:bCs/>
          <w:spacing w:val="-42"/>
          <w:sz w:val="21"/>
          <w:szCs w:val="21"/>
        </w:rPr>
        <w:t> </w:t>
      </w:r>
      <w:r>
        <w:rPr>
          <w:rFonts w:ascii="Microsoft JhengHei" w:hAnsi="Microsoft JhengHei" w:cs="Microsoft JhengHei" w:eastAsia="Microsoft JhengHei" w:hint="default"/>
          <w:b/>
          <w:bCs/>
          <w:spacing w:val="-42"/>
          <w:sz w:val="21"/>
          <w:szCs w:val="21"/>
        </w:rPr>
      </w:r>
      <w:r>
        <w:rPr>
          <w:rFonts w:ascii="宋体" w:hAnsi="宋体" w:cs="宋体" w:eastAsia="宋体" w:hint="default"/>
          <w:sz w:val="21"/>
          <w:szCs w:val="21"/>
        </w:rPr>
        <w:t>本年度公司关联交易事项请参见财务报告附注十二。</w:t>
      </w:r>
    </w:p>
    <w:p>
      <w:pPr>
        <w:spacing w:line="240" w:lineRule="auto" w:before="2"/>
        <w:rPr>
          <w:rFonts w:ascii="宋体" w:hAnsi="宋体" w:cs="宋体" w:eastAsia="宋体" w:hint="default"/>
          <w:sz w:val="23"/>
          <w:szCs w:val="23"/>
        </w:rPr>
      </w:pPr>
    </w:p>
    <w:p>
      <w:pPr>
        <w:spacing w:before="0"/>
        <w:ind w:left="218" w:right="120"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1</w:t>
      </w:r>
      <w:r>
        <w:rPr>
          <w:rFonts w:ascii="Microsoft JhengHei" w:hAnsi="Microsoft JhengHei" w:cs="Microsoft JhengHei" w:eastAsia="Microsoft JhengHei" w:hint="default"/>
          <w:b/>
          <w:bCs/>
          <w:sz w:val="21"/>
          <w:szCs w:val="21"/>
        </w:rPr>
        <w:t>、 </w:t>
      </w:r>
      <w:r>
        <w:rPr>
          <w:rFonts w:ascii="Microsoft JhengHei" w:hAnsi="Microsoft JhengHei" w:cs="Microsoft JhengHei" w:eastAsia="Microsoft JhengHei" w:hint="default"/>
          <w:b/>
          <w:bCs/>
          <w:spacing w:val="5"/>
          <w:sz w:val="21"/>
          <w:szCs w:val="21"/>
        </w:rPr>
        <w:t> </w:t>
      </w:r>
      <w:r>
        <w:rPr>
          <w:rFonts w:ascii="Microsoft JhengHei" w:hAnsi="Microsoft JhengHei" w:cs="Microsoft JhengHei" w:eastAsia="Microsoft JhengHei" w:hint="default"/>
          <w:b/>
          <w:bCs/>
          <w:sz w:val="21"/>
          <w:szCs w:val="21"/>
        </w:rPr>
        <w:t>已在临时公告披露且后续实施无进展或变化的事项</w:t>
      </w:r>
      <w:r>
        <w:rPr>
          <w:rFonts w:ascii="Microsoft JhengHei" w:hAnsi="Microsoft JhengHei" w:cs="Microsoft JhengHei" w:eastAsia="Microsoft JhengHei" w:hint="default"/>
          <w:sz w:val="21"/>
          <w:szCs w:val="21"/>
        </w:rPr>
      </w:r>
    </w:p>
    <w:p>
      <w:pPr>
        <w:spacing w:line="240" w:lineRule="auto" w:before="16"/>
        <w:rPr>
          <w:rFonts w:ascii="Microsoft JhengHei" w:hAnsi="Microsoft JhengHei" w:cs="Microsoft JhengHei" w:eastAsia="Microsoft JhengHei" w:hint="default"/>
          <w:b/>
          <w:bCs/>
          <w:sz w:val="4"/>
          <w:szCs w:val="4"/>
        </w:rPr>
      </w:pPr>
    </w:p>
    <w:tbl>
      <w:tblPr>
        <w:tblW w:w="0" w:type="auto"/>
        <w:jc w:val="left"/>
        <w:tblInd w:w="106" w:type="dxa"/>
        <w:tblLayout w:type="fixed"/>
        <w:tblCellMar>
          <w:top w:w="0" w:type="dxa"/>
          <w:left w:w="0" w:type="dxa"/>
          <w:bottom w:w="0" w:type="dxa"/>
          <w:right w:w="0" w:type="dxa"/>
        </w:tblCellMar>
        <w:tblLook w:val="01E0"/>
      </w:tblPr>
      <w:tblGrid>
        <w:gridCol w:w="3965"/>
        <w:gridCol w:w="5358"/>
      </w:tblGrid>
      <w:tr>
        <w:trPr>
          <w:trHeight w:val="322" w:hRule="exact"/>
        </w:trPr>
        <w:tc>
          <w:tcPr>
            <w:tcW w:w="39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 w:right="0"/>
              <w:jc w:val="center"/>
              <w:rPr>
                <w:rFonts w:ascii="宋体" w:hAnsi="宋体" w:cs="宋体" w:eastAsia="宋体" w:hint="default"/>
                <w:sz w:val="21"/>
                <w:szCs w:val="21"/>
              </w:rPr>
            </w:pPr>
            <w:r>
              <w:rPr>
                <w:rFonts w:ascii="宋体" w:hAnsi="宋体" w:cs="宋体" w:eastAsia="宋体" w:hint="default"/>
                <w:sz w:val="21"/>
                <w:szCs w:val="21"/>
              </w:rPr>
              <w:t>事项概述</w:t>
            </w:r>
          </w:p>
        </w:tc>
        <w:tc>
          <w:tcPr>
            <w:tcW w:w="5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查询索引</w:t>
            </w:r>
          </w:p>
        </w:tc>
      </w:tr>
      <w:tr>
        <w:trPr>
          <w:trHeight w:val="1882" w:hRule="exact"/>
        </w:trPr>
        <w:tc>
          <w:tcPr>
            <w:tcW w:w="396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3"/>
              <w:ind w:left="103" w:right="98"/>
              <w:jc w:val="both"/>
              <w:rPr>
                <w:rFonts w:ascii="宋体" w:hAnsi="宋体" w:cs="宋体" w:eastAsia="宋体" w:hint="default"/>
                <w:sz w:val="21"/>
                <w:szCs w:val="21"/>
              </w:rPr>
            </w:pPr>
            <w:r>
              <w:rPr>
                <w:rFonts w:ascii="宋体" w:hAnsi="宋体" w:cs="宋体" w:eastAsia="宋体" w:hint="default"/>
                <w:spacing w:val="-4"/>
                <w:sz w:val="21"/>
                <w:szCs w:val="21"/>
              </w:rPr>
              <w:t>报告期内，公司董事会审议批准联通运营</w:t>
            </w:r>
            <w:r>
              <w:rPr>
                <w:rFonts w:ascii="宋体" w:hAnsi="宋体" w:cs="宋体" w:eastAsia="宋体" w:hint="default"/>
                <w:spacing w:val="-68"/>
                <w:sz w:val="21"/>
                <w:szCs w:val="21"/>
              </w:rPr>
              <w:t> </w:t>
            </w:r>
            <w:r>
              <w:rPr>
                <w:rFonts w:ascii="宋体" w:hAnsi="宋体" w:cs="宋体" w:eastAsia="宋体" w:hint="default"/>
                <w:spacing w:val="-68"/>
                <w:sz w:val="21"/>
                <w:szCs w:val="21"/>
              </w:rPr>
            </w:r>
            <w:r>
              <w:rPr>
                <w:rFonts w:ascii="宋体" w:hAnsi="宋体" w:cs="宋体" w:eastAsia="宋体" w:hint="default"/>
                <w:spacing w:val="-4"/>
                <w:sz w:val="21"/>
                <w:szCs w:val="21"/>
              </w:rPr>
              <w:t>公司分别与腾讯科技、中国铁塔的日常关</w:t>
            </w:r>
            <w:r>
              <w:rPr>
                <w:rFonts w:ascii="宋体" w:hAnsi="宋体" w:cs="宋体" w:eastAsia="宋体" w:hint="default"/>
                <w:spacing w:val="-67"/>
                <w:sz w:val="21"/>
                <w:szCs w:val="21"/>
              </w:rPr>
              <w:t> </w:t>
            </w:r>
            <w:r>
              <w:rPr>
                <w:rFonts w:ascii="宋体" w:hAnsi="宋体" w:cs="宋体" w:eastAsia="宋体" w:hint="default"/>
                <w:spacing w:val="-67"/>
                <w:sz w:val="21"/>
                <w:szCs w:val="21"/>
              </w:rPr>
            </w:r>
            <w:r>
              <w:rPr>
                <w:rFonts w:ascii="宋体" w:hAnsi="宋体" w:cs="宋体" w:eastAsia="宋体" w:hint="default"/>
                <w:spacing w:val="-4"/>
                <w:sz w:val="21"/>
                <w:szCs w:val="21"/>
              </w:rPr>
              <w:t>联交易相关事项。部分交易亦根据相关规</w:t>
            </w:r>
            <w:r>
              <w:rPr>
                <w:rFonts w:ascii="宋体" w:hAnsi="宋体" w:cs="宋体" w:eastAsia="宋体" w:hint="default"/>
                <w:spacing w:val="-67"/>
                <w:sz w:val="21"/>
                <w:szCs w:val="21"/>
              </w:rPr>
              <w:t> </w:t>
            </w:r>
            <w:r>
              <w:rPr>
                <w:rFonts w:ascii="宋体" w:hAnsi="宋体" w:cs="宋体" w:eastAsia="宋体" w:hint="default"/>
                <w:spacing w:val="-67"/>
                <w:sz w:val="21"/>
                <w:szCs w:val="21"/>
              </w:rPr>
            </w:r>
            <w:r>
              <w:rPr>
                <w:rFonts w:ascii="宋体" w:hAnsi="宋体" w:cs="宋体" w:eastAsia="宋体" w:hint="default"/>
                <w:spacing w:val="7"/>
                <w:sz w:val="21"/>
                <w:szCs w:val="21"/>
              </w:rPr>
              <w:t>则提交公司于报告期内召开的年度股东</w:t>
            </w:r>
            <w:r>
              <w:rPr>
                <w:rFonts w:ascii="宋体" w:hAnsi="宋体" w:cs="宋体" w:eastAsia="宋体" w:hint="default"/>
                <w:spacing w:val="-54"/>
                <w:sz w:val="21"/>
                <w:szCs w:val="21"/>
              </w:rPr>
              <w:t> </w:t>
            </w:r>
            <w:r>
              <w:rPr>
                <w:rFonts w:ascii="宋体" w:hAnsi="宋体" w:cs="宋体" w:eastAsia="宋体" w:hint="default"/>
                <w:spacing w:val="-54"/>
                <w:sz w:val="21"/>
                <w:szCs w:val="21"/>
              </w:rPr>
            </w:r>
            <w:r>
              <w:rPr>
                <w:rFonts w:ascii="宋体" w:hAnsi="宋体" w:cs="宋体" w:eastAsia="宋体" w:hint="default"/>
                <w:sz w:val="21"/>
                <w:szCs w:val="21"/>
              </w:rPr>
              <w:t>大会审议并获通过。</w:t>
            </w:r>
          </w:p>
        </w:tc>
        <w:tc>
          <w:tcPr>
            <w:tcW w:w="5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00" w:right="0"/>
              <w:jc w:val="both"/>
              <w:rPr>
                <w:rFonts w:ascii="宋体" w:hAnsi="宋体" w:cs="宋体" w:eastAsia="宋体" w:hint="default"/>
                <w:sz w:val="21"/>
                <w:szCs w:val="21"/>
              </w:rPr>
            </w:pPr>
            <w:r>
              <w:rPr>
                <w:rFonts w:ascii="宋体" w:hAnsi="宋体" w:cs="宋体" w:eastAsia="宋体" w:hint="default"/>
                <w:sz w:val="21"/>
                <w:szCs w:val="21"/>
              </w:rPr>
              <w:t>有关详情请见公司分别于</w:t>
            </w:r>
            <w:r>
              <w:rPr>
                <w:rFonts w:ascii="宋体" w:hAnsi="宋体" w:cs="宋体" w:eastAsia="宋体" w:hint="default"/>
                <w:spacing w:val="-54"/>
                <w:sz w:val="21"/>
                <w:szCs w:val="21"/>
              </w:rPr>
              <w:t> </w:t>
            </w: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14</w:t>
            </w:r>
            <w:r>
              <w:rPr>
                <w:rFonts w:ascii="宋体" w:hAnsi="宋体" w:cs="宋体" w:eastAsia="宋体" w:hint="default"/>
                <w:spacing w:val="-54"/>
                <w:sz w:val="21"/>
                <w:szCs w:val="21"/>
              </w:rPr>
              <w:t> </w:t>
            </w:r>
            <w:r>
              <w:rPr>
                <w:rFonts w:ascii="宋体" w:hAnsi="宋体" w:cs="宋体" w:eastAsia="宋体" w:hint="default"/>
                <w:spacing w:val="-20"/>
                <w:sz w:val="21"/>
                <w:szCs w:val="21"/>
              </w:rPr>
              <w:t>日、</w:t>
            </w:r>
            <w:r>
              <w:rPr>
                <w:rFonts w:ascii="宋体" w:hAnsi="宋体" w:cs="宋体" w:eastAsia="宋体" w:hint="default"/>
                <w:spacing w:val="-20"/>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日在</w:t>
            </w:r>
          </w:p>
          <w:p>
            <w:pPr>
              <w:pStyle w:val="TableParagraph"/>
              <w:spacing w:line="273" w:lineRule="auto" w:before="37"/>
              <w:ind w:left="100" w:right="99"/>
              <w:jc w:val="both"/>
              <w:rPr>
                <w:rFonts w:ascii="宋体" w:hAnsi="宋体" w:cs="宋体" w:eastAsia="宋体" w:hint="default"/>
                <w:sz w:val="21"/>
                <w:szCs w:val="21"/>
              </w:rPr>
            </w:pPr>
            <w:r>
              <w:rPr>
                <w:rFonts w:ascii="宋体" w:hAnsi="宋体" w:cs="宋体" w:eastAsia="宋体" w:hint="default"/>
                <w:spacing w:val="2"/>
                <w:sz w:val="21"/>
                <w:szCs w:val="21"/>
              </w:rPr>
              <w:t>《中国证券报》《上海证券报》《证券时报》、上海证</w:t>
            </w:r>
            <w:r>
              <w:rPr>
                <w:rFonts w:ascii="宋体" w:hAnsi="宋体" w:cs="宋体" w:eastAsia="宋体" w:hint="default"/>
                <w:spacing w:val="-61"/>
                <w:sz w:val="21"/>
                <w:szCs w:val="21"/>
              </w:rPr>
              <w:t> </w:t>
            </w:r>
            <w:r>
              <w:rPr>
                <w:rFonts w:ascii="宋体" w:hAnsi="宋体" w:cs="宋体" w:eastAsia="宋体" w:hint="default"/>
                <w:spacing w:val="-61"/>
                <w:sz w:val="21"/>
                <w:szCs w:val="21"/>
              </w:rPr>
            </w:r>
            <w:r>
              <w:rPr>
                <w:rFonts w:ascii="宋体" w:hAnsi="宋体" w:cs="宋体" w:eastAsia="宋体" w:hint="default"/>
                <w:spacing w:val="2"/>
                <w:sz w:val="21"/>
                <w:szCs w:val="21"/>
              </w:rPr>
              <w:t>券交易所网站及本公司网站发布的《关于日常关联交易</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的公告》（公告编号：</w:t>
            </w:r>
            <w:r>
              <w:rPr>
                <w:rFonts w:ascii="宋体" w:hAnsi="宋体" w:cs="宋体" w:eastAsia="宋体" w:hint="default"/>
                <w:sz w:val="21"/>
                <w:szCs w:val="21"/>
              </w:rPr>
              <w:t>2019-020</w:t>
            </w:r>
            <w:r>
              <w:rPr>
                <w:rFonts w:ascii="宋体" w:hAnsi="宋体" w:cs="宋体" w:eastAsia="宋体" w:hint="default"/>
                <w:sz w:val="21"/>
                <w:szCs w:val="21"/>
              </w:rPr>
              <w:t>）、《</w:t>
            </w:r>
            <w:r>
              <w:rPr>
                <w:rFonts w:ascii="宋体" w:hAnsi="宋体" w:cs="宋体" w:eastAsia="宋体" w:hint="default"/>
                <w:sz w:val="21"/>
                <w:szCs w:val="21"/>
              </w:rPr>
              <w:t>2018</w:t>
            </w:r>
            <w:r>
              <w:rPr>
                <w:rFonts w:ascii="宋体" w:hAnsi="宋体" w:cs="宋体" w:eastAsia="宋体" w:hint="default"/>
                <w:spacing w:val="-10"/>
                <w:sz w:val="21"/>
                <w:szCs w:val="21"/>
              </w:rPr>
              <w:t> </w:t>
            </w:r>
            <w:r>
              <w:rPr>
                <w:rFonts w:ascii="宋体" w:hAnsi="宋体" w:cs="宋体" w:eastAsia="宋体" w:hint="default"/>
                <w:sz w:val="21"/>
                <w:szCs w:val="21"/>
              </w:rPr>
              <w:t>年年度股东</w:t>
            </w:r>
            <w:r>
              <w:rPr>
                <w:rFonts w:ascii="宋体" w:hAnsi="宋体" w:cs="宋体" w:eastAsia="宋体" w:hint="default"/>
                <w:w w:val="100"/>
                <w:sz w:val="21"/>
                <w:szCs w:val="21"/>
              </w:rPr>
              <w:t> </w:t>
            </w:r>
            <w:r>
              <w:rPr>
                <w:rFonts w:ascii="宋体" w:hAnsi="宋体" w:cs="宋体" w:eastAsia="宋体" w:hint="default"/>
                <w:sz w:val="21"/>
                <w:szCs w:val="21"/>
              </w:rPr>
              <w:t>大会决议公告》（公告编号：</w:t>
            </w:r>
            <w:r>
              <w:rPr>
                <w:rFonts w:ascii="宋体" w:hAnsi="宋体" w:cs="宋体" w:eastAsia="宋体" w:hint="default"/>
                <w:sz w:val="21"/>
                <w:szCs w:val="21"/>
              </w:rPr>
              <w:t>2019-025</w:t>
            </w:r>
            <w:r>
              <w:rPr>
                <w:rFonts w:ascii="宋体" w:hAnsi="宋体" w:cs="宋体" w:eastAsia="宋体" w:hint="default"/>
                <w:sz w:val="21"/>
                <w:szCs w:val="21"/>
              </w:rPr>
              <w:t>）。</w:t>
            </w:r>
          </w:p>
        </w:tc>
      </w:tr>
      <w:tr>
        <w:trPr>
          <w:trHeight w:val="2506" w:hRule="exact"/>
        </w:trPr>
        <w:tc>
          <w:tcPr>
            <w:tcW w:w="396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3"/>
              <w:ind w:left="103" w:right="98"/>
              <w:jc w:val="left"/>
              <w:rPr>
                <w:rFonts w:ascii="宋体" w:hAnsi="宋体" w:cs="宋体" w:eastAsia="宋体" w:hint="default"/>
                <w:sz w:val="21"/>
                <w:szCs w:val="21"/>
              </w:rPr>
            </w:pPr>
            <w:r>
              <w:rPr>
                <w:rFonts w:ascii="宋体" w:hAnsi="宋体" w:cs="宋体" w:eastAsia="宋体" w:hint="default"/>
                <w:spacing w:val="-4"/>
                <w:sz w:val="21"/>
                <w:szCs w:val="21"/>
              </w:rPr>
              <w:t>报告期内，经公司股东会与董事会审议通</w:t>
            </w:r>
            <w:r>
              <w:rPr>
                <w:rFonts w:ascii="宋体" w:hAnsi="宋体" w:cs="宋体" w:eastAsia="宋体" w:hint="default"/>
                <w:spacing w:val="-68"/>
                <w:sz w:val="21"/>
                <w:szCs w:val="21"/>
              </w:rPr>
              <w:t> </w:t>
            </w:r>
            <w:r>
              <w:rPr>
                <w:rFonts w:ascii="宋体" w:hAnsi="宋体" w:cs="宋体" w:eastAsia="宋体" w:hint="default"/>
                <w:spacing w:val="-68"/>
                <w:sz w:val="21"/>
                <w:szCs w:val="21"/>
              </w:rPr>
            </w:r>
            <w:r>
              <w:rPr>
                <w:rFonts w:ascii="宋体" w:hAnsi="宋体" w:cs="宋体" w:eastAsia="宋体" w:hint="default"/>
                <w:spacing w:val="21"/>
                <w:sz w:val="21"/>
                <w:szCs w:val="21"/>
              </w:rPr>
              <w:t>过，</w:t>
            </w:r>
            <w:r>
              <w:rPr>
                <w:rFonts w:ascii="宋体" w:hAnsi="宋体" w:cs="宋体" w:eastAsia="宋体" w:hint="default"/>
                <w:spacing w:val="-64"/>
                <w:sz w:val="21"/>
                <w:szCs w:val="21"/>
              </w:rPr>
              <w:t> </w:t>
            </w:r>
            <w:r>
              <w:rPr>
                <w:rFonts w:ascii="宋体" w:hAnsi="宋体" w:cs="宋体" w:eastAsia="宋体" w:hint="default"/>
                <w:sz w:val="21"/>
                <w:szCs w:val="21"/>
              </w:rPr>
              <w:t>联</w:t>
            </w:r>
            <w:r>
              <w:rPr>
                <w:rFonts w:ascii="宋体" w:hAnsi="宋体" w:cs="宋体" w:eastAsia="宋体" w:hint="default"/>
                <w:spacing w:val="-64"/>
                <w:sz w:val="21"/>
                <w:szCs w:val="21"/>
              </w:rPr>
              <w:t> </w:t>
            </w:r>
            <w:r>
              <w:rPr>
                <w:rFonts w:ascii="宋体" w:hAnsi="宋体" w:cs="宋体" w:eastAsia="宋体" w:hint="default"/>
                <w:sz w:val="21"/>
                <w:szCs w:val="21"/>
              </w:rPr>
              <w:t>通</w:t>
            </w:r>
            <w:r>
              <w:rPr>
                <w:rFonts w:ascii="宋体" w:hAnsi="宋体" w:cs="宋体" w:eastAsia="宋体" w:hint="default"/>
                <w:spacing w:val="-61"/>
                <w:sz w:val="21"/>
                <w:szCs w:val="21"/>
              </w:rPr>
              <w:t> </w:t>
            </w:r>
            <w:r>
              <w:rPr>
                <w:rFonts w:ascii="宋体" w:hAnsi="宋体" w:cs="宋体" w:eastAsia="宋体" w:hint="default"/>
                <w:sz w:val="21"/>
                <w:szCs w:val="21"/>
              </w:rPr>
              <w:t>运</w:t>
            </w:r>
            <w:r>
              <w:rPr>
                <w:rFonts w:ascii="宋体" w:hAnsi="宋体" w:cs="宋体" w:eastAsia="宋体" w:hint="default"/>
                <w:spacing w:val="-64"/>
                <w:sz w:val="21"/>
                <w:szCs w:val="21"/>
              </w:rPr>
              <w:t> </w:t>
            </w:r>
            <w:r>
              <w:rPr>
                <w:rFonts w:ascii="宋体" w:hAnsi="宋体" w:cs="宋体" w:eastAsia="宋体" w:hint="default"/>
                <w:sz w:val="21"/>
                <w:szCs w:val="21"/>
              </w:rPr>
              <w:t>营</w:t>
            </w:r>
            <w:r>
              <w:rPr>
                <w:rFonts w:ascii="宋体" w:hAnsi="宋体" w:cs="宋体" w:eastAsia="宋体" w:hint="default"/>
                <w:spacing w:val="-64"/>
                <w:sz w:val="21"/>
                <w:szCs w:val="21"/>
              </w:rPr>
              <w:t> </w:t>
            </w:r>
            <w:r>
              <w:rPr>
                <w:rFonts w:ascii="宋体" w:hAnsi="宋体" w:cs="宋体" w:eastAsia="宋体" w:hint="default"/>
                <w:sz w:val="21"/>
                <w:szCs w:val="21"/>
              </w:rPr>
              <w:t>公</w:t>
            </w:r>
            <w:r>
              <w:rPr>
                <w:rFonts w:ascii="宋体" w:hAnsi="宋体" w:cs="宋体" w:eastAsia="宋体" w:hint="default"/>
                <w:spacing w:val="-64"/>
                <w:sz w:val="21"/>
                <w:szCs w:val="21"/>
              </w:rPr>
              <w:t> </w:t>
            </w:r>
            <w:r>
              <w:rPr>
                <w:rFonts w:ascii="宋体" w:hAnsi="宋体" w:cs="宋体" w:eastAsia="宋体" w:hint="default"/>
                <w:sz w:val="21"/>
                <w:szCs w:val="21"/>
              </w:rPr>
              <w:t>司</w:t>
            </w:r>
            <w:r>
              <w:rPr>
                <w:rFonts w:ascii="宋体" w:hAnsi="宋体" w:cs="宋体" w:eastAsia="宋体" w:hint="default"/>
                <w:spacing w:val="-61"/>
                <w:sz w:val="21"/>
                <w:szCs w:val="21"/>
              </w:rPr>
              <w:t> </w:t>
            </w:r>
            <w:r>
              <w:rPr>
                <w:rFonts w:ascii="宋体" w:hAnsi="宋体" w:cs="宋体" w:eastAsia="宋体" w:hint="default"/>
                <w:sz w:val="21"/>
                <w:szCs w:val="21"/>
              </w:rPr>
              <w:t>与</w:t>
            </w:r>
            <w:r>
              <w:rPr>
                <w:rFonts w:ascii="宋体" w:hAnsi="宋体" w:cs="宋体" w:eastAsia="宋体" w:hint="default"/>
                <w:spacing w:val="-64"/>
                <w:sz w:val="21"/>
                <w:szCs w:val="21"/>
              </w:rPr>
              <w:t> </w:t>
            </w:r>
            <w:r>
              <w:rPr>
                <w:rFonts w:ascii="宋体" w:hAnsi="宋体" w:cs="宋体" w:eastAsia="宋体" w:hint="default"/>
                <w:sz w:val="21"/>
                <w:szCs w:val="21"/>
              </w:rPr>
              <w:t>联</w:t>
            </w:r>
            <w:r>
              <w:rPr>
                <w:rFonts w:ascii="宋体" w:hAnsi="宋体" w:cs="宋体" w:eastAsia="宋体" w:hint="default"/>
                <w:spacing w:val="-61"/>
                <w:sz w:val="21"/>
                <w:szCs w:val="21"/>
              </w:rPr>
              <w:t> </w:t>
            </w:r>
            <w:r>
              <w:rPr>
                <w:rFonts w:ascii="宋体" w:hAnsi="宋体" w:cs="宋体" w:eastAsia="宋体" w:hint="default"/>
                <w:sz w:val="21"/>
                <w:szCs w:val="21"/>
              </w:rPr>
              <w:t>通</w:t>
            </w:r>
            <w:r>
              <w:rPr>
                <w:rFonts w:ascii="宋体" w:hAnsi="宋体" w:cs="宋体" w:eastAsia="宋体" w:hint="default"/>
                <w:spacing w:val="-64"/>
                <w:sz w:val="21"/>
                <w:szCs w:val="21"/>
              </w:rPr>
              <w:t> </w:t>
            </w:r>
            <w:r>
              <w:rPr>
                <w:rFonts w:ascii="宋体" w:hAnsi="宋体" w:cs="宋体" w:eastAsia="宋体" w:hint="default"/>
                <w:sz w:val="21"/>
                <w:szCs w:val="21"/>
              </w:rPr>
              <w:t>集</w:t>
            </w:r>
            <w:r>
              <w:rPr>
                <w:rFonts w:ascii="宋体" w:hAnsi="宋体" w:cs="宋体" w:eastAsia="宋体" w:hint="default"/>
                <w:spacing w:val="-64"/>
                <w:sz w:val="21"/>
                <w:szCs w:val="21"/>
              </w:rPr>
              <w:t> </w:t>
            </w:r>
            <w:r>
              <w:rPr>
                <w:rFonts w:ascii="宋体" w:hAnsi="宋体" w:cs="宋体" w:eastAsia="宋体" w:hint="default"/>
                <w:sz w:val="21"/>
                <w:szCs w:val="21"/>
              </w:rPr>
              <w:t>团</w:t>
            </w:r>
            <w:r>
              <w:rPr>
                <w:rFonts w:ascii="宋体" w:hAnsi="宋体" w:cs="宋体" w:eastAsia="宋体" w:hint="default"/>
                <w:spacing w:val="-61"/>
                <w:sz w:val="21"/>
                <w:szCs w:val="21"/>
              </w:rPr>
              <w:t> </w:t>
            </w:r>
            <w:r>
              <w:rPr>
                <w:rFonts w:ascii="宋体" w:hAnsi="宋体" w:cs="宋体" w:eastAsia="宋体" w:hint="default"/>
                <w:sz w:val="21"/>
                <w:szCs w:val="21"/>
              </w:rPr>
              <w:t>签</w:t>
            </w:r>
            <w:r>
              <w:rPr>
                <w:rFonts w:ascii="宋体" w:hAnsi="宋体" w:cs="宋体" w:eastAsia="宋体" w:hint="default"/>
                <w:spacing w:val="-64"/>
                <w:sz w:val="21"/>
                <w:szCs w:val="21"/>
              </w:rPr>
              <w:t> </w:t>
            </w:r>
            <w:r>
              <w:rPr>
                <w:rFonts w:ascii="宋体" w:hAnsi="宋体" w:cs="宋体" w:eastAsia="宋体" w:hint="default"/>
                <w:sz w:val="21"/>
                <w:szCs w:val="21"/>
              </w:rPr>
              <w:t>订</w:t>
            </w:r>
          </w:p>
          <w:p>
            <w:pPr>
              <w:pStyle w:val="TableParagraph"/>
              <w:spacing w:line="273" w:lineRule="auto" w:before="7"/>
              <w:ind w:left="103" w:right="98"/>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2020-2022</w:t>
            </w:r>
            <w:r>
              <w:rPr>
                <w:rFonts w:ascii="宋体" w:hAnsi="宋体" w:cs="宋体" w:eastAsia="宋体" w:hint="default"/>
                <w:spacing w:val="-34"/>
                <w:sz w:val="21"/>
                <w:szCs w:val="21"/>
              </w:rPr>
              <w:t> </w:t>
            </w:r>
            <w:r>
              <w:rPr>
                <w:rFonts w:ascii="宋体" w:hAnsi="宋体" w:cs="宋体" w:eastAsia="宋体" w:hint="default"/>
                <w:sz w:val="21"/>
                <w:szCs w:val="21"/>
              </w:rPr>
              <w:t>年综合服务协议》并设定了</w:t>
            </w:r>
            <w:r>
              <w:rPr>
                <w:rFonts w:ascii="宋体" w:hAnsi="宋体" w:cs="宋体" w:eastAsia="宋体" w:hint="default"/>
                <w:w w:val="100"/>
                <w:sz w:val="21"/>
                <w:szCs w:val="21"/>
              </w:rPr>
              <w:t> </w:t>
            </w:r>
            <w:r>
              <w:rPr>
                <w:rFonts w:ascii="宋体" w:hAnsi="宋体" w:cs="宋体" w:eastAsia="宋体" w:hint="default"/>
                <w:sz w:val="21"/>
                <w:szCs w:val="21"/>
              </w:rPr>
              <w:t>2020-2022</w:t>
            </w:r>
            <w:r>
              <w:rPr>
                <w:rFonts w:ascii="宋体" w:hAnsi="宋体" w:cs="宋体" w:eastAsia="宋体" w:hint="default"/>
                <w:spacing w:val="-34"/>
                <w:sz w:val="21"/>
                <w:szCs w:val="21"/>
              </w:rPr>
              <w:t> </w:t>
            </w:r>
            <w:r>
              <w:rPr>
                <w:rFonts w:ascii="宋体" w:hAnsi="宋体" w:cs="宋体" w:eastAsia="宋体" w:hint="default"/>
                <w:sz w:val="21"/>
                <w:szCs w:val="21"/>
              </w:rPr>
              <w:t>年各年度的交易额度上限，该</w:t>
            </w:r>
          </w:p>
          <w:p>
            <w:pPr>
              <w:pStyle w:val="TableParagraph"/>
              <w:spacing w:line="240" w:lineRule="auto" w:before="7"/>
              <w:ind w:left="103" w:right="0"/>
              <w:jc w:val="left"/>
              <w:rPr>
                <w:rFonts w:ascii="宋体" w:hAnsi="宋体" w:cs="宋体" w:eastAsia="宋体" w:hint="default"/>
                <w:sz w:val="21"/>
                <w:szCs w:val="21"/>
              </w:rPr>
            </w:pPr>
            <w:r>
              <w:rPr>
                <w:rFonts w:ascii="宋体" w:hAnsi="宋体" w:cs="宋体" w:eastAsia="宋体" w:hint="default"/>
                <w:sz w:val="21"/>
                <w:szCs w:val="21"/>
              </w:rPr>
              <w:t>协议期限三年，自</w:t>
            </w:r>
            <w:r>
              <w:rPr>
                <w:rFonts w:ascii="宋体" w:hAnsi="宋体" w:cs="宋体" w:eastAsia="宋体" w:hint="default"/>
                <w:spacing w:val="-41"/>
                <w:sz w:val="21"/>
                <w:szCs w:val="21"/>
              </w:rPr>
              <w:t> </w:t>
            </w:r>
            <w:r>
              <w:rPr>
                <w:rFonts w:ascii="宋体" w:hAnsi="宋体" w:cs="宋体" w:eastAsia="宋体" w:hint="default"/>
                <w:sz w:val="21"/>
                <w:szCs w:val="21"/>
              </w:rPr>
              <w:t>2020</w:t>
            </w:r>
            <w:r>
              <w:rPr>
                <w:rFonts w:ascii="宋体" w:hAnsi="宋体" w:cs="宋体" w:eastAsia="宋体" w:hint="default"/>
                <w:spacing w:val="-43"/>
                <w:sz w:val="21"/>
                <w:szCs w:val="21"/>
              </w:rPr>
              <w:t> </w:t>
            </w:r>
            <w:r>
              <w:rPr>
                <w:rFonts w:ascii="宋体" w:hAnsi="宋体" w:cs="宋体" w:eastAsia="宋体" w:hint="default"/>
                <w:sz w:val="21"/>
                <w:szCs w:val="21"/>
              </w:rPr>
              <w:t>年</w:t>
            </w:r>
            <w:r>
              <w:rPr>
                <w:rFonts w:ascii="宋体" w:hAnsi="宋体" w:cs="宋体" w:eastAsia="宋体" w:hint="default"/>
                <w:spacing w:val="-40"/>
                <w:sz w:val="21"/>
                <w:szCs w:val="21"/>
              </w:rPr>
              <w:t> </w:t>
            </w:r>
            <w:r>
              <w:rPr>
                <w:rFonts w:ascii="宋体" w:hAnsi="宋体" w:cs="宋体" w:eastAsia="宋体" w:hint="default"/>
                <w:sz w:val="21"/>
                <w:szCs w:val="21"/>
              </w:rPr>
              <w:t>1</w:t>
            </w:r>
            <w:r>
              <w:rPr>
                <w:rFonts w:ascii="宋体" w:hAnsi="宋体" w:cs="宋体" w:eastAsia="宋体" w:hint="default"/>
                <w:spacing w:val="-41"/>
                <w:sz w:val="21"/>
                <w:szCs w:val="21"/>
              </w:rPr>
              <w:t> </w:t>
            </w:r>
            <w:r>
              <w:rPr>
                <w:rFonts w:ascii="宋体" w:hAnsi="宋体" w:cs="宋体" w:eastAsia="宋体" w:hint="default"/>
                <w:sz w:val="21"/>
                <w:szCs w:val="21"/>
              </w:rPr>
              <w:t>月</w:t>
            </w:r>
            <w:r>
              <w:rPr>
                <w:rFonts w:ascii="宋体" w:hAnsi="宋体" w:cs="宋体" w:eastAsia="宋体" w:hint="default"/>
                <w:spacing w:val="-43"/>
                <w:sz w:val="21"/>
                <w:szCs w:val="21"/>
              </w:rPr>
              <w:t> </w:t>
            </w:r>
            <w:r>
              <w:rPr>
                <w:rFonts w:ascii="宋体" w:hAnsi="宋体" w:cs="宋体" w:eastAsia="宋体" w:hint="default"/>
                <w:sz w:val="21"/>
                <w:szCs w:val="21"/>
              </w:rPr>
              <w:t>1</w:t>
            </w:r>
            <w:r>
              <w:rPr>
                <w:rFonts w:ascii="宋体" w:hAnsi="宋体" w:cs="宋体" w:eastAsia="宋体" w:hint="default"/>
                <w:spacing w:val="-41"/>
                <w:sz w:val="21"/>
                <w:szCs w:val="21"/>
              </w:rPr>
              <w:t> </w:t>
            </w:r>
            <w:r>
              <w:rPr>
                <w:rFonts w:ascii="宋体" w:hAnsi="宋体" w:cs="宋体" w:eastAsia="宋体" w:hint="default"/>
                <w:sz w:val="21"/>
                <w:szCs w:val="21"/>
              </w:rPr>
              <w:t>日起至</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2022</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2"/>
                <w:sz w:val="21"/>
                <w:szCs w:val="21"/>
              </w:rPr>
              <w:t> </w:t>
            </w:r>
            <w:r>
              <w:rPr>
                <w:rFonts w:ascii="宋体" w:hAnsi="宋体" w:cs="宋体" w:eastAsia="宋体" w:hint="default"/>
                <w:sz w:val="21"/>
                <w:szCs w:val="21"/>
              </w:rPr>
              <w:t>日止。</w:t>
            </w:r>
          </w:p>
        </w:tc>
        <w:tc>
          <w:tcPr>
            <w:tcW w:w="5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00" w:right="0"/>
              <w:jc w:val="both"/>
              <w:rPr>
                <w:rFonts w:ascii="宋体" w:hAnsi="宋体" w:cs="宋体" w:eastAsia="宋体" w:hint="default"/>
                <w:sz w:val="21"/>
                <w:szCs w:val="21"/>
              </w:rPr>
            </w:pPr>
            <w:r>
              <w:rPr>
                <w:rFonts w:ascii="宋体" w:hAnsi="宋体" w:cs="宋体" w:eastAsia="宋体" w:hint="default"/>
                <w:sz w:val="21"/>
                <w:szCs w:val="21"/>
              </w:rPr>
              <w:t>详情请参见公司分别于</w:t>
            </w:r>
            <w:r>
              <w:rPr>
                <w:rFonts w:ascii="宋体" w:hAnsi="宋体" w:cs="宋体" w:eastAsia="宋体" w:hint="default"/>
                <w:spacing w:val="-53"/>
                <w:sz w:val="21"/>
                <w:szCs w:val="21"/>
              </w:rPr>
              <w:t> </w:t>
            </w:r>
            <w:r>
              <w:rPr>
                <w:rFonts w:ascii="宋体" w:hAnsi="宋体" w:cs="宋体" w:eastAsia="宋体" w:hint="default"/>
                <w:sz w:val="21"/>
                <w:szCs w:val="21"/>
              </w:rPr>
              <w:t>2019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23</w:t>
            </w:r>
            <w:r>
              <w:rPr>
                <w:rFonts w:ascii="宋体" w:hAnsi="宋体" w:cs="宋体" w:eastAsia="宋体" w:hint="default"/>
                <w:spacing w:val="-55"/>
                <w:sz w:val="21"/>
                <w:szCs w:val="21"/>
              </w:rPr>
              <w:t> </w:t>
            </w:r>
            <w:r>
              <w:rPr>
                <w:rFonts w:ascii="宋体" w:hAnsi="宋体" w:cs="宋体" w:eastAsia="宋体" w:hint="default"/>
                <w:spacing w:val="-15"/>
                <w:sz w:val="21"/>
                <w:szCs w:val="21"/>
              </w:rPr>
              <w:t>日、</w:t>
            </w:r>
            <w:r>
              <w:rPr>
                <w:rFonts w:ascii="宋体" w:hAnsi="宋体" w:cs="宋体" w:eastAsia="宋体" w:hint="default"/>
                <w:spacing w:val="-15"/>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7</w:t>
            </w:r>
            <w:r>
              <w:rPr>
                <w:rFonts w:ascii="宋体" w:hAnsi="宋体" w:cs="宋体" w:eastAsia="宋体" w:hint="default"/>
                <w:spacing w:val="-55"/>
                <w:sz w:val="21"/>
                <w:szCs w:val="21"/>
              </w:rPr>
              <w:t> </w:t>
            </w:r>
            <w:r>
              <w:rPr>
                <w:rFonts w:ascii="宋体" w:hAnsi="宋体" w:cs="宋体" w:eastAsia="宋体" w:hint="default"/>
                <w:sz w:val="21"/>
                <w:szCs w:val="21"/>
              </w:rPr>
              <w:t>日在</w:t>
            </w:r>
          </w:p>
          <w:p>
            <w:pPr>
              <w:pStyle w:val="TableParagraph"/>
              <w:spacing w:line="273" w:lineRule="auto" w:before="37"/>
              <w:ind w:left="100" w:right="100"/>
              <w:jc w:val="both"/>
              <w:rPr>
                <w:rFonts w:ascii="宋体" w:hAnsi="宋体" w:cs="宋体" w:eastAsia="宋体" w:hint="default"/>
                <w:sz w:val="21"/>
                <w:szCs w:val="21"/>
              </w:rPr>
            </w:pPr>
            <w:r>
              <w:rPr>
                <w:rFonts w:ascii="宋体" w:hAnsi="宋体" w:cs="宋体" w:eastAsia="宋体" w:hint="default"/>
                <w:spacing w:val="2"/>
                <w:sz w:val="21"/>
                <w:szCs w:val="21"/>
              </w:rPr>
              <w:t>《中国证券报》《上海证券报》《证券时报》、上海证</w:t>
            </w:r>
            <w:r>
              <w:rPr>
                <w:rFonts w:ascii="宋体" w:hAnsi="宋体" w:cs="宋体" w:eastAsia="宋体" w:hint="default"/>
                <w:spacing w:val="-61"/>
                <w:sz w:val="21"/>
                <w:szCs w:val="21"/>
              </w:rPr>
              <w:t> </w:t>
            </w:r>
            <w:r>
              <w:rPr>
                <w:rFonts w:ascii="宋体" w:hAnsi="宋体" w:cs="宋体" w:eastAsia="宋体" w:hint="default"/>
                <w:spacing w:val="-61"/>
                <w:sz w:val="21"/>
                <w:szCs w:val="21"/>
              </w:rPr>
            </w:r>
            <w:r>
              <w:rPr>
                <w:rFonts w:ascii="宋体" w:hAnsi="宋体" w:cs="宋体" w:eastAsia="宋体" w:hint="default"/>
                <w:spacing w:val="2"/>
                <w:sz w:val="21"/>
                <w:szCs w:val="21"/>
              </w:rPr>
              <w:t>券交易所网站及本公司网站发布的《关于中国联合网络</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pacing w:val="10"/>
                <w:sz w:val="21"/>
                <w:szCs w:val="21"/>
              </w:rPr>
              <w:t>通信有限公司与中国联合网络通信集团有限公司签署</w:t>
            </w:r>
          </w:p>
          <w:p>
            <w:pPr>
              <w:pStyle w:val="TableParagraph"/>
              <w:spacing w:line="273" w:lineRule="auto" w:before="7"/>
              <w:ind w:left="100" w:right="101"/>
              <w:jc w:val="both"/>
              <w:rPr>
                <w:rFonts w:ascii="宋体" w:hAnsi="宋体" w:cs="宋体" w:eastAsia="宋体" w:hint="default"/>
                <w:sz w:val="21"/>
                <w:szCs w:val="21"/>
              </w:rPr>
            </w:pPr>
            <w:r>
              <w:rPr>
                <w:rFonts w:ascii="宋体" w:hAnsi="宋体" w:cs="宋体" w:eastAsia="宋体" w:hint="default"/>
                <w:sz w:val="21"/>
                <w:szCs w:val="21"/>
              </w:rPr>
              <w:t>&lt;2020-2022</w:t>
            </w:r>
            <w:r>
              <w:rPr>
                <w:rFonts w:ascii="宋体" w:hAnsi="宋体" w:cs="宋体" w:eastAsia="宋体" w:hint="default"/>
                <w:spacing w:val="-25"/>
                <w:sz w:val="21"/>
                <w:szCs w:val="21"/>
              </w:rPr>
              <w:t> </w:t>
            </w:r>
            <w:r>
              <w:rPr>
                <w:rFonts w:ascii="宋体" w:hAnsi="宋体" w:cs="宋体" w:eastAsia="宋体" w:hint="default"/>
                <w:spacing w:val="-5"/>
                <w:sz w:val="21"/>
                <w:szCs w:val="21"/>
              </w:rPr>
              <w:t>年综合服务协议</w:t>
            </w:r>
            <w:r>
              <w:rPr>
                <w:rFonts w:ascii="宋体" w:hAnsi="宋体" w:cs="宋体" w:eastAsia="宋体" w:hint="default"/>
                <w:spacing w:val="-5"/>
                <w:sz w:val="21"/>
                <w:szCs w:val="21"/>
              </w:rPr>
              <w:t>&gt;</w:t>
            </w:r>
            <w:r>
              <w:rPr>
                <w:rFonts w:ascii="宋体" w:hAnsi="宋体" w:cs="宋体" w:eastAsia="宋体" w:hint="default"/>
                <w:spacing w:val="-5"/>
                <w:sz w:val="21"/>
                <w:szCs w:val="21"/>
              </w:rPr>
              <w:t>的日常关联交易公告》（公</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告编号：</w:t>
            </w:r>
            <w:r>
              <w:rPr>
                <w:rFonts w:ascii="宋体" w:hAnsi="宋体" w:cs="宋体" w:eastAsia="宋体" w:hint="default"/>
                <w:sz w:val="21"/>
                <w:szCs w:val="21"/>
              </w:rPr>
              <w:t>2019-055</w:t>
            </w:r>
            <w:r>
              <w:rPr>
                <w:rFonts w:ascii="宋体" w:hAnsi="宋体" w:cs="宋体" w:eastAsia="宋体" w:hint="default"/>
                <w:sz w:val="21"/>
                <w:szCs w:val="21"/>
              </w:rPr>
              <w:t>）、《</w:t>
            </w:r>
            <w:r>
              <w:rPr>
                <w:rFonts w:ascii="宋体" w:hAnsi="宋体" w:cs="宋体" w:eastAsia="宋体" w:hint="default"/>
                <w:sz w:val="21"/>
                <w:szCs w:val="21"/>
              </w:rPr>
              <w:t>2019</w:t>
            </w:r>
            <w:r>
              <w:rPr>
                <w:rFonts w:ascii="宋体" w:hAnsi="宋体" w:cs="宋体" w:eastAsia="宋体" w:hint="default"/>
                <w:spacing w:val="-10"/>
                <w:sz w:val="21"/>
                <w:szCs w:val="21"/>
              </w:rPr>
              <w:t> </w:t>
            </w:r>
            <w:r>
              <w:rPr>
                <w:rFonts w:ascii="宋体" w:hAnsi="宋体" w:cs="宋体" w:eastAsia="宋体" w:hint="default"/>
                <w:sz w:val="21"/>
                <w:szCs w:val="21"/>
              </w:rPr>
              <w:t>年第二次临时股东大会决</w:t>
            </w:r>
            <w:r>
              <w:rPr>
                <w:rFonts w:ascii="宋体" w:hAnsi="宋体" w:cs="宋体" w:eastAsia="宋体" w:hint="default"/>
                <w:w w:val="100"/>
                <w:sz w:val="21"/>
                <w:szCs w:val="21"/>
              </w:rPr>
              <w:t> </w:t>
            </w:r>
            <w:r>
              <w:rPr>
                <w:rFonts w:ascii="宋体" w:hAnsi="宋体" w:cs="宋体" w:eastAsia="宋体" w:hint="default"/>
                <w:sz w:val="21"/>
                <w:szCs w:val="21"/>
              </w:rPr>
              <w:t>议公告》（公告编号：</w:t>
            </w:r>
            <w:r>
              <w:rPr>
                <w:rFonts w:ascii="宋体" w:hAnsi="宋体" w:cs="宋体" w:eastAsia="宋体" w:hint="default"/>
                <w:sz w:val="21"/>
                <w:szCs w:val="21"/>
              </w:rPr>
              <w:t>2019-068</w:t>
            </w:r>
            <w:r>
              <w:rPr>
                <w:rFonts w:ascii="宋体" w:hAnsi="宋体" w:cs="宋体" w:eastAsia="宋体" w:hint="default"/>
                <w:sz w:val="21"/>
                <w:szCs w:val="21"/>
              </w:rPr>
              <w:t>）。</w:t>
            </w:r>
          </w:p>
        </w:tc>
      </w:tr>
    </w:tbl>
    <w:p>
      <w:pPr>
        <w:spacing w:line="240" w:lineRule="auto" w:before="11"/>
        <w:rPr>
          <w:rFonts w:ascii="Microsoft JhengHei" w:hAnsi="Microsoft JhengHei" w:cs="Microsoft JhengHei" w:eastAsia="Microsoft JhengHei" w:hint="default"/>
          <w:b/>
          <w:bCs/>
          <w:sz w:val="18"/>
          <w:szCs w:val="18"/>
        </w:rPr>
      </w:pPr>
    </w:p>
    <w:p>
      <w:pPr>
        <w:spacing w:line="335" w:lineRule="exact" w:before="0"/>
        <w:ind w:left="218" w:right="120"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2</w:t>
      </w:r>
      <w:r>
        <w:rPr>
          <w:rFonts w:ascii="Microsoft JhengHei" w:hAnsi="Microsoft JhengHei" w:cs="Microsoft JhengHei" w:eastAsia="Microsoft JhengHei" w:hint="default"/>
          <w:b/>
          <w:bCs/>
          <w:sz w:val="21"/>
          <w:szCs w:val="21"/>
        </w:rPr>
        <w:t>、 </w:t>
      </w:r>
      <w:r>
        <w:rPr>
          <w:rFonts w:ascii="Microsoft JhengHei" w:hAnsi="Microsoft JhengHei" w:cs="Microsoft JhengHei" w:eastAsia="Microsoft JhengHei" w:hint="default"/>
          <w:b/>
          <w:bCs/>
          <w:spacing w:val="4"/>
          <w:sz w:val="21"/>
          <w:szCs w:val="21"/>
        </w:rPr>
        <w:t> </w:t>
      </w:r>
      <w:r>
        <w:rPr>
          <w:rFonts w:ascii="Microsoft JhengHei" w:hAnsi="Microsoft JhengHei" w:cs="Microsoft JhengHei" w:eastAsia="Microsoft JhengHei" w:hint="default"/>
          <w:b/>
          <w:bCs/>
          <w:sz w:val="21"/>
          <w:szCs w:val="21"/>
        </w:rPr>
        <w:t>已在临时公告披露，但有后续实施的进展或变化的事项</w:t>
      </w:r>
      <w:r>
        <w:rPr>
          <w:rFonts w:ascii="Microsoft JhengHei" w:hAnsi="Microsoft JhengHei" w:cs="Microsoft JhengHei" w:eastAsia="Microsoft JhengHei" w:hint="default"/>
          <w:sz w:val="21"/>
          <w:szCs w:val="21"/>
        </w:rPr>
      </w:r>
    </w:p>
    <w:p>
      <w:pPr>
        <w:tabs>
          <w:tab w:pos="1061" w:val="left" w:leader="none"/>
        </w:tabs>
        <w:spacing w:before="73"/>
        <w:ind w:left="218" w:right="120" w:firstLine="0"/>
        <w:jc w:val="left"/>
        <w:rPr>
          <w:rFonts w:ascii="宋体" w:hAnsi="宋体" w:cs="宋体" w:eastAsia="宋体" w:hint="default"/>
          <w:sz w:val="21"/>
          <w:szCs w:val="21"/>
        </w:rPr>
      </w:pPr>
      <w:r>
        <w:rPr>
          <w:rFonts w:ascii="宋体" w:hAnsi="宋体" w:cs="宋体" w:eastAsia="宋体" w:hint="default"/>
          <w:sz w:val="21"/>
          <w:szCs w:val="21"/>
        </w:rPr>
        <w:t>□适用</w:t>
        <w:tab/>
        <w:t>√不适用</w:t>
      </w:r>
    </w:p>
    <w:p>
      <w:pPr>
        <w:spacing w:line="240" w:lineRule="auto" w:before="2"/>
        <w:rPr>
          <w:rFonts w:ascii="宋体" w:hAnsi="宋体" w:cs="宋体" w:eastAsia="宋体" w:hint="default"/>
          <w:sz w:val="26"/>
          <w:szCs w:val="26"/>
        </w:rPr>
      </w:pPr>
    </w:p>
    <w:p>
      <w:pPr>
        <w:spacing w:before="0"/>
        <w:ind w:left="218" w:right="120"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3</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49"/>
          <w:sz w:val="21"/>
          <w:szCs w:val="21"/>
        </w:rPr>
        <w:t> </w:t>
      </w:r>
      <w:r>
        <w:rPr>
          <w:rFonts w:ascii="Microsoft JhengHei" w:hAnsi="Microsoft JhengHei" w:cs="Microsoft JhengHei" w:eastAsia="Microsoft JhengHei" w:hint="default"/>
          <w:b/>
          <w:bCs/>
          <w:sz w:val="21"/>
          <w:szCs w:val="21"/>
        </w:rPr>
        <w:t>临时公告未披露的事项</w:t>
      </w:r>
      <w:r>
        <w:rPr>
          <w:rFonts w:ascii="Microsoft JhengHei" w:hAnsi="Microsoft JhengHei" w:cs="Microsoft JhengHei" w:eastAsia="Microsoft JhengHei" w:hint="default"/>
          <w:sz w:val="21"/>
          <w:szCs w:val="21"/>
        </w:rPr>
      </w:r>
    </w:p>
    <w:p>
      <w:pPr>
        <w:spacing w:before="73"/>
        <w:ind w:left="218" w:right="120"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2"/>
        <w:rPr>
          <w:rFonts w:ascii="宋体" w:hAnsi="宋体" w:cs="宋体" w:eastAsia="宋体" w:hint="default"/>
          <w:sz w:val="26"/>
          <w:szCs w:val="26"/>
        </w:rPr>
      </w:pPr>
    </w:p>
    <w:p>
      <w:pPr>
        <w:spacing w:before="0"/>
        <w:ind w:left="218" w:right="12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05"/>
          <w:sz w:val="21"/>
          <w:szCs w:val="21"/>
        </w:rPr>
        <w:t>(</w:t>
      </w:r>
      <w:r>
        <w:rPr>
          <w:rFonts w:ascii="Microsoft JhengHei" w:hAnsi="Microsoft JhengHei" w:cs="Microsoft JhengHei" w:eastAsia="Microsoft JhengHei" w:hint="default"/>
          <w:b/>
          <w:bCs/>
          <w:w w:val="105"/>
          <w:sz w:val="21"/>
          <w:szCs w:val="21"/>
        </w:rPr>
        <w:t>二</w:t>
      </w:r>
      <w:r>
        <w:rPr>
          <w:rFonts w:ascii="Arial" w:hAnsi="Arial" w:cs="Arial" w:eastAsia="Arial" w:hint="default"/>
          <w:b/>
          <w:bCs/>
          <w:w w:val="105"/>
          <w:sz w:val="21"/>
          <w:szCs w:val="21"/>
        </w:rPr>
        <w:t>)</w:t>
      </w:r>
      <w:r>
        <w:rPr>
          <w:rFonts w:ascii="Microsoft JhengHei" w:hAnsi="Microsoft JhengHei" w:cs="Microsoft JhengHei" w:eastAsia="Microsoft JhengHei" w:hint="default"/>
          <w:b/>
          <w:bCs/>
          <w:w w:val="105"/>
          <w:sz w:val="21"/>
          <w:szCs w:val="21"/>
        </w:rPr>
        <w:t>资产或股权收购、出售发生的关联交易</w:t>
      </w:r>
      <w:r>
        <w:rPr>
          <w:rFonts w:ascii="Microsoft JhengHei" w:hAnsi="Microsoft JhengHei" w:cs="Microsoft JhengHei" w:eastAsia="Microsoft JhengHei" w:hint="default"/>
          <w:w w:val="105"/>
          <w:sz w:val="21"/>
          <w:szCs w:val="21"/>
        </w:rPr>
      </w:r>
    </w:p>
    <w:p>
      <w:pPr>
        <w:spacing w:before="73"/>
        <w:ind w:left="218" w:right="120"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3"/>
        <w:rPr>
          <w:rFonts w:ascii="宋体" w:hAnsi="宋体" w:cs="宋体" w:eastAsia="宋体" w:hint="default"/>
          <w:sz w:val="26"/>
          <w:szCs w:val="26"/>
        </w:rPr>
      </w:pPr>
    </w:p>
    <w:p>
      <w:pPr>
        <w:spacing w:before="0"/>
        <w:ind w:left="218" w:right="120"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三</w:t>
      </w:r>
      <w:r>
        <w:rPr>
          <w:rFonts w:ascii="Calibri" w:hAnsi="Calibri" w:cs="Calibri" w:eastAsia="Calibri" w:hint="default"/>
          <w:b/>
          <w:bCs/>
          <w:sz w:val="21"/>
          <w:szCs w:val="21"/>
        </w:rPr>
        <w:t>)</w:t>
      </w:r>
      <w:r>
        <w:rPr>
          <w:rFonts w:ascii="Calibri" w:hAnsi="Calibri" w:cs="Calibri" w:eastAsia="Calibri" w:hint="default"/>
          <w:b/>
          <w:bCs/>
          <w:spacing w:val="40"/>
          <w:sz w:val="21"/>
          <w:szCs w:val="21"/>
        </w:rPr>
        <w:t> </w:t>
      </w:r>
      <w:r>
        <w:rPr>
          <w:rFonts w:ascii="Microsoft JhengHei" w:hAnsi="Microsoft JhengHei" w:cs="Microsoft JhengHei" w:eastAsia="Microsoft JhengHei" w:hint="default"/>
          <w:b/>
          <w:bCs/>
          <w:sz w:val="21"/>
          <w:szCs w:val="21"/>
        </w:rPr>
        <w:t>共同对外投资的重大关联交易</w:t>
      </w:r>
      <w:r>
        <w:rPr>
          <w:rFonts w:ascii="Microsoft JhengHei" w:hAnsi="Microsoft JhengHei" w:cs="Microsoft JhengHei" w:eastAsia="Microsoft JhengHei" w:hint="default"/>
          <w:sz w:val="21"/>
          <w:szCs w:val="21"/>
        </w:rPr>
      </w:r>
    </w:p>
    <w:p>
      <w:pPr>
        <w:spacing w:before="70"/>
        <w:ind w:left="218" w:right="120"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after="0"/>
        <w:jc w:val="left"/>
        <w:rPr>
          <w:rFonts w:ascii="宋体" w:hAnsi="宋体" w:cs="宋体" w:eastAsia="宋体" w:hint="default"/>
          <w:sz w:val="21"/>
          <w:szCs w:val="21"/>
        </w:rPr>
        <w:sectPr>
          <w:footerReference w:type="default" r:id="rId44"/>
          <w:pgSz w:w="11910" w:h="16840"/>
          <w:pgMar w:footer="502" w:header="854" w:top="1360" w:bottom="700" w:left="1200" w:right="104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spacing w:line="338" w:lineRule="exact" w:before="0"/>
        <w:ind w:left="218" w:right="120"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四</w:t>
      </w:r>
      <w:r>
        <w:rPr>
          <w:rFonts w:ascii="Calibri" w:hAnsi="Calibri" w:cs="Calibri" w:eastAsia="Calibri" w:hint="default"/>
          <w:b/>
          <w:bCs/>
          <w:sz w:val="21"/>
          <w:szCs w:val="21"/>
        </w:rPr>
        <w:t>)</w:t>
      </w:r>
      <w:r>
        <w:rPr>
          <w:rFonts w:ascii="Calibri" w:hAnsi="Calibri" w:cs="Calibri" w:eastAsia="Calibri" w:hint="default"/>
          <w:b/>
          <w:bCs/>
          <w:spacing w:val="40"/>
          <w:sz w:val="21"/>
          <w:szCs w:val="21"/>
        </w:rPr>
        <w:t> </w:t>
      </w:r>
      <w:r>
        <w:rPr>
          <w:rFonts w:ascii="Microsoft JhengHei" w:hAnsi="Microsoft JhengHei" w:cs="Microsoft JhengHei" w:eastAsia="Microsoft JhengHei" w:hint="default"/>
          <w:b/>
          <w:bCs/>
          <w:sz w:val="21"/>
          <w:szCs w:val="21"/>
        </w:rPr>
        <w:t>关联债权债务往来</w:t>
      </w:r>
      <w:r>
        <w:rPr>
          <w:rFonts w:ascii="Microsoft JhengHei" w:hAnsi="Microsoft JhengHei" w:cs="Microsoft JhengHei" w:eastAsia="Microsoft JhengHei" w:hint="default"/>
          <w:sz w:val="21"/>
          <w:szCs w:val="21"/>
        </w:rPr>
      </w:r>
    </w:p>
    <w:p>
      <w:pPr>
        <w:spacing w:before="70"/>
        <w:ind w:left="218" w:right="120"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2"/>
        <w:rPr>
          <w:rFonts w:ascii="宋体" w:hAnsi="宋体" w:cs="宋体" w:eastAsia="宋体" w:hint="default"/>
          <w:sz w:val="26"/>
          <w:szCs w:val="26"/>
        </w:rPr>
      </w:pPr>
    </w:p>
    <w:p>
      <w:pPr>
        <w:tabs>
          <w:tab w:pos="1058" w:val="left" w:leader="none"/>
        </w:tabs>
        <w:spacing w:line="244" w:lineRule="auto" w:before="0"/>
        <w:ind w:left="218" w:right="6495"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w w:val="105"/>
          <w:sz w:val="21"/>
          <w:szCs w:val="21"/>
        </w:rPr>
        <w:t>十五、重大合同及其履行情况</w:t>
      </w:r>
      <w:r>
        <w:rPr>
          <w:rFonts w:ascii="Microsoft JhengHei" w:hAnsi="Microsoft JhengHei" w:cs="Microsoft JhengHei" w:eastAsia="Microsoft JhengHei" w:hint="default"/>
          <w:b/>
          <w:bCs/>
          <w:w w:val="100"/>
          <w:sz w:val="21"/>
          <w:szCs w:val="21"/>
        </w:rPr>
        <w:t> </w:t>
      </w:r>
      <w:r>
        <w:rPr>
          <w:rFonts w:ascii="Arial" w:hAnsi="Arial" w:cs="Arial" w:eastAsia="Arial" w:hint="default"/>
          <w:b/>
          <w:bCs/>
          <w:w w:val="110"/>
          <w:sz w:val="21"/>
          <w:szCs w:val="21"/>
        </w:rPr>
        <w:t>(</w:t>
      </w:r>
      <w:r>
        <w:rPr>
          <w:rFonts w:ascii="Microsoft JhengHei" w:hAnsi="Microsoft JhengHei" w:cs="Microsoft JhengHei" w:eastAsia="Microsoft JhengHei" w:hint="default"/>
          <w:b/>
          <w:bCs/>
          <w:w w:val="110"/>
          <w:sz w:val="21"/>
          <w:szCs w:val="21"/>
        </w:rPr>
        <w:t>一</w:t>
      </w:r>
      <w:r>
        <w:rPr>
          <w:rFonts w:ascii="Arial" w:hAnsi="Arial" w:cs="Arial" w:eastAsia="Arial" w:hint="default"/>
          <w:b/>
          <w:bCs/>
          <w:w w:val="110"/>
          <w:sz w:val="21"/>
          <w:szCs w:val="21"/>
        </w:rPr>
        <w:t>)</w:t>
        <w:tab/>
      </w:r>
      <w:r>
        <w:rPr>
          <w:rFonts w:ascii="Microsoft JhengHei" w:hAnsi="Microsoft JhengHei" w:cs="Microsoft JhengHei" w:eastAsia="Microsoft JhengHei" w:hint="default"/>
          <w:b/>
          <w:bCs/>
          <w:spacing w:val="-1"/>
          <w:sz w:val="21"/>
          <w:szCs w:val="21"/>
        </w:rPr>
        <w:t>托管、承包、租赁事项</w:t>
      </w:r>
      <w:r>
        <w:rPr>
          <w:rFonts w:ascii="Microsoft JhengHei" w:hAnsi="Microsoft JhengHei" w:cs="Microsoft JhengHei" w:eastAsia="Microsoft JhengHei" w:hint="default"/>
          <w:spacing w:val="-1"/>
          <w:sz w:val="21"/>
          <w:szCs w:val="21"/>
        </w:rPr>
      </w:r>
    </w:p>
    <w:p>
      <w:pPr>
        <w:spacing w:before="67"/>
        <w:ind w:left="218" w:right="120"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2"/>
        <w:rPr>
          <w:rFonts w:ascii="宋体" w:hAnsi="宋体" w:cs="宋体" w:eastAsia="宋体" w:hint="default"/>
          <w:sz w:val="26"/>
          <w:szCs w:val="26"/>
        </w:rPr>
      </w:pPr>
    </w:p>
    <w:p>
      <w:pPr>
        <w:tabs>
          <w:tab w:pos="1058" w:val="left" w:leader="none"/>
        </w:tabs>
        <w:spacing w:before="0"/>
        <w:ind w:left="218" w:right="12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20"/>
          <w:sz w:val="21"/>
          <w:szCs w:val="21"/>
        </w:rPr>
        <w:t>(</w:t>
      </w:r>
      <w:r>
        <w:rPr>
          <w:rFonts w:ascii="Microsoft JhengHei" w:hAnsi="Microsoft JhengHei" w:cs="Microsoft JhengHei" w:eastAsia="Microsoft JhengHei" w:hint="default"/>
          <w:b/>
          <w:bCs/>
          <w:w w:val="120"/>
          <w:sz w:val="21"/>
          <w:szCs w:val="21"/>
        </w:rPr>
        <w:t>二</w:t>
      </w:r>
      <w:r>
        <w:rPr>
          <w:rFonts w:ascii="Arial" w:hAnsi="Arial" w:cs="Arial" w:eastAsia="Arial" w:hint="default"/>
          <w:b/>
          <w:bCs/>
          <w:w w:val="120"/>
          <w:sz w:val="21"/>
          <w:szCs w:val="21"/>
        </w:rPr>
        <w:t>)</w:t>
        <w:tab/>
      </w:r>
      <w:r>
        <w:rPr>
          <w:rFonts w:ascii="Microsoft JhengHei" w:hAnsi="Microsoft JhengHei" w:cs="Microsoft JhengHei" w:eastAsia="Microsoft JhengHei" w:hint="default"/>
          <w:b/>
          <w:bCs/>
          <w:w w:val="120"/>
          <w:sz w:val="21"/>
          <w:szCs w:val="21"/>
        </w:rPr>
        <w:t>担保情况</w:t>
      </w:r>
      <w:r>
        <w:rPr>
          <w:rFonts w:ascii="Microsoft JhengHei" w:hAnsi="Microsoft JhengHei" w:cs="Microsoft JhengHei" w:eastAsia="Microsoft JhengHei" w:hint="default"/>
          <w:w w:val="120"/>
          <w:sz w:val="21"/>
          <w:szCs w:val="21"/>
        </w:rPr>
      </w:r>
    </w:p>
    <w:p>
      <w:pPr>
        <w:spacing w:before="74"/>
        <w:ind w:left="218" w:right="120"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2"/>
        <w:rPr>
          <w:rFonts w:ascii="宋体" w:hAnsi="宋体" w:cs="宋体" w:eastAsia="宋体" w:hint="default"/>
          <w:sz w:val="26"/>
          <w:szCs w:val="26"/>
        </w:rPr>
      </w:pPr>
    </w:p>
    <w:p>
      <w:pPr>
        <w:tabs>
          <w:tab w:pos="1058" w:val="left" w:leader="none"/>
        </w:tabs>
        <w:spacing w:before="0"/>
        <w:ind w:left="218" w:right="12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5"/>
          <w:sz w:val="21"/>
          <w:szCs w:val="21"/>
        </w:rPr>
        <w:t>(</w:t>
      </w:r>
      <w:r>
        <w:rPr>
          <w:rFonts w:ascii="Microsoft JhengHei" w:hAnsi="Microsoft JhengHei" w:cs="Microsoft JhengHei" w:eastAsia="Microsoft JhengHei" w:hint="default"/>
          <w:b/>
          <w:bCs/>
          <w:w w:val="115"/>
          <w:sz w:val="21"/>
          <w:szCs w:val="21"/>
        </w:rPr>
        <w:t>三</w:t>
      </w:r>
      <w:r>
        <w:rPr>
          <w:rFonts w:ascii="Arial" w:hAnsi="Arial" w:cs="Arial" w:eastAsia="Arial" w:hint="default"/>
          <w:b/>
          <w:bCs/>
          <w:w w:val="115"/>
          <w:sz w:val="21"/>
          <w:szCs w:val="21"/>
        </w:rPr>
        <w:t>)</w:t>
        <w:tab/>
      </w:r>
      <w:r>
        <w:rPr>
          <w:rFonts w:ascii="Microsoft JhengHei" w:hAnsi="Microsoft JhengHei" w:cs="Microsoft JhengHei" w:eastAsia="Microsoft JhengHei" w:hint="default"/>
          <w:b/>
          <w:bCs/>
          <w:spacing w:val="-1"/>
          <w:w w:val="115"/>
          <w:sz w:val="21"/>
          <w:szCs w:val="21"/>
        </w:rPr>
        <w:t>委托他人进行现金资产管理的情况</w:t>
      </w:r>
      <w:r>
        <w:rPr>
          <w:rFonts w:ascii="Microsoft JhengHei" w:hAnsi="Microsoft JhengHei" w:cs="Microsoft JhengHei" w:eastAsia="Microsoft JhengHei" w:hint="default"/>
          <w:spacing w:val="-1"/>
          <w:w w:val="115"/>
          <w:sz w:val="21"/>
          <w:szCs w:val="21"/>
        </w:rPr>
      </w:r>
    </w:p>
    <w:p>
      <w:pPr>
        <w:tabs>
          <w:tab w:pos="1061" w:val="left" w:leader="none"/>
        </w:tabs>
        <w:spacing w:before="73"/>
        <w:ind w:left="218" w:right="120" w:firstLine="0"/>
        <w:jc w:val="left"/>
        <w:rPr>
          <w:rFonts w:ascii="宋体" w:hAnsi="宋体" w:cs="宋体" w:eastAsia="宋体" w:hint="default"/>
          <w:sz w:val="21"/>
          <w:szCs w:val="21"/>
        </w:rPr>
      </w:pPr>
      <w:r>
        <w:rPr>
          <w:rFonts w:ascii="宋体" w:hAnsi="宋体" w:cs="宋体" w:eastAsia="宋体" w:hint="default"/>
          <w:sz w:val="21"/>
          <w:szCs w:val="21"/>
        </w:rPr>
        <w:t>□适用</w:t>
        <w:tab/>
        <w:t>√不适用</w:t>
      </w:r>
    </w:p>
    <w:p>
      <w:pPr>
        <w:spacing w:line="240" w:lineRule="auto" w:before="2"/>
        <w:rPr>
          <w:rFonts w:ascii="宋体" w:hAnsi="宋体" w:cs="宋体" w:eastAsia="宋体" w:hint="default"/>
          <w:sz w:val="26"/>
          <w:szCs w:val="26"/>
        </w:rPr>
      </w:pPr>
    </w:p>
    <w:p>
      <w:pPr>
        <w:spacing w:before="0"/>
        <w:ind w:left="218" w:right="12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十六、其他重大事项的说明</w:t>
      </w:r>
      <w:r>
        <w:rPr>
          <w:rFonts w:ascii="Microsoft JhengHei" w:hAnsi="Microsoft JhengHei" w:cs="Microsoft JhengHei" w:eastAsia="Microsoft JhengHei" w:hint="default"/>
          <w:sz w:val="21"/>
          <w:szCs w:val="21"/>
        </w:rPr>
      </w:r>
    </w:p>
    <w:p>
      <w:pPr>
        <w:spacing w:before="73"/>
        <w:ind w:left="218" w:right="120"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2"/>
        <w:rPr>
          <w:rFonts w:ascii="宋体" w:hAnsi="宋体" w:cs="宋体" w:eastAsia="宋体" w:hint="default"/>
          <w:sz w:val="26"/>
          <w:szCs w:val="26"/>
        </w:rPr>
      </w:pPr>
    </w:p>
    <w:p>
      <w:pPr>
        <w:tabs>
          <w:tab w:pos="1070" w:val="left" w:leader="none"/>
        </w:tabs>
        <w:spacing w:line="244" w:lineRule="auto" w:before="0"/>
        <w:ind w:left="218" w:right="6071"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pacing w:val="-1"/>
          <w:sz w:val="21"/>
          <w:szCs w:val="21"/>
        </w:rPr>
        <w:t>十七、积极履行社会责任的工作情况</w:t>
      </w:r>
      <w:r>
        <w:rPr>
          <w:rFonts w:ascii="Microsoft JhengHei" w:hAnsi="Microsoft JhengHei" w:cs="Microsoft JhengHei" w:eastAsia="Microsoft JhengHei" w:hint="default"/>
          <w:b/>
          <w:bCs/>
          <w:spacing w:val="-25"/>
          <w:sz w:val="21"/>
          <w:szCs w:val="21"/>
        </w:rPr>
        <w:t> </w:t>
      </w:r>
      <w:r>
        <w:rPr>
          <w:rFonts w:ascii="Microsoft JhengHei" w:hAnsi="Microsoft JhengHei" w:cs="Microsoft JhengHei" w:eastAsia="Microsoft JhengHei" w:hint="default"/>
          <w:b/>
          <w:bCs/>
          <w:spacing w:val="-25"/>
          <w:sz w:val="21"/>
          <w:szCs w:val="21"/>
        </w:rPr>
      </w:r>
      <w:r>
        <w:rPr>
          <w:rFonts w:ascii="Arial" w:hAnsi="Arial" w:cs="Arial" w:eastAsia="Arial" w:hint="default"/>
          <w:b/>
          <w:bCs/>
          <w:w w:val="110"/>
          <w:sz w:val="21"/>
          <w:szCs w:val="21"/>
        </w:rPr>
        <w:t>(</w:t>
      </w:r>
      <w:r>
        <w:rPr>
          <w:rFonts w:ascii="Microsoft JhengHei" w:hAnsi="Microsoft JhengHei" w:cs="Microsoft JhengHei" w:eastAsia="Microsoft JhengHei" w:hint="default"/>
          <w:b/>
          <w:bCs/>
          <w:w w:val="110"/>
          <w:sz w:val="21"/>
          <w:szCs w:val="21"/>
        </w:rPr>
        <w:t>一</w:t>
      </w:r>
      <w:r>
        <w:rPr>
          <w:rFonts w:ascii="Arial" w:hAnsi="Arial" w:cs="Arial" w:eastAsia="Arial" w:hint="default"/>
          <w:b/>
          <w:bCs/>
          <w:w w:val="110"/>
          <w:sz w:val="21"/>
          <w:szCs w:val="21"/>
        </w:rPr>
        <w:t>)</w:t>
        <w:tab/>
      </w:r>
      <w:r>
        <w:rPr>
          <w:rFonts w:ascii="Microsoft JhengHei" w:hAnsi="Microsoft JhengHei" w:cs="Microsoft JhengHei" w:eastAsia="Microsoft JhengHei" w:hint="default"/>
          <w:b/>
          <w:bCs/>
          <w:spacing w:val="-1"/>
          <w:w w:val="110"/>
          <w:sz w:val="21"/>
          <w:szCs w:val="21"/>
        </w:rPr>
        <w:t>上市公司扶贫工作情况</w:t>
      </w:r>
      <w:r>
        <w:rPr>
          <w:rFonts w:ascii="Microsoft JhengHei" w:hAnsi="Microsoft JhengHei" w:cs="Microsoft JhengHei" w:eastAsia="Microsoft JhengHei" w:hint="default"/>
          <w:spacing w:val="-1"/>
          <w:w w:val="110"/>
          <w:sz w:val="21"/>
          <w:szCs w:val="21"/>
        </w:rPr>
      </w:r>
    </w:p>
    <w:p>
      <w:pPr>
        <w:tabs>
          <w:tab w:pos="638" w:val="left" w:leader="none"/>
        </w:tabs>
        <w:spacing w:line="386" w:lineRule="auto" w:before="1"/>
        <w:ind w:left="638" w:right="120" w:hanging="420"/>
        <w:jc w:val="left"/>
        <w:rPr>
          <w:rFonts w:ascii="宋体" w:hAnsi="宋体" w:cs="宋体" w:eastAsia="宋体" w:hint="default"/>
          <w:sz w:val="21"/>
          <w:szCs w:val="21"/>
        </w:rPr>
      </w:pPr>
      <w:r>
        <w:rPr>
          <w:rFonts w:ascii="Arial" w:hAnsi="Arial" w:cs="Arial" w:eastAsia="Arial" w:hint="default"/>
          <w:b/>
          <w:bCs/>
          <w:w w:val="105"/>
          <w:sz w:val="21"/>
          <w:szCs w:val="21"/>
        </w:rPr>
        <w:t>1.</w:t>
        <w:tab/>
      </w:r>
      <w:r>
        <w:rPr>
          <w:rFonts w:ascii="Microsoft JhengHei" w:hAnsi="Microsoft JhengHei" w:cs="Microsoft JhengHei" w:eastAsia="Microsoft JhengHei" w:hint="default"/>
          <w:b/>
          <w:bCs/>
          <w:w w:val="105"/>
          <w:sz w:val="21"/>
          <w:szCs w:val="21"/>
        </w:rPr>
        <w:t>精准扶贫规划</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5"/>
          <w:sz w:val="21"/>
          <w:szCs w:val="21"/>
        </w:rPr>
        <w:t>编制《中国联通定点扶贫与对口援藏“十三五”规划》，在产业扶贫、易地搬迁扶贫、医疗扶贫、</w:t>
      </w:r>
    </w:p>
    <w:p>
      <w:pPr>
        <w:spacing w:line="232" w:lineRule="exact" w:before="0"/>
        <w:ind w:left="218" w:right="120" w:firstLine="0"/>
        <w:jc w:val="left"/>
        <w:rPr>
          <w:rFonts w:ascii="宋体" w:hAnsi="宋体" w:cs="宋体" w:eastAsia="宋体" w:hint="default"/>
          <w:sz w:val="21"/>
          <w:szCs w:val="21"/>
        </w:rPr>
      </w:pPr>
      <w:r>
        <w:rPr>
          <w:rFonts w:ascii="宋体" w:hAnsi="宋体" w:cs="宋体" w:eastAsia="宋体" w:hint="default"/>
          <w:spacing w:val="-5"/>
          <w:sz w:val="21"/>
          <w:szCs w:val="21"/>
        </w:rPr>
        <w:t>教育扶贫等方面，确定帮扶项目，拨付扶贫资金，助力集团公司定点扶贫与对口援藏贫困县实现脱贫。</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tabs>
          <w:tab w:pos="638" w:val="left" w:leader="none"/>
        </w:tabs>
        <w:spacing w:before="0"/>
        <w:ind w:left="218" w:right="12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0"/>
          <w:sz w:val="21"/>
          <w:szCs w:val="21"/>
        </w:rPr>
        <w:t>2.</w:t>
        <w:tab/>
      </w:r>
      <w:r>
        <w:rPr>
          <w:rFonts w:ascii="Microsoft JhengHei" w:hAnsi="Microsoft JhengHei" w:cs="Microsoft JhengHei" w:eastAsia="Microsoft JhengHei" w:hint="default"/>
          <w:b/>
          <w:bCs/>
          <w:w w:val="110"/>
          <w:sz w:val="21"/>
          <w:szCs w:val="21"/>
        </w:rPr>
        <w:t>年度精准扶贫概要</w:t>
      </w:r>
      <w:r>
        <w:rPr>
          <w:rFonts w:ascii="Microsoft JhengHei" w:hAnsi="Microsoft JhengHei" w:cs="Microsoft JhengHei" w:eastAsia="Microsoft JhengHei" w:hint="default"/>
          <w:w w:val="110"/>
          <w:sz w:val="21"/>
          <w:szCs w:val="21"/>
        </w:rPr>
      </w:r>
    </w:p>
    <w:p>
      <w:pPr>
        <w:spacing w:line="240" w:lineRule="auto" w:before="16"/>
        <w:rPr>
          <w:rFonts w:ascii="Microsoft JhengHei" w:hAnsi="Microsoft JhengHei" w:cs="Microsoft JhengHei" w:eastAsia="Microsoft JhengHei" w:hint="default"/>
          <w:b/>
          <w:bCs/>
          <w:sz w:val="12"/>
          <w:szCs w:val="12"/>
        </w:rPr>
      </w:pPr>
    </w:p>
    <w:p>
      <w:pPr>
        <w:spacing w:before="0"/>
        <w:ind w:left="638" w:right="120" w:firstLine="0"/>
        <w:jc w:val="left"/>
        <w:rPr>
          <w:rFonts w:ascii="宋体" w:hAnsi="宋体" w:cs="宋体" w:eastAsia="宋体" w:hint="default"/>
          <w:sz w:val="21"/>
          <w:szCs w:val="21"/>
        </w:rPr>
      </w:pPr>
      <w:r>
        <w:rPr>
          <w:rFonts w:ascii="宋体" w:hAnsi="宋体" w:cs="宋体" w:eastAsia="宋体" w:hint="default"/>
          <w:sz w:val="21"/>
          <w:szCs w:val="21"/>
        </w:rPr>
        <w:t>印发《中国联通</w:t>
      </w:r>
      <w:r>
        <w:rPr>
          <w:rFonts w:ascii="宋体" w:hAnsi="宋体" w:cs="宋体" w:eastAsia="宋体" w:hint="default"/>
          <w:spacing w:val="-57"/>
          <w:sz w:val="21"/>
          <w:szCs w:val="21"/>
        </w:rPr>
        <w:t> </w:t>
      </w:r>
      <w:r>
        <w:rPr>
          <w:rFonts w:ascii="宋体" w:hAnsi="宋体" w:cs="宋体" w:eastAsia="宋体" w:hint="default"/>
          <w:sz w:val="21"/>
          <w:szCs w:val="21"/>
        </w:rPr>
        <w:t>2019</w:t>
      </w:r>
      <w:r>
        <w:rPr>
          <w:rFonts w:ascii="宋体" w:hAnsi="宋体" w:cs="宋体" w:eastAsia="宋体" w:hint="default"/>
          <w:spacing w:val="-56"/>
          <w:sz w:val="21"/>
          <w:szCs w:val="21"/>
        </w:rPr>
        <w:t> </w:t>
      </w:r>
      <w:r>
        <w:rPr>
          <w:rFonts w:ascii="宋体" w:hAnsi="宋体" w:cs="宋体" w:eastAsia="宋体" w:hint="default"/>
          <w:sz w:val="21"/>
          <w:szCs w:val="21"/>
        </w:rPr>
        <w:t>年扶贫工作要点》，明确年度工作目标和重点内容。与各省级分公司签订</w:t>
      </w:r>
    </w:p>
    <w:p>
      <w:pPr>
        <w:spacing w:line="314" w:lineRule="auto" w:before="85"/>
        <w:ind w:left="218" w:right="303" w:firstLine="0"/>
        <w:jc w:val="left"/>
        <w:rPr>
          <w:rFonts w:ascii="宋体" w:hAnsi="宋体" w:cs="宋体" w:eastAsia="宋体" w:hint="default"/>
          <w:sz w:val="21"/>
          <w:szCs w:val="21"/>
        </w:rPr>
      </w:pPr>
      <w:r>
        <w:rPr>
          <w:rFonts w:ascii="宋体" w:hAnsi="宋体" w:cs="宋体" w:eastAsia="宋体" w:hint="default"/>
          <w:sz w:val="21"/>
          <w:szCs w:val="21"/>
        </w:rPr>
        <w:t>《中国联通脱贫攻坚责任书》，制定《中国联通</w:t>
      </w:r>
      <w:r>
        <w:rPr>
          <w:rFonts w:ascii="宋体" w:hAnsi="宋体" w:cs="宋体" w:eastAsia="宋体" w:hint="default"/>
          <w:spacing w:val="-58"/>
          <w:sz w:val="21"/>
          <w:szCs w:val="21"/>
        </w:rPr>
        <w:t> </w:t>
      </w:r>
      <w:r>
        <w:rPr>
          <w:rFonts w:ascii="宋体" w:hAnsi="宋体" w:cs="宋体" w:eastAsia="宋体" w:hint="default"/>
          <w:sz w:val="21"/>
          <w:szCs w:val="21"/>
        </w:rPr>
        <w:t>2019</w:t>
      </w:r>
      <w:r>
        <w:rPr>
          <w:rFonts w:ascii="宋体" w:hAnsi="宋体" w:cs="宋体" w:eastAsia="宋体" w:hint="default"/>
          <w:spacing w:val="-57"/>
          <w:sz w:val="21"/>
          <w:szCs w:val="21"/>
        </w:rPr>
        <w:t> </w:t>
      </w:r>
      <w:r>
        <w:rPr>
          <w:rFonts w:ascii="宋体" w:hAnsi="宋体" w:cs="宋体" w:eastAsia="宋体" w:hint="default"/>
          <w:sz w:val="21"/>
          <w:szCs w:val="21"/>
        </w:rPr>
        <w:t>年度扶贫考核实施方案》，压实省公司扶贫主</w:t>
      </w:r>
      <w:r>
        <w:rPr>
          <w:rFonts w:ascii="宋体" w:hAnsi="宋体" w:cs="宋体" w:eastAsia="宋体" w:hint="default"/>
          <w:w w:val="100"/>
          <w:sz w:val="21"/>
          <w:szCs w:val="21"/>
        </w:rPr>
        <w:t> </w:t>
      </w:r>
      <w:r>
        <w:rPr>
          <w:rFonts w:ascii="宋体" w:hAnsi="宋体" w:cs="宋体" w:eastAsia="宋体" w:hint="default"/>
          <w:sz w:val="21"/>
          <w:szCs w:val="21"/>
        </w:rPr>
        <w:t>体责任，确保各项工作持续有效推进，取得良好帮扶效果。</w:t>
      </w:r>
    </w:p>
    <w:p>
      <w:pPr>
        <w:spacing w:line="240" w:lineRule="auto" w:before="13"/>
        <w:rPr>
          <w:rFonts w:ascii="宋体" w:hAnsi="宋体" w:cs="宋体" w:eastAsia="宋体" w:hint="default"/>
          <w:sz w:val="22"/>
          <w:szCs w:val="22"/>
        </w:rPr>
      </w:pPr>
    </w:p>
    <w:p>
      <w:pPr>
        <w:tabs>
          <w:tab w:pos="638" w:val="left" w:leader="none"/>
        </w:tabs>
        <w:spacing w:line="335" w:lineRule="exact" w:before="0"/>
        <w:ind w:left="218" w:right="12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0"/>
          <w:sz w:val="21"/>
          <w:szCs w:val="21"/>
        </w:rPr>
        <w:t>3.</w:t>
        <w:tab/>
      </w:r>
      <w:r>
        <w:rPr>
          <w:rFonts w:ascii="Microsoft JhengHei" w:hAnsi="Microsoft JhengHei" w:cs="Microsoft JhengHei" w:eastAsia="Microsoft JhengHei" w:hint="default"/>
          <w:b/>
          <w:bCs/>
          <w:w w:val="110"/>
          <w:sz w:val="21"/>
          <w:szCs w:val="21"/>
        </w:rPr>
        <w:t>精准扶贫成效</w:t>
      </w:r>
      <w:r>
        <w:rPr>
          <w:rFonts w:ascii="Microsoft JhengHei" w:hAnsi="Microsoft JhengHei" w:cs="Microsoft JhengHei" w:eastAsia="Microsoft JhengHei" w:hint="default"/>
          <w:w w:val="110"/>
          <w:sz w:val="21"/>
          <w:szCs w:val="21"/>
        </w:rPr>
      </w:r>
    </w:p>
    <w:p>
      <w:pPr>
        <w:tabs>
          <w:tab w:pos="1262" w:val="left" w:leader="none"/>
        </w:tabs>
        <w:spacing w:before="73"/>
        <w:ind w:left="0" w:right="230" w:firstLine="0"/>
        <w:jc w:val="right"/>
        <w:rPr>
          <w:rFonts w:ascii="宋体" w:hAnsi="宋体" w:cs="宋体" w:eastAsia="宋体" w:hint="default"/>
          <w:sz w:val="21"/>
          <w:szCs w:val="21"/>
        </w:rPr>
      </w:pPr>
      <w:r>
        <w:rPr>
          <w:rFonts w:ascii="宋体" w:hAnsi="宋体" w:cs="宋体" w:eastAsia="宋体" w:hint="default"/>
          <w:spacing w:val="-1"/>
          <w:sz w:val="21"/>
          <w:szCs w:val="21"/>
        </w:rPr>
        <w:t>单位：万元</w:t>
        <w:tab/>
      </w:r>
      <w:r>
        <w:rPr>
          <w:rFonts w:ascii="宋体" w:hAnsi="宋体" w:cs="宋体" w:eastAsia="宋体" w:hint="default"/>
          <w:spacing w:val="-2"/>
          <w:sz w:val="21"/>
          <w:szCs w:val="21"/>
        </w:rPr>
        <w:t>币种：人民币</w:t>
      </w:r>
    </w:p>
    <w:p>
      <w:pPr>
        <w:spacing w:line="240" w:lineRule="auto" w:before="12"/>
        <w:rPr>
          <w:rFonts w:ascii="宋体" w:hAnsi="宋体" w:cs="宋体" w:eastAsia="宋体" w:hint="default"/>
          <w:sz w:val="3"/>
          <w:szCs w:val="3"/>
        </w:rPr>
      </w:pPr>
    </w:p>
    <w:tbl>
      <w:tblPr>
        <w:tblW w:w="0" w:type="auto"/>
        <w:jc w:val="left"/>
        <w:tblInd w:w="106" w:type="dxa"/>
        <w:tblLayout w:type="fixed"/>
        <w:tblCellMar>
          <w:top w:w="0" w:type="dxa"/>
          <w:left w:w="0" w:type="dxa"/>
          <w:bottom w:w="0" w:type="dxa"/>
          <w:right w:w="0" w:type="dxa"/>
        </w:tblCellMar>
        <w:tblLook w:val="01E0"/>
      </w:tblPr>
      <w:tblGrid>
        <w:gridCol w:w="5600"/>
        <w:gridCol w:w="3831"/>
      </w:tblGrid>
      <w:tr>
        <w:trPr>
          <w:trHeight w:val="323" w:hRule="exact"/>
        </w:trPr>
        <w:tc>
          <w:tcPr>
            <w:tcW w:w="56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631" w:val="left" w:leader="none"/>
              </w:tabs>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指</w:t>
              <w:tab/>
              <w:t>标</w:t>
            </w:r>
          </w:p>
        </w:tc>
        <w:tc>
          <w:tcPr>
            <w:tcW w:w="38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left="1173" w:right="0"/>
              <w:jc w:val="left"/>
              <w:rPr>
                <w:rFonts w:ascii="宋体" w:hAnsi="宋体" w:cs="宋体" w:eastAsia="宋体" w:hint="default"/>
                <w:sz w:val="21"/>
                <w:szCs w:val="21"/>
              </w:rPr>
            </w:pPr>
            <w:r>
              <w:rPr>
                <w:rFonts w:ascii="宋体" w:hAnsi="宋体" w:cs="宋体" w:eastAsia="宋体" w:hint="default"/>
                <w:sz w:val="21"/>
                <w:szCs w:val="21"/>
              </w:rPr>
              <w:t>数量及开展情况</w:t>
            </w:r>
          </w:p>
        </w:tc>
      </w:tr>
      <w:tr>
        <w:trPr>
          <w:trHeight w:val="322" w:hRule="exact"/>
        </w:trPr>
        <w:tc>
          <w:tcPr>
            <w:tcW w:w="94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一、总体情况</w:t>
            </w:r>
          </w:p>
        </w:tc>
      </w:tr>
      <w:tr>
        <w:trPr>
          <w:trHeight w:val="322"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1.</w:t>
            </w:r>
            <w:r>
              <w:rPr>
                <w:rFonts w:ascii="宋体" w:hAnsi="宋体" w:cs="宋体" w:eastAsia="宋体" w:hint="default"/>
                <w:sz w:val="21"/>
                <w:szCs w:val="21"/>
              </w:rPr>
              <w:t>资金</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23,017.2</w:t>
            </w:r>
          </w:p>
        </w:tc>
      </w:tr>
      <w:tr>
        <w:trPr>
          <w:trHeight w:val="322"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734"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物资折款</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401.94</w:t>
            </w:r>
          </w:p>
        </w:tc>
      </w:tr>
      <w:tr>
        <w:trPr>
          <w:trHeight w:val="322"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734"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帮助建档立卡贫困人口脱贫数（人）</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43,304</w:t>
            </w:r>
          </w:p>
        </w:tc>
      </w:tr>
      <w:tr>
        <w:trPr>
          <w:trHeight w:val="322" w:hRule="exact"/>
        </w:trPr>
        <w:tc>
          <w:tcPr>
            <w:tcW w:w="94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二、分项投入</w:t>
            </w:r>
          </w:p>
        </w:tc>
      </w:tr>
      <w:tr>
        <w:trPr>
          <w:trHeight w:val="324" w:hRule="exact"/>
        </w:trPr>
        <w:tc>
          <w:tcPr>
            <w:tcW w:w="94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417"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产业发展脱贫</w:t>
            </w:r>
          </w:p>
        </w:tc>
      </w:tr>
    </w:tbl>
    <w:p>
      <w:pPr>
        <w:spacing w:after="0" w:line="265" w:lineRule="exact"/>
        <w:jc w:val="left"/>
        <w:rPr>
          <w:rFonts w:ascii="宋体" w:hAnsi="宋体" w:cs="宋体" w:eastAsia="宋体" w:hint="default"/>
          <w:sz w:val="21"/>
          <w:szCs w:val="21"/>
        </w:rPr>
        <w:sectPr>
          <w:footerReference w:type="default" r:id="rId45"/>
          <w:pgSz w:w="11910" w:h="16840"/>
          <w:pgMar w:footer="502" w:header="854" w:top="1360" w:bottom="700" w:left="1200" w:right="1040"/>
        </w:sectPr>
      </w:pPr>
    </w:p>
    <w:p>
      <w:pPr>
        <w:spacing w:line="240" w:lineRule="auto" w:before="6"/>
        <w:rPr>
          <w:rFonts w:ascii="宋体" w:hAnsi="宋体" w:cs="宋体" w:eastAsia="宋体" w:hint="default"/>
          <w:sz w:val="12"/>
          <w:szCs w:val="12"/>
        </w:rPr>
      </w:pPr>
    </w:p>
    <w:tbl>
      <w:tblPr>
        <w:tblW w:w="0" w:type="auto"/>
        <w:jc w:val="left"/>
        <w:tblInd w:w="106" w:type="dxa"/>
        <w:tblLayout w:type="fixed"/>
        <w:tblCellMar>
          <w:top w:w="0" w:type="dxa"/>
          <w:left w:w="0" w:type="dxa"/>
          <w:bottom w:w="0" w:type="dxa"/>
          <w:right w:w="0" w:type="dxa"/>
        </w:tblCellMar>
        <w:tblLook w:val="01E0"/>
      </w:tblPr>
      <w:tblGrid>
        <w:gridCol w:w="5600"/>
        <w:gridCol w:w="3831"/>
      </w:tblGrid>
      <w:tr>
        <w:trPr>
          <w:trHeight w:val="1884"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1.1</w:t>
            </w:r>
            <w:r>
              <w:rPr>
                <w:rFonts w:ascii="宋体" w:hAnsi="宋体" w:cs="宋体" w:eastAsia="宋体" w:hint="default"/>
                <w:spacing w:val="-52"/>
                <w:sz w:val="21"/>
                <w:szCs w:val="21"/>
              </w:rPr>
              <w:t> </w:t>
            </w:r>
            <w:r>
              <w:rPr>
                <w:rFonts w:ascii="宋体" w:hAnsi="宋体" w:cs="宋体" w:eastAsia="宋体" w:hint="default"/>
                <w:sz w:val="21"/>
                <w:szCs w:val="21"/>
              </w:rPr>
              <w:t>产业扶贫项目类型</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农林产业扶贫</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 旅游扶贫</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 电商扶贫</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资产收益扶贫</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 科技扶贫</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3"/>
                <w:sz w:val="21"/>
                <w:szCs w:val="21"/>
              </w:rPr>
              <w:t> </w:t>
            </w:r>
            <w:r>
              <w:rPr>
                <w:rFonts w:ascii="宋体" w:hAnsi="宋体" w:cs="宋体" w:eastAsia="宋体" w:hint="default"/>
                <w:spacing w:val="-3"/>
                <w:sz w:val="21"/>
                <w:szCs w:val="21"/>
              </w:rPr>
              <w:t>其他</w:t>
            </w:r>
            <w:r>
              <w:rPr>
                <w:rFonts w:ascii="宋体" w:hAnsi="宋体" w:cs="宋体" w:eastAsia="宋体" w:hint="default"/>
                <w:sz w:val="21"/>
                <w:szCs w:val="21"/>
              </w:rPr>
            </w:r>
          </w:p>
        </w:tc>
      </w:tr>
      <w:tr>
        <w:trPr>
          <w:trHeight w:val="322"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734"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产业扶贫项目个数（个）</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322</w:t>
            </w:r>
          </w:p>
        </w:tc>
      </w:tr>
      <w:tr>
        <w:trPr>
          <w:trHeight w:val="322"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734" w:right="0"/>
              <w:jc w:val="left"/>
              <w:rPr>
                <w:rFonts w:ascii="宋体" w:hAnsi="宋体" w:cs="宋体" w:eastAsia="宋体" w:hint="default"/>
                <w:sz w:val="21"/>
                <w:szCs w:val="21"/>
              </w:rPr>
            </w:pPr>
            <w:r>
              <w:rPr>
                <w:rFonts w:ascii="宋体" w:hAnsi="宋体" w:cs="宋体" w:eastAsia="宋体" w:hint="default"/>
                <w:sz w:val="21"/>
                <w:szCs w:val="21"/>
              </w:rPr>
              <w:t>1.3</w:t>
            </w:r>
            <w:r>
              <w:rPr>
                <w:rFonts w:ascii="宋体" w:hAnsi="宋体" w:cs="宋体" w:eastAsia="宋体" w:hint="default"/>
                <w:spacing w:val="-55"/>
                <w:sz w:val="21"/>
                <w:szCs w:val="21"/>
              </w:rPr>
              <w:t> </w:t>
            </w:r>
            <w:r>
              <w:rPr>
                <w:rFonts w:ascii="宋体" w:hAnsi="宋体" w:cs="宋体" w:eastAsia="宋体" w:hint="default"/>
                <w:sz w:val="21"/>
                <w:szCs w:val="21"/>
              </w:rPr>
              <w:t>产业扶贫项目投入金额</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14,069.58</w:t>
            </w:r>
          </w:p>
        </w:tc>
      </w:tr>
      <w:tr>
        <w:trPr>
          <w:trHeight w:val="322"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734" w:right="0"/>
              <w:jc w:val="left"/>
              <w:rPr>
                <w:rFonts w:ascii="宋体" w:hAnsi="宋体" w:cs="宋体" w:eastAsia="宋体" w:hint="default"/>
                <w:sz w:val="21"/>
                <w:szCs w:val="21"/>
              </w:rPr>
            </w:pPr>
            <w:r>
              <w:rPr>
                <w:rFonts w:ascii="宋体" w:hAnsi="宋体" w:cs="宋体" w:eastAsia="宋体" w:hint="default"/>
                <w:sz w:val="21"/>
                <w:szCs w:val="21"/>
              </w:rPr>
              <w:t>1.4</w:t>
            </w:r>
            <w:r>
              <w:rPr>
                <w:rFonts w:ascii="宋体" w:hAnsi="宋体" w:cs="宋体" w:eastAsia="宋体" w:hint="default"/>
                <w:spacing w:val="-53"/>
                <w:sz w:val="21"/>
                <w:szCs w:val="21"/>
              </w:rPr>
              <w:t> </w:t>
            </w:r>
            <w:r>
              <w:rPr>
                <w:rFonts w:ascii="宋体" w:hAnsi="宋体" w:cs="宋体" w:eastAsia="宋体" w:hint="default"/>
                <w:sz w:val="21"/>
                <w:szCs w:val="21"/>
              </w:rPr>
              <w:t>帮助建档立卡贫困人口脱贫数（人）</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8,973</w:t>
            </w:r>
          </w:p>
        </w:tc>
      </w:tr>
      <w:tr>
        <w:trPr>
          <w:trHeight w:val="322" w:hRule="exact"/>
        </w:trPr>
        <w:tc>
          <w:tcPr>
            <w:tcW w:w="94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417"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转移就业脱贫</w:t>
            </w:r>
          </w:p>
        </w:tc>
      </w:tr>
      <w:tr>
        <w:trPr>
          <w:trHeight w:val="322"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2.1</w:t>
            </w:r>
            <w:r>
              <w:rPr>
                <w:rFonts w:ascii="宋体" w:hAnsi="宋体" w:cs="宋体" w:eastAsia="宋体" w:hint="default"/>
                <w:spacing w:val="-53"/>
                <w:sz w:val="21"/>
                <w:szCs w:val="21"/>
              </w:rPr>
              <w:t> </w:t>
            </w:r>
            <w:r>
              <w:rPr>
                <w:rFonts w:ascii="宋体" w:hAnsi="宋体" w:cs="宋体" w:eastAsia="宋体" w:hint="default"/>
                <w:sz w:val="21"/>
                <w:szCs w:val="21"/>
              </w:rPr>
              <w:t>职业技能培训投入金额</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98"/>
              <w:jc w:val="right"/>
              <w:rPr>
                <w:rFonts w:ascii="宋体" w:hAnsi="宋体" w:cs="宋体" w:eastAsia="宋体" w:hint="default"/>
                <w:sz w:val="21"/>
                <w:szCs w:val="21"/>
              </w:rPr>
            </w:pPr>
            <w:r>
              <w:rPr>
                <w:rFonts w:ascii="宋体"/>
                <w:sz w:val="21"/>
              </w:rPr>
              <w:t>218.55</w:t>
            </w:r>
          </w:p>
        </w:tc>
      </w:tr>
      <w:tr>
        <w:trPr>
          <w:trHeight w:val="324"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734" w:right="0"/>
              <w:jc w:val="left"/>
              <w:rPr>
                <w:rFonts w:ascii="宋体" w:hAnsi="宋体" w:cs="宋体" w:eastAsia="宋体" w:hint="default"/>
                <w:sz w:val="21"/>
                <w:szCs w:val="21"/>
              </w:rPr>
            </w:pPr>
            <w:r>
              <w:rPr>
                <w:rFonts w:ascii="宋体" w:hAnsi="宋体" w:cs="宋体" w:eastAsia="宋体" w:hint="default"/>
                <w:sz w:val="21"/>
                <w:szCs w:val="21"/>
              </w:rPr>
              <w:t>2.2</w:t>
            </w:r>
            <w:r>
              <w:rPr>
                <w:rFonts w:ascii="宋体" w:hAnsi="宋体" w:cs="宋体" w:eastAsia="宋体" w:hint="default"/>
                <w:spacing w:val="-58"/>
                <w:sz w:val="21"/>
                <w:szCs w:val="21"/>
              </w:rPr>
              <w:t> </w:t>
            </w:r>
            <w:r>
              <w:rPr>
                <w:rFonts w:ascii="宋体" w:hAnsi="宋体" w:cs="宋体" w:eastAsia="宋体" w:hint="default"/>
                <w:sz w:val="21"/>
                <w:szCs w:val="21"/>
              </w:rPr>
              <w:t>职业技能培训人数（人</w:t>
            </w:r>
            <w:r>
              <w:rPr>
                <w:rFonts w:ascii="宋体" w:hAnsi="宋体" w:cs="宋体" w:eastAsia="宋体" w:hint="default"/>
                <w:sz w:val="21"/>
                <w:szCs w:val="21"/>
              </w:rPr>
              <w:t>/</w:t>
            </w:r>
            <w:r>
              <w:rPr>
                <w:rFonts w:ascii="宋体" w:hAnsi="宋体" w:cs="宋体" w:eastAsia="宋体" w:hint="default"/>
                <w:sz w:val="21"/>
                <w:szCs w:val="21"/>
              </w:rPr>
              <w:t>次）</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rFonts w:ascii="宋体" w:hAnsi="宋体" w:cs="宋体" w:eastAsia="宋体" w:hint="default"/>
                <w:sz w:val="21"/>
                <w:szCs w:val="21"/>
              </w:rPr>
            </w:pPr>
            <w:r>
              <w:rPr>
                <w:rFonts w:ascii="宋体"/>
                <w:sz w:val="21"/>
              </w:rPr>
              <w:t>6,340</w:t>
            </w:r>
          </w:p>
        </w:tc>
      </w:tr>
      <w:tr>
        <w:trPr>
          <w:trHeight w:val="322"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734" w:right="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4"/>
                <w:sz w:val="21"/>
                <w:szCs w:val="21"/>
              </w:rPr>
              <w:t> </w:t>
            </w:r>
            <w:r>
              <w:rPr>
                <w:rFonts w:ascii="宋体" w:hAnsi="宋体" w:cs="宋体" w:eastAsia="宋体" w:hint="default"/>
                <w:sz w:val="21"/>
                <w:szCs w:val="21"/>
              </w:rPr>
              <w:t>帮助建档立卡贫困户实现就业人数（人）</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290</w:t>
            </w:r>
          </w:p>
        </w:tc>
      </w:tr>
      <w:tr>
        <w:trPr>
          <w:trHeight w:val="322" w:hRule="exact"/>
        </w:trPr>
        <w:tc>
          <w:tcPr>
            <w:tcW w:w="94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417"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易地搬迁脱贫</w:t>
            </w:r>
          </w:p>
        </w:tc>
      </w:tr>
      <w:tr>
        <w:trPr>
          <w:trHeight w:val="322"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3.1</w:t>
            </w:r>
            <w:r>
              <w:rPr>
                <w:rFonts w:ascii="宋体" w:hAnsi="宋体" w:cs="宋体" w:eastAsia="宋体" w:hint="default"/>
                <w:spacing w:val="-54"/>
                <w:sz w:val="21"/>
                <w:szCs w:val="21"/>
              </w:rPr>
              <w:t> </w:t>
            </w:r>
            <w:r>
              <w:rPr>
                <w:rFonts w:ascii="宋体" w:hAnsi="宋体" w:cs="宋体" w:eastAsia="宋体" w:hint="default"/>
                <w:sz w:val="21"/>
                <w:szCs w:val="21"/>
              </w:rPr>
              <w:t>帮助搬迁户就业人数（人）</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2,603</w:t>
            </w:r>
          </w:p>
        </w:tc>
      </w:tr>
      <w:tr>
        <w:trPr>
          <w:trHeight w:val="322" w:hRule="exact"/>
        </w:trPr>
        <w:tc>
          <w:tcPr>
            <w:tcW w:w="94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417"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教育脱贫</w:t>
            </w:r>
          </w:p>
        </w:tc>
      </w:tr>
      <w:tr>
        <w:trPr>
          <w:trHeight w:val="322"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4.1</w:t>
            </w:r>
            <w:r>
              <w:rPr>
                <w:rFonts w:ascii="宋体" w:hAnsi="宋体" w:cs="宋体" w:eastAsia="宋体" w:hint="default"/>
                <w:spacing w:val="-53"/>
                <w:sz w:val="21"/>
                <w:szCs w:val="21"/>
              </w:rPr>
              <w:t> </w:t>
            </w:r>
            <w:r>
              <w:rPr>
                <w:rFonts w:ascii="宋体" w:hAnsi="宋体" w:cs="宋体" w:eastAsia="宋体" w:hint="default"/>
                <w:sz w:val="21"/>
                <w:szCs w:val="21"/>
              </w:rPr>
              <w:t>资助贫困学生投入金额</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88.21</w:t>
            </w:r>
          </w:p>
        </w:tc>
      </w:tr>
      <w:tr>
        <w:trPr>
          <w:trHeight w:val="324"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734" w:right="0"/>
              <w:jc w:val="left"/>
              <w:rPr>
                <w:rFonts w:ascii="宋体" w:hAnsi="宋体" w:cs="宋体" w:eastAsia="宋体" w:hint="default"/>
                <w:sz w:val="21"/>
                <w:szCs w:val="21"/>
              </w:rPr>
            </w:pPr>
            <w:r>
              <w:rPr>
                <w:rFonts w:ascii="宋体" w:hAnsi="宋体" w:cs="宋体" w:eastAsia="宋体" w:hint="default"/>
                <w:sz w:val="21"/>
                <w:szCs w:val="21"/>
              </w:rPr>
              <w:t>4.2</w:t>
            </w:r>
            <w:r>
              <w:rPr>
                <w:rFonts w:ascii="宋体" w:hAnsi="宋体" w:cs="宋体" w:eastAsia="宋体" w:hint="default"/>
                <w:spacing w:val="-53"/>
                <w:sz w:val="21"/>
                <w:szCs w:val="21"/>
              </w:rPr>
              <w:t> </w:t>
            </w:r>
            <w:r>
              <w:rPr>
                <w:rFonts w:ascii="宋体" w:hAnsi="宋体" w:cs="宋体" w:eastAsia="宋体" w:hint="default"/>
                <w:sz w:val="21"/>
                <w:szCs w:val="21"/>
              </w:rPr>
              <w:t>资助贫困学生人数（人）</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rFonts w:ascii="宋体" w:hAnsi="宋体" w:cs="宋体" w:eastAsia="宋体" w:hint="default"/>
                <w:sz w:val="21"/>
                <w:szCs w:val="21"/>
              </w:rPr>
            </w:pPr>
            <w:r>
              <w:rPr>
                <w:rFonts w:ascii="宋体"/>
                <w:sz w:val="21"/>
              </w:rPr>
              <w:t>1,338</w:t>
            </w:r>
          </w:p>
        </w:tc>
      </w:tr>
      <w:tr>
        <w:trPr>
          <w:trHeight w:val="322"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734" w:right="0"/>
              <w:jc w:val="left"/>
              <w:rPr>
                <w:rFonts w:ascii="宋体" w:hAnsi="宋体" w:cs="宋体" w:eastAsia="宋体" w:hint="default"/>
                <w:sz w:val="21"/>
                <w:szCs w:val="21"/>
              </w:rPr>
            </w:pPr>
            <w:r>
              <w:rPr>
                <w:rFonts w:ascii="宋体" w:hAnsi="宋体" w:cs="宋体" w:eastAsia="宋体" w:hint="default"/>
                <w:sz w:val="21"/>
                <w:szCs w:val="21"/>
              </w:rPr>
              <w:t>4.3</w:t>
            </w:r>
            <w:r>
              <w:rPr>
                <w:rFonts w:ascii="宋体" w:hAnsi="宋体" w:cs="宋体" w:eastAsia="宋体" w:hint="default"/>
                <w:spacing w:val="-53"/>
                <w:sz w:val="21"/>
                <w:szCs w:val="21"/>
              </w:rPr>
              <w:t> </w:t>
            </w:r>
            <w:r>
              <w:rPr>
                <w:rFonts w:ascii="宋体" w:hAnsi="宋体" w:cs="宋体" w:eastAsia="宋体" w:hint="default"/>
                <w:sz w:val="21"/>
                <w:szCs w:val="21"/>
              </w:rPr>
              <w:t>改善贫困地区教育资源投入金额</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441.91</w:t>
            </w:r>
          </w:p>
        </w:tc>
      </w:tr>
      <w:tr>
        <w:trPr>
          <w:trHeight w:val="322" w:hRule="exact"/>
        </w:trPr>
        <w:tc>
          <w:tcPr>
            <w:tcW w:w="94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417"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z w:val="21"/>
                <w:szCs w:val="21"/>
              </w:rPr>
              <w:t>健康扶贫</w:t>
            </w:r>
          </w:p>
        </w:tc>
      </w:tr>
      <w:tr>
        <w:trPr>
          <w:trHeight w:val="322"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5.1</w:t>
            </w:r>
            <w:r>
              <w:rPr>
                <w:rFonts w:ascii="宋体" w:hAnsi="宋体" w:cs="宋体" w:eastAsia="宋体" w:hint="default"/>
                <w:spacing w:val="-54"/>
                <w:sz w:val="21"/>
                <w:szCs w:val="21"/>
              </w:rPr>
              <w:t> </w:t>
            </w:r>
            <w:r>
              <w:rPr>
                <w:rFonts w:ascii="宋体" w:hAnsi="宋体" w:cs="宋体" w:eastAsia="宋体" w:hint="default"/>
                <w:sz w:val="21"/>
                <w:szCs w:val="21"/>
              </w:rPr>
              <w:t>贫困地区医疗卫生资源投入金额</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98"/>
              <w:jc w:val="right"/>
              <w:rPr>
                <w:rFonts w:ascii="宋体" w:hAnsi="宋体" w:cs="宋体" w:eastAsia="宋体" w:hint="default"/>
                <w:sz w:val="21"/>
                <w:szCs w:val="21"/>
              </w:rPr>
            </w:pPr>
            <w:r>
              <w:rPr>
                <w:rFonts w:ascii="宋体"/>
                <w:sz w:val="21"/>
              </w:rPr>
              <w:t>892.52</w:t>
            </w:r>
          </w:p>
        </w:tc>
      </w:tr>
      <w:tr>
        <w:trPr>
          <w:trHeight w:val="322" w:hRule="exact"/>
        </w:trPr>
        <w:tc>
          <w:tcPr>
            <w:tcW w:w="94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417" w:right="0"/>
              <w:jc w:val="left"/>
              <w:rPr>
                <w:rFonts w:ascii="宋体" w:hAnsi="宋体" w:cs="宋体" w:eastAsia="宋体" w:hint="default"/>
                <w:sz w:val="21"/>
                <w:szCs w:val="21"/>
              </w:rPr>
            </w:pPr>
            <w:r>
              <w:rPr>
                <w:rFonts w:ascii="宋体" w:hAnsi="宋体" w:cs="宋体" w:eastAsia="宋体" w:hint="default"/>
                <w:sz w:val="21"/>
                <w:szCs w:val="21"/>
              </w:rPr>
              <w:t>6.</w:t>
            </w:r>
            <w:r>
              <w:rPr>
                <w:rFonts w:ascii="宋体" w:hAnsi="宋体" w:cs="宋体" w:eastAsia="宋体" w:hint="default"/>
                <w:sz w:val="21"/>
                <w:szCs w:val="21"/>
              </w:rPr>
              <w:t>生态保护扶贫</w:t>
            </w:r>
          </w:p>
        </w:tc>
      </w:tr>
      <w:tr>
        <w:trPr>
          <w:trHeight w:val="1258"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6.1</w:t>
            </w:r>
            <w:r>
              <w:rPr>
                <w:rFonts w:ascii="宋体" w:hAnsi="宋体" w:cs="宋体" w:eastAsia="宋体" w:hint="default"/>
                <w:spacing w:val="-51"/>
                <w:sz w:val="21"/>
                <w:szCs w:val="21"/>
              </w:rPr>
              <w:t> </w:t>
            </w:r>
            <w:r>
              <w:rPr>
                <w:rFonts w:ascii="宋体" w:hAnsi="宋体" w:cs="宋体" w:eastAsia="宋体" w:hint="default"/>
                <w:sz w:val="21"/>
                <w:szCs w:val="21"/>
              </w:rPr>
              <w:t>项目名称</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 开展生态保护与建设</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建立生态保护补偿方式</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设立生态公益岗位</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3"/>
                <w:sz w:val="21"/>
                <w:szCs w:val="21"/>
              </w:rPr>
              <w:t> </w:t>
            </w:r>
            <w:r>
              <w:rPr>
                <w:rFonts w:ascii="宋体" w:hAnsi="宋体" w:cs="宋体" w:eastAsia="宋体" w:hint="default"/>
                <w:spacing w:val="-3"/>
                <w:sz w:val="21"/>
                <w:szCs w:val="21"/>
              </w:rPr>
              <w:t>其他</w:t>
            </w:r>
            <w:r>
              <w:rPr>
                <w:rFonts w:ascii="宋体" w:hAnsi="宋体" w:cs="宋体" w:eastAsia="宋体" w:hint="default"/>
                <w:sz w:val="21"/>
                <w:szCs w:val="21"/>
              </w:rPr>
            </w:r>
          </w:p>
        </w:tc>
      </w:tr>
      <w:tr>
        <w:trPr>
          <w:trHeight w:val="324"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734" w:right="0"/>
              <w:jc w:val="left"/>
              <w:rPr>
                <w:rFonts w:ascii="宋体" w:hAnsi="宋体" w:cs="宋体" w:eastAsia="宋体" w:hint="default"/>
                <w:sz w:val="21"/>
                <w:szCs w:val="21"/>
              </w:rPr>
            </w:pPr>
            <w:r>
              <w:rPr>
                <w:rFonts w:ascii="宋体" w:hAnsi="宋体" w:cs="宋体" w:eastAsia="宋体" w:hint="default"/>
                <w:sz w:val="21"/>
                <w:szCs w:val="21"/>
              </w:rPr>
              <w:t>6.2</w:t>
            </w:r>
            <w:r>
              <w:rPr>
                <w:rFonts w:ascii="宋体" w:hAnsi="宋体" w:cs="宋体" w:eastAsia="宋体" w:hint="default"/>
                <w:spacing w:val="-53"/>
                <w:sz w:val="21"/>
                <w:szCs w:val="21"/>
              </w:rPr>
              <w:t> </w:t>
            </w:r>
            <w:r>
              <w:rPr>
                <w:rFonts w:ascii="宋体" w:hAnsi="宋体" w:cs="宋体" w:eastAsia="宋体" w:hint="default"/>
                <w:sz w:val="21"/>
                <w:szCs w:val="21"/>
              </w:rPr>
              <w:t>投入金额</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rFonts w:ascii="宋体" w:hAnsi="宋体" w:cs="宋体" w:eastAsia="宋体" w:hint="default"/>
                <w:sz w:val="21"/>
                <w:szCs w:val="21"/>
              </w:rPr>
            </w:pPr>
            <w:r>
              <w:rPr>
                <w:rFonts w:ascii="宋体"/>
                <w:sz w:val="21"/>
              </w:rPr>
              <w:t>158.96</w:t>
            </w:r>
          </w:p>
        </w:tc>
      </w:tr>
      <w:tr>
        <w:trPr>
          <w:trHeight w:val="322" w:hRule="exact"/>
        </w:trPr>
        <w:tc>
          <w:tcPr>
            <w:tcW w:w="94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417" w:right="0"/>
              <w:jc w:val="left"/>
              <w:rPr>
                <w:rFonts w:ascii="宋体" w:hAnsi="宋体" w:cs="宋体" w:eastAsia="宋体" w:hint="default"/>
                <w:sz w:val="21"/>
                <w:szCs w:val="21"/>
              </w:rPr>
            </w:pPr>
            <w:r>
              <w:rPr>
                <w:rFonts w:ascii="宋体" w:hAnsi="宋体" w:cs="宋体" w:eastAsia="宋体" w:hint="default"/>
                <w:sz w:val="21"/>
                <w:szCs w:val="21"/>
              </w:rPr>
              <w:t>7.</w:t>
            </w:r>
            <w:r>
              <w:rPr>
                <w:rFonts w:ascii="宋体" w:hAnsi="宋体" w:cs="宋体" w:eastAsia="宋体" w:hint="default"/>
                <w:sz w:val="21"/>
                <w:szCs w:val="21"/>
              </w:rPr>
              <w:t>兜底保障</w:t>
            </w:r>
          </w:p>
        </w:tc>
      </w:tr>
      <w:tr>
        <w:trPr>
          <w:trHeight w:val="322"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7.1</w:t>
            </w:r>
            <w:r>
              <w:rPr>
                <w:rFonts w:ascii="宋体" w:hAnsi="宋体" w:cs="宋体" w:eastAsia="宋体" w:hint="default"/>
                <w:spacing w:val="-52"/>
                <w:sz w:val="21"/>
                <w:szCs w:val="21"/>
              </w:rPr>
              <w:t> </w:t>
            </w:r>
            <w:r>
              <w:rPr>
                <w:rFonts w:ascii="宋体" w:hAnsi="宋体" w:cs="宋体" w:eastAsia="宋体" w:hint="default"/>
                <w:sz w:val="21"/>
                <w:szCs w:val="21"/>
              </w:rPr>
              <w:t>帮助“三留守”人员投入金额</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46.54</w:t>
            </w:r>
          </w:p>
        </w:tc>
      </w:tr>
      <w:tr>
        <w:trPr>
          <w:trHeight w:val="322"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734" w:right="0"/>
              <w:jc w:val="left"/>
              <w:rPr>
                <w:rFonts w:ascii="宋体" w:hAnsi="宋体" w:cs="宋体" w:eastAsia="宋体" w:hint="default"/>
                <w:sz w:val="21"/>
                <w:szCs w:val="21"/>
              </w:rPr>
            </w:pPr>
            <w:r>
              <w:rPr>
                <w:rFonts w:ascii="宋体" w:hAnsi="宋体" w:cs="宋体" w:eastAsia="宋体" w:hint="default"/>
                <w:sz w:val="21"/>
                <w:szCs w:val="21"/>
              </w:rPr>
              <w:t>7.2</w:t>
            </w:r>
            <w:r>
              <w:rPr>
                <w:rFonts w:ascii="宋体" w:hAnsi="宋体" w:cs="宋体" w:eastAsia="宋体" w:hint="default"/>
                <w:spacing w:val="-54"/>
                <w:sz w:val="21"/>
                <w:szCs w:val="21"/>
              </w:rPr>
              <w:t> </w:t>
            </w:r>
            <w:r>
              <w:rPr>
                <w:rFonts w:ascii="宋体" w:hAnsi="宋体" w:cs="宋体" w:eastAsia="宋体" w:hint="default"/>
                <w:sz w:val="21"/>
                <w:szCs w:val="21"/>
              </w:rPr>
              <w:t>帮助“三留守”人员数（人）</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1,935</w:t>
            </w:r>
          </w:p>
        </w:tc>
      </w:tr>
      <w:tr>
        <w:trPr>
          <w:trHeight w:val="322"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734" w:right="0"/>
              <w:jc w:val="left"/>
              <w:rPr>
                <w:rFonts w:ascii="宋体" w:hAnsi="宋体" w:cs="宋体" w:eastAsia="宋体" w:hint="default"/>
                <w:sz w:val="21"/>
                <w:szCs w:val="21"/>
              </w:rPr>
            </w:pPr>
            <w:r>
              <w:rPr>
                <w:rFonts w:ascii="宋体" w:hAnsi="宋体" w:cs="宋体" w:eastAsia="宋体" w:hint="default"/>
                <w:sz w:val="21"/>
                <w:szCs w:val="21"/>
              </w:rPr>
              <w:t>7.3</w:t>
            </w:r>
            <w:r>
              <w:rPr>
                <w:rFonts w:ascii="宋体" w:hAnsi="宋体" w:cs="宋体" w:eastAsia="宋体" w:hint="default"/>
                <w:spacing w:val="-53"/>
                <w:sz w:val="21"/>
                <w:szCs w:val="21"/>
              </w:rPr>
              <w:t> </w:t>
            </w:r>
            <w:r>
              <w:rPr>
                <w:rFonts w:ascii="宋体" w:hAnsi="宋体" w:cs="宋体" w:eastAsia="宋体" w:hint="default"/>
                <w:sz w:val="21"/>
                <w:szCs w:val="21"/>
              </w:rPr>
              <w:t>帮助贫困残疾人投入金额</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101"/>
              <w:jc w:val="right"/>
              <w:rPr>
                <w:rFonts w:ascii="宋体" w:hAnsi="宋体" w:cs="宋体" w:eastAsia="宋体" w:hint="default"/>
                <w:sz w:val="21"/>
                <w:szCs w:val="21"/>
              </w:rPr>
            </w:pPr>
            <w:r>
              <w:rPr>
                <w:rFonts w:ascii="宋体"/>
                <w:w w:val="100"/>
                <w:sz w:val="21"/>
              </w:rPr>
              <w:t>0</w:t>
            </w:r>
          </w:p>
        </w:tc>
      </w:tr>
      <w:tr>
        <w:trPr>
          <w:trHeight w:val="322"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734" w:right="0"/>
              <w:jc w:val="left"/>
              <w:rPr>
                <w:rFonts w:ascii="宋体" w:hAnsi="宋体" w:cs="宋体" w:eastAsia="宋体" w:hint="default"/>
                <w:sz w:val="21"/>
                <w:szCs w:val="21"/>
              </w:rPr>
            </w:pPr>
            <w:r>
              <w:rPr>
                <w:rFonts w:ascii="宋体" w:hAnsi="宋体" w:cs="宋体" w:eastAsia="宋体" w:hint="default"/>
                <w:sz w:val="21"/>
                <w:szCs w:val="21"/>
              </w:rPr>
              <w:t>7.4</w:t>
            </w:r>
            <w:r>
              <w:rPr>
                <w:rFonts w:ascii="宋体" w:hAnsi="宋体" w:cs="宋体" w:eastAsia="宋体" w:hint="default"/>
                <w:spacing w:val="-53"/>
                <w:sz w:val="21"/>
                <w:szCs w:val="21"/>
              </w:rPr>
              <w:t> </w:t>
            </w:r>
            <w:r>
              <w:rPr>
                <w:rFonts w:ascii="宋体" w:hAnsi="宋体" w:cs="宋体" w:eastAsia="宋体" w:hint="default"/>
                <w:sz w:val="21"/>
                <w:szCs w:val="21"/>
              </w:rPr>
              <w:t>帮助贫困残疾人数（人）</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w w:val="100"/>
                <w:sz w:val="21"/>
              </w:rPr>
              <w:t>0</w:t>
            </w:r>
          </w:p>
        </w:tc>
      </w:tr>
      <w:tr>
        <w:trPr>
          <w:trHeight w:val="324" w:hRule="exact"/>
        </w:trPr>
        <w:tc>
          <w:tcPr>
            <w:tcW w:w="94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417" w:right="0"/>
              <w:jc w:val="left"/>
              <w:rPr>
                <w:rFonts w:ascii="宋体" w:hAnsi="宋体" w:cs="宋体" w:eastAsia="宋体" w:hint="default"/>
                <w:sz w:val="21"/>
                <w:szCs w:val="21"/>
              </w:rPr>
            </w:pPr>
            <w:r>
              <w:rPr>
                <w:rFonts w:ascii="宋体" w:hAnsi="宋体" w:cs="宋体" w:eastAsia="宋体" w:hint="default"/>
                <w:sz w:val="21"/>
                <w:szCs w:val="21"/>
              </w:rPr>
              <w:t>8.</w:t>
            </w:r>
            <w:r>
              <w:rPr>
                <w:rFonts w:ascii="宋体" w:hAnsi="宋体" w:cs="宋体" w:eastAsia="宋体" w:hint="default"/>
                <w:sz w:val="21"/>
                <w:szCs w:val="21"/>
              </w:rPr>
              <w:t>社会扶贫</w:t>
            </w:r>
          </w:p>
        </w:tc>
      </w:tr>
      <w:tr>
        <w:trPr>
          <w:trHeight w:val="322"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8.1</w:t>
            </w:r>
            <w:r>
              <w:rPr>
                <w:rFonts w:ascii="宋体" w:hAnsi="宋体" w:cs="宋体" w:eastAsia="宋体" w:hint="default"/>
                <w:spacing w:val="-52"/>
                <w:sz w:val="21"/>
                <w:szCs w:val="21"/>
              </w:rPr>
              <w:t> </w:t>
            </w:r>
            <w:r>
              <w:rPr>
                <w:rFonts w:ascii="宋体" w:hAnsi="宋体" w:cs="宋体" w:eastAsia="宋体" w:hint="default"/>
                <w:sz w:val="21"/>
                <w:szCs w:val="21"/>
              </w:rPr>
              <w:t>东西部扶贫协作投入金额</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w w:val="100"/>
                <w:sz w:val="21"/>
              </w:rPr>
              <w:t>0</w:t>
            </w:r>
          </w:p>
        </w:tc>
      </w:tr>
      <w:tr>
        <w:trPr>
          <w:trHeight w:val="322"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734" w:right="0"/>
              <w:jc w:val="left"/>
              <w:rPr>
                <w:rFonts w:ascii="宋体" w:hAnsi="宋体" w:cs="宋体" w:eastAsia="宋体" w:hint="default"/>
                <w:sz w:val="21"/>
                <w:szCs w:val="21"/>
              </w:rPr>
            </w:pPr>
            <w:r>
              <w:rPr>
                <w:rFonts w:ascii="宋体" w:hAnsi="宋体" w:cs="宋体" w:eastAsia="宋体" w:hint="default"/>
                <w:sz w:val="21"/>
                <w:szCs w:val="21"/>
              </w:rPr>
              <w:t>8.2</w:t>
            </w:r>
            <w:r>
              <w:rPr>
                <w:rFonts w:ascii="宋体" w:hAnsi="宋体" w:cs="宋体" w:eastAsia="宋体" w:hint="default"/>
                <w:spacing w:val="-55"/>
                <w:sz w:val="21"/>
                <w:szCs w:val="21"/>
              </w:rPr>
              <w:t> </w:t>
            </w:r>
            <w:r>
              <w:rPr>
                <w:rFonts w:ascii="宋体" w:hAnsi="宋体" w:cs="宋体" w:eastAsia="宋体" w:hint="default"/>
                <w:sz w:val="21"/>
                <w:szCs w:val="21"/>
              </w:rPr>
              <w:t>定点扶贫工作投入金额</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01"/>
              <w:jc w:val="right"/>
              <w:rPr>
                <w:rFonts w:ascii="宋体" w:hAnsi="宋体" w:cs="宋体" w:eastAsia="宋体" w:hint="default"/>
                <w:sz w:val="21"/>
                <w:szCs w:val="21"/>
              </w:rPr>
            </w:pPr>
            <w:r>
              <w:rPr>
                <w:rFonts w:ascii="宋体"/>
                <w:w w:val="100"/>
                <w:sz w:val="21"/>
              </w:rPr>
              <w:t>0</w:t>
            </w:r>
          </w:p>
        </w:tc>
      </w:tr>
      <w:tr>
        <w:trPr>
          <w:trHeight w:val="322"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734" w:right="0"/>
              <w:jc w:val="left"/>
              <w:rPr>
                <w:rFonts w:ascii="宋体" w:hAnsi="宋体" w:cs="宋体" w:eastAsia="宋体" w:hint="default"/>
                <w:sz w:val="21"/>
                <w:szCs w:val="21"/>
              </w:rPr>
            </w:pPr>
            <w:r>
              <w:rPr>
                <w:rFonts w:ascii="宋体" w:hAnsi="宋体" w:cs="宋体" w:eastAsia="宋体" w:hint="default"/>
                <w:sz w:val="21"/>
                <w:szCs w:val="21"/>
              </w:rPr>
              <w:t>8.3</w:t>
            </w:r>
            <w:r>
              <w:rPr>
                <w:rFonts w:ascii="宋体" w:hAnsi="宋体" w:cs="宋体" w:eastAsia="宋体" w:hint="default"/>
                <w:spacing w:val="-53"/>
                <w:sz w:val="21"/>
                <w:szCs w:val="21"/>
              </w:rPr>
              <w:t> </w:t>
            </w:r>
            <w:r>
              <w:rPr>
                <w:rFonts w:ascii="宋体" w:hAnsi="宋体" w:cs="宋体" w:eastAsia="宋体" w:hint="default"/>
                <w:sz w:val="21"/>
                <w:szCs w:val="21"/>
              </w:rPr>
              <w:t>扶贫公益基金</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38.97</w:t>
            </w:r>
          </w:p>
        </w:tc>
      </w:tr>
      <w:tr>
        <w:trPr>
          <w:trHeight w:val="322" w:hRule="exact"/>
        </w:trPr>
        <w:tc>
          <w:tcPr>
            <w:tcW w:w="94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417" w:right="0"/>
              <w:jc w:val="left"/>
              <w:rPr>
                <w:rFonts w:ascii="宋体" w:hAnsi="宋体" w:cs="宋体" w:eastAsia="宋体" w:hint="default"/>
                <w:sz w:val="21"/>
                <w:szCs w:val="21"/>
              </w:rPr>
            </w:pPr>
            <w:r>
              <w:rPr>
                <w:rFonts w:ascii="宋体" w:hAnsi="宋体" w:cs="宋体" w:eastAsia="宋体" w:hint="default"/>
                <w:sz w:val="21"/>
                <w:szCs w:val="21"/>
              </w:rPr>
              <w:t>9.</w:t>
            </w:r>
            <w:r>
              <w:rPr>
                <w:rFonts w:ascii="宋体" w:hAnsi="宋体" w:cs="宋体" w:eastAsia="宋体" w:hint="default"/>
                <w:sz w:val="21"/>
                <w:szCs w:val="21"/>
              </w:rPr>
              <w:t>其他项目</w:t>
            </w:r>
          </w:p>
        </w:tc>
      </w:tr>
      <w:tr>
        <w:trPr>
          <w:trHeight w:val="322"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9.1</w:t>
            </w:r>
            <w:r>
              <w:rPr>
                <w:rFonts w:ascii="宋体" w:hAnsi="宋体" w:cs="宋体" w:eastAsia="宋体" w:hint="default"/>
                <w:spacing w:val="-54"/>
                <w:sz w:val="21"/>
                <w:szCs w:val="21"/>
              </w:rPr>
              <w:t> </w:t>
            </w:r>
            <w:r>
              <w:rPr>
                <w:rFonts w:ascii="宋体" w:hAnsi="宋体" w:cs="宋体" w:eastAsia="宋体" w:hint="default"/>
                <w:sz w:val="21"/>
                <w:szCs w:val="21"/>
              </w:rPr>
              <w:t>项目个数（个）</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1,803</w:t>
            </w:r>
          </w:p>
        </w:tc>
      </w:tr>
      <w:tr>
        <w:trPr>
          <w:trHeight w:val="324"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734" w:right="0"/>
              <w:jc w:val="left"/>
              <w:rPr>
                <w:rFonts w:ascii="宋体" w:hAnsi="宋体" w:cs="宋体" w:eastAsia="宋体" w:hint="default"/>
                <w:sz w:val="21"/>
                <w:szCs w:val="21"/>
              </w:rPr>
            </w:pPr>
            <w:r>
              <w:rPr>
                <w:rFonts w:ascii="宋体" w:hAnsi="宋体" w:cs="宋体" w:eastAsia="宋体" w:hint="default"/>
                <w:sz w:val="21"/>
                <w:szCs w:val="21"/>
              </w:rPr>
              <w:t>9.2</w:t>
            </w:r>
            <w:r>
              <w:rPr>
                <w:rFonts w:ascii="宋体" w:hAnsi="宋体" w:cs="宋体" w:eastAsia="宋体" w:hint="default"/>
                <w:spacing w:val="-53"/>
                <w:sz w:val="21"/>
                <w:szCs w:val="21"/>
              </w:rPr>
              <w:t> </w:t>
            </w:r>
            <w:r>
              <w:rPr>
                <w:rFonts w:ascii="宋体" w:hAnsi="宋体" w:cs="宋体" w:eastAsia="宋体" w:hint="default"/>
                <w:sz w:val="21"/>
                <w:szCs w:val="21"/>
              </w:rPr>
              <w:t>投入金额</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rFonts w:ascii="宋体" w:hAnsi="宋体" w:cs="宋体" w:eastAsia="宋体" w:hint="default"/>
                <w:sz w:val="21"/>
                <w:szCs w:val="21"/>
              </w:rPr>
            </w:pPr>
            <w:r>
              <w:rPr>
                <w:rFonts w:ascii="宋体"/>
                <w:spacing w:val="-1"/>
                <w:sz w:val="21"/>
              </w:rPr>
              <w:t>7,061.96</w:t>
            </w:r>
          </w:p>
        </w:tc>
      </w:tr>
      <w:tr>
        <w:trPr>
          <w:trHeight w:val="322"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734" w:right="0"/>
              <w:jc w:val="left"/>
              <w:rPr>
                <w:rFonts w:ascii="宋体" w:hAnsi="宋体" w:cs="宋体" w:eastAsia="宋体" w:hint="default"/>
                <w:sz w:val="21"/>
                <w:szCs w:val="21"/>
              </w:rPr>
            </w:pPr>
            <w:r>
              <w:rPr>
                <w:rFonts w:ascii="宋体" w:hAnsi="宋体" w:cs="宋体" w:eastAsia="宋体" w:hint="default"/>
                <w:sz w:val="21"/>
                <w:szCs w:val="21"/>
              </w:rPr>
              <w:t>9.3</w:t>
            </w:r>
            <w:r>
              <w:rPr>
                <w:rFonts w:ascii="宋体" w:hAnsi="宋体" w:cs="宋体" w:eastAsia="宋体" w:hint="default"/>
                <w:spacing w:val="-53"/>
                <w:sz w:val="21"/>
                <w:szCs w:val="21"/>
              </w:rPr>
              <w:t> </w:t>
            </w:r>
            <w:r>
              <w:rPr>
                <w:rFonts w:ascii="宋体" w:hAnsi="宋体" w:cs="宋体" w:eastAsia="宋体" w:hint="default"/>
                <w:sz w:val="21"/>
                <w:szCs w:val="21"/>
              </w:rPr>
              <w:t>帮助建档立卡贫困人口脱贫数（人）</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21,825</w:t>
            </w:r>
          </w:p>
        </w:tc>
      </w:tr>
      <w:tr>
        <w:trPr>
          <w:trHeight w:val="322" w:hRule="exact"/>
        </w:trPr>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734" w:right="0"/>
              <w:jc w:val="left"/>
              <w:rPr>
                <w:rFonts w:ascii="宋体" w:hAnsi="宋体" w:cs="宋体" w:eastAsia="宋体" w:hint="default"/>
                <w:sz w:val="21"/>
                <w:szCs w:val="21"/>
              </w:rPr>
            </w:pPr>
            <w:r>
              <w:rPr>
                <w:rFonts w:ascii="宋体" w:hAnsi="宋体" w:cs="宋体" w:eastAsia="宋体" w:hint="default"/>
                <w:sz w:val="21"/>
                <w:szCs w:val="21"/>
              </w:rPr>
              <w:t>9.4</w:t>
            </w:r>
            <w:r>
              <w:rPr>
                <w:rFonts w:ascii="宋体" w:hAnsi="宋体" w:cs="宋体" w:eastAsia="宋体" w:hint="default"/>
                <w:spacing w:val="-53"/>
                <w:sz w:val="21"/>
                <w:szCs w:val="21"/>
              </w:rPr>
              <w:t> </w:t>
            </w:r>
            <w:r>
              <w:rPr>
                <w:rFonts w:ascii="宋体" w:hAnsi="宋体" w:cs="宋体" w:eastAsia="宋体" w:hint="default"/>
                <w:sz w:val="21"/>
                <w:szCs w:val="21"/>
              </w:rPr>
              <w:t>其他项目说明</w:t>
            </w:r>
          </w:p>
        </w:tc>
        <w:tc>
          <w:tcPr>
            <w:tcW w:w="38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22" w:hRule="exact"/>
        </w:trPr>
        <w:tc>
          <w:tcPr>
            <w:tcW w:w="94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三、所获奖项（内容、级别）</w:t>
            </w:r>
          </w:p>
        </w:tc>
      </w:tr>
    </w:tbl>
    <w:p>
      <w:pPr>
        <w:spacing w:line="262" w:lineRule="exact" w:before="0"/>
        <w:ind w:left="218" w:right="120" w:firstLine="0"/>
        <w:jc w:val="left"/>
        <w:rPr>
          <w:rFonts w:ascii="宋体" w:hAnsi="宋体" w:cs="宋体" w:eastAsia="宋体" w:hint="default"/>
          <w:sz w:val="21"/>
          <w:szCs w:val="21"/>
        </w:rPr>
      </w:pPr>
      <w:r>
        <w:rPr>
          <w:rFonts w:ascii="宋体" w:hAnsi="宋体" w:cs="宋体" w:eastAsia="宋体" w:hint="default"/>
          <w:sz w:val="21"/>
          <w:szCs w:val="21"/>
        </w:rPr>
        <w:t>说明：上表包含本公司控股股东联通集团</w:t>
      </w:r>
      <w:r>
        <w:rPr>
          <w:rFonts w:ascii="宋体" w:hAnsi="宋体" w:cs="宋体" w:eastAsia="宋体" w:hint="default"/>
          <w:spacing w:val="-56"/>
          <w:sz w:val="21"/>
          <w:szCs w:val="21"/>
        </w:rPr>
        <w:t> </w:t>
      </w:r>
      <w:r>
        <w:rPr>
          <w:rFonts w:ascii="宋体" w:hAnsi="宋体" w:cs="宋体" w:eastAsia="宋体" w:hint="default"/>
          <w:sz w:val="21"/>
          <w:szCs w:val="21"/>
        </w:rPr>
        <w:t>2019</w:t>
      </w:r>
      <w:r>
        <w:rPr>
          <w:rFonts w:ascii="宋体" w:hAnsi="宋体" w:cs="宋体" w:eastAsia="宋体" w:hint="default"/>
          <w:spacing w:val="-56"/>
          <w:sz w:val="21"/>
          <w:szCs w:val="21"/>
        </w:rPr>
        <w:t> </w:t>
      </w:r>
      <w:r>
        <w:rPr>
          <w:rFonts w:ascii="宋体" w:hAnsi="宋体" w:cs="宋体" w:eastAsia="宋体" w:hint="default"/>
          <w:sz w:val="21"/>
          <w:szCs w:val="21"/>
        </w:rPr>
        <w:t>年精准扶贫工作情况。</w:t>
      </w:r>
    </w:p>
    <w:p>
      <w:pPr>
        <w:spacing w:after="0" w:line="262" w:lineRule="exact"/>
        <w:jc w:val="left"/>
        <w:rPr>
          <w:rFonts w:ascii="宋体" w:hAnsi="宋体" w:cs="宋体" w:eastAsia="宋体" w:hint="default"/>
          <w:sz w:val="21"/>
          <w:szCs w:val="21"/>
        </w:rPr>
        <w:sectPr>
          <w:footerReference w:type="default" r:id="rId46"/>
          <w:pgSz w:w="11910" w:h="16840"/>
          <w:pgMar w:footer="502" w:header="854" w:top="1360" w:bottom="700" w:left="1200" w:right="104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tabs>
          <w:tab w:pos="558" w:val="left" w:leader="none"/>
        </w:tabs>
        <w:spacing w:line="335" w:lineRule="exact" w:before="0"/>
        <w:ind w:left="138"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0"/>
          <w:sz w:val="21"/>
          <w:szCs w:val="21"/>
        </w:rPr>
        <w:t>4.</w:t>
        <w:tab/>
      </w:r>
      <w:r>
        <w:rPr>
          <w:rFonts w:ascii="Microsoft JhengHei" w:hAnsi="Microsoft JhengHei" w:cs="Microsoft JhengHei" w:eastAsia="Microsoft JhengHei" w:hint="default"/>
          <w:b/>
          <w:bCs/>
          <w:w w:val="110"/>
          <w:sz w:val="21"/>
          <w:szCs w:val="21"/>
        </w:rPr>
        <w:t>后续精准扶贫计划</w:t>
      </w:r>
      <w:r>
        <w:rPr>
          <w:rFonts w:ascii="Microsoft JhengHei" w:hAnsi="Microsoft JhengHei" w:cs="Microsoft JhengHei" w:eastAsia="Microsoft JhengHei" w:hint="default"/>
          <w:w w:val="110"/>
          <w:sz w:val="21"/>
          <w:szCs w:val="21"/>
        </w:rPr>
      </w:r>
    </w:p>
    <w:p>
      <w:pPr>
        <w:spacing w:line="240" w:lineRule="auto" w:before="16"/>
        <w:rPr>
          <w:rFonts w:ascii="Microsoft JhengHei" w:hAnsi="Microsoft JhengHei" w:cs="Microsoft JhengHei" w:eastAsia="Microsoft JhengHei" w:hint="default"/>
          <w:b/>
          <w:bCs/>
          <w:sz w:val="12"/>
          <w:szCs w:val="12"/>
        </w:rPr>
      </w:pPr>
    </w:p>
    <w:p>
      <w:pPr>
        <w:spacing w:line="314" w:lineRule="auto" w:before="0"/>
        <w:ind w:left="138" w:right="0" w:firstLine="420"/>
        <w:jc w:val="left"/>
        <w:rPr>
          <w:rFonts w:ascii="宋体" w:hAnsi="宋体" w:cs="宋体" w:eastAsia="宋体" w:hint="default"/>
          <w:sz w:val="21"/>
          <w:szCs w:val="21"/>
        </w:rPr>
      </w:pPr>
      <w:r>
        <w:rPr>
          <w:rFonts w:ascii="宋体" w:hAnsi="宋体" w:cs="宋体" w:eastAsia="宋体" w:hint="default"/>
          <w:spacing w:val="-2"/>
          <w:sz w:val="21"/>
          <w:szCs w:val="21"/>
        </w:rPr>
        <w:t>按照中央“四个不摘”工作要求，进一步加大帮扶力度，完善帮扶措施，加强监督检查，助力打</w:t>
      </w:r>
      <w:r>
        <w:rPr>
          <w:rFonts w:ascii="宋体" w:hAnsi="宋体" w:cs="宋体" w:eastAsia="宋体" w:hint="default"/>
          <w:w w:val="100"/>
          <w:sz w:val="21"/>
          <w:szCs w:val="21"/>
        </w:rPr>
        <w:t> </w:t>
      </w:r>
      <w:r>
        <w:rPr>
          <w:rFonts w:ascii="宋体" w:hAnsi="宋体" w:cs="宋体" w:eastAsia="宋体" w:hint="default"/>
          <w:sz w:val="21"/>
          <w:szCs w:val="21"/>
        </w:rPr>
        <w:t>赢脱贫攻坚战。</w:t>
      </w:r>
    </w:p>
    <w:p>
      <w:pPr>
        <w:spacing w:line="240" w:lineRule="auto" w:before="0"/>
        <w:rPr>
          <w:rFonts w:ascii="宋体" w:hAnsi="宋体" w:cs="宋体" w:eastAsia="宋体" w:hint="default"/>
          <w:sz w:val="20"/>
          <w:szCs w:val="20"/>
        </w:rPr>
      </w:pPr>
    </w:p>
    <w:p>
      <w:pPr>
        <w:tabs>
          <w:tab w:pos="781" w:val="left" w:leader="none"/>
        </w:tabs>
        <w:spacing w:before="164"/>
        <w:ind w:left="138"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5"/>
          <w:sz w:val="21"/>
          <w:szCs w:val="21"/>
        </w:rPr>
        <w:t>(</w:t>
      </w:r>
      <w:r>
        <w:rPr>
          <w:rFonts w:ascii="Microsoft JhengHei" w:hAnsi="Microsoft JhengHei" w:cs="Microsoft JhengHei" w:eastAsia="Microsoft JhengHei" w:hint="default"/>
          <w:b/>
          <w:bCs/>
          <w:w w:val="115"/>
          <w:sz w:val="21"/>
          <w:szCs w:val="21"/>
        </w:rPr>
        <w:t>二</w:t>
      </w:r>
      <w:r>
        <w:rPr>
          <w:rFonts w:ascii="Arial" w:hAnsi="Arial" w:cs="Arial" w:eastAsia="Arial" w:hint="default"/>
          <w:b/>
          <w:bCs/>
          <w:w w:val="115"/>
          <w:sz w:val="21"/>
          <w:szCs w:val="21"/>
        </w:rPr>
        <w:t>)</w:t>
        <w:tab/>
      </w:r>
      <w:r>
        <w:rPr>
          <w:rFonts w:ascii="Microsoft JhengHei" w:hAnsi="Microsoft JhengHei" w:cs="Microsoft JhengHei" w:eastAsia="Microsoft JhengHei" w:hint="default"/>
          <w:b/>
          <w:bCs/>
          <w:w w:val="115"/>
          <w:sz w:val="21"/>
          <w:szCs w:val="21"/>
        </w:rPr>
        <w:t>社会责任工作情况</w:t>
      </w:r>
      <w:r>
        <w:rPr>
          <w:rFonts w:ascii="Microsoft JhengHei" w:hAnsi="Microsoft JhengHei" w:cs="Microsoft JhengHei" w:eastAsia="Microsoft JhengHei" w:hint="default"/>
          <w:w w:val="115"/>
          <w:sz w:val="21"/>
          <w:szCs w:val="21"/>
        </w:rPr>
      </w:r>
    </w:p>
    <w:p>
      <w:pPr>
        <w:spacing w:line="240" w:lineRule="auto" w:before="16"/>
        <w:rPr>
          <w:rFonts w:ascii="Microsoft JhengHei" w:hAnsi="Microsoft JhengHei" w:cs="Microsoft JhengHei" w:eastAsia="Microsoft JhengHei" w:hint="default"/>
          <w:b/>
          <w:bCs/>
          <w:sz w:val="12"/>
          <w:szCs w:val="12"/>
        </w:rPr>
      </w:pPr>
    </w:p>
    <w:p>
      <w:pPr>
        <w:spacing w:before="0"/>
        <w:ind w:left="138" w:right="0" w:firstLine="0"/>
        <w:jc w:val="left"/>
        <w:rPr>
          <w:rFonts w:ascii="宋体" w:hAnsi="宋体" w:cs="宋体" w:eastAsia="宋体" w:hint="default"/>
          <w:sz w:val="21"/>
          <w:szCs w:val="21"/>
        </w:rPr>
      </w:pPr>
      <w:r>
        <w:rPr>
          <w:rFonts w:ascii="宋体" w:hAnsi="宋体" w:cs="宋体" w:eastAsia="宋体" w:hint="default"/>
          <w:spacing w:val="74"/>
          <w:sz w:val="21"/>
          <w:szCs w:val="21"/>
        </w:rPr>
        <w:t>详见本公司与本报告同日在上海证券交易所（ </w:t>
      </w:r>
      <w:hyperlink r:id="rId18">
        <w:r>
          <w:rPr>
            <w:rFonts w:ascii="宋体" w:hAnsi="宋体" w:cs="宋体" w:eastAsia="宋体" w:hint="default"/>
            <w:sz w:val="21"/>
            <w:szCs w:val="21"/>
          </w:rPr>
          <w:t>www.sse.com.cn</w:t>
        </w:r>
      </w:hyperlink>
      <w:r>
        <w:rPr>
          <w:rFonts w:ascii="宋体" w:hAnsi="宋体" w:cs="宋体" w:eastAsia="宋体" w:hint="default"/>
          <w:spacing w:val="-62"/>
          <w:sz w:val="21"/>
          <w:szCs w:val="21"/>
        </w:rPr>
        <w:t> </w:t>
      </w:r>
      <w:r>
        <w:rPr>
          <w:rFonts w:ascii="宋体" w:hAnsi="宋体" w:cs="宋体" w:eastAsia="宋体" w:hint="default"/>
          <w:spacing w:val="66"/>
          <w:sz w:val="21"/>
          <w:szCs w:val="21"/>
        </w:rPr>
        <w:t>）和本公司网站</w:t>
      </w:r>
      <w:r>
        <w:rPr>
          <w:rFonts w:ascii="宋体" w:hAnsi="宋体" w:cs="宋体" w:eastAsia="宋体" w:hint="default"/>
          <w:spacing w:val="-26"/>
          <w:sz w:val="21"/>
          <w:szCs w:val="21"/>
        </w:rPr>
        <w:t> </w:t>
      </w:r>
      <w:r>
        <w:rPr>
          <w:rFonts w:ascii="宋体" w:hAnsi="宋体" w:cs="宋体" w:eastAsia="宋体" w:hint="default"/>
          <w:sz w:val="21"/>
          <w:szCs w:val="21"/>
        </w:rPr>
      </w:r>
    </w:p>
    <w:p>
      <w:pPr>
        <w:spacing w:before="85"/>
        <w:ind w:left="138" w:right="0" w:firstLine="0"/>
        <w:jc w:val="left"/>
        <w:rPr>
          <w:rFonts w:ascii="宋体" w:hAnsi="宋体" w:cs="宋体" w:eastAsia="宋体" w:hint="default"/>
          <w:sz w:val="21"/>
          <w:szCs w:val="21"/>
        </w:rPr>
      </w:pPr>
      <w:r>
        <w:rPr>
          <w:rFonts w:ascii="宋体" w:hAnsi="宋体" w:cs="宋体" w:eastAsia="宋体" w:hint="default"/>
          <w:sz w:val="21"/>
          <w:szCs w:val="21"/>
        </w:rPr>
        <w:t>（</w:t>
      </w:r>
      <w:hyperlink r:id="rId17">
        <w:r>
          <w:rPr>
            <w:rFonts w:ascii="宋体" w:hAnsi="宋体" w:cs="宋体" w:eastAsia="宋体" w:hint="default"/>
            <w:sz w:val="21"/>
            <w:szCs w:val="21"/>
          </w:rPr>
          <w:t>www.chinaunicom-a.com</w:t>
        </w:r>
      </w:hyperlink>
      <w:r>
        <w:rPr>
          <w:rFonts w:ascii="宋体" w:hAnsi="宋体" w:cs="宋体" w:eastAsia="宋体" w:hint="default"/>
          <w:sz w:val="21"/>
          <w:szCs w:val="21"/>
        </w:rPr>
        <w:t>）披露的《中国联合网络通信股份有限公司</w:t>
      </w:r>
      <w:r>
        <w:rPr>
          <w:rFonts w:ascii="宋体" w:hAnsi="宋体" w:cs="宋体" w:eastAsia="宋体" w:hint="default"/>
          <w:spacing w:val="-57"/>
          <w:sz w:val="21"/>
          <w:szCs w:val="21"/>
        </w:rPr>
        <w:t> </w:t>
      </w:r>
      <w:r>
        <w:rPr>
          <w:rFonts w:ascii="宋体" w:hAnsi="宋体" w:cs="宋体" w:eastAsia="宋体" w:hint="default"/>
          <w:sz w:val="21"/>
          <w:szCs w:val="21"/>
        </w:rPr>
        <w:t>2019</w:t>
      </w:r>
      <w:r>
        <w:rPr>
          <w:rFonts w:ascii="宋体" w:hAnsi="宋体" w:cs="宋体" w:eastAsia="宋体" w:hint="default"/>
          <w:spacing w:val="-59"/>
          <w:sz w:val="21"/>
          <w:szCs w:val="21"/>
        </w:rPr>
        <w:t> </w:t>
      </w:r>
      <w:r>
        <w:rPr>
          <w:rFonts w:ascii="宋体" w:hAnsi="宋体" w:cs="宋体" w:eastAsia="宋体" w:hint="default"/>
          <w:sz w:val="21"/>
          <w:szCs w:val="21"/>
        </w:rPr>
        <w:t>年度社会责任报告》。</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7"/>
          <w:szCs w:val="17"/>
        </w:rPr>
      </w:pPr>
    </w:p>
    <w:p>
      <w:pPr>
        <w:tabs>
          <w:tab w:pos="781" w:val="left" w:leader="none"/>
        </w:tabs>
        <w:spacing w:before="0"/>
        <w:ind w:left="138"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5"/>
          <w:sz w:val="21"/>
          <w:szCs w:val="21"/>
        </w:rPr>
        <w:t>(</w:t>
      </w:r>
      <w:r>
        <w:rPr>
          <w:rFonts w:ascii="Microsoft JhengHei" w:hAnsi="Microsoft JhengHei" w:cs="Microsoft JhengHei" w:eastAsia="Microsoft JhengHei" w:hint="default"/>
          <w:b/>
          <w:bCs/>
          <w:w w:val="115"/>
          <w:sz w:val="21"/>
          <w:szCs w:val="21"/>
        </w:rPr>
        <w:t>三</w:t>
      </w:r>
      <w:r>
        <w:rPr>
          <w:rFonts w:ascii="Arial" w:hAnsi="Arial" w:cs="Arial" w:eastAsia="Arial" w:hint="default"/>
          <w:b/>
          <w:bCs/>
          <w:w w:val="115"/>
          <w:sz w:val="21"/>
          <w:szCs w:val="21"/>
        </w:rPr>
        <w:t>)</w:t>
        <w:tab/>
      </w:r>
      <w:r>
        <w:rPr>
          <w:rFonts w:ascii="Microsoft JhengHei" w:hAnsi="Microsoft JhengHei" w:cs="Microsoft JhengHei" w:eastAsia="Microsoft JhengHei" w:hint="default"/>
          <w:b/>
          <w:bCs/>
          <w:w w:val="115"/>
          <w:sz w:val="21"/>
          <w:szCs w:val="21"/>
        </w:rPr>
        <w:t>环境信息情况</w:t>
      </w:r>
      <w:r>
        <w:rPr>
          <w:rFonts w:ascii="Microsoft JhengHei" w:hAnsi="Microsoft JhengHei" w:cs="Microsoft JhengHei" w:eastAsia="Microsoft JhengHei" w:hint="default"/>
          <w:w w:val="115"/>
          <w:sz w:val="21"/>
          <w:szCs w:val="21"/>
        </w:rPr>
      </w:r>
    </w:p>
    <w:p>
      <w:pPr>
        <w:tabs>
          <w:tab w:pos="558" w:val="left" w:leader="none"/>
        </w:tabs>
        <w:spacing w:before="6"/>
        <w:ind w:left="138"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0"/>
          <w:sz w:val="21"/>
          <w:szCs w:val="21"/>
        </w:rPr>
        <w:t>1.</w:t>
        <w:tab/>
      </w:r>
      <w:r>
        <w:rPr>
          <w:rFonts w:ascii="Microsoft JhengHei" w:hAnsi="Microsoft JhengHei" w:cs="Microsoft JhengHei" w:eastAsia="Microsoft JhengHei" w:hint="default"/>
          <w:b/>
          <w:bCs/>
          <w:w w:val="110"/>
          <w:sz w:val="21"/>
          <w:szCs w:val="21"/>
        </w:rPr>
        <w:t>属于环境保护部门公布的重点排污单位的公司及其重要子公司的环保情况说明</w:t>
      </w:r>
      <w:r>
        <w:rPr>
          <w:rFonts w:ascii="Microsoft JhengHei" w:hAnsi="Microsoft JhengHei" w:cs="Microsoft JhengHei" w:eastAsia="Microsoft JhengHei" w:hint="default"/>
          <w:w w:val="110"/>
          <w:sz w:val="21"/>
          <w:szCs w:val="21"/>
        </w:rPr>
      </w:r>
    </w:p>
    <w:p>
      <w:pPr>
        <w:spacing w:before="73"/>
        <w:ind w:left="138" w:right="0"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2"/>
        <w:rPr>
          <w:rFonts w:ascii="宋体" w:hAnsi="宋体" w:cs="宋体" w:eastAsia="宋体" w:hint="default"/>
          <w:sz w:val="26"/>
          <w:szCs w:val="26"/>
        </w:rPr>
      </w:pPr>
    </w:p>
    <w:p>
      <w:pPr>
        <w:tabs>
          <w:tab w:pos="558" w:val="left" w:leader="none"/>
        </w:tabs>
        <w:spacing w:before="0"/>
        <w:ind w:left="138"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0"/>
          <w:sz w:val="21"/>
          <w:szCs w:val="21"/>
        </w:rPr>
        <w:t>2.</w:t>
        <w:tab/>
      </w:r>
      <w:r>
        <w:rPr>
          <w:rFonts w:ascii="Microsoft JhengHei" w:hAnsi="Microsoft JhengHei" w:cs="Microsoft JhengHei" w:eastAsia="Microsoft JhengHei" w:hint="default"/>
          <w:b/>
          <w:bCs/>
          <w:w w:val="110"/>
          <w:sz w:val="21"/>
          <w:szCs w:val="21"/>
        </w:rPr>
        <w:t>重点排污单位之外的公司的环保情况说明</w:t>
      </w:r>
      <w:r>
        <w:rPr>
          <w:rFonts w:ascii="Microsoft JhengHei" w:hAnsi="Microsoft JhengHei" w:cs="Microsoft JhengHei" w:eastAsia="Microsoft JhengHei" w:hint="default"/>
          <w:w w:val="110"/>
          <w:sz w:val="21"/>
          <w:szCs w:val="21"/>
        </w:rPr>
      </w:r>
    </w:p>
    <w:p>
      <w:pPr>
        <w:spacing w:line="240" w:lineRule="auto" w:before="16"/>
        <w:rPr>
          <w:rFonts w:ascii="Microsoft JhengHei" w:hAnsi="Microsoft JhengHei" w:cs="Microsoft JhengHei" w:eastAsia="Microsoft JhengHei" w:hint="default"/>
          <w:b/>
          <w:bCs/>
          <w:sz w:val="12"/>
          <w:szCs w:val="12"/>
        </w:rPr>
      </w:pPr>
    </w:p>
    <w:p>
      <w:pPr>
        <w:spacing w:before="0"/>
        <w:ind w:left="138" w:right="0" w:firstLine="0"/>
        <w:jc w:val="left"/>
        <w:rPr>
          <w:rFonts w:ascii="宋体" w:hAnsi="宋体" w:cs="宋体" w:eastAsia="宋体" w:hint="default"/>
          <w:sz w:val="21"/>
          <w:szCs w:val="21"/>
        </w:rPr>
      </w:pPr>
      <w:r>
        <w:rPr>
          <w:rFonts w:ascii="宋体" w:hAnsi="宋体" w:cs="宋体" w:eastAsia="宋体" w:hint="default"/>
          <w:sz w:val="21"/>
          <w:szCs w:val="21"/>
        </w:rPr>
        <w:t>公司不属于环境保护部门公布的重点排污单位。为减少环境污染，公司采取如下措施：</w:t>
      </w:r>
    </w:p>
    <w:p>
      <w:pPr>
        <w:spacing w:line="240" w:lineRule="auto" w:before="6"/>
        <w:rPr>
          <w:rFonts w:ascii="宋体" w:hAnsi="宋体" w:cs="宋体" w:eastAsia="宋体" w:hint="default"/>
          <w:sz w:val="18"/>
          <w:szCs w:val="18"/>
        </w:rPr>
      </w:pPr>
    </w:p>
    <w:p>
      <w:pPr>
        <w:spacing w:line="314" w:lineRule="auto" w:before="0"/>
        <w:ind w:left="138"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）确保污水和污染物零排放。公司在全部运营地点实现污水和污染物全部进入污水管网系统进行处</w:t>
      </w:r>
      <w:r>
        <w:rPr>
          <w:rFonts w:ascii="宋体" w:hAnsi="宋体" w:cs="宋体" w:eastAsia="宋体" w:hint="default"/>
          <w:spacing w:val="-27"/>
          <w:sz w:val="21"/>
          <w:szCs w:val="21"/>
        </w:rPr>
        <w:t> </w:t>
      </w:r>
      <w:r>
        <w:rPr>
          <w:rFonts w:ascii="宋体" w:hAnsi="宋体" w:cs="宋体" w:eastAsia="宋体" w:hint="default"/>
          <w:spacing w:val="-27"/>
          <w:sz w:val="21"/>
          <w:szCs w:val="21"/>
        </w:rPr>
      </w:r>
      <w:r>
        <w:rPr>
          <w:rFonts w:ascii="宋体" w:hAnsi="宋体" w:cs="宋体" w:eastAsia="宋体" w:hint="default"/>
          <w:sz w:val="21"/>
          <w:szCs w:val="21"/>
        </w:rPr>
        <w:t>理。</w:t>
      </w:r>
    </w:p>
    <w:p>
      <w:pPr>
        <w:spacing w:line="314" w:lineRule="auto" w:before="176"/>
        <w:ind w:left="138" w:right="0" w:firstLine="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）实现废弃物有效处置回收。公司对机房、基站、接入站点、数据中心等在日常运行过程中产生的</w:t>
      </w:r>
      <w:r>
        <w:rPr>
          <w:rFonts w:ascii="宋体" w:hAnsi="宋体" w:cs="宋体" w:eastAsia="宋体" w:hint="default"/>
          <w:spacing w:val="-27"/>
          <w:sz w:val="21"/>
          <w:szCs w:val="21"/>
        </w:rPr>
        <w:t> </w:t>
      </w:r>
      <w:r>
        <w:rPr>
          <w:rFonts w:ascii="宋体" w:hAnsi="宋体" w:cs="宋体" w:eastAsia="宋体" w:hint="default"/>
          <w:spacing w:val="-27"/>
          <w:sz w:val="21"/>
          <w:szCs w:val="21"/>
        </w:rPr>
      </w:r>
      <w:r>
        <w:rPr>
          <w:rFonts w:ascii="宋体" w:hAnsi="宋体" w:cs="宋体" w:eastAsia="宋体" w:hint="default"/>
          <w:sz w:val="21"/>
          <w:szCs w:val="21"/>
        </w:rPr>
        <w:t>废弃物，交由专业第三方机构进行综合处置回收。</w:t>
      </w:r>
    </w:p>
    <w:p>
      <w:pPr>
        <w:spacing w:line="314" w:lineRule="auto" w:before="176"/>
        <w:ind w:left="138" w:right="0" w:firstLine="0"/>
        <w:jc w:val="left"/>
        <w:rPr>
          <w:rFonts w:ascii="宋体" w:hAnsi="宋体" w:cs="宋体" w:eastAsia="宋体" w:hint="default"/>
          <w:sz w:val="21"/>
          <w:szCs w:val="21"/>
        </w:rPr>
      </w:pPr>
      <w:r>
        <w:rPr>
          <w:rFonts w:ascii="宋体" w:hAnsi="宋体" w:cs="宋体" w:eastAsia="宋体" w:hint="default"/>
          <w:spacing w:val="-3"/>
          <w:sz w:val="21"/>
          <w:szCs w:val="21"/>
        </w:rPr>
        <w:t>3</w:t>
      </w:r>
      <w:r>
        <w:rPr>
          <w:rFonts w:ascii="宋体" w:hAnsi="宋体" w:cs="宋体" w:eastAsia="宋体" w:hint="default"/>
          <w:spacing w:val="-3"/>
          <w:sz w:val="21"/>
          <w:szCs w:val="21"/>
        </w:rPr>
        <w:t>）加强绿色采购</w:t>
      </w:r>
      <w:r>
        <w:rPr>
          <w:rFonts w:ascii="宋体" w:hAnsi="宋体" w:cs="宋体" w:eastAsia="宋体" w:hint="default"/>
          <w:spacing w:val="-3"/>
          <w:sz w:val="21"/>
          <w:szCs w:val="21"/>
        </w:rPr>
        <w:t>,</w:t>
      </w:r>
      <w:r>
        <w:rPr>
          <w:rFonts w:ascii="宋体" w:hAnsi="宋体" w:cs="宋体" w:eastAsia="宋体" w:hint="default"/>
          <w:spacing w:val="-3"/>
          <w:sz w:val="21"/>
          <w:szCs w:val="21"/>
        </w:rPr>
        <w:t>实施共建共享，重视电磁辐射管理，加快</w:t>
      </w:r>
      <w:r>
        <w:rPr>
          <w:rFonts w:ascii="宋体" w:hAnsi="宋体" w:cs="宋体" w:eastAsia="宋体" w:hint="default"/>
          <w:spacing w:val="-32"/>
          <w:sz w:val="21"/>
          <w:szCs w:val="21"/>
        </w:rPr>
        <w:t> </w:t>
      </w:r>
      <w:r>
        <w:rPr>
          <w:rFonts w:ascii="宋体" w:hAnsi="宋体" w:cs="宋体" w:eastAsia="宋体" w:hint="default"/>
          <w:sz w:val="21"/>
          <w:szCs w:val="21"/>
        </w:rPr>
        <w:t>2G/3G</w:t>
      </w:r>
      <w:r>
        <w:rPr>
          <w:rFonts w:ascii="宋体" w:hAnsi="宋体" w:cs="宋体" w:eastAsia="宋体" w:hint="default"/>
          <w:spacing w:val="-37"/>
          <w:sz w:val="21"/>
          <w:szCs w:val="21"/>
        </w:rPr>
        <w:t> </w:t>
      </w:r>
      <w:r>
        <w:rPr>
          <w:rFonts w:ascii="宋体" w:hAnsi="宋体" w:cs="宋体" w:eastAsia="宋体" w:hint="default"/>
          <w:sz w:val="21"/>
          <w:szCs w:val="21"/>
        </w:rPr>
        <w:t>网络精简，开展设备退网和机房整</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合工作。</w:t>
      </w:r>
    </w:p>
    <w:p>
      <w:pPr>
        <w:spacing w:line="240" w:lineRule="auto" w:before="0"/>
        <w:rPr>
          <w:rFonts w:ascii="宋体" w:hAnsi="宋体" w:cs="宋体" w:eastAsia="宋体" w:hint="default"/>
          <w:sz w:val="20"/>
          <w:szCs w:val="20"/>
        </w:rPr>
      </w:pPr>
    </w:p>
    <w:p>
      <w:pPr>
        <w:tabs>
          <w:tab w:pos="781" w:val="left" w:leader="none"/>
        </w:tabs>
        <w:spacing w:before="164"/>
        <w:ind w:left="138"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20"/>
          <w:sz w:val="21"/>
          <w:szCs w:val="21"/>
        </w:rPr>
        <w:t>(</w:t>
      </w:r>
      <w:r>
        <w:rPr>
          <w:rFonts w:ascii="Microsoft JhengHei" w:hAnsi="Microsoft JhengHei" w:cs="Microsoft JhengHei" w:eastAsia="Microsoft JhengHei" w:hint="default"/>
          <w:b/>
          <w:bCs/>
          <w:w w:val="120"/>
          <w:sz w:val="21"/>
          <w:szCs w:val="21"/>
        </w:rPr>
        <w:t>四</w:t>
      </w:r>
      <w:r>
        <w:rPr>
          <w:rFonts w:ascii="Arial" w:hAnsi="Arial" w:cs="Arial" w:eastAsia="Arial" w:hint="default"/>
          <w:b/>
          <w:bCs/>
          <w:w w:val="120"/>
          <w:sz w:val="21"/>
          <w:szCs w:val="21"/>
        </w:rPr>
        <w:t>)</w:t>
        <w:tab/>
      </w:r>
      <w:r>
        <w:rPr>
          <w:rFonts w:ascii="Microsoft JhengHei" w:hAnsi="Microsoft JhengHei" w:cs="Microsoft JhengHei" w:eastAsia="Microsoft JhengHei" w:hint="default"/>
          <w:b/>
          <w:bCs/>
          <w:w w:val="120"/>
          <w:sz w:val="21"/>
          <w:szCs w:val="21"/>
        </w:rPr>
        <w:t>其他说明</w:t>
      </w:r>
      <w:r>
        <w:rPr>
          <w:rFonts w:ascii="Microsoft JhengHei" w:hAnsi="Microsoft JhengHei" w:cs="Microsoft JhengHei" w:eastAsia="Microsoft JhengHei" w:hint="default"/>
          <w:w w:val="120"/>
          <w:sz w:val="21"/>
          <w:szCs w:val="21"/>
        </w:rPr>
      </w:r>
    </w:p>
    <w:p>
      <w:pPr>
        <w:tabs>
          <w:tab w:pos="981" w:val="left" w:leader="none"/>
        </w:tabs>
        <w:spacing w:before="74"/>
        <w:ind w:left="138" w:right="0" w:firstLine="0"/>
        <w:jc w:val="left"/>
        <w:rPr>
          <w:rFonts w:ascii="宋体" w:hAnsi="宋体" w:cs="宋体" w:eastAsia="宋体" w:hint="default"/>
          <w:sz w:val="21"/>
          <w:szCs w:val="21"/>
        </w:rPr>
      </w:pPr>
      <w:r>
        <w:rPr>
          <w:rFonts w:ascii="宋体" w:hAnsi="宋体" w:cs="宋体" w:eastAsia="宋体" w:hint="default"/>
          <w:sz w:val="21"/>
          <w:szCs w:val="21"/>
        </w:rPr>
        <w:t>□适用</w:t>
        <w:tab/>
        <w:t>√不适用</w:t>
      </w:r>
    </w:p>
    <w:p>
      <w:pPr>
        <w:spacing w:line="240" w:lineRule="auto" w:before="2"/>
        <w:rPr>
          <w:rFonts w:ascii="宋体" w:hAnsi="宋体" w:cs="宋体" w:eastAsia="宋体" w:hint="default"/>
          <w:sz w:val="26"/>
          <w:szCs w:val="26"/>
        </w:rPr>
      </w:pPr>
    </w:p>
    <w:p>
      <w:pPr>
        <w:spacing w:before="0"/>
        <w:ind w:left="138"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十八、可转换公司债券情况</w:t>
      </w:r>
      <w:r>
        <w:rPr>
          <w:rFonts w:ascii="Microsoft JhengHei" w:hAnsi="Microsoft JhengHei" w:cs="Microsoft JhengHei" w:eastAsia="Microsoft JhengHei" w:hint="default"/>
          <w:sz w:val="21"/>
          <w:szCs w:val="21"/>
        </w:rPr>
      </w:r>
    </w:p>
    <w:p>
      <w:pPr>
        <w:spacing w:before="73"/>
        <w:ind w:left="138" w:right="0"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after="0"/>
        <w:jc w:val="left"/>
        <w:rPr>
          <w:rFonts w:ascii="宋体" w:hAnsi="宋体" w:cs="宋体" w:eastAsia="宋体" w:hint="default"/>
          <w:sz w:val="21"/>
          <w:szCs w:val="21"/>
        </w:rPr>
        <w:sectPr>
          <w:footerReference w:type="default" r:id="rId47"/>
          <w:pgSz w:w="11910" w:h="16840"/>
          <w:pgMar w:footer="502" w:header="854" w:top="1360" w:bottom="700" w:left="1280" w:right="980"/>
        </w:sectPr>
      </w:pPr>
    </w:p>
    <w:p>
      <w:pPr>
        <w:spacing w:line="240" w:lineRule="auto" w:before="13"/>
        <w:rPr>
          <w:rFonts w:ascii="宋体" w:hAnsi="宋体" w:cs="宋体" w:eastAsia="宋体" w:hint="default"/>
          <w:sz w:val="17"/>
          <w:szCs w:val="17"/>
        </w:rPr>
      </w:pPr>
    </w:p>
    <w:p>
      <w:pPr>
        <w:pStyle w:val="Heading1"/>
        <w:tabs>
          <w:tab w:pos="4368" w:val="left" w:leader="none"/>
        </w:tabs>
        <w:spacing w:line="413" w:lineRule="exact"/>
        <w:ind w:left="3108" w:right="816"/>
        <w:jc w:val="left"/>
        <w:rPr>
          <w:b w:val="0"/>
          <w:bCs w:val="0"/>
        </w:rPr>
      </w:pPr>
      <w:bookmarkStart w:name="_bookmark5" w:id="7"/>
      <w:bookmarkEnd w:id="7"/>
      <w:r>
        <w:rPr>
          <w:b w:val="0"/>
          <w:bCs w:val="0"/>
        </w:rPr>
      </w:r>
      <w:r>
        <w:rPr/>
        <w:t>第六节</w:t>
        <w:tab/>
        <w:t>普通股股份变动及股东情况</w:t>
      </w:r>
      <w:r>
        <w:rPr>
          <w:b w:val="0"/>
          <w:bCs w:val="0"/>
        </w:rPr>
      </w:r>
    </w:p>
    <w:p>
      <w:pPr>
        <w:spacing w:line="240" w:lineRule="auto" w:before="12"/>
        <w:rPr>
          <w:rFonts w:ascii="Microsoft JhengHei" w:hAnsi="Microsoft JhengHei" w:cs="Microsoft JhengHei" w:eastAsia="Microsoft JhengHei" w:hint="default"/>
          <w:b/>
          <w:bCs/>
          <w:sz w:val="8"/>
          <w:szCs w:val="8"/>
        </w:rPr>
      </w:pPr>
    </w:p>
    <w:p>
      <w:pPr>
        <w:spacing w:after="0" w:line="240" w:lineRule="auto"/>
        <w:rPr>
          <w:rFonts w:ascii="Microsoft JhengHei" w:hAnsi="Microsoft JhengHei" w:cs="Microsoft JhengHei" w:eastAsia="Microsoft JhengHei" w:hint="default"/>
          <w:sz w:val="8"/>
          <w:szCs w:val="8"/>
        </w:rPr>
        <w:sectPr>
          <w:footerReference w:type="default" r:id="rId48"/>
          <w:pgSz w:w="11910" w:h="16840"/>
          <w:pgMar w:footer="502" w:header="854" w:top="1360" w:bottom="700" w:left="600" w:right="320"/>
        </w:sectPr>
      </w:pPr>
    </w:p>
    <w:p>
      <w:pPr>
        <w:spacing w:line="335" w:lineRule="exact" w:before="0"/>
        <w:ind w:left="818" w:right="-18"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一、</w:t>
      </w:r>
      <w:r>
        <w:rPr>
          <w:rFonts w:ascii="Microsoft JhengHei" w:hAnsi="Microsoft JhengHei" w:cs="Microsoft JhengHei" w:eastAsia="Microsoft JhengHei" w:hint="default"/>
          <w:b/>
          <w:bCs/>
          <w:spacing w:val="-12"/>
          <w:sz w:val="21"/>
          <w:szCs w:val="21"/>
        </w:rPr>
        <w:t> </w:t>
      </w:r>
      <w:r>
        <w:rPr>
          <w:rFonts w:ascii="Microsoft JhengHei" w:hAnsi="Microsoft JhengHei" w:cs="Microsoft JhengHei" w:eastAsia="Microsoft JhengHei" w:hint="default"/>
          <w:b/>
          <w:bCs/>
          <w:sz w:val="21"/>
          <w:szCs w:val="21"/>
        </w:rPr>
        <w:t>普通股股本变动情况</w:t>
      </w:r>
      <w:r>
        <w:rPr>
          <w:rFonts w:ascii="Microsoft JhengHei" w:hAnsi="Microsoft JhengHei" w:cs="Microsoft JhengHei" w:eastAsia="Microsoft JhengHei" w:hint="default"/>
          <w:sz w:val="21"/>
          <w:szCs w:val="21"/>
        </w:rPr>
      </w:r>
    </w:p>
    <w:p>
      <w:pPr>
        <w:spacing w:line="242" w:lineRule="auto" w:before="6"/>
        <w:ind w:left="818" w:right="-18"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一</w:t>
      </w:r>
      <w:r>
        <w:rPr>
          <w:rFonts w:ascii="Calibri" w:hAnsi="Calibri" w:cs="Calibri" w:eastAsia="Calibri" w:hint="default"/>
          <w:b/>
          <w:bCs/>
          <w:sz w:val="21"/>
          <w:szCs w:val="21"/>
        </w:rPr>
        <w:t>)</w:t>
      </w:r>
      <w:r>
        <w:rPr>
          <w:rFonts w:ascii="Calibri" w:hAnsi="Calibri" w:cs="Calibri" w:eastAsia="Calibri" w:hint="default"/>
          <w:b/>
          <w:bCs/>
          <w:spacing w:val="38"/>
          <w:sz w:val="21"/>
          <w:szCs w:val="21"/>
        </w:rPr>
        <w:t> </w:t>
      </w:r>
      <w:r>
        <w:rPr>
          <w:rFonts w:ascii="Microsoft JhengHei" w:hAnsi="Microsoft JhengHei" w:cs="Microsoft JhengHei" w:eastAsia="Microsoft JhengHei" w:hint="default"/>
          <w:b/>
          <w:bCs/>
          <w:sz w:val="21"/>
          <w:szCs w:val="21"/>
        </w:rPr>
        <w:t>普通股股份变动情况表</w:t>
      </w:r>
      <w:r>
        <w:rPr>
          <w:rFonts w:ascii="Microsoft JhengHei" w:hAnsi="Microsoft JhengHei" w:cs="Microsoft JhengHei" w:eastAsia="Microsoft JhengHei" w:hint="default"/>
          <w:b/>
          <w:bCs/>
          <w:w w:val="100"/>
          <w:sz w:val="21"/>
          <w:szCs w:val="21"/>
        </w:rPr>
        <w:t> </w:t>
      </w:r>
      <w:r>
        <w:rPr>
          <w:rFonts w:ascii="Arial" w:hAnsi="Arial" w:cs="Arial" w:eastAsia="Arial" w:hint="default"/>
          <w:b/>
          <w:bCs/>
          <w:sz w:val="21"/>
          <w:szCs w:val="21"/>
        </w:rPr>
        <w:t>1</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49"/>
          <w:sz w:val="21"/>
          <w:szCs w:val="21"/>
        </w:rPr>
        <w:t> </w:t>
      </w:r>
      <w:r>
        <w:rPr>
          <w:rFonts w:ascii="Microsoft JhengHei" w:hAnsi="Microsoft JhengHei" w:cs="Microsoft JhengHei" w:eastAsia="Microsoft JhengHei" w:hint="default"/>
          <w:b/>
          <w:bCs/>
          <w:sz w:val="21"/>
          <w:szCs w:val="21"/>
        </w:rPr>
        <w:t>普通股股份变动情况表</w:t>
      </w:r>
      <w:r>
        <w:rPr>
          <w:rFonts w:ascii="Microsoft JhengHei" w:hAnsi="Microsoft JhengHei" w:cs="Microsoft JhengHei" w:eastAsia="Microsoft JhengHei" w:hint="default"/>
          <w:sz w:val="21"/>
          <w:szCs w:val="21"/>
        </w:rPr>
      </w:r>
    </w:p>
    <w:p>
      <w:pPr>
        <w:spacing w:line="240" w:lineRule="auto" w:before="0"/>
        <w:rPr>
          <w:rFonts w:ascii="Microsoft JhengHei" w:hAnsi="Microsoft JhengHei" w:cs="Microsoft JhengHei" w:eastAsia="Microsoft JhengHei" w:hint="default"/>
          <w:b/>
          <w:bCs/>
          <w:sz w:val="20"/>
          <w:szCs w:val="20"/>
        </w:rPr>
      </w:pPr>
      <w:r>
        <w:rPr/>
        <w:br w:type="column"/>
      </w:r>
      <w:r>
        <w:rPr>
          <w:rFonts w:ascii="Microsoft JhengHei"/>
          <w:b/>
          <w:sz w:val="2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3"/>
        <w:rPr>
          <w:rFonts w:ascii="Microsoft JhengHei" w:hAnsi="Microsoft JhengHei" w:cs="Microsoft JhengHei" w:eastAsia="Microsoft JhengHei" w:hint="default"/>
          <w:b/>
          <w:bCs/>
          <w:sz w:val="26"/>
          <w:szCs w:val="26"/>
        </w:rPr>
      </w:pPr>
    </w:p>
    <w:p>
      <w:pPr>
        <w:spacing w:before="0"/>
        <w:ind w:left="818"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1910" w:h="16840"/>
          <w:pgMar w:top="1360" w:bottom="700" w:left="600" w:right="320"/>
          <w:cols w:num="2" w:equalWidth="0">
            <w:col w:w="3349" w:space="5026"/>
            <w:col w:w="2615"/>
          </w:cols>
        </w:sectPr>
      </w:pPr>
    </w:p>
    <w:p>
      <w:pPr>
        <w:spacing w:line="240" w:lineRule="auto" w:before="12"/>
        <w:rPr>
          <w:rFonts w:ascii="宋体" w:hAnsi="宋体" w:cs="宋体" w:eastAsia="宋体" w:hint="default"/>
          <w:sz w:val="3"/>
          <w:szCs w:val="3"/>
        </w:rPr>
      </w:pPr>
    </w:p>
    <w:tbl>
      <w:tblPr>
        <w:tblW w:w="0" w:type="auto"/>
        <w:jc w:val="left"/>
        <w:tblInd w:w="105" w:type="dxa"/>
        <w:tblLayout w:type="fixed"/>
        <w:tblCellMar>
          <w:top w:w="0" w:type="dxa"/>
          <w:left w:w="0" w:type="dxa"/>
          <w:bottom w:w="0" w:type="dxa"/>
          <w:right w:w="0" w:type="dxa"/>
        </w:tblCellMar>
        <w:tblLook w:val="01E0"/>
      </w:tblPr>
      <w:tblGrid>
        <w:gridCol w:w="1366"/>
        <w:gridCol w:w="1815"/>
        <w:gridCol w:w="871"/>
        <w:gridCol w:w="1301"/>
        <w:gridCol w:w="1508"/>
        <w:gridCol w:w="1301"/>
        <w:gridCol w:w="1726"/>
        <w:gridCol w:w="869"/>
      </w:tblGrid>
      <w:tr>
        <w:trPr>
          <w:trHeight w:val="323" w:hRule="exact"/>
        </w:trPr>
        <w:tc>
          <w:tcPr>
            <w:tcW w:w="1366" w:type="dxa"/>
            <w:vMerge w:val="restart"/>
            <w:tcBorders>
              <w:top w:val="single" w:sz="4" w:space="0" w:color="000000"/>
              <w:left w:val="single" w:sz="4" w:space="0" w:color="000000"/>
              <w:right w:val="single" w:sz="4" w:space="0" w:color="000000"/>
            </w:tcBorders>
            <w:shd w:val="clear" w:color="auto" w:fill="D9D9D9"/>
          </w:tcPr>
          <w:p>
            <w:pPr/>
          </w:p>
        </w:tc>
        <w:tc>
          <w:tcPr>
            <w:tcW w:w="268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left="811"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4110"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left="892" w:right="0"/>
              <w:jc w:val="left"/>
              <w:rPr>
                <w:rFonts w:ascii="宋体" w:hAnsi="宋体" w:cs="宋体" w:eastAsia="宋体" w:hint="default"/>
                <w:sz w:val="21"/>
                <w:szCs w:val="21"/>
              </w:rPr>
            </w:pPr>
            <w:r>
              <w:rPr>
                <w:rFonts w:ascii="宋体" w:hAnsi="宋体" w:cs="宋体" w:eastAsia="宋体" w:hint="default"/>
                <w:sz w:val="21"/>
                <w:szCs w:val="21"/>
              </w:rPr>
              <w:t>本次变动增减（＋，－）</w:t>
            </w:r>
          </w:p>
        </w:tc>
        <w:tc>
          <w:tcPr>
            <w:tcW w:w="259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left="765"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634" w:hRule="exact"/>
        </w:trPr>
        <w:tc>
          <w:tcPr>
            <w:tcW w:w="1366" w:type="dxa"/>
            <w:vMerge/>
            <w:tcBorders>
              <w:left w:val="single" w:sz="4" w:space="0" w:color="000000"/>
              <w:bottom w:val="single" w:sz="4" w:space="0" w:color="000000"/>
              <w:right w:val="single" w:sz="4" w:space="0" w:color="000000"/>
            </w:tcBorders>
            <w:shd w:val="clear" w:color="auto" w:fill="D9D9D9"/>
          </w:tcPr>
          <w:p>
            <w:pPr/>
          </w:p>
        </w:tc>
        <w:tc>
          <w:tcPr>
            <w:tcW w:w="18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数量</w:t>
            </w:r>
          </w:p>
        </w:tc>
        <w:tc>
          <w:tcPr>
            <w:tcW w:w="8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220"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84"/>
              <w:ind w:left="273" w:right="0"/>
              <w:jc w:val="left"/>
              <w:rPr>
                <w:rFonts w:ascii="Times New Roman" w:hAnsi="Times New Roman" w:cs="Times New Roman" w:eastAsia="Times New Roman" w:hint="default"/>
                <w:sz w:val="21"/>
                <w:szCs w:val="21"/>
              </w:rPr>
            </w:pPr>
            <w:r>
              <w:rPr>
                <w:rFonts w:ascii="Times New Roman"/>
                <w:sz w:val="21"/>
              </w:rPr>
              <w:t>(%)</w:t>
            </w:r>
          </w:p>
        </w:tc>
        <w:tc>
          <w:tcPr>
            <w:tcW w:w="13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发行新股</w:t>
            </w:r>
          </w:p>
        </w:tc>
        <w:tc>
          <w:tcPr>
            <w:tcW w:w="15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其他</w:t>
            </w:r>
          </w:p>
        </w:tc>
        <w:tc>
          <w:tcPr>
            <w:tcW w:w="13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3"/>
              <w:ind w:right="3"/>
              <w:jc w:val="center"/>
              <w:rPr>
                <w:rFonts w:ascii="宋体" w:hAnsi="宋体" w:cs="宋体" w:eastAsia="宋体" w:hint="default"/>
                <w:sz w:val="21"/>
                <w:szCs w:val="21"/>
              </w:rPr>
            </w:pPr>
            <w:r>
              <w:rPr>
                <w:rFonts w:ascii="宋体" w:hAnsi="宋体" w:cs="宋体" w:eastAsia="宋体" w:hint="default"/>
                <w:sz w:val="21"/>
                <w:szCs w:val="21"/>
              </w:rPr>
              <w:t>小计</w:t>
            </w:r>
          </w:p>
        </w:tc>
        <w:tc>
          <w:tcPr>
            <w:tcW w:w="17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数量</w:t>
            </w:r>
          </w:p>
        </w:tc>
        <w:tc>
          <w:tcPr>
            <w:tcW w:w="8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218"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84"/>
              <w:ind w:left="271" w:right="0"/>
              <w:jc w:val="left"/>
              <w:rPr>
                <w:rFonts w:ascii="Times New Roman" w:hAnsi="Times New Roman" w:cs="Times New Roman" w:eastAsia="Times New Roman" w:hint="default"/>
                <w:sz w:val="21"/>
                <w:szCs w:val="21"/>
              </w:rPr>
            </w:pPr>
            <w:r>
              <w:rPr>
                <w:rFonts w:ascii="Times New Roman"/>
                <w:sz w:val="21"/>
              </w:rPr>
              <w:t>(%)</w:t>
            </w:r>
          </w:p>
        </w:tc>
      </w:tr>
      <w:tr>
        <w:trPr>
          <w:trHeight w:val="634" w:hRule="exact"/>
        </w:trPr>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0" w:right="199"/>
              <w:jc w:val="left"/>
              <w:rPr>
                <w:rFonts w:ascii="宋体" w:hAnsi="宋体" w:cs="宋体" w:eastAsia="宋体" w:hint="default"/>
                <w:sz w:val="21"/>
                <w:szCs w:val="21"/>
              </w:rPr>
            </w:pPr>
            <w:r>
              <w:rPr>
                <w:rFonts w:ascii="宋体" w:hAnsi="宋体" w:cs="宋体" w:eastAsia="宋体" w:hint="default"/>
                <w:sz w:val="21"/>
                <w:szCs w:val="21"/>
              </w:rPr>
              <w:t>一、有限售</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条件股份</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宋体" w:hAnsi="宋体" w:cs="宋体" w:eastAsia="宋体" w:hint="default"/>
                <w:sz w:val="21"/>
                <w:szCs w:val="21"/>
              </w:rPr>
            </w:pPr>
            <w:r>
              <w:rPr>
                <w:rFonts w:ascii="宋体"/>
                <w:sz w:val="21"/>
              </w:rPr>
              <w:t>9,831,215,292</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2" w:right="0"/>
              <w:jc w:val="center"/>
              <w:rPr>
                <w:rFonts w:ascii="宋体" w:hAnsi="宋体" w:cs="宋体" w:eastAsia="宋体" w:hint="default"/>
                <w:sz w:val="21"/>
                <w:szCs w:val="21"/>
              </w:rPr>
            </w:pPr>
            <w:r>
              <w:rPr>
                <w:rFonts w:ascii="宋体"/>
                <w:sz w:val="21"/>
              </w:rPr>
              <w:t>31.69%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2" w:right="0"/>
              <w:jc w:val="center"/>
              <w:rPr>
                <w:rFonts w:ascii="宋体" w:hAnsi="宋体" w:cs="宋体" w:eastAsia="宋体" w:hint="default"/>
                <w:sz w:val="21"/>
                <w:szCs w:val="21"/>
              </w:rPr>
            </w:pPr>
            <w:r>
              <w:rPr>
                <w:rFonts w:ascii="宋体"/>
                <w:sz w:val="21"/>
              </w:rPr>
              <w:t>13,156,000</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宋体" w:hAnsi="宋体" w:cs="宋体" w:eastAsia="宋体" w:hint="default"/>
                <w:sz w:val="21"/>
                <w:szCs w:val="21"/>
              </w:rPr>
            </w:pPr>
            <w:r>
              <w:rPr>
                <w:rFonts w:ascii="宋体"/>
                <w:sz w:val="21"/>
              </w:rPr>
              <w:t>-15,460,000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宋体" w:hAnsi="宋体" w:cs="宋体" w:eastAsia="宋体" w:hint="default"/>
                <w:sz w:val="21"/>
                <w:szCs w:val="21"/>
              </w:rPr>
            </w:pPr>
            <w:r>
              <w:rPr>
                <w:rFonts w:ascii="宋体"/>
                <w:sz w:val="21"/>
              </w:rPr>
              <w:t>-2,304,000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73"/>
              <w:jc w:val="right"/>
              <w:rPr>
                <w:rFonts w:ascii="宋体" w:hAnsi="宋体" w:cs="宋体" w:eastAsia="宋体" w:hint="default"/>
                <w:sz w:val="21"/>
                <w:szCs w:val="21"/>
              </w:rPr>
            </w:pPr>
            <w:r>
              <w:rPr>
                <w:rFonts w:ascii="宋体"/>
                <w:spacing w:val="-1"/>
                <w:sz w:val="21"/>
              </w:rPr>
              <w:t>9,828,911,292</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宋体" w:hAnsi="宋体" w:cs="宋体" w:eastAsia="宋体" w:hint="default"/>
                <w:sz w:val="21"/>
                <w:szCs w:val="21"/>
              </w:rPr>
            </w:pPr>
            <w:r>
              <w:rPr>
                <w:rFonts w:ascii="宋体"/>
                <w:sz w:val="21"/>
              </w:rPr>
              <w:t>31.68%</w:t>
            </w:r>
          </w:p>
        </w:tc>
      </w:tr>
      <w:tr>
        <w:trPr>
          <w:trHeight w:val="946" w:hRule="exact"/>
        </w:trPr>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0" w:right="199"/>
              <w:jc w:val="both"/>
              <w:rPr>
                <w:rFonts w:ascii="宋体" w:hAnsi="宋体" w:cs="宋体" w:eastAsia="宋体" w:hint="default"/>
                <w:sz w:val="21"/>
                <w:szCs w:val="21"/>
              </w:rPr>
            </w:pPr>
            <w:r>
              <w:rPr>
                <w:rFonts w:ascii="宋体" w:hAnsi="宋体" w:cs="宋体" w:eastAsia="宋体" w:hint="default"/>
                <w:sz w:val="21"/>
                <w:szCs w:val="21"/>
              </w:rPr>
              <w:t>二、无限售</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条件流通股</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份</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sz w:val="21"/>
              </w:rPr>
              <w:t>21,196,596,395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2" w:right="0"/>
              <w:jc w:val="center"/>
              <w:rPr>
                <w:rFonts w:ascii="宋体" w:hAnsi="宋体" w:cs="宋体" w:eastAsia="宋体" w:hint="default"/>
                <w:sz w:val="21"/>
                <w:szCs w:val="21"/>
              </w:rPr>
            </w:pPr>
            <w:r>
              <w:rPr>
                <w:rFonts w:ascii="宋体"/>
                <w:sz w:val="21"/>
              </w:rPr>
              <w:t>68.31%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w w:val="100"/>
                <w:sz w:val="21"/>
              </w:rPr>
              <w:t>0</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w w:val="100"/>
                <w:sz w:val="21"/>
              </w:rPr>
              <w:t>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3"/>
              <w:jc w:val="center"/>
              <w:rPr>
                <w:rFonts w:ascii="宋体" w:hAnsi="宋体" w:cs="宋体" w:eastAsia="宋体" w:hint="default"/>
                <w:sz w:val="21"/>
                <w:szCs w:val="21"/>
              </w:rPr>
            </w:pPr>
            <w:r>
              <w:rPr>
                <w:rFonts w:ascii="宋体"/>
                <w:w w:val="100"/>
                <w:sz w:val="21"/>
              </w:rPr>
              <w:t>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120"/>
              <w:jc w:val="right"/>
              <w:rPr>
                <w:rFonts w:ascii="宋体" w:hAnsi="宋体" w:cs="宋体" w:eastAsia="宋体" w:hint="default"/>
                <w:sz w:val="21"/>
                <w:szCs w:val="21"/>
              </w:rPr>
            </w:pPr>
            <w:r>
              <w:rPr>
                <w:rFonts w:ascii="宋体"/>
                <w:spacing w:val="-1"/>
                <w:sz w:val="21"/>
              </w:rPr>
              <w:t>21,196,596,395</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sz w:val="21"/>
              </w:rPr>
              <w:t>68.32%</w:t>
            </w:r>
          </w:p>
        </w:tc>
      </w:tr>
      <w:tr>
        <w:trPr>
          <w:trHeight w:val="634" w:hRule="exact"/>
        </w:trPr>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0" w:right="199"/>
              <w:jc w:val="left"/>
              <w:rPr>
                <w:rFonts w:ascii="宋体" w:hAnsi="宋体" w:cs="宋体" w:eastAsia="宋体" w:hint="default"/>
                <w:sz w:val="21"/>
                <w:szCs w:val="21"/>
              </w:rPr>
            </w:pPr>
            <w:r>
              <w:rPr>
                <w:rFonts w:ascii="宋体" w:hAnsi="宋体" w:cs="宋体" w:eastAsia="宋体" w:hint="default"/>
                <w:sz w:val="21"/>
                <w:szCs w:val="21"/>
              </w:rPr>
              <w:t>三、普通股</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股份总数</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sz w:val="21"/>
              </w:rPr>
              <w:t>31,027,811,687</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sz w:val="21"/>
              </w:rPr>
              <w:t>100%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sz w:val="21"/>
              </w:rPr>
              <w:t>13,156,000</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sz w:val="21"/>
              </w:rPr>
              <w:t>-15,460,000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sz w:val="21"/>
              </w:rPr>
              <w:t>-2,304,000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20"/>
              <w:jc w:val="right"/>
              <w:rPr>
                <w:rFonts w:ascii="宋体" w:hAnsi="宋体" w:cs="宋体" w:eastAsia="宋体" w:hint="default"/>
                <w:sz w:val="21"/>
                <w:szCs w:val="21"/>
              </w:rPr>
            </w:pPr>
            <w:r>
              <w:rPr>
                <w:rFonts w:ascii="宋体"/>
                <w:spacing w:val="-1"/>
                <w:sz w:val="21"/>
              </w:rPr>
              <w:t>31,025,507,687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sz w:val="21"/>
              </w:rPr>
              <w:t>100%</w:t>
            </w:r>
          </w:p>
        </w:tc>
      </w:tr>
    </w:tbl>
    <w:p>
      <w:pPr>
        <w:spacing w:line="240" w:lineRule="auto" w:before="1"/>
        <w:rPr>
          <w:rFonts w:ascii="宋体" w:hAnsi="宋体" w:cs="宋体" w:eastAsia="宋体" w:hint="default"/>
          <w:sz w:val="10"/>
          <w:szCs w:val="10"/>
        </w:rPr>
      </w:pPr>
    </w:p>
    <w:p>
      <w:pPr>
        <w:spacing w:before="51"/>
        <w:ind w:left="818" w:right="816" w:firstLine="0"/>
        <w:jc w:val="left"/>
        <w:rPr>
          <w:rFonts w:ascii="宋体" w:hAnsi="宋体" w:cs="宋体" w:eastAsia="宋体" w:hint="default"/>
          <w:sz w:val="16"/>
          <w:szCs w:val="16"/>
        </w:rPr>
      </w:pPr>
      <w:r>
        <w:rPr>
          <w:rFonts w:ascii="宋体" w:hAnsi="宋体" w:cs="宋体" w:eastAsia="宋体" w:hint="default"/>
          <w:sz w:val="16"/>
          <w:szCs w:val="16"/>
        </w:rPr>
        <w:t>注：</w:t>
      </w:r>
      <w:r>
        <w:rPr>
          <w:rFonts w:ascii="宋体" w:hAnsi="宋体" w:cs="宋体" w:eastAsia="宋体" w:hint="default"/>
          <w:spacing w:val="-2"/>
          <w:sz w:val="16"/>
          <w:szCs w:val="16"/>
        </w:rPr>
        <w:t> </w:t>
      </w:r>
      <w:r>
        <w:rPr>
          <w:rFonts w:ascii="宋体" w:hAnsi="宋体" w:cs="宋体" w:eastAsia="宋体" w:hint="default"/>
          <w:sz w:val="16"/>
          <w:szCs w:val="16"/>
        </w:rPr>
        <w:t>1.</w:t>
      </w:r>
      <w:r>
        <w:rPr>
          <w:rFonts w:ascii="宋体" w:hAnsi="宋体" w:cs="宋体" w:eastAsia="宋体" w:hint="default"/>
          <w:sz w:val="16"/>
          <w:szCs w:val="16"/>
        </w:rPr>
        <w:t>本次变动后数据截至本报告披露日。</w:t>
      </w:r>
    </w:p>
    <w:p>
      <w:pPr>
        <w:spacing w:before="102"/>
        <w:ind w:left="818" w:right="816" w:firstLine="0"/>
        <w:jc w:val="left"/>
        <w:rPr>
          <w:rFonts w:ascii="宋体" w:hAnsi="宋体" w:cs="宋体" w:eastAsia="宋体" w:hint="default"/>
          <w:sz w:val="16"/>
          <w:szCs w:val="16"/>
        </w:rPr>
      </w:pPr>
      <w:r>
        <w:rPr>
          <w:rFonts w:ascii="宋体" w:hAnsi="宋体" w:cs="宋体" w:eastAsia="宋体" w:hint="default"/>
          <w:sz w:val="16"/>
          <w:szCs w:val="16"/>
        </w:rPr>
        <w:t>2.</w:t>
      </w:r>
      <w:r>
        <w:rPr>
          <w:rFonts w:ascii="宋体" w:hAnsi="宋体" w:cs="宋体" w:eastAsia="宋体" w:hint="default"/>
          <w:sz w:val="16"/>
          <w:szCs w:val="16"/>
        </w:rPr>
        <w:t>无限售条件流通股中包含公司控股股东联通集团于</w:t>
      </w:r>
      <w:r>
        <w:rPr>
          <w:rFonts w:ascii="宋体" w:hAnsi="宋体" w:cs="宋体" w:eastAsia="宋体" w:hint="default"/>
          <w:spacing w:val="-44"/>
          <w:sz w:val="16"/>
          <w:szCs w:val="16"/>
        </w:rPr>
        <w:t> </w:t>
      </w:r>
      <w:r>
        <w:rPr>
          <w:rFonts w:ascii="Times New Roman" w:hAnsi="Times New Roman" w:cs="Times New Roman" w:eastAsia="Times New Roman" w:hint="default"/>
          <w:sz w:val="16"/>
          <w:szCs w:val="16"/>
        </w:rPr>
        <w:t>2017</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11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月底向中国国有企业结构调整基金股份有限公司（简称</w:t>
      </w:r>
      <w:r>
        <w:rPr>
          <w:rFonts w:ascii="Times New Roman" w:hAnsi="Times New Roman" w:cs="Times New Roman" w:eastAsia="Times New Roman" w:hint="default"/>
          <w:sz w:val="16"/>
          <w:szCs w:val="16"/>
        </w:rPr>
        <w:t>“</w:t>
      </w:r>
      <w:r>
        <w:rPr>
          <w:rFonts w:ascii="宋体" w:hAnsi="宋体" w:cs="宋体" w:eastAsia="宋体" w:hint="default"/>
          <w:sz w:val="16"/>
          <w:szCs w:val="16"/>
        </w:rPr>
        <w:t>结构调整基</w:t>
      </w:r>
    </w:p>
    <w:p>
      <w:pPr>
        <w:spacing w:line="338" w:lineRule="auto" w:before="90"/>
        <w:ind w:left="818" w:right="816" w:firstLine="0"/>
        <w:jc w:val="left"/>
        <w:rPr>
          <w:rFonts w:ascii="宋体" w:hAnsi="宋体" w:cs="宋体" w:eastAsia="宋体" w:hint="default"/>
          <w:sz w:val="16"/>
          <w:szCs w:val="16"/>
        </w:rPr>
      </w:pPr>
      <w:r>
        <w:rPr>
          <w:rFonts w:ascii="宋体" w:hAnsi="宋体" w:cs="宋体" w:eastAsia="宋体" w:hint="default"/>
          <w:sz w:val="16"/>
          <w:szCs w:val="16"/>
        </w:rPr>
        <w:t>金</w:t>
      </w:r>
      <w:r>
        <w:rPr>
          <w:rFonts w:ascii="Times New Roman" w:hAnsi="Times New Roman" w:cs="Times New Roman" w:eastAsia="Times New Roman" w:hint="default"/>
          <w:sz w:val="16"/>
          <w:szCs w:val="16"/>
        </w:rPr>
        <w:t>”</w:t>
      </w:r>
      <w:r>
        <w:rPr>
          <w:rFonts w:ascii="宋体" w:hAnsi="宋体" w:cs="宋体" w:eastAsia="宋体" w:hint="default"/>
          <w:sz w:val="16"/>
          <w:szCs w:val="16"/>
        </w:rPr>
        <w:t>）完成协议转让的</w:t>
      </w:r>
      <w:r>
        <w:rPr>
          <w:rFonts w:ascii="宋体" w:hAnsi="宋体" w:cs="宋体" w:eastAsia="宋体" w:hint="default"/>
          <w:spacing w:val="-45"/>
          <w:sz w:val="16"/>
          <w:szCs w:val="16"/>
        </w:rPr>
        <w:t> </w:t>
      </w:r>
      <w:r>
        <w:rPr>
          <w:rFonts w:ascii="Times New Roman" w:hAnsi="Times New Roman" w:cs="Times New Roman" w:eastAsia="Times New Roman" w:hint="default"/>
          <w:sz w:val="16"/>
          <w:szCs w:val="16"/>
        </w:rPr>
        <w:t>1,899,764,201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股本公司股份。根据双方《股份转让协议》相关约定，自交割日起</w:t>
      </w:r>
      <w:r>
        <w:rPr>
          <w:rFonts w:ascii="宋体" w:hAnsi="宋体" w:cs="宋体" w:eastAsia="宋体" w:hint="default"/>
          <w:spacing w:val="-47"/>
          <w:sz w:val="16"/>
          <w:szCs w:val="16"/>
        </w:rPr>
        <w:t> </w:t>
      </w:r>
      <w:r>
        <w:rPr>
          <w:rFonts w:ascii="Times New Roman" w:hAnsi="Times New Roman" w:cs="Times New Roman" w:eastAsia="Times New Roman" w:hint="default"/>
          <w:sz w:val="16"/>
          <w:szCs w:val="16"/>
        </w:rPr>
        <w:t>36</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个月内，结构调整基金不</w:t>
      </w:r>
      <w:r>
        <w:rPr>
          <w:rFonts w:ascii="宋体" w:hAnsi="宋体" w:cs="宋体" w:eastAsia="宋体" w:hint="default"/>
          <w:w w:val="100"/>
          <w:sz w:val="16"/>
          <w:szCs w:val="16"/>
        </w:rPr>
        <w:t> </w:t>
      </w:r>
      <w:r>
        <w:rPr>
          <w:rFonts w:ascii="宋体" w:hAnsi="宋体" w:cs="宋体" w:eastAsia="宋体" w:hint="default"/>
          <w:sz w:val="16"/>
          <w:szCs w:val="16"/>
        </w:rPr>
        <w:t>得直接或间接转让此次协议转让股份。</w:t>
      </w:r>
    </w:p>
    <w:p>
      <w:pPr>
        <w:spacing w:line="240" w:lineRule="auto" w:before="2"/>
        <w:rPr>
          <w:rFonts w:ascii="宋体" w:hAnsi="宋体" w:cs="宋体" w:eastAsia="宋体" w:hint="default"/>
          <w:sz w:val="23"/>
          <w:szCs w:val="23"/>
        </w:rPr>
      </w:pPr>
    </w:p>
    <w:p>
      <w:pPr>
        <w:spacing w:line="386" w:lineRule="auto" w:before="0"/>
        <w:ind w:left="1238" w:right="816" w:hanging="420"/>
        <w:jc w:val="left"/>
        <w:rPr>
          <w:rFonts w:ascii="宋体" w:hAnsi="宋体" w:cs="宋体" w:eastAsia="宋体" w:hint="default"/>
          <w:sz w:val="21"/>
          <w:szCs w:val="21"/>
        </w:rPr>
      </w:pPr>
      <w:r>
        <w:rPr>
          <w:rFonts w:ascii="Arial" w:hAnsi="Arial" w:cs="Arial" w:eastAsia="Arial" w:hint="default"/>
          <w:b/>
          <w:bCs/>
          <w:sz w:val="21"/>
          <w:szCs w:val="21"/>
        </w:rPr>
        <w:t>2</w:t>
      </w:r>
      <w:r>
        <w:rPr>
          <w:rFonts w:ascii="Microsoft JhengHei" w:hAnsi="Microsoft JhengHei" w:cs="Microsoft JhengHei" w:eastAsia="Microsoft JhengHei" w:hint="default"/>
          <w:b/>
          <w:bCs/>
          <w:sz w:val="21"/>
          <w:szCs w:val="21"/>
        </w:rPr>
        <w:t>、</w:t>
      </w:r>
      <w:r>
        <w:rPr>
          <w:rFonts w:ascii="Microsoft JhengHei" w:hAnsi="Microsoft JhengHei" w:cs="Microsoft JhengHei" w:eastAsia="Microsoft JhengHei" w:hint="default"/>
          <w:b/>
          <w:bCs/>
          <w:spacing w:val="50"/>
          <w:sz w:val="21"/>
          <w:szCs w:val="21"/>
        </w:rPr>
        <w:t> </w:t>
      </w:r>
      <w:r>
        <w:rPr>
          <w:rFonts w:ascii="Microsoft JhengHei" w:hAnsi="Microsoft JhengHei" w:cs="Microsoft JhengHei" w:eastAsia="Microsoft JhengHei" w:hint="default"/>
          <w:b/>
          <w:bCs/>
          <w:sz w:val="21"/>
          <w:szCs w:val="21"/>
        </w:rPr>
        <w:t>普通股股份变动情况说明</w:t>
      </w:r>
      <w:r>
        <w:rPr>
          <w:rFonts w:ascii="Microsoft JhengHei" w:hAnsi="Microsoft JhengHei" w:cs="Microsoft JhengHei" w:eastAsia="Microsoft JhengHei" w:hint="default"/>
          <w:b/>
          <w:bCs/>
          <w:w w:val="100"/>
          <w:sz w:val="21"/>
          <w:szCs w:val="21"/>
        </w:rPr>
        <w:t> </w:t>
      </w:r>
      <w:r>
        <w:rPr>
          <w:rFonts w:ascii="宋体" w:hAnsi="宋体" w:cs="宋体" w:eastAsia="宋体" w:hint="default"/>
          <w:spacing w:val="-3"/>
          <w:sz w:val="21"/>
          <w:szCs w:val="21"/>
        </w:rPr>
        <w:t>报告期内，公司推进混合所有制改革，建立限制性股票员工激励计划，努力实现股东、公司、员</w:t>
      </w:r>
    </w:p>
    <w:p>
      <w:pPr>
        <w:spacing w:line="232" w:lineRule="exact" w:before="0"/>
        <w:ind w:left="818" w:right="816" w:firstLine="0"/>
        <w:jc w:val="left"/>
        <w:rPr>
          <w:rFonts w:ascii="宋体" w:hAnsi="宋体" w:cs="宋体" w:eastAsia="宋体" w:hint="default"/>
          <w:sz w:val="21"/>
          <w:szCs w:val="21"/>
        </w:rPr>
      </w:pPr>
      <w:r>
        <w:rPr>
          <w:rFonts w:ascii="宋体" w:hAnsi="宋体" w:cs="宋体" w:eastAsia="宋体" w:hint="default"/>
          <w:sz w:val="21"/>
          <w:szCs w:val="21"/>
        </w:rPr>
        <w:t>工利益一致。</w:t>
      </w:r>
      <w:r>
        <w:rPr>
          <w:rFonts w:ascii="宋体" w:hAnsi="宋体" w:cs="宋体" w:eastAsia="宋体" w:hint="default"/>
          <w:sz w:val="21"/>
          <w:szCs w:val="21"/>
        </w:rPr>
        <w:t>2019</w:t>
      </w:r>
      <w:r>
        <w:rPr>
          <w:rFonts w:ascii="宋体" w:hAnsi="宋体" w:cs="宋体" w:eastAsia="宋体" w:hint="default"/>
          <w:spacing w:val="-49"/>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宋体" w:hAnsi="宋体" w:cs="宋体" w:eastAsia="宋体" w:hint="default"/>
          <w:sz w:val="21"/>
          <w:szCs w:val="21"/>
        </w:rPr>
        <w:t>1</w:t>
      </w:r>
      <w:r>
        <w:rPr>
          <w:rFonts w:ascii="宋体" w:hAnsi="宋体" w:cs="宋体" w:eastAsia="宋体" w:hint="default"/>
          <w:spacing w:val="-51"/>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30</w:t>
      </w:r>
      <w:r>
        <w:rPr>
          <w:rFonts w:ascii="宋体" w:hAnsi="宋体" w:cs="宋体" w:eastAsia="宋体" w:hint="default"/>
          <w:spacing w:val="-49"/>
          <w:sz w:val="21"/>
          <w:szCs w:val="21"/>
        </w:rPr>
        <w:t> </w:t>
      </w:r>
      <w:r>
        <w:rPr>
          <w:rFonts w:ascii="宋体" w:hAnsi="宋体" w:cs="宋体" w:eastAsia="宋体" w:hint="default"/>
          <w:sz w:val="21"/>
          <w:szCs w:val="21"/>
        </w:rPr>
        <w:t>日，公司第六届董事会第十次会议审议通过了《关于公司限制性股票激</w:t>
      </w:r>
    </w:p>
    <w:p>
      <w:pPr>
        <w:spacing w:line="314" w:lineRule="auto" w:before="85"/>
        <w:ind w:left="818" w:right="816" w:firstLine="0"/>
        <w:jc w:val="left"/>
        <w:rPr>
          <w:rFonts w:ascii="宋体" w:hAnsi="宋体" w:cs="宋体" w:eastAsia="宋体" w:hint="default"/>
          <w:sz w:val="21"/>
          <w:szCs w:val="21"/>
        </w:rPr>
      </w:pPr>
      <w:r>
        <w:rPr>
          <w:rFonts w:ascii="宋体" w:hAnsi="宋体" w:cs="宋体" w:eastAsia="宋体" w:hint="default"/>
          <w:spacing w:val="-4"/>
          <w:sz w:val="21"/>
          <w:szCs w:val="21"/>
        </w:rPr>
        <w:t>励计划首期授予方案实施预留授予的议案》。</w:t>
      </w:r>
      <w:r>
        <w:rPr>
          <w:rFonts w:ascii="宋体" w:hAnsi="宋体" w:cs="宋体" w:eastAsia="宋体" w:hint="default"/>
          <w:spacing w:val="-4"/>
          <w:sz w:val="21"/>
          <w:szCs w:val="21"/>
        </w:rPr>
        <w:t>2019</w:t>
      </w:r>
      <w:r>
        <w:rPr>
          <w:rFonts w:ascii="宋体" w:hAnsi="宋体" w:cs="宋体" w:eastAsia="宋体" w:hint="default"/>
          <w:spacing w:val="-36"/>
          <w:sz w:val="21"/>
          <w:szCs w:val="21"/>
        </w:rPr>
        <w:t> </w:t>
      </w:r>
      <w:r>
        <w:rPr>
          <w:rFonts w:ascii="宋体" w:hAnsi="宋体" w:cs="宋体" w:eastAsia="宋体" w:hint="default"/>
          <w:sz w:val="21"/>
          <w:szCs w:val="21"/>
        </w:rPr>
        <w:t>年</w:t>
      </w:r>
      <w:r>
        <w:rPr>
          <w:rFonts w:ascii="宋体" w:hAnsi="宋体" w:cs="宋体" w:eastAsia="宋体" w:hint="default"/>
          <w:spacing w:val="-31"/>
          <w:sz w:val="21"/>
          <w:szCs w:val="21"/>
        </w:rPr>
        <w:t> </w:t>
      </w:r>
      <w:r>
        <w:rPr>
          <w:rFonts w:ascii="宋体" w:hAnsi="宋体" w:cs="宋体" w:eastAsia="宋体" w:hint="default"/>
          <w:sz w:val="21"/>
          <w:szCs w:val="21"/>
        </w:rPr>
        <w:t>3</w:t>
      </w:r>
      <w:r>
        <w:rPr>
          <w:rFonts w:ascii="宋体" w:hAnsi="宋体" w:cs="宋体" w:eastAsia="宋体" w:hint="default"/>
          <w:spacing w:val="-33"/>
          <w:sz w:val="21"/>
          <w:szCs w:val="21"/>
        </w:rPr>
        <w:t> </w:t>
      </w:r>
      <w:r>
        <w:rPr>
          <w:rFonts w:ascii="宋体" w:hAnsi="宋体" w:cs="宋体" w:eastAsia="宋体" w:hint="default"/>
          <w:spacing w:val="-3"/>
          <w:sz w:val="21"/>
          <w:szCs w:val="21"/>
        </w:rPr>
        <w:t>月，公司限制性股票激励计划首期授予预留股</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票登记完成，授予数量为</w:t>
      </w:r>
      <w:r>
        <w:rPr>
          <w:rFonts w:ascii="宋体" w:hAnsi="宋体" w:cs="宋体" w:eastAsia="宋体" w:hint="default"/>
          <w:spacing w:val="-57"/>
          <w:sz w:val="21"/>
          <w:szCs w:val="21"/>
        </w:rPr>
        <w:t> </w:t>
      </w:r>
      <w:r>
        <w:rPr>
          <w:rFonts w:ascii="宋体" w:hAnsi="宋体" w:cs="宋体" w:eastAsia="宋体" w:hint="default"/>
          <w:sz w:val="21"/>
          <w:szCs w:val="21"/>
        </w:rPr>
        <w:t>1,315.6</w:t>
      </w:r>
      <w:r>
        <w:rPr>
          <w:rFonts w:ascii="宋体" w:hAnsi="宋体" w:cs="宋体" w:eastAsia="宋体" w:hint="default"/>
          <w:spacing w:val="-55"/>
          <w:sz w:val="21"/>
          <w:szCs w:val="21"/>
        </w:rPr>
        <w:t> </w:t>
      </w:r>
      <w:r>
        <w:rPr>
          <w:rFonts w:ascii="宋体" w:hAnsi="宋体" w:cs="宋体" w:eastAsia="宋体" w:hint="default"/>
          <w:spacing w:val="-3"/>
          <w:sz w:val="21"/>
          <w:szCs w:val="21"/>
        </w:rPr>
        <w:t>万股，授予人数为</w:t>
      </w:r>
      <w:r>
        <w:rPr>
          <w:rFonts w:ascii="宋体" w:hAnsi="宋体" w:cs="宋体" w:eastAsia="宋体" w:hint="default"/>
          <w:spacing w:val="-55"/>
          <w:sz w:val="21"/>
          <w:szCs w:val="21"/>
        </w:rPr>
        <w:t> </w:t>
      </w:r>
      <w:r>
        <w:rPr>
          <w:rFonts w:ascii="宋体" w:hAnsi="宋体" w:cs="宋体" w:eastAsia="宋体" w:hint="default"/>
          <w:sz w:val="21"/>
          <w:szCs w:val="21"/>
        </w:rPr>
        <w:t>193</w:t>
      </w:r>
      <w:r>
        <w:rPr>
          <w:rFonts w:ascii="宋体" w:hAnsi="宋体" w:cs="宋体" w:eastAsia="宋体" w:hint="default"/>
          <w:spacing w:val="-57"/>
          <w:sz w:val="21"/>
          <w:szCs w:val="21"/>
        </w:rPr>
        <w:t> </w:t>
      </w:r>
      <w:r>
        <w:rPr>
          <w:rFonts w:ascii="宋体" w:hAnsi="宋体" w:cs="宋体" w:eastAsia="宋体" w:hint="default"/>
          <w:sz w:val="21"/>
          <w:szCs w:val="21"/>
        </w:rPr>
        <w:t>人（包括对公司经营业绩和持续发展有直接</w:t>
      </w:r>
    </w:p>
    <w:p>
      <w:pPr>
        <w:spacing w:line="314" w:lineRule="auto" w:before="20"/>
        <w:ind w:left="818" w:right="816" w:firstLine="0"/>
        <w:jc w:val="left"/>
        <w:rPr>
          <w:rFonts w:ascii="宋体" w:hAnsi="宋体" w:cs="宋体" w:eastAsia="宋体" w:hint="default"/>
          <w:sz w:val="21"/>
          <w:szCs w:val="21"/>
        </w:rPr>
      </w:pPr>
      <w:r>
        <w:rPr>
          <w:rFonts w:ascii="宋体" w:hAnsi="宋体" w:cs="宋体" w:eastAsia="宋体" w:hint="default"/>
          <w:spacing w:val="-3"/>
          <w:sz w:val="21"/>
          <w:szCs w:val="21"/>
        </w:rPr>
        <w:t>影响的核心管理人才及专业人才），授予价格为</w:t>
      </w:r>
      <w:r>
        <w:rPr>
          <w:rFonts w:ascii="宋体" w:hAnsi="宋体" w:cs="宋体" w:eastAsia="宋体" w:hint="default"/>
          <w:spacing w:val="-43"/>
          <w:sz w:val="21"/>
          <w:szCs w:val="21"/>
        </w:rPr>
        <w:t> </w:t>
      </w:r>
      <w:r>
        <w:rPr>
          <w:rFonts w:ascii="宋体" w:hAnsi="宋体" w:cs="宋体" w:eastAsia="宋体" w:hint="default"/>
          <w:sz w:val="21"/>
          <w:szCs w:val="21"/>
        </w:rPr>
        <w:t>3.79</w:t>
      </w:r>
      <w:r>
        <w:rPr>
          <w:rFonts w:ascii="宋体" w:hAnsi="宋体" w:cs="宋体" w:eastAsia="宋体" w:hint="default"/>
          <w:spacing w:val="-39"/>
          <w:sz w:val="21"/>
          <w:szCs w:val="21"/>
        </w:rPr>
        <w:t> </w:t>
      </w:r>
      <w:r>
        <w:rPr>
          <w:rFonts w:ascii="宋体" w:hAnsi="宋体" w:cs="宋体" w:eastAsia="宋体" w:hint="default"/>
          <w:sz w:val="21"/>
          <w:szCs w:val="21"/>
        </w:rPr>
        <w:t>元人民币</w:t>
      </w:r>
      <w:r>
        <w:rPr>
          <w:rFonts w:ascii="宋体" w:hAnsi="宋体" w:cs="宋体" w:eastAsia="宋体" w:hint="default"/>
          <w:sz w:val="21"/>
          <w:szCs w:val="21"/>
        </w:rPr>
        <w:t>/</w:t>
      </w:r>
      <w:r>
        <w:rPr>
          <w:rFonts w:ascii="宋体" w:hAnsi="宋体" w:cs="宋体" w:eastAsia="宋体" w:hint="default"/>
          <w:sz w:val="21"/>
          <w:szCs w:val="21"/>
        </w:rPr>
        <w:t>股，股票来源为公司向激励对象定向</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发行的公司</w:t>
      </w:r>
      <w:r>
        <w:rPr>
          <w:rFonts w:ascii="宋体" w:hAnsi="宋体" w:cs="宋体" w:eastAsia="宋体" w:hint="default"/>
          <w:spacing w:val="-53"/>
          <w:sz w:val="21"/>
          <w:szCs w:val="21"/>
        </w:rPr>
        <w:t> </w:t>
      </w:r>
      <w:r>
        <w:rPr>
          <w:rFonts w:ascii="宋体" w:hAnsi="宋体" w:cs="宋体" w:eastAsia="宋体" w:hint="default"/>
          <w:sz w:val="21"/>
          <w:szCs w:val="21"/>
        </w:rPr>
        <w:t>A</w:t>
      </w:r>
      <w:r>
        <w:rPr>
          <w:rFonts w:ascii="宋体" w:hAnsi="宋体" w:cs="宋体" w:eastAsia="宋体" w:hint="default"/>
          <w:spacing w:val="-53"/>
          <w:sz w:val="21"/>
          <w:szCs w:val="21"/>
        </w:rPr>
        <w:t> </w:t>
      </w:r>
      <w:r>
        <w:rPr>
          <w:rFonts w:ascii="宋体" w:hAnsi="宋体" w:cs="宋体" w:eastAsia="宋体" w:hint="default"/>
          <w:sz w:val="21"/>
          <w:szCs w:val="21"/>
        </w:rPr>
        <w:t>股普通股股票。</w:t>
      </w:r>
    </w:p>
    <w:p>
      <w:pPr>
        <w:spacing w:line="314" w:lineRule="auto" w:before="176"/>
        <w:ind w:left="818" w:right="816" w:firstLine="420"/>
        <w:jc w:val="left"/>
        <w:rPr>
          <w:rFonts w:ascii="宋体" w:hAnsi="宋体" w:cs="宋体" w:eastAsia="宋体" w:hint="default"/>
          <w:sz w:val="21"/>
          <w:szCs w:val="21"/>
        </w:rPr>
      </w:pPr>
      <w:r>
        <w:rPr>
          <w:rFonts w:ascii="宋体" w:hAnsi="宋体" w:cs="宋体" w:eastAsia="宋体" w:hint="default"/>
          <w:spacing w:val="-3"/>
          <w:sz w:val="21"/>
          <w:szCs w:val="21"/>
        </w:rPr>
        <w:t>截至报告披露日，分别经公司监事会、董事会、股东大会审议通过，并发布回购注销部分限制性</w:t>
      </w:r>
      <w:r>
        <w:rPr>
          <w:rFonts w:ascii="宋体" w:hAnsi="宋体" w:cs="宋体" w:eastAsia="宋体" w:hint="default"/>
          <w:w w:val="100"/>
          <w:sz w:val="21"/>
          <w:szCs w:val="21"/>
        </w:rPr>
        <w:t> </w:t>
      </w:r>
      <w:r>
        <w:rPr>
          <w:rFonts w:ascii="宋体" w:hAnsi="宋体" w:cs="宋体" w:eastAsia="宋体" w:hint="default"/>
          <w:spacing w:val="-3"/>
          <w:sz w:val="21"/>
          <w:szCs w:val="21"/>
        </w:rPr>
        <w:t>股票减少公司注册资本暨通知债权人公告，公司于</w:t>
      </w:r>
      <w:r>
        <w:rPr>
          <w:rFonts w:ascii="宋体" w:hAnsi="宋体" w:cs="宋体" w:eastAsia="宋体" w:hint="default"/>
          <w:spacing w:val="-50"/>
          <w:sz w:val="21"/>
          <w:szCs w:val="21"/>
        </w:rPr>
        <w:t> </w:t>
      </w:r>
      <w:r>
        <w:rPr>
          <w:rFonts w:ascii="宋体" w:hAnsi="宋体" w:cs="宋体" w:eastAsia="宋体" w:hint="default"/>
          <w:sz w:val="21"/>
          <w:szCs w:val="21"/>
        </w:rPr>
        <w:t>2019</w:t>
      </w:r>
      <w:r>
        <w:rPr>
          <w:rFonts w:ascii="宋体" w:hAnsi="宋体" w:cs="宋体" w:eastAsia="宋体" w:hint="default"/>
          <w:spacing w:val="-46"/>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9</w:t>
      </w:r>
      <w:r>
        <w:rPr>
          <w:rFonts w:ascii="宋体" w:hAnsi="宋体" w:cs="宋体" w:eastAsia="宋体" w:hint="default"/>
          <w:spacing w:val="-47"/>
          <w:sz w:val="21"/>
          <w:szCs w:val="21"/>
        </w:rPr>
        <w:t> </w:t>
      </w:r>
      <w:r>
        <w:rPr>
          <w:rFonts w:ascii="宋体" w:hAnsi="宋体" w:cs="宋体" w:eastAsia="宋体" w:hint="default"/>
          <w:sz w:val="21"/>
          <w:szCs w:val="21"/>
        </w:rPr>
        <w:t>月对已不属于激励范围的</w:t>
      </w:r>
      <w:r>
        <w:rPr>
          <w:rFonts w:ascii="宋体" w:hAnsi="宋体" w:cs="宋体" w:eastAsia="宋体" w:hint="default"/>
          <w:spacing w:val="-46"/>
          <w:sz w:val="21"/>
          <w:szCs w:val="21"/>
        </w:rPr>
        <w:t> </w:t>
      </w:r>
      <w:r>
        <w:rPr>
          <w:rFonts w:ascii="宋体" w:hAnsi="宋体" w:cs="宋体" w:eastAsia="宋体" w:hint="default"/>
          <w:sz w:val="21"/>
          <w:szCs w:val="21"/>
        </w:rPr>
        <w:t>72</w:t>
      </w:r>
      <w:r>
        <w:rPr>
          <w:rFonts w:ascii="宋体" w:hAnsi="宋体" w:cs="宋体" w:eastAsia="宋体" w:hint="default"/>
          <w:spacing w:val="-47"/>
          <w:sz w:val="21"/>
          <w:szCs w:val="21"/>
        </w:rPr>
        <w:t> </w:t>
      </w:r>
      <w:r>
        <w:rPr>
          <w:rFonts w:ascii="宋体" w:hAnsi="宋体" w:cs="宋体" w:eastAsia="宋体" w:hint="default"/>
          <w:sz w:val="21"/>
          <w:szCs w:val="21"/>
        </w:rPr>
        <w:t>名激励对象</w:t>
      </w:r>
    </w:p>
    <w:p>
      <w:pPr>
        <w:spacing w:before="20"/>
        <w:ind w:left="818" w:right="816" w:firstLine="0"/>
        <w:jc w:val="left"/>
        <w:rPr>
          <w:rFonts w:ascii="宋体" w:hAnsi="宋体" w:cs="宋体" w:eastAsia="宋体" w:hint="default"/>
          <w:sz w:val="21"/>
          <w:szCs w:val="21"/>
        </w:rPr>
      </w:pPr>
      <w:r>
        <w:rPr>
          <w:rFonts w:ascii="宋体" w:hAnsi="宋体" w:cs="宋体" w:eastAsia="宋体" w:hint="default"/>
          <w:sz w:val="21"/>
          <w:szCs w:val="21"/>
        </w:rPr>
        <w:t>持有的已获授但尚未解除限售的</w:t>
      </w:r>
      <w:r>
        <w:rPr>
          <w:rFonts w:ascii="宋体" w:hAnsi="宋体" w:cs="宋体" w:eastAsia="宋体" w:hint="default"/>
          <w:spacing w:val="-50"/>
          <w:sz w:val="21"/>
          <w:szCs w:val="21"/>
        </w:rPr>
        <w:t> </w:t>
      </w:r>
      <w:r>
        <w:rPr>
          <w:rFonts w:ascii="宋体" w:hAnsi="宋体" w:cs="宋体" w:eastAsia="宋体" w:hint="default"/>
          <w:sz w:val="21"/>
          <w:szCs w:val="21"/>
        </w:rPr>
        <w:t>7,262,000</w:t>
      </w:r>
      <w:r>
        <w:rPr>
          <w:rFonts w:ascii="宋体" w:hAnsi="宋体" w:cs="宋体" w:eastAsia="宋体" w:hint="default"/>
          <w:spacing w:val="-50"/>
          <w:sz w:val="21"/>
          <w:szCs w:val="21"/>
        </w:rPr>
        <w:t> </w:t>
      </w:r>
      <w:r>
        <w:rPr>
          <w:rFonts w:ascii="宋体" w:hAnsi="宋体" w:cs="宋体" w:eastAsia="宋体" w:hint="default"/>
          <w:spacing w:val="-6"/>
          <w:sz w:val="21"/>
          <w:szCs w:val="21"/>
        </w:rPr>
        <w:t>股限制性股票进行回购注销；</w:t>
      </w:r>
      <w:r>
        <w:rPr>
          <w:rFonts w:ascii="宋体" w:hAnsi="宋体" w:cs="宋体" w:eastAsia="宋体" w:hint="default"/>
          <w:spacing w:val="-6"/>
          <w:sz w:val="21"/>
          <w:szCs w:val="21"/>
        </w:rPr>
        <w:t>2020</w:t>
      </w:r>
      <w:r>
        <w:rPr>
          <w:rFonts w:ascii="宋体" w:hAnsi="宋体" w:cs="宋体" w:eastAsia="宋体" w:hint="default"/>
          <w:spacing w:val="-50"/>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月对已不属于激励</w:t>
      </w:r>
    </w:p>
    <w:p>
      <w:pPr>
        <w:spacing w:before="85"/>
        <w:ind w:left="818" w:right="816" w:firstLine="0"/>
        <w:jc w:val="left"/>
        <w:rPr>
          <w:rFonts w:ascii="宋体" w:hAnsi="宋体" w:cs="宋体" w:eastAsia="宋体" w:hint="default"/>
          <w:sz w:val="21"/>
          <w:szCs w:val="21"/>
        </w:rPr>
      </w:pPr>
      <w:r>
        <w:rPr>
          <w:rFonts w:ascii="宋体" w:hAnsi="宋体" w:cs="宋体" w:eastAsia="宋体" w:hint="default"/>
          <w:sz w:val="21"/>
          <w:szCs w:val="21"/>
        </w:rPr>
        <w:t>范围的</w:t>
      </w:r>
      <w:r>
        <w:rPr>
          <w:rFonts w:ascii="宋体" w:hAnsi="宋体" w:cs="宋体" w:eastAsia="宋体" w:hint="default"/>
          <w:spacing w:val="-55"/>
          <w:sz w:val="21"/>
          <w:szCs w:val="21"/>
        </w:rPr>
        <w:t> </w:t>
      </w:r>
      <w:r>
        <w:rPr>
          <w:rFonts w:ascii="宋体" w:hAnsi="宋体" w:cs="宋体" w:eastAsia="宋体" w:hint="default"/>
          <w:sz w:val="21"/>
          <w:szCs w:val="21"/>
        </w:rPr>
        <w:t>82</w:t>
      </w:r>
      <w:r>
        <w:rPr>
          <w:rFonts w:ascii="宋体" w:hAnsi="宋体" w:cs="宋体" w:eastAsia="宋体" w:hint="default"/>
          <w:spacing w:val="-57"/>
          <w:sz w:val="21"/>
          <w:szCs w:val="21"/>
        </w:rPr>
        <w:t> </w:t>
      </w:r>
      <w:r>
        <w:rPr>
          <w:rFonts w:ascii="宋体" w:hAnsi="宋体" w:cs="宋体" w:eastAsia="宋体" w:hint="default"/>
          <w:sz w:val="21"/>
          <w:szCs w:val="21"/>
        </w:rPr>
        <w:t>名激励对象持有的已获授但尚未解除限售的</w:t>
      </w:r>
      <w:r>
        <w:rPr>
          <w:rFonts w:ascii="宋体" w:hAnsi="宋体" w:cs="宋体" w:eastAsia="宋体" w:hint="default"/>
          <w:spacing w:val="-54"/>
          <w:sz w:val="21"/>
          <w:szCs w:val="21"/>
        </w:rPr>
        <w:t> </w:t>
      </w:r>
      <w:r>
        <w:rPr>
          <w:rFonts w:ascii="宋体" w:hAnsi="宋体" w:cs="宋体" w:eastAsia="宋体" w:hint="default"/>
          <w:sz w:val="21"/>
          <w:szCs w:val="21"/>
        </w:rPr>
        <w:t>8,198,000</w:t>
      </w:r>
      <w:r>
        <w:rPr>
          <w:rFonts w:ascii="宋体" w:hAnsi="宋体" w:cs="宋体" w:eastAsia="宋体" w:hint="default"/>
          <w:spacing w:val="-55"/>
          <w:sz w:val="21"/>
          <w:szCs w:val="21"/>
        </w:rPr>
        <w:t> </w:t>
      </w:r>
      <w:r>
        <w:rPr>
          <w:rFonts w:ascii="宋体" w:hAnsi="宋体" w:cs="宋体" w:eastAsia="宋体" w:hint="default"/>
          <w:sz w:val="21"/>
          <w:szCs w:val="21"/>
        </w:rPr>
        <w:t>股限制性股票进行回购注销。</w:t>
      </w:r>
    </w:p>
    <w:p>
      <w:pPr>
        <w:spacing w:line="510" w:lineRule="atLeast" w:before="6"/>
        <w:ind w:left="1238" w:right="816" w:firstLine="0"/>
        <w:jc w:val="left"/>
        <w:rPr>
          <w:rFonts w:ascii="宋体" w:hAnsi="宋体" w:cs="宋体" w:eastAsia="宋体" w:hint="default"/>
          <w:sz w:val="21"/>
          <w:szCs w:val="21"/>
        </w:rPr>
      </w:pPr>
      <w:r>
        <w:rPr>
          <w:rFonts w:ascii="宋体" w:hAnsi="宋体" w:cs="宋体" w:eastAsia="宋体" w:hint="default"/>
          <w:sz w:val="21"/>
          <w:szCs w:val="21"/>
        </w:rPr>
        <w:t>上述登记完成后，公司总股本变更为</w:t>
      </w:r>
      <w:r>
        <w:rPr>
          <w:rFonts w:ascii="宋体" w:hAnsi="宋体" w:cs="宋体" w:eastAsia="宋体" w:hint="default"/>
          <w:spacing w:val="-54"/>
          <w:sz w:val="21"/>
          <w:szCs w:val="21"/>
        </w:rPr>
        <w:t> </w:t>
      </w:r>
      <w:r>
        <w:rPr>
          <w:rFonts w:ascii="宋体" w:hAnsi="宋体" w:cs="宋体" w:eastAsia="宋体" w:hint="default"/>
          <w:sz w:val="21"/>
          <w:szCs w:val="21"/>
        </w:rPr>
        <w:t>31,025,507,687</w:t>
      </w:r>
      <w:r>
        <w:rPr>
          <w:rFonts w:ascii="宋体" w:hAnsi="宋体" w:cs="宋体" w:eastAsia="宋体" w:hint="default"/>
          <w:spacing w:val="-54"/>
          <w:sz w:val="21"/>
          <w:szCs w:val="21"/>
        </w:rPr>
        <w:t> </w:t>
      </w:r>
      <w:r>
        <w:rPr>
          <w:rFonts w:ascii="宋体" w:hAnsi="宋体" w:cs="宋体" w:eastAsia="宋体" w:hint="default"/>
          <w:spacing w:val="-3"/>
          <w:sz w:val="21"/>
          <w:szCs w:val="21"/>
        </w:rPr>
        <w:t>股。</w:t>
      </w:r>
      <w:r>
        <w:rPr>
          <w:rFonts w:ascii="宋体" w:hAnsi="宋体" w:cs="宋体" w:eastAsia="宋体" w:hint="default"/>
          <w:spacing w:val="-3"/>
          <w:w w:val="100"/>
          <w:sz w:val="21"/>
          <w:szCs w:val="21"/>
        </w:rPr>
        <w:t> </w:t>
      </w:r>
      <w:r>
        <w:rPr>
          <w:rFonts w:ascii="宋体" w:hAnsi="宋体" w:cs="宋体" w:eastAsia="宋体" w:hint="default"/>
          <w:spacing w:val="-3"/>
          <w:sz w:val="21"/>
          <w:szCs w:val="21"/>
        </w:rPr>
        <w:t>详情请见公司在《中国证券报》《上海证券报》《证券时报》、上海证券交易所网站及本公司网</w:t>
      </w:r>
    </w:p>
    <w:p>
      <w:pPr>
        <w:spacing w:before="85"/>
        <w:ind w:left="818" w:right="816" w:firstLine="0"/>
        <w:jc w:val="left"/>
        <w:rPr>
          <w:rFonts w:ascii="宋体" w:hAnsi="宋体" w:cs="宋体" w:eastAsia="宋体" w:hint="default"/>
          <w:sz w:val="21"/>
          <w:szCs w:val="21"/>
        </w:rPr>
      </w:pPr>
      <w:r>
        <w:rPr>
          <w:rFonts w:ascii="宋体" w:hAnsi="宋体" w:cs="宋体" w:eastAsia="宋体" w:hint="default"/>
          <w:sz w:val="21"/>
          <w:szCs w:val="21"/>
        </w:rPr>
        <w:t>站发布的《关于限制性股票激励计划首期授予预留股票登记完成的公告》（公告编号：</w:t>
      </w:r>
      <w:r>
        <w:rPr>
          <w:rFonts w:ascii="宋体" w:hAnsi="宋体" w:cs="宋体" w:eastAsia="宋体" w:hint="default"/>
          <w:sz w:val="21"/>
          <w:szCs w:val="21"/>
        </w:rPr>
        <w:t>2019-010</w:t>
      </w:r>
      <w:r>
        <w:rPr>
          <w:rFonts w:ascii="宋体" w:hAnsi="宋体" w:cs="宋体" w:eastAsia="宋体" w:hint="default"/>
          <w:sz w:val="21"/>
          <w:szCs w:val="21"/>
        </w:rPr>
        <w:t>）、</w:t>
      </w:r>
    </w:p>
    <w:p>
      <w:pPr>
        <w:spacing w:before="85"/>
        <w:ind w:left="818" w:right="816" w:firstLine="0"/>
        <w:jc w:val="left"/>
        <w:rPr>
          <w:rFonts w:ascii="宋体" w:hAnsi="宋体" w:cs="宋体" w:eastAsia="宋体" w:hint="default"/>
          <w:sz w:val="21"/>
          <w:szCs w:val="21"/>
        </w:rPr>
      </w:pPr>
      <w:r>
        <w:rPr>
          <w:rFonts w:ascii="宋体" w:hAnsi="宋体" w:cs="宋体" w:eastAsia="宋体" w:hint="default"/>
          <w:sz w:val="21"/>
          <w:szCs w:val="21"/>
        </w:rPr>
        <w:t>《关于首期限制性股票计划部分激励对象限制性股票回购注销实施公告》（公告编号：</w:t>
      </w:r>
      <w:r>
        <w:rPr>
          <w:rFonts w:ascii="宋体" w:hAnsi="宋体" w:cs="宋体" w:eastAsia="宋体" w:hint="default"/>
          <w:sz w:val="21"/>
          <w:szCs w:val="21"/>
        </w:rPr>
        <w:t>2019-048</w:t>
      </w:r>
      <w:r>
        <w:rPr>
          <w:rFonts w:ascii="宋体" w:hAnsi="宋体" w:cs="宋体" w:eastAsia="宋体" w:hint="default"/>
          <w:sz w:val="21"/>
          <w:szCs w:val="21"/>
        </w:rPr>
        <w:t>）、</w:t>
      </w:r>
    </w:p>
    <w:p>
      <w:pPr>
        <w:spacing w:before="85"/>
        <w:ind w:left="818" w:right="816" w:firstLine="0"/>
        <w:jc w:val="left"/>
        <w:rPr>
          <w:rFonts w:ascii="宋体" w:hAnsi="宋体" w:cs="宋体" w:eastAsia="宋体" w:hint="default"/>
          <w:sz w:val="21"/>
          <w:szCs w:val="21"/>
        </w:rPr>
      </w:pPr>
      <w:r>
        <w:rPr>
          <w:rFonts w:ascii="宋体" w:hAnsi="宋体" w:cs="宋体" w:eastAsia="宋体" w:hint="default"/>
          <w:sz w:val="21"/>
          <w:szCs w:val="21"/>
        </w:rPr>
        <w:t>《关于首期限制性股票计划部分激励对象限制性股票回购注销实施公告》（公告编号：</w:t>
      </w:r>
      <w:r>
        <w:rPr>
          <w:rFonts w:ascii="宋体" w:hAnsi="宋体" w:cs="宋体" w:eastAsia="宋体" w:hint="default"/>
          <w:sz w:val="21"/>
          <w:szCs w:val="21"/>
        </w:rPr>
        <w:t>2020-006</w:t>
      </w:r>
      <w:r>
        <w:rPr>
          <w:rFonts w:ascii="宋体" w:hAnsi="宋体" w:cs="宋体" w:eastAsia="宋体" w:hint="default"/>
          <w:sz w:val="21"/>
          <w:szCs w:val="21"/>
        </w:rPr>
        <w:t>）。</w:t>
      </w:r>
    </w:p>
    <w:p>
      <w:pPr>
        <w:spacing w:after="0"/>
        <w:jc w:val="left"/>
        <w:rPr>
          <w:rFonts w:ascii="宋体" w:hAnsi="宋体" w:cs="宋体" w:eastAsia="宋体" w:hint="default"/>
          <w:sz w:val="21"/>
          <w:szCs w:val="21"/>
        </w:rPr>
        <w:sectPr>
          <w:type w:val="continuous"/>
          <w:pgSz w:w="11910" w:h="16840"/>
          <w:pgMar w:top="1360" w:bottom="700" w:left="600" w:right="320"/>
        </w:sectPr>
      </w:pPr>
    </w:p>
    <w:p>
      <w:pPr>
        <w:spacing w:line="240" w:lineRule="auto" w:before="10"/>
        <w:rPr>
          <w:rFonts w:ascii="宋体" w:hAnsi="宋体" w:cs="宋体" w:eastAsia="宋体" w:hint="default"/>
          <w:sz w:val="8"/>
          <w:szCs w:val="8"/>
        </w:rPr>
      </w:pPr>
    </w:p>
    <w:p>
      <w:pPr>
        <w:spacing w:line="335" w:lineRule="exact" w:before="0"/>
        <w:ind w:left="1098"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sz w:val="21"/>
          <w:szCs w:val="21"/>
        </w:rPr>
        <w:t>3</w:t>
      </w:r>
      <w:r>
        <w:rPr>
          <w:rFonts w:ascii="Microsoft JhengHei" w:hAnsi="Microsoft JhengHei" w:cs="Microsoft JhengHei" w:eastAsia="Microsoft JhengHei" w:hint="default"/>
          <w:b/>
          <w:bCs/>
          <w:sz w:val="21"/>
          <w:szCs w:val="21"/>
        </w:rPr>
        <w:t>、 </w:t>
      </w:r>
      <w:r>
        <w:rPr>
          <w:rFonts w:ascii="Microsoft JhengHei" w:hAnsi="Microsoft JhengHei" w:cs="Microsoft JhengHei" w:eastAsia="Microsoft JhengHei" w:hint="default"/>
          <w:b/>
          <w:bCs/>
          <w:spacing w:val="16"/>
          <w:sz w:val="21"/>
          <w:szCs w:val="21"/>
        </w:rPr>
        <w:t> </w:t>
      </w:r>
      <w:r>
        <w:rPr>
          <w:rFonts w:ascii="Microsoft JhengHei" w:hAnsi="Microsoft JhengHei" w:cs="Microsoft JhengHei" w:eastAsia="Microsoft JhengHei" w:hint="default"/>
          <w:b/>
          <w:bCs/>
          <w:sz w:val="21"/>
          <w:szCs w:val="21"/>
        </w:rPr>
        <w:t>普通股股份变动对最近一年和最近一期每股收益、每股净资产等财务指标的影响（如有）</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4"/>
          <w:szCs w:val="4"/>
        </w:rPr>
      </w:pPr>
    </w:p>
    <w:tbl>
      <w:tblPr>
        <w:tblW w:w="0" w:type="auto"/>
        <w:jc w:val="left"/>
        <w:tblInd w:w="952" w:type="dxa"/>
        <w:tblLayout w:type="fixed"/>
        <w:tblCellMar>
          <w:top w:w="0" w:type="dxa"/>
          <w:left w:w="0" w:type="dxa"/>
          <w:bottom w:w="0" w:type="dxa"/>
          <w:right w:w="0" w:type="dxa"/>
        </w:tblCellMar>
        <w:tblLook w:val="01E0"/>
      </w:tblPr>
      <w:tblGrid>
        <w:gridCol w:w="2835"/>
        <w:gridCol w:w="1843"/>
        <w:gridCol w:w="2268"/>
        <w:gridCol w:w="2410"/>
      </w:tblGrid>
      <w:tr>
        <w:trPr>
          <w:trHeight w:val="635" w:hRule="exact"/>
        </w:trPr>
        <w:tc>
          <w:tcPr>
            <w:tcW w:w="28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5"/>
              <w:ind w:left="751" w:right="0"/>
              <w:jc w:val="left"/>
              <w:rPr>
                <w:rFonts w:ascii="宋体" w:hAnsi="宋体" w:cs="宋体" w:eastAsia="宋体" w:hint="default"/>
                <w:sz w:val="22"/>
                <w:szCs w:val="22"/>
              </w:rPr>
            </w:pPr>
            <w:r>
              <w:rPr>
                <w:rFonts w:ascii="宋体" w:hAnsi="宋体" w:cs="宋体" w:eastAsia="宋体" w:hint="default"/>
                <w:sz w:val="22"/>
                <w:szCs w:val="22"/>
              </w:rPr>
              <w:t>主要财务指标</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5"/>
              <w:ind w:left="559" w:right="0"/>
              <w:jc w:val="left"/>
              <w:rPr>
                <w:rFonts w:ascii="宋体" w:hAnsi="宋体" w:cs="宋体" w:eastAsia="宋体" w:hint="default"/>
                <w:sz w:val="22"/>
                <w:szCs w:val="22"/>
              </w:rPr>
            </w:pPr>
            <w:r>
              <w:rPr>
                <w:rFonts w:ascii="宋体" w:hAnsi="宋体" w:cs="宋体" w:eastAsia="宋体" w:hint="default"/>
                <w:sz w:val="22"/>
                <w:szCs w:val="22"/>
              </w:rPr>
              <w:t>2019</w:t>
            </w:r>
            <w:r>
              <w:rPr>
                <w:rFonts w:ascii="宋体" w:hAnsi="宋体" w:cs="宋体" w:eastAsia="宋体" w:hint="default"/>
                <w:spacing w:val="-53"/>
                <w:sz w:val="22"/>
                <w:szCs w:val="22"/>
              </w:rPr>
              <w:t> </w:t>
            </w:r>
            <w:r>
              <w:rPr>
                <w:rFonts w:ascii="宋体" w:hAnsi="宋体" w:cs="宋体" w:eastAsia="宋体" w:hint="default"/>
                <w:sz w:val="22"/>
                <w:szCs w:val="22"/>
              </w:rPr>
              <w:t>年</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7" w:lineRule="exact"/>
              <w:ind w:left="358" w:right="0" w:firstLine="55"/>
              <w:jc w:val="left"/>
              <w:rPr>
                <w:rFonts w:ascii="宋体" w:hAnsi="宋体" w:cs="宋体" w:eastAsia="宋体" w:hint="default"/>
                <w:sz w:val="22"/>
                <w:szCs w:val="22"/>
              </w:rPr>
            </w:pPr>
            <w:r>
              <w:rPr>
                <w:rFonts w:ascii="宋体" w:hAnsi="宋体" w:cs="宋体" w:eastAsia="宋体" w:hint="default"/>
                <w:sz w:val="22"/>
                <w:szCs w:val="22"/>
              </w:rPr>
              <w:t>还原回</w:t>
            </w:r>
            <w:r>
              <w:rPr>
                <w:rFonts w:ascii="宋体" w:hAnsi="宋体" w:cs="宋体" w:eastAsia="宋体" w:hint="default"/>
                <w:spacing w:val="-55"/>
                <w:sz w:val="22"/>
                <w:szCs w:val="22"/>
              </w:rPr>
              <w:t> </w:t>
            </w:r>
            <w:r>
              <w:rPr>
                <w:rFonts w:ascii="宋体" w:hAnsi="宋体" w:cs="宋体" w:eastAsia="宋体" w:hint="default"/>
                <w:sz w:val="22"/>
                <w:szCs w:val="22"/>
              </w:rPr>
              <w:t>2018</w:t>
            </w:r>
            <w:r>
              <w:rPr>
                <w:rFonts w:ascii="宋体" w:hAnsi="宋体" w:cs="宋体" w:eastAsia="宋体" w:hint="default"/>
                <w:spacing w:val="-55"/>
                <w:sz w:val="22"/>
                <w:szCs w:val="22"/>
              </w:rPr>
              <w:t> </w:t>
            </w:r>
            <w:r>
              <w:rPr>
                <w:rFonts w:ascii="宋体" w:hAnsi="宋体" w:cs="宋体" w:eastAsia="宋体" w:hint="default"/>
                <w:sz w:val="22"/>
                <w:szCs w:val="22"/>
              </w:rPr>
              <w:t>年</w:t>
            </w:r>
          </w:p>
          <w:p>
            <w:pPr>
              <w:pStyle w:val="TableParagraph"/>
              <w:spacing w:line="240" w:lineRule="auto" w:before="24"/>
              <w:ind w:left="358" w:right="0"/>
              <w:jc w:val="left"/>
              <w:rPr>
                <w:rFonts w:ascii="宋体" w:hAnsi="宋体" w:cs="宋体" w:eastAsia="宋体" w:hint="default"/>
                <w:sz w:val="22"/>
                <w:szCs w:val="22"/>
              </w:rPr>
            </w:pPr>
            <w:r>
              <w:rPr>
                <w:rFonts w:ascii="宋体" w:hAnsi="宋体" w:cs="宋体" w:eastAsia="宋体" w:hint="default"/>
                <w:sz w:val="22"/>
                <w:szCs w:val="22"/>
              </w:rPr>
              <w:t>年末股数的指标</w:t>
            </w:r>
          </w:p>
        </w:tc>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5"/>
              <w:ind w:left="429" w:right="0"/>
              <w:jc w:val="left"/>
              <w:rPr>
                <w:rFonts w:ascii="宋体" w:hAnsi="宋体" w:cs="宋体" w:eastAsia="宋体" w:hint="default"/>
                <w:sz w:val="22"/>
                <w:szCs w:val="22"/>
              </w:rPr>
            </w:pPr>
            <w:r>
              <w:rPr>
                <w:rFonts w:ascii="宋体" w:hAnsi="宋体" w:cs="宋体" w:eastAsia="宋体" w:hint="default"/>
                <w:sz w:val="22"/>
                <w:szCs w:val="22"/>
              </w:rPr>
              <w:t>减少股数的影响</w:t>
            </w:r>
          </w:p>
        </w:tc>
      </w:tr>
      <w:tr>
        <w:trPr>
          <w:trHeight w:val="634"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103" w:right="0"/>
              <w:jc w:val="left"/>
              <w:rPr>
                <w:rFonts w:ascii="宋体" w:hAnsi="宋体" w:cs="宋体" w:eastAsia="宋体" w:hint="default"/>
                <w:sz w:val="22"/>
                <w:szCs w:val="22"/>
              </w:rPr>
            </w:pPr>
            <w:r>
              <w:rPr>
                <w:rFonts w:ascii="宋体" w:hAnsi="宋体" w:cs="宋体" w:eastAsia="宋体" w:hint="default"/>
                <w:sz w:val="22"/>
                <w:szCs w:val="22"/>
              </w:rPr>
              <w:t>归属于上市公司股东的</w:t>
            </w:r>
          </w:p>
          <w:p>
            <w:pPr>
              <w:pStyle w:val="TableParagraph"/>
              <w:spacing w:line="240" w:lineRule="auto" w:before="24"/>
              <w:ind w:left="103" w:right="0"/>
              <w:jc w:val="left"/>
              <w:rPr>
                <w:rFonts w:ascii="宋体" w:hAnsi="宋体" w:cs="宋体" w:eastAsia="宋体" w:hint="default"/>
                <w:sz w:val="22"/>
                <w:szCs w:val="22"/>
              </w:rPr>
            </w:pPr>
            <w:r>
              <w:rPr>
                <w:rFonts w:ascii="宋体" w:hAnsi="宋体" w:cs="宋体" w:eastAsia="宋体" w:hint="default"/>
                <w:sz w:val="22"/>
                <w:szCs w:val="22"/>
              </w:rPr>
              <w:t>每股净资产（元／股）</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7"/>
                <w:szCs w:val="17"/>
              </w:rPr>
            </w:pPr>
          </w:p>
          <w:p>
            <w:pPr>
              <w:pStyle w:val="TableParagraph"/>
              <w:spacing w:line="240" w:lineRule="auto"/>
              <w:ind w:left="1204" w:right="0"/>
              <w:jc w:val="left"/>
              <w:rPr>
                <w:rFonts w:ascii="宋体" w:hAnsi="宋体" w:cs="宋体" w:eastAsia="宋体" w:hint="default"/>
                <w:sz w:val="21"/>
                <w:szCs w:val="21"/>
              </w:rPr>
            </w:pPr>
            <w:r>
              <w:rPr>
                <w:rFonts w:ascii="宋体"/>
                <w:sz w:val="21"/>
              </w:rPr>
              <w:t>4.618</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7"/>
                <w:szCs w:val="17"/>
              </w:rPr>
            </w:pPr>
          </w:p>
          <w:p>
            <w:pPr>
              <w:pStyle w:val="TableParagraph"/>
              <w:spacing w:line="240" w:lineRule="auto"/>
              <w:ind w:right="98"/>
              <w:jc w:val="right"/>
              <w:rPr>
                <w:rFonts w:ascii="宋体" w:hAnsi="宋体" w:cs="宋体" w:eastAsia="宋体" w:hint="default"/>
                <w:sz w:val="21"/>
                <w:szCs w:val="21"/>
              </w:rPr>
            </w:pPr>
            <w:r>
              <w:rPr>
                <w:rFonts w:ascii="宋体"/>
                <w:sz w:val="21"/>
              </w:rPr>
              <w:t>4.619</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7"/>
                <w:szCs w:val="17"/>
              </w:rPr>
            </w:pPr>
          </w:p>
          <w:p>
            <w:pPr>
              <w:pStyle w:val="TableParagraph"/>
              <w:spacing w:line="240" w:lineRule="auto"/>
              <w:ind w:right="98"/>
              <w:jc w:val="right"/>
              <w:rPr>
                <w:rFonts w:ascii="宋体" w:hAnsi="宋体" w:cs="宋体" w:eastAsia="宋体" w:hint="default"/>
                <w:sz w:val="21"/>
                <w:szCs w:val="21"/>
              </w:rPr>
            </w:pPr>
            <w:r>
              <w:rPr>
                <w:rFonts w:ascii="宋体"/>
                <w:sz w:val="21"/>
              </w:rPr>
              <w:t>-0.001</w:t>
            </w:r>
          </w:p>
        </w:tc>
      </w:tr>
    </w:tbl>
    <w:p>
      <w:pPr>
        <w:spacing w:line="240" w:lineRule="auto" w:before="10"/>
        <w:rPr>
          <w:rFonts w:ascii="Microsoft JhengHei" w:hAnsi="Microsoft JhengHei" w:cs="Microsoft JhengHei" w:eastAsia="Microsoft JhengHei" w:hint="default"/>
          <w:b/>
          <w:bCs/>
          <w:sz w:val="18"/>
          <w:szCs w:val="18"/>
        </w:rPr>
      </w:pPr>
    </w:p>
    <w:p>
      <w:pPr>
        <w:spacing w:after="0" w:line="240" w:lineRule="auto"/>
        <w:rPr>
          <w:rFonts w:ascii="Microsoft JhengHei" w:hAnsi="Microsoft JhengHei" w:cs="Microsoft JhengHei" w:eastAsia="Microsoft JhengHei" w:hint="default"/>
          <w:sz w:val="18"/>
          <w:szCs w:val="18"/>
        </w:rPr>
        <w:sectPr>
          <w:footerReference w:type="default" r:id="rId49"/>
          <w:pgSz w:w="11910" w:h="16840"/>
          <w:pgMar w:footer="502" w:header="854" w:top="1360" w:bottom="700" w:left="320" w:right="320"/>
        </w:sectPr>
      </w:pPr>
    </w:p>
    <w:p>
      <w:pPr>
        <w:spacing w:line="338" w:lineRule="exact" w:before="0"/>
        <w:ind w:left="1098" w:right="-18"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二</w:t>
      </w:r>
      <w:r>
        <w:rPr>
          <w:rFonts w:ascii="Calibri" w:hAnsi="Calibri" w:cs="Calibri" w:eastAsia="Calibri" w:hint="default"/>
          <w:b/>
          <w:bCs/>
          <w:sz w:val="21"/>
          <w:szCs w:val="21"/>
        </w:rPr>
        <w:t>)</w:t>
      </w:r>
      <w:r>
        <w:rPr>
          <w:rFonts w:ascii="Calibri" w:hAnsi="Calibri" w:cs="Calibri" w:eastAsia="Calibri" w:hint="default"/>
          <w:b/>
          <w:bCs/>
          <w:spacing w:val="40"/>
          <w:sz w:val="21"/>
          <w:szCs w:val="21"/>
        </w:rPr>
        <w:t> </w:t>
      </w:r>
      <w:r>
        <w:rPr>
          <w:rFonts w:ascii="Microsoft JhengHei" w:hAnsi="Microsoft JhengHei" w:cs="Microsoft JhengHei" w:eastAsia="Microsoft JhengHei" w:hint="default"/>
          <w:b/>
          <w:bCs/>
          <w:sz w:val="21"/>
          <w:szCs w:val="21"/>
        </w:rPr>
        <w:t>限售股份变动情况</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23"/>
          <w:szCs w:val="23"/>
        </w:rPr>
      </w:pPr>
      <w:r>
        <w:rPr/>
        <w:br w:type="column"/>
      </w:r>
      <w:r>
        <w:rPr>
          <w:rFonts w:ascii="Microsoft JhengHei"/>
          <w:b/>
          <w:sz w:val="23"/>
        </w:rPr>
      </w:r>
    </w:p>
    <w:p>
      <w:pPr>
        <w:spacing w:before="0"/>
        <w:ind w:left="1098"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股</w:t>
      </w:r>
    </w:p>
    <w:p>
      <w:pPr>
        <w:spacing w:after="0"/>
        <w:jc w:val="left"/>
        <w:rPr>
          <w:rFonts w:ascii="宋体" w:hAnsi="宋体" w:cs="宋体" w:eastAsia="宋体" w:hint="default"/>
          <w:sz w:val="21"/>
          <w:szCs w:val="21"/>
        </w:rPr>
        <w:sectPr>
          <w:type w:val="continuous"/>
          <w:pgSz w:w="11910" w:h="16840"/>
          <w:pgMar w:top="1360" w:bottom="700" w:left="320" w:right="320"/>
          <w:cols w:num="2" w:equalWidth="0">
            <w:col w:w="3209" w:space="5166"/>
            <w:col w:w="2895"/>
          </w:cols>
        </w:sectPr>
      </w:pPr>
    </w:p>
    <w:p>
      <w:pPr>
        <w:spacing w:line="240" w:lineRule="auto" w:before="10"/>
        <w:rPr>
          <w:rFonts w:ascii="宋体" w:hAnsi="宋体" w:cs="宋体" w:eastAsia="宋体"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054"/>
        <w:gridCol w:w="1075"/>
        <w:gridCol w:w="1133"/>
        <w:gridCol w:w="994"/>
        <w:gridCol w:w="991"/>
        <w:gridCol w:w="2410"/>
        <w:gridCol w:w="3375"/>
      </w:tblGrid>
      <w:tr>
        <w:trPr>
          <w:trHeight w:val="946" w:hRule="exact"/>
        </w:trPr>
        <w:tc>
          <w:tcPr>
            <w:tcW w:w="10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143"/>
              <w:ind w:left="415" w:right="202" w:hanging="209"/>
              <w:jc w:val="left"/>
              <w:rPr>
                <w:rFonts w:ascii="宋体" w:hAnsi="宋体" w:cs="宋体" w:eastAsia="宋体" w:hint="default"/>
                <w:sz w:val="21"/>
                <w:szCs w:val="21"/>
              </w:rPr>
            </w:pPr>
            <w:r>
              <w:rPr>
                <w:rFonts w:ascii="宋体" w:hAnsi="宋体" w:cs="宋体" w:eastAsia="宋体" w:hint="default"/>
                <w:sz w:val="21"/>
                <w:szCs w:val="21"/>
              </w:rPr>
              <w:t>股东名</w:t>
            </w:r>
            <w:r>
              <w:rPr>
                <w:rFonts w:ascii="宋体" w:hAnsi="宋体" w:cs="宋体" w:eastAsia="宋体" w:hint="default"/>
                <w:spacing w:val="-102"/>
                <w:sz w:val="21"/>
                <w:szCs w:val="21"/>
              </w:rPr>
              <w:t> </w:t>
            </w:r>
            <w:r>
              <w:rPr>
                <w:rFonts w:ascii="宋体" w:hAnsi="宋体" w:cs="宋体" w:eastAsia="宋体" w:hint="default"/>
                <w:sz w:val="21"/>
                <w:szCs w:val="21"/>
              </w:rPr>
              <w:t>称</w:t>
            </w:r>
          </w:p>
        </w:tc>
        <w:tc>
          <w:tcPr>
            <w:tcW w:w="10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143"/>
              <w:ind w:left="321" w:right="110" w:hanging="212"/>
              <w:jc w:val="left"/>
              <w:rPr>
                <w:rFonts w:ascii="宋体" w:hAnsi="宋体" w:cs="宋体" w:eastAsia="宋体" w:hint="default"/>
                <w:sz w:val="21"/>
                <w:szCs w:val="21"/>
              </w:rPr>
            </w:pPr>
            <w:r>
              <w:rPr>
                <w:rFonts w:ascii="宋体" w:hAnsi="宋体" w:cs="宋体" w:eastAsia="宋体" w:hint="default"/>
                <w:sz w:val="21"/>
                <w:szCs w:val="21"/>
              </w:rPr>
              <w:t>年初限售</w:t>
            </w:r>
            <w:r>
              <w:rPr>
                <w:rFonts w:ascii="宋体" w:hAnsi="宋体" w:cs="宋体" w:eastAsia="宋体" w:hint="default"/>
                <w:w w:val="100"/>
                <w:sz w:val="21"/>
                <w:szCs w:val="21"/>
              </w:rPr>
              <w:t> </w:t>
            </w:r>
            <w:r>
              <w:rPr>
                <w:rFonts w:ascii="宋体" w:hAnsi="宋体" w:cs="宋体" w:eastAsia="宋体" w:hint="default"/>
                <w:sz w:val="21"/>
                <w:szCs w:val="21"/>
              </w:rPr>
              <w:t>股数</w:t>
            </w:r>
          </w:p>
        </w:tc>
        <w:tc>
          <w:tcPr>
            <w:tcW w:w="1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143"/>
              <w:ind w:left="139" w:right="139"/>
              <w:jc w:val="left"/>
              <w:rPr>
                <w:rFonts w:ascii="宋体" w:hAnsi="宋体" w:cs="宋体" w:eastAsia="宋体" w:hint="default"/>
                <w:sz w:val="21"/>
                <w:szCs w:val="21"/>
              </w:rPr>
            </w:pPr>
            <w:r>
              <w:rPr>
                <w:rFonts w:ascii="宋体" w:hAnsi="宋体" w:cs="宋体" w:eastAsia="宋体" w:hint="default"/>
                <w:sz w:val="21"/>
                <w:szCs w:val="21"/>
              </w:rPr>
              <w:t>本年解除</w:t>
            </w:r>
            <w:r>
              <w:rPr>
                <w:rFonts w:ascii="宋体" w:hAnsi="宋体" w:cs="宋体" w:eastAsia="宋体" w:hint="default"/>
                <w:spacing w:val="-3"/>
                <w:w w:val="100"/>
                <w:sz w:val="21"/>
                <w:szCs w:val="21"/>
              </w:rPr>
              <w:t> </w:t>
            </w:r>
            <w:r>
              <w:rPr>
                <w:rFonts w:ascii="宋体" w:hAnsi="宋体" w:cs="宋体" w:eastAsia="宋体" w:hint="default"/>
                <w:sz w:val="21"/>
                <w:szCs w:val="21"/>
              </w:rPr>
              <w:t>限售股数</w:t>
            </w:r>
          </w:p>
        </w:tc>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175" w:right="173"/>
              <w:jc w:val="both"/>
              <w:rPr>
                <w:rFonts w:ascii="宋体" w:hAnsi="宋体" w:cs="宋体" w:eastAsia="宋体" w:hint="default"/>
                <w:sz w:val="21"/>
                <w:szCs w:val="21"/>
              </w:rPr>
            </w:pPr>
            <w:r>
              <w:rPr>
                <w:rFonts w:ascii="宋体" w:hAnsi="宋体" w:cs="宋体" w:eastAsia="宋体" w:hint="default"/>
                <w:sz w:val="21"/>
                <w:szCs w:val="21"/>
              </w:rPr>
              <w:t>本年增</w:t>
            </w:r>
            <w:r>
              <w:rPr>
                <w:rFonts w:ascii="宋体" w:hAnsi="宋体" w:cs="宋体" w:eastAsia="宋体" w:hint="default"/>
                <w:spacing w:val="-102"/>
                <w:sz w:val="21"/>
                <w:szCs w:val="21"/>
              </w:rPr>
              <w:t> </w:t>
            </w:r>
            <w:r>
              <w:rPr>
                <w:rFonts w:ascii="宋体" w:hAnsi="宋体" w:cs="宋体" w:eastAsia="宋体" w:hint="default"/>
                <w:sz w:val="21"/>
                <w:szCs w:val="21"/>
              </w:rPr>
              <w:t>加限售</w:t>
            </w:r>
            <w:r>
              <w:rPr>
                <w:rFonts w:ascii="宋体" w:hAnsi="宋体" w:cs="宋体" w:eastAsia="宋体" w:hint="default"/>
                <w:spacing w:val="-102"/>
                <w:sz w:val="21"/>
                <w:szCs w:val="21"/>
              </w:rPr>
              <w:t> </w:t>
            </w:r>
            <w:r>
              <w:rPr>
                <w:rFonts w:ascii="宋体" w:hAnsi="宋体" w:cs="宋体" w:eastAsia="宋体" w:hint="default"/>
                <w:sz w:val="21"/>
                <w:szCs w:val="21"/>
              </w:rPr>
              <w:t>股数</w:t>
            </w:r>
          </w:p>
        </w:tc>
        <w:tc>
          <w:tcPr>
            <w:tcW w:w="9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143"/>
              <w:ind w:left="175" w:right="170"/>
              <w:jc w:val="left"/>
              <w:rPr>
                <w:rFonts w:ascii="宋体" w:hAnsi="宋体" w:cs="宋体" w:eastAsia="宋体" w:hint="default"/>
                <w:sz w:val="21"/>
                <w:szCs w:val="21"/>
              </w:rPr>
            </w:pPr>
            <w:r>
              <w:rPr>
                <w:rFonts w:ascii="宋体" w:hAnsi="宋体" w:cs="宋体" w:eastAsia="宋体" w:hint="default"/>
                <w:sz w:val="21"/>
                <w:szCs w:val="21"/>
              </w:rPr>
              <w:t>年末限</w:t>
            </w:r>
            <w:r>
              <w:rPr>
                <w:rFonts w:ascii="宋体" w:hAnsi="宋体" w:cs="宋体" w:eastAsia="宋体" w:hint="default"/>
                <w:spacing w:val="-102"/>
                <w:sz w:val="21"/>
                <w:szCs w:val="21"/>
              </w:rPr>
              <w:t> </w:t>
            </w:r>
            <w:r>
              <w:rPr>
                <w:rFonts w:ascii="宋体" w:hAnsi="宋体" w:cs="宋体" w:eastAsia="宋体" w:hint="default"/>
                <w:sz w:val="21"/>
                <w:szCs w:val="21"/>
              </w:rPr>
              <w:t>售股数</w:t>
            </w:r>
          </w:p>
        </w:tc>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限售原因</w:t>
            </w:r>
          </w:p>
        </w:tc>
        <w:tc>
          <w:tcPr>
            <w:tcW w:w="33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解除限售日期</w:t>
            </w:r>
          </w:p>
        </w:tc>
      </w:tr>
      <w:tr>
        <w:trPr>
          <w:trHeight w:val="4690" w:hRule="exact"/>
        </w:trPr>
        <w:tc>
          <w:tcPr>
            <w:tcW w:w="105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73" w:lineRule="auto"/>
              <w:ind w:left="103" w:right="99"/>
              <w:jc w:val="both"/>
              <w:rPr>
                <w:rFonts w:ascii="宋体" w:hAnsi="宋体" w:cs="宋体" w:eastAsia="宋体" w:hint="default"/>
                <w:sz w:val="21"/>
                <w:szCs w:val="21"/>
              </w:rPr>
            </w:pPr>
            <w:r>
              <w:rPr>
                <w:rFonts w:ascii="宋体" w:hAnsi="宋体" w:cs="宋体" w:eastAsia="宋体" w:hint="default"/>
                <w:sz w:val="21"/>
                <w:szCs w:val="21"/>
              </w:rPr>
              <w:t>限 制</w:t>
            </w:r>
            <w:r>
              <w:rPr>
                <w:rFonts w:ascii="宋体" w:hAnsi="宋体" w:cs="宋体" w:eastAsia="宋体" w:hint="default"/>
                <w:spacing w:val="-1"/>
                <w:sz w:val="21"/>
                <w:szCs w:val="21"/>
              </w:rPr>
              <w:t> </w:t>
            </w:r>
            <w:r>
              <w:rPr>
                <w:rFonts w:ascii="宋体" w:hAnsi="宋体" w:cs="宋体" w:eastAsia="宋体" w:hint="default"/>
                <w:sz w:val="21"/>
                <w:szCs w:val="21"/>
              </w:rPr>
              <w:t>性</w:t>
            </w:r>
            <w:r>
              <w:rPr>
                <w:rFonts w:ascii="宋体" w:hAnsi="宋体" w:cs="宋体" w:eastAsia="宋体" w:hint="default"/>
                <w:w w:val="100"/>
                <w:sz w:val="21"/>
                <w:szCs w:val="21"/>
              </w:rPr>
              <w:t> </w:t>
            </w:r>
            <w:r>
              <w:rPr>
                <w:rFonts w:ascii="宋体" w:hAnsi="宋体" w:cs="宋体" w:eastAsia="宋体" w:hint="default"/>
                <w:sz w:val="21"/>
                <w:szCs w:val="21"/>
              </w:rPr>
              <w:t>股 票</w:t>
            </w:r>
            <w:r>
              <w:rPr>
                <w:rFonts w:ascii="宋体" w:hAnsi="宋体" w:cs="宋体" w:eastAsia="宋体" w:hint="default"/>
                <w:spacing w:val="-1"/>
                <w:sz w:val="21"/>
                <w:szCs w:val="21"/>
              </w:rPr>
              <w:t> </w:t>
            </w:r>
            <w:r>
              <w:rPr>
                <w:rFonts w:ascii="宋体" w:hAnsi="宋体" w:cs="宋体" w:eastAsia="宋体" w:hint="default"/>
                <w:sz w:val="21"/>
                <w:szCs w:val="21"/>
              </w:rPr>
              <w:t>员</w:t>
            </w:r>
            <w:r>
              <w:rPr>
                <w:rFonts w:ascii="宋体" w:hAnsi="宋体" w:cs="宋体" w:eastAsia="宋体" w:hint="default"/>
                <w:w w:val="100"/>
                <w:sz w:val="21"/>
                <w:szCs w:val="21"/>
              </w:rPr>
              <w:t> </w:t>
            </w:r>
            <w:r>
              <w:rPr>
                <w:rFonts w:ascii="宋体" w:hAnsi="宋体" w:cs="宋体" w:eastAsia="宋体" w:hint="default"/>
                <w:sz w:val="21"/>
                <w:szCs w:val="21"/>
              </w:rPr>
              <w:t>工 激</w:t>
            </w:r>
            <w:r>
              <w:rPr>
                <w:rFonts w:ascii="宋体" w:hAnsi="宋体" w:cs="宋体" w:eastAsia="宋体" w:hint="default"/>
                <w:spacing w:val="-1"/>
                <w:sz w:val="21"/>
                <w:szCs w:val="21"/>
              </w:rPr>
              <w:t> </w:t>
            </w:r>
            <w:r>
              <w:rPr>
                <w:rFonts w:ascii="宋体" w:hAnsi="宋体" w:cs="宋体" w:eastAsia="宋体" w:hint="default"/>
                <w:sz w:val="21"/>
                <w:szCs w:val="21"/>
              </w:rPr>
              <w:t>励</w:t>
            </w:r>
            <w:r>
              <w:rPr>
                <w:rFonts w:ascii="宋体" w:hAnsi="宋体" w:cs="宋体" w:eastAsia="宋体" w:hint="default"/>
                <w:w w:val="100"/>
                <w:sz w:val="21"/>
                <w:szCs w:val="21"/>
              </w:rPr>
              <w:t> </w:t>
            </w:r>
            <w:r>
              <w:rPr>
                <w:rFonts w:ascii="宋体" w:hAnsi="宋体" w:cs="宋体" w:eastAsia="宋体" w:hint="default"/>
                <w:sz w:val="21"/>
                <w:szCs w:val="21"/>
              </w:rPr>
              <w:t>计 划</w:t>
            </w:r>
            <w:r>
              <w:rPr>
                <w:rFonts w:ascii="宋体" w:hAnsi="宋体" w:cs="宋体" w:eastAsia="宋体" w:hint="default"/>
                <w:spacing w:val="-1"/>
                <w:sz w:val="21"/>
                <w:szCs w:val="21"/>
              </w:rPr>
              <w:t> </w:t>
            </w:r>
            <w:r>
              <w:rPr>
                <w:rFonts w:ascii="宋体" w:hAnsi="宋体" w:cs="宋体" w:eastAsia="宋体" w:hint="default"/>
                <w:sz w:val="21"/>
                <w:szCs w:val="21"/>
              </w:rPr>
              <w:t>授</w:t>
            </w:r>
            <w:r>
              <w:rPr>
                <w:rFonts w:ascii="宋体" w:hAnsi="宋体" w:cs="宋体" w:eastAsia="宋体" w:hint="default"/>
                <w:w w:val="100"/>
                <w:sz w:val="21"/>
                <w:szCs w:val="21"/>
              </w:rPr>
              <w:t> </w:t>
            </w:r>
            <w:r>
              <w:rPr>
                <w:rFonts w:ascii="宋体" w:hAnsi="宋体" w:cs="宋体" w:eastAsia="宋体" w:hint="default"/>
                <w:sz w:val="21"/>
                <w:szCs w:val="21"/>
              </w:rPr>
              <w:t>予对象</w:t>
            </w:r>
          </w:p>
        </w:tc>
        <w:tc>
          <w:tcPr>
            <w:tcW w:w="107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793,861,0</w:t>
            </w:r>
          </w:p>
          <w:p>
            <w:pPr>
              <w:pStyle w:val="TableParagraph"/>
              <w:spacing w:line="240" w:lineRule="auto" w:before="70"/>
              <w:ind w:left="103" w:right="0"/>
              <w:jc w:val="left"/>
              <w:rPr>
                <w:rFonts w:ascii="Times New Roman" w:hAnsi="Times New Roman" w:cs="Times New Roman" w:eastAsia="Times New Roman" w:hint="default"/>
                <w:sz w:val="21"/>
                <w:szCs w:val="21"/>
              </w:rPr>
            </w:pPr>
            <w:r>
              <w:rPr>
                <w:rFonts w:ascii="Times New Roman"/>
                <w:sz w:val="21"/>
              </w:rPr>
              <w:t>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9"/>
                <w:szCs w:val="29"/>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w w:val="100"/>
                <w:sz w:val="21"/>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13,156,0</w:t>
            </w:r>
          </w:p>
          <w:p>
            <w:pPr>
              <w:pStyle w:val="TableParagraph"/>
              <w:spacing w:line="240" w:lineRule="auto" w:before="70"/>
              <w:ind w:left="103" w:right="0"/>
              <w:jc w:val="left"/>
              <w:rPr>
                <w:rFonts w:ascii="Times New Roman" w:hAnsi="Times New Roman" w:cs="Times New Roman" w:eastAsia="Times New Roman" w:hint="default"/>
                <w:sz w:val="21"/>
                <w:szCs w:val="21"/>
              </w:rPr>
            </w:pPr>
            <w:r>
              <w:rPr>
                <w:rFonts w:ascii="Times New Roman"/>
                <w:sz w:val="21"/>
              </w:rPr>
              <w:t>00</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9"/>
                <w:szCs w:val="29"/>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799,755,</w:t>
            </w:r>
          </w:p>
          <w:p>
            <w:pPr>
              <w:pStyle w:val="TableParagraph"/>
              <w:spacing w:line="240" w:lineRule="auto" w:before="70"/>
              <w:ind w:left="103" w:right="0"/>
              <w:jc w:val="left"/>
              <w:rPr>
                <w:rFonts w:ascii="Times New Roman" w:hAnsi="Times New Roman" w:cs="Times New Roman" w:eastAsia="Times New Roman" w:hint="default"/>
                <w:sz w:val="21"/>
                <w:szCs w:val="21"/>
              </w:rPr>
            </w:pPr>
            <w:r>
              <w:rPr>
                <w:rFonts w:ascii="Times New Roman"/>
                <w:sz w:val="21"/>
              </w:rPr>
              <w:t>000</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77"/>
              <w:jc w:val="both"/>
              <w:rPr>
                <w:rFonts w:ascii="宋体" w:hAnsi="宋体" w:cs="宋体" w:eastAsia="宋体" w:hint="default"/>
                <w:sz w:val="18"/>
                <w:szCs w:val="18"/>
              </w:rPr>
            </w:pPr>
            <w:r>
              <w:rPr>
                <w:rFonts w:ascii="宋体" w:hAnsi="宋体" w:cs="宋体" w:eastAsia="宋体" w:hint="default"/>
                <w:spacing w:val="19"/>
                <w:sz w:val="18"/>
                <w:szCs w:val="18"/>
              </w:rPr>
              <w:t>为进一步完善公司治理结</w:t>
            </w:r>
            <w:r>
              <w:rPr>
                <w:rFonts w:ascii="宋体" w:hAnsi="宋体" w:cs="宋体" w:eastAsia="宋体" w:hint="default"/>
                <w:spacing w:val="-69"/>
                <w:sz w:val="18"/>
                <w:szCs w:val="18"/>
              </w:rPr>
              <w:t> </w:t>
            </w:r>
            <w:r>
              <w:rPr>
                <w:rFonts w:ascii="宋体" w:hAnsi="宋体" w:cs="宋体" w:eastAsia="宋体" w:hint="default"/>
                <w:spacing w:val="2"/>
                <w:sz w:val="18"/>
                <w:szCs w:val="18"/>
              </w:rPr>
              <w:t>构，健全公司激励与约束相</w:t>
            </w:r>
            <w:r>
              <w:rPr>
                <w:rFonts w:ascii="宋体" w:hAnsi="宋体" w:cs="宋体" w:eastAsia="宋体" w:hint="default"/>
                <w:sz w:val="18"/>
                <w:szCs w:val="18"/>
              </w:rPr>
              <w:t> </w:t>
            </w:r>
            <w:r>
              <w:rPr>
                <w:rFonts w:ascii="宋体" w:hAnsi="宋体" w:cs="宋体" w:eastAsia="宋体" w:hint="default"/>
                <w:spacing w:val="2"/>
                <w:sz w:val="18"/>
                <w:szCs w:val="18"/>
              </w:rPr>
              <w:t>结合的中长期激励机制，应</w:t>
            </w:r>
            <w:r>
              <w:rPr>
                <w:rFonts w:ascii="宋体" w:hAnsi="宋体" w:cs="宋体" w:eastAsia="宋体" w:hint="default"/>
                <w:sz w:val="18"/>
                <w:szCs w:val="18"/>
              </w:rPr>
              <w:t> </w:t>
            </w:r>
            <w:r>
              <w:rPr>
                <w:rFonts w:ascii="宋体" w:hAnsi="宋体" w:cs="宋体" w:eastAsia="宋体" w:hint="default"/>
                <w:spacing w:val="2"/>
                <w:sz w:val="18"/>
                <w:szCs w:val="18"/>
              </w:rPr>
              <w:t>对行业激烈竞争和支撑公司</w:t>
            </w:r>
            <w:r>
              <w:rPr>
                <w:rFonts w:ascii="宋体" w:hAnsi="宋体" w:cs="宋体" w:eastAsia="宋体" w:hint="default"/>
                <w:sz w:val="18"/>
                <w:szCs w:val="18"/>
              </w:rPr>
              <w:t> </w:t>
            </w:r>
            <w:r>
              <w:rPr>
                <w:rFonts w:ascii="宋体" w:hAnsi="宋体" w:cs="宋体" w:eastAsia="宋体" w:hint="default"/>
                <w:spacing w:val="2"/>
                <w:sz w:val="18"/>
                <w:szCs w:val="18"/>
              </w:rPr>
              <w:t>长远发展，充分调动公司核</w:t>
            </w:r>
            <w:r>
              <w:rPr>
                <w:rFonts w:ascii="宋体" w:hAnsi="宋体" w:cs="宋体" w:eastAsia="宋体" w:hint="default"/>
                <w:sz w:val="18"/>
                <w:szCs w:val="18"/>
              </w:rPr>
              <w:t> </w:t>
            </w:r>
            <w:r>
              <w:rPr>
                <w:rFonts w:ascii="宋体" w:hAnsi="宋体" w:cs="宋体" w:eastAsia="宋体" w:hint="default"/>
                <w:spacing w:val="2"/>
                <w:sz w:val="18"/>
                <w:szCs w:val="18"/>
              </w:rPr>
              <w:t>心管理者和骨干员工的积极</w:t>
            </w:r>
            <w:r>
              <w:rPr>
                <w:rFonts w:ascii="宋体" w:hAnsi="宋体" w:cs="宋体" w:eastAsia="宋体" w:hint="default"/>
                <w:sz w:val="18"/>
                <w:szCs w:val="18"/>
              </w:rPr>
              <w:t> </w:t>
            </w:r>
            <w:r>
              <w:rPr>
                <w:rFonts w:ascii="宋体" w:hAnsi="宋体" w:cs="宋体" w:eastAsia="宋体" w:hint="default"/>
                <w:spacing w:val="2"/>
                <w:sz w:val="18"/>
                <w:szCs w:val="18"/>
              </w:rPr>
              <w:t>性，公司建立限制性股票员</w:t>
            </w:r>
            <w:r>
              <w:rPr>
                <w:rFonts w:ascii="宋体" w:hAnsi="宋体" w:cs="宋体" w:eastAsia="宋体" w:hint="default"/>
                <w:sz w:val="18"/>
                <w:szCs w:val="18"/>
              </w:rPr>
              <w:t> </w:t>
            </w:r>
            <w:r>
              <w:rPr>
                <w:rFonts w:ascii="宋体" w:hAnsi="宋体" w:cs="宋体" w:eastAsia="宋体" w:hint="default"/>
                <w:spacing w:val="2"/>
                <w:sz w:val="18"/>
                <w:szCs w:val="18"/>
              </w:rPr>
              <w:t>工激励计划。报告期内，根</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
                <w:sz w:val="18"/>
                <w:szCs w:val="18"/>
              </w:rPr>
              <w:t>据相关法律法规及公司限制</w:t>
            </w:r>
            <w:r>
              <w:rPr>
                <w:rFonts w:ascii="宋体" w:hAnsi="宋体" w:cs="宋体" w:eastAsia="宋体" w:hint="default"/>
                <w:sz w:val="18"/>
                <w:szCs w:val="18"/>
              </w:rPr>
              <w:t> </w:t>
            </w:r>
            <w:r>
              <w:rPr>
                <w:rFonts w:ascii="宋体" w:hAnsi="宋体" w:cs="宋体" w:eastAsia="宋体" w:hint="default"/>
                <w:spacing w:val="19"/>
                <w:sz w:val="18"/>
                <w:szCs w:val="18"/>
              </w:rPr>
              <w:t>性股票激励计划的有关规</w:t>
            </w:r>
            <w:r>
              <w:rPr>
                <w:rFonts w:ascii="宋体" w:hAnsi="宋体" w:cs="宋体" w:eastAsia="宋体" w:hint="default"/>
                <w:spacing w:val="-69"/>
                <w:sz w:val="18"/>
                <w:szCs w:val="18"/>
              </w:rPr>
              <w:t> </w:t>
            </w:r>
            <w:r>
              <w:rPr>
                <w:rFonts w:ascii="宋体" w:hAnsi="宋体" w:cs="宋体" w:eastAsia="宋体" w:hint="default"/>
                <w:spacing w:val="2"/>
                <w:sz w:val="18"/>
                <w:szCs w:val="18"/>
              </w:rPr>
              <w:t>定，公司董事会认为预留限</w:t>
            </w:r>
            <w:r>
              <w:rPr>
                <w:rFonts w:ascii="宋体" w:hAnsi="宋体" w:cs="宋体" w:eastAsia="宋体" w:hint="default"/>
                <w:sz w:val="18"/>
                <w:szCs w:val="18"/>
              </w:rPr>
              <w:t> </w:t>
            </w:r>
            <w:r>
              <w:rPr>
                <w:rFonts w:ascii="宋体" w:hAnsi="宋体" w:cs="宋体" w:eastAsia="宋体" w:hint="default"/>
                <w:spacing w:val="2"/>
                <w:sz w:val="18"/>
                <w:szCs w:val="18"/>
              </w:rPr>
              <w:t>制性股票的授予条件已经成</w:t>
            </w:r>
            <w:r>
              <w:rPr>
                <w:rFonts w:ascii="宋体" w:hAnsi="宋体" w:cs="宋体" w:eastAsia="宋体" w:hint="default"/>
                <w:sz w:val="18"/>
                <w:szCs w:val="18"/>
              </w:rPr>
              <w:t> </w:t>
            </w:r>
            <w:r>
              <w:rPr>
                <w:rFonts w:ascii="宋体" w:hAnsi="宋体" w:cs="宋体" w:eastAsia="宋体" w:hint="default"/>
                <w:spacing w:val="2"/>
                <w:sz w:val="18"/>
                <w:szCs w:val="18"/>
              </w:rPr>
              <w:t>就。本次首期授予预留股票</w:t>
            </w:r>
            <w:r>
              <w:rPr>
                <w:rFonts w:ascii="宋体" w:hAnsi="宋体" w:cs="宋体" w:eastAsia="宋体" w:hint="default"/>
                <w:sz w:val="18"/>
                <w:szCs w:val="18"/>
              </w:rPr>
              <w:t> 于</w:t>
            </w:r>
            <w:r>
              <w:rPr>
                <w:rFonts w:ascii="宋体" w:hAnsi="宋体" w:cs="宋体" w:eastAsia="宋体" w:hint="default"/>
                <w:spacing w:val="-26"/>
                <w:sz w:val="18"/>
                <w:szCs w:val="18"/>
              </w:rPr>
              <w:t> </w:t>
            </w:r>
            <w:r>
              <w:rPr>
                <w:rFonts w:ascii="宋体" w:hAnsi="宋体" w:cs="宋体" w:eastAsia="宋体" w:hint="default"/>
                <w:sz w:val="18"/>
                <w:szCs w:val="18"/>
              </w:rPr>
              <w:t>2019</w:t>
            </w:r>
            <w:r>
              <w:rPr>
                <w:rFonts w:ascii="宋体" w:hAnsi="宋体" w:cs="宋体" w:eastAsia="宋体" w:hint="default"/>
                <w:spacing w:val="-24"/>
                <w:sz w:val="18"/>
                <w:szCs w:val="18"/>
              </w:rPr>
              <w:t> </w:t>
            </w:r>
            <w:r>
              <w:rPr>
                <w:rFonts w:ascii="宋体" w:hAnsi="宋体" w:cs="宋体" w:eastAsia="宋体" w:hint="default"/>
                <w:sz w:val="18"/>
                <w:szCs w:val="18"/>
              </w:rPr>
              <w:t>年</w:t>
            </w:r>
            <w:r>
              <w:rPr>
                <w:rFonts w:ascii="宋体" w:hAnsi="宋体" w:cs="宋体" w:eastAsia="宋体" w:hint="default"/>
                <w:spacing w:val="-26"/>
                <w:sz w:val="18"/>
                <w:szCs w:val="18"/>
              </w:rPr>
              <w:t> </w:t>
            </w:r>
            <w:r>
              <w:rPr>
                <w:rFonts w:ascii="宋体" w:hAnsi="宋体" w:cs="宋体" w:eastAsia="宋体" w:hint="default"/>
                <w:sz w:val="18"/>
                <w:szCs w:val="18"/>
              </w:rPr>
              <w:t>3</w:t>
            </w:r>
            <w:r>
              <w:rPr>
                <w:rFonts w:ascii="宋体" w:hAnsi="宋体" w:cs="宋体" w:eastAsia="宋体" w:hint="default"/>
                <w:spacing w:val="-24"/>
                <w:sz w:val="18"/>
                <w:szCs w:val="18"/>
              </w:rPr>
              <w:t> </w:t>
            </w:r>
            <w:r>
              <w:rPr>
                <w:rFonts w:ascii="宋体" w:hAnsi="宋体" w:cs="宋体" w:eastAsia="宋体" w:hint="default"/>
                <w:sz w:val="18"/>
                <w:szCs w:val="18"/>
              </w:rPr>
              <w:t>月</w:t>
            </w:r>
            <w:r>
              <w:rPr>
                <w:rFonts w:ascii="宋体" w:hAnsi="宋体" w:cs="宋体" w:eastAsia="宋体" w:hint="default"/>
                <w:spacing w:val="-26"/>
                <w:sz w:val="18"/>
                <w:szCs w:val="18"/>
              </w:rPr>
              <w:t> </w:t>
            </w:r>
            <w:r>
              <w:rPr>
                <w:rFonts w:ascii="宋体" w:hAnsi="宋体" w:cs="宋体" w:eastAsia="宋体" w:hint="default"/>
                <w:sz w:val="18"/>
                <w:szCs w:val="18"/>
              </w:rPr>
              <w:t>5</w:t>
            </w:r>
            <w:r>
              <w:rPr>
                <w:rFonts w:ascii="宋体" w:hAnsi="宋体" w:cs="宋体" w:eastAsia="宋体" w:hint="default"/>
                <w:spacing w:val="-24"/>
                <w:sz w:val="18"/>
                <w:szCs w:val="18"/>
              </w:rPr>
              <w:t> </w:t>
            </w:r>
            <w:r>
              <w:rPr>
                <w:rFonts w:ascii="宋体" w:hAnsi="宋体" w:cs="宋体" w:eastAsia="宋体" w:hint="default"/>
                <w:sz w:val="18"/>
                <w:szCs w:val="18"/>
              </w:rPr>
              <w:t>日登记完 成。</w:t>
            </w:r>
          </w:p>
        </w:tc>
        <w:tc>
          <w:tcPr>
            <w:tcW w:w="337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2"/>
              <w:jc w:val="both"/>
              <w:rPr>
                <w:rFonts w:ascii="宋体" w:hAnsi="宋体" w:cs="宋体" w:eastAsia="宋体" w:hint="default"/>
                <w:sz w:val="18"/>
                <w:szCs w:val="18"/>
              </w:rPr>
            </w:pPr>
            <w:r>
              <w:rPr>
                <w:rFonts w:ascii="宋体" w:hAnsi="宋体" w:cs="宋体" w:eastAsia="宋体" w:hint="default"/>
                <w:spacing w:val="5"/>
                <w:sz w:val="18"/>
                <w:szCs w:val="18"/>
              </w:rPr>
              <w:t>本次限制性股票激励计划首期授予预留</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股票的授予日为</w:t>
            </w:r>
            <w:r>
              <w:rPr>
                <w:rFonts w:ascii="宋体" w:hAnsi="宋体" w:cs="宋体" w:eastAsia="宋体" w:hint="default"/>
                <w:spacing w:val="-44"/>
                <w:sz w:val="18"/>
                <w:szCs w:val="18"/>
              </w:rPr>
              <w:t> </w:t>
            </w:r>
            <w:r>
              <w:rPr>
                <w:rFonts w:ascii="宋体" w:hAnsi="宋体" w:cs="宋体" w:eastAsia="宋体" w:hint="default"/>
                <w:sz w:val="18"/>
                <w:szCs w:val="18"/>
              </w:rPr>
              <w:t>2019</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2</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日，登记</w:t>
            </w:r>
          </w:p>
          <w:p>
            <w:pPr>
              <w:pStyle w:val="TableParagraph"/>
              <w:spacing w:line="240" w:lineRule="auto" w:before="19"/>
              <w:ind w:left="103" w:right="0"/>
              <w:jc w:val="both"/>
              <w:rPr>
                <w:rFonts w:ascii="宋体" w:hAnsi="宋体" w:cs="宋体" w:eastAsia="宋体" w:hint="default"/>
                <w:sz w:val="18"/>
                <w:szCs w:val="18"/>
              </w:rPr>
            </w:pPr>
            <w:r>
              <w:rPr>
                <w:rFonts w:ascii="宋体" w:hAnsi="宋体" w:cs="宋体" w:eastAsia="宋体" w:hint="default"/>
                <w:sz w:val="18"/>
                <w:szCs w:val="18"/>
              </w:rPr>
              <w:t>日为</w:t>
            </w:r>
            <w:r>
              <w:rPr>
                <w:rFonts w:ascii="宋体" w:hAnsi="宋体" w:cs="宋体" w:eastAsia="宋体" w:hint="default"/>
                <w:spacing w:val="-46"/>
                <w:sz w:val="18"/>
                <w:szCs w:val="18"/>
              </w:rPr>
              <w:t> </w:t>
            </w:r>
            <w:r>
              <w:rPr>
                <w:rFonts w:ascii="宋体" w:hAnsi="宋体" w:cs="宋体" w:eastAsia="宋体" w:hint="default"/>
                <w:sz w:val="18"/>
                <w:szCs w:val="18"/>
              </w:rPr>
              <w:t>2019</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5"/>
                <w:sz w:val="18"/>
                <w:szCs w:val="18"/>
              </w:rPr>
              <w:t> </w:t>
            </w:r>
            <w:r>
              <w:rPr>
                <w:rFonts w:ascii="宋体" w:hAnsi="宋体" w:cs="宋体" w:eastAsia="宋体" w:hint="default"/>
                <w:sz w:val="18"/>
                <w:szCs w:val="18"/>
              </w:rPr>
              <w:t>日，限制性股票在获</w:t>
            </w:r>
          </w:p>
          <w:p>
            <w:pPr>
              <w:pStyle w:val="TableParagraph"/>
              <w:spacing w:line="316" w:lineRule="auto" w:before="76"/>
              <w:ind w:left="103" w:right="101"/>
              <w:jc w:val="both"/>
              <w:rPr>
                <w:rFonts w:ascii="宋体" w:hAnsi="宋体" w:cs="宋体" w:eastAsia="宋体" w:hint="default"/>
                <w:sz w:val="18"/>
                <w:szCs w:val="18"/>
              </w:rPr>
            </w:pPr>
            <w:r>
              <w:rPr>
                <w:rFonts w:ascii="宋体" w:hAnsi="宋体" w:cs="宋体" w:eastAsia="宋体" w:hint="default"/>
                <w:sz w:val="18"/>
                <w:szCs w:val="18"/>
              </w:rPr>
              <w:t>授之日起满</w:t>
            </w:r>
            <w:r>
              <w:rPr>
                <w:rFonts w:ascii="宋体" w:hAnsi="宋体" w:cs="宋体" w:eastAsia="宋体" w:hint="default"/>
                <w:spacing w:val="-43"/>
                <w:sz w:val="18"/>
                <w:szCs w:val="18"/>
              </w:rPr>
              <w:t> </w:t>
            </w:r>
            <w:r>
              <w:rPr>
                <w:rFonts w:ascii="宋体" w:hAnsi="宋体" w:cs="宋体" w:eastAsia="宋体" w:hint="default"/>
                <w:sz w:val="18"/>
                <w:szCs w:val="18"/>
              </w:rPr>
              <w:t>24</w:t>
            </w:r>
            <w:r>
              <w:rPr>
                <w:rFonts w:ascii="宋体" w:hAnsi="宋体" w:cs="宋体" w:eastAsia="宋体" w:hint="default"/>
                <w:spacing w:val="-42"/>
                <w:sz w:val="18"/>
                <w:szCs w:val="18"/>
              </w:rPr>
              <w:t> </w:t>
            </w:r>
            <w:r>
              <w:rPr>
                <w:rFonts w:ascii="宋体" w:hAnsi="宋体" w:cs="宋体" w:eastAsia="宋体" w:hint="default"/>
                <w:sz w:val="18"/>
                <w:szCs w:val="18"/>
              </w:rPr>
              <w:t>个月后分三期解锁，具体 </w:t>
            </w:r>
            <w:r>
              <w:rPr>
                <w:rFonts w:ascii="宋体" w:hAnsi="宋体" w:cs="宋体" w:eastAsia="宋体" w:hint="default"/>
                <w:spacing w:val="-5"/>
                <w:sz w:val="18"/>
                <w:szCs w:val="18"/>
              </w:rPr>
              <w:t>解锁安排如下：</w:t>
            </w:r>
            <w:r>
              <w:rPr>
                <w:rFonts w:ascii="宋体" w:hAnsi="宋体" w:cs="宋体" w:eastAsia="宋体" w:hint="default"/>
                <w:spacing w:val="-5"/>
                <w:sz w:val="18"/>
                <w:szCs w:val="18"/>
              </w:rPr>
              <w:t>1)</w:t>
            </w:r>
            <w:r>
              <w:rPr>
                <w:rFonts w:ascii="宋体" w:hAnsi="宋体" w:cs="宋体" w:eastAsia="宋体" w:hint="default"/>
                <w:spacing w:val="-5"/>
                <w:sz w:val="18"/>
                <w:szCs w:val="18"/>
              </w:rPr>
              <w:t>第一个解锁期，自获授</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之日起</w:t>
            </w:r>
            <w:r>
              <w:rPr>
                <w:rFonts w:ascii="宋体" w:hAnsi="宋体" w:cs="宋体" w:eastAsia="宋体" w:hint="default"/>
                <w:spacing w:val="-43"/>
                <w:sz w:val="18"/>
                <w:szCs w:val="18"/>
              </w:rPr>
              <w:t> </w:t>
            </w:r>
            <w:r>
              <w:rPr>
                <w:rFonts w:ascii="宋体" w:hAnsi="宋体" w:cs="宋体" w:eastAsia="宋体" w:hint="default"/>
                <w:sz w:val="18"/>
                <w:szCs w:val="18"/>
              </w:rPr>
              <w:t>24</w:t>
            </w:r>
            <w:r>
              <w:rPr>
                <w:rFonts w:ascii="宋体" w:hAnsi="宋体" w:cs="宋体" w:eastAsia="宋体" w:hint="default"/>
                <w:spacing w:val="-42"/>
                <w:sz w:val="18"/>
                <w:szCs w:val="18"/>
              </w:rPr>
              <w:t> </w:t>
            </w:r>
            <w:r>
              <w:rPr>
                <w:rFonts w:ascii="宋体" w:hAnsi="宋体" w:cs="宋体" w:eastAsia="宋体" w:hint="default"/>
                <w:sz w:val="18"/>
                <w:szCs w:val="18"/>
              </w:rPr>
              <w:t>个月后的首个交易日起至获授</w:t>
            </w:r>
          </w:p>
          <w:p>
            <w:pPr>
              <w:pStyle w:val="TableParagraph"/>
              <w:spacing w:line="316" w:lineRule="auto" w:before="19"/>
              <w:ind w:left="103" w:right="101"/>
              <w:jc w:val="both"/>
              <w:rPr>
                <w:rFonts w:ascii="宋体" w:hAnsi="宋体" w:cs="宋体" w:eastAsia="宋体" w:hint="default"/>
                <w:sz w:val="18"/>
                <w:szCs w:val="18"/>
              </w:rPr>
            </w:pPr>
            <w:r>
              <w:rPr>
                <w:rFonts w:ascii="宋体" w:hAnsi="宋体" w:cs="宋体" w:eastAsia="宋体" w:hint="default"/>
                <w:sz w:val="18"/>
                <w:szCs w:val="18"/>
              </w:rPr>
              <w:t>之日起</w:t>
            </w:r>
            <w:r>
              <w:rPr>
                <w:rFonts w:ascii="宋体" w:hAnsi="宋体" w:cs="宋体" w:eastAsia="宋体" w:hint="default"/>
                <w:spacing w:val="-43"/>
                <w:sz w:val="18"/>
                <w:szCs w:val="18"/>
              </w:rPr>
              <w:t> </w:t>
            </w:r>
            <w:r>
              <w:rPr>
                <w:rFonts w:ascii="宋体" w:hAnsi="宋体" w:cs="宋体" w:eastAsia="宋体" w:hint="default"/>
                <w:sz w:val="18"/>
                <w:szCs w:val="18"/>
              </w:rPr>
              <w:t>36</w:t>
            </w:r>
            <w:r>
              <w:rPr>
                <w:rFonts w:ascii="宋体" w:hAnsi="宋体" w:cs="宋体" w:eastAsia="宋体" w:hint="default"/>
                <w:spacing w:val="-42"/>
                <w:sz w:val="18"/>
                <w:szCs w:val="18"/>
              </w:rPr>
              <w:t> </w:t>
            </w:r>
            <w:r>
              <w:rPr>
                <w:rFonts w:ascii="宋体" w:hAnsi="宋体" w:cs="宋体" w:eastAsia="宋体" w:hint="default"/>
                <w:sz w:val="18"/>
                <w:szCs w:val="18"/>
              </w:rPr>
              <w:t>个月内的最后一个交易日当日 止，解锁数量占获授数量的</w:t>
            </w:r>
            <w:r>
              <w:rPr>
                <w:rFonts w:ascii="宋体" w:hAnsi="宋体" w:cs="宋体" w:eastAsia="宋体" w:hint="default"/>
                <w:spacing w:val="-57"/>
                <w:sz w:val="18"/>
                <w:szCs w:val="18"/>
              </w:rPr>
              <w:t> </w:t>
            </w:r>
            <w:r>
              <w:rPr>
                <w:rFonts w:ascii="宋体" w:hAnsi="宋体" w:cs="宋体" w:eastAsia="宋体" w:hint="default"/>
                <w:spacing w:val="-3"/>
                <w:sz w:val="18"/>
                <w:szCs w:val="18"/>
              </w:rPr>
              <w:t>40%</w:t>
            </w:r>
            <w:r>
              <w:rPr>
                <w:rFonts w:ascii="宋体" w:hAnsi="宋体" w:cs="宋体" w:eastAsia="宋体" w:hint="default"/>
                <w:spacing w:val="-3"/>
                <w:sz w:val="18"/>
                <w:szCs w:val="18"/>
              </w:rPr>
              <w:t>；</w:t>
            </w:r>
            <w:r>
              <w:rPr>
                <w:rFonts w:ascii="宋体" w:hAnsi="宋体" w:cs="宋体" w:eastAsia="宋体" w:hint="default"/>
                <w:spacing w:val="-3"/>
                <w:sz w:val="18"/>
                <w:szCs w:val="18"/>
              </w:rPr>
              <w:t>2)</w:t>
            </w:r>
            <w:r>
              <w:rPr>
                <w:rFonts w:ascii="宋体" w:hAnsi="宋体" w:cs="宋体" w:eastAsia="宋体" w:hint="default"/>
                <w:spacing w:val="-3"/>
                <w:sz w:val="18"/>
                <w:szCs w:val="18"/>
              </w:rPr>
              <w:t>第二</w:t>
            </w:r>
            <w:r>
              <w:rPr>
                <w:rFonts w:ascii="宋体" w:hAnsi="宋体" w:cs="宋体" w:eastAsia="宋体" w:hint="default"/>
                <w:sz w:val="18"/>
                <w:szCs w:val="18"/>
              </w:rPr>
              <w:t> 个解锁期，自获授之日起</w:t>
            </w:r>
            <w:r>
              <w:rPr>
                <w:rFonts w:ascii="宋体" w:hAnsi="宋体" w:cs="宋体" w:eastAsia="宋体" w:hint="default"/>
                <w:spacing w:val="-43"/>
                <w:sz w:val="18"/>
                <w:szCs w:val="18"/>
              </w:rPr>
              <w:t> </w:t>
            </w:r>
            <w:r>
              <w:rPr>
                <w:rFonts w:ascii="宋体" w:hAnsi="宋体" w:cs="宋体" w:eastAsia="宋体" w:hint="default"/>
                <w:sz w:val="18"/>
                <w:szCs w:val="18"/>
              </w:rPr>
              <w:t>36</w:t>
            </w:r>
            <w:r>
              <w:rPr>
                <w:rFonts w:ascii="宋体" w:hAnsi="宋体" w:cs="宋体" w:eastAsia="宋体" w:hint="default"/>
                <w:spacing w:val="-42"/>
                <w:sz w:val="18"/>
                <w:szCs w:val="18"/>
              </w:rPr>
              <w:t> </w:t>
            </w:r>
            <w:r>
              <w:rPr>
                <w:rFonts w:ascii="宋体" w:hAnsi="宋体" w:cs="宋体" w:eastAsia="宋体" w:hint="default"/>
                <w:sz w:val="18"/>
                <w:szCs w:val="18"/>
              </w:rPr>
              <w:t>个月后的首</w:t>
            </w:r>
          </w:p>
          <w:p>
            <w:pPr>
              <w:pStyle w:val="TableParagraph"/>
              <w:spacing w:line="316" w:lineRule="auto" w:before="19"/>
              <w:ind w:left="103" w:right="103"/>
              <w:jc w:val="both"/>
              <w:rPr>
                <w:rFonts w:ascii="宋体" w:hAnsi="宋体" w:cs="宋体" w:eastAsia="宋体" w:hint="default"/>
                <w:sz w:val="18"/>
                <w:szCs w:val="18"/>
              </w:rPr>
            </w:pPr>
            <w:r>
              <w:rPr>
                <w:rFonts w:ascii="宋体" w:hAnsi="宋体" w:cs="宋体" w:eastAsia="宋体" w:hint="default"/>
                <w:sz w:val="18"/>
                <w:szCs w:val="18"/>
              </w:rPr>
              <w:t>个交易日起至获授之日起</w:t>
            </w:r>
            <w:r>
              <w:rPr>
                <w:rFonts w:ascii="宋体" w:hAnsi="宋体" w:cs="宋体" w:eastAsia="宋体" w:hint="default"/>
                <w:spacing w:val="-43"/>
                <w:sz w:val="18"/>
                <w:szCs w:val="18"/>
              </w:rPr>
              <w:t> </w:t>
            </w:r>
            <w:r>
              <w:rPr>
                <w:rFonts w:ascii="宋体" w:hAnsi="宋体" w:cs="宋体" w:eastAsia="宋体" w:hint="default"/>
                <w:sz w:val="18"/>
                <w:szCs w:val="18"/>
              </w:rPr>
              <w:t>48</w:t>
            </w:r>
            <w:r>
              <w:rPr>
                <w:rFonts w:ascii="宋体" w:hAnsi="宋体" w:cs="宋体" w:eastAsia="宋体" w:hint="default"/>
                <w:spacing w:val="-42"/>
                <w:sz w:val="18"/>
                <w:szCs w:val="18"/>
              </w:rPr>
              <w:t> </w:t>
            </w:r>
            <w:r>
              <w:rPr>
                <w:rFonts w:ascii="宋体" w:hAnsi="宋体" w:cs="宋体" w:eastAsia="宋体" w:hint="default"/>
                <w:sz w:val="18"/>
                <w:szCs w:val="18"/>
              </w:rPr>
              <w:t>个月内的最 </w:t>
            </w:r>
            <w:r>
              <w:rPr>
                <w:rFonts w:ascii="宋体" w:hAnsi="宋体" w:cs="宋体" w:eastAsia="宋体" w:hint="default"/>
                <w:spacing w:val="-5"/>
                <w:sz w:val="18"/>
                <w:szCs w:val="18"/>
              </w:rPr>
              <w:t>后一个交易日当日止，解锁数量占获授数</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量的</w:t>
            </w:r>
            <w:r>
              <w:rPr>
                <w:rFonts w:ascii="宋体" w:hAnsi="宋体" w:cs="宋体" w:eastAsia="宋体" w:hint="default"/>
                <w:spacing w:val="-38"/>
                <w:sz w:val="18"/>
                <w:szCs w:val="18"/>
              </w:rPr>
              <w:t> </w:t>
            </w:r>
            <w:r>
              <w:rPr>
                <w:rFonts w:ascii="宋体" w:hAnsi="宋体" w:cs="宋体" w:eastAsia="宋体" w:hint="default"/>
                <w:spacing w:val="-3"/>
                <w:sz w:val="18"/>
                <w:szCs w:val="18"/>
              </w:rPr>
              <w:t>30%</w:t>
            </w:r>
            <w:r>
              <w:rPr>
                <w:rFonts w:ascii="宋体" w:hAnsi="宋体" w:cs="宋体" w:eastAsia="宋体" w:hint="default"/>
                <w:spacing w:val="-3"/>
                <w:sz w:val="18"/>
                <w:szCs w:val="18"/>
              </w:rPr>
              <w:t>；</w:t>
            </w:r>
            <w:r>
              <w:rPr>
                <w:rFonts w:ascii="宋体" w:hAnsi="宋体" w:cs="宋体" w:eastAsia="宋体" w:hint="default"/>
                <w:spacing w:val="-3"/>
                <w:sz w:val="18"/>
                <w:szCs w:val="18"/>
              </w:rPr>
              <w:t>3)</w:t>
            </w:r>
            <w:r>
              <w:rPr>
                <w:rFonts w:ascii="宋体" w:hAnsi="宋体" w:cs="宋体" w:eastAsia="宋体" w:hint="default"/>
                <w:spacing w:val="-3"/>
                <w:sz w:val="18"/>
                <w:szCs w:val="18"/>
              </w:rPr>
              <w:t>第三个解锁期，自获授之日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起</w:t>
            </w:r>
            <w:r>
              <w:rPr>
                <w:rFonts w:ascii="宋体" w:hAnsi="宋体" w:cs="宋体" w:eastAsia="宋体" w:hint="default"/>
                <w:spacing w:val="-43"/>
                <w:sz w:val="18"/>
                <w:szCs w:val="18"/>
              </w:rPr>
              <w:t> </w:t>
            </w:r>
            <w:r>
              <w:rPr>
                <w:rFonts w:ascii="宋体" w:hAnsi="宋体" w:cs="宋体" w:eastAsia="宋体" w:hint="default"/>
                <w:sz w:val="18"/>
                <w:szCs w:val="18"/>
              </w:rPr>
              <w:t>48</w:t>
            </w:r>
            <w:r>
              <w:rPr>
                <w:rFonts w:ascii="宋体" w:hAnsi="宋体" w:cs="宋体" w:eastAsia="宋体" w:hint="default"/>
                <w:spacing w:val="-42"/>
                <w:sz w:val="18"/>
                <w:szCs w:val="18"/>
              </w:rPr>
              <w:t> </w:t>
            </w:r>
            <w:r>
              <w:rPr>
                <w:rFonts w:ascii="宋体" w:hAnsi="宋体" w:cs="宋体" w:eastAsia="宋体" w:hint="default"/>
                <w:sz w:val="18"/>
                <w:szCs w:val="18"/>
              </w:rPr>
              <w:t>个月后的首个交易日起至获授之日</w:t>
            </w:r>
          </w:p>
          <w:p>
            <w:pPr>
              <w:pStyle w:val="TableParagraph"/>
              <w:spacing w:line="316" w:lineRule="auto" w:before="19"/>
              <w:ind w:left="103" w:right="104"/>
              <w:jc w:val="both"/>
              <w:rPr>
                <w:rFonts w:ascii="宋体" w:hAnsi="宋体" w:cs="宋体" w:eastAsia="宋体" w:hint="default"/>
                <w:sz w:val="18"/>
                <w:szCs w:val="18"/>
              </w:rPr>
            </w:pPr>
            <w:r>
              <w:rPr>
                <w:rFonts w:ascii="宋体" w:hAnsi="宋体" w:cs="宋体" w:eastAsia="宋体" w:hint="default"/>
                <w:sz w:val="18"/>
                <w:szCs w:val="18"/>
              </w:rPr>
              <w:t>起</w:t>
            </w:r>
            <w:r>
              <w:rPr>
                <w:rFonts w:ascii="宋体" w:hAnsi="宋体" w:cs="宋体" w:eastAsia="宋体" w:hint="default"/>
                <w:spacing w:val="-43"/>
                <w:sz w:val="18"/>
                <w:szCs w:val="18"/>
              </w:rPr>
              <w:t> </w:t>
            </w:r>
            <w:r>
              <w:rPr>
                <w:rFonts w:ascii="宋体" w:hAnsi="宋体" w:cs="宋体" w:eastAsia="宋体" w:hint="default"/>
                <w:sz w:val="18"/>
                <w:szCs w:val="18"/>
              </w:rPr>
              <w:t>60</w:t>
            </w:r>
            <w:r>
              <w:rPr>
                <w:rFonts w:ascii="宋体" w:hAnsi="宋体" w:cs="宋体" w:eastAsia="宋体" w:hint="default"/>
                <w:spacing w:val="-42"/>
                <w:sz w:val="18"/>
                <w:szCs w:val="18"/>
              </w:rPr>
              <w:t> </w:t>
            </w:r>
            <w:r>
              <w:rPr>
                <w:rFonts w:ascii="宋体" w:hAnsi="宋体" w:cs="宋体" w:eastAsia="宋体" w:hint="default"/>
                <w:sz w:val="18"/>
                <w:szCs w:val="18"/>
              </w:rPr>
              <w:t>个月内的最后一个交易日当日止， 解锁数量占获授数量的</w:t>
            </w:r>
            <w:r>
              <w:rPr>
                <w:rFonts w:ascii="宋体" w:hAnsi="宋体" w:cs="宋体" w:eastAsia="宋体" w:hint="default"/>
                <w:spacing w:val="-44"/>
                <w:sz w:val="18"/>
                <w:szCs w:val="18"/>
              </w:rPr>
              <w:t> </w:t>
            </w:r>
            <w:r>
              <w:rPr>
                <w:rFonts w:ascii="宋体" w:hAnsi="宋体" w:cs="宋体" w:eastAsia="宋体" w:hint="default"/>
                <w:sz w:val="18"/>
                <w:szCs w:val="18"/>
              </w:rPr>
              <w:t>30%</w:t>
            </w:r>
            <w:r>
              <w:rPr>
                <w:rFonts w:ascii="宋体" w:hAnsi="宋体" w:cs="宋体" w:eastAsia="宋体" w:hint="default"/>
                <w:sz w:val="18"/>
                <w:szCs w:val="18"/>
              </w:rPr>
              <w:t>。</w:t>
            </w:r>
          </w:p>
        </w:tc>
      </w:tr>
      <w:tr>
        <w:trPr>
          <w:trHeight w:val="1882" w:hRule="exact"/>
        </w:trPr>
        <w:tc>
          <w:tcPr>
            <w:tcW w:w="1054" w:type="dxa"/>
            <w:vMerge/>
            <w:tcBorders>
              <w:left w:val="single" w:sz="4" w:space="0" w:color="000000"/>
              <w:bottom w:val="single" w:sz="4" w:space="0" w:color="000000"/>
              <w:right w:val="single" w:sz="4" w:space="0" w:color="000000"/>
            </w:tcBorders>
          </w:tcPr>
          <w:p>
            <w:pPr/>
          </w:p>
        </w:tc>
        <w:tc>
          <w:tcPr>
            <w:tcW w:w="1075" w:type="dxa"/>
            <w:vMerge/>
            <w:tcBorders>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7,262,000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w w:val="100"/>
                <w:sz w:val="21"/>
              </w:rPr>
              <w:t>0</w:t>
            </w:r>
          </w:p>
        </w:tc>
        <w:tc>
          <w:tcPr>
            <w:tcW w:w="991" w:type="dxa"/>
            <w:vMerge/>
            <w:tcBorders>
              <w:left w:val="single" w:sz="4" w:space="0" w:color="000000"/>
              <w:bottom w:val="single" w:sz="4" w:space="0" w:color="000000"/>
              <w:right w:val="single" w:sz="4" w:space="0" w:color="000000"/>
            </w:tcBorders>
          </w:tcPr>
          <w:p>
            <w:pP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both"/>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55"/>
                <w:sz w:val="21"/>
                <w:szCs w:val="21"/>
              </w:rPr>
              <w:t> </w:t>
            </w:r>
            <w:r>
              <w:rPr>
                <w:rFonts w:ascii="宋体" w:hAnsi="宋体" w:cs="宋体" w:eastAsia="宋体" w:hint="default"/>
                <w:sz w:val="21"/>
                <w:szCs w:val="21"/>
              </w:rPr>
              <w:t>2019</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9</w:t>
            </w:r>
            <w:r>
              <w:rPr>
                <w:rFonts w:ascii="宋体" w:hAnsi="宋体" w:cs="宋体" w:eastAsia="宋体" w:hint="default"/>
                <w:spacing w:val="-57"/>
                <w:sz w:val="21"/>
                <w:szCs w:val="21"/>
              </w:rPr>
              <w:t> </w:t>
            </w:r>
            <w:r>
              <w:rPr>
                <w:rFonts w:ascii="宋体" w:hAnsi="宋体" w:cs="宋体" w:eastAsia="宋体" w:hint="default"/>
                <w:sz w:val="21"/>
                <w:szCs w:val="21"/>
              </w:rPr>
              <w:t>月对已</w:t>
            </w:r>
          </w:p>
          <w:p>
            <w:pPr>
              <w:pStyle w:val="TableParagraph"/>
              <w:spacing w:line="273" w:lineRule="auto" w:before="37"/>
              <w:ind w:left="103" w:right="98"/>
              <w:jc w:val="both"/>
              <w:rPr>
                <w:rFonts w:ascii="宋体" w:hAnsi="宋体" w:cs="宋体" w:eastAsia="宋体" w:hint="default"/>
                <w:sz w:val="21"/>
                <w:szCs w:val="21"/>
              </w:rPr>
            </w:pPr>
            <w:r>
              <w:rPr>
                <w:rFonts w:ascii="宋体" w:hAnsi="宋体" w:cs="宋体" w:eastAsia="宋体" w:hint="default"/>
                <w:sz w:val="21"/>
                <w:szCs w:val="21"/>
              </w:rPr>
              <w:t>不属于激励范围的</w:t>
            </w:r>
            <w:r>
              <w:rPr>
                <w:rFonts w:ascii="宋体" w:hAnsi="宋体" w:cs="宋体" w:eastAsia="宋体" w:hint="default"/>
                <w:spacing w:val="-59"/>
                <w:sz w:val="21"/>
                <w:szCs w:val="21"/>
              </w:rPr>
              <w:t> </w:t>
            </w:r>
            <w:r>
              <w:rPr>
                <w:rFonts w:ascii="宋体" w:hAnsi="宋体" w:cs="宋体" w:eastAsia="宋体" w:hint="default"/>
                <w:sz w:val="21"/>
                <w:szCs w:val="21"/>
              </w:rPr>
              <w:t>72</w:t>
            </w:r>
            <w:r>
              <w:rPr>
                <w:rFonts w:ascii="宋体" w:hAnsi="宋体" w:cs="宋体" w:eastAsia="宋体" w:hint="default"/>
                <w:spacing w:val="-59"/>
                <w:sz w:val="21"/>
                <w:szCs w:val="21"/>
              </w:rPr>
              <w:t> </w:t>
            </w:r>
            <w:r>
              <w:rPr>
                <w:rFonts w:ascii="宋体" w:hAnsi="宋体" w:cs="宋体" w:eastAsia="宋体" w:hint="default"/>
                <w:sz w:val="21"/>
                <w:szCs w:val="21"/>
              </w:rPr>
              <w:t>名</w:t>
            </w:r>
            <w:r>
              <w:rPr>
                <w:rFonts w:ascii="宋体" w:hAnsi="宋体" w:cs="宋体" w:eastAsia="宋体" w:hint="default"/>
                <w:w w:val="100"/>
                <w:sz w:val="21"/>
                <w:szCs w:val="21"/>
              </w:rPr>
              <w:t> </w:t>
            </w:r>
            <w:r>
              <w:rPr>
                <w:rFonts w:ascii="宋体" w:hAnsi="宋体" w:cs="宋体" w:eastAsia="宋体" w:hint="default"/>
                <w:spacing w:val="7"/>
                <w:sz w:val="21"/>
                <w:szCs w:val="21"/>
              </w:rPr>
              <w:t>激励对象持有的已获授</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但</w:t>
            </w:r>
            <w:r>
              <w:rPr>
                <w:rFonts w:ascii="宋体" w:hAnsi="宋体" w:cs="宋体" w:eastAsia="宋体" w:hint="default"/>
                <w:spacing w:val="-33"/>
                <w:sz w:val="21"/>
                <w:szCs w:val="21"/>
              </w:rPr>
              <w:t> </w:t>
            </w:r>
            <w:r>
              <w:rPr>
                <w:rFonts w:ascii="宋体" w:hAnsi="宋体" w:cs="宋体" w:eastAsia="宋体" w:hint="default"/>
                <w:sz w:val="21"/>
                <w:szCs w:val="21"/>
              </w:rPr>
              <w:t>尚</w:t>
            </w:r>
            <w:r>
              <w:rPr>
                <w:rFonts w:ascii="宋体" w:hAnsi="宋体" w:cs="宋体" w:eastAsia="宋体" w:hint="default"/>
                <w:spacing w:val="-33"/>
                <w:sz w:val="21"/>
                <w:szCs w:val="21"/>
              </w:rPr>
              <w:t> </w:t>
            </w:r>
            <w:r>
              <w:rPr>
                <w:rFonts w:ascii="宋体" w:hAnsi="宋体" w:cs="宋体" w:eastAsia="宋体" w:hint="default"/>
                <w:sz w:val="21"/>
                <w:szCs w:val="21"/>
              </w:rPr>
              <w:t>未</w:t>
            </w:r>
            <w:r>
              <w:rPr>
                <w:rFonts w:ascii="宋体" w:hAnsi="宋体" w:cs="宋体" w:eastAsia="宋体" w:hint="default"/>
                <w:spacing w:val="-33"/>
                <w:sz w:val="21"/>
                <w:szCs w:val="21"/>
              </w:rPr>
              <w:t> </w:t>
            </w:r>
            <w:r>
              <w:rPr>
                <w:rFonts w:ascii="宋体" w:hAnsi="宋体" w:cs="宋体" w:eastAsia="宋体" w:hint="default"/>
                <w:sz w:val="21"/>
                <w:szCs w:val="21"/>
              </w:rPr>
              <w:t>解</w:t>
            </w:r>
            <w:r>
              <w:rPr>
                <w:rFonts w:ascii="宋体" w:hAnsi="宋体" w:cs="宋体" w:eastAsia="宋体" w:hint="default"/>
                <w:spacing w:val="-30"/>
                <w:sz w:val="21"/>
                <w:szCs w:val="21"/>
              </w:rPr>
              <w:t> </w:t>
            </w:r>
            <w:r>
              <w:rPr>
                <w:rFonts w:ascii="宋体" w:hAnsi="宋体" w:cs="宋体" w:eastAsia="宋体" w:hint="default"/>
                <w:sz w:val="21"/>
                <w:szCs w:val="21"/>
              </w:rPr>
              <w:t>除</w:t>
            </w:r>
            <w:r>
              <w:rPr>
                <w:rFonts w:ascii="宋体" w:hAnsi="宋体" w:cs="宋体" w:eastAsia="宋体" w:hint="default"/>
                <w:spacing w:val="-33"/>
                <w:sz w:val="21"/>
                <w:szCs w:val="21"/>
              </w:rPr>
              <w:t> </w:t>
            </w:r>
            <w:r>
              <w:rPr>
                <w:rFonts w:ascii="宋体" w:hAnsi="宋体" w:cs="宋体" w:eastAsia="宋体" w:hint="default"/>
                <w:sz w:val="21"/>
                <w:szCs w:val="21"/>
              </w:rPr>
              <w:t>限</w:t>
            </w:r>
            <w:r>
              <w:rPr>
                <w:rFonts w:ascii="宋体" w:hAnsi="宋体" w:cs="宋体" w:eastAsia="宋体" w:hint="default"/>
                <w:spacing w:val="-33"/>
                <w:sz w:val="21"/>
                <w:szCs w:val="21"/>
              </w:rPr>
              <w:t> </w:t>
            </w:r>
            <w:r>
              <w:rPr>
                <w:rFonts w:ascii="宋体" w:hAnsi="宋体" w:cs="宋体" w:eastAsia="宋体" w:hint="default"/>
                <w:sz w:val="21"/>
                <w:szCs w:val="21"/>
              </w:rPr>
              <w:t>售</w:t>
            </w:r>
            <w:r>
              <w:rPr>
                <w:rFonts w:ascii="宋体" w:hAnsi="宋体" w:cs="宋体" w:eastAsia="宋体" w:hint="default"/>
                <w:spacing w:val="-33"/>
                <w:sz w:val="21"/>
                <w:szCs w:val="21"/>
              </w:rPr>
              <w:t> </w:t>
            </w:r>
            <w:r>
              <w:rPr>
                <w:rFonts w:ascii="宋体" w:hAnsi="宋体" w:cs="宋体" w:eastAsia="宋体" w:hint="default"/>
                <w:sz w:val="21"/>
                <w:szCs w:val="21"/>
              </w:rPr>
              <w:t>的</w:t>
            </w:r>
            <w:r>
              <w:rPr>
                <w:rFonts w:ascii="宋体" w:hAnsi="宋体" w:cs="宋体" w:eastAsia="宋体" w:hint="default"/>
                <w:w w:val="100"/>
                <w:sz w:val="21"/>
                <w:szCs w:val="21"/>
              </w:rPr>
              <w:t> </w:t>
            </w:r>
            <w:r>
              <w:rPr>
                <w:rFonts w:ascii="宋体" w:hAnsi="宋体" w:cs="宋体" w:eastAsia="宋体" w:hint="default"/>
                <w:sz w:val="21"/>
                <w:szCs w:val="21"/>
              </w:rPr>
              <w:t>726.2</w:t>
            </w:r>
            <w:r>
              <w:rPr>
                <w:rFonts w:ascii="宋体" w:hAnsi="宋体" w:cs="宋体" w:eastAsia="宋体" w:hint="default"/>
                <w:spacing w:val="25"/>
                <w:sz w:val="21"/>
                <w:szCs w:val="21"/>
              </w:rPr>
              <w:t> </w:t>
            </w:r>
            <w:r>
              <w:rPr>
                <w:rFonts w:ascii="宋体" w:hAnsi="宋体" w:cs="宋体" w:eastAsia="宋体" w:hint="default"/>
                <w:spacing w:val="9"/>
                <w:sz w:val="21"/>
                <w:szCs w:val="21"/>
              </w:rPr>
              <w:t>万股限制性股票</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进行回购注销。</w:t>
            </w:r>
          </w:p>
        </w:tc>
        <w:tc>
          <w:tcPr>
            <w:tcW w:w="337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1"/>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62"/>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9</w:t>
            </w:r>
            <w:r>
              <w:rPr>
                <w:rFonts w:ascii="宋体" w:hAnsi="宋体" w:cs="宋体" w:eastAsia="宋体" w:hint="default"/>
                <w:spacing w:val="-65"/>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6</w:t>
            </w:r>
            <w:r>
              <w:rPr>
                <w:rFonts w:ascii="宋体" w:hAnsi="宋体" w:cs="宋体" w:eastAsia="宋体" w:hint="default"/>
                <w:spacing w:val="-65"/>
                <w:sz w:val="21"/>
                <w:szCs w:val="21"/>
              </w:rPr>
              <w:t> </w:t>
            </w:r>
            <w:r>
              <w:rPr>
                <w:rFonts w:ascii="宋体" w:hAnsi="宋体" w:cs="宋体" w:eastAsia="宋体" w:hint="default"/>
                <w:sz w:val="21"/>
                <w:szCs w:val="21"/>
              </w:rPr>
              <w:t>日完成对相关限售股</w:t>
            </w:r>
            <w:r>
              <w:rPr>
                <w:rFonts w:ascii="宋体" w:hAnsi="宋体" w:cs="宋体" w:eastAsia="宋体" w:hint="default"/>
                <w:w w:val="100"/>
                <w:sz w:val="21"/>
                <w:szCs w:val="21"/>
              </w:rPr>
              <w:t> </w:t>
            </w:r>
            <w:r>
              <w:rPr>
                <w:rFonts w:ascii="宋体" w:hAnsi="宋体" w:cs="宋体" w:eastAsia="宋体" w:hint="default"/>
                <w:sz w:val="21"/>
                <w:szCs w:val="21"/>
              </w:rPr>
              <w:t>份的回购注销。</w:t>
            </w:r>
          </w:p>
        </w:tc>
      </w:tr>
      <w:tr>
        <w:trPr>
          <w:trHeight w:val="636"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311"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3" w:right="0"/>
              <w:jc w:val="left"/>
              <w:rPr>
                <w:rFonts w:ascii="Times New Roman" w:hAnsi="Times New Roman" w:cs="Times New Roman" w:eastAsia="Times New Roman" w:hint="default"/>
                <w:sz w:val="21"/>
                <w:szCs w:val="21"/>
              </w:rPr>
            </w:pPr>
            <w:r>
              <w:rPr>
                <w:rFonts w:ascii="Times New Roman"/>
                <w:sz w:val="21"/>
              </w:rPr>
              <w:t>793,861,0</w:t>
            </w:r>
          </w:p>
          <w:p>
            <w:pPr>
              <w:pStyle w:val="TableParagraph"/>
              <w:spacing w:line="240" w:lineRule="auto" w:before="70"/>
              <w:ind w:left="103" w:right="0"/>
              <w:jc w:val="left"/>
              <w:rPr>
                <w:rFonts w:ascii="Times New Roman" w:hAnsi="Times New Roman" w:cs="Times New Roman" w:eastAsia="Times New Roman" w:hint="default"/>
                <w:sz w:val="21"/>
                <w:szCs w:val="21"/>
              </w:rPr>
            </w:pPr>
            <w:r>
              <w:rPr>
                <w:rFonts w:ascii="Times New Roman"/>
                <w:sz w:val="21"/>
              </w:rPr>
              <w:t>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77" w:right="0"/>
              <w:jc w:val="left"/>
              <w:rPr>
                <w:rFonts w:ascii="Times New Roman" w:hAnsi="Times New Roman" w:cs="Times New Roman" w:eastAsia="Times New Roman" w:hint="default"/>
                <w:sz w:val="21"/>
                <w:szCs w:val="21"/>
              </w:rPr>
            </w:pPr>
            <w:r>
              <w:rPr>
                <w:rFonts w:ascii="Times New Roman"/>
                <w:sz w:val="21"/>
              </w:rPr>
              <w:t>7,262,000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21"/>
                <w:szCs w:val="21"/>
              </w:rPr>
            </w:pPr>
            <w:r>
              <w:rPr>
                <w:rFonts w:ascii="Times New Roman"/>
                <w:spacing w:val="-1"/>
                <w:sz w:val="21"/>
              </w:rPr>
              <w:t>13,156,0</w:t>
            </w:r>
          </w:p>
          <w:p>
            <w:pPr>
              <w:pStyle w:val="TableParagraph"/>
              <w:spacing w:line="240" w:lineRule="auto" w:before="70"/>
              <w:ind w:right="101"/>
              <w:jc w:val="right"/>
              <w:rPr>
                <w:rFonts w:ascii="Times New Roman" w:hAnsi="Times New Roman" w:cs="Times New Roman" w:eastAsia="Times New Roman" w:hint="default"/>
                <w:sz w:val="21"/>
                <w:szCs w:val="21"/>
              </w:rPr>
            </w:pPr>
            <w:r>
              <w:rPr>
                <w:rFonts w:ascii="Times New Roman"/>
                <w:sz w:val="21"/>
              </w:rPr>
              <w:t>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43" w:right="0"/>
              <w:jc w:val="left"/>
              <w:rPr>
                <w:rFonts w:ascii="Times New Roman" w:hAnsi="Times New Roman" w:cs="Times New Roman" w:eastAsia="Times New Roman" w:hint="default"/>
                <w:sz w:val="21"/>
                <w:szCs w:val="21"/>
              </w:rPr>
            </w:pPr>
            <w:r>
              <w:rPr>
                <w:rFonts w:ascii="Times New Roman"/>
                <w:sz w:val="21"/>
              </w:rPr>
              <w:t>799,755,</w:t>
            </w:r>
          </w:p>
          <w:p>
            <w:pPr>
              <w:pStyle w:val="TableParagraph"/>
              <w:spacing w:line="240" w:lineRule="auto" w:before="70"/>
              <w:ind w:left="563" w:right="0"/>
              <w:jc w:val="left"/>
              <w:rPr>
                <w:rFonts w:ascii="Times New Roman" w:hAnsi="Times New Roman" w:cs="Times New Roman" w:eastAsia="Times New Roman" w:hint="default"/>
                <w:sz w:val="21"/>
                <w:szCs w:val="21"/>
              </w:rPr>
            </w:pPr>
            <w:r>
              <w:rPr>
                <w:rFonts w:ascii="Times New Roman"/>
                <w:sz w:val="21"/>
              </w:rPr>
              <w:t>000</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w w:val="100"/>
                <w:sz w:val="21"/>
              </w:rPr>
              <w:t>/</w:t>
            </w:r>
          </w:p>
        </w:tc>
        <w:tc>
          <w:tcPr>
            <w:tcW w:w="337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2"/>
              <w:jc w:val="center"/>
              <w:rPr>
                <w:rFonts w:ascii="宋体" w:hAnsi="宋体" w:cs="宋体" w:eastAsia="宋体" w:hint="default"/>
                <w:sz w:val="21"/>
                <w:szCs w:val="21"/>
              </w:rPr>
            </w:pPr>
            <w:r>
              <w:rPr>
                <w:rFonts w:ascii="宋体"/>
                <w:w w:val="100"/>
                <w:sz w:val="21"/>
              </w:rPr>
              <w:t>/</w:t>
            </w:r>
          </w:p>
        </w:tc>
      </w:tr>
    </w:tbl>
    <w:p>
      <w:pPr>
        <w:spacing w:line="240" w:lineRule="auto" w:before="2"/>
        <w:rPr>
          <w:rFonts w:ascii="宋体" w:hAnsi="宋体" w:cs="宋体" w:eastAsia="宋体" w:hint="default"/>
          <w:sz w:val="20"/>
          <w:szCs w:val="20"/>
        </w:rPr>
      </w:pPr>
    </w:p>
    <w:p>
      <w:pPr>
        <w:spacing w:before="36"/>
        <w:ind w:left="1098" w:right="0" w:firstLine="0"/>
        <w:jc w:val="both"/>
        <w:rPr>
          <w:rFonts w:ascii="宋体" w:hAnsi="宋体" w:cs="宋体" w:eastAsia="宋体" w:hint="default"/>
          <w:sz w:val="21"/>
          <w:szCs w:val="21"/>
        </w:rPr>
      </w:pPr>
      <w:r>
        <w:rPr>
          <w:rFonts w:ascii="宋体" w:hAnsi="宋体" w:cs="宋体" w:eastAsia="宋体" w:hint="default"/>
          <w:spacing w:val="-3"/>
          <w:sz w:val="21"/>
          <w:szCs w:val="21"/>
        </w:rPr>
        <w:t>注：报告期末至披露日期间，公司于</w:t>
      </w:r>
      <w:r>
        <w:rPr>
          <w:rFonts w:ascii="宋体" w:hAnsi="宋体" w:cs="宋体" w:eastAsia="宋体" w:hint="default"/>
          <w:spacing w:val="-50"/>
          <w:sz w:val="21"/>
          <w:szCs w:val="21"/>
        </w:rPr>
        <w:t> </w:t>
      </w:r>
      <w:r>
        <w:rPr>
          <w:rFonts w:ascii="宋体" w:hAnsi="宋体" w:cs="宋体" w:eastAsia="宋体" w:hint="default"/>
          <w:sz w:val="21"/>
          <w:szCs w:val="21"/>
        </w:rPr>
        <w:t>2020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月对已不属于激励范围的</w:t>
      </w:r>
      <w:r>
        <w:rPr>
          <w:rFonts w:ascii="宋体" w:hAnsi="宋体" w:cs="宋体" w:eastAsia="宋体" w:hint="default"/>
          <w:spacing w:val="-50"/>
          <w:sz w:val="21"/>
          <w:szCs w:val="21"/>
        </w:rPr>
        <w:t> </w:t>
      </w:r>
      <w:r>
        <w:rPr>
          <w:rFonts w:ascii="宋体" w:hAnsi="宋体" w:cs="宋体" w:eastAsia="宋体" w:hint="default"/>
          <w:sz w:val="21"/>
          <w:szCs w:val="21"/>
        </w:rPr>
        <w:t>82</w:t>
      </w:r>
      <w:r>
        <w:rPr>
          <w:rFonts w:ascii="宋体" w:hAnsi="宋体" w:cs="宋体" w:eastAsia="宋体" w:hint="default"/>
          <w:spacing w:val="-53"/>
          <w:sz w:val="21"/>
          <w:szCs w:val="21"/>
        </w:rPr>
        <w:t> </w:t>
      </w:r>
      <w:r>
        <w:rPr>
          <w:rFonts w:ascii="宋体" w:hAnsi="宋体" w:cs="宋体" w:eastAsia="宋体" w:hint="default"/>
          <w:sz w:val="21"/>
          <w:szCs w:val="21"/>
        </w:rPr>
        <w:t>名激励对象持有的已获授</w:t>
      </w:r>
    </w:p>
    <w:p>
      <w:pPr>
        <w:spacing w:before="37"/>
        <w:ind w:left="1098" w:right="0" w:firstLine="0"/>
        <w:jc w:val="both"/>
        <w:rPr>
          <w:rFonts w:ascii="宋体" w:hAnsi="宋体" w:cs="宋体" w:eastAsia="宋体" w:hint="default"/>
          <w:sz w:val="21"/>
          <w:szCs w:val="21"/>
        </w:rPr>
      </w:pPr>
      <w:r>
        <w:rPr>
          <w:rFonts w:ascii="宋体" w:hAnsi="宋体" w:cs="宋体" w:eastAsia="宋体" w:hint="default"/>
          <w:sz w:val="21"/>
          <w:szCs w:val="21"/>
        </w:rPr>
        <w:t>但尚未解除限售的</w:t>
      </w:r>
      <w:r>
        <w:rPr>
          <w:rFonts w:ascii="宋体" w:hAnsi="宋体" w:cs="宋体" w:eastAsia="宋体" w:hint="default"/>
          <w:spacing w:val="-54"/>
          <w:sz w:val="21"/>
          <w:szCs w:val="21"/>
        </w:rPr>
        <w:t> </w:t>
      </w:r>
      <w:r>
        <w:rPr>
          <w:rFonts w:ascii="宋体" w:hAnsi="宋体" w:cs="宋体" w:eastAsia="宋体" w:hint="default"/>
          <w:sz w:val="21"/>
          <w:szCs w:val="21"/>
        </w:rPr>
        <w:t>819.8</w:t>
      </w:r>
      <w:r>
        <w:rPr>
          <w:rFonts w:ascii="宋体" w:hAnsi="宋体" w:cs="宋体" w:eastAsia="宋体" w:hint="default"/>
          <w:spacing w:val="-56"/>
          <w:sz w:val="21"/>
          <w:szCs w:val="21"/>
        </w:rPr>
        <w:t> </w:t>
      </w:r>
      <w:r>
        <w:rPr>
          <w:rFonts w:ascii="宋体" w:hAnsi="宋体" w:cs="宋体" w:eastAsia="宋体" w:hint="default"/>
          <w:sz w:val="21"/>
          <w:szCs w:val="21"/>
        </w:rPr>
        <w:t>万股限制性股票进行回购注销，注销日期为</w:t>
      </w:r>
      <w:r>
        <w:rPr>
          <w:rFonts w:ascii="宋体" w:hAnsi="宋体" w:cs="宋体" w:eastAsia="宋体" w:hint="default"/>
          <w:spacing w:val="-56"/>
          <w:sz w:val="21"/>
          <w:szCs w:val="21"/>
        </w:rPr>
        <w:t> </w:t>
      </w:r>
      <w:r>
        <w:rPr>
          <w:rFonts w:ascii="宋体" w:hAnsi="宋体" w:cs="宋体" w:eastAsia="宋体" w:hint="default"/>
          <w:sz w:val="21"/>
          <w:szCs w:val="21"/>
        </w:rPr>
        <w:t>2020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27</w:t>
      </w:r>
      <w:r>
        <w:rPr>
          <w:rFonts w:ascii="宋体" w:hAnsi="宋体" w:cs="宋体" w:eastAsia="宋体" w:hint="default"/>
          <w:spacing w:val="-54"/>
          <w:sz w:val="21"/>
          <w:szCs w:val="21"/>
        </w:rPr>
        <w:t> </w:t>
      </w:r>
      <w:r>
        <w:rPr>
          <w:rFonts w:ascii="宋体" w:hAnsi="宋体" w:cs="宋体" w:eastAsia="宋体" w:hint="default"/>
          <w:spacing w:val="-4"/>
          <w:sz w:val="21"/>
          <w:szCs w:val="21"/>
        </w:rPr>
        <w:t>日。详情请见公</w:t>
      </w:r>
    </w:p>
    <w:p>
      <w:pPr>
        <w:spacing w:line="273" w:lineRule="auto" w:before="37"/>
        <w:ind w:left="1098" w:right="919" w:firstLine="0"/>
        <w:jc w:val="both"/>
        <w:rPr>
          <w:rFonts w:ascii="宋体" w:hAnsi="宋体" w:cs="宋体" w:eastAsia="宋体" w:hint="default"/>
          <w:sz w:val="21"/>
          <w:szCs w:val="21"/>
        </w:rPr>
      </w:pPr>
      <w:r>
        <w:rPr>
          <w:rFonts w:ascii="宋体" w:hAnsi="宋体" w:cs="宋体" w:eastAsia="宋体" w:hint="default"/>
          <w:sz w:val="21"/>
          <w:szCs w:val="21"/>
        </w:rPr>
        <w:t>司于</w:t>
      </w:r>
      <w:r>
        <w:rPr>
          <w:rFonts w:ascii="宋体" w:hAnsi="宋体" w:cs="宋体" w:eastAsia="宋体" w:hint="default"/>
          <w:spacing w:val="-42"/>
          <w:sz w:val="21"/>
          <w:szCs w:val="21"/>
        </w:rPr>
        <w:t> </w:t>
      </w:r>
      <w:r>
        <w:rPr>
          <w:rFonts w:ascii="宋体" w:hAnsi="宋体" w:cs="宋体" w:eastAsia="宋体" w:hint="default"/>
          <w:sz w:val="21"/>
          <w:szCs w:val="21"/>
        </w:rPr>
        <w:t>2020</w:t>
      </w:r>
      <w:r>
        <w:rPr>
          <w:rFonts w:ascii="宋体" w:hAnsi="宋体" w:cs="宋体" w:eastAsia="宋体" w:hint="default"/>
          <w:spacing w:val="-44"/>
          <w:sz w:val="21"/>
          <w:szCs w:val="21"/>
        </w:rPr>
        <w:t> </w:t>
      </w:r>
      <w:r>
        <w:rPr>
          <w:rFonts w:ascii="宋体" w:hAnsi="宋体" w:cs="宋体" w:eastAsia="宋体" w:hint="default"/>
          <w:sz w:val="21"/>
          <w:szCs w:val="21"/>
        </w:rPr>
        <w:t>年</w:t>
      </w:r>
      <w:r>
        <w:rPr>
          <w:rFonts w:ascii="宋体" w:hAnsi="宋体" w:cs="宋体" w:eastAsia="宋体" w:hint="default"/>
          <w:spacing w:val="-42"/>
          <w:sz w:val="21"/>
          <w:szCs w:val="21"/>
        </w:rPr>
        <w:t> </w:t>
      </w:r>
      <w:r>
        <w:rPr>
          <w:rFonts w:ascii="宋体" w:hAnsi="宋体" w:cs="宋体" w:eastAsia="宋体" w:hint="default"/>
          <w:sz w:val="21"/>
          <w:szCs w:val="21"/>
        </w:rPr>
        <w:t>2</w:t>
      </w:r>
      <w:r>
        <w:rPr>
          <w:rFonts w:ascii="宋体" w:hAnsi="宋体" w:cs="宋体" w:eastAsia="宋体" w:hint="default"/>
          <w:spacing w:val="-44"/>
          <w:sz w:val="21"/>
          <w:szCs w:val="21"/>
        </w:rPr>
        <w:t> </w:t>
      </w:r>
      <w:r>
        <w:rPr>
          <w:rFonts w:ascii="宋体" w:hAnsi="宋体" w:cs="宋体" w:eastAsia="宋体" w:hint="default"/>
          <w:sz w:val="21"/>
          <w:szCs w:val="21"/>
        </w:rPr>
        <w:t>月</w:t>
      </w:r>
      <w:r>
        <w:rPr>
          <w:rFonts w:ascii="宋体" w:hAnsi="宋体" w:cs="宋体" w:eastAsia="宋体" w:hint="default"/>
          <w:spacing w:val="-42"/>
          <w:sz w:val="21"/>
          <w:szCs w:val="21"/>
        </w:rPr>
        <w:t> </w:t>
      </w:r>
      <w:r>
        <w:rPr>
          <w:rFonts w:ascii="宋体" w:hAnsi="宋体" w:cs="宋体" w:eastAsia="宋体" w:hint="default"/>
          <w:sz w:val="21"/>
          <w:szCs w:val="21"/>
        </w:rPr>
        <w:t>25</w:t>
      </w:r>
      <w:r>
        <w:rPr>
          <w:rFonts w:ascii="宋体" w:hAnsi="宋体" w:cs="宋体" w:eastAsia="宋体" w:hint="default"/>
          <w:spacing w:val="-44"/>
          <w:sz w:val="21"/>
          <w:szCs w:val="21"/>
        </w:rPr>
        <w:t> </w:t>
      </w:r>
      <w:r>
        <w:rPr>
          <w:rFonts w:ascii="宋体" w:hAnsi="宋体" w:cs="宋体" w:eastAsia="宋体" w:hint="default"/>
          <w:spacing w:val="-3"/>
          <w:sz w:val="21"/>
          <w:szCs w:val="21"/>
        </w:rPr>
        <w:t>日在《中国证券报》《上海证券报》《证券时报》、上海证券交易所网站及本公</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2"/>
          <w:sz w:val="21"/>
          <w:szCs w:val="21"/>
        </w:rPr>
        <w:t>司网站发布的《关于首期限制性股票计划部分激励对象限制性股票回购注销实施公告》（公告编号：</w:t>
      </w:r>
      <w:r>
        <w:rPr>
          <w:rFonts w:ascii="宋体" w:hAnsi="宋体" w:cs="宋体" w:eastAsia="宋体" w:hint="default"/>
          <w:spacing w:val="-24"/>
          <w:sz w:val="21"/>
          <w:szCs w:val="21"/>
        </w:rPr>
        <w:t> </w:t>
      </w:r>
      <w:r>
        <w:rPr>
          <w:rFonts w:ascii="宋体" w:hAnsi="宋体" w:cs="宋体" w:eastAsia="宋体" w:hint="default"/>
          <w:spacing w:val="-24"/>
          <w:sz w:val="21"/>
          <w:szCs w:val="21"/>
        </w:rPr>
      </w:r>
      <w:r>
        <w:rPr>
          <w:rFonts w:ascii="宋体" w:hAnsi="宋体" w:cs="宋体" w:eastAsia="宋体" w:hint="default"/>
          <w:sz w:val="21"/>
          <w:szCs w:val="21"/>
        </w:rPr>
        <w:t>2020-006</w:t>
      </w:r>
      <w:r>
        <w:rPr>
          <w:rFonts w:ascii="宋体" w:hAnsi="宋体" w:cs="宋体" w:eastAsia="宋体" w:hint="default"/>
          <w:sz w:val="21"/>
          <w:szCs w:val="21"/>
        </w:rPr>
        <w:t>）。</w:t>
      </w:r>
    </w:p>
    <w:p>
      <w:pPr>
        <w:spacing w:after="0" w:line="273" w:lineRule="auto"/>
        <w:jc w:val="both"/>
        <w:rPr>
          <w:rFonts w:ascii="宋体" w:hAnsi="宋体" w:cs="宋体" w:eastAsia="宋体" w:hint="default"/>
          <w:sz w:val="21"/>
          <w:szCs w:val="21"/>
        </w:rPr>
        <w:sectPr>
          <w:type w:val="continuous"/>
          <w:pgSz w:w="11910" w:h="16840"/>
          <w:pgMar w:top="1360" w:bottom="700" w:left="320" w:right="320"/>
        </w:sectPr>
      </w:pPr>
    </w:p>
    <w:p>
      <w:pPr>
        <w:spacing w:line="240" w:lineRule="auto" w:before="10"/>
        <w:rPr>
          <w:rFonts w:ascii="宋体" w:hAnsi="宋体" w:cs="宋体" w:eastAsia="宋体" w:hint="default"/>
          <w:sz w:val="8"/>
          <w:szCs w:val="8"/>
        </w:rPr>
      </w:pPr>
    </w:p>
    <w:p>
      <w:pPr>
        <w:spacing w:after="0" w:line="240" w:lineRule="auto"/>
        <w:rPr>
          <w:rFonts w:ascii="宋体" w:hAnsi="宋体" w:cs="宋体" w:eastAsia="宋体" w:hint="default"/>
          <w:sz w:val="8"/>
          <w:szCs w:val="8"/>
        </w:rPr>
        <w:sectPr>
          <w:footerReference w:type="default" r:id="rId50"/>
          <w:pgSz w:w="11910" w:h="16840"/>
          <w:pgMar w:footer="502" w:header="854" w:top="1360" w:bottom="700" w:left="320" w:right="300"/>
        </w:sectPr>
      </w:pPr>
    </w:p>
    <w:p>
      <w:pPr>
        <w:spacing w:line="335" w:lineRule="exact" w:before="0"/>
        <w:ind w:left="1098"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二、</w:t>
      </w:r>
      <w:r>
        <w:rPr>
          <w:rFonts w:ascii="Microsoft JhengHei" w:hAnsi="Microsoft JhengHei" w:cs="Microsoft JhengHei" w:eastAsia="Microsoft JhengHei" w:hint="default"/>
          <w:b/>
          <w:bCs/>
          <w:spacing w:val="-11"/>
          <w:sz w:val="21"/>
          <w:szCs w:val="21"/>
        </w:rPr>
        <w:t> </w:t>
      </w:r>
      <w:r>
        <w:rPr>
          <w:rFonts w:ascii="Microsoft JhengHei" w:hAnsi="Microsoft JhengHei" w:cs="Microsoft JhengHei" w:eastAsia="Microsoft JhengHei" w:hint="default"/>
          <w:b/>
          <w:bCs/>
          <w:sz w:val="21"/>
          <w:szCs w:val="21"/>
        </w:rPr>
        <w:t>证券发行与上市情况</w:t>
      </w:r>
      <w:r>
        <w:rPr>
          <w:rFonts w:ascii="Microsoft JhengHei" w:hAnsi="Microsoft JhengHei" w:cs="Microsoft JhengHei" w:eastAsia="Microsoft JhengHei" w:hint="default"/>
          <w:sz w:val="21"/>
          <w:szCs w:val="21"/>
        </w:rPr>
      </w:r>
    </w:p>
    <w:p>
      <w:pPr>
        <w:spacing w:before="6"/>
        <w:ind w:left="1098"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spacing w:val="-1"/>
          <w:sz w:val="21"/>
          <w:szCs w:val="21"/>
        </w:rPr>
        <w:t>(</w:t>
      </w:r>
      <w:r>
        <w:rPr>
          <w:rFonts w:ascii="Microsoft JhengHei" w:hAnsi="Microsoft JhengHei" w:cs="Microsoft JhengHei" w:eastAsia="Microsoft JhengHei" w:hint="default"/>
          <w:b/>
          <w:bCs/>
          <w:spacing w:val="-1"/>
          <w:sz w:val="21"/>
          <w:szCs w:val="21"/>
        </w:rPr>
        <w:t>一</w:t>
      </w:r>
      <w:r>
        <w:rPr>
          <w:rFonts w:ascii="Arial" w:hAnsi="Arial" w:cs="Arial" w:eastAsia="Arial" w:hint="default"/>
          <w:b/>
          <w:bCs/>
          <w:spacing w:val="-1"/>
          <w:sz w:val="21"/>
          <w:szCs w:val="21"/>
        </w:rPr>
        <w:t>)</w:t>
      </w:r>
      <w:r>
        <w:rPr>
          <w:rFonts w:ascii="Microsoft JhengHei" w:hAnsi="Microsoft JhengHei" w:cs="Microsoft JhengHei" w:eastAsia="Microsoft JhengHei" w:hint="default"/>
          <w:b/>
          <w:bCs/>
          <w:spacing w:val="-1"/>
          <w:sz w:val="21"/>
          <w:szCs w:val="21"/>
        </w:rPr>
        <w:t>截至报告期内证券发行情况</w:t>
      </w:r>
      <w:r>
        <w:rPr>
          <w:rFonts w:ascii="Microsoft JhengHei" w:hAnsi="Microsoft JhengHei" w:cs="Microsoft JhengHei" w:eastAsia="Microsoft JhengHei" w:hint="default"/>
          <w:spacing w:val="-1"/>
          <w:sz w:val="21"/>
          <w:szCs w:val="21"/>
        </w:rPr>
      </w:r>
    </w:p>
    <w:p>
      <w:pPr>
        <w:spacing w:line="240" w:lineRule="auto" w:before="0"/>
        <w:rPr>
          <w:rFonts w:ascii="Microsoft JhengHei" w:hAnsi="Microsoft JhengHei" w:cs="Microsoft JhengHei" w:eastAsia="Microsoft JhengHei" w:hint="default"/>
          <w:b/>
          <w:bCs/>
          <w:sz w:val="20"/>
          <w:szCs w:val="20"/>
        </w:rPr>
      </w:pPr>
      <w:r>
        <w:rPr/>
        <w:br w:type="column"/>
      </w:r>
      <w:r>
        <w:rPr>
          <w:rFonts w:ascii="Microsoft JhengHei"/>
          <w:b/>
          <w:sz w:val="20"/>
        </w:rPr>
      </w:r>
    </w:p>
    <w:p>
      <w:pPr>
        <w:spacing w:line="240" w:lineRule="auto" w:before="14"/>
        <w:rPr>
          <w:rFonts w:ascii="Microsoft JhengHei" w:hAnsi="Microsoft JhengHei" w:cs="Microsoft JhengHei" w:eastAsia="Microsoft JhengHei" w:hint="default"/>
          <w:b/>
          <w:bCs/>
          <w:sz w:val="24"/>
          <w:szCs w:val="24"/>
        </w:rPr>
      </w:pPr>
    </w:p>
    <w:p>
      <w:pPr>
        <w:tabs>
          <w:tab w:pos="2150" w:val="left" w:leader="none"/>
        </w:tabs>
        <w:spacing w:before="0"/>
        <w:ind w:left="1098" w:right="0" w:firstLine="0"/>
        <w:jc w:val="left"/>
        <w:rPr>
          <w:rFonts w:ascii="宋体" w:hAnsi="宋体" w:cs="宋体" w:eastAsia="宋体" w:hint="default"/>
          <w:sz w:val="21"/>
          <w:szCs w:val="21"/>
        </w:rPr>
      </w:pPr>
      <w:r>
        <w:rPr>
          <w:rFonts w:ascii="宋体" w:hAnsi="宋体" w:cs="宋体" w:eastAsia="宋体" w:hint="default"/>
          <w:spacing w:val="-1"/>
          <w:sz w:val="21"/>
          <w:szCs w:val="21"/>
        </w:rPr>
        <w:t>单位：股</w:t>
        <w:tab/>
      </w:r>
      <w:r>
        <w:rPr>
          <w:rFonts w:ascii="宋体" w:hAnsi="宋体" w:cs="宋体" w:eastAsia="宋体" w:hint="default"/>
          <w:spacing w:val="-2"/>
          <w:sz w:val="21"/>
          <w:szCs w:val="21"/>
        </w:rPr>
        <w:t>币种：人民币</w:t>
      </w:r>
    </w:p>
    <w:p>
      <w:pPr>
        <w:spacing w:after="0"/>
        <w:jc w:val="left"/>
        <w:rPr>
          <w:rFonts w:ascii="宋体" w:hAnsi="宋体" w:cs="宋体" w:eastAsia="宋体" w:hint="default"/>
          <w:sz w:val="21"/>
          <w:szCs w:val="21"/>
        </w:rPr>
        <w:sectPr>
          <w:type w:val="continuous"/>
          <w:pgSz w:w="11910" w:h="16840"/>
          <w:pgMar w:top="1360" w:bottom="700" w:left="320" w:right="300"/>
          <w:cols w:num="2" w:equalWidth="0">
            <w:col w:w="4054" w:space="2849"/>
            <w:col w:w="4387"/>
          </w:cols>
        </w:sectPr>
      </w:pPr>
    </w:p>
    <w:p>
      <w:pPr>
        <w:spacing w:line="240" w:lineRule="auto" w:before="12"/>
        <w:rPr>
          <w:rFonts w:ascii="宋体" w:hAnsi="宋体" w:cs="宋体" w:eastAsia="宋体" w:hint="default"/>
          <w:sz w:val="3"/>
          <w:szCs w:val="3"/>
        </w:rPr>
      </w:pPr>
    </w:p>
    <w:tbl>
      <w:tblPr>
        <w:tblW w:w="0" w:type="auto"/>
        <w:jc w:val="left"/>
        <w:tblInd w:w="986" w:type="dxa"/>
        <w:tblLayout w:type="fixed"/>
        <w:tblCellMar>
          <w:top w:w="0" w:type="dxa"/>
          <w:left w:w="0" w:type="dxa"/>
          <w:bottom w:w="0" w:type="dxa"/>
          <w:right w:w="0" w:type="dxa"/>
        </w:tblCellMar>
        <w:tblLook w:val="01E0"/>
      </w:tblPr>
      <w:tblGrid>
        <w:gridCol w:w="1586"/>
        <w:gridCol w:w="1160"/>
        <w:gridCol w:w="1332"/>
        <w:gridCol w:w="1560"/>
        <w:gridCol w:w="1274"/>
        <w:gridCol w:w="1277"/>
        <w:gridCol w:w="1133"/>
      </w:tblGrid>
      <w:tr>
        <w:trPr>
          <w:trHeight w:val="635" w:hRule="exact"/>
        </w:trPr>
        <w:tc>
          <w:tcPr>
            <w:tcW w:w="15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261" w:right="153" w:hanging="104"/>
              <w:jc w:val="left"/>
              <w:rPr>
                <w:rFonts w:ascii="宋体" w:hAnsi="宋体" w:cs="宋体" w:eastAsia="宋体" w:hint="default"/>
                <w:sz w:val="21"/>
                <w:szCs w:val="21"/>
              </w:rPr>
            </w:pPr>
            <w:r>
              <w:rPr>
                <w:rFonts w:ascii="宋体" w:hAnsi="宋体" w:cs="宋体" w:eastAsia="宋体" w:hint="default"/>
                <w:sz w:val="21"/>
                <w:szCs w:val="21"/>
              </w:rPr>
              <w:t>股票及其衍生</w:t>
            </w:r>
            <w:r>
              <w:rPr>
                <w:rFonts w:ascii="宋体" w:hAnsi="宋体" w:cs="宋体" w:eastAsia="宋体" w:hint="default"/>
                <w:w w:val="100"/>
                <w:sz w:val="21"/>
                <w:szCs w:val="21"/>
              </w:rPr>
              <w:t> </w:t>
            </w:r>
            <w:r>
              <w:rPr>
                <w:rFonts w:ascii="宋体" w:hAnsi="宋体" w:cs="宋体" w:eastAsia="宋体" w:hint="default"/>
                <w:sz w:val="21"/>
                <w:szCs w:val="21"/>
              </w:rPr>
              <w:t>证券的种类</w:t>
            </w:r>
          </w:p>
        </w:tc>
        <w:tc>
          <w:tcPr>
            <w:tcW w:w="1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4"/>
              <w:ind w:right="0"/>
              <w:jc w:val="center"/>
              <w:rPr>
                <w:rFonts w:ascii="宋体" w:hAnsi="宋体" w:cs="宋体" w:eastAsia="宋体" w:hint="default"/>
                <w:sz w:val="21"/>
                <w:szCs w:val="21"/>
              </w:rPr>
            </w:pPr>
            <w:r>
              <w:rPr>
                <w:rFonts w:ascii="宋体" w:hAnsi="宋体" w:cs="宋体" w:eastAsia="宋体" w:hint="default"/>
                <w:sz w:val="21"/>
                <w:szCs w:val="21"/>
              </w:rPr>
              <w:t>发行日期</w:t>
            </w:r>
          </w:p>
        </w:tc>
        <w:tc>
          <w:tcPr>
            <w:tcW w:w="13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发行价格</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（或利率）</w:t>
            </w:r>
          </w:p>
        </w:tc>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4"/>
              <w:ind w:left="2" w:right="0"/>
              <w:jc w:val="center"/>
              <w:rPr>
                <w:rFonts w:ascii="宋体" w:hAnsi="宋体" w:cs="宋体" w:eastAsia="宋体" w:hint="default"/>
                <w:sz w:val="21"/>
                <w:szCs w:val="21"/>
              </w:rPr>
            </w:pPr>
            <w:r>
              <w:rPr>
                <w:rFonts w:ascii="宋体" w:hAnsi="宋体" w:cs="宋体" w:eastAsia="宋体" w:hint="default"/>
                <w:sz w:val="21"/>
                <w:szCs w:val="21"/>
              </w:rPr>
              <w:t>发行数量</w:t>
            </w:r>
          </w:p>
        </w:tc>
        <w:tc>
          <w:tcPr>
            <w:tcW w:w="12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4"/>
              <w:ind w:right="0"/>
              <w:jc w:val="center"/>
              <w:rPr>
                <w:rFonts w:ascii="宋体" w:hAnsi="宋体" w:cs="宋体" w:eastAsia="宋体" w:hint="default"/>
                <w:sz w:val="21"/>
                <w:szCs w:val="21"/>
              </w:rPr>
            </w:pPr>
            <w:r>
              <w:rPr>
                <w:rFonts w:ascii="宋体" w:hAnsi="宋体" w:cs="宋体" w:eastAsia="宋体" w:hint="default"/>
                <w:sz w:val="21"/>
                <w:szCs w:val="21"/>
              </w:rPr>
              <w:t>上市日期</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316" w:right="104" w:hanging="209"/>
              <w:jc w:val="left"/>
              <w:rPr>
                <w:rFonts w:ascii="宋体" w:hAnsi="宋体" w:cs="宋体" w:eastAsia="宋体" w:hint="default"/>
                <w:sz w:val="21"/>
                <w:szCs w:val="21"/>
              </w:rPr>
            </w:pPr>
            <w:r>
              <w:rPr>
                <w:rFonts w:ascii="宋体" w:hAnsi="宋体" w:cs="宋体" w:eastAsia="宋体" w:hint="default"/>
                <w:sz w:val="21"/>
                <w:szCs w:val="21"/>
              </w:rPr>
              <w:t>获准上市交</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易数量</w:t>
            </w:r>
          </w:p>
        </w:tc>
        <w:tc>
          <w:tcPr>
            <w:tcW w:w="1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347" w:right="139" w:hanging="209"/>
              <w:jc w:val="left"/>
              <w:rPr>
                <w:rFonts w:ascii="宋体" w:hAnsi="宋体" w:cs="宋体" w:eastAsia="宋体" w:hint="default"/>
                <w:sz w:val="21"/>
                <w:szCs w:val="21"/>
              </w:rPr>
            </w:pPr>
            <w:r>
              <w:rPr>
                <w:rFonts w:ascii="宋体" w:hAnsi="宋体" w:cs="宋体" w:eastAsia="宋体" w:hint="default"/>
                <w:sz w:val="21"/>
                <w:szCs w:val="21"/>
              </w:rPr>
              <w:t>交易终止</w:t>
            </w:r>
            <w:r>
              <w:rPr>
                <w:rFonts w:ascii="宋体" w:hAnsi="宋体" w:cs="宋体" w:eastAsia="宋体" w:hint="default"/>
                <w:w w:val="100"/>
                <w:sz w:val="21"/>
                <w:szCs w:val="21"/>
              </w:rPr>
              <w:t> </w:t>
            </w:r>
            <w:r>
              <w:rPr>
                <w:rFonts w:ascii="宋体" w:hAnsi="宋体" w:cs="宋体" w:eastAsia="宋体" w:hint="default"/>
                <w:sz w:val="21"/>
                <w:szCs w:val="21"/>
              </w:rPr>
              <w:t>日期</w:t>
            </w:r>
          </w:p>
        </w:tc>
      </w:tr>
      <w:tr>
        <w:trPr>
          <w:trHeight w:val="322" w:hRule="exact"/>
        </w:trPr>
        <w:tc>
          <w:tcPr>
            <w:tcW w:w="9323" w:type="dxa"/>
            <w:gridSpan w:val="7"/>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普通股股票类</w:t>
            </w:r>
          </w:p>
        </w:tc>
      </w:tr>
      <w:tr>
        <w:trPr>
          <w:trHeight w:val="634"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1"/>
              <w:jc w:val="left"/>
              <w:rPr>
                <w:rFonts w:ascii="宋体" w:hAnsi="宋体" w:cs="宋体" w:eastAsia="宋体" w:hint="default"/>
                <w:sz w:val="21"/>
                <w:szCs w:val="21"/>
              </w:rPr>
            </w:pPr>
            <w:r>
              <w:rPr>
                <w:rFonts w:ascii="宋体" w:hAnsi="宋体" w:cs="宋体" w:eastAsia="宋体" w:hint="default"/>
                <w:spacing w:val="16"/>
                <w:sz w:val="21"/>
                <w:szCs w:val="21"/>
              </w:rPr>
              <w:t>限制性股票激</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励计划</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sz w:val="21"/>
              </w:rPr>
              <w:t>2019.3.5</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319" w:right="0"/>
              <w:jc w:val="left"/>
              <w:rPr>
                <w:rFonts w:ascii="宋体" w:hAnsi="宋体" w:cs="宋体" w:eastAsia="宋体" w:hint="default"/>
                <w:sz w:val="21"/>
                <w:szCs w:val="21"/>
              </w:rPr>
            </w:pPr>
            <w:r>
              <w:rPr>
                <w:rFonts w:ascii="宋体" w:hAnsi="宋体" w:cs="宋体" w:eastAsia="宋体" w:hint="default"/>
                <w:sz w:val="21"/>
                <w:szCs w:val="21"/>
              </w:rPr>
              <w:t>3.79</w:t>
            </w:r>
            <w:r>
              <w:rPr>
                <w:rFonts w:ascii="宋体" w:hAnsi="宋体" w:cs="宋体" w:eastAsia="宋体" w:hint="default"/>
                <w:spacing w:val="-52"/>
                <w:sz w:val="21"/>
                <w:szCs w:val="21"/>
              </w:rPr>
              <w:t> </w:t>
            </w:r>
            <w:r>
              <w:rPr>
                <w:rFonts w:ascii="宋体" w:hAnsi="宋体" w:cs="宋体" w:eastAsia="宋体" w:hint="default"/>
                <w:sz w:val="21"/>
                <w:szCs w:val="21"/>
              </w:rPr>
              <w:t>元</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sz w:val="21"/>
              </w:rPr>
              <w:t>13,156,000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sz w:val="21"/>
              </w:rPr>
              <w:t>2019.3.5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07" w:right="0"/>
              <w:jc w:val="left"/>
              <w:rPr>
                <w:rFonts w:ascii="宋体" w:hAnsi="宋体" w:cs="宋体" w:eastAsia="宋体" w:hint="default"/>
                <w:sz w:val="21"/>
                <w:szCs w:val="21"/>
              </w:rPr>
            </w:pPr>
            <w:r>
              <w:rPr>
                <w:rFonts w:ascii="宋体"/>
                <w:sz w:val="21"/>
              </w:rPr>
              <w:t>13,156,000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42" w:right="0"/>
              <w:jc w:val="left"/>
              <w:rPr>
                <w:rFonts w:ascii="宋体" w:hAnsi="宋体" w:cs="宋体" w:eastAsia="宋体" w:hint="default"/>
                <w:sz w:val="21"/>
                <w:szCs w:val="21"/>
              </w:rPr>
            </w:pPr>
            <w:r>
              <w:rPr>
                <w:rFonts w:ascii="宋体" w:hAnsi="宋体" w:cs="宋体" w:eastAsia="宋体" w:hint="default"/>
                <w:sz w:val="21"/>
                <w:szCs w:val="21"/>
              </w:rPr>
              <w:t>不适用</w:t>
            </w:r>
          </w:p>
        </w:tc>
      </w:tr>
    </w:tbl>
    <w:p>
      <w:pPr>
        <w:spacing w:line="240" w:lineRule="auto" w:before="2"/>
        <w:rPr>
          <w:rFonts w:ascii="宋体" w:hAnsi="宋体" w:cs="宋体" w:eastAsia="宋体" w:hint="default"/>
          <w:sz w:val="20"/>
          <w:szCs w:val="20"/>
        </w:rPr>
      </w:pPr>
    </w:p>
    <w:p>
      <w:pPr>
        <w:spacing w:before="36"/>
        <w:ind w:left="1098" w:right="0" w:firstLine="0"/>
        <w:jc w:val="left"/>
        <w:rPr>
          <w:rFonts w:ascii="宋体" w:hAnsi="宋体" w:cs="宋体" w:eastAsia="宋体" w:hint="default"/>
          <w:sz w:val="21"/>
          <w:szCs w:val="21"/>
        </w:rPr>
      </w:pPr>
      <w:r>
        <w:rPr>
          <w:rFonts w:ascii="宋体" w:hAnsi="宋体" w:cs="宋体" w:eastAsia="宋体" w:hint="default"/>
          <w:sz w:val="21"/>
          <w:szCs w:val="21"/>
        </w:rPr>
        <w:t>截至报告期内证券发行情况的说明（存续期内利率不同的债券，请分别说明）：</w:t>
      </w:r>
    </w:p>
    <w:p>
      <w:pPr>
        <w:tabs>
          <w:tab w:pos="1941" w:val="left" w:leader="none"/>
        </w:tabs>
        <w:spacing w:before="37"/>
        <w:ind w:left="1098" w:right="0" w:firstLine="0"/>
        <w:jc w:val="left"/>
        <w:rPr>
          <w:rFonts w:ascii="宋体" w:hAnsi="宋体" w:cs="宋体" w:eastAsia="宋体" w:hint="default"/>
          <w:sz w:val="21"/>
          <w:szCs w:val="21"/>
        </w:rPr>
      </w:pPr>
      <w:r>
        <w:rPr>
          <w:rFonts w:ascii="宋体" w:hAnsi="宋体" w:cs="宋体" w:eastAsia="宋体" w:hint="default"/>
          <w:sz w:val="21"/>
          <w:szCs w:val="21"/>
        </w:rPr>
        <w:t>√适用</w:t>
        <w:tab/>
        <w:t>□不适用</w:t>
      </w:r>
    </w:p>
    <w:p>
      <w:pPr>
        <w:spacing w:before="37"/>
        <w:ind w:left="1098" w:right="0" w:firstLine="0"/>
        <w:jc w:val="left"/>
        <w:rPr>
          <w:rFonts w:ascii="宋体" w:hAnsi="宋体" w:cs="宋体" w:eastAsia="宋体" w:hint="default"/>
          <w:sz w:val="21"/>
          <w:szCs w:val="21"/>
        </w:rPr>
      </w:pPr>
      <w:r>
        <w:rPr>
          <w:rFonts w:ascii="宋体" w:hAnsi="宋体" w:cs="宋体" w:eastAsia="宋体" w:hint="default"/>
          <w:spacing w:val="-2"/>
          <w:sz w:val="21"/>
          <w:szCs w:val="21"/>
        </w:rPr>
        <w:t>详见本年度报告第六节普通股股份变动及股东情况一（一）</w:t>
      </w:r>
      <w:r>
        <w:rPr>
          <w:rFonts w:ascii="宋体" w:hAnsi="宋体" w:cs="宋体" w:eastAsia="宋体" w:hint="default"/>
          <w:spacing w:val="-2"/>
          <w:sz w:val="21"/>
          <w:szCs w:val="21"/>
        </w:rPr>
        <w:t>2</w:t>
      </w:r>
      <w:r>
        <w:rPr>
          <w:rFonts w:ascii="宋体" w:hAnsi="宋体" w:cs="宋体" w:eastAsia="宋体" w:hint="default"/>
          <w:spacing w:val="21"/>
          <w:sz w:val="21"/>
          <w:szCs w:val="21"/>
        </w:rPr>
        <w:t> </w:t>
      </w:r>
      <w:r>
        <w:rPr>
          <w:rFonts w:ascii="宋体" w:hAnsi="宋体" w:cs="宋体" w:eastAsia="宋体" w:hint="default"/>
          <w:spacing w:val="-2"/>
          <w:sz w:val="21"/>
          <w:szCs w:val="21"/>
        </w:rPr>
        <w:t>普通股股份变动情况说明</w:t>
      </w:r>
    </w:p>
    <w:p>
      <w:pPr>
        <w:spacing w:line="240" w:lineRule="auto" w:before="2"/>
        <w:rPr>
          <w:rFonts w:ascii="宋体" w:hAnsi="宋体" w:cs="宋体" w:eastAsia="宋体" w:hint="default"/>
          <w:sz w:val="26"/>
          <w:szCs w:val="26"/>
        </w:rPr>
      </w:pPr>
    </w:p>
    <w:p>
      <w:pPr>
        <w:spacing w:line="386" w:lineRule="auto" w:before="0"/>
        <w:ind w:left="1518" w:right="0" w:hanging="420"/>
        <w:jc w:val="left"/>
        <w:rPr>
          <w:rFonts w:ascii="宋体" w:hAnsi="宋体" w:cs="宋体" w:eastAsia="宋体" w:hint="default"/>
          <w:sz w:val="21"/>
          <w:szCs w:val="21"/>
        </w:rPr>
      </w:pPr>
      <w:r>
        <w:rPr>
          <w:rFonts w:ascii="Arial" w:hAnsi="Arial" w:cs="Arial" w:eastAsia="Arial" w:hint="default"/>
          <w:b/>
          <w:bCs/>
          <w:sz w:val="21"/>
          <w:szCs w:val="21"/>
        </w:rPr>
        <w:t>(</w:t>
      </w:r>
      <w:r>
        <w:rPr>
          <w:rFonts w:ascii="Microsoft JhengHei" w:hAnsi="Microsoft JhengHei" w:cs="Microsoft JhengHei" w:eastAsia="Microsoft JhengHei" w:hint="default"/>
          <w:b/>
          <w:bCs/>
          <w:sz w:val="21"/>
          <w:szCs w:val="21"/>
        </w:rPr>
        <w:t>二</w:t>
      </w:r>
      <w:r>
        <w:rPr>
          <w:rFonts w:ascii="Arial" w:hAnsi="Arial" w:cs="Arial" w:eastAsia="Arial" w:hint="default"/>
          <w:b/>
          <w:bCs/>
          <w:sz w:val="21"/>
          <w:szCs w:val="21"/>
        </w:rPr>
        <w:t>)</w:t>
      </w:r>
      <w:r>
        <w:rPr>
          <w:rFonts w:ascii="Microsoft JhengHei" w:hAnsi="Microsoft JhengHei" w:cs="Microsoft JhengHei" w:eastAsia="Microsoft JhengHei" w:hint="default"/>
          <w:b/>
          <w:bCs/>
          <w:sz w:val="21"/>
          <w:szCs w:val="21"/>
        </w:rPr>
        <w:t>公司普通股股份总数及股东结构变动及公司资产和负债结构的变动情况</w:t>
      </w:r>
      <w:r>
        <w:rPr>
          <w:rFonts w:ascii="Microsoft JhengHei" w:hAnsi="Microsoft JhengHei" w:cs="Microsoft JhengHei" w:eastAsia="Microsoft JhengHei" w:hint="default"/>
          <w:b/>
          <w:bCs/>
          <w:spacing w:val="46"/>
          <w:sz w:val="21"/>
          <w:szCs w:val="21"/>
        </w:rPr>
        <w:t> </w:t>
      </w:r>
      <w:r>
        <w:rPr>
          <w:rFonts w:ascii="Microsoft JhengHei" w:hAnsi="Microsoft JhengHei" w:cs="Microsoft JhengHei" w:eastAsia="Microsoft JhengHei" w:hint="default"/>
          <w:b/>
          <w:bCs/>
          <w:spacing w:val="46"/>
          <w:sz w:val="21"/>
          <w:szCs w:val="21"/>
        </w:rPr>
      </w:r>
      <w:r>
        <w:rPr>
          <w:rFonts w:ascii="宋体" w:hAnsi="宋体" w:cs="宋体" w:eastAsia="宋体" w:hint="default"/>
          <w:spacing w:val="-2"/>
          <w:sz w:val="21"/>
          <w:szCs w:val="21"/>
        </w:rPr>
        <w:t>关于公司普通股股份总数及股东结构变动的情况详见本年度报告第六节普通股股份变动及股东</w:t>
      </w:r>
    </w:p>
    <w:p>
      <w:pPr>
        <w:spacing w:line="232" w:lineRule="exact" w:before="0"/>
        <w:ind w:left="1098" w:right="0" w:firstLine="0"/>
        <w:jc w:val="left"/>
        <w:rPr>
          <w:rFonts w:ascii="宋体" w:hAnsi="宋体" w:cs="宋体" w:eastAsia="宋体" w:hint="default"/>
          <w:sz w:val="21"/>
          <w:szCs w:val="21"/>
        </w:rPr>
      </w:pPr>
      <w:r>
        <w:rPr>
          <w:rFonts w:ascii="宋体" w:hAnsi="宋体" w:cs="宋体" w:eastAsia="宋体" w:hint="default"/>
          <w:sz w:val="21"/>
          <w:szCs w:val="21"/>
        </w:rPr>
        <w:t>情况一（一）</w:t>
      </w:r>
      <w:r>
        <w:rPr>
          <w:rFonts w:ascii="宋体" w:hAnsi="宋体" w:cs="宋体" w:eastAsia="宋体" w:hint="default"/>
          <w:sz w:val="21"/>
          <w:szCs w:val="21"/>
        </w:rPr>
        <w:t>2 </w:t>
      </w:r>
      <w:r>
        <w:rPr>
          <w:rFonts w:ascii="宋体" w:hAnsi="宋体" w:cs="宋体" w:eastAsia="宋体" w:hint="default"/>
          <w:sz w:val="21"/>
          <w:szCs w:val="21"/>
        </w:rPr>
        <w:t>普通股股份变动情况说明</w:t>
      </w:r>
      <w:r>
        <w:rPr>
          <w:rFonts w:ascii="宋体" w:hAnsi="宋体" w:cs="宋体" w:eastAsia="宋体" w:hint="default"/>
          <w:sz w:val="21"/>
          <w:szCs w:val="21"/>
        </w:rPr>
        <w:t>,</w:t>
      </w:r>
      <w:r>
        <w:rPr>
          <w:rFonts w:ascii="宋体" w:hAnsi="宋体" w:cs="宋体" w:eastAsia="宋体" w:hint="default"/>
          <w:spacing w:val="-58"/>
          <w:sz w:val="21"/>
          <w:szCs w:val="21"/>
        </w:rPr>
        <w:t> </w:t>
      </w:r>
      <w:r>
        <w:rPr>
          <w:rFonts w:ascii="宋体" w:hAnsi="宋体" w:cs="宋体" w:eastAsia="宋体" w:hint="default"/>
          <w:sz w:val="21"/>
          <w:szCs w:val="21"/>
        </w:rPr>
        <w:t>对公司资产和负债结构无重大影响。</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spacing w:before="0"/>
        <w:ind w:left="1098" w:right="0" w:firstLine="0"/>
        <w:jc w:val="left"/>
        <w:rPr>
          <w:rFonts w:ascii="Microsoft JhengHei" w:hAnsi="Microsoft JhengHei" w:cs="Microsoft JhengHei" w:eastAsia="Microsoft JhengHei" w:hint="default"/>
          <w:sz w:val="21"/>
          <w:szCs w:val="21"/>
        </w:rPr>
      </w:pPr>
      <w:r>
        <w:rPr>
          <w:rFonts w:ascii="Arial" w:hAnsi="Arial" w:cs="Arial" w:eastAsia="Arial" w:hint="default"/>
          <w:b/>
          <w:bCs/>
          <w:w w:val="110"/>
          <w:sz w:val="21"/>
          <w:szCs w:val="21"/>
        </w:rPr>
        <w:t>(</w:t>
      </w:r>
      <w:r>
        <w:rPr>
          <w:rFonts w:ascii="Microsoft JhengHei" w:hAnsi="Microsoft JhengHei" w:cs="Microsoft JhengHei" w:eastAsia="Microsoft JhengHei" w:hint="default"/>
          <w:b/>
          <w:bCs/>
          <w:w w:val="110"/>
          <w:sz w:val="21"/>
          <w:szCs w:val="21"/>
        </w:rPr>
        <w:t>三</w:t>
      </w:r>
      <w:r>
        <w:rPr>
          <w:rFonts w:ascii="Arial" w:hAnsi="Arial" w:cs="Arial" w:eastAsia="Arial" w:hint="default"/>
          <w:b/>
          <w:bCs/>
          <w:w w:val="110"/>
          <w:sz w:val="21"/>
          <w:szCs w:val="21"/>
        </w:rPr>
        <w:t>)</w:t>
      </w:r>
      <w:r>
        <w:rPr>
          <w:rFonts w:ascii="Microsoft JhengHei" w:hAnsi="Microsoft JhengHei" w:cs="Microsoft JhengHei" w:eastAsia="Microsoft JhengHei" w:hint="default"/>
          <w:b/>
          <w:bCs/>
          <w:w w:val="110"/>
          <w:sz w:val="21"/>
          <w:szCs w:val="21"/>
        </w:rPr>
        <w:t>现存的内部职工股情况</w:t>
      </w:r>
      <w:r>
        <w:rPr>
          <w:rFonts w:ascii="Microsoft JhengHei" w:hAnsi="Microsoft JhengHei" w:cs="Microsoft JhengHei" w:eastAsia="Microsoft JhengHei" w:hint="default"/>
          <w:w w:val="110"/>
          <w:sz w:val="21"/>
          <w:szCs w:val="21"/>
        </w:rPr>
      </w:r>
    </w:p>
    <w:p>
      <w:pPr>
        <w:spacing w:before="73"/>
        <w:ind w:left="1098" w:right="0"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2"/>
        <w:rPr>
          <w:rFonts w:ascii="宋体" w:hAnsi="宋体" w:cs="宋体" w:eastAsia="宋体" w:hint="default"/>
          <w:sz w:val="26"/>
          <w:szCs w:val="26"/>
        </w:rPr>
      </w:pPr>
    </w:p>
    <w:p>
      <w:pPr>
        <w:spacing w:before="0"/>
        <w:ind w:left="1098"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三、</w:t>
      </w:r>
      <w:r>
        <w:rPr>
          <w:rFonts w:ascii="Microsoft JhengHei" w:hAnsi="Microsoft JhengHei" w:cs="Microsoft JhengHei" w:eastAsia="Microsoft JhengHei" w:hint="default"/>
          <w:b/>
          <w:bCs/>
          <w:spacing w:val="-17"/>
          <w:sz w:val="21"/>
          <w:szCs w:val="21"/>
        </w:rPr>
        <w:t> </w:t>
      </w:r>
      <w:r>
        <w:rPr>
          <w:rFonts w:ascii="Microsoft JhengHei" w:hAnsi="Microsoft JhengHei" w:cs="Microsoft JhengHei" w:eastAsia="Microsoft JhengHei" w:hint="default"/>
          <w:b/>
          <w:bCs/>
          <w:sz w:val="21"/>
          <w:szCs w:val="21"/>
        </w:rPr>
        <w:t>股东和实际控制人情况</w:t>
      </w:r>
      <w:r>
        <w:rPr>
          <w:rFonts w:ascii="Microsoft JhengHei" w:hAnsi="Microsoft JhengHei" w:cs="Microsoft JhengHei" w:eastAsia="Microsoft JhengHei" w:hint="default"/>
          <w:sz w:val="21"/>
          <w:szCs w:val="21"/>
        </w:rPr>
      </w:r>
    </w:p>
    <w:p>
      <w:pPr>
        <w:tabs>
          <w:tab w:pos="1950" w:val="left" w:leader="none"/>
        </w:tabs>
        <w:spacing w:before="6"/>
        <w:ind w:left="1098" w:right="0"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一</w:t>
      </w:r>
      <w:r>
        <w:rPr>
          <w:rFonts w:ascii="Calibri" w:hAnsi="Calibri" w:cs="Calibri" w:eastAsia="Calibri" w:hint="default"/>
          <w:b/>
          <w:bCs/>
          <w:sz w:val="21"/>
          <w:szCs w:val="21"/>
        </w:rPr>
        <w:t>)</w:t>
        <w:tab/>
      </w:r>
      <w:r>
        <w:rPr>
          <w:rFonts w:ascii="Microsoft JhengHei" w:hAnsi="Microsoft JhengHei" w:cs="Microsoft JhengHei" w:eastAsia="Microsoft JhengHei" w:hint="default"/>
          <w:b/>
          <w:bCs/>
          <w:sz w:val="21"/>
          <w:szCs w:val="21"/>
        </w:rPr>
        <w:t>股东总数</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4"/>
          <w:szCs w:val="4"/>
        </w:rPr>
      </w:pPr>
    </w:p>
    <w:tbl>
      <w:tblPr>
        <w:tblW w:w="0" w:type="auto"/>
        <w:jc w:val="left"/>
        <w:tblInd w:w="986" w:type="dxa"/>
        <w:tblLayout w:type="fixed"/>
        <w:tblCellMar>
          <w:top w:w="0" w:type="dxa"/>
          <w:left w:w="0" w:type="dxa"/>
          <w:bottom w:w="0" w:type="dxa"/>
          <w:right w:w="0" w:type="dxa"/>
        </w:tblCellMar>
        <w:tblLook w:val="01E0"/>
      </w:tblPr>
      <w:tblGrid>
        <w:gridCol w:w="6092"/>
        <w:gridCol w:w="3231"/>
      </w:tblGrid>
      <w:tr>
        <w:trPr>
          <w:trHeight w:val="322" w:hRule="exact"/>
        </w:trPr>
        <w:tc>
          <w:tcPr>
            <w:tcW w:w="60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截止报告期末普通股股东总数</w:t>
            </w:r>
            <w:r>
              <w:rPr>
                <w:rFonts w:ascii="宋体" w:hAnsi="宋体" w:cs="宋体" w:eastAsia="宋体" w:hint="default"/>
                <w:sz w:val="21"/>
                <w:szCs w:val="21"/>
              </w:rPr>
              <w:t>(</w:t>
            </w:r>
            <w:r>
              <w:rPr>
                <w:rFonts w:ascii="宋体" w:hAnsi="宋体" w:cs="宋体" w:eastAsia="宋体" w:hint="default"/>
                <w:sz w:val="21"/>
                <w:szCs w:val="21"/>
              </w:rPr>
              <w:t>户</w:t>
            </w:r>
            <w:r>
              <w:rPr>
                <w:rFonts w:ascii="宋体" w:hAnsi="宋体" w:cs="宋体" w:eastAsia="宋体" w:hint="default"/>
                <w:sz w:val="21"/>
                <w:szCs w:val="21"/>
              </w:rPr>
              <w:t>)</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639,515</w:t>
            </w:r>
          </w:p>
        </w:tc>
      </w:tr>
      <w:tr>
        <w:trPr>
          <w:trHeight w:val="323" w:hRule="exact"/>
        </w:trPr>
        <w:tc>
          <w:tcPr>
            <w:tcW w:w="60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年度报告披露日前上一月末的普通股股东总数</w:t>
            </w:r>
            <w:r>
              <w:rPr>
                <w:rFonts w:ascii="宋体" w:hAnsi="宋体" w:cs="宋体" w:eastAsia="宋体" w:hint="default"/>
                <w:sz w:val="21"/>
                <w:szCs w:val="21"/>
              </w:rPr>
              <w:t>(</w:t>
            </w:r>
            <w:r>
              <w:rPr>
                <w:rFonts w:ascii="宋体" w:hAnsi="宋体" w:cs="宋体" w:eastAsia="宋体" w:hint="default"/>
                <w:sz w:val="21"/>
                <w:szCs w:val="21"/>
              </w:rPr>
              <w:t>户</w:t>
            </w:r>
            <w:r>
              <w:rPr>
                <w:rFonts w:ascii="宋体" w:hAnsi="宋体" w:cs="宋体" w:eastAsia="宋体" w:hint="default"/>
                <w:sz w:val="21"/>
                <w:szCs w:val="21"/>
              </w:rPr>
              <w:t>)</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646,472</w:t>
            </w:r>
          </w:p>
        </w:tc>
      </w:tr>
      <w:tr>
        <w:trPr>
          <w:trHeight w:val="323" w:hRule="exact"/>
        </w:trPr>
        <w:tc>
          <w:tcPr>
            <w:tcW w:w="60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left="103" w:right="0"/>
              <w:jc w:val="left"/>
              <w:rPr>
                <w:rFonts w:ascii="宋体" w:hAnsi="宋体" w:cs="宋体" w:eastAsia="宋体" w:hint="default"/>
                <w:sz w:val="21"/>
                <w:szCs w:val="21"/>
              </w:rPr>
            </w:pPr>
            <w:r>
              <w:rPr>
                <w:rFonts w:ascii="宋体" w:hAnsi="宋体" w:cs="宋体" w:eastAsia="宋体" w:hint="default"/>
                <w:sz w:val="21"/>
                <w:szCs w:val="21"/>
              </w:rPr>
              <w:t>截止报告期末表决权恢复的优先股股东总数（户）</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98"/>
              <w:jc w:val="right"/>
              <w:rPr>
                <w:rFonts w:ascii="宋体" w:hAnsi="宋体" w:cs="宋体" w:eastAsia="宋体" w:hint="default"/>
                <w:sz w:val="21"/>
                <w:szCs w:val="21"/>
              </w:rPr>
            </w:pPr>
            <w:r>
              <w:rPr>
                <w:rFonts w:ascii="宋体" w:hAnsi="宋体" w:cs="宋体" w:eastAsia="宋体" w:hint="default"/>
                <w:sz w:val="21"/>
                <w:szCs w:val="21"/>
              </w:rPr>
              <w:t>不适用</w:t>
            </w:r>
          </w:p>
        </w:tc>
      </w:tr>
      <w:tr>
        <w:trPr>
          <w:trHeight w:val="322" w:hRule="exact"/>
        </w:trPr>
        <w:tc>
          <w:tcPr>
            <w:tcW w:w="60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年度报告披露日前上一月末表决权恢复的优先股股东总数（户）</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hAnsi="宋体" w:cs="宋体" w:eastAsia="宋体" w:hint="default"/>
                <w:sz w:val="21"/>
                <w:szCs w:val="21"/>
              </w:rPr>
              <w:t>不适用</w:t>
            </w:r>
          </w:p>
        </w:tc>
      </w:tr>
    </w:tbl>
    <w:p>
      <w:pPr>
        <w:spacing w:line="273" w:lineRule="auto" w:before="0"/>
        <w:ind w:left="1098" w:right="0" w:firstLine="0"/>
        <w:jc w:val="left"/>
        <w:rPr>
          <w:rFonts w:ascii="宋体" w:hAnsi="宋体" w:cs="宋体" w:eastAsia="宋体" w:hint="default"/>
          <w:sz w:val="21"/>
          <w:szCs w:val="21"/>
        </w:rPr>
      </w:pPr>
      <w:r>
        <w:rPr>
          <w:rFonts w:ascii="宋体" w:hAnsi="宋体" w:cs="宋体" w:eastAsia="宋体" w:hint="default"/>
          <w:spacing w:val="-2"/>
          <w:sz w:val="21"/>
          <w:szCs w:val="21"/>
        </w:rPr>
        <w:t>注：上表所列数据为合并普通账户和融资融券信用账户后的普通股股东总数。截至报告期末，未合并</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融资融券信用账户普通股股东总户数为</w:t>
      </w:r>
      <w:r>
        <w:rPr>
          <w:rFonts w:ascii="宋体" w:hAnsi="宋体" w:cs="宋体" w:eastAsia="宋体" w:hint="default"/>
          <w:spacing w:val="-54"/>
          <w:sz w:val="21"/>
          <w:szCs w:val="21"/>
        </w:rPr>
        <w:t> </w:t>
      </w:r>
      <w:r>
        <w:rPr>
          <w:rFonts w:ascii="宋体" w:hAnsi="宋体" w:cs="宋体" w:eastAsia="宋体" w:hint="default"/>
          <w:sz w:val="21"/>
          <w:szCs w:val="21"/>
        </w:rPr>
        <w:t>623,711</w:t>
      </w:r>
      <w:r>
        <w:rPr>
          <w:rFonts w:ascii="宋体" w:hAnsi="宋体" w:cs="宋体" w:eastAsia="宋体" w:hint="default"/>
          <w:spacing w:val="-54"/>
          <w:sz w:val="21"/>
          <w:szCs w:val="21"/>
        </w:rPr>
        <w:t> </w:t>
      </w:r>
      <w:r>
        <w:rPr>
          <w:rFonts w:ascii="宋体" w:hAnsi="宋体" w:cs="宋体" w:eastAsia="宋体" w:hint="default"/>
          <w:spacing w:val="-3"/>
          <w:sz w:val="21"/>
          <w:szCs w:val="21"/>
        </w:rPr>
        <w:t>户。</w:t>
      </w:r>
      <w:r>
        <w:rPr>
          <w:rFonts w:ascii="宋体" w:hAnsi="宋体" w:cs="宋体" w:eastAsia="宋体" w:hint="default"/>
          <w:sz w:val="21"/>
          <w:szCs w:val="21"/>
        </w:rPr>
      </w:r>
    </w:p>
    <w:p>
      <w:pPr>
        <w:spacing w:line="240" w:lineRule="auto" w:before="4"/>
        <w:rPr>
          <w:rFonts w:ascii="宋体" w:hAnsi="宋体" w:cs="宋体" w:eastAsia="宋体" w:hint="default"/>
          <w:sz w:val="26"/>
          <w:szCs w:val="26"/>
        </w:rPr>
      </w:pPr>
    </w:p>
    <w:p>
      <w:pPr>
        <w:spacing w:after="0" w:line="240" w:lineRule="auto"/>
        <w:rPr>
          <w:rFonts w:ascii="宋体" w:hAnsi="宋体" w:cs="宋体" w:eastAsia="宋体" w:hint="default"/>
          <w:sz w:val="26"/>
          <w:szCs w:val="26"/>
        </w:rPr>
        <w:sectPr>
          <w:type w:val="continuous"/>
          <w:pgSz w:w="11910" w:h="16840"/>
          <w:pgMar w:top="1360" w:bottom="700" w:left="320" w:right="300"/>
        </w:sectPr>
      </w:pPr>
    </w:p>
    <w:p>
      <w:pPr>
        <w:spacing w:line="338" w:lineRule="exact" w:before="0"/>
        <w:ind w:left="1098" w:right="-14"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二</w:t>
      </w:r>
      <w:r>
        <w:rPr>
          <w:rFonts w:ascii="Calibri" w:hAnsi="Calibri" w:cs="Calibri" w:eastAsia="Calibri" w:hint="default"/>
          <w:b/>
          <w:bCs/>
          <w:sz w:val="21"/>
          <w:szCs w:val="21"/>
        </w:rPr>
        <w:t>) </w:t>
      </w:r>
      <w:r>
        <w:rPr>
          <w:rFonts w:ascii="Calibri" w:hAnsi="Calibri" w:cs="Calibri" w:eastAsia="Calibri" w:hint="default"/>
          <w:b/>
          <w:bCs/>
          <w:spacing w:val="5"/>
          <w:sz w:val="21"/>
          <w:szCs w:val="21"/>
        </w:rPr>
        <w:t> </w:t>
      </w:r>
      <w:r>
        <w:rPr>
          <w:rFonts w:ascii="Microsoft JhengHei" w:hAnsi="Microsoft JhengHei" w:cs="Microsoft JhengHei" w:eastAsia="Microsoft JhengHei" w:hint="default"/>
          <w:b/>
          <w:bCs/>
          <w:sz w:val="21"/>
          <w:szCs w:val="21"/>
        </w:rPr>
        <w:t>截止报告期末前十名股东、前十名流通股东（或无限售条件股东）持股情况表</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23"/>
          <w:szCs w:val="23"/>
        </w:rPr>
      </w:pPr>
      <w:r>
        <w:rPr/>
        <w:br w:type="column"/>
      </w:r>
      <w:r>
        <w:rPr>
          <w:rFonts w:ascii="Microsoft JhengHei"/>
          <w:b/>
          <w:sz w:val="23"/>
        </w:rPr>
      </w:r>
    </w:p>
    <w:p>
      <w:pPr>
        <w:spacing w:before="0"/>
        <w:ind w:left="835" w:right="949" w:firstLine="0"/>
        <w:jc w:val="center"/>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z w:val="21"/>
          <w:szCs w:val="21"/>
        </w:rPr>
        <w:t>:</w:t>
      </w:r>
      <w:r>
        <w:rPr>
          <w:rFonts w:ascii="宋体" w:hAnsi="宋体" w:cs="宋体" w:eastAsia="宋体" w:hint="default"/>
          <w:sz w:val="21"/>
          <w:szCs w:val="21"/>
        </w:rPr>
        <w:t>股</w:t>
      </w:r>
    </w:p>
    <w:p>
      <w:pPr>
        <w:spacing w:after="0"/>
        <w:jc w:val="center"/>
        <w:rPr>
          <w:rFonts w:ascii="宋体" w:hAnsi="宋体" w:cs="宋体" w:eastAsia="宋体" w:hint="default"/>
          <w:sz w:val="21"/>
          <w:szCs w:val="21"/>
        </w:rPr>
        <w:sectPr>
          <w:type w:val="continuous"/>
          <w:pgSz w:w="11910" w:h="16840"/>
          <w:pgMar w:top="1360" w:bottom="700" w:left="320" w:right="300"/>
          <w:cols w:num="2" w:equalWidth="0">
            <w:col w:w="8686" w:space="40"/>
            <w:col w:w="2564"/>
          </w:cols>
        </w:sectPr>
      </w:pPr>
    </w:p>
    <w:p>
      <w:pPr>
        <w:spacing w:line="240" w:lineRule="auto" w:before="10"/>
        <w:rPr>
          <w:rFonts w:ascii="宋体" w:hAnsi="宋体" w:cs="宋体" w:eastAsia="宋体"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2376"/>
        <w:gridCol w:w="1304"/>
        <w:gridCol w:w="1618"/>
        <w:gridCol w:w="663"/>
        <w:gridCol w:w="1517"/>
        <w:gridCol w:w="1441"/>
        <w:gridCol w:w="1373"/>
        <w:gridCol w:w="771"/>
      </w:tblGrid>
      <w:tr>
        <w:trPr>
          <w:trHeight w:val="322" w:hRule="exact"/>
        </w:trPr>
        <w:tc>
          <w:tcPr>
            <w:tcW w:w="11062" w:type="dxa"/>
            <w:gridSpan w:val="8"/>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前十名股东持股情况</w:t>
            </w:r>
          </w:p>
        </w:tc>
      </w:tr>
      <w:tr>
        <w:trPr>
          <w:trHeight w:val="322" w:hRule="exact"/>
        </w:trPr>
        <w:tc>
          <w:tcPr>
            <w:tcW w:w="2376"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48"/>
              <w:ind w:left="763" w:right="0"/>
              <w:jc w:val="left"/>
              <w:rPr>
                <w:rFonts w:ascii="宋体" w:hAnsi="宋体" w:cs="宋体" w:eastAsia="宋体" w:hint="default"/>
                <w:sz w:val="21"/>
                <w:szCs w:val="21"/>
              </w:rPr>
            </w:pPr>
            <w:r>
              <w:rPr>
                <w:rFonts w:ascii="宋体" w:hAnsi="宋体" w:cs="宋体" w:eastAsia="宋体" w:hint="default"/>
                <w:sz w:val="21"/>
                <w:szCs w:val="21"/>
              </w:rPr>
              <w:t>股东名称</w:t>
            </w:r>
          </w:p>
          <w:p>
            <w:pPr>
              <w:pStyle w:val="TableParagraph"/>
              <w:spacing w:line="240" w:lineRule="auto" w:before="37"/>
              <w:ind w:left="763" w:right="0"/>
              <w:jc w:val="left"/>
              <w:rPr>
                <w:rFonts w:ascii="宋体" w:hAnsi="宋体" w:cs="宋体" w:eastAsia="宋体" w:hint="default"/>
                <w:sz w:val="21"/>
                <w:szCs w:val="21"/>
              </w:rPr>
            </w:pPr>
            <w:r>
              <w:rPr>
                <w:rFonts w:ascii="宋体" w:hAnsi="宋体" w:cs="宋体" w:eastAsia="宋体" w:hint="default"/>
                <w:sz w:val="21"/>
                <w:szCs w:val="21"/>
              </w:rPr>
              <w:t>（全称）</w:t>
            </w:r>
          </w:p>
        </w:tc>
        <w:tc>
          <w:tcPr>
            <w:tcW w:w="1304" w:type="dxa"/>
            <w:vMerge w:val="restart"/>
            <w:tcBorders>
              <w:top w:val="single" w:sz="4" w:space="0" w:color="000000"/>
              <w:left w:val="single" w:sz="4" w:space="0" w:color="000000"/>
              <w:right w:val="single" w:sz="4" w:space="0" w:color="000000"/>
            </w:tcBorders>
            <w:shd w:val="clear" w:color="auto" w:fill="D9D9D9"/>
          </w:tcPr>
          <w:p>
            <w:pPr>
              <w:pStyle w:val="TableParagraph"/>
              <w:spacing w:line="273" w:lineRule="auto" w:before="148"/>
              <w:ind w:left="540" w:right="118" w:hanging="420"/>
              <w:jc w:val="left"/>
              <w:rPr>
                <w:rFonts w:ascii="宋体" w:hAnsi="宋体" w:cs="宋体" w:eastAsia="宋体" w:hint="default"/>
                <w:sz w:val="21"/>
                <w:szCs w:val="21"/>
              </w:rPr>
            </w:pPr>
            <w:r>
              <w:rPr>
                <w:rFonts w:ascii="宋体" w:hAnsi="宋体" w:cs="宋体" w:eastAsia="宋体" w:hint="default"/>
                <w:sz w:val="21"/>
                <w:szCs w:val="21"/>
              </w:rPr>
              <w:t>报告期内增</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减</w:t>
            </w:r>
          </w:p>
        </w:tc>
        <w:tc>
          <w:tcPr>
            <w:tcW w:w="1618"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172" w:right="0"/>
              <w:jc w:val="left"/>
              <w:rPr>
                <w:rFonts w:ascii="宋体" w:hAnsi="宋体" w:cs="宋体" w:eastAsia="宋体" w:hint="default"/>
                <w:sz w:val="21"/>
                <w:szCs w:val="21"/>
              </w:rPr>
            </w:pPr>
            <w:r>
              <w:rPr>
                <w:rFonts w:ascii="宋体" w:hAnsi="宋体" w:cs="宋体" w:eastAsia="宋体" w:hint="default"/>
                <w:sz w:val="21"/>
                <w:szCs w:val="21"/>
              </w:rPr>
              <w:t>期末持股数量</w:t>
            </w:r>
          </w:p>
        </w:tc>
        <w:tc>
          <w:tcPr>
            <w:tcW w:w="663" w:type="dxa"/>
            <w:vMerge w:val="restart"/>
            <w:tcBorders>
              <w:top w:val="single" w:sz="4" w:space="0" w:color="000000"/>
              <w:left w:val="single" w:sz="4" w:space="0" w:color="000000"/>
              <w:right w:val="single" w:sz="4" w:space="0" w:color="000000"/>
            </w:tcBorders>
            <w:shd w:val="clear" w:color="auto" w:fill="D9D9D9"/>
          </w:tcPr>
          <w:p>
            <w:pPr>
              <w:pStyle w:val="TableParagraph"/>
              <w:spacing w:line="273" w:lineRule="auto" w:before="148"/>
              <w:ind w:left="167" w:right="113" w:hanging="53"/>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pacing w:val="-103"/>
                <w:sz w:val="21"/>
                <w:szCs w:val="21"/>
              </w:rPr>
              <w:t> </w:t>
            </w:r>
            <w:r>
              <w:rPr>
                <w:rFonts w:ascii="宋体" w:hAnsi="宋体" w:cs="宋体" w:eastAsia="宋体" w:hint="default"/>
                <w:sz w:val="21"/>
                <w:szCs w:val="21"/>
              </w:rPr>
              <w:t>(%)</w:t>
            </w:r>
          </w:p>
        </w:tc>
        <w:tc>
          <w:tcPr>
            <w:tcW w:w="1517" w:type="dxa"/>
            <w:vMerge w:val="restart"/>
            <w:tcBorders>
              <w:top w:val="single" w:sz="4" w:space="0" w:color="000000"/>
              <w:left w:val="single" w:sz="4" w:space="0" w:color="000000"/>
              <w:right w:val="single" w:sz="4" w:space="0" w:color="000000"/>
            </w:tcBorders>
            <w:shd w:val="clear" w:color="auto" w:fill="D9D9D9"/>
          </w:tcPr>
          <w:p>
            <w:pPr>
              <w:pStyle w:val="TableParagraph"/>
              <w:spacing w:line="273" w:lineRule="auto" w:before="148"/>
              <w:ind w:left="228" w:right="120" w:hanging="106"/>
              <w:jc w:val="left"/>
              <w:rPr>
                <w:rFonts w:ascii="宋体" w:hAnsi="宋体" w:cs="宋体" w:eastAsia="宋体" w:hint="default"/>
                <w:sz w:val="21"/>
                <w:szCs w:val="21"/>
              </w:rPr>
            </w:pPr>
            <w:r>
              <w:rPr>
                <w:rFonts w:ascii="宋体" w:hAnsi="宋体" w:cs="宋体" w:eastAsia="宋体" w:hint="default"/>
                <w:sz w:val="21"/>
                <w:szCs w:val="21"/>
              </w:rPr>
              <w:t>持有有限售条</w:t>
            </w:r>
            <w:r>
              <w:rPr>
                <w:rFonts w:ascii="宋体" w:hAnsi="宋体" w:cs="宋体" w:eastAsia="宋体" w:hint="default"/>
                <w:w w:val="100"/>
                <w:sz w:val="21"/>
                <w:szCs w:val="21"/>
              </w:rPr>
              <w:t> </w:t>
            </w:r>
            <w:r>
              <w:rPr>
                <w:rFonts w:ascii="宋体" w:hAnsi="宋体" w:cs="宋体" w:eastAsia="宋体" w:hint="default"/>
                <w:sz w:val="21"/>
                <w:szCs w:val="21"/>
              </w:rPr>
              <w:t>件股份数量</w:t>
            </w:r>
          </w:p>
        </w:tc>
        <w:tc>
          <w:tcPr>
            <w:tcW w:w="281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664" w:right="0"/>
              <w:jc w:val="left"/>
              <w:rPr>
                <w:rFonts w:ascii="宋体" w:hAnsi="宋体" w:cs="宋体" w:eastAsia="宋体" w:hint="default"/>
                <w:sz w:val="21"/>
                <w:szCs w:val="21"/>
              </w:rPr>
            </w:pPr>
            <w:r>
              <w:rPr>
                <w:rFonts w:ascii="宋体" w:hAnsi="宋体" w:cs="宋体" w:eastAsia="宋体" w:hint="default"/>
                <w:sz w:val="21"/>
                <w:szCs w:val="21"/>
              </w:rPr>
              <w:t>质押或冻结情况</w:t>
            </w:r>
          </w:p>
        </w:tc>
        <w:tc>
          <w:tcPr>
            <w:tcW w:w="771" w:type="dxa"/>
            <w:vMerge w:val="restart"/>
            <w:tcBorders>
              <w:top w:val="single" w:sz="4" w:space="0" w:color="000000"/>
              <w:left w:val="single" w:sz="4" w:space="0" w:color="000000"/>
              <w:right w:val="single" w:sz="4" w:space="0" w:color="000000"/>
            </w:tcBorders>
            <w:shd w:val="clear" w:color="auto" w:fill="D9D9D9"/>
          </w:tcPr>
          <w:p>
            <w:pPr>
              <w:pStyle w:val="TableParagraph"/>
              <w:spacing w:line="273" w:lineRule="auto" w:before="148"/>
              <w:ind w:left="167" w:right="168"/>
              <w:jc w:val="left"/>
              <w:rPr>
                <w:rFonts w:ascii="宋体" w:hAnsi="宋体" w:cs="宋体" w:eastAsia="宋体" w:hint="default"/>
                <w:sz w:val="21"/>
                <w:szCs w:val="21"/>
              </w:rPr>
            </w:pPr>
            <w:r>
              <w:rPr>
                <w:rFonts w:ascii="宋体" w:hAnsi="宋体" w:cs="宋体" w:eastAsia="宋体" w:hint="default"/>
                <w:sz w:val="21"/>
                <w:szCs w:val="21"/>
              </w:rPr>
              <w:t>股东</w:t>
            </w:r>
            <w:r>
              <w:rPr>
                <w:rFonts w:ascii="宋体" w:hAnsi="宋体" w:cs="宋体" w:eastAsia="宋体" w:hint="default"/>
                <w:spacing w:val="-103"/>
                <w:sz w:val="21"/>
                <w:szCs w:val="21"/>
              </w:rPr>
              <w:t> </w:t>
            </w:r>
            <w:r>
              <w:rPr>
                <w:rFonts w:ascii="宋体" w:hAnsi="宋体" w:cs="宋体" w:eastAsia="宋体" w:hint="default"/>
                <w:sz w:val="21"/>
                <w:szCs w:val="21"/>
              </w:rPr>
              <w:t>性质</w:t>
            </w:r>
          </w:p>
        </w:tc>
      </w:tr>
      <w:tr>
        <w:trPr>
          <w:trHeight w:val="634" w:hRule="exact"/>
        </w:trPr>
        <w:tc>
          <w:tcPr>
            <w:tcW w:w="2376" w:type="dxa"/>
            <w:vMerge/>
            <w:tcBorders>
              <w:left w:val="single" w:sz="4" w:space="0" w:color="000000"/>
              <w:bottom w:val="single" w:sz="4" w:space="0" w:color="000000"/>
              <w:right w:val="single" w:sz="4" w:space="0" w:color="000000"/>
            </w:tcBorders>
            <w:shd w:val="clear" w:color="auto" w:fill="D9D9D9"/>
          </w:tcPr>
          <w:p>
            <w:pPr/>
          </w:p>
        </w:tc>
        <w:tc>
          <w:tcPr>
            <w:tcW w:w="1304" w:type="dxa"/>
            <w:vMerge/>
            <w:tcBorders>
              <w:left w:val="single" w:sz="4" w:space="0" w:color="000000"/>
              <w:bottom w:val="single" w:sz="4" w:space="0" w:color="000000"/>
              <w:right w:val="single" w:sz="4" w:space="0" w:color="000000"/>
            </w:tcBorders>
            <w:shd w:val="clear" w:color="auto" w:fill="D9D9D9"/>
          </w:tcPr>
          <w:p>
            <w:pPr/>
          </w:p>
        </w:tc>
        <w:tc>
          <w:tcPr>
            <w:tcW w:w="1618" w:type="dxa"/>
            <w:vMerge/>
            <w:tcBorders>
              <w:left w:val="single" w:sz="4" w:space="0" w:color="000000"/>
              <w:bottom w:val="single" w:sz="4" w:space="0" w:color="000000"/>
              <w:right w:val="single" w:sz="4" w:space="0" w:color="000000"/>
            </w:tcBorders>
            <w:shd w:val="clear" w:color="auto" w:fill="D9D9D9"/>
          </w:tcPr>
          <w:p>
            <w:pPr/>
          </w:p>
        </w:tc>
        <w:tc>
          <w:tcPr>
            <w:tcW w:w="663" w:type="dxa"/>
            <w:vMerge/>
            <w:tcBorders>
              <w:left w:val="single" w:sz="4" w:space="0" w:color="000000"/>
              <w:bottom w:val="single" w:sz="4" w:space="0" w:color="000000"/>
              <w:right w:val="single" w:sz="4" w:space="0" w:color="000000"/>
            </w:tcBorders>
            <w:shd w:val="clear" w:color="auto" w:fill="D9D9D9"/>
          </w:tcPr>
          <w:p>
            <w:pPr/>
          </w:p>
        </w:tc>
        <w:tc>
          <w:tcPr>
            <w:tcW w:w="1517" w:type="dxa"/>
            <w:vMerge/>
            <w:tcBorders>
              <w:left w:val="single" w:sz="4" w:space="0" w:color="000000"/>
              <w:bottom w:val="single" w:sz="4" w:space="0" w:color="000000"/>
              <w:right w:val="single" w:sz="4" w:space="0" w:color="000000"/>
            </w:tcBorders>
            <w:shd w:val="clear" w:color="auto" w:fill="D9D9D9"/>
          </w:tcPr>
          <w:p>
            <w:pPr/>
          </w:p>
        </w:tc>
        <w:tc>
          <w:tcPr>
            <w:tcW w:w="14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503" w:right="502"/>
              <w:jc w:val="center"/>
              <w:rPr>
                <w:rFonts w:ascii="宋体" w:hAnsi="宋体" w:cs="宋体" w:eastAsia="宋体" w:hint="default"/>
                <w:sz w:val="21"/>
                <w:szCs w:val="21"/>
              </w:rPr>
            </w:pPr>
            <w:r>
              <w:rPr>
                <w:rFonts w:ascii="宋体" w:hAnsi="宋体" w:cs="宋体" w:eastAsia="宋体" w:hint="default"/>
                <w:sz w:val="21"/>
                <w:szCs w:val="21"/>
              </w:rPr>
              <w:t>股份</w:t>
            </w:r>
            <w:r>
              <w:rPr>
                <w:rFonts w:ascii="宋体" w:hAnsi="宋体" w:cs="宋体" w:eastAsia="宋体" w:hint="default"/>
                <w:w w:val="100"/>
                <w:sz w:val="21"/>
                <w:szCs w:val="21"/>
              </w:rPr>
              <w:t> </w:t>
            </w:r>
            <w:r>
              <w:rPr>
                <w:rFonts w:ascii="宋体" w:hAnsi="宋体" w:cs="宋体" w:eastAsia="宋体" w:hint="default"/>
                <w:sz w:val="21"/>
                <w:szCs w:val="21"/>
              </w:rPr>
              <w:t>状态</w:t>
            </w:r>
          </w:p>
        </w:tc>
        <w:tc>
          <w:tcPr>
            <w:tcW w:w="137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数量</w:t>
            </w:r>
          </w:p>
        </w:tc>
        <w:tc>
          <w:tcPr>
            <w:tcW w:w="771" w:type="dxa"/>
            <w:vMerge/>
            <w:tcBorders>
              <w:left w:val="single" w:sz="4" w:space="0" w:color="000000"/>
              <w:bottom w:val="single" w:sz="4" w:space="0" w:color="000000"/>
              <w:right w:val="single" w:sz="4" w:space="0" w:color="000000"/>
            </w:tcBorders>
            <w:shd w:val="clear" w:color="auto" w:fill="D9D9D9"/>
          </w:tcPr>
          <w:p>
            <w:pPr/>
          </w:p>
        </w:tc>
      </w:tr>
      <w:tr>
        <w:trPr>
          <w:trHeight w:val="636"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z w:val="18"/>
                <w:szCs w:val="18"/>
              </w:rPr>
              <w:t>中国联合网络通信集团有限 公司</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597"/>
              <w:jc w:val="right"/>
              <w:rPr>
                <w:rFonts w:ascii="宋体" w:hAnsi="宋体" w:cs="宋体" w:eastAsia="宋体" w:hint="default"/>
                <w:sz w:val="20"/>
                <w:szCs w:val="20"/>
              </w:rPr>
            </w:pPr>
            <w:r>
              <w:rPr>
                <w:rFonts w:ascii="宋体"/>
                <w:w w:val="99"/>
                <w:sz w:val="20"/>
              </w:rPr>
              <w:t>0</w:t>
            </w:r>
            <w:r>
              <w:rPr>
                <w:rFonts w:ascii="宋体"/>
                <w:sz w:val="20"/>
              </w:rPr>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
              <w:jc w:val="center"/>
              <w:rPr>
                <w:rFonts w:ascii="宋体" w:hAnsi="宋体" w:cs="宋体" w:eastAsia="宋体" w:hint="default"/>
                <w:sz w:val="20"/>
                <w:szCs w:val="20"/>
              </w:rPr>
            </w:pPr>
            <w:r>
              <w:rPr>
                <w:rFonts w:ascii="宋体"/>
                <w:sz w:val="20"/>
              </w:rPr>
              <w:t>11,399,724,220</w:t>
            </w:r>
          </w:p>
        </w:tc>
        <w:tc>
          <w:tcPr>
            <w:tcW w:w="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124" w:right="0"/>
              <w:jc w:val="left"/>
              <w:rPr>
                <w:rFonts w:ascii="宋体" w:hAnsi="宋体" w:cs="宋体" w:eastAsia="宋体" w:hint="default"/>
                <w:sz w:val="20"/>
                <w:szCs w:val="20"/>
              </w:rPr>
            </w:pPr>
            <w:r>
              <w:rPr>
                <w:rFonts w:ascii="宋体"/>
                <w:sz w:val="20"/>
              </w:rPr>
              <w:t>36.7</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
              <w:jc w:val="center"/>
              <w:rPr>
                <w:rFonts w:ascii="宋体" w:hAnsi="宋体" w:cs="宋体" w:eastAsia="宋体" w:hint="default"/>
                <w:sz w:val="20"/>
                <w:szCs w:val="20"/>
              </w:rPr>
            </w:pPr>
            <w:r>
              <w:rPr>
                <w:rFonts w:ascii="宋体"/>
                <w:w w:val="99"/>
                <w:sz w:val="20"/>
              </w:rPr>
              <w:t>0</w:t>
            </w:r>
            <w:r>
              <w:rPr>
                <w:rFonts w:ascii="宋体"/>
                <w:sz w:val="20"/>
              </w:rPr>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2"/>
              <w:jc w:val="center"/>
              <w:rPr>
                <w:rFonts w:ascii="宋体" w:hAnsi="宋体" w:cs="宋体" w:eastAsia="宋体" w:hint="default"/>
                <w:sz w:val="20"/>
                <w:szCs w:val="20"/>
              </w:rPr>
            </w:pPr>
            <w:r>
              <w:rPr>
                <w:rFonts w:ascii="宋体" w:hAnsi="宋体" w:cs="宋体" w:eastAsia="宋体" w:hint="default"/>
                <w:w w:val="99"/>
                <w:sz w:val="20"/>
                <w:szCs w:val="20"/>
              </w:rPr>
              <w:t>无</w:t>
            </w:r>
            <w:r>
              <w:rPr>
                <w:rFonts w:ascii="宋体" w:hAnsi="宋体" w:cs="宋体" w:eastAsia="宋体" w:hint="default"/>
                <w:sz w:val="20"/>
                <w:szCs w:val="20"/>
              </w:rPr>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
              <w:jc w:val="center"/>
              <w:rPr>
                <w:rFonts w:ascii="宋体" w:hAnsi="宋体" w:cs="宋体" w:eastAsia="宋体" w:hint="default"/>
                <w:sz w:val="20"/>
                <w:szCs w:val="20"/>
              </w:rPr>
            </w:pPr>
            <w:r>
              <w:rPr>
                <w:rFonts w:ascii="宋体"/>
                <w:w w:val="99"/>
                <w:sz w:val="20"/>
              </w:rPr>
              <w:t>0</w:t>
            </w:r>
            <w:r>
              <w:rPr>
                <w:rFonts w:ascii="宋体"/>
                <w:sz w:val="20"/>
              </w:rPr>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77" w:right="183"/>
              <w:jc w:val="left"/>
              <w:rPr>
                <w:rFonts w:ascii="宋体" w:hAnsi="宋体" w:cs="宋体" w:eastAsia="宋体" w:hint="default"/>
                <w:sz w:val="20"/>
                <w:szCs w:val="20"/>
              </w:rPr>
            </w:pPr>
            <w:r>
              <w:rPr>
                <w:rFonts w:ascii="宋体" w:hAnsi="宋体" w:cs="宋体" w:eastAsia="宋体" w:hint="default"/>
                <w:sz w:val="20"/>
                <w:szCs w:val="20"/>
              </w:rPr>
              <w:t>国有</w:t>
            </w:r>
            <w:r>
              <w:rPr>
                <w:rFonts w:ascii="宋体" w:hAnsi="宋体" w:cs="宋体" w:eastAsia="宋体" w:hint="default"/>
                <w:w w:val="99"/>
                <w:sz w:val="20"/>
                <w:szCs w:val="20"/>
              </w:rPr>
              <w:t> </w:t>
            </w:r>
            <w:r>
              <w:rPr>
                <w:rFonts w:ascii="宋体" w:hAnsi="宋体" w:cs="宋体" w:eastAsia="宋体" w:hint="default"/>
                <w:sz w:val="20"/>
                <w:szCs w:val="20"/>
              </w:rPr>
              <w:t>法人</w:t>
            </w:r>
          </w:p>
        </w:tc>
      </w:tr>
      <w:tr>
        <w:trPr>
          <w:trHeight w:val="946"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中国人寿保险股份有限公司</w:t>
            </w:r>
          </w:p>
          <w:p>
            <w:pPr>
              <w:pStyle w:val="TableParagraph"/>
              <w:spacing w:line="316" w:lineRule="auto" w:before="77"/>
              <w:ind w:left="103" w:right="281"/>
              <w:jc w:val="left"/>
              <w:rPr>
                <w:rFonts w:ascii="宋体" w:hAnsi="宋体" w:cs="宋体" w:eastAsia="宋体" w:hint="default"/>
                <w:sz w:val="18"/>
                <w:szCs w:val="18"/>
              </w:rPr>
            </w:pPr>
            <w:r>
              <w:rPr>
                <w:rFonts w:ascii="宋体" w:hAnsi="宋体" w:cs="宋体" w:eastAsia="宋体" w:hint="default"/>
                <w:sz w:val="18"/>
                <w:szCs w:val="18"/>
              </w:rPr>
              <w:t>－传统－普通保险产品－ </w:t>
            </w:r>
            <w:r>
              <w:rPr>
                <w:rFonts w:ascii="宋体" w:hAnsi="宋体" w:cs="宋体" w:eastAsia="宋体" w:hint="default"/>
                <w:sz w:val="18"/>
                <w:szCs w:val="18"/>
              </w:rPr>
              <w:t>005L</w:t>
            </w:r>
            <w:r>
              <w:rPr>
                <w:rFonts w:ascii="宋体" w:hAnsi="宋体" w:cs="宋体" w:eastAsia="宋体" w:hint="default"/>
                <w:sz w:val="18"/>
                <w:szCs w:val="18"/>
              </w:rPr>
              <w:t>－</w:t>
            </w:r>
            <w:r>
              <w:rPr>
                <w:rFonts w:ascii="宋体" w:hAnsi="宋体" w:cs="宋体" w:eastAsia="宋体" w:hint="default"/>
                <w:sz w:val="18"/>
                <w:szCs w:val="18"/>
              </w:rPr>
              <w:t>CT001</w:t>
            </w:r>
            <w:r>
              <w:rPr>
                <w:rFonts w:ascii="宋体" w:hAnsi="宋体" w:cs="宋体" w:eastAsia="宋体" w:hint="default"/>
                <w:spacing w:val="-45"/>
                <w:sz w:val="18"/>
                <w:szCs w:val="18"/>
              </w:rPr>
              <w:t> </w:t>
            </w:r>
            <w:r>
              <w:rPr>
                <w:rFonts w:ascii="宋体" w:hAnsi="宋体" w:cs="宋体" w:eastAsia="宋体" w:hint="default"/>
                <w:sz w:val="18"/>
                <w:szCs w:val="18"/>
              </w:rPr>
              <w:t>沪（注</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z w:val="18"/>
                <w:szCs w:val="18"/>
              </w:rPr>
              <w:t>）</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597"/>
              <w:jc w:val="right"/>
              <w:rPr>
                <w:rFonts w:ascii="宋体" w:hAnsi="宋体" w:cs="宋体" w:eastAsia="宋体" w:hint="default"/>
                <w:sz w:val="20"/>
                <w:szCs w:val="20"/>
              </w:rPr>
            </w:pPr>
            <w:r>
              <w:rPr>
                <w:rFonts w:ascii="宋体"/>
                <w:w w:val="99"/>
                <w:sz w:val="20"/>
              </w:rPr>
              <w:t>0</w:t>
            </w:r>
            <w:r>
              <w:rPr>
                <w:rFonts w:ascii="宋体"/>
                <w:sz w:val="20"/>
              </w:rPr>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3"/>
              <w:jc w:val="center"/>
              <w:rPr>
                <w:rFonts w:ascii="宋体" w:hAnsi="宋体" w:cs="宋体" w:eastAsia="宋体" w:hint="default"/>
                <w:sz w:val="20"/>
                <w:szCs w:val="20"/>
              </w:rPr>
            </w:pPr>
            <w:r>
              <w:rPr>
                <w:rFonts w:ascii="宋体"/>
                <w:sz w:val="20"/>
              </w:rPr>
              <w:t>3,190,419,687</w:t>
            </w:r>
          </w:p>
        </w:tc>
        <w:tc>
          <w:tcPr>
            <w:tcW w:w="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124" w:right="0"/>
              <w:jc w:val="left"/>
              <w:rPr>
                <w:rFonts w:ascii="宋体" w:hAnsi="宋体" w:cs="宋体" w:eastAsia="宋体" w:hint="default"/>
                <w:sz w:val="20"/>
                <w:szCs w:val="20"/>
              </w:rPr>
            </w:pPr>
            <w:r>
              <w:rPr>
                <w:rFonts w:ascii="宋体"/>
                <w:sz w:val="20"/>
              </w:rPr>
              <w:t>10.3</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0"/>
              <w:jc w:val="center"/>
              <w:rPr>
                <w:rFonts w:ascii="宋体" w:hAnsi="宋体" w:cs="宋体" w:eastAsia="宋体" w:hint="default"/>
                <w:sz w:val="20"/>
                <w:szCs w:val="20"/>
              </w:rPr>
            </w:pPr>
            <w:r>
              <w:rPr>
                <w:rFonts w:ascii="宋体"/>
                <w:sz w:val="20"/>
              </w:rPr>
              <w:t>3,177,159,590</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2"/>
              <w:jc w:val="center"/>
              <w:rPr>
                <w:rFonts w:ascii="宋体" w:hAnsi="宋体" w:cs="宋体" w:eastAsia="宋体" w:hint="default"/>
                <w:sz w:val="20"/>
                <w:szCs w:val="20"/>
              </w:rPr>
            </w:pPr>
            <w:r>
              <w:rPr>
                <w:rFonts w:ascii="宋体" w:hAnsi="宋体" w:cs="宋体" w:eastAsia="宋体" w:hint="default"/>
                <w:w w:val="99"/>
                <w:sz w:val="20"/>
                <w:szCs w:val="20"/>
              </w:rPr>
              <w:t>无</w:t>
            </w:r>
            <w:r>
              <w:rPr>
                <w:rFonts w:ascii="宋体" w:hAnsi="宋体" w:cs="宋体" w:eastAsia="宋体" w:hint="default"/>
                <w:sz w:val="20"/>
                <w:szCs w:val="20"/>
              </w:rPr>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1"/>
              <w:jc w:val="center"/>
              <w:rPr>
                <w:rFonts w:ascii="宋体" w:hAnsi="宋体" w:cs="宋体" w:eastAsia="宋体" w:hint="default"/>
                <w:sz w:val="20"/>
                <w:szCs w:val="20"/>
              </w:rPr>
            </w:pPr>
            <w:r>
              <w:rPr>
                <w:rFonts w:ascii="宋体"/>
                <w:w w:val="99"/>
                <w:sz w:val="20"/>
              </w:rPr>
              <w:t>0</w:t>
            </w:r>
            <w:r>
              <w:rPr>
                <w:rFonts w:ascii="宋体"/>
                <w:sz w:val="20"/>
              </w:rPr>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177" w:right="0"/>
              <w:jc w:val="left"/>
              <w:rPr>
                <w:rFonts w:ascii="宋体" w:hAnsi="宋体" w:cs="宋体" w:eastAsia="宋体" w:hint="default"/>
                <w:sz w:val="20"/>
                <w:szCs w:val="20"/>
              </w:rPr>
            </w:pPr>
            <w:r>
              <w:rPr>
                <w:rFonts w:ascii="宋体" w:hAnsi="宋体" w:cs="宋体" w:eastAsia="宋体" w:hint="default"/>
                <w:sz w:val="20"/>
                <w:szCs w:val="20"/>
              </w:rPr>
              <w:t>未知</w:t>
            </w:r>
          </w:p>
        </w:tc>
      </w:tr>
    </w:tbl>
    <w:p>
      <w:pPr>
        <w:spacing w:after="0" w:line="240" w:lineRule="auto"/>
        <w:jc w:val="left"/>
        <w:rPr>
          <w:rFonts w:ascii="宋体" w:hAnsi="宋体" w:cs="宋体" w:eastAsia="宋体" w:hint="default"/>
          <w:sz w:val="20"/>
          <w:szCs w:val="20"/>
        </w:rPr>
        <w:sectPr>
          <w:type w:val="continuous"/>
          <w:pgSz w:w="11910" w:h="16840"/>
          <w:pgMar w:top="1360" w:bottom="700" w:left="320" w:right="300"/>
        </w:sectPr>
      </w:pPr>
    </w:p>
    <w:p>
      <w:pPr>
        <w:spacing w:line="240" w:lineRule="auto" w:before="2"/>
        <w:rPr>
          <w:rFonts w:ascii="Times New Roman" w:hAnsi="Times New Roman" w:cs="Times New Roman" w:eastAsia="Times New Roman" w:hint="default"/>
          <w:sz w:val="14"/>
          <w:szCs w:val="14"/>
        </w:rPr>
      </w:pPr>
    </w:p>
    <w:tbl>
      <w:tblPr>
        <w:tblW w:w="0" w:type="auto"/>
        <w:jc w:val="left"/>
        <w:tblInd w:w="100" w:type="dxa"/>
        <w:tblLayout w:type="fixed"/>
        <w:tblCellMar>
          <w:top w:w="0" w:type="dxa"/>
          <w:left w:w="0" w:type="dxa"/>
          <w:bottom w:w="0" w:type="dxa"/>
          <w:right w:w="0" w:type="dxa"/>
        </w:tblCellMar>
        <w:tblLook w:val="01E0"/>
      </w:tblPr>
      <w:tblGrid>
        <w:gridCol w:w="2376"/>
        <w:gridCol w:w="1304"/>
        <w:gridCol w:w="1618"/>
        <w:gridCol w:w="663"/>
        <w:gridCol w:w="1517"/>
        <w:gridCol w:w="1441"/>
        <w:gridCol w:w="1373"/>
        <w:gridCol w:w="771"/>
      </w:tblGrid>
      <w:tr>
        <w:trPr>
          <w:trHeight w:val="636"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z w:val="18"/>
                <w:szCs w:val="18"/>
              </w:rPr>
              <w:t>中国国有企业结构调整基金 股份有限公司（注</w:t>
            </w:r>
            <w:r>
              <w:rPr>
                <w:rFonts w:ascii="宋体" w:hAnsi="宋体" w:cs="宋体" w:eastAsia="宋体" w:hint="default"/>
                <w:spacing w:val="-43"/>
                <w:sz w:val="18"/>
                <w:szCs w:val="18"/>
              </w:rPr>
              <w:t> </w:t>
            </w:r>
            <w:r>
              <w:rPr>
                <w:rFonts w:ascii="宋体" w:hAnsi="宋体" w:cs="宋体" w:eastAsia="宋体" w:hint="default"/>
                <w:sz w:val="18"/>
                <w:szCs w:val="18"/>
              </w:rPr>
              <w:t>2</w:t>
            </w:r>
            <w:r>
              <w:rPr>
                <w:rFonts w:ascii="宋体" w:hAnsi="宋体" w:cs="宋体" w:eastAsia="宋体" w:hint="default"/>
                <w:sz w:val="18"/>
                <w:szCs w:val="18"/>
              </w:rPr>
              <w:t>）</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2"/>
              <w:jc w:val="center"/>
              <w:rPr>
                <w:rFonts w:ascii="宋体" w:hAnsi="宋体" w:cs="宋体" w:eastAsia="宋体" w:hint="default"/>
                <w:sz w:val="20"/>
                <w:szCs w:val="20"/>
              </w:rPr>
            </w:pPr>
            <w:r>
              <w:rPr>
                <w:rFonts w:ascii="宋体"/>
                <w:w w:val="99"/>
                <w:sz w:val="20"/>
              </w:rPr>
              <w:t>0</w:t>
            </w:r>
            <w:r>
              <w:rPr>
                <w:rFonts w:ascii="宋体"/>
                <w:sz w:val="20"/>
              </w:rPr>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3"/>
              <w:jc w:val="center"/>
              <w:rPr>
                <w:rFonts w:ascii="宋体" w:hAnsi="宋体" w:cs="宋体" w:eastAsia="宋体" w:hint="default"/>
                <w:sz w:val="20"/>
                <w:szCs w:val="20"/>
              </w:rPr>
            </w:pPr>
            <w:r>
              <w:rPr>
                <w:rFonts w:ascii="宋体"/>
                <w:sz w:val="20"/>
              </w:rPr>
              <w:t>1,899,764,201</w:t>
            </w:r>
          </w:p>
        </w:tc>
        <w:tc>
          <w:tcPr>
            <w:tcW w:w="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0"/>
              <w:jc w:val="center"/>
              <w:rPr>
                <w:rFonts w:ascii="宋体" w:hAnsi="宋体" w:cs="宋体" w:eastAsia="宋体" w:hint="default"/>
                <w:sz w:val="20"/>
                <w:szCs w:val="20"/>
              </w:rPr>
            </w:pPr>
            <w:r>
              <w:rPr>
                <w:rFonts w:ascii="宋体"/>
                <w:sz w:val="20"/>
              </w:rPr>
              <w:t>6.1</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
              <w:jc w:val="center"/>
              <w:rPr>
                <w:rFonts w:ascii="宋体" w:hAnsi="宋体" w:cs="宋体" w:eastAsia="宋体" w:hint="default"/>
                <w:sz w:val="20"/>
                <w:szCs w:val="20"/>
              </w:rPr>
            </w:pPr>
            <w:r>
              <w:rPr>
                <w:rFonts w:ascii="宋体"/>
                <w:w w:val="99"/>
                <w:sz w:val="20"/>
              </w:rPr>
              <w:t>0</w:t>
            </w:r>
            <w:r>
              <w:rPr>
                <w:rFonts w:ascii="宋体"/>
                <w:sz w:val="20"/>
              </w:rPr>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2"/>
              <w:jc w:val="center"/>
              <w:rPr>
                <w:rFonts w:ascii="宋体" w:hAnsi="宋体" w:cs="宋体" w:eastAsia="宋体" w:hint="default"/>
                <w:sz w:val="20"/>
                <w:szCs w:val="20"/>
              </w:rPr>
            </w:pPr>
            <w:r>
              <w:rPr>
                <w:rFonts w:ascii="宋体" w:hAnsi="宋体" w:cs="宋体" w:eastAsia="宋体" w:hint="default"/>
                <w:w w:val="99"/>
                <w:sz w:val="20"/>
                <w:szCs w:val="20"/>
              </w:rPr>
              <w:t>无</w:t>
            </w:r>
            <w:r>
              <w:rPr>
                <w:rFonts w:ascii="宋体" w:hAnsi="宋体" w:cs="宋体" w:eastAsia="宋体" w:hint="default"/>
                <w:sz w:val="20"/>
                <w:szCs w:val="20"/>
              </w:rPr>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
              <w:jc w:val="center"/>
              <w:rPr>
                <w:rFonts w:ascii="宋体" w:hAnsi="宋体" w:cs="宋体" w:eastAsia="宋体" w:hint="default"/>
                <w:sz w:val="20"/>
                <w:szCs w:val="20"/>
              </w:rPr>
            </w:pPr>
            <w:r>
              <w:rPr>
                <w:rFonts w:ascii="宋体"/>
                <w:w w:val="99"/>
                <w:sz w:val="20"/>
              </w:rPr>
              <w:t>0</w:t>
            </w:r>
            <w:r>
              <w:rPr>
                <w:rFonts w:ascii="宋体"/>
                <w:sz w:val="20"/>
              </w:rPr>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177" w:right="0"/>
              <w:jc w:val="left"/>
              <w:rPr>
                <w:rFonts w:ascii="宋体" w:hAnsi="宋体" w:cs="宋体" w:eastAsia="宋体" w:hint="default"/>
                <w:sz w:val="20"/>
                <w:szCs w:val="20"/>
              </w:rPr>
            </w:pPr>
            <w:r>
              <w:rPr>
                <w:rFonts w:ascii="宋体" w:hAnsi="宋体" w:cs="宋体" w:eastAsia="宋体" w:hint="default"/>
                <w:sz w:val="20"/>
                <w:szCs w:val="20"/>
              </w:rPr>
              <w:t>未知</w:t>
            </w:r>
          </w:p>
        </w:tc>
      </w:tr>
      <w:tr>
        <w:trPr>
          <w:trHeight w:val="634"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深圳市腾讯信达有限合伙企 业（有限合伙）</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
              <w:jc w:val="center"/>
              <w:rPr>
                <w:rFonts w:ascii="宋体" w:hAnsi="宋体" w:cs="宋体" w:eastAsia="宋体" w:hint="default"/>
                <w:sz w:val="20"/>
                <w:szCs w:val="20"/>
              </w:rPr>
            </w:pPr>
            <w:r>
              <w:rPr>
                <w:rFonts w:ascii="宋体"/>
                <w:w w:val="99"/>
                <w:sz w:val="20"/>
              </w:rPr>
              <w:t>0</w:t>
            </w:r>
            <w:r>
              <w:rPr>
                <w:rFonts w:ascii="宋体"/>
                <w:sz w:val="20"/>
              </w:rPr>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3"/>
              <w:jc w:val="center"/>
              <w:rPr>
                <w:rFonts w:ascii="宋体" w:hAnsi="宋体" w:cs="宋体" w:eastAsia="宋体" w:hint="default"/>
                <w:sz w:val="20"/>
                <w:szCs w:val="20"/>
              </w:rPr>
            </w:pPr>
            <w:r>
              <w:rPr>
                <w:rFonts w:ascii="宋体"/>
                <w:sz w:val="20"/>
              </w:rPr>
              <w:t>1,610,541,728</w:t>
            </w:r>
          </w:p>
        </w:tc>
        <w:tc>
          <w:tcPr>
            <w:tcW w:w="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0"/>
              <w:jc w:val="center"/>
              <w:rPr>
                <w:rFonts w:ascii="宋体" w:hAnsi="宋体" w:cs="宋体" w:eastAsia="宋体" w:hint="default"/>
                <w:sz w:val="20"/>
                <w:szCs w:val="20"/>
              </w:rPr>
            </w:pPr>
            <w:r>
              <w:rPr>
                <w:rFonts w:ascii="宋体"/>
                <w:sz w:val="20"/>
              </w:rPr>
              <w:t>5.2</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0"/>
              <w:jc w:val="center"/>
              <w:rPr>
                <w:rFonts w:ascii="宋体" w:hAnsi="宋体" w:cs="宋体" w:eastAsia="宋体" w:hint="default"/>
                <w:sz w:val="20"/>
                <w:szCs w:val="20"/>
              </w:rPr>
            </w:pPr>
            <w:r>
              <w:rPr>
                <w:rFonts w:ascii="宋体"/>
                <w:sz w:val="20"/>
              </w:rPr>
              <w:t>1,610,541,728</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
              <w:jc w:val="center"/>
              <w:rPr>
                <w:rFonts w:ascii="宋体" w:hAnsi="宋体" w:cs="宋体" w:eastAsia="宋体" w:hint="default"/>
                <w:sz w:val="20"/>
                <w:szCs w:val="20"/>
              </w:rPr>
            </w:pPr>
            <w:r>
              <w:rPr>
                <w:rFonts w:ascii="宋体" w:hAnsi="宋体" w:cs="宋体" w:eastAsia="宋体" w:hint="default"/>
                <w:w w:val="99"/>
                <w:sz w:val="20"/>
                <w:szCs w:val="20"/>
              </w:rPr>
              <w:t>无</w:t>
            </w:r>
            <w:r>
              <w:rPr>
                <w:rFonts w:ascii="宋体" w:hAnsi="宋体" w:cs="宋体" w:eastAsia="宋体" w:hint="default"/>
                <w:sz w:val="20"/>
                <w:szCs w:val="20"/>
              </w:rPr>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
              <w:jc w:val="center"/>
              <w:rPr>
                <w:rFonts w:ascii="宋体" w:hAnsi="宋体" w:cs="宋体" w:eastAsia="宋体" w:hint="default"/>
                <w:sz w:val="20"/>
                <w:szCs w:val="20"/>
              </w:rPr>
            </w:pPr>
            <w:r>
              <w:rPr>
                <w:rFonts w:ascii="宋体"/>
                <w:w w:val="99"/>
                <w:sz w:val="20"/>
              </w:rPr>
              <w:t>0</w:t>
            </w:r>
            <w:r>
              <w:rPr>
                <w:rFonts w:ascii="宋体"/>
                <w:sz w:val="20"/>
              </w:rPr>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177" w:right="0"/>
              <w:jc w:val="left"/>
              <w:rPr>
                <w:rFonts w:ascii="宋体" w:hAnsi="宋体" w:cs="宋体" w:eastAsia="宋体" w:hint="default"/>
                <w:sz w:val="20"/>
                <w:szCs w:val="20"/>
              </w:rPr>
            </w:pPr>
            <w:r>
              <w:rPr>
                <w:rFonts w:ascii="宋体" w:hAnsi="宋体" w:cs="宋体" w:eastAsia="宋体" w:hint="default"/>
                <w:sz w:val="20"/>
                <w:szCs w:val="20"/>
              </w:rPr>
              <w:t>未知</w:t>
            </w:r>
          </w:p>
        </w:tc>
      </w:tr>
      <w:tr>
        <w:trPr>
          <w:trHeight w:val="946"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嘉兴小度投资管理有限公司</w:t>
            </w:r>
          </w:p>
          <w:p>
            <w:pPr>
              <w:pStyle w:val="TableParagraph"/>
              <w:spacing w:line="316" w:lineRule="auto" w:before="76"/>
              <w:ind w:left="103" w:right="101"/>
              <w:jc w:val="left"/>
              <w:rPr>
                <w:rFonts w:ascii="宋体" w:hAnsi="宋体" w:cs="宋体" w:eastAsia="宋体" w:hint="default"/>
                <w:sz w:val="18"/>
                <w:szCs w:val="18"/>
              </w:rPr>
            </w:pPr>
            <w:r>
              <w:rPr>
                <w:rFonts w:ascii="宋体" w:hAnsi="宋体" w:cs="宋体" w:eastAsia="宋体" w:hint="default"/>
                <w:sz w:val="18"/>
                <w:szCs w:val="18"/>
              </w:rPr>
              <w:t>－宁波梅山保税港区百度鹏 寰投资合伙企业（有限合伙</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2"/>
              <w:jc w:val="center"/>
              <w:rPr>
                <w:rFonts w:ascii="宋体" w:hAnsi="宋体" w:cs="宋体" w:eastAsia="宋体" w:hint="default"/>
                <w:sz w:val="20"/>
                <w:szCs w:val="20"/>
              </w:rPr>
            </w:pPr>
            <w:r>
              <w:rPr>
                <w:rFonts w:ascii="宋体"/>
                <w:w w:val="99"/>
                <w:sz w:val="20"/>
              </w:rPr>
              <w:t>0</w:t>
            </w:r>
            <w:r>
              <w:rPr>
                <w:rFonts w:ascii="宋体"/>
                <w:sz w:val="20"/>
              </w:rPr>
            </w:r>
          </w:p>
          <w:p>
            <w:pPr>
              <w:pStyle w:val="TableParagraph"/>
              <w:spacing w:line="240" w:lineRule="auto" w:before="66"/>
              <w:ind w:left="-114" w:right="0"/>
              <w:jc w:val="left"/>
              <w:rPr>
                <w:rFonts w:ascii="宋体" w:hAnsi="宋体" w:cs="宋体" w:eastAsia="宋体" w:hint="default"/>
                <w:sz w:val="18"/>
                <w:szCs w:val="18"/>
              </w:rPr>
            </w:pPr>
            <w:r>
              <w:rPr>
                <w:rFonts w:ascii="宋体" w:hAnsi="宋体" w:cs="宋体" w:eastAsia="宋体" w:hint="default"/>
                <w:sz w:val="18"/>
                <w:szCs w:val="18"/>
              </w:rPr>
              <w:t>）</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3"/>
              <w:jc w:val="center"/>
              <w:rPr>
                <w:rFonts w:ascii="宋体" w:hAnsi="宋体" w:cs="宋体" w:eastAsia="宋体" w:hint="default"/>
                <w:sz w:val="20"/>
                <w:szCs w:val="20"/>
              </w:rPr>
            </w:pPr>
            <w:r>
              <w:rPr>
                <w:rFonts w:ascii="宋体"/>
                <w:sz w:val="20"/>
              </w:rPr>
              <w:t>1,024,890,190</w:t>
            </w:r>
          </w:p>
        </w:tc>
        <w:tc>
          <w:tcPr>
            <w:tcW w:w="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3.3</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0"/>
                <w:szCs w:val="20"/>
              </w:rPr>
            </w:pPr>
            <w:r>
              <w:rPr>
                <w:rFonts w:ascii="宋体"/>
                <w:sz w:val="20"/>
              </w:rPr>
              <w:t>1,024,890,190</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2"/>
              <w:jc w:val="center"/>
              <w:rPr>
                <w:rFonts w:ascii="宋体" w:hAnsi="宋体" w:cs="宋体" w:eastAsia="宋体" w:hint="default"/>
                <w:sz w:val="20"/>
                <w:szCs w:val="20"/>
              </w:rPr>
            </w:pPr>
            <w:r>
              <w:rPr>
                <w:rFonts w:ascii="宋体" w:hAnsi="宋体" w:cs="宋体" w:eastAsia="宋体" w:hint="default"/>
                <w:w w:val="99"/>
                <w:sz w:val="20"/>
                <w:szCs w:val="20"/>
              </w:rPr>
              <w:t>无</w:t>
            </w:r>
            <w:r>
              <w:rPr>
                <w:rFonts w:ascii="宋体" w:hAnsi="宋体" w:cs="宋体" w:eastAsia="宋体" w:hint="default"/>
                <w:sz w:val="20"/>
                <w:szCs w:val="20"/>
              </w:rPr>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1"/>
              <w:jc w:val="center"/>
              <w:rPr>
                <w:rFonts w:ascii="宋体" w:hAnsi="宋体" w:cs="宋体" w:eastAsia="宋体" w:hint="default"/>
                <w:sz w:val="20"/>
                <w:szCs w:val="20"/>
              </w:rPr>
            </w:pPr>
            <w:r>
              <w:rPr>
                <w:rFonts w:ascii="宋体"/>
                <w:w w:val="99"/>
                <w:sz w:val="20"/>
              </w:rPr>
              <w:t>0</w:t>
            </w:r>
            <w:r>
              <w:rPr>
                <w:rFonts w:ascii="宋体"/>
                <w:sz w:val="20"/>
              </w:rPr>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177" w:right="0"/>
              <w:jc w:val="left"/>
              <w:rPr>
                <w:rFonts w:ascii="宋体" w:hAnsi="宋体" w:cs="宋体" w:eastAsia="宋体" w:hint="default"/>
                <w:sz w:val="20"/>
                <w:szCs w:val="20"/>
              </w:rPr>
            </w:pPr>
            <w:r>
              <w:rPr>
                <w:rFonts w:ascii="宋体" w:hAnsi="宋体" w:cs="宋体" w:eastAsia="宋体" w:hint="default"/>
                <w:sz w:val="20"/>
                <w:szCs w:val="20"/>
              </w:rPr>
              <w:t>未知</w:t>
            </w:r>
          </w:p>
        </w:tc>
      </w:tr>
      <w:tr>
        <w:trPr>
          <w:trHeight w:val="32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香港中央结算有限公司</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39" w:right="0"/>
              <w:jc w:val="center"/>
              <w:rPr>
                <w:rFonts w:ascii="宋体" w:hAnsi="宋体" w:cs="宋体" w:eastAsia="宋体" w:hint="default"/>
                <w:sz w:val="20"/>
                <w:szCs w:val="20"/>
              </w:rPr>
            </w:pPr>
            <w:r>
              <w:rPr>
                <w:rFonts w:ascii="宋体"/>
                <w:sz w:val="20"/>
              </w:rPr>
              <w:t>437,145,023</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3"/>
              <w:jc w:val="center"/>
              <w:rPr>
                <w:rFonts w:ascii="宋体" w:hAnsi="宋体" w:cs="宋体" w:eastAsia="宋体" w:hint="default"/>
                <w:sz w:val="20"/>
                <w:szCs w:val="20"/>
              </w:rPr>
            </w:pPr>
            <w:r>
              <w:rPr>
                <w:rFonts w:ascii="宋体"/>
                <w:sz w:val="20"/>
              </w:rPr>
              <w:t>801,517,445</w:t>
            </w:r>
          </w:p>
        </w:tc>
        <w:tc>
          <w:tcPr>
            <w:tcW w:w="66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0"/>
              <w:jc w:val="center"/>
              <w:rPr>
                <w:rFonts w:ascii="宋体" w:hAnsi="宋体" w:cs="宋体" w:eastAsia="宋体" w:hint="default"/>
                <w:sz w:val="20"/>
                <w:szCs w:val="20"/>
              </w:rPr>
            </w:pPr>
            <w:r>
              <w:rPr>
                <w:rFonts w:ascii="宋体"/>
                <w:sz w:val="20"/>
              </w:rPr>
              <w:t>2.6</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1"/>
              <w:jc w:val="center"/>
              <w:rPr>
                <w:rFonts w:ascii="宋体" w:hAnsi="宋体" w:cs="宋体" w:eastAsia="宋体" w:hint="default"/>
                <w:sz w:val="20"/>
                <w:szCs w:val="20"/>
              </w:rPr>
            </w:pPr>
            <w:r>
              <w:rPr>
                <w:rFonts w:ascii="宋体"/>
                <w:w w:val="99"/>
                <w:sz w:val="20"/>
              </w:rPr>
              <w:t>0</w:t>
            </w:r>
            <w:r>
              <w:rPr>
                <w:rFonts w:ascii="宋体"/>
                <w:sz w:val="20"/>
              </w:rPr>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
              <w:jc w:val="center"/>
              <w:rPr>
                <w:rFonts w:ascii="宋体" w:hAnsi="宋体" w:cs="宋体" w:eastAsia="宋体" w:hint="default"/>
                <w:sz w:val="20"/>
                <w:szCs w:val="20"/>
              </w:rPr>
            </w:pPr>
            <w:r>
              <w:rPr>
                <w:rFonts w:ascii="宋体" w:hAnsi="宋体" w:cs="宋体" w:eastAsia="宋体" w:hint="default"/>
                <w:w w:val="99"/>
                <w:sz w:val="20"/>
                <w:szCs w:val="20"/>
              </w:rPr>
              <w:t>无</w:t>
            </w:r>
            <w:r>
              <w:rPr>
                <w:rFonts w:ascii="宋体" w:hAnsi="宋体" w:cs="宋体" w:eastAsia="宋体" w:hint="default"/>
                <w:sz w:val="20"/>
                <w:szCs w:val="20"/>
              </w:rPr>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1"/>
              <w:jc w:val="center"/>
              <w:rPr>
                <w:rFonts w:ascii="宋体" w:hAnsi="宋体" w:cs="宋体" w:eastAsia="宋体" w:hint="default"/>
                <w:sz w:val="20"/>
                <w:szCs w:val="20"/>
              </w:rPr>
            </w:pPr>
            <w:r>
              <w:rPr>
                <w:rFonts w:ascii="宋体"/>
                <w:w w:val="99"/>
                <w:sz w:val="20"/>
              </w:rPr>
              <w:t>0</w:t>
            </w:r>
            <w:r>
              <w:rPr>
                <w:rFonts w:ascii="宋体"/>
                <w:sz w:val="20"/>
              </w:rPr>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77" w:right="0"/>
              <w:jc w:val="left"/>
              <w:rPr>
                <w:rFonts w:ascii="宋体" w:hAnsi="宋体" w:cs="宋体" w:eastAsia="宋体" w:hint="default"/>
                <w:sz w:val="20"/>
                <w:szCs w:val="20"/>
              </w:rPr>
            </w:pPr>
            <w:r>
              <w:rPr>
                <w:rFonts w:ascii="宋体" w:hAnsi="宋体" w:cs="宋体" w:eastAsia="宋体" w:hint="default"/>
                <w:sz w:val="20"/>
                <w:szCs w:val="20"/>
              </w:rPr>
              <w:t>未知</w:t>
            </w:r>
          </w:p>
        </w:tc>
      </w:tr>
      <w:tr>
        <w:trPr>
          <w:trHeight w:val="634"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宿迁京东三弘企业管理中心</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（有限合伙）</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
              <w:jc w:val="center"/>
              <w:rPr>
                <w:rFonts w:ascii="宋体" w:hAnsi="宋体" w:cs="宋体" w:eastAsia="宋体" w:hint="default"/>
                <w:sz w:val="20"/>
                <w:szCs w:val="20"/>
              </w:rPr>
            </w:pPr>
            <w:r>
              <w:rPr>
                <w:rFonts w:ascii="宋体"/>
                <w:w w:val="99"/>
                <w:sz w:val="20"/>
              </w:rPr>
              <w:t>0</w:t>
            </w:r>
            <w:r>
              <w:rPr>
                <w:rFonts w:ascii="宋体"/>
                <w:sz w:val="20"/>
              </w:rPr>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3"/>
              <w:jc w:val="center"/>
              <w:rPr>
                <w:rFonts w:ascii="宋体" w:hAnsi="宋体" w:cs="宋体" w:eastAsia="宋体" w:hint="default"/>
                <w:sz w:val="20"/>
                <w:szCs w:val="20"/>
              </w:rPr>
            </w:pPr>
            <w:r>
              <w:rPr>
                <w:rFonts w:ascii="宋体"/>
                <w:sz w:val="20"/>
              </w:rPr>
              <w:t>732,064,421</w:t>
            </w:r>
          </w:p>
        </w:tc>
        <w:tc>
          <w:tcPr>
            <w:tcW w:w="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0"/>
              <w:jc w:val="center"/>
              <w:rPr>
                <w:rFonts w:ascii="宋体" w:hAnsi="宋体" w:cs="宋体" w:eastAsia="宋体" w:hint="default"/>
                <w:sz w:val="20"/>
                <w:szCs w:val="20"/>
              </w:rPr>
            </w:pPr>
            <w:r>
              <w:rPr>
                <w:rFonts w:ascii="宋体"/>
                <w:sz w:val="20"/>
              </w:rPr>
              <w:t>2.4</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0"/>
              <w:jc w:val="center"/>
              <w:rPr>
                <w:rFonts w:ascii="宋体" w:hAnsi="宋体" w:cs="宋体" w:eastAsia="宋体" w:hint="default"/>
                <w:sz w:val="20"/>
                <w:szCs w:val="20"/>
              </w:rPr>
            </w:pPr>
            <w:r>
              <w:rPr>
                <w:rFonts w:ascii="宋体"/>
                <w:sz w:val="20"/>
              </w:rPr>
              <w:t>732,064,421</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
              <w:jc w:val="center"/>
              <w:rPr>
                <w:rFonts w:ascii="宋体" w:hAnsi="宋体" w:cs="宋体" w:eastAsia="宋体" w:hint="default"/>
                <w:sz w:val="20"/>
                <w:szCs w:val="20"/>
              </w:rPr>
            </w:pPr>
            <w:r>
              <w:rPr>
                <w:rFonts w:ascii="宋体" w:hAnsi="宋体" w:cs="宋体" w:eastAsia="宋体" w:hint="default"/>
                <w:w w:val="99"/>
                <w:sz w:val="20"/>
                <w:szCs w:val="20"/>
              </w:rPr>
              <w:t>无</w:t>
            </w:r>
            <w:r>
              <w:rPr>
                <w:rFonts w:ascii="宋体" w:hAnsi="宋体" w:cs="宋体" w:eastAsia="宋体" w:hint="default"/>
                <w:sz w:val="20"/>
                <w:szCs w:val="20"/>
              </w:rPr>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
              <w:jc w:val="center"/>
              <w:rPr>
                <w:rFonts w:ascii="宋体" w:hAnsi="宋体" w:cs="宋体" w:eastAsia="宋体" w:hint="default"/>
                <w:sz w:val="20"/>
                <w:szCs w:val="20"/>
              </w:rPr>
            </w:pPr>
            <w:r>
              <w:rPr>
                <w:rFonts w:ascii="宋体"/>
                <w:w w:val="99"/>
                <w:sz w:val="20"/>
              </w:rPr>
              <w:t>0</w:t>
            </w:r>
            <w:r>
              <w:rPr>
                <w:rFonts w:ascii="宋体"/>
                <w:sz w:val="20"/>
              </w:rPr>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177" w:right="0"/>
              <w:jc w:val="left"/>
              <w:rPr>
                <w:rFonts w:ascii="宋体" w:hAnsi="宋体" w:cs="宋体" w:eastAsia="宋体" w:hint="default"/>
                <w:sz w:val="20"/>
                <w:szCs w:val="20"/>
              </w:rPr>
            </w:pPr>
            <w:r>
              <w:rPr>
                <w:rFonts w:ascii="宋体" w:hAnsi="宋体" w:cs="宋体" w:eastAsia="宋体" w:hint="default"/>
                <w:sz w:val="20"/>
                <w:szCs w:val="20"/>
              </w:rPr>
              <w:t>未知</w:t>
            </w:r>
          </w:p>
        </w:tc>
      </w:tr>
      <w:tr>
        <w:trPr>
          <w:trHeight w:val="32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杭州阿里创业投资有限公司</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
              <w:jc w:val="center"/>
              <w:rPr>
                <w:rFonts w:ascii="宋体" w:hAnsi="宋体" w:cs="宋体" w:eastAsia="宋体" w:hint="default"/>
                <w:sz w:val="20"/>
                <w:szCs w:val="20"/>
              </w:rPr>
            </w:pPr>
            <w:r>
              <w:rPr>
                <w:rFonts w:ascii="宋体"/>
                <w:w w:val="99"/>
                <w:sz w:val="20"/>
              </w:rPr>
              <w:t>0</w:t>
            </w:r>
            <w:r>
              <w:rPr>
                <w:rFonts w:ascii="宋体"/>
                <w:sz w:val="20"/>
              </w:rPr>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3"/>
              <w:jc w:val="center"/>
              <w:rPr>
                <w:rFonts w:ascii="宋体" w:hAnsi="宋体" w:cs="宋体" w:eastAsia="宋体" w:hint="default"/>
                <w:sz w:val="20"/>
                <w:szCs w:val="20"/>
              </w:rPr>
            </w:pPr>
            <w:r>
              <w:rPr>
                <w:rFonts w:ascii="宋体"/>
                <w:sz w:val="20"/>
              </w:rPr>
              <w:t>633,254,734</w:t>
            </w:r>
          </w:p>
        </w:tc>
        <w:tc>
          <w:tcPr>
            <w:tcW w:w="66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0"/>
              <w:jc w:val="center"/>
              <w:rPr>
                <w:rFonts w:ascii="宋体" w:hAnsi="宋体" w:cs="宋体" w:eastAsia="宋体" w:hint="default"/>
                <w:sz w:val="20"/>
                <w:szCs w:val="20"/>
              </w:rPr>
            </w:pPr>
            <w:r>
              <w:rPr>
                <w:rFonts w:ascii="宋体"/>
                <w:sz w:val="20"/>
              </w:rPr>
              <w:t>2.0</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0"/>
              <w:jc w:val="center"/>
              <w:rPr>
                <w:rFonts w:ascii="宋体" w:hAnsi="宋体" w:cs="宋体" w:eastAsia="宋体" w:hint="default"/>
                <w:sz w:val="20"/>
                <w:szCs w:val="20"/>
              </w:rPr>
            </w:pPr>
            <w:r>
              <w:rPr>
                <w:rFonts w:ascii="宋体"/>
                <w:sz w:val="20"/>
              </w:rPr>
              <w:t>633,254,734</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
              <w:jc w:val="center"/>
              <w:rPr>
                <w:rFonts w:ascii="宋体" w:hAnsi="宋体" w:cs="宋体" w:eastAsia="宋体" w:hint="default"/>
                <w:sz w:val="20"/>
                <w:szCs w:val="20"/>
              </w:rPr>
            </w:pPr>
            <w:r>
              <w:rPr>
                <w:rFonts w:ascii="宋体" w:hAnsi="宋体" w:cs="宋体" w:eastAsia="宋体" w:hint="default"/>
                <w:w w:val="99"/>
                <w:sz w:val="20"/>
                <w:szCs w:val="20"/>
              </w:rPr>
              <w:t>无</w:t>
            </w:r>
            <w:r>
              <w:rPr>
                <w:rFonts w:ascii="宋体" w:hAnsi="宋体" w:cs="宋体" w:eastAsia="宋体" w:hint="default"/>
                <w:sz w:val="20"/>
                <w:szCs w:val="20"/>
              </w:rPr>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1"/>
              <w:jc w:val="center"/>
              <w:rPr>
                <w:rFonts w:ascii="宋体" w:hAnsi="宋体" w:cs="宋体" w:eastAsia="宋体" w:hint="default"/>
                <w:sz w:val="20"/>
                <w:szCs w:val="20"/>
              </w:rPr>
            </w:pPr>
            <w:r>
              <w:rPr>
                <w:rFonts w:ascii="宋体"/>
                <w:w w:val="99"/>
                <w:sz w:val="20"/>
              </w:rPr>
              <w:t>0</w:t>
            </w:r>
            <w:r>
              <w:rPr>
                <w:rFonts w:ascii="宋体"/>
                <w:sz w:val="20"/>
              </w:rPr>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77" w:right="0"/>
              <w:jc w:val="left"/>
              <w:rPr>
                <w:rFonts w:ascii="宋体" w:hAnsi="宋体" w:cs="宋体" w:eastAsia="宋体" w:hint="default"/>
                <w:sz w:val="20"/>
                <w:szCs w:val="20"/>
              </w:rPr>
            </w:pPr>
            <w:r>
              <w:rPr>
                <w:rFonts w:ascii="宋体" w:hAnsi="宋体" w:cs="宋体" w:eastAsia="宋体" w:hint="default"/>
                <w:sz w:val="20"/>
                <w:szCs w:val="20"/>
              </w:rPr>
              <w:t>未知</w:t>
            </w:r>
          </w:p>
        </w:tc>
      </w:tr>
      <w:tr>
        <w:trPr>
          <w:trHeight w:val="324"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苏宁易购集团股份有限公司</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
              <w:jc w:val="center"/>
              <w:rPr>
                <w:rFonts w:ascii="宋体" w:hAnsi="宋体" w:cs="宋体" w:eastAsia="宋体" w:hint="default"/>
                <w:sz w:val="20"/>
                <w:szCs w:val="20"/>
              </w:rPr>
            </w:pPr>
            <w:r>
              <w:rPr>
                <w:rFonts w:ascii="宋体"/>
                <w:w w:val="99"/>
                <w:sz w:val="20"/>
              </w:rPr>
              <w:t>0</w:t>
            </w:r>
            <w:r>
              <w:rPr>
                <w:rFonts w:ascii="宋体"/>
                <w:sz w:val="20"/>
              </w:rPr>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3"/>
              <w:jc w:val="center"/>
              <w:rPr>
                <w:rFonts w:ascii="宋体" w:hAnsi="宋体" w:cs="宋体" w:eastAsia="宋体" w:hint="default"/>
                <w:sz w:val="20"/>
                <w:szCs w:val="20"/>
              </w:rPr>
            </w:pPr>
            <w:r>
              <w:rPr>
                <w:rFonts w:ascii="宋体"/>
                <w:sz w:val="20"/>
              </w:rPr>
              <w:t>585,651,537</w:t>
            </w:r>
          </w:p>
        </w:tc>
        <w:tc>
          <w:tcPr>
            <w:tcW w:w="663"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0"/>
              <w:jc w:val="center"/>
              <w:rPr>
                <w:rFonts w:ascii="宋体" w:hAnsi="宋体" w:cs="宋体" w:eastAsia="宋体" w:hint="default"/>
                <w:sz w:val="20"/>
                <w:szCs w:val="20"/>
              </w:rPr>
            </w:pPr>
            <w:r>
              <w:rPr>
                <w:rFonts w:ascii="宋体"/>
                <w:sz w:val="20"/>
              </w:rPr>
              <w:t>1.9</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0"/>
              <w:jc w:val="center"/>
              <w:rPr>
                <w:rFonts w:ascii="宋体" w:hAnsi="宋体" w:cs="宋体" w:eastAsia="宋体" w:hint="default"/>
                <w:sz w:val="20"/>
                <w:szCs w:val="20"/>
              </w:rPr>
            </w:pPr>
            <w:r>
              <w:rPr>
                <w:rFonts w:ascii="宋体"/>
                <w:sz w:val="20"/>
              </w:rPr>
              <w:t>585,651,537</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3"/>
              <w:jc w:val="center"/>
              <w:rPr>
                <w:rFonts w:ascii="宋体" w:hAnsi="宋体" w:cs="宋体" w:eastAsia="宋体" w:hint="default"/>
                <w:sz w:val="20"/>
                <w:szCs w:val="20"/>
              </w:rPr>
            </w:pPr>
            <w:r>
              <w:rPr>
                <w:rFonts w:ascii="宋体" w:hAnsi="宋体" w:cs="宋体" w:eastAsia="宋体" w:hint="default"/>
                <w:sz w:val="20"/>
                <w:szCs w:val="20"/>
              </w:rPr>
              <w:t>质押</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0"/>
              <w:jc w:val="center"/>
              <w:rPr>
                <w:rFonts w:ascii="宋体" w:hAnsi="宋体" w:cs="宋体" w:eastAsia="宋体" w:hint="default"/>
                <w:sz w:val="20"/>
                <w:szCs w:val="20"/>
              </w:rPr>
            </w:pPr>
            <w:r>
              <w:rPr>
                <w:rFonts w:ascii="宋体"/>
                <w:sz w:val="20"/>
              </w:rPr>
              <w:t>585,651,537</w:t>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77" w:right="0"/>
              <w:jc w:val="left"/>
              <w:rPr>
                <w:rFonts w:ascii="宋体" w:hAnsi="宋体" w:cs="宋体" w:eastAsia="宋体" w:hint="default"/>
                <w:sz w:val="20"/>
                <w:szCs w:val="20"/>
              </w:rPr>
            </w:pPr>
            <w:r>
              <w:rPr>
                <w:rFonts w:ascii="宋体" w:hAnsi="宋体" w:cs="宋体" w:eastAsia="宋体" w:hint="default"/>
                <w:sz w:val="20"/>
                <w:szCs w:val="20"/>
              </w:rPr>
              <w:t>未知</w:t>
            </w:r>
          </w:p>
        </w:tc>
      </w:tr>
      <w:tr>
        <w:trPr>
          <w:trHeight w:val="634"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63"/>
              <w:jc w:val="left"/>
              <w:rPr>
                <w:rFonts w:ascii="宋体" w:hAnsi="宋体" w:cs="宋体" w:eastAsia="宋体" w:hint="default"/>
                <w:sz w:val="20"/>
                <w:szCs w:val="20"/>
              </w:rPr>
            </w:pPr>
            <w:r>
              <w:rPr>
                <w:rFonts w:ascii="宋体" w:hAnsi="宋体" w:cs="宋体" w:eastAsia="宋体" w:hint="default"/>
                <w:sz w:val="20"/>
                <w:szCs w:val="20"/>
              </w:rPr>
              <w:t>深圳淮海方舟信息产业股</w:t>
            </w:r>
            <w:r>
              <w:rPr>
                <w:rFonts w:ascii="宋体" w:hAnsi="宋体" w:cs="宋体" w:eastAsia="宋体" w:hint="default"/>
                <w:w w:val="99"/>
                <w:sz w:val="20"/>
                <w:szCs w:val="20"/>
              </w:rPr>
              <w:t> </w:t>
            </w:r>
            <w:r>
              <w:rPr>
                <w:rFonts w:ascii="宋体" w:hAnsi="宋体" w:cs="宋体" w:eastAsia="宋体" w:hint="default"/>
                <w:sz w:val="20"/>
                <w:szCs w:val="20"/>
              </w:rPr>
              <w:t>权投资基金（有限合伙）</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
              <w:jc w:val="center"/>
              <w:rPr>
                <w:rFonts w:ascii="宋体" w:hAnsi="宋体" w:cs="宋体" w:eastAsia="宋体" w:hint="default"/>
                <w:sz w:val="20"/>
                <w:szCs w:val="20"/>
              </w:rPr>
            </w:pPr>
            <w:r>
              <w:rPr>
                <w:rFonts w:ascii="宋体"/>
                <w:w w:val="99"/>
                <w:sz w:val="20"/>
              </w:rPr>
              <w:t>0</w:t>
            </w:r>
            <w:r>
              <w:rPr>
                <w:rFonts w:ascii="宋体"/>
                <w:sz w:val="20"/>
              </w:rPr>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3"/>
              <w:jc w:val="center"/>
              <w:rPr>
                <w:rFonts w:ascii="宋体" w:hAnsi="宋体" w:cs="宋体" w:eastAsia="宋体" w:hint="default"/>
                <w:sz w:val="20"/>
                <w:szCs w:val="20"/>
              </w:rPr>
            </w:pPr>
            <w:r>
              <w:rPr>
                <w:rFonts w:ascii="宋体"/>
                <w:sz w:val="20"/>
              </w:rPr>
              <w:t>585,651,537</w:t>
            </w:r>
          </w:p>
        </w:tc>
        <w:tc>
          <w:tcPr>
            <w:tcW w:w="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0"/>
              <w:jc w:val="center"/>
              <w:rPr>
                <w:rFonts w:ascii="宋体" w:hAnsi="宋体" w:cs="宋体" w:eastAsia="宋体" w:hint="default"/>
                <w:sz w:val="20"/>
                <w:szCs w:val="20"/>
              </w:rPr>
            </w:pPr>
            <w:r>
              <w:rPr>
                <w:rFonts w:ascii="宋体"/>
                <w:sz w:val="20"/>
              </w:rPr>
              <w:t>1.9</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0"/>
              <w:jc w:val="center"/>
              <w:rPr>
                <w:rFonts w:ascii="宋体" w:hAnsi="宋体" w:cs="宋体" w:eastAsia="宋体" w:hint="default"/>
                <w:sz w:val="20"/>
                <w:szCs w:val="20"/>
              </w:rPr>
            </w:pPr>
            <w:r>
              <w:rPr>
                <w:rFonts w:ascii="宋体"/>
                <w:sz w:val="20"/>
              </w:rPr>
              <w:t>585,651,537</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3"/>
              <w:jc w:val="center"/>
              <w:rPr>
                <w:rFonts w:ascii="宋体" w:hAnsi="宋体" w:cs="宋体" w:eastAsia="宋体" w:hint="default"/>
                <w:sz w:val="20"/>
                <w:szCs w:val="20"/>
              </w:rPr>
            </w:pPr>
            <w:r>
              <w:rPr>
                <w:rFonts w:ascii="宋体" w:hAnsi="宋体" w:cs="宋体" w:eastAsia="宋体" w:hint="default"/>
                <w:sz w:val="20"/>
                <w:szCs w:val="20"/>
              </w:rPr>
              <w:t>质押</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0"/>
              <w:jc w:val="center"/>
              <w:rPr>
                <w:rFonts w:ascii="宋体" w:hAnsi="宋体" w:cs="宋体" w:eastAsia="宋体" w:hint="default"/>
                <w:sz w:val="20"/>
                <w:szCs w:val="20"/>
              </w:rPr>
            </w:pPr>
            <w:r>
              <w:rPr>
                <w:rFonts w:ascii="宋体"/>
                <w:sz w:val="20"/>
              </w:rPr>
              <w:t>434,846,266</w:t>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177" w:right="0"/>
              <w:jc w:val="left"/>
              <w:rPr>
                <w:rFonts w:ascii="宋体" w:hAnsi="宋体" w:cs="宋体" w:eastAsia="宋体" w:hint="default"/>
                <w:sz w:val="20"/>
                <w:szCs w:val="20"/>
              </w:rPr>
            </w:pPr>
            <w:r>
              <w:rPr>
                <w:rFonts w:ascii="宋体" w:hAnsi="宋体" w:cs="宋体" w:eastAsia="宋体" w:hint="default"/>
                <w:sz w:val="20"/>
                <w:szCs w:val="20"/>
              </w:rPr>
              <w:t>未知</w:t>
            </w:r>
          </w:p>
        </w:tc>
      </w:tr>
      <w:tr>
        <w:trPr>
          <w:trHeight w:val="634"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281"/>
              <w:jc w:val="left"/>
              <w:rPr>
                <w:rFonts w:ascii="宋体" w:hAnsi="宋体" w:cs="宋体" w:eastAsia="宋体" w:hint="default"/>
                <w:sz w:val="18"/>
                <w:szCs w:val="18"/>
              </w:rPr>
            </w:pPr>
            <w:r>
              <w:rPr>
                <w:rFonts w:ascii="宋体" w:hAnsi="宋体" w:cs="宋体" w:eastAsia="宋体" w:hint="default"/>
                <w:sz w:val="18"/>
                <w:szCs w:val="18"/>
              </w:rPr>
              <w:t>深圳光启互联技术投资合 伙企业（有限合伙）</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
              <w:jc w:val="center"/>
              <w:rPr>
                <w:rFonts w:ascii="宋体" w:hAnsi="宋体" w:cs="宋体" w:eastAsia="宋体" w:hint="default"/>
                <w:sz w:val="20"/>
                <w:szCs w:val="20"/>
              </w:rPr>
            </w:pPr>
            <w:r>
              <w:rPr>
                <w:rFonts w:ascii="宋体"/>
                <w:w w:val="99"/>
                <w:sz w:val="20"/>
              </w:rPr>
              <w:t>0</w:t>
            </w:r>
            <w:r>
              <w:rPr>
                <w:rFonts w:ascii="宋体"/>
                <w:sz w:val="20"/>
              </w:rPr>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3"/>
              <w:jc w:val="center"/>
              <w:rPr>
                <w:rFonts w:ascii="宋体" w:hAnsi="宋体" w:cs="宋体" w:eastAsia="宋体" w:hint="default"/>
                <w:sz w:val="20"/>
                <w:szCs w:val="20"/>
              </w:rPr>
            </w:pPr>
            <w:r>
              <w:rPr>
                <w:rFonts w:ascii="宋体"/>
                <w:sz w:val="20"/>
              </w:rPr>
              <w:t>585,651,537</w:t>
            </w:r>
          </w:p>
        </w:tc>
        <w:tc>
          <w:tcPr>
            <w:tcW w:w="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0"/>
              <w:jc w:val="center"/>
              <w:rPr>
                <w:rFonts w:ascii="宋体" w:hAnsi="宋体" w:cs="宋体" w:eastAsia="宋体" w:hint="default"/>
                <w:sz w:val="20"/>
                <w:szCs w:val="20"/>
              </w:rPr>
            </w:pPr>
            <w:r>
              <w:rPr>
                <w:rFonts w:ascii="宋体"/>
                <w:sz w:val="20"/>
              </w:rPr>
              <w:t>1.9</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0"/>
              <w:jc w:val="center"/>
              <w:rPr>
                <w:rFonts w:ascii="宋体" w:hAnsi="宋体" w:cs="宋体" w:eastAsia="宋体" w:hint="default"/>
                <w:sz w:val="20"/>
                <w:szCs w:val="20"/>
              </w:rPr>
            </w:pPr>
            <w:r>
              <w:rPr>
                <w:rFonts w:ascii="宋体"/>
                <w:sz w:val="20"/>
              </w:rPr>
              <w:t>585,651,537</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3"/>
              <w:jc w:val="center"/>
              <w:rPr>
                <w:rFonts w:ascii="宋体" w:hAnsi="宋体" w:cs="宋体" w:eastAsia="宋体" w:hint="default"/>
                <w:sz w:val="20"/>
                <w:szCs w:val="20"/>
              </w:rPr>
            </w:pPr>
            <w:r>
              <w:rPr>
                <w:rFonts w:ascii="宋体" w:hAnsi="宋体" w:cs="宋体" w:eastAsia="宋体" w:hint="default"/>
                <w:sz w:val="20"/>
                <w:szCs w:val="20"/>
              </w:rPr>
              <w:t>质押</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0"/>
              <w:jc w:val="center"/>
              <w:rPr>
                <w:rFonts w:ascii="宋体" w:hAnsi="宋体" w:cs="宋体" w:eastAsia="宋体" w:hint="default"/>
                <w:sz w:val="20"/>
                <w:szCs w:val="20"/>
              </w:rPr>
            </w:pPr>
            <w:r>
              <w:rPr>
                <w:rFonts w:ascii="宋体"/>
                <w:sz w:val="20"/>
              </w:rPr>
              <w:t>262,080,000</w:t>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177" w:right="0"/>
              <w:jc w:val="left"/>
              <w:rPr>
                <w:rFonts w:ascii="宋体" w:hAnsi="宋体" w:cs="宋体" w:eastAsia="宋体" w:hint="default"/>
                <w:sz w:val="20"/>
                <w:szCs w:val="20"/>
              </w:rPr>
            </w:pPr>
            <w:r>
              <w:rPr>
                <w:rFonts w:ascii="宋体" w:hAnsi="宋体" w:cs="宋体" w:eastAsia="宋体" w:hint="default"/>
                <w:sz w:val="20"/>
                <w:szCs w:val="20"/>
              </w:rPr>
              <w:t>未知</w:t>
            </w:r>
          </w:p>
        </w:tc>
      </w:tr>
      <w:tr>
        <w:trPr>
          <w:trHeight w:val="634"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中央汇金资产管理有限责任 公司</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
              <w:jc w:val="center"/>
              <w:rPr>
                <w:rFonts w:ascii="宋体" w:hAnsi="宋体" w:cs="宋体" w:eastAsia="宋体" w:hint="default"/>
                <w:sz w:val="20"/>
                <w:szCs w:val="20"/>
              </w:rPr>
            </w:pPr>
            <w:r>
              <w:rPr>
                <w:rFonts w:ascii="宋体"/>
                <w:w w:val="99"/>
                <w:sz w:val="20"/>
              </w:rPr>
              <w:t>0</w:t>
            </w:r>
            <w:r>
              <w:rPr>
                <w:rFonts w:ascii="宋体"/>
                <w:sz w:val="20"/>
              </w:rPr>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3"/>
              <w:jc w:val="center"/>
              <w:rPr>
                <w:rFonts w:ascii="宋体" w:hAnsi="宋体" w:cs="宋体" w:eastAsia="宋体" w:hint="default"/>
                <w:sz w:val="20"/>
                <w:szCs w:val="20"/>
              </w:rPr>
            </w:pPr>
            <w:r>
              <w:rPr>
                <w:rFonts w:ascii="宋体"/>
                <w:sz w:val="20"/>
              </w:rPr>
              <w:t>288,488,300</w:t>
            </w:r>
          </w:p>
        </w:tc>
        <w:tc>
          <w:tcPr>
            <w:tcW w:w="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0"/>
              <w:jc w:val="center"/>
              <w:rPr>
                <w:rFonts w:ascii="宋体" w:hAnsi="宋体" w:cs="宋体" w:eastAsia="宋体" w:hint="default"/>
                <w:sz w:val="20"/>
                <w:szCs w:val="20"/>
              </w:rPr>
            </w:pPr>
            <w:r>
              <w:rPr>
                <w:rFonts w:ascii="宋体"/>
                <w:sz w:val="20"/>
              </w:rPr>
              <w:t>0.9</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
              <w:jc w:val="center"/>
              <w:rPr>
                <w:rFonts w:ascii="宋体" w:hAnsi="宋体" w:cs="宋体" w:eastAsia="宋体" w:hint="default"/>
                <w:sz w:val="20"/>
                <w:szCs w:val="20"/>
              </w:rPr>
            </w:pPr>
            <w:r>
              <w:rPr>
                <w:rFonts w:ascii="宋体"/>
                <w:w w:val="99"/>
                <w:sz w:val="20"/>
              </w:rPr>
              <w:t>0</w:t>
            </w:r>
            <w:r>
              <w:rPr>
                <w:rFonts w:ascii="宋体"/>
                <w:sz w:val="20"/>
              </w:rPr>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
              <w:jc w:val="center"/>
              <w:rPr>
                <w:rFonts w:ascii="宋体" w:hAnsi="宋体" w:cs="宋体" w:eastAsia="宋体" w:hint="default"/>
                <w:sz w:val="20"/>
                <w:szCs w:val="20"/>
              </w:rPr>
            </w:pPr>
            <w:r>
              <w:rPr>
                <w:rFonts w:ascii="宋体" w:hAnsi="宋体" w:cs="宋体" w:eastAsia="宋体" w:hint="default"/>
                <w:w w:val="99"/>
                <w:sz w:val="20"/>
                <w:szCs w:val="20"/>
              </w:rPr>
              <w:t>无</w:t>
            </w:r>
            <w:r>
              <w:rPr>
                <w:rFonts w:ascii="宋体" w:hAnsi="宋体" w:cs="宋体" w:eastAsia="宋体" w:hint="default"/>
                <w:sz w:val="20"/>
                <w:szCs w:val="20"/>
              </w:rPr>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
              <w:jc w:val="center"/>
              <w:rPr>
                <w:rFonts w:ascii="宋体" w:hAnsi="宋体" w:cs="宋体" w:eastAsia="宋体" w:hint="default"/>
                <w:sz w:val="20"/>
                <w:szCs w:val="20"/>
              </w:rPr>
            </w:pPr>
            <w:r>
              <w:rPr>
                <w:rFonts w:ascii="宋体"/>
                <w:w w:val="99"/>
                <w:sz w:val="20"/>
              </w:rPr>
              <w:t>0</w:t>
            </w:r>
            <w:r>
              <w:rPr>
                <w:rFonts w:ascii="宋体"/>
                <w:sz w:val="20"/>
              </w:rPr>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177" w:right="0"/>
              <w:jc w:val="left"/>
              <w:rPr>
                <w:rFonts w:ascii="宋体" w:hAnsi="宋体" w:cs="宋体" w:eastAsia="宋体" w:hint="default"/>
                <w:sz w:val="20"/>
                <w:szCs w:val="20"/>
              </w:rPr>
            </w:pPr>
            <w:r>
              <w:rPr>
                <w:rFonts w:ascii="宋体" w:hAnsi="宋体" w:cs="宋体" w:eastAsia="宋体" w:hint="default"/>
                <w:sz w:val="20"/>
                <w:szCs w:val="20"/>
              </w:rPr>
              <w:t>未知</w:t>
            </w:r>
          </w:p>
        </w:tc>
      </w:tr>
      <w:tr>
        <w:trPr>
          <w:trHeight w:val="2818" w:hRule="exact"/>
        </w:trPr>
        <w:tc>
          <w:tcPr>
            <w:tcW w:w="11062"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16" w:lineRule="auto"/>
              <w:ind w:left="103" w:right="141"/>
              <w:jc w:val="left"/>
              <w:rPr>
                <w:rFonts w:ascii="宋体" w:hAnsi="宋体" w:cs="宋体" w:eastAsia="宋体" w:hint="default"/>
                <w:sz w:val="18"/>
                <w:szCs w:val="18"/>
              </w:rPr>
            </w:pPr>
            <w:r>
              <w:rPr>
                <w:rFonts w:ascii="宋体" w:hAnsi="宋体" w:cs="宋体" w:eastAsia="宋体" w:hint="default"/>
                <w:sz w:val="18"/>
                <w:szCs w:val="18"/>
              </w:rPr>
              <w:t>注： </w:t>
            </w:r>
            <w:r>
              <w:rPr>
                <w:rFonts w:ascii="宋体" w:hAnsi="宋体" w:cs="宋体" w:eastAsia="宋体" w:hint="default"/>
                <w:sz w:val="18"/>
                <w:szCs w:val="18"/>
              </w:rPr>
              <w:t>1.</w:t>
            </w:r>
            <w:r>
              <w:rPr>
                <w:rFonts w:ascii="宋体" w:hAnsi="宋体" w:cs="宋体" w:eastAsia="宋体" w:hint="default"/>
                <w:sz w:val="18"/>
                <w:szCs w:val="18"/>
              </w:rPr>
              <w:t>上表数据来源于中国证券登记结算有限责任公司上海分公司（简称“中国结算”）提供的合并普通账户和融资融券信用账户股东名册的 前十大股东信息（简称“本次前十大股东信息”），其中，中国人寿保险股份有限公司（简称“中国人寿”）于</w:t>
            </w:r>
            <w:r>
              <w:rPr>
                <w:rFonts w:ascii="宋体" w:hAnsi="宋体" w:cs="宋体" w:eastAsia="宋体" w:hint="default"/>
                <w:spacing w:val="-43"/>
                <w:sz w:val="18"/>
                <w:szCs w:val="18"/>
              </w:rPr>
              <w:t> </w:t>
            </w: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10</w:t>
            </w:r>
            <w:r>
              <w:rPr>
                <w:rFonts w:ascii="宋体" w:hAnsi="宋体" w:cs="宋体" w:eastAsia="宋体" w:hint="default"/>
                <w:spacing w:val="-44"/>
                <w:sz w:val="18"/>
                <w:szCs w:val="18"/>
              </w:rPr>
              <w:t> </w:t>
            </w:r>
            <w:r>
              <w:rPr>
                <w:rFonts w:ascii="宋体" w:hAnsi="宋体" w:cs="宋体" w:eastAsia="宋体" w:hint="default"/>
                <w:sz w:val="18"/>
                <w:szCs w:val="18"/>
              </w:rPr>
              <w:t>月底通过“中 国人寿保险股份有限公司—传统—普通保险产品—</w:t>
            </w:r>
            <w:r>
              <w:rPr>
                <w:rFonts w:ascii="宋体" w:hAnsi="宋体" w:cs="宋体" w:eastAsia="宋体" w:hint="default"/>
                <w:sz w:val="18"/>
                <w:szCs w:val="18"/>
              </w:rPr>
              <w:t>005L</w:t>
            </w:r>
            <w:r>
              <w:rPr>
                <w:rFonts w:ascii="宋体" w:hAnsi="宋体" w:cs="宋体" w:eastAsia="宋体" w:hint="default"/>
                <w:sz w:val="18"/>
                <w:szCs w:val="18"/>
              </w:rPr>
              <w:t>—</w:t>
            </w:r>
            <w:r>
              <w:rPr>
                <w:rFonts w:ascii="宋体" w:hAnsi="宋体" w:cs="宋体" w:eastAsia="宋体" w:hint="default"/>
                <w:sz w:val="18"/>
                <w:szCs w:val="18"/>
              </w:rPr>
              <w:t>CT001</w:t>
            </w:r>
            <w:r>
              <w:rPr>
                <w:rFonts w:ascii="宋体" w:hAnsi="宋体" w:cs="宋体" w:eastAsia="宋体" w:hint="default"/>
                <w:spacing w:val="-2"/>
                <w:sz w:val="18"/>
                <w:szCs w:val="18"/>
              </w:rPr>
              <w:t> </w:t>
            </w:r>
            <w:r>
              <w:rPr>
                <w:rFonts w:ascii="宋体" w:hAnsi="宋体" w:cs="宋体" w:eastAsia="宋体" w:hint="default"/>
                <w:sz w:val="18"/>
                <w:szCs w:val="18"/>
              </w:rPr>
              <w:t>沪”账户完成本公司非公开发行股份的认购。除上述账户外，中国人寿通 过其自身控制的其他账户合计持有本公司股份约</w:t>
            </w:r>
            <w:r>
              <w:rPr>
                <w:rFonts w:ascii="宋体" w:hAnsi="宋体" w:cs="宋体" w:eastAsia="宋体" w:hint="default"/>
                <w:spacing w:val="-44"/>
                <w:sz w:val="18"/>
                <w:szCs w:val="18"/>
              </w:rPr>
              <w:t> </w:t>
            </w:r>
            <w:r>
              <w:rPr>
                <w:rFonts w:ascii="宋体" w:hAnsi="宋体" w:cs="宋体" w:eastAsia="宋体" w:hint="default"/>
                <w:sz w:val="18"/>
                <w:szCs w:val="18"/>
              </w:rPr>
              <w:t>370</w:t>
            </w:r>
            <w:r>
              <w:rPr>
                <w:rFonts w:ascii="宋体" w:hAnsi="宋体" w:cs="宋体" w:eastAsia="宋体" w:hint="default"/>
                <w:spacing w:val="-44"/>
                <w:sz w:val="18"/>
                <w:szCs w:val="18"/>
              </w:rPr>
              <w:t> </w:t>
            </w:r>
            <w:r>
              <w:rPr>
                <w:rFonts w:ascii="宋体" w:hAnsi="宋体" w:cs="宋体" w:eastAsia="宋体" w:hint="default"/>
                <w:sz w:val="18"/>
                <w:szCs w:val="18"/>
              </w:rPr>
              <w:t>万股。 </w:t>
            </w:r>
            <w:r>
              <w:rPr>
                <w:rFonts w:ascii="宋体" w:hAnsi="宋体" w:cs="宋体" w:eastAsia="宋体" w:hint="default"/>
                <w:sz w:val="18"/>
                <w:szCs w:val="18"/>
              </w:rPr>
              <w:t>2.</w:t>
            </w:r>
            <w:r>
              <w:rPr>
                <w:rFonts w:ascii="宋体" w:hAnsi="宋体" w:cs="宋体" w:eastAsia="宋体" w:hint="default"/>
                <w:sz w:val="18"/>
                <w:szCs w:val="18"/>
              </w:rPr>
              <w:t>前十名无限售条件股东中，包含中国国有企业结构调整基金股份有限公司（简称“结构调整基金”）。公司控股股东中国联合网络通信 集团有限公司于</w:t>
            </w:r>
            <w:r>
              <w:rPr>
                <w:rFonts w:ascii="宋体" w:hAnsi="宋体" w:cs="宋体" w:eastAsia="宋体" w:hint="default"/>
                <w:spacing w:val="-47"/>
                <w:sz w:val="18"/>
                <w:szCs w:val="18"/>
              </w:rPr>
              <w:t> </w:t>
            </w:r>
            <w:r>
              <w:rPr>
                <w:rFonts w:ascii="宋体" w:hAnsi="宋体" w:cs="宋体" w:eastAsia="宋体" w:hint="default"/>
                <w:sz w:val="18"/>
                <w:szCs w:val="18"/>
              </w:rPr>
              <w:t>2017</w:t>
            </w:r>
            <w:r>
              <w:rPr>
                <w:rFonts w:ascii="宋体" w:hAnsi="宋体" w:cs="宋体" w:eastAsia="宋体" w:hint="default"/>
                <w:spacing w:val="-49"/>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7"/>
                <w:sz w:val="18"/>
                <w:szCs w:val="18"/>
              </w:rPr>
              <w:t> </w:t>
            </w:r>
            <w:r>
              <w:rPr>
                <w:rFonts w:ascii="宋体" w:hAnsi="宋体" w:cs="宋体" w:eastAsia="宋体" w:hint="default"/>
                <w:sz w:val="18"/>
                <w:szCs w:val="18"/>
              </w:rPr>
              <w:t>月底向结构调整基金完成协议转让</w:t>
            </w:r>
            <w:r>
              <w:rPr>
                <w:rFonts w:ascii="宋体" w:hAnsi="宋体" w:cs="宋体" w:eastAsia="宋体" w:hint="default"/>
                <w:spacing w:val="-47"/>
                <w:sz w:val="18"/>
                <w:szCs w:val="18"/>
              </w:rPr>
              <w:t> </w:t>
            </w:r>
            <w:r>
              <w:rPr>
                <w:rFonts w:ascii="宋体" w:hAnsi="宋体" w:cs="宋体" w:eastAsia="宋体" w:hint="default"/>
                <w:sz w:val="18"/>
                <w:szCs w:val="18"/>
              </w:rPr>
              <w:t>1,899,764,201</w:t>
            </w:r>
            <w:r>
              <w:rPr>
                <w:rFonts w:ascii="宋体" w:hAnsi="宋体" w:cs="宋体" w:eastAsia="宋体" w:hint="default"/>
                <w:spacing w:val="-45"/>
                <w:sz w:val="18"/>
                <w:szCs w:val="18"/>
              </w:rPr>
              <w:t> </w:t>
            </w:r>
            <w:r>
              <w:rPr>
                <w:rFonts w:ascii="宋体" w:hAnsi="宋体" w:cs="宋体" w:eastAsia="宋体" w:hint="default"/>
                <w:sz w:val="18"/>
                <w:szCs w:val="18"/>
              </w:rPr>
              <w:t>股本公司股份。根据双方《股份转让协议》相关约定，自交</w:t>
            </w:r>
          </w:p>
          <w:p>
            <w:pPr>
              <w:pStyle w:val="TableParagraph"/>
              <w:spacing w:line="240" w:lineRule="auto" w:before="19"/>
              <w:ind w:left="103" w:right="0"/>
              <w:jc w:val="left"/>
              <w:rPr>
                <w:rFonts w:ascii="宋体" w:hAnsi="宋体" w:cs="宋体" w:eastAsia="宋体" w:hint="default"/>
                <w:sz w:val="18"/>
                <w:szCs w:val="18"/>
              </w:rPr>
            </w:pPr>
            <w:r>
              <w:rPr>
                <w:rFonts w:ascii="宋体" w:hAnsi="宋体" w:cs="宋体" w:eastAsia="宋体" w:hint="default"/>
                <w:sz w:val="18"/>
                <w:szCs w:val="18"/>
              </w:rPr>
              <w:t>割日起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4"/>
                <w:sz w:val="18"/>
                <w:szCs w:val="18"/>
              </w:rPr>
              <w:t> </w:t>
            </w:r>
            <w:r>
              <w:rPr>
                <w:rFonts w:ascii="宋体" w:hAnsi="宋体" w:cs="宋体" w:eastAsia="宋体" w:hint="default"/>
                <w:sz w:val="18"/>
                <w:szCs w:val="18"/>
              </w:rPr>
              <w:t>个月内，结构调整基金不得直接或间接转让此次协议转让股份。</w:t>
            </w:r>
          </w:p>
        </w:tc>
      </w:tr>
      <w:tr>
        <w:trPr>
          <w:trHeight w:val="323" w:hRule="exact"/>
        </w:trPr>
        <w:tc>
          <w:tcPr>
            <w:tcW w:w="11062" w:type="dxa"/>
            <w:gridSpan w:val="8"/>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前十名无限售条件股东持股情况</w:t>
            </w:r>
          </w:p>
        </w:tc>
      </w:tr>
      <w:tr>
        <w:trPr>
          <w:trHeight w:val="323" w:hRule="exact"/>
        </w:trPr>
        <w:tc>
          <w:tcPr>
            <w:tcW w:w="3680" w:type="dxa"/>
            <w:gridSpan w:val="2"/>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49"/>
              <w:ind w:right="0"/>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3797" w:type="dxa"/>
            <w:gridSpan w:val="3"/>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49"/>
              <w:ind w:left="527" w:right="0"/>
              <w:jc w:val="left"/>
              <w:rPr>
                <w:rFonts w:ascii="宋体" w:hAnsi="宋体" w:cs="宋体" w:eastAsia="宋体" w:hint="default"/>
                <w:sz w:val="21"/>
                <w:szCs w:val="21"/>
              </w:rPr>
            </w:pPr>
            <w:r>
              <w:rPr>
                <w:rFonts w:ascii="宋体" w:hAnsi="宋体" w:cs="宋体" w:eastAsia="宋体" w:hint="default"/>
                <w:sz w:val="21"/>
                <w:szCs w:val="21"/>
              </w:rPr>
              <w:t>持有无限售条件流通股的数量</w:t>
            </w:r>
          </w:p>
        </w:tc>
        <w:tc>
          <w:tcPr>
            <w:tcW w:w="3584"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left="1051" w:right="0"/>
              <w:jc w:val="left"/>
              <w:rPr>
                <w:rFonts w:ascii="宋体" w:hAnsi="宋体" w:cs="宋体" w:eastAsia="宋体" w:hint="default"/>
                <w:sz w:val="21"/>
                <w:szCs w:val="21"/>
              </w:rPr>
            </w:pPr>
            <w:r>
              <w:rPr>
                <w:rFonts w:ascii="宋体" w:hAnsi="宋体" w:cs="宋体" w:eastAsia="宋体" w:hint="default"/>
                <w:sz w:val="21"/>
                <w:szCs w:val="21"/>
              </w:rPr>
              <w:t>股份种类及数量</w:t>
            </w:r>
          </w:p>
        </w:tc>
      </w:tr>
      <w:tr>
        <w:trPr>
          <w:trHeight w:val="322" w:hRule="exact"/>
        </w:trPr>
        <w:tc>
          <w:tcPr>
            <w:tcW w:w="3680" w:type="dxa"/>
            <w:gridSpan w:val="2"/>
            <w:vMerge/>
            <w:tcBorders>
              <w:left w:val="single" w:sz="4" w:space="0" w:color="000000"/>
              <w:bottom w:val="single" w:sz="4" w:space="0" w:color="000000"/>
              <w:right w:val="single" w:sz="4" w:space="0" w:color="000000"/>
            </w:tcBorders>
            <w:shd w:val="clear" w:color="auto" w:fill="D9D9D9"/>
          </w:tcPr>
          <w:p>
            <w:pPr/>
          </w:p>
        </w:tc>
        <w:tc>
          <w:tcPr>
            <w:tcW w:w="3797" w:type="dxa"/>
            <w:gridSpan w:val="3"/>
            <w:vMerge/>
            <w:tcBorders>
              <w:left w:val="single" w:sz="4" w:space="0" w:color="000000"/>
              <w:bottom w:val="single" w:sz="4" w:space="0" w:color="000000"/>
              <w:right w:val="single" w:sz="4" w:space="0" w:color="000000"/>
            </w:tcBorders>
            <w:shd w:val="clear" w:color="auto" w:fill="D9D9D9"/>
          </w:tcPr>
          <w:p>
            <w:pPr/>
          </w:p>
        </w:tc>
        <w:tc>
          <w:tcPr>
            <w:tcW w:w="14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种类</w:t>
            </w:r>
          </w:p>
        </w:tc>
        <w:tc>
          <w:tcPr>
            <w:tcW w:w="214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数量</w:t>
            </w:r>
          </w:p>
        </w:tc>
      </w:tr>
      <w:tr>
        <w:trPr>
          <w:trHeight w:val="322" w:hRule="exact"/>
        </w:trPr>
        <w:tc>
          <w:tcPr>
            <w:tcW w:w="36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中国联合网络通信集团有限公司</w:t>
            </w:r>
          </w:p>
        </w:tc>
        <w:tc>
          <w:tcPr>
            <w:tcW w:w="3797" w:type="dxa"/>
            <w:gridSpan w:val="3"/>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192" w:right="0"/>
              <w:jc w:val="left"/>
              <w:rPr>
                <w:rFonts w:ascii="宋体" w:hAnsi="宋体" w:cs="宋体" w:eastAsia="宋体" w:hint="default"/>
                <w:sz w:val="20"/>
                <w:szCs w:val="20"/>
              </w:rPr>
            </w:pPr>
            <w:r>
              <w:rPr>
                <w:rFonts w:ascii="宋体"/>
                <w:sz w:val="20"/>
              </w:rPr>
              <w:t>11,399,724,220</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1"/>
              <w:jc w:val="center"/>
              <w:rPr>
                <w:rFonts w:ascii="宋体" w:hAnsi="宋体" w:cs="宋体" w:eastAsia="宋体" w:hint="default"/>
                <w:sz w:val="20"/>
                <w:szCs w:val="20"/>
              </w:rPr>
            </w:pPr>
            <w:r>
              <w:rPr>
                <w:rFonts w:ascii="宋体" w:hAnsi="宋体" w:cs="宋体" w:eastAsia="宋体" w:hint="default"/>
                <w:sz w:val="20"/>
                <w:szCs w:val="20"/>
              </w:rPr>
              <w:t>人民币普通股</w:t>
            </w:r>
          </w:p>
        </w:tc>
        <w:tc>
          <w:tcPr>
            <w:tcW w:w="21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367" w:right="0"/>
              <w:jc w:val="left"/>
              <w:rPr>
                <w:rFonts w:ascii="宋体" w:hAnsi="宋体" w:cs="宋体" w:eastAsia="宋体" w:hint="default"/>
                <w:sz w:val="20"/>
                <w:szCs w:val="20"/>
              </w:rPr>
            </w:pPr>
            <w:r>
              <w:rPr>
                <w:rFonts w:ascii="宋体"/>
                <w:sz w:val="20"/>
              </w:rPr>
              <w:t>11,399,724,220</w:t>
            </w:r>
          </w:p>
        </w:tc>
      </w:tr>
      <w:tr>
        <w:trPr>
          <w:trHeight w:val="322" w:hRule="exact"/>
        </w:trPr>
        <w:tc>
          <w:tcPr>
            <w:tcW w:w="36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中国国有企业结构调整基金股份有限公司</w:t>
            </w:r>
          </w:p>
        </w:tc>
        <w:tc>
          <w:tcPr>
            <w:tcW w:w="3797" w:type="dxa"/>
            <w:gridSpan w:val="3"/>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243" w:right="0"/>
              <w:jc w:val="left"/>
              <w:rPr>
                <w:rFonts w:ascii="宋体" w:hAnsi="宋体" w:cs="宋体" w:eastAsia="宋体" w:hint="default"/>
                <w:sz w:val="20"/>
                <w:szCs w:val="20"/>
              </w:rPr>
            </w:pPr>
            <w:r>
              <w:rPr>
                <w:rFonts w:ascii="宋体"/>
                <w:sz w:val="20"/>
              </w:rPr>
              <w:t>1,899,764,201</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1"/>
              <w:jc w:val="center"/>
              <w:rPr>
                <w:rFonts w:ascii="宋体" w:hAnsi="宋体" w:cs="宋体" w:eastAsia="宋体" w:hint="default"/>
                <w:sz w:val="20"/>
                <w:szCs w:val="20"/>
              </w:rPr>
            </w:pPr>
            <w:r>
              <w:rPr>
                <w:rFonts w:ascii="宋体" w:hAnsi="宋体" w:cs="宋体" w:eastAsia="宋体" w:hint="default"/>
                <w:sz w:val="20"/>
                <w:szCs w:val="20"/>
              </w:rPr>
              <w:t>人民币普通股</w:t>
            </w:r>
          </w:p>
        </w:tc>
        <w:tc>
          <w:tcPr>
            <w:tcW w:w="21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415" w:right="0"/>
              <w:jc w:val="left"/>
              <w:rPr>
                <w:rFonts w:ascii="宋体" w:hAnsi="宋体" w:cs="宋体" w:eastAsia="宋体" w:hint="default"/>
                <w:sz w:val="20"/>
                <w:szCs w:val="20"/>
              </w:rPr>
            </w:pPr>
            <w:r>
              <w:rPr>
                <w:rFonts w:ascii="宋体"/>
                <w:sz w:val="20"/>
              </w:rPr>
              <w:t>1,899,764,201</w:t>
            </w:r>
          </w:p>
        </w:tc>
      </w:tr>
      <w:tr>
        <w:trPr>
          <w:trHeight w:val="322" w:hRule="exact"/>
        </w:trPr>
        <w:tc>
          <w:tcPr>
            <w:tcW w:w="36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香港中央结算有限公司</w:t>
            </w:r>
          </w:p>
        </w:tc>
        <w:tc>
          <w:tcPr>
            <w:tcW w:w="3797" w:type="dxa"/>
            <w:gridSpan w:val="3"/>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0"/>
              <w:jc w:val="center"/>
              <w:rPr>
                <w:rFonts w:ascii="宋体" w:hAnsi="宋体" w:cs="宋体" w:eastAsia="宋体" w:hint="default"/>
                <w:sz w:val="20"/>
                <w:szCs w:val="20"/>
              </w:rPr>
            </w:pPr>
            <w:r>
              <w:rPr>
                <w:rFonts w:ascii="宋体"/>
                <w:sz w:val="20"/>
              </w:rPr>
              <w:t>801,517,445</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1"/>
              <w:jc w:val="center"/>
              <w:rPr>
                <w:rFonts w:ascii="宋体" w:hAnsi="宋体" w:cs="宋体" w:eastAsia="宋体" w:hint="default"/>
                <w:sz w:val="20"/>
                <w:szCs w:val="20"/>
              </w:rPr>
            </w:pPr>
            <w:r>
              <w:rPr>
                <w:rFonts w:ascii="宋体" w:hAnsi="宋体" w:cs="宋体" w:eastAsia="宋体" w:hint="default"/>
                <w:sz w:val="20"/>
                <w:szCs w:val="20"/>
              </w:rPr>
              <w:t>人民币普通股</w:t>
            </w:r>
          </w:p>
        </w:tc>
        <w:tc>
          <w:tcPr>
            <w:tcW w:w="21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516" w:right="0"/>
              <w:jc w:val="left"/>
              <w:rPr>
                <w:rFonts w:ascii="宋体" w:hAnsi="宋体" w:cs="宋体" w:eastAsia="宋体" w:hint="default"/>
                <w:sz w:val="20"/>
                <w:szCs w:val="20"/>
              </w:rPr>
            </w:pPr>
            <w:r>
              <w:rPr>
                <w:rFonts w:ascii="宋体"/>
                <w:sz w:val="20"/>
              </w:rPr>
              <w:t>801,517,445</w:t>
            </w:r>
          </w:p>
        </w:tc>
      </w:tr>
      <w:tr>
        <w:trPr>
          <w:trHeight w:val="322" w:hRule="exact"/>
        </w:trPr>
        <w:tc>
          <w:tcPr>
            <w:tcW w:w="36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中央汇金资产管理有限责任公司</w:t>
            </w:r>
          </w:p>
        </w:tc>
        <w:tc>
          <w:tcPr>
            <w:tcW w:w="3797" w:type="dxa"/>
            <w:gridSpan w:val="3"/>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0"/>
              <w:jc w:val="center"/>
              <w:rPr>
                <w:rFonts w:ascii="宋体" w:hAnsi="宋体" w:cs="宋体" w:eastAsia="宋体" w:hint="default"/>
                <w:sz w:val="20"/>
                <w:szCs w:val="20"/>
              </w:rPr>
            </w:pPr>
            <w:r>
              <w:rPr>
                <w:rFonts w:ascii="宋体"/>
                <w:sz w:val="20"/>
              </w:rPr>
              <w:t>288,488,300</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1"/>
              <w:jc w:val="center"/>
              <w:rPr>
                <w:rFonts w:ascii="宋体" w:hAnsi="宋体" w:cs="宋体" w:eastAsia="宋体" w:hint="default"/>
                <w:sz w:val="20"/>
                <w:szCs w:val="20"/>
              </w:rPr>
            </w:pPr>
            <w:r>
              <w:rPr>
                <w:rFonts w:ascii="宋体" w:hAnsi="宋体" w:cs="宋体" w:eastAsia="宋体" w:hint="default"/>
                <w:sz w:val="20"/>
                <w:szCs w:val="20"/>
              </w:rPr>
              <w:t>人民币普通股</w:t>
            </w:r>
          </w:p>
        </w:tc>
        <w:tc>
          <w:tcPr>
            <w:tcW w:w="21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516" w:right="0"/>
              <w:jc w:val="left"/>
              <w:rPr>
                <w:rFonts w:ascii="宋体" w:hAnsi="宋体" w:cs="宋体" w:eastAsia="宋体" w:hint="default"/>
                <w:sz w:val="20"/>
                <w:szCs w:val="20"/>
              </w:rPr>
            </w:pPr>
            <w:r>
              <w:rPr>
                <w:rFonts w:ascii="宋体"/>
                <w:sz w:val="20"/>
              </w:rPr>
              <w:t>288,488,300</w:t>
            </w:r>
          </w:p>
        </w:tc>
      </w:tr>
      <w:tr>
        <w:trPr>
          <w:trHeight w:val="324" w:hRule="exact"/>
        </w:trPr>
        <w:tc>
          <w:tcPr>
            <w:tcW w:w="36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left"/>
              <w:rPr>
                <w:rFonts w:ascii="宋体" w:hAnsi="宋体" w:cs="宋体" w:eastAsia="宋体" w:hint="default"/>
                <w:sz w:val="20"/>
                <w:szCs w:val="20"/>
              </w:rPr>
            </w:pPr>
            <w:r>
              <w:rPr>
                <w:rFonts w:ascii="宋体" w:hAnsi="宋体" w:cs="宋体" w:eastAsia="宋体" w:hint="default"/>
                <w:sz w:val="20"/>
                <w:szCs w:val="20"/>
              </w:rPr>
              <w:t>北京凤山投资有限责任公司</w:t>
            </w:r>
          </w:p>
        </w:tc>
        <w:tc>
          <w:tcPr>
            <w:tcW w:w="3797" w:type="dxa"/>
            <w:gridSpan w:val="3"/>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0"/>
              <w:jc w:val="center"/>
              <w:rPr>
                <w:rFonts w:ascii="宋体" w:hAnsi="宋体" w:cs="宋体" w:eastAsia="宋体" w:hint="default"/>
                <w:sz w:val="20"/>
                <w:szCs w:val="20"/>
              </w:rPr>
            </w:pPr>
            <w:r>
              <w:rPr>
                <w:rFonts w:ascii="宋体"/>
                <w:sz w:val="20"/>
              </w:rPr>
              <w:t>107,287,440</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
              <w:jc w:val="center"/>
              <w:rPr>
                <w:rFonts w:ascii="宋体" w:hAnsi="宋体" w:cs="宋体" w:eastAsia="宋体" w:hint="default"/>
                <w:sz w:val="20"/>
                <w:szCs w:val="20"/>
              </w:rPr>
            </w:pPr>
            <w:r>
              <w:rPr>
                <w:rFonts w:ascii="宋体" w:hAnsi="宋体" w:cs="宋体" w:eastAsia="宋体" w:hint="default"/>
                <w:sz w:val="20"/>
                <w:szCs w:val="20"/>
              </w:rPr>
              <w:t>人民币普通股</w:t>
            </w:r>
          </w:p>
        </w:tc>
        <w:tc>
          <w:tcPr>
            <w:tcW w:w="21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516" w:right="0"/>
              <w:jc w:val="left"/>
              <w:rPr>
                <w:rFonts w:ascii="宋体" w:hAnsi="宋体" w:cs="宋体" w:eastAsia="宋体" w:hint="default"/>
                <w:sz w:val="20"/>
                <w:szCs w:val="20"/>
              </w:rPr>
            </w:pPr>
            <w:r>
              <w:rPr>
                <w:rFonts w:ascii="宋体"/>
                <w:sz w:val="20"/>
              </w:rPr>
              <w:t>107,287,440</w:t>
            </w:r>
          </w:p>
        </w:tc>
      </w:tr>
      <w:tr>
        <w:trPr>
          <w:trHeight w:val="322" w:hRule="exact"/>
        </w:trPr>
        <w:tc>
          <w:tcPr>
            <w:tcW w:w="36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北京坤藤投资有限责任公司</w:t>
            </w:r>
          </w:p>
        </w:tc>
        <w:tc>
          <w:tcPr>
            <w:tcW w:w="3797" w:type="dxa"/>
            <w:gridSpan w:val="3"/>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0"/>
              <w:jc w:val="center"/>
              <w:rPr>
                <w:rFonts w:ascii="宋体" w:hAnsi="宋体" w:cs="宋体" w:eastAsia="宋体" w:hint="default"/>
                <w:sz w:val="20"/>
                <w:szCs w:val="20"/>
              </w:rPr>
            </w:pPr>
            <w:r>
              <w:rPr>
                <w:rFonts w:ascii="宋体"/>
                <w:sz w:val="20"/>
              </w:rPr>
              <w:t>100,581,975</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1"/>
              <w:jc w:val="center"/>
              <w:rPr>
                <w:rFonts w:ascii="宋体" w:hAnsi="宋体" w:cs="宋体" w:eastAsia="宋体" w:hint="default"/>
                <w:sz w:val="20"/>
                <w:szCs w:val="20"/>
              </w:rPr>
            </w:pPr>
            <w:r>
              <w:rPr>
                <w:rFonts w:ascii="宋体" w:hAnsi="宋体" w:cs="宋体" w:eastAsia="宋体" w:hint="default"/>
                <w:sz w:val="20"/>
                <w:szCs w:val="20"/>
              </w:rPr>
              <w:t>人民币普通股</w:t>
            </w:r>
          </w:p>
        </w:tc>
        <w:tc>
          <w:tcPr>
            <w:tcW w:w="21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516" w:right="0"/>
              <w:jc w:val="left"/>
              <w:rPr>
                <w:rFonts w:ascii="宋体" w:hAnsi="宋体" w:cs="宋体" w:eastAsia="宋体" w:hint="default"/>
                <w:sz w:val="20"/>
                <w:szCs w:val="20"/>
              </w:rPr>
            </w:pPr>
            <w:r>
              <w:rPr>
                <w:rFonts w:ascii="宋体"/>
                <w:sz w:val="20"/>
              </w:rPr>
              <w:t>100,581,975</w:t>
            </w:r>
          </w:p>
        </w:tc>
      </w:tr>
      <w:tr>
        <w:trPr>
          <w:trHeight w:val="634" w:hRule="exact"/>
        </w:trPr>
        <w:tc>
          <w:tcPr>
            <w:tcW w:w="368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45"/>
              <w:jc w:val="left"/>
              <w:rPr>
                <w:rFonts w:ascii="宋体" w:hAnsi="宋体" w:cs="宋体" w:eastAsia="宋体" w:hint="default"/>
                <w:sz w:val="18"/>
                <w:szCs w:val="18"/>
              </w:rPr>
            </w:pPr>
            <w:r>
              <w:rPr>
                <w:rFonts w:ascii="宋体" w:hAnsi="宋体" w:cs="宋体" w:eastAsia="宋体" w:hint="default"/>
                <w:sz w:val="18"/>
                <w:szCs w:val="18"/>
              </w:rPr>
              <w:t>招商银行股份有限公司－博时中证央企创新 驱动交易型开放式指数证券投资基金</w:t>
            </w:r>
          </w:p>
        </w:tc>
        <w:tc>
          <w:tcPr>
            <w:tcW w:w="379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
              <w:jc w:val="center"/>
              <w:rPr>
                <w:rFonts w:ascii="宋体" w:hAnsi="宋体" w:cs="宋体" w:eastAsia="宋体" w:hint="default"/>
                <w:sz w:val="20"/>
                <w:szCs w:val="20"/>
              </w:rPr>
            </w:pPr>
            <w:r>
              <w:rPr>
                <w:rFonts w:ascii="宋体"/>
                <w:sz w:val="20"/>
              </w:rPr>
              <w:t>76,600,414</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
              <w:jc w:val="center"/>
              <w:rPr>
                <w:rFonts w:ascii="宋体" w:hAnsi="宋体" w:cs="宋体" w:eastAsia="宋体" w:hint="default"/>
                <w:sz w:val="20"/>
                <w:szCs w:val="20"/>
              </w:rPr>
            </w:pPr>
            <w:r>
              <w:rPr>
                <w:rFonts w:ascii="宋体" w:hAnsi="宋体" w:cs="宋体" w:eastAsia="宋体" w:hint="default"/>
                <w:sz w:val="20"/>
                <w:szCs w:val="20"/>
              </w:rPr>
              <w:t>人民币普通股</w:t>
            </w:r>
          </w:p>
        </w:tc>
        <w:tc>
          <w:tcPr>
            <w:tcW w:w="21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566" w:right="0"/>
              <w:jc w:val="left"/>
              <w:rPr>
                <w:rFonts w:ascii="宋体" w:hAnsi="宋体" w:cs="宋体" w:eastAsia="宋体" w:hint="default"/>
                <w:sz w:val="20"/>
                <w:szCs w:val="20"/>
              </w:rPr>
            </w:pPr>
            <w:r>
              <w:rPr>
                <w:rFonts w:ascii="宋体"/>
                <w:sz w:val="20"/>
              </w:rPr>
              <w:t>76,600,414</w:t>
            </w:r>
          </w:p>
        </w:tc>
      </w:tr>
      <w:tr>
        <w:trPr>
          <w:trHeight w:val="634" w:hRule="exact"/>
        </w:trPr>
        <w:tc>
          <w:tcPr>
            <w:tcW w:w="36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04"/>
              <w:jc w:val="left"/>
              <w:rPr>
                <w:rFonts w:ascii="宋体" w:hAnsi="宋体" w:cs="宋体" w:eastAsia="宋体" w:hint="default"/>
                <w:sz w:val="20"/>
                <w:szCs w:val="20"/>
              </w:rPr>
            </w:pPr>
            <w:r>
              <w:rPr>
                <w:rFonts w:ascii="宋体" w:hAnsi="宋体" w:cs="宋体" w:eastAsia="宋体" w:hint="default"/>
                <w:sz w:val="20"/>
                <w:szCs w:val="20"/>
              </w:rPr>
              <w:t>中国工商银行－上证</w:t>
            </w:r>
            <w:r>
              <w:rPr>
                <w:rFonts w:ascii="宋体" w:hAnsi="宋体" w:cs="宋体" w:eastAsia="宋体" w:hint="default"/>
                <w:spacing w:val="-70"/>
                <w:sz w:val="20"/>
                <w:szCs w:val="20"/>
              </w:rPr>
              <w:t> </w:t>
            </w:r>
            <w:r>
              <w:rPr>
                <w:rFonts w:ascii="宋体" w:hAnsi="宋体" w:cs="宋体" w:eastAsia="宋体" w:hint="default"/>
                <w:sz w:val="20"/>
                <w:szCs w:val="20"/>
              </w:rPr>
              <w:t>50</w:t>
            </w:r>
            <w:r>
              <w:rPr>
                <w:rFonts w:ascii="宋体" w:hAnsi="宋体" w:cs="宋体" w:eastAsia="宋体" w:hint="default"/>
                <w:spacing w:val="-70"/>
                <w:sz w:val="20"/>
                <w:szCs w:val="20"/>
              </w:rPr>
              <w:t> </w:t>
            </w:r>
            <w:r>
              <w:rPr>
                <w:rFonts w:ascii="宋体" w:hAnsi="宋体" w:cs="宋体" w:eastAsia="宋体" w:hint="default"/>
                <w:sz w:val="20"/>
                <w:szCs w:val="20"/>
              </w:rPr>
              <w:t>交易型开放式指</w:t>
            </w:r>
            <w:r>
              <w:rPr>
                <w:rFonts w:ascii="宋体" w:hAnsi="宋体" w:cs="宋体" w:eastAsia="宋体" w:hint="default"/>
                <w:w w:val="99"/>
                <w:sz w:val="20"/>
                <w:szCs w:val="20"/>
              </w:rPr>
              <w:t> </w:t>
            </w:r>
            <w:r>
              <w:rPr>
                <w:rFonts w:ascii="宋体" w:hAnsi="宋体" w:cs="宋体" w:eastAsia="宋体" w:hint="default"/>
                <w:sz w:val="20"/>
                <w:szCs w:val="20"/>
              </w:rPr>
              <w:t>数证券投资基金</w:t>
            </w:r>
          </w:p>
        </w:tc>
        <w:tc>
          <w:tcPr>
            <w:tcW w:w="379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
              <w:jc w:val="center"/>
              <w:rPr>
                <w:rFonts w:ascii="宋体" w:hAnsi="宋体" w:cs="宋体" w:eastAsia="宋体" w:hint="default"/>
                <w:sz w:val="20"/>
                <w:szCs w:val="20"/>
              </w:rPr>
            </w:pPr>
            <w:r>
              <w:rPr>
                <w:rFonts w:ascii="宋体"/>
                <w:sz w:val="20"/>
              </w:rPr>
              <w:t>71,700,693</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
              <w:jc w:val="center"/>
              <w:rPr>
                <w:rFonts w:ascii="宋体" w:hAnsi="宋体" w:cs="宋体" w:eastAsia="宋体" w:hint="default"/>
                <w:sz w:val="20"/>
                <w:szCs w:val="20"/>
              </w:rPr>
            </w:pPr>
            <w:r>
              <w:rPr>
                <w:rFonts w:ascii="宋体" w:hAnsi="宋体" w:cs="宋体" w:eastAsia="宋体" w:hint="default"/>
                <w:sz w:val="20"/>
                <w:szCs w:val="20"/>
              </w:rPr>
              <w:t>人民币普通股</w:t>
            </w:r>
          </w:p>
        </w:tc>
        <w:tc>
          <w:tcPr>
            <w:tcW w:w="21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566" w:right="0"/>
              <w:jc w:val="left"/>
              <w:rPr>
                <w:rFonts w:ascii="宋体" w:hAnsi="宋体" w:cs="宋体" w:eastAsia="宋体" w:hint="default"/>
                <w:sz w:val="20"/>
                <w:szCs w:val="20"/>
              </w:rPr>
            </w:pPr>
            <w:r>
              <w:rPr>
                <w:rFonts w:ascii="宋体"/>
                <w:sz w:val="20"/>
              </w:rPr>
              <w:t>71,700,693</w:t>
            </w:r>
          </w:p>
        </w:tc>
      </w:tr>
      <w:tr>
        <w:trPr>
          <w:trHeight w:val="946" w:hRule="exact"/>
        </w:trPr>
        <w:tc>
          <w:tcPr>
            <w:tcW w:w="36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68"/>
              <w:jc w:val="both"/>
              <w:rPr>
                <w:rFonts w:ascii="宋体" w:hAnsi="宋体" w:cs="宋体" w:eastAsia="宋体" w:hint="default"/>
                <w:sz w:val="20"/>
                <w:szCs w:val="20"/>
              </w:rPr>
            </w:pPr>
            <w:r>
              <w:rPr>
                <w:rFonts w:ascii="宋体" w:hAnsi="宋体" w:cs="宋体" w:eastAsia="宋体" w:hint="default"/>
                <w:sz w:val="20"/>
                <w:szCs w:val="20"/>
              </w:rPr>
              <w:t>招商银行股份有限公司－博时中证央企</w:t>
            </w:r>
            <w:r>
              <w:rPr>
                <w:rFonts w:ascii="宋体" w:hAnsi="宋体" w:cs="宋体" w:eastAsia="宋体" w:hint="default"/>
                <w:w w:val="99"/>
                <w:sz w:val="20"/>
                <w:szCs w:val="20"/>
              </w:rPr>
              <w:t> </w:t>
            </w:r>
            <w:r>
              <w:rPr>
                <w:rFonts w:ascii="宋体" w:hAnsi="宋体" w:cs="宋体" w:eastAsia="宋体" w:hint="default"/>
                <w:sz w:val="20"/>
                <w:szCs w:val="20"/>
              </w:rPr>
              <w:t>结构调整交易型开放式指数证券投资基</w:t>
            </w:r>
            <w:r>
              <w:rPr>
                <w:rFonts w:ascii="宋体" w:hAnsi="宋体" w:cs="宋体" w:eastAsia="宋体" w:hint="default"/>
                <w:w w:val="99"/>
                <w:sz w:val="20"/>
                <w:szCs w:val="20"/>
              </w:rPr>
              <w:t> </w:t>
            </w:r>
            <w:r>
              <w:rPr>
                <w:rFonts w:ascii="宋体" w:hAnsi="宋体" w:cs="宋体" w:eastAsia="宋体" w:hint="default"/>
                <w:sz w:val="20"/>
                <w:szCs w:val="20"/>
              </w:rPr>
              <w:t>金</w:t>
            </w:r>
          </w:p>
        </w:tc>
        <w:tc>
          <w:tcPr>
            <w:tcW w:w="379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1"/>
              <w:jc w:val="center"/>
              <w:rPr>
                <w:rFonts w:ascii="宋体" w:hAnsi="宋体" w:cs="宋体" w:eastAsia="宋体" w:hint="default"/>
                <w:sz w:val="20"/>
                <w:szCs w:val="20"/>
              </w:rPr>
            </w:pPr>
            <w:r>
              <w:rPr>
                <w:rFonts w:ascii="宋体"/>
                <w:sz w:val="20"/>
              </w:rPr>
              <w:t>67,942,098</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sz w:val="20"/>
                <w:szCs w:val="20"/>
              </w:rPr>
              <w:t>人民币普通股</w:t>
            </w:r>
          </w:p>
        </w:tc>
        <w:tc>
          <w:tcPr>
            <w:tcW w:w="21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566" w:right="0"/>
              <w:jc w:val="left"/>
              <w:rPr>
                <w:rFonts w:ascii="宋体" w:hAnsi="宋体" w:cs="宋体" w:eastAsia="宋体" w:hint="default"/>
                <w:sz w:val="20"/>
                <w:szCs w:val="20"/>
              </w:rPr>
            </w:pPr>
            <w:r>
              <w:rPr>
                <w:rFonts w:ascii="宋体"/>
                <w:sz w:val="20"/>
              </w:rPr>
              <w:t>67,942,098</w:t>
            </w:r>
          </w:p>
        </w:tc>
      </w:tr>
    </w:tbl>
    <w:p>
      <w:pPr>
        <w:spacing w:after="0" w:line="240" w:lineRule="auto"/>
        <w:jc w:val="left"/>
        <w:rPr>
          <w:rFonts w:ascii="宋体" w:hAnsi="宋体" w:cs="宋体" w:eastAsia="宋体" w:hint="default"/>
          <w:sz w:val="20"/>
          <w:szCs w:val="20"/>
        </w:rPr>
        <w:sectPr>
          <w:footerReference w:type="default" r:id="rId51"/>
          <w:pgSz w:w="11910" w:h="16840"/>
          <w:pgMar w:footer="502" w:header="854" w:top="1360" w:bottom="700" w:left="320" w:right="300"/>
        </w:sectPr>
      </w:pPr>
    </w:p>
    <w:p>
      <w:pPr>
        <w:spacing w:line="240" w:lineRule="auto" w:before="2"/>
        <w:rPr>
          <w:rFonts w:ascii="Times New Roman" w:hAnsi="Times New Roman" w:cs="Times New Roman" w:eastAsia="Times New Roman" w:hint="default"/>
          <w:sz w:val="14"/>
          <w:szCs w:val="14"/>
        </w:rPr>
      </w:pPr>
    </w:p>
    <w:tbl>
      <w:tblPr>
        <w:tblW w:w="0" w:type="auto"/>
        <w:jc w:val="left"/>
        <w:tblInd w:w="220" w:type="dxa"/>
        <w:tblLayout w:type="fixed"/>
        <w:tblCellMar>
          <w:top w:w="0" w:type="dxa"/>
          <w:left w:w="0" w:type="dxa"/>
          <w:bottom w:w="0" w:type="dxa"/>
          <w:right w:w="0" w:type="dxa"/>
        </w:tblCellMar>
        <w:tblLook w:val="01E0"/>
      </w:tblPr>
      <w:tblGrid>
        <w:gridCol w:w="3680"/>
        <w:gridCol w:w="3797"/>
        <w:gridCol w:w="1441"/>
        <w:gridCol w:w="2144"/>
      </w:tblGrid>
      <w:tr>
        <w:trPr>
          <w:trHeight w:val="324" w:hRule="exact"/>
        </w:trPr>
        <w:tc>
          <w:tcPr>
            <w:tcW w:w="3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齐齐哈尔市中正房地产开发有限公司</w:t>
            </w:r>
          </w:p>
        </w:tc>
        <w:tc>
          <w:tcPr>
            <w:tcW w:w="3797"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
              <w:jc w:val="center"/>
              <w:rPr>
                <w:rFonts w:ascii="宋体" w:hAnsi="宋体" w:cs="宋体" w:eastAsia="宋体" w:hint="default"/>
                <w:sz w:val="20"/>
                <w:szCs w:val="20"/>
              </w:rPr>
            </w:pPr>
            <w:r>
              <w:rPr>
                <w:rFonts w:ascii="宋体"/>
                <w:sz w:val="20"/>
              </w:rPr>
              <w:t>65,532,320</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15" w:right="0"/>
              <w:jc w:val="left"/>
              <w:rPr>
                <w:rFonts w:ascii="宋体" w:hAnsi="宋体" w:cs="宋体" w:eastAsia="宋体" w:hint="default"/>
                <w:sz w:val="20"/>
                <w:szCs w:val="20"/>
              </w:rPr>
            </w:pPr>
            <w:r>
              <w:rPr>
                <w:rFonts w:ascii="宋体" w:hAnsi="宋体" w:cs="宋体" w:eastAsia="宋体" w:hint="default"/>
                <w:sz w:val="20"/>
                <w:szCs w:val="20"/>
              </w:rPr>
              <w:t>人民币普通股</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566" w:right="0"/>
              <w:jc w:val="left"/>
              <w:rPr>
                <w:rFonts w:ascii="宋体" w:hAnsi="宋体" w:cs="宋体" w:eastAsia="宋体" w:hint="default"/>
                <w:sz w:val="20"/>
                <w:szCs w:val="20"/>
              </w:rPr>
            </w:pPr>
            <w:r>
              <w:rPr>
                <w:rFonts w:ascii="宋体"/>
                <w:sz w:val="20"/>
              </w:rPr>
              <w:t>65,532,320</w:t>
            </w:r>
          </w:p>
        </w:tc>
      </w:tr>
      <w:tr>
        <w:trPr>
          <w:trHeight w:val="2506" w:hRule="exact"/>
        </w:trPr>
        <w:tc>
          <w:tcPr>
            <w:tcW w:w="36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3"/>
              <w:ind w:left="103" w:right="0"/>
              <w:jc w:val="left"/>
              <w:rPr>
                <w:rFonts w:ascii="宋体" w:hAnsi="宋体" w:cs="宋体" w:eastAsia="宋体" w:hint="default"/>
                <w:sz w:val="21"/>
                <w:szCs w:val="21"/>
              </w:rPr>
            </w:pPr>
            <w:r>
              <w:rPr>
                <w:rFonts w:ascii="宋体" w:hAnsi="宋体" w:cs="宋体" w:eastAsia="宋体" w:hint="default"/>
                <w:sz w:val="21"/>
                <w:szCs w:val="21"/>
              </w:rPr>
              <w:t>上述股东关联关系或一致行动的说明</w:t>
            </w:r>
          </w:p>
        </w:tc>
        <w:tc>
          <w:tcPr>
            <w:tcW w:w="738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中国联合网络通信集团有限公司为本公司控股股东。</w:t>
            </w:r>
          </w:p>
          <w:p>
            <w:pPr>
              <w:pStyle w:val="TableParagraph"/>
              <w:spacing w:line="316" w:lineRule="auto" w:before="76"/>
              <w:ind w:left="103" w:right="102"/>
              <w:jc w:val="left"/>
              <w:rPr>
                <w:rFonts w:ascii="宋体" w:hAnsi="宋体" w:cs="宋体" w:eastAsia="宋体" w:hint="default"/>
                <w:sz w:val="18"/>
                <w:szCs w:val="18"/>
              </w:rPr>
            </w:pPr>
            <w:r>
              <w:rPr>
                <w:rFonts w:ascii="宋体" w:hAnsi="宋体" w:cs="宋体" w:eastAsia="宋体" w:hint="default"/>
                <w:spacing w:val="-1"/>
                <w:sz w:val="18"/>
                <w:szCs w:val="18"/>
              </w:rPr>
              <w:t>2.</w:t>
            </w:r>
            <w:r>
              <w:rPr>
                <w:rFonts w:ascii="宋体" w:hAnsi="宋体" w:cs="宋体" w:eastAsia="宋体" w:hint="default"/>
                <w:spacing w:val="-1"/>
                <w:sz w:val="18"/>
                <w:szCs w:val="18"/>
              </w:rPr>
              <w:t>本公司未知前十名股东之间是否存在《上海证券交易所股票上市规则》规定的关联关系或</w:t>
            </w:r>
            <w:r>
              <w:rPr>
                <w:rFonts w:ascii="宋体" w:hAnsi="宋体" w:cs="宋体" w:eastAsia="宋体" w:hint="default"/>
                <w:sz w:val="18"/>
                <w:szCs w:val="18"/>
              </w:rPr>
              <w:t> 构成《上市公司收购管理办法》规定的一致行动人。 </w:t>
            </w:r>
            <w:r>
              <w:rPr>
                <w:rFonts w:ascii="宋体" w:hAnsi="宋体" w:cs="宋体" w:eastAsia="宋体" w:hint="default"/>
                <w:spacing w:val="-1"/>
                <w:sz w:val="18"/>
                <w:szCs w:val="18"/>
              </w:rPr>
              <w:t>3.</w:t>
            </w:r>
            <w:r>
              <w:rPr>
                <w:rFonts w:ascii="宋体" w:hAnsi="宋体" w:cs="宋体" w:eastAsia="宋体" w:hint="default"/>
                <w:spacing w:val="-1"/>
                <w:sz w:val="18"/>
                <w:szCs w:val="18"/>
              </w:rPr>
              <w:t>本公司未知前十名无限售条件股东之间是否存在《上海证券交易所股票上市规则》规定的</w:t>
            </w:r>
            <w:r>
              <w:rPr>
                <w:rFonts w:ascii="宋体" w:hAnsi="宋体" w:cs="宋体" w:eastAsia="宋体" w:hint="default"/>
                <w:sz w:val="18"/>
                <w:szCs w:val="18"/>
              </w:rPr>
              <w:t> 关联关系或构成《上市公司收购管理办法》规定的一致行动人。 </w:t>
            </w:r>
            <w:r>
              <w:rPr>
                <w:rFonts w:ascii="宋体" w:hAnsi="宋体" w:cs="宋体" w:eastAsia="宋体" w:hint="default"/>
                <w:spacing w:val="-1"/>
                <w:sz w:val="18"/>
                <w:szCs w:val="18"/>
              </w:rPr>
              <w:t>4.</w:t>
            </w:r>
            <w:r>
              <w:rPr>
                <w:rFonts w:ascii="宋体" w:hAnsi="宋体" w:cs="宋体" w:eastAsia="宋体" w:hint="default"/>
                <w:spacing w:val="-1"/>
                <w:sz w:val="18"/>
                <w:szCs w:val="18"/>
              </w:rPr>
              <w:t>本公司未知前十名无限售条件股东和前十名股东之间是否存在《上海证券交易所股票上市</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规则》规定的关联关系或构成《上市公司收购管理办法》规定的一致行动人。</w:t>
            </w:r>
          </w:p>
        </w:tc>
      </w:tr>
      <w:tr>
        <w:trPr>
          <w:trHeight w:val="634" w:hRule="exact"/>
        </w:trPr>
        <w:tc>
          <w:tcPr>
            <w:tcW w:w="36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103" w:right="200"/>
              <w:jc w:val="left"/>
              <w:rPr>
                <w:rFonts w:ascii="宋体" w:hAnsi="宋体" w:cs="宋体" w:eastAsia="宋体" w:hint="default"/>
                <w:sz w:val="21"/>
                <w:szCs w:val="21"/>
              </w:rPr>
            </w:pPr>
            <w:r>
              <w:rPr>
                <w:rFonts w:ascii="宋体" w:hAnsi="宋体" w:cs="宋体" w:eastAsia="宋体" w:hint="default"/>
                <w:spacing w:val="-2"/>
                <w:sz w:val="21"/>
                <w:szCs w:val="21"/>
              </w:rPr>
              <w:t>表决权恢复的优先股股东及持股数量</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的说明</w:t>
            </w:r>
          </w:p>
        </w:tc>
        <w:tc>
          <w:tcPr>
            <w:tcW w:w="7381" w:type="dxa"/>
            <w:gridSpan w:val="3"/>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不适用</w:t>
            </w:r>
          </w:p>
        </w:tc>
      </w:tr>
    </w:tbl>
    <w:p>
      <w:pPr>
        <w:spacing w:line="240" w:lineRule="auto" w:before="10"/>
        <w:rPr>
          <w:rFonts w:ascii="Times New Roman" w:hAnsi="Times New Roman" w:cs="Times New Roman" w:eastAsia="Times New Roman" w:hint="default"/>
          <w:sz w:val="22"/>
          <w:szCs w:val="22"/>
        </w:rPr>
      </w:pPr>
    </w:p>
    <w:p>
      <w:pPr>
        <w:spacing w:before="36"/>
        <w:ind w:left="1218" w:right="0" w:firstLine="0"/>
        <w:jc w:val="left"/>
        <w:rPr>
          <w:rFonts w:ascii="宋体" w:hAnsi="宋体" w:cs="宋体" w:eastAsia="宋体" w:hint="default"/>
          <w:sz w:val="21"/>
          <w:szCs w:val="21"/>
        </w:rPr>
      </w:pPr>
      <w:r>
        <w:rPr>
          <w:rFonts w:ascii="宋体" w:hAnsi="宋体" w:cs="宋体" w:eastAsia="宋体" w:hint="default"/>
          <w:sz w:val="21"/>
          <w:szCs w:val="21"/>
        </w:rPr>
        <w:t>前十名有限售条件股东持股数量及限售条件</w:t>
      </w:r>
    </w:p>
    <w:p>
      <w:pPr>
        <w:spacing w:before="37"/>
        <w:ind w:left="0" w:right="1168" w:firstLine="0"/>
        <w:jc w:val="right"/>
        <w:rPr>
          <w:rFonts w:ascii="宋体" w:hAnsi="宋体" w:cs="宋体" w:eastAsia="宋体" w:hint="default"/>
          <w:sz w:val="21"/>
          <w:szCs w:val="21"/>
        </w:rPr>
      </w:pPr>
      <w:r>
        <w:rPr>
          <w:rFonts w:ascii="宋体" w:hAnsi="宋体" w:cs="宋体" w:eastAsia="宋体" w:hint="default"/>
          <w:spacing w:val="-1"/>
          <w:sz w:val="21"/>
          <w:szCs w:val="21"/>
        </w:rPr>
        <w:t>单位：股</w:t>
      </w:r>
    </w:p>
    <w:p>
      <w:pPr>
        <w:spacing w:line="240" w:lineRule="auto" w:before="10"/>
        <w:rPr>
          <w:rFonts w:ascii="宋体" w:hAnsi="宋体" w:cs="宋体" w:eastAsia="宋体"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607"/>
        <w:gridCol w:w="3488"/>
        <w:gridCol w:w="1668"/>
        <w:gridCol w:w="1817"/>
        <w:gridCol w:w="1832"/>
        <w:gridCol w:w="1954"/>
      </w:tblGrid>
      <w:tr>
        <w:trPr>
          <w:trHeight w:val="322" w:hRule="exact"/>
        </w:trPr>
        <w:tc>
          <w:tcPr>
            <w:tcW w:w="607" w:type="dxa"/>
            <w:vMerge w:val="restart"/>
            <w:tcBorders>
              <w:top w:val="single" w:sz="4" w:space="0" w:color="000000"/>
              <w:left w:val="single" w:sz="4" w:space="0" w:color="000000"/>
              <w:right w:val="single" w:sz="4" w:space="0" w:color="000000"/>
            </w:tcBorders>
            <w:shd w:val="clear" w:color="auto" w:fill="D9D9D9"/>
          </w:tcPr>
          <w:p>
            <w:pPr>
              <w:pStyle w:val="TableParagraph"/>
              <w:spacing w:line="273" w:lineRule="auto" w:before="148"/>
              <w:ind w:left="192" w:right="192"/>
              <w:jc w:val="left"/>
              <w:rPr>
                <w:rFonts w:ascii="宋体" w:hAnsi="宋体" w:cs="宋体" w:eastAsia="宋体" w:hint="default"/>
                <w:sz w:val="21"/>
                <w:szCs w:val="21"/>
              </w:rPr>
            </w:pPr>
            <w:r>
              <w:rPr>
                <w:rFonts w:ascii="宋体" w:hAnsi="宋体" w:cs="宋体" w:eastAsia="宋体" w:hint="default"/>
                <w:sz w:val="21"/>
                <w:szCs w:val="21"/>
              </w:rPr>
              <w:t>序</w:t>
            </w:r>
            <w:r>
              <w:rPr>
                <w:rFonts w:ascii="宋体" w:hAnsi="宋体" w:cs="宋体" w:eastAsia="宋体" w:hint="default"/>
                <w:w w:val="100"/>
                <w:sz w:val="21"/>
                <w:szCs w:val="21"/>
              </w:rPr>
              <w:t> </w:t>
            </w:r>
            <w:r>
              <w:rPr>
                <w:rFonts w:ascii="宋体" w:hAnsi="宋体" w:cs="宋体" w:eastAsia="宋体" w:hint="default"/>
                <w:sz w:val="21"/>
                <w:szCs w:val="21"/>
              </w:rPr>
              <w:t>号</w:t>
            </w:r>
          </w:p>
        </w:tc>
        <w:tc>
          <w:tcPr>
            <w:tcW w:w="3488"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792" w:right="0"/>
              <w:jc w:val="left"/>
              <w:rPr>
                <w:rFonts w:ascii="宋体" w:hAnsi="宋体" w:cs="宋体" w:eastAsia="宋体" w:hint="default"/>
                <w:sz w:val="21"/>
                <w:szCs w:val="21"/>
              </w:rPr>
            </w:pPr>
            <w:r>
              <w:rPr>
                <w:rFonts w:ascii="宋体" w:hAnsi="宋体" w:cs="宋体" w:eastAsia="宋体" w:hint="default"/>
                <w:sz w:val="21"/>
                <w:szCs w:val="21"/>
              </w:rPr>
              <w:t>有限售条件股东名称</w:t>
            </w:r>
          </w:p>
        </w:tc>
        <w:tc>
          <w:tcPr>
            <w:tcW w:w="1668" w:type="dxa"/>
            <w:vMerge w:val="restart"/>
            <w:tcBorders>
              <w:top w:val="single" w:sz="4" w:space="0" w:color="000000"/>
              <w:left w:val="single" w:sz="4" w:space="0" w:color="000000"/>
              <w:right w:val="single" w:sz="4" w:space="0" w:color="000000"/>
            </w:tcBorders>
            <w:shd w:val="clear" w:color="auto" w:fill="D9D9D9"/>
          </w:tcPr>
          <w:p>
            <w:pPr>
              <w:pStyle w:val="TableParagraph"/>
              <w:spacing w:line="273" w:lineRule="auto" w:before="148"/>
              <w:ind w:left="196" w:right="197"/>
              <w:jc w:val="left"/>
              <w:rPr>
                <w:rFonts w:ascii="宋体" w:hAnsi="宋体" w:cs="宋体" w:eastAsia="宋体" w:hint="default"/>
                <w:sz w:val="21"/>
                <w:szCs w:val="21"/>
              </w:rPr>
            </w:pPr>
            <w:r>
              <w:rPr>
                <w:rFonts w:ascii="宋体" w:hAnsi="宋体" w:cs="宋体" w:eastAsia="宋体" w:hint="default"/>
                <w:sz w:val="21"/>
                <w:szCs w:val="21"/>
              </w:rPr>
              <w:t>持有的有限售</w:t>
            </w:r>
            <w:r>
              <w:rPr>
                <w:rFonts w:ascii="宋体" w:hAnsi="宋体" w:cs="宋体" w:eastAsia="宋体" w:hint="default"/>
                <w:w w:val="100"/>
                <w:sz w:val="21"/>
                <w:szCs w:val="21"/>
              </w:rPr>
              <w:t> </w:t>
            </w:r>
            <w:r>
              <w:rPr>
                <w:rFonts w:ascii="宋体" w:hAnsi="宋体" w:cs="宋体" w:eastAsia="宋体" w:hint="default"/>
                <w:sz w:val="21"/>
                <w:szCs w:val="21"/>
              </w:rPr>
              <w:t>条件股份数量</w:t>
            </w:r>
          </w:p>
        </w:tc>
        <w:tc>
          <w:tcPr>
            <w:tcW w:w="3649"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346" w:right="0"/>
              <w:jc w:val="left"/>
              <w:rPr>
                <w:rFonts w:ascii="宋体" w:hAnsi="宋体" w:cs="宋体" w:eastAsia="宋体" w:hint="default"/>
                <w:sz w:val="21"/>
                <w:szCs w:val="21"/>
              </w:rPr>
            </w:pPr>
            <w:r>
              <w:rPr>
                <w:rFonts w:ascii="宋体" w:hAnsi="宋体" w:cs="宋体" w:eastAsia="宋体" w:hint="default"/>
                <w:sz w:val="21"/>
                <w:szCs w:val="21"/>
              </w:rPr>
              <w:t>有限售条件股份可上市交易情况</w:t>
            </w:r>
          </w:p>
        </w:tc>
        <w:tc>
          <w:tcPr>
            <w:tcW w:w="195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549" w:right="0"/>
              <w:jc w:val="left"/>
              <w:rPr>
                <w:rFonts w:ascii="宋体" w:hAnsi="宋体" w:cs="宋体" w:eastAsia="宋体" w:hint="default"/>
                <w:sz w:val="21"/>
                <w:szCs w:val="21"/>
              </w:rPr>
            </w:pPr>
            <w:r>
              <w:rPr>
                <w:rFonts w:ascii="宋体" w:hAnsi="宋体" w:cs="宋体" w:eastAsia="宋体" w:hint="default"/>
                <w:sz w:val="21"/>
                <w:szCs w:val="21"/>
              </w:rPr>
              <w:t>限售条件</w:t>
            </w:r>
          </w:p>
        </w:tc>
      </w:tr>
      <w:tr>
        <w:trPr>
          <w:trHeight w:val="634" w:hRule="exact"/>
        </w:trPr>
        <w:tc>
          <w:tcPr>
            <w:tcW w:w="607" w:type="dxa"/>
            <w:vMerge/>
            <w:tcBorders>
              <w:left w:val="single" w:sz="4" w:space="0" w:color="000000"/>
              <w:bottom w:val="single" w:sz="4" w:space="0" w:color="000000"/>
              <w:right w:val="single" w:sz="4" w:space="0" w:color="000000"/>
            </w:tcBorders>
            <w:shd w:val="clear" w:color="auto" w:fill="D9D9D9"/>
          </w:tcPr>
          <w:p>
            <w:pPr/>
          </w:p>
        </w:tc>
        <w:tc>
          <w:tcPr>
            <w:tcW w:w="3488" w:type="dxa"/>
            <w:vMerge/>
            <w:tcBorders>
              <w:left w:val="single" w:sz="4" w:space="0" w:color="000000"/>
              <w:bottom w:val="single" w:sz="4" w:space="0" w:color="000000"/>
              <w:right w:val="single" w:sz="4" w:space="0" w:color="000000"/>
            </w:tcBorders>
            <w:shd w:val="clear" w:color="auto" w:fill="D9D9D9"/>
          </w:tcPr>
          <w:p>
            <w:pPr/>
          </w:p>
        </w:tc>
        <w:tc>
          <w:tcPr>
            <w:tcW w:w="1668" w:type="dxa"/>
            <w:vMerge/>
            <w:tcBorders>
              <w:left w:val="single" w:sz="4" w:space="0" w:color="000000"/>
              <w:bottom w:val="single" w:sz="4" w:space="0" w:color="000000"/>
              <w:right w:val="single" w:sz="4" w:space="0" w:color="000000"/>
            </w:tcBorders>
            <w:shd w:val="clear" w:color="auto" w:fill="D9D9D9"/>
          </w:tcPr>
          <w:p>
            <w:pPr/>
          </w:p>
        </w:tc>
        <w:tc>
          <w:tcPr>
            <w:tcW w:w="18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可上市交易时间</w:t>
            </w:r>
          </w:p>
        </w:tc>
        <w:tc>
          <w:tcPr>
            <w:tcW w:w="18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489" w:right="171" w:hanging="315"/>
              <w:jc w:val="left"/>
              <w:rPr>
                <w:rFonts w:ascii="宋体" w:hAnsi="宋体" w:cs="宋体" w:eastAsia="宋体" w:hint="default"/>
                <w:sz w:val="21"/>
                <w:szCs w:val="21"/>
              </w:rPr>
            </w:pPr>
            <w:r>
              <w:rPr>
                <w:rFonts w:ascii="宋体" w:hAnsi="宋体" w:cs="宋体" w:eastAsia="宋体" w:hint="default"/>
                <w:sz w:val="21"/>
                <w:szCs w:val="21"/>
              </w:rPr>
              <w:t>新增可上市交易</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股份数量</w:t>
            </w:r>
          </w:p>
        </w:tc>
        <w:tc>
          <w:tcPr>
            <w:tcW w:w="1954" w:type="dxa"/>
            <w:vMerge/>
            <w:tcBorders>
              <w:left w:val="single" w:sz="4" w:space="0" w:color="000000"/>
              <w:bottom w:val="single" w:sz="4" w:space="0" w:color="000000"/>
              <w:right w:val="single" w:sz="4" w:space="0" w:color="000000"/>
            </w:tcBorders>
            <w:shd w:val="clear" w:color="auto" w:fill="D9D9D9"/>
          </w:tcPr>
          <w:p>
            <w:pPr/>
          </w:p>
        </w:tc>
      </w:tr>
      <w:tr>
        <w:trPr>
          <w:trHeight w:val="948" w:hRule="exact"/>
        </w:trPr>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right="0"/>
              <w:jc w:val="center"/>
              <w:rPr>
                <w:rFonts w:ascii="宋体" w:hAnsi="宋体" w:cs="宋体" w:eastAsia="宋体" w:hint="default"/>
                <w:sz w:val="21"/>
                <w:szCs w:val="21"/>
              </w:rPr>
            </w:pPr>
            <w:r>
              <w:rPr>
                <w:rFonts w:ascii="宋体"/>
                <w:w w:val="100"/>
                <w:sz w:val="21"/>
              </w:rPr>
              <w:t>1</w:t>
            </w:r>
          </w:p>
        </w:tc>
        <w:tc>
          <w:tcPr>
            <w:tcW w:w="3488"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50"/>
              <w:ind w:left="103" w:right="110"/>
              <w:jc w:val="left"/>
              <w:rPr>
                <w:rFonts w:ascii="宋体" w:hAnsi="宋体" w:cs="宋体" w:eastAsia="宋体" w:hint="default"/>
                <w:sz w:val="20"/>
                <w:szCs w:val="20"/>
              </w:rPr>
            </w:pPr>
            <w:r>
              <w:rPr>
                <w:rFonts w:ascii="宋体" w:hAnsi="宋体" w:cs="宋体" w:eastAsia="宋体" w:hint="default"/>
                <w:spacing w:val="4"/>
                <w:sz w:val="20"/>
                <w:szCs w:val="20"/>
              </w:rPr>
              <w:t>中国人寿保险股份有限公司－传统－</w:t>
            </w:r>
            <w:r>
              <w:rPr>
                <w:rFonts w:ascii="宋体" w:hAnsi="宋体" w:cs="宋体" w:eastAsia="宋体" w:hint="default"/>
                <w:w w:val="99"/>
                <w:sz w:val="20"/>
                <w:szCs w:val="20"/>
              </w:rPr>
              <w:t> </w:t>
            </w:r>
            <w:r>
              <w:rPr>
                <w:rFonts w:ascii="宋体" w:hAnsi="宋体" w:cs="宋体" w:eastAsia="宋体" w:hint="default"/>
                <w:sz w:val="20"/>
                <w:szCs w:val="20"/>
              </w:rPr>
              <w:t>普通保险产品－</w:t>
            </w:r>
            <w:r>
              <w:rPr>
                <w:rFonts w:ascii="宋体" w:hAnsi="宋体" w:cs="宋体" w:eastAsia="宋体" w:hint="default"/>
                <w:sz w:val="20"/>
                <w:szCs w:val="20"/>
              </w:rPr>
              <w:t>005L</w:t>
            </w:r>
            <w:r>
              <w:rPr>
                <w:rFonts w:ascii="宋体" w:hAnsi="宋体" w:cs="宋体" w:eastAsia="宋体" w:hint="default"/>
                <w:sz w:val="20"/>
                <w:szCs w:val="20"/>
              </w:rPr>
              <w:t>－</w:t>
            </w:r>
            <w:r>
              <w:rPr>
                <w:rFonts w:ascii="宋体" w:hAnsi="宋体" w:cs="宋体" w:eastAsia="宋体" w:hint="default"/>
                <w:sz w:val="20"/>
                <w:szCs w:val="20"/>
              </w:rPr>
              <w:t>CT001</w:t>
            </w:r>
            <w:r>
              <w:rPr>
                <w:rFonts w:ascii="宋体" w:hAnsi="宋体" w:cs="宋体" w:eastAsia="宋体" w:hint="default"/>
                <w:spacing w:val="-52"/>
                <w:sz w:val="20"/>
                <w:szCs w:val="20"/>
              </w:rPr>
              <w:t> </w:t>
            </w:r>
            <w:r>
              <w:rPr>
                <w:rFonts w:ascii="宋体" w:hAnsi="宋体" w:cs="宋体" w:eastAsia="宋体" w:hint="default"/>
                <w:sz w:val="20"/>
                <w:szCs w:val="20"/>
              </w:rPr>
              <w:t>沪</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right="5"/>
              <w:jc w:val="center"/>
              <w:rPr>
                <w:rFonts w:ascii="宋体" w:hAnsi="宋体" w:cs="宋体" w:eastAsia="宋体" w:hint="default"/>
                <w:sz w:val="20"/>
                <w:szCs w:val="20"/>
              </w:rPr>
            </w:pPr>
            <w:r>
              <w:rPr>
                <w:rFonts w:ascii="宋体"/>
                <w:sz w:val="20"/>
              </w:rPr>
              <w:t>3,177,159,590</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right="2"/>
              <w:jc w:val="center"/>
              <w:rPr>
                <w:rFonts w:ascii="宋体" w:hAnsi="宋体" w:cs="宋体" w:eastAsia="宋体" w:hint="default"/>
                <w:sz w:val="20"/>
                <w:szCs w:val="20"/>
              </w:rPr>
            </w:pPr>
            <w:r>
              <w:rPr>
                <w:rFonts w:ascii="宋体"/>
                <w:sz w:val="20"/>
              </w:rPr>
              <w:t>2020.10.31</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left="859" w:right="0"/>
              <w:jc w:val="left"/>
              <w:rPr>
                <w:rFonts w:ascii="宋体" w:hAnsi="宋体" w:cs="宋体" w:eastAsia="宋体" w:hint="default"/>
                <w:sz w:val="20"/>
                <w:szCs w:val="20"/>
              </w:rPr>
            </w:pPr>
            <w:r>
              <w:rPr>
                <w:rFonts w:ascii="宋体"/>
                <w:w w:val="99"/>
                <w:sz w:val="20"/>
              </w:rPr>
              <w:t>0</w:t>
            </w:r>
            <w:r>
              <w:rPr>
                <w:rFonts w:ascii="宋体"/>
                <w:sz w:val="20"/>
              </w:rPr>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06"/>
              <w:jc w:val="both"/>
              <w:rPr>
                <w:rFonts w:ascii="宋体" w:hAnsi="宋体" w:cs="宋体" w:eastAsia="宋体" w:hint="default"/>
                <w:sz w:val="20"/>
                <w:szCs w:val="20"/>
              </w:rPr>
            </w:pPr>
            <w:r>
              <w:rPr>
                <w:rFonts w:ascii="宋体" w:hAnsi="宋体" w:cs="宋体" w:eastAsia="宋体" w:hint="default"/>
                <w:sz w:val="20"/>
                <w:szCs w:val="20"/>
              </w:rPr>
              <w:t>公司 </w:t>
            </w:r>
            <w:r>
              <w:rPr>
                <w:rFonts w:ascii="宋体" w:hAnsi="宋体" w:cs="宋体" w:eastAsia="宋体" w:hint="default"/>
                <w:sz w:val="20"/>
                <w:szCs w:val="20"/>
              </w:rPr>
              <w:t>2017</w:t>
            </w:r>
            <w:r>
              <w:rPr>
                <w:rFonts w:ascii="宋体" w:hAnsi="宋体" w:cs="宋体" w:eastAsia="宋体" w:hint="default"/>
                <w:spacing w:val="-69"/>
                <w:sz w:val="20"/>
                <w:szCs w:val="20"/>
              </w:rPr>
              <w:t> </w:t>
            </w:r>
            <w:r>
              <w:rPr>
                <w:rFonts w:ascii="宋体" w:hAnsi="宋体" w:cs="宋体" w:eastAsia="宋体" w:hint="default"/>
                <w:sz w:val="20"/>
                <w:szCs w:val="20"/>
              </w:rPr>
              <w:t>年非公开</w:t>
            </w:r>
            <w:r>
              <w:rPr>
                <w:rFonts w:ascii="宋体" w:hAnsi="宋体" w:cs="宋体" w:eastAsia="宋体" w:hint="default"/>
                <w:w w:val="99"/>
                <w:sz w:val="20"/>
                <w:szCs w:val="20"/>
              </w:rPr>
              <w:t> </w:t>
            </w:r>
            <w:r>
              <w:rPr>
                <w:rFonts w:ascii="宋体" w:hAnsi="宋体" w:cs="宋体" w:eastAsia="宋体" w:hint="default"/>
                <w:spacing w:val="16"/>
                <w:sz w:val="20"/>
                <w:szCs w:val="20"/>
              </w:rPr>
              <w:t>发行股票完成后限</w:t>
            </w:r>
            <w:r>
              <w:rPr>
                <w:rFonts w:ascii="宋体" w:hAnsi="宋体" w:cs="宋体" w:eastAsia="宋体" w:hint="default"/>
                <w:w w:val="99"/>
                <w:sz w:val="20"/>
                <w:szCs w:val="20"/>
              </w:rPr>
              <w:t> </w:t>
            </w:r>
            <w:r>
              <w:rPr>
                <w:rFonts w:ascii="宋体" w:hAnsi="宋体" w:cs="宋体" w:eastAsia="宋体" w:hint="default"/>
                <w:sz w:val="20"/>
                <w:szCs w:val="20"/>
              </w:rPr>
              <w:t>售期</w:t>
            </w:r>
            <w:r>
              <w:rPr>
                <w:rFonts w:ascii="宋体" w:hAnsi="宋体" w:cs="宋体" w:eastAsia="宋体" w:hint="default"/>
                <w:spacing w:val="-52"/>
                <w:sz w:val="20"/>
                <w:szCs w:val="20"/>
              </w:rPr>
              <w:t> </w:t>
            </w:r>
            <w:r>
              <w:rPr>
                <w:rFonts w:ascii="宋体" w:hAnsi="宋体" w:cs="宋体" w:eastAsia="宋体" w:hint="default"/>
                <w:sz w:val="20"/>
                <w:szCs w:val="20"/>
              </w:rPr>
              <w:t>36</w:t>
            </w:r>
            <w:r>
              <w:rPr>
                <w:rFonts w:ascii="宋体" w:hAnsi="宋体" w:cs="宋体" w:eastAsia="宋体" w:hint="default"/>
                <w:spacing w:val="-51"/>
                <w:sz w:val="20"/>
                <w:szCs w:val="20"/>
              </w:rPr>
              <w:t> </w:t>
            </w:r>
            <w:r>
              <w:rPr>
                <w:rFonts w:ascii="宋体" w:hAnsi="宋体" w:cs="宋体" w:eastAsia="宋体" w:hint="default"/>
                <w:sz w:val="20"/>
                <w:szCs w:val="20"/>
              </w:rPr>
              <w:t>个月</w:t>
            </w:r>
            <w:r>
              <w:rPr>
                <w:rFonts w:ascii="宋体" w:hAnsi="宋体" w:cs="宋体" w:eastAsia="宋体" w:hint="default"/>
                <w:sz w:val="20"/>
                <w:szCs w:val="20"/>
              </w:rPr>
              <w:t>*</w:t>
            </w:r>
          </w:p>
        </w:tc>
      </w:tr>
      <w:tr>
        <w:trPr>
          <w:trHeight w:val="634" w:hRule="exact"/>
        </w:trPr>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宋体" w:hAnsi="宋体" w:cs="宋体" w:eastAsia="宋体" w:hint="default"/>
                <w:sz w:val="21"/>
                <w:szCs w:val="21"/>
              </w:rPr>
            </w:pPr>
            <w:r>
              <w:rPr>
                <w:rFonts w:ascii="宋体"/>
                <w:w w:val="100"/>
                <w:sz w:val="21"/>
              </w:rPr>
              <w:t>2</w:t>
            </w:r>
          </w:p>
        </w:tc>
        <w:tc>
          <w:tcPr>
            <w:tcW w:w="3488"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10"/>
              <w:jc w:val="left"/>
              <w:rPr>
                <w:rFonts w:ascii="宋体" w:hAnsi="宋体" w:cs="宋体" w:eastAsia="宋体" w:hint="default"/>
                <w:sz w:val="20"/>
                <w:szCs w:val="20"/>
              </w:rPr>
            </w:pPr>
            <w:r>
              <w:rPr>
                <w:rFonts w:ascii="宋体" w:hAnsi="宋体" w:cs="宋体" w:eastAsia="宋体" w:hint="default"/>
                <w:spacing w:val="4"/>
                <w:sz w:val="20"/>
                <w:szCs w:val="20"/>
              </w:rPr>
              <w:t>深圳市腾讯信达有限合伙企业（有限</w:t>
            </w:r>
            <w:r>
              <w:rPr>
                <w:rFonts w:ascii="宋体" w:hAnsi="宋体" w:cs="宋体" w:eastAsia="宋体" w:hint="default"/>
                <w:w w:val="99"/>
                <w:sz w:val="20"/>
                <w:szCs w:val="20"/>
              </w:rPr>
              <w:t> </w:t>
            </w:r>
            <w:r>
              <w:rPr>
                <w:rFonts w:ascii="宋体" w:hAnsi="宋体" w:cs="宋体" w:eastAsia="宋体" w:hint="default"/>
                <w:sz w:val="20"/>
                <w:szCs w:val="20"/>
              </w:rPr>
              <w:t>合伙）</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5"/>
              <w:jc w:val="center"/>
              <w:rPr>
                <w:rFonts w:ascii="宋体" w:hAnsi="宋体" w:cs="宋体" w:eastAsia="宋体" w:hint="default"/>
                <w:sz w:val="20"/>
                <w:szCs w:val="20"/>
              </w:rPr>
            </w:pPr>
            <w:r>
              <w:rPr>
                <w:rFonts w:ascii="宋体"/>
                <w:sz w:val="20"/>
              </w:rPr>
              <w:t>1,610,541,728</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
              <w:jc w:val="center"/>
              <w:rPr>
                <w:rFonts w:ascii="宋体" w:hAnsi="宋体" w:cs="宋体" w:eastAsia="宋体" w:hint="default"/>
                <w:sz w:val="20"/>
                <w:szCs w:val="20"/>
              </w:rPr>
            </w:pPr>
            <w:r>
              <w:rPr>
                <w:rFonts w:ascii="宋体"/>
                <w:sz w:val="20"/>
              </w:rPr>
              <w:t>2020.10.31</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859" w:right="0"/>
              <w:jc w:val="left"/>
              <w:rPr>
                <w:rFonts w:ascii="宋体" w:hAnsi="宋体" w:cs="宋体" w:eastAsia="宋体" w:hint="default"/>
                <w:sz w:val="20"/>
                <w:szCs w:val="20"/>
              </w:rPr>
            </w:pPr>
            <w:r>
              <w:rPr>
                <w:rFonts w:ascii="宋体"/>
                <w:w w:val="99"/>
                <w:sz w:val="20"/>
              </w:rPr>
              <w:t>0</w:t>
            </w:r>
            <w:r>
              <w:rPr>
                <w:rFonts w:ascii="宋体"/>
                <w:sz w:val="20"/>
              </w:rPr>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770" w:right="0"/>
              <w:jc w:val="left"/>
              <w:rPr>
                <w:rFonts w:ascii="宋体" w:hAnsi="宋体" w:cs="宋体" w:eastAsia="宋体" w:hint="default"/>
                <w:sz w:val="20"/>
                <w:szCs w:val="20"/>
              </w:rPr>
            </w:pPr>
            <w:r>
              <w:rPr>
                <w:rFonts w:ascii="宋体" w:hAnsi="宋体" w:cs="宋体" w:eastAsia="宋体" w:hint="default"/>
                <w:sz w:val="20"/>
                <w:szCs w:val="20"/>
              </w:rPr>
              <w:t>同上</w:t>
            </w:r>
          </w:p>
        </w:tc>
      </w:tr>
      <w:tr>
        <w:trPr>
          <w:trHeight w:val="946" w:hRule="exact"/>
        </w:trPr>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w w:val="100"/>
                <w:sz w:val="21"/>
              </w:rPr>
              <w:t>3</w:t>
            </w:r>
          </w:p>
        </w:tc>
        <w:tc>
          <w:tcPr>
            <w:tcW w:w="3488"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10"/>
              <w:jc w:val="left"/>
              <w:rPr>
                <w:rFonts w:ascii="宋体" w:hAnsi="宋体" w:cs="宋体" w:eastAsia="宋体" w:hint="default"/>
                <w:sz w:val="20"/>
                <w:szCs w:val="20"/>
              </w:rPr>
            </w:pPr>
            <w:r>
              <w:rPr>
                <w:rFonts w:ascii="宋体" w:hAnsi="宋体" w:cs="宋体" w:eastAsia="宋体" w:hint="default"/>
                <w:spacing w:val="4"/>
                <w:sz w:val="20"/>
                <w:szCs w:val="20"/>
              </w:rPr>
              <w:t>嘉兴小度投资管理有限公司－宁波梅</w:t>
            </w:r>
            <w:r>
              <w:rPr>
                <w:rFonts w:ascii="宋体" w:hAnsi="宋体" w:cs="宋体" w:eastAsia="宋体" w:hint="default"/>
                <w:w w:val="99"/>
                <w:sz w:val="20"/>
                <w:szCs w:val="20"/>
              </w:rPr>
              <w:t> </w:t>
            </w:r>
            <w:r>
              <w:rPr>
                <w:rFonts w:ascii="宋体" w:hAnsi="宋体" w:cs="宋体" w:eastAsia="宋体" w:hint="default"/>
                <w:spacing w:val="17"/>
                <w:sz w:val="20"/>
                <w:szCs w:val="20"/>
              </w:rPr>
              <w:t>山保税港区百度鹏寰投资合伙企业</w:t>
            </w:r>
          </w:p>
          <w:p>
            <w:pPr>
              <w:pStyle w:val="TableParagraph"/>
              <w:spacing w:line="240" w:lineRule="auto" w:before="12"/>
              <w:ind w:left="103" w:right="0"/>
              <w:jc w:val="left"/>
              <w:rPr>
                <w:rFonts w:ascii="宋体" w:hAnsi="宋体" w:cs="宋体" w:eastAsia="宋体" w:hint="default"/>
                <w:sz w:val="20"/>
                <w:szCs w:val="20"/>
              </w:rPr>
            </w:pPr>
            <w:r>
              <w:rPr>
                <w:rFonts w:ascii="宋体" w:hAnsi="宋体" w:cs="宋体" w:eastAsia="宋体" w:hint="default"/>
                <w:sz w:val="20"/>
                <w:szCs w:val="20"/>
              </w:rPr>
              <w:t>（有限合伙）</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5"/>
              <w:jc w:val="center"/>
              <w:rPr>
                <w:rFonts w:ascii="宋体" w:hAnsi="宋体" w:cs="宋体" w:eastAsia="宋体" w:hint="default"/>
                <w:sz w:val="20"/>
                <w:szCs w:val="20"/>
              </w:rPr>
            </w:pPr>
            <w:r>
              <w:rPr>
                <w:rFonts w:ascii="宋体"/>
                <w:sz w:val="20"/>
              </w:rPr>
              <w:t>1,024,890,190</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2"/>
              <w:jc w:val="center"/>
              <w:rPr>
                <w:rFonts w:ascii="宋体" w:hAnsi="宋体" w:cs="宋体" w:eastAsia="宋体" w:hint="default"/>
                <w:sz w:val="20"/>
                <w:szCs w:val="20"/>
              </w:rPr>
            </w:pPr>
            <w:r>
              <w:rPr>
                <w:rFonts w:ascii="宋体"/>
                <w:sz w:val="20"/>
              </w:rPr>
              <w:t>2020.10.31</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859" w:right="0"/>
              <w:jc w:val="left"/>
              <w:rPr>
                <w:rFonts w:ascii="宋体" w:hAnsi="宋体" w:cs="宋体" w:eastAsia="宋体" w:hint="default"/>
                <w:sz w:val="20"/>
                <w:szCs w:val="20"/>
              </w:rPr>
            </w:pPr>
            <w:r>
              <w:rPr>
                <w:rFonts w:ascii="宋体"/>
                <w:w w:val="99"/>
                <w:sz w:val="20"/>
              </w:rPr>
              <w:t>0</w:t>
            </w:r>
            <w:r>
              <w:rPr>
                <w:rFonts w:ascii="宋体"/>
                <w:sz w:val="20"/>
              </w:rPr>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770" w:right="0"/>
              <w:jc w:val="left"/>
              <w:rPr>
                <w:rFonts w:ascii="宋体" w:hAnsi="宋体" w:cs="宋体" w:eastAsia="宋体" w:hint="default"/>
                <w:sz w:val="20"/>
                <w:szCs w:val="20"/>
              </w:rPr>
            </w:pPr>
            <w:r>
              <w:rPr>
                <w:rFonts w:ascii="宋体" w:hAnsi="宋体" w:cs="宋体" w:eastAsia="宋体" w:hint="default"/>
                <w:sz w:val="20"/>
                <w:szCs w:val="20"/>
              </w:rPr>
              <w:t>同上</w:t>
            </w:r>
          </w:p>
        </w:tc>
      </w:tr>
      <w:tr>
        <w:trPr>
          <w:trHeight w:val="634" w:hRule="exact"/>
        </w:trPr>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w w:val="100"/>
                <w:sz w:val="21"/>
              </w:rPr>
              <w:t>4</w:t>
            </w:r>
          </w:p>
        </w:tc>
        <w:tc>
          <w:tcPr>
            <w:tcW w:w="3488"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09"/>
              <w:jc w:val="left"/>
              <w:rPr>
                <w:rFonts w:ascii="宋体" w:hAnsi="宋体" w:cs="宋体" w:eastAsia="宋体" w:hint="default"/>
                <w:sz w:val="20"/>
                <w:szCs w:val="20"/>
              </w:rPr>
            </w:pPr>
            <w:r>
              <w:rPr>
                <w:rFonts w:ascii="宋体" w:hAnsi="宋体" w:cs="宋体" w:eastAsia="宋体" w:hint="default"/>
                <w:spacing w:val="4"/>
                <w:sz w:val="20"/>
                <w:szCs w:val="20"/>
              </w:rPr>
              <w:t>宿迁京东三弘企业管理中心（有限合</w:t>
            </w:r>
            <w:r>
              <w:rPr>
                <w:rFonts w:ascii="宋体" w:hAnsi="宋体" w:cs="宋体" w:eastAsia="宋体" w:hint="default"/>
                <w:w w:val="99"/>
                <w:sz w:val="20"/>
                <w:szCs w:val="20"/>
              </w:rPr>
              <w:t> </w:t>
            </w:r>
            <w:r>
              <w:rPr>
                <w:rFonts w:ascii="宋体" w:hAnsi="宋体" w:cs="宋体" w:eastAsia="宋体" w:hint="default"/>
                <w:sz w:val="20"/>
                <w:szCs w:val="20"/>
              </w:rPr>
              <w:t>伙）</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5"/>
              <w:jc w:val="center"/>
              <w:rPr>
                <w:rFonts w:ascii="宋体" w:hAnsi="宋体" w:cs="宋体" w:eastAsia="宋体" w:hint="default"/>
                <w:sz w:val="20"/>
                <w:szCs w:val="20"/>
              </w:rPr>
            </w:pPr>
            <w:r>
              <w:rPr>
                <w:rFonts w:ascii="宋体"/>
                <w:sz w:val="20"/>
              </w:rPr>
              <w:t>732,064,421</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
              <w:jc w:val="center"/>
              <w:rPr>
                <w:rFonts w:ascii="宋体" w:hAnsi="宋体" w:cs="宋体" w:eastAsia="宋体" w:hint="default"/>
                <w:sz w:val="20"/>
                <w:szCs w:val="20"/>
              </w:rPr>
            </w:pPr>
            <w:r>
              <w:rPr>
                <w:rFonts w:ascii="宋体"/>
                <w:sz w:val="20"/>
              </w:rPr>
              <w:t>2020.10.31</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859" w:right="0"/>
              <w:jc w:val="left"/>
              <w:rPr>
                <w:rFonts w:ascii="宋体" w:hAnsi="宋体" w:cs="宋体" w:eastAsia="宋体" w:hint="default"/>
                <w:sz w:val="20"/>
                <w:szCs w:val="20"/>
              </w:rPr>
            </w:pPr>
            <w:r>
              <w:rPr>
                <w:rFonts w:ascii="宋体"/>
                <w:w w:val="99"/>
                <w:sz w:val="20"/>
              </w:rPr>
              <w:t>0</w:t>
            </w:r>
            <w:r>
              <w:rPr>
                <w:rFonts w:ascii="宋体"/>
                <w:sz w:val="20"/>
              </w:rPr>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770" w:right="0"/>
              <w:jc w:val="left"/>
              <w:rPr>
                <w:rFonts w:ascii="宋体" w:hAnsi="宋体" w:cs="宋体" w:eastAsia="宋体" w:hint="default"/>
                <w:sz w:val="20"/>
                <w:szCs w:val="20"/>
              </w:rPr>
            </w:pPr>
            <w:r>
              <w:rPr>
                <w:rFonts w:ascii="宋体" w:hAnsi="宋体" w:cs="宋体" w:eastAsia="宋体" w:hint="default"/>
                <w:sz w:val="20"/>
                <w:szCs w:val="20"/>
              </w:rPr>
              <w:t>同上</w:t>
            </w:r>
          </w:p>
        </w:tc>
      </w:tr>
      <w:tr>
        <w:trPr>
          <w:trHeight w:val="355" w:hRule="exact"/>
        </w:trPr>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center"/>
              <w:rPr>
                <w:rFonts w:ascii="宋体" w:hAnsi="宋体" w:cs="宋体" w:eastAsia="宋体" w:hint="default"/>
                <w:sz w:val="21"/>
                <w:szCs w:val="21"/>
              </w:rPr>
            </w:pPr>
            <w:r>
              <w:rPr>
                <w:rFonts w:ascii="宋体"/>
                <w:w w:val="100"/>
                <w:sz w:val="21"/>
              </w:rPr>
              <w:t>5</w:t>
            </w:r>
          </w:p>
        </w:tc>
        <w:tc>
          <w:tcPr>
            <w:tcW w:w="3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20"/>
                <w:szCs w:val="20"/>
              </w:rPr>
            </w:pPr>
            <w:r>
              <w:rPr>
                <w:rFonts w:ascii="宋体" w:hAnsi="宋体" w:cs="宋体" w:eastAsia="宋体" w:hint="default"/>
                <w:sz w:val="20"/>
                <w:szCs w:val="20"/>
              </w:rPr>
              <w:t>杭州阿里创业投资有限公司</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5"/>
              <w:jc w:val="center"/>
              <w:rPr>
                <w:rFonts w:ascii="宋体" w:hAnsi="宋体" w:cs="宋体" w:eastAsia="宋体" w:hint="default"/>
                <w:sz w:val="20"/>
                <w:szCs w:val="20"/>
              </w:rPr>
            </w:pPr>
            <w:r>
              <w:rPr>
                <w:rFonts w:ascii="宋体"/>
                <w:sz w:val="20"/>
              </w:rPr>
              <w:t>633,254,734</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
              <w:jc w:val="center"/>
              <w:rPr>
                <w:rFonts w:ascii="宋体" w:hAnsi="宋体" w:cs="宋体" w:eastAsia="宋体" w:hint="default"/>
                <w:sz w:val="20"/>
                <w:szCs w:val="20"/>
              </w:rPr>
            </w:pPr>
            <w:r>
              <w:rPr>
                <w:rFonts w:ascii="宋体"/>
                <w:sz w:val="20"/>
              </w:rPr>
              <w:t>2020.10.31</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859" w:right="0"/>
              <w:jc w:val="left"/>
              <w:rPr>
                <w:rFonts w:ascii="宋体" w:hAnsi="宋体" w:cs="宋体" w:eastAsia="宋体" w:hint="default"/>
                <w:sz w:val="20"/>
                <w:szCs w:val="20"/>
              </w:rPr>
            </w:pPr>
            <w:r>
              <w:rPr>
                <w:rFonts w:ascii="宋体"/>
                <w:w w:val="99"/>
                <w:sz w:val="20"/>
              </w:rPr>
              <w:t>0</w:t>
            </w:r>
            <w:r>
              <w:rPr>
                <w:rFonts w:ascii="宋体"/>
                <w:sz w:val="20"/>
              </w:rPr>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770" w:right="0"/>
              <w:jc w:val="left"/>
              <w:rPr>
                <w:rFonts w:ascii="宋体" w:hAnsi="宋体" w:cs="宋体" w:eastAsia="宋体" w:hint="default"/>
                <w:sz w:val="20"/>
                <w:szCs w:val="20"/>
              </w:rPr>
            </w:pPr>
            <w:r>
              <w:rPr>
                <w:rFonts w:ascii="宋体" w:hAnsi="宋体" w:cs="宋体" w:eastAsia="宋体" w:hint="default"/>
                <w:sz w:val="20"/>
                <w:szCs w:val="20"/>
              </w:rPr>
              <w:t>同上</w:t>
            </w:r>
          </w:p>
        </w:tc>
      </w:tr>
      <w:tr>
        <w:trPr>
          <w:trHeight w:val="355" w:hRule="exact"/>
        </w:trPr>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center"/>
              <w:rPr>
                <w:rFonts w:ascii="宋体" w:hAnsi="宋体" w:cs="宋体" w:eastAsia="宋体" w:hint="default"/>
                <w:sz w:val="21"/>
                <w:szCs w:val="21"/>
              </w:rPr>
            </w:pPr>
            <w:r>
              <w:rPr>
                <w:rFonts w:ascii="宋体"/>
                <w:w w:val="100"/>
                <w:sz w:val="21"/>
              </w:rPr>
              <w:t>6</w:t>
            </w:r>
          </w:p>
        </w:tc>
        <w:tc>
          <w:tcPr>
            <w:tcW w:w="3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20"/>
                <w:szCs w:val="20"/>
              </w:rPr>
            </w:pPr>
            <w:r>
              <w:rPr>
                <w:rFonts w:ascii="宋体" w:hAnsi="宋体" w:cs="宋体" w:eastAsia="宋体" w:hint="default"/>
                <w:sz w:val="20"/>
                <w:szCs w:val="20"/>
              </w:rPr>
              <w:t>苏宁易购集团股份有限公司</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5"/>
              <w:jc w:val="center"/>
              <w:rPr>
                <w:rFonts w:ascii="宋体" w:hAnsi="宋体" w:cs="宋体" w:eastAsia="宋体" w:hint="default"/>
                <w:sz w:val="20"/>
                <w:szCs w:val="20"/>
              </w:rPr>
            </w:pPr>
            <w:r>
              <w:rPr>
                <w:rFonts w:ascii="宋体"/>
                <w:sz w:val="20"/>
              </w:rPr>
              <w:t>585,651,537</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
              <w:jc w:val="center"/>
              <w:rPr>
                <w:rFonts w:ascii="宋体" w:hAnsi="宋体" w:cs="宋体" w:eastAsia="宋体" w:hint="default"/>
                <w:sz w:val="20"/>
                <w:szCs w:val="20"/>
              </w:rPr>
            </w:pPr>
            <w:r>
              <w:rPr>
                <w:rFonts w:ascii="宋体"/>
                <w:sz w:val="20"/>
              </w:rPr>
              <w:t>2020.10.31</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859" w:right="0"/>
              <w:jc w:val="left"/>
              <w:rPr>
                <w:rFonts w:ascii="宋体" w:hAnsi="宋体" w:cs="宋体" w:eastAsia="宋体" w:hint="default"/>
                <w:sz w:val="20"/>
                <w:szCs w:val="20"/>
              </w:rPr>
            </w:pPr>
            <w:r>
              <w:rPr>
                <w:rFonts w:ascii="宋体"/>
                <w:w w:val="99"/>
                <w:sz w:val="20"/>
              </w:rPr>
              <w:t>0</w:t>
            </w:r>
            <w:r>
              <w:rPr>
                <w:rFonts w:ascii="宋体"/>
                <w:sz w:val="20"/>
              </w:rPr>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770" w:right="0"/>
              <w:jc w:val="left"/>
              <w:rPr>
                <w:rFonts w:ascii="宋体" w:hAnsi="宋体" w:cs="宋体" w:eastAsia="宋体" w:hint="default"/>
                <w:sz w:val="20"/>
                <w:szCs w:val="20"/>
              </w:rPr>
            </w:pPr>
            <w:r>
              <w:rPr>
                <w:rFonts w:ascii="宋体" w:hAnsi="宋体" w:cs="宋体" w:eastAsia="宋体" w:hint="default"/>
                <w:sz w:val="20"/>
                <w:szCs w:val="20"/>
              </w:rPr>
              <w:t>同上</w:t>
            </w:r>
          </w:p>
        </w:tc>
      </w:tr>
      <w:tr>
        <w:trPr>
          <w:trHeight w:val="634" w:hRule="exact"/>
        </w:trPr>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w w:val="100"/>
                <w:sz w:val="21"/>
              </w:rPr>
              <w:t>7</w:t>
            </w:r>
          </w:p>
        </w:tc>
        <w:tc>
          <w:tcPr>
            <w:tcW w:w="348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pacing w:val="4"/>
                <w:sz w:val="20"/>
                <w:szCs w:val="20"/>
              </w:rPr>
              <w:t>深圳淮海方舟信息产业股权投资基金</w:t>
            </w:r>
          </w:p>
          <w:p>
            <w:pPr>
              <w:pStyle w:val="TableParagraph"/>
              <w:spacing w:line="240" w:lineRule="auto" w:before="50"/>
              <w:ind w:left="103" w:right="0"/>
              <w:jc w:val="left"/>
              <w:rPr>
                <w:rFonts w:ascii="宋体" w:hAnsi="宋体" w:cs="宋体" w:eastAsia="宋体" w:hint="default"/>
                <w:sz w:val="20"/>
                <w:szCs w:val="20"/>
              </w:rPr>
            </w:pPr>
            <w:r>
              <w:rPr>
                <w:rFonts w:ascii="宋体" w:hAnsi="宋体" w:cs="宋体" w:eastAsia="宋体" w:hint="default"/>
                <w:sz w:val="20"/>
                <w:szCs w:val="20"/>
              </w:rPr>
              <w:t>（有限合伙）</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5"/>
              <w:jc w:val="center"/>
              <w:rPr>
                <w:rFonts w:ascii="宋体" w:hAnsi="宋体" w:cs="宋体" w:eastAsia="宋体" w:hint="default"/>
                <w:sz w:val="20"/>
                <w:szCs w:val="20"/>
              </w:rPr>
            </w:pPr>
            <w:r>
              <w:rPr>
                <w:rFonts w:ascii="宋体"/>
                <w:sz w:val="20"/>
              </w:rPr>
              <w:t>585,651,537</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
              <w:jc w:val="center"/>
              <w:rPr>
                <w:rFonts w:ascii="宋体" w:hAnsi="宋体" w:cs="宋体" w:eastAsia="宋体" w:hint="default"/>
                <w:sz w:val="20"/>
                <w:szCs w:val="20"/>
              </w:rPr>
            </w:pPr>
            <w:r>
              <w:rPr>
                <w:rFonts w:ascii="宋体"/>
                <w:sz w:val="20"/>
              </w:rPr>
              <w:t>2020.10.31</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859" w:right="0"/>
              <w:jc w:val="left"/>
              <w:rPr>
                <w:rFonts w:ascii="宋体" w:hAnsi="宋体" w:cs="宋体" w:eastAsia="宋体" w:hint="default"/>
                <w:sz w:val="20"/>
                <w:szCs w:val="20"/>
              </w:rPr>
            </w:pPr>
            <w:r>
              <w:rPr>
                <w:rFonts w:ascii="宋体"/>
                <w:w w:val="99"/>
                <w:sz w:val="20"/>
              </w:rPr>
              <w:t>0</w:t>
            </w:r>
            <w:r>
              <w:rPr>
                <w:rFonts w:ascii="宋体"/>
                <w:sz w:val="20"/>
              </w:rPr>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770" w:right="0"/>
              <w:jc w:val="left"/>
              <w:rPr>
                <w:rFonts w:ascii="宋体" w:hAnsi="宋体" w:cs="宋体" w:eastAsia="宋体" w:hint="default"/>
                <w:sz w:val="20"/>
                <w:szCs w:val="20"/>
              </w:rPr>
            </w:pPr>
            <w:r>
              <w:rPr>
                <w:rFonts w:ascii="宋体" w:hAnsi="宋体" w:cs="宋体" w:eastAsia="宋体" w:hint="default"/>
                <w:sz w:val="20"/>
                <w:szCs w:val="20"/>
              </w:rPr>
              <w:t>同上</w:t>
            </w:r>
          </w:p>
        </w:tc>
      </w:tr>
      <w:tr>
        <w:trPr>
          <w:trHeight w:val="634" w:hRule="exact"/>
        </w:trPr>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w w:val="100"/>
                <w:sz w:val="21"/>
              </w:rPr>
              <w:t>8</w:t>
            </w:r>
          </w:p>
        </w:tc>
        <w:tc>
          <w:tcPr>
            <w:tcW w:w="3488"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10"/>
              <w:jc w:val="left"/>
              <w:rPr>
                <w:rFonts w:ascii="宋体" w:hAnsi="宋体" w:cs="宋体" w:eastAsia="宋体" w:hint="default"/>
                <w:sz w:val="20"/>
                <w:szCs w:val="20"/>
              </w:rPr>
            </w:pPr>
            <w:r>
              <w:rPr>
                <w:rFonts w:ascii="宋体" w:hAnsi="宋体" w:cs="宋体" w:eastAsia="宋体" w:hint="default"/>
                <w:spacing w:val="4"/>
                <w:sz w:val="20"/>
                <w:szCs w:val="20"/>
              </w:rPr>
              <w:t>深圳光启互联技术投资合伙企业（有</w:t>
            </w:r>
            <w:r>
              <w:rPr>
                <w:rFonts w:ascii="宋体" w:hAnsi="宋体" w:cs="宋体" w:eastAsia="宋体" w:hint="default"/>
                <w:w w:val="99"/>
                <w:sz w:val="20"/>
                <w:szCs w:val="20"/>
              </w:rPr>
              <w:t> </w:t>
            </w:r>
            <w:r>
              <w:rPr>
                <w:rFonts w:ascii="宋体" w:hAnsi="宋体" w:cs="宋体" w:eastAsia="宋体" w:hint="default"/>
                <w:sz w:val="20"/>
                <w:szCs w:val="20"/>
              </w:rPr>
              <w:t>限合伙）</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5"/>
              <w:jc w:val="center"/>
              <w:rPr>
                <w:rFonts w:ascii="宋体" w:hAnsi="宋体" w:cs="宋体" w:eastAsia="宋体" w:hint="default"/>
                <w:sz w:val="20"/>
                <w:szCs w:val="20"/>
              </w:rPr>
            </w:pPr>
            <w:r>
              <w:rPr>
                <w:rFonts w:ascii="宋体"/>
                <w:sz w:val="20"/>
              </w:rPr>
              <w:t>585,651,537</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
              <w:jc w:val="center"/>
              <w:rPr>
                <w:rFonts w:ascii="宋体" w:hAnsi="宋体" w:cs="宋体" w:eastAsia="宋体" w:hint="default"/>
                <w:sz w:val="20"/>
                <w:szCs w:val="20"/>
              </w:rPr>
            </w:pPr>
            <w:r>
              <w:rPr>
                <w:rFonts w:ascii="宋体"/>
                <w:sz w:val="20"/>
              </w:rPr>
              <w:t>2020.10.31</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859" w:right="0"/>
              <w:jc w:val="left"/>
              <w:rPr>
                <w:rFonts w:ascii="宋体" w:hAnsi="宋体" w:cs="宋体" w:eastAsia="宋体" w:hint="default"/>
                <w:sz w:val="20"/>
                <w:szCs w:val="20"/>
              </w:rPr>
            </w:pPr>
            <w:r>
              <w:rPr>
                <w:rFonts w:ascii="宋体"/>
                <w:w w:val="99"/>
                <w:sz w:val="20"/>
              </w:rPr>
              <w:t>0</w:t>
            </w:r>
            <w:r>
              <w:rPr>
                <w:rFonts w:ascii="宋体"/>
                <w:sz w:val="20"/>
              </w:rPr>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770" w:right="0"/>
              <w:jc w:val="left"/>
              <w:rPr>
                <w:rFonts w:ascii="宋体" w:hAnsi="宋体" w:cs="宋体" w:eastAsia="宋体" w:hint="default"/>
                <w:sz w:val="20"/>
                <w:szCs w:val="20"/>
              </w:rPr>
            </w:pPr>
            <w:r>
              <w:rPr>
                <w:rFonts w:ascii="宋体" w:hAnsi="宋体" w:cs="宋体" w:eastAsia="宋体" w:hint="default"/>
                <w:sz w:val="20"/>
                <w:szCs w:val="20"/>
              </w:rPr>
              <w:t>同上</w:t>
            </w:r>
          </w:p>
        </w:tc>
      </w:tr>
      <w:tr>
        <w:trPr>
          <w:trHeight w:val="634" w:hRule="exact"/>
        </w:trPr>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w w:val="100"/>
                <w:sz w:val="21"/>
              </w:rPr>
              <w:t>9</w:t>
            </w:r>
          </w:p>
        </w:tc>
        <w:tc>
          <w:tcPr>
            <w:tcW w:w="3488"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01"/>
              <w:jc w:val="left"/>
              <w:rPr>
                <w:rFonts w:ascii="宋体" w:hAnsi="宋体" w:cs="宋体" w:eastAsia="宋体" w:hint="default"/>
                <w:sz w:val="20"/>
                <w:szCs w:val="20"/>
              </w:rPr>
            </w:pPr>
            <w:r>
              <w:rPr>
                <w:rFonts w:ascii="宋体" w:hAnsi="宋体" w:cs="宋体" w:eastAsia="宋体" w:hint="default"/>
                <w:spacing w:val="4"/>
                <w:sz w:val="20"/>
                <w:szCs w:val="20"/>
              </w:rPr>
              <w:t>兴全基金－招商银行－上海网宿投资</w:t>
            </w:r>
            <w:r>
              <w:rPr>
                <w:rFonts w:ascii="宋体" w:hAnsi="宋体" w:cs="宋体" w:eastAsia="宋体" w:hint="default"/>
                <w:spacing w:val="4"/>
                <w:w w:val="99"/>
                <w:sz w:val="20"/>
                <w:szCs w:val="20"/>
              </w:rPr>
              <w:t> </w:t>
            </w:r>
            <w:r>
              <w:rPr>
                <w:rFonts w:ascii="宋体" w:hAnsi="宋体" w:cs="宋体" w:eastAsia="宋体" w:hint="default"/>
                <w:sz w:val="20"/>
                <w:szCs w:val="20"/>
              </w:rPr>
              <w:t>管理有限公司</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3"/>
              <w:jc w:val="center"/>
              <w:rPr>
                <w:rFonts w:ascii="宋体" w:hAnsi="宋体" w:cs="宋体" w:eastAsia="宋体" w:hint="default"/>
                <w:sz w:val="20"/>
                <w:szCs w:val="20"/>
              </w:rPr>
            </w:pPr>
            <w:r>
              <w:rPr>
                <w:rFonts w:ascii="宋体"/>
                <w:sz w:val="20"/>
              </w:rPr>
              <w:t>58,565,153</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
              <w:jc w:val="center"/>
              <w:rPr>
                <w:rFonts w:ascii="宋体" w:hAnsi="宋体" w:cs="宋体" w:eastAsia="宋体" w:hint="default"/>
                <w:sz w:val="20"/>
                <w:szCs w:val="20"/>
              </w:rPr>
            </w:pPr>
            <w:r>
              <w:rPr>
                <w:rFonts w:ascii="宋体"/>
                <w:sz w:val="20"/>
              </w:rPr>
              <w:t>2020.10.31</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859" w:right="0"/>
              <w:jc w:val="left"/>
              <w:rPr>
                <w:rFonts w:ascii="宋体" w:hAnsi="宋体" w:cs="宋体" w:eastAsia="宋体" w:hint="default"/>
                <w:sz w:val="20"/>
                <w:szCs w:val="20"/>
              </w:rPr>
            </w:pPr>
            <w:r>
              <w:rPr>
                <w:rFonts w:ascii="宋体"/>
                <w:w w:val="99"/>
                <w:sz w:val="20"/>
              </w:rPr>
              <w:t>0</w:t>
            </w:r>
            <w:r>
              <w:rPr>
                <w:rFonts w:ascii="宋体"/>
                <w:sz w:val="20"/>
              </w:rPr>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770" w:right="0"/>
              <w:jc w:val="left"/>
              <w:rPr>
                <w:rFonts w:ascii="宋体" w:hAnsi="宋体" w:cs="宋体" w:eastAsia="宋体" w:hint="default"/>
                <w:sz w:val="20"/>
                <w:szCs w:val="20"/>
              </w:rPr>
            </w:pPr>
            <w:r>
              <w:rPr>
                <w:rFonts w:ascii="宋体" w:hAnsi="宋体" w:cs="宋体" w:eastAsia="宋体" w:hint="default"/>
                <w:sz w:val="20"/>
                <w:szCs w:val="20"/>
              </w:rPr>
              <w:t>同上</w:t>
            </w:r>
          </w:p>
        </w:tc>
      </w:tr>
      <w:tr>
        <w:trPr>
          <w:trHeight w:val="636" w:hRule="exact"/>
        </w:trPr>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sz w:val="21"/>
              </w:rPr>
              <w:t>10</w:t>
            </w:r>
          </w:p>
        </w:tc>
        <w:tc>
          <w:tcPr>
            <w:tcW w:w="3488"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10"/>
              <w:jc w:val="left"/>
              <w:rPr>
                <w:rFonts w:ascii="宋体" w:hAnsi="宋体" w:cs="宋体" w:eastAsia="宋体" w:hint="default"/>
                <w:sz w:val="20"/>
                <w:szCs w:val="20"/>
              </w:rPr>
            </w:pPr>
            <w:r>
              <w:rPr>
                <w:rFonts w:ascii="宋体" w:hAnsi="宋体" w:cs="宋体" w:eastAsia="宋体" w:hint="default"/>
                <w:spacing w:val="4"/>
                <w:sz w:val="20"/>
                <w:szCs w:val="20"/>
              </w:rPr>
              <w:t>兴全基金－招商银行－中车金证投资</w:t>
            </w:r>
            <w:r>
              <w:rPr>
                <w:rFonts w:ascii="宋体" w:hAnsi="宋体" w:cs="宋体" w:eastAsia="宋体" w:hint="default"/>
                <w:w w:val="99"/>
                <w:sz w:val="20"/>
                <w:szCs w:val="20"/>
              </w:rPr>
              <w:t> </w:t>
            </w:r>
            <w:r>
              <w:rPr>
                <w:rFonts w:ascii="宋体" w:hAnsi="宋体" w:cs="宋体" w:eastAsia="宋体" w:hint="default"/>
                <w:sz w:val="20"/>
                <w:szCs w:val="20"/>
              </w:rPr>
              <w:t>有限公司</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3"/>
              <w:jc w:val="center"/>
              <w:rPr>
                <w:rFonts w:ascii="宋体" w:hAnsi="宋体" w:cs="宋体" w:eastAsia="宋体" w:hint="default"/>
                <w:sz w:val="20"/>
                <w:szCs w:val="20"/>
              </w:rPr>
            </w:pPr>
            <w:r>
              <w:rPr>
                <w:rFonts w:ascii="宋体"/>
                <w:sz w:val="20"/>
              </w:rPr>
              <w:t>43,923,865</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2"/>
              <w:jc w:val="center"/>
              <w:rPr>
                <w:rFonts w:ascii="宋体" w:hAnsi="宋体" w:cs="宋体" w:eastAsia="宋体" w:hint="default"/>
                <w:sz w:val="20"/>
                <w:szCs w:val="20"/>
              </w:rPr>
            </w:pPr>
            <w:r>
              <w:rPr>
                <w:rFonts w:ascii="宋体"/>
                <w:sz w:val="20"/>
              </w:rPr>
              <w:t>2020.10.31</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859" w:right="0"/>
              <w:jc w:val="left"/>
              <w:rPr>
                <w:rFonts w:ascii="宋体" w:hAnsi="宋体" w:cs="宋体" w:eastAsia="宋体" w:hint="default"/>
                <w:sz w:val="20"/>
                <w:szCs w:val="20"/>
              </w:rPr>
            </w:pPr>
            <w:r>
              <w:rPr>
                <w:rFonts w:ascii="宋体"/>
                <w:w w:val="99"/>
                <w:sz w:val="20"/>
              </w:rPr>
              <w:t>0</w:t>
            </w:r>
            <w:r>
              <w:rPr>
                <w:rFonts w:ascii="宋体"/>
                <w:sz w:val="20"/>
              </w:rPr>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770" w:right="0"/>
              <w:jc w:val="left"/>
              <w:rPr>
                <w:rFonts w:ascii="宋体" w:hAnsi="宋体" w:cs="宋体" w:eastAsia="宋体" w:hint="default"/>
                <w:sz w:val="20"/>
                <w:szCs w:val="20"/>
              </w:rPr>
            </w:pPr>
            <w:r>
              <w:rPr>
                <w:rFonts w:ascii="宋体" w:hAnsi="宋体" w:cs="宋体" w:eastAsia="宋体" w:hint="default"/>
                <w:sz w:val="20"/>
                <w:szCs w:val="20"/>
              </w:rPr>
              <w:t>同上</w:t>
            </w:r>
          </w:p>
        </w:tc>
      </w:tr>
      <w:tr>
        <w:trPr>
          <w:trHeight w:val="322" w:hRule="exact"/>
        </w:trPr>
        <w:tc>
          <w:tcPr>
            <w:tcW w:w="40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上述股东关联关系或一致行动的说明</w:t>
            </w:r>
          </w:p>
        </w:tc>
        <w:tc>
          <w:tcPr>
            <w:tcW w:w="7271"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公司未知上述股东关联关系或一致行动的情况。</w:t>
            </w:r>
          </w:p>
        </w:tc>
      </w:tr>
    </w:tbl>
    <w:p>
      <w:pPr>
        <w:spacing w:before="8"/>
        <w:ind w:left="1218" w:right="0" w:firstLine="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z w:val="18"/>
          <w:szCs w:val="18"/>
        </w:rPr>
        <w:t>2017</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10</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宋体" w:hAnsi="宋体" w:cs="宋体" w:eastAsia="宋体" w:hint="default"/>
          <w:sz w:val="18"/>
          <w:szCs w:val="18"/>
        </w:rPr>
        <w:t>31</w:t>
      </w:r>
      <w:r>
        <w:rPr>
          <w:rFonts w:ascii="宋体" w:hAnsi="宋体" w:cs="宋体" w:eastAsia="宋体" w:hint="default"/>
          <w:spacing w:val="-48"/>
          <w:sz w:val="18"/>
          <w:szCs w:val="18"/>
        </w:rPr>
        <w:t> </w:t>
      </w:r>
      <w:r>
        <w:rPr>
          <w:rFonts w:ascii="宋体" w:hAnsi="宋体" w:cs="宋体" w:eastAsia="宋体" w:hint="default"/>
          <w:sz w:val="18"/>
          <w:szCs w:val="18"/>
        </w:rPr>
        <w:t>日，公司混合所有制改革非公开发行新增股份于中国证券登记结算有限责任公司上海分公司办理</w:t>
      </w:r>
    </w:p>
    <w:p>
      <w:pPr>
        <w:spacing w:before="76"/>
        <w:ind w:left="1218" w:right="0" w:firstLine="0"/>
        <w:jc w:val="left"/>
        <w:rPr>
          <w:rFonts w:ascii="宋体" w:hAnsi="宋体" w:cs="宋体" w:eastAsia="宋体" w:hint="default"/>
          <w:sz w:val="18"/>
          <w:szCs w:val="18"/>
        </w:rPr>
      </w:pPr>
      <w:r>
        <w:rPr>
          <w:rFonts w:ascii="宋体" w:hAnsi="宋体" w:cs="宋体" w:eastAsia="宋体" w:hint="default"/>
          <w:sz w:val="18"/>
          <w:szCs w:val="18"/>
        </w:rPr>
        <w:t>完毕登记托管手续。本次发行新增股份的性质为有限售条件流通股，自股份登记完成之日起限售期</w:t>
      </w:r>
      <w:r>
        <w:rPr>
          <w:rFonts w:ascii="宋体" w:hAnsi="宋体" w:cs="宋体" w:eastAsia="宋体" w:hint="default"/>
          <w:spacing w:val="-63"/>
          <w:sz w:val="18"/>
          <w:szCs w:val="18"/>
        </w:rPr>
        <w:t> </w:t>
      </w:r>
      <w:r>
        <w:rPr>
          <w:rFonts w:ascii="宋体" w:hAnsi="宋体" w:cs="宋体" w:eastAsia="宋体" w:hint="default"/>
          <w:sz w:val="18"/>
          <w:szCs w:val="18"/>
        </w:rPr>
        <w:t>36</w:t>
      </w:r>
      <w:r>
        <w:rPr>
          <w:rFonts w:ascii="宋体" w:hAnsi="宋体" w:cs="宋体" w:eastAsia="宋体" w:hint="default"/>
          <w:spacing w:val="-63"/>
          <w:sz w:val="18"/>
          <w:szCs w:val="18"/>
        </w:rPr>
        <w:t> </w:t>
      </w:r>
      <w:r>
        <w:rPr>
          <w:rFonts w:ascii="宋体" w:hAnsi="宋体" w:cs="宋体" w:eastAsia="宋体" w:hint="default"/>
          <w:spacing w:val="-3"/>
          <w:sz w:val="18"/>
          <w:szCs w:val="18"/>
        </w:rPr>
        <w:t>个月。详情请见</w:t>
      </w:r>
    </w:p>
    <w:p>
      <w:pPr>
        <w:spacing w:before="76"/>
        <w:ind w:left="1218" w:right="0" w:firstLine="0"/>
        <w:jc w:val="left"/>
        <w:rPr>
          <w:rFonts w:ascii="宋体" w:hAnsi="宋体" w:cs="宋体" w:eastAsia="宋体" w:hint="default"/>
          <w:sz w:val="18"/>
          <w:szCs w:val="18"/>
        </w:rPr>
      </w:pPr>
      <w:r>
        <w:rPr>
          <w:rFonts w:ascii="宋体" w:hAnsi="宋体" w:cs="宋体" w:eastAsia="宋体" w:hint="default"/>
          <w:sz w:val="18"/>
          <w:szCs w:val="18"/>
        </w:rPr>
        <w:t>公司于</w:t>
      </w:r>
      <w:r>
        <w:rPr>
          <w:rFonts w:ascii="宋体" w:hAnsi="宋体" w:cs="宋体" w:eastAsia="宋体" w:hint="default"/>
          <w:spacing w:val="-41"/>
          <w:sz w:val="18"/>
          <w:szCs w:val="18"/>
        </w:rPr>
        <w:t> </w:t>
      </w:r>
      <w:r>
        <w:rPr>
          <w:rFonts w:ascii="宋体" w:hAnsi="宋体" w:cs="宋体" w:eastAsia="宋体" w:hint="default"/>
          <w:sz w:val="18"/>
          <w:szCs w:val="18"/>
        </w:rPr>
        <w:t>2017</w:t>
      </w:r>
      <w:r>
        <w:rPr>
          <w:rFonts w:ascii="宋体" w:hAnsi="宋体" w:cs="宋体" w:eastAsia="宋体" w:hint="default"/>
          <w:spacing w:val="-40"/>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宋体" w:hAnsi="宋体" w:cs="宋体" w:eastAsia="宋体" w:hint="default"/>
          <w:sz w:val="18"/>
          <w:szCs w:val="18"/>
        </w:rPr>
        <w:t>11</w:t>
      </w:r>
      <w:r>
        <w:rPr>
          <w:rFonts w:ascii="宋体" w:hAnsi="宋体" w:cs="宋体" w:eastAsia="宋体" w:hint="default"/>
          <w:spacing w:val="-40"/>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宋体" w:hAnsi="宋体" w:cs="宋体" w:eastAsia="宋体" w:hint="default"/>
          <w:sz w:val="18"/>
          <w:szCs w:val="18"/>
        </w:rPr>
        <w:t>2</w:t>
      </w:r>
      <w:r>
        <w:rPr>
          <w:rFonts w:ascii="宋体" w:hAnsi="宋体" w:cs="宋体" w:eastAsia="宋体" w:hint="default"/>
          <w:spacing w:val="-40"/>
          <w:sz w:val="18"/>
          <w:szCs w:val="18"/>
        </w:rPr>
        <w:t> </w:t>
      </w:r>
      <w:r>
        <w:rPr>
          <w:rFonts w:ascii="宋体" w:hAnsi="宋体" w:cs="宋体" w:eastAsia="宋体" w:hint="default"/>
          <w:sz w:val="18"/>
          <w:szCs w:val="18"/>
        </w:rPr>
        <w:t>日在《中国证券报》《上海证券报》《证券时报》、上海证券交易所网站及本公司网站发布的</w:t>
      </w:r>
    </w:p>
    <w:p>
      <w:pPr>
        <w:spacing w:before="77"/>
        <w:ind w:left="1218" w:right="0" w:firstLine="0"/>
        <w:jc w:val="left"/>
        <w:rPr>
          <w:rFonts w:ascii="宋体" w:hAnsi="宋体" w:cs="宋体" w:eastAsia="宋体" w:hint="default"/>
          <w:sz w:val="18"/>
          <w:szCs w:val="18"/>
        </w:rPr>
      </w:pPr>
      <w:r>
        <w:rPr>
          <w:rFonts w:ascii="宋体" w:hAnsi="宋体" w:cs="宋体" w:eastAsia="宋体" w:hint="default"/>
          <w:sz w:val="18"/>
          <w:szCs w:val="18"/>
        </w:rPr>
        <w:t>《中国联合网络通信股份有限公司非公开发行</w:t>
      </w:r>
      <w:r>
        <w:rPr>
          <w:rFonts w:ascii="宋体" w:hAnsi="宋体" w:cs="宋体" w:eastAsia="宋体" w:hint="default"/>
          <w:spacing w:val="-47"/>
          <w:sz w:val="18"/>
          <w:szCs w:val="18"/>
        </w:rPr>
        <w:t> </w:t>
      </w:r>
      <w:r>
        <w:rPr>
          <w:rFonts w:ascii="宋体" w:hAnsi="宋体" w:cs="宋体" w:eastAsia="宋体" w:hint="default"/>
          <w:sz w:val="18"/>
          <w:szCs w:val="18"/>
        </w:rPr>
        <w:t>A</w:t>
      </w:r>
      <w:r>
        <w:rPr>
          <w:rFonts w:ascii="宋体" w:hAnsi="宋体" w:cs="宋体" w:eastAsia="宋体" w:hint="default"/>
          <w:spacing w:val="-46"/>
          <w:sz w:val="18"/>
          <w:szCs w:val="18"/>
        </w:rPr>
        <w:t> </w:t>
      </w:r>
      <w:r>
        <w:rPr>
          <w:rFonts w:ascii="宋体" w:hAnsi="宋体" w:cs="宋体" w:eastAsia="宋体" w:hint="default"/>
          <w:sz w:val="18"/>
          <w:szCs w:val="18"/>
        </w:rPr>
        <w:t>股股票发行结果暨股本变动公告》（公告编号：</w:t>
      </w:r>
      <w:r>
        <w:rPr>
          <w:rFonts w:ascii="宋体" w:hAnsi="宋体" w:cs="宋体" w:eastAsia="宋体" w:hint="default"/>
          <w:sz w:val="18"/>
          <w:szCs w:val="18"/>
        </w:rPr>
        <w:t>2017-075</w:t>
      </w:r>
      <w:r>
        <w:rPr>
          <w:rFonts w:ascii="宋体" w:hAnsi="宋体" w:cs="宋体" w:eastAsia="宋体" w:hint="default"/>
          <w:sz w:val="18"/>
          <w:szCs w:val="18"/>
        </w:rPr>
        <w:t>）。</w:t>
      </w:r>
    </w:p>
    <w:p>
      <w:pPr>
        <w:spacing w:after="0"/>
        <w:jc w:val="left"/>
        <w:rPr>
          <w:rFonts w:ascii="宋体" w:hAnsi="宋体" w:cs="宋体" w:eastAsia="宋体" w:hint="default"/>
          <w:sz w:val="18"/>
          <w:szCs w:val="18"/>
        </w:rPr>
        <w:sectPr>
          <w:footerReference w:type="default" r:id="rId52"/>
          <w:pgSz w:w="11910" w:h="16840"/>
          <w:pgMar w:footer="502" w:header="854" w:top="1360" w:bottom="700" w:left="200" w:right="100"/>
        </w:sectPr>
      </w:pPr>
    </w:p>
    <w:p>
      <w:pPr>
        <w:spacing w:line="240" w:lineRule="auto" w:before="10"/>
        <w:rPr>
          <w:rFonts w:ascii="宋体" w:hAnsi="宋体" w:cs="宋体" w:eastAsia="宋体" w:hint="default"/>
          <w:sz w:val="8"/>
          <w:szCs w:val="8"/>
        </w:rPr>
      </w:pPr>
    </w:p>
    <w:p>
      <w:pPr>
        <w:spacing w:line="338" w:lineRule="exact" w:before="0"/>
        <w:ind w:left="218" w:right="96"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三</w:t>
      </w:r>
      <w:r>
        <w:rPr>
          <w:rFonts w:ascii="Calibri" w:hAnsi="Calibri" w:cs="Calibri" w:eastAsia="Calibri" w:hint="default"/>
          <w:b/>
          <w:bCs/>
          <w:sz w:val="21"/>
          <w:szCs w:val="21"/>
        </w:rPr>
        <w:t>)  </w:t>
      </w:r>
      <w:r>
        <w:rPr>
          <w:rFonts w:ascii="Microsoft JhengHei" w:hAnsi="Microsoft JhengHei" w:cs="Microsoft JhengHei" w:eastAsia="Microsoft JhengHei" w:hint="default"/>
          <w:b/>
          <w:bCs/>
          <w:sz w:val="21"/>
          <w:szCs w:val="21"/>
        </w:rPr>
        <w:t>战略投资者或一般法人因配售新股成为前 </w:t>
      </w:r>
      <w:r>
        <w:rPr>
          <w:rFonts w:ascii="Calibri" w:hAnsi="Calibri" w:cs="Calibri" w:eastAsia="Calibri" w:hint="default"/>
          <w:b/>
          <w:bCs/>
          <w:sz w:val="21"/>
          <w:szCs w:val="21"/>
        </w:rPr>
        <w:t>10</w:t>
      </w:r>
      <w:r>
        <w:rPr>
          <w:rFonts w:ascii="Calibri" w:hAnsi="Calibri" w:cs="Calibri" w:eastAsia="Calibri" w:hint="default"/>
          <w:b/>
          <w:bCs/>
          <w:spacing w:val="4"/>
          <w:sz w:val="21"/>
          <w:szCs w:val="21"/>
        </w:rPr>
        <w:t> </w:t>
      </w:r>
      <w:r>
        <w:rPr>
          <w:rFonts w:ascii="Microsoft JhengHei" w:hAnsi="Microsoft JhengHei" w:cs="Microsoft JhengHei" w:eastAsia="Microsoft JhengHei" w:hint="default"/>
          <w:b/>
          <w:bCs/>
          <w:sz w:val="21"/>
          <w:szCs w:val="21"/>
        </w:rPr>
        <w:t>名股东</w:t>
      </w:r>
      <w:r>
        <w:rPr>
          <w:rFonts w:ascii="Microsoft JhengHei" w:hAnsi="Microsoft JhengHei" w:cs="Microsoft JhengHei" w:eastAsia="Microsoft JhengHei" w:hint="default"/>
          <w:sz w:val="21"/>
          <w:szCs w:val="21"/>
        </w:rPr>
      </w:r>
    </w:p>
    <w:p>
      <w:pPr>
        <w:spacing w:before="70"/>
        <w:ind w:left="218" w:right="96"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2"/>
        <w:rPr>
          <w:rFonts w:ascii="宋体" w:hAnsi="宋体" w:cs="宋体" w:eastAsia="宋体" w:hint="default"/>
          <w:sz w:val="26"/>
          <w:szCs w:val="26"/>
        </w:rPr>
      </w:pPr>
    </w:p>
    <w:p>
      <w:pPr>
        <w:spacing w:before="0"/>
        <w:ind w:left="218" w:right="96"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四、</w:t>
      </w:r>
      <w:r>
        <w:rPr>
          <w:rFonts w:ascii="Microsoft JhengHei" w:hAnsi="Microsoft JhengHei" w:cs="Microsoft JhengHei" w:eastAsia="Microsoft JhengHei" w:hint="default"/>
          <w:b/>
          <w:bCs/>
          <w:spacing w:val="-14"/>
          <w:sz w:val="21"/>
          <w:szCs w:val="21"/>
        </w:rPr>
        <w:t> </w:t>
      </w:r>
      <w:r>
        <w:rPr>
          <w:rFonts w:ascii="Microsoft JhengHei" w:hAnsi="Microsoft JhengHei" w:cs="Microsoft JhengHei" w:eastAsia="Microsoft JhengHei" w:hint="default"/>
          <w:b/>
          <w:bCs/>
          <w:sz w:val="21"/>
          <w:szCs w:val="21"/>
        </w:rPr>
        <w:t>控股股东及实际控制人情况</w:t>
      </w:r>
      <w:r>
        <w:rPr>
          <w:rFonts w:ascii="Microsoft JhengHei" w:hAnsi="Microsoft JhengHei" w:cs="Microsoft JhengHei" w:eastAsia="Microsoft JhengHei" w:hint="default"/>
          <w:sz w:val="21"/>
          <w:szCs w:val="21"/>
        </w:rPr>
      </w:r>
    </w:p>
    <w:p>
      <w:pPr>
        <w:tabs>
          <w:tab w:pos="638" w:val="left" w:leader="none"/>
        </w:tabs>
        <w:spacing w:line="242" w:lineRule="auto" w:before="6"/>
        <w:ind w:left="218" w:right="7658"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一</w:t>
      </w:r>
      <w:r>
        <w:rPr>
          <w:rFonts w:ascii="Calibri" w:hAnsi="Calibri" w:cs="Calibri" w:eastAsia="Calibri" w:hint="default"/>
          <w:b/>
          <w:bCs/>
          <w:sz w:val="21"/>
          <w:szCs w:val="21"/>
        </w:rPr>
        <w:t>)</w:t>
      </w:r>
      <w:r>
        <w:rPr>
          <w:rFonts w:ascii="Calibri" w:hAnsi="Calibri" w:cs="Calibri" w:eastAsia="Calibri" w:hint="default"/>
          <w:b/>
          <w:bCs/>
          <w:spacing w:val="36"/>
          <w:sz w:val="21"/>
          <w:szCs w:val="21"/>
        </w:rPr>
        <w:t> </w:t>
      </w:r>
      <w:r>
        <w:rPr>
          <w:rFonts w:ascii="Microsoft JhengHei" w:hAnsi="Microsoft JhengHei" w:cs="Microsoft JhengHei" w:eastAsia="Microsoft JhengHei" w:hint="default"/>
          <w:b/>
          <w:bCs/>
          <w:sz w:val="21"/>
          <w:szCs w:val="21"/>
        </w:rPr>
        <w:t>控股股东情况</w:t>
      </w:r>
      <w:r>
        <w:rPr>
          <w:rFonts w:ascii="Microsoft JhengHei" w:hAnsi="Microsoft JhengHei" w:cs="Microsoft JhengHei" w:eastAsia="Microsoft JhengHei" w:hint="default"/>
          <w:b/>
          <w:bCs/>
          <w:w w:val="100"/>
          <w:sz w:val="21"/>
          <w:szCs w:val="21"/>
        </w:rPr>
        <w:t> </w:t>
      </w:r>
      <w:r>
        <w:rPr>
          <w:rFonts w:ascii="Arial" w:hAnsi="Arial" w:cs="Arial" w:eastAsia="Arial" w:hint="default"/>
          <w:b/>
          <w:bCs/>
          <w:w w:val="90"/>
          <w:sz w:val="21"/>
          <w:szCs w:val="21"/>
        </w:rPr>
        <w:t>1</w:t>
        <w:tab/>
      </w:r>
      <w:r>
        <w:rPr>
          <w:rFonts w:ascii="Microsoft JhengHei" w:hAnsi="Microsoft JhengHei" w:cs="Microsoft JhengHei" w:eastAsia="Microsoft JhengHei" w:hint="default"/>
          <w:b/>
          <w:bCs/>
          <w:sz w:val="21"/>
          <w:szCs w:val="21"/>
        </w:rPr>
        <w:t>法人</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4"/>
          <w:szCs w:val="4"/>
        </w:rPr>
      </w:pPr>
    </w:p>
    <w:tbl>
      <w:tblPr>
        <w:tblW w:w="0" w:type="auto"/>
        <w:jc w:val="left"/>
        <w:tblInd w:w="106" w:type="dxa"/>
        <w:tblLayout w:type="fixed"/>
        <w:tblCellMar>
          <w:top w:w="0" w:type="dxa"/>
          <w:left w:w="0" w:type="dxa"/>
          <w:bottom w:w="0" w:type="dxa"/>
          <w:right w:w="0" w:type="dxa"/>
        </w:tblCellMar>
        <w:tblLook w:val="01E0"/>
      </w:tblPr>
      <w:tblGrid>
        <w:gridCol w:w="2547"/>
        <w:gridCol w:w="6635"/>
      </w:tblGrid>
      <w:tr>
        <w:trPr>
          <w:trHeight w:val="324" w:hRule="exact"/>
        </w:trPr>
        <w:tc>
          <w:tcPr>
            <w:tcW w:w="25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名称</w:t>
            </w:r>
          </w:p>
        </w:tc>
        <w:tc>
          <w:tcPr>
            <w:tcW w:w="663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中国联合网络通信集团有限公司</w:t>
            </w:r>
          </w:p>
        </w:tc>
      </w:tr>
      <w:tr>
        <w:trPr>
          <w:trHeight w:val="322" w:hRule="exact"/>
        </w:trPr>
        <w:tc>
          <w:tcPr>
            <w:tcW w:w="25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单位负责人或法定代表人</w:t>
            </w:r>
          </w:p>
        </w:tc>
        <w:tc>
          <w:tcPr>
            <w:tcW w:w="66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王晓初</w:t>
            </w:r>
          </w:p>
        </w:tc>
      </w:tr>
      <w:tr>
        <w:trPr>
          <w:trHeight w:val="322" w:hRule="exact"/>
        </w:trPr>
        <w:tc>
          <w:tcPr>
            <w:tcW w:w="25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成立日期</w:t>
            </w:r>
          </w:p>
        </w:tc>
        <w:tc>
          <w:tcPr>
            <w:tcW w:w="66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1994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18</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691" w:hRule="exact"/>
        </w:trPr>
        <w:tc>
          <w:tcPr>
            <w:tcW w:w="25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4"/>
              <w:ind w:left="103" w:right="0"/>
              <w:jc w:val="left"/>
              <w:rPr>
                <w:rFonts w:ascii="宋体" w:hAnsi="宋体" w:cs="宋体" w:eastAsia="宋体" w:hint="default"/>
                <w:sz w:val="21"/>
                <w:szCs w:val="21"/>
              </w:rPr>
            </w:pPr>
            <w:r>
              <w:rPr>
                <w:rFonts w:ascii="宋体" w:hAnsi="宋体" w:cs="宋体" w:eastAsia="宋体" w:hint="default"/>
                <w:sz w:val="21"/>
                <w:szCs w:val="21"/>
              </w:rPr>
              <w:t>主要经营业务</w:t>
            </w:r>
          </w:p>
        </w:tc>
        <w:tc>
          <w:tcPr>
            <w:tcW w:w="663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4"/>
              <w:ind w:left="103" w:right="-7"/>
              <w:jc w:val="left"/>
              <w:rPr>
                <w:rFonts w:ascii="宋体" w:hAnsi="宋体" w:cs="宋体" w:eastAsia="宋体" w:hint="default"/>
                <w:sz w:val="21"/>
                <w:szCs w:val="21"/>
              </w:rPr>
            </w:pPr>
            <w:r>
              <w:rPr>
                <w:rFonts w:ascii="宋体" w:hAnsi="宋体" w:cs="宋体" w:eastAsia="宋体" w:hint="default"/>
                <w:spacing w:val="-5"/>
                <w:sz w:val="21"/>
                <w:szCs w:val="21"/>
              </w:rPr>
              <w:t>固定通信业务、蜂窝移动通信业务、第一类卫星通信业务、第一类数据</w:t>
            </w:r>
            <w:r>
              <w:rPr>
                <w:rFonts w:ascii="宋体" w:hAnsi="宋体" w:cs="宋体" w:eastAsia="宋体" w:hint="default"/>
                <w:spacing w:val="-46"/>
                <w:sz w:val="21"/>
                <w:szCs w:val="21"/>
              </w:rPr>
              <w:t> </w:t>
            </w:r>
            <w:r>
              <w:rPr>
                <w:rFonts w:ascii="宋体" w:hAnsi="宋体" w:cs="宋体" w:eastAsia="宋体" w:hint="default"/>
                <w:spacing w:val="-46"/>
                <w:sz w:val="21"/>
                <w:szCs w:val="21"/>
              </w:rPr>
            </w:r>
            <w:r>
              <w:rPr>
                <w:rFonts w:ascii="宋体" w:hAnsi="宋体" w:cs="宋体" w:eastAsia="宋体" w:hint="default"/>
                <w:spacing w:val="-2"/>
                <w:sz w:val="21"/>
                <w:szCs w:val="21"/>
              </w:rPr>
              <w:t>通信业务、网络接入业务（具体业务种类、覆盖范围以许可证为准）；</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pacing w:val="-8"/>
                <w:sz w:val="21"/>
                <w:szCs w:val="21"/>
              </w:rPr>
              <w:t>国内甚小口径终端地球站（</w:t>
            </w:r>
            <w:r>
              <w:rPr>
                <w:rFonts w:ascii="宋体" w:hAnsi="宋体" w:cs="宋体" w:eastAsia="宋体" w:hint="default"/>
                <w:spacing w:val="-8"/>
                <w:sz w:val="21"/>
                <w:szCs w:val="21"/>
              </w:rPr>
              <w:t>VSAT</w:t>
            </w:r>
            <w:r>
              <w:rPr>
                <w:rFonts w:ascii="宋体" w:hAnsi="宋体" w:cs="宋体" w:eastAsia="宋体" w:hint="default"/>
                <w:spacing w:val="-8"/>
                <w:sz w:val="21"/>
                <w:szCs w:val="21"/>
              </w:rPr>
              <w:t>）通信业务、固定网国内数据传送业务、</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pacing w:val="-5"/>
                <w:sz w:val="21"/>
                <w:szCs w:val="21"/>
              </w:rPr>
              <w:t>无线数据传送业务、用户驻地网业务和网络托管业务、增值电信业务中</w:t>
            </w:r>
            <w:r>
              <w:rPr>
                <w:rFonts w:ascii="宋体" w:hAnsi="宋体" w:cs="宋体" w:eastAsia="宋体" w:hint="default"/>
                <w:spacing w:val="-49"/>
                <w:sz w:val="21"/>
                <w:szCs w:val="21"/>
              </w:rPr>
              <w:t> </w:t>
            </w:r>
            <w:r>
              <w:rPr>
                <w:rFonts w:ascii="宋体" w:hAnsi="宋体" w:cs="宋体" w:eastAsia="宋体" w:hint="default"/>
                <w:spacing w:val="-49"/>
                <w:sz w:val="21"/>
                <w:szCs w:val="21"/>
              </w:rPr>
            </w:r>
            <w:r>
              <w:rPr>
                <w:rFonts w:ascii="宋体" w:hAnsi="宋体" w:cs="宋体" w:eastAsia="宋体" w:hint="default"/>
                <w:spacing w:val="-5"/>
                <w:sz w:val="21"/>
                <w:szCs w:val="21"/>
              </w:rPr>
              <w:t>的在线数据处理与交易处理业务、国内因特网虚拟专用网业务、因特网</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3"/>
                <w:sz w:val="21"/>
                <w:szCs w:val="21"/>
              </w:rPr>
              <w:t>数据中心业务、语音信箱业务、传真存储转发业务、</w:t>
            </w:r>
            <w:r>
              <w:rPr>
                <w:rFonts w:ascii="宋体" w:hAnsi="宋体" w:cs="宋体" w:eastAsia="宋体" w:hint="default"/>
                <w:spacing w:val="-3"/>
                <w:sz w:val="21"/>
                <w:szCs w:val="21"/>
              </w:rPr>
              <w:t>X.400</w:t>
            </w:r>
            <w:r>
              <w:rPr>
                <w:rFonts w:ascii="宋体" w:hAnsi="宋体" w:cs="宋体" w:eastAsia="宋体" w:hint="default"/>
                <w:spacing w:val="-42"/>
                <w:sz w:val="21"/>
                <w:szCs w:val="21"/>
              </w:rPr>
              <w:t> </w:t>
            </w:r>
            <w:r>
              <w:rPr>
                <w:rFonts w:ascii="宋体" w:hAnsi="宋体" w:cs="宋体" w:eastAsia="宋体" w:hint="default"/>
                <w:sz w:val="21"/>
                <w:szCs w:val="21"/>
              </w:rPr>
              <w:t>电子邮件业</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pacing w:val="-5"/>
                <w:sz w:val="21"/>
                <w:szCs w:val="21"/>
              </w:rPr>
              <w:t>务、呼叫中心业务、因特网接入服务业务和信息服务业务（含固定网电</w:t>
            </w:r>
            <w:r>
              <w:rPr>
                <w:rFonts w:ascii="宋体" w:hAnsi="宋体" w:cs="宋体" w:eastAsia="宋体" w:hint="default"/>
                <w:spacing w:val="-46"/>
                <w:sz w:val="21"/>
                <w:szCs w:val="21"/>
              </w:rPr>
              <w:t> </w:t>
            </w:r>
            <w:r>
              <w:rPr>
                <w:rFonts w:ascii="宋体" w:hAnsi="宋体" w:cs="宋体" w:eastAsia="宋体" w:hint="default"/>
                <w:spacing w:val="-46"/>
                <w:sz w:val="21"/>
                <w:szCs w:val="21"/>
              </w:rPr>
            </w:r>
            <w:r>
              <w:rPr>
                <w:rFonts w:ascii="宋体" w:hAnsi="宋体" w:cs="宋体" w:eastAsia="宋体" w:hint="default"/>
                <w:spacing w:val="-5"/>
                <w:sz w:val="21"/>
                <w:szCs w:val="21"/>
              </w:rPr>
              <w:t>话信息服务业务、互联网信息服务业务和移动网信息服务业务）；《信</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pacing w:val="-8"/>
                <w:sz w:val="21"/>
                <w:szCs w:val="21"/>
              </w:rPr>
              <w:t>息通信技术》期刊出版；利用信息网络经营音乐娱乐产品、演出剧（节）</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pacing w:val="-5"/>
                <w:sz w:val="21"/>
                <w:szCs w:val="21"/>
              </w:rPr>
              <w:t>目、表演，动漫产品，游戏产品（含网络游戏虚拟货币发行）。经营与</w:t>
            </w:r>
            <w:r>
              <w:rPr>
                <w:rFonts w:ascii="宋体" w:hAnsi="宋体" w:cs="宋体" w:eastAsia="宋体" w:hint="default"/>
                <w:spacing w:val="-49"/>
                <w:sz w:val="21"/>
                <w:szCs w:val="21"/>
              </w:rPr>
              <w:t> </w:t>
            </w:r>
            <w:r>
              <w:rPr>
                <w:rFonts w:ascii="宋体" w:hAnsi="宋体" w:cs="宋体" w:eastAsia="宋体" w:hint="default"/>
                <w:spacing w:val="-49"/>
                <w:sz w:val="21"/>
                <w:szCs w:val="21"/>
              </w:rPr>
            </w:r>
            <w:r>
              <w:rPr>
                <w:rFonts w:ascii="宋体" w:hAnsi="宋体" w:cs="宋体" w:eastAsia="宋体" w:hint="default"/>
                <w:spacing w:val="-5"/>
                <w:sz w:val="21"/>
                <w:szCs w:val="21"/>
              </w:rPr>
              <w:t>通信及信息业务相关的系统集成、技术开发、技术服务、设备生产、销</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pacing w:val="-2"/>
                <w:sz w:val="21"/>
                <w:szCs w:val="21"/>
              </w:rPr>
              <w:t>售、设计施工业务；招标代理；自有房屋出租；电子通信器材的销售；</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pacing w:val="-8"/>
                <w:sz w:val="21"/>
                <w:szCs w:val="21"/>
              </w:rPr>
              <w:t>承办展览；专业人员培训；物业管理；技术交流和信息咨询；广告业务；</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编制、发行电话号码簿。</w:t>
            </w:r>
          </w:p>
        </w:tc>
      </w:tr>
      <w:tr>
        <w:trPr>
          <w:trHeight w:val="3130" w:hRule="exact"/>
        </w:trPr>
        <w:tc>
          <w:tcPr>
            <w:tcW w:w="25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143"/>
              <w:ind w:left="103" w:right="100"/>
              <w:jc w:val="both"/>
              <w:rPr>
                <w:rFonts w:ascii="宋体" w:hAnsi="宋体" w:cs="宋体" w:eastAsia="宋体" w:hint="default"/>
                <w:sz w:val="21"/>
                <w:szCs w:val="21"/>
              </w:rPr>
            </w:pPr>
            <w:r>
              <w:rPr>
                <w:rFonts w:ascii="宋体" w:hAnsi="宋体" w:cs="宋体" w:eastAsia="宋体" w:hint="default"/>
                <w:sz w:val="21"/>
                <w:szCs w:val="21"/>
              </w:rPr>
              <w:t>报告期内控股和参股的其</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他境内外上市公司的股权</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情况</w:t>
            </w:r>
          </w:p>
        </w:tc>
        <w:tc>
          <w:tcPr>
            <w:tcW w:w="663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3"/>
              <w:ind w:left="103" w:right="-5"/>
              <w:jc w:val="left"/>
              <w:rPr>
                <w:rFonts w:ascii="宋体" w:hAnsi="宋体" w:cs="宋体" w:eastAsia="宋体" w:hint="default"/>
                <w:sz w:val="21"/>
                <w:szCs w:val="21"/>
              </w:rPr>
            </w:pPr>
            <w:r>
              <w:rPr>
                <w:rFonts w:ascii="宋体" w:hAnsi="宋体" w:cs="宋体" w:eastAsia="宋体" w:hint="default"/>
                <w:sz w:val="21"/>
                <w:szCs w:val="21"/>
              </w:rPr>
              <w:t>联通集团持有中国通信服务股份有限公司</w:t>
            </w:r>
            <w:r>
              <w:rPr>
                <w:rFonts w:ascii="宋体" w:hAnsi="宋体" w:cs="宋体" w:eastAsia="宋体" w:hint="default"/>
                <w:spacing w:val="-49"/>
                <w:sz w:val="21"/>
                <w:szCs w:val="21"/>
              </w:rPr>
              <w:t> </w:t>
            </w:r>
            <w:r>
              <w:rPr>
                <w:rFonts w:ascii="宋体" w:hAnsi="宋体" w:cs="宋体" w:eastAsia="宋体" w:hint="default"/>
                <w:spacing w:val="-4"/>
                <w:sz w:val="21"/>
                <w:szCs w:val="21"/>
              </w:rPr>
              <w:t>3.41%</w:t>
            </w:r>
            <w:r>
              <w:rPr>
                <w:rFonts w:ascii="宋体" w:hAnsi="宋体" w:cs="宋体" w:eastAsia="宋体" w:hint="default"/>
                <w:spacing w:val="-4"/>
                <w:sz w:val="21"/>
                <w:szCs w:val="21"/>
              </w:rPr>
              <w:t>股权，持有中国出版传</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pacing w:val="-5"/>
                <w:sz w:val="21"/>
                <w:szCs w:val="21"/>
              </w:rPr>
              <w:t>媒股份有限公司、中国电影股份有限公司、人民网股份有限公司、新华</w:t>
            </w:r>
            <w:r>
              <w:rPr>
                <w:rFonts w:ascii="宋体" w:hAnsi="宋体" w:cs="宋体" w:eastAsia="宋体" w:hint="default"/>
                <w:spacing w:val="-47"/>
                <w:sz w:val="21"/>
                <w:szCs w:val="21"/>
              </w:rPr>
              <w:t> </w:t>
            </w:r>
            <w:r>
              <w:rPr>
                <w:rFonts w:ascii="宋体" w:hAnsi="宋体" w:cs="宋体" w:eastAsia="宋体" w:hint="default"/>
                <w:spacing w:val="-47"/>
                <w:sz w:val="21"/>
                <w:szCs w:val="21"/>
              </w:rPr>
            </w:r>
            <w:r>
              <w:rPr>
                <w:rFonts w:ascii="宋体" w:hAnsi="宋体" w:cs="宋体" w:eastAsia="宋体" w:hint="default"/>
                <w:spacing w:val="-8"/>
                <w:w w:val="100"/>
                <w:sz w:val="21"/>
                <w:szCs w:val="21"/>
              </w:rPr>
              <w:t>网股份有限公司、国电电力发展股份有限公司、中国中铁股份有限公司、</w:t>
            </w:r>
            <w:r>
              <w:rPr>
                <w:rFonts w:ascii="宋体" w:hAnsi="宋体" w:cs="宋体" w:eastAsia="宋体" w:hint="default"/>
                <w:spacing w:val="-92"/>
                <w:w w:val="100"/>
                <w:sz w:val="21"/>
                <w:szCs w:val="21"/>
              </w:rPr>
              <w:t> </w:t>
            </w:r>
            <w:r>
              <w:rPr>
                <w:rFonts w:ascii="宋体" w:hAnsi="宋体" w:cs="宋体" w:eastAsia="宋体" w:hint="default"/>
                <w:spacing w:val="-92"/>
                <w:w w:val="100"/>
                <w:sz w:val="21"/>
                <w:szCs w:val="21"/>
              </w:rPr>
            </w:r>
            <w:r>
              <w:rPr>
                <w:rFonts w:ascii="宋体" w:hAnsi="宋体" w:cs="宋体" w:eastAsia="宋体" w:hint="default"/>
                <w:spacing w:val="-5"/>
                <w:sz w:val="21"/>
                <w:szCs w:val="21"/>
              </w:rPr>
              <w:t>中国神华能源股份有限公司、宝山钢铁股份有限公司、招商银行股份有</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5"/>
                <w:sz w:val="21"/>
                <w:szCs w:val="21"/>
              </w:rPr>
              <w:t>限公司、中国交通建设股份有限公司、中国中车股份有限公司、华能国</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8"/>
                <w:w w:val="100"/>
                <w:sz w:val="21"/>
                <w:szCs w:val="21"/>
              </w:rPr>
              <w:t>际电力股份有限公司、中国铁建股份有限公司、中国建筑股份有限公司、</w:t>
            </w:r>
            <w:r>
              <w:rPr>
                <w:rFonts w:ascii="宋体" w:hAnsi="宋体" w:cs="宋体" w:eastAsia="宋体" w:hint="default"/>
                <w:spacing w:val="-92"/>
                <w:w w:val="100"/>
                <w:sz w:val="21"/>
                <w:szCs w:val="21"/>
              </w:rPr>
              <w:t> </w:t>
            </w:r>
            <w:r>
              <w:rPr>
                <w:rFonts w:ascii="宋体" w:hAnsi="宋体" w:cs="宋体" w:eastAsia="宋体" w:hint="default"/>
                <w:spacing w:val="-92"/>
                <w:w w:val="100"/>
                <w:sz w:val="21"/>
                <w:szCs w:val="21"/>
              </w:rPr>
            </w:r>
            <w:r>
              <w:rPr>
                <w:rFonts w:ascii="宋体" w:hAnsi="宋体" w:cs="宋体" w:eastAsia="宋体" w:hint="default"/>
                <w:spacing w:val="-5"/>
                <w:sz w:val="21"/>
                <w:szCs w:val="21"/>
              </w:rPr>
              <w:t>中国电力建设股份有限公司、中国石油化工股份有限公司、中国石油天</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5"/>
                <w:sz w:val="21"/>
                <w:szCs w:val="21"/>
              </w:rPr>
              <w:t>然气股份有限公司、北京首商集团股份有限公司、交通银行股份有限公</w:t>
            </w:r>
            <w:r>
              <w:rPr>
                <w:rFonts w:ascii="宋体" w:hAnsi="宋体" w:cs="宋体" w:eastAsia="宋体" w:hint="default"/>
                <w:spacing w:val="-49"/>
                <w:sz w:val="21"/>
                <w:szCs w:val="21"/>
              </w:rPr>
              <w:t> </w:t>
            </w:r>
            <w:r>
              <w:rPr>
                <w:rFonts w:ascii="宋体" w:hAnsi="宋体" w:cs="宋体" w:eastAsia="宋体" w:hint="default"/>
                <w:spacing w:val="-49"/>
                <w:sz w:val="21"/>
                <w:szCs w:val="21"/>
              </w:rPr>
            </w:r>
            <w:r>
              <w:rPr>
                <w:rFonts w:ascii="宋体" w:hAnsi="宋体" w:cs="宋体" w:eastAsia="宋体" w:hint="default"/>
                <w:sz w:val="21"/>
                <w:szCs w:val="21"/>
              </w:rPr>
              <w:t>司股票，占比极小。</w:t>
            </w:r>
          </w:p>
        </w:tc>
      </w:tr>
      <w:tr>
        <w:trPr>
          <w:trHeight w:val="636" w:hRule="exact"/>
        </w:trPr>
        <w:tc>
          <w:tcPr>
            <w:tcW w:w="25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3"/>
              <w:ind w:left="103" w:right="0"/>
              <w:jc w:val="left"/>
              <w:rPr>
                <w:rFonts w:ascii="宋体" w:hAnsi="宋体" w:cs="宋体" w:eastAsia="宋体" w:hint="default"/>
                <w:sz w:val="21"/>
                <w:szCs w:val="21"/>
              </w:rPr>
            </w:pPr>
            <w:r>
              <w:rPr>
                <w:rFonts w:ascii="宋体" w:hAnsi="宋体" w:cs="宋体" w:eastAsia="宋体" w:hint="default"/>
                <w:sz w:val="21"/>
                <w:szCs w:val="21"/>
              </w:rPr>
              <w:t>其他情况说明</w:t>
            </w:r>
          </w:p>
        </w:tc>
        <w:tc>
          <w:tcPr>
            <w:tcW w:w="6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03" w:right="0"/>
              <w:jc w:val="left"/>
              <w:rPr>
                <w:rFonts w:ascii="宋体" w:hAnsi="宋体" w:cs="宋体" w:eastAsia="宋体" w:hint="default"/>
                <w:sz w:val="21"/>
                <w:szCs w:val="21"/>
              </w:rPr>
            </w:pPr>
            <w:r>
              <w:rPr>
                <w:rFonts w:ascii="宋体" w:hAnsi="宋体" w:cs="宋体" w:eastAsia="宋体" w:hint="default"/>
                <w:w w:val="100"/>
                <w:sz w:val="21"/>
                <w:szCs w:val="21"/>
              </w:rPr>
              <w:t>无</w:t>
            </w:r>
          </w:p>
        </w:tc>
      </w:tr>
    </w:tbl>
    <w:p>
      <w:pPr>
        <w:spacing w:after="0" w:line="240" w:lineRule="auto"/>
        <w:jc w:val="left"/>
        <w:rPr>
          <w:rFonts w:ascii="宋体" w:hAnsi="宋体" w:cs="宋体" w:eastAsia="宋体" w:hint="default"/>
          <w:sz w:val="21"/>
          <w:szCs w:val="21"/>
        </w:rPr>
        <w:sectPr>
          <w:footerReference w:type="default" r:id="rId53"/>
          <w:pgSz w:w="11910" w:h="16840"/>
          <w:pgMar w:footer="502" w:header="854" w:top="1360" w:bottom="700" w:left="1200" w:right="1140"/>
        </w:sectPr>
      </w:pPr>
    </w:p>
    <w:p>
      <w:pPr>
        <w:spacing w:line="240" w:lineRule="auto" w:before="10"/>
        <w:rPr>
          <w:rFonts w:ascii="Microsoft JhengHei" w:hAnsi="Microsoft JhengHei" w:cs="Microsoft JhengHei" w:eastAsia="Microsoft JhengHei" w:hint="default"/>
          <w:b/>
          <w:bCs/>
          <w:sz w:val="6"/>
          <w:szCs w:val="6"/>
        </w:rPr>
      </w:pPr>
    </w:p>
    <w:p>
      <w:pPr>
        <w:tabs>
          <w:tab w:pos="638" w:val="left" w:leader="none"/>
        </w:tabs>
        <w:spacing w:line="335" w:lineRule="exact" w:before="0"/>
        <w:ind w:left="218" w:right="120" w:firstLine="0"/>
        <w:jc w:val="left"/>
        <w:rPr>
          <w:rFonts w:ascii="Microsoft JhengHei" w:hAnsi="Microsoft JhengHei" w:cs="Microsoft JhengHei" w:eastAsia="Microsoft JhengHei" w:hint="default"/>
          <w:sz w:val="21"/>
          <w:szCs w:val="21"/>
        </w:rPr>
      </w:pPr>
      <w:r>
        <w:rPr>
          <w:rFonts w:ascii="Arial" w:hAnsi="Arial" w:cs="Arial" w:eastAsia="Arial" w:hint="default"/>
          <w:b/>
          <w:bCs/>
          <w:w w:val="90"/>
          <w:sz w:val="21"/>
          <w:szCs w:val="21"/>
        </w:rPr>
        <w:t>2</w:t>
        <w:tab/>
      </w:r>
      <w:r>
        <w:rPr>
          <w:rFonts w:ascii="Microsoft JhengHei" w:hAnsi="Microsoft JhengHei" w:cs="Microsoft JhengHei" w:eastAsia="Microsoft JhengHei" w:hint="default"/>
          <w:b/>
          <w:bCs/>
          <w:sz w:val="21"/>
          <w:szCs w:val="21"/>
        </w:rPr>
        <w:t>公司与控股股东之间的产权及控制关系的方框图</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9"/>
          <w:szCs w:val="9"/>
        </w:rPr>
      </w:pPr>
    </w:p>
    <w:p>
      <w:pPr>
        <w:spacing w:line="5751" w:lineRule="exact"/>
        <w:ind w:left="218"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114"/>
          <w:sz w:val="20"/>
          <w:szCs w:val="20"/>
        </w:rPr>
        <w:drawing>
          <wp:inline distT="0" distB="0" distL="0" distR="0">
            <wp:extent cx="4928088" cy="3652456"/>
            <wp:effectExtent l="0" t="0" r="0" b="0"/>
            <wp:docPr id="3" name="image3.jpeg" descr=""/>
            <wp:cNvGraphicFramePr>
              <a:graphicFrameLocks noChangeAspect="1"/>
            </wp:cNvGraphicFramePr>
            <a:graphic>
              <a:graphicData uri="http://schemas.openxmlformats.org/drawingml/2006/picture">
                <pic:pic>
                  <pic:nvPicPr>
                    <pic:cNvPr id="4" name="image3.jpeg"/>
                    <pic:cNvPicPr/>
                  </pic:nvPicPr>
                  <pic:blipFill>
                    <a:blip r:embed="rId55" cstate="print"/>
                    <a:stretch>
                      <a:fillRect/>
                    </a:stretch>
                  </pic:blipFill>
                  <pic:spPr>
                    <a:xfrm>
                      <a:off x="0" y="0"/>
                      <a:ext cx="4928088" cy="3652456"/>
                    </a:xfrm>
                    <a:prstGeom prst="rect">
                      <a:avLst/>
                    </a:prstGeom>
                  </pic:spPr>
                </pic:pic>
              </a:graphicData>
            </a:graphic>
          </wp:inline>
        </w:drawing>
      </w:r>
      <w:r>
        <w:rPr>
          <w:rFonts w:ascii="Microsoft JhengHei" w:hAnsi="Microsoft JhengHei" w:cs="Microsoft JhengHei" w:eastAsia="Microsoft JhengHei" w:hint="default"/>
          <w:position w:val="-114"/>
          <w:sz w:val="20"/>
          <w:szCs w:val="20"/>
        </w:rPr>
      </w:r>
    </w:p>
    <w:p>
      <w:pPr>
        <w:spacing w:before="81"/>
        <w:ind w:left="218" w:right="120" w:firstLine="0"/>
        <w:jc w:val="left"/>
        <w:rPr>
          <w:rFonts w:ascii="宋体" w:hAnsi="宋体" w:cs="宋体" w:eastAsia="宋体" w:hint="default"/>
          <w:sz w:val="21"/>
          <w:szCs w:val="21"/>
        </w:rPr>
      </w:pPr>
      <w:r>
        <w:rPr>
          <w:rFonts w:ascii="宋体" w:hAnsi="宋体" w:cs="宋体" w:eastAsia="宋体" w:hint="default"/>
          <w:sz w:val="21"/>
          <w:szCs w:val="21"/>
        </w:rPr>
        <w:t>注：</w:t>
      </w:r>
    </w:p>
    <w:p>
      <w:pPr>
        <w:tabs>
          <w:tab w:pos="646" w:val="left" w:leader="none"/>
        </w:tabs>
        <w:spacing w:before="37"/>
        <w:ind w:left="218" w:right="120" w:firstLine="0"/>
        <w:jc w:val="left"/>
        <w:rPr>
          <w:rFonts w:ascii="宋体" w:hAnsi="宋体" w:cs="宋体" w:eastAsia="宋体" w:hint="default"/>
          <w:sz w:val="21"/>
          <w:szCs w:val="21"/>
        </w:rPr>
      </w:pPr>
      <w:r>
        <w:rPr>
          <w:rFonts w:ascii="宋体" w:hAnsi="宋体" w:cs="宋体" w:eastAsia="宋体" w:hint="default"/>
          <w:sz w:val="21"/>
          <w:szCs w:val="21"/>
        </w:rPr>
        <w:t>1.</w:t>
        <w:tab/>
      </w:r>
      <w:r>
        <w:rPr>
          <w:rFonts w:ascii="宋体" w:hAnsi="宋体" w:cs="宋体" w:eastAsia="宋体" w:hint="default"/>
          <w:sz w:val="21"/>
          <w:szCs w:val="21"/>
        </w:rPr>
        <w:t>数据截至</w:t>
      </w:r>
      <w:r>
        <w:rPr>
          <w:rFonts w:ascii="宋体" w:hAnsi="宋体" w:cs="宋体" w:eastAsia="宋体" w:hint="default"/>
          <w:spacing w:val="-53"/>
          <w:sz w:val="21"/>
          <w:szCs w:val="21"/>
        </w:rPr>
        <w:t> </w:t>
      </w:r>
      <w:r>
        <w:rPr>
          <w:rFonts w:ascii="宋体" w:hAnsi="宋体" w:cs="宋体" w:eastAsia="宋体" w:hint="default"/>
          <w:sz w:val="21"/>
          <w:szCs w:val="21"/>
        </w:rPr>
        <w:t>2019</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31</w:t>
      </w:r>
      <w:r>
        <w:rPr>
          <w:rFonts w:ascii="宋体" w:hAnsi="宋体" w:cs="宋体" w:eastAsia="宋体" w:hint="default"/>
          <w:spacing w:val="-55"/>
          <w:sz w:val="21"/>
          <w:szCs w:val="21"/>
        </w:rPr>
        <w:t> </w:t>
      </w:r>
      <w:r>
        <w:rPr>
          <w:rFonts w:ascii="宋体" w:hAnsi="宋体" w:cs="宋体" w:eastAsia="宋体" w:hint="default"/>
          <w:sz w:val="21"/>
          <w:szCs w:val="21"/>
        </w:rPr>
        <w:t>日</w:t>
      </w:r>
    </w:p>
    <w:p>
      <w:pPr>
        <w:tabs>
          <w:tab w:pos="646" w:val="left" w:leader="none"/>
        </w:tabs>
        <w:spacing w:line="273" w:lineRule="auto" w:before="37"/>
        <w:ind w:left="646" w:right="251" w:hanging="428"/>
        <w:jc w:val="left"/>
        <w:rPr>
          <w:rFonts w:ascii="宋体" w:hAnsi="宋体" w:cs="宋体" w:eastAsia="宋体" w:hint="default"/>
          <w:sz w:val="21"/>
          <w:szCs w:val="21"/>
        </w:rPr>
      </w:pPr>
      <w:r>
        <w:rPr>
          <w:rFonts w:ascii="宋体" w:hAnsi="宋体" w:cs="宋体" w:eastAsia="宋体" w:hint="default"/>
          <w:sz w:val="21"/>
          <w:szCs w:val="21"/>
        </w:rPr>
        <w:t>2.</w:t>
        <w:tab/>
      </w:r>
      <w:r>
        <w:rPr>
          <w:rFonts w:ascii="宋体" w:hAnsi="宋体" w:cs="宋体" w:eastAsia="宋体" w:hint="default"/>
          <w:spacing w:val="2"/>
          <w:sz w:val="21"/>
          <w:szCs w:val="21"/>
        </w:rPr>
        <w:t>战略投资者持有本公司股份指混合所有制改革引入的战略投资者因非公开发行及老股转让取得</w:t>
      </w:r>
      <w:r>
        <w:rPr>
          <w:rFonts w:ascii="宋体" w:hAnsi="宋体" w:cs="宋体" w:eastAsia="宋体" w:hint="default"/>
          <w:spacing w:val="-29"/>
          <w:sz w:val="21"/>
          <w:szCs w:val="21"/>
        </w:rPr>
        <w:t> </w:t>
      </w:r>
      <w:r>
        <w:rPr>
          <w:rFonts w:ascii="宋体" w:hAnsi="宋体" w:cs="宋体" w:eastAsia="宋体" w:hint="default"/>
          <w:spacing w:val="-29"/>
          <w:sz w:val="21"/>
          <w:szCs w:val="21"/>
        </w:rPr>
      </w:r>
      <w:r>
        <w:rPr>
          <w:rFonts w:ascii="宋体" w:hAnsi="宋体" w:cs="宋体" w:eastAsia="宋体" w:hint="default"/>
          <w:sz w:val="21"/>
          <w:szCs w:val="21"/>
        </w:rPr>
        <w:t>的股份</w:t>
      </w:r>
    </w:p>
    <w:p>
      <w:pPr>
        <w:tabs>
          <w:tab w:pos="646" w:val="left" w:leader="none"/>
        </w:tabs>
        <w:spacing w:line="273" w:lineRule="auto" w:before="7"/>
        <w:ind w:left="646" w:right="225" w:hanging="428"/>
        <w:jc w:val="left"/>
        <w:rPr>
          <w:rFonts w:ascii="宋体" w:hAnsi="宋体" w:cs="宋体" w:eastAsia="宋体" w:hint="default"/>
          <w:sz w:val="21"/>
          <w:szCs w:val="21"/>
        </w:rPr>
      </w:pPr>
      <w:r>
        <w:rPr>
          <w:rFonts w:ascii="宋体" w:hAnsi="宋体" w:cs="宋体" w:eastAsia="宋体" w:hint="default"/>
          <w:sz w:val="21"/>
          <w:szCs w:val="21"/>
        </w:rPr>
        <w:t>3.</w:t>
        <w:tab/>
      </w:r>
      <w:r>
        <w:rPr>
          <w:rFonts w:ascii="宋体" w:hAnsi="宋体" w:cs="宋体" w:eastAsia="宋体" w:hint="default"/>
          <w:spacing w:val="-5"/>
          <w:sz w:val="21"/>
          <w:szCs w:val="21"/>
        </w:rPr>
        <w:t>中国联通集团（</w:t>
      </w:r>
      <w:r>
        <w:rPr>
          <w:rFonts w:ascii="宋体" w:hAnsi="宋体" w:cs="宋体" w:eastAsia="宋体" w:hint="default"/>
          <w:spacing w:val="-5"/>
          <w:sz w:val="21"/>
          <w:szCs w:val="21"/>
        </w:rPr>
        <w:t>BVI</w:t>
      </w:r>
      <w:r>
        <w:rPr>
          <w:rFonts w:ascii="宋体" w:hAnsi="宋体" w:cs="宋体" w:eastAsia="宋体" w:hint="default"/>
          <w:spacing w:val="-5"/>
          <w:sz w:val="21"/>
          <w:szCs w:val="21"/>
        </w:rPr>
        <w:t>）有限公司持有股份中不包含其拥有的 </w:t>
      </w:r>
      <w:r>
        <w:rPr>
          <w:rFonts w:ascii="宋体" w:hAnsi="宋体" w:cs="宋体" w:eastAsia="宋体" w:hint="default"/>
          <w:sz w:val="21"/>
          <w:szCs w:val="21"/>
        </w:rPr>
        <w:t>225,722,791</w:t>
      </w:r>
      <w:r>
        <w:rPr>
          <w:rFonts w:ascii="宋体" w:hAnsi="宋体" w:cs="宋体" w:eastAsia="宋体" w:hint="default"/>
          <w:spacing w:val="-45"/>
          <w:sz w:val="21"/>
          <w:szCs w:val="21"/>
        </w:rPr>
        <w:t> </w:t>
      </w:r>
      <w:r>
        <w:rPr>
          <w:rFonts w:ascii="宋体" w:hAnsi="宋体" w:cs="宋体" w:eastAsia="宋体" w:hint="default"/>
          <w:spacing w:val="-6"/>
          <w:sz w:val="21"/>
          <w:szCs w:val="21"/>
        </w:rPr>
        <w:t>股中国联合网络通信（香</w:t>
      </w:r>
      <w:r>
        <w:rPr>
          <w:rFonts w:ascii="宋体" w:hAnsi="宋体" w:cs="宋体" w:eastAsia="宋体" w:hint="default"/>
          <w:w w:val="100"/>
          <w:sz w:val="21"/>
          <w:szCs w:val="21"/>
        </w:rPr>
        <w:t> </w:t>
      </w:r>
      <w:r>
        <w:rPr>
          <w:rFonts w:ascii="宋体" w:hAnsi="宋体" w:cs="宋体" w:eastAsia="宋体" w:hint="default"/>
          <w:sz w:val="21"/>
          <w:szCs w:val="21"/>
        </w:rPr>
        <w:t>港）股份有限公司股份的优先购买权权益</w:t>
      </w:r>
    </w:p>
    <w:p>
      <w:pPr>
        <w:spacing w:line="240" w:lineRule="auto" w:before="12"/>
        <w:rPr>
          <w:rFonts w:ascii="宋体" w:hAnsi="宋体" w:cs="宋体" w:eastAsia="宋体" w:hint="default"/>
          <w:sz w:val="23"/>
          <w:szCs w:val="23"/>
        </w:rPr>
      </w:pPr>
    </w:p>
    <w:p>
      <w:pPr>
        <w:tabs>
          <w:tab w:pos="638" w:val="left" w:leader="none"/>
        </w:tabs>
        <w:spacing w:line="242" w:lineRule="auto" w:before="0"/>
        <w:ind w:left="218" w:right="7547"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二</w:t>
      </w:r>
      <w:r>
        <w:rPr>
          <w:rFonts w:ascii="Calibri" w:hAnsi="Calibri" w:cs="Calibri" w:eastAsia="Calibri" w:hint="default"/>
          <w:b/>
          <w:bCs/>
          <w:sz w:val="21"/>
          <w:szCs w:val="21"/>
        </w:rPr>
        <w:t>)</w:t>
      </w:r>
      <w:r>
        <w:rPr>
          <w:rFonts w:ascii="Calibri" w:hAnsi="Calibri" w:cs="Calibri" w:eastAsia="Calibri" w:hint="default"/>
          <w:b/>
          <w:bCs/>
          <w:spacing w:val="37"/>
          <w:sz w:val="21"/>
          <w:szCs w:val="21"/>
        </w:rPr>
        <w:t> </w:t>
      </w:r>
      <w:r>
        <w:rPr>
          <w:rFonts w:ascii="Microsoft JhengHei" w:hAnsi="Microsoft JhengHei" w:cs="Microsoft JhengHei" w:eastAsia="Microsoft JhengHei" w:hint="default"/>
          <w:b/>
          <w:bCs/>
          <w:sz w:val="21"/>
          <w:szCs w:val="21"/>
        </w:rPr>
        <w:t>实际控制人情况</w:t>
      </w:r>
      <w:r>
        <w:rPr>
          <w:rFonts w:ascii="Microsoft JhengHei" w:hAnsi="Microsoft JhengHei" w:cs="Microsoft JhengHei" w:eastAsia="Microsoft JhengHei" w:hint="default"/>
          <w:b/>
          <w:bCs/>
          <w:w w:val="100"/>
          <w:sz w:val="21"/>
          <w:szCs w:val="21"/>
        </w:rPr>
        <w:t> </w:t>
      </w:r>
      <w:r>
        <w:rPr>
          <w:rFonts w:ascii="Arial" w:hAnsi="Arial" w:cs="Arial" w:eastAsia="Arial" w:hint="default"/>
          <w:b/>
          <w:bCs/>
          <w:w w:val="90"/>
          <w:sz w:val="21"/>
          <w:szCs w:val="21"/>
        </w:rPr>
        <w:t>1</w:t>
        <w:tab/>
      </w:r>
      <w:r>
        <w:rPr>
          <w:rFonts w:ascii="Microsoft JhengHei" w:hAnsi="Microsoft JhengHei" w:cs="Microsoft JhengHei" w:eastAsia="Microsoft JhengHei" w:hint="default"/>
          <w:b/>
          <w:bCs/>
          <w:sz w:val="21"/>
          <w:szCs w:val="21"/>
        </w:rPr>
        <w:t>法人</w:t>
      </w:r>
      <w:r>
        <w:rPr>
          <w:rFonts w:ascii="Microsoft JhengHei" w:hAnsi="Microsoft JhengHei" w:cs="Microsoft JhengHei" w:eastAsia="Microsoft JhengHei" w:hint="default"/>
          <w:sz w:val="21"/>
          <w:szCs w:val="21"/>
        </w:rPr>
      </w:r>
    </w:p>
    <w:p>
      <w:pPr>
        <w:spacing w:before="70"/>
        <w:ind w:left="218" w:right="120"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10"/>
        <w:rPr>
          <w:rFonts w:ascii="宋体" w:hAnsi="宋体" w:cs="宋体" w:eastAsia="宋体" w:hint="default"/>
          <w:sz w:val="3"/>
          <w:szCs w:val="3"/>
        </w:rPr>
      </w:pPr>
    </w:p>
    <w:tbl>
      <w:tblPr>
        <w:tblW w:w="0" w:type="auto"/>
        <w:jc w:val="left"/>
        <w:tblInd w:w="106" w:type="dxa"/>
        <w:tblLayout w:type="fixed"/>
        <w:tblCellMar>
          <w:top w:w="0" w:type="dxa"/>
          <w:left w:w="0" w:type="dxa"/>
          <w:bottom w:w="0" w:type="dxa"/>
          <w:right w:w="0" w:type="dxa"/>
        </w:tblCellMar>
        <w:tblLook w:val="01E0"/>
      </w:tblPr>
      <w:tblGrid>
        <w:gridCol w:w="3548"/>
        <w:gridCol w:w="5883"/>
      </w:tblGrid>
      <w:tr>
        <w:trPr>
          <w:trHeight w:val="325" w:hRule="exact"/>
        </w:trPr>
        <w:tc>
          <w:tcPr>
            <w:tcW w:w="35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名称</w:t>
            </w:r>
          </w:p>
        </w:tc>
        <w:tc>
          <w:tcPr>
            <w:tcW w:w="588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国务院国有资产监督管理委员会</w:t>
            </w:r>
          </w:p>
        </w:tc>
      </w:tr>
    </w:tbl>
    <w:p>
      <w:pPr>
        <w:spacing w:after="0" w:line="265" w:lineRule="exact"/>
        <w:jc w:val="left"/>
        <w:rPr>
          <w:rFonts w:ascii="宋体" w:hAnsi="宋体" w:cs="宋体" w:eastAsia="宋体" w:hint="default"/>
          <w:sz w:val="21"/>
          <w:szCs w:val="21"/>
        </w:rPr>
        <w:sectPr>
          <w:footerReference w:type="default" r:id="rId54"/>
          <w:pgSz w:w="11910" w:h="16840"/>
          <w:pgMar w:footer="502" w:header="854" w:top="1360" w:bottom="700" w:left="1200" w:right="1040"/>
        </w:sectPr>
      </w:pPr>
    </w:p>
    <w:p>
      <w:pPr>
        <w:spacing w:line="240" w:lineRule="auto" w:before="10"/>
        <w:rPr>
          <w:rFonts w:ascii="宋体" w:hAnsi="宋体" w:cs="宋体" w:eastAsia="宋体" w:hint="default"/>
          <w:sz w:val="8"/>
          <w:szCs w:val="8"/>
        </w:rPr>
      </w:pPr>
    </w:p>
    <w:p>
      <w:pPr>
        <w:tabs>
          <w:tab w:pos="1378" w:val="left" w:leader="none"/>
        </w:tabs>
        <w:spacing w:line="335" w:lineRule="exact" w:before="0"/>
        <w:ind w:left="958" w:right="816" w:firstLine="0"/>
        <w:jc w:val="left"/>
        <w:rPr>
          <w:rFonts w:ascii="Microsoft JhengHei" w:hAnsi="Microsoft JhengHei" w:cs="Microsoft JhengHei" w:eastAsia="Microsoft JhengHei" w:hint="default"/>
          <w:sz w:val="21"/>
          <w:szCs w:val="21"/>
        </w:rPr>
      </w:pPr>
      <w:r>
        <w:rPr>
          <w:rFonts w:ascii="Arial" w:hAnsi="Arial" w:cs="Arial" w:eastAsia="Arial" w:hint="default"/>
          <w:b/>
          <w:bCs/>
          <w:w w:val="90"/>
          <w:sz w:val="21"/>
          <w:szCs w:val="21"/>
        </w:rPr>
        <w:t>2</w:t>
        <w:tab/>
      </w:r>
      <w:r>
        <w:rPr>
          <w:rFonts w:ascii="Microsoft JhengHei" w:hAnsi="Microsoft JhengHei" w:cs="Microsoft JhengHei" w:eastAsia="Microsoft JhengHei" w:hint="default"/>
          <w:b/>
          <w:bCs/>
          <w:sz w:val="21"/>
          <w:szCs w:val="21"/>
        </w:rPr>
        <w:t>公司与实际控制人之间的产权及控制关系的方框图</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7"/>
          <w:szCs w:val="7"/>
        </w:rPr>
      </w:pPr>
    </w:p>
    <w:p>
      <w:pPr>
        <w:spacing w:line="6110" w:lineRule="exact"/>
        <w:ind w:left="958"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121"/>
          <w:sz w:val="20"/>
          <w:szCs w:val="20"/>
        </w:rPr>
        <w:drawing>
          <wp:inline distT="0" distB="0" distL="0" distR="0">
            <wp:extent cx="4650088" cy="3879913"/>
            <wp:effectExtent l="0" t="0" r="0" b="0"/>
            <wp:docPr id="5" name="image4.jpeg" descr=""/>
            <wp:cNvGraphicFramePr>
              <a:graphicFrameLocks noChangeAspect="1"/>
            </wp:cNvGraphicFramePr>
            <a:graphic>
              <a:graphicData uri="http://schemas.openxmlformats.org/drawingml/2006/picture">
                <pic:pic>
                  <pic:nvPicPr>
                    <pic:cNvPr id="6" name="image4.jpeg"/>
                    <pic:cNvPicPr/>
                  </pic:nvPicPr>
                  <pic:blipFill>
                    <a:blip r:embed="rId57" cstate="print"/>
                    <a:stretch>
                      <a:fillRect/>
                    </a:stretch>
                  </pic:blipFill>
                  <pic:spPr>
                    <a:xfrm>
                      <a:off x="0" y="0"/>
                      <a:ext cx="4650088" cy="3879913"/>
                    </a:xfrm>
                    <a:prstGeom prst="rect">
                      <a:avLst/>
                    </a:prstGeom>
                  </pic:spPr>
                </pic:pic>
              </a:graphicData>
            </a:graphic>
          </wp:inline>
        </w:drawing>
      </w:r>
      <w:r>
        <w:rPr>
          <w:rFonts w:ascii="Microsoft JhengHei" w:hAnsi="Microsoft JhengHei" w:cs="Microsoft JhengHei" w:eastAsia="Microsoft JhengHei" w:hint="default"/>
          <w:position w:val="-121"/>
          <w:sz w:val="20"/>
          <w:szCs w:val="20"/>
        </w:rPr>
      </w:r>
    </w:p>
    <w:p>
      <w:pPr>
        <w:spacing w:before="73"/>
        <w:ind w:left="958" w:right="816" w:firstLine="0"/>
        <w:jc w:val="left"/>
        <w:rPr>
          <w:rFonts w:ascii="宋体" w:hAnsi="宋体" w:cs="宋体" w:eastAsia="宋体" w:hint="default"/>
          <w:sz w:val="21"/>
          <w:szCs w:val="21"/>
        </w:rPr>
      </w:pPr>
      <w:r>
        <w:rPr>
          <w:rFonts w:ascii="宋体" w:hAnsi="宋体" w:cs="宋体" w:eastAsia="宋体" w:hint="default"/>
          <w:sz w:val="21"/>
          <w:szCs w:val="21"/>
        </w:rPr>
        <w:t>注：</w:t>
      </w:r>
    </w:p>
    <w:p>
      <w:pPr>
        <w:tabs>
          <w:tab w:pos="1386" w:val="left" w:leader="none"/>
        </w:tabs>
        <w:spacing w:before="37"/>
        <w:ind w:left="958" w:right="816" w:firstLine="0"/>
        <w:jc w:val="left"/>
        <w:rPr>
          <w:rFonts w:ascii="宋体" w:hAnsi="宋体" w:cs="宋体" w:eastAsia="宋体" w:hint="default"/>
          <w:sz w:val="21"/>
          <w:szCs w:val="21"/>
        </w:rPr>
      </w:pPr>
      <w:r>
        <w:rPr>
          <w:rFonts w:ascii="宋体" w:hAnsi="宋体" w:cs="宋体" w:eastAsia="宋体" w:hint="default"/>
          <w:sz w:val="21"/>
          <w:szCs w:val="21"/>
        </w:rPr>
        <w:t>1.</w:t>
        <w:tab/>
      </w:r>
      <w:r>
        <w:rPr>
          <w:rFonts w:ascii="宋体" w:hAnsi="宋体" w:cs="宋体" w:eastAsia="宋体" w:hint="default"/>
          <w:sz w:val="21"/>
          <w:szCs w:val="21"/>
        </w:rPr>
        <w:t>数据截至</w:t>
      </w:r>
      <w:r>
        <w:rPr>
          <w:rFonts w:ascii="宋体" w:hAnsi="宋体" w:cs="宋体" w:eastAsia="宋体" w:hint="default"/>
          <w:spacing w:val="-53"/>
          <w:sz w:val="21"/>
          <w:szCs w:val="21"/>
        </w:rPr>
        <w:t> </w:t>
      </w:r>
      <w:r>
        <w:rPr>
          <w:rFonts w:ascii="宋体" w:hAnsi="宋体" w:cs="宋体" w:eastAsia="宋体" w:hint="default"/>
          <w:sz w:val="21"/>
          <w:szCs w:val="21"/>
        </w:rPr>
        <w:t>2019</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31</w:t>
      </w:r>
      <w:r>
        <w:rPr>
          <w:rFonts w:ascii="宋体" w:hAnsi="宋体" w:cs="宋体" w:eastAsia="宋体" w:hint="default"/>
          <w:spacing w:val="-55"/>
          <w:sz w:val="21"/>
          <w:szCs w:val="21"/>
        </w:rPr>
        <w:t> </w:t>
      </w:r>
      <w:r>
        <w:rPr>
          <w:rFonts w:ascii="宋体" w:hAnsi="宋体" w:cs="宋体" w:eastAsia="宋体" w:hint="default"/>
          <w:sz w:val="21"/>
          <w:szCs w:val="21"/>
        </w:rPr>
        <w:t>日</w:t>
      </w:r>
    </w:p>
    <w:p>
      <w:pPr>
        <w:tabs>
          <w:tab w:pos="1386" w:val="left" w:leader="none"/>
        </w:tabs>
        <w:spacing w:line="273" w:lineRule="auto" w:before="37"/>
        <w:ind w:left="1386" w:right="816" w:hanging="428"/>
        <w:jc w:val="left"/>
        <w:rPr>
          <w:rFonts w:ascii="宋体" w:hAnsi="宋体" w:cs="宋体" w:eastAsia="宋体" w:hint="default"/>
          <w:sz w:val="21"/>
          <w:szCs w:val="21"/>
        </w:rPr>
      </w:pPr>
      <w:r>
        <w:rPr>
          <w:rFonts w:ascii="宋体" w:hAnsi="宋体" w:cs="宋体" w:eastAsia="宋体" w:hint="default"/>
          <w:sz w:val="21"/>
          <w:szCs w:val="21"/>
        </w:rPr>
        <w:t>2.</w:t>
        <w:tab/>
      </w:r>
      <w:r>
        <w:rPr>
          <w:rFonts w:ascii="宋体" w:hAnsi="宋体" w:cs="宋体" w:eastAsia="宋体" w:hint="default"/>
          <w:spacing w:val="2"/>
          <w:sz w:val="21"/>
          <w:szCs w:val="21"/>
        </w:rPr>
        <w:t>战略投资者持有本公司股份指混合所有制改革引入的战略投资者因非公开发行及老股转让取得</w:t>
      </w:r>
      <w:r>
        <w:rPr>
          <w:rFonts w:ascii="宋体" w:hAnsi="宋体" w:cs="宋体" w:eastAsia="宋体" w:hint="default"/>
          <w:spacing w:val="-29"/>
          <w:sz w:val="21"/>
          <w:szCs w:val="21"/>
        </w:rPr>
        <w:t> </w:t>
      </w:r>
      <w:r>
        <w:rPr>
          <w:rFonts w:ascii="宋体" w:hAnsi="宋体" w:cs="宋体" w:eastAsia="宋体" w:hint="default"/>
          <w:spacing w:val="-29"/>
          <w:sz w:val="21"/>
          <w:szCs w:val="21"/>
        </w:rPr>
      </w:r>
      <w:r>
        <w:rPr>
          <w:rFonts w:ascii="宋体" w:hAnsi="宋体" w:cs="宋体" w:eastAsia="宋体" w:hint="default"/>
          <w:sz w:val="21"/>
          <w:szCs w:val="21"/>
        </w:rPr>
        <w:t>的股份</w:t>
      </w:r>
    </w:p>
    <w:p>
      <w:pPr>
        <w:tabs>
          <w:tab w:pos="1386" w:val="left" w:leader="none"/>
        </w:tabs>
        <w:spacing w:line="273" w:lineRule="auto" w:before="7"/>
        <w:ind w:left="1386" w:right="805" w:hanging="428"/>
        <w:jc w:val="left"/>
        <w:rPr>
          <w:rFonts w:ascii="宋体" w:hAnsi="宋体" w:cs="宋体" w:eastAsia="宋体" w:hint="default"/>
          <w:sz w:val="21"/>
          <w:szCs w:val="21"/>
        </w:rPr>
      </w:pPr>
      <w:r>
        <w:rPr>
          <w:rFonts w:ascii="宋体" w:hAnsi="宋体" w:cs="宋体" w:eastAsia="宋体" w:hint="default"/>
          <w:sz w:val="21"/>
          <w:szCs w:val="21"/>
        </w:rPr>
        <w:t>3.</w:t>
        <w:tab/>
      </w:r>
      <w:r>
        <w:rPr>
          <w:rFonts w:ascii="宋体" w:hAnsi="宋体" w:cs="宋体" w:eastAsia="宋体" w:hint="default"/>
          <w:spacing w:val="-5"/>
          <w:sz w:val="21"/>
          <w:szCs w:val="21"/>
        </w:rPr>
        <w:t>中国联通集团（</w:t>
      </w:r>
      <w:r>
        <w:rPr>
          <w:rFonts w:ascii="宋体" w:hAnsi="宋体" w:cs="宋体" w:eastAsia="宋体" w:hint="default"/>
          <w:spacing w:val="-5"/>
          <w:sz w:val="21"/>
          <w:szCs w:val="21"/>
        </w:rPr>
        <w:t>BVI</w:t>
      </w:r>
      <w:r>
        <w:rPr>
          <w:rFonts w:ascii="宋体" w:hAnsi="宋体" w:cs="宋体" w:eastAsia="宋体" w:hint="default"/>
          <w:spacing w:val="-5"/>
          <w:sz w:val="21"/>
          <w:szCs w:val="21"/>
        </w:rPr>
        <w:t>）有限公司持有股份中不包含其拥有的 </w:t>
      </w:r>
      <w:r>
        <w:rPr>
          <w:rFonts w:ascii="宋体" w:hAnsi="宋体" w:cs="宋体" w:eastAsia="宋体" w:hint="default"/>
          <w:sz w:val="21"/>
          <w:szCs w:val="21"/>
        </w:rPr>
        <w:t>225,722,791</w:t>
      </w:r>
      <w:r>
        <w:rPr>
          <w:rFonts w:ascii="宋体" w:hAnsi="宋体" w:cs="宋体" w:eastAsia="宋体" w:hint="default"/>
          <w:spacing w:val="-45"/>
          <w:sz w:val="21"/>
          <w:szCs w:val="21"/>
        </w:rPr>
        <w:t> </w:t>
      </w:r>
      <w:r>
        <w:rPr>
          <w:rFonts w:ascii="宋体" w:hAnsi="宋体" w:cs="宋体" w:eastAsia="宋体" w:hint="default"/>
          <w:spacing w:val="-6"/>
          <w:sz w:val="21"/>
          <w:szCs w:val="21"/>
        </w:rPr>
        <w:t>股中国联合网络通信（香</w:t>
      </w:r>
      <w:r>
        <w:rPr>
          <w:rFonts w:ascii="宋体" w:hAnsi="宋体" w:cs="宋体" w:eastAsia="宋体" w:hint="default"/>
          <w:w w:val="100"/>
          <w:sz w:val="21"/>
          <w:szCs w:val="21"/>
        </w:rPr>
        <w:t> </w:t>
      </w:r>
      <w:r>
        <w:rPr>
          <w:rFonts w:ascii="宋体" w:hAnsi="宋体" w:cs="宋体" w:eastAsia="宋体" w:hint="default"/>
          <w:sz w:val="21"/>
          <w:szCs w:val="21"/>
        </w:rPr>
        <w:t>港）股份有限公司股份的优先购买权权益</w:t>
      </w:r>
    </w:p>
    <w:p>
      <w:pPr>
        <w:spacing w:line="240" w:lineRule="auto" w:before="3"/>
        <w:rPr>
          <w:rFonts w:ascii="宋体" w:hAnsi="宋体" w:cs="宋体" w:eastAsia="宋体" w:hint="default"/>
          <w:sz w:val="26"/>
          <w:szCs w:val="26"/>
        </w:rPr>
      </w:pPr>
    </w:p>
    <w:p>
      <w:pPr>
        <w:spacing w:line="335" w:lineRule="exact" w:before="0"/>
        <w:ind w:left="958" w:right="816"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五、</w:t>
      </w:r>
      <w:r>
        <w:rPr>
          <w:rFonts w:ascii="Microsoft JhengHei" w:hAnsi="Microsoft JhengHei" w:cs="Microsoft JhengHei" w:eastAsia="Microsoft JhengHei" w:hint="default"/>
          <w:b/>
          <w:bCs/>
          <w:spacing w:val="-9"/>
          <w:sz w:val="21"/>
          <w:szCs w:val="21"/>
        </w:rPr>
        <w:t> </w:t>
      </w:r>
      <w:r>
        <w:rPr>
          <w:rFonts w:ascii="Microsoft JhengHei" w:hAnsi="Microsoft JhengHei" w:cs="Microsoft JhengHei" w:eastAsia="Microsoft JhengHei" w:hint="default"/>
          <w:b/>
          <w:bCs/>
          <w:sz w:val="21"/>
          <w:szCs w:val="21"/>
        </w:rPr>
        <w:t>其他持股在百分之十以上的法人股东</w:t>
      </w:r>
      <w:r>
        <w:rPr>
          <w:rFonts w:ascii="Microsoft JhengHei" w:hAnsi="Microsoft JhengHei" w:cs="Microsoft JhengHei" w:eastAsia="Microsoft JhengHei" w:hint="default"/>
          <w:sz w:val="21"/>
          <w:szCs w:val="21"/>
        </w:rPr>
      </w:r>
    </w:p>
    <w:p>
      <w:pPr>
        <w:tabs>
          <w:tab w:pos="1051" w:val="left" w:leader="none"/>
        </w:tabs>
        <w:spacing w:before="73"/>
        <w:ind w:left="0" w:right="807" w:firstLine="0"/>
        <w:jc w:val="right"/>
        <w:rPr>
          <w:rFonts w:ascii="宋体" w:hAnsi="宋体" w:cs="宋体" w:eastAsia="宋体" w:hint="default"/>
          <w:sz w:val="21"/>
          <w:szCs w:val="21"/>
        </w:rPr>
      </w:pPr>
      <w:r>
        <w:rPr>
          <w:rFonts w:ascii="宋体" w:hAnsi="宋体" w:cs="宋体" w:eastAsia="宋体" w:hint="default"/>
          <w:spacing w:val="-1"/>
          <w:sz w:val="21"/>
          <w:szCs w:val="21"/>
        </w:rPr>
        <w:t>单位：元</w:t>
        <w:tab/>
      </w:r>
      <w:r>
        <w:rPr>
          <w:rFonts w:ascii="宋体" w:hAnsi="宋体" w:cs="宋体" w:eastAsia="宋体" w:hint="default"/>
          <w:spacing w:val="-2"/>
          <w:sz w:val="21"/>
          <w:szCs w:val="21"/>
        </w:rPr>
        <w:t>币种：人民币</w:t>
      </w:r>
    </w:p>
    <w:p>
      <w:pPr>
        <w:spacing w:line="240" w:lineRule="auto" w:before="12"/>
        <w:rPr>
          <w:rFonts w:ascii="宋体" w:hAnsi="宋体" w:cs="宋体" w:eastAsia="宋体" w:hint="default"/>
          <w:sz w:val="3"/>
          <w:szCs w:val="3"/>
        </w:rPr>
      </w:pPr>
    </w:p>
    <w:tbl>
      <w:tblPr>
        <w:tblW w:w="0" w:type="auto"/>
        <w:jc w:val="left"/>
        <w:tblInd w:w="101" w:type="dxa"/>
        <w:tblLayout w:type="fixed"/>
        <w:tblCellMar>
          <w:top w:w="0" w:type="dxa"/>
          <w:left w:w="0" w:type="dxa"/>
          <w:bottom w:w="0" w:type="dxa"/>
          <w:right w:w="0" w:type="dxa"/>
        </w:tblCellMar>
        <w:tblLook w:val="01E0"/>
      </w:tblPr>
      <w:tblGrid>
        <w:gridCol w:w="1155"/>
        <w:gridCol w:w="1001"/>
        <w:gridCol w:w="1001"/>
        <w:gridCol w:w="1385"/>
        <w:gridCol w:w="1385"/>
        <w:gridCol w:w="4832"/>
      </w:tblGrid>
      <w:tr>
        <w:trPr>
          <w:trHeight w:val="1259" w:hRule="exact"/>
        </w:trPr>
        <w:tc>
          <w:tcPr>
            <w:tcW w:w="115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宋体" w:hAnsi="宋体" w:cs="宋体" w:eastAsia="宋体" w:hint="default"/>
                <w:sz w:val="23"/>
                <w:szCs w:val="23"/>
              </w:rPr>
            </w:pPr>
          </w:p>
          <w:p>
            <w:pPr>
              <w:pStyle w:val="TableParagraph"/>
              <w:spacing w:line="273" w:lineRule="auto"/>
              <w:ind w:left="362" w:right="149" w:hanging="212"/>
              <w:jc w:val="left"/>
              <w:rPr>
                <w:rFonts w:ascii="宋体" w:hAnsi="宋体" w:cs="宋体" w:eastAsia="宋体" w:hint="default"/>
                <w:sz w:val="21"/>
                <w:szCs w:val="21"/>
              </w:rPr>
            </w:pPr>
            <w:r>
              <w:rPr>
                <w:rFonts w:ascii="宋体" w:hAnsi="宋体" w:cs="宋体" w:eastAsia="宋体" w:hint="default"/>
                <w:sz w:val="21"/>
                <w:szCs w:val="21"/>
              </w:rPr>
              <w:t>法人股东</w:t>
            </w:r>
            <w:r>
              <w:rPr>
                <w:rFonts w:ascii="宋体" w:hAnsi="宋体" w:cs="宋体" w:eastAsia="宋体" w:hint="default"/>
                <w:w w:val="100"/>
                <w:sz w:val="21"/>
                <w:szCs w:val="21"/>
              </w:rPr>
              <w:t> </w:t>
            </w:r>
            <w:r>
              <w:rPr>
                <w:rFonts w:ascii="宋体" w:hAnsi="宋体" w:cs="宋体" w:eastAsia="宋体" w:hint="default"/>
                <w:sz w:val="21"/>
                <w:szCs w:val="21"/>
              </w:rPr>
              <w:t>名称</w:t>
            </w:r>
          </w:p>
        </w:tc>
        <w:tc>
          <w:tcPr>
            <w:tcW w:w="10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180" w:right="175"/>
              <w:jc w:val="both"/>
              <w:rPr>
                <w:rFonts w:ascii="宋体" w:hAnsi="宋体" w:cs="宋体" w:eastAsia="宋体" w:hint="default"/>
                <w:sz w:val="21"/>
                <w:szCs w:val="21"/>
              </w:rPr>
            </w:pPr>
            <w:r>
              <w:rPr>
                <w:rFonts w:ascii="宋体" w:hAnsi="宋体" w:cs="宋体" w:eastAsia="宋体" w:hint="default"/>
                <w:sz w:val="21"/>
                <w:szCs w:val="21"/>
              </w:rPr>
              <w:t>单位负</w:t>
            </w:r>
            <w:r>
              <w:rPr>
                <w:rFonts w:ascii="宋体" w:hAnsi="宋体" w:cs="宋体" w:eastAsia="宋体" w:hint="default"/>
                <w:spacing w:val="-102"/>
                <w:sz w:val="21"/>
                <w:szCs w:val="21"/>
              </w:rPr>
              <w:t> </w:t>
            </w:r>
            <w:r>
              <w:rPr>
                <w:rFonts w:ascii="宋体" w:hAnsi="宋体" w:cs="宋体" w:eastAsia="宋体" w:hint="default"/>
                <w:sz w:val="21"/>
                <w:szCs w:val="21"/>
              </w:rPr>
              <w:t>责人或</w:t>
            </w:r>
            <w:r>
              <w:rPr>
                <w:rFonts w:ascii="宋体" w:hAnsi="宋体" w:cs="宋体" w:eastAsia="宋体" w:hint="default"/>
                <w:spacing w:val="-102"/>
                <w:sz w:val="21"/>
                <w:szCs w:val="21"/>
              </w:rPr>
              <w:t> </w:t>
            </w:r>
            <w:r>
              <w:rPr>
                <w:rFonts w:ascii="宋体" w:hAnsi="宋体" w:cs="宋体" w:eastAsia="宋体" w:hint="default"/>
                <w:sz w:val="21"/>
                <w:szCs w:val="21"/>
              </w:rPr>
              <w:t>法定代</w:t>
            </w:r>
            <w:r>
              <w:rPr>
                <w:rFonts w:ascii="宋体" w:hAnsi="宋体" w:cs="宋体" w:eastAsia="宋体" w:hint="default"/>
                <w:spacing w:val="-102"/>
                <w:sz w:val="21"/>
                <w:szCs w:val="21"/>
              </w:rPr>
              <w:t> </w:t>
            </w:r>
            <w:r>
              <w:rPr>
                <w:rFonts w:ascii="宋体" w:hAnsi="宋体" w:cs="宋体" w:eastAsia="宋体" w:hint="default"/>
                <w:sz w:val="21"/>
                <w:szCs w:val="21"/>
              </w:rPr>
              <w:t>表人</w:t>
            </w:r>
          </w:p>
        </w:tc>
        <w:tc>
          <w:tcPr>
            <w:tcW w:w="10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宋体" w:hAnsi="宋体" w:cs="宋体" w:eastAsia="宋体" w:hint="default"/>
                <w:sz w:val="23"/>
                <w:szCs w:val="23"/>
              </w:rPr>
            </w:pPr>
          </w:p>
          <w:p>
            <w:pPr>
              <w:pStyle w:val="TableParagraph"/>
              <w:spacing w:line="273" w:lineRule="auto"/>
              <w:ind w:left="388" w:right="175" w:hanging="209"/>
              <w:jc w:val="left"/>
              <w:rPr>
                <w:rFonts w:ascii="宋体" w:hAnsi="宋体" w:cs="宋体" w:eastAsia="宋体" w:hint="default"/>
                <w:sz w:val="21"/>
                <w:szCs w:val="21"/>
              </w:rPr>
            </w:pPr>
            <w:r>
              <w:rPr>
                <w:rFonts w:ascii="宋体" w:hAnsi="宋体" w:cs="宋体" w:eastAsia="宋体" w:hint="default"/>
                <w:sz w:val="21"/>
                <w:szCs w:val="21"/>
              </w:rPr>
              <w:t>成立日</w:t>
            </w:r>
            <w:r>
              <w:rPr>
                <w:rFonts w:ascii="宋体" w:hAnsi="宋体" w:cs="宋体" w:eastAsia="宋体" w:hint="default"/>
                <w:spacing w:val="-102"/>
                <w:sz w:val="21"/>
                <w:szCs w:val="21"/>
              </w:rPr>
              <w:t> </w:t>
            </w:r>
            <w:r>
              <w:rPr>
                <w:rFonts w:ascii="宋体" w:hAnsi="宋体" w:cs="宋体" w:eastAsia="宋体" w:hint="default"/>
                <w:sz w:val="21"/>
                <w:szCs w:val="21"/>
              </w:rPr>
              <w:t>期</w:t>
            </w:r>
          </w:p>
        </w:tc>
        <w:tc>
          <w:tcPr>
            <w:tcW w:w="13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宋体" w:hAnsi="宋体" w:cs="宋体" w:eastAsia="宋体" w:hint="default"/>
                <w:sz w:val="23"/>
                <w:szCs w:val="23"/>
              </w:rPr>
            </w:pPr>
          </w:p>
          <w:p>
            <w:pPr>
              <w:pStyle w:val="TableParagraph"/>
              <w:spacing w:line="273" w:lineRule="auto"/>
              <w:ind w:left="475" w:right="266" w:hanging="212"/>
              <w:jc w:val="left"/>
              <w:rPr>
                <w:rFonts w:ascii="宋体" w:hAnsi="宋体" w:cs="宋体" w:eastAsia="宋体" w:hint="default"/>
                <w:sz w:val="21"/>
                <w:szCs w:val="21"/>
              </w:rPr>
            </w:pPr>
            <w:r>
              <w:rPr>
                <w:rFonts w:ascii="宋体" w:hAnsi="宋体" w:cs="宋体" w:eastAsia="宋体" w:hint="default"/>
                <w:sz w:val="21"/>
                <w:szCs w:val="21"/>
              </w:rPr>
              <w:t>组织机构</w:t>
            </w:r>
            <w:r>
              <w:rPr>
                <w:rFonts w:ascii="宋体" w:hAnsi="宋体" w:cs="宋体" w:eastAsia="宋体" w:hint="default"/>
                <w:w w:val="100"/>
                <w:sz w:val="21"/>
                <w:szCs w:val="21"/>
              </w:rPr>
              <w:t> </w:t>
            </w:r>
            <w:r>
              <w:rPr>
                <w:rFonts w:ascii="宋体" w:hAnsi="宋体" w:cs="宋体" w:eastAsia="宋体" w:hint="default"/>
                <w:sz w:val="21"/>
                <w:szCs w:val="21"/>
              </w:rPr>
              <w:t>代码</w:t>
            </w:r>
          </w:p>
        </w:tc>
        <w:tc>
          <w:tcPr>
            <w:tcW w:w="13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264" w:right="0"/>
              <w:jc w:val="left"/>
              <w:rPr>
                <w:rFonts w:ascii="宋体" w:hAnsi="宋体" w:cs="宋体" w:eastAsia="宋体" w:hint="default"/>
                <w:sz w:val="21"/>
                <w:szCs w:val="21"/>
              </w:rPr>
            </w:pPr>
            <w:r>
              <w:rPr>
                <w:rFonts w:ascii="宋体" w:hAnsi="宋体" w:cs="宋体" w:eastAsia="宋体" w:hint="default"/>
                <w:sz w:val="21"/>
                <w:szCs w:val="21"/>
              </w:rPr>
              <w:t>注册资本</w:t>
            </w:r>
          </w:p>
        </w:tc>
        <w:tc>
          <w:tcPr>
            <w:tcW w:w="48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938" w:right="0"/>
              <w:jc w:val="left"/>
              <w:rPr>
                <w:rFonts w:ascii="宋体" w:hAnsi="宋体" w:cs="宋体" w:eastAsia="宋体" w:hint="default"/>
                <w:sz w:val="21"/>
                <w:szCs w:val="21"/>
              </w:rPr>
            </w:pPr>
            <w:r>
              <w:rPr>
                <w:rFonts w:ascii="宋体" w:hAnsi="宋体" w:cs="宋体" w:eastAsia="宋体" w:hint="default"/>
                <w:sz w:val="21"/>
                <w:szCs w:val="21"/>
              </w:rPr>
              <w:t>主要经营业务或管理活动等情况</w:t>
            </w:r>
          </w:p>
        </w:tc>
      </w:tr>
      <w:tr>
        <w:trPr>
          <w:trHeight w:val="1882" w:hRule="exact"/>
        </w:trPr>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9"/>
              <w:jc w:val="both"/>
              <w:rPr>
                <w:rFonts w:ascii="宋体" w:hAnsi="宋体" w:cs="宋体" w:eastAsia="宋体" w:hint="default"/>
                <w:sz w:val="21"/>
                <w:szCs w:val="21"/>
              </w:rPr>
            </w:pPr>
            <w:r>
              <w:rPr>
                <w:rFonts w:ascii="宋体" w:hAnsi="宋体" w:cs="宋体" w:eastAsia="宋体" w:hint="default"/>
                <w:sz w:val="21"/>
                <w:szCs w:val="21"/>
              </w:rPr>
              <w:t>中</w:t>
            </w:r>
            <w:r>
              <w:rPr>
                <w:rFonts w:ascii="宋体" w:hAnsi="宋体" w:cs="宋体" w:eastAsia="宋体" w:hint="default"/>
                <w:spacing w:val="-73"/>
                <w:sz w:val="21"/>
                <w:szCs w:val="21"/>
              </w:rPr>
              <w:t> </w:t>
            </w:r>
            <w:r>
              <w:rPr>
                <w:rFonts w:ascii="宋体" w:hAnsi="宋体" w:cs="宋体" w:eastAsia="宋体" w:hint="default"/>
                <w:sz w:val="21"/>
                <w:szCs w:val="21"/>
              </w:rPr>
              <w:t>国</w:t>
            </w:r>
            <w:r>
              <w:rPr>
                <w:rFonts w:ascii="宋体" w:hAnsi="宋体" w:cs="宋体" w:eastAsia="宋体" w:hint="default"/>
                <w:spacing w:val="-73"/>
                <w:sz w:val="21"/>
                <w:szCs w:val="21"/>
              </w:rPr>
              <w:t> </w:t>
            </w:r>
            <w:r>
              <w:rPr>
                <w:rFonts w:ascii="宋体" w:hAnsi="宋体" w:cs="宋体" w:eastAsia="宋体" w:hint="default"/>
                <w:sz w:val="21"/>
                <w:szCs w:val="21"/>
              </w:rPr>
              <w:t>人</w:t>
            </w:r>
            <w:r>
              <w:rPr>
                <w:rFonts w:ascii="宋体" w:hAnsi="宋体" w:cs="宋体" w:eastAsia="宋体" w:hint="default"/>
                <w:spacing w:val="-71"/>
                <w:sz w:val="21"/>
                <w:szCs w:val="21"/>
              </w:rPr>
              <w:t> </w:t>
            </w:r>
            <w:r>
              <w:rPr>
                <w:rFonts w:ascii="宋体" w:hAnsi="宋体" w:cs="宋体" w:eastAsia="宋体" w:hint="default"/>
                <w:sz w:val="21"/>
                <w:szCs w:val="21"/>
              </w:rPr>
              <w:t>寿</w:t>
            </w:r>
            <w:r>
              <w:rPr>
                <w:rFonts w:ascii="宋体" w:hAnsi="宋体" w:cs="宋体" w:eastAsia="宋体" w:hint="default"/>
                <w:w w:val="100"/>
                <w:sz w:val="21"/>
                <w:szCs w:val="21"/>
              </w:rPr>
              <w:t> </w:t>
            </w:r>
            <w:r>
              <w:rPr>
                <w:rFonts w:ascii="宋体" w:hAnsi="宋体" w:cs="宋体" w:eastAsia="宋体" w:hint="default"/>
                <w:sz w:val="21"/>
                <w:szCs w:val="21"/>
              </w:rPr>
              <w:t>保</w:t>
            </w:r>
            <w:r>
              <w:rPr>
                <w:rFonts w:ascii="宋体" w:hAnsi="宋体" w:cs="宋体" w:eastAsia="宋体" w:hint="default"/>
                <w:spacing w:val="-73"/>
                <w:sz w:val="21"/>
                <w:szCs w:val="21"/>
              </w:rPr>
              <w:t> </w:t>
            </w:r>
            <w:r>
              <w:rPr>
                <w:rFonts w:ascii="宋体" w:hAnsi="宋体" w:cs="宋体" w:eastAsia="宋体" w:hint="default"/>
                <w:sz w:val="21"/>
                <w:szCs w:val="21"/>
              </w:rPr>
              <w:t>险</w:t>
            </w:r>
            <w:r>
              <w:rPr>
                <w:rFonts w:ascii="宋体" w:hAnsi="宋体" w:cs="宋体" w:eastAsia="宋体" w:hint="default"/>
                <w:spacing w:val="-73"/>
                <w:sz w:val="21"/>
                <w:szCs w:val="21"/>
              </w:rPr>
              <w:t> </w:t>
            </w:r>
            <w:r>
              <w:rPr>
                <w:rFonts w:ascii="宋体" w:hAnsi="宋体" w:cs="宋体" w:eastAsia="宋体" w:hint="default"/>
                <w:sz w:val="21"/>
                <w:szCs w:val="21"/>
              </w:rPr>
              <w:t>股</w:t>
            </w:r>
            <w:r>
              <w:rPr>
                <w:rFonts w:ascii="宋体" w:hAnsi="宋体" w:cs="宋体" w:eastAsia="宋体" w:hint="default"/>
                <w:spacing w:val="-71"/>
                <w:sz w:val="21"/>
                <w:szCs w:val="21"/>
              </w:rPr>
              <w:t> </w:t>
            </w:r>
            <w:r>
              <w:rPr>
                <w:rFonts w:ascii="宋体" w:hAnsi="宋体" w:cs="宋体" w:eastAsia="宋体" w:hint="default"/>
                <w:sz w:val="21"/>
                <w:szCs w:val="21"/>
              </w:rPr>
              <w:t>份</w:t>
            </w:r>
            <w:r>
              <w:rPr>
                <w:rFonts w:ascii="宋体" w:hAnsi="宋体" w:cs="宋体" w:eastAsia="宋体" w:hint="default"/>
                <w:w w:val="100"/>
                <w:sz w:val="21"/>
                <w:szCs w:val="21"/>
              </w:rPr>
              <w:t> </w:t>
            </w:r>
            <w:r>
              <w:rPr>
                <w:rFonts w:ascii="宋体" w:hAnsi="宋体" w:cs="宋体" w:eastAsia="宋体" w:hint="default"/>
                <w:sz w:val="21"/>
                <w:szCs w:val="21"/>
              </w:rPr>
              <w:t>有限公司</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王滨</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2003 </w:t>
            </w:r>
            <w:r>
              <w:rPr>
                <w:rFonts w:ascii="宋体" w:hAnsi="宋体" w:cs="宋体" w:eastAsia="宋体" w:hint="default"/>
                <w:sz w:val="18"/>
                <w:szCs w:val="18"/>
              </w:rPr>
              <w:t>年</w:t>
            </w:r>
            <w:r>
              <w:rPr>
                <w:rFonts w:ascii="宋体" w:hAnsi="宋体" w:cs="宋体" w:eastAsia="宋体" w:hint="default"/>
                <w:spacing w:val="-26"/>
                <w:sz w:val="18"/>
                <w:szCs w:val="18"/>
              </w:rPr>
              <w:t> </w:t>
            </w:r>
            <w:r>
              <w:rPr>
                <w:rFonts w:ascii="宋体" w:hAnsi="宋体" w:cs="宋体" w:eastAsia="宋体" w:hint="default"/>
                <w:sz w:val="18"/>
                <w:szCs w:val="18"/>
              </w:rPr>
              <w:t>6</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30</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sz w:val="18"/>
              </w:rPr>
              <w:t>911000007109</w:t>
            </w:r>
          </w:p>
          <w:p>
            <w:pPr>
              <w:pStyle w:val="TableParagraph"/>
              <w:spacing w:line="240" w:lineRule="auto" w:before="76"/>
              <w:ind w:left="100" w:right="0"/>
              <w:jc w:val="left"/>
              <w:rPr>
                <w:rFonts w:ascii="宋体" w:hAnsi="宋体" w:cs="宋体" w:eastAsia="宋体" w:hint="default"/>
                <w:sz w:val="18"/>
                <w:szCs w:val="18"/>
              </w:rPr>
            </w:pPr>
            <w:r>
              <w:rPr>
                <w:rFonts w:ascii="宋体"/>
                <w:sz w:val="18"/>
              </w:rPr>
              <w:t>2841XX</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89" w:right="0"/>
              <w:jc w:val="left"/>
              <w:rPr>
                <w:rFonts w:ascii="宋体" w:hAnsi="宋体" w:cs="宋体" w:eastAsia="宋体" w:hint="default"/>
                <w:sz w:val="18"/>
                <w:szCs w:val="18"/>
              </w:rPr>
            </w:pPr>
            <w:r>
              <w:rPr>
                <w:rFonts w:ascii="宋体"/>
                <w:sz w:val="18"/>
              </w:rPr>
              <w:t>2,826,470.50</w:t>
            </w:r>
          </w:p>
          <w:p>
            <w:pPr>
              <w:pStyle w:val="TableParagraph"/>
              <w:spacing w:line="240" w:lineRule="auto" w:before="76"/>
              <w:ind w:left="909"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48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38"/>
              <w:jc w:val="left"/>
              <w:rPr>
                <w:rFonts w:ascii="宋体" w:hAnsi="宋体" w:cs="宋体" w:eastAsia="宋体" w:hint="default"/>
                <w:sz w:val="18"/>
                <w:szCs w:val="18"/>
              </w:rPr>
            </w:pPr>
            <w:r>
              <w:rPr>
                <w:rFonts w:ascii="宋体" w:hAnsi="宋体" w:cs="宋体" w:eastAsia="宋体" w:hint="default"/>
                <w:sz w:val="18"/>
                <w:szCs w:val="18"/>
              </w:rPr>
              <w:t>人寿保险、健康保险、意外伤害保险等各类人身保险业务； </w:t>
            </w:r>
            <w:r>
              <w:rPr>
                <w:rFonts w:ascii="宋体" w:hAnsi="宋体" w:cs="宋体" w:eastAsia="宋体" w:hint="default"/>
                <w:spacing w:val="-3"/>
                <w:sz w:val="18"/>
                <w:szCs w:val="18"/>
              </w:rPr>
              <w:t>人身保险的再保险业务；国家法律、法规允许或国务院批准</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3"/>
                <w:sz w:val="18"/>
                <w:szCs w:val="18"/>
              </w:rPr>
              <w:t>的资金运用业务；各类人身保险服务、咨询和代理业务；证</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券投资基金销售业务；国家保险监督管理部门批准的其他业</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务。（依法须经批准的项目，经相关部门批准后方可开展经</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营活动）</w:t>
            </w:r>
          </w:p>
        </w:tc>
      </w:tr>
      <w:tr>
        <w:trPr>
          <w:trHeight w:val="322" w:hRule="exact"/>
        </w:trPr>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情况说明</w:t>
            </w:r>
          </w:p>
        </w:tc>
        <w:tc>
          <w:tcPr>
            <w:tcW w:w="9604" w:type="dxa"/>
            <w:gridSpan w:val="5"/>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无</w:t>
            </w:r>
          </w:p>
        </w:tc>
      </w:tr>
    </w:tbl>
    <w:p>
      <w:pPr>
        <w:spacing w:after="0" w:line="262" w:lineRule="exact"/>
        <w:jc w:val="left"/>
        <w:rPr>
          <w:rFonts w:ascii="宋体" w:hAnsi="宋体" w:cs="宋体" w:eastAsia="宋体" w:hint="default"/>
          <w:sz w:val="21"/>
          <w:szCs w:val="21"/>
        </w:rPr>
        <w:sectPr>
          <w:footerReference w:type="default" r:id="rId56"/>
          <w:pgSz w:w="11910" w:h="16840"/>
          <w:pgMar w:footer="502" w:header="854" w:top="1360" w:bottom="700" w:left="460" w:right="460"/>
        </w:sectPr>
      </w:pPr>
    </w:p>
    <w:p>
      <w:pPr>
        <w:spacing w:line="240" w:lineRule="auto" w:before="10"/>
        <w:rPr>
          <w:rFonts w:ascii="宋体" w:hAnsi="宋体" w:cs="宋体" w:eastAsia="宋体" w:hint="default"/>
          <w:sz w:val="8"/>
          <w:szCs w:val="8"/>
        </w:rPr>
      </w:pPr>
    </w:p>
    <w:p>
      <w:pPr>
        <w:spacing w:line="335" w:lineRule="exact" w:before="0"/>
        <w:ind w:left="138"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六、</w:t>
      </w:r>
      <w:r>
        <w:rPr>
          <w:rFonts w:ascii="Microsoft JhengHei" w:hAnsi="Microsoft JhengHei" w:cs="Microsoft JhengHei" w:eastAsia="Microsoft JhengHei" w:hint="default"/>
          <w:b/>
          <w:bCs/>
          <w:spacing w:val="-13"/>
          <w:sz w:val="21"/>
          <w:szCs w:val="21"/>
        </w:rPr>
        <w:t> </w:t>
      </w:r>
      <w:r>
        <w:rPr>
          <w:rFonts w:ascii="Microsoft JhengHei" w:hAnsi="Microsoft JhengHei" w:cs="Microsoft JhengHei" w:eastAsia="Microsoft JhengHei" w:hint="default"/>
          <w:b/>
          <w:bCs/>
          <w:sz w:val="21"/>
          <w:szCs w:val="21"/>
        </w:rPr>
        <w:t>股份限制减持情况说明</w:t>
      </w:r>
      <w:r>
        <w:rPr>
          <w:rFonts w:ascii="Microsoft JhengHei" w:hAnsi="Microsoft JhengHei" w:cs="Microsoft JhengHei" w:eastAsia="Microsoft JhengHei" w:hint="default"/>
          <w:sz w:val="21"/>
          <w:szCs w:val="21"/>
        </w:rPr>
      </w:r>
    </w:p>
    <w:p>
      <w:pPr>
        <w:spacing w:before="73"/>
        <w:ind w:left="138" w:right="0"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7"/>
          <w:szCs w:val="17"/>
        </w:rPr>
      </w:pPr>
    </w:p>
    <w:p>
      <w:pPr>
        <w:pStyle w:val="Heading1"/>
        <w:tabs>
          <w:tab w:pos="4392" w:val="left" w:leader="none"/>
        </w:tabs>
        <w:spacing w:line="413" w:lineRule="exact"/>
        <w:ind w:left="3132" w:right="0"/>
        <w:jc w:val="left"/>
        <w:rPr>
          <w:b w:val="0"/>
          <w:bCs w:val="0"/>
        </w:rPr>
      </w:pPr>
      <w:bookmarkStart w:name="_bookmark6" w:id="8"/>
      <w:bookmarkEnd w:id="8"/>
      <w:r>
        <w:rPr>
          <w:b w:val="0"/>
          <w:bCs w:val="0"/>
        </w:rPr>
      </w:r>
      <w:r>
        <w:rPr/>
        <w:t>第七节</w:t>
        <w:tab/>
        <w:t>优先股相关情况</w:t>
      </w:r>
      <w:r>
        <w:rPr>
          <w:b w:val="0"/>
          <w:bCs w:val="0"/>
        </w:rPr>
      </w:r>
    </w:p>
    <w:p>
      <w:pPr>
        <w:spacing w:line="240" w:lineRule="auto" w:before="12"/>
        <w:rPr>
          <w:rFonts w:ascii="Microsoft JhengHei" w:hAnsi="Microsoft JhengHei" w:cs="Microsoft JhengHei" w:eastAsia="Microsoft JhengHei" w:hint="default"/>
          <w:b/>
          <w:bCs/>
          <w:sz w:val="8"/>
          <w:szCs w:val="8"/>
        </w:rPr>
      </w:pPr>
    </w:p>
    <w:p>
      <w:pPr>
        <w:spacing w:before="36"/>
        <w:ind w:left="138" w:right="0"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after="0"/>
        <w:jc w:val="left"/>
        <w:rPr>
          <w:rFonts w:ascii="宋体" w:hAnsi="宋体" w:cs="宋体" w:eastAsia="宋体" w:hint="default"/>
          <w:sz w:val="21"/>
          <w:szCs w:val="21"/>
        </w:rPr>
        <w:sectPr>
          <w:footerReference w:type="default" r:id="rId58"/>
          <w:pgSz w:w="11910" w:h="16840"/>
          <w:pgMar w:footer="502" w:header="854" w:top="1360" w:bottom="700" w:left="1280" w:right="1140"/>
        </w:sectPr>
      </w:pPr>
    </w:p>
    <w:p>
      <w:pPr>
        <w:pStyle w:val="Heading1"/>
        <w:tabs>
          <w:tab w:pos="5961" w:val="left" w:leader="none"/>
        </w:tabs>
        <w:spacing w:line="391" w:lineRule="exact"/>
        <w:ind w:left="4701" w:right="0"/>
        <w:jc w:val="left"/>
        <w:rPr>
          <w:b w:val="0"/>
          <w:bCs w:val="0"/>
        </w:rPr>
      </w:pPr>
      <w:r>
        <w:rPr/>
        <w:pict>
          <v:group style="position:absolute;margin-left:74.760002pt;margin-top:1.71pt;width:695.65pt;height:.1pt;mso-position-horizontal-relative:page;mso-position-vertical-relative:paragraph;z-index:-1024936" coordorigin="1495,34" coordsize="13913,2">
            <v:shape style="position:absolute;left:1495;top:34;width:13913;height:2" coordorigin="1495,34" coordsize="13913,0" path="m1495,34l15408,34e" filled="false" stroked="true" strokeweight=".72pt" strokecolor="#000000">
              <v:path arrowok="t"/>
            </v:shape>
            <w10:wrap type="none"/>
          </v:group>
        </w:pict>
      </w:r>
      <w:bookmarkStart w:name="_bookmark7" w:id="9"/>
      <w:bookmarkEnd w:id="9"/>
      <w:r>
        <w:rPr>
          <w:b w:val="0"/>
          <w:bCs w:val="0"/>
        </w:rPr>
      </w:r>
      <w:r>
        <w:rPr/>
        <w:t>第八节</w:t>
        <w:tab/>
        <w:t>董事、监事、高级管理人员和员工情况</w:t>
      </w:r>
      <w:r>
        <w:rPr>
          <w:b w:val="0"/>
          <w:bCs w:val="0"/>
        </w:rPr>
      </w:r>
    </w:p>
    <w:p>
      <w:pPr>
        <w:spacing w:line="240" w:lineRule="auto" w:before="11"/>
        <w:rPr>
          <w:rFonts w:ascii="Microsoft JhengHei" w:hAnsi="Microsoft JhengHei" w:cs="Microsoft JhengHei" w:eastAsia="Microsoft JhengHei" w:hint="default"/>
          <w:b/>
          <w:bCs/>
          <w:sz w:val="10"/>
          <w:szCs w:val="10"/>
        </w:rPr>
      </w:pPr>
    </w:p>
    <w:p>
      <w:pPr>
        <w:spacing w:after="0" w:line="240" w:lineRule="auto"/>
        <w:rPr>
          <w:rFonts w:ascii="Microsoft JhengHei" w:hAnsi="Microsoft JhengHei" w:cs="Microsoft JhengHei" w:eastAsia="Microsoft JhengHei" w:hint="default"/>
          <w:sz w:val="10"/>
          <w:szCs w:val="10"/>
        </w:rPr>
        <w:sectPr>
          <w:headerReference w:type="default" r:id="rId59"/>
          <w:footerReference w:type="default" r:id="rId60"/>
          <w:pgSz w:w="16840" w:h="11910" w:orient="landscape"/>
          <w:pgMar w:header="854" w:footer="502" w:top="1300" w:bottom="700" w:left="740" w:right="600"/>
        </w:sectPr>
      </w:pPr>
    </w:p>
    <w:p>
      <w:pPr>
        <w:spacing w:line="319" w:lineRule="exact" w:before="0"/>
        <w:ind w:left="784" w:right="-15"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一、持股变动情况及报酬情况</w:t>
      </w:r>
      <w:r>
        <w:rPr>
          <w:rFonts w:ascii="Microsoft JhengHei" w:hAnsi="Microsoft JhengHei" w:cs="Microsoft JhengHei" w:eastAsia="Microsoft JhengHei" w:hint="default"/>
          <w:sz w:val="21"/>
          <w:szCs w:val="21"/>
        </w:rPr>
      </w:r>
    </w:p>
    <w:p>
      <w:pPr>
        <w:spacing w:line="353" w:lineRule="exact" w:before="0"/>
        <w:ind w:left="784" w:right="-15"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一</w:t>
      </w:r>
      <w:r>
        <w:rPr>
          <w:rFonts w:ascii="Calibri" w:hAnsi="Calibri" w:cs="Calibri" w:eastAsia="Calibri" w:hint="default"/>
          <w:b/>
          <w:bCs/>
          <w:sz w:val="21"/>
          <w:szCs w:val="21"/>
        </w:rPr>
        <w:t>) </w:t>
      </w:r>
      <w:r>
        <w:rPr>
          <w:rFonts w:ascii="Calibri" w:hAnsi="Calibri" w:cs="Calibri" w:eastAsia="Calibri" w:hint="default"/>
          <w:b/>
          <w:bCs/>
          <w:spacing w:val="6"/>
          <w:sz w:val="21"/>
          <w:szCs w:val="21"/>
        </w:rPr>
        <w:t> </w:t>
      </w:r>
      <w:r>
        <w:rPr>
          <w:rFonts w:ascii="Microsoft JhengHei" w:hAnsi="Microsoft JhengHei" w:cs="Microsoft JhengHei" w:eastAsia="Microsoft JhengHei" w:hint="default"/>
          <w:b/>
          <w:bCs/>
          <w:sz w:val="21"/>
          <w:szCs w:val="21"/>
        </w:rPr>
        <w:t>现任及报告期内离任董事、监事和高级管理人员持股变动及报酬情况</w:t>
      </w:r>
      <w:r>
        <w:rPr>
          <w:rFonts w:ascii="Microsoft JhengHei" w:hAnsi="Microsoft JhengHei" w:cs="Microsoft JhengHei" w:eastAsia="Microsoft JhengHei" w:hint="default"/>
          <w:sz w:val="21"/>
          <w:szCs w:val="21"/>
        </w:rPr>
      </w:r>
    </w:p>
    <w:p>
      <w:pPr>
        <w:spacing w:line="240" w:lineRule="auto" w:before="0"/>
        <w:rPr>
          <w:rFonts w:ascii="Microsoft JhengHei" w:hAnsi="Microsoft JhengHei" w:cs="Microsoft JhengHei" w:eastAsia="Microsoft JhengHei" w:hint="default"/>
          <w:b/>
          <w:bCs/>
          <w:sz w:val="20"/>
          <w:szCs w:val="20"/>
        </w:rPr>
      </w:pPr>
      <w:r>
        <w:rPr/>
        <w:br w:type="column"/>
      </w:r>
      <w:r>
        <w:rPr>
          <w:rFonts w:ascii="Microsoft JhengHei"/>
          <w:b/>
          <w:sz w:val="20"/>
        </w:rPr>
      </w:r>
    </w:p>
    <w:p>
      <w:pPr>
        <w:spacing w:line="240" w:lineRule="auto" w:before="5"/>
        <w:rPr>
          <w:rFonts w:ascii="Microsoft JhengHei" w:hAnsi="Microsoft JhengHei" w:cs="Microsoft JhengHei" w:eastAsia="Microsoft JhengHei" w:hint="default"/>
          <w:b/>
          <w:bCs/>
          <w:sz w:val="20"/>
          <w:szCs w:val="20"/>
        </w:rPr>
      </w:pPr>
    </w:p>
    <w:p>
      <w:pPr>
        <w:spacing w:before="0"/>
        <w:ind w:left="784"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6840" w:h="11910" w:orient="landscape"/>
          <w:pgMar w:top="1360" w:bottom="700" w:left="740" w:right="600"/>
          <w:cols w:num="2" w:equalWidth="0">
            <w:col w:w="7532" w:space="5502"/>
            <w:col w:w="2466"/>
          </w:cols>
        </w:sectPr>
      </w:pPr>
    </w:p>
    <w:p>
      <w:pPr>
        <w:spacing w:line="240" w:lineRule="auto" w:before="7"/>
        <w:rPr>
          <w:rFonts w:ascii="宋体" w:hAnsi="宋体" w:cs="宋体" w:eastAsia="宋体" w:hint="default"/>
          <w:sz w:val="2"/>
          <w:szCs w:val="2"/>
        </w:rPr>
      </w:pPr>
    </w:p>
    <w:tbl>
      <w:tblPr>
        <w:tblW w:w="0" w:type="auto"/>
        <w:jc w:val="left"/>
        <w:tblInd w:w="100" w:type="dxa"/>
        <w:tblLayout w:type="fixed"/>
        <w:tblCellMar>
          <w:top w:w="0" w:type="dxa"/>
          <w:left w:w="0" w:type="dxa"/>
          <w:bottom w:w="0" w:type="dxa"/>
          <w:right w:w="0" w:type="dxa"/>
        </w:tblCellMar>
        <w:tblLook w:val="01E0"/>
      </w:tblPr>
      <w:tblGrid>
        <w:gridCol w:w="999"/>
        <w:gridCol w:w="1282"/>
        <w:gridCol w:w="722"/>
        <w:gridCol w:w="864"/>
        <w:gridCol w:w="2105"/>
        <w:gridCol w:w="1556"/>
        <w:gridCol w:w="1428"/>
        <w:gridCol w:w="1058"/>
        <w:gridCol w:w="1138"/>
        <w:gridCol w:w="1135"/>
        <w:gridCol w:w="1719"/>
        <w:gridCol w:w="1277"/>
      </w:tblGrid>
      <w:tr>
        <w:trPr>
          <w:trHeight w:val="826" w:hRule="exact"/>
        </w:trPr>
        <w:tc>
          <w:tcPr>
            <w:tcW w:w="99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12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职务</w:t>
            </w:r>
            <w:r>
              <w:rPr>
                <w:rFonts w:ascii="宋体" w:hAnsi="宋体" w:cs="宋体" w:eastAsia="宋体" w:hint="default"/>
                <w:sz w:val="21"/>
                <w:szCs w:val="21"/>
              </w:rPr>
              <w:t>(</w:t>
            </w:r>
            <w:r>
              <w:rPr>
                <w:rFonts w:ascii="宋体" w:hAnsi="宋体" w:cs="宋体" w:eastAsia="宋体" w:hint="default"/>
                <w:sz w:val="21"/>
                <w:szCs w:val="21"/>
              </w:rPr>
              <w:t>注</w:t>
            </w:r>
            <w:r>
              <w:rPr>
                <w:rFonts w:ascii="宋体" w:hAnsi="宋体" w:cs="宋体" w:eastAsia="宋体" w:hint="default"/>
                <w:sz w:val="21"/>
                <w:szCs w:val="21"/>
              </w:rPr>
              <w:t>)</w:t>
            </w:r>
          </w:p>
        </w:tc>
        <w:tc>
          <w:tcPr>
            <w:tcW w:w="72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性别</w:t>
            </w:r>
          </w:p>
        </w:tc>
        <w:tc>
          <w:tcPr>
            <w:tcW w:w="8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年龄</w:t>
            </w:r>
          </w:p>
        </w:tc>
        <w:tc>
          <w:tcPr>
            <w:tcW w:w="21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418" w:right="0"/>
              <w:jc w:val="left"/>
              <w:rPr>
                <w:rFonts w:ascii="宋体" w:hAnsi="宋体" w:cs="宋体" w:eastAsia="宋体" w:hint="default"/>
                <w:sz w:val="21"/>
                <w:szCs w:val="21"/>
              </w:rPr>
            </w:pPr>
            <w:r>
              <w:rPr>
                <w:rFonts w:ascii="宋体" w:hAnsi="宋体" w:cs="宋体" w:eastAsia="宋体" w:hint="default"/>
                <w:sz w:val="21"/>
                <w:szCs w:val="21"/>
              </w:rPr>
              <w:t>任期起始日期</w:t>
            </w:r>
          </w:p>
        </w:tc>
        <w:tc>
          <w:tcPr>
            <w:tcW w:w="15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任期终止日期</w:t>
            </w:r>
          </w:p>
        </w:tc>
        <w:tc>
          <w:tcPr>
            <w:tcW w:w="14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年初持股数</w:t>
            </w:r>
          </w:p>
        </w:tc>
        <w:tc>
          <w:tcPr>
            <w:tcW w:w="10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2" w:lineRule="exact" w:before="130"/>
              <w:ind w:left="419" w:right="98" w:hanging="315"/>
              <w:jc w:val="left"/>
              <w:rPr>
                <w:rFonts w:ascii="宋体" w:hAnsi="宋体" w:cs="宋体" w:eastAsia="宋体" w:hint="default"/>
                <w:sz w:val="21"/>
                <w:szCs w:val="21"/>
              </w:rPr>
            </w:pPr>
            <w:r>
              <w:rPr>
                <w:rFonts w:ascii="宋体" w:hAnsi="宋体" w:cs="宋体" w:eastAsia="宋体" w:hint="default"/>
                <w:sz w:val="21"/>
                <w:szCs w:val="21"/>
              </w:rPr>
              <w:t>年末持股</w:t>
            </w:r>
            <w:r>
              <w:rPr>
                <w:rFonts w:ascii="宋体" w:hAnsi="宋体" w:cs="宋体" w:eastAsia="宋体" w:hint="default"/>
                <w:w w:val="100"/>
                <w:sz w:val="21"/>
                <w:szCs w:val="21"/>
              </w:rPr>
              <w:t> </w:t>
            </w:r>
            <w:r>
              <w:rPr>
                <w:rFonts w:ascii="宋体" w:hAnsi="宋体" w:cs="宋体" w:eastAsia="宋体" w:hint="default"/>
                <w:sz w:val="21"/>
                <w:szCs w:val="21"/>
              </w:rPr>
              <w:t>数</w:t>
            </w:r>
          </w:p>
        </w:tc>
        <w:tc>
          <w:tcPr>
            <w:tcW w:w="11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9" w:lineRule="exact"/>
              <w:ind w:left="143" w:right="0"/>
              <w:jc w:val="left"/>
              <w:rPr>
                <w:rFonts w:ascii="宋体" w:hAnsi="宋体" w:cs="宋体" w:eastAsia="宋体" w:hint="default"/>
                <w:sz w:val="21"/>
                <w:szCs w:val="21"/>
              </w:rPr>
            </w:pPr>
            <w:r>
              <w:rPr>
                <w:rFonts w:ascii="宋体" w:hAnsi="宋体" w:cs="宋体" w:eastAsia="宋体" w:hint="default"/>
                <w:sz w:val="21"/>
                <w:szCs w:val="21"/>
              </w:rPr>
              <w:t>年度内股</w:t>
            </w:r>
          </w:p>
          <w:p>
            <w:pPr>
              <w:pStyle w:val="TableParagraph"/>
              <w:spacing w:line="240" w:lineRule="auto"/>
              <w:ind w:left="355" w:right="140" w:hanging="212"/>
              <w:jc w:val="left"/>
              <w:rPr>
                <w:rFonts w:ascii="宋体" w:hAnsi="宋体" w:cs="宋体" w:eastAsia="宋体" w:hint="default"/>
                <w:sz w:val="21"/>
                <w:szCs w:val="21"/>
              </w:rPr>
            </w:pPr>
            <w:r>
              <w:rPr>
                <w:rFonts w:ascii="宋体" w:hAnsi="宋体" w:cs="宋体" w:eastAsia="宋体" w:hint="default"/>
                <w:sz w:val="21"/>
                <w:szCs w:val="21"/>
              </w:rPr>
              <w:t>份增减变</w:t>
            </w:r>
            <w:r>
              <w:rPr>
                <w:rFonts w:ascii="宋体" w:hAnsi="宋体" w:cs="宋体" w:eastAsia="宋体" w:hint="default"/>
                <w:w w:val="100"/>
                <w:sz w:val="21"/>
                <w:szCs w:val="21"/>
              </w:rPr>
              <w:t> </w:t>
            </w:r>
            <w:r>
              <w:rPr>
                <w:rFonts w:ascii="宋体" w:hAnsi="宋体" w:cs="宋体" w:eastAsia="宋体" w:hint="default"/>
                <w:sz w:val="21"/>
                <w:szCs w:val="21"/>
              </w:rPr>
              <w:t>动量</w:t>
            </w:r>
          </w:p>
        </w:tc>
        <w:tc>
          <w:tcPr>
            <w:tcW w:w="11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2" w:lineRule="exact" w:before="130"/>
              <w:ind w:left="352" w:right="139" w:hanging="212"/>
              <w:jc w:val="left"/>
              <w:rPr>
                <w:rFonts w:ascii="宋体" w:hAnsi="宋体" w:cs="宋体" w:eastAsia="宋体" w:hint="default"/>
                <w:sz w:val="21"/>
                <w:szCs w:val="21"/>
              </w:rPr>
            </w:pPr>
            <w:r>
              <w:rPr>
                <w:rFonts w:ascii="宋体" w:hAnsi="宋体" w:cs="宋体" w:eastAsia="宋体" w:hint="default"/>
                <w:sz w:val="21"/>
                <w:szCs w:val="21"/>
              </w:rPr>
              <w:t>增减变动</w:t>
            </w:r>
            <w:r>
              <w:rPr>
                <w:rFonts w:ascii="宋体" w:hAnsi="宋体" w:cs="宋体" w:eastAsia="宋体" w:hint="default"/>
                <w:w w:val="100"/>
                <w:sz w:val="21"/>
                <w:szCs w:val="21"/>
              </w:rPr>
              <w:t> </w:t>
            </w:r>
            <w:r>
              <w:rPr>
                <w:rFonts w:ascii="宋体" w:hAnsi="宋体" w:cs="宋体" w:eastAsia="宋体" w:hint="default"/>
                <w:sz w:val="21"/>
                <w:szCs w:val="21"/>
              </w:rPr>
              <w:t>原因</w:t>
            </w:r>
          </w:p>
        </w:tc>
        <w:tc>
          <w:tcPr>
            <w:tcW w:w="17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9" w:lineRule="exact"/>
              <w:ind w:left="72" w:right="0"/>
              <w:jc w:val="left"/>
              <w:rPr>
                <w:rFonts w:ascii="宋体" w:hAnsi="宋体" w:cs="宋体" w:eastAsia="宋体" w:hint="default"/>
                <w:sz w:val="21"/>
                <w:szCs w:val="21"/>
              </w:rPr>
            </w:pPr>
            <w:r>
              <w:rPr>
                <w:rFonts w:ascii="宋体" w:hAnsi="宋体" w:cs="宋体" w:eastAsia="宋体" w:hint="default"/>
                <w:sz w:val="21"/>
                <w:szCs w:val="21"/>
              </w:rPr>
              <w:t>报告期内从公司</w:t>
            </w:r>
          </w:p>
          <w:p>
            <w:pPr>
              <w:pStyle w:val="TableParagraph"/>
              <w:spacing w:line="240" w:lineRule="auto"/>
              <w:ind w:left="280" w:right="161" w:hanging="209"/>
              <w:jc w:val="left"/>
              <w:rPr>
                <w:rFonts w:ascii="宋体" w:hAnsi="宋体" w:cs="宋体" w:eastAsia="宋体" w:hint="default"/>
                <w:sz w:val="21"/>
                <w:szCs w:val="21"/>
              </w:rPr>
            </w:pPr>
            <w:r>
              <w:rPr>
                <w:rFonts w:ascii="宋体" w:hAnsi="宋体" w:cs="宋体" w:eastAsia="宋体" w:hint="default"/>
                <w:sz w:val="21"/>
                <w:szCs w:val="21"/>
              </w:rPr>
              <w:t>获得的税前报酬</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总额</w:t>
            </w:r>
            <w:r>
              <w:rPr>
                <w:rFonts w:ascii="宋体" w:hAnsi="宋体" w:cs="宋体" w:eastAsia="宋体" w:hint="default"/>
                <w:sz w:val="21"/>
                <w:szCs w:val="21"/>
              </w:rPr>
              <w:t>(</w:t>
            </w:r>
            <w:r>
              <w:rPr>
                <w:rFonts w:ascii="宋体" w:hAnsi="宋体" w:cs="宋体" w:eastAsia="宋体" w:hint="default"/>
                <w:sz w:val="21"/>
                <w:szCs w:val="21"/>
              </w:rPr>
              <w:t>万元</w:t>
            </w:r>
            <w:r>
              <w:rPr>
                <w:rFonts w:ascii="宋体" w:hAnsi="宋体" w:cs="宋体" w:eastAsia="宋体" w:hint="default"/>
                <w:sz w:val="21"/>
                <w:szCs w:val="21"/>
              </w:rPr>
              <w:t>)</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9" w:lineRule="exact"/>
              <w:ind w:left="86" w:right="0"/>
              <w:jc w:val="left"/>
              <w:rPr>
                <w:rFonts w:ascii="宋体" w:hAnsi="宋体" w:cs="宋体" w:eastAsia="宋体" w:hint="default"/>
                <w:sz w:val="21"/>
                <w:szCs w:val="21"/>
              </w:rPr>
            </w:pPr>
            <w:r>
              <w:rPr>
                <w:rFonts w:ascii="宋体" w:hAnsi="宋体" w:cs="宋体" w:eastAsia="宋体" w:hint="default"/>
                <w:sz w:val="21"/>
                <w:szCs w:val="21"/>
              </w:rPr>
              <w:t>是否在公司</w:t>
            </w:r>
          </w:p>
          <w:p>
            <w:pPr>
              <w:pStyle w:val="TableParagraph"/>
              <w:spacing w:line="240" w:lineRule="auto"/>
              <w:ind w:left="400" w:right="125" w:hanging="315"/>
              <w:jc w:val="left"/>
              <w:rPr>
                <w:rFonts w:ascii="宋体" w:hAnsi="宋体" w:cs="宋体" w:eastAsia="宋体" w:hint="default"/>
                <w:sz w:val="21"/>
                <w:szCs w:val="21"/>
              </w:rPr>
            </w:pPr>
            <w:r>
              <w:rPr>
                <w:rFonts w:ascii="宋体" w:hAnsi="宋体" w:cs="宋体" w:eastAsia="宋体" w:hint="default"/>
                <w:sz w:val="21"/>
                <w:szCs w:val="21"/>
              </w:rPr>
              <w:t>关联方获取</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报酬</w:t>
            </w:r>
          </w:p>
        </w:tc>
      </w:tr>
      <w:tr>
        <w:trPr>
          <w:trHeight w:val="389" w:hRule="exact"/>
        </w:trPr>
        <w:tc>
          <w:tcPr>
            <w:tcW w:w="15283" w:type="dxa"/>
            <w:gridSpan w:val="1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1"/>
                <w:szCs w:val="21"/>
              </w:rPr>
            </w:pPr>
            <w:r>
              <w:rPr>
                <w:rFonts w:ascii="宋体" w:hAnsi="宋体" w:cs="宋体" w:eastAsia="宋体" w:hint="default"/>
                <w:sz w:val="21"/>
                <w:szCs w:val="21"/>
              </w:rPr>
              <w:t>截至年报披露日，公司现任董事、监事和高级管理人员：</w:t>
            </w:r>
          </w:p>
        </w:tc>
      </w:tr>
      <w:tr>
        <w:trPr>
          <w:trHeight w:val="283"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 w:right="0"/>
              <w:jc w:val="center"/>
              <w:rPr>
                <w:rFonts w:ascii="宋体" w:hAnsi="宋体" w:cs="宋体" w:eastAsia="宋体" w:hint="default"/>
                <w:sz w:val="21"/>
                <w:szCs w:val="21"/>
              </w:rPr>
            </w:pPr>
            <w:r>
              <w:rPr>
                <w:rFonts w:ascii="宋体" w:hAnsi="宋体" w:cs="宋体" w:eastAsia="宋体" w:hint="default"/>
                <w:sz w:val="21"/>
                <w:szCs w:val="21"/>
              </w:rPr>
              <w:t>王晓初</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 w:right="0"/>
              <w:jc w:val="center"/>
              <w:rPr>
                <w:rFonts w:ascii="宋体" w:hAnsi="宋体" w:cs="宋体" w:eastAsia="宋体" w:hint="default"/>
                <w:sz w:val="21"/>
                <w:szCs w:val="21"/>
              </w:rPr>
            </w:pPr>
            <w:r>
              <w:rPr>
                <w:rFonts w:ascii="宋体" w:hAnsi="宋体" w:cs="宋体" w:eastAsia="宋体" w:hint="default"/>
                <w:sz w:val="21"/>
                <w:szCs w:val="21"/>
              </w:rPr>
              <w:t>董事长</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sz w:val="21"/>
              </w:rPr>
              <w:t>61</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30"/>
              <w:jc w:val="righ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2021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w w:val="100"/>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见下注</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李福申</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57</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0"/>
              <w:jc w:val="righ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24</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2021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w w:val="100"/>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见下注</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1"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尹兆君</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54</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83"/>
              <w:jc w:val="righ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2021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w w:val="100"/>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 w:right="0"/>
              <w:jc w:val="center"/>
              <w:rPr>
                <w:rFonts w:ascii="宋体" w:hAnsi="宋体" w:cs="宋体" w:eastAsia="宋体" w:hint="default"/>
                <w:sz w:val="21"/>
                <w:szCs w:val="21"/>
              </w:rPr>
            </w:pPr>
            <w:r>
              <w:rPr>
                <w:rFonts w:ascii="宋体" w:hAnsi="宋体" w:cs="宋体" w:eastAsia="宋体" w:hint="default"/>
                <w:sz w:val="21"/>
                <w:szCs w:val="21"/>
              </w:rPr>
              <w:t>卢山</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sz w:val="21"/>
              </w:rPr>
              <w:t>45</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83"/>
              <w:jc w:val="righ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2021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w w:val="100"/>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王海峰</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48</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0"/>
              <w:jc w:val="righ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2021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w w:val="100"/>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1"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廖建文</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52</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83"/>
              <w:jc w:val="righ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2021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w w:val="100"/>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 w:right="0"/>
              <w:jc w:val="center"/>
              <w:rPr>
                <w:rFonts w:ascii="宋体" w:hAnsi="宋体" w:cs="宋体" w:eastAsia="宋体" w:hint="default"/>
                <w:sz w:val="21"/>
                <w:szCs w:val="21"/>
              </w:rPr>
            </w:pPr>
            <w:r>
              <w:rPr>
                <w:rFonts w:ascii="宋体" w:hAnsi="宋体" w:cs="宋体" w:eastAsia="宋体" w:hint="default"/>
                <w:sz w:val="21"/>
                <w:szCs w:val="21"/>
              </w:rPr>
              <w:t>张建锋</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sz w:val="21"/>
              </w:rPr>
              <w:t>46</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83"/>
              <w:jc w:val="righ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2021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w w:val="100"/>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4"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冯士栋</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63</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83"/>
              <w:jc w:val="righ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2021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w w:val="100"/>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6.0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1"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吴晓根</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54</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83"/>
              <w:jc w:val="righ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2021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w w:val="100"/>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吕廷杰</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64</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0"/>
              <w:jc w:val="right"/>
              <w:rPr>
                <w:rFonts w:ascii="宋体" w:hAnsi="宋体" w:cs="宋体" w:eastAsia="宋体" w:hint="default"/>
                <w:sz w:val="21"/>
                <w:szCs w:val="21"/>
              </w:rPr>
            </w:pPr>
            <w:r>
              <w:rPr>
                <w:rFonts w:ascii="宋体" w:hAnsi="宋体" w:cs="宋体" w:eastAsia="宋体" w:hint="default"/>
                <w:sz w:val="21"/>
                <w:szCs w:val="21"/>
              </w:rPr>
              <w:t>2016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2021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w w:val="100"/>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12.0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陈建新</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65</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83"/>
              <w:jc w:val="righ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2021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w w:val="100"/>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1"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李翀</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监事会主席</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50</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83"/>
              <w:jc w:val="righ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2021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w w:val="100"/>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见下注</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方向明</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监事</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w w:val="100"/>
                <w:sz w:val="21"/>
                <w:szCs w:val="21"/>
              </w:rPr>
              <w:t>女</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49</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83"/>
              <w:jc w:val="righ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2021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w w:val="100"/>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1"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张保英</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职工监事</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54</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0"/>
              <w:jc w:val="right"/>
              <w:rPr>
                <w:rFonts w:ascii="宋体" w:hAnsi="宋体" w:cs="宋体" w:eastAsia="宋体" w:hint="default"/>
                <w:sz w:val="21"/>
                <w:szCs w:val="21"/>
              </w:rPr>
            </w:pPr>
            <w:r>
              <w:rPr>
                <w:rFonts w:ascii="宋体" w:hAnsi="宋体" w:cs="宋体" w:eastAsia="宋体" w:hint="default"/>
                <w:sz w:val="21"/>
                <w:szCs w:val="21"/>
              </w:rPr>
              <w:t>2020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2021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w w:val="100"/>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 w:right="0"/>
              <w:jc w:val="center"/>
              <w:rPr>
                <w:rFonts w:ascii="宋体" w:hAnsi="宋体" w:cs="宋体" w:eastAsia="宋体" w:hint="default"/>
                <w:sz w:val="21"/>
                <w:szCs w:val="21"/>
              </w:rPr>
            </w:pPr>
            <w:r>
              <w:rPr>
                <w:rFonts w:ascii="宋体" w:hAnsi="宋体" w:cs="宋体" w:eastAsia="宋体" w:hint="default"/>
                <w:sz w:val="21"/>
                <w:szCs w:val="21"/>
              </w:rPr>
              <w:t>买彦州</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sz w:val="21"/>
                <w:szCs w:val="21"/>
              </w:rPr>
              <w:t>高级副总裁</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sz w:val="21"/>
              </w:rPr>
              <w:t>51</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83"/>
              <w:jc w:val="righ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sz w:val="21"/>
              </w:rPr>
              <w:t>--</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w w:val="100"/>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见下注</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梁宝俊</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高级副总裁</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50</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83"/>
              <w:jc w:val="righ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w w:val="100"/>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见下注</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1" w:hRule="exact"/>
        </w:trPr>
        <w:tc>
          <w:tcPr>
            <w:tcW w:w="999" w:type="dxa"/>
            <w:vMerge w:val="restart"/>
            <w:tcBorders>
              <w:top w:val="single" w:sz="4" w:space="0" w:color="000000"/>
              <w:left w:val="single" w:sz="4" w:space="0" w:color="000000"/>
              <w:right w:val="single" w:sz="4" w:space="0" w:color="000000"/>
            </w:tcBorders>
          </w:tcPr>
          <w:p>
            <w:pPr>
              <w:pStyle w:val="TableParagraph"/>
              <w:spacing w:line="240" w:lineRule="auto" w:before="108"/>
              <w:ind w:left="180" w:right="0"/>
              <w:jc w:val="left"/>
              <w:rPr>
                <w:rFonts w:ascii="宋体" w:hAnsi="宋体" w:cs="宋体" w:eastAsia="宋体" w:hint="default"/>
                <w:sz w:val="21"/>
                <w:szCs w:val="21"/>
              </w:rPr>
            </w:pPr>
            <w:r>
              <w:rPr>
                <w:rFonts w:ascii="宋体" w:hAnsi="宋体" w:cs="宋体" w:eastAsia="宋体" w:hint="default"/>
                <w:sz w:val="21"/>
                <w:szCs w:val="21"/>
              </w:rPr>
              <w:t>朱可炳</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首席财务官</w:t>
            </w:r>
          </w:p>
        </w:tc>
        <w:tc>
          <w:tcPr>
            <w:tcW w:w="722" w:type="dxa"/>
            <w:vMerge w:val="restart"/>
            <w:tcBorders>
              <w:top w:val="single" w:sz="4" w:space="0" w:color="000000"/>
              <w:left w:val="single" w:sz="4" w:space="0" w:color="000000"/>
              <w:right w:val="single" w:sz="4" w:space="0" w:color="000000"/>
            </w:tcBorders>
          </w:tcPr>
          <w:p>
            <w:pPr>
              <w:pStyle w:val="TableParagraph"/>
              <w:spacing w:line="240" w:lineRule="auto" w:before="108"/>
              <w:ind w:left="2"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vMerge w:val="restart"/>
            <w:tcBorders>
              <w:top w:val="single" w:sz="4" w:space="0" w:color="000000"/>
              <w:left w:val="single" w:sz="4" w:space="0" w:color="000000"/>
              <w:right w:val="single" w:sz="4" w:space="0" w:color="000000"/>
            </w:tcBorders>
          </w:tcPr>
          <w:p>
            <w:pPr>
              <w:pStyle w:val="TableParagraph"/>
              <w:spacing w:line="240" w:lineRule="auto" w:before="108"/>
              <w:ind w:right="0"/>
              <w:jc w:val="center"/>
              <w:rPr>
                <w:rFonts w:ascii="宋体" w:hAnsi="宋体" w:cs="宋体" w:eastAsia="宋体" w:hint="default"/>
                <w:sz w:val="21"/>
                <w:szCs w:val="21"/>
              </w:rPr>
            </w:pPr>
            <w:r>
              <w:rPr>
                <w:rFonts w:ascii="宋体"/>
                <w:sz w:val="21"/>
              </w:rPr>
              <w:t>45</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0"/>
              <w:jc w:val="righ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15</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1428" w:type="dxa"/>
            <w:vMerge w:val="restart"/>
            <w:tcBorders>
              <w:top w:val="single" w:sz="4" w:space="0" w:color="000000"/>
              <w:left w:val="single" w:sz="4" w:space="0" w:color="000000"/>
              <w:right w:val="single" w:sz="4" w:space="0" w:color="000000"/>
            </w:tcBorders>
          </w:tcPr>
          <w:p>
            <w:pPr>
              <w:pStyle w:val="TableParagraph"/>
              <w:spacing w:line="240" w:lineRule="auto" w:before="108"/>
              <w:ind w:right="0"/>
              <w:jc w:val="center"/>
              <w:rPr>
                <w:rFonts w:ascii="宋体" w:hAnsi="宋体" w:cs="宋体" w:eastAsia="宋体" w:hint="default"/>
                <w:sz w:val="21"/>
                <w:szCs w:val="21"/>
              </w:rPr>
            </w:pPr>
            <w:r>
              <w:rPr>
                <w:rFonts w:ascii="宋体"/>
                <w:w w:val="100"/>
                <w:sz w:val="21"/>
              </w:rPr>
              <w:t>0</w:t>
            </w:r>
          </w:p>
        </w:tc>
        <w:tc>
          <w:tcPr>
            <w:tcW w:w="1058" w:type="dxa"/>
            <w:vMerge w:val="restart"/>
            <w:tcBorders>
              <w:top w:val="single" w:sz="4" w:space="0" w:color="000000"/>
              <w:left w:val="single" w:sz="4" w:space="0" w:color="000000"/>
              <w:right w:val="single" w:sz="4" w:space="0" w:color="000000"/>
            </w:tcBorders>
          </w:tcPr>
          <w:p>
            <w:pPr>
              <w:pStyle w:val="TableParagraph"/>
              <w:spacing w:line="240" w:lineRule="auto" w:before="108"/>
              <w:ind w:left="2" w:right="0"/>
              <w:jc w:val="center"/>
              <w:rPr>
                <w:rFonts w:ascii="宋体" w:hAnsi="宋体" w:cs="宋体" w:eastAsia="宋体" w:hint="default"/>
                <w:sz w:val="21"/>
                <w:szCs w:val="21"/>
              </w:rPr>
            </w:pPr>
            <w:r>
              <w:rPr>
                <w:rFonts w:ascii="宋体"/>
                <w:w w:val="100"/>
                <w:sz w:val="21"/>
              </w:rPr>
              <w:t>0</w:t>
            </w:r>
          </w:p>
        </w:tc>
        <w:tc>
          <w:tcPr>
            <w:tcW w:w="1138" w:type="dxa"/>
            <w:vMerge w:val="restart"/>
            <w:tcBorders>
              <w:top w:val="single" w:sz="4" w:space="0" w:color="000000"/>
              <w:left w:val="single" w:sz="4" w:space="0" w:color="000000"/>
              <w:right w:val="single" w:sz="4" w:space="0" w:color="000000"/>
            </w:tcBorders>
          </w:tcPr>
          <w:p>
            <w:pPr>
              <w:pStyle w:val="TableParagraph"/>
              <w:spacing w:line="240" w:lineRule="auto" w:before="108"/>
              <w:ind w:right="0"/>
              <w:jc w:val="center"/>
              <w:rPr>
                <w:rFonts w:ascii="宋体" w:hAnsi="宋体" w:cs="宋体" w:eastAsia="宋体" w:hint="default"/>
                <w:sz w:val="21"/>
                <w:szCs w:val="21"/>
              </w:rPr>
            </w:pPr>
            <w:r>
              <w:rPr>
                <w:rFonts w:ascii="宋体"/>
                <w:w w:val="100"/>
                <w:sz w:val="21"/>
              </w:rPr>
              <w:t>0</w:t>
            </w:r>
          </w:p>
        </w:tc>
        <w:tc>
          <w:tcPr>
            <w:tcW w:w="1135" w:type="dxa"/>
            <w:vMerge w:val="restart"/>
            <w:tcBorders>
              <w:top w:val="single" w:sz="4" w:space="0" w:color="000000"/>
              <w:left w:val="single" w:sz="4" w:space="0" w:color="000000"/>
              <w:right w:val="single" w:sz="4" w:space="0" w:color="000000"/>
            </w:tcBorders>
          </w:tcPr>
          <w:p>
            <w:pPr>
              <w:pStyle w:val="TableParagraph"/>
              <w:spacing w:line="240" w:lineRule="auto" w:before="108"/>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vMerge w:val="restart"/>
            <w:tcBorders>
              <w:top w:val="single" w:sz="4" w:space="0" w:color="000000"/>
              <w:left w:val="single" w:sz="4" w:space="0" w:color="000000"/>
              <w:right w:val="single" w:sz="4" w:space="0" w:color="000000"/>
            </w:tcBorders>
          </w:tcPr>
          <w:p>
            <w:pPr>
              <w:pStyle w:val="TableParagraph"/>
              <w:spacing w:line="240" w:lineRule="auto" w:before="108"/>
              <w:ind w:left="537" w:right="0"/>
              <w:jc w:val="left"/>
              <w:rPr>
                <w:rFonts w:ascii="宋体" w:hAnsi="宋体" w:cs="宋体" w:eastAsia="宋体" w:hint="default"/>
                <w:sz w:val="21"/>
                <w:szCs w:val="21"/>
              </w:rPr>
            </w:pPr>
            <w:r>
              <w:rPr>
                <w:rFonts w:ascii="宋体" w:hAnsi="宋体" w:cs="宋体" w:eastAsia="宋体" w:hint="default"/>
                <w:sz w:val="21"/>
                <w:szCs w:val="21"/>
              </w:rPr>
              <w:t>见下注</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before="108"/>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999" w:type="dxa"/>
            <w:vMerge/>
            <w:tcBorders>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722" w:type="dxa"/>
            <w:vMerge/>
            <w:tcBorders>
              <w:left w:val="single" w:sz="4" w:space="0" w:color="000000"/>
              <w:bottom w:val="single" w:sz="4" w:space="0" w:color="000000"/>
              <w:right w:val="single" w:sz="4" w:space="0" w:color="000000"/>
            </w:tcBorders>
          </w:tcPr>
          <w:p>
            <w:pPr/>
          </w:p>
        </w:tc>
        <w:tc>
          <w:tcPr>
            <w:tcW w:w="864" w:type="dxa"/>
            <w:vMerge/>
            <w:tcBorders>
              <w:left w:val="single" w:sz="4" w:space="0" w:color="000000"/>
              <w:bottom w:val="single" w:sz="4" w:space="0" w:color="000000"/>
              <w:right w:val="single" w:sz="4" w:space="0" w:color="000000"/>
            </w:tcBorders>
          </w:tcPr>
          <w:p>
            <w:pP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30"/>
              <w:jc w:val="righ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sz w:val="21"/>
              </w:rPr>
              <w:t>--</w:t>
            </w:r>
          </w:p>
        </w:tc>
        <w:tc>
          <w:tcPr>
            <w:tcW w:w="1428" w:type="dxa"/>
            <w:vMerge/>
            <w:tcBorders>
              <w:left w:val="single" w:sz="4" w:space="0" w:color="000000"/>
              <w:bottom w:val="single" w:sz="4" w:space="0" w:color="000000"/>
              <w:right w:val="single" w:sz="4" w:space="0" w:color="000000"/>
            </w:tcBorders>
          </w:tcPr>
          <w:p>
            <w:pPr/>
          </w:p>
        </w:tc>
        <w:tc>
          <w:tcPr>
            <w:tcW w:w="1058" w:type="dxa"/>
            <w:vMerge/>
            <w:tcBorders>
              <w:left w:val="single" w:sz="4" w:space="0" w:color="000000"/>
              <w:bottom w:val="single" w:sz="4" w:space="0" w:color="000000"/>
              <w:right w:val="single" w:sz="4" w:space="0" w:color="000000"/>
            </w:tcBorders>
          </w:tcPr>
          <w:p>
            <w:pPr/>
          </w:p>
        </w:tc>
        <w:tc>
          <w:tcPr>
            <w:tcW w:w="1138" w:type="dxa"/>
            <w:vMerge/>
            <w:tcBorders>
              <w:left w:val="single" w:sz="4" w:space="0" w:color="000000"/>
              <w:bottom w:val="single" w:sz="4" w:space="0" w:color="000000"/>
              <w:right w:val="single" w:sz="4" w:space="0" w:color="000000"/>
            </w:tcBorders>
          </w:tcPr>
          <w:p>
            <w:pPr/>
          </w:p>
        </w:tc>
        <w:tc>
          <w:tcPr>
            <w:tcW w:w="1135" w:type="dxa"/>
            <w:vMerge/>
            <w:tcBorders>
              <w:left w:val="single" w:sz="4" w:space="0" w:color="000000"/>
              <w:bottom w:val="single" w:sz="4" w:space="0" w:color="000000"/>
              <w:right w:val="single" w:sz="4" w:space="0" w:color="000000"/>
            </w:tcBorders>
          </w:tcPr>
          <w:p>
            <w:pPr/>
          </w:p>
        </w:tc>
        <w:tc>
          <w:tcPr>
            <w:tcW w:w="1719" w:type="dxa"/>
            <w:vMerge/>
            <w:tcBorders>
              <w:left w:val="single" w:sz="4" w:space="0" w:color="000000"/>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r>
      <w:tr>
        <w:trPr>
          <w:trHeight w:val="283" w:hRule="exact"/>
        </w:trPr>
        <w:tc>
          <w:tcPr>
            <w:tcW w:w="999" w:type="dxa"/>
            <w:vMerge w:val="restart"/>
            <w:tcBorders>
              <w:top w:val="single" w:sz="4" w:space="0" w:color="000000"/>
              <w:left w:val="single" w:sz="4" w:space="0" w:color="000000"/>
              <w:right w:val="single" w:sz="4" w:space="0" w:color="000000"/>
            </w:tcBorders>
          </w:tcPr>
          <w:p>
            <w:pPr>
              <w:pStyle w:val="TableParagraph"/>
              <w:spacing w:line="240" w:lineRule="auto" w:before="107"/>
              <w:ind w:left="180" w:right="0"/>
              <w:jc w:val="left"/>
              <w:rPr>
                <w:rFonts w:ascii="宋体" w:hAnsi="宋体" w:cs="宋体" w:eastAsia="宋体" w:hint="default"/>
                <w:sz w:val="21"/>
                <w:szCs w:val="21"/>
              </w:rPr>
            </w:pPr>
            <w:r>
              <w:rPr>
                <w:rFonts w:ascii="宋体" w:hAnsi="宋体" w:cs="宋体" w:eastAsia="宋体" w:hint="default"/>
                <w:sz w:val="21"/>
                <w:szCs w:val="21"/>
              </w:rPr>
              <w:t>范云军</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高级副总裁</w:t>
            </w:r>
          </w:p>
        </w:tc>
        <w:tc>
          <w:tcPr>
            <w:tcW w:w="722" w:type="dxa"/>
            <w:vMerge w:val="restart"/>
            <w:tcBorders>
              <w:top w:val="single" w:sz="4" w:space="0" w:color="000000"/>
              <w:left w:val="single" w:sz="4" w:space="0" w:color="000000"/>
              <w:right w:val="single" w:sz="4" w:space="0" w:color="000000"/>
            </w:tcBorders>
          </w:tcPr>
          <w:p>
            <w:pPr>
              <w:pStyle w:val="TableParagraph"/>
              <w:spacing w:line="240" w:lineRule="auto" w:before="107"/>
              <w:ind w:left="2"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vMerge w:val="restart"/>
            <w:tcBorders>
              <w:top w:val="single" w:sz="4" w:space="0" w:color="000000"/>
              <w:left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sz w:val="21"/>
              </w:rPr>
              <w:t>47</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0"/>
              <w:jc w:val="righ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30</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1428" w:type="dxa"/>
            <w:vMerge w:val="restart"/>
            <w:tcBorders>
              <w:top w:val="single" w:sz="4" w:space="0" w:color="000000"/>
              <w:left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w w:val="100"/>
                <w:sz w:val="21"/>
              </w:rPr>
              <w:t>0</w:t>
            </w:r>
          </w:p>
        </w:tc>
        <w:tc>
          <w:tcPr>
            <w:tcW w:w="1058" w:type="dxa"/>
            <w:vMerge w:val="restart"/>
            <w:tcBorders>
              <w:top w:val="single" w:sz="4" w:space="0" w:color="000000"/>
              <w:left w:val="single" w:sz="4" w:space="0" w:color="000000"/>
              <w:right w:val="single" w:sz="4" w:space="0" w:color="000000"/>
            </w:tcBorders>
          </w:tcPr>
          <w:p>
            <w:pPr>
              <w:pStyle w:val="TableParagraph"/>
              <w:spacing w:line="240" w:lineRule="auto" w:before="107"/>
              <w:ind w:left="2" w:right="0"/>
              <w:jc w:val="center"/>
              <w:rPr>
                <w:rFonts w:ascii="宋体" w:hAnsi="宋体" w:cs="宋体" w:eastAsia="宋体" w:hint="default"/>
                <w:sz w:val="21"/>
                <w:szCs w:val="21"/>
              </w:rPr>
            </w:pPr>
            <w:r>
              <w:rPr>
                <w:rFonts w:ascii="宋体"/>
                <w:w w:val="100"/>
                <w:sz w:val="21"/>
              </w:rPr>
              <w:t>0</w:t>
            </w:r>
          </w:p>
        </w:tc>
        <w:tc>
          <w:tcPr>
            <w:tcW w:w="1138" w:type="dxa"/>
            <w:vMerge w:val="restart"/>
            <w:tcBorders>
              <w:top w:val="single" w:sz="4" w:space="0" w:color="000000"/>
              <w:left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w w:val="100"/>
                <w:sz w:val="21"/>
              </w:rPr>
              <w:t>0</w:t>
            </w:r>
          </w:p>
        </w:tc>
        <w:tc>
          <w:tcPr>
            <w:tcW w:w="1135" w:type="dxa"/>
            <w:vMerge w:val="restart"/>
            <w:tcBorders>
              <w:top w:val="single" w:sz="4" w:space="0" w:color="000000"/>
              <w:left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vMerge w:val="restart"/>
            <w:tcBorders>
              <w:top w:val="single" w:sz="4" w:space="0" w:color="000000"/>
              <w:left w:val="single" w:sz="4" w:space="0" w:color="000000"/>
              <w:right w:val="single" w:sz="4" w:space="0" w:color="000000"/>
            </w:tcBorders>
          </w:tcPr>
          <w:p>
            <w:pPr>
              <w:pStyle w:val="TableParagraph"/>
              <w:spacing w:line="240" w:lineRule="auto" w:before="107"/>
              <w:ind w:left="537" w:right="0"/>
              <w:jc w:val="left"/>
              <w:rPr>
                <w:rFonts w:ascii="宋体" w:hAnsi="宋体" w:cs="宋体" w:eastAsia="宋体" w:hint="default"/>
                <w:sz w:val="21"/>
                <w:szCs w:val="21"/>
              </w:rPr>
            </w:pPr>
            <w:r>
              <w:rPr>
                <w:rFonts w:ascii="宋体" w:hAnsi="宋体" w:cs="宋体" w:eastAsia="宋体" w:hint="default"/>
                <w:sz w:val="21"/>
                <w:szCs w:val="21"/>
              </w:rPr>
              <w:t>见下注</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1" w:hRule="exact"/>
        </w:trPr>
        <w:tc>
          <w:tcPr>
            <w:tcW w:w="999" w:type="dxa"/>
            <w:vMerge/>
            <w:tcBorders>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总法律顾问</w:t>
            </w:r>
          </w:p>
        </w:tc>
        <w:tc>
          <w:tcPr>
            <w:tcW w:w="722" w:type="dxa"/>
            <w:vMerge/>
            <w:tcBorders>
              <w:left w:val="single" w:sz="4" w:space="0" w:color="000000"/>
              <w:bottom w:val="single" w:sz="4" w:space="0" w:color="000000"/>
              <w:right w:val="single" w:sz="4" w:space="0" w:color="000000"/>
            </w:tcBorders>
          </w:tcPr>
          <w:p>
            <w:pPr/>
          </w:p>
        </w:tc>
        <w:tc>
          <w:tcPr>
            <w:tcW w:w="864" w:type="dxa"/>
            <w:vMerge/>
            <w:tcBorders>
              <w:left w:val="single" w:sz="4" w:space="0" w:color="000000"/>
              <w:bottom w:val="single" w:sz="4" w:space="0" w:color="000000"/>
              <w:right w:val="single" w:sz="4" w:space="0" w:color="000000"/>
            </w:tcBorders>
          </w:tcPr>
          <w:p>
            <w:pP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0"/>
              <w:jc w:val="righ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14</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1428" w:type="dxa"/>
            <w:vMerge/>
            <w:tcBorders>
              <w:left w:val="single" w:sz="4" w:space="0" w:color="000000"/>
              <w:bottom w:val="single" w:sz="4" w:space="0" w:color="000000"/>
              <w:right w:val="single" w:sz="4" w:space="0" w:color="000000"/>
            </w:tcBorders>
          </w:tcPr>
          <w:p>
            <w:pPr/>
          </w:p>
        </w:tc>
        <w:tc>
          <w:tcPr>
            <w:tcW w:w="1058" w:type="dxa"/>
            <w:vMerge/>
            <w:tcBorders>
              <w:left w:val="single" w:sz="4" w:space="0" w:color="000000"/>
              <w:bottom w:val="single" w:sz="4" w:space="0" w:color="000000"/>
              <w:right w:val="single" w:sz="4" w:space="0" w:color="000000"/>
            </w:tcBorders>
          </w:tcPr>
          <w:p>
            <w:pPr/>
          </w:p>
        </w:tc>
        <w:tc>
          <w:tcPr>
            <w:tcW w:w="1138" w:type="dxa"/>
            <w:vMerge/>
            <w:tcBorders>
              <w:left w:val="single" w:sz="4" w:space="0" w:color="000000"/>
              <w:bottom w:val="single" w:sz="4" w:space="0" w:color="000000"/>
              <w:right w:val="single" w:sz="4" w:space="0" w:color="000000"/>
            </w:tcBorders>
          </w:tcPr>
          <w:p>
            <w:pPr/>
          </w:p>
        </w:tc>
        <w:tc>
          <w:tcPr>
            <w:tcW w:w="1135" w:type="dxa"/>
            <w:vMerge/>
            <w:tcBorders>
              <w:left w:val="single" w:sz="4" w:space="0" w:color="000000"/>
              <w:bottom w:val="single" w:sz="4" w:space="0" w:color="000000"/>
              <w:right w:val="single" w:sz="4" w:space="0" w:color="000000"/>
            </w:tcBorders>
          </w:tcPr>
          <w:p>
            <w:pPr/>
          </w:p>
        </w:tc>
        <w:tc>
          <w:tcPr>
            <w:tcW w:w="1719" w:type="dxa"/>
            <w:vMerge/>
            <w:tcBorders>
              <w:left w:val="single" w:sz="4" w:space="0" w:color="000000"/>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r>
      <w:tr>
        <w:trPr>
          <w:trHeight w:val="283"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 w:right="0"/>
              <w:jc w:val="center"/>
              <w:rPr>
                <w:rFonts w:ascii="宋体" w:hAnsi="宋体" w:cs="宋体" w:eastAsia="宋体" w:hint="default"/>
                <w:sz w:val="21"/>
                <w:szCs w:val="21"/>
              </w:rPr>
            </w:pPr>
            <w:r>
              <w:rPr>
                <w:rFonts w:ascii="宋体" w:hAnsi="宋体" w:cs="宋体" w:eastAsia="宋体" w:hint="default"/>
                <w:sz w:val="21"/>
                <w:szCs w:val="21"/>
              </w:rPr>
              <w:t>姜爱华</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sz w:val="21"/>
                <w:szCs w:val="21"/>
              </w:rPr>
              <w:t>财务负责人</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w w:val="100"/>
                <w:sz w:val="21"/>
                <w:szCs w:val="21"/>
              </w:rPr>
              <w:t>女</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sz w:val="21"/>
              </w:rPr>
              <w:t>56</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79"/>
              <w:jc w:val="righ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27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sz w:val="21"/>
              </w:rPr>
              <w:t>--</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sz w:val="21"/>
              </w:rPr>
              <w:t>216,000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 w:right="0"/>
              <w:jc w:val="center"/>
              <w:rPr>
                <w:rFonts w:ascii="宋体" w:hAnsi="宋体" w:cs="宋体" w:eastAsia="宋体" w:hint="default"/>
                <w:sz w:val="21"/>
                <w:szCs w:val="21"/>
              </w:rPr>
            </w:pPr>
            <w:r>
              <w:rPr>
                <w:rFonts w:ascii="宋体"/>
                <w:sz w:val="21"/>
              </w:rPr>
              <w:t>216,000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见下注</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bl>
    <w:p>
      <w:pPr>
        <w:spacing w:after="0" w:line="243" w:lineRule="exact"/>
        <w:jc w:val="left"/>
        <w:rPr>
          <w:rFonts w:ascii="宋体" w:hAnsi="宋体" w:cs="宋体" w:eastAsia="宋体" w:hint="default"/>
          <w:sz w:val="21"/>
          <w:szCs w:val="21"/>
        </w:rPr>
        <w:sectPr>
          <w:type w:val="continuous"/>
          <w:pgSz w:w="16840" w:h="11910" w:orient="landscape"/>
          <w:pgMar w:top="1360" w:bottom="700" w:left="740" w:right="600"/>
        </w:sectPr>
      </w:pPr>
    </w:p>
    <w:p>
      <w:pPr>
        <w:spacing w:line="240" w:lineRule="auto" w:before="7"/>
        <w:rPr>
          <w:rFonts w:ascii="宋体" w:hAnsi="宋体" w:cs="宋体" w:eastAsia="宋体" w:hint="default"/>
          <w:sz w:val="2"/>
          <w:szCs w:val="2"/>
        </w:rPr>
      </w:pPr>
    </w:p>
    <w:tbl>
      <w:tblPr>
        <w:tblW w:w="0" w:type="auto"/>
        <w:jc w:val="left"/>
        <w:tblInd w:w="100" w:type="dxa"/>
        <w:tblLayout w:type="fixed"/>
        <w:tblCellMar>
          <w:top w:w="0" w:type="dxa"/>
          <w:left w:w="0" w:type="dxa"/>
          <w:bottom w:w="0" w:type="dxa"/>
          <w:right w:w="0" w:type="dxa"/>
        </w:tblCellMar>
        <w:tblLook w:val="01E0"/>
      </w:tblPr>
      <w:tblGrid>
        <w:gridCol w:w="999"/>
        <w:gridCol w:w="1282"/>
        <w:gridCol w:w="722"/>
        <w:gridCol w:w="864"/>
        <w:gridCol w:w="2105"/>
        <w:gridCol w:w="1556"/>
        <w:gridCol w:w="1428"/>
        <w:gridCol w:w="1058"/>
        <w:gridCol w:w="1138"/>
        <w:gridCol w:w="1135"/>
        <w:gridCol w:w="1719"/>
        <w:gridCol w:w="1277"/>
      </w:tblGrid>
      <w:tr>
        <w:trPr>
          <w:trHeight w:val="556" w:hRule="exact"/>
        </w:trPr>
        <w:tc>
          <w:tcPr>
            <w:tcW w:w="15283" w:type="dxa"/>
            <w:gridSpan w:val="12"/>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4"/>
              <w:ind w:left="103" w:right="0"/>
              <w:jc w:val="left"/>
              <w:rPr>
                <w:rFonts w:ascii="宋体" w:hAnsi="宋体" w:cs="宋体" w:eastAsia="宋体" w:hint="default"/>
                <w:sz w:val="21"/>
                <w:szCs w:val="21"/>
              </w:rPr>
            </w:pPr>
            <w:r>
              <w:rPr>
                <w:rFonts w:ascii="宋体" w:hAnsi="宋体" w:cs="宋体" w:eastAsia="宋体" w:hint="default"/>
                <w:sz w:val="21"/>
                <w:szCs w:val="21"/>
              </w:rPr>
              <w:t>截至报告期末，公司离任董事、监事和高级管理人员</w:t>
            </w:r>
          </w:p>
        </w:tc>
      </w:tr>
      <w:tr>
        <w:trPr>
          <w:trHeight w:val="283" w:hRule="exact"/>
        </w:trPr>
        <w:tc>
          <w:tcPr>
            <w:tcW w:w="999"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9"/>
                <w:szCs w:val="29"/>
              </w:rPr>
            </w:pPr>
          </w:p>
          <w:p>
            <w:pPr>
              <w:pStyle w:val="TableParagraph"/>
              <w:spacing w:line="240" w:lineRule="auto"/>
              <w:ind w:left="180" w:right="0"/>
              <w:jc w:val="left"/>
              <w:rPr>
                <w:rFonts w:ascii="宋体" w:hAnsi="宋体" w:cs="宋体" w:eastAsia="宋体" w:hint="default"/>
                <w:sz w:val="21"/>
                <w:szCs w:val="21"/>
              </w:rPr>
            </w:pPr>
            <w:r>
              <w:rPr>
                <w:rFonts w:ascii="宋体" w:hAnsi="宋体" w:cs="宋体" w:eastAsia="宋体" w:hint="default"/>
                <w:sz w:val="21"/>
                <w:szCs w:val="21"/>
              </w:rPr>
              <w:t>李国华</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离任董事</w:t>
            </w:r>
          </w:p>
        </w:tc>
        <w:tc>
          <w:tcPr>
            <w:tcW w:w="722"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9"/>
                <w:szCs w:val="29"/>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9"/>
                <w:szCs w:val="29"/>
              </w:rPr>
            </w:pPr>
          </w:p>
          <w:p>
            <w:pPr>
              <w:pStyle w:val="TableParagraph"/>
              <w:spacing w:line="240" w:lineRule="auto"/>
              <w:ind w:right="0"/>
              <w:jc w:val="center"/>
              <w:rPr>
                <w:rFonts w:ascii="宋体" w:hAnsi="宋体" w:cs="宋体" w:eastAsia="宋体" w:hint="default"/>
                <w:sz w:val="21"/>
                <w:szCs w:val="21"/>
              </w:rPr>
            </w:pPr>
            <w:r>
              <w:rPr>
                <w:rFonts w:ascii="宋体"/>
                <w:sz w:val="21"/>
              </w:rPr>
              <w:t>60</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14</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9"/>
              <w:jc w:val="right"/>
              <w:rPr>
                <w:rFonts w:ascii="宋体" w:hAnsi="宋体" w:cs="宋体" w:eastAsia="宋体" w:hint="default"/>
                <w:sz w:val="21"/>
                <w:szCs w:val="21"/>
              </w:rPr>
            </w:pPr>
            <w:r>
              <w:rPr>
                <w:rFonts w:ascii="宋体" w:hAnsi="宋体" w:cs="宋体" w:eastAsia="宋体" w:hint="default"/>
                <w:sz w:val="21"/>
                <w:szCs w:val="21"/>
              </w:rPr>
              <w:t>2020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9"/>
                <w:szCs w:val="29"/>
              </w:rPr>
            </w:pPr>
          </w:p>
          <w:p>
            <w:pPr>
              <w:pStyle w:val="TableParagraph"/>
              <w:spacing w:line="240" w:lineRule="auto"/>
              <w:ind w:right="0"/>
              <w:jc w:val="center"/>
              <w:rPr>
                <w:rFonts w:ascii="宋体" w:hAnsi="宋体" w:cs="宋体" w:eastAsia="宋体" w:hint="default"/>
                <w:sz w:val="21"/>
                <w:szCs w:val="21"/>
              </w:rPr>
            </w:pPr>
            <w:r>
              <w:rPr>
                <w:rFonts w:ascii="宋体"/>
                <w:w w:val="100"/>
                <w:sz w:val="21"/>
              </w:rPr>
              <w:t>0</w:t>
            </w:r>
          </w:p>
        </w:tc>
        <w:tc>
          <w:tcPr>
            <w:tcW w:w="1058"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9"/>
                <w:szCs w:val="29"/>
              </w:rPr>
            </w:pPr>
          </w:p>
          <w:p>
            <w:pPr>
              <w:pStyle w:val="TableParagraph"/>
              <w:spacing w:line="240" w:lineRule="auto"/>
              <w:ind w:left="2" w:right="0"/>
              <w:jc w:val="center"/>
              <w:rPr>
                <w:rFonts w:ascii="宋体" w:hAnsi="宋体" w:cs="宋体" w:eastAsia="宋体" w:hint="default"/>
                <w:sz w:val="21"/>
                <w:szCs w:val="21"/>
              </w:rPr>
            </w:pPr>
            <w:r>
              <w:rPr>
                <w:rFonts w:ascii="宋体"/>
                <w:w w:val="100"/>
                <w:sz w:val="21"/>
              </w:rPr>
              <w:t>0</w:t>
            </w:r>
          </w:p>
        </w:tc>
        <w:tc>
          <w:tcPr>
            <w:tcW w:w="1138"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9"/>
                <w:szCs w:val="29"/>
              </w:rPr>
            </w:pPr>
          </w:p>
          <w:p>
            <w:pPr>
              <w:pStyle w:val="TableParagraph"/>
              <w:spacing w:line="240" w:lineRule="auto"/>
              <w:ind w:right="0"/>
              <w:jc w:val="center"/>
              <w:rPr>
                <w:rFonts w:ascii="宋体" w:hAnsi="宋体" w:cs="宋体" w:eastAsia="宋体" w:hint="default"/>
                <w:sz w:val="21"/>
                <w:szCs w:val="21"/>
              </w:rPr>
            </w:pPr>
            <w:r>
              <w:rPr>
                <w:rFonts w:ascii="宋体"/>
                <w:w w:val="100"/>
                <w:sz w:val="21"/>
              </w:rPr>
              <w:t>0</w:t>
            </w:r>
          </w:p>
        </w:tc>
        <w:tc>
          <w:tcPr>
            <w:tcW w:w="113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9"/>
                <w:szCs w:val="2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9"/>
                <w:szCs w:val="29"/>
              </w:rPr>
            </w:pPr>
          </w:p>
          <w:p>
            <w:pPr>
              <w:pStyle w:val="TableParagraph"/>
              <w:spacing w:line="240" w:lineRule="auto"/>
              <w:ind w:left="537" w:right="0"/>
              <w:jc w:val="left"/>
              <w:rPr>
                <w:rFonts w:ascii="宋体" w:hAnsi="宋体" w:cs="宋体" w:eastAsia="宋体" w:hint="default"/>
                <w:sz w:val="21"/>
                <w:szCs w:val="21"/>
              </w:rPr>
            </w:pPr>
            <w:r>
              <w:rPr>
                <w:rFonts w:ascii="宋体" w:hAnsi="宋体" w:cs="宋体" w:eastAsia="宋体" w:hint="default"/>
                <w:sz w:val="21"/>
                <w:szCs w:val="21"/>
              </w:rPr>
              <w:t>见下注</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9"/>
                <w:szCs w:val="2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1" w:hRule="exact"/>
        </w:trPr>
        <w:tc>
          <w:tcPr>
            <w:tcW w:w="999" w:type="dxa"/>
            <w:vMerge/>
            <w:tcBorders>
              <w:left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离任总裁</w:t>
            </w:r>
          </w:p>
        </w:tc>
        <w:tc>
          <w:tcPr>
            <w:tcW w:w="722" w:type="dxa"/>
            <w:vMerge/>
            <w:tcBorders>
              <w:left w:val="single" w:sz="4" w:space="0" w:color="000000"/>
              <w:right w:val="single" w:sz="4" w:space="0" w:color="000000"/>
            </w:tcBorders>
          </w:tcPr>
          <w:p>
            <w:pPr/>
          </w:p>
        </w:tc>
        <w:tc>
          <w:tcPr>
            <w:tcW w:w="864" w:type="dxa"/>
            <w:vMerge/>
            <w:tcBorders>
              <w:left w:val="single" w:sz="4" w:space="0" w:color="000000"/>
              <w:right w:val="single" w:sz="4" w:space="0" w:color="000000"/>
            </w:tcBorders>
          </w:tcPr>
          <w:p>
            <w:pP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9"/>
              <w:jc w:val="right"/>
              <w:rPr>
                <w:rFonts w:ascii="宋体" w:hAnsi="宋体" w:cs="宋体" w:eastAsia="宋体" w:hint="default"/>
                <w:sz w:val="21"/>
                <w:szCs w:val="21"/>
              </w:rPr>
            </w:pPr>
            <w:r>
              <w:rPr>
                <w:rFonts w:ascii="宋体" w:hAnsi="宋体" w:cs="宋体" w:eastAsia="宋体" w:hint="default"/>
                <w:sz w:val="21"/>
                <w:szCs w:val="21"/>
              </w:rPr>
              <w:t>2020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vMerge/>
            <w:tcBorders>
              <w:left w:val="single" w:sz="4" w:space="0" w:color="000000"/>
              <w:right w:val="single" w:sz="4" w:space="0" w:color="000000"/>
            </w:tcBorders>
          </w:tcPr>
          <w:p>
            <w:pPr/>
          </w:p>
        </w:tc>
        <w:tc>
          <w:tcPr>
            <w:tcW w:w="1058" w:type="dxa"/>
            <w:vMerge/>
            <w:tcBorders>
              <w:left w:val="single" w:sz="4" w:space="0" w:color="000000"/>
              <w:right w:val="single" w:sz="4" w:space="0" w:color="000000"/>
            </w:tcBorders>
          </w:tcPr>
          <w:p>
            <w:pPr/>
          </w:p>
        </w:tc>
        <w:tc>
          <w:tcPr>
            <w:tcW w:w="1138" w:type="dxa"/>
            <w:vMerge/>
            <w:tcBorders>
              <w:left w:val="single" w:sz="4" w:space="0" w:color="000000"/>
              <w:right w:val="single" w:sz="4" w:space="0" w:color="000000"/>
            </w:tcBorders>
          </w:tcPr>
          <w:p>
            <w:pPr/>
          </w:p>
        </w:tc>
        <w:tc>
          <w:tcPr>
            <w:tcW w:w="1135" w:type="dxa"/>
            <w:vMerge/>
            <w:tcBorders>
              <w:left w:val="single" w:sz="4" w:space="0" w:color="000000"/>
              <w:right w:val="single" w:sz="4" w:space="0" w:color="000000"/>
            </w:tcBorders>
          </w:tcPr>
          <w:p>
            <w:pPr/>
          </w:p>
        </w:tc>
        <w:tc>
          <w:tcPr>
            <w:tcW w:w="1719" w:type="dxa"/>
            <w:vMerge/>
            <w:tcBorders>
              <w:left w:val="single" w:sz="4" w:space="0" w:color="000000"/>
              <w:right w:val="single" w:sz="4" w:space="0" w:color="000000"/>
            </w:tcBorders>
          </w:tcPr>
          <w:p>
            <w:pPr/>
          </w:p>
        </w:tc>
        <w:tc>
          <w:tcPr>
            <w:tcW w:w="1277" w:type="dxa"/>
            <w:vMerge/>
            <w:tcBorders>
              <w:left w:val="single" w:sz="4" w:space="0" w:color="000000"/>
              <w:right w:val="single" w:sz="4" w:space="0" w:color="000000"/>
            </w:tcBorders>
          </w:tcPr>
          <w:p>
            <w:pPr/>
          </w:p>
        </w:tc>
      </w:tr>
      <w:tr>
        <w:trPr>
          <w:trHeight w:val="557" w:hRule="exact"/>
        </w:trPr>
        <w:tc>
          <w:tcPr>
            <w:tcW w:w="999" w:type="dxa"/>
            <w:vMerge/>
            <w:tcBorders>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离任总法律</w:t>
            </w:r>
          </w:p>
          <w:p>
            <w:pPr>
              <w:pStyle w:val="TableParagraph"/>
              <w:spacing w:line="273" w:lineRule="exact"/>
              <w:ind w:left="4" w:right="0"/>
              <w:jc w:val="center"/>
              <w:rPr>
                <w:rFonts w:ascii="宋体" w:hAnsi="宋体" w:cs="宋体" w:eastAsia="宋体" w:hint="default"/>
                <w:sz w:val="21"/>
                <w:szCs w:val="21"/>
              </w:rPr>
            </w:pPr>
            <w:r>
              <w:rPr>
                <w:rFonts w:ascii="宋体" w:hAnsi="宋体" w:cs="宋体" w:eastAsia="宋体" w:hint="default"/>
                <w:sz w:val="21"/>
                <w:szCs w:val="21"/>
              </w:rPr>
              <w:t>顾问</w:t>
            </w:r>
          </w:p>
        </w:tc>
        <w:tc>
          <w:tcPr>
            <w:tcW w:w="722" w:type="dxa"/>
            <w:vMerge/>
            <w:tcBorders>
              <w:left w:val="single" w:sz="4" w:space="0" w:color="000000"/>
              <w:bottom w:val="single" w:sz="4" w:space="0" w:color="000000"/>
              <w:right w:val="single" w:sz="4" w:space="0" w:color="000000"/>
            </w:tcBorders>
          </w:tcPr>
          <w:p>
            <w:pPr/>
          </w:p>
        </w:tc>
        <w:tc>
          <w:tcPr>
            <w:tcW w:w="864" w:type="dxa"/>
            <w:vMerge/>
            <w:tcBorders>
              <w:left w:val="single" w:sz="4" w:space="0" w:color="000000"/>
              <w:bottom w:val="single" w:sz="4" w:space="0" w:color="000000"/>
              <w:right w:val="single" w:sz="4" w:space="0" w:color="000000"/>
            </w:tcBorders>
          </w:tcPr>
          <w:p>
            <w:pP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19"/>
              <w:jc w:val="righ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vMerge/>
            <w:tcBorders>
              <w:left w:val="single" w:sz="4" w:space="0" w:color="000000"/>
              <w:bottom w:val="single" w:sz="4" w:space="0" w:color="000000"/>
              <w:right w:val="single" w:sz="4" w:space="0" w:color="000000"/>
            </w:tcBorders>
          </w:tcPr>
          <w:p>
            <w:pPr/>
          </w:p>
        </w:tc>
        <w:tc>
          <w:tcPr>
            <w:tcW w:w="1058" w:type="dxa"/>
            <w:vMerge/>
            <w:tcBorders>
              <w:left w:val="single" w:sz="4" w:space="0" w:color="000000"/>
              <w:bottom w:val="single" w:sz="4" w:space="0" w:color="000000"/>
              <w:right w:val="single" w:sz="4" w:space="0" w:color="000000"/>
            </w:tcBorders>
          </w:tcPr>
          <w:p>
            <w:pPr/>
          </w:p>
        </w:tc>
        <w:tc>
          <w:tcPr>
            <w:tcW w:w="1138" w:type="dxa"/>
            <w:vMerge/>
            <w:tcBorders>
              <w:left w:val="single" w:sz="4" w:space="0" w:color="000000"/>
              <w:bottom w:val="single" w:sz="4" w:space="0" w:color="000000"/>
              <w:right w:val="single" w:sz="4" w:space="0" w:color="000000"/>
            </w:tcBorders>
          </w:tcPr>
          <w:p>
            <w:pPr/>
          </w:p>
        </w:tc>
        <w:tc>
          <w:tcPr>
            <w:tcW w:w="1135" w:type="dxa"/>
            <w:vMerge/>
            <w:tcBorders>
              <w:left w:val="single" w:sz="4" w:space="0" w:color="000000"/>
              <w:bottom w:val="single" w:sz="4" w:space="0" w:color="000000"/>
              <w:right w:val="single" w:sz="4" w:space="0" w:color="000000"/>
            </w:tcBorders>
          </w:tcPr>
          <w:p>
            <w:pPr/>
          </w:p>
        </w:tc>
        <w:tc>
          <w:tcPr>
            <w:tcW w:w="1719" w:type="dxa"/>
            <w:vMerge/>
            <w:tcBorders>
              <w:left w:val="single" w:sz="4" w:space="0" w:color="000000"/>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r>
      <w:tr>
        <w:trPr>
          <w:trHeight w:val="281"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王路</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离任董事</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51"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21" w:right="0"/>
              <w:jc w:val="left"/>
              <w:rPr>
                <w:rFonts w:ascii="宋体" w:hAnsi="宋体" w:cs="宋体" w:eastAsia="宋体" w:hint="default"/>
                <w:sz w:val="21"/>
                <w:szCs w:val="21"/>
              </w:rPr>
            </w:pPr>
            <w:r>
              <w:rPr>
                <w:rFonts w:ascii="宋体"/>
                <w:sz w:val="21"/>
              </w:rPr>
              <w:t>54</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14</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66"/>
              <w:jc w:val="righ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w w:val="100"/>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胡晓明</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离任董事</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51"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21" w:right="0"/>
              <w:jc w:val="left"/>
              <w:rPr>
                <w:rFonts w:ascii="宋体" w:hAnsi="宋体" w:cs="宋体" w:eastAsia="宋体" w:hint="default"/>
                <w:sz w:val="21"/>
                <w:szCs w:val="21"/>
              </w:rPr>
            </w:pPr>
            <w:r>
              <w:rPr>
                <w:rFonts w:ascii="宋体"/>
                <w:sz w:val="21"/>
              </w:rPr>
              <w:t>50</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9"/>
              <w:jc w:val="righ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w w:val="100"/>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1"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熊晓鸽</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离任董事</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51"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21" w:right="0"/>
              <w:jc w:val="left"/>
              <w:rPr>
                <w:rFonts w:ascii="宋体" w:hAnsi="宋体" w:cs="宋体" w:eastAsia="宋体" w:hint="default"/>
                <w:sz w:val="21"/>
                <w:szCs w:val="21"/>
              </w:rPr>
            </w:pPr>
            <w:r>
              <w:rPr>
                <w:rFonts w:ascii="宋体"/>
                <w:sz w:val="21"/>
              </w:rPr>
              <w:t>63</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9"/>
              <w:jc w:val="righ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w w:val="100"/>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8.71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 w:right="0"/>
              <w:jc w:val="center"/>
              <w:rPr>
                <w:rFonts w:ascii="宋体" w:hAnsi="宋体" w:cs="宋体" w:eastAsia="宋体" w:hint="default"/>
                <w:sz w:val="21"/>
                <w:szCs w:val="21"/>
              </w:rPr>
            </w:pPr>
            <w:r>
              <w:rPr>
                <w:rFonts w:ascii="宋体" w:hAnsi="宋体" w:cs="宋体" w:eastAsia="宋体" w:hint="default"/>
                <w:sz w:val="21"/>
                <w:szCs w:val="21"/>
              </w:rPr>
              <w:t>林旸川</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离任监事</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51"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21" w:right="0"/>
              <w:jc w:val="left"/>
              <w:rPr>
                <w:rFonts w:ascii="宋体" w:hAnsi="宋体" w:cs="宋体" w:eastAsia="宋体" w:hint="default"/>
                <w:sz w:val="21"/>
                <w:szCs w:val="21"/>
              </w:rPr>
            </w:pPr>
            <w:r>
              <w:rPr>
                <w:rFonts w:ascii="宋体"/>
                <w:sz w:val="21"/>
              </w:rPr>
              <w:t>60</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9"/>
              <w:jc w:val="righ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w w:val="100"/>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见下注</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周仁杰</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离任监事</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51"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21" w:right="0"/>
              <w:jc w:val="left"/>
              <w:rPr>
                <w:rFonts w:ascii="宋体" w:hAnsi="宋体" w:cs="宋体" w:eastAsia="宋体" w:hint="default"/>
                <w:sz w:val="21"/>
                <w:szCs w:val="21"/>
              </w:rPr>
            </w:pPr>
            <w:r>
              <w:rPr>
                <w:rFonts w:ascii="宋体"/>
                <w:sz w:val="21"/>
              </w:rPr>
              <w:t>60</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9"/>
              <w:jc w:val="right"/>
              <w:rPr>
                <w:rFonts w:ascii="宋体" w:hAnsi="宋体" w:cs="宋体" w:eastAsia="宋体" w:hint="default"/>
                <w:sz w:val="21"/>
                <w:szCs w:val="21"/>
              </w:rPr>
            </w:pPr>
            <w:r>
              <w:rPr>
                <w:rFonts w:ascii="宋体" w:hAnsi="宋体" w:cs="宋体" w:eastAsia="宋体" w:hint="default"/>
                <w:sz w:val="21"/>
                <w:szCs w:val="21"/>
              </w:rPr>
              <w:t>2020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w w:val="100"/>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见下注</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4" w:right="0"/>
              <w:jc w:val="center"/>
              <w:rPr>
                <w:rFonts w:ascii="宋体" w:hAnsi="宋体" w:cs="宋体" w:eastAsia="宋体" w:hint="default"/>
                <w:sz w:val="21"/>
                <w:szCs w:val="21"/>
              </w:rPr>
            </w:pPr>
            <w:r>
              <w:rPr>
                <w:rFonts w:ascii="宋体" w:hAnsi="宋体" w:cs="宋体" w:eastAsia="宋体" w:hint="default"/>
                <w:sz w:val="21"/>
                <w:szCs w:val="21"/>
              </w:rPr>
              <w:t>邵广禄</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 w:right="0"/>
              <w:jc w:val="center"/>
              <w:rPr>
                <w:rFonts w:ascii="宋体" w:hAnsi="宋体" w:cs="宋体" w:eastAsia="宋体" w:hint="default"/>
                <w:sz w:val="21"/>
                <w:szCs w:val="21"/>
              </w:rPr>
            </w:pPr>
            <w:r>
              <w:rPr>
                <w:rFonts w:ascii="宋体" w:hAnsi="宋体" w:cs="宋体" w:eastAsia="宋体" w:hint="default"/>
                <w:sz w:val="21"/>
                <w:szCs w:val="21"/>
              </w:rPr>
              <w:t>离任</w:t>
            </w:r>
          </w:p>
          <w:p>
            <w:pPr>
              <w:pStyle w:val="TableParagraph"/>
              <w:spacing w:line="273" w:lineRule="exact"/>
              <w:ind w:left="2" w:right="0"/>
              <w:jc w:val="center"/>
              <w:rPr>
                <w:rFonts w:ascii="宋体" w:hAnsi="宋体" w:cs="宋体" w:eastAsia="宋体" w:hint="default"/>
                <w:sz w:val="21"/>
                <w:szCs w:val="21"/>
              </w:rPr>
            </w:pPr>
            <w:r>
              <w:rPr>
                <w:rFonts w:ascii="宋体" w:hAnsi="宋体" w:cs="宋体" w:eastAsia="宋体" w:hint="default"/>
                <w:sz w:val="21"/>
                <w:szCs w:val="21"/>
              </w:rPr>
              <w:t>高级副总裁</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51"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321" w:right="0"/>
              <w:jc w:val="left"/>
              <w:rPr>
                <w:rFonts w:ascii="宋体" w:hAnsi="宋体" w:cs="宋体" w:eastAsia="宋体" w:hint="default"/>
                <w:sz w:val="21"/>
                <w:szCs w:val="21"/>
              </w:rPr>
            </w:pPr>
            <w:r>
              <w:rPr>
                <w:rFonts w:ascii="宋体"/>
                <w:sz w:val="21"/>
              </w:rPr>
              <w:t>55</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19"/>
              <w:jc w:val="right"/>
              <w:rPr>
                <w:rFonts w:ascii="宋体" w:hAnsi="宋体" w:cs="宋体" w:eastAsia="宋体" w:hint="default"/>
                <w:sz w:val="21"/>
                <w:szCs w:val="21"/>
              </w:rPr>
            </w:pPr>
            <w:r>
              <w:rPr>
                <w:rFonts w:ascii="宋体" w:hAnsi="宋体" w:cs="宋体" w:eastAsia="宋体" w:hint="default"/>
                <w:sz w:val="21"/>
                <w:szCs w:val="21"/>
              </w:rPr>
              <w:t>2020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w w:val="100"/>
                <w:sz w:val="21"/>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 w:right="0"/>
              <w:jc w:val="center"/>
              <w:rPr>
                <w:rFonts w:ascii="宋体" w:hAnsi="宋体" w:cs="宋体" w:eastAsia="宋体" w:hint="default"/>
                <w:sz w:val="21"/>
                <w:szCs w:val="21"/>
              </w:rPr>
            </w:pPr>
            <w:r>
              <w:rPr>
                <w:rFonts w:ascii="宋体"/>
                <w:w w:val="100"/>
                <w:sz w:val="21"/>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见下注</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527"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04" w:right="0"/>
              <w:jc w:val="left"/>
              <w:rPr>
                <w:rFonts w:ascii="宋体" w:hAnsi="宋体" w:cs="宋体" w:eastAsia="宋体" w:hint="default"/>
                <w:sz w:val="21"/>
                <w:szCs w:val="21"/>
              </w:rPr>
            </w:pPr>
            <w:r>
              <w:rPr>
                <w:rFonts w:ascii="宋体"/>
                <w:w w:val="100"/>
                <w:sz w:val="21"/>
              </w:rPr>
              <w:t>/</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74" w:right="0"/>
              <w:jc w:val="left"/>
              <w:rPr>
                <w:rFonts w:ascii="宋体" w:hAnsi="宋体" w:cs="宋体" w:eastAsia="宋体" w:hint="default"/>
                <w:sz w:val="21"/>
                <w:szCs w:val="21"/>
              </w:rPr>
            </w:pPr>
            <w:r>
              <w:rPr>
                <w:rFonts w:ascii="宋体"/>
                <w:w w:val="100"/>
                <w:sz w:val="21"/>
              </w:rPr>
              <w:t>/</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w w:val="100"/>
                <w:sz w:val="21"/>
              </w:rPr>
              <w:t>/</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216,000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sz w:val="21"/>
              </w:rPr>
              <w:t>216,000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80" w:right="0"/>
              <w:jc w:val="left"/>
              <w:rPr>
                <w:rFonts w:ascii="宋体" w:hAnsi="宋体" w:cs="宋体" w:eastAsia="宋体" w:hint="default"/>
                <w:sz w:val="21"/>
                <w:szCs w:val="21"/>
              </w:rPr>
            </w:pPr>
            <w:r>
              <w:rPr>
                <w:rFonts w:ascii="宋体"/>
                <w:w w:val="100"/>
                <w:sz w:val="21"/>
              </w:rPr>
              <w:t>/</w:t>
            </w:r>
          </w:p>
        </w:tc>
      </w:tr>
    </w:tbl>
    <w:p>
      <w:pPr>
        <w:spacing w:line="240" w:lineRule="auto" w:before="0"/>
        <w:rPr>
          <w:rFonts w:ascii="宋体" w:hAnsi="宋体" w:cs="宋体" w:eastAsia="宋体" w:hint="default"/>
          <w:sz w:val="20"/>
          <w:szCs w:val="20"/>
        </w:rPr>
      </w:pPr>
    </w:p>
    <w:p>
      <w:pPr>
        <w:spacing w:line="314" w:lineRule="auto" w:before="172"/>
        <w:ind w:left="784" w:right="840" w:firstLine="420"/>
        <w:jc w:val="both"/>
        <w:rPr>
          <w:rFonts w:ascii="宋体" w:hAnsi="宋体" w:cs="宋体" w:eastAsia="宋体" w:hint="default"/>
          <w:sz w:val="21"/>
          <w:szCs w:val="21"/>
        </w:rPr>
      </w:pPr>
      <w:r>
        <w:rPr>
          <w:rFonts w:ascii="宋体" w:hAnsi="宋体" w:cs="宋体" w:eastAsia="宋体" w:hint="default"/>
          <w:spacing w:val="-2"/>
          <w:sz w:val="21"/>
          <w:szCs w:val="21"/>
        </w:rPr>
        <w:t>注：</w:t>
      </w:r>
      <w:r>
        <w:rPr>
          <w:rFonts w:ascii="宋体" w:hAnsi="宋体" w:cs="宋体" w:eastAsia="宋体" w:hint="default"/>
          <w:spacing w:val="-2"/>
          <w:sz w:val="21"/>
          <w:szCs w:val="21"/>
        </w:rPr>
        <w:t>1.</w:t>
      </w:r>
      <w:r>
        <w:rPr>
          <w:rFonts w:ascii="宋体" w:hAnsi="宋体" w:cs="宋体" w:eastAsia="宋体" w:hint="default"/>
          <w:spacing w:val="-2"/>
          <w:sz w:val="21"/>
          <w:szCs w:val="21"/>
        </w:rPr>
        <w:t>报告期内，公司董事胡晓明先生因工作调动原因，辞去公司董事、董事会发展战略委员会委员及薪酬与考核委员会委员职务；熊晓鸽先生因</w:t>
      </w:r>
      <w:r>
        <w:rPr>
          <w:rFonts w:ascii="宋体" w:hAnsi="宋体" w:cs="宋体" w:eastAsia="宋体" w:hint="default"/>
          <w:w w:val="100"/>
          <w:sz w:val="21"/>
          <w:szCs w:val="21"/>
        </w:rPr>
        <w:t> </w:t>
      </w:r>
      <w:r>
        <w:rPr>
          <w:rFonts w:ascii="宋体" w:hAnsi="宋体" w:cs="宋体" w:eastAsia="宋体" w:hint="default"/>
          <w:spacing w:val="-2"/>
          <w:sz w:val="21"/>
          <w:szCs w:val="21"/>
        </w:rPr>
        <w:t>个人原因，辞去公司董事、董事会发展战略委员会委员职务；公司董事王路先生因工作变动原因，辞去公司董事、董事会发展战略委员会委员职务；公</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pacing w:val="-2"/>
          <w:sz w:val="21"/>
          <w:szCs w:val="21"/>
        </w:rPr>
        <w:t>司监事林旸川先生因已届退休，辞去公司监事会主席及监事职务；分别经公司董事会、监事会及股东大会审议通过，阿里巴巴阿里云智能事业群总裁张</w:t>
      </w:r>
      <w:r>
        <w:rPr>
          <w:rFonts w:ascii="宋体" w:hAnsi="宋体" w:cs="宋体" w:eastAsia="宋体" w:hint="default"/>
          <w:spacing w:val="18"/>
          <w:sz w:val="21"/>
          <w:szCs w:val="21"/>
        </w:rPr>
        <w:t> </w:t>
      </w:r>
      <w:r>
        <w:rPr>
          <w:rFonts w:ascii="宋体" w:hAnsi="宋体" w:cs="宋体" w:eastAsia="宋体" w:hint="default"/>
          <w:spacing w:val="18"/>
          <w:sz w:val="21"/>
          <w:szCs w:val="21"/>
        </w:rPr>
      </w:r>
      <w:r>
        <w:rPr>
          <w:rFonts w:ascii="宋体" w:hAnsi="宋体" w:cs="宋体" w:eastAsia="宋体" w:hint="default"/>
          <w:sz w:val="21"/>
          <w:szCs w:val="21"/>
        </w:rPr>
        <w:t>建锋先生、百度首席技术官王海峰先生获选举为公司董事，招联消费金融有限公司董事、常务副总经理李翀先生获选举为公司监事及监事会主席。</w:t>
      </w:r>
    </w:p>
    <w:p>
      <w:pPr>
        <w:spacing w:line="314" w:lineRule="auto" w:before="140"/>
        <w:ind w:left="784" w:right="840" w:firstLine="420"/>
        <w:jc w:val="both"/>
        <w:rPr>
          <w:rFonts w:ascii="宋体" w:hAnsi="宋体" w:cs="宋体" w:eastAsia="宋体" w:hint="default"/>
          <w:sz w:val="21"/>
          <w:szCs w:val="21"/>
        </w:rPr>
      </w:pPr>
      <w:r>
        <w:rPr>
          <w:rFonts w:ascii="宋体" w:hAnsi="宋体" w:cs="宋体" w:eastAsia="宋体" w:hint="default"/>
          <w:spacing w:val="-2"/>
          <w:sz w:val="21"/>
          <w:szCs w:val="21"/>
        </w:rPr>
        <w:t>报告期内，公司董事、总裁李国华先生因工作职责调整不再兼任公司总法律顾问职务，经公司董事会审议通过，公司高级副总裁范云军先生兼任公</w:t>
      </w:r>
      <w:r>
        <w:rPr>
          <w:rFonts w:ascii="宋体" w:hAnsi="宋体" w:cs="宋体" w:eastAsia="宋体" w:hint="default"/>
          <w:w w:val="100"/>
          <w:sz w:val="21"/>
          <w:szCs w:val="21"/>
        </w:rPr>
        <w:t> </w:t>
      </w:r>
      <w:r>
        <w:rPr>
          <w:rFonts w:ascii="宋体" w:hAnsi="宋体" w:cs="宋体" w:eastAsia="宋体" w:hint="default"/>
          <w:sz w:val="21"/>
          <w:szCs w:val="21"/>
        </w:rPr>
        <w:t>司总法律顾问。</w:t>
      </w:r>
    </w:p>
    <w:p>
      <w:pPr>
        <w:spacing w:line="314" w:lineRule="auto" w:before="140"/>
        <w:ind w:left="784" w:right="840" w:firstLine="420"/>
        <w:jc w:val="both"/>
        <w:rPr>
          <w:rFonts w:ascii="宋体" w:hAnsi="宋体" w:cs="宋体" w:eastAsia="宋体" w:hint="default"/>
          <w:sz w:val="21"/>
          <w:szCs w:val="21"/>
        </w:rPr>
      </w:pPr>
      <w:r>
        <w:rPr>
          <w:rFonts w:ascii="宋体" w:hAnsi="宋体" w:cs="宋体" w:eastAsia="宋体" w:hint="default"/>
          <w:spacing w:val="-2"/>
          <w:sz w:val="21"/>
          <w:szCs w:val="21"/>
        </w:rPr>
        <w:t>报告期末至披露日期间，公司董事兼总裁李国华先生因已届退休年龄，辞去公司董事、董事会发展战略委员会委员及总裁职务；公司高级副总裁邵</w:t>
      </w:r>
      <w:r>
        <w:rPr>
          <w:rFonts w:ascii="宋体" w:hAnsi="宋体" w:cs="宋体" w:eastAsia="宋体" w:hint="default"/>
          <w:w w:val="100"/>
          <w:sz w:val="21"/>
          <w:szCs w:val="21"/>
        </w:rPr>
        <w:t> </w:t>
      </w:r>
      <w:r>
        <w:rPr>
          <w:rFonts w:ascii="宋体" w:hAnsi="宋体" w:cs="宋体" w:eastAsia="宋体" w:hint="default"/>
          <w:spacing w:val="-2"/>
          <w:sz w:val="21"/>
          <w:szCs w:val="21"/>
        </w:rPr>
        <w:t>广禄先生因工作调动，辞去公司高级副总裁职务；监事周仁杰先生因已届退休，辞去公司职工监事职务，经公司职工代表大会等程序，张保英先生获选</w:t>
      </w:r>
      <w:r>
        <w:rPr>
          <w:rFonts w:ascii="宋体" w:hAnsi="宋体" w:cs="宋体" w:eastAsia="宋体" w:hint="default"/>
          <w:spacing w:val="18"/>
          <w:sz w:val="21"/>
          <w:szCs w:val="21"/>
        </w:rPr>
        <w:t> </w:t>
      </w:r>
      <w:r>
        <w:rPr>
          <w:rFonts w:ascii="宋体" w:hAnsi="宋体" w:cs="宋体" w:eastAsia="宋体" w:hint="default"/>
          <w:spacing w:val="18"/>
          <w:sz w:val="21"/>
          <w:szCs w:val="21"/>
        </w:rPr>
      </w:r>
      <w:r>
        <w:rPr>
          <w:rFonts w:ascii="宋体" w:hAnsi="宋体" w:cs="宋体" w:eastAsia="宋体" w:hint="default"/>
          <w:sz w:val="21"/>
          <w:szCs w:val="21"/>
        </w:rPr>
        <w:t>举为公司职工监事。</w:t>
      </w:r>
    </w:p>
    <w:p>
      <w:pPr>
        <w:spacing w:line="314" w:lineRule="auto" w:before="140"/>
        <w:ind w:left="784" w:right="780" w:firstLine="420"/>
        <w:jc w:val="both"/>
        <w:rPr>
          <w:rFonts w:ascii="宋体" w:hAnsi="宋体" w:cs="宋体" w:eastAsia="宋体" w:hint="default"/>
          <w:sz w:val="21"/>
          <w:szCs w:val="21"/>
        </w:rPr>
      </w:pPr>
      <w:r>
        <w:rPr>
          <w:rFonts w:ascii="宋体" w:hAnsi="宋体" w:cs="宋体" w:eastAsia="宋体" w:hint="default"/>
          <w:spacing w:val="-5"/>
          <w:sz w:val="21"/>
          <w:szCs w:val="21"/>
        </w:rPr>
        <w:t>详情请见公司在《中国证券报》《上海证券报》《证券时报》、上海证券交易所网站及公司网站发布的《第六届董事会第十三次会议决议公告》（公</w:t>
      </w:r>
      <w:r>
        <w:rPr>
          <w:rFonts w:ascii="宋体" w:hAnsi="宋体" w:cs="宋体" w:eastAsia="宋体" w:hint="default"/>
          <w:w w:val="100"/>
          <w:sz w:val="21"/>
          <w:szCs w:val="21"/>
        </w:rPr>
        <w:t> </w:t>
      </w:r>
      <w:r>
        <w:rPr>
          <w:rFonts w:ascii="宋体" w:hAnsi="宋体" w:cs="宋体" w:eastAsia="宋体" w:hint="default"/>
          <w:spacing w:val="-11"/>
          <w:w w:val="100"/>
          <w:sz w:val="21"/>
          <w:szCs w:val="21"/>
        </w:rPr>
        <w:t>告编号：</w:t>
      </w:r>
      <w:r>
        <w:rPr>
          <w:rFonts w:ascii="宋体" w:hAnsi="宋体" w:cs="宋体" w:eastAsia="宋体" w:hint="default"/>
          <w:spacing w:val="-11"/>
          <w:w w:val="100"/>
          <w:sz w:val="21"/>
          <w:szCs w:val="21"/>
        </w:rPr>
        <w:t>2019-035</w:t>
      </w:r>
      <w:r>
        <w:rPr>
          <w:rFonts w:ascii="宋体" w:hAnsi="宋体" w:cs="宋体" w:eastAsia="宋体" w:hint="default"/>
          <w:spacing w:val="-11"/>
          <w:w w:val="100"/>
          <w:sz w:val="21"/>
          <w:szCs w:val="21"/>
        </w:rPr>
        <w:t>）、《关于公司董事辞任和增补董事的公告》（公告编号：</w:t>
      </w:r>
      <w:r>
        <w:rPr>
          <w:rFonts w:ascii="宋体" w:hAnsi="宋体" w:cs="宋体" w:eastAsia="宋体" w:hint="default"/>
          <w:spacing w:val="-11"/>
          <w:w w:val="100"/>
          <w:sz w:val="21"/>
          <w:szCs w:val="21"/>
        </w:rPr>
        <w:t>2019-036</w:t>
      </w:r>
      <w:r>
        <w:rPr>
          <w:rFonts w:ascii="宋体" w:hAnsi="宋体" w:cs="宋体" w:eastAsia="宋体" w:hint="default"/>
          <w:spacing w:val="-11"/>
          <w:w w:val="100"/>
          <w:sz w:val="21"/>
          <w:szCs w:val="21"/>
        </w:rPr>
        <w:t>）、《第六届董事会第十四次会议决议公告》（公告编号：</w:t>
      </w:r>
      <w:r>
        <w:rPr>
          <w:rFonts w:ascii="宋体" w:hAnsi="宋体" w:cs="宋体" w:eastAsia="宋体" w:hint="default"/>
          <w:spacing w:val="-11"/>
          <w:w w:val="100"/>
          <w:sz w:val="21"/>
          <w:szCs w:val="21"/>
        </w:rPr>
        <w:t>2019-038</w:t>
      </w:r>
      <w:r>
        <w:rPr>
          <w:rFonts w:ascii="宋体" w:hAnsi="宋体" w:cs="宋体" w:eastAsia="宋体" w:hint="default"/>
          <w:spacing w:val="-11"/>
          <w:w w:val="100"/>
          <w:sz w:val="21"/>
          <w:szCs w:val="21"/>
        </w:rPr>
        <w:t>）、</w:t>
      </w:r>
      <w:r>
        <w:rPr>
          <w:rFonts w:ascii="宋体" w:hAnsi="宋体" w:cs="宋体" w:eastAsia="宋体" w:hint="default"/>
          <w:w w:val="100"/>
          <w:sz w:val="21"/>
          <w:szCs w:val="21"/>
        </w:rPr>
      </w:r>
    </w:p>
    <w:p>
      <w:pPr>
        <w:spacing w:after="0" w:line="314" w:lineRule="auto"/>
        <w:jc w:val="both"/>
        <w:rPr>
          <w:rFonts w:ascii="宋体" w:hAnsi="宋体" w:cs="宋体" w:eastAsia="宋体" w:hint="default"/>
          <w:sz w:val="21"/>
          <w:szCs w:val="21"/>
        </w:rPr>
        <w:sectPr>
          <w:footerReference w:type="default" r:id="rId61"/>
          <w:pgSz w:w="16840" w:h="11910" w:orient="landscape"/>
          <w:pgMar w:footer="502" w:header="854" w:top="1300" w:bottom="700" w:left="740" w:right="600"/>
        </w:sectPr>
      </w:pPr>
    </w:p>
    <w:p>
      <w:pPr>
        <w:spacing w:line="240" w:lineRule="auto" w:before="1"/>
        <w:rPr>
          <w:rFonts w:ascii="宋体" w:hAnsi="宋体" w:cs="宋体" w:eastAsia="宋体" w:hint="default"/>
          <w:sz w:val="2"/>
          <w:szCs w:val="2"/>
        </w:rPr>
      </w:pPr>
    </w:p>
    <w:p>
      <w:pPr>
        <w:spacing w:line="20" w:lineRule="exact"/>
        <w:ind w:left="188" w:right="0" w:firstLine="0"/>
        <w:rPr>
          <w:rFonts w:ascii="宋体" w:hAnsi="宋体" w:cs="宋体" w:eastAsia="宋体" w:hint="default"/>
          <w:sz w:val="2"/>
          <w:szCs w:val="2"/>
        </w:rPr>
      </w:pPr>
      <w:r>
        <w:rPr>
          <w:rFonts w:ascii="宋体" w:hAnsi="宋体" w:cs="宋体" w:eastAsia="宋体" w:hint="default"/>
          <w:sz w:val="2"/>
          <w:szCs w:val="2"/>
        </w:rPr>
        <w:pict>
          <v:group style="width:696.4pt;height:.75pt;mso-position-horizontal-relative:char;mso-position-vertical-relative:line" coordorigin="0,0" coordsize="13928,15">
            <v:group style="position:absolute;left:7;top:7;width:13913;height:2" coordorigin="7,7" coordsize="13913,2">
              <v:shape style="position:absolute;left:7;top:7;width:13913;height:2" coordorigin="7,7" coordsize="13913,0" path="m7,7l13920,7e" filled="false" stroked="true" strokeweight=".72pt" strokecolor="#000000">
                <v:path arrowok="t"/>
              </v:shape>
            </v:group>
          </v:group>
        </w:pict>
      </w:r>
      <w:r>
        <w:rPr>
          <w:rFonts w:ascii="宋体" w:hAnsi="宋体" w:cs="宋体" w:eastAsia="宋体" w:hint="default"/>
          <w:sz w:val="2"/>
          <w:szCs w:val="2"/>
        </w:rPr>
      </w:r>
    </w:p>
    <w:p>
      <w:pPr>
        <w:spacing w:line="314" w:lineRule="auto" w:before="37"/>
        <w:ind w:left="224" w:right="107" w:firstLine="0"/>
        <w:jc w:val="both"/>
        <w:rPr>
          <w:rFonts w:ascii="宋体" w:hAnsi="宋体" w:cs="宋体" w:eastAsia="宋体" w:hint="default"/>
          <w:sz w:val="21"/>
          <w:szCs w:val="21"/>
        </w:rPr>
      </w:pPr>
      <w:r>
        <w:rPr>
          <w:rFonts w:ascii="宋体" w:hAnsi="宋体" w:cs="宋体" w:eastAsia="宋体" w:hint="default"/>
          <w:sz w:val="21"/>
          <w:szCs w:val="21"/>
        </w:rPr>
        <w:t>《关于总法律顾问辞任和聘任总法律顾问的公告》（公告编号：</w:t>
      </w:r>
      <w:r>
        <w:rPr>
          <w:rFonts w:ascii="宋体" w:hAnsi="宋体" w:cs="宋体" w:eastAsia="宋体" w:hint="default"/>
          <w:sz w:val="21"/>
          <w:szCs w:val="21"/>
        </w:rPr>
        <w:t>2019-042</w:t>
      </w:r>
      <w:r>
        <w:rPr>
          <w:rFonts w:ascii="宋体" w:hAnsi="宋体" w:cs="宋体" w:eastAsia="宋体" w:hint="default"/>
          <w:sz w:val="21"/>
          <w:szCs w:val="21"/>
        </w:rPr>
        <w:t>）、《第六届监事会第十一次会议决议公告》（公告编号：</w:t>
      </w:r>
      <w:r>
        <w:rPr>
          <w:rFonts w:ascii="宋体" w:hAnsi="宋体" w:cs="宋体" w:eastAsia="宋体" w:hint="default"/>
          <w:sz w:val="21"/>
          <w:szCs w:val="21"/>
        </w:rPr>
        <w:t>2019-045</w:t>
      </w:r>
      <w:r>
        <w:rPr>
          <w:rFonts w:ascii="宋体" w:hAnsi="宋体" w:cs="宋体" w:eastAsia="宋体" w:hint="default"/>
          <w:sz w:val="21"/>
          <w:szCs w:val="21"/>
        </w:rPr>
        <w:t>）、《关</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2"/>
          <w:sz w:val="21"/>
          <w:szCs w:val="21"/>
        </w:rPr>
        <w:t>于公司监事辞任和增补监事的公告》（公告编号：</w:t>
      </w:r>
      <w:r>
        <w:rPr>
          <w:rFonts w:ascii="宋体" w:hAnsi="宋体" w:cs="宋体" w:eastAsia="宋体" w:hint="default"/>
          <w:spacing w:val="-2"/>
          <w:sz w:val="21"/>
          <w:szCs w:val="21"/>
        </w:rPr>
        <w:t>2019-046</w:t>
      </w:r>
      <w:r>
        <w:rPr>
          <w:rFonts w:ascii="宋体" w:hAnsi="宋体" w:cs="宋体" w:eastAsia="宋体" w:hint="default"/>
          <w:spacing w:val="-2"/>
          <w:sz w:val="21"/>
          <w:szCs w:val="21"/>
        </w:rPr>
        <w:t>）、《</w:t>
      </w:r>
      <w:r>
        <w:rPr>
          <w:rFonts w:ascii="宋体" w:hAnsi="宋体" w:cs="宋体" w:eastAsia="宋体" w:hint="default"/>
          <w:spacing w:val="-2"/>
          <w:sz w:val="21"/>
          <w:szCs w:val="21"/>
        </w:rPr>
        <w:t>2019</w:t>
      </w:r>
      <w:r>
        <w:rPr>
          <w:rFonts w:ascii="宋体" w:hAnsi="宋体" w:cs="宋体" w:eastAsia="宋体" w:hint="default"/>
          <w:sz w:val="21"/>
          <w:szCs w:val="21"/>
        </w:rPr>
        <w:t> </w:t>
      </w:r>
      <w:r>
        <w:rPr>
          <w:rFonts w:ascii="宋体" w:hAnsi="宋体" w:cs="宋体" w:eastAsia="宋体" w:hint="default"/>
          <w:spacing w:val="-2"/>
          <w:sz w:val="21"/>
          <w:szCs w:val="21"/>
        </w:rPr>
        <w:t>年第一次临时股东大会决议公告》（公告编号：</w:t>
      </w:r>
      <w:r>
        <w:rPr>
          <w:rFonts w:ascii="宋体" w:hAnsi="宋体" w:cs="宋体" w:eastAsia="宋体" w:hint="default"/>
          <w:spacing w:val="-2"/>
          <w:sz w:val="21"/>
          <w:szCs w:val="21"/>
        </w:rPr>
        <w:t>2019-049</w:t>
      </w:r>
      <w:r>
        <w:rPr>
          <w:rFonts w:ascii="宋体" w:hAnsi="宋体" w:cs="宋体" w:eastAsia="宋体" w:hint="default"/>
          <w:spacing w:val="-2"/>
          <w:sz w:val="21"/>
          <w:szCs w:val="21"/>
        </w:rPr>
        <w:t>）、《第六届董事会第</w:t>
      </w:r>
      <w:r>
        <w:rPr>
          <w:rFonts w:ascii="宋体" w:hAnsi="宋体" w:cs="宋体" w:eastAsia="宋体" w:hint="default"/>
          <w:spacing w:val="-68"/>
          <w:sz w:val="21"/>
          <w:szCs w:val="21"/>
        </w:rPr>
        <w:t> </w:t>
      </w:r>
      <w:r>
        <w:rPr>
          <w:rFonts w:ascii="宋体" w:hAnsi="宋体" w:cs="宋体" w:eastAsia="宋体" w:hint="default"/>
          <w:spacing w:val="-68"/>
          <w:sz w:val="21"/>
          <w:szCs w:val="21"/>
        </w:rPr>
      </w:r>
      <w:r>
        <w:rPr>
          <w:rFonts w:ascii="宋体" w:hAnsi="宋体" w:cs="宋体" w:eastAsia="宋体" w:hint="default"/>
          <w:spacing w:val="-2"/>
          <w:sz w:val="21"/>
          <w:szCs w:val="21"/>
        </w:rPr>
        <w:t>十六次会议决议公告》（公告编号：</w:t>
      </w:r>
      <w:r>
        <w:rPr>
          <w:rFonts w:ascii="宋体" w:hAnsi="宋体" w:cs="宋体" w:eastAsia="宋体" w:hint="default"/>
          <w:spacing w:val="-2"/>
          <w:sz w:val="21"/>
          <w:szCs w:val="21"/>
        </w:rPr>
        <w:t>2019-053</w:t>
      </w:r>
      <w:r>
        <w:rPr>
          <w:rFonts w:ascii="宋体" w:hAnsi="宋体" w:cs="宋体" w:eastAsia="宋体" w:hint="default"/>
          <w:spacing w:val="-2"/>
          <w:sz w:val="21"/>
          <w:szCs w:val="21"/>
        </w:rPr>
        <w:t>）、《关于公司董事辞任和增补董事的公告》（公告编号：</w:t>
      </w:r>
      <w:r>
        <w:rPr>
          <w:rFonts w:ascii="宋体" w:hAnsi="宋体" w:cs="宋体" w:eastAsia="宋体" w:hint="default"/>
          <w:spacing w:val="-2"/>
          <w:sz w:val="21"/>
          <w:szCs w:val="21"/>
        </w:rPr>
        <w:t>2019-056</w:t>
      </w:r>
      <w:r>
        <w:rPr>
          <w:rFonts w:ascii="宋体" w:hAnsi="宋体" w:cs="宋体" w:eastAsia="宋体" w:hint="default"/>
          <w:spacing w:val="-2"/>
          <w:sz w:val="21"/>
          <w:szCs w:val="21"/>
        </w:rPr>
        <w:t>）、《</w:t>
      </w:r>
      <w:r>
        <w:rPr>
          <w:rFonts w:ascii="宋体" w:hAnsi="宋体" w:cs="宋体" w:eastAsia="宋体" w:hint="default"/>
          <w:spacing w:val="-2"/>
          <w:sz w:val="21"/>
          <w:szCs w:val="21"/>
        </w:rPr>
        <w:t>2019</w:t>
      </w:r>
      <w:r>
        <w:rPr>
          <w:rFonts w:ascii="宋体" w:hAnsi="宋体" w:cs="宋体" w:eastAsia="宋体" w:hint="default"/>
          <w:sz w:val="21"/>
          <w:szCs w:val="21"/>
        </w:rPr>
        <w:t> </w:t>
      </w:r>
      <w:r>
        <w:rPr>
          <w:rFonts w:ascii="宋体" w:hAnsi="宋体" w:cs="宋体" w:eastAsia="宋体" w:hint="default"/>
          <w:spacing w:val="-2"/>
          <w:sz w:val="21"/>
          <w:szCs w:val="21"/>
        </w:rPr>
        <w:t>年第二次临时股东大会决</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pacing w:val="-13"/>
          <w:w w:val="100"/>
          <w:sz w:val="21"/>
          <w:szCs w:val="21"/>
        </w:rPr>
        <w:t>议公告》（公告编号：</w:t>
      </w:r>
      <w:r>
        <w:rPr>
          <w:rFonts w:ascii="宋体" w:hAnsi="宋体" w:cs="宋体" w:eastAsia="宋体" w:hint="default"/>
          <w:spacing w:val="-13"/>
          <w:w w:val="100"/>
          <w:sz w:val="21"/>
          <w:szCs w:val="21"/>
        </w:rPr>
        <w:t>2019-068</w:t>
      </w:r>
      <w:r>
        <w:rPr>
          <w:rFonts w:ascii="宋体" w:hAnsi="宋体" w:cs="宋体" w:eastAsia="宋体" w:hint="default"/>
          <w:spacing w:val="-13"/>
          <w:w w:val="100"/>
          <w:sz w:val="21"/>
          <w:szCs w:val="21"/>
        </w:rPr>
        <w:t>）、《关于公司高级副总裁辞任的公告》（公告编号：</w:t>
      </w:r>
      <w:r>
        <w:rPr>
          <w:rFonts w:ascii="宋体" w:hAnsi="宋体" w:cs="宋体" w:eastAsia="宋体" w:hint="default"/>
          <w:spacing w:val="-13"/>
          <w:w w:val="100"/>
          <w:sz w:val="21"/>
          <w:szCs w:val="21"/>
        </w:rPr>
        <w:t>2020-001</w:t>
      </w:r>
      <w:r>
        <w:rPr>
          <w:rFonts w:ascii="宋体" w:hAnsi="宋体" w:cs="宋体" w:eastAsia="宋体" w:hint="default"/>
          <w:spacing w:val="-13"/>
          <w:w w:val="100"/>
          <w:sz w:val="21"/>
          <w:szCs w:val="21"/>
        </w:rPr>
        <w:t>）、《关于变更职工代表监事的公告》（公告编号：</w:t>
      </w:r>
      <w:r>
        <w:rPr>
          <w:rFonts w:ascii="宋体" w:hAnsi="宋体" w:cs="宋体" w:eastAsia="宋体" w:hint="default"/>
          <w:spacing w:val="-13"/>
          <w:w w:val="100"/>
          <w:sz w:val="21"/>
          <w:szCs w:val="21"/>
        </w:rPr>
        <w:t>2020-004</w:t>
      </w:r>
      <w:r>
        <w:rPr>
          <w:rFonts w:ascii="宋体" w:hAnsi="宋体" w:cs="宋体" w:eastAsia="宋体" w:hint="default"/>
          <w:spacing w:val="-13"/>
          <w:w w:val="100"/>
          <w:sz w:val="21"/>
          <w:szCs w:val="21"/>
        </w:rPr>
        <w:t>）、</w:t>
      </w:r>
    </w:p>
    <w:p>
      <w:pPr>
        <w:spacing w:before="20"/>
        <w:ind w:left="224" w:right="0" w:firstLine="0"/>
        <w:jc w:val="both"/>
        <w:rPr>
          <w:rFonts w:ascii="宋体" w:hAnsi="宋体" w:cs="宋体" w:eastAsia="宋体" w:hint="default"/>
          <w:sz w:val="21"/>
          <w:szCs w:val="21"/>
        </w:rPr>
      </w:pPr>
      <w:r>
        <w:rPr>
          <w:rFonts w:ascii="宋体" w:hAnsi="宋体" w:cs="宋体" w:eastAsia="宋体" w:hint="default"/>
          <w:sz w:val="21"/>
          <w:szCs w:val="21"/>
        </w:rPr>
        <w:t>《关于公司董事、总裁辞任的公告》（公告编号：</w:t>
      </w:r>
      <w:r>
        <w:rPr>
          <w:rFonts w:ascii="宋体" w:hAnsi="宋体" w:cs="宋体" w:eastAsia="宋体" w:hint="default"/>
          <w:sz w:val="21"/>
          <w:szCs w:val="21"/>
        </w:rPr>
        <w:t>2020-007</w:t>
      </w:r>
      <w:r>
        <w:rPr>
          <w:rFonts w:ascii="宋体" w:hAnsi="宋体" w:cs="宋体" w:eastAsia="宋体" w:hint="default"/>
          <w:sz w:val="21"/>
          <w:szCs w:val="21"/>
        </w:rPr>
        <w:t>）；</w:t>
      </w:r>
    </w:p>
    <w:p>
      <w:pPr>
        <w:spacing w:line="240" w:lineRule="auto" w:before="9"/>
        <w:rPr>
          <w:rFonts w:ascii="宋体" w:hAnsi="宋体" w:cs="宋体" w:eastAsia="宋体" w:hint="default"/>
          <w:sz w:val="15"/>
          <w:szCs w:val="15"/>
        </w:rPr>
      </w:pPr>
    </w:p>
    <w:p>
      <w:pPr>
        <w:spacing w:line="314" w:lineRule="auto" w:before="0"/>
        <w:ind w:left="224" w:right="0" w:firstLine="42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8"/>
          <w:sz w:val="21"/>
          <w:szCs w:val="21"/>
        </w:rPr>
        <w:t> </w:t>
      </w:r>
      <w:r>
        <w:rPr>
          <w:rFonts w:ascii="宋体" w:hAnsi="宋体" w:cs="宋体" w:eastAsia="宋体" w:hint="default"/>
          <w:spacing w:val="-3"/>
          <w:sz w:val="21"/>
          <w:szCs w:val="21"/>
        </w:rPr>
        <w:t>本公司董事长王晓初、董事李福申、高级副总裁买彦州、高级副总裁梁宝俊、首席财务官兼董事会秘书朱可炳、高级副总裁兼总法律顾问范云军</w:t>
      </w:r>
      <w:r>
        <w:rPr>
          <w:rFonts w:ascii="宋体" w:hAnsi="宋体" w:cs="宋体" w:eastAsia="宋体" w:hint="default"/>
          <w:spacing w:val="-3"/>
          <w:w w:val="100"/>
          <w:sz w:val="21"/>
          <w:szCs w:val="21"/>
        </w:rPr>
        <w:t> </w:t>
      </w:r>
      <w:r>
        <w:rPr>
          <w:rFonts w:ascii="宋体" w:hAnsi="宋体" w:cs="宋体" w:eastAsia="宋体" w:hint="default"/>
          <w:sz w:val="21"/>
          <w:szCs w:val="21"/>
        </w:rPr>
        <w:t>先生、财务负责人姜爱华、离任董事兼总裁李国华、离任高级副总裁邵广禄、离任监事会主席林旸川、离任职工监事周仁杰均在本公司的控股子公司</w:t>
      </w:r>
      <w:r>
        <w:rPr>
          <w:rFonts w:ascii="宋体" w:hAnsi="宋体" w:cs="宋体" w:eastAsia="宋体" w:hint="default"/>
          <w:sz w:val="21"/>
          <w:szCs w:val="21"/>
        </w:rPr>
        <w:t>-</w:t>
      </w:r>
      <w:r>
        <w:rPr>
          <w:rFonts w:ascii="宋体" w:hAnsi="宋体" w:cs="宋体" w:eastAsia="宋体" w:hint="default"/>
          <w:w w:val="100"/>
          <w:sz w:val="21"/>
          <w:szCs w:val="21"/>
        </w:rPr>
        <w:t> </w:t>
      </w:r>
      <w:r>
        <w:rPr>
          <w:rFonts w:ascii="宋体" w:hAnsi="宋体" w:cs="宋体" w:eastAsia="宋体" w:hint="default"/>
          <w:spacing w:val="-2"/>
          <w:sz w:val="21"/>
          <w:szCs w:val="21"/>
        </w:rPr>
        <w:t>联通红筹公司之全资附属公司联通运营公司领取报酬；监事会主席李翀先生在联通运营公司与合营方招商银行股份有限公司的合营企业招联消费金融有</w:t>
      </w:r>
      <w:r>
        <w:rPr>
          <w:rFonts w:ascii="宋体" w:hAnsi="宋体" w:cs="宋体" w:eastAsia="宋体" w:hint="default"/>
          <w:spacing w:val="18"/>
          <w:sz w:val="21"/>
          <w:szCs w:val="21"/>
        </w:rPr>
        <w:t> </w:t>
      </w:r>
      <w:r>
        <w:rPr>
          <w:rFonts w:ascii="宋体" w:hAnsi="宋体" w:cs="宋体" w:eastAsia="宋体" w:hint="default"/>
          <w:spacing w:val="18"/>
          <w:sz w:val="21"/>
          <w:szCs w:val="21"/>
        </w:rPr>
      </w:r>
      <w:r>
        <w:rPr>
          <w:rFonts w:ascii="宋体" w:hAnsi="宋体" w:cs="宋体" w:eastAsia="宋体" w:hint="default"/>
          <w:sz w:val="21"/>
          <w:szCs w:val="21"/>
        </w:rPr>
        <w:t>限公司领取报酬。</w:t>
      </w:r>
    </w:p>
    <w:p>
      <w:pPr>
        <w:spacing w:before="140"/>
        <w:ind w:left="644" w:right="0" w:firstLine="0"/>
        <w:jc w:val="left"/>
        <w:rPr>
          <w:rFonts w:ascii="宋体" w:hAnsi="宋体" w:cs="宋体" w:eastAsia="宋体" w:hint="default"/>
          <w:sz w:val="21"/>
          <w:szCs w:val="21"/>
        </w:rPr>
      </w:pPr>
      <w:r>
        <w:rPr>
          <w:rFonts w:ascii="宋体" w:hAnsi="宋体" w:cs="宋体" w:eastAsia="宋体" w:hint="default"/>
          <w:sz w:val="21"/>
          <w:szCs w:val="21"/>
        </w:rPr>
        <w:t>3. </w:t>
      </w:r>
      <w:r>
        <w:rPr>
          <w:rFonts w:ascii="宋体" w:hAnsi="宋体" w:cs="宋体" w:eastAsia="宋体" w:hint="default"/>
          <w:spacing w:val="-3"/>
          <w:sz w:val="21"/>
          <w:szCs w:val="21"/>
        </w:rPr>
        <w:t>报告期内，公司董事、监事及高级管理人员 </w:t>
      </w:r>
      <w:r>
        <w:rPr>
          <w:rFonts w:ascii="宋体" w:hAnsi="宋体" w:cs="宋体" w:eastAsia="宋体" w:hint="default"/>
          <w:sz w:val="21"/>
          <w:szCs w:val="21"/>
        </w:rPr>
        <w:t>2019 </w:t>
      </w:r>
      <w:r>
        <w:rPr>
          <w:rFonts w:ascii="宋体" w:hAnsi="宋体" w:cs="宋体" w:eastAsia="宋体" w:hint="default"/>
          <w:spacing w:val="-3"/>
          <w:sz w:val="21"/>
          <w:szCs w:val="21"/>
        </w:rPr>
        <w:t>年度薪酬为：王晓初先生 </w:t>
      </w:r>
      <w:r>
        <w:rPr>
          <w:rFonts w:ascii="宋体" w:hAnsi="宋体" w:cs="宋体" w:eastAsia="宋体" w:hint="default"/>
          <w:sz w:val="21"/>
          <w:szCs w:val="21"/>
        </w:rPr>
        <w:t>71.33 </w:t>
      </w:r>
      <w:r>
        <w:rPr>
          <w:rFonts w:ascii="宋体" w:hAnsi="宋体" w:cs="宋体" w:eastAsia="宋体" w:hint="default"/>
          <w:spacing w:val="-4"/>
          <w:sz w:val="21"/>
          <w:szCs w:val="21"/>
        </w:rPr>
        <w:t>万元，李福申先生 </w:t>
      </w:r>
      <w:r>
        <w:rPr>
          <w:rFonts w:ascii="宋体" w:hAnsi="宋体" w:cs="宋体" w:eastAsia="宋体" w:hint="default"/>
          <w:sz w:val="21"/>
          <w:szCs w:val="21"/>
        </w:rPr>
        <w:t>64.73 </w:t>
      </w:r>
      <w:r>
        <w:rPr>
          <w:rFonts w:ascii="宋体" w:hAnsi="宋体" w:cs="宋体" w:eastAsia="宋体" w:hint="default"/>
          <w:spacing w:val="-4"/>
          <w:sz w:val="21"/>
          <w:szCs w:val="21"/>
        </w:rPr>
        <w:t>万元，李翀先生 </w:t>
      </w:r>
      <w:r>
        <w:rPr>
          <w:rFonts w:ascii="宋体" w:hAnsi="宋体" w:cs="宋体" w:eastAsia="宋体" w:hint="default"/>
          <w:sz w:val="21"/>
          <w:szCs w:val="21"/>
        </w:rPr>
        <w:t>58.33</w:t>
      </w:r>
      <w:r>
        <w:rPr>
          <w:rFonts w:ascii="宋体" w:hAnsi="宋体" w:cs="宋体" w:eastAsia="宋体" w:hint="default"/>
          <w:spacing w:val="-27"/>
          <w:sz w:val="21"/>
          <w:szCs w:val="21"/>
        </w:rPr>
        <w:t> </w:t>
      </w:r>
      <w:r>
        <w:rPr>
          <w:rFonts w:ascii="宋体" w:hAnsi="宋体" w:cs="宋体" w:eastAsia="宋体" w:hint="default"/>
          <w:spacing w:val="-5"/>
          <w:sz w:val="21"/>
          <w:szCs w:val="21"/>
        </w:rPr>
        <w:t>万元，买彦</w:t>
      </w:r>
    </w:p>
    <w:p>
      <w:pPr>
        <w:spacing w:before="85"/>
        <w:ind w:left="224" w:right="0" w:firstLine="0"/>
        <w:jc w:val="both"/>
        <w:rPr>
          <w:rFonts w:ascii="宋体" w:hAnsi="宋体" w:cs="宋体" w:eastAsia="宋体" w:hint="default"/>
          <w:sz w:val="21"/>
          <w:szCs w:val="21"/>
        </w:rPr>
      </w:pPr>
      <w:r>
        <w:rPr>
          <w:rFonts w:ascii="宋体" w:hAnsi="宋体" w:cs="宋体" w:eastAsia="宋体" w:hint="default"/>
          <w:sz w:val="21"/>
          <w:szCs w:val="21"/>
        </w:rPr>
        <w:t>州先生 </w:t>
      </w:r>
      <w:r>
        <w:rPr>
          <w:rFonts w:ascii="宋体" w:hAnsi="宋体" w:cs="宋体" w:eastAsia="宋体" w:hint="default"/>
          <w:sz w:val="21"/>
          <w:szCs w:val="21"/>
        </w:rPr>
        <w:t>63.89 </w:t>
      </w:r>
      <w:r>
        <w:rPr>
          <w:rFonts w:ascii="宋体" w:hAnsi="宋体" w:cs="宋体" w:eastAsia="宋体" w:hint="default"/>
          <w:spacing w:val="-4"/>
          <w:sz w:val="21"/>
          <w:szCs w:val="21"/>
        </w:rPr>
        <w:t>万元，梁宝俊先生 </w:t>
      </w:r>
      <w:r>
        <w:rPr>
          <w:rFonts w:ascii="宋体" w:hAnsi="宋体" w:cs="宋体" w:eastAsia="宋体" w:hint="default"/>
          <w:sz w:val="21"/>
          <w:szCs w:val="21"/>
        </w:rPr>
        <w:t>67.23 </w:t>
      </w:r>
      <w:r>
        <w:rPr>
          <w:rFonts w:ascii="宋体" w:hAnsi="宋体" w:cs="宋体" w:eastAsia="宋体" w:hint="default"/>
          <w:spacing w:val="-4"/>
          <w:sz w:val="21"/>
          <w:szCs w:val="21"/>
        </w:rPr>
        <w:t>万元，朱可炳先生 </w:t>
      </w:r>
      <w:r>
        <w:rPr>
          <w:rFonts w:ascii="宋体" w:hAnsi="宋体" w:cs="宋体" w:eastAsia="宋体" w:hint="default"/>
          <w:sz w:val="21"/>
          <w:szCs w:val="21"/>
        </w:rPr>
        <w:t>54.26 </w:t>
      </w:r>
      <w:r>
        <w:rPr>
          <w:rFonts w:ascii="宋体" w:hAnsi="宋体" w:cs="宋体" w:eastAsia="宋体" w:hint="default"/>
          <w:spacing w:val="-4"/>
          <w:sz w:val="21"/>
          <w:szCs w:val="21"/>
        </w:rPr>
        <w:t>万元，范云军先生 </w:t>
      </w:r>
      <w:r>
        <w:rPr>
          <w:rFonts w:ascii="宋体" w:hAnsi="宋体" w:cs="宋体" w:eastAsia="宋体" w:hint="default"/>
          <w:sz w:val="21"/>
          <w:szCs w:val="21"/>
        </w:rPr>
        <w:t>37.38 </w:t>
      </w:r>
      <w:r>
        <w:rPr>
          <w:rFonts w:ascii="宋体" w:hAnsi="宋体" w:cs="宋体" w:eastAsia="宋体" w:hint="default"/>
          <w:spacing w:val="-4"/>
          <w:sz w:val="21"/>
          <w:szCs w:val="21"/>
        </w:rPr>
        <w:t>万元，姜爱华女士 </w:t>
      </w:r>
      <w:r>
        <w:rPr>
          <w:rFonts w:ascii="宋体" w:hAnsi="宋体" w:cs="宋体" w:eastAsia="宋体" w:hint="default"/>
          <w:sz w:val="21"/>
          <w:szCs w:val="21"/>
        </w:rPr>
        <w:t>83.85 </w:t>
      </w:r>
      <w:r>
        <w:rPr>
          <w:rFonts w:ascii="宋体" w:hAnsi="宋体" w:cs="宋体" w:eastAsia="宋体" w:hint="default"/>
          <w:spacing w:val="-4"/>
          <w:sz w:val="21"/>
          <w:szCs w:val="21"/>
        </w:rPr>
        <w:t>万元；李国华先生 </w:t>
      </w:r>
      <w:r>
        <w:rPr>
          <w:rFonts w:ascii="宋体" w:hAnsi="宋体" w:cs="宋体" w:eastAsia="宋体" w:hint="default"/>
          <w:sz w:val="21"/>
          <w:szCs w:val="21"/>
        </w:rPr>
        <w:t>55.21</w:t>
      </w:r>
      <w:r>
        <w:rPr>
          <w:rFonts w:ascii="宋体" w:hAnsi="宋体" w:cs="宋体" w:eastAsia="宋体" w:hint="default"/>
          <w:spacing w:val="86"/>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p>
      <w:pPr>
        <w:spacing w:before="85"/>
        <w:ind w:left="224" w:right="0" w:firstLine="0"/>
        <w:jc w:val="both"/>
        <w:rPr>
          <w:rFonts w:ascii="宋体" w:hAnsi="宋体" w:cs="宋体" w:eastAsia="宋体" w:hint="default"/>
          <w:sz w:val="21"/>
          <w:szCs w:val="21"/>
        </w:rPr>
      </w:pPr>
      <w:r>
        <w:rPr>
          <w:rFonts w:ascii="宋体" w:hAnsi="宋体" w:cs="宋体" w:eastAsia="宋体" w:hint="default"/>
          <w:sz w:val="21"/>
          <w:szCs w:val="21"/>
        </w:rPr>
        <w:t>邵广禄先生 </w:t>
      </w:r>
      <w:r>
        <w:rPr>
          <w:rFonts w:ascii="宋体" w:hAnsi="宋体" w:cs="宋体" w:eastAsia="宋体" w:hint="default"/>
          <w:sz w:val="21"/>
          <w:szCs w:val="21"/>
        </w:rPr>
        <w:t>67.59 </w:t>
      </w:r>
      <w:r>
        <w:rPr>
          <w:rFonts w:ascii="宋体" w:hAnsi="宋体" w:cs="宋体" w:eastAsia="宋体" w:hint="default"/>
          <w:sz w:val="21"/>
          <w:szCs w:val="21"/>
        </w:rPr>
        <w:t>万元，林旸川先生 </w:t>
      </w:r>
      <w:r>
        <w:rPr>
          <w:rFonts w:ascii="宋体" w:hAnsi="宋体" w:cs="宋体" w:eastAsia="宋体" w:hint="default"/>
          <w:sz w:val="21"/>
          <w:szCs w:val="21"/>
        </w:rPr>
        <w:t>57.55 </w:t>
      </w:r>
      <w:r>
        <w:rPr>
          <w:rFonts w:ascii="宋体" w:hAnsi="宋体" w:cs="宋体" w:eastAsia="宋体" w:hint="default"/>
          <w:sz w:val="21"/>
          <w:szCs w:val="21"/>
        </w:rPr>
        <w:t>万元，周仁杰先生 </w:t>
      </w:r>
      <w:r>
        <w:rPr>
          <w:rFonts w:ascii="宋体" w:hAnsi="宋体" w:cs="宋体" w:eastAsia="宋体" w:hint="default"/>
          <w:sz w:val="21"/>
          <w:szCs w:val="21"/>
        </w:rPr>
        <w:t>86.43</w:t>
      </w:r>
      <w:r>
        <w:rPr>
          <w:rFonts w:ascii="宋体" w:hAnsi="宋体" w:cs="宋体" w:eastAsia="宋体" w:hint="default"/>
          <w:spacing w:val="-62"/>
          <w:sz w:val="21"/>
          <w:szCs w:val="21"/>
        </w:rPr>
        <w:t> </w:t>
      </w:r>
      <w:r>
        <w:rPr>
          <w:rFonts w:ascii="宋体" w:hAnsi="宋体" w:cs="宋体" w:eastAsia="宋体" w:hint="default"/>
          <w:sz w:val="21"/>
          <w:szCs w:val="21"/>
        </w:rPr>
        <w:t>万元；</w:t>
      </w:r>
    </w:p>
    <w:p>
      <w:pPr>
        <w:spacing w:line="240" w:lineRule="auto" w:before="9"/>
        <w:rPr>
          <w:rFonts w:ascii="宋体" w:hAnsi="宋体" w:cs="宋体" w:eastAsia="宋体" w:hint="default"/>
          <w:sz w:val="15"/>
          <w:szCs w:val="15"/>
        </w:rPr>
      </w:pPr>
    </w:p>
    <w:p>
      <w:pPr>
        <w:spacing w:before="0"/>
        <w:ind w:left="644" w:right="0" w:firstLine="0"/>
        <w:jc w:val="left"/>
        <w:rPr>
          <w:rFonts w:ascii="宋体" w:hAnsi="宋体" w:cs="宋体" w:eastAsia="宋体" w:hint="default"/>
          <w:sz w:val="21"/>
          <w:szCs w:val="21"/>
        </w:rPr>
      </w:pPr>
      <w:r>
        <w:rPr>
          <w:rFonts w:ascii="宋体" w:hAnsi="宋体" w:cs="宋体" w:eastAsia="宋体" w:hint="default"/>
          <w:sz w:val="21"/>
          <w:szCs w:val="21"/>
        </w:rPr>
        <w:t>4. </w:t>
      </w:r>
      <w:r>
        <w:rPr>
          <w:rFonts w:ascii="宋体" w:hAnsi="宋体" w:cs="宋体" w:eastAsia="宋体" w:hint="default"/>
          <w:sz w:val="21"/>
          <w:szCs w:val="21"/>
        </w:rPr>
        <w:t>根据《关于做好中央企业负责人薪酬信息披露工作的通知》（国资分配</w:t>
      </w:r>
      <w:r>
        <w:rPr>
          <w:rFonts w:ascii="宋体" w:hAnsi="宋体" w:cs="宋体" w:eastAsia="宋体" w:hint="default"/>
          <w:sz w:val="21"/>
          <w:szCs w:val="21"/>
        </w:rPr>
        <w:t>[2016]339 </w:t>
      </w:r>
      <w:r>
        <w:rPr>
          <w:rFonts w:ascii="宋体" w:hAnsi="宋体" w:cs="宋体" w:eastAsia="宋体" w:hint="default"/>
          <w:sz w:val="21"/>
          <w:szCs w:val="21"/>
        </w:rPr>
        <w:t>号）要求，部分人员报告期内还获得 </w:t>
      </w:r>
      <w:r>
        <w:rPr>
          <w:rFonts w:ascii="宋体" w:hAnsi="宋体" w:cs="宋体" w:eastAsia="宋体" w:hint="default"/>
          <w:sz w:val="21"/>
          <w:szCs w:val="21"/>
        </w:rPr>
        <w:t>2016-2018</w:t>
      </w:r>
      <w:r>
        <w:rPr>
          <w:rFonts w:ascii="宋体" w:hAnsi="宋体" w:cs="宋体" w:eastAsia="宋体" w:hint="default"/>
          <w:spacing w:val="-20"/>
          <w:sz w:val="21"/>
          <w:szCs w:val="21"/>
        </w:rPr>
        <w:t> </w:t>
      </w:r>
      <w:r>
        <w:rPr>
          <w:rFonts w:ascii="宋体" w:hAnsi="宋体" w:cs="宋体" w:eastAsia="宋体" w:hint="default"/>
          <w:sz w:val="21"/>
          <w:szCs w:val="21"/>
        </w:rPr>
        <w:t>年度任期激</w:t>
      </w:r>
    </w:p>
    <w:p>
      <w:pPr>
        <w:spacing w:before="85"/>
        <w:ind w:left="224" w:right="0" w:firstLine="0"/>
        <w:jc w:val="both"/>
        <w:rPr>
          <w:rFonts w:ascii="宋体" w:hAnsi="宋体" w:cs="宋体" w:eastAsia="宋体" w:hint="default"/>
          <w:sz w:val="21"/>
          <w:szCs w:val="21"/>
        </w:rPr>
      </w:pPr>
      <w:r>
        <w:rPr>
          <w:rFonts w:ascii="宋体" w:hAnsi="宋体" w:cs="宋体" w:eastAsia="宋体" w:hint="default"/>
          <w:w w:val="100"/>
          <w:sz w:val="21"/>
          <w:szCs w:val="21"/>
        </w:rPr>
        <w:t>励收</w:t>
      </w:r>
      <w:r>
        <w:rPr>
          <w:rFonts w:ascii="宋体" w:hAnsi="宋体" w:cs="宋体" w:eastAsia="宋体" w:hint="default"/>
          <w:spacing w:val="-3"/>
          <w:w w:val="100"/>
          <w:sz w:val="21"/>
          <w:szCs w:val="21"/>
        </w:rPr>
        <w:t>入</w:t>
      </w:r>
      <w:r>
        <w:rPr>
          <w:rFonts w:ascii="宋体" w:hAnsi="宋体" w:cs="宋体" w:eastAsia="宋体" w:hint="default"/>
          <w:spacing w:val="-87"/>
          <w:w w:val="100"/>
          <w:sz w:val="21"/>
          <w:szCs w:val="21"/>
        </w:rPr>
        <w:t>：</w:t>
      </w:r>
      <w:r>
        <w:rPr>
          <w:rFonts w:ascii="宋体" w:hAnsi="宋体" w:cs="宋体" w:eastAsia="宋体" w:hint="default"/>
          <w:spacing w:val="-3"/>
          <w:w w:val="100"/>
          <w:sz w:val="21"/>
          <w:szCs w:val="21"/>
        </w:rPr>
        <w:t>王</w:t>
      </w:r>
      <w:r>
        <w:rPr>
          <w:rFonts w:ascii="宋体" w:hAnsi="宋体" w:cs="宋体" w:eastAsia="宋体" w:hint="default"/>
          <w:w w:val="100"/>
          <w:sz w:val="21"/>
          <w:szCs w:val="21"/>
        </w:rPr>
        <w:t>晓</w:t>
      </w:r>
      <w:r>
        <w:rPr>
          <w:rFonts w:ascii="宋体" w:hAnsi="宋体" w:cs="宋体" w:eastAsia="宋体" w:hint="default"/>
          <w:spacing w:val="-3"/>
          <w:w w:val="100"/>
          <w:sz w:val="21"/>
          <w:szCs w:val="21"/>
        </w:rPr>
        <w:t>初</w:t>
      </w:r>
      <w:r>
        <w:rPr>
          <w:rFonts w:ascii="宋体" w:hAnsi="宋体" w:cs="宋体" w:eastAsia="宋体" w:hint="default"/>
          <w:w w:val="100"/>
          <w:sz w:val="21"/>
          <w:szCs w:val="21"/>
        </w:rPr>
        <w:t>先生</w:t>
      </w:r>
      <w:r>
        <w:rPr>
          <w:rFonts w:ascii="宋体" w:hAnsi="宋体" w:cs="宋体" w:eastAsia="宋体" w:hint="default"/>
          <w:sz w:val="21"/>
          <w:szCs w:val="21"/>
        </w:rPr>
        <w:t> </w:t>
      </w:r>
      <w:r>
        <w:rPr>
          <w:rFonts w:ascii="宋体" w:hAnsi="宋体" w:cs="宋体" w:eastAsia="宋体" w:hint="default"/>
          <w:spacing w:val="-3"/>
          <w:w w:val="100"/>
          <w:sz w:val="21"/>
          <w:szCs w:val="21"/>
        </w:rPr>
        <w:t>5</w:t>
      </w:r>
      <w:r>
        <w:rPr>
          <w:rFonts w:ascii="宋体" w:hAnsi="宋体" w:cs="宋体" w:eastAsia="宋体" w:hint="default"/>
          <w:w w:val="100"/>
          <w:sz w:val="21"/>
          <w:szCs w:val="21"/>
        </w:rPr>
        <w:t>4.22</w:t>
      </w:r>
      <w:r>
        <w:rPr>
          <w:rFonts w:ascii="宋体" w:hAnsi="宋体" w:cs="宋体" w:eastAsia="宋体" w:hint="default"/>
          <w:spacing w:val="-2"/>
          <w:sz w:val="21"/>
          <w:szCs w:val="21"/>
        </w:rPr>
        <w:t> </w:t>
      </w:r>
      <w:r>
        <w:rPr>
          <w:rFonts w:ascii="宋体" w:hAnsi="宋体" w:cs="宋体" w:eastAsia="宋体" w:hint="default"/>
          <w:w w:val="100"/>
          <w:sz w:val="21"/>
          <w:szCs w:val="21"/>
        </w:rPr>
        <w:t>万元</w:t>
      </w:r>
      <w:r>
        <w:rPr>
          <w:rFonts w:ascii="宋体" w:hAnsi="宋体" w:cs="宋体" w:eastAsia="宋体" w:hint="default"/>
          <w:spacing w:val="-89"/>
          <w:w w:val="100"/>
          <w:sz w:val="21"/>
          <w:szCs w:val="21"/>
        </w:rPr>
        <w:t>，</w:t>
      </w:r>
      <w:r>
        <w:rPr>
          <w:rFonts w:ascii="宋体" w:hAnsi="宋体" w:cs="宋体" w:eastAsia="宋体" w:hint="default"/>
          <w:w w:val="100"/>
          <w:sz w:val="21"/>
          <w:szCs w:val="21"/>
        </w:rPr>
        <w:t>李</w:t>
      </w:r>
      <w:r>
        <w:rPr>
          <w:rFonts w:ascii="宋体" w:hAnsi="宋体" w:cs="宋体" w:eastAsia="宋体" w:hint="default"/>
          <w:spacing w:val="-3"/>
          <w:w w:val="100"/>
          <w:sz w:val="21"/>
          <w:szCs w:val="21"/>
        </w:rPr>
        <w:t>福</w:t>
      </w:r>
      <w:r>
        <w:rPr>
          <w:rFonts w:ascii="宋体" w:hAnsi="宋体" w:cs="宋体" w:eastAsia="宋体" w:hint="default"/>
          <w:w w:val="100"/>
          <w:sz w:val="21"/>
          <w:szCs w:val="21"/>
        </w:rPr>
        <w:t>申</w:t>
      </w:r>
      <w:r>
        <w:rPr>
          <w:rFonts w:ascii="宋体" w:hAnsi="宋体" w:cs="宋体" w:eastAsia="宋体" w:hint="default"/>
          <w:spacing w:val="-3"/>
          <w:w w:val="100"/>
          <w:sz w:val="21"/>
          <w:szCs w:val="21"/>
        </w:rPr>
        <w:t>先</w:t>
      </w:r>
      <w:r>
        <w:rPr>
          <w:rFonts w:ascii="宋体" w:hAnsi="宋体" w:cs="宋体" w:eastAsia="宋体" w:hint="default"/>
          <w:w w:val="100"/>
          <w:sz w:val="21"/>
          <w:szCs w:val="21"/>
        </w:rPr>
        <w:t>生</w:t>
      </w:r>
      <w:r>
        <w:rPr>
          <w:rFonts w:ascii="宋体" w:hAnsi="宋体" w:cs="宋体" w:eastAsia="宋体" w:hint="default"/>
          <w:sz w:val="21"/>
          <w:szCs w:val="21"/>
        </w:rPr>
        <w:t> </w:t>
      </w:r>
      <w:r>
        <w:rPr>
          <w:rFonts w:ascii="宋体" w:hAnsi="宋体" w:cs="宋体" w:eastAsia="宋体" w:hint="default"/>
          <w:w w:val="100"/>
          <w:sz w:val="21"/>
          <w:szCs w:val="21"/>
        </w:rPr>
        <w:t>4</w:t>
      </w:r>
      <w:r>
        <w:rPr>
          <w:rFonts w:ascii="宋体" w:hAnsi="宋体" w:cs="宋体" w:eastAsia="宋体" w:hint="default"/>
          <w:spacing w:val="-3"/>
          <w:w w:val="100"/>
          <w:sz w:val="21"/>
          <w:szCs w:val="21"/>
        </w:rPr>
        <w:t>8</w:t>
      </w:r>
      <w:r>
        <w:rPr>
          <w:rFonts w:ascii="宋体" w:hAnsi="宋体" w:cs="宋体" w:eastAsia="宋体" w:hint="default"/>
          <w:w w:val="100"/>
          <w:sz w:val="21"/>
          <w:szCs w:val="21"/>
        </w:rPr>
        <w:t>.80</w:t>
      </w:r>
      <w:r>
        <w:rPr>
          <w:rFonts w:ascii="宋体" w:hAnsi="宋体" w:cs="宋体" w:eastAsia="宋体" w:hint="default"/>
          <w:spacing w:val="-2"/>
          <w:sz w:val="21"/>
          <w:szCs w:val="21"/>
        </w:rPr>
        <w:t> </w:t>
      </w:r>
      <w:r>
        <w:rPr>
          <w:rFonts w:ascii="宋体" w:hAnsi="宋体" w:cs="宋体" w:eastAsia="宋体" w:hint="default"/>
          <w:w w:val="100"/>
          <w:sz w:val="21"/>
          <w:szCs w:val="21"/>
        </w:rPr>
        <w:t>万元</w:t>
      </w:r>
      <w:r>
        <w:rPr>
          <w:rFonts w:ascii="宋体" w:hAnsi="宋体" w:cs="宋体" w:eastAsia="宋体" w:hint="default"/>
          <w:spacing w:val="-89"/>
          <w:w w:val="100"/>
          <w:sz w:val="21"/>
          <w:szCs w:val="21"/>
        </w:rPr>
        <w:t>，</w:t>
      </w:r>
      <w:r>
        <w:rPr>
          <w:rFonts w:ascii="宋体" w:hAnsi="宋体" w:cs="宋体" w:eastAsia="宋体" w:hint="default"/>
          <w:w w:val="100"/>
          <w:sz w:val="21"/>
          <w:szCs w:val="21"/>
        </w:rPr>
        <w:t>买</w:t>
      </w:r>
      <w:r>
        <w:rPr>
          <w:rFonts w:ascii="宋体" w:hAnsi="宋体" w:cs="宋体" w:eastAsia="宋体" w:hint="default"/>
          <w:spacing w:val="-3"/>
          <w:w w:val="100"/>
          <w:sz w:val="21"/>
          <w:szCs w:val="21"/>
        </w:rPr>
        <w:t>彦</w:t>
      </w:r>
      <w:r>
        <w:rPr>
          <w:rFonts w:ascii="宋体" w:hAnsi="宋体" w:cs="宋体" w:eastAsia="宋体" w:hint="default"/>
          <w:w w:val="100"/>
          <w:sz w:val="21"/>
          <w:szCs w:val="21"/>
        </w:rPr>
        <w:t>州</w:t>
      </w:r>
      <w:r>
        <w:rPr>
          <w:rFonts w:ascii="宋体" w:hAnsi="宋体" w:cs="宋体" w:eastAsia="宋体" w:hint="default"/>
          <w:spacing w:val="-3"/>
          <w:w w:val="100"/>
          <w:sz w:val="21"/>
          <w:szCs w:val="21"/>
        </w:rPr>
        <w:t>先</w:t>
      </w:r>
      <w:r>
        <w:rPr>
          <w:rFonts w:ascii="宋体" w:hAnsi="宋体" w:cs="宋体" w:eastAsia="宋体" w:hint="default"/>
          <w:w w:val="100"/>
          <w:sz w:val="21"/>
          <w:szCs w:val="21"/>
        </w:rPr>
        <w:t>生</w:t>
      </w:r>
      <w:r>
        <w:rPr>
          <w:rFonts w:ascii="宋体" w:hAnsi="宋体" w:cs="宋体" w:eastAsia="宋体" w:hint="default"/>
          <w:sz w:val="21"/>
          <w:szCs w:val="21"/>
        </w:rPr>
        <w:t> </w:t>
      </w:r>
      <w:r>
        <w:rPr>
          <w:rFonts w:ascii="宋体" w:hAnsi="宋体" w:cs="宋体" w:eastAsia="宋体" w:hint="default"/>
          <w:w w:val="100"/>
          <w:sz w:val="21"/>
          <w:szCs w:val="21"/>
        </w:rPr>
        <w:t>16</w:t>
      </w:r>
      <w:r>
        <w:rPr>
          <w:rFonts w:ascii="宋体" w:hAnsi="宋体" w:cs="宋体" w:eastAsia="宋体" w:hint="default"/>
          <w:spacing w:val="-3"/>
          <w:w w:val="100"/>
          <w:sz w:val="21"/>
          <w:szCs w:val="21"/>
        </w:rPr>
        <w:t>.</w:t>
      </w:r>
      <w:r>
        <w:rPr>
          <w:rFonts w:ascii="宋体" w:hAnsi="宋体" w:cs="宋体" w:eastAsia="宋体" w:hint="default"/>
          <w:w w:val="100"/>
          <w:sz w:val="21"/>
          <w:szCs w:val="21"/>
        </w:rPr>
        <w:t>64</w:t>
      </w:r>
      <w:r>
        <w:rPr>
          <w:rFonts w:ascii="宋体" w:hAnsi="宋体" w:cs="宋体" w:eastAsia="宋体" w:hint="default"/>
          <w:spacing w:val="-2"/>
          <w:sz w:val="21"/>
          <w:szCs w:val="21"/>
        </w:rPr>
        <w:t> </w:t>
      </w:r>
      <w:r>
        <w:rPr>
          <w:rFonts w:ascii="宋体" w:hAnsi="宋体" w:cs="宋体" w:eastAsia="宋体" w:hint="default"/>
          <w:w w:val="100"/>
          <w:sz w:val="21"/>
          <w:szCs w:val="21"/>
        </w:rPr>
        <w:t>万元</w:t>
      </w:r>
      <w:r>
        <w:rPr>
          <w:rFonts w:ascii="宋体" w:hAnsi="宋体" w:cs="宋体" w:eastAsia="宋体" w:hint="default"/>
          <w:spacing w:val="-89"/>
          <w:w w:val="100"/>
          <w:sz w:val="21"/>
          <w:szCs w:val="21"/>
        </w:rPr>
        <w:t>，</w:t>
      </w:r>
      <w:r>
        <w:rPr>
          <w:rFonts w:ascii="宋体" w:hAnsi="宋体" w:cs="宋体" w:eastAsia="宋体" w:hint="default"/>
          <w:w w:val="100"/>
          <w:sz w:val="21"/>
          <w:szCs w:val="21"/>
        </w:rPr>
        <w:t>梁</w:t>
      </w:r>
      <w:r>
        <w:rPr>
          <w:rFonts w:ascii="宋体" w:hAnsi="宋体" w:cs="宋体" w:eastAsia="宋体" w:hint="default"/>
          <w:spacing w:val="-3"/>
          <w:w w:val="100"/>
          <w:sz w:val="21"/>
          <w:szCs w:val="21"/>
        </w:rPr>
        <w:t>宝</w:t>
      </w:r>
      <w:r>
        <w:rPr>
          <w:rFonts w:ascii="宋体" w:hAnsi="宋体" w:cs="宋体" w:eastAsia="宋体" w:hint="default"/>
          <w:w w:val="100"/>
          <w:sz w:val="21"/>
          <w:szCs w:val="21"/>
        </w:rPr>
        <w:t>俊</w:t>
      </w:r>
      <w:r>
        <w:rPr>
          <w:rFonts w:ascii="宋体" w:hAnsi="宋体" w:cs="宋体" w:eastAsia="宋体" w:hint="default"/>
          <w:spacing w:val="-3"/>
          <w:w w:val="100"/>
          <w:sz w:val="21"/>
          <w:szCs w:val="21"/>
        </w:rPr>
        <w:t>先</w:t>
      </w:r>
      <w:r>
        <w:rPr>
          <w:rFonts w:ascii="宋体" w:hAnsi="宋体" w:cs="宋体" w:eastAsia="宋体" w:hint="default"/>
          <w:w w:val="100"/>
          <w:sz w:val="21"/>
          <w:szCs w:val="21"/>
        </w:rPr>
        <w:t>生</w:t>
      </w:r>
      <w:r>
        <w:rPr>
          <w:rFonts w:ascii="宋体" w:hAnsi="宋体" w:cs="宋体" w:eastAsia="宋体" w:hint="default"/>
          <w:sz w:val="21"/>
          <w:szCs w:val="21"/>
        </w:rPr>
        <w:t> </w:t>
      </w:r>
      <w:r>
        <w:rPr>
          <w:rFonts w:ascii="宋体" w:hAnsi="宋体" w:cs="宋体" w:eastAsia="宋体" w:hint="default"/>
          <w:w w:val="100"/>
          <w:sz w:val="21"/>
          <w:szCs w:val="21"/>
        </w:rPr>
        <w:t>17</w:t>
      </w:r>
      <w:r>
        <w:rPr>
          <w:rFonts w:ascii="宋体" w:hAnsi="宋体" w:cs="宋体" w:eastAsia="宋体" w:hint="default"/>
          <w:spacing w:val="-3"/>
          <w:w w:val="100"/>
          <w:sz w:val="21"/>
          <w:szCs w:val="21"/>
        </w:rPr>
        <w:t>.</w:t>
      </w:r>
      <w:r>
        <w:rPr>
          <w:rFonts w:ascii="宋体" w:hAnsi="宋体" w:cs="宋体" w:eastAsia="宋体" w:hint="default"/>
          <w:w w:val="100"/>
          <w:sz w:val="21"/>
          <w:szCs w:val="21"/>
        </w:rPr>
        <w:t>03</w:t>
      </w:r>
      <w:r>
        <w:rPr>
          <w:rFonts w:ascii="宋体" w:hAnsi="宋体" w:cs="宋体" w:eastAsia="宋体" w:hint="default"/>
          <w:spacing w:val="-2"/>
          <w:sz w:val="21"/>
          <w:szCs w:val="21"/>
        </w:rPr>
        <w:t> </w:t>
      </w:r>
      <w:r>
        <w:rPr>
          <w:rFonts w:ascii="宋体" w:hAnsi="宋体" w:cs="宋体" w:eastAsia="宋体" w:hint="default"/>
          <w:w w:val="100"/>
          <w:sz w:val="21"/>
          <w:szCs w:val="21"/>
        </w:rPr>
        <w:t>万元</w:t>
      </w:r>
      <w:r>
        <w:rPr>
          <w:rFonts w:ascii="宋体" w:hAnsi="宋体" w:cs="宋体" w:eastAsia="宋体" w:hint="default"/>
          <w:spacing w:val="-89"/>
          <w:w w:val="100"/>
          <w:sz w:val="21"/>
          <w:szCs w:val="21"/>
        </w:rPr>
        <w:t>，</w:t>
      </w:r>
      <w:r>
        <w:rPr>
          <w:rFonts w:ascii="宋体" w:hAnsi="宋体" w:cs="宋体" w:eastAsia="宋体" w:hint="default"/>
          <w:w w:val="100"/>
          <w:sz w:val="21"/>
          <w:szCs w:val="21"/>
        </w:rPr>
        <w:t>朱</w:t>
      </w:r>
      <w:r>
        <w:rPr>
          <w:rFonts w:ascii="宋体" w:hAnsi="宋体" w:cs="宋体" w:eastAsia="宋体" w:hint="default"/>
          <w:spacing w:val="-3"/>
          <w:w w:val="100"/>
          <w:sz w:val="21"/>
          <w:szCs w:val="21"/>
        </w:rPr>
        <w:t>可</w:t>
      </w:r>
      <w:r>
        <w:rPr>
          <w:rFonts w:ascii="宋体" w:hAnsi="宋体" w:cs="宋体" w:eastAsia="宋体" w:hint="default"/>
          <w:w w:val="100"/>
          <w:sz w:val="21"/>
          <w:szCs w:val="21"/>
        </w:rPr>
        <w:t>炳</w:t>
      </w:r>
      <w:r>
        <w:rPr>
          <w:rFonts w:ascii="宋体" w:hAnsi="宋体" w:cs="宋体" w:eastAsia="宋体" w:hint="default"/>
          <w:spacing w:val="-3"/>
          <w:w w:val="100"/>
          <w:sz w:val="21"/>
          <w:szCs w:val="21"/>
        </w:rPr>
        <w:t>先</w:t>
      </w:r>
      <w:r>
        <w:rPr>
          <w:rFonts w:ascii="宋体" w:hAnsi="宋体" w:cs="宋体" w:eastAsia="宋体" w:hint="default"/>
          <w:w w:val="100"/>
          <w:sz w:val="21"/>
          <w:szCs w:val="21"/>
        </w:rPr>
        <w:t>生</w:t>
      </w:r>
      <w:r>
        <w:rPr>
          <w:rFonts w:ascii="宋体" w:hAnsi="宋体" w:cs="宋体" w:eastAsia="宋体" w:hint="default"/>
          <w:sz w:val="21"/>
          <w:szCs w:val="21"/>
        </w:rPr>
        <w:t> </w:t>
      </w:r>
      <w:r>
        <w:rPr>
          <w:rFonts w:ascii="宋体" w:hAnsi="宋体" w:cs="宋体" w:eastAsia="宋体" w:hint="default"/>
          <w:w w:val="100"/>
          <w:sz w:val="21"/>
          <w:szCs w:val="21"/>
        </w:rPr>
        <w:t>9.</w:t>
      </w:r>
      <w:r>
        <w:rPr>
          <w:rFonts w:ascii="宋体" w:hAnsi="宋体" w:cs="宋体" w:eastAsia="宋体" w:hint="default"/>
          <w:spacing w:val="-3"/>
          <w:w w:val="100"/>
          <w:sz w:val="21"/>
          <w:szCs w:val="21"/>
        </w:rPr>
        <w:t>1</w:t>
      </w:r>
      <w:r>
        <w:rPr>
          <w:rFonts w:ascii="宋体" w:hAnsi="宋体" w:cs="宋体" w:eastAsia="宋体" w:hint="default"/>
          <w:w w:val="100"/>
          <w:sz w:val="21"/>
          <w:szCs w:val="21"/>
        </w:rPr>
        <w:t>7</w:t>
      </w:r>
      <w:r>
        <w:rPr>
          <w:rFonts w:ascii="宋体" w:hAnsi="宋体" w:cs="宋体" w:eastAsia="宋体" w:hint="default"/>
          <w:sz w:val="21"/>
          <w:szCs w:val="21"/>
        </w:rPr>
        <w:t> </w:t>
      </w:r>
      <w:r>
        <w:rPr>
          <w:rFonts w:ascii="宋体" w:hAnsi="宋体" w:cs="宋体" w:eastAsia="宋体" w:hint="default"/>
          <w:spacing w:val="-3"/>
          <w:w w:val="100"/>
          <w:sz w:val="21"/>
          <w:szCs w:val="21"/>
        </w:rPr>
        <w:t>万</w:t>
      </w:r>
      <w:r>
        <w:rPr>
          <w:rFonts w:ascii="宋体" w:hAnsi="宋体" w:cs="宋体" w:eastAsia="宋体" w:hint="default"/>
          <w:w w:val="100"/>
          <w:sz w:val="21"/>
          <w:szCs w:val="21"/>
        </w:rPr>
        <w:t>元</w:t>
      </w:r>
      <w:r>
        <w:rPr>
          <w:rFonts w:ascii="宋体" w:hAnsi="宋体" w:cs="宋体" w:eastAsia="宋体" w:hint="default"/>
          <w:spacing w:val="-87"/>
          <w:w w:val="100"/>
          <w:sz w:val="21"/>
          <w:szCs w:val="21"/>
        </w:rPr>
        <w:t>，</w:t>
      </w:r>
      <w:r>
        <w:rPr>
          <w:rFonts w:ascii="宋体" w:hAnsi="宋体" w:cs="宋体" w:eastAsia="宋体" w:hint="default"/>
          <w:spacing w:val="-3"/>
          <w:w w:val="100"/>
          <w:sz w:val="21"/>
          <w:szCs w:val="21"/>
        </w:rPr>
        <w:t>范</w:t>
      </w:r>
      <w:r>
        <w:rPr>
          <w:rFonts w:ascii="宋体" w:hAnsi="宋体" w:cs="宋体" w:eastAsia="宋体" w:hint="default"/>
          <w:w w:val="100"/>
          <w:sz w:val="21"/>
          <w:szCs w:val="21"/>
        </w:rPr>
        <w:t>云</w:t>
      </w:r>
      <w:r>
        <w:rPr>
          <w:rFonts w:ascii="宋体" w:hAnsi="宋体" w:cs="宋体" w:eastAsia="宋体" w:hint="default"/>
          <w:spacing w:val="-3"/>
          <w:w w:val="100"/>
          <w:sz w:val="21"/>
          <w:szCs w:val="21"/>
        </w:rPr>
        <w:t>军</w:t>
      </w:r>
      <w:r>
        <w:rPr>
          <w:rFonts w:ascii="宋体" w:hAnsi="宋体" w:cs="宋体" w:eastAsia="宋体" w:hint="default"/>
          <w:w w:val="100"/>
          <w:sz w:val="21"/>
          <w:szCs w:val="21"/>
        </w:rPr>
        <w:t>先生</w:t>
      </w:r>
      <w:r>
        <w:rPr>
          <w:rFonts w:ascii="宋体" w:hAnsi="宋体" w:cs="宋体" w:eastAsia="宋体" w:hint="default"/>
          <w:spacing w:val="-2"/>
          <w:sz w:val="21"/>
          <w:szCs w:val="21"/>
        </w:rPr>
        <w:t> </w:t>
      </w:r>
      <w:r>
        <w:rPr>
          <w:rFonts w:ascii="宋体" w:hAnsi="宋体" w:cs="宋体" w:eastAsia="宋体" w:hint="default"/>
          <w:spacing w:val="-3"/>
          <w:w w:val="100"/>
          <w:sz w:val="21"/>
          <w:szCs w:val="21"/>
        </w:rPr>
        <w:t>1.25</w:t>
      </w:r>
      <w:r>
        <w:rPr>
          <w:rFonts w:ascii="宋体" w:hAnsi="宋体" w:cs="宋体" w:eastAsia="宋体" w:hint="default"/>
          <w:w w:val="100"/>
          <w:sz w:val="21"/>
          <w:szCs w:val="21"/>
        </w:rPr>
      </w:r>
    </w:p>
    <w:p>
      <w:pPr>
        <w:spacing w:before="85"/>
        <w:ind w:left="224" w:right="0" w:firstLine="0"/>
        <w:jc w:val="both"/>
        <w:rPr>
          <w:rFonts w:ascii="宋体" w:hAnsi="宋体" w:cs="宋体" w:eastAsia="宋体" w:hint="default"/>
          <w:sz w:val="21"/>
          <w:szCs w:val="21"/>
        </w:rPr>
      </w:pPr>
      <w:r>
        <w:rPr>
          <w:rFonts w:ascii="宋体" w:hAnsi="宋体" w:cs="宋体" w:eastAsia="宋体" w:hint="default"/>
          <w:sz w:val="21"/>
          <w:szCs w:val="21"/>
        </w:rPr>
        <w:t>万元；李国华先生 </w:t>
      </w:r>
      <w:r>
        <w:rPr>
          <w:rFonts w:ascii="宋体" w:hAnsi="宋体" w:cs="宋体" w:eastAsia="宋体" w:hint="default"/>
          <w:sz w:val="21"/>
          <w:szCs w:val="21"/>
        </w:rPr>
        <w:t>7.53 </w:t>
      </w:r>
      <w:r>
        <w:rPr>
          <w:rFonts w:ascii="宋体" w:hAnsi="宋体" w:cs="宋体" w:eastAsia="宋体" w:hint="default"/>
          <w:sz w:val="21"/>
          <w:szCs w:val="21"/>
        </w:rPr>
        <w:t>万元，邵广禄先生 </w:t>
      </w:r>
      <w:r>
        <w:rPr>
          <w:rFonts w:ascii="宋体" w:hAnsi="宋体" w:cs="宋体" w:eastAsia="宋体" w:hint="default"/>
          <w:sz w:val="21"/>
          <w:szCs w:val="21"/>
        </w:rPr>
        <w:t>47.71</w:t>
      </w:r>
      <w:r>
        <w:rPr>
          <w:rFonts w:ascii="宋体" w:hAnsi="宋体" w:cs="宋体" w:eastAsia="宋体" w:hint="default"/>
          <w:spacing w:val="-2"/>
          <w:sz w:val="21"/>
          <w:szCs w:val="21"/>
        </w:rPr>
        <w:t> </w:t>
      </w:r>
      <w:r>
        <w:rPr>
          <w:rFonts w:ascii="宋体" w:hAnsi="宋体" w:cs="宋体" w:eastAsia="宋体" w:hint="default"/>
          <w:sz w:val="21"/>
          <w:szCs w:val="21"/>
        </w:rPr>
        <w:t>万元；</w:t>
      </w:r>
    </w:p>
    <w:p>
      <w:pPr>
        <w:spacing w:line="240" w:lineRule="auto" w:before="9"/>
        <w:rPr>
          <w:rFonts w:ascii="宋体" w:hAnsi="宋体" w:cs="宋体" w:eastAsia="宋体" w:hint="default"/>
          <w:sz w:val="15"/>
          <w:szCs w:val="15"/>
        </w:rPr>
      </w:pPr>
    </w:p>
    <w:p>
      <w:pPr>
        <w:spacing w:before="0"/>
        <w:ind w:left="644" w:right="0" w:firstLine="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4"/>
          <w:sz w:val="21"/>
          <w:szCs w:val="21"/>
        </w:rPr>
        <w:t> </w:t>
      </w:r>
      <w:r>
        <w:rPr>
          <w:rFonts w:ascii="宋体" w:hAnsi="宋体" w:cs="宋体" w:eastAsia="宋体" w:hint="default"/>
          <w:sz w:val="21"/>
          <w:szCs w:val="21"/>
        </w:rPr>
        <w:t>姜爱华女士持有的公司股份为</w:t>
      </w:r>
      <w:r>
        <w:rPr>
          <w:rFonts w:ascii="宋体" w:hAnsi="宋体" w:cs="宋体" w:eastAsia="宋体" w:hint="default"/>
          <w:spacing w:val="-54"/>
          <w:sz w:val="21"/>
          <w:szCs w:val="21"/>
        </w:rPr>
        <w:t> </w:t>
      </w:r>
      <w:r>
        <w:rPr>
          <w:rFonts w:ascii="宋体" w:hAnsi="宋体" w:cs="宋体" w:eastAsia="宋体" w:hint="default"/>
          <w:sz w:val="21"/>
          <w:szCs w:val="21"/>
        </w:rPr>
        <w:t>2018</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4</w:t>
      </w:r>
      <w:r>
        <w:rPr>
          <w:rFonts w:ascii="宋体" w:hAnsi="宋体" w:cs="宋体" w:eastAsia="宋体" w:hint="default"/>
          <w:spacing w:val="-55"/>
          <w:sz w:val="21"/>
          <w:szCs w:val="21"/>
        </w:rPr>
        <w:t> </w:t>
      </w:r>
      <w:r>
        <w:rPr>
          <w:rFonts w:ascii="宋体" w:hAnsi="宋体" w:cs="宋体" w:eastAsia="宋体" w:hint="default"/>
          <w:sz w:val="21"/>
          <w:szCs w:val="21"/>
        </w:rPr>
        <w:t>月经公司首期限制性股票激励计划被授予的限制性股票，截至报告期末该部分股份尚在锁定期。</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1368"/>
        <w:gridCol w:w="12633"/>
      </w:tblGrid>
      <w:tr>
        <w:trPr>
          <w:trHeight w:val="466"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7"/>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126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7"/>
              <w:ind w:left="2" w:right="0"/>
              <w:jc w:val="center"/>
              <w:rPr>
                <w:rFonts w:ascii="宋体" w:hAnsi="宋体" w:cs="宋体" w:eastAsia="宋体" w:hint="default"/>
                <w:sz w:val="21"/>
                <w:szCs w:val="21"/>
              </w:rPr>
            </w:pPr>
            <w:r>
              <w:rPr>
                <w:rFonts w:ascii="宋体" w:hAnsi="宋体" w:cs="宋体" w:eastAsia="宋体" w:hint="default"/>
                <w:sz w:val="21"/>
                <w:szCs w:val="21"/>
              </w:rPr>
              <w:t>主要工作经历</w:t>
            </w:r>
          </w:p>
        </w:tc>
      </w:tr>
      <w:tr>
        <w:trPr>
          <w:trHeight w:val="454" w:hRule="exact"/>
        </w:trPr>
        <w:tc>
          <w:tcPr>
            <w:tcW w:w="14002"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03" w:right="0"/>
              <w:jc w:val="left"/>
              <w:rPr>
                <w:rFonts w:ascii="宋体" w:hAnsi="宋体" w:cs="宋体" w:eastAsia="宋体" w:hint="default"/>
                <w:sz w:val="21"/>
                <w:szCs w:val="21"/>
              </w:rPr>
            </w:pPr>
            <w:r>
              <w:rPr>
                <w:rFonts w:ascii="宋体" w:hAnsi="宋体" w:cs="宋体" w:eastAsia="宋体" w:hint="default"/>
                <w:sz w:val="21"/>
                <w:szCs w:val="21"/>
              </w:rPr>
              <w:t>截至年报披露日，公司现任董事、监事和高级管理人员：</w:t>
            </w:r>
          </w:p>
        </w:tc>
      </w:tr>
      <w:tr>
        <w:trPr>
          <w:trHeight w:val="1066"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王晓初</w:t>
            </w:r>
          </w:p>
        </w:tc>
        <w:tc>
          <w:tcPr>
            <w:tcW w:w="1263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92"/>
              <w:ind w:left="103" w:right="11"/>
              <w:jc w:val="left"/>
              <w:rPr>
                <w:rFonts w:ascii="宋体" w:hAnsi="宋体" w:cs="宋体" w:eastAsia="宋体" w:hint="default"/>
                <w:sz w:val="18"/>
                <w:szCs w:val="18"/>
              </w:rPr>
            </w:pPr>
            <w:r>
              <w:rPr>
                <w:rFonts w:ascii="宋体" w:hAnsi="宋体" w:cs="宋体" w:eastAsia="宋体" w:hint="default"/>
                <w:sz w:val="18"/>
                <w:szCs w:val="18"/>
              </w:rPr>
              <w:t>教授级高级工程师。于</w:t>
            </w:r>
            <w:r>
              <w:rPr>
                <w:rFonts w:ascii="宋体" w:hAnsi="宋体" w:cs="宋体" w:eastAsia="宋体" w:hint="default"/>
                <w:spacing w:val="-47"/>
                <w:sz w:val="18"/>
                <w:szCs w:val="18"/>
              </w:rPr>
              <w:t> </w:t>
            </w:r>
            <w:r>
              <w:rPr>
                <w:rFonts w:ascii="宋体" w:hAnsi="宋体" w:cs="宋体" w:eastAsia="宋体" w:hint="default"/>
                <w:sz w:val="18"/>
                <w:szCs w:val="18"/>
              </w:rPr>
              <w:t>1989</w:t>
            </w:r>
            <w:r>
              <w:rPr>
                <w:rFonts w:ascii="宋体" w:hAnsi="宋体" w:cs="宋体" w:eastAsia="宋体" w:hint="default"/>
                <w:spacing w:val="-45"/>
                <w:sz w:val="18"/>
                <w:szCs w:val="18"/>
              </w:rPr>
              <w:t> </w:t>
            </w:r>
            <w:r>
              <w:rPr>
                <w:rFonts w:ascii="宋体" w:hAnsi="宋体" w:cs="宋体" w:eastAsia="宋体" w:hint="default"/>
                <w:sz w:val="18"/>
                <w:szCs w:val="18"/>
              </w:rPr>
              <w:t>年毕业于北京邮电学院；于</w:t>
            </w:r>
            <w:r>
              <w:rPr>
                <w:rFonts w:ascii="宋体" w:hAnsi="宋体" w:cs="宋体" w:eastAsia="宋体" w:hint="default"/>
                <w:spacing w:val="-47"/>
                <w:sz w:val="18"/>
                <w:szCs w:val="18"/>
              </w:rPr>
              <w:t> </w:t>
            </w:r>
            <w:r>
              <w:rPr>
                <w:rFonts w:ascii="宋体" w:hAnsi="宋体" w:cs="宋体" w:eastAsia="宋体" w:hint="default"/>
                <w:sz w:val="18"/>
                <w:szCs w:val="18"/>
              </w:rPr>
              <w:t>2005</w:t>
            </w:r>
            <w:r>
              <w:rPr>
                <w:rFonts w:ascii="宋体" w:hAnsi="宋体" w:cs="宋体" w:eastAsia="宋体" w:hint="default"/>
                <w:spacing w:val="-48"/>
                <w:sz w:val="18"/>
                <w:szCs w:val="18"/>
              </w:rPr>
              <w:t> </w:t>
            </w:r>
            <w:r>
              <w:rPr>
                <w:rFonts w:ascii="宋体" w:hAnsi="宋体" w:cs="宋体" w:eastAsia="宋体" w:hint="default"/>
                <w:sz w:val="18"/>
                <w:szCs w:val="18"/>
              </w:rPr>
              <w:t>年获得香港理工大学工商管理博士学位。王晓初先生曾任浙江省杭州市电信局副局长、局长；天 津市邮电管理局局长；中国移动（香港）有限公司董事长兼首席执行官；中国移动通信集团公司副总经理；中国电信股份有限公司执行董事、董事长兼首席执 行官；中国电信集团公司董事长及总经理；中国通信服务股份有限公司董事长兼非执行董事；Telefónica</w:t>
            </w:r>
            <w:r>
              <w:rPr>
                <w:rFonts w:ascii="宋体" w:hAnsi="宋体" w:cs="宋体" w:eastAsia="宋体" w:hint="default"/>
                <w:spacing w:val="-7"/>
                <w:sz w:val="18"/>
                <w:szCs w:val="18"/>
              </w:rPr>
              <w:t> </w:t>
            </w:r>
            <w:r>
              <w:rPr>
                <w:rFonts w:ascii="宋体" w:hAnsi="宋体" w:cs="宋体" w:eastAsia="宋体" w:hint="default"/>
                <w:sz w:val="18"/>
                <w:szCs w:val="18"/>
              </w:rPr>
              <w:t>S.A.董事。王先生目前还担任联通集团公司董事长，</w:t>
            </w:r>
            <w:r>
              <w:rPr>
                <w:rFonts w:ascii="宋体" w:hAnsi="宋体" w:cs="宋体" w:eastAsia="宋体" w:hint="default"/>
                <w:sz w:val="18"/>
                <w:szCs w:val="18"/>
              </w:rPr>
              <w:t> 联通红筹公司执行董事、董事长兼首席执行官，联通运营公司董事长。王晓初先生具有丰富的管理及电信行业从业经验。王先生自</w:t>
            </w:r>
            <w:r>
              <w:rPr>
                <w:rFonts w:ascii="宋体" w:hAnsi="宋体" w:cs="宋体" w:eastAsia="宋体" w:hint="default"/>
                <w:spacing w:val="-25"/>
                <w:sz w:val="18"/>
                <w:szCs w:val="18"/>
              </w:rPr>
              <w:t> </w:t>
            </w:r>
            <w:r>
              <w:rPr>
                <w:rFonts w:ascii="宋体" w:hAnsi="宋体" w:cs="宋体" w:eastAsia="宋体" w:hint="default"/>
                <w:sz w:val="18"/>
                <w:szCs w:val="18"/>
              </w:rPr>
              <w:t>2015</w:t>
            </w:r>
            <w:r>
              <w:rPr>
                <w:rFonts w:ascii="宋体" w:hAnsi="宋体" w:cs="宋体" w:eastAsia="宋体" w:hint="default"/>
                <w:spacing w:val="-24"/>
                <w:sz w:val="18"/>
                <w:szCs w:val="18"/>
              </w:rPr>
              <w:t> </w:t>
            </w:r>
            <w:r>
              <w:rPr>
                <w:rFonts w:ascii="宋体" w:hAnsi="宋体" w:cs="宋体" w:eastAsia="宋体" w:hint="default"/>
                <w:sz w:val="18"/>
                <w:szCs w:val="18"/>
              </w:rPr>
              <w:t>年</w:t>
            </w:r>
            <w:r>
              <w:rPr>
                <w:rFonts w:ascii="宋体" w:hAnsi="宋体" w:cs="宋体" w:eastAsia="宋体" w:hint="default"/>
                <w:spacing w:val="-28"/>
                <w:sz w:val="18"/>
                <w:szCs w:val="18"/>
              </w:rPr>
              <w:t> </w:t>
            </w:r>
            <w:r>
              <w:rPr>
                <w:rFonts w:ascii="宋体" w:hAnsi="宋体" w:cs="宋体" w:eastAsia="宋体" w:hint="default"/>
                <w:sz w:val="18"/>
                <w:szCs w:val="18"/>
              </w:rPr>
              <w:t>9</w:t>
            </w:r>
            <w:r>
              <w:rPr>
                <w:rFonts w:ascii="宋体" w:hAnsi="宋体" w:cs="宋体" w:eastAsia="宋体" w:hint="default"/>
                <w:spacing w:val="-24"/>
                <w:sz w:val="18"/>
                <w:szCs w:val="18"/>
              </w:rPr>
              <w:t> </w:t>
            </w:r>
            <w:r>
              <w:rPr>
                <w:rFonts w:ascii="宋体" w:hAnsi="宋体" w:cs="宋体" w:eastAsia="宋体" w:hint="default"/>
                <w:sz w:val="18"/>
                <w:szCs w:val="18"/>
              </w:rPr>
              <w:t>月起任本公司董</w:t>
            </w:r>
          </w:p>
        </w:tc>
      </w:tr>
    </w:tbl>
    <w:p>
      <w:pPr>
        <w:spacing w:after="0" w:line="237" w:lineRule="auto"/>
        <w:jc w:val="left"/>
        <w:rPr>
          <w:rFonts w:ascii="宋体" w:hAnsi="宋体" w:cs="宋体" w:eastAsia="宋体" w:hint="default"/>
          <w:sz w:val="18"/>
          <w:szCs w:val="18"/>
        </w:rPr>
        <w:sectPr>
          <w:footerReference w:type="default" r:id="rId62"/>
          <w:pgSz w:w="16840" w:h="11910" w:orient="landscape"/>
          <w:pgMar w:footer="502" w:header="854" w:top="1300" w:bottom="700" w:left="1300" w:right="1220"/>
        </w:sectPr>
      </w:pPr>
    </w:p>
    <w:tbl>
      <w:tblPr>
        <w:tblW w:w="0" w:type="auto"/>
        <w:jc w:val="left"/>
        <w:tblInd w:w="111" w:type="dxa"/>
        <w:tblLayout w:type="fixed"/>
        <w:tblCellMar>
          <w:top w:w="0" w:type="dxa"/>
          <w:left w:w="0" w:type="dxa"/>
          <w:bottom w:w="0" w:type="dxa"/>
          <w:right w:w="0" w:type="dxa"/>
        </w:tblCellMar>
        <w:tblLook w:val="01E0"/>
      </w:tblPr>
      <w:tblGrid>
        <w:gridCol w:w="1368"/>
        <w:gridCol w:w="12633"/>
      </w:tblGrid>
      <w:tr>
        <w:trPr>
          <w:trHeight w:val="372" w:hRule="exact"/>
        </w:trPr>
        <w:tc>
          <w:tcPr>
            <w:tcW w:w="1368" w:type="dxa"/>
            <w:tcBorders>
              <w:top w:val="single" w:sz="10" w:space="0" w:color="000000"/>
              <w:left w:val="single" w:sz="4" w:space="0" w:color="000000"/>
              <w:bottom w:val="single" w:sz="4" w:space="0" w:color="000000"/>
              <w:right w:val="single" w:sz="4" w:space="0" w:color="000000"/>
            </w:tcBorders>
          </w:tcPr>
          <w:p>
            <w:pPr/>
          </w:p>
        </w:tc>
        <w:tc>
          <w:tcPr>
            <w:tcW w:w="12633" w:type="dxa"/>
            <w:tcBorders>
              <w:top w:val="single" w:sz="10"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事长。</w:t>
            </w:r>
          </w:p>
        </w:tc>
      </w:tr>
      <w:tr>
        <w:trPr>
          <w:trHeight w:val="1416"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李福申</w:t>
            </w:r>
          </w:p>
        </w:tc>
        <w:tc>
          <w:tcPr>
            <w:tcW w:w="1263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92"/>
              <w:ind w:left="103" w:right="99"/>
              <w:jc w:val="both"/>
              <w:rPr>
                <w:rFonts w:ascii="宋体" w:hAnsi="宋体" w:cs="宋体" w:eastAsia="宋体" w:hint="default"/>
                <w:sz w:val="18"/>
                <w:szCs w:val="18"/>
              </w:rPr>
            </w:pPr>
            <w:r>
              <w:rPr>
                <w:rFonts w:ascii="宋体" w:hAnsi="宋体" w:cs="宋体" w:eastAsia="宋体" w:hint="default"/>
                <w:sz w:val="18"/>
                <w:szCs w:val="18"/>
              </w:rPr>
              <w:t>高级会计师，</w:t>
            </w:r>
            <w:r>
              <w:rPr>
                <w:rFonts w:ascii="宋体" w:hAnsi="宋体" w:cs="宋体" w:eastAsia="宋体" w:hint="default"/>
                <w:sz w:val="18"/>
                <w:szCs w:val="18"/>
              </w:rPr>
              <w:t>1988</w:t>
            </w:r>
            <w:r>
              <w:rPr>
                <w:rFonts w:ascii="宋体" w:hAnsi="宋体" w:cs="宋体" w:eastAsia="宋体" w:hint="default"/>
                <w:spacing w:val="-32"/>
                <w:sz w:val="18"/>
                <w:szCs w:val="18"/>
              </w:rPr>
              <w:t> </w:t>
            </w:r>
            <w:r>
              <w:rPr>
                <w:rFonts w:ascii="宋体" w:hAnsi="宋体" w:cs="宋体" w:eastAsia="宋体" w:hint="default"/>
                <w:sz w:val="18"/>
                <w:szCs w:val="18"/>
              </w:rPr>
              <w:t>年毕业于吉林工学院管理工程专业，并于</w:t>
            </w:r>
            <w:r>
              <w:rPr>
                <w:rFonts w:ascii="宋体" w:hAnsi="宋体" w:cs="宋体" w:eastAsia="宋体" w:hint="default"/>
                <w:spacing w:val="-31"/>
                <w:sz w:val="18"/>
                <w:szCs w:val="18"/>
              </w:rPr>
              <w:t> </w:t>
            </w:r>
            <w:r>
              <w:rPr>
                <w:rFonts w:ascii="宋体" w:hAnsi="宋体" w:cs="宋体" w:eastAsia="宋体" w:hint="default"/>
                <w:sz w:val="18"/>
                <w:szCs w:val="18"/>
              </w:rPr>
              <w:t>2004</w:t>
            </w:r>
            <w:r>
              <w:rPr>
                <w:rFonts w:ascii="宋体" w:hAnsi="宋体" w:cs="宋体" w:eastAsia="宋体" w:hint="default"/>
                <w:spacing w:val="-32"/>
                <w:sz w:val="18"/>
                <w:szCs w:val="18"/>
              </w:rPr>
              <w:t> </w:t>
            </w:r>
            <w:r>
              <w:rPr>
                <w:rFonts w:ascii="宋体" w:hAnsi="宋体" w:cs="宋体" w:eastAsia="宋体" w:hint="default"/>
                <w:sz w:val="18"/>
                <w:szCs w:val="18"/>
              </w:rPr>
              <w:t>年取得澳大利亚国立大学管理学硕士学位。李先生曾担任原吉林省电信公司及吉林省通信公 司副总经理、中国网络通信集团公司财务部总经理、网通集团总会计师、中国网通集团（香港）有限公司首席财务官、中国网通执行董事、中国网通联席公司 秘书、联通集团副总经理及总会计师、联通红筹公司高级副总裁及首席财务官、联通运营公司高级副总裁。此外，李先生目前还担任联通集团董事、联通红筹 公司执行董事、联通运营公司董事、香港电讯盈科有限公司非执行董事兼董事会副主席、香港电讯有限公司及香港电讯管理有限公司（作为香港电讯信托的托 管人</w:t>
            </w:r>
            <w:r>
              <w:rPr>
                <w:rFonts w:ascii="宋体" w:hAnsi="宋体" w:cs="宋体" w:eastAsia="宋体" w:hint="default"/>
                <w:sz w:val="18"/>
                <w:szCs w:val="18"/>
              </w:rPr>
              <w:t>-</w:t>
            </w:r>
            <w:r>
              <w:rPr>
                <w:rFonts w:ascii="宋体" w:hAnsi="宋体" w:cs="宋体" w:eastAsia="宋体" w:hint="default"/>
                <w:sz w:val="18"/>
                <w:szCs w:val="18"/>
              </w:rPr>
              <w:t>经理）非执行董事。李福申先生长期在电信行业工作，具有丰富的管理经验。李先生自</w:t>
            </w:r>
            <w:r>
              <w:rPr>
                <w:rFonts w:ascii="宋体" w:hAnsi="宋体" w:cs="宋体" w:eastAsia="宋体" w:hint="default"/>
                <w:spacing w:val="-46"/>
                <w:sz w:val="18"/>
                <w:szCs w:val="18"/>
              </w:rPr>
              <w:t> </w:t>
            </w:r>
            <w:r>
              <w:rPr>
                <w:rFonts w:ascii="宋体" w:hAnsi="宋体" w:cs="宋体" w:eastAsia="宋体" w:hint="default"/>
                <w:sz w:val="18"/>
                <w:szCs w:val="18"/>
              </w:rPr>
              <w:t>2011</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5"/>
                <w:sz w:val="18"/>
                <w:szCs w:val="18"/>
              </w:rPr>
              <w:t> </w:t>
            </w:r>
            <w:r>
              <w:rPr>
                <w:rFonts w:ascii="宋体" w:hAnsi="宋体" w:cs="宋体" w:eastAsia="宋体" w:hint="default"/>
                <w:sz w:val="18"/>
                <w:szCs w:val="18"/>
              </w:rPr>
              <w:t>月起任本公司董事。</w:t>
            </w:r>
          </w:p>
        </w:tc>
      </w:tr>
      <w:tr>
        <w:trPr>
          <w:trHeight w:val="1419"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尹兆君</w:t>
            </w:r>
          </w:p>
        </w:tc>
        <w:tc>
          <w:tcPr>
            <w:tcW w:w="1263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94"/>
              <w:ind w:left="103" w:right="94"/>
              <w:jc w:val="both"/>
              <w:rPr>
                <w:rFonts w:ascii="宋体" w:hAnsi="宋体" w:cs="宋体" w:eastAsia="宋体" w:hint="default"/>
                <w:sz w:val="18"/>
                <w:szCs w:val="18"/>
              </w:rPr>
            </w:pPr>
            <w:r>
              <w:rPr>
                <w:rFonts w:ascii="宋体" w:hAnsi="宋体" w:cs="宋体" w:eastAsia="宋体" w:hint="default"/>
                <w:sz w:val="18"/>
                <w:szCs w:val="18"/>
              </w:rPr>
              <w:t>现任中国人寿保险（集团）公司党委委员、副总裁。尹先生于中国政法大学获得公共管理硕士学位，此前就读于北京财贸学院会计系，获得经济学学士学位。 尹先生自</w:t>
            </w:r>
            <w:r>
              <w:rPr>
                <w:rFonts w:ascii="宋体" w:hAnsi="宋体" w:cs="宋体" w:eastAsia="宋体" w:hint="default"/>
                <w:spacing w:val="-47"/>
                <w:sz w:val="18"/>
                <w:szCs w:val="18"/>
              </w:rPr>
              <w:t> </w:t>
            </w:r>
            <w:r>
              <w:rPr>
                <w:rFonts w:ascii="宋体" w:hAnsi="宋体" w:cs="宋体" w:eastAsia="宋体" w:hint="default"/>
                <w:sz w:val="18"/>
                <w:szCs w:val="18"/>
              </w:rPr>
              <w:t>1990</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7</w:t>
            </w:r>
            <w:r>
              <w:rPr>
                <w:rFonts w:ascii="宋体" w:hAnsi="宋体" w:cs="宋体" w:eastAsia="宋体" w:hint="default"/>
                <w:spacing w:val="-46"/>
                <w:sz w:val="18"/>
                <w:szCs w:val="18"/>
              </w:rPr>
              <w:t> </w:t>
            </w:r>
            <w:r>
              <w:rPr>
                <w:rFonts w:ascii="宋体" w:hAnsi="宋体" w:cs="宋体" w:eastAsia="宋体" w:hint="default"/>
                <w:sz w:val="18"/>
                <w:szCs w:val="18"/>
              </w:rPr>
              <w:t>月加入交通银行，</w:t>
            </w:r>
            <w:r>
              <w:rPr>
                <w:rFonts w:ascii="宋体" w:hAnsi="宋体" w:cs="宋体" w:eastAsia="宋体" w:hint="default"/>
                <w:sz w:val="18"/>
                <w:szCs w:val="18"/>
              </w:rPr>
              <w:t>2005</w:t>
            </w:r>
            <w:r>
              <w:rPr>
                <w:rFonts w:ascii="宋体" w:hAnsi="宋体" w:cs="宋体" w:eastAsia="宋体" w:hint="default"/>
                <w:spacing w:val="-45"/>
                <w:sz w:val="18"/>
                <w:szCs w:val="18"/>
              </w:rPr>
              <w:t> </w:t>
            </w:r>
            <w:r>
              <w:rPr>
                <w:rFonts w:ascii="宋体" w:hAnsi="宋体" w:cs="宋体" w:eastAsia="宋体" w:hint="default"/>
                <w:sz w:val="18"/>
                <w:szCs w:val="18"/>
              </w:rPr>
              <w:t>年起先后任交通银行北京市分行行长助理、山西省分行副行长，</w:t>
            </w:r>
            <w:r>
              <w:rPr>
                <w:rFonts w:ascii="宋体" w:hAnsi="宋体" w:cs="宋体" w:eastAsia="宋体" w:hint="default"/>
                <w:sz w:val="18"/>
                <w:szCs w:val="18"/>
              </w:rPr>
              <w:t>2011</w:t>
            </w:r>
            <w:r>
              <w:rPr>
                <w:rFonts w:ascii="宋体" w:hAnsi="宋体" w:cs="宋体" w:eastAsia="宋体" w:hint="default"/>
                <w:spacing w:val="-45"/>
                <w:sz w:val="18"/>
                <w:szCs w:val="18"/>
              </w:rPr>
              <w:t> </w:t>
            </w:r>
            <w:r>
              <w:rPr>
                <w:rFonts w:ascii="宋体" w:hAnsi="宋体" w:cs="宋体" w:eastAsia="宋体" w:hint="default"/>
                <w:sz w:val="18"/>
                <w:szCs w:val="18"/>
              </w:rPr>
              <w:t>年起历任交通银行山西省分行、河北省分行、 北京市分行行长兼北京管理部（集团客户部）副总裁。</w:t>
            </w:r>
            <w:r>
              <w:rPr>
                <w:rFonts w:ascii="宋体" w:hAnsi="宋体" w:cs="宋体" w:eastAsia="宋体" w:hint="default"/>
                <w:sz w:val="18"/>
                <w:szCs w:val="18"/>
              </w:rPr>
              <w:t>2016</w:t>
            </w:r>
            <w:r>
              <w:rPr>
                <w:rFonts w:ascii="宋体" w:hAnsi="宋体" w:cs="宋体" w:eastAsia="宋体" w:hint="default"/>
                <w:spacing w:val="-33"/>
                <w:sz w:val="18"/>
                <w:szCs w:val="18"/>
              </w:rPr>
              <w:t> </w:t>
            </w:r>
            <w:r>
              <w:rPr>
                <w:rFonts w:ascii="宋体" w:hAnsi="宋体" w:cs="宋体" w:eastAsia="宋体" w:hint="default"/>
                <w:sz w:val="18"/>
                <w:szCs w:val="18"/>
              </w:rPr>
              <w:t>年</w:t>
            </w:r>
            <w:r>
              <w:rPr>
                <w:rFonts w:ascii="宋体" w:hAnsi="宋体" w:cs="宋体" w:eastAsia="宋体" w:hint="default"/>
                <w:spacing w:val="-32"/>
                <w:sz w:val="18"/>
                <w:szCs w:val="18"/>
              </w:rPr>
              <w:t> </w:t>
            </w:r>
            <w:r>
              <w:rPr>
                <w:rFonts w:ascii="宋体" w:hAnsi="宋体" w:cs="宋体" w:eastAsia="宋体" w:hint="default"/>
                <w:sz w:val="18"/>
                <w:szCs w:val="18"/>
              </w:rPr>
              <w:t>10</w:t>
            </w:r>
            <w:r>
              <w:rPr>
                <w:rFonts w:ascii="宋体" w:hAnsi="宋体" w:cs="宋体" w:eastAsia="宋体" w:hint="default"/>
                <w:spacing w:val="-30"/>
                <w:sz w:val="18"/>
                <w:szCs w:val="18"/>
              </w:rPr>
              <w:t> </w:t>
            </w:r>
            <w:r>
              <w:rPr>
                <w:rFonts w:ascii="宋体" w:hAnsi="宋体" w:cs="宋体" w:eastAsia="宋体" w:hint="default"/>
                <w:sz w:val="18"/>
                <w:szCs w:val="18"/>
              </w:rPr>
              <w:t>月起任中国人寿保险（集团）公司党委委员、副总裁。尹先生目前同时担任广发银行股份有 限公司党委书记、副董事长、行长，国寿投资控股有限公司董事长以及中国人寿保险股份有限公司、中国人寿财产保险股份有限公司非执行董事等职务。尹先 生自</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月起任本公司董事。</w:t>
            </w:r>
          </w:p>
        </w:tc>
      </w:tr>
      <w:tr>
        <w:trPr>
          <w:trHeight w:val="95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卢山</w:t>
            </w:r>
          </w:p>
        </w:tc>
        <w:tc>
          <w:tcPr>
            <w:tcW w:w="12633"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89"/>
              <w:ind w:left="103" w:right="0"/>
              <w:jc w:val="left"/>
              <w:rPr>
                <w:rFonts w:ascii="宋体" w:hAnsi="宋体" w:cs="宋体" w:eastAsia="宋体" w:hint="default"/>
                <w:sz w:val="18"/>
                <w:szCs w:val="18"/>
              </w:rPr>
            </w:pPr>
            <w:r>
              <w:rPr>
                <w:rFonts w:ascii="宋体" w:hAnsi="宋体" w:cs="宋体" w:eastAsia="宋体" w:hint="default"/>
                <w:sz w:val="18"/>
                <w:szCs w:val="18"/>
              </w:rPr>
              <w:t>现任腾讯集团高级执行副总裁，兼技术工程事业群总裁，负责技术工程事业群的管理工作。卢先生于 </w:t>
            </w:r>
            <w:r>
              <w:rPr>
                <w:rFonts w:ascii="宋体" w:hAnsi="宋体" w:cs="宋体" w:eastAsia="宋体" w:hint="default"/>
                <w:sz w:val="18"/>
                <w:szCs w:val="18"/>
              </w:rPr>
              <w:t>2000</w:t>
            </w:r>
            <w:r>
              <w:rPr>
                <w:rFonts w:ascii="宋体" w:hAnsi="宋体" w:cs="宋体" w:eastAsia="宋体" w:hint="default"/>
                <w:spacing w:val="-7"/>
                <w:sz w:val="18"/>
                <w:szCs w:val="18"/>
              </w:rPr>
              <w:t> </w:t>
            </w:r>
            <w:r>
              <w:rPr>
                <w:rFonts w:ascii="宋体" w:hAnsi="宋体" w:cs="宋体" w:eastAsia="宋体" w:hint="default"/>
                <w:sz w:val="18"/>
                <w:szCs w:val="18"/>
              </w:rPr>
              <w:t>年加入腾讯，历任即时通信产品部总经理、平台研</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发系统副总裁和运营平台系统高级副总裁。加入腾讯之前，卢先生曾就职于深圳黎明网络系统有限公司工作。卢先生于 </w:t>
            </w:r>
            <w:r>
              <w:rPr>
                <w:rFonts w:ascii="宋体" w:hAnsi="宋体" w:cs="宋体" w:eastAsia="宋体" w:hint="default"/>
                <w:sz w:val="18"/>
                <w:szCs w:val="18"/>
              </w:rPr>
              <w:t>1998</w:t>
            </w:r>
            <w:r>
              <w:rPr>
                <w:rFonts w:ascii="宋体" w:hAnsi="宋体" w:cs="宋体" w:eastAsia="宋体" w:hint="default"/>
                <w:spacing w:val="-5"/>
                <w:sz w:val="18"/>
                <w:szCs w:val="18"/>
              </w:rPr>
              <w:t> </w:t>
            </w:r>
            <w:r>
              <w:rPr>
                <w:rFonts w:ascii="宋体" w:hAnsi="宋体" w:cs="宋体" w:eastAsia="宋体" w:hint="default"/>
                <w:sz w:val="18"/>
                <w:szCs w:val="18"/>
              </w:rPr>
              <w:t>年毕业于中国科学技术大学计算</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机软件专业，获理学士学位。卢先山自</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月起任本公司董事。</w:t>
            </w:r>
          </w:p>
        </w:tc>
      </w:tr>
      <w:tr>
        <w:trPr>
          <w:trHeight w:val="2585"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王海峰</w:t>
            </w:r>
          </w:p>
        </w:tc>
        <w:tc>
          <w:tcPr>
            <w:tcW w:w="1263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92"/>
              <w:ind w:left="103" w:right="11"/>
              <w:jc w:val="left"/>
              <w:rPr>
                <w:rFonts w:ascii="宋体" w:hAnsi="宋体" w:cs="宋体" w:eastAsia="宋体" w:hint="default"/>
                <w:sz w:val="18"/>
                <w:szCs w:val="18"/>
              </w:rPr>
            </w:pPr>
            <w:r>
              <w:rPr>
                <w:rFonts w:ascii="宋体" w:hAnsi="宋体" w:cs="宋体" w:eastAsia="宋体" w:hint="default"/>
                <w:spacing w:val="-2"/>
                <w:sz w:val="18"/>
                <w:szCs w:val="18"/>
              </w:rPr>
              <w:t>百度首席技术官，整体负责百度人工智能、大数据、云计算、安全等技术和生态，以及智能云、地图、输入法等业务。王海峰先生博士毕业于哈尔滨工业大学。</w:t>
            </w:r>
            <w:r>
              <w:rPr>
                <w:rFonts w:ascii="宋体" w:hAnsi="宋体" w:cs="宋体" w:eastAsia="宋体" w:hint="default"/>
                <w:spacing w:val="-54"/>
                <w:sz w:val="18"/>
                <w:szCs w:val="18"/>
              </w:rPr>
              <w:t> </w:t>
            </w:r>
            <w:r>
              <w:rPr>
                <w:rFonts w:ascii="宋体" w:hAnsi="宋体" w:cs="宋体" w:eastAsia="宋体" w:hint="default"/>
                <w:spacing w:val="-54"/>
                <w:sz w:val="18"/>
                <w:szCs w:val="18"/>
              </w:rPr>
            </w:r>
            <w:r>
              <w:rPr>
                <w:rFonts w:ascii="宋体" w:hAnsi="宋体" w:cs="宋体" w:eastAsia="宋体" w:hint="default"/>
                <w:sz w:val="18"/>
                <w:szCs w:val="18"/>
              </w:rPr>
              <w:t>王海峰先生</w:t>
            </w:r>
            <w:r>
              <w:rPr>
                <w:rFonts w:ascii="宋体" w:hAnsi="宋体" w:cs="宋体" w:eastAsia="宋体" w:hint="default"/>
                <w:spacing w:val="-45"/>
                <w:sz w:val="18"/>
                <w:szCs w:val="18"/>
              </w:rPr>
              <w:t> </w:t>
            </w: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月加入百度，</w:t>
            </w:r>
            <w:r>
              <w:rPr>
                <w:rFonts w:ascii="宋体" w:hAnsi="宋体" w:cs="宋体" w:eastAsia="宋体" w:hint="default"/>
                <w:sz w:val="18"/>
                <w:szCs w:val="18"/>
              </w:rPr>
              <w:t>2010-2013</w:t>
            </w:r>
            <w:r>
              <w:rPr>
                <w:rFonts w:ascii="宋体" w:hAnsi="宋体" w:cs="宋体" w:eastAsia="宋体" w:hint="default"/>
                <w:spacing w:val="-43"/>
                <w:sz w:val="18"/>
                <w:szCs w:val="18"/>
              </w:rPr>
              <w:t> </w:t>
            </w:r>
            <w:r>
              <w:rPr>
                <w:rFonts w:ascii="宋体" w:hAnsi="宋体" w:cs="宋体" w:eastAsia="宋体" w:hint="default"/>
                <w:spacing w:val="-3"/>
                <w:sz w:val="18"/>
                <w:szCs w:val="18"/>
              </w:rPr>
              <w:t>年，先后创建了自然语言处理部、互联网数据研发部（包括知识图谱和互联网数据挖掘）、推荐引擎和个性化部、</w:t>
            </w:r>
            <w:r>
              <w:rPr>
                <w:rFonts w:ascii="宋体" w:hAnsi="宋体" w:cs="宋体" w:eastAsia="宋体" w:hint="default"/>
                <w:sz w:val="18"/>
                <w:szCs w:val="18"/>
              </w:rPr>
              <w:t> 多媒体部（包括语音和图像技术）、图片搜索部、语音技术部等，</w:t>
            </w:r>
            <w:r>
              <w:rPr>
                <w:rFonts w:ascii="宋体" w:hAnsi="宋体" w:cs="宋体" w:eastAsia="宋体" w:hint="default"/>
                <w:sz w:val="18"/>
                <w:szCs w:val="18"/>
              </w:rPr>
              <w:t>2013</w:t>
            </w:r>
            <w:r>
              <w:rPr>
                <w:rFonts w:ascii="宋体" w:hAnsi="宋体" w:cs="宋体" w:eastAsia="宋体" w:hint="default"/>
                <w:spacing w:val="-54"/>
                <w:sz w:val="18"/>
                <w:szCs w:val="18"/>
              </w:rPr>
              <w:t> </w:t>
            </w:r>
            <w:r>
              <w:rPr>
                <w:rFonts w:ascii="宋体" w:hAnsi="宋体" w:cs="宋体" w:eastAsia="宋体" w:hint="default"/>
                <w:sz w:val="18"/>
                <w:szCs w:val="18"/>
              </w:rPr>
              <w:t>年上半年作为执行负责人，协助创建了百度深度学习研究院（</w:t>
            </w:r>
            <w:r>
              <w:rPr>
                <w:rFonts w:ascii="宋体" w:hAnsi="宋体" w:cs="宋体" w:eastAsia="宋体" w:hint="default"/>
                <w:sz w:val="18"/>
                <w:szCs w:val="18"/>
              </w:rPr>
              <w:t>IDL</w:t>
            </w:r>
            <w:r>
              <w:rPr>
                <w:rFonts w:ascii="宋体" w:hAnsi="宋体" w:cs="宋体" w:eastAsia="宋体" w:hint="default"/>
                <w:sz w:val="18"/>
                <w:szCs w:val="18"/>
              </w:rPr>
              <w:t>），同年</w:t>
            </w:r>
            <w:r>
              <w:rPr>
                <w:rFonts w:ascii="宋体" w:hAnsi="宋体" w:cs="宋体" w:eastAsia="宋体" w:hint="default"/>
                <w:spacing w:val="-57"/>
                <w:sz w:val="18"/>
                <w:szCs w:val="18"/>
              </w:rPr>
              <w:t> </w:t>
            </w:r>
            <w:r>
              <w:rPr>
                <w:rFonts w:ascii="宋体" w:hAnsi="宋体" w:cs="宋体" w:eastAsia="宋体" w:hint="default"/>
                <w:sz w:val="18"/>
                <w:szCs w:val="18"/>
              </w:rPr>
              <w:t>10</w:t>
            </w:r>
            <w:r>
              <w:rPr>
                <w:rFonts w:ascii="宋体" w:hAnsi="宋体" w:cs="宋体" w:eastAsia="宋体" w:hint="default"/>
                <w:spacing w:val="-56"/>
                <w:sz w:val="18"/>
                <w:szCs w:val="18"/>
              </w:rPr>
              <w:t> </w:t>
            </w:r>
            <w:r>
              <w:rPr>
                <w:rFonts w:ascii="宋体" w:hAnsi="宋体" w:cs="宋体" w:eastAsia="宋体" w:hint="default"/>
                <w:sz w:val="18"/>
                <w:szCs w:val="18"/>
              </w:rPr>
              <w:t>月晋升百 度副总裁。</w:t>
            </w:r>
            <w:r>
              <w:rPr>
                <w:rFonts w:ascii="宋体" w:hAnsi="宋体" w:cs="宋体" w:eastAsia="宋体" w:hint="default"/>
                <w:sz w:val="18"/>
                <w:szCs w:val="18"/>
              </w:rPr>
              <w:t>2014</w:t>
            </w:r>
            <w:r>
              <w:rPr>
                <w:rFonts w:ascii="宋体" w:hAnsi="宋体" w:cs="宋体" w:eastAsia="宋体" w:hint="default"/>
                <w:spacing w:val="-35"/>
                <w:sz w:val="18"/>
                <w:szCs w:val="18"/>
              </w:rPr>
              <w:t> </w:t>
            </w:r>
            <w:r>
              <w:rPr>
                <w:rFonts w:ascii="宋体" w:hAnsi="宋体" w:cs="宋体" w:eastAsia="宋体" w:hint="default"/>
                <w:sz w:val="18"/>
                <w:szCs w:val="18"/>
              </w:rPr>
              <w:t>年，任搜索业务群组副总经理，先后负责百度搜索、手机百度、信息流等重要产品。</w:t>
            </w:r>
            <w:r>
              <w:rPr>
                <w:rFonts w:ascii="宋体" w:hAnsi="宋体" w:cs="宋体" w:eastAsia="宋体" w:hint="default"/>
                <w:sz w:val="18"/>
                <w:szCs w:val="18"/>
              </w:rPr>
              <w:t>2017</w:t>
            </w:r>
            <w:r>
              <w:rPr>
                <w:rFonts w:ascii="宋体" w:hAnsi="宋体" w:cs="宋体" w:eastAsia="宋体" w:hint="default"/>
                <w:spacing w:val="-35"/>
                <w:sz w:val="18"/>
                <w:szCs w:val="18"/>
              </w:rPr>
              <w:t> </w:t>
            </w:r>
            <w:r>
              <w:rPr>
                <w:rFonts w:ascii="宋体" w:hAnsi="宋体" w:cs="宋体" w:eastAsia="宋体" w:hint="default"/>
                <w:sz w:val="18"/>
                <w:szCs w:val="18"/>
              </w:rPr>
              <w:t>年</w:t>
            </w:r>
            <w:r>
              <w:rPr>
                <w:rFonts w:ascii="宋体" w:hAnsi="宋体" w:cs="宋体" w:eastAsia="宋体" w:hint="default"/>
                <w:spacing w:val="-36"/>
                <w:sz w:val="18"/>
                <w:szCs w:val="18"/>
              </w:rPr>
              <w:t> </w:t>
            </w:r>
            <w:r>
              <w:rPr>
                <w:rFonts w:ascii="宋体" w:hAnsi="宋体" w:cs="宋体" w:eastAsia="宋体" w:hint="default"/>
                <w:sz w:val="18"/>
                <w:szCs w:val="18"/>
              </w:rPr>
              <w:t>3</w:t>
            </w:r>
            <w:r>
              <w:rPr>
                <w:rFonts w:ascii="宋体" w:hAnsi="宋体" w:cs="宋体" w:eastAsia="宋体" w:hint="default"/>
                <w:spacing w:val="-35"/>
                <w:sz w:val="18"/>
                <w:szCs w:val="18"/>
              </w:rPr>
              <w:t> </w:t>
            </w:r>
            <w:r>
              <w:rPr>
                <w:rFonts w:ascii="宋体" w:hAnsi="宋体" w:cs="宋体" w:eastAsia="宋体" w:hint="default"/>
                <w:sz w:val="18"/>
                <w:szCs w:val="18"/>
              </w:rPr>
              <w:t>月晋升为百度</w:t>
            </w:r>
            <w:r>
              <w:rPr>
                <w:rFonts w:ascii="宋体" w:hAnsi="宋体" w:cs="宋体" w:eastAsia="宋体" w:hint="default"/>
                <w:spacing w:val="-36"/>
                <w:sz w:val="18"/>
                <w:szCs w:val="18"/>
              </w:rPr>
              <w:t> </w:t>
            </w:r>
            <w:r>
              <w:rPr>
                <w:rFonts w:ascii="宋体" w:hAnsi="宋体" w:cs="宋体" w:eastAsia="宋体" w:hint="default"/>
                <w:sz w:val="18"/>
                <w:szCs w:val="18"/>
              </w:rPr>
              <w:t>estaff</w:t>
            </w:r>
            <w:r>
              <w:rPr>
                <w:rFonts w:ascii="宋体" w:hAnsi="宋体" w:cs="宋体" w:eastAsia="宋体" w:hint="default"/>
                <w:sz w:val="18"/>
                <w:szCs w:val="18"/>
              </w:rPr>
              <w:t>，并组建</w:t>
            </w:r>
            <w:r>
              <w:rPr>
                <w:rFonts w:ascii="宋体" w:hAnsi="宋体" w:cs="宋体" w:eastAsia="宋体" w:hint="default"/>
                <w:spacing w:val="-36"/>
                <w:sz w:val="18"/>
                <w:szCs w:val="18"/>
              </w:rPr>
              <w:t> </w:t>
            </w:r>
            <w:r>
              <w:rPr>
                <w:rFonts w:ascii="宋体" w:hAnsi="宋体" w:cs="宋体" w:eastAsia="宋体" w:hint="default"/>
                <w:sz w:val="18"/>
                <w:szCs w:val="18"/>
              </w:rPr>
              <w:t>AIG</w:t>
            </w:r>
            <w:r>
              <w:rPr>
                <w:rFonts w:ascii="宋体" w:hAnsi="宋体" w:cs="宋体" w:eastAsia="宋体" w:hint="default"/>
                <w:sz w:val="18"/>
                <w:szCs w:val="18"/>
              </w:rPr>
              <w:t>。</w:t>
            </w:r>
            <w:r>
              <w:rPr>
                <w:rFonts w:ascii="宋体" w:hAnsi="宋体" w:cs="宋体" w:eastAsia="宋体" w:hint="default"/>
                <w:sz w:val="18"/>
                <w:szCs w:val="18"/>
              </w:rPr>
              <w:t>2018</w:t>
            </w:r>
            <w:r>
              <w:rPr>
                <w:rFonts w:ascii="宋体" w:hAnsi="宋体" w:cs="宋体" w:eastAsia="宋体" w:hint="default"/>
                <w:spacing w:val="-34"/>
                <w:sz w:val="18"/>
                <w:szCs w:val="18"/>
              </w:rPr>
              <w:t> </w:t>
            </w:r>
            <w:r>
              <w:rPr>
                <w:rFonts w:ascii="宋体" w:hAnsi="宋体" w:cs="宋体" w:eastAsia="宋体" w:hint="default"/>
                <w:sz w:val="18"/>
                <w:szCs w:val="18"/>
              </w:rPr>
              <w:t>年</w:t>
            </w:r>
            <w:r>
              <w:rPr>
                <w:rFonts w:ascii="宋体" w:hAnsi="宋体" w:cs="宋体" w:eastAsia="宋体" w:hint="default"/>
                <w:spacing w:val="-36"/>
                <w:sz w:val="18"/>
                <w:szCs w:val="18"/>
              </w:rPr>
              <w:t> </w:t>
            </w:r>
            <w:r>
              <w:rPr>
                <w:rFonts w:ascii="宋体" w:hAnsi="宋体" w:cs="宋体" w:eastAsia="宋体" w:hint="default"/>
                <w:sz w:val="18"/>
                <w:szCs w:val="18"/>
              </w:rPr>
              <w:t>5 </w:t>
            </w:r>
            <w:r>
              <w:rPr>
                <w:rFonts w:ascii="宋体" w:hAnsi="宋体" w:cs="宋体" w:eastAsia="宋体" w:hint="default"/>
                <w:sz w:val="18"/>
                <w:szCs w:val="18"/>
              </w:rPr>
              <w:t>月晋升为百度高级副总裁。</w:t>
            </w:r>
            <w:r>
              <w:rPr>
                <w:rFonts w:ascii="宋体" w:hAnsi="宋体" w:cs="宋体" w:eastAsia="宋体" w:hint="default"/>
                <w:sz w:val="18"/>
                <w:szCs w:val="18"/>
              </w:rPr>
              <w:t>2018</w:t>
            </w:r>
            <w:r>
              <w:rPr>
                <w:rFonts w:ascii="宋体" w:hAnsi="宋体" w:cs="宋体" w:eastAsia="宋体" w:hint="default"/>
                <w:spacing w:val="-30"/>
                <w:sz w:val="18"/>
                <w:szCs w:val="18"/>
              </w:rPr>
              <w:t> </w:t>
            </w:r>
            <w:r>
              <w:rPr>
                <w:rFonts w:ascii="宋体" w:hAnsi="宋体" w:cs="宋体" w:eastAsia="宋体" w:hint="default"/>
                <w:sz w:val="18"/>
                <w:szCs w:val="18"/>
              </w:rPr>
              <w:t>年底，统领</w:t>
            </w:r>
            <w:r>
              <w:rPr>
                <w:rFonts w:ascii="宋体" w:hAnsi="宋体" w:cs="宋体" w:eastAsia="宋体" w:hint="default"/>
                <w:spacing w:val="-34"/>
                <w:sz w:val="18"/>
                <w:szCs w:val="18"/>
              </w:rPr>
              <w:t> </w:t>
            </w:r>
            <w:r>
              <w:rPr>
                <w:rFonts w:ascii="宋体" w:hAnsi="宋体" w:cs="宋体" w:eastAsia="宋体" w:hint="default"/>
                <w:sz w:val="18"/>
                <w:szCs w:val="18"/>
              </w:rPr>
              <w:t>TG</w:t>
            </w:r>
            <w:r>
              <w:rPr>
                <w:rFonts w:ascii="宋体" w:hAnsi="宋体" w:cs="宋体" w:eastAsia="宋体" w:hint="default"/>
                <w:spacing w:val="-33"/>
                <w:sz w:val="18"/>
                <w:szCs w:val="18"/>
              </w:rPr>
              <w:t> </w:t>
            </w:r>
            <w:r>
              <w:rPr>
                <w:rFonts w:ascii="宋体" w:hAnsi="宋体" w:cs="宋体" w:eastAsia="宋体" w:hint="default"/>
                <w:sz w:val="18"/>
                <w:szCs w:val="18"/>
              </w:rPr>
              <w:t>和</w:t>
            </w:r>
            <w:r>
              <w:rPr>
                <w:rFonts w:ascii="宋体" w:hAnsi="宋体" w:cs="宋体" w:eastAsia="宋体" w:hint="default"/>
                <w:spacing w:val="-31"/>
                <w:sz w:val="18"/>
                <w:szCs w:val="18"/>
              </w:rPr>
              <w:t> </w:t>
            </w:r>
            <w:r>
              <w:rPr>
                <w:rFonts w:ascii="宋体" w:hAnsi="宋体" w:cs="宋体" w:eastAsia="宋体" w:hint="default"/>
                <w:sz w:val="18"/>
                <w:szCs w:val="18"/>
              </w:rPr>
              <w:t>AIG</w:t>
            </w:r>
            <w:r>
              <w:rPr>
                <w:rFonts w:ascii="宋体" w:hAnsi="宋体" w:cs="宋体" w:eastAsia="宋体" w:hint="default"/>
                <w:sz w:val="18"/>
                <w:szCs w:val="18"/>
              </w:rPr>
              <w:t>，总体负责百度人工智能、大数据、云计算、安全等技术和生态，以及地图、输入法等业务。</w:t>
            </w:r>
            <w:r>
              <w:rPr>
                <w:rFonts w:ascii="宋体" w:hAnsi="宋体" w:cs="宋体" w:eastAsia="宋体" w:hint="default"/>
                <w:sz w:val="18"/>
                <w:szCs w:val="18"/>
              </w:rPr>
              <w:t>2019</w:t>
            </w:r>
            <w:r>
              <w:rPr>
                <w:rFonts w:ascii="宋体" w:hAnsi="宋体" w:cs="宋体" w:eastAsia="宋体" w:hint="default"/>
                <w:spacing w:val="-30"/>
                <w:sz w:val="18"/>
                <w:szCs w:val="18"/>
              </w:rPr>
              <w:t> </w:t>
            </w:r>
            <w:r>
              <w:rPr>
                <w:rFonts w:ascii="宋体" w:hAnsi="宋体" w:cs="宋体" w:eastAsia="宋体" w:hint="default"/>
                <w:sz w:val="18"/>
                <w:szCs w:val="18"/>
              </w:rPr>
              <w:t>年</w:t>
            </w:r>
            <w:r>
              <w:rPr>
                <w:rFonts w:ascii="宋体" w:hAnsi="宋体" w:cs="宋体" w:eastAsia="宋体" w:hint="default"/>
                <w:spacing w:val="-34"/>
                <w:sz w:val="18"/>
                <w:szCs w:val="18"/>
              </w:rPr>
              <w:t> </w:t>
            </w:r>
            <w:r>
              <w:rPr>
                <w:rFonts w:ascii="宋体" w:hAnsi="宋体" w:cs="宋体" w:eastAsia="宋体" w:hint="default"/>
                <w:sz w:val="18"/>
                <w:szCs w:val="18"/>
              </w:rPr>
              <w:t>5 </w:t>
            </w:r>
            <w:r>
              <w:rPr>
                <w:rFonts w:ascii="宋体" w:hAnsi="宋体" w:cs="宋体" w:eastAsia="宋体" w:hint="default"/>
                <w:sz w:val="18"/>
                <w:szCs w:val="18"/>
              </w:rPr>
              <w:t>月被任命为百度集团首席技术官，</w:t>
            </w:r>
            <w:r>
              <w:rPr>
                <w:rFonts w:ascii="宋体" w:hAnsi="宋体" w:cs="宋体" w:eastAsia="宋体" w:hint="default"/>
                <w:sz w:val="18"/>
                <w:szCs w:val="18"/>
              </w:rPr>
              <w:t>9</w:t>
            </w:r>
            <w:r>
              <w:rPr>
                <w:rFonts w:ascii="宋体" w:hAnsi="宋体" w:cs="宋体" w:eastAsia="宋体" w:hint="default"/>
                <w:spacing w:val="-32"/>
                <w:sz w:val="18"/>
                <w:szCs w:val="18"/>
              </w:rPr>
              <w:t> </w:t>
            </w:r>
            <w:r>
              <w:rPr>
                <w:rFonts w:ascii="宋体" w:hAnsi="宋体" w:cs="宋体" w:eastAsia="宋体" w:hint="default"/>
                <w:sz w:val="18"/>
                <w:szCs w:val="18"/>
              </w:rPr>
              <w:t>月百度智能云事业群组（</w:t>
            </w:r>
            <w:r>
              <w:rPr>
                <w:rFonts w:ascii="宋体" w:hAnsi="宋体" w:cs="宋体" w:eastAsia="宋体" w:hint="default"/>
                <w:sz w:val="18"/>
                <w:szCs w:val="18"/>
              </w:rPr>
              <w:t>ACG</w:t>
            </w:r>
            <w:r>
              <w:rPr>
                <w:rFonts w:ascii="宋体" w:hAnsi="宋体" w:cs="宋体" w:eastAsia="宋体" w:hint="default"/>
                <w:sz w:val="18"/>
                <w:szCs w:val="18"/>
              </w:rPr>
              <w:t>）融入王海峰负责的</w:t>
            </w:r>
            <w:r>
              <w:rPr>
                <w:rFonts w:ascii="宋体" w:hAnsi="宋体" w:cs="宋体" w:eastAsia="宋体" w:hint="default"/>
                <w:spacing w:val="-33"/>
                <w:sz w:val="18"/>
                <w:szCs w:val="18"/>
              </w:rPr>
              <w:t> </w:t>
            </w:r>
            <w:r>
              <w:rPr>
                <w:rFonts w:ascii="宋体" w:hAnsi="宋体" w:cs="宋体" w:eastAsia="宋体" w:hint="default"/>
                <w:sz w:val="18"/>
                <w:szCs w:val="18"/>
              </w:rPr>
              <w:t>CTO</w:t>
            </w:r>
            <w:r>
              <w:rPr>
                <w:rFonts w:ascii="宋体" w:hAnsi="宋体" w:cs="宋体" w:eastAsia="宋体" w:hint="default"/>
                <w:spacing w:val="-32"/>
                <w:sz w:val="18"/>
                <w:szCs w:val="18"/>
              </w:rPr>
              <w:t> </w:t>
            </w:r>
            <w:r>
              <w:rPr>
                <w:rFonts w:ascii="宋体" w:hAnsi="宋体" w:cs="宋体" w:eastAsia="宋体" w:hint="default"/>
                <w:sz w:val="18"/>
                <w:szCs w:val="18"/>
              </w:rPr>
              <w:t>体系。</w:t>
            </w:r>
            <w:r>
              <w:rPr>
                <w:rFonts w:ascii="宋体" w:hAnsi="宋体" w:cs="宋体" w:eastAsia="宋体" w:hint="default"/>
                <w:sz w:val="18"/>
                <w:szCs w:val="18"/>
              </w:rPr>
              <w:t>2020</w:t>
            </w:r>
            <w:r>
              <w:rPr>
                <w:rFonts w:ascii="宋体" w:hAnsi="宋体" w:cs="宋体" w:eastAsia="宋体" w:hint="default"/>
                <w:spacing w:val="-32"/>
                <w:sz w:val="18"/>
                <w:szCs w:val="18"/>
              </w:rPr>
              <w:t> </w:t>
            </w:r>
            <w:r>
              <w:rPr>
                <w:rFonts w:ascii="宋体" w:hAnsi="宋体" w:cs="宋体" w:eastAsia="宋体" w:hint="default"/>
                <w:sz w:val="18"/>
                <w:szCs w:val="18"/>
              </w:rPr>
              <w:t>年伊始，王海峰将原</w:t>
            </w:r>
            <w:r>
              <w:rPr>
                <w:rFonts w:ascii="宋体" w:hAnsi="宋体" w:cs="宋体" w:eastAsia="宋体" w:hint="default"/>
                <w:spacing w:val="-33"/>
                <w:sz w:val="18"/>
                <w:szCs w:val="18"/>
              </w:rPr>
              <w:t> </w:t>
            </w:r>
            <w:r>
              <w:rPr>
                <w:rFonts w:ascii="宋体" w:hAnsi="宋体" w:cs="宋体" w:eastAsia="宋体" w:hint="default"/>
                <w:sz w:val="18"/>
                <w:szCs w:val="18"/>
              </w:rPr>
              <w:t>AIG</w:t>
            </w:r>
            <w:r>
              <w:rPr>
                <w:rFonts w:ascii="宋体" w:hAnsi="宋体" w:cs="宋体" w:eastAsia="宋体" w:hint="default"/>
                <w:sz w:val="18"/>
                <w:szCs w:val="18"/>
              </w:rPr>
              <w:t>（</w:t>
            </w:r>
            <w:r>
              <w:rPr>
                <w:rFonts w:ascii="宋体" w:hAnsi="宋体" w:cs="宋体" w:eastAsia="宋体" w:hint="default"/>
                <w:sz w:val="18"/>
                <w:szCs w:val="18"/>
              </w:rPr>
              <w:t>AI</w:t>
            </w:r>
            <w:r>
              <w:rPr>
                <w:rFonts w:ascii="宋体" w:hAnsi="宋体" w:cs="宋体" w:eastAsia="宋体" w:hint="default"/>
                <w:spacing w:val="-32"/>
                <w:sz w:val="18"/>
                <w:szCs w:val="18"/>
              </w:rPr>
              <w:t> </w:t>
            </w:r>
            <w:r>
              <w:rPr>
                <w:rFonts w:ascii="宋体" w:hAnsi="宋体" w:cs="宋体" w:eastAsia="宋体" w:hint="default"/>
                <w:sz w:val="18"/>
                <w:szCs w:val="18"/>
              </w:rPr>
              <w:t>技术平台体系）、</w:t>
            </w:r>
            <w:r>
              <w:rPr>
                <w:rFonts w:ascii="宋体" w:hAnsi="宋体" w:cs="宋体" w:eastAsia="宋体" w:hint="default"/>
                <w:sz w:val="18"/>
                <w:szCs w:val="18"/>
              </w:rPr>
              <w:t>TG</w:t>
            </w:r>
            <w:r>
              <w:rPr>
                <w:rFonts w:ascii="宋体" w:hAnsi="宋体" w:cs="宋体" w:eastAsia="宋体" w:hint="default"/>
                <w:sz w:val="18"/>
                <w:szCs w:val="18"/>
              </w:rPr>
              <w:t>（基 础技术体系）和</w:t>
            </w:r>
            <w:r>
              <w:rPr>
                <w:rFonts w:ascii="宋体" w:hAnsi="宋体" w:cs="宋体" w:eastAsia="宋体" w:hint="default"/>
                <w:spacing w:val="-48"/>
                <w:sz w:val="18"/>
                <w:szCs w:val="18"/>
              </w:rPr>
              <w:t> </w:t>
            </w:r>
            <w:r>
              <w:rPr>
                <w:rFonts w:ascii="宋体" w:hAnsi="宋体" w:cs="宋体" w:eastAsia="宋体" w:hint="default"/>
                <w:sz w:val="18"/>
                <w:szCs w:val="18"/>
              </w:rPr>
              <w:t>ACG</w:t>
            </w:r>
            <w:r>
              <w:rPr>
                <w:rFonts w:ascii="宋体" w:hAnsi="宋体" w:cs="宋体" w:eastAsia="宋体" w:hint="default"/>
                <w:sz w:val="18"/>
                <w:szCs w:val="18"/>
              </w:rPr>
              <w:t>（百度智能云事业群组）整体整合为人工智能体系（</w:t>
            </w:r>
            <w:r>
              <w:rPr>
                <w:rFonts w:ascii="宋体" w:hAnsi="宋体" w:cs="宋体" w:eastAsia="宋体" w:hint="default"/>
                <w:sz w:val="18"/>
                <w:szCs w:val="18"/>
              </w:rPr>
              <w:t>AI</w:t>
            </w:r>
            <w:r>
              <w:rPr>
                <w:rFonts w:ascii="宋体" w:hAnsi="宋体" w:cs="宋体" w:eastAsia="宋体" w:hint="default"/>
                <w:spacing w:val="-49"/>
                <w:sz w:val="18"/>
                <w:szCs w:val="18"/>
              </w:rPr>
              <w:t> </w:t>
            </w:r>
            <w:r>
              <w:rPr>
                <w:rFonts w:ascii="宋体" w:hAnsi="宋体" w:cs="宋体" w:eastAsia="宋体" w:hint="default"/>
                <w:sz w:val="18"/>
                <w:szCs w:val="18"/>
              </w:rPr>
              <w:t>Group</w:t>
            </w:r>
            <w:r>
              <w:rPr>
                <w:rFonts w:ascii="宋体" w:hAnsi="宋体" w:cs="宋体" w:eastAsia="宋体" w:hint="default"/>
                <w:sz w:val="18"/>
                <w:szCs w:val="18"/>
              </w:rPr>
              <w:t>，</w:t>
            </w:r>
            <w:r>
              <w:rPr>
                <w:rFonts w:ascii="宋体" w:hAnsi="宋体" w:cs="宋体" w:eastAsia="宋体" w:hint="default"/>
                <w:sz w:val="18"/>
                <w:szCs w:val="18"/>
              </w:rPr>
              <w:t>AIG</w:t>
            </w:r>
            <w:r>
              <w:rPr>
                <w:rFonts w:ascii="宋体" w:hAnsi="宋体" w:cs="宋体" w:eastAsia="宋体" w:hint="default"/>
                <w:sz w:val="18"/>
                <w:szCs w:val="18"/>
              </w:rPr>
              <w:t>）。新</w:t>
            </w:r>
            <w:r>
              <w:rPr>
                <w:rFonts w:ascii="宋体" w:hAnsi="宋体" w:cs="宋体" w:eastAsia="宋体" w:hint="default"/>
                <w:spacing w:val="-48"/>
                <w:sz w:val="18"/>
                <w:szCs w:val="18"/>
              </w:rPr>
              <w:t> </w:t>
            </w:r>
            <w:r>
              <w:rPr>
                <w:rFonts w:ascii="宋体" w:hAnsi="宋体" w:cs="宋体" w:eastAsia="宋体" w:hint="default"/>
                <w:sz w:val="18"/>
                <w:szCs w:val="18"/>
              </w:rPr>
              <w:t>AIG</w:t>
            </w:r>
            <w:r>
              <w:rPr>
                <w:rFonts w:ascii="宋体" w:hAnsi="宋体" w:cs="宋体" w:eastAsia="宋体" w:hint="default"/>
                <w:spacing w:val="-47"/>
                <w:sz w:val="18"/>
                <w:szCs w:val="18"/>
              </w:rPr>
              <w:t> </w:t>
            </w:r>
            <w:r>
              <w:rPr>
                <w:rFonts w:ascii="宋体" w:hAnsi="宋体" w:cs="宋体" w:eastAsia="宋体" w:hint="default"/>
                <w:sz w:val="18"/>
                <w:szCs w:val="18"/>
              </w:rPr>
              <w:t>包含技术中台群组（</w:t>
            </w:r>
            <w:r>
              <w:rPr>
                <w:rFonts w:ascii="宋体" w:hAnsi="宋体" w:cs="宋体" w:eastAsia="宋体" w:hint="default"/>
                <w:sz w:val="18"/>
                <w:szCs w:val="18"/>
              </w:rPr>
              <w:t>TPG</w:t>
            </w:r>
            <w:r>
              <w:rPr>
                <w:rFonts w:ascii="宋体" w:hAnsi="宋体" w:cs="宋体" w:eastAsia="宋体" w:hint="default"/>
                <w:sz w:val="18"/>
                <w:szCs w:val="18"/>
              </w:rPr>
              <w:t>）和智能云事业群组（</w:t>
            </w:r>
            <w:r>
              <w:rPr>
                <w:rFonts w:ascii="宋体" w:hAnsi="宋体" w:cs="宋体" w:eastAsia="宋体" w:hint="default"/>
                <w:sz w:val="18"/>
                <w:szCs w:val="18"/>
              </w:rPr>
              <w:t>ACG</w:t>
            </w:r>
            <w:r>
              <w:rPr>
                <w:rFonts w:ascii="宋体" w:hAnsi="宋体" w:cs="宋体" w:eastAsia="宋体" w:hint="default"/>
                <w:sz w:val="18"/>
                <w:szCs w:val="18"/>
              </w:rPr>
              <w:t>）两大群 组，继续由王海峰整体负责。王海峰先生是国际计算语言学会</w:t>
            </w:r>
            <w:r>
              <w:rPr>
                <w:rFonts w:ascii="宋体" w:hAnsi="宋体" w:cs="宋体" w:eastAsia="宋体" w:hint="default"/>
                <w:spacing w:val="-33"/>
                <w:sz w:val="18"/>
                <w:szCs w:val="18"/>
              </w:rPr>
              <w:t> </w:t>
            </w:r>
            <w:r>
              <w:rPr>
                <w:rFonts w:ascii="宋体" w:hAnsi="宋体" w:cs="宋体" w:eastAsia="宋体" w:hint="default"/>
                <w:sz w:val="18"/>
                <w:szCs w:val="18"/>
              </w:rPr>
              <w:t>ACL</w:t>
            </w:r>
            <w:r>
              <w:rPr>
                <w:rFonts w:ascii="宋体" w:hAnsi="宋体" w:cs="宋体" w:eastAsia="宋体" w:hint="default"/>
                <w:spacing w:val="-32"/>
                <w:sz w:val="18"/>
                <w:szCs w:val="18"/>
              </w:rPr>
              <w:t> </w:t>
            </w:r>
            <w:r>
              <w:rPr>
                <w:rFonts w:ascii="宋体" w:hAnsi="宋体" w:cs="宋体" w:eastAsia="宋体" w:hint="default"/>
                <w:sz w:val="18"/>
                <w:szCs w:val="18"/>
              </w:rPr>
              <w:t>首位华人主席，</w:t>
            </w:r>
            <w:r>
              <w:rPr>
                <w:rFonts w:ascii="宋体" w:hAnsi="宋体" w:cs="宋体" w:eastAsia="宋体" w:hint="default"/>
                <w:sz w:val="18"/>
                <w:szCs w:val="18"/>
              </w:rPr>
              <w:t>ACL</w:t>
            </w:r>
            <w:r>
              <w:rPr>
                <w:rFonts w:ascii="宋体" w:hAnsi="宋体" w:cs="宋体" w:eastAsia="宋体" w:hint="default"/>
                <w:spacing w:val="-3"/>
                <w:sz w:val="18"/>
                <w:szCs w:val="18"/>
              </w:rPr>
              <w:t> </w:t>
            </w:r>
            <w:r>
              <w:rPr>
                <w:rFonts w:ascii="宋体" w:hAnsi="宋体" w:cs="宋体" w:eastAsia="宋体" w:hint="default"/>
                <w:sz w:val="18"/>
                <w:szCs w:val="18"/>
              </w:rPr>
              <w:t>Fellow</w:t>
            </w:r>
            <w:r>
              <w:rPr>
                <w:rFonts w:ascii="宋体" w:hAnsi="宋体" w:cs="宋体" w:eastAsia="宋体" w:hint="default"/>
                <w:sz w:val="18"/>
                <w:szCs w:val="18"/>
              </w:rPr>
              <w:t>，</w:t>
            </w:r>
            <w:r>
              <w:rPr>
                <w:rFonts w:ascii="宋体" w:hAnsi="宋体" w:cs="宋体" w:eastAsia="宋体" w:hint="default"/>
                <w:sz w:val="18"/>
                <w:szCs w:val="18"/>
              </w:rPr>
              <w:t>ACL</w:t>
            </w:r>
            <w:r>
              <w:rPr>
                <w:rFonts w:ascii="宋体" w:hAnsi="宋体" w:cs="宋体" w:eastAsia="宋体" w:hint="default"/>
                <w:spacing w:val="-33"/>
                <w:sz w:val="18"/>
                <w:szCs w:val="18"/>
              </w:rPr>
              <w:t> </w:t>
            </w:r>
            <w:r>
              <w:rPr>
                <w:rFonts w:ascii="宋体" w:hAnsi="宋体" w:cs="宋体" w:eastAsia="宋体" w:hint="default"/>
                <w:sz w:val="18"/>
                <w:szCs w:val="18"/>
              </w:rPr>
              <w:t>亚太分会创始主席。任深度学习技术及应用国家工程实验 室理事长兼主任，同时兼任中国电子学会副理事长、中国中文信息学会副理事长等，是首个吴文俊人工智能杰出贡献奖获得者。首届全国创新争先奖唯一来自 互联网行业的获奖人，国家科技进步二等奖第一获奖人。享受国务院政府特殊津贴。王先生自</w:t>
            </w:r>
            <w:r>
              <w:rPr>
                <w:rFonts w:ascii="宋体" w:hAnsi="宋体" w:cs="宋体" w:eastAsia="宋体" w:hint="default"/>
                <w:spacing w:val="-46"/>
                <w:sz w:val="18"/>
                <w:szCs w:val="18"/>
              </w:rPr>
              <w:t> </w:t>
            </w:r>
            <w:r>
              <w:rPr>
                <w:rFonts w:ascii="宋体" w:hAnsi="宋体" w:cs="宋体" w:eastAsia="宋体" w:hint="default"/>
                <w:sz w:val="18"/>
                <w:szCs w:val="18"/>
              </w:rPr>
              <w:t>2019</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月起任本公司董事。</w:t>
            </w:r>
          </w:p>
        </w:tc>
      </w:tr>
      <w:tr>
        <w:trPr>
          <w:trHeight w:val="1885"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廖建文</w:t>
            </w:r>
          </w:p>
        </w:tc>
        <w:tc>
          <w:tcPr>
            <w:tcW w:w="1263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92"/>
              <w:ind w:left="103" w:right="97"/>
              <w:jc w:val="both"/>
              <w:rPr>
                <w:rFonts w:ascii="宋体" w:hAnsi="宋体" w:cs="宋体" w:eastAsia="宋体" w:hint="default"/>
                <w:sz w:val="18"/>
                <w:szCs w:val="18"/>
              </w:rPr>
            </w:pPr>
            <w:r>
              <w:rPr>
                <w:rFonts w:ascii="宋体" w:hAnsi="宋体" w:cs="宋体" w:eastAsia="宋体" w:hint="default"/>
                <w:sz w:val="18"/>
                <w:szCs w:val="18"/>
              </w:rPr>
              <w:t>现为京东集团首席战略官，原长江商学院副院长、战略创新与创业管理实践教授</w:t>
            </w:r>
            <w:r>
              <w:rPr>
                <w:rFonts w:ascii="宋体" w:hAnsi="宋体" w:cs="宋体" w:eastAsia="宋体" w:hint="default"/>
                <w:sz w:val="18"/>
                <w:szCs w:val="18"/>
              </w:rPr>
              <w:t>,</w:t>
            </w:r>
            <w:r>
              <w:rPr>
                <w:rFonts w:ascii="宋体" w:hAnsi="宋体" w:cs="宋体" w:eastAsia="宋体" w:hint="default"/>
                <w:sz w:val="18"/>
                <w:szCs w:val="18"/>
              </w:rPr>
              <w:t>长江创新研究中心学术主任。廖先生有着横跨北美和亚洲地区的工作履历。</w:t>
            </w:r>
            <w:r>
              <w:rPr>
                <w:rFonts w:ascii="宋体" w:hAnsi="宋体" w:cs="宋体" w:eastAsia="宋体" w:hint="default"/>
                <w:spacing w:val="-11"/>
                <w:sz w:val="18"/>
                <w:szCs w:val="18"/>
              </w:rPr>
              <w:t> </w:t>
            </w:r>
            <w:r>
              <w:rPr>
                <w:rFonts w:ascii="宋体" w:hAnsi="宋体" w:cs="宋体" w:eastAsia="宋体" w:hint="default"/>
                <w:spacing w:val="-11"/>
                <w:sz w:val="18"/>
                <w:szCs w:val="18"/>
              </w:rPr>
            </w:r>
            <w:r>
              <w:rPr>
                <w:rFonts w:ascii="宋体" w:hAnsi="宋体" w:cs="宋体" w:eastAsia="宋体" w:hint="default"/>
                <w:sz w:val="18"/>
                <w:szCs w:val="18"/>
              </w:rPr>
              <w:t>他曾是美国伊利诺伊理工大学斯图沃特商学院的副教授，享有终身教职。此外，他也曾任教于香港科技大学、中欧商学院、以及北京大学。廖先生主要从事战</w:t>
            </w:r>
            <w:r>
              <w:rPr>
                <w:rFonts w:ascii="宋体" w:hAnsi="宋体" w:cs="宋体" w:eastAsia="宋体" w:hint="default"/>
                <w:sz w:val="18"/>
                <w:szCs w:val="18"/>
              </w:rPr>
              <w:t> 略、创新和创业领域的跨学科研究、教学、咨询和实践，尤其关注于未来科技和战略及新商业范式的交融。他的研究和教学成果为其赢得了众多奖励和荣誉， 其中包括美国中小企业管理局授予的研究经费奖励以及伊利诺伊理工大学斯图沃特商学院杰出教学奖。此外，廖先生还担任赫基（中国）服饰有限公司独立董 事，彩生活服务集团有限公司独立非执行董事，花样年控股集团有限公司独立非执行董事，永辉超市股份有限公司董事。廖先生于</w:t>
            </w:r>
            <w:r>
              <w:rPr>
                <w:rFonts w:ascii="宋体" w:hAnsi="宋体" w:cs="宋体" w:eastAsia="宋体" w:hint="default"/>
                <w:spacing w:val="-24"/>
                <w:sz w:val="18"/>
                <w:szCs w:val="18"/>
              </w:rPr>
              <w:t> </w:t>
            </w:r>
            <w:r>
              <w:rPr>
                <w:rFonts w:ascii="宋体" w:hAnsi="宋体" w:cs="宋体" w:eastAsia="宋体" w:hint="default"/>
                <w:sz w:val="18"/>
                <w:szCs w:val="18"/>
              </w:rPr>
              <w:t>1988</w:t>
            </w:r>
            <w:r>
              <w:rPr>
                <w:rFonts w:ascii="宋体" w:hAnsi="宋体" w:cs="宋体" w:eastAsia="宋体" w:hint="default"/>
                <w:spacing w:val="-24"/>
                <w:sz w:val="18"/>
                <w:szCs w:val="18"/>
              </w:rPr>
              <w:t> </w:t>
            </w:r>
            <w:r>
              <w:rPr>
                <w:rFonts w:ascii="宋体" w:hAnsi="宋体" w:cs="宋体" w:eastAsia="宋体" w:hint="default"/>
                <w:sz w:val="18"/>
                <w:szCs w:val="18"/>
              </w:rPr>
              <w:t>年</w:t>
            </w:r>
            <w:r>
              <w:rPr>
                <w:rFonts w:ascii="宋体" w:hAnsi="宋体" w:cs="宋体" w:eastAsia="宋体" w:hint="default"/>
                <w:spacing w:val="-28"/>
                <w:sz w:val="18"/>
                <w:szCs w:val="18"/>
              </w:rPr>
              <w:t> </w:t>
            </w:r>
            <w:r>
              <w:rPr>
                <w:rFonts w:ascii="宋体" w:hAnsi="宋体" w:cs="宋体" w:eastAsia="宋体" w:hint="default"/>
                <w:sz w:val="18"/>
                <w:szCs w:val="18"/>
              </w:rPr>
              <w:t>7</w:t>
            </w:r>
            <w:r>
              <w:rPr>
                <w:rFonts w:ascii="宋体" w:hAnsi="宋体" w:cs="宋体" w:eastAsia="宋体" w:hint="default"/>
                <w:spacing w:val="-24"/>
                <w:sz w:val="18"/>
                <w:szCs w:val="18"/>
              </w:rPr>
              <w:t> </w:t>
            </w:r>
            <w:r>
              <w:rPr>
                <w:rFonts w:ascii="宋体" w:hAnsi="宋体" w:cs="宋体" w:eastAsia="宋体" w:hint="default"/>
                <w:sz w:val="18"/>
                <w:szCs w:val="18"/>
              </w:rPr>
              <w:t>月获得东北大学</w:t>
            </w:r>
          </w:p>
          <w:p>
            <w:pPr>
              <w:pStyle w:val="TableParagraph"/>
              <w:spacing w:line="232" w:lineRule="exact" w:before="22"/>
              <w:ind w:left="103" w:right="96"/>
              <w:jc w:val="both"/>
              <w:rPr>
                <w:rFonts w:ascii="宋体" w:hAnsi="宋体" w:cs="宋体" w:eastAsia="宋体" w:hint="default"/>
                <w:sz w:val="18"/>
                <w:szCs w:val="18"/>
              </w:rPr>
            </w:pPr>
            <w:r>
              <w:rPr>
                <w:rFonts w:ascii="宋体" w:hAnsi="宋体" w:cs="宋体" w:eastAsia="宋体" w:hint="default"/>
                <w:sz w:val="18"/>
                <w:szCs w:val="18"/>
              </w:rPr>
              <w:t>工学学士学位，于</w:t>
            </w:r>
            <w:r>
              <w:rPr>
                <w:rFonts w:ascii="宋体" w:hAnsi="宋体" w:cs="宋体" w:eastAsia="宋体" w:hint="default"/>
                <w:spacing w:val="-39"/>
                <w:sz w:val="18"/>
                <w:szCs w:val="18"/>
              </w:rPr>
              <w:t> </w:t>
            </w:r>
            <w:r>
              <w:rPr>
                <w:rFonts w:ascii="宋体" w:hAnsi="宋体" w:cs="宋体" w:eastAsia="宋体" w:hint="default"/>
                <w:sz w:val="18"/>
                <w:szCs w:val="18"/>
              </w:rPr>
              <w:t>1991</w:t>
            </w:r>
            <w:r>
              <w:rPr>
                <w:rFonts w:ascii="宋体" w:hAnsi="宋体" w:cs="宋体" w:eastAsia="宋体" w:hint="default"/>
                <w:spacing w:val="-40"/>
                <w:sz w:val="18"/>
                <w:szCs w:val="18"/>
              </w:rPr>
              <w:t> </w:t>
            </w:r>
            <w:r>
              <w:rPr>
                <w:rFonts w:ascii="宋体" w:hAnsi="宋体" w:cs="宋体" w:eastAsia="宋体" w:hint="default"/>
                <w:sz w:val="18"/>
                <w:szCs w:val="18"/>
              </w:rPr>
              <w:t>年</w:t>
            </w:r>
            <w:r>
              <w:rPr>
                <w:rFonts w:ascii="宋体" w:hAnsi="宋体" w:cs="宋体" w:eastAsia="宋体" w:hint="default"/>
                <w:spacing w:val="-38"/>
                <w:sz w:val="18"/>
                <w:szCs w:val="18"/>
              </w:rPr>
              <w:t> </w:t>
            </w:r>
            <w:r>
              <w:rPr>
                <w:rFonts w:ascii="宋体" w:hAnsi="宋体" w:cs="宋体" w:eastAsia="宋体" w:hint="default"/>
                <w:sz w:val="18"/>
                <w:szCs w:val="18"/>
              </w:rPr>
              <w:t>2</w:t>
            </w:r>
            <w:r>
              <w:rPr>
                <w:rFonts w:ascii="宋体" w:hAnsi="宋体" w:cs="宋体" w:eastAsia="宋体" w:hint="default"/>
                <w:spacing w:val="-40"/>
                <w:sz w:val="18"/>
                <w:szCs w:val="18"/>
              </w:rPr>
              <w:t> </w:t>
            </w:r>
            <w:r>
              <w:rPr>
                <w:rFonts w:ascii="宋体" w:hAnsi="宋体" w:cs="宋体" w:eastAsia="宋体" w:hint="default"/>
                <w:sz w:val="18"/>
                <w:szCs w:val="18"/>
              </w:rPr>
              <w:t>月年获得中国人民大学经济学硕士学位，于</w:t>
            </w:r>
            <w:r>
              <w:rPr>
                <w:rFonts w:ascii="宋体" w:hAnsi="宋体" w:cs="宋体" w:eastAsia="宋体" w:hint="default"/>
                <w:spacing w:val="-38"/>
                <w:sz w:val="18"/>
                <w:szCs w:val="18"/>
              </w:rPr>
              <w:t> </w:t>
            </w:r>
            <w:r>
              <w:rPr>
                <w:rFonts w:ascii="宋体" w:hAnsi="宋体" w:cs="宋体" w:eastAsia="宋体" w:hint="default"/>
                <w:sz w:val="18"/>
                <w:szCs w:val="18"/>
              </w:rPr>
              <w:t>1996</w:t>
            </w:r>
            <w:r>
              <w:rPr>
                <w:rFonts w:ascii="宋体" w:hAnsi="宋体" w:cs="宋体" w:eastAsia="宋体" w:hint="default"/>
                <w:spacing w:val="-40"/>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宋体" w:hAnsi="宋体" w:cs="宋体" w:eastAsia="宋体" w:hint="default"/>
                <w:sz w:val="18"/>
                <w:szCs w:val="18"/>
              </w:rPr>
              <w:t>8</w:t>
            </w:r>
            <w:r>
              <w:rPr>
                <w:rFonts w:ascii="宋体" w:hAnsi="宋体" w:cs="宋体" w:eastAsia="宋体" w:hint="default"/>
                <w:spacing w:val="-37"/>
                <w:sz w:val="18"/>
                <w:szCs w:val="18"/>
              </w:rPr>
              <w:t> </w:t>
            </w:r>
            <w:r>
              <w:rPr>
                <w:rFonts w:ascii="宋体" w:hAnsi="宋体" w:cs="宋体" w:eastAsia="宋体" w:hint="default"/>
                <w:sz w:val="18"/>
                <w:szCs w:val="18"/>
              </w:rPr>
              <w:t>月获得美国南伊利诺伊大学工商管理学博士学位。廖先生自</w:t>
            </w:r>
            <w:r>
              <w:rPr>
                <w:rFonts w:ascii="宋体" w:hAnsi="宋体" w:cs="宋体" w:eastAsia="宋体" w:hint="default"/>
                <w:spacing w:val="-39"/>
                <w:sz w:val="18"/>
                <w:szCs w:val="18"/>
              </w:rPr>
              <w:t> </w:t>
            </w:r>
            <w:r>
              <w:rPr>
                <w:rFonts w:ascii="宋体" w:hAnsi="宋体" w:cs="宋体" w:eastAsia="宋体" w:hint="default"/>
                <w:sz w:val="18"/>
                <w:szCs w:val="18"/>
              </w:rPr>
              <w:t>2018</w:t>
            </w:r>
            <w:r>
              <w:rPr>
                <w:rFonts w:ascii="宋体" w:hAnsi="宋体" w:cs="宋体" w:eastAsia="宋体" w:hint="default"/>
                <w:spacing w:val="-40"/>
                <w:sz w:val="18"/>
                <w:szCs w:val="18"/>
              </w:rPr>
              <w:t> </w:t>
            </w:r>
            <w:r>
              <w:rPr>
                <w:rFonts w:ascii="宋体" w:hAnsi="宋体" w:cs="宋体" w:eastAsia="宋体" w:hint="default"/>
                <w:sz w:val="18"/>
                <w:szCs w:val="18"/>
              </w:rPr>
              <w:t>年</w:t>
            </w:r>
            <w:r>
              <w:rPr>
                <w:rFonts w:ascii="宋体" w:hAnsi="宋体" w:cs="宋体" w:eastAsia="宋体" w:hint="default"/>
                <w:spacing w:val="-38"/>
                <w:sz w:val="18"/>
                <w:szCs w:val="18"/>
              </w:rPr>
              <w:t> </w:t>
            </w:r>
            <w:r>
              <w:rPr>
                <w:rFonts w:ascii="宋体" w:hAnsi="宋体" w:cs="宋体" w:eastAsia="宋体" w:hint="default"/>
                <w:sz w:val="18"/>
                <w:szCs w:val="18"/>
              </w:rPr>
              <w:t>2</w:t>
            </w:r>
            <w:r>
              <w:rPr>
                <w:rFonts w:ascii="宋体" w:hAnsi="宋体" w:cs="宋体" w:eastAsia="宋体" w:hint="default"/>
                <w:spacing w:val="-37"/>
                <w:sz w:val="18"/>
                <w:szCs w:val="18"/>
              </w:rPr>
              <w:t> </w:t>
            </w:r>
            <w:r>
              <w:rPr>
                <w:rFonts w:ascii="宋体" w:hAnsi="宋体" w:cs="宋体" w:eastAsia="宋体" w:hint="default"/>
                <w:sz w:val="18"/>
                <w:szCs w:val="18"/>
              </w:rPr>
              <w:t>月起 任本公司董事。</w:t>
            </w:r>
          </w:p>
        </w:tc>
      </w:tr>
    </w:tbl>
    <w:p>
      <w:pPr>
        <w:spacing w:after="0" w:line="232" w:lineRule="exact"/>
        <w:jc w:val="both"/>
        <w:rPr>
          <w:rFonts w:ascii="宋体" w:hAnsi="宋体" w:cs="宋体" w:eastAsia="宋体" w:hint="default"/>
          <w:sz w:val="18"/>
          <w:szCs w:val="18"/>
        </w:rPr>
        <w:sectPr>
          <w:footerReference w:type="default" r:id="rId63"/>
          <w:pgSz w:w="16840" w:h="11910" w:orient="landscape"/>
          <w:pgMar w:footer="502" w:header="854" w:top="1340" w:bottom="700" w:left="1300" w:right="1300"/>
        </w:sectPr>
      </w:pPr>
    </w:p>
    <w:tbl>
      <w:tblPr>
        <w:tblW w:w="0" w:type="auto"/>
        <w:jc w:val="left"/>
        <w:tblInd w:w="111" w:type="dxa"/>
        <w:tblLayout w:type="fixed"/>
        <w:tblCellMar>
          <w:top w:w="0" w:type="dxa"/>
          <w:left w:w="0" w:type="dxa"/>
          <w:bottom w:w="0" w:type="dxa"/>
          <w:right w:w="0" w:type="dxa"/>
        </w:tblCellMar>
        <w:tblLook w:val="01E0"/>
      </w:tblPr>
      <w:tblGrid>
        <w:gridCol w:w="1368"/>
        <w:gridCol w:w="12633"/>
      </w:tblGrid>
      <w:tr>
        <w:trPr>
          <w:trHeight w:val="1658" w:hRule="exact"/>
        </w:trPr>
        <w:tc>
          <w:tcPr>
            <w:tcW w:w="136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张建锋</w:t>
            </w:r>
          </w:p>
        </w:tc>
        <w:tc>
          <w:tcPr>
            <w:tcW w:w="12633" w:type="dxa"/>
            <w:tcBorders>
              <w:top w:val="single" w:sz="10" w:space="0" w:color="000000"/>
              <w:left w:val="single" w:sz="4" w:space="0" w:color="000000"/>
              <w:bottom w:val="single" w:sz="4" w:space="0" w:color="000000"/>
              <w:right w:val="single" w:sz="4" w:space="0" w:color="000000"/>
            </w:tcBorders>
          </w:tcPr>
          <w:p>
            <w:pPr>
              <w:pStyle w:val="TableParagraph"/>
              <w:spacing w:line="234" w:lineRule="exact" w:before="92"/>
              <w:ind w:left="103" w:right="0"/>
              <w:jc w:val="left"/>
              <w:rPr>
                <w:rFonts w:ascii="宋体" w:hAnsi="宋体" w:cs="宋体" w:eastAsia="宋体" w:hint="default"/>
                <w:sz w:val="18"/>
                <w:szCs w:val="18"/>
              </w:rPr>
            </w:pPr>
            <w:r>
              <w:rPr>
                <w:rFonts w:ascii="宋体" w:hAnsi="宋体" w:cs="宋体" w:eastAsia="宋体" w:hint="default"/>
                <w:sz w:val="18"/>
                <w:szCs w:val="18"/>
              </w:rPr>
              <w:t>于</w:t>
            </w:r>
            <w:r>
              <w:rPr>
                <w:rFonts w:ascii="宋体" w:hAnsi="宋体" w:cs="宋体" w:eastAsia="宋体" w:hint="default"/>
                <w:spacing w:val="-43"/>
                <w:sz w:val="18"/>
                <w:szCs w:val="18"/>
              </w:rPr>
              <w:t> </w:t>
            </w:r>
            <w:r>
              <w:rPr>
                <w:rFonts w:ascii="宋体" w:hAnsi="宋体" w:cs="宋体" w:eastAsia="宋体" w:hint="default"/>
                <w:sz w:val="18"/>
                <w:szCs w:val="18"/>
              </w:rPr>
              <w:t>2004</w:t>
            </w:r>
            <w:r>
              <w:rPr>
                <w:rFonts w:ascii="宋体" w:hAnsi="宋体" w:cs="宋体" w:eastAsia="宋体" w:hint="default"/>
                <w:spacing w:val="-4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宋体" w:hAnsi="宋体" w:cs="宋体" w:eastAsia="宋体" w:hint="default"/>
                <w:sz w:val="18"/>
                <w:szCs w:val="18"/>
              </w:rPr>
              <w:t>7</w:t>
            </w:r>
            <w:r>
              <w:rPr>
                <w:rFonts w:ascii="宋体" w:hAnsi="宋体" w:cs="宋体" w:eastAsia="宋体" w:hint="default"/>
                <w:spacing w:val="-42"/>
                <w:sz w:val="18"/>
                <w:szCs w:val="18"/>
              </w:rPr>
              <w:t> </w:t>
            </w:r>
            <w:r>
              <w:rPr>
                <w:rFonts w:ascii="宋体" w:hAnsi="宋体" w:cs="宋体" w:eastAsia="宋体" w:hint="default"/>
                <w:sz w:val="18"/>
                <w:szCs w:val="18"/>
              </w:rPr>
              <w:t>月加入阿里巴巴集团，现任阿里巴巴技术委员会主席、达摩院院长、阿里云智能事业群总裁。</w:t>
            </w:r>
            <w:r>
              <w:rPr>
                <w:rFonts w:ascii="宋体" w:hAnsi="宋体" w:cs="宋体" w:eastAsia="宋体" w:hint="default"/>
                <w:sz w:val="18"/>
                <w:szCs w:val="18"/>
              </w:rPr>
              <w:t>2016</w:t>
            </w:r>
            <w:r>
              <w:rPr>
                <w:rFonts w:ascii="宋体" w:hAnsi="宋体" w:cs="宋体" w:eastAsia="宋体" w:hint="default"/>
                <w:spacing w:val="-41"/>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宋体" w:hAnsi="宋体" w:cs="宋体" w:eastAsia="宋体" w:hint="default"/>
                <w:sz w:val="18"/>
                <w:szCs w:val="18"/>
              </w:rPr>
              <w:t>4</w:t>
            </w:r>
            <w:r>
              <w:rPr>
                <w:rFonts w:ascii="宋体" w:hAnsi="宋体" w:cs="宋体" w:eastAsia="宋体" w:hint="default"/>
                <w:spacing w:val="-42"/>
                <w:sz w:val="18"/>
                <w:szCs w:val="18"/>
              </w:rPr>
              <w:t> </w:t>
            </w:r>
            <w:r>
              <w:rPr>
                <w:rFonts w:ascii="宋体" w:hAnsi="宋体" w:cs="宋体" w:eastAsia="宋体" w:hint="default"/>
                <w:sz w:val="18"/>
                <w:szCs w:val="18"/>
              </w:rPr>
              <w:t>月至</w:t>
            </w:r>
            <w:r>
              <w:rPr>
                <w:rFonts w:ascii="宋体" w:hAnsi="宋体" w:cs="宋体" w:eastAsia="宋体" w:hint="default"/>
                <w:spacing w:val="-43"/>
                <w:sz w:val="18"/>
                <w:szCs w:val="18"/>
              </w:rPr>
              <w:t> </w:t>
            </w:r>
            <w:r>
              <w:rPr>
                <w:rFonts w:ascii="宋体" w:hAnsi="宋体" w:cs="宋体" w:eastAsia="宋体" w:hint="default"/>
                <w:sz w:val="18"/>
                <w:szCs w:val="18"/>
              </w:rPr>
              <w:t>2019</w:t>
            </w:r>
            <w:r>
              <w:rPr>
                <w:rFonts w:ascii="宋体" w:hAnsi="宋体" w:cs="宋体" w:eastAsia="宋体" w:hint="default"/>
                <w:spacing w:val="-4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宋体" w:hAnsi="宋体" w:cs="宋体" w:eastAsia="宋体" w:hint="default"/>
                <w:sz w:val="18"/>
                <w:szCs w:val="18"/>
              </w:rPr>
              <w:t>12</w:t>
            </w:r>
            <w:r>
              <w:rPr>
                <w:rFonts w:ascii="宋体" w:hAnsi="宋体" w:cs="宋体" w:eastAsia="宋体" w:hint="default"/>
                <w:spacing w:val="-42"/>
                <w:sz w:val="18"/>
                <w:szCs w:val="18"/>
              </w:rPr>
              <w:t> </w:t>
            </w:r>
            <w:r>
              <w:rPr>
                <w:rFonts w:ascii="宋体" w:hAnsi="宋体" w:cs="宋体" w:eastAsia="宋体" w:hint="default"/>
                <w:sz w:val="18"/>
                <w:szCs w:val="18"/>
              </w:rPr>
              <w:t>月，张建锋担任阿里巴巴</w:t>
            </w:r>
          </w:p>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集团首席技术官。</w:t>
            </w:r>
            <w:r>
              <w:rPr>
                <w:rFonts w:ascii="宋体" w:hAnsi="宋体" w:cs="宋体" w:eastAsia="宋体" w:hint="default"/>
                <w:sz w:val="18"/>
                <w:szCs w:val="18"/>
              </w:rPr>
              <w:t>2015</w:t>
            </w:r>
            <w:r>
              <w:rPr>
                <w:rFonts w:ascii="宋体" w:hAnsi="宋体" w:cs="宋体" w:eastAsia="宋体" w:hint="default"/>
                <w:spacing w:val="-37"/>
                <w:sz w:val="18"/>
                <w:szCs w:val="18"/>
              </w:rPr>
              <w:t> </w:t>
            </w:r>
            <w:r>
              <w:rPr>
                <w:rFonts w:ascii="宋体" w:hAnsi="宋体" w:cs="宋体" w:eastAsia="宋体" w:hint="default"/>
                <w:sz w:val="18"/>
                <w:szCs w:val="18"/>
              </w:rPr>
              <w:t>年</w:t>
            </w:r>
            <w:r>
              <w:rPr>
                <w:rFonts w:ascii="宋体" w:hAnsi="宋体" w:cs="宋体" w:eastAsia="宋体" w:hint="default"/>
                <w:spacing w:val="-38"/>
                <w:sz w:val="18"/>
                <w:szCs w:val="18"/>
              </w:rPr>
              <w:t> </w:t>
            </w:r>
            <w:r>
              <w:rPr>
                <w:rFonts w:ascii="宋体" w:hAnsi="宋体" w:cs="宋体" w:eastAsia="宋体" w:hint="default"/>
                <w:sz w:val="18"/>
                <w:szCs w:val="18"/>
              </w:rPr>
              <w:t>3</w:t>
            </w:r>
            <w:r>
              <w:rPr>
                <w:rFonts w:ascii="宋体" w:hAnsi="宋体" w:cs="宋体" w:eastAsia="宋体" w:hint="default"/>
                <w:spacing w:val="-37"/>
                <w:sz w:val="18"/>
                <w:szCs w:val="18"/>
              </w:rPr>
              <w:t> </w:t>
            </w:r>
            <w:r>
              <w:rPr>
                <w:rFonts w:ascii="宋体" w:hAnsi="宋体" w:cs="宋体" w:eastAsia="宋体" w:hint="default"/>
                <w:sz w:val="18"/>
                <w:szCs w:val="18"/>
              </w:rPr>
              <w:t>月至</w:t>
            </w:r>
            <w:r>
              <w:rPr>
                <w:rFonts w:ascii="宋体" w:hAnsi="宋体" w:cs="宋体" w:eastAsia="宋体" w:hint="default"/>
                <w:spacing w:val="-39"/>
                <w:sz w:val="18"/>
                <w:szCs w:val="18"/>
              </w:rPr>
              <w:t> </w:t>
            </w:r>
            <w:r>
              <w:rPr>
                <w:rFonts w:ascii="宋体" w:hAnsi="宋体" w:cs="宋体" w:eastAsia="宋体" w:hint="default"/>
                <w:sz w:val="18"/>
                <w:szCs w:val="18"/>
              </w:rPr>
              <w:t>2015</w:t>
            </w:r>
            <w:r>
              <w:rPr>
                <w:rFonts w:ascii="宋体" w:hAnsi="宋体" w:cs="宋体" w:eastAsia="宋体" w:hint="default"/>
                <w:spacing w:val="-37"/>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宋体" w:hAnsi="宋体" w:cs="宋体" w:eastAsia="宋体" w:hint="default"/>
                <w:sz w:val="18"/>
                <w:szCs w:val="18"/>
              </w:rPr>
              <w:t>12</w:t>
            </w:r>
            <w:r>
              <w:rPr>
                <w:rFonts w:ascii="宋体" w:hAnsi="宋体" w:cs="宋体" w:eastAsia="宋体" w:hint="default"/>
                <w:spacing w:val="-37"/>
                <w:sz w:val="18"/>
                <w:szCs w:val="18"/>
              </w:rPr>
              <w:t> </w:t>
            </w:r>
            <w:r>
              <w:rPr>
                <w:rFonts w:ascii="宋体" w:hAnsi="宋体" w:cs="宋体" w:eastAsia="宋体" w:hint="default"/>
                <w:sz w:val="18"/>
                <w:szCs w:val="18"/>
              </w:rPr>
              <w:t>月，张建锋担任阿里巴巴中国零售事业群总裁，负责淘宝网、天猫和聚划算三个事业部。</w:t>
            </w:r>
            <w:r>
              <w:rPr>
                <w:rFonts w:ascii="宋体" w:hAnsi="宋体" w:cs="宋体" w:eastAsia="宋体" w:hint="default"/>
                <w:sz w:val="18"/>
                <w:szCs w:val="18"/>
              </w:rPr>
              <w:t>2014</w:t>
            </w:r>
            <w:r>
              <w:rPr>
                <w:rFonts w:ascii="宋体" w:hAnsi="宋体" w:cs="宋体" w:eastAsia="宋体" w:hint="default"/>
                <w:spacing w:val="-37"/>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宋体" w:hAnsi="宋体" w:cs="宋体" w:eastAsia="宋体" w:hint="default"/>
                <w:sz w:val="18"/>
                <w:szCs w:val="18"/>
              </w:rPr>
              <w:t>3</w:t>
            </w:r>
            <w:r>
              <w:rPr>
                <w:rFonts w:ascii="宋体" w:hAnsi="宋体" w:cs="宋体" w:eastAsia="宋体" w:hint="default"/>
                <w:spacing w:val="-37"/>
                <w:sz w:val="18"/>
                <w:szCs w:val="18"/>
              </w:rPr>
              <w:t> </w:t>
            </w:r>
            <w:r>
              <w:rPr>
                <w:rFonts w:ascii="宋体" w:hAnsi="宋体" w:cs="宋体" w:eastAsia="宋体" w:hint="default"/>
                <w:sz w:val="18"/>
                <w:szCs w:val="18"/>
              </w:rPr>
              <w:t>月，担任淘宝</w:t>
            </w:r>
          </w:p>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网和无线事业部总裁；</w:t>
            </w:r>
            <w:r>
              <w:rPr>
                <w:rFonts w:ascii="宋体" w:hAnsi="宋体" w:cs="宋体" w:eastAsia="宋体" w:hint="default"/>
                <w:sz w:val="18"/>
                <w:szCs w:val="18"/>
              </w:rPr>
              <w:t>2013</w:t>
            </w:r>
            <w:r>
              <w:rPr>
                <w:rFonts w:ascii="宋体" w:hAnsi="宋体" w:cs="宋体" w:eastAsia="宋体" w:hint="default"/>
                <w:spacing w:val="-4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3"/>
                <w:sz w:val="18"/>
                <w:szCs w:val="18"/>
              </w:rPr>
              <w:t> </w:t>
            </w:r>
            <w:r>
              <w:rPr>
                <w:rFonts w:ascii="宋体" w:hAnsi="宋体" w:cs="宋体" w:eastAsia="宋体" w:hint="default"/>
                <w:sz w:val="18"/>
                <w:szCs w:val="18"/>
              </w:rPr>
              <w:t>月至</w:t>
            </w:r>
            <w:r>
              <w:rPr>
                <w:rFonts w:ascii="宋体" w:hAnsi="宋体" w:cs="宋体" w:eastAsia="宋体" w:hint="default"/>
                <w:spacing w:val="-44"/>
                <w:sz w:val="18"/>
                <w:szCs w:val="18"/>
              </w:rPr>
              <w:t> </w:t>
            </w:r>
            <w:r>
              <w:rPr>
                <w:rFonts w:ascii="宋体" w:hAnsi="宋体" w:cs="宋体" w:eastAsia="宋体" w:hint="default"/>
                <w:sz w:val="18"/>
                <w:szCs w:val="18"/>
              </w:rPr>
              <w:t>2014</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3"/>
                <w:sz w:val="18"/>
                <w:szCs w:val="18"/>
              </w:rPr>
              <w:t> </w:t>
            </w:r>
            <w:r>
              <w:rPr>
                <w:rFonts w:ascii="宋体" w:hAnsi="宋体" w:cs="宋体" w:eastAsia="宋体" w:hint="default"/>
                <w:sz w:val="18"/>
                <w:szCs w:val="18"/>
              </w:rPr>
              <w:t>月，陆续接管聚划算、本地生活、</w:t>
            </w:r>
            <w:r>
              <w:rPr>
                <w:rFonts w:ascii="宋体" w:hAnsi="宋体" w:cs="宋体" w:eastAsia="宋体" w:hint="default"/>
                <w:sz w:val="18"/>
                <w:szCs w:val="18"/>
              </w:rPr>
              <w:t>1688</w:t>
            </w:r>
            <w:r>
              <w:rPr>
                <w:rFonts w:ascii="宋体" w:hAnsi="宋体" w:cs="宋体" w:eastAsia="宋体" w:hint="default"/>
                <w:spacing w:val="-43"/>
                <w:sz w:val="18"/>
                <w:szCs w:val="18"/>
              </w:rPr>
              <w:t> </w:t>
            </w:r>
            <w:r>
              <w:rPr>
                <w:rFonts w:ascii="宋体" w:hAnsi="宋体" w:cs="宋体" w:eastAsia="宋体" w:hint="default"/>
                <w:sz w:val="18"/>
                <w:szCs w:val="18"/>
              </w:rPr>
              <w:t>和天猫事业部；</w:t>
            </w:r>
            <w:r>
              <w:rPr>
                <w:rFonts w:ascii="宋体" w:hAnsi="宋体" w:cs="宋体" w:eastAsia="宋体" w:hint="default"/>
                <w:sz w:val="18"/>
                <w:szCs w:val="18"/>
              </w:rPr>
              <w:t>2012</w:t>
            </w:r>
            <w:r>
              <w:rPr>
                <w:rFonts w:ascii="宋体" w:hAnsi="宋体" w:cs="宋体" w:eastAsia="宋体" w:hint="default"/>
                <w:spacing w:val="-4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3"/>
                <w:sz w:val="18"/>
                <w:szCs w:val="18"/>
              </w:rPr>
              <w:t> </w:t>
            </w:r>
            <w:r>
              <w:rPr>
                <w:rFonts w:ascii="宋体" w:hAnsi="宋体" w:cs="宋体" w:eastAsia="宋体" w:hint="default"/>
                <w:sz w:val="18"/>
                <w:szCs w:val="18"/>
              </w:rPr>
              <w:t>月至</w:t>
            </w:r>
            <w:r>
              <w:rPr>
                <w:rFonts w:ascii="宋体" w:hAnsi="宋体" w:cs="宋体" w:eastAsia="宋体" w:hint="default"/>
                <w:spacing w:val="-44"/>
                <w:sz w:val="18"/>
                <w:szCs w:val="18"/>
              </w:rPr>
              <w:t> </w:t>
            </w:r>
            <w:r>
              <w:rPr>
                <w:rFonts w:ascii="宋体" w:hAnsi="宋体" w:cs="宋体" w:eastAsia="宋体" w:hint="default"/>
                <w:sz w:val="18"/>
                <w:szCs w:val="18"/>
              </w:rPr>
              <w:t>2013</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宋体" w:hAnsi="宋体" w:cs="宋体" w:eastAsia="宋体" w:hint="default"/>
                <w:sz w:val="18"/>
                <w:szCs w:val="18"/>
              </w:rPr>
              <w:t>1</w:t>
            </w:r>
            <w:r>
              <w:rPr>
                <w:rFonts w:ascii="宋体" w:hAnsi="宋体" w:cs="宋体" w:eastAsia="宋体" w:hint="default"/>
                <w:spacing w:val="-43"/>
                <w:sz w:val="18"/>
                <w:szCs w:val="18"/>
              </w:rPr>
              <w:t> </w:t>
            </w:r>
            <w:r>
              <w:rPr>
                <w:rFonts w:ascii="宋体" w:hAnsi="宋体" w:cs="宋体" w:eastAsia="宋体" w:hint="default"/>
                <w:sz w:val="18"/>
                <w:szCs w:val="18"/>
              </w:rPr>
              <w:t>月，张建锋担任阿里巴巴小企</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业业务事业群（现</w:t>
            </w:r>
            <w:r>
              <w:rPr>
                <w:rFonts w:ascii="宋体" w:hAnsi="宋体" w:cs="宋体" w:eastAsia="宋体" w:hint="default"/>
                <w:spacing w:val="-38"/>
                <w:sz w:val="18"/>
                <w:szCs w:val="18"/>
              </w:rPr>
              <w:t> </w:t>
            </w:r>
            <w:r>
              <w:rPr>
                <w:rFonts w:ascii="宋体" w:hAnsi="宋体" w:cs="宋体" w:eastAsia="宋体" w:hint="default"/>
                <w:sz w:val="18"/>
                <w:szCs w:val="18"/>
              </w:rPr>
              <w:t>1688</w:t>
            </w:r>
            <w:r>
              <w:rPr>
                <w:rFonts w:ascii="宋体" w:hAnsi="宋体" w:cs="宋体" w:eastAsia="宋体" w:hint="default"/>
                <w:spacing w:val="-36"/>
                <w:sz w:val="18"/>
                <w:szCs w:val="18"/>
              </w:rPr>
              <w:t> </w:t>
            </w:r>
            <w:r>
              <w:rPr>
                <w:rFonts w:ascii="宋体" w:hAnsi="宋体" w:cs="宋体" w:eastAsia="宋体" w:hint="default"/>
                <w:sz w:val="18"/>
                <w:szCs w:val="18"/>
              </w:rPr>
              <w:t>事业部）网站和技术部副总裁；张建锋于</w:t>
            </w:r>
            <w:r>
              <w:rPr>
                <w:rFonts w:ascii="宋体" w:hAnsi="宋体" w:cs="宋体" w:eastAsia="宋体" w:hint="default"/>
                <w:spacing w:val="-37"/>
                <w:sz w:val="18"/>
                <w:szCs w:val="18"/>
              </w:rPr>
              <w:t> </w:t>
            </w:r>
            <w:r>
              <w:rPr>
                <w:rFonts w:ascii="宋体" w:hAnsi="宋体" w:cs="宋体" w:eastAsia="宋体" w:hint="default"/>
                <w:sz w:val="18"/>
                <w:szCs w:val="18"/>
              </w:rPr>
              <w:t>2011</w:t>
            </w:r>
            <w:r>
              <w:rPr>
                <w:rFonts w:ascii="宋体" w:hAnsi="宋体" w:cs="宋体" w:eastAsia="宋体" w:hint="default"/>
                <w:spacing w:val="-36"/>
                <w:sz w:val="18"/>
                <w:szCs w:val="18"/>
              </w:rPr>
              <w:t> </w:t>
            </w:r>
            <w:r>
              <w:rPr>
                <w:rFonts w:ascii="宋体" w:hAnsi="宋体" w:cs="宋体" w:eastAsia="宋体" w:hint="default"/>
                <w:sz w:val="18"/>
                <w:szCs w:val="18"/>
              </w:rPr>
              <w:t>年</w:t>
            </w:r>
            <w:r>
              <w:rPr>
                <w:rFonts w:ascii="宋体" w:hAnsi="宋体" w:cs="宋体" w:eastAsia="宋体" w:hint="default"/>
                <w:spacing w:val="-38"/>
                <w:sz w:val="18"/>
                <w:szCs w:val="18"/>
              </w:rPr>
              <w:t> </w:t>
            </w:r>
            <w:r>
              <w:rPr>
                <w:rFonts w:ascii="宋体" w:hAnsi="宋体" w:cs="宋体" w:eastAsia="宋体" w:hint="default"/>
                <w:sz w:val="18"/>
                <w:szCs w:val="18"/>
              </w:rPr>
              <w:t>6</w:t>
            </w:r>
            <w:r>
              <w:rPr>
                <w:rFonts w:ascii="宋体" w:hAnsi="宋体" w:cs="宋体" w:eastAsia="宋体" w:hint="default"/>
                <w:spacing w:val="-36"/>
                <w:sz w:val="18"/>
                <w:szCs w:val="18"/>
              </w:rPr>
              <w:t> </w:t>
            </w:r>
            <w:r>
              <w:rPr>
                <w:rFonts w:ascii="宋体" w:hAnsi="宋体" w:cs="宋体" w:eastAsia="宋体" w:hint="default"/>
                <w:sz w:val="18"/>
                <w:szCs w:val="18"/>
              </w:rPr>
              <w:t>月至</w:t>
            </w:r>
            <w:r>
              <w:rPr>
                <w:rFonts w:ascii="宋体" w:hAnsi="宋体" w:cs="宋体" w:eastAsia="宋体" w:hint="default"/>
                <w:spacing w:val="-38"/>
                <w:sz w:val="18"/>
                <w:szCs w:val="18"/>
              </w:rPr>
              <w:t> </w:t>
            </w:r>
            <w:r>
              <w:rPr>
                <w:rFonts w:ascii="宋体" w:hAnsi="宋体" w:cs="宋体" w:eastAsia="宋体" w:hint="default"/>
                <w:sz w:val="18"/>
                <w:szCs w:val="18"/>
              </w:rPr>
              <w:t>2012</w:t>
            </w:r>
            <w:r>
              <w:rPr>
                <w:rFonts w:ascii="宋体" w:hAnsi="宋体" w:cs="宋体" w:eastAsia="宋体" w:hint="default"/>
                <w:spacing w:val="-36"/>
                <w:sz w:val="18"/>
                <w:szCs w:val="18"/>
              </w:rPr>
              <w:t> </w:t>
            </w:r>
            <w:r>
              <w:rPr>
                <w:rFonts w:ascii="宋体" w:hAnsi="宋体" w:cs="宋体" w:eastAsia="宋体" w:hint="default"/>
                <w:sz w:val="18"/>
                <w:szCs w:val="18"/>
              </w:rPr>
              <w:t>年</w:t>
            </w:r>
            <w:r>
              <w:rPr>
                <w:rFonts w:ascii="宋体" w:hAnsi="宋体" w:cs="宋体" w:eastAsia="宋体" w:hint="default"/>
                <w:spacing w:val="-38"/>
                <w:sz w:val="18"/>
                <w:szCs w:val="18"/>
              </w:rPr>
              <w:t> </w:t>
            </w:r>
            <w:r>
              <w:rPr>
                <w:rFonts w:ascii="宋体" w:hAnsi="宋体" w:cs="宋体" w:eastAsia="宋体" w:hint="default"/>
                <w:sz w:val="18"/>
                <w:szCs w:val="18"/>
              </w:rPr>
              <w:t>3</w:t>
            </w:r>
            <w:r>
              <w:rPr>
                <w:rFonts w:ascii="宋体" w:hAnsi="宋体" w:cs="宋体" w:eastAsia="宋体" w:hint="default"/>
                <w:spacing w:val="-39"/>
                <w:sz w:val="18"/>
                <w:szCs w:val="18"/>
              </w:rPr>
              <w:t> </w:t>
            </w:r>
            <w:r>
              <w:rPr>
                <w:rFonts w:ascii="宋体" w:hAnsi="宋体" w:cs="宋体" w:eastAsia="宋体" w:hint="default"/>
                <w:sz w:val="18"/>
                <w:szCs w:val="18"/>
              </w:rPr>
              <w:t>月期间，担任淘宝网产品技术部和运营部副总裁，负责淘宝网集市</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的产品运营及技术开发工作，并于</w:t>
            </w:r>
            <w:r>
              <w:rPr>
                <w:rFonts w:ascii="宋体" w:hAnsi="宋体" w:cs="宋体" w:eastAsia="宋体" w:hint="default"/>
                <w:spacing w:val="-38"/>
                <w:sz w:val="18"/>
                <w:szCs w:val="18"/>
              </w:rPr>
              <w:t> </w:t>
            </w:r>
            <w:r>
              <w:rPr>
                <w:rFonts w:ascii="宋体" w:hAnsi="宋体" w:cs="宋体" w:eastAsia="宋体" w:hint="default"/>
                <w:sz w:val="18"/>
                <w:szCs w:val="18"/>
              </w:rPr>
              <w:t>2004</w:t>
            </w:r>
            <w:r>
              <w:rPr>
                <w:rFonts w:ascii="宋体" w:hAnsi="宋体" w:cs="宋体" w:eastAsia="宋体" w:hint="default"/>
                <w:spacing w:val="-37"/>
                <w:sz w:val="18"/>
                <w:szCs w:val="18"/>
              </w:rPr>
              <w:t> </w:t>
            </w:r>
            <w:r>
              <w:rPr>
                <w:rFonts w:ascii="宋体" w:hAnsi="宋体" w:cs="宋体" w:eastAsia="宋体" w:hint="default"/>
                <w:sz w:val="18"/>
                <w:szCs w:val="18"/>
              </w:rPr>
              <w:t>年至</w:t>
            </w:r>
            <w:r>
              <w:rPr>
                <w:rFonts w:ascii="宋体" w:hAnsi="宋体" w:cs="宋体" w:eastAsia="宋体" w:hint="default"/>
                <w:spacing w:val="-39"/>
                <w:sz w:val="18"/>
                <w:szCs w:val="18"/>
              </w:rPr>
              <w:t> </w:t>
            </w:r>
            <w:r>
              <w:rPr>
                <w:rFonts w:ascii="宋体" w:hAnsi="宋体" w:cs="宋体" w:eastAsia="宋体" w:hint="default"/>
                <w:sz w:val="18"/>
                <w:szCs w:val="18"/>
              </w:rPr>
              <w:t>2011</w:t>
            </w:r>
            <w:r>
              <w:rPr>
                <w:rFonts w:ascii="宋体" w:hAnsi="宋体" w:cs="宋体" w:eastAsia="宋体" w:hint="default"/>
                <w:spacing w:val="-37"/>
                <w:sz w:val="18"/>
                <w:szCs w:val="18"/>
              </w:rPr>
              <w:t> </w:t>
            </w:r>
            <w:r>
              <w:rPr>
                <w:rFonts w:ascii="宋体" w:hAnsi="宋体" w:cs="宋体" w:eastAsia="宋体" w:hint="default"/>
                <w:sz w:val="18"/>
                <w:szCs w:val="18"/>
              </w:rPr>
              <w:t>年曾担任多个管理岗位，先后包括淘宝网技术架构部、</w:t>
            </w:r>
            <w:r>
              <w:rPr>
                <w:rFonts w:ascii="宋体" w:hAnsi="宋体" w:cs="宋体" w:eastAsia="宋体" w:hint="default"/>
                <w:sz w:val="18"/>
                <w:szCs w:val="18"/>
              </w:rPr>
              <w:t>B2C</w:t>
            </w:r>
            <w:r>
              <w:rPr>
                <w:rFonts w:ascii="宋体" w:hAnsi="宋体" w:cs="宋体" w:eastAsia="宋体" w:hint="default"/>
                <w:spacing w:val="-37"/>
                <w:sz w:val="18"/>
                <w:szCs w:val="18"/>
              </w:rPr>
              <w:t> </w:t>
            </w:r>
            <w:r>
              <w:rPr>
                <w:rFonts w:ascii="宋体" w:hAnsi="宋体" w:cs="宋体" w:eastAsia="宋体" w:hint="default"/>
                <w:sz w:val="18"/>
                <w:szCs w:val="18"/>
              </w:rPr>
              <w:t>开发部及淘宝网产品技术开发部。张先生毕业于</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浙江大学。张先生自</w:t>
            </w:r>
            <w:r>
              <w:rPr>
                <w:rFonts w:ascii="宋体" w:hAnsi="宋体" w:cs="宋体" w:eastAsia="宋体" w:hint="default"/>
                <w:spacing w:val="-45"/>
                <w:sz w:val="18"/>
                <w:szCs w:val="18"/>
              </w:rPr>
              <w:t> </w:t>
            </w: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9</w:t>
            </w:r>
            <w:r>
              <w:rPr>
                <w:rFonts w:ascii="宋体" w:hAnsi="宋体" w:cs="宋体" w:eastAsia="宋体" w:hint="default"/>
                <w:spacing w:val="-46"/>
                <w:sz w:val="18"/>
                <w:szCs w:val="18"/>
              </w:rPr>
              <w:t> </w:t>
            </w:r>
            <w:r>
              <w:rPr>
                <w:rFonts w:ascii="宋体" w:hAnsi="宋体" w:cs="宋体" w:eastAsia="宋体" w:hint="default"/>
                <w:sz w:val="18"/>
                <w:szCs w:val="18"/>
              </w:rPr>
              <w:t>月起任本公司董事。</w:t>
            </w:r>
          </w:p>
        </w:tc>
      </w:tr>
      <w:tr>
        <w:trPr>
          <w:trHeight w:val="95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冯士栋</w:t>
            </w:r>
          </w:p>
        </w:tc>
        <w:tc>
          <w:tcPr>
            <w:tcW w:w="1263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92"/>
              <w:ind w:left="103" w:right="100"/>
              <w:jc w:val="both"/>
              <w:rPr>
                <w:rFonts w:ascii="宋体" w:hAnsi="宋体" w:cs="宋体" w:eastAsia="宋体" w:hint="default"/>
                <w:sz w:val="18"/>
                <w:szCs w:val="18"/>
              </w:rPr>
            </w:pPr>
            <w:r>
              <w:rPr>
                <w:rFonts w:ascii="宋体" w:hAnsi="宋体" w:cs="宋体" w:eastAsia="宋体" w:hint="default"/>
                <w:sz w:val="18"/>
                <w:szCs w:val="18"/>
              </w:rPr>
              <w:t>1982</w:t>
            </w:r>
            <w:r>
              <w:rPr>
                <w:rFonts w:ascii="宋体" w:hAnsi="宋体" w:cs="宋体" w:eastAsia="宋体" w:hint="default"/>
                <w:spacing w:val="-32"/>
                <w:sz w:val="18"/>
                <w:szCs w:val="18"/>
              </w:rPr>
              <w:t> </w:t>
            </w:r>
            <w:r>
              <w:rPr>
                <w:rFonts w:ascii="宋体" w:hAnsi="宋体" w:cs="宋体" w:eastAsia="宋体" w:hint="default"/>
                <w:sz w:val="18"/>
                <w:szCs w:val="18"/>
              </w:rPr>
              <w:t>年</w:t>
            </w:r>
            <w:r>
              <w:rPr>
                <w:rFonts w:ascii="宋体" w:hAnsi="宋体" w:cs="宋体" w:eastAsia="宋体" w:hint="default"/>
                <w:spacing w:val="-31"/>
                <w:sz w:val="18"/>
                <w:szCs w:val="18"/>
              </w:rPr>
              <w:t> </w:t>
            </w:r>
            <w:r>
              <w:rPr>
                <w:rFonts w:ascii="宋体" w:hAnsi="宋体" w:cs="宋体" w:eastAsia="宋体" w:hint="default"/>
                <w:sz w:val="18"/>
                <w:szCs w:val="18"/>
              </w:rPr>
              <w:t>1</w:t>
            </w:r>
            <w:r>
              <w:rPr>
                <w:rFonts w:ascii="宋体" w:hAnsi="宋体" w:cs="宋体" w:eastAsia="宋体" w:hint="default"/>
                <w:spacing w:val="-30"/>
                <w:sz w:val="18"/>
                <w:szCs w:val="18"/>
              </w:rPr>
              <w:t> </w:t>
            </w:r>
            <w:r>
              <w:rPr>
                <w:rFonts w:ascii="宋体" w:hAnsi="宋体" w:cs="宋体" w:eastAsia="宋体" w:hint="default"/>
                <w:sz w:val="18"/>
                <w:szCs w:val="18"/>
              </w:rPr>
              <w:t>月毕业于中国矿业学院取得工学学士学位，</w:t>
            </w:r>
            <w:r>
              <w:rPr>
                <w:rFonts w:ascii="宋体" w:hAnsi="宋体" w:cs="宋体" w:eastAsia="宋体" w:hint="default"/>
                <w:sz w:val="18"/>
                <w:szCs w:val="18"/>
              </w:rPr>
              <w:t>1997</w:t>
            </w:r>
            <w:r>
              <w:rPr>
                <w:rFonts w:ascii="宋体" w:hAnsi="宋体" w:cs="宋体" w:eastAsia="宋体" w:hint="default"/>
                <w:spacing w:val="-32"/>
                <w:sz w:val="18"/>
                <w:szCs w:val="18"/>
              </w:rPr>
              <w:t> </w:t>
            </w:r>
            <w:r>
              <w:rPr>
                <w:rFonts w:ascii="宋体" w:hAnsi="宋体" w:cs="宋体" w:eastAsia="宋体" w:hint="default"/>
                <w:sz w:val="18"/>
                <w:szCs w:val="18"/>
              </w:rPr>
              <w:t>年</w:t>
            </w:r>
            <w:r>
              <w:rPr>
                <w:rFonts w:ascii="宋体" w:hAnsi="宋体" w:cs="宋体" w:eastAsia="宋体" w:hint="default"/>
                <w:spacing w:val="-31"/>
                <w:sz w:val="18"/>
                <w:szCs w:val="18"/>
              </w:rPr>
              <w:t> </w:t>
            </w:r>
            <w:r>
              <w:rPr>
                <w:rFonts w:ascii="宋体" w:hAnsi="宋体" w:cs="宋体" w:eastAsia="宋体" w:hint="default"/>
                <w:sz w:val="18"/>
                <w:szCs w:val="18"/>
              </w:rPr>
              <w:t>7</w:t>
            </w:r>
            <w:r>
              <w:rPr>
                <w:rFonts w:ascii="宋体" w:hAnsi="宋体" w:cs="宋体" w:eastAsia="宋体" w:hint="default"/>
                <w:spacing w:val="-30"/>
                <w:sz w:val="18"/>
                <w:szCs w:val="18"/>
              </w:rPr>
              <w:t> </w:t>
            </w:r>
            <w:r>
              <w:rPr>
                <w:rFonts w:ascii="宋体" w:hAnsi="宋体" w:cs="宋体" w:eastAsia="宋体" w:hint="default"/>
                <w:sz w:val="18"/>
                <w:szCs w:val="18"/>
              </w:rPr>
              <w:t>月在中国矿业大学北京研究生部硕士研究生毕业取得工学硕士学位；冯先生曾担任国投煤炭公 司总经理，国投电力公司总经理，国投华靖电力股份公司董事长，国家开发投资公司副总经理，国家开发投资公司董事、党组副书记、总经理职务。目前同时 担任中国交通建设集团有限公司董事。冯先生自</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月起任本公司独立董事。</w:t>
            </w:r>
          </w:p>
        </w:tc>
      </w:tr>
      <w:tr>
        <w:trPr>
          <w:trHeight w:val="118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吴晓根</w:t>
            </w:r>
          </w:p>
        </w:tc>
        <w:tc>
          <w:tcPr>
            <w:tcW w:w="1263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92"/>
              <w:ind w:left="103" w:right="99"/>
              <w:jc w:val="both"/>
              <w:rPr>
                <w:rFonts w:ascii="宋体" w:hAnsi="宋体" w:cs="宋体" w:eastAsia="宋体" w:hint="default"/>
                <w:sz w:val="18"/>
                <w:szCs w:val="18"/>
              </w:rPr>
            </w:pPr>
            <w:r>
              <w:rPr>
                <w:rFonts w:ascii="宋体" w:hAnsi="宋体" w:cs="宋体" w:eastAsia="宋体" w:hint="default"/>
                <w:sz w:val="18"/>
                <w:szCs w:val="18"/>
              </w:rPr>
              <w:t>研究员。吴先生现在是中央企业专职外部董事。吴先生先后于</w:t>
            </w:r>
            <w:r>
              <w:rPr>
                <w:rFonts w:ascii="宋体" w:hAnsi="宋体" w:cs="宋体" w:eastAsia="宋体" w:hint="default"/>
                <w:spacing w:val="-48"/>
                <w:sz w:val="18"/>
                <w:szCs w:val="18"/>
              </w:rPr>
              <w:t> </w:t>
            </w:r>
            <w:r>
              <w:rPr>
                <w:rFonts w:ascii="宋体" w:hAnsi="宋体" w:cs="宋体" w:eastAsia="宋体" w:hint="default"/>
                <w:sz w:val="18"/>
                <w:szCs w:val="18"/>
              </w:rPr>
              <w:t>1993</w:t>
            </w:r>
            <w:r>
              <w:rPr>
                <w:rFonts w:ascii="宋体" w:hAnsi="宋体" w:cs="宋体" w:eastAsia="宋体" w:hint="default"/>
                <w:spacing w:val="-47"/>
                <w:sz w:val="18"/>
                <w:szCs w:val="18"/>
              </w:rPr>
              <w:t> </w:t>
            </w:r>
            <w:r>
              <w:rPr>
                <w:rFonts w:ascii="宋体" w:hAnsi="宋体" w:cs="宋体" w:eastAsia="宋体" w:hint="default"/>
                <w:sz w:val="18"/>
                <w:szCs w:val="18"/>
              </w:rPr>
              <w:t>年及</w:t>
            </w:r>
            <w:r>
              <w:rPr>
                <w:rFonts w:ascii="宋体" w:hAnsi="宋体" w:cs="宋体" w:eastAsia="宋体" w:hint="default"/>
                <w:spacing w:val="-49"/>
                <w:sz w:val="18"/>
                <w:szCs w:val="18"/>
              </w:rPr>
              <w:t> </w:t>
            </w:r>
            <w:r>
              <w:rPr>
                <w:rFonts w:ascii="宋体" w:hAnsi="宋体" w:cs="宋体" w:eastAsia="宋体" w:hint="default"/>
                <w:sz w:val="18"/>
                <w:szCs w:val="18"/>
              </w:rPr>
              <w:t>1997</w:t>
            </w:r>
            <w:r>
              <w:rPr>
                <w:rFonts w:ascii="宋体" w:hAnsi="宋体" w:cs="宋体" w:eastAsia="宋体" w:hint="default"/>
                <w:spacing w:val="-47"/>
                <w:sz w:val="18"/>
                <w:szCs w:val="18"/>
              </w:rPr>
              <w:t> </w:t>
            </w:r>
            <w:r>
              <w:rPr>
                <w:rFonts w:ascii="宋体" w:hAnsi="宋体" w:cs="宋体" w:eastAsia="宋体" w:hint="default"/>
                <w:sz w:val="18"/>
                <w:szCs w:val="18"/>
              </w:rPr>
              <w:t>年在中央财经大学取得会计专业硕士学位和经济学博士学位。吴先生曾担任中国 金谷国际信托投资公司证券业务部总经理助理、副总经理；中国科技国际信托投资有限责任公司证券业务部副总经理兼机构管理部总经理；中央财经大学会计 学院审计教研室主任、副院长；中国第一重型机械集团有限公司总会计师；中国东方航空股份有限公司、中国石化股份有限公司独立董事；中国长江三峡集团 有限公司、中国机械工业集团有限公司外部董事。目前同时担任中国电子科技集团有限公司外部董事。吴先生自</w:t>
            </w:r>
            <w:r>
              <w:rPr>
                <w:rFonts w:ascii="宋体" w:hAnsi="宋体" w:cs="宋体" w:eastAsia="宋体" w:hint="default"/>
                <w:spacing w:val="-45"/>
                <w:sz w:val="18"/>
                <w:szCs w:val="18"/>
              </w:rPr>
              <w:t> </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2</w:t>
            </w:r>
            <w:r>
              <w:rPr>
                <w:rFonts w:ascii="宋体" w:hAnsi="宋体" w:cs="宋体" w:eastAsia="宋体" w:hint="default"/>
                <w:spacing w:val="-44"/>
                <w:sz w:val="18"/>
                <w:szCs w:val="18"/>
              </w:rPr>
              <w:t> </w:t>
            </w:r>
            <w:r>
              <w:rPr>
                <w:rFonts w:ascii="宋体" w:hAnsi="宋体" w:cs="宋体" w:eastAsia="宋体" w:hint="default"/>
                <w:sz w:val="18"/>
                <w:szCs w:val="18"/>
              </w:rPr>
              <w:t>月起任本公司独立董事。</w:t>
            </w:r>
          </w:p>
        </w:tc>
      </w:tr>
      <w:tr>
        <w:trPr>
          <w:trHeight w:val="1419"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吕廷杰</w:t>
            </w:r>
          </w:p>
        </w:tc>
        <w:tc>
          <w:tcPr>
            <w:tcW w:w="1263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94"/>
              <w:ind w:left="103" w:right="98"/>
              <w:jc w:val="both"/>
              <w:rPr>
                <w:rFonts w:ascii="宋体" w:hAnsi="宋体" w:cs="宋体" w:eastAsia="宋体" w:hint="default"/>
                <w:sz w:val="18"/>
                <w:szCs w:val="18"/>
              </w:rPr>
            </w:pPr>
            <w:r>
              <w:rPr>
                <w:rFonts w:ascii="宋体" w:hAnsi="宋体" w:cs="宋体" w:eastAsia="宋体" w:hint="default"/>
                <w:sz w:val="18"/>
                <w:szCs w:val="18"/>
              </w:rPr>
              <w:t>北京邮电大学教授、博士生导师。吕先生先后于</w:t>
            </w:r>
            <w:r>
              <w:rPr>
                <w:rFonts w:ascii="宋体" w:hAnsi="宋体" w:cs="宋体" w:eastAsia="宋体" w:hint="default"/>
                <w:spacing w:val="-41"/>
                <w:sz w:val="18"/>
                <w:szCs w:val="18"/>
              </w:rPr>
              <w:t> </w:t>
            </w:r>
            <w:r>
              <w:rPr>
                <w:rFonts w:ascii="宋体" w:hAnsi="宋体" w:cs="宋体" w:eastAsia="宋体" w:hint="default"/>
                <w:sz w:val="18"/>
                <w:szCs w:val="18"/>
              </w:rPr>
              <w:t>1982</w:t>
            </w:r>
            <w:r>
              <w:rPr>
                <w:rFonts w:ascii="宋体" w:hAnsi="宋体" w:cs="宋体" w:eastAsia="宋体" w:hint="default"/>
                <w:spacing w:val="-41"/>
                <w:sz w:val="18"/>
                <w:szCs w:val="18"/>
              </w:rPr>
              <w:t> </w:t>
            </w:r>
            <w:r>
              <w:rPr>
                <w:rFonts w:ascii="宋体" w:hAnsi="宋体" w:cs="宋体" w:eastAsia="宋体" w:hint="default"/>
                <w:sz w:val="18"/>
                <w:szCs w:val="18"/>
              </w:rPr>
              <w:t>年及</w:t>
            </w:r>
            <w:r>
              <w:rPr>
                <w:rFonts w:ascii="宋体" w:hAnsi="宋体" w:cs="宋体" w:eastAsia="宋体" w:hint="default"/>
                <w:spacing w:val="-42"/>
                <w:sz w:val="18"/>
                <w:szCs w:val="18"/>
              </w:rPr>
              <w:t> </w:t>
            </w:r>
            <w:r>
              <w:rPr>
                <w:rFonts w:ascii="宋体" w:hAnsi="宋体" w:cs="宋体" w:eastAsia="宋体" w:hint="default"/>
                <w:sz w:val="18"/>
                <w:szCs w:val="18"/>
              </w:rPr>
              <w:t>1985</w:t>
            </w:r>
            <w:r>
              <w:rPr>
                <w:rFonts w:ascii="宋体" w:hAnsi="宋体" w:cs="宋体" w:eastAsia="宋体" w:hint="default"/>
                <w:spacing w:val="-41"/>
                <w:sz w:val="18"/>
                <w:szCs w:val="18"/>
              </w:rPr>
              <w:t> </w:t>
            </w:r>
            <w:r>
              <w:rPr>
                <w:rFonts w:ascii="宋体" w:hAnsi="宋体" w:cs="宋体" w:eastAsia="宋体" w:hint="default"/>
                <w:sz w:val="18"/>
                <w:szCs w:val="18"/>
              </w:rPr>
              <w:t>年在北京邮电大学取得学士及硕士学位，于</w:t>
            </w:r>
            <w:r>
              <w:rPr>
                <w:rFonts w:ascii="宋体" w:hAnsi="宋体" w:cs="宋体" w:eastAsia="宋体" w:hint="default"/>
                <w:spacing w:val="-41"/>
                <w:sz w:val="18"/>
                <w:szCs w:val="18"/>
              </w:rPr>
              <w:t> </w:t>
            </w:r>
            <w:r>
              <w:rPr>
                <w:rFonts w:ascii="宋体" w:hAnsi="宋体" w:cs="宋体" w:eastAsia="宋体" w:hint="default"/>
                <w:sz w:val="18"/>
                <w:szCs w:val="18"/>
              </w:rPr>
              <w:t>1997</w:t>
            </w:r>
            <w:r>
              <w:rPr>
                <w:rFonts w:ascii="宋体" w:hAnsi="宋体" w:cs="宋体" w:eastAsia="宋体" w:hint="default"/>
                <w:spacing w:val="-41"/>
                <w:sz w:val="18"/>
                <w:szCs w:val="18"/>
              </w:rPr>
              <w:t> </w:t>
            </w:r>
            <w:r>
              <w:rPr>
                <w:rFonts w:ascii="宋体" w:hAnsi="宋体" w:cs="宋体" w:eastAsia="宋体" w:hint="default"/>
                <w:sz w:val="18"/>
                <w:szCs w:val="18"/>
              </w:rPr>
              <w:t>年获日本京都大学博士学位；</w:t>
            </w:r>
            <w:r>
              <w:rPr>
                <w:rFonts w:ascii="宋体" w:hAnsi="宋体" w:cs="宋体" w:eastAsia="宋体" w:hint="default"/>
                <w:sz w:val="18"/>
                <w:szCs w:val="18"/>
              </w:rPr>
              <w:t>1994</w:t>
            </w:r>
            <w:r>
              <w:rPr>
                <w:rFonts w:ascii="宋体" w:hAnsi="宋体" w:cs="宋体" w:eastAsia="宋体" w:hint="default"/>
                <w:spacing w:val="-41"/>
                <w:sz w:val="18"/>
                <w:szCs w:val="18"/>
              </w:rPr>
              <w:t> </w:t>
            </w:r>
            <w:r>
              <w:rPr>
                <w:rFonts w:ascii="宋体" w:hAnsi="宋体" w:cs="宋体" w:eastAsia="宋体" w:hint="default"/>
                <w:sz w:val="18"/>
                <w:szCs w:val="18"/>
              </w:rPr>
              <w:t>年在美国 </w:t>
            </w:r>
            <w:r>
              <w:rPr>
                <w:rFonts w:ascii="宋体" w:hAnsi="宋体" w:cs="宋体" w:eastAsia="宋体" w:hint="default"/>
                <w:sz w:val="18"/>
                <w:szCs w:val="18"/>
              </w:rPr>
              <w:t>AT&amp;T</w:t>
            </w:r>
            <w:r>
              <w:rPr>
                <w:rFonts w:ascii="宋体" w:hAnsi="宋体" w:cs="宋体" w:eastAsia="宋体" w:hint="default"/>
                <w:spacing w:val="-31"/>
                <w:sz w:val="18"/>
                <w:szCs w:val="18"/>
              </w:rPr>
              <w:t> </w:t>
            </w:r>
            <w:r>
              <w:rPr>
                <w:rFonts w:ascii="宋体" w:hAnsi="宋体" w:cs="宋体" w:eastAsia="宋体" w:hint="default"/>
                <w:sz w:val="18"/>
                <w:szCs w:val="18"/>
              </w:rPr>
              <w:t>工商管理学校和贝尔实验室做访问学者。吕先生曾担任北京邮电大学管理工程系副主任、副教授；北京邮电大学管理与人文学院副院长、教授；第</w:t>
            </w:r>
            <w:r>
              <w:rPr>
                <w:rFonts w:ascii="宋体" w:hAnsi="宋体" w:cs="宋体" w:eastAsia="宋体" w:hint="default"/>
                <w:spacing w:val="-32"/>
                <w:sz w:val="18"/>
                <w:szCs w:val="18"/>
              </w:rPr>
              <w:t> </w:t>
            </w:r>
            <w:r>
              <w:rPr>
                <w:rFonts w:ascii="宋体" w:hAnsi="宋体" w:cs="宋体" w:eastAsia="宋体" w:hint="default"/>
                <w:sz w:val="18"/>
                <w:szCs w:val="18"/>
              </w:rPr>
              <w:t>22</w:t>
            </w:r>
            <w:r>
              <w:rPr>
                <w:rFonts w:ascii="宋体" w:hAnsi="宋体" w:cs="宋体" w:eastAsia="宋体" w:hint="default"/>
                <w:spacing w:val="-32"/>
                <w:sz w:val="18"/>
                <w:szCs w:val="18"/>
              </w:rPr>
              <w:t> </w:t>
            </w:r>
            <w:r>
              <w:rPr>
                <w:rFonts w:ascii="宋体" w:hAnsi="宋体" w:cs="宋体" w:eastAsia="宋体" w:hint="default"/>
                <w:sz w:val="18"/>
                <w:szCs w:val="18"/>
              </w:rPr>
              <w:t>届 万国邮联大会主席助理；北京邮电大学研究生院常务副院长；北京邮电大学经济管理学院院长及执行院长；北京邮电大学校长助理。吕先生目前同时担任大唐 高鸿数据网络技术股份有限公司、深圳爱施德股份有限公司、京东方科技集团股份有限公司、中国通信服务股份有限公司独立董事。吕先生自</w:t>
            </w:r>
            <w:r>
              <w:rPr>
                <w:rFonts w:ascii="宋体" w:hAnsi="宋体" w:cs="宋体" w:eastAsia="宋体" w:hint="default"/>
                <w:spacing w:val="-24"/>
                <w:sz w:val="18"/>
                <w:szCs w:val="18"/>
              </w:rPr>
              <w:t> </w:t>
            </w:r>
            <w:r>
              <w:rPr>
                <w:rFonts w:ascii="宋体" w:hAnsi="宋体" w:cs="宋体" w:eastAsia="宋体" w:hint="default"/>
                <w:sz w:val="18"/>
                <w:szCs w:val="18"/>
              </w:rPr>
              <w:t>2016</w:t>
            </w:r>
            <w:r>
              <w:rPr>
                <w:rFonts w:ascii="宋体" w:hAnsi="宋体" w:cs="宋体" w:eastAsia="宋体" w:hint="default"/>
                <w:spacing w:val="-25"/>
                <w:sz w:val="18"/>
                <w:szCs w:val="18"/>
              </w:rPr>
              <w:t> </w:t>
            </w:r>
            <w:r>
              <w:rPr>
                <w:rFonts w:ascii="宋体" w:hAnsi="宋体" w:cs="宋体" w:eastAsia="宋体" w:hint="default"/>
                <w:sz w:val="18"/>
                <w:szCs w:val="18"/>
              </w:rPr>
              <w:t>年</w:t>
            </w:r>
            <w:r>
              <w:rPr>
                <w:rFonts w:ascii="宋体" w:hAnsi="宋体" w:cs="宋体" w:eastAsia="宋体" w:hint="default"/>
                <w:spacing w:val="-24"/>
                <w:sz w:val="18"/>
                <w:szCs w:val="18"/>
              </w:rPr>
              <w:t> </w:t>
            </w:r>
            <w:r>
              <w:rPr>
                <w:rFonts w:ascii="宋体" w:hAnsi="宋体" w:cs="宋体" w:eastAsia="宋体" w:hint="default"/>
                <w:sz w:val="18"/>
                <w:szCs w:val="18"/>
              </w:rPr>
              <w:t>5</w:t>
            </w:r>
            <w:r>
              <w:rPr>
                <w:rFonts w:ascii="宋体" w:hAnsi="宋体" w:cs="宋体" w:eastAsia="宋体" w:hint="default"/>
                <w:spacing w:val="-23"/>
                <w:sz w:val="18"/>
                <w:szCs w:val="18"/>
              </w:rPr>
              <w:t> </w:t>
            </w:r>
            <w:r>
              <w:rPr>
                <w:rFonts w:ascii="宋体" w:hAnsi="宋体" w:cs="宋体" w:eastAsia="宋体" w:hint="default"/>
                <w:sz w:val="18"/>
                <w:szCs w:val="18"/>
              </w:rPr>
              <w:t>月起 任本公司独立董事。</w:t>
            </w:r>
          </w:p>
        </w:tc>
      </w:tr>
      <w:tr>
        <w:trPr>
          <w:trHeight w:val="718"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陈建新</w:t>
            </w:r>
          </w:p>
        </w:tc>
        <w:tc>
          <w:tcPr>
            <w:tcW w:w="12633"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4"/>
              <w:ind w:left="103" w:right="100"/>
              <w:jc w:val="left"/>
              <w:rPr>
                <w:rFonts w:ascii="宋体" w:hAnsi="宋体" w:cs="宋体" w:eastAsia="宋体" w:hint="default"/>
                <w:sz w:val="18"/>
                <w:szCs w:val="18"/>
              </w:rPr>
            </w:pPr>
            <w:r>
              <w:rPr>
                <w:rFonts w:ascii="宋体" w:hAnsi="宋体" w:cs="宋体" w:eastAsia="宋体" w:hint="default"/>
                <w:sz w:val="18"/>
                <w:szCs w:val="18"/>
              </w:rPr>
              <w:t>曾担任全国侨联财务处副处长，人事部办公厅财务处副处长、处长，人事部综合计划司经费处处长，国务院稽察特派员总署稽察特派员助理（正处级），国有 重点大型企业监事会正处级专职监事、副局级专职监事、正局级专职监事。现退休。陈先生自</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月起任本公司独立董事。</w:t>
            </w:r>
          </w:p>
        </w:tc>
      </w:tr>
      <w:tr>
        <w:trPr>
          <w:trHeight w:val="118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李翀</w:t>
            </w:r>
          </w:p>
        </w:tc>
        <w:tc>
          <w:tcPr>
            <w:tcW w:w="1263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92"/>
              <w:ind w:left="103" w:right="12"/>
              <w:jc w:val="left"/>
              <w:rPr>
                <w:rFonts w:ascii="宋体" w:hAnsi="宋体" w:cs="宋体" w:eastAsia="宋体" w:hint="default"/>
                <w:sz w:val="18"/>
                <w:szCs w:val="18"/>
              </w:rPr>
            </w:pPr>
            <w:r>
              <w:rPr>
                <w:rFonts w:ascii="宋体" w:hAnsi="宋体" w:cs="宋体" w:eastAsia="宋体" w:hint="default"/>
                <w:sz w:val="18"/>
                <w:szCs w:val="18"/>
              </w:rPr>
              <w:t>高级会计师，</w:t>
            </w:r>
            <w:r>
              <w:rPr>
                <w:rFonts w:ascii="宋体" w:hAnsi="宋体" w:cs="宋体" w:eastAsia="宋体" w:hint="default"/>
                <w:sz w:val="18"/>
                <w:szCs w:val="18"/>
              </w:rPr>
              <w:t>1991 </w:t>
            </w:r>
            <w:r>
              <w:rPr>
                <w:rFonts w:ascii="宋体" w:hAnsi="宋体" w:cs="宋体" w:eastAsia="宋体" w:hint="default"/>
                <w:sz w:val="18"/>
                <w:szCs w:val="18"/>
              </w:rPr>
              <w:t>年本科毕业于北京邮电大学邮政通信管理专业，获学士学位；</w:t>
            </w:r>
            <w:r>
              <w:rPr>
                <w:rFonts w:ascii="宋体" w:hAnsi="宋体" w:cs="宋体" w:eastAsia="宋体" w:hint="default"/>
                <w:sz w:val="18"/>
                <w:szCs w:val="18"/>
              </w:rPr>
              <w:t>1994</w:t>
            </w:r>
            <w:r>
              <w:rPr>
                <w:rFonts w:ascii="宋体" w:hAnsi="宋体" w:cs="宋体" w:eastAsia="宋体" w:hint="default"/>
                <w:spacing w:val="-4"/>
                <w:sz w:val="18"/>
                <w:szCs w:val="18"/>
              </w:rPr>
              <w:t> </w:t>
            </w:r>
            <w:r>
              <w:rPr>
                <w:rFonts w:ascii="宋体" w:hAnsi="宋体" w:cs="宋体" w:eastAsia="宋体" w:hint="default"/>
                <w:sz w:val="18"/>
                <w:szCs w:val="18"/>
              </w:rPr>
              <w:t>年研究生毕业于北京邮电大学运输经济专业，获经济学硕士学位。李先 </w:t>
            </w:r>
            <w:r>
              <w:rPr>
                <w:rFonts w:ascii="宋体" w:hAnsi="宋体" w:cs="宋体" w:eastAsia="宋体" w:hint="default"/>
                <w:spacing w:val="-2"/>
                <w:sz w:val="18"/>
                <w:szCs w:val="18"/>
              </w:rPr>
              <w:t>生曾任信息产业部清算司综合处处长、通信清算中心主任，中国网通（集团）有限公司财务部副总经理、总经理，中国联通网络公司副总经理兼财务部总经理，</w:t>
            </w:r>
            <w:r>
              <w:rPr>
                <w:rFonts w:ascii="宋体" w:hAnsi="宋体" w:cs="宋体" w:eastAsia="宋体" w:hint="default"/>
                <w:spacing w:val="-46"/>
                <w:sz w:val="18"/>
                <w:szCs w:val="18"/>
              </w:rPr>
              <w:t> </w:t>
            </w:r>
            <w:r>
              <w:rPr>
                <w:rFonts w:ascii="宋体" w:hAnsi="宋体" w:cs="宋体" w:eastAsia="宋体" w:hint="default"/>
                <w:spacing w:val="-46"/>
                <w:sz w:val="18"/>
                <w:szCs w:val="18"/>
              </w:rPr>
            </w:r>
            <w:r>
              <w:rPr>
                <w:rFonts w:ascii="宋体" w:hAnsi="宋体" w:cs="宋体" w:eastAsia="宋体" w:hint="default"/>
                <w:sz w:val="18"/>
                <w:szCs w:val="18"/>
              </w:rPr>
              <w:t>中国联通国际业务部总经理、国际公司董事长等职务。李先生现任招联消费金融有限公司董事、常务副总经理。李先生具有丰富的管理及电信行业从业经验。 李先生自</w:t>
            </w:r>
            <w:r>
              <w:rPr>
                <w:rFonts w:ascii="宋体" w:hAnsi="宋体" w:cs="宋体" w:eastAsia="宋体" w:hint="default"/>
                <w:spacing w:val="-46"/>
                <w:sz w:val="18"/>
                <w:szCs w:val="18"/>
              </w:rPr>
              <w:t> </w:t>
            </w:r>
            <w:r>
              <w:rPr>
                <w:rFonts w:ascii="宋体" w:hAnsi="宋体" w:cs="宋体" w:eastAsia="宋体" w:hint="default"/>
                <w:sz w:val="18"/>
                <w:szCs w:val="18"/>
              </w:rPr>
              <w:t>2019</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9</w:t>
            </w:r>
            <w:r>
              <w:rPr>
                <w:rFonts w:ascii="宋体" w:hAnsi="宋体" w:cs="宋体" w:eastAsia="宋体" w:hint="default"/>
                <w:spacing w:val="-45"/>
                <w:sz w:val="18"/>
                <w:szCs w:val="18"/>
              </w:rPr>
              <w:t> </w:t>
            </w:r>
            <w:r>
              <w:rPr>
                <w:rFonts w:ascii="宋体" w:hAnsi="宋体" w:cs="宋体" w:eastAsia="宋体" w:hint="default"/>
                <w:sz w:val="18"/>
                <w:szCs w:val="18"/>
              </w:rPr>
              <w:t>月起任本公司监事。</w:t>
            </w:r>
          </w:p>
        </w:tc>
      </w:tr>
      <w:tr>
        <w:trPr>
          <w:trHeight w:val="1297"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方向明</w:t>
            </w:r>
          </w:p>
        </w:tc>
        <w:tc>
          <w:tcPr>
            <w:tcW w:w="1263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92"/>
              <w:ind w:left="103" w:right="10"/>
              <w:jc w:val="left"/>
              <w:rPr>
                <w:rFonts w:ascii="宋体" w:hAnsi="宋体" w:cs="宋体" w:eastAsia="宋体" w:hint="default"/>
                <w:sz w:val="18"/>
                <w:szCs w:val="18"/>
              </w:rPr>
            </w:pPr>
            <w:r>
              <w:rPr>
                <w:rFonts w:ascii="宋体" w:hAnsi="宋体" w:cs="宋体" w:eastAsia="宋体" w:hint="default"/>
                <w:sz w:val="18"/>
                <w:szCs w:val="18"/>
              </w:rPr>
              <w:t>现任诚通基金管理有限公司（中国国有企业结构调整基金管理机构）副总经理，全国妇联第十二届执行委员会委员。方女士一直服务于国内外大型知名金融机 构，并担任重要职务，在私募股权投资包括基金投资和直接投资，以及不良资产收购处置，企业信贷，项目融资等诸多金融领域积累了非常丰富的经验。方女 士曾任中再资产管理有限公司另类投资事业部董事总经理，主要负责私募股权投资业务。在投资领域，她还曾任泛亚洲</w:t>
            </w:r>
            <w:r>
              <w:rPr>
                <w:rFonts w:ascii="宋体" w:hAnsi="宋体" w:cs="宋体" w:eastAsia="宋体" w:hint="default"/>
                <w:spacing w:val="-44"/>
                <w:sz w:val="18"/>
                <w:szCs w:val="18"/>
              </w:rPr>
              <w:t> </w:t>
            </w:r>
            <w:r>
              <w:rPr>
                <w:rFonts w:ascii="宋体" w:hAnsi="宋体" w:cs="宋体" w:eastAsia="宋体" w:hint="default"/>
                <w:sz w:val="18"/>
                <w:szCs w:val="18"/>
              </w:rPr>
              <w:t>PE</w:t>
            </w:r>
            <w:r>
              <w:rPr>
                <w:rFonts w:ascii="宋体" w:hAnsi="宋体" w:cs="宋体" w:eastAsia="宋体" w:hint="default"/>
                <w:spacing w:val="-45"/>
                <w:sz w:val="18"/>
                <w:szCs w:val="18"/>
              </w:rPr>
              <w:t> </w:t>
            </w:r>
            <w:r>
              <w:rPr>
                <w:rFonts w:ascii="宋体" w:hAnsi="宋体" w:cs="宋体" w:eastAsia="宋体" w:hint="default"/>
                <w:sz w:val="18"/>
                <w:szCs w:val="18"/>
              </w:rPr>
              <w:t>基金</w:t>
            </w:r>
            <w:r>
              <w:rPr>
                <w:rFonts w:ascii="宋体" w:hAnsi="宋体" w:cs="宋体" w:eastAsia="宋体" w:hint="default"/>
                <w:spacing w:val="-48"/>
                <w:sz w:val="18"/>
                <w:szCs w:val="18"/>
              </w:rPr>
              <w:t> </w:t>
            </w:r>
            <w:r>
              <w:rPr>
                <w:rFonts w:ascii="宋体" w:hAnsi="宋体" w:cs="宋体" w:eastAsia="宋体" w:hint="default"/>
                <w:sz w:val="18"/>
                <w:szCs w:val="18"/>
              </w:rPr>
              <w:t>AIF</w:t>
            </w:r>
            <w:r>
              <w:rPr>
                <w:rFonts w:ascii="宋体" w:hAnsi="宋体" w:cs="宋体" w:eastAsia="宋体" w:hint="default"/>
                <w:spacing w:val="-6"/>
                <w:sz w:val="18"/>
                <w:szCs w:val="18"/>
              </w:rPr>
              <w:t> </w:t>
            </w:r>
            <w:r>
              <w:rPr>
                <w:rFonts w:ascii="宋体" w:hAnsi="宋体" w:cs="宋体" w:eastAsia="宋体" w:hint="default"/>
                <w:sz w:val="18"/>
                <w:szCs w:val="18"/>
              </w:rPr>
              <w:t>Capital</w:t>
            </w:r>
            <w:r>
              <w:rPr>
                <w:rFonts w:ascii="宋体" w:hAnsi="宋体" w:cs="宋体" w:eastAsia="宋体" w:hint="default"/>
                <w:spacing w:val="-44"/>
                <w:sz w:val="18"/>
                <w:szCs w:val="18"/>
              </w:rPr>
              <w:t> </w:t>
            </w:r>
            <w:r>
              <w:rPr>
                <w:rFonts w:ascii="宋体" w:hAnsi="宋体" w:cs="宋体" w:eastAsia="宋体" w:hint="default"/>
                <w:sz w:val="18"/>
                <w:szCs w:val="18"/>
              </w:rPr>
              <w:t>董事总经理，</w:t>
            </w:r>
            <w:r>
              <w:rPr>
                <w:rFonts w:ascii="宋体" w:hAnsi="宋体" w:cs="宋体" w:eastAsia="宋体" w:hint="default"/>
                <w:sz w:val="18"/>
                <w:szCs w:val="18"/>
              </w:rPr>
              <w:t>IBM</w:t>
            </w:r>
            <w:r>
              <w:rPr>
                <w:rFonts w:ascii="宋体" w:hAnsi="宋体" w:cs="宋体" w:eastAsia="宋体" w:hint="default"/>
                <w:spacing w:val="1"/>
                <w:sz w:val="18"/>
                <w:szCs w:val="18"/>
              </w:rPr>
              <w:t> </w:t>
            </w:r>
            <w:r>
              <w:rPr>
                <w:rFonts w:ascii="宋体" w:hAnsi="宋体" w:cs="宋体" w:eastAsia="宋体" w:hint="default"/>
                <w:sz w:val="18"/>
                <w:szCs w:val="18"/>
              </w:rPr>
              <w:t>中国投资基金投资总监和</w:t>
            </w:r>
            <w:r>
              <w:rPr>
                <w:rFonts w:ascii="宋体" w:hAnsi="宋体" w:cs="宋体" w:eastAsia="宋体" w:hint="default"/>
                <w:spacing w:val="-48"/>
                <w:sz w:val="18"/>
                <w:szCs w:val="18"/>
              </w:rPr>
              <w:t> </w:t>
            </w:r>
            <w:r>
              <w:rPr>
                <w:rFonts w:ascii="宋体" w:hAnsi="宋体" w:cs="宋体" w:eastAsia="宋体" w:hint="default"/>
                <w:sz w:val="18"/>
                <w:szCs w:val="18"/>
              </w:rPr>
              <w:t>GE</w:t>
            </w:r>
            <w:r>
              <w:rPr>
                <w:rFonts w:ascii="宋体" w:hAnsi="宋体" w:cs="宋体" w:eastAsia="宋体" w:hint="default"/>
                <w:spacing w:val="-48"/>
                <w:sz w:val="18"/>
                <w:szCs w:val="18"/>
              </w:rPr>
              <w:t> </w:t>
            </w:r>
            <w:r>
              <w:rPr>
                <w:rFonts w:ascii="宋体" w:hAnsi="宋体" w:cs="宋体" w:eastAsia="宋体" w:hint="default"/>
                <w:sz w:val="18"/>
                <w:szCs w:val="18"/>
              </w:rPr>
              <w:t>全球金融重组业务中国区总监等职位。方女士职业生涯始于</w:t>
            </w:r>
            <w:r>
              <w:rPr>
                <w:rFonts w:ascii="宋体" w:hAnsi="宋体" w:cs="宋体" w:eastAsia="宋体" w:hint="default"/>
                <w:spacing w:val="-49"/>
                <w:sz w:val="18"/>
                <w:szCs w:val="18"/>
              </w:rPr>
              <w:t> </w:t>
            </w:r>
            <w:r>
              <w:rPr>
                <w:rFonts w:ascii="宋体" w:hAnsi="宋体" w:cs="宋体" w:eastAsia="宋体" w:hint="default"/>
                <w:sz w:val="18"/>
                <w:szCs w:val="18"/>
              </w:rPr>
              <w:t>1991</w:t>
            </w:r>
            <w:r>
              <w:rPr>
                <w:rFonts w:ascii="宋体" w:hAnsi="宋体" w:cs="宋体" w:eastAsia="宋体" w:hint="default"/>
                <w:spacing w:val="-48"/>
                <w:sz w:val="18"/>
                <w:szCs w:val="18"/>
              </w:rPr>
              <w:t> </w:t>
            </w:r>
            <w:r>
              <w:rPr>
                <w:rFonts w:ascii="宋体" w:hAnsi="宋体" w:cs="宋体" w:eastAsia="宋体" w:hint="default"/>
                <w:spacing w:val="-3"/>
                <w:sz w:val="18"/>
                <w:szCs w:val="18"/>
              </w:rPr>
              <w:t>年，先后在中国工商银行，华夏证券公司和中国进出口银行工作，</w:t>
            </w:r>
            <w:r>
              <w:rPr>
                <w:rFonts w:ascii="宋体" w:hAnsi="宋体" w:cs="宋体" w:eastAsia="宋体" w:hint="default"/>
                <w:sz w:val="18"/>
                <w:szCs w:val="18"/>
              </w:rPr>
              <w:t> 在英国期间在</w:t>
            </w:r>
            <w:r>
              <w:rPr>
                <w:rFonts w:ascii="宋体" w:hAnsi="宋体" w:cs="宋体" w:eastAsia="宋体" w:hint="default"/>
                <w:spacing w:val="-47"/>
                <w:sz w:val="18"/>
                <w:szCs w:val="18"/>
              </w:rPr>
              <w:t> </w:t>
            </w:r>
            <w:r>
              <w:rPr>
                <w:rFonts w:ascii="宋体" w:hAnsi="宋体" w:cs="宋体" w:eastAsia="宋体" w:hint="default"/>
                <w:sz w:val="18"/>
                <w:szCs w:val="18"/>
              </w:rPr>
              <w:t>Bovis</w:t>
            </w:r>
            <w:r>
              <w:rPr>
                <w:rFonts w:ascii="宋体" w:hAnsi="宋体" w:cs="宋体" w:eastAsia="宋体" w:hint="default"/>
                <w:spacing w:val="-5"/>
                <w:sz w:val="18"/>
                <w:szCs w:val="18"/>
              </w:rPr>
              <w:t> </w:t>
            </w:r>
            <w:r>
              <w:rPr>
                <w:rFonts w:ascii="宋体" w:hAnsi="宋体" w:cs="宋体" w:eastAsia="宋体" w:hint="default"/>
                <w:sz w:val="18"/>
                <w:szCs w:val="18"/>
              </w:rPr>
              <w:t>Lend</w:t>
            </w:r>
            <w:r>
              <w:rPr>
                <w:rFonts w:ascii="宋体" w:hAnsi="宋体" w:cs="宋体" w:eastAsia="宋体" w:hint="default"/>
                <w:spacing w:val="-5"/>
                <w:sz w:val="18"/>
                <w:szCs w:val="18"/>
              </w:rPr>
              <w:t> </w:t>
            </w:r>
            <w:r>
              <w:rPr>
                <w:rFonts w:ascii="宋体" w:hAnsi="宋体" w:cs="宋体" w:eastAsia="宋体" w:hint="default"/>
                <w:sz w:val="18"/>
                <w:szCs w:val="18"/>
              </w:rPr>
              <w:t>Lease</w:t>
            </w:r>
            <w:r>
              <w:rPr>
                <w:rFonts w:ascii="宋体" w:hAnsi="宋体" w:cs="宋体" w:eastAsia="宋体" w:hint="default"/>
                <w:sz w:val="18"/>
                <w:szCs w:val="18"/>
              </w:rPr>
              <w:t>，</w:t>
            </w:r>
            <w:r>
              <w:rPr>
                <w:rFonts w:ascii="宋体" w:hAnsi="宋体" w:cs="宋体" w:eastAsia="宋体" w:hint="default"/>
                <w:sz w:val="18"/>
                <w:szCs w:val="18"/>
              </w:rPr>
              <w:t>GE</w:t>
            </w:r>
            <w:r>
              <w:rPr>
                <w:rFonts w:ascii="宋体" w:hAnsi="宋体" w:cs="宋体" w:eastAsia="宋体" w:hint="default"/>
                <w:spacing w:val="-5"/>
                <w:sz w:val="18"/>
                <w:szCs w:val="18"/>
              </w:rPr>
              <w:t> </w:t>
            </w:r>
            <w:r>
              <w:rPr>
                <w:rFonts w:ascii="宋体" w:hAnsi="宋体" w:cs="宋体" w:eastAsia="宋体" w:hint="default"/>
                <w:sz w:val="18"/>
                <w:szCs w:val="18"/>
              </w:rPr>
              <w:t>Capital</w:t>
            </w:r>
            <w:r>
              <w:rPr>
                <w:rFonts w:ascii="宋体" w:hAnsi="宋体" w:cs="宋体" w:eastAsia="宋体" w:hint="default"/>
                <w:spacing w:val="-7"/>
                <w:sz w:val="18"/>
                <w:szCs w:val="18"/>
              </w:rPr>
              <w:t> </w:t>
            </w:r>
            <w:r>
              <w:rPr>
                <w:rFonts w:ascii="宋体" w:hAnsi="宋体" w:cs="宋体" w:eastAsia="宋体" w:hint="default"/>
                <w:sz w:val="18"/>
                <w:szCs w:val="18"/>
              </w:rPr>
              <w:t>Europe</w:t>
            </w:r>
            <w:r>
              <w:rPr>
                <w:rFonts w:ascii="宋体" w:hAnsi="宋体" w:cs="宋体" w:eastAsia="宋体" w:hint="default"/>
                <w:spacing w:val="-44"/>
                <w:sz w:val="18"/>
                <w:szCs w:val="18"/>
              </w:rPr>
              <w:t> </w:t>
            </w:r>
            <w:r>
              <w:rPr>
                <w:rFonts w:ascii="宋体" w:hAnsi="宋体" w:cs="宋体" w:eastAsia="宋体" w:hint="default"/>
                <w:sz w:val="18"/>
                <w:szCs w:val="18"/>
              </w:rPr>
              <w:t>等机构任职。方女士毕业于中国金融学院金融专业，获经济学学士学位；后于伦敦城市大学卡斯商学院</w:t>
            </w:r>
          </w:p>
        </w:tc>
      </w:tr>
    </w:tbl>
    <w:p>
      <w:pPr>
        <w:spacing w:after="0" w:line="237" w:lineRule="auto"/>
        <w:jc w:val="left"/>
        <w:rPr>
          <w:rFonts w:ascii="宋体" w:hAnsi="宋体" w:cs="宋体" w:eastAsia="宋体" w:hint="default"/>
          <w:sz w:val="18"/>
          <w:szCs w:val="18"/>
        </w:rPr>
        <w:sectPr>
          <w:footerReference w:type="default" r:id="rId64"/>
          <w:pgSz w:w="16840" w:h="11910" w:orient="landscape"/>
          <w:pgMar w:footer="502" w:header="854" w:top="1340" w:bottom="700" w:left="1300" w:right="1300"/>
        </w:sectPr>
      </w:pPr>
    </w:p>
    <w:tbl>
      <w:tblPr>
        <w:tblW w:w="0" w:type="auto"/>
        <w:jc w:val="left"/>
        <w:tblInd w:w="111" w:type="dxa"/>
        <w:tblLayout w:type="fixed"/>
        <w:tblCellMar>
          <w:top w:w="0" w:type="dxa"/>
          <w:left w:w="0" w:type="dxa"/>
          <w:bottom w:w="0" w:type="dxa"/>
          <w:right w:w="0" w:type="dxa"/>
        </w:tblCellMar>
        <w:tblLook w:val="01E0"/>
      </w:tblPr>
      <w:tblGrid>
        <w:gridCol w:w="1368"/>
        <w:gridCol w:w="12633"/>
      </w:tblGrid>
      <w:tr>
        <w:trPr>
          <w:trHeight w:val="372" w:hRule="exact"/>
        </w:trPr>
        <w:tc>
          <w:tcPr>
            <w:tcW w:w="1368" w:type="dxa"/>
            <w:tcBorders>
              <w:top w:val="single" w:sz="10" w:space="0" w:color="000000"/>
              <w:left w:val="single" w:sz="4" w:space="0" w:color="000000"/>
              <w:bottom w:val="single" w:sz="4" w:space="0" w:color="000000"/>
              <w:right w:val="single" w:sz="4" w:space="0" w:color="000000"/>
            </w:tcBorders>
          </w:tcPr>
          <w:p>
            <w:pPr/>
          </w:p>
        </w:tc>
        <w:tc>
          <w:tcPr>
            <w:tcW w:w="12633" w:type="dxa"/>
            <w:tcBorders>
              <w:top w:val="single" w:sz="10"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取得工商管理硕士学位。方女士自</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月起任本公司监事。</w:t>
            </w:r>
          </w:p>
        </w:tc>
      </w:tr>
      <w:tr>
        <w:trPr>
          <w:trHeight w:val="118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张保英</w:t>
            </w:r>
          </w:p>
        </w:tc>
        <w:tc>
          <w:tcPr>
            <w:tcW w:w="1263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92"/>
              <w:ind w:left="103" w:right="99"/>
              <w:jc w:val="both"/>
              <w:rPr>
                <w:rFonts w:ascii="宋体" w:hAnsi="宋体" w:cs="宋体" w:eastAsia="宋体" w:hint="default"/>
                <w:sz w:val="18"/>
                <w:szCs w:val="18"/>
              </w:rPr>
            </w:pPr>
            <w:r>
              <w:rPr>
                <w:rFonts w:ascii="宋体" w:hAnsi="宋体" w:cs="宋体" w:eastAsia="宋体" w:hint="default"/>
                <w:sz w:val="18"/>
                <w:szCs w:val="18"/>
              </w:rPr>
              <w:t>1989</w:t>
            </w:r>
            <w:r>
              <w:rPr>
                <w:rFonts w:ascii="宋体" w:hAnsi="宋体" w:cs="宋体" w:eastAsia="宋体" w:hint="default"/>
                <w:spacing w:val="-24"/>
                <w:sz w:val="18"/>
                <w:szCs w:val="18"/>
              </w:rPr>
              <w:t> </w:t>
            </w:r>
            <w:r>
              <w:rPr>
                <w:rFonts w:ascii="宋体" w:hAnsi="宋体" w:cs="宋体" w:eastAsia="宋体" w:hint="default"/>
                <w:sz w:val="18"/>
                <w:szCs w:val="18"/>
              </w:rPr>
              <w:t>年本科毕业于北京邮电学院邮电管理工程专业，获学士学位。张先生曾在邮电部经营财务司、中国华信邮电经济开发中心工作，</w:t>
            </w:r>
            <w:r>
              <w:rPr>
                <w:rFonts w:ascii="宋体" w:hAnsi="宋体" w:cs="宋体" w:eastAsia="宋体" w:hint="default"/>
                <w:sz w:val="18"/>
                <w:szCs w:val="18"/>
              </w:rPr>
              <w:t>1999</w:t>
            </w:r>
            <w:r>
              <w:rPr>
                <w:rFonts w:ascii="宋体" w:hAnsi="宋体" w:cs="宋体" w:eastAsia="宋体" w:hint="default"/>
                <w:spacing w:val="-26"/>
                <w:sz w:val="18"/>
                <w:szCs w:val="18"/>
              </w:rPr>
              <w:t> </w:t>
            </w:r>
            <w:r>
              <w:rPr>
                <w:rFonts w:ascii="宋体" w:hAnsi="宋体" w:cs="宋体" w:eastAsia="宋体" w:hint="default"/>
                <w:sz w:val="18"/>
                <w:szCs w:val="18"/>
              </w:rPr>
              <w:t>年</w:t>
            </w:r>
            <w:r>
              <w:rPr>
                <w:rFonts w:ascii="宋体" w:hAnsi="宋体" w:cs="宋体" w:eastAsia="宋体" w:hint="default"/>
                <w:spacing w:val="-25"/>
                <w:sz w:val="18"/>
                <w:szCs w:val="18"/>
              </w:rPr>
              <w:t> </w:t>
            </w:r>
            <w:r>
              <w:rPr>
                <w:rFonts w:ascii="宋体" w:hAnsi="宋体" w:cs="宋体" w:eastAsia="宋体" w:hint="default"/>
                <w:sz w:val="18"/>
                <w:szCs w:val="18"/>
              </w:rPr>
              <w:t>5</w:t>
            </w:r>
            <w:r>
              <w:rPr>
                <w:rFonts w:ascii="宋体" w:hAnsi="宋体" w:cs="宋体" w:eastAsia="宋体" w:hint="default"/>
                <w:spacing w:val="-24"/>
                <w:sz w:val="18"/>
                <w:szCs w:val="18"/>
              </w:rPr>
              <w:t> </w:t>
            </w:r>
            <w:r>
              <w:rPr>
                <w:rFonts w:ascii="宋体" w:hAnsi="宋体" w:cs="宋体" w:eastAsia="宋体" w:hint="default"/>
                <w:sz w:val="18"/>
                <w:szCs w:val="18"/>
              </w:rPr>
              <w:t>月加入中国联 通，先后担任财务部资金处处长，中国联通（香港）集团财务部副总经理，联通红筹公司财务部副总经理，董事会办公室副主任，本公司董事会秘书，山西省 分公司副总经理等职务。张先生现任联通资本投资控股有限公司董事总经理及联通创新创业投资有限公司副总经理。张先生具有丰富的管理、股权投资及电信 行业从业经验。张先生自</w:t>
            </w:r>
            <w:r>
              <w:rPr>
                <w:rFonts w:ascii="宋体" w:hAnsi="宋体" w:cs="宋体" w:eastAsia="宋体" w:hint="default"/>
                <w:spacing w:val="-44"/>
                <w:sz w:val="18"/>
                <w:szCs w:val="18"/>
              </w:rPr>
              <w:t> </w:t>
            </w:r>
            <w:r>
              <w:rPr>
                <w:rFonts w:ascii="宋体" w:hAnsi="宋体" w:cs="宋体" w:eastAsia="宋体" w:hint="default"/>
                <w:sz w:val="18"/>
                <w:szCs w:val="18"/>
              </w:rPr>
              <w:t>2020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2</w:t>
            </w:r>
            <w:r>
              <w:rPr>
                <w:rFonts w:ascii="宋体" w:hAnsi="宋体" w:cs="宋体" w:eastAsia="宋体" w:hint="default"/>
                <w:spacing w:val="-44"/>
                <w:sz w:val="18"/>
                <w:szCs w:val="18"/>
              </w:rPr>
              <w:t> </w:t>
            </w:r>
            <w:r>
              <w:rPr>
                <w:rFonts w:ascii="宋体" w:hAnsi="宋体" w:cs="宋体" w:eastAsia="宋体" w:hint="default"/>
                <w:sz w:val="18"/>
                <w:szCs w:val="18"/>
              </w:rPr>
              <w:t>月起任本公司监事。</w:t>
            </w:r>
          </w:p>
        </w:tc>
      </w:tr>
      <w:tr>
        <w:trPr>
          <w:trHeight w:val="1184"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买彦州</w:t>
            </w:r>
          </w:p>
        </w:tc>
        <w:tc>
          <w:tcPr>
            <w:tcW w:w="1263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92"/>
              <w:ind w:left="103" w:right="10"/>
              <w:jc w:val="left"/>
              <w:rPr>
                <w:rFonts w:ascii="宋体" w:hAnsi="宋体" w:cs="宋体" w:eastAsia="宋体" w:hint="default"/>
                <w:sz w:val="18"/>
                <w:szCs w:val="18"/>
              </w:rPr>
            </w:pPr>
            <w:r>
              <w:rPr>
                <w:rFonts w:ascii="宋体" w:hAnsi="宋体" w:cs="宋体" w:eastAsia="宋体" w:hint="default"/>
                <w:sz w:val="18"/>
                <w:szCs w:val="18"/>
              </w:rPr>
              <w:t>教授级高级工程师，</w:t>
            </w:r>
            <w:r>
              <w:rPr>
                <w:rFonts w:ascii="宋体" w:hAnsi="宋体" w:cs="宋体" w:eastAsia="宋体" w:hint="default"/>
                <w:sz w:val="18"/>
                <w:szCs w:val="18"/>
              </w:rPr>
              <w:t>1991</w:t>
            </w:r>
            <w:r>
              <w:rPr>
                <w:rFonts w:ascii="宋体" w:hAnsi="宋体" w:cs="宋体" w:eastAsia="宋体" w:hint="default"/>
                <w:spacing w:val="-48"/>
                <w:sz w:val="18"/>
                <w:szCs w:val="18"/>
              </w:rPr>
              <w:t> </w:t>
            </w:r>
            <w:r>
              <w:rPr>
                <w:rFonts w:ascii="宋体" w:hAnsi="宋体" w:cs="宋体" w:eastAsia="宋体" w:hint="default"/>
                <w:sz w:val="18"/>
                <w:szCs w:val="18"/>
              </w:rPr>
              <w:t>年毕业于郑州大学电子工程系电子学与信息系统专业并取得工学学士学位，</w:t>
            </w:r>
            <w:r>
              <w:rPr>
                <w:rFonts w:ascii="宋体" w:hAnsi="宋体" w:cs="宋体" w:eastAsia="宋体" w:hint="default"/>
                <w:sz w:val="18"/>
                <w:szCs w:val="18"/>
              </w:rPr>
              <w:t>2002</w:t>
            </w:r>
            <w:r>
              <w:rPr>
                <w:rFonts w:ascii="宋体" w:hAnsi="宋体" w:cs="宋体" w:eastAsia="宋体" w:hint="default"/>
                <w:spacing w:val="-48"/>
                <w:sz w:val="18"/>
                <w:szCs w:val="18"/>
              </w:rPr>
              <w:t> </w:t>
            </w:r>
            <w:r>
              <w:rPr>
                <w:rFonts w:ascii="宋体" w:hAnsi="宋体" w:cs="宋体" w:eastAsia="宋体" w:hint="default"/>
                <w:sz w:val="18"/>
                <w:szCs w:val="18"/>
              </w:rPr>
              <w:t>年取得北京邮电大学电子与信息工程专业硕士学位。 买先生曾先后担任中国网通广东分公司副总经理，中国联通广东分公司副总经理、福建省分公司总经理、辽宁省分公司总经理，并是第十二届全国人大代表。 买先生目前还担任联通集团副总经理；联通红筹公司高级副总裁，联通运营公司董事及高级副总裁及香港电讯盈科有限公司非执行董事。买彦州先生长期在电 信行业工作，具有丰富的管理经验。买先生自</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月起任本公司高级副总裁。</w:t>
            </w:r>
          </w:p>
        </w:tc>
      </w:tr>
      <w:tr>
        <w:trPr>
          <w:trHeight w:val="1186"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梁宝俊</w:t>
            </w:r>
          </w:p>
        </w:tc>
        <w:tc>
          <w:tcPr>
            <w:tcW w:w="1263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92"/>
              <w:ind w:left="103" w:right="99"/>
              <w:jc w:val="both"/>
              <w:rPr>
                <w:rFonts w:ascii="宋体" w:hAnsi="宋体" w:cs="宋体" w:eastAsia="宋体" w:hint="default"/>
                <w:sz w:val="18"/>
                <w:szCs w:val="18"/>
              </w:rPr>
            </w:pPr>
            <w:r>
              <w:rPr>
                <w:rFonts w:ascii="宋体" w:hAnsi="宋体" w:cs="宋体" w:eastAsia="宋体" w:hint="default"/>
                <w:sz w:val="18"/>
                <w:szCs w:val="18"/>
              </w:rPr>
              <w:t>教授级高级工程师。</w:t>
            </w:r>
            <w:r>
              <w:rPr>
                <w:rFonts w:ascii="宋体" w:hAnsi="宋体" w:cs="宋体" w:eastAsia="宋体" w:hint="default"/>
                <w:sz w:val="18"/>
                <w:szCs w:val="18"/>
              </w:rPr>
              <w:t>1991</w:t>
            </w:r>
            <w:r>
              <w:rPr>
                <w:rFonts w:ascii="宋体" w:hAnsi="宋体" w:cs="宋体" w:eastAsia="宋体" w:hint="default"/>
                <w:spacing w:val="-31"/>
                <w:sz w:val="18"/>
                <w:szCs w:val="18"/>
              </w:rPr>
              <w:t> </w:t>
            </w:r>
            <w:r>
              <w:rPr>
                <w:rFonts w:ascii="宋体" w:hAnsi="宋体" w:cs="宋体" w:eastAsia="宋体" w:hint="default"/>
                <w:sz w:val="18"/>
                <w:szCs w:val="18"/>
              </w:rPr>
              <w:t>年毕业于长春邮电学院通信工程专业并取得工学学士学位，</w:t>
            </w:r>
            <w:r>
              <w:rPr>
                <w:rFonts w:ascii="宋体" w:hAnsi="宋体" w:cs="宋体" w:eastAsia="宋体" w:hint="default"/>
                <w:sz w:val="18"/>
                <w:szCs w:val="18"/>
              </w:rPr>
              <w:t>1998</w:t>
            </w:r>
            <w:r>
              <w:rPr>
                <w:rFonts w:ascii="宋体" w:hAnsi="宋体" w:cs="宋体" w:eastAsia="宋体" w:hint="default"/>
                <w:spacing w:val="-34"/>
                <w:sz w:val="18"/>
                <w:szCs w:val="18"/>
              </w:rPr>
              <w:t> </w:t>
            </w:r>
            <w:r>
              <w:rPr>
                <w:rFonts w:ascii="宋体" w:hAnsi="宋体" w:cs="宋体" w:eastAsia="宋体" w:hint="default"/>
                <w:sz w:val="18"/>
                <w:szCs w:val="18"/>
              </w:rPr>
              <w:t>年取得北京邮电大学管理工程专业硕士学位，</w:t>
            </w:r>
            <w:r>
              <w:rPr>
                <w:rFonts w:ascii="宋体" w:hAnsi="宋体" w:cs="宋体" w:eastAsia="宋体" w:hint="default"/>
                <w:sz w:val="18"/>
                <w:szCs w:val="18"/>
              </w:rPr>
              <w:t>2006</w:t>
            </w:r>
            <w:r>
              <w:rPr>
                <w:rFonts w:ascii="宋体" w:hAnsi="宋体" w:cs="宋体" w:eastAsia="宋体" w:hint="default"/>
                <w:spacing w:val="-31"/>
                <w:sz w:val="18"/>
                <w:szCs w:val="18"/>
              </w:rPr>
              <w:t> </w:t>
            </w:r>
            <w:r>
              <w:rPr>
                <w:rFonts w:ascii="宋体" w:hAnsi="宋体" w:cs="宋体" w:eastAsia="宋体" w:hint="default"/>
                <w:sz w:val="18"/>
                <w:szCs w:val="18"/>
              </w:rPr>
              <w:t>年取得清华大学 经济管理学院高级管理人员工商管理硕士（</w:t>
            </w:r>
            <w:r>
              <w:rPr>
                <w:rFonts w:ascii="宋体" w:hAnsi="宋体" w:cs="宋体" w:eastAsia="宋体" w:hint="default"/>
                <w:sz w:val="18"/>
                <w:szCs w:val="18"/>
              </w:rPr>
              <w:t>EMBA</w:t>
            </w:r>
            <w:r>
              <w:rPr>
                <w:rFonts w:ascii="宋体" w:hAnsi="宋体" w:cs="宋体" w:eastAsia="宋体" w:hint="default"/>
                <w:sz w:val="18"/>
                <w:szCs w:val="18"/>
              </w:rPr>
              <w:t>）学位。梁先生曾先后担任中国电信股份有限公司北京分公司副总经理，中国电信集团公司河南省电信分公司 总经理，中国电信集团公司企业信息化事业部总经理、政企客户事业部总经理。梁先生目前还担任联通集团副总经理，联通红筹公司高级副总裁，联通运营公 司董事及高级副总裁。梁宝俊先生长期在电信行业工作，具有丰富的管理经验。梁先生自</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月起任本公司高级副总裁。</w:t>
            </w:r>
          </w:p>
        </w:tc>
      </w:tr>
      <w:tr>
        <w:trPr>
          <w:trHeight w:val="1884"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朱可炳</w:t>
            </w:r>
          </w:p>
        </w:tc>
        <w:tc>
          <w:tcPr>
            <w:tcW w:w="1263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92"/>
              <w:ind w:left="103" w:right="98"/>
              <w:jc w:val="both"/>
              <w:rPr>
                <w:rFonts w:ascii="宋体" w:hAnsi="宋体" w:cs="宋体" w:eastAsia="宋体" w:hint="default"/>
                <w:sz w:val="18"/>
                <w:szCs w:val="18"/>
              </w:rPr>
            </w:pPr>
            <w:r>
              <w:rPr>
                <w:rFonts w:ascii="宋体" w:hAnsi="宋体" w:cs="宋体" w:eastAsia="宋体" w:hint="default"/>
                <w:sz w:val="18"/>
                <w:szCs w:val="18"/>
              </w:rPr>
              <w:t>高级会计师，</w:t>
            </w:r>
            <w:r>
              <w:rPr>
                <w:rFonts w:ascii="宋体" w:hAnsi="宋体" w:cs="宋体" w:eastAsia="宋体" w:hint="default"/>
                <w:sz w:val="18"/>
                <w:szCs w:val="18"/>
              </w:rPr>
              <w:t>1997 </w:t>
            </w:r>
            <w:r>
              <w:rPr>
                <w:rFonts w:ascii="宋体" w:hAnsi="宋体" w:cs="宋体" w:eastAsia="宋体" w:hint="default"/>
                <w:sz w:val="18"/>
                <w:szCs w:val="18"/>
              </w:rPr>
              <w:t>年毕业于东北大学会计学专业，获得经济学学士学位；</w:t>
            </w:r>
            <w:r>
              <w:rPr>
                <w:rFonts w:ascii="宋体" w:hAnsi="宋体" w:cs="宋体" w:eastAsia="宋体" w:hint="default"/>
                <w:sz w:val="18"/>
                <w:szCs w:val="18"/>
              </w:rPr>
              <w:t>2011</w:t>
            </w:r>
            <w:r>
              <w:rPr>
                <w:rFonts w:ascii="宋体" w:hAnsi="宋体" w:cs="宋体" w:eastAsia="宋体" w:hint="default"/>
                <w:spacing w:val="-6"/>
                <w:sz w:val="18"/>
                <w:szCs w:val="18"/>
              </w:rPr>
              <w:t> </w:t>
            </w:r>
            <w:r>
              <w:rPr>
                <w:rFonts w:ascii="宋体" w:hAnsi="宋体" w:cs="宋体" w:eastAsia="宋体" w:hint="default"/>
                <w:sz w:val="18"/>
                <w:szCs w:val="18"/>
              </w:rPr>
              <w:t>年获得香港中文大学专业会计学硕士学位。朱先生曾担任宝钢集团有限公司财 务部副部长、经营财务部总经理兼预算总监、资产管理总监，宝山钢铁股份有限公司董事会秘书、财务总监、监事，中国宝武钢铁集团有限公司产业和金融业 结合发展中心总经理，上海宝信软件股份有限公司董事，华宝投资有限公司总经理，中国太平洋保险（集团）股份有限公司董事，赛领国际投资基金（上海） 有限公司董事，赛领资本管理有限公司董事，四源合股权投资管理有限公司董事及上海股权投资协会副会长。朱先生现任联通集团总会计师；联通红筹公司执 行董事及首席财务官；联通运营公司董事及首席财务官。此外，朱先生还担任电讯盈科有限公司非执行董事、香港电讯有限公司及香港电讯管理有限公司（作 为香港电讯信托的托管人－经理）非执行董事。朱可炳先生拥有丰富的企业财务、投资管理及董事会秘书工作经验。朱先生自</w:t>
            </w:r>
            <w:r>
              <w:rPr>
                <w:rFonts w:ascii="宋体" w:hAnsi="宋体" w:cs="宋体" w:eastAsia="宋体" w:hint="default"/>
                <w:spacing w:val="-25"/>
                <w:sz w:val="18"/>
                <w:szCs w:val="18"/>
              </w:rPr>
              <w:t> </w:t>
            </w:r>
            <w:r>
              <w:rPr>
                <w:rFonts w:ascii="宋体" w:hAnsi="宋体" w:cs="宋体" w:eastAsia="宋体" w:hint="default"/>
                <w:sz w:val="18"/>
                <w:szCs w:val="18"/>
              </w:rPr>
              <w:t>2018</w:t>
            </w:r>
            <w:r>
              <w:rPr>
                <w:rFonts w:ascii="宋体" w:hAnsi="宋体" w:cs="宋体" w:eastAsia="宋体" w:hint="default"/>
                <w:spacing w:val="-24"/>
                <w:sz w:val="18"/>
                <w:szCs w:val="18"/>
              </w:rPr>
              <w:t> </w:t>
            </w:r>
            <w:r>
              <w:rPr>
                <w:rFonts w:ascii="宋体" w:hAnsi="宋体" w:cs="宋体" w:eastAsia="宋体" w:hint="default"/>
                <w:sz w:val="18"/>
                <w:szCs w:val="18"/>
              </w:rPr>
              <w:t>年</w:t>
            </w:r>
            <w:r>
              <w:rPr>
                <w:rFonts w:ascii="宋体" w:hAnsi="宋体" w:cs="宋体" w:eastAsia="宋体" w:hint="default"/>
                <w:spacing w:val="-28"/>
                <w:sz w:val="18"/>
                <w:szCs w:val="18"/>
              </w:rPr>
              <w:t> </w:t>
            </w:r>
            <w:r>
              <w:rPr>
                <w:rFonts w:ascii="宋体" w:hAnsi="宋体" w:cs="宋体" w:eastAsia="宋体" w:hint="default"/>
                <w:sz w:val="18"/>
                <w:szCs w:val="18"/>
              </w:rPr>
              <w:t>8</w:t>
            </w:r>
            <w:r>
              <w:rPr>
                <w:rFonts w:ascii="宋体" w:hAnsi="宋体" w:cs="宋体" w:eastAsia="宋体" w:hint="default"/>
                <w:spacing w:val="-24"/>
                <w:sz w:val="18"/>
                <w:szCs w:val="18"/>
              </w:rPr>
              <w:t> </w:t>
            </w:r>
            <w:r>
              <w:rPr>
                <w:rFonts w:ascii="宋体" w:hAnsi="宋体" w:cs="宋体" w:eastAsia="宋体" w:hint="default"/>
                <w:sz w:val="18"/>
                <w:szCs w:val="18"/>
              </w:rPr>
              <w:t>月起任本公司首席财</w:t>
            </w:r>
          </w:p>
          <w:p>
            <w:pPr>
              <w:pStyle w:val="TableParagraph"/>
              <w:spacing w:line="233" w:lineRule="exact"/>
              <w:ind w:left="103" w:right="0"/>
              <w:jc w:val="both"/>
              <w:rPr>
                <w:rFonts w:ascii="宋体" w:hAnsi="宋体" w:cs="宋体" w:eastAsia="宋体" w:hint="default"/>
                <w:sz w:val="18"/>
                <w:szCs w:val="18"/>
              </w:rPr>
            </w:pPr>
            <w:r>
              <w:rPr>
                <w:rFonts w:ascii="宋体" w:hAnsi="宋体" w:cs="宋体" w:eastAsia="宋体" w:hint="default"/>
                <w:sz w:val="18"/>
                <w:szCs w:val="18"/>
              </w:rPr>
              <w:t>务官，自</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9</w:t>
            </w:r>
            <w:r>
              <w:rPr>
                <w:rFonts w:ascii="宋体" w:hAnsi="宋体" w:cs="宋体" w:eastAsia="宋体" w:hint="default"/>
                <w:spacing w:val="-45"/>
                <w:sz w:val="18"/>
                <w:szCs w:val="18"/>
              </w:rPr>
              <w:t> </w:t>
            </w:r>
            <w:r>
              <w:rPr>
                <w:rFonts w:ascii="宋体" w:hAnsi="宋体" w:cs="宋体" w:eastAsia="宋体" w:hint="default"/>
                <w:sz w:val="18"/>
                <w:szCs w:val="18"/>
              </w:rPr>
              <w:t>月起任本公司董事会秘书。</w:t>
            </w:r>
          </w:p>
        </w:tc>
      </w:tr>
      <w:tr>
        <w:trPr>
          <w:trHeight w:val="118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范云军</w:t>
            </w:r>
          </w:p>
        </w:tc>
        <w:tc>
          <w:tcPr>
            <w:tcW w:w="1263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92"/>
              <w:ind w:left="103" w:right="98"/>
              <w:jc w:val="both"/>
              <w:rPr>
                <w:rFonts w:ascii="宋体" w:hAnsi="宋体" w:cs="宋体" w:eastAsia="宋体" w:hint="default"/>
                <w:sz w:val="18"/>
                <w:szCs w:val="18"/>
              </w:rPr>
            </w:pPr>
            <w:r>
              <w:rPr>
                <w:rFonts w:ascii="宋体" w:hAnsi="宋体" w:cs="宋体" w:eastAsia="宋体" w:hint="default"/>
                <w:spacing w:val="-2"/>
                <w:sz w:val="18"/>
                <w:szCs w:val="18"/>
              </w:rPr>
              <w:t>高级工程师，</w:t>
            </w:r>
            <w:r>
              <w:rPr>
                <w:rFonts w:ascii="宋体" w:hAnsi="宋体" w:cs="宋体" w:eastAsia="宋体" w:hint="default"/>
                <w:spacing w:val="-2"/>
                <w:sz w:val="18"/>
                <w:szCs w:val="18"/>
              </w:rPr>
              <w:t>1998</w:t>
            </w:r>
            <w:r>
              <w:rPr>
                <w:rFonts w:ascii="宋体" w:hAnsi="宋体" w:cs="宋体" w:eastAsia="宋体" w:hint="default"/>
                <w:spacing w:val="-24"/>
                <w:sz w:val="18"/>
                <w:szCs w:val="18"/>
              </w:rPr>
              <w:t> </w:t>
            </w:r>
            <w:r>
              <w:rPr>
                <w:rFonts w:ascii="宋体" w:hAnsi="宋体" w:cs="宋体" w:eastAsia="宋体" w:hint="default"/>
                <w:spacing w:val="-1"/>
                <w:sz w:val="18"/>
                <w:szCs w:val="18"/>
              </w:rPr>
              <w:t>年毕业于北京邮电大学信号与信息处理专业，获得工学博士学位。范先生曾任中国移动通信集团北京有限公司董事兼副总经理、辛姆巴科有</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限公司董事长兼首席执行官、中国移动香港有限公司董事长、中国移动国际有限公司董事长兼首席执行官、中国移动通信集团北京有限公司董事长兼总经理。 范先生目前还担任中国联合网络通信集团有限公司副总经理、总法律顾问，联通红筹公司执行董事、高级副总裁，联通运营公司董事及高级副总裁。范先生具</w:t>
            </w:r>
            <w:r>
              <w:rPr>
                <w:rFonts w:ascii="宋体" w:hAnsi="宋体" w:cs="宋体" w:eastAsia="宋体" w:hint="default"/>
                <w:sz w:val="18"/>
                <w:szCs w:val="18"/>
              </w:rPr>
              <w:t> 有丰富的管理及电信行业从业经验。范先生自</w:t>
            </w:r>
            <w:r>
              <w:rPr>
                <w:rFonts w:ascii="宋体" w:hAnsi="宋体" w:cs="宋体" w:eastAsia="宋体" w:hint="default"/>
                <w:spacing w:val="-46"/>
                <w:sz w:val="18"/>
                <w:szCs w:val="18"/>
              </w:rPr>
              <w:t> </w:t>
            </w:r>
            <w:r>
              <w:rPr>
                <w:rFonts w:ascii="宋体" w:hAnsi="宋体" w:cs="宋体" w:eastAsia="宋体" w:hint="default"/>
                <w:sz w:val="18"/>
                <w:szCs w:val="18"/>
              </w:rPr>
              <w:t>2019</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月起任本公司高级副总裁，自</w:t>
            </w:r>
            <w:r>
              <w:rPr>
                <w:rFonts w:ascii="宋体" w:hAnsi="宋体" w:cs="宋体" w:eastAsia="宋体" w:hint="default"/>
                <w:spacing w:val="-46"/>
                <w:sz w:val="18"/>
                <w:szCs w:val="18"/>
              </w:rPr>
              <w:t> </w:t>
            </w:r>
            <w:r>
              <w:rPr>
                <w:rFonts w:ascii="宋体" w:hAnsi="宋体" w:cs="宋体" w:eastAsia="宋体" w:hint="default"/>
                <w:sz w:val="18"/>
                <w:szCs w:val="18"/>
              </w:rPr>
              <w:t>2019</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月起任本公司总法律顾问。</w:t>
            </w:r>
          </w:p>
        </w:tc>
      </w:tr>
      <w:tr>
        <w:trPr>
          <w:trHeight w:val="165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姜爱华</w:t>
            </w:r>
          </w:p>
        </w:tc>
        <w:tc>
          <w:tcPr>
            <w:tcW w:w="12633"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113"/>
              <w:ind w:left="103" w:right="99"/>
              <w:jc w:val="both"/>
              <w:rPr>
                <w:rFonts w:ascii="宋体" w:hAnsi="宋体" w:cs="宋体" w:eastAsia="宋体" w:hint="default"/>
                <w:sz w:val="18"/>
                <w:szCs w:val="18"/>
              </w:rPr>
            </w:pPr>
            <w:r>
              <w:rPr>
                <w:rFonts w:ascii="宋体" w:hAnsi="宋体" w:cs="宋体" w:eastAsia="宋体" w:hint="default"/>
                <w:sz w:val="18"/>
                <w:szCs w:val="18"/>
              </w:rPr>
              <w:t>高级会计师，</w:t>
            </w:r>
            <w:r>
              <w:rPr>
                <w:rFonts w:ascii="宋体" w:hAnsi="宋体" w:cs="宋体" w:eastAsia="宋体" w:hint="default"/>
                <w:sz w:val="18"/>
                <w:szCs w:val="18"/>
              </w:rPr>
              <w:t>1990</w:t>
            </w:r>
            <w:r>
              <w:rPr>
                <w:rFonts w:ascii="宋体" w:hAnsi="宋体" w:cs="宋体" w:eastAsia="宋体" w:hint="default"/>
                <w:spacing w:val="-38"/>
                <w:sz w:val="18"/>
                <w:szCs w:val="18"/>
              </w:rPr>
              <w:t> </w:t>
            </w:r>
            <w:r>
              <w:rPr>
                <w:rFonts w:ascii="宋体" w:hAnsi="宋体" w:cs="宋体" w:eastAsia="宋体" w:hint="default"/>
                <w:sz w:val="18"/>
                <w:szCs w:val="18"/>
              </w:rPr>
              <w:t>年毕业于中国人民大学函授学院工业经济管理专业并获得经济学学士学位，</w:t>
            </w:r>
            <w:r>
              <w:rPr>
                <w:rFonts w:ascii="宋体" w:hAnsi="宋体" w:cs="宋体" w:eastAsia="宋体" w:hint="default"/>
                <w:sz w:val="18"/>
                <w:szCs w:val="18"/>
              </w:rPr>
              <w:t>2005</w:t>
            </w:r>
            <w:r>
              <w:rPr>
                <w:rFonts w:ascii="宋体" w:hAnsi="宋体" w:cs="宋体" w:eastAsia="宋体" w:hint="default"/>
                <w:spacing w:val="-38"/>
                <w:sz w:val="18"/>
                <w:szCs w:val="18"/>
              </w:rPr>
              <w:t> </w:t>
            </w:r>
            <w:r>
              <w:rPr>
                <w:rFonts w:ascii="宋体" w:hAnsi="宋体" w:cs="宋体" w:eastAsia="宋体" w:hint="default"/>
                <w:sz w:val="18"/>
                <w:szCs w:val="18"/>
              </w:rPr>
              <w:t>年获得厦门大学管理学院工商管理硕士学位。</w:t>
            </w:r>
            <w:r>
              <w:rPr>
                <w:rFonts w:ascii="宋体" w:hAnsi="宋体" w:cs="宋体" w:eastAsia="宋体" w:hint="default"/>
                <w:sz w:val="18"/>
                <w:szCs w:val="18"/>
              </w:rPr>
              <w:t>1995</w:t>
            </w:r>
            <w:r>
              <w:rPr>
                <w:rFonts w:ascii="宋体" w:hAnsi="宋体" w:cs="宋体" w:eastAsia="宋体" w:hint="default"/>
                <w:spacing w:val="-40"/>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宋体" w:hAnsi="宋体" w:cs="宋体" w:eastAsia="宋体" w:hint="default"/>
                <w:sz w:val="18"/>
                <w:szCs w:val="18"/>
              </w:rPr>
              <w:t>2</w:t>
            </w:r>
            <w:r>
              <w:rPr>
                <w:rFonts w:ascii="宋体" w:hAnsi="宋体" w:cs="宋体" w:eastAsia="宋体" w:hint="default"/>
                <w:spacing w:val="-38"/>
                <w:sz w:val="18"/>
                <w:szCs w:val="18"/>
              </w:rPr>
              <w:t> </w:t>
            </w:r>
            <w:r>
              <w:rPr>
                <w:rFonts w:ascii="宋体" w:hAnsi="宋体" w:cs="宋体" w:eastAsia="宋体" w:hint="default"/>
                <w:sz w:val="18"/>
                <w:szCs w:val="18"/>
              </w:rPr>
              <w:t>月 至</w:t>
            </w:r>
            <w:r>
              <w:rPr>
                <w:rFonts w:ascii="宋体" w:hAnsi="宋体" w:cs="宋体" w:eastAsia="宋体" w:hint="default"/>
                <w:spacing w:val="-43"/>
                <w:sz w:val="18"/>
                <w:szCs w:val="18"/>
              </w:rPr>
              <w:t> </w:t>
            </w:r>
            <w:r>
              <w:rPr>
                <w:rFonts w:ascii="宋体" w:hAnsi="宋体" w:cs="宋体" w:eastAsia="宋体" w:hint="default"/>
                <w:sz w:val="18"/>
                <w:szCs w:val="18"/>
              </w:rPr>
              <w:t>1998</w:t>
            </w:r>
            <w:r>
              <w:rPr>
                <w:rFonts w:ascii="宋体" w:hAnsi="宋体" w:cs="宋体" w:eastAsia="宋体" w:hint="default"/>
                <w:spacing w:val="-4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宋体" w:hAnsi="宋体" w:cs="宋体" w:eastAsia="宋体" w:hint="default"/>
                <w:sz w:val="18"/>
                <w:szCs w:val="18"/>
              </w:rPr>
              <w:t>9</w:t>
            </w:r>
            <w:r>
              <w:rPr>
                <w:rFonts w:ascii="宋体" w:hAnsi="宋体" w:cs="宋体" w:eastAsia="宋体" w:hint="default"/>
                <w:spacing w:val="-42"/>
                <w:sz w:val="18"/>
                <w:szCs w:val="18"/>
              </w:rPr>
              <w:t> </w:t>
            </w:r>
            <w:r>
              <w:rPr>
                <w:rFonts w:ascii="宋体" w:hAnsi="宋体" w:cs="宋体" w:eastAsia="宋体" w:hint="default"/>
                <w:sz w:val="18"/>
                <w:szCs w:val="18"/>
              </w:rPr>
              <w:t>月任邮电部电信科学研究院计财处副处长、处长；</w:t>
            </w:r>
            <w:r>
              <w:rPr>
                <w:rFonts w:ascii="宋体" w:hAnsi="宋体" w:cs="宋体" w:eastAsia="宋体" w:hint="default"/>
                <w:sz w:val="18"/>
                <w:szCs w:val="18"/>
              </w:rPr>
              <w:t>1998</w:t>
            </w:r>
            <w:r>
              <w:rPr>
                <w:rFonts w:ascii="宋体" w:hAnsi="宋体" w:cs="宋体" w:eastAsia="宋体" w:hint="default"/>
                <w:spacing w:val="-4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宋体" w:hAnsi="宋体" w:cs="宋体" w:eastAsia="宋体" w:hint="default"/>
                <w:sz w:val="18"/>
                <w:szCs w:val="18"/>
              </w:rPr>
              <w:t>9</w:t>
            </w:r>
            <w:r>
              <w:rPr>
                <w:rFonts w:ascii="宋体" w:hAnsi="宋体" w:cs="宋体" w:eastAsia="宋体" w:hint="default"/>
                <w:spacing w:val="-42"/>
                <w:sz w:val="18"/>
                <w:szCs w:val="18"/>
              </w:rPr>
              <w:t> </w:t>
            </w:r>
            <w:r>
              <w:rPr>
                <w:rFonts w:ascii="宋体" w:hAnsi="宋体" w:cs="宋体" w:eastAsia="宋体" w:hint="default"/>
                <w:sz w:val="18"/>
                <w:szCs w:val="18"/>
              </w:rPr>
              <w:t>月至</w:t>
            </w:r>
            <w:r>
              <w:rPr>
                <w:rFonts w:ascii="宋体" w:hAnsi="宋体" w:cs="宋体" w:eastAsia="宋体" w:hint="default"/>
                <w:spacing w:val="-43"/>
                <w:sz w:val="18"/>
                <w:szCs w:val="18"/>
              </w:rPr>
              <w:t> </w:t>
            </w:r>
            <w:r>
              <w:rPr>
                <w:rFonts w:ascii="宋体" w:hAnsi="宋体" w:cs="宋体" w:eastAsia="宋体" w:hint="default"/>
                <w:sz w:val="18"/>
                <w:szCs w:val="18"/>
              </w:rPr>
              <w:t>2001</w:t>
            </w:r>
            <w:r>
              <w:rPr>
                <w:rFonts w:ascii="宋体" w:hAnsi="宋体" w:cs="宋体" w:eastAsia="宋体" w:hint="default"/>
                <w:spacing w:val="-4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宋体" w:hAnsi="宋体" w:cs="宋体" w:eastAsia="宋体" w:hint="default"/>
                <w:sz w:val="18"/>
                <w:szCs w:val="18"/>
              </w:rPr>
              <w:t>12</w:t>
            </w:r>
            <w:r>
              <w:rPr>
                <w:rFonts w:ascii="宋体" w:hAnsi="宋体" w:cs="宋体" w:eastAsia="宋体" w:hint="default"/>
                <w:spacing w:val="-42"/>
                <w:sz w:val="18"/>
                <w:szCs w:val="18"/>
              </w:rPr>
              <w:t> </w:t>
            </w:r>
            <w:r>
              <w:rPr>
                <w:rFonts w:ascii="宋体" w:hAnsi="宋体" w:cs="宋体" w:eastAsia="宋体" w:hint="default"/>
                <w:sz w:val="18"/>
                <w:szCs w:val="18"/>
              </w:rPr>
              <w:t>月任大唐电信科技股份有限公司财务部总经理、总裁助理兼财务部总</w:t>
            </w:r>
          </w:p>
          <w:p>
            <w:pPr>
              <w:pStyle w:val="TableParagraph"/>
              <w:spacing w:line="211" w:lineRule="exact"/>
              <w:ind w:left="103" w:right="0"/>
              <w:jc w:val="both"/>
              <w:rPr>
                <w:rFonts w:ascii="宋体" w:hAnsi="宋体" w:cs="宋体" w:eastAsia="宋体" w:hint="default"/>
                <w:sz w:val="18"/>
                <w:szCs w:val="18"/>
              </w:rPr>
            </w:pPr>
            <w:r>
              <w:rPr>
                <w:rFonts w:ascii="宋体" w:hAnsi="宋体" w:cs="宋体" w:eastAsia="宋体" w:hint="default"/>
                <w:sz w:val="18"/>
                <w:szCs w:val="18"/>
              </w:rPr>
              <w:t>经理，并任大唐电信科技股份有限公司第一任董事；</w:t>
            </w:r>
            <w:r>
              <w:rPr>
                <w:rFonts w:ascii="宋体" w:hAnsi="宋体" w:cs="宋体" w:eastAsia="宋体" w:hint="default"/>
                <w:sz w:val="18"/>
                <w:szCs w:val="18"/>
              </w:rPr>
              <w:t>2001</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月至</w:t>
            </w:r>
            <w:r>
              <w:rPr>
                <w:rFonts w:ascii="宋体" w:hAnsi="宋体" w:cs="宋体" w:eastAsia="宋体" w:hint="default"/>
                <w:spacing w:val="-48"/>
                <w:sz w:val="18"/>
                <w:szCs w:val="18"/>
              </w:rPr>
              <w:t> </w:t>
            </w:r>
            <w:r>
              <w:rPr>
                <w:rFonts w:ascii="宋体" w:hAnsi="宋体" w:cs="宋体" w:eastAsia="宋体" w:hint="default"/>
                <w:sz w:val="18"/>
                <w:szCs w:val="18"/>
              </w:rPr>
              <w:t>2003</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月任北京首信股份有限公司经营财务部总经理；</w:t>
            </w:r>
            <w:r>
              <w:rPr>
                <w:rFonts w:ascii="宋体" w:hAnsi="宋体" w:cs="宋体" w:eastAsia="宋体" w:hint="default"/>
                <w:sz w:val="18"/>
                <w:szCs w:val="18"/>
              </w:rPr>
              <w:t>2003</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月至</w:t>
            </w:r>
            <w:r>
              <w:rPr>
                <w:rFonts w:ascii="宋体" w:hAnsi="宋体" w:cs="宋体" w:eastAsia="宋体" w:hint="default"/>
                <w:spacing w:val="-48"/>
                <w:sz w:val="18"/>
                <w:szCs w:val="18"/>
              </w:rPr>
              <w:t> </w:t>
            </w:r>
            <w:r>
              <w:rPr>
                <w:rFonts w:ascii="宋体" w:hAnsi="宋体" w:cs="宋体" w:eastAsia="宋体" w:hint="default"/>
                <w:sz w:val="18"/>
                <w:szCs w:val="18"/>
              </w:rPr>
              <w:t>2004</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7</w:t>
            </w:r>
            <w:r>
              <w:rPr>
                <w:rFonts w:ascii="宋体" w:hAnsi="宋体" w:cs="宋体" w:eastAsia="宋体" w:hint="default"/>
                <w:spacing w:val="-45"/>
                <w:sz w:val="18"/>
                <w:szCs w:val="18"/>
              </w:rPr>
              <w:t> </w:t>
            </w:r>
            <w:r>
              <w:rPr>
                <w:rFonts w:ascii="宋体" w:hAnsi="宋体" w:cs="宋体" w:eastAsia="宋体" w:hint="default"/>
                <w:sz w:val="18"/>
                <w:szCs w:val="18"/>
              </w:rPr>
              <w:t>月任</w:t>
            </w:r>
          </w:p>
          <w:p>
            <w:pPr>
              <w:pStyle w:val="TableParagraph"/>
              <w:spacing w:line="232" w:lineRule="exact" w:before="24"/>
              <w:ind w:left="103" w:right="97"/>
              <w:jc w:val="both"/>
              <w:rPr>
                <w:rFonts w:ascii="宋体" w:hAnsi="宋体" w:cs="宋体" w:eastAsia="宋体" w:hint="default"/>
                <w:sz w:val="18"/>
                <w:szCs w:val="18"/>
              </w:rPr>
            </w:pPr>
            <w:r>
              <w:rPr>
                <w:rFonts w:ascii="宋体" w:hAnsi="宋体" w:cs="宋体" w:eastAsia="宋体" w:hint="default"/>
                <w:sz w:val="18"/>
                <w:szCs w:val="18"/>
              </w:rPr>
              <w:t>中国网通集团国际通信有限公司总裁助理；</w:t>
            </w:r>
            <w:r>
              <w:rPr>
                <w:rFonts w:ascii="宋体" w:hAnsi="宋体" w:cs="宋体" w:eastAsia="宋体" w:hint="default"/>
                <w:sz w:val="18"/>
                <w:szCs w:val="18"/>
              </w:rPr>
              <w:t>2004</w:t>
            </w:r>
            <w:r>
              <w:rPr>
                <w:rFonts w:ascii="宋体" w:hAnsi="宋体" w:cs="宋体" w:eastAsia="宋体" w:hint="default"/>
                <w:spacing w:val="-35"/>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宋体" w:hAnsi="宋体" w:cs="宋体" w:eastAsia="宋体" w:hint="default"/>
                <w:sz w:val="18"/>
                <w:szCs w:val="18"/>
              </w:rPr>
              <w:t>7</w:t>
            </w:r>
            <w:r>
              <w:rPr>
                <w:rFonts w:ascii="宋体" w:hAnsi="宋体" w:cs="宋体" w:eastAsia="宋体" w:hint="default"/>
                <w:spacing w:val="-35"/>
                <w:sz w:val="18"/>
                <w:szCs w:val="18"/>
              </w:rPr>
              <w:t> </w:t>
            </w:r>
            <w:r>
              <w:rPr>
                <w:rFonts w:ascii="宋体" w:hAnsi="宋体" w:cs="宋体" w:eastAsia="宋体" w:hint="default"/>
                <w:sz w:val="18"/>
                <w:szCs w:val="18"/>
              </w:rPr>
              <w:t>月至</w:t>
            </w:r>
            <w:r>
              <w:rPr>
                <w:rFonts w:ascii="宋体" w:hAnsi="宋体" w:cs="宋体" w:eastAsia="宋体" w:hint="default"/>
                <w:spacing w:val="-36"/>
                <w:sz w:val="18"/>
                <w:szCs w:val="18"/>
              </w:rPr>
              <w:t> </w:t>
            </w:r>
            <w:r>
              <w:rPr>
                <w:rFonts w:ascii="宋体" w:hAnsi="宋体" w:cs="宋体" w:eastAsia="宋体" w:hint="default"/>
                <w:sz w:val="18"/>
                <w:szCs w:val="18"/>
              </w:rPr>
              <w:t>2007</w:t>
            </w:r>
            <w:r>
              <w:rPr>
                <w:rFonts w:ascii="宋体" w:hAnsi="宋体" w:cs="宋体" w:eastAsia="宋体" w:hint="default"/>
                <w:spacing w:val="-35"/>
                <w:sz w:val="18"/>
                <w:szCs w:val="18"/>
              </w:rPr>
              <w:t> </w:t>
            </w:r>
            <w:r>
              <w:rPr>
                <w:rFonts w:ascii="宋体" w:hAnsi="宋体" w:cs="宋体" w:eastAsia="宋体" w:hint="default"/>
                <w:sz w:val="18"/>
                <w:szCs w:val="18"/>
              </w:rPr>
              <w:t>年</w:t>
            </w:r>
            <w:r>
              <w:rPr>
                <w:rFonts w:ascii="宋体" w:hAnsi="宋体" w:cs="宋体" w:eastAsia="宋体" w:hint="default"/>
                <w:spacing w:val="-36"/>
                <w:sz w:val="18"/>
                <w:szCs w:val="18"/>
              </w:rPr>
              <w:t> </w:t>
            </w:r>
            <w:r>
              <w:rPr>
                <w:rFonts w:ascii="宋体" w:hAnsi="宋体" w:cs="宋体" w:eastAsia="宋体" w:hint="default"/>
                <w:sz w:val="18"/>
                <w:szCs w:val="18"/>
              </w:rPr>
              <w:t>8</w:t>
            </w:r>
            <w:r>
              <w:rPr>
                <w:rFonts w:ascii="宋体" w:hAnsi="宋体" w:cs="宋体" w:eastAsia="宋体" w:hint="default"/>
                <w:spacing w:val="-35"/>
                <w:sz w:val="18"/>
                <w:szCs w:val="18"/>
              </w:rPr>
              <w:t> </w:t>
            </w:r>
            <w:r>
              <w:rPr>
                <w:rFonts w:ascii="宋体" w:hAnsi="宋体" w:cs="宋体" w:eastAsia="宋体" w:hint="default"/>
                <w:sz w:val="18"/>
                <w:szCs w:val="18"/>
              </w:rPr>
              <w:t>月任中国网络通信集团公司（“网通集团”）财务部副总经理；</w:t>
            </w:r>
            <w:r>
              <w:rPr>
                <w:rFonts w:ascii="宋体" w:hAnsi="宋体" w:cs="宋体" w:eastAsia="宋体" w:hint="default"/>
                <w:sz w:val="18"/>
                <w:szCs w:val="18"/>
              </w:rPr>
              <w:t>2007</w:t>
            </w:r>
            <w:r>
              <w:rPr>
                <w:rFonts w:ascii="宋体" w:hAnsi="宋体" w:cs="宋体" w:eastAsia="宋体" w:hint="default"/>
                <w:spacing w:val="-35"/>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宋体" w:hAnsi="宋体" w:cs="宋体" w:eastAsia="宋体" w:hint="default"/>
                <w:sz w:val="18"/>
                <w:szCs w:val="18"/>
              </w:rPr>
              <w:t>8</w:t>
            </w:r>
            <w:r>
              <w:rPr>
                <w:rFonts w:ascii="宋体" w:hAnsi="宋体" w:cs="宋体" w:eastAsia="宋体" w:hint="default"/>
                <w:spacing w:val="-35"/>
                <w:sz w:val="18"/>
                <w:szCs w:val="18"/>
              </w:rPr>
              <w:t> </w:t>
            </w:r>
            <w:r>
              <w:rPr>
                <w:rFonts w:ascii="宋体" w:hAnsi="宋体" w:cs="宋体" w:eastAsia="宋体" w:hint="default"/>
                <w:sz w:val="18"/>
                <w:szCs w:val="18"/>
              </w:rPr>
              <w:t>月至</w:t>
            </w:r>
            <w:r>
              <w:rPr>
                <w:rFonts w:ascii="宋体" w:hAnsi="宋体" w:cs="宋体" w:eastAsia="宋体" w:hint="default"/>
                <w:spacing w:val="-36"/>
                <w:sz w:val="18"/>
                <w:szCs w:val="18"/>
              </w:rPr>
              <w:t> </w:t>
            </w:r>
            <w:r>
              <w:rPr>
                <w:rFonts w:ascii="宋体" w:hAnsi="宋体" w:cs="宋体" w:eastAsia="宋体" w:hint="default"/>
                <w:sz w:val="18"/>
                <w:szCs w:val="18"/>
              </w:rPr>
              <w:t>2010</w:t>
            </w:r>
            <w:r>
              <w:rPr>
                <w:rFonts w:ascii="宋体" w:hAnsi="宋体" w:cs="宋体" w:eastAsia="宋体" w:hint="default"/>
                <w:spacing w:val="-34"/>
                <w:sz w:val="18"/>
                <w:szCs w:val="18"/>
              </w:rPr>
              <w:t> </w:t>
            </w:r>
            <w:r>
              <w:rPr>
                <w:rFonts w:ascii="宋体" w:hAnsi="宋体" w:cs="宋体" w:eastAsia="宋体" w:hint="default"/>
                <w:sz w:val="18"/>
                <w:szCs w:val="18"/>
              </w:rPr>
              <w:t>年</w:t>
            </w:r>
            <w:r>
              <w:rPr>
                <w:rFonts w:ascii="宋体" w:hAnsi="宋体" w:cs="宋体" w:eastAsia="宋体" w:hint="default"/>
                <w:spacing w:val="-36"/>
                <w:sz w:val="18"/>
                <w:szCs w:val="18"/>
              </w:rPr>
              <w:t> </w:t>
            </w:r>
            <w:r>
              <w:rPr>
                <w:rFonts w:ascii="宋体" w:hAnsi="宋体" w:cs="宋体" w:eastAsia="宋体" w:hint="default"/>
                <w:sz w:val="18"/>
                <w:szCs w:val="18"/>
              </w:rPr>
              <w:t>3 </w:t>
            </w:r>
            <w:r>
              <w:rPr>
                <w:rFonts w:ascii="宋体" w:hAnsi="宋体" w:cs="宋体" w:eastAsia="宋体" w:hint="default"/>
                <w:sz w:val="18"/>
                <w:szCs w:val="18"/>
              </w:rPr>
              <w:t>月历任网通集团财务共享中心总经理、中国联合网络通信有限公司财务共享中心总经理；</w:t>
            </w:r>
            <w:r>
              <w:rPr>
                <w:rFonts w:ascii="宋体" w:hAnsi="宋体" w:cs="宋体" w:eastAsia="宋体" w:hint="default"/>
                <w:sz w:val="18"/>
                <w:szCs w:val="18"/>
              </w:rPr>
              <w:t>2010</w:t>
            </w:r>
            <w:r>
              <w:rPr>
                <w:rFonts w:ascii="宋体" w:hAnsi="宋体" w:cs="宋体" w:eastAsia="宋体" w:hint="default"/>
                <w:spacing w:val="-59"/>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宋体" w:hAnsi="宋体" w:cs="宋体" w:eastAsia="宋体" w:hint="default"/>
                <w:sz w:val="18"/>
                <w:szCs w:val="18"/>
              </w:rPr>
              <w:t>3</w:t>
            </w:r>
            <w:r>
              <w:rPr>
                <w:rFonts w:ascii="宋体" w:hAnsi="宋体" w:cs="宋体" w:eastAsia="宋体" w:hint="default"/>
                <w:spacing w:val="-60"/>
                <w:sz w:val="18"/>
                <w:szCs w:val="18"/>
              </w:rPr>
              <w:t> </w:t>
            </w:r>
            <w:r>
              <w:rPr>
                <w:rFonts w:ascii="宋体" w:hAnsi="宋体" w:cs="宋体" w:eastAsia="宋体" w:hint="default"/>
                <w:sz w:val="18"/>
                <w:szCs w:val="18"/>
              </w:rPr>
              <w:t>月起至今任中国联合网络通信有限公司财务部副总经理。姜 爱华女士长期在电信行业工作，具有丰富的电信行业管理经验和财务管理经验。姜女士自</w:t>
            </w:r>
            <w:r>
              <w:rPr>
                <w:rFonts w:ascii="宋体" w:hAnsi="宋体" w:cs="宋体" w:eastAsia="宋体" w:hint="default"/>
                <w:spacing w:val="-46"/>
                <w:sz w:val="18"/>
                <w:szCs w:val="18"/>
              </w:rPr>
              <w:t> </w:t>
            </w:r>
            <w:r>
              <w:rPr>
                <w:rFonts w:ascii="宋体" w:hAnsi="宋体" w:cs="宋体" w:eastAsia="宋体" w:hint="default"/>
                <w:sz w:val="18"/>
                <w:szCs w:val="18"/>
              </w:rPr>
              <w:t>2017</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月起担任本公司财务负责人。</w:t>
            </w:r>
          </w:p>
        </w:tc>
      </w:tr>
    </w:tbl>
    <w:p>
      <w:pPr>
        <w:spacing w:after="0" w:line="232" w:lineRule="exact"/>
        <w:jc w:val="both"/>
        <w:rPr>
          <w:rFonts w:ascii="宋体" w:hAnsi="宋体" w:cs="宋体" w:eastAsia="宋体" w:hint="default"/>
          <w:sz w:val="18"/>
          <w:szCs w:val="18"/>
        </w:rPr>
        <w:sectPr>
          <w:footerReference w:type="default" r:id="rId65"/>
          <w:pgSz w:w="16840" w:h="11910" w:orient="landscape"/>
          <w:pgMar w:footer="502" w:header="854" w:top="1340" w:bottom="700" w:left="1300" w:right="1300"/>
        </w:sectPr>
      </w:pPr>
    </w:p>
    <w:p>
      <w:pPr>
        <w:spacing w:line="240" w:lineRule="auto" w:before="1"/>
        <w:rPr>
          <w:rFonts w:ascii="宋体" w:hAnsi="宋体" w:cs="宋体" w:eastAsia="宋体" w:hint="default"/>
          <w:sz w:val="2"/>
          <w:szCs w:val="2"/>
        </w:rPr>
      </w:pPr>
    </w:p>
    <w:p>
      <w:pPr>
        <w:spacing w:line="20" w:lineRule="exact"/>
        <w:ind w:left="368" w:right="0" w:firstLine="0"/>
        <w:rPr>
          <w:rFonts w:ascii="宋体" w:hAnsi="宋体" w:cs="宋体" w:eastAsia="宋体" w:hint="default"/>
          <w:sz w:val="2"/>
          <w:szCs w:val="2"/>
        </w:rPr>
      </w:pPr>
      <w:r>
        <w:rPr>
          <w:rFonts w:ascii="宋体" w:hAnsi="宋体" w:cs="宋体" w:eastAsia="宋体" w:hint="default"/>
          <w:sz w:val="2"/>
          <w:szCs w:val="2"/>
        </w:rPr>
        <w:pict>
          <v:group style="width:696.4pt;height:.75pt;mso-position-horizontal-relative:char;mso-position-vertical-relative:line" coordorigin="0,0" coordsize="13928,15">
            <v:group style="position:absolute;left:7;top:7;width:13913;height:2" coordorigin="7,7" coordsize="13913,2">
              <v:shape style="position:absolute;left:7;top:7;width:13913;height:2" coordorigin="7,7" coordsize="13913,0" path="m7,7l13920,7e" filled="false" stroked="true" strokeweight=".72pt" strokecolor="#000000">
                <v:path arrowok="t"/>
              </v:shape>
            </v:group>
          </v:group>
        </w:pict>
      </w:r>
      <w:r>
        <w:rPr>
          <w:rFonts w:ascii="宋体" w:hAnsi="宋体" w:cs="宋体" w:eastAsia="宋体" w:hint="default"/>
          <w:sz w:val="2"/>
          <w:szCs w:val="2"/>
        </w:rPr>
      </w:r>
    </w:p>
    <w:p>
      <w:pPr>
        <w:spacing w:line="240" w:lineRule="auto" w:before="9"/>
        <w:rPr>
          <w:rFonts w:ascii="宋体" w:hAnsi="宋体" w:cs="宋体" w:eastAsia="宋体" w:hint="default"/>
          <w:sz w:val="19"/>
          <w:szCs w:val="19"/>
        </w:rPr>
      </w:pPr>
    </w:p>
    <w:p>
      <w:pPr>
        <w:spacing w:line="318" w:lineRule="exact" w:before="0"/>
        <w:ind w:left="40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二、现任及报告期内离任董事、监事和高级管理人员的任职情况</w:t>
      </w:r>
      <w:r>
        <w:rPr>
          <w:rFonts w:ascii="Microsoft JhengHei" w:hAnsi="Microsoft JhengHei" w:cs="Microsoft JhengHei" w:eastAsia="Microsoft JhengHei" w:hint="default"/>
          <w:sz w:val="21"/>
          <w:szCs w:val="21"/>
        </w:rPr>
      </w:r>
    </w:p>
    <w:p>
      <w:pPr>
        <w:spacing w:line="351" w:lineRule="exact" w:before="0"/>
        <w:ind w:left="404" w:right="0"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一</w:t>
      </w:r>
      <w:r>
        <w:rPr>
          <w:rFonts w:ascii="Calibri" w:hAnsi="Calibri" w:cs="Calibri" w:eastAsia="Calibri" w:hint="default"/>
          <w:b/>
          <w:bCs/>
          <w:sz w:val="21"/>
          <w:szCs w:val="21"/>
        </w:rPr>
        <w:t>)</w:t>
      </w:r>
      <w:r>
        <w:rPr>
          <w:rFonts w:ascii="Calibri" w:hAnsi="Calibri" w:cs="Calibri" w:eastAsia="Calibri" w:hint="default"/>
          <w:b/>
          <w:bCs/>
          <w:spacing w:val="41"/>
          <w:sz w:val="21"/>
          <w:szCs w:val="21"/>
        </w:rPr>
        <w:t> </w:t>
      </w:r>
      <w:r>
        <w:rPr>
          <w:rFonts w:ascii="Microsoft JhengHei" w:hAnsi="Microsoft JhengHei" w:cs="Microsoft JhengHei" w:eastAsia="Microsoft JhengHei" w:hint="default"/>
          <w:b/>
          <w:bCs/>
          <w:sz w:val="21"/>
          <w:szCs w:val="21"/>
        </w:rPr>
        <w:t>在股东单位任职情况</w:t>
      </w:r>
      <w:r>
        <w:rPr>
          <w:rFonts w:ascii="Microsoft JhengHei" w:hAnsi="Microsoft JhengHei" w:cs="Microsoft JhengHei" w:eastAsia="Microsoft JhengHei" w:hint="default"/>
          <w:sz w:val="21"/>
          <w:szCs w:val="21"/>
        </w:rPr>
      </w:r>
    </w:p>
    <w:p>
      <w:pPr>
        <w:spacing w:line="240" w:lineRule="auto" w:before="14"/>
        <w:rPr>
          <w:rFonts w:ascii="Microsoft JhengHei" w:hAnsi="Microsoft JhengHei" w:cs="Microsoft JhengHei" w:eastAsia="Microsoft JhengHei" w:hint="default"/>
          <w:b/>
          <w:bCs/>
          <w:sz w:val="3"/>
          <w:szCs w:val="3"/>
        </w:rPr>
      </w:pPr>
    </w:p>
    <w:tbl>
      <w:tblPr>
        <w:tblW w:w="0" w:type="auto"/>
        <w:jc w:val="left"/>
        <w:tblInd w:w="291" w:type="dxa"/>
        <w:tblLayout w:type="fixed"/>
        <w:tblCellMar>
          <w:top w:w="0" w:type="dxa"/>
          <w:left w:w="0" w:type="dxa"/>
          <w:bottom w:w="0" w:type="dxa"/>
          <w:right w:w="0" w:type="dxa"/>
        </w:tblCellMar>
        <w:tblLook w:val="01E0"/>
      </w:tblPr>
      <w:tblGrid>
        <w:gridCol w:w="2758"/>
        <w:gridCol w:w="3625"/>
        <w:gridCol w:w="2789"/>
        <w:gridCol w:w="2353"/>
        <w:gridCol w:w="2340"/>
      </w:tblGrid>
      <w:tr>
        <w:trPr>
          <w:trHeight w:val="282" w:hRule="exact"/>
        </w:trPr>
        <w:tc>
          <w:tcPr>
            <w:tcW w:w="27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744" w:right="0"/>
              <w:jc w:val="left"/>
              <w:rPr>
                <w:rFonts w:ascii="宋体" w:hAnsi="宋体" w:cs="宋体" w:eastAsia="宋体" w:hint="default"/>
                <w:sz w:val="21"/>
                <w:szCs w:val="21"/>
              </w:rPr>
            </w:pPr>
            <w:r>
              <w:rPr>
                <w:rFonts w:ascii="宋体" w:hAnsi="宋体" w:cs="宋体" w:eastAsia="宋体" w:hint="default"/>
                <w:sz w:val="21"/>
                <w:szCs w:val="21"/>
              </w:rPr>
              <w:t>任职人员姓名</w:t>
            </w:r>
          </w:p>
        </w:tc>
        <w:tc>
          <w:tcPr>
            <w:tcW w:w="36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179" w:right="0"/>
              <w:jc w:val="left"/>
              <w:rPr>
                <w:rFonts w:ascii="宋体" w:hAnsi="宋体" w:cs="宋体" w:eastAsia="宋体" w:hint="default"/>
                <w:sz w:val="21"/>
                <w:szCs w:val="21"/>
              </w:rPr>
            </w:pPr>
            <w:r>
              <w:rPr>
                <w:rFonts w:ascii="宋体" w:hAnsi="宋体" w:cs="宋体" w:eastAsia="宋体" w:hint="default"/>
                <w:sz w:val="21"/>
                <w:szCs w:val="21"/>
              </w:rPr>
              <w:t>股东单位名称</w:t>
            </w:r>
          </w:p>
        </w:tc>
        <w:tc>
          <w:tcPr>
            <w:tcW w:w="27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338" w:right="0"/>
              <w:jc w:val="left"/>
              <w:rPr>
                <w:rFonts w:ascii="宋体" w:hAnsi="宋体" w:cs="宋体" w:eastAsia="宋体" w:hint="default"/>
                <w:sz w:val="21"/>
                <w:szCs w:val="21"/>
              </w:rPr>
            </w:pPr>
            <w:r>
              <w:rPr>
                <w:rFonts w:ascii="宋体" w:hAnsi="宋体" w:cs="宋体" w:eastAsia="宋体" w:hint="default"/>
                <w:sz w:val="21"/>
                <w:szCs w:val="21"/>
              </w:rPr>
              <w:t>在股东单位担任的职务</w:t>
            </w:r>
          </w:p>
        </w:tc>
        <w:tc>
          <w:tcPr>
            <w:tcW w:w="23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540" w:right="0"/>
              <w:jc w:val="left"/>
              <w:rPr>
                <w:rFonts w:ascii="宋体" w:hAnsi="宋体" w:cs="宋体" w:eastAsia="宋体" w:hint="default"/>
                <w:sz w:val="21"/>
                <w:szCs w:val="21"/>
              </w:rPr>
            </w:pPr>
            <w:r>
              <w:rPr>
                <w:rFonts w:ascii="宋体" w:hAnsi="宋体" w:cs="宋体" w:eastAsia="宋体" w:hint="default"/>
                <w:sz w:val="21"/>
                <w:szCs w:val="21"/>
              </w:rPr>
              <w:t>任期起始日期</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537" w:right="0"/>
              <w:jc w:val="left"/>
              <w:rPr>
                <w:rFonts w:ascii="宋体" w:hAnsi="宋体" w:cs="宋体" w:eastAsia="宋体" w:hint="default"/>
                <w:sz w:val="21"/>
                <w:szCs w:val="21"/>
              </w:rPr>
            </w:pPr>
            <w:r>
              <w:rPr>
                <w:rFonts w:ascii="宋体" w:hAnsi="宋体" w:cs="宋体" w:eastAsia="宋体" w:hint="default"/>
                <w:sz w:val="21"/>
                <w:szCs w:val="21"/>
              </w:rPr>
              <w:t>任期终止日期</w:t>
            </w:r>
          </w:p>
        </w:tc>
      </w:tr>
      <w:tr>
        <w:trPr>
          <w:trHeight w:val="282" w:hRule="exact"/>
        </w:trPr>
        <w:tc>
          <w:tcPr>
            <w:tcW w:w="13865"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2" w:lineRule="exact"/>
              <w:ind w:left="103" w:right="0"/>
              <w:jc w:val="left"/>
              <w:rPr>
                <w:rFonts w:ascii="宋体" w:hAnsi="宋体" w:cs="宋体" w:eastAsia="宋体" w:hint="default"/>
                <w:sz w:val="21"/>
                <w:szCs w:val="21"/>
              </w:rPr>
            </w:pPr>
            <w:r>
              <w:rPr>
                <w:rFonts w:ascii="宋体" w:hAnsi="宋体" w:cs="宋体" w:eastAsia="宋体" w:hint="default"/>
                <w:sz w:val="21"/>
                <w:szCs w:val="21"/>
              </w:rPr>
              <w:t>截至年度报告披露日，公司现任董事、监事和高级管理人员：</w:t>
            </w:r>
          </w:p>
        </w:tc>
      </w:tr>
      <w:tr>
        <w:trPr>
          <w:trHeight w:val="283" w:hRule="exact"/>
        </w:trPr>
        <w:tc>
          <w:tcPr>
            <w:tcW w:w="27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王晓初</w:t>
            </w:r>
          </w:p>
        </w:tc>
        <w:tc>
          <w:tcPr>
            <w:tcW w:w="3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联通集团</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r>
      <w:tr>
        <w:trPr>
          <w:trHeight w:val="281" w:hRule="exact"/>
        </w:trPr>
        <w:tc>
          <w:tcPr>
            <w:tcW w:w="27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李福申</w:t>
            </w:r>
          </w:p>
        </w:tc>
        <w:tc>
          <w:tcPr>
            <w:tcW w:w="3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联通集团</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r>
      <w:tr>
        <w:trPr>
          <w:trHeight w:val="284" w:hRule="exact"/>
        </w:trPr>
        <w:tc>
          <w:tcPr>
            <w:tcW w:w="275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买彦州</w:t>
            </w:r>
          </w:p>
        </w:tc>
        <w:tc>
          <w:tcPr>
            <w:tcW w:w="362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联通集团</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r>
      <w:tr>
        <w:trPr>
          <w:trHeight w:val="283" w:hRule="exact"/>
        </w:trPr>
        <w:tc>
          <w:tcPr>
            <w:tcW w:w="27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梁宝俊</w:t>
            </w:r>
          </w:p>
        </w:tc>
        <w:tc>
          <w:tcPr>
            <w:tcW w:w="3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联通集团</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r>
      <w:tr>
        <w:trPr>
          <w:trHeight w:val="281" w:hRule="exact"/>
        </w:trPr>
        <w:tc>
          <w:tcPr>
            <w:tcW w:w="27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朱可炳</w:t>
            </w:r>
          </w:p>
        </w:tc>
        <w:tc>
          <w:tcPr>
            <w:tcW w:w="3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联通集团</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总会计师</w:t>
            </w:r>
          </w:p>
        </w:tc>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r>
      <w:tr>
        <w:trPr>
          <w:trHeight w:val="283" w:hRule="exact"/>
        </w:trPr>
        <w:tc>
          <w:tcPr>
            <w:tcW w:w="2758" w:type="dxa"/>
            <w:vMerge w:val="restart"/>
            <w:tcBorders>
              <w:top w:val="single" w:sz="4" w:space="0" w:color="000000"/>
              <w:left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范云军</w:t>
            </w:r>
          </w:p>
        </w:tc>
        <w:tc>
          <w:tcPr>
            <w:tcW w:w="362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联通集团</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r>
      <w:tr>
        <w:trPr>
          <w:trHeight w:val="283" w:hRule="exact"/>
        </w:trPr>
        <w:tc>
          <w:tcPr>
            <w:tcW w:w="2758" w:type="dxa"/>
            <w:vMerge/>
            <w:tcBorders>
              <w:left w:val="single" w:sz="4" w:space="0" w:color="000000"/>
              <w:bottom w:val="single" w:sz="4" w:space="0" w:color="000000"/>
              <w:right w:val="single" w:sz="4" w:space="0" w:color="000000"/>
            </w:tcBorders>
          </w:tcPr>
          <w:p>
            <w:pPr/>
          </w:p>
        </w:tc>
        <w:tc>
          <w:tcPr>
            <w:tcW w:w="3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联通集团</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总法律顾问</w:t>
            </w:r>
          </w:p>
        </w:tc>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r>
      <w:tr>
        <w:trPr>
          <w:trHeight w:val="365" w:hRule="exact"/>
        </w:trPr>
        <w:tc>
          <w:tcPr>
            <w:tcW w:w="13865"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截至年度报告披露日，公司离任董事、监事和高级管理人员：</w:t>
            </w:r>
          </w:p>
        </w:tc>
      </w:tr>
      <w:tr>
        <w:trPr>
          <w:trHeight w:val="281" w:hRule="exact"/>
        </w:trPr>
        <w:tc>
          <w:tcPr>
            <w:tcW w:w="27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李国华</w:t>
            </w:r>
          </w:p>
        </w:tc>
        <w:tc>
          <w:tcPr>
            <w:tcW w:w="3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联通集团</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董事、总经理</w:t>
            </w:r>
          </w:p>
        </w:tc>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2020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r>
      <w:tr>
        <w:trPr>
          <w:trHeight w:val="283" w:hRule="exact"/>
        </w:trPr>
        <w:tc>
          <w:tcPr>
            <w:tcW w:w="275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邵广禄</w:t>
            </w:r>
          </w:p>
        </w:tc>
        <w:tc>
          <w:tcPr>
            <w:tcW w:w="362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联通集团</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2020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r>
      <w:tr>
        <w:trPr>
          <w:trHeight w:val="283" w:hRule="exact"/>
        </w:trPr>
        <w:tc>
          <w:tcPr>
            <w:tcW w:w="27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林旸川</w:t>
            </w:r>
          </w:p>
        </w:tc>
        <w:tc>
          <w:tcPr>
            <w:tcW w:w="3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联通集团</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副总法律顾问</w:t>
            </w:r>
          </w:p>
        </w:tc>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r>
      <w:tr>
        <w:trPr>
          <w:trHeight w:val="281" w:hRule="exact"/>
        </w:trPr>
        <w:tc>
          <w:tcPr>
            <w:tcW w:w="27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在股东单位任职情况的说明</w:t>
            </w:r>
          </w:p>
        </w:tc>
        <w:tc>
          <w:tcPr>
            <w:tcW w:w="11107" w:type="dxa"/>
            <w:gridSpan w:val="4"/>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Microsoft JhengHei" w:hAnsi="Microsoft JhengHei" w:cs="Microsoft JhengHei" w:eastAsia="Microsoft JhengHei" w:hint="default"/>
          <w:b/>
          <w:bCs/>
          <w:sz w:val="15"/>
          <w:szCs w:val="15"/>
        </w:rPr>
      </w:pPr>
    </w:p>
    <w:p>
      <w:pPr>
        <w:spacing w:line="338" w:lineRule="exact" w:before="0"/>
        <w:ind w:left="404" w:right="0"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二</w:t>
      </w:r>
      <w:r>
        <w:rPr>
          <w:rFonts w:ascii="Calibri" w:hAnsi="Calibri" w:cs="Calibri" w:eastAsia="Calibri" w:hint="default"/>
          <w:b/>
          <w:bCs/>
          <w:sz w:val="21"/>
          <w:szCs w:val="21"/>
        </w:rPr>
        <w:t>)</w:t>
      </w:r>
      <w:r>
        <w:rPr>
          <w:rFonts w:ascii="Calibri" w:hAnsi="Calibri" w:cs="Calibri" w:eastAsia="Calibri" w:hint="default"/>
          <w:b/>
          <w:bCs/>
          <w:spacing w:val="41"/>
          <w:sz w:val="21"/>
          <w:szCs w:val="21"/>
        </w:rPr>
        <w:t> </w:t>
      </w:r>
      <w:r>
        <w:rPr>
          <w:rFonts w:ascii="Microsoft JhengHei" w:hAnsi="Microsoft JhengHei" w:cs="Microsoft JhengHei" w:eastAsia="Microsoft JhengHei" w:hint="default"/>
          <w:b/>
          <w:bCs/>
          <w:sz w:val="21"/>
          <w:szCs w:val="21"/>
        </w:rPr>
        <w:t>在其他单位任职情况</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3"/>
          <w:szCs w:val="3"/>
        </w:rPr>
      </w:pPr>
    </w:p>
    <w:tbl>
      <w:tblPr>
        <w:tblW w:w="0" w:type="auto"/>
        <w:jc w:val="left"/>
        <w:tblInd w:w="116" w:type="dxa"/>
        <w:tblLayout w:type="fixed"/>
        <w:tblCellMar>
          <w:top w:w="0" w:type="dxa"/>
          <w:left w:w="0" w:type="dxa"/>
          <w:bottom w:w="0" w:type="dxa"/>
          <w:right w:w="0" w:type="dxa"/>
        </w:tblCellMar>
        <w:tblLook w:val="01E0"/>
      </w:tblPr>
      <w:tblGrid>
        <w:gridCol w:w="1560"/>
        <w:gridCol w:w="4395"/>
        <w:gridCol w:w="3401"/>
        <w:gridCol w:w="2410"/>
        <w:gridCol w:w="2127"/>
      </w:tblGrid>
      <w:tr>
        <w:trPr>
          <w:trHeight w:val="282" w:hRule="exact"/>
        </w:trPr>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2" w:lineRule="exact"/>
              <w:ind w:left="144" w:right="0"/>
              <w:jc w:val="left"/>
              <w:rPr>
                <w:rFonts w:ascii="宋体" w:hAnsi="宋体" w:cs="宋体" w:eastAsia="宋体" w:hint="default"/>
                <w:sz w:val="21"/>
                <w:szCs w:val="21"/>
              </w:rPr>
            </w:pPr>
            <w:r>
              <w:rPr>
                <w:rFonts w:ascii="宋体" w:hAnsi="宋体" w:cs="宋体" w:eastAsia="宋体" w:hint="default"/>
                <w:sz w:val="21"/>
                <w:szCs w:val="21"/>
              </w:rPr>
              <w:t>任职人员姓名</w:t>
            </w:r>
          </w:p>
        </w:tc>
        <w:tc>
          <w:tcPr>
            <w:tcW w:w="43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2" w:lineRule="exact"/>
              <w:ind w:left="1" w:right="0"/>
              <w:jc w:val="center"/>
              <w:rPr>
                <w:rFonts w:ascii="宋体" w:hAnsi="宋体" w:cs="宋体" w:eastAsia="宋体" w:hint="default"/>
                <w:sz w:val="21"/>
                <w:szCs w:val="21"/>
              </w:rPr>
            </w:pPr>
            <w:r>
              <w:rPr>
                <w:rFonts w:ascii="宋体" w:hAnsi="宋体" w:cs="宋体" w:eastAsia="宋体" w:hint="default"/>
                <w:sz w:val="21"/>
                <w:szCs w:val="21"/>
              </w:rPr>
              <w:t>其他单位名称</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2" w:lineRule="exact"/>
              <w:ind w:left="645" w:right="0"/>
              <w:jc w:val="left"/>
              <w:rPr>
                <w:rFonts w:ascii="宋体" w:hAnsi="宋体" w:cs="宋体" w:eastAsia="宋体" w:hint="default"/>
                <w:sz w:val="21"/>
                <w:szCs w:val="21"/>
              </w:rPr>
            </w:pPr>
            <w:r>
              <w:rPr>
                <w:rFonts w:ascii="宋体" w:hAnsi="宋体" w:cs="宋体" w:eastAsia="宋体" w:hint="default"/>
                <w:sz w:val="21"/>
                <w:szCs w:val="21"/>
              </w:rPr>
              <w:t>在其他单位担任的职务</w:t>
            </w:r>
          </w:p>
        </w:tc>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2" w:lineRule="exact"/>
              <w:ind w:left="568" w:right="0"/>
              <w:jc w:val="left"/>
              <w:rPr>
                <w:rFonts w:ascii="宋体" w:hAnsi="宋体" w:cs="宋体" w:eastAsia="宋体" w:hint="default"/>
                <w:sz w:val="21"/>
                <w:szCs w:val="21"/>
              </w:rPr>
            </w:pPr>
            <w:r>
              <w:rPr>
                <w:rFonts w:ascii="宋体" w:hAnsi="宋体" w:cs="宋体" w:eastAsia="宋体" w:hint="default"/>
                <w:sz w:val="21"/>
                <w:szCs w:val="21"/>
              </w:rPr>
              <w:t>任期起始日期</w:t>
            </w:r>
          </w:p>
        </w:tc>
        <w:tc>
          <w:tcPr>
            <w:tcW w:w="21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2" w:lineRule="exact"/>
              <w:ind w:left="429" w:right="0"/>
              <w:jc w:val="left"/>
              <w:rPr>
                <w:rFonts w:ascii="宋体" w:hAnsi="宋体" w:cs="宋体" w:eastAsia="宋体" w:hint="default"/>
                <w:sz w:val="21"/>
                <w:szCs w:val="21"/>
              </w:rPr>
            </w:pPr>
            <w:r>
              <w:rPr>
                <w:rFonts w:ascii="宋体" w:hAnsi="宋体" w:cs="宋体" w:eastAsia="宋体" w:hint="default"/>
                <w:sz w:val="21"/>
                <w:szCs w:val="21"/>
              </w:rPr>
              <w:t>任期终止日期</w:t>
            </w:r>
          </w:p>
        </w:tc>
      </w:tr>
      <w:tr>
        <w:trPr>
          <w:trHeight w:val="283" w:hRule="exact"/>
        </w:trPr>
        <w:tc>
          <w:tcPr>
            <w:tcW w:w="13894"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截至年度报告披露日，公司现任董事、监事、高级管理人员：</w:t>
            </w:r>
          </w:p>
        </w:tc>
      </w:tr>
      <w:tr>
        <w:trPr>
          <w:trHeight w:val="281" w:hRule="exact"/>
        </w:trPr>
        <w:tc>
          <w:tcPr>
            <w:tcW w:w="1560" w:type="dxa"/>
            <w:vMerge w:val="restart"/>
            <w:tcBorders>
              <w:top w:val="single" w:sz="4" w:space="0" w:color="000000"/>
              <w:left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王晓初</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联通红筹公司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执行董事、董事长兼首席执行官</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联通运营公司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sz w:val="21"/>
              </w:rPr>
              <w:t>Telefónica S.A.</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tc>
      </w:tr>
      <w:tr>
        <w:trPr>
          <w:trHeight w:val="281" w:hRule="exact"/>
        </w:trPr>
        <w:tc>
          <w:tcPr>
            <w:tcW w:w="1560" w:type="dxa"/>
            <w:vMerge/>
            <w:tcBorders>
              <w:left w:val="single" w:sz="4" w:space="0" w:color="000000"/>
              <w:bottom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招联消费金融有限公司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r>
      <w:tr>
        <w:trPr>
          <w:trHeight w:val="284" w:hRule="exact"/>
        </w:trPr>
        <w:tc>
          <w:tcPr>
            <w:tcW w:w="1560" w:type="dxa"/>
            <w:vMerge w:val="restart"/>
            <w:tcBorders>
              <w:top w:val="single" w:sz="4" w:space="0" w:color="000000"/>
              <w:left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李福申</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联通红筹公司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联通运营公司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r>
      <w:tr>
        <w:trPr>
          <w:trHeight w:val="281"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香港电讯盈科有限公司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非执行董事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r>
      <w:tr>
        <w:trPr>
          <w:trHeight w:val="283" w:hRule="exact"/>
        </w:trPr>
        <w:tc>
          <w:tcPr>
            <w:tcW w:w="1560" w:type="dxa"/>
            <w:vMerge/>
            <w:tcBorders>
              <w:left w:val="single" w:sz="4" w:space="0" w:color="000000"/>
              <w:bottom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香港电讯盈科有限公司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董事会副主席</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r>
    </w:tbl>
    <w:p>
      <w:pPr>
        <w:spacing w:after="0" w:line="241" w:lineRule="exact"/>
        <w:jc w:val="left"/>
        <w:rPr>
          <w:rFonts w:ascii="宋体" w:hAnsi="宋体" w:cs="宋体" w:eastAsia="宋体" w:hint="default"/>
          <w:sz w:val="21"/>
          <w:szCs w:val="21"/>
        </w:rPr>
        <w:sectPr>
          <w:footerReference w:type="default" r:id="rId66"/>
          <w:pgSz w:w="16840" w:h="11910" w:orient="landscape"/>
          <w:pgMar w:footer="502" w:header="854" w:top="1300" w:bottom="700" w:left="1120" w:right="1320"/>
        </w:sectPr>
      </w:pPr>
    </w:p>
    <w:tbl>
      <w:tblPr>
        <w:tblW w:w="0" w:type="auto"/>
        <w:jc w:val="left"/>
        <w:tblInd w:w="116" w:type="dxa"/>
        <w:tblLayout w:type="fixed"/>
        <w:tblCellMar>
          <w:top w:w="0" w:type="dxa"/>
          <w:left w:w="0" w:type="dxa"/>
          <w:bottom w:w="0" w:type="dxa"/>
          <w:right w:w="0" w:type="dxa"/>
        </w:tblCellMar>
        <w:tblLook w:val="01E0"/>
      </w:tblPr>
      <w:tblGrid>
        <w:gridCol w:w="1560"/>
        <w:gridCol w:w="4395"/>
        <w:gridCol w:w="3401"/>
        <w:gridCol w:w="2410"/>
        <w:gridCol w:w="2127"/>
        <w:gridCol w:w="274"/>
      </w:tblGrid>
      <w:tr>
        <w:trPr>
          <w:trHeight w:val="295" w:hRule="exact"/>
        </w:trPr>
        <w:tc>
          <w:tcPr>
            <w:tcW w:w="1560" w:type="dxa"/>
            <w:tcBorders>
              <w:top w:val="single" w:sz="10" w:space="0" w:color="000000"/>
              <w:left w:val="single" w:sz="4" w:space="0" w:color="000000"/>
              <w:bottom w:val="single" w:sz="4" w:space="0" w:color="000000"/>
              <w:right w:val="single" w:sz="4" w:space="0" w:color="000000"/>
            </w:tcBorders>
          </w:tcPr>
          <w:p>
            <w:pPr/>
          </w:p>
        </w:tc>
        <w:tc>
          <w:tcPr>
            <w:tcW w:w="4395" w:type="dxa"/>
            <w:tcBorders>
              <w:top w:val="single" w:sz="10"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香港电讯管理有限公司</w:t>
            </w:r>
          </w:p>
        </w:tc>
        <w:tc>
          <w:tcPr>
            <w:tcW w:w="3401" w:type="dxa"/>
            <w:tcBorders>
              <w:top w:val="single" w:sz="10"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非执行董事</w:t>
            </w:r>
          </w:p>
        </w:tc>
        <w:tc>
          <w:tcPr>
            <w:tcW w:w="2410" w:type="dxa"/>
            <w:tcBorders>
              <w:top w:val="single" w:sz="10"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10"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val="restart"/>
            <w:tcBorders>
              <w:top w:val="single" w:sz="6" w:space="0" w:color="000000"/>
              <w:left w:val="single" w:sz="4" w:space="0" w:color="000000"/>
              <w:right w:val="nil" w:sz="6" w:space="0" w:color="auto"/>
            </w:tcBorders>
          </w:tcPr>
          <w:p>
            <w:pPr/>
          </w:p>
        </w:tc>
      </w:tr>
      <w:tr>
        <w:trPr>
          <w:trHeight w:val="283" w:hRule="exact"/>
        </w:trPr>
        <w:tc>
          <w:tcPr>
            <w:tcW w:w="1560" w:type="dxa"/>
            <w:vMerge w:val="restart"/>
            <w:tcBorders>
              <w:top w:val="single" w:sz="4" w:space="0" w:color="000000"/>
              <w:left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尹兆君</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中国人寿保险（集团）公司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中国人寿保险股份有限公司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非执行董事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国寿投资控股有限公司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中保大厦有限公司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中国人寿财产保险股份有限公司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bottom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广发银行</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行长、副董事长</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val="restart"/>
            <w:tcBorders>
              <w:top w:val="single" w:sz="4" w:space="0" w:color="000000"/>
              <w:left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卢山</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腾讯控股有限公司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高级执行副总裁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上海腾讯信息技术有限公司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法定代表人、执行董事、总经理</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重庆腾讯信息技术有限公司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法定代表人、执行董事、总经理</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腾讯数码（广东深汕特别合作区）有限公司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法定代表人、董事长、经理</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腾讯数码（天津）有限公司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法定代表人、董事长、经理</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2004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南京网典科技有限公司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Futu Holdings Limited</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深圳市世纪凯旋和技有限公司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法定代表人、总经理、董事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深圳市腾讯计算机系统有限公司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bottom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腾讯科技（深圳）有限公司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4" w:hRule="exact"/>
        </w:trPr>
        <w:tc>
          <w:tcPr>
            <w:tcW w:w="1560" w:type="dxa"/>
            <w:vMerge w:val="restart"/>
            <w:tcBorders>
              <w:top w:val="single" w:sz="4" w:space="0" w:color="000000"/>
              <w:left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王海峰</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sz w:val="21"/>
              </w:rPr>
              <w:t>Baidu.Inc</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首席技术官</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北京爱奇艺科技有限公司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北京百度投资管理有限公司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新共识（杭州）科技有限公司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bottom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大连东软控股有限公司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val="restart"/>
            <w:tcBorders>
              <w:top w:val="single" w:sz="4" w:space="0" w:color="000000"/>
              <w:left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廖建文</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京东集团</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首席战略官</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花样年控股集团有限公司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独立非执行董事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永辉超市股份有限公司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赫基（中国）服饰有限公司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4"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彩生活服务集团有限公司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独立非执行董事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bottom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Farfetch Limited</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val="restart"/>
            <w:tcBorders>
              <w:top w:val="single" w:sz="4" w:space="0" w:color="000000"/>
              <w:left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张建锋</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华数传媒控股股份有限公司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bottom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广州阿里云计算应用技术有限公司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法定代表人、总经理、董事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bottom w:val="nil" w:sz="6" w:space="0" w:color="auto"/>
              <w:right w:val="nil" w:sz="6" w:space="0" w:color="auto"/>
            </w:tcBorders>
          </w:tcPr>
          <w:p>
            <w:pPr/>
          </w:p>
        </w:tc>
      </w:tr>
    </w:tbl>
    <w:p>
      <w:pPr>
        <w:spacing w:after="0"/>
        <w:sectPr>
          <w:footerReference w:type="default" r:id="rId67"/>
          <w:pgSz w:w="16840" w:h="11910" w:orient="landscape"/>
          <w:pgMar w:footer="502" w:header="854" w:top="1340" w:bottom="700" w:left="1120" w:right="1320"/>
        </w:sectPr>
      </w:pPr>
    </w:p>
    <w:tbl>
      <w:tblPr>
        <w:tblW w:w="0" w:type="auto"/>
        <w:jc w:val="left"/>
        <w:tblInd w:w="116" w:type="dxa"/>
        <w:tblLayout w:type="fixed"/>
        <w:tblCellMar>
          <w:top w:w="0" w:type="dxa"/>
          <w:left w:w="0" w:type="dxa"/>
          <w:bottom w:w="0" w:type="dxa"/>
          <w:right w:w="0" w:type="dxa"/>
        </w:tblCellMar>
        <w:tblLook w:val="01E0"/>
      </w:tblPr>
      <w:tblGrid>
        <w:gridCol w:w="1560"/>
        <w:gridCol w:w="4395"/>
        <w:gridCol w:w="3401"/>
        <w:gridCol w:w="2410"/>
        <w:gridCol w:w="2127"/>
        <w:gridCol w:w="274"/>
      </w:tblGrid>
      <w:tr>
        <w:trPr>
          <w:trHeight w:val="295" w:hRule="exact"/>
        </w:trPr>
        <w:tc>
          <w:tcPr>
            <w:tcW w:w="1560" w:type="dxa"/>
            <w:vMerge w:val="restart"/>
            <w:tcBorders>
              <w:top w:val="single" w:sz="10" w:space="0" w:color="000000"/>
              <w:left w:val="single" w:sz="4" w:space="0" w:color="000000"/>
              <w:right w:val="single" w:sz="4" w:space="0" w:color="000000"/>
            </w:tcBorders>
          </w:tcPr>
          <w:p>
            <w:pPr/>
          </w:p>
        </w:tc>
        <w:tc>
          <w:tcPr>
            <w:tcW w:w="4395" w:type="dxa"/>
            <w:tcBorders>
              <w:top w:val="single" w:sz="10"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杭州云煌投资管理有限公司</w:t>
            </w:r>
          </w:p>
        </w:tc>
        <w:tc>
          <w:tcPr>
            <w:tcW w:w="3401" w:type="dxa"/>
            <w:tcBorders>
              <w:top w:val="single" w:sz="10"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法定代表人、总经理、董事</w:t>
            </w:r>
          </w:p>
        </w:tc>
        <w:tc>
          <w:tcPr>
            <w:tcW w:w="2410" w:type="dxa"/>
            <w:tcBorders>
              <w:top w:val="single" w:sz="10"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10"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val="restart"/>
            <w:tcBorders>
              <w:top w:val="single" w:sz="6" w:space="0" w:color="000000"/>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浙江数蜂科技有限公司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法定代表人、总经理、董事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浙江阿里巴巴云计算有限公司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法定代表人、总经理、董事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深圳阿里云计算技术有限公司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法定代表人、总经理、董事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阿里云计算（张北）有限公司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法定代表人、总经理、董事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阿里云计算有限公司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法定代表人、总经理、董事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阿里巴巴（深圳）技术有限公司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法定代表人、总经理、董事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阿里巴巴丝路有限公司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法定代表人、总经理、董事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阿里巴巴华东有限公司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法定代表人、总经理、董事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bottom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阿里巴巴雄安技术有限公司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法定代表人、总经理、董事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冯士栋</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中国交通建设集团有限公司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val="restart"/>
            <w:tcBorders>
              <w:top w:val="single" w:sz="4" w:space="0" w:color="000000"/>
              <w:left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吴晓根</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中国国新控股有限责任公司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中央企业专职外部董事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bottom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中国电子科技集团有限公司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外部董事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val="restart"/>
            <w:tcBorders>
              <w:top w:val="single" w:sz="4" w:space="0" w:color="000000"/>
              <w:left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吕廷杰</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大唐高鸿数据网络技术股份有限公司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京东方科技集团股份有限公司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深圳市爱施德股份有限公司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bottom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中国通信服务股份有限公司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李翀</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招联消费金融有限公司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董事、常务副总经理</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val="restart"/>
            <w:tcBorders>
              <w:top w:val="single" w:sz="4" w:space="0" w:color="000000"/>
              <w:left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方向明</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诚通基金管理有限公司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宁波梅山保税港区锦甜河投资管理有限公司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宁波梅山保税港区坤玉河投资管理有限公司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赛领国际投资基金（上海）有限公司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赛领资本管理有限公司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全国妇联第十二届执行委员会</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委员</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bottom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乐山市人民政府</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副市长（挂职）</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val="restart"/>
            <w:tcBorders>
              <w:top w:val="single" w:sz="4" w:space="0" w:color="000000"/>
              <w:left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张保英</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联通资本投资控股有限公司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董事总经理</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4" w:hRule="exact"/>
        </w:trPr>
        <w:tc>
          <w:tcPr>
            <w:tcW w:w="1560" w:type="dxa"/>
            <w:vMerge/>
            <w:tcBorders>
              <w:left w:val="single" w:sz="4" w:space="0" w:color="000000"/>
              <w:bottom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联通创新创业投资有限公司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val="restart"/>
            <w:tcBorders>
              <w:top w:val="single" w:sz="4" w:space="0" w:color="000000"/>
              <w:left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买彦州</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联通红筹公司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联通运营公司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董事、高级副总裁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bottom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招联消费金融有限公司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bottom w:val="nil" w:sz="6" w:space="0" w:color="auto"/>
              <w:right w:val="nil" w:sz="6" w:space="0" w:color="auto"/>
            </w:tcBorders>
          </w:tcPr>
          <w:p>
            <w:pPr/>
          </w:p>
        </w:tc>
      </w:tr>
    </w:tbl>
    <w:p>
      <w:pPr>
        <w:spacing w:after="0"/>
        <w:sectPr>
          <w:footerReference w:type="default" r:id="rId68"/>
          <w:pgSz w:w="16840" w:h="11910" w:orient="landscape"/>
          <w:pgMar w:footer="502" w:header="854" w:top="1340" w:bottom="700" w:left="1120" w:right="1320"/>
        </w:sectPr>
      </w:pPr>
    </w:p>
    <w:tbl>
      <w:tblPr>
        <w:tblW w:w="0" w:type="auto"/>
        <w:jc w:val="left"/>
        <w:tblInd w:w="116" w:type="dxa"/>
        <w:tblLayout w:type="fixed"/>
        <w:tblCellMar>
          <w:top w:w="0" w:type="dxa"/>
          <w:left w:w="0" w:type="dxa"/>
          <w:bottom w:w="0" w:type="dxa"/>
          <w:right w:w="0" w:type="dxa"/>
        </w:tblCellMar>
        <w:tblLook w:val="01E0"/>
      </w:tblPr>
      <w:tblGrid>
        <w:gridCol w:w="1560"/>
        <w:gridCol w:w="4395"/>
        <w:gridCol w:w="3401"/>
        <w:gridCol w:w="2410"/>
        <w:gridCol w:w="2127"/>
        <w:gridCol w:w="274"/>
      </w:tblGrid>
      <w:tr>
        <w:trPr>
          <w:trHeight w:val="295" w:hRule="exact"/>
        </w:trPr>
        <w:tc>
          <w:tcPr>
            <w:tcW w:w="1560" w:type="dxa"/>
            <w:tcBorders>
              <w:top w:val="single" w:sz="10" w:space="0" w:color="000000"/>
              <w:left w:val="single" w:sz="4" w:space="0" w:color="000000"/>
              <w:bottom w:val="single" w:sz="4" w:space="0" w:color="000000"/>
              <w:right w:val="single" w:sz="4" w:space="0" w:color="000000"/>
            </w:tcBorders>
          </w:tcPr>
          <w:p>
            <w:pPr/>
          </w:p>
        </w:tc>
        <w:tc>
          <w:tcPr>
            <w:tcW w:w="4395" w:type="dxa"/>
            <w:tcBorders>
              <w:top w:val="single" w:sz="10"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香港电讯盈科有限公司</w:t>
            </w:r>
          </w:p>
        </w:tc>
        <w:tc>
          <w:tcPr>
            <w:tcW w:w="3401" w:type="dxa"/>
            <w:tcBorders>
              <w:top w:val="single" w:sz="10"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非执行董事</w:t>
            </w:r>
          </w:p>
        </w:tc>
        <w:tc>
          <w:tcPr>
            <w:tcW w:w="2410" w:type="dxa"/>
            <w:tcBorders>
              <w:top w:val="single" w:sz="10"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2020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10"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val="restart"/>
            <w:tcBorders>
              <w:top w:val="single" w:sz="6" w:space="0" w:color="000000"/>
              <w:left w:val="single" w:sz="4" w:space="0" w:color="000000"/>
              <w:right w:val="nil" w:sz="6" w:space="0" w:color="auto"/>
            </w:tcBorders>
          </w:tcPr>
          <w:p>
            <w:pPr/>
          </w:p>
        </w:tc>
      </w:tr>
      <w:tr>
        <w:trPr>
          <w:trHeight w:val="283" w:hRule="exact"/>
        </w:trPr>
        <w:tc>
          <w:tcPr>
            <w:tcW w:w="1560" w:type="dxa"/>
            <w:vMerge w:val="restart"/>
            <w:tcBorders>
              <w:top w:val="single" w:sz="4" w:space="0" w:color="000000"/>
              <w:left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梁宝俊</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联通红筹公司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联通运营公司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董事、高级副总裁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云粒智慧科技有限公司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bottom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云镝智慧科技有限公司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val="restart"/>
            <w:tcBorders>
              <w:top w:val="single" w:sz="4" w:space="0" w:color="000000"/>
              <w:left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朱可炳</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联通红筹公司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执行董事、首席财务官</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联通运营公司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董事、首席财务官</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香港电讯盈科有限公司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非执行董事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香港电讯有限公司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非执行董事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香港电讯管理有限公司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非执行董事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bottom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中国互联网投资基金</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理事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val="restart"/>
            <w:tcBorders>
              <w:top w:val="single" w:sz="4" w:space="0" w:color="000000"/>
              <w:left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范云军</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联通红筹公司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联通红筹公司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2020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联通运营公司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董事、高级副总裁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海峡两岸通信交流协会</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理事长</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bottom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中国通信学会</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副理事长</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3894"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截至年度报告披露日，公司离任董事、监事和高级管理人员：</w:t>
            </w:r>
          </w:p>
        </w:tc>
        <w:tc>
          <w:tcPr>
            <w:tcW w:w="274" w:type="dxa"/>
            <w:vMerge/>
            <w:tcBorders>
              <w:left w:val="single" w:sz="4" w:space="0" w:color="000000"/>
              <w:right w:val="nil" w:sz="6" w:space="0" w:color="auto"/>
            </w:tcBorders>
          </w:tcPr>
          <w:p>
            <w:pPr/>
          </w:p>
        </w:tc>
      </w:tr>
      <w:tr>
        <w:trPr>
          <w:trHeight w:val="284" w:hRule="exact"/>
        </w:trPr>
        <w:tc>
          <w:tcPr>
            <w:tcW w:w="1560" w:type="dxa"/>
            <w:vMerge w:val="restart"/>
            <w:tcBorders>
              <w:top w:val="single" w:sz="4" w:space="0" w:color="000000"/>
              <w:left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李国华</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联通红筹公司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执行董事、总裁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5" w:right="0"/>
              <w:jc w:val="left"/>
              <w:rPr>
                <w:rFonts w:ascii="宋体" w:hAnsi="宋体" w:cs="宋体" w:eastAsia="宋体" w:hint="default"/>
                <w:sz w:val="21"/>
                <w:szCs w:val="21"/>
              </w:rPr>
            </w:pPr>
            <w:r>
              <w:rPr>
                <w:rFonts w:ascii="宋体" w:hAnsi="宋体" w:cs="宋体" w:eastAsia="宋体" w:hint="default"/>
                <w:sz w:val="21"/>
                <w:szCs w:val="21"/>
              </w:rPr>
              <w:t>2020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bottom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联通运营公司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董事、总裁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2020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74" w:type="dxa"/>
            <w:vMerge/>
            <w:tcBorders>
              <w:left w:val="single" w:sz="4" w:space="0" w:color="000000"/>
              <w:right w:val="nil" w:sz="6" w:space="0" w:color="auto"/>
            </w:tcBorders>
          </w:tcPr>
          <w:p>
            <w:pPr/>
          </w:p>
        </w:tc>
      </w:tr>
      <w:tr>
        <w:trPr>
          <w:trHeight w:val="281" w:hRule="exact"/>
        </w:trPr>
        <w:tc>
          <w:tcPr>
            <w:tcW w:w="1560" w:type="dxa"/>
            <w:vMerge w:val="restart"/>
            <w:tcBorders>
              <w:top w:val="single" w:sz="4" w:space="0" w:color="000000"/>
              <w:left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王路</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Baidu.Inc</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中信百信银行股份有限公司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sz w:val="21"/>
              </w:rPr>
              <w:t>iQIYI,Inc.</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北京百度公益基金会</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法定代表人</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bottom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GA</w:t>
            </w:r>
            <w:r>
              <w:rPr>
                <w:rFonts w:ascii="宋体" w:hAnsi="宋体" w:cs="宋体" w:eastAsia="宋体" w:hint="default"/>
                <w:spacing w:val="-2"/>
                <w:sz w:val="21"/>
                <w:szCs w:val="21"/>
              </w:rPr>
              <w:t> </w:t>
            </w:r>
            <w:r>
              <w:rPr>
                <w:rFonts w:ascii="宋体" w:hAnsi="宋体" w:cs="宋体" w:eastAsia="宋体" w:hint="default"/>
                <w:sz w:val="21"/>
                <w:szCs w:val="21"/>
              </w:rPr>
              <w:t>泛大西洋投资集团</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运营合伙人</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val="restart"/>
            <w:tcBorders>
              <w:top w:val="single" w:sz="4" w:space="0" w:color="000000"/>
              <w:left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胡晓明</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浙江蚂蚁小微金融服务集团股份有限公司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总裁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浙江阿里巴巴小额贷款股份有限公司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4" w:hRule="exact"/>
        </w:trPr>
        <w:tc>
          <w:tcPr>
            <w:tcW w:w="1560" w:type="dxa"/>
            <w:vMerge/>
            <w:tcBorders>
              <w:left w:val="single" w:sz="4" w:space="0" w:color="000000"/>
              <w:bottom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众安在线财产保险股份有限公司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1" w:hRule="exact"/>
        </w:trPr>
        <w:tc>
          <w:tcPr>
            <w:tcW w:w="1560" w:type="dxa"/>
            <w:vMerge w:val="restart"/>
            <w:tcBorders>
              <w:top w:val="single" w:sz="4" w:space="0" w:color="000000"/>
              <w:left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熊晓鸽</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IDG</w:t>
            </w:r>
            <w:r>
              <w:rPr>
                <w:rFonts w:ascii="宋体" w:hAnsi="宋体" w:cs="宋体" w:eastAsia="宋体" w:hint="default"/>
                <w:spacing w:val="-49"/>
                <w:sz w:val="21"/>
                <w:szCs w:val="21"/>
              </w:rPr>
              <w:t> </w:t>
            </w:r>
            <w:r>
              <w:rPr>
                <w:rFonts w:ascii="宋体" w:hAnsi="宋体" w:cs="宋体" w:eastAsia="宋体" w:hint="default"/>
                <w:spacing w:val="-3"/>
                <w:sz w:val="21"/>
                <w:szCs w:val="21"/>
              </w:rPr>
              <w:t>资本</w:t>
            </w:r>
            <w:r>
              <w:rPr>
                <w:rFonts w:ascii="宋体" w:hAnsi="宋体" w:cs="宋体" w:eastAsia="宋体" w:hint="default"/>
                <w:sz w:val="21"/>
                <w:szCs w:val="21"/>
              </w:rPr>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创始董事长</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sz w:val="21"/>
              </w:rPr>
              <w:t>Mei Ah Entertainment Group</w:t>
            </w:r>
            <w:r>
              <w:rPr>
                <w:rFonts w:ascii="宋体"/>
                <w:spacing w:val="-4"/>
                <w:sz w:val="21"/>
              </w:rPr>
              <w:t> </w:t>
            </w:r>
            <w:r>
              <w:rPr>
                <w:rFonts w:ascii="宋体"/>
                <w:sz w:val="21"/>
              </w:rPr>
              <w:t>Ltd.</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非执行董事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bottom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3255" w:val="left" w:leader="none"/>
              </w:tabs>
              <w:spacing w:line="236" w:lineRule="exact"/>
              <w:ind w:left="103" w:right="0"/>
              <w:jc w:val="left"/>
              <w:rPr>
                <w:rFonts w:ascii="宋体" w:hAnsi="宋体" w:cs="宋体" w:eastAsia="宋体" w:hint="default"/>
                <w:sz w:val="21"/>
                <w:szCs w:val="21"/>
              </w:rPr>
            </w:pPr>
            <w:r>
              <w:rPr>
                <w:rFonts w:ascii="宋体"/>
                <w:sz w:val="21"/>
              </w:rPr>
              <w:t>IDG Energy Investment</w:t>
            </w:r>
            <w:r>
              <w:rPr>
                <w:rFonts w:ascii="宋体"/>
                <w:spacing w:val="-2"/>
                <w:sz w:val="21"/>
              </w:rPr>
              <w:t> </w:t>
            </w:r>
            <w:r>
              <w:rPr>
                <w:rFonts w:ascii="宋体"/>
                <w:sz w:val="21"/>
              </w:rPr>
              <w:t>Group</w:t>
              <w:tab/>
              <w:t>Limited</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非执行董事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2016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bottom w:val="nil" w:sz="6" w:space="0" w:color="auto"/>
              <w:right w:val="nil" w:sz="6" w:space="0" w:color="auto"/>
            </w:tcBorders>
          </w:tcPr>
          <w:p>
            <w:pPr/>
          </w:p>
        </w:tc>
      </w:tr>
    </w:tbl>
    <w:p>
      <w:pPr>
        <w:spacing w:after="0"/>
        <w:sectPr>
          <w:footerReference w:type="default" r:id="rId69"/>
          <w:pgSz w:w="16840" w:h="11910" w:orient="landscape"/>
          <w:pgMar w:footer="502" w:header="854" w:top="1340" w:bottom="700" w:left="1120" w:right="1320"/>
        </w:sectPr>
      </w:pPr>
    </w:p>
    <w:tbl>
      <w:tblPr>
        <w:tblW w:w="0" w:type="auto"/>
        <w:jc w:val="left"/>
        <w:tblInd w:w="116" w:type="dxa"/>
        <w:tblLayout w:type="fixed"/>
        <w:tblCellMar>
          <w:top w:w="0" w:type="dxa"/>
          <w:left w:w="0" w:type="dxa"/>
          <w:bottom w:w="0" w:type="dxa"/>
          <w:right w:w="0" w:type="dxa"/>
        </w:tblCellMar>
        <w:tblLook w:val="01E0"/>
      </w:tblPr>
      <w:tblGrid>
        <w:gridCol w:w="1560"/>
        <w:gridCol w:w="4395"/>
        <w:gridCol w:w="3401"/>
        <w:gridCol w:w="2410"/>
        <w:gridCol w:w="2127"/>
        <w:gridCol w:w="274"/>
      </w:tblGrid>
      <w:tr>
        <w:trPr>
          <w:trHeight w:val="569" w:hRule="exact"/>
        </w:trPr>
        <w:tc>
          <w:tcPr>
            <w:tcW w:w="1560" w:type="dxa"/>
            <w:tcBorders>
              <w:top w:val="single" w:sz="10" w:space="0" w:color="000000"/>
              <w:left w:val="single" w:sz="4" w:space="0" w:color="000000"/>
              <w:bottom w:val="single" w:sz="4" w:space="0" w:color="000000"/>
              <w:right w:val="single" w:sz="4" w:space="0" w:color="000000"/>
            </w:tcBorders>
          </w:tcPr>
          <w:p>
            <w:pPr/>
          </w:p>
        </w:tc>
        <w:tc>
          <w:tcPr>
            <w:tcW w:w="4395" w:type="dxa"/>
            <w:tcBorders>
              <w:top w:val="single" w:sz="10" w:space="0" w:color="000000"/>
              <w:left w:val="single" w:sz="4" w:space="0" w:color="000000"/>
              <w:bottom w:val="single" w:sz="4" w:space="0" w:color="000000"/>
              <w:right w:val="single" w:sz="4" w:space="0" w:color="000000"/>
            </w:tcBorders>
          </w:tcPr>
          <w:p>
            <w:pPr>
              <w:pStyle w:val="TableParagraph"/>
              <w:tabs>
                <w:tab w:pos="3441" w:val="left" w:leader="none"/>
              </w:tabs>
              <w:spacing w:line="272" w:lineRule="exact" w:before="1"/>
              <w:ind w:left="103" w:right="99"/>
              <w:jc w:val="left"/>
              <w:rPr>
                <w:rFonts w:ascii="宋体" w:hAnsi="宋体" w:cs="宋体" w:eastAsia="宋体" w:hint="default"/>
                <w:sz w:val="21"/>
                <w:szCs w:val="21"/>
              </w:rPr>
            </w:pPr>
            <w:r>
              <w:rPr>
                <w:rFonts w:ascii="宋体"/>
                <w:sz w:val="21"/>
              </w:rPr>
              <w:t>HJ  Capital</w:t>
            </w:r>
            <w:r>
              <w:rPr>
                <w:rFonts w:ascii="宋体"/>
                <w:spacing w:val="10"/>
                <w:sz w:val="21"/>
              </w:rPr>
              <w:t> </w:t>
            </w:r>
            <w:r>
              <w:rPr>
                <w:rFonts w:ascii="宋体"/>
                <w:sz w:val="21"/>
              </w:rPr>
              <w:t>(International)</w:t>
              <w:tab/>
              <w:t>Holdings</w:t>
            </w:r>
            <w:r>
              <w:rPr>
                <w:rFonts w:ascii="宋体"/>
                <w:w w:val="100"/>
                <w:sz w:val="21"/>
              </w:rPr>
              <w:t> </w:t>
            </w:r>
            <w:r>
              <w:rPr>
                <w:rFonts w:ascii="宋体"/>
                <w:sz w:val="21"/>
              </w:rPr>
              <w:t>Company</w:t>
            </w:r>
            <w:r>
              <w:rPr>
                <w:rFonts w:ascii="宋体"/>
                <w:spacing w:val="-1"/>
                <w:sz w:val="21"/>
              </w:rPr>
              <w:t> </w:t>
            </w:r>
            <w:r>
              <w:rPr>
                <w:rFonts w:ascii="宋体"/>
                <w:sz w:val="21"/>
              </w:rPr>
              <w:t>Limited</w:t>
            </w:r>
          </w:p>
        </w:tc>
        <w:tc>
          <w:tcPr>
            <w:tcW w:w="3401"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非执行董事</w:t>
            </w:r>
          </w:p>
        </w:tc>
        <w:tc>
          <w:tcPr>
            <w:tcW w:w="2410"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val="restart"/>
            <w:tcBorders>
              <w:top w:val="single" w:sz="6" w:space="0" w:color="000000"/>
              <w:left w:val="single" w:sz="4" w:space="0" w:color="000000"/>
              <w:right w:val="nil" w:sz="6" w:space="0" w:color="auto"/>
            </w:tcBorders>
          </w:tcPr>
          <w:p>
            <w:pPr/>
          </w:p>
        </w:tc>
      </w:tr>
      <w:tr>
        <w:trPr>
          <w:trHeight w:val="281" w:hRule="exact"/>
        </w:trPr>
        <w:tc>
          <w:tcPr>
            <w:tcW w:w="1560" w:type="dxa"/>
            <w:vMerge w:val="restart"/>
            <w:tcBorders>
              <w:top w:val="single" w:sz="4" w:space="0" w:color="000000"/>
              <w:left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邵广禄</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联通红筹公司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2020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联通红筹公司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2020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联通运营公司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董事、高级副总裁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2020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香港电讯盈科有限公司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非执行董事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2020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74" w:type="dxa"/>
            <w:vMerge/>
            <w:tcBorders>
              <w:left w:val="single" w:sz="4" w:space="0" w:color="000000"/>
              <w:right w:val="nil" w:sz="6" w:space="0" w:color="auto"/>
            </w:tcBorders>
          </w:tcPr>
          <w:p>
            <w:pPr/>
          </w:p>
        </w:tc>
      </w:tr>
      <w:tr>
        <w:trPr>
          <w:trHeight w:val="283"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中国通信服务股份有限公司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非执行董事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2020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74" w:type="dxa"/>
            <w:vMerge/>
            <w:tcBorders>
              <w:left w:val="single" w:sz="4" w:space="0" w:color="000000"/>
              <w:right w:val="nil" w:sz="6" w:space="0" w:color="auto"/>
            </w:tcBorders>
          </w:tcPr>
          <w:p>
            <w:pPr/>
          </w:p>
        </w:tc>
      </w:tr>
      <w:tr>
        <w:trPr>
          <w:trHeight w:val="281" w:hRule="exact"/>
        </w:trPr>
        <w:tc>
          <w:tcPr>
            <w:tcW w:w="1560" w:type="dxa"/>
            <w:vMerge/>
            <w:tcBorders>
              <w:left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中国铁塔股份有限公司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非执行董事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2020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74" w:type="dxa"/>
            <w:vMerge/>
            <w:tcBorders>
              <w:left w:val="single" w:sz="4" w:space="0" w:color="000000"/>
              <w:right w:val="nil" w:sz="6" w:space="0" w:color="auto"/>
            </w:tcBorders>
          </w:tcPr>
          <w:p>
            <w:pPr/>
          </w:p>
        </w:tc>
      </w:tr>
      <w:tr>
        <w:trPr>
          <w:trHeight w:val="284" w:hRule="exact"/>
        </w:trPr>
        <w:tc>
          <w:tcPr>
            <w:tcW w:w="1560" w:type="dxa"/>
            <w:vMerge/>
            <w:tcBorders>
              <w:left w:val="single" w:sz="4" w:space="0" w:color="000000"/>
              <w:bottom w:val="single" w:sz="4" w:space="0" w:color="000000"/>
              <w:right w:val="single" w:sz="4" w:space="0" w:color="000000"/>
            </w:tcBorders>
          </w:tcPr>
          <w:p>
            <w:pP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中国电信集团有限公司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2020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5" w:right="0"/>
              <w:jc w:val="left"/>
              <w:rPr>
                <w:rFonts w:ascii="宋体" w:hAnsi="宋体" w:cs="宋体" w:eastAsia="宋体" w:hint="default"/>
                <w:sz w:val="21"/>
                <w:szCs w:val="21"/>
              </w:rPr>
            </w:pPr>
            <w:r>
              <w:rPr>
                <w:rFonts w:ascii="宋体" w:hAnsi="宋体" w:cs="宋体" w:eastAsia="宋体" w:hint="default"/>
                <w:sz w:val="21"/>
                <w:szCs w:val="21"/>
              </w:rPr>
              <w:t>至今</w:t>
            </w:r>
          </w:p>
        </w:tc>
        <w:tc>
          <w:tcPr>
            <w:tcW w:w="274" w:type="dxa"/>
            <w:vMerge/>
            <w:tcBorders>
              <w:left w:val="single" w:sz="4" w:space="0" w:color="000000"/>
              <w:right w:val="nil" w:sz="6" w:space="0" w:color="auto"/>
            </w:tcBorders>
          </w:tcPr>
          <w:p>
            <w:pPr/>
          </w:p>
        </w:tc>
      </w:tr>
      <w:tr>
        <w:trPr>
          <w:trHeight w:val="28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林旸川</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联通集团财务有限公司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74" w:type="dxa"/>
            <w:vMerge/>
            <w:tcBorders>
              <w:left w:val="single" w:sz="4" w:space="0" w:color="000000"/>
              <w:right w:val="nil" w:sz="6" w:space="0" w:color="auto"/>
            </w:tcBorders>
          </w:tcPr>
          <w:p>
            <w:pPr/>
          </w:p>
        </w:tc>
      </w:tr>
      <w:tr>
        <w:trPr>
          <w:trHeight w:val="281"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周仁杰</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联通运营公司</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监管事务部总经理</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274" w:type="dxa"/>
            <w:vMerge/>
            <w:tcBorders>
              <w:left w:val="single" w:sz="4" w:space="0" w:color="000000"/>
              <w:right w:val="nil" w:sz="6" w:space="0" w:color="auto"/>
            </w:tcBorders>
          </w:tcPr>
          <w:p>
            <w:pPr/>
          </w:p>
        </w:tc>
      </w:tr>
      <w:tr>
        <w:trPr>
          <w:trHeight w:val="557"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11"/>
                <w:sz w:val="21"/>
                <w:szCs w:val="21"/>
              </w:rPr>
              <w:t>在其他单位任</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职情况的说明</w:t>
            </w:r>
          </w:p>
        </w:tc>
        <w:tc>
          <w:tcPr>
            <w:tcW w:w="1233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274" w:type="dxa"/>
            <w:vMerge/>
            <w:tcBorders>
              <w:left w:val="single" w:sz="4" w:space="0" w:color="000000"/>
              <w:bottom w:val="nil" w:sz="6" w:space="0" w:color="auto"/>
              <w:right w:val="nil" w:sz="6" w:space="0" w:color="auto"/>
            </w:tcBorders>
          </w:tcPr>
          <w:p>
            <w:pPr/>
          </w:p>
        </w:tc>
      </w:tr>
    </w:tbl>
    <w:p>
      <w:pPr>
        <w:spacing w:line="240" w:lineRule="auto" w:before="5"/>
        <w:rPr>
          <w:rFonts w:ascii="Microsoft JhengHei" w:hAnsi="Microsoft JhengHei" w:cs="Microsoft JhengHei" w:eastAsia="Microsoft JhengHei" w:hint="default"/>
          <w:b/>
          <w:bCs/>
          <w:sz w:val="16"/>
          <w:szCs w:val="16"/>
        </w:rPr>
      </w:pPr>
    </w:p>
    <w:p>
      <w:pPr>
        <w:spacing w:line="335" w:lineRule="exact" w:before="0"/>
        <w:ind w:left="40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三、董事、监事、高级管理人员报酬情况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3"/>
          <w:szCs w:val="3"/>
        </w:rPr>
      </w:pPr>
    </w:p>
    <w:tbl>
      <w:tblPr>
        <w:tblW w:w="0" w:type="auto"/>
        <w:jc w:val="left"/>
        <w:tblInd w:w="292" w:type="dxa"/>
        <w:tblLayout w:type="fixed"/>
        <w:tblCellMar>
          <w:top w:w="0" w:type="dxa"/>
          <w:left w:w="0" w:type="dxa"/>
          <w:bottom w:w="0" w:type="dxa"/>
          <w:right w:w="0" w:type="dxa"/>
        </w:tblCellMar>
        <w:tblLook w:val="01E0"/>
      </w:tblPr>
      <w:tblGrid>
        <w:gridCol w:w="4106"/>
        <w:gridCol w:w="9757"/>
      </w:tblGrid>
      <w:tr>
        <w:trPr>
          <w:trHeight w:val="554" w:hRule="exact"/>
        </w:trPr>
        <w:tc>
          <w:tcPr>
            <w:tcW w:w="41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spacing w:val="-7"/>
                <w:sz w:val="21"/>
                <w:szCs w:val="21"/>
              </w:rPr>
              <w:t>董事、监事、高级管理人员报酬的决策程序</w:t>
            </w:r>
          </w:p>
        </w:tc>
        <w:tc>
          <w:tcPr>
            <w:tcW w:w="975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在股东单位任职的董事和监事的报酬，由国有资产监督管理委员会核定。高级管理人员的报酬，由董事</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会制定薪酬标准并组织考核确定。</w:t>
            </w:r>
          </w:p>
        </w:tc>
      </w:tr>
      <w:tr>
        <w:trPr>
          <w:trHeight w:val="555" w:hRule="exact"/>
        </w:trPr>
        <w:tc>
          <w:tcPr>
            <w:tcW w:w="41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3"/>
              <w:ind w:right="105"/>
              <w:jc w:val="center"/>
              <w:rPr>
                <w:rFonts w:ascii="宋体" w:hAnsi="宋体" w:cs="宋体" w:eastAsia="宋体" w:hint="default"/>
                <w:sz w:val="21"/>
                <w:szCs w:val="21"/>
              </w:rPr>
            </w:pPr>
            <w:r>
              <w:rPr>
                <w:rFonts w:ascii="宋体" w:hAnsi="宋体" w:cs="宋体" w:eastAsia="宋体" w:hint="default"/>
                <w:sz w:val="21"/>
                <w:szCs w:val="21"/>
              </w:rPr>
              <w:t>董事、监事、高级管理人员报酬确定依据</w:t>
            </w:r>
          </w:p>
        </w:tc>
        <w:tc>
          <w:tcPr>
            <w:tcW w:w="975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本公司按照国有资产监督管理委员会管理要求，执行担任中央企业负责人的董事、监事薪酬方案。本公</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司依据本公司《高级管理人员薪酬方案》和相关管理规定确定其他董事、监事、高级管理人员薪酬。</w:t>
            </w:r>
          </w:p>
        </w:tc>
      </w:tr>
      <w:tr>
        <w:trPr>
          <w:trHeight w:val="554" w:hRule="exact"/>
        </w:trPr>
        <w:tc>
          <w:tcPr>
            <w:tcW w:w="41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9" w:lineRule="exact"/>
              <w:ind w:left="101" w:right="0"/>
              <w:jc w:val="left"/>
              <w:rPr>
                <w:rFonts w:ascii="宋体" w:hAnsi="宋体" w:cs="宋体" w:eastAsia="宋体" w:hint="default"/>
                <w:sz w:val="21"/>
                <w:szCs w:val="21"/>
              </w:rPr>
            </w:pPr>
            <w:r>
              <w:rPr>
                <w:rFonts w:ascii="宋体" w:hAnsi="宋体" w:cs="宋体" w:eastAsia="宋体" w:hint="default"/>
                <w:w w:val="100"/>
                <w:sz w:val="21"/>
                <w:szCs w:val="21"/>
              </w:rPr>
              <w:t>董事</w:t>
            </w:r>
            <w:r>
              <w:rPr>
                <w:rFonts w:ascii="宋体" w:hAnsi="宋体" w:cs="宋体" w:eastAsia="宋体" w:hint="default"/>
                <w:spacing w:val="-104"/>
                <w:w w:val="100"/>
                <w:sz w:val="21"/>
                <w:szCs w:val="21"/>
              </w:rPr>
              <w:t>、</w:t>
            </w:r>
            <w:r>
              <w:rPr>
                <w:rFonts w:ascii="宋体" w:hAnsi="宋体" w:cs="宋体" w:eastAsia="宋体" w:hint="default"/>
                <w:w w:val="100"/>
                <w:sz w:val="21"/>
                <w:szCs w:val="21"/>
              </w:rPr>
              <w:t>监</w:t>
            </w:r>
            <w:r>
              <w:rPr>
                <w:rFonts w:ascii="宋体" w:hAnsi="宋体" w:cs="宋体" w:eastAsia="宋体" w:hint="default"/>
                <w:spacing w:val="-3"/>
                <w:w w:val="100"/>
                <w:sz w:val="21"/>
                <w:szCs w:val="21"/>
              </w:rPr>
              <w:t>事</w:t>
            </w:r>
            <w:r>
              <w:rPr>
                <w:rFonts w:ascii="宋体" w:hAnsi="宋体" w:cs="宋体" w:eastAsia="宋体" w:hint="default"/>
                <w:w w:val="100"/>
                <w:sz w:val="21"/>
                <w:szCs w:val="21"/>
              </w:rPr>
              <w:t>和</w:t>
            </w:r>
            <w:r>
              <w:rPr>
                <w:rFonts w:ascii="宋体" w:hAnsi="宋体" w:cs="宋体" w:eastAsia="宋体" w:hint="default"/>
                <w:spacing w:val="-3"/>
                <w:w w:val="100"/>
                <w:sz w:val="21"/>
                <w:szCs w:val="21"/>
              </w:rPr>
              <w:t>高</w:t>
            </w:r>
            <w:r>
              <w:rPr>
                <w:rFonts w:ascii="宋体" w:hAnsi="宋体" w:cs="宋体" w:eastAsia="宋体" w:hint="default"/>
                <w:w w:val="100"/>
                <w:sz w:val="21"/>
                <w:szCs w:val="21"/>
              </w:rPr>
              <w:t>级</w:t>
            </w:r>
            <w:r>
              <w:rPr>
                <w:rFonts w:ascii="宋体" w:hAnsi="宋体" w:cs="宋体" w:eastAsia="宋体" w:hint="default"/>
                <w:spacing w:val="-3"/>
                <w:w w:val="100"/>
                <w:sz w:val="21"/>
                <w:szCs w:val="21"/>
              </w:rPr>
              <w:t>管</w:t>
            </w:r>
            <w:r>
              <w:rPr>
                <w:rFonts w:ascii="宋体" w:hAnsi="宋体" w:cs="宋体" w:eastAsia="宋体" w:hint="default"/>
                <w:w w:val="100"/>
                <w:sz w:val="21"/>
                <w:szCs w:val="21"/>
              </w:rPr>
              <w:t>理</w:t>
            </w:r>
            <w:r>
              <w:rPr>
                <w:rFonts w:ascii="宋体" w:hAnsi="宋体" w:cs="宋体" w:eastAsia="宋体" w:hint="default"/>
                <w:spacing w:val="-3"/>
                <w:w w:val="100"/>
                <w:sz w:val="21"/>
                <w:szCs w:val="21"/>
              </w:rPr>
              <w:t>人员</w:t>
            </w:r>
            <w:r>
              <w:rPr>
                <w:rFonts w:ascii="宋体" w:hAnsi="宋体" w:cs="宋体" w:eastAsia="宋体" w:hint="default"/>
                <w:w w:val="100"/>
                <w:sz w:val="21"/>
                <w:szCs w:val="21"/>
              </w:rPr>
              <w:t>报酬</w:t>
            </w:r>
            <w:r>
              <w:rPr>
                <w:rFonts w:ascii="宋体" w:hAnsi="宋体" w:cs="宋体" w:eastAsia="宋体" w:hint="default"/>
                <w:spacing w:val="-3"/>
                <w:w w:val="100"/>
                <w:sz w:val="21"/>
                <w:szCs w:val="21"/>
              </w:rPr>
              <w:t>的</w:t>
            </w:r>
            <w:r>
              <w:rPr>
                <w:rFonts w:ascii="宋体" w:hAnsi="宋体" w:cs="宋体" w:eastAsia="宋体" w:hint="default"/>
                <w:w w:val="100"/>
                <w:sz w:val="21"/>
                <w:szCs w:val="21"/>
              </w:rPr>
              <w:t>实</w:t>
            </w:r>
            <w:r>
              <w:rPr>
                <w:rFonts w:ascii="宋体" w:hAnsi="宋体" w:cs="宋体" w:eastAsia="宋体" w:hint="default"/>
                <w:spacing w:val="-3"/>
                <w:w w:val="100"/>
                <w:sz w:val="21"/>
                <w:szCs w:val="21"/>
              </w:rPr>
              <w:t>际</w:t>
            </w:r>
            <w:r>
              <w:rPr>
                <w:rFonts w:ascii="宋体" w:hAnsi="宋体" w:cs="宋体" w:eastAsia="宋体" w:hint="default"/>
                <w:w w:val="100"/>
                <w:sz w:val="21"/>
                <w:szCs w:val="21"/>
              </w:rPr>
              <w:t>支付</w:t>
            </w:r>
          </w:p>
          <w:p>
            <w:pPr>
              <w:pStyle w:val="TableParagraph"/>
              <w:spacing w:line="273" w:lineRule="exact"/>
              <w:ind w:left="101" w:right="0"/>
              <w:jc w:val="left"/>
              <w:rPr>
                <w:rFonts w:ascii="宋体" w:hAnsi="宋体" w:cs="宋体" w:eastAsia="宋体" w:hint="default"/>
                <w:sz w:val="21"/>
                <w:szCs w:val="21"/>
              </w:rPr>
            </w:pPr>
            <w:r>
              <w:rPr>
                <w:rFonts w:ascii="宋体" w:hAnsi="宋体" w:cs="宋体" w:eastAsia="宋体" w:hint="default"/>
                <w:sz w:val="21"/>
                <w:szCs w:val="21"/>
              </w:rPr>
              <w:t>情况</w:t>
            </w:r>
          </w:p>
        </w:tc>
        <w:tc>
          <w:tcPr>
            <w:tcW w:w="97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详见本节“现任及报告期内离任董事、监事和高级管理人员持股变动及报酬情况”。</w:t>
            </w:r>
          </w:p>
        </w:tc>
      </w:tr>
      <w:tr>
        <w:trPr>
          <w:trHeight w:val="554" w:hRule="exact"/>
        </w:trPr>
        <w:tc>
          <w:tcPr>
            <w:tcW w:w="41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exact"/>
              <w:ind w:left="101" w:right="0"/>
              <w:jc w:val="left"/>
              <w:rPr>
                <w:rFonts w:ascii="宋体" w:hAnsi="宋体" w:cs="宋体" w:eastAsia="宋体" w:hint="default"/>
                <w:sz w:val="21"/>
                <w:szCs w:val="21"/>
              </w:rPr>
            </w:pPr>
            <w:r>
              <w:rPr>
                <w:rFonts w:ascii="宋体" w:hAnsi="宋体" w:cs="宋体" w:eastAsia="宋体" w:hint="default"/>
                <w:w w:val="100"/>
                <w:sz w:val="21"/>
                <w:szCs w:val="21"/>
              </w:rPr>
              <w:t>报告</w:t>
            </w:r>
            <w:r>
              <w:rPr>
                <w:rFonts w:ascii="宋体" w:hAnsi="宋体" w:cs="宋体" w:eastAsia="宋体" w:hint="default"/>
                <w:spacing w:val="-3"/>
                <w:w w:val="100"/>
                <w:sz w:val="21"/>
                <w:szCs w:val="21"/>
              </w:rPr>
              <w:t>期</w:t>
            </w:r>
            <w:r>
              <w:rPr>
                <w:rFonts w:ascii="宋体" w:hAnsi="宋体" w:cs="宋体" w:eastAsia="宋体" w:hint="default"/>
                <w:w w:val="100"/>
                <w:sz w:val="21"/>
                <w:szCs w:val="21"/>
              </w:rPr>
              <w:t>末</w:t>
            </w:r>
            <w:r>
              <w:rPr>
                <w:rFonts w:ascii="宋体" w:hAnsi="宋体" w:cs="宋体" w:eastAsia="宋体" w:hint="default"/>
                <w:spacing w:val="-3"/>
                <w:w w:val="100"/>
                <w:sz w:val="21"/>
                <w:szCs w:val="21"/>
              </w:rPr>
              <w:t>全</w:t>
            </w:r>
            <w:r>
              <w:rPr>
                <w:rFonts w:ascii="宋体" w:hAnsi="宋体" w:cs="宋体" w:eastAsia="宋体" w:hint="default"/>
                <w:w w:val="100"/>
                <w:sz w:val="21"/>
                <w:szCs w:val="21"/>
              </w:rPr>
              <w:t>体</w:t>
            </w:r>
            <w:r>
              <w:rPr>
                <w:rFonts w:ascii="宋体" w:hAnsi="宋体" w:cs="宋体" w:eastAsia="宋体" w:hint="default"/>
                <w:spacing w:val="-3"/>
                <w:w w:val="100"/>
                <w:sz w:val="21"/>
                <w:szCs w:val="21"/>
              </w:rPr>
              <w:t>董</w:t>
            </w:r>
            <w:r>
              <w:rPr>
                <w:rFonts w:ascii="宋体" w:hAnsi="宋体" w:cs="宋体" w:eastAsia="宋体" w:hint="default"/>
                <w:w w:val="100"/>
                <w:sz w:val="21"/>
                <w:szCs w:val="21"/>
              </w:rPr>
              <w:t>事</w:t>
            </w:r>
            <w:r>
              <w:rPr>
                <w:rFonts w:ascii="宋体" w:hAnsi="宋体" w:cs="宋体" w:eastAsia="宋体" w:hint="default"/>
                <w:spacing w:val="-104"/>
                <w:w w:val="100"/>
                <w:sz w:val="21"/>
                <w:szCs w:val="21"/>
              </w:rPr>
              <w:t>、</w:t>
            </w:r>
            <w:r>
              <w:rPr>
                <w:rFonts w:ascii="宋体" w:hAnsi="宋体" w:cs="宋体" w:eastAsia="宋体" w:hint="default"/>
                <w:w w:val="100"/>
                <w:sz w:val="21"/>
                <w:szCs w:val="21"/>
              </w:rPr>
              <w:t>监</w:t>
            </w:r>
            <w:r>
              <w:rPr>
                <w:rFonts w:ascii="宋体" w:hAnsi="宋体" w:cs="宋体" w:eastAsia="宋体" w:hint="default"/>
                <w:spacing w:val="-3"/>
                <w:w w:val="100"/>
                <w:sz w:val="21"/>
                <w:szCs w:val="21"/>
              </w:rPr>
              <w:t>事和</w:t>
            </w:r>
            <w:r>
              <w:rPr>
                <w:rFonts w:ascii="宋体" w:hAnsi="宋体" w:cs="宋体" w:eastAsia="宋体" w:hint="default"/>
                <w:w w:val="100"/>
                <w:sz w:val="21"/>
                <w:szCs w:val="21"/>
              </w:rPr>
              <w:t>高级</w:t>
            </w:r>
            <w:r>
              <w:rPr>
                <w:rFonts w:ascii="宋体" w:hAnsi="宋体" w:cs="宋体" w:eastAsia="宋体" w:hint="default"/>
                <w:spacing w:val="-3"/>
                <w:w w:val="100"/>
                <w:sz w:val="21"/>
                <w:szCs w:val="21"/>
              </w:rPr>
              <w:t>管</w:t>
            </w:r>
            <w:r>
              <w:rPr>
                <w:rFonts w:ascii="宋体" w:hAnsi="宋体" w:cs="宋体" w:eastAsia="宋体" w:hint="default"/>
                <w:w w:val="100"/>
                <w:sz w:val="21"/>
                <w:szCs w:val="21"/>
              </w:rPr>
              <w:t>理</w:t>
            </w:r>
            <w:r>
              <w:rPr>
                <w:rFonts w:ascii="宋体" w:hAnsi="宋体" w:cs="宋体" w:eastAsia="宋体" w:hint="default"/>
                <w:spacing w:val="-3"/>
                <w:w w:val="100"/>
                <w:sz w:val="21"/>
                <w:szCs w:val="21"/>
              </w:rPr>
              <w:t>人</w:t>
            </w:r>
            <w:r>
              <w:rPr>
                <w:rFonts w:ascii="宋体" w:hAnsi="宋体" w:cs="宋体" w:eastAsia="宋体" w:hint="default"/>
                <w:w w:val="100"/>
                <w:sz w:val="21"/>
                <w:szCs w:val="21"/>
              </w:rPr>
              <w:t>员实</w:t>
            </w:r>
          </w:p>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z w:val="21"/>
                <w:szCs w:val="21"/>
              </w:rPr>
              <w:t>际获得的报酬合计</w:t>
            </w:r>
          </w:p>
        </w:tc>
        <w:tc>
          <w:tcPr>
            <w:tcW w:w="97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详见本节“现任及报告期内离任董事、监事和高级管理人员持股变动及报酬情况”。</w:t>
            </w:r>
          </w:p>
        </w:tc>
      </w:tr>
    </w:tbl>
    <w:p>
      <w:pPr>
        <w:spacing w:line="240" w:lineRule="auto" w:before="2"/>
        <w:rPr>
          <w:rFonts w:ascii="Microsoft JhengHei" w:hAnsi="Microsoft JhengHei" w:cs="Microsoft JhengHei" w:eastAsia="Microsoft JhengHei" w:hint="default"/>
          <w:b/>
          <w:bCs/>
          <w:sz w:val="15"/>
          <w:szCs w:val="15"/>
        </w:rPr>
      </w:pPr>
    </w:p>
    <w:p>
      <w:pPr>
        <w:spacing w:line="335" w:lineRule="exact" w:before="0"/>
        <w:ind w:left="40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四、公司董事、监事、高级管理人员变动情况</w:t>
      </w:r>
      <w:r>
        <w:rPr>
          <w:rFonts w:ascii="Microsoft JhengHei" w:hAnsi="Microsoft JhengHei" w:cs="Microsoft JhengHei" w:eastAsia="Microsoft JhengHei" w:hint="default"/>
          <w:sz w:val="21"/>
          <w:szCs w:val="21"/>
        </w:rPr>
      </w:r>
    </w:p>
    <w:p>
      <w:pPr>
        <w:spacing w:line="240" w:lineRule="auto" w:before="14"/>
        <w:rPr>
          <w:rFonts w:ascii="Microsoft JhengHei" w:hAnsi="Microsoft JhengHei" w:cs="Microsoft JhengHei" w:eastAsia="Microsoft JhengHei" w:hint="default"/>
          <w:b/>
          <w:bCs/>
          <w:sz w:val="3"/>
          <w:szCs w:val="3"/>
        </w:rPr>
      </w:pPr>
    </w:p>
    <w:tbl>
      <w:tblPr>
        <w:tblW w:w="0" w:type="auto"/>
        <w:jc w:val="left"/>
        <w:tblInd w:w="291" w:type="dxa"/>
        <w:tblLayout w:type="fixed"/>
        <w:tblCellMar>
          <w:top w:w="0" w:type="dxa"/>
          <w:left w:w="0" w:type="dxa"/>
          <w:bottom w:w="0" w:type="dxa"/>
          <w:right w:w="0" w:type="dxa"/>
        </w:tblCellMar>
        <w:tblLook w:val="01E0"/>
      </w:tblPr>
      <w:tblGrid>
        <w:gridCol w:w="2405"/>
        <w:gridCol w:w="2552"/>
        <w:gridCol w:w="2410"/>
        <w:gridCol w:w="6498"/>
      </w:tblGrid>
      <w:tr>
        <w:trPr>
          <w:trHeight w:val="284" w:hRule="exact"/>
        </w:trPr>
        <w:tc>
          <w:tcPr>
            <w:tcW w:w="24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25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746"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782" w:right="0"/>
              <w:jc w:val="left"/>
              <w:rPr>
                <w:rFonts w:ascii="宋体" w:hAnsi="宋体" w:cs="宋体" w:eastAsia="宋体" w:hint="default"/>
                <w:sz w:val="21"/>
                <w:szCs w:val="21"/>
              </w:rPr>
            </w:pPr>
            <w:r>
              <w:rPr>
                <w:rFonts w:ascii="宋体" w:hAnsi="宋体" w:cs="宋体" w:eastAsia="宋体" w:hint="default"/>
                <w:sz w:val="21"/>
                <w:szCs w:val="21"/>
              </w:rPr>
              <w:t>变动情形</w:t>
            </w:r>
          </w:p>
        </w:tc>
        <w:tc>
          <w:tcPr>
            <w:tcW w:w="64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5" w:right="0"/>
              <w:jc w:val="center"/>
              <w:rPr>
                <w:rFonts w:ascii="宋体" w:hAnsi="宋体" w:cs="宋体" w:eastAsia="宋体" w:hint="default"/>
                <w:sz w:val="21"/>
                <w:szCs w:val="21"/>
              </w:rPr>
            </w:pPr>
            <w:r>
              <w:rPr>
                <w:rFonts w:ascii="宋体" w:hAnsi="宋体" w:cs="宋体" w:eastAsia="宋体" w:hint="default"/>
                <w:sz w:val="21"/>
                <w:szCs w:val="21"/>
              </w:rPr>
              <w:t>变动原因</w:t>
            </w:r>
          </w:p>
        </w:tc>
      </w:tr>
      <w:tr>
        <w:trPr>
          <w:trHeight w:val="281" w:hRule="exact"/>
        </w:trPr>
        <w:tc>
          <w:tcPr>
            <w:tcW w:w="2405" w:type="dxa"/>
            <w:vMerge w:val="restart"/>
            <w:tcBorders>
              <w:top w:val="single" w:sz="4" w:space="0" w:color="000000"/>
              <w:left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李国华</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董事、总裁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64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因届退休，</w:t>
            </w:r>
            <w:r>
              <w:rPr>
                <w:rFonts w:ascii="宋体" w:hAnsi="宋体" w:cs="宋体" w:eastAsia="宋体" w:hint="default"/>
                <w:sz w:val="21"/>
                <w:szCs w:val="21"/>
              </w:rPr>
              <w:t>2020</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pacing w:val="-3"/>
                <w:sz w:val="21"/>
                <w:szCs w:val="21"/>
              </w:rPr>
              <w:t>月离任</w:t>
            </w:r>
            <w:r>
              <w:rPr>
                <w:rFonts w:ascii="宋体" w:hAnsi="宋体" w:cs="宋体" w:eastAsia="宋体" w:hint="default"/>
                <w:sz w:val="21"/>
                <w:szCs w:val="21"/>
              </w:rPr>
            </w:r>
          </w:p>
        </w:tc>
      </w:tr>
      <w:tr>
        <w:trPr>
          <w:trHeight w:val="283" w:hRule="exact"/>
        </w:trPr>
        <w:tc>
          <w:tcPr>
            <w:tcW w:w="2405" w:type="dxa"/>
            <w:vMerge/>
            <w:tcBorders>
              <w:left w:val="single" w:sz="4" w:space="0" w:color="000000"/>
              <w:bottom w:val="single" w:sz="4" w:space="0" w:color="000000"/>
              <w:right w:val="single" w:sz="4" w:space="0" w:color="000000"/>
            </w:tcBorders>
          </w:tcPr>
          <w:p>
            <w:pP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总法律顾问</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64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因工作职责调整，</w:t>
            </w:r>
            <w:r>
              <w:rPr>
                <w:rFonts w:ascii="宋体" w:hAnsi="宋体" w:cs="宋体" w:eastAsia="宋体" w:hint="default"/>
                <w:sz w:val="21"/>
                <w:szCs w:val="21"/>
              </w:rPr>
              <w:t>2019</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z w:val="21"/>
                <w:szCs w:val="21"/>
              </w:rPr>
              <w:t>月由公司高级副总裁范云军先生兼任。</w:t>
            </w:r>
          </w:p>
        </w:tc>
      </w:tr>
      <w:tr>
        <w:trPr>
          <w:trHeight w:val="283" w:hRule="exact"/>
        </w:trPr>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王路</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64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因工作变动，</w:t>
            </w: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月离任</w:t>
            </w:r>
          </w:p>
        </w:tc>
      </w:tr>
      <w:tr>
        <w:trPr>
          <w:trHeight w:val="283" w:hRule="exact"/>
        </w:trPr>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胡晓明</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64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因工作调动，</w:t>
            </w:r>
            <w:r>
              <w:rPr>
                <w:rFonts w:ascii="宋体" w:hAnsi="宋体" w:cs="宋体" w:eastAsia="宋体" w:hint="default"/>
                <w:sz w:val="21"/>
                <w:szCs w:val="21"/>
              </w:rPr>
              <w:t>2019</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7</w:t>
            </w:r>
            <w:r>
              <w:rPr>
                <w:rFonts w:ascii="宋体" w:hAnsi="宋体" w:cs="宋体" w:eastAsia="宋体" w:hint="default"/>
                <w:spacing w:val="-55"/>
                <w:sz w:val="21"/>
                <w:szCs w:val="21"/>
              </w:rPr>
              <w:t> </w:t>
            </w:r>
            <w:r>
              <w:rPr>
                <w:rFonts w:ascii="宋体" w:hAnsi="宋体" w:cs="宋体" w:eastAsia="宋体" w:hint="default"/>
                <w:sz w:val="21"/>
                <w:szCs w:val="21"/>
              </w:rPr>
              <w:t>月离任</w:t>
            </w:r>
          </w:p>
        </w:tc>
      </w:tr>
    </w:tbl>
    <w:p>
      <w:pPr>
        <w:spacing w:after="0" w:line="241" w:lineRule="exact"/>
        <w:jc w:val="left"/>
        <w:rPr>
          <w:rFonts w:ascii="宋体" w:hAnsi="宋体" w:cs="宋体" w:eastAsia="宋体" w:hint="default"/>
          <w:sz w:val="21"/>
          <w:szCs w:val="21"/>
        </w:rPr>
        <w:sectPr>
          <w:footerReference w:type="default" r:id="rId70"/>
          <w:pgSz w:w="16840" w:h="11910" w:orient="landscape"/>
          <w:pgMar w:footer="502" w:header="854" w:top="1300" w:bottom="700" w:left="1120" w:right="1320"/>
        </w:sectPr>
      </w:pPr>
    </w:p>
    <w:tbl>
      <w:tblPr>
        <w:tblW w:w="0" w:type="auto"/>
        <w:jc w:val="left"/>
        <w:tblInd w:w="111" w:type="dxa"/>
        <w:tblLayout w:type="fixed"/>
        <w:tblCellMar>
          <w:top w:w="0" w:type="dxa"/>
          <w:left w:w="0" w:type="dxa"/>
          <w:bottom w:w="0" w:type="dxa"/>
          <w:right w:w="0" w:type="dxa"/>
        </w:tblCellMar>
        <w:tblLook w:val="01E0"/>
      </w:tblPr>
      <w:tblGrid>
        <w:gridCol w:w="2405"/>
        <w:gridCol w:w="2552"/>
        <w:gridCol w:w="2410"/>
        <w:gridCol w:w="6498"/>
      </w:tblGrid>
      <w:tr>
        <w:trPr>
          <w:trHeight w:val="295" w:hRule="exact"/>
        </w:trPr>
        <w:tc>
          <w:tcPr>
            <w:tcW w:w="2405"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熊晓鸽</w:t>
            </w:r>
          </w:p>
        </w:tc>
        <w:tc>
          <w:tcPr>
            <w:tcW w:w="2552"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5"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2410"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5"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6498" w:type="dxa"/>
            <w:tcBorders>
              <w:top w:val="single" w:sz="10" w:space="0" w:color="000000"/>
              <w:left w:val="single" w:sz="4" w:space="0" w:color="000000"/>
              <w:bottom w:val="single" w:sz="4" w:space="0" w:color="000000"/>
              <w:right w:val="single" w:sz="4" w:space="0" w:color="000000"/>
            </w:tcBorders>
          </w:tcPr>
          <w:p>
            <w:pPr>
              <w:pStyle w:val="TableParagraph"/>
              <w:spacing w:line="248" w:lineRule="exact"/>
              <w:ind w:left="105" w:right="0"/>
              <w:jc w:val="left"/>
              <w:rPr>
                <w:rFonts w:ascii="宋体" w:hAnsi="宋体" w:cs="宋体" w:eastAsia="宋体" w:hint="default"/>
                <w:sz w:val="21"/>
                <w:szCs w:val="21"/>
              </w:rPr>
            </w:pPr>
            <w:r>
              <w:rPr>
                <w:rFonts w:ascii="宋体" w:hAnsi="宋体" w:cs="宋体" w:eastAsia="宋体" w:hint="default"/>
                <w:sz w:val="21"/>
                <w:szCs w:val="21"/>
              </w:rPr>
              <w:t>因个人原因，</w:t>
            </w:r>
            <w:r>
              <w:rPr>
                <w:rFonts w:ascii="宋体" w:hAnsi="宋体" w:cs="宋体" w:eastAsia="宋体" w:hint="default"/>
                <w:sz w:val="21"/>
                <w:szCs w:val="21"/>
              </w:rPr>
              <w:t>2019</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7</w:t>
            </w:r>
            <w:r>
              <w:rPr>
                <w:rFonts w:ascii="宋体" w:hAnsi="宋体" w:cs="宋体" w:eastAsia="宋体" w:hint="default"/>
                <w:spacing w:val="-55"/>
                <w:sz w:val="21"/>
                <w:szCs w:val="21"/>
              </w:rPr>
              <w:t> </w:t>
            </w:r>
            <w:r>
              <w:rPr>
                <w:rFonts w:ascii="宋体" w:hAnsi="宋体" w:cs="宋体" w:eastAsia="宋体" w:hint="default"/>
                <w:sz w:val="21"/>
                <w:szCs w:val="21"/>
              </w:rPr>
              <w:t>月离任</w:t>
            </w:r>
          </w:p>
        </w:tc>
      </w:tr>
      <w:tr>
        <w:trPr>
          <w:trHeight w:val="283" w:hRule="exact"/>
        </w:trPr>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林旸川</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64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因届退休，</w:t>
            </w:r>
            <w:r>
              <w:rPr>
                <w:rFonts w:ascii="宋体" w:hAnsi="宋体" w:cs="宋体" w:eastAsia="宋体" w:hint="default"/>
                <w:sz w:val="21"/>
                <w:szCs w:val="21"/>
              </w:rPr>
              <w:t>2019</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pacing w:val="-3"/>
                <w:sz w:val="21"/>
                <w:szCs w:val="21"/>
              </w:rPr>
              <w:t>月离任</w:t>
            </w:r>
            <w:r>
              <w:rPr>
                <w:rFonts w:ascii="宋体" w:hAnsi="宋体" w:cs="宋体" w:eastAsia="宋体" w:hint="default"/>
                <w:sz w:val="21"/>
                <w:szCs w:val="21"/>
              </w:rPr>
            </w:r>
          </w:p>
        </w:tc>
      </w:tr>
      <w:tr>
        <w:trPr>
          <w:trHeight w:val="281" w:hRule="exact"/>
        </w:trPr>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周仁杰</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职工监事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64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因届退休，</w:t>
            </w:r>
            <w:r>
              <w:rPr>
                <w:rFonts w:ascii="宋体" w:hAnsi="宋体" w:cs="宋体" w:eastAsia="宋体" w:hint="default"/>
                <w:sz w:val="21"/>
                <w:szCs w:val="21"/>
              </w:rPr>
              <w:t>2020</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pacing w:val="-3"/>
                <w:sz w:val="21"/>
                <w:szCs w:val="21"/>
              </w:rPr>
              <w:t>月离任</w:t>
            </w:r>
            <w:r>
              <w:rPr>
                <w:rFonts w:ascii="宋体" w:hAnsi="宋体" w:cs="宋体" w:eastAsia="宋体" w:hint="default"/>
                <w:sz w:val="21"/>
                <w:szCs w:val="21"/>
              </w:rPr>
            </w:r>
          </w:p>
        </w:tc>
      </w:tr>
      <w:tr>
        <w:trPr>
          <w:trHeight w:val="283" w:hRule="exact"/>
        </w:trPr>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邵广禄</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64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因工作调动，</w:t>
            </w:r>
            <w:r>
              <w:rPr>
                <w:rFonts w:ascii="宋体" w:hAnsi="宋体" w:cs="宋体" w:eastAsia="宋体" w:hint="default"/>
                <w:sz w:val="21"/>
                <w:szCs w:val="21"/>
              </w:rPr>
              <w:t>2020</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月离任</w:t>
            </w:r>
          </w:p>
        </w:tc>
      </w:tr>
      <w:tr>
        <w:trPr>
          <w:trHeight w:val="283" w:hRule="exact"/>
        </w:trPr>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王海峰</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选举</w:t>
            </w:r>
          </w:p>
        </w:tc>
        <w:tc>
          <w:tcPr>
            <w:tcW w:w="64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增补董事，</w:t>
            </w: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月新任</w:t>
            </w:r>
          </w:p>
        </w:tc>
      </w:tr>
      <w:tr>
        <w:trPr>
          <w:trHeight w:val="281" w:hRule="exact"/>
        </w:trPr>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张建锋</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选举</w:t>
            </w:r>
          </w:p>
        </w:tc>
        <w:tc>
          <w:tcPr>
            <w:tcW w:w="64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增补董事，</w:t>
            </w: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月新任</w:t>
            </w:r>
          </w:p>
        </w:tc>
      </w:tr>
      <w:tr>
        <w:trPr>
          <w:trHeight w:val="283" w:hRule="exact"/>
        </w:trPr>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李翀</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选举</w:t>
            </w:r>
          </w:p>
        </w:tc>
        <w:tc>
          <w:tcPr>
            <w:tcW w:w="64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增补监事，</w:t>
            </w: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月新任</w:t>
            </w:r>
          </w:p>
        </w:tc>
      </w:tr>
      <w:tr>
        <w:trPr>
          <w:trHeight w:val="283" w:hRule="exact"/>
        </w:trPr>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张保英</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职工监事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选举</w:t>
            </w:r>
          </w:p>
        </w:tc>
        <w:tc>
          <w:tcPr>
            <w:tcW w:w="64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增补监事，</w:t>
            </w:r>
            <w:r>
              <w:rPr>
                <w:rFonts w:ascii="宋体" w:hAnsi="宋体" w:cs="宋体" w:eastAsia="宋体" w:hint="default"/>
                <w:sz w:val="21"/>
                <w:szCs w:val="21"/>
              </w:rPr>
              <w:t>2020</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pacing w:val="-3"/>
                <w:sz w:val="21"/>
                <w:szCs w:val="21"/>
              </w:rPr>
              <w:t>月新任</w:t>
            </w:r>
            <w:r>
              <w:rPr>
                <w:rFonts w:ascii="宋体" w:hAnsi="宋体" w:cs="宋体" w:eastAsia="宋体" w:hint="default"/>
                <w:sz w:val="21"/>
                <w:szCs w:val="21"/>
              </w:rPr>
            </w:r>
          </w:p>
        </w:tc>
      </w:tr>
      <w:tr>
        <w:trPr>
          <w:trHeight w:val="281" w:hRule="exact"/>
        </w:trPr>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范云军</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总法律顾问</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64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8"/>
              <w:jc w:val="left"/>
              <w:rPr>
                <w:rFonts w:ascii="宋体" w:hAnsi="宋体" w:cs="宋体" w:eastAsia="宋体" w:hint="default"/>
                <w:sz w:val="21"/>
                <w:szCs w:val="21"/>
              </w:rPr>
            </w:pPr>
            <w:r>
              <w:rPr>
                <w:rFonts w:ascii="宋体" w:hAnsi="宋体" w:cs="宋体" w:eastAsia="宋体" w:hint="default"/>
                <w:spacing w:val="-3"/>
                <w:sz w:val="21"/>
                <w:szCs w:val="21"/>
              </w:rPr>
              <w:t>高级副总裁职务未变动，自</w:t>
            </w:r>
            <w:r>
              <w:rPr>
                <w:rFonts w:ascii="宋体" w:hAnsi="宋体" w:cs="宋体" w:eastAsia="宋体" w:hint="default"/>
                <w:spacing w:val="-49"/>
                <w:sz w:val="21"/>
                <w:szCs w:val="21"/>
              </w:rPr>
              <w:t> </w:t>
            </w:r>
            <w:r>
              <w:rPr>
                <w:rFonts w:ascii="宋体" w:hAnsi="宋体" w:cs="宋体" w:eastAsia="宋体" w:hint="default"/>
                <w:sz w:val="21"/>
                <w:szCs w:val="21"/>
              </w:rPr>
              <w:t>2019</w:t>
            </w:r>
            <w:r>
              <w:rPr>
                <w:rFonts w:ascii="宋体" w:hAnsi="宋体" w:cs="宋体" w:eastAsia="宋体" w:hint="default"/>
                <w:spacing w:val="-50"/>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0"/>
                <w:sz w:val="21"/>
                <w:szCs w:val="21"/>
              </w:rPr>
              <w:t> </w:t>
            </w:r>
            <w:r>
              <w:rPr>
                <w:rFonts w:ascii="宋体" w:hAnsi="宋体" w:cs="宋体" w:eastAsia="宋体" w:hint="default"/>
                <w:sz w:val="21"/>
                <w:szCs w:val="21"/>
              </w:rPr>
              <w:t>月起兼任公司总法律顾问职务。</w:t>
            </w:r>
          </w:p>
        </w:tc>
      </w:tr>
    </w:tbl>
    <w:p>
      <w:pPr>
        <w:spacing w:line="240" w:lineRule="auto" w:before="7"/>
        <w:rPr>
          <w:rFonts w:ascii="Microsoft JhengHei" w:hAnsi="Microsoft JhengHei" w:cs="Microsoft JhengHei" w:eastAsia="Microsoft JhengHei" w:hint="default"/>
          <w:b/>
          <w:bCs/>
          <w:sz w:val="16"/>
          <w:szCs w:val="16"/>
        </w:rPr>
      </w:pPr>
    </w:p>
    <w:p>
      <w:pPr>
        <w:spacing w:line="335" w:lineRule="exact" w:before="0"/>
        <w:ind w:left="22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五、近三年受证券监管机构处罚的情况说明</w:t>
      </w:r>
      <w:r>
        <w:rPr>
          <w:rFonts w:ascii="Microsoft JhengHei" w:hAnsi="Microsoft JhengHei" w:cs="Microsoft JhengHei" w:eastAsia="Microsoft JhengHei" w:hint="default"/>
          <w:sz w:val="21"/>
          <w:szCs w:val="21"/>
        </w:rPr>
      </w:r>
    </w:p>
    <w:p>
      <w:pPr>
        <w:spacing w:before="32"/>
        <w:ind w:left="224" w:right="0"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after="0"/>
        <w:jc w:val="left"/>
        <w:rPr>
          <w:rFonts w:ascii="宋体" w:hAnsi="宋体" w:cs="宋体" w:eastAsia="宋体" w:hint="default"/>
          <w:sz w:val="21"/>
          <w:szCs w:val="21"/>
        </w:rPr>
        <w:sectPr>
          <w:footerReference w:type="default" r:id="rId71"/>
          <w:pgSz w:w="16840" w:h="11910" w:orient="landscape"/>
          <w:pgMar w:footer="502" w:header="854" w:top="1300" w:bottom="700" w:left="1300" w:right="1440"/>
        </w:sectPr>
      </w:pPr>
    </w:p>
    <w:p>
      <w:pPr>
        <w:spacing w:line="240" w:lineRule="auto" w:before="0"/>
        <w:rPr>
          <w:rFonts w:ascii="宋体" w:hAnsi="宋体" w:cs="宋体" w:eastAsia="宋体" w:hint="default"/>
          <w:sz w:val="20"/>
          <w:szCs w:val="20"/>
        </w:rPr>
      </w:pPr>
    </w:p>
    <w:p>
      <w:pPr>
        <w:spacing w:line="348" w:lineRule="exact" w:before="137"/>
        <w:ind w:left="218" w:right="12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六、母公司和主要子公司的员工情况</w:t>
      </w:r>
      <w:r>
        <w:rPr>
          <w:rFonts w:ascii="Microsoft JhengHei" w:hAnsi="Microsoft JhengHei" w:cs="Microsoft JhengHei" w:eastAsia="Microsoft JhengHei" w:hint="default"/>
          <w:sz w:val="21"/>
          <w:szCs w:val="21"/>
        </w:rPr>
      </w:r>
    </w:p>
    <w:p>
      <w:pPr>
        <w:spacing w:line="351" w:lineRule="exact" w:before="0"/>
        <w:ind w:left="218" w:right="120"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一</w:t>
      </w:r>
      <w:r>
        <w:rPr>
          <w:rFonts w:ascii="Calibri" w:hAnsi="Calibri" w:cs="Calibri" w:eastAsia="Calibri" w:hint="default"/>
          <w:b/>
          <w:bCs/>
          <w:sz w:val="21"/>
          <w:szCs w:val="21"/>
        </w:rPr>
        <w:t>)</w:t>
      </w:r>
      <w:r>
        <w:rPr>
          <w:rFonts w:ascii="Calibri" w:hAnsi="Calibri" w:cs="Calibri" w:eastAsia="Calibri" w:hint="default"/>
          <w:b/>
          <w:bCs/>
          <w:spacing w:val="35"/>
          <w:sz w:val="21"/>
          <w:szCs w:val="21"/>
        </w:rPr>
        <w:t> </w:t>
      </w:r>
      <w:r>
        <w:rPr>
          <w:rFonts w:ascii="Microsoft JhengHei" w:hAnsi="Microsoft JhengHei" w:cs="Microsoft JhengHei" w:eastAsia="Microsoft JhengHei" w:hint="default"/>
          <w:b/>
          <w:bCs/>
          <w:sz w:val="21"/>
          <w:szCs w:val="21"/>
        </w:rPr>
        <w:t>员工情况</w:t>
      </w:r>
      <w:r>
        <w:rPr>
          <w:rFonts w:ascii="Microsoft JhengHei" w:hAnsi="Microsoft JhengHei" w:cs="Microsoft JhengHei" w:eastAsia="Microsoft JhengHei" w:hint="default"/>
          <w:sz w:val="21"/>
          <w:szCs w:val="21"/>
        </w:rPr>
      </w:r>
    </w:p>
    <w:p>
      <w:pPr>
        <w:spacing w:line="240" w:lineRule="auto" w:before="14"/>
        <w:rPr>
          <w:rFonts w:ascii="Microsoft JhengHei" w:hAnsi="Microsoft JhengHei" w:cs="Microsoft JhengHei" w:eastAsia="Microsoft JhengHei" w:hint="default"/>
          <w:b/>
          <w:bCs/>
          <w:sz w:val="3"/>
          <w:szCs w:val="3"/>
        </w:rPr>
      </w:pPr>
    </w:p>
    <w:tbl>
      <w:tblPr>
        <w:tblW w:w="0" w:type="auto"/>
        <w:jc w:val="left"/>
        <w:tblInd w:w="106" w:type="dxa"/>
        <w:tblLayout w:type="fixed"/>
        <w:tblCellMar>
          <w:top w:w="0" w:type="dxa"/>
          <w:left w:w="0" w:type="dxa"/>
          <w:bottom w:w="0" w:type="dxa"/>
          <w:right w:w="0" w:type="dxa"/>
        </w:tblCellMar>
        <w:tblLook w:val="01E0"/>
      </w:tblPr>
      <w:tblGrid>
        <w:gridCol w:w="5298"/>
        <w:gridCol w:w="4131"/>
      </w:tblGrid>
      <w:tr>
        <w:trPr>
          <w:trHeight w:val="281" w:hRule="exact"/>
        </w:trPr>
        <w:tc>
          <w:tcPr>
            <w:tcW w:w="5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母公司在职员工的数量</w:t>
            </w:r>
          </w:p>
        </w:tc>
        <w:tc>
          <w:tcPr>
            <w:tcW w:w="41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1,343</w:t>
            </w:r>
          </w:p>
        </w:tc>
      </w:tr>
      <w:tr>
        <w:trPr>
          <w:trHeight w:val="283" w:hRule="exact"/>
        </w:trPr>
        <w:tc>
          <w:tcPr>
            <w:tcW w:w="52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主要子公司在职员工的数量</w:t>
            </w:r>
          </w:p>
        </w:tc>
        <w:tc>
          <w:tcPr>
            <w:tcW w:w="413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sz w:val="21"/>
              </w:rPr>
              <w:t>242,447</w:t>
            </w:r>
          </w:p>
        </w:tc>
      </w:tr>
      <w:tr>
        <w:trPr>
          <w:trHeight w:val="283" w:hRule="exact"/>
        </w:trPr>
        <w:tc>
          <w:tcPr>
            <w:tcW w:w="5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在职员工的数量合计</w:t>
            </w:r>
          </w:p>
        </w:tc>
        <w:tc>
          <w:tcPr>
            <w:tcW w:w="41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243,790</w:t>
            </w:r>
          </w:p>
        </w:tc>
      </w:tr>
      <w:tr>
        <w:trPr>
          <w:trHeight w:val="282" w:hRule="exact"/>
        </w:trPr>
        <w:tc>
          <w:tcPr>
            <w:tcW w:w="5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母公司及主要子公司需承担费用的离退休职工人数</w:t>
            </w:r>
          </w:p>
        </w:tc>
        <w:tc>
          <w:tcPr>
            <w:tcW w:w="41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37,846</w:t>
            </w:r>
          </w:p>
        </w:tc>
      </w:tr>
      <w:tr>
        <w:trPr>
          <w:trHeight w:val="282" w:hRule="exact"/>
        </w:trPr>
        <w:tc>
          <w:tcPr>
            <w:tcW w:w="9429"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2" w:lineRule="exact"/>
              <w:ind w:left="1" w:right="0"/>
              <w:jc w:val="center"/>
              <w:rPr>
                <w:rFonts w:ascii="宋体" w:hAnsi="宋体" w:cs="宋体" w:eastAsia="宋体" w:hint="default"/>
                <w:sz w:val="21"/>
                <w:szCs w:val="21"/>
              </w:rPr>
            </w:pPr>
            <w:r>
              <w:rPr>
                <w:rFonts w:ascii="宋体" w:hAnsi="宋体" w:cs="宋体" w:eastAsia="宋体" w:hint="default"/>
                <w:sz w:val="21"/>
                <w:szCs w:val="21"/>
              </w:rPr>
              <w:t>专业构成</w:t>
            </w:r>
          </w:p>
        </w:tc>
      </w:tr>
      <w:tr>
        <w:trPr>
          <w:trHeight w:val="283" w:hRule="exact"/>
        </w:trPr>
        <w:tc>
          <w:tcPr>
            <w:tcW w:w="5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专业构成类别</w:t>
            </w:r>
          </w:p>
        </w:tc>
        <w:tc>
          <w:tcPr>
            <w:tcW w:w="41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专业构成人数</w:t>
            </w:r>
          </w:p>
        </w:tc>
      </w:tr>
      <w:tr>
        <w:trPr>
          <w:trHeight w:val="281" w:hRule="exact"/>
        </w:trPr>
        <w:tc>
          <w:tcPr>
            <w:tcW w:w="5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市场序列类岗位</w:t>
            </w:r>
          </w:p>
        </w:tc>
        <w:tc>
          <w:tcPr>
            <w:tcW w:w="41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112,750</w:t>
            </w:r>
          </w:p>
        </w:tc>
      </w:tr>
      <w:tr>
        <w:trPr>
          <w:trHeight w:val="283" w:hRule="exact"/>
        </w:trPr>
        <w:tc>
          <w:tcPr>
            <w:tcW w:w="52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 w:right="0"/>
              <w:jc w:val="center"/>
              <w:rPr>
                <w:rFonts w:ascii="宋体" w:hAnsi="宋体" w:cs="宋体" w:eastAsia="宋体" w:hint="default"/>
                <w:sz w:val="21"/>
                <w:szCs w:val="21"/>
              </w:rPr>
            </w:pPr>
            <w:r>
              <w:rPr>
                <w:rFonts w:ascii="宋体" w:hAnsi="宋体" w:cs="宋体" w:eastAsia="宋体" w:hint="default"/>
                <w:sz w:val="21"/>
                <w:szCs w:val="21"/>
              </w:rPr>
              <w:t>技术序列类岗位</w:t>
            </w:r>
          </w:p>
        </w:tc>
        <w:tc>
          <w:tcPr>
            <w:tcW w:w="413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 w:right="0"/>
              <w:jc w:val="center"/>
              <w:rPr>
                <w:rFonts w:ascii="宋体" w:hAnsi="宋体" w:cs="宋体" w:eastAsia="宋体" w:hint="default"/>
                <w:sz w:val="21"/>
                <w:szCs w:val="21"/>
              </w:rPr>
            </w:pPr>
            <w:r>
              <w:rPr>
                <w:rFonts w:ascii="宋体"/>
                <w:sz w:val="21"/>
              </w:rPr>
              <w:t>78,389</w:t>
            </w:r>
          </w:p>
        </w:tc>
      </w:tr>
      <w:tr>
        <w:trPr>
          <w:trHeight w:val="284" w:hRule="exact"/>
        </w:trPr>
        <w:tc>
          <w:tcPr>
            <w:tcW w:w="5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支撑序列类岗位</w:t>
            </w:r>
          </w:p>
        </w:tc>
        <w:tc>
          <w:tcPr>
            <w:tcW w:w="41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34,142</w:t>
            </w:r>
          </w:p>
        </w:tc>
      </w:tr>
      <w:tr>
        <w:trPr>
          <w:trHeight w:val="281" w:hRule="exact"/>
        </w:trPr>
        <w:tc>
          <w:tcPr>
            <w:tcW w:w="5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管理序列类岗位</w:t>
            </w:r>
          </w:p>
        </w:tc>
        <w:tc>
          <w:tcPr>
            <w:tcW w:w="41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18,509</w:t>
            </w:r>
          </w:p>
        </w:tc>
      </w:tr>
      <w:tr>
        <w:trPr>
          <w:trHeight w:val="283" w:hRule="exact"/>
        </w:trPr>
        <w:tc>
          <w:tcPr>
            <w:tcW w:w="5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41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243,790</w:t>
            </w:r>
          </w:p>
        </w:tc>
      </w:tr>
      <w:tr>
        <w:trPr>
          <w:trHeight w:val="283" w:hRule="exact"/>
        </w:trPr>
        <w:tc>
          <w:tcPr>
            <w:tcW w:w="9429"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教育程度</w:t>
            </w:r>
          </w:p>
        </w:tc>
      </w:tr>
      <w:tr>
        <w:trPr>
          <w:trHeight w:val="281" w:hRule="exact"/>
        </w:trPr>
        <w:tc>
          <w:tcPr>
            <w:tcW w:w="52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教育程度类别</w:t>
            </w:r>
          </w:p>
        </w:tc>
        <w:tc>
          <w:tcPr>
            <w:tcW w:w="41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数量（人）</w:t>
            </w:r>
          </w:p>
        </w:tc>
      </w:tr>
      <w:tr>
        <w:trPr>
          <w:trHeight w:val="283" w:hRule="exact"/>
        </w:trPr>
        <w:tc>
          <w:tcPr>
            <w:tcW w:w="5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硕士及以上</w:t>
            </w:r>
          </w:p>
        </w:tc>
        <w:tc>
          <w:tcPr>
            <w:tcW w:w="41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18,894</w:t>
            </w:r>
          </w:p>
        </w:tc>
      </w:tr>
      <w:tr>
        <w:trPr>
          <w:trHeight w:val="281" w:hRule="exact"/>
        </w:trPr>
        <w:tc>
          <w:tcPr>
            <w:tcW w:w="5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大学本科</w:t>
            </w:r>
          </w:p>
        </w:tc>
        <w:tc>
          <w:tcPr>
            <w:tcW w:w="41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142,972</w:t>
            </w:r>
          </w:p>
        </w:tc>
      </w:tr>
      <w:tr>
        <w:trPr>
          <w:trHeight w:val="283" w:hRule="exact"/>
        </w:trPr>
        <w:tc>
          <w:tcPr>
            <w:tcW w:w="52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center"/>
              <w:rPr>
                <w:rFonts w:ascii="宋体" w:hAnsi="宋体" w:cs="宋体" w:eastAsia="宋体" w:hint="default"/>
                <w:sz w:val="21"/>
                <w:szCs w:val="21"/>
              </w:rPr>
            </w:pPr>
            <w:r>
              <w:rPr>
                <w:rFonts w:ascii="宋体" w:hAnsi="宋体" w:cs="宋体" w:eastAsia="宋体" w:hint="default"/>
                <w:sz w:val="21"/>
                <w:szCs w:val="21"/>
              </w:rPr>
              <w:t>大学专科</w:t>
            </w:r>
          </w:p>
        </w:tc>
        <w:tc>
          <w:tcPr>
            <w:tcW w:w="413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 w:right="0"/>
              <w:jc w:val="center"/>
              <w:rPr>
                <w:rFonts w:ascii="宋体" w:hAnsi="宋体" w:cs="宋体" w:eastAsia="宋体" w:hint="default"/>
                <w:sz w:val="21"/>
                <w:szCs w:val="21"/>
              </w:rPr>
            </w:pPr>
            <w:r>
              <w:rPr>
                <w:rFonts w:ascii="宋体"/>
                <w:sz w:val="21"/>
              </w:rPr>
              <w:t>48,671</w:t>
            </w:r>
          </w:p>
        </w:tc>
      </w:tr>
      <w:tr>
        <w:trPr>
          <w:trHeight w:val="283" w:hRule="exact"/>
        </w:trPr>
        <w:tc>
          <w:tcPr>
            <w:tcW w:w="5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中专及以下</w:t>
            </w:r>
          </w:p>
        </w:tc>
        <w:tc>
          <w:tcPr>
            <w:tcW w:w="41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33,253</w:t>
            </w:r>
          </w:p>
        </w:tc>
      </w:tr>
      <w:tr>
        <w:trPr>
          <w:trHeight w:val="283" w:hRule="exact"/>
        </w:trPr>
        <w:tc>
          <w:tcPr>
            <w:tcW w:w="52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41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243,790</w:t>
            </w:r>
          </w:p>
        </w:tc>
      </w:tr>
    </w:tbl>
    <w:p>
      <w:pPr>
        <w:spacing w:line="240" w:lineRule="auto" w:before="0"/>
        <w:rPr>
          <w:rFonts w:ascii="Microsoft JhengHei" w:hAnsi="Microsoft JhengHei" w:cs="Microsoft JhengHei" w:eastAsia="Microsoft JhengHei" w:hint="default"/>
          <w:b/>
          <w:bCs/>
          <w:sz w:val="15"/>
          <w:szCs w:val="15"/>
        </w:rPr>
      </w:pPr>
    </w:p>
    <w:p>
      <w:pPr>
        <w:spacing w:line="338" w:lineRule="exact" w:before="0"/>
        <w:ind w:left="218" w:right="120"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二</w:t>
      </w:r>
      <w:r>
        <w:rPr>
          <w:rFonts w:ascii="Calibri" w:hAnsi="Calibri" w:cs="Calibri" w:eastAsia="Calibri" w:hint="default"/>
          <w:b/>
          <w:bCs/>
          <w:sz w:val="21"/>
          <w:szCs w:val="21"/>
        </w:rPr>
        <w:t>)</w:t>
      </w:r>
      <w:r>
        <w:rPr>
          <w:rFonts w:ascii="Calibri" w:hAnsi="Calibri" w:cs="Calibri" w:eastAsia="Calibri" w:hint="default"/>
          <w:b/>
          <w:bCs/>
          <w:spacing w:val="34"/>
          <w:sz w:val="21"/>
          <w:szCs w:val="21"/>
        </w:rPr>
        <w:t> </w:t>
      </w:r>
      <w:r>
        <w:rPr>
          <w:rFonts w:ascii="Microsoft JhengHei" w:hAnsi="Microsoft JhengHei" w:cs="Microsoft JhengHei" w:eastAsia="Microsoft JhengHei" w:hint="default"/>
          <w:b/>
          <w:bCs/>
          <w:sz w:val="21"/>
          <w:szCs w:val="21"/>
        </w:rPr>
        <w:t>薪酬政策</w:t>
      </w:r>
      <w:r>
        <w:rPr>
          <w:rFonts w:ascii="Microsoft JhengHei" w:hAnsi="Microsoft JhengHei" w:cs="Microsoft JhengHei" w:eastAsia="Microsoft JhengHei" w:hint="default"/>
          <w:sz w:val="21"/>
          <w:szCs w:val="21"/>
        </w:rPr>
      </w:r>
    </w:p>
    <w:p>
      <w:pPr>
        <w:spacing w:line="314" w:lineRule="auto" w:before="168"/>
        <w:ind w:left="218" w:right="227" w:firstLine="0"/>
        <w:jc w:val="both"/>
        <w:rPr>
          <w:rFonts w:ascii="宋体" w:hAnsi="宋体" w:cs="宋体" w:eastAsia="宋体" w:hint="default"/>
          <w:sz w:val="21"/>
          <w:szCs w:val="21"/>
        </w:rPr>
      </w:pPr>
      <w:r>
        <w:rPr>
          <w:rFonts w:ascii="宋体" w:hAnsi="宋体" w:cs="宋体" w:eastAsia="宋体" w:hint="default"/>
          <w:spacing w:val="-3"/>
          <w:sz w:val="21"/>
          <w:szCs w:val="21"/>
        </w:rPr>
        <w:t>公司致力于优化人工成本配置规则，人工成本增长与公司经营业绩紧密挂钩；积极探索差异化薪酬激</w:t>
      </w:r>
      <w:r>
        <w:rPr>
          <w:rFonts w:ascii="宋体" w:hAnsi="宋体" w:cs="宋体" w:eastAsia="宋体" w:hint="default"/>
          <w:spacing w:val="-9"/>
          <w:sz w:val="21"/>
          <w:szCs w:val="21"/>
        </w:rPr>
        <w:t> </w:t>
      </w:r>
      <w:r>
        <w:rPr>
          <w:rFonts w:ascii="宋体" w:hAnsi="宋体" w:cs="宋体" w:eastAsia="宋体" w:hint="default"/>
          <w:spacing w:val="-9"/>
          <w:sz w:val="21"/>
          <w:szCs w:val="21"/>
        </w:rPr>
      </w:r>
      <w:r>
        <w:rPr>
          <w:rFonts w:ascii="宋体" w:hAnsi="宋体" w:cs="宋体" w:eastAsia="宋体" w:hint="default"/>
          <w:spacing w:val="-3"/>
          <w:sz w:val="21"/>
          <w:szCs w:val="21"/>
        </w:rPr>
        <w:t>励模式，实施公允透明的薪酬分配机制，强化不同群体间薪酬分配管控，健全福利体系，构建公平和</w:t>
      </w:r>
      <w:r>
        <w:rPr>
          <w:rFonts w:ascii="宋体" w:hAnsi="宋体" w:cs="宋体" w:eastAsia="宋体" w:hint="default"/>
          <w:spacing w:val="-11"/>
          <w:sz w:val="21"/>
          <w:szCs w:val="21"/>
        </w:rPr>
        <w:t> </w:t>
      </w:r>
      <w:r>
        <w:rPr>
          <w:rFonts w:ascii="宋体" w:hAnsi="宋体" w:cs="宋体" w:eastAsia="宋体" w:hint="default"/>
          <w:spacing w:val="-11"/>
          <w:sz w:val="21"/>
          <w:szCs w:val="21"/>
        </w:rPr>
      </w:r>
      <w:r>
        <w:rPr>
          <w:rFonts w:ascii="宋体" w:hAnsi="宋体" w:cs="宋体" w:eastAsia="宋体" w:hint="default"/>
          <w:sz w:val="21"/>
          <w:szCs w:val="21"/>
        </w:rPr>
        <w:t>谐分配关系。</w:t>
      </w:r>
    </w:p>
    <w:p>
      <w:pPr>
        <w:spacing w:line="240" w:lineRule="auto" w:before="1"/>
        <w:rPr>
          <w:rFonts w:ascii="宋体" w:hAnsi="宋体" w:cs="宋体" w:eastAsia="宋体" w:hint="default"/>
          <w:sz w:val="25"/>
          <w:szCs w:val="25"/>
        </w:rPr>
      </w:pPr>
    </w:p>
    <w:p>
      <w:pPr>
        <w:spacing w:line="326" w:lineRule="auto" w:before="0"/>
        <w:ind w:left="218" w:right="120" w:firstLine="0"/>
        <w:jc w:val="left"/>
        <w:rPr>
          <w:rFonts w:ascii="宋体" w:hAnsi="宋体" w:cs="宋体" w:eastAsia="宋体"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三</w:t>
      </w:r>
      <w:r>
        <w:rPr>
          <w:rFonts w:ascii="Calibri" w:hAnsi="Calibri" w:cs="Calibri" w:eastAsia="Calibri" w:hint="default"/>
          <w:b/>
          <w:bCs/>
          <w:sz w:val="21"/>
          <w:szCs w:val="21"/>
        </w:rPr>
        <w:t>)</w:t>
      </w:r>
      <w:r>
        <w:rPr>
          <w:rFonts w:ascii="Calibri" w:hAnsi="Calibri" w:cs="Calibri" w:eastAsia="Calibri" w:hint="default"/>
          <w:b/>
          <w:bCs/>
          <w:spacing w:val="27"/>
          <w:sz w:val="21"/>
          <w:szCs w:val="21"/>
        </w:rPr>
        <w:t> </w:t>
      </w:r>
      <w:r>
        <w:rPr>
          <w:rFonts w:ascii="Microsoft JhengHei" w:hAnsi="Microsoft JhengHei" w:cs="Microsoft JhengHei" w:eastAsia="Microsoft JhengHei" w:hint="default"/>
          <w:b/>
          <w:bCs/>
          <w:sz w:val="21"/>
          <w:szCs w:val="21"/>
        </w:rPr>
        <w:t>培训计划</w:t>
      </w:r>
      <w:r>
        <w:rPr>
          <w:rFonts w:ascii="Microsoft JhengHei" w:hAnsi="Microsoft JhengHei" w:cs="Microsoft JhengHei" w:eastAsia="Microsoft JhengHei" w:hint="default"/>
          <w:b/>
          <w:bCs/>
          <w:spacing w:val="-45"/>
          <w:sz w:val="21"/>
          <w:szCs w:val="21"/>
        </w:rPr>
        <w:t> </w:t>
      </w:r>
      <w:r>
        <w:rPr>
          <w:rFonts w:ascii="宋体" w:hAnsi="宋体" w:cs="宋体" w:eastAsia="宋体" w:hint="default"/>
          <w:spacing w:val="-3"/>
          <w:sz w:val="21"/>
          <w:szCs w:val="21"/>
        </w:rPr>
        <w:t>公司高度重视人才培养培训工作，围绕转型发展能力要求，积极构建、重塑集团教育培训体系；强化</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spacing w:val="-5"/>
          <w:sz w:val="21"/>
          <w:szCs w:val="21"/>
        </w:rPr>
        <w:t>员工素质培养的系统性、持续性、针对性、有效性，逐年制定管理人员与专业人才年度重点培训计划，</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z w:val="21"/>
          <w:szCs w:val="21"/>
        </w:rPr>
        <w:t>持续开展各群体专业化能力提升和转型培训。</w:t>
      </w:r>
    </w:p>
    <w:p>
      <w:pPr>
        <w:spacing w:line="240" w:lineRule="auto" w:before="6"/>
        <w:rPr>
          <w:rFonts w:ascii="宋体" w:hAnsi="宋体" w:cs="宋体" w:eastAsia="宋体" w:hint="default"/>
          <w:sz w:val="24"/>
          <w:szCs w:val="24"/>
        </w:rPr>
      </w:pPr>
    </w:p>
    <w:p>
      <w:pPr>
        <w:spacing w:before="0"/>
        <w:ind w:left="218" w:right="120"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四</w:t>
      </w:r>
      <w:r>
        <w:rPr>
          <w:rFonts w:ascii="Calibri" w:hAnsi="Calibri" w:cs="Calibri" w:eastAsia="Calibri" w:hint="default"/>
          <w:b/>
          <w:bCs/>
          <w:sz w:val="21"/>
          <w:szCs w:val="21"/>
        </w:rPr>
        <w:t>)</w:t>
      </w:r>
      <w:r>
        <w:rPr>
          <w:rFonts w:ascii="Calibri" w:hAnsi="Calibri" w:cs="Calibri" w:eastAsia="Calibri" w:hint="default"/>
          <w:b/>
          <w:bCs/>
          <w:spacing w:val="37"/>
          <w:sz w:val="21"/>
          <w:szCs w:val="21"/>
        </w:rPr>
        <w:t> </w:t>
      </w:r>
      <w:r>
        <w:rPr>
          <w:rFonts w:ascii="Microsoft JhengHei" w:hAnsi="Microsoft JhengHei" w:cs="Microsoft JhengHei" w:eastAsia="Microsoft JhengHei" w:hint="default"/>
          <w:b/>
          <w:bCs/>
          <w:sz w:val="21"/>
          <w:szCs w:val="21"/>
        </w:rPr>
        <w:t>劳务外包情况</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3"/>
          <w:szCs w:val="3"/>
        </w:rPr>
      </w:pPr>
    </w:p>
    <w:tbl>
      <w:tblPr>
        <w:tblW w:w="0" w:type="auto"/>
        <w:jc w:val="left"/>
        <w:tblInd w:w="106" w:type="dxa"/>
        <w:tblLayout w:type="fixed"/>
        <w:tblCellMar>
          <w:top w:w="0" w:type="dxa"/>
          <w:left w:w="0" w:type="dxa"/>
          <w:bottom w:w="0" w:type="dxa"/>
          <w:right w:w="0" w:type="dxa"/>
        </w:tblCellMar>
        <w:tblLook w:val="01E0"/>
      </w:tblPr>
      <w:tblGrid>
        <w:gridCol w:w="4714"/>
        <w:gridCol w:w="4715"/>
      </w:tblGrid>
      <w:tr>
        <w:trPr>
          <w:trHeight w:val="283" w:hRule="exact"/>
        </w:trPr>
        <w:tc>
          <w:tcPr>
            <w:tcW w:w="4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劳务外包的工时总数</w:t>
            </w:r>
          </w:p>
        </w:tc>
        <w:tc>
          <w:tcPr>
            <w:tcW w:w="471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26552275</w:t>
            </w:r>
          </w:p>
        </w:tc>
      </w:tr>
      <w:tr>
        <w:trPr>
          <w:trHeight w:val="283" w:hRule="exact"/>
        </w:trPr>
        <w:tc>
          <w:tcPr>
            <w:tcW w:w="4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劳务外包支付的报酬总额</w:t>
            </w:r>
          </w:p>
        </w:tc>
        <w:tc>
          <w:tcPr>
            <w:tcW w:w="47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hAnsi="宋体" w:cs="宋体" w:eastAsia="宋体" w:hint="default"/>
                <w:sz w:val="21"/>
                <w:szCs w:val="21"/>
              </w:rPr>
              <w:t>146662</w:t>
            </w:r>
            <w:r>
              <w:rPr>
                <w:rFonts w:ascii="宋体" w:hAnsi="宋体" w:cs="宋体" w:eastAsia="宋体" w:hint="default"/>
                <w:spacing w:val="-50"/>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r>
    </w:tbl>
    <w:p>
      <w:pPr>
        <w:spacing w:after="0" w:line="241" w:lineRule="exact"/>
        <w:jc w:val="right"/>
        <w:rPr>
          <w:rFonts w:ascii="宋体" w:hAnsi="宋体" w:cs="宋体" w:eastAsia="宋体" w:hint="default"/>
          <w:sz w:val="21"/>
          <w:szCs w:val="21"/>
        </w:rPr>
        <w:sectPr>
          <w:headerReference w:type="default" r:id="rId72"/>
          <w:footerReference w:type="default" r:id="rId73"/>
          <w:pgSz w:w="11910" w:h="16840"/>
          <w:pgMar w:header="852" w:footer="502" w:top="1340" w:bottom="700" w:left="1200" w:right="1040"/>
        </w:sectPr>
      </w:pPr>
    </w:p>
    <w:p>
      <w:pPr>
        <w:spacing w:line="240" w:lineRule="auto" w:before="16"/>
        <w:rPr>
          <w:rFonts w:ascii="Microsoft JhengHei" w:hAnsi="Microsoft JhengHei" w:cs="Microsoft JhengHei" w:eastAsia="Microsoft JhengHei" w:hint="default"/>
          <w:b/>
          <w:bCs/>
          <w:sz w:val="5"/>
          <w:szCs w:val="5"/>
        </w:rPr>
      </w:pPr>
    </w:p>
    <w:p>
      <w:pPr>
        <w:pStyle w:val="Heading1"/>
        <w:tabs>
          <w:tab w:pos="1259" w:val="left" w:leader="none"/>
        </w:tabs>
        <w:spacing w:line="413" w:lineRule="exact"/>
        <w:ind w:right="74"/>
        <w:jc w:val="center"/>
        <w:rPr>
          <w:b w:val="0"/>
          <w:bCs w:val="0"/>
        </w:rPr>
      </w:pPr>
      <w:bookmarkStart w:name="_bookmark8" w:id="10"/>
      <w:bookmarkEnd w:id="10"/>
      <w:r>
        <w:rPr>
          <w:b w:val="0"/>
          <w:bCs w:val="0"/>
        </w:rPr>
      </w:r>
      <w:r>
        <w:rPr/>
        <w:t>第九节</w:t>
        <w:tab/>
        <w:t>公司治理</w:t>
      </w:r>
      <w:r>
        <w:rPr>
          <w:b w:val="0"/>
          <w:bCs w:val="0"/>
        </w:rPr>
      </w:r>
    </w:p>
    <w:p>
      <w:pPr>
        <w:spacing w:line="240" w:lineRule="auto" w:before="11"/>
        <w:rPr>
          <w:rFonts w:ascii="Microsoft JhengHei" w:hAnsi="Microsoft JhengHei" w:cs="Microsoft JhengHei" w:eastAsia="Microsoft JhengHei" w:hint="default"/>
          <w:b/>
          <w:bCs/>
          <w:sz w:val="10"/>
          <w:szCs w:val="10"/>
        </w:rPr>
      </w:pPr>
    </w:p>
    <w:p>
      <w:pPr>
        <w:spacing w:line="335" w:lineRule="exact" w:before="0"/>
        <w:ind w:left="138" w:right="96"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一、公司治理相关情况说明</w:t>
      </w:r>
      <w:r>
        <w:rPr>
          <w:rFonts w:ascii="Microsoft JhengHei" w:hAnsi="Microsoft JhengHei" w:cs="Microsoft JhengHei" w:eastAsia="Microsoft JhengHei" w:hint="default"/>
          <w:sz w:val="21"/>
          <w:szCs w:val="21"/>
        </w:rPr>
      </w:r>
    </w:p>
    <w:p>
      <w:pPr>
        <w:spacing w:line="314" w:lineRule="auto" w:before="171"/>
        <w:ind w:left="138" w:right="96" w:firstLine="420"/>
        <w:jc w:val="left"/>
        <w:rPr>
          <w:rFonts w:ascii="宋体" w:hAnsi="宋体" w:cs="宋体" w:eastAsia="宋体" w:hint="default"/>
          <w:sz w:val="21"/>
          <w:szCs w:val="21"/>
        </w:rPr>
      </w:pPr>
      <w:r>
        <w:rPr>
          <w:rFonts w:ascii="宋体" w:hAnsi="宋体" w:cs="宋体" w:eastAsia="宋体" w:hint="default"/>
          <w:spacing w:val="-3"/>
          <w:sz w:val="21"/>
          <w:szCs w:val="21"/>
        </w:rPr>
        <w:t>本公司严格按照《公司法》《证券法》和中国证监会、上海证券交易所有关公司治理的要求，持</w:t>
      </w:r>
      <w:r>
        <w:rPr>
          <w:rFonts w:ascii="宋体" w:hAnsi="宋体" w:cs="宋体" w:eastAsia="宋体" w:hint="default"/>
          <w:w w:val="100"/>
          <w:sz w:val="21"/>
          <w:szCs w:val="21"/>
        </w:rPr>
        <w:t> </w:t>
      </w:r>
      <w:r>
        <w:rPr>
          <w:rFonts w:ascii="宋体" w:hAnsi="宋体" w:cs="宋体" w:eastAsia="宋体" w:hint="default"/>
          <w:spacing w:val="-3"/>
          <w:sz w:val="21"/>
          <w:szCs w:val="21"/>
        </w:rPr>
        <w:t>续提升公司治理水平，优化公司治理制度体系和运行机制，建立健全内部控制和风险管理体系，依法</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spacing w:val="-3"/>
          <w:sz w:val="21"/>
          <w:szCs w:val="21"/>
        </w:rPr>
        <w:t>履行信息披露义务，加强投资者关系管理，确保公司规范运作，保障投资者利益。本公司股东会、董</w:t>
      </w:r>
      <w:r>
        <w:rPr>
          <w:rFonts w:ascii="宋体" w:hAnsi="宋体" w:cs="宋体" w:eastAsia="宋体" w:hint="default"/>
          <w:spacing w:val="-14"/>
          <w:sz w:val="21"/>
          <w:szCs w:val="21"/>
        </w:rPr>
        <w:t> </w:t>
      </w:r>
      <w:r>
        <w:rPr>
          <w:rFonts w:ascii="宋体" w:hAnsi="宋体" w:cs="宋体" w:eastAsia="宋体" w:hint="default"/>
          <w:spacing w:val="-14"/>
          <w:sz w:val="21"/>
          <w:szCs w:val="21"/>
        </w:rPr>
      </w:r>
      <w:r>
        <w:rPr>
          <w:rFonts w:ascii="宋体" w:hAnsi="宋体" w:cs="宋体" w:eastAsia="宋体" w:hint="default"/>
          <w:spacing w:val="-5"/>
          <w:sz w:val="21"/>
          <w:szCs w:val="21"/>
        </w:rPr>
        <w:t>事会、监事会及董事会各专门委员会有关职权范围请见公司在上交所及公司网站公布的《公司章程》、</w:t>
      </w:r>
      <w:r>
        <w:rPr>
          <w:rFonts w:ascii="宋体" w:hAnsi="宋体" w:cs="宋体" w:eastAsia="宋体" w:hint="default"/>
          <w:spacing w:val="-22"/>
          <w:sz w:val="21"/>
          <w:szCs w:val="21"/>
        </w:rPr>
        <w:t> </w:t>
      </w:r>
      <w:r>
        <w:rPr>
          <w:rFonts w:ascii="宋体" w:hAnsi="宋体" w:cs="宋体" w:eastAsia="宋体" w:hint="default"/>
          <w:spacing w:val="-22"/>
          <w:sz w:val="21"/>
          <w:szCs w:val="21"/>
        </w:rPr>
      </w:r>
      <w:r>
        <w:rPr>
          <w:rFonts w:ascii="宋体" w:hAnsi="宋体" w:cs="宋体" w:eastAsia="宋体" w:hint="default"/>
          <w:spacing w:val="-3"/>
          <w:sz w:val="21"/>
          <w:szCs w:val="21"/>
        </w:rPr>
        <w:t>相关议事规则及工作细则。报告期内，本公司的公司治理现状与中国证监会发布有关上市公司治理的</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sz w:val="21"/>
          <w:szCs w:val="21"/>
        </w:rPr>
        <w:t>规范性文件不存在重大差异。</w:t>
      </w:r>
    </w:p>
    <w:p>
      <w:pPr>
        <w:spacing w:line="314" w:lineRule="auto" w:before="140"/>
        <w:ind w:left="138" w:right="208" w:firstLine="420"/>
        <w:jc w:val="both"/>
        <w:rPr>
          <w:rFonts w:ascii="宋体" w:hAnsi="宋体" w:cs="宋体" w:eastAsia="宋体" w:hint="default"/>
          <w:sz w:val="21"/>
          <w:szCs w:val="21"/>
        </w:rPr>
      </w:pPr>
      <w:r>
        <w:rPr>
          <w:rFonts w:ascii="宋体" w:hAnsi="宋体" w:cs="宋体" w:eastAsia="宋体" w:hint="default"/>
          <w:sz w:val="21"/>
          <w:szCs w:val="21"/>
        </w:rPr>
        <w:t>报告期内，本公司累计召开股东大会</w:t>
      </w:r>
      <w:r>
        <w:rPr>
          <w:rFonts w:ascii="宋体" w:hAnsi="宋体" w:cs="宋体" w:eastAsia="宋体" w:hint="default"/>
          <w:sz w:val="21"/>
          <w:szCs w:val="21"/>
        </w:rPr>
        <w:t>3</w:t>
      </w:r>
      <w:r>
        <w:rPr>
          <w:rFonts w:ascii="宋体" w:hAnsi="宋体" w:cs="宋体" w:eastAsia="宋体" w:hint="default"/>
          <w:sz w:val="21"/>
          <w:szCs w:val="21"/>
        </w:rPr>
        <w:t>次、董事会会议</w:t>
      </w:r>
      <w:r>
        <w:rPr>
          <w:rFonts w:ascii="宋体" w:hAnsi="宋体" w:cs="宋体" w:eastAsia="宋体" w:hint="default"/>
          <w:sz w:val="21"/>
          <w:szCs w:val="21"/>
        </w:rPr>
        <w:t>7</w:t>
      </w:r>
      <w:r>
        <w:rPr>
          <w:rFonts w:ascii="宋体" w:hAnsi="宋体" w:cs="宋体" w:eastAsia="宋体" w:hint="default"/>
          <w:sz w:val="21"/>
          <w:szCs w:val="21"/>
        </w:rPr>
        <w:t>次、监事会会议</w:t>
      </w:r>
      <w:r>
        <w:rPr>
          <w:rFonts w:ascii="宋体" w:hAnsi="宋体" w:cs="宋体" w:eastAsia="宋体" w:hint="default"/>
          <w:sz w:val="21"/>
          <w:szCs w:val="21"/>
        </w:rPr>
        <w:t>6</w:t>
      </w:r>
      <w:r>
        <w:rPr>
          <w:rFonts w:ascii="宋体" w:hAnsi="宋体" w:cs="宋体" w:eastAsia="宋体" w:hint="default"/>
          <w:sz w:val="21"/>
          <w:szCs w:val="21"/>
        </w:rPr>
        <w:t>次，所有会议的召集、</w:t>
      </w:r>
      <w:r>
        <w:rPr>
          <w:rFonts w:ascii="宋体" w:hAnsi="宋体" w:cs="宋体" w:eastAsia="宋体" w:hint="default"/>
          <w:w w:val="100"/>
          <w:sz w:val="21"/>
          <w:szCs w:val="21"/>
        </w:rPr>
        <w:t> </w:t>
      </w:r>
      <w:r>
        <w:rPr>
          <w:rFonts w:ascii="宋体" w:hAnsi="宋体" w:cs="宋体" w:eastAsia="宋体" w:hint="default"/>
          <w:spacing w:val="-3"/>
          <w:sz w:val="21"/>
          <w:szCs w:val="21"/>
        </w:rPr>
        <w:t>召开、表决、披露程序均符合法律法规及公司管理制度要求。所有需提交股东大会审议事项均按程序</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sz w:val="21"/>
          <w:szCs w:val="21"/>
        </w:rPr>
        <w:t>提交股东大会审议。</w:t>
      </w:r>
    </w:p>
    <w:p>
      <w:pPr>
        <w:spacing w:line="314" w:lineRule="auto" w:before="140"/>
        <w:ind w:left="138" w:right="207" w:firstLine="420"/>
        <w:jc w:val="both"/>
        <w:rPr>
          <w:rFonts w:ascii="宋体" w:hAnsi="宋体" w:cs="宋体" w:eastAsia="宋体" w:hint="default"/>
          <w:sz w:val="21"/>
          <w:szCs w:val="21"/>
        </w:rPr>
      </w:pPr>
      <w:r>
        <w:rPr>
          <w:rFonts w:ascii="宋体" w:hAnsi="宋体" w:cs="宋体" w:eastAsia="宋体" w:hint="default"/>
          <w:spacing w:val="-3"/>
          <w:sz w:val="21"/>
          <w:szCs w:val="21"/>
        </w:rPr>
        <w:t>公司不断完善各项治理制度，建立严格有效的内部控制和风险控制体系，加强信息披露工作，强</w:t>
      </w:r>
      <w:r>
        <w:rPr>
          <w:rFonts w:ascii="宋体" w:hAnsi="宋体" w:cs="宋体" w:eastAsia="宋体" w:hint="default"/>
          <w:w w:val="100"/>
          <w:sz w:val="21"/>
          <w:szCs w:val="21"/>
        </w:rPr>
        <w:t> </w:t>
      </w:r>
      <w:r>
        <w:rPr>
          <w:rFonts w:ascii="宋体" w:hAnsi="宋体" w:cs="宋体" w:eastAsia="宋体" w:hint="default"/>
          <w:spacing w:val="-2"/>
          <w:sz w:val="21"/>
          <w:szCs w:val="21"/>
        </w:rPr>
        <w:t>化规范化运作，并高度关注在混合所有制改革过程中全体股东的利益。</w:t>
      </w:r>
      <w:r>
        <w:rPr>
          <w:rFonts w:ascii="宋体" w:hAnsi="宋体" w:cs="宋体" w:eastAsia="宋体" w:hint="default"/>
          <w:spacing w:val="-2"/>
          <w:sz w:val="21"/>
          <w:szCs w:val="21"/>
        </w:rPr>
        <w:t>2019</w:t>
      </w:r>
      <w:r>
        <w:rPr>
          <w:rFonts w:ascii="宋体" w:hAnsi="宋体" w:cs="宋体" w:eastAsia="宋体" w:hint="default"/>
          <w:spacing w:val="-2"/>
          <w:sz w:val="21"/>
          <w:szCs w:val="21"/>
        </w:rPr>
        <w:t>年，公司根据法律法规及</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公司混改实际，经相关程序批准，对公司治理制度进行了全面系统修订</w:t>
      </w:r>
      <w:r>
        <w:rPr>
          <w:rFonts w:ascii="宋体" w:hAnsi="宋体" w:cs="宋体" w:eastAsia="宋体" w:hint="default"/>
          <w:sz w:val="21"/>
          <w:szCs w:val="21"/>
        </w:rPr>
        <w:t>/</w:t>
      </w:r>
      <w:r>
        <w:rPr>
          <w:rFonts w:ascii="宋体" w:hAnsi="宋体" w:cs="宋体" w:eastAsia="宋体" w:hint="default"/>
          <w:sz w:val="21"/>
          <w:szCs w:val="21"/>
        </w:rPr>
        <w:t>重订，包括：修订《公司章</w:t>
      </w:r>
      <w:r>
        <w:rPr>
          <w:rFonts w:ascii="宋体" w:hAnsi="宋体" w:cs="宋体" w:eastAsia="宋体" w:hint="default"/>
          <w:spacing w:val="-26"/>
          <w:sz w:val="21"/>
          <w:szCs w:val="21"/>
        </w:rPr>
        <w:t> </w:t>
      </w:r>
      <w:r>
        <w:rPr>
          <w:rFonts w:ascii="宋体" w:hAnsi="宋体" w:cs="宋体" w:eastAsia="宋体" w:hint="default"/>
          <w:spacing w:val="-26"/>
          <w:sz w:val="21"/>
          <w:szCs w:val="21"/>
        </w:rPr>
      </w:r>
      <w:r>
        <w:rPr>
          <w:rFonts w:ascii="宋体" w:hAnsi="宋体" w:cs="宋体" w:eastAsia="宋体" w:hint="default"/>
          <w:spacing w:val="-3"/>
          <w:sz w:val="21"/>
          <w:szCs w:val="21"/>
        </w:rPr>
        <w:t>程》《股东大会议事规则》《监事会议事规则》《独立董事工作细则》《董事会秘书工作细则》、重</w:t>
      </w:r>
      <w:r>
        <w:rPr>
          <w:rFonts w:ascii="宋体" w:hAnsi="宋体" w:cs="宋体" w:eastAsia="宋体" w:hint="default"/>
          <w:spacing w:val="-19"/>
          <w:sz w:val="21"/>
          <w:szCs w:val="21"/>
        </w:rPr>
        <w:t> </w:t>
      </w:r>
      <w:r>
        <w:rPr>
          <w:rFonts w:ascii="宋体" w:hAnsi="宋体" w:cs="宋体" w:eastAsia="宋体" w:hint="default"/>
          <w:spacing w:val="-19"/>
          <w:sz w:val="21"/>
          <w:szCs w:val="21"/>
        </w:rPr>
      </w:r>
      <w:r>
        <w:rPr>
          <w:rFonts w:ascii="宋体" w:hAnsi="宋体" w:cs="宋体" w:eastAsia="宋体" w:hint="default"/>
          <w:spacing w:val="-3"/>
          <w:sz w:val="21"/>
          <w:szCs w:val="21"/>
        </w:rPr>
        <w:t>订《董事会议事规则》《发展战略委员会工作细则》《薪酬与考核委员会工作细则》、制订《回购股</w:t>
      </w:r>
      <w:r>
        <w:rPr>
          <w:rFonts w:ascii="宋体" w:hAnsi="宋体" w:cs="宋体" w:eastAsia="宋体" w:hint="default"/>
          <w:spacing w:val="-11"/>
          <w:sz w:val="21"/>
          <w:szCs w:val="21"/>
        </w:rPr>
        <w:t> </w:t>
      </w:r>
      <w:r>
        <w:rPr>
          <w:rFonts w:ascii="宋体" w:hAnsi="宋体" w:cs="宋体" w:eastAsia="宋体" w:hint="default"/>
          <w:spacing w:val="-11"/>
          <w:sz w:val="21"/>
          <w:szCs w:val="21"/>
        </w:rPr>
      </w:r>
      <w:r>
        <w:rPr>
          <w:rFonts w:ascii="宋体" w:hAnsi="宋体" w:cs="宋体" w:eastAsia="宋体" w:hint="default"/>
          <w:spacing w:val="-3"/>
          <w:sz w:val="21"/>
          <w:szCs w:val="21"/>
        </w:rPr>
        <w:t>份管理办法》；并发布两次《募集资金存放与实际使用情况专项报告》，及时、真实、准确、完整地</w:t>
      </w:r>
      <w:r>
        <w:rPr>
          <w:rFonts w:ascii="宋体" w:hAnsi="宋体" w:cs="宋体" w:eastAsia="宋体" w:hint="default"/>
          <w:spacing w:val="-11"/>
          <w:sz w:val="21"/>
          <w:szCs w:val="21"/>
        </w:rPr>
        <w:t> </w:t>
      </w:r>
      <w:r>
        <w:rPr>
          <w:rFonts w:ascii="宋体" w:hAnsi="宋体" w:cs="宋体" w:eastAsia="宋体" w:hint="default"/>
          <w:spacing w:val="-11"/>
          <w:sz w:val="21"/>
          <w:szCs w:val="21"/>
        </w:rPr>
      </w:r>
      <w:r>
        <w:rPr>
          <w:rFonts w:ascii="宋体" w:hAnsi="宋体" w:cs="宋体" w:eastAsia="宋体" w:hint="default"/>
          <w:sz w:val="21"/>
          <w:szCs w:val="21"/>
        </w:rPr>
        <w:t>披露了公司合规存放和使用募集资金情况。</w:t>
      </w:r>
    </w:p>
    <w:p>
      <w:pPr>
        <w:spacing w:line="314" w:lineRule="auto" w:before="140"/>
        <w:ind w:left="138" w:right="96" w:firstLine="420"/>
        <w:jc w:val="left"/>
        <w:rPr>
          <w:rFonts w:ascii="宋体" w:hAnsi="宋体" w:cs="宋体" w:eastAsia="宋体" w:hint="default"/>
          <w:sz w:val="21"/>
          <w:szCs w:val="21"/>
        </w:rPr>
      </w:pPr>
      <w:r>
        <w:rPr>
          <w:rFonts w:ascii="宋体" w:hAnsi="宋体" w:cs="宋体" w:eastAsia="宋体" w:hint="default"/>
          <w:spacing w:val="-5"/>
          <w:sz w:val="21"/>
          <w:szCs w:val="21"/>
        </w:rPr>
        <w:t>公司积极履行信息披露义务，建立完善的信息披露管理制度，坚守信息披露“真实、准确、完整、</w:t>
      </w:r>
      <w:r>
        <w:rPr>
          <w:rFonts w:ascii="宋体" w:hAnsi="宋体" w:cs="宋体" w:eastAsia="宋体" w:hint="default"/>
          <w:w w:val="100"/>
          <w:sz w:val="21"/>
          <w:szCs w:val="21"/>
        </w:rPr>
        <w:t> </w:t>
      </w:r>
      <w:r>
        <w:rPr>
          <w:rFonts w:ascii="宋体" w:hAnsi="宋体" w:cs="宋体" w:eastAsia="宋体" w:hint="default"/>
          <w:spacing w:val="-7"/>
          <w:sz w:val="21"/>
          <w:szCs w:val="21"/>
        </w:rPr>
        <w:t>及时、公平、有效”原则，严格按照《公司法》《证券法》、中国证监会等监管部门的有关规定、《上</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pacing w:val="-3"/>
          <w:sz w:val="21"/>
          <w:szCs w:val="21"/>
        </w:rPr>
        <w:t>海证券交易所股票上市规则》等相关法律法规以及公司《信息披露管理办法》等制度要求，及时发布</w:t>
      </w:r>
      <w:r>
        <w:rPr>
          <w:rFonts w:ascii="宋体" w:hAnsi="宋体" w:cs="宋体" w:eastAsia="宋体" w:hint="default"/>
          <w:spacing w:val="-11"/>
          <w:sz w:val="21"/>
          <w:szCs w:val="21"/>
        </w:rPr>
        <w:t> </w:t>
      </w:r>
      <w:r>
        <w:rPr>
          <w:rFonts w:ascii="宋体" w:hAnsi="宋体" w:cs="宋体" w:eastAsia="宋体" w:hint="default"/>
          <w:spacing w:val="-11"/>
          <w:sz w:val="21"/>
          <w:szCs w:val="21"/>
        </w:rPr>
      </w:r>
      <w:r>
        <w:rPr>
          <w:rFonts w:ascii="宋体" w:hAnsi="宋体" w:cs="宋体" w:eastAsia="宋体" w:hint="default"/>
          <w:spacing w:val="-3"/>
          <w:sz w:val="21"/>
          <w:szCs w:val="21"/>
        </w:rPr>
        <w:t>定期报告、股东大会资料以及各类临时公告等应披露信息。不断提高信息披露质量，并通过专门的投</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sz w:val="21"/>
          <w:szCs w:val="21"/>
        </w:rPr>
        <w:t>资者关系网页，每月发布业务运营数据，向投资者增加主动披露，提升公司透明度。公司每年年报、</w:t>
      </w:r>
      <w:r>
        <w:rPr>
          <w:rFonts w:ascii="宋体" w:hAnsi="宋体" w:cs="宋体" w:eastAsia="宋体" w:hint="default"/>
          <w:w w:val="100"/>
          <w:sz w:val="21"/>
          <w:szCs w:val="21"/>
        </w:rPr>
        <w:t> </w:t>
      </w:r>
      <w:r>
        <w:rPr>
          <w:rFonts w:ascii="宋体" w:hAnsi="宋体" w:cs="宋体" w:eastAsia="宋体" w:hint="default"/>
          <w:spacing w:val="-3"/>
          <w:sz w:val="21"/>
          <w:szCs w:val="21"/>
        </w:rPr>
        <w:t>半年报披露后立即召开业绩推介会，为保证信息披露的公平性，会将业绩推介会材料在公司网站同步</w:t>
      </w:r>
      <w:r>
        <w:rPr>
          <w:rFonts w:ascii="宋体" w:hAnsi="宋体" w:cs="宋体" w:eastAsia="宋体" w:hint="default"/>
          <w:spacing w:val="-9"/>
          <w:sz w:val="21"/>
          <w:szCs w:val="21"/>
        </w:rPr>
        <w:t> </w:t>
      </w:r>
      <w:r>
        <w:rPr>
          <w:rFonts w:ascii="宋体" w:hAnsi="宋体" w:cs="宋体" w:eastAsia="宋体" w:hint="default"/>
          <w:spacing w:val="-9"/>
          <w:sz w:val="21"/>
          <w:szCs w:val="21"/>
        </w:rPr>
      </w:r>
      <w:r>
        <w:rPr>
          <w:rFonts w:ascii="宋体" w:hAnsi="宋体" w:cs="宋体" w:eastAsia="宋体" w:hint="default"/>
          <w:spacing w:val="-2"/>
          <w:sz w:val="21"/>
          <w:szCs w:val="21"/>
        </w:rPr>
        <w:t>刊登，确保所有投资者享有平等机会获取相关信息。上海证券交易所给予公司</w:t>
      </w:r>
      <w:r>
        <w:rPr>
          <w:rFonts w:ascii="宋体" w:hAnsi="宋体" w:cs="宋体" w:eastAsia="宋体" w:hint="default"/>
          <w:spacing w:val="-2"/>
          <w:sz w:val="21"/>
          <w:szCs w:val="21"/>
        </w:rPr>
        <w:t>2018</w:t>
      </w:r>
      <w:r>
        <w:rPr>
          <w:rFonts w:ascii="宋体" w:hAnsi="宋体" w:cs="宋体" w:eastAsia="宋体" w:hint="default"/>
          <w:spacing w:val="-2"/>
          <w:sz w:val="21"/>
          <w:szCs w:val="21"/>
        </w:rPr>
        <w:t>至</w:t>
      </w:r>
      <w:r>
        <w:rPr>
          <w:rFonts w:ascii="宋体" w:hAnsi="宋体" w:cs="宋体" w:eastAsia="宋体" w:hint="default"/>
          <w:spacing w:val="-2"/>
          <w:sz w:val="21"/>
          <w:szCs w:val="21"/>
        </w:rPr>
        <w:t>2019</w:t>
      </w:r>
      <w:r>
        <w:rPr>
          <w:rFonts w:ascii="宋体" w:hAnsi="宋体" w:cs="宋体" w:eastAsia="宋体" w:hint="default"/>
          <w:spacing w:val="-2"/>
          <w:sz w:val="21"/>
          <w:szCs w:val="21"/>
        </w:rPr>
        <w:t>年度信息披</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z w:val="21"/>
          <w:szCs w:val="21"/>
        </w:rPr>
        <w:t>露工作最优级（</w:t>
      </w:r>
      <w:r>
        <w:rPr>
          <w:rFonts w:ascii="宋体" w:hAnsi="宋体" w:cs="宋体" w:eastAsia="宋体" w:hint="default"/>
          <w:sz w:val="21"/>
          <w:szCs w:val="21"/>
        </w:rPr>
        <w:t>A</w:t>
      </w:r>
      <w:r>
        <w:rPr>
          <w:rFonts w:ascii="宋体" w:hAnsi="宋体" w:cs="宋体" w:eastAsia="宋体" w:hint="default"/>
          <w:sz w:val="21"/>
          <w:szCs w:val="21"/>
        </w:rPr>
        <w:t>级）评价。</w:t>
      </w:r>
    </w:p>
    <w:p>
      <w:pPr>
        <w:spacing w:line="314" w:lineRule="auto" w:before="140"/>
        <w:ind w:left="138" w:right="207" w:firstLine="420"/>
        <w:jc w:val="both"/>
        <w:rPr>
          <w:rFonts w:ascii="宋体" w:hAnsi="宋体" w:cs="宋体" w:eastAsia="宋体" w:hint="default"/>
          <w:sz w:val="21"/>
          <w:szCs w:val="21"/>
        </w:rPr>
      </w:pPr>
      <w:r>
        <w:rPr>
          <w:rFonts w:ascii="宋体" w:hAnsi="宋体" w:cs="宋体" w:eastAsia="宋体" w:hint="default"/>
          <w:spacing w:val="-3"/>
          <w:sz w:val="21"/>
          <w:szCs w:val="21"/>
        </w:rPr>
        <w:t>公司高度重视投资者关系，通过多种渠道与投资者开展沟通交流。在年报、半年报和重大交易披</w:t>
      </w:r>
      <w:r>
        <w:rPr>
          <w:rFonts w:ascii="宋体" w:hAnsi="宋体" w:cs="宋体" w:eastAsia="宋体" w:hint="default"/>
          <w:w w:val="100"/>
          <w:sz w:val="21"/>
          <w:szCs w:val="21"/>
        </w:rPr>
        <w:t> </w:t>
      </w:r>
      <w:r>
        <w:rPr>
          <w:rFonts w:ascii="宋体" w:hAnsi="宋体" w:cs="宋体" w:eastAsia="宋体" w:hint="default"/>
          <w:spacing w:val="-3"/>
          <w:sz w:val="21"/>
          <w:szCs w:val="21"/>
        </w:rPr>
        <w:t>露后，通常会召开分析师及投资者发布会，与分析师、基金经理、投资者沟通交流公司战略、经营情</w:t>
      </w:r>
      <w:r>
        <w:rPr>
          <w:rFonts w:ascii="宋体" w:hAnsi="宋体" w:cs="宋体" w:eastAsia="宋体" w:hint="default"/>
          <w:spacing w:val="-14"/>
          <w:sz w:val="21"/>
          <w:szCs w:val="21"/>
        </w:rPr>
        <w:t> </w:t>
      </w:r>
      <w:r>
        <w:rPr>
          <w:rFonts w:ascii="宋体" w:hAnsi="宋体" w:cs="宋体" w:eastAsia="宋体" w:hint="default"/>
          <w:spacing w:val="-14"/>
          <w:sz w:val="21"/>
          <w:szCs w:val="21"/>
        </w:rPr>
      </w:r>
      <w:r>
        <w:rPr>
          <w:rFonts w:ascii="宋体" w:hAnsi="宋体" w:cs="宋体" w:eastAsia="宋体" w:hint="default"/>
          <w:spacing w:val="-3"/>
          <w:sz w:val="21"/>
          <w:szCs w:val="21"/>
        </w:rPr>
        <w:t>况及重大交易进展。股东大会上，董事及管理层积极接受投资者提问，认真详尽地回答投资者关心的</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spacing w:val="-3"/>
          <w:sz w:val="21"/>
          <w:szCs w:val="21"/>
        </w:rPr>
        <w:t>问题，积极采纳投资者所提出的有益建议。同时，公司积极响应投资者日常沟通需求。董事会秘书积</w:t>
      </w:r>
      <w:r>
        <w:rPr>
          <w:rFonts w:ascii="宋体" w:hAnsi="宋体" w:cs="宋体" w:eastAsia="宋体" w:hint="default"/>
          <w:spacing w:val="-9"/>
          <w:sz w:val="21"/>
          <w:szCs w:val="21"/>
        </w:rPr>
        <w:t> </w:t>
      </w:r>
      <w:r>
        <w:rPr>
          <w:rFonts w:ascii="宋体" w:hAnsi="宋体" w:cs="宋体" w:eastAsia="宋体" w:hint="default"/>
          <w:spacing w:val="-9"/>
          <w:sz w:val="21"/>
          <w:szCs w:val="21"/>
        </w:rPr>
      </w:r>
      <w:r>
        <w:rPr>
          <w:rFonts w:ascii="宋体" w:hAnsi="宋体" w:cs="宋体" w:eastAsia="宋体" w:hint="default"/>
          <w:spacing w:val="-3"/>
          <w:sz w:val="21"/>
          <w:szCs w:val="21"/>
        </w:rPr>
        <w:t>极会见重要投资者及证券分析师，开展深度交流。公司还设有专人负责与投资者的日常沟通，包括接</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sz w:val="21"/>
          <w:szCs w:val="21"/>
        </w:rPr>
        <w:t>待投资者来访、接听热线电话、回复邮件问询、回复上证</w:t>
      </w:r>
      <w:r>
        <w:rPr>
          <w:rFonts w:ascii="宋体" w:hAnsi="宋体" w:cs="宋体" w:eastAsia="宋体" w:hint="default"/>
          <w:sz w:val="21"/>
          <w:szCs w:val="21"/>
        </w:rPr>
        <w:t>E</w:t>
      </w:r>
      <w:r>
        <w:rPr>
          <w:rFonts w:ascii="宋体" w:hAnsi="宋体" w:cs="宋体" w:eastAsia="宋体" w:hint="default"/>
          <w:sz w:val="21"/>
          <w:szCs w:val="21"/>
        </w:rPr>
        <w:t>互动平台的投资者提问等，确保投资者及</w:t>
      </w:r>
      <w:r>
        <w:rPr>
          <w:rFonts w:ascii="宋体" w:hAnsi="宋体" w:cs="宋体" w:eastAsia="宋体" w:hint="default"/>
          <w:spacing w:val="-27"/>
          <w:sz w:val="21"/>
          <w:szCs w:val="21"/>
        </w:rPr>
        <w:t> </w:t>
      </w:r>
      <w:r>
        <w:rPr>
          <w:rFonts w:ascii="宋体" w:hAnsi="宋体" w:cs="宋体" w:eastAsia="宋体" w:hint="default"/>
          <w:spacing w:val="-27"/>
          <w:sz w:val="21"/>
          <w:szCs w:val="21"/>
        </w:rPr>
      </w:r>
      <w:r>
        <w:rPr>
          <w:rFonts w:ascii="宋体" w:hAnsi="宋体" w:cs="宋体" w:eastAsia="宋体" w:hint="default"/>
          <w:spacing w:val="-3"/>
          <w:sz w:val="21"/>
          <w:szCs w:val="21"/>
        </w:rPr>
        <w:t>时了解公司信息。今年以来，公司借助数字化、新媒体方式强化与投资者的便捷沟通，开设服务于投</w:t>
      </w:r>
      <w:r>
        <w:rPr>
          <w:rFonts w:ascii="宋体" w:hAnsi="宋体" w:cs="宋体" w:eastAsia="宋体" w:hint="default"/>
          <w:spacing w:val="-11"/>
          <w:sz w:val="21"/>
          <w:szCs w:val="21"/>
        </w:rPr>
        <w:t> </w:t>
      </w:r>
      <w:r>
        <w:rPr>
          <w:rFonts w:ascii="宋体" w:hAnsi="宋体" w:cs="宋体" w:eastAsia="宋体" w:hint="default"/>
          <w:spacing w:val="-11"/>
          <w:sz w:val="21"/>
          <w:szCs w:val="21"/>
        </w:rPr>
      </w:r>
      <w:r>
        <w:rPr>
          <w:rFonts w:ascii="宋体" w:hAnsi="宋体" w:cs="宋体" w:eastAsia="宋体" w:hint="default"/>
          <w:sz w:val="21"/>
          <w:szCs w:val="21"/>
        </w:rPr>
        <w:t>资者的中国联通投资者关系微信公众号，创新推出“一图读懂”方式同步发布公司业绩。</w:t>
      </w:r>
    </w:p>
    <w:p>
      <w:pPr>
        <w:spacing w:line="314" w:lineRule="auto" w:before="140"/>
        <w:ind w:left="138" w:right="96" w:firstLine="420"/>
        <w:jc w:val="left"/>
        <w:rPr>
          <w:rFonts w:ascii="宋体" w:hAnsi="宋体" w:cs="宋体" w:eastAsia="宋体" w:hint="default"/>
          <w:sz w:val="21"/>
          <w:szCs w:val="21"/>
        </w:rPr>
      </w:pPr>
      <w:r>
        <w:rPr>
          <w:rFonts w:ascii="宋体" w:hAnsi="宋体" w:cs="宋体" w:eastAsia="宋体" w:hint="default"/>
          <w:spacing w:val="-3"/>
          <w:sz w:val="21"/>
          <w:szCs w:val="21"/>
        </w:rPr>
        <w:t>2019</w:t>
      </w:r>
      <w:r>
        <w:rPr>
          <w:rFonts w:ascii="宋体" w:hAnsi="宋体" w:cs="宋体" w:eastAsia="宋体" w:hint="default"/>
          <w:spacing w:val="-3"/>
          <w:sz w:val="21"/>
          <w:szCs w:val="21"/>
        </w:rPr>
        <w:t>年，公司控股子公司中国联合网络通信（香港）股份有限公司荣获资本市场多项嘉许，其中</w:t>
      </w:r>
      <w:r>
        <w:rPr>
          <w:rFonts w:ascii="宋体" w:hAnsi="宋体" w:cs="宋体" w:eastAsia="宋体" w:hint="default"/>
          <w:w w:val="100"/>
          <w:sz w:val="21"/>
          <w:szCs w:val="21"/>
        </w:rPr>
        <w:t> </w:t>
      </w:r>
      <w:r>
        <w:rPr>
          <w:rFonts w:ascii="宋体" w:hAnsi="宋体" w:cs="宋体" w:eastAsia="宋体" w:hint="default"/>
          <w:spacing w:val="-14"/>
          <w:w w:val="100"/>
          <w:sz w:val="21"/>
          <w:szCs w:val="21"/>
        </w:rPr>
        <w:t>包括被《金融亚洲》（</w:t>
      </w:r>
      <w:r>
        <w:rPr>
          <w:rFonts w:ascii="宋体" w:hAnsi="宋体" w:cs="宋体" w:eastAsia="宋体" w:hint="default"/>
          <w:spacing w:val="-14"/>
          <w:w w:val="100"/>
          <w:sz w:val="21"/>
          <w:szCs w:val="21"/>
        </w:rPr>
        <w:t>Finance</w:t>
      </w:r>
      <w:r>
        <w:rPr>
          <w:rFonts w:ascii="宋体" w:hAnsi="宋体" w:cs="宋体" w:eastAsia="宋体" w:hint="default"/>
          <w:spacing w:val="-45"/>
          <w:w w:val="100"/>
          <w:sz w:val="21"/>
          <w:szCs w:val="21"/>
        </w:rPr>
        <w:t> </w:t>
      </w:r>
      <w:r>
        <w:rPr>
          <w:rFonts w:ascii="宋体" w:hAnsi="宋体" w:cs="宋体" w:eastAsia="宋体" w:hint="default"/>
          <w:spacing w:val="-12"/>
          <w:w w:val="100"/>
          <w:sz w:val="21"/>
          <w:szCs w:val="21"/>
        </w:rPr>
        <w:t>Asia</w:t>
      </w:r>
      <w:r>
        <w:rPr>
          <w:rFonts w:ascii="宋体" w:hAnsi="宋体" w:cs="宋体" w:eastAsia="宋体" w:hint="default"/>
          <w:spacing w:val="-12"/>
          <w:w w:val="100"/>
          <w:sz w:val="21"/>
          <w:szCs w:val="21"/>
        </w:rPr>
        <w:t>）评选为“亚洲最佳管理电信公司”第一名，被《财资》（</w:t>
      </w:r>
      <w:r>
        <w:rPr>
          <w:rFonts w:ascii="宋体" w:hAnsi="宋体" w:cs="宋体" w:eastAsia="宋体" w:hint="default"/>
          <w:spacing w:val="-12"/>
          <w:w w:val="100"/>
          <w:sz w:val="21"/>
          <w:szCs w:val="21"/>
        </w:rPr>
        <w:t>The</w:t>
      </w:r>
      <w:r>
        <w:rPr>
          <w:rFonts w:ascii="宋体" w:hAnsi="宋体" w:cs="宋体" w:eastAsia="宋体" w:hint="default"/>
          <w:spacing w:val="-45"/>
          <w:w w:val="100"/>
          <w:sz w:val="21"/>
          <w:szCs w:val="21"/>
        </w:rPr>
        <w:t> </w:t>
      </w:r>
      <w:r>
        <w:rPr>
          <w:rFonts w:ascii="宋体" w:hAnsi="宋体" w:cs="宋体" w:eastAsia="宋体" w:hint="default"/>
          <w:spacing w:val="-1"/>
          <w:w w:val="100"/>
          <w:sz w:val="21"/>
          <w:szCs w:val="21"/>
        </w:rPr>
        <w:t>Asset</w:t>
      </w:r>
      <w:r>
        <w:rPr>
          <w:rFonts w:ascii="宋体" w:hAnsi="宋体" w:cs="宋体" w:eastAsia="宋体" w:hint="default"/>
          <w:spacing w:val="-1"/>
          <w:w w:val="100"/>
          <w:sz w:val="21"/>
          <w:szCs w:val="21"/>
        </w:rPr>
        <w:t>）</w:t>
      </w:r>
    </w:p>
    <w:p>
      <w:pPr>
        <w:spacing w:after="0" w:line="314" w:lineRule="auto"/>
        <w:jc w:val="left"/>
        <w:rPr>
          <w:rFonts w:ascii="宋体" w:hAnsi="宋体" w:cs="宋体" w:eastAsia="宋体" w:hint="default"/>
          <w:sz w:val="21"/>
          <w:szCs w:val="21"/>
        </w:rPr>
        <w:sectPr>
          <w:footerReference w:type="default" r:id="rId74"/>
          <w:pgSz w:w="11910" w:h="16840"/>
          <w:pgMar w:footer="502" w:header="852" w:top="1340" w:bottom="700" w:left="1280" w:right="1060"/>
        </w:sectPr>
      </w:pPr>
    </w:p>
    <w:p>
      <w:pPr>
        <w:spacing w:line="240" w:lineRule="auto" w:before="2"/>
        <w:rPr>
          <w:rFonts w:ascii="宋体" w:hAnsi="宋体" w:cs="宋体" w:eastAsia="宋体" w:hint="default"/>
          <w:sz w:val="13"/>
          <w:szCs w:val="13"/>
        </w:rPr>
      </w:pPr>
    </w:p>
    <w:p>
      <w:pPr>
        <w:spacing w:line="314" w:lineRule="auto" w:before="36"/>
        <w:ind w:left="518" w:right="144" w:firstLine="0"/>
        <w:jc w:val="left"/>
        <w:rPr>
          <w:rFonts w:ascii="宋体" w:hAnsi="宋体" w:cs="宋体" w:eastAsia="宋体" w:hint="default"/>
          <w:sz w:val="21"/>
          <w:szCs w:val="21"/>
        </w:rPr>
      </w:pPr>
      <w:r>
        <w:rPr>
          <w:rFonts w:ascii="宋体" w:hAnsi="宋体" w:cs="宋体" w:eastAsia="宋体" w:hint="default"/>
          <w:spacing w:val="-10"/>
          <w:w w:val="100"/>
          <w:sz w:val="21"/>
          <w:szCs w:val="21"/>
        </w:rPr>
        <w:t>评选为“卓越管治、环境保护及投资者关系金奖”，被《亚洲公司管治》（</w:t>
      </w:r>
      <w:r>
        <w:rPr>
          <w:rFonts w:ascii="宋体" w:hAnsi="宋体" w:cs="宋体" w:eastAsia="宋体" w:hint="default"/>
          <w:spacing w:val="-10"/>
          <w:w w:val="100"/>
          <w:sz w:val="21"/>
          <w:szCs w:val="21"/>
        </w:rPr>
        <w:t>Corporate</w:t>
      </w:r>
      <w:r>
        <w:rPr>
          <w:rFonts w:ascii="宋体" w:hAnsi="宋体" w:cs="宋体" w:eastAsia="宋体" w:hint="default"/>
          <w:spacing w:val="-44"/>
          <w:w w:val="100"/>
          <w:sz w:val="21"/>
          <w:szCs w:val="21"/>
        </w:rPr>
        <w:t> </w:t>
      </w:r>
      <w:r>
        <w:rPr>
          <w:rFonts w:ascii="宋体" w:hAnsi="宋体" w:cs="宋体" w:eastAsia="宋体" w:hint="default"/>
          <w:spacing w:val="-1"/>
          <w:w w:val="100"/>
          <w:sz w:val="21"/>
          <w:szCs w:val="21"/>
        </w:rPr>
        <w:t>Governance</w:t>
      </w:r>
      <w:r>
        <w:rPr>
          <w:rFonts w:ascii="宋体" w:hAnsi="宋体" w:cs="宋体" w:eastAsia="宋体" w:hint="default"/>
          <w:spacing w:val="-44"/>
          <w:w w:val="100"/>
          <w:sz w:val="21"/>
          <w:szCs w:val="21"/>
        </w:rPr>
        <w:t> </w:t>
      </w:r>
      <w:r>
        <w:rPr>
          <w:rFonts w:ascii="宋体" w:hAnsi="宋体" w:cs="宋体" w:eastAsia="宋体" w:hint="default"/>
          <w:spacing w:val="-1"/>
          <w:w w:val="100"/>
          <w:sz w:val="21"/>
          <w:szCs w:val="21"/>
        </w:rPr>
        <w:t>Asia</w:t>
      </w:r>
      <w:r>
        <w:rPr>
          <w:rFonts w:ascii="宋体" w:hAnsi="宋体" w:cs="宋体" w:eastAsia="宋体" w:hint="default"/>
          <w:spacing w:val="-1"/>
          <w:w w:val="100"/>
          <w:sz w:val="21"/>
          <w:szCs w:val="21"/>
        </w:rPr>
        <w:t>）</w:t>
      </w:r>
      <w:r>
        <w:rPr>
          <w:rFonts w:ascii="宋体" w:hAnsi="宋体" w:cs="宋体" w:eastAsia="宋体" w:hint="default"/>
          <w:spacing w:val="-101"/>
          <w:w w:val="100"/>
          <w:sz w:val="21"/>
          <w:szCs w:val="21"/>
        </w:rPr>
        <w:t> </w:t>
      </w:r>
      <w:r>
        <w:rPr>
          <w:rFonts w:ascii="宋体" w:hAnsi="宋体" w:cs="宋体" w:eastAsia="宋体" w:hint="default"/>
          <w:sz w:val="21"/>
          <w:szCs w:val="21"/>
        </w:rPr>
        <w:t>评选为“亚洲最佳公司</w:t>
      </w:r>
      <w:r>
        <w:rPr>
          <w:rFonts w:ascii="宋体" w:hAnsi="宋体" w:cs="宋体" w:eastAsia="宋体" w:hint="default"/>
          <w:sz w:val="21"/>
          <w:szCs w:val="21"/>
        </w:rPr>
        <w:t>-</w:t>
      </w:r>
      <w:r>
        <w:rPr>
          <w:rFonts w:ascii="宋体" w:hAnsi="宋体" w:cs="宋体" w:eastAsia="宋体" w:hint="default"/>
          <w:sz w:val="21"/>
          <w:szCs w:val="21"/>
        </w:rPr>
        <w:t>企业管治典范”，被《机构投资者》</w:t>
      </w:r>
      <w:r>
        <w:rPr>
          <w:rFonts w:ascii="宋体" w:hAnsi="宋体" w:cs="宋体" w:eastAsia="宋体" w:hint="default"/>
          <w:sz w:val="21"/>
          <w:szCs w:val="21"/>
        </w:rPr>
        <w:t>(Institutional Investor)</w:t>
      </w:r>
      <w:r>
        <w:rPr>
          <w:rFonts w:ascii="宋体" w:hAnsi="宋体" w:cs="宋体" w:eastAsia="宋体" w:hint="default"/>
          <w:sz w:val="21"/>
          <w:szCs w:val="21"/>
        </w:rPr>
        <w:t>连续第四年</w:t>
      </w:r>
      <w:r>
        <w:rPr>
          <w:rFonts w:ascii="宋体" w:hAnsi="宋体" w:cs="宋体" w:eastAsia="宋体" w:hint="default"/>
          <w:spacing w:val="-34"/>
          <w:sz w:val="21"/>
          <w:szCs w:val="21"/>
        </w:rPr>
        <w:t> </w:t>
      </w:r>
      <w:r>
        <w:rPr>
          <w:rFonts w:ascii="宋体" w:hAnsi="宋体" w:cs="宋体" w:eastAsia="宋体" w:hint="default"/>
          <w:spacing w:val="-34"/>
          <w:sz w:val="21"/>
          <w:szCs w:val="21"/>
        </w:rPr>
      </w:r>
      <w:r>
        <w:rPr>
          <w:rFonts w:ascii="宋体" w:hAnsi="宋体" w:cs="宋体" w:eastAsia="宋体" w:hint="default"/>
          <w:sz w:val="21"/>
          <w:szCs w:val="21"/>
        </w:rPr>
        <w:t>评选为“亚洲最受尊崇电信企业”第一名。</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spacing w:line="274" w:lineRule="exact" w:before="0"/>
        <w:ind w:left="518" w:right="144" w:firstLine="0"/>
        <w:jc w:val="left"/>
        <w:rPr>
          <w:rFonts w:ascii="宋体" w:hAnsi="宋体" w:cs="宋体" w:eastAsia="宋体" w:hint="default"/>
          <w:sz w:val="21"/>
          <w:szCs w:val="21"/>
        </w:rPr>
      </w:pPr>
      <w:r>
        <w:rPr>
          <w:rFonts w:ascii="宋体" w:hAnsi="宋体" w:cs="宋体" w:eastAsia="宋体" w:hint="default"/>
          <w:sz w:val="21"/>
          <w:szCs w:val="21"/>
        </w:rPr>
        <w:t>公司治理与中国证监会相关规定的要求是否存在重大差异；如有重大差异，应当说明原因</w:t>
      </w:r>
    </w:p>
    <w:p>
      <w:pPr>
        <w:spacing w:line="470" w:lineRule="auto" w:before="0"/>
        <w:ind w:left="518" w:right="7348" w:firstLine="0"/>
        <w:jc w:val="left"/>
        <w:rPr>
          <w:rFonts w:ascii="Microsoft JhengHei" w:hAnsi="Microsoft JhengHei" w:cs="Microsoft JhengHei" w:eastAsia="Microsoft JhengHei" w:hint="default"/>
          <w:sz w:val="21"/>
          <w:szCs w:val="21"/>
        </w:rPr>
      </w:pPr>
      <w:r>
        <w:rPr/>
        <w:pict>
          <v:shape style="position:absolute;margin-left:65.304001pt;margin-top:48.506695pt;width:472.2pt;height:107.7pt;mso-position-horizontal-relative:page;mso-position-vertical-relative:paragraph;z-index:11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407"/>
                    <w:gridCol w:w="2132"/>
                    <w:gridCol w:w="2633"/>
                    <w:gridCol w:w="2257"/>
                  </w:tblGrid>
                  <w:tr>
                    <w:trPr>
                      <w:trHeight w:val="555" w:hRule="exact"/>
                    </w:trPr>
                    <w:tc>
                      <w:tcPr>
                        <w:tcW w:w="24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2"/>
                          <w:ind w:left="777"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21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2"/>
                          <w:ind w:left="641"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26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exact"/>
                          <w:ind w:left="2" w:right="0"/>
                          <w:jc w:val="center"/>
                          <w:rPr>
                            <w:rFonts w:ascii="宋体" w:hAnsi="宋体" w:cs="宋体" w:eastAsia="宋体" w:hint="default"/>
                            <w:sz w:val="21"/>
                            <w:szCs w:val="21"/>
                          </w:rPr>
                        </w:pPr>
                        <w:r>
                          <w:rPr>
                            <w:rFonts w:ascii="宋体" w:hAnsi="宋体" w:cs="宋体" w:eastAsia="宋体" w:hint="default"/>
                            <w:sz w:val="21"/>
                            <w:szCs w:val="21"/>
                          </w:rPr>
                          <w:t>决议刊登的指定网站的查</w:t>
                        </w:r>
                      </w:p>
                      <w:p>
                        <w:pPr>
                          <w:pStyle w:val="TableParagraph"/>
                          <w:spacing w:line="275" w:lineRule="exact"/>
                          <w:ind w:left="2" w:right="0"/>
                          <w:jc w:val="center"/>
                          <w:rPr>
                            <w:rFonts w:ascii="宋体" w:hAnsi="宋体" w:cs="宋体" w:eastAsia="宋体" w:hint="default"/>
                            <w:sz w:val="21"/>
                            <w:szCs w:val="21"/>
                          </w:rPr>
                        </w:pPr>
                        <w:r>
                          <w:rPr>
                            <w:rFonts w:ascii="宋体" w:hAnsi="宋体" w:cs="宋体" w:eastAsia="宋体" w:hint="default"/>
                            <w:sz w:val="21"/>
                            <w:szCs w:val="21"/>
                          </w:rPr>
                          <w:t>询索引</w:t>
                        </w:r>
                      </w:p>
                    </w:tc>
                    <w:tc>
                      <w:tcPr>
                        <w:tcW w:w="22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2"/>
                          <w:ind w:left="177" w:right="0"/>
                          <w:jc w:val="left"/>
                          <w:rPr>
                            <w:rFonts w:ascii="宋体" w:hAnsi="宋体" w:cs="宋体" w:eastAsia="宋体" w:hint="default"/>
                            <w:sz w:val="21"/>
                            <w:szCs w:val="21"/>
                          </w:rPr>
                        </w:pPr>
                        <w:r>
                          <w:rPr>
                            <w:rFonts w:ascii="宋体" w:hAnsi="宋体" w:cs="宋体" w:eastAsia="宋体" w:hint="default"/>
                            <w:sz w:val="21"/>
                            <w:szCs w:val="21"/>
                          </w:rPr>
                          <w:t>决议刊登的披露日期</w:t>
                        </w:r>
                      </w:p>
                    </w:tc>
                  </w:tr>
                  <w:tr>
                    <w:trPr>
                      <w:trHeight w:val="478" w:hRule="exact"/>
                    </w:trPr>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5"/>
                            <w:sz w:val="21"/>
                            <w:szCs w:val="21"/>
                          </w:rPr>
                          <w:t> </w:t>
                        </w:r>
                        <w:r>
                          <w:rPr>
                            <w:rFonts w:ascii="宋体" w:hAnsi="宋体" w:cs="宋体" w:eastAsia="宋体" w:hint="default"/>
                            <w:sz w:val="21"/>
                            <w:szCs w:val="21"/>
                          </w:rPr>
                          <w:t>年年度股东大会</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263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hyperlink r:id="rId18">
                          <w:r>
                            <w:rPr>
                              <w:rFonts w:ascii="宋体"/>
                              <w:sz w:val="18"/>
                            </w:rPr>
                            <w:t>www.sse.com.cn</w:t>
                          </w:r>
                        </w:hyperlink>
                        <w:r>
                          <w:rPr>
                            <w:rFonts w:ascii="宋体"/>
                            <w:sz w:val="18"/>
                          </w:rPr>
                          <w:t>;</w:t>
                        </w:r>
                      </w:p>
                      <w:p>
                        <w:pPr>
                          <w:pStyle w:val="TableParagraph"/>
                          <w:spacing w:line="234" w:lineRule="exact"/>
                          <w:ind w:left="103" w:right="0"/>
                          <w:jc w:val="left"/>
                          <w:rPr>
                            <w:rFonts w:ascii="宋体" w:hAnsi="宋体" w:cs="宋体" w:eastAsia="宋体" w:hint="default"/>
                            <w:sz w:val="18"/>
                            <w:szCs w:val="18"/>
                          </w:rPr>
                        </w:pPr>
                        <w:hyperlink r:id="rId76">
                          <w:r>
                            <w:rPr>
                              <w:rFonts w:ascii="宋体"/>
                              <w:sz w:val="18"/>
                            </w:rPr>
                            <w:t>www.chinaunicom-a.com.cn</w:t>
                          </w:r>
                        </w:hyperlink>
                      </w:p>
                    </w:tc>
                    <w:tc>
                      <w:tcPr>
                        <w:tcW w:w="2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554" w:hRule="exact"/>
                    </w:trPr>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14"/>
                            <w:sz w:val="21"/>
                            <w:szCs w:val="21"/>
                          </w:rPr>
                          <w:t> </w:t>
                        </w:r>
                        <w:r>
                          <w:rPr>
                            <w:rFonts w:ascii="宋体" w:hAnsi="宋体" w:cs="宋体" w:eastAsia="宋体" w:hint="default"/>
                            <w:sz w:val="21"/>
                            <w:szCs w:val="21"/>
                          </w:rPr>
                          <w:t>年第一次临时股东</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大会</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2633"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357"/>
                          <w:jc w:val="left"/>
                          <w:rPr>
                            <w:rFonts w:ascii="宋体" w:hAnsi="宋体" w:cs="宋体" w:eastAsia="宋体" w:hint="default"/>
                            <w:sz w:val="18"/>
                            <w:szCs w:val="18"/>
                          </w:rPr>
                        </w:pPr>
                        <w:hyperlink r:id="rId18">
                          <w:r>
                            <w:rPr>
                              <w:rFonts w:ascii="宋体"/>
                              <w:sz w:val="18"/>
                            </w:rPr>
                            <w:t>www.sse.com.cn</w:t>
                          </w:r>
                        </w:hyperlink>
                        <w:r>
                          <w:rPr>
                            <w:rFonts w:ascii="宋体"/>
                            <w:sz w:val="18"/>
                          </w:rPr>
                          <w:t>;</w:t>
                        </w:r>
                        <w:r>
                          <w:rPr>
                            <w:rFonts w:ascii="宋体"/>
                            <w:sz w:val="18"/>
                          </w:rPr>
                          <w:t> </w:t>
                        </w:r>
                        <w:hyperlink r:id="rId76">
                          <w:r>
                            <w:rPr>
                              <w:rFonts w:ascii="宋体"/>
                              <w:sz w:val="18"/>
                            </w:rPr>
                            <w:t>www.chinaunicom-a.com.cn</w:t>
                          </w:r>
                        </w:hyperlink>
                      </w:p>
                    </w:tc>
                    <w:tc>
                      <w:tcPr>
                        <w:tcW w:w="2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557" w:hRule="exact"/>
                    </w:trPr>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14"/>
                            <w:sz w:val="21"/>
                            <w:szCs w:val="21"/>
                          </w:rPr>
                          <w:t> </w:t>
                        </w:r>
                        <w:r>
                          <w:rPr>
                            <w:rFonts w:ascii="宋体" w:hAnsi="宋体" w:cs="宋体" w:eastAsia="宋体" w:hint="default"/>
                            <w:sz w:val="21"/>
                            <w:szCs w:val="21"/>
                          </w:rPr>
                          <w:t>年第二次临时股东</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大会</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2633"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357"/>
                          <w:jc w:val="left"/>
                          <w:rPr>
                            <w:rFonts w:ascii="宋体" w:hAnsi="宋体" w:cs="宋体" w:eastAsia="宋体" w:hint="default"/>
                            <w:sz w:val="18"/>
                            <w:szCs w:val="18"/>
                          </w:rPr>
                        </w:pPr>
                        <w:hyperlink r:id="rId18">
                          <w:r>
                            <w:rPr>
                              <w:rFonts w:ascii="宋体"/>
                              <w:sz w:val="18"/>
                            </w:rPr>
                            <w:t>www.sse.com.cn</w:t>
                          </w:r>
                        </w:hyperlink>
                        <w:r>
                          <w:rPr>
                            <w:rFonts w:ascii="宋体"/>
                            <w:sz w:val="18"/>
                          </w:rPr>
                          <w:t>;</w:t>
                        </w:r>
                        <w:r>
                          <w:rPr>
                            <w:rFonts w:ascii="宋体"/>
                            <w:sz w:val="18"/>
                          </w:rPr>
                          <w:t> </w:t>
                        </w:r>
                        <w:hyperlink r:id="rId76">
                          <w:r>
                            <w:rPr>
                              <w:rFonts w:ascii="宋体"/>
                              <w:sz w:val="18"/>
                            </w:rPr>
                            <w:t>www.chinaunicom-a.com.cn</w:t>
                          </w:r>
                        </w:hyperlink>
                      </w:p>
                    </w:tc>
                    <w:tc>
                      <w:tcPr>
                        <w:tcW w:w="2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bl>
                <w:p>
                  <w:pPr/>
                </w:p>
              </w:txbxContent>
            </v:textbox>
            <w10:wrap type="none"/>
          </v:shape>
        </w:pict>
      </w:r>
      <w:r>
        <w:rPr>
          <w:rFonts w:ascii="宋体" w:hAnsi="宋体" w:cs="宋体" w:eastAsia="宋体" w:hint="default"/>
          <w:sz w:val="21"/>
          <w:szCs w:val="21"/>
        </w:rPr>
        <w:t>□适用</w:t>
      </w:r>
      <w:r>
        <w:rPr>
          <w:rFonts w:ascii="宋体" w:hAnsi="宋体" w:cs="宋体" w:eastAsia="宋体" w:hint="default"/>
          <w:spacing w:val="-2"/>
          <w:sz w:val="21"/>
          <w:szCs w:val="21"/>
        </w:rPr>
        <w:t> </w:t>
      </w:r>
      <w:r>
        <w:rPr>
          <w:rFonts w:ascii="宋体" w:hAnsi="宋体" w:cs="宋体" w:eastAsia="宋体" w:hint="default"/>
          <w:sz w:val="21"/>
          <w:szCs w:val="21"/>
        </w:rPr>
        <w:t>√不适用</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Microsoft JhengHei" w:hAnsi="Microsoft JhengHei" w:cs="Microsoft JhengHei" w:eastAsia="Microsoft JhengHei" w:hint="default"/>
          <w:b/>
          <w:bCs/>
          <w:sz w:val="21"/>
          <w:szCs w:val="21"/>
        </w:rPr>
        <w:t>二、股东大会情况简介</w:t>
      </w:r>
      <w:r>
        <w:rPr>
          <w:rFonts w:ascii="Microsoft JhengHei" w:hAnsi="Microsoft JhengHei" w:cs="Microsoft JhengHei" w:eastAsia="Microsoft JhengHei" w:hint="default"/>
          <w:sz w:val="21"/>
          <w:szCs w:val="21"/>
        </w:rPr>
      </w: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12"/>
        <w:rPr>
          <w:rFonts w:ascii="Microsoft JhengHei" w:hAnsi="Microsoft JhengHei" w:cs="Microsoft JhengHei" w:eastAsia="Microsoft JhengHei" w:hint="default"/>
          <w:b/>
          <w:bCs/>
          <w:sz w:val="23"/>
          <w:szCs w:val="23"/>
        </w:rPr>
      </w:pPr>
    </w:p>
    <w:p>
      <w:pPr>
        <w:spacing w:before="36"/>
        <w:ind w:left="518" w:right="144" w:firstLine="0"/>
        <w:jc w:val="left"/>
        <w:rPr>
          <w:rFonts w:ascii="宋体" w:hAnsi="宋体" w:cs="宋体" w:eastAsia="宋体" w:hint="default"/>
          <w:sz w:val="21"/>
          <w:szCs w:val="21"/>
        </w:rPr>
      </w:pPr>
      <w:r>
        <w:rPr>
          <w:rFonts w:ascii="宋体" w:hAnsi="宋体" w:cs="宋体" w:eastAsia="宋体" w:hint="default"/>
          <w:sz w:val="21"/>
          <w:szCs w:val="21"/>
        </w:rPr>
        <w:t>股东大会情况说明</w:t>
      </w:r>
    </w:p>
    <w:p>
      <w:pPr>
        <w:spacing w:line="240" w:lineRule="auto" w:before="12"/>
        <w:rPr>
          <w:rFonts w:ascii="宋体" w:hAnsi="宋体" w:cs="宋体" w:eastAsia="宋体" w:hint="default"/>
          <w:sz w:val="14"/>
          <w:szCs w:val="14"/>
        </w:rPr>
      </w:pPr>
    </w:p>
    <w:p>
      <w:pPr>
        <w:spacing w:line="314" w:lineRule="auto" w:before="0"/>
        <w:ind w:left="518" w:right="247" w:firstLine="420"/>
        <w:jc w:val="both"/>
        <w:rPr>
          <w:rFonts w:ascii="宋体" w:hAnsi="宋体" w:cs="宋体" w:eastAsia="宋体" w:hint="default"/>
          <w:sz w:val="21"/>
          <w:szCs w:val="21"/>
        </w:rPr>
      </w:pPr>
      <w:r>
        <w:rPr>
          <w:rFonts w:ascii="宋体" w:hAnsi="宋体" w:cs="宋体" w:eastAsia="宋体" w:hint="default"/>
          <w:sz w:val="21"/>
          <w:szCs w:val="21"/>
        </w:rPr>
        <w:t>本年度，本公司共召开</w:t>
      </w:r>
      <w:r>
        <w:rPr>
          <w:rFonts w:ascii="宋体" w:hAnsi="宋体" w:cs="宋体" w:eastAsia="宋体" w:hint="default"/>
          <w:sz w:val="21"/>
          <w:szCs w:val="21"/>
        </w:rPr>
        <w:t>3</w:t>
      </w:r>
      <w:r>
        <w:rPr>
          <w:rFonts w:ascii="宋体" w:hAnsi="宋体" w:cs="宋体" w:eastAsia="宋体" w:hint="default"/>
          <w:sz w:val="21"/>
          <w:szCs w:val="21"/>
        </w:rPr>
        <w:t>次股东大会，审议事项包括公司落实混改政策与修订公司治理制度、限</w:t>
      </w:r>
      <w:r>
        <w:rPr>
          <w:rFonts w:ascii="宋体" w:hAnsi="宋体" w:cs="宋体" w:eastAsia="宋体" w:hint="default"/>
          <w:w w:val="100"/>
          <w:sz w:val="21"/>
          <w:szCs w:val="21"/>
        </w:rPr>
        <w:t> </w:t>
      </w:r>
      <w:r>
        <w:rPr>
          <w:rFonts w:ascii="宋体" w:hAnsi="宋体" w:cs="宋体" w:eastAsia="宋体" w:hint="default"/>
          <w:spacing w:val="-2"/>
          <w:sz w:val="21"/>
          <w:szCs w:val="21"/>
        </w:rPr>
        <w:t>制性股票激励计划回购注销及调整授予方案等混合所有制改革类事项，以及</w:t>
      </w:r>
      <w:r>
        <w:rPr>
          <w:rFonts w:ascii="宋体" w:hAnsi="宋体" w:cs="宋体" w:eastAsia="宋体" w:hint="default"/>
          <w:spacing w:val="-2"/>
          <w:sz w:val="21"/>
          <w:szCs w:val="21"/>
        </w:rPr>
        <w:t>2018</w:t>
      </w:r>
      <w:r>
        <w:rPr>
          <w:rFonts w:ascii="宋体" w:hAnsi="宋体" w:cs="宋体" w:eastAsia="宋体" w:hint="default"/>
          <w:spacing w:val="-2"/>
          <w:sz w:val="21"/>
          <w:szCs w:val="21"/>
        </w:rPr>
        <w:t>年年度报告、</w:t>
      </w:r>
      <w:r>
        <w:rPr>
          <w:rFonts w:ascii="宋体" w:hAnsi="宋体" w:cs="宋体" w:eastAsia="宋体" w:hint="default"/>
          <w:spacing w:val="-2"/>
          <w:sz w:val="21"/>
          <w:szCs w:val="21"/>
        </w:rPr>
        <w:t>2018</w:t>
      </w:r>
      <w:r>
        <w:rPr>
          <w:rFonts w:ascii="宋体" w:hAnsi="宋体" w:cs="宋体" w:eastAsia="宋体" w:hint="default"/>
          <w:spacing w:val="-2"/>
          <w:sz w:val="21"/>
          <w:szCs w:val="21"/>
        </w:rPr>
        <w:t>年</w:t>
      </w:r>
      <w:r>
        <w:rPr>
          <w:rFonts w:ascii="宋体" w:hAnsi="宋体" w:cs="宋体" w:eastAsia="宋体" w:hint="default"/>
          <w:spacing w:val="-48"/>
          <w:sz w:val="21"/>
          <w:szCs w:val="21"/>
        </w:rPr>
        <w:t> </w:t>
      </w:r>
      <w:r>
        <w:rPr>
          <w:rFonts w:ascii="宋体" w:hAnsi="宋体" w:cs="宋体" w:eastAsia="宋体" w:hint="default"/>
          <w:spacing w:val="-3"/>
          <w:sz w:val="21"/>
          <w:szCs w:val="21"/>
        </w:rPr>
        <w:t>决算报告及利润分配、选举董事及监事、日常关联交易、聘请会计师事务所、董事会报告、监事会报</w:t>
      </w:r>
      <w:r>
        <w:rPr>
          <w:rFonts w:ascii="宋体" w:hAnsi="宋体" w:cs="宋体" w:eastAsia="宋体" w:hint="default"/>
          <w:spacing w:val="-15"/>
          <w:sz w:val="21"/>
          <w:szCs w:val="21"/>
        </w:rPr>
        <w:t> </w:t>
      </w:r>
      <w:r>
        <w:rPr>
          <w:rFonts w:ascii="宋体" w:hAnsi="宋体" w:cs="宋体" w:eastAsia="宋体" w:hint="default"/>
          <w:spacing w:val="-15"/>
          <w:sz w:val="21"/>
          <w:szCs w:val="21"/>
        </w:rPr>
      </w:r>
      <w:r>
        <w:rPr>
          <w:rFonts w:ascii="宋体" w:hAnsi="宋体" w:cs="宋体" w:eastAsia="宋体" w:hint="default"/>
          <w:spacing w:val="-3"/>
          <w:sz w:val="21"/>
          <w:szCs w:val="21"/>
        </w:rPr>
        <w:t>告、对联通红筹公司股东大会“渗透投票”、调整公司注册资本及修订《公司章程》并办理工商变更</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spacing w:val="-3"/>
          <w:sz w:val="21"/>
          <w:szCs w:val="21"/>
        </w:rPr>
        <w:t>登记等公司重要事项。上述各审议事项均获通过，相关会议决议详见公司于上交所及本公司网站发布</w:t>
      </w:r>
      <w:r>
        <w:rPr>
          <w:rFonts w:ascii="宋体" w:hAnsi="宋体" w:cs="宋体" w:eastAsia="宋体" w:hint="default"/>
          <w:spacing w:val="-9"/>
          <w:sz w:val="21"/>
          <w:szCs w:val="21"/>
        </w:rPr>
        <w:t> </w:t>
      </w:r>
      <w:r>
        <w:rPr>
          <w:rFonts w:ascii="宋体" w:hAnsi="宋体" w:cs="宋体" w:eastAsia="宋体" w:hint="default"/>
          <w:spacing w:val="-9"/>
          <w:sz w:val="21"/>
          <w:szCs w:val="21"/>
        </w:rPr>
      </w:r>
      <w:r>
        <w:rPr>
          <w:rFonts w:ascii="宋体" w:hAnsi="宋体" w:cs="宋体" w:eastAsia="宋体" w:hint="default"/>
          <w:sz w:val="21"/>
          <w:szCs w:val="21"/>
        </w:rPr>
        <w:t>的编号为</w:t>
      </w:r>
      <w:r>
        <w:rPr>
          <w:rFonts w:ascii="宋体" w:hAnsi="宋体" w:cs="宋体" w:eastAsia="宋体" w:hint="default"/>
          <w:sz w:val="21"/>
          <w:szCs w:val="21"/>
        </w:rPr>
        <w:t>2019-025</w:t>
      </w:r>
      <w:r>
        <w:rPr>
          <w:rFonts w:ascii="宋体" w:hAnsi="宋体" w:cs="宋体" w:eastAsia="宋体" w:hint="default"/>
          <w:sz w:val="21"/>
          <w:szCs w:val="21"/>
        </w:rPr>
        <w:t>、</w:t>
      </w:r>
      <w:r>
        <w:rPr>
          <w:rFonts w:ascii="宋体" w:hAnsi="宋体" w:cs="宋体" w:eastAsia="宋体" w:hint="default"/>
          <w:sz w:val="21"/>
          <w:szCs w:val="21"/>
        </w:rPr>
        <w:t>2019-049</w:t>
      </w:r>
      <w:r>
        <w:rPr>
          <w:rFonts w:ascii="宋体" w:hAnsi="宋体" w:cs="宋体" w:eastAsia="宋体" w:hint="default"/>
          <w:sz w:val="21"/>
          <w:szCs w:val="21"/>
        </w:rPr>
        <w:t>、</w:t>
      </w:r>
      <w:r>
        <w:rPr>
          <w:rFonts w:ascii="宋体" w:hAnsi="宋体" w:cs="宋体" w:eastAsia="宋体" w:hint="default"/>
          <w:sz w:val="21"/>
          <w:szCs w:val="21"/>
        </w:rPr>
        <w:t>2019-068</w:t>
      </w:r>
      <w:r>
        <w:rPr>
          <w:rFonts w:ascii="宋体" w:hAnsi="宋体" w:cs="宋体" w:eastAsia="宋体" w:hint="default"/>
          <w:sz w:val="21"/>
          <w:szCs w:val="21"/>
        </w:rPr>
        <w:t>的临时公告。</w:t>
      </w:r>
    </w:p>
    <w:p>
      <w:pPr>
        <w:spacing w:line="314" w:lineRule="auto" w:before="140"/>
        <w:ind w:left="518" w:right="250" w:firstLine="420"/>
        <w:jc w:val="both"/>
        <w:rPr>
          <w:rFonts w:ascii="宋体" w:hAnsi="宋体" w:cs="宋体" w:eastAsia="宋体" w:hint="default"/>
          <w:sz w:val="21"/>
          <w:szCs w:val="21"/>
        </w:rPr>
      </w:pPr>
      <w:r>
        <w:rPr>
          <w:rFonts w:ascii="宋体" w:hAnsi="宋体" w:cs="宋体" w:eastAsia="宋体" w:hint="default"/>
          <w:spacing w:val="-3"/>
          <w:sz w:val="21"/>
          <w:szCs w:val="21"/>
        </w:rPr>
        <w:t>公司股东会的召集、召开、表决等相关程序符合法律法规及本公司《公司章程》《股东大会议事</w:t>
      </w:r>
      <w:r>
        <w:rPr>
          <w:rFonts w:ascii="宋体" w:hAnsi="宋体" w:cs="宋体" w:eastAsia="宋体" w:hint="default"/>
          <w:w w:val="100"/>
          <w:sz w:val="21"/>
          <w:szCs w:val="21"/>
        </w:rPr>
        <w:t> </w:t>
      </w:r>
      <w:r>
        <w:rPr>
          <w:rFonts w:ascii="宋体" w:hAnsi="宋体" w:cs="宋体" w:eastAsia="宋体" w:hint="default"/>
          <w:sz w:val="21"/>
          <w:szCs w:val="21"/>
        </w:rPr>
        <w:t>规则》等有关规定，确保全体股东尤其是中小股东享有平等地位、充分行使权利。</w:t>
      </w:r>
    </w:p>
    <w:p>
      <w:pPr>
        <w:spacing w:line="240" w:lineRule="auto" w:before="1"/>
        <w:rPr>
          <w:rFonts w:ascii="宋体" w:hAnsi="宋体" w:cs="宋体" w:eastAsia="宋体" w:hint="default"/>
          <w:sz w:val="25"/>
          <w:szCs w:val="25"/>
        </w:rPr>
      </w:pPr>
    </w:p>
    <w:p>
      <w:pPr>
        <w:spacing w:line="348" w:lineRule="exact" w:before="0"/>
        <w:ind w:left="518" w:right="144"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三、董事履行职责情况</w:t>
      </w:r>
      <w:r>
        <w:rPr>
          <w:rFonts w:ascii="Microsoft JhengHei" w:hAnsi="Microsoft JhengHei" w:cs="Microsoft JhengHei" w:eastAsia="Microsoft JhengHei" w:hint="default"/>
          <w:sz w:val="21"/>
          <w:szCs w:val="21"/>
        </w:rPr>
      </w:r>
    </w:p>
    <w:p>
      <w:pPr>
        <w:spacing w:line="351" w:lineRule="exact" w:before="0"/>
        <w:ind w:left="518" w:right="144"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一</w:t>
      </w:r>
      <w:r>
        <w:rPr>
          <w:rFonts w:ascii="Calibri" w:hAnsi="Calibri" w:cs="Calibri" w:eastAsia="Calibri" w:hint="default"/>
          <w:b/>
          <w:bCs/>
          <w:sz w:val="21"/>
          <w:szCs w:val="21"/>
        </w:rPr>
        <w:t>)</w:t>
      </w:r>
      <w:r>
        <w:rPr>
          <w:rFonts w:ascii="Calibri" w:hAnsi="Calibri" w:cs="Calibri" w:eastAsia="Calibri" w:hint="default"/>
          <w:b/>
          <w:bCs/>
          <w:spacing w:val="42"/>
          <w:sz w:val="21"/>
          <w:szCs w:val="21"/>
        </w:rPr>
        <w:t> </w:t>
      </w:r>
      <w:r>
        <w:rPr>
          <w:rFonts w:ascii="Microsoft JhengHei" w:hAnsi="Microsoft JhengHei" w:cs="Microsoft JhengHei" w:eastAsia="Microsoft JhengHei" w:hint="default"/>
          <w:b/>
          <w:bCs/>
          <w:sz w:val="21"/>
          <w:szCs w:val="21"/>
        </w:rPr>
        <w:t>董事参加董事会和股东大会的情况</w:t>
      </w:r>
      <w:r>
        <w:rPr>
          <w:rFonts w:ascii="Microsoft JhengHei" w:hAnsi="Microsoft JhengHei" w:cs="Microsoft JhengHei" w:eastAsia="Microsoft JhengHei" w:hint="default"/>
          <w:sz w:val="21"/>
          <w:szCs w:val="21"/>
        </w:rPr>
      </w:r>
    </w:p>
    <w:p>
      <w:pPr>
        <w:spacing w:line="240" w:lineRule="auto" w:before="14"/>
        <w:rPr>
          <w:rFonts w:ascii="Microsoft JhengHei" w:hAnsi="Microsoft JhengHei" w:cs="Microsoft JhengHei" w:eastAsia="Microsoft JhengHei" w:hint="default"/>
          <w:b/>
          <w:bCs/>
          <w:sz w:val="3"/>
          <w:szCs w:val="3"/>
        </w:rPr>
      </w:pPr>
    </w:p>
    <w:tbl>
      <w:tblPr>
        <w:tblW w:w="0" w:type="auto"/>
        <w:jc w:val="left"/>
        <w:tblInd w:w="117" w:type="dxa"/>
        <w:tblLayout w:type="fixed"/>
        <w:tblCellMar>
          <w:top w:w="0" w:type="dxa"/>
          <w:left w:w="0" w:type="dxa"/>
          <w:bottom w:w="0" w:type="dxa"/>
          <w:right w:w="0" w:type="dxa"/>
        </w:tblCellMar>
        <w:tblLook w:val="01E0"/>
      </w:tblPr>
      <w:tblGrid>
        <w:gridCol w:w="1330"/>
        <w:gridCol w:w="881"/>
        <w:gridCol w:w="1145"/>
        <w:gridCol w:w="888"/>
        <w:gridCol w:w="1011"/>
        <w:gridCol w:w="943"/>
        <w:gridCol w:w="878"/>
        <w:gridCol w:w="1347"/>
        <w:gridCol w:w="1315"/>
      </w:tblGrid>
      <w:tr>
        <w:trPr>
          <w:trHeight w:val="571" w:hRule="exact"/>
        </w:trPr>
        <w:tc>
          <w:tcPr>
            <w:tcW w:w="133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6"/>
              <w:ind w:right="0"/>
              <w:jc w:val="left"/>
              <w:rPr>
                <w:rFonts w:ascii="Microsoft JhengHei" w:hAnsi="Microsoft JhengHei" w:cs="Microsoft JhengHei" w:eastAsia="Microsoft JhengHei" w:hint="default"/>
                <w:b/>
                <w:bCs/>
                <w:sz w:val="23"/>
                <w:szCs w:val="23"/>
              </w:rPr>
            </w:pPr>
          </w:p>
          <w:p>
            <w:pPr>
              <w:pStyle w:val="TableParagraph"/>
              <w:spacing w:line="272" w:lineRule="exact"/>
              <w:ind w:left="446" w:right="449"/>
              <w:jc w:val="center"/>
              <w:rPr>
                <w:rFonts w:ascii="宋体" w:hAnsi="宋体" w:cs="宋体" w:eastAsia="宋体" w:hint="default"/>
                <w:sz w:val="21"/>
                <w:szCs w:val="21"/>
              </w:rPr>
            </w:pPr>
            <w:r>
              <w:rPr>
                <w:rFonts w:ascii="宋体" w:hAnsi="宋体" w:cs="宋体" w:eastAsia="宋体" w:hint="default"/>
                <w:sz w:val="21"/>
                <w:szCs w:val="21"/>
              </w:rPr>
              <w:t>董事</w:t>
            </w:r>
            <w:r>
              <w:rPr>
                <w:rFonts w:ascii="宋体" w:hAnsi="宋体" w:cs="宋体" w:eastAsia="宋体" w:hint="default"/>
                <w:w w:val="100"/>
                <w:sz w:val="21"/>
                <w:szCs w:val="21"/>
              </w:rPr>
              <w:t> </w:t>
            </w:r>
            <w:r>
              <w:rPr>
                <w:rFonts w:ascii="宋体" w:hAnsi="宋体" w:cs="宋体" w:eastAsia="宋体" w:hint="default"/>
                <w:sz w:val="21"/>
                <w:szCs w:val="21"/>
              </w:rPr>
              <w:t>姓名</w:t>
            </w:r>
          </w:p>
        </w:tc>
        <w:tc>
          <w:tcPr>
            <w:tcW w:w="881"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6"/>
              <w:ind w:right="0"/>
              <w:jc w:val="left"/>
              <w:rPr>
                <w:rFonts w:ascii="Microsoft JhengHei" w:hAnsi="Microsoft JhengHei" w:cs="Microsoft JhengHei" w:eastAsia="Microsoft JhengHei" w:hint="default"/>
                <w:b/>
                <w:bCs/>
                <w:sz w:val="23"/>
                <w:szCs w:val="23"/>
              </w:rPr>
            </w:pPr>
          </w:p>
          <w:p>
            <w:pPr>
              <w:pStyle w:val="TableParagraph"/>
              <w:spacing w:line="272" w:lineRule="exact"/>
              <w:ind w:left="119" w:right="115"/>
              <w:jc w:val="left"/>
              <w:rPr>
                <w:rFonts w:ascii="宋体" w:hAnsi="宋体" w:cs="宋体" w:eastAsia="宋体" w:hint="default"/>
                <w:sz w:val="21"/>
                <w:szCs w:val="21"/>
              </w:rPr>
            </w:pPr>
            <w:r>
              <w:rPr>
                <w:rFonts w:ascii="宋体" w:hAnsi="宋体" w:cs="宋体" w:eastAsia="宋体" w:hint="default"/>
                <w:sz w:val="21"/>
                <w:szCs w:val="21"/>
              </w:rPr>
              <w:t>是否独</w:t>
            </w:r>
            <w:r>
              <w:rPr>
                <w:rFonts w:ascii="宋体" w:hAnsi="宋体" w:cs="宋体" w:eastAsia="宋体" w:hint="default"/>
                <w:spacing w:val="-102"/>
                <w:sz w:val="21"/>
                <w:szCs w:val="21"/>
              </w:rPr>
              <w:t> </w:t>
            </w:r>
            <w:r>
              <w:rPr>
                <w:rFonts w:ascii="宋体" w:hAnsi="宋体" w:cs="宋体" w:eastAsia="宋体" w:hint="default"/>
                <w:sz w:val="21"/>
                <w:szCs w:val="21"/>
              </w:rPr>
              <w:t>立董事</w:t>
            </w:r>
          </w:p>
        </w:tc>
        <w:tc>
          <w:tcPr>
            <w:tcW w:w="6213" w:type="dxa"/>
            <w:gridSpan w:val="6"/>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0"/>
              <w:ind w:right="0"/>
              <w:jc w:val="center"/>
              <w:rPr>
                <w:rFonts w:ascii="宋体" w:hAnsi="宋体" w:cs="宋体" w:eastAsia="宋体" w:hint="default"/>
                <w:sz w:val="21"/>
                <w:szCs w:val="21"/>
              </w:rPr>
            </w:pPr>
            <w:r>
              <w:rPr>
                <w:rFonts w:ascii="宋体" w:hAnsi="宋体" w:cs="宋体" w:eastAsia="宋体" w:hint="default"/>
                <w:sz w:val="21"/>
                <w:szCs w:val="21"/>
              </w:rPr>
              <w:t>参加董事会情况</w:t>
            </w:r>
          </w:p>
        </w:tc>
        <w:tc>
          <w:tcPr>
            <w:tcW w:w="13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7" w:lineRule="exact"/>
              <w:ind w:right="0"/>
              <w:jc w:val="center"/>
              <w:rPr>
                <w:rFonts w:ascii="宋体" w:hAnsi="宋体" w:cs="宋体" w:eastAsia="宋体" w:hint="default"/>
                <w:sz w:val="21"/>
                <w:szCs w:val="21"/>
              </w:rPr>
            </w:pPr>
            <w:r>
              <w:rPr>
                <w:rFonts w:ascii="宋体" w:hAnsi="宋体" w:cs="宋体" w:eastAsia="宋体" w:hint="default"/>
                <w:sz w:val="21"/>
                <w:szCs w:val="21"/>
              </w:rPr>
              <w:t>参加股东大</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会情况</w:t>
            </w:r>
          </w:p>
        </w:tc>
      </w:tr>
      <w:tr>
        <w:trPr>
          <w:trHeight w:val="826" w:hRule="exact"/>
        </w:trPr>
        <w:tc>
          <w:tcPr>
            <w:tcW w:w="1330" w:type="dxa"/>
            <w:vMerge/>
            <w:tcBorders>
              <w:left w:val="single" w:sz="4" w:space="0" w:color="000000"/>
              <w:bottom w:val="single" w:sz="4" w:space="0" w:color="000000"/>
              <w:right w:val="single" w:sz="4" w:space="0" w:color="000000"/>
            </w:tcBorders>
            <w:shd w:val="clear" w:color="auto" w:fill="D9D9D9"/>
          </w:tcPr>
          <w:p>
            <w:pPr/>
          </w:p>
        </w:tc>
        <w:tc>
          <w:tcPr>
            <w:tcW w:w="881" w:type="dxa"/>
            <w:vMerge/>
            <w:tcBorders>
              <w:left w:val="single" w:sz="4" w:space="0" w:color="000000"/>
              <w:bottom w:val="single" w:sz="4" w:space="0" w:color="000000"/>
              <w:right w:val="single" w:sz="4" w:space="0" w:color="000000"/>
            </w:tcBorders>
            <w:shd w:val="clear" w:color="auto" w:fill="D9D9D9"/>
          </w:tcPr>
          <w:p>
            <w:pPr/>
          </w:p>
        </w:tc>
        <w:tc>
          <w:tcPr>
            <w:tcW w:w="114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9" w:lineRule="exact"/>
              <w:ind w:left="146" w:right="0"/>
              <w:jc w:val="left"/>
              <w:rPr>
                <w:rFonts w:ascii="宋体" w:hAnsi="宋体" w:cs="宋体" w:eastAsia="宋体" w:hint="default"/>
                <w:sz w:val="21"/>
                <w:szCs w:val="21"/>
              </w:rPr>
            </w:pPr>
            <w:r>
              <w:rPr>
                <w:rFonts w:ascii="宋体" w:hAnsi="宋体" w:cs="宋体" w:eastAsia="宋体" w:hint="default"/>
                <w:sz w:val="21"/>
                <w:szCs w:val="21"/>
              </w:rPr>
              <w:t>本年应参</w:t>
            </w:r>
          </w:p>
          <w:p>
            <w:pPr>
              <w:pStyle w:val="TableParagraph"/>
              <w:spacing w:line="240" w:lineRule="auto"/>
              <w:ind w:left="357" w:right="144" w:hanging="212"/>
              <w:jc w:val="left"/>
              <w:rPr>
                <w:rFonts w:ascii="宋体" w:hAnsi="宋体" w:cs="宋体" w:eastAsia="宋体" w:hint="default"/>
                <w:sz w:val="21"/>
                <w:szCs w:val="21"/>
              </w:rPr>
            </w:pPr>
            <w:r>
              <w:rPr>
                <w:rFonts w:ascii="宋体" w:hAnsi="宋体" w:cs="宋体" w:eastAsia="宋体" w:hint="default"/>
                <w:sz w:val="21"/>
                <w:szCs w:val="21"/>
              </w:rPr>
              <w:t>加董事会</w:t>
            </w:r>
            <w:r>
              <w:rPr>
                <w:rFonts w:ascii="宋体" w:hAnsi="宋体" w:cs="宋体" w:eastAsia="宋体" w:hint="default"/>
                <w:w w:val="100"/>
                <w:sz w:val="21"/>
                <w:szCs w:val="21"/>
              </w:rPr>
              <w:t> </w:t>
            </w:r>
            <w:r>
              <w:rPr>
                <w:rFonts w:ascii="宋体" w:hAnsi="宋体" w:cs="宋体" w:eastAsia="宋体" w:hint="default"/>
                <w:sz w:val="21"/>
                <w:szCs w:val="21"/>
              </w:rPr>
              <w:t>次数</w:t>
            </w:r>
          </w:p>
        </w:tc>
        <w:tc>
          <w:tcPr>
            <w:tcW w:w="8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2" w:lineRule="exact" w:before="130"/>
              <w:ind w:left="122" w:right="120"/>
              <w:jc w:val="left"/>
              <w:rPr>
                <w:rFonts w:ascii="宋体" w:hAnsi="宋体" w:cs="宋体" w:eastAsia="宋体" w:hint="default"/>
                <w:sz w:val="21"/>
                <w:szCs w:val="21"/>
              </w:rPr>
            </w:pPr>
            <w:r>
              <w:rPr>
                <w:rFonts w:ascii="宋体" w:hAnsi="宋体" w:cs="宋体" w:eastAsia="宋体" w:hint="default"/>
                <w:sz w:val="21"/>
                <w:szCs w:val="21"/>
              </w:rPr>
              <w:t>亲自出</w:t>
            </w:r>
            <w:r>
              <w:rPr>
                <w:rFonts w:ascii="宋体" w:hAnsi="宋体" w:cs="宋体" w:eastAsia="宋体" w:hint="default"/>
                <w:spacing w:val="-102"/>
                <w:sz w:val="21"/>
                <w:szCs w:val="21"/>
              </w:rPr>
              <w:t> </w:t>
            </w:r>
            <w:r>
              <w:rPr>
                <w:rFonts w:ascii="宋体" w:hAnsi="宋体" w:cs="宋体" w:eastAsia="宋体" w:hint="default"/>
                <w:sz w:val="21"/>
                <w:szCs w:val="21"/>
              </w:rPr>
              <w:t>席次数</w:t>
            </w:r>
          </w:p>
        </w:tc>
        <w:tc>
          <w:tcPr>
            <w:tcW w:w="10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9" w:lineRule="exact"/>
              <w:ind w:left="182" w:right="0"/>
              <w:jc w:val="left"/>
              <w:rPr>
                <w:rFonts w:ascii="宋体" w:hAnsi="宋体" w:cs="宋体" w:eastAsia="宋体" w:hint="default"/>
                <w:sz w:val="21"/>
                <w:szCs w:val="21"/>
              </w:rPr>
            </w:pPr>
            <w:r>
              <w:rPr>
                <w:rFonts w:ascii="宋体" w:hAnsi="宋体" w:cs="宋体" w:eastAsia="宋体" w:hint="default"/>
                <w:sz w:val="21"/>
                <w:szCs w:val="21"/>
              </w:rPr>
              <w:t>以通讯</w:t>
            </w:r>
          </w:p>
          <w:p>
            <w:pPr>
              <w:pStyle w:val="TableParagraph"/>
              <w:spacing w:line="240" w:lineRule="auto"/>
              <w:ind w:left="182" w:right="183"/>
              <w:jc w:val="left"/>
              <w:rPr>
                <w:rFonts w:ascii="宋体" w:hAnsi="宋体" w:cs="宋体" w:eastAsia="宋体" w:hint="default"/>
                <w:sz w:val="21"/>
                <w:szCs w:val="21"/>
              </w:rPr>
            </w:pPr>
            <w:r>
              <w:rPr>
                <w:rFonts w:ascii="宋体" w:hAnsi="宋体" w:cs="宋体" w:eastAsia="宋体" w:hint="default"/>
                <w:sz w:val="21"/>
                <w:szCs w:val="21"/>
              </w:rPr>
              <w:t>方式参</w:t>
            </w:r>
            <w:r>
              <w:rPr>
                <w:rFonts w:ascii="宋体" w:hAnsi="宋体" w:cs="宋体" w:eastAsia="宋体" w:hint="default"/>
                <w:spacing w:val="-102"/>
                <w:sz w:val="21"/>
                <w:szCs w:val="21"/>
              </w:rPr>
              <w:t> </w:t>
            </w:r>
            <w:r>
              <w:rPr>
                <w:rFonts w:ascii="宋体" w:hAnsi="宋体" w:cs="宋体" w:eastAsia="宋体" w:hint="default"/>
                <w:sz w:val="21"/>
                <w:szCs w:val="21"/>
              </w:rPr>
              <w:t>加次数</w:t>
            </w:r>
          </w:p>
        </w:tc>
        <w:tc>
          <w:tcPr>
            <w:tcW w:w="9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2" w:lineRule="exact" w:before="130"/>
              <w:ind w:left="151" w:right="146"/>
              <w:jc w:val="left"/>
              <w:rPr>
                <w:rFonts w:ascii="宋体" w:hAnsi="宋体" w:cs="宋体" w:eastAsia="宋体" w:hint="default"/>
                <w:sz w:val="21"/>
                <w:szCs w:val="21"/>
              </w:rPr>
            </w:pPr>
            <w:r>
              <w:rPr>
                <w:rFonts w:ascii="宋体" w:hAnsi="宋体" w:cs="宋体" w:eastAsia="宋体" w:hint="default"/>
                <w:sz w:val="21"/>
                <w:szCs w:val="21"/>
              </w:rPr>
              <w:t>委托出</w:t>
            </w:r>
            <w:r>
              <w:rPr>
                <w:rFonts w:ascii="宋体" w:hAnsi="宋体" w:cs="宋体" w:eastAsia="宋体" w:hint="default"/>
                <w:spacing w:val="-102"/>
                <w:sz w:val="21"/>
                <w:szCs w:val="21"/>
              </w:rPr>
              <w:t> </w:t>
            </w:r>
            <w:r>
              <w:rPr>
                <w:rFonts w:ascii="宋体" w:hAnsi="宋体" w:cs="宋体" w:eastAsia="宋体" w:hint="default"/>
                <w:sz w:val="21"/>
                <w:szCs w:val="21"/>
              </w:rPr>
              <w:t>席次数</w:t>
            </w:r>
          </w:p>
        </w:tc>
        <w:tc>
          <w:tcPr>
            <w:tcW w:w="8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2" w:lineRule="exact" w:before="130"/>
              <w:ind w:left="223" w:right="221"/>
              <w:jc w:val="left"/>
              <w:rPr>
                <w:rFonts w:ascii="宋体" w:hAnsi="宋体" w:cs="宋体" w:eastAsia="宋体" w:hint="default"/>
                <w:sz w:val="21"/>
                <w:szCs w:val="21"/>
              </w:rPr>
            </w:pPr>
            <w:r>
              <w:rPr>
                <w:rFonts w:ascii="宋体" w:hAnsi="宋体" w:cs="宋体" w:eastAsia="宋体" w:hint="default"/>
                <w:sz w:val="21"/>
                <w:szCs w:val="21"/>
              </w:rPr>
              <w:t>缺席</w:t>
            </w:r>
            <w:r>
              <w:rPr>
                <w:rFonts w:ascii="宋体" w:hAnsi="宋体" w:cs="宋体" w:eastAsia="宋体" w:hint="default"/>
                <w:spacing w:val="-103"/>
                <w:sz w:val="21"/>
                <w:szCs w:val="21"/>
              </w:rPr>
              <w:t> </w:t>
            </w:r>
            <w:r>
              <w:rPr>
                <w:rFonts w:ascii="宋体" w:hAnsi="宋体" w:cs="宋体" w:eastAsia="宋体" w:hint="default"/>
                <w:sz w:val="21"/>
                <w:szCs w:val="21"/>
              </w:rPr>
              <w:t>次数</w:t>
            </w:r>
          </w:p>
        </w:tc>
        <w:tc>
          <w:tcPr>
            <w:tcW w:w="13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9" w:lineRule="exact"/>
              <w:ind w:left="141" w:right="0"/>
              <w:jc w:val="left"/>
              <w:rPr>
                <w:rFonts w:ascii="宋体" w:hAnsi="宋体" w:cs="宋体" w:eastAsia="宋体" w:hint="default"/>
                <w:sz w:val="21"/>
                <w:szCs w:val="21"/>
              </w:rPr>
            </w:pPr>
            <w:r>
              <w:rPr>
                <w:rFonts w:ascii="宋体" w:hAnsi="宋体" w:cs="宋体" w:eastAsia="宋体" w:hint="default"/>
                <w:sz w:val="21"/>
                <w:szCs w:val="21"/>
              </w:rPr>
              <w:t>是否连续两</w:t>
            </w:r>
          </w:p>
          <w:p>
            <w:pPr>
              <w:pStyle w:val="TableParagraph"/>
              <w:spacing w:line="240" w:lineRule="auto"/>
              <w:ind w:left="352" w:right="140" w:hanging="212"/>
              <w:jc w:val="left"/>
              <w:rPr>
                <w:rFonts w:ascii="宋体" w:hAnsi="宋体" w:cs="宋体" w:eastAsia="宋体" w:hint="default"/>
                <w:sz w:val="21"/>
                <w:szCs w:val="21"/>
              </w:rPr>
            </w:pPr>
            <w:r>
              <w:rPr>
                <w:rFonts w:ascii="宋体" w:hAnsi="宋体" w:cs="宋体" w:eastAsia="宋体" w:hint="default"/>
                <w:sz w:val="21"/>
                <w:szCs w:val="21"/>
              </w:rPr>
              <w:t>次未亲自参</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加会议</w:t>
            </w:r>
          </w:p>
        </w:tc>
        <w:tc>
          <w:tcPr>
            <w:tcW w:w="13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2" w:lineRule="exact" w:before="130"/>
              <w:ind w:left="230" w:right="125" w:hanging="106"/>
              <w:jc w:val="left"/>
              <w:rPr>
                <w:rFonts w:ascii="宋体" w:hAnsi="宋体" w:cs="宋体" w:eastAsia="宋体" w:hint="default"/>
                <w:sz w:val="21"/>
                <w:szCs w:val="21"/>
              </w:rPr>
            </w:pPr>
            <w:r>
              <w:rPr>
                <w:rFonts w:ascii="宋体" w:hAnsi="宋体" w:cs="宋体" w:eastAsia="宋体" w:hint="default"/>
                <w:sz w:val="21"/>
                <w:szCs w:val="21"/>
              </w:rPr>
              <w:t>出席股东大</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会的次数</w:t>
            </w:r>
          </w:p>
        </w:tc>
      </w:tr>
      <w:tr>
        <w:trPr>
          <w:trHeight w:val="283"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王晓初</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26"/>
              <w:jc w:val="right"/>
              <w:rPr>
                <w:rFonts w:ascii="宋体" w:hAnsi="宋体" w:cs="宋体" w:eastAsia="宋体" w:hint="default"/>
                <w:sz w:val="21"/>
                <w:szCs w:val="21"/>
              </w:rPr>
            </w:pPr>
            <w:r>
              <w:rPr>
                <w:rFonts w:ascii="宋体" w:hAnsi="宋体" w:cs="宋体" w:eastAsia="宋体" w:hint="default"/>
                <w:w w:val="100"/>
                <w:sz w:val="21"/>
                <w:szCs w:val="21"/>
              </w:rPr>
              <w:t>否</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center"/>
              <w:rPr>
                <w:rFonts w:ascii="宋体" w:hAnsi="宋体" w:cs="宋体" w:eastAsia="宋体" w:hint="default"/>
                <w:sz w:val="21"/>
                <w:szCs w:val="21"/>
              </w:rPr>
            </w:pPr>
            <w:r>
              <w:rPr>
                <w:rFonts w:ascii="宋体"/>
                <w:w w:val="100"/>
                <w:sz w:val="21"/>
              </w:rPr>
              <w:t>7</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7</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4</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413"/>
              <w:jc w:val="right"/>
              <w:rPr>
                <w:rFonts w:ascii="宋体" w:hAnsi="宋体" w:cs="宋体" w:eastAsia="宋体" w:hint="default"/>
                <w:sz w:val="21"/>
                <w:szCs w:val="21"/>
              </w:rPr>
            </w:pPr>
            <w:r>
              <w:rPr>
                <w:rFonts w:ascii="宋体"/>
                <w:w w:val="100"/>
                <w:sz w:val="21"/>
              </w:rPr>
              <w:t>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center"/>
              <w:rPr>
                <w:rFonts w:ascii="宋体" w:hAnsi="宋体" w:cs="宋体" w:eastAsia="宋体" w:hint="default"/>
                <w:sz w:val="21"/>
                <w:szCs w:val="21"/>
              </w:rPr>
            </w:pPr>
            <w:r>
              <w:rPr>
                <w:rFonts w:ascii="宋体"/>
                <w:w w:val="100"/>
                <w:sz w:val="21"/>
              </w:rPr>
              <w:t>0</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center"/>
              <w:rPr>
                <w:rFonts w:ascii="宋体" w:hAnsi="宋体" w:cs="宋体" w:eastAsia="宋体" w:hint="default"/>
                <w:sz w:val="21"/>
                <w:szCs w:val="21"/>
              </w:rPr>
            </w:pPr>
            <w:r>
              <w:rPr>
                <w:rFonts w:ascii="宋体"/>
                <w:w w:val="100"/>
                <w:sz w:val="21"/>
              </w:rPr>
              <w:t>3</w:t>
            </w:r>
          </w:p>
        </w:tc>
      </w:tr>
      <w:tr>
        <w:trPr>
          <w:trHeight w:val="283"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李国华</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26"/>
              <w:jc w:val="right"/>
              <w:rPr>
                <w:rFonts w:ascii="宋体" w:hAnsi="宋体" w:cs="宋体" w:eastAsia="宋体" w:hint="default"/>
                <w:sz w:val="21"/>
                <w:szCs w:val="21"/>
              </w:rPr>
            </w:pPr>
            <w:r>
              <w:rPr>
                <w:rFonts w:ascii="宋体" w:hAnsi="宋体" w:cs="宋体" w:eastAsia="宋体" w:hint="default"/>
                <w:w w:val="100"/>
                <w:sz w:val="21"/>
                <w:szCs w:val="21"/>
              </w:rPr>
              <w:t>否</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w w:val="100"/>
                <w:sz w:val="21"/>
              </w:rPr>
              <w:t>7</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7</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3</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413"/>
              <w:jc w:val="right"/>
              <w:rPr>
                <w:rFonts w:ascii="宋体" w:hAnsi="宋体" w:cs="宋体" w:eastAsia="宋体" w:hint="default"/>
                <w:sz w:val="21"/>
                <w:szCs w:val="21"/>
              </w:rPr>
            </w:pPr>
            <w:r>
              <w:rPr>
                <w:rFonts w:ascii="宋体"/>
                <w:w w:val="100"/>
                <w:sz w:val="21"/>
              </w:rPr>
              <w:t>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0</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2</w:t>
            </w:r>
          </w:p>
        </w:tc>
      </w:tr>
      <w:tr>
        <w:trPr>
          <w:trHeight w:val="281"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李福申</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26"/>
              <w:jc w:val="right"/>
              <w:rPr>
                <w:rFonts w:ascii="宋体" w:hAnsi="宋体" w:cs="宋体" w:eastAsia="宋体" w:hint="default"/>
                <w:sz w:val="21"/>
                <w:szCs w:val="21"/>
              </w:rPr>
            </w:pPr>
            <w:r>
              <w:rPr>
                <w:rFonts w:ascii="宋体" w:hAnsi="宋体" w:cs="宋体" w:eastAsia="宋体" w:hint="default"/>
                <w:w w:val="100"/>
                <w:sz w:val="21"/>
                <w:szCs w:val="21"/>
              </w:rPr>
              <w:t>否</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w w:val="100"/>
                <w:sz w:val="21"/>
              </w:rPr>
              <w:t>7</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7</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4</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413"/>
              <w:jc w:val="right"/>
              <w:rPr>
                <w:rFonts w:ascii="宋体" w:hAnsi="宋体" w:cs="宋体" w:eastAsia="宋体" w:hint="default"/>
                <w:sz w:val="21"/>
                <w:szCs w:val="21"/>
              </w:rPr>
            </w:pPr>
            <w:r>
              <w:rPr>
                <w:rFonts w:ascii="宋体"/>
                <w:w w:val="100"/>
                <w:sz w:val="21"/>
              </w:rPr>
              <w:t>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0</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2</w:t>
            </w:r>
          </w:p>
        </w:tc>
      </w:tr>
      <w:tr>
        <w:trPr>
          <w:trHeight w:val="283"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尹兆君</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26"/>
              <w:jc w:val="right"/>
              <w:rPr>
                <w:rFonts w:ascii="宋体" w:hAnsi="宋体" w:cs="宋体" w:eastAsia="宋体" w:hint="default"/>
                <w:sz w:val="21"/>
                <w:szCs w:val="21"/>
              </w:rPr>
            </w:pPr>
            <w:r>
              <w:rPr>
                <w:rFonts w:ascii="宋体" w:hAnsi="宋体" w:cs="宋体" w:eastAsia="宋体" w:hint="default"/>
                <w:w w:val="100"/>
                <w:sz w:val="21"/>
                <w:szCs w:val="21"/>
              </w:rPr>
              <w:t>否</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center"/>
              <w:rPr>
                <w:rFonts w:ascii="宋体" w:hAnsi="宋体" w:cs="宋体" w:eastAsia="宋体" w:hint="default"/>
                <w:sz w:val="21"/>
                <w:szCs w:val="21"/>
              </w:rPr>
            </w:pPr>
            <w:r>
              <w:rPr>
                <w:rFonts w:ascii="宋体"/>
                <w:w w:val="100"/>
                <w:sz w:val="21"/>
              </w:rPr>
              <w:t>7</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7</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w w:val="100"/>
                <w:sz w:val="21"/>
              </w:rPr>
              <w:t>3</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413"/>
              <w:jc w:val="right"/>
              <w:rPr>
                <w:rFonts w:ascii="宋体" w:hAnsi="宋体" w:cs="宋体" w:eastAsia="宋体" w:hint="default"/>
                <w:sz w:val="21"/>
                <w:szCs w:val="21"/>
              </w:rPr>
            </w:pPr>
            <w:r>
              <w:rPr>
                <w:rFonts w:ascii="宋体"/>
                <w:w w:val="100"/>
                <w:sz w:val="21"/>
              </w:rPr>
              <w:t>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center"/>
              <w:rPr>
                <w:rFonts w:ascii="宋体" w:hAnsi="宋体" w:cs="宋体" w:eastAsia="宋体" w:hint="default"/>
                <w:sz w:val="21"/>
                <w:szCs w:val="21"/>
              </w:rPr>
            </w:pPr>
            <w:r>
              <w:rPr>
                <w:rFonts w:ascii="宋体"/>
                <w:w w:val="100"/>
                <w:sz w:val="21"/>
              </w:rPr>
              <w:t>0</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center"/>
              <w:rPr>
                <w:rFonts w:ascii="宋体" w:hAnsi="宋体" w:cs="宋体" w:eastAsia="宋体" w:hint="default"/>
                <w:sz w:val="21"/>
                <w:szCs w:val="21"/>
              </w:rPr>
            </w:pPr>
            <w:r>
              <w:rPr>
                <w:rFonts w:ascii="宋体"/>
                <w:w w:val="100"/>
                <w:sz w:val="21"/>
              </w:rPr>
              <w:t>0</w:t>
            </w:r>
          </w:p>
        </w:tc>
      </w:tr>
      <w:tr>
        <w:trPr>
          <w:trHeight w:val="283"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卢山</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26"/>
              <w:jc w:val="right"/>
              <w:rPr>
                <w:rFonts w:ascii="宋体" w:hAnsi="宋体" w:cs="宋体" w:eastAsia="宋体" w:hint="default"/>
                <w:sz w:val="21"/>
                <w:szCs w:val="21"/>
              </w:rPr>
            </w:pPr>
            <w:r>
              <w:rPr>
                <w:rFonts w:ascii="宋体" w:hAnsi="宋体" w:cs="宋体" w:eastAsia="宋体" w:hint="default"/>
                <w:w w:val="100"/>
                <w:sz w:val="21"/>
                <w:szCs w:val="21"/>
              </w:rPr>
              <w:t>否</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w w:val="100"/>
                <w:sz w:val="21"/>
              </w:rPr>
              <w:t>7</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7</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413"/>
              <w:jc w:val="right"/>
              <w:rPr>
                <w:rFonts w:ascii="宋体" w:hAnsi="宋体" w:cs="宋体" w:eastAsia="宋体" w:hint="default"/>
                <w:sz w:val="21"/>
                <w:szCs w:val="21"/>
              </w:rPr>
            </w:pPr>
            <w:r>
              <w:rPr>
                <w:rFonts w:ascii="宋体"/>
                <w:w w:val="100"/>
                <w:sz w:val="21"/>
              </w:rPr>
              <w:t>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0</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0</w:t>
            </w:r>
          </w:p>
        </w:tc>
      </w:tr>
      <w:tr>
        <w:trPr>
          <w:trHeight w:val="749"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王海峰</w:t>
            </w:r>
          </w:p>
          <w:p>
            <w:pPr>
              <w:pStyle w:val="TableParagraph"/>
              <w:spacing w:line="247" w:lineRule="exact"/>
              <w:ind w:left="100" w:right="0"/>
              <w:jc w:val="left"/>
              <w:rPr>
                <w:rFonts w:ascii="Calibri" w:hAnsi="Calibri" w:cs="Calibri" w:eastAsia="Calibri"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2019  </w:t>
            </w:r>
            <w:r>
              <w:rPr>
                <w:rFonts w:ascii="宋体" w:hAnsi="宋体" w:cs="宋体" w:eastAsia="宋体" w:hint="default"/>
                <w:sz w:val="18"/>
                <w:szCs w:val="18"/>
              </w:rPr>
              <w:t>年</w:t>
            </w:r>
            <w:r>
              <w:rPr>
                <w:rFonts w:ascii="宋体" w:hAnsi="宋体" w:cs="宋体" w:eastAsia="宋体" w:hint="default"/>
                <w:spacing w:val="30"/>
                <w:sz w:val="18"/>
                <w:szCs w:val="18"/>
              </w:rPr>
              <w:t> </w:t>
            </w:r>
            <w:r>
              <w:rPr>
                <w:rFonts w:ascii="Calibri" w:hAnsi="Calibri" w:cs="Calibri" w:eastAsia="Calibri" w:hint="default"/>
                <w:sz w:val="18"/>
                <w:szCs w:val="18"/>
              </w:rPr>
              <w:t>12</w:t>
            </w:r>
          </w:p>
          <w:p>
            <w:pPr>
              <w:pStyle w:val="TableParagraph"/>
              <w:spacing w:line="224" w:lineRule="exact"/>
              <w:ind w:left="100" w:right="0"/>
              <w:jc w:val="left"/>
              <w:rPr>
                <w:rFonts w:ascii="宋体" w:hAnsi="宋体" w:cs="宋体" w:eastAsia="宋体" w:hint="default"/>
                <w:sz w:val="18"/>
                <w:szCs w:val="18"/>
              </w:rPr>
            </w:pPr>
            <w:r>
              <w:rPr>
                <w:rFonts w:ascii="宋体" w:hAnsi="宋体" w:cs="宋体" w:eastAsia="宋体" w:hint="default"/>
                <w:sz w:val="18"/>
                <w:szCs w:val="18"/>
              </w:rPr>
              <w:t>月起任职）</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1"/>
                <w:szCs w:val="11"/>
              </w:rPr>
            </w:pPr>
          </w:p>
          <w:p>
            <w:pPr>
              <w:pStyle w:val="TableParagraph"/>
              <w:spacing w:line="240" w:lineRule="auto"/>
              <w:ind w:right="326"/>
              <w:jc w:val="right"/>
              <w:rPr>
                <w:rFonts w:ascii="宋体" w:hAnsi="宋体" w:cs="宋体" w:eastAsia="宋体" w:hint="default"/>
                <w:sz w:val="21"/>
                <w:szCs w:val="21"/>
              </w:rPr>
            </w:pPr>
            <w:r>
              <w:rPr>
                <w:rFonts w:ascii="宋体" w:hAnsi="宋体" w:cs="宋体" w:eastAsia="宋体" w:hint="default"/>
                <w:w w:val="100"/>
                <w:sz w:val="21"/>
                <w:szCs w:val="21"/>
              </w:rPr>
              <w:t>否</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1"/>
                <w:szCs w:val="11"/>
              </w:rPr>
            </w:pPr>
          </w:p>
          <w:p>
            <w:pPr>
              <w:pStyle w:val="TableParagraph"/>
              <w:spacing w:line="240" w:lineRule="auto"/>
              <w:ind w:right="1"/>
              <w:jc w:val="center"/>
              <w:rPr>
                <w:rFonts w:ascii="宋体" w:hAnsi="宋体" w:cs="宋体" w:eastAsia="宋体" w:hint="default"/>
                <w:sz w:val="21"/>
                <w:szCs w:val="21"/>
              </w:rPr>
            </w:pPr>
            <w:r>
              <w:rPr>
                <w:rFonts w:ascii="宋体"/>
                <w:w w:val="100"/>
                <w:sz w:val="21"/>
              </w:rPr>
              <w:t>0</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1"/>
                <w:szCs w:val="11"/>
              </w:rPr>
            </w:pPr>
          </w:p>
          <w:p>
            <w:pPr>
              <w:pStyle w:val="TableParagraph"/>
              <w:spacing w:line="240" w:lineRule="auto"/>
              <w:ind w:right="0"/>
              <w:jc w:val="center"/>
              <w:rPr>
                <w:rFonts w:ascii="宋体" w:hAnsi="宋体" w:cs="宋体" w:eastAsia="宋体" w:hint="default"/>
                <w:sz w:val="21"/>
                <w:szCs w:val="21"/>
              </w:rPr>
            </w:pPr>
            <w:r>
              <w:rPr>
                <w:rFonts w:ascii="宋体"/>
                <w:w w:val="100"/>
                <w:sz w:val="21"/>
              </w:rPr>
              <w:t>0</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1"/>
                <w:szCs w:val="11"/>
              </w:rPr>
            </w:pPr>
          </w:p>
          <w:p>
            <w:pPr>
              <w:pStyle w:val="TableParagraph"/>
              <w:spacing w:line="240" w:lineRule="auto"/>
              <w:ind w:right="0"/>
              <w:jc w:val="center"/>
              <w:rPr>
                <w:rFonts w:ascii="宋体" w:hAnsi="宋体" w:cs="宋体" w:eastAsia="宋体" w:hint="default"/>
                <w:sz w:val="21"/>
                <w:szCs w:val="21"/>
              </w:rPr>
            </w:pPr>
            <w:r>
              <w:rPr>
                <w:rFonts w:ascii="宋体"/>
                <w:w w:val="100"/>
                <w:sz w:val="21"/>
              </w:rPr>
              <w:t>0</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1"/>
                <w:szCs w:val="11"/>
              </w:rPr>
            </w:pPr>
          </w:p>
          <w:p>
            <w:pPr>
              <w:pStyle w:val="TableParagraph"/>
              <w:spacing w:line="240" w:lineRule="auto"/>
              <w:ind w:right="413"/>
              <w:jc w:val="right"/>
              <w:rPr>
                <w:rFonts w:ascii="宋体" w:hAnsi="宋体" w:cs="宋体" w:eastAsia="宋体" w:hint="default"/>
                <w:sz w:val="21"/>
                <w:szCs w:val="21"/>
              </w:rPr>
            </w:pPr>
            <w:r>
              <w:rPr>
                <w:rFonts w:ascii="宋体"/>
                <w:w w:val="100"/>
                <w:sz w:val="21"/>
              </w:rPr>
              <w:t>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w w:val="100"/>
                <w:sz w:val="21"/>
              </w:rPr>
              <w:t>0</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w w:val="100"/>
                <w:sz w:val="21"/>
              </w:rPr>
              <w:t>0</w:t>
            </w:r>
          </w:p>
        </w:tc>
      </w:tr>
      <w:tr>
        <w:trPr>
          <w:trHeight w:val="283"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廖建文</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26"/>
              <w:jc w:val="right"/>
              <w:rPr>
                <w:rFonts w:ascii="宋体" w:hAnsi="宋体" w:cs="宋体" w:eastAsia="宋体" w:hint="default"/>
                <w:sz w:val="21"/>
                <w:szCs w:val="21"/>
              </w:rPr>
            </w:pPr>
            <w:r>
              <w:rPr>
                <w:rFonts w:ascii="宋体" w:hAnsi="宋体" w:cs="宋体" w:eastAsia="宋体" w:hint="default"/>
                <w:w w:val="100"/>
                <w:sz w:val="21"/>
                <w:szCs w:val="21"/>
              </w:rPr>
              <w:t>否</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w w:val="100"/>
                <w:sz w:val="21"/>
              </w:rPr>
              <w:t>7</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7</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7</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413"/>
              <w:jc w:val="right"/>
              <w:rPr>
                <w:rFonts w:ascii="宋体" w:hAnsi="宋体" w:cs="宋体" w:eastAsia="宋体" w:hint="default"/>
                <w:sz w:val="21"/>
                <w:szCs w:val="21"/>
              </w:rPr>
            </w:pPr>
            <w:r>
              <w:rPr>
                <w:rFonts w:ascii="宋体"/>
                <w:w w:val="100"/>
                <w:sz w:val="21"/>
              </w:rPr>
              <w:t>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0</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0</w:t>
            </w:r>
          </w:p>
        </w:tc>
      </w:tr>
    </w:tbl>
    <w:p>
      <w:pPr>
        <w:spacing w:after="0" w:line="241" w:lineRule="exact"/>
        <w:jc w:val="center"/>
        <w:rPr>
          <w:rFonts w:ascii="宋体" w:hAnsi="宋体" w:cs="宋体" w:eastAsia="宋体" w:hint="default"/>
          <w:sz w:val="21"/>
          <w:szCs w:val="21"/>
        </w:rPr>
        <w:sectPr>
          <w:footerReference w:type="default" r:id="rId75"/>
          <w:pgSz w:w="11910" w:h="16840"/>
          <w:pgMar w:footer="502" w:header="852" w:top="1340" w:bottom="700" w:left="900" w:right="1020"/>
        </w:sectPr>
      </w:pPr>
    </w:p>
    <w:p>
      <w:pPr>
        <w:spacing w:line="240" w:lineRule="auto" w:before="9"/>
        <w:rPr>
          <w:rFonts w:ascii="Microsoft JhengHei" w:hAnsi="Microsoft JhengHei" w:cs="Microsoft JhengHei" w:eastAsia="Microsoft JhengHei" w:hint="default"/>
          <w:b/>
          <w:bCs/>
          <w:sz w:val="9"/>
          <w:szCs w:val="9"/>
        </w:rPr>
      </w:pPr>
    </w:p>
    <w:tbl>
      <w:tblPr>
        <w:tblW w:w="0" w:type="auto"/>
        <w:jc w:val="left"/>
        <w:tblInd w:w="117" w:type="dxa"/>
        <w:tblLayout w:type="fixed"/>
        <w:tblCellMar>
          <w:top w:w="0" w:type="dxa"/>
          <w:left w:w="0" w:type="dxa"/>
          <w:bottom w:w="0" w:type="dxa"/>
          <w:right w:w="0" w:type="dxa"/>
        </w:tblCellMar>
        <w:tblLook w:val="01E0"/>
      </w:tblPr>
      <w:tblGrid>
        <w:gridCol w:w="1330"/>
        <w:gridCol w:w="881"/>
        <w:gridCol w:w="1145"/>
        <w:gridCol w:w="888"/>
        <w:gridCol w:w="1011"/>
        <w:gridCol w:w="943"/>
        <w:gridCol w:w="878"/>
        <w:gridCol w:w="1347"/>
        <w:gridCol w:w="1315"/>
      </w:tblGrid>
      <w:tr>
        <w:trPr>
          <w:trHeight w:val="751"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张建锋</w:t>
            </w:r>
          </w:p>
          <w:p>
            <w:pPr>
              <w:pStyle w:val="TableParagraph"/>
              <w:spacing w:line="232" w:lineRule="exact" w:before="25"/>
              <w:ind w:left="100" w:right="107"/>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2019</w:t>
            </w:r>
            <w:r>
              <w:rPr>
                <w:rFonts w:ascii="Calibri" w:hAnsi="Calibri" w:cs="Calibri" w:eastAsia="Calibri"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Calibri" w:hAnsi="Calibri" w:cs="Calibri" w:eastAsia="Calibri" w:hint="default"/>
                <w:sz w:val="18"/>
                <w:szCs w:val="18"/>
              </w:rPr>
              <w:t>9</w:t>
            </w:r>
            <w:r>
              <w:rPr>
                <w:rFonts w:ascii="Calibri" w:hAnsi="Calibri" w:cs="Calibri" w:eastAsia="Calibri" w:hint="default"/>
                <w:spacing w:val="-4"/>
                <w:sz w:val="18"/>
                <w:szCs w:val="18"/>
              </w:rPr>
              <w:t> </w:t>
            </w:r>
            <w:r>
              <w:rPr>
                <w:rFonts w:ascii="宋体" w:hAnsi="宋体" w:cs="宋体" w:eastAsia="宋体" w:hint="default"/>
                <w:sz w:val="18"/>
                <w:szCs w:val="18"/>
              </w:rPr>
              <w:t>月 起任职）</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326"/>
              <w:jc w:val="right"/>
              <w:rPr>
                <w:rFonts w:ascii="宋体" w:hAnsi="宋体" w:cs="宋体" w:eastAsia="宋体" w:hint="default"/>
                <w:sz w:val="21"/>
                <w:szCs w:val="21"/>
              </w:rPr>
            </w:pPr>
            <w:r>
              <w:rPr>
                <w:rFonts w:ascii="宋体" w:hAnsi="宋体" w:cs="宋体" w:eastAsia="宋体" w:hint="default"/>
                <w:w w:val="100"/>
                <w:sz w:val="21"/>
                <w:szCs w:val="21"/>
              </w:rPr>
              <w:t>否</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1"/>
              <w:jc w:val="center"/>
              <w:rPr>
                <w:rFonts w:ascii="宋体" w:hAnsi="宋体" w:cs="宋体" w:eastAsia="宋体" w:hint="default"/>
                <w:sz w:val="21"/>
                <w:szCs w:val="21"/>
              </w:rPr>
            </w:pPr>
            <w:r>
              <w:rPr>
                <w:rFonts w:ascii="宋体"/>
                <w:w w:val="100"/>
                <w:sz w:val="21"/>
              </w:rPr>
              <w:t>1</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0"/>
              <w:jc w:val="center"/>
              <w:rPr>
                <w:rFonts w:ascii="宋体" w:hAnsi="宋体" w:cs="宋体" w:eastAsia="宋体" w:hint="default"/>
                <w:sz w:val="21"/>
                <w:szCs w:val="21"/>
              </w:rPr>
            </w:pPr>
            <w:r>
              <w:rPr>
                <w:rFonts w:ascii="宋体"/>
                <w:w w:val="100"/>
                <w:sz w:val="21"/>
              </w:rPr>
              <w:t>1</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0"/>
              <w:jc w:val="center"/>
              <w:rPr>
                <w:rFonts w:ascii="宋体" w:hAnsi="宋体" w:cs="宋体" w:eastAsia="宋体" w:hint="default"/>
                <w:sz w:val="21"/>
                <w:szCs w:val="21"/>
              </w:rPr>
            </w:pPr>
            <w:r>
              <w:rPr>
                <w:rFonts w:ascii="宋体"/>
                <w:w w:val="100"/>
                <w:sz w:val="21"/>
              </w:rPr>
              <w:t>1</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413"/>
              <w:jc w:val="right"/>
              <w:rPr>
                <w:rFonts w:ascii="宋体" w:hAnsi="宋体" w:cs="宋体" w:eastAsia="宋体" w:hint="default"/>
                <w:sz w:val="21"/>
                <w:szCs w:val="21"/>
              </w:rPr>
            </w:pPr>
            <w:r>
              <w:rPr>
                <w:rFonts w:ascii="宋体"/>
                <w:w w:val="100"/>
                <w:sz w:val="21"/>
              </w:rPr>
              <w:t>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w w:val="100"/>
                <w:sz w:val="21"/>
              </w:rPr>
              <w:t>0</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w w:val="100"/>
                <w:sz w:val="21"/>
              </w:rPr>
              <w:t>0</w:t>
            </w:r>
          </w:p>
        </w:tc>
      </w:tr>
      <w:tr>
        <w:trPr>
          <w:trHeight w:val="281"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冯士栋</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26"/>
              <w:jc w:val="right"/>
              <w:rPr>
                <w:rFonts w:ascii="宋体" w:hAnsi="宋体" w:cs="宋体" w:eastAsia="宋体" w:hint="default"/>
                <w:sz w:val="21"/>
                <w:szCs w:val="21"/>
              </w:rPr>
            </w:pPr>
            <w:r>
              <w:rPr>
                <w:rFonts w:ascii="宋体" w:hAnsi="宋体" w:cs="宋体" w:eastAsia="宋体" w:hint="default"/>
                <w:w w:val="100"/>
                <w:sz w:val="21"/>
                <w:szCs w:val="21"/>
              </w:rPr>
              <w:t>是</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w w:val="100"/>
                <w:sz w:val="21"/>
              </w:rPr>
              <w:t>7</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7</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3</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413"/>
              <w:jc w:val="right"/>
              <w:rPr>
                <w:rFonts w:ascii="宋体" w:hAnsi="宋体" w:cs="宋体" w:eastAsia="宋体" w:hint="default"/>
                <w:sz w:val="21"/>
                <w:szCs w:val="21"/>
              </w:rPr>
            </w:pPr>
            <w:r>
              <w:rPr>
                <w:rFonts w:ascii="宋体"/>
                <w:w w:val="100"/>
                <w:sz w:val="21"/>
              </w:rPr>
              <w:t>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0</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1</w:t>
            </w:r>
          </w:p>
        </w:tc>
      </w:tr>
      <w:tr>
        <w:trPr>
          <w:trHeight w:val="283"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吴晓根</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26"/>
              <w:jc w:val="right"/>
              <w:rPr>
                <w:rFonts w:ascii="宋体" w:hAnsi="宋体" w:cs="宋体" w:eastAsia="宋体" w:hint="default"/>
                <w:sz w:val="21"/>
                <w:szCs w:val="21"/>
              </w:rPr>
            </w:pPr>
            <w:r>
              <w:rPr>
                <w:rFonts w:ascii="宋体" w:hAnsi="宋体" w:cs="宋体" w:eastAsia="宋体" w:hint="default"/>
                <w:w w:val="100"/>
                <w:sz w:val="21"/>
                <w:szCs w:val="21"/>
              </w:rPr>
              <w:t>是</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w w:val="100"/>
                <w:sz w:val="21"/>
              </w:rPr>
              <w:t>7</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7</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3</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413"/>
              <w:jc w:val="right"/>
              <w:rPr>
                <w:rFonts w:ascii="宋体" w:hAnsi="宋体" w:cs="宋体" w:eastAsia="宋体" w:hint="default"/>
                <w:sz w:val="21"/>
                <w:szCs w:val="21"/>
              </w:rPr>
            </w:pPr>
            <w:r>
              <w:rPr>
                <w:rFonts w:ascii="宋体"/>
                <w:w w:val="100"/>
                <w:sz w:val="21"/>
              </w:rPr>
              <w:t>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0</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2</w:t>
            </w:r>
          </w:p>
        </w:tc>
      </w:tr>
      <w:tr>
        <w:trPr>
          <w:trHeight w:val="283"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吕廷杰</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26"/>
              <w:jc w:val="right"/>
              <w:rPr>
                <w:rFonts w:ascii="宋体" w:hAnsi="宋体" w:cs="宋体" w:eastAsia="宋体" w:hint="default"/>
                <w:sz w:val="21"/>
                <w:szCs w:val="21"/>
              </w:rPr>
            </w:pPr>
            <w:r>
              <w:rPr>
                <w:rFonts w:ascii="宋体" w:hAnsi="宋体" w:cs="宋体" w:eastAsia="宋体" w:hint="default"/>
                <w:w w:val="100"/>
                <w:sz w:val="21"/>
                <w:szCs w:val="21"/>
              </w:rPr>
              <w:t>是</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w w:val="100"/>
                <w:sz w:val="21"/>
              </w:rPr>
              <w:t>7</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7</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5</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413"/>
              <w:jc w:val="right"/>
              <w:rPr>
                <w:rFonts w:ascii="宋体" w:hAnsi="宋体" w:cs="宋体" w:eastAsia="宋体" w:hint="default"/>
                <w:sz w:val="21"/>
                <w:szCs w:val="21"/>
              </w:rPr>
            </w:pPr>
            <w:r>
              <w:rPr>
                <w:rFonts w:ascii="宋体"/>
                <w:w w:val="100"/>
                <w:sz w:val="21"/>
              </w:rPr>
              <w:t>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0</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0</w:t>
            </w:r>
          </w:p>
        </w:tc>
      </w:tr>
      <w:tr>
        <w:trPr>
          <w:trHeight w:val="281"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陈建新</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26"/>
              <w:jc w:val="right"/>
              <w:rPr>
                <w:rFonts w:ascii="宋体" w:hAnsi="宋体" w:cs="宋体" w:eastAsia="宋体" w:hint="default"/>
                <w:sz w:val="21"/>
                <w:szCs w:val="21"/>
              </w:rPr>
            </w:pPr>
            <w:r>
              <w:rPr>
                <w:rFonts w:ascii="宋体" w:hAnsi="宋体" w:cs="宋体" w:eastAsia="宋体" w:hint="default"/>
                <w:w w:val="100"/>
                <w:sz w:val="21"/>
                <w:szCs w:val="21"/>
              </w:rPr>
              <w:t>是</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w w:val="100"/>
                <w:sz w:val="21"/>
              </w:rPr>
              <w:t>7</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7</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3</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413"/>
              <w:jc w:val="right"/>
              <w:rPr>
                <w:rFonts w:ascii="宋体" w:hAnsi="宋体" w:cs="宋体" w:eastAsia="宋体" w:hint="default"/>
                <w:sz w:val="21"/>
                <w:szCs w:val="21"/>
              </w:rPr>
            </w:pPr>
            <w:r>
              <w:rPr>
                <w:rFonts w:ascii="宋体"/>
                <w:w w:val="100"/>
                <w:sz w:val="21"/>
              </w:rPr>
              <w:t>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0</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w w:val="100"/>
                <w:sz w:val="21"/>
              </w:rPr>
              <w:t>1</w:t>
            </w:r>
          </w:p>
        </w:tc>
      </w:tr>
      <w:tr>
        <w:trPr>
          <w:trHeight w:val="749"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王路</w:t>
            </w:r>
          </w:p>
          <w:p>
            <w:pPr>
              <w:pStyle w:val="TableParagraph"/>
              <w:spacing w:line="246" w:lineRule="exact" w:before="2"/>
              <w:ind w:left="100" w:right="0"/>
              <w:jc w:val="left"/>
              <w:rPr>
                <w:rFonts w:ascii="Calibri" w:hAnsi="Calibri" w:cs="Calibri" w:eastAsia="Calibri"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2019  </w:t>
            </w:r>
            <w:r>
              <w:rPr>
                <w:rFonts w:ascii="宋体" w:hAnsi="宋体" w:cs="宋体" w:eastAsia="宋体" w:hint="default"/>
                <w:sz w:val="18"/>
                <w:szCs w:val="18"/>
              </w:rPr>
              <w:t>年</w:t>
            </w:r>
            <w:r>
              <w:rPr>
                <w:rFonts w:ascii="宋体" w:hAnsi="宋体" w:cs="宋体" w:eastAsia="宋体" w:hint="default"/>
                <w:spacing w:val="30"/>
                <w:sz w:val="18"/>
                <w:szCs w:val="18"/>
              </w:rPr>
              <w:t> </w:t>
            </w:r>
            <w:r>
              <w:rPr>
                <w:rFonts w:ascii="Calibri" w:hAnsi="Calibri" w:cs="Calibri" w:eastAsia="Calibri" w:hint="default"/>
                <w:sz w:val="18"/>
                <w:szCs w:val="18"/>
              </w:rPr>
              <w:t>10</w:t>
            </w:r>
          </w:p>
          <w:p>
            <w:pPr>
              <w:pStyle w:val="TableParagraph"/>
              <w:spacing w:line="223" w:lineRule="exact"/>
              <w:ind w:left="100" w:right="0"/>
              <w:jc w:val="left"/>
              <w:rPr>
                <w:rFonts w:ascii="宋体" w:hAnsi="宋体" w:cs="宋体" w:eastAsia="宋体" w:hint="default"/>
                <w:sz w:val="18"/>
                <w:szCs w:val="18"/>
              </w:rPr>
            </w:pPr>
            <w:r>
              <w:rPr>
                <w:rFonts w:ascii="宋体" w:hAnsi="宋体" w:cs="宋体" w:eastAsia="宋体" w:hint="default"/>
                <w:sz w:val="18"/>
                <w:szCs w:val="18"/>
              </w:rPr>
              <w:t>月起离任）</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326"/>
              <w:jc w:val="right"/>
              <w:rPr>
                <w:rFonts w:ascii="宋体" w:hAnsi="宋体" w:cs="宋体" w:eastAsia="宋体" w:hint="default"/>
                <w:sz w:val="21"/>
                <w:szCs w:val="21"/>
              </w:rPr>
            </w:pPr>
            <w:r>
              <w:rPr>
                <w:rFonts w:ascii="宋体" w:hAnsi="宋体" w:cs="宋体" w:eastAsia="宋体" w:hint="default"/>
                <w:w w:val="100"/>
                <w:sz w:val="21"/>
                <w:szCs w:val="21"/>
              </w:rPr>
              <w:t>否</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1"/>
              <w:jc w:val="center"/>
              <w:rPr>
                <w:rFonts w:ascii="宋体" w:hAnsi="宋体" w:cs="宋体" w:eastAsia="宋体" w:hint="default"/>
                <w:sz w:val="21"/>
                <w:szCs w:val="21"/>
              </w:rPr>
            </w:pPr>
            <w:r>
              <w:rPr>
                <w:rFonts w:ascii="宋体"/>
                <w:w w:val="100"/>
                <w:sz w:val="21"/>
              </w:rPr>
              <w:t>6</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0"/>
              <w:jc w:val="center"/>
              <w:rPr>
                <w:rFonts w:ascii="宋体" w:hAnsi="宋体" w:cs="宋体" w:eastAsia="宋体" w:hint="default"/>
                <w:sz w:val="21"/>
                <w:szCs w:val="21"/>
              </w:rPr>
            </w:pPr>
            <w:r>
              <w:rPr>
                <w:rFonts w:ascii="宋体"/>
                <w:w w:val="100"/>
                <w:sz w:val="21"/>
              </w:rPr>
              <w:t>6</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0"/>
              <w:jc w:val="center"/>
              <w:rPr>
                <w:rFonts w:ascii="宋体" w:hAnsi="宋体" w:cs="宋体" w:eastAsia="宋体" w:hint="default"/>
                <w:sz w:val="21"/>
                <w:szCs w:val="21"/>
              </w:rPr>
            </w:pPr>
            <w:r>
              <w:rPr>
                <w:rFonts w:ascii="宋体"/>
                <w:w w:val="100"/>
                <w:sz w:val="21"/>
              </w:rPr>
              <w:t>5</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413"/>
              <w:jc w:val="right"/>
              <w:rPr>
                <w:rFonts w:ascii="宋体" w:hAnsi="宋体" w:cs="宋体" w:eastAsia="宋体" w:hint="default"/>
                <w:sz w:val="21"/>
                <w:szCs w:val="21"/>
              </w:rPr>
            </w:pPr>
            <w:r>
              <w:rPr>
                <w:rFonts w:ascii="宋体"/>
                <w:w w:val="100"/>
                <w:sz w:val="21"/>
              </w:rPr>
              <w:t>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w w:val="100"/>
                <w:sz w:val="21"/>
              </w:rPr>
              <w:t>0</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w w:val="100"/>
                <w:sz w:val="21"/>
              </w:rPr>
              <w:t>0</w:t>
            </w:r>
          </w:p>
        </w:tc>
      </w:tr>
      <w:tr>
        <w:trPr>
          <w:trHeight w:val="75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胡晓明</w:t>
            </w:r>
          </w:p>
          <w:p>
            <w:pPr>
              <w:pStyle w:val="TableParagraph"/>
              <w:spacing w:line="234" w:lineRule="exact" w:before="23"/>
              <w:ind w:left="100" w:right="107"/>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2019</w:t>
            </w:r>
            <w:r>
              <w:rPr>
                <w:rFonts w:ascii="Calibri" w:hAnsi="Calibri" w:cs="Calibri" w:eastAsia="Calibri"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Calibri" w:hAnsi="Calibri" w:cs="Calibri" w:eastAsia="Calibri" w:hint="default"/>
                <w:sz w:val="18"/>
                <w:szCs w:val="18"/>
              </w:rPr>
              <w:t>7</w:t>
            </w:r>
            <w:r>
              <w:rPr>
                <w:rFonts w:ascii="Calibri" w:hAnsi="Calibri" w:cs="Calibri" w:eastAsia="Calibri" w:hint="default"/>
                <w:spacing w:val="-4"/>
                <w:sz w:val="18"/>
                <w:szCs w:val="18"/>
              </w:rPr>
              <w:t> </w:t>
            </w:r>
            <w:r>
              <w:rPr>
                <w:rFonts w:ascii="宋体" w:hAnsi="宋体" w:cs="宋体" w:eastAsia="宋体" w:hint="default"/>
                <w:sz w:val="18"/>
                <w:szCs w:val="18"/>
              </w:rPr>
              <w:t>月 起离任）</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326"/>
              <w:jc w:val="right"/>
              <w:rPr>
                <w:rFonts w:ascii="宋体" w:hAnsi="宋体" w:cs="宋体" w:eastAsia="宋体" w:hint="default"/>
                <w:sz w:val="21"/>
                <w:szCs w:val="21"/>
              </w:rPr>
            </w:pPr>
            <w:r>
              <w:rPr>
                <w:rFonts w:ascii="宋体" w:hAnsi="宋体" w:cs="宋体" w:eastAsia="宋体" w:hint="default"/>
                <w:w w:val="100"/>
                <w:sz w:val="21"/>
                <w:szCs w:val="21"/>
              </w:rPr>
              <w:t>否</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1"/>
              <w:jc w:val="center"/>
              <w:rPr>
                <w:rFonts w:ascii="宋体" w:hAnsi="宋体" w:cs="宋体" w:eastAsia="宋体" w:hint="default"/>
                <w:sz w:val="21"/>
                <w:szCs w:val="21"/>
              </w:rPr>
            </w:pPr>
            <w:r>
              <w:rPr>
                <w:rFonts w:ascii="宋体"/>
                <w:w w:val="100"/>
                <w:sz w:val="21"/>
              </w:rPr>
              <w:t>4</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0"/>
              <w:jc w:val="center"/>
              <w:rPr>
                <w:rFonts w:ascii="宋体" w:hAnsi="宋体" w:cs="宋体" w:eastAsia="宋体" w:hint="default"/>
                <w:sz w:val="21"/>
                <w:szCs w:val="21"/>
              </w:rPr>
            </w:pPr>
            <w:r>
              <w:rPr>
                <w:rFonts w:ascii="宋体"/>
                <w:w w:val="100"/>
                <w:sz w:val="21"/>
              </w:rPr>
              <w:t>4</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0"/>
              <w:jc w:val="center"/>
              <w:rPr>
                <w:rFonts w:ascii="宋体" w:hAnsi="宋体" w:cs="宋体" w:eastAsia="宋体" w:hint="default"/>
                <w:sz w:val="21"/>
                <w:szCs w:val="21"/>
              </w:rPr>
            </w:pPr>
            <w:r>
              <w:rPr>
                <w:rFonts w:ascii="宋体"/>
                <w:w w:val="100"/>
                <w:sz w:val="21"/>
              </w:rPr>
              <w:t>4</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413"/>
              <w:jc w:val="right"/>
              <w:rPr>
                <w:rFonts w:ascii="宋体" w:hAnsi="宋体" w:cs="宋体" w:eastAsia="宋体" w:hint="default"/>
                <w:sz w:val="21"/>
                <w:szCs w:val="21"/>
              </w:rPr>
            </w:pPr>
            <w:r>
              <w:rPr>
                <w:rFonts w:ascii="宋体"/>
                <w:w w:val="100"/>
                <w:sz w:val="21"/>
              </w:rPr>
              <w:t>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w w:val="100"/>
                <w:sz w:val="21"/>
              </w:rPr>
              <w:t>0</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w w:val="100"/>
                <w:sz w:val="21"/>
              </w:rPr>
              <w:t>0</w:t>
            </w:r>
          </w:p>
        </w:tc>
      </w:tr>
      <w:tr>
        <w:trPr>
          <w:trHeight w:val="749"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熊晓鸽</w:t>
            </w:r>
          </w:p>
          <w:p>
            <w:pPr>
              <w:pStyle w:val="TableParagraph"/>
              <w:spacing w:line="232" w:lineRule="exact" w:before="25"/>
              <w:ind w:left="100" w:right="107"/>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2019</w:t>
            </w:r>
            <w:r>
              <w:rPr>
                <w:rFonts w:ascii="Calibri" w:hAnsi="Calibri" w:cs="Calibri" w:eastAsia="Calibri"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Calibri" w:hAnsi="Calibri" w:cs="Calibri" w:eastAsia="Calibri" w:hint="default"/>
                <w:sz w:val="18"/>
                <w:szCs w:val="18"/>
              </w:rPr>
              <w:t>7</w:t>
            </w:r>
            <w:r>
              <w:rPr>
                <w:rFonts w:ascii="Calibri" w:hAnsi="Calibri" w:cs="Calibri" w:eastAsia="Calibri" w:hint="default"/>
                <w:spacing w:val="-4"/>
                <w:sz w:val="18"/>
                <w:szCs w:val="18"/>
              </w:rPr>
              <w:t> </w:t>
            </w:r>
            <w:r>
              <w:rPr>
                <w:rFonts w:ascii="宋体" w:hAnsi="宋体" w:cs="宋体" w:eastAsia="宋体" w:hint="default"/>
                <w:sz w:val="18"/>
                <w:szCs w:val="18"/>
              </w:rPr>
              <w:t>月 起离任）</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1"/>
                <w:szCs w:val="11"/>
              </w:rPr>
            </w:pPr>
          </w:p>
          <w:p>
            <w:pPr>
              <w:pStyle w:val="TableParagraph"/>
              <w:spacing w:line="240" w:lineRule="auto"/>
              <w:ind w:right="326"/>
              <w:jc w:val="right"/>
              <w:rPr>
                <w:rFonts w:ascii="宋体" w:hAnsi="宋体" w:cs="宋体" w:eastAsia="宋体" w:hint="default"/>
                <w:sz w:val="21"/>
                <w:szCs w:val="21"/>
              </w:rPr>
            </w:pPr>
            <w:r>
              <w:rPr>
                <w:rFonts w:ascii="宋体" w:hAnsi="宋体" w:cs="宋体" w:eastAsia="宋体" w:hint="default"/>
                <w:w w:val="100"/>
                <w:sz w:val="21"/>
                <w:szCs w:val="21"/>
              </w:rPr>
              <w:t>是</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1"/>
                <w:szCs w:val="11"/>
              </w:rPr>
            </w:pPr>
          </w:p>
          <w:p>
            <w:pPr>
              <w:pStyle w:val="TableParagraph"/>
              <w:spacing w:line="240" w:lineRule="auto"/>
              <w:ind w:right="1"/>
              <w:jc w:val="center"/>
              <w:rPr>
                <w:rFonts w:ascii="宋体" w:hAnsi="宋体" w:cs="宋体" w:eastAsia="宋体" w:hint="default"/>
                <w:sz w:val="21"/>
                <w:szCs w:val="21"/>
              </w:rPr>
            </w:pPr>
            <w:r>
              <w:rPr>
                <w:rFonts w:ascii="宋体"/>
                <w:w w:val="100"/>
                <w:sz w:val="21"/>
              </w:rPr>
              <w:t>4</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1"/>
                <w:szCs w:val="11"/>
              </w:rPr>
            </w:pPr>
          </w:p>
          <w:p>
            <w:pPr>
              <w:pStyle w:val="TableParagraph"/>
              <w:spacing w:line="240" w:lineRule="auto"/>
              <w:ind w:right="0"/>
              <w:jc w:val="center"/>
              <w:rPr>
                <w:rFonts w:ascii="宋体" w:hAnsi="宋体" w:cs="宋体" w:eastAsia="宋体" w:hint="default"/>
                <w:sz w:val="21"/>
                <w:szCs w:val="21"/>
              </w:rPr>
            </w:pPr>
            <w:r>
              <w:rPr>
                <w:rFonts w:ascii="宋体"/>
                <w:w w:val="100"/>
                <w:sz w:val="21"/>
              </w:rPr>
              <w:t>4</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1"/>
                <w:szCs w:val="11"/>
              </w:rPr>
            </w:pPr>
          </w:p>
          <w:p>
            <w:pPr>
              <w:pStyle w:val="TableParagraph"/>
              <w:spacing w:line="240" w:lineRule="auto"/>
              <w:ind w:right="0"/>
              <w:jc w:val="center"/>
              <w:rPr>
                <w:rFonts w:ascii="宋体" w:hAnsi="宋体" w:cs="宋体" w:eastAsia="宋体" w:hint="default"/>
                <w:sz w:val="21"/>
                <w:szCs w:val="21"/>
              </w:rPr>
            </w:pPr>
            <w:r>
              <w:rPr>
                <w:rFonts w:ascii="宋体"/>
                <w:w w:val="100"/>
                <w:sz w:val="21"/>
              </w:rPr>
              <w:t>3</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1"/>
                <w:szCs w:val="11"/>
              </w:rPr>
            </w:pPr>
          </w:p>
          <w:p>
            <w:pPr>
              <w:pStyle w:val="TableParagraph"/>
              <w:spacing w:line="240" w:lineRule="auto"/>
              <w:ind w:right="413"/>
              <w:jc w:val="right"/>
              <w:rPr>
                <w:rFonts w:ascii="宋体" w:hAnsi="宋体" w:cs="宋体" w:eastAsia="宋体" w:hint="default"/>
                <w:sz w:val="21"/>
                <w:szCs w:val="21"/>
              </w:rPr>
            </w:pPr>
            <w:r>
              <w:rPr>
                <w:rFonts w:ascii="宋体"/>
                <w:w w:val="100"/>
                <w:sz w:val="21"/>
              </w:rPr>
              <w:t>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w w:val="100"/>
                <w:sz w:val="21"/>
              </w:rPr>
              <w:t>0</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w w:val="100"/>
                <w:sz w:val="21"/>
              </w:rPr>
              <w:t>0</w:t>
            </w:r>
          </w:p>
        </w:tc>
      </w:tr>
    </w:tbl>
    <w:p>
      <w:pPr>
        <w:spacing w:line="240" w:lineRule="auto" w:before="9"/>
        <w:rPr>
          <w:rFonts w:ascii="Microsoft JhengHei" w:hAnsi="Microsoft JhengHei" w:cs="Microsoft JhengHei" w:eastAsia="Microsoft JhengHei" w:hint="default"/>
          <w:b/>
          <w:bCs/>
          <w:sz w:val="11"/>
          <w:szCs w:val="11"/>
        </w:rPr>
      </w:pPr>
    </w:p>
    <w:p>
      <w:pPr>
        <w:spacing w:line="274" w:lineRule="exact" w:before="36"/>
        <w:ind w:left="518" w:right="144" w:firstLine="0"/>
        <w:jc w:val="left"/>
        <w:rPr>
          <w:rFonts w:ascii="宋体" w:hAnsi="宋体" w:cs="宋体" w:eastAsia="宋体" w:hint="default"/>
          <w:sz w:val="21"/>
          <w:szCs w:val="21"/>
        </w:rPr>
      </w:pPr>
      <w:r>
        <w:rPr>
          <w:rFonts w:ascii="宋体" w:hAnsi="宋体" w:cs="宋体" w:eastAsia="宋体" w:hint="default"/>
          <w:sz w:val="21"/>
          <w:szCs w:val="21"/>
        </w:rPr>
        <w:t>连续两次未亲自出席董事会会议的说明</w:t>
      </w:r>
    </w:p>
    <w:p>
      <w:pPr>
        <w:spacing w:line="274" w:lineRule="exact" w:before="0"/>
        <w:ind w:left="518" w:right="144" w:firstLine="0"/>
        <w:jc w:val="left"/>
        <w:rPr>
          <w:rFonts w:ascii="宋体" w:hAnsi="宋体" w:cs="宋体" w:eastAsia="宋体" w:hint="default"/>
          <w:sz w:val="21"/>
          <w:szCs w:val="21"/>
        </w:rPr>
      </w:pPr>
      <w:r>
        <w:rPr>
          <w:rFonts w:ascii="宋体" w:hAnsi="宋体" w:cs="宋体" w:eastAsia="宋体" w:hint="default"/>
          <w:sz w:val="21"/>
          <w:szCs w:val="21"/>
        </w:rPr>
        <w:t>□适用 √不适用</w:t>
      </w:r>
    </w:p>
    <w:p>
      <w:pPr>
        <w:spacing w:line="240" w:lineRule="auto" w:before="3"/>
        <w:rPr>
          <w:rFonts w:ascii="宋体" w:hAnsi="宋体" w:cs="宋体" w:eastAsia="宋体" w:hint="default"/>
          <w:sz w:val="23"/>
          <w:szCs w:val="23"/>
        </w:rPr>
      </w:pPr>
    </w:p>
    <w:tbl>
      <w:tblPr>
        <w:tblW w:w="0" w:type="auto"/>
        <w:jc w:val="left"/>
        <w:tblInd w:w="655" w:type="dxa"/>
        <w:tblLayout w:type="fixed"/>
        <w:tblCellMar>
          <w:top w:w="0" w:type="dxa"/>
          <w:left w:w="0" w:type="dxa"/>
          <w:bottom w:w="0" w:type="dxa"/>
          <w:right w:w="0" w:type="dxa"/>
        </w:tblCellMar>
        <w:tblLook w:val="01E0"/>
      </w:tblPr>
      <w:tblGrid>
        <w:gridCol w:w="4416"/>
        <w:gridCol w:w="4407"/>
      </w:tblGrid>
      <w:tr>
        <w:trPr>
          <w:trHeight w:val="282" w:hRule="exact"/>
        </w:trPr>
        <w:tc>
          <w:tcPr>
            <w:tcW w:w="4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年内召开董事会会议次数</w:t>
            </w:r>
          </w:p>
        </w:tc>
        <w:tc>
          <w:tcPr>
            <w:tcW w:w="44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7</w:t>
            </w:r>
          </w:p>
        </w:tc>
      </w:tr>
      <w:tr>
        <w:trPr>
          <w:trHeight w:val="282" w:hRule="exact"/>
        </w:trPr>
        <w:tc>
          <w:tcPr>
            <w:tcW w:w="4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2"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其中：现场会议次数</w:t>
            </w:r>
          </w:p>
        </w:tc>
        <w:tc>
          <w:tcPr>
            <w:tcW w:w="4407"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right="0"/>
              <w:jc w:val="center"/>
              <w:rPr>
                <w:rFonts w:ascii="宋体" w:hAnsi="宋体" w:cs="宋体" w:eastAsia="宋体" w:hint="default"/>
                <w:sz w:val="21"/>
                <w:szCs w:val="21"/>
              </w:rPr>
            </w:pPr>
            <w:r>
              <w:rPr>
                <w:rFonts w:ascii="宋体"/>
                <w:w w:val="100"/>
                <w:sz w:val="21"/>
              </w:rPr>
              <w:t>4</w:t>
            </w:r>
          </w:p>
        </w:tc>
      </w:tr>
      <w:tr>
        <w:trPr>
          <w:trHeight w:val="283" w:hRule="exact"/>
        </w:trPr>
        <w:tc>
          <w:tcPr>
            <w:tcW w:w="4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通讯方式召开会议次数</w:t>
            </w:r>
          </w:p>
        </w:tc>
        <w:tc>
          <w:tcPr>
            <w:tcW w:w="44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w w:val="100"/>
                <w:sz w:val="21"/>
              </w:rPr>
              <w:t>3</w:t>
            </w:r>
          </w:p>
        </w:tc>
      </w:tr>
    </w:tbl>
    <w:p>
      <w:pPr>
        <w:spacing w:line="240" w:lineRule="auto" w:before="9"/>
        <w:rPr>
          <w:rFonts w:ascii="宋体" w:hAnsi="宋体" w:cs="宋体" w:eastAsia="宋体" w:hint="default"/>
          <w:sz w:val="9"/>
          <w:szCs w:val="9"/>
        </w:rPr>
      </w:pPr>
    </w:p>
    <w:p>
      <w:pPr>
        <w:spacing w:line="314" w:lineRule="auto" w:before="36"/>
        <w:ind w:left="518" w:right="144" w:firstLine="42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z w:val="21"/>
          <w:szCs w:val="21"/>
        </w:rPr>
        <w:t>年，公司共召开董事会会议</w:t>
      </w:r>
      <w:r>
        <w:rPr>
          <w:rFonts w:ascii="宋体" w:hAnsi="宋体" w:cs="宋体" w:eastAsia="宋体" w:hint="default"/>
          <w:sz w:val="21"/>
          <w:szCs w:val="21"/>
        </w:rPr>
        <w:t>7</w:t>
      </w:r>
      <w:r>
        <w:rPr>
          <w:rFonts w:ascii="宋体" w:hAnsi="宋体" w:cs="宋体" w:eastAsia="宋体" w:hint="default"/>
          <w:sz w:val="21"/>
          <w:szCs w:val="21"/>
        </w:rPr>
        <w:t>次，审议和讨论了有关公司战略、重大决策、改革发展、风险</w:t>
      </w:r>
      <w:r>
        <w:rPr>
          <w:rFonts w:ascii="宋体" w:hAnsi="宋体" w:cs="宋体" w:eastAsia="宋体" w:hint="default"/>
          <w:w w:val="100"/>
          <w:sz w:val="21"/>
          <w:szCs w:val="21"/>
        </w:rPr>
        <w:t> </w:t>
      </w:r>
      <w:r>
        <w:rPr>
          <w:rFonts w:ascii="宋体" w:hAnsi="宋体" w:cs="宋体" w:eastAsia="宋体" w:hint="default"/>
          <w:spacing w:val="-3"/>
          <w:sz w:val="21"/>
          <w:szCs w:val="21"/>
        </w:rPr>
        <w:t>防控等各项议案，包括落实混改政策与修订公司治理制度、限制性股票激励计划授予、回购注销及解</w:t>
      </w:r>
      <w:r>
        <w:rPr>
          <w:rFonts w:ascii="宋体" w:hAnsi="宋体" w:cs="宋体" w:eastAsia="宋体" w:hint="default"/>
          <w:spacing w:val="-12"/>
          <w:sz w:val="21"/>
          <w:szCs w:val="21"/>
        </w:rPr>
        <w:t> </w:t>
      </w:r>
      <w:r>
        <w:rPr>
          <w:rFonts w:ascii="宋体" w:hAnsi="宋体" w:cs="宋体" w:eastAsia="宋体" w:hint="default"/>
          <w:spacing w:val="-12"/>
          <w:sz w:val="21"/>
          <w:szCs w:val="21"/>
        </w:rPr>
      </w:r>
      <w:r>
        <w:rPr>
          <w:rFonts w:ascii="宋体" w:hAnsi="宋体" w:cs="宋体" w:eastAsia="宋体" w:hint="default"/>
          <w:spacing w:val="-5"/>
          <w:sz w:val="21"/>
          <w:szCs w:val="21"/>
        </w:rPr>
        <w:t>锁业绩条件达成、下属公司混改及员工持股、业务委托承包运营等混合所有制改革类事项；投资计划、</w:t>
      </w:r>
      <w:r>
        <w:rPr>
          <w:rFonts w:ascii="宋体" w:hAnsi="宋体" w:cs="宋体" w:eastAsia="宋体" w:hint="default"/>
          <w:spacing w:val="-23"/>
          <w:sz w:val="21"/>
          <w:szCs w:val="21"/>
        </w:rPr>
        <w:t> </w:t>
      </w:r>
      <w:r>
        <w:rPr>
          <w:rFonts w:ascii="宋体" w:hAnsi="宋体" w:cs="宋体" w:eastAsia="宋体" w:hint="default"/>
          <w:spacing w:val="-23"/>
          <w:sz w:val="21"/>
          <w:szCs w:val="21"/>
        </w:rPr>
      </w:r>
      <w:r>
        <w:rPr>
          <w:rFonts w:ascii="宋体" w:hAnsi="宋体" w:cs="宋体" w:eastAsia="宋体" w:hint="default"/>
          <w:spacing w:val="-5"/>
          <w:sz w:val="21"/>
          <w:szCs w:val="21"/>
        </w:rPr>
        <w:t>利润分配、</w:t>
      </w:r>
      <w:r>
        <w:rPr>
          <w:rFonts w:ascii="宋体" w:hAnsi="宋体" w:cs="宋体" w:eastAsia="宋体" w:hint="default"/>
          <w:spacing w:val="-5"/>
          <w:sz w:val="21"/>
          <w:szCs w:val="21"/>
        </w:rPr>
        <w:t>5G</w:t>
      </w:r>
      <w:r>
        <w:rPr>
          <w:rFonts w:ascii="宋体" w:hAnsi="宋体" w:cs="宋体" w:eastAsia="宋体" w:hint="default"/>
          <w:spacing w:val="-5"/>
          <w:sz w:val="21"/>
          <w:szCs w:val="21"/>
        </w:rPr>
        <w:t>网络共建共享、重大关联交易等重大经营事项，以及公司决算及定期报告、董事会报告、</w:t>
      </w:r>
      <w:r>
        <w:rPr>
          <w:rFonts w:ascii="宋体" w:hAnsi="宋体" w:cs="宋体" w:eastAsia="宋体" w:hint="default"/>
          <w:spacing w:val="-17"/>
          <w:sz w:val="21"/>
          <w:szCs w:val="21"/>
        </w:rPr>
        <w:t> </w:t>
      </w:r>
      <w:r>
        <w:rPr>
          <w:rFonts w:ascii="宋体" w:hAnsi="宋体" w:cs="宋体" w:eastAsia="宋体" w:hint="default"/>
          <w:spacing w:val="-17"/>
          <w:sz w:val="21"/>
          <w:szCs w:val="21"/>
        </w:rPr>
      </w:r>
      <w:r>
        <w:rPr>
          <w:rFonts w:ascii="宋体" w:hAnsi="宋体" w:cs="宋体" w:eastAsia="宋体" w:hint="default"/>
          <w:sz w:val="21"/>
          <w:szCs w:val="21"/>
        </w:rPr>
        <w:t>董事变更、高级管理人员考核及聘任、聘请会计师事务所、内部控制及风险管理等重要常规事项。</w:t>
      </w:r>
    </w:p>
    <w:p>
      <w:pPr>
        <w:spacing w:line="314" w:lineRule="auto" w:before="140"/>
        <w:ind w:left="518" w:right="247" w:firstLine="420"/>
        <w:jc w:val="both"/>
        <w:rPr>
          <w:rFonts w:ascii="宋体" w:hAnsi="宋体" w:cs="宋体" w:eastAsia="宋体" w:hint="default"/>
          <w:sz w:val="21"/>
          <w:szCs w:val="21"/>
        </w:rPr>
      </w:pPr>
      <w:r>
        <w:rPr>
          <w:rFonts w:ascii="宋体" w:hAnsi="宋体" w:cs="宋体" w:eastAsia="宋体" w:hint="default"/>
          <w:spacing w:val="-3"/>
          <w:sz w:val="21"/>
          <w:szCs w:val="21"/>
        </w:rPr>
        <w:t>所有董事会会议的召集、召开、表决、披露程序均符合法律法规及公司治理制度要求。所有需提</w:t>
      </w:r>
      <w:r>
        <w:rPr>
          <w:rFonts w:ascii="宋体" w:hAnsi="宋体" w:cs="宋体" w:eastAsia="宋体" w:hint="default"/>
          <w:w w:val="100"/>
          <w:sz w:val="21"/>
          <w:szCs w:val="21"/>
        </w:rPr>
        <w:t> </w:t>
      </w:r>
      <w:r>
        <w:rPr>
          <w:rFonts w:ascii="宋体" w:hAnsi="宋体" w:cs="宋体" w:eastAsia="宋体" w:hint="default"/>
          <w:spacing w:val="-2"/>
          <w:sz w:val="21"/>
          <w:szCs w:val="21"/>
        </w:rPr>
        <w:t>交股东大会审议事项均按程序提交股东大会审议。重大投融资事项决策程序规范。各位董事均了解其</w:t>
      </w:r>
      <w:r>
        <w:rPr>
          <w:rFonts w:ascii="宋体" w:hAnsi="宋体" w:cs="宋体" w:eastAsia="宋体" w:hint="default"/>
          <w:spacing w:val="-52"/>
          <w:sz w:val="21"/>
          <w:szCs w:val="21"/>
        </w:rPr>
        <w:t> </w:t>
      </w:r>
      <w:r>
        <w:rPr>
          <w:rFonts w:ascii="宋体" w:hAnsi="宋体" w:cs="宋体" w:eastAsia="宋体" w:hint="default"/>
          <w:spacing w:val="-52"/>
          <w:sz w:val="21"/>
          <w:szCs w:val="21"/>
        </w:rPr>
      </w:r>
      <w:r>
        <w:rPr>
          <w:rFonts w:ascii="宋体" w:hAnsi="宋体" w:cs="宋体" w:eastAsia="宋体" w:hint="default"/>
          <w:spacing w:val="-3"/>
          <w:sz w:val="21"/>
          <w:szCs w:val="21"/>
        </w:rPr>
        <w:t>相应的权利、义务和责任，勤勉尽责，投入足够的时间处理公司事务，对各项议案认真审阅后发表表</w:t>
      </w:r>
      <w:r>
        <w:rPr>
          <w:rFonts w:ascii="宋体" w:hAnsi="宋体" w:cs="宋体" w:eastAsia="宋体" w:hint="default"/>
          <w:spacing w:val="-11"/>
          <w:sz w:val="21"/>
          <w:szCs w:val="21"/>
        </w:rPr>
        <w:t> </w:t>
      </w:r>
      <w:r>
        <w:rPr>
          <w:rFonts w:ascii="宋体" w:hAnsi="宋体" w:cs="宋体" w:eastAsia="宋体" w:hint="default"/>
          <w:spacing w:val="-11"/>
          <w:sz w:val="21"/>
          <w:szCs w:val="21"/>
        </w:rPr>
      </w:r>
      <w:r>
        <w:rPr>
          <w:rFonts w:ascii="宋体" w:hAnsi="宋体" w:cs="宋体" w:eastAsia="宋体" w:hint="default"/>
          <w:spacing w:val="-3"/>
          <w:sz w:val="21"/>
          <w:szCs w:val="21"/>
        </w:rPr>
        <w:t>决意见，并为公司发展提出诸多有益的意见和建议，董事会决策符合股东利益和公司长远发展。全年</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sz w:val="21"/>
          <w:szCs w:val="21"/>
        </w:rPr>
        <w:t>所有审议事项均获得审议通过和有效实施。</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spacing w:before="0"/>
        <w:ind w:left="518" w:right="144"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二</w:t>
      </w:r>
      <w:r>
        <w:rPr>
          <w:rFonts w:ascii="Calibri" w:hAnsi="Calibri" w:cs="Calibri" w:eastAsia="Calibri" w:hint="default"/>
          <w:b/>
          <w:bCs/>
          <w:sz w:val="21"/>
          <w:szCs w:val="21"/>
        </w:rPr>
        <w:t>)</w:t>
      </w:r>
      <w:r>
        <w:rPr>
          <w:rFonts w:ascii="Calibri" w:hAnsi="Calibri" w:cs="Calibri" w:eastAsia="Calibri" w:hint="default"/>
          <w:b/>
          <w:bCs/>
          <w:spacing w:val="46"/>
          <w:sz w:val="21"/>
          <w:szCs w:val="21"/>
        </w:rPr>
        <w:t> </w:t>
      </w:r>
      <w:r>
        <w:rPr>
          <w:rFonts w:ascii="Microsoft JhengHei" w:hAnsi="Microsoft JhengHei" w:cs="Microsoft JhengHei" w:eastAsia="Microsoft JhengHei" w:hint="default"/>
          <w:b/>
          <w:bCs/>
          <w:sz w:val="21"/>
          <w:szCs w:val="21"/>
        </w:rPr>
        <w:t>独立董事对公司有关事项提出异议的情况</w:t>
      </w:r>
      <w:r>
        <w:rPr>
          <w:rFonts w:ascii="Microsoft JhengHei" w:hAnsi="Microsoft JhengHei" w:cs="Microsoft JhengHei" w:eastAsia="Microsoft JhengHei" w:hint="default"/>
          <w:sz w:val="21"/>
          <w:szCs w:val="21"/>
        </w:rPr>
      </w:r>
    </w:p>
    <w:p>
      <w:pPr>
        <w:spacing w:line="343" w:lineRule="auto" w:before="29"/>
        <w:ind w:left="518" w:right="1051"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2"/>
          <w:sz w:val="21"/>
          <w:szCs w:val="21"/>
        </w:rPr>
        <w:t> </w:t>
      </w:r>
      <w:r>
        <w:rPr>
          <w:rFonts w:ascii="宋体" w:hAnsi="宋体" w:cs="宋体" w:eastAsia="宋体" w:hint="default"/>
          <w:sz w:val="21"/>
          <w:szCs w:val="21"/>
        </w:rPr>
        <w:t>√不适用</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2"/>
          <w:sz w:val="21"/>
          <w:szCs w:val="21"/>
        </w:rPr>
        <w:t>报告期内，独立董事未对公司董事会及其他非董事会的审议事项提出异议。</w:t>
      </w:r>
    </w:p>
    <w:p>
      <w:pPr>
        <w:spacing w:line="240" w:lineRule="auto" w:before="5"/>
        <w:rPr>
          <w:rFonts w:ascii="宋体" w:hAnsi="宋体" w:cs="宋体" w:eastAsia="宋体" w:hint="default"/>
          <w:sz w:val="22"/>
          <w:szCs w:val="22"/>
        </w:rPr>
      </w:pPr>
    </w:p>
    <w:p>
      <w:pPr>
        <w:spacing w:before="0"/>
        <w:ind w:left="518" w:right="144" w:firstLine="0"/>
        <w:jc w:val="left"/>
        <w:rPr>
          <w:rFonts w:ascii="Microsoft JhengHei" w:hAnsi="Microsoft JhengHei" w:cs="Microsoft JhengHei" w:eastAsia="Microsoft JhengHei" w:hint="default"/>
          <w:sz w:val="21"/>
          <w:szCs w:val="21"/>
        </w:rPr>
      </w:pPr>
      <w:r>
        <w:rPr>
          <w:rFonts w:ascii="Calibri" w:hAnsi="Calibri" w:cs="Calibri" w:eastAsia="Calibri" w:hint="default"/>
          <w:b/>
          <w:bCs/>
          <w:sz w:val="21"/>
          <w:szCs w:val="21"/>
        </w:rPr>
        <w:t>(</w:t>
      </w:r>
      <w:r>
        <w:rPr>
          <w:rFonts w:ascii="Microsoft JhengHei" w:hAnsi="Microsoft JhengHei" w:cs="Microsoft JhengHei" w:eastAsia="Microsoft JhengHei" w:hint="default"/>
          <w:b/>
          <w:bCs/>
          <w:sz w:val="21"/>
          <w:szCs w:val="21"/>
        </w:rPr>
        <w:t>三</w:t>
      </w:r>
      <w:r>
        <w:rPr>
          <w:rFonts w:ascii="Calibri" w:hAnsi="Calibri" w:cs="Calibri" w:eastAsia="Calibri" w:hint="default"/>
          <w:b/>
          <w:bCs/>
          <w:sz w:val="21"/>
          <w:szCs w:val="21"/>
        </w:rPr>
        <w:t>)</w:t>
      </w:r>
      <w:r>
        <w:rPr>
          <w:rFonts w:ascii="Calibri" w:hAnsi="Calibri" w:cs="Calibri" w:eastAsia="Calibri" w:hint="default"/>
          <w:b/>
          <w:bCs/>
          <w:spacing w:val="32"/>
          <w:sz w:val="21"/>
          <w:szCs w:val="21"/>
        </w:rPr>
        <w:t> </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sz w:val="21"/>
          <w:szCs w:val="21"/>
        </w:rPr>
      </w:r>
    </w:p>
    <w:p>
      <w:pPr>
        <w:spacing w:line="314" w:lineRule="auto" w:before="166"/>
        <w:ind w:left="518" w:right="144" w:firstLine="420"/>
        <w:jc w:val="left"/>
        <w:rPr>
          <w:rFonts w:ascii="宋体" w:hAnsi="宋体" w:cs="宋体" w:eastAsia="宋体" w:hint="default"/>
          <w:sz w:val="21"/>
          <w:szCs w:val="21"/>
        </w:rPr>
      </w:pPr>
      <w:r>
        <w:rPr>
          <w:rFonts w:ascii="宋体" w:hAnsi="宋体" w:cs="宋体" w:eastAsia="宋体" w:hint="default"/>
          <w:spacing w:val="-3"/>
          <w:sz w:val="21"/>
          <w:szCs w:val="21"/>
        </w:rPr>
        <w:t>公司一贯重视发挥独立董事的作用，独立董事们均为具备相关领域丰富经验的专业人士，以其独</w:t>
      </w:r>
      <w:r>
        <w:rPr>
          <w:rFonts w:ascii="宋体" w:hAnsi="宋体" w:cs="宋体" w:eastAsia="宋体" w:hint="default"/>
          <w:w w:val="100"/>
          <w:sz w:val="21"/>
          <w:szCs w:val="21"/>
        </w:rPr>
        <w:t> </w:t>
      </w:r>
      <w:r>
        <w:rPr>
          <w:rFonts w:ascii="宋体" w:hAnsi="宋体" w:cs="宋体" w:eastAsia="宋体" w:hint="default"/>
          <w:sz w:val="21"/>
          <w:szCs w:val="21"/>
        </w:rPr>
        <w:t>立的立场、专业的视角为公司出谋划策，促进董事会提升科学决策水平。</w:t>
      </w:r>
    </w:p>
    <w:p>
      <w:pPr>
        <w:spacing w:after="0" w:line="314" w:lineRule="auto"/>
        <w:jc w:val="left"/>
        <w:rPr>
          <w:rFonts w:ascii="宋体" w:hAnsi="宋体" w:cs="宋体" w:eastAsia="宋体" w:hint="default"/>
          <w:sz w:val="21"/>
          <w:szCs w:val="21"/>
        </w:rPr>
        <w:sectPr>
          <w:footerReference w:type="default" r:id="rId77"/>
          <w:pgSz w:w="11910" w:h="16840"/>
          <w:pgMar w:footer="502" w:header="852" w:top="1340" w:bottom="700" w:left="900" w:right="1020"/>
        </w:sectPr>
      </w:pPr>
    </w:p>
    <w:p>
      <w:pPr>
        <w:spacing w:line="240" w:lineRule="auto" w:before="2"/>
        <w:rPr>
          <w:rFonts w:ascii="宋体" w:hAnsi="宋体" w:cs="宋体" w:eastAsia="宋体" w:hint="default"/>
          <w:sz w:val="13"/>
          <w:szCs w:val="13"/>
        </w:rPr>
      </w:pPr>
    </w:p>
    <w:p>
      <w:pPr>
        <w:spacing w:line="314" w:lineRule="auto" w:before="36"/>
        <w:ind w:left="138" w:right="179" w:firstLine="420"/>
        <w:jc w:val="both"/>
        <w:rPr>
          <w:rFonts w:ascii="宋体" w:hAnsi="宋体" w:cs="宋体" w:eastAsia="宋体" w:hint="default"/>
          <w:sz w:val="21"/>
          <w:szCs w:val="21"/>
        </w:rPr>
      </w:pPr>
      <w:r>
        <w:rPr>
          <w:rFonts w:ascii="宋体" w:hAnsi="宋体" w:cs="宋体" w:eastAsia="宋体" w:hint="default"/>
          <w:spacing w:val="-3"/>
          <w:sz w:val="21"/>
          <w:szCs w:val="21"/>
        </w:rPr>
        <w:t>本公司各位独立董事均不在公司担任除董事外的其它职务，并与本公司及其主要股东不存在可能</w:t>
      </w:r>
      <w:r>
        <w:rPr>
          <w:rFonts w:ascii="宋体" w:hAnsi="宋体" w:cs="宋体" w:eastAsia="宋体" w:hint="default"/>
          <w:w w:val="100"/>
          <w:sz w:val="21"/>
          <w:szCs w:val="21"/>
        </w:rPr>
        <w:t> </w:t>
      </w:r>
      <w:r>
        <w:rPr>
          <w:rFonts w:ascii="宋体" w:hAnsi="宋体" w:cs="宋体" w:eastAsia="宋体" w:hint="default"/>
          <w:spacing w:val="-2"/>
          <w:sz w:val="21"/>
          <w:szCs w:val="21"/>
        </w:rPr>
        <w:t>妨碍其进行独立客观判断的关系。独立董事均了解其对本公司及全体股东负有诚信与勤勉尽职义务，</w:t>
      </w:r>
      <w:r>
        <w:rPr>
          <w:rFonts w:ascii="宋体" w:hAnsi="宋体" w:cs="宋体" w:eastAsia="宋体" w:hint="default"/>
          <w:spacing w:val="-24"/>
          <w:sz w:val="21"/>
          <w:szCs w:val="21"/>
        </w:rPr>
        <w:t> </w:t>
      </w:r>
      <w:r>
        <w:rPr>
          <w:rFonts w:ascii="宋体" w:hAnsi="宋体" w:cs="宋体" w:eastAsia="宋体" w:hint="default"/>
          <w:spacing w:val="-24"/>
          <w:sz w:val="21"/>
          <w:szCs w:val="21"/>
        </w:rPr>
      </w:r>
      <w:r>
        <w:rPr>
          <w:rFonts w:ascii="宋体" w:hAnsi="宋体" w:cs="宋体" w:eastAsia="宋体" w:hint="default"/>
          <w:spacing w:val="-3"/>
          <w:sz w:val="21"/>
          <w:szCs w:val="21"/>
        </w:rPr>
        <w:t>并按照相关法律法规、公司章程及制度的要求，认真履行职责，维护公司整体利益，尤其关注中小股</w:t>
      </w:r>
      <w:r>
        <w:rPr>
          <w:rFonts w:ascii="宋体" w:hAnsi="宋体" w:cs="宋体" w:eastAsia="宋体" w:hint="default"/>
          <w:spacing w:val="-12"/>
          <w:sz w:val="21"/>
          <w:szCs w:val="21"/>
        </w:rPr>
        <w:t> </w:t>
      </w:r>
      <w:r>
        <w:rPr>
          <w:rFonts w:ascii="宋体" w:hAnsi="宋体" w:cs="宋体" w:eastAsia="宋体" w:hint="default"/>
          <w:spacing w:val="-12"/>
          <w:sz w:val="21"/>
          <w:szCs w:val="21"/>
        </w:rPr>
      </w:r>
      <w:r>
        <w:rPr>
          <w:rFonts w:ascii="宋体" w:hAnsi="宋体" w:cs="宋体" w:eastAsia="宋体" w:hint="default"/>
          <w:sz w:val="21"/>
          <w:szCs w:val="21"/>
        </w:rPr>
        <w:t>东的合法权益不受损害。</w:t>
      </w:r>
    </w:p>
    <w:p>
      <w:pPr>
        <w:spacing w:line="314" w:lineRule="auto" w:before="140"/>
        <w:ind w:left="138" w:right="96" w:firstLine="420"/>
        <w:jc w:val="left"/>
        <w:rPr>
          <w:rFonts w:ascii="宋体" w:hAnsi="宋体" w:cs="宋体" w:eastAsia="宋体" w:hint="default"/>
          <w:sz w:val="21"/>
          <w:szCs w:val="21"/>
        </w:rPr>
      </w:pPr>
      <w:r>
        <w:rPr>
          <w:rFonts w:ascii="宋体" w:hAnsi="宋体" w:cs="宋体" w:eastAsia="宋体" w:hint="default"/>
          <w:w w:val="100"/>
          <w:sz w:val="21"/>
          <w:szCs w:val="21"/>
        </w:rPr>
        <w:t>2019</w:t>
      </w:r>
      <w:r>
        <w:rPr>
          <w:rFonts w:ascii="宋体" w:hAnsi="宋体" w:cs="宋体" w:eastAsia="宋体" w:hint="default"/>
          <w:spacing w:val="-49"/>
          <w:w w:val="100"/>
          <w:sz w:val="21"/>
          <w:szCs w:val="21"/>
        </w:rPr>
        <w:t> </w:t>
      </w:r>
      <w:r>
        <w:rPr>
          <w:rFonts w:ascii="宋体" w:hAnsi="宋体" w:cs="宋体" w:eastAsia="宋体" w:hint="default"/>
          <w:spacing w:val="-13"/>
          <w:w w:val="100"/>
          <w:sz w:val="21"/>
          <w:szCs w:val="21"/>
        </w:rPr>
        <w:t>年，公司共召开了</w:t>
      </w:r>
      <w:r>
        <w:rPr>
          <w:rFonts w:ascii="宋体" w:hAnsi="宋体" w:cs="宋体" w:eastAsia="宋体" w:hint="default"/>
          <w:spacing w:val="-45"/>
          <w:w w:val="100"/>
          <w:sz w:val="21"/>
          <w:szCs w:val="21"/>
        </w:rPr>
        <w:t> </w:t>
      </w:r>
      <w:r>
        <w:rPr>
          <w:rFonts w:ascii="宋体" w:hAnsi="宋体" w:cs="宋体" w:eastAsia="宋体" w:hint="default"/>
          <w:w w:val="100"/>
          <w:sz w:val="21"/>
          <w:szCs w:val="21"/>
        </w:rPr>
        <w:t>5</w:t>
      </w:r>
      <w:r>
        <w:rPr>
          <w:rFonts w:ascii="宋体" w:hAnsi="宋体" w:cs="宋体" w:eastAsia="宋体" w:hint="default"/>
          <w:spacing w:val="-49"/>
          <w:w w:val="100"/>
          <w:sz w:val="21"/>
          <w:szCs w:val="21"/>
        </w:rPr>
        <w:t> </w:t>
      </w:r>
      <w:r>
        <w:rPr>
          <w:rFonts w:ascii="宋体" w:hAnsi="宋体" w:cs="宋体" w:eastAsia="宋体" w:hint="default"/>
          <w:spacing w:val="-5"/>
          <w:w w:val="100"/>
          <w:sz w:val="21"/>
          <w:szCs w:val="21"/>
        </w:rPr>
        <w:t>次独立董事会议，审议和讨论了包括落实混改政策与修订公司治理制度、</w:t>
      </w:r>
      <w:r>
        <w:rPr>
          <w:rFonts w:ascii="宋体" w:hAnsi="宋体" w:cs="宋体" w:eastAsia="宋体" w:hint="default"/>
          <w:w w:val="100"/>
          <w:sz w:val="21"/>
          <w:szCs w:val="21"/>
        </w:rPr>
        <w:t> </w:t>
      </w:r>
      <w:r>
        <w:rPr>
          <w:rFonts w:ascii="宋体" w:hAnsi="宋体" w:cs="宋体" w:eastAsia="宋体" w:hint="default"/>
          <w:spacing w:val="-3"/>
          <w:sz w:val="21"/>
          <w:szCs w:val="21"/>
        </w:rPr>
        <w:t>限制性股票激励计划授予、回购注销及第一个解锁期公司业绩条件达成、利润分配方案、重大关联交</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spacing w:val="-3"/>
          <w:sz w:val="21"/>
          <w:szCs w:val="21"/>
        </w:rPr>
        <w:t>易等改革发展和重大经营事项，以及独立董事报告、公司决算及定期报告、董事变更、高级管理人员</w:t>
      </w:r>
      <w:r>
        <w:rPr>
          <w:rFonts w:ascii="宋体" w:hAnsi="宋体" w:cs="宋体" w:eastAsia="宋体" w:hint="default"/>
          <w:spacing w:val="-9"/>
          <w:sz w:val="21"/>
          <w:szCs w:val="21"/>
        </w:rPr>
        <w:t> </w:t>
      </w:r>
      <w:r>
        <w:rPr>
          <w:rFonts w:ascii="宋体" w:hAnsi="宋体" w:cs="宋体" w:eastAsia="宋体" w:hint="default"/>
          <w:spacing w:val="-9"/>
          <w:sz w:val="21"/>
          <w:szCs w:val="21"/>
        </w:rPr>
      </w:r>
      <w:r>
        <w:rPr>
          <w:rFonts w:ascii="宋体" w:hAnsi="宋体" w:cs="宋体" w:eastAsia="宋体" w:hint="default"/>
          <w:sz w:val="21"/>
          <w:szCs w:val="21"/>
        </w:rPr>
        <w:t>考核及聘任、聘请会计师事务所等重要常规事项；并听取了公司关于 </w:t>
      </w:r>
      <w:r>
        <w:rPr>
          <w:rFonts w:ascii="宋体" w:hAnsi="宋体" w:cs="宋体" w:eastAsia="宋体" w:hint="default"/>
          <w:sz w:val="21"/>
          <w:szCs w:val="21"/>
        </w:rPr>
        <w:t>5G</w:t>
      </w:r>
      <w:r>
        <w:rPr>
          <w:rFonts w:ascii="宋体" w:hAnsi="宋体" w:cs="宋体" w:eastAsia="宋体" w:hint="default"/>
          <w:spacing w:val="-33"/>
          <w:sz w:val="21"/>
          <w:szCs w:val="21"/>
        </w:rPr>
        <w:t> </w:t>
      </w:r>
      <w:r>
        <w:rPr>
          <w:rFonts w:ascii="宋体" w:hAnsi="宋体" w:cs="宋体" w:eastAsia="宋体" w:hint="default"/>
          <w:sz w:val="21"/>
          <w:szCs w:val="21"/>
        </w:rPr>
        <w:t>相关事项、审计师关于年度</w:t>
      </w:r>
      <w:r>
        <w:rPr>
          <w:rFonts w:ascii="宋体" w:hAnsi="宋体" w:cs="宋体" w:eastAsia="宋体" w:hint="default"/>
          <w:w w:val="100"/>
          <w:sz w:val="21"/>
          <w:szCs w:val="21"/>
        </w:rPr>
        <w:t> </w:t>
      </w:r>
      <w:r>
        <w:rPr>
          <w:rFonts w:ascii="宋体" w:hAnsi="宋体" w:cs="宋体" w:eastAsia="宋体" w:hint="default"/>
          <w:spacing w:val="-3"/>
          <w:sz w:val="21"/>
          <w:szCs w:val="21"/>
        </w:rPr>
        <w:t>审计计划等情况汇报。所有独立董事均就上述审议事项发表了独立意见，就汇报事项以各自专业领域</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sz w:val="21"/>
          <w:szCs w:val="21"/>
        </w:rPr>
        <w:t>经验发表了意见与建议，对公司的规范运行、维护中小股东的合法权益发挥了重要作用。</w:t>
      </w:r>
    </w:p>
    <w:p>
      <w:pPr>
        <w:spacing w:line="240" w:lineRule="auto" w:before="0"/>
        <w:rPr>
          <w:rFonts w:ascii="宋体" w:hAnsi="宋体" w:cs="宋体" w:eastAsia="宋体" w:hint="default"/>
          <w:sz w:val="20"/>
          <w:szCs w:val="20"/>
        </w:rPr>
      </w:pPr>
    </w:p>
    <w:p>
      <w:pPr>
        <w:spacing w:line="177" w:lineRule="auto" w:before="149"/>
        <w:ind w:left="558" w:right="96" w:hanging="42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pacing w:val="-2"/>
          <w:sz w:val="21"/>
          <w:szCs w:val="21"/>
        </w:rPr>
        <w:t>四、董事会下设专门委员会在报告期内履行职责时所提出的重要意见和建议，存在异议事项的，应当</w:t>
      </w:r>
      <w:r>
        <w:rPr>
          <w:rFonts w:ascii="Microsoft JhengHei" w:hAnsi="Microsoft JhengHei" w:cs="Microsoft JhengHei" w:eastAsia="Microsoft JhengHei" w:hint="default"/>
          <w:b/>
          <w:bCs/>
          <w:spacing w:val="4"/>
          <w:sz w:val="21"/>
          <w:szCs w:val="21"/>
        </w:rPr>
        <w:t> </w:t>
      </w:r>
      <w:r>
        <w:rPr>
          <w:rFonts w:ascii="Microsoft JhengHei" w:hAnsi="Microsoft JhengHei" w:cs="Microsoft JhengHei" w:eastAsia="Microsoft JhengHei" w:hint="default"/>
          <w:b/>
          <w:bCs/>
          <w:spacing w:val="4"/>
          <w:sz w:val="21"/>
          <w:szCs w:val="21"/>
        </w:rPr>
      </w:r>
      <w:r>
        <w:rPr>
          <w:rFonts w:ascii="Microsoft JhengHei" w:hAnsi="Microsoft JhengHei" w:cs="Microsoft JhengHei" w:eastAsia="Microsoft JhengHei" w:hint="default"/>
          <w:b/>
          <w:bCs/>
          <w:sz w:val="21"/>
          <w:szCs w:val="21"/>
        </w:rPr>
        <w:t>披露具体情况</w:t>
      </w:r>
      <w:r>
        <w:rPr>
          <w:rFonts w:ascii="Microsoft JhengHei" w:hAnsi="Microsoft JhengHei" w:cs="Microsoft JhengHei" w:eastAsia="Microsoft JhengHei" w:hint="default"/>
          <w:sz w:val="21"/>
          <w:szCs w:val="21"/>
        </w:rPr>
      </w:r>
    </w:p>
    <w:p>
      <w:pPr>
        <w:spacing w:line="480" w:lineRule="exact" w:before="47"/>
        <w:ind w:left="558" w:right="96" w:firstLine="0"/>
        <w:jc w:val="left"/>
        <w:rPr>
          <w:rFonts w:ascii="宋体" w:hAnsi="宋体" w:cs="宋体" w:eastAsia="宋体" w:hint="default"/>
          <w:sz w:val="21"/>
          <w:szCs w:val="21"/>
        </w:rPr>
      </w:pPr>
      <w:r>
        <w:rPr>
          <w:rFonts w:ascii="宋体" w:hAnsi="宋体" w:cs="宋体" w:eastAsia="宋体" w:hint="default"/>
          <w:sz w:val="21"/>
          <w:szCs w:val="21"/>
        </w:rPr>
        <w:t>报告期内，董事会专门委员会对公司审议事项不存在异议，所有表决事项均获通过。</w:t>
      </w:r>
      <w:r>
        <w:rPr>
          <w:rFonts w:ascii="宋体" w:hAnsi="宋体" w:cs="宋体" w:eastAsia="宋体" w:hint="default"/>
          <w:w w:val="100"/>
          <w:sz w:val="21"/>
          <w:szCs w:val="21"/>
        </w:rPr>
        <w:t> </w:t>
      </w:r>
      <w:r>
        <w:rPr>
          <w:rFonts w:ascii="宋体" w:hAnsi="宋体" w:cs="宋体" w:eastAsia="宋体" w:hint="default"/>
          <w:spacing w:val="-3"/>
          <w:sz w:val="21"/>
          <w:szCs w:val="21"/>
        </w:rPr>
        <w:t>公司董事会下设发展战略委员会、提名委员会、薪酬与考核委员会、审计委员会共计四个专门委</w:t>
      </w:r>
    </w:p>
    <w:p>
      <w:pPr>
        <w:spacing w:before="18"/>
        <w:ind w:left="138" w:right="96" w:firstLine="0"/>
        <w:jc w:val="left"/>
        <w:rPr>
          <w:rFonts w:ascii="宋体" w:hAnsi="宋体" w:cs="宋体" w:eastAsia="宋体" w:hint="default"/>
          <w:sz w:val="21"/>
          <w:szCs w:val="21"/>
        </w:rPr>
      </w:pPr>
      <w:r>
        <w:rPr>
          <w:rFonts w:ascii="宋体" w:hAnsi="宋体" w:cs="宋体" w:eastAsia="宋体" w:hint="default"/>
          <w:sz w:val="21"/>
          <w:szCs w:val="21"/>
        </w:rPr>
        <w:t>员会。截至报告披露日，有关人员构成如下：</w:t>
      </w:r>
    </w:p>
    <w:p>
      <w:pPr>
        <w:spacing w:line="240" w:lineRule="auto" w:before="5"/>
        <w:rPr>
          <w:rFonts w:ascii="宋体" w:hAnsi="宋体" w:cs="宋体" w:eastAsia="宋体" w:hint="default"/>
          <w:sz w:val="12"/>
          <w:szCs w:val="12"/>
        </w:rPr>
      </w:pPr>
    </w:p>
    <w:tbl>
      <w:tblPr>
        <w:tblW w:w="0" w:type="auto"/>
        <w:jc w:val="left"/>
        <w:tblInd w:w="134" w:type="dxa"/>
        <w:tblLayout w:type="fixed"/>
        <w:tblCellMar>
          <w:top w:w="0" w:type="dxa"/>
          <w:left w:w="0" w:type="dxa"/>
          <w:bottom w:w="0" w:type="dxa"/>
          <w:right w:w="0" w:type="dxa"/>
        </w:tblCellMar>
        <w:tblLook w:val="01E0"/>
      </w:tblPr>
      <w:tblGrid>
        <w:gridCol w:w="2876"/>
        <w:gridCol w:w="1944"/>
        <w:gridCol w:w="4395"/>
      </w:tblGrid>
      <w:tr>
        <w:trPr>
          <w:trHeight w:val="521" w:hRule="exact"/>
        </w:trPr>
        <w:tc>
          <w:tcPr>
            <w:tcW w:w="28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9"/>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专门委员会</w:t>
            </w:r>
            <w:r>
              <w:rPr>
                <w:rFonts w:ascii="Microsoft JhengHei" w:hAnsi="Microsoft JhengHei" w:cs="Microsoft JhengHei" w:eastAsia="Microsoft JhengHei" w:hint="default"/>
                <w:sz w:val="21"/>
                <w:szCs w:val="21"/>
              </w:rPr>
            </w:r>
          </w:p>
        </w:tc>
        <w:tc>
          <w:tcPr>
            <w:tcW w:w="19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9"/>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主任</w:t>
            </w:r>
            <w:r>
              <w:rPr>
                <w:rFonts w:ascii="Microsoft JhengHei" w:hAnsi="Microsoft JhengHei" w:cs="Microsoft JhengHei" w:eastAsia="Microsoft JhengHei" w:hint="default"/>
                <w:sz w:val="21"/>
                <w:szCs w:val="21"/>
              </w:rPr>
            </w:r>
          </w:p>
        </w:tc>
        <w:tc>
          <w:tcPr>
            <w:tcW w:w="43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9"/>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成员</w:t>
            </w:r>
            <w:r>
              <w:rPr>
                <w:rFonts w:ascii="Microsoft JhengHei" w:hAnsi="Microsoft JhengHei" w:cs="Microsoft JhengHei" w:eastAsia="Microsoft JhengHei" w:hint="default"/>
                <w:sz w:val="21"/>
                <w:szCs w:val="21"/>
              </w:rPr>
            </w:r>
          </w:p>
        </w:tc>
      </w:tr>
      <w:tr>
        <w:trPr>
          <w:trHeight w:val="797"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发展战略委员会</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王晓初</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16"/>
              <w:ind w:left="1457" w:right="612" w:hanging="840"/>
              <w:jc w:val="left"/>
              <w:rPr>
                <w:rFonts w:ascii="宋体" w:hAnsi="宋体" w:cs="宋体" w:eastAsia="宋体" w:hint="default"/>
                <w:sz w:val="21"/>
                <w:szCs w:val="21"/>
              </w:rPr>
            </w:pPr>
            <w:r>
              <w:rPr>
                <w:rFonts w:ascii="宋体" w:hAnsi="宋体" w:cs="宋体" w:eastAsia="宋体" w:hint="default"/>
                <w:spacing w:val="-2"/>
                <w:sz w:val="21"/>
                <w:szCs w:val="21"/>
              </w:rPr>
              <w:t>尹兆君、卢山、王海峰、廖建文、</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张建锋、吕廷杰</w:t>
            </w:r>
          </w:p>
        </w:tc>
      </w:tr>
      <w:tr>
        <w:trPr>
          <w:trHeight w:val="521"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 w:right="0"/>
              <w:jc w:val="center"/>
              <w:rPr>
                <w:rFonts w:ascii="宋体" w:hAnsi="宋体" w:cs="宋体" w:eastAsia="宋体" w:hint="default"/>
                <w:sz w:val="21"/>
                <w:szCs w:val="21"/>
              </w:rPr>
            </w:pPr>
            <w:r>
              <w:rPr>
                <w:rFonts w:ascii="宋体" w:hAnsi="宋体" w:cs="宋体" w:eastAsia="宋体" w:hint="default"/>
                <w:sz w:val="21"/>
                <w:szCs w:val="21"/>
              </w:rPr>
              <w:t>提名委员会</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21"/>
                <w:szCs w:val="21"/>
              </w:rPr>
            </w:pPr>
            <w:r>
              <w:rPr>
                <w:rFonts w:ascii="宋体" w:hAnsi="宋体" w:cs="宋体" w:eastAsia="宋体" w:hint="default"/>
                <w:sz w:val="21"/>
                <w:szCs w:val="21"/>
              </w:rPr>
              <w:t>王晓初</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 w:right="0"/>
              <w:jc w:val="center"/>
              <w:rPr>
                <w:rFonts w:ascii="宋体" w:hAnsi="宋体" w:cs="宋体" w:eastAsia="宋体" w:hint="default"/>
                <w:sz w:val="21"/>
                <w:szCs w:val="21"/>
              </w:rPr>
            </w:pPr>
            <w:r>
              <w:rPr>
                <w:rFonts w:ascii="宋体" w:hAnsi="宋体" w:cs="宋体" w:eastAsia="宋体" w:hint="default"/>
                <w:sz w:val="21"/>
                <w:szCs w:val="21"/>
              </w:rPr>
              <w:t>尹兆君、冯士栋、吕廷杰、陈建新</w:t>
            </w:r>
          </w:p>
        </w:tc>
      </w:tr>
      <w:tr>
        <w:trPr>
          <w:trHeight w:val="523"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 w:right="0"/>
              <w:jc w:val="center"/>
              <w:rPr>
                <w:rFonts w:ascii="宋体" w:hAnsi="宋体" w:cs="宋体" w:eastAsia="宋体" w:hint="default"/>
                <w:sz w:val="21"/>
                <w:szCs w:val="21"/>
              </w:rPr>
            </w:pPr>
            <w:r>
              <w:rPr>
                <w:rFonts w:ascii="宋体" w:hAnsi="宋体" w:cs="宋体" w:eastAsia="宋体" w:hint="default"/>
                <w:sz w:val="21"/>
                <w:szCs w:val="21"/>
              </w:rPr>
              <w:t>薪酬与考核委员会</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21"/>
                <w:szCs w:val="21"/>
              </w:rPr>
            </w:pPr>
            <w:r>
              <w:rPr>
                <w:rFonts w:ascii="宋体" w:hAnsi="宋体" w:cs="宋体" w:eastAsia="宋体" w:hint="default"/>
                <w:sz w:val="21"/>
                <w:szCs w:val="21"/>
              </w:rPr>
              <w:t>冯士栋</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21"/>
                <w:szCs w:val="21"/>
              </w:rPr>
            </w:pPr>
            <w:r>
              <w:rPr>
                <w:rFonts w:ascii="宋体" w:hAnsi="宋体" w:cs="宋体" w:eastAsia="宋体" w:hint="default"/>
                <w:sz w:val="21"/>
                <w:szCs w:val="21"/>
              </w:rPr>
              <w:t>卢山、张建锋、吴晓根、吕廷杰</w:t>
            </w:r>
          </w:p>
        </w:tc>
      </w:tr>
      <w:tr>
        <w:trPr>
          <w:trHeight w:val="523"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 w:right="0"/>
              <w:jc w:val="center"/>
              <w:rPr>
                <w:rFonts w:ascii="宋体" w:hAnsi="宋体" w:cs="宋体" w:eastAsia="宋体" w:hint="default"/>
                <w:sz w:val="21"/>
                <w:szCs w:val="21"/>
              </w:rPr>
            </w:pPr>
            <w:r>
              <w:rPr>
                <w:rFonts w:ascii="宋体" w:hAnsi="宋体" w:cs="宋体" w:eastAsia="宋体" w:hint="default"/>
                <w:sz w:val="21"/>
                <w:szCs w:val="21"/>
              </w:rPr>
              <w:t>审计委员会</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21"/>
                <w:szCs w:val="21"/>
              </w:rPr>
            </w:pPr>
            <w:r>
              <w:rPr>
                <w:rFonts w:ascii="宋体" w:hAnsi="宋体" w:cs="宋体" w:eastAsia="宋体" w:hint="default"/>
                <w:sz w:val="21"/>
                <w:szCs w:val="21"/>
              </w:rPr>
              <w:t>吴晓根</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 w:right="0"/>
              <w:jc w:val="center"/>
              <w:rPr>
                <w:rFonts w:ascii="宋体" w:hAnsi="宋体" w:cs="宋体" w:eastAsia="宋体" w:hint="default"/>
                <w:sz w:val="21"/>
                <w:szCs w:val="21"/>
              </w:rPr>
            </w:pPr>
            <w:r>
              <w:rPr>
                <w:rFonts w:ascii="宋体" w:hAnsi="宋体" w:cs="宋体" w:eastAsia="宋体" w:hint="default"/>
                <w:sz w:val="21"/>
                <w:szCs w:val="21"/>
              </w:rPr>
              <w:t>尹兆君、冯士栋、陈建新、李福申</w:t>
            </w:r>
          </w:p>
        </w:tc>
      </w:tr>
    </w:tbl>
    <w:p>
      <w:pPr>
        <w:spacing w:line="240" w:lineRule="auto" w:before="9"/>
        <w:rPr>
          <w:rFonts w:ascii="宋体" w:hAnsi="宋体" w:cs="宋体" w:eastAsia="宋体" w:hint="default"/>
          <w:sz w:val="9"/>
          <w:szCs w:val="9"/>
        </w:rPr>
      </w:pPr>
    </w:p>
    <w:p>
      <w:pPr>
        <w:spacing w:line="314" w:lineRule="auto" w:before="36"/>
        <w:ind w:left="138" w:right="207" w:firstLine="420"/>
        <w:jc w:val="both"/>
        <w:rPr>
          <w:rFonts w:ascii="宋体" w:hAnsi="宋体" w:cs="宋体" w:eastAsia="宋体" w:hint="default"/>
          <w:sz w:val="21"/>
          <w:szCs w:val="21"/>
        </w:rPr>
      </w:pPr>
      <w:r>
        <w:rPr>
          <w:rFonts w:ascii="宋体" w:hAnsi="宋体" w:cs="宋体" w:eastAsia="宋体" w:hint="default"/>
          <w:spacing w:val="-3"/>
          <w:sz w:val="21"/>
          <w:szCs w:val="21"/>
        </w:rPr>
        <w:t>董事会各专门委员会均严格按照相应工作细则履行各项职能。</w:t>
      </w:r>
      <w:r>
        <w:rPr>
          <w:rFonts w:ascii="宋体" w:hAnsi="宋体" w:cs="宋体" w:eastAsia="宋体" w:hint="default"/>
          <w:spacing w:val="-3"/>
          <w:sz w:val="21"/>
          <w:szCs w:val="21"/>
        </w:rPr>
        <w:t>2019</w:t>
      </w:r>
      <w:r>
        <w:rPr>
          <w:rFonts w:ascii="宋体" w:hAnsi="宋体" w:cs="宋体" w:eastAsia="宋体" w:hint="default"/>
          <w:spacing w:val="-38"/>
          <w:sz w:val="21"/>
          <w:szCs w:val="21"/>
        </w:rPr>
        <w:t> </w:t>
      </w:r>
      <w:r>
        <w:rPr>
          <w:rFonts w:ascii="宋体" w:hAnsi="宋体" w:cs="宋体" w:eastAsia="宋体" w:hint="default"/>
          <w:spacing w:val="-8"/>
          <w:sz w:val="21"/>
          <w:szCs w:val="21"/>
        </w:rPr>
        <w:t>年，公司共召开</w:t>
      </w:r>
      <w:r>
        <w:rPr>
          <w:rFonts w:ascii="宋体" w:hAnsi="宋体" w:cs="宋体" w:eastAsia="宋体" w:hint="default"/>
          <w:spacing w:val="-33"/>
          <w:sz w:val="21"/>
          <w:szCs w:val="21"/>
        </w:rPr>
        <w:t> </w:t>
      </w:r>
      <w:r>
        <w:rPr>
          <w:rFonts w:ascii="宋体" w:hAnsi="宋体" w:cs="宋体" w:eastAsia="宋体" w:hint="default"/>
          <w:sz w:val="21"/>
          <w:szCs w:val="21"/>
        </w:rPr>
        <w:t>2</w:t>
      </w:r>
      <w:r>
        <w:rPr>
          <w:rFonts w:ascii="宋体" w:hAnsi="宋体" w:cs="宋体" w:eastAsia="宋体" w:hint="default"/>
          <w:spacing w:val="-35"/>
          <w:sz w:val="21"/>
          <w:szCs w:val="21"/>
        </w:rPr>
        <w:t> </w:t>
      </w:r>
      <w:r>
        <w:rPr>
          <w:rFonts w:ascii="宋体" w:hAnsi="宋体" w:cs="宋体" w:eastAsia="宋体" w:hint="default"/>
          <w:sz w:val="21"/>
          <w:szCs w:val="21"/>
        </w:rPr>
        <w:t>次发展战略</w:t>
      </w:r>
      <w:r>
        <w:rPr>
          <w:rFonts w:ascii="宋体" w:hAnsi="宋体" w:cs="宋体" w:eastAsia="宋体" w:hint="default"/>
          <w:w w:val="100"/>
          <w:sz w:val="21"/>
          <w:szCs w:val="21"/>
        </w:rPr>
        <w:t> </w:t>
      </w:r>
      <w:r>
        <w:rPr>
          <w:rFonts w:ascii="宋体" w:hAnsi="宋体" w:cs="宋体" w:eastAsia="宋体" w:hint="default"/>
          <w:sz w:val="21"/>
          <w:szCs w:val="21"/>
        </w:rPr>
        <w:t>委员会会议、</w:t>
      </w:r>
      <w:r>
        <w:rPr>
          <w:rFonts w:ascii="宋体" w:hAnsi="宋体" w:cs="宋体" w:eastAsia="宋体" w:hint="default"/>
          <w:sz w:val="21"/>
          <w:szCs w:val="21"/>
        </w:rPr>
        <w:t>4</w:t>
      </w:r>
      <w:r>
        <w:rPr>
          <w:rFonts w:ascii="宋体" w:hAnsi="宋体" w:cs="宋体" w:eastAsia="宋体" w:hint="default"/>
          <w:spacing w:val="-37"/>
          <w:sz w:val="21"/>
          <w:szCs w:val="21"/>
        </w:rPr>
        <w:t> </w:t>
      </w:r>
      <w:r>
        <w:rPr>
          <w:rFonts w:ascii="宋体" w:hAnsi="宋体" w:cs="宋体" w:eastAsia="宋体" w:hint="default"/>
          <w:sz w:val="21"/>
          <w:szCs w:val="21"/>
        </w:rPr>
        <w:t>次提名委员会会议、</w:t>
      </w:r>
      <w:r>
        <w:rPr>
          <w:rFonts w:ascii="宋体" w:hAnsi="宋体" w:cs="宋体" w:eastAsia="宋体" w:hint="default"/>
          <w:sz w:val="21"/>
          <w:szCs w:val="21"/>
        </w:rPr>
        <w:t>4</w:t>
      </w:r>
      <w:r>
        <w:rPr>
          <w:rFonts w:ascii="宋体" w:hAnsi="宋体" w:cs="宋体" w:eastAsia="宋体" w:hint="default"/>
          <w:spacing w:val="-34"/>
          <w:sz w:val="21"/>
          <w:szCs w:val="21"/>
        </w:rPr>
        <w:t> </w:t>
      </w:r>
      <w:r>
        <w:rPr>
          <w:rFonts w:ascii="宋体" w:hAnsi="宋体" w:cs="宋体" w:eastAsia="宋体" w:hint="default"/>
          <w:sz w:val="21"/>
          <w:szCs w:val="21"/>
        </w:rPr>
        <w:t>次审计委员会会议及</w:t>
      </w:r>
      <w:r>
        <w:rPr>
          <w:rFonts w:ascii="宋体" w:hAnsi="宋体" w:cs="宋体" w:eastAsia="宋体" w:hint="default"/>
          <w:spacing w:val="-34"/>
          <w:sz w:val="21"/>
          <w:szCs w:val="21"/>
        </w:rPr>
        <w:t> </w:t>
      </w:r>
      <w:r>
        <w:rPr>
          <w:rFonts w:ascii="宋体" w:hAnsi="宋体" w:cs="宋体" w:eastAsia="宋体" w:hint="default"/>
          <w:sz w:val="21"/>
          <w:szCs w:val="21"/>
        </w:rPr>
        <w:t>4</w:t>
      </w:r>
      <w:r>
        <w:rPr>
          <w:rFonts w:ascii="宋体" w:hAnsi="宋体" w:cs="宋体" w:eastAsia="宋体" w:hint="default"/>
          <w:spacing w:val="-37"/>
          <w:sz w:val="21"/>
          <w:szCs w:val="21"/>
        </w:rPr>
        <w:t> </w:t>
      </w:r>
      <w:r>
        <w:rPr>
          <w:rFonts w:ascii="宋体" w:hAnsi="宋体" w:cs="宋体" w:eastAsia="宋体" w:hint="default"/>
          <w:sz w:val="21"/>
          <w:szCs w:val="21"/>
        </w:rPr>
        <w:t>次薪酬与考核委员会会议。相关会议审</w:t>
      </w:r>
      <w:r>
        <w:rPr>
          <w:rFonts w:ascii="宋体" w:hAnsi="宋体" w:cs="宋体" w:eastAsia="宋体" w:hint="default"/>
          <w:w w:val="100"/>
          <w:sz w:val="21"/>
          <w:szCs w:val="21"/>
        </w:rPr>
        <w:t> </w:t>
      </w:r>
      <w:r>
        <w:rPr>
          <w:rFonts w:ascii="宋体" w:hAnsi="宋体" w:cs="宋体" w:eastAsia="宋体" w:hint="default"/>
          <w:spacing w:val="-2"/>
          <w:sz w:val="21"/>
          <w:szCs w:val="21"/>
        </w:rPr>
        <w:t>议了包括限制性股票激励计划授予、回购注销及第一个解锁期公司业绩条件达成、募集资金存放及使</w:t>
      </w:r>
      <w:r>
        <w:rPr>
          <w:rFonts w:ascii="宋体" w:hAnsi="宋体" w:cs="宋体" w:eastAsia="宋体" w:hint="default"/>
          <w:spacing w:val="-52"/>
          <w:sz w:val="21"/>
          <w:szCs w:val="21"/>
        </w:rPr>
        <w:t> </w:t>
      </w:r>
      <w:r>
        <w:rPr>
          <w:rFonts w:ascii="宋体" w:hAnsi="宋体" w:cs="宋体" w:eastAsia="宋体" w:hint="default"/>
          <w:spacing w:val="-52"/>
          <w:sz w:val="21"/>
          <w:szCs w:val="21"/>
        </w:rPr>
      </w:r>
      <w:r>
        <w:rPr>
          <w:rFonts w:ascii="宋体" w:hAnsi="宋体" w:cs="宋体" w:eastAsia="宋体" w:hint="default"/>
          <w:spacing w:val="-5"/>
          <w:sz w:val="21"/>
          <w:szCs w:val="21"/>
        </w:rPr>
        <w:t>用情况、投资计划、</w:t>
      </w:r>
      <w:r>
        <w:rPr>
          <w:rFonts w:ascii="宋体" w:hAnsi="宋体" w:cs="宋体" w:eastAsia="宋体" w:hint="default"/>
          <w:spacing w:val="-5"/>
          <w:sz w:val="21"/>
          <w:szCs w:val="21"/>
        </w:rPr>
        <w:t>5G </w:t>
      </w:r>
      <w:r>
        <w:rPr>
          <w:rFonts w:ascii="宋体" w:hAnsi="宋体" w:cs="宋体" w:eastAsia="宋体" w:hint="default"/>
          <w:spacing w:val="-3"/>
          <w:sz w:val="21"/>
          <w:szCs w:val="21"/>
        </w:rPr>
        <w:t>网络共建共享、重大关联交易等改革发展及公司重大经营事项，以及公司决算</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3"/>
          <w:sz w:val="21"/>
          <w:szCs w:val="21"/>
        </w:rPr>
        <w:t>及定期报告、董事变更、高级管理人员考核及聘任、聘请会计师事务所、审计委员会履职报告等重要</w:t>
      </w:r>
      <w:r>
        <w:rPr>
          <w:rFonts w:ascii="宋体" w:hAnsi="宋体" w:cs="宋体" w:eastAsia="宋体" w:hint="default"/>
          <w:spacing w:val="-11"/>
          <w:sz w:val="21"/>
          <w:szCs w:val="21"/>
        </w:rPr>
        <w:t> </w:t>
      </w:r>
      <w:r>
        <w:rPr>
          <w:rFonts w:ascii="宋体" w:hAnsi="宋体" w:cs="宋体" w:eastAsia="宋体" w:hint="default"/>
          <w:spacing w:val="-11"/>
          <w:sz w:val="21"/>
          <w:szCs w:val="21"/>
        </w:rPr>
      </w:r>
      <w:r>
        <w:rPr>
          <w:rFonts w:ascii="宋体" w:hAnsi="宋体" w:cs="宋体" w:eastAsia="宋体" w:hint="default"/>
          <w:sz w:val="21"/>
          <w:szCs w:val="21"/>
        </w:rPr>
        <w:t>常规事项；听取了公司关于 </w:t>
      </w:r>
      <w:r>
        <w:rPr>
          <w:rFonts w:ascii="宋体" w:hAnsi="宋体" w:cs="宋体" w:eastAsia="宋体" w:hint="default"/>
          <w:sz w:val="21"/>
          <w:szCs w:val="21"/>
        </w:rPr>
        <w:t>5G</w:t>
      </w:r>
      <w:r>
        <w:rPr>
          <w:rFonts w:ascii="宋体" w:hAnsi="宋体" w:cs="宋体" w:eastAsia="宋体" w:hint="default"/>
          <w:spacing w:val="-37"/>
          <w:sz w:val="21"/>
          <w:szCs w:val="21"/>
        </w:rPr>
        <w:t> </w:t>
      </w:r>
      <w:r>
        <w:rPr>
          <w:rFonts w:ascii="宋体" w:hAnsi="宋体" w:cs="宋体" w:eastAsia="宋体" w:hint="default"/>
          <w:sz w:val="21"/>
          <w:szCs w:val="21"/>
        </w:rPr>
        <w:t>相关事项、年度法治建设工作、内部审计及风险管理工作以及审计师</w:t>
      </w:r>
      <w:r>
        <w:rPr>
          <w:rFonts w:ascii="宋体" w:hAnsi="宋体" w:cs="宋体" w:eastAsia="宋体" w:hint="default"/>
          <w:w w:val="100"/>
          <w:sz w:val="21"/>
          <w:szCs w:val="21"/>
        </w:rPr>
        <w:t> </w:t>
      </w:r>
      <w:r>
        <w:rPr>
          <w:rFonts w:ascii="宋体" w:hAnsi="宋体" w:cs="宋体" w:eastAsia="宋体" w:hint="default"/>
          <w:spacing w:val="-3"/>
          <w:sz w:val="21"/>
          <w:szCs w:val="21"/>
        </w:rPr>
        <w:t>关于年度审计计划等事项的汇报。各专门委员会会议在对各项审议事项充分讨论基础上，将相关审议</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sz w:val="21"/>
          <w:szCs w:val="21"/>
        </w:rPr>
        <w:t>意见及决议情况提交董事会，为董事会科学决策提供有力支持。</w:t>
      </w:r>
    </w:p>
    <w:p>
      <w:pPr>
        <w:spacing w:line="240" w:lineRule="auto" w:before="1"/>
        <w:rPr>
          <w:rFonts w:ascii="宋体" w:hAnsi="宋体" w:cs="宋体" w:eastAsia="宋体" w:hint="default"/>
          <w:sz w:val="25"/>
          <w:szCs w:val="25"/>
        </w:rPr>
      </w:pPr>
    </w:p>
    <w:p>
      <w:pPr>
        <w:spacing w:line="352" w:lineRule="auto" w:before="0"/>
        <w:ind w:left="558" w:right="2136" w:hanging="420"/>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五、监事会发现公司存在风险的说明</w:t>
      </w:r>
      <w:r>
        <w:rPr>
          <w:rFonts w:ascii="Microsoft JhengHei" w:hAnsi="Microsoft JhengHei" w:cs="Microsoft JhengHei" w:eastAsia="Microsoft JhengHei" w:hint="default"/>
          <w:b/>
          <w:bCs/>
          <w:spacing w:val="-38"/>
          <w:sz w:val="21"/>
          <w:szCs w:val="21"/>
        </w:rPr>
        <w:t> </w:t>
      </w:r>
      <w:r>
        <w:rPr>
          <w:rFonts w:ascii="Microsoft JhengHei" w:hAnsi="Microsoft JhengHei" w:cs="Microsoft JhengHei" w:eastAsia="Microsoft JhengHei" w:hint="default"/>
          <w:b/>
          <w:bCs/>
          <w:spacing w:val="-38"/>
          <w:sz w:val="21"/>
          <w:szCs w:val="21"/>
        </w:rPr>
      </w:r>
      <w:r>
        <w:rPr>
          <w:rFonts w:ascii="宋体" w:hAnsi="宋体" w:cs="宋体" w:eastAsia="宋体" w:hint="default"/>
          <w:spacing w:val="-2"/>
          <w:sz w:val="21"/>
          <w:szCs w:val="21"/>
        </w:rPr>
        <w:t>公司监事会对报告期内的监督事项无异议。</w:t>
      </w:r>
    </w:p>
    <w:p>
      <w:pPr>
        <w:spacing w:after="0" w:line="352" w:lineRule="auto"/>
        <w:jc w:val="left"/>
        <w:rPr>
          <w:rFonts w:ascii="宋体" w:hAnsi="宋体" w:cs="宋体" w:eastAsia="宋体" w:hint="default"/>
          <w:sz w:val="21"/>
          <w:szCs w:val="21"/>
        </w:rPr>
        <w:sectPr>
          <w:footerReference w:type="default" r:id="rId78"/>
          <w:pgSz w:w="11910" w:h="16840"/>
          <w:pgMar w:footer="502" w:header="852" w:top="1340" w:bottom="700" w:left="1280" w:right="1060"/>
        </w:sectPr>
      </w:pPr>
    </w:p>
    <w:p>
      <w:pPr>
        <w:spacing w:line="240" w:lineRule="auto" w:before="2"/>
        <w:rPr>
          <w:rFonts w:ascii="宋体" w:hAnsi="宋体" w:cs="宋体" w:eastAsia="宋体" w:hint="default"/>
          <w:sz w:val="13"/>
          <w:szCs w:val="13"/>
        </w:rPr>
      </w:pPr>
    </w:p>
    <w:p>
      <w:pPr>
        <w:spacing w:before="36"/>
        <w:ind w:left="558" w:right="96" w:firstLine="0"/>
        <w:jc w:val="left"/>
        <w:rPr>
          <w:rFonts w:ascii="宋体" w:hAnsi="宋体" w:cs="宋体" w:eastAsia="宋体" w:hint="default"/>
          <w:sz w:val="21"/>
          <w:szCs w:val="21"/>
        </w:rPr>
      </w:pPr>
      <w:r>
        <w:rPr>
          <w:rFonts w:ascii="宋体" w:hAnsi="宋体" w:cs="宋体" w:eastAsia="宋体" w:hint="default"/>
          <w:spacing w:val="-3"/>
          <w:sz w:val="21"/>
          <w:szCs w:val="21"/>
        </w:rPr>
        <w:t>本公司监事会由</w:t>
      </w:r>
      <w:r>
        <w:rPr>
          <w:rFonts w:ascii="宋体" w:hAnsi="宋体" w:cs="宋体" w:eastAsia="宋体" w:hint="default"/>
          <w:spacing w:val="-3"/>
          <w:sz w:val="21"/>
          <w:szCs w:val="21"/>
        </w:rPr>
        <w:t>3</w:t>
      </w:r>
      <w:r>
        <w:rPr>
          <w:rFonts w:ascii="宋体" w:hAnsi="宋体" w:cs="宋体" w:eastAsia="宋体" w:hint="default"/>
          <w:spacing w:val="-3"/>
          <w:sz w:val="21"/>
          <w:szCs w:val="21"/>
        </w:rPr>
        <w:t>人组成，其中职工代表监事</w:t>
      </w:r>
      <w:r>
        <w:rPr>
          <w:rFonts w:ascii="宋体" w:hAnsi="宋体" w:cs="宋体" w:eastAsia="宋体" w:hint="default"/>
          <w:spacing w:val="-3"/>
          <w:sz w:val="21"/>
          <w:szCs w:val="21"/>
        </w:rPr>
        <w:t>1</w:t>
      </w:r>
      <w:r>
        <w:rPr>
          <w:rFonts w:ascii="宋体" w:hAnsi="宋体" w:cs="宋体" w:eastAsia="宋体" w:hint="default"/>
          <w:spacing w:val="-3"/>
          <w:sz w:val="21"/>
          <w:szCs w:val="21"/>
        </w:rPr>
        <w:t>人。监事会的人数和人员构成符合相关法律法规和</w:t>
      </w:r>
    </w:p>
    <w:p>
      <w:pPr>
        <w:spacing w:line="314" w:lineRule="auto" w:before="85"/>
        <w:ind w:left="138" w:right="96" w:firstLine="0"/>
        <w:jc w:val="left"/>
        <w:rPr>
          <w:rFonts w:ascii="宋体" w:hAnsi="宋体" w:cs="宋体" w:eastAsia="宋体" w:hint="default"/>
          <w:sz w:val="21"/>
          <w:szCs w:val="21"/>
        </w:rPr>
      </w:pPr>
      <w:r>
        <w:rPr>
          <w:rFonts w:ascii="宋体" w:hAnsi="宋体" w:cs="宋体" w:eastAsia="宋体" w:hint="default"/>
          <w:spacing w:val="-3"/>
          <w:sz w:val="21"/>
          <w:szCs w:val="21"/>
        </w:rPr>
        <w:t>《公司章程》的要求。公司监事会的职权包括审核董事会编制的定期报告、检查公司财务、监督公司</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sz w:val="21"/>
          <w:szCs w:val="21"/>
        </w:rPr>
        <w:t>董事及高级管理人员执行公司职务的行为，防止滥用权力或损害公司利益等。</w:t>
      </w:r>
    </w:p>
    <w:p>
      <w:pPr>
        <w:spacing w:line="314" w:lineRule="auto" w:before="140"/>
        <w:ind w:left="138" w:right="207" w:firstLine="420"/>
        <w:jc w:val="both"/>
        <w:rPr>
          <w:rFonts w:ascii="宋体" w:hAnsi="宋体" w:cs="宋体" w:eastAsia="宋体" w:hint="default"/>
          <w:sz w:val="21"/>
          <w:szCs w:val="21"/>
        </w:rPr>
      </w:pPr>
      <w:r>
        <w:rPr>
          <w:rFonts w:ascii="宋体" w:hAnsi="宋体" w:cs="宋体" w:eastAsia="宋体" w:hint="default"/>
          <w:spacing w:val="-3"/>
          <w:sz w:val="21"/>
          <w:szCs w:val="21"/>
        </w:rPr>
        <w:t>报告期内，监事会严格按照有关法律法规和本公司《公司章程》《监事会议事规则》的规定召开</w:t>
      </w:r>
      <w:r>
        <w:rPr>
          <w:rFonts w:ascii="宋体" w:hAnsi="宋体" w:cs="宋体" w:eastAsia="宋体" w:hint="default"/>
          <w:w w:val="100"/>
          <w:sz w:val="21"/>
          <w:szCs w:val="21"/>
        </w:rPr>
        <w:t> </w:t>
      </w:r>
      <w:r>
        <w:rPr>
          <w:rFonts w:ascii="宋体" w:hAnsi="宋体" w:cs="宋体" w:eastAsia="宋体" w:hint="default"/>
          <w:sz w:val="21"/>
          <w:szCs w:val="21"/>
        </w:rPr>
        <w:t>会议、出席股东大会和列席董事会，共召开</w:t>
      </w:r>
      <w:r>
        <w:rPr>
          <w:rFonts w:ascii="宋体" w:hAnsi="宋体" w:cs="宋体" w:eastAsia="宋体" w:hint="default"/>
          <w:sz w:val="21"/>
          <w:szCs w:val="21"/>
        </w:rPr>
        <w:t>6</w:t>
      </w:r>
      <w:r>
        <w:rPr>
          <w:rFonts w:ascii="宋体" w:hAnsi="宋体" w:cs="宋体" w:eastAsia="宋体" w:hint="default"/>
          <w:sz w:val="21"/>
          <w:szCs w:val="21"/>
        </w:rPr>
        <w:t>次监事会会议。公司监事能够认真履行自己的职责，依</w:t>
      </w:r>
      <w:r>
        <w:rPr>
          <w:rFonts w:ascii="宋体" w:hAnsi="宋体" w:cs="宋体" w:eastAsia="宋体" w:hint="default"/>
          <w:spacing w:val="-27"/>
          <w:sz w:val="21"/>
          <w:szCs w:val="21"/>
        </w:rPr>
        <w:t> </w:t>
      </w:r>
      <w:r>
        <w:rPr>
          <w:rFonts w:ascii="宋体" w:hAnsi="宋体" w:cs="宋体" w:eastAsia="宋体" w:hint="default"/>
          <w:spacing w:val="-27"/>
          <w:sz w:val="21"/>
          <w:szCs w:val="21"/>
        </w:rPr>
      </w:r>
      <w:r>
        <w:rPr>
          <w:rFonts w:ascii="宋体" w:hAnsi="宋体" w:cs="宋体" w:eastAsia="宋体" w:hint="default"/>
          <w:spacing w:val="-3"/>
          <w:sz w:val="21"/>
          <w:szCs w:val="21"/>
        </w:rPr>
        <w:t>法、独立地对公司生产经营情况、限制性股票激励计划相关事项、财务状况、关联交易情况、公司内</w:t>
      </w:r>
      <w:r>
        <w:rPr>
          <w:rFonts w:ascii="宋体" w:hAnsi="宋体" w:cs="宋体" w:eastAsia="宋体" w:hint="default"/>
          <w:spacing w:val="-15"/>
          <w:sz w:val="21"/>
          <w:szCs w:val="21"/>
        </w:rPr>
        <w:t> </w:t>
      </w:r>
      <w:r>
        <w:rPr>
          <w:rFonts w:ascii="宋体" w:hAnsi="宋体" w:cs="宋体" w:eastAsia="宋体" w:hint="default"/>
          <w:spacing w:val="-15"/>
          <w:sz w:val="21"/>
          <w:szCs w:val="21"/>
        </w:rPr>
      </w:r>
      <w:r>
        <w:rPr>
          <w:rFonts w:ascii="宋体" w:hAnsi="宋体" w:cs="宋体" w:eastAsia="宋体" w:hint="default"/>
          <w:spacing w:val="-3"/>
          <w:sz w:val="21"/>
          <w:szCs w:val="21"/>
        </w:rPr>
        <w:t>部控制评价报告、公司现金分红、非公开发行募集资金相关事项、公司董事和高级管理人员履行职责</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sz w:val="21"/>
          <w:szCs w:val="21"/>
        </w:rPr>
        <w:t>的合法性、合规性等事项进行监督，充分维护公司及全体股东的合法权益。</w:t>
      </w:r>
    </w:p>
    <w:p>
      <w:pPr>
        <w:spacing w:line="240" w:lineRule="auto" w:before="0"/>
        <w:rPr>
          <w:rFonts w:ascii="宋体" w:hAnsi="宋体" w:cs="宋体" w:eastAsia="宋体" w:hint="default"/>
          <w:sz w:val="20"/>
          <w:szCs w:val="20"/>
        </w:rPr>
      </w:pPr>
    </w:p>
    <w:p>
      <w:pPr>
        <w:spacing w:line="177" w:lineRule="auto" w:before="150"/>
        <w:ind w:left="558" w:right="96" w:hanging="42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pacing w:val="-2"/>
          <w:sz w:val="21"/>
          <w:szCs w:val="21"/>
        </w:rPr>
        <w:t>六、公司就其与控股股东在业务、人员、资产、机构、财务等方面存在的不能保证独立性、不能保持</w:t>
      </w:r>
      <w:r>
        <w:rPr>
          <w:rFonts w:ascii="Microsoft JhengHei" w:hAnsi="Microsoft JhengHei" w:cs="Microsoft JhengHei" w:eastAsia="Microsoft JhengHei" w:hint="default"/>
          <w:b/>
          <w:bCs/>
          <w:spacing w:val="3"/>
          <w:sz w:val="21"/>
          <w:szCs w:val="21"/>
        </w:rPr>
        <w:t> </w:t>
      </w:r>
      <w:r>
        <w:rPr>
          <w:rFonts w:ascii="Microsoft JhengHei" w:hAnsi="Microsoft JhengHei" w:cs="Microsoft JhengHei" w:eastAsia="Microsoft JhengHei" w:hint="default"/>
          <w:b/>
          <w:bCs/>
          <w:spacing w:val="3"/>
          <w:sz w:val="21"/>
          <w:szCs w:val="21"/>
        </w:rPr>
      </w:r>
      <w:r>
        <w:rPr>
          <w:rFonts w:ascii="Microsoft JhengHei" w:hAnsi="Microsoft JhengHei" w:cs="Microsoft JhengHei" w:eastAsia="Microsoft JhengHei" w:hint="default"/>
          <w:b/>
          <w:bCs/>
          <w:sz w:val="21"/>
          <w:szCs w:val="21"/>
        </w:rPr>
        <w:t>自主经营能力的情况说明</w:t>
      </w:r>
      <w:r>
        <w:rPr>
          <w:rFonts w:ascii="Microsoft JhengHei" w:hAnsi="Microsoft JhengHei" w:cs="Microsoft JhengHei" w:eastAsia="Microsoft JhengHei" w:hint="default"/>
          <w:sz w:val="21"/>
          <w:szCs w:val="21"/>
        </w:rPr>
      </w:r>
    </w:p>
    <w:p>
      <w:pPr>
        <w:spacing w:line="240" w:lineRule="auto" w:before="12"/>
        <w:rPr>
          <w:rFonts w:ascii="Microsoft JhengHei" w:hAnsi="Microsoft JhengHei" w:cs="Microsoft JhengHei" w:eastAsia="Microsoft JhengHei" w:hint="default"/>
          <w:b/>
          <w:bCs/>
          <w:sz w:val="10"/>
          <w:szCs w:val="10"/>
        </w:rPr>
      </w:pPr>
    </w:p>
    <w:p>
      <w:pPr>
        <w:spacing w:line="314" w:lineRule="auto" w:before="0"/>
        <w:ind w:left="138" w:right="96" w:firstLine="420"/>
        <w:jc w:val="left"/>
        <w:rPr>
          <w:rFonts w:ascii="宋体" w:hAnsi="宋体" w:cs="宋体" w:eastAsia="宋体" w:hint="default"/>
          <w:sz w:val="21"/>
          <w:szCs w:val="21"/>
        </w:rPr>
      </w:pPr>
      <w:r>
        <w:rPr>
          <w:rFonts w:ascii="宋体" w:hAnsi="宋体" w:cs="宋体" w:eastAsia="宋体" w:hint="default"/>
          <w:spacing w:val="-5"/>
          <w:sz w:val="21"/>
          <w:szCs w:val="21"/>
        </w:rPr>
        <w:t>公司控股股东严格规范自己行为，依法行使股东权利，承担义务。公司与控股股东在业务、人员、</w:t>
      </w:r>
      <w:r>
        <w:rPr>
          <w:rFonts w:ascii="宋体" w:hAnsi="宋体" w:cs="宋体" w:eastAsia="宋体" w:hint="default"/>
          <w:w w:val="100"/>
          <w:sz w:val="21"/>
          <w:szCs w:val="21"/>
        </w:rPr>
        <w:t> </w:t>
      </w:r>
      <w:r>
        <w:rPr>
          <w:rFonts w:ascii="宋体" w:hAnsi="宋体" w:cs="宋体" w:eastAsia="宋体" w:hint="default"/>
          <w:sz w:val="21"/>
          <w:szCs w:val="21"/>
        </w:rPr>
        <w:t>资产、机构、财务等方面均保持独立性。</w:t>
      </w:r>
    </w:p>
    <w:p>
      <w:pPr>
        <w:spacing w:line="297" w:lineRule="auto" w:before="140"/>
        <w:ind w:left="138" w:right="208" w:firstLine="420"/>
        <w:jc w:val="both"/>
        <w:rPr>
          <w:rFonts w:ascii="宋体" w:hAnsi="宋体" w:cs="宋体" w:eastAsia="宋体" w:hint="default"/>
          <w:sz w:val="21"/>
          <w:szCs w:val="21"/>
        </w:rPr>
      </w:pPr>
      <w:r>
        <w:rPr>
          <w:rFonts w:ascii="Times New Roman" w:hAnsi="Times New Roman" w:cs="Times New Roman" w:eastAsia="Times New Roman" w:hint="default"/>
          <w:spacing w:val="-4"/>
          <w:sz w:val="21"/>
          <w:szCs w:val="21"/>
        </w:rPr>
        <w:t>1</w:t>
      </w:r>
      <w:r>
        <w:rPr>
          <w:rFonts w:ascii="宋体" w:hAnsi="宋体" w:cs="宋体" w:eastAsia="宋体" w:hint="default"/>
          <w:spacing w:val="-4"/>
          <w:sz w:val="21"/>
          <w:szCs w:val="21"/>
        </w:rPr>
        <w:t>．由于本公司的经营范围仅限于通过联通</w:t>
      </w:r>
      <w:r>
        <w:rPr>
          <w:rFonts w:ascii="Times New Roman" w:hAnsi="Times New Roman" w:cs="Times New Roman" w:eastAsia="Times New Roman" w:hint="default"/>
          <w:spacing w:val="-4"/>
          <w:sz w:val="21"/>
          <w:szCs w:val="21"/>
        </w:rPr>
        <w:t>BVI</w:t>
      </w:r>
      <w:r>
        <w:rPr>
          <w:rFonts w:ascii="宋体" w:hAnsi="宋体" w:cs="宋体" w:eastAsia="宋体" w:hint="default"/>
          <w:spacing w:val="-4"/>
          <w:sz w:val="21"/>
          <w:szCs w:val="21"/>
        </w:rPr>
        <w:t>公司持有联通红筹公司的股权，而不直接经营任何</w:t>
      </w:r>
      <w:r>
        <w:rPr>
          <w:rFonts w:ascii="宋体" w:hAnsi="宋体" w:cs="宋体" w:eastAsia="宋体" w:hint="default"/>
          <w:w w:val="100"/>
          <w:sz w:val="21"/>
          <w:szCs w:val="21"/>
        </w:rPr>
        <w:t> </w:t>
      </w:r>
      <w:r>
        <w:rPr>
          <w:rFonts w:ascii="宋体" w:hAnsi="宋体" w:cs="宋体" w:eastAsia="宋体" w:hint="default"/>
          <w:sz w:val="21"/>
          <w:szCs w:val="21"/>
        </w:rPr>
        <w:t>其它业务，因此业务界面完全独立于控股股东。</w:t>
      </w:r>
    </w:p>
    <w:p>
      <w:pPr>
        <w:spacing w:line="304" w:lineRule="auto" w:before="154"/>
        <w:ind w:left="138" w:right="208"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．除公司现任高级副总裁、首席财务官、董事会秘书及总法律顾问在联通集团兼职外（有关兼</w:t>
      </w:r>
      <w:r>
        <w:rPr>
          <w:rFonts w:ascii="宋体" w:hAnsi="宋体" w:cs="宋体" w:eastAsia="宋体" w:hint="default"/>
          <w:w w:val="100"/>
          <w:sz w:val="21"/>
          <w:szCs w:val="21"/>
        </w:rPr>
        <w:t> </w:t>
      </w:r>
      <w:r>
        <w:rPr>
          <w:rFonts w:ascii="宋体" w:hAnsi="宋体" w:cs="宋体" w:eastAsia="宋体" w:hint="default"/>
          <w:spacing w:val="-3"/>
          <w:sz w:val="21"/>
          <w:szCs w:val="21"/>
        </w:rPr>
        <w:t>职情况详见第八节董事、监事、高级管理人员和员工情况之二（一）在股东单位任职情况），公司其</w:t>
      </w:r>
      <w:r>
        <w:rPr>
          <w:rFonts w:ascii="宋体" w:hAnsi="宋体" w:cs="宋体" w:eastAsia="宋体" w:hint="default"/>
          <w:spacing w:val="-11"/>
          <w:sz w:val="21"/>
          <w:szCs w:val="21"/>
        </w:rPr>
        <w:t> </w:t>
      </w:r>
      <w:r>
        <w:rPr>
          <w:rFonts w:ascii="宋体" w:hAnsi="宋体" w:cs="宋体" w:eastAsia="宋体" w:hint="default"/>
          <w:spacing w:val="-11"/>
          <w:sz w:val="21"/>
          <w:szCs w:val="21"/>
        </w:rPr>
      </w:r>
      <w:r>
        <w:rPr>
          <w:rFonts w:ascii="宋体" w:hAnsi="宋体" w:cs="宋体" w:eastAsia="宋体" w:hint="default"/>
          <w:sz w:val="21"/>
          <w:szCs w:val="21"/>
        </w:rPr>
        <w:t>他高级管理人员均相对控股股东独立配置。</w:t>
      </w:r>
    </w:p>
    <w:p>
      <w:pPr>
        <w:spacing w:before="148"/>
        <w:ind w:left="558" w:right="9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．公司所拥有的资产具有完备的所有权和管理权。</w:t>
      </w:r>
    </w:p>
    <w:p>
      <w:pPr>
        <w:spacing w:before="189"/>
        <w:ind w:left="558" w:right="9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．公司股东会、董事会、监事会和内部机构均相对控股股东独立运作。</w:t>
      </w:r>
    </w:p>
    <w:p>
      <w:pPr>
        <w:spacing w:line="297" w:lineRule="auto" w:before="189"/>
        <w:ind w:left="138" w:right="212"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．公司严格按照相关法规要求独立进行会计核算和财务管理，未发现控股股东非经营性占用公</w:t>
      </w:r>
      <w:r>
        <w:rPr>
          <w:rFonts w:ascii="宋体" w:hAnsi="宋体" w:cs="宋体" w:eastAsia="宋体" w:hint="default"/>
          <w:w w:val="100"/>
          <w:sz w:val="21"/>
          <w:szCs w:val="21"/>
        </w:rPr>
        <w:t> </w:t>
      </w:r>
      <w:r>
        <w:rPr>
          <w:rFonts w:ascii="宋体" w:hAnsi="宋体" w:cs="宋体" w:eastAsia="宋体" w:hint="default"/>
          <w:sz w:val="21"/>
          <w:szCs w:val="21"/>
        </w:rPr>
        <w:t>司资金和资产的情况。</w:t>
      </w:r>
    </w:p>
    <w:p>
      <w:pPr>
        <w:spacing w:line="240" w:lineRule="auto" w:before="9"/>
        <w:rPr>
          <w:rFonts w:ascii="宋体" w:hAnsi="宋体" w:cs="宋体" w:eastAsia="宋体" w:hint="default"/>
          <w:sz w:val="26"/>
          <w:szCs w:val="26"/>
        </w:rPr>
      </w:pPr>
    </w:p>
    <w:p>
      <w:pPr>
        <w:spacing w:line="274" w:lineRule="exact" w:before="0"/>
        <w:ind w:left="138" w:right="96" w:firstLine="0"/>
        <w:jc w:val="left"/>
        <w:rPr>
          <w:rFonts w:ascii="宋体" w:hAnsi="宋体" w:cs="宋体" w:eastAsia="宋体" w:hint="default"/>
          <w:sz w:val="21"/>
          <w:szCs w:val="21"/>
        </w:rPr>
      </w:pPr>
      <w:r>
        <w:rPr>
          <w:rFonts w:ascii="宋体" w:hAnsi="宋体" w:cs="宋体" w:eastAsia="宋体" w:hint="default"/>
          <w:sz w:val="21"/>
          <w:szCs w:val="21"/>
        </w:rPr>
        <w:t>存在同业竞争的，公司相应的解决措施、工作进度及后续工作计划</w:t>
      </w:r>
    </w:p>
    <w:p>
      <w:pPr>
        <w:tabs>
          <w:tab w:pos="981" w:val="left" w:leader="none"/>
        </w:tabs>
        <w:spacing w:line="274" w:lineRule="exact" w:before="0"/>
        <w:ind w:left="138" w:right="96" w:firstLine="0"/>
        <w:jc w:val="left"/>
        <w:rPr>
          <w:rFonts w:ascii="宋体" w:hAnsi="宋体" w:cs="宋体" w:eastAsia="宋体" w:hint="default"/>
          <w:sz w:val="21"/>
          <w:szCs w:val="21"/>
        </w:rPr>
      </w:pPr>
      <w:r>
        <w:rPr>
          <w:rFonts w:ascii="宋体" w:hAnsi="宋体" w:cs="宋体" w:eastAsia="宋体" w:hint="default"/>
          <w:sz w:val="21"/>
          <w:szCs w:val="21"/>
        </w:rPr>
        <w:t>□适用</w:t>
        <w:tab/>
        <w:t>√不适用</w:t>
      </w:r>
    </w:p>
    <w:p>
      <w:pPr>
        <w:spacing w:line="240" w:lineRule="auto" w:before="2"/>
        <w:rPr>
          <w:rFonts w:ascii="宋体" w:hAnsi="宋体" w:cs="宋体" w:eastAsia="宋体" w:hint="default"/>
          <w:sz w:val="20"/>
          <w:szCs w:val="20"/>
        </w:rPr>
      </w:pPr>
    </w:p>
    <w:p>
      <w:pPr>
        <w:spacing w:before="0"/>
        <w:ind w:left="138" w:right="96"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七、报告期内对高级管理人员的考评机制，以及激励机制的建立、实施情况</w:t>
      </w:r>
      <w:r>
        <w:rPr>
          <w:rFonts w:ascii="Microsoft JhengHei" w:hAnsi="Microsoft JhengHei" w:cs="Microsoft JhengHei" w:eastAsia="Microsoft JhengHei" w:hint="default"/>
          <w:sz w:val="21"/>
          <w:szCs w:val="21"/>
        </w:rPr>
      </w:r>
    </w:p>
    <w:p>
      <w:pPr>
        <w:spacing w:line="240" w:lineRule="auto" w:before="7"/>
        <w:rPr>
          <w:rFonts w:ascii="Microsoft JhengHei" w:hAnsi="Microsoft JhengHei" w:cs="Microsoft JhengHei" w:eastAsia="Microsoft JhengHei" w:hint="default"/>
          <w:b/>
          <w:bCs/>
          <w:sz w:val="10"/>
          <w:szCs w:val="10"/>
        </w:rPr>
      </w:pPr>
    </w:p>
    <w:p>
      <w:pPr>
        <w:spacing w:line="314" w:lineRule="auto" w:before="0"/>
        <w:ind w:left="138" w:right="213" w:firstLine="420"/>
        <w:jc w:val="both"/>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69"/>
          <w:sz w:val="21"/>
          <w:szCs w:val="21"/>
        </w:rPr>
        <w:t> </w:t>
      </w:r>
      <w:r>
        <w:rPr>
          <w:rFonts w:ascii="宋体" w:hAnsi="宋体" w:cs="宋体" w:eastAsia="宋体" w:hint="default"/>
          <w:sz w:val="21"/>
          <w:szCs w:val="21"/>
        </w:rPr>
        <w:t>年度，公司依据业绩合同及经营业绩完成情况，对公司高级管理人员进行履职考核，并依</w:t>
      </w:r>
      <w:r>
        <w:rPr>
          <w:rFonts w:ascii="宋体" w:hAnsi="宋体" w:cs="宋体" w:eastAsia="宋体" w:hint="default"/>
          <w:w w:val="100"/>
          <w:sz w:val="21"/>
          <w:szCs w:val="21"/>
        </w:rPr>
        <w:t> </w:t>
      </w:r>
      <w:r>
        <w:rPr>
          <w:rFonts w:ascii="宋体" w:hAnsi="宋体" w:cs="宋体" w:eastAsia="宋体" w:hint="default"/>
          <w:sz w:val="21"/>
          <w:szCs w:val="21"/>
        </w:rPr>
        <w:t>据业绩考核办法确定公司高级管理人员薪酬水平。</w:t>
      </w:r>
    </w:p>
    <w:p>
      <w:pPr>
        <w:spacing w:line="240" w:lineRule="auto" w:before="4"/>
        <w:rPr>
          <w:rFonts w:ascii="宋体" w:hAnsi="宋体" w:cs="宋体" w:eastAsia="宋体" w:hint="default"/>
          <w:sz w:val="24"/>
          <w:szCs w:val="24"/>
        </w:rPr>
      </w:pPr>
    </w:p>
    <w:p>
      <w:pPr>
        <w:spacing w:line="350" w:lineRule="auto" w:before="0"/>
        <w:ind w:left="558" w:right="96" w:hanging="420"/>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八、是否披露内部控制自我评价报告</w:t>
      </w:r>
      <w:r>
        <w:rPr>
          <w:rFonts w:ascii="Microsoft JhengHei" w:hAnsi="Microsoft JhengHei" w:cs="Microsoft JhengHei" w:eastAsia="Microsoft JhengHei" w:hint="default"/>
          <w:b/>
          <w:bCs/>
          <w:spacing w:val="-38"/>
          <w:sz w:val="21"/>
          <w:szCs w:val="21"/>
        </w:rPr>
        <w:t> </w:t>
      </w:r>
      <w:r>
        <w:rPr>
          <w:rFonts w:ascii="Microsoft JhengHei" w:hAnsi="Microsoft JhengHei" w:cs="Microsoft JhengHei" w:eastAsia="Microsoft JhengHei" w:hint="default"/>
          <w:b/>
          <w:bCs/>
          <w:spacing w:val="-38"/>
          <w:sz w:val="21"/>
          <w:szCs w:val="21"/>
        </w:rPr>
      </w:r>
      <w:r>
        <w:rPr>
          <w:rFonts w:ascii="宋体" w:hAnsi="宋体" w:cs="宋体" w:eastAsia="宋体" w:hint="default"/>
          <w:spacing w:val="-3"/>
          <w:sz w:val="21"/>
          <w:szCs w:val="21"/>
        </w:rPr>
        <w:t>根据《企业内部控制基本规范》及其配套指引的规定和其他内部控制监管要求（以下简称企业内</w:t>
      </w:r>
    </w:p>
    <w:p>
      <w:pPr>
        <w:spacing w:line="314" w:lineRule="auto" w:before="0"/>
        <w:ind w:left="138" w:right="96" w:firstLine="0"/>
        <w:jc w:val="left"/>
        <w:rPr>
          <w:rFonts w:ascii="宋体" w:hAnsi="宋体" w:cs="宋体" w:eastAsia="宋体" w:hint="default"/>
          <w:sz w:val="21"/>
          <w:szCs w:val="21"/>
        </w:rPr>
      </w:pPr>
      <w:r>
        <w:rPr>
          <w:rFonts w:ascii="宋体" w:hAnsi="宋体" w:cs="宋体" w:eastAsia="宋体" w:hint="default"/>
          <w:spacing w:val="-2"/>
          <w:sz w:val="21"/>
          <w:szCs w:val="21"/>
        </w:rPr>
        <w:t>部控制规范体系），结合公司内部控制制度和评价办法，在内部控制日常监督和专项监督的基础上，</w:t>
      </w:r>
      <w:r>
        <w:rPr>
          <w:rFonts w:ascii="宋体" w:hAnsi="宋体" w:cs="宋体" w:eastAsia="宋体" w:hint="default"/>
          <w:spacing w:val="-24"/>
          <w:sz w:val="21"/>
          <w:szCs w:val="21"/>
        </w:rPr>
        <w:t> </w:t>
      </w:r>
      <w:r>
        <w:rPr>
          <w:rFonts w:ascii="宋体" w:hAnsi="宋体" w:cs="宋体" w:eastAsia="宋体" w:hint="default"/>
          <w:spacing w:val="-24"/>
          <w:sz w:val="21"/>
          <w:szCs w:val="21"/>
        </w:rPr>
      </w:r>
      <w:r>
        <w:rPr>
          <w:rFonts w:ascii="宋体" w:hAnsi="宋体" w:cs="宋体" w:eastAsia="宋体" w:hint="default"/>
          <w:sz w:val="21"/>
          <w:szCs w:val="21"/>
        </w:rPr>
        <w:t>我们对公司</w:t>
      </w:r>
      <w:r>
        <w:rPr>
          <w:rFonts w:ascii="宋体" w:hAnsi="宋体" w:cs="宋体" w:eastAsia="宋体" w:hint="default"/>
          <w:sz w:val="21"/>
          <w:szCs w:val="21"/>
        </w:rPr>
        <w:t>2019</w:t>
      </w:r>
      <w:r>
        <w:rPr>
          <w:rFonts w:ascii="宋体" w:hAnsi="宋体" w:cs="宋体" w:eastAsia="宋体" w:hint="default"/>
          <w:sz w:val="21"/>
          <w:szCs w:val="21"/>
        </w:rPr>
        <w:t>年</w:t>
      </w:r>
      <w:r>
        <w:rPr>
          <w:rFonts w:ascii="宋体" w:hAnsi="宋体" w:cs="宋体" w:eastAsia="宋体" w:hint="default"/>
          <w:sz w:val="21"/>
          <w:szCs w:val="21"/>
        </w:rPr>
        <w:t>12</w:t>
      </w:r>
      <w:r>
        <w:rPr>
          <w:rFonts w:ascii="宋体" w:hAnsi="宋体" w:cs="宋体" w:eastAsia="宋体" w:hint="default"/>
          <w:sz w:val="21"/>
          <w:szCs w:val="21"/>
        </w:rPr>
        <w:t>月</w:t>
      </w:r>
      <w:r>
        <w:rPr>
          <w:rFonts w:ascii="宋体" w:hAnsi="宋体" w:cs="宋体" w:eastAsia="宋体" w:hint="default"/>
          <w:sz w:val="21"/>
          <w:szCs w:val="21"/>
        </w:rPr>
        <w:t>31</w:t>
      </w:r>
      <w:r>
        <w:rPr>
          <w:rFonts w:ascii="宋体" w:hAnsi="宋体" w:cs="宋体" w:eastAsia="宋体" w:hint="default"/>
          <w:sz w:val="21"/>
          <w:szCs w:val="21"/>
        </w:rPr>
        <w:t>日（内部控制评价报告基准日）的内部控制有效性进行了评价。</w:t>
      </w:r>
    </w:p>
    <w:p>
      <w:pPr>
        <w:spacing w:before="140"/>
        <w:ind w:left="558" w:right="96" w:firstLine="0"/>
        <w:jc w:val="left"/>
        <w:rPr>
          <w:rFonts w:ascii="宋体" w:hAnsi="宋体" w:cs="宋体" w:eastAsia="宋体" w:hint="default"/>
          <w:sz w:val="21"/>
          <w:szCs w:val="21"/>
        </w:rPr>
      </w:pPr>
      <w:r>
        <w:rPr>
          <w:rFonts w:ascii="宋体" w:hAnsi="宋体" w:cs="宋体" w:eastAsia="宋体" w:hint="default"/>
          <w:sz w:val="21"/>
          <w:szCs w:val="21"/>
        </w:rPr>
        <w:t>公司《</w:t>
      </w:r>
      <w:r>
        <w:rPr>
          <w:rFonts w:ascii="宋体" w:hAnsi="宋体" w:cs="宋体" w:eastAsia="宋体" w:hint="default"/>
          <w:sz w:val="21"/>
          <w:szCs w:val="21"/>
        </w:rPr>
        <w:t>2019</w:t>
      </w:r>
      <w:r>
        <w:rPr>
          <w:rFonts w:ascii="宋体" w:hAnsi="宋体" w:cs="宋体" w:eastAsia="宋体" w:hint="default"/>
          <w:sz w:val="21"/>
          <w:szCs w:val="21"/>
        </w:rPr>
        <w:t>年度内部控制评价报告》有关内部控制自我评价的结论如下：</w:t>
      </w:r>
    </w:p>
    <w:p>
      <w:pPr>
        <w:spacing w:after="0"/>
        <w:jc w:val="left"/>
        <w:rPr>
          <w:rFonts w:ascii="宋体" w:hAnsi="宋体" w:cs="宋体" w:eastAsia="宋体" w:hint="default"/>
          <w:sz w:val="21"/>
          <w:szCs w:val="21"/>
        </w:rPr>
        <w:sectPr>
          <w:footerReference w:type="default" r:id="rId79"/>
          <w:pgSz w:w="11910" w:h="16840"/>
          <w:pgMar w:footer="502" w:header="852" w:top="1340" w:bottom="700" w:left="1280" w:right="1060"/>
        </w:sectPr>
      </w:pPr>
    </w:p>
    <w:p>
      <w:pPr>
        <w:spacing w:line="240" w:lineRule="auto" w:before="2"/>
        <w:rPr>
          <w:rFonts w:ascii="宋体" w:hAnsi="宋体" w:cs="宋体" w:eastAsia="宋体" w:hint="default"/>
          <w:sz w:val="13"/>
          <w:szCs w:val="13"/>
        </w:rPr>
      </w:pPr>
    </w:p>
    <w:p>
      <w:pPr>
        <w:spacing w:line="314" w:lineRule="auto" w:before="36"/>
        <w:ind w:left="138" w:right="128" w:firstLine="420"/>
        <w:jc w:val="both"/>
        <w:rPr>
          <w:rFonts w:ascii="宋体" w:hAnsi="宋体" w:cs="宋体" w:eastAsia="宋体" w:hint="default"/>
          <w:sz w:val="21"/>
          <w:szCs w:val="21"/>
        </w:rPr>
      </w:pPr>
      <w:r>
        <w:rPr>
          <w:rFonts w:ascii="宋体" w:hAnsi="宋体" w:cs="宋体" w:eastAsia="宋体" w:hint="default"/>
          <w:spacing w:val="-3"/>
          <w:sz w:val="21"/>
          <w:szCs w:val="21"/>
        </w:rPr>
        <w:t>根据公司财务报告内部控制重大缺陷的认定情况，于内部控制评价报告基准日，不存在财务报告</w:t>
      </w:r>
      <w:r>
        <w:rPr>
          <w:rFonts w:ascii="宋体" w:hAnsi="宋体" w:cs="宋体" w:eastAsia="宋体" w:hint="default"/>
          <w:w w:val="100"/>
          <w:sz w:val="21"/>
          <w:szCs w:val="21"/>
        </w:rPr>
        <w:t> </w:t>
      </w:r>
      <w:r>
        <w:rPr>
          <w:rFonts w:ascii="宋体" w:hAnsi="宋体" w:cs="宋体" w:eastAsia="宋体" w:hint="default"/>
          <w:spacing w:val="-3"/>
          <w:sz w:val="21"/>
          <w:szCs w:val="21"/>
        </w:rPr>
        <w:t>内部控制重大缺陷，董事会认为，公司已按照企业内部控制规范体系和相关规定的要求在所有重大方</w:t>
      </w:r>
      <w:r>
        <w:rPr>
          <w:rFonts w:ascii="宋体" w:hAnsi="宋体" w:cs="宋体" w:eastAsia="宋体" w:hint="default"/>
          <w:spacing w:val="-9"/>
          <w:sz w:val="21"/>
          <w:szCs w:val="21"/>
        </w:rPr>
        <w:t> </w:t>
      </w:r>
      <w:r>
        <w:rPr>
          <w:rFonts w:ascii="宋体" w:hAnsi="宋体" w:cs="宋体" w:eastAsia="宋体" w:hint="default"/>
          <w:spacing w:val="-9"/>
          <w:sz w:val="21"/>
          <w:szCs w:val="21"/>
        </w:rPr>
      </w:r>
      <w:r>
        <w:rPr>
          <w:rFonts w:ascii="宋体" w:hAnsi="宋体" w:cs="宋体" w:eastAsia="宋体" w:hint="default"/>
          <w:sz w:val="21"/>
          <w:szCs w:val="21"/>
        </w:rPr>
        <w:t>面保持了有效的财务报告内部控制。</w:t>
      </w:r>
    </w:p>
    <w:p>
      <w:pPr>
        <w:spacing w:line="314" w:lineRule="auto" w:before="140"/>
        <w:ind w:left="138" w:right="128" w:firstLine="420"/>
        <w:jc w:val="both"/>
        <w:rPr>
          <w:rFonts w:ascii="宋体" w:hAnsi="宋体" w:cs="宋体" w:eastAsia="宋体" w:hint="default"/>
          <w:sz w:val="21"/>
          <w:szCs w:val="21"/>
        </w:rPr>
      </w:pPr>
      <w:r>
        <w:rPr>
          <w:rFonts w:ascii="宋体" w:hAnsi="宋体" w:cs="宋体" w:eastAsia="宋体" w:hint="default"/>
          <w:spacing w:val="-3"/>
          <w:sz w:val="21"/>
          <w:szCs w:val="21"/>
        </w:rPr>
        <w:t>根据公司非财务报告内部控制重大缺陷认定情况，于内部控制评价报告基准日，公司未发现非财</w:t>
      </w:r>
      <w:r>
        <w:rPr>
          <w:rFonts w:ascii="宋体" w:hAnsi="宋体" w:cs="宋体" w:eastAsia="宋体" w:hint="default"/>
          <w:w w:val="100"/>
          <w:sz w:val="21"/>
          <w:szCs w:val="21"/>
        </w:rPr>
        <w:t> </w:t>
      </w:r>
      <w:r>
        <w:rPr>
          <w:rFonts w:ascii="宋体" w:hAnsi="宋体" w:cs="宋体" w:eastAsia="宋体" w:hint="default"/>
          <w:sz w:val="21"/>
          <w:szCs w:val="21"/>
        </w:rPr>
        <w:t>务报告内部控制重大缺陷。</w:t>
      </w:r>
    </w:p>
    <w:p>
      <w:pPr>
        <w:spacing w:line="314" w:lineRule="auto" w:before="140"/>
        <w:ind w:left="138" w:right="143" w:firstLine="420"/>
        <w:jc w:val="both"/>
        <w:rPr>
          <w:rFonts w:ascii="宋体" w:hAnsi="宋体" w:cs="宋体" w:eastAsia="宋体" w:hint="default"/>
          <w:sz w:val="21"/>
          <w:szCs w:val="21"/>
        </w:rPr>
      </w:pPr>
      <w:r>
        <w:rPr>
          <w:rFonts w:ascii="宋体" w:hAnsi="宋体" w:cs="宋体" w:eastAsia="宋体" w:hint="default"/>
          <w:spacing w:val="2"/>
          <w:sz w:val="21"/>
          <w:szCs w:val="21"/>
        </w:rPr>
        <w:t>自内部控制评价报告基准日至内部控制评价报告发出日之间未发生影响内部控制有效性评价结</w:t>
      </w:r>
      <w:r>
        <w:rPr>
          <w:rFonts w:ascii="宋体" w:hAnsi="宋体" w:cs="宋体" w:eastAsia="宋体" w:hint="default"/>
          <w:w w:val="100"/>
          <w:sz w:val="21"/>
          <w:szCs w:val="21"/>
        </w:rPr>
        <w:t> </w:t>
      </w:r>
      <w:r>
        <w:rPr>
          <w:rFonts w:ascii="宋体" w:hAnsi="宋体" w:cs="宋体" w:eastAsia="宋体" w:hint="default"/>
          <w:sz w:val="21"/>
          <w:szCs w:val="21"/>
        </w:rPr>
        <w:t>论的因素。</w:t>
      </w:r>
    </w:p>
    <w:p>
      <w:pPr>
        <w:spacing w:line="314" w:lineRule="auto" w:before="140"/>
        <w:ind w:left="138" w:right="129" w:firstLine="420"/>
        <w:jc w:val="both"/>
        <w:rPr>
          <w:rFonts w:ascii="宋体" w:hAnsi="宋体" w:cs="宋体" w:eastAsia="宋体" w:hint="default"/>
          <w:sz w:val="21"/>
          <w:szCs w:val="21"/>
        </w:rPr>
      </w:pPr>
      <w:r>
        <w:rPr>
          <w:rFonts w:ascii="宋体" w:hAnsi="宋体" w:cs="宋体" w:eastAsia="宋体" w:hint="default"/>
          <w:spacing w:val="-3"/>
          <w:sz w:val="21"/>
          <w:szCs w:val="21"/>
        </w:rPr>
        <w:t>本公司聘请的毕马威华振会计师事务所（特殊普通合伙）出具的内部控制审计意见与公司对内部</w:t>
      </w:r>
      <w:r>
        <w:rPr>
          <w:rFonts w:ascii="宋体" w:hAnsi="宋体" w:cs="宋体" w:eastAsia="宋体" w:hint="default"/>
          <w:w w:val="100"/>
          <w:sz w:val="21"/>
          <w:szCs w:val="21"/>
        </w:rPr>
        <w:t> </w:t>
      </w:r>
      <w:r>
        <w:rPr>
          <w:rFonts w:ascii="宋体" w:hAnsi="宋体" w:cs="宋体" w:eastAsia="宋体" w:hint="default"/>
          <w:sz w:val="21"/>
          <w:szCs w:val="21"/>
        </w:rPr>
        <w:t>控制有效性的评价结论一致。</w:t>
      </w:r>
    </w:p>
    <w:p>
      <w:pPr>
        <w:spacing w:before="140"/>
        <w:ind w:left="558" w:right="0" w:firstLine="0"/>
        <w:jc w:val="left"/>
        <w:rPr>
          <w:rFonts w:ascii="宋体" w:hAnsi="宋体" w:cs="宋体" w:eastAsia="宋体" w:hint="default"/>
          <w:sz w:val="21"/>
          <w:szCs w:val="21"/>
        </w:rPr>
      </w:pPr>
      <w:r>
        <w:rPr>
          <w:rFonts w:ascii="宋体" w:hAnsi="宋体" w:cs="宋体" w:eastAsia="宋体" w:hint="default"/>
          <w:spacing w:val="18"/>
          <w:sz w:val="21"/>
          <w:szCs w:val="21"/>
        </w:rPr>
        <w:t>公司《</w:t>
      </w:r>
      <w:r>
        <w:rPr>
          <w:rFonts w:ascii="宋体" w:hAnsi="宋体" w:cs="宋体" w:eastAsia="宋体" w:hint="default"/>
          <w:spacing w:val="-76"/>
          <w:sz w:val="21"/>
          <w:szCs w:val="21"/>
        </w:rPr>
        <w:t> </w:t>
      </w:r>
      <w:r>
        <w:rPr>
          <w:rFonts w:ascii="宋体" w:hAnsi="宋体" w:cs="宋体" w:eastAsia="宋体" w:hint="default"/>
          <w:sz w:val="21"/>
          <w:szCs w:val="21"/>
        </w:rPr>
        <w:t>2019</w:t>
      </w:r>
      <w:r>
        <w:rPr>
          <w:rFonts w:ascii="宋体" w:hAnsi="宋体" w:cs="宋体" w:eastAsia="宋体" w:hint="default"/>
          <w:spacing w:val="-76"/>
          <w:sz w:val="21"/>
          <w:szCs w:val="21"/>
        </w:rPr>
        <w:t> </w:t>
      </w:r>
      <w:r>
        <w:rPr>
          <w:rFonts w:ascii="宋体" w:hAnsi="宋体" w:cs="宋体" w:eastAsia="宋体" w:hint="default"/>
          <w:sz w:val="21"/>
          <w:szCs w:val="21"/>
        </w:rPr>
        <w:t>年</w:t>
      </w:r>
      <w:r>
        <w:rPr>
          <w:rFonts w:ascii="宋体" w:hAnsi="宋体" w:cs="宋体" w:eastAsia="宋体" w:hint="default"/>
          <w:spacing w:val="-76"/>
          <w:sz w:val="21"/>
          <w:szCs w:val="21"/>
        </w:rPr>
        <w:t> </w:t>
      </w:r>
      <w:r>
        <w:rPr>
          <w:rFonts w:ascii="宋体" w:hAnsi="宋体" w:cs="宋体" w:eastAsia="宋体" w:hint="default"/>
          <w:sz w:val="21"/>
          <w:szCs w:val="21"/>
        </w:rPr>
        <w:t>度</w:t>
      </w:r>
      <w:r>
        <w:rPr>
          <w:rFonts w:ascii="宋体" w:hAnsi="宋体" w:cs="宋体" w:eastAsia="宋体" w:hint="default"/>
          <w:spacing w:val="-78"/>
          <w:sz w:val="21"/>
          <w:szCs w:val="21"/>
        </w:rPr>
        <w:t> </w:t>
      </w:r>
      <w:r>
        <w:rPr>
          <w:rFonts w:ascii="宋体" w:hAnsi="宋体" w:cs="宋体" w:eastAsia="宋体" w:hint="default"/>
          <w:sz w:val="21"/>
          <w:szCs w:val="21"/>
        </w:rPr>
        <w:t>内</w:t>
      </w:r>
      <w:r>
        <w:rPr>
          <w:rFonts w:ascii="宋体" w:hAnsi="宋体" w:cs="宋体" w:eastAsia="宋体" w:hint="default"/>
          <w:spacing w:val="-76"/>
          <w:sz w:val="21"/>
          <w:szCs w:val="21"/>
        </w:rPr>
        <w:t> </w:t>
      </w:r>
      <w:r>
        <w:rPr>
          <w:rFonts w:ascii="宋体" w:hAnsi="宋体" w:cs="宋体" w:eastAsia="宋体" w:hint="default"/>
          <w:sz w:val="21"/>
          <w:szCs w:val="21"/>
        </w:rPr>
        <w:t>部</w:t>
      </w:r>
      <w:r>
        <w:rPr>
          <w:rFonts w:ascii="宋体" w:hAnsi="宋体" w:cs="宋体" w:eastAsia="宋体" w:hint="default"/>
          <w:spacing w:val="-76"/>
          <w:sz w:val="21"/>
          <w:szCs w:val="21"/>
        </w:rPr>
        <w:t> </w:t>
      </w:r>
      <w:r>
        <w:rPr>
          <w:rFonts w:ascii="宋体" w:hAnsi="宋体" w:cs="宋体" w:eastAsia="宋体" w:hint="default"/>
          <w:sz w:val="21"/>
          <w:szCs w:val="21"/>
        </w:rPr>
        <w:t>控</w:t>
      </w:r>
      <w:r>
        <w:rPr>
          <w:rFonts w:ascii="宋体" w:hAnsi="宋体" w:cs="宋体" w:eastAsia="宋体" w:hint="default"/>
          <w:spacing w:val="-78"/>
          <w:sz w:val="21"/>
          <w:szCs w:val="21"/>
        </w:rPr>
        <w:t> </w:t>
      </w:r>
      <w:r>
        <w:rPr>
          <w:rFonts w:ascii="宋体" w:hAnsi="宋体" w:cs="宋体" w:eastAsia="宋体" w:hint="default"/>
          <w:sz w:val="21"/>
          <w:szCs w:val="21"/>
        </w:rPr>
        <w:t>制</w:t>
      </w:r>
      <w:r>
        <w:rPr>
          <w:rFonts w:ascii="宋体" w:hAnsi="宋体" w:cs="宋体" w:eastAsia="宋体" w:hint="default"/>
          <w:spacing w:val="-76"/>
          <w:sz w:val="21"/>
          <w:szCs w:val="21"/>
        </w:rPr>
        <w:t> </w:t>
      </w:r>
      <w:r>
        <w:rPr>
          <w:rFonts w:ascii="宋体" w:hAnsi="宋体" w:cs="宋体" w:eastAsia="宋体" w:hint="default"/>
          <w:sz w:val="21"/>
          <w:szCs w:val="21"/>
        </w:rPr>
        <w:t>评</w:t>
      </w:r>
      <w:r>
        <w:rPr>
          <w:rFonts w:ascii="宋体" w:hAnsi="宋体" w:cs="宋体" w:eastAsia="宋体" w:hint="default"/>
          <w:spacing w:val="-76"/>
          <w:sz w:val="21"/>
          <w:szCs w:val="21"/>
        </w:rPr>
        <w:t> </w:t>
      </w:r>
      <w:r>
        <w:rPr>
          <w:rFonts w:ascii="宋体" w:hAnsi="宋体" w:cs="宋体" w:eastAsia="宋体" w:hint="default"/>
          <w:sz w:val="21"/>
          <w:szCs w:val="21"/>
        </w:rPr>
        <w:t>价</w:t>
      </w:r>
      <w:r>
        <w:rPr>
          <w:rFonts w:ascii="宋体" w:hAnsi="宋体" w:cs="宋体" w:eastAsia="宋体" w:hint="default"/>
          <w:spacing w:val="-76"/>
          <w:sz w:val="21"/>
          <w:szCs w:val="21"/>
        </w:rPr>
        <w:t> </w:t>
      </w:r>
      <w:r>
        <w:rPr>
          <w:rFonts w:ascii="宋体" w:hAnsi="宋体" w:cs="宋体" w:eastAsia="宋体" w:hint="default"/>
          <w:sz w:val="21"/>
          <w:szCs w:val="21"/>
        </w:rPr>
        <w:t>报</w:t>
      </w:r>
      <w:r>
        <w:rPr>
          <w:rFonts w:ascii="宋体" w:hAnsi="宋体" w:cs="宋体" w:eastAsia="宋体" w:hint="default"/>
          <w:spacing w:val="-78"/>
          <w:sz w:val="21"/>
          <w:szCs w:val="21"/>
        </w:rPr>
        <w:t> </w:t>
      </w:r>
      <w:r>
        <w:rPr>
          <w:rFonts w:ascii="宋体" w:hAnsi="宋体" w:cs="宋体" w:eastAsia="宋体" w:hint="default"/>
          <w:sz w:val="21"/>
          <w:szCs w:val="21"/>
        </w:rPr>
        <w:t>告</w:t>
      </w:r>
      <w:r>
        <w:rPr>
          <w:rFonts w:ascii="宋体" w:hAnsi="宋体" w:cs="宋体" w:eastAsia="宋体" w:hint="default"/>
          <w:spacing w:val="-76"/>
          <w:sz w:val="21"/>
          <w:szCs w:val="21"/>
        </w:rPr>
        <w:t> </w:t>
      </w:r>
      <w:r>
        <w:rPr>
          <w:rFonts w:ascii="宋体" w:hAnsi="宋体" w:cs="宋体" w:eastAsia="宋体" w:hint="default"/>
          <w:sz w:val="21"/>
          <w:szCs w:val="21"/>
        </w:rPr>
        <w:t>》</w:t>
      </w:r>
      <w:r>
        <w:rPr>
          <w:rFonts w:ascii="宋体" w:hAnsi="宋体" w:cs="宋体" w:eastAsia="宋体" w:hint="default"/>
          <w:spacing w:val="-76"/>
          <w:sz w:val="21"/>
          <w:szCs w:val="21"/>
        </w:rPr>
        <w:t> </w:t>
      </w:r>
      <w:r>
        <w:rPr>
          <w:rFonts w:ascii="宋体" w:hAnsi="宋体" w:cs="宋体" w:eastAsia="宋体" w:hint="default"/>
          <w:sz w:val="21"/>
          <w:szCs w:val="21"/>
        </w:rPr>
        <w:t>详</w:t>
      </w:r>
      <w:r>
        <w:rPr>
          <w:rFonts w:ascii="宋体" w:hAnsi="宋体" w:cs="宋体" w:eastAsia="宋体" w:hint="default"/>
          <w:spacing w:val="-78"/>
          <w:sz w:val="21"/>
          <w:szCs w:val="21"/>
        </w:rPr>
        <w:t> </w:t>
      </w:r>
      <w:r>
        <w:rPr>
          <w:rFonts w:ascii="宋体" w:hAnsi="宋体" w:cs="宋体" w:eastAsia="宋体" w:hint="default"/>
          <w:sz w:val="21"/>
          <w:szCs w:val="21"/>
        </w:rPr>
        <w:t>见</w:t>
      </w:r>
      <w:r>
        <w:rPr>
          <w:rFonts w:ascii="宋体" w:hAnsi="宋体" w:cs="宋体" w:eastAsia="宋体" w:hint="default"/>
          <w:spacing w:val="-76"/>
          <w:sz w:val="21"/>
          <w:szCs w:val="21"/>
        </w:rPr>
        <w:t> </w:t>
      </w:r>
      <w:r>
        <w:rPr>
          <w:rFonts w:ascii="宋体" w:hAnsi="宋体" w:cs="宋体" w:eastAsia="宋体" w:hint="default"/>
          <w:sz w:val="21"/>
          <w:szCs w:val="21"/>
        </w:rPr>
        <w:t>本</w:t>
      </w:r>
      <w:r>
        <w:rPr>
          <w:rFonts w:ascii="宋体" w:hAnsi="宋体" w:cs="宋体" w:eastAsia="宋体" w:hint="default"/>
          <w:spacing w:val="-76"/>
          <w:sz w:val="21"/>
          <w:szCs w:val="21"/>
        </w:rPr>
        <w:t> </w:t>
      </w:r>
      <w:r>
        <w:rPr>
          <w:rFonts w:ascii="宋体" w:hAnsi="宋体" w:cs="宋体" w:eastAsia="宋体" w:hint="default"/>
          <w:sz w:val="21"/>
          <w:szCs w:val="21"/>
        </w:rPr>
        <w:t>公</w:t>
      </w:r>
      <w:r>
        <w:rPr>
          <w:rFonts w:ascii="宋体" w:hAnsi="宋体" w:cs="宋体" w:eastAsia="宋体" w:hint="default"/>
          <w:spacing w:val="-78"/>
          <w:sz w:val="21"/>
          <w:szCs w:val="21"/>
        </w:rPr>
        <w:t> </w:t>
      </w:r>
      <w:r>
        <w:rPr>
          <w:rFonts w:ascii="宋体" w:hAnsi="宋体" w:cs="宋体" w:eastAsia="宋体" w:hint="default"/>
          <w:sz w:val="21"/>
          <w:szCs w:val="21"/>
        </w:rPr>
        <w:t>司</w:t>
      </w:r>
      <w:r>
        <w:rPr>
          <w:rFonts w:ascii="宋体" w:hAnsi="宋体" w:cs="宋体" w:eastAsia="宋体" w:hint="default"/>
          <w:spacing w:val="-76"/>
          <w:sz w:val="21"/>
          <w:szCs w:val="21"/>
        </w:rPr>
        <w:t> </w:t>
      </w:r>
      <w:r>
        <w:rPr>
          <w:rFonts w:ascii="宋体" w:hAnsi="宋体" w:cs="宋体" w:eastAsia="宋体" w:hint="default"/>
          <w:sz w:val="21"/>
          <w:szCs w:val="21"/>
        </w:rPr>
        <w:t>与</w:t>
      </w:r>
      <w:r>
        <w:rPr>
          <w:rFonts w:ascii="宋体" w:hAnsi="宋体" w:cs="宋体" w:eastAsia="宋体" w:hint="default"/>
          <w:spacing w:val="-76"/>
          <w:sz w:val="21"/>
          <w:szCs w:val="21"/>
        </w:rPr>
        <w:t> </w:t>
      </w:r>
      <w:r>
        <w:rPr>
          <w:rFonts w:ascii="宋体" w:hAnsi="宋体" w:cs="宋体" w:eastAsia="宋体" w:hint="default"/>
          <w:sz w:val="21"/>
          <w:szCs w:val="21"/>
        </w:rPr>
        <w:t>本</w:t>
      </w:r>
      <w:r>
        <w:rPr>
          <w:rFonts w:ascii="宋体" w:hAnsi="宋体" w:cs="宋体" w:eastAsia="宋体" w:hint="default"/>
          <w:spacing w:val="-76"/>
          <w:sz w:val="21"/>
          <w:szCs w:val="21"/>
        </w:rPr>
        <w:t> </w:t>
      </w:r>
      <w:r>
        <w:rPr>
          <w:rFonts w:ascii="宋体" w:hAnsi="宋体" w:cs="宋体" w:eastAsia="宋体" w:hint="default"/>
          <w:sz w:val="21"/>
          <w:szCs w:val="21"/>
        </w:rPr>
        <w:t>报</w:t>
      </w:r>
      <w:r>
        <w:rPr>
          <w:rFonts w:ascii="宋体" w:hAnsi="宋体" w:cs="宋体" w:eastAsia="宋体" w:hint="default"/>
          <w:spacing w:val="-78"/>
          <w:sz w:val="21"/>
          <w:szCs w:val="21"/>
        </w:rPr>
        <w:t> </w:t>
      </w:r>
      <w:r>
        <w:rPr>
          <w:rFonts w:ascii="宋体" w:hAnsi="宋体" w:cs="宋体" w:eastAsia="宋体" w:hint="default"/>
          <w:sz w:val="21"/>
          <w:szCs w:val="21"/>
        </w:rPr>
        <w:t>告</w:t>
      </w:r>
      <w:r>
        <w:rPr>
          <w:rFonts w:ascii="宋体" w:hAnsi="宋体" w:cs="宋体" w:eastAsia="宋体" w:hint="default"/>
          <w:spacing w:val="-76"/>
          <w:sz w:val="21"/>
          <w:szCs w:val="21"/>
        </w:rPr>
        <w:t> </w:t>
      </w:r>
      <w:r>
        <w:rPr>
          <w:rFonts w:ascii="宋体" w:hAnsi="宋体" w:cs="宋体" w:eastAsia="宋体" w:hint="default"/>
          <w:sz w:val="21"/>
          <w:szCs w:val="21"/>
        </w:rPr>
        <w:t>同</w:t>
      </w:r>
      <w:r>
        <w:rPr>
          <w:rFonts w:ascii="宋体" w:hAnsi="宋体" w:cs="宋体" w:eastAsia="宋体" w:hint="default"/>
          <w:spacing w:val="-76"/>
          <w:sz w:val="21"/>
          <w:szCs w:val="21"/>
        </w:rPr>
        <w:t> </w:t>
      </w:r>
      <w:r>
        <w:rPr>
          <w:rFonts w:ascii="宋体" w:hAnsi="宋体" w:cs="宋体" w:eastAsia="宋体" w:hint="default"/>
          <w:sz w:val="21"/>
          <w:szCs w:val="21"/>
        </w:rPr>
        <w:t>日</w:t>
      </w:r>
      <w:r>
        <w:rPr>
          <w:rFonts w:ascii="宋体" w:hAnsi="宋体" w:cs="宋体" w:eastAsia="宋体" w:hint="default"/>
          <w:spacing w:val="-78"/>
          <w:sz w:val="21"/>
          <w:szCs w:val="21"/>
        </w:rPr>
        <w:t> </w:t>
      </w:r>
      <w:r>
        <w:rPr>
          <w:rFonts w:ascii="宋体" w:hAnsi="宋体" w:cs="宋体" w:eastAsia="宋体" w:hint="default"/>
          <w:sz w:val="21"/>
          <w:szCs w:val="21"/>
        </w:rPr>
        <w:t>在</w:t>
      </w:r>
      <w:r>
        <w:rPr>
          <w:rFonts w:ascii="宋体" w:hAnsi="宋体" w:cs="宋体" w:eastAsia="宋体" w:hint="default"/>
          <w:spacing w:val="-76"/>
          <w:sz w:val="21"/>
          <w:szCs w:val="21"/>
        </w:rPr>
        <w:t> </w:t>
      </w:r>
      <w:r>
        <w:rPr>
          <w:rFonts w:ascii="宋体" w:hAnsi="宋体" w:cs="宋体" w:eastAsia="宋体" w:hint="default"/>
          <w:sz w:val="21"/>
          <w:szCs w:val="21"/>
        </w:rPr>
        <w:t>上</w:t>
      </w:r>
      <w:r>
        <w:rPr>
          <w:rFonts w:ascii="宋体" w:hAnsi="宋体" w:cs="宋体" w:eastAsia="宋体" w:hint="default"/>
          <w:spacing w:val="-76"/>
          <w:sz w:val="21"/>
          <w:szCs w:val="21"/>
        </w:rPr>
        <w:t> </w:t>
      </w:r>
      <w:r>
        <w:rPr>
          <w:rFonts w:ascii="宋体" w:hAnsi="宋体" w:cs="宋体" w:eastAsia="宋体" w:hint="default"/>
          <w:sz w:val="21"/>
          <w:szCs w:val="21"/>
        </w:rPr>
        <w:t>海</w:t>
      </w:r>
      <w:r>
        <w:rPr>
          <w:rFonts w:ascii="宋体" w:hAnsi="宋体" w:cs="宋体" w:eastAsia="宋体" w:hint="default"/>
          <w:spacing w:val="-78"/>
          <w:sz w:val="21"/>
          <w:szCs w:val="21"/>
        </w:rPr>
        <w:t> </w:t>
      </w:r>
      <w:r>
        <w:rPr>
          <w:rFonts w:ascii="宋体" w:hAnsi="宋体" w:cs="宋体" w:eastAsia="宋体" w:hint="default"/>
          <w:sz w:val="21"/>
          <w:szCs w:val="21"/>
        </w:rPr>
        <w:t>证</w:t>
      </w:r>
      <w:r>
        <w:rPr>
          <w:rFonts w:ascii="宋体" w:hAnsi="宋体" w:cs="宋体" w:eastAsia="宋体" w:hint="default"/>
          <w:spacing w:val="-76"/>
          <w:sz w:val="21"/>
          <w:szCs w:val="21"/>
        </w:rPr>
        <w:t> </w:t>
      </w:r>
      <w:r>
        <w:rPr>
          <w:rFonts w:ascii="宋体" w:hAnsi="宋体" w:cs="宋体" w:eastAsia="宋体" w:hint="default"/>
          <w:sz w:val="21"/>
          <w:szCs w:val="21"/>
        </w:rPr>
        <w:t>券</w:t>
      </w:r>
      <w:r>
        <w:rPr>
          <w:rFonts w:ascii="宋体" w:hAnsi="宋体" w:cs="宋体" w:eastAsia="宋体" w:hint="default"/>
          <w:spacing w:val="-76"/>
          <w:sz w:val="21"/>
          <w:szCs w:val="21"/>
        </w:rPr>
        <w:t> </w:t>
      </w:r>
      <w:r>
        <w:rPr>
          <w:rFonts w:ascii="宋体" w:hAnsi="宋体" w:cs="宋体" w:eastAsia="宋体" w:hint="default"/>
          <w:sz w:val="21"/>
          <w:szCs w:val="21"/>
        </w:rPr>
        <w:t>交</w:t>
      </w:r>
      <w:r>
        <w:rPr>
          <w:rFonts w:ascii="宋体" w:hAnsi="宋体" w:cs="宋体" w:eastAsia="宋体" w:hint="default"/>
          <w:spacing w:val="-76"/>
          <w:sz w:val="21"/>
          <w:szCs w:val="21"/>
        </w:rPr>
        <w:t> </w:t>
      </w:r>
      <w:r>
        <w:rPr>
          <w:rFonts w:ascii="宋体" w:hAnsi="宋体" w:cs="宋体" w:eastAsia="宋体" w:hint="default"/>
          <w:sz w:val="21"/>
          <w:szCs w:val="21"/>
        </w:rPr>
        <w:t>易</w:t>
      </w:r>
      <w:r>
        <w:rPr>
          <w:rFonts w:ascii="宋体" w:hAnsi="宋体" w:cs="宋体" w:eastAsia="宋体" w:hint="default"/>
          <w:spacing w:val="-78"/>
          <w:sz w:val="21"/>
          <w:szCs w:val="21"/>
        </w:rPr>
        <w:t> </w:t>
      </w:r>
      <w:r>
        <w:rPr>
          <w:rFonts w:ascii="宋体" w:hAnsi="宋体" w:cs="宋体" w:eastAsia="宋体" w:hint="default"/>
          <w:sz w:val="21"/>
          <w:szCs w:val="21"/>
        </w:rPr>
        <w:t>所</w:t>
      </w:r>
      <w:r>
        <w:rPr>
          <w:rFonts w:ascii="宋体" w:hAnsi="宋体" w:cs="宋体" w:eastAsia="宋体" w:hint="default"/>
          <w:spacing w:val="-76"/>
          <w:sz w:val="21"/>
          <w:szCs w:val="21"/>
        </w:rPr>
        <w:t> </w:t>
      </w:r>
      <w:r>
        <w:rPr>
          <w:rFonts w:ascii="宋体" w:hAnsi="宋体" w:cs="宋体" w:eastAsia="宋体" w:hint="default"/>
          <w:sz w:val="21"/>
          <w:szCs w:val="21"/>
        </w:rPr>
        <w:t>网</w:t>
      </w:r>
      <w:r>
        <w:rPr>
          <w:rFonts w:ascii="宋体" w:hAnsi="宋体" w:cs="宋体" w:eastAsia="宋体" w:hint="default"/>
          <w:spacing w:val="-78"/>
          <w:sz w:val="21"/>
          <w:szCs w:val="21"/>
        </w:rPr>
        <w:t> </w:t>
      </w:r>
      <w:r>
        <w:rPr>
          <w:rFonts w:ascii="宋体" w:hAnsi="宋体" w:cs="宋体" w:eastAsia="宋体" w:hint="default"/>
          <w:sz w:val="21"/>
          <w:szCs w:val="21"/>
        </w:rPr>
        <w:t>站</w:t>
      </w:r>
    </w:p>
    <w:p>
      <w:pPr>
        <w:spacing w:before="85"/>
        <w:ind w:left="138" w:right="0" w:firstLine="0"/>
        <w:jc w:val="left"/>
        <w:rPr>
          <w:rFonts w:ascii="宋体" w:hAnsi="宋体" w:cs="宋体" w:eastAsia="宋体" w:hint="default"/>
          <w:sz w:val="21"/>
          <w:szCs w:val="21"/>
        </w:rPr>
      </w:pPr>
      <w:r>
        <w:rPr>
          <w:rFonts w:ascii="宋体" w:hAnsi="宋体" w:cs="宋体" w:eastAsia="宋体" w:hint="default"/>
          <w:sz w:val="21"/>
          <w:szCs w:val="21"/>
        </w:rPr>
        <w:t>（</w:t>
      </w:r>
      <w:hyperlink r:id="rId18">
        <w:r>
          <w:rPr>
            <w:rFonts w:ascii="宋体" w:hAnsi="宋体" w:cs="宋体" w:eastAsia="宋体" w:hint="default"/>
            <w:sz w:val="21"/>
            <w:szCs w:val="21"/>
          </w:rPr>
          <w:t>www.sse.com.cn</w:t>
        </w:r>
      </w:hyperlink>
      <w:r>
        <w:rPr>
          <w:rFonts w:ascii="宋体" w:hAnsi="宋体" w:cs="宋体" w:eastAsia="宋体" w:hint="default"/>
          <w:sz w:val="21"/>
          <w:szCs w:val="21"/>
        </w:rPr>
        <w:t>）及本公司网站（</w:t>
      </w:r>
      <w:hyperlink r:id="rId17">
        <w:r>
          <w:rPr>
            <w:rFonts w:ascii="宋体" w:hAnsi="宋体" w:cs="宋体" w:eastAsia="宋体" w:hint="default"/>
            <w:sz w:val="21"/>
            <w:szCs w:val="21"/>
          </w:rPr>
          <w:t>www.chinaunicom-a.com</w:t>
        </w:r>
      </w:hyperlink>
      <w:r>
        <w:rPr>
          <w:rFonts w:ascii="宋体" w:hAnsi="宋体" w:cs="宋体" w:eastAsia="宋体" w:hint="default"/>
          <w:sz w:val="21"/>
          <w:szCs w:val="21"/>
        </w:rPr>
        <w:t>）披露的相关文件。</w:t>
      </w:r>
    </w:p>
    <w:p>
      <w:pPr>
        <w:spacing w:line="240" w:lineRule="auto" w:before="0"/>
        <w:rPr>
          <w:rFonts w:ascii="宋体" w:hAnsi="宋体" w:cs="宋体" w:eastAsia="宋体" w:hint="default"/>
          <w:sz w:val="20"/>
          <w:szCs w:val="20"/>
        </w:rPr>
      </w:pPr>
    </w:p>
    <w:p>
      <w:pPr>
        <w:spacing w:line="350" w:lineRule="auto" w:before="133"/>
        <w:ind w:left="558" w:right="0" w:hanging="420"/>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九、内部控制审计报告的相关情况说明</w:t>
      </w:r>
      <w:r>
        <w:rPr>
          <w:rFonts w:ascii="Microsoft JhengHei" w:hAnsi="Microsoft JhengHei" w:cs="Microsoft JhengHei" w:eastAsia="Microsoft JhengHei" w:hint="default"/>
          <w:b/>
          <w:bCs/>
          <w:spacing w:val="-37"/>
          <w:sz w:val="21"/>
          <w:szCs w:val="21"/>
        </w:rPr>
        <w:t> </w:t>
      </w:r>
      <w:r>
        <w:rPr>
          <w:rFonts w:ascii="Microsoft JhengHei" w:hAnsi="Microsoft JhengHei" w:cs="Microsoft JhengHei" w:eastAsia="Microsoft JhengHei" w:hint="default"/>
          <w:b/>
          <w:bCs/>
          <w:spacing w:val="-37"/>
          <w:sz w:val="21"/>
          <w:szCs w:val="21"/>
        </w:rPr>
      </w:r>
      <w:r>
        <w:rPr>
          <w:rFonts w:ascii="宋体" w:hAnsi="宋体" w:cs="宋体" w:eastAsia="宋体" w:hint="default"/>
          <w:spacing w:val="-2"/>
          <w:sz w:val="21"/>
          <w:szCs w:val="21"/>
        </w:rPr>
        <w:t>本公司聘请的毕马威华振会计师事务所（特殊普通合伙）出具了《内部控制审计报告》，认为：</w:t>
      </w:r>
    </w:p>
    <w:p>
      <w:pPr>
        <w:spacing w:line="314" w:lineRule="auto" w:before="0"/>
        <w:ind w:left="138" w:right="0" w:firstLine="0"/>
        <w:jc w:val="left"/>
        <w:rPr>
          <w:rFonts w:ascii="宋体" w:hAnsi="宋体" w:cs="宋体" w:eastAsia="宋体" w:hint="default"/>
          <w:sz w:val="21"/>
          <w:szCs w:val="21"/>
        </w:rPr>
      </w:pPr>
      <w:r>
        <w:rPr>
          <w:rFonts w:ascii="宋体" w:hAnsi="宋体" w:cs="宋体" w:eastAsia="宋体" w:hint="default"/>
          <w:spacing w:val="-2"/>
          <w:sz w:val="21"/>
          <w:szCs w:val="21"/>
        </w:rPr>
        <w:t>中国联合网络通信股份有限公司于</w:t>
      </w:r>
      <w:r>
        <w:rPr>
          <w:rFonts w:ascii="宋体" w:hAnsi="宋体" w:cs="宋体" w:eastAsia="宋体" w:hint="default"/>
          <w:spacing w:val="-2"/>
          <w:sz w:val="21"/>
          <w:szCs w:val="21"/>
        </w:rPr>
        <w:t>2019</w:t>
      </w:r>
      <w:r>
        <w:rPr>
          <w:rFonts w:ascii="宋体" w:hAnsi="宋体" w:cs="宋体" w:eastAsia="宋体" w:hint="default"/>
          <w:spacing w:val="-2"/>
          <w:sz w:val="21"/>
          <w:szCs w:val="21"/>
        </w:rPr>
        <w:t>年</w:t>
      </w:r>
      <w:r>
        <w:rPr>
          <w:rFonts w:ascii="宋体" w:hAnsi="宋体" w:cs="宋体" w:eastAsia="宋体" w:hint="default"/>
          <w:spacing w:val="-2"/>
          <w:sz w:val="21"/>
          <w:szCs w:val="21"/>
        </w:rPr>
        <w:t>12</w:t>
      </w:r>
      <w:r>
        <w:rPr>
          <w:rFonts w:ascii="宋体" w:hAnsi="宋体" w:cs="宋体" w:eastAsia="宋体" w:hint="default"/>
          <w:spacing w:val="-2"/>
          <w:sz w:val="21"/>
          <w:szCs w:val="21"/>
        </w:rPr>
        <w:t>月</w:t>
      </w:r>
      <w:r>
        <w:rPr>
          <w:rFonts w:ascii="宋体" w:hAnsi="宋体" w:cs="宋体" w:eastAsia="宋体" w:hint="default"/>
          <w:spacing w:val="-2"/>
          <w:sz w:val="21"/>
          <w:szCs w:val="21"/>
        </w:rPr>
        <w:t>31</w:t>
      </w:r>
      <w:r>
        <w:rPr>
          <w:rFonts w:ascii="宋体" w:hAnsi="宋体" w:cs="宋体" w:eastAsia="宋体" w:hint="default"/>
          <w:spacing w:val="-2"/>
          <w:sz w:val="21"/>
          <w:szCs w:val="21"/>
        </w:rPr>
        <w:t>日按照《企业内部控制基本规范》和相关规定在所有</w:t>
      </w:r>
      <w:r>
        <w:rPr>
          <w:rFonts w:ascii="宋体" w:hAnsi="宋体" w:cs="宋体" w:eastAsia="宋体" w:hint="default"/>
          <w:spacing w:val="-46"/>
          <w:sz w:val="21"/>
          <w:szCs w:val="21"/>
        </w:rPr>
        <w:t> </w:t>
      </w:r>
      <w:r>
        <w:rPr>
          <w:rFonts w:ascii="宋体" w:hAnsi="宋体" w:cs="宋体" w:eastAsia="宋体" w:hint="default"/>
          <w:spacing w:val="-46"/>
          <w:sz w:val="21"/>
          <w:szCs w:val="21"/>
        </w:rPr>
      </w:r>
      <w:r>
        <w:rPr>
          <w:rFonts w:ascii="宋体" w:hAnsi="宋体" w:cs="宋体" w:eastAsia="宋体" w:hint="default"/>
          <w:sz w:val="21"/>
          <w:szCs w:val="21"/>
        </w:rPr>
        <w:t>重大方面保持了有效的财务报告内部控制。</w:t>
      </w:r>
    </w:p>
    <w:p>
      <w:pPr>
        <w:spacing w:line="314" w:lineRule="auto" w:before="140"/>
        <w:ind w:left="138" w:right="99" w:firstLine="420"/>
        <w:jc w:val="both"/>
        <w:rPr>
          <w:rFonts w:ascii="宋体" w:hAnsi="宋体" w:cs="宋体" w:eastAsia="宋体" w:hint="default"/>
          <w:sz w:val="21"/>
          <w:szCs w:val="21"/>
        </w:rPr>
      </w:pPr>
      <w:r>
        <w:rPr>
          <w:rFonts w:ascii="宋体" w:hAnsi="宋体" w:cs="宋体" w:eastAsia="宋体" w:hint="default"/>
          <w:spacing w:val="-2"/>
          <w:sz w:val="21"/>
          <w:szCs w:val="21"/>
        </w:rPr>
        <w:t>上述《内部控制审计报告》详见本公司与本报告同日在上海证券交易所网站（</w:t>
      </w:r>
      <w:hyperlink r:id="rId18">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w:t>
      </w:r>
      <w:r>
        <w:rPr>
          <w:rFonts w:ascii="宋体" w:hAnsi="宋体" w:cs="宋体" w:eastAsia="宋体" w:hint="default"/>
          <w:w w:val="100"/>
          <w:sz w:val="21"/>
          <w:szCs w:val="21"/>
        </w:rPr>
        <w:t> </w:t>
      </w:r>
      <w:r>
        <w:rPr>
          <w:rFonts w:ascii="宋体" w:hAnsi="宋体" w:cs="宋体" w:eastAsia="宋体" w:hint="default"/>
          <w:sz w:val="21"/>
          <w:szCs w:val="21"/>
        </w:rPr>
        <w:t>及本公司网站（</w:t>
      </w:r>
      <w:hyperlink r:id="rId17">
        <w:r>
          <w:rPr>
            <w:rFonts w:ascii="宋体" w:hAnsi="宋体" w:cs="宋体" w:eastAsia="宋体" w:hint="default"/>
            <w:sz w:val="21"/>
            <w:szCs w:val="21"/>
          </w:rPr>
          <w:t>www.chinaunicom-a.com</w:t>
        </w:r>
      </w:hyperlink>
      <w:r>
        <w:rPr>
          <w:rFonts w:ascii="宋体" w:hAnsi="宋体" w:cs="宋体" w:eastAsia="宋体" w:hint="default"/>
          <w:sz w:val="21"/>
          <w:szCs w:val="21"/>
        </w:rPr>
        <w:t>）披露的相关文件。</w:t>
      </w:r>
    </w:p>
    <w:p>
      <w:pPr>
        <w:spacing w:line="240" w:lineRule="auto" w:before="10"/>
        <w:rPr>
          <w:rFonts w:ascii="宋体" w:hAnsi="宋体" w:cs="宋体" w:eastAsia="宋体" w:hint="default"/>
          <w:sz w:val="25"/>
          <w:szCs w:val="25"/>
        </w:rPr>
      </w:pPr>
    </w:p>
    <w:p>
      <w:pPr>
        <w:spacing w:before="0"/>
        <w:ind w:left="138" w:right="0" w:firstLine="0"/>
        <w:jc w:val="left"/>
        <w:rPr>
          <w:rFonts w:ascii="宋体" w:hAnsi="宋体" w:cs="宋体" w:eastAsia="宋体" w:hint="default"/>
          <w:sz w:val="21"/>
          <w:szCs w:val="21"/>
        </w:rPr>
      </w:pPr>
      <w:r>
        <w:rPr>
          <w:rFonts w:ascii="宋体" w:hAnsi="宋体" w:cs="宋体" w:eastAsia="宋体" w:hint="default"/>
          <w:sz w:val="21"/>
          <w:szCs w:val="21"/>
        </w:rPr>
        <w:t>是否披露内部控制审计报告：是</w:t>
      </w:r>
    </w:p>
    <w:p>
      <w:pPr>
        <w:spacing w:after="0"/>
        <w:jc w:val="left"/>
        <w:rPr>
          <w:rFonts w:ascii="宋体" w:hAnsi="宋体" w:cs="宋体" w:eastAsia="宋体" w:hint="default"/>
          <w:sz w:val="21"/>
          <w:szCs w:val="21"/>
        </w:rPr>
        <w:sectPr>
          <w:footerReference w:type="default" r:id="rId80"/>
          <w:pgSz w:w="11910" w:h="16840"/>
          <w:pgMar w:footer="502" w:header="852" w:top="1340" w:bottom="700" w:left="1280" w:right="1140"/>
        </w:sectPr>
      </w:pPr>
    </w:p>
    <w:p>
      <w:pPr>
        <w:spacing w:line="240" w:lineRule="auto" w:before="11"/>
        <w:rPr>
          <w:rFonts w:ascii="宋体" w:hAnsi="宋体" w:cs="宋体" w:eastAsia="宋体" w:hint="default"/>
          <w:sz w:val="7"/>
          <w:szCs w:val="7"/>
        </w:rPr>
      </w:pPr>
    </w:p>
    <w:p>
      <w:pPr>
        <w:pStyle w:val="Heading1"/>
        <w:tabs>
          <w:tab w:pos="1463" w:val="left" w:leader="none"/>
        </w:tabs>
        <w:spacing w:line="413" w:lineRule="exact"/>
        <w:ind w:left="203" w:right="0"/>
        <w:jc w:val="center"/>
        <w:rPr>
          <w:b w:val="0"/>
          <w:bCs w:val="0"/>
        </w:rPr>
      </w:pPr>
      <w:bookmarkStart w:name="_bookmark9" w:id="11"/>
      <w:bookmarkEnd w:id="11"/>
      <w:r>
        <w:rPr>
          <w:b w:val="0"/>
          <w:bCs w:val="0"/>
        </w:rPr>
      </w:r>
      <w:r>
        <w:rPr/>
        <w:t>第十节</w:t>
        <w:tab/>
        <w:t>公司债券相关情况</w:t>
      </w:r>
      <w:r>
        <w:rPr>
          <w:b w:val="0"/>
          <w:bCs w:val="0"/>
        </w:rPr>
      </w:r>
    </w:p>
    <w:p>
      <w:pPr>
        <w:spacing w:line="240" w:lineRule="auto" w:before="11"/>
        <w:rPr>
          <w:rFonts w:ascii="Microsoft JhengHei" w:hAnsi="Microsoft JhengHei" w:cs="Microsoft JhengHei" w:eastAsia="Microsoft JhengHei" w:hint="default"/>
          <w:b/>
          <w:bCs/>
          <w:sz w:val="10"/>
          <w:szCs w:val="10"/>
        </w:rPr>
      </w:pPr>
    </w:p>
    <w:p>
      <w:pPr>
        <w:spacing w:line="335" w:lineRule="exact" w:before="0"/>
        <w:ind w:left="1218" w:right="37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一、公司债券基本情况</w:t>
      </w:r>
      <w:r>
        <w:rPr>
          <w:rFonts w:ascii="Microsoft JhengHei" w:hAnsi="Microsoft JhengHei" w:cs="Microsoft JhengHei" w:eastAsia="Microsoft JhengHei" w:hint="default"/>
          <w:sz w:val="21"/>
          <w:szCs w:val="21"/>
        </w:rPr>
      </w:r>
    </w:p>
    <w:p>
      <w:pPr>
        <w:tabs>
          <w:tab w:pos="946" w:val="left" w:leader="none"/>
        </w:tabs>
        <w:spacing w:before="35"/>
        <w:ind w:left="0" w:right="1010" w:firstLine="0"/>
        <w:jc w:val="right"/>
        <w:rPr>
          <w:rFonts w:ascii="宋体" w:hAnsi="宋体" w:cs="宋体" w:eastAsia="宋体" w:hint="default"/>
          <w:sz w:val="21"/>
          <w:szCs w:val="21"/>
        </w:rPr>
      </w:pPr>
      <w:r>
        <w:rPr>
          <w:rFonts w:ascii="宋体" w:hAnsi="宋体" w:cs="宋体" w:eastAsia="宋体" w:hint="default"/>
          <w:spacing w:val="-1"/>
          <w:sz w:val="21"/>
          <w:szCs w:val="21"/>
        </w:rPr>
        <w:t>单位</w:t>
      </w:r>
      <w:r>
        <w:rPr>
          <w:rFonts w:ascii="宋体" w:hAnsi="宋体" w:cs="宋体" w:eastAsia="宋体" w:hint="default"/>
          <w:spacing w:val="-1"/>
          <w:sz w:val="21"/>
          <w:szCs w:val="21"/>
        </w:rPr>
        <w:t>:</w:t>
      </w:r>
      <w:r>
        <w:rPr>
          <w:rFonts w:ascii="宋体" w:hAnsi="宋体" w:cs="宋体" w:eastAsia="宋体" w:hint="default"/>
          <w:spacing w:val="-1"/>
          <w:sz w:val="21"/>
          <w:szCs w:val="21"/>
        </w:rPr>
        <w:t>元</w:t>
        <w:tab/>
        <w:t>币种</w:t>
      </w:r>
      <w:r>
        <w:rPr>
          <w:rFonts w:ascii="宋体" w:hAnsi="宋体" w:cs="宋体" w:eastAsia="宋体" w:hint="default"/>
          <w:spacing w:val="-1"/>
          <w:sz w:val="21"/>
          <w:szCs w:val="21"/>
        </w:rPr>
        <w:t>:</w:t>
      </w:r>
      <w:r>
        <w:rPr>
          <w:rFonts w:ascii="宋体" w:hAnsi="宋体" w:cs="宋体" w:eastAsia="宋体" w:hint="default"/>
          <w:spacing w:val="-1"/>
          <w:sz w:val="21"/>
          <w:szCs w:val="21"/>
        </w:rPr>
        <w:t>人民币</w:t>
      </w:r>
    </w:p>
    <w:p>
      <w:pPr>
        <w:spacing w:line="240" w:lineRule="auto" w:before="4"/>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2043"/>
        <w:gridCol w:w="977"/>
        <w:gridCol w:w="1100"/>
        <w:gridCol w:w="979"/>
        <w:gridCol w:w="980"/>
        <w:gridCol w:w="1481"/>
        <w:gridCol w:w="985"/>
        <w:gridCol w:w="1608"/>
        <w:gridCol w:w="1061"/>
      </w:tblGrid>
      <w:tr>
        <w:trPr>
          <w:trHeight w:val="283" w:hRule="exact"/>
        </w:trPr>
        <w:tc>
          <w:tcPr>
            <w:tcW w:w="20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595" w:right="0"/>
              <w:jc w:val="left"/>
              <w:rPr>
                <w:rFonts w:ascii="宋体" w:hAnsi="宋体" w:cs="宋体" w:eastAsia="宋体" w:hint="default"/>
                <w:sz w:val="21"/>
                <w:szCs w:val="21"/>
              </w:rPr>
            </w:pPr>
            <w:r>
              <w:rPr>
                <w:rFonts w:ascii="宋体" w:hAnsi="宋体" w:cs="宋体" w:eastAsia="宋体" w:hint="default"/>
                <w:sz w:val="21"/>
                <w:szCs w:val="21"/>
              </w:rPr>
              <w:t>债券名称</w:t>
            </w:r>
          </w:p>
        </w:tc>
        <w:tc>
          <w:tcPr>
            <w:tcW w:w="9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271" w:right="0"/>
              <w:jc w:val="left"/>
              <w:rPr>
                <w:rFonts w:ascii="宋体" w:hAnsi="宋体" w:cs="宋体" w:eastAsia="宋体" w:hint="default"/>
                <w:sz w:val="21"/>
                <w:szCs w:val="21"/>
              </w:rPr>
            </w:pPr>
            <w:r>
              <w:rPr>
                <w:rFonts w:ascii="宋体" w:hAnsi="宋体" w:cs="宋体" w:eastAsia="宋体" w:hint="default"/>
                <w:sz w:val="21"/>
                <w:szCs w:val="21"/>
              </w:rPr>
              <w:t>简称</w:t>
            </w:r>
          </w:p>
        </w:tc>
        <w:tc>
          <w:tcPr>
            <w:tcW w:w="11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代码</w:t>
            </w:r>
          </w:p>
        </w:tc>
        <w:tc>
          <w:tcPr>
            <w:tcW w:w="9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68" w:right="0"/>
              <w:jc w:val="left"/>
              <w:rPr>
                <w:rFonts w:ascii="宋体" w:hAnsi="宋体" w:cs="宋体" w:eastAsia="宋体" w:hint="default"/>
                <w:sz w:val="21"/>
                <w:szCs w:val="21"/>
              </w:rPr>
            </w:pPr>
            <w:r>
              <w:rPr>
                <w:rFonts w:ascii="宋体" w:hAnsi="宋体" w:cs="宋体" w:eastAsia="宋体" w:hint="default"/>
                <w:sz w:val="21"/>
                <w:szCs w:val="21"/>
              </w:rPr>
              <w:t>发行日</w:t>
            </w:r>
          </w:p>
        </w:tc>
        <w:tc>
          <w:tcPr>
            <w:tcW w:w="9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65" w:right="0"/>
              <w:jc w:val="left"/>
              <w:rPr>
                <w:rFonts w:ascii="宋体" w:hAnsi="宋体" w:cs="宋体" w:eastAsia="宋体" w:hint="default"/>
                <w:sz w:val="21"/>
                <w:szCs w:val="21"/>
              </w:rPr>
            </w:pPr>
            <w:r>
              <w:rPr>
                <w:rFonts w:ascii="宋体" w:hAnsi="宋体" w:cs="宋体" w:eastAsia="宋体" w:hint="default"/>
                <w:sz w:val="21"/>
                <w:szCs w:val="21"/>
              </w:rPr>
              <w:t>到期日</w:t>
            </w:r>
          </w:p>
        </w:tc>
        <w:tc>
          <w:tcPr>
            <w:tcW w:w="14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债券余额</w:t>
            </w:r>
          </w:p>
        </w:tc>
        <w:tc>
          <w:tcPr>
            <w:tcW w:w="9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03" w:right="-2"/>
              <w:jc w:val="left"/>
              <w:rPr>
                <w:rFonts w:ascii="宋体" w:hAnsi="宋体" w:cs="宋体" w:eastAsia="宋体" w:hint="default"/>
                <w:sz w:val="21"/>
                <w:szCs w:val="21"/>
              </w:rPr>
            </w:pPr>
            <w:r>
              <w:rPr>
                <w:rFonts w:ascii="宋体" w:hAnsi="宋体" w:cs="宋体" w:eastAsia="宋体" w:hint="default"/>
                <w:spacing w:val="-16"/>
                <w:sz w:val="21"/>
                <w:szCs w:val="21"/>
              </w:rPr>
              <w:t>利率（</w:t>
            </w:r>
            <w:r>
              <w:rPr>
                <w:rFonts w:ascii="宋体" w:hAnsi="宋体" w:cs="宋体" w:eastAsia="宋体" w:hint="default"/>
                <w:spacing w:val="-16"/>
                <w:sz w:val="21"/>
                <w:szCs w:val="21"/>
              </w:rPr>
              <w:t>%</w:t>
            </w:r>
            <w:r>
              <w:rPr>
                <w:rFonts w:ascii="宋体" w:hAnsi="宋体" w:cs="宋体" w:eastAsia="宋体" w:hint="default"/>
                <w:spacing w:val="-16"/>
                <w:sz w:val="21"/>
                <w:szCs w:val="21"/>
              </w:rPr>
              <w:t>）</w:t>
            </w:r>
          </w:p>
        </w:tc>
        <w:tc>
          <w:tcPr>
            <w:tcW w:w="16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67" w:right="0"/>
              <w:jc w:val="left"/>
              <w:rPr>
                <w:rFonts w:ascii="宋体" w:hAnsi="宋体" w:cs="宋体" w:eastAsia="宋体" w:hint="default"/>
                <w:sz w:val="21"/>
                <w:szCs w:val="21"/>
              </w:rPr>
            </w:pPr>
            <w:r>
              <w:rPr>
                <w:rFonts w:ascii="宋体" w:hAnsi="宋体" w:cs="宋体" w:eastAsia="宋体" w:hint="default"/>
                <w:sz w:val="21"/>
                <w:szCs w:val="21"/>
              </w:rPr>
              <w:t>还本付息方式</w:t>
            </w:r>
          </w:p>
        </w:tc>
        <w:tc>
          <w:tcPr>
            <w:tcW w:w="10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交易场所</w:t>
            </w:r>
          </w:p>
        </w:tc>
      </w:tr>
      <w:tr>
        <w:trPr>
          <w:trHeight w:val="1176" w:hRule="exact"/>
        </w:trPr>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中国联合网络通信有限</w:t>
            </w:r>
          </w:p>
          <w:p>
            <w:pPr>
              <w:pStyle w:val="TableParagraph"/>
              <w:spacing w:line="240" w:lineRule="auto"/>
              <w:ind w:left="103" w:right="103"/>
              <w:jc w:val="left"/>
              <w:rPr>
                <w:rFonts w:ascii="宋体" w:hAnsi="宋体" w:cs="宋体" w:eastAsia="宋体" w:hint="default"/>
                <w:sz w:val="18"/>
                <w:szCs w:val="18"/>
              </w:rPr>
            </w:pPr>
            <w:r>
              <w:rPr>
                <w:rFonts w:ascii="宋体" w:hAnsi="宋体" w:cs="宋体" w:eastAsia="宋体" w:hint="default"/>
                <w:sz w:val="18"/>
                <w:szCs w:val="18"/>
              </w:rPr>
              <w:t>公司 </w:t>
            </w:r>
            <w:r>
              <w:rPr>
                <w:rFonts w:ascii="宋体" w:hAnsi="宋体" w:cs="宋体" w:eastAsia="宋体" w:hint="default"/>
                <w:sz w:val="18"/>
                <w:szCs w:val="18"/>
              </w:rPr>
              <w:t>2016</w:t>
            </w:r>
            <w:r>
              <w:rPr>
                <w:rFonts w:ascii="宋体" w:hAnsi="宋体" w:cs="宋体" w:eastAsia="宋体" w:hint="default"/>
                <w:spacing w:val="18"/>
                <w:sz w:val="18"/>
                <w:szCs w:val="18"/>
              </w:rPr>
              <w:t> </w:t>
            </w:r>
            <w:r>
              <w:rPr>
                <w:rFonts w:ascii="宋体" w:hAnsi="宋体" w:cs="宋体" w:eastAsia="宋体" w:hint="default"/>
                <w:sz w:val="18"/>
                <w:szCs w:val="18"/>
              </w:rPr>
              <w:t>年公司债券</w:t>
            </w:r>
            <w:r>
              <w:rPr>
                <w:rFonts w:ascii="宋体" w:hAnsi="宋体" w:cs="宋体" w:eastAsia="宋体" w:hint="default"/>
                <w:spacing w:val="2"/>
                <w:sz w:val="18"/>
                <w:szCs w:val="18"/>
              </w:rPr>
              <w:t> </w:t>
            </w:r>
            <w:r>
              <w:rPr>
                <w:rFonts w:ascii="宋体" w:hAnsi="宋体" w:cs="宋体" w:eastAsia="宋体" w:hint="default"/>
                <w:sz w:val="18"/>
                <w:szCs w:val="18"/>
              </w:rPr>
              <w:t>(</w:t>
            </w:r>
            <w:r>
              <w:rPr>
                <w:rFonts w:ascii="宋体" w:hAnsi="宋体" w:cs="宋体" w:eastAsia="宋体" w:hint="default"/>
                <w:sz w:val="18"/>
                <w:szCs w:val="18"/>
              </w:rPr>
              <w:t>第一期</w:t>
            </w:r>
            <w:r>
              <w:rPr>
                <w:rFonts w:ascii="宋体" w:hAnsi="宋体" w:cs="宋体" w:eastAsia="宋体" w:hint="default"/>
                <w:sz w:val="18"/>
                <w:szCs w:val="18"/>
              </w:rPr>
              <w:t>)</w:t>
            </w:r>
          </w:p>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品种二</w:t>
            </w:r>
            <w:r>
              <w:rPr>
                <w:rFonts w:ascii="宋体" w:hAnsi="宋体" w:cs="宋体" w:eastAsia="宋体" w:hint="default"/>
                <w:sz w:val="18"/>
                <w:szCs w:val="18"/>
              </w:rPr>
              <w:t>)</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16</w:t>
            </w:r>
            <w:r>
              <w:rPr>
                <w:rFonts w:ascii="宋体" w:hAnsi="宋体" w:cs="宋体" w:eastAsia="宋体" w:hint="default"/>
                <w:spacing w:val="69"/>
                <w:sz w:val="18"/>
                <w:szCs w:val="18"/>
              </w:rPr>
              <w:t> </w:t>
            </w:r>
            <w:r>
              <w:rPr>
                <w:rFonts w:ascii="宋体" w:hAnsi="宋体" w:cs="宋体" w:eastAsia="宋体" w:hint="default"/>
                <w:spacing w:val="33"/>
                <w:sz w:val="18"/>
                <w:szCs w:val="18"/>
              </w:rPr>
              <w:t>联通</w:t>
            </w:r>
            <w:r>
              <w:rPr>
                <w:rFonts w:ascii="宋体" w:hAnsi="宋体" w:cs="宋体" w:eastAsia="宋体" w:hint="default"/>
                <w:spacing w:val="-23"/>
                <w:sz w:val="18"/>
                <w:szCs w:val="18"/>
              </w:rPr>
              <w:t> </w:t>
            </w:r>
            <w:r>
              <w:rPr>
                <w:rFonts w:ascii="宋体" w:hAnsi="宋体" w:cs="宋体" w:eastAsia="宋体" w:hint="default"/>
                <w:sz w:val="18"/>
                <w:szCs w:val="18"/>
              </w:rPr>
            </w:r>
          </w:p>
          <w:p>
            <w:pPr>
              <w:pStyle w:val="TableParagraph"/>
              <w:spacing w:line="234" w:lineRule="exact"/>
              <w:ind w:left="100" w:right="0"/>
              <w:jc w:val="left"/>
              <w:rPr>
                <w:rFonts w:ascii="宋体" w:hAnsi="宋体" w:cs="宋体" w:eastAsia="宋体" w:hint="default"/>
                <w:sz w:val="18"/>
                <w:szCs w:val="18"/>
              </w:rPr>
            </w:pPr>
            <w:r>
              <w:rPr>
                <w:rFonts w:ascii="宋体"/>
                <w:sz w:val="18"/>
              </w:rPr>
              <w:t>02</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70"/>
              <w:jc w:val="center"/>
              <w:rPr>
                <w:rFonts w:ascii="宋体" w:hAnsi="宋体" w:cs="宋体" w:eastAsia="宋体" w:hint="default"/>
                <w:sz w:val="18"/>
                <w:szCs w:val="18"/>
              </w:rPr>
            </w:pPr>
            <w:r>
              <w:rPr>
                <w:rFonts w:ascii="宋体"/>
                <w:sz w:val="18"/>
              </w:rPr>
              <w:t>136470.SH</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6</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7</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2021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6</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7</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1"/>
              <w:jc w:val="center"/>
              <w:rPr>
                <w:rFonts w:ascii="宋体" w:hAnsi="宋体" w:cs="宋体" w:eastAsia="宋体" w:hint="default"/>
                <w:sz w:val="18"/>
                <w:szCs w:val="18"/>
              </w:rPr>
            </w:pPr>
            <w:r>
              <w:rPr>
                <w:rFonts w:ascii="宋体"/>
                <w:sz w:val="18"/>
              </w:rPr>
              <w:t>1,000,000,000</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3.43%</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both"/>
              <w:rPr>
                <w:rFonts w:ascii="宋体" w:hAnsi="宋体" w:cs="宋体" w:eastAsia="宋体" w:hint="default"/>
                <w:sz w:val="18"/>
                <w:szCs w:val="18"/>
              </w:rPr>
            </w:pPr>
            <w:r>
              <w:rPr>
                <w:rFonts w:ascii="宋体" w:hAnsi="宋体" w:cs="宋体" w:eastAsia="宋体" w:hint="default"/>
                <w:spacing w:val="-6"/>
                <w:sz w:val="18"/>
                <w:szCs w:val="18"/>
              </w:rPr>
              <w:t>单利按年计息，不</w:t>
            </w:r>
          </w:p>
          <w:p>
            <w:pPr>
              <w:pStyle w:val="TableParagraph"/>
              <w:spacing w:line="237" w:lineRule="auto"/>
              <w:ind w:left="100" w:right="101"/>
              <w:jc w:val="both"/>
              <w:rPr>
                <w:rFonts w:ascii="宋体" w:hAnsi="宋体" w:cs="宋体" w:eastAsia="宋体" w:hint="default"/>
                <w:sz w:val="18"/>
                <w:szCs w:val="18"/>
              </w:rPr>
            </w:pPr>
            <w:r>
              <w:rPr>
                <w:rFonts w:ascii="宋体" w:hAnsi="宋体" w:cs="宋体" w:eastAsia="宋体" w:hint="default"/>
                <w:spacing w:val="-6"/>
                <w:sz w:val="18"/>
                <w:szCs w:val="18"/>
              </w:rPr>
              <w:t>计复利。每年付息</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6"/>
                <w:sz w:val="18"/>
                <w:szCs w:val="18"/>
              </w:rPr>
              <w:t>一次，最后一期利</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15"/>
                <w:sz w:val="18"/>
                <w:szCs w:val="18"/>
              </w:rPr>
              <w:t>息随本金</w:t>
            </w:r>
            <w:r>
              <w:rPr>
                <w:rFonts w:ascii="宋体" w:hAnsi="宋体" w:cs="宋体" w:eastAsia="宋体" w:hint="default"/>
                <w:spacing w:val="-66"/>
                <w:sz w:val="18"/>
                <w:szCs w:val="18"/>
              </w:rPr>
              <w:t> </w:t>
            </w:r>
            <w:r>
              <w:rPr>
                <w:rFonts w:ascii="宋体" w:hAnsi="宋体" w:cs="宋体" w:eastAsia="宋体" w:hint="default"/>
                <w:spacing w:val="14"/>
                <w:sz w:val="18"/>
                <w:szCs w:val="18"/>
              </w:rPr>
              <w:t>的兑付</w:t>
            </w:r>
            <w:r>
              <w:rPr>
                <w:rFonts w:ascii="宋体" w:hAnsi="宋体" w:cs="宋体" w:eastAsia="宋体" w:hint="default"/>
                <w:sz w:val="18"/>
                <w:szCs w:val="18"/>
              </w:rPr>
              <w:t> 一起支付</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30"/>
                <w:sz w:val="18"/>
                <w:szCs w:val="18"/>
              </w:rPr>
              <w:t>上海证券</w:t>
            </w:r>
            <w:r>
              <w:rPr>
                <w:rFonts w:ascii="宋体" w:hAnsi="宋体" w:cs="宋体" w:eastAsia="宋体" w:hint="default"/>
                <w:spacing w:val="-50"/>
                <w:sz w:val="18"/>
                <w:szCs w:val="18"/>
              </w:rPr>
              <w:t> </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交易所</w:t>
            </w:r>
          </w:p>
        </w:tc>
      </w:tr>
      <w:tr>
        <w:trPr>
          <w:trHeight w:val="713" w:hRule="exact"/>
        </w:trPr>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中国联合网络通信有限</w:t>
            </w:r>
          </w:p>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 </w:t>
            </w:r>
            <w:r>
              <w:rPr>
                <w:rFonts w:ascii="宋体" w:hAnsi="宋体" w:cs="宋体" w:eastAsia="宋体" w:hint="default"/>
                <w:sz w:val="18"/>
                <w:szCs w:val="18"/>
              </w:rPr>
              <w:t>2019</w:t>
            </w:r>
            <w:r>
              <w:rPr>
                <w:rFonts w:ascii="宋体" w:hAnsi="宋体" w:cs="宋体" w:eastAsia="宋体" w:hint="default"/>
                <w:spacing w:val="19"/>
                <w:sz w:val="18"/>
                <w:szCs w:val="18"/>
              </w:rPr>
              <w:t> </w:t>
            </w:r>
            <w:r>
              <w:rPr>
                <w:rFonts w:ascii="宋体" w:hAnsi="宋体" w:cs="宋体" w:eastAsia="宋体" w:hint="default"/>
                <w:sz w:val="18"/>
                <w:szCs w:val="18"/>
              </w:rPr>
              <w:t>年公司债券</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（第一期）</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19</w:t>
            </w:r>
            <w:r>
              <w:rPr>
                <w:rFonts w:ascii="宋体" w:hAnsi="宋体" w:cs="宋体" w:eastAsia="宋体" w:hint="default"/>
                <w:spacing w:val="69"/>
                <w:sz w:val="18"/>
                <w:szCs w:val="18"/>
              </w:rPr>
              <w:t> </w:t>
            </w:r>
            <w:r>
              <w:rPr>
                <w:rFonts w:ascii="宋体" w:hAnsi="宋体" w:cs="宋体" w:eastAsia="宋体" w:hint="default"/>
                <w:spacing w:val="33"/>
                <w:sz w:val="18"/>
                <w:szCs w:val="18"/>
              </w:rPr>
              <w:t>联通</w:t>
            </w:r>
            <w:r>
              <w:rPr>
                <w:rFonts w:ascii="宋体" w:hAnsi="宋体" w:cs="宋体" w:eastAsia="宋体" w:hint="default"/>
                <w:spacing w:val="-23"/>
                <w:sz w:val="18"/>
                <w:szCs w:val="18"/>
              </w:rPr>
              <w:t> </w:t>
            </w:r>
            <w:r>
              <w:rPr>
                <w:rFonts w:ascii="宋体" w:hAnsi="宋体" w:cs="宋体" w:eastAsia="宋体" w:hint="default"/>
                <w:sz w:val="18"/>
                <w:szCs w:val="18"/>
              </w:rPr>
            </w:r>
          </w:p>
          <w:p>
            <w:pPr>
              <w:pStyle w:val="TableParagraph"/>
              <w:spacing w:line="234" w:lineRule="exact"/>
              <w:ind w:left="100" w:right="0"/>
              <w:jc w:val="left"/>
              <w:rPr>
                <w:rFonts w:ascii="宋体" w:hAnsi="宋体" w:cs="宋体" w:eastAsia="宋体" w:hint="default"/>
                <w:sz w:val="18"/>
                <w:szCs w:val="18"/>
              </w:rPr>
            </w:pPr>
            <w:r>
              <w:rPr>
                <w:rFonts w:ascii="宋体"/>
                <w:sz w:val="18"/>
              </w:rPr>
              <w:t>01</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68"/>
              <w:jc w:val="center"/>
              <w:rPr>
                <w:rFonts w:ascii="宋体" w:hAnsi="宋体" w:cs="宋体" w:eastAsia="宋体" w:hint="default"/>
                <w:sz w:val="18"/>
                <w:szCs w:val="18"/>
              </w:rPr>
            </w:pPr>
            <w:r>
              <w:rPr>
                <w:rFonts w:ascii="宋体"/>
                <w:sz w:val="18"/>
              </w:rPr>
              <w:t>155478.SH</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6</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19</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2022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6</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19</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91"/>
              <w:jc w:val="center"/>
              <w:rPr>
                <w:rFonts w:ascii="宋体" w:hAnsi="宋体" w:cs="宋体" w:eastAsia="宋体" w:hint="default"/>
                <w:sz w:val="18"/>
                <w:szCs w:val="18"/>
              </w:rPr>
            </w:pPr>
            <w:r>
              <w:rPr>
                <w:rFonts w:ascii="宋体"/>
                <w:sz w:val="18"/>
              </w:rPr>
              <w:t>2,000,000,000</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sz w:val="18"/>
              </w:rPr>
              <w:t>3.67%</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30"/>
                <w:sz w:val="18"/>
                <w:szCs w:val="18"/>
              </w:rPr>
              <w:t>上海证券</w:t>
            </w:r>
            <w:r>
              <w:rPr>
                <w:rFonts w:ascii="宋体" w:hAnsi="宋体" w:cs="宋体" w:eastAsia="宋体" w:hint="default"/>
                <w:spacing w:val="-50"/>
                <w:sz w:val="18"/>
                <w:szCs w:val="18"/>
              </w:rPr>
              <w:t> </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交易所</w:t>
            </w:r>
          </w:p>
        </w:tc>
      </w:tr>
    </w:tbl>
    <w:p>
      <w:pPr>
        <w:spacing w:line="240" w:lineRule="auto" w:before="13"/>
        <w:rPr>
          <w:rFonts w:ascii="宋体" w:hAnsi="宋体" w:cs="宋体" w:eastAsia="宋体" w:hint="default"/>
          <w:sz w:val="12"/>
          <w:szCs w:val="12"/>
        </w:rPr>
      </w:pPr>
    </w:p>
    <w:p>
      <w:pPr>
        <w:spacing w:line="429" w:lineRule="auto" w:before="36"/>
        <w:ind w:left="1218" w:right="3738" w:firstLine="0"/>
        <w:jc w:val="left"/>
        <w:rPr>
          <w:rFonts w:ascii="宋体" w:hAnsi="宋体" w:cs="宋体" w:eastAsia="宋体" w:hint="default"/>
          <w:sz w:val="21"/>
          <w:szCs w:val="21"/>
        </w:rPr>
      </w:pPr>
      <w:r>
        <w:rPr>
          <w:rFonts w:ascii="宋体" w:hAnsi="宋体" w:cs="宋体" w:eastAsia="宋体" w:hint="default"/>
          <w:sz w:val="21"/>
          <w:szCs w:val="21"/>
        </w:rPr>
        <w:t>本节所提供信息均为上述公司债券发行人联通运营公司之信息。</w:t>
      </w:r>
      <w:r>
        <w:rPr>
          <w:rFonts w:ascii="宋体" w:hAnsi="宋体" w:cs="宋体" w:eastAsia="宋体" w:hint="default"/>
          <w:w w:val="100"/>
          <w:sz w:val="21"/>
          <w:szCs w:val="21"/>
        </w:rPr>
        <w:t> </w:t>
      </w:r>
      <w:r>
        <w:rPr>
          <w:rFonts w:ascii="宋体" w:hAnsi="宋体" w:cs="宋体" w:eastAsia="宋体" w:hint="default"/>
          <w:sz w:val="21"/>
          <w:szCs w:val="21"/>
        </w:rPr>
        <w:t>公司债券付息兑付情况</w:t>
      </w:r>
      <w:r>
        <w:rPr>
          <w:rFonts w:ascii="宋体" w:hAnsi="宋体" w:cs="宋体" w:eastAsia="宋体" w:hint="default"/>
          <w:w w:val="100"/>
          <w:sz w:val="21"/>
          <w:szCs w:val="21"/>
        </w:rPr>
        <w:t> </w:t>
      </w:r>
      <w:r>
        <w:rPr>
          <w:rFonts w:ascii="宋体" w:hAnsi="宋体" w:cs="宋体" w:eastAsia="宋体" w:hint="default"/>
          <w:sz w:val="21"/>
          <w:szCs w:val="21"/>
        </w:rPr>
        <w:t>联通运营公司现存公司债券报告期内兑付正常。</w:t>
      </w:r>
    </w:p>
    <w:p>
      <w:pPr>
        <w:spacing w:line="240" w:lineRule="auto" w:before="4"/>
        <w:rPr>
          <w:rFonts w:ascii="宋体" w:hAnsi="宋体" w:cs="宋体" w:eastAsia="宋体" w:hint="default"/>
          <w:sz w:val="17"/>
          <w:szCs w:val="17"/>
        </w:rPr>
      </w:pPr>
    </w:p>
    <w:p>
      <w:pPr>
        <w:spacing w:before="0"/>
        <w:ind w:left="1218" w:right="37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二、公司债券受托管理联系人、联系方式及资信评级机构联系方式</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7"/>
          <w:szCs w:val="17"/>
        </w:rPr>
      </w:pPr>
    </w:p>
    <w:tbl>
      <w:tblPr>
        <w:tblW w:w="0" w:type="auto"/>
        <w:jc w:val="left"/>
        <w:tblInd w:w="1106" w:type="dxa"/>
        <w:tblLayout w:type="fixed"/>
        <w:tblCellMar>
          <w:top w:w="0" w:type="dxa"/>
          <w:left w:w="0" w:type="dxa"/>
          <w:bottom w:w="0" w:type="dxa"/>
          <w:right w:w="0" w:type="dxa"/>
        </w:tblCellMar>
        <w:tblLook w:val="01E0"/>
      </w:tblPr>
      <w:tblGrid>
        <w:gridCol w:w="2294"/>
        <w:gridCol w:w="2386"/>
        <w:gridCol w:w="4748"/>
      </w:tblGrid>
      <w:tr>
        <w:trPr>
          <w:trHeight w:val="283" w:hRule="exact"/>
        </w:trPr>
        <w:tc>
          <w:tcPr>
            <w:tcW w:w="229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80"/>
              <w:ind w:left="405" w:right="0"/>
              <w:jc w:val="left"/>
              <w:rPr>
                <w:rFonts w:ascii="宋体" w:hAnsi="宋体" w:cs="宋体" w:eastAsia="宋体" w:hint="default"/>
                <w:sz w:val="21"/>
                <w:szCs w:val="21"/>
              </w:rPr>
            </w:pPr>
            <w:r>
              <w:rPr>
                <w:rFonts w:ascii="宋体" w:hAnsi="宋体" w:cs="宋体" w:eastAsia="宋体" w:hint="default"/>
                <w:sz w:val="21"/>
                <w:szCs w:val="21"/>
              </w:rPr>
              <w:t>债券受托管理人</w:t>
            </w:r>
          </w:p>
        </w:tc>
        <w:tc>
          <w:tcPr>
            <w:tcW w:w="23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名称</w:t>
            </w:r>
          </w:p>
        </w:tc>
        <w:tc>
          <w:tcPr>
            <w:tcW w:w="474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中国国际金融股份有限公司</w:t>
            </w:r>
          </w:p>
        </w:tc>
      </w:tr>
      <w:tr>
        <w:trPr>
          <w:trHeight w:val="555" w:hRule="exact"/>
        </w:trPr>
        <w:tc>
          <w:tcPr>
            <w:tcW w:w="2294" w:type="dxa"/>
            <w:vMerge/>
            <w:tcBorders>
              <w:left w:val="single" w:sz="4" w:space="0" w:color="000000"/>
              <w:right w:val="single" w:sz="4" w:space="0" w:color="000000"/>
            </w:tcBorders>
            <w:shd w:val="clear" w:color="auto" w:fill="D9D9D9"/>
          </w:tcPr>
          <w:p>
            <w:pPr/>
          </w:p>
        </w:tc>
        <w:tc>
          <w:tcPr>
            <w:tcW w:w="23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3"/>
              <w:ind w:left="103" w:right="0"/>
              <w:jc w:val="left"/>
              <w:rPr>
                <w:rFonts w:ascii="宋体" w:hAnsi="宋体" w:cs="宋体" w:eastAsia="宋体" w:hint="default"/>
                <w:sz w:val="21"/>
                <w:szCs w:val="21"/>
              </w:rPr>
            </w:pPr>
            <w:r>
              <w:rPr>
                <w:rFonts w:ascii="宋体" w:hAnsi="宋体" w:cs="宋体" w:eastAsia="宋体" w:hint="default"/>
                <w:sz w:val="21"/>
                <w:szCs w:val="21"/>
              </w:rPr>
              <w:t>办公地址</w:t>
            </w:r>
          </w:p>
        </w:tc>
        <w:tc>
          <w:tcPr>
            <w:tcW w:w="474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北京市建国门外大街</w:t>
            </w:r>
            <w:r>
              <w:rPr>
                <w:rFonts w:ascii="宋体" w:hAnsi="宋体" w:cs="宋体" w:eastAsia="宋体" w:hint="default"/>
                <w:spacing w:val="-57"/>
                <w:sz w:val="21"/>
                <w:szCs w:val="21"/>
              </w:rPr>
              <w:t> </w:t>
            </w:r>
            <w:r>
              <w:rPr>
                <w:rFonts w:ascii="宋体" w:hAnsi="宋体" w:cs="宋体" w:eastAsia="宋体" w:hint="default"/>
                <w:sz w:val="21"/>
                <w:szCs w:val="21"/>
              </w:rPr>
              <w:t>1</w:t>
            </w:r>
            <w:r>
              <w:rPr>
                <w:rFonts w:ascii="宋体" w:hAnsi="宋体" w:cs="宋体" w:eastAsia="宋体" w:hint="default"/>
                <w:spacing w:val="-60"/>
                <w:sz w:val="21"/>
                <w:szCs w:val="21"/>
              </w:rPr>
              <w:t> </w:t>
            </w:r>
            <w:r>
              <w:rPr>
                <w:rFonts w:ascii="宋体" w:hAnsi="宋体" w:cs="宋体" w:eastAsia="宋体" w:hint="default"/>
                <w:sz w:val="21"/>
                <w:szCs w:val="21"/>
              </w:rPr>
              <w:t>号国贸大厦</w:t>
            </w:r>
            <w:r>
              <w:rPr>
                <w:rFonts w:ascii="宋体" w:hAnsi="宋体" w:cs="宋体" w:eastAsia="宋体" w:hint="default"/>
                <w:spacing w:val="-59"/>
                <w:sz w:val="21"/>
                <w:szCs w:val="21"/>
              </w:rPr>
              <w:t> </w:t>
            </w:r>
            <w:r>
              <w:rPr>
                <w:rFonts w:ascii="宋体" w:hAnsi="宋体" w:cs="宋体" w:eastAsia="宋体" w:hint="default"/>
                <w:sz w:val="21"/>
                <w:szCs w:val="21"/>
              </w:rPr>
              <w:t>2</w:t>
            </w:r>
            <w:r>
              <w:rPr>
                <w:rFonts w:ascii="宋体" w:hAnsi="宋体" w:cs="宋体" w:eastAsia="宋体" w:hint="default"/>
                <w:spacing w:val="-57"/>
                <w:sz w:val="21"/>
                <w:szCs w:val="21"/>
              </w:rPr>
              <w:t> </w:t>
            </w:r>
            <w:r>
              <w:rPr>
                <w:rFonts w:ascii="宋体" w:hAnsi="宋体" w:cs="宋体" w:eastAsia="宋体" w:hint="default"/>
                <w:sz w:val="21"/>
                <w:szCs w:val="21"/>
              </w:rPr>
              <w:t>座</w:t>
            </w:r>
            <w:r>
              <w:rPr>
                <w:rFonts w:ascii="宋体" w:hAnsi="宋体" w:cs="宋体" w:eastAsia="宋体" w:hint="default"/>
                <w:spacing w:val="-60"/>
                <w:sz w:val="21"/>
                <w:szCs w:val="21"/>
              </w:rPr>
              <w:t> </w:t>
            </w:r>
            <w:r>
              <w:rPr>
                <w:rFonts w:ascii="宋体" w:hAnsi="宋体" w:cs="宋体" w:eastAsia="宋体" w:hint="default"/>
                <w:sz w:val="21"/>
                <w:szCs w:val="21"/>
              </w:rPr>
              <w:t>27</w:t>
            </w:r>
            <w:r>
              <w:rPr>
                <w:rFonts w:ascii="宋体" w:hAnsi="宋体" w:cs="宋体" w:eastAsia="宋体" w:hint="default"/>
                <w:spacing w:val="-60"/>
                <w:sz w:val="21"/>
                <w:szCs w:val="21"/>
              </w:rPr>
              <w:t> </w:t>
            </w:r>
            <w:r>
              <w:rPr>
                <w:rFonts w:ascii="宋体" w:hAnsi="宋体" w:cs="宋体" w:eastAsia="宋体" w:hint="default"/>
                <w:sz w:val="21"/>
                <w:szCs w:val="21"/>
              </w:rPr>
              <w:t>层及</w:t>
            </w:r>
            <w:r>
              <w:rPr>
                <w:rFonts w:ascii="宋体" w:hAnsi="宋体" w:cs="宋体" w:eastAsia="宋体" w:hint="default"/>
                <w:spacing w:val="-60"/>
                <w:sz w:val="21"/>
                <w:szCs w:val="21"/>
              </w:rPr>
              <w:t> </w:t>
            </w:r>
            <w:r>
              <w:rPr>
                <w:rFonts w:ascii="宋体" w:hAnsi="宋体" w:cs="宋体" w:eastAsia="宋体" w:hint="default"/>
                <w:sz w:val="21"/>
                <w:szCs w:val="21"/>
              </w:rPr>
              <w:t>28</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层</w:t>
            </w:r>
          </w:p>
        </w:tc>
      </w:tr>
      <w:tr>
        <w:trPr>
          <w:trHeight w:val="283" w:hRule="exact"/>
        </w:trPr>
        <w:tc>
          <w:tcPr>
            <w:tcW w:w="2294" w:type="dxa"/>
            <w:vMerge/>
            <w:tcBorders>
              <w:left w:val="single" w:sz="4" w:space="0" w:color="000000"/>
              <w:right w:val="single" w:sz="4" w:space="0" w:color="000000"/>
            </w:tcBorders>
            <w:shd w:val="clear" w:color="auto" w:fill="D9D9D9"/>
          </w:tcPr>
          <w:p>
            <w:pPr/>
          </w:p>
        </w:tc>
        <w:tc>
          <w:tcPr>
            <w:tcW w:w="23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联系人</w:t>
            </w:r>
          </w:p>
        </w:tc>
        <w:tc>
          <w:tcPr>
            <w:tcW w:w="47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郭允、潘念欧、雷仁光</w:t>
            </w:r>
          </w:p>
        </w:tc>
      </w:tr>
      <w:tr>
        <w:trPr>
          <w:trHeight w:val="282" w:hRule="exact"/>
        </w:trPr>
        <w:tc>
          <w:tcPr>
            <w:tcW w:w="2294" w:type="dxa"/>
            <w:vMerge/>
            <w:tcBorders>
              <w:left w:val="single" w:sz="4" w:space="0" w:color="000000"/>
              <w:bottom w:val="single" w:sz="4" w:space="0" w:color="000000"/>
              <w:right w:val="single" w:sz="4" w:space="0" w:color="000000"/>
            </w:tcBorders>
            <w:shd w:val="clear" w:color="auto" w:fill="D9D9D9"/>
          </w:tcPr>
          <w:p>
            <w:pPr/>
          </w:p>
        </w:tc>
        <w:tc>
          <w:tcPr>
            <w:tcW w:w="23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联系电话</w:t>
            </w:r>
          </w:p>
        </w:tc>
        <w:tc>
          <w:tcPr>
            <w:tcW w:w="47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010-65051166</w:t>
            </w:r>
          </w:p>
        </w:tc>
      </w:tr>
      <w:tr>
        <w:trPr>
          <w:trHeight w:val="282" w:hRule="exact"/>
        </w:trPr>
        <w:tc>
          <w:tcPr>
            <w:tcW w:w="229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06"/>
              <w:ind w:left="511" w:right="0"/>
              <w:jc w:val="left"/>
              <w:rPr>
                <w:rFonts w:ascii="宋体" w:hAnsi="宋体" w:cs="宋体" w:eastAsia="宋体" w:hint="default"/>
                <w:sz w:val="21"/>
                <w:szCs w:val="21"/>
              </w:rPr>
            </w:pPr>
            <w:r>
              <w:rPr>
                <w:rFonts w:ascii="宋体" w:hAnsi="宋体" w:cs="宋体" w:eastAsia="宋体" w:hint="default"/>
                <w:sz w:val="21"/>
                <w:szCs w:val="21"/>
              </w:rPr>
              <w:t>资信评级机构</w:t>
            </w:r>
          </w:p>
        </w:tc>
        <w:tc>
          <w:tcPr>
            <w:tcW w:w="23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2" w:lineRule="exact"/>
              <w:ind w:left="103" w:right="0"/>
              <w:jc w:val="left"/>
              <w:rPr>
                <w:rFonts w:ascii="宋体" w:hAnsi="宋体" w:cs="宋体" w:eastAsia="宋体" w:hint="default"/>
                <w:sz w:val="21"/>
                <w:szCs w:val="21"/>
              </w:rPr>
            </w:pPr>
            <w:r>
              <w:rPr>
                <w:rFonts w:ascii="宋体" w:hAnsi="宋体" w:cs="宋体" w:eastAsia="宋体" w:hint="default"/>
                <w:sz w:val="21"/>
                <w:szCs w:val="21"/>
              </w:rPr>
              <w:t>名称</w:t>
            </w:r>
          </w:p>
        </w:tc>
        <w:tc>
          <w:tcPr>
            <w:tcW w:w="4748"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03" w:right="0"/>
              <w:jc w:val="left"/>
              <w:rPr>
                <w:rFonts w:ascii="宋体" w:hAnsi="宋体" w:cs="宋体" w:eastAsia="宋体" w:hint="default"/>
                <w:sz w:val="21"/>
                <w:szCs w:val="21"/>
              </w:rPr>
            </w:pPr>
            <w:r>
              <w:rPr>
                <w:rFonts w:ascii="宋体" w:hAnsi="宋体" w:cs="宋体" w:eastAsia="宋体" w:hint="default"/>
                <w:sz w:val="21"/>
                <w:szCs w:val="21"/>
              </w:rPr>
              <w:t>联合信用评级有限公司</w:t>
            </w:r>
          </w:p>
        </w:tc>
      </w:tr>
      <w:tr>
        <w:trPr>
          <w:trHeight w:val="283" w:hRule="exact"/>
        </w:trPr>
        <w:tc>
          <w:tcPr>
            <w:tcW w:w="2294" w:type="dxa"/>
            <w:vMerge/>
            <w:tcBorders>
              <w:left w:val="single" w:sz="4" w:space="0" w:color="000000"/>
              <w:bottom w:val="single" w:sz="4" w:space="0" w:color="000000"/>
              <w:right w:val="single" w:sz="4" w:space="0" w:color="000000"/>
            </w:tcBorders>
            <w:shd w:val="clear" w:color="auto" w:fill="D9D9D9"/>
          </w:tcPr>
          <w:p>
            <w:pPr/>
          </w:p>
        </w:tc>
        <w:tc>
          <w:tcPr>
            <w:tcW w:w="23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办公地址</w:t>
            </w:r>
          </w:p>
        </w:tc>
        <w:tc>
          <w:tcPr>
            <w:tcW w:w="47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北京市朝阳区建国门外大街</w:t>
            </w:r>
            <w:r>
              <w:rPr>
                <w:rFonts w:ascii="宋体" w:hAnsi="宋体" w:cs="宋体" w:eastAsia="宋体" w:hint="default"/>
                <w:spacing w:val="-53"/>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号</w:t>
            </w:r>
            <w:r>
              <w:rPr>
                <w:rFonts w:ascii="宋体" w:hAnsi="宋体" w:cs="宋体" w:eastAsia="宋体" w:hint="default"/>
                <w:spacing w:val="-53"/>
                <w:sz w:val="21"/>
                <w:szCs w:val="21"/>
              </w:rPr>
              <w:t> </w:t>
            </w:r>
            <w:r>
              <w:rPr>
                <w:rFonts w:ascii="宋体" w:hAnsi="宋体" w:cs="宋体" w:eastAsia="宋体" w:hint="default"/>
                <w:sz w:val="21"/>
                <w:szCs w:val="21"/>
              </w:rPr>
              <w:t>PICC</w:t>
            </w:r>
            <w:r>
              <w:rPr>
                <w:rFonts w:ascii="宋体" w:hAnsi="宋体" w:cs="宋体" w:eastAsia="宋体" w:hint="default"/>
                <w:spacing w:val="-53"/>
                <w:sz w:val="21"/>
                <w:szCs w:val="21"/>
              </w:rPr>
              <w:t> </w:t>
            </w:r>
            <w:r>
              <w:rPr>
                <w:rFonts w:ascii="宋体" w:hAnsi="宋体" w:cs="宋体" w:eastAsia="宋体" w:hint="default"/>
                <w:sz w:val="21"/>
                <w:szCs w:val="21"/>
              </w:rPr>
              <w:t>大厦</w:t>
            </w:r>
            <w:r>
              <w:rPr>
                <w:rFonts w:ascii="宋体" w:hAnsi="宋体" w:cs="宋体" w:eastAsia="宋体" w:hint="default"/>
                <w:spacing w:val="-53"/>
                <w:sz w:val="21"/>
                <w:szCs w:val="21"/>
              </w:rPr>
              <w:t> </w:t>
            </w:r>
            <w:r>
              <w:rPr>
                <w:rFonts w:ascii="宋体" w:hAnsi="宋体" w:cs="宋体" w:eastAsia="宋体" w:hint="default"/>
                <w:sz w:val="21"/>
                <w:szCs w:val="21"/>
              </w:rPr>
              <w:t>12</w:t>
            </w:r>
            <w:r>
              <w:rPr>
                <w:rFonts w:ascii="宋体" w:hAnsi="宋体" w:cs="宋体" w:eastAsia="宋体" w:hint="default"/>
                <w:spacing w:val="-55"/>
                <w:sz w:val="21"/>
                <w:szCs w:val="21"/>
              </w:rPr>
              <w:t> </w:t>
            </w:r>
            <w:r>
              <w:rPr>
                <w:rFonts w:ascii="宋体" w:hAnsi="宋体" w:cs="宋体" w:eastAsia="宋体" w:hint="default"/>
                <w:sz w:val="21"/>
                <w:szCs w:val="21"/>
              </w:rPr>
              <w:t>层</w:t>
            </w:r>
          </w:p>
        </w:tc>
      </w:tr>
    </w:tbl>
    <w:p>
      <w:pPr>
        <w:spacing w:line="240" w:lineRule="auto" w:before="17"/>
        <w:rPr>
          <w:rFonts w:ascii="Microsoft JhengHei" w:hAnsi="Microsoft JhengHei" w:cs="Microsoft JhengHei" w:eastAsia="Microsoft JhengHei" w:hint="default"/>
          <w:b/>
          <w:bCs/>
          <w:sz w:val="14"/>
          <w:szCs w:val="14"/>
        </w:rPr>
      </w:pPr>
    </w:p>
    <w:p>
      <w:pPr>
        <w:spacing w:line="335" w:lineRule="exact" w:before="0"/>
        <w:ind w:left="1218" w:right="37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三、公司债券募集资金使用情况</w:t>
      </w:r>
      <w:r>
        <w:rPr>
          <w:rFonts w:ascii="Microsoft JhengHei" w:hAnsi="Microsoft JhengHei" w:cs="Microsoft JhengHei" w:eastAsia="Microsoft JhengHei" w:hint="default"/>
          <w:sz w:val="21"/>
          <w:szCs w:val="21"/>
        </w:rPr>
      </w:r>
    </w:p>
    <w:p>
      <w:pPr>
        <w:spacing w:line="314" w:lineRule="auto" w:before="171"/>
        <w:ind w:left="1218" w:right="1008" w:firstLine="420"/>
        <w:jc w:val="both"/>
        <w:rPr>
          <w:rFonts w:ascii="宋体" w:hAnsi="宋体" w:cs="宋体" w:eastAsia="宋体" w:hint="default"/>
          <w:sz w:val="21"/>
          <w:szCs w:val="21"/>
        </w:rPr>
      </w:pPr>
      <w:r>
        <w:rPr>
          <w:rFonts w:ascii="宋体" w:hAnsi="宋体" w:cs="宋体" w:eastAsia="宋体" w:hint="default"/>
          <w:spacing w:val="-3"/>
          <w:sz w:val="21"/>
          <w:szCs w:val="21"/>
        </w:rPr>
        <w:t>联通运营公司严格遵循公司的资金管理制度及相关法律法规，履行募集资金使用的相关程序，遵</w:t>
      </w:r>
      <w:r>
        <w:rPr>
          <w:rFonts w:ascii="宋体" w:hAnsi="宋体" w:cs="宋体" w:eastAsia="宋体" w:hint="default"/>
          <w:w w:val="100"/>
          <w:sz w:val="21"/>
          <w:szCs w:val="21"/>
        </w:rPr>
        <w:t> </w:t>
      </w:r>
      <w:r>
        <w:rPr>
          <w:rFonts w:ascii="宋体" w:hAnsi="宋体" w:cs="宋体" w:eastAsia="宋体" w:hint="default"/>
          <w:spacing w:val="-3"/>
          <w:sz w:val="21"/>
          <w:szCs w:val="21"/>
        </w:rPr>
        <w:t>照募集说明书承诺的用途、使用计划及其他约定。募集资金全部用于偿还到期债务融资工具和补充本</w:t>
      </w:r>
      <w:r>
        <w:rPr>
          <w:rFonts w:ascii="宋体" w:hAnsi="宋体" w:cs="宋体" w:eastAsia="宋体" w:hint="default"/>
          <w:spacing w:val="-9"/>
          <w:sz w:val="21"/>
          <w:szCs w:val="21"/>
        </w:rPr>
        <w:t> </w:t>
      </w:r>
      <w:r>
        <w:rPr>
          <w:rFonts w:ascii="宋体" w:hAnsi="宋体" w:cs="宋体" w:eastAsia="宋体" w:hint="default"/>
          <w:spacing w:val="-9"/>
          <w:sz w:val="21"/>
          <w:szCs w:val="21"/>
        </w:rPr>
      </w:r>
      <w:r>
        <w:rPr>
          <w:rFonts w:ascii="宋体" w:hAnsi="宋体" w:cs="宋体" w:eastAsia="宋体" w:hint="default"/>
          <w:sz w:val="21"/>
          <w:szCs w:val="21"/>
        </w:rPr>
        <w:t>公司在业务运营过程中对营运资金的需求。</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p>
      <w:pPr>
        <w:spacing w:line="350" w:lineRule="auto" w:before="0"/>
        <w:ind w:left="1638" w:right="373" w:hanging="420"/>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四、公司债券评级情况</w:t>
      </w:r>
      <w:r>
        <w:rPr>
          <w:rFonts w:ascii="Microsoft JhengHei" w:hAnsi="Microsoft JhengHei" w:cs="Microsoft JhengHei" w:eastAsia="Microsoft JhengHei" w:hint="default"/>
          <w:b/>
          <w:bCs/>
          <w:spacing w:val="-42"/>
          <w:sz w:val="21"/>
          <w:szCs w:val="21"/>
        </w:rPr>
        <w:t> </w:t>
      </w:r>
      <w:r>
        <w:rPr>
          <w:rFonts w:ascii="Microsoft JhengHei" w:hAnsi="Microsoft JhengHei" w:cs="Microsoft JhengHei" w:eastAsia="Microsoft JhengHei" w:hint="default"/>
          <w:b/>
          <w:bCs/>
          <w:spacing w:val="-42"/>
          <w:sz w:val="21"/>
          <w:szCs w:val="21"/>
        </w:rPr>
      </w:r>
      <w:r>
        <w:rPr>
          <w:rFonts w:ascii="宋体" w:hAnsi="宋体" w:cs="宋体" w:eastAsia="宋体" w:hint="default"/>
          <w:spacing w:val="-2"/>
          <w:sz w:val="21"/>
          <w:szCs w:val="21"/>
        </w:rPr>
        <w:t>联合信用评级有限公司将在每年联通运营公司审计报告出具后两个月内进行一次定期跟踪评级，</w:t>
      </w:r>
    </w:p>
    <w:p>
      <w:pPr>
        <w:spacing w:line="263" w:lineRule="exact" w:before="0"/>
        <w:ind w:left="1218" w:right="373" w:firstLine="0"/>
        <w:jc w:val="left"/>
        <w:rPr>
          <w:rFonts w:ascii="宋体" w:hAnsi="宋体" w:cs="宋体" w:eastAsia="宋体" w:hint="default"/>
          <w:sz w:val="21"/>
          <w:szCs w:val="21"/>
        </w:rPr>
      </w:pPr>
      <w:r>
        <w:rPr>
          <w:rFonts w:ascii="宋体" w:hAnsi="宋体" w:cs="宋体" w:eastAsia="宋体" w:hint="default"/>
          <w:sz w:val="21"/>
          <w:szCs w:val="21"/>
        </w:rPr>
        <w:t>并在债券存续期内根据有关情况进行不定期跟踪评级。</w:t>
      </w:r>
    </w:p>
    <w:p>
      <w:pPr>
        <w:spacing w:line="240" w:lineRule="auto" w:before="9"/>
        <w:rPr>
          <w:rFonts w:ascii="宋体" w:hAnsi="宋体" w:cs="宋体" w:eastAsia="宋体" w:hint="default"/>
          <w:sz w:val="15"/>
          <w:szCs w:val="15"/>
        </w:rPr>
      </w:pPr>
    </w:p>
    <w:p>
      <w:pPr>
        <w:spacing w:line="314" w:lineRule="auto" w:before="0"/>
        <w:ind w:left="1218" w:right="1008" w:firstLine="420"/>
        <w:jc w:val="both"/>
        <w:rPr>
          <w:rFonts w:ascii="宋体" w:hAnsi="宋体" w:cs="宋体" w:eastAsia="宋体" w:hint="default"/>
          <w:sz w:val="21"/>
          <w:szCs w:val="21"/>
        </w:rPr>
      </w:pPr>
      <w:r>
        <w:rPr>
          <w:rFonts w:ascii="宋体" w:hAnsi="宋体" w:cs="宋体" w:eastAsia="宋体" w:hint="default"/>
          <w:spacing w:val="-3"/>
          <w:sz w:val="21"/>
          <w:szCs w:val="21"/>
        </w:rPr>
        <w:t>报告期内，联通运营公司在中国境内发行其他债券、债务融资工具的主体评级不存在评级差异情</w:t>
      </w:r>
      <w:r>
        <w:rPr>
          <w:rFonts w:ascii="宋体" w:hAnsi="宋体" w:cs="宋体" w:eastAsia="宋体" w:hint="default"/>
          <w:w w:val="100"/>
          <w:sz w:val="21"/>
          <w:szCs w:val="21"/>
        </w:rPr>
        <w:t> </w:t>
      </w:r>
      <w:r>
        <w:rPr>
          <w:rFonts w:ascii="宋体" w:hAnsi="宋体" w:cs="宋体" w:eastAsia="宋体" w:hint="default"/>
          <w:sz w:val="21"/>
          <w:szCs w:val="21"/>
        </w:rPr>
        <w:t>况。</w:t>
      </w:r>
    </w:p>
    <w:p>
      <w:pPr>
        <w:spacing w:after="0" w:line="314" w:lineRule="auto"/>
        <w:jc w:val="both"/>
        <w:rPr>
          <w:rFonts w:ascii="宋体" w:hAnsi="宋体" w:cs="宋体" w:eastAsia="宋体" w:hint="default"/>
          <w:sz w:val="21"/>
          <w:szCs w:val="21"/>
        </w:rPr>
        <w:sectPr>
          <w:footerReference w:type="default" r:id="rId81"/>
          <w:pgSz w:w="11910" w:h="16840"/>
          <w:pgMar w:footer="502" w:header="852" w:top="1340" w:bottom="700" w:left="200" w:right="260"/>
        </w:sectPr>
      </w:pPr>
    </w:p>
    <w:p>
      <w:pPr>
        <w:spacing w:line="352" w:lineRule="auto" w:before="65"/>
        <w:ind w:left="638" w:right="120" w:hanging="420"/>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五、报告期内公司债券增信机制、偿债计划及其他相关情况</w:t>
      </w:r>
      <w:r>
        <w:rPr>
          <w:rFonts w:ascii="Microsoft JhengHei" w:hAnsi="Microsoft JhengHei" w:cs="Microsoft JhengHei" w:eastAsia="Microsoft JhengHei" w:hint="default"/>
          <w:b/>
          <w:bCs/>
          <w:spacing w:val="-35"/>
          <w:sz w:val="21"/>
          <w:szCs w:val="21"/>
        </w:rPr>
        <w:t> </w:t>
      </w:r>
      <w:r>
        <w:rPr>
          <w:rFonts w:ascii="Microsoft JhengHei" w:hAnsi="Microsoft JhengHei" w:cs="Microsoft JhengHei" w:eastAsia="Microsoft JhengHei" w:hint="default"/>
          <w:b/>
          <w:bCs/>
          <w:spacing w:val="-35"/>
          <w:sz w:val="21"/>
          <w:szCs w:val="21"/>
        </w:rPr>
      </w:r>
      <w:r>
        <w:rPr>
          <w:rFonts w:ascii="宋体" w:hAnsi="宋体" w:cs="宋体" w:eastAsia="宋体" w:hint="default"/>
          <w:spacing w:val="-3"/>
          <w:sz w:val="21"/>
          <w:szCs w:val="21"/>
        </w:rPr>
        <w:t>报告期内，联通运营公司债券无增信安排，偿债计划及偿债保障措施未发生变更，公司严格按照</w:t>
      </w:r>
    </w:p>
    <w:p>
      <w:pPr>
        <w:spacing w:line="261" w:lineRule="exact" w:before="0"/>
        <w:ind w:left="218" w:right="120" w:firstLine="0"/>
        <w:jc w:val="left"/>
        <w:rPr>
          <w:rFonts w:ascii="宋体" w:hAnsi="宋体" w:cs="宋体" w:eastAsia="宋体" w:hint="default"/>
          <w:sz w:val="21"/>
          <w:szCs w:val="21"/>
        </w:rPr>
      </w:pPr>
      <w:r>
        <w:rPr>
          <w:rFonts w:ascii="宋体" w:hAnsi="宋体" w:cs="宋体" w:eastAsia="宋体" w:hint="default"/>
          <w:sz w:val="21"/>
          <w:szCs w:val="21"/>
        </w:rPr>
        <w:t>募集说明书约定的还本付息安排向债券持有人支付债券利息及兑付债券本金。</w:t>
      </w:r>
    </w:p>
    <w:p>
      <w:pPr>
        <w:spacing w:line="240" w:lineRule="auto" w:before="0"/>
        <w:rPr>
          <w:rFonts w:ascii="宋体" w:hAnsi="宋体" w:cs="宋体" w:eastAsia="宋体" w:hint="default"/>
          <w:sz w:val="20"/>
          <w:szCs w:val="20"/>
        </w:rPr>
      </w:pPr>
    </w:p>
    <w:p>
      <w:pPr>
        <w:spacing w:line="352" w:lineRule="auto" w:before="131"/>
        <w:ind w:left="218" w:right="2012" w:firstLine="0"/>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六、公司债券持有人会议召开情况</w:t>
      </w:r>
      <w:r>
        <w:rPr>
          <w:rFonts w:ascii="Microsoft JhengHei" w:hAnsi="Microsoft JhengHei" w:cs="Microsoft JhengHei" w:eastAsia="Microsoft JhengHei" w:hint="default"/>
          <w:b/>
          <w:bCs/>
          <w:spacing w:val="-41"/>
          <w:sz w:val="21"/>
          <w:szCs w:val="21"/>
        </w:rPr>
        <w:t> </w:t>
      </w:r>
      <w:r>
        <w:rPr>
          <w:rFonts w:ascii="Microsoft JhengHei" w:hAnsi="Microsoft JhengHei" w:cs="Microsoft JhengHei" w:eastAsia="Microsoft JhengHei" w:hint="default"/>
          <w:b/>
          <w:bCs/>
          <w:spacing w:val="-41"/>
          <w:sz w:val="21"/>
          <w:szCs w:val="21"/>
        </w:rPr>
      </w:r>
      <w:r>
        <w:rPr>
          <w:rFonts w:ascii="宋体" w:hAnsi="宋体" w:cs="宋体" w:eastAsia="宋体" w:hint="default"/>
          <w:spacing w:val="-2"/>
          <w:sz w:val="21"/>
          <w:szCs w:val="21"/>
        </w:rPr>
        <w:t>本报告期内，联通运营公司未召开债券持有人会议。</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spacing w:line="350" w:lineRule="auto" w:before="0"/>
        <w:ind w:left="638" w:right="120" w:hanging="420"/>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七、公司债券受托管理人履职情况</w:t>
      </w:r>
      <w:r>
        <w:rPr>
          <w:rFonts w:ascii="Microsoft JhengHei" w:hAnsi="Microsoft JhengHei" w:cs="Microsoft JhengHei" w:eastAsia="Microsoft JhengHei" w:hint="default"/>
          <w:b/>
          <w:bCs/>
          <w:spacing w:val="-41"/>
          <w:sz w:val="21"/>
          <w:szCs w:val="21"/>
        </w:rPr>
        <w:t> </w:t>
      </w:r>
      <w:r>
        <w:rPr>
          <w:rFonts w:ascii="Microsoft JhengHei" w:hAnsi="Microsoft JhengHei" w:cs="Microsoft JhengHei" w:eastAsia="Microsoft JhengHei" w:hint="default"/>
          <w:b/>
          <w:bCs/>
          <w:spacing w:val="-41"/>
          <w:sz w:val="21"/>
          <w:szCs w:val="21"/>
        </w:rPr>
      </w:r>
      <w:r>
        <w:rPr>
          <w:rFonts w:ascii="宋体" w:hAnsi="宋体" w:cs="宋体" w:eastAsia="宋体" w:hint="default"/>
          <w:spacing w:val="-3"/>
          <w:sz w:val="21"/>
          <w:szCs w:val="21"/>
        </w:rPr>
        <w:t>前述公司债券存续期内，债券受托管理人中国国际金融股份有限公司严格按照《债券受托管理协</w:t>
      </w:r>
    </w:p>
    <w:p>
      <w:pPr>
        <w:spacing w:line="314" w:lineRule="auto" w:before="0"/>
        <w:ind w:left="218" w:right="227" w:firstLine="0"/>
        <w:jc w:val="both"/>
        <w:rPr>
          <w:rFonts w:ascii="宋体" w:hAnsi="宋体" w:cs="宋体" w:eastAsia="宋体" w:hint="default"/>
          <w:sz w:val="21"/>
          <w:szCs w:val="21"/>
        </w:rPr>
      </w:pPr>
      <w:r>
        <w:rPr>
          <w:rFonts w:ascii="宋体" w:hAnsi="宋体" w:cs="宋体" w:eastAsia="宋体" w:hint="default"/>
          <w:spacing w:val="-3"/>
          <w:sz w:val="21"/>
          <w:szCs w:val="21"/>
        </w:rPr>
        <w:t>议》中的约定，对联通运营公司资信状况、募集资金管理运用情况、公司债券本息偿付情况等进行了</w:t>
      </w:r>
      <w:r>
        <w:rPr>
          <w:rFonts w:ascii="宋体" w:hAnsi="宋体" w:cs="宋体" w:eastAsia="宋体" w:hint="default"/>
          <w:spacing w:val="-11"/>
          <w:sz w:val="21"/>
          <w:szCs w:val="21"/>
        </w:rPr>
        <w:t> </w:t>
      </w:r>
      <w:r>
        <w:rPr>
          <w:rFonts w:ascii="宋体" w:hAnsi="宋体" w:cs="宋体" w:eastAsia="宋体" w:hint="default"/>
          <w:spacing w:val="-11"/>
          <w:sz w:val="21"/>
          <w:szCs w:val="21"/>
        </w:rPr>
      </w:r>
      <w:r>
        <w:rPr>
          <w:rFonts w:ascii="宋体" w:hAnsi="宋体" w:cs="宋体" w:eastAsia="宋体" w:hint="default"/>
          <w:spacing w:val="-3"/>
          <w:sz w:val="21"/>
          <w:szCs w:val="21"/>
        </w:rPr>
        <w:t>持续跟踪，并督促联通运营公司履行公司债券募集说明书中所约定义务，积极行使了债券受托管理人</w:t>
      </w:r>
      <w:r>
        <w:rPr>
          <w:rFonts w:ascii="宋体" w:hAnsi="宋体" w:cs="宋体" w:eastAsia="宋体" w:hint="default"/>
          <w:spacing w:val="-9"/>
          <w:sz w:val="21"/>
          <w:szCs w:val="21"/>
        </w:rPr>
        <w:t> </w:t>
      </w:r>
      <w:r>
        <w:rPr>
          <w:rFonts w:ascii="宋体" w:hAnsi="宋体" w:cs="宋体" w:eastAsia="宋体" w:hint="default"/>
          <w:spacing w:val="-9"/>
          <w:sz w:val="21"/>
          <w:szCs w:val="21"/>
        </w:rPr>
      </w:r>
      <w:r>
        <w:rPr>
          <w:rFonts w:ascii="宋体" w:hAnsi="宋体" w:cs="宋体" w:eastAsia="宋体" w:hint="default"/>
          <w:sz w:val="21"/>
          <w:szCs w:val="21"/>
        </w:rPr>
        <w:t>职责，维护债券持有人的合法权益。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p>
      <w:pPr>
        <w:spacing w:line="335" w:lineRule="exact" w:before="0"/>
        <w:ind w:left="218" w:right="12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八、截至报告期末公司近 </w:t>
      </w:r>
      <w:r>
        <w:rPr>
          <w:rFonts w:ascii="Arial" w:hAnsi="Arial" w:cs="Arial" w:eastAsia="Arial" w:hint="default"/>
          <w:b/>
          <w:bCs/>
          <w:sz w:val="21"/>
          <w:szCs w:val="21"/>
        </w:rPr>
        <w:t>2</w:t>
      </w:r>
      <w:r>
        <w:rPr>
          <w:rFonts w:ascii="Arial" w:hAnsi="Arial" w:cs="Arial" w:eastAsia="Arial" w:hint="default"/>
          <w:b/>
          <w:bCs/>
          <w:spacing w:val="11"/>
          <w:sz w:val="21"/>
          <w:szCs w:val="21"/>
        </w:rPr>
        <w:t> </w:t>
      </w:r>
      <w:r>
        <w:rPr>
          <w:rFonts w:ascii="Microsoft JhengHei" w:hAnsi="Microsoft JhengHei" w:cs="Microsoft JhengHei" w:eastAsia="Microsoft JhengHei" w:hint="default"/>
          <w:b/>
          <w:bCs/>
          <w:sz w:val="21"/>
          <w:szCs w:val="21"/>
        </w:rPr>
        <w:t>年的会计数据和财务指标</w:t>
      </w:r>
      <w:r>
        <w:rPr>
          <w:rFonts w:ascii="Microsoft JhengHei" w:hAnsi="Microsoft JhengHei" w:cs="Microsoft JhengHei" w:eastAsia="Microsoft JhengHei" w:hint="default"/>
          <w:sz w:val="21"/>
          <w:szCs w:val="21"/>
        </w:rPr>
      </w:r>
    </w:p>
    <w:p>
      <w:pPr>
        <w:tabs>
          <w:tab w:pos="946" w:val="left" w:leader="none"/>
        </w:tabs>
        <w:spacing w:before="35"/>
        <w:ind w:left="0" w:right="230" w:firstLine="0"/>
        <w:jc w:val="right"/>
        <w:rPr>
          <w:rFonts w:ascii="宋体" w:hAnsi="宋体" w:cs="宋体" w:eastAsia="宋体" w:hint="default"/>
          <w:sz w:val="21"/>
          <w:szCs w:val="21"/>
        </w:rPr>
      </w:pPr>
      <w:r>
        <w:rPr>
          <w:rFonts w:ascii="宋体" w:hAnsi="宋体" w:cs="宋体" w:eastAsia="宋体" w:hint="default"/>
          <w:spacing w:val="-1"/>
          <w:sz w:val="21"/>
          <w:szCs w:val="21"/>
        </w:rPr>
        <w:t>单位</w:t>
      </w:r>
      <w:r>
        <w:rPr>
          <w:rFonts w:ascii="宋体" w:hAnsi="宋体" w:cs="宋体" w:eastAsia="宋体" w:hint="default"/>
          <w:spacing w:val="-1"/>
          <w:sz w:val="21"/>
          <w:szCs w:val="21"/>
        </w:rPr>
        <w:t>:</w:t>
      </w:r>
      <w:r>
        <w:rPr>
          <w:rFonts w:ascii="宋体" w:hAnsi="宋体" w:cs="宋体" w:eastAsia="宋体" w:hint="default"/>
          <w:spacing w:val="-1"/>
          <w:sz w:val="21"/>
          <w:szCs w:val="21"/>
        </w:rPr>
        <w:t>元</w:t>
        <w:tab/>
        <w:t>币种</w:t>
      </w:r>
      <w:r>
        <w:rPr>
          <w:rFonts w:ascii="宋体" w:hAnsi="宋体" w:cs="宋体" w:eastAsia="宋体" w:hint="default"/>
          <w:spacing w:val="-1"/>
          <w:sz w:val="21"/>
          <w:szCs w:val="21"/>
        </w:rPr>
        <w:t>:</w:t>
      </w:r>
      <w:r>
        <w:rPr>
          <w:rFonts w:ascii="宋体" w:hAnsi="宋体" w:cs="宋体" w:eastAsia="宋体" w:hint="default"/>
          <w:spacing w:val="-1"/>
          <w:sz w:val="21"/>
          <w:szCs w:val="21"/>
        </w:rPr>
        <w:t>人民币</w:t>
      </w:r>
    </w:p>
    <w:p>
      <w:pPr>
        <w:spacing w:line="240" w:lineRule="auto" w:before="4"/>
        <w:rPr>
          <w:rFonts w:ascii="宋体" w:hAnsi="宋体" w:cs="宋体" w:eastAsia="宋体" w:hint="default"/>
          <w:sz w:val="2"/>
          <w:szCs w:val="2"/>
        </w:rPr>
      </w:pPr>
    </w:p>
    <w:tbl>
      <w:tblPr>
        <w:tblW w:w="0" w:type="auto"/>
        <w:jc w:val="left"/>
        <w:tblInd w:w="106" w:type="dxa"/>
        <w:tblLayout w:type="fixed"/>
        <w:tblCellMar>
          <w:top w:w="0" w:type="dxa"/>
          <w:left w:w="0" w:type="dxa"/>
          <w:bottom w:w="0" w:type="dxa"/>
          <w:right w:w="0" w:type="dxa"/>
        </w:tblCellMar>
        <w:tblLook w:val="01E0"/>
      </w:tblPr>
      <w:tblGrid>
        <w:gridCol w:w="2328"/>
        <w:gridCol w:w="1772"/>
        <w:gridCol w:w="1774"/>
        <w:gridCol w:w="1625"/>
        <w:gridCol w:w="1930"/>
      </w:tblGrid>
      <w:tr>
        <w:trPr>
          <w:trHeight w:val="555" w:hRule="exact"/>
        </w:trPr>
        <w:tc>
          <w:tcPr>
            <w:tcW w:w="23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3"/>
              <w:ind w:left="739" w:right="0"/>
              <w:jc w:val="left"/>
              <w:rPr>
                <w:rFonts w:ascii="宋体" w:hAnsi="宋体" w:cs="宋体" w:eastAsia="宋体" w:hint="default"/>
                <w:sz w:val="21"/>
                <w:szCs w:val="21"/>
              </w:rPr>
            </w:pPr>
            <w:r>
              <w:rPr>
                <w:rFonts w:ascii="宋体" w:hAnsi="宋体" w:cs="宋体" w:eastAsia="宋体" w:hint="default"/>
                <w:sz w:val="21"/>
                <w:szCs w:val="21"/>
              </w:rPr>
              <w:t>主要指标</w:t>
            </w:r>
          </w:p>
        </w:tc>
        <w:tc>
          <w:tcPr>
            <w:tcW w:w="177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3"/>
              <w:ind w:left="540"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7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3"/>
              <w:ind w:left="539"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6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exact"/>
              <w:ind w:left="227" w:right="0" w:hanging="53"/>
              <w:jc w:val="left"/>
              <w:rPr>
                <w:rFonts w:ascii="宋体" w:hAnsi="宋体" w:cs="宋体" w:eastAsia="宋体" w:hint="default"/>
                <w:sz w:val="21"/>
                <w:szCs w:val="21"/>
              </w:rPr>
            </w:pPr>
            <w:r>
              <w:rPr>
                <w:rFonts w:ascii="宋体" w:hAnsi="宋体" w:cs="宋体" w:eastAsia="宋体" w:hint="default"/>
                <w:sz w:val="21"/>
                <w:szCs w:val="21"/>
              </w:rPr>
              <w:t>本期比上年同</w:t>
            </w:r>
          </w:p>
          <w:p>
            <w:pPr>
              <w:pStyle w:val="TableParagraph"/>
              <w:spacing w:line="274" w:lineRule="exact"/>
              <w:ind w:left="227" w:right="0"/>
              <w:jc w:val="left"/>
              <w:rPr>
                <w:rFonts w:ascii="宋体" w:hAnsi="宋体" w:cs="宋体" w:eastAsia="宋体" w:hint="default"/>
                <w:sz w:val="21"/>
                <w:szCs w:val="21"/>
              </w:rPr>
            </w:pPr>
            <w:r>
              <w:rPr>
                <w:rFonts w:ascii="宋体" w:hAnsi="宋体" w:cs="宋体" w:eastAsia="宋体" w:hint="default"/>
                <w:sz w:val="21"/>
                <w:szCs w:val="21"/>
              </w:rPr>
              <w:t>期增减（</w:t>
            </w:r>
            <w:r>
              <w:rPr>
                <w:rFonts w:ascii="宋体" w:hAnsi="宋体" w:cs="宋体" w:eastAsia="宋体" w:hint="default"/>
                <w:sz w:val="21"/>
                <w:szCs w:val="21"/>
              </w:rPr>
              <w:t>%</w:t>
            </w:r>
            <w:r>
              <w:rPr>
                <w:rFonts w:ascii="宋体" w:hAnsi="宋体" w:cs="宋体" w:eastAsia="宋体" w:hint="default"/>
                <w:sz w:val="21"/>
                <w:szCs w:val="21"/>
              </w:rPr>
              <w:t>）</w:t>
            </w:r>
          </w:p>
        </w:tc>
        <w:tc>
          <w:tcPr>
            <w:tcW w:w="19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3"/>
              <w:ind w:left="540" w:right="0"/>
              <w:jc w:val="left"/>
              <w:rPr>
                <w:rFonts w:ascii="宋体" w:hAnsi="宋体" w:cs="宋体" w:eastAsia="宋体" w:hint="default"/>
                <w:sz w:val="21"/>
                <w:szCs w:val="21"/>
              </w:rPr>
            </w:pPr>
            <w:r>
              <w:rPr>
                <w:rFonts w:ascii="宋体" w:hAnsi="宋体" w:cs="宋体" w:eastAsia="宋体" w:hint="default"/>
                <w:sz w:val="21"/>
                <w:szCs w:val="21"/>
              </w:rPr>
              <w:t>变动原因</w:t>
            </w:r>
          </w:p>
        </w:tc>
      </w:tr>
      <w:tr>
        <w:trPr>
          <w:trHeight w:val="554" w:hRule="exact"/>
        </w:trPr>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息税折旧摊销前利润</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93,770,700,351</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84,506,994,296</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10.96</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主要是受执行新租</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赁准则的影响</w:t>
            </w:r>
          </w:p>
        </w:tc>
      </w:tr>
      <w:tr>
        <w:trPr>
          <w:trHeight w:val="283" w:hRule="exact"/>
        </w:trPr>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流动比率</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39.88%</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z w:val="21"/>
              </w:rPr>
              <w:t>33.11%</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hAnsi="宋体" w:cs="宋体" w:eastAsia="宋体" w:hint="default"/>
                <w:sz w:val="21"/>
                <w:szCs w:val="21"/>
              </w:rPr>
              <w:t>6.77</w:t>
            </w:r>
            <w:r>
              <w:rPr>
                <w:rFonts w:ascii="宋体" w:hAnsi="宋体" w:cs="宋体" w:eastAsia="宋体" w:hint="default"/>
                <w:spacing w:val="-51"/>
                <w:sz w:val="21"/>
                <w:szCs w:val="21"/>
              </w:rPr>
              <w:t> </w:t>
            </w:r>
            <w:r>
              <w:rPr>
                <w:rFonts w:ascii="宋体" w:hAnsi="宋体" w:cs="宋体" w:eastAsia="宋体" w:hint="default"/>
                <w:sz w:val="21"/>
                <w:szCs w:val="21"/>
              </w:rPr>
              <w:t>个百分点</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带息负债减少</w:t>
            </w:r>
          </w:p>
        </w:tc>
      </w:tr>
      <w:tr>
        <w:trPr>
          <w:trHeight w:val="283" w:hRule="exact"/>
        </w:trPr>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速动比率</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38.75%</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32.06%</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hAnsi="宋体" w:cs="宋体" w:eastAsia="宋体" w:hint="default"/>
                <w:sz w:val="21"/>
                <w:szCs w:val="21"/>
              </w:rPr>
              <w:t>6.69</w:t>
            </w:r>
            <w:r>
              <w:rPr>
                <w:rFonts w:ascii="宋体" w:hAnsi="宋体" w:cs="宋体" w:eastAsia="宋体" w:hint="default"/>
                <w:spacing w:val="-51"/>
                <w:sz w:val="21"/>
                <w:szCs w:val="21"/>
              </w:rPr>
              <w:t> </w:t>
            </w:r>
            <w:r>
              <w:rPr>
                <w:rFonts w:ascii="宋体" w:hAnsi="宋体" w:cs="宋体" w:eastAsia="宋体" w:hint="default"/>
                <w:sz w:val="21"/>
                <w:szCs w:val="21"/>
              </w:rPr>
              <w:t>个百分点</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带息负债减少</w:t>
            </w:r>
          </w:p>
        </w:tc>
      </w:tr>
      <w:tr>
        <w:trPr>
          <w:trHeight w:val="554" w:hRule="exact"/>
        </w:trPr>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资产负债率（</w:t>
            </w:r>
            <w:r>
              <w:rPr>
                <w:rFonts w:ascii="宋体" w:hAnsi="宋体" w:cs="宋体" w:eastAsia="宋体" w:hint="default"/>
                <w:sz w:val="21"/>
                <w:szCs w:val="21"/>
              </w:rPr>
              <w:t>%</w:t>
            </w:r>
            <w:r>
              <w:rPr>
                <w:rFonts w:ascii="宋体" w:hAnsi="宋体" w:cs="宋体" w:eastAsia="宋体" w:hint="default"/>
                <w:sz w:val="21"/>
                <w:szCs w:val="21"/>
              </w:rPr>
              <w:t>）</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45.72%</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45.46%</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hAnsi="宋体" w:cs="宋体" w:eastAsia="宋体" w:hint="default"/>
                <w:sz w:val="21"/>
                <w:szCs w:val="21"/>
              </w:rPr>
              <w:t>0.26</w:t>
            </w:r>
            <w:r>
              <w:rPr>
                <w:rFonts w:ascii="宋体" w:hAnsi="宋体" w:cs="宋体" w:eastAsia="宋体" w:hint="default"/>
                <w:spacing w:val="-51"/>
                <w:sz w:val="21"/>
                <w:szCs w:val="21"/>
              </w:rPr>
              <w:t> </w:t>
            </w:r>
            <w:r>
              <w:rPr>
                <w:rFonts w:ascii="宋体" w:hAnsi="宋体" w:cs="宋体" w:eastAsia="宋体" w:hint="default"/>
                <w:sz w:val="21"/>
                <w:szCs w:val="21"/>
              </w:rPr>
              <w:t>个百分点</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主要是受执行新租</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赁准则的影响</w:t>
            </w:r>
          </w:p>
        </w:tc>
      </w:tr>
      <w:tr>
        <w:trPr>
          <w:trHeight w:val="554" w:hRule="exact"/>
        </w:trPr>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EBITDA</w:t>
            </w:r>
            <w:r>
              <w:rPr>
                <w:rFonts w:ascii="宋体" w:hAnsi="宋体" w:cs="宋体" w:eastAsia="宋体" w:hint="default"/>
                <w:spacing w:val="-53"/>
                <w:sz w:val="21"/>
                <w:szCs w:val="21"/>
              </w:rPr>
              <w:t> </w:t>
            </w:r>
            <w:r>
              <w:rPr>
                <w:rFonts w:ascii="宋体" w:hAnsi="宋体" w:cs="宋体" w:eastAsia="宋体" w:hint="default"/>
                <w:sz w:val="21"/>
                <w:szCs w:val="21"/>
              </w:rPr>
              <w:t>全部债务比</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36.91%</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34.79%</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hAnsi="宋体" w:cs="宋体" w:eastAsia="宋体" w:hint="default"/>
                <w:sz w:val="21"/>
                <w:szCs w:val="21"/>
              </w:rPr>
              <w:t>2.12</w:t>
            </w:r>
            <w:r>
              <w:rPr>
                <w:rFonts w:ascii="宋体" w:hAnsi="宋体" w:cs="宋体" w:eastAsia="宋体" w:hint="default"/>
                <w:spacing w:val="-51"/>
                <w:sz w:val="21"/>
                <w:szCs w:val="21"/>
              </w:rPr>
              <w:t> </w:t>
            </w:r>
            <w:r>
              <w:rPr>
                <w:rFonts w:ascii="宋体" w:hAnsi="宋体" w:cs="宋体" w:eastAsia="宋体" w:hint="default"/>
                <w:sz w:val="21"/>
                <w:szCs w:val="21"/>
              </w:rPr>
              <w:t>个百分点</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主要是受执行新租</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赁准则的影响</w:t>
            </w:r>
          </w:p>
        </w:tc>
      </w:tr>
      <w:tr>
        <w:trPr>
          <w:trHeight w:val="826" w:hRule="exact"/>
        </w:trPr>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利息保障倍数</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3.84</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5.24</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-26.72%</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主要是受执行新租</w:t>
            </w:r>
          </w:p>
          <w:p>
            <w:pPr>
              <w:pStyle w:val="TableParagraph"/>
              <w:spacing w:line="272" w:lineRule="exact" w:before="27"/>
              <w:ind w:left="103" w:right="132"/>
              <w:jc w:val="left"/>
              <w:rPr>
                <w:rFonts w:ascii="宋体" w:hAnsi="宋体" w:cs="宋体" w:eastAsia="宋体" w:hint="default"/>
                <w:sz w:val="21"/>
                <w:szCs w:val="21"/>
              </w:rPr>
            </w:pPr>
            <w:r>
              <w:rPr>
                <w:rFonts w:ascii="宋体" w:hAnsi="宋体" w:cs="宋体" w:eastAsia="宋体" w:hint="default"/>
                <w:sz w:val="21"/>
                <w:szCs w:val="21"/>
              </w:rPr>
              <w:t>赁准则的影响，利</w:t>
            </w:r>
            <w:r>
              <w:rPr>
                <w:rFonts w:ascii="宋体" w:hAnsi="宋体" w:cs="宋体" w:eastAsia="宋体" w:hint="default"/>
                <w:w w:val="100"/>
                <w:sz w:val="21"/>
                <w:szCs w:val="21"/>
              </w:rPr>
              <w:t> </w:t>
            </w:r>
            <w:r>
              <w:rPr>
                <w:rFonts w:ascii="宋体" w:hAnsi="宋体" w:cs="宋体" w:eastAsia="宋体" w:hint="default"/>
                <w:sz w:val="21"/>
                <w:szCs w:val="21"/>
              </w:rPr>
              <w:t>息支出增多</w:t>
            </w:r>
          </w:p>
        </w:tc>
      </w:tr>
      <w:tr>
        <w:trPr>
          <w:trHeight w:val="828" w:hRule="exact"/>
        </w:trPr>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现金利息保障倍数</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34.64</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z w:val="21"/>
              </w:rPr>
              <w:t>39.37</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pacing w:val="-1"/>
                <w:sz w:val="21"/>
              </w:rPr>
              <w:t>-12.01%</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主要是受执行新租</w:t>
            </w:r>
          </w:p>
          <w:p>
            <w:pPr>
              <w:pStyle w:val="TableParagraph"/>
              <w:spacing w:line="240" w:lineRule="auto"/>
              <w:ind w:left="103" w:right="132"/>
              <w:jc w:val="left"/>
              <w:rPr>
                <w:rFonts w:ascii="宋体" w:hAnsi="宋体" w:cs="宋体" w:eastAsia="宋体" w:hint="default"/>
                <w:sz w:val="21"/>
                <w:szCs w:val="21"/>
              </w:rPr>
            </w:pPr>
            <w:r>
              <w:rPr>
                <w:rFonts w:ascii="宋体" w:hAnsi="宋体" w:cs="宋体" w:eastAsia="宋体" w:hint="default"/>
                <w:sz w:val="21"/>
                <w:szCs w:val="21"/>
              </w:rPr>
              <w:t>赁准则的影响，利</w:t>
            </w:r>
            <w:r>
              <w:rPr>
                <w:rFonts w:ascii="宋体" w:hAnsi="宋体" w:cs="宋体" w:eastAsia="宋体" w:hint="default"/>
                <w:w w:val="100"/>
                <w:sz w:val="21"/>
                <w:szCs w:val="21"/>
              </w:rPr>
              <w:t> </w:t>
            </w:r>
            <w:r>
              <w:rPr>
                <w:rFonts w:ascii="宋体" w:hAnsi="宋体" w:cs="宋体" w:eastAsia="宋体" w:hint="default"/>
                <w:sz w:val="21"/>
                <w:szCs w:val="21"/>
              </w:rPr>
              <w:t>息支出增多</w:t>
            </w:r>
          </w:p>
        </w:tc>
      </w:tr>
      <w:tr>
        <w:trPr>
          <w:trHeight w:val="828" w:hRule="exact"/>
        </w:trPr>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EBITDA</w:t>
            </w:r>
            <w:r>
              <w:rPr>
                <w:rFonts w:ascii="宋体" w:hAnsi="宋体" w:cs="宋体" w:eastAsia="宋体" w:hint="default"/>
                <w:spacing w:val="-55"/>
                <w:sz w:val="21"/>
                <w:szCs w:val="21"/>
              </w:rPr>
              <w:t> </w:t>
            </w:r>
            <w:r>
              <w:rPr>
                <w:rFonts w:ascii="宋体" w:hAnsi="宋体" w:cs="宋体" w:eastAsia="宋体" w:hint="default"/>
                <w:sz w:val="21"/>
                <w:szCs w:val="21"/>
              </w:rPr>
              <w:t>利息保障倍数</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34.15</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35.13</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-2.79%</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主要受执行新租赁</w:t>
            </w:r>
          </w:p>
          <w:p>
            <w:pPr>
              <w:pStyle w:val="TableParagraph"/>
              <w:spacing w:line="272" w:lineRule="exact" w:before="27"/>
              <w:ind w:left="103" w:right="132"/>
              <w:jc w:val="left"/>
              <w:rPr>
                <w:rFonts w:ascii="宋体" w:hAnsi="宋体" w:cs="宋体" w:eastAsia="宋体" w:hint="default"/>
                <w:sz w:val="21"/>
                <w:szCs w:val="21"/>
              </w:rPr>
            </w:pPr>
            <w:r>
              <w:rPr>
                <w:rFonts w:ascii="宋体" w:hAnsi="宋体" w:cs="宋体" w:eastAsia="宋体" w:hint="default"/>
                <w:sz w:val="21"/>
                <w:szCs w:val="21"/>
              </w:rPr>
              <w:t>准则影响，</w:t>
            </w:r>
            <w:r>
              <w:rPr>
                <w:rFonts w:ascii="宋体" w:hAnsi="宋体" w:cs="宋体" w:eastAsia="宋体" w:hint="default"/>
                <w:sz w:val="21"/>
                <w:szCs w:val="21"/>
              </w:rPr>
              <w:t>EBITDA</w:t>
            </w:r>
            <w:r>
              <w:rPr>
                <w:rFonts w:ascii="宋体" w:hAnsi="宋体" w:cs="宋体" w:eastAsia="宋体" w:hint="default"/>
                <w:w w:val="100"/>
                <w:sz w:val="21"/>
                <w:szCs w:val="21"/>
              </w:rPr>
              <w:t> </w:t>
            </w:r>
            <w:r>
              <w:rPr>
                <w:rFonts w:ascii="宋体" w:hAnsi="宋体" w:cs="宋体" w:eastAsia="宋体" w:hint="default"/>
                <w:sz w:val="21"/>
                <w:szCs w:val="21"/>
              </w:rPr>
              <w:t>增大</w:t>
            </w:r>
          </w:p>
        </w:tc>
      </w:tr>
      <w:tr>
        <w:trPr>
          <w:trHeight w:val="281" w:hRule="exact"/>
        </w:trPr>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贷款偿还率（</w:t>
            </w:r>
            <w:r>
              <w:rPr>
                <w:rFonts w:ascii="宋体" w:hAnsi="宋体" w:cs="宋体" w:eastAsia="宋体" w:hint="default"/>
                <w:sz w:val="21"/>
                <w:szCs w:val="21"/>
              </w:rPr>
              <w:t>%</w:t>
            </w:r>
            <w:r>
              <w:rPr>
                <w:rFonts w:ascii="宋体" w:hAnsi="宋体" w:cs="宋体" w:eastAsia="宋体" w:hint="default"/>
                <w:sz w:val="21"/>
                <w:szCs w:val="21"/>
              </w:rPr>
              <w:t>）</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100%</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100%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4"/>
              <w:jc w:val="right"/>
              <w:rPr>
                <w:rFonts w:ascii="宋体" w:hAnsi="宋体" w:cs="宋体" w:eastAsia="宋体" w:hint="default"/>
                <w:sz w:val="21"/>
                <w:szCs w:val="21"/>
              </w:rPr>
            </w:pPr>
            <w:r>
              <w:rPr>
                <w:rFonts w:ascii="宋体"/>
                <w:w w:val="100"/>
                <w:sz w:val="21"/>
              </w:rPr>
              <w:t>-</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w:t>
            </w:r>
          </w:p>
        </w:tc>
      </w:tr>
      <w:tr>
        <w:trPr>
          <w:trHeight w:val="283" w:hRule="exact"/>
        </w:trPr>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利息偿付率（</w:t>
            </w:r>
            <w:r>
              <w:rPr>
                <w:rFonts w:ascii="宋体" w:hAnsi="宋体" w:cs="宋体" w:eastAsia="宋体" w:hint="default"/>
                <w:sz w:val="21"/>
                <w:szCs w:val="21"/>
              </w:rPr>
              <w:t>%</w:t>
            </w:r>
            <w:r>
              <w:rPr>
                <w:rFonts w:ascii="宋体" w:hAnsi="宋体" w:cs="宋体" w:eastAsia="宋体" w:hint="default"/>
                <w:sz w:val="21"/>
                <w:szCs w:val="21"/>
              </w:rPr>
              <w:t>）</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100%</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100%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4"/>
              <w:jc w:val="right"/>
              <w:rPr>
                <w:rFonts w:ascii="宋体" w:hAnsi="宋体" w:cs="宋体" w:eastAsia="宋体" w:hint="default"/>
                <w:sz w:val="21"/>
                <w:szCs w:val="21"/>
              </w:rPr>
            </w:pPr>
            <w:r>
              <w:rPr>
                <w:rFonts w:ascii="宋体"/>
                <w:w w:val="100"/>
                <w:sz w:val="21"/>
              </w:rPr>
              <w:t>-</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w:t>
            </w:r>
          </w:p>
        </w:tc>
      </w:tr>
    </w:tbl>
    <w:p>
      <w:pPr>
        <w:spacing w:line="240" w:lineRule="auto" w:before="2"/>
        <w:rPr>
          <w:rFonts w:ascii="宋体" w:hAnsi="宋体" w:cs="宋体" w:eastAsia="宋体" w:hint="default"/>
          <w:sz w:val="20"/>
          <w:szCs w:val="20"/>
        </w:rPr>
      </w:pPr>
    </w:p>
    <w:p>
      <w:pPr>
        <w:spacing w:line="335" w:lineRule="exact" w:before="0"/>
        <w:ind w:left="218" w:right="12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九、公司其他债券和债务融资工具的付息兑付情况</w:t>
      </w:r>
      <w:r>
        <w:rPr>
          <w:rFonts w:ascii="Microsoft JhengHei" w:hAnsi="Microsoft JhengHei" w:cs="Microsoft JhengHei" w:eastAsia="Microsoft JhengHei" w:hint="default"/>
          <w:sz w:val="21"/>
          <w:szCs w:val="21"/>
        </w:rPr>
      </w:r>
    </w:p>
    <w:p>
      <w:pPr>
        <w:spacing w:line="314" w:lineRule="auto" w:before="169"/>
        <w:ind w:left="218" w:right="120" w:firstLine="420"/>
        <w:jc w:val="left"/>
        <w:rPr>
          <w:rFonts w:ascii="宋体" w:hAnsi="宋体" w:cs="宋体" w:eastAsia="宋体" w:hint="default"/>
          <w:sz w:val="21"/>
          <w:szCs w:val="21"/>
        </w:rPr>
      </w:pPr>
      <w:r>
        <w:rPr>
          <w:rFonts w:ascii="宋体" w:hAnsi="宋体" w:cs="宋体" w:eastAsia="宋体" w:hint="default"/>
          <w:spacing w:val="-3"/>
          <w:sz w:val="21"/>
          <w:szCs w:val="21"/>
        </w:rPr>
        <w:t>本报告期内，联通运营公司其他债券和债务融资工具按时按息兑付，不存在延期支付利息和本金</w:t>
      </w:r>
      <w:r>
        <w:rPr>
          <w:rFonts w:ascii="宋体" w:hAnsi="宋体" w:cs="宋体" w:eastAsia="宋体" w:hint="default"/>
          <w:w w:val="100"/>
          <w:sz w:val="21"/>
          <w:szCs w:val="21"/>
        </w:rPr>
        <w:t> </w:t>
      </w:r>
      <w:r>
        <w:rPr>
          <w:rFonts w:ascii="宋体" w:hAnsi="宋体" w:cs="宋体" w:eastAsia="宋体" w:hint="default"/>
          <w:sz w:val="21"/>
          <w:szCs w:val="21"/>
        </w:rPr>
        <w:t>以及无法支付利息和本金的情况。</w:t>
      </w:r>
    </w:p>
    <w:p>
      <w:pPr>
        <w:spacing w:after="0" w:line="314" w:lineRule="auto"/>
        <w:jc w:val="left"/>
        <w:rPr>
          <w:rFonts w:ascii="宋体" w:hAnsi="宋体" w:cs="宋体" w:eastAsia="宋体" w:hint="default"/>
          <w:sz w:val="21"/>
          <w:szCs w:val="21"/>
        </w:rPr>
        <w:sectPr>
          <w:footerReference w:type="default" r:id="rId82"/>
          <w:pgSz w:w="11910" w:h="16840"/>
          <w:pgMar w:footer="502" w:header="852" w:top="1340" w:bottom="700" w:left="1200" w:right="1040"/>
        </w:sectPr>
      </w:pPr>
    </w:p>
    <w:p>
      <w:pPr>
        <w:spacing w:line="240" w:lineRule="auto" w:before="0"/>
        <w:rPr>
          <w:rFonts w:ascii="宋体" w:hAnsi="宋体" w:cs="宋体" w:eastAsia="宋体" w:hint="default"/>
          <w:sz w:val="20"/>
          <w:szCs w:val="20"/>
        </w:rPr>
      </w:pPr>
    </w:p>
    <w:p>
      <w:pPr>
        <w:spacing w:line="350" w:lineRule="auto" w:before="137"/>
        <w:ind w:left="558" w:right="127" w:hanging="420"/>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十、公司报告期内的银行授信情况</w:t>
      </w:r>
      <w:r>
        <w:rPr>
          <w:rFonts w:ascii="Microsoft JhengHei" w:hAnsi="Microsoft JhengHei" w:cs="Microsoft JhengHei" w:eastAsia="Microsoft JhengHei" w:hint="default"/>
          <w:b/>
          <w:bCs/>
          <w:spacing w:val="-41"/>
          <w:sz w:val="21"/>
          <w:szCs w:val="21"/>
        </w:rPr>
        <w:t> </w:t>
      </w:r>
      <w:r>
        <w:rPr>
          <w:rFonts w:ascii="Microsoft JhengHei" w:hAnsi="Microsoft JhengHei" w:cs="Microsoft JhengHei" w:eastAsia="Microsoft JhengHei" w:hint="default"/>
          <w:b/>
          <w:bCs/>
          <w:spacing w:val="-41"/>
          <w:sz w:val="21"/>
          <w:szCs w:val="21"/>
        </w:rPr>
      </w:r>
      <w:r>
        <w:rPr>
          <w:rFonts w:ascii="宋体" w:hAnsi="宋体" w:cs="宋体" w:eastAsia="宋体" w:hint="default"/>
          <w:sz w:val="21"/>
          <w:szCs w:val="21"/>
        </w:rPr>
        <w:t>截至本报告期末，联通运营公司共在各家金融机构获得授信人民币</w:t>
      </w:r>
      <w:r>
        <w:rPr>
          <w:rFonts w:ascii="宋体" w:hAnsi="宋体" w:cs="宋体" w:eastAsia="宋体" w:hint="default"/>
          <w:spacing w:val="-57"/>
          <w:sz w:val="21"/>
          <w:szCs w:val="21"/>
        </w:rPr>
        <w:t> </w:t>
      </w:r>
      <w:r>
        <w:rPr>
          <w:rFonts w:ascii="宋体" w:hAnsi="宋体" w:cs="宋体" w:eastAsia="宋体" w:hint="default"/>
          <w:sz w:val="21"/>
          <w:szCs w:val="21"/>
        </w:rPr>
        <w:t>3,967</w:t>
      </w:r>
      <w:r>
        <w:rPr>
          <w:rFonts w:ascii="宋体" w:hAnsi="宋体" w:cs="宋体" w:eastAsia="宋体" w:hint="default"/>
          <w:spacing w:val="-57"/>
          <w:sz w:val="21"/>
          <w:szCs w:val="21"/>
        </w:rPr>
        <w:t> </w:t>
      </w:r>
      <w:r>
        <w:rPr>
          <w:rFonts w:ascii="宋体" w:hAnsi="宋体" w:cs="宋体" w:eastAsia="宋体" w:hint="default"/>
          <w:spacing w:val="-3"/>
          <w:sz w:val="21"/>
          <w:szCs w:val="21"/>
        </w:rPr>
        <w:t>亿元，其中已使用授信</w:t>
      </w:r>
    </w:p>
    <w:p>
      <w:pPr>
        <w:spacing w:line="420" w:lineRule="auto" w:before="0"/>
        <w:ind w:left="558" w:right="2615" w:hanging="420"/>
        <w:jc w:val="left"/>
        <w:rPr>
          <w:rFonts w:ascii="宋体" w:hAnsi="宋体" w:cs="宋体" w:eastAsia="宋体" w:hint="default"/>
          <w:sz w:val="21"/>
          <w:szCs w:val="21"/>
        </w:rPr>
      </w:pPr>
      <w:r>
        <w:rPr>
          <w:rFonts w:ascii="宋体" w:hAnsi="宋体" w:cs="宋体" w:eastAsia="宋体" w:hint="default"/>
          <w:sz w:val="21"/>
          <w:szCs w:val="21"/>
        </w:rPr>
        <w:t>额度为人民币</w:t>
      </w:r>
      <w:r>
        <w:rPr>
          <w:rFonts w:ascii="宋体" w:hAnsi="宋体" w:cs="宋体" w:eastAsia="宋体" w:hint="default"/>
          <w:spacing w:val="-54"/>
          <w:sz w:val="21"/>
          <w:szCs w:val="21"/>
        </w:rPr>
        <w:t> </w:t>
      </w:r>
      <w:r>
        <w:rPr>
          <w:rFonts w:ascii="宋体" w:hAnsi="宋体" w:cs="宋体" w:eastAsia="宋体" w:hint="default"/>
          <w:sz w:val="21"/>
          <w:szCs w:val="21"/>
        </w:rPr>
        <w:t>178</w:t>
      </w:r>
      <w:r>
        <w:rPr>
          <w:rFonts w:ascii="宋体" w:hAnsi="宋体" w:cs="宋体" w:eastAsia="宋体" w:hint="default"/>
          <w:spacing w:val="-54"/>
          <w:sz w:val="21"/>
          <w:szCs w:val="21"/>
        </w:rPr>
        <w:t> </w:t>
      </w:r>
      <w:r>
        <w:rPr>
          <w:rFonts w:ascii="宋体" w:hAnsi="宋体" w:cs="宋体" w:eastAsia="宋体" w:hint="default"/>
          <w:sz w:val="21"/>
          <w:szCs w:val="21"/>
        </w:rPr>
        <w:t>亿元，尚未使用的银行授信额度为人民币</w:t>
      </w:r>
      <w:r>
        <w:rPr>
          <w:rFonts w:ascii="宋体" w:hAnsi="宋体" w:cs="宋体" w:eastAsia="宋体" w:hint="default"/>
          <w:spacing w:val="-53"/>
          <w:sz w:val="21"/>
          <w:szCs w:val="21"/>
        </w:rPr>
        <w:t> </w:t>
      </w:r>
      <w:r>
        <w:rPr>
          <w:rFonts w:ascii="宋体" w:hAnsi="宋体" w:cs="宋体" w:eastAsia="宋体" w:hint="default"/>
          <w:sz w:val="21"/>
          <w:szCs w:val="21"/>
        </w:rPr>
        <w:t>3,789</w:t>
      </w:r>
      <w:r>
        <w:rPr>
          <w:rFonts w:ascii="宋体" w:hAnsi="宋体" w:cs="宋体" w:eastAsia="宋体" w:hint="default"/>
          <w:spacing w:val="-56"/>
          <w:sz w:val="21"/>
          <w:szCs w:val="21"/>
        </w:rPr>
        <w:t> </w:t>
      </w:r>
      <w:r>
        <w:rPr>
          <w:rFonts w:ascii="宋体" w:hAnsi="宋体" w:cs="宋体" w:eastAsia="宋体" w:hint="default"/>
          <w:sz w:val="21"/>
          <w:szCs w:val="21"/>
        </w:rPr>
        <w:t>亿元。</w:t>
      </w:r>
      <w:r>
        <w:rPr>
          <w:rFonts w:ascii="宋体" w:hAnsi="宋体" w:cs="宋体" w:eastAsia="宋体" w:hint="default"/>
          <w:w w:val="100"/>
          <w:sz w:val="21"/>
          <w:szCs w:val="21"/>
        </w:rPr>
        <w:t> </w:t>
      </w:r>
      <w:r>
        <w:rPr>
          <w:rFonts w:ascii="宋体" w:hAnsi="宋体" w:cs="宋体" w:eastAsia="宋体" w:hint="default"/>
          <w:sz w:val="21"/>
          <w:szCs w:val="21"/>
        </w:rPr>
        <w:t>本报告期内，公司按时偿还银行贷款，不存在展期及减免情况等。</w:t>
      </w:r>
    </w:p>
    <w:p>
      <w:pPr>
        <w:spacing w:line="240" w:lineRule="auto" w:before="2"/>
        <w:rPr>
          <w:rFonts w:ascii="宋体" w:hAnsi="宋体" w:cs="宋体" w:eastAsia="宋体" w:hint="default"/>
          <w:sz w:val="18"/>
          <w:szCs w:val="18"/>
        </w:rPr>
      </w:pPr>
    </w:p>
    <w:p>
      <w:pPr>
        <w:spacing w:line="350" w:lineRule="auto" w:before="0"/>
        <w:ind w:left="138" w:right="0" w:firstLine="0"/>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十一、公司报告期内执行公司债券募集说明书相关约定或承诺的情况</w:t>
      </w:r>
      <w:r>
        <w:rPr>
          <w:rFonts w:ascii="Microsoft JhengHei" w:hAnsi="Microsoft JhengHei" w:cs="Microsoft JhengHei" w:eastAsia="Microsoft JhengHei" w:hint="default"/>
          <w:b/>
          <w:bCs/>
          <w:spacing w:val="-30"/>
          <w:sz w:val="21"/>
          <w:szCs w:val="21"/>
        </w:rPr>
        <w:t> </w:t>
      </w:r>
      <w:r>
        <w:rPr>
          <w:rFonts w:ascii="Microsoft JhengHei" w:hAnsi="Microsoft JhengHei" w:cs="Microsoft JhengHei" w:eastAsia="Microsoft JhengHei" w:hint="default"/>
          <w:b/>
          <w:bCs/>
          <w:spacing w:val="-30"/>
          <w:sz w:val="21"/>
          <w:szCs w:val="21"/>
        </w:rPr>
      </w:r>
      <w:r>
        <w:rPr>
          <w:rFonts w:ascii="宋体" w:hAnsi="宋体" w:cs="宋体" w:eastAsia="宋体" w:hint="default"/>
          <w:spacing w:val="-2"/>
          <w:sz w:val="21"/>
          <w:szCs w:val="21"/>
        </w:rPr>
        <w:t>本报告期内，联通运营公司严格遵守公司债券募集说明书中的相关约定，并履行相关承诺。</w:t>
      </w:r>
    </w:p>
    <w:p>
      <w:pPr>
        <w:spacing w:line="240" w:lineRule="auto" w:before="11"/>
        <w:rPr>
          <w:rFonts w:ascii="宋体" w:hAnsi="宋体" w:cs="宋体" w:eastAsia="宋体" w:hint="default"/>
          <w:sz w:val="22"/>
          <w:szCs w:val="22"/>
        </w:rPr>
      </w:pPr>
    </w:p>
    <w:p>
      <w:pPr>
        <w:spacing w:line="350" w:lineRule="auto" w:before="0"/>
        <w:ind w:left="138" w:right="0" w:firstLine="0"/>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十二、公司发生的重大事项及对公司经营情况和偿债能力的影响</w:t>
      </w:r>
      <w:r>
        <w:rPr>
          <w:rFonts w:ascii="Microsoft JhengHei" w:hAnsi="Microsoft JhengHei" w:cs="Microsoft JhengHei" w:eastAsia="Microsoft JhengHei" w:hint="default"/>
          <w:b/>
          <w:bCs/>
          <w:spacing w:val="-31"/>
          <w:sz w:val="21"/>
          <w:szCs w:val="21"/>
        </w:rPr>
        <w:t> </w:t>
      </w:r>
      <w:r>
        <w:rPr>
          <w:rFonts w:ascii="Microsoft JhengHei" w:hAnsi="Microsoft JhengHei" w:cs="Microsoft JhengHei" w:eastAsia="Microsoft JhengHei" w:hint="default"/>
          <w:b/>
          <w:bCs/>
          <w:spacing w:val="-31"/>
          <w:sz w:val="21"/>
          <w:szCs w:val="21"/>
        </w:rPr>
      </w:r>
      <w:r>
        <w:rPr>
          <w:rFonts w:ascii="宋体" w:hAnsi="宋体" w:cs="宋体" w:eastAsia="宋体" w:hint="default"/>
          <w:spacing w:val="-2"/>
          <w:sz w:val="21"/>
          <w:szCs w:val="21"/>
        </w:rPr>
        <w:t>报告期内，联通运营公司未发生对经营情况和偿债能力造成重大不利影响的重大事项。</w:t>
      </w:r>
    </w:p>
    <w:p>
      <w:pPr>
        <w:spacing w:after="0" w:line="350" w:lineRule="auto"/>
        <w:jc w:val="left"/>
        <w:rPr>
          <w:rFonts w:ascii="宋体" w:hAnsi="宋体" w:cs="宋体" w:eastAsia="宋体" w:hint="default"/>
          <w:sz w:val="21"/>
          <w:szCs w:val="21"/>
        </w:rPr>
        <w:sectPr>
          <w:footerReference w:type="default" r:id="rId83"/>
          <w:pgSz w:w="11910" w:h="16840"/>
          <w:pgMar w:footer="502" w:header="852" w:top="1340" w:bottom="700" w:left="1280" w:right="1140"/>
        </w:sectPr>
      </w:pPr>
    </w:p>
    <w:p>
      <w:pPr>
        <w:spacing w:line="240" w:lineRule="auto" w:before="1"/>
        <w:rPr>
          <w:rFonts w:ascii="宋体" w:hAnsi="宋体" w:cs="宋体" w:eastAsia="宋体" w:hint="default"/>
          <w:sz w:val="2"/>
          <w:szCs w:val="2"/>
        </w:rPr>
      </w:pPr>
      <w:r>
        <w:rPr/>
        <w:pict>
          <v:shape style="position:absolute;margin-left:89.900002pt;margin-top:42.849983pt;width:27.6pt;height:21pt;mso-position-horizontal-relative:page;mso-position-vertical-relative:page;z-index:-1024816" type="#_x0000_t75" stroked="false">
            <v:imagedata r:id="rId86" o:title=""/>
          </v:shape>
        </w:pict>
      </w: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44.35pt;height:.75pt;mso-position-horizontal-relative:char;mso-position-vertical-relative:line" coordorigin="0,0" coordsize="8887,15">
            <v:group style="position:absolute;left:7;top:7;width:8872;height:2" coordorigin="7,7" coordsize="8872,2">
              <v:shape style="position:absolute;left:7;top:7;width:8872;height:2" coordorigin="7,7" coordsize="8872,0" path="m7,7l8879,7e" filled="false" stroked="true" strokeweight=".72pt" strokecolor="#000000">
                <v:path arrowok="t"/>
              </v:shape>
            </v:group>
          </v:group>
        </w:pict>
      </w:r>
      <w:r>
        <w:rPr>
          <w:rFonts w:ascii="宋体" w:hAnsi="宋体" w:cs="宋体" w:eastAsia="宋体" w:hint="default"/>
          <w:sz w:val="2"/>
          <w:szCs w:val="2"/>
        </w:rPr>
      </w:r>
    </w:p>
    <w:p>
      <w:pPr>
        <w:spacing w:line="240" w:lineRule="auto" w:before="9"/>
        <w:rPr>
          <w:rFonts w:ascii="宋体" w:hAnsi="宋体" w:cs="宋体" w:eastAsia="宋体" w:hint="default"/>
          <w:sz w:val="11"/>
          <w:szCs w:val="11"/>
        </w:rPr>
      </w:pPr>
    </w:p>
    <w:p>
      <w:pPr>
        <w:pStyle w:val="Heading1"/>
        <w:spacing w:line="413" w:lineRule="exact"/>
        <w:ind w:left="3342" w:right="3339"/>
        <w:jc w:val="center"/>
        <w:rPr>
          <w:rFonts w:ascii="Microsoft JhengHei" w:hAnsi="Microsoft JhengHei" w:cs="Microsoft JhengHei" w:eastAsia="Microsoft JhengHei" w:hint="default"/>
          <w:b w:val="0"/>
          <w:bCs w:val="0"/>
        </w:rPr>
      </w:pPr>
      <w:bookmarkStart w:name="_bookmark10" w:id="12"/>
      <w:bookmarkEnd w:id="12"/>
      <w:r>
        <w:rPr>
          <w:b w:val="0"/>
          <w:bCs w:val="0"/>
        </w:rPr>
      </w:r>
      <w:r>
        <w:rPr>
          <w:rFonts w:ascii="Microsoft JhengHei" w:hAnsi="Microsoft JhengHei" w:cs="Microsoft JhengHei" w:eastAsia="Microsoft JhengHei" w:hint="default"/>
        </w:rPr>
        <w:t>第十一节 </w:t>
      </w:r>
      <w:r>
        <w:rPr>
          <w:rFonts w:ascii="Microsoft JhengHei" w:hAnsi="Microsoft JhengHei" w:cs="Microsoft JhengHei" w:eastAsia="Microsoft JhengHei" w:hint="default"/>
          <w:spacing w:val="4"/>
        </w:rPr>
        <w:t> </w:t>
      </w:r>
      <w:r>
        <w:rPr>
          <w:rFonts w:ascii="Microsoft JhengHei" w:hAnsi="Microsoft JhengHei" w:cs="Microsoft JhengHei" w:eastAsia="Microsoft JhengHei" w:hint="default"/>
        </w:rPr>
        <w:t>财务报告</w:t>
      </w:r>
      <w:r>
        <w:rPr>
          <w:rFonts w:ascii="Microsoft JhengHei" w:hAnsi="Microsoft JhengHei" w:cs="Microsoft JhengHei" w:eastAsia="Microsoft JhengHei" w:hint="default"/>
          <w:b w:val="0"/>
          <w:bCs w:val="0"/>
        </w:rPr>
      </w:r>
    </w:p>
    <w:p>
      <w:pPr>
        <w:spacing w:after="0" w:line="413" w:lineRule="exact"/>
        <w:jc w:val="center"/>
        <w:rPr>
          <w:rFonts w:ascii="Microsoft JhengHei" w:hAnsi="Microsoft JhengHei" w:cs="Microsoft JhengHei" w:eastAsia="Microsoft JhengHei" w:hint="default"/>
        </w:rPr>
        <w:sectPr>
          <w:headerReference w:type="default" r:id="rId84"/>
          <w:footerReference w:type="default" r:id="rId85"/>
          <w:pgSz w:w="11910" w:h="16840"/>
          <w:pgMar w:header="1117" w:footer="502" w:top="1320" w:bottom="700" w:left="1660" w:right="114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9"/>
        <w:rPr>
          <w:rFonts w:ascii="Microsoft JhengHei" w:hAnsi="Microsoft JhengHei" w:cs="Microsoft JhengHei" w:eastAsia="Microsoft JhengHei" w:hint="default"/>
          <w:b/>
          <w:bCs/>
          <w:sz w:val="13"/>
          <w:szCs w:val="13"/>
        </w:rPr>
      </w:pPr>
    </w:p>
    <w:p>
      <w:pPr>
        <w:spacing w:before="12"/>
        <w:ind w:left="2294" w:right="0" w:firstLine="0"/>
        <w:jc w:val="left"/>
        <w:rPr>
          <w:rFonts w:ascii="宋体" w:hAnsi="宋体" w:cs="宋体" w:eastAsia="宋体" w:hint="default"/>
          <w:sz w:val="28"/>
          <w:szCs w:val="28"/>
        </w:rPr>
      </w:pPr>
      <w:r>
        <w:rPr>
          <w:rFonts w:ascii="宋体" w:hAnsi="宋体" w:cs="宋体" w:eastAsia="宋体" w:hint="default"/>
          <w:sz w:val="28"/>
          <w:szCs w:val="28"/>
        </w:rPr>
        <w:t>中国联合网络通信股份有限公司</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p>
      <w:pPr>
        <w:pStyle w:val="Heading2"/>
        <w:spacing w:line="322" w:lineRule="exact" w:before="26"/>
        <w:ind w:left="2210" w:right="2246"/>
        <w:jc w:val="center"/>
      </w:pPr>
      <w:r>
        <w:rPr/>
        <w:t>自</w:t>
      </w:r>
      <w:r>
        <w:rPr>
          <w:spacing w:val="-64"/>
        </w:rPr>
        <w:t> </w:t>
      </w:r>
      <w:r>
        <w:rPr>
          <w:rFonts w:ascii="Arial" w:hAnsi="Arial" w:cs="Arial" w:eastAsia="Arial" w:hint="default"/>
        </w:rPr>
        <w:t>2019</w:t>
      </w:r>
      <w:r>
        <w:rPr>
          <w:rFonts w:ascii="Arial" w:hAnsi="Arial" w:cs="Arial" w:eastAsia="Arial" w:hint="default"/>
          <w:spacing w:val="-10"/>
        </w:rPr>
        <w:t> </w:t>
      </w:r>
      <w:r>
        <w:rPr/>
        <w:t>年</w:t>
      </w:r>
      <w:r>
        <w:rPr>
          <w:spacing w:val="-64"/>
        </w:rPr>
        <w:t> </w:t>
      </w:r>
      <w:r>
        <w:rPr>
          <w:rFonts w:ascii="Arial" w:hAnsi="Arial" w:cs="Arial" w:eastAsia="Arial" w:hint="default"/>
        </w:rPr>
        <w:t>1</w:t>
      </w:r>
      <w:r>
        <w:rPr>
          <w:rFonts w:ascii="Arial" w:hAnsi="Arial" w:cs="Arial" w:eastAsia="Arial" w:hint="default"/>
          <w:spacing w:val="-10"/>
        </w:rPr>
        <w:t> </w:t>
      </w:r>
      <w:r>
        <w:rPr/>
        <w:t>月</w:t>
      </w:r>
      <w:r>
        <w:rPr>
          <w:spacing w:val="-59"/>
        </w:rPr>
        <w:t> </w:t>
      </w:r>
      <w:r>
        <w:rPr>
          <w:rFonts w:ascii="Arial" w:hAnsi="Arial" w:cs="Arial" w:eastAsia="Arial" w:hint="default"/>
        </w:rPr>
        <w:t>1</w:t>
      </w:r>
      <w:r>
        <w:rPr>
          <w:rFonts w:ascii="Arial" w:hAnsi="Arial" w:cs="Arial" w:eastAsia="Arial" w:hint="default"/>
          <w:spacing w:val="-10"/>
        </w:rPr>
        <w:t> </w:t>
      </w:r>
      <w:r>
        <w:rPr/>
        <w:t>日</w:t>
      </w:r>
    </w:p>
    <w:p>
      <w:pPr>
        <w:pStyle w:val="Heading2"/>
        <w:spacing w:line="322" w:lineRule="exact"/>
        <w:ind w:left="2210" w:right="2251"/>
        <w:jc w:val="center"/>
      </w:pPr>
      <w:r>
        <w:rPr/>
        <w:t>至</w:t>
      </w:r>
      <w:r>
        <w:rPr>
          <w:spacing w:val="-64"/>
        </w:rPr>
        <w:t> </w:t>
      </w:r>
      <w:r>
        <w:rPr>
          <w:rFonts w:ascii="Arial" w:hAnsi="Arial" w:cs="Arial" w:eastAsia="Arial" w:hint="default"/>
        </w:rPr>
        <w:t>2019</w:t>
      </w:r>
      <w:r>
        <w:rPr>
          <w:rFonts w:ascii="Arial" w:hAnsi="Arial" w:cs="Arial" w:eastAsia="Arial" w:hint="default"/>
          <w:spacing w:val="-10"/>
        </w:rPr>
        <w:t> </w:t>
      </w:r>
      <w:r>
        <w:rPr/>
        <w:t>年</w:t>
      </w:r>
      <w:r>
        <w:rPr>
          <w:spacing w:val="-64"/>
        </w:rPr>
        <w:t> </w:t>
      </w:r>
      <w:r>
        <w:rPr>
          <w:rFonts w:ascii="Arial" w:hAnsi="Arial" w:cs="Arial" w:eastAsia="Arial" w:hint="default"/>
        </w:rPr>
        <w:t>12</w:t>
      </w:r>
      <w:r>
        <w:rPr>
          <w:rFonts w:ascii="Arial" w:hAnsi="Arial" w:cs="Arial" w:eastAsia="Arial" w:hint="default"/>
          <w:spacing w:val="-10"/>
        </w:rPr>
        <w:t> </w:t>
      </w:r>
      <w:r>
        <w:rPr/>
        <w:t>月</w:t>
      </w:r>
      <w:r>
        <w:rPr>
          <w:spacing w:val="-64"/>
        </w:rPr>
        <w:t> </w:t>
      </w:r>
      <w:r>
        <w:rPr>
          <w:rFonts w:ascii="Arial" w:hAnsi="Arial" w:cs="Arial" w:eastAsia="Arial" w:hint="default"/>
        </w:rPr>
        <w:t>31</w:t>
      </w:r>
      <w:r>
        <w:rPr>
          <w:rFonts w:ascii="Arial" w:hAnsi="Arial" w:cs="Arial" w:eastAsia="Arial" w:hint="default"/>
          <w:spacing w:val="-10"/>
        </w:rPr>
        <w:t> </w:t>
      </w:r>
      <w:r>
        <w:rPr/>
        <w:t>日止年度财务报表</w:t>
      </w:r>
    </w:p>
    <w:p>
      <w:pPr>
        <w:spacing w:after="0" w:line="322" w:lineRule="exact"/>
        <w:jc w:val="center"/>
        <w:sectPr>
          <w:headerReference w:type="default" r:id="rId87"/>
          <w:footerReference w:type="default" r:id="rId88"/>
          <w:pgSz w:w="11910" w:h="16840"/>
          <w:pgMar w:header="0" w:footer="502" w:top="1580" w:bottom="700" w:left="1680" w:right="1680"/>
          <w:pgNumType w:start="7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5"/>
          <w:szCs w:val="25"/>
        </w:rPr>
      </w:pPr>
    </w:p>
    <w:p>
      <w:pPr>
        <w:pStyle w:val="Heading3"/>
        <w:spacing w:line="240" w:lineRule="auto"/>
        <w:ind w:left="3892" w:right="4013"/>
        <w:jc w:val="center"/>
        <w:rPr>
          <w:b w:val="0"/>
          <w:bCs w:val="0"/>
        </w:rPr>
      </w:pPr>
      <w:bookmarkStart w:name="审计报告" w:id="13"/>
      <w:bookmarkEnd w:id="13"/>
      <w:r>
        <w:rPr>
          <w:b w:val="0"/>
          <w:bCs w:val="0"/>
        </w:rPr>
      </w:r>
      <w:r>
        <w:rPr/>
        <w:t>审计报告</w:t>
      </w:r>
      <w:r>
        <w:rPr>
          <w:b w:val="0"/>
          <w:bCs w:val="0"/>
        </w:rPr>
      </w:r>
    </w:p>
    <w:p>
      <w:pPr>
        <w:spacing w:line="240" w:lineRule="auto" w:before="10"/>
        <w:rPr>
          <w:rFonts w:ascii="宋体" w:hAnsi="宋体" w:cs="宋体" w:eastAsia="宋体" w:hint="default"/>
          <w:b/>
          <w:bCs/>
          <w:sz w:val="15"/>
          <w:szCs w:val="15"/>
        </w:rPr>
      </w:pPr>
    </w:p>
    <w:p>
      <w:pPr>
        <w:spacing w:before="46"/>
        <w:ind w:left="0" w:right="225" w:firstLine="0"/>
        <w:jc w:val="right"/>
        <w:rPr>
          <w:rFonts w:ascii="宋体" w:hAnsi="宋体" w:cs="宋体" w:eastAsia="宋体" w:hint="default"/>
          <w:sz w:val="18"/>
          <w:szCs w:val="18"/>
        </w:rPr>
      </w:pPr>
      <w:r>
        <w:rPr>
          <w:rFonts w:ascii="宋体" w:hAnsi="宋体" w:cs="宋体" w:eastAsia="宋体" w:hint="default"/>
          <w:sz w:val="18"/>
          <w:szCs w:val="18"/>
        </w:rPr>
        <w:t>毕马威华振审字第</w:t>
      </w:r>
      <w:r>
        <w:rPr>
          <w:rFonts w:ascii="宋体" w:hAnsi="宋体" w:cs="宋体" w:eastAsia="宋体" w:hint="default"/>
          <w:spacing w:val="-45"/>
          <w:sz w:val="18"/>
          <w:szCs w:val="18"/>
        </w:rPr>
        <w:t> </w:t>
      </w:r>
      <w:r>
        <w:rPr>
          <w:rFonts w:ascii="Arial" w:hAnsi="Arial" w:cs="Arial" w:eastAsia="Arial" w:hint="default"/>
          <w:sz w:val="18"/>
          <w:szCs w:val="18"/>
        </w:rPr>
        <w:t>2000754</w:t>
      </w:r>
      <w:r>
        <w:rPr>
          <w:rFonts w:ascii="Arial" w:hAnsi="Arial" w:cs="Arial" w:eastAsia="Arial" w:hint="default"/>
          <w:spacing w:val="-6"/>
          <w:sz w:val="18"/>
          <w:szCs w:val="18"/>
        </w:rPr>
        <w:t> </w:t>
      </w:r>
      <w:r>
        <w:rPr>
          <w:rFonts w:ascii="宋体" w:hAnsi="宋体" w:cs="宋体" w:eastAsia="宋体" w:hint="default"/>
          <w:sz w:val="18"/>
          <w:szCs w:val="18"/>
        </w:rPr>
        <w:t>号</w:t>
      </w:r>
    </w:p>
    <w:p>
      <w:pPr>
        <w:spacing w:line="240" w:lineRule="auto" w:before="4"/>
        <w:rPr>
          <w:rFonts w:ascii="宋体" w:hAnsi="宋体" w:cs="宋体" w:eastAsia="宋体" w:hint="default"/>
          <w:sz w:val="15"/>
          <w:szCs w:val="15"/>
        </w:rPr>
      </w:pPr>
    </w:p>
    <w:p>
      <w:pPr>
        <w:spacing w:line="448" w:lineRule="auto" w:before="32"/>
        <w:ind w:left="546" w:right="3244" w:hanging="428"/>
        <w:jc w:val="left"/>
        <w:rPr>
          <w:rFonts w:ascii="宋体" w:hAnsi="宋体" w:cs="宋体" w:eastAsia="宋体" w:hint="default"/>
          <w:sz w:val="22"/>
          <w:szCs w:val="22"/>
        </w:rPr>
      </w:pPr>
      <w:r>
        <w:rPr>
          <w:rFonts w:ascii="宋体" w:hAnsi="宋体" w:cs="宋体" w:eastAsia="宋体" w:hint="default"/>
          <w:spacing w:val="-1"/>
          <w:sz w:val="22"/>
          <w:szCs w:val="22"/>
        </w:rPr>
        <w:t>中国联合网络通信股份有限公司全体股东：</w:t>
      </w:r>
      <w:r>
        <w:rPr>
          <w:rFonts w:ascii="宋体" w:hAnsi="宋体" w:cs="宋体" w:eastAsia="宋体" w:hint="default"/>
          <w:spacing w:val="-86"/>
          <w:sz w:val="22"/>
          <w:szCs w:val="22"/>
        </w:rPr>
        <w:t> </w:t>
      </w:r>
      <w:r>
        <w:rPr>
          <w:rFonts w:ascii="宋体" w:hAnsi="宋体" w:cs="宋体" w:eastAsia="宋体" w:hint="default"/>
          <w:spacing w:val="-86"/>
          <w:sz w:val="22"/>
          <w:szCs w:val="22"/>
        </w:rPr>
      </w:r>
      <w:r>
        <w:rPr>
          <w:rFonts w:ascii="宋体" w:hAnsi="宋体" w:cs="宋体" w:eastAsia="宋体" w:hint="default"/>
          <w:b/>
          <w:bCs/>
          <w:sz w:val="22"/>
          <w:szCs w:val="22"/>
        </w:rPr>
        <w:t>一、审计意见</w:t>
      </w:r>
      <w:r>
        <w:rPr>
          <w:rFonts w:ascii="宋体" w:hAnsi="宋体" w:cs="宋体" w:eastAsia="宋体" w:hint="default"/>
          <w:sz w:val="22"/>
          <w:szCs w:val="22"/>
        </w:rPr>
      </w:r>
    </w:p>
    <w:p>
      <w:pPr>
        <w:pStyle w:val="BodyText"/>
        <w:spacing w:line="235" w:lineRule="auto" w:before="121"/>
        <w:ind w:left="119" w:right="103" w:firstLine="427"/>
        <w:jc w:val="left"/>
      </w:pPr>
      <w:r>
        <w:rPr>
          <w:spacing w:val="-6"/>
        </w:rPr>
        <w:t>我们审计了后附的中国联合网络通信股份有限公司（以下简称“贵公司”）财务报表，</w:t>
      </w:r>
      <w:r>
        <w:rPr>
          <w:w w:val="100"/>
        </w:rPr>
        <w:t> </w:t>
      </w:r>
      <w:r>
        <w:rPr/>
        <w:t>包括</w:t>
      </w:r>
      <w:r>
        <w:rPr>
          <w:spacing w:val="-53"/>
        </w:rPr>
        <w:t> </w:t>
      </w:r>
      <w:r>
        <w:rPr>
          <w:rFonts w:ascii="Arial" w:hAnsi="Arial" w:cs="Arial" w:eastAsia="Arial" w:hint="default"/>
        </w:rPr>
        <w:t>2019</w:t>
      </w:r>
      <w:r>
        <w:rPr>
          <w:rFonts w:ascii="Arial" w:hAnsi="Arial" w:cs="Arial" w:eastAsia="Arial" w:hint="default"/>
          <w:spacing w:val="-2"/>
        </w:rPr>
        <w:t> </w:t>
      </w:r>
      <w:r>
        <w:rPr/>
        <w:t>年</w:t>
      </w:r>
      <w:r>
        <w:rPr>
          <w:spacing w:val="-53"/>
        </w:rPr>
        <w:t> </w:t>
      </w:r>
      <w:r>
        <w:rPr>
          <w:rFonts w:ascii="Arial" w:hAnsi="Arial" w:cs="Arial" w:eastAsia="Arial" w:hint="default"/>
        </w:rPr>
        <w:t>12</w:t>
      </w:r>
      <w:r>
        <w:rPr>
          <w:rFonts w:ascii="Arial" w:hAnsi="Arial" w:cs="Arial" w:eastAsia="Arial" w:hint="default"/>
          <w:spacing w:val="-2"/>
        </w:rPr>
        <w:t> </w:t>
      </w:r>
      <w:r>
        <w:rPr/>
        <w:t>月</w:t>
      </w:r>
      <w:r>
        <w:rPr>
          <w:spacing w:val="-53"/>
        </w:rPr>
        <w:t> </w:t>
      </w:r>
      <w:r>
        <w:rPr>
          <w:rFonts w:ascii="Arial" w:hAnsi="Arial" w:cs="Arial" w:eastAsia="Arial" w:hint="default"/>
        </w:rPr>
        <w:t>31</w:t>
      </w:r>
      <w:r>
        <w:rPr>
          <w:rFonts w:ascii="Arial" w:hAnsi="Arial" w:cs="Arial" w:eastAsia="Arial" w:hint="default"/>
          <w:spacing w:val="-7"/>
        </w:rPr>
        <w:t> </w:t>
      </w:r>
      <w:r>
        <w:rPr/>
        <w:t>日的合并资产负债表和资产负债表，</w:t>
      </w:r>
      <w:r>
        <w:rPr>
          <w:rFonts w:ascii="Arial" w:hAnsi="Arial" w:cs="Arial" w:eastAsia="Arial" w:hint="default"/>
        </w:rPr>
        <w:t>2019</w:t>
      </w:r>
      <w:r>
        <w:rPr>
          <w:rFonts w:ascii="Arial" w:hAnsi="Arial" w:cs="Arial" w:eastAsia="Arial" w:hint="default"/>
          <w:spacing w:val="-2"/>
        </w:rPr>
        <w:t> </w:t>
      </w:r>
      <w:r>
        <w:rPr/>
        <w:t>年度的合并利润表和利</w:t>
      </w:r>
      <w:r>
        <w:rPr>
          <w:w w:val="100"/>
        </w:rPr>
        <w:t> </w:t>
      </w:r>
      <w:r>
        <w:rPr>
          <w:spacing w:val="-4"/>
        </w:rPr>
        <w:t>润表、合并现金流量表和现金流量表、合并股东权益变动表和股东权益变动表以及相关财</w:t>
      </w:r>
      <w:r>
        <w:rPr>
          <w:spacing w:val="-54"/>
        </w:rPr>
        <w:t> </w:t>
      </w:r>
      <w:r>
        <w:rPr>
          <w:spacing w:val="-54"/>
        </w:rPr>
      </w:r>
      <w:r>
        <w:rPr/>
        <w:t>务报表附注。</w:t>
      </w:r>
    </w:p>
    <w:p>
      <w:pPr>
        <w:spacing w:line="240" w:lineRule="auto" w:before="5"/>
        <w:rPr>
          <w:rFonts w:ascii="宋体" w:hAnsi="宋体" w:cs="宋体" w:eastAsia="宋体" w:hint="default"/>
          <w:sz w:val="21"/>
          <w:szCs w:val="21"/>
        </w:rPr>
      </w:pPr>
    </w:p>
    <w:p>
      <w:pPr>
        <w:pStyle w:val="BodyText"/>
        <w:spacing w:line="284" w:lineRule="exact"/>
        <w:ind w:left="119" w:right="216" w:firstLine="427"/>
        <w:jc w:val="left"/>
        <w:rPr>
          <w:rFonts w:ascii="Arial" w:hAnsi="Arial" w:cs="Arial" w:eastAsia="Arial" w:hint="default"/>
        </w:rPr>
      </w:pPr>
      <w:r>
        <w:rPr>
          <w:spacing w:val="-4"/>
        </w:rPr>
        <w:t>我们认为，后附的财务报表在所有重大方面按照中华人民共和国财政部颁布的企业会</w:t>
      </w:r>
      <w:r>
        <w:rPr>
          <w:w w:val="100"/>
        </w:rPr>
        <w:t> </w:t>
      </w:r>
      <w:r>
        <w:rPr/>
        <w:t>计准则（以下简称“企业会计准则”）的规定编制，公允反映了贵公司</w:t>
      </w:r>
      <w:r>
        <w:rPr>
          <w:spacing w:val="-63"/>
        </w:rPr>
        <w:t> </w:t>
      </w:r>
      <w:r>
        <w:rPr>
          <w:rFonts w:ascii="Arial" w:hAnsi="Arial" w:cs="Arial" w:eastAsia="Arial" w:hint="default"/>
        </w:rPr>
        <w:t>2019</w:t>
      </w:r>
      <w:r>
        <w:rPr>
          <w:rFonts w:ascii="Arial" w:hAnsi="Arial" w:cs="Arial" w:eastAsia="Arial" w:hint="default"/>
          <w:spacing w:val="-12"/>
        </w:rPr>
        <w:t> </w:t>
      </w:r>
      <w:r>
        <w:rPr/>
        <w:t>年</w:t>
      </w:r>
      <w:r>
        <w:rPr>
          <w:spacing w:val="-63"/>
        </w:rPr>
        <w:t> </w:t>
      </w:r>
      <w:r>
        <w:rPr>
          <w:rFonts w:ascii="Arial" w:hAnsi="Arial" w:cs="Arial" w:eastAsia="Arial" w:hint="default"/>
        </w:rPr>
        <w:t>12</w:t>
      </w:r>
      <w:r>
        <w:rPr>
          <w:rFonts w:ascii="Arial" w:hAnsi="Arial" w:cs="Arial" w:eastAsia="Arial" w:hint="default"/>
          <w:spacing w:val="-12"/>
        </w:rPr>
        <w:t> </w:t>
      </w:r>
      <w:r>
        <w:rPr/>
        <w:t>月</w:t>
      </w:r>
      <w:r>
        <w:rPr>
          <w:spacing w:val="-68"/>
        </w:rPr>
        <w:t> </w:t>
      </w:r>
      <w:r>
        <w:rPr>
          <w:rFonts w:ascii="Arial" w:hAnsi="Arial" w:cs="Arial" w:eastAsia="Arial" w:hint="default"/>
        </w:rPr>
        <w:t>31</w:t>
      </w:r>
    </w:p>
    <w:p>
      <w:pPr>
        <w:pStyle w:val="BodyText"/>
        <w:spacing w:line="284" w:lineRule="exact" w:before="4"/>
        <w:ind w:left="118" w:right="213"/>
        <w:jc w:val="left"/>
      </w:pPr>
      <w:r>
        <w:rPr/>
        <w:t>日的合并财务状况和财务状况以及</w:t>
      </w:r>
      <w:r>
        <w:rPr>
          <w:spacing w:val="-80"/>
        </w:rPr>
        <w:t> </w:t>
      </w:r>
      <w:r>
        <w:rPr>
          <w:rFonts w:ascii="Arial" w:hAnsi="Arial" w:cs="Arial" w:eastAsia="Arial" w:hint="default"/>
        </w:rPr>
        <w:t>2019</w:t>
      </w:r>
      <w:r>
        <w:rPr>
          <w:rFonts w:ascii="Arial" w:hAnsi="Arial" w:cs="Arial" w:eastAsia="Arial" w:hint="default"/>
          <w:spacing w:val="-23"/>
        </w:rPr>
        <w:t> </w:t>
      </w:r>
      <w:r>
        <w:rPr/>
        <w:t>年度的合并经营成果和经营成果及合并现金流量</w:t>
      </w:r>
      <w:r>
        <w:rPr>
          <w:w w:val="100"/>
        </w:rPr>
        <w:t> </w:t>
      </w:r>
      <w:r>
        <w:rPr/>
        <w:t>和现金流量。</w:t>
      </w:r>
    </w:p>
    <w:p>
      <w:pPr>
        <w:spacing w:line="538" w:lineRule="exact" w:before="50"/>
        <w:ind w:left="546" w:right="103" w:firstLine="0"/>
        <w:jc w:val="left"/>
        <w:rPr>
          <w:rFonts w:ascii="宋体" w:hAnsi="宋体" w:cs="宋体" w:eastAsia="宋体" w:hint="default"/>
          <w:sz w:val="22"/>
          <w:szCs w:val="22"/>
        </w:rPr>
      </w:pPr>
      <w:r>
        <w:rPr>
          <w:rFonts w:ascii="宋体" w:hAnsi="宋体" w:cs="宋体" w:eastAsia="宋体" w:hint="default"/>
          <w:b/>
          <w:bCs/>
          <w:sz w:val="22"/>
          <w:szCs w:val="22"/>
        </w:rPr>
        <w:t>二、形成审计意见的基础</w:t>
      </w:r>
      <w:r>
        <w:rPr>
          <w:rFonts w:ascii="宋体" w:hAnsi="宋体" w:cs="宋体" w:eastAsia="宋体" w:hint="default"/>
          <w:b/>
          <w:bCs/>
          <w:w w:val="99"/>
          <w:sz w:val="22"/>
          <w:szCs w:val="22"/>
        </w:rPr>
        <w:t> </w:t>
      </w:r>
      <w:r>
        <w:rPr>
          <w:rFonts w:ascii="宋体" w:hAnsi="宋体" w:cs="宋体" w:eastAsia="宋体" w:hint="default"/>
          <w:spacing w:val="-4"/>
          <w:sz w:val="22"/>
          <w:szCs w:val="22"/>
        </w:rPr>
        <w:t>我们按照中国注册会计师审计准则的规定执行了审计工作。审计报告的“注册会计师</w:t>
      </w:r>
    </w:p>
    <w:p>
      <w:pPr>
        <w:pStyle w:val="BodyText"/>
        <w:spacing w:line="209" w:lineRule="exact"/>
        <w:ind w:left="119" w:right="103"/>
        <w:jc w:val="left"/>
      </w:pPr>
      <w:r>
        <w:rPr>
          <w:spacing w:val="-4"/>
        </w:rPr>
        <w:t>对财务报表审计的责任”部分进一步阐述了我们在这些准则下的责任。按照中国注册会计</w:t>
      </w:r>
    </w:p>
    <w:p>
      <w:pPr>
        <w:pStyle w:val="BodyText"/>
        <w:spacing w:line="240" w:lineRule="auto"/>
        <w:ind w:left="119" w:right="103"/>
        <w:jc w:val="left"/>
      </w:pPr>
      <w:r>
        <w:rPr>
          <w:spacing w:val="-4"/>
        </w:rPr>
        <w:t>师职业道德守则，我们独立于贵公司，并履行了职业道德方面的其他责任。我们相信，我</w:t>
      </w:r>
      <w:r>
        <w:rPr>
          <w:spacing w:val="-49"/>
        </w:rPr>
        <w:t> </w:t>
      </w:r>
      <w:r>
        <w:rPr>
          <w:spacing w:val="-49"/>
        </w:rPr>
      </w:r>
      <w:r>
        <w:rPr/>
        <w:t>们获取的审计证据是充分、适当的，为发表审计意见提供了基础。</w:t>
      </w:r>
    </w:p>
    <w:p>
      <w:pPr>
        <w:spacing w:after="0" w:line="240" w:lineRule="auto"/>
        <w:jc w:val="left"/>
        <w:sectPr>
          <w:headerReference w:type="default" r:id="rId89"/>
          <w:footerReference w:type="default" r:id="rId90"/>
          <w:pgSz w:w="11910" w:h="16840"/>
          <w:pgMar w:header="0" w:footer="502" w:top="1580" w:bottom="700" w:left="1580" w:right="1500"/>
          <w:pgNumType w:start="71"/>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p>
      <w:pPr>
        <w:pStyle w:val="Heading3"/>
        <w:spacing w:line="240" w:lineRule="auto"/>
        <w:ind w:left="144" w:right="0"/>
        <w:jc w:val="left"/>
        <w:rPr>
          <w:b w:val="0"/>
          <w:bCs w:val="0"/>
        </w:rPr>
      </w:pPr>
      <w:r>
        <w:rPr/>
        <w:t>三、关键审计事项</w:t>
      </w:r>
      <w:r>
        <w:rPr>
          <w:b w:val="0"/>
          <w:bCs w:val="0"/>
        </w:rPr>
      </w:r>
    </w:p>
    <w:p>
      <w:pPr>
        <w:spacing w:line="240" w:lineRule="auto" w:before="3"/>
        <w:rPr>
          <w:rFonts w:ascii="宋体" w:hAnsi="宋体" w:cs="宋体" w:eastAsia="宋体" w:hint="default"/>
          <w:b/>
          <w:bCs/>
          <w:sz w:val="19"/>
          <w:szCs w:val="19"/>
        </w:rPr>
      </w:pPr>
    </w:p>
    <w:p>
      <w:pPr>
        <w:pStyle w:val="BodyText"/>
        <w:spacing w:line="237" w:lineRule="auto"/>
        <w:ind w:left="163" w:right="107" w:firstLine="422"/>
        <w:jc w:val="both"/>
      </w:pPr>
      <w:r>
        <w:rPr>
          <w:spacing w:val="-1"/>
        </w:rPr>
        <w:t>关键审计事项是我们根据职业判断，认为对本期财务报表审计最为重要的事项。这</w:t>
      </w:r>
      <w:r>
        <w:rPr>
          <w:w w:val="100"/>
        </w:rPr>
        <w:t> </w:t>
      </w:r>
      <w:r>
        <w:rPr>
          <w:spacing w:val="-2"/>
        </w:rPr>
        <w:t>些事项的应对以对财务报表整体进行审计并形成审计意见为背景，我们不对这些事项单</w:t>
      </w:r>
      <w:r>
        <w:rPr>
          <w:spacing w:val="-58"/>
        </w:rPr>
        <w:t> </w:t>
      </w:r>
      <w:r>
        <w:rPr>
          <w:spacing w:val="-58"/>
        </w:rPr>
      </w:r>
      <w:r>
        <w:rPr/>
        <w:t>独发表意见。</w:t>
      </w:r>
    </w:p>
    <w:p>
      <w:pPr>
        <w:spacing w:line="240" w:lineRule="auto" w:before="12"/>
        <w:rPr>
          <w:rFonts w:ascii="宋体" w:hAnsi="宋体" w:cs="宋体" w:eastAsia="宋体" w:hint="default"/>
          <w:sz w:val="21"/>
          <w:szCs w:val="21"/>
        </w:rPr>
      </w:pPr>
    </w:p>
    <w:tbl>
      <w:tblPr>
        <w:tblW w:w="0" w:type="auto"/>
        <w:jc w:val="left"/>
        <w:tblInd w:w="143" w:type="dxa"/>
        <w:tblLayout w:type="fixed"/>
        <w:tblCellMar>
          <w:top w:w="0" w:type="dxa"/>
          <w:left w:w="0" w:type="dxa"/>
          <w:bottom w:w="0" w:type="dxa"/>
          <w:right w:w="0" w:type="dxa"/>
        </w:tblCellMar>
        <w:tblLook w:val="01E0"/>
      </w:tblPr>
      <w:tblGrid>
        <w:gridCol w:w="3768"/>
        <w:gridCol w:w="4574"/>
      </w:tblGrid>
      <w:tr>
        <w:trPr>
          <w:trHeight w:val="518" w:hRule="exact"/>
        </w:trPr>
        <w:tc>
          <w:tcPr>
            <w:tcW w:w="8342" w:type="dxa"/>
            <w:gridSpan w:val="2"/>
            <w:tcBorders>
              <w:top w:val="single" w:sz="4" w:space="0" w:color="9CC2E5"/>
              <w:left w:val="single" w:sz="4" w:space="0" w:color="9CC2E5"/>
              <w:bottom w:val="single" w:sz="12" w:space="0" w:color="9CC2E5"/>
              <w:right w:val="single" w:sz="4" w:space="0" w:color="9CC2E5"/>
            </w:tcBorders>
            <w:shd w:val="clear" w:color="auto" w:fill="DEEAF6"/>
          </w:tcPr>
          <w:p>
            <w:pPr>
              <w:pStyle w:val="TableParagraph"/>
              <w:spacing w:line="240" w:lineRule="auto" w:before="88"/>
              <w:ind w:left="134" w:right="0"/>
              <w:jc w:val="left"/>
              <w:rPr>
                <w:rFonts w:ascii="宋体" w:hAnsi="宋体" w:cs="宋体" w:eastAsia="宋体" w:hint="default"/>
                <w:sz w:val="20"/>
                <w:szCs w:val="20"/>
              </w:rPr>
            </w:pPr>
            <w:r>
              <w:rPr>
                <w:rFonts w:ascii="宋体" w:hAnsi="宋体" w:cs="宋体" w:eastAsia="宋体" w:hint="default"/>
                <w:b/>
                <w:bCs/>
                <w:sz w:val="20"/>
                <w:szCs w:val="20"/>
              </w:rPr>
              <w:t>收入确认</w:t>
            </w:r>
            <w:r>
              <w:rPr>
                <w:rFonts w:ascii="宋体" w:hAnsi="宋体" w:cs="宋体" w:eastAsia="宋体" w:hint="default"/>
                <w:sz w:val="20"/>
                <w:szCs w:val="20"/>
              </w:rPr>
            </w:r>
          </w:p>
        </w:tc>
      </w:tr>
      <w:tr>
        <w:trPr>
          <w:trHeight w:val="782" w:hRule="exact"/>
        </w:trPr>
        <w:tc>
          <w:tcPr>
            <w:tcW w:w="8342" w:type="dxa"/>
            <w:gridSpan w:val="2"/>
            <w:tcBorders>
              <w:top w:val="single" w:sz="12" w:space="0" w:color="9CC2E5"/>
              <w:left w:val="single" w:sz="4" w:space="0" w:color="9CC2E5"/>
              <w:bottom w:val="single" w:sz="4" w:space="0" w:color="9CC2E5"/>
              <w:right w:val="single" w:sz="4" w:space="0" w:color="9CC2E5"/>
            </w:tcBorders>
          </w:tcPr>
          <w:p>
            <w:pPr>
              <w:pStyle w:val="TableParagraph"/>
              <w:spacing w:line="264" w:lineRule="exact" w:before="110"/>
              <w:ind w:left="134" w:right="170"/>
              <w:jc w:val="left"/>
              <w:rPr>
                <w:rFonts w:ascii="Arial" w:hAnsi="Arial" w:cs="Arial" w:eastAsia="Arial" w:hint="default"/>
                <w:sz w:val="20"/>
                <w:szCs w:val="20"/>
              </w:rPr>
            </w:pPr>
            <w:r>
              <w:rPr>
                <w:rFonts w:ascii="宋体" w:hAnsi="宋体" w:cs="宋体" w:eastAsia="宋体" w:hint="default"/>
                <w:spacing w:val="-2"/>
                <w:sz w:val="20"/>
                <w:szCs w:val="20"/>
              </w:rPr>
              <w:t>请参阅合并财务报表附注“三、重要会计政策和会计估计”注释</w:t>
            </w:r>
            <w:r>
              <w:rPr>
                <w:rFonts w:ascii="Arial" w:hAnsi="Arial" w:cs="Arial" w:eastAsia="Arial" w:hint="default"/>
                <w:spacing w:val="-2"/>
                <w:sz w:val="20"/>
                <w:szCs w:val="20"/>
              </w:rPr>
              <w:t>23</w:t>
            </w:r>
            <w:r>
              <w:rPr>
                <w:rFonts w:ascii="宋体" w:hAnsi="宋体" w:cs="宋体" w:eastAsia="宋体" w:hint="default"/>
                <w:spacing w:val="-2"/>
                <w:sz w:val="20"/>
                <w:szCs w:val="20"/>
              </w:rPr>
              <w:t>所述的会计政策及“五、</w:t>
            </w:r>
            <w:r>
              <w:rPr>
                <w:rFonts w:ascii="宋体" w:hAnsi="宋体" w:cs="宋体" w:eastAsia="宋体" w:hint="default"/>
                <w:spacing w:val="-18"/>
                <w:sz w:val="20"/>
                <w:szCs w:val="20"/>
              </w:rPr>
              <w:t> </w:t>
            </w:r>
            <w:r>
              <w:rPr>
                <w:rFonts w:ascii="宋体" w:hAnsi="宋体" w:cs="宋体" w:eastAsia="宋体" w:hint="default"/>
                <w:spacing w:val="-18"/>
                <w:sz w:val="20"/>
                <w:szCs w:val="20"/>
              </w:rPr>
            </w:r>
            <w:r>
              <w:rPr>
                <w:rFonts w:ascii="宋体" w:hAnsi="宋体" w:cs="宋体" w:eastAsia="宋体" w:hint="default"/>
                <w:sz w:val="20"/>
                <w:szCs w:val="20"/>
              </w:rPr>
              <w:t>合并财务报表项目附注”注释</w:t>
            </w:r>
            <w:r>
              <w:rPr>
                <w:rFonts w:ascii="Arial" w:hAnsi="Arial" w:cs="Arial" w:eastAsia="Arial" w:hint="default"/>
                <w:sz w:val="20"/>
                <w:szCs w:val="20"/>
              </w:rPr>
              <w:t>37</w:t>
            </w:r>
          </w:p>
        </w:tc>
      </w:tr>
      <w:tr>
        <w:trPr>
          <w:trHeight w:val="509" w:hRule="exact"/>
        </w:trPr>
        <w:tc>
          <w:tcPr>
            <w:tcW w:w="3768"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88"/>
              <w:ind w:left="134" w:right="0"/>
              <w:jc w:val="left"/>
              <w:rPr>
                <w:rFonts w:ascii="宋体" w:hAnsi="宋体" w:cs="宋体" w:eastAsia="宋体" w:hint="default"/>
                <w:sz w:val="20"/>
                <w:szCs w:val="20"/>
              </w:rPr>
            </w:pPr>
            <w:r>
              <w:rPr>
                <w:rFonts w:ascii="宋体" w:hAnsi="宋体" w:cs="宋体" w:eastAsia="宋体" w:hint="default"/>
                <w:b/>
                <w:bCs/>
                <w:sz w:val="20"/>
                <w:szCs w:val="20"/>
              </w:rPr>
              <w:t>关键审计事项</w:t>
            </w:r>
            <w:r>
              <w:rPr>
                <w:rFonts w:ascii="宋体" w:hAnsi="宋体" w:cs="宋体" w:eastAsia="宋体" w:hint="default"/>
                <w:sz w:val="20"/>
                <w:szCs w:val="20"/>
              </w:rPr>
            </w:r>
          </w:p>
        </w:tc>
        <w:tc>
          <w:tcPr>
            <w:tcW w:w="4574"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88"/>
              <w:ind w:left="139" w:right="0"/>
              <w:jc w:val="left"/>
              <w:rPr>
                <w:rFonts w:ascii="宋体" w:hAnsi="宋体" w:cs="宋体" w:eastAsia="宋体" w:hint="default"/>
                <w:sz w:val="20"/>
                <w:szCs w:val="20"/>
              </w:rPr>
            </w:pPr>
            <w:r>
              <w:rPr>
                <w:rFonts w:ascii="宋体" w:hAnsi="宋体" w:cs="宋体" w:eastAsia="宋体" w:hint="default"/>
                <w:b/>
                <w:bCs/>
                <w:sz w:val="20"/>
                <w:szCs w:val="20"/>
              </w:rPr>
              <w:t>在审计中如何应对该事项</w:t>
            </w:r>
            <w:r>
              <w:rPr>
                <w:rFonts w:ascii="宋体" w:hAnsi="宋体" w:cs="宋体" w:eastAsia="宋体" w:hint="default"/>
                <w:sz w:val="20"/>
                <w:szCs w:val="20"/>
              </w:rPr>
            </w:r>
          </w:p>
        </w:tc>
      </w:tr>
      <w:tr>
        <w:trPr>
          <w:trHeight w:val="8990" w:hRule="exact"/>
        </w:trPr>
        <w:tc>
          <w:tcPr>
            <w:tcW w:w="3768" w:type="dxa"/>
            <w:tcBorders>
              <w:top w:val="single" w:sz="4" w:space="0" w:color="9CC2E5"/>
              <w:left w:val="single" w:sz="4" w:space="0" w:color="9CC2E5"/>
              <w:bottom w:val="single" w:sz="4" w:space="0" w:color="9CC2E5"/>
              <w:right w:val="single" w:sz="4" w:space="0" w:color="9CC2E5"/>
            </w:tcBorders>
          </w:tcPr>
          <w:p>
            <w:pPr>
              <w:pStyle w:val="TableParagraph"/>
              <w:spacing w:line="260" w:lineRule="exact" w:before="113"/>
              <w:ind w:left="105" w:right="-5"/>
              <w:jc w:val="left"/>
              <w:rPr>
                <w:rFonts w:ascii="宋体" w:hAnsi="宋体" w:cs="宋体" w:eastAsia="宋体" w:hint="default"/>
                <w:sz w:val="20"/>
                <w:szCs w:val="20"/>
              </w:rPr>
            </w:pPr>
            <w:r>
              <w:rPr>
                <w:rFonts w:ascii="宋体" w:hAnsi="宋体" w:cs="宋体" w:eastAsia="宋体" w:hint="default"/>
                <w:spacing w:val="-10"/>
                <w:sz w:val="20"/>
                <w:szCs w:val="20"/>
              </w:rPr>
              <w:t>贵公司及其子公司（以下简称“贵集团”）</w:t>
            </w:r>
            <w:r>
              <w:rPr>
                <w:rFonts w:ascii="宋体" w:hAnsi="宋体" w:cs="宋体" w:eastAsia="宋体" w:hint="default"/>
                <w:spacing w:val="-54"/>
                <w:sz w:val="20"/>
                <w:szCs w:val="20"/>
              </w:rPr>
              <w:t> </w:t>
            </w:r>
            <w:r>
              <w:rPr>
                <w:rFonts w:ascii="宋体" w:hAnsi="宋体" w:cs="宋体" w:eastAsia="宋体" w:hint="default"/>
                <w:spacing w:val="-54"/>
                <w:sz w:val="20"/>
                <w:szCs w:val="20"/>
              </w:rPr>
            </w:r>
            <w:r>
              <w:rPr>
                <w:rFonts w:ascii="宋体" w:hAnsi="宋体" w:cs="宋体" w:eastAsia="宋体" w:hint="default"/>
                <w:sz w:val="20"/>
                <w:szCs w:val="20"/>
              </w:rPr>
              <w:t>的收入主要来自于语音通话、增值服务、</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pacing w:val="-5"/>
                <w:sz w:val="20"/>
                <w:szCs w:val="20"/>
              </w:rPr>
              <w:t>宽带及移动数据服务、数据及其他互联网</w:t>
            </w:r>
            <w:r>
              <w:rPr>
                <w:rFonts w:ascii="宋体" w:hAnsi="宋体" w:cs="宋体" w:eastAsia="宋体" w:hint="default"/>
                <w:spacing w:val="-55"/>
                <w:sz w:val="20"/>
                <w:szCs w:val="20"/>
              </w:rPr>
              <w:t> </w:t>
            </w:r>
            <w:r>
              <w:rPr>
                <w:rFonts w:ascii="宋体" w:hAnsi="宋体" w:cs="宋体" w:eastAsia="宋体" w:hint="default"/>
                <w:spacing w:val="-55"/>
                <w:sz w:val="20"/>
                <w:szCs w:val="20"/>
              </w:rPr>
            </w:r>
            <w:r>
              <w:rPr>
                <w:rFonts w:ascii="宋体" w:hAnsi="宋体" w:cs="宋体" w:eastAsia="宋体" w:hint="default"/>
                <w:spacing w:val="-5"/>
                <w:sz w:val="20"/>
                <w:szCs w:val="20"/>
              </w:rPr>
              <w:t>应用、电路及网元服务以及销售通信产品</w:t>
            </w:r>
            <w:r>
              <w:rPr>
                <w:rFonts w:ascii="宋体" w:hAnsi="宋体" w:cs="宋体" w:eastAsia="宋体" w:hint="default"/>
                <w:spacing w:val="-56"/>
                <w:sz w:val="20"/>
                <w:szCs w:val="20"/>
              </w:rPr>
              <w:t> </w:t>
            </w:r>
            <w:r>
              <w:rPr>
                <w:rFonts w:ascii="宋体" w:hAnsi="宋体" w:cs="宋体" w:eastAsia="宋体" w:hint="default"/>
                <w:spacing w:val="-56"/>
                <w:sz w:val="20"/>
                <w:szCs w:val="20"/>
              </w:rPr>
            </w:r>
            <w:r>
              <w:rPr>
                <w:rFonts w:ascii="宋体" w:hAnsi="宋体" w:cs="宋体" w:eastAsia="宋体" w:hint="default"/>
                <w:sz w:val="20"/>
                <w:szCs w:val="20"/>
              </w:rPr>
              <w:t>收入。</w:t>
            </w:r>
          </w:p>
          <w:p>
            <w:pPr>
              <w:pStyle w:val="TableParagraph"/>
              <w:spacing w:line="260" w:lineRule="exact" w:before="119"/>
              <w:ind w:left="134" w:right="93"/>
              <w:jc w:val="both"/>
              <w:rPr>
                <w:rFonts w:ascii="宋体" w:hAnsi="宋体" w:cs="宋体" w:eastAsia="宋体" w:hint="default"/>
                <w:sz w:val="20"/>
                <w:szCs w:val="20"/>
              </w:rPr>
            </w:pPr>
            <w:r>
              <w:rPr>
                <w:rFonts w:ascii="宋体" w:hAnsi="宋体" w:cs="宋体" w:eastAsia="宋体" w:hint="default"/>
                <w:spacing w:val="-6"/>
                <w:sz w:val="20"/>
                <w:szCs w:val="20"/>
              </w:rPr>
              <w:t>由于电信公司的计费系统复杂，且需要在</w:t>
            </w:r>
            <w:r>
              <w:rPr>
                <w:rFonts w:ascii="宋体" w:hAnsi="宋体" w:cs="宋体" w:eastAsia="宋体" w:hint="default"/>
                <w:spacing w:val="-66"/>
                <w:sz w:val="20"/>
                <w:szCs w:val="20"/>
              </w:rPr>
              <w:t> </w:t>
            </w:r>
            <w:r>
              <w:rPr>
                <w:rFonts w:ascii="宋体" w:hAnsi="宋体" w:cs="宋体" w:eastAsia="宋体" w:hint="default"/>
                <w:spacing w:val="-66"/>
                <w:sz w:val="20"/>
                <w:szCs w:val="20"/>
              </w:rPr>
            </w:r>
            <w:r>
              <w:rPr>
                <w:rFonts w:ascii="宋体" w:hAnsi="宋体" w:cs="宋体" w:eastAsia="宋体" w:hint="default"/>
                <w:spacing w:val="4"/>
                <w:sz w:val="20"/>
                <w:szCs w:val="20"/>
              </w:rPr>
              <w:t>数个系统中处理当年销售不同产品组合</w:t>
            </w:r>
            <w:r>
              <w:rPr>
                <w:rFonts w:ascii="宋体" w:hAnsi="宋体" w:cs="宋体" w:eastAsia="宋体" w:hint="default"/>
                <w:spacing w:val="-53"/>
                <w:sz w:val="20"/>
                <w:szCs w:val="20"/>
              </w:rPr>
              <w:t> </w:t>
            </w:r>
            <w:r>
              <w:rPr>
                <w:rFonts w:ascii="宋体" w:hAnsi="宋体" w:cs="宋体" w:eastAsia="宋体" w:hint="default"/>
                <w:spacing w:val="-53"/>
                <w:sz w:val="20"/>
                <w:szCs w:val="20"/>
              </w:rPr>
            </w:r>
            <w:r>
              <w:rPr>
                <w:rFonts w:ascii="宋体" w:hAnsi="宋体" w:cs="宋体" w:eastAsia="宋体" w:hint="default"/>
                <w:spacing w:val="-6"/>
                <w:w w:val="100"/>
                <w:sz w:val="20"/>
                <w:szCs w:val="20"/>
              </w:rPr>
              <w:t>而产生大量业务数据，因此在合并财务报</w:t>
            </w:r>
            <w:r>
              <w:rPr>
                <w:rFonts w:ascii="宋体" w:hAnsi="宋体" w:cs="宋体" w:eastAsia="宋体" w:hint="default"/>
                <w:spacing w:val="-95"/>
                <w:w w:val="100"/>
                <w:sz w:val="20"/>
                <w:szCs w:val="20"/>
              </w:rPr>
              <w:t> </w:t>
            </w:r>
            <w:r>
              <w:rPr>
                <w:rFonts w:ascii="宋体" w:hAnsi="宋体" w:cs="宋体" w:eastAsia="宋体" w:hint="default"/>
                <w:spacing w:val="-95"/>
                <w:w w:val="100"/>
                <w:sz w:val="20"/>
                <w:szCs w:val="20"/>
              </w:rPr>
            </w:r>
            <w:r>
              <w:rPr>
                <w:rFonts w:ascii="宋体" w:hAnsi="宋体" w:cs="宋体" w:eastAsia="宋体" w:hint="default"/>
                <w:spacing w:val="4"/>
                <w:sz w:val="20"/>
                <w:szCs w:val="20"/>
              </w:rPr>
              <w:t>表中收入确认的准确性存在电信行业的</w:t>
            </w:r>
            <w:r>
              <w:rPr>
                <w:rFonts w:ascii="宋体" w:hAnsi="宋体" w:cs="宋体" w:eastAsia="宋体" w:hint="default"/>
                <w:spacing w:val="-53"/>
                <w:sz w:val="20"/>
                <w:szCs w:val="20"/>
              </w:rPr>
              <w:t> </w:t>
            </w:r>
            <w:r>
              <w:rPr>
                <w:rFonts w:ascii="宋体" w:hAnsi="宋体" w:cs="宋体" w:eastAsia="宋体" w:hint="default"/>
                <w:spacing w:val="-53"/>
                <w:sz w:val="20"/>
                <w:szCs w:val="20"/>
              </w:rPr>
            </w:r>
            <w:r>
              <w:rPr>
                <w:rFonts w:ascii="宋体" w:hAnsi="宋体" w:cs="宋体" w:eastAsia="宋体" w:hint="default"/>
                <w:sz w:val="20"/>
                <w:szCs w:val="20"/>
              </w:rPr>
              <w:t>固有风险。</w:t>
            </w:r>
          </w:p>
          <w:p>
            <w:pPr>
              <w:pStyle w:val="TableParagraph"/>
              <w:spacing w:line="260" w:lineRule="exact" w:before="119"/>
              <w:ind w:left="134" w:right="17"/>
              <w:jc w:val="both"/>
              <w:rPr>
                <w:rFonts w:ascii="宋体" w:hAnsi="宋体" w:cs="宋体" w:eastAsia="宋体" w:hint="default"/>
                <w:sz w:val="20"/>
                <w:szCs w:val="20"/>
              </w:rPr>
            </w:pPr>
            <w:r>
              <w:rPr>
                <w:rFonts w:ascii="宋体" w:hAnsi="宋体" w:cs="宋体" w:eastAsia="宋体" w:hint="default"/>
                <w:spacing w:val="4"/>
                <w:sz w:val="20"/>
                <w:szCs w:val="20"/>
              </w:rPr>
              <w:t>贵集团与用户签订的包含捆绑套餐的合</w:t>
            </w:r>
            <w:r>
              <w:rPr>
                <w:rFonts w:ascii="宋体" w:hAnsi="宋体" w:cs="宋体" w:eastAsia="宋体" w:hint="default"/>
                <w:spacing w:val="-53"/>
                <w:sz w:val="20"/>
                <w:szCs w:val="20"/>
              </w:rPr>
              <w:t> </w:t>
            </w:r>
            <w:r>
              <w:rPr>
                <w:rFonts w:ascii="宋体" w:hAnsi="宋体" w:cs="宋体" w:eastAsia="宋体" w:hint="default"/>
                <w:spacing w:val="-53"/>
                <w:sz w:val="20"/>
                <w:szCs w:val="20"/>
              </w:rPr>
            </w:r>
            <w:r>
              <w:rPr>
                <w:rFonts w:ascii="宋体" w:hAnsi="宋体" w:cs="宋体" w:eastAsia="宋体" w:hint="default"/>
                <w:spacing w:val="-6"/>
                <w:sz w:val="20"/>
                <w:szCs w:val="20"/>
              </w:rPr>
              <w:t>同中包含不同履约义务，包括提供电信服</w:t>
            </w:r>
            <w:r>
              <w:rPr>
                <w:rFonts w:ascii="宋体" w:hAnsi="宋体" w:cs="宋体" w:eastAsia="宋体" w:hint="default"/>
                <w:spacing w:val="-66"/>
                <w:sz w:val="20"/>
                <w:szCs w:val="20"/>
              </w:rPr>
              <w:t> </w:t>
            </w:r>
            <w:r>
              <w:rPr>
                <w:rFonts w:ascii="宋体" w:hAnsi="宋体" w:cs="宋体" w:eastAsia="宋体" w:hint="default"/>
                <w:spacing w:val="-66"/>
                <w:sz w:val="20"/>
                <w:szCs w:val="20"/>
              </w:rPr>
            </w:r>
            <w:r>
              <w:rPr>
                <w:rFonts w:ascii="宋体" w:hAnsi="宋体" w:cs="宋体" w:eastAsia="宋体" w:hint="default"/>
                <w:spacing w:val="-6"/>
                <w:sz w:val="20"/>
                <w:szCs w:val="20"/>
              </w:rPr>
              <w:t>务和销售手机等通信产品，在确定各履约</w:t>
            </w:r>
            <w:r>
              <w:rPr>
                <w:rFonts w:ascii="宋体" w:hAnsi="宋体" w:cs="宋体" w:eastAsia="宋体" w:hint="default"/>
                <w:spacing w:val="-66"/>
                <w:sz w:val="20"/>
                <w:szCs w:val="20"/>
              </w:rPr>
              <w:t> </w:t>
            </w:r>
            <w:r>
              <w:rPr>
                <w:rFonts w:ascii="宋体" w:hAnsi="宋体" w:cs="宋体" w:eastAsia="宋体" w:hint="default"/>
                <w:spacing w:val="-66"/>
                <w:sz w:val="20"/>
                <w:szCs w:val="20"/>
              </w:rPr>
            </w:r>
            <w:r>
              <w:rPr>
                <w:rFonts w:ascii="宋体" w:hAnsi="宋体" w:cs="宋体" w:eastAsia="宋体" w:hint="default"/>
                <w:spacing w:val="4"/>
                <w:sz w:val="20"/>
                <w:szCs w:val="20"/>
              </w:rPr>
              <w:t>义务的收入计量方法和确认时点时会涉</w:t>
            </w:r>
            <w:r>
              <w:rPr>
                <w:rFonts w:ascii="宋体" w:hAnsi="宋体" w:cs="宋体" w:eastAsia="宋体" w:hint="default"/>
                <w:spacing w:val="-53"/>
                <w:sz w:val="20"/>
                <w:szCs w:val="20"/>
              </w:rPr>
              <w:t> </w:t>
            </w:r>
            <w:r>
              <w:rPr>
                <w:rFonts w:ascii="宋体" w:hAnsi="宋体" w:cs="宋体" w:eastAsia="宋体" w:hint="default"/>
                <w:spacing w:val="-53"/>
                <w:sz w:val="20"/>
                <w:szCs w:val="20"/>
              </w:rPr>
            </w:r>
            <w:r>
              <w:rPr>
                <w:rFonts w:ascii="宋体" w:hAnsi="宋体" w:cs="宋体" w:eastAsia="宋体" w:hint="default"/>
                <w:spacing w:val="-6"/>
                <w:w w:val="100"/>
                <w:sz w:val="20"/>
                <w:szCs w:val="20"/>
              </w:rPr>
              <w:t>及重大的管理层判断。同时为了实现交易</w:t>
            </w:r>
            <w:r>
              <w:rPr>
                <w:rFonts w:ascii="宋体" w:hAnsi="宋体" w:cs="宋体" w:eastAsia="宋体" w:hint="default"/>
                <w:spacing w:val="-95"/>
                <w:w w:val="100"/>
                <w:sz w:val="20"/>
                <w:szCs w:val="20"/>
              </w:rPr>
              <w:t> </w:t>
            </w:r>
            <w:r>
              <w:rPr>
                <w:rFonts w:ascii="宋体" w:hAnsi="宋体" w:cs="宋体" w:eastAsia="宋体" w:hint="default"/>
                <w:spacing w:val="-95"/>
                <w:w w:val="100"/>
                <w:sz w:val="20"/>
                <w:szCs w:val="20"/>
              </w:rPr>
            </w:r>
            <w:r>
              <w:rPr>
                <w:rFonts w:ascii="宋体" w:hAnsi="宋体" w:cs="宋体" w:eastAsia="宋体" w:hint="default"/>
                <w:spacing w:val="-6"/>
                <w:w w:val="100"/>
                <w:sz w:val="20"/>
                <w:szCs w:val="20"/>
              </w:rPr>
              <w:t>价格在这些履约义务间的恰当分摊，贵集</w:t>
            </w:r>
            <w:r>
              <w:rPr>
                <w:rFonts w:ascii="宋体" w:hAnsi="宋体" w:cs="宋体" w:eastAsia="宋体" w:hint="default"/>
                <w:spacing w:val="-95"/>
                <w:w w:val="100"/>
                <w:sz w:val="20"/>
                <w:szCs w:val="20"/>
              </w:rPr>
              <w:t> </w:t>
            </w:r>
            <w:r>
              <w:rPr>
                <w:rFonts w:ascii="宋体" w:hAnsi="宋体" w:cs="宋体" w:eastAsia="宋体" w:hint="default"/>
                <w:spacing w:val="-95"/>
                <w:w w:val="100"/>
                <w:sz w:val="20"/>
                <w:szCs w:val="20"/>
              </w:rPr>
            </w:r>
            <w:r>
              <w:rPr>
                <w:rFonts w:ascii="宋体" w:hAnsi="宋体" w:cs="宋体" w:eastAsia="宋体" w:hint="default"/>
                <w:sz w:val="20"/>
                <w:szCs w:val="20"/>
              </w:rPr>
              <w:t>团的信息系统设置较为复杂。</w:t>
            </w:r>
          </w:p>
          <w:p>
            <w:pPr>
              <w:pStyle w:val="TableParagraph"/>
              <w:spacing w:line="237" w:lineRule="auto" w:before="96"/>
              <w:ind w:left="134" w:right="17"/>
              <w:jc w:val="left"/>
              <w:rPr>
                <w:rFonts w:ascii="宋体" w:hAnsi="宋体" w:cs="宋体" w:eastAsia="宋体" w:hint="default"/>
                <w:sz w:val="20"/>
                <w:szCs w:val="20"/>
              </w:rPr>
            </w:pPr>
            <w:r>
              <w:rPr>
                <w:rFonts w:ascii="宋体" w:hAnsi="宋体" w:cs="宋体" w:eastAsia="宋体" w:hint="default"/>
                <w:spacing w:val="-2"/>
                <w:sz w:val="20"/>
                <w:szCs w:val="20"/>
              </w:rPr>
              <w:t>由于收入是贵集团的关键绩效指标之一，</w:t>
            </w:r>
            <w:r>
              <w:rPr>
                <w:rFonts w:ascii="宋体" w:hAnsi="宋体" w:cs="宋体" w:eastAsia="宋体" w:hint="default"/>
                <w:spacing w:val="-61"/>
                <w:sz w:val="20"/>
                <w:szCs w:val="20"/>
              </w:rPr>
              <w:t> </w:t>
            </w:r>
            <w:r>
              <w:rPr>
                <w:rFonts w:ascii="宋体" w:hAnsi="宋体" w:cs="宋体" w:eastAsia="宋体" w:hint="default"/>
                <w:spacing w:val="-61"/>
                <w:sz w:val="20"/>
                <w:szCs w:val="20"/>
              </w:rPr>
            </w:r>
            <w:r>
              <w:rPr>
                <w:rFonts w:ascii="宋体" w:hAnsi="宋体" w:cs="宋体" w:eastAsia="宋体" w:hint="default"/>
                <w:spacing w:val="4"/>
                <w:sz w:val="20"/>
                <w:szCs w:val="20"/>
              </w:rPr>
              <w:t>且其涉及复杂的信息技术系统和管理层</w:t>
            </w:r>
            <w:r>
              <w:rPr>
                <w:rFonts w:ascii="宋体" w:hAnsi="宋体" w:cs="宋体" w:eastAsia="宋体" w:hint="default"/>
                <w:spacing w:val="-53"/>
                <w:sz w:val="20"/>
                <w:szCs w:val="20"/>
              </w:rPr>
              <w:t> </w:t>
            </w:r>
            <w:r>
              <w:rPr>
                <w:rFonts w:ascii="宋体" w:hAnsi="宋体" w:cs="宋体" w:eastAsia="宋体" w:hint="default"/>
                <w:spacing w:val="-53"/>
                <w:sz w:val="20"/>
                <w:szCs w:val="20"/>
              </w:rPr>
            </w:r>
            <w:r>
              <w:rPr>
                <w:rFonts w:ascii="宋体" w:hAnsi="宋体" w:cs="宋体" w:eastAsia="宋体" w:hint="default"/>
                <w:spacing w:val="-6"/>
                <w:sz w:val="20"/>
                <w:szCs w:val="20"/>
              </w:rPr>
              <w:t>判断，使得收入存在可能被确认于不正确</w:t>
            </w:r>
            <w:r>
              <w:rPr>
                <w:rFonts w:ascii="宋体" w:hAnsi="宋体" w:cs="宋体" w:eastAsia="宋体" w:hint="default"/>
                <w:spacing w:val="-66"/>
                <w:sz w:val="20"/>
                <w:szCs w:val="20"/>
              </w:rPr>
              <w:t> </w:t>
            </w:r>
            <w:r>
              <w:rPr>
                <w:rFonts w:ascii="宋体" w:hAnsi="宋体" w:cs="宋体" w:eastAsia="宋体" w:hint="default"/>
                <w:spacing w:val="-66"/>
                <w:sz w:val="20"/>
                <w:szCs w:val="20"/>
              </w:rPr>
            </w:r>
            <w:r>
              <w:rPr>
                <w:rFonts w:ascii="宋体" w:hAnsi="宋体" w:cs="宋体" w:eastAsia="宋体" w:hint="default"/>
                <w:spacing w:val="4"/>
                <w:sz w:val="20"/>
                <w:szCs w:val="20"/>
              </w:rPr>
              <w:t>的期间或被操控以达到目标或预期水平</w:t>
            </w:r>
            <w:r>
              <w:rPr>
                <w:rFonts w:ascii="宋体" w:hAnsi="宋体" w:cs="宋体" w:eastAsia="宋体" w:hint="default"/>
                <w:spacing w:val="-53"/>
                <w:sz w:val="20"/>
                <w:szCs w:val="20"/>
              </w:rPr>
              <w:t> </w:t>
            </w:r>
            <w:r>
              <w:rPr>
                <w:rFonts w:ascii="宋体" w:hAnsi="宋体" w:cs="宋体" w:eastAsia="宋体" w:hint="default"/>
                <w:spacing w:val="-53"/>
                <w:sz w:val="20"/>
                <w:szCs w:val="20"/>
              </w:rPr>
            </w:r>
            <w:r>
              <w:rPr>
                <w:rFonts w:ascii="宋体" w:hAnsi="宋体" w:cs="宋体" w:eastAsia="宋体" w:hint="default"/>
                <w:spacing w:val="-6"/>
                <w:sz w:val="20"/>
                <w:szCs w:val="20"/>
              </w:rPr>
              <w:t>的固有风险，我们将贵集团收入确认识别</w:t>
            </w:r>
            <w:r>
              <w:rPr>
                <w:rFonts w:ascii="宋体" w:hAnsi="宋体" w:cs="宋体" w:eastAsia="宋体" w:hint="default"/>
                <w:spacing w:val="-66"/>
                <w:sz w:val="20"/>
                <w:szCs w:val="20"/>
              </w:rPr>
              <w:t> </w:t>
            </w:r>
            <w:r>
              <w:rPr>
                <w:rFonts w:ascii="宋体" w:hAnsi="宋体" w:cs="宋体" w:eastAsia="宋体" w:hint="default"/>
                <w:spacing w:val="-66"/>
                <w:sz w:val="20"/>
                <w:szCs w:val="20"/>
              </w:rPr>
            </w:r>
            <w:r>
              <w:rPr>
                <w:rFonts w:ascii="宋体" w:hAnsi="宋体" w:cs="宋体" w:eastAsia="宋体" w:hint="default"/>
                <w:sz w:val="20"/>
                <w:szCs w:val="20"/>
              </w:rPr>
              <w:t>为关键审计事项。</w:t>
            </w:r>
          </w:p>
        </w:tc>
        <w:tc>
          <w:tcPr>
            <w:tcW w:w="4574"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88"/>
              <w:ind w:left="139" w:right="0"/>
              <w:jc w:val="left"/>
              <w:rPr>
                <w:rFonts w:ascii="宋体" w:hAnsi="宋体" w:cs="宋体" w:eastAsia="宋体" w:hint="default"/>
                <w:sz w:val="20"/>
                <w:szCs w:val="20"/>
              </w:rPr>
            </w:pPr>
            <w:r>
              <w:rPr>
                <w:rFonts w:ascii="宋体" w:hAnsi="宋体" w:cs="宋体" w:eastAsia="宋体" w:hint="default"/>
                <w:spacing w:val="-2"/>
                <w:sz w:val="20"/>
                <w:szCs w:val="20"/>
              </w:rPr>
              <w:t>与评价收入确认相关的审计程序中包括以下程序：</w:t>
            </w:r>
          </w:p>
          <w:p>
            <w:pPr>
              <w:pStyle w:val="TableParagraph"/>
              <w:spacing w:line="260" w:lineRule="exact" w:before="143"/>
              <w:ind w:left="422" w:right="94" w:hanging="284"/>
              <w:jc w:val="both"/>
              <w:rPr>
                <w:rFonts w:ascii="宋体" w:hAnsi="宋体" w:cs="宋体" w:eastAsia="宋体" w:hint="default"/>
                <w:sz w:val="20"/>
                <w:szCs w:val="20"/>
              </w:rPr>
            </w:pPr>
            <w:r>
              <w:rPr>
                <w:rFonts w:ascii="Symbol" w:hAnsi="Symbol" w:cs="Symbol" w:eastAsia="Symbol" w:hint="default"/>
                <w:sz w:val="20"/>
                <w:szCs w:val="20"/>
              </w:rPr>
              <w:t></w:t>
            </w:r>
            <w:r>
              <w:rPr>
                <w:rFonts w:ascii="Symbol" w:hAnsi="Symbol" w:cs="Symbol" w:eastAsia="Symbol" w:hint="default"/>
                <w:spacing w:val="26"/>
                <w:sz w:val="20"/>
                <w:szCs w:val="20"/>
              </w:rPr>
              <w:t></w:t>
            </w:r>
            <w:r>
              <w:rPr>
                <w:rFonts w:ascii="Times New Roman" w:hAnsi="Times New Roman" w:cs="Times New Roman" w:eastAsia="Times New Roman" w:hint="default"/>
                <w:spacing w:val="26"/>
                <w:sz w:val="20"/>
                <w:szCs w:val="20"/>
              </w:rPr>
            </w:r>
            <w:r>
              <w:rPr>
                <w:rFonts w:ascii="宋体" w:hAnsi="宋体" w:cs="宋体" w:eastAsia="宋体" w:hint="default"/>
                <w:sz w:val="20"/>
                <w:szCs w:val="20"/>
              </w:rPr>
              <w:t>利用本所内部信息技术专家的工作，评价与业</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z w:val="20"/>
                <w:szCs w:val="20"/>
              </w:rPr>
              <w:t>务系统运行的一般信息技术环境相关的关键内</w:t>
            </w:r>
            <w:r>
              <w:rPr>
                <w:rFonts w:ascii="宋体" w:hAnsi="宋体" w:cs="宋体" w:eastAsia="宋体" w:hint="default"/>
                <w:w w:val="100"/>
                <w:sz w:val="20"/>
                <w:szCs w:val="20"/>
              </w:rPr>
              <w:t> </w:t>
            </w:r>
            <w:r>
              <w:rPr>
                <w:rFonts w:ascii="宋体" w:hAnsi="宋体" w:cs="宋体" w:eastAsia="宋体" w:hint="default"/>
                <w:spacing w:val="-9"/>
                <w:sz w:val="20"/>
                <w:szCs w:val="20"/>
              </w:rPr>
              <w:t>部控制（包括系统访问控制、程序变更控制、程</w:t>
            </w:r>
            <w:r>
              <w:rPr>
                <w:rFonts w:ascii="宋体" w:hAnsi="宋体" w:cs="宋体" w:eastAsia="宋体" w:hint="default"/>
                <w:w w:val="100"/>
                <w:sz w:val="20"/>
                <w:szCs w:val="20"/>
              </w:rPr>
              <w:t> </w:t>
            </w:r>
            <w:r>
              <w:rPr>
                <w:rFonts w:ascii="宋体" w:hAnsi="宋体" w:cs="宋体" w:eastAsia="宋体" w:hint="default"/>
                <w:sz w:val="20"/>
                <w:szCs w:val="20"/>
              </w:rPr>
              <w:t>序开发控制和计算机运行控制）的设计和运行</w:t>
            </w:r>
            <w:r>
              <w:rPr>
                <w:rFonts w:ascii="宋体" w:hAnsi="宋体" w:cs="宋体" w:eastAsia="宋体" w:hint="default"/>
                <w:w w:val="100"/>
                <w:sz w:val="20"/>
                <w:szCs w:val="20"/>
              </w:rPr>
              <w:t> </w:t>
            </w:r>
            <w:r>
              <w:rPr>
                <w:rFonts w:ascii="宋体" w:hAnsi="宋体" w:cs="宋体" w:eastAsia="宋体" w:hint="default"/>
                <w:sz w:val="20"/>
                <w:szCs w:val="20"/>
              </w:rPr>
              <w:t>有效性；</w:t>
            </w:r>
            <w:r>
              <w:rPr>
                <w:rFonts w:ascii="宋体" w:hAnsi="宋体" w:cs="宋体" w:eastAsia="宋体" w:hint="default"/>
                <w:sz w:val="20"/>
                <w:szCs w:val="20"/>
              </w:rPr>
              <w:t> </w:t>
            </w:r>
          </w:p>
          <w:p>
            <w:pPr>
              <w:pStyle w:val="TableParagraph"/>
              <w:spacing w:line="260" w:lineRule="exact" w:before="119"/>
              <w:ind w:left="422" w:right="98" w:hanging="284"/>
              <w:jc w:val="both"/>
              <w:rPr>
                <w:rFonts w:ascii="宋体" w:hAnsi="宋体" w:cs="宋体" w:eastAsia="宋体" w:hint="default"/>
                <w:sz w:val="20"/>
                <w:szCs w:val="20"/>
              </w:rPr>
            </w:pPr>
            <w:r>
              <w:rPr>
                <w:rFonts w:ascii="Symbol" w:hAnsi="Symbol" w:cs="Symbol" w:eastAsia="Symbol" w:hint="default"/>
                <w:sz w:val="20"/>
                <w:szCs w:val="20"/>
              </w:rPr>
              <w:t></w:t>
            </w:r>
            <w:r>
              <w:rPr>
                <w:rFonts w:ascii="Symbol" w:hAnsi="Symbol" w:cs="Symbol" w:eastAsia="Symbol" w:hint="default"/>
                <w:spacing w:val="27"/>
                <w:sz w:val="20"/>
                <w:szCs w:val="20"/>
              </w:rPr>
              <w:t></w:t>
            </w:r>
            <w:r>
              <w:rPr>
                <w:rFonts w:ascii="Times New Roman" w:hAnsi="Times New Roman" w:cs="Times New Roman" w:eastAsia="Times New Roman" w:hint="default"/>
                <w:spacing w:val="27"/>
                <w:sz w:val="20"/>
                <w:szCs w:val="20"/>
              </w:rPr>
            </w:r>
            <w:r>
              <w:rPr>
                <w:rFonts w:ascii="宋体" w:hAnsi="宋体" w:cs="宋体" w:eastAsia="宋体" w:hint="default"/>
                <w:sz w:val="20"/>
                <w:szCs w:val="20"/>
              </w:rPr>
              <w:t>利用本所内部信息技术专家的工作，评价与计</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z w:val="20"/>
                <w:szCs w:val="20"/>
              </w:rPr>
              <w:t>费出账的完整性和准确性，以及计费出账系统</w:t>
            </w:r>
            <w:r>
              <w:rPr>
                <w:rFonts w:ascii="宋体" w:hAnsi="宋体" w:cs="宋体" w:eastAsia="宋体" w:hint="default"/>
                <w:w w:val="100"/>
                <w:sz w:val="20"/>
                <w:szCs w:val="20"/>
              </w:rPr>
              <w:t> </w:t>
            </w:r>
            <w:r>
              <w:rPr>
                <w:rFonts w:ascii="宋体" w:hAnsi="宋体" w:cs="宋体" w:eastAsia="宋体" w:hint="default"/>
                <w:sz w:val="20"/>
                <w:szCs w:val="20"/>
              </w:rPr>
              <w:t>与财务系统间核对一致等相关的关键内部控制</w:t>
            </w:r>
            <w:r>
              <w:rPr>
                <w:rFonts w:ascii="宋体" w:hAnsi="宋体" w:cs="宋体" w:eastAsia="宋体" w:hint="default"/>
                <w:w w:val="100"/>
                <w:sz w:val="20"/>
                <w:szCs w:val="20"/>
              </w:rPr>
              <w:t> </w:t>
            </w:r>
            <w:r>
              <w:rPr>
                <w:rFonts w:ascii="宋体" w:hAnsi="宋体" w:cs="宋体" w:eastAsia="宋体" w:hint="default"/>
                <w:sz w:val="20"/>
                <w:szCs w:val="20"/>
              </w:rPr>
              <w:t>的设计和运行有效性；</w:t>
            </w:r>
            <w:r>
              <w:rPr>
                <w:rFonts w:ascii="宋体" w:hAnsi="宋体" w:cs="宋体" w:eastAsia="宋体" w:hint="default"/>
                <w:sz w:val="20"/>
                <w:szCs w:val="20"/>
              </w:rPr>
              <w:t> </w:t>
            </w:r>
          </w:p>
          <w:p>
            <w:pPr>
              <w:pStyle w:val="TableParagraph"/>
              <w:spacing w:line="260" w:lineRule="exact" w:before="119"/>
              <w:ind w:left="422" w:right="98" w:hanging="284"/>
              <w:jc w:val="both"/>
              <w:rPr>
                <w:rFonts w:ascii="宋体" w:hAnsi="宋体" w:cs="宋体" w:eastAsia="宋体" w:hint="default"/>
                <w:sz w:val="20"/>
                <w:szCs w:val="20"/>
              </w:rPr>
            </w:pPr>
            <w:r>
              <w:rPr>
                <w:rFonts w:ascii="Symbol" w:hAnsi="Symbol" w:cs="Symbol" w:eastAsia="Symbol" w:hint="default"/>
                <w:sz w:val="20"/>
                <w:szCs w:val="20"/>
              </w:rPr>
              <w:t></w:t>
            </w:r>
            <w:r>
              <w:rPr>
                <w:rFonts w:ascii="Symbol" w:hAnsi="Symbol" w:cs="Symbol" w:eastAsia="Symbol" w:hint="default"/>
                <w:spacing w:val="27"/>
                <w:sz w:val="20"/>
                <w:szCs w:val="20"/>
              </w:rPr>
              <w:t></w:t>
            </w:r>
            <w:r>
              <w:rPr>
                <w:rFonts w:ascii="Times New Roman" w:hAnsi="Times New Roman" w:cs="Times New Roman" w:eastAsia="Times New Roman" w:hint="default"/>
                <w:spacing w:val="27"/>
                <w:sz w:val="20"/>
                <w:szCs w:val="20"/>
              </w:rPr>
            </w:r>
            <w:r>
              <w:rPr>
                <w:rFonts w:ascii="宋体" w:hAnsi="宋体" w:cs="宋体" w:eastAsia="宋体" w:hint="default"/>
                <w:sz w:val="20"/>
                <w:szCs w:val="20"/>
              </w:rPr>
              <w:t>在抽样的基础上，将向用户出具的账单与相应</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z w:val="20"/>
                <w:szCs w:val="20"/>
              </w:rPr>
              <w:t>的应收账款记录以及收费单据进行核对；</w:t>
            </w:r>
            <w:r>
              <w:rPr>
                <w:rFonts w:ascii="宋体" w:hAnsi="宋体" w:cs="宋体" w:eastAsia="宋体" w:hint="default"/>
                <w:sz w:val="20"/>
                <w:szCs w:val="20"/>
              </w:rPr>
              <w:t> </w:t>
            </w:r>
          </w:p>
          <w:p>
            <w:pPr>
              <w:pStyle w:val="TableParagraph"/>
              <w:spacing w:line="260" w:lineRule="exact" w:before="119"/>
              <w:ind w:left="422" w:right="99" w:hanging="284"/>
              <w:jc w:val="both"/>
              <w:rPr>
                <w:rFonts w:ascii="宋体" w:hAnsi="宋体" w:cs="宋体" w:eastAsia="宋体" w:hint="default"/>
                <w:sz w:val="20"/>
                <w:szCs w:val="20"/>
              </w:rPr>
            </w:pPr>
            <w:r>
              <w:rPr>
                <w:rFonts w:ascii="Symbol" w:hAnsi="Symbol" w:cs="Symbol" w:eastAsia="Symbol" w:hint="default"/>
                <w:sz w:val="20"/>
                <w:szCs w:val="20"/>
              </w:rPr>
              <w:t></w:t>
            </w:r>
            <w:r>
              <w:rPr>
                <w:rFonts w:ascii="Symbol" w:hAnsi="Symbol" w:cs="Symbol" w:eastAsia="Symbol" w:hint="default"/>
                <w:spacing w:val="27"/>
                <w:sz w:val="20"/>
                <w:szCs w:val="20"/>
              </w:rPr>
              <w:t></w:t>
            </w:r>
            <w:r>
              <w:rPr>
                <w:rFonts w:ascii="Times New Roman" w:hAnsi="Times New Roman" w:cs="Times New Roman" w:eastAsia="Times New Roman" w:hint="default"/>
                <w:spacing w:val="27"/>
                <w:sz w:val="20"/>
                <w:szCs w:val="20"/>
              </w:rPr>
            </w:r>
            <w:r>
              <w:rPr>
                <w:rFonts w:ascii="宋体" w:hAnsi="宋体" w:cs="宋体" w:eastAsia="宋体" w:hint="default"/>
                <w:sz w:val="20"/>
                <w:szCs w:val="20"/>
              </w:rPr>
              <w:t>在抽样的基础上，将贵集团的收入与现金收款</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z w:val="20"/>
                <w:szCs w:val="20"/>
              </w:rPr>
              <w:t>记录进行核对；</w:t>
            </w:r>
            <w:r>
              <w:rPr>
                <w:rFonts w:ascii="宋体" w:hAnsi="宋体" w:cs="宋体" w:eastAsia="宋体" w:hint="default"/>
                <w:sz w:val="20"/>
                <w:szCs w:val="20"/>
              </w:rPr>
              <w:t> </w:t>
            </w:r>
          </w:p>
          <w:p>
            <w:pPr>
              <w:pStyle w:val="TableParagraph"/>
              <w:spacing w:line="260" w:lineRule="exact" w:before="119"/>
              <w:ind w:left="422" w:right="-5" w:hanging="284"/>
              <w:jc w:val="left"/>
              <w:rPr>
                <w:rFonts w:ascii="宋体" w:hAnsi="宋体" w:cs="宋体" w:eastAsia="宋体" w:hint="default"/>
                <w:sz w:val="20"/>
                <w:szCs w:val="20"/>
              </w:rPr>
            </w:pPr>
            <w:r>
              <w:rPr>
                <w:rFonts w:ascii="Symbol" w:hAnsi="Symbol" w:cs="Symbol" w:eastAsia="Symbol" w:hint="default"/>
                <w:sz w:val="20"/>
                <w:szCs w:val="20"/>
              </w:rPr>
              <w:t></w:t>
            </w:r>
            <w:r>
              <w:rPr>
                <w:rFonts w:ascii="Symbol" w:hAnsi="Symbol" w:cs="Symbol" w:eastAsia="Symbol" w:hint="default"/>
                <w:spacing w:val="38"/>
                <w:sz w:val="20"/>
                <w:szCs w:val="20"/>
              </w:rPr>
              <w:t></w:t>
            </w:r>
            <w:r>
              <w:rPr>
                <w:rFonts w:ascii="Times New Roman" w:hAnsi="Times New Roman" w:cs="Times New Roman" w:eastAsia="Times New Roman" w:hint="default"/>
                <w:spacing w:val="38"/>
                <w:sz w:val="20"/>
                <w:szCs w:val="20"/>
              </w:rPr>
            </w:r>
            <w:r>
              <w:rPr>
                <w:rFonts w:ascii="宋体" w:hAnsi="宋体" w:cs="宋体" w:eastAsia="宋体" w:hint="default"/>
                <w:spacing w:val="-5"/>
                <w:sz w:val="20"/>
                <w:szCs w:val="20"/>
              </w:rPr>
              <w:t>利用电子审计工具，从业务支撑系统提取数据，</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z w:val="20"/>
                <w:szCs w:val="20"/>
              </w:rPr>
              <w:t>验算应收账款和合同负债的余额，并将相关结</w:t>
            </w:r>
            <w:r>
              <w:rPr>
                <w:rFonts w:ascii="宋体" w:hAnsi="宋体" w:cs="宋体" w:eastAsia="宋体" w:hint="default"/>
                <w:w w:val="100"/>
                <w:sz w:val="20"/>
                <w:szCs w:val="20"/>
              </w:rPr>
              <w:t> </w:t>
            </w:r>
            <w:r>
              <w:rPr>
                <w:rFonts w:ascii="宋体" w:hAnsi="宋体" w:cs="宋体" w:eastAsia="宋体" w:hint="default"/>
                <w:sz w:val="20"/>
                <w:szCs w:val="20"/>
              </w:rPr>
              <w:t>果与贵集团财务记录进行核对；</w:t>
            </w:r>
            <w:r>
              <w:rPr>
                <w:rFonts w:ascii="宋体" w:hAnsi="宋体" w:cs="宋体" w:eastAsia="宋体" w:hint="default"/>
                <w:sz w:val="20"/>
                <w:szCs w:val="20"/>
              </w:rPr>
              <w:t> </w:t>
            </w:r>
          </w:p>
          <w:p>
            <w:pPr>
              <w:pStyle w:val="TableParagraph"/>
              <w:spacing w:line="260" w:lineRule="exact" w:before="119"/>
              <w:ind w:left="422" w:right="83" w:hanging="284"/>
              <w:jc w:val="both"/>
              <w:rPr>
                <w:rFonts w:ascii="宋体" w:hAnsi="宋体" w:cs="宋体" w:eastAsia="宋体" w:hint="default"/>
                <w:sz w:val="20"/>
                <w:szCs w:val="20"/>
              </w:rPr>
            </w:pPr>
            <w:r>
              <w:rPr>
                <w:rFonts w:ascii="Symbol" w:hAnsi="Symbol" w:cs="Symbol" w:eastAsia="Symbol" w:hint="default"/>
                <w:sz w:val="20"/>
                <w:szCs w:val="20"/>
              </w:rPr>
              <w:t></w:t>
            </w:r>
            <w:r>
              <w:rPr>
                <w:rFonts w:ascii="Symbol" w:hAnsi="Symbol" w:cs="Symbol" w:eastAsia="Symbol" w:hint="default"/>
                <w:spacing w:val="25"/>
                <w:sz w:val="20"/>
                <w:szCs w:val="20"/>
              </w:rPr>
              <w:t></w:t>
            </w:r>
            <w:r>
              <w:rPr>
                <w:rFonts w:ascii="Times New Roman" w:hAnsi="Times New Roman" w:cs="Times New Roman" w:eastAsia="Times New Roman" w:hint="default"/>
                <w:spacing w:val="25"/>
                <w:sz w:val="20"/>
                <w:szCs w:val="20"/>
              </w:rPr>
            </w:r>
            <w:r>
              <w:rPr>
                <w:rFonts w:ascii="宋体" w:hAnsi="宋体" w:cs="宋体" w:eastAsia="宋体" w:hint="default"/>
                <w:sz w:val="20"/>
                <w:szCs w:val="20"/>
              </w:rPr>
              <w:t>选取样本，通过比较贵集团于类似情况下向类</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10"/>
                <w:sz w:val="20"/>
                <w:szCs w:val="20"/>
              </w:rPr>
              <w:t>似客户单独提供相关服务或手机的可观察价</w:t>
            </w:r>
            <w:r>
              <w:rPr>
                <w:rFonts w:ascii="宋体" w:hAnsi="宋体" w:cs="宋体" w:eastAsia="宋体" w:hint="default"/>
                <w:spacing w:val="9"/>
                <w:w w:val="100"/>
                <w:sz w:val="20"/>
                <w:szCs w:val="20"/>
              </w:rPr>
              <w:t> </w:t>
            </w:r>
            <w:r>
              <w:rPr>
                <w:rFonts w:ascii="宋体" w:hAnsi="宋体" w:cs="宋体" w:eastAsia="宋体" w:hint="default"/>
                <w:sz w:val="20"/>
                <w:szCs w:val="20"/>
              </w:rPr>
              <w:t>格，就移动手机捆绑销售套餐中贵集团确定的</w:t>
            </w:r>
            <w:r>
              <w:rPr>
                <w:rFonts w:ascii="宋体" w:hAnsi="宋体" w:cs="宋体" w:eastAsia="宋体" w:hint="default"/>
                <w:w w:val="100"/>
                <w:sz w:val="20"/>
                <w:szCs w:val="20"/>
              </w:rPr>
              <w:t> </w:t>
            </w:r>
            <w:r>
              <w:rPr>
                <w:rFonts w:ascii="宋体" w:hAnsi="宋体" w:cs="宋体" w:eastAsia="宋体" w:hint="default"/>
                <w:sz w:val="20"/>
                <w:szCs w:val="20"/>
              </w:rPr>
              <w:t>服务和手机的单独售价进行评价；</w:t>
            </w:r>
            <w:r>
              <w:rPr>
                <w:rFonts w:ascii="宋体" w:hAnsi="宋体" w:cs="宋体" w:eastAsia="宋体" w:hint="default"/>
                <w:sz w:val="20"/>
                <w:szCs w:val="20"/>
              </w:rPr>
              <w:t> </w:t>
            </w:r>
          </w:p>
          <w:p>
            <w:pPr>
              <w:pStyle w:val="TableParagraph"/>
              <w:spacing w:line="260" w:lineRule="exact" w:before="124"/>
              <w:ind w:left="421" w:right="99" w:hanging="284"/>
              <w:jc w:val="both"/>
              <w:rPr>
                <w:rFonts w:ascii="宋体" w:hAnsi="宋体" w:cs="宋体" w:eastAsia="宋体" w:hint="default"/>
                <w:sz w:val="20"/>
                <w:szCs w:val="20"/>
              </w:rPr>
            </w:pPr>
            <w:r>
              <w:rPr>
                <w:rFonts w:ascii="Symbol" w:hAnsi="Symbol" w:cs="Symbol" w:eastAsia="Symbol" w:hint="default"/>
                <w:sz w:val="20"/>
                <w:szCs w:val="20"/>
              </w:rPr>
              <w:t></w:t>
            </w:r>
            <w:r>
              <w:rPr>
                <w:rFonts w:ascii="Symbol" w:hAnsi="Symbol" w:cs="Symbol" w:eastAsia="Symbol" w:hint="default"/>
                <w:spacing w:val="27"/>
                <w:sz w:val="20"/>
                <w:szCs w:val="20"/>
              </w:rPr>
              <w:t></w:t>
            </w:r>
            <w:r>
              <w:rPr>
                <w:rFonts w:ascii="Times New Roman" w:hAnsi="Times New Roman" w:cs="Times New Roman" w:eastAsia="Times New Roman" w:hint="default"/>
                <w:spacing w:val="27"/>
                <w:sz w:val="20"/>
                <w:szCs w:val="20"/>
              </w:rPr>
            </w:r>
            <w:r>
              <w:rPr>
                <w:rFonts w:ascii="宋体" w:hAnsi="宋体" w:cs="宋体" w:eastAsia="宋体" w:hint="default"/>
                <w:sz w:val="20"/>
                <w:szCs w:val="20"/>
              </w:rPr>
              <w:t>选取样本，通过将相关系统设定与贵集团的分</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z w:val="20"/>
                <w:szCs w:val="20"/>
              </w:rPr>
              <w:t>摊原则进行比较，以及重新计算分摊结果，并</w:t>
            </w:r>
            <w:r>
              <w:rPr>
                <w:rFonts w:ascii="宋体" w:hAnsi="宋体" w:cs="宋体" w:eastAsia="宋体" w:hint="default"/>
                <w:w w:val="100"/>
                <w:sz w:val="20"/>
                <w:szCs w:val="20"/>
              </w:rPr>
              <w:t> </w:t>
            </w:r>
            <w:r>
              <w:rPr>
                <w:rFonts w:ascii="宋体" w:hAnsi="宋体" w:cs="宋体" w:eastAsia="宋体" w:hint="default"/>
                <w:sz w:val="20"/>
                <w:szCs w:val="20"/>
              </w:rPr>
              <w:t>将其与系统分摊结果进行比较，就在信息技术</w:t>
            </w:r>
            <w:r>
              <w:rPr>
                <w:rFonts w:ascii="宋体" w:hAnsi="宋体" w:cs="宋体" w:eastAsia="宋体" w:hint="default"/>
                <w:w w:val="100"/>
                <w:sz w:val="20"/>
                <w:szCs w:val="20"/>
              </w:rPr>
              <w:t> </w:t>
            </w:r>
            <w:r>
              <w:rPr>
                <w:rFonts w:ascii="宋体" w:hAnsi="宋体" w:cs="宋体" w:eastAsia="宋体" w:hint="default"/>
                <w:sz w:val="20"/>
                <w:szCs w:val="20"/>
              </w:rPr>
              <w:t>系统中对移动手机捆绑销售套餐的收入在服务</w:t>
            </w:r>
            <w:r>
              <w:rPr>
                <w:rFonts w:ascii="宋体" w:hAnsi="宋体" w:cs="宋体" w:eastAsia="宋体" w:hint="default"/>
                <w:w w:val="100"/>
                <w:sz w:val="20"/>
                <w:szCs w:val="20"/>
              </w:rPr>
              <w:t> </w:t>
            </w:r>
            <w:r>
              <w:rPr>
                <w:rFonts w:ascii="宋体" w:hAnsi="宋体" w:cs="宋体" w:eastAsia="宋体" w:hint="default"/>
                <w:sz w:val="20"/>
                <w:szCs w:val="20"/>
              </w:rPr>
              <w:t>和手机之间的分摊设定进行评价；</w:t>
            </w:r>
            <w:r>
              <w:rPr>
                <w:rFonts w:ascii="宋体" w:hAnsi="宋体" w:cs="宋体" w:eastAsia="宋体" w:hint="default"/>
                <w:sz w:val="20"/>
                <w:szCs w:val="20"/>
              </w:rPr>
              <w:t> </w:t>
            </w:r>
          </w:p>
          <w:p>
            <w:pPr>
              <w:pStyle w:val="TableParagraph"/>
              <w:spacing w:line="260" w:lineRule="exact" w:before="119"/>
              <w:ind w:left="421" w:right="99" w:hanging="284"/>
              <w:jc w:val="both"/>
              <w:rPr>
                <w:rFonts w:ascii="宋体" w:hAnsi="宋体" w:cs="宋体" w:eastAsia="宋体" w:hint="default"/>
                <w:sz w:val="20"/>
                <w:szCs w:val="20"/>
              </w:rPr>
            </w:pPr>
            <w:r>
              <w:rPr>
                <w:rFonts w:ascii="Symbol" w:hAnsi="Symbol" w:cs="Symbol" w:eastAsia="Symbol" w:hint="default"/>
                <w:sz w:val="20"/>
                <w:szCs w:val="20"/>
              </w:rPr>
              <w:t></w:t>
            </w:r>
            <w:r>
              <w:rPr>
                <w:rFonts w:ascii="Symbol" w:hAnsi="Symbol" w:cs="Symbol" w:eastAsia="Symbol" w:hint="default"/>
                <w:spacing w:val="27"/>
                <w:sz w:val="20"/>
                <w:szCs w:val="20"/>
              </w:rPr>
              <w:t></w:t>
            </w:r>
            <w:r>
              <w:rPr>
                <w:rFonts w:ascii="Times New Roman" w:hAnsi="Times New Roman" w:cs="Times New Roman" w:eastAsia="Times New Roman" w:hint="default"/>
                <w:spacing w:val="27"/>
                <w:sz w:val="20"/>
                <w:szCs w:val="20"/>
              </w:rPr>
            </w:r>
            <w:r>
              <w:rPr>
                <w:rFonts w:ascii="宋体" w:hAnsi="宋体" w:cs="宋体" w:eastAsia="宋体" w:hint="default"/>
                <w:sz w:val="20"/>
                <w:szCs w:val="20"/>
              </w:rPr>
              <w:t>基于特定风险条件选取样本，对收入的会计分</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z w:val="20"/>
                <w:szCs w:val="20"/>
              </w:rPr>
              <w:t>录进行评价，并将这些会计分录明细与相关支</w:t>
            </w:r>
            <w:r>
              <w:rPr>
                <w:rFonts w:ascii="宋体" w:hAnsi="宋体" w:cs="宋体" w:eastAsia="宋体" w:hint="default"/>
                <w:w w:val="100"/>
                <w:sz w:val="20"/>
                <w:szCs w:val="20"/>
              </w:rPr>
              <w:t> </w:t>
            </w:r>
            <w:r>
              <w:rPr>
                <w:rFonts w:ascii="宋体" w:hAnsi="宋体" w:cs="宋体" w:eastAsia="宋体" w:hint="default"/>
                <w:sz w:val="20"/>
                <w:szCs w:val="20"/>
              </w:rPr>
              <w:t>持性文件进行核对，包括服务合同和进度报告</w:t>
            </w:r>
            <w:r>
              <w:rPr>
                <w:rFonts w:ascii="宋体" w:hAnsi="宋体" w:cs="宋体" w:eastAsia="宋体" w:hint="default"/>
                <w:w w:val="100"/>
                <w:sz w:val="20"/>
                <w:szCs w:val="20"/>
              </w:rPr>
              <w:t> </w:t>
            </w:r>
            <w:r>
              <w:rPr>
                <w:rFonts w:ascii="宋体" w:hAnsi="宋体" w:cs="宋体" w:eastAsia="宋体" w:hint="default"/>
                <w:sz w:val="20"/>
                <w:szCs w:val="20"/>
              </w:rPr>
              <w:t>等。</w:t>
            </w:r>
          </w:p>
        </w:tc>
      </w:tr>
    </w:tbl>
    <w:p>
      <w:pPr>
        <w:spacing w:after="0" w:line="260" w:lineRule="exact"/>
        <w:jc w:val="both"/>
        <w:rPr>
          <w:rFonts w:ascii="宋体" w:hAnsi="宋体" w:cs="宋体" w:eastAsia="宋体" w:hint="default"/>
          <w:sz w:val="20"/>
          <w:szCs w:val="20"/>
        </w:rPr>
        <w:sectPr>
          <w:headerReference w:type="default" r:id="rId91"/>
          <w:footerReference w:type="default" r:id="rId92"/>
          <w:pgSz w:w="11910" w:h="16840"/>
          <w:pgMar w:header="0" w:footer="502" w:top="1580" w:bottom="700" w:left="1680" w:right="1620"/>
          <w:pgNumType w:start="72"/>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p>
      <w:pPr>
        <w:pStyle w:val="Heading3"/>
        <w:spacing w:line="240" w:lineRule="auto"/>
        <w:ind w:left="119" w:right="0"/>
        <w:jc w:val="left"/>
        <w:rPr>
          <w:b w:val="0"/>
          <w:bCs w:val="0"/>
        </w:rPr>
      </w:pPr>
      <w:r>
        <w:rPr/>
        <w:t>三、关键审计事项（续）</w:t>
      </w:r>
      <w:r>
        <w:rPr>
          <w:b w:val="0"/>
          <w:bCs w:val="0"/>
        </w:rPr>
      </w:r>
    </w:p>
    <w:p>
      <w:pPr>
        <w:spacing w:line="240" w:lineRule="auto" w:before="11"/>
        <w:rPr>
          <w:rFonts w:ascii="宋体" w:hAnsi="宋体" w:cs="宋体" w:eastAsia="宋体" w:hint="default"/>
          <w:b/>
          <w:bCs/>
          <w:sz w:val="21"/>
          <w:szCs w:val="21"/>
        </w:rPr>
      </w:pPr>
    </w:p>
    <w:tbl>
      <w:tblPr>
        <w:tblW w:w="0" w:type="auto"/>
        <w:jc w:val="left"/>
        <w:tblInd w:w="119" w:type="dxa"/>
        <w:tblLayout w:type="fixed"/>
        <w:tblCellMar>
          <w:top w:w="0" w:type="dxa"/>
          <w:left w:w="0" w:type="dxa"/>
          <w:bottom w:w="0" w:type="dxa"/>
          <w:right w:w="0" w:type="dxa"/>
        </w:tblCellMar>
        <w:tblLook w:val="01E0"/>
      </w:tblPr>
      <w:tblGrid>
        <w:gridCol w:w="4248"/>
        <w:gridCol w:w="4253"/>
      </w:tblGrid>
      <w:tr>
        <w:trPr>
          <w:trHeight w:val="518" w:hRule="exact"/>
        </w:trPr>
        <w:tc>
          <w:tcPr>
            <w:tcW w:w="8501" w:type="dxa"/>
            <w:gridSpan w:val="2"/>
            <w:tcBorders>
              <w:top w:val="single" w:sz="4" w:space="0" w:color="9CC2E5"/>
              <w:left w:val="single" w:sz="4" w:space="0" w:color="9CC2E5"/>
              <w:bottom w:val="single" w:sz="12" w:space="0" w:color="9CC2E5"/>
              <w:right w:val="single" w:sz="4" w:space="0" w:color="9CC2E5"/>
            </w:tcBorders>
            <w:shd w:val="clear" w:color="auto" w:fill="DEEAF6"/>
          </w:tcPr>
          <w:p>
            <w:pPr>
              <w:pStyle w:val="TableParagraph"/>
              <w:spacing w:line="240" w:lineRule="auto" w:before="88"/>
              <w:ind w:left="134" w:right="0"/>
              <w:jc w:val="left"/>
              <w:rPr>
                <w:rFonts w:ascii="宋体" w:hAnsi="宋体" w:cs="宋体" w:eastAsia="宋体" w:hint="default"/>
                <w:sz w:val="20"/>
                <w:szCs w:val="20"/>
              </w:rPr>
            </w:pPr>
            <w:r>
              <w:rPr>
                <w:rFonts w:ascii="宋体" w:hAnsi="宋体" w:cs="宋体" w:eastAsia="宋体" w:hint="default"/>
                <w:b/>
                <w:bCs/>
                <w:sz w:val="20"/>
                <w:szCs w:val="20"/>
              </w:rPr>
              <w:t>固定资产及在建工程的账面价值</w:t>
            </w:r>
            <w:r>
              <w:rPr>
                <w:rFonts w:ascii="宋体" w:hAnsi="宋体" w:cs="宋体" w:eastAsia="宋体" w:hint="default"/>
                <w:sz w:val="20"/>
                <w:szCs w:val="20"/>
              </w:rPr>
            </w:r>
          </w:p>
        </w:tc>
      </w:tr>
      <w:tr>
        <w:trPr>
          <w:trHeight w:val="782" w:hRule="exact"/>
        </w:trPr>
        <w:tc>
          <w:tcPr>
            <w:tcW w:w="8501" w:type="dxa"/>
            <w:gridSpan w:val="2"/>
            <w:tcBorders>
              <w:top w:val="single" w:sz="12" w:space="0" w:color="9CC2E5"/>
              <w:left w:val="single" w:sz="4" w:space="0" w:color="9CC2E5"/>
              <w:bottom w:val="single" w:sz="4" w:space="0" w:color="9CC2E5"/>
              <w:right w:val="single" w:sz="4" w:space="0" w:color="9CC2E5"/>
            </w:tcBorders>
          </w:tcPr>
          <w:p>
            <w:pPr>
              <w:pStyle w:val="TableParagraph"/>
              <w:spacing w:line="264" w:lineRule="exact" w:before="110"/>
              <w:ind w:left="105" w:right="113"/>
              <w:jc w:val="left"/>
              <w:rPr>
                <w:rFonts w:ascii="Arial" w:hAnsi="Arial" w:cs="Arial" w:eastAsia="Arial" w:hint="default"/>
                <w:sz w:val="20"/>
                <w:szCs w:val="20"/>
              </w:rPr>
            </w:pPr>
            <w:r>
              <w:rPr>
                <w:rFonts w:ascii="宋体" w:hAnsi="宋体" w:cs="宋体" w:eastAsia="宋体" w:hint="default"/>
                <w:spacing w:val="-2"/>
                <w:sz w:val="20"/>
                <w:szCs w:val="20"/>
              </w:rPr>
              <w:t>请参阅合并财务报表附注“三、重要会计政策和会计估计”注释</w:t>
            </w:r>
            <w:r>
              <w:rPr>
                <w:rFonts w:ascii="Arial" w:hAnsi="Arial" w:cs="Arial" w:eastAsia="Arial" w:hint="default"/>
                <w:spacing w:val="-2"/>
                <w:sz w:val="20"/>
                <w:szCs w:val="20"/>
              </w:rPr>
              <w:t>11</w:t>
            </w:r>
            <w:r>
              <w:rPr>
                <w:rFonts w:ascii="宋体" w:hAnsi="宋体" w:cs="宋体" w:eastAsia="宋体" w:hint="default"/>
                <w:spacing w:val="-2"/>
                <w:sz w:val="20"/>
                <w:szCs w:val="20"/>
              </w:rPr>
              <w:t>、注释</w:t>
            </w:r>
            <w:r>
              <w:rPr>
                <w:rFonts w:ascii="Arial" w:hAnsi="Arial" w:cs="Arial" w:eastAsia="Arial" w:hint="default"/>
                <w:spacing w:val="-2"/>
                <w:sz w:val="20"/>
                <w:szCs w:val="20"/>
              </w:rPr>
              <w:t>12</w:t>
            </w:r>
            <w:r>
              <w:rPr>
                <w:rFonts w:ascii="宋体" w:hAnsi="宋体" w:cs="宋体" w:eastAsia="宋体" w:hint="default"/>
                <w:spacing w:val="-2"/>
                <w:sz w:val="20"/>
                <w:szCs w:val="20"/>
              </w:rPr>
              <w:t>和注释</w:t>
            </w:r>
            <w:r>
              <w:rPr>
                <w:rFonts w:ascii="Arial" w:hAnsi="Arial" w:cs="Arial" w:eastAsia="Arial" w:hint="default"/>
                <w:spacing w:val="-2"/>
                <w:sz w:val="20"/>
                <w:szCs w:val="20"/>
              </w:rPr>
              <w:t>13</w:t>
            </w:r>
            <w:r>
              <w:rPr>
                <w:rFonts w:ascii="宋体" w:hAnsi="宋体" w:cs="宋体" w:eastAsia="宋体" w:hint="default"/>
                <w:spacing w:val="-2"/>
                <w:sz w:val="20"/>
                <w:szCs w:val="20"/>
              </w:rPr>
              <w:t>所述的会</w:t>
            </w:r>
            <w:r>
              <w:rPr>
                <w:rFonts w:ascii="宋体" w:hAnsi="宋体" w:cs="宋体" w:eastAsia="宋体" w:hint="default"/>
                <w:spacing w:val="-16"/>
                <w:sz w:val="20"/>
                <w:szCs w:val="20"/>
              </w:rPr>
              <w:t> </w:t>
            </w:r>
            <w:r>
              <w:rPr>
                <w:rFonts w:ascii="宋体" w:hAnsi="宋体" w:cs="宋体" w:eastAsia="宋体" w:hint="default"/>
                <w:spacing w:val="-16"/>
                <w:sz w:val="20"/>
                <w:szCs w:val="20"/>
              </w:rPr>
            </w:r>
            <w:r>
              <w:rPr>
                <w:rFonts w:ascii="宋体" w:hAnsi="宋体" w:cs="宋体" w:eastAsia="宋体" w:hint="default"/>
                <w:sz w:val="20"/>
                <w:szCs w:val="20"/>
              </w:rPr>
              <w:t>计政策及“五、合并财务报表项目附注”注释</w:t>
            </w:r>
            <w:r>
              <w:rPr>
                <w:rFonts w:ascii="Arial" w:hAnsi="Arial" w:cs="Arial" w:eastAsia="Arial" w:hint="default"/>
                <w:sz w:val="20"/>
                <w:szCs w:val="20"/>
              </w:rPr>
              <w:t>12</w:t>
            </w:r>
            <w:r>
              <w:rPr>
                <w:rFonts w:ascii="宋体" w:hAnsi="宋体" w:cs="宋体" w:eastAsia="宋体" w:hint="default"/>
                <w:sz w:val="20"/>
                <w:szCs w:val="20"/>
              </w:rPr>
              <w:t>及注释</w:t>
            </w:r>
            <w:r>
              <w:rPr>
                <w:rFonts w:ascii="Arial" w:hAnsi="Arial" w:cs="Arial" w:eastAsia="Arial" w:hint="default"/>
                <w:sz w:val="20"/>
                <w:szCs w:val="20"/>
              </w:rPr>
              <w:t>13</w:t>
            </w:r>
          </w:p>
        </w:tc>
      </w:tr>
      <w:tr>
        <w:trPr>
          <w:trHeight w:val="509" w:hRule="exact"/>
        </w:trPr>
        <w:tc>
          <w:tcPr>
            <w:tcW w:w="4248"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88"/>
              <w:ind w:left="134" w:right="0"/>
              <w:jc w:val="left"/>
              <w:rPr>
                <w:rFonts w:ascii="宋体" w:hAnsi="宋体" w:cs="宋体" w:eastAsia="宋体" w:hint="default"/>
                <w:sz w:val="20"/>
                <w:szCs w:val="20"/>
              </w:rPr>
            </w:pPr>
            <w:r>
              <w:rPr>
                <w:rFonts w:ascii="宋体" w:hAnsi="宋体" w:cs="宋体" w:eastAsia="宋体" w:hint="default"/>
                <w:b/>
                <w:bCs/>
                <w:sz w:val="20"/>
                <w:szCs w:val="20"/>
              </w:rPr>
              <w:t>关键审计事项</w:t>
            </w:r>
            <w:r>
              <w:rPr>
                <w:rFonts w:ascii="宋体" w:hAnsi="宋体" w:cs="宋体" w:eastAsia="宋体" w:hint="default"/>
                <w:sz w:val="20"/>
                <w:szCs w:val="20"/>
              </w:rPr>
            </w:r>
          </w:p>
        </w:tc>
        <w:tc>
          <w:tcPr>
            <w:tcW w:w="4253"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88"/>
              <w:ind w:left="139" w:right="0"/>
              <w:jc w:val="left"/>
              <w:rPr>
                <w:rFonts w:ascii="宋体" w:hAnsi="宋体" w:cs="宋体" w:eastAsia="宋体" w:hint="default"/>
                <w:sz w:val="20"/>
                <w:szCs w:val="20"/>
              </w:rPr>
            </w:pPr>
            <w:r>
              <w:rPr>
                <w:rFonts w:ascii="宋体" w:hAnsi="宋体" w:cs="宋体" w:eastAsia="宋体" w:hint="default"/>
                <w:b/>
                <w:bCs/>
                <w:sz w:val="20"/>
                <w:szCs w:val="20"/>
              </w:rPr>
              <w:t>在审计中如何应对该事项</w:t>
            </w:r>
            <w:r>
              <w:rPr>
                <w:rFonts w:ascii="宋体" w:hAnsi="宋体" w:cs="宋体" w:eastAsia="宋体" w:hint="default"/>
                <w:sz w:val="20"/>
                <w:szCs w:val="20"/>
              </w:rPr>
            </w:r>
          </w:p>
        </w:tc>
      </w:tr>
      <w:tr>
        <w:trPr>
          <w:trHeight w:val="5659" w:hRule="exact"/>
        </w:trPr>
        <w:tc>
          <w:tcPr>
            <w:tcW w:w="4248" w:type="dxa"/>
            <w:tcBorders>
              <w:top w:val="single" w:sz="4" w:space="0" w:color="9CC2E5"/>
              <w:left w:val="single" w:sz="4" w:space="0" w:color="9CC2E5"/>
              <w:bottom w:val="single" w:sz="4" w:space="0" w:color="9CC2E5"/>
              <w:right w:val="single" w:sz="4" w:space="0" w:color="9CC2E5"/>
            </w:tcBorders>
          </w:tcPr>
          <w:p>
            <w:pPr>
              <w:pStyle w:val="TableParagraph"/>
              <w:spacing w:line="260" w:lineRule="exact" w:before="113"/>
              <w:ind w:left="105" w:right="93" w:firstLine="28"/>
              <w:jc w:val="both"/>
              <w:rPr>
                <w:rFonts w:ascii="宋体" w:hAnsi="宋体" w:cs="宋体" w:eastAsia="宋体" w:hint="default"/>
                <w:sz w:val="20"/>
                <w:szCs w:val="20"/>
              </w:rPr>
            </w:pPr>
            <w:r>
              <w:rPr>
                <w:rFonts w:ascii="宋体" w:hAnsi="宋体" w:cs="宋体" w:eastAsia="宋体" w:hint="default"/>
                <w:spacing w:val="-2"/>
                <w:sz w:val="20"/>
                <w:szCs w:val="20"/>
              </w:rPr>
              <w:t>贵集团维持较高的资本开支水平，以扩大网络</w:t>
            </w:r>
            <w:r>
              <w:rPr>
                <w:rFonts w:ascii="宋体" w:hAnsi="宋体" w:cs="宋体" w:eastAsia="宋体" w:hint="default"/>
                <w:spacing w:val="-81"/>
                <w:sz w:val="20"/>
                <w:szCs w:val="20"/>
              </w:rPr>
              <w:t> </w:t>
            </w:r>
            <w:r>
              <w:rPr>
                <w:rFonts w:ascii="宋体" w:hAnsi="宋体" w:cs="宋体" w:eastAsia="宋体" w:hint="default"/>
                <w:spacing w:val="-81"/>
                <w:sz w:val="20"/>
                <w:szCs w:val="20"/>
              </w:rPr>
            </w:r>
            <w:r>
              <w:rPr>
                <w:rFonts w:ascii="宋体" w:hAnsi="宋体" w:cs="宋体" w:eastAsia="宋体" w:hint="default"/>
                <w:sz w:val="20"/>
                <w:szCs w:val="20"/>
              </w:rPr>
              <w:t>覆盖范围和改进网络质量。于</w:t>
            </w:r>
            <w:r>
              <w:rPr>
                <w:rFonts w:ascii="Arial" w:hAnsi="Arial" w:cs="Arial" w:eastAsia="Arial" w:hint="default"/>
                <w:sz w:val="20"/>
                <w:szCs w:val="20"/>
              </w:rPr>
              <w:t>2019</w:t>
            </w:r>
            <w:r>
              <w:rPr>
                <w:rFonts w:ascii="宋体" w:hAnsi="宋体" w:cs="宋体" w:eastAsia="宋体" w:hint="default"/>
                <w:sz w:val="20"/>
                <w:szCs w:val="20"/>
              </w:rPr>
              <w:t>年</w:t>
            </w:r>
            <w:r>
              <w:rPr>
                <w:rFonts w:ascii="Arial" w:hAnsi="Arial" w:cs="Arial" w:eastAsia="Arial" w:hint="default"/>
                <w:sz w:val="20"/>
                <w:szCs w:val="20"/>
              </w:rPr>
              <w:t>12</w:t>
            </w:r>
            <w:r>
              <w:rPr>
                <w:rFonts w:ascii="宋体" w:hAnsi="宋体" w:cs="宋体" w:eastAsia="宋体" w:hint="default"/>
                <w:sz w:val="20"/>
                <w:szCs w:val="20"/>
              </w:rPr>
              <w:t>月</w:t>
            </w:r>
            <w:r>
              <w:rPr>
                <w:rFonts w:ascii="Arial" w:hAnsi="Arial" w:cs="Arial" w:eastAsia="Arial" w:hint="default"/>
                <w:sz w:val="20"/>
                <w:szCs w:val="20"/>
              </w:rPr>
              <w:t>31</w:t>
            </w:r>
            <w:r>
              <w:rPr>
                <w:rFonts w:ascii="Arial" w:hAnsi="Arial" w:cs="Arial" w:eastAsia="Arial" w:hint="default"/>
                <w:spacing w:val="40"/>
                <w:sz w:val="20"/>
                <w:szCs w:val="20"/>
              </w:rPr>
              <w:t> </w:t>
            </w:r>
            <w:r>
              <w:rPr>
                <w:rFonts w:ascii="宋体" w:hAnsi="宋体" w:cs="宋体" w:eastAsia="宋体" w:hint="default"/>
                <w:sz w:val="20"/>
                <w:szCs w:val="20"/>
              </w:rPr>
              <w:t>日，固定资产及在建工程的账面价值合计达到</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z w:val="20"/>
                <w:szCs w:val="20"/>
              </w:rPr>
              <w:t>人民币</w:t>
            </w:r>
            <w:r>
              <w:rPr>
                <w:rFonts w:ascii="Arial" w:hAnsi="Arial" w:cs="Arial" w:eastAsia="Arial" w:hint="default"/>
                <w:sz w:val="20"/>
                <w:szCs w:val="20"/>
              </w:rPr>
              <w:t>3,659.99</w:t>
            </w:r>
            <w:r>
              <w:rPr>
                <w:rFonts w:ascii="宋体" w:hAnsi="宋体" w:cs="宋体" w:eastAsia="宋体" w:hint="default"/>
                <w:sz w:val="20"/>
                <w:szCs w:val="20"/>
              </w:rPr>
              <w:t>亿元。</w:t>
            </w:r>
            <w:r>
              <w:rPr>
                <w:rFonts w:ascii="宋体" w:hAnsi="宋体" w:cs="宋体" w:eastAsia="宋体" w:hint="default"/>
                <w:sz w:val="20"/>
                <w:szCs w:val="20"/>
              </w:rPr>
              <w:t> </w:t>
            </w:r>
          </w:p>
          <w:p>
            <w:pPr>
              <w:pStyle w:val="TableParagraph"/>
              <w:spacing w:line="260" w:lineRule="exact" w:before="119"/>
              <w:ind w:left="105" w:right="98"/>
              <w:jc w:val="both"/>
              <w:rPr>
                <w:rFonts w:ascii="宋体" w:hAnsi="宋体" w:cs="宋体" w:eastAsia="宋体" w:hint="default"/>
                <w:sz w:val="20"/>
                <w:szCs w:val="20"/>
              </w:rPr>
            </w:pPr>
            <w:r>
              <w:rPr>
                <w:rFonts w:ascii="宋体" w:hAnsi="宋体" w:cs="宋体" w:eastAsia="宋体" w:hint="default"/>
                <w:sz w:val="20"/>
                <w:szCs w:val="20"/>
              </w:rPr>
              <w:t>管理层对以下方面的判断，会对固定资产及在</w:t>
            </w:r>
            <w:r>
              <w:rPr>
                <w:rFonts w:ascii="宋体" w:hAnsi="宋体" w:cs="宋体" w:eastAsia="宋体" w:hint="default"/>
                <w:spacing w:val="-68"/>
                <w:sz w:val="20"/>
                <w:szCs w:val="20"/>
              </w:rPr>
              <w:t> </w:t>
            </w:r>
            <w:r>
              <w:rPr>
                <w:rFonts w:ascii="宋体" w:hAnsi="宋体" w:cs="宋体" w:eastAsia="宋体" w:hint="default"/>
                <w:sz w:val="20"/>
                <w:szCs w:val="20"/>
              </w:rPr>
              <w:t>建工程的账面价值和固定资产折旧政策造成影</w:t>
            </w:r>
            <w:r>
              <w:rPr>
                <w:rFonts w:ascii="宋体" w:hAnsi="宋体" w:cs="宋体" w:eastAsia="宋体" w:hint="default"/>
                <w:spacing w:val="-68"/>
                <w:sz w:val="20"/>
                <w:szCs w:val="20"/>
              </w:rPr>
              <w:t> </w:t>
            </w:r>
            <w:r>
              <w:rPr>
                <w:rFonts w:ascii="宋体" w:hAnsi="宋体" w:cs="宋体" w:eastAsia="宋体" w:hint="default"/>
                <w:sz w:val="20"/>
                <w:szCs w:val="20"/>
              </w:rPr>
              <w:t>响，包括：</w:t>
            </w:r>
            <w:r>
              <w:rPr>
                <w:rFonts w:ascii="宋体" w:hAnsi="宋体" w:cs="宋体" w:eastAsia="宋体" w:hint="default"/>
                <w:spacing w:val="-5"/>
                <w:sz w:val="20"/>
                <w:szCs w:val="20"/>
              </w:rPr>
              <w:t> </w:t>
            </w:r>
            <w:r>
              <w:rPr>
                <w:rFonts w:ascii="宋体" w:hAnsi="宋体" w:cs="宋体" w:eastAsia="宋体" w:hint="default"/>
                <w:sz w:val="20"/>
                <w:szCs w:val="20"/>
              </w:rPr>
              <w:t> </w:t>
            </w:r>
          </w:p>
          <w:p>
            <w:pPr>
              <w:pStyle w:val="TableParagraph"/>
              <w:spacing w:line="240" w:lineRule="auto" w:before="93"/>
              <w:ind w:left="139" w:right="0"/>
              <w:jc w:val="both"/>
              <w:rPr>
                <w:rFonts w:ascii="宋体" w:hAnsi="宋体" w:cs="宋体" w:eastAsia="宋体" w:hint="default"/>
                <w:sz w:val="20"/>
                <w:szCs w:val="20"/>
              </w:rPr>
            </w:pPr>
            <w:r>
              <w:rPr>
                <w:rFonts w:ascii="Symbol" w:hAnsi="Symbol" w:cs="Symbol" w:eastAsia="Symbol" w:hint="default"/>
                <w:sz w:val="20"/>
                <w:szCs w:val="20"/>
              </w:rPr>
              <w:t></w:t>
            </w:r>
            <w:r>
              <w:rPr>
                <w:rFonts w:ascii="Symbol" w:hAnsi="Symbol" w:cs="Symbol" w:eastAsia="Symbol" w:hint="default"/>
                <w:spacing w:val="39"/>
                <w:sz w:val="20"/>
                <w:szCs w:val="20"/>
              </w:rPr>
              <w:t></w:t>
            </w:r>
            <w:r>
              <w:rPr>
                <w:rFonts w:ascii="Times New Roman" w:hAnsi="Times New Roman" w:cs="Times New Roman" w:eastAsia="Times New Roman" w:hint="default"/>
                <w:spacing w:val="39"/>
                <w:sz w:val="20"/>
                <w:szCs w:val="20"/>
              </w:rPr>
            </w:r>
            <w:r>
              <w:rPr>
                <w:rFonts w:ascii="宋体" w:hAnsi="宋体" w:cs="宋体" w:eastAsia="宋体" w:hint="default"/>
                <w:sz w:val="20"/>
                <w:szCs w:val="20"/>
              </w:rPr>
              <w:t>确定哪些开支符合资本化的条件；</w:t>
            </w:r>
            <w:r>
              <w:rPr>
                <w:rFonts w:ascii="宋体" w:hAnsi="宋体" w:cs="宋体" w:eastAsia="宋体" w:hint="default"/>
                <w:sz w:val="20"/>
                <w:szCs w:val="20"/>
              </w:rPr>
              <w:t> </w:t>
            </w:r>
          </w:p>
          <w:p>
            <w:pPr>
              <w:pStyle w:val="TableParagraph"/>
              <w:spacing w:line="260" w:lineRule="exact" w:before="127"/>
              <w:ind w:left="422" w:right="98" w:hanging="284"/>
              <w:jc w:val="left"/>
              <w:rPr>
                <w:rFonts w:ascii="宋体" w:hAnsi="宋体" w:cs="宋体" w:eastAsia="宋体" w:hint="default"/>
                <w:sz w:val="20"/>
                <w:szCs w:val="20"/>
              </w:rPr>
            </w:pPr>
            <w:r>
              <w:rPr>
                <w:rFonts w:ascii="Symbol" w:hAnsi="Symbol" w:cs="Symbol" w:eastAsia="Symbol" w:hint="default"/>
                <w:sz w:val="20"/>
                <w:szCs w:val="20"/>
              </w:rPr>
              <w:t></w:t>
            </w:r>
            <w:r>
              <w:rPr>
                <w:rFonts w:ascii="Symbol" w:hAnsi="Symbol" w:cs="Symbol" w:eastAsia="Symbol" w:hint="default"/>
                <w:spacing w:val="31"/>
                <w:sz w:val="20"/>
                <w:szCs w:val="20"/>
              </w:rPr>
              <w:t></w:t>
            </w:r>
            <w:r>
              <w:rPr>
                <w:rFonts w:ascii="Times New Roman" w:hAnsi="Times New Roman" w:cs="Times New Roman" w:eastAsia="Times New Roman" w:hint="default"/>
                <w:spacing w:val="31"/>
                <w:sz w:val="20"/>
                <w:szCs w:val="20"/>
              </w:rPr>
            </w:r>
            <w:r>
              <w:rPr>
                <w:rFonts w:ascii="宋体" w:hAnsi="宋体" w:cs="宋体" w:eastAsia="宋体" w:hint="default"/>
                <w:spacing w:val="3"/>
                <w:sz w:val="20"/>
                <w:szCs w:val="20"/>
              </w:rPr>
              <w:t>确定在建工程转入固定资产和开始计提折</w:t>
            </w:r>
            <w:r>
              <w:rPr>
                <w:rFonts w:ascii="宋体" w:hAnsi="宋体" w:cs="宋体" w:eastAsia="宋体" w:hint="default"/>
                <w:spacing w:val="-94"/>
                <w:sz w:val="20"/>
                <w:szCs w:val="20"/>
              </w:rPr>
              <w:t> </w:t>
            </w:r>
            <w:r>
              <w:rPr>
                <w:rFonts w:ascii="宋体" w:hAnsi="宋体" w:cs="宋体" w:eastAsia="宋体" w:hint="default"/>
                <w:sz w:val="20"/>
                <w:szCs w:val="20"/>
              </w:rPr>
              <w:t>旧的时点；</w:t>
            </w:r>
            <w:r>
              <w:rPr>
                <w:rFonts w:ascii="宋体" w:hAnsi="宋体" w:cs="宋体" w:eastAsia="宋体" w:hint="default"/>
                <w:sz w:val="20"/>
                <w:szCs w:val="20"/>
              </w:rPr>
              <w:t> </w:t>
            </w:r>
          </w:p>
          <w:p>
            <w:pPr>
              <w:pStyle w:val="TableParagraph"/>
              <w:spacing w:line="260" w:lineRule="exact" w:before="119"/>
              <w:ind w:left="422" w:right="98" w:hanging="284"/>
              <w:jc w:val="left"/>
              <w:rPr>
                <w:rFonts w:ascii="宋体" w:hAnsi="宋体" w:cs="宋体" w:eastAsia="宋体" w:hint="default"/>
                <w:sz w:val="20"/>
                <w:szCs w:val="20"/>
              </w:rPr>
            </w:pPr>
            <w:r>
              <w:rPr>
                <w:rFonts w:ascii="Symbol" w:hAnsi="Symbol" w:cs="Symbol" w:eastAsia="Symbol" w:hint="default"/>
                <w:sz w:val="20"/>
                <w:szCs w:val="20"/>
              </w:rPr>
              <w:t></w:t>
            </w:r>
            <w:r>
              <w:rPr>
                <w:rFonts w:ascii="Symbol" w:hAnsi="Symbol" w:cs="Symbol" w:eastAsia="Symbol" w:hint="default"/>
                <w:spacing w:val="31"/>
                <w:sz w:val="20"/>
                <w:szCs w:val="20"/>
              </w:rPr>
              <w:t></w:t>
            </w:r>
            <w:r>
              <w:rPr>
                <w:rFonts w:ascii="Times New Roman" w:hAnsi="Times New Roman" w:cs="Times New Roman" w:eastAsia="Times New Roman" w:hint="default"/>
                <w:spacing w:val="31"/>
                <w:sz w:val="20"/>
                <w:szCs w:val="20"/>
              </w:rPr>
            </w:r>
            <w:r>
              <w:rPr>
                <w:rFonts w:ascii="宋体" w:hAnsi="宋体" w:cs="宋体" w:eastAsia="宋体" w:hint="default"/>
                <w:spacing w:val="3"/>
                <w:sz w:val="20"/>
                <w:szCs w:val="20"/>
              </w:rPr>
              <w:t>估计相应固定资产的经济可使用年限及残</w:t>
            </w:r>
            <w:r>
              <w:rPr>
                <w:rFonts w:ascii="宋体" w:hAnsi="宋体" w:cs="宋体" w:eastAsia="宋体" w:hint="default"/>
                <w:spacing w:val="-94"/>
                <w:sz w:val="20"/>
                <w:szCs w:val="20"/>
              </w:rPr>
              <w:t> </w:t>
            </w:r>
            <w:r>
              <w:rPr>
                <w:rFonts w:ascii="宋体" w:hAnsi="宋体" w:cs="宋体" w:eastAsia="宋体" w:hint="default"/>
                <w:spacing w:val="-3"/>
                <w:sz w:val="20"/>
                <w:szCs w:val="20"/>
              </w:rPr>
              <w:t>值。</w:t>
            </w:r>
            <w:r>
              <w:rPr>
                <w:rFonts w:ascii="宋体" w:hAnsi="宋体" w:cs="宋体" w:eastAsia="宋体" w:hint="default"/>
                <w:sz w:val="20"/>
                <w:szCs w:val="20"/>
              </w:rPr>
              <w:t> </w:t>
            </w:r>
          </w:p>
          <w:p>
            <w:pPr>
              <w:pStyle w:val="TableParagraph"/>
              <w:spacing w:line="260" w:lineRule="exact" w:before="119"/>
              <w:ind w:left="105" w:right="99"/>
              <w:jc w:val="both"/>
              <w:rPr>
                <w:rFonts w:ascii="宋体" w:hAnsi="宋体" w:cs="宋体" w:eastAsia="宋体" w:hint="default"/>
                <w:sz w:val="20"/>
                <w:szCs w:val="20"/>
              </w:rPr>
            </w:pPr>
            <w:r>
              <w:rPr>
                <w:rFonts w:ascii="宋体" w:hAnsi="宋体" w:cs="宋体" w:eastAsia="宋体" w:hint="default"/>
                <w:sz w:val="20"/>
                <w:szCs w:val="20"/>
              </w:rPr>
              <w:t>由于评价固定资产及在建工程的账面价值涉及</w:t>
            </w:r>
            <w:r>
              <w:rPr>
                <w:rFonts w:ascii="宋体" w:hAnsi="宋体" w:cs="宋体" w:eastAsia="宋体" w:hint="default"/>
                <w:spacing w:val="-68"/>
                <w:sz w:val="20"/>
                <w:szCs w:val="20"/>
              </w:rPr>
              <w:t> </w:t>
            </w:r>
            <w:r>
              <w:rPr>
                <w:rFonts w:ascii="宋体" w:hAnsi="宋体" w:cs="宋体" w:eastAsia="宋体" w:hint="default"/>
                <w:sz w:val="20"/>
                <w:szCs w:val="20"/>
              </w:rPr>
              <w:t>重大的管理层判断，且其对合并财务报表具有</w:t>
            </w:r>
            <w:r>
              <w:rPr>
                <w:rFonts w:ascii="宋体" w:hAnsi="宋体" w:cs="宋体" w:eastAsia="宋体" w:hint="default"/>
                <w:spacing w:val="-68"/>
                <w:sz w:val="20"/>
                <w:szCs w:val="20"/>
              </w:rPr>
              <w:t> </w:t>
            </w:r>
            <w:r>
              <w:rPr>
                <w:rFonts w:ascii="宋体" w:hAnsi="宋体" w:cs="宋体" w:eastAsia="宋体" w:hint="default"/>
                <w:sz w:val="20"/>
                <w:szCs w:val="20"/>
              </w:rPr>
              <w:t>重要性，我们将贵集团固定资产及在建工程的</w:t>
            </w:r>
            <w:r>
              <w:rPr>
                <w:rFonts w:ascii="宋体" w:hAnsi="宋体" w:cs="宋体" w:eastAsia="宋体" w:hint="default"/>
                <w:spacing w:val="-68"/>
                <w:sz w:val="20"/>
                <w:szCs w:val="20"/>
              </w:rPr>
              <w:t> </w:t>
            </w:r>
            <w:r>
              <w:rPr>
                <w:rFonts w:ascii="宋体" w:hAnsi="宋体" w:cs="宋体" w:eastAsia="宋体" w:hint="default"/>
                <w:sz w:val="20"/>
                <w:szCs w:val="20"/>
              </w:rPr>
              <w:t>账面价值识别为关键审计事项。</w:t>
            </w:r>
            <w:r>
              <w:rPr>
                <w:rFonts w:ascii="宋体" w:hAnsi="宋体" w:cs="宋体" w:eastAsia="宋体" w:hint="default"/>
                <w:color w:val="FF0000"/>
                <w:sz w:val="20"/>
                <w:szCs w:val="20"/>
              </w:rPr>
              <w:t> </w:t>
            </w:r>
            <w:r>
              <w:rPr>
                <w:rFonts w:ascii="宋体" w:hAnsi="宋体" w:cs="宋体" w:eastAsia="宋体" w:hint="default"/>
                <w:sz w:val="20"/>
                <w:szCs w:val="20"/>
              </w:rPr>
            </w:r>
          </w:p>
        </w:tc>
        <w:tc>
          <w:tcPr>
            <w:tcW w:w="4253" w:type="dxa"/>
            <w:tcBorders>
              <w:top w:val="single" w:sz="4" w:space="0" w:color="9CC2E5"/>
              <w:left w:val="single" w:sz="4" w:space="0" w:color="9CC2E5"/>
              <w:bottom w:val="single" w:sz="4" w:space="0" w:color="9CC2E5"/>
              <w:right w:val="single" w:sz="4" w:space="0" w:color="9CC2E5"/>
            </w:tcBorders>
          </w:tcPr>
          <w:p>
            <w:pPr>
              <w:pStyle w:val="TableParagraph"/>
              <w:spacing w:line="260" w:lineRule="exact" w:before="114"/>
              <w:ind w:left="138" w:right="94"/>
              <w:jc w:val="left"/>
              <w:rPr>
                <w:rFonts w:ascii="宋体" w:hAnsi="宋体" w:cs="宋体" w:eastAsia="宋体" w:hint="default"/>
                <w:sz w:val="20"/>
                <w:szCs w:val="20"/>
              </w:rPr>
            </w:pPr>
            <w:r>
              <w:rPr>
                <w:rFonts w:ascii="宋体" w:hAnsi="宋体" w:cs="宋体" w:eastAsia="宋体" w:hint="default"/>
                <w:spacing w:val="-2"/>
                <w:sz w:val="20"/>
                <w:szCs w:val="20"/>
              </w:rPr>
              <w:t>与评价固定资产及在建工程的账面价值相关的</w:t>
            </w:r>
            <w:r>
              <w:rPr>
                <w:rFonts w:ascii="宋体" w:hAnsi="宋体" w:cs="宋体" w:eastAsia="宋体" w:hint="default"/>
                <w:spacing w:val="-53"/>
                <w:sz w:val="20"/>
                <w:szCs w:val="20"/>
              </w:rPr>
              <w:t> </w:t>
            </w:r>
            <w:r>
              <w:rPr>
                <w:rFonts w:ascii="宋体" w:hAnsi="宋体" w:cs="宋体" w:eastAsia="宋体" w:hint="default"/>
                <w:spacing w:val="-53"/>
                <w:sz w:val="20"/>
                <w:szCs w:val="20"/>
              </w:rPr>
            </w:r>
            <w:r>
              <w:rPr>
                <w:rFonts w:ascii="宋体" w:hAnsi="宋体" w:cs="宋体" w:eastAsia="宋体" w:hint="default"/>
                <w:sz w:val="20"/>
                <w:szCs w:val="20"/>
              </w:rPr>
              <w:t>审计程序中包括以下程序：</w:t>
            </w:r>
            <w:r>
              <w:rPr>
                <w:rFonts w:ascii="宋体" w:hAnsi="宋体" w:cs="宋体" w:eastAsia="宋体" w:hint="default"/>
                <w:sz w:val="20"/>
                <w:szCs w:val="20"/>
              </w:rPr>
              <w:t> </w:t>
            </w:r>
          </w:p>
          <w:p>
            <w:pPr>
              <w:pStyle w:val="TableParagraph"/>
              <w:spacing w:line="232" w:lineRule="auto" w:before="100"/>
              <w:ind w:left="422" w:right="95" w:hanging="284"/>
              <w:jc w:val="both"/>
              <w:rPr>
                <w:rFonts w:ascii="宋体" w:hAnsi="宋体" w:cs="宋体" w:eastAsia="宋体" w:hint="default"/>
                <w:sz w:val="20"/>
                <w:szCs w:val="20"/>
              </w:rPr>
            </w:pPr>
            <w:r>
              <w:rPr>
                <w:rFonts w:ascii="Symbol" w:hAnsi="Symbol" w:cs="Symbol" w:eastAsia="Symbol" w:hint="default"/>
                <w:w w:val="100"/>
                <w:sz w:val="20"/>
                <w:szCs w:val="20"/>
              </w:rPr>
              <w:t></w:t>
            </w:r>
            <w:r>
              <w:rPr>
                <w:rFonts w:ascii="Symbol" w:hAnsi="Symbol" w:cs="Symbol" w:eastAsia="Symbol" w:hint="default"/>
                <w:spacing w:val="45"/>
                <w:w w:val="100"/>
                <w:sz w:val="20"/>
                <w:szCs w:val="20"/>
              </w:rPr>
              <w:t></w:t>
            </w:r>
            <w:r>
              <w:rPr>
                <w:rFonts w:ascii="Times New Roman" w:hAnsi="Times New Roman" w:cs="Times New Roman" w:eastAsia="Times New Roman" w:hint="default"/>
                <w:spacing w:val="45"/>
                <w:w w:val="100"/>
                <w:sz w:val="20"/>
                <w:szCs w:val="20"/>
              </w:rPr>
            </w:r>
            <w:r>
              <w:rPr>
                <w:rFonts w:ascii="宋体" w:hAnsi="宋体" w:cs="宋体" w:eastAsia="宋体" w:hint="default"/>
                <w:spacing w:val="-6"/>
                <w:w w:val="100"/>
                <w:sz w:val="20"/>
                <w:szCs w:val="20"/>
              </w:rPr>
              <w:t>评价与固定资产及在建工程的完整性、存在</w:t>
            </w:r>
            <w:r>
              <w:rPr>
                <w:rFonts w:ascii="宋体" w:hAnsi="宋体" w:cs="宋体" w:eastAsia="宋体" w:hint="default"/>
                <w:w w:val="100"/>
                <w:sz w:val="20"/>
                <w:szCs w:val="20"/>
              </w:rPr>
              <w:t> </w:t>
            </w:r>
            <w:r>
              <w:rPr>
                <w:rFonts w:ascii="宋体" w:hAnsi="宋体" w:cs="宋体" w:eastAsia="宋体" w:hint="default"/>
                <w:spacing w:val="-6"/>
                <w:w w:val="100"/>
                <w:sz w:val="20"/>
                <w:szCs w:val="20"/>
              </w:rPr>
              <w:t>性和准确性相关的关键内部控制（包括估计</w:t>
            </w:r>
            <w:r>
              <w:rPr>
                <w:rFonts w:ascii="宋体" w:hAnsi="宋体" w:cs="宋体" w:eastAsia="宋体" w:hint="default"/>
                <w:w w:val="100"/>
                <w:sz w:val="20"/>
                <w:szCs w:val="20"/>
              </w:rPr>
              <w:t> </w:t>
            </w:r>
            <w:r>
              <w:rPr>
                <w:rFonts w:ascii="宋体" w:hAnsi="宋体" w:cs="宋体" w:eastAsia="宋体" w:hint="default"/>
                <w:spacing w:val="-6"/>
                <w:w w:val="100"/>
                <w:sz w:val="20"/>
                <w:szCs w:val="20"/>
              </w:rPr>
              <w:t>经济可使用年限及残值等）的设计和运行有</w:t>
            </w:r>
            <w:r>
              <w:rPr>
                <w:rFonts w:ascii="宋体" w:hAnsi="宋体" w:cs="宋体" w:eastAsia="宋体" w:hint="default"/>
                <w:w w:val="100"/>
                <w:sz w:val="20"/>
                <w:szCs w:val="20"/>
              </w:rPr>
              <w:t> </w:t>
            </w:r>
            <w:r>
              <w:rPr>
                <w:rFonts w:ascii="宋体" w:hAnsi="宋体" w:cs="宋体" w:eastAsia="宋体" w:hint="default"/>
                <w:sz w:val="20"/>
                <w:szCs w:val="20"/>
              </w:rPr>
              <w:t>效性；</w:t>
            </w:r>
            <w:r>
              <w:rPr>
                <w:rFonts w:ascii="宋体" w:hAnsi="宋体" w:cs="宋体" w:eastAsia="宋体" w:hint="default"/>
                <w:sz w:val="20"/>
                <w:szCs w:val="20"/>
              </w:rPr>
              <w:t> </w:t>
            </w:r>
          </w:p>
          <w:p>
            <w:pPr>
              <w:pStyle w:val="TableParagraph"/>
              <w:spacing w:line="260" w:lineRule="exact" w:before="144"/>
              <w:ind w:left="422" w:right="12" w:hanging="284"/>
              <w:jc w:val="left"/>
              <w:rPr>
                <w:rFonts w:ascii="宋体" w:hAnsi="宋体" w:cs="宋体" w:eastAsia="宋体" w:hint="default"/>
                <w:sz w:val="20"/>
                <w:szCs w:val="20"/>
              </w:rPr>
            </w:pPr>
            <w:r>
              <w:rPr>
                <w:rFonts w:ascii="Symbol" w:hAnsi="Symbol" w:cs="Symbol" w:eastAsia="Symbol" w:hint="default"/>
                <w:w w:val="100"/>
                <w:sz w:val="20"/>
                <w:szCs w:val="20"/>
              </w:rPr>
              <w:t></w:t>
            </w:r>
            <w:r>
              <w:rPr>
                <w:rFonts w:ascii="Symbol" w:hAnsi="Symbol" w:cs="Symbol" w:eastAsia="Symbol" w:hint="default"/>
                <w:spacing w:val="43"/>
                <w:w w:val="100"/>
                <w:sz w:val="20"/>
                <w:szCs w:val="20"/>
              </w:rPr>
              <w:t></w:t>
            </w:r>
            <w:r>
              <w:rPr>
                <w:rFonts w:ascii="Times New Roman" w:hAnsi="Times New Roman" w:cs="Times New Roman" w:eastAsia="Times New Roman" w:hint="default"/>
                <w:spacing w:val="43"/>
                <w:w w:val="100"/>
                <w:sz w:val="20"/>
                <w:szCs w:val="20"/>
              </w:rPr>
            </w:r>
            <w:r>
              <w:rPr>
                <w:rFonts w:ascii="宋体" w:hAnsi="宋体" w:cs="宋体" w:eastAsia="宋体" w:hint="default"/>
                <w:spacing w:val="-6"/>
                <w:w w:val="100"/>
                <w:sz w:val="20"/>
                <w:szCs w:val="20"/>
              </w:rPr>
              <w:t>在抽样的基础上，通过将资本化开支与相关</w:t>
            </w:r>
            <w:r>
              <w:rPr>
                <w:rFonts w:ascii="宋体" w:hAnsi="宋体" w:cs="宋体" w:eastAsia="宋体" w:hint="default"/>
                <w:spacing w:val="-99"/>
                <w:w w:val="100"/>
                <w:sz w:val="20"/>
                <w:szCs w:val="20"/>
              </w:rPr>
              <w:t> </w:t>
            </w:r>
            <w:r>
              <w:rPr>
                <w:rFonts w:ascii="宋体" w:hAnsi="宋体" w:cs="宋体" w:eastAsia="宋体" w:hint="default"/>
                <w:spacing w:val="-99"/>
                <w:w w:val="100"/>
                <w:sz w:val="20"/>
                <w:szCs w:val="20"/>
              </w:rPr>
            </w:r>
            <w:r>
              <w:rPr>
                <w:rFonts w:ascii="宋体" w:hAnsi="宋体" w:cs="宋体" w:eastAsia="宋体" w:hint="default"/>
                <w:spacing w:val="-6"/>
                <w:sz w:val="20"/>
                <w:szCs w:val="20"/>
              </w:rPr>
              <w:t>支持性文件（包括采购协议和订单等）进行</w:t>
            </w:r>
            <w:r>
              <w:rPr>
                <w:rFonts w:ascii="宋体" w:hAnsi="宋体" w:cs="宋体" w:eastAsia="宋体" w:hint="default"/>
                <w:w w:val="100"/>
                <w:sz w:val="20"/>
                <w:szCs w:val="20"/>
              </w:rPr>
              <w:t> </w:t>
            </w:r>
            <w:r>
              <w:rPr>
                <w:rFonts w:ascii="宋体" w:hAnsi="宋体" w:cs="宋体" w:eastAsia="宋体" w:hint="default"/>
                <w:spacing w:val="-6"/>
                <w:sz w:val="20"/>
                <w:szCs w:val="20"/>
              </w:rPr>
              <w:t>核对，检查本年度发生的资本化开支，评价</w:t>
            </w:r>
            <w:r>
              <w:rPr>
                <w:rFonts w:ascii="宋体" w:hAnsi="宋体" w:cs="宋体" w:eastAsia="宋体" w:hint="default"/>
                <w:w w:val="100"/>
                <w:sz w:val="20"/>
                <w:szCs w:val="20"/>
              </w:rPr>
              <w:t> </w:t>
            </w:r>
            <w:r>
              <w:rPr>
                <w:rFonts w:ascii="宋体" w:hAnsi="宋体" w:cs="宋体" w:eastAsia="宋体" w:hint="default"/>
                <w:spacing w:val="-6"/>
                <w:w w:val="100"/>
                <w:sz w:val="20"/>
                <w:szCs w:val="20"/>
              </w:rPr>
              <w:t>资本化开支是否符合资本化的相关条件；选</w:t>
            </w:r>
            <w:r>
              <w:rPr>
                <w:rFonts w:ascii="宋体" w:hAnsi="宋体" w:cs="宋体" w:eastAsia="宋体" w:hint="default"/>
                <w:w w:val="100"/>
                <w:sz w:val="20"/>
                <w:szCs w:val="20"/>
              </w:rPr>
              <w:t> </w:t>
            </w:r>
            <w:r>
              <w:rPr>
                <w:rFonts w:ascii="宋体" w:hAnsi="宋体" w:cs="宋体" w:eastAsia="宋体" w:hint="default"/>
                <w:spacing w:val="-2"/>
                <w:sz w:val="20"/>
                <w:szCs w:val="20"/>
              </w:rPr>
              <w:t>取样本，通过将贷款利率核对至贷款协议，</w:t>
            </w:r>
            <w:r>
              <w:rPr>
                <w:rFonts w:ascii="宋体" w:hAnsi="宋体" w:cs="宋体" w:eastAsia="宋体" w:hint="default"/>
                <w:w w:val="100"/>
                <w:sz w:val="20"/>
                <w:szCs w:val="20"/>
              </w:rPr>
              <w:t> </w:t>
            </w:r>
            <w:r>
              <w:rPr>
                <w:rFonts w:ascii="宋体" w:hAnsi="宋体" w:cs="宋体" w:eastAsia="宋体" w:hint="default"/>
                <w:spacing w:val="-6"/>
                <w:w w:val="100"/>
                <w:sz w:val="20"/>
                <w:szCs w:val="20"/>
              </w:rPr>
              <w:t>重新计算利息资本化率，评价在建工程中资</w:t>
            </w:r>
            <w:r>
              <w:rPr>
                <w:rFonts w:ascii="宋体" w:hAnsi="宋体" w:cs="宋体" w:eastAsia="宋体" w:hint="default"/>
                <w:w w:val="100"/>
                <w:sz w:val="20"/>
                <w:szCs w:val="20"/>
              </w:rPr>
              <w:t> </w:t>
            </w:r>
            <w:r>
              <w:rPr>
                <w:rFonts w:ascii="宋体" w:hAnsi="宋体" w:cs="宋体" w:eastAsia="宋体" w:hint="default"/>
                <w:sz w:val="20"/>
                <w:szCs w:val="20"/>
              </w:rPr>
              <w:t>本化利息的计算；</w:t>
            </w:r>
            <w:r>
              <w:rPr>
                <w:rFonts w:ascii="宋体" w:hAnsi="宋体" w:cs="宋体" w:eastAsia="宋体" w:hint="default"/>
                <w:sz w:val="20"/>
                <w:szCs w:val="20"/>
              </w:rPr>
              <w:t> </w:t>
            </w:r>
          </w:p>
          <w:p>
            <w:pPr>
              <w:pStyle w:val="TableParagraph"/>
              <w:spacing w:line="260" w:lineRule="exact" w:before="119"/>
              <w:ind w:left="422" w:right="95" w:hanging="284"/>
              <w:jc w:val="both"/>
              <w:rPr>
                <w:rFonts w:ascii="宋体" w:hAnsi="宋体" w:cs="宋体" w:eastAsia="宋体" w:hint="default"/>
                <w:sz w:val="20"/>
                <w:szCs w:val="20"/>
              </w:rPr>
            </w:pPr>
            <w:r>
              <w:rPr>
                <w:rFonts w:ascii="Symbol" w:hAnsi="Symbol" w:cs="Symbol" w:eastAsia="Symbol" w:hint="default"/>
                <w:sz w:val="20"/>
                <w:szCs w:val="20"/>
              </w:rPr>
              <w:t></w:t>
            </w:r>
            <w:r>
              <w:rPr>
                <w:rFonts w:ascii="Symbol" w:hAnsi="Symbol" w:cs="Symbol" w:eastAsia="Symbol" w:hint="default"/>
                <w:spacing w:val="13"/>
                <w:sz w:val="20"/>
                <w:szCs w:val="20"/>
              </w:rPr>
              <w:t></w:t>
            </w:r>
            <w:r>
              <w:rPr>
                <w:rFonts w:ascii="Times New Roman" w:hAnsi="Times New Roman" w:cs="Times New Roman" w:eastAsia="Times New Roman" w:hint="default"/>
                <w:spacing w:val="13"/>
                <w:sz w:val="20"/>
                <w:szCs w:val="20"/>
              </w:rPr>
            </w:r>
            <w:r>
              <w:rPr>
                <w:rFonts w:ascii="宋体" w:hAnsi="宋体" w:cs="宋体" w:eastAsia="宋体" w:hint="default"/>
                <w:sz w:val="20"/>
                <w:szCs w:val="20"/>
              </w:rPr>
              <w:t>在抽样的基础上，通过检查验收报告和</w:t>
            </w:r>
            <w:r>
              <w:rPr>
                <w:rFonts w:ascii="宋体" w:hAnsi="宋体" w:cs="宋体" w:eastAsia="宋体" w:hint="default"/>
                <w:sz w:val="20"/>
                <w:szCs w:val="20"/>
              </w:rPr>
              <w:t>/</w:t>
            </w:r>
            <w:r>
              <w:rPr>
                <w:rFonts w:ascii="宋体" w:hAnsi="宋体" w:cs="宋体" w:eastAsia="宋体" w:hint="default"/>
                <w:sz w:val="20"/>
                <w:szCs w:val="20"/>
              </w:rPr>
              <w:t>或</w:t>
            </w:r>
            <w:r>
              <w:rPr>
                <w:rFonts w:ascii="宋体" w:hAnsi="宋体" w:cs="宋体" w:eastAsia="宋体" w:hint="default"/>
                <w:w w:val="100"/>
                <w:sz w:val="20"/>
                <w:szCs w:val="20"/>
              </w:rPr>
              <w:t> </w:t>
            </w:r>
            <w:r>
              <w:rPr>
                <w:rFonts w:ascii="宋体" w:hAnsi="宋体" w:cs="宋体" w:eastAsia="宋体" w:hint="default"/>
                <w:spacing w:val="-6"/>
                <w:w w:val="100"/>
                <w:sz w:val="20"/>
                <w:szCs w:val="20"/>
              </w:rPr>
              <w:t>项目进度报告，质疑在建工程转入固定资产</w:t>
            </w:r>
            <w:r>
              <w:rPr>
                <w:rFonts w:ascii="宋体" w:hAnsi="宋体" w:cs="宋体" w:eastAsia="宋体" w:hint="default"/>
                <w:w w:val="100"/>
                <w:sz w:val="20"/>
                <w:szCs w:val="20"/>
              </w:rPr>
              <w:t> </w:t>
            </w:r>
            <w:r>
              <w:rPr>
                <w:rFonts w:ascii="宋体" w:hAnsi="宋体" w:cs="宋体" w:eastAsia="宋体" w:hint="default"/>
                <w:sz w:val="20"/>
                <w:szCs w:val="20"/>
              </w:rPr>
              <w:t>的时点；</w:t>
            </w:r>
            <w:r>
              <w:rPr>
                <w:rFonts w:ascii="宋体" w:hAnsi="宋体" w:cs="宋体" w:eastAsia="宋体" w:hint="default"/>
                <w:sz w:val="20"/>
                <w:szCs w:val="20"/>
              </w:rPr>
              <w:t> </w:t>
            </w:r>
          </w:p>
          <w:p>
            <w:pPr>
              <w:pStyle w:val="TableParagraph"/>
              <w:spacing w:line="260" w:lineRule="exact" w:before="119"/>
              <w:ind w:left="422" w:right="94" w:hanging="284"/>
              <w:jc w:val="both"/>
              <w:rPr>
                <w:rFonts w:ascii="宋体" w:hAnsi="宋体" w:cs="宋体" w:eastAsia="宋体" w:hint="default"/>
                <w:sz w:val="20"/>
                <w:szCs w:val="20"/>
              </w:rPr>
            </w:pPr>
            <w:r>
              <w:rPr>
                <w:rFonts w:ascii="Symbol" w:hAnsi="Symbol" w:cs="Symbol" w:eastAsia="Symbol" w:hint="default"/>
                <w:sz w:val="20"/>
                <w:szCs w:val="20"/>
              </w:rPr>
              <w:t></w:t>
            </w:r>
            <w:r>
              <w:rPr>
                <w:rFonts w:ascii="Symbol" w:hAnsi="Symbol" w:cs="Symbol" w:eastAsia="Symbol" w:hint="default"/>
                <w:spacing w:val="34"/>
                <w:sz w:val="20"/>
                <w:szCs w:val="20"/>
              </w:rPr>
              <w:t></w:t>
            </w:r>
            <w:r>
              <w:rPr>
                <w:rFonts w:ascii="Times New Roman" w:hAnsi="Times New Roman" w:cs="Times New Roman" w:eastAsia="Times New Roman" w:hint="default"/>
                <w:spacing w:val="34"/>
                <w:sz w:val="20"/>
                <w:szCs w:val="20"/>
              </w:rPr>
            </w:r>
            <w:r>
              <w:rPr>
                <w:rFonts w:ascii="宋体" w:hAnsi="宋体" w:cs="宋体" w:eastAsia="宋体" w:hint="default"/>
                <w:spacing w:val="3"/>
                <w:sz w:val="20"/>
                <w:szCs w:val="20"/>
              </w:rPr>
              <w:t>基于我们对电信业务及行业实务做法的了</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6"/>
                <w:w w:val="100"/>
                <w:sz w:val="20"/>
                <w:szCs w:val="20"/>
              </w:rPr>
              <w:t>解，评价管理层对固定资产的经济可使用年</w:t>
            </w:r>
            <w:r>
              <w:rPr>
                <w:rFonts w:ascii="宋体" w:hAnsi="宋体" w:cs="宋体" w:eastAsia="宋体" w:hint="default"/>
                <w:w w:val="100"/>
                <w:sz w:val="20"/>
                <w:szCs w:val="20"/>
              </w:rPr>
              <w:t> </w:t>
            </w:r>
            <w:r>
              <w:rPr>
                <w:rFonts w:ascii="宋体" w:hAnsi="宋体" w:cs="宋体" w:eastAsia="宋体" w:hint="default"/>
                <w:sz w:val="20"/>
                <w:szCs w:val="20"/>
              </w:rPr>
              <w:t>限及残值的估计。</w:t>
            </w:r>
            <w:r>
              <w:rPr>
                <w:rFonts w:ascii="宋体" w:hAnsi="宋体" w:cs="宋体" w:eastAsia="宋体" w:hint="default"/>
                <w:sz w:val="20"/>
                <w:szCs w:val="20"/>
              </w:rPr>
              <w:t> </w:t>
            </w:r>
          </w:p>
        </w:tc>
      </w:tr>
    </w:tbl>
    <w:p>
      <w:pPr>
        <w:spacing w:after="0" w:line="260" w:lineRule="exact"/>
        <w:jc w:val="both"/>
        <w:rPr>
          <w:rFonts w:ascii="宋体" w:hAnsi="宋体" w:cs="宋体" w:eastAsia="宋体" w:hint="default"/>
          <w:sz w:val="20"/>
          <w:szCs w:val="20"/>
        </w:rPr>
        <w:sectPr>
          <w:headerReference w:type="default" r:id="rId93"/>
          <w:footerReference w:type="default" r:id="rId94"/>
          <w:pgSz w:w="11910" w:h="16840"/>
          <w:pgMar w:header="0" w:footer="502" w:top="1580" w:bottom="700" w:left="1580" w:right="1580"/>
          <w:pgNumType w:start="73"/>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1"/>
          <w:szCs w:val="21"/>
        </w:rPr>
      </w:pPr>
    </w:p>
    <w:p>
      <w:pPr>
        <w:pStyle w:val="Heading3"/>
        <w:spacing w:line="240" w:lineRule="auto"/>
        <w:ind w:left="541" w:right="3244"/>
        <w:jc w:val="left"/>
        <w:rPr>
          <w:b w:val="0"/>
          <w:bCs w:val="0"/>
        </w:rPr>
      </w:pPr>
      <w:r>
        <w:rPr/>
        <w:t>四、其他信息</w:t>
      </w:r>
      <w:r>
        <w:rPr>
          <w:b w:val="0"/>
          <w:bCs w:val="0"/>
        </w:rPr>
      </w:r>
    </w:p>
    <w:p>
      <w:pPr>
        <w:spacing w:line="240" w:lineRule="auto" w:before="1"/>
        <w:rPr>
          <w:rFonts w:ascii="宋体" w:hAnsi="宋体" w:cs="宋体" w:eastAsia="宋体" w:hint="default"/>
          <w:b/>
          <w:bCs/>
          <w:sz w:val="21"/>
          <w:szCs w:val="21"/>
        </w:rPr>
      </w:pPr>
    </w:p>
    <w:p>
      <w:pPr>
        <w:pStyle w:val="BodyText"/>
        <w:spacing w:line="288" w:lineRule="exact"/>
        <w:ind w:left="118" w:right="103" w:firstLine="427"/>
        <w:jc w:val="left"/>
      </w:pPr>
      <w:r>
        <w:rPr>
          <w:spacing w:val="-6"/>
          <w:w w:val="100"/>
        </w:rPr>
        <w:t>贵公司管理层对其他信息负责。其他信息包括贵公司</w:t>
      </w:r>
      <w:r>
        <w:rPr>
          <w:spacing w:val="-64"/>
          <w:w w:val="100"/>
        </w:rPr>
        <w:t> </w:t>
      </w:r>
      <w:r>
        <w:rPr>
          <w:rFonts w:ascii="Arial" w:hAnsi="Arial" w:cs="Arial" w:eastAsia="Arial" w:hint="default"/>
          <w:spacing w:val="-1"/>
          <w:w w:val="100"/>
        </w:rPr>
        <w:t>2019</w:t>
      </w:r>
      <w:r>
        <w:rPr>
          <w:rFonts w:ascii="Arial" w:hAnsi="Arial" w:cs="Arial" w:eastAsia="Arial" w:hint="default"/>
          <w:spacing w:val="-12"/>
          <w:w w:val="100"/>
        </w:rPr>
        <w:t> </w:t>
      </w:r>
      <w:r>
        <w:rPr>
          <w:spacing w:val="-1"/>
          <w:w w:val="100"/>
        </w:rPr>
        <w:t>年年度报告中涵盖的信息，</w:t>
      </w:r>
      <w:r>
        <w:rPr>
          <w:w w:val="100"/>
        </w:rPr>
        <w:t> </w:t>
      </w:r>
      <w:r>
        <w:rPr/>
        <w:t>但不包括财务报表和我们的审计报告。</w:t>
      </w:r>
    </w:p>
    <w:p>
      <w:pPr>
        <w:spacing w:line="240" w:lineRule="auto" w:before="4"/>
        <w:rPr>
          <w:rFonts w:ascii="宋体" w:hAnsi="宋体" w:cs="宋体" w:eastAsia="宋体" w:hint="default"/>
          <w:sz w:val="19"/>
          <w:szCs w:val="19"/>
        </w:rPr>
      </w:pPr>
    </w:p>
    <w:p>
      <w:pPr>
        <w:pStyle w:val="BodyText"/>
        <w:spacing w:line="284" w:lineRule="exact"/>
        <w:ind w:left="118" w:right="226" w:firstLine="427"/>
        <w:jc w:val="both"/>
      </w:pPr>
      <w:r>
        <w:rPr>
          <w:spacing w:val="-4"/>
          <w:w w:val="100"/>
        </w:rPr>
        <w:t>我们对财务报表发表的审计意见不涵盖其他信息，我们也不对其他信息发表任何形式</w:t>
      </w:r>
      <w:r>
        <w:rPr>
          <w:w w:val="100"/>
        </w:rPr>
        <w:t> </w:t>
      </w:r>
      <w:r>
        <w:rPr/>
        <w:t>的鉴证结论。</w:t>
      </w:r>
    </w:p>
    <w:p>
      <w:pPr>
        <w:spacing w:line="240" w:lineRule="auto" w:before="4"/>
        <w:rPr>
          <w:rFonts w:ascii="宋体" w:hAnsi="宋体" w:cs="宋体" w:eastAsia="宋体" w:hint="default"/>
          <w:sz w:val="17"/>
          <w:szCs w:val="17"/>
        </w:rPr>
      </w:pPr>
    </w:p>
    <w:p>
      <w:pPr>
        <w:pStyle w:val="BodyText"/>
        <w:spacing w:line="237" w:lineRule="auto"/>
        <w:ind w:left="118" w:right="220" w:firstLine="427"/>
        <w:jc w:val="both"/>
      </w:pPr>
      <w:r>
        <w:rPr>
          <w:spacing w:val="-4"/>
        </w:rPr>
        <w:t>结合我们对财务报表的审计，我们的责任是阅读其他信息，在此过程中，考虑其他信</w:t>
      </w:r>
      <w:r>
        <w:rPr>
          <w:w w:val="100"/>
        </w:rPr>
        <w:t> </w:t>
      </w:r>
      <w:r>
        <w:rPr/>
        <w:t>息是否与财务报表或我们在审计过程中了解到的情况存在重大不一致或者似乎存在重大</w:t>
      </w:r>
      <w:r>
        <w:rPr>
          <w:spacing w:val="-1"/>
        </w:rPr>
        <w:t> </w:t>
      </w:r>
      <w:r>
        <w:rPr>
          <w:spacing w:val="-1"/>
        </w:rPr>
      </w:r>
      <w:r>
        <w:rPr/>
        <w:t>错报。</w:t>
      </w:r>
    </w:p>
    <w:p>
      <w:pPr>
        <w:spacing w:line="240" w:lineRule="auto" w:before="1"/>
        <w:rPr>
          <w:rFonts w:ascii="宋体" w:hAnsi="宋体" w:cs="宋体" w:eastAsia="宋体" w:hint="default"/>
          <w:sz w:val="19"/>
          <w:szCs w:val="19"/>
        </w:rPr>
      </w:pPr>
    </w:p>
    <w:p>
      <w:pPr>
        <w:pStyle w:val="BodyText"/>
        <w:spacing w:line="240" w:lineRule="auto"/>
        <w:ind w:left="118" w:right="101" w:firstLine="427"/>
        <w:jc w:val="left"/>
      </w:pPr>
      <w:r>
        <w:rPr>
          <w:spacing w:val="-6"/>
          <w:w w:val="100"/>
        </w:rPr>
        <w:t>基于我们已执行的工作，如果我们确定其他信息存在重大错报，我们应当报告该事实。</w:t>
      </w:r>
      <w:r>
        <w:rPr>
          <w:w w:val="100"/>
        </w:rPr>
        <w:t> </w:t>
      </w:r>
      <w:r>
        <w:rPr/>
        <w:t>在这方面，我们无任何事项需要报告。</w:t>
      </w:r>
    </w:p>
    <w:p>
      <w:pPr>
        <w:spacing w:line="530" w:lineRule="atLeast" w:before="8"/>
        <w:ind w:left="546" w:right="103" w:hanging="5"/>
        <w:jc w:val="left"/>
        <w:rPr>
          <w:rFonts w:ascii="宋体" w:hAnsi="宋体" w:cs="宋体" w:eastAsia="宋体" w:hint="default"/>
          <w:sz w:val="22"/>
          <w:szCs w:val="22"/>
        </w:rPr>
      </w:pPr>
      <w:r>
        <w:rPr>
          <w:rFonts w:ascii="宋体" w:hAnsi="宋体" w:cs="宋体" w:eastAsia="宋体" w:hint="default"/>
          <w:b/>
          <w:bCs/>
          <w:sz w:val="22"/>
          <w:szCs w:val="22"/>
        </w:rPr>
        <w:t>五、管理层和治理层对财务报表的责任</w:t>
      </w:r>
      <w:r>
        <w:rPr>
          <w:rFonts w:ascii="宋体" w:hAnsi="宋体" w:cs="宋体" w:eastAsia="宋体" w:hint="default"/>
          <w:b/>
          <w:bCs/>
          <w:w w:val="99"/>
          <w:sz w:val="22"/>
          <w:szCs w:val="22"/>
        </w:rPr>
        <w:t> </w:t>
      </w:r>
      <w:r>
        <w:rPr>
          <w:rFonts w:ascii="宋体" w:hAnsi="宋体" w:cs="宋体" w:eastAsia="宋体" w:hint="default"/>
          <w:spacing w:val="-4"/>
          <w:sz w:val="22"/>
          <w:szCs w:val="22"/>
        </w:rPr>
        <w:t>管理层负责按照企业会计准则的规定编制财务报表，使其实现公允反映，并设计、执</w:t>
      </w:r>
    </w:p>
    <w:p>
      <w:pPr>
        <w:pStyle w:val="BodyText"/>
        <w:spacing w:line="283" w:lineRule="exact"/>
        <w:ind w:left="118" w:right="103"/>
        <w:jc w:val="left"/>
      </w:pPr>
      <w:r>
        <w:rPr/>
        <w:t>行和维护必要的内部控制，以使财务报表不存在由于舞弊或错误导致的重大错报。</w:t>
      </w:r>
    </w:p>
    <w:p>
      <w:pPr>
        <w:spacing w:line="240" w:lineRule="auto" w:before="9"/>
        <w:rPr>
          <w:rFonts w:ascii="宋体" w:hAnsi="宋体" w:cs="宋体" w:eastAsia="宋体" w:hint="default"/>
          <w:sz w:val="21"/>
          <w:szCs w:val="21"/>
        </w:rPr>
      </w:pPr>
    </w:p>
    <w:p>
      <w:pPr>
        <w:pStyle w:val="BodyText"/>
        <w:spacing w:line="284" w:lineRule="exact"/>
        <w:ind w:left="118" w:right="226" w:firstLine="427"/>
        <w:jc w:val="both"/>
      </w:pPr>
      <w:r>
        <w:rPr>
          <w:spacing w:val="-4"/>
        </w:rPr>
        <w:t>在编制财务报表时，管理层负责评估贵公司的持续经营能力，披露与持续经营相关的</w:t>
      </w:r>
      <w:r>
        <w:rPr>
          <w:w w:val="100"/>
        </w:rPr>
        <w:t> </w:t>
      </w:r>
      <w:r>
        <w:rPr>
          <w:spacing w:val="-4"/>
        </w:rPr>
        <w:t>事项（如适用），并运用持续经营假设，除非贵公司计划进行清算、终止运营或别无其他</w:t>
      </w:r>
      <w:r>
        <w:rPr>
          <w:spacing w:val="-58"/>
        </w:rPr>
        <w:t> </w:t>
      </w:r>
      <w:r>
        <w:rPr>
          <w:spacing w:val="-58"/>
        </w:rPr>
      </w:r>
      <w:r>
        <w:rPr/>
        <w:t>现实的选择。</w:t>
      </w:r>
    </w:p>
    <w:p>
      <w:pPr>
        <w:spacing w:line="240" w:lineRule="auto" w:before="6"/>
        <w:rPr>
          <w:rFonts w:ascii="宋体" w:hAnsi="宋体" w:cs="宋体" w:eastAsia="宋体" w:hint="default"/>
          <w:sz w:val="17"/>
          <w:szCs w:val="17"/>
        </w:rPr>
      </w:pPr>
    </w:p>
    <w:p>
      <w:pPr>
        <w:spacing w:line="448" w:lineRule="auto" w:before="0"/>
        <w:ind w:left="541" w:right="3244" w:firstLine="4"/>
        <w:jc w:val="left"/>
        <w:rPr>
          <w:rFonts w:ascii="宋体" w:hAnsi="宋体" w:cs="宋体" w:eastAsia="宋体" w:hint="default"/>
          <w:sz w:val="22"/>
          <w:szCs w:val="22"/>
        </w:rPr>
      </w:pPr>
      <w:r>
        <w:rPr>
          <w:rFonts w:ascii="宋体" w:hAnsi="宋体" w:cs="宋体" w:eastAsia="宋体" w:hint="default"/>
          <w:spacing w:val="-1"/>
          <w:sz w:val="22"/>
          <w:szCs w:val="22"/>
        </w:rPr>
        <w:t>治理层负责监督贵公司的财务报告过程。</w:t>
      </w:r>
      <w:r>
        <w:rPr>
          <w:rFonts w:ascii="宋体" w:hAnsi="宋体" w:cs="宋体" w:eastAsia="宋体" w:hint="default"/>
          <w:spacing w:val="-92"/>
          <w:sz w:val="22"/>
          <w:szCs w:val="22"/>
        </w:rPr>
        <w:t> </w:t>
      </w:r>
      <w:r>
        <w:rPr>
          <w:rFonts w:ascii="宋体" w:hAnsi="宋体" w:cs="宋体" w:eastAsia="宋体" w:hint="default"/>
          <w:spacing w:val="-92"/>
          <w:sz w:val="22"/>
          <w:szCs w:val="22"/>
        </w:rPr>
      </w:r>
      <w:r>
        <w:rPr>
          <w:rFonts w:ascii="宋体" w:hAnsi="宋体" w:cs="宋体" w:eastAsia="宋体" w:hint="default"/>
          <w:b/>
          <w:bCs/>
          <w:sz w:val="22"/>
          <w:szCs w:val="22"/>
        </w:rPr>
        <w:t>六、注册会计师对财务报表审计的责任</w:t>
      </w:r>
      <w:r>
        <w:rPr>
          <w:rFonts w:ascii="宋体" w:hAnsi="宋体" w:cs="宋体" w:eastAsia="宋体" w:hint="default"/>
          <w:sz w:val="22"/>
          <w:szCs w:val="22"/>
        </w:rPr>
      </w:r>
    </w:p>
    <w:p>
      <w:pPr>
        <w:pStyle w:val="BodyText"/>
        <w:spacing w:line="237" w:lineRule="auto" w:before="60"/>
        <w:ind w:left="118" w:right="224" w:firstLine="427"/>
        <w:jc w:val="both"/>
      </w:pPr>
      <w:r>
        <w:rPr/>
        <w:t>我们的目标是对财务报表整体是否不存在由于舞弊或错误导致的重大错报获取合理</w:t>
      </w:r>
      <w:r>
        <w:rPr>
          <w:w w:val="100"/>
        </w:rPr>
        <w:t> </w:t>
      </w:r>
      <w:r>
        <w:rPr>
          <w:spacing w:val="-4"/>
        </w:rPr>
        <w:t>保证，并出具包含审计意见的审计报告。合理保证是高水平的保证，但并不能保证按照审</w:t>
      </w:r>
      <w:r>
        <w:rPr>
          <w:spacing w:val="-55"/>
        </w:rPr>
        <w:t> </w:t>
      </w:r>
      <w:r>
        <w:rPr>
          <w:spacing w:val="-55"/>
        </w:rPr>
      </w:r>
      <w:r>
        <w:rPr>
          <w:spacing w:val="-4"/>
        </w:rPr>
        <w:t>计准则执行的审计在某一重大错报存在时总能发现。错报可能由于舞弊或错误导致，如果</w:t>
      </w:r>
      <w:r>
        <w:rPr>
          <w:spacing w:val="-54"/>
        </w:rPr>
        <w:t> </w:t>
      </w:r>
      <w:r>
        <w:rPr>
          <w:spacing w:val="-54"/>
        </w:rPr>
      </w:r>
      <w:r>
        <w:rPr>
          <w:spacing w:val="-4"/>
          <w:w w:val="100"/>
        </w:rPr>
        <w:t>合理预期错报单独或汇总起来可能影响财务报表使用者依据财务报表作出的经济决策，则</w:t>
      </w:r>
      <w:r>
        <w:rPr>
          <w:spacing w:val="-86"/>
          <w:w w:val="100"/>
        </w:rPr>
        <w:t> </w:t>
      </w:r>
      <w:r>
        <w:rPr>
          <w:spacing w:val="-86"/>
          <w:w w:val="100"/>
        </w:rPr>
      </w:r>
      <w:r>
        <w:rPr/>
        <w:t>通常认为错报是重大的。</w:t>
      </w:r>
    </w:p>
    <w:p>
      <w:pPr>
        <w:spacing w:line="240" w:lineRule="auto" w:before="5"/>
        <w:rPr>
          <w:rFonts w:ascii="宋体" w:hAnsi="宋体" w:cs="宋体" w:eastAsia="宋体" w:hint="default"/>
          <w:sz w:val="21"/>
          <w:szCs w:val="21"/>
        </w:rPr>
      </w:pPr>
    </w:p>
    <w:p>
      <w:pPr>
        <w:pStyle w:val="BodyText"/>
        <w:spacing w:line="284" w:lineRule="exact"/>
        <w:ind w:left="118" w:right="103" w:firstLine="427"/>
        <w:jc w:val="left"/>
      </w:pPr>
      <w:r>
        <w:rPr>
          <w:spacing w:val="-7"/>
        </w:rPr>
        <w:t>在按照审计准则执行审计工作的过程中，我们运用职业判断，并保持职业怀疑。同时，</w:t>
      </w:r>
      <w:r>
        <w:rPr>
          <w:w w:val="100"/>
        </w:rPr>
        <w:t> </w:t>
      </w:r>
      <w:r>
        <w:rPr/>
        <w:t>我们也执行以下工作：</w:t>
      </w:r>
    </w:p>
    <w:p>
      <w:pPr>
        <w:spacing w:line="240" w:lineRule="auto" w:before="6"/>
        <w:rPr>
          <w:rFonts w:ascii="宋体" w:hAnsi="宋体" w:cs="宋体" w:eastAsia="宋体" w:hint="default"/>
          <w:sz w:val="17"/>
          <w:szCs w:val="17"/>
        </w:rPr>
      </w:pPr>
    </w:p>
    <w:p>
      <w:pPr>
        <w:pStyle w:val="BodyText"/>
        <w:spacing w:line="235" w:lineRule="auto"/>
        <w:ind w:left="118" w:right="226" w:firstLine="283"/>
        <w:jc w:val="both"/>
      </w:pPr>
      <w:r>
        <w:rPr>
          <w:spacing w:val="-3"/>
        </w:rPr>
        <w:t>（</w:t>
      </w:r>
      <w:r>
        <w:rPr>
          <w:rFonts w:ascii="Arial" w:hAnsi="Arial" w:cs="Arial" w:eastAsia="Arial" w:hint="default"/>
          <w:spacing w:val="-3"/>
        </w:rPr>
        <w:t>1</w:t>
      </w:r>
      <w:r>
        <w:rPr>
          <w:spacing w:val="-3"/>
        </w:rPr>
        <w:t>）识别和评估由于舞弊或错误导致的财务报表重大错报风险，设计和实施审计程序</w:t>
      </w:r>
      <w:r>
        <w:rPr>
          <w:w w:val="100"/>
        </w:rPr>
        <w:t> </w:t>
      </w:r>
      <w:r>
        <w:rPr>
          <w:spacing w:val="-4"/>
        </w:rPr>
        <w:t>以应对这些风险，并获取充分、适当的审计证据，作为发表审计意见的基础。由于舞弊可</w:t>
      </w:r>
      <w:r>
        <w:rPr>
          <w:spacing w:val="-54"/>
        </w:rPr>
        <w:t> </w:t>
      </w:r>
      <w:r>
        <w:rPr>
          <w:spacing w:val="-54"/>
        </w:rPr>
      </w:r>
      <w:r>
        <w:rPr>
          <w:spacing w:val="-4"/>
        </w:rPr>
        <w:t>能涉及串通、伪造、故意遗漏、虚假陈述或凌驾于内部控制之上，未能发现由于舞弊导致</w:t>
      </w:r>
      <w:r>
        <w:rPr>
          <w:spacing w:val="-54"/>
        </w:rPr>
        <w:t> </w:t>
      </w:r>
      <w:r>
        <w:rPr>
          <w:spacing w:val="-54"/>
        </w:rPr>
      </w:r>
      <w:r>
        <w:rPr/>
        <w:t>的重大错报的风险高于未能发现由于错误导致的重大错报的风险。</w:t>
      </w:r>
    </w:p>
    <w:p>
      <w:pPr>
        <w:spacing w:line="240" w:lineRule="auto" w:before="2"/>
        <w:rPr>
          <w:rFonts w:ascii="宋体" w:hAnsi="宋体" w:cs="宋体" w:eastAsia="宋体" w:hint="default"/>
          <w:sz w:val="19"/>
          <w:szCs w:val="19"/>
        </w:rPr>
      </w:pPr>
    </w:p>
    <w:p>
      <w:pPr>
        <w:pStyle w:val="BodyText"/>
        <w:spacing w:line="240" w:lineRule="auto"/>
        <w:ind w:left="402" w:right="103"/>
        <w:jc w:val="left"/>
      </w:pPr>
      <w:r>
        <w:rPr/>
        <w:t>（</w:t>
      </w:r>
      <w:r>
        <w:rPr>
          <w:rFonts w:ascii="Arial" w:hAnsi="Arial" w:cs="Arial" w:eastAsia="Arial" w:hint="default"/>
        </w:rPr>
        <w:t>2</w:t>
      </w:r>
      <w:r>
        <w:rPr/>
        <w:t>）了解与审计相关的内部控制，以设计恰当的审计程序。</w:t>
      </w:r>
    </w:p>
    <w:p>
      <w:pPr>
        <w:spacing w:line="240" w:lineRule="auto" w:before="11"/>
        <w:rPr>
          <w:rFonts w:ascii="宋体" w:hAnsi="宋体" w:cs="宋体" w:eastAsia="宋体" w:hint="default"/>
          <w:sz w:val="17"/>
          <w:szCs w:val="17"/>
        </w:rPr>
      </w:pPr>
    </w:p>
    <w:p>
      <w:pPr>
        <w:pStyle w:val="BodyText"/>
        <w:spacing w:line="240" w:lineRule="auto"/>
        <w:ind w:left="401" w:right="103"/>
        <w:jc w:val="left"/>
      </w:pPr>
      <w:r>
        <w:rPr/>
        <w:t>（</w:t>
      </w:r>
      <w:r>
        <w:rPr>
          <w:rFonts w:ascii="Arial" w:hAnsi="Arial" w:cs="Arial" w:eastAsia="Arial" w:hint="default"/>
        </w:rPr>
        <w:t>3</w:t>
      </w:r>
      <w:r>
        <w:rPr/>
        <w:t>）评价管理层选用会计政策的恰当性和作出会计估计及相关披露的合理性。</w:t>
      </w:r>
    </w:p>
    <w:p>
      <w:pPr>
        <w:spacing w:after="0" w:line="240" w:lineRule="auto"/>
        <w:jc w:val="left"/>
        <w:sectPr>
          <w:headerReference w:type="default" r:id="rId95"/>
          <w:footerReference w:type="default" r:id="rId96"/>
          <w:pgSz w:w="11910" w:h="16840"/>
          <w:pgMar w:header="0" w:footer="502" w:top="1580" w:bottom="700" w:left="1580" w:right="1500"/>
          <w:pgNumType w:start="74"/>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p>
      <w:pPr>
        <w:pStyle w:val="Heading3"/>
        <w:spacing w:line="240" w:lineRule="auto"/>
        <w:ind w:left="479" w:right="0"/>
        <w:jc w:val="left"/>
        <w:rPr>
          <w:b w:val="0"/>
          <w:bCs w:val="0"/>
        </w:rPr>
      </w:pPr>
      <w:r>
        <w:rPr/>
        <w:t>六、注册会计师对财务报表审计的责任（续）</w:t>
      </w:r>
      <w:r>
        <w:rPr>
          <w:b w:val="0"/>
          <w:bCs w:val="0"/>
        </w:rPr>
      </w:r>
    </w:p>
    <w:p>
      <w:pPr>
        <w:spacing w:line="240" w:lineRule="auto" w:before="6"/>
        <w:rPr>
          <w:rFonts w:ascii="宋体" w:hAnsi="宋体" w:cs="宋体" w:eastAsia="宋体" w:hint="default"/>
          <w:b/>
          <w:bCs/>
          <w:sz w:val="19"/>
          <w:szCs w:val="19"/>
        </w:rPr>
      </w:pPr>
    </w:p>
    <w:p>
      <w:pPr>
        <w:pStyle w:val="BodyText"/>
        <w:spacing w:line="235" w:lineRule="auto"/>
        <w:ind w:left="119" w:right="200" w:firstLine="268"/>
        <w:jc w:val="both"/>
      </w:pPr>
      <w:r>
        <w:rPr>
          <w:spacing w:val="-3"/>
        </w:rPr>
        <w:t>（</w:t>
      </w:r>
      <w:r>
        <w:rPr>
          <w:rFonts w:ascii="Arial" w:hAnsi="Arial" w:cs="Arial" w:eastAsia="Arial" w:hint="default"/>
          <w:spacing w:val="-3"/>
        </w:rPr>
        <w:t>4</w:t>
      </w:r>
      <w:r>
        <w:rPr>
          <w:spacing w:val="-3"/>
        </w:rPr>
        <w:t>）对管理层使用持续经营假设的恰当性得出结论。同时，根据获取的审计证据，就</w:t>
      </w:r>
      <w:r>
        <w:rPr>
          <w:w w:val="100"/>
        </w:rPr>
        <w:t> </w:t>
      </w:r>
      <w:r>
        <w:rPr/>
        <w:t>可能导致对贵公司持续经营能力产生重大疑虑的事项或情况是否存在重大不确定性得出</w:t>
      </w:r>
      <w:r>
        <w:rPr>
          <w:spacing w:val="-1"/>
        </w:rPr>
        <w:t> </w:t>
      </w:r>
      <w:r>
        <w:rPr>
          <w:spacing w:val="-1"/>
        </w:rPr>
      </w:r>
      <w:r>
        <w:rPr>
          <w:spacing w:val="-4"/>
        </w:rPr>
        <w:t>结论。如果我们得出结论认为存在重大不确定性，审计准则要求我们在审计报告中提请报</w:t>
      </w:r>
      <w:r>
        <w:rPr>
          <w:spacing w:val="-54"/>
        </w:rPr>
        <w:t> </w:t>
      </w:r>
      <w:r>
        <w:rPr>
          <w:spacing w:val="-54"/>
        </w:rPr>
      </w:r>
      <w:r>
        <w:rPr>
          <w:spacing w:val="-4"/>
        </w:rPr>
        <w:t>表使用者注意财务报表中的相关披露；如果披露不充分，我们应当发表非无保留意见。我</w:t>
      </w:r>
      <w:r>
        <w:rPr>
          <w:spacing w:val="-55"/>
        </w:rPr>
        <w:t> </w:t>
      </w:r>
      <w:r>
        <w:rPr>
          <w:spacing w:val="-55"/>
        </w:rPr>
      </w:r>
      <w:r>
        <w:rPr>
          <w:spacing w:val="-4"/>
        </w:rPr>
        <w:t>们的结论基于截至审计报告日可获得的信息。然而，未来的事项或情况可能导致贵公司不</w:t>
      </w:r>
      <w:r>
        <w:rPr>
          <w:spacing w:val="-49"/>
        </w:rPr>
        <w:t> </w:t>
      </w:r>
      <w:r>
        <w:rPr>
          <w:spacing w:val="-49"/>
        </w:rPr>
      </w:r>
      <w:r>
        <w:rPr/>
        <w:t>能持续经营。</w:t>
      </w:r>
    </w:p>
    <w:p>
      <w:pPr>
        <w:spacing w:line="240" w:lineRule="auto" w:before="2"/>
        <w:rPr>
          <w:rFonts w:ascii="宋体" w:hAnsi="宋体" w:cs="宋体" w:eastAsia="宋体" w:hint="default"/>
          <w:sz w:val="21"/>
          <w:szCs w:val="21"/>
        </w:rPr>
      </w:pPr>
    </w:p>
    <w:p>
      <w:pPr>
        <w:pStyle w:val="BodyText"/>
        <w:spacing w:line="288" w:lineRule="exact"/>
        <w:ind w:left="118" w:right="206" w:firstLine="259"/>
        <w:jc w:val="both"/>
      </w:pPr>
      <w:r>
        <w:rPr>
          <w:spacing w:val="-2"/>
        </w:rPr>
        <w:t>（</w:t>
      </w:r>
      <w:r>
        <w:rPr>
          <w:rFonts w:ascii="Arial" w:hAnsi="Arial" w:cs="Arial" w:eastAsia="Arial" w:hint="default"/>
          <w:spacing w:val="-2"/>
        </w:rPr>
        <w:t>5</w:t>
      </w:r>
      <w:r>
        <w:rPr>
          <w:spacing w:val="-2"/>
        </w:rPr>
        <w:t>）评价财务报表的总体列报、结构和内容（包括披露），并评价财务报表是否公允</w:t>
      </w:r>
      <w:r>
        <w:rPr>
          <w:w w:val="100"/>
        </w:rPr>
        <w:t> </w:t>
      </w:r>
      <w:r>
        <w:rPr/>
        <w:t>反映相关交易和事项。</w:t>
      </w:r>
    </w:p>
    <w:p>
      <w:pPr>
        <w:spacing w:line="240" w:lineRule="auto" w:before="4"/>
        <w:rPr>
          <w:rFonts w:ascii="宋体" w:hAnsi="宋体" w:cs="宋体" w:eastAsia="宋体" w:hint="default"/>
          <w:sz w:val="19"/>
          <w:szCs w:val="19"/>
        </w:rPr>
      </w:pPr>
    </w:p>
    <w:p>
      <w:pPr>
        <w:pStyle w:val="BodyText"/>
        <w:spacing w:line="284" w:lineRule="exact"/>
        <w:ind w:left="118" w:right="206" w:firstLine="268"/>
        <w:jc w:val="both"/>
      </w:pPr>
      <w:r>
        <w:rPr>
          <w:spacing w:val="-3"/>
        </w:rPr>
        <w:t>（</w:t>
      </w:r>
      <w:r>
        <w:rPr>
          <w:rFonts w:ascii="Arial" w:hAnsi="Arial" w:cs="Arial" w:eastAsia="Arial" w:hint="default"/>
          <w:spacing w:val="-3"/>
        </w:rPr>
        <w:t>6</w:t>
      </w:r>
      <w:r>
        <w:rPr>
          <w:spacing w:val="-3"/>
        </w:rPr>
        <w:t>）就贵公司中实体或业务活动的财务信息获取充分、适当的审计证据，以对财务报</w:t>
      </w:r>
      <w:r>
        <w:rPr>
          <w:w w:val="100"/>
        </w:rPr>
        <w:t> </w:t>
      </w:r>
      <w:r>
        <w:rPr/>
        <w:t>表发表审计意见。我们负责指导、监督和执行集团审计，并对审计意见承担全部责任。</w:t>
      </w:r>
    </w:p>
    <w:p>
      <w:pPr>
        <w:spacing w:line="240" w:lineRule="auto" w:before="10"/>
        <w:rPr>
          <w:rFonts w:ascii="宋体" w:hAnsi="宋体" w:cs="宋体" w:eastAsia="宋体" w:hint="default"/>
          <w:sz w:val="19"/>
          <w:szCs w:val="19"/>
        </w:rPr>
      </w:pPr>
    </w:p>
    <w:p>
      <w:pPr>
        <w:pStyle w:val="BodyText"/>
        <w:spacing w:line="284" w:lineRule="exact"/>
        <w:ind w:left="118" w:right="0" w:firstLine="412"/>
        <w:jc w:val="left"/>
      </w:pPr>
      <w:r>
        <w:rPr>
          <w:spacing w:val="-3"/>
        </w:rPr>
        <w:t>我们与治理层就计划的审计范围、时间安排和重大审计发现等事项进行沟通，包括沟</w:t>
      </w:r>
      <w:r>
        <w:rPr>
          <w:w w:val="100"/>
        </w:rPr>
        <w:t> </w:t>
      </w:r>
      <w:r>
        <w:rPr/>
        <w:t>通我们在审计中识别出的值得关注的内部控制缺陷。</w:t>
      </w:r>
    </w:p>
    <w:p>
      <w:pPr>
        <w:spacing w:line="240" w:lineRule="auto" w:before="1"/>
        <w:rPr>
          <w:rFonts w:ascii="宋体" w:hAnsi="宋体" w:cs="宋体" w:eastAsia="宋体" w:hint="default"/>
          <w:sz w:val="17"/>
          <w:szCs w:val="17"/>
        </w:rPr>
      </w:pPr>
    </w:p>
    <w:p>
      <w:pPr>
        <w:pStyle w:val="BodyText"/>
        <w:spacing w:line="240" w:lineRule="auto"/>
        <w:ind w:left="118" w:right="0" w:firstLine="398"/>
        <w:jc w:val="left"/>
      </w:pPr>
      <w:r>
        <w:rPr>
          <w:spacing w:val="-3"/>
        </w:rPr>
        <w:t>我们还就已遵守与独立性相关的职业道德要求向治理层提供声明，并与治理层沟通可</w:t>
      </w:r>
      <w:r>
        <w:rPr>
          <w:w w:val="100"/>
        </w:rPr>
        <w:t> </w:t>
      </w:r>
      <w:r>
        <w:rPr>
          <w:spacing w:val="-1"/>
        </w:rPr>
        <w:t>能被合理认为影响我们独立性的所有关系和其他事项，以及相关的防范措施（如适用）。</w:t>
      </w:r>
    </w:p>
    <w:p>
      <w:pPr>
        <w:spacing w:line="240" w:lineRule="auto" w:before="3"/>
        <w:rPr>
          <w:rFonts w:ascii="宋体" w:hAnsi="宋体" w:cs="宋体" w:eastAsia="宋体" w:hint="default"/>
          <w:sz w:val="19"/>
          <w:szCs w:val="19"/>
        </w:rPr>
      </w:pPr>
    </w:p>
    <w:p>
      <w:pPr>
        <w:pStyle w:val="BodyText"/>
        <w:spacing w:line="237" w:lineRule="auto"/>
        <w:ind w:left="118" w:right="201" w:firstLine="403"/>
        <w:jc w:val="both"/>
      </w:pPr>
      <w:r>
        <w:rPr>
          <w:spacing w:val="-3"/>
        </w:rPr>
        <w:t>从与治理层沟通过的事项中，我们确定哪些事项对本期财务报表审计最为重要，因而</w:t>
      </w:r>
      <w:r>
        <w:rPr>
          <w:w w:val="100"/>
        </w:rPr>
        <w:t> </w:t>
      </w:r>
      <w:r>
        <w:rPr>
          <w:spacing w:val="-4"/>
        </w:rPr>
        <w:t>构成关键审计事项。我们在审计报告中描述这些事项，除非法律法规禁止公开披露这些事</w:t>
      </w:r>
      <w:r>
        <w:rPr>
          <w:spacing w:val="-49"/>
        </w:rPr>
        <w:t> </w:t>
      </w:r>
      <w:r>
        <w:rPr>
          <w:spacing w:val="-49"/>
        </w:rPr>
      </w:r>
      <w:r>
        <w:rPr>
          <w:spacing w:val="-4"/>
        </w:rPr>
        <w:t>项，或在极少数情形下，如果合理预期在审计报告中沟通某事项造成的负面后果超过在公</w:t>
      </w:r>
      <w:r>
        <w:rPr>
          <w:spacing w:val="-54"/>
        </w:rPr>
        <w:t> </w:t>
      </w:r>
      <w:r>
        <w:rPr>
          <w:spacing w:val="-54"/>
        </w:rPr>
      </w:r>
      <w:r>
        <w:rPr/>
        <w:t>众利益方面产生的益处，我们确定不应在审计报告中沟通该事项。</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BodyText"/>
        <w:tabs>
          <w:tab w:pos="4654" w:val="left" w:leader="none"/>
        </w:tabs>
        <w:spacing w:line="276" w:lineRule="exact" w:before="163"/>
        <w:ind w:left="545" w:right="0"/>
        <w:jc w:val="left"/>
      </w:pPr>
      <w:r>
        <w:rPr>
          <w:spacing w:val="-1"/>
        </w:rPr>
        <w:t>毕马威华振会计师事务所</w:t>
        <w:tab/>
      </w:r>
      <w:r>
        <w:rPr/>
        <w:t>中国注册会计师</w:t>
      </w:r>
    </w:p>
    <w:p>
      <w:pPr>
        <w:pStyle w:val="BodyText"/>
        <w:spacing w:line="292" w:lineRule="exact"/>
        <w:ind w:left="545" w:right="0"/>
        <w:jc w:val="left"/>
        <w:rPr>
          <w:rFonts w:ascii="Arial" w:hAnsi="Arial" w:cs="Arial" w:eastAsia="Arial" w:hint="default"/>
        </w:rPr>
      </w:pPr>
      <w:r>
        <w:rPr>
          <w:rFonts w:ascii="Arial" w:hAnsi="Arial" w:cs="Arial" w:eastAsia="Arial" w:hint="default"/>
        </w:rPr>
        <w:t>(</w:t>
      </w:r>
      <w:r>
        <w:rPr/>
        <w:t>特殊普通合伙</w:t>
      </w:r>
      <w:r>
        <w:rPr>
          <w:rFonts w:ascii="Arial" w:hAnsi="Arial" w:cs="Arial" w:eastAsia="Arial" w:hint="default"/>
        </w:rPr>
        <w:t>)</w:t>
      </w:r>
    </w:p>
    <w:p>
      <w:pPr>
        <w:spacing w:line="240" w:lineRule="auto" w:before="0"/>
        <w:rPr>
          <w:rFonts w:ascii="Arial" w:hAnsi="Arial" w:cs="Arial" w:eastAsia="Arial" w:hint="default"/>
          <w:sz w:val="22"/>
          <w:szCs w:val="22"/>
        </w:rPr>
      </w:pPr>
    </w:p>
    <w:p>
      <w:pPr>
        <w:spacing w:line="240" w:lineRule="auto" w:before="0"/>
        <w:rPr>
          <w:rFonts w:ascii="Arial" w:hAnsi="Arial" w:cs="Arial" w:eastAsia="Arial" w:hint="default"/>
          <w:sz w:val="22"/>
          <w:szCs w:val="22"/>
        </w:rPr>
      </w:pPr>
    </w:p>
    <w:p>
      <w:pPr>
        <w:pStyle w:val="BodyText"/>
        <w:spacing w:line="360" w:lineRule="auto" w:before="150"/>
        <w:ind w:left="4655" w:right="3033" w:hanging="1"/>
        <w:jc w:val="left"/>
      </w:pPr>
      <w:r>
        <w:rPr/>
        <w:t>罗科</w:t>
      </w:r>
      <w:r>
        <w:rPr>
          <w:w w:val="100"/>
        </w:rPr>
        <w:t> </w:t>
      </w:r>
      <w:r>
        <w:rPr/>
        <w:t>项目合伙人</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BodyText"/>
        <w:tabs>
          <w:tab w:pos="4654" w:val="left" w:leader="none"/>
        </w:tabs>
        <w:spacing w:line="240" w:lineRule="auto"/>
        <w:ind w:left="546" w:right="0"/>
        <w:jc w:val="left"/>
      </w:pPr>
      <w:r>
        <w:rPr/>
        <w:t>中国</w:t>
      </w:r>
      <w:r>
        <w:rPr>
          <w:spacing w:val="3"/>
        </w:rPr>
        <w:t> </w:t>
      </w:r>
      <w:r>
        <w:rPr/>
        <w:t>北京</w:t>
        <w:tab/>
        <w:t>谭亚红</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21"/>
          <w:szCs w:val="21"/>
        </w:rPr>
      </w:pPr>
    </w:p>
    <w:p>
      <w:pPr>
        <w:pStyle w:val="BodyText"/>
        <w:spacing w:line="240" w:lineRule="auto"/>
        <w:ind w:left="4654" w:right="0"/>
        <w:jc w:val="left"/>
      </w:pPr>
      <w:r>
        <w:rPr>
          <w:rFonts w:ascii="Arial" w:hAnsi="Arial" w:cs="Arial" w:eastAsia="Arial" w:hint="default"/>
        </w:rPr>
        <w:t>2020</w:t>
      </w:r>
      <w:r>
        <w:rPr>
          <w:rFonts w:ascii="Arial" w:hAnsi="Arial" w:cs="Arial" w:eastAsia="Arial" w:hint="default"/>
          <w:spacing w:val="-6"/>
        </w:rPr>
        <w:t> </w:t>
      </w:r>
      <w:r>
        <w:rPr/>
        <w:t>年</w:t>
      </w:r>
      <w:r>
        <w:rPr>
          <w:spacing w:val="-57"/>
        </w:rPr>
        <w:t> </w:t>
      </w:r>
      <w:r>
        <w:rPr>
          <w:rFonts w:ascii="Arial" w:hAnsi="Arial" w:cs="Arial" w:eastAsia="Arial" w:hint="default"/>
        </w:rPr>
        <w:t>3</w:t>
      </w:r>
      <w:r>
        <w:rPr>
          <w:rFonts w:ascii="Arial" w:hAnsi="Arial" w:cs="Arial" w:eastAsia="Arial" w:hint="default"/>
          <w:spacing w:val="-6"/>
        </w:rPr>
        <w:t> </w:t>
      </w:r>
      <w:r>
        <w:rPr/>
        <w:t>月</w:t>
      </w:r>
      <w:r>
        <w:rPr>
          <w:spacing w:val="-57"/>
        </w:rPr>
        <w:t> </w:t>
      </w:r>
      <w:r>
        <w:rPr>
          <w:rFonts w:ascii="Arial" w:hAnsi="Arial" w:cs="Arial" w:eastAsia="Arial" w:hint="default"/>
        </w:rPr>
        <w:t>23</w:t>
      </w:r>
      <w:r>
        <w:rPr>
          <w:rFonts w:ascii="Arial" w:hAnsi="Arial" w:cs="Arial" w:eastAsia="Arial" w:hint="default"/>
          <w:spacing w:val="-6"/>
        </w:rPr>
        <w:t> </w:t>
      </w:r>
      <w:r>
        <w:rPr/>
        <w:t>日</w:t>
      </w:r>
    </w:p>
    <w:p>
      <w:pPr>
        <w:spacing w:after="0" w:line="240" w:lineRule="auto"/>
        <w:jc w:val="left"/>
        <w:sectPr>
          <w:headerReference w:type="default" r:id="rId97"/>
          <w:footerReference w:type="default" r:id="rId98"/>
          <w:pgSz w:w="11910" w:h="16840"/>
          <w:pgMar w:header="0" w:footer="502" w:top="1580" w:bottom="700" w:left="1580" w:right="1520"/>
          <w:pgNumType w:start="75"/>
        </w:sectPr>
      </w:pPr>
    </w:p>
    <w:p>
      <w:pPr>
        <w:spacing w:line="240" w:lineRule="auto" w:before="12"/>
        <w:rPr>
          <w:rFonts w:ascii="宋体" w:hAnsi="宋体" w:cs="宋体" w:eastAsia="宋体" w:hint="default"/>
          <w:sz w:val="16"/>
          <w:szCs w:val="16"/>
        </w:rPr>
      </w:pPr>
    </w:p>
    <w:p>
      <w:pPr>
        <w:pStyle w:val="BodyText"/>
        <w:spacing w:line="293" w:lineRule="exact" w:before="32"/>
        <w:ind w:left="228" w:right="2012"/>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6"/>
        </w:rPr>
        <w:t> </w:t>
      </w:r>
      <w:r>
        <w:rPr>
          <w:rFonts w:ascii="黑体" w:hAnsi="黑体" w:cs="黑体" w:eastAsia="黑体" w:hint="default"/>
        </w:rPr>
        <w:t>年</w:t>
      </w:r>
      <w:r>
        <w:rPr>
          <w:rFonts w:ascii="黑体" w:hAnsi="黑体" w:cs="黑体" w:eastAsia="黑体" w:hint="default"/>
          <w:spacing w:val="-57"/>
        </w:rPr>
        <w:t> </w:t>
      </w:r>
      <w:r>
        <w:rPr>
          <w:rFonts w:ascii="Arial" w:hAnsi="Arial" w:cs="Arial" w:eastAsia="Arial" w:hint="default"/>
        </w:rPr>
        <w:t>12</w:t>
      </w:r>
      <w:r>
        <w:rPr>
          <w:rFonts w:ascii="Arial" w:hAnsi="Arial" w:cs="Arial" w:eastAsia="Arial" w:hint="default"/>
          <w:spacing w:val="-6"/>
        </w:rPr>
        <w:t> </w:t>
      </w:r>
      <w:r>
        <w:rPr>
          <w:rFonts w:ascii="黑体" w:hAnsi="黑体" w:cs="黑体" w:eastAsia="黑体" w:hint="default"/>
        </w:rPr>
        <w:t>月</w:t>
      </w:r>
      <w:r>
        <w:rPr>
          <w:rFonts w:ascii="黑体" w:hAnsi="黑体" w:cs="黑体" w:eastAsia="黑体" w:hint="default"/>
          <w:spacing w:val="-57"/>
        </w:rPr>
        <w:t> </w:t>
      </w:r>
      <w:r>
        <w:rPr>
          <w:rFonts w:ascii="Arial" w:hAnsi="Arial" w:cs="Arial" w:eastAsia="Arial" w:hint="default"/>
        </w:rPr>
        <w:t>31</w:t>
      </w:r>
      <w:r>
        <w:rPr>
          <w:rFonts w:ascii="Arial" w:hAnsi="Arial" w:cs="Arial" w:eastAsia="Arial" w:hint="default"/>
          <w:spacing w:val="-6"/>
        </w:rPr>
        <w:t> </w:t>
      </w:r>
      <w:r>
        <w:rPr>
          <w:rFonts w:ascii="黑体" w:hAnsi="黑体" w:cs="黑体" w:eastAsia="黑体" w:hint="default"/>
        </w:rPr>
        <w:t>日合并及公司资产负债表</w:t>
      </w:r>
    </w:p>
    <w:p>
      <w:pPr>
        <w:pStyle w:val="BodyText"/>
        <w:spacing w:line="278" w:lineRule="exact"/>
        <w:ind w:left="252" w:right="2012"/>
        <w:jc w:val="left"/>
        <w:rPr>
          <w:rFonts w:ascii="黑体" w:hAnsi="黑体" w:cs="黑体" w:eastAsia="黑体" w:hint="default"/>
        </w:rPr>
      </w:pPr>
      <w:r>
        <w:rPr>
          <w:rFonts w:ascii="黑体" w:hAnsi="黑体" w:cs="黑体" w:eastAsia="黑体" w:hint="default"/>
        </w:rPr>
        <w:t>（除特别注明外，金额单位为人民币元）</w:t>
      </w:r>
    </w:p>
    <w:p>
      <w:pPr>
        <w:spacing w:line="240" w:lineRule="auto" w:before="4"/>
        <w:rPr>
          <w:rFonts w:ascii="黑体" w:hAnsi="黑体" w:cs="黑体" w:eastAsia="黑体" w:hint="default"/>
          <w:sz w:val="23"/>
          <w:szCs w:val="23"/>
        </w:rPr>
      </w:pPr>
    </w:p>
    <w:tbl>
      <w:tblPr>
        <w:tblW w:w="0" w:type="auto"/>
        <w:jc w:val="left"/>
        <w:tblInd w:w="238" w:type="dxa"/>
        <w:tblLayout w:type="fixed"/>
        <w:tblCellMar>
          <w:top w:w="0" w:type="dxa"/>
          <w:left w:w="0" w:type="dxa"/>
          <w:bottom w:w="0" w:type="dxa"/>
          <w:right w:w="0" w:type="dxa"/>
        </w:tblCellMar>
        <w:tblLook w:val="01E0"/>
      </w:tblPr>
      <w:tblGrid>
        <w:gridCol w:w="2117"/>
        <w:gridCol w:w="710"/>
        <w:gridCol w:w="1699"/>
        <w:gridCol w:w="1699"/>
        <w:gridCol w:w="1704"/>
        <w:gridCol w:w="1699"/>
      </w:tblGrid>
      <w:tr>
        <w:trPr>
          <w:trHeight w:val="605"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7"/>
              <w:jc w:val="center"/>
              <w:rPr>
                <w:rFonts w:ascii="宋体" w:hAnsi="宋体" w:cs="宋体" w:eastAsia="宋体" w:hint="default"/>
                <w:sz w:val="18"/>
                <w:szCs w:val="18"/>
              </w:rPr>
            </w:pPr>
            <w:r>
              <w:rPr>
                <w:rFonts w:ascii="宋体" w:hAnsi="宋体" w:cs="宋体" w:eastAsia="宋体" w:hint="default"/>
                <w:sz w:val="18"/>
                <w:szCs w:val="18"/>
              </w:rPr>
              <w:t>资产</w:t>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33"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before="34"/>
              <w:ind w:left="29" w:right="0"/>
              <w:jc w:val="center"/>
              <w:rPr>
                <w:rFonts w:ascii="宋体" w:hAnsi="宋体" w:cs="宋体" w:eastAsia="宋体" w:hint="default"/>
                <w:sz w:val="18"/>
                <w:szCs w:val="18"/>
              </w:rPr>
            </w:pPr>
            <w:r>
              <w:rPr>
                <w:rFonts w:ascii="Arial" w:hAnsi="Arial" w:cs="Arial" w:eastAsia="Arial" w:hint="default"/>
                <w:sz w:val="18"/>
                <w:szCs w:val="18"/>
              </w:rPr>
              <w:t>2019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Arial" w:hAnsi="Arial" w:cs="Arial" w:eastAsia="Arial" w:hint="default"/>
                <w:sz w:val="18"/>
                <w:szCs w:val="18"/>
              </w:rPr>
              <w:t>31</w:t>
            </w:r>
            <w:r>
              <w:rPr>
                <w:rFonts w:ascii="Arial" w:hAnsi="Arial" w:cs="Arial" w:eastAsia="Arial" w:hint="default"/>
                <w:spacing w:val="-6"/>
                <w:sz w:val="18"/>
                <w:szCs w:val="18"/>
              </w:rPr>
              <w:t> </w:t>
            </w:r>
            <w:r>
              <w:rPr>
                <w:rFonts w:ascii="宋体" w:hAnsi="宋体" w:cs="宋体" w:eastAsia="宋体" w:hint="default"/>
                <w:sz w:val="18"/>
                <w:szCs w:val="18"/>
              </w:rPr>
              <w:t>日</w:t>
            </w:r>
          </w:p>
          <w:p>
            <w:pPr>
              <w:pStyle w:val="TableParagraph"/>
              <w:spacing w:line="227" w:lineRule="exact"/>
              <w:ind w:left="120" w:right="0"/>
              <w:jc w:val="center"/>
              <w:rPr>
                <w:rFonts w:ascii="宋体" w:hAnsi="宋体" w:cs="宋体" w:eastAsia="宋体" w:hint="default"/>
                <w:sz w:val="18"/>
                <w:szCs w:val="18"/>
              </w:rPr>
            </w:pPr>
            <w:r>
              <w:rPr>
                <w:rFonts w:ascii="宋体" w:hAnsi="宋体" w:cs="宋体" w:eastAsia="宋体" w:hint="default"/>
                <w:spacing w:val="-3"/>
                <w:sz w:val="18"/>
                <w:szCs w:val="18"/>
              </w:rPr>
              <w:t>合并</w:t>
            </w:r>
            <w:r>
              <w:rPr>
                <w:rFonts w:ascii="宋体" w:hAnsi="宋体" w:cs="宋体" w:eastAsia="宋体" w:hint="default"/>
                <w:sz w:val="18"/>
                <w:szCs w:val="18"/>
              </w:rPr>
              <w:t> </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before="34"/>
              <w:ind w:left="28" w:right="0"/>
              <w:jc w:val="center"/>
              <w:rPr>
                <w:rFonts w:ascii="宋体" w:hAnsi="宋体" w:cs="宋体" w:eastAsia="宋体" w:hint="default"/>
                <w:sz w:val="18"/>
                <w:szCs w:val="18"/>
              </w:rPr>
            </w:pPr>
            <w:r>
              <w:rPr>
                <w:rFonts w:ascii="Arial" w:hAnsi="Arial" w:cs="Arial" w:eastAsia="Arial" w:hint="default"/>
                <w:sz w:val="18"/>
                <w:szCs w:val="18"/>
              </w:rPr>
              <w:t>2018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Arial" w:hAnsi="Arial" w:cs="Arial" w:eastAsia="Arial" w:hint="default"/>
                <w:sz w:val="18"/>
                <w:szCs w:val="18"/>
              </w:rPr>
              <w:t>31</w:t>
            </w:r>
            <w:r>
              <w:rPr>
                <w:rFonts w:ascii="Arial" w:hAnsi="Arial" w:cs="Arial" w:eastAsia="Arial" w:hint="default"/>
                <w:spacing w:val="-6"/>
                <w:sz w:val="18"/>
                <w:szCs w:val="18"/>
              </w:rPr>
              <w:t> </w:t>
            </w:r>
            <w:r>
              <w:rPr>
                <w:rFonts w:ascii="宋体" w:hAnsi="宋体" w:cs="宋体" w:eastAsia="宋体" w:hint="default"/>
                <w:sz w:val="18"/>
                <w:szCs w:val="18"/>
              </w:rPr>
              <w:t>日</w:t>
            </w:r>
          </w:p>
          <w:p>
            <w:pPr>
              <w:pStyle w:val="TableParagraph"/>
              <w:spacing w:line="227" w:lineRule="exact"/>
              <w:ind w:left="24" w:right="0"/>
              <w:jc w:val="center"/>
              <w:rPr>
                <w:rFonts w:ascii="宋体" w:hAnsi="宋体" w:cs="宋体" w:eastAsia="宋体" w:hint="default"/>
                <w:sz w:val="18"/>
                <w:szCs w:val="18"/>
              </w:rPr>
            </w:pPr>
            <w:r>
              <w:rPr>
                <w:rFonts w:ascii="宋体" w:hAnsi="宋体" w:cs="宋体" w:eastAsia="宋体" w:hint="default"/>
                <w:spacing w:val="-3"/>
                <w:sz w:val="18"/>
                <w:szCs w:val="18"/>
              </w:rPr>
              <w:t>合并</w:t>
            </w:r>
            <w:r>
              <w:rPr>
                <w:rFonts w:ascii="宋体" w:hAnsi="宋体" w:cs="宋体" w:eastAsia="宋体" w:hint="default"/>
                <w:sz w:val="18"/>
                <w:szCs w:val="18"/>
              </w:rPr>
              <w:t> </w:t>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before="34"/>
              <w:ind w:left="33" w:right="0"/>
              <w:jc w:val="center"/>
              <w:rPr>
                <w:rFonts w:ascii="宋体" w:hAnsi="宋体" w:cs="宋体" w:eastAsia="宋体" w:hint="default"/>
                <w:sz w:val="18"/>
                <w:szCs w:val="18"/>
              </w:rPr>
            </w:pPr>
            <w:r>
              <w:rPr>
                <w:rFonts w:ascii="Arial" w:hAnsi="Arial" w:cs="Arial" w:eastAsia="Arial" w:hint="default"/>
                <w:sz w:val="18"/>
                <w:szCs w:val="18"/>
              </w:rPr>
              <w:t>2019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Arial" w:hAnsi="Arial" w:cs="Arial" w:eastAsia="Arial" w:hint="default"/>
                <w:sz w:val="18"/>
                <w:szCs w:val="18"/>
              </w:rPr>
              <w:t>31</w:t>
            </w:r>
            <w:r>
              <w:rPr>
                <w:rFonts w:ascii="Arial" w:hAnsi="Arial" w:cs="Arial" w:eastAsia="Arial" w:hint="default"/>
                <w:spacing w:val="-6"/>
                <w:sz w:val="18"/>
                <w:szCs w:val="18"/>
              </w:rPr>
              <w:t> </w:t>
            </w:r>
            <w:r>
              <w:rPr>
                <w:rFonts w:ascii="宋体" w:hAnsi="宋体" w:cs="宋体" w:eastAsia="宋体" w:hint="default"/>
                <w:sz w:val="18"/>
                <w:szCs w:val="18"/>
              </w:rPr>
              <w:t>日</w:t>
            </w:r>
          </w:p>
          <w:p>
            <w:pPr>
              <w:pStyle w:val="TableParagraph"/>
              <w:spacing w:line="227" w:lineRule="exact"/>
              <w:ind w:left="124" w:right="0"/>
              <w:jc w:val="center"/>
              <w:rPr>
                <w:rFonts w:ascii="宋体" w:hAnsi="宋体" w:cs="宋体" w:eastAsia="宋体" w:hint="default"/>
                <w:sz w:val="18"/>
                <w:szCs w:val="18"/>
              </w:rPr>
            </w:pPr>
            <w:r>
              <w:rPr>
                <w:rFonts w:ascii="宋体" w:hAnsi="宋体" w:cs="宋体" w:eastAsia="宋体" w:hint="default"/>
                <w:spacing w:val="-3"/>
                <w:sz w:val="18"/>
                <w:szCs w:val="18"/>
              </w:rPr>
              <w:t>公司</w:t>
            </w:r>
            <w:r>
              <w:rPr>
                <w:rFonts w:ascii="宋体" w:hAnsi="宋体" w:cs="宋体" w:eastAsia="宋体" w:hint="default"/>
                <w:sz w:val="18"/>
                <w:szCs w:val="18"/>
              </w:rPr>
              <w:t> </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before="34"/>
              <w:ind w:left="28" w:right="0"/>
              <w:jc w:val="center"/>
              <w:rPr>
                <w:rFonts w:ascii="宋体" w:hAnsi="宋体" w:cs="宋体" w:eastAsia="宋体" w:hint="default"/>
                <w:sz w:val="18"/>
                <w:szCs w:val="18"/>
              </w:rPr>
            </w:pPr>
            <w:r>
              <w:rPr>
                <w:rFonts w:ascii="Arial" w:hAnsi="Arial" w:cs="Arial" w:eastAsia="Arial" w:hint="default"/>
                <w:sz w:val="18"/>
                <w:szCs w:val="18"/>
              </w:rPr>
              <w:t>2018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Arial" w:hAnsi="Arial" w:cs="Arial" w:eastAsia="Arial" w:hint="default"/>
                <w:sz w:val="18"/>
                <w:szCs w:val="18"/>
              </w:rPr>
              <w:t>31</w:t>
            </w:r>
            <w:r>
              <w:rPr>
                <w:rFonts w:ascii="Arial" w:hAnsi="Arial" w:cs="Arial" w:eastAsia="Arial" w:hint="default"/>
                <w:spacing w:val="-6"/>
                <w:sz w:val="18"/>
                <w:szCs w:val="18"/>
              </w:rPr>
              <w:t> </w:t>
            </w:r>
            <w:r>
              <w:rPr>
                <w:rFonts w:ascii="宋体" w:hAnsi="宋体" w:cs="宋体" w:eastAsia="宋体" w:hint="default"/>
                <w:sz w:val="18"/>
                <w:szCs w:val="18"/>
              </w:rPr>
              <w:t>日</w:t>
            </w:r>
          </w:p>
          <w:p>
            <w:pPr>
              <w:pStyle w:val="TableParagraph"/>
              <w:spacing w:line="227" w:lineRule="exact"/>
              <w:ind w:left="120" w:right="0"/>
              <w:jc w:val="center"/>
              <w:rPr>
                <w:rFonts w:ascii="宋体" w:hAnsi="宋体" w:cs="宋体" w:eastAsia="宋体" w:hint="default"/>
                <w:sz w:val="18"/>
                <w:szCs w:val="18"/>
              </w:rPr>
            </w:pPr>
            <w:r>
              <w:rPr>
                <w:rFonts w:ascii="宋体" w:hAnsi="宋体" w:cs="宋体" w:eastAsia="宋体" w:hint="default"/>
                <w:spacing w:val="-3"/>
                <w:sz w:val="18"/>
                <w:szCs w:val="18"/>
              </w:rPr>
              <w:t>公司</w:t>
            </w:r>
            <w:r>
              <w:rPr>
                <w:rFonts w:ascii="宋体" w:hAnsi="宋体" w:cs="宋体" w:eastAsia="宋体" w:hint="default"/>
                <w:sz w:val="18"/>
                <w:szCs w:val="18"/>
              </w:rPr>
              <w:t> </w:t>
            </w:r>
          </w:p>
        </w:tc>
      </w:tr>
      <w:tr>
        <w:trPr>
          <w:trHeight w:val="259"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17" w:lineRule="exact"/>
              <w:ind w:left="9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710"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
        </w:tc>
        <w:tc>
          <w:tcPr>
            <w:tcW w:w="1704"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
        </w:tc>
      </w:tr>
      <w:tr>
        <w:trPr>
          <w:trHeight w:val="528"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黑体" w:hAnsi="黑体" w:cs="黑体" w:eastAsia="黑体" w:hint="default"/>
                <w:sz w:val="19"/>
                <w:szCs w:val="19"/>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2" w:lineRule="exact" w:before="15"/>
              <w:ind w:left="119" w:right="0"/>
              <w:jc w:val="left"/>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w:t>
            </w:r>
          </w:p>
          <w:p>
            <w:pPr>
              <w:pStyle w:val="TableParagraph"/>
              <w:spacing w:line="242" w:lineRule="exact"/>
              <w:ind w:left="52" w:right="0"/>
              <w:jc w:val="left"/>
              <w:rPr>
                <w:rFonts w:ascii="Arial" w:hAnsi="Arial" w:cs="Arial" w:eastAsia="Arial" w:hint="default"/>
                <w:sz w:val="18"/>
                <w:szCs w:val="18"/>
              </w:rPr>
            </w:pPr>
            <w:r>
              <w:rPr>
                <w:rFonts w:ascii="宋体" w:hAnsi="宋体" w:cs="宋体" w:eastAsia="宋体" w:hint="default"/>
                <w:sz w:val="18"/>
                <w:szCs w:val="18"/>
              </w:rPr>
              <w:t>十五</w:t>
            </w:r>
            <w:r>
              <w:rPr>
                <w:rFonts w:ascii="Arial" w:hAnsi="Arial" w:cs="Arial" w:eastAsia="Arial" w:hint="default"/>
                <w:sz w:val="18"/>
                <w:szCs w:val="18"/>
              </w:rPr>
              <w:t>(1)</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3"/>
                <w:szCs w:val="23"/>
              </w:rPr>
            </w:pPr>
          </w:p>
          <w:p>
            <w:pPr>
              <w:pStyle w:val="TableParagraph"/>
              <w:spacing w:line="240" w:lineRule="auto"/>
              <w:ind w:right="93"/>
              <w:jc w:val="right"/>
              <w:rPr>
                <w:rFonts w:ascii="Arial" w:hAnsi="Arial" w:cs="Arial" w:eastAsia="Arial" w:hint="default"/>
                <w:sz w:val="18"/>
                <w:szCs w:val="18"/>
              </w:rPr>
            </w:pPr>
            <w:r>
              <w:rPr>
                <w:rFonts w:ascii="Arial"/>
                <w:spacing w:val="-2"/>
                <w:sz w:val="18"/>
              </w:rPr>
              <w:t>38,665,306,851</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3"/>
                <w:szCs w:val="23"/>
              </w:rPr>
            </w:pPr>
          </w:p>
          <w:p>
            <w:pPr>
              <w:pStyle w:val="TableParagraph"/>
              <w:spacing w:line="240" w:lineRule="auto"/>
              <w:ind w:right="93"/>
              <w:jc w:val="right"/>
              <w:rPr>
                <w:rFonts w:ascii="Arial" w:hAnsi="Arial" w:cs="Arial" w:eastAsia="Arial" w:hint="default"/>
                <w:sz w:val="18"/>
                <w:szCs w:val="18"/>
              </w:rPr>
            </w:pPr>
            <w:r>
              <w:rPr>
                <w:rFonts w:ascii="Arial"/>
                <w:spacing w:val="-2"/>
                <w:sz w:val="18"/>
              </w:rPr>
              <w:t>33,783,352,034</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3"/>
                <w:szCs w:val="23"/>
              </w:rPr>
            </w:pPr>
          </w:p>
          <w:p>
            <w:pPr>
              <w:pStyle w:val="TableParagraph"/>
              <w:spacing w:line="240" w:lineRule="auto"/>
              <w:ind w:right="93"/>
              <w:jc w:val="right"/>
              <w:rPr>
                <w:rFonts w:ascii="Arial" w:hAnsi="Arial" w:cs="Arial" w:eastAsia="Arial" w:hint="default"/>
                <w:sz w:val="18"/>
                <w:szCs w:val="18"/>
              </w:rPr>
            </w:pPr>
            <w:r>
              <w:rPr>
                <w:rFonts w:ascii="Arial"/>
                <w:spacing w:val="-1"/>
                <w:sz w:val="18"/>
              </w:rPr>
              <w:t>509,663,009</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3"/>
                <w:szCs w:val="23"/>
              </w:rPr>
            </w:pPr>
          </w:p>
          <w:p>
            <w:pPr>
              <w:pStyle w:val="TableParagraph"/>
              <w:spacing w:line="240" w:lineRule="auto"/>
              <w:ind w:right="93"/>
              <w:jc w:val="right"/>
              <w:rPr>
                <w:rFonts w:ascii="Arial" w:hAnsi="Arial" w:cs="Arial" w:eastAsia="Arial" w:hint="default"/>
                <w:sz w:val="18"/>
                <w:szCs w:val="18"/>
              </w:rPr>
            </w:pPr>
            <w:r>
              <w:rPr>
                <w:rFonts w:ascii="Arial"/>
                <w:spacing w:val="-1"/>
                <w:sz w:val="18"/>
              </w:rPr>
              <w:t>266,645,224</w:t>
            </w:r>
            <w:r>
              <w:rPr>
                <w:rFonts w:ascii="Arial"/>
                <w:sz w:val="18"/>
              </w:rPr>
            </w:r>
          </w:p>
        </w:tc>
      </w:tr>
      <w:tr>
        <w:trPr>
          <w:trHeight w:val="259"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17" w:lineRule="exact"/>
              <w:ind w:left="273" w:right="0"/>
              <w:jc w:val="left"/>
              <w:rPr>
                <w:rFonts w:ascii="宋体" w:hAnsi="宋体" w:cs="宋体" w:eastAsia="宋体" w:hint="default"/>
                <w:sz w:val="18"/>
                <w:szCs w:val="18"/>
              </w:rPr>
            </w:pPr>
            <w:r>
              <w:rPr>
                <w:rFonts w:ascii="宋体" w:hAnsi="宋体" w:cs="宋体" w:eastAsia="宋体" w:hint="default"/>
                <w:spacing w:val="-3"/>
                <w:sz w:val="18"/>
                <w:szCs w:val="18"/>
              </w:rPr>
              <w:t>交易性金融资产</w:t>
            </w:r>
            <w:r>
              <w:rPr>
                <w:rFonts w:ascii="宋体" w:hAnsi="宋体" w:cs="宋体" w:eastAsia="宋体" w:hint="default"/>
                <w:sz w:val="18"/>
                <w:szCs w:val="18"/>
              </w:rPr>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right="11"/>
              <w:jc w:val="center"/>
              <w:rPr>
                <w:rFonts w:ascii="Arial" w:hAnsi="Arial" w:cs="Arial" w:eastAsia="Arial" w:hint="default"/>
                <w:sz w:val="18"/>
                <w:szCs w:val="18"/>
              </w:rPr>
            </w:pPr>
            <w:r>
              <w:rPr>
                <w:rFonts w:ascii="宋体" w:hAnsi="宋体" w:cs="宋体" w:eastAsia="宋体" w:hint="default"/>
                <w:spacing w:val="-3"/>
                <w:sz w:val="18"/>
                <w:szCs w:val="18"/>
              </w:rPr>
              <w:t>五</w:t>
            </w:r>
            <w:r>
              <w:rPr>
                <w:rFonts w:ascii="Arial" w:hAnsi="Arial" w:cs="Arial" w:eastAsia="Arial" w:hint="default"/>
                <w:spacing w:val="-3"/>
                <w:sz w:val="18"/>
                <w:szCs w:val="18"/>
              </w:rPr>
              <w:t>(2)</w:t>
            </w:r>
            <w:r>
              <w:rPr>
                <w:rFonts w:ascii="Arial" w:hAnsi="Arial" w:cs="Arial" w:eastAsia="Arial" w:hint="default"/>
                <w:sz w:val="18"/>
                <w:szCs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3"/>
              <w:jc w:val="right"/>
              <w:rPr>
                <w:rFonts w:ascii="Arial" w:hAnsi="Arial" w:cs="Arial" w:eastAsia="Arial" w:hint="default"/>
                <w:sz w:val="18"/>
                <w:szCs w:val="18"/>
              </w:rPr>
            </w:pPr>
            <w:r>
              <w:rPr>
                <w:rFonts w:ascii="Arial"/>
                <w:spacing w:val="-1"/>
                <w:sz w:val="18"/>
              </w:rPr>
              <w:t>201,854,202</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3"/>
              <w:jc w:val="right"/>
              <w:rPr>
                <w:rFonts w:ascii="Arial" w:hAnsi="Arial" w:cs="Arial" w:eastAsia="Arial" w:hint="default"/>
                <w:sz w:val="18"/>
                <w:szCs w:val="18"/>
              </w:rPr>
            </w:pPr>
            <w:r>
              <w:rPr>
                <w:rFonts w:ascii="Arial"/>
                <w:spacing w:val="-1"/>
                <w:sz w:val="18"/>
              </w:rPr>
              <w:t>769,905,347</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105"/>
              <w:jc w:val="right"/>
              <w:rPr>
                <w:rFonts w:ascii="Arial" w:hAnsi="Arial" w:cs="Arial" w:eastAsia="Arial" w:hint="default"/>
                <w:sz w:val="18"/>
                <w:szCs w:val="18"/>
              </w:rPr>
            </w:pPr>
            <w:r>
              <w:rPr>
                <w:rFonts w:ascii="Arial"/>
                <w:w w:val="101"/>
                <w:sz w:val="18"/>
              </w:rPr>
              <w:t>-</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105"/>
              <w:jc w:val="right"/>
              <w:rPr>
                <w:rFonts w:ascii="Arial" w:hAnsi="Arial" w:cs="Arial" w:eastAsia="Arial" w:hint="default"/>
                <w:sz w:val="18"/>
                <w:szCs w:val="18"/>
              </w:rPr>
            </w:pPr>
            <w:r>
              <w:rPr>
                <w:rFonts w:ascii="Arial"/>
                <w:w w:val="101"/>
                <w:sz w:val="18"/>
              </w:rPr>
              <w:t>-</w:t>
            </w:r>
            <w:r>
              <w:rPr>
                <w:rFonts w:ascii="Arial"/>
                <w:sz w:val="18"/>
              </w:rPr>
            </w:r>
          </w:p>
        </w:tc>
      </w:tr>
      <w:tr>
        <w:trPr>
          <w:trHeight w:val="264"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22" w:lineRule="exact"/>
              <w:ind w:left="27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11"/>
              <w:jc w:val="center"/>
              <w:rPr>
                <w:rFonts w:ascii="Arial" w:hAnsi="Arial" w:cs="Arial" w:eastAsia="Arial" w:hint="default"/>
                <w:sz w:val="18"/>
                <w:szCs w:val="18"/>
              </w:rPr>
            </w:pPr>
            <w:r>
              <w:rPr>
                <w:rFonts w:ascii="宋体" w:hAnsi="宋体" w:cs="宋体" w:eastAsia="宋体" w:hint="default"/>
                <w:spacing w:val="-3"/>
                <w:sz w:val="18"/>
                <w:szCs w:val="18"/>
              </w:rPr>
              <w:t>五</w:t>
            </w:r>
            <w:r>
              <w:rPr>
                <w:rFonts w:ascii="Arial" w:hAnsi="Arial" w:cs="Arial" w:eastAsia="Arial" w:hint="default"/>
                <w:spacing w:val="-3"/>
                <w:sz w:val="18"/>
                <w:szCs w:val="18"/>
              </w:rPr>
              <w:t>(3)</w:t>
            </w:r>
            <w:r>
              <w:rPr>
                <w:rFonts w:ascii="Arial" w:hAnsi="Arial" w:cs="Arial" w:eastAsia="Arial" w:hint="default"/>
                <w:sz w:val="18"/>
                <w:szCs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3"/>
              <w:jc w:val="right"/>
              <w:rPr>
                <w:rFonts w:ascii="Arial" w:hAnsi="Arial" w:cs="Arial" w:eastAsia="Arial" w:hint="default"/>
                <w:sz w:val="18"/>
                <w:szCs w:val="18"/>
              </w:rPr>
            </w:pPr>
            <w:r>
              <w:rPr>
                <w:rFonts w:ascii="Arial"/>
                <w:spacing w:val="-1"/>
                <w:sz w:val="18"/>
              </w:rPr>
              <w:t>163,957,193</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3"/>
              <w:jc w:val="right"/>
              <w:rPr>
                <w:rFonts w:ascii="Arial" w:hAnsi="Arial" w:cs="Arial" w:eastAsia="Arial" w:hint="default"/>
                <w:sz w:val="18"/>
                <w:szCs w:val="18"/>
              </w:rPr>
            </w:pPr>
            <w:r>
              <w:rPr>
                <w:rFonts w:ascii="Arial"/>
                <w:spacing w:val="-1"/>
                <w:sz w:val="18"/>
              </w:rPr>
              <w:t>363,323,541</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105"/>
              <w:jc w:val="right"/>
              <w:rPr>
                <w:rFonts w:ascii="Arial" w:hAnsi="Arial" w:cs="Arial" w:eastAsia="Arial" w:hint="default"/>
                <w:sz w:val="18"/>
                <w:szCs w:val="18"/>
              </w:rPr>
            </w:pPr>
            <w:r>
              <w:rPr>
                <w:rFonts w:ascii="Arial"/>
                <w:w w:val="101"/>
                <w:sz w:val="18"/>
              </w:rPr>
              <w:t>-</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105"/>
              <w:jc w:val="right"/>
              <w:rPr>
                <w:rFonts w:ascii="Arial" w:hAnsi="Arial" w:cs="Arial" w:eastAsia="Arial" w:hint="default"/>
                <w:sz w:val="18"/>
                <w:szCs w:val="18"/>
              </w:rPr>
            </w:pPr>
            <w:r>
              <w:rPr>
                <w:rFonts w:ascii="Arial"/>
                <w:w w:val="101"/>
                <w:sz w:val="18"/>
              </w:rPr>
              <w:t>-</w:t>
            </w:r>
            <w:r>
              <w:rPr>
                <w:rFonts w:ascii="Arial"/>
                <w:sz w:val="18"/>
              </w:rPr>
            </w:r>
          </w:p>
        </w:tc>
      </w:tr>
      <w:tr>
        <w:trPr>
          <w:trHeight w:val="259"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17" w:lineRule="exact"/>
              <w:ind w:left="27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right="11"/>
              <w:jc w:val="center"/>
              <w:rPr>
                <w:rFonts w:ascii="Arial" w:hAnsi="Arial" w:cs="Arial" w:eastAsia="Arial" w:hint="default"/>
                <w:sz w:val="18"/>
                <w:szCs w:val="18"/>
              </w:rPr>
            </w:pPr>
            <w:r>
              <w:rPr>
                <w:rFonts w:ascii="宋体" w:hAnsi="宋体" w:cs="宋体" w:eastAsia="宋体" w:hint="default"/>
                <w:spacing w:val="-3"/>
                <w:sz w:val="18"/>
                <w:szCs w:val="18"/>
              </w:rPr>
              <w:t>五</w:t>
            </w:r>
            <w:r>
              <w:rPr>
                <w:rFonts w:ascii="Arial" w:hAnsi="Arial" w:cs="Arial" w:eastAsia="Arial" w:hint="default"/>
                <w:spacing w:val="-3"/>
                <w:sz w:val="18"/>
                <w:szCs w:val="18"/>
              </w:rPr>
              <w:t>(4)</w:t>
            </w:r>
            <w:r>
              <w:rPr>
                <w:rFonts w:ascii="Arial" w:hAnsi="Arial" w:cs="Arial" w:eastAsia="Arial" w:hint="default"/>
                <w:sz w:val="18"/>
                <w:szCs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3"/>
              <w:jc w:val="right"/>
              <w:rPr>
                <w:rFonts w:ascii="Arial" w:hAnsi="Arial" w:cs="Arial" w:eastAsia="Arial" w:hint="default"/>
                <w:sz w:val="18"/>
                <w:szCs w:val="18"/>
              </w:rPr>
            </w:pPr>
            <w:r>
              <w:rPr>
                <w:rFonts w:ascii="Arial"/>
                <w:spacing w:val="-2"/>
                <w:sz w:val="18"/>
              </w:rPr>
              <w:t>20,456,916,625</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3"/>
              <w:jc w:val="right"/>
              <w:rPr>
                <w:rFonts w:ascii="Arial" w:hAnsi="Arial" w:cs="Arial" w:eastAsia="Arial" w:hint="default"/>
                <w:sz w:val="18"/>
                <w:szCs w:val="18"/>
              </w:rPr>
            </w:pPr>
            <w:r>
              <w:rPr>
                <w:rFonts w:ascii="Arial"/>
                <w:spacing w:val="-2"/>
                <w:sz w:val="18"/>
              </w:rPr>
              <w:t>17,842,702,983</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105"/>
              <w:jc w:val="right"/>
              <w:rPr>
                <w:rFonts w:ascii="Arial" w:hAnsi="Arial" w:cs="Arial" w:eastAsia="Arial" w:hint="default"/>
                <w:sz w:val="18"/>
                <w:szCs w:val="18"/>
              </w:rPr>
            </w:pPr>
            <w:r>
              <w:rPr>
                <w:rFonts w:ascii="Arial"/>
                <w:w w:val="101"/>
                <w:sz w:val="18"/>
              </w:rPr>
              <w:t>-</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105"/>
              <w:jc w:val="right"/>
              <w:rPr>
                <w:rFonts w:ascii="Arial" w:hAnsi="Arial" w:cs="Arial" w:eastAsia="Arial" w:hint="default"/>
                <w:sz w:val="18"/>
                <w:szCs w:val="18"/>
              </w:rPr>
            </w:pPr>
            <w:r>
              <w:rPr>
                <w:rFonts w:ascii="Arial"/>
                <w:w w:val="101"/>
                <w:sz w:val="18"/>
              </w:rPr>
              <w:t>-</w:t>
            </w:r>
            <w:r>
              <w:rPr>
                <w:rFonts w:ascii="Arial"/>
                <w:sz w:val="18"/>
              </w:rPr>
            </w:r>
          </w:p>
        </w:tc>
      </w:tr>
      <w:tr>
        <w:trPr>
          <w:trHeight w:val="264"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22" w:lineRule="exact"/>
              <w:ind w:left="27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11"/>
              <w:jc w:val="center"/>
              <w:rPr>
                <w:rFonts w:ascii="Arial" w:hAnsi="Arial" w:cs="Arial" w:eastAsia="Arial" w:hint="default"/>
                <w:sz w:val="18"/>
                <w:szCs w:val="18"/>
              </w:rPr>
            </w:pPr>
            <w:r>
              <w:rPr>
                <w:rFonts w:ascii="宋体" w:hAnsi="宋体" w:cs="宋体" w:eastAsia="宋体" w:hint="default"/>
                <w:spacing w:val="-3"/>
                <w:sz w:val="18"/>
                <w:szCs w:val="18"/>
              </w:rPr>
              <w:t>五</w:t>
            </w:r>
            <w:r>
              <w:rPr>
                <w:rFonts w:ascii="Arial" w:hAnsi="Arial" w:cs="Arial" w:eastAsia="Arial" w:hint="default"/>
                <w:spacing w:val="-3"/>
                <w:sz w:val="18"/>
                <w:szCs w:val="18"/>
              </w:rPr>
              <w:t>(5)</w:t>
            </w:r>
            <w:r>
              <w:rPr>
                <w:rFonts w:ascii="Arial" w:hAnsi="Arial" w:cs="Arial" w:eastAsia="Arial" w:hint="default"/>
                <w:sz w:val="18"/>
                <w:szCs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8"/>
              <w:jc w:val="right"/>
              <w:rPr>
                <w:rFonts w:ascii="Arial" w:hAnsi="Arial" w:cs="Arial" w:eastAsia="Arial" w:hint="default"/>
                <w:sz w:val="18"/>
                <w:szCs w:val="18"/>
              </w:rPr>
            </w:pPr>
            <w:r>
              <w:rPr>
                <w:rFonts w:ascii="Arial"/>
                <w:spacing w:val="-2"/>
                <w:sz w:val="18"/>
              </w:rPr>
              <w:t>4,196,289,289</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3"/>
              <w:jc w:val="right"/>
              <w:rPr>
                <w:rFonts w:ascii="Arial" w:hAnsi="Arial" w:cs="Arial" w:eastAsia="Arial" w:hint="default"/>
                <w:sz w:val="18"/>
                <w:szCs w:val="18"/>
              </w:rPr>
            </w:pPr>
            <w:r>
              <w:rPr>
                <w:rFonts w:ascii="Arial"/>
                <w:spacing w:val="-2"/>
                <w:sz w:val="18"/>
              </w:rPr>
              <w:t>4,030,653,660</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105"/>
              <w:jc w:val="right"/>
              <w:rPr>
                <w:rFonts w:ascii="Arial" w:hAnsi="Arial" w:cs="Arial" w:eastAsia="Arial" w:hint="default"/>
                <w:sz w:val="18"/>
                <w:szCs w:val="18"/>
              </w:rPr>
            </w:pPr>
            <w:r>
              <w:rPr>
                <w:rFonts w:ascii="Arial"/>
                <w:w w:val="101"/>
                <w:sz w:val="18"/>
              </w:rPr>
              <w:t>-</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105"/>
              <w:jc w:val="right"/>
              <w:rPr>
                <w:rFonts w:ascii="Arial" w:hAnsi="Arial" w:cs="Arial" w:eastAsia="Arial" w:hint="default"/>
                <w:sz w:val="18"/>
                <w:szCs w:val="18"/>
              </w:rPr>
            </w:pPr>
            <w:r>
              <w:rPr>
                <w:rFonts w:ascii="Arial"/>
                <w:w w:val="101"/>
                <w:sz w:val="18"/>
              </w:rPr>
              <w:t>-</w:t>
            </w:r>
            <w:r>
              <w:rPr>
                <w:rFonts w:ascii="Arial"/>
                <w:sz w:val="18"/>
              </w:rPr>
            </w:r>
          </w:p>
        </w:tc>
      </w:tr>
      <w:tr>
        <w:trPr>
          <w:trHeight w:val="485"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黑体" w:hAnsi="黑体" w:cs="黑体" w:eastAsia="黑体" w:hint="default"/>
                <w:sz w:val="15"/>
                <w:szCs w:val="15"/>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pacing w:val="-3"/>
                <w:sz w:val="18"/>
                <w:szCs w:val="18"/>
              </w:rPr>
              <w:t>其他应收款</w:t>
            </w:r>
            <w:r>
              <w:rPr>
                <w:rFonts w:ascii="宋体" w:hAnsi="宋体" w:cs="宋体" w:eastAsia="宋体" w:hint="default"/>
                <w:sz w:val="18"/>
                <w:szCs w:val="18"/>
              </w:rPr>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14" w:lineRule="exact"/>
              <w:ind w:left="119" w:right="0"/>
              <w:jc w:val="left"/>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(6),</w:t>
            </w:r>
          </w:p>
          <w:p>
            <w:pPr>
              <w:pStyle w:val="TableParagraph"/>
              <w:spacing w:line="242" w:lineRule="exact"/>
              <w:ind w:left="52" w:right="0"/>
              <w:jc w:val="left"/>
              <w:rPr>
                <w:rFonts w:ascii="Arial" w:hAnsi="Arial" w:cs="Arial" w:eastAsia="Arial" w:hint="default"/>
                <w:sz w:val="18"/>
                <w:szCs w:val="18"/>
              </w:rPr>
            </w:pPr>
            <w:r>
              <w:rPr>
                <w:rFonts w:ascii="宋体" w:hAnsi="宋体" w:cs="宋体" w:eastAsia="宋体" w:hint="default"/>
                <w:sz w:val="18"/>
                <w:szCs w:val="18"/>
              </w:rPr>
              <w:t>十五</w:t>
            </w:r>
            <w:r>
              <w:rPr>
                <w:rFonts w:ascii="Arial" w:hAnsi="Arial" w:cs="Arial" w:eastAsia="Arial" w:hint="default"/>
                <w:sz w:val="18"/>
                <w:szCs w:val="18"/>
              </w:rPr>
              <w:t>(2)</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0"/>
                <w:szCs w:val="20"/>
              </w:rPr>
            </w:pPr>
          </w:p>
          <w:p>
            <w:pPr>
              <w:pStyle w:val="TableParagraph"/>
              <w:spacing w:line="240" w:lineRule="auto"/>
              <w:ind w:right="98"/>
              <w:jc w:val="right"/>
              <w:rPr>
                <w:rFonts w:ascii="Arial" w:hAnsi="Arial" w:cs="Arial" w:eastAsia="Arial" w:hint="default"/>
                <w:sz w:val="18"/>
                <w:szCs w:val="18"/>
              </w:rPr>
            </w:pPr>
            <w:r>
              <w:rPr>
                <w:rFonts w:ascii="Arial"/>
                <w:spacing w:val="-2"/>
                <w:sz w:val="18"/>
              </w:rPr>
              <w:t>2,800,608,159</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0"/>
                <w:szCs w:val="20"/>
              </w:rPr>
            </w:pPr>
          </w:p>
          <w:p>
            <w:pPr>
              <w:pStyle w:val="TableParagraph"/>
              <w:spacing w:line="240" w:lineRule="auto"/>
              <w:ind w:right="93"/>
              <w:jc w:val="right"/>
              <w:rPr>
                <w:rFonts w:ascii="Arial" w:hAnsi="Arial" w:cs="Arial" w:eastAsia="Arial" w:hint="default"/>
                <w:sz w:val="18"/>
                <w:szCs w:val="18"/>
              </w:rPr>
            </w:pPr>
            <w:r>
              <w:rPr>
                <w:rFonts w:ascii="Arial"/>
                <w:spacing w:val="-2"/>
                <w:sz w:val="18"/>
              </w:rPr>
              <w:t>3,220,869,649</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0"/>
                <w:szCs w:val="20"/>
              </w:rPr>
            </w:pPr>
          </w:p>
          <w:p>
            <w:pPr>
              <w:pStyle w:val="TableParagraph"/>
              <w:spacing w:line="240" w:lineRule="auto"/>
              <w:ind w:right="93"/>
              <w:jc w:val="right"/>
              <w:rPr>
                <w:rFonts w:ascii="Arial" w:hAnsi="Arial" w:cs="Arial" w:eastAsia="Arial" w:hint="default"/>
                <w:sz w:val="18"/>
                <w:szCs w:val="18"/>
              </w:rPr>
            </w:pPr>
            <w:r>
              <w:rPr>
                <w:rFonts w:ascii="Arial"/>
                <w:spacing w:val="-1"/>
                <w:sz w:val="18"/>
              </w:rPr>
              <w:t>921,985,605</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0"/>
                <w:szCs w:val="20"/>
              </w:rPr>
            </w:pPr>
          </w:p>
          <w:p>
            <w:pPr>
              <w:pStyle w:val="TableParagraph"/>
              <w:spacing w:line="240" w:lineRule="auto"/>
              <w:ind w:right="93"/>
              <w:jc w:val="right"/>
              <w:rPr>
                <w:rFonts w:ascii="Arial" w:hAnsi="Arial" w:cs="Arial" w:eastAsia="Arial" w:hint="default"/>
                <w:sz w:val="18"/>
                <w:szCs w:val="18"/>
              </w:rPr>
            </w:pPr>
            <w:r>
              <w:rPr>
                <w:rFonts w:ascii="Arial"/>
                <w:spacing w:val="-1"/>
                <w:sz w:val="18"/>
              </w:rPr>
              <w:t>920,684,679</w:t>
            </w:r>
            <w:r>
              <w:rPr>
                <w:rFonts w:ascii="Arial"/>
                <w:sz w:val="18"/>
              </w:rPr>
            </w:r>
          </w:p>
        </w:tc>
      </w:tr>
      <w:tr>
        <w:trPr>
          <w:trHeight w:val="259"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17" w:lineRule="exact"/>
              <w:ind w:left="27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right="11"/>
              <w:jc w:val="center"/>
              <w:rPr>
                <w:rFonts w:ascii="Arial" w:hAnsi="Arial" w:cs="Arial" w:eastAsia="Arial" w:hint="default"/>
                <w:sz w:val="18"/>
                <w:szCs w:val="18"/>
              </w:rPr>
            </w:pPr>
            <w:r>
              <w:rPr>
                <w:rFonts w:ascii="宋体" w:hAnsi="宋体" w:cs="宋体" w:eastAsia="宋体" w:hint="default"/>
                <w:spacing w:val="-3"/>
                <w:sz w:val="18"/>
                <w:szCs w:val="18"/>
              </w:rPr>
              <w:t>五</w:t>
            </w:r>
            <w:r>
              <w:rPr>
                <w:rFonts w:ascii="Arial" w:hAnsi="Arial" w:cs="Arial" w:eastAsia="Arial" w:hint="default"/>
                <w:spacing w:val="-3"/>
                <w:sz w:val="18"/>
                <w:szCs w:val="18"/>
              </w:rPr>
              <w:t>(7)</w:t>
            </w:r>
            <w:r>
              <w:rPr>
                <w:rFonts w:ascii="Arial" w:hAnsi="Arial" w:cs="Arial" w:eastAsia="Arial" w:hint="default"/>
                <w:sz w:val="18"/>
                <w:szCs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8"/>
              <w:jc w:val="right"/>
              <w:rPr>
                <w:rFonts w:ascii="Arial" w:hAnsi="Arial" w:cs="Arial" w:eastAsia="Arial" w:hint="default"/>
                <w:sz w:val="18"/>
                <w:szCs w:val="18"/>
              </w:rPr>
            </w:pPr>
            <w:r>
              <w:rPr>
                <w:rFonts w:ascii="Arial"/>
                <w:spacing w:val="-2"/>
                <w:sz w:val="18"/>
              </w:rPr>
              <w:t>2,359,148,173</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3"/>
              <w:jc w:val="right"/>
              <w:rPr>
                <w:rFonts w:ascii="Arial" w:hAnsi="Arial" w:cs="Arial" w:eastAsia="Arial" w:hint="default"/>
                <w:sz w:val="18"/>
                <w:szCs w:val="18"/>
              </w:rPr>
            </w:pPr>
            <w:r>
              <w:rPr>
                <w:rFonts w:ascii="Arial"/>
                <w:spacing w:val="-2"/>
                <w:sz w:val="18"/>
              </w:rPr>
              <w:t>2,388,327,329</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105"/>
              <w:jc w:val="right"/>
              <w:rPr>
                <w:rFonts w:ascii="Arial" w:hAnsi="Arial" w:cs="Arial" w:eastAsia="Arial" w:hint="default"/>
                <w:sz w:val="18"/>
                <w:szCs w:val="18"/>
              </w:rPr>
            </w:pPr>
            <w:r>
              <w:rPr>
                <w:rFonts w:ascii="Arial"/>
                <w:w w:val="101"/>
                <w:sz w:val="18"/>
              </w:rPr>
              <w:t>-</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105"/>
              <w:jc w:val="right"/>
              <w:rPr>
                <w:rFonts w:ascii="Arial" w:hAnsi="Arial" w:cs="Arial" w:eastAsia="Arial" w:hint="default"/>
                <w:sz w:val="18"/>
                <w:szCs w:val="18"/>
              </w:rPr>
            </w:pPr>
            <w:r>
              <w:rPr>
                <w:rFonts w:ascii="Arial"/>
                <w:w w:val="101"/>
                <w:sz w:val="18"/>
              </w:rPr>
              <w:t>-</w:t>
            </w:r>
            <w:r>
              <w:rPr>
                <w:rFonts w:ascii="Arial"/>
                <w:sz w:val="18"/>
              </w:rPr>
            </w:r>
          </w:p>
        </w:tc>
      </w:tr>
      <w:tr>
        <w:trPr>
          <w:trHeight w:val="264"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22" w:lineRule="exact"/>
              <w:ind w:left="273"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11"/>
              <w:jc w:val="center"/>
              <w:rPr>
                <w:rFonts w:ascii="Arial" w:hAnsi="Arial" w:cs="Arial" w:eastAsia="Arial" w:hint="default"/>
                <w:sz w:val="18"/>
                <w:szCs w:val="18"/>
              </w:rPr>
            </w:pPr>
            <w:r>
              <w:rPr>
                <w:rFonts w:ascii="宋体" w:hAnsi="宋体" w:cs="宋体" w:eastAsia="宋体" w:hint="default"/>
                <w:spacing w:val="-3"/>
                <w:sz w:val="18"/>
                <w:szCs w:val="18"/>
              </w:rPr>
              <w:t>五</w:t>
            </w:r>
            <w:r>
              <w:rPr>
                <w:rFonts w:ascii="Arial" w:hAnsi="Arial" w:cs="Arial" w:eastAsia="Arial" w:hint="default"/>
                <w:spacing w:val="-3"/>
                <w:sz w:val="18"/>
                <w:szCs w:val="18"/>
              </w:rPr>
              <w:t>(8)</w:t>
            </w:r>
            <w:r>
              <w:rPr>
                <w:rFonts w:ascii="Arial" w:hAnsi="Arial" w:cs="Arial" w:eastAsia="Arial" w:hint="default"/>
                <w:sz w:val="18"/>
                <w:szCs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8"/>
              <w:jc w:val="right"/>
              <w:rPr>
                <w:rFonts w:ascii="Arial" w:hAnsi="Arial" w:cs="Arial" w:eastAsia="Arial" w:hint="default"/>
                <w:sz w:val="18"/>
                <w:szCs w:val="18"/>
              </w:rPr>
            </w:pPr>
            <w:r>
              <w:rPr>
                <w:rFonts w:ascii="Arial"/>
                <w:spacing w:val="-2"/>
                <w:sz w:val="18"/>
              </w:rPr>
              <w:t>1,308,225,927</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3"/>
              <w:jc w:val="right"/>
              <w:rPr>
                <w:rFonts w:ascii="Arial" w:hAnsi="Arial" w:cs="Arial" w:eastAsia="Arial" w:hint="default"/>
                <w:sz w:val="18"/>
                <w:szCs w:val="18"/>
              </w:rPr>
            </w:pPr>
            <w:r>
              <w:rPr>
                <w:rFonts w:ascii="Arial"/>
                <w:spacing w:val="-2"/>
                <w:sz w:val="18"/>
              </w:rPr>
              <w:t>1,254,428,639</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105"/>
              <w:jc w:val="right"/>
              <w:rPr>
                <w:rFonts w:ascii="Arial" w:hAnsi="Arial" w:cs="Arial" w:eastAsia="Arial" w:hint="default"/>
                <w:sz w:val="18"/>
                <w:szCs w:val="18"/>
              </w:rPr>
            </w:pPr>
            <w:r>
              <w:rPr>
                <w:rFonts w:ascii="Arial"/>
                <w:w w:val="101"/>
                <w:sz w:val="18"/>
              </w:rPr>
              <w:t>-</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105"/>
              <w:jc w:val="right"/>
              <w:rPr>
                <w:rFonts w:ascii="Arial" w:hAnsi="Arial" w:cs="Arial" w:eastAsia="Arial" w:hint="default"/>
                <w:sz w:val="18"/>
                <w:szCs w:val="18"/>
              </w:rPr>
            </w:pPr>
            <w:r>
              <w:rPr>
                <w:rFonts w:ascii="Arial"/>
                <w:w w:val="101"/>
                <w:sz w:val="18"/>
              </w:rPr>
              <w:t>-</w:t>
            </w:r>
            <w:r>
              <w:rPr>
                <w:rFonts w:ascii="Arial"/>
                <w:sz w:val="18"/>
              </w:rPr>
            </w:r>
          </w:p>
        </w:tc>
      </w:tr>
      <w:tr>
        <w:trPr>
          <w:trHeight w:val="259"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17" w:lineRule="exact"/>
              <w:ind w:left="27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right="11"/>
              <w:jc w:val="center"/>
              <w:rPr>
                <w:rFonts w:ascii="Arial" w:hAnsi="Arial" w:cs="Arial" w:eastAsia="Arial" w:hint="default"/>
                <w:sz w:val="18"/>
                <w:szCs w:val="18"/>
              </w:rPr>
            </w:pPr>
            <w:r>
              <w:rPr>
                <w:rFonts w:ascii="宋体" w:hAnsi="宋体" w:cs="宋体" w:eastAsia="宋体" w:hint="default"/>
                <w:spacing w:val="-3"/>
                <w:sz w:val="18"/>
                <w:szCs w:val="18"/>
              </w:rPr>
              <w:t>五</w:t>
            </w:r>
            <w:r>
              <w:rPr>
                <w:rFonts w:ascii="Arial" w:hAnsi="Arial" w:cs="Arial" w:eastAsia="Arial" w:hint="default"/>
                <w:spacing w:val="-3"/>
                <w:sz w:val="18"/>
                <w:szCs w:val="18"/>
              </w:rPr>
              <w:t>(9)</w:t>
            </w:r>
            <w:r>
              <w:rPr>
                <w:rFonts w:ascii="Arial" w:hAnsi="Arial" w:cs="Arial" w:eastAsia="Arial" w:hint="default"/>
                <w:sz w:val="18"/>
                <w:szCs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3"/>
              <w:jc w:val="right"/>
              <w:rPr>
                <w:rFonts w:ascii="Arial" w:hAnsi="Arial" w:cs="Arial" w:eastAsia="Arial" w:hint="default"/>
                <w:sz w:val="18"/>
                <w:szCs w:val="18"/>
              </w:rPr>
            </w:pPr>
            <w:r>
              <w:rPr>
                <w:rFonts w:ascii="Arial"/>
                <w:spacing w:val="-2"/>
                <w:sz w:val="18"/>
              </w:rPr>
              <w:t>13,451,543,702</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3"/>
              <w:jc w:val="right"/>
              <w:rPr>
                <w:rFonts w:ascii="Arial" w:hAnsi="Arial" w:cs="Arial" w:eastAsia="Arial" w:hint="default"/>
                <w:sz w:val="18"/>
                <w:szCs w:val="18"/>
              </w:rPr>
            </w:pPr>
            <w:r>
              <w:rPr>
                <w:rFonts w:ascii="Arial"/>
                <w:spacing w:val="-2"/>
                <w:sz w:val="18"/>
              </w:rPr>
              <w:t>12,270,983,584</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3"/>
              <w:jc w:val="right"/>
              <w:rPr>
                <w:rFonts w:ascii="Arial" w:hAnsi="Arial" w:cs="Arial" w:eastAsia="Arial" w:hint="default"/>
                <w:sz w:val="18"/>
                <w:szCs w:val="18"/>
              </w:rPr>
            </w:pPr>
            <w:r>
              <w:rPr>
                <w:rFonts w:ascii="Arial"/>
                <w:spacing w:val="-1"/>
                <w:sz w:val="18"/>
              </w:rPr>
              <w:t>4,601,138</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3"/>
              <w:jc w:val="right"/>
              <w:rPr>
                <w:rFonts w:ascii="Arial" w:hAnsi="Arial" w:cs="Arial" w:eastAsia="Arial" w:hint="default"/>
                <w:sz w:val="18"/>
                <w:szCs w:val="18"/>
              </w:rPr>
            </w:pPr>
            <w:r>
              <w:rPr>
                <w:rFonts w:ascii="Arial"/>
                <w:spacing w:val="-1"/>
                <w:sz w:val="18"/>
              </w:rPr>
              <w:t>11,377,481</w:t>
            </w:r>
            <w:r>
              <w:rPr>
                <w:rFonts w:ascii="Arial"/>
                <w:sz w:val="18"/>
              </w:rPr>
            </w:r>
          </w:p>
        </w:tc>
      </w:tr>
      <w:tr>
        <w:trPr>
          <w:trHeight w:val="264"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22" w:lineRule="exact"/>
              <w:ind w:left="9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710"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3"/>
              <w:jc w:val="right"/>
              <w:rPr>
                <w:rFonts w:ascii="Arial" w:hAnsi="Arial" w:cs="Arial" w:eastAsia="Arial" w:hint="default"/>
                <w:sz w:val="18"/>
                <w:szCs w:val="18"/>
              </w:rPr>
            </w:pPr>
            <w:r>
              <w:rPr>
                <w:rFonts w:ascii="Arial"/>
                <w:spacing w:val="-2"/>
                <w:sz w:val="18"/>
              </w:rPr>
              <w:t>83,603,850,121</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3"/>
              <w:jc w:val="right"/>
              <w:rPr>
                <w:rFonts w:ascii="Arial" w:hAnsi="Arial" w:cs="Arial" w:eastAsia="Arial" w:hint="default"/>
                <w:sz w:val="18"/>
                <w:szCs w:val="18"/>
              </w:rPr>
            </w:pPr>
            <w:r>
              <w:rPr>
                <w:rFonts w:ascii="Arial"/>
                <w:spacing w:val="-2"/>
                <w:sz w:val="18"/>
              </w:rPr>
              <w:t>75,924,546,766</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8"/>
              <w:jc w:val="right"/>
              <w:rPr>
                <w:rFonts w:ascii="Arial" w:hAnsi="Arial" w:cs="Arial" w:eastAsia="Arial" w:hint="default"/>
                <w:sz w:val="18"/>
                <w:szCs w:val="18"/>
              </w:rPr>
            </w:pPr>
            <w:r>
              <w:rPr>
                <w:rFonts w:ascii="Arial"/>
                <w:spacing w:val="-2"/>
                <w:sz w:val="18"/>
              </w:rPr>
              <w:t>1,436,249,752</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3"/>
              <w:jc w:val="right"/>
              <w:rPr>
                <w:rFonts w:ascii="Arial" w:hAnsi="Arial" w:cs="Arial" w:eastAsia="Arial" w:hint="default"/>
                <w:sz w:val="18"/>
                <w:szCs w:val="18"/>
              </w:rPr>
            </w:pPr>
            <w:r>
              <w:rPr>
                <w:rFonts w:ascii="Arial"/>
                <w:spacing w:val="-2"/>
                <w:sz w:val="18"/>
              </w:rPr>
              <w:t>1,198,707,384</w:t>
            </w:r>
            <w:r>
              <w:rPr>
                <w:rFonts w:ascii="Arial"/>
                <w:sz w:val="18"/>
              </w:rPr>
            </w:r>
          </w:p>
        </w:tc>
      </w:tr>
      <w:tr>
        <w:trPr>
          <w:trHeight w:val="264" w:hRule="exact"/>
        </w:trPr>
        <w:tc>
          <w:tcPr>
            <w:tcW w:w="2117" w:type="dxa"/>
            <w:tcBorders>
              <w:top w:val="single" w:sz="6" w:space="0" w:color="000000"/>
              <w:left w:val="single" w:sz="6" w:space="0" w:color="000000"/>
              <w:bottom w:val="single" w:sz="6" w:space="0" w:color="000000"/>
              <w:right w:val="single" w:sz="6" w:space="0" w:color="000000"/>
            </w:tcBorders>
          </w:tcPr>
          <w:p>
            <w:pPr/>
          </w:p>
        </w:tc>
        <w:tc>
          <w:tcPr>
            <w:tcW w:w="710"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
        </w:tc>
        <w:tc>
          <w:tcPr>
            <w:tcW w:w="1704"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
        </w:tc>
      </w:tr>
      <w:tr>
        <w:trPr>
          <w:trHeight w:val="259"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17" w:lineRule="exact"/>
              <w:ind w:left="91" w:right="0"/>
              <w:jc w:val="left"/>
              <w:rPr>
                <w:rFonts w:ascii="宋体" w:hAnsi="宋体" w:cs="宋体" w:eastAsia="宋体" w:hint="default"/>
                <w:sz w:val="18"/>
                <w:szCs w:val="18"/>
              </w:rPr>
            </w:pPr>
            <w:r>
              <w:rPr>
                <w:rFonts w:ascii="宋体" w:hAnsi="宋体" w:cs="宋体" w:eastAsia="宋体" w:hint="default"/>
                <w:spacing w:val="-3"/>
                <w:sz w:val="18"/>
                <w:szCs w:val="18"/>
              </w:rPr>
              <w:t>非流动资产</w:t>
            </w:r>
            <w:r>
              <w:rPr>
                <w:rFonts w:ascii="宋体" w:hAnsi="宋体" w:cs="宋体" w:eastAsia="宋体" w:hint="default"/>
                <w:sz w:val="18"/>
                <w:szCs w:val="18"/>
              </w:rPr>
            </w:r>
          </w:p>
        </w:tc>
        <w:tc>
          <w:tcPr>
            <w:tcW w:w="710"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
        </w:tc>
        <w:tc>
          <w:tcPr>
            <w:tcW w:w="1704"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
        </w:tc>
      </w:tr>
      <w:tr>
        <w:trPr>
          <w:trHeight w:val="264"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22" w:lineRule="exact"/>
              <w:ind w:left="273" w:right="0"/>
              <w:jc w:val="left"/>
              <w:rPr>
                <w:rFonts w:ascii="宋体" w:hAnsi="宋体" w:cs="宋体" w:eastAsia="宋体" w:hint="default"/>
                <w:sz w:val="18"/>
                <w:szCs w:val="18"/>
              </w:rPr>
            </w:pPr>
            <w:r>
              <w:rPr>
                <w:rFonts w:ascii="宋体" w:hAnsi="宋体" w:cs="宋体" w:eastAsia="宋体" w:hint="default"/>
                <w:spacing w:val="-3"/>
                <w:sz w:val="18"/>
                <w:szCs w:val="18"/>
              </w:rPr>
              <w:t>长期应收款</w:t>
            </w:r>
            <w:r>
              <w:rPr>
                <w:rFonts w:ascii="宋体" w:hAnsi="宋体" w:cs="宋体" w:eastAsia="宋体" w:hint="default"/>
                <w:sz w:val="18"/>
                <w:szCs w:val="18"/>
              </w:rPr>
            </w:r>
          </w:p>
        </w:tc>
        <w:tc>
          <w:tcPr>
            <w:tcW w:w="710"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3"/>
              <w:jc w:val="right"/>
              <w:rPr>
                <w:rFonts w:ascii="Arial" w:hAnsi="Arial" w:cs="Arial" w:eastAsia="Arial" w:hint="default"/>
                <w:sz w:val="18"/>
                <w:szCs w:val="18"/>
              </w:rPr>
            </w:pPr>
            <w:r>
              <w:rPr>
                <w:rFonts w:ascii="Arial"/>
                <w:spacing w:val="-1"/>
                <w:sz w:val="18"/>
              </w:rPr>
              <w:t>262,717,275</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3"/>
              <w:jc w:val="right"/>
              <w:rPr>
                <w:rFonts w:ascii="Arial" w:hAnsi="Arial" w:cs="Arial" w:eastAsia="Arial" w:hint="default"/>
                <w:sz w:val="18"/>
                <w:szCs w:val="18"/>
              </w:rPr>
            </w:pPr>
            <w:r>
              <w:rPr>
                <w:rFonts w:ascii="Arial"/>
                <w:spacing w:val="-1"/>
                <w:sz w:val="18"/>
              </w:rPr>
              <w:t>79,345,065</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5"/>
              <w:jc w:val="right"/>
              <w:rPr>
                <w:rFonts w:ascii="Arial" w:hAnsi="Arial" w:cs="Arial" w:eastAsia="Arial" w:hint="default"/>
                <w:sz w:val="18"/>
                <w:szCs w:val="18"/>
              </w:rPr>
            </w:pPr>
            <w:r>
              <w:rPr>
                <w:rFonts w:ascii="Arial"/>
                <w:w w:val="101"/>
                <w:sz w:val="18"/>
              </w:rPr>
              <w:t>-</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5"/>
              <w:jc w:val="right"/>
              <w:rPr>
                <w:rFonts w:ascii="Arial" w:hAnsi="Arial" w:cs="Arial" w:eastAsia="Arial" w:hint="default"/>
                <w:sz w:val="18"/>
                <w:szCs w:val="18"/>
              </w:rPr>
            </w:pPr>
            <w:r>
              <w:rPr>
                <w:rFonts w:ascii="Arial"/>
                <w:w w:val="101"/>
                <w:sz w:val="18"/>
              </w:rPr>
              <w:t>-</w:t>
            </w:r>
            <w:r>
              <w:rPr>
                <w:rFonts w:ascii="Arial"/>
                <w:sz w:val="18"/>
              </w:rPr>
            </w:r>
          </w:p>
        </w:tc>
      </w:tr>
      <w:tr>
        <w:trPr>
          <w:trHeight w:val="523"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8"/>
                <w:szCs w:val="18"/>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2" w:lineRule="exact" w:before="10"/>
              <w:ind w:left="86" w:right="0"/>
              <w:jc w:val="left"/>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(10),</w:t>
            </w:r>
          </w:p>
          <w:p>
            <w:pPr>
              <w:pStyle w:val="TableParagraph"/>
              <w:spacing w:line="242" w:lineRule="exact"/>
              <w:ind w:left="52" w:right="0"/>
              <w:jc w:val="left"/>
              <w:rPr>
                <w:rFonts w:ascii="Arial" w:hAnsi="Arial" w:cs="Arial" w:eastAsia="Arial" w:hint="default"/>
                <w:sz w:val="18"/>
                <w:szCs w:val="18"/>
              </w:rPr>
            </w:pPr>
            <w:r>
              <w:rPr>
                <w:rFonts w:ascii="宋体" w:hAnsi="宋体" w:cs="宋体" w:eastAsia="宋体" w:hint="default"/>
                <w:sz w:val="18"/>
                <w:szCs w:val="18"/>
              </w:rPr>
              <w:t>十五</w:t>
            </w:r>
            <w:r>
              <w:rPr>
                <w:rFonts w:ascii="Arial" w:hAnsi="Arial" w:cs="Arial" w:eastAsia="Arial" w:hint="default"/>
                <w:sz w:val="18"/>
                <w:szCs w:val="18"/>
              </w:rPr>
              <w:t>(3)</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3"/>
                <w:szCs w:val="23"/>
              </w:rPr>
            </w:pPr>
          </w:p>
          <w:p>
            <w:pPr>
              <w:pStyle w:val="TableParagraph"/>
              <w:spacing w:line="240" w:lineRule="auto"/>
              <w:ind w:right="93"/>
              <w:jc w:val="right"/>
              <w:rPr>
                <w:rFonts w:ascii="Arial" w:hAnsi="Arial" w:cs="Arial" w:eastAsia="Arial" w:hint="default"/>
                <w:sz w:val="18"/>
                <w:szCs w:val="18"/>
              </w:rPr>
            </w:pPr>
            <w:r>
              <w:rPr>
                <w:rFonts w:ascii="Arial"/>
                <w:spacing w:val="-2"/>
                <w:sz w:val="18"/>
              </w:rPr>
              <w:t>41,216,417,882</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3"/>
                <w:szCs w:val="23"/>
              </w:rPr>
            </w:pPr>
          </w:p>
          <w:p>
            <w:pPr>
              <w:pStyle w:val="TableParagraph"/>
              <w:spacing w:line="240" w:lineRule="auto"/>
              <w:ind w:right="93"/>
              <w:jc w:val="right"/>
              <w:rPr>
                <w:rFonts w:ascii="Arial" w:hAnsi="Arial" w:cs="Arial" w:eastAsia="Arial" w:hint="default"/>
                <w:sz w:val="18"/>
                <w:szCs w:val="18"/>
              </w:rPr>
            </w:pPr>
            <w:r>
              <w:rPr>
                <w:rFonts w:ascii="Arial"/>
                <w:spacing w:val="-2"/>
                <w:sz w:val="18"/>
              </w:rPr>
              <w:t>39,723,875,225</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3"/>
                <w:szCs w:val="23"/>
              </w:rPr>
            </w:pPr>
          </w:p>
          <w:p>
            <w:pPr>
              <w:pStyle w:val="TableParagraph"/>
              <w:spacing w:line="240" w:lineRule="auto"/>
              <w:ind w:right="97"/>
              <w:jc w:val="right"/>
              <w:rPr>
                <w:rFonts w:ascii="Arial" w:hAnsi="Arial" w:cs="Arial" w:eastAsia="Arial" w:hint="default"/>
                <w:sz w:val="18"/>
                <w:szCs w:val="18"/>
              </w:rPr>
            </w:pPr>
            <w:r>
              <w:rPr>
                <w:rFonts w:ascii="Arial"/>
                <w:spacing w:val="-2"/>
                <w:sz w:val="18"/>
              </w:rPr>
              <w:t>101,256,848,479</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3"/>
                <w:szCs w:val="23"/>
              </w:rPr>
            </w:pPr>
          </w:p>
          <w:p>
            <w:pPr>
              <w:pStyle w:val="TableParagraph"/>
              <w:spacing w:line="240" w:lineRule="auto"/>
              <w:ind w:right="92"/>
              <w:jc w:val="right"/>
              <w:rPr>
                <w:rFonts w:ascii="Arial" w:hAnsi="Arial" w:cs="Arial" w:eastAsia="Arial" w:hint="default"/>
                <w:sz w:val="18"/>
                <w:szCs w:val="18"/>
              </w:rPr>
            </w:pPr>
            <w:r>
              <w:rPr>
                <w:rFonts w:ascii="Arial"/>
                <w:spacing w:val="-2"/>
                <w:sz w:val="18"/>
              </w:rPr>
              <w:t>100,686,178,479</w:t>
            </w:r>
          </w:p>
        </w:tc>
      </w:tr>
      <w:tr>
        <w:trPr>
          <w:trHeight w:val="264"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22" w:lineRule="exact"/>
              <w:ind w:left="273"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1"/>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(11)</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8"/>
              <w:jc w:val="right"/>
              <w:rPr>
                <w:rFonts w:ascii="Arial" w:hAnsi="Arial" w:cs="Arial" w:eastAsia="Arial" w:hint="default"/>
                <w:sz w:val="18"/>
                <w:szCs w:val="18"/>
              </w:rPr>
            </w:pPr>
            <w:r>
              <w:rPr>
                <w:rFonts w:ascii="Arial"/>
                <w:spacing w:val="-2"/>
                <w:sz w:val="18"/>
              </w:rPr>
              <w:t>3,323,130,688</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3"/>
              <w:jc w:val="right"/>
              <w:rPr>
                <w:rFonts w:ascii="Arial" w:hAnsi="Arial" w:cs="Arial" w:eastAsia="Arial" w:hint="default"/>
                <w:sz w:val="18"/>
                <w:szCs w:val="18"/>
              </w:rPr>
            </w:pPr>
            <w:r>
              <w:rPr>
                <w:rFonts w:ascii="Arial"/>
                <w:spacing w:val="-2"/>
                <w:sz w:val="18"/>
              </w:rPr>
              <w:t>3,902,894,983</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105"/>
              <w:jc w:val="right"/>
              <w:rPr>
                <w:rFonts w:ascii="Arial" w:hAnsi="Arial" w:cs="Arial" w:eastAsia="Arial" w:hint="default"/>
                <w:sz w:val="18"/>
                <w:szCs w:val="18"/>
              </w:rPr>
            </w:pPr>
            <w:r>
              <w:rPr>
                <w:rFonts w:ascii="Arial"/>
                <w:w w:val="101"/>
                <w:sz w:val="18"/>
              </w:rPr>
              <w:t>-</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105"/>
              <w:jc w:val="right"/>
              <w:rPr>
                <w:rFonts w:ascii="Arial" w:hAnsi="Arial" w:cs="Arial" w:eastAsia="Arial" w:hint="default"/>
                <w:sz w:val="18"/>
                <w:szCs w:val="18"/>
              </w:rPr>
            </w:pPr>
            <w:r>
              <w:rPr>
                <w:rFonts w:ascii="Arial"/>
                <w:w w:val="101"/>
                <w:sz w:val="18"/>
              </w:rPr>
              <w:t>-</w:t>
            </w:r>
            <w:r>
              <w:rPr>
                <w:rFonts w:ascii="Arial"/>
                <w:sz w:val="18"/>
              </w:rPr>
            </w:r>
          </w:p>
        </w:tc>
      </w:tr>
      <w:tr>
        <w:trPr>
          <w:trHeight w:val="259"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17" w:lineRule="exact"/>
              <w:ind w:left="273" w:right="0"/>
              <w:jc w:val="left"/>
              <w:rPr>
                <w:rFonts w:ascii="宋体" w:hAnsi="宋体" w:cs="宋体" w:eastAsia="宋体" w:hint="default"/>
                <w:sz w:val="18"/>
                <w:szCs w:val="18"/>
              </w:rPr>
            </w:pPr>
            <w:r>
              <w:rPr>
                <w:rFonts w:ascii="宋体" w:hAnsi="宋体" w:cs="宋体" w:eastAsia="宋体" w:hint="default"/>
                <w:spacing w:val="-3"/>
                <w:sz w:val="18"/>
                <w:szCs w:val="18"/>
              </w:rPr>
              <w:t>其他非流动金融资产</w:t>
            </w:r>
            <w:r>
              <w:rPr>
                <w:rFonts w:ascii="宋体" w:hAnsi="宋体" w:cs="宋体" w:eastAsia="宋体" w:hint="default"/>
                <w:sz w:val="18"/>
                <w:szCs w:val="18"/>
              </w:rPr>
            </w:r>
          </w:p>
        </w:tc>
        <w:tc>
          <w:tcPr>
            <w:tcW w:w="710"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3"/>
              <w:jc w:val="right"/>
              <w:rPr>
                <w:rFonts w:ascii="Arial" w:hAnsi="Arial" w:cs="Arial" w:eastAsia="Arial" w:hint="default"/>
                <w:sz w:val="18"/>
                <w:szCs w:val="18"/>
              </w:rPr>
            </w:pPr>
            <w:r>
              <w:rPr>
                <w:rFonts w:ascii="Arial"/>
                <w:spacing w:val="-1"/>
                <w:sz w:val="18"/>
              </w:rPr>
              <w:t>568,316,711</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5"/>
              <w:jc w:val="right"/>
              <w:rPr>
                <w:rFonts w:ascii="Arial" w:hAnsi="Arial" w:cs="Arial" w:eastAsia="Arial" w:hint="default"/>
                <w:sz w:val="18"/>
                <w:szCs w:val="18"/>
              </w:rPr>
            </w:pPr>
            <w:r>
              <w:rPr>
                <w:rFonts w:ascii="Arial"/>
                <w:w w:val="101"/>
                <w:sz w:val="18"/>
              </w:rPr>
              <w:t>-</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105"/>
              <w:jc w:val="right"/>
              <w:rPr>
                <w:rFonts w:ascii="Arial" w:hAnsi="Arial" w:cs="Arial" w:eastAsia="Arial" w:hint="default"/>
                <w:sz w:val="18"/>
                <w:szCs w:val="18"/>
              </w:rPr>
            </w:pPr>
            <w:r>
              <w:rPr>
                <w:rFonts w:ascii="Arial"/>
                <w:w w:val="101"/>
                <w:sz w:val="18"/>
              </w:rPr>
              <w:t>-</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105"/>
              <w:jc w:val="right"/>
              <w:rPr>
                <w:rFonts w:ascii="Arial" w:hAnsi="Arial" w:cs="Arial" w:eastAsia="Arial" w:hint="default"/>
                <w:sz w:val="18"/>
                <w:szCs w:val="18"/>
              </w:rPr>
            </w:pPr>
            <w:r>
              <w:rPr>
                <w:rFonts w:ascii="Arial"/>
                <w:w w:val="101"/>
                <w:sz w:val="18"/>
              </w:rPr>
              <w:t>-</w:t>
            </w:r>
            <w:r>
              <w:rPr>
                <w:rFonts w:ascii="Arial"/>
                <w:sz w:val="18"/>
              </w:rPr>
            </w:r>
          </w:p>
        </w:tc>
      </w:tr>
      <w:tr>
        <w:trPr>
          <w:trHeight w:val="264"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22" w:lineRule="exact"/>
              <w:ind w:left="27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1"/>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(12)</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7"/>
              <w:jc w:val="right"/>
              <w:rPr>
                <w:rFonts w:ascii="Arial" w:hAnsi="Arial" w:cs="Arial" w:eastAsia="Arial" w:hint="default"/>
                <w:sz w:val="18"/>
                <w:szCs w:val="18"/>
              </w:rPr>
            </w:pPr>
            <w:r>
              <w:rPr>
                <w:rFonts w:ascii="Arial"/>
                <w:spacing w:val="-2"/>
                <w:sz w:val="18"/>
              </w:rPr>
              <w:t>312,533,736,358</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2"/>
              <w:jc w:val="right"/>
              <w:rPr>
                <w:rFonts w:ascii="Arial" w:hAnsi="Arial" w:cs="Arial" w:eastAsia="Arial" w:hint="default"/>
                <w:sz w:val="18"/>
                <w:szCs w:val="18"/>
              </w:rPr>
            </w:pPr>
            <w:r>
              <w:rPr>
                <w:rFonts w:ascii="Arial"/>
                <w:spacing w:val="-2"/>
                <w:sz w:val="18"/>
              </w:rPr>
              <w:t>341,452,644,261</w:t>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3"/>
              <w:jc w:val="right"/>
              <w:rPr>
                <w:rFonts w:ascii="Arial" w:hAnsi="Arial" w:cs="Arial" w:eastAsia="Arial" w:hint="default"/>
                <w:sz w:val="18"/>
                <w:szCs w:val="18"/>
              </w:rPr>
            </w:pPr>
            <w:r>
              <w:rPr>
                <w:rFonts w:ascii="Arial"/>
                <w:spacing w:val="-1"/>
                <w:sz w:val="18"/>
              </w:rPr>
              <w:t>3,801,947</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3"/>
              <w:jc w:val="right"/>
              <w:rPr>
                <w:rFonts w:ascii="Arial" w:hAnsi="Arial" w:cs="Arial" w:eastAsia="Arial" w:hint="default"/>
                <w:sz w:val="18"/>
                <w:szCs w:val="18"/>
              </w:rPr>
            </w:pPr>
            <w:r>
              <w:rPr>
                <w:rFonts w:ascii="Arial"/>
                <w:spacing w:val="-1"/>
                <w:sz w:val="18"/>
              </w:rPr>
              <w:t>4,032,563</w:t>
            </w:r>
            <w:r>
              <w:rPr>
                <w:rFonts w:ascii="Arial"/>
                <w:sz w:val="18"/>
              </w:rPr>
            </w:r>
          </w:p>
        </w:tc>
      </w:tr>
      <w:tr>
        <w:trPr>
          <w:trHeight w:val="259"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17" w:lineRule="exact"/>
              <w:ind w:left="27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right="1"/>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(13)</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3"/>
              <w:jc w:val="right"/>
              <w:rPr>
                <w:rFonts w:ascii="Arial" w:hAnsi="Arial" w:cs="Arial" w:eastAsia="Arial" w:hint="default"/>
                <w:sz w:val="18"/>
                <w:szCs w:val="18"/>
              </w:rPr>
            </w:pPr>
            <w:r>
              <w:rPr>
                <w:rFonts w:ascii="Arial"/>
                <w:spacing w:val="-2"/>
                <w:sz w:val="18"/>
              </w:rPr>
              <w:t>53,464,962,586</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3"/>
              <w:jc w:val="right"/>
              <w:rPr>
                <w:rFonts w:ascii="Arial" w:hAnsi="Arial" w:cs="Arial" w:eastAsia="Arial" w:hint="default"/>
                <w:sz w:val="18"/>
                <w:szCs w:val="18"/>
              </w:rPr>
            </w:pPr>
            <w:r>
              <w:rPr>
                <w:rFonts w:ascii="Arial"/>
                <w:spacing w:val="-2"/>
                <w:sz w:val="18"/>
              </w:rPr>
              <w:t>41,729,162,608</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105"/>
              <w:jc w:val="right"/>
              <w:rPr>
                <w:rFonts w:ascii="Arial" w:hAnsi="Arial" w:cs="Arial" w:eastAsia="Arial" w:hint="default"/>
                <w:sz w:val="18"/>
                <w:szCs w:val="18"/>
              </w:rPr>
            </w:pPr>
            <w:r>
              <w:rPr>
                <w:rFonts w:ascii="Arial"/>
                <w:w w:val="101"/>
                <w:sz w:val="18"/>
              </w:rPr>
              <w:t>-</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105"/>
              <w:jc w:val="right"/>
              <w:rPr>
                <w:rFonts w:ascii="Arial" w:hAnsi="Arial" w:cs="Arial" w:eastAsia="Arial" w:hint="default"/>
                <w:sz w:val="18"/>
                <w:szCs w:val="18"/>
              </w:rPr>
            </w:pPr>
            <w:r>
              <w:rPr>
                <w:rFonts w:ascii="Arial"/>
                <w:w w:val="101"/>
                <w:sz w:val="18"/>
              </w:rPr>
              <w:t>-</w:t>
            </w:r>
            <w:r>
              <w:rPr>
                <w:rFonts w:ascii="Arial"/>
                <w:sz w:val="18"/>
              </w:rPr>
            </w:r>
          </w:p>
        </w:tc>
      </w:tr>
      <w:tr>
        <w:trPr>
          <w:trHeight w:val="264"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22" w:lineRule="exact"/>
              <w:ind w:left="273" w:right="0"/>
              <w:jc w:val="left"/>
              <w:rPr>
                <w:rFonts w:ascii="宋体" w:hAnsi="宋体" w:cs="宋体" w:eastAsia="宋体" w:hint="default"/>
                <w:sz w:val="18"/>
                <w:szCs w:val="18"/>
              </w:rPr>
            </w:pPr>
            <w:r>
              <w:rPr>
                <w:rFonts w:ascii="宋体" w:hAnsi="宋体" w:cs="宋体" w:eastAsia="宋体" w:hint="default"/>
                <w:spacing w:val="-3"/>
                <w:sz w:val="18"/>
                <w:szCs w:val="18"/>
              </w:rPr>
              <w:t>使用权资产</w:t>
            </w:r>
            <w:r>
              <w:rPr>
                <w:rFonts w:ascii="宋体" w:hAnsi="宋体" w:cs="宋体" w:eastAsia="宋体" w:hint="default"/>
                <w:sz w:val="18"/>
                <w:szCs w:val="18"/>
              </w:rPr>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1"/>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(53)</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3"/>
              <w:jc w:val="right"/>
              <w:rPr>
                <w:rFonts w:ascii="Arial" w:hAnsi="Arial" w:cs="Arial" w:eastAsia="Arial" w:hint="default"/>
                <w:sz w:val="18"/>
                <w:szCs w:val="18"/>
              </w:rPr>
            </w:pPr>
            <w:r>
              <w:rPr>
                <w:rFonts w:ascii="Arial"/>
                <w:spacing w:val="-2"/>
                <w:sz w:val="18"/>
              </w:rPr>
              <w:t>33,900,554,955</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22" w:lineRule="exact"/>
              <w:ind w:right="98"/>
              <w:jc w:val="right"/>
              <w:rPr>
                <w:rFonts w:ascii="宋体" w:hAnsi="宋体" w:cs="宋体" w:eastAsia="宋体" w:hint="default"/>
                <w:sz w:val="18"/>
                <w:szCs w:val="18"/>
              </w:rPr>
            </w:pPr>
            <w:r>
              <w:rPr>
                <w:rFonts w:ascii="宋体" w:hAnsi="宋体" w:cs="宋体" w:eastAsia="宋体" w:hint="default"/>
                <w:spacing w:val="-4"/>
                <w:sz w:val="18"/>
                <w:szCs w:val="18"/>
              </w:rPr>
              <w:t>不适用</w:t>
            </w:r>
            <w:r>
              <w:rPr>
                <w:rFonts w:ascii="宋体" w:hAnsi="宋体" w:cs="宋体" w:eastAsia="宋体" w:hint="default"/>
                <w:sz w:val="18"/>
                <w:szCs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105"/>
              <w:jc w:val="right"/>
              <w:rPr>
                <w:rFonts w:ascii="Arial" w:hAnsi="Arial" w:cs="Arial" w:eastAsia="Arial" w:hint="default"/>
                <w:sz w:val="18"/>
                <w:szCs w:val="18"/>
              </w:rPr>
            </w:pPr>
            <w:r>
              <w:rPr>
                <w:rFonts w:ascii="Arial"/>
                <w:w w:val="101"/>
                <w:sz w:val="18"/>
              </w:rPr>
              <w:t>-</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22" w:lineRule="exact"/>
              <w:ind w:right="108"/>
              <w:jc w:val="right"/>
              <w:rPr>
                <w:rFonts w:ascii="宋体" w:hAnsi="宋体" w:cs="宋体" w:eastAsia="宋体" w:hint="default"/>
                <w:sz w:val="18"/>
                <w:szCs w:val="18"/>
              </w:rPr>
            </w:pPr>
            <w:r>
              <w:rPr>
                <w:rFonts w:ascii="宋体" w:hAnsi="宋体" w:cs="宋体" w:eastAsia="宋体" w:hint="default"/>
                <w:spacing w:val="-4"/>
                <w:sz w:val="18"/>
                <w:szCs w:val="18"/>
              </w:rPr>
              <w:t>不适用</w:t>
            </w:r>
            <w:r>
              <w:rPr>
                <w:rFonts w:ascii="宋体" w:hAnsi="宋体" w:cs="宋体" w:eastAsia="宋体" w:hint="default"/>
                <w:sz w:val="18"/>
                <w:szCs w:val="18"/>
              </w:rPr>
            </w:r>
          </w:p>
        </w:tc>
      </w:tr>
      <w:tr>
        <w:trPr>
          <w:trHeight w:val="259"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17" w:lineRule="exact"/>
              <w:ind w:left="27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right="1"/>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(14)</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3"/>
              <w:jc w:val="right"/>
              <w:rPr>
                <w:rFonts w:ascii="Arial" w:hAnsi="Arial" w:cs="Arial" w:eastAsia="Arial" w:hint="default"/>
                <w:sz w:val="18"/>
                <w:szCs w:val="18"/>
              </w:rPr>
            </w:pPr>
            <w:r>
              <w:rPr>
                <w:rFonts w:ascii="Arial"/>
                <w:spacing w:val="-2"/>
                <w:sz w:val="18"/>
              </w:rPr>
              <w:t>25,746,168,495</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3"/>
              <w:jc w:val="right"/>
              <w:rPr>
                <w:rFonts w:ascii="Arial" w:hAnsi="Arial" w:cs="Arial" w:eastAsia="Arial" w:hint="default"/>
                <w:sz w:val="18"/>
                <w:szCs w:val="18"/>
              </w:rPr>
            </w:pPr>
            <w:r>
              <w:rPr>
                <w:rFonts w:ascii="Arial"/>
                <w:spacing w:val="-2"/>
                <w:sz w:val="18"/>
              </w:rPr>
              <w:t>25,884,163,079</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3"/>
              <w:jc w:val="right"/>
              <w:rPr>
                <w:rFonts w:ascii="Arial" w:hAnsi="Arial" w:cs="Arial" w:eastAsia="Arial" w:hint="default"/>
                <w:sz w:val="18"/>
                <w:szCs w:val="18"/>
              </w:rPr>
            </w:pPr>
            <w:r>
              <w:rPr>
                <w:rFonts w:ascii="Arial"/>
                <w:spacing w:val="-1"/>
                <w:sz w:val="18"/>
              </w:rPr>
              <w:t>8,764,590</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3"/>
              <w:jc w:val="right"/>
              <w:rPr>
                <w:rFonts w:ascii="Arial" w:hAnsi="Arial" w:cs="Arial" w:eastAsia="Arial" w:hint="default"/>
                <w:sz w:val="18"/>
                <w:szCs w:val="18"/>
              </w:rPr>
            </w:pPr>
            <w:r>
              <w:rPr>
                <w:rFonts w:ascii="Arial"/>
                <w:spacing w:val="-1"/>
                <w:sz w:val="18"/>
              </w:rPr>
              <w:t>9,013,231</w:t>
            </w:r>
            <w:r>
              <w:rPr>
                <w:rFonts w:ascii="Arial"/>
                <w:sz w:val="18"/>
              </w:rPr>
            </w:r>
          </w:p>
        </w:tc>
      </w:tr>
      <w:tr>
        <w:trPr>
          <w:trHeight w:val="264"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22" w:lineRule="exact"/>
              <w:ind w:left="27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710"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3"/>
              <w:jc w:val="right"/>
              <w:rPr>
                <w:rFonts w:ascii="Arial" w:hAnsi="Arial" w:cs="Arial" w:eastAsia="Arial" w:hint="default"/>
                <w:sz w:val="18"/>
                <w:szCs w:val="18"/>
              </w:rPr>
            </w:pPr>
            <w:r>
              <w:rPr>
                <w:rFonts w:ascii="Arial"/>
                <w:spacing w:val="-1"/>
                <w:sz w:val="18"/>
              </w:rPr>
              <w:t>678,243,878</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3"/>
              <w:jc w:val="right"/>
              <w:rPr>
                <w:rFonts w:ascii="Arial" w:hAnsi="Arial" w:cs="Arial" w:eastAsia="Arial" w:hint="default"/>
                <w:sz w:val="18"/>
                <w:szCs w:val="18"/>
              </w:rPr>
            </w:pPr>
            <w:r>
              <w:rPr>
                <w:rFonts w:ascii="Arial"/>
                <w:spacing w:val="-1"/>
                <w:sz w:val="18"/>
              </w:rPr>
              <w:t>462,476,394</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105"/>
              <w:jc w:val="right"/>
              <w:rPr>
                <w:rFonts w:ascii="Arial" w:hAnsi="Arial" w:cs="Arial" w:eastAsia="Arial" w:hint="default"/>
                <w:sz w:val="18"/>
                <w:szCs w:val="18"/>
              </w:rPr>
            </w:pPr>
            <w:r>
              <w:rPr>
                <w:rFonts w:ascii="Arial"/>
                <w:w w:val="101"/>
                <w:sz w:val="18"/>
              </w:rPr>
              <w:t>-</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105"/>
              <w:jc w:val="right"/>
              <w:rPr>
                <w:rFonts w:ascii="Arial" w:hAnsi="Arial" w:cs="Arial" w:eastAsia="Arial" w:hint="default"/>
                <w:sz w:val="18"/>
                <w:szCs w:val="18"/>
              </w:rPr>
            </w:pPr>
            <w:r>
              <w:rPr>
                <w:rFonts w:ascii="Arial"/>
                <w:w w:val="101"/>
                <w:sz w:val="18"/>
              </w:rPr>
              <w:t>-</w:t>
            </w:r>
            <w:r>
              <w:rPr>
                <w:rFonts w:ascii="Arial"/>
                <w:sz w:val="18"/>
              </w:rPr>
            </w:r>
          </w:p>
        </w:tc>
      </w:tr>
      <w:tr>
        <w:trPr>
          <w:trHeight w:val="264"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22" w:lineRule="exact"/>
              <w:ind w:left="27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1"/>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(15)</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8"/>
              <w:jc w:val="right"/>
              <w:rPr>
                <w:rFonts w:ascii="Arial" w:hAnsi="Arial" w:cs="Arial" w:eastAsia="Arial" w:hint="default"/>
                <w:sz w:val="18"/>
                <w:szCs w:val="18"/>
              </w:rPr>
            </w:pPr>
            <w:r>
              <w:rPr>
                <w:rFonts w:ascii="Arial"/>
                <w:spacing w:val="-2"/>
                <w:sz w:val="18"/>
              </w:rPr>
              <w:t>2,439,942,449</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3"/>
              <w:jc w:val="right"/>
              <w:rPr>
                <w:rFonts w:ascii="Arial" w:hAnsi="Arial" w:cs="Arial" w:eastAsia="Arial" w:hint="default"/>
                <w:sz w:val="18"/>
                <w:szCs w:val="18"/>
              </w:rPr>
            </w:pPr>
            <w:r>
              <w:rPr>
                <w:rFonts w:ascii="Arial"/>
                <w:spacing w:val="-2"/>
                <w:sz w:val="18"/>
              </w:rPr>
              <w:t>3,929,093,283</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105"/>
              <w:jc w:val="right"/>
              <w:rPr>
                <w:rFonts w:ascii="Arial" w:hAnsi="Arial" w:cs="Arial" w:eastAsia="Arial" w:hint="default"/>
                <w:sz w:val="18"/>
                <w:szCs w:val="18"/>
              </w:rPr>
            </w:pPr>
            <w:r>
              <w:rPr>
                <w:rFonts w:ascii="Arial"/>
                <w:w w:val="101"/>
                <w:sz w:val="18"/>
              </w:rPr>
              <w:t>-</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105"/>
              <w:jc w:val="right"/>
              <w:rPr>
                <w:rFonts w:ascii="Arial" w:hAnsi="Arial" w:cs="Arial" w:eastAsia="Arial" w:hint="default"/>
                <w:sz w:val="18"/>
                <w:szCs w:val="18"/>
              </w:rPr>
            </w:pPr>
            <w:r>
              <w:rPr>
                <w:rFonts w:ascii="Arial"/>
                <w:w w:val="101"/>
                <w:sz w:val="18"/>
              </w:rPr>
              <w:t>-</w:t>
            </w:r>
            <w:r>
              <w:rPr>
                <w:rFonts w:ascii="Arial"/>
                <w:sz w:val="18"/>
              </w:rPr>
            </w:r>
          </w:p>
        </w:tc>
      </w:tr>
      <w:tr>
        <w:trPr>
          <w:trHeight w:val="259"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17" w:lineRule="exact"/>
              <w:ind w:left="273"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r>
              <w:rPr>
                <w:rFonts w:ascii="宋体" w:hAnsi="宋体" w:cs="宋体" w:eastAsia="宋体" w:hint="default"/>
                <w:sz w:val="18"/>
                <w:szCs w:val="18"/>
              </w:rPr>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right="1"/>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(49)</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3"/>
              <w:jc w:val="right"/>
              <w:rPr>
                <w:rFonts w:ascii="Arial" w:hAnsi="Arial" w:cs="Arial" w:eastAsia="Arial" w:hint="default"/>
                <w:sz w:val="18"/>
                <w:szCs w:val="18"/>
              </w:rPr>
            </w:pPr>
            <w:r>
              <w:rPr>
                <w:rFonts w:ascii="Arial"/>
                <w:spacing w:val="-1"/>
                <w:sz w:val="18"/>
              </w:rPr>
              <w:t>369,979,729</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3"/>
              <w:jc w:val="right"/>
              <w:rPr>
                <w:rFonts w:ascii="Arial" w:hAnsi="Arial" w:cs="Arial" w:eastAsia="Arial" w:hint="default"/>
                <w:sz w:val="18"/>
                <w:szCs w:val="18"/>
              </w:rPr>
            </w:pPr>
            <w:r>
              <w:rPr>
                <w:rFonts w:ascii="Arial"/>
                <w:spacing w:val="-2"/>
                <w:sz w:val="18"/>
              </w:rPr>
              <w:t>2,048,586,266</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105"/>
              <w:jc w:val="right"/>
              <w:rPr>
                <w:rFonts w:ascii="Arial" w:hAnsi="Arial" w:cs="Arial" w:eastAsia="Arial" w:hint="default"/>
                <w:sz w:val="18"/>
                <w:szCs w:val="18"/>
              </w:rPr>
            </w:pPr>
            <w:r>
              <w:rPr>
                <w:rFonts w:ascii="Arial"/>
                <w:w w:val="101"/>
                <w:sz w:val="18"/>
              </w:rPr>
              <w:t>-</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105"/>
              <w:jc w:val="right"/>
              <w:rPr>
                <w:rFonts w:ascii="Arial" w:hAnsi="Arial" w:cs="Arial" w:eastAsia="Arial" w:hint="default"/>
                <w:sz w:val="18"/>
                <w:szCs w:val="18"/>
              </w:rPr>
            </w:pPr>
            <w:r>
              <w:rPr>
                <w:rFonts w:ascii="Arial"/>
                <w:w w:val="101"/>
                <w:sz w:val="18"/>
              </w:rPr>
              <w:t>-</w:t>
            </w:r>
            <w:r>
              <w:rPr>
                <w:rFonts w:ascii="Arial"/>
                <w:sz w:val="18"/>
              </w:rPr>
            </w:r>
          </w:p>
        </w:tc>
      </w:tr>
      <w:tr>
        <w:trPr>
          <w:trHeight w:val="523"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8"/>
                <w:szCs w:val="18"/>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pacing w:val="-3"/>
                <w:sz w:val="18"/>
                <w:szCs w:val="18"/>
              </w:rPr>
              <w:t>其他非流动资产</w:t>
            </w:r>
            <w:r>
              <w:rPr>
                <w:rFonts w:ascii="宋体" w:hAnsi="宋体" w:cs="宋体" w:eastAsia="宋体" w:hint="default"/>
                <w:sz w:val="18"/>
                <w:szCs w:val="18"/>
              </w:rPr>
            </w:r>
          </w:p>
        </w:tc>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33" w:lineRule="exact"/>
              <w:ind w:left="67" w:right="0"/>
              <w:jc w:val="left"/>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(16),</w:t>
            </w:r>
          </w:p>
          <w:p>
            <w:pPr>
              <w:pStyle w:val="TableParagraph"/>
              <w:spacing w:line="242" w:lineRule="exact"/>
              <w:ind w:left="52" w:right="0"/>
              <w:jc w:val="left"/>
              <w:rPr>
                <w:rFonts w:ascii="Arial" w:hAnsi="Arial" w:cs="Arial" w:eastAsia="Arial" w:hint="default"/>
                <w:sz w:val="18"/>
                <w:szCs w:val="18"/>
              </w:rPr>
            </w:pPr>
            <w:r>
              <w:rPr>
                <w:rFonts w:ascii="宋体" w:hAnsi="宋体" w:cs="宋体" w:eastAsia="宋体" w:hint="default"/>
                <w:sz w:val="18"/>
                <w:szCs w:val="18"/>
              </w:rPr>
              <w:t>十五</w:t>
            </w:r>
            <w:r>
              <w:rPr>
                <w:rFonts w:ascii="Arial" w:hAnsi="Arial" w:cs="Arial" w:eastAsia="Arial" w:hint="default"/>
                <w:sz w:val="18"/>
                <w:szCs w:val="18"/>
              </w:rPr>
              <w:t>(4)</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3"/>
                <w:szCs w:val="23"/>
              </w:rPr>
            </w:pPr>
          </w:p>
          <w:p>
            <w:pPr>
              <w:pStyle w:val="TableParagraph"/>
              <w:spacing w:line="240" w:lineRule="auto"/>
              <w:ind w:right="93"/>
              <w:jc w:val="right"/>
              <w:rPr>
                <w:rFonts w:ascii="Arial" w:hAnsi="Arial" w:cs="Arial" w:eastAsia="Arial" w:hint="default"/>
                <w:sz w:val="18"/>
                <w:szCs w:val="18"/>
              </w:rPr>
            </w:pPr>
            <w:r>
              <w:rPr>
                <w:rFonts w:ascii="Arial"/>
                <w:spacing w:val="-2"/>
                <w:sz w:val="18"/>
              </w:rPr>
              <w:t>6,122,597,585</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3"/>
                <w:szCs w:val="23"/>
              </w:rPr>
            </w:pPr>
          </w:p>
          <w:p>
            <w:pPr>
              <w:pStyle w:val="TableParagraph"/>
              <w:spacing w:line="240" w:lineRule="auto"/>
              <w:ind w:right="93"/>
              <w:jc w:val="right"/>
              <w:rPr>
                <w:rFonts w:ascii="Arial" w:hAnsi="Arial" w:cs="Arial" w:eastAsia="Arial" w:hint="default"/>
                <w:sz w:val="18"/>
                <w:szCs w:val="18"/>
              </w:rPr>
            </w:pPr>
            <w:r>
              <w:rPr>
                <w:rFonts w:ascii="Arial"/>
                <w:spacing w:val="-2"/>
                <w:sz w:val="18"/>
              </w:rPr>
              <w:t>6,625,496,054</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3"/>
                <w:szCs w:val="23"/>
              </w:rPr>
            </w:pPr>
          </w:p>
          <w:p>
            <w:pPr>
              <w:pStyle w:val="TableParagraph"/>
              <w:spacing w:line="240" w:lineRule="auto"/>
              <w:ind w:right="98"/>
              <w:jc w:val="right"/>
              <w:rPr>
                <w:rFonts w:ascii="Arial" w:hAnsi="Arial" w:cs="Arial" w:eastAsia="Arial" w:hint="default"/>
                <w:sz w:val="18"/>
                <w:szCs w:val="18"/>
              </w:rPr>
            </w:pPr>
            <w:r>
              <w:rPr>
                <w:rFonts w:ascii="Arial"/>
                <w:spacing w:val="-2"/>
                <w:sz w:val="18"/>
              </w:rPr>
              <w:t>3,042,122,315</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3"/>
                <w:szCs w:val="23"/>
              </w:rPr>
            </w:pPr>
          </w:p>
          <w:p>
            <w:pPr>
              <w:pStyle w:val="TableParagraph"/>
              <w:spacing w:line="240" w:lineRule="auto"/>
              <w:ind w:right="93"/>
              <w:jc w:val="right"/>
              <w:rPr>
                <w:rFonts w:ascii="Arial" w:hAnsi="Arial" w:cs="Arial" w:eastAsia="Arial" w:hint="default"/>
                <w:sz w:val="18"/>
                <w:szCs w:val="18"/>
              </w:rPr>
            </w:pPr>
            <w:r>
              <w:rPr>
                <w:rFonts w:ascii="Arial"/>
                <w:spacing w:val="-2"/>
                <w:sz w:val="18"/>
              </w:rPr>
              <w:t>3,042,122,315</w:t>
            </w:r>
            <w:r>
              <w:rPr>
                <w:rFonts w:ascii="Arial"/>
                <w:sz w:val="18"/>
              </w:rPr>
            </w:r>
          </w:p>
        </w:tc>
      </w:tr>
      <w:tr>
        <w:trPr>
          <w:trHeight w:val="264"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22" w:lineRule="exact"/>
              <w:ind w:left="91" w:right="0"/>
              <w:jc w:val="left"/>
              <w:rPr>
                <w:rFonts w:ascii="宋体" w:hAnsi="宋体" w:cs="宋体" w:eastAsia="宋体" w:hint="default"/>
                <w:sz w:val="18"/>
                <w:szCs w:val="18"/>
              </w:rPr>
            </w:pPr>
            <w:r>
              <w:rPr>
                <w:rFonts w:ascii="宋体" w:hAnsi="宋体" w:cs="宋体" w:eastAsia="宋体" w:hint="default"/>
                <w:spacing w:val="-3"/>
                <w:sz w:val="18"/>
                <w:szCs w:val="18"/>
              </w:rPr>
              <w:t>非流动资产合计</w:t>
            </w:r>
            <w:r>
              <w:rPr>
                <w:rFonts w:ascii="宋体" w:hAnsi="宋体" w:cs="宋体" w:eastAsia="宋体" w:hint="default"/>
                <w:sz w:val="18"/>
                <w:szCs w:val="18"/>
              </w:rPr>
            </w:r>
          </w:p>
        </w:tc>
        <w:tc>
          <w:tcPr>
            <w:tcW w:w="710"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7"/>
              <w:jc w:val="right"/>
              <w:rPr>
                <w:rFonts w:ascii="Arial" w:hAnsi="Arial" w:cs="Arial" w:eastAsia="Arial" w:hint="default"/>
                <w:sz w:val="18"/>
                <w:szCs w:val="18"/>
              </w:rPr>
            </w:pPr>
            <w:r>
              <w:rPr>
                <w:rFonts w:ascii="Arial"/>
                <w:spacing w:val="-2"/>
                <w:sz w:val="18"/>
              </w:rPr>
              <w:t>480,626,768,591</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2"/>
              <w:jc w:val="right"/>
              <w:rPr>
                <w:rFonts w:ascii="Arial" w:hAnsi="Arial" w:cs="Arial" w:eastAsia="Arial" w:hint="default"/>
                <w:sz w:val="18"/>
                <w:szCs w:val="18"/>
              </w:rPr>
            </w:pPr>
            <w:r>
              <w:rPr>
                <w:rFonts w:ascii="Arial"/>
                <w:spacing w:val="-2"/>
                <w:sz w:val="18"/>
              </w:rPr>
              <w:t>465,837,737,218</w:t>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7"/>
              <w:jc w:val="right"/>
              <w:rPr>
                <w:rFonts w:ascii="Arial" w:hAnsi="Arial" w:cs="Arial" w:eastAsia="Arial" w:hint="default"/>
                <w:sz w:val="18"/>
                <w:szCs w:val="18"/>
              </w:rPr>
            </w:pPr>
            <w:r>
              <w:rPr>
                <w:rFonts w:ascii="Arial"/>
                <w:spacing w:val="-2"/>
                <w:sz w:val="18"/>
              </w:rPr>
              <w:t>104,311,537,331</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2"/>
              <w:jc w:val="right"/>
              <w:rPr>
                <w:rFonts w:ascii="Arial" w:hAnsi="Arial" w:cs="Arial" w:eastAsia="Arial" w:hint="default"/>
                <w:sz w:val="18"/>
                <w:szCs w:val="18"/>
              </w:rPr>
            </w:pPr>
            <w:r>
              <w:rPr>
                <w:rFonts w:ascii="Arial"/>
                <w:spacing w:val="-2"/>
                <w:sz w:val="18"/>
              </w:rPr>
              <w:t>103,741,346,588</w:t>
            </w:r>
          </w:p>
        </w:tc>
      </w:tr>
      <w:tr>
        <w:trPr>
          <w:trHeight w:val="264" w:hRule="exact"/>
        </w:trPr>
        <w:tc>
          <w:tcPr>
            <w:tcW w:w="2117" w:type="dxa"/>
            <w:tcBorders>
              <w:top w:val="single" w:sz="6" w:space="0" w:color="000000"/>
              <w:left w:val="single" w:sz="6" w:space="0" w:color="000000"/>
              <w:bottom w:val="single" w:sz="6" w:space="0" w:color="000000"/>
              <w:right w:val="single" w:sz="6" w:space="0" w:color="000000"/>
            </w:tcBorders>
          </w:tcPr>
          <w:p>
            <w:pPr/>
          </w:p>
        </w:tc>
        <w:tc>
          <w:tcPr>
            <w:tcW w:w="710"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
        </w:tc>
        <w:tc>
          <w:tcPr>
            <w:tcW w:w="1704"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
        </w:tc>
      </w:tr>
      <w:tr>
        <w:trPr>
          <w:trHeight w:val="259" w:hRule="exact"/>
        </w:trPr>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17" w:lineRule="exact"/>
              <w:ind w:left="9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710"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7"/>
              <w:jc w:val="right"/>
              <w:rPr>
                <w:rFonts w:ascii="Arial" w:hAnsi="Arial" w:cs="Arial" w:eastAsia="Arial" w:hint="default"/>
                <w:sz w:val="18"/>
                <w:szCs w:val="18"/>
              </w:rPr>
            </w:pPr>
            <w:r>
              <w:rPr>
                <w:rFonts w:ascii="Arial"/>
                <w:spacing w:val="-2"/>
                <w:sz w:val="18"/>
              </w:rPr>
              <w:t>564,230,618,712</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2"/>
              <w:jc w:val="right"/>
              <w:rPr>
                <w:rFonts w:ascii="Arial" w:hAnsi="Arial" w:cs="Arial" w:eastAsia="Arial" w:hint="default"/>
                <w:sz w:val="18"/>
                <w:szCs w:val="18"/>
              </w:rPr>
            </w:pPr>
            <w:r>
              <w:rPr>
                <w:rFonts w:ascii="Arial"/>
                <w:spacing w:val="-2"/>
                <w:sz w:val="18"/>
              </w:rPr>
              <w:t>541,762,283,984</w:t>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7"/>
              <w:jc w:val="right"/>
              <w:rPr>
                <w:rFonts w:ascii="Arial" w:hAnsi="Arial" w:cs="Arial" w:eastAsia="Arial" w:hint="default"/>
                <w:sz w:val="18"/>
                <w:szCs w:val="18"/>
              </w:rPr>
            </w:pPr>
            <w:r>
              <w:rPr>
                <w:rFonts w:ascii="Arial"/>
                <w:spacing w:val="-2"/>
                <w:sz w:val="18"/>
              </w:rPr>
              <w:t>105,747,787,083</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2"/>
              <w:jc w:val="right"/>
              <w:rPr>
                <w:rFonts w:ascii="Arial" w:hAnsi="Arial" w:cs="Arial" w:eastAsia="Arial" w:hint="default"/>
                <w:sz w:val="18"/>
                <w:szCs w:val="18"/>
              </w:rPr>
            </w:pPr>
            <w:r>
              <w:rPr>
                <w:rFonts w:ascii="Arial"/>
                <w:spacing w:val="-2"/>
                <w:sz w:val="18"/>
              </w:rPr>
              <w:t>104,940,053,972</w:t>
            </w:r>
          </w:p>
        </w:tc>
      </w:tr>
    </w:tbl>
    <w:p>
      <w:pPr>
        <w:spacing w:after="0" w:line="240" w:lineRule="auto"/>
        <w:jc w:val="right"/>
        <w:rPr>
          <w:rFonts w:ascii="Arial" w:hAnsi="Arial" w:cs="Arial" w:eastAsia="Arial" w:hint="default"/>
          <w:sz w:val="18"/>
          <w:szCs w:val="18"/>
        </w:rPr>
        <w:sectPr>
          <w:headerReference w:type="default" r:id="rId99"/>
          <w:pgSz w:w="11910" w:h="16840"/>
          <w:pgMar w:header="1327" w:footer="502" w:top="1540" w:bottom="700" w:left="880" w:right="1040"/>
        </w:sectPr>
      </w:pPr>
    </w:p>
    <w:p>
      <w:pPr>
        <w:spacing w:line="240" w:lineRule="auto" w:before="12"/>
        <w:rPr>
          <w:rFonts w:ascii="黑体" w:hAnsi="黑体" w:cs="黑体" w:eastAsia="黑体" w:hint="default"/>
          <w:sz w:val="16"/>
          <w:szCs w:val="16"/>
        </w:rPr>
      </w:pPr>
    </w:p>
    <w:p>
      <w:pPr>
        <w:pStyle w:val="BodyText"/>
        <w:spacing w:line="293" w:lineRule="exact" w:before="32"/>
        <w:ind w:left="128" w:right="94"/>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7"/>
        </w:rPr>
        <w:t> </w:t>
      </w:r>
      <w:r>
        <w:rPr>
          <w:rFonts w:ascii="黑体" w:hAnsi="黑体" w:cs="黑体" w:eastAsia="黑体" w:hint="default"/>
        </w:rPr>
        <w:t>年</w:t>
      </w:r>
      <w:r>
        <w:rPr>
          <w:rFonts w:ascii="黑体" w:hAnsi="黑体" w:cs="黑体" w:eastAsia="黑体" w:hint="default"/>
          <w:spacing w:val="-58"/>
        </w:rPr>
        <w:t> </w:t>
      </w:r>
      <w:r>
        <w:rPr>
          <w:rFonts w:ascii="Arial" w:hAnsi="Arial" w:cs="Arial" w:eastAsia="Arial" w:hint="default"/>
        </w:rPr>
        <w:t>12</w:t>
      </w:r>
      <w:r>
        <w:rPr>
          <w:rFonts w:ascii="Arial" w:hAnsi="Arial" w:cs="Arial" w:eastAsia="Arial" w:hint="default"/>
          <w:spacing w:val="-7"/>
        </w:rPr>
        <w:t> </w:t>
      </w:r>
      <w:r>
        <w:rPr>
          <w:rFonts w:ascii="黑体" w:hAnsi="黑体" w:cs="黑体" w:eastAsia="黑体" w:hint="default"/>
        </w:rPr>
        <w:t>月</w:t>
      </w:r>
      <w:r>
        <w:rPr>
          <w:rFonts w:ascii="黑体" w:hAnsi="黑体" w:cs="黑体" w:eastAsia="黑体" w:hint="default"/>
          <w:spacing w:val="-58"/>
        </w:rPr>
        <w:t> </w:t>
      </w:r>
      <w:r>
        <w:rPr>
          <w:rFonts w:ascii="Arial" w:hAnsi="Arial" w:cs="Arial" w:eastAsia="Arial" w:hint="default"/>
        </w:rPr>
        <w:t>31</w:t>
      </w:r>
      <w:r>
        <w:rPr>
          <w:rFonts w:ascii="Arial" w:hAnsi="Arial" w:cs="Arial" w:eastAsia="Arial" w:hint="default"/>
          <w:spacing w:val="-7"/>
        </w:rPr>
        <w:t> </w:t>
      </w:r>
      <w:r>
        <w:rPr>
          <w:rFonts w:ascii="黑体" w:hAnsi="黑体" w:cs="黑体" w:eastAsia="黑体" w:hint="default"/>
        </w:rPr>
        <w:t>日合并及公司资产负债表（续）</w:t>
      </w:r>
    </w:p>
    <w:p>
      <w:pPr>
        <w:pStyle w:val="BodyText"/>
        <w:spacing w:line="278" w:lineRule="exact"/>
        <w:ind w:left="128" w:right="94"/>
        <w:jc w:val="left"/>
        <w:rPr>
          <w:rFonts w:ascii="黑体" w:hAnsi="黑体" w:cs="黑体" w:eastAsia="黑体" w:hint="default"/>
        </w:rPr>
      </w:pPr>
      <w:r>
        <w:rPr>
          <w:rFonts w:ascii="黑体" w:hAnsi="黑体" w:cs="黑体" w:eastAsia="黑体" w:hint="default"/>
        </w:rPr>
        <w:t>（除特别注明外，金额单位为人民币元）</w:t>
      </w:r>
    </w:p>
    <w:p>
      <w:pPr>
        <w:spacing w:line="240" w:lineRule="auto" w:before="9"/>
        <w:rPr>
          <w:rFonts w:ascii="黑体" w:hAnsi="黑体" w:cs="黑体" w:eastAsia="黑体" w:hint="default"/>
          <w:sz w:val="23"/>
          <w:szCs w:val="23"/>
        </w:rPr>
      </w:pPr>
    </w:p>
    <w:tbl>
      <w:tblPr>
        <w:tblW w:w="0" w:type="auto"/>
        <w:jc w:val="left"/>
        <w:tblInd w:w="119" w:type="dxa"/>
        <w:tblLayout w:type="fixed"/>
        <w:tblCellMar>
          <w:top w:w="0" w:type="dxa"/>
          <w:left w:w="0" w:type="dxa"/>
          <w:bottom w:w="0" w:type="dxa"/>
          <w:right w:w="0" w:type="dxa"/>
        </w:tblCellMar>
        <w:tblLook w:val="01E0"/>
      </w:tblPr>
      <w:tblGrid>
        <w:gridCol w:w="2554"/>
        <w:gridCol w:w="595"/>
        <w:gridCol w:w="1670"/>
        <w:gridCol w:w="1637"/>
        <w:gridCol w:w="1651"/>
        <w:gridCol w:w="1584"/>
      </w:tblGrid>
      <w:tr>
        <w:trPr>
          <w:trHeight w:val="682"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黑体" w:hAnsi="黑体" w:cs="黑体" w:eastAsia="黑体" w:hint="default"/>
                <w:sz w:val="14"/>
                <w:szCs w:val="14"/>
              </w:rPr>
            </w:pPr>
          </w:p>
          <w:p>
            <w:pPr>
              <w:pStyle w:val="TableParagraph"/>
              <w:spacing w:line="240" w:lineRule="auto"/>
              <w:ind w:left="643" w:right="0"/>
              <w:jc w:val="left"/>
              <w:rPr>
                <w:rFonts w:ascii="宋体" w:hAnsi="宋体" w:cs="宋体" w:eastAsia="宋体" w:hint="default"/>
                <w:sz w:val="18"/>
                <w:szCs w:val="18"/>
              </w:rPr>
            </w:pPr>
            <w:r>
              <w:rPr>
                <w:rFonts w:ascii="宋体" w:hAnsi="宋体" w:cs="宋体" w:eastAsia="宋体" w:hint="default"/>
                <w:spacing w:val="-3"/>
                <w:sz w:val="18"/>
                <w:szCs w:val="18"/>
              </w:rPr>
              <w:t>负债和股东权益</w:t>
            </w:r>
            <w:r>
              <w:rPr>
                <w:rFonts w:ascii="宋体" w:hAnsi="宋体" w:cs="宋体" w:eastAsia="宋体" w:hint="default"/>
                <w:sz w:val="18"/>
                <w:szCs w:val="18"/>
              </w:rPr>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黑体" w:hAnsi="黑体" w:cs="黑体" w:eastAsia="黑体" w:hint="default"/>
                <w:sz w:val="14"/>
                <w:szCs w:val="14"/>
              </w:rPr>
            </w:pPr>
          </w:p>
          <w:p>
            <w:pPr>
              <w:pStyle w:val="TableParagraph"/>
              <w:spacing w:line="240" w:lineRule="auto"/>
              <w:ind w:left="14"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before="73"/>
              <w:ind w:left="38" w:right="0"/>
              <w:jc w:val="center"/>
              <w:rPr>
                <w:rFonts w:ascii="宋体" w:hAnsi="宋体" w:cs="宋体" w:eastAsia="宋体" w:hint="default"/>
                <w:sz w:val="18"/>
                <w:szCs w:val="18"/>
              </w:rPr>
            </w:pPr>
            <w:r>
              <w:rPr>
                <w:rFonts w:ascii="Arial" w:hAnsi="Arial" w:cs="Arial" w:eastAsia="Arial" w:hint="default"/>
                <w:sz w:val="18"/>
                <w:szCs w:val="18"/>
              </w:rPr>
              <w:t>2019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Arial" w:hAnsi="Arial" w:cs="Arial" w:eastAsia="Arial" w:hint="default"/>
                <w:sz w:val="18"/>
                <w:szCs w:val="18"/>
              </w:rPr>
              <w:t>31</w:t>
            </w:r>
            <w:r>
              <w:rPr>
                <w:rFonts w:ascii="Arial" w:hAnsi="Arial" w:cs="Arial" w:eastAsia="Arial" w:hint="default"/>
                <w:spacing w:val="-6"/>
                <w:sz w:val="18"/>
                <w:szCs w:val="18"/>
              </w:rPr>
              <w:t> </w:t>
            </w:r>
            <w:r>
              <w:rPr>
                <w:rFonts w:ascii="宋体" w:hAnsi="宋体" w:cs="宋体" w:eastAsia="宋体" w:hint="default"/>
                <w:sz w:val="18"/>
                <w:szCs w:val="18"/>
              </w:rPr>
              <w:t>日</w:t>
            </w:r>
          </w:p>
          <w:p>
            <w:pPr>
              <w:pStyle w:val="TableParagraph"/>
              <w:spacing w:line="227" w:lineRule="exact"/>
              <w:ind w:left="33"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before="73"/>
              <w:ind w:left="43" w:right="0"/>
              <w:jc w:val="center"/>
              <w:rPr>
                <w:rFonts w:ascii="宋体" w:hAnsi="宋体" w:cs="宋体" w:eastAsia="宋体" w:hint="default"/>
                <w:sz w:val="18"/>
                <w:szCs w:val="18"/>
              </w:rPr>
            </w:pPr>
            <w:r>
              <w:rPr>
                <w:rFonts w:ascii="Arial" w:hAnsi="Arial" w:cs="Arial" w:eastAsia="Arial" w:hint="default"/>
                <w:sz w:val="18"/>
                <w:szCs w:val="18"/>
              </w:rPr>
              <w:t>2018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Arial" w:hAnsi="Arial" w:cs="Arial" w:eastAsia="Arial" w:hint="default"/>
                <w:sz w:val="18"/>
                <w:szCs w:val="18"/>
              </w:rPr>
              <w:t>31</w:t>
            </w:r>
            <w:r>
              <w:rPr>
                <w:rFonts w:ascii="Arial" w:hAnsi="Arial" w:cs="Arial" w:eastAsia="Arial" w:hint="default"/>
                <w:spacing w:val="-6"/>
                <w:sz w:val="18"/>
                <w:szCs w:val="18"/>
              </w:rPr>
              <w:t> </w:t>
            </w:r>
            <w:r>
              <w:rPr>
                <w:rFonts w:ascii="宋体" w:hAnsi="宋体" w:cs="宋体" w:eastAsia="宋体" w:hint="default"/>
                <w:sz w:val="18"/>
                <w:szCs w:val="18"/>
              </w:rPr>
              <w:t>日</w:t>
            </w:r>
          </w:p>
          <w:p>
            <w:pPr>
              <w:pStyle w:val="TableParagraph"/>
              <w:spacing w:line="227" w:lineRule="exact"/>
              <w:ind w:right="55"/>
              <w:jc w:val="center"/>
              <w:rPr>
                <w:rFonts w:ascii="宋体" w:hAnsi="宋体" w:cs="宋体" w:eastAsia="宋体" w:hint="default"/>
                <w:sz w:val="18"/>
                <w:szCs w:val="18"/>
              </w:rPr>
            </w:pPr>
            <w:r>
              <w:rPr>
                <w:rFonts w:ascii="宋体" w:hAnsi="宋体" w:cs="宋体" w:eastAsia="宋体" w:hint="default"/>
                <w:sz w:val="18"/>
                <w:szCs w:val="18"/>
              </w:rPr>
              <w:t>合并</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before="73"/>
              <w:ind w:left="38" w:right="0"/>
              <w:jc w:val="center"/>
              <w:rPr>
                <w:rFonts w:ascii="宋体" w:hAnsi="宋体" w:cs="宋体" w:eastAsia="宋体" w:hint="default"/>
                <w:sz w:val="18"/>
                <w:szCs w:val="18"/>
              </w:rPr>
            </w:pPr>
            <w:r>
              <w:rPr>
                <w:rFonts w:ascii="Arial" w:hAnsi="Arial" w:cs="Arial" w:eastAsia="Arial" w:hint="default"/>
                <w:sz w:val="18"/>
                <w:szCs w:val="18"/>
              </w:rPr>
              <w:t>2019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Arial" w:hAnsi="Arial" w:cs="Arial" w:eastAsia="Arial" w:hint="default"/>
                <w:sz w:val="18"/>
                <w:szCs w:val="18"/>
              </w:rPr>
              <w:t>31</w:t>
            </w:r>
            <w:r>
              <w:rPr>
                <w:rFonts w:ascii="Arial" w:hAnsi="Arial" w:cs="Arial" w:eastAsia="Arial" w:hint="default"/>
                <w:spacing w:val="-6"/>
                <w:sz w:val="18"/>
                <w:szCs w:val="18"/>
              </w:rPr>
              <w:t> </w:t>
            </w:r>
            <w:r>
              <w:rPr>
                <w:rFonts w:ascii="宋体" w:hAnsi="宋体" w:cs="宋体" w:eastAsia="宋体" w:hint="default"/>
                <w:sz w:val="18"/>
                <w:szCs w:val="18"/>
              </w:rPr>
              <w:t>日</w:t>
            </w:r>
          </w:p>
          <w:p>
            <w:pPr>
              <w:pStyle w:val="TableParagraph"/>
              <w:spacing w:line="227" w:lineRule="exact"/>
              <w:ind w:left="43" w:right="0"/>
              <w:jc w:val="center"/>
              <w:rPr>
                <w:rFonts w:ascii="宋体" w:hAnsi="宋体" w:cs="宋体" w:eastAsia="宋体" w:hint="default"/>
                <w:sz w:val="18"/>
                <w:szCs w:val="18"/>
              </w:rPr>
            </w:pPr>
            <w:r>
              <w:rPr>
                <w:rFonts w:ascii="宋体" w:hAnsi="宋体" w:cs="宋体" w:eastAsia="宋体" w:hint="default"/>
                <w:sz w:val="18"/>
                <w:szCs w:val="18"/>
              </w:rPr>
              <w:t>公司</w:t>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before="73"/>
              <w:ind w:left="24" w:right="-25"/>
              <w:jc w:val="center"/>
              <w:rPr>
                <w:rFonts w:ascii="宋体" w:hAnsi="宋体" w:cs="宋体" w:eastAsia="宋体" w:hint="default"/>
                <w:sz w:val="18"/>
                <w:szCs w:val="18"/>
              </w:rPr>
            </w:pPr>
            <w:r>
              <w:rPr>
                <w:rFonts w:ascii="Arial" w:hAnsi="Arial" w:cs="Arial" w:eastAsia="Arial" w:hint="default"/>
                <w:sz w:val="18"/>
                <w:szCs w:val="18"/>
              </w:rPr>
              <w:t>2018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Arial" w:hAnsi="Arial" w:cs="Arial" w:eastAsia="Arial" w:hint="default"/>
                <w:sz w:val="18"/>
                <w:szCs w:val="18"/>
              </w:rPr>
              <w:t>31</w:t>
            </w:r>
            <w:r>
              <w:rPr>
                <w:rFonts w:ascii="Arial" w:hAnsi="Arial" w:cs="Arial" w:eastAsia="Arial" w:hint="default"/>
                <w:spacing w:val="-6"/>
                <w:sz w:val="18"/>
                <w:szCs w:val="18"/>
              </w:rPr>
              <w:t> </w:t>
            </w:r>
            <w:r>
              <w:rPr>
                <w:rFonts w:ascii="宋体" w:hAnsi="宋体" w:cs="宋体" w:eastAsia="宋体" w:hint="default"/>
                <w:sz w:val="18"/>
                <w:szCs w:val="18"/>
              </w:rPr>
              <w:t>日</w:t>
            </w:r>
          </w:p>
          <w:p>
            <w:pPr>
              <w:pStyle w:val="TableParagraph"/>
              <w:spacing w:line="227" w:lineRule="exact"/>
              <w:ind w:left="4" w:right="0"/>
              <w:jc w:val="center"/>
              <w:rPr>
                <w:rFonts w:ascii="宋体" w:hAnsi="宋体" w:cs="宋体" w:eastAsia="宋体" w:hint="default"/>
                <w:sz w:val="18"/>
                <w:szCs w:val="18"/>
              </w:rPr>
            </w:pPr>
            <w:r>
              <w:rPr>
                <w:rFonts w:ascii="宋体" w:hAnsi="宋体" w:cs="宋体" w:eastAsia="宋体" w:hint="default"/>
                <w:sz w:val="18"/>
                <w:szCs w:val="18"/>
              </w:rPr>
              <w:t>公司</w:t>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95"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595"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1651" w:type="dxa"/>
            <w:tcBorders>
              <w:top w:val="single" w:sz="6" w:space="0" w:color="000000"/>
              <w:left w:val="single" w:sz="6" w:space="0" w:color="000000"/>
              <w:bottom w:val="single" w:sz="6" w:space="0" w:color="000000"/>
              <w:right w:val="single" w:sz="6" w:space="0" w:color="000000"/>
            </w:tcBorders>
          </w:tcPr>
          <w:p>
            <w:pPr/>
          </w:p>
        </w:tc>
        <w:tc>
          <w:tcPr>
            <w:tcW w:w="1584"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78"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7"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(17)</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403" w:right="0"/>
              <w:jc w:val="left"/>
              <w:rPr>
                <w:rFonts w:ascii="Arial" w:hAnsi="Arial" w:cs="Arial" w:eastAsia="Arial" w:hint="default"/>
                <w:sz w:val="18"/>
                <w:szCs w:val="18"/>
              </w:rPr>
            </w:pPr>
            <w:r>
              <w:rPr>
                <w:rFonts w:ascii="Arial"/>
                <w:sz w:val="18"/>
              </w:rPr>
              <w:t>5,614,078,284</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68" w:right="0"/>
              <w:jc w:val="left"/>
              <w:rPr>
                <w:rFonts w:ascii="Arial" w:hAnsi="Arial" w:cs="Arial" w:eastAsia="Arial" w:hint="default"/>
                <w:sz w:val="18"/>
                <w:szCs w:val="18"/>
              </w:rPr>
            </w:pPr>
            <w:r>
              <w:rPr>
                <w:rFonts w:ascii="Arial"/>
                <w:sz w:val="18"/>
              </w:rPr>
              <w:t>15,132,619,893</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5"/>
              <w:jc w:val="right"/>
              <w:rPr>
                <w:rFonts w:ascii="Arial" w:hAnsi="Arial" w:cs="Arial" w:eastAsia="Arial" w:hint="default"/>
                <w:sz w:val="18"/>
                <w:szCs w:val="18"/>
              </w:rPr>
            </w:pPr>
            <w:r>
              <w:rPr>
                <w:rFonts w:ascii="Arial"/>
                <w:w w:val="101"/>
                <w:sz w:val="18"/>
              </w:rPr>
              <w:t>-</w:t>
            </w:r>
            <w:r>
              <w:rPr>
                <w:rFonts w:ascii="Arial"/>
                <w:sz w:val="18"/>
              </w:rPr>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78"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7"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(18)</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403" w:right="0"/>
              <w:jc w:val="left"/>
              <w:rPr>
                <w:rFonts w:ascii="Arial" w:hAnsi="Arial" w:cs="Arial" w:eastAsia="Arial" w:hint="default"/>
                <w:sz w:val="18"/>
                <w:szCs w:val="18"/>
              </w:rPr>
            </w:pPr>
            <w:r>
              <w:rPr>
                <w:rFonts w:ascii="Arial"/>
                <w:sz w:val="18"/>
              </w:rPr>
              <w:t>4,039,285,678</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3"/>
              <w:jc w:val="right"/>
              <w:rPr>
                <w:rFonts w:ascii="Arial" w:hAnsi="Arial" w:cs="Arial" w:eastAsia="Arial" w:hint="default"/>
                <w:sz w:val="18"/>
                <w:szCs w:val="18"/>
              </w:rPr>
            </w:pPr>
            <w:r>
              <w:rPr>
                <w:rFonts w:ascii="Arial"/>
                <w:spacing w:val="-1"/>
                <w:sz w:val="18"/>
              </w:rPr>
              <w:t>99,657,098</w:t>
            </w:r>
            <w:r>
              <w:rPr>
                <w:rFonts w:ascii="Arial"/>
                <w:sz w:val="18"/>
              </w:rPr>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5"/>
              <w:jc w:val="right"/>
              <w:rPr>
                <w:rFonts w:ascii="Arial" w:hAnsi="Arial" w:cs="Arial" w:eastAsia="Arial" w:hint="default"/>
                <w:sz w:val="18"/>
                <w:szCs w:val="18"/>
              </w:rPr>
            </w:pPr>
            <w:r>
              <w:rPr>
                <w:rFonts w:ascii="Arial"/>
                <w:w w:val="101"/>
                <w:sz w:val="18"/>
              </w:rPr>
              <w:t>-</w:t>
            </w:r>
            <w:r>
              <w:rPr>
                <w:rFonts w:ascii="Arial"/>
                <w:sz w:val="18"/>
              </w:rPr>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78"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7"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(19)</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01" w:right="0"/>
              <w:jc w:val="left"/>
              <w:rPr>
                <w:rFonts w:ascii="Arial" w:hAnsi="Arial" w:cs="Arial" w:eastAsia="Arial" w:hint="default"/>
                <w:sz w:val="18"/>
                <w:szCs w:val="18"/>
              </w:rPr>
            </w:pPr>
            <w:r>
              <w:rPr>
                <w:rFonts w:ascii="Arial"/>
                <w:sz w:val="18"/>
              </w:rPr>
              <w:t>102,767,088,275</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72" w:right="0"/>
              <w:jc w:val="left"/>
              <w:rPr>
                <w:rFonts w:ascii="Arial" w:hAnsi="Arial" w:cs="Arial" w:eastAsia="Arial" w:hint="default"/>
                <w:sz w:val="18"/>
                <w:szCs w:val="18"/>
              </w:rPr>
            </w:pPr>
            <w:r>
              <w:rPr>
                <w:rFonts w:ascii="Arial"/>
                <w:sz w:val="18"/>
              </w:rPr>
              <w:t>108,602,874,650</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5"/>
              <w:jc w:val="right"/>
              <w:rPr>
                <w:rFonts w:ascii="Arial" w:hAnsi="Arial" w:cs="Arial" w:eastAsia="Arial" w:hint="default"/>
                <w:sz w:val="18"/>
                <w:szCs w:val="18"/>
              </w:rPr>
            </w:pPr>
            <w:r>
              <w:rPr>
                <w:rFonts w:ascii="Arial"/>
                <w:w w:val="101"/>
                <w:sz w:val="18"/>
              </w:rPr>
              <w:t>-</w:t>
            </w:r>
            <w:r>
              <w:rPr>
                <w:rFonts w:ascii="Arial"/>
                <w:sz w:val="18"/>
              </w:rPr>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78"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595"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3"/>
              <w:jc w:val="right"/>
              <w:rPr>
                <w:rFonts w:ascii="Arial" w:hAnsi="Arial" w:cs="Arial" w:eastAsia="Arial" w:hint="default"/>
                <w:sz w:val="18"/>
                <w:szCs w:val="18"/>
              </w:rPr>
            </w:pPr>
            <w:r>
              <w:rPr>
                <w:rFonts w:ascii="Arial"/>
                <w:spacing w:val="-1"/>
                <w:sz w:val="18"/>
              </w:rPr>
              <w:t>329,962,120</w:t>
            </w:r>
            <w:r>
              <w:rPr>
                <w:rFonts w:ascii="Arial"/>
                <w:sz w:val="18"/>
              </w:rPr>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3"/>
              <w:jc w:val="right"/>
              <w:rPr>
                <w:rFonts w:ascii="Arial" w:hAnsi="Arial" w:cs="Arial" w:eastAsia="Arial" w:hint="default"/>
                <w:sz w:val="18"/>
                <w:szCs w:val="18"/>
              </w:rPr>
            </w:pPr>
            <w:r>
              <w:rPr>
                <w:rFonts w:ascii="Arial"/>
                <w:spacing w:val="-1"/>
                <w:sz w:val="18"/>
              </w:rPr>
              <w:t>328,100,718</w:t>
            </w:r>
            <w:r>
              <w:rPr>
                <w:rFonts w:ascii="Arial"/>
                <w:sz w:val="18"/>
              </w:rPr>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5"/>
              <w:jc w:val="right"/>
              <w:rPr>
                <w:rFonts w:ascii="Arial" w:hAnsi="Arial" w:cs="Arial" w:eastAsia="Arial" w:hint="default"/>
                <w:sz w:val="18"/>
                <w:szCs w:val="18"/>
              </w:rPr>
            </w:pPr>
            <w:r>
              <w:rPr>
                <w:rFonts w:ascii="Arial"/>
                <w:w w:val="101"/>
                <w:sz w:val="18"/>
              </w:rPr>
              <w:t>-</w:t>
            </w:r>
            <w:r>
              <w:rPr>
                <w:rFonts w:ascii="Arial"/>
                <w:sz w:val="18"/>
              </w:rPr>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Arial" w:hAnsi="Arial" w:cs="Arial" w:eastAsia="Arial" w:hint="default"/>
                <w:sz w:val="18"/>
                <w:szCs w:val="18"/>
              </w:rPr>
            </w:pPr>
            <w:r>
              <w:rPr>
                <w:rFonts w:ascii="Arial"/>
                <w:w w:val="101"/>
                <w:sz w:val="18"/>
              </w:rPr>
              <w:t>-</w:t>
            </w:r>
            <w:r>
              <w:rPr>
                <w:rFonts w:ascii="Arial"/>
                <w:sz w:val="18"/>
              </w:rPr>
            </w:r>
          </w:p>
        </w:tc>
      </w:tr>
      <w:tr>
        <w:trPr>
          <w:trHeight w:val="254"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8"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7"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(20)</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302" w:right="0"/>
              <w:jc w:val="left"/>
              <w:rPr>
                <w:rFonts w:ascii="Arial" w:hAnsi="Arial" w:cs="Arial" w:eastAsia="Arial" w:hint="default"/>
                <w:sz w:val="18"/>
                <w:szCs w:val="18"/>
              </w:rPr>
            </w:pPr>
            <w:r>
              <w:rPr>
                <w:rFonts w:ascii="Arial"/>
                <w:sz w:val="18"/>
              </w:rPr>
              <w:t>40,963,413,908</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68" w:right="0"/>
              <w:jc w:val="left"/>
              <w:rPr>
                <w:rFonts w:ascii="Arial" w:hAnsi="Arial" w:cs="Arial" w:eastAsia="Arial" w:hint="default"/>
                <w:sz w:val="18"/>
                <w:szCs w:val="18"/>
              </w:rPr>
            </w:pPr>
            <w:r>
              <w:rPr>
                <w:rFonts w:ascii="Arial"/>
                <w:sz w:val="18"/>
              </w:rPr>
              <w:t>42,968,208,117</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5"/>
              <w:jc w:val="right"/>
              <w:rPr>
                <w:rFonts w:ascii="Arial" w:hAnsi="Arial" w:cs="Arial" w:eastAsia="Arial" w:hint="default"/>
                <w:sz w:val="18"/>
                <w:szCs w:val="18"/>
              </w:rPr>
            </w:pPr>
            <w:r>
              <w:rPr>
                <w:rFonts w:ascii="Arial"/>
                <w:w w:val="101"/>
                <w:sz w:val="18"/>
              </w:rPr>
              <w:t>-</w:t>
            </w:r>
            <w:r>
              <w:rPr>
                <w:rFonts w:ascii="Arial"/>
                <w:sz w:val="18"/>
              </w:rPr>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78"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7"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(21)</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403" w:right="0"/>
              <w:jc w:val="left"/>
              <w:rPr>
                <w:rFonts w:ascii="Arial" w:hAnsi="Arial" w:cs="Arial" w:eastAsia="Arial" w:hint="default"/>
                <w:sz w:val="18"/>
                <w:szCs w:val="18"/>
              </w:rPr>
            </w:pPr>
            <w:r>
              <w:rPr>
                <w:rFonts w:ascii="Arial"/>
                <w:sz w:val="18"/>
              </w:rPr>
              <w:t>9,493,550,032</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369" w:right="0"/>
              <w:jc w:val="left"/>
              <w:rPr>
                <w:rFonts w:ascii="Arial" w:hAnsi="Arial" w:cs="Arial" w:eastAsia="Arial" w:hint="default"/>
                <w:sz w:val="18"/>
                <w:szCs w:val="18"/>
              </w:rPr>
            </w:pPr>
            <w:r>
              <w:rPr>
                <w:rFonts w:ascii="Arial"/>
                <w:sz w:val="18"/>
              </w:rPr>
              <w:t>8,263,357,851</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05"/>
              <w:jc w:val="right"/>
              <w:rPr>
                <w:rFonts w:ascii="Arial" w:hAnsi="Arial" w:cs="Arial" w:eastAsia="Arial" w:hint="default"/>
                <w:sz w:val="18"/>
                <w:szCs w:val="18"/>
              </w:rPr>
            </w:pPr>
            <w:r>
              <w:rPr>
                <w:rFonts w:ascii="Arial"/>
                <w:w w:val="101"/>
                <w:sz w:val="18"/>
              </w:rPr>
              <w:t>-</w:t>
            </w:r>
            <w:r>
              <w:rPr>
                <w:rFonts w:ascii="Arial"/>
                <w:sz w:val="18"/>
              </w:rPr>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00"/>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78"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7"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(22)</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408" w:right="0"/>
              <w:jc w:val="left"/>
              <w:rPr>
                <w:rFonts w:ascii="Arial" w:hAnsi="Arial" w:cs="Arial" w:eastAsia="Arial" w:hint="default"/>
                <w:sz w:val="18"/>
                <w:szCs w:val="18"/>
              </w:rPr>
            </w:pPr>
            <w:r>
              <w:rPr>
                <w:rFonts w:ascii="Arial"/>
                <w:sz w:val="18"/>
              </w:rPr>
              <w:t>1,540,962,671</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3"/>
              <w:jc w:val="right"/>
              <w:rPr>
                <w:rFonts w:ascii="Arial" w:hAnsi="Arial" w:cs="Arial" w:eastAsia="Arial" w:hint="default"/>
                <w:sz w:val="18"/>
                <w:szCs w:val="18"/>
              </w:rPr>
            </w:pPr>
            <w:r>
              <w:rPr>
                <w:rFonts w:ascii="Arial"/>
                <w:spacing w:val="-1"/>
                <w:sz w:val="18"/>
              </w:rPr>
              <w:t>911,509,284</w:t>
            </w:r>
            <w:r>
              <w:rPr>
                <w:rFonts w:ascii="Arial"/>
                <w:sz w:val="18"/>
              </w:rPr>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Arial" w:hAnsi="Arial" w:cs="Arial" w:eastAsia="Arial" w:hint="default"/>
                <w:sz w:val="18"/>
                <w:szCs w:val="18"/>
              </w:rPr>
            </w:pPr>
            <w:r>
              <w:rPr>
                <w:rFonts w:ascii="Arial"/>
                <w:spacing w:val="-1"/>
                <w:sz w:val="18"/>
              </w:rPr>
              <w:t>6,836,420</w:t>
            </w:r>
            <w:r>
              <w:rPr>
                <w:rFonts w:ascii="Arial"/>
                <w:sz w:val="18"/>
              </w:rPr>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74"/>
              <w:jc w:val="right"/>
              <w:rPr>
                <w:rFonts w:ascii="Arial" w:hAnsi="Arial" w:cs="Arial" w:eastAsia="Arial" w:hint="default"/>
                <w:sz w:val="18"/>
                <w:szCs w:val="18"/>
              </w:rPr>
            </w:pPr>
            <w:r>
              <w:rPr>
                <w:rFonts w:ascii="Arial"/>
                <w:spacing w:val="-1"/>
                <w:sz w:val="18"/>
              </w:rPr>
              <w:t>313,313</w:t>
            </w:r>
            <w:r>
              <w:rPr>
                <w:rFonts w:ascii="Arial"/>
                <w:sz w:val="18"/>
              </w:rPr>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78" w:right="0"/>
              <w:jc w:val="left"/>
              <w:rPr>
                <w:rFonts w:ascii="宋体" w:hAnsi="宋体" w:cs="宋体" w:eastAsia="宋体" w:hint="default"/>
                <w:sz w:val="18"/>
                <w:szCs w:val="18"/>
              </w:rPr>
            </w:pPr>
            <w:r>
              <w:rPr>
                <w:rFonts w:ascii="宋体" w:hAnsi="宋体" w:cs="宋体" w:eastAsia="宋体" w:hint="default"/>
                <w:spacing w:val="-3"/>
                <w:sz w:val="18"/>
                <w:szCs w:val="18"/>
              </w:rPr>
              <w:t>其他应付款</w:t>
            </w:r>
            <w:r>
              <w:rPr>
                <w:rFonts w:ascii="宋体" w:hAnsi="宋体" w:cs="宋体" w:eastAsia="宋体" w:hint="default"/>
                <w:sz w:val="18"/>
                <w:szCs w:val="18"/>
              </w:rPr>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7"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(23)</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302" w:right="0"/>
              <w:jc w:val="left"/>
              <w:rPr>
                <w:rFonts w:ascii="Arial" w:hAnsi="Arial" w:cs="Arial" w:eastAsia="Arial" w:hint="default"/>
                <w:sz w:val="18"/>
                <w:szCs w:val="18"/>
              </w:rPr>
            </w:pPr>
            <w:r>
              <w:rPr>
                <w:rFonts w:ascii="Arial"/>
                <w:sz w:val="18"/>
              </w:rPr>
              <w:t>18,779,071,393</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68" w:right="0"/>
              <w:jc w:val="left"/>
              <w:rPr>
                <w:rFonts w:ascii="Arial" w:hAnsi="Arial" w:cs="Arial" w:eastAsia="Arial" w:hint="default"/>
                <w:sz w:val="18"/>
                <w:szCs w:val="18"/>
              </w:rPr>
            </w:pPr>
            <w:r>
              <w:rPr>
                <w:rFonts w:ascii="Arial"/>
                <w:sz w:val="18"/>
              </w:rPr>
              <w:t>16,326,179,386</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383" w:right="0"/>
              <w:jc w:val="left"/>
              <w:rPr>
                <w:rFonts w:ascii="Arial" w:hAnsi="Arial" w:cs="Arial" w:eastAsia="Arial" w:hint="default"/>
                <w:sz w:val="18"/>
                <w:szCs w:val="18"/>
              </w:rPr>
            </w:pPr>
            <w:r>
              <w:rPr>
                <w:rFonts w:ascii="Arial"/>
                <w:sz w:val="18"/>
              </w:rPr>
              <w:t>2,991,271,908</w:t>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74"/>
              <w:jc w:val="right"/>
              <w:rPr>
                <w:rFonts w:ascii="Arial" w:hAnsi="Arial" w:cs="Arial" w:eastAsia="Arial" w:hint="default"/>
                <w:sz w:val="18"/>
                <w:szCs w:val="18"/>
              </w:rPr>
            </w:pPr>
            <w:r>
              <w:rPr>
                <w:rFonts w:ascii="Arial"/>
                <w:spacing w:val="-1"/>
                <w:sz w:val="18"/>
              </w:rPr>
              <w:t>6,603,771</w:t>
            </w:r>
            <w:r>
              <w:rPr>
                <w:rFonts w:ascii="Arial"/>
                <w:sz w:val="18"/>
              </w:rPr>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78" w:right="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一年内到期的非流动负债</w:t>
            </w:r>
            <w:r>
              <w:rPr>
                <w:rFonts w:ascii="宋体" w:hAnsi="宋体" w:cs="宋体" w:eastAsia="宋体" w:hint="default"/>
                <w:sz w:val="18"/>
                <w:szCs w:val="18"/>
              </w:rPr>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7"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(24)</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302" w:right="0"/>
              <w:jc w:val="left"/>
              <w:rPr>
                <w:rFonts w:ascii="Arial" w:hAnsi="Arial" w:cs="Arial" w:eastAsia="Arial" w:hint="default"/>
                <w:sz w:val="18"/>
                <w:szCs w:val="18"/>
              </w:rPr>
            </w:pPr>
            <w:r>
              <w:rPr>
                <w:rFonts w:ascii="Arial"/>
                <w:sz w:val="18"/>
              </w:rPr>
              <w:t>11,238,247,077</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68" w:right="0"/>
              <w:jc w:val="left"/>
              <w:rPr>
                <w:rFonts w:ascii="Arial" w:hAnsi="Arial" w:cs="Arial" w:eastAsia="Arial" w:hint="default"/>
                <w:sz w:val="18"/>
                <w:szCs w:val="18"/>
              </w:rPr>
            </w:pPr>
            <w:r>
              <w:rPr>
                <w:rFonts w:ascii="Arial"/>
                <w:sz w:val="18"/>
              </w:rPr>
              <w:t>17,685,459,683</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5"/>
              <w:jc w:val="right"/>
              <w:rPr>
                <w:rFonts w:ascii="Arial" w:hAnsi="Arial" w:cs="Arial" w:eastAsia="Arial" w:hint="default"/>
                <w:sz w:val="18"/>
                <w:szCs w:val="18"/>
              </w:rPr>
            </w:pPr>
            <w:r>
              <w:rPr>
                <w:rFonts w:ascii="Arial"/>
                <w:w w:val="101"/>
                <w:sz w:val="18"/>
              </w:rPr>
              <w:t>-</w:t>
            </w:r>
            <w:r>
              <w:rPr>
                <w:rFonts w:ascii="Arial"/>
                <w:sz w:val="18"/>
              </w:rPr>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78"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7"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(25)</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302" w:right="0"/>
              <w:jc w:val="left"/>
              <w:rPr>
                <w:rFonts w:ascii="Arial" w:hAnsi="Arial" w:cs="Arial" w:eastAsia="Arial" w:hint="default"/>
                <w:sz w:val="18"/>
                <w:szCs w:val="18"/>
              </w:rPr>
            </w:pPr>
            <w:r>
              <w:rPr>
                <w:rFonts w:ascii="Arial"/>
                <w:sz w:val="18"/>
              </w:rPr>
              <w:t>12,047,049,957</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369" w:right="0"/>
              <w:jc w:val="left"/>
              <w:rPr>
                <w:rFonts w:ascii="Arial" w:hAnsi="Arial" w:cs="Arial" w:eastAsia="Arial" w:hint="default"/>
                <w:sz w:val="18"/>
                <w:szCs w:val="18"/>
              </w:rPr>
            </w:pPr>
            <w:r>
              <w:rPr>
                <w:rFonts w:ascii="Arial"/>
                <w:sz w:val="18"/>
              </w:rPr>
              <w:t>3,397,762,622</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5"/>
              <w:jc w:val="right"/>
              <w:rPr>
                <w:rFonts w:ascii="Arial" w:hAnsi="Arial" w:cs="Arial" w:eastAsia="Arial" w:hint="default"/>
                <w:sz w:val="18"/>
                <w:szCs w:val="18"/>
              </w:rPr>
            </w:pPr>
            <w:r>
              <w:rPr>
                <w:rFonts w:ascii="Arial"/>
                <w:w w:val="101"/>
                <w:sz w:val="18"/>
              </w:rPr>
              <w:t>-</w:t>
            </w:r>
            <w:r>
              <w:rPr>
                <w:rFonts w:ascii="Arial"/>
                <w:sz w:val="18"/>
              </w:rPr>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95"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595"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01" w:right="0"/>
              <w:jc w:val="left"/>
              <w:rPr>
                <w:rFonts w:ascii="Arial" w:hAnsi="Arial" w:cs="Arial" w:eastAsia="Arial" w:hint="default"/>
                <w:sz w:val="18"/>
                <w:szCs w:val="18"/>
              </w:rPr>
            </w:pPr>
            <w:r>
              <w:rPr>
                <w:rFonts w:ascii="Arial"/>
                <w:sz w:val="18"/>
              </w:rPr>
              <w:t>206,812,709,395</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72" w:right="0"/>
              <w:jc w:val="left"/>
              <w:rPr>
                <w:rFonts w:ascii="Arial" w:hAnsi="Arial" w:cs="Arial" w:eastAsia="Arial" w:hint="default"/>
                <w:sz w:val="18"/>
                <w:szCs w:val="18"/>
              </w:rPr>
            </w:pPr>
            <w:r>
              <w:rPr>
                <w:rFonts w:ascii="Arial"/>
                <w:sz w:val="18"/>
              </w:rPr>
              <w:t>213,715,729,302</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383" w:right="0"/>
              <w:jc w:val="left"/>
              <w:rPr>
                <w:rFonts w:ascii="Arial" w:hAnsi="Arial" w:cs="Arial" w:eastAsia="Arial" w:hint="default"/>
                <w:sz w:val="18"/>
                <w:szCs w:val="18"/>
              </w:rPr>
            </w:pPr>
            <w:r>
              <w:rPr>
                <w:rFonts w:ascii="Arial"/>
                <w:sz w:val="18"/>
              </w:rPr>
              <w:t>2,998,108,328</w:t>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74"/>
              <w:jc w:val="right"/>
              <w:rPr>
                <w:rFonts w:ascii="Arial" w:hAnsi="Arial" w:cs="Arial" w:eastAsia="Arial" w:hint="default"/>
                <w:sz w:val="18"/>
                <w:szCs w:val="18"/>
              </w:rPr>
            </w:pPr>
            <w:r>
              <w:rPr>
                <w:rFonts w:ascii="Arial"/>
                <w:spacing w:val="-1"/>
                <w:sz w:val="18"/>
              </w:rPr>
              <w:t>6,917,084</w:t>
            </w:r>
            <w:r>
              <w:rPr>
                <w:rFonts w:ascii="Arial"/>
                <w:sz w:val="18"/>
              </w:rPr>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1651" w:type="dxa"/>
            <w:tcBorders>
              <w:top w:val="single" w:sz="6" w:space="0" w:color="000000"/>
              <w:left w:val="single" w:sz="6" w:space="0" w:color="000000"/>
              <w:bottom w:val="single" w:sz="6" w:space="0" w:color="000000"/>
              <w:right w:val="single" w:sz="6" w:space="0" w:color="000000"/>
            </w:tcBorders>
          </w:tcPr>
          <w:p>
            <w:pPr/>
          </w:p>
        </w:tc>
        <w:tc>
          <w:tcPr>
            <w:tcW w:w="1584"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95" w:right="0"/>
              <w:jc w:val="left"/>
              <w:rPr>
                <w:rFonts w:ascii="宋体" w:hAnsi="宋体" w:cs="宋体" w:eastAsia="宋体" w:hint="default"/>
                <w:sz w:val="18"/>
                <w:szCs w:val="18"/>
              </w:rPr>
            </w:pPr>
            <w:r>
              <w:rPr>
                <w:rFonts w:ascii="宋体" w:hAnsi="宋体" w:cs="宋体" w:eastAsia="宋体" w:hint="default"/>
                <w:spacing w:val="-3"/>
                <w:sz w:val="18"/>
                <w:szCs w:val="18"/>
              </w:rPr>
              <w:t>非流动负债</w:t>
            </w:r>
            <w:r>
              <w:rPr>
                <w:rFonts w:ascii="宋体" w:hAnsi="宋体" w:cs="宋体" w:eastAsia="宋体" w:hint="default"/>
                <w:sz w:val="18"/>
                <w:szCs w:val="18"/>
              </w:rPr>
            </w:r>
          </w:p>
        </w:tc>
        <w:tc>
          <w:tcPr>
            <w:tcW w:w="595"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1651" w:type="dxa"/>
            <w:tcBorders>
              <w:top w:val="single" w:sz="6" w:space="0" w:color="000000"/>
              <w:left w:val="single" w:sz="6" w:space="0" w:color="000000"/>
              <w:bottom w:val="single" w:sz="6" w:space="0" w:color="000000"/>
              <w:right w:val="single" w:sz="6" w:space="0" w:color="000000"/>
            </w:tcBorders>
          </w:tcPr>
          <w:p>
            <w:pPr/>
          </w:p>
        </w:tc>
        <w:tc>
          <w:tcPr>
            <w:tcW w:w="1584"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78"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7"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(26)</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403" w:right="0"/>
              <w:jc w:val="left"/>
              <w:rPr>
                <w:rFonts w:ascii="Arial" w:hAnsi="Arial" w:cs="Arial" w:eastAsia="Arial" w:hint="default"/>
                <w:sz w:val="18"/>
                <w:szCs w:val="18"/>
              </w:rPr>
            </w:pPr>
            <w:r>
              <w:rPr>
                <w:rFonts w:ascii="Arial"/>
                <w:sz w:val="18"/>
              </w:rPr>
              <w:t>2,869,265,226</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369" w:right="0"/>
              <w:jc w:val="left"/>
              <w:rPr>
                <w:rFonts w:ascii="Arial" w:hAnsi="Arial" w:cs="Arial" w:eastAsia="Arial" w:hint="default"/>
                <w:sz w:val="18"/>
                <w:szCs w:val="18"/>
              </w:rPr>
            </w:pPr>
            <w:r>
              <w:rPr>
                <w:rFonts w:ascii="Arial"/>
                <w:sz w:val="18"/>
              </w:rPr>
              <w:t>3,173,172,976</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5"/>
              <w:jc w:val="right"/>
              <w:rPr>
                <w:rFonts w:ascii="Arial" w:hAnsi="Arial" w:cs="Arial" w:eastAsia="Arial" w:hint="default"/>
                <w:sz w:val="18"/>
                <w:szCs w:val="18"/>
              </w:rPr>
            </w:pPr>
            <w:r>
              <w:rPr>
                <w:rFonts w:ascii="Arial"/>
                <w:w w:val="101"/>
                <w:sz w:val="18"/>
              </w:rPr>
              <w:t>-</w:t>
            </w:r>
            <w:r>
              <w:rPr>
                <w:rFonts w:ascii="Arial"/>
                <w:sz w:val="18"/>
              </w:rPr>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78"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7"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(27)</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403" w:right="0"/>
              <w:jc w:val="left"/>
              <w:rPr>
                <w:rFonts w:ascii="Arial" w:hAnsi="Arial" w:cs="Arial" w:eastAsia="Arial" w:hint="default"/>
                <w:sz w:val="18"/>
                <w:szCs w:val="18"/>
              </w:rPr>
            </w:pPr>
            <w:r>
              <w:rPr>
                <w:rFonts w:ascii="Arial"/>
                <w:sz w:val="18"/>
              </w:rPr>
              <w:t>3,995,426,810</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3"/>
              <w:jc w:val="right"/>
              <w:rPr>
                <w:rFonts w:ascii="Arial" w:hAnsi="Arial" w:cs="Arial" w:eastAsia="Arial" w:hint="default"/>
                <w:sz w:val="18"/>
                <w:szCs w:val="18"/>
              </w:rPr>
            </w:pPr>
            <w:r>
              <w:rPr>
                <w:rFonts w:ascii="Arial"/>
                <w:spacing w:val="-1"/>
                <w:sz w:val="18"/>
              </w:rPr>
              <w:t>998,985,859</w:t>
            </w:r>
            <w:r>
              <w:rPr>
                <w:rFonts w:ascii="Arial"/>
                <w:sz w:val="18"/>
              </w:rPr>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5"/>
              <w:jc w:val="right"/>
              <w:rPr>
                <w:rFonts w:ascii="Arial" w:hAnsi="Arial" w:cs="Arial" w:eastAsia="Arial" w:hint="default"/>
                <w:sz w:val="18"/>
                <w:szCs w:val="18"/>
              </w:rPr>
            </w:pPr>
            <w:r>
              <w:rPr>
                <w:rFonts w:ascii="Arial"/>
                <w:w w:val="101"/>
                <w:sz w:val="18"/>
              </w:rPr>
              <w:t>-</w:t>
            </w:r>
            <w:r>
              <w:rPr>
                <w:rFonts w:ascii="Arial"/>
                <w:sz w:val="18"/>
              </w:rPr>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78"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7"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(53)</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302" w:right="0"/>
              <w:jc w:val="left"/>
              <w:rPr>
                <w:rFonts w:ascii="Arial" w:hAnsi="Arial" w:cs="Arial" w:eastAsia="Arial" w:hint="default"/>
                <w:sz w:val="18"/>
                <w:szCs w:val="18"/>
              </w:rPr>
            </w:pPr>
            <w:r>
              <w:rPr>
                <w:rFonts w:ascii="Arial"/>
                <w:sz w:val="18"/>
              </w:rPr>
              <w:t>21,535,283,336</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hAnsi="宋体" w:cs="宋体" w:eastAsia="宋体" w:hint="default"/>
                <w:spacing w:val="-4"/>
                <w:sz w:val="18"/>
                <w:szCs w:val="18"/>
              </w:rPr>
              <w:t>不适用</w:t>
            </w:r>
            <w:r>
              <w:rPr>
                <w:rFonts w:ascii="宋体" w:hAnsi="宋体" w:cs="宋体" w:eastAsia="宋体" w:hint="default"/>
                <w:sz w:val="18"/>
                <w:szCs w:val="18"/>
              </w:rPr>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5"/>
              <w:jc w:val="right"/>
              <w:rPr>
                <w:rFonts w:ascii="Arial" w:hAnsi="Arial" w:cs="Arial" w:eastAsia="Arial" w:hint="default"/>
                <w:sz w:val="18"/>
                <w:szCs w:val="18"/>
              </w:rPr>
            </w:pPr>
            <w:r>
              <w:rPr>
                <w:rFonts w:ascii="Arial"/>
                <w:w w:val="101"/>
                <w:sz w:val="18"/>
              </w:rPr>
              <w:t>-</w:t>
            </w:r>
            <w:r>
              <w:rPr>
                <w:rFonts w:ascii="Arial"/>
                <w:sz w:val="18"/>
              </w:rPr>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03"/>
              <w:jc w:val="right"/>
              <w:rPr>
                <w:rFonts w:ascii="宋体" w:hAnsi="宋体" w:cs="宋体" w:eastAsia="宋体" w:hint="default"/>
                <w:sz w:val="18"/>
                <w:szCs w:val="18"/>
              </w:rPr>
            </w:pPr>
            <w:r>
              <w:rPr>
                <w:rFonts w:ascii="宋体" w:hAnsi="宋体" w:cs="宋体" w:eastAsia="宋体" w:hint="default"/>
                <w:spacing w:val="-4"/>
                <w:sz w:val="18"/>
                <w:szCs w:val="18"/>
              </w:rPr>
              <w:t>不适用</w:t>
            </w:r>
            <w:r>
              <w:rPr>
                <w:rFonts w:ascii="宋体" w:hAnsi="宋体" w:cs="宋体" w:eastAsia="宋体" w:hint="default"/>
                <w:sz w:val="18"/>
                <w:szCs w:val="18"/>
              </w:rPr>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78" w:right="0"/>
              <w:jc w:val="left"/>
              <w:rPr>
                <w:rFonts w:ascii="宋体" w:hAnsi="宋体" w:cs="宋体" w:eastAsia="宋体" w:hint="default"/>
                <w:sz w:val="18"/>
                <w:szCs w:val="18"/>
              </w:rPr>
            </w:pPr>
            <w:r>
              <w:rPr>
                <w:rFonts w:ascii="宋体" w:hAnsi="宋体" w:cs="宋体" w:eastAsia="宋体" w:hint="default"/>
                <w:spacing w:val="-3"/>
                <w:sz w:val="18"/>
                <w:szCs w:val="18"/>
              </w:rPr>
              <w:t>长期应付款</w:t>
            </w:r>
            <w:r>
              <w:rPr>
                <w:rFonts w:ascii="宋体" w:hAnsi="宋体" w:cs="宋体" w:eastAsia="宋体" w:hint="default"/>
                <w:sz w:val="18"/>
                <w:szCs w:val="18"/>
              </w:rPr>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7"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(28)</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3"/>
              <w:jc w:val="right"/>
              <w:rPr>
                <w:rFonts w:ascii="Arial" w:hAnsi="Arial" w:cs="Arial" w:eastAsia="Arial" w:hint="default"/>
                <w:sz w:val="18"/>
                <w:szCs w:val="18"/>
              </w:rPr>
            </w:pPr>
            <w:r>
              <w:rPr>
                <w:rFonts w:ascii="Arial"/>
                <w:spacing w:val="-1"/>
                <w:sz w:val="18"/>
              </w:rPr>
              <w:t>56,068,804</w:t>
            </w:r>
            <w:r>
              <w:rPr>
                <w:rFonts w:ascii="Arial"/>
                <w:sz w:val="18"/>
              </w:rPr>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369" w:right="0"/>
              <w:jc w:val="left"/>
              <w:rPr>
                <w:rFonts w:ascii="Arial" w:hAnsi="Arial" w:cs="Arial" w:eastAsia="Arial" w:hint="default"/>
                <w:sz w:val="18"/>
                <w:szCs w:val="18"/>
              </w:rPr>
            </w:pPr>
            <w:r>
              <w:rPr>
                <w:rFonts w:ascii="Arial"/>
                <w:sz w:val="18"/>
              </w:rPr>
              <w:t>3,055,491,131</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5"/>
              <w:jc w:val="right"/>
              <w:rPr>
                <w:rFonts w:ascii="Arial" w:hAnsi="Arial" w:cs="Arial" w:eastAsia="Arial" w:hint="default"/>
                <w:sz w:val="18"/>
                <w:szCs w:val="18"/>
              </w:rPr>
            </w:pPr>
            <w:r>
              <w:rPr>
                <w:rFonts w:ascii="Arial"/>
                <w:w w:val="101"/>
                <w:sz w:val="18"/>
              </w:rPr>
              <w:t>-</w:t>
            </w:r>
            <w:r>
              <w:rPr>
                <w:rFonts w:ascii="Arial"/>
                <w:sz w:val="18"/>
              </w:rPr>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335" w:right="0"/>
              <w:jc w:val="left"/>
              <w:rPr>
                <w:rFonts w:ascii="Arial" w:hAnsi="Arial" w:cs="Arial" w:eastAsia="Arial" w:hint="default"/>
                <w:sz w:val="18"/>
                <w:szCs w:val="18"/>
              </w:rPr>
            </w:pPr>
            <w:r>
              <w:rPr>
                <w:rFonts w:ascii="Arial"/>
                <w:sz w:val="18"/>
              </w:rPr>
              <w:t>2,993,014,742</w:t>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78"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7"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(29)</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3"/>
              <w:jc w:val="right"/>
              <w:rPr>
                <w:rFonts w:ascii="Arial" w:hAnsi="Arial" w:cs="Arial" w:eastAsia="Arial" w:hint="default"/>
                <w:sz w:val="18"/>
                <w:szCs w:val="18"/>
              </w:rPr>
            </w:pPr>
            <w:r>
              <w:rPr>
                <w:rFonts w:ascii="Arial"/>
                <w:spacing w:val="-1"/>
                <w:sz w:val="18"/>
              </w:rPr>
              <w:t>65,732,658</w:t>
            </w:r>
            <w:r>
              <w:rPr>
                <w:rFonts w:ascii="Arial"/>
                <w:sz w:val="18"/>
              </w:rPr>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3"/>
              <w:jc w:val="right"/>
              <w:rPr>
                <w:rFonts w:ascii="Arial" w:hAnsi="Arial" w:cs="Arial" w:eastAsia="Arial" w:hint="default"/>
                <w:sz w:val="18"/>
                <w:szCs w:val="18"/>
              </w:rPr>
            </w:pPr>
            <w:r>
              <w:rPr>
                <w:rFonts w:ascii="Arial"/>
                <w:spacing w:val="-1"/>
                <w:sz w:val="18"/>
              </w:rPr>
              <w:t>65,735,166</w:t>
            </w:r>
            <w:r>
              <w:rPr>
                <w:rFonts w:ascii="Arial"/>
                <w:sz w:val="18"/>
              </w:rPr>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5"/>
              <w:jc w:val="right"/>
              <w:rPr>
                <w:rFonts w:ascii="Arial" w:hAnsi="Arial" w:cs="Arial" w:eastAsia="Arial" w:hint="default"/>
                <w:sz w:val="18"/>
                <w:szCs w:val="18"/>
              </w:rPr>
            </w:pPr>
            <w:r>
              <w:rPr>
                <w:rFonts w:ascii="Arial"/>
                <w:w w:val="101"/>
                <w:sz w:val="18"/>
              </w:rPr>
              <w:t>-</w:t>
            </w:r>
            <w:r>
              <w:rPr>
                <w:rFonts w:ascii="Arial"/>
                <w:sz w:val="18"/>
              </w:rPr>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78"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7"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(30)</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403" w:right="0"/>
              <w:jc w:val="left"/>
              <w:rPr>
                <w:rFonts w:ascii="Arial" w:hAnsi="Arial" w:cs="Arial" w:eastAsia="Arial" w:hint="default"/>
                <w:sz w:val="18"/>
                <w:szCs w:val="18"/>
              </w:rPr>
            </w:pPr>
            <w:r>
              <w:rPr>
                <w:rFonts w:ascii="Arial"/>
                <w:sz w:val="18"/>
              </w:rPr>
              <w:t>4,851,223,809</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369" w:right="0"/>
              <w:jc w:val="left"/>
              <w:rPr>
                <w:rFonts w:ascii="Arial" w:hAnsi="Arial" w:cs="Arial" w:eastAsia="Arial" w:hint="default"/>
                <w:sz w:val="18"/>
                <w:szCs w:val="18"/>
              </w:rPr>
            </w:pPr>
            <w:r>
              <w:rPr>
                <w:rFonts w:ascii="Arial"/>
                <w:sz w:val="18"/>
              </w:rPr>
              <w:t>3,687,418,387</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5"/>
              <w:jc w:val="right"/>
              <w:rPr>
                <w:rFonts w:ascii="Arial" w:hAnsi="Arial" w:cs="Arial" w:eastAsia="Arial" w:hint="default"/>
                <w:sz w:val="18"/>
                <w:szCs w:val="18"/>
              </w:rPr>
            </w:pPr>
            <w:r>
              <w:rPr>
                <w:rFonts w:ascii="Arial"/>
                <w:w w:val="101"/>
                <w:sz w:val="18"/>
              </w:rPr>
              <w:t>-</w:t>
            </w:r>
            <w:r>
              <w:rPr>
                <w:rFonts w:ascii="Arial"/>
                <w:sz w:val="18"/>
              </w:rPr>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78"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w:t>
            </w:r>
            <w:r>
              <w:rPr>
                <w:rFonts w:ascii="宋体" w:hAnsi="宋体" w:cs="宋体" w:eastAsia="宋体" w:hint="default"/>
                <w:sz w:val="18"/>
                <w:szCs w:val="18"/>
              </w:rPr>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7"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(49)</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3"/>
              <w:jc w:val="right"/>
              <w:rPr>
                <w:rFonts w:ascii="Arial" w:hAnsi="Arial" w:cs="Arial" w:eastAsia="Arial" w:hint="default"/>
                <w:sz w:val="18"/>
                <w:szCs w:val="18"/>
              </w:rPr>
            </w:pPr>
            <w:r>
              <w:rPr>
                <w:rFonts w:ascii="Arial"/>
                <w:spacing w:val="-1"/>
                <w:sz w:val="18"/>
              </w:rPr>
              <w:t>548,989,767</w:t>
            </w:r>
            <w:r>
              <w:rPr>
                <w:rFonts w:ascii="Arial"/>
                <w:sz w:val="18"/>
              </w:rPr>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3"/>
              <w:jc w:val="right"/>
              <w:rPr>
                <w:rFonts w:ascii="Arial" w:hAnsi="Arial" w:cs="Arial" w:eastAsia="Arial" w:hint="default"/>
                <w:sz w:val="18"/>
                <w:szCs w:val="18"/>
              </w:rPr>
            </w:pPr>
            <w:r>
              <w:rPr>
                <w:rFonts w:ascii="Arial"/>
                <w:spacing w:val="-1"/>
                <w:sz w:val="18"/>
              </w:rPr>
              <w:t>125,457,945</w:t>
            </w:r>
            <w:r>
              <w:rPr>
                <w:rFonts w:ascii="Arial"/>
                <w:sz w:val="18"/>
              </w:rPr>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5"/>
              <w:jc w:val="right"/>
              <w:rPr>
                <w:rFonts w:ascii="Arial" w:hAnsi="Arial" w:cs="Arial" w:eastAsia="Arial" w:hint="default"/>
                <w:sz w:val="18"/>
                <w:szCs w:val="18"/>
              </w:rPr>
            </w:pPr>
            <w:r>
              <w:rPr>
                <w:rFonts w:ascii="Arial"/>
                <w:w w:val="101"/>
                <w:sz w:val="18"/>
              </w:rPr>
              <w:t>-</w:t>
            </w:r>
            <w:r>
              <w:rPr>
                <w:rFonts w:ascii="Arial"/>
                <w:sz w:val="18"/>
              </w:rPr>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Arial" w:hAnsi="Arial" w:cs="Arial" w:eastAsia="Arial" w:hint="default"/>
                <w:sz w:val="18"/>
                <w:szCs w:val="18"/>
              </w:rPr>
            </w:pPr>
            <w:r>
              <w:rPr>
                <w:rFonts w:ascii="Arial"/>
                <w:w w:val="101"/>
                <w:sz w:val="18"/>
              </w:rPr>
              <w:t>-</w:t>
            </w:r>
            <w:r>
              <w:rPr>
                <w:rFonts w:ascii="Arial"/>
                <w:sz w:val="18"/>
              </w:rPr>
            </w:r>
          </w:p>
        </w:tc>
      </w:tr>
      <w:tr>
        <w:trPr>
          <w:trHeight w:val="254"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5" w:right="0"/>
              <w:jc w:val="left"/>
              <w:rPr>
                <w:rFonts w:ascii="宋体" w:hAnsi="宋体" w:cs="宋体" w:eastAsia="宋体" w:hint="default"/>
                <w:sz w:val="18"/>
                <w:szCs w:val="18"/>
              </w:rPr>
            </w:pPr>
            <w:r>
              <w:rPr>
                <w:rFonts w:ascii="宋体" w:hAnsi="宋体" w:cs="宋体" w:eastAsia="宋体" w:hint="default"/>
                <w:spacing w:val="-3"/>
                <w:sz w:val="18"/>
                <w:szCs w:val="18"/>
              </w:rPr>
              <w:t>非流动负债合计</w:t>
            </w:r>
            <w:r>
              <w:rPr>
                <w:rFonts w:ascii="宋体" w:hAnsi="宋体" w:cs="宋体" w:eastAsia="宋体" w:hint="default"/>
                <w:sz w:val="18"/>
                <w:szCs w:val="18"/>
              </w:rPr>
            </w:r>
          </w:p>
        </w:tc>
        <w:tc>
          <w:tcPr>
            <w:tcW w:w="595"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302" w:right="0"/>
              <w:jc w:val="left"/>
              <w:rPr>
                <w:rFonts w:ascii="Arial" w:hAnsi="Arial" w:cs="Arial" w:eastAsia="Arial" w:hint="default"/>
                <w:sz w:val="18"/>
                <w:szCs w:val="18"/>
              </w:rPr>
            </w:pPr>
            <w:r>
              <w:rPr>
                <w:rFonts w:ascii="Arial"/>
                <w:sz w:val="18"/>
              </w:rPr>
              <w:t>33,921,990,410</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68" w:right="0"/>
              <w:jc w:val="left"/>
              <w:rPr>
                <w:rFonts w:ascii="Arial" w:hAnsi="Arial" w:cs="Arial" w:eastAsia="Arial" w:hint="default"/>
                <w:sz w:val="18"/>
                <w:szCs w:val="18"/>
              </w:rPr>
            </w:pPr>
            <w:r>
              <w:rPr>
                <w:rFonts w:ascii="Arial"/>
                <w:sz w:val="18"/>
              </w:rPr>
              <w:t>11,106,261,464</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5"/>
              <w:jc w:val="right"/>
              <w:rPr>
                <w:rFonts w:ascii="Arial" w:hAnsi="Arial" w:cs="Arial" w:eastAsia="Arial" w:hint="default"/>
                <w:sz w:val="18"/>
                <w:szCs w:val="18"/>
              </w:rPr>
            </w:pPr>
            <w:r>
              <w:rPr>
                <w:rFonts w:ascii="Arial"/>
                <w:w w:val="101"/>
                <w:sz w:val="18"/>
              </w:rPr>
              <w:t>-</w:t>
            </w:r>
            <w:r>
              <w:rPr>
                <w:rFonts w:ascii="Arial"/>
                <w:sz w:val="18"/>
              </w:rPr>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335" w:right="0"/>
              <w:jc w:val="left"/>
              <w:rPr>
                <w:rFonts w:ascii="Arial" w:hAnsi="Arial" w:cs="Arial" w:eastAsia="Arial" w:hint="default"/>
                <w:sz w:val="18"/>
                <w:szCs w:val="18"/>
              </w:rPr>
            </w:pPr>
            <w:r>
              <w:rPr>
                <w:rFonts w:ascii="Arial"/>
                <w:sz w:val="18"/>
              </w:rPr>
              <w:t>2,993,014,742</w:t>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1651" w:type="dxa"/>
            <w:tcBorders>
              <w:top w:val="single" w:sz="6" w:space="0" w:color="000000"/>
              <w:left w:val="single" w:sz="6" w:space="0" w:color="000000"/>
              <w:bottom w:val="single" w:sz="6" w:space="0" w:color="000000"/>
              <w:right w:val="single" w:sz="6" w:space="0" w:color="000000"/>
            </w:tcBorders>
          </w:tcPr>
          <w:p>
            <w:pPr/>
          </w:p>
        </w:tc>
        <w:tc>
          <w:tcPr>
            <w:tcW w:w="1584"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95"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595"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01" w:right="0"/>
              <w:jc w:val="left"/>
              <w:rPr>
                <w:rFonts w:ascii="Arial" w:hAnsi="Arial" w:cs="Arial" w:eastAsia="Arial" w:hint="default"/>
                <w:sz w:val="18"/>
                <w:szCs w:val="18"/>
              </w:rPr>
            </w:pPr>
            <w:r>
              <w:rPr>
                <w:rFonts w:ascii="Arial"/>
                <w:sz w:val="18"/>
              </w:rPr>
              <w:t>240,734,699,805</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72" w:right="0"/>
              <w:jc w:val="left"/>
              <w:rPr>
                <w:rFonts w:ascii="Arial" w:hAnsi="Arial" w:cs="Arial" w:eastAsia="Arial" w:hint="default"/>
                <w:sz w:val="18"/>
                <w:szCs w:val="18"/>
              </w:rPr>
            </w:pPr>
            <w:r>
              <w:rPr>
                <w:rFonts w:ascii="Arial"/>
                <w:sz w:val="18"/>
              </w:rPr>
              <w:t>224,821,990,766</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383" w:right="0"/>
              <w:jc w:val="left"/>
              <w:rPr>
                <w:rFonts w:ascii="Arial" w:hAnsi="Arial" w:cs="Arial" w:eastAsia="Arial" w:hint="default"/>
                <w:sz w:val="18"/>
                <w:szCs w:val="18"/>
              </w:rPr>
            </w:pPr>
            <w:r>
              <w:rPr>
                <w:rFonts w:ascii="Arial"/>
                <w:sz w:val="18"/>
              </w:rPr>
              <w:t>2,998,108,328</w:t>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335" w:right="0"/>
              <w:jc w:val="left"/>
              <w:rPr>
                <w:rFonts w:ascii="Arial" w:hAnsi="Arial" w:cs="Arial" w:eastAsia="Arial" w:hint="default"/>
                <w:sz w:val="18"/>
                <w:szCs w:val="18"/>
              </w:rPr>
            </w:pPr>
            <w:r>
              <w:rPr>
                <w:rFonts w:ascii="Arial"/>
                <w:sz w:val="18"/>
              </w:rPr>
              <w:t>2,999,931,826</w:t>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1651" w:type="dxa"/>
            <w:tcBorders>
              <w:top w:val="single" w:sz="6" w:space="0" w:color="000000"/>
              <w:left w:val="single" w:sz="6" w:space="0" w:color="000000"/>
              <w:bottom w:val="single" w:sz="6" w:space="0" w:color="000000"/>
              <w:right w:val="single" w:sz="6" w:space="0" w:color="000000"/>
            </w:tcBorders>
          </w:tcPr>
          <w:p>
            <w:pPr/>
          </w:p>
        </w:tc>
        <w:tc>
          <w:tcPr>
            <w:tcW w:w="1584"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95" w:right="0"/>
              <w:jc w:val="left"/>
              <w:rPr>
                <w:rFonts w:ascii="宋体" w:hAnsi="宋体" w:cs="宋体" w:eastAsia="宋体" w:hint="default"/>
                <w:sz w:val="18"/>
                <w:szCs w:val="18"/>
              </w:rPr>
            </w:pPr>
            <w:r>
              <w:rPr>
                <w:rFonts w:ascii="宋体" w:hAnsi="宋体" w:cs="宋体" w:eastAsia="宋体" w:hint="default"/>
                <w:sz w:val="18"/>
                <w:szCs w:val="18"/>
              </w:rPr>
              <w:t>股东权益</w:t>
            </w:r>
          </w:p>
        </w:tc>
        <w:tc>
          <w:tcPr>
            <w:tcW w:w="595"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1651" w:type="dxa"/>
            <w:tcBorders>
              <w:top w:val="single" w:sz="6" w:space="0" w:color="000000"/>
              <w:left w:val="single" w:sz="6" w:space="0" w:color="000000"/>
              <w:bottom w:val="single" w:sz="6" w:space="0" w:color="000000"/>
              <w:right w:val="single" w:sz="6" w:space="0" w:color="000000"/>
            </w:tcBorders>
          </w:tcPr>
          <w:p>
            <w:pPr/>
          </w:p>
        </w:tc>
        <w:tc>
          <w:tcPr>
            <w:tcW w:w="1584" w:type="dxa"/>
            <w:tcBorders>
              <w:top w:val="single" w:sz="6" w:space="0" w:color="000000"/>
              <w:left w:val="single" w:sz="6" w:space="0" w:color="000000"/>
              <w:bottom w:val="single" w:sz="6" w:space="0" w:color="000000"/>
              <w:right w:val="single" w:sz="6" w:space="0" w:color="000000"/>
            </w:tcBorders>
          </w:tcPr>
          <w:p>
            <w:pPr/>
          </w:p>
        </w:tc>
      </w:tr>
      <w:tr>
        <w:trPr>
          <w:trHeight w:val="499"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黑体" w:hAnsi="黑体" w:cs="黑体" w:eastAsia="黑体" w:hint="default"/>
                <w:sz w:val="16"/>
                <w:szCs w:val="16"/>
              </w:rPr>
            </w:pPr>
          </w:p>
          <w:p>
            <w:pPr>
              <w:pStyle w:val="TableParagraph"/>
              <w:spacing w:line="240" w:lineRule="auto"/>
              <w:ind w:left="278"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28" w:lineRule="exact"/>
              <w:ind w:left="14" w:right="0"/>
              <w:jc w:val="left"/>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(31),</w:t>
            </w:r>
          </w:p>
          <w:p>
            <w:pPr>
              <w:pStyle w:val="TableParagraph"/>
              <w:spacing w:line="242" w:lineRule="exact"/>
              <w:ind w:left="4" w:right="-8"/>
              <w:jc w:val="left"/>
              <w:rPr>
                <w:rFonts w:ascii="Arial" w:hAnsi="Arial" w:cs="Arial" w:eastAsia="Arial" w:hint="default"/>
                <w:sz w:val="18"/>
                <w:szCs w:val="18"/>
              </w:rPr>
            </w:pPr>
            <w:r>
              <w:rPr>
                <w:rFonts w:ascii="宋体" w:hAnsi="宋体" w:cs="宋体" w:eastAsia="宋体" w:hint="default"/>
                <w:sz w:val="18"/>
                <w:szCs w:val="18"/>
              </w:rPr>
              <w:t>十五</w:t>
            </w:r>
            <w:r>
              <w:rPr>
                <w:rFonts w:ascii="Arial" w:hAnsi="Arial" w:cs="Arial" w:eastAsia="Arial" w:hint="default"/>
                <w:sz w:val="18"/>
                <w:szCs w:val="18"/>
              </w:rPr>
              <w:t>(5)</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黑体" w:hAnsi="黑体" w:cs="黑体" w:eastAsia="黑体" w:hint="default"/>
                <w:sz w:val="21"/>
                <w:szCs w:val="21"/>
              </w:rPr>
            </w:pPr>
          </w:p>
          <w:p>
            <w:pPr>
              <w:pStyle w:val="TableParagraph"/>
              <w:spacing w:line="240" w:lineRule="auto"/>
              <w:ind w:left="302" w:right="0"/>
              <w:jc w:val="left"/>
              <w:rPr>
                <w:rFonts w:ascii="Arial" w:hAnsi="Arial" w:cs="Arial" w:eastAsia="Arial" w:hint="default"/>
                <w:sz w:val="18"/>
                <w:szCs w:val="18"/>
              </w:rPr>
            </w:pPr>
            <w:r>
              <w:rPr>
                <w:rFonts w:ascii="Arial"/>
                <w:sz w:val="18"/>
              </w:rPr>
              <w:t>31,033,705,687</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黑体" w:hAnsi="黑体" w:cs="黑体" w:eastAsia="黑体" w:hint="default"/>
                <w:sz w:val="21"/>
                <w:szCs w:val="21"/>
              </w:rPr>
            </w:pPr>
          </w:p>
          <w:p>
            <w:pPr>
              <w:pStyle w:val="TableParagraph"/>
              <w:spacing w:line="240" w:lineRule="auto"/>
              <w:ind w:left="268" w:right="0"/>
              <w:jc w:val="left"/>
              <w:rPr>
                <w:rFonts w:ascii="Arial" w:hAnsi="Arial" w:cs="Arial" w:eastAsia="Arial" w:hint="default"/>
                <w:sz w:val="18"/>
                <w:szCs w:val="18"/>
              </w:rPr>
            </w:pPr>
            <w:r>
              <w:rPr>
                <w:rFonts w:ascii="Arial"/>
                <w:sz w:val="18"/>
              </w:rPr>
              <w:t>31,027,811,687</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黑体" w:hAnsi="黑体" w:cs="黑体" w:eastAsia="黑体" w:hint="default"/>
                <w:sz w:val="21"/>
                <w:szCs w:val="21"/>
              </w:rPr>
            </w:pPr>
          </w:p>
          <w:p>
            <w:pPr>
              <w:pStyle w:val="TableParagraph"/>
              <w:spacing w:line="240" w:lineRule="auto"/>
              <w:ind w:left="283" w:right="0"/>
              <w:jc w:val="left"/>
              <w:rPr>
                <w:rFonts w:ascii="Arial" w:hAnsi="Arial" w:cs="Arial" w:eastAsia="Arial" w:hint="default"/>
                <w:sz w:val="18"/>
                <w:szCs w:val="18"/>
              </w:rPr>
            </w:pPr>
            <w:r>
              <w:rPr>
                <w:rFonts w:ascii="Arial"/>
                <w:sz w:val="18"/>
              </w:rPr>
              <w:t>31,033,705,687</w:t>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黑体" w:hAnsi="黑体" w:cs="黑体" w:eastAsia="黑体" w:hint="default"/>
                <w:sz w:val="21"/>
                <w:szCs w:val="21"/>
              </w:rPr>
            </w:pPr>
          </w:p>
          <w:p>
            <w:pPr>
              <w:pStyle w:val="TableParagraph"/>
              <w:spacing w:line="240" w:lineRule="auto"/>
              <w:ind w:left="235" w:right="0"/>
              <w:jc w:val="left"/>
              <w:rPr>
                <w:rFonts w:ascii="Arial" w:hAnsi="Arial" w:cs="Arial" w:eastAsia="Arial" w:hint="default"/>
                <w:sz w:val="18"/>
                <w:szCs w:val="18"/>
              </w:rPr>
            </w:pPr>
            <w:r>
              <w:rPr>
                <w:rFonts w:ascii="Arial"/>
                <w:sz w:val="18"/>
              </w:rPr>
              <w:t>31,027,811,687</w:t>
            </w:r>
          </w:p>
        </w:tc>
      </w:tr>
      <w:tr>
        <w:trPr>
          <w:trHeight w:val="499"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黑体" w:hAnsi="黑体" w:cs="黑体" w:eastAsia="黑体" w:hint="default"/>
                <w:sz w:val="16"/>
                <w:szCs w:val="16"/>
              </w:rPr>
            </w:pPr>
          </w:p>
          <w:p>
            <w:pPr>
              <w:pStyle w:val="TableParagraph"/>
              <w:spacing w:line="240" w:lineRule="auto"/>
              <w:ind w:left="278"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4" w:right="0"/>
              <w:jc w:val="left"/>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(32),</w:t>
            </w:r>
          </w:p>
          <w:p>
            <w:pPr>
              <w:pStyle w:val="TableParagraph"/>
              <w:spacing w:line="239" w:lineRule="exact"/>
              <w:ind w:left="4" w:right="-8"/>
              <w:jc w:val="left"/>
              <w:rPr>
                <w:rFonts w:ascii="Arial" w:hAnsi="Arial" w:cs="Arial" w:eastAsia="Arial" w:hint="default"/>
                <w:sz w:val="18"/>
                <w:szCs w:val="18"/>
              </w:rPr>
            </w:pPr>
            <w:r>
              <w:rPr>
                <w:rFonts w:ascii="宋体" w:hAnsi="宋体" w:cs="宋体" w:eastAsia="宋体" w:hint="default"/>
                <w:sz w:val="18"/>
                <w:szCs w:val="18"/>
              </w:rPr>
              <w:t>十五</w:t>
            </w:r>
            <w:r>
              <w:rPr>
                <w:rFonts w:ascii="Arial" w:hAnsi="Arial" w:cs="Arial" w:eastAsia="Arial" w:hint="default"/>
                <w:sz w:val="18"/>
                <w:szCs w:val="18"/>
              </w:rPr>
              <w:t>(6)</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黑体" w:hAnsi="黑体" w:cs="黑体" w:eastAsia="黑体" w:hint="default"/>
                <w:sz w:val="21"/>
                <w:szCs w:val="21"/>
              </w:rPr>
            </w:pPr>
          </w:p>
          <w:p>
            <w:pPr>
              <w:pStyle w:val="TableParagraph"/>
              <w:spacing w:line="240" w:lineRule="auto"/>
              <w:ind w:left="307" w:right="0"/>
              <w:jc w:val="left"/>
              <w:rPr>
                <w:rFonts w:ascii="Arial" w:hAnsi="Arial" w:cs="Arial" w:eastAsia="Arial" w:hint="default"/>
                <w:sz w:val="18"/>
                <w:szCs w:val="18"/>
              </w:rPr>
            </w:pPr>
            <w:r>
              <w:rPr>
                <w:rFonts w:ascii="Arial"/>
                <w:sz w:val="18"/>
              </w:rPr>
              <w:t>80,107,541,565</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黑体" w:hAnsi="黑体" w:cs="黑体" w:eastAsia="黑体" w:hint="default"/>
                <w:sz w:val="21"/>
                <w:szCs w:val="21"/>
              </w:rPr>
            </w:pPr>
          </w:p>
          <w:p>
            <w:pPr>
              <w:pStyle w:val="TableParagraph"/>
              <w:spacing w:line="240" w:lineRule="auto"/>
              <w:ind w:left="268" w:right="0"/>
              <w:jc w:val="left"/>
              <w:rPr>
                <w:rFonts w:ascii="Arial" w:hAnsi="Arial" w:cs="Arial" w:eastAsia="Arial" w:hint="default"/>
                <w:sz w:val="18"/>
                <w:szCs w:val="18"/>
              </w:rPr>
            </w:pPr>
            <w:r>
              <w:rPr>
                <w:rFonts w:ascii="Arial"/>
                <w:sz w:val="18"/>
              </w:rPr>
              <w:t>79,543,568,623</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黑体" w:hAnsi="黑体" w:cs="黑体" w:eastAsia="黑体" w:hint="default"/>
                <w:sz w:val="21"/>
                <w:szCs w:val="21"/>
              </w:rPr>
            </w:pPr>
          </w:p>
          <w:p>
            <w:pPr>
              <w:pStyle w:val="TableParagraph"/>
              <w:spacing w:line="240" w:lineRule="auto"/>
              <w:ind w:left="283" w:right="0"/>
              <w:jc w:val="left"/>
              <w:rPr>
                <w:rFonts w:ascii="Arial" w:hAnsi="Arial" w:cs="Arial" w:eastAsia="Arial" w:hint="default"/>
                <w:sz w:val="18"/>
                <w:szCs w:val="18"/>
              </w:rPr>
            </w:pPr>
            <w:r>
              <w:rPr>
                <w:rFonts w:ascii="Arial"/>
                <w:sz w:val="18"/>
              </w:rPr>
              <w:t>73,035,724,953</w:t>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黑体" w:hAnsi="黑体" w:cs="黑体" w:eastAsia="黑体" w:hint="default"/>
                <w:sz w:val="21"/>
                <w:szCs w:val="21"/>
              </w:rPr>
            </w:pPr>
          </w:p>
          <w:p>
            <w:pPr>
              <w:pStyle w:val="TableParagraph"/>
              <w:spacing w:line="240" w:lineRule="auto"/>
              <w:ind w:left="235" w:right="0"/>
              <w:jc w:val="left"/>
              <w:rPr>
                <w:rFonts w:ascii="Arial" w:hAnsi="Arial" w:cs="Arial" w:eastAsia="Arial" w:hint="default"/>
                <w:sz w:val="18"/>
                <w:szCs w:val="18"/>
              </w:rPr>
            </w:pPr>
            <w:r>
              <w:rPr>
                <w:rFonts w:ascii="Arial"/>
                <w:sz w:val="18"/>
              </w:rPr>
              <w:t>72,448,610,693</w:t>
            </w:r>
          </w:p>
        </w:tc>
      </w:tr>
      <w:tr>
        <w:trPr>
          <w:trHeight w:val="499"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黑体" w:hAnsi="黑体" w:cs="黑体" w:eastAsia="黑体" w:hint="default"/>
                <w:sz w:val="16"/>
                <w:szCs w:val="16"/>
              </w:rPr>
            </w:pPr>
          </w:p>
          <w:p>
            <w:pPr>
              <w:pStyle w:val="TableParagraph"/>
              <w:spacing w:line="240" w:lineRule="auto"/>
              <w:ind w:left="278" w:right="0"/>
              <w:jc w:val="left"/>
              <w:rPr>
                <w:rFonts w:ascii="宋体" w:hAnsi="宋体" w:cs="宋体" w:eastAsia="宋体" w:hint="default"/>
                <w:sz w:val="18"/>
                <w:szCs w:val="18"/>
              </w:rPr>
            </w:pPr>
            <w:r>
              <w:rPr>
                <w:rFonts w:ascii="宋体" w:hAnsi="宋体" w:cs="宋体" w:eastAsia="宋体" w:hint="default"/>
                <w:spacing w:val="-3"/>
                <w:sz w:val="18"/>
                <w:szCs w:val="18"/>
              </w:rPr>
              <w:t>减：库存股</w:t>
            </w:r>
            <w:r>
              <w:rPr>
                <w:rFonts w:ascii="宋体" w:hAnsi="宋体" w:cs="宋体" w:eastAsia="宋体" w:hint="default"/>
                <w:sz w:val="18"/>
                <w:szCs w:val="18"/>
              </w:rPr>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4" w:right="0"/>
              <w:jc w:val="left"/>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(33),</w:t>
            </w:r>
          </w:p>
          <w:p>
            <w:pPr>
              <w:pStyle w:val="TableParagraph"/>
              <w:spacing w:line="239" w:lineRule="exact"/>
              <w:ind w:left="4" w:right="-8"/>
              <w:jc w:val="left"/>
              <w:rPr>
                <w:rFonts w:ascii="Arial" w:hAnsi="Arial" w:cs="Arial" w:eastAsia="Arial" w:hint="default"/>
                <w:sz w:val="18"/>
                <w:szCs w:val="18"/>
              </w:rPr>
            </w:pPr>
            <w:r>
              <w:rPr>
                <w:rFonts w:ascii="宋体" w:hAnsi="宋体" w:cs="宋体" w:eastAsia="宋体" w:hint="default"/>
                <w:sz w:val="18"/>
                <w:szCs w:val="18"/>
              </w:rPr>
              <w:t>十五</w:t>
            </w:r>
            <w:r>
              <w:rPr>
                <w:rFonts w:ascii="Arial" w:hAnsi="Arial" w:cs="Arial" w:eastAsia="Arial" w:hint="default"/>
                <w:sz w:val="18"/>
                <w:szCs w:val="18"/>
              </w:rPr>
              <w:t>(7)</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黑体" w:hAnsi="黑体" w:cs="黑体" w:eastAsia="黑体" w:hint="default"/>
                <w:sz w:val="21"/>
                <w:szCs w:val="21"/>
              </w:rPr>
            </w:pPr>
          </w:p>
          <w:p>
            <w:pPr>
              <w:pStyle w:val="TableParagraph"/>
              <w:spacing w:line="240" w:lineRule="auto"/>
              <w:ind w:right="28"/>
              <w:jc w:val="right"/>
              <w:rPr>
                <w:rFonts w:ascii="Arial" w:hAnsi="Arial" w:cs="Arial" w:eastAsia="Arial" w:hint="default"/>
                <w:sz w:val="18"/>
                <w:szCs w:val="18"/>
              </w:rPr>
            </w:pPr>
            <w:r>
              <w:rPr>
                <w:rFonts w:ascii="Arial"/>
                <w:spacing w:val="-2"/>
                <w:sz w:val="18"/>
              </w:rPr>
              <w:t>(3,015,353,002)</w:t>
            </w:r>
            <w:r>
              <w:rPr>
                <w:rFonts w:ascii="Arial"/>
                <w:sz w:val="18"/>
              </w:rPr>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黑体" w:hAnsi="黑体" w:cs="黑体" w:eastAsia="黑体" w:hint="default"/>
                <w:sz w:val="21"/>
                <w:szCs w:val="21"/>
              </w:rPr>
            </w:pPr>
          </w:p>
          <w:p>
            <w:pPr>
              <w:pStyle w:val="TableParagraph"/>
              <w:spacing w:line="240" w:lineRule="auto"/>
              <w:ind w:right="28"/>
              <w:jc w:val="right"/>
              <w:rPr>
                <w:rFonts w:ascii="Arial" w:hAnsi="Arial" w:cs="Arial" w:eastAsia="Arial" w:hint="default"/>
                <w:sz w:val="18"/>
                <w:szCs w:val="18"/>
              </w:rPr>
            </w:pPr>
            <w:r>
              <w:rPr>
                <w:rFonts w:ascii="Arial"/>
                <w:spacing w:val="-2"/>
                <w:sz w:val="18"/>
              </w:rPr>
              <w:t>(2,993,014,742)</w:t>
            </w:r>
            <w:r>
              <w:rPr>
                <w:rFonts w:ascii="Arial"/>
                <w:sz w:val="18"/>
              </w:rPr>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黑体" w:hAnsi="黑体" w:cs="黑体" w:eastAsia="黑体" w:hint="default"/>
                <w:sz w:val="21"/>
                <w:szCs w:val="21"/>
              </w:rPr>
            </w:pPr>
          </w:p>
          <w:p>
            <w:pPr>
              <w:pStyle w:val="TableParagraph"/>
              <w:spacing w:line="240" w:lineRule="auto"/>
              <w:ind w:right="42"/>
              <w:jc w:val="right"/>
              <w:rPr>
                <w:rFonts w:ascii="Arial" w:hAnsi="Arial" w:cs="Arial" w:eastAsia="Arial" w:hint="default"/>
                <w:sz w:val="18"/>
                <w:szCs w:val="18"/>
              </w:rPr>
            </w:pPr>
            <w:r>
              <w:rPr>
                <w:rFonts w:ascii="Arial"/>
                <w:spacing w:val="-2"/>
                <w:sz w:val="18"/>
              </w:rPr>
              <w:t>(3,015,353,002)</w:t>
            </w:r>
            <w:r>
              <w:rPr>
                <w:rFonts w:ascii="Arial"/>
                <w:sz w:val="18"/>
              </w:rPr>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黑体" w:hAnsi="黑体" w:cs="黑体" w:eastAsia="黑体" w:hint="default"/>
                <w:sz w:val="21"/>
                <w:szCs w:val="21"/>
              </w:rPr>
            </w:pPr>
          </w:p>
          <w:p>
            <w:pPr>
              <w:pStyle w:val="TableParagraph"/>
              <w:spacing w:line="240" w:lineRule="auto"/>
              <w:ind w:right="18"/>
              <w:jc w:val="right"/>
              <w:rPr>
                <w:rFonts w:ascii="Arial" w:hAnsi="Arial" w:cs="Arial" w:eastAsia="Arial" w:hint="default"/>
                <w:sz w:val="18"/>
                <w:szCs w:val="18"/>
              </w:rPr>
            </w:pPr>
            <w:r>
              <w:rPr>
                <w:rFonts w:ascii="Arial"/>
                <w:spacing w:val="-2"/>
                <w:sz w:val="18"/>
              </w:rPr>
              <w:t>(2,993,014,742)</w:t>
            </w:r>
            <w:r>
              <w:rPr>
                <w:rFonts w:ascii="Arial"/>
                <w:sz w:val="18"/>
              </w:rPr>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78"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7"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(34)</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28"/>
              <w:jc w:val="right"/>
              <w:rPr>
                <w:rFonts w:ascii="Arial" w:hAnsi="Arial" w:cs="Arial" w:eastAsia="Arial" w:hint="default"/>
                <w:sz w:val="18"/>
                <w:szCs w:val="18"/>
              </w:rPr>
            </w:pPr>
            <w:r>
              <w:rPr>
                <w:rFonts w:ascii="Arial"/>
                <w:spacing w:val="-2"/>
                <w:sz w:val="18"/>
              </w:rPr>
              <w:t>(2,723,796,222)</w:t>
            </w:r>
            <w:r>
              <w:rPr>
                <w:rFonts w:ascii="Arial"/>
                <w:sz w:val="18"/>
              </w:rPr>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28"/>
              <w:jc w:val="right"/>
              <w:rPr>
                <w:rFonts w:ascii="Arial" w:hAnsi="Arial" w:cs="Arial" w:eastAsia="Arial" w:hint="default"/>
                <w:sz w:val="18"/>
                <w:szCs w:val="18"/>
              </w:rPr>
            </w:pPr>
            <w:r>
              <w:rPr>
                <w:rFonts w:ascii="Arial"/>
                <w:spacing w:val="-2"/>
                <w:sz w:val="18"/>
              </w:rPr>
              <w:t>(2,503,550,854)</w:t>
            </w:r>
            <w:r>
              <w:rPr>
                <w:rFonts w:ascii="Arial"/>
                <w:sz w:val="18"/>
              </w:rPr>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5"/>
              <w:jc w:val="right"/>
              <w:rPr>
                <w:rFonts w:ascii="Arial" w:hAnsi="Arial" w:cs="Arial" w:eastAsia="Arial" w:hint="default"/>
                <w:sz w:val="18"/>
                <w:szCs w:val="18"/>
              </w:rPr>
            </w:pPr>
            <w:r>
              <w:rPr>
                <w:rFonts w:ascii="Arial"/>
                <w:w w:val="101"/>
                <w:sz w:val="18"/>
              </w:rPr>
              <w:t>-</w:t>
            </w:r>
            <w:r>
              <w:rPr>
                <w:rFonts w:ascii="Arial"/>
                <w:sz w:val="18"/>
              </w:rPr>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Arial" w:hAnsi="Arial" w:cs="Arial" w:eastAsia="Arial" w:hint="default"/>
                <w:sz w:val="18"/>
                <w:szCs w:val="18"/>
              </w:rPr>
            </w:pPr>
            <w:r>
              <w:rPr>
                <w:rFonts w:ascii="Arial"/>
                <w:w w:val="101"/>
                <w:sz w:val="18"/>
              </w:rPr>
              <w:t>-</w:t>
            </w:r>
            <w:r>
              <w:rPr>
                <w:rFonts w:ascii="Arial"/>
                <w:sz w:val="18"/>
              </w:rPr>
            </w:r>
          </w:p>
        </w:tc>
      </w:tr>
      <w:tr>
        <w:trPr>
          <w:trHeight w:val="254"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8"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595"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3"/>
              <w:jc w:val="right"/>
              <w:rPr>
                <w:rFonts w:ascii="Arial" w:hAnsi="Arial" w:cs="Arial" w:eastAsia="Arial" w:hint="default"/>
                <w:sz w:val="18"/>
                <w:szCs w:val="18"/>
              </w:rPr>
            </w:pPr>
            <w:r>
              <w:rPr>
                <w:rFonts w:ascii="Arial"/>
                <w:spacing w:val="-1"/>
                <w:sz w:val="18"/>
              </w:rPr>
              <w:t>300,438,116</w:t>
            </w:r>
            <w:r>
              <w:rPr>
                <w:rFonts w:ascii="Arial"/>
                <w:sz w:val="18"/>
              </w:rPr>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3"/>
              <w:jc w:val="right"/>
              <w:rPr>
                <w:rFonts w:ascii="Arial" w:hAnsi="Arial" w:cs="Arial" w:eastAsia="Arial" w:hint="default"/>
                <w:sz w:val="18"/>
                <w:szCs w:val="18"/>
              </w:rPr>
            </w:pPr>
            <w:r>
              <w:rPr>
                <w:rFonts w:ascii="Arial"/>
                <w:spacing w:val="-1"/>
                <w:sz w:val="18"/>
              </w:rPr>
              <w:t>205,458,044</w:t>
            </w:r>
            <w:r>
              <w:rPr>
                <w:rFonts w:ascii="Arial"/>
                <w:sz w:val="18"/>
              </w:rPr>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5"/>
              <w:jc w:val="right"/>
              <w:rPr>
                <w:rFonts w:ascii="Arial" w:hAnsi="Arial" w:cs="Arial" w:eastAsia="Arial" w:hint="default"/>
                <w:sz w:val="18"/>
                <w:szCs w:val="18"/>
              </w:rPr>
            </w:pPr>
            <w:r>
              <w:rPr>
                <w:rFonts w:ascii="Arial"/>
                <w:w w:val="101"/>
                <w:sz w:val="18"/>
              </w:rPr>
              <w:t>-</w:t>
            </w:r>
            <w:r>
              <w:rPr>
                <w:rFonts w:ascii="Arial"/>
                <w:sz w:val="18"/>
              </w:rPr>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78"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7"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(35)</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403" w:right="0"/>
              <w:jc w:val="left"/>
              <w:rPr>
                <w:rFonts w:ascii="Arial" w:hAnsi="Arial" w:cs="Arial" w:eastAsia="Arial" w:hint="default"/>
                <w:sz w:val="18"/>
                <w:szCs w:val="18"/>
              </w:rPr>
            </w:pPr>
            <w:r>
              <w:rPr>
                <w:rFonts w:ascii="Arial"/>
                <w:sz w:val="18"/>
              </w:rPr>
              <w:t>1,601,360,706</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369" w:right="0"/>
              <w:jc w:val="left"/>
              <w:rPr>
                <w:rFonts w:ascii="Arial" w:hAnsi="Arial" w:cs="Arial" w:eastAsia="Arial" w:hint="default"/>
                <w:sz w:val="18"/>
                <w:szCs w:val="18"/>
              </w:rPr>
            </w:pPr>
            <w:r>
              <w:rPr>
                <w:rFonts w:ascii="Arial"/>
                <w:sz w:val="18"/>
              </w:rPr>
              <w:t>1,412,023,687</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383" w:right="0"/>
              <w:jc w:val="left"/>
              <w:rPr>
                <w:rFonts w:ascii="Arial" w:hAnsi="Arial" w:cs="Arial" w:eastAsia="Arial" w:hint="default"/>
                <w:sz w:val="18"/>
                <w:szCs w:val="18"/>
              </w:rPr>
            </w:pPr>
            <w:r>
              <w:rPr>
                <w:rFonts w:ascii="Arial"/>
                <w:sz w:val="18"/>
              </w:rPr>
              <w:t>1,601,360,706</w:t>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335" w:right="0"/>
              <w:jc w:val="left"/>
              <w:rPr>
                <w:rFonts w:ascii="Arial" w:hAnsi="Arial" w:cs="Arial" w:eastAsia="Arial" w:hint="default"/>
                <w:sz w:val="18"/>
                <w:szCs w:val="18"/>
              </w:rPr>
            </w:pPr>
            <w:r>
              <w:rPr>
                <w:rFonts w:ascii="Arial"/>
                <w:sz w:val="18"/>
              </w:rPr>
              <w:t>1,412,023,687</w:t>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78" w:right="0"/>
              <w:jc w:val="left"/>
              <w:rPr>
                <w:rFonts w:ascii="宋体" w:hAnsi="宋体" w:cs="宋体" w:eastAsia="宋体" w:hint="default"/>
                <w:sz w:val="18"/>
                <w:szCs w:val="18"/>
              </w:rPr>
            </w:pPr>
            <w:r>
              <w:rPr>
                <w:rFonts w:ascii="宋体" w:hAnsi="宋体" w:cs="宋体" w:eastAsia="宋体" w:hint="default"/>
                <w:spacing w:val="-3"/>
                <w:sz w:val="18"/>
                <w:szCs w:val="18"/>
              </w:rPr>
              <w:t>未分配利润</w:t>
            </w:r>
            <w:r>
              <w:rPr>
                <w:rFonts w:ascii="宋体" w:hAnsi="宋体" w:cs="宋体" w:eastAsia="宋体" w:hint="default"/>
                <w:sz w:val="18"/>
                <w:szCs w:val="18"/>
              </w:rPr>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7"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(36)</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302" w:right="0"/>
              <w:jc w:val="left"/>
              <w:rPr>
                <w:rFonts w:ascii="Arial" w:hAnsi="Arial" w:cs="Arial" w:eastAsia="Arial" w:hint="default"/>
                <w:sz w:val="18"/>
                <w:szCs w:val="18"/>
              </w:rPr>
            </w:pPr>
            <w:r>
              <w:rPr>
                <w:rFonts w:ascii="Arial"/>
                <w:sz w:val="18"/>
              </w:rPr>
              <w:t>36,023,405,325</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68" w:right="0"/>
              <w:jc w:val="left"/>
              <w:rPr>
                <w:rFonts w:ascii="Arial" w:hAnsi="Arial" w:cs="Arial" w:eastAsia="Arial" w:hint="default"/>
                <w:sz w:val="18"/>
                <w:szCs w:val="18"/>
              </w:rPr>
            </w:pPr>
            <w:r>
              <w:rPr>
                <w:rFonts w:ascii="Arial"/>
                <w:sz w:val="18"/>
              </w:rPr>
              <w:t>33,452,065,245</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8"/>
              <w:jc w:val="right"/>
              <w:rPr>
                <w:rFonts w:ascii="Arial" w:hAnsi="Arial" w:cs="Arial" w:eastAsia="Arial" w:hint="default"/>
                <w:sz w:val="18"/>
                <w:szCs w:val="18"/>
              </w:rPr>
            </w:pPr>
            <w:r>
              <w:rPr>
                <w:rFonts w:ascii="Arial"/>
                <w:spacing w:val="-1"/>
                <w:sz w:val="18"/>
              </w:rPr>
              <w:t>94,240,411</w:t>
            </w:r>
            <w:r>
              <w:rPr>
                <w:rFonts w:ascii="Arial"/>
                <w:sz w:val="18"/>
              </w:rPr>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74"/>
              <w:jc w:val="right"/>
              <w:rPr>
                <w:rFonts w:ascii="Arial" w:hAnsi="Arial" w:cs="Arial" w:eastAsia="Arial" w:hint="default"/>
                <w:sz w:val="18"/>
                <w:szCs w:val="18"/>
              </w:rPr>
            </w:pPr>
            <w:r>
              <w:rPr>
                <w:rFonts w:ascii="Arial"/>
                <w:spacing w:val="-1"/>
                <w:sz w:val="18"/>
              </w:rPr>
              <w:t>44,690,821</w:t>
            </w:r>
            <w:r>
              <w:rPr>
                <w:rFonts w:ascii="Arial"/>
                <w:sz w:val="18"/>
              </w:rPr>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78" w:right="0"/>
              <w:jc w:val="left"/>
              <w:rPr>
                <w:rFonts w:ascii="宋体" w:hAnsi="宋体" w:cs="宋体" w:eastAsia="宋体" w:hint="default"/>
                <w:sz w:val="18"/>
                <w:szCs w:val="18"/>
              </w:rPr>
            </w:pPr>
            <w:r>
              <w:rPr>
                <w:rFonts w:ascii="宋体" w:hAnsi="宋体" w:cs="宋体" w:eastAsia="宋体" w:hint="default"/>
                <w:spacing w:val="-3"/>
                <w:sz w:val="18"/>
                <w:szCs w:val="18"/>
              </w:rPr>
              <w:t>归属于母公司股东权益合计</w:t>
            </w:r>
          </w:p>
        </w:tc>
        <w:tc>
          <w:tcPr>
            <w:tcW w:w="595"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06" w:right="0"/>
              <w:jc w:val="left"/>
              <w:rPr>
                <w:rFonts w:ascii="Arial" w:hAnsi="Arial" w:cs="Arial" w:eastAsia="Arial" w:hint="default"/>
                <w:sz w:val="18"/>
                <w:szCs w:val="18"/>
              </w:rPr>
            </w:pPr>
            <w:r>
              <w:rPr>
                <w:rFonts w:ascii="Arial"/>
                <w:sz w:val="18"/>
              </w:rPr>
              <w:t>143,327,302,175</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72" w:right="0"/>
              <w:jc w:val="left"/>
              <w:rPr>
                <w:rFonts w:ascii="Arial" w:hAnsi="Arial" w:cs="Arial" w:eastAsia="Arial" w:hint="default"/>
                <w:sz w:val="18"/>
                <w:szCs w:val="18"/>
              </w:rPr>
            </w:pPr>
            <w:r>
              <w:rPr>
                <w:rFonts w:ascii="Arial"/>
                <w:sz w:val="18"/>
              </w:rPr>
              <w:t>140,144,361,690</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91" w:right="0"/>
              <w:jc w:val="left"/>
              <w:rPr>
                <w:rFonts w:ascii="Arial" w:hAnsi="Arial" w:cs="Arial" w:eastAsia="Arial" w:hint="default"/>
                <w:sz w:val="18"/>
                <w:szCs w:val="18"/>
              </w:rPr>
            </w:pPr>
            <w:r>
              <w:rPr>
                <w:rFonts w:ascii="Arial"/>
                <w:sz w:val="18"/>
              </w:rPr>
              <w:t>102,749,678,755</w:t>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39" w:right="0"/>
              <w:jc w:val="left"/>
              <w:rPr>
                <w:rFonts w:ascii="Arial" w:hAnsi="Arial" w:cs="Arial" w:eastAsia="Arial" w:hint="default"/>
                <w:sz w:val="18"/>
                <w:szCs w:val="18"/>
              </w:rPr>
            </w:pPr>
            <w:r>
              <w:rPr>
                <w:rFonts w:ascii="Arial"/>
                <w:sz w:val="18"/>
              </w:rPr>
              <w:t>101,940,122,146</w:t>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1651" w:type="dxa"/>
            <w:tcBorders>
              <w:top w:val="single" w:sz="6" w:space="0" w:color="000000"/>
              <w:left w:val="single" w:sz="6" w:space="0" w:color="000000"/>
              <w:bottom w:val="single" w:sz="6" w:space="0" w:color="000000"/>
              <w:right w:val="single" w:sz="6" w:space="0" w:color="000000"/>
            </w:tcBorders>
          </w:tcPr>
          <w:p>
            <w:pPr/>
          </w:p>
        </w:tc>
        <w:tc>
          <w:tcPr>
            <w:tcW w:w="1584"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278"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595"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06" w:right="0"/>
              <w:jc w:val="left"/>
              <w:rPr>
                <w:rFonts w:ascii="Arial" w:hAnsi="Arial" w:cs="Arial" w:eastAsia="Arial" w:hint="default"/>
                <w:sz w:val="18"/>
                <w:szCs w:val="18"/>
              </w:rPr>
            </w:pPr>
            <w:r>
              <w:rPr>
                <w:rFonts w:ascii="Arial"/>
                <w:sz w:val="18"/>
              </w:rPr>
              <w:t>180,168,616,732</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72" w:right="0"/>
              <w:jc w:val="left"/>
              <w:rPr>
                <w:rFonts w:ascii="Arial" w:hAnsi="Arial" w:cs="Arial" w:eastAsia="Arial" w:hint="default"/>
                <w:sz w:val="18"/>
                <w:szCs w:val="18"/>
              </w:rPr>
            </w:pPr>
            <w:r>
              <w:rPr>
                <w:rFonts w:ascii="Arial"/>
                <w:sz w:val="18"/>
              </w:rPr>
              <w:t>176,795,931,528</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5"/>
              <w:jc w:val="right"/>
              <w:rPr>
                <w:rFonts w:ascii="Arial" w:hAnsi="Arial" w:cs="Arial" w:eastAsia="Arial" w:hint="default"/>
                <w:sz w:val="18"/>
                <w:szCs w:val="18"/>
              </w:rPr>
            </w:pPr>
            <w:r>
              <w:rPr>
                <w:rFonts w:ascii="Arial"/>
                <w:w w:val="101"/>
                <w:sz w:val="18"/>
              </w:rPr>
              <w:t>-</w:t>
            </w:r>
            <w:r>
              <w:rPr>
                <w:rFonts w:ascii="Arial"/>
                <w:sz w:val="18"/>
              </w:rPr>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95" w:right="0"/>
              <w:jc w:val="left"/>
              <w:rPr>
                <w:rFonts w:ascii="宋体" w:hAnsi="宋体" w:cs="宋体" w:eastAsia="宋体" w:hint="default"/>
                <w:sz w:val="18"/>
                <w:szCs w:val="18"/>
              </w:rPr>
            </w:pPr>
            <w:r>
              <w:rPr>
                <w:rFonts w:ascii="宋体" w:hAnsi="宋体" w:cs="宋体" w:eastAsia="宋体" w:hint="default"/>
                <w:sz w:val="18"/>
                <w:szCs w:val="18"/>
              </w:rPr>
              <w:t>股东权益合计</w:t>
            </w:r>
          </w:p>
        </w:tc>
        <w:tc>
          <w:tcPr>
            <w:tcW w:w="595"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06" w:right="0"/>
              <w:jc w:val="left"/>
              <w:rPr>
                <w:rFonts w:ascii="Arial" w:hAnsi="Arial" w:cs="Arial" w:eastAsia="Arial" w:hint="default"/>
                <w:sz w:val="18"/>
                <w:szCs w:val="18"/>
              </w:rPr>
            </w:pPr>
            <w:r>
              <w:rPr>
                <w:rFonts w:ascii="Arial"/>
                <w:sz w:val="18"/>
              </w:rPr>
              <w:t>323,495,918,907</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72" w:right="0"/>
              <w:jc w:val="left"/>
              <w:rPr>
                <w:rFonts w:ascii="Arial" w:hAnsi="Arial" w:cs="Arial" w:eastAsia="Arial" w:hint="default"/>
                <w:sz w:val="18"/>
                <w:szCs w:val="18"/>
              </w:rPr>
            </w:pPr>
            <w:r>
              <w:rPr>
                <w:rFonts w:ascii="Arial"/>
                <w:sz w:val="18"/>
              </w:rPr>
              <w:t>316,940,293,218</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87" w:right="0"/>
              <w:jc w:val="left"/>
              <w:rPr>
                <w:rFonts w:ascii="Arial" w:hAnsi="Arial" w:cs="Arial" w:eastAsia="Arial" w:hint="default"/>
                <w:sz w:val="18"/>
                <w:szCs w:val="18"/>
              </w:rPr>
            </w:pPr>
            <w:r>
              <w:rPr>
                <w:rFonts w:ascii="Arial"/>
                <w:sz w:val="18"/>
              </w:rPr>
              <w:t>102,749,678,755</w:t>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24" w:right="0"/>
              <w:jc w:val="left"/>
              <w:rPr>
                <w:rFonts w:ascii="Arial" w:hAnsi="Arial" w:cs="Arial" w:eastAsia="Arial" w:hint="default"/>
                <w:sz w:val="18"/>
                <w:szCs w:val="18"/>
              </w:rPr>
            </w:pPr>
            <w:r>
              <w:rPr>
                <w:rFonts w:ascii="Arial"/>
                <w:sz w:val="18"/>
              </w:rPr>
              <w:t>101,940,122,146</w:t>
            </w: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1651" w:type="dxa"/>
            <w:tcBorders>
              <w:top w:val="single" w:sz="6" w:space="0" w:color="000000"/>
              <w:left w:val="single" w:sz="6" w:space="0" w:color="000000"/>
              <w:bottom w:val="single" w:sz="6" w:space="0" w:color="000000"/>
              <w:right w:val="single" w:sz="6" w:space="0" w:color="000000"/>
            </w:tcBorders>
          </w:tcPr>
          <w:p>
            <w:pPr/>
          </w:p>
        </w:tc>
        <w:tc>
          <w:tcPr>
            <w:tcW w:w="1584"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95" w:right="0"/>
              <w:jc w:val="left"/>
              <w:rPr>
                <w:rFonts w:ascii="宋体" w:hAnsi="宋体" w:cs="宋体" w:eastAsia="宋体" w:hint="default"/>
                <w:sz w:val="18"/>
                <w:szCs w:val="18"/>
              </w:rPr>
            </w:pPr>
            <w:r>
              <w:rPr>
                <w:rFonts w:ascii="宋体" w:hAnsi="宋体" w:cs="宋体" w:eastAsia="宋体" w:hint="default"/>
                <w:spacing w:val="-3"/>
                <w:sz w:val="18"/>
                <w:szCs w:val="18"/>
              </w:rPr>
              <w:t>负债和股东权益总计</w:t>
            </w:r>
            <w:r>
              <w:rPr>
                <w:rFonts w:ascii="宋体" w:hAnsi="宋体" w:cs="宋体" w:eastAsia="宋体" w:hint="default"/>
                <w:sz w:val="18"/>
                <w:szCs w:val="18"/>
              </w:rPr>
            </w:r>
          </w:p>
        </w:tc>
        <w:tc>
          <w:tcPr>
            <w:tcW w:w="595"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01" w:right="0"/>
              <w:jc w:val="left"/>
              <w:rPr>
                <w:rFonts w:ascii="Arial" w:hAnsi="Arial" w:cs="Arial" w:eastAsia="Arial" w:hint="default"/>
                <w:sz w:val="18"/>
                <w:szCs w:val="18"/>
              </w:rPr>
            </w:pPr>
            <w:r>
              <w:rPr>
                <w:rFonts w:ascii="Arial"/>
                <w:sz w:val="18"/>
              </w:rPr>
              <w:t>564,230,618,712</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72" w:right="0"/>
              <w:jc w:val="left"/>
              <w:rPr>
                <w:rFonts w:ascii="Arial" w:hAnsi="Arial" w:cs="Arial" w:eastAsia="Arial" w:hint="default"/>
                <w:sz w:val="18"/>
                <w:szCs w:val="18"/>
              </w:rPr>
            </w:pPr>
            <w:r>
              <w:rPr>
                <w:rFonts w:ascii="Arial"/>
                <w:sz w:val="18"/>
              </w:rPr>
              <w:t>541,762,283,984</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82" w:right="0"/>
              <w:jc w:val="left"/>
              <w:rPr>
                <w:rFonts w:ascii="Arial" w:hAnsi="Arial" w:cs="Arial" w:eastAsia="Arial" w:hint="default"/>
                <w:sz w:val="18"/>
                <w:szCs w:val="18"/>
              </w:rPr>
            </w:pPr>
            <w:r>
              <w:rPr>
                <w:rFonts w:ascii="Arial"/>
                <w:sz w:val="18"/>
              </w:rPr>
              <w:t>105,747,787,083</w:t>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39" w:right="0"/>
              <w:jc w:val="left"/>
              <w:rPr>
                <w:rFonts w:ascii="Arial" w:hAnsi="Arial" w:cs="Arial" w:eastAsia="Arial" w:hint="default"/>
                <w:sz w:val="18"/>
                <w:szCs w:val="18"/>
              </w:rPr>
            </w:pPr>
            <w:r>
              <w:rPr>
                <w:rFonts w:ascii="Arial"/>
                <w:sz w:val="18"/>
              </w:rPr>
              <w:t>104,940,053,972</w:t>
            </w:r>
          </w:p>
        </w:tc>
      </w:tr>
    </w:tbl>
    <w:p>
      <w:pPr>
        <w:spacing w:line="240" w:lineRule="auto" w:before="2"/>
        <w:rPr>
          <w:rFonts w:ascii="黑体" w:hAnsi="黑体" w:cs="黑体" w:eastAsia="黑体" w:hint="default"/>
          <w:sz w:val="12"/>
          <w:szCs w:val="12"/>
        </w:rPr>
      </w:pPr>
    </w:p>
    <w:p>
      <w:pPr>
        <w:spacing w:before="39"/>
        <w:ind w:left="128" w:right="94" w:firstLine="0"/>
        <w:jc w:val="left"/>
        <w:rPr>
          <w:rFonts w:ascii="宋体" w:hAnsi="宋体" w:cs="宋体" w:eastAsia="宋体" w:hint="default"/>
          <w:sz w:val="20"/>
          <w:szCs w:val="20"/>
        </w:rPr>
      </w:pPr>
      <w:r>
        <w:rPr>
          <w:rFonts w:ascii="宋体" w:hAnsi="宋体" w:cs="宋体" w:eastAsia="宋体" w:hint="default"/>
          <w:sz w:val="20"/>
          <w:szCs w:val="20"/>
        </w:rPr>
        <w:t>后附财务报表附注为财务报表的组成部分。</w:t>
      </w:r>
    </w:p>
    <w:p>
      <w:pPr>
        <w:spacing w:line="240" w:lineRule="auto" w:before="0"/>
        <w:rPr>
          <w:rFonts w:ascii="宋体" w:hAnsi="宋体" w:cs="宋体" w:eastAsia="宋体" w:hint="default"/>
          <w:sz w:val="20"/>
          <w:szCs w:val="20"/>
        </w:rPr>
      </w:pPr>
    </w:p>
    <w:p>
      <w:pPr>
        <w:pStyle w:val="BodyText"/>
        <w:tabs>
          <w:tab w:pos="3627" w:val="left" w:leader="none"/>
          <w:tab w:pos="7227" w:val="left" w:leader="none"/>
        </w:tabs>
        <w:spacing w:line="240" w:lineRule="auto" w:before="168"/>
        <w:ind w:left="128" w:right="94"/>
        <w:jc w:val="left"/>
      </w:pPr>
      <w:r>
        <w:rPr/>
        <w:t>董事长：王晓初</w:t>
        <w:tab/>
      </w:r>
      <w:r>
        <w:rPr>
          <w:spacing w:val="-1"/>
        </w:rPr>
        <w:t>财务负责人：姜爱华</w:t>
        <w:tab/>
      </w:r>
      <w:r>
        <w:rPr>
          <w:spacing w:val="-2"/>
        </w:rPr>
        <w:t>财务部总经理：王芳</w:t>
      </w:r>
      <w:r>
        <w:rPr/>
      </w:r>
    </w:p>
    <w:p>
      <w:pPr>
        <w:spacing w:after="0" w:line="240" w:lineRule="auto"/>
        <w:jc w:val="left"/>
        <w:sectPr>
          <w:pgSz w:w="11910" w:h="16840"/>
          <w:pgMar w:header="1327" w:footer="502" w:top="1540" w:bottom="700" w:left="860" w:right="1100"/>
        </w:sectPr>
      </w:pPr>
    </w:p>
    <w:p>
      <w:pPr>
        <w:spacing w:line="240" w:lineRule="auto" w:before="12"/>
        <w:rPr>
          <w:rFonts w:ascii="宋体" w:hAnsi="宋体" w:cs="宋体" w:eastAsia="宋体" w:hint="default"/>
          <w:sz w:val="16"/>
          <w:szCs w:val="16"/>
        </w:rPr>
      </w:pPr>
    </w:p>
    <w:p>
      <w:pPr>
        <w:pStyle w:val="BodyText"/>
        <w:spacing w:line="293" w:lineRule="exact" w:before="32"/>
        <w:ind w:left="109"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6"/>
        </w:rPr>
        <w:t> </w:t>
      </w:r>
      <w:r>
        <w:rPr>
          <w:rFonts w:ascii="黑体" w:hAnsi="黑体" w:cs="黑体" w:eastAsia="黑体" w:hint="default"/>
        </w:rPr>
        <w:t>年</w:t>
      </w:r>
      <w:r>
        <w:rPr>
          <w:rFonts w:ascii="黑体" w:hAnsi="黑体" w:cs="黑体" w:eastAsia="黑体" w:hint="default"/>
          <w:spacing w:val="-57"/>
        </w:rPr>
        <w:t> </w:t>
      </w:r>
      <w:r>
        <w:rPr>
          <w:rFonts w:ascii="Arial" w:hAnsi="Arial" w:cs="Arial" w:eastAsia="Arial" w:hint="default"/>
        </w:rPr>
        <w:t>12</w:t>
      </w:r>
      <w:r>
        <w:rPr>
          <w:rFonts w:ascii="Arial" w:hAnsi="Arial" w:cs="Arial" w:eastAsia="Arial" w:hint="default"/>
          <w:spacing w:val="-6"/>
        </w:rPr>
        <w:t> </w:t>
      </w:r>
      <w:r>
        <w:rPr>
          <w:rFonts w:ascii="黑体" w:hAnsi="黑体" w:cs="黑体" w:eastAsia="黑体" w:hint="default"/>
        </w:rPr>
        <w:t>月</w:t>
      </w:r>
      <w:r>
        <w:rPr>
          <w:rFonts w:ascii="黑体" w:hAnsi="黑体" w:cs="黑体" w:eastAsia="黑体" w:hint="default"/>
          <w:spacing w:val="-57"/>
        </w:rPr>
        <w:t> </w:t>
      </w:r>
      <w:r>
        <w:rPr>
          <w:rFonts w:ascii="Arial" w:hAnsi="Arial" w:cs="Arial" w:eastAsia="Arial" w:hint="default"/>
        </w:rPr>
        <w:t>31</w:t>
      </w:r>
      <w:r>
        <w:rPr>
          <w:rFonts w:ascii="Arial" w:hAnsi="Arial" w:cs="Arial" w:eastAsia="Arial" w:hint="default"/>
          <w:spacing w:val="-6"/>
        </w:rPr>
        <w:t> </w:t>
      </w:r>
      <w:r>
        <w:rPr>
          <w:rFonts w:ascii="黑体" w:hAnsi="黑体" w:cs="黑体" w:eastAsia="黑体" w:hint="default"/>
        </w:rPr>
        <w:t>日合并及公司利润表</w:t>
      </w:r>
    </w:p>
    <w:p>
      <w:pPr>
        <w:pStyle w:val="BodyText"/>
        <w:spacing w:line="278" w:lineRule="exact"/>
        <w:ind w:left="109" w:right="0"/>
        <w:jc w:val="left"/>
        <w:rPr>
          <w:rFonts w:ascii="黑体" w:hAnsi="黑体" w:cs="黑体" w:eastAsia="黑体" w:hint="default"/>
        </w:rPr>
      </w:pPr>
      <w:r>
        <w:rPr>
          <w:rFonts w:ascii="黑体" w:hAnsi="黑体" w:cs="黑体" w:eastAsia="黑体" w:hint="default"/>
        </w:rPr>
        <w:t>（除特别注明外，金额单位为人民币元）</w:t>
      </w:r>
    </w:p>
    <w:p>
      <w:pPr>
        <w:spacing w:line="240" w:lineRule="auto" w:before="6"/>
        <w:rPr>
          <w:rFonts w:ascii="黑体" w:hAnsi="黑体" w:cs="黑体" w:eastAsia="黑体" w:hint="default"/>
          <w:sz w:val="21"/>
          <w:szCs w:val="21"/>
        </w:rPr>
      </w:pPr>
    </w:p>
    <w:tbl>
      <w:tblPr>
        <w:tblW w:w="0" w:type="auto"/>
        <w:jc w:val="left"/>
        <w:tblInd w:w="109" w:type="dxa"/>
        <w:tblLayout w:type="fixed"/>
        <w:tblCellMar>
          <w:top w:w="0" w:type="dxa"/>
          <w:left w:w="0" w:type="dxa"/>
          <w:bottom w:w="0" w:type="dxa"/>
          <w:right w:w="0" w:type="dxa"/>
        </w:tblCellMar>
        <w:tblLook w:val="01E0"/>
      </w:tblPr>
      <w:tblGrid>
        <w:gridCol w:w="3115"/>
        <w:gridCol w:w="600"/>
        <w:gridCol w:w="1670"/>
        <w:gridCol w:w="1699"/>
        <w:gridCol w:w="1560"/>
        <w:gridCol w:w="1416"/>
      </w:tblGrid>
      <w:tr>
        <w:trPr>
          <w:trHeight w:val="634"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黑体" w:hAnsi="黑体" w:cs="黑体" w:eastAsia="黑体" w:hint="default"/>
                <w:sz w:val="12"/>
                <w:szCs w:val="12"/>
              </w:rPr>
            </w:pPr>
          </w:p>
          <w:p>
            <w:pPr>
              <w:pStyle w:val="TableParagraph"/>
              <w:spacing w:line="240" w:lineRule="auto"/>
              <w:ind w:left="7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黑体" w:hAnsi="黑体" w:cs="黑体" w:eastAsia="黑体" w:hint="default"/>
                <w:sz w:val="12"/>
                <w:szCs w:val="12"/>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36" w:lineRule="exact" w:before="65"/>
              <w:ind w:left="652" w:right="329" w:hanging="226"/>
              <w:jc w:val="left"/>
              <w:rPr>
                <w:rFonts w:ascii="宋体" w:hAnsi="宋体" w:cs="宋体" w:eastAsia="宋体" w:hint="default"/>
                <w:sz w:val="18"/>
                <w:szCs w:val="18"/>
              </w:rPr>
            </w:pPr>
            <w:r>
              <w:rPr>
                <w:rFonts w:ascii="Arial" w:hAnsi="Arial" w:cs="Arial" w:eastAsia="Arial" w:hint="default"/>
                <w:sz w:val="18"/>
                <w:szCs w:val="18"/>
              </w:rPr>
              <w:t>2019</w:t>
            </w:r>
            <w:r>
              <w:rPr>
                <w:rFonts w:ascii="Arial" w:hAnsi="Arial" w:cs="Arial" w:eastAsia="Arial" w:hint="default"/>
                <w:spacing w:val="-6"/>
                <w:sz w:val="18"/>
                <w:szCs w:val="18"/>
              </w:rPr>
              <w:t> </w:t>
            </w:r>
            <w:r>
              <w:rPr>
                <w:rFonts w:ascii="宋体" w:hAnsi="宋体" w:cs="宋体" w:eastAsia="宋体" w:hint="default"/>
                <w:spacing w:val="-3"/>
                <w:sz w:val="18"/>
                <w:szCs w:val="18"/>
              </w:rPr>
              <w:t>年度</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合并</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36" w:lineRule="exact" w:before="65"/>
              <w:ind w:left="681" w:right="343" w:hanging="241"/>
              <w:jc w:val="left"/>
              <w:rPr>
                <w:rFonts w:ascii="宋体" w:hAnsi="宋体" w:cs="宋体" w:eastAsia="宋体" w:hint="default"/>
                <w:sz w:val="18"/>
                <w:szCs w:val="18"/>
              </w:rPr>
            </w:pPr>
            <w:r>
              <w:rPr>
                <w:rFonts w:ascii="Arial" w:hAnsi="Arial" w:cs="Arial" w:eastAsia="Arial" w:hint="default"/>
                <w:sz w:val="18"/>
                <w:szCs w:val="18"/>
              </w:rPr>
              <w:t>2018</w:t>
            </w:r>
            <w:r>
              <w:rPr>
                <w:rFonts w:ascii="Arial" w:hAnsi="Arial" w:cs="Arial" w:eastAsia="Arial" w:hint="default"/>
                <w:spacing w:val="-6"/>
                <w:sz w:val="18"/>
                <w:szCs w:val="18"/>
              </w:rPr>
              <w:t> </w:t>
            </w:r>
            <w:r>
              <w:rPr>
                <w:rFonts w:ascii="宋体" w:hAnsi="宋体" w:cs="宋体" w:eastAsia="宋体" w:hint="default"/>
                <w:spacing w:val="-3"/>
                <w:sz w:val="18"/>
                <w:szCs w:val="18"/>
              </w:rPr>
              <w:t>年度</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合并</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36" w:lineRule="exact" w:before="65"/>
              <w:ind w:left="619" w:right="271" w:hanging="245"/>
              <w:jc w:val="left"/>
              <w:rPr>
                <w:rFonts w:ascii="宋体" w:hAnsi="宋体" w:cs="宋体" w:eastAsia="宋体" w:hint="default"/>
                <w:sz w:val="18"/>
                <w:szCs w:val="18"/>
              </w:rPr>
            </w:pPr>
            <w:r>
              <w:rPr>
                <w:rFonts w:ascii="Arial" w:hAnsi="Arial" w:cs="Arial" w:eastAsia="Arial" w:hint="default"/>
                <w:sz w:val="18"/>
                <w:szCs w:val="18"/>
              </w:rPr>
              <w:t>2019</w:t>
            </w:r>
            <w:r>
              <w:rPr>
                <w:rFonts w:ascii="Arial" w:hAnsi="Arial" w:cs="Arial" w:eastAsia="Arial" w:hint="default"/>
                <w:spacing w:val="-6"/>
                <w:sz w:val="18"/>
                <w:szCs w:val="18"/>
              </w:rPr>
              <w:t> </w:t>
            </w:r>
            <w:r>
              <w:rPr>
                <w:rFonts w:ascii="宋体" w:hAnsi="宋体" w:cs="宋体" w:eastAsia="宋体" w:hint="default"/>
                <w:spacing w:val="-3"/>
                <w:sz w:val="18"/>
                <w:szCs w:val="18"/>
              </w:rPr>
              <w:t>年度</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公司</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36" w:lineRule="exact" w:before="65"/>
              <w:ind w:left="523" w:right="199" w:hanging="221"/>
              <w:jc w:val="left"/>
              <w:rPr>
                <w:rFonts w:ascii="宋体" w:hAnsi="宋体" w:cs="宋体" w:eastAsia="宋体" w:hint="default"/>
                <w:sz w:val="18"/>
                <w:szCs w:val="18"/>
              </w:rPr>
            </w:pPr>
            <w:r>
              <w:rPr>
                <w:rFonts w:ascii="Arial" w:hAnsi="Arial" w:cs="Arial" w:eastAsia="Arial" w:hint="default"/>
                <w:sz w:val="18"/>
                <w:szCs w:val="18"/>
              </w:rPr>
              <w:t>2018</w:t>
            </w:r>
            <w:r>
              <w:rPr>
                <w:rFonts w:ascii="Arial" w:hAnsi="Arial" w:cs="Arial" w:eastAsia="Arial" w:hint="default"/>
                <w:spacing w:val="-6"/>
                <w:sz w:val="18"/>
                <w:szCs w:val="18"/>
              </w:rPr>
              <w:t> </w:t>
            </w:r>
            <w:r>
              <w:rPr>
                <w:rFonts w:ascii="宋体" w:hAnsi="宋体" w:cs="宋体" w:eastAsia="宋体" w:hint="default"/>
                <w:spacing w:val="-3"/>
                <w:sz w:val="18"/>
                <w:szCs w:val="18"/>
              </w:rPr>
              <w:t>年度</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公司</w:t>
            </w:r>
          </w:p>
        </w:tc>
      </w:tr>
      <w:tr>
        <w:trPr>
          <w:trHeight w:val="250"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600"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3"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(37)</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88"/>
              <w:jc w:val="right"/>
              <w:rPr>
                <w:rFonts w:ascii="Arial" w:hAnsi="Arial" w:cs="Arial" w:eastAsia="Arial" w:hint="default"/>
                <w:sz w:val="18"/>
                <w:szCs w:val="18"/>
              </w:rPr>
            </w:pPr>
            <w:r>
              <w:rPr>
                <w:rFonts w:ascii="Arial"/>
                <w:spacing w:val="-2"/>
                <w:sz w:val="18"/>
              </w:rPr>
              <w:t>290,514,554,553</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3"/>
              <w:jc w:val="right"/>
              <w:rPr>
                <w:rFonts w:ascii="Arial" w:hAnsi="Arial" w:cs="Arial" w:eastAsia="Arial" w:hint="default"/>
                <w:sz w:val="18"/>
                <w:szCs w:val="18"/>
              </w:rPr>
            </w:pPr>
            <w:r>
              <w:rPr>
                <w:rFonts w:ascii="Arial"/>
                <w:spacing w:val="-2"/>
                <w:sz w:val="18"/>
              </w:rPr>
              <w:t>290,876,776,866</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5"/>
              <w:jc w:val="right"/>
              <w:rPr>
                <w:rFonts w:ascii="Arial" w:hAnsi="Arial" w:cs="Arial" w:eastAsia="Arial" w:hint="default"/>
                <w:sz w:val="18"/>
                <w:szCs w:val="18"/>
              </w:rPr>
            </w:pPr>
            <w:r>
              <w:rPr>
                <w:rFonts w:ascii="Arial"/>
                <w:w w:val="101"/>
                <w:sz w:val="18"/>
              </w:rPr>
              <w:t>-</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5"/>
              <w:jc w:val="right"/>
              <w:rPr>
                <w:rFonts w:ascii="Arial" w:hAnsi="Arial" w:cs="Arial" w:eastAsia="Arial" w:hint="default"/>
                <w:sz w:val="18"/>
                <w:szCs w:val="18"/>
              </w:rPr>
            </w:pPr>
            <w:r>
              <w:rPr>
                <w:rFonts w:ascii="Arial"/>
                <w:w w:val="101"/>
                <w:sz w:val="18"/>
              </w:rPr>
              <w:t>-</w:t>
            </w:r>
            <w:r>
              <w:rPr>
                <w:rFonts w:ascii="Arial"/>
                <w:sz w:val="18"/>
              </w:rPr>
            </w:r>
          </w:p>
        </w:tc>
      </w:tr>
      <w:tr>
        <w:trPr>
          <w:trHeight w:val="245"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03" w:lineRule="exact"/>
              <w:ind w:left="100" w:right="0"/>
              <w:jc w:val="left"/>
              <w:rPr>
                <w:rFonts w:ascii="宋体" w:hAnsi="宋体" w:cs="宋体" w:eastAsia="宋体" w:hint="default"/>
                <w:sz w:val="18"/>
                <w:szCs w:val="18"/>
              </w:rPr>
            </w:pPr>
            <w:r>
              <w:rPr>
                <w:rFonts w:ascii="宋体" w:hAnsi="宋体" w:cs="宋体" w:eastAsia="宋体" w:hint="default"/>
                <w:sz w:val="18"/>
                <w:szCs w:val="18"/>
              </w:rPr>
              <w:t>二、减：营业成本</w:t>
            </w:r>
          </w:p>
        </w:tc>
        <w:tc>
          <w:tcPr>
            <w:tcW w:w="600"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3"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(37)</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7"/>
              <w:jc w:val="right"/>
              <w:rPr>
                <w:rFonts w:ascii="Arial" w:hAnsi="Arial" w:cs="Arial" w:eastAsia="Arial" w:hint="default"/>
                <w:sz w:val="18"/>
                <w:szCs w:val="18"/>
              </w:rPr>
            </w:pPr>
            <w:r>
              <w:rPr>
                <w:rFonts w:ascii="Arial"/>
                <w:spacing w:val="-2"/>
                <w:sz w:val="18"/>
              </w:rPr>
              <w:t>(214,133,057,016)</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32"/>
              <w:jc w:val="right"/>
              <w:rPr>
                <w:rFonts w:ascii="Arial" w:hAnsi="Arial" w:cs="Arial" w:eastAsia="Arial" w:hint="default"/>
                <w:sz w:val="18"/>
                <w:szCs w:val="18"/>
              </w:rPr>
            </w:pPr>
            <w:r>
              <w:rPr>
                <w:rFonts w:ascii="Arial"/>
                <w:spacing w:val="-2"/>
                <w:sz w:val="18"/>
              </w:rPr>
              <w:t>(213,585,637,513)</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5"/>
              <w:jc w:val="right"/>
              <w:rPr>
                <w:rFonts w:ascii="Arial" w:hAnsi="Arial" w:cs="Arial" w:eastAsia="Arial" w:hint="default"/>
                <w:sz w:val="18"/>
                <w:szCs w:val="18"/>
              </w:rPr>
            </w:pPr>
            <w:r>
              <w:rPr>
                <w:rFonts w:ascii="Arial"/>
                <w:w w:val="101"/>
                <w:sz w:val="18"/>
              </w:rPr>
              <w:t>-</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5"/>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844" w:right="0"/>
              <w:jc w:val="left"/>
              <w:rPr>
                <w:rFonts w:ascii="宋体" w:hAnsi="宋体" w:cs="宋体" w:eastAsia="宋体" w:hint="default"/>
                <w:sz w:val="18"/>
                <w:szCs w:val="18"/>
              </w:rPr>
            </w:pPr>
            <w:r>
              <w:rPr>
                <w:rFonts w:ascii="宋体" w:hAnsi="宋体" w:cs="宋体" w:eastAsia="宋体" w:hint="default"/>
                <w:spacing w:val="-3"/>
                <w:sz w:val="18"/>
                <w:szCs w:val="18"/>
              </w:rPr>
              <w:t>税金及附加</w:t>
            </w:r>
            <w:r>
              <w:rPr>
                <w:rFonts w:ascii="宋体" w:hAnsi="宋体" w:cs="宋体" w:eastAsia="宋体" w:hint="default"/>
                <w:sz w:val="18"/>
                <w:szCs w:val="18"/>
              </w:rPr>
            </w:r>
          </w:p>
        </w:tc>
        <w:tc>
          <w:tcPr>
            <w:tcW w:w="600"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3"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(38)</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28"/>
              <w:jc w:val="right"/>
              <w:rPr>
                <w:rFonts w:ascii="Arial" w:hAnsi="Arial" w:cs="Arial" w:eastAsia="Arial" w:hint="default"/>
                <w:sz w:val="18"/>
                <w:szCs w:val="18"/>
              </w:rPr>
            </w:pPr>
            <w:r>
              <w:rPr>
                <w:rFonts w:ascii="Arial"/>
                <w:spacing w:val="-2"/>
                <w:sz w:val="18"/>
              </w:rPr>
              <w:t>(1,236,265,104)</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28"/>
              <w:jc w:val="right"/>
              <w:rPr>
                <w:rFonts w:ascii="Arial" w:hAnsi="Arial" w:cs="Arial" w:eastAsia="Arial" w:hint="default"/>
                <w:sz w:val="18"/>
                <w:szCs w:val="18"/>
              </w:rPr>
            </w:pPr>
            <w:r>
              <w:rPr>
                <w:rFonts w:ascii="Arial"/>
                <w:spacing w:val="-2"/>
                <w:sz w:val="18"/>
              </w:rPr>
              <w:t>(1,389,470,984)</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33"/>
              <w:jc w:val="right"/>
              <w:rPr>
                <w:rFonts w:ascii="Arial" w:hAnsi="Arial" w:cs="Arial" w:eastAsia="Arial" w:hint="default"/>
                <w:sz w:val="18"/>
                <w:szCs w:val="18"/>
              </w:rPr>
            </w:pPr>
            <w:r>
              <w:rPr>
                <w:rFonts w:ascii="Arial"/>
                <w:spacing w:val="-1"/>
                <w:sz w:val="18"/>
              </w:rPr>
              <w:t>(199,442)</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28"/>
              <w:jc w:val="right"/>
              <w:rPr>
                <w:rFonts w:ascii="Arial" w:hAnsi="Arial" w:cs="Arial" w:eastAsia="Arial" w:hint="default"/>
                <w:sz w:val="18"/>
                <w:szCs w:val="18"/>
              </w:rPr>
            </w:pPr>
            <w:r>
              <w:rPr>
                <w:rFonts w:ascii="Arial"/>
                <w:spacing w:val="-2"/>
                <w:sz w:val="18"/>
              </w:rPr>
              <w:t>(2,898,119)</w:t>
            </w:r>
            <w:r>
              <w:rPr>
                <w:rFonts w:ascii="Arial"/>
                <w:sz w:val="18"/>
              </w:rPr>
            </w:r>
          </w:p>
        </w:tc>
      </w:tr>
      <w:tr>
        <w:trPr>
          <w:trHeight w:val="250"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844"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600"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3"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(39)</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28"/>
              <w:jc w:val="right"/>
              <w:rPr>
                <w:rFonts w:ascii="Arial" w:hAnsi="Arial" w:cs="Arial" w:eastAsia="Arial" w:hint="default"/>
                <w:sz w:val="18"/>
                <w:szCs w:val="18"/>
              </w:rPr>
            </w:pPr>
            <w:r>
              <w:rPr>
                <w:rFonts w:ascii="Arial"/>
                <w:spacing w:val="-2"/>
                <w:sz w:val="18"/>
              </w:rPr>
              <w:t>(33,544,986,730)</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28"/>
              <w:jc w:val="right"/>
              <w:rPr>
                <w:rFonts w:ascii="Arial" w:hAnsi="Arial" w:cs="Arial" w:eastAsia="Arial" w:hint="default"/>
                <w:sz w:val="18"/>
                <w:szCs w:val="18"/>
              </w:rPr>
            </w:pPr>
            <w:r>
              <w:rPr>
                <w:rFonts w:ascii="Arial"/>
                <w:spacing w:val="-2"/>
                <w:sz w:val="18"/>
              </w:rPr>
              <w:t>(35,169,715,460)</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5"/>
              <w:jc w:val="right"/>
              <w:rPr>
                <w:rFonts w:ascii="Arial" w:hAnsi="Arial" w:cs="Arial" w:eastAsia="Arial" w:hint="default"/>
                <w:sz w:val="18"/>
                <w:szCs w:val="18"/>
              </w:rPr>
            </w:pPr>
            <w:r>
              <w:rPr>
                <w:rFonts w:ascii="Arial"/>
                <w:w w:val="101"/>
                <w:sz w:val="18"/>
              </w:rPr>
              <w:t>-</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5"/>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844"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600"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3"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(40)</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7"/>
              <w:jc w:val="right"/>
              <w:rPr>
                <w:rFonts w:ascii="Arial" w:hAnsi="Arial" w:cs="Arial" w:eastAsia="Arial" w:hint="default"/>
                <w:sz w:val="18"/>
                <w:szCs w:val="18"/>
              </w:rPr>
            </w:pPr>
            <w:r>
              <w:rPr>
                <w:rFonts w:ascii="Arial"/>
                <w:spacing w:val="-2"/>
                <w:sz w:val="18"/>
              </w:rPr>
              <w:t>(22,977,013,828)</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8"/>
              <w:jc w:val="right"/>
              <w:rPr>
                <w:rFonts w:ascii="Arial" w:hAnsi="Arial" w:cs="Arial" w:eastAsia="Arial" w:hint="default"/>
                <w:sz w:val="18"/>
                <w:szCs w:val="18"/>
              </w:rPr>
            </w:pPr>
            <w:r>
              <w:rPr>
                <w:rFonts w:ascii="Arial"/>
                <w:spacing w:val="-2"/>
                <w:sz w:val="18"/>
              </w:rPr>
              <w:t>(22,925,119,665)</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33"/>
              <w:jc w:val="right"/>
              <w:rPr>
                <w:rFonts w:ascii="Arial" w:hAnsi="Arial" w:cs="Arial" w:eastAsia="Arial" w:hint="default"/>
                <w:sz w:val="18"/>
                <w:szCs w:val="18"/>
              </w:rPr>
            </w:pPr>
            <w:r>
              <w:rPr>
                <w:rFonts w:ascii="Arial"/>
                <w:spacing w:val="-2"/>
                <w:sz w:val="18"/>
              </w:rPr>
              <w:t>(9,339,669)</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8"/>
              <w:jc w:val="right"/>
              <w:rPr>
                <w:rFonts w:ascii="Arial" w:hAnsi="Arial" w:cs="Arial" w:eastAsia="Arial" w:hint="default"/>
                <w:sz w:val="18"/>
                <w:szCs w:val="18"/>
              </w:rPr>
            </w:pPr>
            <w:r>
              <w:rPr>
                <w:rFonts w:ascii="Arial"/>
                <w:spacing w:val="-2"/>
                <w:sz w:val="18"/>
              </w:rPr>
              <w:t>(9,113,588)</w:t>
            </w:r>
            <w:r>
              <w:rPr>
                <w:rFonts w:ascii="Arial"/>
                <w:sz w:val="18"/>
              </w:rPr>
            </w:r>
          </w:p>
        </w:tc>
      </w:tr>
      <w:tr>
        <w:trPr>
          <w:trHeight w:val="245"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03" w:lineRule="exact"/>
              <w:ind w:left="844"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600"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3"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(41)</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7"/>
              <w:jc w:val="right"/>
              <w:rPr>
                <w:rFonts w:ascii="Arial" w:hAnsi="Arial" w:cs="Arial" w:eastAsia="Arial" w:hint="default"/>
                <w:sz w:val="18"/>
                <w:szCs w:val="18"/>
              </w:rPr>
            </w:pPr>
            <w:r>
              <w:rPr>
                <w:rFonts w:ascii="Arial"/>
                <w:spacing w:val="-2"/>
                <w:sz w:val="18"/>
              </w:rPr>
              <w:t>(1,708,969,828)</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8"/>
              <w:jc w:val="right"/>
              <w:rPr>
                <w:rFonts w:ascii="Arial" w:hAnsi="Arial" w:cs="Arial" w:eastAsia="Arial" w:hint="default"/>
                <w:sz w:val="18"/>
                <w:szCs w:val="18"/>
              </w:rPr>
            </w:pPr>
            <w:r>
              <w:rPr>
                <w:rFonts w:ascii="Arial"/>
                <w:spacing w:val="-2"/>
                <w:sz w:val="18"/>
              </w:rPr>
              <w:t>(872,225,770)</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5"/>
              <w:jc w:val="right"/>
              <w:rPr>
                <w:rFonts w:ascii="Arial" w:hAnsi="Arial" w:cs="Arial" w:eastAsia="Arial" w:hint="default"/>
                <w:sz w:val="18"/>
                <w:szCs w:val="18"/>
              </w:rPr>
            </w:pPr>
            <w:r>
              <w:rPr>
                <w:rFonts w:ascii="Arial"/>
                <w:w w:val="101"/>
                <w:sz w:val="18"/>
              </w:rPr>
              <w:t>-</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0"/>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844"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600"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3"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(42)</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28"/>
              <w:jc w:val="right"/>
              <w:rPr>
                <w:rFonts w:ascii="Arial" w:hAnsi="Arial" w:cs="Arial" w:eastAsia="Arial" w:hint="default"/>
                <w:sz w:val="18"/>
                <w:szCs w:val="18"/>
              </w:rPr>
            </w:pPr>
            <w:r>
              <w:rPr>
                <w:rFonts w:ascii="Arial"/>
                <w:spacing w:val="-2"/>
                <w:sz w:val="18"/>
              </w:rPr>
              <w:t>(717,430,307)</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8"/>
              <w:jc w:val="right"/>
              <w:rPr>
                <w:rFonts w:ascii="Arial" w:hAnsi="Arial" w:cs="Arial" w:eastAsia="Arial" w:hint="default"/>
                <w:sz w:val="18"/>
                <w:szCs w:val="18"/>
              </w:rPr>
            </w:pPr>
            <w:r>
              <w:rPr>
                <w:rFonts w:ascii="Arial"/>
                <w:spacing w:val="-1"/>
                <w:sz w:val="18"/>
              </w:rPr>
              <w:t>137,779,791</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8"/>
              <w:jc w:val="right"/>
              <w:rPr>
                <w:rFonts w:ascii="Arial" w:hAnsi="Arial" w:cs="Arial" w:eastAsia="Arial" w:hint="default"/>
                <w:sz w:val="18"/>
                <w:szCs w:val="18"/>
              </w:rPr>
            </w:pPr>
            <w:r>
              <w:rPr>
                <w:rFonts w:ascii="Arial"/>
                <w:spacing w:val="-1"/>
                <w:sz w:val="18"/>
              </w:rPr>
              <w:t>126,876,138</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8"/>
              <w:jc w:val="right"/>
              <w:rPr>
                <w:rFonts w:ascii="Arial" w:hAnsi="Arial" w:cs="Arial" w:eastAsia="Arial" w:hint="default"/>
                <w:sz w:val="18"/>
                <w:szCs w:val="18"/>
              </w:rPr>
            </w:pPr>
            <w:r>
              <w:rPr>
                <w:rFonts w:ascii="Arial"/>
                <w:spacing w:val="-1"/>
                <w:sz w:val="18"/>
              </w:rPr>
              <w:t>49,465,360</w:t>
            </w:r>
            <w:r>
              <w:rPr>
                <w:rFonts w:ascii="Arial"/>
                <w:sz w:val="18"/>
              </w:rPr>
            </w:r>
          </w:p>
        </w:tc>
      </w:tr>
      <w:tr>
        <w:trPr>
          <w:trHeight w:val="250"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825" w:right="0"/>
              <w:jc w:val="left"/>
              <w:rPr>
                <w:rFonts w:ascii="宋体" w:hAnsi="宋体" w:cs="宋体" w:eastAsia="宋体" w:hint="default"/>
                <w:sz w:val="18"/>
                <w:szCs w:val="18"/>
              </w:rPr>
            </w:pPr>
            <w:r>
              <w:rPr>
                <w:rFonts w:ascii="宋体" w:hAnsi="宋体" w:cs="宋体" w:eastAsia="宋体" w:hint="default"/>
                <w:spacing w:val="-3"/>
                <w:sz w:val="18"/>
                <w:szCs w:val="18"/>
              </w:rPr>
              <w:t>其中：利息费用</w:t>
            </w:r>
            <w:r>
              <w:rPr>
                <w:rFonts w:ascii="宋体" w:hAnsi="宋体" w:cs="宋体" w:eastAsia="宋体" w:hint="default"/>
                <w:sz w:val="18"/>
                <w:szCs w:val="18"/>
              </w:rPr>
            </w: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28"/>
              <w:jc w:val="right"/>
              <w:rPr>
                <w:rFonts w:ascii="Arial" w:hAnsi="Arial" w:cs="Arial" w:eastAsia="Arial" w:hint="default"/>
                <w:sz w:val="18"/>
                <w:szCs w:val="18"/>
              </w:rPr>
            </w:pPr>
            <w:r>
              <w:rPr>
                <w:rFonts w:ascii="Arial"/>
                <w:spacing w:val="-2"/>
                <w:sz w:val="18"/>
              </w:rPr>
              <w:t>(1,877,622,806)</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28"/>
              <w:jc w:val="right"/>
              <w:rPr>
                <w:rFonts w:ascii="Arial" w:hAnsi="Arial" w:cs="Arial" w:eastAsia="Arial" w:hint="default"/>
                <w:sz w:val="18"/>
                <w:szCs w:val="18"/>
              </w:rPr>
            </w:pPr>
            <w:r>
              <w:rPr>
                <w:rFonts w:ascii="Arial"/>
                <w:spacing w:val="-2"/>
                <w:sz w:val="18"/>
              </w:rPr>
              <w:t>(1,539,367,075)</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5"/>
              <w:jc w:val="right"/>
              <w:rPr>
                <w:rFonts w:ascii="Arial" w:hAnsi="Arial" w:cs="Arial" w:eastAsia="Arial" w:hint="default"/>
                <w:sz w:val="18"/>
                <w:szCs w:val="18"/>
              </w:rPr>
            </w:pPr>
            <w:r>
              <w:rPr>
                <w:rFonts w:ascii="Arial"/>
                <w:w w:val="101"/>
                <w:sz w:val="18"/>
              </w:rPr>
              <w:t>-</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5"/>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38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3"/>
              <w:jc w:val="right"/>
              <w:rPr>
                <w:rFonts w:ascii="Arial" w:hAnsi="Arial" w:cs="Arial" w:eastAsia="Arial" w:hint="default"/>
                <w:sz w:val="18"/>
                <w:szCs w:val="18"/>
              </w:rPr>
            </w:pPr>
            <w:r>
              <w:rPr>
                <w:rFonts w:ascii="Arial"/>
                <w:spacing w:val="-2"/>
                <w:sz w:val="18"/>
              </w:rPr>
              <w:t>1,269,259,729</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88"/>
              <w:jc w:val="right"/>
              <w:rPr>
                <w:rFonts w:ascii="Arial" w:hAnsi="Arial" w:cs="Arial" w:eastAsia="Arial" w:hint="default"/>
                <w:sz w:val="18"/>
                <w:szCs w:val="18"/>
              </w:rPr>
            </w:pPr>
            <w:r>
              <w:rPr>
                <w:rFonts w:ascii="Arial"/>
                <w:spacing w:val="-2"/>
                <w:sz w:val="18"/>
              </w:rPr>
              <w:t>1,735,244,249</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88"/>
              <w:jc w:val="right"/>
              <w:rPr>
                <w:rFonts w:ascii="Arial" w:hAnsi="Arial" w:cs="Arial" w:eastAsia="Arial" w:hint="default"/>
                <w:sz w:val="18"/>
                <w:szCs w:val="18"/>
              </w:rPr>
            </w:pPr>
            <w:r>
              <w:rPr>
                <w:rFonts w:ascii="Arial"/>
                <w:spacing w:val="-1"/>
                <w:sz w:val="18"/>
              </w:rPr>
              <w:t>130,752,385</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88"/>
              <w:jc w:val="right"/>
              <w:rPr>
                <w:rFonts w:ascii="Arial" w:hAnsi="Arial" w:cs="Arial" w:eastAsia="Arial" w:hint="default"/>
                <w:sz w:val="18"/>
                <w:szCs w:val="18"/>
              </w:rPr>
            </w:pPr>
            <w:r>
              <w:rPr>
                <w:rFonts w:ascii="Arial"/>
                <w:spacing w:val="-1"/>
                <w:sz w:val="18"/>
              </w:rPr>
              <w:t>53,201,547</w:t>
            </w:r>
            <w:r>
              <w:rPr>
                <w:rFonts w:ascii="Arial"/>
                <w:sz w:val="18"/>
              </w:rPr>
            </w:r>
          </w:p>
        </w:tc>
      </w:tr>
      <w:tr>
        <w:trPr>
          <w:trHeight w:val="245"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03" w:lineRule="exact"/>
              <w:ind w:left="844" w:right="0"/>
              <w:jc w:val="left"/>
              <w:rPr>
                <w:rFonts w:ascii="宋体" w:hAnsi="宋体" w:cs="宋体" w:eastAsia="宋体" w:hint="default"/>
                <w:sz w:val="18"/>
                <w:szCs w:val="18"/>
              </w:rPr>
            </w:pPr>
            <w:r>
              <w:rPr>
                <w:rFonts w:ascii="宋体" w:hAnsi="宋体" w:cs="宋体" w:eastAsia="宋体" w:hint="default"/>
                <w:sz w:val="18"/>
                <w:szCs w:val="18"/>
              </w:rPr>
              <w:t>信用减值损失</w:t>
            </w:r>
          </w:p>
        </w:tc>
        <w:tc>
          <w:tcPr>
            <w:tcW w:w="600"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3"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(43)</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8"/>
              <w:jc w:val="right"/>
              <w:rPr>
                <w:rFonts w:ascii="Arial" w:hAnsi="Arial" w:cs="Arial" w:eastAsia="Arial" w:hint="default"/>
                <w:sz w:val="18"/>
                <w:szCs w:val="18"/>
              </w:rPr>
            </w:pPr>
            <w:r>
              <w:rPr>
                <w:rFonts w:ascii="Arial"/>
                <w:spacing w:val="-2"/>
                <w:sz w:val="18"/>
              </w:rPr>
              <w:t>(3,298,792,970)</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8"/>
              <w:jc w:val="right"/>
              <w:rPr>
                <w:rFonts w:ascii="Arial" w:hAnsi="Arial" w:cs="Arial" w:eastAsia="Arial" w:hint="default"/>
                <w:sz w:val="18"/>
                <w:szCs w:val="18"/>
              </w:rPr>
            </w:pPr>
            <w:r>
              <w:rPr>
                <w:rFonts w:ascii="Arial"/>
                <w:spacing w:val="-2"/>
                <w:sz w:val="18"/>
              </w:rPr>
              <w:t>(3,609,535,060)</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0"/>
              <w:jc w:val="right"/>
              <w:rPr>
                <w:rFonts w:ascii="Arial" w:hAnsi="Arial" w:cs="Arial" w:eastAsia="Arial" w:hint="default"/>
                <w:sz w:val="18"/>
                <w:szCs w:val="18"/>
              </w:rPr>
            </w:pPr>
            <w:r>
              <w:rPr>
                <w:rFonts w:ascii="Arial"/>
                <w:w w:val="101"/>
                <w:sz w:val="18"/>
              </w:rPr>
              <w:t>-</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5"/>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844"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600"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3"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(44)</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32"/>
              <w:jc w:val="right"/>
              <w:rPr>
                <w:rFonts w:ascii="Arial" w:hAnsi="Arial" w:cs="Arial" w:eastAsia="Arial" w:hint="default"/>
                <w:sz w:val="18"/>
                <w:szCs w:val="18"/>
              </w:rPr>
            </w:pPr>
            <w:r>
              <w:rPr>
                <w:rFonts w:ascii="Arial"/>
                <w:spacing w:val="-2"/>
                <w:sz w:val="18"/>
              </w:rPr>
              <w:t>(374,917,403)</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28"/>
              <w:jc w:val="right"/>
              <w:rPr>
                <w:rFonts w:ascii="Arial" w:hAnsi="Arial" w:cs="Arial" w:eastAsia="Arial" w:hint="default"/>
                <w:sz w:val="18"/>
                <w:szCs w:val="18"/>
              </w:rPr>
            </w:pPr>
            <w:r>
              <w:rPr>
                <w:rFonts w:ascii="Arial"/>
                <w:spacing w:val="-2"/>
                <w:sz w:val="18"/>
              </w:rPr>
              <w:t>(255,174,449)</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0"/>
              <w:jc w:val="right"/>
              <w:rPr>
                <w:rFonts w:ascii="Arial" w:hAnsi="Arial" w:cs="Arial" w:eastAsia="Arial" w:hint="default"/>
                <w:sz w:val="18"/>
                <w:szCs w:val="18"/>
              </w:rPr>
            </w:pPr>
            <w:r>
              <w:rPr>
                <w:rFonts w:ascii="Arial"/>
                <w:w w:val="101"/>
                <w:sz w:val="18"/>
              </w:rPr>
              <w:t>-</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5"/>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844" w:right="0"/>
              <w:jc w:val="left"/>
              <w:rPr>
                <w:rFonts w:ascii="宋体" w:hAnsi="宋体" w:cs="宋体" w:eastAsia="宋体" w:hint="default"/>
                <w:sz w:val="18"/>
                <w:szCs w:val="18"/>
              </w:rPr>
            </w:pPr>
            <w:r>
              <w:rPr>
                <w:rFonts w:ascii="宋体" w:hAnsi="宋体" w:cs="宋体" w:eastAsia="宋体" w:hint="default"/>
                <w:sz w:val="18"/>
                <w:szCs w:val="18"/>
              </w:rPr>
              <w:t>公允价值变动收益</w:t>
            </w: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8"/>
              <w:jc w:val="right"/>
              <w:rPr>
                <w:rFonts w:ascii="Arial" w:hAnsi="Arial" w:cs="Arial" w:eastAsia="Arial" w:hint="default"/>
                <w:sz w:val="18"/>
                <w:szCs w:val="18"/>
              </w:rPr>
            </w:pPr>
            <w:r>
              <w:rPr>
                <w:rFonts w:ascii="Arial"/>
                <w:spacing w:val="-1"/>
                <w:sz w:val="18"/>
              </w:rPr>
              <w:t>96,073,752</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0"/>
              <w:jc w:val="right"/>
              <w:rPr>
                <w:rFonts w:ascii="Arial" w:hAnsi="Arial" w:cs="Arial" w:eastAsia="Arial" w:hint="default"/>
                <w:sz w:val="18"/>
                <w:szCs w:val="18"/>
              </w:rPr>
            </w:pPr>
            <w:r>
              <w:rPr>
                <w:rFonts w:ascii="Arial"/>
                <w:spacing w:val="-1"/>
                <w:sz w:val="18"/>
              </w:rPr>
              <w:t>24,695,000</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0"/>
              <w:jc w:val="right"/>
              <w:rPr>
                <w:rFonts w:ascii="Arial" w:hAnsi="Arial" w:cs="Arial" w:eastAsia="Arial" w:hint="default"/>
                <w:sz w:val="18"/>
                <w:szCs w:val="18"/>
              </w:rPr>
            </w:pPr>
            <w:r>
              <w:rPr>
                <w:rFonts w:ascii="Arial"/>
                <w:w w:val="101"/>
                <w:sz w:val="18"/>
              </w:rPr>
              <w:t>-</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5"/>
              <w:jc w:val="right"/>
              <w:rPr>
                <w:rFonts w:ascii="Arial" w:hAnsi="Arial" w:cs="Arial" w:eastAsia="Arial" w:hint="default"/>
                <w:sz w:val="18"/>
                <w:szCs w:val="18"/>
              </w:rPr>
            </w:pPr>
            <w:r>
              <w:rPr>
                <w:rFonts w:ascii="Arial"/>
                <w:w w:val="101"/>
                <w:sz w:val="18"/>
              </w:rPr>
              <w:t>-</w:t>
            </w:r>
            <w:r>
              <w:rPr>
                <w:rFonts w:ascii="Arial"/>
                <w:sz w:val="18"/>
              </w:rPr>
            </w:r>
          </w:p>
        </w:tc>
      </w:tr>
      <w:tr>
        <w:trPr>
          <w:trHeight w:val="480"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460" w:right="0"/>
              <w:jc w:val="left"/>
              <w:rPr>
                <w:rFonts w:ascii="宋体" w:hAnsi="宋体" w:cs="宋体" w:eastAsia="宋体" w:hint="default"/>
                <w:sz w:val="18"/>
                <w:szCs w:val="18"/>
              </w:rPr>
            </w:pPr>
            <w:r>
              <w:rPr>
                <w:rFonts w:ascii="宋体" w:hAnsi="宋体" w:cs="宋体" w:eastAsia="宋体" w:hint="default"/>
                <w:sz w:val="18"/>
                <w:szCs w:val="18"/>
              </w:rPr>
              <w:t>加：投资收益</w:t>
            </w:r>
          </w:p>
        </w:tc>
        <w:tc>
          <w:tcPr>
            <w:tcW w:w="600"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9" w:right="0"/>
              <w:jc w:val="left"/>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(45),</w:t>
            </w:r>
          </w:p>
          <w:p>
            <w:pPr>
              <w:pStyle w:val="TableParagraph"/>
              <w:spacing w:line="239" w:lineRule="exact"/>
              <w:ind w:left="4" w:right="-3"/>
              <w:jc w:val="left"/>
              <w:rPr>
                <w:rFonts w:ascii="Arial" w:hAnsi="Arial" w:cs="Arial" w:eastAsia="Arial" w:hint="default"/>
                <w:sz w:val="18"/>
                <w:szCs w:val="18"/>
              </w:rPr>
            </w:pPr>
            <w:r>
              <w:rPr>
                <w:rFonts w:ascii="宋体" w:hAnsi="宋体" w:cs="宋体" w:eastAsia="宋体" w:hint="default"/>
                <w:sz w:val="18"/>
                <w:szCs w:val="18"/>
              </w:rPr>
              <w:t>十五</w:t>
            </w:r>
            <w:r>
              <w:rPr>
                <w:rFonts w:ascii="Arial" w:hAnsi="Arial" w:cs="Arial" w:eastAsia="Arial" w:hint="default"/>
                <w:sz w:val="18"/>
                <w:szCs w:val="18"/>
              </w:rPr>
              <w:t>(8)</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93"/>
              <w:jc w:val="right"/>
              <w:rPr>
                <w:rFonts w:ascii="Arial" w:hAnsi="Arial" w:cs="Arial" w:eastAsia="Arial" w:hint="default"/>
                <w:sz w:val="18"/>
                <w:szCs w:val="18"/>
              </w:rPr>
            </w:pPr>
            <w:r>
              <w:rPr>
                <w:rFonts w:ascii="Arial"/>
                <w:spacing w:val="-2"/>
                <w:sz w:val="18"/>
              </w:rPr>
              <w:t>2,174,504,090</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88"/>
              <w:jc w:val="right"/>
              <w:rPr>
                <w:rFonts w:ascii="Arial" w:hAnsi="Arial" w:cs="Arial" w:eastAsia="Arial" w:hint="default"/>
                <w:sz w:val="18"/>
                <w:szCs w:val="18"/>
              </w:rPr>
            </w:pPr>
            <w:r>
              <w:rPr>
                <w:rFonts w:ascii="Arial"/>
                <w:spacing w:val="-2"/>
                <w:sz w:val="18"/>
              </w:rPr>
              <w:t>2,475,567,494</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left="297" w:right="0"/>
              <w:jc w:val="left"/>
              <w:rPr>
                <w:rFonts w:ascii="Arial" w:hAnsi="Arial" w:cs="Arial" w:eastAsia="Arial" w:hint="default"/>
                <w:sz w:val="18"/>
                <w:szCs w:val="18"/>
              </w:rPr>
            </w:pPr>
            <w:r>
              <w:rPr>
                <w:rFonts w:ascii="Arial"/>
                <w:sz w:val="18"/>
              </w:rPr>
              <w:t>1,801,506,250</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88"/>
              <w:jc w:val="right"/>
              <w:rPr>
                <w:rFonts w:ascii="Arial" w:hAnsi="Arial" w:cs="Arial" w:eastAsia="Arial" w:hint="default"/>
                <w:sz w:val="18"/>
                <w:szCs w:val="18"/>
              </w:rPr>
            </w:pPr>
            <w:r>
              <w:rPr>
                <w:rFonts w:ascii="Arial"/>
                <w:spacing w:val="-1"/>
                <w:sz w:val="18"/>
              </w:rPr>
              <w:t>699,083,224</w:t>
            </w:r>
            <w:r>
              <w:rPr>
                <w:rFonts w:ascii="Arial"/>
                <w:sz w:val="18"/>
              </w:rPr>
            </w:r>
          </w:p>
        </w:tc>
      </w:tr>
      <w:tr>
        <w:trPr>
          <w:trHeight w:val="485"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825" w:right="0"/>
              <w:jc w:val="left"/>
              <w:rPr>
                <w:rFonts w:ascii="宋体" w:hAnsi="宋体" w:cs="宋体" w:eastAsia="宋体" w:hint="default"/>
                <w:sz w:val="18"/>
                <w:szCs w:val="18"/>
              </w:rPr>
            </w:pPr>
            <w:r>
              <w:rPr>
                <w:rFonts w:ascii="宋体" w:hAnsi="宋体" w:cs="宋体" w:eastAsia="宋体" w:hint="default"/>
                <w:spacing w:val="-3"/>
                <w:sz w:val="18"/>
                <w:szCs w:val="18"/>
              </w:rPr>
              <w:t>其中：对联营和合营企业的</w:t>
            </w:r>
          </w:p>
          <w:p>
            <w:pPr>
              <w:pStyle w:val="TableParagraph"/>
              <w:spacing w:line="240" w:lineRule="auto"/>
              <w:ind w:left="1348"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0"/>
                <w:szCs w:val="20"/>
              </w:rPr>
            </w:pPr>
          </w:p>
          <w:p>
            <w:pPr>
              <w:pStyle w:val="TableParagraph"/>
              <w:spacing w:line="240" w:lineRule="auto"/>
              <w:ind w:right="93"/>
              <w:jc w:val="right"/>
              <w:rPr>
                <w:rFonts w:ascii="Arial" w:hAnsi="Arial" w:cs="Arial" w:eastAsia="Arial" w:hint="default"/>
                <w:sz w:val="18"/>
                <w:szCs w:val="18"/>
              </w:rPr>
            </w:pPr>
            <w:r>
              <w:rPr>
                <w:rFonts w:ascii="Arial"/>
                <w:spacing w:val="-2"/>
                <w:sz w:val="18"/>
              </w:rPr>
              <w:t>1,957,008,332</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0"/>
                <w:szCs w:val="20"/>
              </w:rPr>
            </w:pPr>
          </w:p>
          <w:p>
            <w:pPr>
              <w:pStyle w:val="TableParagraph"/>
              <w:spacing w:line="240" w:lineRule="auto"/>
              <w:ind w:right="88"/>
              <w:jc w:val="right"/>
              <w:rPr>
                <w:rFonts w:ascii="Arial" w:hAnsi="Arial" w:cs="Arial" w:eastAsia="Arial" w:hint="default"/>
                <w:sz w:val="18"/>
                <w:szCs w:val="18"/>
              </w:rPr>
            </w:pPr>
            <w:r>
              <w:rPr>
                <w:rFonts w:ascii="Arial"/>
                <w:spacing w:val="-2"/>
                <w:sz w:val="18"/>
              </w:rPr>
              <w:t>2,236,077,532</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0"/>
                <w:szCs w:val="20"/>
              </w:rPr>
            </w:pPr>
          </w:p>
          <w:p>
            <w:pPr>
              <w:pStyle w:val="TableParagraph"/>
              <w:spacing w:line="240" w:lineRule="auto"/>
              <w:ind w:right="90"/>
              <w:jc w:val="right"/>
              <w:rPr>
                <w:rFonts w:ascii="Arial" w:hAnsi="Arial" w:cs="Arial" w:eastAsia="Arial" w:hint="default"/>
                <w:sz w:val="18"/>
                <w:szCs w:val="18"/>
              </w:rPr>
            </w:pPr>
            <w:r>
              <w:rPr>
                <w:rFonts w:ascii="Arial"/>
                <w:w w:val="101"/>
                <w:sz w:val="18"/>
              </w:rPr>
              <w:t>-</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0"/>
                <w:szCs w:val="20"/>
              </w:rPr>
            </w:pPr>
          </w:p>
          <w:p>
            <w:pPr>
              <w:pStyle w:val="TableParagraph"/>
              <w:spacing w:line="240" w:lineRule="auto"/>
              <w:ind w:right="95"/>
              <w:jc w:val="right"/>
              <w:rPr>
                <w:rFonts w:ascii="Arial" w:hAnsi="Arial" w:cs="Arial" w:eastAsia="Arial" w:hint="default"/>
                <w:sz w:val="18"/>
                <w:szCs w:val="18"/>
              </w:rPr>
            </w:pPr>
            <w:r>
              <w:rPr>
                <w:rFonts w:ascii="Arial"/>
                <w:w w:val="101"/>
                <w:sz w:val="18"/>
              </w:rPr>
              <w:t>-</w:t>
            </w:r>
            <w:r>
              <w:rPr>
                <w:rFonts w:ascii="Arial"/>
                <w:sz w:val="18"/>
              </w:rPr>
            </w:r>
          </w:p>
        </w:tc>
      </w:tr>
      <w:tr>
        <w:trPr>
          <w:trHeight w:val="245"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03" w:lineRule="exact"/>
              <w:ind w:left="825" w:right="0"/>
              <w:jc w:val="left"/>
              <w:rPr>
                <w:rFonts w:ascii="宋体" w:hAnsi="宋体" w:cs="宋体" w:eastAsia="宋体" w:hint="default"/>
                <w:sz w:val="18"/>
                <w:szCs w:val="18"/>
              </w:rPr>
            </w:pPr>
            <w:r>
              <w:rPr>
                <w:rFonts w:ascii="宋体" w:hAnsi="宋体" w:cs="宋体" w:eastAsia="宋体" w:hint="default"/>
                <w:sz w:val="18"/>
                <w:szCs w:val="18"/>
              </w:rPr>
              <w:t>资产处置损失</w:t>
            </w:r>
          </w:p>
        </w:tc>
        <w:tc>
          <w:tcPr>
            <w:tcW w:w="600"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3"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(46)</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7"/>
              <w:jc w:val="right"/>
              <w:rPr>
                <w:rFonts w:ascii="Arial" w:hAnsi="Arial" w:cs="Arial" w:eastAsia="Arial" w:hint="default"/>
                <w:sz w:val="18"/>
                <w:szCs w:val="18"/>
              </w:rPr>
            </w:pPr>
            <w:r>
              <w:rPr>
                <w:rFonts w:ascii="Arial"/>
                <w:spacing w:val="-2"/>
                <w:sz w:val="18"/>
              </w:rPr>
              <w:t>(2,126,903,453)</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8"/>
              <w:jc w:val="right"/>
              <w:rPr>
                <w:rFonts w:ascii="Arial" w:hAnsi="Arial" w:cs="Arial" w:eastAsia="Arial" w:hint="default"/>
                <w:sz w:val="18"/>
                <w:szCs w:val="18"/>
              </w:rPr>
            </w:pPr>
            <w:r>
              <w:rPr>
                <w:rFonts w:ascii="Arial"/>
                <w:spacing w:val="-2"/>
                <w:sz w:val="18"/>
              </w:rPr>
              <w:t>(3,971,803,149)</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0"/>
              <w:jc w:val="right"/>
              <w:rPr>
                <w:rFonts w:ascii="Arial" w:hAnsi="Arial" w:cs="Arial" w:eastAsia="Arial" w:hint="default"/>
                <w:sz w:val="18"/>
                <w:szCs w:val="18"/>
              </w:rPr>
            </w:pPr>
            <w:r>
              <w:rPr>
                <w:rFonts w:ascii="Arial"/>
                <w:w w:val="101"/>
                <w:sz w:val="18"/>
              </w:rPr>
              <w:t>-</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5"/>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825"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600"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3"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(47)</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8"/>
              <w:jc w:val="right"/>
              <w:rPr>
                <w:rFonts w:ascii="Arial" w:hAnsi="Arial" w:cs="Arial" w:eastAsia="Arial" w:hint="default"/>
                <w:sz w:val="18"/>
                <w:szCs w:val="18"/>
              </w:rPr>
            </w:pPr>
            <w:r>
              <w:rPr>
                <w:rFonts w:ascii="Arial"/>
                <w:spacing w:val="-1"/>
                <w:sz w:val="18"/>
              </w:rPr>
              <w:t>776,360,035</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0"/>
              <w:jc w:val="right"/>
              <w:rPr>
                <w:rFonts w:ascii="Arial" w:hAnsi="Arial" w:cs="Arial" w:eastAsia="Arial" w:hint="default"/>
                <w:sz w:val="18"/>
                <w:szCs w:val="18"/>
              </w:rPr>
            </w:pPr>
            <w:r>
              <w:rPr>
                <w:rFonts w:ascii="Arial"/>
                <w:spacing w:val="-1"/>
                <w:sz w:val="18"/>
              </w:rPr>
              <w:t>185,213,758</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0"/>
              <w:jc w:val="right"/>
              <w:rPr>
                <w:rFonts w:ascii="Arial" w:hAnsi="Arial" w:cs="Arial" w:eastAsia="Arial" w:hint="default"/>
                <w:sz w:val="18"/>
                <w:szCs w:val="18"/>
              </w:rPr>
            </w:pPr>
            <w:r>
              <w:rPr>
                <w:rFonts w:ascii="Arial"/>
                <w:w w:val="101"/>
                <w:sz w:val="18"/>
              </w:rPr>
              <w:t>-</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0"/>
              <w:jc w:val="right"/>
              <w:rPr>
                <w:rFonts w:ascii="Arial" w:hAnsi="Arial" w:cs="Arial" w:eastAsia="Arial" w:hint="default"/>
                <w:sz w:val="18"/>
                <w:szCs w:val="18"/>
              </w:rPr>
            </w:pPr>
            <w:r>
              <w:rPr>
                <w:rFonts w:ascii="Arial"/>
                <w:w w:val="101"/>
                <w:sz w:val="18"/>
              </w:rPr>
              <w:t>-</w:t>
            </w:r>
            <w:r>
              <w:rPr>
                <w:rFonts w:ascii="Arial"/>
                <w:sz w:val="18"/>
              </w:rPr>
            </w:r>
          </w:p>
        </w:tc>
      </w:tr>
      <w:tr>
        <w:trPr>
          <w:trHeight w:val="221" w:hRule="exact"/>
        </w:trPr>
        <w:tc>
          <w:tcPr>
            <w:tcW w:w="3115" w:type="dxa"/>
            <w:tcBorders>
              <w:top w:val="single" w:sz="6" w:space="0" w:color="000000"/>
              <w:left w:val="single" w:sz="6" w:space="0" w:color="000000"/>
              <w:bottom w:val="single" w:sz="6" w:space="0" w:color="000000"/>
              <w:right w:val="single" w:sz="6" w:space="0" w:color="000000"/>
            </w:tcBorders>
          </w:tcPr>
          <w:p>
            <w:pP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78"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100" w:right="0"/>
              <w:jc w:val="left"/>
              <w:rPr>
                <w:rFonts w:ascii="宋体" w:hAnsi="宋体" w:cs="宋体" w:eastAsia="宋体" w:hint="default"/>
                <w:sz w:val="18"/>
                <w:szCs w:val="18"/>
              </w:rPr>
            </w:pPr>
            <w:r>
              <w:rPr>
                <w:rFonts w:ascii="宋体" w:hAnsi="宋体" w:cs="宋体" w:eastAsia="宋体" w:hint="default"/>
                <w:sz w:val="18"/>
                <w:szCs w:val="18"/>
              </w:rPr>
              <w:t>三、营业利润</w:t>
            </w: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88"/>
              <w:jc w:val="right"/>
              <w:rPr>
                <w:rFonts w:ascii="Arial" w:hAnsi="Arial" w:cs="Arial" w:eastAsia="Arial" w:hint="default"/>
                <w:sz w:val="18"/>
                <w:szCs w:val="18"/>
              </w:rPr>
            </w:pPr>
            <w:r>
              <w:rPr>
                <w:rFonts w:ascii="Arial"/>
                <w:spacing w:val="-2"/>
                <w:sz w:val="18"/>
              </w:rPr>
              <w:t>13,443,155,791</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88"/>
              <w:jc w:val="right"/>
              <w:rPr>
                <w:rFonts w:ascii="Arial" w:hAnsi="Arial" w:cs="Arial" w:eastAsia="Arial" w:hint="default"/>
                <w:sz w:val="18"/>
                <w:szCs w:val="18"/>
              </w:rPr>
            </w:pPr>
            <w:r>
              <w:rPr>
                <w:rFonts w:ascii="Arial"/>
                <w:spacing w:val="-2"/>
                <w:sz w:val="18"/>
              </w:rPr>
              <w:t>11,921,350,859</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97" w:right="0"/>
              <w:jc w:val="left"/>
              <w:rPr>
                <w:rFonts w:ascii="Arial" w:hAnsi="Arial" w:cs="Arial" w:eastAsia="Arial" w:hint="default"/>
                <w:sz w:val="18"/>
                <w:szCs w:val="18"/>
              </w:rPr>
            </w:pPr>
            <w:r>
              <w:rPr>
                <w:rFonts w:ascii="Arial"/>
                <w:sz w:val="18"/>
              </w:rPr>
              <w:t>1,918,843,277</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88"/>
              <w:jc w:val="right"/>
              <w:rPr>
                <w:rFonts w:ascii="Arial" w:hAnsi="Arial" w:cs="Arial" w:eastAsia="Arial" w:hint="default"/>
                <w:sz w:val="18"/>
                <w:szCs w:val="18"/>
              </w:rPr>
            </w:pPr>
            <w:r>
              <w:rPr>
                <w:rFonts w:ascii="Arial"/>
                <w:spacing w:val="-1"/>
                <w:sz w:val="18"/>
              </w:rPr>
              <w:t>736,536,877</w:t>
            </w:r>
            <w:r>
              <w:rPr>
                <w:rFonts w:ascii="Arial"/>
                <w:sz w:val="18"/>
              </w:rPr>
            </w:r>
          </w:p>
        </w:tc>
      </w:tr>
      <w:tr>
        <w:trPr>
          <w:trHeight w:val="274"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ind w:left="475" w:right="0"/>
              <w:jc w:val="left"/>
              <w:rPr>
                <w:rFonts w:ascii="宋体" w:hAnsi="宋体" w:cs="宋体" w:eastAsia="宋体" w:hint="default"/>
                <w:sz w:val="18"/>
                <w:szCs w:val="18"/>
              </w:rPr>
            </w:pPr>
            <w:r>
              <w:rPr>
                <w:rFonts w:ascii="宋体" w:hAnsi="宋体" w:cs="宋体" w:eastAsia="宋体" w:hint="default"/>
                <w:spacing w:val="-3"/>
                <w:sz w:val="18"/>
                <w:szCs w:val="18"/>
              </w:rPr>
              <w:t>加：营业外收入</w:t>
            </w:r>
            <w:r>
              <w:rPr>
                <w:rFonts w:ascii="宋体" w:hAnsi="宋体" w:cs="宋体" w:eastAsia="宋体" w:hint="default"/>
                <w:sz w:val="18"/>
                <w:szCs w:val="18"/>
              </w:rPr>
            </w:r>
          </w:p>
        </w:tc>
        <w:tc>
          <w:tcPr>
            <w:tcW w:w="600"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3"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(48)</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88"/>
              <w:jc w:val="right"/>
              <w:rPr>
                <w:rFonts w:ascii="Arial" w:hAnsi="Arial" w:cs="Arial" w:eastAsia="Arial" w:hint="default"/>
                <w:sz w:val="18"/>
                <w:szCs w:val="18"/>
              </w:rPr>
            </w:pPr>
            <w:r>
              <w:rPr>
                <w:rFonts w:ascii="Arial"/>
                <w:spacing w:val="-1"/>
                <w:sz w:val="18"/>
              </w:rPr>
              <w:t>818,549,639</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88"/>
              <w:jc w:val="right"/>
              <w:rPr>
                <w:rFonts w:ascii="Arial" w:hAnsi="Arial" w:cs="Arial" w:eastAsia="Arial" w:hint="default"/>
                <w:sz w:val="18"/>
                <w:szCs w:val="18"/>
              </w:rPr>
            </w:pPr>
            <w:r>
              <w:rPr>
                <w:rFonts w:ascii="Arial"/>
                <w:spacing w:val="-1"/>
                <w:sz w:val="18"/>
              </w:rPr>
              <w:t>746,105,117</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88"/>
              <w:jc w:val="right"/>
              <w:rPr>
                <w:rFonts w:ascii="Arial" w:hAnsi="Arial" w:cs="Arial" w:eastAsia="Arial" w:hint="default"/>
                <w:sz w:val="18"/>
                <w:szCs w:val="18"/>
              </w:rPr>
            </w:pPr>
            <w:r>
              <w:rPr>
                <w:rFonts w:ascii="Arial"/>
                <w:spacing w:val="-1"/>
                <w:sz w:val="18"/>
              </w:rPr>
              <w:t>22,706</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88"/>
              <w:jc w:val="right"/>
              <w:rPr>
                <w:rFonts w:ascii="Arial" w:hAnsi="Arial" w:cs="Arial" w:eastAsia="Arial" w:hint="default"/>
                <w:sz w:val="18"/>
                <w:szCs w:val="18"/>
              </w:rPr>
            </w:pPr>
            <w:r>
              <w:rPr>
                <w:rFonts w:ascii="Arial"/>
                <w:spacing w:val="-1"/>
                <w:sz w:val="18"/>
              </w:rPr>
              <w:t>13,996</w:t>
            </w:r>
            <w:r>
              <w:rPr>
                <w:rFonts w:ascii="Arial"/>
                <w:sz w:val="18"/>
              </w:rPr>
            </w:r>
          </w:p>
        </w:tc>
      </w:tr>
      <w:tr>
        <w:trPr>
          <w:trHeight w:val="274"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ind w:left="475" w:right="0"/>
              <w:jc w:val="left"/>
              <w:rPr>
                <w:rFonts w:ascii="宋体" w:hAnsi="宋体" w:cs="宋体" w:eastAsia="宋体" w:hint="default"/>
                <w:sz w:val="18"/>
                <w:szCs w:val="18"/>
              </w:rPr>
            </w:pPr>
            <w:r>
              <w:rPr>
                <w:rFonts w:ascii="宋体" w:hAnsi="宋体" w:cs="宋体" w:eastAsia="宋体" w:hint="default"/>
                <w:spacing w:val="-3"/>
                <w:sz w:val="18"/>
                <w:szCs w:val="18"/>
              </w:rPr>
              <w:t>减：营业外支出</w:t>
            </w:r>
            <w:r>
              <w:rPr>
                <w:rFonts w:ascii="宋体" w:hAnsi="宋体" w:cs="宋体" w:eastAsia="宋体" w:hint="default"/>
                <w:sz w:val="18"/>
                <w:szCs w:val="18"/>
              </w:rPr>
            </w:r>
          </w:p>
        </w:tc>
        <w:tc>
          <w:tcPr>
            <w:tcW w:w="600"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3"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(48)</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28"/>
              <w:jc w:val="right"/>
              <w:rPr>
                <w:rFonts w:ascii="Arial" w:hAnsi="Arial" w:cs="Arial" w:eastAsia="Arial" w:hint="default"/>
                <w:sz w:val="18"/>
                <w:szCs w:val="18"/>
              </w:rPr>
            </w:pPr>
            <w:r>
              <w:rPr>
                <w:rFonts w:ascii="Arial"/>
                <w:spacing w:val="-2"/>
                <w:sz w:val="18"/>
              </w:rPr>
              <w:t>(226,519,048)</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28"/>
              <w:jc w:val="right"/>
              <w:rPr>
                <w:rFonts w:ascii="Arial" w:hAnsi="Arial" w:cs="Arial" w:eastAsia="Arial" w:hint="default"/>
                <w:sz w:val="18"/>
                <w:szCs w:val="18"/>
              </w:rPr>
            </w:pPr>
            <w:r>
              <w:rPr>
                <w:rFonts w:ascii="Arial"/>
                <w:spacing w:val="-2"/>
                <w:sz w:val="18"/>
              </w:rPr>
              <w:t>(592,093,089)</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90"/>
              <w:jc w:val="right"/>
              <w:rPr>
                <w:rFonts w:ascii="Arial" w:hAnsi="Arial" w:cs="Arial" w:eastAsia="Arial" w:hint="default"/>
                <w:sz w:val="18"/>
                <w:szCs w:val="18"/>
              </w:rPr>
            </w:pPr>
            <w:r>
              <w:rPr>
                <w:rFonts w:ascii="Arial"/>
                <w:w w:val="101"/>
                <w:sz w:val="18"/>
              </w:rPr>
              <w:t>-</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28"/>
              <w:jc w:val="right"/>
              <w:rPr>
                <w:rFonts w:ascii="Arial" w:hAnsi="Arial" w:cs="Arial" w:eastAsia="Arial" w:hint="default"/>
                <w:sz w:val="18"/>
                <w:szCs w:val="18"/>
              </w:rPr>
            </w:pPr>
            <w:r>
              <w:rPr>
                <w:rFonts w:ascii="Arial"/>
                <w:spacing w:val="-2"/>
                <w:sz w:val="18"/>
              </w:rPr>
              <w:t>(1,155,943)</w:t>
            </w:r>
            <w:r>
              <w:rPr>
                <w:rFonts w:ascii="Arial"/>
                <w:sz w:val="18"/>
              </w:rPr>
            </w:r>
          </w:p>
        </w:tc>
      </w:tr>
      <w:tr>
        <w:trPr>
          <w:trHeight w:val="274" w:hRule="exact"/>
        </w:trPr>
        <w:tc>
          <w:tcPr>
            <w:tcW w:w="3115" w:type="dxa"/>
            <w:tcBorders>
              <w:top w:val="single" w:sz="6" w:space="0" w:color="000000"/>
              <w:left w:val="single" w:sz="6" w:space="0" w:color="000000"/>
              <w:bottom w:val="single" w:sz="6" w:space="0" w:color="000000"/>
              <w:right w:val="single" w:sz="6" w:space="0" w:color="000000"/>
            </w:tcBorders>
          </w:tcPr>
          <w:p>
            <w:pP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74"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17" w:lineRule="exact"/>
              <w:ind w:left="100" w:right="0"/>
              <w:jc w:val="left"/>
              <w:rPr>
                <w:rFonts w:ascii="宋体" w:hAnsi="宋体" w:cs="宋体" w:eastAsia="宋体" w:hint="default"/>
                <w:sz w:val="18"/>
                <w:szCs w:val="18"/>
              </w:rPr>
            </w:pPr>
            <w:r>
              <w:rPr>
                <w:rFonts w:ascii="宋体" w:hAnsi="宋体" w:cs="宋体" w:eastAsia="宋体" w:hint="default"/>
                <w:sz w:val="18"/>
                <w:szCs w:val="18"/>
              </w:rPr>
              <w:t>四、利润总额</w:t>
            </w: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88"/>
              <w:jc w:val="right"/>
              <w:rPr>
                <w:rFonts w:ascii="Arial" w:hAnsi="Arial" w:cs="Arial" w:eastAsia="Arial" w:hint="default"/>
                <w:sz w:val="18"/>
                <w:szCs w:val="18"/>
              </w:rPr>
            </w:pPr>
            <w:r>
              <w:rPr>
                <w:rFonts w:ascii="Arial"/>
                <w:spacing w:val="-2"/>
                <w:sz w:val="18"/>
              </w:rPr>
              <w:t>14,035,186,382</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88"/>
              <w:jc w:val="right"/>
              <w:rPr>
                <w:rFonts w:ascii="Arial" w:hAnsi="Arial" w:cs="Arial" w:eastAsia="Arial" w:hint="default"/>
                <w:sz w:val="18"/>
                <w:szCs w:val="18"/>
              </w:rPr>
            </w:pPr>
            <w:r>
              <w:rPr>
                <w:rFonts w:ascii="Arial"/>
                <w:spacing w:val="-2"/>
                <w:sz w:val="18"/>
              </w:rPr>
              <w:t>12,075,362,887</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97" w:right="0"/>
              <w:jc w:val="left"/>
              <w:rPr>
                <w:rFonts w:ascii="Arial" w:hAnsi="Arial" w:cs="Arial" w:eastAsia="Arial" w:hint="default"/>
                <w:sz w:val="18"/>
                <w:szCs w:val="18"/>
              </w:rPr>
            </w:pPr>
            <w:r>
              <w:rPr>
                <w:rFonts w:ascii="Arial"/>
                <w:sz w:val="18"/>
              </w:rPr>
              <w:t>1,918,865,983</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88"/>
              <w:jc w:val="right"/>
              <w:rPr>
                <w:rFonts w:ascii="Arial" w:hAnsi="Arial" w:cs="Arial" w:eastAsia="Arial" w:hint="default"/>
                <w:sz w:val="18"/>
                <w:szCs w:val="18"/>
              </w:rPr>
            </w:pPr>
            <w:r>
              <w:rPr>
                <w:rFonts w:ascii="Arial"/>
                <w:spacing w:val="-1"/>
                <w:sz w:val="18"/>
              </w:rPr>
              <w:t>735,394,930</w:t>
            </w:r>
            <w:r>
              <w:rPr>
                <w:rFonts w:ascii="Arial"/>
                <w:sz w:val="18"/>
              </w:rPr>
            </w:r>
          </w:p>
        </w:tc>
      </w:tr>
      <w:tr>
        <w:trPr>
          <w:trHeight w:val="274"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ind w:left="475" w:right="0"/>
              <w:jc w:val="left"/>
              <w:rPr>
                <w:rFonts w:ascii="宋体" w:hAnsi="宋体" w:cs="宋体" w:eastAsia="宋体" w:hint="default"/>
                <w:sz w:val="18"/>
                <w:szCs w:val="18"/>
              </w:rPr>
            </w:pPr>
            <w:r>
              <w:rPr>
                <w:rFonts w:ascii="宋体" w:hAnsi="宋体" w:cs="宋体" w:eastAsia="宋体" w:hint="default"/>
                <w:spacing w:val="-3"/>
                <w:sz w:val="18"/>
                <w:szCs w:val="18"/>
              </w:rPr>
              <w:t>减：所得税费用</w:t>
            </w:r>
            <w:r>
              <w:rPr>
                <w:rFonts w:ascii="宋体" w:hAnsi="宋体" w:cs="宋体" w:eastAsia="宋体" w:hint="default"/>
                <w:sz w:val="18"/>
                <w:szCs w:val="18"/>
              </w:rPr>
            </w:r>
          </w:p>
        </w:tc>
        <w:tc>
          <w:tcPr>
            <w:tcW w:w="600"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3"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(49)</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27"/>
              <w:jc w:val="right"/>
              <w:rPr>
                <w:rFonts w:ascii="Arial" w:hAnsi="Arial" w:cs="Arial" w:eastAsia="Arial" w:hint="default"/>
                <w:sz w:val="18"/>
                <w:szCs w:val="18"/>
              </w:rPr>
            </w:pPr>
            <w:r>
              <w:rPr>
                <w:rFonts w:ascii="Arial"/>
                <w:spacing w:val="-2"/>
                <w:sz w:val="18"/>
              </w:rPr>
              <w:t>(2,771,062,083)</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28"/>
              <w:jc w:val="right"/>
              <w:rPr>
                <w:rFonts w:ascii="Arial" w:hAnsi="Arial" w:cs="Arial" w:eastAsia="Arial" w:hint="default"/>
                <w:sz w:val="18"/>
                <w:szCs w:val="18"/>
              </w:rPr>
            </w:pPr>
            <w:r>
              <w:rPr>
                <w:rFonts w:ascii="Arial"/>
                <w:spacing w:val="-2"/>
                <w:sz w:val="18"/>
              </w:rPr>
              <w:t>(2,774,699,072)</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33"/>
              <w:jc w:val="right"/>
              <w:rPr>
                <w:rFonts w:ascii="Arial" w:hAnsi="Arial" w:cs="Arial" w:eastAsia="Arial" w:hint="default"/>
                <w:sz w:val="18"/>
                <w:szCs w:val="18"/>
              </w:rPr>
            </w:pPr>
            <w:r>
              <w:rPr>
                <w:rFonts w:ascii="Arial"/>
                <w:spacing w:val="-2"/>
                <w:sz w:val="18"/>
              </w:rPr>
              <w:t>(25,495,796)</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95"/>
              <w:jc w:val="right"/>
              <w:rPr>
                <w:rFonts w:ascii="Arial" w:hAnsi="Arial" w:cs="Arial" w:eastAsia="Arial" w:hint="default"/>
                <w:sz w:val="18"/>
                <w:szCs w:val="18"/>
              </w:rPr>
            </w:pPr>
            <w:r>
              <w:rPr>
                <w:rFonts w:ascii="Arial"/>
                <w:w w:val="101"/>
                <w:sz w:val="18"/>
              </w:rPr>
              <w:t>-</w:t>
            </w:r>
            <w:r>
              <w:rPr>
                <w:rFonts w:ascii="Arial"/>
                <w:sz w:val="18"/>
              </w:rPr>
            </w:r>
          </w:p>
        </w:tc>
      </w:tr>
      <w:tr>
        <w:trPr>
          <w:trHeight w:val="274" w:hRule="exact"/>
        </w:trPr>
        <w:tc>
          <w:tcPr>
            <w:tcW w:w="3115" w:type="dxa"/>
            <w:tcBorders>
              <w:top w:val="single" w:sz="6" w:space="0" w:color="000000"/>
              <w:left w:val="single" w:sz="6" w:space="0" w:color="000000"/>
              <w:bottom w:val="single" w:sz="6" w:space="0" w:color="000000"/>
              <w:right w:val="single" w:sz="6" w:space="0" w:color="000000"/>
            </w:tcBorders>
          </w:tcPr>
          <w:p>
            <w:pP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74"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ind w:left="100" w:right="0"/>
              <w:jc w:val="left"/>
              <w:rPr>
                <w:rFonts w:ascii="宋体" w:hAnsi="宋体" w:cs="宋体" w:eastAsia="宋体" w:hint="default"/>
                <w:sz w:val="18"/>
                <w:szCs w:val="18"/>
              </w:rPr>
            </w:pPr>
            <w:r>
              <w:rPr>
                <w:rFonts w:ascii="宋体" w:hAnsi="宋体" w:cs="宋体" w:eastAsia="宋体" w:hint="default"/>
                <w:spacing w:val="-3"/>
                <w:sz w:val="18"/>
                <w:szCs w:val="18"/>
              </w:rPr>
              <w:t>五、净利润</w:t>
            </w:r>
            <w:r>
              <w:rPr>
                <w:rFonts w:ascii="宋体" w:hAnsi="宋体" w:cs="宋体" w:eastAsia="宋体" w:hint="default"/>
                <w:sz w:val="18"/>
                <w:szCs w:val="18"/>
              </w:rPr>
            </w: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88"/>
              <w:jc w:val="right"/>
              <w:rPr>
                <w:rFonts w:ascii="Arial" w:hAnsi="Arial" w:cs="Arial" w:eastAsia="Arial" w:hint="default"/>
                <w:sz w:val="18"/>
                <w:szCs w:val="18"/>
              </w:rPr>
            </w:pPr>
            <w:r>
              <w:rPr>
                <w:rFonts w:ascii="Arial"/>
                <w:spacing w:val="-2"/>
                <w:sz w:val="18"/>
              </w:rPr>
              <w:t>11,264,124,299</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93"/>
              <w:jc w:val="right"/>
              <w:rPr>
                <w:rFonts w:ascii="Arial" w:hAnsi="Arial" w:cs="Arial" w:eastAsia="Arial" w:hint="default"/>
                <w:sz w:val="18"/>
                <w:szCs w:val="18"/>
              </w:rPr>
            </w:pPr>
            <w:r>
              <w:rPr>
                <w:rFonts w:ascii="Arial"/>
                <w:spacing w:val="-2"/>
                <w:sz w:val="18"/>
              </w:rPr>
              <w:t>9,300,663,815</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97" w:right="0"/>
              <w:jc w:val="left"/>
              <w:rPr>
                <w:rFonts w:ascii="Arial" w:hAnsi="Arial" w:cs="Arial" w:eastAsia="Arial" w:hint="default"/>
                <w:sz w:val="18"/>
                <w:szCs w:val="18"/>
              </w:rPr>
            </w:pPr>
            <w:r>
              <w:rPr>
                <w:rFonts w:ascii="Arial"/>
                <w:sz w:val="18"/>
              </w:rPr>
              <w:t>1,893,370,187</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88"/>
              <w:jc w:val="right"/>
              <w:rPr>
                <w:rFonts w:ascii="Arial" w:hAnsi="Arial" w:cs="Arial" w:eastAsia="Arial" w:hint="default"/>
                <w:sz w:val="18"/>
                <w:szCs w:val="18"/>
              </w:rPr>
            </w:pPr>
            <w:r>
              <w:rPr>
                <w:rFonts w:ascii="Arial"/>
                <w:spacing w:val="-1"/>
                <w:sz w:val="18"/>
              </w:rPr>
              <w:t>735,394,930</w:t>
            </w:r>
            <w:r>
              <w:rPr>
                <w:rFonts w:ascii="Arial"/>
                <w:sz w:val="18"/>
              </w:rPr>
            </w:r>
          </w:p>
        </w:tc>
      </w:tr>
      <w:tr>
        <w:trPr>
          <w:trHeight w:val="274"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ind w:left="100" w:right="0"/>
              <w:jc w:val="left"/>
              <w:rPr>
                <w:rFonts w:ascii="宋体" w:hAnsi="宋体" w:cs="宋体" w:eastAsia="宋体" w:hint="default"/>
                <w:sz w:val="18"/>
                <w:szCs w:val="18"/>
              </w:rPr>
            </w:pPr>
            <w:r>
              <w:rPr>
                <w:rFonts w:ascii="宋体" w:hAnsi="宋体" w:cs="宋体" w:eastAsia="宋体" w:hint="default"/>
                <w:spacing w:val="-3"/>
                <w:sz w:val="18"/>
                <w:szCs w:val="18"/>
              </w:rPr>
              <w:t>（一）按经营持续性分类</w:t>
            </w:r>
            <w:r>
              <w:rPr>
                <w:rFonts w:ascii="宋体" w:hAnsi="宋体" w:cs="宋体" w:eastAsia="宋体" w:hint="default"/>
                <w:sz w:val="18"/>
                <w:szCs w:val="18"/>
              </w:rPr>
            </w: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88"/>
              <w:jc w:val="right"/>
              <w:rPr>
                <w:rFonts w:ascii="Arial" w:hAnsi="Arial" w:cs="Arial" w:eastAsia="Arial" w:hint="default"/>
                <w:sz w:val="18"/>
                <w:szCs w:val="18"/>
              </w:rPr>
            </w:pPr>
            <w:r>
              <w:rPr>
                <w:rFonts w:ascii="Arial"/>
                <w:spacing w:val="-2"/>
                <w:sz w:val="18"/>
              </w:rPr>
              <w:t>11,264,124,299</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93"/>
              <w:jc w:val="right"/>
              <w:rPr>
                <w:rFonts w:ascii="Arial" w:hAnsi="Arial" w:cs="Arial" w:eastAsia="Arial" w:hint="default"/>
                <w:sz w:val="18"/>
                <w:szCs w:val="18"/>
              </w:rPr>
            </w:pPr>
            <w:r>
              <w:rPr>
                <w:rFonts w:ascii="Arial"/>
                <w:spacing w:val="-2"/>
                <w:sz w:val="18"/>
              </w:rPr>
              <w:t>9,300,663,815</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97" w:right="0"/>
              <w:jc w:val="left"/>
              <w:rPr>
                <w:rFonts w:ascii="Arial" w:hAnsi="Arial" w:cs="Arial" w:eastAsia="Arial" w:hint="default"/>
                <w:sz w:val="18"/>
                <w:szCs w:val="18"/>
              </w:rPr>
            </w:pPr>
            <w:r>
              <w:rPr>
                <w:rFonts w:ascii="Arial"/>
                <w:sz w:val="18"/>
              </w:rPr>
              <w:t>1,893,370,187</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88"/>
              <w:jc w:val="right"/>
              <w:rPr>
                <w:rFonts w:ascii="Arial" w:hAnsi="Arial" w:cs="Arial" w:eastAsia="Arial" w:hint="default"/>
                <w:sz w:val="18"/>
                <w:szCs w:val="18"/>
              </w:rPr>
            </w:pPr>
            <w:r>
              <w:rPr>
                <w:rFonts w:ascii="Arial"/>
                <w:spacing w:val="-1"/>
                <w:sz w:val="18"/>
              </w:rPr>
              <w:t>735,394,930</w:t>
            </w:r>
            <w:r>
              <w:rPr>
                <w:rFonts w:ascii="Arial"/>
                <w:sz w:val="18"/>
              </w:rPr>
            </w:r>
          </w:p>
        </w:tc>
      </w:tr>
      <w:tr>
        <w:trPr>
          <w:trHeight w:val="274"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45" w:lineRule="exact"/>
              <w:ind w:left="451" w:right="0"/>
              <w:jc w:val="left"/>
              <w:rPr>
                <w:rFonts w:ascii="宋体" w:hAnsi="宋体" w:cs="宋体" w:eastAsia="宋体" w:hint="default"/>
                <w:sz w:val="18"/>
                <w:szCs w:val="18"/>
              </w:rPr>
            </w:pPr>
            <w:r>
              <w:rPr>
                <w:rFonts w:ascii="Arial" w:hAnsi="Arial" w:cs="Arial" w:eastAsia="Arial" w:hint="default"/>
                <w:sz w:val="18"/>
                <w:szCs w:val="18"/>
              </w:rPr>
              <w:t>1.</w:t>
            </w:r>
            <w:r>
              <w:rPr>
                <w:rFonts w:ascii="宋体" w:hAnsi="宋体" w:cs="宋体" w:eastAsia="宋体" w:hint="default"/>
                <w:sz w:val="18"/>
                <w:szCs w:val="18"/>
              </w:rPr>
              <w:t>持续经营净利润</w:t>
            </w: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88"/>
              <w:jc w:val="right"/>
              <w:rPr>
                <w:rFonts w:ascii="Arial" w:hAnsi="Arial" w:cs="Arial" w:eastAsia="Arial" w:hint="default"/>
                <w:sz w:val="18"/>
                <w:szCs w:val="18"/>
              </w:rPr>
            </w:pPr>
            <w:r>
              <w:rPr>
                <w:rFonts w:ascii="Arial"/>
                <w:spacing w:val="-2"/>
                <w:sz w:val="18"/>
              </w:rPr>
              <w:t>11,264,124,299</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93"/>
              <w:jc w:val="right"/>
              <w:rPr>
                <w:rFonts w:ascii="Arial" w:hAnsi="Arial" w:cs="Arial" w:eastAsia="Arial" w:hint="default"/>
                <w:sz w:val="18"/>
                <w:szCs w:val="18"/>
              </w:rPr>
            </w:pPr>
            <w:r>
              <w:rPr>
                <w:rFonts w:ascii="Arial"/>
                <w:spacing w:val="-2"/>
                <w:sz w:val="18"/>
              </w:rPr>
              <w:t>9,300,663,815</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97" w:right="0"/>
              <w:jc w:val="left"/>
              <w:rPr>
                <w:rFonts w:ascii="Arial" w:hAnsi="Arial" w:cs="Arial" w:eastAsia="Arial" w:hint="default"/>
                <w:sz w:val="18"/>
                <w:szCs w:val="18"/>
              </w:rPr>
            </w:pPr>
            <w:r>
              <w:rPr>
                <w:rFonts w:ascii="Arial"/>
                <w:sz w:val="18"/>
              </w:rPr>
              <w:t>1,893,370,187</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88"/>
              <w:jc w:val="right"/>
              <w:rPr>
                <w:rFonts w:ascii="Arial" w:hAnsi="Arial" w:cs="Arial" w:eastAsia="Arial" w:hint="default"/>
                <w:sz w:val="18"/>
                <w:szCs w:val="18"/>
              </w:rPr>
            </w:pPr>
            <w:r>
              <w:rPr>
                <w:rFonts w:ascii="Arial"/>
                <w:spacing w:val="-1"/>
                <w:sz w:val="18"/>
              </w:rPr>
              <w:t>735,394,930</w:t>
            </w:r>
            <w:r>
              <w:rPr>
                <w:rFonts w:ascii="Arial"/>
                <w:sz w:val="18"/>
              </w:rPr>
            </w:r>
          </w:p>
        </w:tc>
      </w:tr>
      <w:tr>
        <w:trPr>
          <w:trHeight w:val="278"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451" w:right="0"/>
              <w:jc w:val="left"/>
              <w:rPr>
                <w:rFonts w:ascii="宋体" w:hAnsi="宋体" w:cs="宋体" w:eastAsia="宋体" w:hint="default"/>
                <w:sz w:val="18"/>
                <w:szCs w:val="18"/>
              </w:rPr>
            </w:pPr>
            <w:r>
              <w:rPr>
                <w:rFonts w:ascii="Arial" w:hAnsi="Arial" w:cs="Arial" w:eastAsia="Arial" w:hint="default"/>
                <w:sz w:val="18"/>
                <w:szCs w:val="18"/>
              </w:rPr>
              <w:t>2.</w:t>
            </w:r>
            <w:r>
              <w:rPr>
                <w:rFonts w:ascii="宋体" w:hAnsi="宋体" w:cs="宋体" w:eastAsia="宋体" w:hint="default"/>
                <w:sz w:val="18"/>
                <w:szCs w:val="18"/>
              </w:rPr>
              <w:t>终止经营净利润</w:t>
            </w: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95"/>
              <w:jc w:val="right"/>
              <w:rPr>
                <w:rFonts w:ascii="Arial" w:hAnsi="Arial" w:cs="Arial" w:eastAsia="Arial" w:hint="default"/>
                <w:sz w:val="18"/>
                <w:szCs w:val="18"/>
              </w:rPr>
            </w:pPr>
            <w:r>
              <w:rPr>
                <w:rFonts w:ascii="Arial"/>
                <w:w w:val="101"/>
                <w:sz w:val="18"/>
              </w:rPr>
              <w:t>-</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90"/>
              <w:jc w:val="right"/>
              <w:rPr>
                <w:rFonts w:ascii="Arial" w:hAnsi="Arial" w:cs="Arial" w:eastAsia="Arial" w:hint="default"/>
                <w:sz w:val="18"/>
                <w:szCs w:val="18"/>
              </w:rPr>
            </w:pPr>
            <w:r>
              <w:rPr>
                <w:rFonts w:ascii="Arial"/>
                <w:w w:val="101"/>
                <w:sz w:val="18"/>
              </w:rPr>
              <w:t>-</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90"/>
              <w:jc w:val="right"/>
              <w:rPr>
                <w:rFonts w:ascii="Arial" w:hAnsi="Arial" w:cs="Arial" w:eastAsia="Arial" w:hint="default"/>
                <w:sz w:val="18"/>
                <w:szCs w:val="18"/>
              </w:rPr>
            </w:pPr>
            <w:r>
              <w:rPr>
                <w:rFonts w:ascii="Arial"/>
                <w:w w:val="101"/>
                <w:sz w:val="18"/>
              </w:rPr>
              <w:t>-</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90"/>
              <w:jc w:val="right"/>
              <w:rPr>
                <w:rFonts w:ascii="Arial" w:hAnsi="Arial" w:cs="Arial" w:eastAsia="Arial" w:hint="default"/>
                <w:sz w:val="18"/>
                <w:szCs w:val="18"/>
              </w:rPr>
            </w:pPr>
            <w:r>
              <w:rPr>
                <w:rFonts w:ascii="Arial"/>
                <w:w w:val="101"/>
                <w:sz w:val="18"/>
              </w:rPr>
              <w:t>-</w:t>
            </w:r>
            <w:r>
              <w:rPr>
                <w:rFonts w:ascii="Arial"/>
                <w:sz w:val="18"/>
              </w:rPr>
            </w:r>
          </w:p>
        </w:tc>
      </w:tr>
      <w:tr>
        <w:trPr>
          <w:trHeight w:val="274"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ind w:left="100" w:right="0"/>
              <w:jc w:val="left"/>
              <w:rPr>
                <w:rFonts w:ascii="宋体" w:hAnsi="宋体" w:cs="宋体" w:eastAsia="宋体" w:hint="default"/>
                <w:sz w:val="18"/>
                <w:szCs w:val="18"/>
              </w:rPr>
            </w:pPr>
            <w:r>
              <w:rPr>
                <w:rFonts w:ascii="宋体" w:hAnsi="宋体" w:cs="宋体" w:eastAsia="宋体" w:hint="default"/>
                <w:spacing w:val="-3"/>
                <w:sz w:val="18"/>
                <w:szCs w:val="18"/>
              </w:rPr>
              <w:t>（二）按所有权归属分类</w:t>
            </w:r>
            <w:r>
              <w:rPr>
                <w:rFonts w:ascii="宋体" w:hAnsi="宋体" w:cs="宋体" w:eastAsia="宋体" w:hint="default"/>
                <w:sz w:val="18"/>
                <w:szCs w:val="18"/>
              </w:rPr>
            </w: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88"/>
              <w:jc w:val="right"/>
              <w:rPr>
                <w:rFonts w:ascii="Arial" w:hAnsi="Arial" w:cs="Arial" w:eastAsia="Arial" w:hint="default"/>
                <w:sz w:val="18"/>
                <w:szCs w:val="18"/>
              </w:rPr>
            </w:pPr>
            <w:r>
              <w:rPr>
                <w:rFonts w:ascii="Arial"/>
                <w:spacing w:val="-2"/>
                <w:sz w:val="18"/>
              </w:rPr>
              <w:t>11,264,124,299</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93"/>
              <w:jc w:val="right"/>
              <w:rPr>
                <w:rFonts w:ascii="Arial" w:hAnsi="Arial" w:cs="Arial" w:eastAsia="Arial" w:hint="default"/>
                <w:sz w:val="18"/>
                <w:szCs w:val="18"/>
              </w:rPr>
            </w:pPr>
            <w:r>
              <w:rPr>
                <w:rFonts w:ascii="Arial"/>
                <w:spacing w:val="-2"/>
                <w:sz w:val="18"/>
              </w:rPr>
              <w:t>9,300,663,815</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97" w:right="0"/>
              <w:jc w:val="left"/>
              <w:rPr>
                <w:rFonts w:ascii="Arial" w:hAnsi="Arial" w:cs="Arial" w:eastAsia="Arial" w:hint="default"/>
                <w:sz w:val="18"/>
                <w:szCs w:val="18"/>
              </w:rPr>
            </w:pPr>
            <w:r>
              <w:rPr>
                <w:rFonts w:ascii="Arial"/>
                <w:sz w:val="18"/>
              </w:rPr>
              <w:t>1,893,370,187</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88"/>
              <w:jc w:val="right"/>
              <w:rPr>
                <w:rFonts w:ascii="Arial" w:hAnsi="Arial" w:cs="Arial" w:eastAsia="Arial" w:hint="default"/>
                <w:sz w:val="18"/>
                <w:szCs w:val="18"/>
              </w:rPr>
            </w:pPr>
            <w:r>
              <w:rPr>
                <w:rFonts w:ascii="Arial"/>
                <w:spacing w:val="-1"/>
                <w:sz w:val="18"/>
              </w:rPr>
              <w:t>735,394,930</w:t>
            </w:r>
            <w:r>
              <w:rPr>
                <w:rFonts w:ascii="Arial"/>
                <w:sz w:val="18"/>
              </w:rPr>
            </w:r>
          </w:p>
        </w:tc>
      </w:tr>
      <w:tr>
        <w:trPr>
          <w:trHeight w:val="288"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51" w:right="0"/>
              <w:jc w:val="left"/>
              <w:rPr>
                <w:rFonts w:ascii="宋体" w:hAnsi="宋体" w:cs="宋体" w:eastAsia="宋体" w:hint="default"/>
                <w:sz w:val="18"/>
                <w:szCs w:val="18"/>
              </w:rPr>
            </w:pPr>
            <w:r>
              <w:rPr>
                <w:rFonts w:ascii="Arial" w:hAnsi="Arial" w:cs="Arial" w:eastAsia="Arial" w:hint="default"/>
                <w:spacing w:val="-3"/>
                <w:sz w:val="18"/>
                <w:szCs w:val="18"/>
              </w:rPr>
              <w:t>1.</w:t>
            </w:r>
            <w:r>
              <w:rPr>
                <w:rFonts w:ascii="宋体" w:hAnsi="宋体" w:cs="宋体" w:eastAsia="宋体" w:hint="default"/>
                <w:spacing w:val="-3"/>
                <w:sz w:val="18"/>
                <w:szCs w:val="18"/>
              </w:rPr>
              <w:t>归属于母公司股东的净利润</w:t>
            </w:r>
            <w:r>
              <w:rPr>
                <w:rFonts w:ascii="宋体" w:hAnsi="宋体" w:cs="宋体" w:eastAsia="宋体" w:hint="default"/>
                <w:sz w:val="18"/>
                <w:szCs w:val="18"/>
              </w:rPr>
            </w: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93"/>
              <w:jc w:val="right"/>
              <w:rPr>
                <w:rFonts w:ascii="Arial" w:hAnsi="Arial" w:cs="Arial" w:eastAsia="Arial" w:hint="default"/>
                <w:sz w:val="18"/>
                <w:szCs w:val="18"/>
              </w:rPr>
            </w:pPr>
            <w:r>
              <w:rPr>
                <w:rFonts w:ascii="Arial"/>
                <w:spacing w:val="-2"/>
                <w:sz w:val="18"/>
              </w:rPr>
              <w:t>4,982,083,711</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88"/>
              <w:jc w:val="right"/>
              <w:rPr>
                <w:rFonts w:ascii="Arial" w:hAnsi="Arial" w:cs="Arial" w:eastAsia="Arial" w:hint="default"/>
                <w:sz w:val="18"/>
                <w:szCs w:val="18"/>
              </w:rPr>
            </w:pPr>
            <w:r>
              <w:rPr>
                <w:rFonts w:ascii="Arial"/>
                <w:spacing w:val="-2"/>
                <w:sz w:val="18"/>
              </w:rPr>
              <w:t>4,080,771,727</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297" w:right="0"/>
              <w:jc w:val="left"/>
              <w:rPr>
                <w:rFonts w:ascii="Arial" w:hAnsi="Arial" w:cs="Arial" w:eastAsia="Arial" w:hint="default"/>
                <w:sz w:val="18"/>
                <w:szCs w:val="18"/>
              </w:rPr>
            </w:pPr>
            <w:r>
              <w:rPr>
                <w:rFonts w:ascii="Arial"/>
                <w:sz w:val="18"/>
              </w:rPr>
              <w:t>1,893,370,187</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88"/>
              <w:jc w:val="right"/>
              <w:rPr>
                <w:rFonts w:ascii="Arial" w:hAnsi="Arial" w:cs="Arial" w:eastAsia="Arial" w:hint="default"/>
                <w:sz w:val="18"/>
                <w:szCs w:val="18"/>
              </w:rPr>
            </w:pPr>
            <w:r>
              <w:rPr>
                <w:rFonts w:ascii="Arial"/>
                <w:spacing w:val="-1"/>
                <w:sz w:val="18"/>
              </w:rPr>
              <w:t>735,394,930</w:t>
            </w:r>
            <w:r>
              <w:rPr>
                <w:rFonts w:ascii="Arial"/>
                <w:sz w:val="18"/>
              </w:rPr>
            </w:r>
          </w:p>
        </w:tc>
      </w:tr>
      <w:tr>
        <w:trPr>
          <w:trHeight w:val="274"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45" w:lineRule="exact"/>
              <w:ind w:left="451" w:right="0"/>
              <w:jc w:val="left"/>
              <w:rPr>
                <w:rFonts w:ascii="宋体" w:hAnsi="宋体" w:cs="宋体" w:eastAsia="宋体" w:hint="default"/>
                <w:sz w:val="18"/>
                <w:szCs w:val="18"/>
              </w:rPr>
            </w:pPr>
            <w:r>
              <w:rPr>
                <w:rFonts w:ascii="Arial" w:hAnsi="Arial" w:cs="Arial" w:eastAsia="Arial" w:hint="default"/>
                <w:spacing w:val="-3"/>
                <w:sz w:val="18"/>
                <w:szCs w:val="18"/>
              </w:rPr>
              <w:t>2.</w:t>
            </w:r>
            <w:r>
              <w:rPr>
                <w:rFonts w:ascii="宋体" w:hAnsi="宋体" w:cs="宋体" w:eastAsia="宋体" w:hint="default"/>
                <w:spacing w:val="-3"/>
                <w:sz w:val="18"/>
                <w:szCs w:val="18"/>
              </w:rPr>
              <w:t>少数股东损益</w:t>
            </w:r>
            <w:r>
              <w:rPr>
                <w:rFonts w:ascii="宋体" w:hAnsi="宋体" w:cs="宋体" w:eastAsia="宋体" w:hint="default"/>
                <w:sz w:val="18"/>
                <w:szCs w:val="18"/>
              </w:rPr>
            </w: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93"/>
              <w:jc w:val="right"/>
              <w:rPr>
                <w:rFonts w:ascii="Arial" w:hAnsi="Arial" w:cs="Arial" w:eastAsia="Arial" w:hint="default"/>
                <w:sz w:val="18"/>
                <w:szCs w:val="18"/>
              </w:rPr>
            </w:pPr>
            <w:r>
              <w:rPr>
                <w:rFonts w:ascii="Arial"/>
                <w:spacing w:val="-2"/>
                <w:sz w:val="18"/>
              </w:rPr>
              <w:t>6,282,040,588</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88"/>
              <w:jc w:val="right"/>
              <w:rPr>
                <w:rFonts w:ascii="Arial" w:hAnsi="Arial" w:cs="Arial" w:eastAsia="Arial" w:hint="default"/>
                <w:sz w:val="18"/>
                <w:szCs w:val="18"/>
              </w:rPr>
            </w:pPr>
            <w:r>
              <w:rPr>
                <w:rFonts w:ascii="Arial"/>
                <w:spacing w:val="-2"/>
                <w:sz w:val="18"/>
              </w:rPr>
              <w:t>5,219,892,088</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90"/>
              <w:jc w:val="right"/>
              <w:rPr>
                <w:rFonts w:ascii="Arial" w:hAnsi="Arial" w:cs="Arial" w:eastAsia="Arial" w:hint="default"/>
                <w:sz w:val="18"/>
                <w:szCs w:val="18"/>
              </w:rPr>
            </w:pPr>
            <w:r>
              <w:rPr>
                <w:rFonts w:ascii="Arial"/>
                <w:w w:val="101"/>
                <w:sz w:val="18"/>
              </w:rPr>
              <w:t>-</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90"/>
              <w:jc w:val="right"/>
              <w:rPr>
                <w:rFonts w:ascii="Arial" w:hAnsi="Arial" w:cs="Arial" w:eastAsia="Arial" w:hint="default"/>
                <w:sz w:val="18"/>
                <w:szCs w:val="18"/>
              </w:rPr>
            </w:pPr>
            <w:r>
              <w:rPr>
                <w:rFonts w:ascii="Arial"/>
                <w:w w:val="101"/>
                <w:sz w:val="18"/>
              </w:rPr>
              <w:t>-</w:t>
            </w:r>
            <w:r>
              <w:rPr>
                <w:rFonts w:ascii="Arial"/>
                <w:sz w:val="18"/>
              </w:rPr>
            </w:r>
          </w:p>
        </w:tc>
      </w:tr>
      <w:tr>
        <w:trPr>
          <w:trHeight w:val="274" w:hRule="exact"/>
        </w:trPr>
        <w:tc>
          <w:tcPr>
            <w:tcW w:w="3115" w:type="dxa"/>
            <w:tcBorders>
              <w:top w:val="single" w:sz="6" w:space="0" w:color="000000"/>
              <w:left w:val="single" w:sz="6" w:space="0" w:color="000000"/>
              <w:bottom w:val="single" w:sz="6" w:space="0" w:color="000000"/>
              <w:right w:val="single" w:sz="6" w:space="0" w:color="000000"/>
            </w:tcBorders>
          </w:tcPr>
          <w:p>
            <w:pP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3"/>
                <w:sz w:val="18"/>
                <w:szCs w:val="18"/>
              </w:rPr>
              <w:t>六、其他综合收益的税后净额</w:t>
            </w:r>
            <w:r>
              <w:rPr>
                <w:rFonts w:ascii="宋体" w:hAnsi="宋体" w:cs="宋体" w:eastAsia="宋体" w:hint="default"/>
                <w:sz w:val="18"/>
                <w:szCs w:val="18"/>
              </w:rPr>
            </w:r>
          </w:p>
        </w:tc>
        <w:tc>
          <w:tcPr>
            <w:tcW w:w="600"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3"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(34)</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28"/>
              <w:jc w:val="right"/>
              <w:rPr>
                <w:rFonts w:ascii="Arial" w:hAnsi="Arial" w:cs="Arial" w:eastAsia="Arial" w:hint="default"/>
                <w:sz w:val="18"/>
                <w:szCs w:val="18"/>
              </w:rPr>
            </w:pPr>
            <w:r>
              <w:rPr>
                <w:rFonts w:ascii="Arial"/>
                <w:spacing w:val="-2"/>
                <w:sz w:val="18"/>
              </w:rPr>
              <w:t>(501,267,045)</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28"/>
              <w:jc w:val="right"/>
              <w:rPr>
                <w:rFonts w:ascii="Arial" w:hAnsi="Arial" w:cs="Arial" w:eastAsia="Arial" w:hint="default"/>
                <w:sz w:val="18"/>
                <w:szCs w:val="18"/>
              </w:rPr>
            </w:pPr>
            <w:r>
              <w:rPr>
                <w:rFonts w:ascii="Arial"/>
                <w:spacing w:val="-2"/>
                <w:sz w:val="18"/>
              </w:rPr>
              <w:t>(245,092,538)</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0"/>
              <w:jc w:val="right"/>
              <w:rPr>
                <w:rFonts w:ascii="Arial" w:hAnsi="Arial" w:cs="Arial" w:eastAsia="Arial" w:hint="default"/>
                <w:sz w:val="18"/>
                <w:szCs w:val="18"/>
              </w:rPr>
            </w:pPr>
            <w:r>
              <w:rPr>
                <w:rFonts w:ascii="Arial"/>
                <w:w w:val="101"/>
                <w:sz w:val="18"/>
              </w:rPr>
              <w:t>-</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5"/>
              <w:jc w:val="right"/>
              <w:rPr>
                <w:rFonts w:ascii="Arial" w:hAnsi="Arial" w:cs="Arial" w:eastAsia="Arial" w:hint="default"/>
                <w:sz w:val="18"/>
                <w:szCs w:val="18"/>
              </w:rPr>
            </w:pPr>
            <w:r>
              <w:rPr>
                <w:rFonts w:ascii="Arial"/>
                <w:w w:val="101"/>
                <w:sz w:val="18"/>
              </w:rPr>
              <w:t>-</w:t>
            </w:r>
            <w:r>
              <w:rPr>
                <w:rFonts w:ascii="Arial"/>
                <w:sz w:val="18"/>
              </w:rPr>
            </w:r>
          </w:p>
        </w:tc>
      </w:tr>
      <w:tr>
        <w:trPr>
          <w:trHeight w:val="480"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460" w:right="0"/>
              <w:jc w:val="left"/>
              <w:rPr>
                <w:rFonts w:ascii="宋体" w:hAnsi="宋体" w:cs="宋体" w:eastAsia="宋体" w:hint="default"/>
                <w:sz w:val="18"/>
                <w:szCs w:val="18"/>
              </w:rPr>
            </w:pPr>
            <w:r>
              <w:rPr>
                <w:rFonts w:ascii="宋体" w:hAnsi="宋体" w:cs="宋体" w:eastAsia="宋体" w:hint="default"/>
                <w:spacing w:val="-3"/>
                <w:sz w:val="18"/>
                <w:szCs w:val="18"/>
              </w:rPr>
              <w:t>归属母公司股东的其他综合收益</w:t>
            </w:r>
          </w:p>
          <w:p>
            <w:pPr>
              <w:pStyle w:val="TableParagraph"/>
              <w:spacing w:line="233" w:lineRule="exact"/>
              <w:ind w:left="542" w:right="0"/>
              <w:jc w:val="left"/>
              <w:rPr>
                <w:rFonts w:ascii="宋体" w:hAnsi="宋体" w:cs="宋体" w:eastAsia="宋体" w:hint="default"/>
                <w:sz w:val="18"/>
                <w:szCs w:val="18"/>
              </w:rPr>
            </w:pPr>
            <w:r>
              <w:rPr>
                <w:rFonts w:ascii="宋体" w:hAnsi="宋体" w:cs="宋体" w:eastAsia="宋体" w:hint="default"/>
                <w:spacing w:val="-3"/>
                <w:sz w:val="18"/>
                <w:szCs w:val="18"/>
              </w:rPr>
              <w:t>的税后净额</w:t>
            </w:r>
            <w:r>
              <w:rPr>
                <w:rFonts w:ascii="宋体" w:hAnsi="宋体" w:cs="宋体" w:eastAsia="宋体" w:hint="default"/>
                <w:sz w:val="18"/>
                <w:szCs w:val="18"/>
              </w:rPr>
            </w: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28"/>
              <w:jc w:val="right"/>
              <w:rPr>
                <w:rFonts w:ascii="Arial" w:hAnsi="Arial" w:cs="Arial" w:eastAsia="Arial" w:hint="default"/>
                <w:sz w:val="18"/>
                <w:szCs w:val="18"/>
              </w:rPr>
            </w:pPr>
            <w:r>
              <w:rPr>
                <w:rFonts w:ascii="Arial"/>
                <w:spacing w:val="-2"/>
                <w:sz w:val="18"/>
              </w:rPr>
              <w:t>(220,245,368)</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28"/>
              <w:jc w:val="right"/>
              <w:rPr>
                <w:rFonts w:ascii="Arial" w:hAnsi="Arial" w:cs="Arial" w:eastAsia="Arial" w:hint="default"/>
                <w:sz w:val="18"/>
                <w:szCs w:val="18"/>
              </w:rPr>
            </w:pPr>
            <w:r>
              <w:rPr>
                <w:rFonts w:ascii="Arial"/>
                <w:spacing w:val="-2"/>
                <w:sz w:val="18"/>
              </w:rPr>
              <w:t>(107,688,101)</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90"/>
              <w:jc w:val="right"/>
              <w:rPr>
                <w:rFonts w:ascii="Arial" w:hAnsi="Arial" w:cs="Arial" w:eastAsia="Arial" w:hint="default"/>
                <w:sz w:val="18"/>
                <w:szCs w:val="18"/>
              </w:rPr>
            </w:pPr>
            <w:r>
              <w:rPr>
                <w:rFonts w:ascii="Arial"/>
                <w:w w:val="101"/>
                <w:sz w:val="18"/>
              </w:rPr>
              <w:t>-</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95"/>
              <w:jc w:val="right"/>
              <w:rPr>
                <w:rFonts w:ascii="Arial" w:hAnsi="Arial" w:cs="Arial" w:eastAsia="Arial" w:hint="default"/>
                <w:sz w:val="18"/>
                <w:szCs w:val="18"/>
              </w:rPr>
            </w:pPr>
            <w:r>
              <w:rPr>
                <w:rFonts w:ascii="Arial"/>
                <w:w w:val="101"/>
                <w:sz w:val="18"/>
              </w:rPr>
              <w:t>-</w:t>
            </w:r>
            <w:r>
              <w:rPr>
                <w:rFonts w:ascii="Arial"/>
                <w:sz w:val="18"/>
              </w:rPr>
            </w:r>
          </w:p>
        </w:tc>
      </w:tr>
      <w:tr>
        <w:trPr>
          <w:trHeight w:val="485"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3"/>
                <w:sz w:val="18"/>
                <w:szCs w:val="18"/>
              </w:rPr>
              <w:t>（一）不能重分类进损益的</w:t>
            </w:r>
          </w:p>
          <w:p>
            <w:pPr>
              <w:pStyle w:val="TableParagraph"/>
              <w:spacing w:line="240" w:lineRule="auto"/>
              <w:ind w:left="820" w:right="0"/>
              <w:jc w:val="left"/>
              <w:rPr>
                <w:rFonts w:ascii="宋体" w:hAnsi="宋体" w:cs="宋体" w:eastAsia="宋体" w:hint="default"/>
                <w:sz w:val="18"/>
                <w:szCs w:val="18"/>
              </w:rPr>
            </w:pPr>
            <w:r>
              <w:rPr>
                <w:rFonts w:ascii="宋体" w:hAnsi="宋体" w:cs="宋体" w:eastAsia="宋体" w:hint="default"/>
                <w:spacing w:val="-3"/>
                <w:sz w:val="18"/>
                <w:szCs w:val="18"/>
              </w:rPr>
              <w:t>其他综合收益：</w:t>
            </w:r>
            <w:r>
              <w:rPr>
                <w:rFonts w:ascii="宋体" w:hAnsi="宋体" w:cs="宋体" w:eastAsia="宋体" w:hint="default"/>
                <w:sz w:val="18"/>
                <w:szCs w:val="18"/>
              </w:rPr>
            </w: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28"/>
              <w:jc w:val="right"/>
              <w:rPr>
                <w:rFonts w:ascii="Arial" w:hAnsi="Arial" w:cs="Arial" w:eastAsia="Arial" w:hint="default"/>
                <w:sz w:val="18"/>
                <w:szCs w:val="18"/>
              </w:rPr>
            </w:pPr>
            <w:r>
              <w:rPr>
                <w:rFonts w:ascii="Arial"/>
                <w:spacing w:val="-2"/>
                <w:sz w:val="18"/>
              </w:rPr>
              <w:t>(255,683,127)</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28"/>
              <w:jc w:val="right"/>
              <w:rPr>
                <w:rFonts w:ascii="Arial" w:hAnsi="Arial" w:cs="Arial" w:eastAsia="Arial" w:hint="default"/>
                <w:sz w:val="18"/>
                <w:szCs w:val="18"/>
              </w:rPr>
            </w:pPr>
            <w:r>
              <w:rPr>
                <w:rFonts w:ascii="Arial"/>
                <w:spacing w:val="-2"/>
                <w:sz w:val="18"/>
              </w:rPr>
              <w:t>(171,284,422)</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90"/>
              <w:jc w:val="right"/>
              <w:rPr>
                <w:rFonts w:ascii="Arial" w:hAnsi="Arial" w:cs="Arial" w:eastAsia="Arial" w:hint="default"/>
                <w:sz w:val="18"/>
                <w:szCs w:val="18"/>
              </w:rPr>
            </w:pPr>
            <w:r>
              <w:rPr>
                <w:rFonts w:ascii="Arial"/>
                <w:w w:val="101"/>
                <w:sz w:val="18"/>
              </w:rPr>
              <w:t>-</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95"/>
              <w:jc w:val="right"/>
              <w:rPr>
                <w:rFonts w:ascii="Arial" w:hAnsi="Arial" w:cs="Arial" w:eastAsia="Arial" w:hint="default"/>
                <w:sz w:val="18"/>
                <w:szCs w:val="18"/>
              </w:rPr>
            </w:pPr>
            <w:r>
              <w:rPr>
                <w:rFonts w:ascii="Arial"/>
                <w:w w:val="101"/>
                <w:sz w:val="18"/>
              </w:rPr>
              <w:t>-</w:t>
            </w:r>
            <w:r>
              <w:rPr>
                <w:rFonts w:ascii="Arial"/>
                <w:sz w:val="18"/>
              </w:rPr>
            </w:r>
          </w:p>
        </w:tc>
      </w:tr>
      <w:tr>
        <w:trPr>
          <w:trHeight w:val="245"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460" w:right="0"/>
              <w:jc w:val="left"/>
              <w:rPr>
                <w:rFonts w:ascii="宋体" w:hAnsi="宋体" w:cs="宋体" w:eastAsia="宋体" w:hint="default"/>
                <w:sz w:val="18"/>
                <w:szCs w:val="18"/>
              </w:rPr>
            </w:pPr>
            <w:r>
              <w:rPr>
                <w:rFonts w:ascii="Arial" w:hAnsi="Arial" w:cs="Arial" w:eastAsia="Arial" w:hint="default"/>
                <w:spacing w:val="-3"/>
                <w:sz w:val="18"/>
                <w:szCs w:val="18"/>
              </w:rPr>
              <w:t>1.</w:t>
            </w:r>
            <w:r>
              <w:rPr>
                <w:rFonts w:ascii="宋体" w:hAnsi="宋体" w:cs="宋体" w:eastAsia="宋体" w:hint="default"/>
                <w:spacing w:val="-3"/>
                <w:sz w:val="18"/>
                <w:szCs w:val="18"/>
              </w:rPr>
              <w:t>重新计量设定受益计划变动额</w:t>
            </w: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8"/>
              <w:jc w:val="right"/>
              <w:rPr>
                <w:rFonts w:ascii="Arial" w:hAnsi="Arial" w:cs="Arial" w:eastAsia="Arial" w:hint="default"/>
                <w:sz w:val="18"/>
                <w:szCs w:val="18"/>
              </w:rPr>
            </w:pPr>
            <w:r>
              <w:rPr>
                <w:rFonts w:ascii="Arial"/>
                <w:spacing w:val="-2"/>
                <w:sz w:val="18"/>
              </w:rPr>
              <w:t>(269,104)</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8"/>
              <w:jc w:val="right"/>
              <w:rPr>
                <w:rFonts w:ascii="Arial" w:hAnsi="Arial" w:cs="Arial" w:eastAsia="Arial" w:hint="default"/>
                <w:sz w:val="18"/>
                <w:szCs w:val="18"/>
              </w:rPr>
            </w:pPr>
            <w:r>
              <w:rPr>
                <w:rFonts w:ascii="Arial"/>
                <w:spacing w:val="-2"/>
                <w:sz w:val="18"/>
              </w:rPr>
              <w:t>(3,627,674)</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0"/>
              <w:jc w:val="right"/>
              <w:rPr>
                <w:rFonts w:ascii="Arial" w:hAnsi="Arial" w:cs="Arial" w:eastAsia="Arial" w:hint="default"/>
                <w:sz w:val="18"/>
                <w:szCs w:val="18"/>
              </w:rPr>
            </w:pPr>
            <w:r>
              <w:rPr>
                <w:rFonts w:ascii="Arial"/>
                <w:w w:val="101"/>
                <w:sz w:val="18"/>
              </w:rPr>
              <w:t>-</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5"/>
              <w:jc w:val="right"/>
              <w:rPr>
                <w:rFonts w:ascii="Arial" w:hAnsi="Arial" w:cs="Arial" w:eastAsia="Arial" w:hint="default"/>
                <w:sz w:val="18"/>
                <w:szCs w:val="18"/>
              </w:rPr>
            </w:pPr>
            <w:r>
              <w:rPr>
                <w:rFonts w:ascii="Arial"/>
                <w:w w:val="101"/>
                <w:sz w:val="18"/>
              </w:rPr>
              <w:t>-</w:t>
            </w:r>
            <w:r>
              <w:rPr>
                <w:rFonts w:ascii="Arial"/>
                <w:sz w:val="18"/>
              </w:rPr>
            </w:r>
          </w:p>
        </w:tc>
      </w:tr>
      <w:tr>
        <w:trPr>
          <w:trHeight w:val="485"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14" w:lineRule="exact"/>
              <w:ind w:left="451" w:right="0"/>
              <w:jc w:val="left"/>
              <w:rPr>
                <w:rFonts w:ascii="宋体" w:hAnsi="宋体" w:cs="宋体" w:eastAsia="宋体" w:hint="default"/>
                <w:sz w:val="18"/>
                <w:szCs w:val="18"/>
              </w:rPr>
            </w:pPr>
            <w:r>
              <w:rPr>
                <w:rFonts w:ascii="Arial" w:hAnsi="Arial" w:cs="Arial" w:eastAsia="Arial" w:hint="default"/>
                <w:sz w:val="18"/>
                <w:szCs w:val="18"/>
              </w:rPr>
              <w:t>2.</w:t>
            </w:r>
            <w:r>
              <w:rPr>
                <w:rFonts w:ascii="宋体" w:hAnsi="宋体" w:cs="宋体" w:eastAsia="宋体" w:hint="default"/>
                <w:sz w:val="18"/>
                <w:szCs w:val="18"/>
              </w:rPr>
              <w:t>其他权益工具投资公允价值变</w:t>
            </w:r>
          </w:p>
          <w:p>
            <w:pPr>
              <w:pStyle w:val="TableParagraph"/>
              <w:spacing w:line="229" w:lineRule="exact"/>
              <w:ind w:left="451" w:right="0"/>
              <w:jc w:val="left"/>
              <w:rPr>
                <w:rFonts w:ascii="宋体" w:hAnsi="宋体" w:cs="宋体" w:eastAsia="宋体" w:hint="default"/>
                <w:sz w:val="18"/>
                <w:szCs w:val="18"/>
              </w:rPr>
            </w:pPr>
            <w:r>
              <w:rPr>
                <w:rFonts w:ascii="宋体" w:hAnsi="宋体" w:cs="宋体" w:eastAsia="宋体" w:hint="default"/>
                <w:spacing w:val="-4"/>
                <w:sz w:val="18"/>
                <w:szCs w:val="18"/>
              </w:rPr>
              <w:t>动损益</w:t>
            </w:r>
            <w:r>
              <w:rPr>
                <w:rFonts w:ascii="宋体" w:hAnsi="宋体" w:cs="宋体" w:eastAsia="宋体" w:hint="default"/>
                <w:sz w:val="18"/>
                <w:szCs w:val="18"/>
              </w:rPr>
            </w: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0"/>
                <w:szCs w:val="20"/>
              </w:rPr>
            </w:pPr>
          </w:p>
          <w:p>
            <w:pPr>
              <w:pStyle w:val="TableParagraph"/>
              <w:spacing w:line="240" w:lineRule="auto"/>
              <w:ind w:right="28"/>
              <w:jc w:val="right"/>
              <w:rPr>
                <w:rFonts w:ascii="Arial" w:hAnsi="Arial" w:cs="Arial" w:eastAsia="Arial" w:hint="default"/>
                <w:sz w:val="18"/>
                <w:szCs w:val="18"/>
              </w:rPr>
            </w:pPr>
            <w:r>
              <w:rPr>
                <w:rFonts w:ascii="Arial"/>
                <w:spacing w:val="-2"/>
                <w:sz w:val="18"/>
              </w:rPr>
              <w:t>(255,414,023)</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0"/>
                <w:szCs w:val="20"/>
              </w:rPr>
            </w:pPr>
          </w:p>
          <w:p>
            <w:pPr>
              <w:pStyle w:val="TableParagraph"/>
              <w:spacing w:line="240" w:lineRule="auto"/>
              <w:ind w:right="28"/>
              <w:jc w:val="right"/>
              <w:rPr>
                <w:rFonts w:ascii="Arial" w:hAnsi="Arial" w:cs="Arial" w:eastAsia="Arial" w:hint="default"/>
                <w:sz w:val="18"/>
                <w:szCs w:val="18"/>
              </w:rPr>
            </w:pPr>
            <w:r>
              <w:rPr>
                <w:rFonts w:ascii="Arial"/>
                <w:spacing w:val="-2"/>
                <w:sz w:val="18"/>
              </w:rPr>
              <w:t>(167,656,748)</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0"/>
                <w:szCs w:val="20"/>
              </w:rPr>
            </w:pPr>
          </w:p>
          <w:p>
            <w:pPr>
              <w:pStyle w:val="TableParagraph"/>
              <w:spacing w:line="240" w:lineRule="auto"/>
              <w:ind w:right="90"/>
              <w:jc w:val="right"/>
              <w:rPr>
                <w:rFonts w:ascii="Arial" w:hAnsi="Arial" w:cs="Arial" w:eastAsia="Arial" w:hint="default"/>
                <w:sz w:val="18"/>
                <w:szCs w:val="18"/>
              </w:rPr>
            </w:pPr>
            <w:r>
              <w:rPr>
                <w:rFonts w:ascii="Arial"/>
                <w:w w:val="101"/>
                <w:sz w:val="18"/>
              </w:rPr>
              <w:t>-</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黑体" w:hAnsi="黑体" w:cs="黑体" w:eastAsia="黑体" w:hint="default"/>
                <w:sz w:val="20"/>
                <w:szCs w:val="20"/>
              </w:rPr>
            </w:pPr>
          </w:p>
          <w:p>
            <w:pPr>
              <w:pStyle w:val="TableParagraph"/>
              <w:spacing w:line="240" w:lineRule="auto"/>
              <w:ind w:right="95"/>
              <w:jc w:val="right"/>
              <w:rPr>
                <w:rFonts w:ascii="Arial" w:hAnsi="Arial" w:cs="Arial" w:eastAsia="Arial" w:hint="default"/>
                <w:sz w:val="18"/>
                <w:szCs w:val="18"/>
              </w:rPr>
            </w:pPr>
            <w:r>
              <w:rPr>
                <w:rFonts w:ascii="Arial"/>
                <w:w w:val="101"/>
                <w:sz w:val="18"/>
              </w:rPr>
              <w:t>-</w:t>
            </w:r>
            <w:r>
              <w:rPr>
                <w:rFonts w:ascii="Arial"/>
                <w:sz w:val="18"/>
              </w:rPr>
            </w:r>
          </w:p>
        </w:tc>
      </w:tr>
      <w:tr>
        <w:trPr>
          <w:trHeight w:val="480"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03" w:lineRule="exact"/>
              <w:ind w:left="100" w:right="0"/>
              <w:jc w:val="left"/>
              <w:rPr>
                <w:rFonts w:ascii="宋体" w:hAnsi="宋体" w:cs="宋体" w:eastAsia="宋体" w:hint="default"/>
                <w:sz w:val="18"/>
                <w:szCs w:val="18"/>
              </w:rPr>
            </w:pPr>
            <w:r>
              <w:rPr>
                <w:rFonts w:ascii="宋体" w:hAnsi="宋体" w:cs="宋体" w:eastAsia="宋体" w:hint="default"/>
                <w:spacing w:val="-3"/>
                <w:sz w:val="18"/>
                <w:szCs w:val="18"/>
              </w:rPr>
              <w:t>（二）将重分类进损益的</w:t>
            </w:r>
            <w:r>
              <w:rPr>
                <w:rFonts w:ascii="宋体" w:hAnsi="宋体" w:cs="宋体" w:eastAsia="宋体" w:hint="default"/>
                <w:sz w:val="18"/>
                <w:szCs w:val="18"/>
              </w:rPr>
            </w:r>
          </w:p>
          <w:p>
            <w:pPr>
              <w:pStyle w:val="TableParagraph"/>
              <w:spacing w:line="240" w:lineRule="auto"/>
              <w:ind w:left="820" w:right="0"/>
              <w:jc w:val="left"/>
              <w:rPr>
                <w:rFonts w:ascii="宋体" w:hAnsi="宋体" w:cs="宋体" w:eastAsia="宋体" w:hint="default"/>
                <w:sz w:val="18"/>
                <w:szCs w:val="18"/>
              </w:rPr>
            </w:pPr>
            <w:r>
              <w:rPr>
                <w:rFonts w:ascii="宋体" w:hAnsi="宋体" w:cs="宋体" w:eastAsia="宋体" w:hint="default"/>
                <w:spacing w:val="-3"/>
                <w:sz w:val="18"/>
                <w:szCs w:val="18"/>
              </w:rPr>
              <w:t>其他综合收益：</w:t>
            </w:r>
            <w:r>
              <w:rPr>
                <w:rFonts w:ascii="宋体" w:hAnsi="宋体" w:cs="宋体" w:eastAsia="宋体" w:hint="default"/>
                <w:sz w:val="18"/>
                <w:szCs w:val="18"/>
              </w:rPr>
            </w: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88"/>
              <w:jc w:val="right"/>
              <w:rPr>
                <w:rFonts w:ascii="Arial" w:hAnsi="Arial" w:cs="Arial" w:eastAsia="Arial" w:hint="default"/>
                <w:sz w:val="18"/>
                <w:szCs w:val="18"/>
              </w:rPr>
            </w:pPr>
            <w:r>
              <w:rPr>
                <w:rFonts w:ascii="Arial"/>
                <w:spacing w:val="-1"/>
                <w:sz w:val="18"/>
              </w:rPr>
              <w:t>35,437,759</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88"/>
              <w:jc w:val="right"/>
              <w:rPr>
                <w:rFonts w:ascii="Arial" w:hAnsi="Arial" w:cs="Arial" w:eastAsia="Arial" w:hint="default"/>
                <w:sz w:val="18"/>
                <w:szCs w:val="18"/>
              </w:rPr>
            </w:pPr>
            <w:r>
              <w:rPr>
                <w:rFonts w:ascii="Arial"/>
                <w:spacing w:val="-1"/>
                <w:sz w:val="18"/>
              </w:rPr>
              <w:t>63,596,321</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90"/>
              <w:jc w:val="right"/>
              <w:rPr>
                <w:rFonts w:ascii="Arial" w:hAnsi="Arial" w:cs="Arial" w:eastAsia="Arial" w:hint="default"/>
                <w:sz w:val="18"/>
                <w:szCs w:val="18"/>
              </w:rPr>
            </w:pPr>
            <w:r>
              <w:rPr>
                <w:rFonts w:ascii="Arial"/>
                <w:w w:val="101"/>
                <w:sz w:val="18"/>
              </w:rPr>
              <w:t>-</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95"/>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451" w:right="0"/>
              <w:jc w:val="left"/>
              <w:rPr>
                <w:rFonts w:ascii="宋体" w:hAnsi="宋体" w:cs="宋体" w:eastAsia="宋体" w:hint="default"/>
                <w:sz w:val="18"/>
                <w:szCs w:val="18"/>
              </w:rPr>
            </w:pPr>
            <w:r>
              <w:rPr>
                <w:rFonts w:ascii="Arial" w:hAnsi="Arial" w:cs="Arial" w:eastAsia="Arial" w:hint="default"/>
                <w:spacing w:val="-3"/>
                <w:sz w:val="18"/>
                <w:szCs w:val="18"/>
              </w:rPr>
              <w:t>1.</w:t>
            </w:r>
            <w:r>
              <w:rPr>
                <w:rFonts w:ascii="宋体" w:hAnsi="宋体" w:cs="宋体" w:eastAsia="宋体" w:hint="default"/>
                <w:spacing w:val="-3"/>
                <w:sz w:val="18"/>
                <w:szCs w:val="18"/>
              </w:rPr>
              <w:t>外币财务报表折算差额</w:t>
            </w:r>
            <w:r>
              <w:rPr>
                <w:rFonts w:ascii="宋体" w:hAnsi="宋体" w:cs="宋体" w:eastAsia="宋体" w:hint="default"/>
                <w:sz w:val="18"/>
                <w:szCs w:val="18"/>
              </w:rPr>
            </w: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8"/>
              <w:jc w:val="right"/>
              <w:rPr>
                <w:rFonts w:ascii="Arial" w:hAnsi="Arial" w:cs="Arial" w:eastAsia="Arial" w:hint="default"/>
                <w:sz w:val="18"/>
                <w:szCs w:val="18"/>
              </w:rPr>
            </w:pPr>
            <w:r>
              <w:rPr>
                <w:rFonts w:ascii="Arial"/>
                <w:spacing w:val="-1"/>
                <w:sz w:val="18"/>
              </w:rPr>
              <w:t>35,437,759</w:t>
            </w:r>
            <w:r>
              <w:rPr>
                <w:rFonts w:ascii="Arial"/>
                <w:sz w:val="18"/>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8"/>
              <w:jc w:val="right"/>
              <w:rPr>
                <w:rFonts w:ascii="Arial" w:hAnsi="Arial" w:cs="Arial" w:eastAsia="Arial" w:hint="default"/>
                <w:sz w:val="18"/>
                <w:szCs w:val="18"/>
              </w:rPr>
            </w:pPr>
            <w:r>
              <w:rPr>
                <w:rFonts w:ascii="Arial"/>
                <w:spacing w:val="-1"/>
                <w:sz w:val="18"/>
              </w:rPr>
              <w:t>63,596,321</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0"/>
              <w:jc w:val="right"/>
              <w:rPr>
                <w:rFonts w:ascii="Arial" w:hAnsi="Arial" w:cs="Arial" w:eastAsia="Arial" w:hint="default"/>
                <w:sz w:val="18"/>
                <w:szCs w:val="18"/>
              </w:rPr>
            </w:pPr>
            <w:r>
              <w:rPr>
                <w:rFonts w:ascii="Arial"/>
                <w:w w:val="101"/>
                <w:sz w:val="18"/>
              </w:rPr>
              <w:t>-</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5"/>
              <w:jc w:val="right"/>
              <w:rPr>
                <w:rFonts w:ascii="Arial" w:hAnsi="Arial" w:cs="Arial" w:eastAsia="Arial" w:hint="default"/>
                <w:sz w:val="18"/>
                <w:szCs w:val="18"/>
              </w:rPr>
            </w:pPr>
            <w:r>
              <w:rPr>
                <w:rFonts w:ascii="Arial"/>
                <w:w w:val="101"/>
                <w:sz w:val="18"/>
              </w:rPr>
              <w:t>-</w:t>
            </w:r>
            <w:r>
              <w:rPr>
                <w:rFonts w:ascii="Arial"/>
                <w:sz w:val="18"/>
              </w:rPr>
            </w:r>
          </w:p>
        </w:tc>
      </w:tr>
      <w:tr>
        <w:trPr>
          <w:trHeight w:val="480" w:hRule="exact"/>
        </w:trPr>
        <w:tc>
          <w:tcPr>
            <w:tcW w:w="311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393" w:right="0"/>
              <w:jc w:val="left"/>
              <w:rPr>
                <w:rFonts w:ascii="宋体" w:hAnsi="宋体" w:cs="宋体" w:eastAsia="宋体" w:hint="default"/>
                <w:sz w:val="18"/>
                <w:szCs w:val="18"/>
              </w:rPr>
            </w:pPr>
            <w:r>
              <w:rPr>
                <w:rFonts w:ascii="宋体" w:hAnsi="宋体" w:cs="宋体" w:eastAsia="宋体" w:hint="default"/>
                <w:spacing w:val="-3"/>
                <w:sz w:val="18"/>
                <w:szCs w:val="18"/>
              </w:rPr>
              <w:t>属于少数股东的其他综合收益</w:t>
            </w:r>
            <w:r>
              <w:rPr>
                <w:rFonts w:ascii="宋体" w:hAnsi="宋体" w:cs="宋体" w:eastAsia="宋体" w:hint="default"/>
                <w:sz w:val="18"/>
                <w:szCs w:val="18"/>
              </w:rPr>
            </w:r>
          </w:p>
          <w:p>
            <w:pPr>
              <w:pStyle w:val="TableParagraph"/>
              <w:spacing w:line="233" w:lineRule="exact"/>
              <w:ind w:left="393" w:right="0"/>
              <w:jc w:val="left"/>
              <w:rPr>
                <w:rFonts w:ascii="宋体" w:hAnsi="宋体" w:cs="宋体" w:eastAsia="宋体" w:hint="default"/>
                <w:sz w:val="18"/>
                <w:szCs w:val="18"/>
              </w:rPr>
            </w:pPr>
            <w:r>
              <w:rPr>
                <w:rFonts w:ascii="宋体" w:hAnsi="宋体" w:cs="宋体" w:eastAsia="宋体" w:hint="default"/>
                <w:spacing w:val="-3"/>
                <w:sz w:val="18"/>
                <w:szCs w:val="18"/>
              </w:rPr>
              <w:t>的税后净额</w:t>
            </w:r>
            <w:r>
              <w:rPr>
                <w:rFonts w:ascii="宋体" w:hAnsi="宋体" w:cs="宋体" w:eastAsia="宋体" w:hint="default"/>
                <w:sz w:val="18"/>
                <w:szCs w:val="18"/>
              </w:rPr>
            </w:r>
          </w:p>
        </w:tc>
        <w:tc>
          <w:tcPr>
            <w:tcW w:w="60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37"/>
              <w:jc w:val="right"/>
              <w:rPr>
                <w:rFonts w:ascii="Arial" w:hAnsi="Arial" w:cs="Arial" w:eastAsia="Arial" w:hint="default"/>
                <w:sz w:val="18"/>
                <w:szCs w:val="18"/>
              </w:rPr>
            </w:pPr>
            <w:r>
              <w:rPr>
                <w:rFonts w:ascii="Arial"/>
                <w:spacing w:val="-2"/>
                <w:sz w:val="18"/>
              </w:rPr>
              <w:t>(281,021,677)</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28"/>
              <w:jc w:val="right"/>
              <w:rPr>
                <w:rFonts w:ascii="Arial" w:hAnsi="Arial" w:cs="Arial" w:eastAsia="Arial" w:hint="default"/>
                <w:sz w:val="18"/>
                <w:szCs w:val="18"/>
              </w:rPr>
            </w:pPr>
            <w:r>
              <w:rPr>
                <w:rFonts w:ascii="Arial"/>
                <w:spacing w:val="-2"/>
                <w:sz w:val="18"/>
              </w:rPr>
              <w:t>(137,404,437)</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90"/>
              <w:jc w:val="right"/>
              <w:rPr>
                <w:rFonts w:ascii="Arial" w:hAnsi="Arial" w:cs="Arial" w:eastAsia="Arial" w:hint="default"/>
                <w:sz w:val="18"/>
                <w:szCs w:val="18"/>
              </w:rPr>
            </w:pPr>
            <w:r>
              <w:rPr>
                <w:rFonts w:ascii="Arial"/>
                <w:w w:val="101"/>
                <w:sz w:val="18"/>
              </w:rPr>
              <w:t>-</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95"/>
              <w:jc w:val="right"/>
              <w:rPr>
                <w:rFonts w:ascii="Arial" w:hAnsi="Arial" w:cs="Arial" w:eastAsia="Arial" w:hint="default"/>
                <w:sz w:val="18"/>
                <w:szCs w:val="18"/>
              </w:rPr>
            </w:pPr>
            <w:r>
              <w:rPr>
                <w:rFonts w:ascii="Arial"/>
                <w:w w:val="101"/>
                <w:sz w:val="18"/>
              </w:rPr>
              <w:t>-</w:t>
            </w:r>
            <w:r>
              <w:rPr>
                <w:rFonts w:ascii="Arial"/>
                <w:sz w:val="18"/>
              </w:rPr>
            </w:r>
          </w:p>
        </w:tc>
      </w:tr>
    </w:tbl>
    <w:p>
      <w:pPr>
        <w:spacing w:after="0" w:line="240" w:lineRule="auto"/>
        <w:jc w:val="right"/>
        <w:rPr>
          <w:rFonts w:ascii="Arial" w:hAnsi="Arial" w:cs="Arial" w:eastAsia="Arial" w:hint="default"/>
          <w:sz w:val="18"/>
          <w:szCs w:val="18"/>
        </w:rPr>
        <w:sectPr>
          <w:pgSz w:w="11910" w:h="16840"/>
          <w:pgMar w:header="1327" w:footer="502" w:top="1540" w:bottom="700" w:left="740" w:right="860"/>
        </w:sectPr>
      </w:pPr>
    </w:p>
    <w:p>
      <w:pPr>
        <w:spacing w:line="240" w:lineRule="auto" w:before="12"/>
        <w:rPr>
          <w:rFonts w:ascii="黑体" w:hAnsi="黑体" w:cs="黑体" w:eastAsia="黑体" w:hint="default"/>
          <w:sz w:val="16"/>
          <w:szCs w:val="16"/>
        </w:rPr>
      </w:pPr>
    </w:p>
    <w:p>
      <w:pPr>
        <w:pStyle w:val="BodyText"/>
        <w:spacing w:line="293" w:lineRule="exact" w:before="32"/>
        <w:ind w:left="234"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6"/>
        </w:rPr>
        <w:t> </w:t>
      </w:r>
      <w:r>
        <w:rPr>
          <w:rFonts w:ascii="黑体" w:hAnsi="黑体" w:cs="黑体" w:eastAsia="黑体" w:hint="default"/>
        </w:rPr>
        <w:t>年</w:t>
      </w:r>
      <w:r>
        <w:rPr>
          <w:rFonts w:ascii="黑体" w:hAnsi="黑体" w:cs="黑体" w:eastAsia="黑体" w:hint="default"/>
          <w:spacing w:val="-57"/>
        </w:rPr>
        <w:t> </w:t>
      </w:r>
      <w:r>
        <w:rPr>
          <w:rFonts w:ascii="Arial" w:hAnsi="Arial" w:cs="Arial" w:eastAsia="Arial" w:hint="default"/>
        </w:rPr>
        <w:t>12</w:t>
      </w:r>
      <w:r>
        <w:rPr>
          <w:rFonts w:ascii="Arial" w:hAnsi="Arial" w:cs="Arial" w:eastAsia="Arial" w:hint="default"/>
          <w:spacing w:val="-6"/>
        </w:rPr>
        <w:t> </w:t>
      </w:r>
      <w:r>
        <w:rPr>
          <w:rFonts w:ascii="黑体" w:hAnsi="黑体" w:cs="黑体" w:eastAsia="黑体" w:hint="default"/>
        </w:rPr>
        <w:t>月</w:t>
      </w:r>
      <w:r>
        <w:rPr>
          <w:rFonts w:ascii="黑体" w:hAnsi="黑体" w:cs="黑体" w:eastAsia="黑体" w:hint="default"/>
          <w:spacing w:val="-57"/>
        </w:rPr>
        <w:t> </w:t>
      </w:r>
      <w:r>
        <w:rPr>
          <w:rFonts w:ascii="Arial" w:hAnsi="Arial" w:cs="Arial" w:eastAsia="Arial" w:hint="default"/>
        </w:rPr>
        <w:t>31</w:t>
      </w:r>
      <w:r>
        <w:rPr>
          <w:rFonts w:ascii="Arial" w:hAnsi="Arial" w:cs="Arial" w:eastAsia="Arial" w:hint="default"/>
          <w:spacing w:val="-6"/>
        </w:rPr>
        <w:t> </w:t>
      </w:r>
      <w:r>
        <w:rPr>
          <w:rFonts w:ascii="黑体" w:hAnsi="黑体" w:cs="黑体" w:eastAsia="黑体" w:hint="default"/>
        </w:rPr>
        <w:t>日合并及公司利润表（续）</w:t>
      </w:r>
    </w:p>
    <w:p>
      <w:pPr>
        <w:pStyle w:val="BodyText"/>
        <w:spacing w:line="278" w:lineRule="exact"/>
        <w:ind w:left="253" w:right="0"/>
        <w:jc w:val="left"/>
        <w:rPr>
          <w:rFonts w:ascii="黑体" w:hAnsi="黑体" w:cs="黑体" w:eastAsia="黑体" w:hint="default"/>
        </w:rPr>
      </w:pPr>
      <w:r>
        <w:rPr>
          <w:rFonts w:ascii="黑体" w:hAnsi="黑体" w:cs="黑体" w:eastAsia="黑体" w:hint="default"/>
        </w:rPr>
        <w:t>（除特别注明外，金额单位为人民币元）</w:t>
      </w:r>
    </w:p>
    <w:p>
      <w:pPr>
        <w:spacing w:line="240" w:lineRule="auto" w:before="11"/>
        <w:rPr>
          <w:rFonts w:ascii="黑体" w:hAnsi="黑体" w:cs="黑体" w:eastAsia="黑体" w:hint="default"/>
          <w:sz w:val="21"/>
          <w:szCs w:val="21"/>
        </w:rPr>
      </w:pPr>
    </w:p>
    <w:tbl>
      <w:tblPr>
        <w:tblW w:w="0" w:type="auto"/>
        <w:jc w:val="left"/>
        <w:tblInd w:w="243" w:type="dxa"/>
        <w:tblLayout w:type="fixed"/>
        <w:tblCellMar>
          <w:top w:w="0" w:type="dxa"/>
          <w:left w:w="0" w:type="dxa"/>
          <w:bottom w:w="0" w:type="dxa"/>
          <w:right w:w="0" w:type="dxa"/>
        </w:tblCellMar>
        <w:tblLook w:val="01E0"/>
      </w:tblPr>
      <w:tblGrid>
        <w:gridCol w:w="3499"/>
        <w:gridCol w:w="667"/>
        <w:gridCol w:w="1502"/>
        <w:gridCol w:w="1560"/>
        <w:gridCol w:w="1416"/>
        <w:gridCol w:w="1354"/>
      </w:tblGrid>
      <w:tr>
        <w:trPr>
          <w:trHeight w:val="634" w:hRule="exact"/>
        </w:trPr>
        <w:tc>
          <w:tcPr>
            <w:tcW w:w="34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黑体" w:hAnsi="黑体" w:cs="黑体" w:eastAsia="黑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黑体" w:hAnsi="黑体" w:cs="黑体" w:eastAsia="黑体" w:hint="default"/>
                <w:sz w:val="12"/>
                <w:szCs w:val="12"/>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75"/>
              <w:ind w:left="566" w:right="242" w:hanging="221"/>
              <w:jc w:val="left"/>
              <w:rPr>
                <w:rFonts w:ascii="宋体" w:hAnsi="宋体" w:cs="宋体" w:eastAsia="宋体" w:hint="default"/>
                <w:sz w:val="18"/>
                <w:szCs w:val="18"/>
              </w:rPr>
            </w:pPr>
            <w:r>
              <w:rPr>
                <w:rFonts w:ascii="Arial" w:hAnsi="Arial" w:cs="Arial" w:eastAsia="Arial" w:hint="default"/>
                <w:sz w:val="18"/>
                <w:szCs w:val="18"/>
              </w:rPr>
              <w:t>2019</w:t>
            </w:r>
            <w:r>
              <w:rPr>
                <w:rFonts w:ascii="Arial" w:hAnsi="Arial" w:cs="Arial" w:eastAsia="Arial" w:hint="default"/>
                <w:spacing w:val="-6"/>
                <w:sz w:val="18"/>
                <w:szCs w:val="18"/>
              </w:rPr>
              <w:t> </w:t>
            </w:r>
            <w:r>
              <w:rPr>
                <w:rFonts w:ascii="宋体" w:hAnsi="宋体" w:cs="宋体" w:eastAsia="宋体" w:hint="default"/>
                <w:spacing w:val="-3"/>
                <w:sz w:val="18"/>
                <w:szCs w:val="18"/>
              </w:rPr>
              <w:t>年度</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合并</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75"/>
              <w:ind w:left="629" w:right="271" w:hanging="255"/>
              <w:jc w:val="left"/>
              <w:rPr>
                <w:rFonts w:ascii="宋体" w:hAnsi="宋体" w:cs="宋体" w:eastAsia="宋体" w:hint="default"/>
                <w:sz w:val="18"/>
                <w:szCs w:val="18"/>
              </w:rPr>
            </w:pPr>
            <w:r>
              <w:rPr>
                <w:rFonts w:ascii="Arial" w:hAnsi="Arial" w:cs="Arial" w:eastAsia="Arial" w:hint="default"/>
                <w:sz w:val="18"/>
                <w:szCs w:val="18"/>
              </w:rPr>
              <w:t>2018</w:t>
            </w:r>
            <w:r>
              <w:rPr>
                <w:rFonts w:ascii="Arial" w:hAnsi="Arial" w:cs="Arial" w:eastAsia="Arial" w:hint="default"/>
                <w:spacing w:val="-6"/>
                <w:sz w:val="18"/>
                <w:szCs w:val="18"/>
              </w:rPr>
              <w:t> </w:t>
            </w:r>
            <w:r>
              <w:rPr>
                <w:rFonts w:ascii="宋体" w:hAnsi="宋体" w:cs="宋体" w:eastAsia="宋体" w:hint="default"/>
                <w:spacing w:val="-3"/>
                <w:sz w:val="18"/>
                <w:szCs w:val="18"/>
              </w:rPr>
              <w:t>年度</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合并</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75"/>
              <w:ind w:left="547" w:right="199" w:hanging="245"/>
              <w:jc w:val="left"/>
              <w:rPr>
                <w:rFonts w:ascii="宋体" w:hAnsi="宋体" w:cs="宋体" w:eastAsia="宋体" w:hint="default"/>
                <w:sz w:val="18"/>
                <w:szCs w:val="18"/>
              </w:rPr>
            </w:pPr>
            <w:r>
              <w:rPr>
                <w:rFonts w:ascii="Arial" w:hAnsi="Arial" w:cs="Arial" w:eastAsia="Arial" w:hint="default"/>
                <w:sz w:val="18"/>
                <w:szCs w:val="18"/>
              </w:rPr>
              <w:t>2019</w:t>
            </w:r>
            <w:r>
              <w:rPr>
                <w:rFonts w:ascii="Arial" w:hAnsi="Arial" w:cs="Arial" w:eastAsia="Arial" w:hint="default"/>
                <w:spacing w:val="-6"/>
                <w:sz w:val="18"/>
                <w:szCs w:val="18"/>
              </w:rPr>
              <w:t> </w:t>
            </w:r>
            <w:r>
              <w:rPr>
                <w:rFonts w:ascii="宋体" w:hAnsi="宋体" w:cs="宋体" w:eastAsia="宋体" w:hint="default"/>
                <w:spacing w:val="-3"/>
                <w:sz w:val="18"/>
                <w:szCs w:val="18"/>
              </w:rPr>
              <w:t>年度</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公司</w:t>
            </w:r>
          </w:p>
        </w:tc>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75"/>
              <w:ind w:left="489" w:right="170" w:hanging="221"/>
              <w:jc w:val="left"/>
              <w:rPr>
                <w:rFonts w:ascii="宋体" w:hAnsi="宋体" w:cs="宋体" w:eastAsia="宋体" w:hint="default"/>
                <w:sz w:val="18"/>
                <w:szCs w:val="18"/>
              </w:rPr>
            </w:pPr>
            <w:r>
              <w:rPr>
                <w:rFonts w:ascii="Arial" w:hAnsi="Arial" w:cs="Arial" w:eastAsia="Arial" w:hint="default"/>
                <w:sz w:val="18"/>
                <w:szCs w:val="18"/>
              </w:rPr>
              <w:t>2018</w:t>
            </w:r>
            <w:r>
              <w:rPr>
                <w:rFonts w:ascii="Arial" w:hAnsi="Arial" w:cs="Arial" w:eastAsia="Arial" w:hint="default"/>
                <w:spacing w:val="-6"/>
                <w:sz w:val="18"/>
                <w:szCs w:val="18"/>
              </w:rPr>
              <w:t> </w:t>
            </w:r>
            <w:r>
              <w:rPr>
                <w:rFonts w:ascii="宋体" w:hAnsi="宋体" w:cs="宋体" w:eastAsia="宋体" w:hint="default"/>
                <w:spacing w:val="-3"/>
                <w:sz w:val="18"/>
                <w:szCs w:val="18"/>
              </w:rPr>
              <w:t>年度</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公司</w:t>
            </w:r>
          </w:p>
        </w:tc>
      </w:tr>
      <w:tr>
        <w:trPr>
          <w:trHeight w:val="250" w:hRule="exact"/>
        </w:trPr>
        <w:tc>
          <w:tcPr>
            <w:tcW w:w="3499"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667" w:type="dxa"/>
            <w:tcBorders>
              <w:top w:val="single" w:sz="6" w:space="0" w:color="000000"/>
              <w:left w:val="single" w:sz="6" w:space="0" w:color="000000"/>
              <w:bottom w:val="single" w:sz="6" w:space="0" w:color="000000"/>
              <w:right w:val="single" w:sz="6" w:space="0" w:color="000000"/>
            </w:tcBorders>
          </w:tcPr>
          <w:p>
            <w:pP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8"/>
              <w:jc w:val="right"/>
              <w:rPr>
                <w:rFonts w:ascii="Arial" w:hAnsi="Arial" w:cs="Arial" w:eastAsia="Arial" w:hint="default"/>
                <w:sz w:val="18"/>
                <w:szCs w:val="18"/>
              </w:rPr>
            </w:pPr>
            <w:r>
              <w:rPr>
                <w:rFonts w:ascii="Arial"/>
                <w:spacing w:val="-2"/>
                <w:sz w:val="18"/>
              </w:rPr>
              <w:t>10,762,857,254</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8"/>
              <w:jc w:val="right"/>
              <w:rPr>
                <w:rFonts w:ascii="Arial" w:hAnsi="Arial" w:cs="Arial" w:eastAsia="Arial" w:hint="default"/>
                <w:sz w:val="18"/>
                <w:szCs w:val="18"/>
              </w:rPr>
            </w:pPr>
            <w:r>
              <w:rPr>
                <w:rFonts w:ascii="Arial"/>
                <w:spacing w:val="-2"/>
                <w:sz w:val="18"/>
              </w:rPr>
              <w:t>9,055,571,277</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8"/>
              <w:jc w:val="right"/>
              <w:rPr>
                <w:rFonts w:ascii="Arial" w:hAnsi="Arial" w:cs="Arial" w:eastAsia="Arial" w:hint="default"/>
                <w:sz w:val="18"/>
                <w:szCs w:val="18"/>
              </w:rPr>
            </w:pPr>
            <w:r>
              <w:rPr>
                <w:rFonts w:ascii="Arial"/>
                <w:spacing w:val="-2"/>
                <w:sz w:val="18"/>
              </w:rPr>
              <w:t>1,893,370,187</w:t>
            </w:r>
            <w:r>
              <w:rPr>
                <w:rFonts w:ascii="Arial"/>
                <w:sz w:val="18"/>
              </w:rPr>
            </w:r>
          </w:p>
        </w:tc>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35"/>
              <w:jc w:val="right"/>
              <w:rPr>
                <w:rFonts w:ascii="Arial" w:hAnsi="Arial" w:cs="Arial" w:eastAsia="Arial" w:hint="default"/>
                <w:sz w:val="18"/>
                <w:szCs w:val="18"/>
              </w:rPr>
            </w:pPr>
            <w:r>
              <w:rPr>
                <w:rFonts w:ascii="Arial"/>
                <w:spacing w:val="-1"/>
                <w:sz w:val="18"/>
              </w:rPr>
              <w:t>735,394,930</w:t>
            </w:r>
            <w:r>
              <w:rPr>
                <w:rFonts w:ascii="Arial"/>
                <w:sz w:val="18"/>
              </w:rPr>
            </w:r>
          </w:p>
        </w:tc>
      </w:tr>
      <w:tr>
        <w:trPr>
          <w:trHeight w:val="250" w:hRule="exact"/>
        </w:trPr>
        <w:tc>
          <w:tcPr>
            <w:tcW w:w="3499"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465" w:right="0"/>
              <w:jc w:val="left"/>
              <w:rPr>
                <w:rFonts w:ascii="宋体" w:hAnsi="宋体" w:cs="宋体" w:eastAsia="宋体" w:hint="default"/>
                <w:sz w:val="18"/>
                <w:szCs w:val="18"/>
              </w:rPr>
            </w:pPr>
            <w:r>
              <w:rPr>
                <w:rFonts w:ascii="宋体" w:hAnsi="宋体" w:cs="宋体" w:eastAsia="宋体" w:hint="default"/>
                <w:spacing w:val="-3"/>
                <w:sz w:val="18"/>
                <w:szCs w:val="18"/>
              </w:rPr>
              <w:t>归属于母公司股东的综合收益总额</w:t>
            </w:r>
            <w:r>
              <w:rPr>
                <w:rFonts w:ascii="宋体" w:hAnsi="宋体" w:cs="宋体" w:eastAsia="宋体" w:hint="default"/>
                <w:sz w:val="18"/>
                <w:szCs w:val="18"/>
              </w:rPr>
              <w:t> </w:t>
            </w:r>
          </w:p>
        </w:tc>
        <w:tc>
          <w:tcPr>
            <w:tcW w:w="667" w:type="dxa"/>
            <w:tcBorders>
              <w:top w:val="single" w:sz="6" w:space="0" w:color="000000"/>
              <w:left w:val="single" w:sz="6" w:space="0" w:color="000000"/>
              <w:bottom w:val="single" w:sz="6" w:space="0" w:color="000000"/>
              <w:right w:val="single" w:sz="6" w:space="0" w:color="000000"/>
            </w:tcBorders>
          </w:tcPr>
          <w:p>
            <w:pP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35" w:right="0"/>
              <w:jc w:val="left"/>
              <w:rPr>
                <w:rFonts w:ascii="Arial" w:hAnsi="Arial" w:cs="Arial" w:eastAsia="Arial" w:hint="default"/>
                <w:sz w:val="18"/>
                <w:szCs w:val="18"/>
              </w:rPr>
            </w:pPr>
            <w:r>
              <w:rPr>
                <w:rFonts w:ascii="Arial"/>
                <w:sz w:val="18"/>
              </w:rPr>
              <w:t>4,761,838,343</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8"/>
              <w:jc w:val="right"/>
              <w:rPr>
                <w:rFonts w:ascii="Arial" w:hAnsi="Arial" w:cs="Arial" w:eastAsia="Arial" w:hint="default"/>
                <w:sz w:val="18"/>
                <w:szCs w:val="18"/>
              </w:rPr>
            </w:pPr>
            <w:r>
              <w:rPr>
                <w:rFonts w:ascii="Arial"/>
                <w:spacing w:val="-2"/>
                <w:sz w:val="18"/>
              </w:rPr>
              <w:t>3,973,083,626</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8"/>
              <w:jc w:val="right"/>
              <w:rPr>
                <w:rFonts w:ascii="Arial" w:hAnsi="Arial" w:cs="Arial" w:eastAsia="Arial" w:hint="default"/>
                <w:sz w:val="18"/>
                <w:szCs w:val="18"/>
              </w:rPr>
            </w:pPr>
            <w:r>
              <w:rPr>
                <w:rFonts w:ascii="Arial"/>
                <w:spacing w:val="-2"/>
                <w:sz w:val="18"/>
              </w:rPr>
              <w:t>1,893,370,187</w:t>
            </w:r>
            <w:r>
              <w:rPr>
                <w:rFonts w:ascii="Arial"/>
                <w:sz w:val="18"/>
              </w:rPr>
            </w:r>
          </w:p>
        </w:tc>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35"/>
              <w:jc w:val="right"/>
              <w:rPr>
                <w:rFonts w:ascii="Arial" w:hAnsi="Arial" w:cs="Arial" w:eastAsia="Arial" w:hint="default"/>
                <w:sz w:val="18"/>
                <w:szCs w:val="18"/>
              </w:rPr>
            </w:pPr>
            <w:r>
              <w:rPr>
                <w:rFonts w:ascii="Arial"/>
                <w:spacing w:val="-1"/>
                <w:sz w:val="18"/>
              </w:rPr>
              <w:t>735,394,930</w:t>
            </w:r>
            <w:r>
              <w:rPr>
                <w:rFonts w:ascii="Arial"/>
                <w:sz w:val="18"/>
              </w:rPr>
            </w:r>
          </w:p>
        </w:tc>
      </w:tr>
      <w:tr>
        <w:trPr>
          <w:trHeight w:val="250" w:hRule="exact"/>
        </w:trPr>
        <w:tc>
          <w:tcPr>
            <w:tcW w:w="3499"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460" w:right="0"/>
              <w:jc w:val="left"/>
              <w:rPr>
                <w:rFonts w:ascii="宋体" w:hAnsi="宋体" w:cs="宋体" w:eastAsia="宋体" w:hint="default"/>
                <w:sz w:val="18"/>
                <w:szCs w:val="18"/>
              </w:rPr>
            </w:pPr>
            <w:r>
              <w:rPr>
                <w:rFonts w:ascii="宋体" w:hAnsi="宋体" w:cs="宋体" w:eastAsia="宋体" w:hint="default"/>
                <w:spacing w:val="-3"/>
                <w:sz w:val="18"/>
                <w:szCs w:val="18"/>
              </w:rPr>
              <w:t>归属于少数股东的综合收益总额</w:t>
            </w:r>
            <w:r>
              <w:rPr>
                <w:rFonts w:ascii="宋体" w:hAnsi="宋体" w:cs="宋体" w:eastAsia="宋体" w:hint="default"/>
                <w:sz w:val="18"/>
                <w:szCs w:val="18"/>
              </w:rPr>
              <w:t> </w:t>
            </w:r>
          </w:p>
        </w:tc>
        <w:tc>
          <w:tcPr>
            <w:tcW w:w="667" w:type="dxa"/>
            <w:tcBorders>
              <w:top w:val="single" w:sz="6" w:space="0" w:color="000000"/>
              <w:left w:val="single" w:sz="6" w:space="0" w:color="000000"/>
              <w:bottom w:val="single" w:sz="6" w:space="0" w:color="000000"/>
              <w:right w:val="single" w:sz="6" w:space="0" w:color="000000"/>
            </w:tcBorders>
          </w:tcPr>
          <w:p>
            <w:pP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35" w:right="0"/>
              <w:jc w:val="left"/>
              <w:rPr>
                <w:rFonts w:ascii="Arial" w:hAnsi="Arial" w:cs="Arial" w:eastAsia="Arial" w:hint="default"/>
                <w:sz w:val="18"/>
                <w:szCs w:val="18"/>
              </w:rPr>
            </w:pPr>
            <w:r>
              <w:rPr>
                <w:rFonts w:ascii="Arial"/>
                <w:sz w:val="18"/>
              </w:rPr>
              <w:t>6,001,018,911</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8"/>
              <w:jc w:val="right"/>
              <w:rPr>
                <w:rFonts w:ascii="Arial" w:hAnsi="Arial" w:cs="Arial" w:eastAsia="Arial" w:hint="default"/>
                <w:sz w:val="18"/>
                <w:szCs w:val="18"/>
              </w:rPr>
            </w:pPr>
            <w:r>
              <w:rPr>
                <w:rFonts w:ascii="Arial"/>
                <w:spacing w:val="-2"/>
                <w:sz w:val="18"/>
              </w:rPr>
              <w:t>5,082,487,651</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0"/>
              <w:jc w:val="right"/>
              <w:rPr>
                <w:rFonts w:ascii="Arial" w:hAnsi="Arial" w:cs="Arial" w:eastAsia="Arial" w:hint="default"/>
                <w:sz w:val="18"/>
                <w:szCs w:val="18"/>
              </w:rPr>
            </w:pPr>
            <w:r>
              <w:rPr>
                <w:rFonts w:ascii="Arial"/>
                <w:w w:val="101"/>
                <w:sz w:val="18"/>
              </w:rPr>
              <w:t>-</w:t>
            </w:r>
            <w:r>
              <w:rPr>
                <w:rFonts w:ascii="Arial"/>
                <w:sz w:val="18"/>
              </w:rPr>
            </w:r>
          </w:p>
        </w:tc>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38"/>
              <w:jc w:val="right"/>
              <w:rPr>
                <w:rFonts w:ascii="Arial" w:hAnsi="Arial" w:cs="Arial" w:eastAsia="Arial" w:hint="default"/>
                <w:sz w:val="18"/>
                <w:szCs w:val="18"/>
              </w:rPr>
            </w:pPr>
            <w:r>
              <w:rPr>
                <w:rFonts w:ascii="Arial"/>
                <w:w w:val="101"/>
                <w:sz w:val="18"/>
              </w:rPr>
              <w:t>-</w:t>
            </w:r>
            <w:r>
              <w:rPr>
                <w:rFonts w:ascii="Arial"/>
                <w:sz w:val="18"/>
              </w:rPr>
            </w:r>
          </w:p>
        </w:tc>
      </w:tr>
      <w:tr>
        <w:trPr>
          <w:trHeight w:val="221" w:hRule="exact"/>
        </w:trPr>
        <w:tc>
          <w:tcPr>
            <w:tcW w:w="3499" w:type="dxa"/>
            <w:tcBorders>
              <w:top w:val="single" w:sz="6" w:space="0" w:color="000000"/>
              <w:left w:val="single" w:sz="6" w:space="0" w:color="000000"/>
              <w:bottom w:val="single" w:sz="6" w:space="0" w:color="000000"/>
              <w:right w:val="single" w:sz="6" w:space="0" w:color="000000"/>
            </w:tcBorders>
          </w:tcPr>
          <w:p>
            <w:pPr/>
          </w:p>
        </w:tc>
        <w:tc>
          <w:tcPr>
            <w:tcW w:w="667" w:type="dxa"/>
            <w:tcBorders>
              <w:top w:val="single" w:sz="6" w:space="0" w:color="000000"/>
              <w:left w:val="single" w:sz="6" w:space="0" w:color="000000"/>
              <w:bottom w:val="single" w:sz="6" w:space="0" w:color="000000"/>
              <w:right w:val="single" w:sz="6" w:space="0" w:color="000000"/>
            </w:tcBorders>
          </w:tcPr>
          <w:p>
            <w:pPr/>
          </w:p>
        </w:tc>
        <w:tc>
          <w:tcPr>
            <w:tcW w:w="1502"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354"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3499"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20"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667" w:type="dxa"/>
            <w:tcBorders>
              <w:top w:val="single" w:sz="6" w:space="0" w:color="000000"/>
              <w:left w:val="single" w:sz="6" w:space="0" w:color="000000"/>
              <w:bottom w:val="single" w:sz="6" w:space="0" w:color="000000"/>
              <w:right w:val="single" w:sz="6" w:space="0" w:color="000000"/>
            </w:tcBorders>
          </w:tcPr>
          <w:p>
            <w:pPr/>
          </w:p>
        </w:tc>
        <w:tc>
          <w:tcPr>
            <w:tcW w:w="1502"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c>
          <w:tcPr>
            <w:tcW w:w="1354" w:type="dxa"/>
            <w:tcBorders>
              <w:top w:val="single" w:sz="6" w:space="0" w:color="000000"/>
              <w:left w:val="single" w:sz="6" w:space="0" w:color="000000"/>
              <w:bottom w:val="single" w:sz="6" w:space="0" w:color="000000"/>
              <w:right w:val="single" w:sz="6" w:space="0" w:color="000000"/>
            </w:tcBorders>
          </w:tcPr>
          <w:p>
            <w:pPr/>
          </w:p>
        </w:tc>
      </w:tr>
      <w:tr>
        <w:trPr>
          <w:trHeight w:val="245" w:hRule="exact"/>
        </w:trPr>
        <w:tc>
          <w:tcPr>
            <w:tcW w:w="3499" w:type="dxa"/>
            <w:tcBorders>
              <w:top w:val="single" w:sz="6" w:space="0" w:color="000000"/>
              <w:left w:val="single" w:sz="6" w:space="0" w:color="000000"/>
              <w:bottom w:val="single" w:sz="6" w:space="0" w:color="000000"/>
              <w:right w:val="single" w:sz="6" w:space="0" w:color="000000"/>
            </w:tcBorders>
          </w:tcPr>
          <w:p>
            <w:pPr>
              <w:pStyle w:val="TableParagraph"/>
              <w:spacing w:line="203" w:lineRule="exact"/>
              <w:ind w:left="465" w:right="0"/>
              <w:jc w:val="left"/>
              <w:rPr>
                <w:rFonts w:ascii="宋体" w:hAnsi="宋体" w:cs="宋体" w:eastAsia="宋体" w:hint="default"/>
                <w:sz w:val="18"/>
                <w:szCs w:val="18"/>
              </w:rPr>
            </w:pPr>
            <w:r>
              <w:rPr>
                <w:rFonts w:ascii="宋体" w:hAnsi="宋体" w:cs="宋体" w:eastAsia="宋体" w:hint="default"/>
                <w:spacing w:val="-3"/>
                <w:sz w:val="18"/>
                <w:szCs w:val="18"/>
              </w:rPr>
              <w:t>基本每股收益</w:t>
            </w:r>
            <w:r>
              <w:rPr>
                <w:rFonts w:ascii="宋体" w:hAnsi="宋体" w:cs="宋体" w:eastAsia="宋体" w:hint="default"/>
                <w:sz w:val="18"/>
                <w:szCs w:val="18"/>
              </w:rPr>
              <w:t> </w:t>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12"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(50)</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52"/>
              <w:jc w:val="right"/>
              <w:rPr>
                <w:rFonts w:ascii="Arial" w:hAnsi="Arial" w:cs="Arial" w:eastAsia="Arial" w:hint="default"/>
                <w:sz w:val="18"/>
                <w:szCs w:val="18"/>
              </w:rPr>
            </w:pPr>
            <w:r>
              <w:rPr>
                <w:rFonts w:ascii="Arial"/>
                <w:spacing w:val="-1"/>
                <w:sz w:val="18"/>
              </w:rPr>
              <w:t>0.161</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88"/>
              <w:jc w:val="right"/>
              <w:rPr>
                <w:rFonts w:ascii="Arial" w:hAnsi="Arial" w:cs="Arial" w:eastAsia="Arial" w:hint="default"/>
                <w:sz w:val="18"/>
                <w:szCs w:val="18"/>
              </w:rPr>
            </w:pPr>
            <w:r>
              <w:rPr>
                <w:rFonts w:ascii="Arial"/>
                <w:spacing w:val="-1"/>
                <w:sz w:val="18"/>
              </w:rPr>
              <w:t>0.132</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3" w:lineRule="exact"/>
              <w:ind w:right="93"/>
              <w:jc w:val="right"/>
              <w:rPr>
                <w:rFonts w:ascii="宋体" w:hAnsi="宋体" w:cs="宋体" w:eastAsia="宋体" w:hint="default"/>
                <w:sz w:val="18"/>
                <w:szCs w:val="18"/>
              </w:rPr>
            </w:pPr>
            <w:r>
              <w:rPr>
                <w:rFonts w:ascii="宋体" w:hAnsi="宋体" w:cs="宋体" w:eastAsia="宋体" w:hint="default"/>
                <w:spacing w:val="-4"/>
                <w:sz w:val="18"/>
                <w:szCs w:val="18"/>
              </w:rPr>
              <w:t>不适用</w:t>
            </w:r>
            <w:r>
              <w:rPr>
                <w:rFonts w:ascii="宋体" w:hAnsi="宋体" w:cs="宋体" w:eastAsia="宋体" w:hint="default"/>
                <w:sz w:val="18"/>
                <w:szCs w:val="18"/>
              </w:rPr>
            </w:r>
          </w:p>
        </w:tc>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03" w:lineRule="exact"/>
              <w:ind w:right="93"/>
              <w:jc w:val="right"/>
              <w:rPr>
                <w:rFonts w:ascii="宋体" w:hAnsi="宋体" w:cs="宋体" w:eastAsia="宋体" w:hint="default"/>
                <w:sz w:val="18"/>
                <w:szCs w:val="18"/>
              </w:rPr>
            </w:pPr>
            <w:r>
              <w:rPr>
                <w:rFonts w:ascii="宋体" w:hAnsi="宋体" w:cs="宋体" w:eastAsia="宋体" w:hint="default"/>
                <w:spacing w:val="-4"/>
                <w:sz w:val="18"/>
                <w:szCs w:val="18"/>
              </w:rPr>
              <w:t>不适用</w:t>
            </w:r>
            <w:r>
              <w:rPr>
                <w:rFonts w:ascii="宋体" w:hAnsi="宋体" w:cs="宋体" w:eastAsia="宋体" w:hint="default"/>
                <w:sz w:val="18"/>
                <w:szCs w:val="18"/>
              </w:rPr>
            </w:r>
          </w:p>
        </w:tc>
      </w:tr>
      <w:tr>
        <w:trPr>
          <w:trHeight w:val="250" w:hRule="exact"/>
        </w:trPr>
        <w:tc>
          <w:tcPr>
            <w:tcW w:w="3499"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465" w:right="0"/>
              <w:jc w:val="left"/>
              <w:rPr>
                <w:rFonts w:ascii="宋体" w:hAnsi="宋体" w:cs="宋体" w:eastAsia="宋体" w:hint="default"/>
                <w:sz w:val="18"/>
                <w:szCs w:val="18"/>
              </w:rPr>
            </w:pPr>
            <w:r>
              <w:rPr>
                <w:rFonts w:ascii="宋体" w:hAnsi="宋体" w:cs="宋体" w:eastAsia="宋体" w:hint="default"/>
                <w:spacing w:val="-3"/>
                <w:sz w:val="18"/>
                <w:szCs w:val="18"/>
              </w:rPr>
              <w:t>稀释每股收益</w:t>
            </w:r>
            <w:r>
              <w:rPr>
                <w:rFonts w:ascii="宋体" w:hAnsi="宋体" w:cs="宋体" w:eastAsia="宋体" w:hint="default"/>
                <w:sz w:val="18"/>
                <w:szCs w:val="18"/>
              </w:rPr>
              <w:t> </w:t>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12"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(50)</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52"/>
              <w:jc w:val="right"/>
              <w:rPr>
                <w:rFonts w:ascii="Arial" w:hAnsi="Arial" w:cs="Arial" w:eastAsia="Arial" w:hint="default"/>
                <w:sz w:val="18"/>
                <w:szCs w:val="18"/>
              </w:rPr>
            </w:pPr>
            <w:r>
              <w:rPr>
                <w:rFonts w:ascii="Arial"/>
                <w:spacing w:val="-1"/>
                <w:sz w:val="18"/>
              </w:rPr>
              <w:t>0.161</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8"/>
              <w:jc w:val="right"/>
              <w:rPr>
                <w:rFonts w:ascii="Arial" w:hAnsi="Arial" w:cs="Arial" w:eastAsia="Arial" w:hint="default"/>
                <w:sz w:val="18"/>
                <w:szCs w:val="18"/>
              </w:rPr>
            </w:pPr>
            <w:r>
              <w:rPr>
                <w:rFonts w:ascii="Arial"/>
                <w:spacing w:val="-1"/>
                <w:sz w:val="18"/>
              </w:rPr>
              <w:t>0.132</w:t>
            </w:r>
            <w:r>
              <w:rPr>
                <w:rFonts w:ascii="Arial"/>
                <w:sz w:val="18"/>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3"/>
              <w:jc w:val="right"/>
              <w:rPr>
                <w:rFonts w:ascii="宋体" w:hAnsi="宋体" w:cs="宋体" w:eastAsia="宋体" w:hint="default"/>
                <w:sz w:val="18"/>
                <w:szCs w:val="18"/>
              </w:rPr>
            </w:pPr>
            <w:r>
              <w:rPr>
                <w:rFonts w:ascii="宋体" w:hAnsi="宋体" w:cs="宋体" w:eastAsia="宋体" w:hint="default"/>
                <w:spacing w:val="-4"/>
                <w:sz w:val="18"/>
                <w:szCs w:val="18"/>
              </w:rPr>
              <w:t>不适用</w:t>
            </w:r>
            <w:r>
              <w:rPr>
                <w:rFonts w:ascii="宋体" w:hAnsi="宋体" w:cs="宋体" w:eastAsia="宋体" w:hint="default"/>
                <w:sz w:val="18"/>
                <w:szCs w:val="18"/>
              </w:rPr>
            </w:r>
          </w:p>
        </w:tc>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3"/>
              <w:jc w:val="right"/>
              <w:rPr>
                <w:rFonts w:ascii="宋体" w:hAnsi="宋体" w:cs="宋体" w:eastAsia="宋体" w:hint="default"/>
                <w:sz w:val="18"/>
                <w:szCs w:val="18"/>
              </w:rPr>
            </w:pPr>
            <w:r>
              <w:rPr>
                <w:rFonts w:ascii="宋体" w:hAnsi="宋体" w:cs="宋体" w:eastAsia="宋体" w:hint="default"/>
                <w:spacing w:val="-4"/>
                <w:sz w:val="18"/>
                <w:szCs w:val="18"/>
              </w:rPr>
              <w:t>不适用</w:t>
            </w:r>
            <w:r>
              <w:rPr>
                <w:rFonts w:ascii="宋体" w:hAnsi="宋体" w:cs="宋体" w:eastAsia="宋体" w:hint="default"/>
                <w:sz w:val="18"/>
                <w:szCs w:val="18"/>
              </w:rPr>
            </w:r>
          </w:p>
        </w:tc>
      </w:tr>
    </w:tbl>
    <w:p>
      <w:pPr>
        <w:spacing w:line="240" w:lineRule="auto" w:before="2"/>
        <w:rPr>
          <w:rFonts w:ascii="黑体" w:hAnsi="黑体" w:cs="黑体" w:eastAsia="黑体" w:hint="default"/>
          <w:sz w:val="12"/>
          <w:szCs w:val="12"/>
        </w:rPr>
      </w:pPr>
    </w:p>
    <w:p>
      <w:pPr>
        <w:spacing w:before="39"/>
        <w:ind w:left="253" w:right="0" w:firstLine="0"/>
        <w:jc w:val="left"/>
        <w:rPr>
          <w:rFonts w:ascii="宋体" w:hAnsi="宋体" w:cs="宋体" w:eastAsia="宋体" w:hint="default"/>
          <w:sz w:val="20"/>
          <w:szCs w:val="20"/>
        </w:rPr>
      </w:pPr>
      <w:r>
        <w:rPr>
          <w:rFonts w:ascii="宋体" w:hAnsi="宋体" w:cs="宋体" w:eastAsia="宋体" w:hint="default"/>
          <w:sz w:val="20"/>
          <w:szCs w:val="20"/>
        </w:rPr>
        <w:t>后附财务报表附注为财务报表的组成部分。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8"/>
          <w:szCs w:val="28"/>
        </w:rPr>
      </w:pPr>
    </w:p>
    <w:p>
      <w:pPr>
        <w:pStyle w:val="BodyText"/>
        <w:tabs>
          <w:tab w:pos="3306" w:val="left" w:leader="none"/>
          <w:tab w:pos="7079" w:val="left" w:leader="none"/>
        </w:tabs>
        <w:spacing w:line="240" w:lineRule="auto"/>
        <w:ind w:left="253" w:right="0"/>
        <w:jc w:val="left"/>
      </w:pPr>
      <w:r>
        <w:rPr/>
        <w:t>董事长：王晓初</w:t>
        <w:tab/>
      </w:r>
      <w:r>
        <w:rPr>
          <w:spacing w:val="-1"/>
        </w:rPr>
        <w:t>财务负责人：姜爱华</w:t>
        <w:tab/>
      </w:r>
      <w:r>
        <w:rPr>
          <w:spacing w:val="-2"/>
        </w:rPr>
        <w:t>财务部总经理：王芳</w:t>
      </w:r>
      <w:r>
        <w:rPr/>
      </w:r>
    </w:p>
    <w:p>
      <w:pPr>
        <w:spacing w:after="0" w:line="240" w:lineRule="auto"/>
        <w:jc w:val="left"/>
        <w:sectPr>
          <w:pgSz w:w="11910" w:h="16840"/>
          <w:pgMar w:header="1327" w:footer="502" w:top="1540" w:bottom="700" w:left="740" w:right="800"/>
        </w:sectPr>
      </w:pPr>
    </w:p>
    <w:p>
      <w:pPr>
        <w:spacing w:line="240" w:lineRule="auto" w:before="12"/>
        <w:rPr>
          <w:rFonts w:ascii="宋体" w:hAnsi="宋体" w:cs="宋体" w:eastAsia="宋体" w:hint="default"/>
          <w:sz w:val="16"/>
          <w:szCs w:val="16"/>
        </w:rPr>
      </w:pPr>
    </w:p>
    <w:p>
      <w:pPr>
        <w:pStyle w:val="BodyText"/>
        <w:spacing w:line="293" w:lineRule="exact" w:before="32"/>
        <w:ind w:left="141"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5"/>
        </w:rPr>
        <w:t> </w:t>
      </w:r>
      <w:r>
        <w:rPr>
          <w:rFonts w:ascii="黑体" w:hAnsi="黑体" w:cs="黑体" w:eastAsia="黑体" w:hint="default"/>
        </w:rPr>
        <w:t>年度合并及公司现金流量表</w:t>
      </w:r>
    </w:p>
    <w:p>
      <w:pPr>
        <w:pStyle w:val="BodyText"/>
        <w:spacing w:line="278" w:lineRule="exact"/>
        <w:ind w:left="141" w:right="0"/>
        <w:jc w:val="left"/>
        <w:rPr>
          <w:rFonts w:ascii="黑体" w:hAnsi="黑体" w:cs="黑体" w:eastAsia="黑体" w:hint="default"/>
        </w:rPr>
      </w:pPr>
      <w:r>
        <w:rPr>
          <w:rFonts w:ascii="黑体" w:hAnsi="黑体" w:cs="黑体" w:eastAsia="黑体" w:hint="default"/>
        </w:rPr>
        <w:t>（除特别注明外，金额单位为人民币元）</w:t>
      </w:r>
    </w:p>
    <w:p>
      <w:pPr>
        <w:spacing w:line="240" w:lineRule="auto" w:before="3"/>
        <w:rPr>
          <w:rFonts w:ascii="黑体" w:hAnsi="黑体" w:cs="黑体" w:eastAsia="黑体" w:hint="default"/>
          <w:sz w:val="22"/>
          <w:szCs w:val="22"/>
        </w:rPr>
      </w:pPr>
    </w:p>
    <w:tbl>
      <w:tblPr>
        <w:tblW w:w="0" w:type="auto"/>
        <w:jc w:val="left"/>
        <w:tblInd w:w="107" w:type="dxa"/>
        <w:tblLayout w:type="fixed"/>
        <w:tblCellMar>
          <w:top w:w="0" w:type="dxa"/>
          <w:left w:w="0" w:type="dxa"/>
          <w:bottom w:w="0" w:type="dxa"/>
          <w:right w:w="0" w:type="dxa"/>
        </w:tblCellMar>
        <w:tblLook w:val="01E0"/>
      </w:tblPr>
      <w:tblGrid>
        <w:gridCol w:w="3917"/>
        <w:gridCol w:w="528"/>
        <w:gridCol w:w="1598"/>
        <w:gridCol w:w="1699"/>
        <w:gridCol w:w="1267"/>
        <w:gridCol w:w="1272"/>
      </w:tblGrid>
      <w:tr>
        <w:trPr>
          <w:trHeight w:val="634"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黑体" w:hAnsi="黑体" w:cs="黑体" w:eastAsia="黑体" w:hint="default"/>
                <w:sz w:val="12"/>
                <w:szCs w:val="12"/>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5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黑体" w:hAnsi="黑体" w:cs="黑体" w:eastAsia="黑体" w:hint="default"/>
                <w:sz w:val="12"/>
                <w:szCs w:val="12"/>
              </w:rPr>
            </w:pPr>
          </w:p>
          <w:p>
            <w:pPr>
              <w:pStyle w:val="TableParagraph"/>
              <w:spacing w:line="240" w:lineRule="auto"/>
              <w:ind w:left="62" w:right="0"/>
              <w:jc w:val="left"/>
              <w:rPr>
                <w:rFonts w:ascii="宋体" w:hAnsi="宋体" w:cs="宋体" w:eastAsia="宋体" w:hint="default"/>
                <w:sz w:val="18"/>
                <w:szCs w:val="18"/>
              </w:rPr>
            </w:pPr>
            <w:r>
              <w:rPr>
                <w:rFonts w:ascii="宋体" w:hAnsi="宋体" w:cs="宋体" w:eastAsia="宋体" w:hint="default"/>
                <w:sz w:val="18"/>
                <w:szCs w:val="18"/>
              </w:rPr>
              <w:t>附注</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75"/>
              <w:ind w:left="614" w:right="290" w:hanging="221"/>
              <w:jc w:val="left"/>
              <w:rPr>
                <w:rFonts w:ascii="宋体" w:hAnsi="宋体" w:cs="宋体" w:eastAsia="宋体" w:hint="default"/>
                <w:sz w:val="18"/>
                <w:szCs w:val="18"/>
              </w:rPr>
            </w:pPr>
            <w:r>
              <w:rPr>
                <w:rFonts w:ascii="Arial" w:hAnsi="Arial" w:cs="Arial" w:eastAsia="Arial" w:hint="default"/>
                <w:sz w:val="18"/>
                <w:szCs w:val="18"/>
              </w:rPr>
              <w:t>2019</w:t>
            </w:r>
            <w:r>
              <w:rPr>
                <w:rFonts w:ascii="Arial" w:hAnsi="Arial" w:cs="Arial" w:eastAsia="Arial" w:hint="default"/>
                <w:spacing w:val="-6"/>
                <w:sz w:val="18"/>
                <w:szCs w:val="18"/>
              </w:rPr>
              <w:t> </w:t>
            </w:r>
            <w:r>
              <w:rPr>
                <w:rFonts w:ascii="宋体" w:hAnsi="宋体" w:cs="宋体" w:eastAsia="宋体" w:hint="default"/>
                <w:spacing w:val="-3"/>
                <w:sz w:val="18"/>
                <w:szCs w:val="18"/>
              </w:rPr>
              <w:t>年度</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合并</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75"/>
              <w:ind w:left="715" w:right="343" w:hanging="274"/>
              <w:jc w:val="left"/>
              <w:rPr>
                <w:rFonts w:ascii="宋体" w:hAnsi="宋体" w:cs="宋体" w:eastAsia="宋体" w:hint="default"/>
                <w:sz w:val="18"/>
                <w:szCs w:val="18"/>
              </w:rPr>
            </w:pPr>
            <w:r>
              <w:rPr>
                <w:rFonts w:ascii="Arial" w:hAnsi="Arial" w:cs="Arial" w:eastAsia="Arial" w:hint="default"/>
                <w:sz w:val="18"/>
                <w:szCs w:val="18"/>
              </w:rPr>
              <w:t>2018</w:t>
            </w:r>
            <w:r>
              <w:rPr>
                <w:rFonts w:ascii="Arial" w:hAnsi="Arial" w:cs="Arial" w:eastAsia="Arial" w:hint="default"/>
                <w:spacing w:val="-6"/>
                <w:sz w:val="18"/>
                <w:szCs w:val="18"/>
              </w:rPr>
              <w:t> </w:t>
            </w:r>
            <w:r>
              <w:rPr>
                <w:rFonts w:ascii="宋体" w:hAnsi="宋体" w:cs="宋体" w:eastAsia="宋体" w:hint="default"/>
                <w:spacing w:val="-3"/>
                <w:sz w:val="18"/>
                <w:szCs w:val="18"/>
              </w:rPr>
              <w:t>年度</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合并</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75"/>
              <w:ind w:left="470" w:right="127" w:hanging="245"/>
              <w:jc w:val="left"/>
              <w:rPr>
                <w:rFonts w:ascii="宋体" w:hAnsi="宋体" w:cs="宋体" w:eastAsia="宋体" w:hint="default"/>
                <w:sz w:val="18"/>
                <w:szCs w:val="18"/>
              </w:rPr>
            </w:pPr>
            <w:r>
              <w:rPr>
                <w:rFonts w:ascii="Arial" w:hAnsi="Arial" w:cs="Arial" w:eastAsia="Arial" w:hint="default"/>
                <w:sz w:val="18"/>
                <w:szCs w:val="18"/>
              </w:rPr>
              <w:t>2019</w:t>
            </w:r>
            <w:r>
              <w:rPr>
                <w:rFonts w:ascii="Arial" w:hAnsi="Arial" w:cs="Arial" w:eastAsia="Arial" w:hint="default"/>
                <w:spacing w:val="-6"/>
                <w:sz w:val="18"/>
                <w:szCs w:val="18"/>
              </w:rPr>
              <w:t> </w:t>
            </w:r>
            <w:r>
              <w:rPr>
                <w:rFonts w:ascii="宋体" w:hAnsi="宋体" w:cs="宋体" w:eastAsia="宋体" w:hint="default"/>
                <w:spacing w:val="-3"/>
                <w:sz w:val="18"/>
                <w:szCs w:val="18"/>
              </w:rPr>
              <w:t>年度</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公司</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75"/>
              <w:ind w:left="475" w:right="127" w:hanging="245"/>
              <w:jc w:val="left"/>
              <w:rPr>
                <w:rFonts w:ascii="宋体" w:hAnsi="宋体" w:cs="宋体" w:eastAsia="宋体" w:hint="default"/>
                <w:sz w:val="18"/>
                <w:szCs w:val="18"/>
              </w:rPr>
            </w:pPr>
            <w:r>
              <w:rPr>
                <w:rFonts w:ascii="Arial" w:hAnsi="Arial" w:cs="Arial" w:eastAsia="Arial" w:hint="default"/>
                <w:sz w:val="18"/>
                <w:szCs w:val="18"/>
              </w:rPr>
              <w:t>2018</w:t>
            </w:r>
            <w:r>
              <w:rPr>
                <w:rFonts w:ascii="Arial" w:hAnsi="Arial" w:cs="Arial" w:eastAsia="Arial" w:hint="default"/>
                <w:spacing w:val="-6"/>
                <w:sz w:val="18"/>
                <w:szCs w:val="18"/>
              </w:rPr>
              <w:t> </w:t>
            </w:r>
            <w:r>
              <w:rPr>
                <w:rFonts w:ascii="宋体" w:hAnsi="宋体" w:cs="宋体" w:eastAsia="宋体" w:hint="default"/>
                <w:spacing w:val="-3"/>
                <w:sz w:val="18"/>
                <w:szCs w:val="18"/>
              </w:rPr>
              <w:t>年度</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公司</w:t>
            </w:r>
          </w:p>
        </w:tc>
      </w:tr>
      <w:tr>
        <w:trPr>
          <w:trHeight w:val="254"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105" w:right="0"/>
              <w:jc w:val="left"/>
              <w:rPr>
                <w:rFonts w:ascii="宋体" w:hAnsi="宋体" w:cs="宋体" w:eastAsia="宋体" w:hint="default"/>
                <w:sz w:val="16"/>
                <w:szCs w:val="16"/>
              </w:rPr>
            </w:pPr>
            <w:r>
              <w:rPr>
                <w:rFonts w:ascii="宋体" w:hAnsi="宋体" w:cs="宋体" w:eastAsia="宋体" w:hint="default"/>
                <w:sz w:val="16"/>
                <w:szCs w:val="16"/>
              </w:rPr>
              <w:t>一、经营活动产生的现金流量</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
        </w:tc>
        <w:tc>
          <w:tcPr>
            <w:tcW w:w="1267" w:type="dxa"/>
            <w:tcBorders>
              <w:top w:val="single" w:sz="6" w:space="0" w:color="000000"/>
              <w:left w:val="single" w:sz="6" w:space="0" w:color="000000"/>
              <w:bottom w:val="single" w:sz="6" w:space="0" w:color="000000"/>
              <w:right w:val="single" w:sz="6" w:space="0" w:color="000000"/>
            </w:tcBorders>
          </w:tcPr>
          <w:p>
            <w:pPr/>
          </w:p>
        </w:tc>
        <w:tc>
          <w:tcPr>
            <w:tcW w:w="1272" w:type="dxa"/>
            <w:tcBorders>
              <w:top w:val="single" w:sz="6" w:space="0" w:color="000000"/>
              <w:left w:val="single" w:sz="6" w:space="0" w:color="000000"/>
              <w:bottom w:val="single" w:sz="6" w:space="0" w:color="000000"/>
              <w:right w:val="single" w:sz="6" w:space="0" w:color="000000"/>
            </w:tcBorders>
          </w:tcPr>
          <w:p>
            <w:pP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41" w:right="0"/>
              <w:jc w:val="left"/>
              <w:rPr>
                <w:rFonts w:ascii="宋体" w:hAnsi="宋体" w:cs="宋体" w:eastAsia="宋体" w:hint="default"/>
                <w:sz w:val="16"/>
                <w:szCs w:val="16"/>
              </w:rPr>
            </w:pPr>
            <w:r>
              <w:rPr>
                <w:rFonts w:ascii="宋体" w:hAnsi="宋体" w:cs="宋体" w:eastAsia="宋体" w:hint="default"/>
                <w:sz w:val="16"/>
                <w:szCs w:val="16"/>
              </w:rPr>
              <w:t>销售商品、提供劳务收到的现金</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6"/>
              <w:jc w:val="right"/>
              <w:rPr>
                <w:rFonts w:ascii="Arial" w:hAnsi="Arial" w:cs="Arial" w:eastAsia="Arial" w:hint="default"/>
                <w:sz w:val="16"/>
                <w:szCs w:val="16"/>
              </w:rPr>
            </w:pPr>
            <w:r>
              <w:rPr>
                <w:rFonts w:ascii="Arial"/>
                <w:w w:val="95"/>
                <w:sz w:val="16"/>
              </w:rPr>
              <w:t>299,043,937,690</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388" w:right="0"/>
              <w:jc w:val="left"/>
              <w:rPr>
                <w:rFonts w:ascii="Arial" w:hAnsi="Arial" w:cs="Arial" w:eastAsia="Arial" w:hint="default"/>
                <w:sz w:val="16"/>
                <w:szCs w:val="16"/>
              </w:rPr>
            </w:pPr>
            <w:r>
              <w:rPr>
                <w:rFonts w:ascii="Arial"/>
                <w:sz w:val="16"/>
              </w:rPr>
              <w:t>304,481,289,440</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4"/>
              <w:jc w:val="right"/>
              <w:rPr>
                <w:rFonts w:ascii="Arial" w:hAnsi="Arial" w:cs="Arial" w:eastAsia="Arial" w:hint="default"/>
                <w:sz w:val="16"/>
                <w:szCs w:val="16"/>
              </w:rPr>
            </w:pPr>
            <w:r>
              <w:rPr>
                <w:rFonts w:ascii="Arial"/>
                <w:w w:val="98"/>
                <w:sz w:val="16"/>
              </w:rPr>
              <w:t>-</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4"/>
              <w:jc w:val="right"/>
              <w:rPr>
                <w:rFonts w:ascii="Arial" w:hAnsi="Arial" w:cs="Arial" w:eastAsia="Arial" w:hint="default"/>
                <w:sz w:val="16"/>
                <w:szCs w:val="16"/>
              </w:rPr>
            </w:pPr>
            <w:r>
              <w:rPr>
                <w:rFonts w:ascii="Arial"/>
                <w:w w:val="98"/>
                <w:sz w:val="16"/>
              </w:rPr>
              <w:t>-</w:t>
            </w:r>
            <w:r>
              <w:rPr>
                <w:rFonts w:ascii="Arial"/>
                <w:sz w:val="16"/>
              </w:rPr>
            </w: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41" w:right="0"/>
              <w:jc w:val="left"/>
              <w:rPr>
                <w:rFonts w:ascii="宋体" w:hAnsi="宋体" w:cs="宋体" w:eastAsia="宋体" w:hint="default"/>
                <w:sz w:val="16"/>
                <w:szCs w:val="16"/>
              </w:rPr>
            </w:pPr>
            <w:r>
              <w:rPr>
                <w:rFonts w:ascii="宋体" w:hAnsi="宋体" w:cs="宋体" w:eastAsia="宋体" w:hint="default"/>
                <w:sz w:val="16"/>
                <w:szCs w:val="16"/>
              </w:rPr>
              <w:t>收到的税费返还</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9"/>
              <w:jc w:val="right"/>
              <w:rPr>
                <w:rFonts w:ascii="Arial" w:hAnsi="Arial" w:cs="Arial" w:eastAsia="Arial" w:hint="default"/>
                <w:sz w:val="16"/>
                <w:szCs w:val="16"/>
              </w:rPr>
            </w:pPr>
            <w:r>
              <w:rPr>
                <w:rFonts w:ascii="Arial"/>
                <w:w w:val="95"/>
                <w:sz w:val="16"/>
              </w:rPr>
              <w:t>116,055,562</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9"/>
              <w:jc w:val="right"/>
              <w:rPr>
                <w:rFonts w:ascii="Arial" w:hAnsi="Arial" w:cs="Arial" w:eastAsia="Arial" w:hint="default"/>
                <w:sz w:val="16"/>
                <w:szCs w:val="16"/>
              </w:rPr>
            </w:pPr>
            <w:r>
              <w:rPr>
                <w:rFonts w:ascii="Arial"/>
                <w:w w:val="95"/>
                <w:sz w:val="16"/>
              </w:rPr>
              <w:t>403,399,357</w:t>
            </w:r>
            <w:r>
              <w:rPr>
                <w:rFonts w:ascii="Arial"/>
                <w:sz w:val="16"/>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4"/>
              <w:jc w:val="right"/>
              <w:rPr>
                <w:rFonts w:ascii="Arial" w:hAnsi="Arial" w:cs="Arial" w:eastAsia="Arial" w:hint="default"/>
                <w:sz w:val="16"/>
                <w:szCs w:val="16"/>
              </w:rPr>
            </w:pPr>
            <w:r>
              <w:rPr>
                <w:rFonts w:ascii="Arial"/>
                <w:w w:val="98"/>
                <w:sz w:val="16"/>
              </w:rPr>
              <w:t>-</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4"/>
              <w:jc w:val="right"/>
              <w:rPr>
                <w:rFonts w:ascii="Arial" w:hAnsi="Arial" w:cs="Arial" w:eastAsia="Arial" w:hint="default"/>
                <w:sz w:val="16"/>
                <w:szCs w:val="16"/>
              </w:rPr>
            </w:pPr>
            <w:r>
              <w:rPr>
                <w:rFonts w:ascii="Arial"/>
                <w:w w:val="98"/>
                <w:sz w:val="16"/>
              </w:rPr>
              <w:t>-</w:t>
            </w:r>
            <w:r>
              <w:rPr>
                <w:rFonts w:ascii="Arial"/>
                <w:sz w:val="16"/>
              </w:rPr>
            </w: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441" w:right="0"/>
              <w:jc w:val="left"/>
              <w:rPr>
                <w:rFonts w:ascii="宋体" w:hAnsi="宋体" w:cs="宋体" w:eastAsia="宋体" w:hint="default"/>
                <w:sz w:val="16"/>
                <w:szCs w:val="16"/>
              </w:rPr>
            </w:pPr>
            <w:r>
              <w:rPr>
                <w:rFonts w:ascii="宋体" w:hAnsi="宋体" w:cs="宋体" w:eastAsia="宋体" w:hint="default"/>
                <w:sz w:val="16"/>
                <w:szCs w:val="16"/>
              </w:rPr>
              <w:t>收到其他与经营活动有关的现金</w:t>
            </w:r>
          </w:p>
        </w:tc>
        <w:tc>
          <w:tcPr>
            <w:tcW w:w="5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47" w:right="0"/>
              <w:jc w:val="left"/>
              <w:rPr>
                <w:rFonts w:ascii="Arial" w:hAnsi="Arial" w:cs="Arial" w:eastAsia="Arial" w:hint="default"/>
                <w:sz w:val="16"/>
                <w:szCs w:val="16"/>
              </w:rPr>
            </w:pPr>
            <w:r>
              <w:rPr>
                <w:rFonts w:ascii="宋体" w:hAnsi="宋体" w:cs="宋体" w:eastAsia="宋体" w:hint="default"/>
                <w:sz w:val="16"/>
                <w:szCs w:val="16"/>
              </w:rPr>
              <w:t>五</w:t>
            </w:r>
            <w:r>
              <w:rPr>
                <w:rFonts w:ascii="Arial" w:hAnsi="Arial" w:cs="Arial" w:eastAsia="Arial" w:hint="default"/>
                <w:sz w:val="16"/>
                <w:szCs w:val="16"/>
              </w:rPr>
              <w:t>(51)</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6"/>
              <w:jc w:val="right"/>
              <w:rPr>
                <w:rFonts w:ascii="Arial" w:hAnsi="Arial" w:cs="Arial" w:eastAsia="Arial" w:hint="default"/>
                <w:sz w:val="16"/>
                <w:szCs w:val="16"/>
              </w:rPr>
            </w:pPr>
            <w:r>
              <w:rPr>
                <w:rFonts w:ascii="Arial"/>
                <w:w w:val="95"/>
                <w:sz w:val="16"/>
              </w:rPr>
              <w:t>2,968,819,204</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6"/>
              <w:jc w:val="right"/>
              <w:rPr>
                <w:rFonts w:ascii="Arial" w:hAnsi="Arial" w:cs="Arial" w:eastAsia="Arial" w:hint="default"/>
                <w:sz w:val="16"/>
                <w:szCs w:val="16"/>
              </w:rPr>
            </w:pPr>
            <w:r>
              <w:rPr>
                <w:rFonts w:ascii="Arial"/>
                <w:w w:val="95"/>
                <w:sz w:val="16"/>
              </w:rPr>
              <w:t>3,169,874,675</w:t>
            </w:r>
            <w:r>
              <w:rPr>
                <w:rFonts w:ascii="Arial"/>
                <w:sz w:val="16"/>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9"/>
              <w:jc w:val="right"/>
              <w:rPr>
                <w:rFonts w:ascii="Arial" w:hAnsi="Arial" w:cs="Arial" w:eastAsia="Arial" w:hint="default"/>
                <w:sz w:val="16"/>
                <w:szCs w:val="16"/>
              </w:rPr>
            </w:pPr>
            <w:r>
              <w:rPr>
                <w:rFonts w:ascii="Arial"/>
                <w:w w:val="95"/>
                <w:sz w:val="16"/>
              </w:rPr>
              <w:t>129,474,164</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7"/>
              <w:jc w:val="right"/>
              <w:rPr>
                <w:rFonts w:ascii="Arial" w:hAnsi="Arial" w:cs="Arial" w:eastAsia="Arial" w:hint="default"/>
                <w:sz w:val="16"/>
                <w:szCs w:val="16"/>
              </w:rPr>
            </w:pPr>
            <w:r>
              <w:rPr>
                <w:rFonts w:ascii="Arial"/>
                <w:w w:val="95"/>
                <w:sz w:val="16"/>
              </w:rPr>
              <w:t>61,298,627</w:t>
            </w:r>
            <w:r>
              <w:rPr>
                <w:rFonts w:ascii="Arial"/>
                <w:sz w:val="16"/>
              </w:rPr>
            </w:r>
          </w:p>
        </w:tc>
      </w:tr>
      <w:tr>
        <w:trPr>
          <w:trHeight w:val="254"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768" w:right="0"/>
              <w:jc w:val="left"/>
              <w:rPr>
                <w:rFonts w:ascii="宋体" w:hAnsi="宋体" w:cs="宋体" w:eastAsia="宋体" w:hint="default"/>
                <w:sz w:val="16"/>
                <w:szCs w:val="16"/>
              </w:rPr>
            </w:pPr>
            <w:r>
              <w:rPr>
                <w:rFonts w:ascii="宋体" w:hAnsi="宋体" w:cs="宋体" w:eastAsia="宋体" w:hint="default"/>
                <w:sz w:val="16"/>
                <w:szCs w:val="16"/>
              </w:rPr>
              <w:t>经营活动现金流入小计</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6"/>
              <w:jc w:val="right"/>
              <w:rPr>
                <w:rFonts w:ascii="Arial" w:hAnsi="Arial" w:cs="Arial" w:eastAsia="Arial" w:hint="default"/>
                <w:sz w:val="16"/>
                <w:szCs w:val="16"/>
              </w:rPr>
            </w:pPr>
            <w:r>
              <w:rPr>
                <w:rFonts w:ascii="Arial"/>
                <w:w w:val="95"/>
                <w:sz w:val="16"/>
              </w:rPr>
              <w:t>302,128,812,456</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left="388" w:right="0"/>
              <w:jc w:val="left"/>
              <w:rPr>
                <w:rFonts w:ascii="Arial" w:hAnsi="Arial" w:cs="Arial" w:eastAsia="Arial" w:hint="default"/>
                <w:sz w:val="16"/>
                <w:szCs w:val="16"/>
              </w:rPr>
            </w:pPr>
            <w:r>
              <w:rPr>
                <w:rFonts w:ascii="Arial"/>
                <w:sz w:val="16"/>
              </w:rPr>
              <w:t>308,054,563,472</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9"/>
              <w:jc w:val="right"/>
              <w:rPr>
                <w:rFonts w:ascii="Arial" w:hAnsi="Arial" w:cs="Arial" w:eastAsia="Arial" w:hint="default"/>
                <w:sz w:val="16"/>
                <w:szCs w:val="16"/>
              </w:rPr>
            </w:pPr>
            <w:r>
              <w:rPr>
                <w:rFonts w:ascii="Arial"/>
                <w:w w:val="95"/>
                <w:sz w:val="16"/>
              </w:rPr>
              <w:t>129,474,164</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7"/>
              <w:jc w:val="right"/>
              <w:rPr>
                <w:rFonts w:ascii="Arial" w:hAnsi="Arial" w:cs="Arial" w:eastAsia="Arial" w:hint="default"/>
                <w:sz w:val="16"/>
                <w:szCs w:val="16"/>
              </w:rPr>
            </w:pPr>
            <w:r>
              <w:rPr>
                <w:rFonts w:ascii="Arial"/>
                <w:w w:val="95"/>
                <w:sz w:val="16"/>
              </w:rPr>
              <w:t>61,298,627</w:t>
            </w:r>
            <w:r>
              <w:rPr>
                <w:rFonts w:ascii="Arial"/>
                <w:sz w:val="16"/>
              </w:rPr>
            </w: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41" w:right="0"/>
              <w:jc w:val="left"/>
              <w:rPr>
                <w:rFonts w:ascii="宋体" w:hAnsi="宋体" w:cs="宋体" w:eastAsia="宋体" w:hint="default"/>
                <w:sz w:val="16"/>
                <w:szCs w:val="16"/>
              </w:rPr>
            </w:pPr>
            <w:r>
              <w:rPr>
                <w:rFonts w:ascii="宋体" w:hAnsi="宋体" w:cs="宋体" w:eastAsia="宋体" w:hint="default"/>
                <w:sz w:val="16"/>
                <w:szCs w:val="16"/>
              </w:rPr>
              <w:t>购买商品、接受劳务支付的现金</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53"/>
              <w:jc w:val="right"/>
              <w:rPr>
                <w:rFonts w:ascii="Arial" w:hAnsi="Arial" w:cs="Arial" w:eastAsia="Arial" w:hint="default"/>
                <w:sz w:val="16"/>
                <w:szCs w:val="16"/>
              </w:rPr>
            </w:pPr>
            <w:r>
              <w:rPr>
                <w:rFonts w:ascii="Arial"/>
                <w:w w:val="95"/>
                <w:sz w:val="16"/>
              </w:rPr>
              <w:t>(148,308,611,071)</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336" w:right="0"/>
              <w:jc w:val="left"/>
              <w:rPr>
                <w:rFonts w:ascii="Arial" w:hAnsi="Arial" w:cs="Arial" w:eastAsia="Arial" w:hint="default"/>
                <w:sz w:val="16"/>
                <w:szCs w:val="16"/>
              </w:rPr>
            </w:pPr>
            <w:r>
              <w:rPr>
                <w:rFonts w:ascii="Arial"/>
                <w:sz w:val="16"/>
              </w:rPr>
              <w:t>(156,093,700,049)</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48"/>
              <w:jc w:val="right"/>
              <w:rPr>
                <w:rFonts w:ascii="Arial" w:hAnsi="Arial" w:cs="Arial" w:eastAsia="Arial" w:hint="default"/>
                <w:sz w:val="16"/>
                <w:szCs w:val="16"/>
              </w:rPr>
            </w:pPr>
            <w:r>
              <w:rPr>
                <w:rFonts w:ascii="Arial"/>
                <w:spacing w:val="-1"/>
                <w:w w:val="95"/>
                <w:sz w:val="16"/>
              </w:rPr>
              <w:t>(8,474,855)</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52"/>
              <w:jc w:val="right"/>
              <w:rPr>
                <w:rFonts w:ascii="Arial" w:hAnsi="Arial" w:cs="Arial" w:eastAsia="Arial" w:hint="default"/>
                <w:sz w:val="16"/>
                <w:szCs w:val="16"/>
              </w:rPr>
            </w:pPr>
            <w:r>
              <w:rPr>
                <w:rFonts w:ascii="Arial"/>
                <w:spacing w:val="-1"/>
                <w:w w:val="95"/>
                <w:sz w:val="16"/>
              </w:rPr>
              <w:t>(9,971,710)</w:t>
            </w:r>
            <w:r>
              <w:rPr>
                <w:rFonts w:ascii="Arial"/>
                <w:sz w:val="16"/>
              </w:rPr>
            </w: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41" w:right="0"/>
              <w:jc w:val="left"/>
              <w:rPr>
                <w:rFonts w:ascii="宋体" w:hAnsi="宋体" w:cs="宋体" w:eastAsia="宋体" w:hint="default"/>
                <w:sz w:val="16"/>
                <w:szCs w:val="16"/>
              </w:rPr>
            </w:pPr>
            <w:r>
              <w:rPr>
                <w:rFonts w:ascii="宋体" w:hAnsi="宋体" w:cs="宋体" w:eastAsia="宋体" w:hint="default"/>
                <w:sz w:val="16"/>
                <w:szCs w:val="16"/>
              </w:rPr>
              <w:t>支付给职工以及为职工支付的现金</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53"/>
              <w:jc w:val="right"/>
              <w:rPr>
                <w:rFonts w:ascii="Arial" w:hAnsi="Arial" w:cs="Arial" w:eastAsia="Arial" w:hint="default"/>
                <w:sz w:val="16"/>
                <w:szCs w:val="16"/>
              </w:rPr>
            </w:pPr>
            <w:r>
              <w:rPr>
                <w:rFonts w:ascii="Arial"/>
                <w:w w:val="95"/>
                <w:sz w:val="16"/>
              </w:rPr>
              <w:t>(47,073,406,160)</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22" w:right="0"/>
              <w:jc w:val="left"/>
              <w:rPr>
                <w:rFonts w:ascii="Arial" w:hAnsi="Arial" w:cs="Arial" w:eastAsia="Arial" w:hint="default"/>
                <w:sz w:val="16"/>
                <w:szCs w:val="16"/>
              </w:rPr>
            </w:pPr>
            <w:r>
              <w:rPr>
                <w:rFonts w:ascii="Arial"/>
                <w:sz w:val="16"/>
              </w:rPr>
              <w:t>(44,702,255,602)</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4"/>
              <w:jc w:val="right"/>
              <w:rPr>
                <w:rFonts w:ascii="Arial" w:hAnsi="Arial" w:cs="Arial" w:eastAsia="Arial" w:hint="default"/>
                <w:sz w:val="16"/>
                <w:szCs w:val="16"/>
              </w:rPr>
            </w:pPr>
            <w:r>
              <w:rPr>
                <w:rFonts w:ascii="Arial"/>
                <w:w w:val="98"/>
                <w:sz w:val="16"/>
              </w:rPr>
              <w:t>-</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4"/>
              <w:jc w:val="right"/>
              <w:rPr>
                <w:rFonts w:ascii="Arial" w:hAnsi="Arial" w:cs="Arial" w:eastAsia="Arial" w:hint="default"/>
                <w:sz w:val="16"/>
                <w:szCs w:val="16"/>
              </w:rPr>
            </w:pPr>
            <w:r>
              <w:rPr>
                <w:rFonts w:ascii="Arial"/>
                <w:w w:val="98"/>
                <w:sz w:val="16"/>
              </w:rPr>
              <w:t>-</w:t>
            </w:r>
            <w:r>
              <w:rPr>
                <w:rFonts w:ascii="Arial"/>
                <w:sz w:val="16"/>
              </w:rPr>
            </w: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441" w:right="0"/>
              <w:jc w:val="left"/>
              <w:rPr>
                <w:rFonts w:ascii="宋体" w:hAnsi="宋体" w:cs="宋体" w:eastAsia="宋体" w:hint="default"/>
                <w:sz w:val="16"/>
                <w:szCs w:val="16"/>
              </w:rPr>
            </w:pPr>
            <w:r>
              <w:rPr>
                <w:rFonts w:ascii="宋体" w:hAnsi="宋体" w:cs="宋体" w:eastAsia="宋体" w:hint="default"/>
                <w:sz w:val="16"/>
                <w:szCs w:val="16"/>
              </w:rPr>
              <w:t>支付的各项税费</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52"/>
              <w:jc w:val="right"/>
              <w:rPr>
                <w:rFonts w:ascii="Arial" w:hAnsi="Arial" w:cs="Arial" w:eastAsia="Arial" w:hint="default"/>
                <w:sz w:val="16"/>
                <w:szCs w:val="16"/>
              </w:rPr>
            </w:pPr>
            <w:r>
              <w:rPr>
                <w:rFonts w:ascii="Arial"/>
                <w:w w:val="95"/>
                <w:sz w:val="16"/>
              </w:rPr>
              <w:t>(4,718,908,461)</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48"/>
              <w:jc w:val="right"/>
              <w:rPr>
                <w:rFonts w:ascii="Arial" w:hAnsi="Arial" w:cs="Arial" w:eastAsia="Arial" w:hint="default"/>
                <w:sz w:val="16"/>
                <w:szCs w:val="16"/>
              </w:rPr>
            </w:pPr>
            <w:r>
              <w:rPr>
                <w:rFonts w:ascii="Arial"/>
                <w:w w:val="95"/>
                <w:sz w:val="16"/>
              </w:rPr>
              <w:t>(7,614,984,525)</w:t>
            </w:r>
            <w:r>
              <w:rPr>
                <w:rFonts w:ascii="Arial"/>
                <w:sz w:val="16"/>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48"/>
              <w:jc w:val="right"/>
              <w:rPr>
                <w:rFonts w:ascii="Arial" w:hAnsi="Arial" w:cs="Arial" w:eastAsia="Arial" w:hint="default"/>
                <w:sz w:val="16"/>
                <w:szCs w:val="16"/>
              </w:rPr>
            </w:pPr>
            <w:r>
              <w:rPr>
                <w:rFonts w:ascii="Arial"/>
                <w:spacing w:val="-1"/>
                <w:sz w:val="16"/>
              </w:rPr>
              <w:t>(26,096,848)</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53"/>
              <w:jc w:val="right"/>
              <w:rPr>
                <w:rFonts w:ascii="Arial" w:hAnsi="Arial" w:cs="Arial" w:eastAsia="Arial" w:hint="default"/>
                <w:sz w:val="16"/>
                <w:szCs w:val="16"/>
              </w:rPr>
            </w:pPr>
            <w:r>
              <w:rPr>
                <w:rFonts w:ascii="Arial"/>
                <w:spacing w:val="-1"/>
                <w:sz w:val="16"/>
              </w:rPr>
              <w:t>(14,275,601)</w:t>
            </w:r>
            <w:r>
              <w:rPr>
                <w:rFonts w:ascii="Arial"/>
                <w:sz w:val="16"/>
              </w:rPr>
            </w:r>
          </w:p>
        </w:tc>
      </w:tr>
      <w:tr>
        <w:trPr>
          <w:trHeight w:val="254"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422" w:right="0"/>
              <w:jc w:val="left"/>
              <w:rPr>
                <w:rFonts w:ascii="宋体" w:hAnsi="宋体" w:cs="宋体" w:eastAsia="宋体" w:hint="default"/>
                <w:sz w:val="16"/>
                <w:szCs w:val="16"/>
              </w:rPr>
            </w:pPr>
            <w:r>
              <w:rPr>
                <w:rFonts w:ascii="宋体" w:hAnsi="宋体" w:cs="宋体" w:eastAsia="宋体" w:hint="default"/>
                <w:sz w:val="16"/>
                <w:szCs w:val="16"/>
              </w:rPr>
              <w:t>支付其他与经营活动有关的现金</w:t>
            </w:r>
          </w:p>
        </w:tc>
        <w:tc>
          <w:tcPr>
            <w:tcW w:w="5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48" w:right="0"/>
              <w:jc w:val="left"/>
              <w:rPr>
                <w:rFonts w:ascii="Arial" w:hAnsi="Arial" w:cs="Arial" w:eastAsia="Arial" w:hint="default"/>
                <w:sz w:val="16"/>
                <w:szCs w:val="16"/>
              </w:rPr>
            </w:pPr>
            <w:r>
              <w:rPr>
                <w:rFonts w:ascii="宋体" w:hAnsi="宋体" w:cs="宋体" w:eastAsia="宋体" w:hint="default"/>
                <w:sz w:val="16"/>
                <w:szCs w:val="16"/>
              </w:rPr>
              <w:t>五</w:t>
            </w:r>
            <w:r>
              <w:rPr>
                <w:rFonts w:ascii="Arial" w:hAnsi="Arial" w:cs="Arial" w:eastAsia="Arial" w:hint="default"/>
                <w:sz w:val="16"/>
                <w:szCs w:val="16"/>
              </w:rPr>
              <w:t>(51)</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52"/>
              <w:jc w:val="right"/>
              <w:rPr>
                <w:rFonts w:ascii="Arial" w:hAnsi="Arial" w:cs="Arial" w:eastAsia="Arial" w:hint="default"/>
                <w:sz w:val="16"/>
                <w:szCs w:val="16"/>
              </w:rPr>
            </w:pPr>
            <w:r>
              <w:rPr>
                <w:rFonts w:ascii="Arial"/>
                <w:w w:val="95"/>
                <w:sz w:val="16"/>
              </w:rPr>
              <w:t>(5,819,650,965)</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48"/>
              <w:jc w:val="right"/>
              <w:rPr>
                <w:rFonts w:ascii="Arial" w:hAnsi="Arial" w:cs="Arial" w:eastAsia="Arial" w:hint="default"/>
                <w:sz w:val="16"/>
                <w:szCs w:val="16"/>
              </w:rPr>
            </w:pPr>
            <w:r>
              <w:rPr>
                <w:rFonts w:ascii="Arial"/>
                <w:w w:val="95"/>
                <w:sz w:val="16"/>
              </w:rPr>
              <w:t>(4,813,897,949)</w:t>
            </w:r>
            <w:r>
              <w:rPr>
                <w:rFonts w:ascii="Arial"/>
                <w:sz w:val="16"/>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48"/>
              <w:jc w:val="right"/>
              <w:rPr>
                <w:rFonts w:ascii="Arial" w:hAnsi="Arial" w:cs="Arial" w:eastAsia="Arial" w:hint="default"/>
                <w:sz w:val="16"/>
                <w:szCs w:val="16"/>
              </w:rPr>
            </w:pPr>
            <w:r>
              <w:rPr>
                <w:rFonts w:ascii="Arial"/>
                <w:spacing w:val="-1"/>
                <w:w w:val="95"/>
                <w:sz w:val="16"/>
              </w:rPr>
              <w:t>(3,876,247)</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52"/>
              <w:jc w:val="right"/>
              <w:rPr>
                <w:rFonts w:ascii="Arial" w:hAnsi="Arial" w:cs="Arial" w:eastAsia="Arial" w:hint="default"/>
                <w:sz w:val="16"/>
                <w:szCs w:val="16"/>
              </w:rPr>
            </w:pPr>
            <w:r>
              <w:rPr>
                <w:rFonts w:ascii="Arial"/>
                <w:spacing w:val="-1"/>
                <w:w w:val="95"/>
                <w:sz w:val="16"/>
              </w:rPr>
              <w:t>(4,892,130)</w:t>
            </w:r>
            <w:r>
              <w:rPr>
                <w:rFonts w:ascii="Arial"/>
                <w:sz w:val="16"/>
              </w:rPr>
            </w: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768" w:right="0"/>
              <w:jc w:val="left"/>
              <w:rPr>
                <w:rFonts w:ascii="宋体" w:hAnsi="宋体" w:cs="宋体" w:eastAsia="宋体" w:hint="default"/>
                <w:sz w:val="16"/>
                <w:szCs w:val="16"/>
              </w:rPr>
            </w:pPr>
            <w:r>
              <w:rPr>
                <w:rFonts w:ascii="宋体" w:hAnsi="宋体" w:cs="宋体" w:eastAsia="宋体" w:hint="default"/>
                <w:sz w:val="16"/>
                <w:szCs w:val="16"/>
              </w:rPr>
              <w:t>经营活动现金流出小计</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53"/>
              <w:jc w:val="right"/>
              <w:rPr>
                <w:rFonts w:ascii="Arial" w:hAnsi="Arial" w:cs="Arial" w:eastAsia="Arial" w:hint="default"/>
                <w:sz w:val="16"/>
                <w:szCs w:val="16"/>
              </w:rPr>
            </w:pPr>
            <w:r>
              <w:rPr>
                <w:rFonts w:ascii="Arial"/>
                <w:w w:val="95"/>
                <w:sz w:val="16"/>
              </w:rPr>
              <w:t>(205,920,576,657)</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336" w:right="0"/>
              <w:jc w:val="left"/>
              <w:rPr>
                <w:rFonts w:ascii="Arial" w:hAnsi="Arial" w:cs="Arial" w:eastAsia="Arial" w:hint="default"/>
                <w:sz w:val="16"/>
                <w:szCs w:val="16"/>
              </w:rPr>
            </w:pPr>
            <w:r>
              <w:rPr>
                <w:rFonts w:ascii="Arial"/>
                <w:sz w:val="16"/>
              </w:rPr>
              <w:t>(213,224,838,125)</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48"/>
              <w:jc w:val="right"/>
              <w:rPr>
                <w:rFonts w:ascii="Arial" w:hAnsi="Arial" w:cs="Arial" w:eastAsia="Arial" w:hint="default"/>
                <w:sz w:val="16"/>
                <w:szCs w:val="16"/>
              </w:rPr>
            </w:pPr>
            <w:r>
              <w:rPr>
                <w:rFonts w:ascii="Arial"/>
                <w:spacing w:val="-1"/>
                <w:sz w:val="16"/>
              </w:rPr>
              <w:t>(38,447,950)</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53"/>
              <w:jc w:val="right"/>
              <w:rPr>
                <w:rFonts w:ascii="Arial" w:hAnsi="Arial" w:cs="Arial" w:eastAsia="Arial" w:hint="default"/>
                <w:sz w:val="16"/>
                <w:szCs w:val="16"/>
              </w:rPr>
            </w:pPr>
            <w:r>
              <w:rPr>
                <w:rFonts w:ascii="Arial"/>
                <w:spacing w:val="-1"/>
                <w:sz w:val="16"/>
              </w:rPr>
              <w:t>(29,139,441)</w:t>
            </w:r>
            <w:r>
              <w:rPr>
                <w:rFonts w:ascii="Arial"/>
                <w:sz w:val="16"/>
              </w:rPr>
            </w: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41" w:right="0"/>
              <w:jc w:val="left"/>
              <w:rPr>
                <w:rFonts w:ascii="宋体" w:hAnsi="宋体" w:cs="宋体" w:eastAsia="宋体" w:hint="default"/>
                <w:sz w:val="16"/>
                <w:szCs w:val="16"/>
              </w:rPr>
            </w:pPr>
            <w:r>
              <w:rPr>
                <w:rFonts w:ascii="宋体" w:hAnsi="宋体" w:cs="宋体" w:eastAsia="宋体" w:hint="default"/>
                <w:sz w:val="16"/>
                <w:szCs w:val="16"/>
              </w:rPr>
              <w:t>经营活动产生的现金流量净额</w:t>
            </w:r>
          </w:p>
        </w:tc>
        <w:tc>
          <w:tcPr>
            <w:tcW w:w="5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7" w:right="0"/>
              <w:jc w:val="left"/>
              <w:rPr>
                <w:rFonts w:ascii="Arial" w:hAnsi="Arial" w:cs="Arial" w:eastAsia="Arial" w:hint="default"/>
                <w:sz w:val="16"/>
                <w:szCs w:val="16"/>
              </w:rPr>
            </w:pPr>
            <w:r>
              <w:rPr>
                <w:rFonts w:ascii="宋体" w:hAnsi="宋体" w:cs="宋体" w:eastAsia="宋体" w:hint="default"/>
                <w:sz w:val="16"/>
                <w:szCs w:val="16"/>
              </w:rPr>
              <w:t>五</w:t>
            </w:r>
            <w:r>
              <w:rPr>
                <w:rFonts w:ascii="Arial" w:hAnsi="Arial" w:cs="Arial" w:eastAsia="Arial" w:hint="default"/>
                <w:sz w:val="16"/>
                <w:szCs w:val="16"/>
              </w:rPr>
              <w:t>(52)</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2"/>
              <w:jc w:val="right"/>
              <w:rPr>
                <w:rFonts w:ascii="Arial" w:hAnsi="Arial" w:cs="Arial" w:eastAsia="Arial" w:hint="default"/>
                <w:sz w:val="16"/>
                <w:szCs w:val="16"/>
              </w:rPr>
            </w:pPr>
            <w:r>
              <w:rPr>
                <w:rFonts w:ascii="Arial"/>
                <w:w w:val="95"/>
                <w:sz w:val="16"/>
              </w:rPr>
              <w:t>96,208,235,799</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7"/>
              <w:jc w:val="right"/>
              <w:rPr>
                <w:rFonts w:ascii="Arial" w:hAnsi="Arial" w:cs="Arial" w:eastAsia="Arial" w:hint="default"/>
                <w:sz w:val="16"/>
                <w:szCs w:val="16"/>
              </w:rPr>
            </w:pPr>
            <w:r>
              <w:rPr>
                <w:rFonts w:ascii="Arial"/>
                <w:w w:val="95"/>
                <w:sz w:val="16"/>
              </w:rPr>
              <w:t>94,829,725,347</w:t>
            </w:r>
            <w:r>
              <w:rPr>
                <w:rFonts w:ascii="Arial"/>
                <w:sz w:val="16"/>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7"/>
              <w:jc w:val="right"/>
              <w:rPr>
                <w:rFonts w:ascii="Arial" w:hAnsi="Arial" w:cs="Arial" w:eastAsia="Arial" w:hint="default"/>
                <w:sz w:val="16"/>
                <w:szCs w:val="16"/>
              </w:rPr>
            </w:pPr>
            <w:r>
              <w:rPr>
                <w:rFonts w:ascii="Arial"/>
                <w:w w:val="95"/>
                <w:sz w:val="16"/>
              </w:rPr>
              <w:t>91,026,214</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7"/>
              <w:jc w:val="right"/>
              <w:rPr>
                <w:rFonts w:ascii="Arial" w:hAnsi="Arial" w:cs="Arial" w:eastAsia="Arial" w:hint="default"/>
                <w:sz w:val="16"/>
                <w:szCs w:val="16"/>
              </w:rPr>
            </w:pPr>
            <w:r>
              <w:rPr>
                <w:rFonts w:ascii="Arial"/>
                <w:w w:val="95"/>
                <w:sz w:val="16"/>
              </w:rPr>
              <w:t>32,159,186</w:t>
            </w:r>
            <w:r>
              <w:rPr>
                <w:rFonts w:ascii="Arial"/>
                <w:sz w:val="16"/>
              </w:rPr>
            </w: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105" w:right="0"/>
              <w:jc w:val="left"/>
              <w:rPr>
                <w:rFonts w:ascii="宋体" w:hAnsi="宋体" w:cs="宋体" w:eastAsia="宋体" w:hint="default"/>
                <w:sz w:val="16"/>
                <w:szCs w:val="16"/>
              </w:rPr>
            </w:pPr>
            <w:r>
              <w:rPr>
                <w:rFonts w:ascii="宋体" w:hAnsi="宋体" w:cs="宋体" w:eastAsia="宋体" w:hint="default"/>
                <w:sz w:val="16"/>
                <w:szCs w:val="16"/>
              </w:rPr>
              <w:t>二、投资活动产生的现金流量</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
        </w:tc>
        <w:tc>
          <w:tcPr>
            <w:tcW w:w="1267" w:type="dxa"/>
            <w:tcBorders>
              <w:top w:val="single" w:sz="6" w:space="0" w:color="000000"/>
              <w:left w:val="single" w:sz="6" w:space="0" w:color="000000"/>
              <w:bottom w:val="single" w:sz="6" w:space="0" w:color="000000"/>
              <w:right w:val="single" w:sz="6" w:space="0" w:color="000000"/>
            </w:tcBorders>
          </w:tcPr>
          <w:p>
            <w:pPr/>
          </w:p>
        </w:tc>
        <w:tc>
          <w:tcPr>
            <w:tcW w:w="1272" w:type="dxa"/>
            <w:tcBorders>
              <w:top w:val="single" w:sz="6" w:space="0" w:color="000000"/>
              <w:left w:val="single" w:sz="6" w:space="0" w:color="000000"/>
              <w:bottom w:val="single" w:sz="6" w:space="0" w:color="000000"/>
              <w:right w:val="single" w:sz="6" w:space="0" w:color="000000"/>
            </w:tcBorders>
          </w:tcPr>
          <w:p>
            <w:pPr/>
          </w:p>
        </w:tc>
      </w:tr>
      <w:tr>
        <w:trPr>
          <w:trHeight w:val="240"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00" w:lineRule="exact"/>
              <w:ind w:left="441" w:right="0"/>
              <w:jc w:val="left"/>
              <w:rPr>
                <w:rFonts w:ascii="宋体" w:hAnsi="宋体" w:cs="宋体" w:eastAsia="宋体" w:hint="default"/>
                <w:sz w:val="16"/>
                <w:szCs w:val="16"/>
              </w:rPr>
            </w:pPr>
            <w:r>
              <w:rPr>
                <w:rFonts w:ascii="宋体" w:hAnsi="宋体" w:cs="宋体" w:eastAsia="宋体" w:hint="default"/>
                <w:sz w:val="16"/>
                <w:szCs w:val="16"/>
              </w:rPr>
              <w:t>收回投资收到的现金</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9"/>
              <w:jc w:val="right"/>
              <w:rPr>
                <w:rFonts w:ascii="Arial" w:hAnsi="Arial" w:cs="Arial" w:eastAsia="Arial" w:hint="default"/>
                <w:sz w:val="16"/>
                <w:szCs w:val="16"/>
              </w:rPr>
            </w:pPr>
            <w:r>
              <w:rPr>
                <w:rFonts w:ascii="Arial"/>
                <w:w w:val="95"/>
                <w:sz w:val="16"/>
              </w:rPr>
              <w:t>506,900,000</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4"/>
              <w:jc w:val="right"/>
              <w:rPr>
                <w:rFonts w:ascii="Arial" w:hAnsi="Arial" w:cs="Arial" w:eastAsia="Arial" w:hint="default"/>
                <w:sz w:val="16"/>
                <w:szCs w:val="16"/>
              </w:rPr>
            </w:pPr>
            <w:r>
              <w:rPr>
                <w:rFonts w:ascii="Arial"/>
                <w:w w:val="98"/>
                <w:sz w:val="16"/>
              </w:rPr>
              <w:t>-</w:t>
            </w:r>
            <w:r>
              <w:rPr>
                <w:rFonts w:ascii="Arial"/>
                <w:sz w:val="16"/>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4"/>
              <w:jc w:val="right"/>
              <w:rPr>
                <w:rFonts w:ascii="Arial" w:hAnsi="Arial" w:cs="Arial" w:eastAsia="Arial" w:hint="default"/>
                <w:sz w:val="16"/>
                <w:szCs w:val="16"/>
              </w:rPr>
            </w:pPr>
            <w:r>
              <w:rPr>
                <w:rFonts w:ascii="Arial"/>
                <w:w w:val="98"/>
                <w:sz w:val="16"/>
              </w:rPr>
              <w:t>-</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4"/>
              <w:jc w:val="right"/>
              <w:rPr>
                <w:rFonts w:ascii="Arial" w:hAnsi="Arial" w:cs="Arial" w:eastAsia="Arial" w:hint="default"/>
                <w:sz w:val="16"/>
                <w:szCs w:val="16"/>
              </w:rPr>
            </w:pPr>
            <w:r>
              <w:rPr>
                <w:rFonts w:ascii="Arial"/>
                <w:w w:val="98"/>
                <w:sz w:val="16"/>
              </w:rPr>
              <w:t>-</w:t>
            </w:r>
            <w:r>
              <w:rPr>
                <w:rFonts w:ascii="Arial"/>
                <w:sz w:val="16"/>
              </w:rPr>
            </w:r>
          </w:p>
        </w:tc>
      </w:tr>
      <w:tr>
        <w:trPr>
          <w:trHeight w:val="240"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00" w:lineRule="exact"/>
              <w:ind w:left="441" w:right="0"/>
              <w:jc w:val="left"/>
              <w:rPr>
                <w:rFonts w:ascii="宋体" w:hAnsi="宋体" w:cs="宋体" w:eastAsia="宋体" w:hint="default"/>
                <w:sz w:val="16"/>
                <w:szCs w:val="16"/>
              </w:rPr>
            </w:pPr>
            <w:r>
              <w:rPr>
                <w:rFonts w:ascii="宋体" w:hAnsi="宋体" w:cs="宋体" w:eastAsia="宋体" w:hint="default"/>
                <w:sz w:val="16"/>
                <w:szCs w:val="16"/>
              </w:rPr>
              <w:t>取得投资收益收到的现金</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9"/>
              <w:jc w:val="right"/>
              <w:rPr>
                <w:rFonts w:ascii="Arial" w:hAnsi="Arial" w:cs="Arial" w:eastAsia="Arial" w:hint="default"/>
                <w:sz w:val="16"/>
                <w:szCs w:val="16"/>
              </w:rPr>
            </w:pPr>
            <w:r>
              <w:rPr>
                <w:rFonts w:ascii="Arial"/>
                <w:w w:val="95"/>
                <w:sz w:val="16"/>
              </w:rPr>
              <w:t>311,273,890</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9"/>
              <w:jc w:val="right"/>
              <w:rPr>
                <w:rFonts w:ascii="Arial" w:hAnsi="Arial" w:cs="Arial" w:eastAsia="Arial" w:hint="default"/>
                <w:sz w:val="16"/>
                <w:szCs w:val="16"/>
              </w:rPr>
            </w:pPr>
            <w:r>
              <w:rPr>
                <w:rFonts w:ascii="Arial"/>
                <w:w w:val="95"/>
                <w:sz w:val="16"/>
              </w:rPr>
              <w:t>259,275,327</w:t>
            </w:r>
            <w:r>
              <w:rPr>
                <w:rFonts w:ascii="Arial"/>
                <w:sz w:val="16"/>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6"/>
              <w:jc w:val="right"/>
              <w:rPr>
                <w:rFonts w:ascii="Arial" w:hAnsi="Arial" w:cs="Arial" w:eastAsia="Arial" w:hint="default"/>
                <w:sz w:val="16"/>
                <w:szCs w:val="16"/>
              </w:rPr>
            </w:pPr>
            <w:r>
              <w:rPr>
                <w:rFonts w:ascii="Arial"/>
                <w:w w:val="95"/>
                <w:sz w:val="16"/>
              </w:rPr>
              <w:t>1,801,506,250</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9"/>
              <w:jc w:val="right"/>
              <w:rPr>
                <w:rFonts w:ascii="Arial" w:hAnsi="Arial" w:cs="Arial" w:eastAsia="Arial" w:hint="default"/>
                <w:sz w:val="16"/>
                <w:szCs w:val="16"/>
              </w:rPr>
            </w:pPr>
            <w:r>
              <w:rPr>
                <w:rFonts w:ascii="Arial"/>
                <w:w w:val="95"/>
                <w:sz w:val="16"/>
              </w:rPr>
              <w:t>699,083,224</w:t>
            </w:r>
            <w:r>
              <w:rPr>
                <w:rFonts w:ascii="Arial"/>
                <w:sz w:val="16"/>
              </w:rPr>
            </w:r>
          </w:p>
        </w:tc>
      </w:tr>
      <w:tr>
        <w:trPr>
          <w:trHeight w:val="432"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179" w:lineRule="exact"/>
              <w:ind w:left="441" w:right="0"/>
              <w:jc w:val="left"/>
              <w:rPr>
                <w:rFonts w:ascii="宋体" w:hAnsi="宋体" w:cs="宋体" w:eastAsia="宋体" w:hint="default"/>
                <w:sz w:val="16"/>
                <w:szCs w:val="16"/>
              </w:rPr>
            </w:pPr>
            <w:r>
              <w:rPr>
                <w:rFonts w:ascii="宋体" w:hAnsi="宋体" w:cs="宋体" w:eastAsia="宋体" w:hint="default"/>
                <w:sz w:val="16"/>
                <w:szCs w:val="16"/>
              </w:rPr>
              <w:t>处置固定资产、无形资产和其他长期资产收回的</w:t>
            </w:r>
          </w:p>
          <w:p>
            <w:pPr>
              <w:pStyle w:val="TableParagraph"/>
              <w:spacing w:line="208" w:lineRule="exact"/>
              <w:ind w:left="609" w:right="0"/>
              <w:jc w:val="left"/>
              <w:rPr>
                <w:rFonts w:ascii="宋体" w:hAnsi="宋体" w:cs="宋体" w:eastAsia="宋体" w:hint="default"/>
                <w:sz w:val="16"/>
                <w:szCs w:val="16"/>
              </w:rPr>
            </w:pPr>
            <w:r>
              <w:rPr>
                <w:rFonts w:ascii="宋体" w:hAnsi="宋体" w:cs="宋体" w:eastAsia="宋体" w:hint="default"/>
                <w:sz w:val="16"/>
                <w:szCs w:val="16"/>
              </w:rPr>
              <w:t>现金净额</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96"/>
              <w:jc w:val="right"/>
              <w:rPr>
                <w:rFonts w:ascii="Arial" w:hAnsi="Arial" w:cs="Arial" w:eastAsia="Arial" w:hint="default"/>
                <w:sz w:val="16"/>
                <w:szCs w:val="16"/>
              </w:rPr>
            </w:pPr>
            <w:r>
              <w:rPr>
                <w:rFonts w:ascii="Arial"/>
                <w:w w:val="95"/>
                <w:sz w:val="16"/>
              </w:rPr>
              <w:t>1,511,988,292</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96"/>
              <w:jc w:val="right"/>
              <w:rPr>
                <w:rFonts w:ascii="Arial" w:hAnsi="Arial" w:cs="Arial" w:eastAsia="Arial" w:hint="default"/>
                <w:sz w:val="16"/>
                <w:szCs w:val="16"/>
              </w:rPr>
            </w:pPr>
            <w:r>
              <w:rPr>
                <w:rFonts w:ascii="Arial"/>
                <w:w w:val="95"/>
                <w:sz w:val="16"/>
              </w:rPr>
              <w:t>1,089,785,558</w:t>
            </w:r>
            <w:r>
              <w:rPr>
                <w:rFonts w:ascii="Arial"/>
                <w:sz w:val="16"/>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94"/>
              <w:jc w:val="right"/>
              <w:rPr>
                <w:rFonts w:ascii="Arial" w:hAnsi="Arial" w:cs="Arial" w:eastAsia="Arial" w:hint="default"/>
                <w:sz w:val="16"/>
                <w:szCs w:val="16"/>
              </w:rPr>
            </w:pPr>
            <w:r>
              <w:rPr>
                <w:rFonts w:ascii="Arial"/>
                <w:w w:val="98"/>
                <w:sz w:val="16"/>
              </w:rPr>
              <w:t>-</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94"/>
              <w:jc w:val="right"/>
              <w:rPr>
                <w:rFonts w:ascii="Arial" w:hAnsi="Arial" w:cs="Arial" w:eastAsia="Arial" w:hint="default"/>
                <w:sz w:val="16"/>
                <w:szCs w:val="16"/>
              </w:rPr>
            </w:pPr>
            <w:r>
              <w:rPr>
                <w:rFonts w:ascii="Arial"/>
                <w:w w:val="98"/>
                <w:sz w:val="16"/>
              </w:rPr>
              <w:t>-</w:t>
            </w:r>
            <w:r>
              <w:rPr>
                <w:rFonts w:ascii="Arial"/>
                <w:sz w:val="16"/>
              </w:rPr>
            </w:r>
          </w:p>
        </w:tc>
      </w:tr>
      <w:tr>
        <w:trPr>
          <w:trHeight w:val="254"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441" w:right="0"/>
              <w:jc w:val="left"/>
              <w:rPr>
                <w:rFonts w:ascii="宋体" w:hAnsi="宋体" w:cs="宋体" w:eastAsia="宋体" w:hint="default"/>
                <w:sz w:val="16"/>
                <w:szCs w:val="16"/>
              </w:rPr>
            </w:pPr>
            <w:r>
              <w:rPr>
                <w:rFonts w:ascii="宋体" w:hAnsi="宋体" w:cs="宋体" w:eastAsia="宋体" w:hint="default"/>
                <w:sz w:val="16"/>
                <w:szCs w:val="16"/>
              </w:rPr>
              <w:t>收到其他与投资活动有关的现金</w:t>
            </w:r>
          </w:p>
        </w:tc>
        <w:tc>
          <w:tcPr>
            <w:tcW w:w="5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47" w:right="0"/>
              <w:jc w:val="left"/>
              <w:rPr>
                <w:rFonts w:ascii="Arial" w:hAnsi="Arial" w:cs="Arial" w:eastAsia="Arial" w:hint="default"/>
                <w:sz w:val="16"/>
                <w:szCs w:val="16"/>
              </w:rPr>
            </w:pPr>
            <w:r>
              <w:rPr>
                <w:rFonts w:ascii="宋体" w:hAnsi="宋体" w:cs="宋体" w:eastAsia="宋体" w:hint="default"/>
                <w:sz w:val="16"/>
                <w:szCs w:val="16"/>
              </w:rPr>
              <w:t>五</w:t>
            </w:r>
            <w:r>
              <w:rPr>
                <w:rFonts w:ascii="Arial" w:hAnsi="Arial" w:cs="Arial" w:eastAsia="Arial" w:hint="default"/>
                <w:sz w:val="16"/>
                <w:szCs w:val="16"/>
              </w:rPr>
              <w:t>(51)</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7"/>
              <w:jc w:val="right"/>
              <w:rPr>
                <w:rFonts w:ascii="Arial" w:hAnsi="Arial" w:cs="Arial" w:eastAsia="Arial" w:hint="default"/>
                <w:sz w:val="16"/>
                <w:szCs w:val="16"/>
              </w:rPr>
            </w:pPr>
            <w:r>
              <w:rPr>
                <w:rFonts w:ascii="Arial"/>
                <w:w w:val="95"/>
                <w:sz w:val="16"/>
              </w:rPr>
              <w:t>11,168,022,050</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6"/>
              <w:jc w:val="right"/>
              <w:rPr>
                <w:rFonts w:ascii="Arial" w:hAnsi="Arial" w:cs="Arial" w:eastAsia="Arial" w:hint="default"/>
                <w:sz w:val="16"/>
                <w:szCs w:val="16"/>
              </w:rPr>
            </w:pPr>
            <w:r>
              <w:rPr>
                <w:rFonts w:ascii="Arial"/>
                <w:w w:val="95"/>
                <w:sz w:val="16"/>
              </w:rPr>
              <w:t>9,451,686,844</w:t>
            </w:r>
            <w:r>
              <w:rPr>
                <w:rFonts w:ascii="Arial"/>
                <w:sz w:val="16"/>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4"/>
              <w:jc w:val="right"/>
              <w:rPr>
                <w:rFonts w:ascii="Arial" w:hAnsi="Arial" w:cs="Arial" w:eastAsia="Arial" w:hint="default"/>
                <w:sz w:val="16"/>
                <w:szCs w:val="16"/>
              </w:rPr>
            </w:pPr>
            <w:r>
              <w:rPr>
                <w:rFonts w:ascii="Arial"/>
                <w:w w:val="98"/>
                <w:sz w:val="16"/>
              </w:rPr>
              <w:t>-</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4"/>
              <w:jc w:val="right"/>
              <w:rPr>
                <w:rFonts w:ascii="Arial" w:hAnsi="Arial" w:cs="Arial" w:eastAsia="Arial" w:hint="default"/>
                <w:sz w:val="16"/>
                <w:szCs w:val="16"/>
              </w:rPr>
            </w:pPr>
            <w:r>
              <w:rPr>
                <w:rFonts w:ascii="Arial"/>
                <w:w w:val="98"/>
                <w:sz w:val="16"/>
              </w:rPr>
              <w:t>-</w:t>
            </w:r>
            <w:r>
              <w:rPr>
                <w:rFonts w:ascii="Arial"/>
                <w:sz w:val="16"/>
              </w:rPr>
            </w: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768" w:right="0"/>
              <w:jc w:val="left"/>
              <w:rPr>
                <w:rFonts w:ascii="宋体" w:hAnsi="宋体" w:cs="宋体" w:eastAsia="宋体" w:hint="default"/>
                <w:sz w:val="16"/>
                <w:szCs w:val="16"/>
              </w:rPr>
            </w:pPr>
            <w:r>
              <w:rPr>
                <w:rFonts w:ascii="宋体" w:hAnsi="宋体" w:cs="宋体" w:eastAsia="宋体" w:hint="default"/>
                <w:sz w:val="16"/>
                <w:szCs w:val="16"/>
              </w:rPr>
              <w:t>投资活动现金流入小计</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7"/>
              <w:jc w:val="right"/>
              <w:rPr>
                <w:rFonts w:ascii="Arial" w:hAnsi="Arial" w:cs="Arial" w:eastAsia="Arial" w:hint="default"/>
                <w:sz w:val="16"/>
                <w:szCs w:val="16"/>
              </w:rPr>
            </w:pPr>
            <w:r>
              <w:rPr>
                <w:rFonts w:ascii="Arial"/>
                <w:w w:val="95"/>
                <w:sz w:val="16"/>
              </w:rPr>
              <w:t>13,498,184,232</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7"/>
              <w:jc w:val="right"/>
              <w:rPr>
                <w:rFonts w:ascii="Arial" w:hAnsi="Arial" w:cs="Arial" w:eastAsia="Arial" w:hint="default"/>
                <w:sz w:val="16"/>
                <w:szCs w:val="16"/>
              </w:rPr>
            </w:pPr>
            <w:r>
              <w:rPr>
                <w:rFonts w:ascii="Arial"/>
                <w:w w:val="95"/>
                <w:sz w:val="16"/>
              </w:rPr>
              <w:t>10,800,747,729</w:t>
            </w:r>
            <w:r>
              <w:rPr>
                <w:rFonts w:ascii="Arial"/>
                <w:sz w:val="16"/>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6"/>
              <w:jc w:val="right"/>
              <w:rPr>
                <w:rFonts w:ascii="Arial" w:hAnsi="Arial" w:cs="Arial" w:eastAsia="Arial" w:hint="default"/>
                <w:sz w:val="16"/>
                <w:szCs w:val="16"/>
              </w:rPr>
            </w:pPr>
            <w:r>
              <w:rPr>
                <w:rFonts w:ascii="Arial"/>
                <w:w w:val="95"/>
                <w:sz w:val="16"/>
              </w:rPr>
              <w:t>1,801,506,250</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9"/>
              <w:jc w:val="right"/>
              <w:rPr>
                <w:rFonts w:ascii="Arial" w:hAnsi="Arial" w:cs="Arial" w:eastAsia="Arial" w:hint="default"/>
                <w:sz w:val="16"/>
                <w:szCs w:val="16"/>
              </w:rPr>
            </w:pPr>
            <w:r>
              <w:rPr>
                <w:rFonts w:ascii="Arial"/>
                <w:w w:val="95"/>
                <w:sz w:val="16"/>
              </w:rPr>
              <w:t>699,083,224</w:t>
            </w:r>
            <w:r>
              <w:rPr>
                <w:rFonts w:ascii="Arial"/>
                <w:sz w:val="16"/>
              </w:rPr>
            </w:r>
          </w:p>
        </w:tc>
      </w:tr>
      <w:tr>
        <w:trPr>
          <w:trHeight w:val="470"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before="32"/>
              <w:ind w:left="595" w:right="103" w:hanging="154"/>
              <w:jc w:val="left"/>
              <w:rPr>
                <w:rFonts w:ascii="宋体" w:hAnsi="宋体" w:cs="宋体" w:eastAsia="宋体" w:hint="default"/>
                <w:sz w:val="16"/>
                <w:szCs w:val="16"/>
              </w:rPr>
            </w:pPr>
            <w:r>
              <w:rPr>
                <w:rFonts w:ascii="宋体" w:hAnsi="宋体" w:cs="宋体" w:eastAsia="宋体" w:hint="default"/>
                <w:sz w:val="16"/>
                <w:szCs w:val="16"/>
              </w:rPr>
              <w:t>购建固定资产、无形资产和其他长期资产所支付</w:t>
            </w:r>
            <w:r>
              <w:rPr>
                <w:rFonts w:ascii="宋体" w:hAnsi="宋体" w:cs="宋体" w:eastAsia="宋体" w:hint="default"/>
                <w:w w:val="98"/>
                <w:sz w:val="16"/>
                <w:szCs w:val="16"/>
              </w:rPr>
              <w:t> </w:t>
            </w:r>
            <w:r>
              <w:rPr>
                <w:rFonts w:ascii="宋体" w:hAnsi="宋体" w:cs="宋体" w:eastAsia="宋体" w:hint="default"/>
                <w:sz w:val="16"/>
                <w:szCs w:val="16"/>
              </w:rPr>
              <w:t>的现金</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黑体" w:hAnsi="黑体" w:cs="黑体" w:eastAsia="黑体" w:hint="default"/>
                <w:sz w:val="20"/>
                <w:szCs w:val="20"/>
              </w:rPr>
            </w:pPr>
          </w:p>
          <w:p>
            <w:pPr>
              <w:pStyle w:val="TableParagraph"/>
              <w:spacing w:line="240" w:lineRule="auto"/>
              <w:ind w:right="53"/>
              <w:jc w:val="right"/>
              <w:rPr>
                <w:rFonts w:ascii="Arial" w:hAnsi="Arial" w:cs="Arial" w:eastAsia="Arial" w:hint="default"/>
                <w:sz w:val="16"/>
                <w:szCs w:val="16"/>
              </w:rPr>
            </w:pPr>
            <w:r>
              <w:rPr>
                <w:rFonts w:ascii="Arial"/>
                <w:w w:val="95"/>
                <w:sz w:val="16"/>
              </w:rPr>
              <w:t>(60,366,712,823)</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黑体" w:hAnsi="黑体" w:cs="黑体" w:eastAsia="黑体" w:hint="default"/>
                <w:sz w:val="20"/>
                <w:szCs w:val="20"/>
              </w:rPr>
            </w:pPr>
          </w:p>
          <w:p>
            <w:pPr>
              <w:pStyle w:val="TableParagraph"/>
              <w:spacing w:line="240" w:lineRule="auto"/>
              <w:ind w:left="422" w:right="0"/>
              <w:jc w:val="left"/>
              <w:rPr>
                <w:rFonts w:ascii="Arial" w:hAnsi="Arial" w:cs="Arial" w:eastAsia="Arial" w:hint="default"/>
                <w:sz w:val="16"/>
                <w:szCs w:val="16"/>
              </w:rPr>
            </w:pPr>
            <w:r>
              <w:rPr>
                <w:rFonts w:ascii="Arial"/>
                <w:sz w:val="16"/>
              </w:rPr>
              <w:t>(56,823,254,789)</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黑体" w:hAnsi="黑体" w:cs="黑体" w:eastAsia="黑体" w:hint="default"/>
                <w:sz w:val="20"/>
                <w:szCs w:val="20"/>
              </w:rPr>
            </w:pPr>
          </w:p>
          <w:p>
            <w:pPr>
              <w:pStyle w:val="TableParagraph"/>
              <w:spacing w:line="240" w:lineRule="auto"/>
              <w:ind w:right="94"/>
              <w:jc w:val="right"/>
              <w:rPr>
                <w:rFonts w:ascii="Arial" w:hAnsi="Arial" w:cs="Arial" w:eastAsia="Arial" w:hint="default"/>
                <w:sz w:val="16"/>
                <w:szCs w:val="16"/>
              </w:rPr>
            </w:pPr>
            <w:r>
              <w:rPr>
                <w:rFonts w:ascii="Arial"/>
                <w:w w:val="98"/>
                <w:sz w:val="16"/>
              </w:rPr>
              <w:t>-</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黑体" w:hAnsi="黑体" w:cs="黑体" w:eastAsia="黑体" w:hint="default"/>
                <w:sz w:val="20"/>
                <w:szCs w:val="20"/>
              </w:rPr>
            </w:pPr>
          </w:p>
          <w:p>
            <w:pPr>
              <w:pStyle w:val="TableParagraph"/>
              <w:spacing w:line="240" w:lineRule="auto"/>
              <w:ind w:right="94"/>
              <w:jc w:val="right"/>
              <w:rPr>
                <w:rFonts w:ascii="Arial" w:hAnsi="Arial" w:cs="Arial" w:eastAsia="Arial" w:hint="default"/>
                <w:sz w:val="16"/>
                <w:szCs w:val="16"/>
              </w:rPr>
            </w:pPr>
            <w:r>
              <w:rPr>
                <w:rFonts w:ascii="Arial"/>
                <w:w w:val="98"/>
                <w:sz w:val="16"/>
              </w:rPr>
              <w:t>-</w:t>
            </w:r>
            <w:r>
              <w:rPr>
                <w:rFonts w:ascii="Arial"/>
                <w:sz w:val="16"/>
              </w:rPr>
            </w:r>
          </w:p>
        </w:tc>
      </w:tr>
      <w:tr>
        <w:trPr>
          <w:trHeight w:val="254"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441" w:right="0"/>
              <w:jc w:val="left"/>
              <w:rPr>
                <w:rFonts w:ascii="宋体" w:hAnsi="宋体" w:cs="宋体" w:eastAsia="宋体" w:hint="default"/>
                <w:sz w:val="16"/>
                <w:szCs w:val="16"/>
              </w:rPr>
            </w:pPr>
            <w:r>
              <w:rPr>
                <w:rFonts w:ascii="宋体" w:hAnsi="宋体" w:cs="宋体" w:eastAsia="宋体" w:hint="default"/>
                <w:sz w:val="16"/>
                <w:szCs w:val="16"/>
              </w:rPr>
              <w:t>投资支付的现金</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51"/>
              <w:jc w:val="right"/>
              <w:rPr>
                <w:rFonts w:ascii="Arial" w:hAnsi="Arial" w:cs="Arial" w:eastAsia="Arial" w:hint="default"/>
                <w:sz w:val="16"/>
                <w:szCs w:val="16"/>
              </w:rPr>
            </w:pPr>
            <w:r>
              <w:rPr>
                <w:rFonts w:ascii="Arial"/>
                <w:w w:val="95"/>
                <w:sz w:val="16"/>
              </w:rPr>
              <w:t>(574,731,382)</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48"/>
              <w:jc w:val="right"/>
              <w:rPr>
                <w:rFonts w:ascii="Arial" w:hAnsi="Arial" w:cs="Arial" w:eastAsia="Arial" w:hint="default"/>
                <w:sz w:val="16"/>
                <w:szCs w:val="16"/>
              </w:rPr>
            </w:pPr>
            <w:r>
              <w:rPr>
                <w:rFonts w:ascii="Arial"/>
                <w:w w:val="95"/>
                <w:sz w:val="16"/>
              </w:rPr>
              <w:t>(1,556,010,002)</w:t>
            </w:r>
            <w:r>
              <w:rPr>
                <w:rFonts w:ascii="Arial"/>
                <w:sz w:val="16"/>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4"/>
              <w:jc w:val="right"/>
              <w:rPr>
                <w:rFonts w:ascii="Arial" w:hAnsi="Arial" w:cs="Arial" w:eastAsia="Arial" w:hint="default"/>
                <w:sz w:val="16"/>
                <w:szCs w:val="16"/>
              </w:rPr>
            </w:pPr>
            <w:r>
              <w:rPr>
                <w:rFonts w:ascii="Arial"/>
                <w:w w:val="98"/>
                <w:sz w:val="16"/>
              </w:rPr>
              <w:t>-</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4"/>
              <w:jc w:val="right"/>
              <w:rPr>
                <w:rFonts w:ascii="Arial" w:hAnsi="Arial" w:cs="Arial" w:eastAsia="Arial" w:hint="default"/>
                <w:sz w:val="16"/>
                <w:szCs w:val="16"/>
              </w:rPr>
            </w:pPr>
            <w:r>
              <w:rPr>
                <w:rFonts w:ascii="Arial"/>
                <w:w w:val="98"/>
                <w:sz w:val="16"/>
              </w:rPr>
              <w:t>-</w:t>
            </w:r>
            <w:r>
              <w:rPr>
                <w:rFonts w:ascii="Arial"/>
                <w:sz w:val="16"/>
              </w:rPr>
            </w: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41" w:right="0"/>
              <w:jc w:val="left"/>
              <w:rPr>
                <w:rFonts w:ascii="宋体" w:hAnsi="宋体" w:cs="宋体" w:eastAsia="宋体" w:hint="default"/>
                <w:sz w:val="16"/>
                <w:szCs w:val="16"/>
              </w:rPr>
            </w:pPr>
            <w:r>
              <w:rPr>
                <w:rFonts w:ascii="宋体" w:hAnsi="宋体" w:cs="宋体" w:eastAsia="宋体" w:hint="default"/>
                <w:sz w:val="16"/>
                <w:szCs w:val="16"/>
              </w:rPr>
              <w:t>支付其他与投资活动有关的现金</w:t>
            </w:r>
          </w:p>
        </w:tc>
        <w:tc>
          <w:tcPr>
            <w:tcW w:w="5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7" w:right="0"/>
              <w:jc w:val="left"/>
              <w:rPr>
                <w:rFonts w:ascii="Arial" w:hAnsi="Arial" w:cs="Arial" w:eastAsia="Arial" w:hint="default"/>
                <w:sz w:val="16"/>
                <w:szCs w:val="16"/>
              </w:rPr>
            </w:pPr>
            <w:r>
              <w:rPr>
                <w:rFonts w:ascii="宋体" w:hAnsi="宋体" w:cs="宋体" w:eastAsia="宋体" w:hint="default"/>
                <w:sz w:val="16"/>
                <w:szCs w:val="16"/>
              </w:rPr>
              <w:t>五</w:t>
            </w:r>
            <w:r>
              <w:rPr>
                <w:rFonts w:ascii="Arial" w:hAnsi="Arial" w:cs="Arial" w:eastAsia="Arial" w:hint="default"/>
                <w:sz w:val="16"/>
                <w:szCs w:val="16"/>
              </w:rPr>
              <w:t>(51)</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53"/>
              <w:jc w:val="right"/>
              <w:rPr>
                <w:rFonts w:ascii="Arial" w:hAnsi="Arial" w:cs="Arial" w:eastAsia="Arial" w:hint="default"/>
                <w:sz w:val="16"/>
                <w:szCs w:val="16"/>
              </w:rPr>
            </w:pPr>
            <w:r>
              <w:rPr>
                <w:rFonts w:ascii="Arial"/>
                <w:w w:val="95"/>
                <w:sz w:val="16"/>
              </w:rPr>
              <w:t>(11,434,000,000)</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22" w:right="0"/>
              <w:jc w:val="left"/>
              <w:rPr>
                <w:rFonts w:ascii="Arial" w:hAnsi="Arial" w:cs="Arial" w:eastAsia="Arial" w:hint="default"/>
                <w:sz w:val="16"/>
                <w:szCs w:val="16"/>
              </w:rPr>
            </w:pPr>
            <w:r>
              <w:rPr>
                <w:rFonts w:ascii="Arial"/>
                <w:sz w:val="16"/>
              </w:rPr>
              <w:t>(13,588,500,146)</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4"/>
              <w:jc w:val="right"/>
              <w:rPr>
                <w:rFonts w:ascii="Arial" w:hAnsi="Arial" w:cs="Arial" w:eastAsia="Arial" w:hint="default"/>
                <w:sz w:val="16"/>
                <w:szCs w:val="16"/>
              </w:rPr>
            </w:pPr>
            <w:r>
              <w:rPr>
                <w:rFonts w:ascii="Arial"/>
                <w:w w:val="98"/>
                <w:sz w:val="16"/>
              </w:rPr>
              <w:t>-</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52"/>
              <w:jc w:val="right"/>
              <w:rPr>
                <w:rFonts w:ascii="Arial" w:hAnsi="Arial" w:cs="Arial" w:eastAsia="Arial" w:hint="default"/>
                <w:sz w:val="16"/>
                <w:szCs w:val="16"/>
              </w:rPr>
            </w:pPr>
            <w:r>
              <w:rPr>
                <w:rFonts w:ascii="Arial"/>
                <w:w w:val="95"/>
                <w:sz w:val="16"/>
              </w:rPr>
              <w:t>(3,042,122,315)</w:t>
            </w:r>
            <w:r>
              <w:rPr>
                <w:rFonts w:ascii="Arial"/>
                <w:sz w:val="16"/>
              </w:rPr>
            </w: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768" w:right="0"/>
              <w:jc w:val="left"/>
              <w:rPr>
                <w:rFonts w:ascii="宋体" w:hAnsi="宋体" w:cs="宋体" w:eastAsia="宋体" w:hint="default"/>
                <w:sz w:val="16"/>
                <w:szCs w:val="16"/>
              </w:rPr>
            </w:pPr>
            <w:r>
              <w:rPr>
                <w:rFonts w:ascii="宋体" w:hAnsi="宋体" w:cs="宋体" w:eastAsia="宋体" w:hint="default"/>
                <w:sz w:val="16"/>
                <w:szCs w:val="16"/>
              </w:rPr>
              <w:t>投资活动现金流出小计</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53"/>
              <w:jc w:val="right"/>
              <w:rPr>
                <w:rFonts w:ascii="Arial" w:hAnsi="Arial" w:cs="Arial" w:eastAsia="Arial" w:hint="default"/>
                <w:sz w:val="16"/>
                <w:szCs w:val="16"/>
              </w:rPr>
            </w:pPr>
            <w:r>
              <w:rPr>
                <w:rFonts w:ascii="Arial"/>
                <w:w w:val="95"/>
                <w:sz w:val="16"/>
              </w:rPr>
              <w:t>(72,375,444,205)</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left="422" w:right="0"/>
              <w:jc w:val="left"/>
              <w:rPr>
                <w:rFonts w:ascii="Arial" w:hAnsi="Arial" w:cs="Arial" w:eastAsia="Arial" w:hint="default"/>
                <w:sz w:val="16"/>
                <w:szCs w:val="16"/>
              </w:rPr>
            </w:pPr>
            <w:r>
              <w:rPr>
                <w:rFonts w:ascii="Arial"/>
                <w:sz w:val="16"/>
              </w:rPr>
              <w:t>(71,967,764,937)</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4"/>
              <w:jc w:val="right"/>
              <w:rPr>
                <w:rFonts w:ascii="Arial" w:hAnsi="Arial" w:cs="Arial" w:eastAsia="Arial" w:hint="default"/>
                <w:sz w:val="16"/>
                <w:szCs w:val="16"/>
              </w:rPr>
            </w:pPr>
            <w:r>
              <w:rPr>
                <w:rFonts w:ascii="Arial"/>
                <w:w w:val="98"/>
                <w:sz w:val="16"/>
              </w:rPr>
              <w:t>-</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52"/>
              <w:jc w:val="right"/>
              <w:rPr>
                <w:rFonts w:ascii="Arial" w:hAnsi="Arial" w:cs="Arial" w:eastAsia="Arial" w:hint="default"/>
                <w:sz w:val="16"/>
                <w:szCs w:val="16"/>
              </w:rPr>
            </w:pPr>
            <w:r>
              <w:rPr>
                <w:rFonts w:ascii="Arial"/>
                <w:w w:val="95"/>
                <w:sz w:val="16"/>
              </w:rPr>
              <w:t>(3,042,122,315)</w:t>
            </w:r>
            <w:r>
              <w:rPr>
                <w:rFonts w:ascii="Arial"/>
                <w:sz w:val="16"/>
              </w:rPr>
            </w: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441" w:right="0"/>
              <w:jc w:val="left"/>
              <w:rPr>
                <w:rFonts w:ascii="宋体" w:hAnsi="宋体" w:cs="宋体" w:eastAsia="宋体" w:hint="default"/>
                <w:sz w:val="16"/>
                <w:szCs w:val="16"/>
              </w:rPr>
            </w:pPr>
            <w:r>
              <w:rPr>
                <w:rFonts w:ascii="宋体" w:hAnsi="宋体" w:cs="宋体" w:eastAsia="宋体" w:hint="default"/>
                <w:sz w:val="16"/>
                <w:szCs w:val="16"/>
              </w:rPr>
              <w:t>投资活动产生的现金流量净额</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50"/>
              <w:jc w:val="right"/>
              <w:rPr>
                <w:rFonts w:ascii="Arial" w:hAnsi="Arial" w:cs="Arial" w:eastAsia="Arial" w:hint="default"/>
                <w:sz w:val="16"/>
                <w:szCs w:val="16"/>
              </w:rPr>
            </w:pPr>
            <w:r>
              <w:rPr>
                <w:rFonts w:ascii="Arial"/>
                <w:w w:val="95"/>
                <w:sz w:val="16"/>
              </w:rPr>
              <w:t>(58,877,259,973)</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left="422" w:right="0"/>
              <w:jc w:val="left"/>
              <w:rPr>
                <w:rFonts w:ascii="Arial" w:hAnsi="Arial" w:cs="Arial" w:eastAsia="Arial" w:hint="default"/>
                <w:sz w:val="16"/>
                <w:szCs w:val="16"/>
              </w:rPr>
            </w:pPr>
            <w:r>
              <w:rPr>
                <w:rFonts w:ascii="Arial"/>
                <w:sz w:val="16"/>
              </w:rPr>
              <w:t>(61,167,017,208)</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6"/>
              <w:jc w:val="right"/>
              <w:rPr>
                <w:rFonts w:ascii="Arial" w:hAnsi="Arial" w:cs="Arial" w:eastAsia="Arial" w:hint="default"/>
                <w:sz w:val="16"/>
                <w:szCs w:val="16"/>
              </w:rPr>
            </w:pPr>
            <w:r>
              <w:rPr>
                <w:rFonts w:ascii="Arial"/>
                <w:w w:val="95"/>
                <w:sz w:val="16"/>
              </w:rPr>
              <w:t>1,801,506,250</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52"/>
              <w:jc w:val="right"/>
              <w:rPr>
                <w:rFonts w:ascii="Arial" w:hAnsi="Arial" w:cs="Arial" w:eastAsia="Arial" w:hint="default"/>
                <w:sz w:val="16"/>
                <w:szCs w:val="16"/>
              </w:rPr>
            </w:pPr>
            <w:r>
              <w:rPr>
                <w:rFonts w:ascii="Arial"/>
                <w:w w:val="95"/>
                <w:sz w:val="16"/>
              </w:rPr>
              <w:t>(2,343,039,091)</w:t>
            </w:r>
            <w:r>
              <w:rPr>
                <w:rFonts w:ascii="Arial"/>
                <w:sz w:val="16"/>
              </w:rPr>
            </w:r>
          </w:p>
        </w:tc>
      </w:tr>
      <w:tr>
        <w:trPr>
          <w:trHeight w:val="254"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105" w:right="0"/>
              <w:jc w:val="left"/>
              <w:rPr>
                <w:rFonts w:ascii="宋体" w:hAnsi="宋体" w:cs="宋体" w:eastAsia="宋体" w:hint="default"/>
                <w:sz w:val="16"/>
                <w:szCs w:val="16"/>
              </w:rPr>
            </w:pPr>
            <w:r>
              <w:rPr>
                <w:rFonts w:ascii="宋体" w:hAnsi="宋体" w:cs="宋体" w:eastAsia="宋体" w:hint="default"/>
                <w:sz w:val="16"/>
                <w:szCs w:val="16"/>
              </w:rPr>
              <w:t>三、筹资活动产生的现金流量</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699" w:type="dxa"/>
            <w:tcBorders>
              <w:top w:val="single" w:sz="6" w:space="0" w:color="000000"/>
              <w:left w:val="single" w:sz="6" w:space="0" w:color="000000"/>
              <w:bottom w:val="single" w:sz="6" w:space="0" w:color="000000"/>
              <w:right w:val="single" w:sz="6" w:space="0" w:color="000000"/>
            </w:tcBorders>
          </w:tcPr>
          <w:p>
            <w:pPr/>
          </w:p>
        </w:tc>
        <w:tc>
          <w:tcPr>
            <w:tcW w:w="1267" w:type="dxa"/>
            <w:tcBorders>
              <w:top w:val="single" w:sz="6" w:space="0" w:color="000000"/>
              <w:left w:val="single" w:sz="6" w:space="0" w:color="000000"/>
              <w:bottom w:val="single" w:sz="6" w:space="0" w:color="000000"/>
              <w:right w:val="single" w:sz="6" w:space="0" w:color="000000"/>
            </w:tcBorders>
          </w:tcPr>
          <w:p>
            <w:pPr/>
          </w:p>
        </w:tc>
        <w:tc>
          <w:tcPr>
            <w:tcW w:w="1272" w:type="dxa"/>
            <w:tcBorders>
              <w:top w:val="single" w:sz="6" w:space="0" w:color="000000"/>
              <w:left w:val="single" w:sz="6" w:space="0" w:color="000000"/>
              <w:bottom w:val="single" w:sz="6" w:space="0" w:color="000000"/>
              <w:right w:val="single" w:sz="6" w:space="0" w:color="000000"/>
            </w:tcBorders>
          </w:tcPr>
          <w:p>
            <w:pP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41" w:right="0"/>
              <w:jc w:val="left"/>
              <w:rPr>
                <w:rFonts w:ascii="宋体" w:hAnsi="宋体" w:cs="宋体" w:eastAsia="宋体" w:hint="default"/>
                <w:sz w:val="16"/>
                <w:szCs w:val="16"/>
              </w:rPr>
            </w:pPr>
            <w:r>
              <w:rPr>
                <w:rFonts w:ascii="宋体" w:hAnsi="宋体" w:cs="宋体" w:eastAsia="宋体" w:hint="default"/>
                <w:sz w:val="16"/>
                <w:szCs w:val="16"/>
              </w:rPr>
              <w:t>吸收投资收到的现金</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6"/>
              <w:jc w:val="right"/>
              <w:rPr>
                <w:rFonts w:ascii="Arial" w:hAnsi="Arial" w:cs="Arial" w:eastAsia="Arial" w:hint="default"/>
                <w:sz w:val="16"/>
                <w:szCs w:val="16"/>
              </w:rPr>
            </w:pPr>
            <w:r>
              <w:rPr>
                <w:rFonts w:ascii="Arial"/>
                <w:w w:val="95"/>
                <w:sz w:val="16"/>
              </w:rPr>
              <w:t>557,221,240</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6"/>
              <w:jc w:val="right"/>
              <w:rPr>
                <w:rFonts w:ascii="Arial" w:hAnsi="Arial" w:cs="Arial" w:eastAsia="Arial" w:hint="default"/>
                <w:sz w:val="16"/>
                <w:szCs w:val="16"/>
              </w:rPr>
            </w:pPr>
            <w:r>
              <w:rPr>
                <w:rFonts w:ascii="Arial"/>
                <w:w w:val="95"/>
                <w:sz w:val="16"/>
              </w:rPr>
              <w:t>3,016,033,190</w:t>
            </w:r>
            <w:r>
              <w:rPr>
                <w:rFonts w:ascii="Arial"/>
                <w:sz w:val="16"/>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7"/>
              <w:jc w:val="right"/>
              <w:rPr>
                <w:rFonts w:ascii="Arial" w:hAnsi="Arial" w:cs="Arial" w:eastAsia="Arial" w:hint="default"/>
                <w:sz w:val="16"/>
                <w:szCs w:val="16"/>
              </w:rPr>
            </w:pPr>
            <w:r>
              <w:rPr>
                <w:rFonts w:ascii="Arial"/>
                <w:w w:val="95"/>
                <w:sz w:val="16"/>
              </w:rPr>
              <w:t>49,861,240</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6"/>
              <w:jc w:val="right"/>
              <w:rPr>
                <w:rFonts w:ascii="Arial" w:hAnsi="Arial" w:cs="Arial" w:eastAsia="Arial" w:hint="default"/>
                <w:sz w:val="16"/>
                <w:szCs w:val="16"/>
              </w:rPr>
            </w:pPr>
            <w:r>
              <w:rPr>
                <w:rFonts w:ascii="Arial"/>
                <w:w w:val="95"/>
                <w:sz w:val="16"/>
              </w:rPr>
              <w:t>3,008,733,190</w:t>
            </w:r>
            <w:r>
              <w:rPr>
                <w:rFonts w:ascii="Arial"/>
                <w:sz w:val="16"/>
              </w:rPr>
            </w:r>
          </w:p>
        </w:tc>
      </w:tr>
      <w:tr>
        <w:trPr>
          <w:trHeight w:val="264"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441" w:right="0"/>
              <w:jc w:val="left"/>
              <w:rPr>
                <w:rFonts w:ascii="宋体" w:hAnsi="宋体" w:cs="宋体" w:eastAsia="宋体" w:hint="default"/>
                <w:sz w:val="16"/>
                <w:szCs w:val="16"/>
              </w:rPr>
            </w:pPr>
            <w:r>
              <w:rPr>
                <w:rFonts w:ascii="宋体" w:hAnsi="宋体" w:cs="宋体" w:eastAsia="宋体" w:hint="default"/>
                <w:sz w:val="16"/>
                <w:szCs w:val="16"/>
              </w:rPr>
              <w:t>其中：子公司吸收少数股东投资收到的现金</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99"/>
              <w:jc w:val="right"/>
              <w:rPr>
                <w:rFonts w:ascii="Arial" w:hAnsi="Arial" w:cs="Arial" w:eastAsia="Arial" w:hint="default"/>
                <w:sz w:val="16"/>
                <w:szCs w:val="16"/>
              </w:rPr>
            </w:pPr>
            <w:r>
              <w:rPr>
                <w:rFonts w:ascii="Arial"/>
                <w:w w:val="95"/>
                <w:sz w:val="16"/>
              </w:rPr>
              <w:t>507,360,000</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99"/>
              <w:jc w:val="right"/>
              <w:rPr>
                <w:rFonts w:ascii="Arial" w:hAnsi="Arial" w:cs="Arial" w:eastAsia="Arial" w:hint="default"/>
                <w:sz w:val="16"/>
                <w:szCs w:val="16"/>
              </w:rPr>
            </w:pPr>
            <w:r>
              <w:rPr>
                <w:rFonts w:ascii="Arial"/>
                <w:spacing w:val="-1"/>
                <w:sz w:val="16"/>
              </w:rPr>
              <w:t>7,300,000</w:t>
            </w:r>
            <w:r>
              <w:rPr>
                <w:rFonts w:ascii="Arial"/>
                <w:sz w:val="16"/>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94"/>
              <w:jc w:val="right"/>
              <w:rPr>
                <w:rFonts w:ascii="Arial" w:hAnsi="Arial" w:cs="Arial" w:eastAsia="Arial" w:hint="default"/>
                <w:sz w:val="16"/>
                <w:szCs w:val="16"/>
              </w:rPr>
            </w:pPr>
            <w:r>
              <w:rPr>
                <w:rFonts w:ascii="Arial"/>
                <w:w w:val="98"/>
                <w:sz w:val="16"/>
              </w:rPr>
              <w:t>-</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94"/>
              <w:jc w:val="right"/>
              <w:rPr>
                <w:rFonts w:ascii="Arial" w:hAnsi="Arial" w:cs="Arial" w:eastAsia="Arial" w:hint="default"/>
                <w:sz w:val="16"/>
                <w:szCs w:val="16"/>
              </w:rPr>
            </w:pPr>
            <w:r>
              <w:rPr>
                <w:rFonts w:ascii="Arial"/>
                <w:w w:val="98"/>
                <w:sz w:val="16"/>
              </w:rPr>
              <w:t>-</w:t>
            </w:r>
            <w:r>
              <w:rPr>
                <w:rFonts w:ascii="Arial"/>
                <w:sz w:val="16"/>
              </w:rPr>
            </w: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41" w:right="0"/>
              <w:jc w:val="left"/>
              <w:rPr>
                <w:rFonts w:ascii="宋体" w:hAnsi="宋体" w:cs="宋体" w:eastAsia="宋体" w:hint="default"/>
                <w:sz w:val="16"/>
                <w:szCs w:val="16"/>
              </w:rPr>
            </w:pPr>
            <w:r>
              <w:rPr>
                <w:rFonts w:ascii="宋体" w:hAnsi="宋体" w:cs="宋体" w:eastAsia="宋体" w:hint="default"/>
                <w:sz w:val="16"/>
                <w:szCs w:val="16"/>
              </w:rPr>
              <w:t>取得借款收到的现金</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7"/>
              <w:jc w:val="right"/>
              <w:rPr>
                <w:rFonts w:ascii="Arial" w:hAnsi="Arial" w:cs="Arial" w:eastAsia="Arial" w:hint="default"/>
                <w:sz w:val="16"/>
                <w:szCs w:val="16"/>
              </w:rPr>
            </w:pPr>
            <w:r>
              <w:rPr>
                <w:rFonts w:ascii="Arial"/>
                <w:w w:val="95"/>
                <w:sz w:val="16"/>
              </w:rPr>
              <w:t>40,581,236,862</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7"/>
              <w:jc w:val="right"/>
              <w:rPr>
                <w:rFonts w:ascii="Arial" w:hAnsi="Arial" w:cs="Arial" w:eastAsia="Arial" w:hint="default"/>
                <w:sz w:val="16"/>
                <w:szCs w:val="16"/>
              </w:rPr>
            </w:pPr>
            <w:r>
              <w:rPr>
                <w:rFonts w:ascii="Arial"/>
                <w:w w:val="95"/>
                <w:sz w:val="16"/>
              </w:rPr>
              <w:t>53,287,325,382</w:t>
            </w:r>
            <w:r>
              <w:rPr>
                <w:rFonts w:ascii="Arial"/>
                <w:sz w:val="16"/>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4"/>
              <w:jc w:val="right"/>
              <w:rPr>
                <w:rFonts w:ascii="Arial" w:hAnsi="Arial" w:cs="Arial" w:eastAsia="Arial" w:hint="default"/>
                <w:sz w:val="16"/>
                <w:szCs w:val="16"/>
              </w:rPr>
            </w:pPr>
            <w:r>
              <w:rPr>
                <w:rFonts w:ascii="Arial"/>
                <w:w w:val="98"/>
                <w:sz w:val="16"/>
              </w:rPr>
              <w:t>-</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4"/>
              <w:jc w:val="right"/>
              <w:rPr>
                <w:rFonts w:ascii="Arial" w:hAnsi="Arial" w:cs="Arial" w:eastAsia="Arial" w:hint="default"/>
                <w:sz w:val="16"/>
                <w:szCs w:val="16"/>
              </w:rPr>
            </w:pPr>
            <w:r>
              <w:rPr>
                <w:rFonts w:ascii="Arial"/>
                <w:w w:val="98"/>
                <w:sz w:val="16"/>
              </w:rPr>
              <w:t>-</w:t>
            </w:r>
            <w:r>
              <w:rPr>
                <w:rFonts w:ascii="Arial"/>
                <w:sz w:val="16"/>
              </w:rPr>
            </w: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41" w:right="0"/>
              <w:jc w:val="left"/>
              <w:rPr>
                <w:rFonts w:ascii="宋体" w:hAnsi="宋体" w:cs="宋体" w:eastAsia="宋体" w:hint="default"/>
                <w:sz w:val="16"/>
                <w:szCs w:val="16"/>
              </w:rPr>
            </w:pPr>
            <w:r>
              <w:rPr>
                <w:rFonts w:ascii="宋体" w:hAnsi="宋体" w:cs="宋体" w:eastAsia="宋体" w:hint="default"/>
                <w:sz w:val="16"/>
                <w:szCs w:val="16"/>
              </w:rPr>
              <w:t>收到其他与筹资活动有关的现金</w:t>
            </w:r>
          </w:p>
        </w:tc>
        <w:tc>
          <w:tcPr>
            <w:tcW w:w="5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7" w:right="0"/>
              <w:jc w:val="left"/>
              <w:rPr>
                <w:rFonts w:ascii="Arial" w:hAnsi="Arial" w:cs="Arial" w:eastAsia="Arial" w:hint="default"/>
                <w:sz w:val="16"/>
                <w:szCs w:val="16"/>
              </w:rPr>
            </w:pPr>
            <w:r>
              <w:rPr>
                <w:rFonts w:ascii="宋体" w:hAnsi="宋体" w:cs="宋体" w:eastAsia="宋体" w:hint="default"/>
                <w:sz w:val="16"/>
                <w:szCs w:val="16"/>
              </w:rPr>
              <w:t>五</w:t>
            </w:r>
            <w:r>
              <w:rPr>
                <w:rFonts w:ascii="Arial" w:hAnsi="Arial" w:cs="Arial" w:eastAsia="Arial" w:hint="default"/>
                <w:sz w:val="16"/>
                <w:szCs w:val="16"/>
              </w:rPr>
              <w:t>(51)</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4"/>
              <w:jc w:val="right"/>
              <w:rPr>
                <w:rFonts w:ascii="Arial" w:hAnsi="Arial" w:cs="Arial" w:eastAsia="Arial" w:hint="default"/>
                <w:sz w:val="16"/>
                <w:szCs w:val="16"/>
              </w:rPr>
            </w:pPr>
            <w:r>
              <w:rPr>
                <w:rFonts w:ascii="Arial"/>
                <w:w w:val="98"/>
                <w:sz w:val="16"/>
              </w:rPr>
              <w:t>-</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6"/>
              <w:jc w:val="right"/>
              <w:rPr>
                <w:rFonts w:ascii="Arial" w:hAnsi="Arial" w:cs="Arial" w:eastAsia="Arial" w:hint="default"/>
                <w:sz w:val="16"/>
                <w:szCs w:val="16"/>
              </w:rPr>
            </w:pPr>
            <w:r>
              <w:rPr>
                <w:rFonts w:ascii="Arial"/>
                <w:w w:val="95"/>
                <w:sz w:val="16"/>
              </w:rPr>
              <w:t>2,233,338,088</w:t>
            </w:r>
            <w:r>
              <w:rPr>
                <w:rFonts w:ascii="Arial"/>
                <w:sz w:val="16"/>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4"/>
              <w:jc w:val="right"/>
              <w:rPr>
                <w:rFonts w:ascii="Arial" w:hAnsi="Arial" w:cs="Arial" w:eastAsia="Arial" w:hint="default"/>
                <w:sz w:val="16"/>
                <w:szCs w:val="16"/>
              </w:rPr>
            </w:pPr>
            <w:r>
              <w:rPr>
                <w:rFonts w:ascii="Arial"/>
                <w:w w:val="98"/>
                <w:sz w:val="16"/>
              </w:rPr>
              <w:t>-</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4"/>
              <w:jc w:val="right"/>
              <w:rPr>
                <w:rFonts w:ascii="Arial" w:hAnsi="Arial" w:cs="Arial" w:eastAsia="Arial" w:hint="default"/>
                <w:sz w:val="16"/>
                <w:szCs w:val="16"/>
              </w:rPr>
            </w:pPr>
            <w:r>
              <w:rPr>
                <w:rFonts w:ascii="Arial"/>
                <w:w w:val="98"/>
                <w:sz w:val="16"/>
              </w:rPr>
              <w:t>-</w:t>
            </w:r>
            <w:r>
              <w:rPr>
                <w:rFonts w:ascii="Arial"/>
                <w:sz w:val="16"/>
              </w:rPr>
            </w: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768" w:right="0"/>
              <w:jc w:val="left"/>
              <w:rPr>
                <w:rFonts w:ascii="宋体" w:hAnsi="宋体" w:cs="宋体" w:eastAsia="宋体" w:hint="default"/>
                <w:sz w:val="16"/>
                <w:szCs w:val="16"/>
              </w:rPr>
            </w:pPr>
            <w:r>
              <w:rPr>
                <w:rFonts w:ascii="宋体" w:hAnsi="宋体" w:cs="宋体" w:eastAsia="宋体" w:hint="default"/>
                <w:sz w:val="16"/>
                <w:szCs w:val="16"/>
              </w:rPr>
              <w:t>筹资活动现金流入小计</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7"/>
              <w:jc w:val="right"/>
              <w:rPr>
                <w:rFonts w:ascii="Arial" w:hAnsi="Arial" w:cs="Arial" w:eastAsia="Arial" w:hint="default"/>
                <w:sz w:val="16"/>
                <w:szCs w:val="16"/>
              </w:rPr>
            </w:pPr>
            <w:r>
              <w:rPr>
                <w:rFonts w:ascii="Arial"/>
                <w:w w:val="95"/>
                <w:sz w:val="16"/>
              </w:rPr>
              <w:t>41,138,458,102</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7"/>
              <w:jc w:val="right"/>
              <w:rPr>
                <w:rFonts w:ascii="Arial" w:hAnsi="Arial" w:cs="Arial" w:eastAsia="Arial" w:hint="default"/>
                <w:sz w:val="16"/>
                <w:szCs w:val="16"/>
              </w:rPr>
            </w:pPr>
            <w:r>
              <w:rPr>
                <w:rFonts w:ascii="Arial"/>
                <w:w w:val="95"/>
                <w:sz w:val="16"/>
              </w:rPr>
              <w:t>58,536,696,660</w:t>
            </w:r>
            <w:r>
              <w:rPr>
                <w:rFonts w:ascii="Arial"/>
                <w:sz w:val="16"/>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7"/>
              <w:jc w:val="right"/>
              <w:rPr>
                <w:rFonts w:ascii="Arial" w:hAnsi="Arial" w:cs="Arial" w:eastAsia="Arial" w:hint="default"/>
                <w:sz w:val="16"/>
                <w:szCs w:val="16"/>
              </w:rPr>
            </w:pPr>
            <w:r>
              <w:rPr>
                <w:rFonts w:ascii="Arial"/>
                <w:w w:val="95"/>
                <w:sz w:val="16"/>
              </w:rPr>
              <w:t>49,861,240</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6"/>
              <w:jc w:val="right"/>
              <w:rPr>
                <w:rFonts w:ascii="Arial" w:hAnsi="Arial" w:cs="Arial" w:eastAsia="Arial" w:hint="default"/>
                <w:sz w:val="16"/>
                <w:szCs w:val="16"/>
              </w:rPr>
            </w:pPr>
            <w:r>
              <w:rPr>
                <w:rFonts w:ascii="Arial"/>
                <w:w w:val="95"/>
                <w:sz w:val="16"/>
              </w:rPr>
              <w:t>3,008,733,190</w:t>
            </w:r>
            <w:r>
              <w:rPr>
                <w:rFonts w:ascii="Arial"/>
                <w:sz w:val="16"/>
              </w:rPr>
            </w:r>
          </w:p>
        </w:tc>
      </w:tr>
      <w:tr>
        <w:trPr>
          <w:trHeight w:val="254"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441" w:right="0"/>
              <w:jc w:val="left"/>
              <w:rPr>
                <w:rFonts w:ascii="宋体" w:hAnsi="宋体" w:cs="宋体" w:eastAsia="宋体" w:hint="default"/>
                <w:sz w:val="16"/>
                <w:szCs w:val="16"/>
              </w:rPr>
            </w:pPr>
            <w:r>
              <w:rPr>
                <w:rFonts w:ascii="宋体" w:hAnsi="宋体" w:cs="宋体" w:eastAsia="宋体" w:hint="default"/>
                <w:sz w:val="16"/>
                <w:szCs w:val="16"/>
              </w:rPr>
              <w:t>偿还债务支付的现金</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53"/>
              <w:jc w:val="right"/>
              <w:rPr>
                <w:rFonts w:ascii="Arial" w:hAnsi="Arial" w:cs="Arial" w:eastAsia="Arial" w:hint="default"/>
                <w:sz w:val="16"/>
                <w:szCs w:val="16"/>
              </w:rPr>
            </w:pPr>
            <w:r>
              <w:rPr>
                <w:rFonts w:ascii="Arial"/>
                <w:w w:val="95"/>
                <w:sz w:val="16"/>
              </w:rPr>
              <w:t>(66,878,971,703)</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left="422" w:right="0"/>
              <w:jc w:val="left"/>
              <w:rPr>
                <w:rFonts w:ascii="Arial" w:hAnsi="Arial" w:cs="Arial" w:eastAsia="Arial" w:hint="default"/>
                <w:sz w:val="16"/>
                <w:szCs w:val="16"/>
              </w:rPr>
            </w:pPr>
            <w:r>
              <w:rPr>
                <w:rFonts w:ascii="Arial"/>
                <w:sz w:val="16"/>
              </w:rPr>
              <w:t>(90,468,088,413)</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4"/>
              <w:jc w:val="right"/>
              <w:rPr>
                <w:rFonts w:ascii="Arial" w:hAnsi="Arial" w:cs="Arial" w:eastAsia="Arial" w:hint="default"/>
                <w:sz w:val="16"/>
                <w:szCs w:val="16"/>
              </w:rPr>
            </w:pPr>
            <w:r>
              <w:rPr>
                <w:rFonts w:ascii="Arial"/>
                <w:w w:val="98"/>
                <w:sz w:val="16"/>
              </w:rPr>
              <w:t>-</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4"/>
              <w:jc w:val="right"/>
              <w:rPr>
                <w:rFonts w:ascii="Arial" w:hAnsi="Arial" w:cs="Arial" w:eastAsia="Arial" w:hint="default"/>
                <w:sz w:val="16"/>
                <w:szCs w:val="16"/>
              </w:rPr>
            </w:pPr>
            <w:r>
              <w:rPr>
                <w:rFonts w:ascii="Arial"/>
                <w:w w:val="98"/>
                <w:sz w:val="16"/>
              </w:rPr>
              <w:t>-</w:t>
            </w:r>
            <w:r>
              <w:rPr>
                <w:rFonts w:ascii="Arial"/>
                <w:sz w:val="16"/>
              </w:rPr>
            </w: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41" w:right="0"/>
              <w:jc w:val="left"/>
              <w:rPr>
                <w:rFonts w:ascii="宋体" w:hAnsi="宋体" w:cs="宋体" w:eastAsia="宋体" w:hint="default"/>
                <w:sz w:val="16"/>
                <w:szCs w:val="16"/>
              </w:rPr>
            </w:pPr>
            <w:r>
              <w:rPr>
                <w:rFonts w:ascii="宋体" w:hAnsi="宋体" w:cs="宋体" w:eastAsia="宋体" w:hint="default"/>
                <w:sz w:val="16"/>
                <w:szCs w:val="16"/>
              </w:rPr>
              <w:t>分配股利或偿付利息所支付的现金</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52"/>
              <w:jc w:val="right"/>
              <w:rPr>
                <w:rFonts w:ascii="Arial" w:hAnsi="Arial" w:cs="Arial" w:eastAsia="Arial" w:hint="default"/>
                <w:sz w:val="16"/>
                <w:szCs w:val="16"/>
              </w:rPr>
            </w:pPr>
            <w:r>
              <w:rPr>
                <w:rFonts w:ascii="Arial"/>
                <w:w w:val="95"/>
                <w:sz w:val="16"/>
              </w:rPr>
              <w:t>(6,315,227,479)</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48"/>
              <w:jc w:val="right"/>
              <w:rPr>
                <w:rFonts w:ascii="Arial" w:hAnsi="Arial" w:cs="Arial" w:eastAsia="Arial" w:hint="default"/>
                <w:sz w:val="16"/>
                <w:szCs w:val="16"/>
              </w:rPr>
            </w:pPr>
            <w:r>
              <w:rPr>
                <w:rFonts w:ascii="Arial"/>
                <w:w w:val="95"/>
                <w:sz w:val="16"/>
              </w:rPr>
              <w:t>(3,938,559,553)</w:t>
            </w:r>
            <w:r>
              <w:rPr>
                <w:rFonts w:ascii="Arial"/>
                <w:sz w:val="16"/>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48"/>
              <w:jc w:val="right"/>
              <w:rPr>
                <w:rFonts w:ascii="Arial" w:hAnsi="Arial" w:cs="Arial" w:eastAsia="Arial" w:hint="default"/>
                <w:sz w:val="16"/>
                <w:szCs w:val="16"/>
              </w:rPr>
            </w:pPr>
            <w:r>
              <w:rPr>
                <w:rFonts w:ascii="Arial"/>
                <w:w w:val="95"/>
                <w:sz w:val="16"/>
              </w:rPr>
              <w:t>(1,640,782,519)</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51"/>
              <w:jc w:val="right"/>
              <w:rPr>
                <w:rFonts w:ascii="Arial" w:hAnsi="Arial" w:cs="Arial" w:eastAsia="Arial" w:hint="default"/>
                <w:sz w:val="16"/>
                <w:szCs w:val="16"/>
              </w:rPr>
            </w:pPr>
            <w:r>
              <w:rPr>
                <w:rFonts w:ascii="Arial"/>
                <w:w w:val="95"/>
                <w:sz w:val="16"/>
              </w:rPr>
              <w:t>(614,350,671)</w:t>
            </w:r>
            <w:r>
              <w:rPr>
                <w:rFonts w:ascii="Arial"/>
                <w:sz w:val="16"/>
              </w:rPr>
            </w: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41" w:right="0"/>
              <w:jc w:val="left"/>
              <w:rPr>
                <w:rFonts w:ascii="宋体" w:hAnsi="宋体" w:cs="宋体" w:eastAsia="宋体" w:hint="default"/>
                <w:sz w:val="16"/>
                <w:szCs w:val="16"/>
              </w:rPr>
            </w:pPr>
            <w:r>
              <w:rPr>
                <w:rFonts w:ascii="宋体" w:hAnsi="宋体" w:cs="宋体" w:eastAsia="宋体" w:hint="default"/>
                <w:sz w:val="16"/>
                <w:szCs w:val="16"/>
              </w:rPr>
              <w:t>支付其他与筹资活动有关的现金</w:t>
            </w:r>
          </w:p>
        </w:tc>
        <w:tc>
          <w:tcPr>
            <w:tcW w:w="5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7" w:right="0"/>
              <w:jc w:val="left"/>
              <w:rPr>
                <w:rFonts w:ascii="Arial" w:hAnsi="Arial" w:cs="Arial" w:eastAsia="Arial" w:hint="default"/>
                <w:sz w:val="16"/>
                <w:szCs w:val="16"/>
              </w:rPr>
            </w:pPr>
            <w:r>
              <w:rPr>
                <w:rFonts w:ascii="宋体" w:hAnsi="宋体" w:cs="宋体" w:eastAsia="宋体" w:hint="default"/>
                <w:sz w:val="16"/>
                <w:szCs w:val="16"/>
              </w:rPr>
              <w:t>五</w:t>
            </w:r>
            <w:r>
              <w:rPr>
                <w:rFonts w:ascii="Arial" w:hAnsi="Arial" w:cs="Arial" w:eastAsia="Arial" w:hint="default"/>
                <w:sz w:val="16"/>
                <w:szCs w:val="16"/>
              </w:rPr>
              <w:t>(51)</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46"/>
              <w:jc w:val="right"/>
              <w:rPr>
                <w:rFonts w:ascii="Arial" w:hAnsi="Arial" w:cs="Arial" w:eastAsia="Arial" w:hint="default"/>
                <w:sz w:val="16"/>
                <w:szCs w:val="16"/>
              </w:rPr>
            </w:pPr>
            <w:r>
              <w:rPr>
                <w:rFonts w:ascii="Arial"/>
                <w:w w:val="95"/>
                <w:sz w:val="16"/>
              </w:rPr>
              <w:t>(413,756,507)</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46"/>
              <w:jc w:val="right"/>
              <w:rPr>
                <w:rFonts w:ascii="Arial" w:hAnsi="Arial" w:cs="Arial" w:eastAsia="Arial" w:hint="default"/>
                <w:sz w:val="16"/>
                <w:szCs w:val="16"/>
              </w:rPr>
            </w:pPr>
            <w:r>
              <w:rPr>
                <w:rFonts w:ascii="Arial"/>
                <w:w w:val="95"/>
                <w:sz w:val="16"/>
              </w:rPr>
              <w:t>(679,820,599)</w:t>
            </w:r>
            <w:r>
              <w:rPr>
                <w:rFonts w:ascii="Arial"/>
                <w:sz w:val="16"/>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46"/>
              <w:jc w:val="right"/>
              <w:rPr>
                <w:rFonts w:ascii="Arial" w:hAnsi="Arial" w:cs="Arial" w:eastAsia="Arial" w:hint="default"/>
                <w:sz w:val="16"/>
                <w:szCs w:val="16"/>
              </w:rPr>
            </w:pPr>
            <w:r>
              <w:rPr>
                <w:rFonts w:ascii="Arial"/>
                <w:w w:val="95"/>
                <w:sz w:val="16"/>
              </w:rPr>
              <w:t>(58,593,400)</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4"/>
              <w:jc w:val="right"/>
              <w:rPr>
                <w:rFonts w:ascii="Arial" w:hAnsi="Arial" w:cs="Arial" w:eastAsia="Arial" w:hint="default"/>
                <w:sz w:val="16"/>
                <w:szCs w:val="16"/>
              </w:rPr>
            </w:pPr>
            <w:r>
              <w:rPr>
                <w:rFonts w:ascii="Arial"/>
                <w:w w:val="98"/>
                <w:sz w:val="16"/>
              </w:rPr>
              <w:t>-</w:t>
            </w:r>
            <w:r>
              <w:rPr>
                <w:rFonts w:ascii="Arial"/>
                <w:sz w:val="16"/>
              </w:rPr>
            </w: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768" w:right="0"/>
              <w:jc w:val="left"/>
              <w:rPr>
                <w:rFonts w:ascii="宋体" w:hAnsi="宋体" w:cs="宋体" w:eastAsia="宋体" w:hint="default"/>
                <w:sz w:val="16"/>
                <w:szCs w:val="16"/>
              </w:rPr>
            </w:pPr>
            <w:r>
              <w:rPr>
                <w:rFonts w:ascii="宋体" w:hAnsi="宋体" w:cs="宋体" w:eastAsia="宋体" w:hint="default"/>
                <w:sz w:val="16"/>
                <w:szCs w:val="16"/>
              </w:rPr>
              <w:t>筹资活动现金流出小计</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50"/>
              <w:jc w:val="right"/>
              <w:rPr>
                <w:rFonts w:ascii="Arial" w:hAnsi="Arial" w:cs="Arial" w:eastAsia="Arial" w:hint="default"/>
                <w:sz w:val="16"/>
                <w:szCs w:val="16"/>
              </w:rPr>
            </w:pPr>
            <w:r>
              <w:rPr>
                <w:rFonts w:ascii="Arial"/>
                <w:w w:val="95"/>
                <w:sz w:val="16"/>
              </w:rPr>
              <w:t>(73,607,955,689)</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left="422" w:right="0"/>
              <w:jc w:val="left"/>
              <w:rPr>
                <w:rFonts w:ascii="Arial" w:hAnsi="Arial" w:cs="Arial" w:eastAsia="Arial" w:hint="default"/>
                <w:sz w:val="16"/>
                <w:szCs w:val="16"/>
              </w:rPr>
            </w:pPr>
            <w:r>
              <w:rPr>
                <w:rFonts w:ascii="Arial"/>
                <w:sz w:val="16"/>
              </w:rPr>
              <w:t>(95,086,468,565)</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41"/>
              <w:jc w:val="right"/>
              <w:rPr>
                <w:rFonts w:ascii="Arial" w:hAnsi="Arial" w:cs="Arial" w:eastAsia="Arial" w:hint="default"/>
                <w:sz w:val="16"/>
                <w:szCs w:val="16"/>
              </w:rPr>
            </w:pPr>
            <w:r>
              <w:rPr>
                <w:rFonts w:ascii="Arial"/>
                <w:w w:val="95"/>
                <w:sz w:val="16"/>
              </w:rPr>
              <w:t>(1,699,375,919)</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51"/>
              <w:jc w:val="right"/>
              <w:rPr>
                <w:rFonts w:ascii="Arial" w:hAnsi="Arial" w:cs="Arial" w:eastAsia="Arial" w:hint="default"/>
                <w:sz w:val="16"/>
                <w:szCs w:val="16"/>
              </w:rPr>
            </w:pPr>
            <w:r>
              <w:rPr>
                <w:rFonts w:ascii="Arial"/>
                <w:w w:val="95"/>
                <w:sz w:val="16"/>
              </w:rPr>
              <w:t>(614,350,671)</w:t>
            </w:r>
            <w:r>
              <w:rPr>
                <w:rFonts w:ascii="Arial"/>
                <w:sz w:val="16"/>
              </w:rPr>
            </w:r>
          </w:p>
        </w:tc>
      </w:tr>
      <w:tr>
        <w:trPr>
          <w:trHeight w:val="254"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441" w:right="0"/>
              <w:jc w:val="left"/>
              <w:rPr>
                <w:rFonts w:ascii="宋体" w:hAnsi="宋体" w:cs="宋体" w:eastAsia="宋体" w:hint="default"/>
                <w:sz w:val="16"/>
                <w:szCs w:val="16"/>
              </w:rPr>
            </w:pPr>
            <w:r>
              <w:rPr>
                <w:rFonts w:ascii="宋体" w:hAnsi="宋体" w:cs="宋体" w:eastAsia="宋体" w:hint="default"/>
                <w:sz w:val="16"/>
                <w:szCs w:val="16"/>
              </w:rPr>
              <w:t>筹资活动产生的现金流量净额</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50"/>
              <w:jc w:val="right"/>
              <w:rPr>
                <w:rFonts w:ascii="Arial" w:hAnsi="Arial" w:cs="Arial" w:eastAsia="Arial" w:hint="default"/>
                <w:sz w:val="16"/>
                <w:szCs w:val="16"/>
              </w:rPr>
            </w:pPr>
            <w:r>
              <w:rPr>
                <w:rFonts w:ascii="Arial"/>
                <w:w w:val="95"/>
                <w:sz w:val="16"/>
              </w:rPr>
              <w:t>(32,469,497,587)</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left="422" w:right="0"/>
              <w:jc w:val="left"/>
              <w:rPr>
                <w:rFonts w:ascii="Arial" w:hAnsi="Arial" w:cs="Arial" w:eastAsia="Arial" w:hint="default"/>
                <w:sz w:val="16"/>
                <w:szCs w:val="16"/>
              </w:rPr>
            </w:pPr>
            <w:r>
              <w:rPr>
                <w:rFonts w:ascii="Arial"/>
                <w:sz w:val="16"/>
              </w:rPr>
              <w:t>(36,549,771,905)</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48"/>
              <w:jc w:val="right"/>
              <w:rPr>
                <w:rFonts w:ascii="Arial" w:hAnsi="Arial" w:cs="Arial" w:eastAsia="Arial" w:hint="default"/>
                <w:sz w:val="16"/>
                <w:szCs w:val="16"/>
              </w:rPr>
            </w:pPr>
            <w:r>
              <w:rPr>
                <w:rFonts w:ascii="Arial"/>
                <w:w w:val="95"/>
                <w:sz w:val="16"/>
              </w:rPr>
              <w:t>(1,649,514,679)</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6"/>
              <w:jc w:val="right"/>
              <w:rPr>
                <w:rFonts w:ascii="Arial" w:hAnsi="Arial" w:cs="Arial" w:eastAsia="Arial" w:hint="default"/>
                <w:sz w:val="16"/>
                <w:szCs w:val="16"/>
              </w:rPr>
            </w:pPr>
            <w:r>
              <w:rPr>
                <w:rFonts w:ascii="Arial"/>
                <w:w w:val="95"/>
                <w:sz w:val="16"/>
              </w:rPr>
              <w:t>2,394,382,519</w:t>
            </w:r>
            <w:r>
              <w:rPr>
                <w:rFonts w:ascii="Arial"/>
                <w:sz w:val="16"/>
              </w:rPr>
            </w: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5" w:right="0"/>
              <w:jc w:val="left"/>
              <w:rPr>
                <w:rFonts w:ascii="宋体" w:hAnsi="宋体" w:cs="宋体" w:eastAsia="宋体" w:hint="default"/>
                <w:sz w:val="16"/>
                <w:szCs w:val="16"/>
              </w:rPr>
            </w:pPr>
            <w:r>
              <w:rPr>
                <w:rFonts w:ascii="宋体" w:hAnsi="宋体" w:cs="宋体" w:eastAsia="宋体" w:hint="default"/>
                <w:sz w:val="16"/>
                <w:szCs w:val="16"/>
              </w:rPr>
              <w:t>四、汇率变动对现金及现金等价物的影响</w:t>
            </w:r>
          </w:p>
        </w:tc>
        <w:tc>
          <w:tcPr>
            <w:tcW w:w="528"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7"/>
              <w:jc w:val="right"/>
              <w:rPr>
                <w:rFonts w:ascii="Arial" w:hAnsi="Arial" w:cs="Arial" w:eastAsia="Arial" w:hint="default"/>
                <w:sz w:val="16"/>
                <w:szCs w:val="16"/>
              </w:rPr>
            </w:pPr>
            <w:r>
              <w:rPr>
                <w:rFonts w:ascii="Arial"/>
                <w:w w:val="95"/>
                <w:sz w:val="16"/>
              </w:rPr>
              <w:t>25,401,270</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7"/>
              <w:jc w:val="right"/>
              <w:rPr>
                <w:rFonts w:ascii="Arial" w:hAnsi="Arial" w:cs="Arial" w:eastAsia="Arial" w:hint="default"/>
                <w:sz w:val="16"/>
                <w:szCs w:val="16"/>
              </w:rPr>
            </w:pPr>
            <w:r>
              <w:rPr>
                <w:rFonts w:ascii="Arial"/>
                <w:w w:val="95"/>
                <w:sz w:val="16"/>
              </w:rPr>
              <w:t>74,144,829</w:t>
            </w:r>
            <w:r>
              <w:rPr>
                <w:rFonts w:ascii="Arial"/>
                <w:sz w:val="16"/>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4"/>
              <w:jc w:val="right"/>
              <w:rPr>
                <w:rFonts w:ascii="Arial" w:hAnsi="Arial" w:cs="Arial" w:eastAsia="Arial" w:hint="default"/>
                <w:sz w:val="16"/>
                <w:szCs w:val="16"/>
              </w:rPr>
            </w:pPr>
            <w:r>
              <w:rPr>
                <w:rFonts w:ascii="Arial"/>
                <w:w w:val="98"/>
                <w:sz w:val="16"/>
              </w:rPr>
              <w:t>-</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4"/>
              <w:jc w:val="right"/>
              <w:rPr>
                <w:rFonts w:ascii="Arial" w:hAnsi="Arial" w:cs="Arial" w:eastAsia="Arial" w:hint="default"/>
                <w:sz w:val="16"/>
                <w:szCs w:val="16"/>
              </w:rPr>
            </w:pPr>
            <w:r>
              <w:rPr>
                <w:rFonts w:ascii="Arial"/>
                <w:w w:val="98"/>
                <w:sz w:val="16"/>
              </w:rPr>
              <w:t>-</w:t>
            </w:r>
            <w:r>
              <w:rPr>
                <w:rFonts w:ascii="Arial"/>
                <w:sz w:val="16"/>
              </w:rPr>
            </w: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5" w:right="0"/>
              <w:jc w:val="left"/>
              <w:rPr>
                <w:rFonts w:ascii="宋体" w:hAnsi="宋体" w:cs="宋体" w:eastAsia="宋体" w:hint="default"/>
                <w:sz w:val="16"/>
                <w:szCs w:val="16"/>
              </w:rPr>
            </w:pPr>
            <w:r>
              <w:rPr>
                <w:rFonts w:ascii="宋体" w:hAnsi="宋体" w:cs="宋体" w:eastAsia="宋体" w:hint="default"/>
                <w:sz w:val="16"/>
                <w:szCs w:val="16"/>
              </w:rPr>
              <w:t>五、现金及现金等价物净增加</w:t>
            </w:r>
            <w:r>
              <w:rPr>
                <w:rFonts w:ascii="Arial" w:hAnsi="Arial" w:cs="Arial" w:eastAsia="Arial" w:hint="default"/>
                <w:sz w:val="16"/>
                <w:szCs w:val="16"/>
              </w:rPr>
              <w:t>/</w:t>
            </w:r>
            <w:r>
              <w:rPr>
                <w:rFonts w:ascii="宋体" w:hAnsi="宋体" w:cs="宋体" w:eastAsia="宋体" w:hint="default"/>
                <w:sz w:val="16"/>
                <w:szCs w:val="16"/>
              </w:rPr>
              <w:t>（减少）额</w:t>
            </w:r>
          </w:p>
        </w:tc>
        <w:tc>
          <w:tcPr>
            <w:tcW w:w="5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7" w:right="0"/>
              <w:jc w:val="left"/>
              <w:rPr>
                <w:rFonts w:ascii="Arial" w:hAnsi="Arial" w:cs="Arial" w:eastAsia="Arial" w:hint="default"/>
                <w:sz w:val="16"/>
                <w:szCs w:val="16"/>
              </w:rPr>
            </w:pPr>
            <w:r>
              <w:rPr>
                <w:rFonts w:ascii="宋体" w:hAnsi="宋体" w:cs="宋体" w:eastAsia="宋体" w:hint="default"/>
                <w:sz w:val="16"/>
                <w:szCs w:val="16"/>
              </w:rPr>
              <w:t>五</w:t>
            </w:r>
            <w:r>
              <w:rPr>
                <w:rFonts w:ascii="Arial" w:hAnsi="Arial" w:cs="Arial" w:eastAsia="Arial" w:hint="default"/>
                <w:sz w:val="16"/>
                <w:szCs w:val="16"/>
              </w:rPr>
              <w:t>(52)</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6"/>
              <w:jc w:val="right"/>
              <w:rPr>
                <w:rFonts w:ascii="Arial" w:hAnsi="Arial" w:cs="Arial" w:eastAsia="Arial" w:hint="default"/>
                <w:sz w:val="16"/>
                <w:szCs w:val="16"/>
              </w:rPr>
            </w:pPr>
            <w:r>
              <w:rPr>
                <w:rFonts w:ascii="Arial"/>
                <w:w w:val="95"/>
                <w:sz w:val="16"/>
              </w:rPr>
              <w:t>4,886,879,509</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48"/>
              <w:jc w:val="right"/>
              <w:rPr>
                <w:rFonts w:ascii="Arial" w:hAnsi="Arial" w:cs="Arial" w:eastAsia="Arial" w:hint="default"/>
                <w:sz w:val="16"/>
                <w:szCs w:val="16"/>
              </w:rPr>
            </w:pPr>
            <w:r>
              <w:rPr>
                <w:rFonts w:ascii="Arial"/>
                <w:w w:val="95"/>
                <w:sz w:val="16"/>
              </w:rPr>
              <w:t>(2,812,918,937)</w:t>
            </w:r>
            <w:r>
              <w:rPr>
                <w:rFonts w:ascii="Arial"/>
                <w:sz w:val="16"/>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9"/>
              <w:jc w:val="right"/>
              <w:rPr>
                <w:rFonts w:ascii="Arial" w:hAnsi="Arial" w:cs="Arial" w:eastAsia="Arial" w:hint="default"/>
                <w:sz w:val="16"/>
                <w:szCs w:val="16"/>
              </w:rPr>
            </w:pPr>
            <w:r>
              <w:rPr>
                <w:rFonts w:ascii="Arial"/>
                <w:w w:val="95"/>
                <w:sz w:val="16"/>
              </w:rPr>
              <w:t>243,017,785</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97"/>
              <w:jc w:val="right"/>
              <w:rPr>
                <w:rFonts w:ascii="Arial" w:hAnsi="Arial" w:cs="Arial" w:eastAsia="Arial" w:hint="default"/>
                <w:sz w:val="16"/>
                <w:szCs w:val="16"/>
              </w:rPr>
            </w:pPr>
            <w:r>
              <w:rPr>
                <w:rFonts w:ascii="Arial"/>
                <w:w w:val="95"/>
                <w:sz w:val="16"/>
              </w:rPr>
              <w:t>83,502,614</w:t>
            </w:r>
            <w:r>
              <w:rPr>
                <w:rFonts w:ascii="Arial"/>
                <w:sz w:val="16"/>
              </w:rPr>
            </w: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441" w:right="0"/>
              <w:jc w:val="left"/>
              <w:rPr>
                <w:rFonts w:ascii="宋体" w:hAnsi="宋体" w:cs="宋体" w:eastAsia="宋体" w:hint="default"/>
                <w:sz w:val="16"/>
                <w:szCs w:val="16"/>
              </w:rPr>
            </w:pPr>
            <w:r>
              <w:rPr>
                <w:rFonts w:ascii="宋体" w:hAnsi="宋体" w:cs="宋体" w:eastAsia="宋体" w:hint="default"/>
                <w:sz w:val="16"/>
                <w:szCs w:val="16"/>
              </w:rPr>
              <w:t>加：年初现金及现金等价物余额</w:t>
            </w:r>
          </w:p>
        </w:tc>
        <w:tc>
          <w:tcPr>
            <w:tcW w:w="5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47" w:right="0"/>
              <w:jc w:val="left"/>
              <w:rPr>
                <w:rFonts w:ascii="Arial" w:hAnsi="Arial" w:cs="Arial" w:eastAsia="Arial" w:hint="default"/>
                <w:sz w:val="16"/>
                <w:szCs w:val="16"/>
              </w:rPr>
            </w:pPr>
            <w:r>
              <w:rPr>
                <w:rFonts w:ascii="宋体" w:hAnsi="宋体" w:cs="宋体" w:eastAsia="宋体" w:hint="default"/>
                <w:sz w:val="16"/>
                <w:szCs w:val="16"/>
              </w:rPr>
              <w:t>五</w:t>
            </w:r>
            <w:r>
              <w:rPr>
                <w:rFonts w:ascii="Arial" w:hAnsi="Arial" w:cs="Arial" w:eastAsia="Arial" w:hint="default"/>
                <w:sz w:val="16"/>
                <w:szCs w:val="16"/>
              </w:rPr>
              <w:t>(52)</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7"/>
              <w:jc w:val="right"/>
              <w:rPr>
                <w:rFonts w:ascii="Arial" w:hAnsi="Arial" w:cs="Arial" w:eastAsia="Arial" w:hint="default"/>
                <w:sz w:val="16"/>
                <w:szCs w:val="16"/>
              </w:rPr>
            </w:pPr>
            <w:r>
              <w:rPr>
                <w:rFonts w:ascii="Arial"/>
                <w:w w:val="95"/>
                <w:sz w:val="16"/>
              </w:rPr>
              <w:t>30,062,906,482</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7"/>
              <w:jc w:val="right"/>
              <w:rPr>
                <w:rFonts w:ascii="Arial" w:hAnsi="Arial" w:cs="Arial" w:eastAsia="Arial" w:hint="default"/>
                <w:sz w:val="16"/>
                <w:szCs w:val="16"/>
              </w:rPr>
            </w:pPr>
            <w:r>
              <w:rPr>
                <w:rFonts w:ascii="Arial"/>
                <w:w w:val="95"/>
                <w:sz w:val="16"/>
              </w:rPr>
              <w:t>32,875,825,419</w:t>
            </w:r>
            <w:r>
              <w:rPr>
                <w:rFonts w:ascii="Arial"/>
                <w:sz w:val="16"/>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9"/>
              <w:jc w:val="right"/>
              <w:rPr>
                <w:rFonts w:ascii="Arial" w:hAnsi="Arial" w:cs="Arial" w:eastAsia="Arial" w:hint="default"/>
                <w:sz w:val="16"/>
                <w:szCs w:val="16"/>
              </w:rPr>
            </w:pPr>
            <w:r>
              <w:rPr>
                <w:rFonts w:ascii="Arial"/>
                <w:w w:val="95"/>
                <w:sz w:val="16"/>
              </w:rPr>
              <w:t>266,645,224</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9"/>
              <w:jc w:val="right"/>
              <w:rPr>
                <w:rFonts w:ascii="Arial" w:hAnsi="Arial" w:cs="Arial" w:eastAsia="Arial" w:hint="default"/>
                <w:sz w:val="16"/>
                <w:szCs w:val="16"/>
              </w:rPr>
            </w:pPr>
            <w:r>
              <w:rPr>
                <w:rFonts w:ascii="Arial"/>
                <w:w w:val="95"/>
                <w:sz w:val="16"/>
              </w:rPr>
              <w:t>183,142,610</w:t>
            </w:r>
            <w:r>
              <w:rPr>
                <w:rFonts w:ascii="Arial"/>
                <w:sz w:val="16"/>
              </w:rPr>
            </w:r>
          </w:p>
        </w:tc>
      </w:tr>
      <w:tr>
        <w:trPr>
          <w:trHeight w:val="259" w:hRule="exact"/>
        </w:trPr>
        <w:tc>
          <w:tcPr>
            <w:tcW w:w="39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105" w:right="0"/>
              <w:jc w:val="left"/>
              <w:rPr>
                <w:rFonts w:ascii="宋体" w:hAnsi="宋体" w:cs="宋体" w:eastAsia="宋体" w:hint="default"/>
                <w:sz w:val="16"/>
                <w:szCs w:val="16"/>
              </w:rPr>
            </w:pPr>
            <w:r>
              <w:rPr>
                <w:rFonts w:ascii="宋体" w:hAnsi="宋体" w:cs="宋体" w:eastAsia="宋体" w:hint="default"/>
                <w:sz w:val="16"/>
                <w:szCs w:val="16"/>
              </w:rPr>
              <w:t>六、年末现金及现金等价物余额</w:t>
            </w:r>
          </w:p>
        </w:tc>
        <w:tc>
          <w:tcPr>
            <w:tcW w:w="5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48" w:right="0"/>
              <w:jc w:val="left"/>
              <w:rPr>
                <w:rFonts w:ascii="Arial" w:hAnsi="Arial" w:cs="Arial" w:eastAsia="Arial" w:hint="default"/>
                <w:sz w:val="16"/>
                <w:szCs w:val="16"/>
              </w:rPr>
            </w:pPr>
            <w:r>
              <w:rPr>
                <w:rFonts w:ascii="宋体" w:hAnsi="宋体" w:cs="宋体" w:eastAsia="宋体" w:hint="default"/>
                <w:sz w:val="16"/>
                <w:szCs w:val="16"/>
              </w:rPr>
              <w:t>五</w:t>
            </w:r>
            <w:r>
              <w:rPr>
                <w:rFonts w:ascii="Arial" w:hAnsi="Arial" w:cs="Arial" w:eastAsia="Arial" w:hint="default"/>
                <w:sz w:val="16"/>
                <w:szCs w:val="16"/>
              </w:rPr>
              <w:t>(52)</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7"/>
              <w:jc w:val="right"/>
              <w:rPr>
                <w:rFonts w:ascii="Arial" w:hAnsi="Arial" w:cs="Arial" w:eastAsia="Arial" w:hint="default"/>
                <w:sz w:val="16"/>
                <w:szCs w:val="16"/>
              </w:rPr>
            </w:pPr>
            <w:r>
              <w:rPr>
                <w:rFonts w:ascii="Arial"/>
                <w:w w:val="95"/>
                <w:sz w:val="16"/>
              </w:rPr>
              <w:t>34,949,785,991</w:t>
            </w:r>
            <w:r>
              <w:rPr>
                <w:rFonts w:ascii="Arial"/>
                <w:sz w:val="16"/>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7"/>
              <w:jc w:val="right"/>
              <w:rPr>
                <w:rFonts w:ascii="Arial" w:hAnsi="Arial" w:cs="Arial" w:eastAsia="Arial" w:hint="default"/>
                <w:sz w:val="16"/>
                <w:szCs w:val="16"/>
              </w:rPr>
            </w:pPr>
            <w:r>
              <w:rPr>
                <w:rFonts w:ascii="Arial"/>
                <w:w w:val="95"/>
                <w:sz w:val="16"/>
              </w:rPr>
              <w:t>30,062,906,482</w:t>
            </w:r>
            <w:r>
              <w:rPr>
                <w:rFonts w:ascii="Arial"/>
                <w:sz w:val="16"/>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9"/>
              <w:jc w:val="right"/>
              <w:rPr>
                <w:rFonts w:ascii="Arial" w:hAnsi="Arial" w:cs="Arial" w:eastAsia="Arial" w:hint="default"/>
                <w:sz w:val="16"/>
                <w:szCs w:val="16"/>
              </w:rPr>
            </w:pPr>
            <w:r>
              <w:rPr>
                <w:rFonts w:ascii="Arial"/>
                <w:w w:val="95"/>
                <w:sz w:val="16"/>
              </w:rPr>
              <w:t>509,663,009</w:t>
            </w:r>
            <w:r>
              <w:rPr>
                <w:rFonts w:ascii="Arial"/>
                <w:sz w:val="16"/>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right="99"/>
              <w:jc w:val="right"/>
              <w:rPr>
                <w:rFonts w:ascii="Arial" w:hAnsi="Arial" w:cs="Arial" w:eastAsia="Arial" w:hint="default"/>
                <w:sz w:val="16"/>
                <w:szCs w:val="16"/>
              </w:rPr>
            </w:pPr>
            <w:r>
              <w:rPr>
                <w:rFonts w:ascii="Arial"/>
                <w:w w:val="95"/>
                <w:sz w:val="16"/>
              </w:rPr>
              <w:t>266,645,224</w:t>
            </w:r>
            <w:r>
              <w:rPr>
                <w:rFonts w:ascii="Arial"/>
                <w:sz w:val="16"/>
              </w:rPr>
            </w:r>
          </w:p>
        </w:tc>
      </w:tr>
    </w:tbl>
    <w:p>
      <w:pPr>
        <w:spacing w:line="240" w:lineRule="auto" w:before="4"/>
        <w:rPr>
          <w:rFonts w:ascii="黑体" w:hAnsi="黑体" w:cs="黑体" w:eastAsia="黑体" w:hint="default"/>
          <w:sz w:val="14"/>
          <w:szCs w:val="14"/>
        </w:rPr>
      </w:pPr>
    </w:p>
    <w:p>
      <w:pPr>
        <w:spacing w:before="39"/>
        <w:ind w:left="140" w:right="0" w:firstLine="0"/>
        <w:jc w:val="left"/>
        <w:rPr>
          <w:rFonts w:ascii="宋体" w:hAnsi="宋体" w:cs="宋体" w:eastAsia="宋体" w:hint="default"/>
          <w:sz w:val="20"/>
          <w:szCs w:val="20"/>
        </w:rPr>
      </w:pPr>
      <w:r>
        <w:rPr>
          <w:rFonts w:ascii="宋体" w:hAnsi="宋体" w:cs="宋体" w:eastAsia="宋体" w:hint="default"/>
          <w:sz w:val="20"/>
          <w:szCs w:val="20"/>
        </w:rPr>
        <w:t>后附财务报表附注为财务报表的组成部分。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7"/>
          <w:szCs w:val="17"/>
        </w:rPr>
      </w:pPr>
    </w:p>
    <w:p>
      <w:pPr>
        <w:pStyle w:val="BodyText"/>
        <w:tabs>
          <w:tab w:pos="3337" w:val="left" w:leader="none"/>
          <w:tab w:pos="7110" w:val="left" w:leader="none"/>
        </w:tabs>
        <w:spacing w:line="240" w:lineRule="auto"/>
        <w:ind w:left="140" w:right="0"/>
        <w:jc w:val="left"/>
      </w:pPr>
      <w:r>
        <w:rPr/>
        <w:t>董事长：王晓初</w:t>
        <w:tab/>
      </w:r>
      <w:r>
        <w:rPr>
          <w:spacing w:val="-1"/>
        </w:rPr>
        <w:t>财务负责人：姜爱华</w:t>
        <w:tab/>
      </w:r>
      <w:r>
        <w:rPr>
          <w:spacing w:val="-2"/>
        </w:rPr>
        <w:t>财务部总经理：王芳</w:t>
      </w:r>
      <w:r>
        <w:rPr/>
      </w:r>
    </w:p>
    <w:p>
      <w:pPr>
        <w:spacing w:after="0" w:line="240" w:lineRule="auto"/>
        <w:jc w:val="left"/>
        <w:sectPr>
          <w:pgSz w:w="11910" w:h="16840"/>
          <w:pgMar w:header="1327" w:footer="502" w:top="1540" w:bottom="700" w:left="680" w:right="700"/>
        </w:sectPr>
      </w:pPr>
    </w:p>
    <w:p>
      <w:pPr>
        <w:pStyle w:val="BodyText"/>
        <w:spacing w:line="240" w:lineRule="auto" w:before="8"/>
        <w:ind w:left="114" w:right="0" w:firstLine="9"/>
        <w:jc w:val="left"/>
        <w:rPr>
          <w:rFonts w:ascii="黑体" w:hAnsi="黑体" w:cs="黑体" w:eastAsia="黑体" w:hint="default"/>
        </w:rPr>
      </w:pPr>
      <w:r>
        <w:rPr>
          <w:rFonts w:ascii="黑体" w:hAnsi="黑体" w:cs="黑体" w:eastAsia="黑体" w:hint="default"/>
        </w:rPr>
        <w:t>中国联合网络通信股份有限公司</w:t>
      </w:r>
    </w:p>
    <w:p>
      <w:pPr>
        <w:spacing w:line="240" w:lineRule="auto" w:before="1"/>
        <w:rPr>
          <w:rFonts w:ascii="黑体" w:hAnsi="黑体" w:cs="黑体" w:eastAsia="黑体" w:hint="default"/>
          <w:sz w:val="19"/>
          <w:szCs w:val="19"/>
        </w:rPr>
      </w:pPr>
    </w:p>
    <w:p>
      <w:pPr>
        <w:pStyle w:val="BodyText"/>
        <w:spacing w:line="296" w:lineRule="exact"/>
        <w:ind w:left="114"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6"/>
        </w:rPr>
        <w:t> </w:t>
      </w:r>
      <w:r>
        <w:rPr>
          <w:rFonts w:ascii="黑体" w:hAnsi="黑体" w:cs="黑体" w:eastAsia="黑体" w:hint="default"/>
        </w:rPr>
        <w:t>年度合并股东权益变动表</w:t>
      </w:r>
    </w:p>
    <w:p>
      <w:pPr>
        <w:pStyle w:val="BodyText"/>
        <w:spacing w:line="280" w:lineRule="exact"/>
        <w:ind w:left="104" w:right="0"/>
        <w:jc w:val="left"/>
        <w:rPr>
          <w:rFonts w:ascii="黑体" w:hAnsi="黑体" w:cs="黑体" w:eastAsia="黑体" w:hint="default"/>
        </w:rPr>
      </w:pPr>
      <w:r>
        <w:rPr>
          <w:rFonts w:ascii="黑体" w:hAnsi="黑体" w:cs="黑体" w:eastAsia="黑体" w:hint="default"/>
        </w:rPr>
        <w:t>（除特别注明外，金额单位为人民币元）</w:t>
      </w:r>
    </w:p>
    <w:p>
      <w:pPr>
        <w:spacing w:line="240" w:lineRule="auto" w:before="11"/>
        <w:rPr>
          <w:rFonts w:ascii="黑体" w:hAnsi="黑体" w:cs="黑体" w:eastAsia="黑体" w:hint="default"/>
          <w:sz w:val="21"/>
          <w:szCs w:val="21"/>
        </w:rPr>
      </w:pPr>
    </w:p>
    <w:tbl>
      <w:tblPr>
        <w:tblW w:w="0" w:type="auto"/>
        <w:jc w:val="left"/>
        <w:tblInd w:w="104" w:type="dxa"/>
        <w:tblLayout w:type="fixed"/>
        <w:tblCellMar>
          <w:top w:w="0" w:type="dxa"/>
          <w:left w:w="0" w:type="dxa"/>
          <w:bottom w:w="0" w:type="dxa"/>
          <w:right w:w="0" w:type="dxa"/>
        </w:tblCellMar>
        <w:tblLook w:val="01E0"/>
      </w:tblPr>
      <w:tblGrid>
        <w:gridCol w:w="2102"/>
        <w:gridCol w:w="989"/>
        <w:gridCol w:w="1138"/>
        <w:gridCol w:w="1272"/>
        <w:gridCol w:w="1277"/>
        <w:gridCol w:w="1133"/>
        <w:gridCol w:w="1138"/>
        <w:gridCol w:w="989"/>
        <w:gridCol w:w="1138"/>
        <w:gridCol w:w="1272"/>
        <w:gridCol w:w="1277"/>
        <w:gridCol w:w="1301"/>
      </w:tblGrid>
      <w:tr>
        <w:trPr>
          <w:trHeight w:val="197" w:hRule="exact"/>
        </w:trPr>
        <w:tc>
          <w:tcPr>
            <w:tcW w:w="2102" w:type="dxa"/>
            <w:vMerge w:val="restart"/>
            <w:tcBorders>
              <w:top w:val="single" w:sz="6" w:space="0" w:color="000000"/>
              <w:left w:val="single" w:sz="6" w:space="0" w:color="000000"/>
              <w:right w:val="single" w:sz="6" w:space="0" w:color="000000"/>
            </w:tcBorders>
          </w:tcPr>
          <w:p>
            <w:pPr>
              <w:pStyle w:val="TableParagraph"/>
              <w:spacing w:line="240" w:lineRule="auto" w:before="105"/>
              <w:ind w:right="2"/>
              <w:jc w:val="center"/>
              <w:rPr>
                <w:rFonts w:ascii="宋体" w:hAnsi="宋体" w:cs="宋体" w:eastAsia="宋体" w:hint="default"/>
                <w:sz w:val="14"/>
                <w:szCs w:val="14"/>
              </w:rPr>
            </w:pPr>
            <w:r>
              <w:rPr>
                <w:rFonts w:ascii="宋体" w:hAnsi="宋体" w:cs="宋体" w:eastAsia="宋体" w:hint="default"/>
                <w:sz w:val="14"/>
                <w:szCs w:val="14"/>
              </w:rPr>
              <w:t>项目</w:t>
            </w:r>
          </w:p>
        </w:tc>
        <w:tc>
          <w:tcPr>
            <w:tcW w:w="989" w:type="dxa"/>
            <w:vMerge w:val="restart"/>
            <w:tcBorders>
              <w:top w:val="single" w:sz="6" w:space="0" w:color="000000"/>
              <w:left w:val="single" w:sz="6" w:space="0" w:color="000000"/>
              <w:right w:val="single" w:sz="6" w:space="0" w:color="000000"/>
            </w:tcBorders>
          </w:tcPr>
          <w:p>
            <w:pPr>
              <w:pStyle w:val="TableParagraph"/>
              <w:spacing w:line="240" w:lineRule="auto" w:before="105"/>
              <w:ind w:left="4" w:right="0"/>
              <w:jc w:val="center"/>
              <w:rPr>
                <w:rFonts w:ascii="宋体" w:hAnsi="宋体" w:cs="宋体" w:eastAsia="宋体" w:hint="default"/>
                <w:sz w:val="14"/>
                <w:szCs w:val="14"/>
              </w:rPr>
            </w:pPr>
            <w:r>
              <w:rPr>
                <w:rFonts w:ascii="宋体" w:hAnsi="宋体" w:cs="宋体" w:eastAsia="宋体" w:hint="default"/>
                <w:sz w:val="14"/>
                <w:szCs w:val="14"/>
              </w:rPr>
              <w:t>附注</w:t>
            </w:r>
          </w:p>
        </w:tc>
        <w:tc>
          <w:tcPr>
            <w:tcW w:w="1138" w:type="dxa"/>
            <w:tcBorders>
              <w:top w:val="single" w:sz="6" w:space="0" w:color="000000"/>
              <w:left w:val="single" w:sz="6" w:space="0" w:color="000000"/>
              <w:bottom w:val="single" w:sz="6" w:space="0" w:color="000000"/>
              <w:right w:val="single" w:sz="6" w:space="0" w:color="000000"/>
            </w:tcBorders>
          </w:tcPr>
          <w:p>
            <w:pPr/>
          </w:p>
        </w:tc>
        <w:tc>
          <w:tcPr>
            <w:tcW w:w="8218" w:type="dxa"/>
            <w:gridSpan w:val="7"/>
            <w:tcBorders>
              <w:top w:val="single" w:sz="6" w:space="0" w:color="000000"/>
              <w:left w:val="single" w:sz="6" w:space="0" w:color="000000"/>
              <w:bottom w:val="single" w:sz="6" w:space="0" w:color="000000"/>
              <w:right w:val="single" w:sz="6" w:space="0" w:color="000000"/>
            </w:tcBorders>
          </w:tcPr>
          <w:p>
            <w:pPr>
              <w:pStyle w:val="TableParagraph"/>
              <w:spacing w:line="164" w:lineRule="exact"/>
              <w:ind w:right="7"/>
              <w:jc w:val="center"/>
              <w:rPr>
                <w:rFonts w:ascii="宋体" w:hAnsi="宋体" w:cs="宋体" w:eastAsia="宋体" w:hint="default"/>
                <w:sz w:val="14"/>
                <w:szCs w:val="14"/>
              </w:rPr>
            </w:pPr>
            <w:r>
              <w:rPr>
                <w:rFonts w:ascii="宋体" w:hAnsi="宋体" w:cs="宋体" w:eastAsia="宋体" w:hint="default"/>
                <w:sz w:val="14"/>
                <w:szCs w:val="14"/>
              </w:rPr>
              <w:t>归属于母公司股东权益</w:t>
            </w:r>
          </w:p>
        </w:tc>
        <w:tc>
          <w:tcPr>
            <w:tcW w:w="1277" w:type="dxa"/>
            <w:vMerge w:val="restart"/>
            <w:tcBorders>
              <w:top w:val="single" w:sz="6" w:space="0" w:color="000000"/>
              <w:left w:val="single" w:sz="6" w:space="0" w:color="000000"/>
              <w:right w:val="single" w:sz="6" w:space="0" w:color="000000"/>
            </w:tcBorders>
          </w:tcPr>
          <w:p>
            <w:pPr>
              <w:pStyle w:val="TableParagraph"/>
              <w:spacing w:line="240" w:lineRule="auto" w:before="105"/>
              <w:ind w:left="211" w:right="0"/>
              <w:jc w:val="left"/>
              <w:rPr>
                <w:rFonts w:ascii="宋体" w:hAnsi="宋体" w:cs="宋体" w:eastAsia="宋体" w:hint="default"/>
                <w:sz w:val="14"/>
                <w:szCs w:val="14"/>
              </w:rPr>
            </w:pPr>
            <w:r>
              <w:rPr>
                <w:rFonts w:ascii="宋体" w:hAnsi="宋体" w:cs="宋体" w:eastAsia="宋体" w:hint="default"/>
                <w:sz w:val="14"/>
                <w:szCs w:val="14"/>
              </w:rPr>
              <w:t>少数股东权益</w:t>
            </w:r>
          </w:p>
        </w:tc>
        <w:tc>
          <w:tcPr>
            <w:tcW w:w="1301" w:type="dxa"/>
            <w:vMerge w:val="restart"/>
            <w:tcBorders>
              <w:top w:val="single" w:sz="6" w:space="0" w:color="000000"/>
              <w:left w:val="single" w:sz="6" w:space="0" w:color="000000"/>
              <w:right w:val="single" w:sz="6" w:space="0" w:color="000000"/>
            </w:tcBorders>
          </w:tcPr>
          <w:p>
            <w:pPr>
              <w:pStyle w:val="TableParagraph"/>
              <w:spacing w:line="240" w:lineRule="auto" w:before="105"/>
              <w:ind w:left="220" w:right="0"/>
              <w:jc w:val="left"/>
              <w:rPr>
                <w:rFonts w:ascii="宋体" w:hAnsi="宋体" w:cs="宋体" w:eastAsia="宋体" w:hint="default"/>
                <w:sz w:val="14"/>
                <w:szCs w:val="14"/>
              </w:rPr>
            </w:pPr>
            <w:r>
              <w:rPr>
                <w:rFonts w:ascii="宋体" w:hAnsi="宋体" w:cs="宋体" w:eastAsia="宋体" w:hint="default"/>
                <w:sz w:val="14"/>
                <w:szCs w:val="14"/>
              </w:rPr>
              <w:t>股东权益合计</w:t>
            </w:r>
          </w:p>
        </w:tc>
      </w:tr>
      <w:tr>
        <w:trPr>
          <w:trHeight w:val="254" w:hRule="exact"/>
        </w:trPr>
        <w:tc>
          <w:tcPr>
            <w:tcW w:w="2102" w:type="dxa"/>
            <w:vMerge/>
            <w:tcBorders>
              <w:left w:val="single" w:sz="6" w:space="0" w:color="000000"/>
              <w:bottom w:val="single" w:sz="6" w:space="0" w:color="000000"/>
              <w:right w:val="single" w:sz="6" w:space="0" w:color="000000"/>
            </w:tcBorders>
          </w:tcPr>
          <w:p>
            <w:pPr/>
          </w:p>
        </w:tc>
        <w:tc>
          <w:tcPr>
            <w:tcW w:w="989" w:type="dxa"/>
            <w:vMerge/>
            <w:tcBorders>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center"/>
              <w:rPr>
                <w:rFonts w:ascii="宋体" w:hAnsi="宋体" w:cs="宋体" w:eastAsia="宋体" w:hint="default"/>
                <w:sz w:val="14"/>
                <w:szCs w:val="14"/>
              </w:rPr>
            </w:pPr>
            <w:r>
              <w:rPr>
                <w:rFonts w:ascii="宋体" w:hAnsi="宋体" w:cs="宋体" w:eastAsia="宋体" w:hint="default"/>
                <w:sz w:val="14"/>
                <w:szCs w:val="14"/>
              </w:rPr>
              <w:t>股本</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345" w:right="0"/>
              <w:jc w:val="left"/>
              <w:rPr>
                <w:rFonts w:ascii="宋体" w:hAnsi="宋体" w:cs="宋体" w:eastAsia="宋体" w:hint="default"/>
                <w:sz w:val="14"/>
                <w:szCs w:val="14"/>
              </w:rPr>
            </w:pPr>
            <w:r>
              <w:rPr>
                <w:rFonts w:ascii="宋体" w:hAnsi="宋体" w:cs="宋体" w:eastAsia="宋体" w:hint="default"/>
                <w:sz w:val="14"/>
                <w:szCs w:val="14"/>
              </w:rPr>
              <w:t>资本公积</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278" w:right="0"/>
              <w:jc w:val="left"/>
              <w:rPr>
                <w:rFonts w:ascii="宋体" w:hAnsi="宋体" w:cs="宋体" w:eastAsia="宋体" w:hint="default"/>
                <w:sz w:val="14"/>
                <w:szCs w:val="14"/>
              </w:rPr>
            </w:pPr>
            <w:r>
              <w:rPr>
                <w:rFonts w:ascii="宋体" w:hAnsi="宋体" w:cs="宋体" w:eastAsia="宋体" w:hint="default"/>
                <w:sz w:val="14"/>
                <w:szCs w:val="14"/>
              </w:rPr>
              <w:t>减：库存股</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139" w:right="0"/>
              <w:jc w:val="left"/>
              <w:rPr>
                <w:rFonts w:ascii="宋体" w:hAnsi="宋体" w:cs="宋体" w:eastAsia="宋体" w:hint="default"/>
                <w:sz w:val="14"/>
                <w:szCs w:val="14"/>
              </w:rPr>
            </w:pPr>
            <w:r>
              <w:rPr>
                <w:rFonts w:ascii="宋体" w:hAnsi="宋体" w:cs="宋体" w:eastAsia="宋体" w:hint="default"/>
                <w:sz w:val="14"/>
                <w:szCs w:val="14"/>
              </w:rPr>
              <w:t>其他综合收益</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283" w:right="0"/>
              <w:jc w:val="left"/>
              <w:rPr>
                <w:rFonts w:ascii="宋体" w:hAnsi="宋体" w:cs="宋体" w:eastAsia="宋体" w:hint="default"/>
                <w:sz w:val="14"/>
                <w:szCs w:val="14"/>
              </w:rPr>
            </w:pPr>
            <w:r>
              <w:rPr>
                <w:rFonts w:ascii="宋体" w:hAnsi="宋体" w:cs="宋体" w:eastAsia="宋体" w:hint="default"/>
                <w:sz w:val="14"/>
                <w:szCs w:val="14"/>
              </w:rPr>
              <w:t>盈余公积</w:t>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70"/>
              <w:jc w:val="right"/>
              <w:rPr>
                <w:rFonts w:ascii="宋体" w:hAnsi="宋体" w:cs="宋体" w:eastAsia="宋体" w:hint="default"/>
                <w:sz w:val="14"/>
                <w:szCs w:val="14"/>
              </w:rPr>
            </w:pPr>
            <w:r>
              <w:rPr>
                <w:rFonts w:ascii="宋体" w:hAnsi="宋体" w:cs="宋体" w:eastAsia="宋体" w:hint="default"/>
                <w:w w:val="95"/>
                <w:sz w:val="14"/>
                <w:szCs w:val="14"/>
              </w:rPr>
              <w:t>一般风险准备</w:t>
            </w:r>
            <w:r>
              <w:rPr>
                <w:rFonts w:ascii="宋体" w:hAnsi="宋体" w:cs="宋体" w:eastAsia="宋体" w:hint="default"/>
                <w:sz w:val="14"/>
                <w:szCs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211" w:right="0"/>
              <w:jc w:val="left"/>
              <w:rPr>
                <w:rFonts w:ascii="宋体" w:hAnsi="宋体" w:cs="宋体" w:eastAsia="宋体" w:hint="default"/>
                <w:sz w:val="14"/>
                <w:szCs w:val="14"/>
              </w:rPr>
            </w:pPr>
            <w:r>
              <w:rPr>
                <w:rFonts w:ascii="宋体" w:hAnsi="宋体" w:cs="宋体" w:eastAsia="宋体" w:hint="default"/>
                <w:sz w:val="14"/>
                <w:szCs w:val="14"/>
              </w:rPr>
              <w:t>未分配利润</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center"/>
              <w:rPr>
                <w:rFonts w:ascii="宋体" w:hAnsi="宋体" w:cs="宋体" w:eastAsia="宋体" w:hint="default"/>
                <w:sz w:val="14"/>
                <w:szCs w:val="14"/>
              </w:rPr>
            </w:pPr>
            <w:r>
              <w:rPr>
                <w:rFonts w:ascii="宋体" w:hAnsi="宋体" w:cs="宋体" w:eastAsia="宋体" w:hint="default"/>
                <w:sz w:val="14"/>
                <w:szCs w:val="14"/>
              </w:rPr>
              <w:t>小计</w:t>
            </w:r>
          </w:p>
        </w:tc>
        <w:tc>
          <w:tcPr>
            <w:tcW w:w="1277" w:type="dxa"/>
            <w:vMerge/>
            <w:tcBorders>
              <w:left w:val="single" w:sz="6" w:space="0" w:color="000000"/>
              <w:bottom w:val="single" w:sz="6" w:space="0" w:color="000000"/>
              <w:right w:val="single" w:sz="6" w:space="0" w:color="000000"/>
            </w:tcBorders>
          </w:tcPr>
          <w:p>
            <w:pPr/>
          </w:p>
        </w:tc>
        <w:tc>
          <w:tcPr>
            <w:tcW w:w="1301" w:type="dxa"/>
            <w:vMerge/>
            <w:tcBorders>
              <w:left w:val="single" w:sz="6" w:space="0" w:color="000000"/>
              <w:bottom w:val="single" w:sz="6" w:space="0" w:color="000000"/>
              <w:right w:val="single" w:sz="6" w:space="0" w:color="000000"/>
            </w:tcBorders>
          </w:tcPr>
          <w:p>
            <w:pPr/>
          </w:p>
        </w:tc>
      </w:tr>
      <w:tr>
        <w:trPr>
          <w:trHeight w:val="197"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74" w:lineRule="exact"/>
              <w:ind w:left="43" w:right="0"/>
              <w:jc w:val="left"/>
              <w:rPr>
                <w:rFonts w:ascii="宋体" w:hAnsi="宋体" w:cs="宋体" w:eastAsia="宋体" w:hint="default"/>
                <w:sz w:val="14"/>
                <w:szCs w:val="14"/>
              </w:rPr>
            </w:pPr>
            <w:r>
              <w:rPr>
                <w:rFonts w:ascii="Arial" w:hAnsi="Arial" w:cs="Arial" w:eastAsia="Arial" w:hint="default"/>
                <w:sz w:val="14"/>
                <w:szCs w:val="14"/>
              </w:rPr>
              <w:t>2019</w:t>
            </w:r>
            <w:r>
              <w:rPr>
                <w:rFonts w:ascii="Arial" w:hAnsi="Arial" w:cs="Arial" w:eastAsia="Arial" w:hint="default"/>
                <w:spacing w:val="-4"/>
                <w:sz w:val="14"/>
                <w:szCs w:val="14"/>
              </w:rPr>
              <w:t> </w:t>
            </w:r>
            <w:r>
              <w:rPr>
                <w:rFonts w:ascii="宋体" w:hAnsi="宋体" w:cs="宋体" w:eastAsia="宋体" w:hint="default"/>
                <w:sz w:val="14"/>
                <w:szCs w:val="14"/>
              </w:rPr>
              <w:t>年</w:t>
            </w:r>
            <w:r>
              <w:rPr>
                <w:rFonts w:ascii="宋体" w:hAnsi="宋体" w:cs="宋体" w:eastAsia="宋体" w:hint="default"/>
                <w:spacing w:val="-39"/>
                <w:sz w:val="14"/>
                <w:szCs w:val="14"/>
              </w:rPr>
              <w:t> </w:t>
            </w:r>
            <w:r>
              <w:rPr>
                <w:rFonts w:ascii="Arial" w:hAnsi="Arial" w:cs="Arial" w:eastAsia="Arial" w:hint="default"/>
                <w:sz w:val="14"/>
                <w:szCs w:val="14"/>
              </w:rPr>
              <w:t>1</w:t>
            </w:r>
            <w:r>
              <w:rPr>
                <w:rFonts w:ascii="Arial" w:hAnsi="Arial" w:cs="Arial" w:eastAsia="Arial" w:hint="default"/>
                <w:spacing w:val="-4"/>
                <w:sz w:val="14"/>
                <w:szCs w:val="14"/>
              </w:rPr>
              <w:t> </w:t>
            </w:r>
            <w:r>
              <w:rPr>
                <w:rFonts w:ascii="宋体" w:hAnsi="宋体" w:cs="宋体" w:eastAsia="宋体" w:hint="default"/>
                <w:sz w:val="14"/>
                <w:szCs w:val="14"/>
              </w:rPr>
              <w:t>月</w:t>
            </w:r>
            <w:r>
              <w:rPr>
                <w:rFonts w:ascii="宋体" w:hAnsi="宋体" w:cs="宋体" w:eastAsia="宋体" w:hint="default"/>
                <w:spacing w:val="-39"/>
                <w:sz w:val="14"/>
                <w:szCs w:val="14"/>
              </w:rPr>
              <w:t> </w:t>
            </w:r>
            <w:r>
              <w:rPr>
                <w:rFonts w:ascii="Arial" w:hAnsi="Arial" w:cs="Arial" w:eastAsia="Arial" w:hint="default"/>
                <w:sz w:val="14"/>
                <w:szCs w:val="14"/>
              </w:rPr>
              <w:t>1</w:t>
            </w:r>
            <w:r>
              <w:rPr>
                <w:rFonts w:ascii="Arial" w:hAnsi="Arial" w:cs="Arial" w:eastAsia="Arial" w:hint="default"/>
                <w:spacing w:val="-8"/>
                <w:sz w:val="14"/>
                <w:szCs w:val="14"/>
              </w:rPr>
              <w:t> </w:t>
            </w:r>
            <w:r>
              <w:rPr>
                <w:rFonts w:ascii="宋体" w:hAnsi="宋体" w:cs="宋体" w:eastAsia="宋体" w:hint="default"/>
                <w:sz w:val="14"/>
                <w:szCs w:val="14"/>
              </w:rPr>
              <w:t>日年初余额</w:t>
            </w: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91" w:right="0"/>
              <w:jc w:val="left"/>
              <w:rPr>
                <w:rFonts w:ascii="Arial" w:hAnsi="Arial" w:cs="Arial" w:eastAsia="Arial" w:hint="default"/>
                <w:sz w:val="14"/>
                <w:szCs w:val="14"/>
              </w:rPr>
            </w:pPr>
            <w:r>
              <w:rPr>
                <w:rFonts w:ascii="Arial"/>
                <w:sz w:val="14"/>
              </w:rPr>
              <w:t>31,027,811,687</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9"/>
              <w:jc w:val="right"/>
              <w:rPr>
                <w:rFonts w:ascii="Arial" w:hAnsi="Arial" w:cs="Arial" w:eastAsia="Arial" w:hint="default"/>
                <w:sz w:val="14"/>
                <w:szCs w:val="14"/>
              </w:rPr>
            </w:pPr>
            <w:r>
              <w:rPr>
                <w:rFonts w:ascii="Arial"/>
                <w:spacing w:val="-1"/>
                <w:sz w:val="14"/>
              </w:rPr>
              <w:t>79,543,568,623</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49" w:right="0"/>
              <w:jc w:val="left"/>
              <w:rPr>
                <w:rFonts w:ascii="Arial" w:hAnsi="Arial" w:cs="Arial" w:eastAsia="Arial" w:hint="default"/>
                <w:sz w:val="14"/>
                <w:szCs w:val="14"/>
              </w:rPr>
            </w:pPr>
            <w:r>
              <w:rPr>
                <w:rFonts w:ascii="Arial"/>
                <w:sz w:val="14"/>
              </w:rPr>
              <w:t>(2,993,014,742)</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9"/>
              <w:jc w:val="right"/>
              <w:rPr>
                <w:rFonts w:ascii="Arial" w:hAnsi="Arial" w:cs="Arial" w:eastAsia="Arial" w:hint="default"/>
                <w:sz w:val="14"/>
                <w:szCs w:val="14"/>
              </w:rPr>
            </w:pPr>
            <w:r>
              <w:rPr>
                <w:rFonts w:ascii="Arial"/>
                <w:spacing w:val="-1"/>
                <w:sz w:val="14"/>
              </w:rPr>
              <w:t>(2,503,550,854)</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w w:val="95"/>
                <w:sz w:val="14"/>
              </w:rPr>
              <w:t>1,412,023,687</w:t>
            </w:r>
            <w:r>
              <w:rPr>
                <w:rFonts w:ascii="Arial"/>
                <w:sz w:val="14"/>
              </w:rPr>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205,458,044</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9"/>
              <w:jc w:val="right"/>
              <w:rPr>
                <w:rFonts w:ascii="Arial" w:hAnsi="Arial" w:cs="Arial" w:eastAsia="Arial" w:hint="default"/>
                <w:sz w:val="14"/>
                <w:szCs w:val="14"/>
              </w:rPr>
            </w:pPr>
            <w:r>
              <w:rPr>
                <w:rFonts w:ascii="Arial"/>
                <w:spacing w:val="-1"/>
                <w:sz w:val="14"/>
              </w:rPr>
              <w:t>33,452,065,245</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140,144,361,690</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176,795,931,528</w:t>
            </w:r>
            <w:r>
              <w:rPr>
                <w:rFonts w:ascii="Arial"/>
                <w:sz w:val="14"/>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3"/>
              <w:jc w:val="right"/>
              <w:rPr>
                <w:rFonts w:ascii="Arial" w:hAnsi="Arial" w:cs="Arial" w:eastAsia="Arial" w:hint="default"/>
                <w:sz w:val="14"/>
                <w:szCs w:val="14"/>
              </w:rPr>
            </w:pPr>
            <w:r>
              <w:rPr>
                <w:rFonts w:ascii="Arial"/>
                <w:spacing w:val="-1"/>
                <w:sz w:val="14"/>
              </w:rPr>
              <w:t>316,940,293,218</w:t>
            </w:r>
            <w:r>
              <w:rPr>
                <w:rFonts w:ascii="Arial"/>
                <w:sz w:val="14"/>
              </w:rPr>
            </w:r>
          </w:p>
        </w:tc>
      </w:tr>
      <w:tr>
        <w:trPr>
          <w:trHeight w:val="197"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64" w:lineRule="exact"/>
              <w:ind w:left="43" w:right="0"/>
              <w:jc w:val="left"/>
              <w:rPr>
                <w:rFonts w:ascii="宋体" w:hAnsi="宋体" w:cs="宋体" w:eastAsia="宋体" w:hint="default"/>
                <w:sz w:val="14"/>
                <w:szCs w:val="14"/>
              </w:rPr>
            </w:pPr>
            <w:r>
              <w:rPr>
                <w:rFonts w:ascii="宋体" w:hAnsi="宋体" w:cs="宋体" w:eastAsia="宋体" w:hint="default"/>
                <w:sz w:val="14"/>
                <w:szCs w:val="14"/>
              </w:rPr>
              <w:t>加：会计政策变更</w:t>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174" w:lineRule="exact"/>
              <w:ind w:right="1"/>
              <w:jc w:val="center"/>
              <w:rPr>
                <w:rFonts w:ascii="Arial" w:hAnsi="Arial" w:cs="Arial" w:eastAsia="Arial" w:hint="default"/>
                <w:sz w:val="14"/>
                <w:szCs w:val="14"/>
              </w:rPr>
            </w:pPr>
            <w:r>
              <w:rPr>
                <w:rFonts w:ascii="宋体" w:hAnsi="宋体" w:cs="宋体" w:eastAsia="宋体" w:hint="default"/>
                <w:sz w:val="14"/>
                <w:szCs w:val="14"/>
              </w:rPr>
              <w:t>三</w:t>
            </w:r>
            <w:r>
              <w:rPr>
                <w:rFonts w:ascii="Arial" w:hAnsi="Arial" w:cs="Arial" w:eastAsia="Arial" w:hint="default"/>
                <w:sz w:val="14"/>
                <w:szCs w:val="14"/>
              </w:rPr>
              <w:t>(33)</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57"/>
              <w:jc w:val="right"/>
              <w:rPr>
                <w:rFonts w:ascii="Arial" w:hAnsi="Arial" w:cs="Arial" w:eastAsia="Arial" w:hint="default"/>
                <w:sz w:val="14"/>
                <w:szCs w:val="14"/>
              </w:rPr>
            </w:pPr>
            <w:r>
              <w:rPr>
                <w:rFonts w:ascii="Arial"/>
                <w:w w:val="99"/>
                <w:sz w:val="14"/>
              </w:rPr>
              <w:t>-</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6"/>
              <w:jc w:val="right"/>
              <w:rPr>
                <w:rFonts w:ascii="Arial" w:hAnsi="Arial" w:cs="Arial" w:eastAsia="Arial" w:hint="default"/>
                <w:sz w:val="14"/>
                <w:szCs w:val="14"/>
              </w:rPr>
            </w:pPr>
            <w:r>
              <w:rPr>
                <w:rFonts w:ascii="Arial"/>
                <w:w w:val="99"/>
                <w:sz w:val="14"/>
              </w:rPr>
              <w:t>-</w:t>
            </w:r>
            <w:r>
              <w:rPr>
                <w:rFonts w:ascii="Arial"/>
                <w:sz w:val="14"/>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28"/>
              <w:jc w:val="right"/>
              <w:rPr>
                <w:rFonts w:ascii="Arial" w:hAnsi="Arial" w:cs="Arial" w:eastAsia="Arial" w:hint="default"/>
                <w:sz w:val="14"/>
                <w:szCs w:val="14"/>
              </w:rPr>
            </w:pPr>
            <w:r>
              <w:rPr>
                <w:rFonts w:ascii="Arial"/>
                <w:spacing w:val="-1"/>
                <w:sz w:val="14"/>
              </w:rPr>
              <w:t>(471,942,962)</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28"/>
              <w:jc w:val="right"/>
              <w:rPr>
                <w:rFonts w:ascii="Arial" w:hAnsi="Arial" w:cs="Arial" w:eastAsia="Arial" w:hint="default"/>
                <w:sz w:val="14"/>
                <w:szCs w:val="14"/>
              </w:rPr>
            </w:pPr>
            <w:r>
              <w:rPr>
                <w:rFonts w:ascii="Arial"/>
                <w:spacing w:val="-1"/>
                <w:sz w:val="14"/>
              </w:rPr>
              <w:t>(471,942,962)</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23"/>
              <w:jc w:val="right"/>
              <w:rPr>
                <w:rFonts w:ascii="Arial" w:hAnsi="Arial" w:cs="Arial" w:eastAsia="Arial" w:hint="default"/>
                <w:sz w:val="14"/>
                <w:szCs w:val="14"/>
              </w:rPr>
            </w:pPr>
            <w:r>
              <w:rPr>
                <w:rFonts w:ascii="Arial"/>
                <w:spacing w:val="-1"/>
                <w:sz w:val="14"/>
              </w:rPr>
              <w:t>(602,174,763)</w:t>
            </w:r>
            <w:r>
              <w:rPr>
                <w:rFonts w:ascii="Arial"/>
                <w:sz w:val="14"/>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28"/>
              <w:jc w:val="right"/>
              <w:rPr>
                <w:rFonts w:ascii="Arial" w:hAnsi="Arial" w:cs="Arial" w:eastAsia="Arial" w:hint="default"/>
                <w:sz w:val="14"/>
                <w:szCs w:val="14"/>
              </w:rPr>
            </w:pPr>
            <w:r>
              <w:rPr>
                <w:rFonts w:ascii="Arial"/>
                <w:spacing w:val="-1"/>
                <w:sz w:val="14"/>
              </w:rPr>
              <w:t>(1,074,117,725)</w:t>
            </w:r>
            <w:r>
              <w:rPr>
                <w:rFonts w:ascii="Arial"/>
                <w:sz w:val="14"/>
              </w:rPr>
            </w:r>
          </w:p>
        </w:tc>
      </w:tr>
      <w:tr>
        <w:trPr>
          <w:trHeight w:val="197"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64" w:lineRule="exact"/>
              <w:ind w:left="43" w:right="0"/>
              <w:jc w:val="left"/>
              <w:rPr>
                <w:rFonts w:ascii="宋体" w:hAnsi="宋体" w:cs="宋体" w:eastAsia="宋体" w:hint="default"/>
                <w:sz w:val="14"/>
                <w:szCs w:val="14"/>
              </w:rPr>
            </w:pPr>
            <w:r>
              <w:rPr>
                <w:rFonts w:ascii="宋体" w:hAnsi="宋体" w:cs="宋体" w:eastAsia="宋体" w:hint="default"/>
                <w:sz w:val="14"/>
                <w:szCs w:val="14"/>
              </w:rPr>
              <w:t>本年年初经调整余额</w:t>
            </w: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76" w:right="0"/>
              <w:jc w:val="left"/>
              <w:rPr>
                <w:rFonts w:ascii="Arial" w:hAnsi="Arial" w:cs="Arial" w:eastAsia="Arial" w:hint="default"/>
                <w:sz w:val="14"/>
                <w:szCs w:val="14"/>
              </w:rPr>
            </w:pPr>
            <w:r>
              <w:rPr>
                <w:rFonts w:ascii="Arial"/>
                <w:sz w:val="14"/>
              </w:rPr>
              <w:t>31,027,811,687</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3"/>
              <w:jc w:val="right"/>
              <w:rPr>
                <w:rFonts w:ascii="Arial" w:hAnsi="Arial" w:cs="Arial" w:eastAsia="Arial" w:hint="default"/>
                <w:sz w:val="14"/>
                <w:szCs w:val="14"/>
              </w:rPr>
            </w:pPr>
            <w:r>
              <w:rPr>
                <w:rFonts w:ascii="Arial"/>
                <w:spacing w:val="-1"/>
                <w:sz w:val="14"/>
              </w:rPr>
              <w:t>79,543,568,623</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44" w:right="0"/>
              <w:jc w:val="left"/>
              <w:rPr>
                <w:rFonts w:ascii="Arial" w:hAnsi="Arial" w:cs="Arial" w:eastAsia="Arial" w:hint="default"/>
                <w:sz w:val="14"/>
                <w:szCs w:val="14"/>
              </w:rPr>
            </w:pPr>
            <w:r>
              <w:rPr>
                <w:rFonts w:ascii="Arial"/>
                <w:sz w:val="14"/>
              </w:rPr>
              <w:t>(2,993,014,742)</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9"/>
              <w:jc w:val="right"/>
              <w:rPr>
                <w:rFonts w:ascii="Arial" w:hAnsi="Arial" w:cs="Arial" w:eastAsia="Arial" w:hint="default"/>
                <w:sz w:val="14"/>
                <w:szCs w:val="14"/>
              </w:rPr>
            </w:pPr>
            <w:r>
              <w:rPr>
                <w:rFonts w:ascii="Arial"/>
                <w:spacing w:val="-1"/>
                <w:sz w:val="14"/>
              </w:rPr>
              <w:t>(2,503,550,854)</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1,412,023,687</w:t>
            </w:r>
            <w:r>
              <w:rPr>
                <w:rFonts w:ascii="Arial"/>
                <w:sz w:val="14"/>
              </w:rPr>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205,458,044</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3"/>
              <w:jc w:val="right"/>
              <w:rPr>
                <w:rFonts w:ascii="Arial" w:hAnsi="Arial" w:cs="Arial" w:eastAsia="Arial" w:hint="default"/>
                <w:sz w:val="14"/>
                <w:szCs w:val="14"/>
              </w:rPr>
            </w:pPr>
            <w:r>
              <w:rPr>
                <w:rFonts w:ascii="Arial"/>
                <w:spacing w:val="-1"/>
                <w:sz w:val="14"/>
              </w:rPr>
              <w:t>32,980,122,283</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139,672,418,728</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176,193,756,765</w:t>
            </w:r>
            <w:r>
              <w:rPr>
                <w:rFonts w:ascii="Arial"/>
                <w:sz w:val="14"/>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8"/>
              <w:jc w:val="right"/>
              <w:rPr>
                <w:rFonts w:ascii="Arial" w:hAnsi="Arial" w:cs="Arial" w:eastAsia="Arial" w:hint="default"/>
                <w:sz w:val="14"/>
                <w:szCs w:val="14"/>
              </w:rPr>
            </w:pPr>
            <w:r>
              <w:rPr>
                <w:rFonts w:ascii="Arial"/>
                <w:w w:val="95"/>
                <w:sz w:val="14"/>
              </w:rPr>
              <w:t>315,866,175,493</w:t>
            </w:r>
            <w:r>
              <w:rPr>
                <w:rFonts w:ascii="Arial"/>
                <w:sz w:val="14"/>
              </w:rPr>
            </w:r>
          </w:p>
        </w:tc>
      </w:tr>
      <w:tr>
        <w:trPr>
          <w:trHeight w:val="197"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64" w:lineRule="exact"/>
              <w:ind w:left="43" w:right="0"/>
              <w:jc w:val="left"/>
              <w:rPr>
                <w:rFonts w:ascii="宋体" w:hAnsi="宋体" w:cs="宋体" w:eastAsia="宋体" w:hint="default"/>
                <w:sz w:val="14"/>
                <w:szCs w:val="14"/>
              </w:rPr>
            </w:pPr>
            <w:r>
              <w:rPr>
                <w:rFonts w:ascii="宋体" w:hAnsi="宋体" w:cs="宋体" w:eastAsia="宋体" w:hint="default"/>
                <w:sz w:val="14"/>
                <w:szCs w:val="14"/>
              </w:rPr>
              <w:t>（一）综合收益总额</w:t>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174" w:lineRule="exact"/>
              <w:ind w:left="3" w:right="0"/>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(34),</w:t>
            </w:r>
            <w:r>
              <w:rPr>
                <w:rFonts w:ascii="宋体" w:hAnsi="宋体" w:cs="宋体" w:eastAsia="宋体" w:hint="default"/>
                <w:sz w:val="14"/>
                <w:szCs w:val="14"/>
              </w:rPr>
              <w:t>五</w:t>
            </w:r>
            <w:r>
              <w:rPr>
                <w:rFonts w:ascii="Arial" w:hAnsi="Arial" w:cs="Arial" w:eastAsia="Arial" w:hint="default"/>
                <w:sz w:val="14"/>
                <w:szCs w:val="14"/>
              </w:rPr>
              <w:t>(36)</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6"/>
              <w:jc w:val="right"/>
              <w:rPr>
                <w:rFonts w:ascii="Arial" w:hAnsi="Arial" w:cs="Arial" w:eastAsia="Arial" w:hint="default"/>
                <w:sz w:val="14"/>
                <w:szCs w:val="14"/>
              </w:rPr>
            </w:pPr>
            <w:r>
              <w:rPr>
                <w:rFonts w:ascii="Arial"/>
                <w:w w:val="99"/>
                <w:sz w:val="14"/>
              </w:rPr>
              <w:t>-</w:t>
            </w:r>
            <w:r>
              <w:rPr>
                <w:rFonts w:ascii="Arial"/>
                <w:sz w:val="14"/>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9"/>
              <w:jc w:val="right"/>
              <w:rPr>
                <w:rFonts w:ascii="Arial" w:hAnsi="Arial" w:cs="Arial" w:eastAsia="Arial" w:hint="default"/>
                <w:sz w:val="14"/>
                <w:szCs w:val="14"/>
              </w:rPr>
            </w:pPr>
            <w:r>
              <w:rPr>
                <w:rFonts w:ascii="Arial"/>
                <w:spacing w:val="-1"/>
                <w:sz w:val="14"/>
              </w:rPr>
              <w:t>(220,245,368)</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4,982,083,711</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w w:val="95"/>
                <w:sz w:val="14"/>
              </w:rPr>
              <w:t>4,761,838,343</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w w:val="95"/>
                <w:sz w:val="14"/>
              </w:rPr>
              <w:t>6,001,018,911</w:t>
            </w:r>
            <w:r>
              <w:rPr>
                <w:rFonts w:ascii="Arial"/>
                <w:sz w:val="14"/>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8"/>
              <w:jc w:val="right"/>
              <w:rPr>
                <w:rFonts w:ascii="Arial" w:hAnsi="Arial" w:cs="Arial" w:eastAsia="Arial" w:hint="default"/>
                <w:sz w:val="14"/>
                <w:szCs w:val="14"/>
              </w:rPr>
            </w:pPr>
            <w:r>
              <w:rPr>
                <w:rFonts w:ascii="Arial"/>
                <w:spacing w:val="-1"/>
                <w:sz w:val="14"/>
              </w:rPr>
              <w:t>10,762,857,254</w:t>
            </w:r>
          </w:p>
        </w:tc>
      </w:tr>
      <w:tr>
        <w:trPr>
          <w:trHeight w:val="197"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64" w:lineRule="exact"/>
              <w:ind w:left="43" w:right="0"/>
              <w:jc w:val="left"/>
              <w:rPr>
                <w:rFonts w:ascii="宋体" w:hAnsi="宋体" w:cs="宋体" w:eastAsia="宋体" w:hint="default"/>
                <w:sz w:val="14"/>
                <w:szCs w:val="14"/>
              </w:rPr>
            </w:pPr>
            <w:r>
              <w:rPr>
                <w:rFonts w:ascii="宋体" w:hAnsi="宋体" w:cs="宋体" w:eastAsia="宋体" w:hint="default"/>
                <w:sz w:val="14"/>
                <w:szCs w:val="14"/>
              </w:rPr>
              <w:t>（二）股东投入和减少的资本</w:t>
            </w: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
        </w:tc>
        <w:tc>
          <w:tcPr>
            <w:tcW w:w="1272"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1133"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
        </w:tc>
        <w:tc>
          <w:tcPr>
            <w:tcW w:w="1272"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1301" w:type="dxa"/>
            <w:tcBorders>
              <w:top w:val="single" w:sz="6" w:space="0" w:color="000000"/>
              <w:left w:val="single" w:sz="6" w:space="0" w:color="000000"/>
              <w:bottom w:val="single" w:sz="6" w:space="0" w:color="000000"/>
              <w:right w:val="single" w:sz="6" w:space="0" w:color="000000"/>
            </w:tcBorders>
          </w:tcPr>
          <w:p>
            <w:pPr/>
          </w:p>
        </w:tc>
      </w:tr>
      <w:tr>
        <w:trPr>
          <w:trHeight w:val="374"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left="456" w:right="0"/>
              <w:jc w:val="left"/>
              <w:rPr>
                <w:rFonts w:ascii="宋体" w:hAnsi="宋体" w:cs="宋体" w:eastAsia="宋体" w:hint="default"/>
                <w:sz w:val="14"/>
                <w:szCs w:val="14"/>
              </w:rPr>
            </w:pPr>
            <w:r>
              <w:rPr>
                <w:rFonts w:ascii="Arial" w:hAnsi="Arial" w:cs="Arial" w:eastAsia="Arial" w:hint="default"/>
                <w:sz w:val="14"/>
                <w:szCs w:val="14"/>
              </w:rPr>
              <w:t>1.</w:t>
            </w:r>
            <w:r>
              <w:rPr>
                <w:rFonts w:ascii="宋体" w:hAnsi="宋体" w:cs="宋体" w:eastAsia="宋体" w:hint="default"/>
                <w:sz w:val="14"/>
                <w:szCs w:val="14"/>
              </w:rPr>
              <w:t>股东投入的普通股</w:t>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178" w:lineRule="exact" w:before="1"/>
              <w:ind w:left="292" w:right="55" w:hanging="231"/>
              <w:jc w:val="left"/>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(31),</w:t>
            </w:r>
            <w:r>
              <w:rPr>
                <w:rFonts w:ascii="宋体" w:hAnsi="宋体" w:cs="宋体" w:eastAsia="宋体" w:hint="default"/>
                <w:sz w:val="14"/>
                <w:szCs w:val="14"/>
              </w:rPr>
              <w:t>五</w:t>
            </w:r>
            <w:r>
              <w:rPr>
                <w:rFonts w:ascii="Arial" w:hAnsi="Arial" w:cs="Arial" w:eastAsia="Arial" w:hint="default"/>
                <w:sz w:val="14"/>
                <w:szCs w:val="14"/>
              </w:rPr>
              <w:t>(32),</w:t>
            </w:r>
            <w:r>
              <w:rPr>
                <w:rFonts w:ascii="Arial" w:hAnsi="Arial" w:cs="Arial" w:eastAsia="Arial" w:hint="default"/>
                <w:w w:val="99"/>
                <w:sz w:val="14"/>
                <w:szCs w:val="14"/>
              </w:rPr>
              <w:t> </w:t>
            </w:r>
            <w:r>
              <w:rPr>
                <w:rFonts w:ascii="宋体" w:hAnsi="宋体" w:cs="宋体" w:eastAsia="宋体" w:hint="default"/>
                <w:sz w:val="14"/>
                <w:szCs w:val="14"/>
              </w:rPr>
              <w:t>五</w:t>
            </w:r>
            <w:r>
              <w:rPr>
                <w:rFonts w:ascii="Arial" w:hAnsi="Arial" w:cs="Arial" w:eastAsia="Arial" w:hint="default"/>
                <w:sz w:val="14"/>
                <w:szCs w:val="14"/>
              </w:rPr>
              <w:t>(33)</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黑体" w:hAnsi="黑体" w:cs="黑体" w:eastAsia="黑体" w:hint="default"/>
                <w:sz w:val="15"/>
                <w:szCs w:val="15"/>
              </w:rPr>
            </w:pPr>
          </w:p>
          <w:p>
            <w:pPr>
              <w:pStyle w:val="TableParagraph"/>
              <w:spacing w:line="240" w:lineRule="auto"/>
              <w:ind w:left="364" w:right="0"/>
              <w:jc w:val="left"/>
              <w:rPr>
                <w:rFonts w:ascii="Arial" w:hAnsi="Arial" w:cs="Arial" w:eastAsia="Arial" w:hint="default"/>
                <w:sz w:val="14"/>
                <w:szCs w:val="14"/>
              </w:rPr>
            </w:pPr>
            <w:r>
              <w:rPr>
                <w:rFonts w:ascii="Arial"/>
                <w:sz w:val="14"/>
              </w:rPr>
              <w:t>13,156,000</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黑体" w:hAnsi="黑体" w:cs="黑体" w:eastAsia="黑体" w:hint="default"/>
                <w:sz w:val="15"/>
                <w:szCs w:val="15"/>
              </w:rPr>
            </w:pPr>
          </w:p>
          <w:p>
            <w:pPr>
              <w:pStyle w:val="TableParagraph"/>
              <w:spacing w:line="240" w:lineRule="auto"/>
              <w:ind w:right="69"/>
              <w:jc w:val="right"/>
              <w:rPr>
                <w:rFonts w:ascii="Arial" w:hAnsi="Arial" w:cs="Arial" w:eastAsia="Arial" w:hint="default"/>
                <w:sz w:val="14"/>
                <w:szCs w:val="14"/>
              </w:rPr>
            </w:pPr>
            <w:r>
              <w:rPr>
                <w:rFonts w:ascii="Arial"/>
                <w:spacing w:val="-1"/>
                <w:sz w:val="14"/>
              </w:rPr>
              <w:t>36,705,240</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黑体" w:hAnsi="黑体" w:cs="黑体" w:eastAsia="黑体" w:hint="default"/>
                <w:sz w:val="15"/>
                <w:szCs w:val="15"/>
              </w:rPr>
            </w:pPr>
          </w:p>
          <w:p>
            <w:pPr>
              <w:pStyle w:val="TableParagraph"/>
              <w:spacing w:line="240" w:lineRule="auto"/>
              <w:ind w:right="23"/>
              <w:jc w:val="right"/>
              <w:rPr>
                <w:rFonts w:ascii="Arial" w:hAnsi="Arial" w:cs="Arial" w:eastAsia="Arial" w:hint="default"/>
                <w:sz w:val="14"/>
                <w:szCs w:val="14"/>
              </w:rPr>
            </w:pPr>
            <w:r>
              <w:rPr>
                <w:rFonts w:ascii="Arial"/>
                <w:spacing w:val="-1"/>
                <w:sz w:val="14"/>
              </w:rPr>
              <w:t>(49,861,240)</w:t>
            </w:r>
            <w:r>
              <w:rPr>
                <w:rFonts w:ascii="Arial"/>
                <w:sz w:val="14"/>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黑体" w:hAnsi="黑体" w:cs="黑体" w:eastAsia="黑体" w:hint="default"/>
                <w:sz w:val="15"/>
                <w:szCs w:val="15"/>
              </w:rPr>
            </w:pPr>
          </w:p>
          <w:p>
            <w:pPr>
              <w:pStyle w:val="TableParagraph"/>
              <w:spacing w:line="240" w:lineRule="auto"/>
              <w:ind w:right="66"/>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黑体" w:hAnsi="黑体" w:cs="黑体" w:eastAsia="黑体" w:hint="default"/>
                <w:sz w:val="15"/>
                <w:szCs w:val="15"/>
              </w:rPr>
            </w:pPr>
          </w:p>
          <w:p>
            <w:pPr>
              <w:pStyle w:val="TableParagraph"/>
              <w:spacing w:line="240" w:lineRule="auto"/>
              <w:ind w:right="71"/>
              <w:jc w:val="right"/>
              <w:rPr>
                <w:rFonts w:ascii="Arial" w:hAnsi="Arial" w:cs="Arial" w:eastAsia="Arial" w:hint="default"/>
                <w:sz w:val="14"/>
                <w:szCs w:val="14"/>
              </w:rPr>
            </w:pPr>
            <w:r>
              <w:rPr>
                <w:rFonts w:ascii="Arial"/>
                <w:w w:val="99"/>
                <w:sz w:val="14"/>
              </w:rPr>
              <w:t>-</w:t>
            </w:r>
            <w:r>
              <w:rPr>
                <w:rFonts w:ascii="Arial"/>
                <w:sz w:val="14"/>
              </w:rPr>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黑体" w:hAnsi="黑体" w:cs="黑体" w:eastAsia="黑体" w:hint="default"/>
                <w:sz w:val="15"/>
                <w:szCs w:val="15"/>
              </w:rPr>
            </w:pPr>
          </w:p>
          <w:p>
            <w:pPr>
              <w:pStyle w:val="TableParagraph"/>
              <w:spacing w:line="240" w:lineRule="auto"/>
              <w:ind w:right="71"/>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黑体" w:hAnsi="黑体" w:cs="黑体" w:eastAsia="黑体" w:hint="default"/>
                <w:sz w:val="15"/>
                <w:szCs w:val="15"/>
              </w:rPr>
            </w:pPr>
          </w:p>
          <w:p>
            <w:pPr>
              <w:pStyle w:val="TableParagraph"/>
              <w:spacing w:line="240" w:lineRule="auto"/>
              <w:ind w:right="71"/>
              <w:jc w:val="right"/>
              <w:rPr>
                <w:rFonts w:ascii="Arial" w:hAnsi="Arial" w:cs="Arial" w:eastAsia="Arial" w:hint="default"/>
                <w:sz w:val="14"/>
                <w:szCs w:val="14"/>
              </w:rPr>
            </w:pPr>
            <w:r>
              <w:rPr>
                <w:rFonts w:ascii="Arial"/>
                <w:w w:val="99"/>
                <w:sz w:val="14"/>
              </w:rPr>
              <w:t>-</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黑体" w:hAnsi="黑体" w:cs="黑体" w:eastAsia="黑体" w:hint="default"/>
                <w:sz w:val="15"/>
                <w:szCs w:val="15"/>
              </w:rPr>
            </w:pPr>
          </w:p>
          <w:p>
            <w:pPr>
              <w:pStyle w:val="TableParagraph"/>
              <w:spacing w:line="240" w:lineRule="auto"/>
              <w:ind w:right="71"/>
              <w:jc w:val="right"/>
              <w:rPr>
                <w:rFonts w:ascii="Arial" w:hAnsi="Arial" w:cs="Arial" w:eastAsia="Arial" w:hint="default"/>
                <w:sz w:val="14"/>
                <w:szCs w:val="14"/>
              </w:rPr>
            </w:pPr>
            <w:r>
              <w:rPr>
                <w:rFonts w:ascii="Arial"/>
                <w:w w:val="99"/>
                <w:sz w:val="14"/>
              </w:rPr>
              <w:t>-</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黑体" w:hAnsi="黑体" w:cs="黑体" w:eastAsia="黑体" w:hint="default"/>
                <w:sz w:val="15"/>
                <w:szCs w:val="15"/>
              </w:rPr>
            </w:pPr>
          </w:p>
          <w:p>
            <w:pPr>
              <w:pStyle w:val="TableParagraph"/>
              <w:spacing w:line="240" w:lineRule="auto"/>
              <w:ind w:right="71"/>
              <w:jc w:val="right"/>
              <w:rPr>
                <w:rFonts w:ascii="Arial" w:hAnsi="Arial" w:cs="Arial" w:eastAsia="Arial" w:hint="default"/>
                <w:sz w:val="14"/>
                <w:szCs w:val="14"/>
              </w:rPr>
            </w:pPr>
            <w:r>
              <w:rPr>
                <w:rFonts w:ascii="Arial"/>
                <w:w w:val="99"/>
                <w:sz w:val="14"/>
              </w:rPr>
              <w:t>-</w:t>
            </w:r>
            <w:r>
              <w:rPr>
                <w:rFonts w:ascii="Arial"/>
                <w:sz w:val="14"/>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黑体" w:hAnsi="黑体" w:cs="黑体" w:eastAsia="黑体" w:hint="default"/>
                <w:sz w:val="15"/>
                <w:szCs w:val="15"/>
              </w:rPr>
            </w:pPr>
          </w:p>
          <w:p>
            <w:pPr>
              <w:pStyle w:val="TableParagraph"/>
              <w:spacing w:line="240" w:lineRule="auto"/>
              <w:ind w:right="100"/>
              <w:jc w:val="right"/>
              <w:rPr>
                <w:rFonts w:ascii="Arial" w:hAnsi="Arial" w:cs="Arial" w:eastAsia="Arial" w:hint="default"/>
                <w:sz w:val="14"/>
                <w:szCs w:val="14"/>
              </w:rPr>
            </w:pPr>
            <w:r>
              <w:rPr>
                <w:rFonts w:ascii="Arial"/>
                <w:w w:val="99"/>
                <w:sz w:val="14"/>
              </w:rPr>
              <w:t>-</w:t>
            </w:r>
            <w:r>
              <w:rPr>
                <w:rFonts w:ascii="Arial"/>
                <w:sz w:val="14"/>
              </w:rPr>
            </w:r>
          </w:p>
        </w:tc>
      </w:tr>
      <w:tr>
        <w:trPr>
          <w:trHeight w:val="379"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68" w:lineRule="exact"/>
              <w:ind w:left="456" w:right="0"/>
              <w:jc w:val="left"/>
              <w:rPr>
                <w:rFonts w:ascii="宋体" w:hAnsi="宋体" w:cs="宋体" w:eastAsia="宋体" w:hint="default"/>
                <w:sz w:val="14"/>
                <w:szCs w:val="14"/>
              </w:rPr>
            </w:pPr>
            <w:r>
              <w:rPr>
                <w:rFonts w:ascii="Arial" w:hAnsi="Arial" w:cs="Arial" w:eastAsia="Arial" w:hint="default"/>
                <w:sz w:val="14"/>
                <w:szCs w:val="14"/>
              </w:rPr>
              <w:t>2.</w:t>
            </w:r>
            <w:r>
              <w:rPr>
                <w:rFonts w:ascii="宋体" w:hAnsi="宋体" w:cs="宋体" w:eastAsia="宋体" w:hint="default"/>
                <w:sz w:val="14"/>
                <w:szCs w:val="14"/>
              </w:rPr>
              <w:t>股份支付计入股东权益</w:t>
            </w:r>
          </w:p>
          <w:p>
            <w:pPr>
              <w:pStyle w:val="TableParagraph"/>
              <w:spacing w:line="178" w:lineRule="exact"/>
              <w:ind w:left="292" w:right="0"/>
              <w:jc w:val="left"/>
              <w:rPr>
                <w:rFonts w:ascii="宋体" w:hAnsi="宋体" w:cs="宋体" w:eastAsia="宋体" w:hint="default"/>
                <w:sz w:val="14"/>
                <w:szCs w:val="14"/>
              </w:rPr>
            </w:pPr>
            <w:r>
              <w:rPr>
                <w:rFonts w:ascii="宋体" w:hAnsi="宋体" w:cs="宋体" w:eastAsia="宋体" w:hint="default"/>
                <w:sz w:val="14"/>
                <w:szCs w:val="14"/>
              </w:rPr>
              <w:t>的金额</w:t>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1"/>
              <w:ind w:right="1"/>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(32)</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57"/>
              <w:jc w:val="right"/>
              <w:rPr>
                <w:rFonts w:ascii="Arial" w:hAnsi="Arial" w:cs="Arial" w:eastAsia="Arial" w:hint="default"/>
                <w:sz w:val="14"/>
                <w:szCs w:val="14"/>
              </w:rPr>
            </w:pPr>
            <w:r>
              <w:rPr>
                <w:rFonts w:ascii="Arial"/>
                <w:w w:val="99"/>
                <w:sz w:val="14"/>
              </w:rPr>
              <w:t>-</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69"/>
              <w:jc w:val="right"/>
              <w:rPr>
                <w:rFonts w:ascii="Arial" w:hAnsi="Arial" w:cs="Arial" w:eastAsia="Arial" w:hint="default"/>
                <w:sz w:val="14"/>
                <w:szCs w:val="14"/>
              </w:rPr>
            </w:pPr>
            <w:r>
              <w:rPr>
                <w:rFonts w:ascii="Arial"/>
                <w:spacing w:val="-1"/>
                <w:sz w:val="14"/>
              </w:rPr>
              <w:t>570,670,000</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71"/>
              <w:jc w:val="right"/>
              <w:rPr>
                <w:rFonts w:ascii="Arial" w:hAnsi="Arial" w:cs="Arial" w:eastAsia="Arial" w:hint="default"/>
                <w:sz w:val="14"/>
                <w:szCs w:val="14"/>
              </w:rPr>
            </w:pPr>
            <w:r>
              <w:rPr>
                <w:rFonts w:ascii="Arial"/>
                <w:w w:val="99"/>
                <w:sz w:val="14"/>
              </w:rPr>
              <w:t>-</w:t>
            </w:r>
            <w:r>
              <w:rPr>
                <w:rFonts w:ascii="Arial"/>
                <w:sz w:val="14"/>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66"/>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71"/>
              <w:jc w:val="right"/>
              <w:rPr>
                <w:rFonts w:ascii="Arial" w:hAnsi="Arial" w:cs="Arial" w:eastAsia="Arial" w:hint="default"/>
                <w:sz w:val="14"/>
                <w:szCs w:val="14"/>
              </w:rPr>
            </w:pPr>
            <w:r>
              <w:rPr>
                <w:rFonts w:ascii="Arial"/>
                <w:w w:val="99"/>
                <w:sz w:val="14"/>
              </w:rPr>
              <w:t>-</w:t>
            </w:r>
            <w:r>
              <w:rPr>
                <w:rFonts w:ascii="Arial"/>
                <w:sz w:val="14"/>
              </w:rPr>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71"/>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71"/>
              <w:jc w:val="right"/>
              <w:rPr>
                <w:rFonts w:ascii="Arial" w:hAnsi="Arial" w:cs="Arial" w:eastAsia="Arial" w:hint="default"/>
                <w:sz w:val="14"/>
                <w:szCs w:val="14"/>
              </w:rPr>
            </w:pPr>
            <w:r>
              <w:rPr>
                <w:rFonts w:ascii="Arial"/>
                <w:w w:val="99"/>
                <w:sz w:val="14"/>
              </w:rPr>
              <w:t>-</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74"/>
              <w:jc w:val="right"/>
              <w:rPr>
                <w:rFonts w:ascii="Arial" w:hAnsi="Arial" w:cs="Arial" w:eastAsia="Arial" w:hint="default"/>
                <w:sz w:val="14"/>
                <w:szCs w:val="14"/>
              </w:rPr>
            </w:pPr>
            <w:r>
              <w:rPr>
                <w:rFonts w:ascii="Arial"/>
                <w:spacing w:val="-1"/>
                <w:sz w:val="14"/>
              </w:rPr>
              <w:t>570,670,000</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71"/>
              <w:jc w:val="right"/>
              <w:rPr>
                <w:rFonts w:ascii="Arial" w:hAnsi="Arial" w:cs="Arial" w:eastAsia="Arial" w:hint="default"/>
                <w:sz w:val="14"/>
                <w:szCs w:val="14"/>
              </w:rPr>
            </w:pPr>
            <w:r>
              <w:rPr>
                <w:rFonts w:ascii="Arial"/>
                <w:w w:val="99"/>
                <w:sz w:val="14"/>
              </w:rPr>
              <w:t>-</w:t>
            </w:r>
            <w:r>
              <w:rPr>
                <w:rFonts w:ascii="Arial"/>
                <w:sz w:val="14"/>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103"/>
              <w:jc w:val="right"/>
              <w:rPr>
                <w:rFonts w:ascii="Arial" w:hAnsi="Arial" w:cs="Arial" w:eastAsia="Arial" w:hint="default"/>
                <w:sz w:val="14"/>
                <w:szCs w:val="14"/>
              </w:rPr>
            </w:pPr>
            <w:r>
              <w:rPr>
                <w:rFonts w:ascii="Arial"/>
                <w:spacing w:val="-1"/>
                <w:sz w:val="14"/>
              </w:rPr>
              <w:t>570,670,000</w:t>
            </w:r>
            <w:r>
              <w:rPr>
                <w:rFonts w:ascii="Arial"/>
                <w:sz w:val="14"/>
              </w:rPr>
            </w:r>
          </w:p>
        </w:tc>
      </w:tr>
      <w:tr>
        <w:trPr>
          <w:trHeight w:val="379"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1"/>
              <w:ind w:left="456" w:right="0"/>
              <w:jc w:val="left"/>
              <w:rPr>
                <w:rFonts w:ascii="宋体" w:hAnsi="宋体" w:cs="宋体" w:eastAsia="宋体" w:hint="default"/>
                <w:sz w:val="14"/>
                <w:szCs w:val="14"/>
              </w:rPr>
            </w:pPr>
            <w:r>
              <w:rPr>
                <w:rFonts w:ascii="Arial" w:hAnsi="Arial" w:cs="Arial" w:eastAsia="Arial" w:hint="default"/>
                <w:sz w:val="14"/>
                <w:szCs w:val="14"/>
              </w:rPr>
              <w:t>3.</w:t>
            </w:r>
            <w:r>
              <w:rPr>
                <w:rFonts w:ascii="宋体" w:hAnsi="宋体" w:cs="宋体" w:eastAsia="宋体" w:hint="default"/>
                <w:sz w:val="14"/>
                <w:szCs w:val="14"/>
              </w:rPr>
              <w:t>其他</w:t>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168" w:lineRule="exact"/>
              <w:ind w:left="5" w:right="0"/>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(31),</w:t>
            </w:r>
            <w:r>
              <w:rPr>
                <w:rFonts w:ascii="宋体" w:hAnsi="宋体" w:cs="宋体" w:eastAsia="宋体" w:hint="default"/>
                <w:sz w:val="14"/>
                <w:szCs w:val="14"/>
              </w:rPr>
              <w:t>五</w:t>
            </w:r>
            <w:r>
              <w:rPr>
                <w:rFonts w:ascii="Arial" w:hAnsi="Arial" w:cs="Arial" w:eastAsia="Arial" w:hint="default"/>
                <w:sz w:val="14"/>
                <w:szCs w:val="14"/>
              </w:rPr>
              <w:t>(32),</w:t>
            </w:r>
          </w:p>
          <w:p>
            <w:pPr>
              <w:pStyle w:val="TableParagraph"/>
              <w:spacing w:line="188" w:lineRule="exact"/>
              <w:ind w:right="1"/>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(33)</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19"/>
              <w:jc w:val="right"/>
              <w:rPr>
                <w:rFonts w:ascii="Arial" w:hAnsi="Arial" w:cs="Arial" w:eastAsia="Arial" w:hint="default"/>
                <w:sz w:val="14"/>
                <w:szCs w:val="14"/>
              </w:rPr>
            </w:pPr>
            <w:r>
              <w:rPr>
                <w:rFonts w:ascii="Arial"/>
                <w:spacing w:val="-1"/>
                <w:w w:val="95"/>
                <w:sz w:val="14"/>
              </w:rPr>
              <w:t>(7,262,000)</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23"/>
              <w:jc w:val="right"/>
              <w:rPr>
                <w:rFonts w:ascii="Arial" w:hAnsi="Arial" w:cs="Arial" w:eastAsia="Arial" w:hint="default"/>
                <w:sz w:val="14"/>
                <w:szCs w:val="14"/>
              </w:rPr>
            </w:pPr>
            <w:r>
              <w:rPr>
                <w:rFonts w:ascii="Arial"/>
                <w:spacing w:val="-1"/>
                <w:sz w:val="14"/>
              </w:rPr>
              <w:t>(43,402,298)</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74"/>
              <w:jc w:val="right"/>
              <w:rPr>
                <w:rFonts w:ascii="Arial" w:hAnsi="Arial" w:cs="Arial" w:eastAsia="Arial" w:hint="default"/>
                <w:sz w:val="14"/>
                <w:szCs w:val="14"/>
              </w:rPr>
            </w:pPr>
            <w:r>
              <w:rPr>
                <w:rFonts w:ascii="Arial"/>
                <w:spacing w:val="-1"/>
                <w:sz w:val="14"/>
              </w:rPr>
              <w:t>27,522,980</w:t>
            </w:r>
            <w:r>
              <w:rPr>
                <w:rFonts w:ascii="Arial"/>
                <w:sz w:val="14"/>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66"/>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71"/>
              <w:jc w:val="right"/>
              <w:rPr>
                <w:rFonts w:ascii="Arial" w:hAnsi="Arial" w:cs="Arial" w:eastAsia="Arial" w:hint="default"/>
                <w:sz w:val="14"/>
                <w:szCs w:val="14"/>
              </w:rPr>
            </w:pPr>
            <w:r>
              <w:rPr>
                <w:rFonts w:ascii="Arial"/>
                <w:w w:val="99"/>
                <w:sz w:val="14"/>
              </w:rPr>
              <w:t>-</w:t>
            </w:r>
            <w:r>
              <w:rPr>
                <w:rFonts w:ascii="Arial"/>
                <w:sz w:val="14"/>
              </w:rPr>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71"/>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71"/>
              <w:jc w:val="right"/>
              <w:rPr>
                <w:rFonts w:ascii="Arial" w:hAnsi="Arial" w:cs="Arial" w:eastAsia="Arial" w:hint="default"/>
                <w:sz w:val="14"/>
                <w:szCs w:val="14"/>
              </w:rPr>
            </w:pPr>
            <w:r>
              <w:rPr>
                <w:rFonts w:ascii="Arial"/>
                <w:w w:val="99"/>
                <w:sz w:val="14"/>
              </w:rPr>
              <w:t>-</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23"/>
              <w:jc w:val="right"/>
              <w:rPr>
                <w:rFonts w:ascii="Arial" w:hAnsi="Arial" w:cs="Arial" w:eastAsia="Arial" w:hint="default"/>
                <w:sz w:val="14"/>
                <w:szCs w:val="14"/>
              </w:rPr>
            </w:pPr>
            <w:r>
              <w:rPr>
                <w:rFonts w:ascii="Arial"/>
                <w:spacing w:val="-1"/>
                <w:sz w:val="14"/>
              </w:rPr>
              <w:t>(23,141,318)</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26"/>
              <w:jc w:val="right"/>
              <w:rPr>
                <w:rFonts w:ascii="Arial" w:hAnsi="Arial" w:cs="Arial" w:eastAsia="Arial" w:hint="default"/>
                <w:sz w:val="14"/>
                <w:szCs w:val="14"/>
              </w:rPr>
            </w:pPr>
            <w:r>
              <w:rPr>
                <w:rFonts w:ascii="Arial"/>
                <w:spacing w:val="-1"/>
                <w:sz w:val="14"/>
              </w:rPr>
              <w:t>272,477,408</w:t>
            </w:r>
            <w:r>
              <w:rPr>
                <w:rFonts w:ascii="Arial"/>
                <w:sz w:val="14"/>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103"/>
              <w:jc w:val="right"/>
              <w:rPr>
                <w:rFonts w:ascii="Arial" w:hAnsi="Arial" w:cs="Arial" w:eastAsia="Arial" w:hint="default"/>
                <w:sz w:val="14"/>
                <w:szCs w:val="14"/>
              </w:rPr>
            </w:pPr>
            <w:r>
              <w:rPr>
                <w:rFonts w:ascii="Arial"/>
                <w:spacing w:val="-1"/>
                <w:sz w:val="14"/>
              </w:rPr>
              <w:t>249,336,090</w:t>
            </w:r>
            <w:r>
              <w:rPr>
                <w:rFonts w:ascii="Arial"/>
                <w:sz w:val="14"/>
              </w:rPr>
            </w:r>
          </w:p>
        </w:tc>
      </w:tr>
      <w:tr>
        <w:trPr>
          <w:trHeight w:val="197"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64" w:lineRule="exact"/>
              <w:ind w:left="43" w:right="0"/>
              <w:jc w:val="left"/>
              <w:rPr>
                <w:rFonts w:ascii="宋体" w:hAnsi="宋体" w:cs="宋体" w:eastAsia="宋体" w:hint="default"/>
                <w:sz w:val="14"/>
                <w:szCs w:val="14"/>
              </w:rPr>
            </w:pPr>
            <w:r>
              <w:rPr>
                <w:rFonts w:ascii="宋体" w:hAnsi="宋体" w:cs="宋体" w:eastAsia="宋体" w:hint="default"/>
                <w:sz w:val="14"/>
                <w:szCs w:val="14"/>
              </w:rPr>
              <w:t>（三）利润分配</w:t>
            </w: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
        </w:tc>
        <w:tc>
          <w:tcPr>
            <w:tcW w:w="1272"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1133"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
        </w:tc>
        <w:tc>
          <w:tcPr>
            <w:tcW w:w="1272"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1301" w:type="dxa"/>
            <w:tcBorders>
              <w:top w:val="single" w:sz="6" w:space="0" w:color="000000"/>
              <w:left w:val="single" w:sz="6" w:space="0" w:color="000000"/>
              <w:bottom w:val="single" w:sz="6" w:space="0" w:color="000000"/>
              <w:right w:val="single" w:sz="6" w:space="0" w:color="000000"/>
            </w:tcBorders>
          </w:tcPr>
          <w:p>
            <w:pPr/>
          </w:p>
        </w:tc>
      </w:tr>
      <w:tr>
        <w:trPr>
          <w:trHeight w:val="197"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74" w:lineRule="exact"/>
              <w:ind w:left="456" w:right="0"/>
              <w:jc w:val="left"/>
              <w:rPr>
                <w:rFonts w:ascii="宋体" w:hAnsi="宋体" w:cs="宋体" w:eastAsia="宋体" w:hint="default"/>
                <w:sz w:val="14"/>
                <w:szCs w:val="14"/>
              </w:rPr>
            </w:pPr>
            <w:r>
              <w:rPr>
                <w:rFonts w:ascii="Arial" w:hAnsi="Arial" w:cs="Arial" w:eastAsia="Arial" w:hint="default"/>
                <w:sz w:val="14"/>
                <w:szCs w:val="14"/>
              </w:rPr>
              <w:t>1.</w:t>
            </w:r>
            <w:r>
              <w:rPr>
                <w:rFonts w:ascii="宋体" w:hAnsi="宋体" w:cs="宋体" w:eastAsia="宋体" w:hint="default"/>
                <w:sz w:val="14"/>
                <w:szCs w:val="14"/>
              </w:rPr>
              <w:t>提取盈余公积</w:t>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174" w:lineRule="exact"/>
              <w:ind w:left="3" w:right="0"/>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(35),</w:t>
            </w:r>
            <w:r>
              <w:rPr>
                <w:rFonts w:ascii="宋体" w:hAnsi="宋体" w:cs="宋体" w:eastAsia="宋体" w:hint="default"/>
                <w:sz w:val="14"/>
                <w:szCs w:val="14"/>
              </w:rPr>
              <w:t>五</w:t>
            </w:r>
            <w:r>
              <w:rPr>
                <w:rFonts w:ascii="Arial" w:hAnsi="Arial" w:cs="Arial" w:eastAsia="Arial" w:hint="default"/>
                <w:sz w:val="14"/>
                <w:szCs w:val="14"/>
              </w:rPr>
              <w:t>(36)</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57"/>
              <w:jc w:val="right"/>
              <w:rPr>
                <w:rFonts w:ascii="Arial" w:hAnsi="Arial" w:cs="Arial" w:eastAsia="Arial" w:hint="default"/>
                <w:sz w:val="14"/>
                <w:szCs w:val="14"/>
              </w:rPr>
            </w:pPr>
            <w:r>
              <w:rPr>
                <w:rFonts w:ascii="Arial"/>
                <w:w w:val="99"/>
                <w:sz w:val="14"/>
              </w:rPr>
              <w:t>-</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6"/>
              <w:jc w:val="right"/>
              <w:rPr>
                <w:rFonts w:ascii="Arial" w:hAnsi="Arial" w:cs="Arial" w:eastAsia="Arial" w:hint="default"/>
                <w:sz w:val="14"/>
                <w:szCs w:val="14"/>
              </w:rPr>
            </w:pPr>
            <w:r>
              <w:rPr>
                <w:rFonts w:ascii="Arial"/>
                <w:w w:val="99"/>
                <w:sz w:val="14"/>
              </w:rPr>
              <w:t>-</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6"/>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189,337,019</w:t>
            </w:r>
            <w:r>
              <w:rPr>
                <w:rFonts w:ascii="Arial"/>
                <w:sz w:val="14"/>
              </w:rPr>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38"/>
              <w:jc w:val="right"/>
              <w:rPr>
                <w:rFonts w:ascii="Arial" w:hAnsi="Arial" w:cs="Arial" w:eastAsia="Arial" w:hint="default"/>
                <w:sz w:val="14"/>
                <w:szCs w:val="14"/>
              </w:rPr>
            </w:pPr>
            <w:r>
              <w:rPr>
                <w:rFonts w:ascii="Arial"/>
                <w:spacing w:val="-1"/>
                <w:sz w:val="14"/>
              </w:rPr>
              <w:t>(189,337,019)</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81"/>
              <w:jc w:val="right"/>
              <w:rPr>
                <w:rFonts w:ascii="Arial" w:hAnsi="Arial" w:cs="Arial" w:eastAsia="Arial" w:hint="default"/>
                <w:sz w:val="14"/>
                <w:szCs w:val="14"/>
              </w:rPr>
            </w:pPr>
            <w:r>
              <w:rPr>
                <w:rFonts w:ascii="Arial"/>
                <w:w w:val="99"/>
                <w:sz w:val="14"/>
              </w:rPr>
              <w:t>-</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81"/>
              <w:jc w:val="right"/>
              <w:rPr>
                <w:rFonts w:ascii="Arial" w:hAnsi="Arial" w:cs="Arial" w:eastAsia="Arial" w:hint="default"/>
                <w:sz w:val="14"/>
                <w:szCs w:val="14"/>
              </w:rPr>
            </w:pPr>
            <w:r>
              <w:rPr>
                <w:rFonts w:ascii="Arial"/>
                <w:w w:val="99"/>
                <w:sz w:val="14"/>
              </w:rPr>
              <w:t>-</w:t>
            </w:r>
            <w:r>
              <w:rPr>
                <w:rFonts w:ascii="Arial"/>
                <w:sz w:val="14"/>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0"/>
              <w:jc w:val="right"/>
              <w:rPr>
                <w:rFonts w:ascii="Arial" w:hAnsi="Arial" w:cs="Arial" w:eastAsia="Arial" w:hint="default"/>
                <w:sz w:val="14"/>
                <w:szCs w:val="14"/>
              </w:rPr>
            </w:pPr>
            <w:r>
              <w:rPr>
                <w:rFonts w:ascii="Arial"/>
                <w:w w:val="99"/>
                <w:sz w:val="14"/>
              </w:rPr>
              <w:t>-</w:t>
            </w:r>
            <w:r>
              <w:rPr>
                <w:rFonts w:ascii="Arial"/>
                <w:sz w:val="14"/>
              </w:rPr>
            </w:r>
          </w:p>
        </w:tc>
      </w:tr>
      <w:tr>
        <w:trPr>
          <w:trHeight w:val="197"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74" w:lineRule="exact"/>
              <w:ind w:left="456" w:right="0"/>
              <w:jc w:val="left"/>
              <w:rPr>
                <w:rFonts w:ascii="宋体" w:hAnsi="宋体" w:cs="宋体" w:eastAsia="宋体" w:hint="default"/>
                <w:sz w:val="14"/>
                <w:szCs w:val="14"/>
              </w:rPr>
            </w:pPr>
            <w:r>
              <w:rPr>
                <w:rFonts w:ascii="Arial" w:hAnsi="Arial" w:cs="Arial" w:eastAsia="Arial" w:hint="default"/>
                <w:sz w:val="14"/>
                <w:szCs w:val="14"/>
              </w:rPr>
              <w:t>2.</w:t>
            </w:r>
            <w:r>
              <w:rPr>
                <w:rFonts w:ascii="宋体" w:hAnsi="宋体" w:cs="宋体" w:eastAsia="宋体" w:hint="default"/>
                <w:sz w:val="14"/>
                <w:szCs w:val="14"/>
              </w:rPr>
              <w:t>对股东的分配</w:t>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174" w:lineRule="exact"/>
              <w:ind w:right="1"/>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(36)</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57"/>
              <w:jc w:val="right"/>
              <w:rPr>
                <w:rFonts w:ascii="Arial" w:hAnsi="Arial" w:cs="Arial" w:eastAsia="Arial" w:hint="default"/>
                <w:sz w:val="14"/>
                <w:szCs w:val="14"/>
              </w:rPr>
            </w:pPr>
            <w:r>
              <w:rPr>
                <w:rFonts w:ascii="Arial"/>
                <w:w w:val="99"/>
                <w:sz w:val="14"/>
              </w:rPr>
              <w:t>-</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6"/>
              <w:jc w:val="right"/>
              <w:rPr>
                <w:rFonts w:ascii="Arial" w:hAnsi="Arial" w:cs="Arial" w:eastAsia="Arial" w:hint="default"/>
                <w:sz w:val="14"/>
                <w:szCs w:val="14"/>
              </w:rPr>
            </w:pPr>
            <w:r>
              <w:rPr>
                <w:rFonts w:ascii="Arial"/>
                <w:w w:val="99"/>
                <w:sz w:val="14"/>
              </w:rPr>
              <w:t>-</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6"/>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38"/>
              <w:jc w:val="right"/>
              <w:rPr>
                <w:rFonts w:ascii="Arial" w:hAnsi="Arial" w:cs="Arial" w:eastAsia="Arial" w:hint="default"/>
                <w:sz w:val="14"/>
                <w:szCs w:val="14"/>
              </w:rPr>
            </w:pPr>
            <w:r>
              <w:rPr>
                <w:rFonts w:ascii="Arial"/>
                <w:spacing w:val="-1"/>
                <w:sz w:val="14"/>
              </w:rPr>
              <w:t>(1,654,483,578)</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38"/>
              <w:jc w:val="right"/>
              <w:rPr>
                <w:rFonts w:ascii="Arial" w:hAnsi="Arial" w:cs="Arial" w:eastAsia="Arial" w:hint="default"/>
                <w:sz w:val="14"/>
                <w:szCs w:val="14"/>
              </w:rPr>
            </w:pPr>
            <w:r>
              <w:rPr>
                <w:rFonts w:ascii="Arial"/>
                <w:spacing w:val="-1"/>
                <w:sz w:val="14"/>
              </w:rPr>
              <w:t>(1,654,483,578)</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28"/>
              <w:jc w:val="right"/>
              <w:rPr>
                <w:rFonts w:ascii="Arial" w:hAnsi="Arial" w:cs="Arial" w:eastAsia="Arial" w:hint="default"/>
                <w:sz w:val="14"/>
                <w:szCs w:val="14"/>
              </w:rPr>
            </w:pPr>
            <w:r>
              <w:rPr>
                <w:rFonts w:ascii="Arial"/>
                <w:spacing w:val="-1"/>
                <w:sz w:val="14"/>
              </w:rPr>
              <w:t>(2,298,636,352)</w:t>
            </w:r>
            <w:r>
              <w:rPr>
                <w:rFonts w:ascii="Arial"/>
                <w:sz w:val="14"/>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33"/>
              <w:jc w:val="right"/>
              <w:rPr>
                <w:rFonts w:ascii="Arial" w:hAnsi="Arial" w:cs="Arial" w:eastAsia="Arial" w:hint="default"/>
                <w:sz w:val="14"/>
                <w:szCs w:val="14"/>
              </w:rPr>
            </w:pPr>
            <w:r>
              <w:rPr>
                <w:rFonts w:ascii="Arial"/>
                <w:spacing w:val="-1"/>
                <w:sz w:val="14"/>
              </w:rPr>
              <w:t>(3,953,119,930)</w:t>
            </w:r>
            <w:r>
              <w:rPr>
                <w:rFonts w:ascii="Arial"/>
                <w:sz w:val="14"/>
              </w:rPr>
            </w:r>
          </w:p>
        </w:tc>
      </w:tr>
      <w:tr>
        <w:trPr>
          <w:trHeight w:val="197"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74" w:lineRule="exact"/>
              <w:ind w:left="456" w:right="0"/>
              <w:jc w:val="left"/>
              <w:rPr>
                <w:rFonts w:ascii="宋体" w:hAnsi="宋体" w:cs="宋体" w:eastAsia="宋体" w:hint="default"/>
                <w:sz w:val="14"/>
                <w:szCs w:val="14"/>
              </w:rPr>
            </w:pPr>
            <w:r>
              <w:rPr>
                <w:rFonts w:ascii="Arial" w:hAnsi="Arial" w:cs="Arial" w:eastAsia="Arial" w:hint="default"/>
                <w:sz w:val="14"/>
                <w:szCs w:val="14"/>
              </w:rPr>
              <w:t>3.</w:t>
            </w:r>
            <w:r>
              <w:rPr>
                <w:rFonts w:ascii="宋体" w:hAnsi="宋体" w:cs="宋体" w:eastAsia="宋体" w:hint="default"/>
                <w:sz w:val="14"/>
                <w:szCs w:val="14"/>
              </w:rPr>
              <w:t>提取一般风险准备</w:t>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174" w:lineRule="exact"/>
              <w:ind w:right="1"/>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(36)</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57"/>
              <w:jc w:val="right"/>
              <w:rPr>
                <w:rFonts w:ascii="Arial" w:hAnsi="Arial" w:cs="Arial" w:eastAsia="Arial" w:hint="default"/>
                <w:sz w:val="14"/>
                <w:szCs w:val="14"/>
              </w:rPr>
            </w:pPr>
            <w:r>
              <w:rPr>
                <w:rFonts w:ascii="Arial"/>
                <w:w w:val="99"/>
                <w:sz w:val="14"/>
              </w:rPr>
              <w:t>-</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6"/>
              <w:jc w:val="right"/>
              <w:rPr>
                <w:rFonts w:ascii="Arial" w:hAnsi="Arial" w:cs="Arial" w:eastAsia="Arial" w:hint="default"/>
                <w:sz w:val="14"/>
                <w:szCs w:val="14"/>
              </w:rPr>
            </w:pPr>
            <w:r>
              <w:rPr>
                <w:rFonts w:ascii="Arial"/>
                <w:w w:val="99"/>
                <w:sz w:val="14"/>
              </w:rPr>
              <w:t>-</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6"/>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94,980,072</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33"/>
              <w:jc w:val="right"/>
              <w:rPr>
                <w:rFonts w:ascii="Arial" w:hAnsi="Arial" w:cs="Arial" w:eastAsia="Arial" w:hint="default"/>
                <w:sz w:val="14"/>
                <w:szCs w:val="14"/>
              </w:rPr>
            </w:pPr>
            <w:r>
              <w:rPr>
                <w:rFonts w:ascii="Arial"/>
                <w:spacing w:val="-1"/>
                <w:sz w:val="14"/>
              </w:rPr>
              <w:t>(94,980,072)</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81"/>
              <w:jc w:val="right"/>
              <w:rPr>
                <w:rFonts w:ascii="Arial" w:hAnsi="Arial" w:cs="Arial" w:eastAsia="Arial" w:hint="default"/>
                <w:sz w:val="14"/>
                <w:szCs w:val="14"/>
              </w:rPr>
            </w:pPr>
            <w:r>
              <w:rPr>
                <w:rFonts w:ascii="Arial"/>
                <w:w w:val="99"/>
                <w:sz w:val="14"/>
              </w:rPr>
              <w:t>-</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81"/>
              <w:jc w:val="right"/>
              <w:rPr>
                <w:rFonts w:ascii="Arial" w:hAnsi="Arial" w:cs="Arial" w:eastAsia="Arial" w:hint="default"/>
                <w:sz w:val="14"/>
                <w:szCs w:val="14"/>
              </w:rPr>
            </w:pPr>
            <w:r>
              <w:rPr>
                <w:rFonts w:ascii="Arial"/>
                <w:w w:val="99"/>
                <w:sz w:val="14"/>
              </w:rPr>
              <w:t>-</w:t>
            </w:r>
            <w:r>
              <w:rPr>
                <w:rFonts w:ascii="Arial"/>
                <w:sz w:val="14"/>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0"/>
              <w:jc w:val="right"/>
              <w:rPr>
                <w:rFonts w:ascii="Arial" w:hAnsi="Arial" w:cs="Arial" w:eastAsia="Arial" w:hint="default"/>
                <w:sz w:val="14"/>
                <w:szCs w:val="14"/>
              </w:rPr>
            </w:pPr>
            <w:r>
              <w:rPr>
                <w:rFonts w:ascii="Arial"/>
                <w:w w:val="99"/>
                <w:sz w:val="14"/>
              </w:rPr>
              <w:t>-</w:t>
            </w:r>
            <w:r>
              <w:rPr>
                <w:rFonts w:ascii="Arial"/>
                <w:sz w:val="14"/>
              </w:rPr>
            </w:r>
          </w:p>
        </w:tc>
      </w:tr>
      <w:tr>
        <w:trPr>
          <w:trHeight w:val="197"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74" w:lineRule="exact"/>
              <w:ind w:left="33" w:right="0"/>
              <w:jc w:val="left"/>
              <w:rPr>
                <w:rFonts w:ascii="宋体" w:hAnsi="宋体" w:cs="宋体" w:eastAsia="宋体" w:hint="default"/>
                <w:sz w:val="14"/>
                <w:szCs w:val="14"/>
              </w:rPr>
            </w:pPr>
            <w:r>
              <w:rPr>
                <w:rFonts w:ascii="Arial" w:hAnsi="Arial" w:cs="Arial" w:eastAsia="Arial" w:hint="default"/>
                <w:sz w:val="14"/>
                <w:szCs w:val="14"/>
              </w:rPr>
              <w:t>2019</w:t>
            </w:r>
            <w:r>
              <w:rPr>
                <w:rFonts w:ascii="Arial" w:hAnsi="Arial" w:cs="Arial" w:eastAsia="Arial" w:hint="default"/>
                <w:spacing w:val="-4"/>
                <w:sz w:val="14"/>
                <w:szCs w:val="14"/>
              </w:rPr>
              <w:t> </w:t>
            </w:r>
            <w:r>
              <w:rPr>
                <w:rFonts w:ascii="宋体" w:hAnsi="宋体" w:cs="宋体" w:eastAsia="宋体" w:hint="default"/>
                <w:sz w:val="14"/>
                <w:szCs w:val="14"/>
              </w:rPr>
              <w:t>年</w:t>
            </w:r>
            <w:r>
              <w:rPr>
                <w:rFonts w:ascii="宋体" w:hAnsi="宋体" w:cs="宋体" w:eastAsia="宋体" w:hint="default"/>
                <w:spacing w:val="-39"/>
                <w:sz w:val="14"/>
                <w:szCs w:val="14"/>
              </w:rPr>
              <w:t> </w:t>
            </w:r>
            <w:r>
              <w:rPr>
                <w:rFonts w:ascii="Arial" w:hAnsi="Arial" w:cs="Arial" w:eastAsia="Arial" w:hint="default"/>
                <w:sz w:val="14"/>
                <w:szCs w:val="14"/>
              </w:rPr>
              <w:t>12</w:t>
            </w:r>
            <w:r>
              <w:rPr>
                <w:rFonts w:ascii="Arial" w:hAnsi="Arial" w:cs="Arial" w:eastAsia="Arial" w:hint="default"/>
                <w:spacing w:val="-4"/>
                <w:sz w:val="14"/>
                <w:szCs w:val="14"/>
              </w:rPr>
              <w:t> </w:t>
            </w:r>
            <w:r>
              <w:rPr>
                <w:rFonts w:ascii="宋体" w:hAnsi="宋体" w:cs="宋体" w:eastAsia="宋体" w:hint="default"/>
                <w:sz w:val="14"/>
                <w:szCs w:val="14"/>
              </w:rPr>
              <w:t>月</w:t>
            </w:r>
            <w:r>
              <w:rPr>
                <w:rFonts w:ascii="宋体" w:hAnsi="宋体" w:cs="宋体" w:eastAsia="宋体" w:hint="default"/>
                <w:spacing w:val="-39"/>
                <w:sz w:val="14"/>
                <w:szCs w:val="14"/>
              </w:rPr>
              <w:t> </w:t>
            </w:r>
            <w:r>
              <w:rPr>
                <w:rFonts w:ascii="Arial" w:hAnsi="Arial" w:cs="Arial" w:eastAsia="Arial" w:hint="default"/>
                <w:sz w:val="14"/>
                <w:szCs w:val="14"/>
              </w:rPr>
              <w:t>31</w:t>
            </w:r>
            <w:r>
              <w:rPr>
                <w:rFonts w:ascii="Arial" w:hAnsi="Arial" w:cs="Arial" w:eastAsia="Arial" w:hint="default"/>
                <w:spacing w:val="-8"/>
                <w:sz w:val="14"/>
                <w:szCs w:val="14"/>
              </w:rPr>
              <w:t> </w:t>
            </w:r>
            <w:r>
              <w:rPr>
                <w:rFonts w:ascii="宋体" w:hAnsi="宋体" w:cs="宋体" w:eastAsia="宋体" w:hint="default"/>
                <w:sz w:val="14"/>
                <w:szCs w:val="14"/>
              </w:rPr>
              <w:t>日年末余额</w:t>
            </w: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91" w:right="0"/>
              <w:jc w:val="left"/>
              <w:rPr>
                <w:rFonts w:ascii="Arial" w:hAnsi="Arial" w:cs="Arial" w:eastAsia="Arial" w:hint="default"/>
                <w:sz w:val="14"/>
                <w:szCs w:val="14"/>
              </w:rPr>
            </w:pPr>
            <w:r>
              <w:rPr>
                <w:rFonts w:ascii="Arial"/>
                <w:sz w:val="14"/>
              </w:rPr>
              <w:t>31,033,705,687</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9"/>
              <w:jc w:val="right"/>
              <w:rPr>
                <w:rFonts w:ascii="Arial" w:hAnsi="Arial" w:cs="Arial" w:eastAsia="Arial" w:hint="default"/>
                <w:sz w:val="14"/>
                <w:szCs w:val="14"/>
              </w:rPr>
            </w:pPr>
            <w:r>
              <w:rPr>
                <w:rFonts w:ascii="Arial"/>
                <w:spacing w:val="-1"/>
                <w:sz w:val="14"/>
              </w:rPr>
              <w:t>80,107,541,565</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9"/>
              <w:jc w:val="right"/>
              <w:rPr>
                <w:rFonts w:ascii="Arial" w:hAnsi="Arial" w:cs="Arial" w:eastAsia="Arial" w:hint="default"/>
                <w:sz w:val="14"/>
                <w:szCs w:val="14"/>
              </w:rPr>
            </w:pPr>
            <w:r>
              <w:rPr>
                <w:rFonts w:ascii="Arial"/>
                <w:spacing w:val="-1"/>
                <w:sz w:val="14"/>
              </w:rPr>
              <w:t>(3,015,353,002)</w:t>
            </w:r>
            <w:r>
              <w:rPr>
                <w:rFonts w:ascii="Arial"/>
                <w:sz w:val="14"/>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9"/>
              <w:jc w:val="right"/>
              <w:rPr>
                <w:rFonts w:ascii="Arial" w:hAnsi="Arial" w:cs="Arial" w:eastAsia="Arial" w:hint="default"/>
                <w:sz w:val="14"/>
                <w:szCs w:val="14"/>
              </w:rPr>
            </w:pPr>
            <w:r>
              <w:rPr>
                <w:rFonts w:ascii="Arial"/>
                <w:spacing w:val="-1"/>
                <w:sz w:val="14"/>
              </w:rPr>
              <w:t>(2,723,796,222)</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w w:val="95"/>
                <w:sz w:val="14"/>
              </w:rPr>
              <w:t>1,601,360,706</w:t>
            </w:r>
            <w:r>
              <w:rPr>
                <w:rFonts w:ascii="Arial"/>
                <w:sz w:val="14"/>
              </w:rPr>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300,438,116</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9"/>
              <w:jc w:val="right"/>
              <w:rPr>
                <w:rFonts w:ascii="Arial" w:hAnsi="Arial" w:cs="Arial" w:eastAsia="Arial" w:hint="default"/>
                <w:sz w:val="14"/>
                <w:szCs w:val="14"/>
              </w:rPr>
            </w:pPr>
            <w:r>
              <w:rPr>
                <w:rFonts w:ascii="Arial"/>
                <w:spacing w:val="-1"/>
                <w:sz w:val="14"/>
              </w:rPr>
              <w:t>36,023,405,325</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143,327,302,175</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180,168,616,732</w:t>
            </w:r>
            <w:r>
              <w:rPr>
                <w:rFonts w:ascii="Arial"/>
                <w:sz w:val="14"/>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9"/>
              <w:jc w:val="right"/>
              <w:rPr>
                <w:rFonts w:ascii="Arial" w:hAnsi="Arial" w:cs="Arial" w:eastAsia="Arial" w:hint="default"/>
                <w:sz w:val="14"/>
                <w:szCs w:val="14"/>
              </w:rPr>
            </w:pPr>
            <w:r>
              <w:rPr>
                <w:rFonts w:ascii="Arial"/>
                <w:spacing w:val="-1"/>
                <w:sz w:val="14"/>
              </w:rPr>
              <w:t>323,495,918,907</w:t>
            </w:r>
            <w:r>
              <w:rPr>
                <w:rFonts w:ascii="Arial"/>
                <w:sz w:val="14"/>
              </w:rPr>
            </w:r>
          </w:p>
        </w:tc>
      </w:tr>
      <w:tr>
        <w:trPr>
          <w:trHeight w:val="173" w:hRule="exact"/>
        </w:trPr>
        <w:tc>
          <w:tcPr>
            <w:tcW w:w="2102" w:type="dxa"/>
            <w:tcBorders>
              <w:top w:val="single" w:sz="6" w:space="0" w:color="000000"/>
              <w:left w:val="single" w:sz="6" w:space="0" w:color="000000"/>
              <w:bottom w:val="single" w:sz="6" w:space="0" w:color="000000"/>
              <w:right w:val="single" w:sz="6" w:space="0" w:color="000000"/>
            </w:tcBorders>
          </w:tcPr>
          <w:p>
            <w:pP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
        </w:tc>
        <w:tc>
          <w:tcPr>
            <w:tcW w:w="1272"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1133"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
        </w:tc>
        <w:tc>
          <w:tcPr>
            <w:tcW w:w="1272"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1301" w:type="dxa"/>
            <w:tcBorders>
              <w:top w:val="single" w:sz="6" w:space="0" w:color="000000"/>
              <w:left w:val="single" w:sz="6" w:space="0" w:color="000000"/>
              <w:bottom w:val="single" w:sz="6" w:space="0" w:color="000000"/>
              <w:right w:val="single" w:sz="6" w:space="0" w:color="000000"/>
            </w:tcBorders>
          </w:tcPr>
          <w:p>
            <w:pPr/>
          </w:p>
        </w:tc>
      </w:tr>
      <w:tr>
        <w:trPr>
          <w:trHeight w:val="197"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74" w:lineRule="exact"/>
              <w:ind w:left="43" w:right="0"/>
              <w:jc w:val="left"/>
              <w:rPr>
                <w:rFonts w:ascii="宋体" w:hAnsi="宋体" w:cs="宋体" w:eastAsia="宋体" w:hint="default"/>
                <w:sz w:val="14"/>
                <w:szCs w:val="14"/>
              </w:rPr>
            </w:pPr>
            <w:r>
              <w:rPr>
                <w:rFonts w:ascii="Arial" w:hAnsi="Arial" w:cs="Arial" w:eastAsia="Arial" w:hint="default"/>
                <w:sz w:val="14"/>
                <w:szCs w:val="14"/>
              </w:rPr>
              <w:t>2018</w:t>
            </w:r>
            <w:r>
              <w:rPr>
                <w:rFonts w:ascii="Arial" w:hAnsi="Arial" w:cs="Arial" w:eastAsia="Arial" w:hint="default"/>
                <w:spacing w:val="-4"/>
                <w:sz w:val="14"/>
                <w:szCs w:val="14"/>
              </w:rPr>
              <w:t> </w:t>
            </w:r>
            <w:r>
              <w:rPr>
                <w:rFonts w:ascii="宋体" w:hAnsi="宋体" w:cs="宋体" w:eastAsia="宋体" w:hint="default"/>
                <w:sz w:val="14"/>
                <w:szCs w:val="14"/>
              </w:rPr>
              <w:t>年</w:t>
            </w:r>
            <w:r>
              <w:rPr>
                <w:rFonts w:ascii="宋体" w:hAnsi="宋体" w:cs="宋体" w:eastAsia="宋体" w:hint="default"/>
                <w:spacing w:val="-39"/>
                <w:sz w:val="14"/>
                <w:szCs w:val="14"/>
              </w:rPr>
              <w:t> </w:t>
            </w:r>
            <w:r>
              <w:rPr>
                <w:rFonts w:ascii="Arial" w:hAnsi="Arial" w:cs="Arial" w:eastAsia="Arial" w:hint="default"/>
                <w:sz w:val="14"/>
                <w:szCs w:val="14"/>
              </w:rPr>
              <w:t>1</w:t>
            </w:r>
            <w:r>
              <w:rPr>
                <w:rFonts w:ascii="Arial" w:hAnsi="Arial" w:cs="Arial" w:eastAsia="Arial" w:hint="default"/>
                <w:spacing w:val="-4"/>
                <w:sz w:val="14"/>
                <w:szCs w:val="14"/>
              </w:rPr>
              <w:t> </w:t>
            </w:r>
            <w:r>
              <w:rPr>
                <w:rFonts w:ascii="宋体" w:hAnsi="宋体" w:cs="宋体" w:eastAsia="宋体" w:hint="default"/>
                <w:sz w:val="14"/>
                <w:szCs w:val="14"/>
              </w:rPr>
              <w:t>月</w:t>
            </w:r>
            <w:r>
              <w:rPr>
                <w:rFonts w:ascii="宋体" w:hAnsi="宋体" w:cs="宋体" w:eastAsia="宋体" w:hint="default"/>
                <w:spacing w:val="-39"/>
                <w:sz w:val="14"/>
                <w:szCs w:val="14"/>
              </w:rPr>
              <w:t> </w:t>
            </w:r>
            <w:r>
              <w:rPr>
                <w:rFonts w:ascii="Arial" w:hAnsi="Arial" w:cs="Arial" w:eastAsia="Arial" w:hint="default"/>
                <w:sz w:val="14"/>
                <w:szCs w:val="14"/>
              </w:rPr>
              <w:t>1</w:t>
            </w:r>
            <w:r>
              <w:rPr>
                <w:rFonts w:ascii="Arial" w:hAnsi="Arial" w:cs="Arial" w:eastAsia="Arial" w:hint="default"/>
                <w:spacing w:val="-8"/>
                <w:sz w:val="14"/>
                <w:szCs w:val="14"/>
              </w:rPr>
              <w:t> </w:t>
            </w:r>
            <w:r>
              <w:rPr>
                <w:rFonts w:ascii="宋体" w:hAnsi="宋体" w:cs="宋体" w:eastAsia="宋体" w:hint="default"/>
                <w:sz w:val="14"/>
                <w:szCs w:val="14"/>
              </w:rPr>
              <w:t>日年初余额</w:t>
            </w: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95" w:right="0"/>
              <w:jc w:val="left"/>
              <w:rPr>
                <w:rFonts w:ascii="Arial" w:hAnsi="Arial" w:cs="Arial" w:eastAsia="Arial" w:hint="default"/>
                <w:sz w:val="14"/>
                <w:szCs w:val="14"/>
              </w:rPr>
            </w:pPr>
            <w:r>
              <w:rPr>
                <w:rFonts w:ascii="Arial"/>
                <w:sz w:val="14"/>
              </w:rPr>
              <w:t>30,233,950,687</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9"/>
              <w:jc w:val="right"/>
              <w:rPr>
                <w:rFonts w:ascii="Arial" w:hAnsi="Arial" w:cs="Arial" w:eastAsia="Arial" w:hint="default"/>
                <w:sz w:val="14"/>
                <w:szCs w:val="14"/>
              </w:rPr>
            </w:pPr>
            <w:r>
              <w:rPr>
                <w:rFonts w:ascii="Arial"/>
                <w:spacing w:val="-1"/>
                <w:sz w:val="14"/>
              </w:rPr>
              <w:t>76,346,331,405</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4"/>
              <w:jc w:val="right"/>
              <w:rPr>
                <w:rFonts w:ascii="Arial" w:hAnsi="Arial" w:cs="Arial" w:eastAsia="Arial" w:hint="default"/>
                <w:sz w:val="14"/>
                <w:szCs w:val="14"/>
              </w:rPr>
            </w:pPr>
            <w:r>
              <w:rPr>
                <w:rFonts w:ascii="Arial"/>
                <w:spacing w:val="-1"/>
                <w:sz w:val="14"/>
              </w:rPr>
              <w:t>(2,395,862,753)</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w w:val="95"/>
                <w:sz w:val="14"/>
              </w:rPr>
              <w:t>1,338,484,194</w:t>
            </w:r>
            <w:r>
              <w:rPr>
                <w:rFonts w:ascii="Arial"/>
                <w:sz w:val="14"/>
              </w:rPr>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97,055,713</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3"/>
              <w:jc w:val="right"/>
              <w:rPr>
                <w:rFonts w:ascii="Arial" w:hAnsi="Arial" w:cs="Arial" w:eastAsia="Arial" w:hint="default"/>
                <w:sz w:val="14"/>
                <w:szCs w:val="14"/>
              </w:rPr>
            </w:pPr>
            <w:r>
              <w:rPr>
                <w:rFonts w:ascii="Arial"/>
                <w:spacing w:val="-1"/>
                <w:sz w:val="14"/>
              </w:rPr>
              <w:t>29,773,369,882</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135,393,329,128</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171,625,033,987</w:t>
            </w:r>
            <w:r>
              <w:rPr>
                <w:rFonts w:ascii="Arial"/>
                <w:sz w:val="14"/>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3"/>
              <w:jc w:val="right"/>
              <w:rPr>
                <w:rFonts w:ascii="Arial" w:hAnsi="Arial" w:cs="Arial" w:eastAsia="Arial" w:hint="default"/>
                <w:sz w:val="14"/>
                <w:szCs w:val="14"/>
              </w:rPr>
            </w:pPr>
            <w:r>
              <w:rPr>
                <w:rFonts w:ascii="Arial"/>
                <w:spacing w:val="-1"/>
                <w:sz w:val="14"/>
              </w:rPr>
              <w:t>307,018,363,115</w:t>
            </w:r>
            <w:r>
              <w:rPr>
                <w:rFonts w:ascii="Arial"/>
                <w:sz w:val="14"/>
              </w:rPr>
            </w:r>
          </w:p>
        </w:tc>
      </w:tr>
      <w:tr>
        <w:trPr>
          <w:trHeight w:val="197"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64" w:lineRule="exact"/>
              <w:ind w:left="43" w:right="0"/>
              <w:jc w:val="left"/>
              <w:rPr>
                <w:rFonts w:ascii="宋体" w:hAnsi="宋体" w:cs="宋体" w:eastAsia="宋体" w:hint="default"/>
                <w:sz w:val="14"/>
                <w:szCs w:val="14"/>
              </w:rPr>
            </w:pPr>
            <w:r>
              <w:rPr>
                <w:rFonts w:ascii="宋体" w:hAnsi="宋体" w:cs="宋体" w:eastAsia="宋体" w:hint="default"/>
                <w:sz w:val="14"/>
                <w:szCs w:val="14"/>
              </w:rPr>
              <w:t>加：会计政策变更</w:t>
            </w: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57"/>
              <w:jc w:val="right"/>
              <w:rPr>
                <w:rFonts w:ascii="Arial" w:hAnsi="Arial" w:cs="Arial" w:eastAsia="Arial" w:hint="default"/>
                <w:sz w:val="14"/>
                <w:szCs w:val="14"/>
              </w:rPr>
            </w:pPr>
            <w:r>
              <w:rPr>
                <w:rFonts w:ascii="Arial"/>
                <w:w w:val="99"/>
                <w:sz w:val="14"/>
              </w:rPr>
              <w:t>-</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6"/>
              <w:jc w:val="right"/>
              <w:rPr>
                <w:rFonts w:ascii="Arial" w:hAnsi="Arial" w:cs="Arial" w:eastAsia="Arial" w:hint="default"/>
                <w:sz w:val="14"/>
                <w:szCs w:val="14"/>
              </w:rPr>
            </w:pPr>
            <w:r>
              <w:rPr>
                <w:rFonts w:ascii="Arial"/>
                <w:w w:val="99"/>
                <w:sz w:val="14"/>
              </w:rPr>
              <w:t>-</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6"/>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394,216,131</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394,216,131</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502,999,354</w:t>
            </w:r>
            <w:r>
              <w:rPr>
                <w:rFonts w:ascii="Arial"/>
                <w:sz w:val="14"/>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3"/>
              <w:jc w:val="right"/>
              <w:rPr>
                <w:rFonts w:ascii="Arial" w:hAnsi="Arial" w:cs="Arial" w:eastAsia="Arial" w:hint="default"/>
                <w:sz w:val="14"/>
                <w:szCs w:val="14"/>
              </w:rPr>
            </w:pPr>
            <w:r>
              <w:rPr>
                <w:rFonts w:ascii="Arial"/>
                <w:spacing w:val="-1"/>
                <w:sz w:val="14"/>
              </w:rPr>
              <w:t>897,215,485</w:t>
            </w:r>
            <w:r>
              <w:rPr>
                <w:rFonts w:ascii="Arial"/>
                <w:sz w:val="14"/>
              </w:rPr>
            </w:r>
          </w:p>
        </w:tc>
      </w:tr>
      <w:tr>
        <w:trPr>
          <w:trHeight w:val="206"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0"/>
              <w:jc w:val="left"/>
              <w:rPr>
                <w:rFonts w:ascii="宋体" w:hAnsi="宋体" w:cs="宋体" w:eastAsia="宋体" w:hint="default"/>
                <w:sz w:val="14"/>
                <w:szCs w:val="14"/>
              </w:rPr>
            </w:pPr>
            <w:r>
              <w:rPr>
                <w:rFonts w:ascii="宋体" w:hAnsi="宋体" w:cs="宋体" w:eastAsia="宋体" w:hint="default"/>
                <w:sz w:val="14"/>
                <w:szCs w:val="14"/>
              </w:rPr>
              <w:t>本年年初经调整余额</w:t>
            </w: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left="91" w:right="0"/>
              <w:jc w:val="left"/>
              <w:rPr>
                <w:rFonts w:ascii="Arial" w:hAnsi="Arial" w:cs="Arial" w:eastAsia="Arial" w:hint="default"/>
                <w:sz w:val="14"/>
                <w:szCs w:val="14"/>
              </w:rPr>
            </w:pPr>
            <w:r>
              <w:rPr>
                <w:rFonts w:ascii="Arial"/>
                <w:sz w:val="14"/>
              </w:rPr>
              <w:t>30,233,950,687</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69"/>
              <w:jc w:val="right"/>
              <w:rPr>
                <w:rFonts w:ascii="Arial" w:hAnsi="Arial" w:cs="Arial" w:eastAsia="Arial" w:hint="default"/>
                <w:sz w:val="14"/>
                <w:szCs w:val="14"/>
              </w:rPr>
            </w:pPr>
            <w:r>
              <w:rPr>
                <w:rFonts w:ascii="Arial"/>
                <w:spacing w:val="-1"/>
                <w:sz w:val="14"/>
              </w:rPr>
              <w:t>76,346,331,405</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71"/>
              <w:jc w:val="right"/>
              <w:rPr>
                <w:rFonts w:ascii="Arial" w:hAnsi="Arial" w:cs="Arial" w:eastAsia="Arial" w:hint="default"/>
                <w:sz w:val="14"/>
                <w:szCs w:val="14"/>
              </w:rPr>
            </w:pPr>
            <w:r>
              <w:rPr>
                <w:rFonts w:ascii="Arial"/>
                <w:w w:val="99"/>
                <w:sz w:val="14"/>
              </w:rPr>
              <w:t>-</w:t>
            </w:r>
            <w:r>
              <w:rPr>
                <w:rFonts w:ascii="Arial"/>
                <w:sz w:val="14"/>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33"/>
              <w:jc w:val="right"/>
              <w:rPr>
                <w:rFonts w:ascii="Arial" w:hAnsi="Arial" w:cs="Arial" w:eastAsia="Arial" w:hint="default"/>
                <w:sz w:val="14"/>
                <w:szCs w:val="14"/>
              </w:rPr>
            </w:pPr>
            <w:r>
              <w:rPr>
                <w:rFonts w:ascii="Arial"/>
                <w:spacing w:val="-1"/>
                <w:sz w:val="14"/>
              </w:rPr>
              <w:t>(2,395,862,753)</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74"/>
              <w:jc w:val="right"/>
              <w:rPr>
                <w:rFonts w:ascii="Arial" w:hAnsi="Arial" w:cs="Arial" w:eastAsia="Arial" w:hint="default"/>
                <w:sz w:val="14"/>
                <w:szCs w:val="14"/>
              </w:rPr>
            </w:pPr>
            <w:r>
              <w:rPr>
                <w:rFonts w:ascii="Arial"/>
                <w:spacing w:val="-1"/>
                <w:w w:val="95"/>
                <w:sz w:val="14"/>
              </w:rPr>
              <w:t>1,338,484,194</w:t>
            </w:r>
            <w:r>
              <w:rPr>
                <w:rFonts w:ascii="Arial"/>
                <w:sz w:val="14"/>
              </w:rPr>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74"/>
              <w:jc w:val="right"/>
              <w:rPr>
                <w:rFonts w:ascii="Arial" w:hAnsi="Arial" w:cs="Arial" w:eastAsia="Arial" w:hint="default"/>
                <w:sz w:val="14"/>
                <w:szCs w:val="14"/>
              </w:rPr>
            </w:pPr>
            <w:r>
              <w:rPr>
                <w:rFonts w:ascii="Arial"/>
                <w:spacing w:val="-1"/>
                <w:sz w:val="14"/>
              </w:rPr>
              <w:t>97,055,713</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73"/>
              <w:jc w:val="right"/>
              <w:rPr>
                <w:rFonts w:ascii="Arial" w:hAnsi="Arial" w:cs="Arial" w:eastAsia="Arial" w:hint="default"/>
                <w:sz w:val="14"/>
                <w:szCs w:val="14"/>
              </w:rPr>
            </w:pPr>
            <w:r>
              <w:rPr>
                <w:rFonts w:ascii="Arial"/>
                <w:spacing w:val="-1"/>
                <w:sz w:val="14"/>
              </w:rPr>
              <w:t>30,167,586,013</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74"/>
              <w:jc w:val="right"/>
              <w:rPr>
                <w:rFonts w:ascii="Arial" w:hAnsi="Arial" w:cs="Arial" w:eastAsia="Arial" w:hint="default"/>
                <w:sz w:val="14"/>
                <w:szCs w:val="14"/>
              </w:rPr>
            </w:pPr>
            <w:r>
              <w:rPr>
                <w:rFonts w:ascii="Arial"/>
                <w:spacing w:val="-1"/>
                <w:sz w:val="14"/>
              </w:rPr>
              <w:t>135,787,545,259</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74"/>
              <w:jc w:val="right"/>
              <w:rPr>
                <w:rFonts w:ascii="Arial" w:hAnsi="Arial" w:cs="Arial" w:eastAsia="Arial" w:hint="default"/>
                <w:sz w:val="14"/>
                <w:szCs w:val="14"/>
              </w:rPr>
            </w:pPr>
            <w:r>
              <w:rPr>
                <w:rFonts w:ascii="Arial"/>
                <w:spacing w:val="-1"/>
                <w:sz w:val="14"/>
              </w:rPr>
              <w:t>172,128,033,341</w:t>
            </w:r>
            <w:r>
              <w:rPr>
                <w:rFonts w:ascii="Arial"/>
                <w:sz w:val="14"/>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103"/>
              <w:jc w:val="right"/>
              <w:rPr>
                <w:rFonts w:ascii="Arial" w:hAnsi="Arial" w:cs="Arial" w:eastAsia="Arial" w:hint="default"/>
                <w:sz w:val="14"/>
                <w:szCs w:val="14"/>
              </w:rPr>
            </w:pPr>
            <w:r>
              <w:rPr>
                <w:rFonts w:ascii="Arial"/>
                <w:spacing w:val="-1"/>
                <w:sz w:val="14"/>
              </w:rPr>
              <w:t>307,915,578,600</w:t>
            </w:r>
            <w:r>
              <w:rPr>
                <w:rFonts w:ascii="Arial"/>
                <w:sz w:val="14"/>
              </w:rPr>
            </w:r>
          </w:p>
        </w:tc>
      </w:tr>
      <w:tr>
        <w:trPr>
          <w:trHeight w:val="197"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64" w:lineRule="exact"/>
              <w:ind w:left="43" w:right="0"/>
              <w:jc w:val="left"/>
              <w:rPr>
                <w:rFonts w:ascii="宋体" w:hAnsi="宋体" w:cs="宋体" w:eastAsia="宋体" w:hint="default"/>
                <w:sz w:val="14"/>
                <w:szCs w:val="14"/>
              </w:rPr>
            </w:pPr>
            <w:r>
              <w:rPr>
                <w:rFonts w:ascii="宋体" w:hAnsi="宋体" w:cs="宋体" w:eastAsia="宋体" w:hint="default"/>
                <w:sz w:val="14"/>
                <w:szCs w:val="14"/>
              </w:rPr>
              <w:t>（一）综合收益总额</w:t>
            </w: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57"/>
              <w:jc w:val="right"/>
              <w:rPr>
                <w:rFonts w:ascii="Arial" w:hAnsi="Arial" w:cs="Arial" w:eastAsia="Arial" w:hint="default"/>
                <w:sz w:val="14"/>
                <w:szCs w:val="14"/>
              </w:rPr>
            </w:pPr>
            <w:r>
              <w:rPr>
                <w:rFonts w:ascii="Arial"/>
                <w:w w:val="99"/>
                <w:sz w:val="14"/>
              </w:rPr>
              <w:t>-</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6"/>
              <w:jc w:val="right"/>
              <w:rPr>
                <w:rFonts w:ascii="Arial" w:hAnsi="Arial" w:cs="Arial" w:eastAsia="Arial" w:hint="default"/>
                <w:sz w:val="14"/>
                <w:szCs w:val="14"/>
              </w:rPr>
            </w:pPr>
            <w:r>
              <w:rPr>
                <w:rFonts w:ascii="Arial"/>
                <w:w w:val="99"/>
                <w:sz w:val="14"/>
              </w:rPr>
              <w:t>-</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33"/>
              <w:jc w:val="right"/>
              <w:rPr>
                <w:rFonts w:ascii="Arial" w:hAnsi="Arial" w:cs="Arial" w:eastAsia="Arial" w:hint="default"/>
                <w:sz w:val="14"/>
                <w:szCs w:val="14"/>
              </w:rPr>
            </w:pPr>
            <w:r>
              <w:rPr>
                <w:rFonts w:ascii="Arial"/>
                <w:spacing w:val="-1"/>
                <w:sz w:val="14"/>
              </w:rPr>
              <w:t>(107,688,101)</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w w:val="95"/>
                <w:sz w:val="14"/>
              </w:rPr>
              <w:t>4,080,771,727</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w w:val="95"/>
                <w:sz w:val="14"/>
              </w:rPr>
              <w:t>3,973,083,626</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w w:val="95"/>
                <w:sz w:val="14"/>
              </w:rPr>
              <w:t>5,082,487,651</w:t>
            </w:r>
            <w:r>
              <w:rPr>
                <w:rFonts w:ascii="Arial"/>
                <w:sz w:val="14"/>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3"/>
              <w:jc w:val="right"/>
              <w:rPr>
                <w:rFonts w:ascii="Arial" w:hAnsi="Arial" w:cs="Arial" w:eastAsia="Arial" w:hint="default"/>
                <w:sz w:val="14"/>
                <w:szCs w:val="14"/>
              </w:rPr>
            </w:pPr>
            <w:r>
              <w:rPr>
                <w:rFonts w:ascii="Arial"/>
                <w:spacing w:val="-1"/>
                <w:w w:val="95"/>
                <w:sz w:val="14"/>
              </w:rPr>
              <w:t>9,055,571,277</w:t>
            </w:r>
            <w:r>
              <w:rPr>
                <w:rFonts w:ascii="Arial"/>
                <w:sz w:val="14"/>
              </w:rPr>
            </w:r>
          </w:p>
        </w:tc>
      </w:tr>
      <w:tr>
        <w:trPr>
          <w:trHeight w:val="197"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64" w:lineRule="exact"/>
              <w:ind w:left="43" w:right="0"/>
              <w:jc w:val="left"/>
              <w:rPr>
                <w:rFonts w:ascii="宋体" w:hAnsi="宋体" w:cs="宋体" w:eastAsia="宋体" w:hint="default"/>
                <w:sz w:val="14"/>
                <w:szCs w:val="14"/>
              </w:rPr>
            </w:pPr>
            <w:r>
              <w:rPr>
                <w:rFonts w:ascii="宋体" w:hAnsi="宋体" w:cs="宋体" w:eastAsia="宋体" w:hint="default"/>
                <w:sz w:val="14"/>
                <w:szCs w:val="14"/>
              </w:rPr>
              <w:t>（二）股东投入资本</w:t>
            </w: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
        </w:tc>
        <w:tc>
          <w:tcPr>
            <w:tcW w:w="1272"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1133"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
        </w:tc>
        <w:tc>
          <w:tcPr>
            <w:tcW w:w="1272"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1301" w:type="dxa"/>
            <w:tcBorders>
              <w:top w:val="single" w:sz="6" w:space="0" w:color="000000"/>
              <w:left w:val="single" w:sz="6" w:space="0" w:color="000000"/>
              <w:bottom w:val="single" w:sz="6" w:space="0" w:color="000000"/>
              <w:right w:val="single" w:sz="6" w:space="0" w:color="000000"/>
            </w:tcBorders>
          </w:tcPr>
          <w:p>
            <w:pPr/>
          </w:p>
        </w:tc>
      </w:tr>
      <w:tr>
        <w:trPr>
          <w:trHeight w:val="197"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74" w:lineRule="exact"/>
              <w:ind w:left="456" w:right="0"/>
              <w:jc w:val="left"/>
              <w:rPr>
                <w:rFonts w:ascii="宋体" w:hAnsi="宋体" w:cs="宋体" w:eastAsia="宋体" w:hint="default"/>
                <w:sz w:val="14"/>
                <w:szCs w:val="14"/>
              </w:rPr>
            </w:pPr>
            <w:r>
              <w:rPr>
                <w:rFonts w:ascii="Arial" w:hAnsi="Arial" w:cs="Arial" w:eastAsia="Arial" w:hint="default"/>
                <w:sz w:val="14"/>
                <w:szCs w:val="14"/>
              </w:rPr>
              <w:t>1.</w:t>
            </w:r>
            <w:r>
              <w:rPr>
                <w:rFonts w:ascii="宋体" w:hAnsi="宋体" w:cs="宋体" w:eastAsia="宋体" w:hint="default"/>
                <w:sz w:val="14"/>
                <w:szCs w:val="14"/>
              </w:rPr>
              <w:t>股东投入的普通股</w:t>
            </w: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87" w:right="0"/>
              <w:jc w:val="left"/>
              <w:rPr>
                <w:rFonts w:ascii="Arial" w:hAnsi="Arial" w:cs="Arial" w:eastAsia="Arial" w:hint="default"/>
                <w:sz w:val="14"/>
                <w:szCs w:val="14"/>
              </w:rPr>
            </w:pPr>
            <w:r>
              <w:rPr>
                <w:rFonts w:ascii="Arial"/>
                <w:sz w:val="14"/>
              </w:rPr>
              <w:t>793,861,000</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9"/>
              <w:jc w:val="right"/>
              <w:rPr>
                <w:rFonts w:ascii="Arial" w:hAnsi="Arial" w:cs="Arial" w:eastAsia="Arial" w:hint="default"/>
                <w:sz w:val="14"/>
                <w:szCs w:val="14"/>
              </w:rPr>
            </w:pPr>
            <w:r>
              <w:rPr>
                <w:rFonts w:ascii="Arial"/>
                <w:spacing w:val="-1"/>
                <w:w w:val="95"/>
                <w:sz w:val="14"/>
              </w:rPr>
              <w:t>2,214,872,190</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44" w:right="0"/>
              <w:jc w:val="left"/>
              <w:rPr>
                <w:rFonts w:ascii="Arial" w:hAnsi="Arial" w:cs="Arial" w:eastAsia="Arial" w:hint="default"/>
                <w:sz w:val="14"/>
                <w:szCs w:val="14"/>
              </w:rPr>
            </w:pPr>
            <w:r>
              <w:rPr>
                <w:rFonts w:ascii="Arial"/>
                <w:sz w:val="14"/>
              </w:rPr>
              <w:t>(3,008,733,190)</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6"/>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7,300,000</w:t>
            </w:r>
            <w:r>
              <w:rPr>
                <w:rFonts w:ascii="Arial"/>
                <w:sz w:val="14"/>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3"/>
              <w:jc w:val="right"/>
              <w:rPr>
                <w:rFonts w:ascii="Arial" w:hAnsi="Arial" w:cs="Arial" w:eastAsia="Arial" w:hint="default"/>
                <w:sz w:val="14"/>
                <w:szCs w:val="14"/>
              </w:rPr>
            </w:pPr>
            <w:r>
              <w:rPr>
                <w:rFonts w:ascii="Arial"/>
                <w:spacing w:val="-1"/>
                <w:sz w:val="14"/>
              </w:rPr>
              <w:t>7,300,000</w:t>
            </w:r>
            <w:r>
              <w:rPr>
                <w:rFonts w:ascii="Arial"/>
                <w:sz w:val="14"/>
              </w:rPr>
            </w:r>
          </w:p>
        </w:tc>
      </w:tr>
      <w:tr>
        <w:trPr>
          <w:trHeight w:val="379"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68" w:lineRule="exact"/>
              <w:ind w:left="456" w:right="0"/>
              <w:jc w:val="left"/>
              <w:rPr>
                <w:rFonts w:ascii="宋体" w:hAnsi="宋体" w:cs="宋体" w:eastAsia="宋体" w:hint="default"/>
                <w:sz w:val="14"/>
                <w:szCs w:val="14"/>
              </w:rPr>
            </w:pPr>
            <w:r>
              <w:rPr>
                <w:rFonts w:ascii="Arial" w:hAnsi="Arial" w:cs="Arial" w:eastAsia="Arial" w:hint="default"/>
                <w:sz w:val="14"/>
                <w:szCs w:val="14"/>
              </w:rPr>
              <w:t>2.</w:t>
            </w:r>
            <w:r>
              <w:rPr>
                <w:rFonts w:ascii="宋体" w:hAnsi="宋体" w:cs="宋体" w:eastAsia="宋体" w:hint="default"/>
                <w:sz w:val="14"/>
                <w:szCs w:val="14"/>
              </w:rPr>
              <w:t>股份支付计入股东权益</w:t>
            </w:r>
          </w:p>
          <w:p>
            <w:pPr>
              <w:pStyle w:val="TableParagraph"/>
              <w:spacing w:line="178" w:lineRule="exact"/>
              <w:ind w:left="292" w:right="0"/>
              <w:jc w:val="left"/>
              <w:rPr>
                <w:rFonts w:ascii="宋体" w:hAnsi="宋体" w:cs="宋体" w:eastAsia="宋体" w:hint="default"/>
                <w:sz w:val="14"/>
                <w:szCs w:val="14"/>
              </w:rPr>
            </w:pPr>
            <w:r>
              <w:rPr>
                <w:rFonts w:ascii="宋体" w:hAnsi="宋体" w:cs="宋体" w:eastAsia="宋体" w:hint="default"/>
                <w:sz w:val="14"/>
                <w:szCs w:val="14"/>
              </w:rPr>
              <w:t>的金额</w:t>
            </w: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57"/>
              <w:jc w:val="right"/>
              <w:rPr>
                <w:rFonts w:ascii="Arial" w:hAnsi="Arial" w:cs="Arial" w:eastAsia="Arial" w:hint="default"/>
                <w:sz w:val="14"/>
                <w:szCs w:val="14"/>
              </w:rPr>
            </w:pPr>
            <w:r>
              <w:rPr>
                <w:rFonts w:ascii="Arial"/>
                <w:w w:val="99"/>
                <w:sz w:val="14"/>
              </w:rPr>
              <w:t>-</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69"/>
              <w:jc w:val="right"/>
              <w:rPr>
                <w:rFonts w:ascii="Arial" w:hAnsi="Arial" w:cs="Arial" w:eastAsia="Arial" w:hint="default"/>
                <w:sz w:val="14"/>
                <w:szCs w:val="14"/>
              </w:rPr>
            </w:pPr>
            <w:r>
              <w:rPr>
                <w:rFonts w:ascii="Arial"/>
                <w:spacing w:val="-1"/>
                <w:sz w:val="14"/>
              </w:rPr>
              <w:t>613,920,000</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71"/>
              <w:jc w:val="right"/>
              <w:rPr>
                <w:rFonts w:ascii="Arial" w:hAnsi="Arial" w:cs="Arial" w:eastAsia="Arial" w:hint="default"/>
                <w:sz w:val="14"/>
                <w:szCs w:val="14"/>
              </w:rPr>
            </w:pPr>
            <w:r>
              <w:rPr>
                <w:rFonts w:ascii="Arial"/>
                <w:w w:val="99"/>
                <w:sz w:val="14"/>
              </w:rPr>
              <w:t>-</w:t>
            </w:r>
            <w:r>
              <w:rPr>
                <w:rFonts w:ascii="Arial"/>
                <w:sz w:val="14"/>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66"/>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71"/>
              <w:jc w:val="right"/>
              <w:rPr>
                <w:rFonts w:ascii="Arial" w:hAnsi="Arial" w:cs="Arial" w:eastAsia="Arial" w:hint="default"/>
                <w:sz w:val="14"/>
                <w:szCs w:val="14"/>
              </w:rPr>
            </w:pPr>
            <w:r>
              <w:rPr>
                <w:rFonts w:ascii="Arial"/>
                <w:w w:val="99"/>
                <w:sz w:val="14"/>
              </w:rPr>
              <w:t>-</w:t>
            </w:r>
            <w:r>
              <w:rPr>
                <w:rFonts w:ascii="Arial"/>
                <w:sz w:val="14"/>
              </w:rPr>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71"/>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71"/>
              <w:jc w:val="right"/>
              <w:rPr>
                <w:rFonts w:ascii="Arial" w:hAnsi="Arial" w:cs="Arial" w:eastAsia="Arial" w:hint="default"/>
                <w:sz w:val="14"/>
                <w:szCs w:val="14"/>
              </w:rPr>
            </w:pPr>
            <w:r>
              <w:rPr>
                <w:rFonts w:ascii="Arial"/>
                <w:w w:val="99"/>
                <w:sz w:val="14"/>
              </w:rPr>
              <w:t>-</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74"/>
              <w:jc w:val="right"/>
              <w:rPr>
                <w:rFonts w:ascii="Arial" w:hAnsi="Arial" w:cs="Arial" w:eastAsia="Arial" w:hint="default"/>
                <w:sz w:val="14"/>
                <w:szCs w:val="14"/>
              </w:rPr>
            </w:pPr>
            <w:r>
              <w:rPr>
                <w:rFonts w:ascii="Arial"/>
                <w:spacing w:val="-1"/>
                <w:sz w:val="14"/>
              </w:rPr>
              <w:t>613,920,000</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71"/>
              <w:jc w:val="right"/>
              <w:rPr>
                <w:rFonts w:ascii="Arial" w:hAnsi="Arial" w:cs="Arial" w:eastAsia="Arial" w:hint="default"/>
                <w:sz w:val="14"/>
                <w:szCs w:val="14"/>
              </w:rPr>
            </w:pPr>
            <w:r>
              <w:rPr>
                <w:rFonts w:ascii="Arial"/>
                <w:w w:val="99"/>
                <w:sz w:val="14"/>
              </w:rPr>
              <w:t>-</w:t>
            </w:r>
            <w:r>
              <w:rPr>
                <w:rFonts w:ascii="Arial"/>
                <w:sz w:val="14"/>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5"/>
                <w:szCs w:val="15"/>
              </w:rPr>
            </w:pPr>
          </w:p>
          <w:p>
            <w:pPr>
              <w:pStyle w:val="TableParagraph"/>
              <w:spacing w:line="240" w:lineRule="auto"/>
              <w:ind w:right="103"/>
              <w:jc w:val="right"/>
              <w:rPr>
                <w:rFonts w:ascii="Arial" w:hAnsi="Arial" w:cs="Arial" w:eastAsia="Arial" w:hint="default"/>
                <w:sz w:val="14"/>
                <w:szCs w:val="14"/>
              </w:rPr>
            </w:pPr>
            <w:r>
              <w:rPr>
                <w:rFonts w:ascii="Arial"/>
                <w:spacing w:val="-1"/>
                <w:sz w:val="14"/>
              </w:rPr>
              <w:t>613,920,000</w:t>
            </w:r>
            <w:r>
              <w:rPr>
                <w:rFonts w:ascii="Arial"/>
                <w:sz w:val="14"/>
              </w:rPr>
            </w:r>
          </w:p>
        </w:tc>
      </w:tr>
      <w:tr>
        <w:trPr>
          <w:trHeight w:val="197"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74" w:lineRule="exact"/>
              <w:ind w:left="456" w:right="0"/>
              <w:jc w:val="left"/>
              <w:rPr>
                <w:rFonts w:ascii="宋体" w:hAnsi="宋体" w:cs="宋体" w:eastAsia="宋体" w:hint="default"/>
                <w:sz w:val="14"/>
                <w:szCs w:val="14"/>
              </w:rPr>
            </w:pPr>
            <w:r>
              <w:rPr>
                <w:rFonts w:ascii="Arial" w:hAnsi="Arial" w:cs="Arial" w:eastAsia="Arial" w:hint="default"/>
                <w:sz w:val="14"/>
                <w:szCs w:val="14"/>
              </w:rPr>
              <w:t>3.</w:t>
            </w:r>
            <w:r>
              <w:rPr>
                <w:rFonts w:ascii="宋体" w:hAnsi="宋体" w:cs="宋体" w:eastAsia="宋体" w:hint="default"/>
                <w:sz w:val="14"/>
                <w:szCs w:val="14"/>
              </w:rPr>
              <w:t>其他</w:t>
            </w: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57"/>
              <w:jc w:val="right"/>
              <w:rPr>
                <w:rFonts w:ascii="Arial" w:hAnsi="Arial" w:cs="Arial" w:eastAsia="Arial" w:hint="default"/>
                <w:sz w:val="14"/>
                <w:szCs w:val="14"/>
              </w:rPr>
            </w:pPr>
            <w:r>
              <w:rPr>
                <w:rFonts w:ascii="Arial"/>
                <w:w w:val="99"/>
                <w:sz w:val="14"/>
              </w:rPr>
              <w:t>-</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9"/>
              <w:jc w:val="right"/>
              <w:rPr>
                <w:rFonts w:ascii="Arial" w:hAnsi="Arial" w:cs="Arial" w:eastAsia="Arial" w:hint="default"/>
                <w:sz w:val="14"/>
                <w:szCs w:val="14"/>
              </w:rPr>
            </w:pPr>
            <w:r>
              <w:rPr>
                <w:rFonts w:ascii="Arial"/>
                <w:spacing w:val="-1"/>
                <w:sz w:val="14"/>
              </w:rPr>
              <w:t>368,445,028</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15,718,448</w:t>
            </w:r>
            <w:r>
              <w:rPr>
                <w:rFonts w:ascii="Arial"/>
                <w:sz w:val="14"/>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6"/>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384,163,476</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470,116,763</w:t>
            </w:r>
            <w:r>
              <w:rPr>
                <w:rFonts w:ascii="Arial"/>
                <w:sz w:val="14"/>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3"/>
              <w:jc w:val="right"/>
              <w:rPr>
                <w:rFonts w:ascii="Arial" w:hAnsi="Arial" w:cs="Arial" w:eastAsia="Arial" w:hint="default"/>
                <w:sz w:val="14"/>
                <w:szCs w:val="14"/>
              </w:rPr>
            </w:pPr>
            <w:r>
              <w:rPr>
                <w:rFonts w:ascii="Arial"/>
                <w:spacing w:val="-1"/>
                <w:sz w:val="14"/>
              </w:rPr>
              <w:t>854,280,239</w:t>
            </w:r>
            <w:r>
              <w:rPr>
                <w:rFonts w:ascii="Arial"/>
                <w:sz w:val="14"/>
              </w:rPr>
            </w:r>
          </w:p>
        </w:tc>
      </w:tr>
      <w:tr>
        <w:trPr>
          <w:trHeight w:val="197"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64" w:lineRule="exact"/>
              <w:ind w:left="43" w:right="0"/>
              <w:jc w:val="left"/>
              <w:rPr>
                <w:rFonts w:ascii="宋体" w:hAnsi="宋体" w:cs="宋体" w:eastAsia="宋体" w:hint="default"/>
                <w:sz w:val="14"/>
                <w:szCs w:val="14"/>
              </w:rPr>
            </w:pPr>
            <w:r>
              <w:rPr>
                <w:rFonts w:ascii="宋体" w:hAnsi="宋体" w:cs="宋体" w:eastAsia="宋体" w:hint="default"/>
                <w:sz w:val="14"/>
                <w:szCs w:val="14"/>
              </w:rPr>
              <w:t>（三）利润分配</w:t>
            </w: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
        </w:tc>
        <w:tc>
          <w:tcPr>
            <w:tcW w:w="1272"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1133"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
        </w:tc>
        <w:tc>
          <w:tcPr>
            <w:tcW w:w="1272" w:type="dxa"/>
            <w:tcBorders>
              <w:top w:val="single" w:sz="6" w:space="0" w:color="000000"/>
              <w:left w:val="single" w:sz="6" w:space="0" w:color="000000"/>
              <w:bottom w:val="single" w:sz="6" w:space="0" w:color="000000"/>
              <w:right w:val="single" w:sz="6" w:space="0" w:color="000000"/>
            </w:tcBorders>
          </w:tcPr>
          <w:p>
            <w:pPr/>
          </w:p>
        </w:tc>
        <w:tc>
          <w:tcPr>
            <w:tcW w:w="1277" w:type="dxa"/>
            <w:tcBorders>
              <w:top w:val="single" w:sz="6" w:space="0" w:color="000000"/>
              <w:left w:val="single" w:sz="6" w:space="0" w:color="000000"/>
              <w:bottom w:val="single" w:sz="6" w:space="0" w:color="000000"/>
              <w:right w:val="single" w:sz="6" w:space="0" w:color="000000"/>
            </w:tcBorders>
          </w:tcPr>
          <w:p>
            <w:pPr/>
          </w:p>
        </w:tc>
        <w:tc>
          <w:tcPr>
            <w:tcW w:w="1301" w:type="dxa"/>
            <w:tcBorders>
              <w:top w:val="single" w:sz="6" w:space="0" w:color="000000"/>
              <w:left w:val="single" w:sz="6" w:space="0" w:color="000000"/>
              <w:bottom w:val="single" w:sz="6" w:space="0" w:color="000000"/>
              <w:right w:val="single" w:sz="6" w:space="0" w:color="000000"/>
            </w:tcBorders>
          </w:tcPr>
          <w:p>
            <w:pPr/>
          </w:p>
        </w:tc>
      </w:tr>
      <w:tr>
        <w:trPr>
          <w:trHeight w:val="197"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74" w:lineRule="exact"/>
              <w:ind w:left="456" w:right="0"/>
              <w:jc w:val="left"/>
              <w:rPr>
                <w:rFonts w:ascii="宋体" w:hAnsi="宋体" w:cs="宋体" w:eastAsia="宋体" w:hint="default"/>
                <w:sz w:val="14"/>
                <w:szCs w:val="14"/>
              </w:rPr>
            </w:pPr>
            <w:r>
              <w:rPr>
                <w:rFonts w:ascii="Arial" w:hAnsi="Arial" w:cs="Arial" w:eastAsia="Arial" w:hint="default"/>
                <w:sz w:val="14"/>
                <w:szCs w:val="14"/>
              </w:rPr>
              <w:t>1.</w:t>
            </w:r>
            <w:r>
              <w:rPr>
                <w:rFonts w:ascii="宋体" w:hAnsi="宋体" w:cs="宋体" w:eastAsia="宋体" w:hint="default"/>
                <w:sz w:val="14"/>
                <w:szCs w:val="14"/>
              </w:rPr>
              <w:t>提取盈余公积</w:t>
            </w: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57"/>
              <w:jc w:val="right"/>
              <w:rPr>
                <w:rFonts w:ascii="Arial" w:hAnsi="Arial" w:cs="Arial" w:eastAsia="Arial" w:hint="default"/>
                <w:sz w:val="14"/>
                <w:szCs w:val="14"/>
              </w:rPr>
            </w:pPr>
            <w:r>
              <w:rPr>
                <w:rFonts w:ascii="Arial"/>
                <w:w w:val="99"/>
                <w:sz w:val="14"/>
              </w:rPr>
              <w:t>-</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6"/>
              <w:jc w:val="right"/>
              <w:rPr>
                <w:rFonts w:ascii="Arial" w:hAnsi="Arial" w:cs="Arial" w:eastAsia="Arial" w:hint="default"/>
                <w:sz w:val="14"/>
                <w:szCs w:val="14"/>
              </w:rPr>
            </w:pPr>
            <w:r>
              <w:rPr>
                <w:rFonts w:ascii="Arial"/>
                <w:w w:val="99"/>
                <w:sz w:val="14"/>
              </w:rPr>
              <w:t>-</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6"/>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w w:val="95"/>
                <w:sz w:val="14"/>
              </w:rPr>
              <w:t>73,539,493</w:t>
            </w:r>
            <w:r>
              <w:rPr>
                <w:rFonts w:ascii="Arial"/>
                <w:sz w:val="14"/>
              </w:rPr>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28"/>
              <w:jc w:val="right"/>
              <w:rPr>
                <w:rFonts w:ascii="Arial" w:hAnsi="Arial" w:cs="Arial" w:eastAsia="Arial" w:hint="default"/>
                <w:sz w:val="14"/>
                <w:szCs w:val="14"/>
              </w:rPr>
            </w:pPr>
            <w:r>
              <w:rPr>
                <w:rFonts w:ascii="Arial"/>
                <w:spacing w:val="-1"/>
                <w:sz w:val="14"/>
              </w:rPr>
              <w:t>(73,539,493)</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0"/>
              <w:jc w:val="right"/>
              <w:rPr>
                <w:rFonts w:ascii="Arial" w:hAnsi="Arial" w:cs="Arial" w:eastAsia="Arial" w:hint="default"/>
                <w:sz w:val="14"/>
                <w:szCs w:val="14"/>
              </w:rPr>
            </w:pPr>
            <w:r>
              <w:rPr>
                <w:rFonts w:ascii="Arial"/>
                <w:w w:val="99"/>
                <w:sz w:val="14"/>
              </w:rPr>
              <w:t>-</w:t>
            </w:r>
            <w:r>
              <w:rPr>
                <w:rFonts w:ascii="Arial"/>
                <w:sz w:val="14"/>
              </w:rPr>
            </w:r>
          </w:p>
        </w:tc>
      </w:tr>
      <w:tr>
        <w:trPr>
          <w:trHeight w:val="197"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74" w:lineRule="exact"/>
              <w:ind w:left="456" w:right="0"/>
              <w:jc w:val="left"/>
              <w:rPr>
                <w:rFonts w:ascii="宋体" w:hAnsi="宋体" w:cs="宋体" w:eastAsia="宋体" w:hint="default"/>
                <w:sz w:val="14"/>
                <w:szCs w:val="14"/>
              </w:rPr>
            </w:pPr>
            <w:r>
              <w:rPr>
                <w:rFonts w:ascii="Arial" w:hAnsi="Arial" w:cs="Arial" w:eastAsia="Arial" w:hint="default"/>
                <w:sz w:val="14"/>
                <w:szCs w:val="14"/>
              </w:rPr>
              <w:t>2.</w:t>
            </w:r>
            <w:r>
              <w:rPr>
                <w:rFonts w:ascii="宋体" w:hAnsi="宋体" w:cs="宋体" w:eastAsia="宋体" w:hint="default"/>
                <w:sz w:val="14"/>
                <w:szCs w:val="14"/>
              </w:rPr>
              <w:t>对股东的分配</w:t>
            </w: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57"/>
              <w:jc w:val="right"/>
              <w:rPr>
                <w:rFonts w:ascii="Arial" w:hAnsi="Arial" w:cs="Arial" w:eastAsia="Arial" w:hint="default"/>
                <w:sz w:val="14"/>
                <w:szCs w:val="14"/>
              </w:rPr>
            </w:pPr>
            <w:r>
              <w:rPr>
                <w:rFonts w:ascii="Arial"/>
                <w:w w:val="99"/>
                <w:sz w:val="14"/>
              </w:rPr>
              <w:t>-</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6"/>
              <w:jc w:val="right"/>
              <w:rPr>
                <w:rFonts w:ascii="Arial" w:hAnsi="Arial" w:cs="Arial" w:eastAsia="Arial" w:hint="default"/>
                <w:sz w:val="14"/>
                <w:szCs w:val="14"/>
              </w:rPr>
            </w:pPr>
            <w:r>
              <w:rPr>
                <w:rFonts w:ascii="Arial"/>
                <w:w w:val="99"/>
                <w:sz w:val="14"/>
              </w:rPr>
              <w:t>-</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6"/>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33"/>
              <w:jc w:val="right"/>
              <w:rPr>
                <w:rFonts w:ascii="Arial" w:hAnsi="Arial" w:cs="Arial" w:eastAsia="Arial" w:hint="default"/>
                <w:sz w:val="14"/>
                <w:szCs w:val="14"/>
              </w:rPr>
            </w:pPr>
            <w:r>
              <w:rPr>
                <w:rFonts w:ascii="Arial"/>
                <w:spacing w:val="-1"/>
                <w:sz w:val="14"/>
              </w:rPr>
              <w:t>(614,350,671)</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23"/>
              <w:jc w:val="right"/>
              <w:rPr>
                <w:rFonts w:ascii="Arial" w:hAnsi="Arial" w:cs="Arial" w:eastAsia="Arial" w:hint="default"/>
                <w:sz w:val="14"/>
                <w:szCs w:val="14"/>
              </w:rPr>
            </w:pPr>
            <w:r>
              <w:rPr>
                <w:rFonts w:ascii="Arial"/>
                <w:spacing w:val="-1"/>
                <w:sz w:val="14"/>
              </w:rPr>
              <w:t>(614,350,671)</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28"/>
              <w:jc w:val="right"/>
              <w:rPr>
                <w:rFonts w:ascii="Arial" w:hAnsi="Arial" w:cs="Arial" w:eastAsia="Arial" w:hint="default"/>
                <w:sz w:val="14"/>
                <w:szCs w:val="14"/>
              </w:rPr>
            </w:pPr>
            <w:r>
              <w:rPr>
                <w:rFonts w:ascii="Arial"/>
                <w:spacing w:val="-1"/>
                <w:sz w:val="14"/>
              </w:rPr>
              <w:t>(892,006,227)</w:t>
            </w:r>
            <w:r>
              <w:rPr>
                <w:rFonts w:ascii="Arial"/>
                <w:sz w:val="14"/>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28"/>
              <w:jc w:val="right"/>
              <w:rPr>
                <w:rFonts w:ascii="Arial" w:hAnsi="Arial" w:cs="Arial" w:eastAsia="Arial" w:hint="default"/>
                <w:sz w:val="14"/>
                <w:szCs w:val="14"/>
              </w:rPr>
            </w:pPr>
            <w:r>
              <w:rPr>
                <w:rFonts w:ascii="Arial"/>
                <w:spacing w:val="-1"/>
                <w:sz w:val="14"/>
              </w:rPr>
              <w:t>(1,506,356,898)</w:t>
            </w:r>
            <w:r>
              <w:rPr>
                <w:rFonts w:ascii="Arial"/>
                <w:sz w:val="14"/>
              </w:rPr>
            </w:r>
          </w:p>
        </w:tc>
      </w:tr>
      <w:tr>
        <w:trPr>
          <w:trHeight w:val="197"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74" w:lineRule="exact"/>
              <w:ind w:left="456" w:right="0"/>
              <w:jc w:val="left"/>
              <w:rPr>
                <w:rFonts w:ascii="宋体" w:hAnsi="宋体" w:cs="宋体" w:eastAsia="宋体" w:hint="default"/>
                <w:sz w:val="14"/>
                <w:szCs w:val="14"/>
              </w:rPr>
            </w:pPr>
            <w:r>
              <w:rPr>
                <w:rFonts w:ascii="Arial" w:hAnsi="Arial" w:cs="Arial" w:eastAsia="Arial" w:hint="default"/>
                <w:sz w:val="14"/>
                <w:szCs w:val="14"/>
              </w:rPr>
              <w:t>3.</w:t>
            </w:r>
            <w:r>
              <w:rPr>
                <w:rFonts w:ascii="宋体" w:hAnsi="宋体" w:cs="宋体" w:eastAsia="宋体" w:hint="default"/>
                <w:sz w:val="14"/>
                <w:szCs w:val="14"/>
              </w:rPr>
              <w:t>提取一般风险准备</w:t>
            </w: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57"/>
              <w:jc w:val="right"/>
              <w:rPr>
                <w:rFonts w:ascii="Arial" w:hAnsi="Arial" w:cs="Arial" w:eastAsia="Arial" w:hint="default"/>
                <w:sz w:val="14"/>
                <w:szCs w:val="14"/>
              </w:rPr>
            </w:pPr>
            <w:r>
              <w:rPr>
                <w:rFonts w:ascii="Arial"/>
                <w:w w:val="99"/>
                <w:sz w:val="14"/>
              </w:rPr>
              <w:t>-</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6"/>
              <w:jc w:val="right"/>
              <w:rPr>
                <w:rFonts w:ascii="Arial" w:hAnsi="Arial" w:cs="Arial" w:eastAsia="Arial" w:hint="default"/>
                <w:sz w:val="14"/>
                <w:szCs w:val="14"/>
              </w:rPr>
            </w:pPr>
            <w:r>
              <w:rPr>
                <w:rFonts w:ascii="Arial"/>
                <w:w w:val="99"/>
                <w:sz w:val="14"/>
              </w:rPr>
              <w:t>-</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6"/>
              <w:jc w:val="right"/>
              <w:rPr>
                <w:rFonts w:ascii="Arial" w:hAnsi="Arial" w:cs="Arial" w:eastAsia="Arial" w:hint="default"/>
                <w:sz w:val="14"/>
                <w:szCs w:val="14"/>
              </w:rPr>
            </w:pPr>
            <w:r>
              <w:rPr>
                <w:rFonts w:ascii="Arial"/>
                <w:w w:val="99"/>
                <w:sz w:val="14"/>
              </w:rPr>
              <w:t>-</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108,402,331</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33"/>
              <w:jc w:val="right"/>
              <w:rPr>
                <w:rFonts w:ascii="Arial" w:hAnsi="Arial" w:cs="Arial" w:eastAsia="Arial" w:hint="default"/>
                <w:sz w:val="14"/>
                <w:szCs w:val="14"/>
              </w:rPr>
            </w:pPr>
            <w:r>
              <w:rPr>
                <w:rFonts w:ascii="Arial"/>
                <w:spacing w:val="-1"/>
                <w:sz w:val="14"/>
              </w:rPr>
              <w:t>(108,402,331)</w:t>
            </w:r>
            <w:r>
              <w:rPr>
                <w:rFonts w:ascii="Arial"/>
                <w:sz w:val="14"/>
              </w:rPr>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1"/>
              <w:jc w:val="right"/>
              <w:rPr>
                <w:rFonts w:ascii="Arial" w:hAnsi="Arial" w:cs="Arial" w:eastAsia="Arial" w:hint="default"/>
                <w:sz w:val="14"/>
                <w:szCs w:val="14"/>
              </w:rPr>
            </w:pPr>
            <w:r>
              <w:rPr>
                <w:rFonts w:ascii="Arial"/>
                <w:w w:val="99"/>
                <w:sz w:val="14"/>
              </w:rPr>
              <w:t>-</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81"/>
              <w:jc w:val="right"/>
              <w:rPr>
                <w:rFonts w:ascii="Arial" w:hAnsi="Arial" w:cs="Arial" w:eastAsia="Arial" w:hint="default"/>
                <w:sz w:val="14"/>
                <w:szCs w:val="14"/>
              </w:rPr>
            </w:pPr>
            <w:r>
              <w:rPr>
                <w:rFonts w:ascii="Arial"/>
                <w:w w:val="99"/>
                <w:sz w:val="14"/>
              </w:rPr>
              <w:t>-</w:t>
            </w:r>
            <w:r>
              <w:rPr>
                <w:rFonts w:ascii="Arial"/>
                <w:sz w:val="14"/>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0"/>
              <w:jc w:val="right"/>
              <w:rPr>
                <w:rFonts w:ascii="Arial" w:hAnsi="Arial" w:cs="Arial" w:eastAsia="Arial" w:hint="default"/>
                <w:sz w:val="14"/>
                <w:szCs w:val="14"/>
              </w:rPr>
            </w:pPr>
            <w:r>
              <w:rPr>
                <w:rFonts w:ascii="Arial"/>
                <w:w w:val="99"/>
                <w:sz w:val="14"/>
              </w:rPr>
              <w:t>-</w:t>
            </w:r>
            <w:r>
              <w:rPr>
                <w:rFonts w:ascii="Arial"/>
                <w:sz w:val="14"/>
              </w:rPr>
            </w:r>
          </w:p>
        </w:tc>
      </w:tr>
      <w:tr>
        <w:trPr>
          <w:trHeight w:val="197" w:hRule="exact"/>
        </w:trPr>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174" w:lineRule="exact"/>
              <w:ind w:left="33" w:right="0"/>
              <w:jc w:val="left"/>
              <w:rPr>
                <w:rFonts w:ascii="宋体" w:hAnsi="宋体" w:cs="宋体" w:eastAsia="宋体" w:hint="default"/>
                <w:sz w:val="14"/>
                <w:szCs w:val="14"/>
              </w:rPr>
            </w:pPr>
            <w:r>
              <w:rPr>
                <w:rFonts w:ascii="Arial" w:hAnsi="Arial" w:cs="Arial" w:eastAsia="Arial" w:hint="default"/>
                <w:sz w:val="14"/>
                <w:szCs w:val="14"/>
              </w:rPr>
              <w:t>2018</w:t>
            </w:r>
            <w:r>
              <w:rPr>
                <w:rFonts w:ascii="Arial" w:hAnsi="Arial" w:cs="Arial" w:eastAsia="Arial" w:hint="default"/>
                <w:spacing w:val="-4"/>
                <w:sz w:val="14"/>
                <w:szCs w:val="14"/>
              </w:rPr>
              <w:t> </w:t>
            </w:r>
            <w:r>
              <w:rPr>
                <w:rFonts w:ascii="宋体" w:hAnsi="宋体" w:cs="宋体" w:eastAsia="宋体" w:hint="default"/>
                <w:sz w:val="14"/>
                <w:szCs w:val="14"/>
              </w:rPr>
              <w:t>年</w:t>
            </w:r>
            <w:r>
              <w:rPr>
                <w:rFonts w:ascii="宋体" w:hAnsi="宋体" w:cs="宋体" w:eastAsia="宋体" w:hint="default"/>
                <w:spacing w:val="-39"/>
                <w:sz w:val="14"/>
                <w:szCs w:val="14"/>
              </w:rPr>
              <w:t> </w:t>
            </w:r>
            <w:r>
              <w:rPr>
                <w:rFonts w:ascii="Arial" w:hAnsi="Arial" w:cs="Arial" w:eastAsia="Arial" w:hint="default"/>
                <w:sz w:val="14"/>
                <w:szCs w:val="14"/>
              </w:rPr>
              <w:t>12</w:t>
            </w:r>
            <w:r>
              <w:rPr>
                <w:rFonts w:ascii="Arial" w:hAnsi="Arial" w:cs="Arial" w:eastAsia="Arial" w:hint="default"/>
                <w:spacing w:val="-4"/>
                <w:sz w:val="14"/>
                <w:szCs w:val="14"/>
              </w:rPr>
              <w:t> </w:t>
            </w:r>
            <w:r>
              <w:rPr>
                <w:rFonts w:ascii="宋体" w:hAnsi="宋体" w:cs="宋体" w:eastAsia="宋体" w:hint="default"/>
                <w:sz w:val="14"/>
                <w:szCs w:val="14"/>
              </w:rPr>
              <w:t>月</w:t>
            </w:r>
            <w:r>
              <w:rPr>
                <w:rFonts w:ascii="宋体" w:hAnsi="宋体" w:cs="宋体" w:eastAsia="宋体" w:hint="default"/>
                <w:spacing w:val="-39"/>
                <w:sz w:val="14"/>
                <w:szCs w:val="14"/>
              </w:rPr>
              <w:t> </w:t>
            </w:r>
            <w:r>
              <w:rPr>
                <w:rFonts w:ascii="Arial" w:hAnsi="Arial" w:cs="Arial" w:eastAsia="Arial" w:hint="default"/>
                <w:sz w:val="14"/>
                <w:szCs w:val="14"/>
              </w:rPr>
              <w:t>31</w:t>
            </w:r>
            <w:r>
              <w:rPr>
                <w:rFonts w:ascii="Arial" w:hAnsi="Arial" w:cs="Arial" w:eastAsia="Arial" w:hint="default"/>
                <w:spacing w:val="-8"/>
                <w:sz w:val="14"/>
                <w:szCs w:val="14"/>
              </w:rPr>
              <w:t> </w:t>
            </w:r>
            <w:r>
              <w:rPr>
                <w:rFonts w:ascii="宋体" w:hAnsi="宋体" w:cs="宋体" w:eastAsia="宋体" w:hint="default"/>
                <w:sz w:val="14"/>
                <w:szCs w:val="14"/>
              </w:rPr>
              <w:t>日年末余额</w:t>
            </w:r>
          </w:p>
        </w:tc>
        <w:tc>
          <w:tcPr>
            <w:tcW w:w="989" w:type="dxa"/>
            <w:tcBorders>
              <w:top w:val="single" w:sz="6" w:space="0" w:color="000000"/>
              <w:left w:val="single" w:sz="6" w:space="0" w:color="000000"/>
              <w:bottom w:val="single" w:sz="6" w:space="0" w:color="000000"/>
              <w:right w:val="single" w:sz="6" w:space="0" w:color="000000"/>
            </w:tcBorders>
          </w:tcPr>
          <w:p>
            <w:pP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91" w:right="0"/>
              <w:jc w:val="left"/>
              <w:rPr>
                <w:rFonts w:ascii="Arial" w:hAnsi="Arial" w:cs="Arial" w:eastAsia="Arial" w:hint="default"/>
                <w:sz w:val="14"/>
                <w:szCs w:val="14"/>
              </w:rPr>
            </w:pPr>
            <w:r>
              <w:rPr>
                <w:rFonts w:ascii="Arial"/>
                <w:sz w:val="14"/>
              </w:rPr>
              <w:t>31,027,811,687</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9"/>
              <w:jc w:val="right"/>
              <w:rPr>
                <w:rFonts w:ascii="Arial" w:hAnsi="Arial" w:cs="Arial" w:eastAsia="Arial" w:hint="default"/>
                <w:sz w:val="14"/>
                <w:szCs w:val="14"/>
              </w:rPr>
            </w:pPr>
            <w:r>
              <w:rPr>
                <w:rFonts w:ascii="Arial"/>
                <w:spacing w:val="-1"/>
                <w:sz w:val="14"/>
              </w:rPr>
              <w:t>79,543,568,623</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44" w:right="0"/>
              <w:jc w:val="left"/>
              <w:rPr>
                <w:rFonts w:ascii="Arial" w:hAnsi="Arial" w:cs="Arial" w:eastAsia="Arial" w:hint="default"/>
                <w:sz w:val="14"/>
                <w:szCs w:val="14"/>
              </w:rPr>
            </w:pPr>
            <w:r>
              <w:rPr>
                <w:rFonts w:ascii="Arial"/>
                <w:sz w:val="14"/>
              </w:rPr>
              <w:t>(2,993,014,742)</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9"/>
              <w:jc w:val="right"/>
              <w:rPr>
                <w:rFonts w:ascii="Arial" w:hAnsi="Arial" w:cs="Arial" w:eastAsia="Arial" w:hint="default"/>
                <w:sz w:val="14"/>
                <w:szCs w:val="14"/>
              </w:rPr>
            </w:pPr>
            <w:r>
              <w:rPr>
                <w:rFonts w:ascii="Arial"/>
                <w:spacing w:val="-1"/>
                <w:sz w:val="14"/>
              </w:rPr>
              <w:t>(2,503,550,854)</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w w:val="95"/>
                <w:sz w:val="14"/>
              </w:rPr>
              <w:t>1,412,023,687</w:t>
            </w:r>
            <w:r>
              <w:rPr>
                <w:rFonts w:ascii="Arial"/>
                <w:sz w:val="14"/>
              </w:rPr>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205,458,044</w:t>
            </w:r>
            <w:r>
              <w:rPr>
                <w:rFonts w:ascii="Arial"/>
                <w:sz w:val="14"/>
              </w:rPr>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69"/>
              <w:jc w:val="right"/>
              <w:rPr>
                <w:rFonts w:ascii="Arial" w:hAnsi="Arial" w:cs="Arial" w:eastAsia="Arial" w:hint="default"/>
                <w:sz w:val="14"/>
                <w:szCs w:val="14"/>
              </w:rPr>
            </w:pPr>
            <w:r>
              <w:rPr>
                <w:rFonts w:ascii="Arial"/>
                <w:spacing w:val="-1"/>
                <w:sz w:val="14"/>
              </w:rPr>
              <w:t>33,452,065,245</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140,144,361,690</w:t>
            </w:r>
            <w:r>
              <w:rPr>
                <w:rFonts w:ascii="Arial"/>
                <w:sz w:val="14"/>
              </w:rPr>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4"/>
              <w:jc w:val="right"/>
              <w:rPr>
                <w:rFonts w:ascii="Arial" w:hAnsi="Arial" w:cs="Arial" w:eastAsia="Arial" w:hint="default"/>
                <w:sz w:val="14"/>
                <w:szCs w:val="14"/>
              </w:rPr>
            </w:pPr>
            <w:r>
              <w:rPr>
                <w:rFonts w:ascii="Arial"/>
                <w:spacing w:val="-1"/>
                <w:sz w:val="14"/>
              </w:rPr>
              <w:t>176,795,931,528</w:t>
            </w:r>
            <w:r>
              <w:rPr>
                <w:rFonts w:ascii="Arial"/>
                <w:sz w:val="14"/>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79"/>
              <w:jc w:val="right"/>
              <w:rPr>
                <w:rFonts w:ascii="Arial" w:hAnsi="Arial" w:cs="Arial" w:eastAsia="Arial" w:hint="default"/>
                <w:sz w:val="14"/>
                <w:szCs w:val="14"/>
              </w:rPr>
            </w:pPr>
            <w:r>
              <w:rPr>
                <w:rFonts w:ascii="Arial"/>
                <w:spacing w:val="-1"/>
                <w:sz w:val="14"/>
              </w:rPr>
              <w:t>316,940,293,218</w:t>
            </w:r>
            <w:r>
              <w:rPr>
                <w:rFonts w:ascii="Arial"/>
                <w:sz w:val="14"/>
              </w:rPr>
            </w:r>
          </w:p>
        </w:tc>
      </w:tr>
    </w:tbl>
    <w:p>
      <w:pPr>
        <w:spacing w:line="240" w:lineRule="auto" w:before="2"/>
        <w:rPr>
          <w:rFonts w:ascii="黑体" w:hAnsi="黑体" w:cs="黑体" w:eastAsia="黑体" w:hint="default"/>
          <w:sz w:val="12"/>
          <w:szCs w:val="12"/>
        </w:rPr>
      </w:pPr>
    </w:p>
    <w:p>
      <w:pPr>
        <w:spacing w:before="39"/>
        <w:ind w:left="114" w:right="0" w:firstLine="0"/>
        <w:jc w:val="left"/>
        <w:rPr>
          <w:rFonts w:ascii="宋体" w:hAnsi="宋体" w:cs="宋体" w:eastAsia="宋体" w:hint="default"/>
          <w:sz w:val="20"/>
          <w:szCs w:val="20"/>
        </w:rPr>
      </w:pPr>
      <w:r>
        <w:rPr>
          <w:rFonts w:ascii="宋体" w:hAnsi="宋体" w:cs="宋体" w:eastAsia="宋体" w:hint="default"/>
          <w:sz w:val="20"/>
          <w:szCs w:val="20"/>
        </w:rPr>
        <w:t>后附财务报表附注为财务报表的组成部分。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7"/>
          <w:szCs w:val="17"/>
        </w:rPr>
      </w:pPr>
    </w:p>
    <w:p>
      <w:pPr>
        <w:pStyle w:val="BodyText"/>
        <w:tabs>
          <w:tab w:pos="6090" w:val="left" w:leader="none"/>
          <w:tab w:pos="11399" w:val="left" w:leader="none"/>
        </w:tabs>
        <w:spacing w:line="240" w:lineRule="auto"/>
        <w:ind w:left="114" w:right="0"/>
        <w:jc w:val="left"/>
      </w:pPr>
      <w:r>
        <w:rPr/>
        <w:t>董事长：王晓初</w:t>
        <w:tab/>
      </w:r>
      <w:r>
        <w:rPr>
          <w:spacing w:val="-1"/>
        </w:rPr>
        <w:t>财务负责人：姜爱华</w:t>
        <w:tab/>
      </w:r>
      <w:r>
        <w:rPr>
          <w:spacing w:val="-2"/>
        </w:rPr>
        <w:t>财务部总经理：王芳</w:t>
      </w:r>
      <w:r>
        <w:rPr/>
      </w:r>
    </w:p>
    <w:p>
      <w:pPr>
        <w:spacing w:after="0" w:line="240" w:lineRule="auto"/>
        <w:jc w:val="left"/>
        <w:sectPr>
          <w:headerReference w:type="default" r:id="rId100"/>
          <w:footerReference w:type="default" r:id="rId101"/>
          <w:pgSz w:w="16840" w:h="11910" w:orient="landscape"/>
          <w:pgMar w:header="0" w:footer="502" w:top="1080" w:bottom="700" w:left="740" w:right="840"/>
          <w:pgNumType w:start="81"/>
        </w:sectPr>
      </w:pPr>
    </w:p>
    <w:p>
      <w:pPr>
        <w:pStyle w:val="BodyText"/>
        <w:spacing w:line="240" w:lineRule="auto" w:before="8"/>
        <w:ind w:left="134" w:right="0" w:hanging="10"/>
        <w:jc w:val="left"/>
        <w:rPr>
          <w:rFonts w:ascii="黑体" w:hAnsi="黑体" w:cs="黑体" w:eastAsia="黑体" w:hint="default"/>
        </w:rPr>
      </w:pPr>
      <w:r>
        <w:rPr>
          <w:rFonts w:ascii="黑体" w:hAnsi="黑体" w:cs="黑体" w:eastAsia="黑体" w:hint="default"/>
        </w:rPr>
        <w:t>中国联合网络通信股份有限公司</w:t>
      </w:r>
    </w:p>
    <w:p>
      <w:pPr>
        <w:spacing w:line="240" w:lineRule="auto" w:before="1"/>
        <w:rPr>
          <w:rFonts w:ascii="黑体" w:hAnsi="黑体" w:cs="黑体" w:eastAsia="黑体" w:hint="default"/>
          <w:sz w:val="19"/>
          <w:szCs w:val="19"/>
        </w:rPr>
      </w:pPr>
    </w:p>
    <w:p>
      <w:pPr>
        <w:pStyle w:val="BodyText"/>
        <w:spacing w:line="296" w:lineRule="exact"/>
        <w:ind w:left="134"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6"/>
        </w:rPr>
        <w:t> </w:t>
      </w:r>
      <w:r>
        <w:rPr>
          <w:rFonts w:ascii="黑体" w:hAnsi="黑体" w:cs="黑体" w:eastAsia="黑体" w:hint="default"/>
        </w:rPr>
        <w:t>年度公司股东权益变动表</w:t>
      </w:r>
    </w:p>
    <w:p>
      <w:pPr>
        <w:pStyle w:val="BodyText"/>
        <w:spacing w:line="280" w:lineRule="exact"/>
        <w:ind w:left="124" w:right="0"/>
        <w:jc w:val="left"/>
        <w:rPr>
          <w:rFonts w:ascii="黑体" w:hAnsi="黑体" w:cs="黑体" w:eastAsia="黑体" w:hint="default"/>
        </w:rPr>
      </w:pPr>
      <w:r>
        <w:rPr>
          <w:rFonts w:ascii="黑体" w:hAnsi="黑体" w:cs="黑体" w:eastAsia="黑体" w:hint="default"/>
        </w:rPr>
        <w:t>（除特别注明外，金额单位为人民币元）</w:t>
      </w:r>
    </w:p>
    <w:p>
      <w:pPr>
        <w:spacing w:line="240" w:lineRule="auto" w:before="11"/>
        <w:rPr>
          <w:rFonts w:ascii="黑体" w:hAnsi="黑体" w:cs="黑体" w:eastAsia="黑体" w:hint="default"/>
          <w:sz w:val="21"/>
          <w:szCs w:val="21"/>
        </w:rPr>
      </w:pPr>
    </w:p>
    <w:tbl>
      <w:tblPr>
        <w:tblW w:w="0" w:type="auto"/>
        <w:jc w:val="left"/>
        <w:tblInd w:w="124" w:type="dxa"/>
        <w:tblLayout w:type="fixed"/>
        <w:tblCellMar>
          <w:top w:w="0" w:type="dxa"/>
          <w:left w:w="0" w:type="dxa"/>
          <w:bottom w:w="0" w:type="dxa"/>
          <w:right w:w="0" w:type="dxa"/>
        </w:tblCellMar>
        <w:tblLook w:val="01E0"/>
      </w:tblPr>
      <w:tblGrid>
        <w:gridCol w:w="2894"/>
        <w:gridCol w:w="1560"/>
        <w:gridCol w:w="1670"/>
        <w:gridCol w:w="1675"/>
        <w:gridCol w:w="1704"/>
        <w:gridCol w:w="1800"/>
        <w:gridCol w:w="1560"/>
        <w:gridCol w:w="1843"/>
      </w:tblGrid>
      <w:tr>
        <w:trPr>
          <w:trHeight w:val="250"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5"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470"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398" w:right="0"/>
              <w:jc w:val="left"/>
              <w:rPr>
                <w:rFonts w:ascii="宋体" w:hAnsi="宋体" w:cs="宋体" w:eastAsia="宋体" w:hint="default"/>
                <w:sz w:val="18"/>
                <w:szCs w:val="18"/>
              </w:rPr>
            </w:pPr>
            <w:r>
              <w:rPr>
                <w:rFonts w:ascii="宋体" w:hAnsi="宋体" w:cs="宋体" w:eastAsia="宋体" w:hint="default"/>
                <w:spacing w:val="-3"/>
                <w:sz w:val="18"/>
                <w:szCs w:val="18"/>
              </w:rPr>
              <w:t>减：库存股</w:t>
            </w:r>
            <w:r>
              <w:rPr>
                <w:rFonts w:ascii="宋体" w:hAnsi="宋体" w:cs="宋体" w:eastAsia="宋体" w:hint="default"/>
                <w:sz w:val="18"/>
                <w:szCs w:val="18"/>
              </w:rPr>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5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321" w:right="0"/>
              <w:jc w:val="left"/>
              <w:rPr>
                <w:rFonts w:ascii="宋体" w:hAnsi="宋体" w:cs="宋体" w:eastAsia="宋体" w:hint="default"/>
                <w:sz w:val="18"/>
                <w:szCs w:val="18"/>
              </w:rPr>
            </w:pPr>
            <w:r>
              <w:rPr>
                <w:rFonts w:ascii="宋体" w:hAnsi="宋体" w:cs="宋体" w:eastAsia="宋体" w:hint="default"/>
                <w:spacing w:val="-3"/>
                <w:sz w:val="18"/>
                <w:szCs w:val="18"/>
              </w:rPr>
              <w:t>未分配利润</w:t>
            </w:r>
            <w:r>
              <w:rPr>
                <w:rFonts w:ascii="宋体" w:hAnsi="宋体" w:cs="宋体" w:eastAsia="宋体" w:hint="default"/>
                <w:sz w:val="18"/>
                <w:szCs w:val="18"/>
              </w:rPr>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369" w:right="0"/>
              <w:jc w:val="left"/>
              <w:rPr>
                <w:rFonts w:ascii="宋体" w:hAnsi="宋体" w:cs="宋体" w:eastAsia="宋体" w:hint="default"/>
                <w:sz w:val="18"/>
                <w:szCs w:val="18"/>
              </w:rPr>
            </w:pPr>
            <w:r>
              <w:rPr>
                <w:rFonts w:ascii="宋体" w:hAnsi="宋体" w:cs="宋体" w:eastAsia="宋体" w:hint="default"/>
                <w:sz w:val="18"/>
                <w:szCs w:val="18"/>
              </w:rPr>
              <w:t>股东权益合计</w:t>
            </w:r>
          </w:p>
        </w:tc>
      </w:tr>
      <w:tr>
        <w:trPr>
          <w:trHeight w:val="245"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100" w:right="0"/>
              <w:jc w:val="left"/>
              <w:rPr>
                <w:rFonts w:ascii="宋体" w:hAnsi="宋体" w:cs="宋体" w:eastAsia="宋体" w:hint="default"/>
                <w:sz w:val="18"/>
                <w:szCs w:val="18"/>
              </w:rPr>
            </w:pPr>
            <w:r>
              <w:rPr>
                <w:rFonts w:ascii="Arial" w:hAnsi="Arial" w:cs="Arial" w:eastAsia="Arial" w:hint="default"/>
                <w:sz w:val="18"/>
                <w:szCs w:val="18"/>
              </w:rPr>
              <w:t>2019</w:t>
            </w:r>
            <w:r>
              <w:rPr>
                <w:rFonts w:ascii="Arial" w:hAnsi="Arial" w:cs="Arial" w:eastAsia="Arial"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Arial" w:hAnsi="Arial" w:cs="Arial" w:eastAsia="Arial" w:hint="default"/>
                <w:sz w:val="18"/>
                <w:szCs w:val="18"/>
              </w:rPr>
              <w:t>1</w:t>
            </w:r>
            <w:r>
              <w:rPr>
                <w:rFonts w:ascii="Arial" w:hAnsi="Arial" w:cs="Arial" w:eastAsia="Arial"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Arial" w:hAnsi="Arial" w:cs="Arial" w:eastAsia="Arial" w:hint="default"/>
                <w:sz w:val="18"/>
                <w:szCs w:val="18"/>
              </w:rPr>
              <w:t>1</w:t>
            </w:r>
            <w:r>
              <w:rPr>
                <w:rFonts w:ascii="Arial" w:hAnsi="Arial" w:cs="Arial" w:eastAsia="Arial" w:hint="default"/>
                <w:spacing w:val="-4"/>
                <w:sz w:val="18"/>
                <w:szCs w:val="18"/>
              </w:rPr>
              <w:t> </w:t>
            </w:r>
            <w:r>
              <w:rPr>
                <w:rFonts w:ascii="宋体" w:hAnsi="宋体" w:cs="宋体" w:eastAsia="宋体" w:hint="default"/>
                <w:spacing w:val="-3"/>
                <w:sz w:val="18"/>
                <w:szCs w:val="18"/>
              </w:rPr>
              <w:t>日年初余额</w:t>
            </w:r>
            <w:r>
              <w:rPr>
                <w:rFonts w:ascii="宋体" w:hAnsi="宋体" w:cs="宋体" w:eastAsia="宋体" w:hint="default"/>
                <w:sz w:val="18"/>
                <w:szCs w:val="18"/>
              </w:rPr>
            </w:r>
          </w:p>
        </w:tc>
        <w:tc>
          <w:tcPr>
            <w:tcW w:w="156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2"/>
              <w:jc w:val="right"/>
              <w:rPr>
                <w:rFonts w:ascii="Arial" w:hAnsi="Arial" w:cs="Arial" w:eastAsia="Arial" w:hint="default"/>
                <w:sz w:val="18"/>
                <w:szCs w:val="18"/>
              </w:rPr>
            </w:pPr>
            <w:r>
              <w:rPr>
                <w:rFonts w:ascii="Arial"/>
                <w:spacing w:val="-2"/>
                <w:sz w:val="18"/>
              </w:rPr>
              <w:t>31,027,811,687</w:t>
            </w:r>
            <w:r>
              <w:rPr>
                <w:rFonts w:ascii="Arial"/>
                <w:sz w:val="18"/>
              </w:rPr>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3"/>
              <w:jc w:val="right"/>
              <w:rPr>
                <w:rFonts w:ascii="Arial" w:hAnsi="Arial" w:cs="Arial" w:eastAsia="Arial" w:hint="default"/>
                <w:sz w:val="18"/>
                <w:szCs w:val="18"/>
              </w:rPr>
            </w:pPr>
            <w:r>
              <w:rPr>
                <w:rFonts w:ascii="Arial"/>
                <w:spacing w:val="-2"/>
                <w:sz w:val="18"/>
              </w:rPr>
              <w:t>72,448,610,693</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47"/>
              <w:jc w:val="right"/>
              <w:rPr>
                <w:rFonts w:ascii="Arial" w:hAnsi="Arial" w:cs="Arial" w:eastAsia="Arial" w:hint="default"/>
                <w:sz w:val="18"/>
                <w:szCs w:val="18"/>
              </w:rPr>
            </w:pPr>
            <w:r>
              <w:rPr>
                <w:rFonts w:ascii="Arial"/>
                <w:spacing w:val="-2"/>
                <w:sz w:val="18"/>
              </w:rPr>
              <w:t>(2,993,014,742)</w:t>
            </w:r>
            <w:r>
              <w:rPr>
                <w:rFonts w:ascii="Arial"/>
                <w:sz w:val="18"/>
              </w:rPr>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Arial" w:hAnsi="Arial" w:cs="Arial" w:eastAsia="Arial" w:hint="default"/>
                <w:sz w:val="18"/>
                <w:szCs w:val="18"/>
              </w:rPr>
            </w:pPr>
            <w:r>
              <w:rPr>
                <w:rFonts w:ascii="Arial"/>
                <w:spacing w:val="-2"/>
                <w:sz w:val="18"/>
              </w:rPr>
              <w:t>1,412,023,687</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Arial" w:hAnsi="Arial" w:cs="Arial" w:eastAsia="Arial" w:hint="default"/>
                <w:sz w:val="18"/>
                <w:szCs w:val="18"/>
              </w:rPr>
            </w:pPr>
            <w:r>
              <w:rPr>
                <w:rFonts w:ascii="Arial"/>
                <w:spacing w:val="-1"/>
                <w:sz w:val="18"/>
              </w:rPr>
              <w:t>44,690,821</w:t>
            </w:r>
            <w:r>
              <w:rPr>
                <w:rFonts w:ascii="Arial"/>
                <w:sz w:val="18"/>
              </w:rPr>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6"/>
              <w:jc w:val="right"/>
              <w:rPr>
                <w:rFonts w:ascii="Arial" w:hAnsi="Arial" w:cs="Arial" w:eastAsia="Arial" w:hint="default"/>
                <w:sz w:val="18"/>
                <w:szCs w:val="18"/>
              </w:rPr>
            </w:pPr>
            <w:r>
              <w:rPr>
                <w:rFonts w:ascii="Arial"/>
                <w:spacing w:val="-2"/>
                <w:sz w:val="18"/>
              </w:rPr>
              <w:t>101,940,122,146</w:t>
            </w:r>
          </w:p>
        </w:tc>
      </w:tr>
      <w:tr>
        <w:trPr>
          <w:trHeight w:val="250"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56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4"/>
              <w:jc w:val="right"/>
              <w:rPr>
                <w:rFonts w:ascii="Arial" w:hAnsi="Arial" w:cs="Arial" w:eastAsia="Arial" w:hint="default"/>
                <w:sz w:val="18"/>
                <w:szCs w:val="18"/>
              </w:rPr>
            </w:pPr>
            <w:r>
              <w:rPr>
                <w:rFonts w:ascii="Arial"/>
                <w:w w:val="101"/>
                <w:sz w:val="18"/>
              </w:rPr>
              <w:t>-</w:t>
            </w:r>
            <w:r>
              <w:rPr>
                <w:rFonts w:ascii="Arial"/>
                <w:sz w:val="18"/>
              </w:rPr>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4"/>
              <w:jc w:val="right"/>
              <w:rPr>
                <w:rFonts w:ascii="Arial" w:hAnsi="Arial" w:cs="Arial" w:eastAsia="Arial" w:hint="default"/>
                <w:sz w:val="18"/>
                <w:szCs w:val="18"/>
              </w:rPr>
            </w:pPr>
            <w:r>
              <w:rPr>
                <w:rFonts w:ascii="Arial"/>
                <w:w w:val="101"/>
                <w:sz w:val="18"/>
              </w:rPr>
              <w:t>-</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38"/>
              <w:jc w:val="right"/>
              <w:rPr>
                <w:rFonts w:ascii="Arial" w:hAnsi="Arial" w:cs="Arial" w:eastAsia="Arial" w:hint="default"/>
                <w:sz w:val="18"/>
                <w:szCs w:val="18"/>
              </w:rPr>
            </w:pPr>
            <w:r>
              <w:rPr>
                <w:rFonts w:ascii="Arial"/>
                <w:w w:val="101"/>
                <w:sz w:val="18"/>
              </w:rPr>
              <w:t>-</w:t>
            </w:r>
            <w:r>
              <w:rPr>
                <w:rFonts w:ascii="Arial"/>
                <w:sz w:val="18"/>
              </w:rPr>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9"/>
              <w:jc w:val="right"/>
              <w:rPr>
                <w:rFonts w:ascii="Arial" w:hAnsi="Arial" w:cs="Arial" w:eastAsia="Arial" w:hint="default"/>
                <w:sz w:val="18"/>
                <w:szCs w:val="18"/>
              </w:rPr>
            </w:pPr>
            <w:r>
              <w:rPr>
                <w:rFonts w:ascii="Arial"/>
                <w:w w:val="101"/>
                <w:sz w:val="18"/>
              </w:rPr>
              <w:t>-</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9"/>
              <w:jc w:val="right"/>
              <w:rPr>
                <w:rFonts w:ascii="Arial" w:hAnsi="Arial" w:cs="Arial" w:eastAsia="Arial" w:hint="default"/>
                <w:sz w:val="18"/>
                <w:szCs w:val="18"/>
              </w:rPr>
            </w:pPr>
            <w:r>
              <w:rPr>
                <w:rFonts w:ascii="Arial"/>
                <w:w w:val="101"/>
                <w:sz w:val="18"/>
              </w:rPr>
              <w:t>-</w:t>
            </w:r>
            <w:r>
              <w:rPr>
                <w:rFonts w:ascii="Arial"/>
                <w:sz w:val="18"/>
              </w:rPr>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43"/>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3"/>
                <w:sz w:val="18"/>
                <w:szCs w:val="18"/>
              </w:rPr>
              <w:t>本年年初经调整余额</w:t>
            </w:r>
            <w:r>
              <w:rPr>
                <w:rFonts w:ascii="宋体" w:hAnsi="宋体" w:cs="宋体" w:eastAsia="宋体" w:hint="default"/>
                <w:sz w:val="18"/>
                <w:szCs w:val="18"/>
              </w:rPr>
            </w:r>
          </w:p>
        </w:tc>
        <w:tc>
          <w:tcPr>
            <w:tcW w:w="156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2"/>
              <w:jc w:val="right"/>
              <w:rPr>
                <w:rFonts w:ascii="Arial" w:hAnsi="Arial" w:cs="Arial" w:eastAsia="Arial" w:hint="default"/>
                <w:sz w:val="18"/>
                <w:szCs w:val="18"/>
              </w:rPr>
            </w:pPr>
            <w:r>
              <w:rPr>
                <w:rFonts w:ascii="Arial"/>
                <w:spacing w:val="-2"/>
                <w:sz w:val="18"/>
              </w:rPr>
              <w:t>31,027,811,687</w:t>
            </w:r>
            <w:r>
              <w:rPr>
                <w:rFonts w:ascii="Arial"/>
                <w:sz w:val="18"/>
              </w:rPr>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3"/>
              <w:jc w:val="right"/>
              <w:rPr>
                <w:rFonts w:ascii="Arial" w:hAnsi="Arial" w:cs="Arial" w:eastAsia="Arial" w:hint="default"/>
                <w:sz w:val="18"/>
                <w:szCs w:val="18"/>
              </w:rPr>
            </w:pPr>
            <w:r>
              <w:rPr>
                <w:rFonts w:ascii="Arial"/>
                <w:spacing w:val="-2"/>
                <w:sz w:val="18"/>
              </w:rPr>
              <w:t>72,448,610,693</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47"/>
              <w:jc w:val="right"/>
              <w:rPr>
                <w:rFonts w:ascii="Arial" w:hAnsi="Arial" w:cs="Arial" w:eastAsia="Arial" w:hint="default"/>
                <w:sz w:val="18"/>
                <w:szCs w:val="18"/>
              </w:rPr>
            </w:pPr>
            <w:r>
              <w:rPr>
                <w:rFonts w:ascii="Arial"/>
                <w:spacing w:val="-2"/>
                <w:sz w:val="18"/>
              </w:rPr>
              <w:t>(2,993,014,742)</w:t>
            </w:r>
            <w:r>
              <w:rPr>
                <w:rFonts w:ascii="Arial"/>
                <w:sz w:val="18"/>
              </w:rPr>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Arial" w:hAnsi="Arial" w:cs="Arial" w:eastAsia="Arial" w:hint="default"/>
                <w:sz w:val="18"/>
                <w:szCs w:val="18"/>
              </w:rPr>
            </w:pPr>
            <w:r>
              <w:rPr>
                <w:rFonts w:ascii="Arial"/>
                <w:spacing w:val="-2"/>
                <w:sz w:val="18"/>
              </w:rPr>
              <w:t>1,412,023,687</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Arial" w:hAnsi="Arial" w:cs="Arial" w:eastAsia="Arial" w:hint="default"/>
                <w:sz w:val="18"/>
                <w:szCs w:val="18"/>
              </w:rPr>
            </w:pPr>
            <w:r>
              <w:rPr>
                <w:rFonts w:ascii="Arial"/>
                <w:spacing w:val="-1"/>
                <w:sz w:val="18"/>
              </w:rPr>
              <w:t>44,690,821</w:t>
            </w:r>
            <w:r>
              <w:rPr>
                <w:rFonts w:ascii="Arial"/>
                <w:sz w:val="18"/>
              </w:rPr>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6"/>
              <w:jc w:val="right"/>
              <w:rPr>
                <w:rFonts w:ascii="Arial" w:hAnsi="Arial" w:cs="Arial" w:eastAsia="Arial" w:hint="default"/>
                <w:sz w:val="18"/>
                <w:szCs w:val="18"/>
              </w:rPr>
            </w:pPr>
            <w:r>
              <w:rPr>
                <w:rFonts w:ascii="Arial"/>
                <w:spacing w:val="-2"/>
                <w:sz w:val="18"/>
              </w:rPr>
              <w:t>101,940,122,146</w:t>
            </w:r>
          </w:p>
        </w:tc>
      </w:tr>
      <w:tr>
        <w:trPr>
          <w:trHeight w:val="250"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15" w:right="0"/>
              <w:jc w:val="left"/>
              <w:rPr>
                <w:rFonts w:ascii="宋体" w:hAnsi="宋体" w:cs="宋体" w:eastAsia="宋体" w:hint="default"/>
                <w:sz w:val="18"/>
                <w:szCs w:val="18"/>
              </w:rPr>
            </w:pPr>
            <w:r>
              <w:rPr>
                <w:rFonts w:ascii="宋体" w:hAnsi="宋体" w:cs="宋体" w:eastAsia="宋体" w:hint="default"/>
                <w:spacing w:val="-3"/>
                <w:sz w:val="18"/>
                <w:szCs w:val="18"/>
              </w:rPr>
              <w:t>（一）综合收益总额</w:t>
            </w:r>
            <w:r>
              <w:rPr>
                <w:rFonts w:ascii="宋体" w:hAnsi="宋体" w:cs="宋体" w:eastAsia="宋体" w:hint="default"/>
                <w:sz w:val="18"/>
                <w:szCs w:val="18"/>
              </w:rPr>
            </w:r>
          </w:p>
        </w:tc>
        <w:tc>
          <w:tcPr>
            <w:tcW w:w="156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4"/>
              <w:jc w:val="right"/>
              <w:rPr>
                <w:rFonts w:ascii="Arial" w:hAnsi="Arial" w:cs="Arial" w:eastAsia="Arial" w:hint="default"/>
                <w:sz w:val="18"/>
                <w:szCs w:val="18"/>
              </w:rPr>
            </w:pPr>
            <w:r>
              <w:rPr>
                <w:rFonts w:ascii="Arial"/>
                <w:w w:val="101"/>
                <w:sz w:val="18"/>
              </w:rPr>
              <w:t>-</w:t>
            </w:r>
            <w:r>
              <w:rPr>
                <w:rFonts w:ascii="Arial"/>
                <w:sz w:val="18"/>
              </w:rPr>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4"/>
              <w:jc w:val="right"/>
              <w:rPr>
                <w:rFonts w:ascii="Arial" w:hAnsi="Arial" w:cs="Arial" w:eastAsia="Arial" w:hint="default"/>
                <w:sz w:val="18"/>
                <w:szCs w:val="18"/>
              </w:rPr>
            </w:pPr>
            <w:r>
              <w:rPr>
                <w:rFonts w:ascii="Arial"/>
                <w:w w:val="101"/>
                <w:sz w:val="18"/>
              </w:rPr>
              <w:t>-</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38"/>
              <w:jc w:val="right"/>
              <w:rPr>
                <w:rFonts w:ascii="Arial" w:hAnsi="Arial" w:cs="Arial" w:eastAsia="Arial" w:hint="default"/>
                <w:sz w:val="18"/>
                <w:szCs w:val="18"/>
              </w:rPr>
            </w:pPr>
            <w:r>
              <w:rPr>
                <w:rFonts w:ascii="Arial"/>
                <w:w w:val="101"/>
                <w:sz w:val="18"/>
              </w:rPr>
              <w:t>-</w:t>
            </w:r>
            <w:r>
              <w:rPr>
                <w:rFonts w:ascii="Arial"/>
                <w:sz w:val="18"/>
              </w:rPr>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9"/>
              <w:jc w:val="right"/>
              <w:rPr>
                <w:rFonts w:ascii="Arial" w:hAnsi="Arial" w:cs="Arial" w:eastAsia="Arial" w:hint="default"/>
                <w:sz w:val="18"/>
                <w:szCs w:val="18"/>
              </w:rPr>
            </w:pPr>
            <w:r>
              <w:rPr>
                <w:rFonts w:ascii="Arial"/>
                <w:w w:val="101"/>
                <w:sz w:val="18"/>
              </w:rPr>
              <w:t>-</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Arial" w:hAnsi="Arial" w:cs="Arial" w:eastAsia="Arial" w:hint="default"/>
                <w:sz w:val="18"/>
                <w:szCs w:val="18"/>
              </w:rPr>
            </w:pPr>
            <w:r>
              <w:rPr>
                <w:rFonts w:ascii="Arial"/>
                <w:spacing w:val="-2"/>
                <w:sz w:val="18"/>
              </w:rPr>
              <w:t>1,893,370,187</w:t>
            </w:r>
            <w:r>
              <w:rPr>
                <w:rFonts w:ascii="Arial"/>
                <w:sz w:val="18"/>
              </w:rPr>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7"/>
              <w:jc w:val="right"/>
              <w:rPr>
                <w:rFonts w:ascii="Arial" w:hAnsi="Arial" w:cs="Arial" w:eastAsia="Arial" w:hint="default"/>
                <w:sz w:val="18"/>
                <w:szCs w:val="18"/>
              </w:rPr>
            </w:pPr>
            <w:r>
              <w:rPr>
                <w:rFonts w:ascii="Arial"/>
                <w:spacing w:val="-2"/>
                <w:sz w:val="18"/>
              </w:rPr>
              <w:t>1,893,370,187</w:t>
            </w:r>
            <w:r>
              <w:rPr>
                <w:rFonts w:ascii="Arial"/>
                <w:sz w:val="18"/>
              </w:rPr>
            </w:r>
          </w:p>
        </w:tc>
      </w:tr>
      <w:tr>
        <w:trPr>
          <w:trHeight w:val="250"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15" w:right="0"/>
              <w:jc w:val="left"/>
              <w:rPr>
                <w:rFonts w:ascii="宋体" w:hAnsi="宋体" w:cs="宋体" w:eastAsia="宋体" w:hint="default"/>
                <w:sz w:val="18"/>
                <w:szCs w:val="18"/>
              </w:rPr>
            </w:pPr>
            <w:r>
              <w:rPr>
                <w:rFonts w:ascii="宋体" w:hAnsi="宋体" w:cs="宋体" w:eastAsia="宋体" w:hint="default"/>
                <w:spacing w:val="-3"/>
                <w:sz w:val="18"/>
                <w:szCs w:val="18"/>
              </w:rPr>
              <w:t>（二）股东投入资本</w:t>
            </w:r>
            <w:r>
              <w:rPr>
                <w:rFonts w:ascii="宋体" w:hAnsi="宋体" w:cs="宋体" w:eastAsia="宋体" w:hint="default"/>
                <w:sz w:val="18"/>
                <w:szCs w:val="18"/>
              </w:rPr>
            </w:r>
          </w:p>
        </w:tc>
        <w:tc>
          <w:tcPr>
            <w:tcW w:w="156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
        </w:tc>
        <w:tc>
          <w:tcPr>
            <w:tcW w:w="1675" w:type="dxa"/>
            <w:tcBorders>
              <w:top w:val="single" w:sz="6" w:space="0" w:color="000000"/>
              <w:left w:val="single" w:sz="6" w:space="0" w:color="000000"/>
              <w:bottom w:val="single" w:sz="6" w:space="0" w:color="000000"/>
              <w:right w:val="single" w:sz="6" w:space="0" w:color="000000"/>
            </w:tcBorders>
          </w:tcPr>
          <w:p>
            <w:pPr/>
          </w:p>
        </w:tc>
        <w:tc>
          <w:tcPr>
            <w:tcW w:w="1704" w:type="dxa"/>
            <w:tcBorders>
              <w:top w:val="single" w:sz="6" w:space="0" w:color="000000"/>
              <w:left w:val="single" w:sz="6" w:space="0" w:color="000000"/>
              <w:bottom w:val="single" w:sz="6" w:space="0" w:color="000000"/>
              <w:right w:val="single" w:sz="6" w:space="0" w:color="000000"/>
            </w:tcBorders>
          </w:tcPr>
          <w:p>
            <w:pPr/>
          </w:p>
        </w:tc>
        <w:tc>
          <w:tcPr>
            <w:tcW w:w="180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
        </w:tc>
      </w:tr>
      <w:tr>
        <w:trPr>
          <w:trHeight w:val="480"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652" w:right="0"/>
              <w:jc w:val="left"/>
              <w:rPr>
                <w:rFonts w:ascii="宋体" w:hAnsi="宋体" w:cs="宋体" w:eastAsia="宋体" w:hint="default"/>
                <w:sz w:val="18"/>
                <w:szCs w:val="18"/>
              </w:rPr>
            </w:pPr>
            <w:r>
              <w:rPr>
                <w:rFonts w:ascii="Arial" w:hAnsi="Arial" w:cs="Arial" w:eastAsia="Arial" w:hint="default"/>
                <w:spacing w:val="-3"/>
                <w:sz w:val="18"/>
                <w:szCs w:val="18"/>
              </w:rPr>
              <w:t>1.</w:t>
            </w:r>
            <w:r>
              <w:rPr>
                <w:rFonts w:ascii="宋体" w:hAnsi="宋体" w:cs="宋体" w:eastAsia="宋体" w:hint="default"/>
                <w:spacing w:val="-3"/>
                <w:sz w:val="18"/>
                <w:szCs w:val="18"/>
              </w:rPr>
              <w:t>股东投入的普通股</w:t>
            </w:r>
            <w:r>
              <w:rPr>
                <w:rFonts w:ascii="宋体" w:hAnsi="宋体" w:cs="宋体" w:eastAsia="宋体" w:hint="default"/>
                <w:sz w:val="18"/>
                <w:szCs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09" w:lineRule="exact"/>
              <w:ind w:left="139" w:right="0"/>
              <w:jc w:val="left"/>
              <w:rPr>
                <w:rFonts w:ascii="Arial" w:hAnsi="Arial" w:cs="Arial" w:eastAsia="Arial" w:hint="default"/>
                <w:sz w:val="18"/>
                <w:szCs w:val="18"/>
              </w:rPr>
            </w:pPr>
            <w:r>
              <w:rPr>
                <w:rFonts w:ascii="宋体" w:hAnsi="宋体" w:cs="宋体" w:eastAsia="宋体" w:hint="default"/>
                <w:sz w:val="18"/>
                <w:szCs w:val="18"/>
              </w:rPr>
              <w:t>十五</w:t>
            </w:r>
            <w:r>
              <w:rPr>
                <w:rFonts w:ascii="Arial" w:hAnsi="Arial" w:cs="Arial" w:eastAsia="Arial" w:hint="default"/>
                <w:sz w:val="18"/>
                <w:szCs w:val="18"/>
              </w:rPr>
              <w:t>(5),</w:t>
            </w:r>
            <w:r>
              <w:rPr>
                <w:rFonts w:ascii="宋体" w:hAnsi="宋体" w:cs="宋体" w:eastAsia="宋体" w:hint="default"/>
                <w:sz w:val="18"/>
                <w:szCs w:val="18"/>
              </w:rPr>
              <w:t>十五</w:t>
            </w:r>
            <w:r>
              <w:rPr>
                <w:rFonts w:ascii="Arial" w:hAnsi="Arial" w:cs="Arial" w:eastAsia="Arial" w:hint="default"/>
                <w:sz w:val="18"/>
                <w:szCs w:val="18"/>
              </w:rPr>
              <w:t>(6),</w:t>
            </w:r>
          </w:p>
          <w:p>
            <w:pPr>
              <w:pStyle w:val="TableParagraph"/>
              <w:spacing w:line="242" w:lineRule="exact"/>
              <w:ind w:left="398" w:right="0"/>
              <w:jc w:val="left"/>
              <w:rPr>
                <w:rFonts w:ascii="Arial" w:hAnsi="Arial" w:cs="Arial" w:eastAsia="Arial" w:hint="default"/>
                <w:sz w:val="18"/>
                <w:szCs w:val="18"/>
              </w:rPr>
            </w:pPr>
            <w:r>
              <w:rPr>
                <w:rFonts w:ascii="宋体" w:hAnsi="宋体" w:cs="宋体" w:eastAsia="宋体" w:hint="default"/>
                <w:sz w:val="18"/>
                <w:szCs w:val="18"/>
              </w:rPr>
              <w:t>十五</w:t>
            </w:r>
            <w:r>
              <w:rPr>
                <w:rFonts w:ascii="Arial" w:hAnsi="Arial" w:cs="Arial" w:eastAsia="Arial" w:hint="default"/>
                <w:sz w:val="18"/>
                <w:szCs w:val="18"/>
              </w:rPr>
              <w:t>(7)</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112"/>
              <w:jc w:val="right"/>
              <w:rPr>
                <w:rFonts w:ascii="Arial" w:hAnsi="Arial" w:cs="Arial" w:eastAsia="Arial" w:hint="default"/>
                <w:sz w:val="18"/>
                <w:szCs w:val="18"/>
              </w:rPr>
            </w:pPr>
            <w:r>
              <w:rPr>
                <w:rFonts w:ascii="Arial"/>
                <w:spacing w:val="-1"/>
                <w:sz w:val="18"/>
              </w:rPr>
              <w:t>13,156,000</w:t>
            </w:r>
            <w:r>
              <w:rPr>
                <w:rFonts w:ascii="Arial"/>
                <w:sz w:val="18"/>
              </w:rPr>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93"/>
              <w:jc w:val="right"/>
              <w:rPr>
                <w:rFonts w:ascii="Arial" w:hAnsi="Arial" w:cs="Arial" w:eastAsia="Arial" w:hint="default"/>
                <w:sz w:val="18"/>
                <w:szCs w:val="18"/>
              </w:rPr>
            </w:pPr>
            <w:r>
              <w:rPr>
                <w:rFonts w:ascii="Arial"/>
                <w:spacing w:val="-1"/>
                <w:sz w:val="18"/>
              </w:rPr>
              <w:t>36,705,240</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47"/>
              <w:jc w:val="right"/>
              <w:rPr>
                <w:rFonts w:ascii="Arial" w:hAnsi="Arial" w:cs="Arial" w:eastAsia="Arial" w:hint="default"/>
                <w:sz w:val="18"/>
                <w:szCs w:val="18"/>
              </w:rPr>
            </w:pPr>
            <w:r>
              <w:rPr>
                <w:rFonts w:ascii="Arial"/>
                <w:spacing w:val="-2"/>
                <w:sz w:val="18"/>
              </w:rPr>
              <w:t>(49,861,240)</w:t>
            </w:r>
            <w:r>
              <w:rPr>
                <w:rFonts w:ascii="Arial"/>
                <w:sz w:val="18"/>
              </w:rPr>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119"/>
              <w:jc w:val="right"/>
              <w:rPr>
                <w:rFonts w:ascii="Arial" w:hAnsi="Arial" w:cs="Arial" w:eastAsia="Arial" w:hint="default"/>
                <w:sz w:val="18"/>
                <w:szCs w:val="18"/>
              </w:rPr>
            </w:pPr>
            <w:r>
              <w:rPr>
                <w:rFonts w:ascii="Arial"/>
                <w:w w:val="101"/>
                <w:sz w:val="18"/>
              </w:rPr>
              <w:t>-</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100"/>
              <w:jc w:val="right"/>
              <w:rPr>
                <w:rFonts w:ascii="Arial" w:hAnsi="Arial" w:cs="Arial" w:eastAsia="Arial" w:hint="default"/>
                <w:sz w:val="18"/>
                <w:szCs w:val="18"/>
              </w:rPr>
            </w:pPr>
            <w:r>
              <w:rPr>
                <w:rFonts w:ascii="Arial"/>
                <w:w w:val="101"/>
                <w:sz w:val="18"/>
              </w:rPr>
              <w:t>-</w:t>
            </w:r>
            <w:r>
              <w:rPr>
                <w:rFonts w:ascii="Arial"/>
                <w:sz w:val="18"/>
              </w:rPr>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119"/>
              <w:jc w:val="right"/>
              <w:rPr>
                <w:rFonts w:ascii="Arial" w:hAnsi="Arial" w:cs="Arial" w:eastAsia="Arial" w:hint="default"/>
                <w:sz w:val="18"/>
                <w:szCs w:val="18"/>
              </w:rPr>
            </w:pPr>
            <w:r>
              <w:rPr>
                <w:rFonts w:ascii="Arial"/>
                <w:w w:val="101"/>
                <w:sz w:val="18"/>
              </w:rPr>
              <w:t>-</w:t>
            </w:r>
            <w:r>
              <w:rPr>
                <w:rFonts w:ascii="Arial"/>
                <w:sz w:val="18"/>
              </w:rPr>
            </w:r>
          </w:p>
        </w:tc>
      </w:tr>
      <w:tr>
        <w:trPr>
          <w:trHeight w:val="480"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652" w:right="0"/>
              <w:jc w:val="left"/>
              <w:rPr>
                <w:rFonts w:ascii="宋体" w:hAnsi="宋体" w:cs="宋体" w:eastAsia="宋体" w:hint="default"/>
                <w:sz w:val="18"/>
                <w:szCs w:val="18"/>
              </w:rPr>
            </w:pPr>
            <w:r>
              <w:rPr>
                <w:rFonts w:ascii="Arial" w:hAnsi="Arial" w:cs="Arial" w:eastAsia="Arial" w:hint="default"/>
                <w:spacing w:val="-3"/>
                <w:sz w:val="18"/>
                <w:szCs w:val="18"/>
              </w:rPr>
              <w:t>2.</w:t>
            </w:r>
            <w:r>
              <w:rPr>
                <w:rFonts w:ascii="宋体" w:hAnsi="宋体" w:cs="宋体" w:eastAsia="宋体" w:hint="default"/>
                <w:spacing w:val="-3"/>
                <w:sz w:val="18"/>
                <w:szCs w:val="18"/>
              </w:rPr>
              <w:t>股份支付计入股东权益</w:t>
            </w:r>
            <w:r>
              <w:rPr>
                <w:rFonts w:ascii="宋体" w:hAnsi="宋体" w:cs="宋体" w:eastAsia="宋体" w:hint="default"/>
                <w:sz w:val="18"/>
                <w:szCs w:val="18"/>
              </w:rPr>
            </w:r>
          </w:p>
          <w:p>
            <w:pPr>
              <w:pStyle w:val="TableParagraph"/>
              <w:spacing w:line="227" w:lineRule="exact"/>
              <w:ind w:left="441" w:right="0"/>
              <w:jc w:val="left"/>
              <w:rPr>
                <w:rFonts w:ascii="宋体" w:hAnsi="宋体" w:cs="宋体" w:eastAsia="宋体" w:hint="default"/>
                <w:sz w:val="18"/>
                <w:szCs w:val="18"/>
              </w:rPr>
            </w:pPr>
            <w:r>
              <w:rPr>
                <w:rFonts w:ascii="宋体" w:hAnsi="宋体" w:cs="宋体" w:eastAsia="宋体" w:hint="default"/>
                <w:spacing w:val="-4"/>
                <w:sz w:val="18"/>
                <w:szCs w:val="18"/>
              </w:rPr>
              <w:t>的金额</w:t>
            </w:r>
            <w:r>
              <w:rPr>
                <w:rFonts w:ascii="宋体" w:hAnsi="宋体" w:cs="宋体" w:eastAsia="宋体" w:hint="default"/>
                <w:sz w:val="18"/>
                <w:szCs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Arial" w:hAnsi="Arial" w:cs="Arial" w:eastAsia="Arial" w:hint="default"/>
                <w:sz w:val="18"/>
                <w:szCs w:val="18"/>
              </w:rPr>
            </w:pPr>
            <w:r>
              <w:rPr>
                <w:rFonts w:ascii="宋体" w:hAnsi="宋体" w:cs="宋体" w:eastAsia="宋体" w:hint="default"/>
                <w:sz w:val="18"/>
                <w:szCs w:val="18"/>
              </w:rPr>
              <w:t>十五</w:t>
            </w:r>
            <w:r>
              <w:rPr>
                <w:rFonts w:ascii="Arial" w:hAnsi="Arial" w:cs="Arial" w:eastAsia="Arial" w:hint="default"/>
                <w:sz w:val="18"/>
                <w:szCs w:val="18"/>
              </w:rPr>
              <w:t>(6)</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114"/>
              <w:jc w:val="right"/>
              <w:rPr>
                <w:rFonts w:ascii="Arial" w:hAnsi="Arial" w:cs="Arial" w:eastAsia="Arial" w:hint="default"/>
                <w:sz w:val="18"/>
                <w:szCs w:val="18"/>
              </w:rPr>
            </w:pPr>
            <w:r>
              <w:rPr>
                <w:rFonts w:ascii="Arial"/>
                <w:w w:val="101"/>
                <w:sz w:val="18"/>
              </w:rPr>
              <w:t>-</w:t>
            </w:r>
            <w:r>
              <w:rPr>
                <w:rFonts w:ascii="Arial"/>
                <w:sz w:val="18"/>
              </w:rPr>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93"/>
              <w:jc w:val="right"/>
              <w:rPr>
                <w:rFonts w:ascii="Arial" w:hAnsi="Arial" w:cs="Arial" w:eastAsia="Arial" w:hint="default"/>
                <w:sz w:val="18"/>
                <w:szCs w:val="18"/>
              </w:rPr>
            </w:pPr>
            <w:r>
              <w:rPr>
                <w:rFonts w:ascii="Arial"/>
                <w:spacing w:val="-1"/>
                <w:sz w:val="18"/>
              </w:rPr>
              <w:t>570,670,000</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138"/>
              <w:jc w:val="right"/>
              <w:rPr>
                <w:rFonts w:ascii="Arial" w:hAnsi="Arial" w:cs="Arial" w:eastAsia="Arial" w:hint="default"/>
                <w:sz w:val="18"/>
                <w:szCs w:val="18"/>
              </w:rPr>
            </w:pPr>
            <w:r>
              <w:rPr>
                <w:rFonts w:ascii="Arial"/>
                <w:w w:val="101"/>
                <w:sz w:val="18"/>
              </w:rPr>
              <w:t>-</w:t>
            </w:r>
            <w:r>
              <w:rPr>
                <w:rFonts w:ascii="Arial"/>
                <w:sz w:val="18"/>
              </w:rPr>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162"/>
              <w:jc w:val="right"/>
              <w:rPr>
                <w:rFonts w:ascii="Arial" w:hAnsi="Arial" w:cs="Arial" w:eastAsia="Arial" w:hint="default"/>
                <w:sz w:val="18"/>
                <w:szCs w:val="18"/>
              </w:rPr>
            </w:pPr>
            <w:r>
              <w:rPr>
                <w:rFonts w:ascii="Arial"/>
                <w:w w:val="101"/>
                <w:sz w:val="18"/>
              </w:rPr>
              <w:t>-</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100"/>
              <w:jc w:val="right"/>
              <w:rPr>
                <w:rFonts w:ascii="Arial" w:hAnsi="Arial" w:cs="Arial" w:eastAsia="Arial" w:hint="default"/>
                <w:sz w:val="18"/>
                <w:szCs w:val="18"/>
              </w:rPr>
            </w:pPr>
            <w:r>
              <w:rPr>
                <w:rFonts w:ascii="Arial"/>
                <w:w w:val="101"/>
                <w:sz w:val="18"/>
              </w:rPr>
              <w:t>-</w:t>
            </w:r>
            <w:r>
              <w:rPr>
                <w:rFonts w:ascii="Arial"/>
                <w:sz w:val="18"/>
              </w:rPr>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117"/>
              <w:jc w:val="right"/>
              <w:rPr>
                <w:rFonts w:ascii="Arial" w:hAnsi="Arial" w:cs="Arial" w:eastAsia="Arial" w:hint="default"/>
                <w:sz w:val="18"/>
                <w:szCs w:val="18"/>
              </w:rPr>
            </w:pPr>
            <w:r>
              <w:rPr>
                <w:rFonts w:ascii="Arial"/>
                <w:spacing w:val="-1"/>
                <w:sz w:val="18"/>
              </w:rPr>
              <w:t>570,670,000</w:t>
            </w:r>
            <w:r>
              <w:rPr>
                <w:rFonts w:ascii="Arial"/>
                <w:sz w:val="18"/>
              </w:rPr>
            </w:r>
          </w:p>
        </w:tc>
      </w:tr>
      <w:tr>
        <w:trPr>
          <w:trHeight w:val="250"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652" w:right="0"/>
              <w:jc w:val="left"/>
              <w:rPr>
                <w:rFonts w:ascii="宋体" w:hAnsi="宋体" w:cs="宋体" w:eastAsia="宋体" w:hint="default"/>
                <w:sz w:val="18"/>
                <w:szCs w:val="18"/>
              </w:rPr>
            </w:pPr>
            <w:r>
              <w:rPr>
                <w:rFonts w:ascii="Arial" w:hAnsi="Arial" w:cs="Arial" w:eastAsia="Arial" w:hint="default"/>
                <w:spacing w:val="-3"/>
                <w:sz w:val="18"/>
                <w:szCs w:val="18"/>
              </w:rPr>
              <w:t>3.</w:t>
            </w:r>
            <w:r>
              <w:rPr>
                <w:rFonts w:ascii="宋体" w:hAnsi="宋体" w:cs="宋体" w:eastAsia="宋体" w:hint="default"/>
                <w:spacing w:val="-3"/>
                <w:sz w:val="18"/>
                <w:szCs w:val="18"/>
              </w:rPr>
              <w:t>其他</w:t>
            </w:r>
            <w:r>
              <w:rPr>
                <w:rFonts w:ascii="宋体" w:hAnsi="宋体" w:cs="宋体" w:eastAsia="宋体" w:hint="default"/>
                <w:sz w:val="18"/>
                <w:szCs w:val="18"/>
              </w:rPr>
            </w:r>
          </w:p>
        </w:tc>
        <w:tc>
          <w:tcPr>
            <w:tcW w:w="156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47"/>
              <w:jc w:val="right"/>
              <w:rPr>
                <w:rFonts w:ascii="Arial" w:hAnsi="Arial" w:cs="Arial" w:eastAsia="Arial" w:hint="default"/>
                <w:sz w:val="18"/>
                <w:szCs w:val="18"/>
              </w:rPr>
            </w:pPr>
            <w:r>
              <w:rPr>
                <w:rFonts w:ascii="Arial"/>
                <w:spacing w:val="-2"/>
                <w:sz w:val="18"/>
              </w:rPr>
              <w:t>(7,262,000)</w:t>
            </w:r>
            <w:r>
              <w:rPr>
                <w:rFonts w:ascii="Arial"/>
                <w:sz w:val="18"/>
              </w:rPr>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47"/>
              <w:jc w:val="right"/>
              <w:rPr>
                <w:rFonts w:ascii="Arial" w:hAnsi="Arial" w:cs="Arial" w:eastAsia="Arial" w:hint="default"/>
                <w:sz w:val="18"/>
                <w:szCs w:val="18"/>
              </w:rPr>
            </w:pPr>
            <w:r>
              <w:rPr>
                <w:rFonts w:ascii="Arial"/>
                <w:spacing w:val="-2"/>
                <w:sz w:val="18"/>
              </w:rPr>
              <w:t>(20,260,980)</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3"/>
              <w:jc w:val="right"/>
              <w:rPr>
                <w:rFonts w:ascii="Arial" w:hAnsi="Arial" w:cs="Arial" w:eastAsia="Arial" w:hint="default"/>
                <w:sz w:val="18"/>
                <w:szCs w:val="18"/>
              </w:rPr>
            </w:pPr>
            <w:r>
              <w:rPr>
                <w:rFonts w:ascii="Arial"/>
                <w:spacing w:val="-1"/>
                <w:sz w:val="18"/>
              </w:rPr>
              <w:t>27,522,980</w:t>
            </w:r>
            <w:r>
              <w:rPr>
                <w:rFonts w:ascii="Arial"/>
                <w:sz w:val="18"/>
              </w:rPr>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9"/>
              <w:jc w:val="right"/>
              <w:rPr>
                <w:rFonts w:ascii="Arial" w:hAnsi="Arial" w:cs="Arial" w:eastAsia="Arial" w:hint="default"/>
                <w:sz w:val="18"/>
                <w:szCs w:val="18"/>
              </w:rPr>
            </w:pPr>
            <w:r>
              <w:rPr>
                <w:rFonts w:ascii="Arial"/>
                <w:w w:val="101"/>
                <w:sz w:val="18"/>
              </w:rPr>
              <w:t>-</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Arial" w:hAnsi="Arial" w:cs="Arial" w:eastAsia="Arial" w:hint="default"/>
                <w:sz w:val="18"/>
                <w:szCs w:val="18"/>
              </w:rPr>
            </w:pPr>
            <w:r>
              <w:rPr>
                <w:rFonts w:ascii="Arial"/>
                <w:w w:val="101"/>
                <w:sz w:val="18"/>
              </w:rPr>
              <w:t>-</w:t>
            </w:r>
            <w:r>
              <w:rPr>
                <w:rFonts w:ascii="Arial"/>
                <w:sz w:val="18"/>
              </w:rPr>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9"/>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15" w:right="0"/>
              <w:jc w:val="left"/>
              <w:rPr>
                <w:rFonts w:ascii="宋体" w:hAnsi="宋体" w:cs="宋体" w:eastAsia="宋体" w:hint="default"/>
                <w:sz w:val="18"/>
                <w:szCs w:val="18"/>
              </w:rPr>
            </w:pPr>
            <w:r>
              <w:rPr>
                <w:rFonts w:ascii="宋体" w:hAnsi="宋体" w:cs="宋体" w:eastAsia="宋体" w:hint="default"/>
                <w:spacing w:val="-3"/>
                <w:sz w:val="18"/>
                <w:szCs w:val="18"/>
              </w:rPr>
              <w:t>（三）利润分配</w:t>
            </w:r>
            <w:r>
              <w:rPr>
                <w:rFonts w:ascii="宋体" w:hAnsi="宋体" w:cs="宋体" w:eastAsia="宋体" w:hint="default"/>
                <w:sz w:val="18"/>
                <w:szCs w:val="18"/>
              </w:rPr>
            </w:r>
          </w:p>
        </w:tc>
        <w:tc>
          <w:tcPr>
            <w:tcW w:w="156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
        </w:tc>
        <w:tc>
          <w:tcPr>
            <w:tcW w:w="1675" w:type="dxa"/>
            <w:tcBorders>
              <w:top w:val="single" w:sz="6" w:space="0" w:color="000000"/>
              <w:left w:val="single" w:sz="6" w:space="0" w:color="000000"/>
              <w:bottom w:val="single" w:sz="6" w:space="0" w:color="000000"/>
              <w:right w:val="single" w:sz="6" w:space="0" w:color="000000"/>
            </w:tcBorders>
          </w:tcPr>
          <w:p>
            <w:pPr/>
          </w:p>
        </w:tc>
        <w:tc>
          <w:tcPr>
            <w:tcW w:w="1704" w:type="dxa"/>
            <w:tcBorders>
              <w:top w:val="single" w:sz="6" w:space="0" w:color="000000"/>
              <w:left w:val="single" w:sz="6" w:space="0" w:color="000000"/>
              <w:bottom w:val="single" w:sz="6" w:space="0" w:color="000000"/>
              <w:right w:val="single" w:sz="6" w:space="0" w:color="000000"/>
            </w:tcBorders>
          </w:tcPr>
          <w:p>
            <w:pPr/>
          </w:p>
        </w:tc>
        <w:tc>
          <w:tcPr>
            <w:tcW w:w="180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652" w:right="0"/>
              <w:jc w:val="left"/>
              <w:rPr>
                <w:rFonts w:ascii="宋体" w:hAnsi="宋体" w:cs="宋体" w:eastAsia="宋体" w:hint="default"/>
                <w:sz w:val="18"/>
                <w:szCs w:val="18"/>
              </w:rPr>
            </w:pPr>
            <w:r>
              <w:rPr>
                <w:rFonts w:ascii="Arial" w:hAnsi="Arial" w:cs="Arial" w:eastAsia="Arial" w:hint="default"/>
                <w:spacing w:val="-3"/>
                <w:sz w:val="18"/>
                <w:szCs w:val="18"/>
              </w:rPr>
              <w:t>1.</w:t>
            </w:r>
            <w:r>
              <w:rPr>
                <w:rFonts w:ascii="宋体" w:hAnsi="宋体" w:cs="宋体" w:eastAsia="宋体" w:hint="default"/>
                <w:spacing w:val="-3"/>
                <w:sz w:val="18"/>
                <w:szCs w:val="18"/>
              </w:rPr>
              <w:t>提取盈余公积</w:t>
            </w:r>
            <w:r>
              <w:rPr>
                <w:rFonts w:ascii="宋体" w:hAnsi="宋体" w:cs="宋体" w:eastAsia="宋体" w:hint="default"/>
                <w:sz w:val="18"/>
                <w:szCs w:val="18"/>
              </w:rPr>
            </w:r>
          </w:p>
        </w:tc>
        <w:tc>
          <w:tcPr>
            <w:tcW w:w="156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4"/>
              <w:jc w:val="right"/>
              <w:rPr>
                <w:rFonts w:ascii="Arial" w:hAnsi="Arial" w:cs="Arial" w:eastAsia="Arial" w:hint="default"/>
                <w:sz w:val="18"/>
                <w:szCs w:val="18"/>
              </w:rPr>
            </w:pPr>
            <w:r>
              <w:rPr>
                <w:rFonts w:ascii="Arial"/>
                <w:w w:val="101"/>
                <w:sz w:val="18"/>
              </w:rPr>
              <w:t>-</w:t>
            </w:r>
            <w:r>
              <w:rPr>
                <w:rFonts w:ascii="Arial"/>
                <w:sz w:val="18"/>
              </w:rPr>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4"/>
              <w:jc w:val="right"/>
              <w:rPr>
                <w:rFonts w:ascii="Arial" w:hAnsi="Arial" w:cs="Arial" w:eastAsia="Arial" w:hint="default"/>
                <w:sz w:val="18"/>
                <w:szCs w:val="18"/>
              </w:rPr>
            </w:pPr>
            <w:r>
              <w:rPr>
                <w:rFonts w:ascii="Arial"/>
                <w:w w:val="101"/>
                <w:sz w:val="18"/>
              </w:rPr>
              <w:t>-</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38"/>
              <w:jc w:val="right"/>
              <w:rPr>
                <w:rFonts w:ascii="Arial" w:hAnsi="Arial" w:cs="Arial" w:eastAsia="Arial" w:hint="default"/>
                <w:sz w:val="18"/>
                <w:szCs w:val="18"/>
              </w:rPr>
            </w:pPr>
            <w:r>
              <w:rPr>
                <w:rFonts w:ascii="Arial"/>
                <w:w w:val="101"/>
                <w:sz w:val="18"/>
              </w:rPr>
              <w:t>-</w:t>
            </w:r>
            <w:r>
              <w:rPr>
                <w:rFonts w:ascii="Arial"/>
                <w:sz w:val="18"/>
              </w:rPr>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7"/>
              <w:jc w:val="right"/>
              <w:rPr>
                <w:rFonts w:ascii="Arial" w:hAnsi="Arial" w:cs="Arial" w:eastAsia="Arial" w:hint="default"/>
                <w:sz w:val="18"/>
                <w:szCs w:val="18"/>
              </w:rPr>
            </w:pPr>
            <w:r>
              <w:rPr>
                <w:rFonts w:ascii="Arial"/>
                <w:spacing w:val="-2"/>
                <w:sz w:val="18"/>
              </w:rPr>
              <w:t>189,337,019</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47"/>
              <w:jc w:val="right"/>
              <w:rPr>
                <w:rFonts w:ascii="Arial" w:hAnsi="Arial" w:cs="Arial" w:eastAsia="Arial" w:hint="default"/>
                <w:sz w:val="18"/>
                <w:szCs w:val="18"/>
              </w:rPr>
            </w:pPr>
            <w:r>
              <w:rPr>
                <w:rFonts w:ascii="Arial"/>
                <w:spacing w:val="-2"/>
                <w:sz w:val="18"/>
              </w:rPr>
              <w:t>(189,337,019)</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9"/>
              <w:jc w:val="right"/>
              <w:rPr>
                <w:rFonts w:ascii="Arial" w:hAnsi="Arial" w:cs="Arial" w:eastAsia="Arial" w:hint="default"/>
                <w:sz w:val="18"/>
                <w:szCs w:val="18"/>
              </w:rPr>
            </w:pPr>
            <w:r>
              <w:rPr>
                <w:rFonts w:ascii="Arial"/>
                <w:w w:val="101"/>
                <w:sz w:val="18"/>
              </w:rPr>
              <w:t>-</w:t>
            </w:r>
            <w:r>
              <w:rPr>
                <w:rFonts w:ascii="Arial"/>
                <w:sz w:val="18"/>
              </w:rPr>
            </w:r>
          </w:p>
        </w:tc>
      </w:tr>
      <w:tr>
        <w:trPr>
          <w:trHeight w:val="245"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652" w:right="0"/>
              <w:jc w:val="left"/>
              <w:rPr>
                <w:rFonts w:ascii="宋体" w:hAnsi="宋体" w:cs="宋体" w:eastAsia="宋体" w:hint="default"/>
                <w:sz w:val="18"/>
                <w:szCs w:val="18"/>
              </w:rPr>
            </w:pPr>
            <w:r>
              <w:rPr>
                <w:rFonts w:ascii="Arial" w:hAnsi="Arial" w:cs="Arial" w:eastAsia="Arial" w:hint="default"/>
                <w:spacing w:val="-3"/>
                <w:sz w:val="18"/>
                <w:szCs w:val="18"/>
              </w:rPr>
              <w:t>2.</w:t>
            </w:r>
            <w:r>
              <w:rPr>
                <w:rFonts w:ascii="宋体" w:hAnsi="宋体" w:cs="宋体" w:eastAsia="宋体" w:hint="default"/>
                <w:spacing w:val="-3"/>
                <w:sz w:val="18"/>
                <w:szCs w:val="18"/>
              </w:rPr>
              <w:t>对股东的分配</w:t>
            </w:r>
            <w:r>
              <w:rPr>
                <w:rFonts w:ascii="宋体" w:hAnsi="宋体" w:cs="宋体" w:eastAsia="宋体" w:hint="default"/>
                <w:sz w:val="18"/>
                <w:szCs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right="4"/>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(36)</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4"/>
              <w:jc w:val="right"/>
              <w:rPr>
                <w:rFonts w:ascii="Arial" w:hAnsi="Arial" w:cs="Arial" w:eastAsia="Arial" w:hint="default"/>
                <w:sz w:val="18"/>
                <w:szCs w:val="18"/>
              </w:rPr>
            </w:pPr>
            <w:r>
              <w:rPr>
                <w:rFonts w:ascii="Arial"/>
                <w:w w:val="101"/>
                <w:sz w:val="18"/>
              </w:rPr>
              <w:t>-</w:t>
            </w:r>
            <w:r>
              <w:rPr>
                <w:rFonts w:ascii="Arial"/>
                <w:sz w:val="18"/>
              </w:rPr>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4"/>
              <w:jc w:val="right"/>
              <w:rPr>
                <w:rFonts w:ascii="Arial" w:hAnsi="Arial" w:cs="Arial" w:eastAsia="Arial" w:hint="default"/>
                <w:sz w:val="18"/>
                <w:szCs w:val="18"/>
              </w:rPr>
            </w:pPr>
            <w:r>
              <w:rPr>
                <w:rFonts w:ascii="Arial"/>
                <w:w w:val="101"/>
                <w:sz w:val="18"/>
              </w:rPr>
              <w:t>-</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38"/>
              <w:jc w:val="right"/>
              <w:rPr>
                <w:rFonts w:ascii="Arial" w:hAnsi="Arial" w:cs="Arial" w:eastAsia="Arial" w:hint="default"/>
                <w:sz w:val="18"/>
                <w:szCs w:val="18"/>
              </w:rPr>
            </w:pPr>
            <w:r>
              <w:rPr>
                <w:rFonts w:ascii="Arial"/>
                <w:w w:val="101"/>
                <w:sz w:val="18"/>
              </w:rPr>
              <w:t>-</w:t>
            </w:r>
            <w:r>
              <w:rPr>
                <w:rFonts w:ascii="Arial"/>
                <w:sz w:val="18"/>
              </w:rPr>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9"/>
              <w:jc w:val="right"/>
              <w:rPr>
                <w:rFonts w:ascii="Arial" w:hAnsi="Arial" w:cs="Arial" w:eastAsia="Arial" w:hint="default"/>
                <w:sz w:val="18"/>
                <w:szCs w:val="18"/>
              </w:rPr>
            </w:pPr>
            <w:r>
              <w:rPr>
                <w:rFonts w:ascii="Arial"/>
                <w:w w:val="101"/>
                <w:sz w:val="18"/>
              </w:rPr>
              <w:t>-</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47"/>
              <w:jc w:val="right"/>
              <w:rPr>
                <w:rFonts w:ascii="Arial" w:hAnsi="Arial" w:cs="Arial" w:eastAsia="Arial" w:hint="default"/>
                <w:sz w:val="18"/>
                <w:szCs w:val="18"/>
              </w:rPr>
            </w:pPr>
            <w:r>
              <w:rPr>
                <w:rFonts w:ascii="Arial"/>
                <w:spacing w:val="-2"/>
                <w:sz w:val="18"/>
              </w:rPr>
              <w:t>(1,654,483,578)</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47"/>
              <w:jc w:val="right"/>
              <w:rPr>
                <w:rFonts w:ascii="Arial" w:hAnsi="Arial" w:cs="Arial" w:eastAsia="Arial" w:hint="default"/>
                <w:sz w:val="18"/>
                <w:szCs w:val="18"/>
              </w:rPr>
            </w:pPr>
            <w:r>
              <w:rPr>
                <w:rFonts w:ascii="Arial"/>
                <w:spacing w:val="-2"/>
                <w:sz w:val="18"/>
              </w:rPr>
              <w:t>(1,654,483,578)</w:t>
            </w:r>
            <w:r>
              <w:rPr>
                <w:rFonts w:ascii="Arial"/>
                <w:sz w:val="18"/>
              </w:rPr>
            </w:r>
          </w:p>
        </w:tc>
      </w:tr>
      <w:tr>
        <w:trPr>
          <w:trHeight w:val="250"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100" w:right="0"/>
              <w:jc w:val="left"/>
              <w:rPr>
                <w:rFonts w:ascii="宋体" w:hAnsi="宋体" w:cs="宋体" w:eastAsia="宋体" w:hint="default"/>
                <w:sz w:val="18"/>
                <w:szCs w:val="18"/>
              </w:rPr>
            </w:pPr>
            <w:r>
              <w:rPr>
                <w:rFonts w:ascii="Arial" w:hAnsi="Arial" w:cs="Arial" w:eastAsia="Arial" w:hint="default"/>
                <w:sz w:val="18"/>
                <w:szCs w:val="18"/>
              </w:rPr>
              <w:t>2019</w:t>
            </w:r>
            <w:r>
              <w:rPr>
                <w:rFonts w:ascii="Arial" w:hAnsi="Arial" w:cs="Arial" w:eastAsia="Arial"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Arial" w:hAnsi="Arial" w:cs="Arial" w:eastAsia="Arial" w:hint="default"/>
                <w:sz w:val="18"/>
                <w:szCs w:val="18"/>
              </w:rPr>
              <w:t>12</w:t>
            </w:r>
            <w:r>
              <w:rPr>
                <w:rFonts w:ascii="Arial" w:hAnsi="Arial" w:cs="Arial" w:eastAsia="Arial"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Arial" w:hAnsi="Arial" w:cs="Arial" w:eastAsia="Arial" w:hint="default"/>
                <w:sz w:val="18"/>
                <w:szCs w:val="18"/>
              </w:rPr>
              <w:t>31</w:t>
            </w:r>
            <w:r>
              <w:rPr>
                <w:rFonts w:ascii="Arial" w:hAnsi="Arial" w:cs="Arial" w:eastAsia="Arial" w:hint="default"/>
                <w:spacing w:val="-4"/>
                <w:sz w:val="18"/>
                <w:szCs w:val="18"/>
              </w:rPr>
              <w:t> </w:t>
            </w:r>
            <w:r>
              <w:rPr>
                <w:rFonts w:ascii="宋体" w:hAnsi="宋体" w:cs="宋体" w:eastAsia="宋体" w:hint="default"/>
                <w:spacing w:val="-3"/>
                <w:sz w:val="18"/>
                <w:szCs w:val="18"/>
              </w:rPr>
              <w:t>日年末余额</w:t>
            </w:r>
            <w:r>
              <w:rPr>
                <w:rFonts w:ascii="宋体" w:hAnsi="宋体" w:cs="宋体" w:eastAsia="宋体" w:hint="default"/>
                <w:sz w:val="18"/>
                <w:szCs w:val="18"/>
              </w:rPr>
            </w:r>
          </w:p>
        </w:tc>
        <w:tc>
          <w:tcPr>
            <w:tcW w:w="156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2"/>
              <w:jc w:val="right"/>
              <w:rPr>
                <w:rFonts w:ascii="Arial" w:hAnsi="Arial" w:cs="Arial" w:eastAsia="Arial" w:hint="default"/>
                <w:sz w:val="18"/>
                <w:szCs w:val="18"/>
              </w:rPr>
            </w:pPr>
            <w:r>
              <w:rPr>
                <w:rFonts w:ascii="Arial"/>
                <w:spacing w:val="-2"/>
                <w:sz w:val="18"/>
              </w:rPr>
              <w:t>31,033,705,687</w:t>
            </w:r>
            <w:r>
              <w:rPr>
                <w:rFonts w:ascii="Arial"/>
                <w:sz w:val="18"/>
              </w:rPr>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3"/>
              <w:jc w:val="right"/>
              <w:rPr>
                <w:rFonts w:ascii="Arial" w:hAnsi="Arial" w:cs="Arial" w:eastAsia="Arial" w:hint="default"/>
                <w:sz w:val="18"/>
                <w:szCs w:val="18"/>
              </w:rPr>
            </w:pPr>
            <w:r>
              <w:rPr>
                <w:rFonts w:ascii="Arial"/>
                <w:spacing w:val="-2"/>
                <w:sz w:val="18"/>
              </w:rPr>
              <w:t>73,035,724,953</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47"/>
              <w:jc w:val="right"/>
              <w:rPr>
                <w:rFonts w:ascii="Arial" w:hAnsi="Arial" w:cs="Arial" w:eastAsia="Arial" w:hint="default"/>
                <w:sz w:val="18"/>
                <w:szCs w:val="18"/>
              </w:rPr>
            </w:pPr>
            <w:r>
              <w:rPr>
                <w:rFonts w:ascii="Arial"/>
                <w:spacing w:val="-2"/>
                <w:sz w:val="18"/>
              </w:rPr>
              <w:t>(3,015,353,002)</w:t>
            </w:r>
            <w:r>
              <w:rPr>
                <w:rFonts w:ascii="Arial"/>
                <w:sz w:val="18"/>
              </w:rPr>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3"/>
              <w:jc w:val="right"/>
              <w:rPr>
                <w:rFonts w:ascii="Arial" w:hAnsi="Arial" w:cs="Arial" w:eastAsia="Arial" w:hint="default"/>
                <w:sz w:val="18"/>
                <w:szCs w:val="18"/>
              </w:rPr>
            </w:pPr>
            <w:r>
              <w:rPr>
                <w:rFonts w:ascii="Arial"/>
                <w:spacing w:val="-2"/>
                <w:sz w:val="18"/>
              </w:rPr>
              <w:t>1,601,360,706</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Arial" w:hAnsi="Arial" w:cs="Arial" w:eastAsia="Arial" w:hint="default"/>
                <w:sz w:val="18"/>
                <w:szCs w:val="18"/>
              </w:rPr>
            </w:pPr>
            <w:r>
              <w:rPr>
                <w:rFonts w:ascii="Arial"/>
                <w:spacing w:val="-1"/>
                <w:sz w:val="18"/>
              </w:rPr>
              <w:t>94,240,411</w:t>
            </w:r>
            <w:r>
              <w:rPr>
                <w:rFonts w:ascii="Arial"/>
                <w:sz w:val="18"/>
              </w:rPr>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21"/>
              <w:jc w:val="right"/>
              <w:rPr>
                <w:rFonts w:ascii="Arial" w:hAnsi="Arial" w:cs="Arial" w:eastAsia="Arial" w:hint="default"/>
                <w:sz w:val="18"/>
                <w:szCs w:val="18"/>
              </w:rPr>
            </w:pPr>
            <w:r>
              <w:rPr>
                <w:rFonts w:ascii="Arial"/>
                <w:spacing w:val="-2"/>
                <w:sz w:val="18"/>
              </w:rPr>
              <w:t>102,749,678,755</w:t>
            </w:r>
          </w:p>
        </w:tc>
      </w:tr>
      <w:tr>
        <w:trPr>
          <w:trHeight w:val="221" w:hRule="exact"/>
        </w:trPr>
        <w:tc>
          <w:tcPr>
            <w:tcW w:w="2894"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
        </w:tc>
        <w:tc>
          <w:tcPr>
            <w:tcW w:w="1675" w:type="dxa"/>
            <w:tcBorders>
              <w:top w:val="single" w:sz="6" w:space="0" w:color="000000"/>
              <w:left w:val="single" w:sz="6" w:space="0" w:color="000000"/>
              <w:bottom w:val="single" w:sz="6" w:space="0" w:color="000000"/>
              <w:right w:val="single" w:sz="6" w:space="0" w:color="000000"/>
            </w:tcBorders>
          </w:tcPr>
          <w:p>
            <w:pPr/>
          </w:p>
        </w:tc>
        <w:tc>
          <w:tcPr>
            <w:tcW w:w="1704" w:type="dxa"/>
            <w:tcBorders>
              <w:top w:val="single" w:sz="6" w:space="0" w:color="000000"/>
              <w:left w:val="single" w:sz="6" w:space="0" w:color="000000"/>
              <w:bottom w:val="single" w:sz="6" w:space="0" w:color="000000"/>
              <w:right w:val="single" w:sz="6" w:space="0" w:color="000000"/>
            </w:tcBorders>
          </w:tcPr>
          <w:p>
            <w:pPr/>
          </w:p>
        </w:tc>
        <w:tc>
          <w:tcPr>
            <w:tcW w:w="180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100" w:right="0"/>
              <w:jc w:val="left"/>
              <w:rPr>
                <w:rFonts w:ascii="宋体" w:hAnsi="宋体" w:cs="宋体" w:eastAsia="宋体" w:hint="default"/>
                <w:sz w:val="18"/>
                <w:szCs w:val="18"/>
              </w:rPr>
            </w:pPr>
            <w:r>
              <w:rPr>
                <w:rFonts w:ascii="Arial" w:hAnsi="Arial" w:cs="Arial" w:eastAsia="Arial" w:hint="default"/>
                <w:sz w:val="18"/>
                <w:szCs w:val="18"/>
              </w:rPr>
              <w:t>2018</w:t>
            </w:r>
            <w:r>
              <w:rPr>
                <w:rFonts w:ascii="Arial" w:hAnsi="Arial" w:cs="Arial" w:eastAsia="Arial"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Arial" w:hAnsi="Arial" w:cs="Arial" w:eastAsia="Arial" w:hint="default"/>
                <w:sz w:val="18"/>
                <w:szCs w:val="18"/>
              </w:rPr>
              <w:t>1</w:t>
            </w:r>
            <w:r>
              <w:rPr>
                <w:rFonts w:ascii="Arial" w:hAnsi="Arial" w:cs="Arial" w:eastAsia="Arial"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Arial" w:hAnsi="Arial" w:cs="Arial" w:eastAsia="Arial" w:hint="default"/>
                <w:sz w:val="18"/>
                <w:szCs w:val="18"/>
              </w:rPr>
              <w:t>1</w:t>
            </w:r>
            <w:r>
              <w:rPr>
                <w:rFonts w:ascii="Arial" w:hAnsi="Arial" w:cs="Arial" w:eastAsia="Arial" w:hint="default"/>
                <w:spacing w:val="-4"/>
                <w:sz w:val="18"/>
                <w:szCs w:val="18"/>
              </w:rPr>
              <w:t> </w:t>
            </w:r>
            <w:r>
              <w:rPr>
                <w:rFonts w:ascii="宋体" w:hAnsi="宋体" w:cs="宋体" w:eastAsia="宋体" w:hint="default"/>
                <w:spacing w:val="-3"/>
                <w:sz w:val="18"/>
                <w:szCs w:val="18"/>
              </w:rPr>
              <w:t>日年初余额</w:t>
            </w:r>
            <w:r>
              <w:rPr>
                <w:rFonts w:ascii="宋体" w:hAnsi="宋体" w:cs="宋体" w:eastAsia="宋体" w:hint="default"/>
                <w:sz w:val="18"/>
                <w:szCs w:val="18"/>
              </w:rPr>
            </w:r>
          </w:p>
        </w:tc>
        <w:tc>
          <w:tcPr>
            <w:tcW w:w="156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2"/>
              <w:jc w:val="right"/>
              <w:rPr>
                <w:rFonts w:ascii="Arial" w:hAnsi="Arial" w:cs="Arial" w:eastAsia="Arial" w:hint="default"/>
                <w:sz w:val="18"/>
                <w:szCs w:val="18"/>
              </w:rPr>
            </w:pPr>
            <w:r>
              <w:rPr>
                <w:rFonts w:ascii="Arial"/>
                <w:spacing w:val="-2"/>
                <w:sz w:val="18"/>
              </w:rPr>
              <w:t>30,233,950,687</w:t>
            </w:r>
            <w:r>
              <w:rPr>
                <w:rFonts w:ascii="Arial"/>
                <w:sz w:val="18"/>
              </w:rPr>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3"/>
              <w:jc w:val="right"/>
              <w:rPr>
                <w:rFonts w:ascii="Arial" w:hAnsi="Arial" w:cs="Arial" w:eastAsia="Arial" w:hint="default"/>
                <w:sz w:val="18"/>
                <w:szCs w:val="18"/>
              </w:rPr>
            </w:pPr>
            <w:r>
              <w:rPr>
                <w:rFonts w:ascii="Arial"/>
                <w:spacing w:val="-2"/>
                <w:sz w:val="18"/>
              </w:rPr>
              <w:t>69,619,818,503</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38"/>
              <w:jc w:val="right"/>
              <w:rPr>
                <w:rFonts w:ascii="Arial" w:hAnsi="Arial" w:cs="Arial" w:eastAsia="Arial" w:hint="default"/>
                <w:sz w:val="18"/>
                <w:szCs w:val="18"/>
              </w:rPr>
            </w:pPr>
            <w:r>
              <w:rPr>
                <w:rFonts w:ascii="Arial"/>
                <w:w w:val="101"/>
                <w:sz w:val="18"/>
              </w:rPr>
              <w:t>-</w:t>
            </w:r>
            <w:r>
              <w:rPr>
                <w:rFonts w:ascii="Arial"/>
                <w:sz w:val="18"/>
              </w:rPr>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Arial" w:hAnsi="Arial" w:cs="Arial" w:eastAsia="Arial" w:hint="default"/>
                <w:sz w:val="18"/>
                <w:szCs w:val="18"/>
              </w:rPr>
            </w:pPr>
            <w:r>
              <w:rPr>
                <w:rFonts w:ascii="Arial"/>
                <w:spacing w:val="-2"/>
                <w:sz w:val="18"/>
              </w:rPr>
              <w:t>1,338,484,194</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47"/>
              <w:jc w:val="right"/>
              <w:rPr>
                <w:rFonts w:ascii="Arial" w:hAnsi="Arial" w:cs="Arial" w:eastAsia="Arial" w:hint="default"/>
                <w:sz w:val="18"/>
                <w:szCs w:val="18"/>
              </w:rPr>
            </w:pPr>
            <w:r>
              <w:rPr>
                <w:rFonts w:ascii="Arial"/>
                <w:spacing w:val="-2"/>
                <w:sz w:val="18"/>
              </w:rPr>
              <w:t>(2,813,945)</w:t>
            </w:r>
            <w:r>
              <w:rPr>
                <w:rFonts w:ascii="Arial"/>
                <w:sz w:val="18"/>
              </w:rPr>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21"/>
              <w:jc w:val="right"/>
              <w:rPr>
                <w:rFonts w:ascii="Arial" w:hAnsi="Arial" w:cs="Arial" w:eastAsia="Arial" w:hint="default"/>
                <w:sz w:val="18"/>
                <w:szCs w:val="18"/>
              </w:rPr>
            </w:pPr>
            <w:r>
              <w:rPr>
                <w:rFonts w:ascii="Arial"/>
                <w:spacing w:val="-2"/>
                <w:sz w:val="18"/>
              </w:rPr>
              <w:t>101,189,439,439</w:t>
            </w:r>
          </w:p>
        </w:tc>
      </w:tr>
      <w:tr>
        <w:trPr>
          <w:trHeight w:val="250"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56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4"/>
              <w:jc w:val="right"/>
              <w:rPr>
                <w:rFonts w:ascii="Arial" w:hAnsi="Arial" w:cs="Arial" w:eastAsia="Arial" w:hint="default"/>
                <w:sz w:val="18"/>
                <w:szCs w:val="18"/>
              </w:rPr>
            </w:pPr>
            <w:r>
              <w:rPr>
                <w:rFonts w:ascii="Arial"/>
                <w:w w:val="101"/>
                <w:sz w:val="18"/>
              </w:rPr>
              <w:t>-</w:t>
            </w:r>
            <w:r>
              <w:rPr>
                <w:rFonts w:ascii="Arial"/>
                <w:sz w:val="18"/>
              </w:rPr>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5"/>
              <w:jc w:val="right"/>
              <w:rPr>
                <w:rFonts w:ascii="Arial" w:hAnsi="Arial" w:cs="Arial" w:eastAsia="Arial" w:hint="default"/>
                <w:sz w:val="18"/>
                <w:szCs w:val="18"/>
              </w:rPr>
            </w:pPr>
            <w:r>
              <w:rPr>
                <w:rFonts w:ascii="Arial"/>
                <w:w w:val="101"/>
                <w:sz w:val="18"/>
              </w:rPr>
              <w:t>-</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38"/>
              <w:jc w:val="right"/>
              <w:rPr>
                <w:rFonts w:ascii="Arial" w:hAnsi="Arial" w:cs="Arial" w:eastAsia="Arial" w:hint="default"/>
                <w:sz w:val="18"/>
                <w:szCs w:val="18"/>
              </w:rPr>
            </w:pPr>
            <w:r>
              <w:rPr>
                <w:rFonts w:ascii="Arial"/>
                <w:w w:val="101"/>
                <w:sz w:val="18"/>
              </w:rPr>
              <w:t>-</w:t>
            </w:r>
            <w:r>
              <w:rPr>
                <w:rFonts w:ascii="Arial"/>
                <w:sz w:val="18"/>
              </w:rPr>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5"/>
              <w:jc w:val="right"/>
              <w:rPr>
                <w:rFonts w:ascii="Arial" w:hAnsi="Arial" w:cs="Arial" w:eastAsia="Arial" w:hint="default"/>
                <w:sz w:val="18"/>
                <w:szCs w:val="18"/>
              </w:rPr>
            </w:pPr>
            <w:r>
              <w:rPr>
                <w:rFonts w:ascii="Arial"/>
                <w:w w:val="101"/>
                <w:sz w:val="18"/>
              </w:rPr>
              <w:t>-</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Arial" w:hAnsi="Arial" w:cs="Arial" w:eastAsia="Arial" w:hint="default"/>
                <w:sz w:val="18"/>
                <w:szCs w:val="18"/>
              </w:rPr>
            </w:pPr>
            <w:r>
              <w:rPr>
                <w:rFonts w:ascii="Arial"/>
                <w:w w:val="101"/>
                <w:sz w:val="18"/>
              </w:rPr>
              <w:t>-</w:t>
            </w:r>
            <w:r>
              <w:rPr>
                <w:rFonts w:ascii="Arial"/>
                <w:sz w:val="18"/>
              </w:rPr>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9"/>
              <w:jc w:val="right"/>
              <w:rPr>
                <w:rFonts w:ascii="Arial" w:hAnsi="Arial" w:cs="Arial" w:eastAsia="Arial" w:hint="default"/>
                <w:sz w:val="18"/>
                <w:szCs w:val="18"/>
              </w:rPr>
            </w:pPr>
            <w:r>
              <w:rPr>
                <w:rFonts w:ascii="Arial"/>
                <w:w w:val="101"/>
                <w:sz w:val="18"/>
              </w:rPr>
              <w:t>-</w:t>
            </w:r>
            <w:r>
              <w:rPr>
                <w:rFonts w:ascii="Arial"/>
                <w:sz w:val="18"/>
              </w:rPr>
            </w:r>
          </w:p>
        </w:tc>
      </w:tr>
      <w:tr>
        <w:trPr>
          <w:trHeight w:val="250"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3"/>
                <w:sz w:val="18"/>
                <w:szCs w:val="18"/>
              </w:rPr>
              <w:t>本年年初经调整余额</w:t>
            </w:r>
            <w:r>
              <w:rPr>
                <w:rFonts w:ascii="宋体" w:hAnsi="宋体" w:cs="宋体" w:eastAsia="宋体" w:hint="default"/>
                <w:sz w:val="18"/>
                <w:szCs w:val="18"/>
              </w:rPr>
            </w:r>
          </w:p>
        </w:tc>
        <w:tc>
          <w:tcPr>
            <w:tcW w:w="156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2"/>
              <w:jc w:val="right"/>
              <w:rPr>
                <w:rFonts w:ascii="Arial" w:hAnsi="Arial" w:cs="Arial" w:eastAsia="Arial" w:hint="default"/>
                <w:sz w:val="18"/>
                <w:szCs w:val="18"/>
              </w:rPr>
            </w:pPr>
            <w:r>
              <w:rPr>
                <w:rFonts w:ascii="Arial"/>
                <w:spacing w:val="-2"/>
                <w:sz w:val="18"/>
              </w:rPr>
              <w:t>30,233,950,687</w:t>
            </w:r>
            <w:r>
              <w:rPr>
                <w:rFonts w:ascii="Arial"/>
                <w:sz w:val="18"/>
              </w:rPr>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3"/>
              <w:jc w:val="right"/>
              <w:rPr>
                <w:rFonts w:ascii="Arial" w:hAnsi="Arial" w:cs="Arial" w:eastAsia="Arial" w:hint="default"/>
                <w:sz w:val="18"/>
                <w:szCs w:val="18"/>
              </w:rPr>
            </w:pPr>
            <w:r>
              <w:rPr>
                <w:rFonts w:ascii="Arial"/>
                <w:spacing w:val="-2"/>
                <w:sz w:val="18"/>
              </w:rPr>
              <w:t>69,619,818,503</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38"/>
              <w:jc w:val="right"/>
              <w:rPr>
                <w:rFonts w:ascii="Arial" w:hAnsi="Arial" w:cs="Arial" w:eastAsia="Arial" w:hint="default"/>
                <w:sz w:val="18"/>
                <w:szCs w:val="18"/>
              </w:rPr>
            </w:pPr>
            <w:r>
              <w:rPr>
                <w:rFonts w:ascii="Arial"/>
                <w:w w:val="101"/>
                <w:sz w:val="18"/>
              </w:rPr>
              <w:t>-</w:t>
            </w:r>
            <w:r>
              <w:rPr>
                <w:rFonts w:ascii="Arial"/>
                <w:sz w:val="18"/>
              </w:rPr>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3"/>
              <w:jc w:val="right"/>
              <w:rPr>
                <w:rFonts w:ascii="Arial" w:hAnsi="Arial" w:cs="Arial" w:eastAsia="Arial" w:hint="default"/>
                <w:sz w:val="18"/>
                <w:szCs w:val="18"/>
              </w:rPr>
            </w:pPr>
            <w:r>
              <w:rPr>
                <w:rFonts w:ascii="Arial"/>
                <w:spacing w:val="-2"/>
                <w:sz w:val="18"/>
              </w:rPr>
              <w:t>1,338,484,194</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47"/>
              <w:jc w:val="right"/>
              <w:rPr>
                <w:rFonts w:ascii="Arial" w:hAnsi="Arial" w:cs="Arial" w:eastAsia="Arial" w:hint="default"/>
                <w:sz w:val="18"/>
                <w:szCs w:val="18"/>
              </w:rPr>
            </w:pPr>
            <w:r>
              <w:rPr>
                <w:rFonts w:ascii="Arial"/>
                <w:spacing w:val="-2"/>
                <w:sz w:val="18"/>
              </w:rPr>
              <w:t>(2,813,945)</w:t>
            </w:r>
            <w:r>
              <w:rPr>
                <w:rFonts w:ascii="Arial"/>
                <w:sz w:val="18"/>
              </w:rPr>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6"/>
              <w:jc w:val="right"/>
              <w:rPr>
                <w:rFonts w:ascii="Arial" w:hAnsi="Arial" w:cs="Arial" w:eastAsia="Arial" w:hint="default"/>
                <w:sz w:val="18"/>
                <w:szCs w:val="18"/>
              </w:rPr>
            </w:pPr>
            <w:r>
              <w:rPr>
                <w:rFonts w:ascii="Arial"/>
                <w:spacing w:val="-2"/>
                <w:sz w:val="18"/>
              </w:rPr>
              <w:t>101,189,439,439</w:t>
            </w:r>
          </w:p>
        </w:tc>
      </w:tr>
      <w:tr>
        <w:trPr>
          <w:trHeight w:val="245"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03" w:lineRule="exact"/>
              <w:ind w:left="100" w:right="0"/>
              <w:jc w:val="left"/>
              <w:rPr>
                <w:rFonts w:ascii="宋体" w:hAnsi="宋体" w:cs="宋体" w:eastAsia="宋体" w:hint="default"/>
                <w:sz w:val="18"/>
                <w:szCs w:val="18"/>
              </w:rPr>
            </w:pPr>
            <w:r>
              <w:rPr>
                <w:rFonts w:ascii="宋体" w:hAnsi="宋体" w:cs="宋体" w:eastAsia="宋体" w:hint="default"/>
                <w:spacing w:val="-3"/>
                <w:sz w:val="18"/>
                <w:szCs w:val="18"/>
              </w:rPr>
              <w:t>（一）综合收益总额</w:t>
            </w:r>
            <w:r>
              <w:rPr>
                <w:rFonts w:ascii="宋体" w:hAnsi="宋体" w:cs="宋体" w:eastAsia="宋体" w:hint="default"/>
                <w:sz w:val="18"/>
                <w:szCs w:val="18"/>
              </w:rPr>
            </w:r>
          </w:p>
        </w:tc>
        <w:tc>
          <w:tcPr>
            <w:tcW w:w="156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4"/>
              <w:jc w:val="right"/>
              <w:rPr>
                <w:rFonts w:ascii="Arial" w:hAnsi="Arial" w:cs="Arial" w:eastAsia="Arial" w:hint="default"/>
                <w:sz w:val="18"/>
                <w:szCs w:val="18"/>
              </w:rPr>
            </w:pPr>
            <w:r>
              <w:rPr>
                <w:rFonts w:ascii="Arial"/>
                <w:w w:val="101"/>
                <w:sz w:val="18"/>
              </w:rPr>
              <w:t>-</w:t>
            </w:r>
            <w:r>
              <w:rPr>
                <w:rFonts w:ascii="Arial"/>
                <w:sz w:val="18"/>
              </w:rPr>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5"/>
              <w:jc w:val="right"/>
              <w:rPr>
                <w:rFonts w:ascii="Arial" w:hAnsi="Arial" w:cs="Arial" w:eastAsia="Arial" w:hint="default"/>
                <w:sz w:val="18"/>
                <w:szCs w:val="18"/>
              </w:rPr>
            </w:pPr>
            <w:r>
              <w:rPr>
                <w:rFonts w:ascii="Arial"/>
                <w:w w:val="101"/>
                <w:sz w:val="18"/>
              </w:rPr>
              <w:t>-</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38"/>
              <w:jc w:val="right"/>
              <w:rPr>
                <w:rFonts w:ascii="Arial" w:hAnsi="Arial" w:cs="Arial" w:eastAsia="Arial" w:hint="default"/>
                <w:sz w:val="18"/>
                <w:szCs w:val="18"/>
              </w:rPr>
            </w:pPr>
            <w:r>
              <w:rPr>
                <w:rFonts w:ascii="Arial"/>
                <w:w w:val="101"/>
                <w:sz w:val="18"/>
              </w:rPr>
              <w:t>-</w:t>
            </w:r>
            <w:r>
              <w:rPr>
                <w:rFonts w:ascii="Arial"/>
                <w:sz w:val="18"/>
              </w:rPr>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5"/>
              <w:jc w:val="right"/>
              <w:rPr>
                <w:rFonts w:ascii="Arial" w:hAnsi="Arial" w:cs="Arial" w:eastAsia="Arial" w:hint="default"/>
                <w:sz w:val="18"/>
                <w:szCs w:val="18"/>
              </w:rPr>
            </w:pPr>
            <w:r>
              <w:rPr>
                <w:rFonts w:ascii="Arial"/>
                <w:w w:val="101"/>
                <w:sz w:val="18"/>
              </w:rPr>
              <w:t>-</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Arial" w:hAnsi="Arial" w:cs="Arial" w:eastAsia="Arial" w:hint="default"/>
                <w:sz w:val="18"/>
                <w:szCs w:val="18"/>
              </w:rPr>
            </w:pPr>
            <w:r>
              <w:rPr>
                <w:rFonts w:ascii="Arial"/>
                <w:spacing w:val="-1"/>
                <w:sz w:val="18"/>
              </w:rPr>
              <w:t>735,394,930</w:t>
            </w:r>
            <w:r>
              <w:rPr>
                <w:rFonts w:ascii="Arial"/>
                <w:sz w:val="18"/>
              </w:rPr>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7"/>
              <w:jc w:val="right"/>
              <w:rPr>
                <w:rFonts w:ascii="Arial" w:hAnsi="Arial" w:cs="Arial" w:eastAsia="Arial" w:hint="default"/>
                <w:sz w:val="18"/>
                <w:szCs w:val="18"/>
              </w:rPr>
            </w:pPr>
            <w:r>
              <w:rPr>
                <w:rFonts w:ascii="Arial"/>
                <w:spacing w:val="-1"/>
                <w:sz w:val="18"/>
              </w:rPr>
              <w:t>735,394,930</w:t>
            </w:r>
            <w:r>
              <w:rPr>
                <w:rFonts w:ascii="Arial"/>
                <w:sz w:val="18"/>
              </w:rPr>
            </w:r>
          </w:p>
        </w:tc>
      </w:tr>
      <w:tr>
        <w:trPr>
          <w:trHeight w:val="250"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3"/>
                <w:sz w:val="18"/>
                <w:szCs w:val="18"/>
              </w:rPr>
              <w:t>（二）股东投入资本</w:t>
            </w:r>
            <w:r>
              <w:rPr>
                <w:rFonts w:ascii="宋体" w:hAnsi="宋体" w:cs="宋体" w:eastAsia="宋体" w:hint="default"/>
                <w:sz w:val="18"/>
                <w:szCs w:val="18"/>
              </w:rPr>
            </w:r>
          </w:p>
        </w:tc>
        <w:tc>
          <w:tcPr>
            <w:tcW w:w="156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
        </w:tc>
        <w:tc>
          <w:tcPr>
            <w:tcW w:w="1675" w:type="dxa"/>
            <w:tcBorders>
              <w:top w:val="single" w:sz="6" w:space="0" w:color="000000"/>
              <w:left w:val="single" w:sz="6" w:space="0" w:color="000000"/>
              <w:bottom w:val="single" w:sz="6" w:space="0" w:color="000000"/>
              <w:right w:val="single" w:sz="6" w:space="0" w:color="000000"/>
            </w:tcBorders>
          </w:tcPr>
          <w:p>
            <w:pPr/>
          </w:p>
        </w:tc>
        <w:tc>
          <w:tcPr>
            <w:tcW w:w="1704" w:type="dxa"/>
            <w:tcBorders>
              <w:top w:val="single" w:sz="6" w:space="0" w:color="000000"/>
              <w:left w:val="single" w:sz="6" w:space="0" w:color="000000"/>
              <w:bottom w:val="single" w:sz="6" w:space="0" w:color="000000"/>
              <w:right w:val="single" w:sz="6" w:space="0" w:color="000000"/>
            </w:tcBorders>
          </w:tcPr>
          <w:p>
            <w:pPr/>
          </w:p>
        </w:tc>
        <w:tc>
          <w:tcPr>
            <w:tcW w:w="180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652" w:right="0"/>
              <w:jc w:val="left"/>
              <w:rPr>
                <w:rFonts w:ascii="宋体" w:hAnsi="宋体" w:cs="宋体" w:eastAsia="宋体" w:hint="default"/>
                <w:sz w:val="18"/>
                <w:szCs w:val="18"/>
              </w:rPr>
            </w:pPr>
            <w:r>
              <w:rPr>
                <w:rFonts w:ascii="Arial" w:hAnsi="Arial" w:cs="Arial" w:eastAsia="Arial" w:hint="default"/>
                <w:spacing w:val="-3"/>
                <w:sz w:val="18"/>
                <w:szCs w:val="18"/>
              </w:rPr>
              <w:t>1.</w:t>
            </w:r>
            <w:r>
              <w:rPr>
                <w:rFonts w:ascii="宋体" w:hAnsi="宋体" w:cs="宋体" w:eastAsia="宋体" w:hint="default"/>
                <w:spacing w:val="-3"/>
                <w:sz w:val="18"/>
                <w:szCs w:val="18"/>
              </w:rPr>
              <w:t>股东投入的普通股</w:t>
            </w:r>
            <w:r>
              <w:rPr>
                <w:rFonts w:ascii="宋体" w:hAnsi="宋体" w:cs="宋体" w:eastAsia="宋体" w:hint="default"/>
                <w:sz w:val="18"/>
                <w:szCs w:val="18"/>
              </w:rPr>
            </w:r>
          </w:p>
        </w:tc>
        <w:tc>
          <w:tcPr>
            <w:tcW w:w="156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2"/>
              <w:jc w:val="right"/>
              <w:rPr>
                <w:rFonts w:ascii="Arial" w:hAnsi="Arial" w:cs="Arial" w:eastAsia="Arial" w:hint="default"/>
                <w:sz w:val="18"/>
                <w:szCs w:val="18"/>
              </w:rPr>
            </w:pPr>
            <w:r>
              <w:rPr>
                <w:rFonts w:ascii="Arial"/>
                <w:spacing w:val="-1"/>
                <w:sz w:val="18"/>
              </w:rPr>
              <w:t>793,861,000</w:t>
            </w:r>
            <w:r>
              <w:rPr>
                <w:rFonts w:ascii="Arial"/>
                <w:sz w:val="18"/>
              </w:rPr>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3"/>
              <w:jc w:val="right"/>
              <w:rPr>
                <w:rFonts w:ascii="Arial" w:hAnsi="Arial" w:cs="Arial" w:eastAsia="Arial" w:hint="default"/>
                <w:sz w:val="18"/>
                <w:szCs w:val="18"/>
              </w:rPr>
            </w:pPr>
            <w:r>
              <w:rPr>
                <w:rFonts w:ascii="Arial"/>
                <w:spacing w:val="-2"/>
                <w:sz w:val="18"/>
              </w:rPr>
              <w:t>2,214,872,190</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47"/>
              <w:jc w:val="right"/>
              <w:rPr>
                <w:rFonts w:ascii="Arial" w:hAnsi="Arial" w:cs="Arial" w:eastAsia="Arial" w:hint="default"/>
                <w:sz w:val="18"/>
                <w:szCs w:val="18"/>
              </w:rPr>
            </w:pPr>
            <w:r>
              <w:rPr>
                <w:rFonts w:ascii="Arial"/>
                <w:spacing w:val="-2"/>
                <w:sz w:val="18"/>
              </w:rPr>
              <w:t>(3,008,733,190)</w:t>
            </w:r>
            <w:r>
              <w:rPr>
                <w:rFonts w:ascii="Arial"/>
                <w:sz w:val="18"/>
              </w:rPr>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5"/>
              <w:jc w:val="right"/>
              <w:rPr>
                <w:rFonts w:ascii="Arial" w:hAnsi="Arial" w:cs="Arial" w:eastAsia="Arial" w:hint="default"/>
                <w:sz w:val="18"/>
                <w:szCs w:val="18"/>
              </w:rPr>
            </w:pPr>
            <w:r>
              <w:rPr>
                <w:rFonts w:ascii="Arial"/>
                <w:w w:val="101"/>
                <w:sz w:val="18"/>
              </w:rPr>
              <w:t>-</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Arial" w:hAnsi="Arial" w:cs="Arial" w:eastAsia="Arial" w:hint="default"/>
                <w:sz w:val="18"/>
                <w:szCs w:val="18"/>
              </w:rPr>
            </w:pPr>
            <w:r>
              <w:rPr>
                <w:rFonts w:ascii="Arial"/>
                <w:w w:val="101"/>
                <w:sz w:val="18"/>
              </w:rPr>
              <w:t>-</w:t>
            </w:r>
            <w:r>
              <w:rPr>
                <w:rFonts w:ascii="Arial"/>
                <w:sz w:val="18"/>
              </w:rPr>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9"/>
              <w:jc w:val="right"/>
              <w:rPr>
                <w:rFonts w:ascii="Arial" w:hAnsi="Arial" w:cs="Arial" w:eastAsia="Arial" w:hint="default"/>
                <w:sz w:val="18"/>
                <w:szCs w:val="18"/>
              </w:rPr>
            </w:pPr>
            <w:r>
              <w:rPr>
                <w:rFonts w:ascii="Arial"/>
                <w:w w:val="101"/>
                <w:sz w:val="18"/>
              </w:rPr>
              <w:t>-</w:t>
            </w:r>
            <w:r>
              <w:rPr>
                <w:rFonts w:ascii="Arial"/>
                <w:sz w:val="18"/>
              </w:rPr>
            </w:r>
          </w:p>
        </w:tc>
      </w:tr>
      <w:tr>
        <w:trPr>
          <w:trHeight w:val="480"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652" w:right="0"/>
              <w:jc w:val="left"/>
              <w:rPr>
                <w:rFonts w:ascii="宋体" w:hAnsi="宋体" w:cs="宋体" w:eastAsia="宋体" w:hint="default"/>
                <w:sz w:val="18"/>
                <w:szCs w:val="18"/>
              </w:rPr>
            </w:pPr>
            <w:r>
              <w:rPr>
                <w:rFonts w:ascii="Arial" w:hAnsi="Arial" w:cs="Arial" w:eastAsia="Arial" w:hint="default"/>
                <w:spacing w:val="-3"/>
                <w:sz w:val="18"/>
                <w:szCs w:val="18"/>
              </w:rPr>
              <w:t>2.</w:t>
            </w:r>
            <w:r>
              <w:rPr>
                <w:rFonts w:ascii="宋体" w:hAnsi="宋体" w:cs="宋体" w:eastAsia="宋体" w:hint="default"/>
                <w:spacing w:val="-3"/>
                <w:sz w:val="18"/>
                <w:szCs w:val="18"/>
              </w:rPr>
              <w:t>股份支付计入股东权益</w:t>
            </w:r>
            <w:r>
              <w:rPr>
                <w:rFonts w:ascii="宋体" w:hAnsi="宋体" w:cs="宋体" w:eastAsia="宋体" w:hint="default"/>
                <w:sz w:val="18"/>
                <w:szCs w:val="18"/>
              </w:rPr>
            </w:r>
          </w:p>
          <w:p>
            <w:pPr>
              <w:pStyle w:val="TableParagraph"/>
              <w:spacing w:line="227" w:lineRule="exact"/>
              <w:ind w:left="441" w:right="0"/>
              <w:jc w:val="left"/>
              <w:rPr>
                <w:rFonts w:ascii="宋体" w:hAnsi="宋体" w:cs="宋体" w:eastAsia="宋体" w:hint="default"/>
                <w:sz w:val="18"/>
                <w:szCs w:val="18"/>
              </w:rPr>
            </w:pPr>
            <w:r>
              <w:rPr>
                <w:rFonts w:ascii="宋体" w:hAnsi="宋体" w:cs="宋体" w:eastAsia="宋体" w:hint="default"/>
                <w:spacing w:val="-4"/>
                <w:sz w:val="18"/>
                <w:szCs w:val="18"/>
              </w:rPr>
              <w:t>的金额</w:t>
            </w:r>
            <w:r>
              <w:rPr>
                <w:rFonts w:ascii="宋体" w:hAnsi="宋体" w:cs="宋体" w:eastAsia="宋体" w:hint="default"/>
                <w:sz w:val="18"/>
                <w:szCs w:val="18"/>
              </w:rPr>
            </w:r>
          </w:p>
        </w:tc>
        <w:tc>
          <w:tcPr>
            <w:tcW w:w="156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114"/>
              <w:jc w:val="right"/>
              <w:rPr>
                <w:rFonts w:ascii="Arial" w:hAnsi="Arial" w:cs="Arial" w:eastAsia="Arial" w:hint="default"/>
                <w:sz w:val="18"/>
                <w:szCs w:val="18"/>
              </w:rPr>
            </w:pPr>
            <w:r>
              <w:rPr>
                <w:rFonts w:ascii="Arial"/>
                <w:w w:val="101"/>
                <w:sz w:val="18"/>
              </w:rPr>
              <w:t>-</w:t>
            </w:r>
            <w:r>
              <w:rPr>
                <w:rFonts w:ascii="Arial"/>
                <w:sz w:val="18"/>
              </w:rPr>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93"/>
              <w:jc w:val="right"/>
              <w:rPr>
                <w:rFonts w:ascii="Arial" w:hAnsi="Arial" w:cs="Arial" w:eastAsia="Arial" w:hint="default"/>
                <w:sz w:val="18"/>
                <w:szCs w:val="18"/>
              </w:rPr>
            </w:pPr>
            <w:r>
              <w:rPr>
                <w:rFonts w:ascii="Arial"/>
                <w:spacing w:val="-1"/>
                <w:sz w:val="18"/>
              </w:rPr>
              <w:t>613,920,000</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138"/>
              <w:jc w:val="right"/>
              <w:rPr>
                <w:rFonts w:ascii="Arial" w:hAnsi="Arial" w:cs="Arial" w:eastAsia="Arial" w:hint="default"/>
                <w:sz w:val="18"/>
                <w:szCs w:val="18"/>
              </w:rPr>
            </w:pPr>
            <w:r>
              <w:rPr>
                <w:rFonts w:ascii="Arial"/>
                <w:w w:val="101"/>
                <w:sz w:val="18"/>
              </w:rPr>
              <w:t>-</w:t>
            </w:r>
            <w:r>
              <w:rPr>
                <w:rFonts w:ascii="Arial"/>
                <w:sz w:val="18"/>
              </w:rPr>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95"/>
              <w:jc w:val="right"/>
              <w:rPr>
                <w:rFonts w:ascii="Arial" w:hAnsi="Arial" w:cs="Arial" w:eastAsia="Arial" w:hint="default"/>
                <w:sz w:val="18"/>
                <w:szCs w:val="18"/>
              </w:rPr>
            </w:pPr>
            <w:r>
              <w:rPr>
                <w:rFonts w:ascii="Arial"/>
                <w:w w:val="101"/>
                <w:sz w:val="18"/>
              </w:rPr>
              <w:t>-</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100"/>
              <w:jc w:val="right"/>
              <w:rPr>
                <w:rFonts w:ascii="Arial" w:hAnsi="Arial" w:cs="Arial" w:eastAsia="Arial" w:hint="default"/>
                <w:sz w:val="18"/>
                <w:szCs w:val="18"/>
              </w:rPr>
            </w:pPr>
            <w:r>
              <w:rPr>
                <w:rFonts w:ascii="Arial"/>
                <w:w w:val="101"/>
                <w:sz w:val="18"/>
              </w:rPr>
              <w:t>-</w:t>
            </w:r>
            <w:r>
              <w:rPr>
                <w:rFonts w:ascii="Arial"/>
                <w:sz w:val="18"/>
              </w:rPr>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黑体" w:hAnsi="黑体" w:cs="黑体" w:eastAsia="黑体" w:hint="default"/>
                <w:sz w:val="19"/>
                <w:szCs w:val="19"/>
              </w:rPr>
            </w:pPr>
          </w:p>
          <w:p>
            <w:pPr>
              <w:pStyle w:val="TableParagraph"/>
              <w:spacing w:line="240" w:lineRule="auto"/>
              <w:ind w:right="117"/>
              <w:jc w:val="right"/>
              <w:rPr>
                <w:rFonts w:ascii="Arial" w:hAnsi="Arial" w:cs="Arial" w:eastAsia="Arial" w:hint="default"/>
                <w:sz w:val="18"/>
                <w:szCs w:val="18"/>
              </w:rPr>
            </w:pPr>
            <w:r>
              <w:rPr>
                <w:rFonts w:ascii="Arial"/>
                <w:spacing w:val="-1"/>
                <w:sz w:val="18"/>
              </w:rPr>
              <w:t>613,920,000</w:t>
            </w:r>
            <w:r>
              <w:rPr>
                <w:rFonts w:ascii="Arial"/>
                <w:sz w:val="18"/>
              </w:rPr>
            </w:r>
          </w:p>
        </w:tc>
      </w:tr>
      <w:tr>
        <w:trPr>
          <w:trHeight w:val="250"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652" w:right="0"/>
              <w:jc w:val="left"/>
              <w:rPr>
                <w:rFonts w:ascii="宋体" w:hAnsi="宋体" w:cs="宋体" w:eastAsia="宋体" w:hint="default"/>
                <w:sz w:val="18"/>
                <w:szCs w:val="18"/>
              </w:rPr>
            </w:pPr>
            <w:r>
              <w:rPr>
                <w:rFonts w:ascii="Arial" w:hAnsi="Arial" w:cs="Arial" w:eastAsia="Arial" w:hint="default"/>
                <w:spacing w:val="-3"/>
                <w:sz w:val="18"/>
                <w:szCs w:val="18"/>
              </w:rPr>
              <w:t>3.</w:t>
            </w:r>
            <w:r>
              <w:rPr>
                <w:rFonts w:ascii="宋体" w:hAnsi="宋体" w:cs="宋体" w:eastAsia="宋体" w:hint="default"/>
                <w:spacing w:val="-3"/>
                <w:sz w:val="18"/>
                <w:szCs w:val="18"/>
              </w:rPr>
              <w:t>其他</w:t>
            </w:r>
            <w:r>
              <w:rPr>
                <w:rFonts w:ascii="宋体" w:hAnsi="宋体" w:cs="宋体" w:eastAsia="宋体" w:hint="default"/>
                <w:sz w:val="18"/>
                <w:szCs w:val="18"/>
              </w:rPr>
            </w:r>
          </w:p>
        </w:tc>
        <w:tc>
          <w:tcPr>
            <w:tcW w:w="156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4"/>
              <w:jc w:val="right"/>
              <w:rPr>
                <w:rFonts w:ascii="Arial" w:hAnsi="Arial" w:cs="Arial" w:eastAsia="Arial" w:hint="default"/>
                <w:sz w:val="18"/>
                <w:szCs w:val="18"/>
              </w:rPr>
            </w:pPr>
            <w:r>
              <w:rPr>
                <w:rFonts w:ascii="Arial"/>
                <w:w w:val="101"/>
                <w:sz w:val="18"/>
              </w:rPr>
              <w:t>-</w:t>
            </w:r>
            <w:r>
              <w:rPr>
                <w:rFonts w:ascii="Arial"/>
                <w:sz w:val="18"/>
              </w:rPr>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5"/>
              <w:jc w:val="right"/>
              <w:rPr>
                <w:rFonts w:ascii="Arial" w:hAnsi="Arial" w:cs="Arial" w:eastAsia="Arial" w:hint="default"/>
                <w:sz w:val="18"/>
                <w:szCs w:val="18"/>
              </w:rPr>
            </w:pPr>
            <w:r>
              <w:rPr>
                <w:rFonts w:ascii="Arial"/>
                <w:w w:val="101"/>
                <w:sz w:val="18"/>
              </w:rPr>
              <w:t>-</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3"/>
              <w:jc w:val="right"/>
              <w:rPr>
                <w:rFonts w:ascii="Arial" w:hAnsi="Arial" w:cs="Arial" w:eastAsia="Arial" w:hint="default"/>
                <w:sz w:val="18"/>
                <w:szCs w:val="18"/>
              </w:rPr>
            </w:pPr>
            <w:r>
              <w:rPr>
                <w:rFonts w:ascii="Arial"/>
                <w:spacing w:val="-1"/>
                <w:sz w:val="18"/>
              </w:rPr>
              <w:t>15,718,448</w:t>
            </w:r>
            <w:r>
              <w:rPr>
                <w:rFonts w:ascii="Arial"/>
                <w:sz w:val="18"/>
              </w:rPr>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9"/>
              <w:jc w:val="right"/>
              <w:rPr>
                <w:rFonts w:ascii="Arial" w:hAnsi="Arial" w:cs="Arial" w:eastAsia="Arial" w:hint="default"/>
                <w:sz w:val="18"/>
                <w:szCs w:val="18"/>
              </w:rPr>
            </w:pPr>
            <w:r>
              <w:rPr>
                <w:rFonts w:ascii="Arial"/>
                <w:w w:val="101"/>
                <w:sz w:val="18"/>
              </w:rPr>
              <w:t>-</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Arial" w:hAnsi="Arial" w:cs="Arial" w:eastAsia="Arial" w:hint="default"/>
                <w:sz w:val="18"/>
                <w:szCs w:val="18"/>
              </w:rPr>
            </w:pPr>
            <w:r>
              <w:rPr>
                <w:rFonts w:ascii="Arial"/>
                <w:w w:val="101"/>
                <w:sz w:val="18"/>
              </w:rPr>
              <w:t>-</w:t>
            </w:r>
            <w:r>
              <w:rPr>
                <w:rFonts w:ascii="Arial"/>
                <w:sz w:val="18"/>
              </w:rPr>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7"/>
              <w:jc w:val="right"/>
              <w:rPr>
                <w:rFonts w:ascii="Arial" w:hAnsi="Arial" w:cs="Arial" w:eastAsia="Arial" w:hint="default"/>
                <w:sz w:val="18"/>
                <w:szCs w:val="18"/>
              </w:rPr>
            </w:pPr>
            <w:r>
              <w:rPr>
                <w:rFonts w:ascii="Arial"/>
                <w:spacing w:val="-1"/>
                <w:sz w:val="18"/>
              </w:rPr>
              <w:t>15,718,448</w:t>
            </w:r>
            <w:r>
              <w:rPr>
                <w:rFonts w:ascii="Arial"/>
                <w:sz w:val="18"/>
              </w:rPr>
            </w:r>
          </w:p>
        </w:tc>
      </w:tr>
      <w:tr>
        <w:trPr>
          <w:trHeight w:val="250"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3"/>
                <w:sz w:val="18"/>
                <w:szCs w:val="18"/>
              </w:rPr>
              <w:t>（三）利润分配</w:t>
            </w:r>
            <w:r>
              <w:rPr>
                <w:rFonts w:ascii="宋体" w:hAnsi="宋体" w:cs="宋体" w:eastAsia="宋体" w:hint="default"/>
                <w:sz w:val="18"/>
                <w:szCs w:val="18"/>
              </w:rPr>
            </w:r>
          </w:p>
        </w:tc>
        <w:tc>
          <w:tcPr>
            <w:tcW w:w="156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
        </w:tc>
        <w:tc>
          <w:tcPr>
            <w:tcW w:w="1675" w:type="dxa"/>
            <w:tcBorders>
              <w:top w:val="single" w:sz="6" w:space="0" w:color="000000"/>
              <w:left w:val="single" w:sz="6" w:space="0" w:color="000000"/>
              <w:bottom w:val="single" w:sz="6" w:space="0" w:color="000000"/>
              <w:right w:val="single" w:sz="6" w:space="0" w:color="000000"/>
            </w:tcBorders>
          </w:tcPr>
          <w:p>
            <w:pPr/>
          </w:p>
        </w:tc>
        <w:tc>
          <w:tcPr>
            <w:tcW w:w="1704" w:type="dxa"/>
            <w:tcBorders>
              <w:top w:val="single" w:sz="6" w:space="0" w:color="000000"/>
              <w:left w:val="single" w:sz="6" w:space="0" w:color="000000"/>
              <w:bottom w:val="single" w:sz="6" w:space="0" w:color="000000"/>
              <w:right w:val="single" w:sz="6" w:space="0" w:color="000000"/>
            </w:tcBorders>
          </w:tcPr>
          <w:p>
            <w:pPr/>
          </w:p>
        </w:tc>
        <w:tc>
          <w:tcPr>
            <w:tcW w:w="1800" w:type="dxa"/>
            <w:tcBorders>
              <w:top w:val="single" w:sz="6" w:space="0" w:color="000000"/>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652" w:right="0"/>
              <w:jc w:val="left"/>
              <w:rPr>
                <w:rFonts w:ascii="宋体" w:hAnsi="宋体" w:cs="宋体" w:eastAsia="宋体" w:hint="default"/>
                <w:sz w:val="18"/>
                <w:szCs w:val="18"/>
              </w:rPr>
            </w:pPr>
            <w:r>
              <w:rPr>
                <w:rFonts w:ascii="Arial" w:hAnsi="Arial" w:cs="Arial" w:eastAsia="Arial" w:hint="default"/>
                <w:spacing w:val="-3"/>
                <w:sz w:val="18"/>
                <w:szCs w:val="18"/>
              </w:rPr>
              <w:t>1.</w:t>
            </w:r>
            <w:r>
              <w:rPr>
                <w:rFonts w:ascii="宋体" w:hAnsi="宋体" w:cs="宋体" w:eastAsia="宋体" w:hint="default"/>
                <w:spacing w:val="-3"/>
                <w:sz w:val="18"/>
                <w:szCs w:val="18"/>
              </w:rPr>
              <w:t>提取盈余公积</w:t>
            </w:r>
            <w:r>
              <w:rPr>
                <w:rFonts w:ascii="宋体" w:hAnsi="宋体" w:cs="宋体" w:eastAsia="宋体" w:hint="default"/>
                <w:sz w:val="18"/>
                <w:szCs w:val="18"/>
              </w:rPr>
            </w:r>
          </w:p>
        </w:tc>
        <w:tc>
          <w:tcPr>
            <w:tcW w:w="156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4"/>
              <w:jc w:val="right"/>
              <w:rPr>
                <w:rFonts w:ascii="Arial" w:hAnsi="Arial" w:cs="Arial" w:eastAsia="Arial" w:hint="default"/>
                <w:sz w:val="18"/>
                <w:szCs w:val="18"/>
              </w:rPr>
            </w:pPr>
            <w:r>
              <w:rPr>
                <w:rFonts w:ascii="Arial"/>
                <w:w w:val="101"/>
                <w:sz w:val="18"/>
              </w:rPr>
              <w:t>-</w:t>
            </w:r>
            <w:r>
              <w:rPr>
                <w:rFonts w:ascii="Arial"/>
                <w:sz w:val="18"/>
              </w:rPr>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5"/>
              <w:jc w:val="right"/>
              <w:rPr>
                <w:rFonts w:ascii="Arial" w:hAnsi="Arial" w:cs="Arial" w:eastAsia="Arial" w:hint="default"/>
                <w:sz w:val="18"/>
                <w:szCs w:val="18"/>
              </w:rPr>
            </w:pPr>
            <w:r>
              <w:rPr>
                <w:rFonts w:ascii="Arial"/>
                <w:w w:val="101"/>
                <w:sz w:val="18"/>
              </w:rPr>
              <w:t>-</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38"/>
              <w:jc w:val="right"/>
              <w:rPr>
                <w:rFonts w:ascii="Arial" w:hAnsi="Arial" w:cs="Arial" w:eastAsia="Arial" w:hint="default"/>
                <w:sz w:val="18"/>
                <w:szCs w:val="18"/>
              </w:rPr>
            </w:pPr>
            <w:r>
              <w:rPr>
                <w:rFonts w:ascii="Arial"/>
                <w:w w:val="101"/>
                <w:sz w:val="18"/>
              </w:rPr>
              <w:t>-</w:t>
            </w:r>
            <w:r>
              <w:rPr>
                <w:rFonts w:ascii="Arial"/>
                <w:sz w:val="18"/>
              </w:rPr>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7"/>
              <w:jc w:val="right"/>
              <w:rPr>
                <w:rFonts w:ascii="Arial" w:hAnsi="Arial" w:cs="Arial" w:eastAsia="Arial" w:hint="default"/>
                <w:sz w:val="18"/>
                <w:szCs w:val="18"/>
              </w:rPr>
            </w:pPr>
            <w:r>
              <w:rPr>
                <w:rFonts w:ascii="Arial"/>
                <w:spacing w:val="-2"/>
                <w:sz w:val="18"/>
              </w:rPr>
              <w:t>73,539,493</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47"/>
              <w:jc w:val="right"/>
              <w:rPr>
                <w:rFonts w:ascii="Arial" w:hAnsi="Arial" w:cs="Arial" w:eastAsia="Arial" w:hint="default"/>
                <w:sz w:val="18"/>
                <w:szCs w:val="18"/>
              </w:rPr>
            </w:pPr>
            <w:r>
              <w:rPr>
                <w:rFonts w:ascii="Arial"/>
                <w:spacing w:val="-2"/>
                <w:sz w:val="18"/>
              </w:rPr>
              <w:t>(73,539,493)</w:t>
            </w:r>
            <w:r>
              <w:rPr>
                <w:rFonts w:ascii="Arial"/>
                <w:sz w:val="18"/>
              </w:rPr>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9"/>
              <w:jc w:val="right"/>
              <w:rPr>
                <w:rFonts w:ascii="Arial" w:hAnsi="Arial" w:cs="Arial" w:eastAsia="Arial" w:hint="default"/>
                <w:sz w:val="18"/>
                <w:szCs w:val="18"/>
              </w:rPr>
            </w:pPr>
            <w:r>
              <w:rPr>
                <w:rFonts w:ascii="Arial"/>
                <w:w w:val="101"/>
                <w:sz w:val="18"/>
              </w:rPr>
              <w:t>-</w:t>
            </w:r>
            <w:r>
              <w:rPr>
                <w:rFonts w:ascii="Arial"/>
                <w:sz w:val="18"/>
              </w:rPr>
            </w:r>
          </w:p>
        </w:tc>
      </w:tr>
      <w:tr>
        <w:trPr>
          <w:trHeight w:val="245"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652" w:right="0"/>
              <w:jc w:val="left"/>
              <w:rPr>
                <w:rFonts w:ascii="宋体" w:hAnsi="宋体" w:cs="宋体" w:eastAsia="宋体" w:hint="default"/>
                <w:sz w:val="18"/>
                <w:szCs w:val="18"/>
              </w:rPr>
            </w:pPr>
            <w:r>
              <w:rPr>
                <w:rFonts w:ascii="Arial" w:hAnsi="Arial" w:cs="Arial" w:eastAsia="Arial" w:hint="default"/>
                <w:spacing w:val="-3"/>
                <w:sz w:val="18"/>
                <w:szCs w:val="18"/>
              </w:rPr>
              <w:t>2.</w:t>
            </w:r>
            <w:r>
              <w:rPr>
                <w:rFonts w:ascii="宋体" w:hAnsi="宋体" w:cs="宋体" w:eastAsia="宋体" w:hint="default"/>
                <w:spacing w:val="-3"/>
                <w:sz w:val="18"/>
                <w:szCs w:val="18"/>
              </w:rPr>
              <w:t>对股东的分配</w:t>
            </w:r>
            <w:r>
              <w:rPr>
                <w:rFonts w:ascii="宋体" w:hAnsi="宋体" w:cs="宋体" w:eastAsia="宋体" w:hint="default"/>
                <w:sz w:val="18"/>
                <w:szCs w:val="18"/>
              </w:rPr>
            </w:r>
          </w:p>
        </w:tc>
        <w:tc>
          <w:tcPr>
            <w:tcW w:w="156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4"/>
              <w:jc w:val="right"/>
              <w:rPr>
                <w:rFonts w:ascii="Arial" w:hAnsi="Arial" w:cs="Arial" w:eastAsia="Arial" w:hint="default"/>
                <w:sz w:val="18"/>
                <w:szCs w:val="18"/>
              </w:rPr>
            </w:pPr>
            <w:r>
              <w:rPr>
                <w:rFonts w:ascii="Arial"/>
                <w:w w:val="101"/>
                <w:sz w:val="18"/>
              </w:rPr>
              <w:t>-</w:t>
            </w:r>
            <w:r>
              <w:rPr>
                <w:rFonts w:ascii="Arial"/>
                <w:sz w:val="18"/>
              </w:rPr>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5"/>
              <w:jc w:val="right"/>
              <w:rPr>
                <w:rFonts w:ascii="Arial" w:hAnsi="Arial" w:cs="Arial" w:eastAsia="Arial" w:hint="default"/>
                <w:sz w:val="18"/>
                <w:szCs w:val="18"/>
              </w:rPr>
            </w:pPr>
            <w:r>
              <w:rPr>
                <w:rFonts w:ascii="Arial"/>
                <w:w w:val="101"/>
                <w:sz w:val="18"/>
              </w:rPr>
              <w:t>-</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38"/>
              <w:jc w:val="right"/>
              <w:rPr>
                <w:rFonts w:ascii="Arial" w:hAnsi="Arial" w:cs="Arial" w:eastAsia="Arial" w:hint="default"/>
                <w:sz w:val="18"/>
                <w:szCs w:val="18"/>
              </w:rPr>
            </w:pPr>
            <w:r>
              <w:rPr>
                <w:rFonts w:ascii="Arial"/>
                <w:w w:val="101"/>
                <w:sz w:val="18"/>
              </w:rPr>
              <w:t>-</w:t>
            </w:r>
            <w:r>
              <w:rPr>
                <w:rFonts w:ascii="Arial"/>
                <w:sz w:val="18"/>
              </w:rPr>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9"/>
              <w:jc w:val="right"/>
              <w:rPr>
                <w:rFonts w:ascii="Arial" w:hAnsi="Arial" w:cs="Arial" w:eastAsia="Arial" w:hint="default"/>
                <w:sz w:val="18"/>
                <w:szCs w:val="18"/>
              </w:rPr>
            </w:pPr>
            <w:r>
              <w:rPr>
                <w:rFonts w:ascii="Arial"/>
                <w:w w:val="101"/>
                <w:sz w:val="18"/>
              </w:rPr>
              <w:t>-</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47"/>
              <w:jc w:val="right"/>
              <w:rPr>
                <w:rFonts w:ascii="Arial" w:hAnsi="Arial" w:cs="Arial" w:eastAsia="Arial" w:hint="default"/>
                <w:sz w:val="18"/>
                <w:szCs w:val="18"/>
              </w:rPr>
            </w:pPr>
            <w:r>
              <w:rPr>
                <w:rFonts w:ascii="Arial"/>
                <w:spacing w:val="-2"/>
                <w:sz w:val="18"/>
              </w:rPr>
              <w:t>(614,350,671)</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47"/>
              <w:jc w:val="right"/>
              <w:rPr>
                <w:rFonts w:ascii="Arial" w:hAnsi="Arial" w:cs="Arial" w:eastAsia="Arial" w:hint="default"/>
                <w:sz w:val="18"/>
                <w:szCs w:val="18"/>
              </w:rPr>
            </w:pPr>
            <w:r>
              <w:rPr>
                <w:rFonts w:ascii="Arial"/>
                <w:spacing w:val="-2"/>
                <w:sz w:val="18"/>
              </w:rPr>
              <w:t>(614,350,671)</w:t>
            </w:r>
          </w:p>
        </w:tc>
      </w:tr>
      <w:tr>
        <w:trPr>
          <w:trHeight w:val="250" w:hRule="exact"/>
        </w:trPr>
        <w:tc>
          <w:tcPr>
            <w:tcW w:w="2894"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100" w:right="0"/>
              <w:jc w:val="left"/>
              <w:rPr>
                <w:rFonts w:ascii="宋体" w:hAnsi="宋体" w:cs="宋体" w:eastAsia="宋体" w:hint="default"/>
                <w:sz w:val="18"/>
                <w:szCs w:val="18"/>
              </w:rPr>
            </w:pPr>
            <w:r>
              <w:rPr>
                <w:rFonts w:ascii="Arial" w:hAnsi="Arial" w:cs="Arial" w:eastAsia="Arial" w:hint="default"/>
                <w:sz w:val="18"/>
                <w:szCs w:val="18"/>
              </w:rPr>
              <w:t>2018</w:t>
            </w:r>
            <w:r>
              <w:rPr>
                <w:rFonts w:ascii="Arial" w:hAnsi="Arial" w:cs="Arial" w:eastAsia="Arial"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Arial" w:hAnsi="Arial" w:cs="Arial" w:eastAsia="Arial" w:hint="default"/>
                <w:sz w:val="18"/>
                <w:szCs w:val="18"/>
              </w:rPr>
              <w:t>12</w:t>
            </w:r>
            <w:r>
              <w:rPr>
                <w:rFonts w:ascii="Arial" w:hAnsi="Arial" w:cs="Arial" w:eastAsia="Arial"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Arial" w:hAnsi="Arial" w:cs="Arial" w:eastAsia="Arial" w:hint="default"/>
                <w:sz w:val="18"/>
                <w:szCs w:val="18"/>
              </w:rPr>
              <w:t>31</w:t>
            </w:r>
            <w:r>
              <w:rPr>
                <w:rFonts w:ascii="Arial" w:hAnsi="Arial" w:cs="Arial" w:eastAsia="Arial" w:hint="default"/>
                <w:spacing w:val="-4"/>
                <w:sz w:val="18"/>
                <w:szCs w:val="18"/>
              </w:rPr>
              <w:t> </w:t>
            </w:r>
            <w:r>
              <w:rPr>
                <w:rFonts w:ascii="宋体" w:hAnsi="宋体" w:cs="宋体" w:eastAsia="宋体" w:hint="default"/>
                <w:spacing w:val="-3"/>
                <w:sz w:val="18"/>
                <w:szCs w:val="18"/>
              </w:rPr>
              <w:t>日年末余额</w:t>
            </w:r>
            <w:r>
              <w:rPr>
                <w:rFonts w:ascii="宋体" w:hAnsi="宋体" w:cs="宋体" w:eastAsia="宋体" w:hint="default"/>
                <w:sz w:val="18"/>
                <w:szCs w:val="18"/>
              </w:rPr>
            </w:r>
          </w:p>
        </w:tc>
        <w:tc>
          <w:tcPr>
            <w:tcW w:w="1560" w:type="dxa"/>
            <w:tcBorders>
              <w:top w:val="single" w:sz="6" w:space="0" w:color="000000"/>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2"/>
              <w:jc w:val="right"/>
              <w:rPr>
                <w:rFonts w:ascii="Arial" w:hAnsi="Arial" w:cs="Arial" w:eastAsia="Arial" w:hint="default"/>
                <w:sz w:val="18"/>
                <w:szCs w:val="18"/>
              </w:rPr>
            </w:pPr>
            <w:r>
              <w:rPr>
                <w:rFonts w:ascii="Arial"/>
                <w:spacing w:val="-2"/>
                <w:sz w:val="18"/>
              </w:rPr>
              <w:t>31,027,811,687</w:t>
            </w:r>
            <w:r>
              <w:rPr>
                <w:rFonts w:ascii="Arial"/>
                <w:sz w:val="18"/>
              </w:rPr>
            </w:r>
          </w:p>
        </w:tc>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3"/>
              <w:jc w:val="right"/>
              <w:rPr>
                <w:rFonts w:ascii="Arial" w:hAnsi="Arial" w:cs="Arial" w:eastAsia="Arial" w:hint="default"/>
                <w:sz w:val="18"/>
                <w:szCs w:val="18"/>
              </w:rPr>
            </w:pPr>
            <w:r>
              <w:rPr>
                <w:rFonts w:ascii="Arial"/>
                <w:spacing w:val="-2"/>
                <w:sz w:val="18"/>
              </w:rPr>
              <w:t>72,448,610,693</w:t>
            </w:r>
            <w:r>
              <w:rPr>
                <w:rFonts w:ascii="Arial"/>
                <w:sz w:val="18"/>
              </w:rPr>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47"/>
              <w:jc w:val="right"/>
              <w:rPr>
                <w:rFonts w:ascii="Arial" w:hAnsi="Arial" w:cs="Arial" w:eastAsia="Arial" w:hint="default"/>
                <w:sz w:val="18"/>
                <w:szCs w:val="18"/>
              </w:rPr>
            </w:pPr>
            <w:r>
              <w:rPr>
                <w:rFonts w:ascii="Arial"/>
                <w:spacing w:val="-2"/>
                <w:sz w:val="18"/>
              </w:rPr>
              <w:t>(2,993,014,742)</w:t>
            </w:r>
            <w:r>
              <w:rPr>
                <w:rFonts w:ascii="Arial"/>
                <w:sz w:val="18"/>
              </w:rPr>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22"/>
              <w:jc w:val="right"/>
              <w:rPr>
                <w:rFonts w:ascii="Arial" w:hAnsi="Arial" w:cs="Arial" w:eastAsia="Arial" w:hint="default"/>
                <w:sz w:val="18"/>
                <w:szCs w:val="18"/>
              </w:rPr>
            </w:pPr>
            <w:r>
              <w:rPr>
                <w:rFonts w:ascii="Arial"/>
                <w:spacing w:val="-2"/>
                <w:sz w:val="18"/>
              </w:rPr>
              <w:t>1,412,023,687</w:t>
            </w:r>
            <w:r>
              <w:rPr>
                <w:rFonts w:ascii="Arial"/>
                <w:sz w:val="18"/>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Arial" w:hAnsi="Arial" w:cs="Arial" w:eastAsia="Arial" w:hint="default"/>
                <w:sz w:val="18"/>
                <w:szCs w:val="18"/>
              </w:rPr>
            </w:pPr>
            <w:r>
              <w:rPr>
                <w:rFonts w:ascii="Arial"/>
                <w:spacing w:val="-1"/>
                <w:sz w:val="18"/>
              </w:rPr>
              <w:t>44,690,821</w:t>
            </w:r>
            <w:r>
              <w:rPr>
                <w:rFonts w:ascii="Arial"/>
                <w:sz w:val="18"/>
              </w:rPr>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16"/>
              <w:jc w:val="right"/>
              <w:rPr>
                <w:rFonts w:ascii="Arial" w:hAnsi="Arial" w:cs="Arial" w:eastAsia="Arial" w:hint="default"/>
                <w:sz w:val="18"/>
                <w:szCs w:val="18"/>
              </w:rPr>
            </w:pPr>
            <w:r>
              <w:rPr>
                <w:rFonts w:ascii="Arial"/>
                <w:spacing w:val="-2"/>
                <w:sz w:val="18"/>
              </w:rPr>
              <w:t>101,940,122,146</w:t>
            </w:r>
          </w:p>
        </w:tc>
      </w:tr>
    </w:tbl>
    <w:p>
      <w:pPr>
        <w:spacing w:line="240" w:lineRule="auto" w:before="13"/>
        <w:rPr>
          <w:rFonts w:ascii="黑体" w:hAnsi="黑体" w:cs="黑体" w:eastAsia="黑体" w:hint="default"/>
          <w:sz w:val="13"/>
          <w:szCs w:val="13"/>
        </w:rPr>
      </w:pPr>
    </w:p>
    <w:p>
      <w:pPr>
        <w:spacing w:before="39"/>
        <w:ind w:left="134" w:right="0" w:firstLine="0"/>
        <w:jc w:val="left"/>
        <w:rPr>
          <w:rFonts w:ascii="宋体" w:hAnsi="宋体" w:cs="宋体" w:eastAsia="宋体" w:hint="default"/>
          <w:sz w:val="20"/>
          <w:szCs w:val="20"/>
        </w:rPr>
      </w:pPr>
      <w:r>
        <w:rPr>
          <w:rFonts w:ascii="宋体" w:hAnsi="宋体" w:cs="宋体" w:eastAsia="宋体" w:hint="default"/>
          <w:sz w:val="20"/>
          <w:szCs w:val="20"/>
        </w:rPr>
        <w:t>后附财务报表附注为财务报表的组成部分。</w:t>
      </w:r>
    </w:p>
    <w:p>
      <w:pPr>
        <w:spacing w:line="240" w:lineRule="auto" w:before="4"/>
        <w:rPr>
          <w:rFonts w:ascii="宋体" w:hAnsi="宋体" w:cs="宋体" w:eastAsia="宋体" w:hint="default"/>
          <w:sz w:val="19"/>
          <w:szCs w:val="19"/>
        </w:rPr>
      </w:pPr>
    </w:p>
    <w:p>
      <w:pPr>
        <w:pStyle w:val="BodyText"/>
        <w:tabs>
          <w:tab w:pos="6110" w:val="left" w:leader="none"/>
          <w:tab w:pos="11419" w:val="left" w:leader="none"/>
        </w:tabs>
        <w:spacing w:line="240" w:lineRule="auto"/>
        <w:ind w:left="110" w:right="0"/>
        <w:jc w:val="left"/>
      </w:pPr>
      <w:r>
        <w:rPr/>
        <w:t>董事长：王晓初</w:t>
        <w:tab/>
      </w:r>
      <w:r>
        <w:rPr>
          <w:spacing w:val="-1"/>
        </w:rPr>
        <w:t>财务负责人：姜爱华</w:t>
        <w:tab/>
      </w:r>
      <w:r>
        <w:rPr>
          <w:spacing w:val="-2"/>
        </w:rPr>
        <w:t>财务部总经理：王芳</w:t>
      </w:r>
      <w:r>
        <w:rPr/>
      </w:r>
    </w:p>
    <w:p>
      <w:pPr>
        <w:spacing w:after="0" w:line="240" w:lineRule="auto"/>
        <w:jc w:val="left"/>
        <w:sectPr>
          <w:headerReference w:type="default" r:id="rId102"/>
          <w:footerReference w:type="default" r:id="rId103"/>
          <w:pgSz w:w="16840" w:h="11910" w:orient="landscape"/>
          <w:pgMar w:header="0" w:footer="502" w:top="1080" w:bottom="700" w:left="720" w:right="1140"/>
          <w:pgNumType w:start="82"/>
        </w:sectPr>
      </w:pPr>
    </w:p>
    <w:p>
      <w:pPr>
        <w:pStyle w:val="BodyText"/>
        <w:spacing w:line="240" w:lineRule="auto" w:before="21"/>
        <w:ind w:left="133" w:right="6028"/>
        <w:jc w:val="left"/>
        <w:rPr>
          <w:rFonts w:ascii="黑体" w:hAnsi="黑体" w:cs="黑体" w:eastAsia="黑体" w:hint="default"/>
        </w:rPr>
      </w:pPr>
      <w:r>
        <w:rPr>
          <w:rFonts w:ascii="黑体" w:hAnsi="黑体" w:cs="黑体" w:eastAsia="黑体" w:hint="default"/>
        </w:rPr>
        <w:t>中国联合网络通信股份有限公司</w:t>
      </w:r>
    </w:p>
    <w:p>
      <w:pPr>
        <w:spacing w:line="240" w:lineRule="auto" w:before="1"/>
        <w:rPr>
          <w:rFonts w:ascii="黑体" w:hAnsi="黑体" w:cs="黑体" w:eastAsia="黑体" w:hint="default"/>
          <w:sz w:val="19"/>
          <w:szCs w:val="19"/>
        </w:rPr>
      </w:pPr>
    </w:p>
    <w:p>
      <w:pPr>
        <w:pStyle w:val="BodyText"/>
        <w:spacing w:line="286" w:lineRule="exact"/>
        <w:ind w:left="133" w:right="6028"/>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left="133" w:right="6028"/>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tabs>
          <w:tab w:pos="551" w:val="left" w:leader="none"/>
        </w:tabs>
        <w:spacing w:line="475" w:lineRule="auto"/>
        <w:ind w:left="119" w:right="6028" w:firstLine="14"/>
        <w:jc w:val="left"/>
        <w:rPr>
          <w:rFonts w:ascii="黑体" w:hAnsi="黑体" w:cs="黑体" w:eastAsia="黑体" w:hint="default"/>
        </w:rPr>
      </w:pPr>
      <w:r>
        <w:rPr>
          <w:rFonts w:ascii="黑体" w:hAnsi="黑体" w:cs="黑体" w:eastAsia="黑体" w:hint="default"/>
          <w:spacing w:val="-1"/>
        </w:rPr>
        <w:t>（除特别注明外，金额单位为人民币元）</w:t>
      </w:r>
      <w:r>
        <w:rPr>
          <w:rFonts w:ascii="黑体" w:hAnsi="黑体" w:cs="黑体" w:eastAsia="黑体" w:hint="default"/>
          <w:spacing w:val="-102"/>
        </w:rPr>
        <w:t> </w:t>
      </w:r>
      <w:r>
        <w:rPr>
          <w:rFonts w:ascii="黑体" w:hAnsi="黑体" w:cs="黑体" w:eastAsia="黑体" w:hint="default"/>
          <w:spacing w:val="-102"/>
        </w:rPr>
      </w:r>
      <w:r>
        <w:rPr>
          <w:rFonts w:ascii="黑体" w:hAnsi="黑体" w:cs="黑体" w:eastAsia="黑体" w:hint="default"/>
        </w:rPr>
        <w:t>一</w:t>
        <w:tab/>
        <w:t>公司简介</w:t>
      </w:r>
    </w:p>
    <w:p>
      <w:pPr>
        <w:pStyle w:val="BodyText"/>
        <w:spacing w:line="240" w:lineRule="auto" w:before="34"/>
        <w:ind w:left="138" w:right="1768"/>
        <w:jc w:val="left"/>
      </w:pPr>
      <w:r>
        <w:rPr>
          <w:rFonts w:ascii="Arial" w:hAnsi="Arial" w:cs="Arial" w:eastAsia="Arial" w:hint="default"/>
        </w:rPr>
        <w:t>1</w:t>
      </w:r>
      <w:r>
        <w:rPr/>
        <w:t>、</w:t>
      </w:r>
      <w:r>
        <w:rPr>
          <w:spacing w:val="-32"/>
        </w:rPr>
        <w:t> </w:t>
      </w:r>
      <w:r>
        <w:rPr/>
        <w:t>中国联合网络通信股份有限公司简介</w:t>
      </w:r>
    </w:p>
    <w:p>
      <w:pPr>
        <w:spacing w:line="240" w:lineRule="auto" w:before="9"/>
        <w:rPr>
          <w:rFonts w:ascii="宋体" w:hAnsi="宋体" w:cs="宋体" w:eastAsia="宋体" w:hint="default"/>
          <w:sz w:val="18"/>
          <w:szCs w:val="18"/>
        </w:rPr>
      </w:pPr>
    </w:p>
    <w:p>
      <w:pPr>
        <w:pStyle w:val="BodyText"/>
        <w:spacing w:line="230" w:lineRule="auto"/>
        <w:ind w:left="555" w:right="104"/>
        <w:jc w:val="both"/>
      </w:pPr>
      <w:r>
        <w:rPr>
          <w:spacing w:val="-6"/>
        </w:rPr>
        <w:t>中国联合网络通信股份有限公司（“本公司”或“本集团母公司”）是根据国务院批准的重组方案，</w:t>
      </w:r>
      <w:r>
        <w:rPr>
          <w:spacing w:val="-65"/>
        </w:rPr>
        <w:t> </w:t>
      </w:r>
      <w:r>
        <w:rPr>
          <w:spacing w:val="-65"/>
        </w:rPr>
      </w:r>
      <w:r>
        <w:rPr>
          <w:spacing w:val="-4"/>
        </w:rPr>
        <w:t>由中国联合网络通信集团有限公司（“联通集团”）以其于中国联通（</w:t>
      </w:r>
      <w:r>
        <w:rPr>
          <w:rFonts w:ascii="Arial" w:hAnsi="Arial" w:cs="Arial" w:eastAsia="Arial" w:hint="default"/>
          <w:spacing w:val="-4"/>
        </w:rPr>
        <w:t>BVI</w:t>
      </w:r>
      <w:r>
        <w:rPr>
          <w:spacing w:val="-4"/>
        </w:rPr>
        <w:t>）有限公司（“联通 </w:t>
      </w:r>
      <w:r>
        <w:rPr>
          <w:rFonts w:ascii="Arial" w:hAnsi="Arial" w:cs="Arial" w:eastAsia="Arial" w:hint="default"/>
        </w:rPr>
        <w:t>BVI</w:t>
      </w:r>
      <w:r>
        <w:rPr>
          <w:rFonts w:ascii="Arial" w:hAnsi="Arial" w:cs="Arial" w:eastAsia="Arial" w:hint="default"/>
          <w:spacing w:val="-48"/>
        </w:rPr>
        <w:t> </w:t>
      </w:r>
      <w:r>
        <w:rPr/>
        <w:t>公司”）的</w:t>
      </w:r>
      <w:r>
        <w:rPr>
          <w:spacing w:val="84"/>
        </w:rPr>
        <w:t> </w:t>
      </w:r>
      <w:r>
        <w:rPr>
          <w:rFonts w:ascii="Arial" w:hAnsi="Arial" w:cs="Arial" w:eastAsia="Arial" w:hint="default"/>
        </w:rPr>
        <w:t>51%</w:t>
      </w:r>
      <w:r>
        <w:rPr/>
        <w:t>股权投资所对应的经评估的净资产出资，并联合其他四家发起单位以现金出资于</w:t>
      </w:r>
      <w:r>
        <w:rPr>
          <w:spacing w:val="-95"/>
        </w:rPr>
        <w:t> </w:t>
      </w:r>
      <w:r>
        <w:rPr>
          <w:spacing w:val="-95"/>
        </w:rPr>
      </w:r>
      <w:r>
        <w:rPr>
          <w:rFonts w:ascii="Arial" w:hAnsi="Arial" w:cs="Arial" w:eastAsia="Arial" w:hint="default"/>
        </w:rPr>
        <w:t>2001</w:t>
      </w:r>
      <w:r>
        <w:rPr>
          <w:rFonts w:ascii="Arial" w:hAnsi="Arial" w:cs="Arial" w:eastAsia="Arial" w:hint="default"/>
          <w:spacing w:val="8"/>
        </w:rPr>
        <w:t> </w:t>
      </w:r>
      <w:r>
        <w:rPr/>
        <w:t>年</w:t>
      </w:r>
      <w:r>
        <w:rPr>
          <w:spacing w:val="-43"/>
        </w:rPr>
        <w:t> </w:t>
      </w:r>
      <w:r>
        <w:rPr>
          <w:rFonts w:ascii="Arial" w:hAnsi="Arial" w:cs="Arial" w:eastAsia="Arial" w:hint="default"/>
        </w:rPr>
        <w:t>12</w:t>
      </w:r>
      <w:r>
        <w:rPr>
          <w:rFonts w:ascii="Arial" w:hAnsi="Arial" w:cs="Arial" w:eastAsia="Arial" w:hint="default"/>
          <w:spacing w:val="8"/>
        </w:rPr>
        <w:t> </w:t>
      </w:r>
      <w:r>
        <w:rPr/>
        <w:t>月</w:t>
      </w:r>
      <w:r>
        <w:rPr>
          <w:spacing w:val="-48"/>
        </w:rPr>
        <w:t> </w:t>
      </w:r>
      <w:r>
        <w:rPr>
          <w:rFonts w:ascii="Arial" w:hAnsi="Arial" w:cs="Arial" w:eastAsia="Arial" w:hint="default"/>
        </w:rPr>
        <w:t>31</w:t>
      </w:r>
      <w:r>
        <w:rPr>
          <w:rFonts w:ascii="Arial" w:hAnsi="Arial" w:cs="Arial" w:eastAsia="Arial" w:hint="default"/>
          <w:spacing w:val="8"/>
        </w:rPr>
        <w:t> </w:t>
      </w:r>
      <w:r>
        <w:rPr/>
        <w:t>日在中华人民共和国（“中国”）上海成立的股份有限公司，经批准的经营范围</w:t>
      </w:r>
    </w:p>
    <w:p>
      <w:pPr>
        <w:pStyle w:val="BodyText"/>
        <w:spacing w:line="232" w:lineRule="auto"/>
        <w:ind w:left="555" w:right="110"/>
        <w:jc w:val="both"/>
      </w:pPr>
      <w:r>
        <w:rPr/>
        <w:t>为从事国（境）内外电信行业的投资，于 </w:t>
      </w:r>
      <w:r>
        <w:rPr>
          <w:rFonts w:ascii="Arial" w:hAnsi="Arial" w:cs="Arial" w:eastAsia="Arial" w:hint="default"/>
        </w:rPr>
        <w:t>2018</w:t>
      </w:r>
      <w:r>
        <w:rPr>
          <w:rFonts w:ascii="Arial" w:hAnsi="Arial" w:cs="Arial" w:eastAsia="Arial" w:hint="default"/>
          <w:spacing w:val="-3"/>
        </w:rPr>
        <w:t> </w:t>
      </w:r>
      <w:r>
        <w:rPr/>
        <w:t>年本公司注册地址由上海变更为北京。本公司目前</w:t>
      </w:r>
      <w:r>
        <w:rPr>
          <w:w w:val="100"/>
        </w:rPr>
        <w:t> </w:t>
      </w:r>
      <w:r>
        <w:rPr>
          <w:spacing w:val="-6"/>
        </w:rPr>
        <w:t>只直接持有对中国联通（</w:t>
      </w:r>
      <w:r>
        <w:rPr>
          <w:rFonts w:ascii="Arial" w:hAnsi="Arial" w:cs="Arial" w:eastAsia="Arial" w:hint="default"/>
          <w:spacing w:val="-6"/>
        </w:rPr>
        <w:t>BVI</w:t>
      </w:r>
      <w:r>
        <w:rPr>
          <w:spacing w:val="-6"/>
        </w:rPr>
        <w:t>）有限公司（“联通</w:t>
      </w:r>
      <w:r>
        <w:rPr>
          <w:spacing w:val="-47"/>
        </w:rPr>
        <w:t> </w:t>
      </w:r>
      <w:r>
        <w:rPr>
          <w:rFonts w:ascii="Arial" w:hAnsi="Arial" w:cs="Arial" w:eastAsia="Arial" w:hint="default"/>
        </w:rPr>
        <w:t>BVI</w:t>
      </w:r>
      <w:r>
        <w:rPr>
          <w:rFonts w:ascii="Arial" w:hAnsi="Arial" w:cs="Arial" w:eastAsia="Arial" w:hint="default"/>
          <w:spacing w:val="-3"/>
        </w:rPr>
        <w:t> </w:t>
      </w:r>
      <w:r>
        <w:rPr>
          <w:spacing w:val="-5"/>
        </w:rPr>
        <w:t>公司”）的股权投资。本公司通过联通</w:t>
      </w:r>
      <w:r>
        <w:rPr>
          <w:spacing w:val="-47"/>
        </w:rPr>
        <w:t> </w:t>
      </w:r>
      <w:r>
        <w:rPr>
          <w:rFonts w:ascii="Arial" w:hAnsi="Arial" w:cs="Arial" w:eastAsia="Arial" w:hint="default"/>
        </w:rPr>
        <w:t>BVI</w:t>
      </w:r>
      <w:r>
        <w:rPr>
          <w:rFonts w:ascii="Arial" w:hAnsi="Arial" w:cs="Arial" w:eastAsia="Arial" w:hint="default"/>
          <w:spacing w:val="-3"/>
        </w:rPr>
        <w:t> </w:t>
      </w:r>
      <w:r>
        <w:rPr/>
        <w:t>公</w:t>
      </w:r>
      <w:r>
        <w:rPr>
          <w:spacing w:val="-107"/>
        </w:rPr>
        <w:t> </w:t>
      </w:r>
      <w:r>
        <w:rPr>
          <w:spacing w:val="-1"/>
        </w:rPr>
        <w:t>司及其子公司中国联合网络通信（香港）股份有限公司（“联通红筹公司”）控股中国联合网络通</w:t>
      </w:r>
      <w:r>
        <w:rPr>
          <w:spacing w:val="-68"/>
        </w:rPr>
        <w:t> </w:t>
      </w:r>
      <w:r>
        <w:rPr>
          <w:spacing w:val="-68"/>
        </w:rPr>
      </w:r>
      <w:r>
        <w:rPr>
          <w:spacing w:val="-1"/>
        </w:rPr>
        <w:t>信有限公司（“联通运营公司”），联通运营公司是一家在中国境内提供综合电信服务的大型电信</w:t>
      </w:r>
      <w:r>
        <w:rPr>
          <w:spacing w:val="-68"/>
        </w:rPr>
        <w:t> </w:t>
      </w:r>
      <w:r>
        <w:rPr>
          <w:spacing w:val="-68"/>
        </w:rPr>
      </w:r>
      <w:r>
        <w:rPr>
          <w:spacing w:val="-1"/>
        </w:rPr>
        <w:t>公司，其主营业务为在中国境内提供语音通话、增值服务、宽带及移动数据服务、数据及其他互联</w:t>
      </w:r>
      <w:r>
        <w:rPr>
          <w:spacing w:val="-68"/>
        </w:rPr>
        <w:t> </w:t>
      </w:r>
      <w:r>
        <w:rPr>
          <w:spacing w:val="-68"/>
        </w:rPr>
      </w:r>
      <w:r>
        <w:rPr/>
        <w:t>网应用、电路及网元服务等。</w:t>
      </w:r>
    </w:p>
    <w:p>
      <w:pPr>
        <w:spacing w:line="240" w:lineRule="auto" w:before="2"/>
        <w:rPr>
          <w:rFonts w:ascii="宋体" w:hAnsi="宋体" w:cs="宋体" w:eastAsia="宋体" w:hint="default"/>
          <w:sz w:val="19"/>
          <w:szCs w:val="19"/>
        </w:rPr>
      </w:pPr>
    </w:p>
    <w:p>
      <w:pPr>
        <w:pStyle w:val="BodyText"/>
        <w:spacing w:line="448" w:lineRule="auto"/>
        <w:ind w:left="555" w:right="1768"/>
        <w:jc w:val="left"/>
      </w:pPr>
      <w:r>
        <w:rPr/>
        <w:t>本公司的母公司及最终控股公司为联通集团。</w:t>
      </w:r>
      <w:r>
        <w:rPr>
          <w:spacing w:val="-104"/>
        </w:rPr>
        <w:t> </w:t>
      </w:r>
      <w:r>
        <w:rPr>
          <w:spacing w:val="-104"/>
        </w:rPr>
      </w:r>
      <w:r>
        <w:rPr>
          <w:spacing w:val="-1"/>
        </w:rPr>
        <w:t>于下文中本公司及本公司之子公司（详情请参见附注七）统称“本集团”。</w:t>
      </w:r>
    </w:p>
    <w:p>
      <w:pPr>
        <w:pStyle w:val="BodyText"/>
        <w:spacing w:line="240" w:lineRule="auto" w:before="58"/>
        <w:ind w:left="133" w:right="1768"/>
        <w:jc w:val="left"/>
      </w:pPr>
      <w:r>
        <w:rPr>
          <w:rFonts w:ascii="Arial" w:hAnsi="Arial" w:cs="Arial" w:eastAsia="Arial" w:hint="default"/>
        </w:rPr>
        <w:t>2</w:t>
      </w:r>
      <w:r>
        <w:rPr/>
        <w:t>、</w:t>
      </w:r>
      <w:r>
        <w:rPr>
          <w:spacing w:val="-26"/>
        </w:rPr>
        <w:t> </w:t>
      </w:r>
      <w:r>
        <w:rPr/>
        <w:t>本财务报表由本公司董事会于</w:t>
      </w:r>
      <w:r>
        <w:rPr>
          <w:spacing w:val="-56"/>
        </w:rPr>
        <w:t> </w:t>
      </w:r>
      <w:r>
        <w:rPr>
          <w:rFonts w:ascii="Arial" w:hAnsi="Arial" w:cs="Arial" w:eastAsia="Arial" w:hint="default"/>
        </w:rPr>
        <w:t>2020</w:t>
      </w:r>
      <w:r>
        <w:rPr>
          <w:rFonts w:ascii="Arial" w:hAnsi="Arial" w:cs="Arial" w:eastAsia="Arial" w:hint="default"/>
          <w:spacing w:val="-5"/>
        </w:rPr>
        <w:t> </w:t>
      </w:r>
      <w:r>
        <w:rPr/>
        <w:t>年</w:t>
      </w:r>
      <w:r>
        <w:rPr>
          <w:spacing w:val="-56"/>
        </w:rPr>
        <w:t> </w:t>
      </w:r>
      <w:r>
        <w:rPr>
          <w:rFonts w:ascii="Arial" w:hAnsi="Arial" w:cs="Arial" w:eastAsia="Arial" w:hint="default"/>
        </w:rPr>
        <w:t>3</w:t>
      </w:r>
      <w:r>
        <w:rPr>
          <w:rFonts w:ascii="Arial" w:hAnsi="Arial" w:cs="Arial" w:eastAsia="Arial" w:hint="default"/>
          <w:spacing w:val="-5"/>
        </w:rPr>
        <w:t> </w:t>
      </w:r>
      <w:r>
        <w:rPr/>
        <w:t>月</w:t>
      </w:r>
      <w:r>
        <w:rPr>
          <w:spacing w:val="-56"/>
        </w:rPr>
        <w:t> </w:t>
      </w:r>
      <w:r>
        <w:rPr>
          <w:rFonts w:ascii="Arial" w:hAnsi="Arial" w:cs="Arial" w:eastAsia="Arial" w:hint="default"/>
        </w:rPr>
        <w:t>23</w:t>
      </w:r>
      <w:r>
        <w:rPr>
          <w:rFonts w:ascii="Arial" w:hAnsi="Arial" w:cs="Arial" w:eastAsia="Arial" w:hint="default"/>
          <w:spacing w:val="-9"/>
        </w:rPr>
        <w:t> </w:t>
      </w:r>
      <w:r>
        <w:rPr/>
        <w:t>日批准报出。</w:t>
      </w:r>
    </w:p>
    <w:p>
      <w:pPr>
        <w:spacing w:after="0" w:line="240" w:lineRule="auto"/>
        <w:jc w:val="left"/>
        <w:sectPr>
          <w:headerReference w:type="default" r:id="rId104"/>
          <w:footerReference w:type="default" r:id="rId105"/>
          <w:pgSz w:w="11910" w:h="16840"/>
          <w:pgMar w:header="0" w:footer="502" w:top="740" w:bottom="700" w:left="860" w:right="920"/>
          <w:pgNumType w:start="83"/>
        </w:sectPr>
      </w:pPr>
    </w:p>
    <w:p>
      <w:pPr>
        <w:spacing w:line="240" w:lineRule="auto" w:before="2"/>
        <w:rPr>
          <w:rFonts w:ascii="宋体" w:hAnsi="宋体" w:cs="宋体" w:eastAsia="宋体" w:hint="default"/>
          <w:sz w:val="19"/>
          <w:szCs w:val="19"/>
        </w:rPr>
      </w:pPr>
    </w:p>
    <w:p>
      <w:pPr>
        <w:pStyle w:val="BodyText"/>
        <w:tabs>
          <w:tab w:pos="550" w:val="left" w:leader="none"/>
        </w:tabs>
        <w:spacing w:line="240" w:lineRule="auto" w:before="32"/>
        <w:ind w:left="118" w:right="0"/>
        <w:jc w:val="left"/>
        <w:rPr>
          <w:rFonts w:ascii="黑体" w:hAnsi="黑体" w:cs="黑体" w:eastAsia="黑体" w:hint="default"/>
        </w:rPr>
      </w:pPr>
      <w:r>
        <w:rPr>
          <w:rFonts w:ascii="黑体" w:hAnsi="黑体" w:cs="黑体" w:eastAsia="黑体" w:hint="default"/>
        </w:rPr>
        <w:t>二</w:t>
        <w:tab/>
        <w:t>财务报表的编制基础</w:t>
      </w:r>
    </w:p>
    <w:p>
      <w:pPr>
        <w:spacing w:line="240" w:lineRule="auto" w:before="1"/>
        <w:rPr>
          <w:rFonts w:ascii="黑体" w:hAnsi="黑体" w:cs="黑体" w:eastAsia="黑体" w:hint="default"/>
          <w:sz w:val="19"/>
          <w:szCs w:val="19"/>
        </w:rPr>
      </w:pPr>
    </w:p>
    <w:p>
      <w:pPr>
        <w:pStyle w:val="BodyText"/>
        <w:spacing w:line="240" w:lineRule="auto"/>
        <w:ind w:left="555" w:right="0"/>
        <w:jc w:val="both"/>
      </w:pPr>
      <w:r>
        <w:rPr/>
        <w:t>本公司以持续经营为基础编制财务报表。</w:t>
      </w:r>
    </w:p>
    <w:p>
      <w:pPr>
        <w:spacing w:line="240" w:lineRule="auto" w:before="1"/>
        <w:rPr>
          <w:rFonts w:ascii="宋体" w:hAnsi="宋体" w:cs="宋体" w:eastAsia="宋体" w:hint="default"/>
          <w:sz w:val="19"/>
          <w:szCs w:val="19"/>
        </w:rPr>
      </w:pPr>
    </w:p>
    <w:p>
      <w:pPr>
        <w:pStyle w:val="BodyText"/>
        <w:spacing w:line="296" w:lineRule="exact"/>
        <w:ind w:left="555" w:right="0"/>
        <w:jc w:val="both"/>
      </w:pPr>
      <w:r>
        <w:rPr/>
        <w:t>本集团自</w:t>
      </w:r>
      <w:r>
        <w:rPr>
          <w:spacing w:val="-54"/>
        </w:rPr>
        <w:t> </w:t>
      </w:r>
      <w:r>
        <w:rPr>
          <w:rFonts w:ascii="Arial" w:hAnsi="Arial" w:cs="Arial" w:eastAsia="Arial" w:hint="default"/>
        </w:rPr>
        <w:t>2018</w:t>
      </w:r>
      <w:r>
        <w:rPr>
          <w:rFonts w:ascii="Arial" w:hAnsi="Arial" w:cs="Arial" w:eastAsia="Arial" w:hint="default"/>
          <w:spacing w:val="2"/>
        </w:rPr>
        <w:t> </w:t>
      </w:r>
      <w:r>
        <w:rPr/>
        <w:t>年</w:t>
      </w:r>
      <w:r>
        <w:rPr>
          <w:spacing w:val="-54"/>
        </w:rPr>
        <w:t> </w:t>
      </w:r>
      <w:r>
        <w:rPr>
          <w:rFonts w:ascii="Arial" w:hAnsi="Arial" w:cs="Arial" w:eastAsia="Arial" w:hint="default"/>
        </w:rPr>
        <w:t>1</w:t>
      </w:r>
      <w:r>
        <w:rPr>
          <w:rFonts w:ascii="Arial" w:hAnsi="Arial" w:cs="Arial" w:eastAsia="Arial" w:hint="default"/>
          <w:spacing w:val="-3"/>
        </w:rPr>
        <w:t> </w:t>
      </w:r>
      <w:r>
        <w:rPr/>
        <w:t>月</w:t>
      </w:r>
      <w:r>
        <w:rPr>
          <w:spacing w:val="-54"/>
        </w:rPr>
        <w:t> </w:t>
      </w:r>
      <w:r>
        <w:rPr>
          <w:rFonts w:ascii="Arial" w:hAnsi="Arial" w:cs="Arial" w:eastAsia="Arial" w:hint="default"/>
        </w:rPr>
        <w:t>1</w:t>
      </w:r>
      <w:r>
        <w:rPr>
          <w:rFonts w:ascii="Arial" w:hAnsi="Arial" w:cs="Arial" w:eastAsia="Arial" w:hint="default"/>
          <w:spacing w:val="2"/>
        </w:rPr>
        <w:t> </w:t>
      </w:r>
      <w:r>
        <w:rPr/>
        <w:t>日起执行了财政部</w:t>
      </w:r>
      <w:r>
        <w:rPr>
          <w:spacing w:val="-49"/>
        </w:rPr>
        <w:t> </w:t>
      </w:r>
      <w:r>
        <w:rPr>
          <w:rFonts w:ascii="Arial" w:hAnsi="Arial" w:cs="Arial" w:eastAsia="Arial" w:hint="default"/>
        </w:rPr>
        <w:t>2017</w:t>
      </w:r>
      <w:r>
        <w:rPr>
          <w:rFonts w:ascii="Arial" w:hAnsi="Arial" w:cs="Arial" w:eastAsia="Arial" w:hint="default"/>
          <w:spacing w:val="-3"/>
        </w:rPr>
        <w:t> </w:t>
      </w:r>
      <w:r>
        <w:rPr/>
        <w:t>年度修订的《企业会计准则第</w:t>
      </w:r>
      <w:r>
        <w:rPr>
          <w:spacing w:val="-49"/>
        </w:rPr>
        <w:t> </w:t>
      </w:r>
      <w:r>
        <w:rPr>
          <w:rFonts w:ascii="Arial" w:hAnsi="Arial" w:cs="Arial" w:eastAsia="Arial" w:hint="default"/>
        </w:rPr>
        <w:t>14</w:t>
      </w:r>
      <w:r>
        <w:rPr>
          <w:rFonts w:ascii="Arial" w:hAnsi="Arial" w:cs="Arial" w:eastAsia="Arial" w:hint="default"/>
          <w:spacing w:val="2"/>
        </w:rPr>
        <w:t> </w:t>
      </w:r>
      <w:r>
        <w:rPr/>
        <w:t>号</w:t>
      </w:r>
      <w:r>
        <w:rPr>
          <w:rFonts w:ascii="宋体" w:hAnsi="宋体" w:cs="宋体" w:eastAsia="宋体" w:hint="default"/>
        </w:rPr>
        <w:t>——</w:t>
      </w:r>
      <w:r>
        <w:rPr/>
        <w:t>收入》</w:t>
      </w:r>
    </w:p>
    <w:p>
      <w:pPr>
        <w:pStyle w:val="BodyText"/>
        <w:spacing w:line="286" w:lineRule="exact"/>
        <w:ind w:left="555" w:right="0"/>
        <w:jc w:val="both"/>
      </w:pPr>
      <w:r>
        <w:rPr>
          <w:spacing w:val="-5"/>
        </w:rPr>
        <w:t>和《企业会计准则第</w:t>
      </w:r>
      <w:r>
        <w:rPr>
          <w:spacing w:val="-52"/>
        </w:rPr>
        <w:t> </w:t>
      </w:r>
      <w:r>
        <w:rPr>
          <w:rFonts w:ascii="Arial" w:hAnsi="Arial" w:cs="Arial" w:eastAsia="Arial" w:hint="default"/>
        </w:rPr>
        <w:t>22</w:t>
      </w:r>
      <w:r>
        <w:rPr>
          <w:rFonts w:ascii="Arial" w:hAnsi="Arial" w:cs="Arial" w:eastAsia="Arial" w:hint="default"/>
          <w:spacing w:val="-1"/>
        </w:rPr>
        <w:t> </w:t>
      </w:r>
      <w:r>
        <w:rPr>
          <w:spacing w:val="-5"/>
        </w:rPr>
        <w:t>号</w:t>
      </w:r>
      <w:r>
        <w:rPr>
          <w:rFonts w:ascii="宋体" w:hAnsi="宋体" w:cs="宋体" w:eastAsia="宋体" w:hint="default"/>
          <w:spacing w:val="-5"/>
        </w:rPr>
        <w:t>——</w:t>
      </w:r>
      <w:r>
        <w:rPr>
          <w:spacing w:val="-5"/>
        </w:rPr>
        <w:t>金融工具确认和计量》等新金融工具准则，并自</w:t>
      </w:r>
      <w:r>
        <w:rPr>
          <w:spacing w:val="-52"/>
        </w:rPr>
        <w:t> </w:t>
      </w:r>
      <w:r>
        <w:rPr>
          <w:rFonts w:ascii="Arial" w:hAnsi="Arial" w:cs="Arial" w:eastAsia="Arial" w:hint="default"/>
        </w:rPr>
        <w:t>2019</w:t>
      </w:r>
      <w:r>
        <w:rPr>
          <w:rFonts w:ascii="Arial" w:hAnsi="Arial" w:cs="Arial" w:eastAsia="Arial" w:hint="default"/>
          <w:spacing w:val="-1"/>
        </w:rPr>
        <w:t> </w:t>
      </w:r>
      <w:r>
        <w:rPr/>
        <w:t>年</w:t>
      </w:r>
      <w:r>
        <w:rPr>
          <w:spacing w:val="-52"/>
        </w:rPr>
        <w:t> </w:t>
      </w:r>
      <w:r>
        <w:rPr>
          <w:rFonts w:ascii="Arial" w:hAnsi="Arial" w:cs="Arial" w:eastAsia="Arial" w:hint="default"/>
        </w:rPr>
        <w:t>1</w:t>
      </w:r>
      <w:r>
        <w:rPr>
          <w:rFonts w:ascii="Arial" w:hAnsi="Arial" w:cs="Arial" w:eastAsia="Arial" w:hint="default"/>
          <w:spacing w:val="-1"/>
        </w:rPr>
        <w:t> </w:t>
      </w:r>
      <w:r>
        <w:rPr/>
        <w:t>月</w:t>
      </w:r>
      <w:r>
        <w:rPr>
          <w:spacing w:val="-52"/>
        </w:rPr>
        <w:t> </w:t>
      </w:r>
      <w:r>
        <w:rPr>
          <w:rFonts w:ascii="Arial" w:hAnsi="Arial" w:cs="Arial" w:eastAsia="Arial" w:hint="default"/>
        </w:rPr>
        <w:t>1</w:t>
      </w:r>
      <w:r>
        <w:rPr>
          <w:rFonts w:ascii="Arial" w:hAnsi="Arial" w:cs="Arial" w:eastAsia="Arial" w:hint="default"/>
          <w:spacing w:val="-1"/>
        </w:rPr>
        <w:t> </w:t>
      </w:r>
      <w:r>
        <w:rPr/>
        <w:t>日</w:t>
      </w:r>
    </w:p>
    <w:p>
      <w:pPr>
        <w:pStyle w:val="BodyText"/>
        <w:spacing w:line="293" w:lineRule="exact"/>
        <w:ind w:left="554" w:right="0"/>
        <w:jc w:val="both"/>
      </w:pPr>
      <w:r>
        <w:rPr/>
        <w:t>起执行了财政部</w:t>
      </w:r>
      <w:r>
        <w:rPr>
          <w:spacing w:val="-56"/>
        </w:rPr>
        <w:t> </w:t>
      </w:r>
      <w:r>
        <w:rPr>
          <w:rFonts w:ascii="Arial" w:hAnsi="Arial" w:cs="Arial" w:eastAsia="Arial" w:hint="default"/>
        </w:rPr>
        <w:t>2018</w:t>
      </w:r>
      <w:r>
        <w:rPr>
          <w:rFonts w:ascii="Arial" w:hAnsi="Arial" w:cs="Arial" w:eastAsia="Arial" w:hint="default"/>
          <w:spacing w:val="-10"/>
        </w:rPr>
        <w:t> </w:t>
      </w:r>
      <w:r>
        <w:rPr/>
        <w:t>年度修订的《企业会计准则第</w:t>
      </w:r>
      <w:r>
        <w:rPr>
          <w:spacing w:val="-56"/>
        </w:rPr>
        <w:t> </w:t>
      </w:r>
      <w:r>
        <w:rPr>
          <w:rFonts w:ascii="Arial" w:hAnsi="Arial" w:cs="Arial" w:eastAsia="Arial" w:hint="default"/>
        </w:rPr>
        <w:t>21</w:t>
      </w:r>
      <w:r>
        <w:rPr>
          <w:rFonts w:ascii="Arial" w:hAnsi="Arial" w:cs="Arial" w:eastAsia="Arial" w:hint="default"/>
          <w:spacing w:val="-5"/>
        </w:rPr>
        <w:t> </w:t>
      </w:r>
      <w:r>
        <w:rPr/>
        <w:t>号</w:t>
      </w:r>
      <w:r>
        <w:rPr>
          <w:rFonts w:ascii="宋体" w:hAnsi="宋体" w:cs="宋体" w:eastAsia="宋体" w:hint="default"/>
        </w:rPr>
        <w:t>——</w:t>
      </w:r>
      <w:r>
        <w:rPr/>
        <w:t>租赁》</w:t>
      </w:r>
      <w:r>
        <w:rPr>
          <w:rFonts w:ascii="Arial" w:hAnsi="Arial" w:cs="Arial" w:eastAsia="Arial" w:hint="default"/>
        </w:rPr>
        <w:t>(</w:t>
      </w:r>
      <w:r>
        <w:rPr/>
        <w:t>参见附注三</w:t>
      </w:r>
      <w:r>
        <w:rPr>
          <w:rFonts w:ascii="Arial" w:hAnsi="Arial" w:cs="Arial" w:eastAsia="Arial" w:hint="default"/>
        </w:rPr>
        <w:t>(33)(1))</w:t>
      </w:r>
      <w:r>
        <w:rPr/>
        <w:t>。</w:t>
      </w:r>
    </w:p>
    <w:p>
      <w:pPr>
        <w:spacing w:line="240" w:lineRule="auto" w:before="0"/>
        <w:rPr>
          <w:rFonts w:ascii="宋体" w:hAnsi="宋体" w:cs="宋体" w:eastAsia="宋体" w:hint="default"/>
          <w:sz w:val="22"/>
          <w:szCs w:val="22"/>
        </w:rPr>
      </w:pPr>
    </w:p>
    <w:p>
      <w:pPr>
        <w:pStyle w:val="BodyText"/>
        <w:spacing w:line="240" w:lineRule="auto" w:before="157"/>
        <w:ind w:left="161" w:right="0"/>
        <w:jc w:val="left"/>
      </w:pPr>
      <w:r>
        <w:rPr>
          <w:rFonts w:ascii="Arial" w:hAnsi="Arial" w:cs="Arial" w:eastAsia="Arial" w:hint="default"/>
        </w:rPr>
        <w:t>1</w:t>
      </w:r>
      <w:r>
        <w:rPr/>
        <w:t>、</w:t>
      </w:r>
      <w:r>
        <w:rPr>
          <w:spacing w:val="-61"/>
        </w:rPr>
        <w:t> </w:t>
      </w:r>
      <w:r>
        <w:rPr/>
        <w:t>合并报表</w:t>
      </w:r>
    </w:p>
    <w:p>
      <w:pPr>
        <w:spacing w:line="240" w:lineRule="auto" w:before="12"/>
        <w:rPr>
          <w:rFonts w:ascii="宋体" w:hAnsi="宋体" w:cs="宋体" w:eastAsia="宋体" w:hint="default"/>
          <w:sz w:val="17"/>
          <w:szCs w:val="17"/>
        </w:rPr>
      </w:pPr>
    </w:p>
    <w:p>
      <w:pPr>
        <w:pStyle w:val="BodyText"/>
        <w:spacing w:line="225" w:lineRule="auto"/>
        <w:ind w:left="554" w:right="100"/>
        <w:jc w:val="both"/>
      </w:pPr>
      <w:r>
        <w:rPr/>
        <w:t>于</w:t>
      </w:r>
      <w:r>
        <w:rPr>
          <w:spacing w:val="-52"/>
        </w:rPr>
        <w:t> </w:t>
      </w:r>
      <w:r>
        <w:rPr>
          <w:rFonts w:ascii="Arial" w:hAnsi="Arial" w:cs="Arial" w:eastAsia="Arial" w:hint="default"/>
        </w:rPr>
        <w:t>2008</w:t>
      </w:r>
      <w:r>
        <w:rPr>
          <w:rFonts w:ascii="Arial" w:hAnsi="Arial" w:cs="Arial" w:eastAsia="Arial" w:hint="default"/>
          <w:spacing w:val="-1"/>
        </w:rPr>
        <w:t> </w:t>
      </w:r>
      <w:r>
        <w:rPr/>
        <w:t>年</w:t>
      </w:r>
      <w:r>
        <w:rPr>
          <w:spacing w:val="-58"/>
        </w:rPr>
        <w:t> </w:t>
      </w:r>
      <w:r>
        <w:rPr>
          <w:rFonts w:ascii="Arial" w:hAnsi="Arial" w:cs="Arial" w:eastAsia="Arial" w:hint="default"/>
        </w:rPr>
        <w:t>10</w:t>
      </w:r>
      <w:r>
        <w:rPr>
          <w:rFonts w:ascii="Arial" w:hAnsi="Arial" w:cs="Arial" w:eastAsia="Arial" w:hint="default"/>
          <w:spacing w:val="-1"/>
        </w:rPr>
        <w:t> </w:t>
      </w:r>
      <w:r>
        <w:rPr/>
        <w:t>月</w:t>
      </w:r>
      <w:r>
        <w:rPr>
          <w:spacing w:val="-52"/>
        </w:rPr>
        <w:t> </w:t>
      </w:r>
      <w:r>
        <w:rPr>
          <w:rFonts w:ascii="Arial" w:hAnsi="Arial" w:cs="Arial" w:eastAsia="Arial" w:hint="default"/>
        </w:rPr>
        <w:t>15</w:t>
      </w:r>
      <w:r>
        <w:rPr>
          <w:rFonts w:ascii="Arial" w:hAnsi="Arial" w:cs="Arial" w:eastAsia="Arial" w:hint="default"/>
          <w:spacing w:val="-1"/>
        </w:rPr>
        <w:t> </w:t>
      </w:r>
      <w:r>
        <w:rPr>
          <w:spacing w:val="-6"/>
        </w:rPr>
        <w:t>日，联通红筹公司与中国网通集团（香港）有限公司（“网通红筹公司”）以</w:t>
      </w:r>
      <w:r>
        <w:rPr>
          <w:spacing w:val="-92"/>
        </w:rPr>
        <w:t> </w:t>
      </w:r>
      <w:r>
        <w:rPr>
          <w:spacing w:val="-92"/>
        </w:rPr>
      </w:r>
      <w:r>
        <w:rPr/>
        <w:t>协议安排通过换股方式完成了两家公司的合并。交易完成后，本公司所属子公司联通</w:t>
      </w:r>
      <w:r>
        <w:rPr>
          <w:spacing w:val="-32"/>
        </w:rPr>
        <w:t> </w:t>
      </w:r>
      <w:r>
        <w:rPr>
          <w:rFonts w:ascii="Arial" w:hAnsi="Arial" w:cs="Arial" w:eastAsia="Arial" w:hint="default"/>
        </w:rPr>
        <w:t>BVI</w:t>
      </w:r>
      <w:r>
        <w:rPr>
          <w:rFonts w:ascii="Arial" w:hAnsi="Arial" w:cs="Arial" w:eastAsia="Arial" w:hint="default"/>
          <w:spacing w:val="18"/>
        </w:rPr>
        <w:t> </w:t>
      </w:r>
      <w:r>
        <w:rPr/>
        <w:t>公司对</w:t>
      </w:r>
      <w:r>
        <w:rPr>
          <w:spacing w:val="-106"/>
        </w:rPr>
        <w:t> </w:t>
      </w:r>
      <w:r>
        <w:rPr/>
        <w:t>联通红筹公司的持股比例由合并前的</w:t>
      </w:r>
      <w:r>
        <w:rPr>
          <w:spacing w:val="-54"/>
        </w:rPr>
        <w:t> </w:t>
      </w:r>
      <w:r>
        <w:rPr>
          <w:rFonts w:ascii="Arial" w:hAnsi="Arial" w:cs="Arial" w:eastAsia="Arial" w:hint="default"/>
        </w:rPr>
        <w:t>71.17%</w:t>
      </w:r>
      <w:r>
        <w:rPr/>
        <w:t>（于</w:t>
      </w:r>
      <w:r>
        <w:rPr>
          <w:spacing w:val="-54"/>
        </w:rPr>
        <w:t> </w:t>
      </w:r>
      <w:r>
        <w:rPr>
          <w:rFonts w:ascii="Arial" w:hAnsi="Arial" w:cs="Arial" w:eastAsia="Arial" w:hint="default"/>
        </w:rPr>
        <w:t>2008</w:t>
      </w:r>
      <w:r>
        <w:rPr>
          <w:rFonts w:ascii="Arial" w:hAnsi="Arial" w:cs="Arial" w:eastAsia="Arial" w:hint="default"/>
          <w:spacing w:val="2"/>
        </w:rPr>
        <w:t> </w:t>
      </w:r>
      <w:r>
        <w:rPr/>
        <w:t>年</w:t>
      </w:r>
      <w:r>
        <w:rPr>
          <w:spacing w:val="-54"/>
        </w:rPr>
        <w:t> </w:t>
      </w:r>
      <w:r>
        <w:rPr>
          <w:rFonts w:ascii="Arial" w:hAnsi="Arial" w:cs="Arial" w:eastAsia="Arial" w:hint="default"/>
        </w:rPr>
        <w:t>9</w:t>
      </w:r>
      <w:r>
        <w:rPr>
          <w:rFonts w:ascii="Arial" w:hAnsi="Arial" w:cs="Arial" w:eastAsia="Arial" w:hint="default"/>
          <w:spacing w:val="-3"/>
        </w:rPr>
        <w:t> </w:t>
      </w:r>
      <w:r>
        <w:rPr/>
        <w:t>月</w:t>
      </w:r>
      <w:r>
        <w:rPr>
          <w:spacing w:val="-49"/>
        </w:rPr>
        <w:t> </w:t>
      </w:r>
      <w:r>
        <w:rPr>
          <w:rFonts w:ascii="Arial" w:hAnsi="Arial" w:cs="Arial" w:eastAsia="Arial" w:hint="default"/>
        </w:rPr>
        <w:t>30</w:t>
      </w:r>
      <w:r>
        <w:rPr>
          <w:rFonts w:ascii="Arial" w:hAnsi="Arial" w:cs="Arial" w:eastAsia="Arial" w:hint="default"/>
          <w:spacing w:val="2"/>
        </w:rPr>
        <w:t> </w:t>
      </w:r>
      <w:r>
        <w:rPr/>
        <w:t>日）下降为合并后的</w:t>
      </w:r>
      <w:r>
        <w:rPr>
          <w:spacing w:val="-54"/>
        </w:rPr>
        <w:t> </w:t>
      </w:r>
      <w:r>
        <w:rPr>
          <w:rFonts w:ascii="Arial" w:hAnsi="Arial" w:cs="Arial" w:eastAsia="Arial" w:hint="default"/>
        </w:rPr>
        <w:t>40.92%</w:t>
      </w:r>
      <w:r>
        <w:rPr/>
        <w:t>。</w:t>
      </w:r>
    </w:p>
    <w:p>
      <w:pPr>
        <w:spacing w:line="240" w:lineRule="auto" w:before="3"/>
        <w:rPr>
          <w:rFonts w:ascii="宋体" w:hAnsi="宋体" w:cs="宋体" w:eastAsia="宋体" w:hint="default"/>
          <w:sz w:val="19"/>
          <w:szCs w:val="19"/>
        </w:rPr>
      </w:pPr>
    </w:p>
    <w:p>
      <w:pPr>
        <w:pStyle w:val="BodyText"/>
        <w:spacing w:line="225" w:lineRule="auto"/>
        <w:ind w:left="554" w:right="205"/>
        <w:jc w:val="both"/>
      </w:pPr>
      <w:r>
        <w:rPr>
          <w:spacing w:val="-3"/>
        </w:rPr>
        <w:t>为确保联通</w:t>
      </w:r>
      <w:r>
        <w:rPr>
          <w:rFonts w:ascii="Arial" w:hAnsi="Arial" w:cs="Arial" w:eastAsia="Arial" w:hint="default"/>
          <w:spacing w:val="-3"/>
        </w:rPr>
        <w:t>BVI</w:t>
      </w:r>
      <w:r>
        <w:rPr>
          <w:spacing w:val="-3"/>
        </w:rPr>
        <w:t>公司对联通红筹公司的控制，联通</w:t>
      </w:r>
      <w:r>
        <w:rPr>
          <w:rFonts w:ascii="Arial" w:hAnsi="Arial" w:cs="Arial" w:eastAsia="Arial" w:hint="default"/>
          <w:spacing w:val="-3"/>
        </w:rPr>
        <w:t>BVI</w:t>
      </w:r>
      <w:r>
        <w:rPr>
          <w:spacing w:val="-3"/>
        </w:rPr>
        <w:t>公司和中国联通集团（</w:t>
      </w:r>
      <w:r>
        <w:rPr>
          <w:rFonts w:ascii="Arial" w:hAnsi="Arial" w:cs="Arial" w:eastAsia="Arial" w:hint="default"/>
          <w:spacing w:val="-3"/>
        </w:rPr>
        <w:t>BVI</w:t>
      </w:r>
      <w:r>
        <w:rPr>
          <w:spacing w:val="-3"/>
        </w:rPr>
        <w:t>）有限公司（“联</w:t>
      </w:r>
      <w:r>
        <w:rPr>
          <w:spacing w:val="-74"/>
        </w:rPr>
        <w:t> </w:t>
      </w:r>
      <w:r>
        <w:rPr>
          <w:spacing w:val="-74"/>
        </w:rPr>
      </w:r>
      <w:r>
        <w:rPr>
          <w:spacing w:val="-4"/>
        </w:rPr>
        <w:t>通集团</w:t>
      </w:r>
      <w:r>
        <w:rPr>
          <w:rFonts w:ascii="Arial" w:hAnsi="Arial" w:cs="Arial" w:eastAsia="Arial" w:hint="default"/>
          <w:spacing w:val="-4"/>
        </w:rPr>
        <w:t>BVI</w:t>
      </w:r>
      <w:r>
        <w:rPr>
          <w:spacing w:val="-4"/>
        </w:rPr>
        <w:t>公司”，联通红筹公司另一股东，于合并后持有联通红筹公司约</w:t>
      </w:r>
      <w:r>
        <w:rPr>
          <w:rFonts w:ascii="Arial" w:hAnsi="Arial" w:cs="Arial" w:eastAsia="Arial" w:hint="default"/>
          <w:spacing w:val="-4"/>
        </w:rPr>
        <w:t>29.49%</w:t>
      </w:r>
      <w:r>
        <w:rPr>
          <w:spacing w:val="-4"/>
        </w:rPr>
        <w:t>的股份，原名为</w:t>
      </w:r>
      <w:r>
        <w:rPr>
          <w:spacing w:val="-67"/>
        </w:rPr>
        <w:t> </w:t>
      </w:r>
      <w:r>
        <w:rPr>
          <w:spacing w:val="-67"/>
        </w:rPr>
      </w:r>
      <w:r>
        <w:rPr>
          <w:spacing w:val="-1"/>
        </w:rPr>
        <w:t>中国网通集团（</w:t>
      </w:r>
      <w:r>
        <w:rPr>
          <w:rFonts w:ascii="Arial" w:hAnsi="Arial" w:cs="Arial" w:eastAsia="Arial" w:hint="default"/>
          <w:spacing w:val="-1"/>
        </w:rPr>
        <w:t>BVI</w:t>
      </w:r>
      <w:r>
        <w:rPr>
          <w:spacing w:val="-1"/>
        </w:rPr>
        <w:t>）有限公司，于</w:t>
      </w:r>
      <w:r>
        <w:rPr>
          <w:rFonts w:ascii="Arial" w:hAnsi="Arial" w:cs="Arial" w:eastAsia="Arial" w:hint="default"/>
          <w:spacing w:val="-1"/>
        </w:rPr>
        <w:t>2012</w:t>
      </w:r>
      <w:r>
        <w:rPr>
          <w:spacing w:val="-1"/>
        </w:rPr>
        <w:t>年</w:t>
      </w:r>
      <w:r>
        <w:rPr>
          <w:rFonts w:ascii="Arial" w:hAnsi="Arial" w:cs="Arial" w:eastAsia="Arial" w:hint="default"/>
          <w:spacing w:val="-1"/>
        </w:rPr>
        <w:t>8</w:t>
      </w:r>
      <w:r>
        <w:rPr>
          <w:spacing w:val="-1"/>
        </w:rPr>
        <w:t>月</w:t>
      </w:r>
      <w:r>
        <w:rPr>
          <w:rFonts w:ascii="Arial" w:hAnsi="Arial" w:cs="Arial" w:eastAsia="Arial" w:hint="default"/>
          <w:spacing w:val="-1"/>
        </w:rPr>
        <w:t>10</w:t>
      </w:r>
      <w:r>
        <w:rPr>
          <w:spacing w:val="-1"/>
        </w:rPr>
        <w:t>日进行了公司名称变更）于</w:t>
      </w:r>
      <w:r>
        <w:rPr>
          <w:rFonts w:ascii="Arial" w:hAnsi="Arial" w:cs="Arial" w:eastAsia="Arial" w:hint="default"/>
          <w:spacing w:val="-1"/>
        </w:rPr>
        <w:t>2008</w:t>
      </w:r>
      <w:r>
        <w:rPr>
          <w:spacing w:val="-1"/>
        </w:rPr>
        <w:t>年</w:t>
      </w:r>
      <w:r>
        <w:rPr>
          <w:rFonts w:ascii="Arial" w:hAnsi="Arial" w:cs="Arial" w:eastAsia="Arial" w:hint="default"/>
          <w:spacing w:val="-1"/>
        </w:rPr>
        <w:t>9</w:t>
      </w:r>
      <w:r>
        <w:rPr>
          <w:spacing w:val="-1"/>
        </w:rPr>
        <w:t>月</w:t>
      </w:r>
      <w:r>
        <w:rPr>
          <w:rFonts w:ascii="Arial" w:hAnsi="Arial" w:cs="Arial" w:eastAsia="Arial" w:hint="default"/>
          <w:spacing w:val="-1"/>
        </w:rPr>
        <w:t>22</w:t>
      </w:r>
      <w:r>
        <w:rPr>
          <w:spacing w:val="-1"/>
        </w:rPr>
        <w:t>日签订</w:t>
      </w:r>
      <w:r>
        <w:rPr>
          <w:spacing w:val="-71"/>
        </w:rPr>
        <w:t> </w:t>
      </w:r>
      <w:r>
        <w:rPr>
          <w:spacing w:val="-3"/>
        </w:rPr>
        <w:t>了《一致行动方协议》，同时联通集团</w:t>
      </w:r>
      <w:r>
        <w:rPr>
          <w:rFonts w:ascii="Arial" w:hAnsi="Arial" w:cs="Arial" w:eastAsia="Arial" w:hint="default"/>
          <w:spacing w:val="-3"/>
        </w:rPr>
        <w:t>BVI</w:t>
      </w:r>
      <w:r>
        <w:rPr>
          <w:spacing w:val="-3"/>
        </w:rPr>
        <w:t>公司还于</w:t>
      </w:r>
      <w:r>
        <w:rPr>
          <w:rFonts w:ascii="Arial" w:hAnsi="Arial" w:cs="Arial" w:eastAsia="Arial" w:hint="default"/>
          <w:spacing w:val="-3"/>
        </w:rPr>
        <w:t>2008</w:t>
      </w:r>
      <w:r>
        <w:rPr>
          <w:spacing w:val="-3"/>
        </w:rPr>
        <w:t>年</w:t>
      </w:r>
      <w:r>
        <w:rPr>
          <w:rFonts w:ascii="Arial" w:hAnsi="Arial" w:cs="Arial" w:eastAsia="Arial" w:hint="default"/>
          <w:spacing w:val="-3"/>
        </w:rPr>
        <w:t>10</w:t>
      </w:r>
      <w:r>
        <w:rPr>
          <w:spacing w:val="-3"/>
        </w:rPr>
        <w:t>月</w:t>
      </w:r>
      <w:r>
        <w:rPr>
          <w:rFonts w:ascii="Arial" w:hAnsi="Arial" w:cs="Arial" w:eastAsia="Arial" w:hint="default"/>
          <w:spacing w:val="-3"/>
        </w:rPr>
        <w:t>15</w:t>
      </w:r>
      <w:r>
        <w:rPr>
          <w:spacing w:val="-3"/>
        </w:rPr>
        <w:t>日向联通</w:t>
      </w:r>
      <w:r>
        <w:rPr>
          <w:rFonts w:ascii="Arial" w:hAnsi="Arial" w:cs="Arial" w:eastAsia="Arial" w:hint="default"/>
          <w:spacing w:val="-3"/>
        </w:rPr>
        <w:t>BVI</w:t>
      </w:r>
      <w:r>
        <w:rPr>
          <w:spacing w:val="-3"/>
        </w:rPr>
        <w:t>公司发出函件确认</w:t>
      </w:r>
      <w:r>
        <w:rPr>
          <w:spacing w:val="-35"/>
        </w:rPr>
        <w:t> </w:t>
      </w:r>
      <w:r>
        <w:rPr>
          <w:spacing w:val="-35"/>
        </w:rPr>
      </w:r>
      <w:r>
        <w:rPr/>
        <w:t>其持有的对联通红筹公司的表决权将由联通</w:t>
      </w:r>
      <w:r>
        <w:rPr>
          <w:rFonts w:ascii="Arial" w:hAnsi="Arial" w:cs="Arial" w:eastAsia="Arial" w:hint="default"/>
        </w:rPr>
        <w:t>BVI</w:t>
      </w:r>
      <w:r>
        <w:rPr/>
        <w:t>公司控制，并且未经联通</w:t>
      </w:r>
      <w:r>
        <w:rPr>
          <w:rFonts w:ascii="Arial" w:hAnsi="Arial" w:cs="Arial" w:eastAsia="Arial" w:hint="default"/>
        </w:rPr>
        <w:t>BVI</w:t>
      </w:r>
      <w:r>
        <w:rPr/>
        <w:t>公司的事先批准，联</w:t>
      </w:r>
      <w:r>
        <w:rPr>
          <w:spacing w:val="-81"/>
        </w:rPr>
        <w:t> </w:t>
      </w:r>
      <w:r>
        <w:rPr/>
        <w:t>通集团</w:t>
      </w:r>
      <w:r>
        <w:rPr>
          <w:rFonts w:ascii="Arial" w:hAnsi="Arial" w:cs="Arial" w:eastAsia="Arial" w:hint="default"/>
        </w:rPr>
        <w:t>BVI</w:t>
      </w:r>
      <w:r>
        <w:rPr/>
        <w:t>公司将不会提呈任何决议，以供在任何联通红筹公司的股东大会上审议。</w:t>
      </w:r>
    </w:p>
    <w:p>
      <w:pPr>
        <w:spacing w:line="240" w:lineRule="auto" w:before="3"/>
        <w:rPr>
          <w:rFonts w:ascii="宋体" w:hAnsi="宋体" w:cs="宋体" w:eastAsia="宋体" w:hint="default"/>
          <w:sz w:val="19"/>
          <w:szCs w:val="19"/>
        </w:rPr>
      </w:pPr>
    </w:p>
    <w:p>
      <w:pPr>
        <w:pStyle w:val="BodyText"/>
        <w:spacing w:line="225" w:lineRule="auto"/>
        <w:ind w:left="564" w:right="209" w:hanging="1"/>
        <w:jc w:val="both"/>
        <w:rPr>
          <w:rFonts w:ascii="Arial" w:hAnsi="Arial" w:cs="Arial" w:eastAsia="Arial" w:hint="default"/>
        </w:rPr>
      </w:pPr>
      <w:r>
        <w:rPr>
          <w:spacing w:val="-2"/>
        </w:rPr>
        <w:t>因此，根据上述《一致行动方协议》和确认函件，于</w:t>
      </w:r>
      <w:r>
        <w:rPr>
          <w:rFonts w:ascii="Arial" w:hAnsi="Arial" w:cs="Arial" w:eastAsia="Arial" w:hint="default"/>
          <w:spacing w:val="-2"/>
        </w:rPr>
        <w:t>2008</w:t>
      </w:r>
      <w:r>
        <w:rPr>
          <w:spacing w:val="-2"/>
        </w:rPr>
        <w:t>年</w:t>
      </w:r>
      <w:r>
        <w:rPr>
          <w:rFonts w:ascii="Arial" w:hAnsi="Arial" w:cs="Arial" w:eastAsia="Arial" w:hint="default"/>
          <w:spacing w:val="-2"/>
        </w:rPr>
        <w:t>10</w:t>
      </w:r>
      <w:r>
        <w:rPr>
          <w:spacing w:val="-2"/>
        </w:rPr>
        <w:t>月</w:t>
      </w:r>
      <w:r>
        <w:rPr>
          <w:rFonts w:ascii="Arial" w:hAnsi="Arial" w:cs="Arial" w:eastAsia="Arial" w:hint="default"/>
          <w:spacing w:val="-2"/>
        </w:rPr>
        <w:t>15</w:t>
      </w:r>
      <w:r>
        <w:rPr>
          <w:spacing w:val="-2"/>
        </w:rPr>
        <w:t>日，在联通红筹公司和网通红</w:t>
      </w:r>
      <w:r>
        <w:rPr>
          <w:spacing w:val="-49"/>
        </w:rPr>
        <w:t> </w:t>
      </w:r>
      <w:r>
        <w:rPr>
          <w:spacing w:val="-49"/>
        </w:rPr>
      </w:r>
      <w:r>
        <w:rPr/>
        <w:t>筹公司合并完成后，本公司通过联通</w:t>
      </w:r>
      <w:r>
        <w:rPr>
          <w:rFonts w:ascii="Arial" w:hAnsi="Arial" w:cs="Arial" w:eastAsia="Arial" w:hint="default"/>
        </w:rPr>
        <w:t>BVI</w:t>
      </w:r>
      <w:r>
        <w:rPr/>
        <w:t>公司实际控制了联通红筹公司约</w:t>
      </w:r>
      <w:r>
        <w:rPr>
          <w:rFonts w:ascii="Arial" w:hAnsi="Arial" w:cs="Arial" w:eastAsia="Arial" w:hint="default"/>
        </w:rPr>
        <w:t>70.41%</w:t>
      </w:r>
      <w:r>
        <w:rPr/>
        <w:t>表决权股份。此</w:t>
      </w:r>
      <w:r>
        <w:rPr>
          <w:spacing w:val="-51"/>
        </w:rPr>
        <w:t> </w:t>
      </w:r>
      <w:r>
        <w:rPr>
          <w:spacing w:val="-1"/>
        </w:rPr>
        <w:t>后，历经联通红筹公司回购韩国</w:t>
      </w:r>
      <w:r>
        <w:rPr>
          <w:rFonts w:ascii="Arial" w:hAnsi="Arial" w:cs="Arial" w:eastAsia="Arial" w:hint="default"/>
          <w:spacing w:val="-1"/>
        </w:rPr>
        <w:t>SK</w:t>
      </w:r>
      <w:r>
        <w:rPr>
          <w:spacing w:val="-1"/>
        </w:rPr>
        <w:t>电讯株式会社（“</w:t>
      </w:r>
      <w:r>
        <w:rPr>
          <w:rFonts w:ascii="Arial" w:hAnsi="Arial" w:cs="Arial" w:eastAsia="Arial" w:hint="default"/>
          <w:spacing w:val="-1"/>
        </w:rPr>
        <w:t>SKT</w:t>
      </w:r>
      <w:r>
        <w:rPr>
          <w:spacing w:val="-1"/>
        </w:rPr>
        <w:t>”）持有的联通红筹公司股份以及联通</w:t>
      </w:r>
      <w:r>
        <w:rPr>
          <w:spacing w:val="-66"/>
        </w:rPr>
        <w:t> </w:t>
      </w:r>
      <w:r>
        <w:rPr>
          <w:spacing w:val="-66"/>
        </w:rPr>
      </w:r>
      <w:r>
        <w:rPr/>
        <w:t>红筹公司与</w:t>
      </w:r>
      <w:r>
        <w:rPr>
          <w:rFonts w:ascii="Arial" w:hAnsi="Arial" w:cs="Arial" w:eastAsia="Arial" w:hint="default"/>
        </w:rPr>
        <w:t>Telefónica,</w:t>
      </w:r>
      <w:r>
        <w:rPr>
          <w:rFonts w:ascii="Arial" w:hAnsi="Arial" w:cs="Arial" w:eastAsia="Arial" w:hint="default"/>
          <w:spacing w:val="47"/>
        </w:rPr>
        <w:t> </w:t>
      </w:r>
      <w:r>
        <w:rPr>
          <w:rFonts w:ascii="Arial" w:hAnsi="Arial" w:cs="Arial" w:eastAsia="Arial" w:hint="default"/>
        </w:rPr>
        <w:t>S.A.</w:t>
      </w:r>
      <w:r>
        <w:rPr/>
        <w:t>（“西班牙电信”）互相投资和西班牙电信将其持有的联通红筹公司</w:t>
      </w:r>
      <w:r>
        <w:rPr>
          <w:w w:val="100"/>
        </w:rPr>
        <w:t> </w:t>
      </w:r>
      <w:r>
        <w:rPr>
          <w:spacing w:val="-1"/>
        </w:rPr>
        <w:t>股份转让予联通集团</w:t>
      </w:r>
      <w:r>
        <w:rPr>
          <w:rFonts w:ascii="Arial" w:hAnsi="Arial" w:cs="Arial" w:eastAsia="Arial" w:hint="default"/>
          <w:spacing w:val="-1"/>
        </w:rPr>
        <w:t>BVI</w:t>
      </w:r>
      <w:r>
        <w:rPr>
          <w:spacing w:val="-1"/>
        </w:rPr>
        <w:t>公司等事项，于</w:t>
      </w:r>
      <w:r>
        <w:rPr>
          <w:rFonts w:ascii="Arial" w:hAnsi="Arial" w:cs="Arial" w:eastAsia="Arial" w:hint="default"/>
          <w:spacing w:val="-1"/>
        </w:rPr>
        <w:t>2016</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日，联通</w:t>
      </w:r>
      <w:r>
        <w:rPr>
          <w:rFonts w:ascii="Arial" w:hAnsi="Arial" w:cs="Arial" w:eastAsia="Arial" w:hint="default"/>
          <w:spacing w:val="-1"/>
        </w:rPr>
        <w:t>BVI</w:t>
      </w:r>
      <w:r>
        <w:rPr>
          <w:spacing w:val="-1"/>
        </w:rPr>
        <w:t>公司和联通集团</w:t>
      </w:r>
      <w:r>
        <w:rPr>
          <w:rFonts w:ascii="Arial" w:hAnsi="Arial" w:cs="Arial" w:eastAsia="Arial" w:hint="default"/>
          <w:spacing w:val="-1"/>
        </w:rPr>
        <w:t>BVI</w:t>
      </w:r>
      <w:r>
        <w:rPr>
          <w:spacing w:val="-1"/>
        </w:rPr>
        <w:t>公司合计</w:t>
      </w:r>
      <w:r>
        <w:rPr>
          <w:spacing w:val="-63"/>
        </w:rPr>
        <w:t> </w:t>
      </w:r>
      <w:r>
        <w:rPr>
          <w:spacing w:val="-2"/>
        </w:rPr>
        <w:t>持有联通红筹公司</w:t>
      </w:r>
      <w:r>
        <w:rPr>
          <w:rFonts w:ascii="Arial" w:hAnsi="Arial" w:cs="Arial" w:eastAsia="Arial" w:hint="default"/>
          <w:spacing w:val="-2"/>
        </w:rPr>
        <w:t>74.36%</w:t>
      </w:r>
      <w:r>
        <w:rPr>
          <w:spacing w:val="-2"/>
        </w:rPr>
        <w:t>表决权比例。于</w:t>
      </w:r>
      <w:r>
        <w:rPr>
          <w:rFonts w:ascii="Arial" w:hAnsi="Arial" w:cs="Arial" w:eastAsia="Arial" w:hint="default"/>
          <w:spacing w:val="-2"/>
        </w:rPr>
        <w:t>2017</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spacing w:val="-2"/>
        </w:rPr>
        <w:t>日，联通</w:t>
      </w:r>
      <w:r>
        <w:rPr>
          <w:rFonts w:ascii="Arial" w:hAnsi="Arial" w:cs="Arial" w:eastAsia="Arial" w:hint="default"/>
          <w:spacing w:val="-2"/>
        </w:rPr>
        <w:t>BVI</w:t>
      </w:r>
      <w:r>
        <w:rPr>
          <w:spacing w:val="-2"/>
        </w:rPr>
        <w:t>公司以认购联通红筹公司配</w:t>
      </w:r>
      <w:r>
        <w:rPr>
          <w:spacing w:val="-45"/>
        </w:rPr>
        <w:t> </w:t>
      </w:r>
      <w:r>
        <w:rPr>
          <w:spacing w:val="-45"/>
        </w:rPr>
      </w:r>
      <w:r>
        <w:rPr>
          <w:spacing w:val="-3"/>
        </w:rPr>
        <w:t>售的股份后，联通</w:t>
      </w:r>
      <w:r>
        <w:rPr>
          <w:rFonts w:ascii="Arial" w:hAnsi="Arial" w:cs="Arial" w:eastAsia="Arial" w:hint="default"/>
          <w:spacing w:val="-3"/>
        </w:rPr>
        <w:t>BVI</w:t>
      </w:r>
      <w:r>
        <w:rPr>
          <w:spacing w:val="-3"/>
        </w:rPr>
        <w:t>公司和联通集团</w:t>
      </w:r>
      <w:r>
        <w:rPr>
          <w:rFonts w:ascii="Arial" w:hAnsi="Arial" w:cs="Arial" w:eastAsia="Arial" w:hint="default"/>
          <w:spacing w:val="-3"/>
        </w:rPr>
        <w:t>BVI</w:t>
      </w:r>
      <w:r>
        <w:rPr>
          <w:spacing w:val="-3"/>
        </w:rPr>
        <w:t>公司合计持有联通红筹公司的表决权比例上升至</w:t>
      </w:r>
      <w:r>
        <w:rPr>
          <w:rFonts w:ascii="Arial" w:hAnsi="Arial" w:cs="Arial" w:eastAsia="Arial" w:hint="default"/>
          <w:spacing w:val="-3"/>
        </w:rPr>
        <w:t>79.93%</w:t>
      </w:r>
      <w:r>
        <w:rPr>
          <w:rFonts w:ascii="Arial" w:hAnsi="Arial" w:cs="Arial" w:eastAsia="Arial" w:hint="default"/>
        </w:rPr>
      </w:r>
    </w:p>
    <w:p>
      <w:pPr>
        <w:pStyle w:val="BodyText"/>
        <w:spacing w:line="225" w:lineRule="auto"/>
        <w:ind w:left="564" w:right="214"/>
        <w:jc w:val="both"/>
      </w:pPr>
      <w:r>
        <w:rPr>
          <w:spacing w:val="-1"/>
        </w:rPr>
        <w:t>（其中联通</w:t>
      </w:r>
      <w:r>
        <w:rPr>
          <w:rFonts w:ascii="Arial" w:hAnsi="Arial" w:cs="Arial" w:eastAsia="Arial" w:hint="default"/>
          <w:spacing w:val="-1"/>
        </w:rPr>
        <w:t>BVI</w:t>
      </w:r>
      <w:r>
        <w:rPr>
          <w:spacing w:val="-1"/>
        </w:rPr>
        <w:t>公司的持股比例为</w:t>
      </w:r>
      <w:r>
        <w:rPr>
          <w:rFonts w:ascii="Arial" w:hAnsi="Arial" w:cs="Arial" w:eastAsia="Arial" w:hint="default"/>
          <w:spacing w:val="-1"/>
        </w:rPr>
        <w:t>53.52%</w:t>
      </w:r>
      <w:r>
        <w:rPr>
          <w:spacing w:val="-1"/>
        </w:rPr>
        <w:t>，联通集团</w:t>
      </w:r>
      <w:r>
        <w:rPr>
          <w:rFonts w:ascii="Arial" w:hAnsi="Arial" w:cs="Arial" w:eastAsia="Arial" w:hint="default"/>
          <w:spacing w:val="-1"/>
        </w:rPr>
        <w:t>BVI</w:t>
      </w:r>
      <w:r>
        <w:rPr>
          <w:spacing w:val="-1"/>
        </w:rPr>
        <w:t>公司的持股比例为</w:t>
      </w:r>
      <w:r>
        <w:rPr>
          <w:rFonts w:ascii="Arial" w:hAnsi="Arial" w:cs="Arial" w:eastAsia="Arial" w:hint="default"/>
          <w:spacing w:val="-1"/>
        </w:rPr>
        <w:t>26.41%</w:t>
      </w:r>
      <w:r>
        <w:rPr>
          <w:spacing w:val="-1"/>
        </w:rPr>
        <w:t>）。至</w:t>
      </w:r>
      <w:r>
        <w:rPr>
          <w:rFonts w:ascii="Arial" w:hAnsi="Arial" w:cs="Arial" w:eastAsia="Arial" w:hint="default"/>
          <w:spacing w:val="-1"/>
        </w:rPr>
        <w:t>2019</w:t>
      </w:r>
      <w:r>
        <w:rPr>
          <w:spacing w:val="-1"/>
        </w:rPr>
        <w:t>年</w:t>
      </w:r>
      <w:r>
        <w:rPr>
          <w:spacing w:val="-48"/>
        </w:rPr>
        <w:t> </w:t>
      </w:r>
      <w:r>
        <w:rPr>
          <w:rFonts w:ascii="Arial" w:hAnsi="Arial" w:cs="Arial" w:eastAsia="Arial" w:hint="default"/>
          <w:spacing w:val="-4"/>
        </w:rPr>
        <w:t>12</w:t>
      </w:r>
      <w:r>
        <w:rPr>
          <w:spacing w:val="-4"/>
        </w:rPr>
        <w:t>月</w:t>
      </w:r>
      <w:r>
        <w:rPr>
          <w:rFonts w:ascii="Arial" w:hAnsi="Arial" w:cs="Arial" w:eastAsia="Arial" w:hint="default"/>
          <w:spacing w:val="-4"/>
        </w:rPr>
        <w:t>31</w:t>
      </w:r>
      <w:r>
        <w:rPr>
          <w:spacing w:val="-4"/>
        </w:rPr>
        <w:t>日，对联通红筹公司的表决权比例保持不变。因此联通</w:t>
      </w:r>
      <w:r>
        <w:rPr>
          <w:rFonts w:ascii="Arial" w:hAnsi="Arial" w:cs="Arial" w:eastAsia="Arial" w:hint="default"/>
          <w:spacing w:val="-4"/>
        </w:rPr>
        <w:t>BVI</w:t>
      </w:r>
      <w:r>
        <w:rPr>
          <w:spacing w:val="-4"/>
        </w:rPr>
        <w:t>公司仍控制联通红筹公司，联通</w:t>
      </w:r>
      <w:r>
        <w:rPr>
          <w:spacing w:val="-48"/>
        </w:rPr>
        <w:t> </w:t>
      </w:r>
      <w:r>
        <w:rPr>
          <w:spacing w:val="-48"/>
        </w:rPr>
      </w:r>
      <w:r>
        <w:rPr/>
        <w:t>红筹公司亦继续被纳入本公司的合并财务报表范围。</w:t>
      </w:r>
    </w:p>
    <w:p>
      <w:pPr>
        <w:spacing w:after="0" w:line="225" w:lineRule="auto"/>
        <w:jc w:val="both"/>
        <w:sectPr>
          <w:headerReference w:type="default" r:id="rId106"/>
          <w:pgSz w:w="11910" w:h="16840"/>
          <w:pgMar w:header="842" w:footer="502" w:top="2160" w:bottom="700" w:left="1000" w:right="820"/>
        </w:sectPr>
      </w:pPr>
    </w:p>
    <w:p>
      <w:pPr>
        <w:spacing w:line="240" w:lineRule="auto" w:before="2"/>
        <w:rPr>
          <w:rFonts w:ascii="宋体" w:hAnsi="宋体" w:cs="宋体" w:eastAsia="宋体" w:hint="default"/>
          <w:sz w:val="19"/>
          <w:szCs w:val="19"/>
        </w:rPr>
      </w:pPr>
    </w:p>
    <w:p>
      <w:pPr>
        <w:pStyle w:val="BodyText"/>
        <w:tabs>
          <w:tab w:pos="550" w:val="left" w:leader="none"/>
        </w:tabs>
        <w:spacing w:line="240" w:lineRule="auto" w:before="32"/>
        <w:ind w:left="118" w:right="2012"/>
        <w:jc w:val="left"/>
        <w:rPr>
          <w:rFonts w:ascii="黑体" w:hAnsi="黑体" w:cs="黑体" w:eastAsia="黑体" w:hint="default"/>
        </w:rPr>
      </w:pPr>
      <w:r>
        <w:rPr>
          <w:rFonts w:ascii="黑体" w:hAnsi="黑体" w:cs="黑体" w:eastAsia="黑体" w:hint="default"/>
        </w:rPr>
        <w:t>二</w:t>
        <w:tab/>
        <w:t>财务报表的编制基础（续）</w:t>
      </w:r>
    </w:p>
    <w:p>
      <w:pPr>
        <w:spacing w:line="240" w:lineRule="auto" w:before="10"/>
        <w:rPr>
          <w:rFonts w:ascii="黑体" w:hAnsi="黑体" w:cs="黑体" w:eastAsia="黑体" w:hint="default"/>
          <w:sz w:val="15"/>
          <w:szCs w:val="15"/>
        </w:rPr>
      </w:pPr>
    </w:p>
    <w:p>
      <w:pPr>
        <w:pStyle w:val="BodyText"/>
        <w:spacing w:line="240" w:lineRule="auto"/>
        <w:ind w:left="132" w:right="2012"/>
        <w:jc w:val="left"/>
      </w:pPr>
      <w:r>
        <w:rPr>
          <w:rFonts w:ascii="Arial" w:hAnsi="Arial" w:cs="Arial" w:eastAsia="Arial" w:hint="default"/>
        </w:rPr>
        <w:t>2</w:t>
      </w:r>
      <w:r>
        <w:rPr/>
        <w:t>、</w:t>
      </w:r>
      <w:r>
        <w:rPr>
          <w:spacing w:val="-32"/>
        </w:rPr>
        <w:t> </w:t>
      </w:r>
      <w:r>
        <w:rPr/>
        <w:t>持续经营</w:t>
      </w:r>
    </w:p>
    <w:p>
      <w:pPr>
        <w:spacing w:line="240" w:lineRule="auto" w:before="12"/>
        <w:rPr>
          <w:rFonts w:ascii="宋体" w:hAnsi="宋体" w:cs="宋体" w:eastAsia="宋体" w:hint="default"/>
          <w:sz w:val="17"/>
          <w:szCs w:val="17"/>
        </w:rPr>
      </w:pPr>
    </w:p>
    <w:p>
      <w:pPr>
        <w:pStyle w:val="BodyText"/>
        <w:spacing w:line="225" w:lineRule="auto"/>
        <w:ind w:left="555" w:right="105"/>
        <w:jc w:val="both"/>
      </w:pPr>
      <w:r>
        <w:rPr>
          <w:spacing w:val="-1"/>
        </w:rPr>
        <w:t>于</w:t>
      </w:r>
      <w:r>
        <w:rPr>
          <w:rFonts w:ascii="Arial" w:hAnsi="Arial" w:cs="Arial" w:eastAsia="Arial" w:hint="default"/>
          <w:spacing w:val="-1"/>
        </w:rPr>
        <w:t>2019</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日，本集团的流动负债超出流动资产约人民币</w:t>
      </w:r>
      <w:r>
        <w:rPr>
          <w:rFonts w:ascii="Arial" w:hAnsi="Arial" w:cs="Arial" w:eastAsia="Arial" w:hint="default"/>
          <w:spacing w:val="-1"/>
        </w:rPr>
        <w:t>1,232</w:t>
      </w:r>
      <w:r>
        <w:rPr>
          <w:spacing w:val="-1"/>
        </w:rPr>
        <w:t>亿元（</w:t>
      </w:r>
      <w:r>
        <w:rPr>
          <w:rFonts w:ascii="Arial" w:hAnsi="Arial" w:cs="Arial" w:eastAsia="Arial" w:hint="default"/>
          <w:spacing w:val="-1"/>
        </w:rPr>
        <w:t>2018</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日：约</w:t>
      </w:r>
      <w:r>
        <w:rPr>
          <w:spacing w:val="-69"/>
        </w:rPr>
        <w:t> </w:t>
      </w:r>
      <w:r>
        <w:rPr>
          <w:spacing w:val="-69"/>
        </w:rPr>
      </w:r>
      <w:r>
        <w:rPr>
          <w:spacing w:val="-2"/>
        </w:rPr>
        <w:t>人民币</w:t>
      </w:r>
      <w:r>
        <w:rPr>
          <w:rFonts w:ascii="Arial" w:hAnsi="Arial" w:cs="Arial" w:eastAsia="Arial" w:hint="default"/>
          <w:spacing w:val="-2"/>
        </w:rPr>
        <w:t>1,379</w:t>
      </w:r>
      <w:r>
        <w:rPr>
          <w:spacing w:val="-2"/>
        </w:rPr>
        <w:t>亿元）。考虑到当前经济环境，以及本集团在可预见的将来预计的资本支出，管理层</w:t>
      </w:r>
      <w:r>
        <w:rPr>
          <w:spacing w:val="-48"/>
        </w:rPr>
        <w:t> </w:t>
      </w:r>
      <w:r>
        <w:rPr>
          <w:spacing w:val="-48"/>
        </w:rPr>
      </w:r>
      <w:r>
        <w:rPr/>
        <w:t>综合考虑了本集团如下可获得的资金来源：</w:t>
      </w:r>
    </w:p>
    <w:p>
      <w:pPr>
        <w:spacing w:line="240" w:lineRule="auto" w:before="3"/>
        <w:rPr>
          <w:rFonts w:ascii="宋体" w:hAnsi="宋体" w:cs="宋体" w:eastAsia="宋体" w:hint="default"/>
          <w:sz w:val="19"/>
          <w:szCs w:val="19"/>
        </w:rPr>
      </w:pPr>
    </w:p>
    <w:p>
      <w:pPr>
        <w:pStyle w:val="BodyText"/>
        <w:spacing w:line="294" w:lineRule="exact"/>
        <w:ind w:left="579" w:right="0"/>
        <w:jc w:val="both"/>
      </w:pPr>
      <w:r>
        <w:rPr>
          <w:rFonts w:ascii="Symbol" w:hAnsi="Symbol" w:cs="Symbol" w:eastAsia="Symbol" w:hint="default"/>
        </w:rPr>
        <w:t></w:t>
      </w:r>
      <w:r>
        <w:rPr>
          <w:rFonts w:ascii="Symbol" w:hAnsi="Symbol" w:cs="Symbol" w:eastAsia="Symbol" w:hint="default"/>
          <w:spacing w:val="18"/>
        </w:rPr>
        <w:t></w:t>
      </w:r>
      <w:r>
        <w:rPr>
          <w:rFonts w:ascii="Times New Roman" w:hAnsi="Times New Roman" w:cs="Times New Roman" w:eastAsia="Times New Roman" w:hint="default"/>
          <w:spacing w:val="18"/>
        </w:rPr>
      </w:r>
      <w:r>
        <w:rPr/>
        <w:t>本集团从经营活动中持续取得的净现金流入；</w:t>
      </w:r>
    </w:p>
    <w:p>
      <w:pPr>
        <w:pStyle w:val="BodyText"/>
        <w:spacing w:line="286" w:lineRule="exact"/>
        <w:ind w:left="579" w:right="0"/>
        <w:jc w:val="both"/>
      </w:pPr>
      <w:r>
        <w:rPr>
          <w:rFonts w:ascii="Symbol" w:hAnsi="Symbol" w:cs="Symbol" w:eastAsia="Symbol" w:hint="default"/>
        </w:rPr>
        <w:t></w:t>
      </w:r>
      <w:r>
        <w:rPr>
          <w:rFonts w:ascii="Symbol" w:hAnsi="Symbol" w:cs="Symbol" w:eastAsia="Symbol" w:hint="default"/>
          <w:spacing w:val="8"/>
        </w:rPr>
        <w:t></w:t>
      </w:r>
      <w:r>
        <w:rPr>
          <w:rFonts w:ascii="Times New Roman" w:hAnsi="Times New Roman" w:cs="Times New Roman" w:eastAsia="Times New Roman" w:hint="default"/>
          <w:spacing w:val="8"/>
        </w:rPr>
      </w:r>
      <w:r>
        <w:rPr/>
        <w:t>循环银行信贷额度、超短期融资券、中期票据和公司债券核准额度约为人民币</w:t>
      </w:r>
      <w:r>
        <w:rPr>
          <w:rFonts w:ascii="Arial" w:hAnsi="Arial" w:cs="Arial" w:eastAsia="Arial" w:hint="default"/>
        </w:rPr>
        <w:t>3,967</w:t>
      </w:r>
      <w:r>
        <w:rPr/>
        <w:t>亿元。于</w:t>
      </w:r>
    </w:p>
    <w:p>
      <w:pPr>
        <w:pStyle w:val="BodyText"/>
        <w:spacing w:line="285" w:lineRule="exact"/>
        <w:ind w:left="972" w:right="2012"/>
        <w:jc w:val="left"/>
      </w:pPr>
      <w:r>
        <w:rPr>
          <w:rFonts w:ascii="Arial" w:hAnsi="Arial" w:cs="Arial" w:eastAsia="Arial" w:hint="default"/>
        </w:rPr>
        <w:t>2019</w:t>
      </w:r>
      <w:r>
        <w:rPr/>
        <w:t>年</w:t>
      </w:r>
      <w:r>
        <w:rPr>
          <w:rFonts w:ascii="Arial" w:hAnsi="Arial" w:cs="Arial" w:eastAsia="Arial" w:hint="default"/>
        </w:rPr>
        <w:t>12</w:t>
      </w:r>
      <w:r>
        <w:rPr/>
        <w:t>月</w:t>
      </w:r>
      <w:r>
        <w:rPr>
          <w:rFonts w:ascii="Arial" w:hAnsi="Arial" w:cs="Arial" w:eastAsia="Arial" w:hint="default"/>
        </w:rPr>
        <w:t>31</w:t>
      </w:r>
      <w:r>
        <w:rPr/>
        <w:t>日，尚未使用的额度约为人民币</w:t>
      </w:r>
      <w:r>
        <w:rPr>
          <w:rFonts w:ascii="Arial" w:hAnsi="Arial" w:cs="Arial" w:eastAsia="Arial" w:hint="default"/>
        </w:rPr>
        <w:t>3,789</w:t>
      </w:r>
      <w:r>
        <w:rPr/>
        <w:t>亿元；及</w:t>
      </w:r>
    </w:p>
    <w:p>
      <w:pPr>
        <w:pStyle w:val="BodyText"/>
        <w:spacing w:line="295" w:lineRule="exact"/>
        <w:ind w:left="579" w:right="0"/>
        <w:jc w:val="both"/>
      </w:pPr>
      <w:r>
        <w:rPr>
          <w:rFonts w:ascii="Symbol" w:hAnsi="Symbol" w:cs="Symbol" w:eastAsia="Symbol" w:hint="default"/>
        </w:rPr>
        <w:t></w:t>
      </w:r>
      <w:r>
        <w:rPr>
          <w:rFonts w:ascii="Symbol" w:hAnsi="Symbol" w:cs="Symbol" w:eastAsia="Symbol" w:hint="default"/>
          <w:spacing w:val="14"/>
        </w:rPr>
        <w:t></w:t>
      </w:r>
      <w:r>
        <w:rPr>
          <w:rFonts w:ascii="Times New Roman" w:hAnsi="Times New Roman" w:cs="Times New Roman" w:eastAsia="Times New Roman" w:hint="default"/>
          <w:spacing w:val="14"/>
        </w:rPr>
      </w:r>
      <w:r>
        <w:rPr/>
        <w:t>考虑到本集团的信贷记录，从国内银行和其他金融机构获得的其他融资渠道。</w:t>
      </w:r>
    </w:p>
    <w:p>
      <w:pPr>
        <w:spacing w:line="240" w:lineRule="auto" w:before="10"/>
        <w:rPr>
          <w:rFonts w:ascii="宋体" w:hAnsi="宋体" w:cs="宋体" w:eastAsia="宋体" w:hint="default"/>
          <w:sz w:val="17"/>
          <w:szCs w:val="17"/>
        </w:rPr>
      </w:pPr>
    </w:p>
    <w:p>
      <w:pPr>
        <w:pStyle w:val="BodyText"/>
        <w:spacing w:line="240" w:lineRule="auto"/>
        <w:ind w:left="579" w:right="106"/>
        <w:jc w:val="both"/>
      </w:pPr>
      <w:r>
        <w:rPr>
          <w:spacing w:val="-5"/>
        </w:rPr>
        <w:t>此外，本集团相信能够通过短、中、长期方式筹集资金，并通过适当安排融资组合以保持合理的融</w:t>
      </w:r>
      <w:r>
        <w:rPr>
          <w:spacing w:val="-62"/>
        </w:rPr>
        <w:t> </w:t>
      </w:r>
      <w:r>
        <w:rPr>
          <w:spacing w:val="-62"/>
        </w:rPr>
      </w:r>
      <w:r>
        <w:rPr/>
        <w:t>资成本。</w:t>
      </w:r>
    </w:p>
    <w:p>
      <w:pPr>
        <w:spacing w:line="240" w:lineRule="auto" w:before="1"/>
        <w:rPr>
          <w:rFonts w:ascii="宋体" w:hAnsi="宋体" w:cs="宋体" w:eastAsia="宋体" w:hint="default"/>
          <w:sz w:val="19"/>
          <w:szCs w:val="19"/>
        </w:rPr>
      </w:pPr>
    </w:p>
    <w:p>
      <w:pPr>
        <w:pStyle w:val="BodyText"/>
        <w:spacing w:line="240" w:lineRule="auto"/>
        <w:ind w:left="579" w:right="106"/>
        <w:jc w:val="both"/>
      </w:pPr>
      <w:r>
        <w:rPr>
          <w:spacing w:val="-5"/>
        </w:rPr>
        <w:t>基于以上考虑，董事会认为本集团有足够的资金以满足营运资金、资本开支和偿债所需。因此，本</w:t>
      </w:r>
      <w:r>
        <w:rPr>
          <w:spacing w:val="-57"/>
        </w:rPr>
        <w:t> </w:t>
      </w:r>
      <w:r>
        <w:rPr>
          <w:spacing w:val="-57"/>
        </w:rPr>
      </w:r>
      <w:r>
        <w:rPr/>
        <w:t>集团</w:t>
      </w:r>
      <w:r>
        <w:rPr>
          <w:rFonts w:ascii="Arial" w:hAnsi="Arial" w:cs="Arial" w:eastAsia="Arial" w:hint="default"/>
        </w:rPr>
        <w:t>2019</w:t>
      </w:r>
      <w:r>
        <w:rPr/>
        <w:t>年度财务报表仍按持续经营基础编制。</w:t>
      </w:r>
    </w:p>
    <w:p>
      <w:pPr>
        <w:spacing w:after="0" w:line="240" w:lineRule="auto"/>
        <w:jc w:val="both"/>
        <w:sectPr>
          <w:headerReference w:type="default" r:id="rId107"/>
          <w:pgSz w:w="11910" w:h="16840"/>
          <w:pgMar w:header="842" w:footer="502" w:top="2160" w:bottom="700" w:left="1000" w:right="920"/>
        </w:sectPr>
      </w:pPr>
    </w:p>
    <w:p>
      <w:pPr>
        <w:spacing w:line="240" w:lineRule="auto" w:before="2"/>
        <w:rPr>
          <w:rFonts w:ascii="宋体" w:hAnsi="宋体" w:cs="宋体" w:eastAsia="宋体" w:hint="default"/>
          <w:sz w:val="19"/>
          <w:szCs w:val="19"/>
        </w:rPr>
      </w:pPr>
    </w:p>
    <w:p>
      <w:pPr>
        <w:pStyle w:val="BodyText"/>
        <w:tabs>
          <w:tab w:pos="550" w:val="left" w:leader="none"/>
        </w:tabs>
        <w:spacing w:line="240" w:lineRule="auto" w:before="32"/>
        <w:ind w:left="118" w:right="2012"/>
        <w:jc w:val="left"/>
        <w:rPr>
          <w:rFonts w:ascii="黑体" w:hAnsi="黑体" w:cs="黑体" w:eastAsia="黑体" w:hint="default"/>
        </w:rPr>
      </w:pPr>
      <w:r>
        <w:rPr>
          <w:rFonts w:ascii="黑体" w:hAnsi="黑体" w:cs="黑体" w:eastAsia="黑体" w:hint="default"/>
        </w:rPr>
        <w:t>三</w:t>
        <w:tab/>
        <w:t>重要会计政策和会计估计</w:t>
      </w:r>
    </w:p>
    <w:p>
      <w:pPr>
        <w:spacing w:line="240" w:lineRule="auto" w:before="1"/>
        <w:rPr>
          <w:rFonts w:ascii="黑体" w:hAnsi="黑体" w:cs="黑体" w:eastAsia="黑体" w:hint="default"/>
          <w:sz w:val="19"/>
          <w:szCs w:val="19"/>
        </w:rPr>
      </w:pPr>
    </w:p>
    <w:p>
      <w:pPr>
        <w:pStyle w:val="BodyText"/>
        <w:spacing w:line="240" w:lineRule="auto"/>
        <w:ind w:left="132" w:right="2012"/>
        <w:jc w:val="left"/>
      </w:pPr>
      <w:r>
        <w:rPr>
          <w:rFonts w:ascii="Arial" w:hAnsi="Arial" w:cs="Arial" w:eastAsia="Arial" w:hint="default"/>
        </w:rPr>
        <w:t>1</w:t>
      </w:r>
      <w:r>
        <w:rPr/>
        <w:t>、</w:t>
      </w:r>
      <w:r>
        <w:rPr>
          <w:spacing w:val="-31"/>
        </w:rPr>
        <w:t> </w:t>
      </w:r>
      <w:r>
        <w:rPr/>
        <w:t>遵循企业会计准则的声明</w:t>
      </w:r>
    </w:p>
    <w:p>
      <w:pPr>
        <w:spacing w:line="240" w:lineRule="auto" w:before="6"/>
        <w:rPr>
          <w:rFonts w:ascii="宋体" w:hAnsi="宋体" w:cs="宋体" w:eastAsia="宋体" w:hint="default"/>
          <w:sz w:val="18"/>
          <w:szCs w:val="18"/>
        </w:rPr>
      </w:pPr>
    </w:p>
    <w:p>
      <w:pPr>
        <w:pStyle w:val="BodyText"/>
        <w:spacing w:line="232" w:lineRule="auto"/>
        <w:ind w:left="554" w:right="105"/>
        <w:jc w:val="both"/>
      </w:pPr>
      <w:r>
        <w:rPr/>
        <w:t>本财务报表符合中华人民共和国财政部（以下简称“财政部”）颁布的企业会计准则的要求，真</w:t>
      </w:r>
      <w:r>
        <w:rPr>
          <w:spacing w:val="-45"/>
        </w:rPr>
        <w:t> </w:t>
      </w:r>
      <w:r>
        <w:rPr>
          <w:spacing w:val="-45"/>
        </w:rPr>
      </w:r>
      <w:r>
        <w:rPr>
          <w:spacing w:val="-3"/>
        </w:rPr>
        <w:t>实、完整地反映了本公司</w:t>
      </w:r>
      <w:r>
        <w:rPr>
          <w:rFonts w:ascii="Arial" w:hAnsi="Arial" w:cs="Arial" w:eastAsia="Arial" w:hint="default"/>
          <w:spacing w:val="-3"/>
        </w:rPr>
        <w:t>2019</w:t>
      </w:r>
      <w:r>
        <w:rPr>
          <w:spacing w:val="-3"/>
        </w:rPr>
        <w:t>年</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日的合并财务状况和财务状况、</w:t>
      </w:r>
      <w:r>
        <w:rPr>
          <w:rFonts w:ascii="Arial" w:hAnsi="Arial" w:cs="Arial" w:eastAsia="Arial" w:hint="default"/>
          <w:spacing w:val="-3"/>
        </w:rPr>
        <w:t>2019</w:t>
      </w:r>
      <w:r>
        <w:rPr>
          <w:spacing w:val="-3"/>
        </w:rPr>
        <w:t>年度的合并经营成果</w:t>
      </w:r>
      <w:r>
        <w:rPr>
          <w:spacing w:val="-32"/>
        </w:rPr>
        <w:t> </w:t>
      </w:r>
      <w:r>
        <w:rPr>
          <w:spacing w:val="-32"/>
        </w:rPr>
      </w:r>
      <w:r>
        <w:rPr/>
        <w:t>和经营成果及合并现金流量和现金流量。</w:t>
      </w:r>
    </w:p>
    <w:p>
      <w:pPr>
        <w:spacing w:line="240" w:lineRule="auto" w:before="4"/>
        <w:rPr>
          <w:rFonts w:ascii="宋体" w:hAnsi="宋体" w:cs="宋体" w:eastAsia="宋体" w:hint="default"/>
          <w:sz w:val="20"/>
          <w:szCs w:val="20"/>
        </w:rPr>
      </w:pPr>
    </w:p>
    <w:p>
      <w:pPr>
        <w:pStyle w:val="BodyText"/>
        <w:spacing w:line="225" w:lineRule="auto"/>
        <w:ind w:left="554" w:right="105"/>
        <w:jc w:val="both"/>
      </w:pPr>
      <w:r>
        <w:rPr/>
        <w:t>此外，本公司的财务报表同时符合中国证券监督管理委员会（以下简称“证监会”）</w:t>
      </w:r>
      <w:r>
        <w:rPr>
          <w:rFonts w:ascii="Arial" w:hAnsi="Arial" w:cs="Arial" w:eastAsia="Arial" w:hint="default"/>
        </w:rPr>
        <w:t>2014</w:t>
      </w:r>
      <w:r>
        <w:rPr/>
        <w:t>年修订</w:t>
      </w:r>
      <w:r>
        <w:rPr>
          <w:spacing w:val="-74"/>
        </w:rPr>
        <w:t> </w:t>
      </w:r>
      <w:r>
        <w:rPr/>
        <w:t>的《公开发行证券的公司信息披露编报规则第</w:t>
      </w:r>
      <w:r>
        <w:rPr>
          <w:rFonts w:ascii="Arial" w:hAnsi="Arial" w:cs="Arial" w:eastAsia="Arial" w:hint="default"/>
        </w:rPr>
        <w:t>15</w:t>
      </w:r>
      <w:r>
        <w:rPr/>
        <w:t>号</w:t>
      </w:r>
      <w:r>
        <w:rPr>
          <w:rFonts w:ascii="宋体" w:hAnsi="宋体" w:cs="宋体" w:eastAsia="宋体" w:hint="default"/>
        </w:rPr>
        <w:t>——</w:t>
      </w:r>
      <w:r>
        <w:rPr/>
        <w:t>财务报告的一般规定》有关财务报表及其</w:t>
      </w:r>
      <w:r>
        <w:rPr>
          <w:spacing w:val="-61"/>
        </w:rPr>
        <w:t> </w:t>
      </w:r>
      <w:r>
        <w:rPr>
          <w:spacing w:val="-61"/>
        </w:rPr>
      </w:r>
      <w:r>
        <w:rPr/>
        <w:t>附注的披露要求。</w:t>
      </w:r>
    </w:p>
    <w:p>
      <w:pPr>
        <w:spacing w:line="240" w:lineRule="auto" w:before="3"/>
        <w:rPr>
          <w:rFonts w:ascii="宋体" w:hAnsi="宋体" w:cs="宋体" w:eastAsia="宋体" w:hint="default"/>
          <w:sz w:val="19"/>
          <w:szCs w:val="19"/>
        </w:rPr>
      </w:pPr>
    </w:p>
    <w:p>
      <w:pPr>
        <w:pStyle w:val="BodyText"/>
        <w:spacing w:line="240" w:lineRule="auto"/>
        <w:ind w:left="132" w:right="2012"/>
        <w:jc w:val="left"/>
      </w:pPr>
      <w:r>
        <w:rPr>
          <w:rFonts w:ascii="Arial" w:hAnsi="Arial" w:cs="Arial" w:eastAsia="Arial" w:hint="default"/>
        </w:rPr>
        <w:t>2</w:t>
      </w:r>
      <w:r>
        <w:rPr/>
        <w:t>、</w:t>
      </w:r>
      <w:r>
        <w:rPr>
          <w:spacing w:val="-32"/>
        </w:rPr>
        <w:t> </w:t>
      </w:r>
      <w:r>
        <w:rPr/>
        <w:t>会计期间</w:t>
      </w:r>
    </w:p>
    <w:p>
      <w:pPr>
        <w:spacing w:line="240" w:lineRule="auto" w:before="11"/>
        <w:rPr>
          <w:rFonts w:ascii="宋体" w:hAnsi="宋体" w:cs="宋体" w:eastAsia="宋体" w:hint="default"/>
          <w:sz w:val="17"/>
          <w:szCs w:val="17"/>
        </w:rPr>
      </w:pPr>
    </w:p>
    <w:p>
      <w:pPr>
        <w:pStyle w:val="BodyText"/>
        <w:spacing w:line="240" w:lineRule="auto"/>
        <w:ind w:left="554" w:right="0"/>
        <w:jc w:val="both"/>
      </w:pPr>
      <w:r>
        <w:rPr/>
        <w:t>会计年度自公历</w:t>
      </w:r>
      <w:r>
        <w:rPr>
          <w:rFonts w:ascii="Arial" w:hAnsi="Arial" w:cs="Arial" w:eastAsia="Arial" w:hint="default"/>
        </w:rPr>
        <w:t>1</w:t>
      </w:r>
      <w:r>
        <w:rPr/>
        <w:t>月</w:t>
      </w:r>
      <w:r>
        <w:rPr>
          <w:rFonts w:ascii="Arial" w:hAnsi="Arial" w:cs="Arial" w:eastAsia="Arial" w:hint="default"/>
        </w:rPr>
        <w:t>1</w:t>
      </w:r>
      <w:r>
        <w:rPr/>
        <w:t>日起至</w:t>
      </w:r>
      <w:r>
        <w:rPr>
          <w:rFonts w:ascii="Arial" w:hAnsi="Arial" w:cs="Arial" w:eastAsia="Arial" w:hint="default"/>
        </w:rPr>
        <w:t>12</w:t>
      </w:r>
      <w:r>
        <w:rPr/>
        <w:t>月</w:t>
      </w:r>
      <w:r>
        <w:rPr>
          <w:rFonts w:ascii="Arial" w:hAnsi="Arial" w:cs="Arial" w:eastAsia="Arial" w:hint="default"/>
        </w:rPr>
        <w:t>31</w:t>
      </w:r>
      <w:r>
        <w:rPr/>
        <w:t>日止。</w:t>
      </w:r>
    </w:p>
    <w:p>
      <w:pPr>
        <w:spacing w:line="240" w:lineRule="auto" w:before="11"/>
        <w:rPr>
          <w:rFonts w:ascii="宋体" w:hAnsi="宋体" w:cs="宋体" w:eastAsia="宋体" w:hint="default"/>
          <w:sz w:val="17"/>
          <w:szCs w:val="17"/>
        </w:rPr>
      </w:pPr>
    </w:p>
    <w:p>
      <w:pPr>
        <w:pStyle w:val="BodyText"/>
        <w:spacing w:line="429" w:lineRule="auto"/>
        <w:ind w:left="554" w:right="2012" w:hanging="423"/>
        <w:jc w:val="left"/>
      </w:pPr>
      <w:r>
        <w:rPr>
          <w:rFonts w:ascii="Arial" w:hAnsi="Arial" w:cs="Arial" w:eastAsia="Arial" w:hint="default"/>
        </w:rPr>
        <w:t>3</w:t>
      </w:r>
      <w:r>
        <w:rPr/>
        <w:t>、</w:t>
      </w:r>
      <w:r>
        <w:rPr>
          <w:spacing w:val="-38"/>
        </w:rPr>
        <w:t> </w:t>
      </w:r>
      <w:r>
        <w:rPr/>
        <w:t>记账本位币</w:t>
      </w:r>
      <w:r>
        <w:rPr>
          <w:spacing w:val="-103"/>
        </w:rPr>
        <w:t> </w:t>
      </w:r>
      <w:r>
        <w:rPr>
          <w:spacing w:val="-103"/>
        </w:rPr>
      </w:r>
      <w:r>
        <w:rPr>
          <w:spacing w:val="-1"/>
        </w:rPr>
        <w:t>本集团除个别境外子公司外，编制财务报表采用的货币为人民币。</w:t>
      </w:r>
    </w:p>
    <w:p>
      <w:pPr>
        <w:spacing w:after="0" w:line="429" w:lineRule="auto"/>
        <w:jc w:val="left"/>
        <w:sectPr>
          <w:headerReference w:type="default" r:id="rId108"/>
          <w:pgSz w:w="11910" w:h="16840"/>
          <w:pgMar w:header="842" w:footer="502" w:top="2160" w:bottom="700" w:left="1000" w:right="920"/>
        </w:sectPr>
      </w:pPr>
    </w:p>
    <w:p>
      <w:pPr>
        <w:spacing w:line="240" w:lineRule="auto" w:before="2"/>
        <w:rPr>
          <w:rFonts w:ascii="宋体" w:hAnsi="宋体" w:cs="宋体" w:eastAsia="宋体" w:hint="default"/>
          <w:sz w:val="19"/>
          <w:szCs w:val="19"/>
        </w:rPr>
      </w:pPr>
    </w:p>
    <w:p>
      <w:pPr>
        <w:pStyle w:val="BodyText"/>
        <w:tabs>
          <w:tab w:pos="670" w:val="left" w:leader="none"/>
        </w:tabs>
        <w:spacing w:line="240" w:lineRule="auto" w:before="32"/>
        <w:ind w:left="238" w:right="104"/>
        <w:jc w:val="left"/>
        <w:rPr>
          <w:rFonts w:ascii="黑体" w:hAnsi="黑体" w:cs="黑体" w:eastAsia="黑体" w:hint="default"/>
        </w:rPr>
      </w:pPr>
      <w:r>
        <w:rPr>
          <w:rFonts w:ascii="黑体" w:hAnsi="黑体" w:cs="黑体" w:eastAsia="黑体" w:hint="default"/>
        </w:rPr>
        <w:t>三</w:t>
        <w:tab/>
        <w:t>重要会计政策和会计估计（续）</w:t>
      </w:r>
    </w:p>
    <w:p>
      <w:pPr>
        <w:spacing w:line="240" w:lineRule="auto" w:before="1"/>
        <w:rPr>
          <w:rFonts w:ascii="黑体" w:hAnsi="黑体" w:cs="黑体" w:eastAsia="黑体" w:hint="default"/>
          <w:sz w:val="19"/>
          <w:szCs w:val="19"/>
        </w:rPr>
      </w:pPr>
    </w:p>
    <w:p>
      <w:pPr>
        <w:pStyle w:val="BodyText"/>
        <w:spacing w:line="240" w:lineRule="auto"/>
        <w:ind w:left="252" w:right="104"/>
        <w:jc w:val="left"/>
      </w:pPr>
      <w:r>
        <w:rPr>
          <w:rFonts w:ascii="Arial" w:hAnsi="Arial" w:cs="Arial" w:eastAsia="Arial" w:hint="default"/>
        </w:rPr>
        <w:t>4</w:t>
      </w:r>
      <w:r>
        <w:rPr/>
        <w:t>、</w:t>
      </w:r>
      <w:r>
        <w:rPr>
          <w:spacing w:val="-32"/>
        </w:rPr>
        <w:t> </w:t>
      </w:r>
      <w:r>
        <w:rPr/>
        <w:t>企业合并</w:t>
      </w:r>
    </w:p>
    <w:p>
      <w:pPr>
        <w:spacing w:line="240" w:lineRule="auto" w:before="11"/>
        <w:rPr>
          <w:rFonts w:ascii="宋体" w:hAnsi="宋体" w:cs="宋体" w:eastAsia="宋体" w:hint="default"/>
          <w:sz w:val="17"/>
          <w:szCs w:val="17"/>
        </w:rPr>
      </w:pPr>
    </w:p>
    <w:p>
      <w:pPr>
        <w:pStyle w:val="BodyText"/>
        <w:spacing w:line="240" w:lineRule="auto"/>
        <w:ind w:left="252" w:right="104"/>
        <w:jc w:val="left"/>
      </w:pPr>
      <w:r>
        <w:rPr>
          <w:rFonts w:ascii="Arial" w:hAnsi="Arial" w:cs="Arial" w:eastAsia="Arial" w:hint="default"/>
        </w:rPr>
        <w:t>(a) </w:t>
      </w:r>
      <w:r>
        <w:rPr>
          <w:rFonts w:ascii="Arial" w:hAnsi="Arial" w:cs="Arial" w:eastAsia="Arial" w:hint="default"/>
          <w:spacing w:val="28"/>
        </w:rPr>
        <w:t> </w:t>
      </w:r>
      <w:r>
        <w:rPr/>
        <w:t>同一控制下的企业合并</w:t>
      </w:r>
    </w:p>
    <w:p>
      <w:pPr>
        <w:spacing w:line="240" w:lineRule="auto" w:before="12"/>
        <w:rPr>
          <w:rFonts w:ascii="宋体" w:hAnsi="宋体" w:cs="宋体" w:eastAsia="宋体" w:hint="default"/>
          <w:sz w:val="17"/>
          <w:szCs w:val="17"/>
        </w:rPr>
      </w:pPr>
    </w:p>
    <w:p>
      <w:pPr>
        <w:pStyle w:val="BodyText"/>
        <w:spacing w:line="240" w:lineRule="auto"/>
        <w:ind w:left="675" w:right="210"/>
        <w:jc w:val="both"/>
      </w:pPr>
      <w:r>
        <w:rPr/>
        <w:t>合并方支付的合并对价及取得的净资产均按最终控制方合并财务报表中的账面价值计量。合并方</w:t>
      </w:r>
      <w:r>
        <w:rPr>
          <w:spacing w:val="-45"/>
        </w:rPr>
        <w:t> </w:t>
      </w:r>
      <w:r>
        <w:rPr>
          <w:spacing w:val="-45"/>
        </w:rPr>
      </w:r>
      <w:r>
        <w:rPr>
          <w:spacing w:val="-5"/>
        </w:rPr>
        <w:t>取得的净资产账面价值与支付的合并对价账面价值的差额，调整资本公积（股本溢价）；资本公积</w:t>
      </w:r>
    </w:p>
    <w:p>
      <w:pPr>
        <w:pStyle w:val="BodyText"/>
        <w:spacing w:line="237" w:lineRule="auto"/>
        <w:ind w:left="675" w:right="211"/>
        <w:jc w:val="both"/>
      </w:pPr>
      <w:r>
        <w:rPr>
          <w:spacing w:val="-5"/>
        </w:rPr>
        <w:t>（股本溢价）不足以冲减的，调整留存收益。为进行企业合并发生的直接相关费用于发生时计入当</w:t>
      </w:r>
      <w:r>
        <w:rPr>
          <w:spacing w:val="-35"/>
        </w:rPr>
        <w:t> </w:t>
      </w:r>
      <w:r>
        <w:rPr>
          <w:spacing w:val="-35"/>
        </w:rPr>
      </w:r>
      <w:r>
        <w:rPr/>
        <w:t>期损益。为企业合并而发行权益性证券或债务性证券的交易费用，计入权益性证券或债务性证券</w:t>
      </w:r>
      <w:r>
        <w:rPr>
          <w:spacing w:val="-45"/>
        </w:rPr>
        <w:t> </w:t>
      </w:r>
      <w:r>
        <w:rPr>
          <w:spacing w:val="-45"/>
        </w:rPr>
      </w:r>
      <w:r>
        <w:rPr/>
        <w:t>的初始确认金额。</w:t>
      </w:r>
    </w:p>
    <w:p>
      <w:pPr>
        <w:spacing w:line="240" w:lineRule="auto" w:before="4"/>
        <w:rPr>
          <w:rFonts w:ascii="宋体" w:hAnsi="宋体" w:cs="宋体" w:eastAsia="宋体" w:hint="default"/>
          <w:sz w:val="20"/>
          <w:szCs w:val="20"/>
        </w:rPr>
      </w:pPr>
    </w:p>
    <w:p>
      <w:pPr>
        <w:pStyle w:val="BodyText"/>
        <w:spacing w:line="225" w:lineRule="auto"/>
        <w:ind w:left="674" w:right="210"/>
        <w:jc w:val="both"/>
      </w:pPr>
      <w:r>
        <w:rPr>
          <w:spacing w:val="-1"/>
        </w:rPr>
        <w:t>本集团执行企业会计准则（</w:t>
      </w:r>
      <w:r>
        <w:rPr>
          <w:rFonts w:ascii="Arial" w:hAnsi="Arial" w:cs="Arial" w:eastAsia="Arial" w:hint="default"/>
          <w:spacing w:val="-1"/>
        </w:rPr>
        <w:t>2007</w:t>
      </w:r>
      <w:r>
        <w:rPr>
          <w:spacing w:val="-1"/>
        </w:rPr>
        <w:t>年</w:t>
      </w:r>
      <w:r>
        <w:rPr>
          <w:rFonts w:ascii="Arial" w:hAnsi="Arial" w:cs="Arial" w:eastAsia="Arial" w:hint="default"/>
          <w:spacing w:val="-1"/>
        </w:rPr>
        <w:t>1</w:t>
      </w:r>
      <w:r>
        <w:rPr>
          <w:spacing w:val="-1"/>
        </w:rPr>
        <w:t>月</w:t>
      </w:r>
      <w:r>
        <w:rPr>
          <w:rFonts w:ascii="Arial" w:hAnsi="Arial" w:cs="Arial" w:eastAsia="Arial" w:hint="default"/>
          <w:spacing w:val="-1"/>
        </w:rPr>
        <w:t>1</w:t>
      </w:r>
      <w:r>
        <w:rPr>
          <w:spacing w:val="-1"/>
        </w:rPr>
        <w:t>日，“首次执行日”）前的同一控制下的企业收购，所支</w:t>
      </w:r>
      <w:r>
        <w:rPr>
          <w:spacing w:val="-60"/>
        </w:rPr>
        <w:t> </w:t>
      </w:r>
      <w:r>
        <w:rPr>
          <w:spacing w:val="-60"/>
        </w:rPr>
      </w:r>
      <w:r>
        <w:rPr/>
        <w:t>付的合并对价与所收购的改制企业经评估的净资产的账面价值的差额根据《企业会计准则</w:t>
      </w:r>
      <w:r>
        <w:rPr>
          <w:rFonts w:ascii="Arial" w:hAnsi="Arial" w:cs="Arial" w:eastAsia="Arial" w:hint="default"/>
        </w:rPr>
        <w:t>38</w:t>
      </w:r>
      <w:r>
        <w:rPr/>
        <w:t>号－</w:t>
      </w:r>
      <w:r>
        <w:rPr>
          <w:spacing w:val="-61"/>
        </w:rPr>
        <w:t> </w:t>
      </w:r>
      <w:r>
        <w:rPr/>
        <w:t>首次执行企业会计准则》的要求已经于首次执行日追溯调整了本集团的留存收益。</w:t>
      </w:r>
    </w:p>
    <w:p>
      <w:pPr>
        <w:spacing w:line="240" w:lineRule="auto" w:before="3"/>
        <w:rPr>
          <w:rFonts w:ascii="宋体" w:hAnsi="宋体" w:cs="宋体" w:eastAsia="宋体" w:hint="default"/>
          <w:sz w:val="19"/>
          <w:szCs w:val="19"/>
        </w:rPr>
      </w:pPr>
    </w:p>
    <w:p>
      <w:pPr>
        <w:pStyle w:val="BodyText"/>
        <w:spacing w:line="240" w:lineRule="auto"/>
        <w:ind w:left="252" w:right="104"/>
        <w:jc w:val="left"/>
      </w:pPr>
      <w:r>
        <w:rPr>
          <w:rFonts w:ascii="Arial" w:hAnsi="Arial" w:cs="Arial" w:eastAsia="Arial" w:hint="default"/>
        </w:rPr>
        <w:t>(b) </w:t>
      </w:r>
      <w:r>
        <w:rPr>
          <w:rFonts w:ascii="Arial" w:hAnsi="Arial" w:cs="Arial" w:eastAsia="Arial" w:hint="default"/>
          <w:spacing w:val="29"/>
        </w:rPr>
        <w:t> </w:t>
      </w:r>
      <w:r>
        <w:rPr/>
        <w:t>非同一控制下的企业合并</w:t>
      </w:r>
    </w:p>
    <w:p>
      <w:pPr>
        <w:spacing w:line="240" w:lineRule="auto" w:before="1"/>
        <w:rPr>
          <w:rFonts w:ascii="宋体" w:hAnsi="宋体" w:cs="宋体" w:eastAsia="宋体" w:hint="default"/>
          <w:sz w:val="18"/>
          <w:szCs w:val="18"/>
        </w:rPr>
      </w:pPr>
    </w:p>
    <w:p>
      <w:pPr>
        <w:pStyle w:val="BodyText"/>
        <w:spacing w:line="237" w:lineRule="auto"/>
        <w:ind w:left="665" w:right="104" w:firstLine="33"/>
        <w:jc w:val="left"/>
      </w:pPr>
      <w:r>
        <w:rPr/>
        <w:t>购买方发生的合并成本及在合并中取得的可辨认净资产按购买日的公允价值计量。合并成本大于</w:t>
      </w:r>
      <w:r>
        <w:rPr>
          <w:spacing w:val="-102"/>
        </w:rPr>
        <w:t> </w:t>
      </w:r>
      <w:r>
        <w:rPr>
          <w:spacing w:val="-102"/>
        </w:rPr>
      </w:r>
      <w:r>
        <w:rPr/>
        <w:t>合并中取得的被购买方于购买日可辨认净资产公允价值份额的差额，确认为商誉；合并成本小于</w:t>
      </w:r>
      <w:r>
        <w:rPr>
          <w:spacing w:val="-41"/>
        </w:rPr>
        <w:t> </w:t>
      </w:r>
      <w:r>
        <w:rPr>
          <w:spacing w:val="-41"/>
        </w:rPr>
      </w:r>
      <w:r>
        <w:rPr/>
        <w:t>合并中取得的被购买方可辨认净资产公允价值份额的差额，计入当期损益。为进行企业合并发生</w:t>
      </w:r>
      <w:r>
        <w:rPr>
          <w:spacing w:val="-42"/>
        </w:rPr>
        <w:t> </w:t>
      </w:r>
      <w:r>
        <w:rPr>
          <w:spacing w:val="-42"/>
        </w:rPr>
      </w:r>
      <w:r>
        <w:rPr>
          <w:spacing w:val="-2"/>
        </w:rPr>
        <w:t>的直接相关费用于发生时计入当期损益。为企业合并而发行权益性证券或债务性证券的交易费用，</w:t>
      </w:r>
      <w:r>
        <w:rPr>
          <w:spacing w:val="-49"/>
        </w:rPr>
        <w:t> </w:t>
      </w:r>
      <w:r>
        <w:rPr>
          <w:spacing w:val="-49"/>
        </w:rPr>
      </w:r>
      <w:r>
        <w:rPr/>
        <w:t>计入权益性证券或债务性证券的初始确认金额。</w:t>
      </w:r>
    </w:p>
    <w:p>
      <w:pPr>
        <w:spacing w:line="240" w:lineRule="auto" w:before="6"/>
        <w:rPr>
          <w:rFonts w:ascii="宋体" w:hAnsi="宋体" w:cs="宋体" w:eastAsia="宋体" w:hint="default"/>
          <w:sz w:val="19"/>
          <w:szCs w:val="19"/>
        </w:rPr>
      </w:pPr>
    </w:p>
    <w:p>
      <w:pPr>
        <w:pStyle w:val="BodyText"/>
        <w:spacing w:line="235" w:lineRule="auto"/>
        <w:ind w:left="665" w:right="214"/>
        <w:jc w:val="both"/>
      </w:pPr>
      <w:r>
        <w:rPr/>
        <w:t>通过多次交易分步实现非同一控制企业合并时，对于购买日之前持有的被购买方的股权，本集团</w:t>
      </w:r>
      <w:r>
        <w:rPr>
          <w:spacing w:val="-41"/>
        </w:rPr>
        <w:t> </w:t>
      </w:r>
      <w:r>
        <w:rPr>
          <w:spacing w:val="-41"/>
        </w:rPr>
      </w:r>
      <w:r>
        <w:rPr/>
        <w:t>会按照该股权在购买日的公允价值进行重新计量，公允价值与其账面价值的差额计入当期投资收</w:t>
      </w:r>
      <w:r>
        <w:rPr>
          <w:spacing w:val="-41"/>
        </w:rPr>
        <w:t> </w:t>
      </w:r>
      <w:r>
        <w:rPr>
          <w:spacing w:val="-41"/>
        </w:rPr>
      </w:r>
      <w:r>
        <w:rPr/>
        <w:t>益或其他综合收益。购买日之前持有的被购买方的股权涉及的权益法核算下的以后可重分类进损</w:t>
      </w:r>
      <w:r>
        <w:rPr>
          <w:spacing w:val="-41"/>
        </w:rPr>
        <w:t> </w:t>
      </w:r>
      <w:r>
        <w:rPr>
          <w:spacing w:val="-41"/>
        </w:rPr>
      </w:r>
      <w:r>
        <w:rPr>
          <w:spacing w:val="-3"/>
        </w:rPr>
        <w:t>益的其他综合收益及其他所有者权益变动</w:t>
      </w:r>
      <w:r>
        <w:rPr>
          <w:rFonts w:ascii="Arial" w:hAnsi="Arial" w:cs="Arial" w:eastAsia="Arial" w:hint="default"/>
          <w:spacing w:val="-3"/>
        </w:rPr>
        <w:t>(</w:t>
      </w:r>
      <w:r>
        <w:rPr>
          <w:spacing w:val="-3"/>
        </w:rPr>
        <w:t>参见附注三</w:t>
      </w:r>
      <w:r>
        <w:rPr>
          <w:rFonts w:ascii="Arial" w:hAnsi="Arial" w:cs="Arial" w:eastAsia="Arial" w:hint="default"/>
          <w:spacing w:val="-3"/>
        </w:rPr>
        <w:t>(10)(b))</w:t>
      </w:r>
      <w:r>
        <w:rPr>
          <w:spacing w:val="-3"/>
        </w:rPr>
        <w:t>于购买日转入当期投资收益；购买日</w:t>
      </w:r>
      <w:r>
        <w:rPr>
          <w:spacing w:val="-32"/>
        </w:rPr>
        <w:t> </w:t>
      </w:r>
      <w:r>
        <w:rPr>
          <w:spacing w:val="-32"/>
        </w:rPr>
      </w:r>
      <w:r>
        <w:rPr/>
        <w:t>之前持有的被购买方的股权为以公允价值计量且其变动计入其他综合收益的权益工具投资的，购</w:t>
      </w:r>
      <w:r>
        <w:rPr>
          <w:spacing w:val="-41"/>
        </w:rPr>
        <w:t> </w:t>
      </w:r>
      <w:r>
        <w:rPr>
          <w:spacing w:val="-41"/>
        </w:rPr>
      </w:r>
      <w:r>
        <w:rPr/>
        <w:t>买日之前确认的其他综合收益于购买日转入留存收益。</w:t>
      </w:r>
    </w:p>
    <w:p>
      <w:pPr>
        <w:spacing w:after="0" w:line="235" w:lineRule="auto"/>
        <w:jc w:val="both"/>
        <w:sectPr>
          <w:headerReference w:type="default" r:id="rId109"/>
          <w:pgSz w:w="11910" w:h="16840"/>
          <w:pgMar w:header="842" w:footer="502" w:top="2160" w:bottom="700" w:left="880" w:right="820"/>
        </w:sectPr>
      </w:pPr>
    </w:p>
    <w:p>
      <w:pPr>
        <w:spacing w:line="240" w:lineRule="auto" w:before="7"/>
        <w:rPr>
          <w:rFonts w:ascii="宋体" w:hAnsi="宋体" w:cs="宋体" w:eastAsia="宋体" w:hint="default"/>
          <w:sz w:val="16"/>
          <w:szCs w:val="16"/>
        </w:rPr>
      </w:pPr>
    </w:p>
    <w:p>
      <w:pPr>
        <w:pStyle w:val="BodyText"/>
        <w:tabs>
          <w:tab w:pos="551" w:val="left" w:leader="none"/>
        </w:tabs>
        <w:spacing w:line="240" w:lineRule="auto" w:before="32"/>
        <w:ind w:left="119" w:right="6028"/>
        <w:jc w:val="left"/>
        <w:rPr>
          <w:rFonts w:ascii="黑体" w:hAnsi="黑体" w:cs="黑体" w:eastAsia="黑体" w:hint="default"/>
        </w:rPr>
      </w:pPr>
      <w:r>
        <w:rPr>
          <w:rFonts w:ascii="黑体" w:hAnsi="黑体" w:cs="黑体" w:eastAsia="黑体" w:hint="default"/>
        </w:rPr>
        <w:t>三</w:t>
        <w:tab/>
        <w:t>重要会计政策和会计估计（续）</w:t>
      </w:r>
    </w:p>
    <w:p>
      <w:pPr>
        <w:spacing w:line="240" w:lineRule="auto" w:before="1"/>
        <w:rPr>
          <w:rFonts w:ascii="黑体" w:hAnsi="黑体" w:cs="黑体" w:eastAsia="黑体" w:hint="default"/>
          <w:sz w:val="19"/>
          <w:szCs w:val="19"/>
        </w:rPr>
      </w:pPr>
    </w:p>
    <w:p>
      <w:pPr>
        <w:pStyle w:val="BodyText"/>
        <w:spacing w:line="424" w:lineRule="auto"/>
        <w:ind w:left="555" w:right="1768" w:hanging="423"/>
        <w:jc w:val="left"/>
      </w:pPr>
      <w:r>
        <w:rPr>
          <w:rFonts w:ascii="Arial" w:hAnsi="Arial" w:cs="Arial" w:eastAsia="Arial" w:hint="default"/>
        </w:rPr>
        <w:t>5</w:t>
      </w:r>
      <w:r>
        <w:rPr/>
        <w:t>、</w:t>
      </w:r>
      <w:r>
        <w:rPr>
          <w:spacing w:val="-38"/>
        </w:rPr>
        <w:t> </w:t>
      </w:r>
      <w:r>
        <w:rPr/>
        <w:t>合并财务报表的编制方法</w:t>
      </w:r>
      <w:r>
        <w:rPr>
          <w:spacing w:val="-104"/>
        </w:rPr>
        <w:t> </w:t>
      </w:r>
      <w:r>
        <w:rPr>
          <w:spacing w:val="-104"/>
        </w:rPr>
      </w:r>
      <w:r>
        <w:rPr>
          <w:spacing w:val="-1"/>
        </w:rPr>
        <w:t>编制合并财务报表时，合并范围包括本公司及本公司控制的子公司。</w:t>
      </w:r>
    </w:p>
    <w:p>
      <w:pPr>
        <w:pStyle w:val="BodyText"/>
        <w:spacing w:line="237" w:lineRule="auto" w:before="87"/>
        <w:ind w:left="556" w:right="106"/>
        <w:jc w:val="both"/>
      </w:pPr>
      <w:r>
        <w:rPr>
          <w:spacing w:val="-1"/>
        </w:rPr>
        <w:t>从取得子公司的实际控制权之日起，本集团开始将其纳入合并范围；从丧失实际控制权之日起停止</w:t>
      </w:r>
      <w:r>
        <w:rPr>
          <w:spacing w:val="-63"/>
        </w:rPr>
        <w:t> </w:t>
      </w:r>
      <w:r>
        <w:rPr>
          <w:spacing w:val="-63"/>
        </w:rPr>
      </w:r>
      <w:r>
        <w:rPr>
          <w:spacing w:val="-1"/>
        </w:rPr>
        <w:t>纳入合并范围。对于同一控制下企业合并取得的子公司，以被合并子公司的各项资产、负债在最终</w:t>
      </w:r>
      <w:r>
        <w:rPr>
          <w:spacing w:val="-63"/>
        </w:rPr>
        <w:t> </w:t>
      </w:r>
      <w:r>
        <w:rPr>
          <w:spacing w:val="-63"/>
        </w:rPr>
      </w:r>
      <w:r>
        <w:rPr>
          <w:spacing w:val="-1"/>
        </w:rPr>
        <w:t>控制方财务报表中的账面价值为基础，自其与本公司同受最终控制方控制之日起纳入本公司合并范</w:t>
      </w:r>
      <w:r>
        <w:rPr>
          <w:spacing w:val="-63"/>
        </w:rPr>
        <w:t> </w:t>
      </w:r>
      <w:r>
        <w:rPr>
          <w:spacing w:val="-63"/>
        </w:rPr>
      </w:r>
      <w:r>
        <w:rPr/>
        <w:t>围，并对合并财务报表的年初数以及前期比较报表进行相应调整。</w:t>
      </w:r>
    </w:p>
    <w:p>
      <w:pPr>
        <w:spacing w:line="240" w:lineRule="auto" w:before="4"/>
        <w:rPr>
          <w:rFonts w:ascii="宋体" w:hAnsi="宋体" w:cs="宋体" w:eastAsia="宋体" w:hint="default"/>
          <w:sz w:val="19"/>
          <w:szCs w:val="19"/>
        </w:rPr>
      </w:pPr>
    </w:p>
    <w:p>
      <w:pPr>
        <w:pStyle w:val="BodyText"/>
        <w:spacing w:line="237" w:lineRule="auto"/>
        <w:ind w:left="556" w:right="106"/>
        <w:jc w:val="both"/>
      </w:pPr>
      <w:r>
        <w:rPr>
          <w:spacing w:val="-1"/>
        </w:rPr>
        <w:t>在编制合并财务报表时，子公司与本公司采用的会计政策或会计期间不一致的，按照本公司的会计</w:t>
      </w:r>
      <w:r>
        <w:rPr>
          <w:spacing w:val="-63"/>
        </w:rPr>
        <w:t> </w:t>
      </w:r>
      <w:r>
        <w:rPr>
          <w:spacing w:val="-63"/>
        </w:rPr>
      </w:r>
      <w:r>
        <w:rPr>
          <w:spacing w:val="-1"/>
        </w:rPr>
        <w:t>政策和会计期间对子公司财务报表进行必要的调整。对于非同一控制下企业合并取得的子公司，以</w:t>
      </w:r>
      <w:r>
        <w:rPr>
          <w:spacing w:val="-63"/>
        </w:rPr>
        <w:t> </w:t>
      </w:r>
      <w:r>
        <w:rPr>
          <w:spacing w:val="-63"/>
        </w:rPr>
      </w:r>
      <w:r>
        <w:rPr/>
        <w:t>购买日可辨认净资产公允价值为基础对其财务报表进行调整。</w:t>
      </w:r>
    </w:p>
    <w:p>
      <w:pPr>
        <w:spacing w:line="240" w:lineRule="auto" w:before="4"/>
        <w:rPr>
          <w:rFonts w:ascii="宋体" w:hAnsi="宋体" w:cs="宋体" w:eastAsia="宋体" w:hint="default"/>
          <w:sz w:val="19"/>
          <w:szCs w:val="19"/>
        </w:rPr>
      </w:pPr>
    </w:p>
    <w:p>
      <w:pPr>
        <w:pStyle w:val="BodyText"/>
        <w:spacing w:line="237" w:lineRule="auto"/>
        <w:ind w:left="556" w:right="106"/>
        <w:jc w:val="both"/>
      </w:pPr>
      <w:r>
        <w:rPr>
          <w:spacing w:val="-1"/>
        </w:rPr>
        <w:t>集团内所有重大往来余额、交易及未实现利润在合并财务报表编制时予以抵销。子公司少数股东应</w:t>
      </w:r>
      <w:r>
        <w:rPr>
          <w:spacing w:val="-63"/>
        </w:rPr>
        <w:t> </w:t>
      </w:r>
      <w:r>
        <w:rPr>
          <w:spacing w:val="-63"/>
        </w:rPr>
      </w:r>
      <w:r>
        <w:rPr>
          <w:spacing w:val="-1"/>
        </w:rPr>
        <w:t>占的权益、损益和综合收益分别在合并财务报表中股东权益、净利润及综合收益总额项目下单独列</w:t>
      </w:r>
      <w:r>
        <w:rPr>
          <w:spacing w:val="-63"/>
        </w:rPr>
        <w:t> </w:t>
      </w:r>
      <w:r>
        <w:rPr>
          <w:spacing w:val="-63"/>
        </w:rPr>
      </w:r>
      <w:r>
        <w:rPr/>
        <w:t>示。</w:t>
      </w:r>
    </w:p>
    <w:p>
      <w:pPr>
        <w:spacing w:line="240" w:lineRule="auto" w:before="12"/>
        <w:rPr>
          <w:rFonts w:ascii="宋体" w:hAnsi="宋体" w:cs="宋体" w:eastAsia="宋体" w:hint="default"/>
          <w:sz w:val="16"/>
          <w:szCs w:val="16"/>
        </w:rPr>
      </w:pPr>
    </w:p>
    <w:p>
      <w:pPr>
        <w:pStyle w:val="BodyText"/>
        <w:spacing w:line="240" w:lineRule="auto"/>
        <w:ind w:left="133" w:right="6028"/>
        <w:jc w:val="left"/>
      </w:pPr>
      <w:r>
        <w:rPr>
          <w:rFonts w:ascii="Arial" w:hAnsi="Arial" w:cs="Arial" w:eastAsia="Arial" w:hint="default"/>
        </w:rPr>
        <w:t>6</w:t>
      </w:r>
      <w:r>
        <w:rPr/>
        <w:t>、</w:t>
      </w:r>
      <w:r>
        <w:rPr>
          <w:spacing w:val="-30"/>
        </w:rPr>
        <w:t> </w:t>
      </w:r>
      <w:r>
        <w:rPr/>
        <w:t>现金及现金等价物的确定标准</w:t>
      </w:r>
    </w:p>
    <w:p>
      <w:pPr>
        <w:spacing w:line="240" w:lineRule="auto" w:before="1"/>
        <w:rPr>
          <w:rFonts w:ascii="宋体" w:hAnsi="宋体" w:cs="宋体" w:eastAsia="宋体" w:hint="default"/>
          <w:sz w:val="19"/>
          <w:szCs w:val="19"/>
        </w:rPr>
      </w:pPr>
    </w:p>
    <w:p>
      <w:pPr>
        <w:pStyle w:val="BodyText"/>
        <w:spacing w:line="284" w:lineRule="exact"/>
        <w:ind w:left="555" w:right="105"/>
        <w:jc w:val="both"/>
      </w:pPr>
      <w:r>
        <w:rPr>
          <w:spacing w:val="-1"/>
        </w:rPr>
        <w:t>现金及现金等价物包括库存现金、可随时用于支付的存款以及持有的期限短、流动性强、易于转换</w:t>
      </w:r>
      <w:r>
        <w:rPr>
          <w:spacing w:val="-63"/>
        </w:rPr>
        <w:t> </w:t>
      </w:r>
      <w:r>
        <w:rPr>
          <w:spacing w:val="-63"/>
        </w:rPr>
      </w:r>
      <w:r>
        <w:rPr/>
        <w:t>为已知金额现金、价值变动风险很小的投资。</w:t>
      </w:r>
    </w:p>
    <w:p>
      <w:pPr>
        <w:pStyle w:val="BodyText"/>
        <w:spacing w:line="240" w:lineRule="auto" w:before="195"/>
        <w:ind w:left="133" w:right="6028"/>
        <w:jc w:val="left"/>
      </w:pPr>
      <w:r>
        <w:rPr>
          <w:rFonts w:ascii="Arial" w:hAnsi="Arial" w:cs="Arial" w:eastAsia="Arial" w:hint="default"/>
        </w:rPr>
        <w:t>7</w:t>
      </w:r>
      <w:r>
        <w:rPr/>
        <w:t>、</w:t>
      </w:r>
      <w:r>
        <w:rPr>
          <w:spacing w:val="-31"/>
        </w:rPr>
        <w:t> </w:t>
      </w:r>
      <w:r>
        <w:rPr/>
        <w:t>外币业务和外币报表折算</w:t>
      </w:r>
    </w:p>
    <w:p>
      <w:pPr>
        <w:pStyle w:val="BodyText"/>
        <w:spacing w:line="240" w:lineRule="auto" w:before="190"/>
        <w:ind w:left="133" w:right="6028"/>
        <w:jc w:val="left"/>
      </w:pPr>
      <w:r>
        <w:rPr>
          <w:rFonts w:ascii="Arial" w:hAnsi="Arial" w:cs="Arial" w:eastAsia="Arial" w:hint="default"/>
        </w:rPr>
        <w:t>(a) </w:t>
      </w:r>
      <w:r>
        <w:rPr>
          <w:rFonts w:ascii="Arial" w:hAnsi="Arial" w:cs="Arial" w:eastAsia="Arial" w:hint="default"/>
          <w:spacing w:val="29"/>
        </w:rPr>
        <w:t> </w:t>
      </w:r>
      <w:r>
        <w:rPr/>
        <w:t>外币交易</w:t>
      </w:r>
    </w:p>
    <w:p>
      <w:pPr>
        <w:spacing w:line="240" w:lineRule="auto" w:before="10"/>
        <w:rPr>
          <w:rFonts w:ascii="宋体" w:hAnsi="宋体" w:cs="宋体" w:eastAsia="宋体" w:hint="default"/>
          <w:sz w:val="16"/>
          <w:szCs w:val="16"/>
        </w:rPr>
      </w:pPr>
    </w:p>
    <w:p>
      <w:pPr>
        <w:pStyle w:val="BodyText"/>
        <w:spacing w:line="240" w:lineRule="auto"/>
        <w:ind w:left="555" w:right="0"/>
        <w:jc w:val="both"/>
      </w:pPr>
      <w:r>
        <w:rPr/>
        <w:t>外币交易按交易发生日的即期汇率将外币金额折算为人民币入账。</w:t>
      </w:r>
    </w:p>
    <w:p>
      <w:pPr>
        <w:spacing w:line="240" w:lineRule="auto" w:before="3"/>
        <w:rPr>
          <w:rFonts w:ascii="宋体" w:hAnsi="宋体" w:cs="宋体" w:eastAsia="宋体" w:hint="default"/>
          <w:sz w:val="19"/>
          <w:szCs w:val="19"/>
        </w:rPr>
      </w:pPr>
    </w:p>
    <w:p>
      <w:pPr>
        <w:pStyle w:val="BodyText"/>
        <w:spacing w:line="237" w:lineRule="auto"/>
        <w:ind w:left="555" w:right="105"/>
        <w:jc w:val="both"/>
      </w:pPr>
      <w:r>
        <w:rPr>
          <w:spacing w:val="-1"/>
        </w:rPr>
        <w:t>于资产负债表日，外币货币性项目采用该日的即期汇率折算为人民币。除为购建符合借款费用资本</w:t>
      </w:r>
      <w:r>
        <w:rPr>
          <w:spacing w:val="-63"/>
        </w:rPr>
        <w:t> </w:t>
      </w:r>
      <w:r>
        <w:rPr>
          <w:spacing w:val="-63"/>
        </w:rPr>
      </w:r>
      <w:r>
        <w:rPr>
          <w:spacing w:val="-1"/>
        </w:rPr>
        <w:t>化条件的资产而借入的外币专门借款产生的汇兑差额在资本化期间内予以资本化外，其他汇兑差额</w:t>
      </w:r>
      <w:r>
        <w:rPr>
          <w:spacing w:val="-63"/>
        </w:rPr>
        <w:t> </w:t>
      </w:r>
      <w:r>
        <w:rPr>
          <w:spacing w:val="-63"/>
        </w:rPr>
      </w:r>
      <w:r>
        <w:rPr>
          <w:spacing w:val="-1"/>
        </w:rPr>
        <w:t>直接计入当期损益。以历史成本计量的外币非货币性项目，仍采用交易发生日的即期汇率折算。以</w:t>
      </w:r>
      <w:r>
        <w:rPr>
          <w:spacing w:val="-63"/>
        </w:rPr>
        <w:t> </w:t>
      </w:r>
      <w:r>
        <w:rPr>
          <w:spacing w:val="-63"/>
        </w:rPr>
      </w:r>
      <w:r>
        <w:rPr>
          <w:spacing w:val="-1"/>
        </w:rPr>
        <w:t>公允价值计量的外币非货币性项目，采用公允价值确定日的即期汇率折算，由此产生的汇兑差额，</w:t>
      </w:r>
      <w:r>
        <w:rPr>
          <w:spacing w:val="-63"/>
        </w:rPr>
        <w:t> </w:t>
      </w:r>
      <w:r>
        <w:rPr>
          <w:spacing w:val="-63"/>
        </w:rPr>
      </w:r>
      <w:r>
        <w:rPr>
          <w:spacing w:val="-1"/>
        </w:rPr>
        <w:t>属于以公允价值计量且其变动计入其他综合收益的权益工具投资的差额，计入其他综合收益；其他</w:t>
      </w:r>
      <w:r>
        <w:rPr>
          <w:spacing w:val="-63"/>
        </w:rPr>
        <w:t> </w:t>
      </w:r>
      <w:r>
        <w:rPr>
          <w:spacing w:val="-63"/>
        </w:rPr>
      </w:r>
      <w:r>
        <w:rPr/>
        <w:t>差额计入当期损益。</w:t>
      </w:r>
    </w:p>
    <w:p>
      <w:pPr>
        <w:spacing w:line="240" w:lineRule="auto" w:before="12"/>
        <w:rPr>
          <w:rFonts w:ascii="宋体" w:hAnsi="宋体" w:cs="宋体" w:eastAsia="宋体" w:hint="default"/>
          <w:sz w:val="16"/>
          <w:szCs w:val="16"/>
        </w:rPr>
      </w:pPr>
    </w:p>
    <w:p>
      <w:pPr>
        <w:pStyle w:val="BodyText"/>
        <w:spacing w:line="240" w:lineRule="auto"/>
        <w:ind w:left="133" w:right="6028"/>
        <w:jc w:val="left"/>
      </w:pPr>
      <w:r>
        <w:rPr>
          <w:rFonts w:ascii="Arial" w:hAnsi="Arial" w:cs="Arial" w:eastAsia="Arial" w:hint="default"/>
        </w:rPr>
        <w:t>(b) </w:t>
      </w:r>
      <w:r>
        <w:rPr>
          <w:rFonts w:ascii="Arial" w:hAnsi="Arial" w:cs="Arial" w:eastAsia="Arial" w:hint="default"/>
          <w:spacing w:val="28"/>
        </w:rPr>
        <w:t> </w:t>
      </w:r>
      <w:r>
        <w:rPr/>
        <w:t>外币财务报表的折算</w:t>
      </w:r>
    </w:p>
    <w:p>
      <w:pPr>
        <w:spacing w:line="240" w:lineRule="auto" w:before="13"/>
        <w:rPr>
          <w:rFonts w:ascii="宋体" w:hAnsi="宋体" w:cs="宋体" w:eastAsia="宋体" w:hint="default"/>
          <w:sz w:val="16"/>
          <w:szCs w:val="16"/>
        </w:rPr>
      </w:pPr>
    </w:p>
    <w:p>
      <w:pPr>
        <w:pStyle w:val="BodyText"/>
        <w:spacing w:line="237" w:lineRule="auto"/>
        <w:ind w:left="555" w:right="105"/>
        <w:jc w:val="both"/>
      </w:pPr>
      <w:r>
        <w:rPr>
          <w:spacing w:val="-1"/>
        </w:rPr>
        <w:t>境外经营的子公司资产负债表中的资产和负债项目，采用资产负债表日的即期汇率折算，股东权益</w:t>
      </w:r>
      <w:r>
        <w:rPr>
          <w:spacing w:val="-63"/>
        </w:rPr>
        <w:t> </w:t>
      </w:r>
      <w:r>
        <w:rPr>
          <w:spacing w:val="-63"/>
        </w:rPr>
      </w:r>
      <w:r>
        <w:rPr>
          <w:spacing w:val="-1"/>
        </w:rPr>
        <w:t>中除未分配利润及其他综合收益中的外币财务报表折算差额项目外，其他项目采用发生时的即期汇</w:t>
      </w:r>
      <w:r>
        <w:rPr>
          <w:spacing w:val="-63"/>
        </w:rPr>
        <w:t> </w:t>
      </w:r>
      <w:r>
        <w:rPr>
          <w:spacing w:val="-63"/>
        </w:rPr>
      </w:r>
      <w:r>
        <w:rPr>
          <w:spacing w:val="-1"/>
        </w:rPr>
        <w:t>率折算。境外经营的子公司利润表中的收入与费用项目，采用交易发生日的即期汇率之近似汇率折</w:t>
      </w:r>
      <w:r>
        <w:rPr>
          <w:spacing w:val="-63"/>
        </w:rPr>
        <w:t> </w:t>
      </w:r>
      <w:r>
        <w:rPr>
          <w:spacing w:val="-63"/>
        </w:rPr>
      </w:r>
      <w:r>
        <w:rPr>
          <w:spacing w:val="-1"/>
        </w:rPr>
        <w:t>算。上述折算产生的外币财务报表折算差额，在其他综合收益中列示。境外经营的子公司现金流量</w:t>
      </w:r>
      <w:r>
        <w:rPr>
          <w:spacing w:val="-63"/>
        </w:rPr>
        <w:t> </w:t>
      </w:r>
      <w:r>
        <w:rPr>
          <w:spacing w:val="-63"/>
        </w:rPr>
      </w:r>
      <w:r>
        <w:rPr/>
        <w:t>项目，采用现金流量发生日的即期汇率之近似汇率折算。</w:t>
      </w:r>
    </w:p>
    <w:p>
      <w:pPr>
        <w:spacing w:after="0" w:line="237" w:lineRule="auto"/>
        <w:jc w:val="both"/>
        <w:sectPr>
          <w:pgSz w:w="11910" w:h="16840"/>
          <w:pgMar w:header="842" w:footer="502" w:top="2160" w:bottom="700" w:left="860" w:right="920"/>
        </w:sectPr>
      </w:pPr>
    </w:p>
    <w:p>
      <w:pPr>
        <w:spacing w:line="240" w:lineRule="auto" w:before="4"/>
        <w:rPr>
          <w:rFonts w:ascii="宋体" w:hAnsi="宋体" w:cs="宋体" w:eastAsia="宋体" w:hint="default"/>
          <w:sz w:val="14"/>
          <w:szCs w:val="14"/>
        </w:rPr>
      </w:pPr>
    </w:p>
    <w:p>
      <w:pPr>
        <w:pStyle w:val="BodyText"/>
        <w:spacing w:line="240" w:lineRule="auto" w:before="32"/>
        <w:ind w:left="133" w:right="6028"/>
        <w:jc w:val="left"/>
      </w:pPr>
      <w:r>
        <w:rPr>
          <w:rFonts w:ascii="Arial" w:hAnsi="Arial" w:cs="Arial" w:eastAsia="Arial" w:hint="default"/>
        </w:rPr>
        <w:t>8</w:t>
      </w:r>
      <w:r>
        <w:rPr/>
        <w:t>、</w:t>
      </w:r>
      <w:r>
        <w:rPr>
          <w:spacing w:val="-32"/>
        </w:rPr>
        <w:t> </w:t>
      </w:r>
      <w:r>
        <w:rPr/>
        <w:t>金融工具</w:t>
      </w:r>
    </w:p>
    <w:p>
      <w:pPr>
        <w:pStyle w:val="BodyText"/>
        <w:spacing w:line="240" w:lineRule="auto" w:before="190"/>
        <w:ind w:left="133" w:right="6028"/>
        <w:jc w:val="left"/>
      </w:pPr>
      <w:r>
        <w:rPr>
          <w:rFonts w:ascii="Arial" w:hAnsi="Arial" w:cs="Arial" w:eastAsia="Arial" w:hint="default"/>
        </w:rPr>
        <w:t>(a) </w:t>
      </w:r>
      <w:r>
        <w:rPr>
          <w:rFonts w:ascii="Arial" w:hAnsi="Arial" w:cs="Arial" w:eastAsia="Arial" w:hint="default"/>
          <w:spacing w:val="29"/>
        </w:rPr>
        <w:t> </w:t>
      </w:r>
      <w:r>
        <w:rPr/>
        <w:t>金融资产</w:t>
      </w:r>
    </w:p>
    <w:p>
      <w:pPr>
        <w:pStyle w:val="BodyText"/>
        <w:spacing w:line="240" w:lineRule="auto" w:before="190"/>
        <w:ind w:left="133" w:right="6028"/>
        <w:jc w:val="left"/>
      </w:pPr>
      <w:r>
        <w:rPr>
          <w:rFonts w:ascii="Arial" w:hAnsi="Arial" w:cs="Arial" w:eastAsia="Arial" w:hint="default"/>
        </w:rPr>
        <w:t>(1) </w:t>
      </w:r>
      <w:r>
        <w:rPr>
          <w:rFonts w:ascii="Arial" w:hAnsi="Arial" w:cs="Arial" w:eastAsia="Arial" w:hint="default"/>
          <w:spacing w:val="30"/>
        </w:rPr>
        <w:t> </w:t>
      </w:r>
      <w:r>
        <w:rPr/>
        <w:t>金融资产分类</w:t>
      </w:r>
    </w:p>
    <w:p>
      <w:pPr>
        <w:spacing w:line="240" w:lineRule="auto" w:before="8"/>
        <w:rPr>
          <w:rFonts w:ascii="宋体" w:hAnsi="宋体" w:cs="宋体" w:eastAsia="宋体" w:hint="default"/>
          <w:sz w:val="16"/>
          <w:szCs w:val="16"/>
        </w:rPr>
      </w:pPr>
    </w:p>
    <w:p>
      <w:pPr>
        <w:pStyle w:val="BodyText"/>
        <w:spacing w:line="237" w:lineRule="auto"/>
        <w:ind w:left="555" w:right="105"/>
        <w:jc w:val="both"/>
      </w:pPr>
      <w:r>
        <w:rPr>
          <w:spacing w:val="-1"/>
        </w:rPr>
        <w:t>本集团在初始确认时根据管理金融资产的业务模式和金融资产的合同现金流量特征，将金融资产分</w:t>
      </w:r>
      <w:r>
        <w:rPr>
          <w:spacing w:val="-63"/>
        </w:rPr>
        <w:t> </w:t>
      </w:r>
      <w:r>
        <w:rPr>
          <w:spacing w:val="-63"/>
        </w:rPr>
      </w:r>
      <w:r>
        <w:rPr>
          <w:spacing w:val="-1"/>
        </w:rPr>
        <w:t>为不同类别：以摊余成本计量的金融资产、以公允价值计量且其变动计入其他综合收益的金融资产</w:t>
      </w:r>
      <w:r>
        <w:rPr>
          <w:spacing w:val="-63"/>
        </w:rPr>
        <w:t> </w:t>
      </w:r>
      <w:r>
        <w:rPr>
          <w:spacing w:val="-63"/>
        </w:rPr>
      </w:r>
      <w:r>
        <w:rPr/>
        <w:t>及以公允价值计量且其变动计入当期损益的金融资产。</w:t>
      </w:r>
    </w:p>
    <w:p>
      <w:pPr>
        <w:spacing w:line="240" w:lineRule="auto" w:before="1"/>
        <w:rPr>
          <w:rFonts w:ascii="宋体" w:hAnsi="宋体" w:cs="宋体" w:eastAsia="宋体" w:hint="default"/>
          <w:sz w:val="19"/>
          <w:szCs w:val="19"/>
        </w:rPr>
      </w:pPr>
    </w:p>
    <w:p>
      <w:pPr>
        <w:pStyle w:val="BodyText"/>
        <w:spacing w:line="240" w:lineRule="auto"/>
        <w:ind w:left="555" w:right="105"/>
        <w:jc w:val="both"/>
      </w:pPr>
      <w:r>
        <w:rPr>
          <w:spacing w:val="-1"/>
        </w:rPr>
        <w:t>除非本集团改变管理金融资产的业务模式，在此情形下，所有受影响的相关金融资产在业务模式发</w:t>
      </w:r>
      <w:r>
        <w:rPr>
          <w:spacing w:val="-63"/>
        </w:rPr>
        <w:t> </w:t>
      </w:r>
      <w:r>
        <w:rPr>
          <w:spacing w:val="-63"/>
        </w:rPr>
      </w:r>
      <w:r>
        <w:rPr/>
        <w:t>生变更后的首个报告期间的第一天进行重分类，否则金融资产在初始确认后不得进行重分类。</w:t>
      </w:r>
    </w:p>
    <w:p>
      <w:pPr>
        <w:spacing w:line="240" w:lineRule="auto" w:before="4"/>
        <w:rPr>
          <w:rFonts w:ascii="宋体" w:hAnsi="宋体" w:cs="宋体" w:eastAsia="宋体" w:hint="default"/>
          <w:sz w:val="21"/>
          <w:szCs w:val="21"/>
        </w:rPr>
      </w:pPr>
    </w:p>
    <w:p>
      <w:pPr>
        <w:pStyle w:val="BodyText"/>
        <w:spacing w:line="284" w:lineRule="exact"/>
        <w:ind w:left="555" w:right="105"/>
        <w:jc w:val="both"/>
      </w:pPr>
      <w:r>
        <w:rPr>
          <w:spacing w:val="-1"/>
        </w:rPr>
        <w:t>本集团将同时符合下列条件且未被指定为以公允价值计量且其变动计入当期损益的金融资产，分类</w:t>
      </w:r>
      <w:r>
        <w:rPr>
          <w:spacing w:val="-63"/>
        </w:rPr>
        <w:t> </w:t>
      </w:r>
      <w:r>
        <w:rPr>
          <w:spacing w:val="-63"/>
        </w:rPr>
      </w:r>
      <w:r>
        <w:rPr/>
        <w:t>为以摊余成本计量的金融资产：</w:t>
      </w:r>
    </w:p>
    <w:p>
      <w:pPr>
        <w:spacing w:line="240" w:lineRule="auto" w:before="6"/>
        <w:rPr>
          <w:rFonts w:ascii="宋体" w:hAnsi="宋体" w:cs="宋体" w:eastAsia="宋体" w:hint="default"/>
          <w:sz w:val="17"/>
          <w:szCs w:val="17"/>
        </w:rPr>
      </w:pPr>
    </w:p>
    <w:p>
      <w:pPr>
        <w:pStyle w:val="BodyText"/>
        <w:spacing w:line="293" w:lineRule="exact"/>
        <w:ind w:left="555" w:right="0"/>
        <w:jc w:val="both"/>
      </w:pPr>
      <w:r>
        <w:rPr>
          <w:rFonts w:ascii="Arial" w:hAnsi="Arial" w:cs="Arial" w:eastAsia="Arial" w:hint="default"/>
        </w:rPr>
        <w:t>-  </w:t>
      </w:r>
      <w:r>
        <w:rPr>
          <w:rFonts w:ascii="Arial" w:hAnsi="Arial" w:cs="Arial" w:eastAsia="Arial" w:hint="default"/>
          <w:spacing w:val="29"/>
        </w:rPr>
        <w:t> </w:t>
      </w:r>
      <w:r>
        <w:rPr/>
        <w:t>本集团管理该金融资产的业务模式是以收取合同现金流量为目标；</w:t>
      </w:r>
    </w:p>
    <w:p>
      <w:pPr>
        <w:pStyle w:val="BodyText"/>
        <w:tabs>
          <w:tab w:pos="838" w:val="left" w:leader="none"/>
        </w:tabs>
        <w:spacing w:line="284" w:lineRule="exact" w:before="19"/>
        <w:ind w:left="838" w:right="110" w:hanging="284"/>
        <w:jc w:val="left"/>
      </w:pPr>
      <w:r>
        <w:rPr>
          <w:rFonts w:ascii="Arial" w:hAnsi="Arial" w:cs="Arial" w:eastAsia="Arial" w:hint="default"/>
        </w:rPr>
        <w:t>-</w:t>
        <w:tab/>
      </w:r>
      <w:r>
        <w:rPr>
          <w:spacing w:val="-3"/>
        </w:rPr>
        <w:t>该金融资产的合同条款规定，在特定日期产生的现金流量，仅为对本金和以未偿付本金金额为基</w:t>
      </w:r>
      <w:r>
        <w:rPr>
          <w:spacing w:val="-49"/>
        </w:rPr>
        <w:t> </w:t>
      </w:r>
      <w:r>
        <w:rPr>
          <w:spacing w:val="-49"/>
        </w:rPr>
      </w:r>
      <w:r>
        <w:rPr/>
        <w:t>础的利息的支付。</w:t>
      </w:r>
    </w:p>
    <w:p>
      <w:pPr>
        <w:spacing w:line="240" w:lineRule="auto" w:before="10"/>
        <w:rPr>
          <w:rFonts w:ascii="宋体" w:hAnsi="宋体" w:cs="宋体" w:eastAsia="宋体" w:hint="default"/>
          <w:sz w:val="19"/>
          <w:szCs w:val="19"/>
        </w:rPr>
      </w:pPr>
    </w:p>
    <w:p>
      <w:pPr>
        <w:pStyle w:val="BodyText"/>
        <w:spacing w:line="284" w:lineRule="exact"/>
        <w:ind w:left="555" w:right="105"/>
        <w:jc w:val="both"/>
      </w:pPr>
      <w:r>
        <w:rPr>
          <w:spacing w:val="-1"/>
        </w:rPr>
        <w:t>本集团将同时符合下列条件且未被指定为以公允价值计量且其变动计入当期损益的金融资产，分类</w:t>
      </w:r>
      <w:r>
        <w:rPr>
          <w:spacing w:val="-63"/>
        </w:rPr>
        <w:t> </w:t>
      </w:r>
      <w:r>
        <w:rPr>
          <w:spacing w:val="-63"/>
        </w:rPr>
      </w:r>
      <w:r>
        <w:rPr/>
        <w:t>为以公允价值计量且其变动计入其他综合收益的金融资产：</w:t>
      </w:r>
    </w:p>
    <w:p>
      <w:pPr>
        <w:spacing w:line="240" w:lineRule="auto" w:before="1"/>
        <w:rPr>
          <w:rFonts w:ascii="宋体" w:hAnsi="宋体" w:cs="宋体" w:eastAsia="宋体" w:hint="default"/>
          <w:sz w:val="17"/>
          <w:szCs w:val="17"/>
        </w:rPr>
      </w:pPr>
    </w:p>
    <w:p>
      <w:pPr>
        <w:pStyle w:val="BodyText"/>
        <w:spacing w:line="296" w:lineRule="exact"/>
        <w:ind w:left="555" w:right="0"/>
        <w:jc w:val="both"/>
      </w:pPr>
      <w:r>
        <w:rPr>
          <w:rFonts w:ascii="Arial" w:hAnsi="Arial" w:cs="Arial" w:eastAsia="Arial" w:hint="default"/>
        </w:rPr>
        <w:t>-  </w:t>
      </w:r>
      <w:r>
        <w:rPr>
          <w:rFonts w:ascii="Arial" w:hAnsi="Arial" w:cs="Arial" w:eastAsia="Arial" w:hint="default"/>
          <w:spacing w:val="29"/>
        </w:rPr>
        <w:t> </w:t>
      </w:r>
      <w:r>
        <w:rPr/>
        <w:t>本集团管理该金融资产的业务模式既以收取合同现金流量为目标又以出售该金融资产为目标；</w:t>
      </w:r>
    </w:p>
    <w:p>
      <w:pPr>
        <w:pStyle w:val="BodyText"/>
        <w:tabs>
          <w:tab w:pos="838" w:val="left" w:leader="none"/>
        </w:tabs>
        <w:spacing w:line="284" w:lineRule="exact" w:before="22"/>
        <w:ind w:left="838" w:right="110" w:hanging="284"/>
        <w:jc w:val="left"/>
      </w:pPr>
      <w:r>
        <w:rPr>
          <w:rFonts w:ascii="Arial" w:hAnsi="Arial" w:cs="Arial" w:eastAsia="Arial" w:hint="default"/>
        </w:rPr>
        <w:t>-</w:t>
        <w:tab/>
      </w:r>
      <w:r>
        <w:rPr>
          <w:spacing w:val="-3"/>
        </w:rPr>
        <w:t>该金融资产的合同条款规定，在特定日期产生的现金流量，仅为对本金和以未偿付本金金额为基</w:t>
      </w:r>
      <w:r>
        <w:rPr>
          <w:spacing w:val="-49"/>
        </w:rPr>
        <w:t> </w:t>
      </w:r>
      <w:r>
        <w:rPr>
          <w:spacing w:val="-49"/>
        </w:rPr>
      </w:r>
      <w:r>
        <w:rPr/>
        <w:t>础的利息的支付。</w:t>
      </w:r>
    </w:p>
    <w:p>
      <w:pPr>
        <w:spacing w:line="240" w:lineRule="auto" w:before="4"/>
        <w:rPr>
          <w:rFonts w:ascii="宋体" w:hAnsi="宋体" w:cs="宋体" w:eastAsia="宋体" w:hint="default"/>
          <w:sz w:val="17"/>
          <w:szCs w:val="17"/>
        </w:rPr>
      </w:pPr>
    </w:p>
    <w:p>
      <w:pPr>
        <w:pStyle w:val="BodyText"/>
        <w:spacing w:line="237" w:lineRule="auto"/>
        <w:ind w:left="555" w:right="105"/>
        <w:jc w:val="both"/>
      </w:pPr>
      <w:r>
        <w:rPr>
          <w:spacing w:val="-1"/>
        </w:rPr>
        <w:t>对于非交易性权益工具投资，本集团可在初始确认时将其不可撤销地指定为以公允价值计量且其变</w:t>
      </w:r>
      <w:r>
        <w:rPr>
          <w:spacing w:val="-63"/>
        </w:rPr>
        <w:t> </w:t>
      </w:r>
      <w:r>
        <w:rPr>
          <w:spacing w:val="-63"/>
        </w:rPr>
      </w:r>
      <w:r>
        <w:rPr>
          <w:spacing w:val="-1"/>
        </w:rPr>
        <w:t>动计入其他综合收益的金融资产。该指定在单项投资的基础上作出，且相关投资从发行者的角度符</w:t>
      </w:r>
      <w:r>
        <w:rPr>
          <w:spacing w:val="-63"/>
        </w:rPr>
        <w:t> </w:t>
      </w:r>
      <w:r>
        <w:rPr>
          <w:spacing w:val="-63"/>
        </w:rPr>
      </w:r>
      <w:r>
        <w:rPr/>
        <w:t>合权益工具的定义。</w:t>
      </w:r>
    </w:p>
    <w:p>
      <w:pPr>
        <w:spacing w:line="240" w:lineRule="auto" w:before="4"/>
        <w:rPr>
          <w:rFonts w:ascii="宋体" w:hAnsi="宋体" w:cs="宋体" w:eastAsia="宋体" w:hint="default"/>
          <w:sz w:val="19"/>
          <w:szCs w:val="19"/>
        </w:rPr>
      </w:pPr>
    </w:p>
    <w:p>
      <w:pPr>
        <w:pStyle w:val="BodyText"/>
        <w:spacing w:line="237" w:lineRule="auto"/>
        <w:ind w:left="555" w:right="105"/>
        <w:jc w:val="both"/>
      </w:pPr>
      <w:r>
        <w:rPr>
          <w:spacing w:val="-1"/>
        </w:rPr>
        <w:t>除上述以摊余成本计量和以公允价值计量且其变动计入其他综合收益的金融资产外，本集团将其余</w:t>
      </w:r>
      <w:r>
        <w:rPr>
          <w:spacing w:val="-63"/>
        </w:rPr>
        <w:t> </w:t>
      </w:r>
      <w:r>
        <w:rPr>
          <w:spacing w:val="-63"/>
        </w:rPr>
      </w:r>
      <w:r>
        <w:rPr>
          <w:spacing w:val="-1"/>
        </w:rPr>
        <w:t>所有的金融资产分类为以公允价值计量且其变动计入当期损益的金融资产。在初始确认时，如果能</w:t>
      </w:r>
      <w:r>
        <w:rPr>
          <w:spacing w:val="-63"/>
        </w:rPr>
        <w:t> </w:t>
      </w:r>
      <w:r>
        <w:rPr>
          <w:spacing w:val="-63"/>
        </w:rPr>
      </w:r>
      <w:r>
        <w:rPr>
          <w:spacing w:val="-1"/>
        </w:rPr>
        <w:t>够消除或显著减少会计错配，本集团可以将本应以摊余成本计量或以公允价值计量且其变动计入其</w:t>
      </w:r>
      <w:r>
        <w:rPr>
          <w:spacing w:val="-63"/>
        </w:rPr>
        <w:t> </w:t>
      </w:r>
      <w:r>
        <w:rPr>
          <w:spacing w:val="-63"/>
        </w:rPr>
      </w:r>
      <w:r>
        <w:rPr/>
        <w:t>他综合收益的金融资产不可撤销地指定为以公允价值计量且其变动计入当期损益的金融资产。</w:t>
      </w:r>
    </w:p>
    <w:p>
      <w:pPr>
        <w:spacing w:line="240" w:lineRule="auto" w:before="4"/>
        <w:rPr>
          <w:rFonts w:ascii="宋体" w:hAnsi="宋体" w:cs="宋体" w:eastAsia="宋体" w:hint="default"/>
          <w:sz w:val="19"/>
          <w:szCs w:val="19"/>
        </w:rPr>
      </w:pPr>
    </w:p>
    <w:p>
      <w:pPr>
        <w:pStyle w:val="BodyText"/>
        <w:spacing w:line="237" w:lineRule="auto"/>
        <w:ind w:left="555" w:right="105"/>
        <w:jc w:val="both"/>
      </w:pPr>
      <w:r>
        <w:rPr>
          <w:spacing w:val="-1"/>
        </w:rPr>
        <w:t>管理金融资产的业务模式，是指本集团如何管理金融资产以产生现金流量。业务模式决定本集团所</w:t>
      </w:r>
      <w:r>
        <w:rPr>
          <w:spacing w:val="-63"/>
        </w:rPr>
        <w:t> </w:t>
      </w:r>
      <w:r>
        <w:rPr>
          <w:spacing w:val="-63"/>
        </w:rPr>
      </w:r>
      <w:r>
        <w:rPr>
          <w:spacing w:val="-1"/>
        </w:rPr>
        <w:t>管理金融资产现金流量的来源是收取合同现金流量、出售金融资产还是两者兼有。本集团以客观事</w:t>
      </w:r>
      <w:r>
        <w:rPr>
          <w:spacing w:val="-63"/>
        </w:rPr>
        <w:t> </w:t>
      </w:r>
      <w:r>
        <w:rPr>
          <w:spacing w:val="-63"/>
        </w:rPr>
      </w:r>
      <w:r>
        <w:rPr>
          <w:spacing w:val="-1"/>
        </w:rPr>
        <w:t>实为依据、以关键管理人员决定的对金融资产进行管理的特定业务目标为基础，确定管理金融资产</w:t>
      </w:r>
      <w:r>
        <w:rPr>
          <w:spacing w:val="-63"/>
        </w:rPr>
        <w:t> </w:t>
      </w:r>
      <w:r>
        <w:rPr>
          <w:spacing w:val="-63"/>
        </w:rPr>
      </w:r>
      <w:r>
        <w:rPr/>
        <w:t>的业务模式。</w:t>
      </w:r>
    </w:p>
    <w:p>
      <w:pPr>
        <w:spacing w:after="0" w:line="237" w:lineRule="auto"/>
        <w:jc w:val="both"/>
        <w:sectPr>
          <w:headerReference w:type="default" r:id="rId110"/>
          <w:pgSz w:w="11910" w:h="16840"/>
          <w:pgMar w:header="842" w:footer="502" w:top="2700" w:bottom="700" w:left="860" w:right="920"/>
        </w:sectPr>
      </w:pPr>
    </w:p>
    <w:p>
      <w:pPr>
        <w:spacing w:line="240" w:lineRule="auto" w:before="6"/>
        <w:rPr>
          <w:rFonts w:ascii="宋体" w:hAnsi="宋体" w:cs="宋体" w:eastAsia="宋体" w:hint="default"/>
          <w:sz w:val="12"/>
          <w:szCs w:val="12"/>
        </w:rPr>
      </w:pPr>
    </w:p>
    <w:p>
      <w:pPr>
        <w:pStyle w:val="BodyText"/>
        <w:spacing w:line="240" w:lineRule="auto" w:before="32"/>
        <w:ind w:left="133" w:right="6028"/>
        <w:jc w:val="left"/>
      </w:pPr>
      <w:r>
        <w:rPr>
          <w:rFonts w:ascii="Arial" w:hAnsi="Arial" w:cs="Arial" w:eastAsia="Arial" w:hint="default"/>
        </w:rPr>
        <w:t>(1) </w:t>
      </w:r>
      <w:r>
        <w:rPr>
          <w:rFonts w:ascii="Arial" w:hAnsi="Arial" w:cs="Arial" w:eastAsia="Arial" w:hint="default"/>
          <w:spacing w:val="28"/>
        </w:rPr>
        <w:t> </w:t>
      </w:r>
      <w:r>
        <w:rPr/>
        <w:t>金融资产分类（续）</w:t>
      </w:r>
    </w:p>
    <w:p>
      <w:pPr>
        <w:spacing w:line="240" w:lineRule="auto" w:before="8"/>
        <w:rPr>
          <w:rFonts w:ascii="宋体" w:hAnsi="宋体" w:cs="宋体" w:eastAsia="宋体" w:hint="default"/>
          <w:sz w:val="16"/>
          <w:szCs w:val="16"/>
        </w:rPr>
      </w:pPr>
    </w:p>
    <w:p>
      <w:pPr>
        <w:pStyle w:val="BodyText"/>
        <w:spacing w:line="237" w:lineRule="auto"/>
        <w:ind w:left="555" w:right="105"/>
        <w:jc w:val="both"/>
      </w:pPr>
      <w:r>
        <w:rPr>
          <w:spacing w:val="-1"/>
        </w:rPr>
        <w:t>本集团对金融资产的合同现金流量特征进行评估，以确定相关金融资产在特定日期产生的合同现金</w:t>
      </w:r>
      <w:r>
        <w:rPr>
          <w:spacing w:val="-63"/>
        </w:rPr>
        <w:t> </w:t>
      </w:r>
      <w:r>
        <w:rPr>
          <w:spacing w:val="-63"/>
        </w:rPr>
      </w:r>
      <w:r>
        <w:rPr>
          <w:spacing w:val="-1"/>
        </w:rPr>
        <w:t>流量是否仅为对本金和以未偿付本金金额为基础的利息的支付。其中，本金是指金融资产在初始确</w:t>
      </w:r>
      <w:r>
        <w:rPr>
          <w:spacing w:val="-63"/>
        </w:rPr>
        <w:t> </w:t>
      </w:r>
      <w:r>
        <w:rPr>
          <w:spacing w:val="-63"/>
        </w:rPr>
      </w:r>
      <w:r>
        <w:rPr>
          <w:spacing w:val="-1"/>
        </w:rPr>
        <w:t>认时的公允价值；利息包括对货币时间价值、与特定时期未偿付本金金额相关的信用风险、以及其</w:t>
      </w:r>
      <w:r>
        <w:rPr>
          <w:spacing w:val="-63"/>
        </w:rPr>
        <w:t> </w:t>
      </w:r>
      <w:r>
        <w:rPr>
          <w:spacing w:val="-63"/>
        </w:rPr>
      </w:r>
      <w:r>
        <w:rPr>
          <w:spacing w:val="-1"/>
        </w:rPr>
        <w:t>他基本借贷风险、成本和利润的对价。此外，本集团对可能导致金融资产合同现金流量的时间分布</w:t>
      </w:r>
      <w:r>
        <w:rPr>
          <w:spacing w:val="-63"/>
        </w:rPr>
        <w:t> </w:t>
      </w:r>
      <w:r>
        <w:rPr>
          <w:spacing w:val="-63"/>
        </w:rPr>
      </w:r>
      <w:r>
        <w:rPr/>
        <w:t>或金额发生变更的合同条款进行评估，以确定其是否满足上述合同现金流量特征的要求。</w:t>
      </w:r>
    </w:p>
    <w:p>
      <w:pPr>
        <w:spacing w:line="240" w:lineRule="auto" w:before="12"/>
        <w:rPr>
          <w:rFonts w:ascii="宋体" w:hAnsi="宋体" w:cs="宋体" w:eastAsia="宋体" w:hint="default"/>
          <w:sz w:val="16"/>
          <w:szCs w:val="16"/>
        </w:rPr>
      </w:pPr>
    </w:p>
    <w:p>
      <w:pPr>
        <w:pStyle w:val="BodyText"/>
        <w:spacing w:line="240" w:lineRule="auto"/>
        <w:ind w:left="133" w:right="6028"/>
        <w:jc w:val="left"/>
      </w:pPr>
      <w:r>
        <w:rPr>
          <w:rFonts w:ascii="Arial" w:hAnsi="Arial" w:cs="Arial" w:eastAsia="Arial" w:hint="default"/>
        </w:rPr>
        <w:t>(2) </w:t>
      </w:r>
      <w:r>
        <w:rPr>
          <w:rFonts w:ascii="Arial" w:hAnsi="Arial" w:cs="Arial" w:eastAsia="Arial" w:hint="default"/>
          <w:spacing w:val="29"/>
        </w:rPr>
        <w:t> </w:t>
      </w:r>
      <w:r>
        <w:rPr/>
        <w:t>确认和计量</w:t>
      </w:r>
    </w:p>
    <w:p>
      <w:pPr>
        <w:pStyle w:val="BodyText"/>
        <w:spacing w:line="232" w:lineRule="auto" w:before="174"/>
        <w:ind w:left="555" w:right="105"/>
        <w:jc w:val="both"/>
      </w:pPr>
      <w:r>
        <w:rPr>
          <w:spacing w:val="-1"/>
        </w:rPr>
        <w:t>除不具有重大融资成分的应收账款外，金融资产在初始确认时以公允价值计量。对于不具有重大融</w:t>
      </w:r>
      <w:r>
        <w:rPr>
          <w:spacing w:val="-63"/>
        </w:rPr>
        <w:t> </w:t>
      </w:r>
      <w:r>
        <w:rPr>
          <w:spacing w:val="-63"/>
        </w:rPr>
      </w:r>
      <w:r>
        <w:rPr/>
        <w:t>资成分的应收账款，本集团按照根据附注三</w:t>
      </w:r>
      <w:r>
        <w:rPr>
          <w:rFonts w:ascii="Arial" w:hAnsi="Arial" w:cs="Arial" w:eastAsia="Arial" w:hint="default"/>
        </w:rPr>
        <w:t>(23)</w:t>
      </w:r>
      <w:r>
        <w:rPr/>
        <w:t>的会计政策确定的交易价格进行初始计量。以公允</w:t>
      </w:r>
      <w:r>
        <w:rPr>
          <w:spacing w:val="-68"/>
        </w:rPr>
        <w:t> </w:t>
      </w:r>
      <w:r>
        <w:rPr>
          <w:spacing w:val="-68"/>
        </w:rPr>
      </w:r>
      <w:r>
        <w:rPr>
          <w:spacing w:val="-1"/>
        </w:rPr>
        <w:t>价值计量且其变动计入当期损益的金融资产，取得时发生的相关交易费用直接计入当期损益。其他</w:t>
      </w:r>
      <w:r>
        <w:rPr>
          <w:spacing w:val="-63"/>
        </w:rPr>
        <w:t> </w:t>
      </w:r>
      <w:r>
        <w:rPr>
          <w:spacing w:val="-63"/>
        </w:rPr>
      </w:r>
      <w:r>
        <w:rPr/>
        <w:t>金融资产的相关交易费用计入初始确认金额。</w:t>
      </w:r>
    </w:p>
    <w:p>
      <w:pPr>
        <w:pStyle w:val="BodyText"/>
        <w:spacing w:line="240" w:lineRule="auto" w:before="198"/>
        <w:ind w:left="555" w:right="0"/>
        <w:jc w:val="both"/>
      </w:pPr>
      <w:r>
        <w:rPr/>
        <w:t>以公允价值计量且其变动计入当期损益的金融资产按照公允价值进行后续计量，产生的利得或损失</w:t>
      </w:r>
    </w:p>
    <w:p>
      <w:pPr>
        <w:pStyle w:val="BodyText"/>
        <w:spacing w:line="240" w:lineRule="auto"/>
        <w:ind w:left="555" w:right="0"/>
        <w:jc w:val="both"/>
      </w:pPr>
      <w:r>
        <w:rPr/>
        <w:t>（包括利息和股利收入）计入当期损益，除非该金融资产属于套期关系的一部分。</w:t>
      </w:r>
    </w:p>
    <w:p>
      <w:pPr>
        <w:spacing w:line="240" w:lineRule="auto" w:before="3"/>
        <w:rPr>
          <w:rFonts w:ascii="宋体" w:hAnsi="宋体" w:cs="宋体" w:eastAsia="宋体" w:hint="default"/>
          <w:sz w:val="19"/>
          <w:szCs w:val="19"/>
        </w:rPr>
      </w:pPr>
    </w:p>
    <w:p>
      <w:pPr>
        <w:pStyle w:val="BodyText"/>
        <w:spacing w:line="237" w:lineRule="auto"/>
        <w:ind w:left="555" w:right="105"/>
        <w:jc w:val="both"/>
      </w:pPr>
      <w:r>
        <w:rPr>
          <w:spacing w:val="-1"/>
        </w:rPr>
        <w:t>以摊余成本计量的金融资产采用实际利率法，以摊余成本计量。以摊余成本计量且不属于任何套期</w:t>
      </w:r>
      <w:r>
        <w:rPr>
          <w:spacing w:val="-63"/>
        </w:rPr>
        <w:t> </w:t>
      </w:r>
      <w:r>
        <w:rPr>
          <w:spacing w:val="-63"/>
        </w:rPr>
      </w:r>
      <w:r>
        <w:rPr>
          <w:spacing w:val="-1"/>
        </w:rPr>
        <w:t>关系的一部分的金融资产所产生的利得或损失，在终止确认、按照实际利率法摊销或确认减值时，</w:t>
      </w:r>
      <w:r>
        <w:rPr>
          <w:spacing w:val="-63"/>
        </w:rPr>
        <w:t> </w:t>
      </w:r>
      <w:r>
        <w:rPr>
          <w:spacing w:val="-63"/>
        </w:rPr>
      </w:r>
      <w:r>
        <w:rPr/>
        <w:t>计入当期损益。</w:t>
      </w:r>
    </w:p>
    <w:p>
      <w:pPr>
        <w:spacing w:line="240" w:lineRule="auto" w:before="4"/>
        <w:rPr>
          <w:rFonts w:ascii="宋体" w:hAnsi="宋体" w:cs="宋体" w:eastAsia="宋体" w:hint="default"/>
          <w:sz w:val="19"/>
          <w:szCs w:val="19"/>
        </w:rPr>
      </w:pPr>
    </w:p>
    <w:p>
      <w:pPr>
        <w:pStyle w:val="BodyText"/>
        <w:spacing w:line="237" w:lineRule="auto"/>
        <w:ind w:left="555" w:right="105"/>
        <w:jc w:val="both"/>
      </w:pPr>
      <w:r>
        <w:rPr>
          <w:spacing w:val="-1"/>
        </w:rPr>
        <w:t>以公允价值计量且其变动计入其他综合收益的权益工具投资以公允价值进行后续计量。股利收入计</w:t>
      </w:r>
      <w:r>
        <w:rPr>
          <w:spacing w:val="-63"/>
        </w:rPr>
        <w:t> </w:t>
      </w:r>
      <w:r>
        <w:rPr>
          <w:spacing w:val="-63"/>
        </w:rPr>
      </w:r>
      <w:r>
        <w:rPr>
          <w:spacing w:val="-1"/>
        </w:rPr>
        <w:t>入损益，其他利得或损失计入其他综合收益。终止确认时，将之前计入其他综合收益的累计利得或</w:t>
      </w:r>
      <w:r>
        <w:rPr>
          <w:spacing w:val="-63"/>
        </w:rPr>
        <w:t> </w:t>
      </w:r>
      <w:r>
        <w:rPr>
          <w:spacing w:val="-63"/>
        </w:rPr>
      </w:r>
      <w:r>
        <w:rPr/>
        <w:t>损失从其他综合收益中转出，计入留存收益。</w:t>
      </w:r>
    </w:p>
    <w:p>
      <w:pPr>
        <w:spacing w:line="240" w:lineRule="auto" w:before="12"/>
        <w:rPr>
          <w:rFonts w:ascii="宋体" w:hAnsi="宋体" w:cs="宋体" w:eastAsia="宋体" w:hint="default"/>
          <w:sz w:val="16"/>
          <w:szCs w:val="16"/>
        </w:rPr>
      </w:pPr>
    </w:p>
    <w:p>
      <w:pPr>
        <w:pStyle w:val="BodyText"/>
        <w:spacing w:line="412" w:lineRule="auto"/>
        <w:ind w:left="555" w:right="1768" w:hanging="423"/>
        <w:jc w:val="left"/>
      </w:pPr>
      <w:r>
        <w:rPr>
          <w:rFonts w:ascii="Arial" w:hAnsi="Arial" w:cs="Arial" w:eastAsia="Arial" w:hint="default"/>
        </w:rPr>
        <w:t>(3)</w:t>
      </w:r>
      <w:r>
        <w:rPr>
          <w:rFonts w:ascii="Arial" w:hAnsi="Arial" w:cs="Arial" w:eastAsia="Arial" w:hint="default"/>
          <w:spacing w:val="25"/>
        </w:rPr>
        <w:t> </w:t>
      </w:r>
      <w:r>
        <w:rPr/>
        <w:t>金融资产减值</w:t>
      </w:r>
      <w:r>
        <w:rPr>
          <w:spacing w:val="-105"/>
        </w:rPr>
        <w:t> </w:t>
      </w:r>
      <w:r>
        <w:rPr>
          <w:spacing w:val="-1"/>
        </w:rPr>
        <w:t>本集团以预期信用损失为基础，对下列项目进行减值会计处理并确认损失准备：</w:t>
      </w:r>
    </w:p>
    <w:p>
      <w:pPr>
        <w:pStyle w:val="BodyText"/>
        <w:spacing w:line="293" w:lineRule="exact" w:before="91"/>
        <w:ind w:left="564" w:right="0"/>
        <w:jc w:val="both"/>
      </w:pPr>
      <w:r>
        <w:rPr>
          <w:rFonts w:ascii="Arial" w:hAnsi="Arial" w:cs="Arial" w:eastAsia="Arial" w:hint="default"/>
        </w:rPr>
        <w:t>-     </w:t>
      </w:r>
      <w:r>
        <w:rPr>
          <w:rFonts w:ascii="Arial" w:hAnsi="Arial" w:cs="Arial" w:eastAsia="Arial" w:hint="default"/>
          <w:spacing w:val="1"/>
        </w:rPr>
        <w:t> </w:t>
      </w:r>
      <w:r>
        <w:rPr/>
        <w:t>以摊余成本计量的金融资产；</w:t>
      </w:r>
    </w:p>
    <w:p>
      <w:pPr>
        <w:pStyle w:val="BodyText"/>
        <w:spacing w:line="293" w:lineRule="exact"/>
        <w:ind w:left="564" w:right="0"/>
        <w:jc w:val="both"/>
      </w:pPr>
      <w:r>
        <w:rPr>
          <w:rFonts w:ascii="Arial" w:hAnsi="Arial" w:cs="Arial" w:eastAsia="Arial" w:hint="default"/>
        </w:rPr>
        <w:t>-      </w:t>
      </w:r>
      <w:r>
        <w:rPr/>
        <w:t>合同资产；</w:t>
      </w:r>
    </w:p>
    <w:p>
      <w:pPr>
        <w:spacing w:line="240" w:lineRule="auto" w:before="1"/>
        <w:rPr>
          <w:rFonts w:ascii="宋体" w:hAnsi="宋体" w:cs="宋体" w:eastAsia="宋体" w:hint="default"/>
          <w:sz w:val="18"/>
          <w:szCs w:val="18"/>
        </w:rPr>
      </w:pPr>
    </w:p>
    <w:p>
      <w:pPr>
        <w:pStyle w:val="BodyText"/>
        <w:spacing w:line="237" w:lineRule="auto"/>
        <w:ind w:left="554" w:right="106"/>
        <w:jc w:val="both"/>
      </w:pPr>
      <w:r>
        <w:rPr>
          <w:spacing w:val="-1"/>
        </w:rPr>
        <w:t>本集团持有的其他以公允价值计量的金融资产不适用预期信用损失模型，包括以公允价值计量且其</w:t>
      </w:r>
      <w:r>
        <w:rPr>
          <w:spacing w:val="-63"/>
        </w:rPr>
        <w:t> </w:t>
      </w:r>
      <w:r>
        <w:rPr>
          <w:spacing w:val="-63"/>
        </w:rPr>
      </w:r>
      <w:r>
        <w:rPr>
          <w:spacing w:val="-1"/>
        </w:rPr>
        <w:t>变动计入当期损益的权益工具投资，以及指定为以公允价值计量且其变动计入其他综合收益的权益</w:t>
      </w:r>
      <w:r>
        <w:rPr>
          <w:spacing w:val="-63"/>
        </w:rPr>
        <w:t> </w:t>
      </w:r>
      <w:r>
        <w:rPr>
          <w:spacing w:val="-63"/>
        </w:rPr>
      </w:r>
      <w:r>
        <w:rPr/>
        <w:t>工具投资。</w:t>
      </w:r>
    </w:p>
    <w:p>
      <w:pPr>
        <w:spacing w:after="0" w:line="237" w:lineRule="auto"/>
        <w:jc w:val="both"/>
        <w:sectPr>
          <w:headerReference w:type="default" r:id="rId111"/>
          <w:pgSz w:w="11910" w:h="16840"/>
          <w:pgMar w:header="842" w:footer="502" w:top="3720" w:bottom="700" w:left="860" w:right="920"/>
        </w:sectPr>
      </w:pPr>
    </w:p>
    <w:p>
      <w:pPr>
        <w:spacing w:line="240" w:lineRule="auto" w:before="3"/>
        <w:rPr>
          <w:rFonts w:ascii="宋体" w:hAnsi="宋体" w:cs="宋体" w:eastAsia="宋体" w:hint="default"/>
          <w:sz w:val="14"/>
          <w:szCs w:val="14"/>
        </w:rPr>
      </w:pPr>
    </w:p>
    <w:p>
      <w:pPr>
        <w:pStyle w:val="BodyText"/>
        <w:tabs>
          <w:tab w:pos="545" w:val="left" w:leader="none"/>
        </w:tabs>
        <w:spacing w:line="240" w:lineRule="auto" w:before="32"/>
        <w:ind w:left="133" w:right="0"/>
        <w:jc w:val="left"/>
      </w:pPr>
      <w:r>
        <w:rPr>
          <w:rFonts w:ascii="Arial" w:hAnsi="Arial" w:cs="Arial" w:eastAsia="Arial" w:hint="default"/>
          <w:spacing w:val="-1"/>
        </w:rPr>
        <w:t>(i)</w:t>
        <w:tab/>
      </w:r>
      <w:r>
        <w:rPr/>
        <w:t>预期信用损失的计量</w:t>
      </w:r>
    </w:p>
    <w:p>
      <w:pPr>
        <w:spacing w:line="240" w:lineRule="auto" w:before="7"/>
        <w:rPr>
          <w:rFonts w:ascii="宋体" w:hAnsi="宋体" w:cs="宋体" w:eastAsia="宋体" w:hint="default"/>
          <w:sz w:val="20"/>
          <w:szCs w:val="20"/>
        </w:rPr>
      </w:pPr>
    </w:p>
    <w:p>
      <w:pPr>
        <w:pStyle w:val="BodyText"/>
        <w:spacing w:line="284" w:lineRule="exact"/>
        <w:ind w:left="555" w:right="325"/>
        <w:jc w:val="both"/>
      </w:pPr>
      <w:r>
        <w:rPr>
          <w:spacing w:val="-1"/>
        </w:rPr>
        <w:t>预期信用损失，是指以发生违约的风险为权重的金融工具信用损失的加权平均值。信用损失，是指</w:t>
      </w:r>
      <w:r>
        <w:rPr>
          <w:spacing w:val="-63"/>
        </w:rPr>
        <w:t> </w:t>
      </w:r>
      <w:r>
        <w:rPr>
          <w:spacing w:val="-63"/>
        </w:rPr>
      </w:r>
      <w:r>
        <w:rPr>
          <w:spacing w:val="-1"/>
        </w:rPr>
        <w:t>本集团按照原实际利率折现的、根据合同应收的所有合同现金流量与预期收取的所有现金流量之间</w:t>
      </w:r>
      <w:r>
        <w:rPr>
          <w:spacing w:val="-63"/>
        </w:rPr>
        <w:t> </w:t>
      </w:r>
      <w:r>
        <w:rPr>
          <w:spacing w:val="-63"/>
        </w:rPr>
      </w:r>
      <w:r>
        <w:rPr/>
        <w:t>的差额，即全部现金短缺的现值。</w:t>
      </w:r>
    </w:p>
    <w:p>
      <w:pPr>
        <w:spacing w:line="240" w:lineRule="auto" w:before="10"/>
        <w:rPr>
          <w:rFonts w:ascii="宋体" w:hAnsi="宋体" w:cs="宋体" w:eastAsia="宋体" w:hint="default"/>
          <w:sz w:val="19"/>
          <w:szCs w:val="19"/>
        </w:rPr>
      </w:pPr>
    </w:p>
    <w:p>
      <w:pPr>
        <w:pStyle w:val="BodyText"/>
        <w:spacing w:line="284" w:lineRule="exact"/>
        <w:ind w:left="555" w:right="325"/>
        <w:jc w:val="both"/>
      </w:pPr>
      <w:r>
        <w:rPr>
          <w:spacing w:val="-1"/>
        </w:rPr>
        <w:t>在计量预期信用损失时，本集团需考虑的最长期限为企业面临信用风险的最长合同期限（包括考虑</w:t>
      </w:r>
      <w:r>
        <w:rPr>
          <w:spacing w:val="-63"/>
        </w:rPr>
        <w:t> </w:t>
      </w:r>
      <w:r>
        <w:rPr>
          <w:spacing w:val="-63"/>
        </w:rPr>
      </w:r>
      <w:r>
        <w:rPr/>
        <w:t>续约选择权）。</w:t>
      </w:r>
    </w:p>
    <w:p>
      <w:pPr>
        <w:spacing w:line="240" w:lineRule="auto" w:before="1"/>
        <w:rPr>
          <w:rFonts w:ascii="宋体" w:hAnsi="宋体" w:cs="宋体" w:eastAsia="宋体" w:hint="default"/>
          <w:sz w:val="17"/>
          <w:szCs w:val="17"/>
        </w:rPr>
      </w:pPr>
    </w:p>
    <w:p>
      <w:pPr>
        <w:pStyle w:val="BodyText"/>
        <w:spacing w:line="240" w:lineRule="auto"/>
        <w:ind w:left="555" w:right="325"/>
        <w:jc w:val="both"/>
      </w:pPr>
      <w:r>
        <w:rPr>
          <w:spacing w:val="-1"/>
        </w:rPr>
        <w:t>整个存续期预期信用损失，是指因金融工具整个预计存续期内所有可能发生的违约事件而导致的预</w:t>
      </w:r>
      <w:r>
        <w:rPr>
          <w:spacing w:val="-63"/>
        </w:rPr>
        <w:t> </w:t>
      </w:r>
      <w:r>
        <w:rPr>
          <w:spacing w:val="-63"/>
        </w:rPr>
      </w:r>
      <w:r>
        <w:rPr/>
        <w:t>期信用损失。</w:t>
      </w:r>
    </w:p>
    <w:p>
      <w:pPr>
        <w:spacing w:line="240" w:lineRule="auto" w:before="9"/>
        <w:rPr>
          <w:rFonts w:ascii="宋体" w:hAnsi="宋体" w:cs="宋体" w:eastAsia="宋体" w:hint="default"/>
          <w:sz w:val="19"/>
          <w:szCs w:val="19"/>
        </w:rPr>
      </w:pPr>
    </w:p>
    <w:p>
      <w:pPr>
        <w:pStyle w:val="BodyText"/>
        <w:spacing w:line="232" w:lineRule="auto"/>
        <w:ind w:left="555" w:right="325"/>
        <w:jc w:val="both"/>
      </w:pPr>
      <w:r>
        <w:rPr>
          <w:spacing w:val="-3"/>
        </w:rPr>
        <w:t>未来</w:t>
      </w:r>
      <w:r>
        <w:rPr>
          <w:rFonts w:ascii="Arial" w:hAnsi="Arial" w:cs="Arial" w:eastAsia="Arial" w:hint="default"/>
          <w:spacing w:val="-3"/>
        </w:rPr>
        <w:t>12</w:t>
      </w:r>
      <w:r>
        <w:rPr>
          <w:spacing w:val="-3"/>
        </w:rPr>
        <w:t>个月内预期信用损失，是指因资产负债表日后</w:t>
      </w:r>
      <w:r>
        <w:rPr>
          <w:rFonts w:ascii="Arial" w:hAnsi="Arial" w:cs="Arial" w:eastAsia="Arial" w:hint="default"/>
          <w:spacing w:val="-3"/>
        </w:rPr>
        <w:t>12</w:t>
      </w:r>
      <w:r>
        <w:rPr>
          <w:spacing w:val="-3"/>
        </w:rPr>
        <w:t>个月内（若金融工具的预计存续期少于</w:t>
      </w:r>
      <w:r>
        <w:rPr>
          <w:rFonts w:ascii="Arial" w:hAnsi="Arial" w:cs="Arial" w:eastAsia="Arial" w:hint="default"/>
          <w:spacing w:val="-3"/>
        </w:rPr>
        <w:t>12</w:t>
      </w:r>
      <w:r>
        <w:rPr>
          <w:spacing w:val="-3"/>
        </w:rPr>
        <w:t>个</w:t>
      </w:r>
      <w:r>
        <w:rPr>
          <w:spacing w:val="-44"/>
        </w:rPr>
        <w:t> </w:t>
      </w:r>
      <w:r>
        <w:rPr>
          <w:spacing w:val="-1"/>
        </w:rPr>
        <w:t>月，则为预计存续期）可能发生的金融工具违约事件而导致的预期信用损失，是整个存续期预期信</w:t>
      </w:r>
      <w:r>
        <w:rPr>
          <w:spacing w:val="-63"/>
        </w:rPr>
        <w:t> </w:t>
      </w:r>
      <w:r>
        <w:rPr>
          <w:spacing w:val="-63"/>
        </w:rPr>
      </w:r>
      <w:r>
        <w:rPr/>
        <w:t>用损失的一部分。</w:t>
      </w:r>
    </w:p>
    <w:p>
      <w:pPr>
        <w:spacing w:line="240" w:lineRule="auto" w:before="4"/>
        <w:rPr>
          <w:rFonts w:ascii="宋体" w:hAnsi="宋体" w:cs="宋体" w:eastAsia="宋体" w:hint="default"/>
          <w:sz w:val="19"/>
          <w:szCs w:val="19"/>
        </w:rPr>
      </w:pPr>
    </w:p>
    <w:p>
      <w:pPr>
        <w:pStyle w:val="BodyText"/>
        <w:spacing w:line="237" w:lineRule="auto"/>
        <w:ind w:left="555" w:right="325"/>
        <w:jc w:val="both"/>
      </w:pPr>
      <w:r>
        <w:rPr>
          <w:spacing w:val="-1"/>
        </w:rPr>
        <w:t>对于应收账款、合同资产，本集团始终按照相当于整个存续期内预期信用损失的金额计量其损失准</w:t>
      </w:r>
      <w:r>
        <w:rPr>
          <w:spacing w:val="-63"/>
        </w:rPr>
        <w:t> </w:t>
      </w:r>
      <w:r>
        <w:rPr>
          <w:spacing w:val="-63"/>
        </w:rPr>
      </w:r>
      <w:r>
        <w:rPr>
          <w:spacing w:val="-1"/>
        </w:rPr>
        <w:t>备。本集团基于历史信用损失经验、使用准备矩阵计算上述金融资产的预期信用损失，相关历史经</w:t>
      </w:r>
      <w:r>
        <w:rPr>
          <w:spacing w:val="-63"/>
        </w:rPr>
        <w:t> </w:t>
      </w:r>
      <w:r>
        <w:rPr>
          <w:spacing w:val="-63"/>
        </w:rPr>
      </w:r>
      <w:r>
        <w:rPr/>
        <w:t>验根据资产负债表日借款人的特定因素，以及对当前状况和未来经济状况预测的评估进行调整。</w:t>
      </w:r>
    </w:p>
    <w:p>
      <w:pPr>
        <w:spacing w:line="240" w:lineRule="auto" w:before="9"/>
        <w:rPr>
          <w:rFonts w:ascii="宋体" w:hAnsi="宋体" w:cs="宋体" w:eastAsia="宋体" w:hint="default"/>
          <w:sz w:val="19"/>
          <w:szCs w:val="19"/>
        </w:rPr>
      </w:pPr>
    </w:p>
    <w:p>
      <w:pPr>
        <w:pStyle w:val="BodyText"/>
        <w:spacing w:line="232" w:lineRule="auto"/>
        <w:ind w:left="555" w:right="325"/>
        <w:jc w:val="both"/>
      </w:pPr>
      <w:r>
        <w:rPr>
          <w:spacing w:val="-2"/>
        </w:rPr>
        <w:t>除应收账款、合同资产外，本集团对满足下列情形的金融工具按照相当于未来</w:t>
      </w:r>
      <w:r>
        <w:rPr>
          <w:rFonts w:ascii="Arial" w:hAnsi="Arial" w:cs="Arial" w:eastAsia="Arial" w:hint="default"/>
          <w:spacing w:val="-2"/>
        </w:rPr>
        <w:t>12</w:t>
      </w:r>
      <w:r>
        <w:rPr>
          <w:spacing w:val="-2"/>
        </w:rPr>
        <w:t>个月内预期信用损</w:t>
      </w:r>
      <w:r>
        <w:rPr>
          <w:spacing w:val="-49"/>
        </w:rPr>
        <w:t> </w:t>
      </w:r>
      <w:r>
        <w:rPr>
          <w:spacing w:val="-49"/>
        </w:rPr>
      </w:r>
      <w:r>
        <w:rPr>
          <w:spacing w:val="-1"/>
        </w:rPr>
        <w:t>失的金额计量其损失准备，对其他金融工具按照相当于整个存续期内预期信用损失的金额计量其损</w:t>
      </w:r>
      <w:r>
        <w:rPr>
          <w:spacing w:val="-63"/>
        </w:rPr>
        <w:t> </w:t>
      </w:r>
      <w:r>
        <w:rPr>
          <w:spacing w:val="-63"/>
        </w:rPr>
      </w:r>
      <w:r>
        <w:rPr/>
        <w:t>失准备：</w:t>
      </w:r>
    </w:p>
    <w:p>
      <w:pPr>
        <w:spacing w:line="240" w:lineRule="auto" w:before="2"/>
        <w:rPr>
          <w:rFonts w:ascii="宋体" w:hAnsi="宋体" w:cs="宋体" w:eastAsia="宋体" w:hint="default"/>
          <w:sz w:val="19"/>
          <w:szCs w:val="19"/>
        </w:rPr>
      </w:pPr>
    </w:p>
    <w:p>
      <w:pPr>
        <w:pStyle w:val="BodyText"/>
        <w:spacing w:line="293" w:lineRule="exact"/>
        <w:ind w:left="565" w:right="0"/>
        <w:jc w:val="both"/>
      </w:pPr>
      <w:r>
        <w:rPr>
          <w:rFonts w:ascii="Arial" w:hAnsi="Arial" w:cs="Arial" w:eastAsia="Arial" w:hint="default"/>
        </w:rPr>
        <w:t>-    </w:t>
      </w:r>
      <w:r>
        <w:rPr>
          <w:rFonts w:ascii="Arial" w:hAnsi="Arial" w:cs="Arial" w:eastAsia="Arial" w:hint="default"/>
          <w:spacing w:val="56"/>
        </w:rPr>
        <w:t> </w:t>
      </w:r>
      <w:r>
        <w:rPr/>
        <w:t>该金融工具在资产负债表日只具有较低的信用风险；或</w:t>
      </w:r>
    </w:p>
    <w:p>
      <w:pPr>
        <w:pStyle w:val="BodyText"/>
        <w:spacing w:line="293" w:lineRule="exact"/>
        <w:ind w:left="565" w:right="0"/>
        <w:jc w:val="both"/>
      </w:pPr>
      <w:r>
        <w:rPr>
          <w:rFonts w:ascii="Arial" w:hAnsi="Arial" w:cs="Arial" w:eastAsia="Arial" w:hint="default"/>
        </w:rPr>
        <w:t>-    </w:t>
      </w:r>
      <w:r>
        <w:rPr>
          <w:rFonts w:ascii="Arial" w:hAnsi="Arial" w:cs="Arial" w:eastAsia="Arial" w:hint="default"/>
          <w:spacing w:val="55"/>
        </w:rPr>
        <w:t> </w:t>
      </w:r>
      <w:r>
        <w:rPr/>
        <w:t>该金融工具的信用风险自初始确认后并未显著增加。</w:t>
      </w:r>
    </w:p>
    <w:p>
      <w:pPr>
        <w:spacing w:line="240" w:lineRule="auto" w:before="11"/>
        <w:rPr>
          <w:rFonts w:ascii="宋体" w:hAnsi="宋体" w:cs="宋体" w:eastAsia="宋体" w:hint="default"/>
          <w:sz w:val="17"/>
          <w:szCs w:val="17"/>
        </w:rPr>
      </w:pPr>
    </w:p>
    <w:p>
      <w:pPr>
        <w:pStyle w:val="BodyText"/>
        <w:tabs>
          <w:tab w:pos="593" w:val="left" w:leader="none"/>
        </w:tabs>
        <w:spacing w:line="240" w:lineRule="auto"/>
        <w:ind w:left="132" w:right="0"/>
        <w:jc w:val="left"/>
      </w:pPr>
      <w:r>
        <w:rPr>
          <w:rFonts w:ascii="Arial" w:hAnsi="Arial" w:cs="Arial" w:eastAsia="Arial" w:hint="default"/>
          <w:spacing w:val="-1"/>
        </w:rPr>
        <w:t>(ii)</w:t>
        <w:tab/>
      </w:r>
      <w:r>
        <w:rPr/>
        <w:t>具有较低的信用风险</w:t>
      </w:r>
    </w:p>
    <w:p>
      <w:pPr>
        <w:spacing w:line="240" w:lineRule="auto" w:before="7"/>
        <w:rPr>
          <w:rFonts w:ascii="宋体" w:hAnsi="宋体" w:cs="宋体" w:eastAsia="宋体" w:hint="default"/>
          <w:sz w:val="20"/>
          <w:szCs w:val="20"/>
        </w:rPr>
      </w:pPr>
    </w:p>
    <w:p>
      <w:pPr>
        <w:pStyle w:val="BodyText"/>
        <w:spacing w:line="284" w:lineRule="exact"/>
        <w:ind w:left="555" w:right="0"/>
        <w:jc w:val="left"/>
      </w:pPr>
      <w:r>
        <w:rPr/>
        <w:t>如果金融工具的违约风险较低，欠款人在短期内履行其合同现金流量义务的能力很强，并且即便较</w:t>
      </w:r>
      <w:r>
        <w:rPr>
          <w:spacing w:val="-106"/>
        </w:rPr>
        <w:t> </w:t>
      </w:r>
      <w:r>
        <w:rPr>
          <w:spacing w:val="-106"/>
        </w:rPr>
      </w:r>
      <w:r>
        <w:rPr>
          <w:spacing w:val="-1"/>
        </w:rPr>
        <w:t>长时期内经济形势和经营环境存在不利变化但未必一定降低欠款人履行其合同现金流量义务的能力，</w:t>
      </w:r>
      <w:r>
        <w:rPr>
          <w:spacing w:val="-66"/>
        </w:rPr>
        <w:t> </w:t>
      </w:r>
      <w:r>
        <w:rPr>
          <w:spacing w:val="-66"/>
        </w:rPr>
      </w:r>
      <w:r>
        <w:rPr/>
        <w:t>该金融工具被视为具有较低的信用风险。</w:t>
      </w:r>
    </w:p>
    <w:p>
      <w:pPr>
        <w:spacing w:line="240" w:lineRule="auto" w:before="6"/>
        <w:rPr>
          <w:rFonts w:ascii="宋体" w:hAnsi="宋体" w:cs="宋体" w:eastAsia="宋体" w:hint="default"/>
          <w:sz w:val="17"/>
          <w:szCs w:val="17"/>
        </w:rPr>
      </w:pPr>
    </w:p>
    <w:p>
      <w:pPr>
        <w:pStyle w:val="BodyText"/>
        <w:spacing w:line="240" w:lineRule="auto"/>
        <w:ind w:left="555" w:right="0"/>
        <w:jc w:val="both"/>
      </w:pPr>
      <w:r>
        <w:rPr/>
        <w:t>由于银行存款主要存放于信用良好的国有及其他大型银行，本集团认为银行存款具有低信用风险。</w:t>
      </w:r>
    </w:p>
    <w:p>
      <w:pPr>
        <w:spacing w:after="0" w:line="240" w:lineRule="auto"/>
        <w:jc w:val="both"/>
        <w:sectPr>
          <w:headerReference w:type="default" r:id="rId112"/>
          <w:pgSz w:w="11910" w:h="16840"/>
          <w:pgMar w:header="842" w:footer="502" w:top="4200" w:bottom="700" w:left="860" w:right="700"/>
        </w:sectPr>
      </w:pPr>
    </w:p>
    <w:p>
      <w:pPr>
        <w:spacing w:line="240" w:lineRule="auto" w:before="3"/>
        <w:rPr>
          <w:rFonts w:ascii="宋体" w:hAnsi="宋体" w:cs="宋体" w:eastAsia="宋体" w:hint="default"/>
          <w:sz w:val="14"/>
          <w:szCs w:val="14"/>
        </w:rPr>
      </w:pPr>
    </w:p>
    <w:p>
      <w:pPr>
        <w:pStyle w:val="BodyText"/>
        <w:spacing w:line="240" w:lineRule="auto" w:before="32"/>
        <w:ind w:left="133" w:right="6028"/>
        <w:jc w:val="left"/>
      </w:pPr>
      <w:r>
        <w:rPr>
          <w:rFonts w:ascii="Arial" w:hAnsi="Arial" w:cs="Arial" w:eastAsia="Arial" w:hint="default"/>
        </w:rPr>
        <w:t>(iii)</w:t>
      </w:r>
      <w:r>
        <w:rPr>
          <w:rFonts w:ascii="Arial" w:hAnsi="Arial" w:cs="Arial" w:eastAsia="Arial" w:hint="default"/>
          <w:spacing w:val="46"/>
        </w:rPr>
        <w:t> </w:t>
      </w:r>
      <w:r>
        <w:rPr/>
        <w:t>信用风险显著增加</w:t>
      </w:r>
    </w:p>
    <w:p>
      <w:pPr>
        <w:spacing w:line="240" w:lineRule="auto" w:before="7"/>
        <w:rPr>
          <w:rFonts w:ascii="宋体" w:hAnsi="宋体" w:cs="宋体" w:eastAsia="宋体" w:hint="default"/>
          <w:sz w:val="20"/>
          <w:szCs w:val="20"/>
        </w:rPr>
      </w:pPr>
    </w:p>
    <w:p>
      <w:pPr>
        <w:pStyle w:val="BodyText"/>
        <w:spacing w:line="284" w:lineRule="exact"/>
        <w:ind w:left="555" w:right="105"/>
        <w:jc w:val="both"/>
      </w:pPr>
      <w:r>
        <w:rPr>
          <w:spacing w:val="-1"/>
        </w:rPr>
        <w:t>本集团通过比较金融工具在资产负债表日发生违约的风险与在初始确认日发生违约的风险，以确定</w:t>
      </w:r>
      <w:r>
        <w:rPr>
          <w:spacing w:val="-63"/>
        </w:rPr>
        <w:t> </w:t>
      </w:r>
      <w:r>
        <w:rPr>
          <w:spacing w:val="-63"/>
        </w:rPr>
      </w:r>
      <w:r>
        <w:rPr>
          <w:spacing w:val="-1"/>
        </w:rPr>
        <w:t>金融工具预计存续期内发生违约风险的相对变化，进而评估金融工具的信用风险自初始确认后是否</w:t>
      </w:r>
      <w:r>
        <w:rPr>
          <w:spacing w:val="-63"/>
        </w:rPr>
        <w:t> </w:t>
      </w:r>
      <w:r>
        <w:rPr>
          <w:spacing w:val="-63"/>
        </w:rPr>
      </w:r>
      <w:r>
        <w:rPr/>
        <w:t>已显著增加。</w:t>
      </w:r>
    </w:p>
    <w:p>
      <w:pPr>
        <w:spacing w:line="240" w:lineRule="auto" w:before="10"/>
        <w:rPr>
          <w:rFonts w:ascii="宋体" w:hAnsi="宋体" w:cs="宋体" w:eastAsia="宋体" w:hint="default"/>
          <w:sz w:val="19"/>
          <w:szCs w:val="19"/>
        </w:rPr>
      </w:pPr>
    </w:p>
    <w:p>
      <w:pPr>
        <w:pStyle w:val="BodyText"/>
        <w:spacing w:line="284" w:lineRule="exact"/>
        <w:ind w:left="555" w:right="105"/>
        <w:jc w:val="both"/>
      </w:pPr>
      <w:r>
        <w:rPr>
          <w:spacing w:val="-1"/>
        </w:rPr>
        <w:t>在确定信用风险自初始确认后是否显著增加时，本集团考虑无须付出不必要的额外成本或努力即可</w:t>
      </w:r>
      <w:r>
        <w:rPr>
          <w:spacing w:val="-63"/>
        </w:rPr>
        <w:t> </w:t>
      </w:r>
      <w:r>
        <w:rPr>
          <w:spacing w:val="-63"/>
        </w:rPr>
      </w:r>
      <w:r>
        <w:rPr/>
        <w:t>获得的合理且有依据的信息，包括前瞻性信息。本集团考虑的信息包括：</w:t>
      </w:r>
    </w:p>
    <w:p>
      <w:pPr>
        <w:spacing w:line="240" w:lineRule="auto" w:before="1"/>
        <w:rPr>
          <w:rFonts w:ascii="宋体" w:hAnsi="宋体" w:cs="宋体" w:eastAsia="宋体" w:hint="default"/>
          <w:sz w:val="17"/>
          <w:szCs w:val="17"/>
        </w:rPr>
      </w:pPr>
    </w:p>
    <w:p>
      <w:pPr>
        <w:pStyle w:val="BodyText"/>
        <w:spacing w:line="296" w:lineRule="exact"/>
        <w:ind w:left="565" w:right="0"/>
        <w:jc w:val="both"/>
      </w:pPr>
      <w:r>
        <w:rPr>
          <w:rFonts w:ascii="Arial" w:hAnsi="Arial" w:cs="Arial" w:eastAsia="Arial" w:hint="default"/>
        </w:rPr>
        <w:t>-    </w:t>
      </w:r>
      <w:r>
        <w:rPr>
          <w:rFonts w:ascii="Arial" w:hAnsi="Arial" w:cs="Arial" w:eastAsia="Arial" w:hint="default"/>
          <w:spacing w:val="60"/>
        </w:rPr>
        <w:t> </w:t>
      </w:r>
      <w:r>
        <w:rPr/>
        <w:t>债务人未能按合同到期日支付本金和利息的情况；</w:t>
      </w:r>
    </w:p>
    <w:p>
      <w:pPr>
        <w:pStyle w:val="BodyText"/>
        <w:spacing w:line="286" w:lineRule="exact"/>
        <w:ind w:left="565" w:right="0"/>
        <w:jc w:val="both"/>
      </w:pPr>
      <w:r>
        <w:rPr>
          <w:rFonts w:ascii="Arial" w:hAnsi="Arial" w:cs="Arial" w:eastAsia="Arial" w:hint="default"/>
        </w:rPr>
        <w:t>-    </w:t>
      </w:r>
      <w:r>
        <w:rPr>
          <w:rFonts w:ascii="Arial" w:hAnsi="Arial" w:cs="Arial" w:eastAsia="Arial" w:hint="default"/>
          <w:spacing w:val="57"/>
        </w:rPr>
        <w:t> </w:t>
      </w:r>
      <w:r>
        <w:rPr/>
        <w:t>已发生的或预期的金融工具的外部或内部信用评级（如有）的严重恶化；</w:t>
      </w:r>
    </w:p>
    <w:p>
      <w:pPr>
        <w:pStyle w:val="BodyText"/>
        <w:spacing w:line="283" w:lineRule="exact"/>
        <w:ind w:left="565" w:right="0"/>
        <w:jc w:val="both"/>
      </w:pPr>
      <w:r>
        <w:rPr>
          <w:rFonts w:ascii="Arial" w:hAnsi="Arial" w:cs="Arial" w:eastAsia="Arial" w:hint="default"/>
        </w:rPr>
        <w:t>-    </w:t>
      </w:r>
      <w:r>
        <w:rPr>
          <w:rFonts w:ascii="Arial" w:hAnsi="Arial" w:cs="Arial" w:eastAsia="Arial" w:hint="default"/>
          <w:spacing w:val="59"/>
        </w:rPr>
        <w:t> </w:t>
      </w:r>
      <w:r>
        <w:rPr/>
        <w:t>已发生的或预期的债务人经营成果的严重恶化；</w:t>
      </w:r>
    </w:p>
    <w:p>
      <w:pPr>
        <w:pStyle w:val="BodyText"/>
        <w:tabs>
          <w:tab w:pos="1001" w:val="left" w:leader="none"/>
        </w:tabs>
        <w:spacing w:line="288" w:lineRule="exact" w:before="16"/>
        <w:ind w:left="1001" w:right="110" w:hanging="437"/>
        <w:jc w:val="left"/>
      </w:pPr>
      <w:r>
        <w:rPr>
          <w:rFonts w:ascii="Arial" w:hAnsi="Arial" w:cs="Arial" w:eastAsia="Arial" w:hint="default"/>
        </w:rPr>
        <w:t>-</w:t>
        <w:tab/>
      </w:r>
      <w:r>
        <w:rPr>
          <w:spacing w:val="-1"/>
        </w:rPr>
        <w:t>现存的或预期的技术、市场、经济或法律环境变化，并将对债务人对本集团的还款能力产生重</w:t>
      </w:r>
      <w:r>
        <w:rPr>
          <w:spacing w:val="-77"/>
        </w:rPr>
        <w:t> </w:t>
      </w:r>
      <w:r>
        <w:rPr>
          <w:spacing w:val="-77"/>
        </w:rPr>
      </w:r>
      <w:r>
        <w:rPr/>
        <w:t>大不利影响。</w:t>
      </w:r>
    </w:p>
    <w:p>
      <w:pPr>
        <w:spacing w:line="240" w:lineRule="auto" w:before="3"/>
        <w:rPr>
          <w:rFonts w:ascii="宋体" w:hAnsi="宋体" w:cs="宋体" w:eastAsia="宋体" w:hint="default"/>
          <w:sz w:val="17"/>
          <w:szCs w:val="17"/>
        </w:rPr>
      </w:pPr>
    </w:p>
    <w:p>
      <w:pPr>
        <w:pStyle w:val="BodyText"/>
        <w:spacing w:line="237" w:lineRule="auto"/>
        <w:ind w:left="555" w:right="105"/>
        <w:jc w:val="both"/>
      </w:pPr>
      <w:r>
        <w:rPr>
          <w:spacing w:val="-1"/>
        </w:rPr>
        <w:t>根据金融工具的性质，本集团以单项金融工具或金融工具组合为基础评估信用风险是否显著增加。</w:t>
      </w:r>
      <w:r>
        <w:rPr>
          <w:spacing w:val="-63"/>
        </w:rPr>
        <w:t> </w:t>
      </w:r>
      <w:r>
        <w:rPr>
          <w:spacing w:val="-63"/>
        </w:rPr>
      </w:r>
      <w:r>
        <w:rPr>
          <w:spacing w:val="-1"/>
        </w:rPr>
        <w:t>以金融工具组合为基础进行评估时，本集团可基于共同信用风险特征对金融工具进行分类，例如逾</w:t>
      </w:r>
      <w:r>
        <w:rPr>
          <w:spacing w:val="-63"/>
        </w:rPr>
        <w:t> </w:t>
      </w:r>
      <w:r>
        <w:rPr>
          <w:spacing w:val="-63"/>
        </w:rPr>
      </w:r>
      <w:r>
        <w:rPr/>
        <w:t>期信息和信用风险评级。</w:t>
      </w:r>
    </w:p>
    <w:p>
      <w:pPr>
        <w:spacing w:line="240" w:lineRule="auto" w:before="1"/>
        <w:rPr>
          <w:rFonts w:ascii="宋体" w:hAnsi="宋体" w:cs="宋体" w:eastAsia="宋体" w:hint="default"/>
          <w:sz w:val="19"/>
          <w:szCs w:val="19"/>
        </w:rPr>
      </w:pPr>
    </w:p>
    <w:p>
      <w:pPr>
        <w:pStyle w:val="BodyText"/>
        <w:spacing w:line="240" w:lineRule="auto"/>
        <w:ind w:left="132" w:right="6028"/>
        <w:jc w:val="left"/>
      </w:pPr>
      <w:r>
        <w:rPr>
          <w:rFonts w:ascii="Arial" w:hAnsi="Arial" w:cs="Arial" w:eastAsia="Arial" w:hint="default"/>
        </w:rPr>
        <w:t>(iv)</w:t>
      </w:r>
      <w:r>
        <w:rPr>
          <w:rFonts w:ascii="Arial" w:hAnsi="Arial" w:cs="Arial" w:eastAsia="Arial" w:hint="default"/>
          <w:spacing w:val="54"/>
        </w:rPr>
        <w:t> </w:t>
      </w:r>
      <w:r>
        <w:rPr/>
        <w:t>预期信用损失准备的列报</w:t>
      </w:r>
    </w:p>
    <w:p>
      <w:pPr>
        <w:spacing w:line="240" w:lineRule="auto" w:before="1"/>
        <w:rPr>
          <w:rFonts w:ascii="宋体" w:hAnsi="宋体" w:cs="宋体" w:eastAsia="宋体" w:hint="default"/>
          <w:sz w:val="18"/>
          <w:szCs w:val="18"/>
        </w:rPr>
      </w:pPr>
    </w:p>
    <w:p>
      <w:pPr>
        <w:pStyle w:val="BodyText"/>
        <w:spacing w:line="237" w:lineRule="auto"/>
        <w:ind w:left="555" w:right="105"/>
        <w:jc w:val="both"/>
      </w:pPr>
      <w:r>
        <w:rPr>
          <w:spacing w:val="-1"/>
        </w:rPr>
        <w:t>为反映金融工具的信用风险自初始确认后的变化，本集团在每个资产负债表日重新计量预期信用损</w:t>
      </w:r>
      <w:r>
        <w:rPr>
          <w:spacing w:val="-63"/>
        </w:rPr>
        <w:t> </w:t>
      </w:r>
      <w:r>
        <w:rPr>
          <w:spacing w:val="-63"/>
        </w:rPr>
      </w:r>
      <w:r>
        <w:rPr>
          <w:spacing w:val="-1"/>
        </w:rPr>
        <w:t>失，由此形成的损失准备的增加或转回金额，应当作为减值损失或利得计入当期损益。对于以摊余</w:t>
      </w:r>
      <w:r>
        <w:rPr>
          <w:spacing w:val="-63"/>
        </w:rPr>
        <w:t> </w:t>
      </w:r>
      <w:r>
        <w:rPr>
          <w:spacing w:val="-63"/>
        </w:rPr>
      </w:r>
      <w:r>
        <w:rPr/>
        <w:t>成本计量的金融资产，损失准备抵减该金融资产在资产负债表中列示的账面价值。</w:t>
      </w:r>
    </w:p>
    <w:p>
      <w:pPr>
        <w:spacing w:after="0" w:line="237" w:lineRule="auto"/>
        <w:jc w:val="both"/>
        <w:sectPr>
          <w:headerReference w:type="default" r:id="rId113"/>
          <w:pgSz w:w="11910" w:h="16840"/>
          <w:pgMar w:header="842" w:footer="502" w:top="4200" w:bottom="700" w:left="860" w:right="920"/>
        </w:sectPr>
      </w:pPr>
    </w:p>
    <w:p>
      <w:pPr>
        <w:spacing w:line="240" w:lineRule="auto" w:before="4"/>
        <w:rPr>
          <w:rFonts w:ascii="宋体" w:hAnsi="宋体" w:cs="宋体" w:eastAsia="宋体" w:hint="default"/>
          <w:sz w:val="14"/>
          <w:szCs w:val="14"/>
        </w:rPr>
      </w:pPr>
    </w:p>
    <w:p>
      <w:pPr>
        <w:pStyle w:val="BodyText"/>
        <w:spacing w:line="240" w:lineRule="auto" w:before="32"/>
        <w:ind w:left="133" w:right="6028"/>
        <w:jc w:val="left"/>
      </w:pPr>
      <w:r>
        <w:rPr>
          <w:rFonts w:ascii="Arial" w:hAnsi="Arial" w:cs="Arial" w:eastAsia="Arial" w:hint="default"/>
        </w:rPr>
        <w:t>(v) </w:t>
      </w:r>
      <w:r>
        <w:rPr>
          <w:rFonts w:ascii="Arial" w:hAnsi="Arial" w:cs="Arial" w:eastAsia="Arial" w:hint="default"/>
          <w:spacing w:val="33"/>
        </w:rPr>
        <w:t> </w:t>
      </w:r>
      <w:r>
        <w:rPr/>
        <w:t>已发生信用减值的金融资产</w:t>
      </w:r>
    </w:p>
    <w:p>
      <w:pPr>
        <w:spacing w:line="240" w:lineRule="auto" w:before="6"/>
        <w:rPr>
          <w:rFonts w:ascii="宋体" w:hAnsi="宋体" w:cs="宋体" w:eastAsia="宋体" w:hint="default"/>
          <w:sz w:val="18"/>
          <w:szCs w:val="18"/>
        </w:rPr>
      </w:pPr>
    </w:p>
    <w:p>
      <w:pPr>
        <w:pStyle w:val="BodyText"/>
        <w:spacing w:line="237" w:lineRule="auto"/>
        <w:ind w:left="556" w:right="105"/>
        <w:jc w:val="both"/>
      </w:pPr>
      <w:r>
        <w:rPr>
          <w:spacing w:val="-1"/>
        </w:rPr>
        <w:t>本集团在资产负债表日评估以摊余成本计量的金融资产和以公允价值计量且其变动计入其他综合收</w:t>
      </w:r>
      <w:r>
        <w:rPr>
          <w:spacing w:val="-63"/>
        </w:rPr>
        <w:t> </w:t>
      </w:r>
      <w:r>
        <w:rPr>
          <w:spacing w:val="-63"/>
        </w:rPr>
      </w:r>
      <w:r>
        <w:rPr>
          <w:spacing w:val="-1"/>
        </w:rPr>
        <w:t>益的债权投资是否已发生信用减值。当对金融资产预期未来现金流量具有不利影响的一项或多项事</w:t>
      </w:r>
      <w:r>
        <w:rPr>
          <w:spacing w:val="-63"/>
        </w:rPr>
        <w:t> </w:t>
      </w:r>
      <w:r>
        <w:rPr>
          <w:spacing w:val="-63"/>
        </w:rPr>
      </w:r>
      <w:r>
        <w:rPr>
          <w:spacing w:val="-1"/>
        </w:rPr>
        <w:t>件发生时，该金融资产成为已发生信用减值的金融资产。金融资产已发生信用减值的证据包括下列</w:t>
      </w:r>
      <w:r>
        <w:rPr>
          <w:spacing w:val="-63"/>
        </w:rPr>
        <w:t> </w:t>
      </w:r>
      <w:r>
        <w:rPr>
          <w:spacing w:val="-63"/>
        </w:rPr>
      </w:r>
      <w:r>
        <w:rPr/>
        <w:t>可观察信息：</w:t>
      </w:r>
    </w:p>
    <w:p>
      <w:pPr>
        <w:spacing w:line="240" w:lineRule="auto" w:before="1"/>
        <w:rPr>
          <w:rFonts w:ascii="宋体" w:hAnsi="宋体" w:cs="宋体" w:eastAsia="宋体" w:hint="default"/>
          <w:sz w:val="19"/>
          <w:szCs w:val="19"/>
        </w:rPr>
      </w:pPr>
    </w:p>
    <w:p>
      <w:pPr>
        <w:pStyle w:val="BodyText"/>
        <w:spacing w:line="293" w:lineRule="exact"/>
        <w:ind w:left="556" w:right="0"/>
        <w:jc w:val="both"/>
      </w:pPr>
      <w:r>
        <w:rPr>
          <w:rFonts w:ascii="Arial" w:hAnsi="Arial" w:cs="Arial" w:eastAsia="Arial" w:hint="default"/>
        </w:rPr>
        <w:t>-    </w:t>
      </w:r>
      <w:r>
        <w:rPr>
          <w:rFonts w:ascii="Arial" w:hAnsi="Arial" w:cs="Arial" w:eastAsia="Arial" w:hint="default"/>
          <w:spacing w:val="36"/>
        </w:rPr>
        <w:t> </w:t>
      </w:r>
      <w:r>
        <w:rPr/>
        <w:t>发行方或债务人发生重大财务困难；</w:t>
      </w:r>
    </w:p>
    <w:p>
      <w:pPr>
        <w:pStyle w:val="BodyText"/>
        <w:spacing w:line="286" w:lineRule="exact"/>
        <w:ind w:left="556" w:right="0"/>
        <w:jc w:val="both"/>
      </w:pPr>
      <w:r>
        <w:rPr>
          <w:rFonts w:ascii="Arial" w:hAnsi="Arial" w:cs="Arial" w:eastAsia="Arial" w:hint="default"/>
        </w:rPr>
        <w:t>-    </w:t>
      </w:r>
      <w:r>
        <w:rPr>
          <w:rFonts w:ascii="Arial" w:hAnsi="Arial" w:cs="Arial" w:eastAsia="Arial" w:hint="default"/>
          <w:spacing w:val="31"/>
        </w:rPr>
        <w:t> </w:t>
      </w:r>
      <w:r>
        <w:rPr/>
        <w:t>债务人违反合同，如偿付利息或本金违约或逾期等；</w:t>
      </w:r>
    </w:p>
    <w:p>
      <w:pPr>
        <w:pStyle w:val="BodyText"/>
        <w:tabs>
          <w:tab w:pos="978" w:val="left" w:leader="none"/>
        </w:tabs>
        <w:spacing w:line="284" w:lineRule="exact" w:before="22"/>
        <w:ind w:left="978" w:right="110" w:hanging="432"/>
        <w:jc w:val="left"/>
      </w:pPr>
      <w:r>
        <w:rPr>
          <w:rFonts w:ascii="Arial" w:hAnsi="Arial" w:cs="Arial" w:eastAsia="Arial" w:hint="default"/>
        </w:rPr>
        <w:t>-</w:t>
        <w:tab/>
      </w:r>
      <w:r>
        <w:rPr>
          <w:spacing w:val="-1"/>
        </w:rPr>
        <w:t>本集团出于与债务人财务困难有关的经济或合同考虑，给予债务人在任何其他情况下都不会做</w:t>
      </w:r>
      <w:r>
        <w:rPr>
          <w:spacing w:val="-52"/>
        </w:rPr>
        <w:t> </w:t>
      </w:r>
      <w:r>
        <w:rPr>
          <w:spacing w:val="-52"/>
        </w:rPr>
      </w:r>
      <w:r>
        <w:rPr/>
        <w:t>出的让步；</w:t>
      </w:r>
    </w:p>
    <w:p>
      <w:pPr>
        <w:pStyle w:val="BodyText"/>
        <w:spacing w:line="268" w:lineRule="exact"/>
        <w:ind w:left="555" w:right="0"/>
        <w:jc w:val="both"/>
      </w:pPr>
      <w:r>
        <w:rPr>
          <w:rFonts w:ascii="Arial" w:hAnsi="Arial" w:cs="Arial" w:eastAsia="Arial" w:hint="default"/>
        </w:rPr>
        <w:t>-    </w:t>
      </w:r>
      <w:r>
        <w:rPr>
          <w:rFonts w:ascii="Arial" w:hAnsi="Arial" w:cs="Arial" w:eastAsia="Arial" w:hint="default"/>
          <w:spacing w:val="37"/>
        </w:rPr>
        <w:t> </w:t>
      </w:r>
      <w:r>
        <w:rPr/>
        <w:t>债务人很可能破产或进行其他财务重组；</w:t>
      </w:r>
    </w:p>
    <w:p>
      <w:pPr>
        <w:pStyle w:val="BodyText"/>
        <w:spacing w:line="293" w:lineRule="exact"/>
        <w:ind w:left="555" w:right="0"/>
        <w:jc w:val="both"/>
      </w:pPr>
      <w:r>
        <w:rPr>
          <w:rFonts w:ascii="Arial" w:hAnsi="Arial" w:cs="Arial" w:eastAsia="Arial" w:hint="default"/>
        </w:rPr>
        <w:t>-    </w:t>
      </w:r>
      <w:r>
        <w:rPr>
          <w:rFonts w:ascii="Arial" w:hAnsi="Arial" w:cs="Arial" w:eastAsia="Arial" w:hint="default"/>
          <w:spacing w:val="34"/>
        </w:rPr>
        <w:t> </w:t>
      </w:r>
      <w:r>
        <w:rPr/>
        <w:t>发行方或债务人财务困难导致该金融资产的活跃市场消失。</w:t>
      </w:r>
    </w:p>
    <w:p>
      <w:pPr>
        <w:spacing w:line="240" w:lineRule="auto" w:before="11"/>
        <w:rPr>
          <w:rFonts w:ascii="宋体" w:hAnsi="宋体" w:cs="宋体" w:eastAsia="宋体" w:hint="default"/>
          <w:sz w:val="17"/>
          <w:szCs w:val="17"/>
        </w:rPr>
      </w:pPr>
    </w:p>
    <w:p>
      <w:pPr>
        <w:pStyle w:val="BodyText"/>
        <w:spacing w:line="240" w:lineRule="auto"/>
        <w:ind w:left="133" w:right="6028"/>
        <w:jc w:val="left"/>
      </w:pPr>
      <w:r>
        <w:rPr>
          <w:rFonts w:ascii="Arial" w:hAnsi="Arial" w:cs="Arial" w:eastAsia="Arial" w:hint="default"/>
        </w:rPr>
        <w:t>(vi)</w:t>
      </w:r>
      <w:r>
        <w:rPr>
          <w:rFonts w:ascii="Arial" w:hAnsi="Arial" w:cs="Arial" w:eastAsia="Arial" w:hint="default"/>
          <w:spacing w:val="45"/>
        </w:rPr>
        <w:t> </w:t>
      </w:r>
      <w:r>
        <w:rPr/>
        <w:t>核销</w:t>
      </w:r>
    </w:p>
    <w:p>
      <w:pPr>
        <w:spacing w:line="240" w:lineRule="auto" w:before="1"/>
        <w:rPr>
          <w:rFonts w:ascii="宋体" w:hAnsi="宋体" w:cs="宋体" w:eastAsia="宋体" w:hint="default"/>
          <w:sz w:val="18"/>
          <w:szCs w:val="18"/>
        </w:rPr>
      </w:pPr>
    </w:p>
    <w:p>
      <w:pPr>
        <w:pStyle w:val="BodyText"/>
        <w:spacing w:line="237" w:lineRule="auto"/>
        <w:ind w:left="555" w:right="105"/>
        <w:jc w:val="both"/>
      </w:pPr>
      <w:r>
        <w:rPr>
          <w:spacing w:val="-1"/>
        </w:rPr>
        <w:t>如果本集团不再合理预期金融资产合同现金流量能够全部或部分收回，则直接减记该金融资产的账</w:t>
      </w:r>
      <w:r>
        <w:rPr>
          <w:spacing w:val="-63"/>
        </w:rPr>
        <w:t> </w:t>
      </w:r>
      <w:r>
        <w:rPr>
          <w:spacing w:val="-63"/>
        </w:rPr>
      </w:r>
      <w:r>
        <w:rPr>
          <w:spacing w:val="-1"/>
        </w:rPr>
        <w:t>面余额。这种减记构成相关金融资产的终止确认。这种情况通常发生在本集团确定债务人没有资产</w:t>
      </w:r>
      <w:r>
        <w:rPr>
          <w:spacing w:val="-63"/>
        </w:rPr>
        <w:t> </w:t>
      </w:r>
      <w:r>
        <w:rPr>
          <w:spacing w:val="-63"/>
        </w:rPr>
      </w:r>
      <w:r>
        <w:rPr>
          <w:spacing w:val="-6"/>
          <w:w w:val="100"/>
        </w:rPr>
        <w:t>或收入来源可产生足够的现金流量以偿还将被减记的金额。但是，按照本集团收回到期款项的程序，</w:t>
      </w:r>
      <w:r>
        <w:rPr>
          <w:spacing w:val="-99"/>
          <w:w w:val="100"/>
        </w:rPr>
        <w:t> </w:t>
      </w:r>
      <w:r>
        <w:rPr>
          <w:spacing w:val="-99"/>
          <w:w w:val="100"/>
        </w:rPr>
      </w:r>
      <w:r>
        <w:rPr/>
        <w:t>被减记的金融资产仍可能受到执行活动的影响。</w:t>
      </w:r>
    </w:p>
    <w:p>
      <w:pPr>
        <w:spacing w:line="240" w:lineRule="auto" w:before="1"/>
        <w:rPr>
          <w:rFonts w:ascii="宋体" w:hAnsi="宋体" w:cs="宋体" w:eastAsia="宋体" w:hint="default"/>
          <w:sz w:val="19"/>
          <w:szCs w:val="19"/>
        </w:rPr>
      </w:pPr>
    </w:p>
    <w:p>
      <w:pPr>
        <w:pStyle w:val="BodyText"/>
        <w:spacing w:line="240" w:lineRule="auto"/>
        <w:ind w:left="555" w:right="0"/>
        <w:jc w:val="both"/>
      </w:pPr>
      <w:r>
        <w:rPr/>
        <w:t>已减记的金融资产以后又收回的，作为减值损失的转回计入收回当期的损益。</w:t>
      </w:r>
    </w:p>
    <w:p>
      <w:pPr>
        <w:spacing w:line="240" w:lineRule="auto" w:before="11"/>
        <w:rPr>
          <w:rFonts w:ascii="宋体" w:hAnsi="宋体" w:cs="宋体" w:eastAsia="宋体" w:hint="default"/>
          <w:sz w:val="16"/>
          <w:szCs w:val="16"/>
        </w:rPr>
      </w:pPr>
    </w:p>
    <w:p>
      <w:pPr>
        <w:pStyle w:val="BodyText"/>
        <w:spacing w:line="412" w:lineRule="auto"/>
        <w:ind w:left="584" w:right="1768" w:hanging="452"/>
        <w:jc w:val="left"/>
      </w:pPr>
      <w:r>
        <w:rPr>
          <w:rFonts w:ascii="Arial" w:hAnsi="Arial" w:cs="Arial" w:eastAsia="Arial" w:hint="default"/>
        </w:rPr>
        <w:t>(4)</w:t>
      </w:r>
      <w:r>
        <w:rPr>
          <w:rFonts w:ascii="Arial" w:hAnsi="Arial" w:cs="Arial" w:eastAsia="Arial" w:hint="default"/>
          <w:spacing w:val="25"/>
        </w:rPr>
        <w:t> </w:t>
      </w:r>
      <w:r>
        <w:rPr/>
        <w:t>金融资产的终止确认</w:t>
      </w:r>
      <w:r>
        <w:rPr>
          <w:spacing w:val="-107"/>
        </w:rPr>
        <w:t> </w:t>
      </w:r>
      <w:r>
        <w:rPr>
          <w:spacing w:val="-107"/>
        </w:rPr>
      </w:r>
      <w:r>
        <w:rPr>
          <w:spacing w:val="-1"/>
        </w:rPr>
        <w:t>金融资产满足下列条件之一的，本集团终止确认该金融资产：</w:t>
      </w:r>
    </w:p>
    <w:p>
      <w:pPr>
        <w:pStyle w:val="BodyText"/>
        <w:spacing w:line="293" w:lineRule="exact" w:before="91"/>
        <w:ind w:left="584" w:right="0"/>
        <w:jc w:val="both"/>
      </w:pPr>
      <w:r>
        <w:rPr>
          <w:rFonts w:ascii="Arial" w:hAnsi="Arial" w:cs="Arial" w:eastAsia="Arial" w:hint="default"/>
        </w:rPr>
        <w:t>-    </w:t>
      </w:r>
      <w:r>
        <w:rPr>
          <w:rFonts w:ascii="Arial" w:hAnsi="Arial" w:cs="Arial" w:eastAsia="Arial" w:hint="default"/>
          <w:spacing w:val="9"/>
        </w:rPr>
        <w:t> </w:t>
      </w:r>
      <w:r>
        <w:rPr/>
        <w:t>收取该金融资产现金流量的合同权利终止；</w:t>
      </w:r>
    </w:p>
    <w:p>
      <w:pPr>
        <w:pStyle w:val="BodyText"/>
        <w:spacing w:line="286" w:lineRule="exact"/>
        <w:ind w:left="584" w:right="0"/>
        <w:jc w:val="both"/>
      </w:pPr>
      <w:r>
        <w:rPr>
          <w:rFonts w:ascii="Arial" w:hAnsi="Arial" w:cs="Arial" w:eastAsia="Arial" w:hint="default"/>
        </w:rPr>
        <w:t>-    </w:t>
      </w:r>
      <w:r>
        <w:rPr>
          <w:rFonts w:ascii="Arial" w:hAnsi="Arial" w:cs="Arial" w:eastAsia="Arial" w:hint="default"/>
          <w:spacing w:val="5"/>
        </w:rPr>
        <w:t> </w:t>
      </w:r>
      <w:r>
        <w:rPr/>
        <w:t>该金融资产已转移，且本集团将金融资产所有权上几乎所有的风险和报酬转移给转入方；</w:t>
      </w:r>
    </w:p>
    <w:p>
      <w:pPr>
        <w:pStyle w:val="BodyText"/>
        <w:tabs>
          <w:tab w:pos="978" w:val="left" w:leader="none"/>
        </w:tabs>
        <w:spacing w:line="284" w:lineRule="exact" w:before="22"/>
        <w:ind w:left="978" w:right="124" w:hanging="394"/>
        <w:jc w:val="left"/>
      </w:pPr>
      <w:r>
        <w:rPr>
          <w:rFonts w:ascii="Arial" w:hAnsi="Arial" w:cs="Arial" w:eastAsia="Arial" w:hint="default"/>
        </w:rPr>
        <w:t>-</w:t>
        <w:tab/>
      </w:r>
      <w:r>
        <w:rPr>
          <w:spacing w:val="-1"/>
        </w:rPr>
        <w:t>该金融资产已转移，虽然本集团既没有转移也没有保留金融资产所有权上几乎所有的风险和报</w:t>
      </w:r>
      <w:r>
        <w:rPr>
          <w:spacing w:val="-67"/>
        </w:rPr>
        <w:t> </w:t>
      </w:r>
      <w:r>
        <w:rPr>
          <w:spacing w:val="-67"/>
        </w:rPr>
      </w:r>
      <w:r>
        <w:rPr/>
        <w:t>酬，但是未保留对该金融资产的控制。</w:t>
      </w:r>
    </w:p>
    <w:p>
      <w:pPr>
        <w:spacing w:line="240" w:lineRule="auto" w:before="1"/>
        <w:rPr>
          <w:rFonts w:ascii="宋体" w:hAnsi="宋体" w:cs="宋体" w:eastAsia="宋体" w:hint="default"/>
          <w:sz w:val="17"/>
          <w:szCs w:val="17"/>
        </w:rPr>
      </w:pPr>
    </w:p>
    <w:p>
      <w:pPr>
        <w:pStyle w:val="BodyText"/>
        <w:spacing w:line="240" w:lineRule="auto"/>
        <w:ind w:left="555" w:right="0"/>
        <w:jc w:val="both"/>
      </w:pPr>
      <w:r>
        <w:rPr/>
        <w:t>金融资产转移整体满足终止确认条件的，本集团将下列两项金额的差额计入当期损益：</w:t>
      </w:r>
    </w:p>
    <w:p>
      <w:pPr>
        <w:spacing w:line="240" w:lineRule="auto" w:before="6"/>
        <w:rPr>
          <w:rFonts w:ascii="宋体" w:hAnsi="宋体" w:cs="宋体" w:eastAsia="宋体" w:hint="default"/>
          <w:sz w:val="19"/>
          <w:szCs w:val="19"/>
        </w:rPr>
      </w:pPr>
    </w:p>
    <w:p>
      <w:pPr>
        <w:pStyle w:val="BodyText"/>
        <w:spacing w:line="293" w:lineRule="exact"/>
        <w:ind w:left="584" w:right="0"/>
        <w:jc w:val="both"/>
      </w:pPr>
      <w:r>
        <w:rPr>
          <w:rFonts w:ascii="Arial" w:hAnsi="Arial" w:cs="Arial" w:eastAsia="Arial" w:hint="default"/>
        </w:rPr>
        <w:t>-    </w:t>
      </w:r>
      <w:r>
        <w:rPr>
          <w:rFonts w:ascii="Arial" w:hAnsi="Arial" w:cs="Arial" w:eastAsia="Arial" w:hint="default"/>
          <w:spacing w:val="48"/>
        </w:rPr>
        <w:t> </w:t>
      </w:r>
      <w:r>
        <w:rPr/>
        <w:t>被转移金融资产在终止确认日的账面价值；</w:t>
      </w:r>
    </w:p>
    <w:p>
      <w:pPr>
        <w:pStyle w:val="BodyText"/>
        <w:spacing w:line="232" w:lineRule="auto"/>
        <w:ind w:left="1007" w:right="105" w:hanging="423"/>
        <w:jc w:val="both"/>
      </w:pPr>
      <w:r>
        <w:rPr>
          <w:rFonts w:ascii="Arial" w:hAnsi="Arial" w:cs="Arial" w:eastAsia="Arial" w:hint="default"/>
        </w:rPr>
        <w:t>-</w:t>
      </w:r>
      <w:r>
        <w:rPr>
          <w:rFonts w:ascii="Arial" w:hAnsi="Arial" w:cs="Arial" w:eastAsia="Arial" w:hint="default"/>
          <w:spacing w:val="36"/>
        </w:rPr>
        <w:t> </w:t>
      </w:r>
      <w:r>
        <w:rPr/>
        <w:t>因转移金融资产而收到的对价，与原直接计入其他综合收益的公允价值变动累计额中对应终止</w:t>
      </w:r>
      <w:r>
        <w:rPr>
          <w:w w:val="100"/>
        </w:rPr>
        <w:t> </w:t>
      </w:r>
      <w:r>
        <w:rPr>
          <w:spacing w:val="-1"/>
        </w:rPr>
        <w:t>确认部分的金额（涉及转移的金融资产为以公允价值计量且其变动计入其他综合收益的债权投</w:t>
      </w:r>
      <w:r>
        <w:rPr>
          <w:w w:val="100"/>
        </w:rPr>
        <w:t> </w:t>
      </w:r>
      <w:r>
        <w:rPr/>
        <w:t>资）之和。</w:t>
      </w:r>
    </w:p>
    <w:p>
      <w:pPr>
        <w:spacing w:after="0" w:line="232" w:lineRule="auto"/>
        <w:jc w:val="both"/>
        <w:sectPr>
          <w:headerReference w:type="default" r:id="rId114"/>
          <w:pgSz w:w="11910" w:h="16840"/>
          <w:pgMar w:header="842" w:footer="502" w:top="4200" w:bottom="700" w:left="860" w:right="920"/>
        </w:sectPr>
      </w:pPr>
    </w:p>
    <w:p>
      <w:pPr>
        <w:spacing w:line="240" w:lineRule="auto" w:before="6"/>
        <w:rPr>
          <w:rFonts w:ascii="宋体" w:hAnsi="宋体" w:cs="宋体" w:eastAsia="宋体" w:hint="default"/>
          <w:sz w:val="12"/>
          <w:szCs w:val="12"/>
        </w:rPr>
      </w:pPr>
    </w:p>
    <w:p>
      <w:pPr>
        <w:pStyle w:val="BodyText"/>
        <w:spacing w:line="240" w:lineRule="auto" w:before="32"/>
        <w:ind w:left="133" w:right="6028"/>
        <w:jc w:val="left"/>
      </w:pPr>
      <w:r>
        <w:rPr>
          <w:rFonts w:ascii="Arial" w:hAnsi="Arial" w:cs="Arial" w:eastAsia="Arial" w:hint="default"/>
        </w:rPr>
        <w:t>(b) </w:t>
      </w:r>
      <w:r>
        <w:rPr>
          <w:rFonts w:ascii="Arial" w:hAnsi="Arial" w:cs="Arial" w:eastAsia="Arial" w:hint="default"/>
          <w:spacing w:val="29"/>
        </w:rPr>
        <w:t> </w:t>
      </w:r>
      <w:r>
        <w:rPr/>
        <w:t>金融负债</w:t>
      </w:r>
    </w:p>
    <w:p>
      <w:pPr>
        <w:spacing w:line="240" w:lineRule="auto" w:before="13"/>
        <w:rPr>
          <w:rFonts w:ascii="宋体" w:hAnsi="宋体" w:cs="宋体" w:eastAsia="宋体" w:hint="default"/>
          <w:sz w:val="16"/>
          <w:szCs w:val="16"/>
        </w:rPr>
      </w:pPr>
    </w:p>
    <w:p>
      <w:pPr>
        <w:pStyle w:val="BodyText"/>
        <w:spacing w:line="237" w:lineRule="auto"/>
        <w:ind w:left="555" w:right="105"/>
        <w:jc w:val="both"/>
      </w:pPr>
      <w:r>
        <w:rPr>
          <w:spacing w:val="-1"/>
        </w:rPr>
        <w:t>金融负债在本集团成为相关金融工具合同条款的一方时，于资产负债表内确认。本集团将金融负债</w:t>
      </w:r>
      <w:r>
        <w:rPr>
          <w:spacing w:val="-63"/>
        </w:rPr>
        <w:t> </w:t>
      </w:r>
      <w:r>
        <w:rPr>
          <w:spacing w:val="-63"/>
        </w:rPr>
      </w:r>
      <w:r>
        <w:rPr>
          <w:spacing w:val="-1"/>
        </w:rPr>
        <w:t>分类为以公允价值计量且其变动计入当期损益的金融负债及以摊余成本计量的金融负债。本集团的</w:t>
      </w:r>
      <w:r>
        <w:rPr>
          <w:spacing w:val="-63"/>
        </w:rPr>
        <w:t> </w:t>
      </w:r>
      <w:r>
        <w:rPr>
          <w:spacing w:val="-63"/>
        </w:rPr>
      </w:r>
      <w:r>
        <w:rPr/>
        <w:t>金融负债主要为以摊余成本计量的金融负债，包括应付款项、借款及应付债券等。</w:t>
      </w:r>
    </w:p>
    <w:p>
      <w:pPr>
        <w:spacing w:line="240" w:lineRule="auto" w:before="5"/>
        <w:rPr>
          <w:rFonts w:ascii="宋体" w:hAnsi="宋体" w:cs="宋体" w:eastAsia="宋体" w:hint="default"/>
          <w:sz w:val="21"/>
          <w:szCs w:val="21"/>
        </w:rPr>
      </w:pPr>
    </w:p>
    <w:p>
      <w:pPr>
        <w:pStyle w:val="BodyText"/>
        <w:spacing w:line="284" w:lineRule="exact"/>
        <w:ind w:left="555" w:right="105"/>
        <w:jc w:val="both"/>
      </w:pPr>
      <w:r>
        <w:rPr>
          <w:spacing w:val="-1"/>
        </w:rPr>
        <w:t>应付款项包括应付账款、其他应付款等，以公允价值进行初始计量，并采用实际利率法按摊余成本</w:t>
      </w:r>
      <w:r>
        <w:rPr>
          <w:spacing w:val="-63"/>
        </w:rPr>
        <w:t> </w:t>
      </w:r>
      <w:r>
        <w:rPr>
          <w:spacing w:val="-63"/>
        </w:rPr>
      </w:r>
      <w:r>
        <w:rPr/>
        <w:t>进行后续计量。</w:t>
      </w:r>
    </w:p>
    <w:p>
      <w:pPr>
        <w:spacing w:line="240" w:lineRule="auto" w:before="1"/>
        <w:rPr>
          <w:rFonts w:ascii="宋体" w:hAnsi="宋体" w:cs="宋体" w:eastAsia="宋体" w:hint="default"/>
          <w:sz w:val="17"/>
          <w:szCs w:val="17"/>
        </w:rPr>
      </w:pPr>
    </w:p>
    <w:p>
      <w:pPr>
        <w:pStyle w:val="BodyText"/>
        <w:spacing w:line="240" w:lineRule="auto"/>
        <w:ind w:left="555" w:right="105"/>
        <w:jc w:val="both"/>
      </w:pPr>
      <w:r>
        <w:rPr>
          <w:spacing w:val="-1"/>
        </w:rPr>
        <w:t>借款及应付债券（含短期融资券）按其公允价值扣除交易费用后的金额进行初始计量，并采用实际</w:t>
      </w:r>
      <w:r>
        <w:rPr>
          <w:spacing w:val="-63"/>
        </w:rPr>
        <w:t> </w:t>
      </w:r>
      <w:r>
        <w:rPr>
          <w:spacing w:val="-63"/>
        </w:rPr>
      </w:r>
      <w:r>
        <w:rPr/>
        <w:t>利率法按摊余成本进行后续计量。</w:t>
      </w:r>
    </w:p>
    <w:p>
      <w:pPr>
        <w:spacing w:line="240" w:lineRule="auto" w:before="4"/>
        <w:rPr>
          <w:rFonts w:ascii="宋体" w:hAnsi="宋体" w:cs="宋体" w:eastAsia="宋体" w:hint="default"/>
          <w:sz w:val="21"/>
          <w:szCs w:val="21"/>
        </w:rPr>
      </w:pPr>
    </w:p>
    <w:p>
      <w:pPr>
        <w:pStyle w:val="BodyText"/>
        <w:spacing w:line="284" w:lineRule="exact"/>
        <w:ind w:left="555" w:right="105"/>
        <w:jc w:val="both"/>
      </w:pPr>
      <w:r>
        <w:rPr>
          <w:spacing w:val="-1"/>
        </w:rPr>
        <w:t>其他金融负债期限在一年以下（含一年）的，列示为流动负债；期限在一年以上但自资产负债表日</w:t>
      </w:r>
      <w:r>
        <w:rPr>
          <w:spacing w:val="-63"/>
        </w:rPr>
        <w:t> </w:t>
      </w:r>
      <w:r>
        <w:rPr>
          <w:spacing w:val="-63"/>
        </w:rPr>
      </w:r>
      <w:r>
        <w:rPr/>
        <w:t>起一年内（含一年）到期的，列示为一年内到期的非流动负债；其余列示为非流动负债。</w:t>
      </w:r>
    </w:p>
    <w:p>
      <w:pPr>
        <w:spacing w:line="240" w:lineRule="auto" w:before="1"/>
        <w:rPr>
          <w:rFonts w:ascii="宋体" w:hAnsi="宋体" w:cs="宋体" w:eastAsia="宋体" w:hint="default"/>
          <w:sz w:val="17"/>
          <w:szCs w:val="17"/>
        </w:rPr>
      </w:pPr>
    </w:p>
    <w:p>
      <w:pPr>
        <w:pStyle w:val="BodyText"/>
        <w:spacing w:line="240" w:lineRule="auto"/>
        <w:ind w:left="579" w:right="0"/>
        <w:jc w:val="both"/>
      </w:pPr>
      <w:r>
        <w:rPr>
          <w:w w:val="100"/>
        </w:rPr>
        <w:t>金融负</w:t>
      </w:r>
      <w:r>
        <w:rPr>
          <w:spacing w:val="-92"/>
          <w:w w:val="100"/>
        </w:rPr>
        <w:t>债</w:t>
      </w:r>
      <w:r>
        <w:rPr>
          <w:w w:val="100"/>
        </w:rPr>
        <w:t>（</w:t>
      </w:r>
      <w:r>
        <w:rPr>
          <w:spacing w:val="-5"/>
          <w:w w:val="100"/>
        </w:rPr>
        <w:t>或</w:t>
      </w:r>
      <w:r>
        <w:rPr>
          <w:w w:val="100"/>
        </w:rPr>
        <w:t>其一部</w:t>
      </w:r>
      <w:r>
        <w:rPr>
          <w:spacing w:val="-5"/>
          <w:w w:val="100"/>
        </w:rPr>
        <w:t>分</w:t>
      </w:r>
      <w:r>
        <w:rPr>
          <w:spacing w:val="-92"/>
          <w:w w:val="100"/>
        </w:rPr>
        <w:t>）</w:t>
      </w:r>
      <w:r>
        <w:rPr>
          <w:w w:val="100"/>
        </w:rPr>
        <w:t>的现时</w:t>
      </w:r>
      <w:r>
        <w:rPr>
          <w:spacing w:val="-5"/>
          <w:w w:val="100"/>
        </w:rPr>
        <w:t>义</w:t>
      </w:r>
      <w:r>
        <w:rPr>
          <w:w w:val="100"/>
        </w:rPr>
        <w:t>务已经解除</w:t>
      </w:r>
      <w:r>
        <w:rPr>
          <w:spacing w:val="-5"/>
          <w:w w:val="100"/>
        </w:rPr>
        <w:t>的</w:t>
      </w:r>
      <w:r>
        <w:rPr>
          <w:spacing w:val="-92"/>
          <w:w w:val="100"/>
        </w:rPr>
        <w:t>，</w:t>
      </w:r>
      <w:r>
        <w:rPr>
          <w:spacing w:val="-5"/>
          <w:w w:val="100"/>
        </w:rPr>
        <w:t>本</w:t>
      </w:r>
      <w:r>
        <w:rPr>
          <w:w w:val="100"/>
        </w:rPr>
        <w:t>集团终止确认该</w:t>
      </w:r>
      <w:r>
        <w:rPr>
          <w:spacing w:val="-5"/>
          <w:w w:val="100"/>
        </w:rPr>
        <w:t>金</w:t>
      </w:r>
      <w:r>
        <w:rPr>
          <w:w w:val="100"/>
        </w:rPr>
        <w:t>融负</w:t>
      </w:r>
      <w:r>
        <w:rPr>
          <w:spacing w:val="-92"/>
          <w:w w:val="100"/>
        </w:rPr>
        <w:t>债</w:t>
      </w:r>
      <w:r>
        <w:rPr>
          <w:spacing w:val="-5"/>
          <w:w w:val="100"/>
        </w:rPr>
        <w:t>（</w:t>
      </w:r>
      <w:r>
        <w:rPr>
          <w:w w:val="100"/>
        </w:rPr>
        <w:t>或该部分</w:t>
      </w:r>
      <w:r>
        <w:rPr>
          <w:spacing w:val="-5"/>
          <w:w w:val="100"/>
        </w:rPr>
        <w:t>金</w:t>
      </w:r>
      <w:r>
        <w:rPr>
          <w:w w:val="100"/>
        </w:rPr>
        <w:t>融负债</w:t>
      </w:r>
      <w:r>
        <w:rPr>
          <w:spacing w:val="-97"/>
          <w:w w:val="100"/>
        </w:rPr>
        <w:t>）。</w:t>
      </w:r>
      <w:r>
        <w:rPr>
          <w:w w:val="100"/>
        </w:rPr>
      </w:r>
    </w:p>
    <w:p>
      <w:pPr>
        <w:spacing w:line="240" w:lineRule="auto" w:before="3"/>
        <w:rPr>
          <w:rFonts w:ascii="宋体" w:hAnsi="宋体" w:cs="宋体" w:eastAsia="宋体" w:hint="default"/>
          <w:sz w:val="17"/>
          <w:szCs w:val="17"/>
        </w:rPr>
      </w:pPr>
    </w:p>
    <w:p>
      <w:pPr>
        <w:pStyle w:val="BodyText"/>
        <w:spacing w:line="240" w:lineRule="auto"/>
        <w:ind w:left="133" w:right="6028"/>
        <w:jc w:val="left"/>
      </w:pPr>
      <w:r>
        <w:rPr>
          <w:rFonts w:ascii="Arial" w:hAnsi="Arial" w:cs="Arial" w:eastAsia="Arial" w:hint="default"/>
        </w:rPr>
        <w:t>(c) </w:t>
      </w:r>
      <w:r>
        <w:rPr>
          <w:rFonts w:ascii="Arial" w:hAnsi="Arial" w:cs="Arial" w:eastAsia="Arial" w:hint="default"/>
          <w:spacing w:val="39"/>
        </w:rPr>
        <w:t> </w:t>
      </w:r>
      <w:r>
        <w:rPr/>
        <w:t>抵销</w:t>
      </w:r>
    </w:p>
    <w:p>
      <w:pPr>
        <w:spacing w:line="240" w:lineRule="auto" w:before="5"/>
        <w:rPr>
          <w:rFonts w:ascii="宋体" w:hAnsi="宋体" w:cs="宋体" w:eastAsia="宋体" w:hint="default"/>
          <w:sz w:val="16"/>
          <w:szCs w:val="16"/>
        </w:rPr>
      </w:pPr>
    </w:p>
    <w:p>
      <w:pPr>
        <w:pStyle w:val="BodyText"/>
        <w:spacing w:line="240" w:lineRule="auto"/>
        <w:ind w:left="579" w:right="110"/>
        <w:jc w:val="both"/>
      </w:pPr>
      <w:r>
        <w:rPr>
          <w:spacing w:val="-2"/>
        </w:rPr>
        <w:t>金融资产和金融负债在资产负债表内分别列示，没有相互抵销。但是，同时满足下列条件的，以相</w:t>
      </w:r>
      <w:r>
        <w:rPr>
          <w:spacing w:val="-50"/>
        </w:rPr>
        <w:t> </w:t>
      </w:r>
      <w:r>
        <w:rPr>
          <w:spacing w:val="-50"/>
        </w:rPr>
      </w:r>
      <w:r>
        <w:rPr/>
        <w:t>互抵销后的净额在资产负债表内列示</w:t>
      </w:r>
      <w:r>
        <w:rPr>
          <w:spacing w:val="3"/>
        </w:rPr>
        <w:t> </w:t>
      </w:r>
      <w:r>
        <w:rPr/>
        <w:t>：</w:t>
      </w:r>
    </w:p>
    <w:p>
      <w:pPr>
        <w:spacing w:line="240" w:lineRule="auto" w:before="1"/>
        <w:rPr>
          <w:rFonts w:ascii="宋体" w:hAnsi="宋体" w:cs="宋体" w:eastAsia="宋体" w:hint="default"/>
          <w:sz w:val="19"/>
          <w:szCs w:val="19"/>
        </w:rPr>
      </w:pPr>
    </w:p>
    <w:p>
      <w:pPr>
        <w:pStyle w:val="BodyText"/>
        <w:spacing w:line="293" w:lineRule="exact"/>
        <w:ind w:left="584" w:right="0"/>
        <w:jc w:val="both"/>
      </w:pPr>
      <w:r>
        <w:rPr>
          <w:rFonts w:ascii="Arial" w:hAnsi="Arial" w:cs="Arial" w:eastAsia="Arial" w:hint="default"/>
        </w:rPr>
        <w:t>-    </w:t>
      </w:r>
      <w:r>
        <w:rPr>
          <w:rFonts w:ascii="Arial" w:hAnsi="Arial" w:cs="Arial" w:eastAsia="Arial" w:hint="default"/>
          <w:spacing w:val="44"/>
        </w:rPr>
        <w:t> </w:t>
      </w:r>
      <w:r>
        <w:rPr/>
        <w:t>本集团具有抵销已确认金额的法定权利，且该种法定权利是当前可执行的；</w:t>
      </w:r>
    </w:p>
    <w:p>
      <w:pPr>
        <w:pStyle w:val="BodyText"/>
        <w:spacing w:line="293" w:lineRule="exact"/>
        <w:ind w:left="584" w:right="0"/>
        <w:jc w:val="both"/>
      </w:pPr>
      <w:r>
        <w:rPr>
          <w:rFonts w:ascii="Arial" w:hAnsi="Arial" w:cs="Arial" w:eastAsia="Arial" w:hint="default"/>
        </w:rPr>
        <w:t>-    </w:t>
      </w:r>
      <w:r>
        <w:rPr>
          <w:rFonts w:ascii="Arial" w:hAnsi="Arial" w:cs="Arial" w:eastAsia="Arial" w:hint="default"/>
          <w:spacing w:val="47"/>
        </w:rPr>
        <w:t> </w:t>
      </w:r>
      <w:r>
        <w:rPr/>
        <w:t>本集团计划以净额结算，或同时变现该金融资产和清偿该金融负债。</w:t>
      </w:r>
    </w:p>
    <w:p>
      <w:pPr>
        <w:spacing w:line="240" w:lineRule="auto" w:before="9"/>
        <w:rPr>
          <w:rFonts w:ascii="宋体" w:hAnsi="宋体" w:cs="宋体" w:eastAsia="宋体" w:hint="default"/>
          <w:sz w:val="15"/>
          <w:szCs w:val="15"/>
        </w:rPr>
      </w:pPr>
    </w:p>
    <w:p>
      <w:pPr>
        <w:pStyle w:val="BodyText"/>
        <w:spacing w:line="240" w:lineRule="auto"/>
        <w:ind w:left="132" w:right="6028"/>
        <w:jc w:val="left"/>
      </w:pPr>
      <w:r>
        <w:rPr>
          <w:rFonts w:ascii="Arial" w:hAnsi="Arial" w:cs="Arial" w:eastAsia="Arial" w:hint="default"/>
        </w:rPr>
        <w:t>(d) </w:t>
      </w:r>
      <w:r>
        <w:rPr>
          <w:rFonts w:ascii="Arial" w:hAnsi="Arial" w:cs="Arial" w:eastAsia="Arial" w:hint="default"/>
          <w:spacing w:val="29"/>
        </w:rPr>
        <w:t> </w:t>
      </w:r>
      <w:r>
        <w:rPr/>
        <w:t>权益工具</w:t>
      </w:r>
    </w:p>
    <w:p>
      <w:pPr>
        <w:spacing w:line="240" w:lineRule="auto" w:before="7"/>
        <w:rPr>
          <w:rFonts w:ascii="宋体" w:hAnsi="宋体" w:cs="宋体" w:eastAsia="宋体" w:hint="default"/>
          <w:sz w:val="18"/>
          <w:szCs w:val="18"/>
        </w:rPr>
      </w:pPr>
    </w:p>
    <w:p>
      <w:pPr>
        <w:pStyle w:val="BodyText"/>
        <w:spacing w:line="240" w:lineRule="exact"/>
        <w:ind w:left="536" w:right="111"/>
        <w:jc w:val="both"/>
      </w:pPr>
      <w:r>
        <w:rPr>
          <w:spacing w:val="-1"/>
        </w:rPr>
        <w:t>本公司发行权益工具收到的对价扣除交易费用后，计入股东权益。回购本公司权益工具支付的对价</w:t>
      </w:r>
      <w:r>
        <w:rPr>
          <w:spacing w:val="-48"/>
        </w:rPr>
        <w:t> </w:t>
      </w:r>
      <w:r>
        <w:rPr>
          <w:spacing w:val="-48"/>
        </w:rPr>
      </w:r>
      <w:r>
        <w:rPr/>
        <w:t>和交易费用，减少股东权益。</w:t>
      </w:r>
    </w:p>
    <w:p>
      <w:pPr>
        <w:spacing w:line="240" w:lineRule="auto" w:before="4"/>
        <w:rPr>
          <w:rFonts w:ascii="宋体" w:hAnsi="宋体" w:cs="宋体" w:eastAsia="宋体" w:hint="default"/>
          <w:sz w:val="18"/>
          <w:szCs w:val="18"/>
        </w:rPr>
      </w:pPr>
    </w:p>
    <w:p>
      <w:pPr>
        <w:pStyle w:val="BodyText"/>
        <w:spacing w:line="240" w:lineRule="exact"/>
        <w:ind w:left="536" w:right="111"/>
        <w:jc w:val="both"/>
      </w:pPr>
      <w:r>
        <w:rPr>
          <w:spacing w:val="-1"/>
        </w:rPr>
        <w:t>回购本公司股份时，回购的股份作为库存股管理，回购股份的全部支出转为库存股成本，同时进行</w:t>
      </w:r>
      <w:r>
        <w:rPr>
          <w:spacing w:val="-48"/>
        </w:rPr>
        <w:t> </w:t>
      </w:r>
      <w:r>
        <w:rPr>
          <w:spacing w:val="-48"/>
        </w:rPr>
      </w:r>
      <w:r>
        <w:rPr/>
        <w:t>备查登记。库存股不参与利润分配，在资产负债表中作为股东权益的备抵项目列示。</w:t>
      </w:r>
    </w:p>
    <w:p>
      <w:pPr>
        <w:spacing w:line="240" w:lineRule="auto" w:before="3"/>
        <w:rPr>
          <w:rFonts w:ascii="宋体" w:hAnsi="宋体" w:cs="宋体" w:eastAsia="宋体" w:hint="default"/>
          <w:sz w:val="17"/>
          <w:szCs w:val="17"/>
        </w:rPr>
      </w:pPr>
    </w:p>
    <w:p>
      <w:pPr>
        <w:pStyle w:val="BodyText"/>
        <w:spacing w:line="232" w:lineRule="auto"/>
        <w:ind w:left="536" w:right="105"/>
        <w:jc w:val="both"/>
      </w:pPr>
      <w:r>
        <w:rPr>
          <w:spacing w:val="-1"/>
        </w:rPr>
        <w:t>库存股注销时，按注销股票面值总额减少股本，库存股成本超过面值总额的部分，应依次冲减资本</w:t>
      </w:r>
      <w:r>
        <w:rPr>
          <w:spacing w:val="-48"/>
        </w:rPr>
        <w:t> </w:t>
      </w:r>
      <w:r>
        <w:rPr>
          <w:spacing w:val="-48"/>
        </w:rPr>
      </w:r>
      <w:r>
        <w:rPr>
          <w:spacing w:val="-4"/>
        </w:rPr>
        <w:t>公积</w:t>
      </w:r>
      <w:r>
        <w:rPr>
          <w:rFonts w:ascii="Arial" w:hAnsi="Arial" w:cs="Arial" w:eastAsia="Arial" w:hint="default"/>
          <w:spacing w:val="-4"/>
        </w:rPr>
        <w:t>(</w:t>
      </w:r>
      <w:r>
        <w:rPr>
          <w:spacing w:val="-4"/>
        </w:rPr>
        <w:t>股本溢价</w:t>
      </w:r>
      <w:r>
        <w:rPr>
          <w:rFonts w:ascii="Arial" w:hAnsi="Arial" w:cs="Arial" w:eastAsia="Arial" w:hint="default"/>
          <w:spacing w:val="-4"/>
        </w:rPr>
        <w:t>)</w:t>
      </w:r>
      <w:r>
        <w:rPr>
          <w:spacing w:val="-4"/>
        </w:rPr>
        <w:t>、盈余公积和未分配利润；库存股成本低于面值总额的，低于面值总额的部分增加资</w:t>
      </w:r>
      <w:r>
        <w:rPr>
          <w:spacing w:val="-56"/>
        </w:rPr>
        <w:t> </w:t>
      </w:r>
      <w:r>
        <w:rPr>
          <w:spacing w:val="-56"/>
        </w:rPr>
      </w:r>
      <w:r>
        <w:rPr/>
        <w:t>本公积</w:t>
      </w:r>
      <w:r>
        <w:rPr>
          <w:rFonts w:ascii="Arial" w:hAnsi="Arial" w:cs="Arial" w:eastAsia="Arial" w:hint="default"/>
        </w:rPr>
        <w:t>(</w:t>
      </w:r>
      <w:r>
        <w:rPr/>
        <w:t>股本溢价</w:t>
      </w:r>
      <w:r>
        <w:rPr>
          <w:rFonts w:ascii="Arial" w:hAnsi="Arial" w:cs="Arial" w:eastAsia="Arial" w:hint="default"/>
        </w:rPr>
        <w:t>)</w:t>
      </w:r>
      <w:r>
        <w:rPr/>
        <w:t>。</w:t>
      </w:r>
    </w:p>
    <w:p>
      <w:pPr>
        <w:spacing w:line="240" w:lineRule="auto" w:before="0"/>
        <w:rPr>
          <w:rFonts w:ascii="宋体" w:hAnsi="宋体" w:cs="宋体" w:eastAsia="宋体" w:hint="default"/>
          <w:sz w:val="20"/>
          <w:szCs w:val="20"/>
        </w:rPr>
      </w:pPr>
    </w:p>
    <w:p>
      <w:pPr>
        <w:pStyle w:val="BodyText"/>
        <w:spacing w:line="288" w:lineRule="exact"/>
        <w:ind w:left="536" w:right="114"/>
        <w:jc w:val="both"/>
      </w:pPr>
      <w:r>
        <w:rPr/>
        <w:t>库存股转让时，转让收入高于库存股成本的部分，增加资本公积</w:t>
      </w:r>
      <w:r>
        <w:rPr>
          <w:rFonts w:ascii="Arial" w:hAnsi="Arial" w:cs="Arial" w:eastAsia="Arial" w:hint="default"/>
        </w:rPr>
        <w:t>(</w:t>
      </w:r>
      <w:r>
        <w:rPr/>
        <w:t>股本溢价</w:t>
      </w:r>
      <w:r>
        <w:rPr>
          <w:rFonts w:ascii="Arial" w:hAnsi="Arial" w:cs="Arial" w:eastAsia="Arial" w:hint="default"/>
        </w:rPr>
        <w:t>)</w:t>
      </w:r>
      <w:r>
        <w:rPr/>
        <w:t>；低于库存股成本的部</w:t>
      </w:r>
      <w:r>
        <w:rPr>
          <w:spacing w:val="-32"/>
        </w:rPr>
        <w:t> </w:t>
      </w:r>
      <w:r>
        <w:rPr>
          <w:spacing w:val="-32"/>
        </w:rPr>
      </w:r>
      <w:r>
        <w:rPr/>
        <w:t>分，依次冲减资本公积</w:t>
      </w:r>
      <w:r>
        <w:rPr>
          <w:rFonts w:ascii="Arial" w:hAnsi="Arial" w:cs="Arial" w:eastAsia="Arial" w:hint="default"/>
        </w:rPr>
        <w:t>(</w:t>
      </w:r>
      <w:r>
        <w:rPr/>
        <w:t>股本溢价</w:t>
      </w:r>
      <w:r>
        <w:rPr>
          <w:rFonts w:ascii="Arial" w:hAnsi="Arial" w:cs="Arial" w:eastAsia="Arial" w:hint="default"/>
        </w:rPr>
        <w:t>)</w:t>
      </w:r>
      <w:r>
        <w:rPr/>
        <w:t>、盈余公积、未分配利润。</w:t>
      </w:r>
    </w:p>
    <w:p>
      <w:pPr>
        <w:spacing w:after="0" w:line="288" w:lineRule="exact"/>
        <w:jc w:val="both"/>
        <w:sectPr>
          <w:headerReference w:type="default" r:id="rId115"/>
          <w:pgSz w:w="11910" w:h="16840"/>
          <w:pgMar w:header="842" w:footer="502" w:top="3220" w:bottom="700" w:left="860" w:right="920"/>
        </w:sectPr>
      </w:pPr>
    </w:p>
    <w:p>
      <w:pPr>
        <w:spacing w:line="240" w:lineRule="auto" w:before="4"/>
        <w:rPr>
          <w:rFonts w:ascii="宋体" w:hAnsi="宋体" w:cs="宋体" w:eastAsia="宋体" w:hint="default"/>
          <w:sz w:val="14"/>
          <w:szCs w:val="14"/>
        </w:rPr>
      </w:pPr>
    </w:p>
    <w:p>
      <w:pPr>
        <w:pStyle w:val="BodyText"/>
        <w:spacing w:line="240" w:lineRule="auto" w:before="32"/>
        <w:ind w:left="133" w:right="0"/>
        <w:jc w:val="left"/>
      </w:pPr>
      <w:r>
        <w:rPr>
          <w:rFonts w:ascii="Arial" w:hAnsi="Arial" w:cs="Arial" w:eastAsia="Arial" w:hint="default"/>
        </w:rPr>
        <w:t>9</w:t>
      </w:r>
      <w:r>
        <w:rPr/>
        <w:t>、存货</w:t>
      </w:r>
    </w:p>
    <w:p>
      <w:pPr>
        <w:pStyle w:val="BodyText"/>
        <w:tabs>
          <w:tab w:pos="608" w:val="left" w:leader="none"/>
        </w:tabs>
        <w:spacing w:line="240" w:lineRule="auto" w:before="176"/>
        <w:ind w:left="133" w:right="0"/>
        <w:jc w:val="left"/>
      </w:pPr>
      <w:r>
        <w:rPr>
          <w:rFonts w:ascii="Arial" w:hAnsi="Arial" w:cs="Arial" w:eastAsia="Arial" w:hint="default"/>
        </w:rPr>
        <w:t>(a)</w:t>
        <w:tab/>
      </w:r>
      <w:r>
        <w:rPr/>
        <w:t>分类</w:t>
      </w:r>
    </w:p>
    <w:p>
      <w:pPr>
        <w:spacing w:line="240" w:lineRule="auto" w:before="1"/>
        <w:rPr>
          <w:rFonts w:ascii="宋体" w:hAnsi="宋体" w:cs="宋体" w:eastAsia="宋体" w:hint="default"/>
          <w:sz w:val="19"/>
          <w:szCs w:val="19"/>
        </w:rPr>
      </w:pPr>
    </w:p>
    <w:p>
      <w:pPr>
        <w:pStyle w:val="BodyText"/>
        <w:spacing w:line="284" w:lineRule="exact"/>
        <w:ind w:left="608" w:right="210"/>
        <w:jc w:val="both"/>
      </w:pPr>
      <w:r>
        <w:rPr>
          <w:spacing w:val="-4"/>
        </w:rPr>
        <w:t>存货包括手机等通讯终端、手机识别卡（如</w:t>
      </w:r>
      <w:r>
        <w:rPr>
          <w:rFonts w:ascii="Arial" w:hAnsi="Arial" w:cs="Arial" w:eastAsia="Arial" w:hint="default"/>
          <w:spacing w:val="-4"/>
        </w:rPr>
        <w:t>SIM</w:t>
      </w:r>
      <w:r>
        <w:rPr>
          <w:spacing w:val="-4"/>
        </w:rPr>
        <w:t>卡、</w:t>
      </w:r>
      <w:r>
        <w:rPr>
          <w:rFonts w:ascii="Arial" w:hAnsi="Arial" w:cs="Arial" w:eastAsia="Arial" w:hint="default"/>
          <w:spacing w:val="-4"/>
        </w:rPr>
        <w:t>USIM</w:t>
      </w:r>
      <w:r>
        <w:rPr>
          <w:spacing w:val="-4"/>
        </w:rPr>
        <w:t>卡等）及配件等，按成本与可变现净值孰</w:t>
      </w:r>
      <w:r>
        <w:rPr>
          <w:spacing w:val="-45"/>
        </w:rPr>
        <w:t> </w:t>
      </w:r>
      <w:r>
        <w:rPr>
          <w:spacing w:val="-45"/>
        </w:rPr>
      </w:r>
      <w:r>
        <w:rPr/>
        <w:t>低计量。</w:t>
      </w:r>
    </w:p>
    <w:p>
      <w:pPr>
        <w:spacing w:line="240" w:lineRule="auto" w:before="4"/>
        <w:rPr>
          <w:rFonts w:ascii="宋体" w:hAnsi="宋体" w:cs="宋体" w:eastAsia="宋体" w:hint="default"/>
          <w:sz w:val="15"/>
          <w:szCs w:val="15"/>
        </w:rPr>
      </w:pPr>
    </w:p>
    <w:p>
      <w:pPr>
        <w:pStyle w:val="BodyText"/>
        <w:tabs>
          <w:tab w:pos="608" w:val="left" w:leader="none"/>
        </w:tabs>
        <w:spacing w:line="410" w:lineRule="auto"/>
        <w:ind w:left="608" w:right="2797" w:hanging="476"/>
        <w:jc w:val="left"/>
      </w:pPr>
      <w:r>
        <w:rPr>
          <w:rFonts w:ascii="Arial" w:hAnsi="Arial" w:cs="Arial" w:eastAsia="Arial" w:hint="default"/>
        </w:rPr>
        <w:t>(b)</w:t>
        <w:tab/>
      </w:r>
      <w:r>
        <w:rPr/>
        <w:t>发出存货的计价方法</w:t>
      </w:r>
      <w:r>
        <w:rPr>
          <w:spacing w:val="-108"/>
        </w:rPr>
        <w:t> </w:t>
      </w:r>
      <w:r>
        <w:rPr>
          <w:spacing w:val="-108"/>
        </w:rPr>
      </w:r>
      <w:r>
        <w:rPr>
          <w:spacing w:val="-1"/>
        </w:rPr>
        <w:t>存货于取得时按实际成本入账，存货发出时的成本按先进先出法核算。</w:t>
      </w:r>
    </w:p>
    <w:p>
      <w:pPr>
        <w:pStyle w:val="BodyText"/>
        <w:tabs>
          <w:tab w:pos="608" w:val="left" w:leader="none"/>
        </w:tabs>
        <w:spacing w:line="240" w:lineRule="auto" w:before="64"/>
        <w:ind w:left="133" w:right="0"/>
        <w:jc w:val="left"/>
      </w:pPr>
      <w:r>
        <w:rPr>
          <w:rFonts w:ascii="Arial" w:hAnsi="Arial" w:cs="Arial" w:eastAsia="Arial" w:hint="default"/>
          <w:spacing w:val="-1"/>
        </w:rPr>
        <w:t>(c)</w:t>
        <w:tab/>
      </w:r>
      <w:r>
        <w:rPr>
          <w:spacing w:val="-1"/>
        </w:rPr>
        <w:t>存货可变现净值的确定依据及存货跌价准备的计提方法</w:t>
      </w:r>
    </w:p>
    <w:p>
      <w:pPr>
        <w:spacing w:line="240" w:lineRule="auto" w:before="10"/>
        <w:rPr>
          <w:rFonts w:ascii="宋体" w:hAnsi="宋体" w:cs="宋体" w:eastAsia="宋体" w:hint="default"/>
          <w:sz w:val="16"/>
          <w:szCs w:val="16"/>
        </w:rPr>
      </w:pPr>
    </w:p>
    <w:p>
      <w:pPr>
        <w:pStyle w:val="BodyText"/>
        <w:spacing w:line="240" w:lineRule="auto"/>
        <w:ind w:left="599" w:right="214"/>
        <w:jc w:val="both"/>
      </w:pPr>
      <w:r>
        <w:rPr>
          <w:spacing w:val="-2"/>
        </w:rPr>
        <w:t>存货跌价准备按存货成本高于其可变现净值的差额计提。可变现净值按日常活动中，以存货的估计</w:t>
      </w:r>
      <w:r>
        <w:rPr>
          <w:spacing w:val="-73"/>
        </w:rPr>
        <w:t> </w:t>
      </w:r>
      <w:r>
        <w:rPr>
          <w:spacing w:val="-73"/>
        </w:rPr>
      </w:r>
      <w:r>
        <w:rPr/>
        <w:t>售价减去估计的销售费用及相关税费后的金额确定。</w:t>
      </w:r>
    </w:p>
    <w:p>
      <w:pPr>
        <w:spacing w:line="240" w:lineRule="auto" w:before="11"/>
        <w:rPr>
          <w:rFonts w:ascii="宋体" w:hAnsi="宋体" w:cs="宋体" w:eastAsia="宋体" w:hint="default"/>
          <w:sz w:val="16"/>
          <w:szCs w:val="16"/>
        </w:rPr>
      </w:pPr>
    </w:p>
    <w:p>
      <w:pPr>
        <w:pStyle w:val="BodyText"/>
        <w:tabs>
          <w:tab w:pos="608" w:val="left" w:leader="none"/>
        </w:tabs>
        <w:spacing w:line="393" w:lineRule="auto"/>
        <w:ind w:left="133" w:right="5653"/>
        <w:jc w:val="left"/>
      </w:pPr>
      <w:r>
        <w:rPr>
          <w:rFonts w:ascii="Arial" w:hAnsi="Arial" w:cs="Arial" w:eastAsia="Arial" w:hint="default"/>
        </w:rPr>
        <w:t>(d)</w:t>
        <w:tab/>
      </w:r>
      <w:r>
        <w:rPr>
          <w:spacing w:val="-1"/>
        </w:rPr>
        <w:t>本集团的存货盘存制度采用永续盘存制。</w:t>
      </w:r>
      <w:r>
        <w:rPr>
          <w:spacing w:val="-88"/>
        </w:rPr>
        <w:t> </w:t>
      </w:r>
      <w:r>
        <w:rPr>
          <w:spacing w:val="-88"/>
        </w:rPr>
      </w:r>
      <w:r>
        <w:rPr>
          <w:rFonts w:ascii="Arial" w:hAnsi="Arial" w:cs="Arial" w:eastAsia="Arial" w:hint="default"/>
        </w:rPr>
        <w:t>(e)</w:t>
        <w:tab/>
      </w:r>
      <w:r>
        <w:rPr/>
        <w:t>低值易耗品采用一次转销法进行摊销。</w:t>
      </w:r>
      <w:r>
        <w:rPr>
          <w:spacing w:val="-107"/>
        </w:rPr>
        <w:t> </w:t>
      </w:r>
      <w:r>
        <w:rPr>
          <w:spacing w:val="-107"/>
        </w:rPr>
      </w:r>
      <w:r>
        <w:rPr>
          <w:rFonts w:ascii="Arial" w:hAnsi="Arial" w:cs="Arial" w:eastAsia="Arial" w:hint="default"/>
        </w:rPr>
        <w:t>10</w:t>
      </w:r>
      <w:r>
        <w:rPr/>
        <w:t>、长期股权投资</w:t>
      </w:r>
    </w:p>
    <w:p>
      <w:pPr>
        <w:pStyle w:val="BodyText"/>
        <w:spacing w:line="284" w:lineRule="exact" w:before="111"/>
        <w:ind w:left="608" w:right="203"/>
        <w:jc w:val="both"/>
      </w:pPr>
      <w:r>
        <w:rPr>
          <w:spacing w:val="-2"/>
        </w:rPr>
        <w:t>长期股权投资包括：本公司对子公司的长期股权投资；本集团对合营企业和联营企业的长期股权投</w:t>
      </w:r>
      <w:r>
        <w:rPr>
          <w:spacing w:val="-73"/>
        </w:rPr>
        <w:t> </w:t>
      </w:r>
      <w:r>
        <w:rPr>
          <w:spacing w:val="-73"/>
        </w:rPr>
      </w:r>
      <w:r>
        <w:rPr/>
        <w:t>资。</w:t>
      </w:r>
    </w:p>
    <w:p>
      <w:pPr>
        <w:spacing w:line="240" w:lineRule="auto" w:before="1"/>
        <w:rPr>
          <w:rFonts w:ascii="宋体" w:hAnsi="宋体" w:cs="宋体" w:eastAsia="宋体" w:hint="default"/>
          <w:sz w:val="17"/>
          <w:szCs w:val="17"/>
        </w:rPr>
      </w:pPr>
    </w:p>
    <w:p>
      <w:pPr>
        <w:pStyle w:val="BodyText"/>
        <w:spacing w:line="240" w:lineRule="auto"/>
        <w:ind w:left="608" w:right="0"/>
        <w:jc w:val="both"/>
      </w:pPr>
      <w:r>
        <w:rPr>
          <w:spacing w:val="2"/>
        </w:rPr>
        <w:t>子公司是指本公司能够对其实施控制的被投资单位；合营企业是由本集团与其他合营方共同控制</w:t>
      </w:r>
      <w:r>
        <w:rPr/>
      </w:r>
    </w:p>
    <w:p>
      <w:pPr>
        <w:pStyle w:val="BodyText"/>
        <w:spacing w:line="284" w:lineRule="exact" w:before="29"/>
        <w:ind w:left="608" w:right="109"/>
        <w:jc w:val="both"/>
      </w:pPr>
      <w:r>
        <w:rPr>
          <w:spacing w:val="-2"/>
        </w:rPr>
        <w:t>（参见附注三</w:t>
      </w:r>
      <w:r>
        <w:rPr>
          <w:rFonts w:ascii="Arial" w:hAnsi="Arial" w:cs="Arial" w:eastAsia="Arial" w:hint="default"/>
          <w:spacing w:val="-2"/>
        </w:rPr>
        <w:t>(10)(c)</w:t>
      </w:r>
      <w:r>
        <w:rPr>
          <w:spacing w:val="-2"/>
        </w:rPr>
        <w:t>）且仅对其净资产享有权利的一项安排；联营企业是指本集团能够对其财务和</w:t>
      </w:r>
      <w:r>
        <w:rPr>
          <w:spacing w:val="-61"/>
        </w:rPr>
        <w:t> </w:t>
      </w:r>
      <w:r>
        <w:rPr>
          <w:spacing w:val="-61"/>
        </w:rPr>
      </w:r>
      <w:r>
        <w:rPr/>
        <w:t>经营决策具有重大影响的被投资单位。</w:t>
      </w:r>
    </w:p>
    <w:p>
      <w:pPr>
        <w:spacing w:line="240" w:lineRule="auto" w:before="1"/>
        <w:rPr>
          <w:rFonts w:ascii="宋体" w:hAnsi="宋体" w:cs="宋体" w:eastAsia="宋体" w:hint="default"/>
          <w:sz w:val="17"/>
          <w:szCs w:val="17"/>
        </w:rPr>
      </w:pPr>
    </w:p>
    <w:p>
      <w:pPr>
        <w:pStyle w:val="BodyText"/>
        <w:spacing w:line="240" w:lineRule="auto"/>
        <w:ind w:left="608" w:right="109"/>
        <w:jc w:val="both"/>
      </w:pPr>
      <w:r>
        <w:rPr/>
        <w:t>对子公司的投资，在公司财务报表中按照成本法确定的金额列示，除非投资符合持有待售的条件，</w:t>
      </w:r>
      <w:r>
        <w:rPr>
          <w:spacing w:val="-64"/>
        </w:rPr>
        <w:t> </w:t>
      </w:r>
      <w:r>
        <w:rPr>
          <w:spacing w:val="-64"/>
        </w:rPr>
      </w:r>
      <w:r>
        <w:rPr/>
        <w:t>在编制合并财务报表时按权益法调整后进行合并；对合营企业和联营企业投资采用权益法核算。</w:t>
      </w:r>
    </w:p>
    <w:p>
      <w:pPr>
        <w:spacing w:line="240" w:lineRule="auto" w:before="11"/>
        <w:rPr>
          <w:rFonts w:ascii="宋体" w:hAnsi="宋体" w:cs="宋体" w:eastAsia="宋体" w:hint="default"/>
          <w:sz w:val="16"/>
          <w:szCs w:val="16"/>
        </w:rPr>
      </w:pPr>
    </w:p>
    <w:p>
      <w:pPr>
        <w:pStyle w:val="BodyText"/>
        <w:tabs>
          <w:tab w:pos="608" w:val="left" w:leader="none"/>
        </w:tabs>
        <w:spacing w:line="240" w:lineRule="auto"/>
        <w:ind w:left="133" w:right="0"/>
        <w:jc w:val="left"/>
      </w:pPr>
      <w:r>
        <w:rPr>
          <w:rFonts w:ascii="Arial" w:hAnsi="Arial" w:cs="Arial" w:eastAsia="Arial" w:hint="default"/>
        </w:rPr>
        <w:t>(a)</w:t>
        <w:tab/>
      </w:r>
      <w:r>
        <w:rPr/>
        <w:t>投资成本确定</w:t>
      </w:r>
    </w:p>
    <w:p>
      <w:pPr>
        <w:spacing w:line="240" w:lineRule="auto" w:before="8"/>
        <w:rPr>
          <w:rFonts w:ascii="宋体" w:hAnsi="宋体" w:cs="宋体" w:eastAsia="宋体" w:hint="default"/>
          <w:sz w:val="16"/>
          <w:szCs w:val="16"/>
        </w:rPr>
      </w:pPr>
    </w:p>
    <w:p>
      <w:pPr>
        <w:pStyle w:val="BodyText"/>
        <w:spacing w:line="237" w:lineRule="auto"/>
        <w:ind w:left="608" w:right="205"/>
        <w:jc w:val="both"/>
      </w:pPr>
      <w:r>
        <w:rPr>
          <w:spacing w:val="-2"/>
        </w:rPr>
        <w:t>对于企业合并形成的长期股权投资：同一控制下企业合并取得的长期股权投资，在合并日按照取得</w:t>
      </w:r>
      <w:r>
        <w:rPr>
          <w:spacing w:val="-73"/>
        </w:rPr>
        <w:t> </w:t>
      </w:r>
      <w:r>
        <w:rPr>
          <w:spacing w:val="-73"/>
        </w:rPr>
      </w:r>
      <w:r>
        <w:rPr>
          <w:spacing w:val="-3"/>
        </w:rPr>
        <w:t>被合并方所有者权益在最终控制方合并财务报表中的账面价值的份额作为投资成本；非同一控制下</w:t>
      </w:r>
      <w:r>
        <w:rPr>
          <w:spacing w:val="-35"/>
        </w:rPr>
        <w:t> </w:t>
      </w:r>
      <w:r>
        <w:rPr>
          <w:spacing w:val="-35"/>
        </w:rPr>
      </w:r>
      <w:r>
        <w:rPr>
          <w:spacing w:val="-2"/>
        </w:rPr>
        <w:t>企业合并取得的长期股权投资，按照合并成本作为长期股权投资的投资成本。本公司个别子公司在</w:t>
      </w:r>
      <w:r>
        <w:rPr>
          <w:spacing w:val="-73"/>
        </w:rPr>
        <w:t> </w:t>
      </w:r>
      <w:r>
        <w:rPr>
          <w:spacing w:val="-73"/>
        </w:rPr>
      </w:r>
      <w:r>
        <w:rPr>
          <w:spacing w:val="-3"/>
        </w:rPr>
        <w:t>以前年度进行公司制改建时对其持有的长期股权投资，按国有资产管理部门确认的评估值作为入账</w:t>
      </w:r>
      <w:r>
        <w:rPr>
          <w:spacing w:val="-35"/>
        </w:rPr>
        <w:t> </w:t>
      </w:r>
      <w:r>
        <w:rPr>
          <w:spacing w:val="-35"/>
        </w:rPr>
      </w:r>
      <w:r>
        <w:rPr/>
        <w:t>价值。</w:t>
      </w:r>
    </w:p>
    <w:p>
      <w:pPr>
        <w:spacing w:line="240" w:lineRule="auto" w:before="4"/>
        <w:rPr>
          <w:rFonts w:ascii="宋体" w:hAnsi="宋体" w:cs="宋体" w:eastAsia="宋体" w:hint="default"/>
          <w:sz w:val="19"/>
          <w:szCs w:val="19"/>
        </w:rPr>
      </w:pPr>
    </w:p>
    <w:p>
      <w:pPr>
        <w:pStyle w:val="BodyText"/>
        <w:spacing w:line="237" w:lineRule="auto"/>
        <w:ind w:left="608" w:right="205"/>
        <w:jc w:val="both"/>
      </w:pPr>
      <w:r>
        <w:rPr>
          <w:spacing w:val="-3"/>
        </w:rPr>
        <w:t>对于以企业合并以外的其他方式取得的长期股权投资：支付现金取得的长期股权投资，按照实际支</w:t>
      </w:r>
      <w:r>
        <w:rPr>
          <w:spacing w:val="-35"/>
        </w:rPr>
        <w:t> </w:t>
      </w:r>
      <w:r>
        <w:rPr>
          <w:spacing w:val="-35"/>
        </w:rPr>
      </w:r>
      <w:r>
        <w:rPr>
          <w:spacing w:val="-2"/>
        </w:rPr>
        <w:t>付的购买价款作为初始投资成本；发行权益性证券取得的长期股权投资，以发行权益性证券的公允</w:t>
      </w:r>
      <w:r>
        <w:rPr>
          <w:spacing w:val="-73"/>
        </w:rPr>
        <w:t> </w:t>
      </w:r>
      <w:r>
        <w:rPr>
          <w:spacing w:val="-73"/>
        </w:rPr>
      </w:r>
      <w:r>
        <w:rPr/>
        <w:t>价值作为初始投资成本。</w:t>
      </w:r>
    </w:p>
    <w:p>
      <w:pPr>
        <w:spacing w:after="0" w:line="237" w:lineRule="auto"/>
        <w:jc w:val="both"/>
        <w:sectPr>
          <w:headerReference w:type="default" r:id="rId116"/>
          <w:pgSz w:w="11910" w:h="16840"/>
          <w:pgMar w:header="842" w:footer="502" w:top="2700" w:bottom="700" w:left="860" w:right="820"/>
        </w:sectPr>
      </w:pPr>
    </w:p>
    <w:p>
      <w:pPr>
        <w:spacing w:line="240" w:lineRule="auto" w:before="4"/>
        <w:rPr>
          <w:rFonts w:ascii="宋体" w:hAnsi="宋体" w:cs="宋体" w:eastAsia="宋体" w:hint="default"/>
          <w:sz w:val="14"/>
          <w:szCs w:val="14"/>
        </w:rPr>
      </w:pPr>
    </w:p>
    <w:p>
      <w:pPr>
        <w:pStyle w:val="BodyText"/>
        <w:spacing w:line="240" w:lineRule="auto" w:before="32"/>
        <w:ind w:left="133" w:right="0"/>
        <w:jc w:val="left"/>
      </w:pPr>
      <w:r>
        <w:rPr>
          <w:rFonts w:ascii="Arial" w:hAnsi="Arial" w:cs="Arial" w:eastAsia="Arial" w:hint="default"/>
        </w:rPr>
        <w:t>10</w:t>
      </w:r>
      <w:r>
        <w:rPr/>
        <w:t>、长期股权投资（续）</w:t>
      </w:r>
    </w:p>
    <w:p>
      <w:pPr>
        <w:pStyle w:val="BodyText"/>
        <w:tabs>
          <w:tab w:pos="608" w:val="left" w:leader="none"/>
        </w:tabs>
        <w:spacing w:line="240" w:lineRule="auto" w:before="176"/>
        <w:ind w:left="133" w:right="0"/>
        <w:jc w:val="left"/>
      </w:pPr>
      <w:r>
        <w:rPr>
          <w:rFonts w:ascii="Arial" w:hAnsi="Arial" w:cs="Arial" w:eastAsia="Arial" w:hint="default"/>
        </w:rPr>
        <w:t>(b)</w:t>
        <w:tab/>
      </w:r>
      <w:r>
        <w:rPr/>
        <w:t>后续计量及损益确认方法</w:t>
      </w:r>
    </w:p>
    <w:p>
      <w:pPr>
        <w:spacing w:line="240" w:lineRule="auto" w:before="1"/>
        <w:rPr>
          <w:rFonts w:ascii="宋体" w:hAnsi="宋体" w:cs="宋体" w:eastAsia="宋体" w:hint="default"/>
          <w:sz w:val="19"/>
          <w:szCs w:val="19"/>
        </w:rPr>
      </w:pPr>
    </w:p>
    <w:p>
      <w:pPr>
        <w:pStyle w:val="BodyText"/>
        <w:spacing w:line="284" w:lineRule="exact"/>
        <w:ind w:left="608" w:right="0"/>
        <w:jc w:val="left"/>
      </w:pPr>
      <w:r>
        <w:rPr>
          <w:spacing w:val="-5"/>
        </w:rPr>
        <w:t>采用成本法核算的长期股权投资，按照初始投资成本计量，被投资单位宣告分派的现金股利或利润，</w:t>
      </w:r>
      <w:r>
        <w:rPr>
          <w:spacing w:val="-54"/>
        </w:rPr>
        <w:t> </w:t>
      </w:r>
      <w:r>
        <w:rPr>
          <w:spacing w:val="-54"/>
        </w:rPr>
      </w:r>
      <w:r>
        <w:rPr/>
        <w:t>确认为当期投资收益计入当期损益。</w:t>
      </w:r>
    </w:p>
    <w:p>
      <w:pPr>
        <w:spacing w:line="240" w:lineRule="auto" w:before="10"/>
        <w:rPr>
          <w:rFonts w:ascii="宋体" w:hAnsi="宋体" w:cs="宋体" w:eastAsia="宋体" w:hint="default"/>
          <w:sz w:val="19"/>
          <w:szCs w:val="19"/>
        </w:rPr>
      </w:pPr>
    </w:p>
    <w:p>
      <w:pPr>
        <w:pStyle w:val="BodyText"/>
        <w:spacing w:line="284" w:lineRule="exact"/>
        <w:ind w:left="608" w:right="205"/>
        <w:jc w:val="both"/>
      </w:pPr>
      <w:r>
        <w:rPr>
          <w:spacing w:val="-3"/>
        </w:rPr>
        <w:t>采用权益法核算的长期股权投资，初始投资成本大于投资时应享有被投资单位可辨认净资产公允价</w:t>
      </w:r>
      <w:r>
        <w:rPr>
          <w:spacing w:val="-35"/>
        </w:rPr>
        <w:t> </w:t>
      </w:r>
      <w:r>
        <w:rPr>
          <w:spacing w:val="-35"/>
        </w:rPr>
      </w:r>
      <w:r>
        <w:rPr>
          <w:spacing w:val="-2"/>
        </w:rPr>
        <w:t>值份额的，以初始投资成本作为长期股权投资成本；初始投资成本小于投资时应享有被投资单位可</w:t>
      </w:r>
      <w:r>
        <w:rPr>
          <w:spacing w:val="-73"/>
        </w:rPr>
        <w:t> </w:t>
      </w:r>
      <w:r>
        <w:rPr>
          <w:spacing w:val="-73"/>
        </w:rPr>
      </w:r>
      <w:r>
        <w:rPr/>
        <w:t>辨认净资产公允价值份额的，其差额计入当期损益，并相应调增长期股权投资成本。</w:t>
      </w:r>
    </w:p>
    <w:p>
      <w:pPr>
        <w:spacing w:line="240" w:lineRule="auto" w:before="9"/>
        <w:rPr>
          <w:rFonts w:ascii="宋体" w:hAnsi="宋体" w:cs="宋体" w:eastAsia="宋体" w:hint="default"/>
          <w:sz w:val="17"/>
          <w:szCs w:val="17"/>
        </w:rPr>
      </w:pPr>
    </w:p>
    <w:p>
      <w:pPr>
        <w:pStyle w:val="BodyText"/>
        <w:spacing w:line="237" w:lineRule="auto"/>
        <w:ind w:left="608" w:right="205"/>
        <w:jc w:val="both"/>
        <w:rPr>
          <w:rFonts w:ascii="宋体" w:hAnsi="宋体" w:cs="宋体" w:eastAsia="宋体" w:hint="default"/>
        </w:rPr>
      </w:pPr>
      <w:r>
        <w:rPr>
          <w:spacing w:val="-3"/>
        </w:rPr>
        <w:t>采用权益法核算的长期股权投资，本集团按应享有或应分担的被投资单位的净损益和其他综合收益</w:t>
      </w:r>
      <w:r>
        <w:rPr>
          <w:spacing w:val="-35"/>
        </w:rPr>
        <w:t> </w:t>
      </w:r>
      <w:r>
        <w:rPr>
          <w:spacing w:val="-35"/>
        </w:rPr>
      </w:r>
      <w:r>
        <w:rPr>
          <w:spacing w:val="-2"/>
        </w:rPr>
        <w:t>的份额分别确认当期投资损益和其他综合收益。确认被投资单位发生的净亏损，以长期股权投资的</w:t>
      </w:r>
      <w:r>
        <w:rPr>
          <w:spacing w:val="-73"/>
        </w:rPr>
        <w:t> </w:t>
      </w:r>
      <w:r>
        <w:rPr>
          <w:spacing w:val="-73"/>
        </w:rPr>
      </w:r>
      <w:r>
        <w:rPr>
          <w:spacing w:val="-3"/>
        </w:rPr>
        <w:t>账面价值以及其他实质上构成对被投资单位净投资的长期权益减记至零为限，但本集团负有承担额</w:t>
      </w:r>
      <w:r>
        <w:rPr>
          <w:spacing w:val="-35"/>
        </w:rPr>
        <w:t> </w:t>
      </w:r>
      <w:r>
        <w:rPr>
          <w:spacing w:val="-35"/>
        </w:rPr>
      </w:r>
      <w:r>
        <w:rPr>
          <w:spacing w:val="-3"/>
        </w:rPr>
        <w:t>外损失义务且符合或有事项准则所规定的预计负债确认条件的，继续确认投资损失并作为预计负债</w:t>
      </w:r>
      <w:r>
        <w:rPr>
          <w:spacing w:val="-35"/>
        </w:rPr>
        <w:t> </w:t>
      </w:r>
      <w:r>
        <w:rPr>
          <w:spacing w:val="-35"/>
        </w:rPr>
      </w:r>
      <w:r>
        <w:rPr>
          <w:spacing w:val="-2"/>
        </w:rPr>
        <w:t>核算。被投资单位除净损益、其他综合收益和利润分配以外股东权益的其他变动，在本集团持股比</w:t>
      </w:r>
      <w:r>
        <w:rPr>
          <w:spacing w:val="-75"/>
        </w:rPr>
        <w:t> </w:t>
      </w:r>
      <w:r>
        <w:rPr>
          <w:spacing w:val="-75"/>
        </w:rPr>
      </w:r>
      <w:r>
        <w:rPr>
          <w:spacing w:val="-2"/>
        </w:rPr>
        <w:t>例不变的情况下，按照持股比例计算应享有或承担的部分直接计入股东权益，并同时调整长期股权</w:t>
      </w:r>
      <w:r>
        <w:rPr>
          <w:spacing w:val="-73"/>
        </w:rPr>
        <w:t> </w:t>
      </w:r>
      <w:r>
        <w:rPr>
          <w:spacing w:val="-73"/>
        </w:rPr>
      </w:r>
      <w:r>
        <w:rPr>
          <w:spacing w:val="-2"/>
        </w:rPr>
        <w:t>投资的账面价值。被投资单位分派的利润或现金股利于宣告分派时按照本集团应分得的部分，相应</w:t>
      </w:r>
      <w:r>
        <w:rPr>
          <w:spacing w:val="-73"/>
        </w:rPr>
        <w:t> </w:t>
      </w:r>
      <w:r>
        <w:rPr>
          <w:spacing w:val="-73"/>
        </w:rPr>
      </w:r>
      <w:r>
        <w:rPr>
          <w:spacing w:val="-3"/>
        </w:rPr>
        <w:t>减少长期股权投资的账面价值。本集团与被投资单位之间未实现的内部交易损益按照应享有或应分</w:t>
      </w:r>
      <w:r>
        <w:rPr>
          <w:spacing w:val="-35"/>
        </w:rPr>
        <w:t> </w:t>
      </w:r>
      <w:r>
        <w:rPr>
          <w:spacing w:val="-35"/>
        </w:rPr>
      </w:r>
      <w:r>
        <w:rPr>
          <w:spacing w:val="-2"/>
        </w:rPr>
        <w:t>担的比例计算归属于本集团的部分，予以抵销，在此基础上确认投资损益。本集团与被投资单位发</w:t>
      </w:r>
      <w:r>
        <w:rPr>
          <w:spacing w:val="-75"/>
        </w:rPr>
        <w:t> </w:t>
      </w:r>
      <w:r>
        <w:rPr>
          <w:spacing w:val="-75"/>
        </w:rPr>
      </w:r>
      <w:r>
        <w:rPr/>
        <w:t>生的内部交易损失，其中属于资产减值损失的部分，相应的未实现损失不予抵销。</w:t>
      </w:r>
      <w:r>
        <w:rPr>
          <w:rFonts w:ascii="宋体" w:hAnsi="宋体" w:cs="宋体" w:eastAsia="宋体" w:hint="default"/>
        </w:rPr>
        <w:t> </w:t>
      </w:r>
    </w:p>
    <w:p>
      <w:pPr>
        <w:spacing w:line="240" w:lineRule="auto" w:before="11"/>
        <w:rPr>
          <w:rFonts w:ascii="宋体" w:hAnsi="宋体" w:cs="宋体" w:eastAsia="宋体" w:hint="default"/>
          <w:sz w:val="15"/>
          <w:szCs w:val="15"/>
        </w:rPr>
      </w:pPr>
    </w:p>
    <w:p>
      <w:pPr>
        <w:pStyle w:val="BodyText"/>
        <w:tabs>
          <w:tab w:pos="608" w:val="left" w:leader="none"/>
        </w:tabs>
        <w:spacing w:line="240" w:lineRule="auto"/>
        <w:ind w:left="133" w:right="0"/>
        <w:jc w:val="left"/>
      </w:pPr>
      <w:r>
        <w:rPr>
          <w:rFonts w:ascii="Arial" w:hAnsi="Arial" w:cs="Arial" w:eastAsia="Arial" w:hint="default"/>
          <w:spacing w:val="-1"/>
        </w:rPr>
        <w:t>(c)</w:t>
        <w:tab/>
      </w:r>
      <w:r>
        <w:rPr>
          <w:spacing w:val="-1"/>
        </w:rPr>
        <w:t>确定对被投资单位具有控制、共同控制、重大影响的判断标准</w:t>
      </w:r>
    </w:p>
    <w:p>
      <w:pPr>
        <w:spacing w:line="240" w:lineRule="auto" w:before="13"/>
        <w:rPr>
          <w:rFonts w:ascii="宋体" w:hAnsi="宋体" w:cs="宋体" w:eastAsia="宋体" w:hint="default"/>
          <w:sz w:val="16"/>
          <w:szCs w:val="16"/>
        </w:rPr>
      </w:pPr>
    </w:p>
    <w:p>
      <w:pPr>
        <w:pStyle w:val="BodyText"/>
        <w:spacing w:line="237" w:lineRule="auto"/>
        <w:ind w:left="608" w:right="109"/>
        <w:jc w:val="both"/>
      </w:pPr>
      <w:r>
        <w:rPr>
          <w:spacing w:val="-2"/>
        </w:rPr>
        <w:t>控制，是指本集团拥有对被投资方的权力，通过参与被投资方的相关活动而享有可变回报，并且有</w:t>
      </w:r>
      <w:r>
        <w:rPr>
          <w:spacing w:val="-75"/>
        </w:rPr>
        <w:t> </w:t>
      </w:r>
      <w:r>
        <w:rPr>
          <w:spacing w:val="-75"/>
        </w:rPr>
      </w:r>
      <w:r>
        <w:rPr>
          <w:spacing w:val="-2"/>
        </w:rPr>
        <w:t>能力运用对被投资方的权力影响其回报金额。在判断本集团是否拥有对被投资方的权力时，本集团</w:t>
      </w:r>
      <w:r>
        <w:rPr>
          <w:spacing w:val="-73"/>
        </w:rPr>
        <w:t> </w:t>
      </w:r>
      <w:r>
        <w:rPr>
          <w:spacing w:val="-73"/>
        </w:rPr>
      </w:r>
      <w:r>
        <w:rPr/>
        <w:t>仅考虑与被投资方相关的实质性权利（包括本集团自身所享有的及其他方所享有的实质性权利）。</w:t>
      </w:r>
    </w:p>
    <w:p>
      <w:pPr>
        <w:spacing w:line="240" w:lineRule="auto" w:before="5"/>
        <w:rPr>
          <w:rFonts w:ascii="宋体" w:hAnsi="宋体" w:cs="宋体" w:eastAsia="宋体" w:hint="default"/>
          <w:sz w:val="21"/>
          <w:szCs w:val="21"/>
        </w:rPr>
      </w:pPr>
    </w:p>
    <w:p>
      <w:pPr>
        <w:pStyle w:val="BodyText"/>
        <w:spacing w:line="284" w:lineRule="exact"/>
        <w:ind w:left="608" w:right="210"/>
        <w:jc w:val="both"/>
      </w:pPr>
      <w:r>
        <w:rPr>
          <w:spacing w:val="-3"/>
        </w:rPr>
        <w:t>共同控制指按照相关约定对某项安排所共有的控制，并且该安排的相关活动（即对安排的回报产生</w:t>
      </w:r>
      <w:r>
        <w:rPr>
          <w:spacing w:val="-35"/>
        </w:rPr>
        <w:t> </w:t>
      </w:r>
      <w:r>
        <w:rPr>
          <w:spacing w:val="-35"/>
        </w:rPr>
      </w:r>
      <w:r>
        <w:rPr/>
        <w:t>重大影响的活动）必须经过分享控制权的参与方一致同意后才能决策。</w:t>
      </w:r>
    </w:p>
    <w:p>
      <w:pPr>
        <w:spacing w:line="240" w:lineRule="auto" w:before="9"/>
        <w:rPr>
          <w:rFonts w:ascii="宋体" w:hAnsi="宋体" w:cs="宋体" w:eastAsia="宋体" w:hint="default"/>
          <w:sz w:val="15"/>
          <w:szCs w:val="15"/>
        </w:rPr>
      </w:pPr>
    </w:p>
    <w:p>
      <w:pPr>
        <w:pStyle w:val="BodyText"/>
        <w:spacing w:line="240" w:lineRule="auto"/>
        <w:ind w:left="608" w:right="0"/>
        <w:jc w:val="both"/>
      </w:pPr>
      <w:r>
        <w:rPr/>
        <w:t>本集团在判断对被投资单位是否存在共同控制时，通常考虑下述事项：</w:t>
      </w:r>
    </w:p>
    <w:p>
      <w:pPr>
        <w:spacing w:line="240" w:lineRule="auto" w:before="3"/>
        <w:rPr>
          <w:rFonts w:ascii="宋体" w:hAnsi="宋体" w:cs="宋体" w:eastAsia="宋体" w:hint="default"/>
          <w:sz w:val="17"/>
          <w:szCs w:val="17"/>
        </w:rPr>
      </w:pPr>
    </w:p>
    <w:p>
      <w:pPr>
        <w:pStyle w:val="BodyText"/>
        <w:spacing w:line="293" w:lineRule="exact"/>
        <w:ind w:left="608" w:right="0"/>
        <w:jc w:val="both"/>
      </w:pPr>
      <w:r>
        <w:rPr>
          <w:rFonts w:ascii="Arial" w:hAnsi="Arial" w:cs="Arial" w:eastAsia="Arial" w:hint="default"/>
        </w:rPr>
        <w:t>-   </w:t>
      </w:r>
      <w:r>
        <w:rPr>
          <w:rFonts w:ascii="Arial" w:hAnsi="Arial" w:cs="Arial" w:eastAsia="Arial" w:hint="default"/>
          <w:spacing w:val="42"/>
        </w:rPr>
        <w:t> </w:t>
      </w:r>
      <w:r>
        <w:rPr/>
        <w:t>是否任何一个参与方均不能单独控制被投资单位的相关活动；</w:t>
      </w:r>
    </w:p>
    <w:p>
      <w:pPr>
        <w:pStyle w:val="BodyText"/>
        <w:spacing w:line="293" w:lineRule="exact"/>
        <w:ind w:left="608" w:right="0"/>
        <w:jc w:val="both"/>
      </w:pPr>
      <w:r>
        <w:rPr>
          <w:rFonts w:ascii="Arial" w:hAnsi="Arial" w:cs="Arial" w:eastAsia="Arial" w:hint="default"/>
        </w:rPr>
        <w:t>-   </w:t>
      </w:r>
      <w:r>
        <w:rPr>
          <w:rFonts w:ascii="Arial" w:hAnsi="Arial" w:cs="Arial" w:eastAsia="Arial" w:hint="default"/>
          <w:spacing w:val="41"/>
        </w:rPr>
        <w:t> </w:t>
      </w:r>
      <w:r>
        <w:rPr/>
        <w:t>涉及被投资单位相关活动的决策是否需要分享控制权参与方一致同意。</w:t>
      </w:r>
    </w:p>
    <w:p>
      <w:pPr>
        <w:spacing w:line="240" w:lineRule="auto" w:before="11"/>
        <w:rPr>
          <w:rFonts w:ascii="宋体" w:hAnsi="宋体" w:cs="宋体" w:eastAsia="宋体" w:hint="default"/>
          <w:sz w:val="17"/>
          <w:szCs w:val="17"/>
        </w:rPr>
      </w:pPr>
    </w:p>
    <w:p>
      <w:pPr>
        <w:pStyle w:val="BodyText"/>
        <w:spacing w:line="240" w:lineRule="auto"/>
        <w:ind w:left="608" w:right="210"/>
        <w:jc w:val="both"/>
      </w:pPr>
      <w:r>
        <w:rPr>
          <w:spacing w:val="-3"/>
        </w:rPr>
        <w:t>重大影响是指本集团对被投资单位的财务和经营政策有参与决策的权力，但并不能够控制或者与其</w:t>
      </w:r>
      <w:r>
        <w:rPr>
          <w:spacing w:val="-35"/>
        </w:rPr>
        <w:t> </w:t>
      </w:r>
      <w:r>
        <w:rPr>
          <w:spacing w:val="-35"/>
        </w:rPr>
      </w:r>
      <w:r>
        <w:rPr/>
        <w:t>他方一起共同控制这些政策的制定。</w:t>
      </w:r>
    </w:p>
    <w:p>
      <w:pPr>
        <w:spacing w:line="240" w:lineRule="auto" w:before="11"/>
        <w:rPr>
          <w:rFonts w:ascii="宋体" w:hAnsi="宋体" w:cs="宋体" w:eastAsia="宋体" w:hint="default"/>
          <w:sz w:val="16"/>
          <w:szCs w:val="16"/>
        </w:rPr>
      </w:pPr>
    </w:p>
    <w:p>
      <w:pPr>
        <w:pStyle w:val="BodyText"/>
        <w:tabs>
          <w:tab w:pos="608" w:val="left" w:leader="none"/>
        </w:tabs>
        <w:spacing w:line="240" w:lineRule="auto"/>
        <w:ind w:left="133" w:right="0"/>
        <w:jc w:val="left"/>
      </w:pPr>
      <w:r>
        <w:rPr>
          <w:rFonts w:ascii="Arial" w:hAnsi="Arial" w:cs="Arial" w:eastAsia="Arial" w:hint="default"/>
        </w:rPr>
        <w:t>(d)</w:t>
        <w:tab/>
      </w:r>
      <w:r>
        <w:rPr/>
        <w:t>长期股权投资减值</w:t>
      </w:r>
    </w:p>
    <w:p>
      <w:pPr>
        <w:spacing w:line="240" w:lineRule="auto" w:before="12"/>
        <w:rPr>
          <w:rFonts w:ascii="宋体" w:hAnsi="宋体" w:cs="宋体" w:eastAsia="宋体" w:hint="default"/>
          <w:sz w:val="20"/>
          <w:szCs w:val="20"/>
        </w:rPr>
      </w:pPr>
    </w:p>
    <w:p>
      <w:pPr>
        <w:pStyle w:val="BodyText"/>
        <w:spacing w:line="284" w:lineRule="exact"/>
        <w:ind w:left="608" w:right="205"/>
        <w:jc w:val="both"/>
      </w:pPr>
      <w:r>
        <w:rPr>
          <w:spacing w:val="-2"/>
        </w:rPr>
        <w:t>对子公司、合营企业及联营企业的长期股权投资，当其可收回金额低于其账面价值时，账面价值减</w:t>
      </w:r>
      <w:r>
        <w:rPr>
          <w:spacing w:val="-74"/>
        </w:rPr>
        <w:t> </w:t>
      </w:r>
      <w:r>
        <w:rPr>
          <w:spacing w:val="-74"/>
        </w:rPr>
      </w:r>
      <w:r>
        <w:rPr/>
        <w:t>记至可收回金额（附注三</w:t>
      </w:r>
      <w:r>
        <w:rPr>
          <w:rFonts w:ascii="Arial" w:hAnsi="Arial" w:cs="Arial" w:eastAsia="Arial" w:hint="default"/>
        </w:rPr>
        <w:t>(16)</w:t>
      </w:r>
      <w:r>
        <w:rPr/>
        <w:t>）。</w:t>
      </w:r>
    </w:p>
    <w:p>
      <w:pPr>
        <w:spacing w:after="0" w:line="284" w:lineRule="exact"/>
        <w:jc w:val="both"/>
        <w:sectPr>
          <w:headerReference w:type="default" r:id="rId117"/>
          <w:pgSz w:w="11910" w:h="16840"/>
          <w:pgMar w:header="842" w:footer="502" w:top="2700" w:bottom="700" w:left="860" w:right="820"/>
        </w:sectPr>
      </w:pPr>
    </w:p>
    <w:p>
      <w:pPr>
        <w:spacing w:line="240" w:lineRule="auto" w:before="4"/>
        <w:rPr>
          <w:rFonts w:ascii="宋体" w:hAnsi="宋体" w:cs="宋体" w:eastAsia="宋体" w:hint="default"/>
          <w:sz w:val="14"/>
          <w:szCs w:val="14"/>
        </w:rPr>
      </w:pPr>
    </w:p>
    <w:p>
      <w:pPr>
        <w:pStyle w:val="BodyText"/>
        <w:spacing w:line="240" w:lineRule="auto" w:before="32"/>
        <w:ind w:left="133" w:right="0"/>
        <w:jc w:val="left"/>
      </w:pPr>
      <w:r>
        <w:rPr>
          <w:rFonts w:ascii="Arial" w:hAnsi="Arial" w:cs="Arial" w:eastAsia="Arial" w:hint="default"/>
        </w:rPr>
        <w:t>11</w:t>
      </w:r>
      <w:r>
        <w:rPr/>
        <w:t>、固定资产</w:t>
      </w:r>
    </w:p>
    <w:p>
      <w:pPr>
        <w:pStyle w:val="BodyText"/>
        <w:tabs>
          <w:tab w:pos="608" w:val="left" w:leader="none"/>
        </w:tabs>
        <w:spacing w:line="240" w:lineRule="auto" w:before="190"/>
        <w:ind w:left="133" w:right="0"/>
        <w:jc w:val="left"/>
      </w:pPr>
      <w:r>
        <w:rPr>
          <w:rFonts w:ascii="Arial" w:hAnsi="Arial" w:cs="Arial" w:eastAsia="Arial" w:hint="default"/>
        </w:rPr>
        <w:t>(a)</w:t>
        <w:tab/>
      </w:r>
      <w:r>
        <w:rPr/>
        <w:t>固定资产确认及初始计量</w:t>
      </w:r>
    </w:p>
    <w:p>
      <w:pPr>
        <w:spacing w:line="240" w:lineRule="auto" w:before="13"/>
        <w:rPr>
          <w:rFonts w:ascii="宋体" w:hAnsi="宋体" w:cs="宋体" w:eastAsia="宋体" w:hint="default"/>
          <w:sz w:val="16"/>
          <w:szCs w:val="16"/>
        </w:rPr>
      </w:pPr>
    </w:p>
    <w:p>
      <w:pPr>
        <w:pStyle w:val="BodyText"/>
        <w:spacing w:line="237" w:lineRule="auto"/>
        <w:ind w:left="623" w:right="325"/>
        <w:jc w:val="both"/>
      </w:pPr>
      <w:r>
        <w:rPr>
          <w:spacing w:val="-3"/>
        </w:rPr>
        <w:t>固定资产主要包括房屋及建筑物、通信设备以及办公设备等。固定资产在与其有关的经济利益很可</w:t>
      </w:r>
      <w:r>
        <w:rPr>
          <w:spacing w:val="-50"/>
        </w:rPr>
        <w:t> </w:t>
      </w:r>
      <w:r>
        <w:rPr>
          <w:spacing w:val="-50"/>
        </w:rPr>
      </w:r>
      <w:r>
        <w:rPr>
          <w:spacing w:val="-3"/>
        </w:rPr>
        <w:t>能流入本集团、且其成本能够可靠计量时予以确认。购置或新建的固定资产按取得时的成本进行初</w:t>
      </w:r>
      <w:r>
        <w:rPr>
          <w:spacing w:val="-50"/>
        </w:rPr>
        <w:t> </w:t>
      </w:r>
      <w:r>
        <w:rPr>
          <w:spacing w:val="-50"/>
        </w:rPr>
      </w:r>
      <w:r>
        <w:rPr>
          <w:spacing w:val="-3"/>
        </w:rPr>
        <w:t>始计量。本集团在进行重组时，国有股股东投入的固定资产，按国有资产管理部门确认的评估值作</w:t>
      </w:r>
      <w:r>
        <w:rPr>
          <w:spacing w:val="-44"/>
        </w:rPr>
        <w:t> </w:t>
      </w:r>
      <w:r>
        <w:rPr>
          <w:spacing w:val="-44"/>
        </w:rPr>
      </w:r>
      <w:r>
        <w:rPr/>
        <w:t>为入账价值。</w:t>
      </w:r>
    </w:p>
    <w:p>
      <w:pPr>
        <w:spacing w:line="240" w:lineRule="auto" w:before="4"/>
        <w:rPr>
          <w:rFonts w:ascii="宋体" w:hAnsi="宋体" w:cs="宋体" w:eastAsia="宋体" w:hint="default"/>
          <w:sz w:val="19"/>
          <w:szCs w:val="19"/>
        </w:rPr>
      </w:pPr>
    </w:p>
    <w:p>
      <w:pPr>
        <w:pStyle w:val="BodyText"/>
        <w:spacing w:line="237" w:lineRule="auto"/>
        <w:ind w:left="623" w:right="329"/>
        <w:jc w:val="both"/>
      </w:pPr>
      <w:r>
        <w:rPr>
          <w:spacing w:val="-3"/>
        </w:rPr>
        <w:t>与固定资产有关的后续支出，包括与更换固定资产某组成部分相关的支出，在与支出相关的经济利</w:t>
      </w:r>
      <w:r>
        <w:rPr>
          <w:spacing w:val="-50"/>
        </w:rPr>
        <w:t> </w:t>
      </w:r>
      <w:r>
        <w:rPr>
          <w:spacing w:val="-50"/>
        </w:rPr>
      </w:r>
      <w:r>
        <w:rPr>
          <w:spacing w:val="-3"/>
        </w:rPr>
        <w:t>益很可能流入本集团时资本化计入固定资产成本，同时将被替换部分的账面价值扣除；所有其他后</w:t>
      </w:r>
      <w:r>
        <w:rPr>
          <w:spacing w:val="-50"/>
        </w:rPr>
        <w:t> </w:t>
      </w:r>
      <w:r>
        <w:rPr>
          <w:spacing w:val="-50"/>
        </w:rPr>
      </w:r>
      <w:r>
        <w:rPr/>
        <w:t>续支出于发生时计入当期损益。</w:t>
      </w:r>
    </w:p>
    <w:p>
      <w:pPr>
        <w:spacing w:line="240" w:lineRule="auto" w:before="12"/>
        <w:rPr>
          <w:rFonts w:ascii="宋体" w:hAnsi="宋体" w:cs="宋体" w:eastAsia="宋体" w:hint="default"/>
          <w:sz w:val="16"/>
          <w:szCs w:val="16"/>
        </w:rPr>
      </w:pPr>
    </w:p>
    <w:p>
      <w:pPr>
        <w:pStyle w:val="BodyText"/>
        <w:tabs>
          <w:tab w:pos="608" w:val="left" w:leader="none"/>
        </w:tabs>
        <w:spacing w:line="240" w:lineRule="auto"/>
        <w:ind w:left="133" w:right="0"/>
        <w:jc w:val="left"/>
      </w:pPr>
      <w:r>
        <w:rPr>
          <w:rFonts w:ascii="Arial" w:hAnsi="Arial" w:cs="Arial" w:eastAsia="Arial" w:hint="default"/>
        </w:rPr>
        <w:t>(b)</w:t>
        <w:tab/>
      </w:r>
      <w:r>
        <w:rPr/>
        <w:t>固定资产的折旧方法</w:t>
      </w:r>
    </w:p>
    <w:p>
      <w:pPr>
        <w:spacing w:line="240" w:lineRule="auto" w:before="1"/>
        <w:rPr>
          <w:rFonts w:ascii="宋体" w:hAnsi="宋体" w:cs="宋体" w:eastAsia="宋体" w:hint="default"/>
          <w:sz w:val="19"/>
          <w:szCs w:val="19"/>
        </w:rPr>
      </w:pPr>
    </w:p>
    <w:p>
      <w:pPr>
        <w:pStyle w:val="BodyText"/>
        <w:spacing w:line="284" w:lineRule="exact"/>
        <w:ind w:left="623" w:right="0"/>
        <w:jc w:val="left"/>
      </w:pPr>
      <w:r>
        <w:rPr>
          <w:spacing w:val="-3"/>
        </w:rPr>
        <w:t>固定资产折旧采用年限平均法并按其入账价值减去预计净残值后在预计使用寿命内计提。对计提了</w:t>
      </w:r>
      <w:r>
        <w:rPr>
          <w:spacing w:val="-49"/>
        </w:rPr>
        <w:t> </w:t>
      </w:r>
      <w:r>
        <w:rPr>
          <w:spacing w:val="-49"/>
        </w:rPr>
      </w:r>
      <w:r>
        <w:rPr>
          <w:spacing w:val="-3"/>
        </w:rPr>
        <w:t>减值准备的固定资产，则在未来期间按扣除减值准备后的账面价值及依据尚可使用年限确定折旧额。</w:t>
      </w:r>
    </w:p>
    <w:p>
      <w:pPr>
        <w:spacing w:line="240" w:lineRule="auto" w:before="1"/>
        <w:rPr>
          <w:rFonts w:ascii="宋体" w:hAnsi="宋体" w:cs="宋体" w:eastAsia="宋体" w:hint="default"/>
          <w:sz w:val="17"/>
          <w:szCs w:val="17"/>
        </w:rPr>
      </w:pPr>
    </w:p>
    <w:p>
      <w:pPr>
        <w:pStyle w:val="BodyText"/>
        <w:spacing w:line="240" w:lineRule="auto"/>
        <w:ind w:left="623" w:right="0"/>
        <w:jc w:val="both"/>
      </w:pPr>
      <w:r>
        <w:rPr/>
        <w:t>固定资产的预计使用寿命、净残值率及年折旧率列示如下：</w:t>
      </w:r>
    </w:p>
    <w:p>
      <w:pPr>
        <w:spacing w:line="240" w:lineRule="auto" w:before="9"/>
        <w:rPr>
          <w:rFonts w:ascii="宋体" w:hAnsi="宋体" w:cs="宋体" w:eastAsia="宋体" w:hint="default"/>
          <w:sz w:val="24"/>
          <w:szCs w:val="24"/>
        </w:rPr>
      </w:pPr>
    </w:p>
    <w:tbl>
      <w:tblPr>
        <w:tblW w:w="0" w:type="auto"/>
        <w:jc w:val="left"/>
        <w:tblInd w:w="399" w:type="dxa"/>
        <w:tblLayout w:type="fixed"/>
        <w:tblCellMar>
          <w:top w:w="0" w:type="dxa"/>
          <w:left w:w="0" w:type="dxa"/>
          <w:bottom w:w="0" w:type="dxa"/>
          <w:right w:w="0" w:type="dxa"/>
        </w:tblCellMar>
        <w:tblLook w:val="01E0"/>
      </w:tblPr>
      <w:tblGrid>
        <w:gridCol w:w="2917"/>
        <w:gridCol w:w="2098"/>
        <w:gridCol w:w="274"/>
        <w:gridCol w:w="1800"/>
        <w:gridCol w:w="240"/>
        <w:gridCol w:w="2213"/>
      </w:tblGrid>
      <w:tr>
        <w:trPr>
          <w:trHeight w:val="259" w:hRule="exact"/>
        </w:trPr>
        <w:tc>
          <w:tcPr>
            <w:tcW w:w="2917" w:type="dxa"/>
            <w:tcBorders>
              <w:top w:val="nil" w:sz="6" w:space="0" w:color="auto"/>
              <w:left w:val="nil" w:sz="6" w:space="0" w:color="auto"/>
              <w:bottom w:val="nil" w:sz="6" w:space="0" w:color="auto"/>
              <w:right w:val="nil" w:sz="6" w:space="0" w:color="auto"/>
            </w:tcBorders>
          </w:tcPr>
          <w:p>
            <w:pPr/>
          </w:p>
        </w:tc>
        <w:tc>
          <w:tcPr>
            <w:tcW w:w="2098" w:type="dxa"/>
            <w:tcBorders>
              <w:top w:val="nil" w:sz="6" w:space="0" w:color="auto"/>
              <w:left w:val="nil" w:sz="6" w:space="0" w:color="auto"/>
              <w:bottom w:val="single" w:sz="6" w:space="0" w:color="000000"/>
              <w:right w:val="nil" w:sz="6" w:space="0" w:color="auto"/>
            </w:tcBorders>
          </w:tcPr>
          <w:p>
            <w:pPr>
              <w:pStyle w:val="TableParagraph"/>
              <w:spacing w:line="221" w:lineRule="exact"/>
              <w:ind w:left="4" w:right="0"/>
              <w:jc w:val="center"/>
              <w:rPr>
                <w:rFonts w:ascii="宋体" w:hAnsi="宋体" w:cs="宋体" w:eastAsia="宋体" w:hint="default"/>
                <w:sz w:val="22"/>
                <w:szCs w:val="22"/>
              </w:rPr>
            </w:pPr>
            <w:r>
              <w:rPr>
                <w:rFonts w:ascii="宋体" w:hAnsi="宋体" w:cs="宋体" w:eastAsia="宋体" w:hint="default"/>
                <w:sz w:val="22"/>
                <w:szCs w:val="22"/>
              </w:rPr>
              <w:t>预计使用寿命</w:t>
            </w:r>
          </w:p>
        </w:tc>
        <w:tc>
          <w:tcPr>
            <w:tcW w:w="274"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single" w:sz="6" w:space="0" w:color="000000"/>
              <w:right w:val="nil" w:sz="6" w:space="0" w:color="auto"/>
            </w:tcBorders>
          </w:tcPr>
          <w:p>
            <w:pPr>
              <w:pStyle w:val="TableParagraph"/>
              <w:spacing w:line="221" w:lineRule="exact"/>
              <w:ind w:right="2"/>
              <w:jc w:val="center"/>
              <w:rPr>
                <w:rFonts w:ascii="宋体" w:hAnsi="宋体" w:cs="宋体" w:eastAsia="宋体" w:hint="default"/>
                <w:sz w:val="22"/>
                <w:szCs w:val="22"/>
              </w:rPr>
            </w:pPr>
            <w:r>
              <w:rPr>
                <w:rFonts w:ascii="宋体" w:hAnsi="宋体" w:cs="宋体" w:eastAsia="宋体" w:hint="default"/>
                <w:sz w:val="22"/>
                <w:szCs w:val="22"/>
              </w:rPr>
              <w:t>预计净残值率</w:t>
            </w:r>
          </w:p>
        </w:tc>
        <w:tc>
          <w:tcPr>
            <w:tcW w:w="240"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single" w:sz="6" w:space="0" w:color="000000"/>
              <w:right w:val="nil" w:sz="6" w:space="0" w:color="auto"/>
            </w:tcBorders>
          </w:tcPr>
          <w:p>
            <w:pPr>
              <w:pStyle w:val="TableParagraph"/>
              <w:spacing w:line="221" w:lineRule="exact"/>
              <w:ind w:right="2"/>
              <w:jc w:val="center"/>
              <w:rPr>
                <w:rFonts w:ascii="宋体" w:hAnsi="宋体" w:cs="宋体" w:eastAsia="宋体" w:hint="default"/>
                <w:sz w:val="22"/>
                <w:szCs w:val="22"/>
              </w:rPr>
            </w:pPr>
            <w:r>
              <w:rPr>
                <w:rFonts w:ascii="宋体" w:hAnsi="宋体" w:cs="宋体" w:eastAsia="宋体" w:hint="default"/>
                <w:sz w:val="22"/>
                <w:szCs w:val="22"/>
              </w:rPr>
              <w:t>年折旧率</w:t>
            </w:r>
          </w:p>
        </w:tc>
      </w:tr>
      <w:tr>
        <w:trPr>
          <w:trHeight w:val="514" w:hRule="exact"/>
        </w:trPr>
        <w:tc>
          <w:tcPr>
            <w:tcW w:w="2917" w:type="dxa"/>
            <w:tcBorders>
              <w:top w:val="nil" w:sz="6" w:space="0" w:color="auto"/>
              <w:left w:val="nil" w:sz="6" w:space="0" w:color="auto"/>
              <w:bottom w:val="nil" w:sz="6" w:space="0" w:color="auto"/>
              <w:right w:val="nil" w:sz="6" w:space="0" w:color="auto"/>
            </w:tcBorders>
          </w:tcPr>
          <w:p>
            <w:pPr>
              <w:pStyle w:val="TableParagraph"/>
              <w:spacing w:line="240" w:lineRule="auto" w:before="177"/>
              <w:ind w:left="200" w:right="0"/>
              <w:jc w:val="left"/>
              <w:rPr>
                <w:rFonts w:ascii="宋体" w:hAnsi="宋体" w:cs="宋体" w:eastAsia="宋体" w:hint="default"/>
                <w:sz w:val="22"/>
                <w:szCs w:val="22"/>
              </w:rPr>
            </w:pPr>
            <w:r>
              <w:rPr>
                <w:rFonts w:ascii="宋体" w:hAnsi="宋体" w:cs="宋体" w:eastAsia="宋体" w:hint="default"/>
                <w:sz w:val="22"/>
                <w:szCs w:val="22"/>
              </w:rPr>
              <w:t>房屋建筑物</w:t>
            </w:r>
          </w:p>
        </w:tc>
        <w:tc>
          <w:tcPr>
            <w:tcW w:w="2098" w:type="dxa"/>
            <w:tcBorders>
              <w:top w:val="single" w:sz="6" w:space="0" w:color="000000"/>
              <w:left w:val="nil" w:sz="6" w:space="0" w:color="auto"/>
              <w:bottom w:val="nil" w:sz="6" w:space="0" w:color="auto"/>
              <w:right w:val="nil" w:sz="6" w:space="0" w:color="auto"/>
            </w:tcBorders>
          </w:tcPr>
          <w:p>
            <w:pPr>
              <w:pStyle w:val="TableParagraph"/>
              <w:spacing w:line="240" w:lineRule="auto" w:before="170"/>
              <w:ind w:right="0"/>
              <w:jc w:val="center"/>
              <w:rPr>
                <w:rFonts w:ascii="宋体" w:hAnsi="宋体" w:cs="宋体" w:eastAsia="宋体" w:hint="default"/>
                <w:sz w:val="22"/>
                <w:szCs w:val="22"/>
              </w:rPr>
            </w:pPr>
            <w:r>
              <w:rPr>
                <w:rFonts w:ascii="Arial" w:hAnsi="Arial" w:cs="Arial" w:eastAsia="Arial" w:hint="default"/>
                <w:sz w:val="22"/>
                <w:szCs w:val="22"/>
              </w:rPr>
              <w:t>10-30</w:t>
            </w:r>
            <w:r>
              <w:rPr>
                <w:rFonts w:ascii="Arial" w:hAnsi="Arial" w:cs="Arial" w:eastAsia="Arial" w:hint="default"/>
                <w:spacing w:val="-6"/>
                <w:sz w:val="22"/>
                <w:szCs w:val="22"/>
              </w:rPr>
              <w:t> </w:t>
            </w:r>
            <w:r>
              <w:rPr>
                <w:rFonts w:ascii="宋体" w:hAnsi="宋体" w:cs="宋体" w:eastAsia="宋体" w:hint="default"/>
                <w:sz w:val="22"/>
                <w:szCs w:val="22"/>
              </w:rPr>
              <w:t>年</w:t>
            </w:r>
          </w:p>
        </w:tc>
        <w:tc>
          <w:tcPr>
            <w:tcW w:w="274" w:type="dxa"/>
            <w:tcBorders>
              <w:top w:val="nil" w:sz="6" w:space="0" w:color="auto"/>
              <w:left w:val="nil" w:sz="6" w:space="0" w:color="auto"/>
              <w:bottom w:val="nil" w:sz="6" w:space="0" w:color="auto"/>
              <w:right w:val="nil" w:sz="6" w:space="0" w:color="auto"/>
            </w:tcBorders>
          </w:tcPr>
          <w:p>
            <w:pPr/>
          </w:p>
        </w:tc>
        <w:tc>
          <w:tcPr>
            <w:tcW w:w="1800" w:type="dxa"/>
            <w:tcBorders>
              <w:top w:val="single" w:sz="6"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 w:right="0"/>
              <w:jc w:val="center"/>
              <w:rPr>
                <w:rFonts w:ascii="Arial" w:hAnsi="Arial" w:cs="Arial" w:eastAsia="Arial" w:hint="default"/>
                <w:sz w:val="22"/>
                <w:szCs w:val="22"/>
              </w:rPr>
            </w:pPr>
            <w:r>
              <w:rPr>
                <w:rFonts w:ascii="Arial"/>
                <w:sz w:val="22"/>
              </w:rPr>
              <w:t>3%-5%</w:t>
            </w:r>
          </w:p>
        </w:tc>
        <w:tc>
          <w:tcPr>
            <w:tcW w:w="240" w:type="dxa"/>
            <w:tcBorders>
              <w:top w:val="nil" w:sz="6" w:space="0" w:color="auto"/>
              <w:left w:val="nil" w:sz="6" w:space="0" w:color="auto"/>
              <w:bottom w:val="nil" w:sz="6" w:space="0" w:color="auto"/>
              <w:right w:val="nil" w:sz="6" w:space="0" w:color="auto"/>
            </w:tcBorders>
          </w:tcPr>
          <w:p>
            <w:pPr/>
          </w:p>
        </w:tc>
        <w:tc>
          <w:tcPr>
            <w:tcW w:w="2213" w:type="dxa"/>
            <w:tcBorders>
              <w:top w:val="single" w:sz="6"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3"/>
              <w:jc w:val="center"/>
              <w:rPr>
                <w:rFonts w:ascii="Arial" w:hAnsi="Arial" w:cs="Arial" w:eastAsia="Arial" w:hint="default"/>
                <w:sz w:val="22"/>
                <w:szCs w:val="22"/>
              </w:rPr>
            </w:pPr>
            <w:r>
              <w:rPr>
                <w:rFonts w:ascii="Arial"/>
                <w:sz w:val="22"/>
              </w:rPr>
              <w:t>3.17%-9.70%</w:t>
            </w:r>
          </w:p>
        </w:tc>
      </w:tr>
      <w:tr>
        <w:trPr>
          <w:trHeight w:val="283" w:hRule="exact"/>
        </w:trPr>
        <w:tc>
          <w:tcPr>
            <w:tcW w:w="2917"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通信设备</w:t>
            </w:r>
          </w:p>
        </w:tc>
        <w:tc>
          <w:tcPr>
            <w:tcW w:w="2098" w:type="dxa"/>
            <w:tcBorders>
              <w:top w:val="nil" w:sz="6" w:space="0" w:color="auto"/>
              <w:left w:val="nil" w:sz="6" w:space="0" w:color="auto"/>
              <w:bottom w:val="nil" w:sz="6" w:space="0" w:color="auto"/>
              <w:right w:val="nil" w:sz="6" w:space="0" w:color="auto"/>
            </w:tcBorders>
          </w:tcPr>
          <w:p>
            <w:pPr>
              <w:pStyle w:val="TableParagraph"/>
              <w:spacing w:line="255" w:lineRule="exact"/>
              <w:ind w:left="4" w:right="0"/>
              <w:jc w:val="center"/>
              <w:rPr>
                <w:rFonts w:ascii="宋体" w:hAnsi="宋体" w:cs="宋体" w:eastAsia="宋体" w:hint="default"/>
                <w:sz w:val="22"/>
                <w:szCs w:val="22"/>
              </w:rPr>
            </w:pPr>
            <w:r>
              <w:rPr>
                <w:rFonts w:ascii="Arial" w:hAnsi="Arial" w:cs="Arial" w:eastAsia="Arial" w:hint="default"/>
                <w:sz w:val="22"/>
                <w:szCs w:val="22"/>
              </w:rPr>
              <w:t>5-10</w:t>
            </w:r>
            <w:r>
              <w:rPr>
                <w:rFonts w:ascii="Arial" w:hAnsi="Arial" w:cs="Arial" w:eastAsia="Arial" w:hint="default"/>
                <w:spacing w:val="-3"/>
                <w:sz w:val="22"/>
                <w:szCs w:val="22"/>
              </w:rPr>
              <w:t> </w:t>
            </w:r>
            <w:r>
              <w:rPr>
                <w:rFonts w:ascii="宋体" w:hAnsi="宋体" w:cs="宋体" w:eastAsia="宋体" w:hint="default"/>
                <w:sz w:val="22"/>
                <w:szCs w:val="22"/>
              </w:rPr>
              <w:t>年</w:t>
            </w:r>
          </w:p>
        </w:tc>
        <w:tc>
          <w:tcPr>
            <w:tcW w:w="274"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 w:right="0"/>
              <w:jc w:val="center"/>
              <w:rPr>
                <w:rFonts w:ascii="Arial" w:hAnsi="Arial" w:cs="Arial" w:eastAsia="Arial" w:hint="default"/>
                <w:sz w:val="22"/>
                <w:szCs w:val="22"/>
              </w:rPr>
            </w:pPr>
            <w:r>
              <w:rPr>
                <w:rFonts w:ascii="Arial"/>
                <w:sz w:val="22"/>
              </w:rPr>
              <w:t>3%-5%</w:t>
            </w:r>
          </w:p>
        </w:tc>
        <w:tc>
          <w:tcPr>
            <w:tcW w:w="240"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
              <w:jc w:val="center"/>
              <w:rPr>
                <w:rFonts w:ascii="Arial" w:hAnsi="Arial" w:cs="Arial" w:eastAsia="Arial" w:hint="default"/>
                <w:sz w:val="22"/>
                <w:szCs w:val="22"/>
              </w:rPr>
            </w:pPr>
            <w:r>
              <w:rPr>
                <w:rFonts w:ascii="Arial"/>
                <w:sz w:val="22"/>
              </w:rPr>
              <w:t>9.50%-19.40%</w:t>
            </w:r>
          </w:p>
        </w:tc>
      </w:tr>
      <w:tr>
        <w:trPr>
          <w:trHeight w:val="269" w:hRule="exact"/>
        </w:trPr>
        <w:tc>
          <w:tcPr>
            <w:tcW w:w="2917"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办公设备及其他</w:t>
            </w:r>
          </w:p>
        </w:tc>
        <w:tc>
          <w:tcPr>
            <w:tcW w:w="2098" w:type="dxa"/>
            <w:tcBorders>
              <w:top w:val="nil" w:sz="6" w:space="0" w:color="auto"/>
              <w:left w:val="nil" w:sz="6" w:space="0" w:color="auto"/>
              <w:bottom w:val="nil" w:sz="6" w:space="0" w:color="auto"/>
              <w:right w:val="nil" w:sz="6" w:space="0" w:color="auto"/>
            </w:tcBorders>
          </w:tcPr>
          <w:p>
            <w:pPr>
              <w:pStyle w:val="TableParagraph"/>
              <w:spacing w:line="255" w:lineRule="exact"/>
              <w:ind w:left="4" w:right="0"/>
              <w:jc w:val="center"/>
              <w:rPr>
                <w:rFonts w:ascii="宋体" w:hAnsi="宋体" w:cs="宋体" w:eastAsia="宋体" w:hint="default"/>
                <w:sz w:val="22"/>
                <w:szCs w:val="22"/>
              </w:rPr>
            </w:pPr>
            <w:r>
              <w:rPr>
                <w:rFonts w:ascii="Arial" w:hAnsi="Arial" w:cs="Arial" w:eastAsia="Arial" w:hint="default"/>
                <w:sz w:val="22"/>
                <w:szCs w:val="22"/>
              </w:rPr>
              <w:t>5-10</w:t>
            </w:r>
            <w:r>
              <w:rPr>
                <w:rFonts w:ascii="Arial" w:hAnsi="Arial" w:cs="Arial" w:eastAsia="Arial" w:hint="default"/>
                <w:spacing w:val="-3"/>
                <w:sz w:val="22"/>
                <w:szCs w:val="22"/>
              </w:rPr>
              <w:t> </w:t>
            </w:r>
            <w:r>
              <w:rPr>
                <w:rFonts w:ascii="宋体" w:hAnsi="宋体" w:cs="宋体" w:eastAsia="宋体" w:hint="default"/>
                <w:sz w:val="22"/>
                <w:szCs w:val="22"/>
              </w:rPr>
              <w:t>年</w:t>
            </w:r>
          </w:p>
        </w:tc>
        <w:tc>
          <w:tcPr>
            <w:tcW w:w="274"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 w:right="0"/>
              <w:jc w:val="center"/>
              <w:rPr>
                <w:rFonts w:ascii="Arial" w:hAnsi="Arial" w:cs="Arial" w:eastAsia="Arial" w:hint="default"/>
                <w:sz w:val="22"/>
                <w:szCs w:val="22"/>
              </w:rPr>
            </w:pPr>
            <w:r>
              <w:rPr>
                <w:rFonts w:ascii="Arial"/>
                <w:sz w:val="22"/>
              </w:rPr>
              <w:t>3%-5%</w:t>
            </w:r>
          </w:p>
        </w:tc>
        <w:tc>
          <w:tcPr>
            <w:tcW w:w="240"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
              <w:jc w:val="center"/>
              <w:rPr>
                <w:rFonts w:ascii="Arial" w:hAnsi="Arial" w:cs="Arial" w:eastAsia="Arial" w:hint="default"/>
                <w:sz w:val="22"/>
                <w:szCs w:val="22"/>
              </w:rPr>
            </w:pPr>
            <w:r>
              <w:rPr>
                <w:rFonts w:ascii="Arial"/>
                <w:sz w:val="22"/>
              </w:rPr>
              <w:t>9.50%-19.40%</w:t>
            </w:r>
          </w:p>
        </w:tc>
      </w:tr>
    </w:tbl>
    <w:p>
      <w:pPr>
        <w:spacing w:line="240" w:lineRule="auto" w:before="1"/>
        <w:rPr>
          <w:rFonts w:ascii="宋体" w:hAnsi="宋体" w:cs="宋体" w:eastAsia="宋体" w:hint="default"/>
          <w:sz w:val="17"/>
          <w:szCs w:val="17"/>
        </w:rPr>
      </w:pPr>
    </w:p>
    <w:p>
      <w:pPr>
        <w:pStyle w:val="BodyText"/>
        <w:tabs>
          <w:tab w:pos="609" w:val="left" w:leader="none"/>
        </w:tabs>
        <w:spacing w:line="400" w:lineRule="auto"/>
        <w:ind w:left="134" w:right="727" w:firstLine="460"/>
        <w:jc w:val="left"/>
      </w:pPr>
      <w:r>
        <w:rPr>
          <w:spacing w:val="-1"/>
        </w:rPr>
        <w:t>对固定资产的预计使用寿命、预计净残值和折旧方法于每年年度终了进行复核并作适当调整。</w:t>
      </w:r>
      <w:r>
        <w:rPr>
          <w:w w:val="100"/>
        </w:rPr>
        <w:t> </w:t>
      </w:r>
      <w:r>
        <w:rPr>
          <w:rFonts w:ascii="Arial" w:hAnsi="Arial" w:cs="Arial" w:eastAsia="Arial" w:hint="default"/>
          <w:spacing w:val="-1"/>
        </w:rPr>
        <w:t>(c)</w:t>
        <w:tab/>
      </w:r>
      <w:r>
        <w:rPr>
          <w:spacing w:val="-1"/>
        </w:rPr>
        <w:t>当固定资产的可收回金额低于其账面价值时，账面价值减记至可收回金额（附注三</w:t>
      </w:r>
      <w:r>
        <w:rPr>
          <w:rFonts w:ascii="Arial" w:hAnsi="Arial" w:cs="Arial" w:eastAsia="Arial" w:hint="default"/>
          <w:spacing w:val="-1"/>
        </w:rPr>
        <w:t>(16)</w:t>
      </w:r>
      <w:r>
        <w:rPr>
          <w:spacing w:val="-1"/>
        </w:rPr>
        <w:t>）。</w:t>
      </w:r>
      <w:r>
        <w:rPr>
          <w:spacing w:val="-67"/>
        </w:rPr>
        <w:t> </w:t>
      </w:r>
      <w:r>
        <w:rPr>
          <w:rFonts w:ascii="Arial" w:hAnsi="Arial" w:cs="Arial" w:eastAsia="Arial" w:hint="default"/>
        </w:rPr>
        <w:t>(d)</w:t>
        <w:tab/>
      </w:r>
      <w:r>
        <w:rPr/>
        <w:t>固定资产的处置</w:t>
      </w:r>
    </w:p>
    <w:p>
      <w:pPr>
        <w:pStyle w:val="BodyText"/>
        <w:spacing w:line="240" w:lineRule="auto" w:before="50"/>
        <w:ind w:left="585" w:right="290" w:firstLine="9"/>
        <w:jc w:val="both"/>
      </w:pPr>
      <w:r>
        <w:rPr>
          <w:spacing w:val="-1"/>
        </w:rPr>
        <w:t>当固定资产被处置、或者预期通过使用或处置不能产生经济利益时，终止确认该固定资产。固定资</w:t>
      </w:r>
      <w:r>
        <w:rPr>
          <w:spacing w:val="-77"/>
        </w:rPr>
        <w:t> </w:t>
      </w:r>
      <w:r>
        <w:rPr>
          <w:spacing w:val="-77"/>
        </w:rPr>
      </w:r>
      <w:r>
        <w:rPr/>
        <w:t>产出售、转让、报废或毁损时的处置收入扣除其账面价值和相关税费后的金额计入当期损益。</w:t>
      </w:r>
    </w:p>
    <w:p>
      <w:pPr>
        <w:spacing w:after="0" w:line="240" w:lineRule="auto"/>
        <w:jc w:val="both"/>
        <w:sectPr>
          <w:headerReference w:type="default" r:id="rId118"/>
          <w:pgSz w:w="11910" w:h="16840"/>
          <w:pgMar w:header="842" w:footer="502" w:top="2700" w:bottom="700" w:left="860" w:right="700"/>
        </w:sectPr>
      </w:pPr>
    </w:p>
    <w:p>
      <w:pPr>
        <w:spacing w:line="240" w:lineRule="auto" w:before="4"/>
        <w:rPr>
          <w:rFonts w:ascii="宋体" w:hAnsi="宋体" w:cs="宋体" w:eastAsia="宋体" w:hint="default"/>
          <w:sz w:val="14"/>
          <w:szCs w:val="14"/>
        </w:rPr>
      </w:pPr>
    </w:p>
    <w:p>
      <w:pPr>
        <w:pStyle w:val="BodyText"/>
        <w:spacing w:line="240" w:lineRule="auto" w:before="32"/>
        <w:ind w:left="133" w:right="0"/>
        <w:jc w:val="left"/>
      </w:pPr>
      <w:r>
        <w:rPr>
          <w:rFonts w:ascii="Arial" w:hAnsi="Arial" w:cs="Arial" w:eastAsia="Arial" w:hint="default"/>
        </w:rPr>
        <w:t>12</w:t>
      </w:r>
      <w:r>
        <w:rPr/>
        <w:t>、在建工程</w:t>
      </w:r>
    </w:p>
    <w:p>
      <w:pPr>
        <w:spacing w:line="240" w:lineRule="auto" w:before="13"/>
        <w:rPr>
          <w:rFonts w:ascii="宋体" w:hAnsi="宋体" w:cs="宋体" w:eastAsia="宋体" w:hint="default"/>
          <w:sz w:val="16"/>
          <w:szCs w:val="16"/>
        </w:rPr>
      </w:pPr>
    </w:p>
    <w:p>
      <w:pPr>
        <w:pStyle w:val="BodyText"/>
        <w:spacing w:line="237" w:lineRule="auto"/>
        <w:ind w:left="608" w:right="0"/>
        <w:jc w:val="left"/>
      </w:pPr>
      <w:r>
        <w:rPr>
          <w:spacing w:val="-3"/>
        </w:rPr>
        <w:t>在建工程按实际发生的成本计量。实际成本包括建筑成本、安装成本、符合资本化条件的借款费用</w:t>
      </w:r>
      <w:r>
        <w:rPr>
          <w:spacing w:val="-42"/>
        </w:rPr>
        <w:t> </w:t>
      </w:r>
      <w:r>
        <w:rPr>
          <w:spacing w:val="-42"/>
        </w:rPr>
      </w:r>
      <w:r>
        <w:rPr>
          <w:spacing w:val="-3"/>
        </w:rPr>
        <w:t>以及其他为使在建工程达到预定可使用状态所发生的必要支出。在建工程在达到预定可使用状态时，</w:t>
      </w:r>
      <w:r>
        <w:rPr>
          <w:spacing w:val="-36"/>
        </w:rPr>
        <w:t> </w:t>
      </w:r>
      <w:r>
        <w:rPr>
          <w:spacing w:val="-36"/>
        </w:rPr>
      </w:r>
      <w:r>
        <w:rPr/>
        <w:t>转入固定资产并自次月起开始计提折旧。</w:t>
      </w:r>
    </w:p>
    <w:p>
      <w:pPr>
        <w:spacing w:line="240" w:lineRule="auto" w:before="1"/>
        <w:rPr>
          <w:rFonts w:ascii="宋体" w:hAnsi="宋体" w:cs="宋体" w:eastAsia="宋体" w:hint="default"/>
          <w:sz w:val="19"/>
          <w:szCs w:val="19"/>
        </w:rPr>
      </w:pPr>
    </w:p>
    <w:p>
      <w:pPr>
        <w:pStyle w:val="BodyText"/>
        <w:spacing w:line="240" w:lineRule="auto"/>
        <w:ind w:left="608" w:right="0"/>
        <w:jc w:val="both"/>
      </w:pPr>
      <w:r>
        <w:rPr/>
        <w:t>当在建工程的可收回金额低于其账面价值时，账面价值减记至可收回金额（附注三</w:t>
      </w:r>
      <w:r>
        <w:rPr>
          <w:rFonts w:ascii="Arial" w:hAnsi="Arial" w:cs="Arial" w:eastAsia="Arial" w:hint="default"/>
        </w:rPr>
        <w:t>(16)</w:t>
      </w:r>
      <w:r>
        <w:rPr/>
        <w:t>）。</w:t>
      </w:r>
    </w:p>
    <w:p>
      <w:pPr>
        <w:spacing w:line="240" w:lineRule="auto" w:before="9"/>
        <w:rPr>
          <w:rFonts w:ascii="宋体" w:hAnsi="宋体" w:cs="宋体" w:eastAsia="宋体" w:hint="default"/>
          <w:sz w:val="15"/>
          <w:szCs w:val="15"/>
        </w:rPr>
      </w:pPr>
    </w:p>
    <w:p>
      <w:pPr>
        <w:pStyle w:val="BodyText"/>
        <w:spacing w:line="240" w:lineRule="auto"/>
        <w:ind w:left="133" w:right="0"/>
        <w:jc w:val="left"/>
      </w:pPr>
      <w:r>
        <w:rPr>
          <w:rFonts w:ascii="Arial" w:hAnsi="Arial" w:cs="Arial" w:eastAsia="Arial" w:hint="default"/>
        </w:rPr>
        <w:t>13</w:t>
      </w:r>
      <w:r>
        <w:rPr/>
        <w:t>、借款费用</w:t>
      </w:r>
    </w:p>
    <w:p>
      <w:pPr>
        <w:spacing w:line="240" w:lineRule="auto" w:before="2"/>
        <w:rPr>
          <w:rFonts w:ascii="宋体" w:hAnsi="宋体" w:cs="宋体" w:eastAsia="宋体" w:hint="default"/>
          <w:sz w:val="17"/>
          <w:szCs w:val="17"/>
        </w:rPr>
      </w:pPr>
    </w:p>
    <w:p>
      <w:pPr>
        <w:pStyle w:val="BodyText"/>
        <w:spacing w:line="235" w:lineRule="auto"/>
        <w:ind w:left="608" w:right="323"/>
        <w:jc w:val="both"/>
      </w:pPr>
      <w:r>
        <w:rPr>
          <w:spacing w:val="2"/>
        </w:rPr>
        <w:t>本集团发生的可直接归属于需要经过相当长时间的购建活动才能达到预定可使用状态之固定资产</w:t>
      </w:r>
      <w:r>
        <w:rPr>
          <w:spacing w:val="-46"/>
        </w:rPr>
        <w:t> </w:t>
      </w:r>
      <w:r>
        <w:rPr>
          <w:spacing w:val="-46"/>
        </w:rPr>
      </w:r>
      <w:r>
        <w:rPr>
          <w:spacing w:val="-3"/>
        </w:rPr>
        <w:t>的购建的借款费用，在资产支出及借款费用已经发生、为使资产达到预定可使用状态所必要的购建</w:t>
      </w:r>
      <w:r>
        <w:rPr>
          <w:spacing w:val="-40"/>
        </w:rPr>
        <w:t> </w:t>
      </w:r>
      <w:r>
        <w:rPr>
          <w:spacing w:val="-40"/>
        </w:rPr>
      </w:r>
      <w:r>
        <w:rPr>
          <w:spacing w:val="-3"/>
        </w:rPr>
        <w:t>活动已经开始时，开始资本化并计入该资产的成本。当购建的资产达到预定可使用状态时停止资本</w:t>
      </w:r>
      <w:r>
        <w:rPr>
          <w:spacing w:val="-40"/>
        </w:rPr>
        <w:t> </w:t>
      </w:r>
      <w:r>
        <w:rPr>
          <w:spacing w:val="-40"/>
        </w:rPr>
      </w:r>
      <w:r>
        <w:rPr>
          <w:spacing w:val="-3"/>
        </w:rPr>
        <w:t>化，其后发生的借款费用计入当期损益。如果资产的购建活动发生非正常中断，并且中断时间连续</w:t>
      </w:r>
      <w:r>
        <w:rPr>
          <w:spacing w:val="-42"/>
        </w:rPr>
        <w:t> </w:t>
      </w:r>
      <w:r>
        <w:rPr>
          <w:spacing w:val="-42"/>
        </w:rPr>
      </w:r>
      <w:r>
        <w:rPr/>
        <w:t>超过</w:t>
      </w:r>
      <w:r>
        <w:rPr>
          <w:rFonts w:ascii="Arial" w:hAnsi="Arial" w:cs="Arial" w:eastAsia="Arial" w:hint="default"/>
        </w:rPr>
        <w:t>3</w:t>
      </w:r>
      <w:r>
        <w:rPr/>
        <w:t>个月，暂停借款费用的资本化，直至资产的购建活动重新开始。其他借款费用均于发生当期</w:t>
      </w:r>
      <w:r>
        <w:rPr>
          <w:spacing w:val="-75"/>
        </w:rPr>
        <w:t> </w:t>
      </w:r>
      <w:r>
        <w:rPr/>
        <w:t>确认为财务费用。</w:t>
      </w:r>
    </w:p>
    <w:p>
      <w:pPr>
        <w:spacing w:line="240" w:lineRule="auto" w:before="4"/>
        <w:rPr>
          <w:rFonts w:ascii="宋体" w:hAnsi="宋体" w:cs="宋体" w:eastAsia="宋体" w:hint="default"/>
          <w:sz w:val="19"/>
          <w:szCs w:val="19"/>
        </w:rPr>
      </w:pPr>
    </w:p>
    <w:p>
      <w:pPr>
        <w:pStyle w:val="BodyText"/>
        <w:spacing w:line="237" w:lineRule="auto"/>
        <w:ind w:left="608" w:right="334"/>
        <w:jc w:val="both"/>
      </w:pPr>
      <w:r>
        <w:rPr>
          <w:spacing w:val="-3"/>
        </w:rPr>
        <w:t>对于为购建符合资本化条件的资产而借入的专门借款，本集团以专门借款按实际利率计算的当期利</w:t>
      </w:r>
      <w:r>
        <w:rPr>
          <w:spacing w:val="-40"/>
        </w:rPr>
        <w:t> </w:t>
      </w:r>
      <w:r>
        <w:rPr>
          <w:spacing w:val="-40"/>
        </w:rPr>
      </w:r>
      <w:r>
        <w:rPr>
          <w:spacing w:val="-3"/>
        </w:rPr>
        <w:t>息费用，减去将尚未动用的借款资金存入银行取得的利息收入或进行暂时性投资取得的投资收益后</w:t>
      </w:r>
      <w:r>
        <w:rPr>
          <w:spacing w:val="-40"/>
        </w:rPr>
        <w:t> </w:t>
      </w:r>
      <w:r>
        <w:rPr>
          <w:spacing w:val="-40"/>
        </w:rPr>
      </w:r>
      <w:r>
        <w:rPr/>
        <w:t>的金额确定专门借款应予资本化的利息金额。</w:t>
      </w:r>
    </w:p>
    <w:p>
      <w:pPr>
        <w:spacing w:line="240" w:lineRule="auto" w:before="4"/>
        <w:rPr>
          <w:rFonts w:ascii="宋体" w:hAnsi="宋体" w:cs="宋体" w:eastAsia="宋体" w:hint="default"/>
          <w:sz w:val="19"/>
          <w:szCs w:val="19"/>
        </w:rPr>
      </w:pPr>
    </w:p>
    <w:p>
      <w:pPr>
        <w:pStyle w:val="BodyText"/>
        <w:spacing w:line="237" w:lineRule="auto"/>
        <w:ind w:left="608" w:right="323"/>
        <w:jc w:val="both"/>
      </w:pPr>
      <w:r>
        <w:rPr>
          <w:spacing w:val="-3"/>
        </w:rPr>
        <w:t>对于为购建符合资本化条件的固定资产而占用的一般借款，按照累计资产支出超过专门借款部分的</w:t>
      </w:r>
      <w:r>
        <w:rPr>
          <w:spacing w:val="-40"/>
        </w:rPr>
        <w:t> </w:t>
      </w:r>
      <w:r>
        <w:rPr>
          <w:spacing w:val="-40"/>
        </w:rPr>
      </w:r>
      <w:r>
        <w:rPr>
          <w:spacing w:val="2"/>
        </w:rPr>
        <w:t>资本支出加权平均数乘以所占用一般借款的加权平均实际利率计算确定一般借款费用的资本化金</w:t>
      </w:r>
      <w:r>
        <w:rPr>
          <w:spacing w:val="-46"/>
        </w:rPr>
        <w:t> </w:t>
      </w:r>
      <w:r>
        <w:rPr>
          <w:spacing w:val="-46"/>
        </w:rPr>
      </w:r>
      <w:r>
        <w:rPr/>
        <w:t>额。</w:t>
      </w:r>
    </w:p>
    <w:p>
      <w:pPr>
        <w:spacing w:line="240" w:lineRule="auto" w:before="1"/>
        <w:rPr>
          <w:rFonts w:ascii="宋体" w:hAnsi="宋体" w:cs="宋体" w:eastAsia="宋体" w:hint="default"/>
          <w:sz w:val="19"/>
          <w:szCs w:val="19"/>
        </w:rPr>
      </w:pPr>
    </w:p>
    <w:p>
      <w:pPr>
        <w:pStyle w:val="BodyText"/>
        <w:spacing w:line="240" w:lineRule="auto"/>
        <w:ind w:left="608" w:right="334"/>
        <w:jc w:val="both"/>
      </w:pPr>
      <w:r>
        <w:rPr>
          <w:spacing w:val="-3"/>
        </w:rPr>
        <w:t>本集团确定借款的实际利率时，是将借款在预期存续期间或适用的更短期间内的未来现金流量，折</w:t>
      </w:r>
      <w:r>
        <w:rPr>
          <w:spacing w:val="-40"/>
        </w:rPr>
        <w:t> </w:t>
      </w:r>
      <w:r>
        <w:rPr>
          <w:spacing w:val="-40"/>
        </w:rPr>
      </w:r>
      <w:r>
        <w:rPr/>
        <w:t>现为该借款初始确认时确定的金额所使用的利率。</w:t>
      </w:r>
    </w:p>
    <w:p>
      <w:pPr>
        <w:spacing w:line="240" w:lineRule="auto" w:before="11"/>
        <w:rPr>
          <w:rFonts w:ascii="宋体" w:hAnsi="宋体" w:cs="宋体" w:eastAsia="宋体" w:hint="default"/>
          <w:sz w:val="16"/>
          <w:szCs w:val="16"/>
        </w:rPr>
      </w:pPr>
    </w:p>
    <w:p>
      <w:pPr>
        <w:pStyle w:val="BodyText"/>
        <w:spacing w:line="240" w:lineRule="auto"/>
        <w:ind w:left="133" w:right="0"/>
        <w:jc w:val="left"/>
      </w:pPr>
      <w:r>
        <w:rPr>
          <w:rFonts w:ascii="Arial" w:hAnsi="Arial" w:cs="Arial" w:eastAsia="Arial" w:hint="default"/>
        </w:rPr>
        <w:t>14</w:t>
      </w:r>
      <w:r>
        <w:rPr/>
        <w:t>、无形资产</w:t>
      </w:r>
    </w:p>
    <w:p>
      <w:pPr>
        <w:spacing w:line="240" w:lineRule="auto" w:before="1"/>
        <w:rPr>
          <w:rFonts w:ascii="宋体" w:hAnsi="宋体" w:cs="宋体" w:eastAsia="宋体" w:hint="default"/>
          <w:sz w:val="19"/>
          <w:szCs w:val="19"/>
        </w:rPr>
      </w:pPr>
    </w:p>
    <w:p>
      <w:pPr>
        <w:pStyle w:val="BodyText"/>
        <w:spacing w:line="284" w:lineRule="exact"/>
        <w:ind w:left="608" w:right="334"/>
        <w:jc w:val="both"/>
      </w:pPr>
      <w:r>
        <w:rPr>
          <w:spacing w:val="-3"/>
        </w:rPr>
        <w:t>无形资产主要包括土地使用权、计算机软件和电路及设备使用权等，以成本计量。本集团重组时国</w:t>
      </w:r>
      <w:r>
        <w:rPr>
          <w:spacing w:val="-39"/>
        </w:rPr>
        <w:t> </w:t>
      </w:r>
      <w:r>
        <w:rPr>
          <w:spacing w:val="-39"/>
        </w:rPr>
      </w:r>
      <w:r>
        <w:rPr/>
        <w:t>有股股东投入的无形资产，按国有资产管理部门确认的评估值作为入账价值。</w:t>
      </w:r>
    </w:p>
    <w:p>
      <w:pPr>
        <w:pStyle w:val="BodyText"/>
        <w:tabs>
          <w:tab w:pos="608" w:val="left" w:leader="none"/>
        </w:tabs>
        <w:spacing w:line="240" w:lineRule="auto" w:before="195"/>
        <w:ind w:left="133" w:right="0"/>
        <w:jc w:val="left"/>
      </w:pPr>
      <w:r>
        <w:rPr>
          <w:rFonts w:ascii="Arial" w:hAnsi="Arial" w:cs="Arial" w:eastAsia="Arial" w:hint="default"/>
        </w:rPr>
        <w:t>(a)</w:t>
        <w:tab/>
      </w:r>
      <w:r>
        <w:rPr/>
        <w:t>土地使用权</w:t>
      </w:r>
    </w:p>
    <w:p>
      <w:pPr>
        <w:spacing w:line="240" w:lineRule="auto" w:before="1"/>
        <w:rPr>
          <w:rFonts w:ascii="宋体" w:hAnsi="宋体" w:cs="宋体" w:eastAsia="宋体" w:hint="default"/>
          <w:sz w:val="19"/>
          <w:szCs w:val="19"/>
        </w:rPr>
      </w:pPr>
    </w:p>
    <w:p>
      <w:pPr>
        <w:pStyle w:val="BodyText"/>
        <w:spacing w:line="284" w:lineRule="exact"/>
        <w:ind w:left="608" w:right="334"/>
        <w:jc w:val="both"/>
      </w:pPr>
      <w:r>
        <w:rPr>
          <w:spacing w:val="-3"/>
        </w:rPr>
        <w:t>土地使用权按使用年限平均摊销。外购土地及建筑物支付的价款在建筑物与土地使用权之间进行分</w:t>
      </w:r>
      <w:r>
        <w:rPr>
          <w:spacing w:val="-40"/>
        </w:rPr>
        <w:t> </w:t>
      </w:r>
      <w:r>
        <w:rPr>
          <w:spacing w:val="-40"/>
        </w:rPr>
      </w:r>
      <w:r>
        <w:rPr/>
        <w:t>配。</w:t>
      </w:r>
    </w:p>
    <w:p>
      <w:pPr>
        <w:pStyle w:val="BodyText"/>
        <w:tabs>
          <w:tab w:pos="608" w:val="left" w:leader="none"/>
        </w:tabs>
        <w:spacing w:line="240" w:lineRule="auto" w:before="195"/>
        <w:ind w:left="133" w:right="0"/>
        <w:jc w:val="left"/>
      </w:pPr>
      <w:r>
        <w:rPr>
          <w:rFonts w:ascii="Arial" w:hAnsi="Arial" w:cs="Arial" w:eastAsia="Arial" w:hint="default"/>
        </w:rPr>
        <w:t>(b)</w:t>
        <w:tab/>
      </w:r>
      <w:r>
        <w:rPr/>
        <w:t>计算机软件</w:t>
      </w:r>
    </w:p>
    <w:p>
      <w:pPr>
        <w:spacing w:line="240" w:lineRule="auto" w:before="10"/>
        <w:rPr>
          <w:rFonts w:ascii="宋体" w:hAnsi="宋体" w:cs="宋体" w:eastAsia="宋体" w:hint="default"/>
          <w:sz w:val="16"/>
          <w:szCs w:val="16"/>
        </w:rPr>
      </w:pPr>
    </w:p>
    <w:p>
      <w:pPr>
        <w:pStyle w:val="BodyText"/>
        <w:spacing w:line="240" w:lineRule="auto"/>
        <w:ind w:left="608" w:right="0"/>
        <w:jc w:val="both"/>
      </w:pPr>
      <w:r>
        <w:rPr/>
        <w:t>计算机软件在其预计使用年限内平均摊销。</w:t>
      </w:r>
    </w:p>
    <w:p>
      <w:pPr>
        <w:spacing w:after="0" w:line="240" w:lineRule="auto"/>
        <w:jc w:val="both"/>
        <w:sectPr>
          <w:headerReference w:type="default" r:id="rId119"/>
          <w:pgSz w:w="11910" w:h="16840"/>
          <w:pgMar w:header="842" w:footer="502" w:top="2700" w:bottom="700" w:left="860" w:right="700"/>
        </w:sectPr>
      </w:pPr>
    </w:p>
    <w:p>
      <w:pPr>
        <w:spacing w:line="240" w:lineRule="auto" w:before="4"/>
        <w:rPr>
          <w:rFonts w:ascii="宋体" w:hAnsi="宋体" w:cs="宋体" w:eastAsia="宋体" w:hint="default"/>
          <w:sz w:val="14"/>
          <w:szCs w:val="14"/>
        </w:rPr>
      </w:pPr>
    </w:p>
    <w:p>
      <w:pPr>
        <w:pStyle w:val="BodyText"/>
        <w:tabs>
          <w:tab w:pos="608" w:val="left" w:leader="none"/>
        </w:tabs>
        <w:spacing w:line="379" w:lineRule="auto" w:before="32"/>
        <w:ind w:left="133" w:right="7851"/>
        <w:jc w:val="left"/>
      </w:pPr>
      <w:r>
        <w:rPr>
          <w:rFonts w:ascii="Arial" w:hAnsi="Arial" w:cs="Arial" w:eastAsia="Arial" w:hint="default"/>
        </w:rPr>
        <w:t>14</w:t>
      </w:r>
      <w:r>
        <w:rPr/>
        <w:t>、无形资产（续）</w:t>
      </w:r>
      <w:r>
        <w:rPr>
          <w:spacing w:val="-104"/>
        </w:rPr>
        <w:t> </w:t>
      </w:r>
      <w:r>
        <w:rPr>
          <w:spacing w:val="-104"/>
        </w:rPr>
      </w:r>
      <w:r>
        <w:rPr>
          <w:rFonts w:ascii="Arial" w:hAnsi="Arial" w:cs="Arial" w:eastAsia="Arial" w:hint="default"/>
          <w:spacing w:val="-1"/>
        </w:rPr>
        <w:t>(c)</w:t>
        <w:tab/>
      </w:r>
      <w:r>
        <w:rPr/>
        <w:t>电路及设备使用权</w:t>
      </w:r>
    </w:p>
    <w:p>
      <w:pPr>
        <w:pStyle w:val="BodyText"/>
        <w:spacing w:line="284" w:lineRule="exact" w:before="106"/>
        <w:ind w:left="608" w:right="214"/>
        <w:jc w:val="both"/>
      </w:pPr>
      <w:r>
        <w:rPr>
          <w:spacing w:val="-3"/>
        </w:rPr>
        <w:t>电路及设备使用权主要是指本集团购买的不可撤销使用权的网络容量的资本性支出，以成本入账并</w:t>
      </w:r>
      <w:r>
        <w:rPr>
          <w:spacing w:val="-40"/>
        </w:rPr>
        <w:t> </w:t>
      </w:r>
      <w:r>
        <w:rPr>
          <w:spacing w:val="-40"/>
        </w:rPr>
      </w:r>
      <w:r>
        <w:rPr/>
        <w:t>按预计使用期限平均摊销。</w:t>
      </w:r>
    </w:p>
    <w:p>
      <w:pPr>
        <w:pStyle w:val="BodyText"/>
        <w:tabs>
          <w:tab w:pos="608" w:val="left" w:leader="none"/>
        </w:tabs>
        <w:spacing w:line="240" w:lineRule="auto" w:before="185"/>
        <w:ind w:left="133" w:right="0"/>
        <w:jc w:val="left"/>
      </w:pPr>
      <w:r>
        <w:rPr>
          <w:rFonts w:ascii="Arial" w:hAnsi="Arial" w:cs="Arial" w:eastAsia="Arial" w:hint="default"/>
        </w:rPr>
        <w:t>(d)</w:t>
        <w:tab/>
      </w:r>
      <w:r>
        <w:rPr/>
        <w:t>定期复核使用寿命和摊销方法</w:t>
      </w:r>
    </w:p>
    <w:p>
      <w:pPr>
        <w:spacing w:line="240" w:lineRule="auto" w:before="12"/>
        <w:rPr>
          <w:rFonts w:ascii="宋体" w:hAnsi="宋体" w:cs="宋体" w:eastAsia="宋体" w:hint="default"/>
          <w:sz w:val="17"/>
          <w:szCs w:val="17"/>
        </w:rPr>
      </w:pPr>
    </w:p>
    <w:p>
      <w:pPr>
        <w:pStyle w:val="BodyText"/>
        <w:spacing w:line="284" w:lineRule="exact"/>
        <w:ind w:left="608" w:right="203"/>
        <w:jc w:val="both"/>
      </w:pPr>
      <w:r>
        <w:rPr>
          <w:spacing w:val="2"/>
        </w:rPr>
        <w:t>本集团对使用寿命有限的无形资产的预计使用寿命及摊销方法于每年年度终了进行复核并作适当</w:t>
      </w:r>
      <w:r>
        <w:rPr>
          <w:spacing w:val="-46"/>
        </w:rPr>
        <w:t> </w:t>
      </w:r>
      <w:r>
        <w:rPr>
          <w:spacing w:val="-46"/>
        </w:rPr>
      </w:r>
      <w:r>
        <w:rPr/>
        <w:t>调整。</w:t>
      </w:r>
    </w:p>
    <w:p>
      <w:pPr>
        <w:pStyle w:val="BodyText"/>
        <w:spacing w:line="412" w:lineRule="auto" w:before="195"/>
        <w:ind w:left="599" w:right="0" w:hanging="466"/>
        <w:jc w:val="left"/>
      </w:pPr>
      <w:r>
        <w:rPr>
          <w:rFonts w:ascii="Arial" w:hAnsi="Arial" w:cs="Arial" w:eastAsia="Arial" w:hint="default"/>
        </w:rPr>
        <w:t>(e) </w:t>
      </w:r>
      <w:r>
        <w:rPr/>
        <w:t>无形资产减值</w:t>
      </w:r>
      <w:r>
        <w:rPr>
          <w:spacing w:val="-93"/>
        </w:rPr>
        <w:t> </w:t>
      </w:r>
      <w:r>
        <w:rPr>
          <w:spacing w:val="-1"/>
        </w:rPr>
        <w:t>当无形资产的可收回金额低于其账面价值时，账面价值减记至可收回金额（附注三</w:t>
      </w:r>
      <w:r>
        <w:rPr>
          <w:rFonts w:ascii="Arial" w:hAnsi="Arial" w:cs="Arial" w:eastAsia="Arial" w:hint="default"/>
          <w:spacing w:val="-1"/>
        </w:rPr>
        <w:t>(16)</w:t>
      </w:r>
      <w:r>
        <w:rPr>
          <w:spacing w:val="-1"/>
        </w:rPr>
        <w:t>）。</w:t>
      </w:r>
    </w:p>
    <w:p>
      <w:pPr>
        <w:pStyle w:val="BodyText"/>
        <w:tabs>
          <w:tab w:pos="599" w:val="left" w:leader="none"/>
        </w:tabs>
        <w:spacing w:line="240" w:lineRule="auto" w:before="28"/>
        <w:ind w:left="133" w:right="0"/>
        <w:jc w:val="left"/>
      </w:pPr>
      <w:r>
        <w:rPr>
          <w:rFonts w:ascii="Arial" w:hAnsi="Arial" w:cs="Arial" w:eastAsia="Arial" w:hint="default"/>
        </w:rPr>
        <w:t>(f)</w:t>
        <w:tab/>
      </w:r>
      <w:r>
        <w:rPr/>
        <w:t>开发支出</w:t>
      </w:r>
    </w:p>
    <w:p>
      <w:pPr>
        <w:spacing w:line="240" w:lineRule="auto" w:before="10"/>
        <w:rPr>
          <w:rFonts w:ascii="宋体" w:hAnsi="宋体" w:cs="宋体" w:eastAsia="宋体" w:hint="default"/>
          <w:sz w:val="16"/>
          <w:szCs w:val="16"/>
        </w:rPr>
      </w:pPr>
    </w:p>
    <w:p>
      <w:pPr>
        <w:pStyle w:val="BodyText"/>
        <w:spacing w:line="240" w:lineRule="auto"/>
        <w:ind w:left="599" w:right="0"/>
        <w:jc w:val="both"/>
      </w:pPr>
      <w:r>
        <w:rPr/>
        <w:t>本集团内部研究开发项目的支出分为研究阶段支出和开发阶段支出。</w:t>
      </w:r>
    </w:p>
    <w:p>
      <w:pPr>
        <w:spacing w:line="240" w:lineRule="auto" w:before="9"/>
        <w:rPr>
          <w:rFonts w:ascii="宋体" w:hAnsi="宋体" w:cs="宋体" w:eastAsia="宋体" w:hint="default"/>
          <w:sz w:val="19"/>
          <w:szCs w:val="19"/>
        </w:rPr>
      </w:pPr>
    </w:p>
    <w:p>
      <w:pPr>
        <w:pStyle w:val="BodyText"/>
        <w:spacing w:line="232" w:lineRule="auto"/>
        <w:ind w:left="599" w:right="214"/>
        <w:jc w:val="both"/>
      </w:pPr>
      <w:r>
        <w:rPr>
          <w:spacing w:val="-2"/>
        </w:rPr>
        <w:t>研究阶段的支出，于发生时计入当期损益。开发阶段的支出，如果开发形成的某项产品或工序等在</w:t>
      </w:r>
      <w:r>
        <w:rPr>
          <w:spacing w:val="-75"/>
        </w:rPr>
        <w:t> </w:t>
      </w:r>
      <w:r>
        <w:rPr>
          <w:spacing w:val="-75"/>
        </w:rPr>
      </w:r>
      <w:r>
        <w:rPr>
          <w:spacing w:val="-2"/>
        </w:rPr>
        <w:t>技术和商业上可行，而且本集团有充足的资源和意向完成开发工作，并且开发阶段支出能够可靠计</w:t>
      </w:r>
      <w:r>
        <w:rPr>
          <w:spacing w:val="-73"/>
        </w:rPr>
        <w:t> </w:t>
      </w:r>
      <w:r>
        <w:rPr>
          <w:spacing w:val="-73"/>
        </w:rPr>
      </w:r>
      <w:r>
        <w:rPr>
          <w:spacing w:val="-1"/>
        </w:rPr>
        <w:t>量，则开发阶段的支出便会予以资本化。资本化开发支出按成本减减值准备（附注三</w:t>
      </w:r>
      <w:r>
        <w:rPr>
          <w:rFonts w:ascii="Arial" w:hAnsi="Arial" w:cs="Arial" w:eastAsia="Arial" w:hint="default"/>
          <w:spacing w:val="-1"/>
        </w:rPr>
        <w:t>(16)</w:t>
      </w:r>
      <w:r>
        <w:rPr>
          <w:spacing w:val="-1"/>
        </w:rPr>
        <w:t>）在资产</w:t>
      </w:r>
      <w:r>
        <w:rPr>
          <w:spacing w:val="-66"/>
        </w:rPr>
        <w:t> </w:t>
      </w:r>
      <w:r>
        <w:rPr>
          <w:spacing w:val="-66"/>
        </w:rPr>
      </w:r>
      <w:r>
        <w:rPr/>
        <w:t>负债表内列示。其他开发费用则在其产生的期间内确认为费用。</w:t>
      </w:r>
    </w:p>
    <w:p>
      <w:pPr>
        <w:spacing w:line="240" w:lineRule="auto" w:before="7"/>
        <w:rPr>
          <w:rFonts w:ascii="宋体" w:hAnsi="宋体" w:cs="宋体" w:eastAsia="宋体" w:hint="default"/>
          <w:sz w:val="19"/>
          <w:szCs w:val="19"/>
        </w:rPr>
      </w:pPr>
    </w:p>
    <w:p>
      <w:pPr>
        <w:pStyle w:val="BodyText"/>
        <w:spacing w:line="240" w:lineRule="auto"/>
        <w:ind w:left="134" w:right="0"/>
        <w:jc w:val="left"/>
      </w:pPr>
      <w:r>
        <w:rPr>
          <w:rFonts w:ascii="Arial" w:hAnsi="Arial" w:cs="Arial" w:eastAsia="Arial" w:hint="default"/>
        </w:rPr>
        <w:t>15</w:t>
      </w:r>
      <w:r>
        <w:rPr/>
        <w:t>、长期待摊费用</w:t>
      </w:r>
    </w:p>
    <w:p>
      <w:pPr>
        <w:spacing w:line="240" w:lineRule="auto" w:before="2"/>
        <w:rPr>
          <w:rFonts w:ascii="宋体" w:hAnsi="宋体" w:cs="宋体" w:eastAsia="宋体" w:hint="default"/>
          <w:sz w:val="20"/>
          <w:szCs w:val="20"/>
        </w:rPr>
      </w:pPr>
    </w:p>
    <w:p>
      <w:pPr>
        <w:pStyle w:val="BodyText"/>
        <w:spacing w:line="284" w:lineRule="exact"/>
        <w:ind w:left="599" w:right="0"/>
        <w:jc w:val="left"/>
      </w:pPr>
      <w:r>
        <w:rPr/>
        <w:t>长期待摊费用主要包括以下已经发生但应由本年和以后各期负担的摊销期限在</w:t>
      </w:r>
      <w:r>
        <w:rPr>
          <w:rFonts w:ascii="Arial" w:hAnsi="Arial" w:cs="Arial" w:eastAsia="Arial" w:hint="default"/>
        </w:rPr>
        <w:t>1</w:t>
      </w:r>
      <w:r>
        <w:rPr/>
        <w:t>年以上（不含</w:t>
      </w:r>
      <w:r>
        <w:rPr>
          <w:rFonts w:ascii="Arial" w:hAnsi="Arial" w:cs="Arial" w:eastAsia="Arial" w:hint="default"/>
        </w:rPr>
        <w:t>1</w:t>
      </w:r>
      <w:r>
        <w:rPr/>
        <w:t>年）</w:t>
      </w:r>
      <w:r>
        <w:rPr>
          <w:spacing w:val="-72"/>
        </w:rPr>
        <w:t> </w:t>
      </w:r>
      <w:r>
        <w:rPr/>
        <w:t>的各项费用，按预计受益期间分期平均摊销，并以实际支出减去累计摊销后的净额列示。</w:t>
      </w:r>
    </w:p>
    <w:p>
      <w:pPr>
        <w:spacing w:line="240" w:lineRule="auto" w:before="2"/>
        <w:rPr>
          <w:rFonts w:ascii="宋体" w:hAnsi="宋体" w:cs="宋体" w:eastAsia="宋体" w:hint="default"/>
          <w:sz w:val="19"/>
          <w:szCs w:val="19"/>
        </w:rPr>
      </w:pPr>
    </w:p>
    <w:p>
      <w:pPr>
        <w:pStyle w:val="BodyText"/>
        <w:tabs>
          <w:tab w:pos="609" w:val="left" w:leader="none"/>
        </w:tabs>
        <w:spacing w:line="288" w:lineRule="exact"/>
        <w:ind w:left="623" w:right="221" w:hanging="490"/>
        <w:jc w:val="left"/>
      </w:pPr>
      <w:r>
        <w:rPr>
          <w:rFonts w:ascii="Arial" w:hAnsi="Arial" w:cs="Arial" w:eastAsia="Arial" w:hint="default"/>
        </w:rPr>
        <w:t>(a)</w:t>
        <w:tab/>
      </w:r>
      <w:r>
        <w:rPr/>
        <w:t>经营租入固定资产改良主要指本集团采用经营租赁方式租入办公或经营用房等发生的装修等改良</w:t>
      </w:r>
      <w:r>
        <w:rPr>
          <w:spacing w:val="34"/>
        </w:rPr>
        <w:t> </w:t>
      </w:r>
      <w:r>
        <w:rPr>
          <w:spacing w:val="34"/>
        </w:rPr>
      </w:r>
      <w:r>
        <w:rPr/>
        <w:t>支出，按租期与预期受益期限孰短（租期一般为</w:t>
      </w:r>
      <w:r>
        <w:rPr>
          <w:spacing w:val="-55"/>
        </w:rPr>
        <w:t> </w:t>
      </w:r>
      <w:r>
        <w:rPr>
          <w:rFonts w:ascii="Arial" w:hAnsi="Arial" w:cs="Arial" w:eastAsia="Arial" w:hint="default"/>
        </w:rPr>
        <w:t>5</w:t>
      </w:r>
      <w:r>
        <w:rPr>
          <w:rFonts w:ascii="Arial" w:hAnsi="Arial" w:cs="Arial" w:eastAsia="Arial" w:hint="default"/>
          <w:spacing w:val="-8"/>
        </w:rPr>
        <w:t> </w:t>
      </w:r>
      <w:r>
        <w:rPr/>
        <w:t>年至</w:t>
      </w:r>
      <w:r>
        <w:rPr>
          <w:spacing w:val="-55"/>
        </w:rPr>
        <w:t> </w:t>
      </w:r>
      <w:r>
        <w:rPr>
          <w:rFonts w:ascii="Arial" w:hAnsi="Arial" w:cs="Arial" w:eastAsia="Arial" w:hint="default"/>
        </w:rPr>
        <w:t>10</w:t>
      </w:r>
      <w:r>
        <w:rPr>
          <w:rFonts w:ascii="Arial" w:hAnsi="Arial" w:cs="Arial" w:eastAsia="Arial" w:hint="default"/>
          <w:spacing w:val="-3"/>
        </w:rPr>
        <w:t> </w:t>
      </w:r>
      <w:r>
        <w:rPr/>
        <w:t>年）以直线法平均摊销；</w:t>
      </w:r>
    </w:p>
    <w:p>
      <w:pPr>
        <w:spacing w:line="240" w:lineRule="auto" w:before="4"/>
        <w:rPr>
          <w:rFonts w:ascii="宋体" w:hAnsi="宋体" w:cs="宋体" w:eastAsia="宋体" w:hint="default"/>
          <w:sz w:val="19"/>
          <w:szCs w:val="19"/>
        </w:rPr>
      </w:pPr>
    </w:p>
    <w:p>
      <w:pPr>
        <w:pStyle w:val="BodyText"/>
        <w:tabs>
          <w:tab w:pos="623" w:val="left" w:leader="none"/>
        </w:tabs>
        <w:spacing w:line="284" w:lineRule="exact"/>
        <w:ind w:left="623" w:right="221" w:hanging="490"/>
        <w:jc w:val="left"/>
      </w:pPr>
      <w:r>
        <w:rPr>
          <w:rFonts w:ascii="Arial" w:hAnsi="Arial" w:cs="Arial" w:eastAsia="Arial" w:hint="default"/>
        </w:rPr>
        <w:t>(b)</w:t>
        <w:tab/>
      </w:r>
      <w:r>
        <w:rPr>
          <w:spacing w:val="-3"/>
        </w:rPr>
        <w:t>外市电引入是本集团在网络建设过程中，与地方的供电部门共同建设的电力输送设施（本集团对此</w:t>
      </w:r>
      <w:r>
        <w:rPr>
          <w:spacing w:val="-40"/>
        </w:rPr>
        <w:t> </w:t>
      </w:r>
      <w:r>
        <w:rPr>
          <w:spacing w:val="-40"/>
        </w:rPr>
      </w:r>
      <w:r>
        <w:rPr/>
        <w:t>类资产只拥有使用权），该等设施一般以直线法于</w:t>
      </w:r>
      <w:r>
        <w:rPr>
          <w:spacing w:val="-54"/>
        </w:rPr>
        <w:t> </w:t>
      </w:r>
      <w:r>
        <w:rPr>
          <w:rFonts w:ascii="Arial" w:hAnsi="Arial" w:cs="Arial" w:eastAsia="Arial" w:hint="default"/>
        </w:rPr>
        <w:t>5</w:t>
      </w:r>
      <w:r>
        <w:rPr>
          <w:rFonts w:ascii="Arial" w:hAnsi="Arial" w:cs="Arial" w:eastAsia="Arial" w:hint="default"/>
          <w:spacing w:val="-3"/>
        </w:rPr>
        <w:t> </w:t>
      </w:r>
      <w:r>
        <w:rPr/>
        <w:t>年内平均摊销；</w:t>
      </w:r>
    </w:p>
    <w:p>
      <w:pPr>
        <w:spacing w:line="240" w:lineRule="auto" w:before="1"/>
        <w:rPr>
          <w:rFonts w:ascii="宋体" w:hAnsi="宋体" w:cs="宋体" w:eastAsia="宋体" w:hint="default"/>
          <w:sz w:val="17"/>
          <w:szCs w:val="17"/>
        </w:rPr>
      </w:pPr>
    </w:p>
    <w:p>
      <w:pPr>
        <w:pStyle w:val="BodyText"/>
        <w:tabs>
          <w:tab w:pos="623" w:val="left" w:leader="none"/>
        </w:tabs>
        <w:spacing w:line="296" w:lineRule="exact"/>
        <w:ind w:left="134" w:right="0"/>
        <w:jc w:val="left"/>
      </w:pPr>
      <w:r>
        <w:rPr>
          <w:rFonts w:ascii="Arial" w:hAnsi="Arial" w:cs="Arial" w:eastAsia="Arial" w:hint="default"/>
          <w:spacing w:val="-1"/>
        </w:rPr>
        <w:t>(c)</w:t>
        <w:tab/>
      </w:r>
      <w:r>
        <w:rPr>
          <w:spacing w:val="-1"/>
        </w:rPr>
        <w:t>长期预付线路服务费指使用通信线路所预付的超过</w:t>
      </w:r>
      <w:r>
        <w:rPr/>
        <w:t> </w:t>
      </w:r>
      <w:r>
        <w:rPr>
          <w:rFonts w:ascii="Arial" w:hAnsi="Arial" w:cs="Arial" w:eastAsia="Arial" w:hint="default"/>
        </w:rPr>
        <w:t>1</w:t>
      </w:r>
      <w:r>
        <w:rPr>
          <w:rFonts w:ascii="Arial" w:hAnsi="Arial" w:cs="Arial" w:eastAsia="Arial" w:hint="default"/>
          <w:spacing w:val="-12"/>
        </w:rPr>
        <w:t> </w:t>
      </w:r>
      <w:r>
        <w:rPr>
          <w:spacing w:val="-5"/>
        </w:rPr>
        <w:t>年的服务支出，以直线法于服务期内（一般为</w:t>
      </w:r>
    </w:p>
    <w:p>
      <w:pPr>
        <w:pStyle w:val="BodyText"/>
        <w:spacing w:line="296" w:lineRule="exact"/>
        <w:ind w:left="623" w:right="0"/>
        <w:jc w:val="both"/>
      </w:pPr>
      <w:r>
        <w:rPr>
          <w:rFonts w:ascii="Arial" w:hAnsi="Arial" w:cs="Arial" w:eastAsia="Arial" w:hint="default"/>
        </w:rPr>
        <w:t>3</w:t>
      </w:r>
      <w:r>
        <w:rPr>
          <w:rFonts w:ascii="Arial" w:hAnsi="Arial" w:cs="Arial" w:eastAsia="Arial" w:hint="default"/>
          <w:spacing w:val="-5"/>
        </w:rPr>
        <w:t> </w:t>
      </w:r>
      <w:r>
        <w:rPr/>
        <w:t>年至</w:t>
      </w:r>
      <w:r>
        <w:rPr>
          <w:spacing w:val="-56"/>
        </w:rPr>
        <w:t> </w:t>
      </w:r>
      <w:r>
        <w:rPr>
          <w:rFonts w:ascii="Arial" w:hAnsi="Arial" w:cs="Arial" w:eastAsia="Arial" w:hint="default"/>
        </w:rPr>
        <w:t>8</w:t>
      </w:r>
      <w:r>
        <w:rPr>
          <w:rFonts w:ascii="Arial" w:hAnsi="Arial" w:cs="Arial" w:eastAsia="Arial" w:hint="default"/>
          <w:spacing w:val="-5"/>
        </w:rPr>
        <w:t> </w:t>
      </w:r>
      <w:r>
        <w:rPr/>
        <w:t>年）平均摊销。</w:t>
      </w:r>
    </w:p>
    <w:p>
      <w:pPr>
        <w:spacing w:after="0" w:line="296" w:lineRule="exact"/>
        <w:jc w:val="both"/>
        <w:sectPr>
          <w:headerReference w:type="default" r:id="rId120"/>
          <w:pgSz w:w="11910" w:h="16840"/>
          <w:pgMar w:header="842" w:footer="502" w:top="2700" w:bottom="700" w:left="860" w:right="820"/>
        </w:sectPr>
      </w:pPr>
    </w:p>
    <w:p>
      <w:pPr>
        <w:spacing w:line="240" w:lineRule="auto" w:before="4"/>
        <w:rPr>
          <w:rFonts w:ascii="宋体" w:hAnsi="宋体" w:cs="宋体" w:eastAsia="宋体" w:hint="default"/>
          <w:sz w:val="14"/>
          <w:szCs w:val="14"/>
        </w:rPr>
      </w:pPr>
    </w:p>
    <w:p>
      <w:pPr>
        <w:pStyle w:val="BodyText"/>
        <w:spacing w:line="240" w:lineRule="auto" w:before="32"/>
        <w:ind w:left="133" w:right="0"/>
        <w:jc w:val="left"/>
      </w:pPr>
      <w:r>
        <w:rPr>
          <w:rFonts w:ascii="Arial" w:hAnsi="Arial" w:cs="Arial" w:eastAsia="Arial" w:hint="default"/>
        </w:rPr>
        <w:t>16</w:t>
      </w:r>
      <w:r>
        <w:rPr/>
        <w:t>、长期资产减值</w:t>
      </w:r>
    </w:p>
    <w:p>
      <w:pPr>
        <w:spacing w:line="240" w:lineRule="auto" w:before="2"/>
        <w:rPr>
          <w:rFonts w:ascii="宋体" w:hAnsi="宋体" w:cs="宋体" w:eastAsia="宋体" w:hint="default"/>
          <w:sz w:val="15"/>
          <w:szCs w:val="15"/>
        </w:rPr>
      </w:pPr>
    </w:p>
    <w:p>
      <w:pPr>
        <w:pStyle w:val="BodyText"/>
        <w:spacing w:line="237" w:lineRule="auto"/>
        <w:ind w:left="599" w:right="329"/>
        <w:jc w:val="both"/>
      </w:pPr>
      <w:r>
        <w:rPr>
          <w:spacing w:val="-2"/>
        </w:rPr>
        <w:t>固定资产、在建工程（含工程物资）、使用权资产、使用寿命有限的无形资产、开发支出、长期待</w:t>
      </w:r>
      <w:r>
        <w:rPr>
          <w:spacing w:val="-75"/>
        </w:rPr>
        <w:t> </w:t>
      </w:r>
      <w:r>
        <w:rPr>
          <w:spacing w:val="-75"/>
        </w:rPr>
      </w:r>
      <w:r>
        <w:rPr>
          <w:spacing w:val="-2"/>
        </w:rPr>
        <w:t>摊费用及长期股权投资等，于资产负债表日存在减值迹象的，进行减值测试。减值测试结果表明资</w:t>
      </w:r>
      <w:r>
        <w:rPr>
          <w:spacing w:val="-70"/>
        </w:rPr>
        <w:t> </w:t>
      </w:r>
      <w:r>
        <w:rPr>
          <w:spacing w:val="-70"/>
        </w:rPr>
      </w:r>
      <w:r>
        <w:rPr>
          <w:spacing w:val="-2"/>
        </w:rPr>
        <w:t>产的可收回金额低于其账面价值的，按其差额计提减值准备并计入减值损失。可收回金额为资产的</w:t>
      </w:r>
      <w:r>
        <w:rPr>
          <w:spacing w:val="-73"/>
        </w:rPr>
        <w:t> </w:t>
      </w:r>
      <w:r>
        <w:rPr>
          <w:spacing w:val="-73"/>
        </w:rPr>
      </w:r>
      <w:r>
        <w:rPr>
          <w:spacing w:val="-2"/>
        </w:rPr>
        <w:t>公允价值减去处置费用后的净额与资产预计未来现金流量的现值两者之间的较高者。资产减值准备</w:t>
      </w:r>
      <w:r>
        <w:rPr>
          <w:spacing w:val="-73"/>
        </w:rPr>
        <w:t> </w:t>
      </w:r>
      <w:r>
        <w:rPr>
          <w:spacing w:val="-73"/>
        </w:rPr>
      </w:r>
      <w:r>
        <w:rPr>
          <w:spacing w:val="-2"/>
        </w:rPr>
        <w:t>按单项资产为基础计算并确认，如果难以对单项资产的可收回金额进行估计的，以该资产所属的资</w:t>
      </w:r>
      <w:r>
        <w:rPr>
          <w:spacing w:val="-73"/>
        </w:rPr>
        <w:t> </w:t>
      </w:r>
      <w:r>
        <w:rPr>
          <w:spacing w:val="-73"/>
        </w:rPr>
      </w:r>
      <w:r>
        <w:rPr>
          <w:spacing w:val="-2"/>
        </w:rPr>
        <w:t>产组确定资产组的可收回金额。资产组由创造现金流入相关的资产组成，是可以认定的最小资产组</w:t>
      </w:r>
      <w:r>
        <w:rPr>
          <w:spacing w:val="-73"/>
        </w:rPr>
        <w:t> </w:t>
      </w:r>
      <w:r>
        <w:rPr>
          <w:spacing w:val="-73"/>
        </w:rPr>
      </w:r>
      <w:r>
        <w:rPr/>
        <w:t>合，其产生的现金流入基本上独立于其他资产或资产组。</w:t>
      </w:r>
    </w:p>
    <w:p>
      <w:pPr>
        <w:spacing w:line="240" w:lineRule="auto" w:before="4"/>
        <w:rPr>
          <w:rFonts w:ascii="宋体" w:hAnsi="宋体" w:cs="宋体" w:eastAsia="宋体" w:hint="default"/>
          <w:sz w:val="17"/>
          <w:szCs w:val="17"/>
        </w:rPr>
      </w:pPr>
    </w:p>
    <w:p>
      <w:pPr>
        <w:pStyle w:val="BodyText"/>
        <w:spacing w:line="240" w:lineRule="auto"/>
        <w:ind w:left="599" w:right="0"/>
        <w:jc w:val="left"/>
      </w:pPr>
      <w:r>
        <w:rPr/>
        <w:t>上述资产减值损失一经确认，以后期间不予转回价值得以恢复的部分。</w:t>
      </w:r>
    </w:p>
    <w:p>
      <w:pPr>
        <w:spacing w:line="240" w:lineRule="auto" w:before="11"/>
        <w:rPr>
          <w:rFonts w:ascii="宋体" w:hAnsi="宋体" w:cs="宋体" w:eastAsia="宋体" w:hint="default"/>
          <w:sz w:val="16"/>
          <w:szCs w:val="16"/>
        </w:rPr>
      </w:pPr>
    </w:p>
    <w:p>
      <w:pPr>
        <w:pStyle w:val="BodyText"/>
        <w:spacing w:line="240" w:lineRule="auto"/>
        <w:ind w:left="133" w:right="0"/>
        <w:jc w:val="left"/>
      </w:pPr>
      <w:r>
        <w:rPr>
          <w:rFonts w:ascii="Arial" w:hAnsi="Arial" w:cs="Arial" w:eastAsia="Arial" w:hint="default"/>
        </w:rPr>
        <w:t>17</w:t>
      </w:r>
      <w:r>
        <w:rPr/>
        <w:t>、预收款项</w:t>
      </w:r>
    </w:p>
    <w:p>
      <w:pPr>
        <w:spacing w:line="240" w:lineRule="auto" w:before="1"/>
        <w:rPr>
          <w:rFonts w:ascii="宋体" w:hAnsi="宋体" w:cs="宋体" w:eastAsia="宋体" w:hint="default"/>
          <w:sz w:val="19"/>
          <w:szCs w:val="19"/>
        </w:rPr>
      </w:pPr>
    </w:p>
    <w:p>
      <w:pPr>
        <w:pStyle w:val="BodyText"/>
        <w:spacing w:line="284" w:lineRule="exact"/>
        <w:ind w:left="579" w:right="0"/>
        <w:jc w:val="left"/>
      </w:pPr>
      <w:r>
        <w:rPr>
          <w:spacing w:val="-2"/>
        </w:rPr>
        <w:t>预收款项主要指预收的房屋租金，是根据于合同生效日期开始已收取的租金减去于各期间已在利润</w:t>
      </w:r>
      <w:r>
        <w:rPr>
          <w:spacing w:val="-54"/>
        </w:rPr>
        <w:t> </w:t>
      </w:r>
      <w:r>
        <w:rPr>
          <w:spacing w:val="-54"/>
        </w:rPr>
      </w:r>
      <w:r>
        <w:rPr/>
        <w:t>表中确认的收入后的净额列示。</w:t>
      </w:r>
    </w:p>
    <w:p>
      <w:pPr>
        <w:spacing w:line="240" w:lineRule="auto" w:before="4"/>
        <w:rPr>
          <w:rFonts w:ascii="宋体" w:hAnsi="宋体" w:cs="宋体" w:eastAsia="宋体" w:hint="default"/>
          <w:sz w:val="15"/>
          <w:szCs w:val="15"/>
        </w:rPr>
      </w:pPr>
    </w:p>
    <w:p>
      <w:pPr>
        <w:pStyle w:val="BodyText"/>
        <w:tabs>
          <w:tab w:pos="608" w:val="left" w:leader="none"/>
        </w:tabs>
        <w:spacing w:line="410" w:lineRule="auto"/>
        <w:ind w:left="133" w:right="8855"/>
        <w:jc w:val="left"/>
      </w:pPr>
      <w:r>
        <w:rPr>
          <w:rFonts w:ascii="Arial" w:hAnsi="Arial" w:cs="Arial" w:eastAsia="Arial" w:hint="default"/>
        </w:rPr>
        <w:t>18</w:t>
      </w:r>
      <w:r>
        <w:rPr/>
        <w:t>、职工薪酬</w:t>
      </w:r>
      <w:r>
        <w:rPr>
          <w:spacing w:val="-107"/>
        </w:rPr>
        <w:t> </w:t>
      </w:r>
      <w:r>
        <w:rPr>
          <w:spacing w:val="-107"/>
        </w:rPr>
      </w:r>
      <w:r>
        <w:rPr>
          <w:rFonts w:ascii="Arial" w:hAnsi="Arial" w:cs="Arial" w:eastAsia="Arial" w:hint="default"/>
        </w:rPr>
        <w:t>(a)</w:t>
        <w:tab/>
      </w:r>
      <w:r>
        <w:rPr/>
        <w:t>短期薪酬</w:t>
      </w:r>
    </w:p>
    <w:p>
      <w:pPr>
        <w:pStyle w:val="BodyText"/>
        <w:spacing w:line="235" w:lineRule="auto" w:before="64"/>
        <w:ind w:left="594" w:right="0"/>
        <w:jc w:val="left"/>
      </w:pPr>
      <w:r>
        <w:rPr>
          <w:spacing w:val="-2"/>
        </w:rPr>
        <w:t>本集团在职工提供服务的会计期间，将实际发生或按规定的基准和比例计提的职工工资、奖金、医</w:t>
      </w:r>
      <w:r>
        <w:rPr>
          <w:spacing w:val="-70"/>
        </w:rPr>
        <w:t> </w:t>
      </w:r>
      <w:r>
        <w:rPr>
          <w:spacing w:val="-70"/>
        </w:rPr>
      </w:r>
      <w:r>
        <w:rPr>
          <w:spacing w:val="-6"/>
          <w:w w:val="100"/>
        </w:rPr>
        <w:t>疗保险费、工伤保险费和生育保险费等社会保险费和住房公积金，以及下述</w:t>
      </w:r>
      <w:r>
        <w:rPr>
          <w:rFonts w:ascii="Arial" w:hAnsi="Arial" w:cs="Arial" w:eastAsia="Arial" w:hint="default"/>
          <w:spacing w:val="-6"/>
          <w:w w:val="100"/>
        </w:rPr>
        <w:t>(b)</w:t>
      </w:r>
      <w:r>
        <w:rPr>
          <w:spacing w:val="-6"/>
          <w:w w:val="100"/>
        </w:rPr>
        <w:t>计算缴存的退休福利，</w:t>
      </w:r>
      <w:r>
        <w:rPr>
          <w:spacing w:val="-74"/>
          <w:w w:val="100"/>
        </w:rPr>
        <w:t> </w:t>
      </w:r>
      <w:r>
        <w:rPr>
          <w:spacing w:val="-74"/>
          <w:w w:val="100"/>
        </w:rPr>
      </w:r>
      <w:r>
        <w:rPr>
          <w:spacing w:val="-2"/>
        </w:rPr>
        <w:t>确认为负债，并计入当期损益或相关资产成本。如果该负债预期在职工提供相关服务的年度报告期</w:t>
      </w:r>
      <w:r>
        <w:rPr>
          <w:spacing w:val="-70"/>
        </w:rPr>
        <w:t> </w:t>
      </w:r>
      <w:r>
        <w:rPr>
          <w:spacing w:val="-70"/>
        </w:rPr>
      </w:r>
      <w:r>
        <w:rPr/>
        <w:t>结束后十二个月内不能完全支付，且财务影响重大的，则该负债将以折现后的金额计量。</w:t>
      </w:r>
    </w:p>
    <w:p>
      <w:pPr>
        <w:spacing w:line="240" w:lineRule="auto" w:before="12"/>
        <w:rPr>
          <w:rFonts w:ascii="宋体" w:hAnsi="宋体" w:cs="宋体" w:eastAsia="宋体" w:hint="default"/>
          <w:sz w:val="16"/>
          <w:szCs w:val="16"/>
        </w:rPr>
      </w:pPr>
    </w:p>
    <w:p>
      <w:pPr>
        <w:pStyle w:val="BodyText"/>
        <w:spacing w:line="240" w:lineRule="auto"/>
        <w:ind w:left="133" w:right="0"/>
        <w:jc w:val="left"/>
      </w:pPr>
      <w:r>
        <w:rPr>
          <w:rFonts w:ascii="Arial" w:hAnsi="Arial" w:cs="Arial" w:eastAsia="Arial" w:hint="default"/>
        </w:rPr>
        <w:t>(b) </w:t>
      </w:r>
      <w:r>
        <w:rPr>
          <w:rFonts w:ascii="Arial" w:hAnsi="Arial" w:cs="Arial" w:eastAsia="Arial" w:hint="default"/>
          <w:spacing w:val="58"/>
        </w:rPr>
        <w:t> </w:t>
      </w:r>
      <w:r>
        <w:rPr/>
        <w:t>离职后福利</w:t>
      </w:r>
      <w:r>
        <w:rPr>
          <w:rFonts w:ascii="宋体" w:hAnsi="宋体" w:cs="宋体" w:eastAsia="宋体" w:hint="default"/>
        </w:rPr>
        <w:t>—</w:t>
      </w:r>
      <w:r>
        <w:rPr/>
        <w:t>设定提存计划</w:t>
      </w:r>
    </w:p>
    <w:p>
      <w:pPr>
        <w:spacing w:line="240" w:lineRule="auto" w:before="2"/>
        <w:rPr>
          <w:rFonts w:ascii="宋体" w:hAnsi="宋体" w:cs="宋体" w:eastAsia="宋体" w:hint="default"/>
          <w:sz w:val="17"/>
          <w:szCs w:val="17"/>
        </w:rPr>
      </w:pPr>
    </w:p>
    <w:p>
      <w:pPr>
        <w:pStyle w:val="BodyText"/>
        <w:spacing w:line="235" w:lineRule="auto"/>
        <w:ind w:left="608" w:right="0"/>
        <w:jc w:val="left"/>
      </w:pPr>
      <w:r>
        <w:rPr>
          <w:spacing w:val="-3"/>
        </w:rPr>
        <w:t>按照中国有关法规要求，本集团职工参加了由政府机构设立管理的社会保障体系中的基本养老保险。</w:t>
      </w:r>
      <w:r>
        <w:rPr>
          <w:spacing w:val="-36"/>
        </w:rPr>
        <w:t> </w:t>
      </w:r>
      <w:r>
        <w:rPr>
          <w:spacing w:val="-36"/>
        </w:rPr>
      </w:r>
      <w:r>
        <w:rPr>
          <w:spacing w:val="-4"/>
        </w:rPr>
        <w:t>基本养老保险的缴费金额按职工工资的一定比例计算。除此之外，自</w:t>
      </w:r>
      <w:r>
        <w:rPr>
          <w:rFonts w:ascii="Arial" w:hAnsi="Arial" w:cs="Arial" w:eastAsia="Arial" w:hint="default"/>
          <w:spacing w:val="-4"/>
        </w:rPr>
        <w:t>2013</w:t>
      </w:r>
      <w:r>
        <w:rPr>
          <w:spacing w:val="-4"/>
        </w:rPr>
        <w:t>年起，本集团依据国家企</w:t>
      </w:r>
      <w:r>
        <w:rPr>
          <w:spacing w:val="-40"/>
        </w:rPr>
        <w:t> </w:t>
      </w:r>
      <w:r>
        <w:rPr>
          <w:spacing w:val="-40"/>
        </w:rPr>
      </w:r>
      <w:r>
        <w:rPr>
          <w:spacing w:val="-3"/>
        </w:rPr>
        <w:t>业年金制度的相关政策及相关部门的批复建立企业年金计划（“年金计划”），按照相关职工工资</w:t>
      </w:r>
      <w:r>
        <w:rPr>
          <w:spacing w:val="-42"/>
        </w:rPr>
        <w:t> </w:t>
      </w:r>
      <w:r>
        <w:rPr>
          <w:spacing w:val="-42"/>
        </w:rPr>
      </w:r>
      <w:r>
        <w:rPr>
          <w:spacing w:val="-3"/>
        </w:rPr>
        <w:t>总额一定的比例计提企业年金。本集团在按照国家规定的标准及企业年金计划定期缴付上述款项后，</w:t>
      </w:r>
      <w:r>
        <w:rPr>
          <w:spacing w:val="-36"/>
        </w:rPr>
        <w:t> </w:t>
      </w:r>
      <w:r>
        <w:rPr>
          <w:spacing w:val="-36"/>
        </w:rPr>
      </w:r>
      <w:r>
        <w:rPr/>
        <w:t>不再有其他的支付义务。</w:t>
      </w:r>
    </w:p>
    <w:p>
      <w:pPr>
        <w:spacing w:after="0" w:line="235" w:lineRule="auto"/>
        <w:jc w:val="left"/>
        <w:sectPr>
          <w:headerReference w:type="default" r:id="rId121"/>
          <w:pgSz w:w="11910" w:h="16840"/>
          <w:pgMar w:header="842" w:footer="502" w:top="2700" w:bottom="700" w:left="860" w:right="700"/>
        </w:sectPr>
      </w:pPr>
    </w:p>
    <w:p>
      <w:pPr>
        <w:spacing w:line="240" w:lineRule="auto" w:before="4"/>
        <w:rPr>
          <w:rFonts w:ascii="宋体" w:hAnsi="宋体" w:cs="宋体" w:eastAsia="宋体" w:hint="default"/>
          <w:sz w:val="14"/>
          <w:szCs w:val="14"/>
        </w:rPr>
      </w:pPr>
    </w:p>
    <w:p>
      <w:pPr>
        <w:pStyle w:val="BodyText"/>
        <w:spacing w:line="240" w:lineRule="auto" w:before="32"/>
        <w:ind w:left="133" w:right="0"/>
        <w:jc w:val="left"/>
      </w:pPr>
      <w:r>
        <w:rPr>
          <w:rFonts w:ascii="Arial" w:hAnsi="Arial" w:cs="Arial" w:eastAsia="Arial" w:hint="default"/>
        </w:rPr>
        <w:t>18</w:t>
      </w:r>
      <w:r>
        <w:rPr/>
        <w:t>、职工薪酬（续）</w:t>
      </w:r>
    </w:p>
    <w:p>
      <w:pPr>
        <w:pStyle w:val="BodyText"/>
        <w:tabs>
          <w:tab w:pos="623" w:val="left" w:leader="none"/>
        </w:tabs>
        <w:spacing w:line="240" w:lineRule="auto" w:before="190"/>
        <w:ind w:left="133" w:right="0"/>
        <w:jc w:val="left"/>
      </w:pPr>
      <w:r>
        <w:rPr>
          <w:rFonts w:ascii="Arial" w:hAnsi="Arial" w:cs="Arial" w:eastAsia="Arial" w:hint="default"/>
          <w:spacing w:val="-1"/>
        </w:rPr>
        <w:t>(c)</w:t>
        <w:tab/>
      </w:r>
      <w:r>
        <w:rPr>
          <w:spacing w:val="-1"/>
        </w:rPr>
        <w:t>离职后福利</w:t>
      </w:r>
      <w:r>
        <w:rPr>
          <w:rFonts w:ascii="宋体" w:hAnsi="宋体" w:cs="宋体" w:eastAsia="宋体" w:hint="default"/>
          <w:spacing w:val="-1"/>
        </w:rPr>
        <w:t>—</w:t>
      </w:r>
      <w:r>
        <w:rPr>
          <w:spacing w:val="-1"/>
        </w:rPr>
        <w:t>设定受益计划</w:t>
      </w:r>
    </w:p>
    <w:p>
      <w:pPr>
        <w:spacing w:line="240" w:lineRule="auto" w:before="13"/>
        <w:rPr>
          <w:rFonts w:ascii="宋体" w:hAnsi="宋体" w:cs="宋体" w:eastAsia="宋体" w:hint="default"/>
          <w:sz w:val="16"/>
          <w:szCs w:val="16"/>
        </w:rPr>
      </w:pPr>
    </w:p>
    <w:p>
      <w:pPr>
        <w:pStyle w:val="BodyText"/>
        <w:spacing w:line="237" w:lineRule="auto"/>
        <w:ind w:left="623" w:right="210"/>
        <w:jc w:val="both"/>
      </w:pPr>
      <w:r>
        <w:rPr>
          <w:spacing w:val="-3"/>
        </w:rPr>
        <w:t>本集团所属个别子公司亦向其职工提供其他离退休后补充福利，主要包括补充退休金津贴，医药费</w:t>
      </w:r>
      <w:r>
        <w:rPr>
          <w:spacing w:val="-50"/>
        </w:rPr>
        <w:t> </w:t>
      </w:r>
      <w:r>
        <w:rPr>
          <w:spacing w:val="-50"/>
        </w:rPr>
      </w:r>
      <w:r>
        <w:rPr>
          <w:spacing w:val="-3"/>
        </w:rPr>
        <w:t>用报销及补充医疗保险，该等离退休后补充福利被视为设定受益计划，按其于资产负债表日的现值</w:t>
      </w:r>
      <w:r>
        <w:rPr>
          <w:spacing w:val="-50"/>
        </w:rPr>
        <w:t> </w:t>
      </w:r>
      <w:r>
        <w:rPr>
          <w:spacing w:val="-50"/>
        </w:rPr>
      </w:r>
      <w:r>
        <w:rPr/>
        <w:t>被确认为负债，列示于资产负债表长期应付职工薪酬及应付职工薪酬项下。</w:t>
      </w:r>
    </w:p>
    <w:p>
      <w:pPr>
        <w:spacing w:line="240" w:lineRule="auto" w:before="4"/>
        <w:rPr>
          <w:rFonts w:ascii="宋体" w:hAnsi="宋体" w:cs="宋体" w:eastAsia="宋体" w:hint="default"/>
          <w:sz w:val="19"/>
          <w:szCs w:val="19"/>
        </w:rPr>
      </w:pPr>
    </w:p>
    <w:p>
      <w:pPr>
        <w:pStyle w:val="BodyText"/>
        <w:spacing w:line="237" w:lineRule="auto"/>
        <w:ind w:left="623" w:right="210"/>
        <w:jc w:val="both"/>
      </w:pPr>
      <w:r>
        <w:rPr>
          <w:spacing w:val="-3"/>
        </w:rPr>
        <w:t>本集团将设定受益计划产生的福利义务归属于职工提供服务的期间，对属于服务成本和设定受益计</w:t>
      </w:r>
      <w:r>
        <w:rPr>
          <w:spacing w:val="-50"/>
        </w:rPr>
        <w:t> </w:t>
      </w:r>
      <w:r>
        <w:rPr>
          <w:spacing w:val="-50"/>
        </w:rPr>
      </w:r>
      <w:r>
        <w:rPr>
          <w:spacing w:val="-3"/>
        </w:rPr>
        <w:t>划负债的利息费用计入当期损益或相关资产成本，对属于重新计量设定受益计划负债所产生的变动</w:t>
      </w:r>
      <w:r>
        <w:rPr>
          <w:spacing w:val="-49"/>
        </w:rPr>
        <w:t> </w:t>
      </w:r>
      <w:r>
        <w:rPr>
          <w:spacing w:val="-49"/>
        </w:rPr>
      </w:r>
      <w:r>
        <w:rPr/>
        <w:t>计入其他综合收益。</w:t>
      </w:r>
    </w:p>
    <w:p>
      <w:pPr>
        <w:spacing w:line="240" w:lineRule="auto" w:before="12"/>
        <w:rPr>
          <w:rFonts w:ascii="宋体" w:hAnsi="宋体" w:cs="宋体" w:eastAsia="宋体" w:hint="default"/>
          <w:sz w:val="16"/>
          <w:szCs w:val="16"/>
        </w:rPr>
      </w:pPr>
    </w:p>
    <w:p>
      <w:pPr>
        <w:pStyle w:val="BodyText"/>
        <w:tabs>
          <w:tab w:pos="623" w:val="left" w:leader="none"/>
        </w:tabs>
        <w:spacing w:line="240" w:lineRule="auto"/>
        <w:ind w:left="133" w:right="0"/>
        <w:jc w:val="left"/>
      </w:pPr>
      <w:r>
        <w:rPr>
          <w:rFonts w:ascii="Arial" w:hAnsi="Arial" w:cs="Arial" w:eastAsia="Arial" w:hint="default"/>
        </w:rPr>
        <w:t>(d)</w:t>
        <w:tab/>
      </w:r>
      <w:r>
        <w:rPr/>
        <w:t>辞退福利及内退福利</w:t>
      </w:r>
    </w:p>
    <w:p>
      <w:pPr>
        <w:spacing w:line="240" w:lineRule="auto" w:before="5"/>
        <w:rPr>
          <w:rFonts w:ascii="宋体" w:hAnsi="宋体" w:cs="宋体" w:eastAsia="宋体" w:hint="default"/>
          <w:sz w:val="16"/>
          <w:szCs w:val="16"/>
        </w:rPr>
      </w:pPr>
    </w:p>
    <w:p>
      <w:pPr>
        <w:pStyle w:val="BodyText"/>
        <w:spacing w:line="240" w:lineRule="auto"/>
        <w:ind w:left="623" w:right="210"/>
        <w:jc w:val="both"/>
      </w:pPr>
      <w:r>
        <w:rPr>
          <w:spacing w:val="-3"/>
        </w:rPr>
        <w:t>本集团在职工劳动合同到期之前解除与职工的劳动关系、或者为鼓励职工自愿接受裁减而提出给予</w:t>
      </w:r>
      <w:r>
        <w:rPr>
          <w:spacing w:val="-50"/>
        </w:rPr>
        <w:t> </w:t>
      </w:r>
      <w:r>
        <w:rPr>
          <w:spacing w:val="-50"/>
        </w:rPr>
      </w:r>
      <w:r>
        <w:rPr/>
        <w:t>补偿的建议，在下列两者孰早日，确认辞退福利产生的负债，同时计入当期费用：</w:t>
      </w:r>
    </w:p>
    <w:p>
      <w:pPr>
        <w:spacing w:line="240" w:lineRule="auto" w:before="1"/>
        <w:rPr>
          <w:rFonts w:ascii="宋体" w:hAnsi="宋体" w:cs="宋体" w:eastAsia="宋体" w:hint="default"/>
          <w:sz w:val="19"/>
          <w:szCs w:val="19"/>
        </w:rPr>
      </w:pPr>
    </w:p>
    <w:p>
      <w:pPr>
        <w:pStyle w:val="BodyText"/>
        <w:spacing w:line="293" w:lineRule="exact"/>
        <w:ind w:left="651" w:right="0"/>
        <w:jc w:val="both"/>
      </w:pPr>
      <w:r>
        <w:rPr>
          <w:rFonts w:ascii="Arial" w:hAnsi="Arial" w:cs="Arial" w:eastAsia="Arial" w:hint="default"/>
        </w:rPr>
        <w:t>-    </w:t>
      </w:r>
      <w:r>
        <w:rPr>
          <w:rFonts w:ascii="Arial" w:hAnsi="Arial" w:cs="Arial" w:eastAsia="Arial" w:hint="default"/>
          <w:spacing w:val="40"/>
        </w:rPr>
        <w:t> </w:t>
      </w:r>
      <w:r>
        <w:rPr/>
        <w:t>本集团不能单方面撤回因解除劳动关系计划或裁减建议所提供的辞退福利时；</w:t>
      </w:r>
    </w:p>
    <w:p>
      <w:pPr>
        <w:pStyle w:val="BodyText"/>
        <w:spacing w:line="232" w:lineRule="auto"/>
        <w:ind w:left="1069" w:right="210" w:hanging="418"/>
        <w:jc w:val="both"/>
      </w:pPr>
      <w:r>
        <w:rPr>
          <w:rFonts w:ascii="Arial" w:hAnsi="Arial" w:cs="Arial" w:eastAsia="Arial" w:hint="default"/>
        </w:rPr>
        <w:t>-</w:t>
      </w:r>
      <w:r>
        <w:rPr>
          <w:rFonts w:ascii="Arial" w:hAnsi="Arial" w:cs="Arial" w:eastAsia="Arial" w:hint="default"/>
          <w:spacing w:val="17"/>
        </w:rPr>
        <w:t> </w:t>
      </w:r>
      <w:r>
        <w:rPr>
          <w:spacing w:val="-3"/>
        </w:rPr>
        <w:t>本集团有详细、正式的涉及支付辞退福利的重组计划；并且，该重组计划已开始实施，或已向</w:t>
      </w:r>
      <w:r>
        <w:rPr>
          <w:w w:val="100"/>
        </w:rPr>
        <w:t> </w:t>
      </w:r>
      <w:r>
        <w:rPr>
          <w:spacing w:val="-3"/>
        </w:rPr>
        <w:t>受其影响的各方通告了该计划的主要内容，从而使各方形成了对本集团将实施重组的合理预期</w:t>
      </w:r>
      <w:r>
        <w:rPr>
          <w:w w:val="100"/>
        </w:rPr>
        <w:t> </w:t>
      </w:r>
      <w:r>
        <w:rPr/>
        <w:t>时。</w:t>
      </w:r>
    </w:p>
    <w:p>
      <w:pPr>
        <w:spacing w:line="240" w:lineRule="auto" w:before="4"/>
        <w:rPr>
          <w:rFonts w:ascii="宋体" w:hAnsi="宋体" w:cs="宋体" w:eastAsia="宋体" w:hint="default"/>
          <w:sz w:val="19"/>
          <w:szCs w:val="19"/>
        </w:rPr>
      </w:pPr>
    </w:p>
    <w:p>
      <w:pPr>
        <w:pStyle w:val="BodyText"/>
        <w:spacing w:line="237" w:lineRule="auto"/>
        <w:ind w:left="622" w:right="0"/>
        <w:jc w:val="left"/>
      </w:pPr>
      <w:r>
        <w:rPr/>
        <w:t>本集团向接受内部退休安排的职工提供内退福利。内退福利是指，向未达到国家规定的退休年龄、</w:t>
      </w:r>
      <w:r>
        <w:rPr>
          <w:spacing w:val="-72"/>
        </w:rPr>
        <w:t> </w:t>
      </w:r>
      <w:r>
        <w:rPr>
          <w:spacing w:val="-72"/>
        </w:rPr>
      </w:r>
      <w:r>
        <w:rPr>
          <w:spacing w:val="-3"/>
        </w:rPr>
        <w:t>经本集团管理层批准自愿退出工作岗位的职工支付的工资及为其缴纳的社会保险费等。对于内退福</w:t>
      </w:r>
      <w:r>
        <w:rPr>
          <w:spacing w:val="-50"/>
        </w:rPr>
        <w:t> </w:t>
      </w:r>
      <w:r>
        <w:rPr>
          <w:spacing w:val="-50"/>
        </w:rPr>
      </w:r>
      <w:r>
        <w:rPr/>
        <w:t>利，本集团按照辞退福利进行会计处理。</w:t>
      </w:r>
    </w:p>
    <w:p>
      <w:pPr>
        <w:spacing w:line="240" w:lineRule="auto" w:before="4"/>
        <w:rPr>
          <w:rFonts w:ascii="宋体" w:hAnsi="宋体" w:cs="宋体" w:eastAsia="宋体" w:hint="default"/>
          <w:sz w:val="17"/>
          <w:szCs w:val="17"/>
        </w:rPr>
      </w:pPr>
    </w:p>
    <w:p>
      <w:pPr>
        <w:pStyle w:val="BodyText"/>
        <w:spacing w:line="240" w:lineRule="auto"/>
        <w:ind w:left="133" w:right="0"/>
        <w:jc w:val="left"/>
      </w:pPr>
      <w:r>
        <w:rPr>
          <w:rFonts w:ascii="Arial" w:hAnsi="Arial" w:cs="Arial" w:eastAsia="Arial" w:hint="default"/>
        </w:rPr>
        <w:t>19</w:t>
      </w:r>
      <w:r>
        <w:rPr/>
        <w:t>、股份支付</w:t>
      </w:r>
    </w:p>
    <w:p>
      <w:pPr>
        <w:spacing w:line="240" w:lineRule="auto" w:before="5"/>
        <w:rPr>
          <w:rFonts w:ascii="宋体" w:hAnsi="宋体" w:cs="宋体" w:eastAsia="宋体" w:hint="default"/>
          <w:sz w:val="16"/>
          <w:szCs w:val="16"/>
        </w:rPr>
      </w:pPr>
    </w:p>
    <w:p>
      <w:pPr>
        <w:pStyle w:val="BodyText"/>
        <w:spacing w:line="424" w:lineRule="auto"/>
        <w:ind w:left="598" w:right="3866" w:hanging="466"/>
        <w:jc w:val="left"/>
      </w:pPr>
      <w:r>
        <w:rPr>
          <w:rFonts w:ascii="Arial" w:hAnsi="Arial" w:cs="Arial" w:eastAsia="Arial" w:hint="default"/>
        </w:rPr>
        <w:t>(a) </w:t>
      </w:r>
      <w:r>
        <w:rPr/>
        <w:t>股份支付的种类</w:t>
      </w:r>
      <w:r>
        <w:rPr>
          <w:spacing w:val="-93"/>
        </w:rPr>
        <w:t> </w:t>
      </w:r>
      <w:r>
        <w:rPr>
          <w:spacing w:val="-1"/>
        </w:rPr>
        <w:t>本集团的股份支付为以权益结算的股份支付。</w:t>
      </w:r>
    </w:p>
    <w:p>
      <w:pPr>
        <w:pStyle w:val="BodyText"/>
        <w:spacing w:line="240" w:lineRule="auto" w:before="80"/>
        <w:ind w:left="133" w:right="0"/>
        <w:jc w:val="left"/>
      </w:pPr>
      <w:r>
        <w:rPr>
          <w:rFonts w:ascii="Arial" w:hAnsi="Arial" w:cs="Arial" w:eastAsia="Arial" w:hint="default"/>
        </w:rPr>
        <w:t>(b)  </w:t>
      </w:r>
      <w:r>
        <w:rPr>
          <w:rFonts w:ascii="Arial" w:hAnsi="Arial" w:cs="Arial" w:eastAsia="Arial" w:hint="default"/>
          <w:spacing w:val="13"/>
        </w:rPr>
        <w:t> </w:t>
      </w:r>
      <w:r>
        <w:rPr/>
        <w:t>实施股份支付计划的相关会计处理</w:t>
      </w:r>
    </w:p>
    <w:p>
      <w:pPr>
        <w:spacing w:line="240" w:lineRule="auto" w:before="6"/>
        <w:rPr>
          <w:rFonts w:ascii="宋体" w:hAnsi="宋体" w:cs="宋体" w:eastAsia="宋体" w:hint="default"/>
          <w:sz w:val="18"/>
          <w:szCs w:val="18"/>
        </w:rPr>
      </w:pPr>
    </w:p>
    <w:p>
      <w:pPr>
        <w:pStyle w:val="BodyText"/>
        <w:spacing w:line="237" w:lineRule="auto"/>
        <w:ind w:left="598" w:right="215"/>
        <w:jc w:val="both"/>
      </w:pPr>
      <w:r>
        <w:rPr>
          <w:spacing w:val="-2"/>
        </w:rPr>
        <w:t>本集团以股份或其他权益工具作为对价换取职工提供服务时，以授予职工权益工具在授予日的公允</w:t>
      </w:r>
      <w:r>
        <w:rPr>
          <w:spacing w:val="-73"/>
        </w:rPr>
        <w:t> </w:t>
      </w:r>
      <w:r>
        <w:rPr>
          <w:spacing w:val="-73"/>
        </w:rPr>
      </w:r>
      <w:r>
        <w:rPr>
          <w:spacing w:val="-2"/>
        </w:rPr>
        <w:t>价值计量。对于授予后完成等待期内的服务或达到规定业绩条件才可行权的股份支付交易，本集团</w:t>
      </w:r>
      <w:r>
        <w:rPr>
          <w:spacing w:val="-74"/>
        </w:rPr>
        <w:t> </w:t>
      </w:r>
      <w:r>
        <w:rPr>
          <w:spacing w:val="-74"/>
        </w:rPr>
      </w:r>
      <w:r>
        <w:rPr>
          <w:spacing w:val="-2"/>
        </w:rPr>
        <w:t>在等待期内的每个资产负债表日，根据最新取得的可行权职工人数变动等后续信息对可行权权益工</w:t>
      </w:r>
      <w:r>
        <w:rPr>
          <w:spacing w:val="-73"/>
        </w:rPr>
        <w:t> </w:t>
      </w:r>
      <w:r>
        <w:rPr>
          <w:spacing w:val="-73"/>
        </w:rPr>
      </w:r>
      <w:r>
        <w:rPr>
          <w:spacing w:val="-2"/>
        </w:rPr>
        <w:t>具数量作出最佳估计，以此基础按照权益工具授予日的公允价值，将当期取得的服务计入相关成本</w:t>
      </w:r>
      <w:r>
        <w:rPr>
          <w:spacing w:val="-73"/>
        </w:rPr>
        <w:t> </w:t>
      </w:r>
      <w:r>
        <w:rPr>
          <w:spacing w:val="-73"/>
        </w:rPr>
      </w:r>
      <w:r>
        <w:rPr/>
        <w:t>或费用，并相应计入资本公积。</w:t>
      </w:r>
    </w:p>
    <w:p>
      <w:pPr>
        <w:spacing w:line="240" w:lineRule="auto" w:before="10"/>
        <w:rPr>
          <w:rFonts w:ascii="宋体" w:hAnsi="宋体" w:cs="宋体" w:eastAsia="宋体" w:hint="default"/>
          <w:sz w:val="21"/>
          <w:szCs w:val="21"/>
        </w:rPr>
      </w:pPr>
    </w:p>
    <w:p>
      <w:pPr>
        <w:pStyle w:val="BodyText"/>
        <w:spacing w:line="284" w:lineRule="exact"/>
        <w:ind w:left="598" w:right="215"/>
        <w:jc w:val="both"/>
      </w:pPr>
      <w:r>
        <w:rPr>
          <w:spacing w:val="-2"/>
        </w:rPr>
        <w:t>当本集团接受服务但没有结算义务，并且授予职工的是本公司最终控制方或其控制的除本集团外的</w:t>
      </w:r>
      <w:r>
        <w:rPr>
          <w:spacing w:val="-73"/>
        </w:rPr>
        <w:t> </w:t>
      </w:r>
      <w:r>
        <w:rPr>
          <w:spacing w:val="-73"/>
        </w:rPr>
      </w:r>
      <w:r>
        <w:rPr/>
        <w:t>子公司的权益工具时，本集团将此股份支付计划作为权益结算的股份支付处理。</w:t>
      </w:r>
    </w:p>
    <w:p>
      <w:pPr>
        <w:spacing w:after="0" w:line="284" w:lineRule="exact"/>
        <w:jc w:val="both"/>
        <w:sectPr>
          <w:headerReference w:type="default" r:id="rId122"/>
          <w:pgSz w:w="11910" w:h="16840"/>
          <w:pgMar w:header="842" w:footer="502" w:top="2700" w:bottom="700" w:left="860" w:right="820"/>
        </w:sectPr>
      </w:pPr>
    </w:p>
    <w:p>
      <w:pPr>
        <w:spacing w:line="240" w:lineRule="auto" w:before="4"/>
        <w:rPr>
          <w:rFonts w:ascii="宋体" w:hAnsi="宋体" w:cs="宋体" w:eastAsia="宋体" w:hint="default"/>
          <w:sz w:val="14"/>
          <w:szCs w:val="14"/>
        </w:rPr>
      </w:pPr>
    </w:p>
    <w:p>
      <w:pPr>
        <w:pStyle w:val="BodyText"/>
        <w:spacing w:line="240" w:lineRule="auto" w:before="32"/>
        <w:ind w:left="133" w:right="0"/>
        <w:jc w:val="left"/>
      </w:pPr>
      <w:r>
        <w:rPr>
          <w:rFonts w:ascii="Arial" w:hAnsi="Arial" w:cs="Arial" w:eastAsia="Arial" w:hint="default"/>
        </w:rPr>
        <w:t>20</w:t>
      </w:r>
      <w:r>
        <w:rPr/>
        <w:t>、股利分配</w:t>
      </w:r>
    </w:p>
    <w:p>
      <w:pPr>
        <w:spacing w:line="240" w:lineRule="auto" w:before="10"/>
        <w:rPr>
          <w:rFonts w:ascii="宋体" w:hAnsi="宋体" w:cs="宋体" w:eastAsia="宋体" w:hint="default"/>
          <w:sz w:val="16"/>
          <w:szCs w:val="16"/>
        </w:rPr>
      </w:pPr>
    </w:p>
    <w:p>
      <w:pPr>
        <w:pStyle w:val="BodyText"/>
        <w:spacing w:line="240" w:lineRule="auto"/>
        <w:ind w:left="599" w:right="0"/>
        <w:jc w:val="both"/>
      </w:pPr>
      <w:r>
        <w:rPr/>
        <w:t>现金股利于股东大会批准的当期，确认为负债。</w:t>
      </w:r>
    </w:p>
    <w:p>
      <w:pPr>
        <w:spacing w:line="240" w:lineRule="auto" w:before="1"/>
        <w:rPr>
          <w:rFonts w:ascii="宋体" w:hAnsi="宋体" w:cs="宋体" w:eastAsia="宋体" w:hint="default"/>
          <w:sz w:val="19"/>
          <w:szCs w:val="19"/>
        </w:rPr>
      </w:pPr>
    </w:p>
    <w:p>
      <w:pPr>
        <w:pStyle w:val="BodyText"/>
        <w:spacing w:line="240" w:lineRule="auto"/>
        <w:ind w:left="133" w:right="0"/>
        <w:jc w:val="left"/>
      </w:pPr>
      <w:r>
        <w:rPr>
          <w:rFonts w:ascii="Arial" w:hAnsi="Arial" w:cs="Arial" w:eastAsia="Arial" w:hint="default"/>
        </w:rPr>
        <w:t>21</w:t>
      </w:r>
      <w:r>
        <w:rPr/>
        <w:t>、公允价值的计量</w:t>
      </w:r>
    </w:p>
    <w:p>
      <w:pPr>
        <w:spacing w:line="240" w:lineRule="auto" w:before="11"/>
        <w:rPr>
          <w:rFonts w:ascii="宋体" w:hAnsi="宋体" w:cs="宋体" w:eastAsia="宋体" w:hint="default"/>
          <w:sz w:val="17"/>
          <w:szCs w:val="17"/>
        </w:rPr>
      </w:pPr>
    </w:p>
    <w:p>
      <w:pPr>
        <w:pStyle w:val="BodyText"/>
        <w:spacing w:line="240" w:lineRule="auto"/>
        <w:ind w:left="580" w:right="0" w:firstLine="28"/>
        <w:jc w:val="left"/>
      </w:pPr>
      <w:r>
        <w:rPr>
          <w:spacing w:val="-3"/>
        </w:rPr>
        <w:t>公允价值是指市场参与者在计量日发生的有序交易中，出售一项资产所能收到或者转移一项负债所</w:t>
      </w:r>
      <w:r>
        <w:rPr>
          <w:spacing w:val="-63"/>
        </w:rPr>
        <w:t> </w:t>
      </w:r>
      <w:r>
        <w:rPr>
          <w:spacing w:val="-63"/>
        </w:rPr>
      </w:r>
      <w:r>
        <w:rPr/>
        <w:t>需支付的价格。</w:t>
      </w:r>
    </w:p>
    <w:p>
      <w:pPr>
        <w:spacing w:line="240" w:lineRule="auto" w:before="3"/>
        <w:rPr>
          <w:rFonts w:ascii="宋体" w:hAnsi="宋体" w:cs="宋体" w:eastAsia="宋体" w:hint="default"/>
          <w:sz w:val="19"/>
          <w:szCs w:val="19"/>
        </w:rPr>
      </w:pPr>
    </w:p>
    <w:p>
      <w:pPr>
        <w:pStyle w:val="BodyText"/>
        <w:spacing w:line="237" w:lineRule="auto"/>
        <w:ind w:left="580" w:right="209"/>
        <w:jc w:val="both"/>
      </w:pPr>
      <w:r>
        <w:rPr>
          <w:spacing w:val="-2"/>
        </w:rPr>
        <w:t>本集团估计公允价值时，考虑市场参与者在计量日对相关资产或负债进行定价时考虑的特征（包括</w:t>
      </w:r>
      <w:r>
        <w:rPr>
          <w:spacing w:val="-50"/>
        </w:rPr>
        <w:t> </w:t>
      </w:r>
      <w:r>
        <w:rPr>
          <w:spacing w:val="-50"/>
        </w:rPr>
      </w:r>
      <w:r>
        <w:rPr>
          <w:spacing w:val="-2"/>
        </w:rPr>
        <w:t>资产状况及所在位置、对资产出售或者使用的限制等），并采用在当前情况下适用并且有足够可利</w:t>
      </w:r>
      <w:r>
        <w:rPr>
          <w:spacing w:val="-50"/>
        </w:rPr>
        <w:t> </w:t>
      </w:r>
      <w:r>
        <w:rPr>
          <w:spacing w:val="-50"/>
        </w:rPr>
      </w:r>
      <w:r>
        <w:rPr/>
        <w:t>用数据和其他信息支持的估值技术。使用的估值技术主要包括市场法、收益法和成本法。</w:t>
      </w:r>
    </w:p>
    <w:p>
      <w:pPr>
        <w:spacing w:line="240" w:lineRule="auto" w:before="12"/>
        <w:rPr>
          <w:rFonts w:ascii="宋体" w:hAnsi="宋体" w:cs="宋体" w:eastAsia="宋体" w:hint="default"/>
          <w:sz w:val="16"/>
          <w:szCs w:val="16"/>
        </w:rPr>
      </w:pPr>
    </w:p>
    <w:p>
      <w:pPr>
        <w:pStyle w:val="BodyText"/>
        <w:spacing w:line="240" w:lineRule="auto"/>
        <w:ind w:left="133" w:right="0"/>
        <w:jc w:val="left"/>
      </w:pPr>
      <w:r>
        <w:rPr>
          <w:rFonts w:ascii="Arial" w:hAnsi="Arial" w:cs="Arial" w:eastAsia="Arial" w:hint="default"/>
        </w:rPr>
        <w:t>22</w:t>
      </w:r>
      <w:r>
        <w:rPr/>
        <w:t>、预计负债</w:t>
      </w:r>
    </w:p>
    <w:p>
      <w:pPr>
        <w:spacing w:line="240" w:lineRule="auto" w:before="1"/>
        <w:rPr>
          <w:rFonts w:ascii="宋体" w:hAnsi="宋体" w:cs="宋体" w:eastAsia="宋体" w:hint="default"/>
          <w:sz w:val="19"/>
          <w:szCs w:val="19"/>
        </w:rPr>
      </w:pPr>
    </w:p>
    <w:p>
      <w:pPr>
        <w:pStyle w:val="BodyText"/>
        <w:spacing w:line="284" w:lineRule="exact"/>
        <w:ind w:left="599" w:right="0"/>
        <w:jc w:val="left"/>
      </w:pPr>
      <w:r>
        <w:rPr>
          <w:spacing w:val="-2"/>
        </w:rPr>
        <w:t>因产品质量保证、亏损合同等形成的现时义务，当履行该义务很可能导致经济利益的流出，且其金</w:t>
      </w:r>
      <w:r>
        <w:rPr>
          <w:spacing w:val="-75"/>
        </w:rPr>
        <w:t> </w:t>
      </w:r>
      <w:r>
        <w:rPr>
          <w:spacing w:val="-75"/>
        </w:rPr>
      </w:r>
      <w:r>
        <w:rPr/>
        <w:t>额能够可靠计量时，确认为预计负债。</w:t>
      </w:r>
    </w:p>
    <w:p>
      <w:pPr>
        <w:spacing w:line="240" w:lineRule="auto" w:before="4"/>
        <w:rPr>
          <w:rFonts w:ascii="宋体" w:hAnsi="宋体" w:cs="宋体" w:eastAsia="宋体" w:hint="default"/>
          <w:sz w:val="17"/>
          <w:szCs w:val="17"/>
        </w:rPr>
      </w:pPr>
    </w:p>
    <w:p>
      <w:pPr>
        <w:pStyle w:val="BodyText"/>
        <w:spacing w:line="237" w:lineRule="auto"/>
        <w:ind w:left="599" w:right="99"/>
        <w:jc w:val="both"/>
      </w:pPr>
      <w:r>
        <w:rPr>
          <w:spacing w:val="-2"/>
        </w:rPr>
        <w:t>预计负债按照履行相关现时义务所需支出的最佳估计数进行初始计量，并综合考虑与或有事项有关</w:t>
      </w:r>
      <w:r>
        <w:rPr>
          <w:spacing w:val="-73"/>
        </w:rPr>
        <w:t> </w:t>
      </w:r>
      <w:r>
        <w:rPr>
          <w:spacing w:val="-73"/>
        </w:rPr>
      </w:r>
      <w:r>
        <w:rPr>
          <w:spacing w:val="-2"/>
        </w:rPr>
        <w:t>的风险、不确定性和货币时间价值等因素。货币时间价值影响重大的，通过对相关未来现金流出进</w:t>
      </w:r>
      <w:r>
        <w:rPr>
          <w:spacing w:val="-75"/>
        </w:rPr>
        <w:t> </w:t>
      </w:r>
      <w:r>
        <w:rPr>
          <w:spacing w:val="-75"/>
        </w:rPr>
      </w:r>
      <w:r>
        <w:rPr>
          <w:spacing w:val="-2"/>
        </w:rPr>
        <w:t>行折现后确定最佳估计数；因随着时间推移所进行的折现还原而导致的预计负债账面价值的增加金</w:t>
      </w:r>
      <w:r>
        <w:rPr>
          <w:spacing w:val="-73"/>
        </w:rPr>
        <w:t> </w:t>
      </w:r>
      <w:r>
        <w:rPr>
          <w:spacing w:val="-73"/>
        </w:rPr>
      </w:r>
      <w:r>
        <w:rPr/>
        <w:t>额，确认为利息费用。</w:t>
      </w:r>
    </w:p>
    <w:p>
      <w:pPr>
        <w:spacing w:line="240" w:lineRule="auto" w:before="9"/>
        <w:rPr>
          <w:rFonts w:ascii="宋体" w:hAnsi="宋体" w:cs="宋体" w:eastAsia="宋体" w:hint="default"/>
          <w:sz w:val="19"/>
          <w:szCs w:val="19"/>
        </w:rPr>
      </w:pPr>
    </w:p>
    <w:p>
      <w:pPr>
        <w:pStyle w:val="BodyText"/>
        <w:spacing w:line="237" w:lineRule="auto"/>
        <w:ind w:left="599" w:right="0"/>
        <w:jc w:val="left"/>
      </w:pPr>
      <w:r>
        <w:rPr>
          <w:spacing w:val="-5"/>
        </w:rPr>
        <w:t>在确定最佳估计数时，本集团综合考虑了与或有事项有关的风险、不确定性和货币时间价值等因素。</w:t>
      </w:r>
      <w:r>
        <w:rPr>
          <w:spacing w:val="-44"/>
        </w:rPr>
        <w:t> </w:t>
      </w:r>
      <w:r>
        <w:rPr>
          <w:spacing w:val="-44"/>
        </w:rPr>
      </w:r>
      <w:r>
        <w:rPr>
          <w:spacing w:val="-2"/>
        </w:rPr>
        <w:t>所需支出存在一个连续范围，且该范围内各种结果发生的可能性相同的，最佳估计数按照该范围内</w:t>
      </w:r>
      <w:r>
        <w:rPr>
          <w:spacing w:val="-73"/>
        </w:rPr>
        <w:t> </w:t>
      </w:r>
      <w:r>
        <w:rPr>
          <w:spacing w:val="-73"/>
        </w:rPr>
      </w:r>
      <w:r>
        <w:rPr/>
        <w:t>的中间值确定；在其他情况下，最佳估计数分别按照下列情况处理：</w:t>
      </w:r>
    </w:p>
    <w:p>
      <w:pPr>
        <w:spacing w:line="240" w:lineRule="auto" w:before="1"/>
        <w:rPr>
          <w:rFonts w:ascii="宋体" w:hAnsi="宋体" w:cs="宋体" w:eastAsia="宋体" w:hint="default"/>
          <w:sz w:val="19"/>
          <w:szCs w:val="19"/>
        </w:rPr>
      </w:pPr>
    </w:p>
    <w:p>
      <w:pPr>
        <w:pStyle w:val="BodyText"/>
        <w:spacing w:line="293" w:lineRule="exact"/>
        <w:ind w:left="599" w:right="0"/>
        <w:jc w:val="both"/>
      </w:pPr>
      <w:r>
        <w:rPr>
          <w:rFonts w:ascii="Arial" w:hAnsi="Arial" w:cs="Arial" w:eastAsia="Arial" w:hint="default"/>
        </w:rPr>
        <w:t>-   </w:t>
      </w:r>
      <w:r>
        <w:rPr>
          <w:rFonts w:ascii="Arial" w:hAnsi="Arial" w:cs="Arial" w:eastAsia="Arial" w:hint="default"/>
          <w:spacing w:val="50"/>
        </w:rPr>
        <w:t> </w:t>
      </w:r>
      <w:r>
        <w:rPr/>
        <w:t>或有事项涉及单个项目的，按照最可能发生金额确定；</w:t>
      </w:r>
    </w:p>
    <w:p>
      <w:pPr>
        <w:pStyle w:val="BodyText"/>
        <w:tabs>
          <w:tab w:pos="968" w:val="left" w:leader="none"/>
        </w:tabs>
        <w:spacing w:line="424" w:lineRule="auto"/>
        <w:ind w:left="599" w:right="603"/>
        <w:jc w:val="left"/>
      </w:pPr>
      <w:r>
        <w:rPr>
          <w:rFonts w:ascii="Arial" w:hAnsi="Arial" w:cs="Arial" w:eastAsia="Arial" w:hint="default"/>
        </w:rPr>
        <w:t>-</w:t>
        <w:tab/>
      </w:r>
      <w:r>
        <w:rPr/>
        <w:t>或有事项涉及多个项目的，按照各种可能结果及相关概率计算确定。</w:t>
      </w:r>
      <w:r>
        <w:rPr>
          <w:spacing w:val="-107"/>
        </w:rPr>
        <w:t> </w:t>
      </w:r>
      <w:r>
        <w:rPr>
          <w:spacing w:val="-107"/>
        </w:rPr>
      </w:r>
      <w:r>
        <w:rPr>
          <w:spacing w:val="-1"/>
        </w:rPr>
        <w:t>于资产负债表日，对预计负债的账面价值进行复核并作适当调整，以反映当前的最佳估计数。</w:t>
      </w:r>
    </w:p>
    <w:p>
      <w:pPr>
        <w:spacing w:after="0" w:line="424" w:lineRule="auto"/>
        <w:jc w:val="left"/>
        <w:sectPr>
          <w:headerReference w:type="default" r:id="rId123"/>
          <w:pgSz w:w="11910" w:h="16840"/>
          <w:pgMar w:header="842" w:footer="502" w:top="2700" w:bottom="700" w:left="860" w:right="820"/>
        </w:sectPr>
      </w:pPr>
    </w:p>
    <w:p>
      <w:pPr>
        <w:spacing w:line="240" w:lineRule="auto" w:before="4"/>
        <w:rPr>
          <w:rFonts w:ascii="宋体" w:hAnsi="宋体" w:cs="宋体" w:eastAsia="宋体" w:hint="default"/>
          <w:sz w:val="14"/>
          <w:szCs w:val="14"/>
        </w:rPr>
      </w:pPr>
    </w:p>
    <w:p>
      <w:pPr>
        <w:pStyle w:val="BodyText"/>
        <w:spacing w:line="240" w:lineRule="auto" w:before="32"/>
        <w:ind w:left="133" w:right="0"/>
        <w:jc w:val="left"/>
      </w:pPr>
      <w:r>
        <w:rPr>
          <w:rFonts w:ascii="Arial" w:hAnsi="Arial" w:cs="Arial" w:eastAsia="Arial" w:hint="default"/>
        </w:rPr>
        <w:t>23</w:t>
      </w:r>
      <w:r>
        <w:rPr/>
        <w:t>、收入确认</w:t>
      </w:r>
    </w:p>
    <w:p>
      <w:pPr>
        <w:spacing w:line="240" w:lineRule="auto" w:before="1"/>
        <w:rPr>
          <w:rFonts w:ascii="宋体" w:hAnsi="宋体" w:cs="宋体" w:eastAsia="宋体" w:hint="default"/>
          <w:sz w:val="19"/>
          <w:szCs w:val="19"/>
        </w:rPr>
      </w:pPr>
    </w:p>
    <w:p>
      <w:pPr>
        <w:pStyle w:val="BodyText"/>
        <w:spacing w:line="284" w:lineRule="exact"/>
        <w:ind w:left="608" w:right="0"/>
        <w:jc w:val="left"/>
      </w:pPr>
      <w:r>
        <w:rPr>
          <w:spacing w:val="-3"/>
        </w:rPr>
        <w:t>收入是本集团在日常活动中形成的，会导致股东权益增加且与股东投入资本无关的经济利益的总流</w:t>
      </w:r>
      <w:r>
        <w:rPr>
          <w:spacing w:val="-40"/>
        </w:rPr>
        <w:t> </w:t>
      </w:r>
      <w:r>
        <w:rPr>
          <w:spacing w:val="-40"/>
        </w:rPr>
      </w:r>
      <w:r>
        <w:rPr/>
        <w:t>入。</w:t>
      </w:r>
    </w:p>
    <w:p>
      <w:pPr>
        <w:spacing w:line="240" w:lineRule="auto" w:before="6"/>
        <w:rPr>
          <w:rFonts w:ascii="宋体" w:hAnsi="宋体" w:cs="宋体" w:eastAsia="宋体" w:hint="default"/>
          <w:sz w:val="17"/>
          <w:szCs w:val="17"/>
        </w:rPr>
      </w:pPr>
    </w:p>
    <w:p>
      <w:pPr>
        <w:pStyle w:val="BodyText"/>
        <w:spacing w:line="240" w:lineRule="auto"/>
        <w:ind w:left="608" w:right="0"/>
        <w:jc w:val="both"/>
      </w:pPr>
      <w:r>
        <w:rPr/>
        <w:t>本集团在履行了合同中的履约义务，即在用户取得相关商品或服务的控制权时，确认相关收入。</w:t>
      </w:r>
    </w:p>
    <w:p>
      <w:pPr>
        <w:spacing w:line="240" w:lineRule="auto" w:before="3"/>
        <w:rPr>
          <w:rFonts w:ascii="宋体" w:hAnsi="宋体" w:cs="宋体" w:eastAsia="宋体" w:hint="default"/>
          <w:sz w:val="19"/>
          <w:szCs w:val="19"/>
        </w:rPr>
      </w:pPr>
    </w:p>
    <w:p>
      <w:pPr>
        <w:pStyle w:val="BodyText"/>
        <w:spacing w:line="237" w:lineRule="auto"/>
        <w:ind w:left="608" w:right="0"/>
        <w:jc w:val="left"/>
      </w:pPr>
      <w:r>
        <w:rPr>
          <w:spacing w:val="-3"/>
        </w:rPr>
        <w:t>合同中包含两项或多项履约义务的，本集团在合同开始日，按照各单项履约义务所承诺商品或服务</w:t>
      </w:r>
      <w:r>
        <w:rPr>
          <w:spacing w:val="-40"/>
        </w:rPr>
        <w:t> </w:t>
      </w:r>
      <w:r>
        <w:rPr>
          <w:spacing w:val="-40"/>
        </w:rPr>
      </w:r>
      <w:r>
        <w:rPr>
          <w:spacing w:val="-3"/>
        </w:rPr>
        <w:t>的单独售价的相对比例，将交易价格分摊至各单项履约义务，按照分摊至各单项履约义务的交易价</w:t>
      </w:r>
      <w:r>
        <w:rPr>
          <w:spacing w:val="-40"/>
        </w:rPr>
        <w:t> </w:t>
      </w:r>
      <w:r>
        <w:rPr>
          <w:spacing w:val="-40"/>
        </w:rPr>
      </w:r>
      <w:r>
        <w:rPr/>
        <w:t>格计量收入。附有客户额外购买选择权（例如客户奖励积分、未来购买商品的折扣券等）的合同，</w:t>
      </w:r>
      <w:r>
        <w:rPr>
          <w:spacing w:val="-64"/>
        </w:rPr>
        <w:t> </w:t>
      </w:r>
      <w:r>
        <w:rPr>
          <w:spacing w:val="-64"/>
        </w:rPr>
      </w:r>
      <w:r>
        <w:rPr>
          <w:spacing w:val="-3"/>
        </w:rPr>
        <w:t>本集团评估该选择权是否向客户提供了一项重大权利。提供重大权利的，本集团将其作为单项履约</w:t>
      </w:r>
      <w:r>
        <w:rPr>
          <w:spacing w:val="-40"/>
        </w:rPr>
        <w:t> </w:t>
      </w:r>
      <w:r>
        <w:rPr>
          <w:spacing w:val="-40"/>
        </w:rPr>
      </w:r>
      <w:r>
        <w:rPr>
          <w:spacing w:val="-3"/>
        </w:rPr>
        <w:t>义务。附有质量保证条款的合同，本集团对其所提供的质量保证的性质进行分析，如果质量保证在</w:t>
      </w:r>
      <w:r>
        <w:rPr>
          <w:spacing w:val="-41"/>
        </w:rPr>
        <w:t> </w:t>
      </w:r>
      <w:r>
        <w:rPr>
          <w:spacing w:val="-41"/>
        </w:rPr>
      </w:r>
      <w:r>
        <w:rPr/>
        <w:t>向客户保证所销售的商品符合既定标准之外提供了一项单独服务，本集团将其作为单项履约义务。</w:t>
      </w:r>
      <w:r>
        <w:rPr>
          <w:spacing w:val="-64"/>
        </w:rPr>
        <w:t> </w:t>
      </w:r>
      <w:r>
        <w:rPr>
          <w:spacing w:val="-64"/>
        </w:rPr>
      </w:r>
      <w:r>
        <w:rPr/>
        <w:t>否则，本集团按照《企业会计准则第</w:t>
      </w:r>
      <w:r>
        <w:rPr>
          <w:rFonts w:ascii="Arial" w:hAnsi="Arial" w:cs="Arial" w:eastAsia="Arial" w:hint="default"/>
        </w:rPr>
        <w:t>13</w:t>
      </w:r>
      <w:r>
        <w:rPr/>
        <w:t>号</w:t>
      </w:r>
      <w:r>
        <w:rPr>
          <w:rFonts w:ascii="宋体" w:hAnsi="宋体" w:cs="宋体" w:eastAsia="宋体" w:hint="default"/>
        </w:rPr>
        <w:t>——</w:t>
      </w:r>
      <w:r>
        <w:rPr/>
        <w:t>或有事项》的规定进行会计处理。</w:t>
      </w:r>
    </w:p>
    <w:p>
      <w:pPr>
        <w:spacing w:line="240" w:lineRule="auto" w:before="1"/>
        <w:rPr>
          <w:rFonts w:ascii="宋体" w:hAnsi="宋体" w:cs="宋体" w:eastAsia="宋体" w:hint="default"/>
          <w:sz w:val="18"/>
          <w:szCs w:val="18"/>
        </w:rPr>
      </w:pPr>
    </w:p>
    <w:p>
      <w:pPr>
        <w:pStyle w:val="BodyText"/>
        <w:spacing w:line="237" w:lineRule="auto"/>
        <w:ind w:left="608" w:right="214"/>
        <w:jc w:val="both"/>
      </w:pPr>
      <w:r>
        <w:rPr>
          <w:spacing w:val="-3"/>
        </w:rPr>
        <w:t>交易价格是本集团因向用户转让商品或服务而预期有权收取的对价金额，不包括代第三方收取的款</w:t>
      </w:r>
      <w:r>
        <w:rPr>
          <w:spacing w:val="-40"/>
        </w:rPr>
        <w:t> </w:t>
      </w:r>
      <w:r>
        <w:rPr>
          <w:spacing w:val="-40"/>
        </w:rPr>
      </w:r>
      <w:r>
        <w:rPr>
          <w:spacing w:val="-3"/>
        </w:rPr>
        <w:t>项。本集团确认的交易价格不超过在相关不确定性消除时累计已确认收入极可能不会发生重大转回</w:t>
      </w:r>
      <w:r>
        <w:rPr>
          <w:spacing w:val="-40"/>
        </w:rPr>
        <w:t> </w:t>
      </w:r>
      <w:r>
        <w:rPr>
          <w:spacing w:val="-40"/>
        </w:rPr>
      </w:r>
      <w:r>
        <w:rPr>
          <w:spacing w:val="-3"/>
        </w:rPr>
        <w:t>的金额。有权收取的对价是非现金形式时，本集团按照非现金对价的公允价值确定交易价格。非现</w:t>
      </w:r>
      <w:r>
        <w:rPr>
          <w:spacing w:val="-40"/>
        </w:rPr>
        <w:t> </w:t>
      </w:r>
      <w:r>
        <w:rPr>
          <w:spacing w:val="-40"/>
        </w:rPr>
      </w:r>
      <w:r>
        <w:rPr>
          <w:spacing w:val="-3"/>
        </w:rPr>
        <w:t>金对价的公允价值不能合理估计的，本集团参照承诺向客户转让商品或提供服务的单独售价间接确</w:t>
      </w:r>
      <w:r>
        <w:rPr>
          <w:spacing w:val="-40"/>
        </w:rPr>
        <w:t> </w:t>
      </w:r>
      <w:r>
        <w:rPr>
          <w:spacing w:val="-40"/>
        </w:rPr>
      </w:r>
      <w:r>
        <w:rPr>
          <w:spacing w:val="-3"/>
        </w:rPr>
        <w:t>定交易价格。预期将退还给用户的款项作为退货负债，不计入交易价格。合同中存在重大融资成分</w:t>
      </w:r>
      <w:r>
        <w:rPr>
          <w:spacing w:val="-42"/>
        </w:rPr>
        <w:t> </w:t>
      </w:r>
      <w:r>
        <w:rPr>
          <w:spacing w:val="-42"/>
        </w:rPr>
      </w:r>
      <w:r>
        <w:rPr>
          <w:spacing w:val="-3"/>
        </w:rPr>
        <w:t>的，本集团按照假定用户在取得商品或服务控制权时即以现金支付的应付金额确定交易价格。该交</w:t>
      </w:r>
      <w:r>
        <w:rPr>
          <w:spacing w:val="-40"/>
        </w:rPr>
        <w:t> </w:t>
      </w:r>
      <w:r>
        <w:rPr>
          <w:spacing w:val="-40"/>
        </w:rPr>
      </w:r>
      <w:r>
        <w:rPr>
          <w:spacing w:val="-3"/>
        </w:rPr>
        <w:t>易价格与合同对价之间的差额，在合同期间内采用实际利率法摊销。合同开始日，本集团预计用户</w:t>
      </w:r>
      <w:r>
        <w:rPr>
          <w:spacing w:val="-39"/>
        </w:rPr>
        <w:t> </w:t>
      </w:r>
      <w:r>
        <w:rPr>
          <w:spacing w:val="-39"/>
        </w:rPr>
      </w:r>
      <w:r>
        <w:rPr/>
        <w:t>取得商品或服务控制权与用户支付价款间隔不超过一年的，不考虑合同中存在的重大融资成分。</w:t>
      </w:r>
    </w:p>
    <w:p>
      <w:pPr>
        <w:spacing w:line="240" w:lineRule="auto" w:before="5"/>
        <w:rPr>
          <w:rFonts w:ascii="宋体" w:hAnsi="宋体" w:cs="宋体" w:eastAsia="宋体" w:hint="default"/>
          <w:sz w:val="21"/>
          <w:szCs w:val="21"/>
        </w:rPr>
      </w:pPr>
    </w:p>
    <w:p>
      <w:pPr>
        <w:pStyle w:val="BodyText"/>
        <w:spacing w:line="284" w:lineRule="exact"/>
        <w:ind w:left="608" w:right="0"/>
        <w:jc w:val="left"/>
      </w:pPr>
      <w:r>
        <w:rPr>
          <w:spacing w:val="-3"/>
        </w:rPr>
        <w:t>满足下列条件之一时，本集团属于在某一时段内履行履约义务，否则，属于在某一时点履行履约义</w:t>
      </w:r>
      <w:r>
        <w:rPr>
          <w:spacing w:val="-42"/>
        </w:rPr>
        <w:t> </w:t>
      </w:r>
      <w:r>
        <w:rPr>
          <w:spacing w:val="-42"/>
        </w:rPr>
      </w:r>
      <w:r>
        <w:rPr/>
        <w:t>务：</w:t>
      </w:r>
    </w:p>
    <w:p>
      <w:pPr>
        <w:spacing w:line="240" w:lineRule="auto" w:before="1"/>
        <w:rPr>
          <w:rFonts w:ascii="宋体" w:hAnsi="宋体" w:cs="宋体" w:eastAsia="宋体" w:hint="default"/>
          <w:sz w:val="17"/>
          <w:szCs w:val="17"/>
        </w:rPr>
      </w:pPr>
    </w:p>
    <w:p>
      <w:pPr>
        <w:pStyle w:val="BodyText"/>
        <w:spacing w:line="296" w:lineRule="exact"/>
        <w:ind w:left="608" w:right="0"/>
        <w:jc w:val="both"/>
      </w:pPr>
      <w:r>
        <w:rPr>
          <w:rFonts w:ascii="Arial" w:hAnsi="Arial" w:cs="Arial" w:eastAsia="Arial" w:hint="default"/>
        </w:rPr>
        <w:t>-   </w:t>
      </w:r>
      <w:r>
        <w:rPr>
          <w:rFonts w:ascii="Arial" w:hAnsi="Arial" w:cs="Arial" w:eastAsia="Arial" w:hint="default"/>
          <w:spacing w:val="41"/>
        </w:rPr>
        <w:t> </w:t>
      </w:r>
      <w:r>
        <w:rPr/>
        <w:t>用户在本集团履约的同时即取得并消耗本集团履约所带来的经济利益；</w:t>
      </w:r>
    </w:p>
    <w:p>
      <w:pPr>
        <w:pStyle w:val="BodyText"/>
        <w:spacing w:line="286" w:lineRule="exact"/>
        <w:ind w:left="608" w:right="0"/>
        <w:jc w:val="both"/>
      </w:pPr>
      <w:r>
        <w:rPr>
          <w:rFonts w:ascii="Arial" w:hAnsi="Arial" w:cs="Arial" w:eastAsia="Arial" w:hint="default"/>
        </w:rPr>
        <w:t>-   </w:t>
      </w:r>
      <w:r>
        <w:rPr>
          <w:rFonts w:ascii="Arial" w:hAnsi="Arial" w:cs="Arial" w:eastAsia="Arial" w:hint="default"/>
          <w:spacing w:val="47"/>
        </w:rPr>
        <w:t> </w:t>
      </w:r>
      <w:r>
        <w:rPr/>
        <w:t>用户能够控制本集团履约过程中在建的商品；</w:t>
      </w:r>
    </w:p>
    <w:p>
      <w:pPr>
        <w:pStyle w:val="BodyText"/>
        <w:tabs>
          <w:tab w:pos="968" w:val="left" w:leader="none"/>
        </w:tabs>
        <w:spacing w:line="288" w:lineRule="exact" w:before="16"/>
        <w:ind w:left="968" w:right="221" w:hanging="360"/>
        <w:jc w:val="left"/>
      </w:pPr>
      <w:r>
        <w:rPr>
          <w:rFonts w:ascii="Arial" w:hAnsi="Arial" w:cs="Arial" w:eastAsia="Arial" w:hint="default"/>
        </w:rPr>
        <w:t>-</w:t>
        <w:tab/>
      </w:r>
      <w:r>
        <w:rPr>
          <w:spacing w:val="-1"/>
        </w:rPr>
        <w:t>本集团履约过程中所产出的商品具有不可替代用途，且本集团在整个合同期间内有权就累计至</w:t>
      </w:r>
      <w:r>
        <w:rPr>
          <w:spacing w:val="-42"/>
        </w:rPr>
        <w:t> </w:t>
      </w:r>
      <w:r>
        <w:rPr>
          <w:spacing w:val="-42"/>
        </w:rPr>
      </w:r>
      <w:r>
        <w:rPr/>
        <w:t>今已完成的履约部分收取款项。</w:t>
      </w:r>
    </w:p>
    <w:p>
      <w:pPr>
        <w:spacing w:line="240" w:lineRule="auto" w:before="3"/>
        <w:rPr>
          <w:rFonts w:ascii="宋体" w:hAnsi="宋体" w:cs="宋体" w:eastAsia="宋体" w:hint="default"/>
          <w:sz w:val="17"/>
          <w:szCs w:val="17"/>
        </w:rPr>
      </w:pPr>
    </w:p>
    <w:p>
      <w:pPr>
        <w:pStyle w:val="BodyText"/>
        <w:spacing w:line="237" w:lineRule="auto"/>
        <w:ind w:left="608" w:right="214"/>
        <w:jc w:val="both"/>
      </w:pPr>
      <w:r>
        <w:rPr>
          <w:spacing w:val="-3"/>
        </w:rPr>
        <w:t>对于在某一时段内履行的履约义务，本集团在该段时间内按照履约进度确认收入。履约进度不能合</w:t>
      </w:r>
      <w:r>
        <w:rPr>
          <w:spacing w:val="-40"/>
        </w:rPr>
        <w:t> </w:t>
      </w:r>
      <w:r>
        <w:rPr>
          <w:spacing w:val="-40"/>
        </w:rPr>
      </w:r>
      <w:r>
        <w:rPr>
          <w:spacing w:val="-3"/>
        </w:rPr>
        <w:t>理确定时，本集团已经发生的成本预计能够得到补偿的，按照已经发生的成本金额确认收入，直到</w:t>
      </w:r>
      <w:r>
        <w:rPr>
          <w:spacing w:val="-41"/>
        </w:rPr>
        <w:t> </w:t>
      </w:r>
      <w:r>
        <w:rPr>
          <w:spacing w:val="-41"/>
        </w:rPr>
      </w:r>
      <w:r>
        <w:rPr/>
        <w:t>履约进度能够合理确定为止。</w:t>
      </w:r>
    </w:p>
    <w:p>
      <w:pPr>
        <w:spacing w:line="240" w:lineRule="auto" w:before="5"/>
        <w:rPr>
          <w:rFonts w:ascii="宋体" w:hAnsi="宋体" w:cs="宋体" w:eastAsia="宋体" w:hint="default"/>
          <w:sz w:val="21"/>
          <w:szCs w:val="21"/>
        </w:rPr>
      </w:pPr>
    </w:p>
    <w:p>
      <w:pPr>
        <w:pStyle w:val="BodyText"/>
        <w:spacing w:line="284" w:lineRule="exact"/>
        <w:ind w:left="608" w:right="0"/>
        <w:jc w:val="left"/>
      </w:pPr>
      <w:r>
        <w:rPr>
          <w:spacing w:val="-3"/>
        </w:rPr>
        <w:t>对于在某一时点履行的履约义务，本集团在用户取得相关商品或服务控制权时点确认收入。在判断</w:t>
      </w:r>
      <w:r>
        <w:rPr>
          <w:spacing w:val="-40"/>
        </w:rPr>
        <w:t> </w:t>
      </w:r>
      <w:r>
        <w:rPr>
          <w:spacing w:val="-40"/>
        </w:rPr>
      </w:r>
      <w:r>
        <w:rPr/>
        <w:t>用户是否已取得商品或服务控制权时，本集团会考虑下列迹象：</w:t>
      </w:r>
    </w:p>
    <w:p>
      <w:pPr>
        <w:spacing w:line="240" w:lineRule="auto" w:before="1"/>
        <w:rPr>
          <w:rFonts w:ascii="宋体" w:hAnsi="宋体" w:cs="宋体" w:eastAsia="宋体" w:hint="default"/>
          <w:sz w:val="17"/>
          <w:szCs w:val="17"/>
        </w:rPr>
      </w:pPr>
    </w:p>
    <w:p>
      <w:pPr>
        <w:pStyle w:val="BodyText"/>
        <w:spacing w:line="296" w:lineRule="exact"/>
        <w:ind w:left="608" w:right="0"/>
        <w:jc w:val="both"/>
      </w:pPr>
      <w:r>
        <w:rPr>
          <w:rFonts w:ascii="Arial" w:hAnsi="Arial" w:cs="Arial" w:eastAsia="Arial" w:hint="default"/>
        </w:rPr>
        <w:t>-   </w:t>
      </w:r>
      <w:r>
        <w:rPr>
          <w:rFonts w:ascii="Arial" w:hAnsi="Arial" w:cs="Arial" w:eastAsia="Arial" w:hint="default"/>
          <w:spacing w:val="46"/>
        </w:rPr>
        <w:t> </w:t>
      </w:r>
      <w:r>
        <w:rPr/>
        <w:t>本集团就该商品或服务享有现时收款权利；</w:t>
      </w:r>
    </w:p>
    <w:p>
      <w:pPr>
        <w:pStyle w:val="BodyText"/>
        <w:spacing w:line="286" w:lineRule="exact"/>
        <w:ind w:left="608" w:right="0"/>
        <w:jc w:val="both"/>
      </w:pPr>
      <w:r>
        <w:rPr>
          <w:rFonts w:ascii="Arial" w:hAnsi="Arial" w:cs="Arial" w:eastAsia="Arial" w:hint="default"/>
        </w:rPr>
        <w:t>-   </w:t>
      </w:r>
      <w:r>
        <w:rPr>
          <w:rFonts w:ascii="Arial" w:hAnsi="Arial" w:cs="Arial" w:eastAsia="Arial" w:hint="default"/>
          <w:spacing w:val="44"/>
        </w:rPr>
        <w:t> </w:t>
      </w:r>
      <w:r>
        <w:rPr/>
        <w:t>本集团已将该商品的实物转移给用户；</w:t>
      </w:r>
    </w:p>
    <w:p>
      <w:pPr>
        <w:pStyle w:val="BodyText"/>
        <w:spacing w:line="286" w:lineRule="exact"/>
        <w:ind w:left="608" w:right="0"/>
        <w:jc w:val="both"/>
      </w:pPr>
      <w:r>
        <w:rPr>
          <w:rFonts w:ascii="Arial" w:hAnsi="Arial" w:cs="Arial" w:eastAsia="Arial" w:hint="default"/>
        </w:rPr>
        <w:t>-   </w:t>
      </w:r>
      <w:r>
        <w:rPr>
          <w:rFonts w:ascii="Arial" w:hAnsi="Arial" w:cs="Arial" w:eastAsia="Arial" w:hint="default"/>
          <w:spacing w:val="42"/>
        </w:rPr>
        <w:t> </w:t>
      </w:r>
      <w:r>
        <w:rPr/>
        <w:t>本集团已将该商品的法定所有权或所有权上的主要风险和报酬转移给用户；</w:t>
      </w:r>
    </w:p>
    <w:p>
      <w:pPr>
        <w:pStyle w:val="BodyText"/>
        <w:spacing w:line="296" w:lineRule="exact"/>
        <w:ind w:left="608" w:right="0"/>
        <w:jc w:val="both"/>
      </w:pPr>
      <w:r>
        <w:rPr>
          <w:rFonts w:ascii="Arial" w:hAnsi="Arial" w:cs="Arial" w:eastAsia="Arial" w:hint="default"/>
        </w:rPr>
        <w:t>-   </w:t>
      </w:r>
      <w:r>
        <w:rPr>
          <w:rFonts w:ascii="Arial" w:hAnsi="Arial" w:cs="Arial" w:eastAsia="Arial" w:hint="default"/>
          <w:spacing w:val="46"/>
        </w:rPr>
        <w:t> </w:t>
      </w:r>
      <w:r>
        <w:rPr/>
        <w:t>用户已接受该商品或服务等。</w:t>
      </w:r>
    </w:p>
    <w:p>
      <w:pPr>
        <w:spacing w:after="0" w:line="296" w:lineRule="exact"/>
        <w:jc w:val="both"/>
        <w:sectPr>
          <w:headerReference w:type="default" r:id="rId124"/>
          <w:pgSz w:w="11910" w:h="16840"/>
          <w:pgMar w:header="842" w:footer="502" w:top="2700" w:bottom="700" w:left="860" w:right="820"/>
        </w:sectPr>
      </w:pPr>
    </w:p>
    <w:p>
      <w:pPr>
        <w:spacing w:line="240" w:lineRule="auto" w:before="7"/>
        <w:rPr>
          <w:rFonts w:ascii="宋体" w:hAnsi="宋体" w:cs="宋体" w:eastAsia="宋体" w:hint="default"/>
          <w:sz w:val="16"/>
          <w:szCs w:val="16"/>
        </w:rPr>
      </w:pPr>
    </w:p>
    <w:p>
      <w:pPr>
        <w:pStyle w:val="BodyText"/>
        <w:spacing w:line="240" w:lineRule="auto" w:before="32"/>
        <w:ind w:left="133" w:right="0"/>
        <w:jc w:val="left"/>
      </w:pPr>
      <w:r>
        <w:rPr>
          <w:rFonts w:ascii="Arial" w:hAnsi="Arial" w:cs="Arial" w:eastAsia="Arial" w:hint="default"/>
        </w:rPr>
        <w:t>23</w:t>
      </w:r>
      <w:r>
        <w:rPr/>
        <w:t>、收入确认（续）</w:t>
      </w:r>
    </w:p>
    <w:p>
      <w:pPr>
        <w:spacing w:line="240" w:lineRule="auto" w:before="3"/>
        <w:rPr>
          <w:rFonts w:ascii="宋体" w:hAnsi="宋体" w:cs="宋体" w:eastAsia="宋体" w:hint="default"/>
          <w:sz w:val="18"/>
          <w:szCs w:val="18"/>
        </w:rPr>
      </w:pPr>
    </w:p>
    <w:p>
      <w:pPr>
        <w:pStyle w:val="BodyText"/>
        <w:spacing w:line="235" w:lineRule="auto"/>
        <w:ind w:left="608" w:right="0"/>
        <w:jc w:val="left"/>
      </w:pPr>
      <w:r>
        <w:rPr>
          <w:spacing w:val="-3"/>
        </w:rPr>
        <w:t>本集团已向用户转让商品或服务而有权收取对价的权利（且该权利取决于时间流逝之外的其他因素）</w:t>
      </w:r>
      <w:r>
        <w:rPr>
          <w:spacing w:val="-36"/>
        </w:rPr>
        <w:t> </w:t>
      </w:r>
      <w:r>
        <w:rPr>
          <w:spacing w:val="-36"/>
        </w:rPr>
      </w:r>
      <w:r>
        <w:rPr/>
        <w:t>作为合同资产列示，合同资产以预期信用损失为基础计提减值（参见附注三</w:t>
      </w:r>
      <w:r>
        <w:rPr>
          <w:rFonts w:ascii="Arial" w:hAnsi="Arial" w:cs="Arial" w:eastAsia="Arial" w:hint="default"/>
        </w:rPr>
        <w:t>(8)(a)(3))</w:t>
      </w:r>
      <w:r>
        <w:rPr/>
        <w:t>。本集团拥有</w:t>
      </w:r>
      <w:r>
        <w:rPr>
          <w:w w:val="100"/>
        </w:rPr>
        <w:t> </w:t>
      </w:r>
      <w:r>
        <w:rPr>
          <w:spacing w:val="-3"/>
        </w:rPr>
        <w:t>的、无条件（仅取决于时间流逝）向用户收取对价的权利作为应收款项列示。本集团已收或应收用</w:t>
      </w:r>
      <w:r>
        <w:rPr>
          <w:spacing w:val="-42"/>
        </w:rPr>
        <w:t> </w:t>
      </w:r>
      <w:r>
        <w:rPr>
          <w:spacing w:val="-42"/>
        </w:rPr>
      </w:r>
      <w:r>
        <w:rPr>
          <w:spacing w:val="-3"/>
        </w:rPr>
        <w:t>户对价而应向用户转让商品或服务的义务作为合同负债列示。同一合同下的合同资产和合同负债以</w:t>
      </w:r>
      <w:r>
        <w:rPr>
          <w:spacing w:val="-40"/>
        </w:rPr>
        <w:t> </w:t>
      </w:r>
      <w:r>
        <w:rPr>
          <w:spacing w:val="-40"/>
        </w:rPr>
      </w:r>
      <w:r>
        <w:rPr/>
        <w:t>净额列示，而不相关合同的合同资产和负债分别列示。</w:t>
      </w:r>
    </w:p>
    <w:p>
      <w:pPr>
        <w:spacing w:line="240" w:lineRule="auto" w:before="4"/>
        <w:rPr>
          <w:rFonts w:ascii="宋体" w:hAnsi="宋体" w:cs="宋体" w:eastAsia="宋体" w:hint="default"/>
          <w:sz w:val="19"/>
          <w:szCs w:val="19"/>
        </w:rPr>
      </w:pPr>
    </w:p>
    <w:p>
      <w:pPr>
        <w:pStyle w:val="BodyText"/>
        <w:spacing w:line="237" w:lineRule="auto"/>
        <w:ind w:left="618" w:right="267"/>
        <w:jc w:val="both"/>
      </w:pPr>
      <w:r>
        <w:rPr>
          <w:spacing w:val="-1"/>
        </w:rPr>
        <w:t>本集团对于提供的电信服务通常按照履约进度确认收入，而销售终端及其他电信设备被视为单项履</w:t>
      </w:r>
      <w:r>
        <w:rPr>
          <w:spacing w:val="-68"/>
        </w:rPr>
        <w:t> </w:t>
      </w:r>
      <w:r>
        <w:rPr>
          <w:spacing w:val="-68"/>
        </w:rPr>
      </w:r>
      <w:r>
        <w:rPr>
          <w:spacing w:val="-1"/>
        </w:rPr>
        <w:t>约义务时，本集团在用户取得相关商品的控制权时点确认收入。与本集团取得收入的主要活动相关</w:t>
      </w:r>
      <w:r>
        <w:rPr>
          <w:spacing w:val="-68"/>
        </w:rPr>
        <w:t> </w:t>
      </w:r>
      <w:r>
        <w:rPr>
          <w:spacing w:val="-68"/>
        </w:rPr>
      </w:r>
      <w:r>
        <w:rPr/>
        <w:t>的具体会计政策描述如下：</w:t>
      </w:r>
    </w:p>
    <w:p>
      <w:pPr>
        <w:spacing w:line="240" w:lineRule="auto" w:before="1"/>
        <w:rPr>
          <w:rFonts w:ascii="宋体" w:hAnsi="宋体" w:cs="宋体" w:eastAsia="宋体" w:hint="default"/>
          <w:sz w:val="19"/>
          <w:szCs w:val="19"/>
        </w:rPr>
      </w:pPr>
    </w:p>
    <w:p>
      <w:pPr>
        <w:pStyle w:val="BodyText"/>
        <w:spacing w:line="240" w:lineRule="auto"/>
        <w:ind w:left="172" w:right="0"/>
        <w:jc w:val="left"/>
      </w:pPr>
      <w:bookmarkStart w:name="(a) 语音通话费和月租费在提供服务的过程中确认；" w:id="14"/>
      <w:bookmarkEnd w:id="14"/>
      <w:r>
        <w:rPr/>
      </w:r>
      <w:r>
        <w:rPr>
          <w:rFonts w:ascii="Arial" w:hAnsi="Arial" w:cs="Arial" w:eastAsia="Arial" w:hint="default"/>
        </w:rPr>
        <w:t>(a) </w:t>
      </w:r>
      <w:r>
        <w:rPr>
          <w:rFonts w:ascii="Arial" w:hAnsi="Arial" w:cs="Arial" w:eastAsia="Arial" w:hint="default"/>
          <w:spacing w:val="60"/>
        </w:rPr>
        <w:t> </w:t>
      </w:r>
      <w:r>
        <w:rPr/>
        <w:t>语音通话费和月租费在提供服务的过程中确认；</w:t>
      </w:r>
    </w:p>
    <w:p>
      <w:pPr>
        <w:spacing w:line="240" w:lineRule="auto" w:before="12"/>
        <w:rPr>
          <w:rFonts w:ascii="宋体" w:hAnsi="宋体" w:cs="宋体" w:eastAsia="宋体" w:hint="default"/>
          <w:sz w:val="19"/>
          <w:szCs w:val="19"/>
        </w:rPr>
      </w:pPr>
    </w:p>
    <w:p>
      <w:pPr>
        <w:pStyle w:val="BodyText"/>
        <w:spacing w:line="288" w:lineRule="exact"/>
        <w:ind w:left="627" w:right="330" w:hanging="456"/>
        <w:jc w:val="both"/>
      </w:pPr>
      <w:bookmarkStart w:name="(b) 增值服务收入是指向用户提供如短信、炫铃、个性化彩铃、来电显示以及秘书服务" w:id="15"/>
      <w:bookmarkEnd w:id="15"/>
      <w:r>
        <w:rPr/>
      </w:r>
      <w:r>
        <w:rPr>
          <w:rFonts w:ascii="Arial" w:hAnsi="Arial" w:cs="Arial" w:eastAsia="Arial" w:hint="default"/>
        </w:rPr>
        <w:t>(b)</w:t>
      </w:r>
      <w:r>
        <w:rPr>
          <w:rFonts w:ascii="Arial" w:hAnsi="Arial" w:cs="Arial" w:eastAsia="Arial" w:hint="default"/>
          <w:spacing w:val="53"/>
        </w:rPr>
        <w:t> </w:t>
      </w:r>
      <w:r>
        <w:rPr>
          <w:spacing w:val="-3"/>
        </w:rPr>
        <w:t>增值服务收入是指向用户提供如短信、炫铃、个性化彩铃、来电显示以及秘书服务等，并在服务提</w:t>
      </w:r>
      <w:r>
        <w:rPr>
          <w:spacing w:val="-108"/>
        </w:rPr>
        <w:t> </w:t>
      </w:r>
      <w:r>
        <w:rPr>
          <w:spacing w:val="-108"/>
        </w:rPr>
      </w:r>
      <w:r>
        <w:rPr/>
        <w:t>供的过程中确认；</w:t>
      </w:r>
    </w:p>
    <w:p>
      <w:pPr>
        <w:spacing w:line="240" w:lineRule="auto" w:before="0"/>
        <w:rPr>
          <w:rFonts w:ascii="宋体" w:hAnsi="宋体" w:cs="宋体" w:eastAsia="宋体" w:hint="default"/>
          <w:sz w:val="17"/>
          <w:szCs w:val="17"/>
        </w:rPr>
      </w:pPr>
    </w:p>
    <w:p>
      <w:pPr>
        <w:pStyle w:val="BodyText"/>
        <w:spacing w:line="240" w:lineRule="auto"/>
        <w:ind w:left="172" w:right="0"/>
        <w:jc w:val="left"/>
      </w:pPr>
      <w:bookmarkStart w:name="(c) 提供宽带及移动数据服务的收入在提供服务的过程中予以确认；" w:id="16"/>
      <w:bookmarkEnd w:id="16"/>
      <w:r>
        <w:rPr/>
      </w:r>
      <w:r>
        <w:rPr>
          <w:rFonts w:ascii="Arial" w:hAnsi="Arial" w:cs="Arial" w:eastAsia="Arial" w:hint="default"/>
        </w:rPr>
        <w:t>(c)  </w:t>
      </w:r>
      <w:r>
        <w:rPr>
          <w:rFonts w:ascii="Arial" w:hAnsi="Arial" w:cs="Arial" w:eastAsia="Arial" w:hint="default"/>
          <w:spacing w:val="12"/>
        </w:rPr>
        <w:t> </w:t>
      </w:r>
      <w:r>
        <w:rPr/>
        <w:t>提供宽带及移动数据服务的收入在提供服务的过程中予以确认；</w:t>
      </w:r>
    </w:p>
    <w:p>
      <w:pPr>
        <w:spacing w:line="240" w:lineRule="auto" w:before="12"/>
        <w:rPr>
          <w:rFonts w:ascii="宋体" w:hAnsi="宋体" w:cs="宋体" w:eastAsia="宋体" w:hint="default"/>
          <w:sz w:val="19"/>
          <w:szCs w:val="19"/>
        </w:rPr>
      </w:pPr>
    </w:p>
    <w:p>
      <w:pPr>
        <w:pStyle w:val="BodyText"/>
        <w:spacing w:line="288" w:lineRule="exact"/>
        <w:ind w:left="627" w:right="335" w:hanging="456"/>
        <w:jc w:val="both"/>
      </w:pPr>
      <w:bookmarkStart w:name="(d) 数据及其他互联网应用服务指互联网数据中心、云计算、大数据、物联网、信息与" w:id="17"/>
      <w:bookmarkEnd w:id="17"/>
      <w:r>
        <w:rPr/>
      </w:r>
      <w:r>
        <w:rPr>
          <w:rFonts w:ascii="Arial" w:hAnsi="Arial" w:cs="Arial" w:eastAsia="Arial" w:hint="default"/>
        </w:rPr>
        <w:t>(d)</w:t>
      </w:r>
      <w:r>
        <w:rPr>
          <w:rFonts w:ascii="Arial" w:hAnsi="Arial" w:cs="Arial" w:eastAsia="Arial" w:hint="default"/>
          <w:spacing w:val="49"/>
        </w:rPr>
        <w:t> </w:t>
      </w:r>
      <w:r>
        <w:rPr>
          <w:spacing w:val="-3"/>
        </w:rPr>
        <w:t>数据及其他互联网应用服务指互联网数据中心、云计算、大数据、物联网、信息与通信技术等相关</w:t>
      </w:r>
      <w:r>
        <w:rPr>
          <w:spacing w:val="-108"/>
        </w:rPr>
        <w:t> </w:t>
      </w:r>
      <w:r>
        <w:rPr>
          <w:spacing w:val="-108"/>
        </w:rPr>
      </w:r>
      <w:r>
        <w:rPr/>
        <w:t>服务，其收入在提供服务的过程中予以确认；</w:t>
      </w:r>
    </w:p>
    <w:p>
      <w:pPr>
        <w:spacing w:line="240" w:lineRule="auto" w:before="4"/>
        <w:rPr>
          <w:rFonts w:ascii="宋体" w:hAnsi="宋体" w:cs="宋体" w:eastAsia="宋体" w:hint="default"/>
          <w:sz w:val="19"/>
          <w:szCs w:val="19"/>
        </w:rPr>
      </w:pPr>
    </w:p>
    <w:p>
      <w:pPr>
        <w:pStyle w:val="BodyText"/>
        <w:spacing w:line="284" w:lineRule="exact"/>
        <w:ind w:left="627" w:right="0" w:hanging="456"/>
        <w:jc w:val="left"/>
      </w:pPr>
      <w:bookmarkStart w:name="(e) 网间结算收入指本集团与国内外其他电信运营商网络间通信而获得的收入，于发生" w:id="18"/>
      <w:bookmarkEnd w:id="18"/>
      <w:r>
        <w:rPr/>
      </w:r>
      <w:r>
        <w:rPr>
          <w:rFonts w:ascii="Arial" w:hAnsi="Arial" w:cs="Arial" w:eastAsia="Arial" w:hint="default"/>
        </w:rPr>
        <w:t>(e)</w:t>
      </w:r>
      <w:r>
        <w:rPr>
          <w:rFonts w:ascii="Arial" w:hAnsi="Arial" w:cs="Arial" w:eastAsia="Arial" w:hint="default"/>
          <w:spacing w:val="31"/>
        </w:rPr>
        <w:t> </w:t>
      </w:r>
      <w:r>
        <w:rPr/>
        <w:t>网间结算收入指本集团与国内外其他电信运营商网络间通信而获得的收入，于发生的过程中确认；</w:t>
      </w:r>
      <w:r>
        <w:rPr>
          <w:w w:val="100"/>
        </w:rPr>
        <w:t> </w:t>
      </w:r>
      <w:r>
        <w:rPr/>
        <w:t>网间结算支出指本集团与国内外其他电信运营商网络间通信所产生的支出，于发生时确认；</w:t>
      </w:r>
    </w:p>
    <w:p>
      <w:pPr>
        <w:spacing w:line="240" w:lineRule="auto" w:before="2"/>
        <w:rPr>
          <w:rFonts w:ascii="宋体" w:hAnsi="宋体" w:cs="宋体" w:eastAsia="宋体" w:hint="default"/>
          <w:sz w:val="19"/>
          <w:szCs w:val="19"/>
        </w:rPr>
      </w:pPr>
    </w:p>
    <w:p>
      <w:pPr>
        <w:pStyle w:val="BodyText"/>
        <w:spacing w:line="288" w:lineRule="exact"/>
        <w:ind w:left="627" w:right="330" w:hanging="457"/>
        <w:jc w:val="both"/>
      </w:pPr>
      <w:bookmarkStart w:name="(f) 销售通信产品收入指销售手机、通信设备等通信产品而产生的收入，在最终用户已" w:id="19"/>
      <w:bookmarkEnd w:id="19"/>
      <w:r>
        <w:rPr/>
      </w:r>
      <w:r>
        <w:rPr>
          <w:rFonts w:ascii="Arial" w:hAnsi="Arial" w:cs="Arial" w:eastAsia="Arial" w:hint="default"/>
        </w:rPr>
        <w:t>(f)</w:t>
      </w:r>
      <w:r>
        <w:rPr>
          <w:rFonts w:ascii="Arial" w:hAnsi="Arial" w:cs="Arial" w:eastAsia="Arial" w:hint="default"/>
          <w:spacing w:val="55"/>
        </w:rPr>
        <w:t> </w:t>
      </w:r>
      <w:r>
        <w:rPr>
          <w:spacing w:val="-3"/>
        </w:rPr>
        <w:t>销售通信产品收入指销售手机、通信设备等通信产品而产生的收入，在最终用户已接受该通信产品</w:t>
      </w:r>
      <w:r>
        <w:rPr>
          <w:spacing w:val="-108"/>
        </w:rPr>
        <w:t> </w:t>
      </w:r>
      <w:r>
        <w:rPr>
          <w:spacing w:val="-108"/>
        </w:rPr>
      </w:r>
      <w:r>
        <w:rPr/>
        <w:t>并取得该通信产品控制权时确认；</w:t>
      </w:r>
    </w:p>
    <w:p>
      <w:pPr>
        <w:spacing w:line="240" w:lineRule="auto" w:before="0"/>
        <w:rPr>
          <w:rFonts w:ascii="宋体" w:hAnsi="宋体" w:cs="宋体" w:eastAsia="宋体" w:hint="default"/>
          <w:sz w:val="17"/>
          <w:szCs w:val="17"/>
        </w:rPr>
      </w:pPr>
    </w:p>
    <w:p>
      <w:pPr>
        <w:pStyle w:val="BodyText"/>
        <w:spacing w:line="240" w:lineRule="auto"/>
        <w:ind w:left="172" w:right="0"/>
        <w:jc w:val="left"/>
      </w:pPr>
      <w:bookmarkStart w:name="(g) 网元及电路的服务收入在服务期限内确认；" w:id="20"/>
      <w:bookmarkEnd w:id="20"/>
      <w:r>
        <w:rPr/>
      </w:r>
      <w:r>
        <w:rPr>
          <w:rFonts w:ascii="Arial" w:hAnsi="Arial" w:cs="Arial" w:eastAsia="Arial" w:hint="default"/>
        </w:rPr>
        <w:t>(g)  </w:t>
      </w:r>
      <w:r>
        <w:rPr>
          <w:rFonts w:ascii="Arial" w:hAnsi="Arial" w:cs="Arial" w:eastAsia="Arial" w:hint="default"/>
          <w:spacing w:val="3"/>
        </w:rPr>
        <w:t> </w:t>
      </w:r>
      <w:r>
        <w:rPr/>
        <w:t>网元及电路的服务收入在服务期限内确认；</w:t>
      </w:r>
    </w:p>
    <w:p>
      <w:pPr>
        <w:spacing w:line="240" w:lineRule="auto" w:before="6"/>
        <w:rPr>
          <w:rFonts w:ascii="宋体" w:hAnsi="宋体" w:cs="宋体" w:eastAsia="宋体" w:hint="default"/>
          <w:sz w:val="18"/>
          <w:szCs w:val="18"/>
        </w:rPr>
      </w:pPr>
    </w:p>
    <w:p>
      <w:pPr>
        <w:pStyle w:val="BodyText"/>
        <w:spacing w:line="232" w:lineRule="auto"/>
        <w:ind w:left="627" w:right="330" w:hanging="456"/>
        <w:jc w:val="both"/>
      </w:pPr>
      <w:bookmarkStart w:name="(h) 本集团向用户提供了积分奖励计划。该积分奖励计划根据用户的消费额、忠诚度及" w:id="21"/>
      <w:bookmarkEnd w:id="21"/>
      <w:r>
        <w:rPr/>
      </w:r>
      <w:r>
        <w:rPr>
          <w:rFonts w:ascii="Arial" w:hAnsi="Arial" w:cs="Arial" w:eastAsia="Arial" w:hint="default"/>
        </w:rPr>
        <w:t>(h)</w:t>
      </w:r>
      <w:r>
        <w:rPr>
          <w:rFonts w:ascii="Arial" w:hAnsi="Arial" w:cs="Arial" w:eastAsia="Arial" w:hint="default"/>
          <w:spacing w:val="55"/>
        </w:rPr>
        <w:t> </w:t>
      </w:r>
      <w:r>
        <w:rPr>
          <w:spacing w:val="-3"/>
        </w:rPr>
        <w:t>本集团向用户提供了积分奖励计划。该积分奖励计划根据用户的消费额、忠诚度及缴费记录对其进</w:t>
      </w:r>
      <w:r>
        <w:rPr>
          <w:spacing w:val="-108"/>
        </w:rPr>
        <w:t> </w:t>
      </w:r>
      <w:r>
        <w:rPr>
          <w:spacing w:val="-108"/>
        </w:rPr>
      </w:r>
      <w:r>
        <w:rPr>
          <w:spacing w:val="-3"/>
        </w:rPr>
        <w:t>行奖励。根据奖励积分计划，本集团将部分交易价格分摊至用户在未来购买本集团商品或服务时可</w:t>
      </w:r>
      <w:r>
        <w:rPr>
          <w:w w:val="100"/>
        </w:rPr>
        <w:t> </w:t>
      </w:r>
      <w:r>
        <w:rPr>
          <w:spacing w:val="-3"/>
        </w:rPr>
        <w:t>兑换抵扣的奖励积分。分摊比例按照奖励积分和相关商品或服务单独售价的相对比例确定。本集团</w:t>
      </w:r>
      <w:r>
        <w:rPr>
          <w:w w:val="100"/>
        </w:rPr>
        <w:t> </w:t>
      </w:r>
      <w:r>
        <w:rPr/>
        <w:t>将分摊至奖励积分的金额予以递延并在积分兑换或到期时确认为收入；</w:t>
      </w:r>
    </w:p>
    <w:p>
      <w:pPr>
        <w:spacing w:line="240" w:lineRule="auto" w:before="1"/>
        <w:rPr>
          <w:rFonts w:ascii="宋体" w:hAnsi="宋体" w:cs="宋体" w:eastAsia="宋体" w:hint="default"/>
          <w:sz w:val="20"/>
          <w:szCs w:val="20"/>
        </w:rPr>
      </w:pPr>
    </w:p>
    <w:p>
      <w:pPr>
        <w:pStyle w:val="BodyText"/>
        <w:spacing w:line="232" w:lineRule="auto"/>
        <w:ind w:left="627" w:right="330" w:hanging="456"/>
        <w:jc w:val="both"/>
      </w:pPr>
      <w:bookmarkStart w:name="(i) 本集团向用户提供捆绑通信终端及通信服务的优惠套餐。该优惠套餐的合同总金额" w:id="22"/>
      <w:bookmarkEnd w:id="22"/>
      <w:r>
        <w:rPr/>
      </w:r>
      <w:r>
        <w:rPr>
          <w:rFonts w:ascii="Arial" w:hAnsi="Arial" w:cs="Arial" w:eastAsia="Arial" w:hint="default"/>
        </w:rPr>
        <w:t>(i)</w:t>
      </w:r>
      <w:r>
        <w:rPr>
          <w:rFonts w:ascii="Arial" w:hAnsi="Arial" w:cs="Arial" w:eastAsia="Arial" w:hint="default"/>
          <w:spacing w:val="9"/>
        </w:rPr>
        <w:t> </w:t>
      </w:r>
      <w:r>
        <w:rPr>
          <w:spacing w:val="-3"/>
        </w:rPr>
        <w:t>本集团向用户提供捆绑通信终端及通信服务的优惠套餐。该优惠套餐的合同总金额按照通信终端和</w:t>
      </w:r>
      <w:r>
        <w:rPr>
          <w:w w:val="100"/>
        </w:rPr>
        <w:t> </w:t>
      </w:r>
      <w:r>
        <w:rPr>
          <w:spacing w:val="-3"/>
        </w:rPr>
        <w:t>通信服务的单独售价在两者之间进行分配。通信终端销售收入于最终用户已接受该通信终端并取得</w:t>
      </w:r>
      <w:r>
        <w:rPr>
          <w:w w:val="100"/>
        </w:rPr>
        <w:t> </w:t>
      </w:r>
      <w:r>
        <w:rPr>
          <w:spacing w:val="-3"/>
        </w:rPr>
        <w:t>该通信终端控制权时予以确认。通信服务收入按用户的移动通信服务实际用量予以确认。销售通信</w:t>
      </w:r>
      <w:r>
        <w:rPr>
          <w:w w:val="100"/>
        </w:rPr>
        <w:t> </w:t>
      </w:r>
      <w:r>
        <w:rPr/>
        <w:t>终端的成本于通信终端销售收入确认时于利润表内立刻确认为营业成本。</w:t>
      </w:r>
    </w:p>
    <w:p>
      <w:pPr>
        <w:spacing w:after="0" w:line="232" w:lineRule="auto"/>
        <w:jc w:val="both"/>
        <w:sectPr>
          <w:headerReference w:type="default" r:id="rId125"/>
          <w:pgSz w:w="11910" w:h="16840"/>
          <w:pgMar w:header="842" w:footer="502" w:top="2700" w:bottom="700" w:left="860" w:right="700"/>
        </w:sectPr>
      </w:pPr>
    </w:p>
    <w:p>
      <w:pPr>
        <w:spacing w:line="240" w:lineRule="auto" w:before="7"/>
        <w:rPr>
          <w:rFonts w:ascii="宋体" w:hAnsi="宋体" w:cs="宋体" w:eastAsia="宋体" w:hint="default"/>
          <w:sz w:val="16"/>
          <w:szCs w:val="16"/>
        </w:rPr>
      </w:pPr>
    </w:p>
    <w:p>
      <w:pPr>
        <w:pStyle w:val="BodyText"/>
        <w:spacing w:line="240" w:lineRule="auto" w:before="32"/>
        <w:ind w:left="133" w:right="6028"/>
        <w:jc w:val="left"/>
      </w:pPr>
      <w:r>
        <w:rPr>
          <w:rFonts w:ascii="Arial" w:hAnsi="Arial" w:cs="Arial" w:eastAsia="Arial" w:hint="default"/>
        </w:rPr>
        <w:t>24</w:t>
      </w:r>
      <w:r>
        <w:rPr/>
        <w:t>、利息收入</w:t>
      </w:r>
    </w:p>
    <w:p>
      <w:pPr>
        <w:spacing w:line="240" w:lineRule="auto" w:before="1"/>
        <w:rPr>
          <w:rFonts w:ascii="宋体" w:hAnsi="宋体" w:cs="宋体" w:eastAsia="宋体" w:hint="default"/>
          <w:sz w:val="18"/>
          <w:szCs w:val="18"/>
        </w:rPr>
      </w:pPr>
    </w:p>
    <w:p>
      <w:pPr>
        <w:pStyle w:val="BodyText"/>
        <w:spacing w:line="237" w:lineRule="auto"/>
        <w:ind w:left="608" w:right="114"/>
        <w:jc w:val="both"/>
      </w:pPr>
      <w:r>
        <w:rPr>
          <w:spacing w:val="-3"/>
        </w:rPr>
        <w:t>存放于银行或其他金融机构的存款利息收入按借出货币资金的时间，采用实际利率计算确定；对于</w:t>
      </w:r>
      <w:r>
        <w:rPr>
          <w:spacing w:val="-40"/>
        </w:rPr>
        <w:t> </w:t>
      </w:r>
      <w:r>
        <w:rPr>
          <w:spacing w:val="-40"/>
        </w:rPr>
      </w:r>
      <w:r>
        <w:rPr>
          <w:spacing w:val="-3"/>
        </w:rPr>
        <w:t>以摊余成本计量且未发生信用损失的金融资产，实际利率适用于该资产的账面价值。对于发生信用</w:t>
      </w:r>
      <w:r>
        <w:rPr>
          <w:spacing w:val="-40"/>
        </w:rPr>
        <w:t> </w:t>
      </w:r>
      <w:r>
        <w:rPr>
          <w:spacing w:val="-40"/>
        </w:rPr>
      </w:r>
      <w:r>
        <w:rPr/>
        <w:t>减值的金融资产，实际利率适用于资产的摊余成本。</w:t>
      </w:r>
    </w:p>
    <w:p>
      <w:pPr>
        <w:spacing w:line="240" w:lineRule="auto" w:before="1"/>
        <w:rPr>
          <w:rFonts w:ascii="宋体" w:hAnsi="宋体" w:cs="宋体" w:eastAsia="宋体" w:hint="default"/>
          <w:sz w:val="19"/>
          <w:szCs w:val="19"/>
        </w:rPr>
      </w:pPr>
    </w:p>
    <w:p>
      <w:pPr>
        <w:pStyle w:val="BodyText"/>
        <w:spacing w:line="240" w:lineRule="auto"/>
        <w:ind w:left="133" w:right="6028"/>
        <w:jc w:val="left"/>
      </w:pPr>
      <w:r>
        <w:rPr>
          <w:rFonts w:ascii="Arial" w:hAnsi="Arial" w:cs="Arial" w:eastAsia="Arial" w:hint="default"/>
        </w:rPr>
        <w:t>25</w:t>
      </w:r>
      <w:r>
        <w:rPr/>
        <w:t>、合同成本</w:t>
      </w:r>
    </w:p>
    <w:p>
      <w:pPr>
        <w:spacing w:line="240" w:lineRule="auto" w:before="3"/>
        <w:rPr>
          <w:rFonts w:ascii="宋体" w:hAnsi="宋体" w:cs="宋体" w:eastAsia="宋体" w:hint="default"/>
          <w:sz w:val="18"/>
          <w:szCs w:val="18"/>
        </w:rPr>
      </w:pPr>
    </w:p>
    <w:p>
      <w:pPr>
        <w:pStyle w:val="BodyText"/>
        <w:spacing w:line="240" w:lineRule="auto"/>
        <w:ind w:left="608" w:right="0"/>
        <w:jc w:val="both"/>
      </w:pPr>
      <w:r>
        <w:rPr/>
        <w:t>合同成本包括为取得合同发生的增量成本及合同履约成本。</w:t>
      </w:r>
    </w:p>
    <w:p>
      <w:pPr>
        <w:spacing w:line="240" w:lineRule="auto" w:before="3"/>
        <w:rPr>
          <w:rFonts w:ascii="宋体" w:hAnsi="宋体" w:cs="宋体" w:eastAsia="宋体" w:hint="default"/>
          <w:sz w:val="19"/>
          <w:szCs w:val="19"/>
        </w:rPr>
      </w:pPr>
    </w:p>
    <w:p>
      <w:pPr>
        <w:pStyle w:val="BodyText"/>
        <w:spacing w:line="237" w:lineRule="auto"/>
        <w:ind w:left="608" w:right="110"/>
        <w:jc w:val="both"/>
      </w:pPr>
      <w:r>
        <w:rPr>
          <w:spacing w:val="-3"/>
        </w:rPr>
        <w:t>为取得合同发生的增量成本（“合同取得成本”）是指本集团不取得合同就不会发生的成本（如销</w:t>
      </w:r>
      <w:r>
        <w:rPr>
          <w:spacing w:val="-37"/>
        </w:rPr>
        <w:t> </w:t>
      </w:r>
      <w:r>
        <w:rPr>
          <w:spacing w:val="-37"/>
        </w:rPr>
      </w:r>
      <w:r>
        <w:rPr>
          <w:spacing w:val="-3"/>
        </w:rPr>
        <w:t>售佣金等）。该成本预期能够收回的，本集团将其作为合同取得成本确认为一项资产。本集团为取</w:t>
      </w:r>
      <w:r>
        <w:rPr>
          <w:spacing w:val="-43"/>
        </w:rPr>
        <w:t> </w:t>
      </w:r>
      <w:r>
        <w:rPr>
          <w:spacing w:val="-43"/>
        </w:rPr>
      </w:r>
      <w:r>
        <w:rPr/>
        <w:t>得合同发生的、除预期能够收回的增量成本之外的其他支出于发生时计入当期损益。</w:t>
      </w:r>
    </w:p>
    <w:p>
      <w:pPr>
        <w:spacing w:line="240" w:lineRule="auto" w:before="5"/>
        <w:rPr>
          <w:rFonts w:ascii="宋体" w:hAnsi="宋体" w:cs="宋体" w:eastAsia="宋体" w:hint="default"/>
          <w:sz w:val="21"/>
          <w:szCs w:val="21"/>
        </w:rPr>
      </w:pPr>
    </w:p>
    <w:p>
      <w:pPr>
        <w:pStyle w:val="BodyText"/>
        <w:spacing w:line="284" w:lineRule="exact"/>
        <w:ind w:left="608" w:right="115"/>
        <w:jc w:val="both"/>
      </w:pPr>
      <w:r>
        <w:rPr>
          <w:spacing w:val="-3"/>
        </w:rPr>
        <w:t>为履行合同发生的成本，不属于存货等其他企业会计准则规范范围且同时满足下列条件的，本集团</w:t>
      </w:r>
      <w:r>
        <w:rPr>
          <w:spacing w:val="-40"/>
        </w:rPr>
        <w:t> </w:t>
      </w:r>
      <w:r>
        <w:rPr>
          <w:spacing w:val="-40"/>
        </w:rPr>
      </w:r>
      <w:r>
        <w:rPr/>
        <w:t>将其作为合同履约成本确认为一项资产：</w:t>
      </w:r>
    </w:p>
    <w:p>
      <w:pPr>
        <w:spacing w:line="240" w:lineRule="auto" w:before="2"/>
        <w:rPr>
          <w:rFonts w:ascii="宋体" w:hAnsi="宋体" w:cs="宋体" w:eastAsia="宋体" w:hint="default"/>
          <w:sz w:val="19"/>
          <w:szCs w:val="19"/>
        </w:rPr>
      </w:pPr>
    </w:p>
    <w:p>
      <w:pPr>
        <w:pStyle w:val="BodyText"/>
        <w:tabs>
          <w:tab w:pos="1083" w:val="left" w:leader="none"/>
        </w:tabs>
        <w:spacing w:line="288" w:lineRule="exact"/>
        <w:ind w:left="1083" w:right="124" w:hanging="461"/>
        <w:jc w:val="left"/>
      </w:pPr>
      <w:r>
        <w:rPr>
          <w:rFonts w:ascii="Arial" w:hAnsi="Arial" w:cs="Arial" w:eastAsia="Arial" w:hint="default"/>
        </w:rPr>
        <w:t>-</w:t>
        <w:tab/>
      </w:r>
      <w:r>
        <w:rPr>
          <w:spacing w:val="-4"/>
        </w:rPr>
        <w:t>该成本与一份当前或预期取得的合同直接相关，包括直接人工、直接材料、制造费用（或类似</w:t>
      </w:r>
      <w:r>
        <w:rPr>
          <w:spacing w:val="-40"/>
        </w:rPr>
        <w:t> </w:t>
      </w:r>
      <w:r>
        <w:rPr>
          <w:spacing w:val="-40"/>
        </w:rPr>
      </w:r>
      <w:r>
        <w:rPr/>
        <w:t>费用）、明确由用户承担的成本以及仅因该合同而发生的其他成本；</w:t>
      </w:r>
    </w:p>
    <w:p>
      <w:pPr>
        <w:pStyle w:val="BodyText"/>
        <w:spacing w:line="264" w:lineRule="exact"/>
        <w:ind w:left="622" w:right="0"/>
        <w:jc w:val="both"/>
      </w:pPr>
      <w:r>
        <w:rPr>
          <w:rFonts w:ascii="Arial" w:hAnsi="Arial" w:cs="Arial" w:eastAsia="Arial" w:hint="default"/>
        </w:rPr>
        <w:t>-     </w:t>
      </w:r>
      <w:r>
        <w:rPr>
          <w:rFonts w:ascii="Arial" w:hAnsi="Arial" w:cs="Arial" w:eastAsia="Arial" w:hint="default"/>
          <w:spacing w:val="18"/>
        </w:rPr>
        <w:t> </w:t>
      </w:r>
      <w:r>
        <w:rPr/>
        <w:t>该成本增加了本集团未来用于履行履约义务的资源；</w:t>
      </w:r>
    </w:p>
    <w:p>
      <w:pPr>
        <w:pStyle w:val="BodyText"/>
        <w:spacing w:line="296" w:lineRule="exact"/>
        <w:ind w:left="622" w:right="0"/>
        <w:jc w:val="both"/>
      </w:pPr>
      <w:r>
        <w:rPr>
          <w:rFonts w:ascii="Arial" w:hAnsi="Arial" w:cs="Arial" w:eastAsia="Arial" w:hint="default"/>
        </w:rPr>
        <w:t>-     </w:t>
      </w:r>
      <w:r>
        <w:rPr>
          <w:rFonts w:ascii="Arial" w:hAnsi="Arial" w:cs="Arial" w:eastAsia="Arial" w:hint="default"/>
          <w:spacing w:val="23"/>
        </w:rPr>
        <w:t> </w:t>
      </w:r>
      <w:r>
        <w:rPr/>
        <w:t>该成本预期能够收回。</w:t>
      </w:r>
    </w:p>
    <w:p>
      <w:pPr>
        <w:spacing w:line="240" w:lineRule="auto" w:before="1"/>
        <w:rPr>
          <w:rFonts w:ascii="宋体" w:hAnsi="宋体" w:cs="宋体" w:eastAsia="宋体" w:hint="default"/>
          <w:sz w:val="18"/>
          <w:szCs w:val="18"/>
        </w:rPr>
      </w:pPr>
    </w:p>
    <w:p>
      <w:pPr>
        <w:pStyle w:val="BodyText"/>
        <w:spacing w:line="237" w:lineRule="auto"/>
        <w:ind w:left="608" w:right="115"/>
        <w:jc w:val="both"/>
      </w:pPr>
      <w:r>
        <w:rPr>
          <w:spacing w:val="-3"/>
        </w:rPr>
        <w:t>合同取得成本确认的资产和合同履约成本确认的资产（以下简称“与合同成本有关的资产”）采用</w:t>
      </w:r>
      <w:r>
        <w:rPr>
          <w:spacing w:val="-42"/>
        </w:rPr>
        <w:t> </w:t>
      </w:r>
      <w:r>
        <w:rPr>
          <w:spacing w:val="-42"/>
        </w:rPr>
      </w:r>
      <w:r>
        <w:rPr>
          <w:spacing w:val="-3"/>
        </w:rPr>
        <w:t>与该资产相关的商品或服务收入确认相同的基础进行摊销，计入当期损益。摊销期限不超过一年则</w:t>
      </w:r>
      <w:r>
        <w:rPr>
          <w:spacing w:val="-40"/>
        </w:rPr>
        <w:t> </w:t>
      </w:r>
      <w:r>
        <w:rPr>
          <w:spacing w:val="-40"/>
        </w:rPr>
      </w:r>
      <w:r>
        <w:rPr/>
        <w:t>在发生时计入当期损益。</w:t>
      </w:r>
    </w:p>
    <w:p>
      <w:pPr>
        <w:spacing w:line="240" w:lineRule="auto" w:before="5"/>
        <w:rPr>
          <w:rFonts w:ascii="宋体" w:hAnsi="宋体" w:cs="宋体" w:eastAsia="宋体" w:hint="default"/>
          <w:sz w:val="21"/>
          <w:szCs w:val="21"/>
        </w:rPr>
      </w:pPr>
    </w:p>
    <w:p>
      <w:pPr>
        <w:pStyle w:val="BodyText"/>
        <w:spacing w:line="284" w:lineRule="exact"/>
        <w:ind w:left="608" w:right="115"/>
        <w:jc w:val="both"/>
      </w:pPr>
      <w:r>
        <w:rPr>
          <w:spacing w:val="-3"/>
        </w:rPr>
        <w:t>当与合同成本有关的资产的账面价值高于下列两项的差额时，本集团对超出部分计提减值准备，并</w:t>
      </w:r>
      <w:r>
        <w:rPr>
          <w:spacing w:val="-40"/>
        </w:rPr>
        <w:t> </w:t>
      </w:r>
      <w:r>
        <w:rPr>
          <w:spacing w:val="-40"/>
        </w:rPr>
      </w:r>
      <w:r>
        <w:rPr/>
        <w:t>确认为资产减值损失：</w:t>
      </w:r>
    </w:p>
    <w:p>
      <w:pPr>
        <w:spacing w:line="240" w:lineRule="auto" w:before="1"/>
        <w:rPr>
          <w:rFonts w:ascii="宋体" w:hAnsi="宋体" w:cs="宋体" w:eastAsia="宋体" w:hint="default"/>
          <w:sz w:val="17"/>
          <w:szCs w:val="17"/>
        </w:rPr>
      </w:pPr>
    </w:p>
    <w:p>
      <w:pPr>
        <w:pStyle w:val="BodyText"/>
        <w:spacing w:line="296" w:lineRule="exact"/>
        <w:ind w:left="622" w:right="0"/>
        <w:jc w:val="both"/>
      </w:pPr>
      <w:r>
        <w:rPr>
          <w:rFonts w:ascii="Arial" w:hAnsi="Arial" w:cs="Arial" w:eastAsia="Arial" w:hint="default"/>
        </w:rPr>
        <w:t>-     </w:t>
      </w:r>
      <w:r>
        <w:rPr>
          <w:rFonts w:ascii="Arial" w:hAnsi="Arial" w:cs="Arial" w:eastAsia="Arial" w:hint="default"/>
          <w:spacing w:val="24"/>
        </w:rPr>
        <w:t> </w:t>
      </w:r>
      <w:r>
        <w:rPr/>
        <w:t>本集团因转让与该资产相关的商品或服务预期能够取得的剩余对价；</w:t>
      </w:r>
    </w:p>
    <w:p>
      <w:pPr>
        <w:pStyle w:val="BodyText"/>
        <w:spacing w:line="296" w:lineRule="exact"/>
        <w:ind w:left="622" w:right="0"/>
        <w:jc w:val="both"/>
      </w:pPr>
      <w:r>
        <w:rPr>
          <w:rFonts w:ascii="Arial" w:hAnsi="Arial" w:cs="Arial" w:eastAsia="Arial" w:hint="default"/>
        </w:rPr>
        <w:t>-     </w:t>
      </w:r>
      <w:r>
        <w:rPr>
          <w:rFonts w:ascii="Arial" w:hAnsi="Arial" w:cs="Arial" w:eastAsia="Arial" w:hint="default"/>
          <w:spacing w:val="22"/>
        </w:rPr>
        <w:t> </w:t>
      </w:r>
      <w:r>
        <w:rPr/>
        <w:t>为转让该相关商品或服务估计将要发生的成本。</w:t>
      </w:r>
    </w:p>
    <w:p>
      <w:pPr>
        <w:spacing w:after="0" w:line="296" w:lineRule="exact"/>
        <w:jc w:val="both"/>
        <w:sectPr>
          <w:headerReference w:type="default" r:id="rId126"/>
          <w:pgSz w:w="11910" w:h="16840"/>
          <w:pgMar w:header="842" w:footer="502" w:top="2700" w:bottom="700" w:left="860" w:right="920"/>
        </w:sectPr>
      </w:pPr>
    </w:p>
    <w:p>
      <w:pPr>
        <w:spacing w:line="240" w:lineRule="auto" w:before="4"/>
        <w:rPr>
          <w:rFonts w:ascii="宋体" w:hAnsi="宋体" w:cs="宋体" w:eastAsia="宋体" w:hint="default"/>
          <w:sz w:val="14"/>
          <w:szCs w:val="14"/>
        </w:rPr>
      </w:pPr>
    </w:p>
    <w:p>
      <w:pPr>
        <w:pStyle w:val="BodyText"/>
        <w:spacing w:line="240" w:lineRule="auto" w:before="32"/>
        <w:ind w:left="133" w:right="6028"/>
        <w:jc w:val="left"/>
      </w:pPr>
      <w:r>
        <w:rPr>
          <w:rFonts w:ascii="Arial" w:hAnsi="Arial" w:cs="Arial" w:eastAsia="Arial" w:hint="default"/>
        </w:rPr>
        <w:t>26</w:t>
      </w:r>
      <w:r>
        <w:rPr/>
        <w:t>、政府补助</w:t>
      </w:r>
    </w:p>
    <w:p>
      <w:pPr>
        <w:spacing w:line="240" w:lineRule="auto" w:before="1"/>
        <w:rPr>
          <w:rFonts w:ascii="宋体" w:hAnsi="宋体" w:cs="宋体" w:eastAsia="宋体" w:hint="default"/>
          <w:sz w:val="19"/>
          <w:szCs w:val="19"/>
        </w:rPr>
      </w:pPr>
    </w:p>
    <w:p>
      <w:pPr>
        <w:pStyle w:val="BodyText"/>
        <w:spacing w:line="284" w:lineRule="exact"/>
        <w:ind w:left="608" w:right="114"/>
        <w:jc w:val="both"/>
      </w:pPr>
      <w:r>
        <w:rPr>
          <w:spacing w:val="-3"/>
        </w:rPr>
        <w:t>政府补助是本集团从政府无偿取得的货币性资产或非货币性资产，但不包括政府以投资者身份向本</w:t>
      </w:r>
      <w:r>
        <w:rPr>
          <w:spacing w:val="-40"/>
        </w:rPr>
        <w:t> </w:t>
      </w:r>
      <w:r>
        <w:rPr>
          <w:spacing w:val="-40"/>
        </w:rPr>
      </w:r>
      <w:r>
        <w:rPr/>
        <w:t>集团投入的资本。</w:t>
      </w:r>
    </w:p>
    <w:p>
      <w:pPr>
        <w:spacing w:line="240" w:lineRule="auto" w:before="6"/>
        <w:rPr>
          <w:rFonts w:ascii="宋体" w:hAnsi="宋体" w:cs="宋体" w:eastAsia="宋体" w:hint="default"/>
          <w:sz w:val="17"/>
          <w:szCs w:val="17"/>
        </w:rPr>
      </w:pPr>
    </w:p>
    <w:p>
      <w:pPr>
        <w:pStyle w:val="BodyText"/>
        <w:spacing w:line="240" w:lineRule="auto"/>
        <w:ind w:left="608" w:right="0"/>
        <w:jc w:val="both"/>
      </w:pPr>
      <w:r>
        <w:rPr/>
        <w:t>政府补助在能够满足政府补助所附条件，并能够收到时，予以确认。</w:t>
      </w:r>
    </w:p>
    <w:p>
      <w:pPr>
        <w:spacing w:line="240" w:lineRule="auto" w:before="4"/>
        <w:rPr>
          <w:rFonts w:ascii="宋体" w:hAnsi="宋体" w:cs="宋体" w:eastAsia="宋体" w:hint="default"/>
          <w:sz w:val="21"/>
          <w:szCs w:val="21"/>
        </w:rPr>
      </w:pPr>
    </w:p>
    <w:p>
      <w:pPr>
        <w:pStyle w:val="BodyText"/>
        <w:spacing w:line="284" w:lineRule="exact"/>
        <w:ind w:left="608" w:right="114"/>
        <w:jc w:val="both"/>
      </w:pPr>
      <w:r>
        <w:rPr>
          <w:spacing w:val="-3"/>
        </w:rPr>
        <w:t>政府补助为货币性资产的，按照收到或应收的金额计量。政府补助为非货币性资产的，按照公允价</w:t>
      </w:r>
      <w:r>
        <w:rPr>
          <w:spacing w:val="-42"/>
        </w:rPr>
        <w:t> </w:t>
      </w:r>
      <w:r>
        <w:rPr>
          <w:spacing w:val="-42"/>
        </w:rPr>
      </w:r>
      <w:r>
        <w:rPr/>
        <w:t>值计量。</w:t>
      </w:r>
    </w:p>
    <w:p>
      <w:pPr>
        <w:spacing w:line="240" w:lineRule="auto" w:before="4"/>
        <w:rPr>
          <w:rFonts w:ascii="宋体" w:hAnsi="宋体" w:cs="宋体" w:eastAsia="宋体" w:hint="default"/>
          <w:sz w:val="17"/>
          <w:szCs w:val="17"/>
        </w:rPr>
      </w:pPr>
    </w:p>
    <w:p>
      <w:pPr>
        <w:pStyle w:val="BodyText"/>
        <w:spacing w:line="237" w:lineRule="auto"/>
        <w:ind w:left="608" w:right="114"/>
        <w:jc w:val="both"/>
      </w:pPr>
      <w:r>
        <w:rPr>
          <w:spacing w:val="-3"/>
        </w:rPr>
        <w:t>本集团取得的、用于购建或以其他方式形成长期资产的政府补助作为与资产相关的政府补助。本集</w:t>
      </w:r>
      <w:r>
        <w:rPr>
          <w:spacing w:val="-40"/>
        </w:rPr>
        <w:t> </w:t>
      </w:r>
      <w:r>
        <w:rPr>
          <w:spacing w:val="-40"/>
        </w:rPr>
      </w:r>
      <w:r>
        <w:rPr>
          <w:spacing w:val="-3"/>
        </w:rPr>
        <w:t>团取得的与资产相关之外的其他政府补助作为与收益相关的政府补助。与资产相关的政府补助，本</w:t>
      </w:r>
      <w:r>
        <w:rPr>
          <w:spacing w:val="-40"/>
        </w:rPr>
        <w:t> </w:t>
      </w:r>
      <w:r>
        <w:rPr>
          <w:spacing w:val="-40"/>
        </w:rPr>
      </w:r>
      <w:r>
        <w:rPr>
          <w:spacing w:val="-3"/>
        </w:rPr>
        <w:t>集团将其确认为递延收益，并在相关资产使用寿命内按照合理、系统的方法分期计入其他收益或营</w:t>
      </w:r>
      <w:r>
        <w:rPr>
          <w:spacing w:val="-40"/>
        </w:rPr>
        <w:t> </w:t>
      </w:r>
      <w:r>
        <w:rPr>
          <w:spacing w:val="-40"/>
        </w:rPr>
      </w:r>
      <w:r>
        <w:rPr>
          <w:spacing w:val="-3"/>
        </w:rPr>
        <w:t>业外收入。与收益相关的政府补助，如果用于补偿本集团以后期间的相关成本费用或损失的，本集</w:t>
      </w:r>
      <w:r>
        <w:rPr>
          <w:spacing w:val="-42"/>
        </w:rPr>
        <w:t> </w:t>
      </w:r>
      <w:r>
        <w:rPr>
          <w:spacing w:val="-42"/>
        </w:rPr>
      </w:r>
      <w:r>
        <w:rPr>
          <w:spacing w:val="-3"/>
        </w:rPr>
        <w:t>团将其确认为递延收益，并在确认相关成本费用或损失的期间，计入其他收益或营业外收入；如果</w:t>
      </w:r>
      <w:r>
        <w:rPr>
          <w:spacing w:val="-42"/>
        </w:rPr>
        <w:t> </w:t>
      </w:r>
      <w:r>
        <w:rPr>
          <w:spacing w:val="-42"/>
        </w:rPr>
      </w:r>
      <w:r>
        <w:rPr/>
        <w:t>用于补偿本集团已发生的相关成本费用或损失的，则直接计入其他收益或营业外收入。</w:t>
      </w:r>
    </w:p>
    <w:p>
      <w:pPr>
        <w:spacing w:line="240" w:lineRule="auto" w:before="9"/>
        <w:rPr>
          <w:rFonts w:ascii="宋体" w:hAnsi="宋体" w:cs="宋体" w:eastAsia="宋体" w:hint="default"/>
          <w:sz w:val="19"/>
          <w:szCs w:val="19"/>
        </w:rPr>
      </w:pPr>
    </w:p>
    <w:p>
      <w:pPr>
        <w:pStyle w:val="BodyText"/>
        <w:spacing w:line="237" w:lineRule="auto"/>
        <w:ind w:left="608" w:right="116"/>
        <w:jc w:val="both"/>
      </w:pPr>
      <w:r>
        <w:rPr>
          <w:spacing w:val="-3"/>
        </w:rPr>
        <w:t>对于本集团取得的政策性优惠借款贴息，如果财政将贴息资金拨付给贷款银行，本集团以借款的公</w:t>
      </w:r>
      <w:r>
        <w:rPr>
          <w:spacing w:val="-40"/>
        </w:rPr>
        <w:t> </w:t>
      </w:r>
      <w:r>
        <w:rPr>
          <w:spacing w:val="-40"/>
        </w:rPr>
      </w:r>
      <w:r>
        <w:rPr>
          <w:spacing w:val="-3"/>
        </w:rPr>
        <w:t>允价值作为借款的入账价值并按照实际利率法计算借款费用，实际收到的金额与借款公允价值之间</w:t>
      </w:r>
      <w:r>
        <w:rPr>
          <w:spacing w:val="-40"/>
        </w:rPr>
        <w:t> </w:t>
      </w:r>
      <w:r>
        <w:rPr>
          <w:spacing w:val="-40"/>
        </w:rPr>
      </w:r>
      <w:r>
        <w:rPr>
          <w:spacing w:val="-3"/>
        </w:rPr>
        <w:t>的差额确认为递延收益，递延收益在借款存续期内采用实际利率法摊销，冲减相关借款费用；如果</w:t>
      </w:r>
      <w:r>
        <w:rPr>
          <w:spacing w:val="-41"/>
        </w:rPr>
        <w:t> </w:t>
      </w:r>
      <w:r>
        <w:rPr>
          <w:spacing w:val="-41"/>
        </w:rPr>
      </w:r>
      <w:r>
        <w:rPr/>
        <w:t>财政将贴息资金直接拨付给本集团，则将对应的贴息冲减相关借款费用。</w:t>
      </w:r>
    </w:p>
    <w:p>
      <w:pPr>
        <w:spacing w:after="0" w:line="237" w:lineRule="auto"/>
        <w:jc w:val="both"/>
        <w:sectPr>
          <w:headerReference w:type="default" r:id="rId127"/>
          <w:pgSz w:w="11910" w:h="16840"/>
          <w:pgMar w:header="842" w:footer="502" w:top="2700" w:bottom="700" w:left="860" w:right="920"/>
        </w:sectPr>
      </w:pPr>
    </w:p>
    <w:p>
      <w:pPr>
        <w:spacing w:line="240" w:lineRule="auto" w:before="7"/>
        <w:rPr>
          <w:rFonts w:ascii="宋体" w:hAnsi="宋体" w:cs="宋体" w:eastAsia="宋体" w:hint="default"/>
          <w:sz w:val="16"/>
          <w:szCs w:val="16"/>
        </w:rPr>
      </w:pPr>
    </w:p>
    <w:p>
      <w:pPr>
        <w:pStyle w:val="BodyText"/>
        <w:spacing w:line="240" w:lineRule="auto" w:before="32"/>
        <w:ind w:left="133" w:right="0"/>
        <w:jc w:val="left"/>
      </w:pPr>
      <w:r>
        <w:rPr>
          <w:rFonts w:ascii="Arial" w:hAnsi="Arial" w:cs="Arial" w:eastAsia="Arial" w:hint="default"/>
        </w:rPr>
        <w:t>27</w:t>
      </w:r>
      <w:r>
        <w:rPr/>
        <w:t>、递延所得税资产和递延所得税负债</w:t>
      </w:r>
    </w:p>
    <w:p>
      <w:pPr>
        <w:spacing w:line="240" w:lineRule="auto" w:before="11"/>
        <w:rPr>
          <w:rFonts w:ascii="宋体" w:hAnsi="宋体" w:cs="宋体" w:eastAsia="宋体" w:hint="default"/>
          <w:sz w:val="17"/>
          <w:szCs w:val="17"/>
        </w:rPr>
      </w:pPr>
    </w:p>
    <w:p>
      <w:pPr>
        <w:pStyle w:val="BodyText"/>
        <w:spacing w:line="240" w:lineRule="auto"/>
        <w:ind w:left="608" w:right="334"/>
        <w:jc w:val="both"/>
      </w:pPr>
      <w:r>
        <w:rPr>
          <w:spacing w:val="-3"/>
        </w:rPr>
        <w:t>资产负债表日，如果本集团拥有以净额结算的法定权利并且意图以净额结算或取得资产、清偿负债</w:t>
      </w:r>
      <w:r>
        <w:rPr>
          <w:spacing w:val="-40"/>
        </w:rPr>
        <w:t> </w:t>
      </w:r>
      <w:r>
        <w:rPr>
          <w:spacing w:val="-40"/>
        </w:rPr>
      </w:r>
      <w:r>
        <w:rPr/>
        <w:t>同时进行时，那么当期所得税资产及当期所得税负债以抵销后的净额列示。</w:t>
      </w:r>
    </w:p>
    <w:p>
      <w:pPr>
        <w:spacing w:line="240" w:lineRule="auto" w:before="3"/>
        <w:rPr>
          <w:rFonts w:ascii="宋体" w:hAnsi="宋体" w:cs="宋体" w:eastAsia="宋体" w:hint="default"/>
          <w:sz w:val="19"/>
          <w:szCs w:val="19"/>
        </w:rPr>
      </w:pPr>
    </w:p>
    <w:p>
      <w:pPr>
        <w:pStyle w:val="BodyText"/>
        <w:spacing w:line="237" w:lineRule="auto"/>
        <w:ind w:left="608" w:right="330"/>
        <w:jc w:val="both"/>
      </w:pPr>
      <w:r>
        <w:rPr>
          <w:spacing w:val="-3"/>
        </w:rPr>
        <w:t>递延所得税资产与递延所得税负债分别根据可抵扣暂时性差异和应纳税暂时性差异确定。暂时性差</w:t>
      </w:r>
      <w:r>
        <w:rPr>
          <w:spacing w:val="-40"/>
        </w:rPr>
        <w:t> </w:t>
      </w:r>
      <w:r>
        <w:rPr>
          <w:spacing w:val="-40"/>
        </w:rPr>
      </w:r>
      <w:r>
        <w:rPr>
          <w:spacing w:val="-3"/>
        </w:rPr>
        <w:t>异是指资产或负债的账面价值与其计税基础之间的差额，包括能够结转以后年度的可抵扣亏损和税</w:t>
      </w:r>
      <w:r>
        <w:rPr>
          <w:spacing w:val="-40"/>
        </w:rPr>
        <w:t> </w:t>
      </w:r>
      <w:r>
        <w:rPr>
          <w:spacing w:val="-40"/>
        </w:rPr>
      </w:r>
      <w:r>
        <w:rPr/>
        <w:t>款抵减。递延所得税资产的确认以很可能取得用来抵扣可抵扣暂时性差异的应纳税所得额为限。</w:t>
      </w:r>
    </w:p>
    <w:p>
      <w:pPr>
        <w:spacing w:line="240" w:lineRule="auto" w:before="4"/>
        <w:rPr>
          <w:rFonts w:ascii="宋体" w:hAnsi="宋体" w:cs="宋体" w:eastAsia="宋体" w:hint="default"/>
          <w:sz w:val="19"/>
          <w:szCs w:val="19"/>
        </w:rPr>
      </w:pPr>
    </w:p>
    <w:p>
      <w:pPr>
        <w:pStyle w:val="BodyText"/>
        <w:spacing w:line="237" w:lineRule="auto"/>
        <w:ind w:left="623" w:right="0"/>
        <w:jc w:val="left"/>
      </w:pPr>
      <w:r>
        <w:rPr>
          <w:spacing w:val="-3"/>
        </w:rPr>
        <w:t>对与子公司、联营企业及合营企业投资相关的应纳税暂时性差异，确认递延所得税负债，除非本集</w:t>
      </w:r>
      <w:r>
        <w:rPr>
          <w:spacing w:val="-49"/>
        </w:rPr>
        <w:t> </w:t>
      </w:r>
      <w:r>
        <w:rPr>
          <w:spacing w:val="-49"/>
        </w:rPr>
      </w:r>
      <w:r>
        <w:rPr>
          <w:spacing w:val="-3"/>
        </w:rPr>
        <w:t>团能够控制该暂时性差异转回的时间且该暂时性差异在可预见的未来很可能不会转回。对与子公司、</w:t>
      </w:r>
      <w:r>
        <w:rPr>
          <w:spacing w:val="-46"/>
        </w:rPr>
        <w:t> </w:t>
      </w:r>
      <w:r>
        <w:rPr>
          <w:spacing w:val="-46"/>
        </w:rPr>
      </w:r>
      <w:r>
        <w:rPr>
          <w:spacing w:val="-3"/>
        </w:rPr>
        <w:t>联营企业及合营企业投资相关的可抵扣暂时性差异，当该暂时性差异在可预见的未来很可能转回且</w:t>
      </w:r>
      <w:r>
        <w:rPr>
          <w:spacing w:val="-50"/>
        </w:rPr>
        <w:t> </w:t>
      </w:r>
      <w:r>
        <w:rPr>
          <w:spacing w:val="-50"/>
        </w:rPr>
      </w:r>
      <w:r>
        <w:rPr/>
        <w:t>未来很可能获得用来抵扣可抵扣暂时性差异的应纳税所得额时，确认递延所得税资产。</w:t>
      </w:r>
    </w:p>
    <w:p>
      <w:pPr>
        <w:spacing w:line="240" w:lineRule="auto" w:before="4"/>
        <w:rPr>
          <w:rFonts w:ascii="宋体" w:hAnsi="宋体" w:cs="宋体" w:eastAsia="宋体" w:hint="default"/>
          <w:sz w:val="19"/>
          <w:szCs w:val="19"/>
        </w:rPr>
      </w:pPr>
    </w:p>
    <w:p>
      <w:pPr>
        <w:pStyle w:val="BodyText"/>
        <w:spacing w:line="237" w:lineRule="auto"/>
        <w:ind w:left="623" w:right="330"/>
        <w:jc w:val="both"/>
      </w:pPr>
      <w:r>
        <w:rPr>
          <w:spacing w:val="-3"/>
        </w:rPr>
        <w:t>资产负债表日，本集团对递延所得税资产的账面价值进行复核。如果未来期间很可能无法获得足够</w:t>
      </w:r>
      <w:r>
        <w:rPr>
          <w:spacing w:val="-50"/>
        </w:rPr>
        <w:t> </w:t>
      </w:r>
      <w:r>
        <w:rPr>
          <w:spacing w:val="-50"/>
        </w:rPr>
      </w:r>
      <w:r>
        <w:rPr>
          <w:spacing w:val="-3"/>
        </w:rPr>
        <w:t>的应纳税所得额用以抵扣递延所得税资产的利益，则减记递延所得税资产的账面价值。在很可能获</w:t>
      </w:r>
      <w:r>
        <w:rPr>
          <w:spacing w:val="-50"/>
        </w:rPr>
        <w:t> </w:t>
      </w:r>
      <w:r>
        <w:rPr>
          <w:spacing w:val="-50"/>
        </w:rPr>
      </w:r>
      <w:r>
        <w:rPr/>
        <w:t>得足够的应纳税所得额时，减记的金额予以转回。</w:t>
      </w:r>
    </w:p>
    <w:p>
      <w:pPr>
        <w:spacing w:line="240" w:lineRule="auto" w:before="6"/>
        <w:rPr>
          <w:rFonts w:ascii="宋体" w:hAnsi="宋体" w:cs="宋体" w:eastAsia="宋体" w:hint="default"/>
          <w:sz w:val="19"/>
          <w:szCs w:val="19"/>
        </w:rPr>
      </w:pPr>
    </w:p>
    <w:p>
      <w:pPr>
        <w:pStyle w:val="BodyText"/>
        <w:spacing w:line="240" w:lineRule="auto"/>
        <w:ind w:left="623" w:right="0"/>
        <w:jc w:val="both"/>
      </w:pPr>
      <w:r>
        <w:rPr/>
        <w:t>资产负债表日，递延所得税资产及递延所得税负债在同时满足以下条件时以抵销后的净额列示：</w:t>
      </w:r>
    </w:p>
    <w:p>
      <w:pPr>
        <w:spacing w:line="240" w:lineRule="auto" w:before="1"/>
        <w:rPr>
          <w:rFonts w:ascii="宋体" w:hAnsi="宋体" w:cs="宋体" w:eastAsia="宋体" w:hint="default"/>
          <w:sz w:val="19"/>
          <w:szCs w:val="19"/>
        </w:rPr>
      </w:pPr>
    </w:p>
    <w:p>
      <w:pPr>
        <w:pStyle w:val="BodyText"/>
        <w:spacing w:line="240" w:lineRule="auto"/>
        <w:ind w:left="651" w:right="0"/>
        <w:jc w:val="both"/>
      </w:pPr>
      <w:r>
        <w:rPr>
          <w:rFonts w:ascii="Arial" w:hAnsi="Arial" w:cs="Arial" w:eastAsia="Arial" w:hint="default"/>
        </w:rPr>
        <w:t>-     </w:t>
      </w:r>
      <w:r>
        <w:rPr>
          <w:rFonts w:ascii="Arial" w:hAnsi="Arial" w:cs="Arial" w:eastAsia="Arial" w:hint="default"/>
          <w:spacing w:val="6"/>
        </w:rPr>
        <w:t> </w:t>
      </w:r>
      <w:r>
        <w:rPr/>
        <w:t>纳税主体拥有以净额结算当期所得税资产及当期所得税负债的法定权利；</w:t>
      </w:r>
    </w:p>
    <w:p>
      <w:pPr>
        <w:spacing w:line="240" w:lineRule="auto" w:before="6"/>
        <w:rPr>
          <w:rFonts w:ascii="宋体" w:hAnsi="宋体" w:cs="宋体" w:eastAsia="宋体" w:hint="default"/>
          <w:sz w:val="18"/>
          <w:szCs w:val="18"/>
        </w:rPr>
      </w:pPr>
    </w:p>
    <w:p>
      <w:pPr>
        <w:pStyle w:val="BodyText"/>
        <w:spacing w:line="232" w:lineRule="auto"/>
        <w:ind w:left="1098" w:right="219" w:hanging="447"/>
        <w:jc w:val="both"/>
      </w:pPr>
      <w:r>
        <w:rPr>
          <w:rFonts w:ascii="Arial" w:hAnsi="Arial" w:cs="Arial" w:eastAsia="Arial" w:hint="default"/>
        </w:rPr>
        <w:t>- </w:t>
      </w:r>
      <w:r>
        <w:rPr/>
        <w:t>递延所得税资产及递延所得税负债是与同一税收征管部门对同一纳税主体征收的所得税相关</w:t>
      </w:r>
      <w:r>
        <w:rPr>
          <w:spacing w:val="-66"/>
        </w:rPr>
        <w:t> </w:t>
      </w:r>
      <w:r>
        <w:rPr>
          <w:spacing w:val="-66"/>
        </w:rPr>
      </w:r>
      <w:r>
        <w:rPr/>
        <w:t>或者是对不同的纳税主体相关，但在未来每一具有重要性的递延所得税资产及负债转回的期</w:t>
      </w:r>
      <w:r>
        <w:rPr>
          <w:w w:val="100"/>
        </w:rPr>
        <w:t> </w:t>
      </w:r>
      <w:r>
        <w:rPr>
          <w:spacing w:val="-1"/>
        </w:rPr>
        <w:t>间内，涉及的纳税主体意图以净额结算当期所得税资产和负债或是同时取得资产、清偿负债。</w:t>
      </w:r>
    </w:p>
    <w:p>
      <w:pPr>
        <w:spacing w:after="0" w:line="232" w:lineRule="auto"/>
        <w:jc w:val="both"/>
        <w:sectPr>
          <w:headerReference w:type="default" r:id="rId128"/>
          <w:pgSz w:w="11910" w:h="16840"/>
          <w:pgMar w:header="842" w:footer="502" w:top="2700" w:bottom="700" w:left="860" w:right="700"/>
        </w:sectPr>
      </w:pPr>
    </w:p>
    <w:p>
      <w:pPr>
        <w:spacing w:line="240" w:lineRule="auto" w:before="4"/>
        <w:rPr>
          <w:rFonts w:ascii="宋体" w:hAnsi="宋体" w:cs="宋体" w:eastAsia="宋体" w:hint="default"/>
          <w:sz w:val="14"/>
          <w:szCs w:val="14"/>
        </w:rPr>
      </w:pPr>
    </w:p>
    <w:p>
      <w:pPr>
        <w:pStyle w:val="BodyText"/>
        <w:spacing w:line="240" w:lineRule="auto" w:before="32"/>
        <w:ind w:left="193" w:right="0"/>
        <w:jc w:val="left"/>
      </w:pPr>
      <w:r>
        <w:rPr>
          <w:rFonts w:ascii="Arial" w:hAnsi="Arial" w:cs="Arial" w:eastAsia="Arial" w:hint="default"/>
        </w:rPr>
        <w:t>28</w:t>
      </w:r>
      <w:r>
        <w:rPr/>
        <w:t>、租赁</w:t>
      </w:r>
    </w:p>
    <w:p>
      <w:pPr>
        <w:spacing w:line="240" w:lineRule="auto" w:before="9"/>
        <w:rPr>
          <w:rFonts w:ascii="宋体" w:hAnsi="宋体" w:cs="宋体" w:eastAsia="宋体" w:hint="default"/>
          <w:sz w:val="15"/>
          <w:szCs w:val="15"/>
        </w:rPr>
      </w:pPr>
    </w:p>
    <w:p>
      <w:pPr>
        <w:pStyle w:val="BodyText"/>
        <w:spacing w:line="240" w:lineRule="auto"/>
        <w:ind w:left="683" w:right="0"/>
        <w:jc w:val="left"/>
      </w:pPr>
      <w:r>
        <w:rPr/>
        <w:t>租赁，是指在一定期间内，出租人将资产的使用权让与承租人以获取对价的合同。</w:t>
      </w:r>
    </w:p>
    <w:p>
      <w:pPr>
        <w:spacing w:line="240" w:lineRule="auto" w:before="1"/>
        <w:rPr>
          <w:rFonts w:ascii="宋体" w:hAnsi="宋体" w:cs="宋体" w:eastAsia="宋体" w:hint="default"/>
          <w:sz w:val="19"/>
          <w:szCs w:val="19"/>
        </w:rPr>
      </w:pPr>
    </w:p>
    <w:p>
      <w:pPr>
        <w:pStyle w:val="BodyText"/>
        <w:spacing w:line="240" w:lineRule="auto"/>
        <w:ind w:left="683" w:right="0"/>
        <w:jc w:val="left"/>
      </w:pPr>
      <w:r>
        <w:rPr>
          <w:spacing w:val="-3"/>
        </w:rPr>
        <w:t>在合同开始日，本集团评估合同是否为租赁或者包含租赁。如果合同中一方让渡了在一定期间内控</w:t>
      </w:r>
      <w:r>
        <w:rPr>
          <w:spacing w:val="-50"/>
        </w:rPr>
        <w:t> </w:t>
      </w:r>
      <w:r>
        <w:rPr>
          <w:spacing w:val="-50"/>
        </w:rPr>
      </w:r>
      <w:r>
        <w:rPr/>
        <w:t>制一项或多项已识别资产使用的权利以换取对价，则该合同为租赁或者包含租赁。</w:t>
      </w:r>
    </w:p>
    <w:p>
      <w:pPr>
        <w:spacing w:line="240" w:lineRule="auto" w:before="1"/>
        <w:rPr>
          <w:rFonts w:ascii="宋体" w:hAnsi="宋体" w:cs="宋体" w:eastAsia="宋体" w:hint="default"/>
          <w:sz w:val="19"/>
          <w:szCs w:val="19"/>
        </w:rPr>
      </w:pPr>
    </w:p>
    <w:p>
      <w:pPr>
        <w:pStyle w:val="BodyText"/>
        <w:spacing w:line="240" w:lineRule="auto"/>
        <w:ind w:left="683" w:right="0"/>
        <w:jc w:val="left"/>
      </w:pPr>
      <w:r>
        <w:rPr/>
        <w:t>为确定合同是否让渡了在一定期间内控制已识别资产使用的权利，本集团进行如下评估：</w:t>
      </w:r>
    </w:p>
    <w:p>
      <w:pPr>
        <w:spacing w:line="240" w:lineRule="auto" w:before="6"/>
        <w:rPr>
          <w:rFonts w:ascii="宋体" w:hAnsi="宋体" w:cs="宋体" w:eastAsia="宋体" w:hint="default"/>
          <w:sz w:val="19"/>
          <w:szCs w:val="19"/>
        </w:rPr>
      </w:pPr>
    </w:p>
    <w:p>
      <w:pPr>
        <w:pStyle w:val="BodyText"/>
        <w:spacing w:line="235" w:lineRule="auto"/>
        <w:ind w:left="1158" w:right="210" w:hanging="447"/>
        <w:jc w:val="both"/>
      </w:pPr>
      <w:r>
        <w:rPr>
          <w:rFonts w:ascii="Arial" w:hAnsi="Arial" w:cs="Arial" w:eastAsia="Arial" w:hint="default"/>
        </w:rPr>
        <w:t>-</w:t>
      </w:r>
      <w:r>
        <w:rPr>
          <w:rFonts w:ascii="Arial" w:hAnsi="Arial" w:cs="Arial" w:eastAsia="Arial" w:hint="default"/>
          <w:spacing w:val="39"/>
        </w:rPr>
        <w:t> </w:t>
      </w:r>
      <w:r>
        <w:rPr/>
        <w:t>合同是否涉及已识别资产的使用。已识别资产可能由合同明确指定或在资产可供客户使用时</w:t>
      </w:r>
      <w:r>
        <w:rPr>
          <w:spacing w:val="-105"/>
        </w:rPr>
        <w:t> </w:t>
      </w:r>
      <w:r>
        <w:rPr>
          <w:spacing w:val="-105"/>
        </w:rPr>
      </w:r>
      <w:r>
        <w:rPr>
          <w:spacing w:val="-4"/>
        </w:rPr>
        <w:t>隐性指定，并且该资产在物理上可区分，或者如果资产的某部分产能或其他部分在物理上不可</w:t>
      </w:r>
      <w:r>
        <w:rPr>
          <w:w w:val="100"/>
        </w:rPr>
        <w:t> </w:t>
      </w:r>
      <w:r>
        <w:rPr/>
        <w:t>区分但实质上代表了该资产的全部产能，从而使客户获得因使用该资产所产生的几乎全部经</w:t>
      </w:r>
      <w:r>
        <w:rPr>
          <w:w w:val="100"/>
        </w:rPr>
        <w:t> </w:t>
      </w:r>
      <w:r>
        <w:rPr>
          <w:spacing w:val="-4"/>
        </w:rPr>
        <w:t>济利益。如果资产的供应方在整个使用期间拥有对该资产的实质性替换权，则该资产不属于已</w:t>
      </w:r>
      <w:r>
        <w:rPr>
          <w:w w:val="100"/>
        </w:rPr>
        <w:t> </w:t>
      </w:r>
      <w:r>
        <w:rPr/>
        <w:t>识别资产；</w:t>
      </w:r>
    </w:p>
    <w:p>
      <w:pPr>
        <w:pStyle w:val="BodyText"/>
        <w:tabs>
          <w:tab w:pos="1158" w:val="left" w:leader="none"/>
        </w:tabs>
        <w:spacing w:line="292" w:lineRule="exact"/>
        <w:ind w:left="711" w:right="0"/>
        <w:jc w:val="left"/>
      </w:pPr>
      <w:r>
        <w:rPr>
          <w:rFonts w:ascii="Arial" w:hAnsi="Arial" w:cs="Arial" w:eastAsia="Arial" w:hint="default"/>
        </w:rPr>
        <w:t>-</w:t>
        <w:tab/>
      </w:r>
      <w:r>
        <w:rPr/>
        <w:t>承租人是否有权获得在使用期间内因使用已识别资产所产生的几乎全部经济利益；</w:t>
      </w:r>
    </w:p>
    <w:p>
      <w:pPr>
        <w:pStyle w:val="BodyText"/>
        <w:tabs>
          <w:tab w:pos="1158" w:val="left" w:leader="none"/>
        </w:tabs>
        <w:spacing w:line="296" w:lineRule="exact"/>
        <w:ind w:left="712" w:right="0"/>
        <w:jc w:val="left"/>
      </w:pPr>
      <w:r>
        <w:rPr>
          <w:rFonts w:ascii="Arial" w:hAnsi="Arial" w:cs="Arial" w:eastAsia="Arial" w:hint="default"/>
        </w:rPr>
        <w:t>-</w:t>
        <w:tab/>
      </w:r>
      <w:r>
        <w:rPr/>
        <w:t>承租人是否有权在该使用期间主导已识别资产的使用。</w:t>
      </w:r>
    </w:p>
    <w:p>
      <w:pPr>
        <w:spacing w:line="240" w:lineRule="auto" w:before="3"/>
        <w:rPr>
          <w:rFonts w:ascii="宋体" w:hAnsi="宋体" w:cs="宋体" w:eastAsia="宋体" w:hint="default"/>
          <w:sz w:val="18"/>
          <w:szCs w:val="18"/>
        </w:rPr>
      </w:pPr>
    </w:p>
    <w:p>
      <w:pPr>
        <w:pStyle w:val="BodyText"/>
        <w:spacing w:line="235" w:lineRule="auto"/>
        <w:ind w:left="683" w:right="205"/>
        <w:jc w:val="both"/>
      </w:pPr>
      <w:r>
        <w:rPr>
          <w:spacing w:val="-3"/>
        </w:rPr>
        <w:t>合同中同时包含多项单独租赁的，承租人和出租人将合同予以分拆，并分别各项单独租赁进行会计</w:t>
      </w:r>
      <w:r>
        <w:rPr>
          <w:spacing w:val="-50"/>
        </w:rPr>
        <w:t> </w:t>
      </w:r>
      <w:r>
        <w:rPr>
          <w:spacing w:val="-50"/>
        </w:rPr>
      </w:r>
      <w:r>
        <w:rPr>
          <w:spacing w:val="-3"/>
        </w:rPr>
        <w:t>处理。合同中同时包含租赁和非租赁部分的，承租人和出租人将租赁和非租赁部分进行分拆。在分</w:t>
      </w:r>
      <w:r>
        <w:rPr>
          <w:spacing w:val="-44"/>
        </w:rPr>
        <w:t> </w:t>
      </w:r>
      <w:r>
        <w:rPr>
          <w:spacing w:val="-44"/>
        </w:rPr>
      </w:r>
      <w:r>
        <w:rPr>
          <w:spacing w:val="-3"/>
        </w:rPr>
        <w:t>拆合同包含的租赁和非租赁部分时，承租人按照各租赁部分单独价格及非租赁部分的单独价格之和</w:t>
      </w:r>
      <w:r>
        <w:rPr>
          <w:spacing w:val="-50"/>
        </w:rPr>
        <w:t> </w:t>
      </w:r>
      <w:r>
        <w:rPr>
          <w:spacing w:val="-50"/>
        </w:rPr>
      </w:r>
      <w:r>
        <w:rPr>
          <w:spacing w:val="-2"/>
        </w:rPr>
        <w:t>的相对比例分摊合同对价。出租人按附注三</w:t>
      </w:r>
      <w:r>
        <w:rPr>
          <w:rFonts w:ascii="Arial" w:hAnsi="Arial" w:cs="Arial" w:eastAsia="Arial" w:hint="default"/>
          <w:spacing w:val="-2"/>
        </w:rPr>
        <w:t>(23)</w:t>
      </w:r>
      <w:r>
        <w:rPr>
          <w:spacing w:val="-2"/>
        </w:rPr>
        <w:t>所述会计政策中关于交易价格分摊的规定分摊合同</w:t>
      </w:r>
      <w:r>
        <w:rPr>
          <w:spacing w:val="-41"/>
        </w:rPr>
        <w:t> </w:t>
      </w:r>
      <w:r>
        <w:rPr>
          <w:spacing w:val="-41"/>
        </w:rPr>
      </w:r>
      <w:r>
        <w:rPr/>
        <w:t>对价。</w:t>
      </w:r>
    </w:p>
    <w:p>
      <w:pPr>
        <w:spacing w:line="240" w:lineRule="auto" w:before="2"/>
        <w:rPr>
          <w:rFonts w:ascii="宋体" w:hAnsi="宋体" w:cs="宋体" w:eastAsia="宋体" w:hint="default"/>
          <w:sz w:val="19"/>
          <w:szCs w:val="19"/>
        </w:rPr>
      </w:pPr>
    </w:p>
    <w:p>
      <w:pPr>
        <w:pStyle w:val="BodyText"/>
        <w:tabs>
          <w:tab w:pos="664" w:val="left" w:leader="none"/>
        </w:tabs>
        <w:spacing w:line="240" w:lineRule="auto"/>
        <w:ind w:left="102" w:right="0"/>
        <w:jc w:val="left"/>
      </w:pPr>
      <w:r>
        <w:rPr>
          <w:rFonts w:ascii="Arial" w:hAnsi="Arial" w:cs="Arial" w:eastAsia="Arial" w:hint="default"/>
        </w:rPr>
        <w:t>(1)</w:t>
        <w:tab/>
      </w:r>
      <w:r>
        <w:rPr/>
        <w:t>本集团作为承租人</w:t>
      </w:r>
    </w:p>
    <w:p>
      <w:pPr>
        <w:spacing w:line="240" w:lineRule="auto" w:before="1"/>
        <w:rPr>
          <w:rFonts w:ascii="宋体" w:hAnsi="宋体" w:cs="宋体" w:eastAsia="宋体" w:hint="default"/>
          <w:sz w:val="18"/>
          <w:szCs w:val="18"/>
        </w:rPr>
      </w:pPr>
    </w:p>
    <w:p>
      <w:pPr>
        <w:pStyle w:val="BodyText"/>
        <w:spacing w:line="237" w:lineRule="auto"/>
        <w:ind w:left="683" w:right="0"/>
        <w:jc w:val="left"/>
      </w:pPr>
      <w:r>
        <w:rPr/>
        <w:t>在租赁期开始日，本集团对租赁确认使用权资产和租赁负债。使用权资产按照成本进行初始计量，</w:t>
      </w:r>
      <w:r>
        <w:rPr>
          <w:spacing w:val="-72"/>
        </w:rPr>
        <w:t> </w:t>
      </w:r>
      <w:r>
        <w:rPr>
          <w:spacing w:val="-72"/>
        </w:rPr>
      </w:r>
      <w:r>
        <w:rPr>
          <w:spacing w:val="-3"/>
        </w:rPr>
        <w:t>包括租赁负债的初始计量金额、在租赁期开始日或之前支付的租赁付款额（扣除已享受的租赁激励</w:t>
      </w:r>
      <w:r>
        <w:rPr>
          <w:spacing w:val="-50"/>
        </w:rPr>
        <w:t> </w:t>
      </w:r>
      <w:r>
        <w:rPr>
          <w:spacing w:val="-50"/>
        </w:rPr>
      </w:r>
      <w:r>
        <w:rPr>
          <w:spacing w:val="-3"/>
        </w:rPr>
        <w:t>相关金额），发生的初始直接费用以及为拆卸及移除租赁资产、复原租赁资产所在场地或将租赁资</w:t>
      </w:r>
      <w:r>
        <w:rPr>
          <w:spacing w:val="-44"/>
        </w:rPr>
        <w:t> </w:t>
      </w:r>
      <w:r>
        <w:rPr>
          <w:spacing w:val="-44"/>
        </w:rPr>
      </w:r>
      <w:r>
        <w:rPr/>
        <w:t>产恢复至租赁条款约定状态预计将发生的成本。</w:t>
      </w:r>
    </w:p>
    <w:p>
      <w:pPr>
        <w:spacing w:line="240" w:lineRule="auto" w:before="4"/>
        <w:rPr>
          <w:rFonts w:ascii="宋体" w:hAnsi="宋体" w:cs="宋体" w:eastAsia="宋体" w:hint="default"/>
          <w:sz w:val="19"/>
          <w:szCs w:val="19"/>
        </w:rPr>
      </w:pPr>
    </w:p>
    <w:p>
      <w:pPr>
        <w:pStyle w:val="BodyText"/>
        <w:spacing w:line="237" w:lineRule="auto"/>
        <w:ind w:left="683" w:right="0"/>
        <w:jc w:val="left"/>
      </w:pPr>
      <w:r>
        <w:rPr/>
        <w:t>本集团使用直线法对使用权资产计提折旧。对能够合理确定租赁期届满时取得租赁资产所有权的，</w:t>
      </w:r>
      <w:r>
        <w:rPr>
          <w:spacing w:val="-72"/>
        </w:rPr>
        <w:t> </w:t>
      </w:r>
      <w:r>
        <w:rPr>
          <w:spacing w:val="-72"/>
        </w:rPr>
      </w:r>
      <w:r>
        <w:rPr>
          <w:spacing w:val="-3"/>
        </w:rPr>
        <w:t>本集团在租赁资产剩余使用寿命内计提折旧。否则，租赁资产在租赁期与租赁资产剩余使用寿命两</w:t>
      </w:r>
      <w:r>
        <w:rPr>
          <w:spacing w:val="-50"/>
        </w:rPr>
        <w:t> </w:t>
      </w:r>
      <w:r>
        <w:rPr>
          <w:spacing w:val="-50"/>
        </w:rPr>
      </w:r>
      <w:r>
        <w:rPr/>
        <w:t>者孰短的期间内计提折旧。使用权资产按附注三</w:t>
      </w:r>
      <w:r>
        <w:rPr>
          <w:rFonts w:ascii="Arial" w:hAnsi="Arial" w:cs="Arial" w:eastAsia="Arial" w:hint="default"/>
        </w:rPr>
        <w:t>(16)</w:t>
      </w:r>
      <w:r>
        <w:rPr/>
        <w:t>所述的会计政策计提减值准备。</w:t>
      </w:r>
    </w:p>
    <w:p>
      <w:pPr>
        <w:spacing w:line="240" w:lineRule="auto" w:before="12"/>
        <w:rPr>
          <w:rFonts w:ascii="宋体" w:hAnsi="宋体" w:cs="宋体" w:eastAsia="宋体" w:hint="default"/>
          <w:sz w:val="17"/>
          <w:szCs w:val="17"/>
        </w:rPr>
      </w:pPr>
    </w:p>
    <w:p>
      <w:pPr>
        <w:pStyle w:val="BodyText"/>
        <w:spacing w:line="240" w:lineRule="auto"/>
        <w:ind w:left="683" w:right="0"/>
        <w:jc w:val="left"/>
      </w:pPr>
      <w:r>
        <w:rPr/>
        <w:t>租赁负债按照租赁期开始日尚未支付的租赁付款额的现值进行初始计量，折现率为租赁内含利率。</w:t>
      </w:r>
      <w:r>
        <w:rPr>
          <w:spacing w:val="-72"/>
        </w:rPr>
        <w:t> </w:t>
      </w:r>
      <w:r>
        <w:rPr>
          <w:spacing w:val="-72"/>
        </w:rPr>
      </w:r>
      <w:r>
        <w:rPr/>
        <w:t>无法确定租赁内含利率的，采用本集团增量借款利率作为折现率。</w:t>
      </w:r>
    </w:p>
    <w:p>
      <w:pPr>
        <w:spacing w:line="240" w:lineRule="auto" w:before="4"/>
        <w:rPr>
          <w:rFonts w:ascii="宋体" w:hAnsi="宋体" w:cs="宋体" w:eastAsia="宋体" w:hint="default"/>
          <w:sz w:val="21"/>
          <w:szCs w:val="21"/>
        </w:rPr>
      </w:pPr>
    </w:p>
    <w:p>
      <w:pPr>
        <w:pStyle w:val="BodyText"/>
        <w:spacing w:line="284" w:lineRule="exact"/>
        <w:ind w:left="683" w:right="0"/>
        <w:jc w:val="left"/>
      </w:pPr>
      <w:r>
        <w:rPr>
          <w:spacing w:val="-3"/>
        </w:rPr>
        <w:t>本集团按照固定的周期性利率计算租赁负债在租赁期内各期间的利息费用，并计入当期损益或相关</w:t>
      </w:r>
      <w:r>
        <w:rPr>
          <w:spacing w:val="-50"/>
        </w:rPr>
        <w:t> </w:t>
      </w:r>
      <w:r>
        <w:rPr>
          <w:spacing w:val="-50"/>
        </w:rPr>
      </w:r>
      <w:r>
        <w:rPr/>
        <w:t>资产成本。未纳入租赁负债计量的可变租赁付款额在实际发生时计入当期损益或相关资产成本。</w:t>
      </w:r>
    </w:p>
    <w:p>
      <w:pPr>
        <w:spacing w:after="0" w:line="284" w:lineRule="exact"/>
        <w:jc w:val="left"/>
        <w:sectPr>
          <w:headerReference w:type="default" r:id="rId129"/>
          <w:pgSz w:w="11910" w:h="16840"/>
          <w:pgMar w:header="842" w:footer="502" w:top="2700" w:bottom="700" w:left="800" w:right="820"/>
        </w:sectPr>
      </w:pPr>
    </w:p>
    <w:p>
      <w:pPr>
        <w:spacing w:line="240" w:lineRule="auto" w:before="4"/>
        <w:rPr>
          <w:rFonts w:ascii="宋体" w:hAnsi="宋体" w:cs="宋体" w:eastAsia="宋体" w:hint="default"/>
          <w:sz w:val="14"/>
          <w:szCs w:val="14"/>
        </w:rPr>
      </w:pPr>
    </w:p>
    <w:p>
      <w:pPr>
        <w:pStyle w:val="BodyText"/>
        <w:spacing w:line="240" w:lineRule="auto" w:before="32"/>
        <w:ind w:left="133" w:right="0"/>
        <w:jc w:val="left"/>
      </w:pPr>
      <w:r>
        <w:rPr>
          <w:rFonts w:ascii="Arial" w:hAnsi="Arial" w:cs="Arial" w:eastAsia="Arial" w:hint="default"/>
        </w:rPr>
        <w:t>28</w:t>
      </w:r>
      <w:r>
        <w:rPr/>
        <w:t>、租赁（续）</w:t>
      </w:r>
    </w:p>
    <w:p>
      <w:pPr>
        <w:spacing w:line="240" w:lineRule="auto" w:before="10"/>
        <w:rPr>
          <w:rFonts w:ascii="宋体" w:hAnsi="宋体" w:cs="宋体" w:eastAsia="宋体" w:hint="default"/>
          <w:sz w:val="16"/>
          <w:szCs w:val="16"/>
        </w:rPr>
      </w:pPr>
    </w:p>
    <w:p>
      <w:pPr>
        <w:pStyle w:val="BodyText"/>
        <w:tabs>
          <w:tab w:pos="627" w:val="left" w:leader="none"/>
        </w:tabs>
        <w:spacing w:line="424" w:lineRule="auto"/>
        <w:ind w:left="623" w:right="579" w:hanging="490"/>
        <w:jc w:val="left"/>
      </w:pPr>
      <w:r>
        <w:rPr>
          <w:rFonts w:ascii="Arial" w:hAnsi="Arial" w:cs="Arial" w:eastAsia="Arial" w:hint="default"/>
        </w:rPr>
        <w:t>(1)</w:t>
        <w:tab/>
        <w:tab/>
      </w:r>
      <w:r>
        <w:rPr/>
        <w:t>本集团作为承租人（续）</w:t>
      </w:r>
      <w:r>
        <w:rPr>
          <w:spacing w:val="-107"/>
        </w:rPr>
        <w:t> </w:t>
      </w:r>
      <w:r>
        <w:rPr>
          <w:spacing w:val="-107"/>
        </w:rPr>
      </w:r>
      <w:r>
        <w:rPr>
          <w:spacing w:val="-1"/>
        </w:rPr>
        <w:t>租赁期开始日后，发生下列情形的，本集团按照变动后租赁付款额的现值重新计量租赁负债：</w:t>
      </w:r>
    </w:p>
    <w:p>
      <w:pPr>
        <w:pStyle w:val="BodyText"/>
        <w:spacing w:line="296" w:lineRule="exact" w:before="80"/>
        <w:ind w:left="652" w:right="0"/>
        <w:jc w:val="both"/>
      </w:pPr>
      <w:r>
        <w:rPr>
          <w:rFonts w:ascii="Arial" w:hAnsi="Arial" w:cs="Arial" w:eastAsia="Arial" w:hint="default"/>
        </w:rPr>
        <w:t>-     </w:t>
      </w:r>
      <w:r>
        <w:rPr>
          <w:rFonts w:ascii="Arial" w:hAnsi="Arial" w:cs="Arial" w:eastAsia="Arial" w:hint="default"/>
          <w:spacing w:val="10"/>
        </w:rPr>
        <w:t> </w:t>
      </w:r>
      <w:r>
        <w:rPr/>
        <w:t>根据担保余值预计的应付金额发生变动；</w:t>
      </w:r>
    </w:p>
    <w:p>
      <w:pPr>
        <w:pStyle w:val="BodyText"/>
        <w:spacing w:line="286" w:lineRule="exact"/>
        <w:ind w:left="652" w:right="0"/>
        <w:jc w:val="both"/>
      </w:pPr>
      <w:r>
        <w:rPr>
          <w:rFonts w:ascii="Arial" w:hAnsi="Arial" w:cs="Arial" w:eastAsia="Arial" w:hint="default"/>
        </w:rPr>
        <w:t>-     </w:t>
      </w:r>
      <w:r>
        <w:rPr>
          <w:rFonts w:ascii="Arial" w:hAnsi="Arial" w:cs="Arial" w:eastAsia="Arial" w:hint="default"/>
          <w:spacing w:val="12"/>
        </w:rPr>
        <w:t> </w:t>
      </w:r>
      <w:r>
        <w:rPr/>
        <w:t>用于确定租赁付款额的指数或比率发生变动；</w:t>
      </w:r>
    </w:p>
    <w:p>
      <w:pPr>
        <w:pStyle w:val="BodyText"/>
        <w:tabs>
          <w:tab w:pos="1098" w:val="left" w:leader="none"/>
        </w:tabs>
        <w:spacing w:line="288" w:lineRule="exact" w:before="16"/>
        <w:ind w:left="1098" w:right="221" w:hanging="447"/>
        <w:jc w:val="left"/>
      </w:pPr>
      <w:r>
        <w:rPr>
          <w:rFonts w:ascii="Arial" w:hAnsi="Arial" w:cs="Arial" w:eastAsia="Arial" w:hint="default"/>
        </w:rPr>
        <w:t>-</w:t>
        <w:tab/>
      </w:r>
      <w:r>
        <w:rPr>
          <w:spacing w:val="-4"/>
        </w:rPr>
        <w:t>本集团对购买选择权、续租选择权或终止租赁选择权的评估结果发生变化，或续租选择权或终</w:t>
      </w:r>
      <w:r>
        <w:rPr>
          <w:spacing w:val="-50"/>
        </w:rPr>
        <w:t> </w:t>
      </w:r>
      <w:r>
        <w:rPr>
          <w:spacing w:val="-50"/>
        </w:rPr>
      </w:r>
      <w:r>
        <w:rPr/>
        <w:t>止租赁选择权的实际行使情况与原评估结果不一致。</w:t>
      </w:r>
    </w:p>
    <w:p>
      <w:pPr>
        <w:spacing w:line="240" w:lineRule="auto" w:before="4"/>
        <w:rPr>
          <w:rFonts w:ascii="宋体" w:hAnsi="宋体" w:cs="宋体" w:eastAsia="宋体" w:hint="default"/>
          <w:sz w:val="19"/>
          <w:szCs w:val="19"/>
        </w:rPr>
      </w:pPr>
    </w:p>
    <w:p>
      <w:pPr>
        <w:pStyle w:val="BodyText"/>
        <w:spacing w:line="284" w:lineRule="exact"/>
        <w:ind w:left="623" w:right="199"/>
        <w:jc w:val="both"/>
      </w:pPr>
      <w:r>
        <w:rPr>
          <w:spacing w:val="-3"/>
        </w:rPr>
        <w:t>在对租赁负债进行重新计量时，本集团相应调整使用权资产的账面价值。使用权资产的账面价值已</w:t>
      </w:r>
      <w:r>
        <w:rPr>
          <w:spacing w:val="-50"/>
        </w:rPr>
        <w:t> </w:t>
      </w:r>
      <w:r>
        <w:rPr>
          <w:spacing w:val="-50"/>
        </w:rPr>
      </w:r>
      <w:r>
        <w:rPr/>
        <w:t>调减至零，但租赁负债仍需进一步调减的，本集团将剩余金额计入当期损益。</w:t>
      </w:r>
    </w:p>
    <w:p>
      <w:pPr>
        <w:spacing w:line="240" w:lineRule="auto" w:before="2"/>
        <w:rPr>
          <w:rFonts w:ascii="宋体" w:hAnsi="宋体" w:cs="宋体" w:eastAsia="宋体" w:hint="default"/>
          <w:sz w:val="19"/>
          <w:szCs w:val="19"/>
        </w:rPr>
      </w:pPr>
    </w:p>
    <w:p>
      <w:pPr>
        <w:pStyle w:val="BodyText"/>
        <w:spacing w:line="288" w:lineRule="exact"/>
        <w:ind w:left="623" w:right="199"/>
        <w:jc w:val="both"/>
      </w:pPr>
      <w:r>
        <w:rPr>
          <w:spacing w:val="2"/>
        </w:rPr>
        <w:t>本集团已选择对短期租赁</w:t>
      </w:r>
      <w:r>
        <w:rPr>
          <w:rFonts w:ascii="Arial" w:hAnsi="Arial" w:cs="Arial" w:eastAsia="Arial" w:hint="default"/>
          <w:spacing w:val="2"/>
        </w:rPr>
        <w:t>(</w:t>
      </w:r>
      <w:r>
        <w:rPr>
          <w:spacing w:val="2"/>
        </w:rPr>
        <w:t>租赁期不超过</w:t>
      </w:r>
      <w:r>
        <w:rPr>
          <w:rFonts w:ascii="Arial" w:hAnsi="Arial" w:cs="Arial" w:eastAsia="Arial" w:hint="default"/>
          <w:spacing w:val="2"/>
        </w:rPr>
        <w:t>12</w:t>
      </w:r>
      <w:r>
        <w:rPr>
          <w:spacing w:val="2"/>
        </w:rPr>
        <w:t>个月的租赁</w:t>
      </w:r>
      <w:r>
        <w:rPr>
          <w:rFonts w:ascii="Arial" w:hAnsi="Arial" w:cs="Arial" w:eastAsia="Arial" w:hint="default"/>
          <w:spacing w:val="2"/>
        </w:rPr>
        <w:t>)</w:t>
      </w:r>
      <w:r>
        <w:rPr>
          <w:spacing w:val="2"/>
        </w:rPr>
        <w:t>和低价值资产租赁不确认使用权资产和租</w:t>
      </w:r>
      <w:r>
        <w:rPr>
          <w:spacing w:val="-19"/>
        </w:rPr>
        <w:t> </w:t>
      </w:r>
      <w:r>
        <w:rPr>
          <w:spacing w:val="-19"/>
        </w:rPr>
      </w:r>
      <w:r>
        <w:rPr/>
        <w:t>赁负债，并将相关的租赁付款额在租赁期内各个期间按照直线法计入当期损益或相关资产成本。</w:t>
      </w:r>
    </w:p>
    <w:p>
      <w:pPr>
        <w:spacing w:line="240" w:lineRule="auto" w:before="0"/>
        <w:rPr>
          <w:rFonts w:ascii="宋体" w:hAnsi="宋体" w:cs="宋体" w:eastAsia="宋体" w:hint="default"/>
          <w:sz w:val="17"/>
          <w:szCs w:val="17"/>
        </w:rPr>
      </w:pPr>
    </w:p>
    <w:p>
      <w:pPr>
        <w:pStyle w:val="BodyText"/>
        <w:tabs>
          <w:tab w:pos="628" w:val="left" w:leader="none"/>
        </w:tabs>
        <w:spacing w:line="240" w:lineRule="auto"/>
        <w:ind w:left="153" w:right="0"/>
        <w:jc w:val="left"/>
      </w:pPr>
      <w:r>
        <w:rPr>
          <w:rFonts w:ascii="Arial" w:hAnsi="Arial" w:cs="Arial" w:eastAsia="Arial" w:hint="default"/>
        </w:rPr>
        <w:t>(2)</w:t>
        <w:tab/>
      </w:r>
      <w:r>
        <w:rPr/>
        <w:t>本集团作为出租人</w:t>
      </w:r>
    </w:p>
    <w:p>
      <w:pPr>
        <w:spacing w:line="240" w:lineRule="auto" w:before="1"/>
        <w:rPr>
          <w:rFonts w:ascii="宋体" w:hAnsi="宋体" w:cs="宋体" w:eastAsia="宋体" w:hint="default"/>
          <w:sz w:val="18"/>
          <w:szCs w:val="18"/>
        </w:rPr>
      </w:pPr>
    </w:p>
    <w:p>
      <w:pPr>
        <w:pStyle w:val="BodyText"/>
        <w:spacing w:line="237" w:lineRule="auto"/>
        <w:ind w:left="623" w:right="209"/>
        <w:jc w:val="both"/>
      </w:pPr>
      <w:r>
        <w:rPr>
          <w:spacing w:val="-3"/>
        </w:rPr>
        <w:t>在租赁开始日，本集团将租赁分为融资租赁和经营租赁。融资租赁是指无论所有权最终是否转移但</w:t>
      </w:r>
      <w:r>
        <w:rPr>
          <w:spacing w:val="-50"/>
        </w:rPr>
        <w:t> </w:t>
      </w:r>
      <w:r>
        <w:rPr>
          <w:spacing w:val="-50"/>
        </w:rPr>
      </w:r>
      <w:r>
        <w:rPr>
          <w:spacing w:val="-3"/>
        </w:rPr>
        <w:t>实质上转移了与租赁资产所有权有关的几乎全部风险和报酬的租赁。经营租赁是指除融资租赁以外</w:t>
      </w:r>
      <w:r>
        <w:rPr>
          <w:spacing w:val="-50"/>
        </w:rPr>
        <w:t> </w:t>
      </w:r>
      <w:r>
        <w:rPr>
          <w:spacing w:val="-50"/>
        </w:rPr>
      </w:r>
      <w:r>
        <w:rPr/>
        <w:t>的其他租赁。</w:t>
      </w:r>
    </w:p>
    <w:p>
      <w:pPr>
        <w:spacing w:line="240" w:lineRule="auto" w:before="4"/>
        <w:rPr>
          <w:rFonts w:ascii="宋体" w:hAnsi="宋体" w:cs="宋体" w:eastAsia="宋体" w:hint="default"/>
          <w:sz w:val="19"/>
          <w:szCs w:val="19"/>
        </w:rPr>
      </w:pPr>
    </w:p>
    <w:p>
      <w:pPr>
        <w:pStyle w:val="BodyText"/>
        <w:spacing w:line="237" w:lineRule="auto"/>
        <w:ind w:left="623" w:right="209"/>
        <w:jc w:val="both"/>
      </w:pPr>
      <w:r>
        <w:rPr>
          <w:spacing w:val="-3"/>
        </w:rPr>
        <w:t>本集团作为转租出租人时，基于原租赁产生的使用权资产，而不是原租赁的标的资产，对转租赁进</w:t>
      </w:r>
      <w:r>
        <w:rPr>
          <w:spacing w:val="-49"/>
        </w:rPr>
        <w:t> </w:t>
      </w:r>
      <w:r>
        <w:rPr>
          <w:spacing w:val="-49"/>
        </w:rPr>
      </w:r>
      <w:r>
        <w:rPr>
          <w:spacing w:val="-3"/>
        </w:rPr>
        <w:t>行分类。如果原租赁为短期租赁且本集团选择对原租赁应用上述短期租赁的简化处理，本集团将该</w:t>
      </w:r>
      <w:r>
        <w:rPr>
          <w:spacing w:val="-50"/>
        </w:rPr>
        <w:t> </w:t>
      </w:r>
      <w:r>
        <w:rPr>
          <w:spacing w:val="-50"/>
        </w:rPr>
      </w:r>
      <w:r>
        <w:rPr/>
        <w:t>转租赁分类为经营租赁。</w:t>
      </w:r>
    </w:p>
    <w:p>
      <w:pPr>
        <w:spacing w:line="240" w:lineRule="auto" w:before="4"/>
        <w:rPr>
          <w:rFonts w:ascii="宋体" w:hAnsi="宋体" w:cs="宋体" w:eastAsia="宋体" w:hint="default"/>
          <w:sz w:val="19"/>
          <w:szCs w:val="19"/>
        </w:rPr>
      </w:pPr>
    </w:p>
    <w:p>
      <w:pPr>
        <w:pStyle w:val="BodyText"/>
        <w:spacing w:line="237" w:lineRule="auto"/>
        <w:ind w:left="623" w:right="104"/>
        <w:jc w:val="both"/>
      </w:pPr>
      <w:r>
        <w:rPr>
          <w:spacing w:val="-8"/>
          <w:w w:val="100"/>
        </w:rPr>
        <w:t>融资租赁下，在租赁期开始日，本集团对融资租赁确认应收融资租赁款，并终止确认融资租赁资产。</w:t>
      </w:r>
      <w:r>
        <w:rPr>
          <w:spacing w:val="-82"/>
          <w:w w:val="100"/>
        </w:rPr>
        <w:t> </w:t>
      </w:r>
      <w:r>
        <w:rPr>
          <w:spacing w:val="-82"/>
          <w:w w:val="100"/>
        </w:rPr>
      </w:r>
      <w:r>
        <w:rPr>
          <w:spacing w:val="-3"/>
        </w:rPr>
        <w:t>本集团对应收融资租赁款进行初始计量时，将租赁投资净额作为应收融资租赁款的入账价值。租赁</w:t>
      </w:r>
      <w:r>
        <w:rPr>
          <w:spacing w:val="-50"/>
        </w:rPr>
        <w:t> </w:t>
      </w:r>
      <w:r>
        <w:rPr>
          <w:spacing w:val="-50"/>
        </w:rPr>
      </w:r>
      <w:r>
        <w:rPr/>
        <w:t>投资净额为未担保余值和租赁期开始日尚未收到的租赁收款额按照租赁内含利率折现的现值之和。</w:t>
      </w:r>
    </w:p>
    <w:p>
      <w:pPr>
        <w:spacing w:line="240" w:lineRule="auto" w:before="9"/>
        <w:rPr>
          <w:rFonts w:ascii="宋体" w:hAnsi="宋体" w:cs="宋体" w:eastAsia="宋体" w:hint="default"/>
          <w:sz w:val="19"/>
          <w:szCs w:val="19"/>
        </w:rPr>
      </w:pPr>
    </w:p>
    <w:p>
      <w:pPr>
        <w:pStyle w:val="BodyText"/>
        <w:spacing w:line="232" w:lineRule="auto"/>
        <w:ind w:left="623" w:right="209"/>
        <w:jc w:val="both"/>
      </w:pPr>
      <w:r>
        <w:rPr>
          <w:spacing w:val="-3"/>
        </w:rPr>
        <w:t>本集团按照固定的周期性利率计算并确认租赁期内各个期间的利息收入。应收融资租赁款的终止确</w:t>
      </w:r>
      <w:r>
        <w:rPr>
          <w:spacing w:val="-50"/>
        </w:rPr>
        <w:t> </w:t>
      </w:r>
      <w:r>
        <w:rPr>
          <w:spacing w:val="-50"/>
        </w:rPr>
      </w:r>
      <w:r>
        <w:rPr/>
        <w:t>认和减值按附注三</w:t>
      </w:r>
      <w:r>
        <w:rPr>
          <w:rFonts w:ascii="Arial" w:hAnsi="Arial" w:cs="Arial" w:eastAsia="Arial" w:hint="default"/>
        </w:rPr>
        <w:t>(8)</w:t>
      </w:r>
      <w:r>
        <w:rPr/>
        <w:t>所述的会计政策进行会计处理。未纳入租赁投资净额计量的可变租赁付款额</w:t>
      </w:r>
      <w:r>
        <w:rPr>
          <w:spacing w:val="-19"/>
        </w:rPr>
        <w:t> </w:t>
      </w:r>
      <w:r>
        <w:rPr>
          <w:spacing w:val="-19"/>
        </w:rPr>
      </w:r>
      <w:r>
        <w:rPr/>
        <w:t>在实际发生时计入当期损益。</w:t>
      </w:r>
    </w:p>
    <w:p>
      <w:pPr>
        <w:spacing w:line="240" w:lineRule="auto" w:before="4"/>
        <w:rPr>
          <w:rFonts w:ascii="宋体" w:hAnsi="宋体" w:cs="宋体" w:eastAsia="宋体" w:hint="default"/>
          <w:sz w:val="19"/>
          <w:szCs w:val="19"/>
        </w:rPr>
      </w:pPr>
    </w:p>
    <w:p>
      <w:pPr>
        <w:pStyle w:val="BodyText"/>
        <w:spacing w:line="237" w:lineRule="auto"/>
        <w:ind w:left="623" w:right="209"/>
        <w:jc w:val="both"/>
      </w:pPr>
      <w:r>
        <w:rPr>
          <w:spacing w:val="-3"/>
        </w:rPr>
        <w:t>经营租赁的租赁收款额在租赁期内按直线法确认为租金收入。本集团将其发生的与经营租赁有关的</w:t>
      </w:r>
      <w:r>
        <w:rPr>
          <w:spacing w:val="-50"/>
        </w:rPr>
        <w:t> </w:t>
      </w:r>
      <w:r>
        <w:rPr>
          <w:spacing w:val="-50"/>
        </w:rPr>
      </w:r>
      <w:r>
        <w:rPr>
          <w:spacing w:val="-3"/>
        </w:rPr>
        <w:t>初始直接费用予以资本化，在租赁期内按照与租金收入确认相同的基础进行分摊，分期计入当期损</w:t>
      </w:r>
      <w:r>
        <w:rPr>
          <w:spacing w:val="-50"/>
        </w:rPr>
        <w:t> </w:t>
      </w:r>
      <w:r>
        <w:rPr>
          <w:spacing w:val="-50"/>
        </w:rPr>
      </w:r>
      <w:r>
        <w:rPr/>
        <w:t>益。未计入租赁收款额的可变租赁付款额在实际发生时计入当期损益。</w:t>
      </w:r>
    </w:p>
    <w:p>
      <w:pPr>
        <w:spacing w:after="0" w:line="237" w:lineRule="auto"/>
        <w:jc w:val="both"/>
        <w:sectPr>
          <w:headerReference w:type="default" r:id="rId130"/>
          <w:pgSz w:w="11910" w:h="16840"/>
          <w:pgMar w:header="842" w:footer="502" w:top="2700" w:bottom="700" w:left="860" w:right="820"/>
        </w:sectPr>
      </w:pPr>
    </w:p>
    <w:p>
      <w:pPr>
        <w:spacing w:line="240" w:lineRule="auto" w:before="7"/>
        <w:rPr>
          <w:rFonts w:ascii="宋体" w:hAnsi="宋体" w:cs="宋体" w:eastAsia="宋体" w:hint="default"/>
          <w:sz w:val="16"/>
          <w:szCs w:val="16"/>
        </w:rPr>
      </w:pPr>
    </w:p>
    <w:p>
      <w:pPr>
        <w:pStyle w:val="BodyText"/>
        <w:spacing w:line="240" w:lineRule="auto" w:before="32"/>
        <w:ind w:left="162" w:right="0"/>
        <w:jc w:val="left"/>
      </w:pPr>
      <w:r>
        <w:rPr>
          <w:rFonts w:ascii="Arial" w:hAnsi="Arial" w:cs="Arial" w:eastAsia="Arial" w:hint="default"/>
        </w:rPr>
        <w:t>29</w:t>
      </w:r>
      <w:r>
        <w:rPr/>
        <w:t>、分部信息</w:t>
      </w:r>
    </w:p>
    <w:p>
      <w:pPr>
        <w:spacing w:line="240" w:lineRule="auto" w:before="11"/>
        <w:rPr>
          <w:rFonts w:ascii="宋体" w:hAnsi="宋体" w:cs="宋体" w:eastAsia="宋体" w:hint="default"/>
          <w:sz w:val="17"/>
          <w:szCs w:val="17"/>
        </w:rPr>
      </w:pPr>
    </w:p>
    <w:p>
      <w:pPr>
        <w:pStyle w:val="BodyText"/>
        <w:spacing w:line="240" w:lineRule="auto"/>
        <w:ind w:left="623" w:right="0"/>
        <w:jc w:val="left"/>
      </w:pPr>
      <w:r>
        <w:rPr>
          <w:spacing w:val="-3"/>
        </w:rPr>
        <w:t>本集团以内部组织结构、管理要求、内部报告制度为依据确定经营分部，以经营分部为基础确定报</w:t>
      </w:r>
      <w:r>
        <w:rPr>
          <w:spacing w:val="-44"/>
        </w:rPr>
        <w:t> </w:t>
      </w:r>
      <w:r>
        <w:rPr>
          <w:spacing w:val="-44"/>
        </w:rPr>
      </w:r>
      <w:r>
        <w:rPr/>
        <w:t>告分部并披露分部信息。</w:t>
      </w:r>
    </w:p>
    <w:p>
      <w:pPr>
        <w:spacing w:line="240" w:lineRule="auto" w:before="3"/>
        <w:rPr>
          <w:rFonts w:ascii="宋体" w:hAnsi="宋体" w:cs="宋体" w:eastAsia="宋体" w:hint="default"/>
          <w:sz w:val="19"/>
          <w:szCs w:val="19"/>
        </w:rPr>
      </w:pPr>
    </w:p>
    <w:p>
      <w:pPr>
        <w:pStyle w:val="BodyText"/>
        <w:spacing w:line="237" w:lineRule="auto"/>
        <w:ind w:left="623" w:right="0"/>
        <w:jc w:val="left"/>
      </w:pPr>
      <w:r>
        <w:rPr/>
        <w:t>如果两个或多个经营分部存在相似经济特征且同时在各单项产品或劳务的性质、生产过程的性质、</w:t>
      </w:r>
      <w:r>
        <w:rPr>
          <w:spacing w:val="-72"/>
        </w:rPr>
        <w:t> </w:t>
      </w:r>
      <w:r>
        <w:rPr>
          <w:spacing w:val="-72"/>
        </w:rPr>
      </w:r>
      <w:r>
        <w:rPr>
          <w:spacing w:val="-3"/>
        </w:rPr>
        <w:t>产品或劳务的用户类型、销售产品或提供劳务的方式、生产产品及提供劳务受法律及行政法规的影</w:t>
      </w:r>
      <w:r>
        <w:rPr>
          <w:spacing w:val="-50"/>
        </w:rPr>
        <w:t> </w:t>
      </w:r>
      <w:r>
        <w:rPr>
          <w:spacing w:val="-50"/>
        </w:rPr>
      </w:r>
      <w:r>
        <w:rPr/>
        <w:t>响等方面具有相同或相似性的，可以合并为一个经营分部。</w:t>
      </w:r>
    </w:p>
    <w:p>
      <w:pPr>
        <w:spacing w:line="240" w:lineRule="auto" w:before="12"/>
        <w:rPr>
          <w:rFonts w:ascii="宋体" w:hAnsi="宋体" w:cs="宋体" w:eastAsia="宋体" w:hint="default"/>
          <w:sz w:val="16"/>
          <w:szCs w:val="16"/>
        </w:rPr>
      </w:pPr>
    </w:p>
    <w:p>
      <w:pPr>
        <w:pStyle w:val="BodyText"/>
        <w:spacing w:line="240" w:lineRule="auto"/>
        <w:ind w:left="133" w:right="0"/>
        <w:jc w:val="left"/>
      </w:pPr>
      <w:r>
        <w:rPr>
          <w:rFonts w:ascii="Arial" w:hAnsi="Arial" w:cs="Arial" w:eastAsia="Arial" w:hint="default"/>
        </w:rPr>
        <w:t>30</w:t>
      </w:r>
      <w:r>
        <w:rPr/>
        <w:t>、非货币性资产交换</w:t>
      </w:r>
    </w:p>
    <w:p>
      <w:pPr>
        <w:spacing w:line="240" w:lineRule="auto" w:before="3"/>
        <w:rPr>
          <w:rFonts w:ascii="宋体" w:hAnsi="宋体" w:cs="宋体" w:eastAsia="宋体" w:hint="default"/>
          <w:sz w:val="15"/>
          <w:szCs w:val="15"/>
        </w:rPr>
      </w:pPr>
    </w:p>
    <w:p>
      <w:pPr>
        <w:pStyle w:val="BodyText"/>
        <w:spacing w:line="237" w:lineRule="auto"/>
        <w:ind w:left="599" w:right="331"/>
        <w:jc w:val="both"/>
      </w:pPr>
      <w:r>
        <w:rPr>
          <w:spacing w:val="-2"/>
        </w:rPr>
        <w:t>本集团以固定资产、无形资产、投资性房地产和长期股权投资等非货币性资产进行交换时，不涉及</w:t>
      </w:r>
      <w:r>
        <w:rPr>
          <w:spacing w:val="-75"/>
        </w:rPr>
        <w:t> </w:t>
      </w:r>
      <w:r>
        <w:rPr>
          <w:spacing w:val="-75"/>
        </w:rPr>
      </w:r>
      <w:r>
        <w:rPr>
          <w:spacing w:val="-2"/>
        </w:rPr>
        <w:t>或仅涉及少量货币性资产（即补价）时，对该等交易按照非货币性资产交换进行处理。对于换入资</w:t>
      </w:r>
      <w:r>
        <w:rPr>
          <w:spacing w:val="-70"/>
        </w:rPr>
        <w:t> </w:t>
      </w:r>
      <w:r>
        <w:rPr>
          <w:spacing w:val="-70"/>
        </w:rPr>
      </w:r>
      <w:r>
        <w:rPr>
          <w:spacing w:val="-2"/>
        </w:rPr>
        <w:t>产，在换入资产符合资产定义并满足资产确认条件时予以确认；对于换出资产，在换出资产满足资</w:t>
      </w:r>
      <w:r>
        <w:rPr>
          <w:spacing w:val="-70"/>
        </w:rPr>
        <w:t> </w:t>
      </w:r>
      <w:r>
        <w:rPr>
          <w:spacing w:val="-70"/>
        </w:rPr>
      </w:r>
      <w:r>
        <w:rPr>
          <w:spacing w:val="-2"/>
        </w:rPr>
        <w:t>产终止确认条件时终止确认。换入资产的确认时点与换出资产的终止确认时点存在不一致的，本集</w:t>
      </w:r>
      <w:r>
        <w:rPr>
          <w:spacing w:val="-73"/>
        </w:rPr>
        <w:t> </w:t>
      </w:r>
      <w:r>
        <w:rPr>
          <w:spacing w:val="-73"/>
        </w:rPr>
      </w:r>
      <w:r>
        <w:rPr/>
        <w:t>团在资产负债表日按以下原则进行处理：</w:t>
      </w:r>
    </w:p>
    <w:p>
      <w:pPr>
        <w:spacing w:line="240" w:lineRule="auto" w:before="5"/>
        <w:rPr>
          <w:rFonts w:ascii="宋体" w:hAnsi="宋体" w:cs="宋体" w:eastAsia="宋体" w:hint="default"/>
          <w:sz w:val="21"/>
          <w:szCs w:val="21"/>
        </w:rPr>
      </w:pPr>
    </w:p>
    <w:p>
      <w:pPr>
        <w:pStyle w:val="BodyText"/>
        <w:tabs>
          <w:tab w:pos="915" w:val="left" w:leader="none"/>
        </w:tabs>
        <w:spacing w:line="284" w:lineRule="exact"/>
        <w:ind w:left="916" w:right="339" w:hanging="360"/>
        <w:jc w:val="left"/>
      </w:pPr>
      <w:r>
        <w:rPr>
          <w:rFonts w:ascii="Arial" w:hAnsi="Arial" w:cs="Arial" w:eastAsia="Arial" w:hint="default"/>
          <w:sz w:val="20"/>
          <w:szCs w:val="20"/>
        </w:rPr>
        <w:t>-</w:t>
        <w:tab/>
      </w:r>
      <w:r>
        <w:rPr/>
        <w:t>换入资产满足资产确认条件，换出资产尚未满足终止确认条件的，在确认换入资产的同时将交</w:t>
      </w:r>
      <w:r>
        <w:rPr>
          <w:spacing w:val="-46"/>
        </w:rPr>
        <w:t> </w:t>
      </w:r>
      <w:r>
        <w:rPr>
          <w:spacing w:val="-46"/>
        </w:rPr>
      </w:r>
      <w:r>
        <w:rPr/>
        <w:t>付换出资产的义务确认为一项负债；</w:t>
      </w:r>
    </w:p>
    <w:p>
      <w:pPr>
        <w:spacing w:line="240" w:lineRule="auto" w:before="12"/>
        <w:rPr>
          <w:rFonts w:ascii="宋体" w:hAnsi="宋体" w:cs="宋体" w:eastAsia="宋体" w:hint="default"/>
          <w:sz w:val="17"/>
          <w:szCs w:val="17"/>
        </w:rPr>
      </w:pPr>
    </w:p>
    <w:p>
      <w:pPr>
        <w:pStyle w:val="BodyText"/>
        <w:tabs>
          <w:tab w:pos="915" w:val="left" w:leader="none"/>
        </w:tabs>
        <w:spacing w:line="284" w:lineRule="exact"/>
        <w:ind w:left="916" w:right="339" w:hanging="360"/>
        <w:jc w:val="left"/>
      </w:pPr>
      <w:r>
        <w:rPr>
          <w:rFonts w:ascii="Arial" w:hAnsi="Arial" w:cs="Arial" w:eastAsia="Arial" w:hint="default"/>
          <w:sz w:val="20"/>
          <w:szCs w:val="20"/>
        </w:rPr>
        <w:t>-</w:t>
        <w:tab/>
      </w:r>
      <w:r>
        <w:rPr/>
        <w:t>换入资产尚未满足资产确认条件，换出资产满足终止确认条件的，在终止确认换出资产的同时</w:t>
      </w:r>
      <w:r>
        <w:rPr>
          <w:spacing w:val="-46"/>
        </w:rPr>
        <w:t> </w:t>
      </w:r>
      <w:r>
        <w:rPr>
          <w:spacing w:val="-46"/>
        </w:rPr>
      </w:r>
      <w:r>
        <w:rPr/>
        <w:t>将取得换入资产的权利确认为一项资产。</w:t>
      </w:r>
    </w:p>
    <w:p>
      <w:pPr>
        <w:spacing w:line="240" w:lineRule="auto" w:before="6"/>
        <w:rPr>
          <w:rFonts w:ascii="宋体" w:hAnsi="宋体" w:cs="宋体" w:eastAsia="宋体" w:hint="default"/>
          <w:sz w:val="17"/>
          <w:szCs w:val="17"/>
        </w:rPr>
      </w:pPr>
    </w:p>
    <w:p>
      <w:pPr>
        <w:pStyle w:val="BodyText"/>
        <w:spacing w:line="235" w:lineRule="auto"/>
        <w:ind w:left="555" w:right="330"/>
        <w:jc w:val="both"/>
      </w:pPr>
      <w:r>
        <w:rPr/>
        <w:t>非货币性资产交换同时满足</w:t>
      </w:r>
      <w:r>
        <w:rPr>
          <w:rFonts w:ascii="Arial" w:hAnsi="Arial" w:cs="Arial" w:eastAsia="Arial" w:hint="default"/>
        </w:rPr>
        <w:t>(1)</w:t>
      </w:r>
      <w:r>
        <w:rPr/>
        <w:t>该项交换具有商业实质，及</w:t>
      </w:r>
      <w:r>
        <w:rPr>
          <w:rFonts w:ascii="Arial" w:hAnsi="Arial" w:cs="Arial" w:eastAsia="Arial" w:hint="default"/>
        </w:rPr>
        <w:t>(2)</w:t>
      </w:r>
      <w:r>
        <w:rPr/>
        <w:t>换入资产或换出资产的公允价值能够</w:t>
      </w:r>
      <w:r>
        <w:rPr>
          <w:spacing w:val="-5"/>
        </w:rPr>
        <w:t> </w:t>
      </w:r>
      <w:r>
        <w:rPr>
          <w:spacing w:val="-5"/>
        </w:rPr>
      </w:r>
      <w:r>
        <w:rPr>
          <w:spacing w:val="-1"/>
        </w:rPr>
        <w:t>可靠地计量这两项条件的，以换出资产的公允价值为基础计量，但有确凿证据表明换入资产的公允</w:t>
      </w:r>
      <w:r>
        <w:rPr>
          <w:spacing w:val="-68"/>
        </w:rPr>
        <w:t> </w:t>
      </w:r>
      <w:r>
        <w:rPr>
          <w:spacing w:val="-68"/>
        </w:rPr>
      </w:r>
      <w:r>
        <w:rPr>
          <w:spacing w:val="-1"/>
        </w:rPr>
        <w:t>价值更加可靠的除外。对于换入资产，本集团以换出资产公允价值和应支付的相关税费作为换入资</w:t>
      </w:r>
      <w:r>
        <w:rPr>
          <w:spacing w:val="-68"/>
        </w:rPr>
        <w:t> </w:t>
      </w:r>
      <w:r>
        <w:rPr>
          <w:spacing w:val="-68"/>
        </w:rPr>
      </w:r>
      <w:r>
        <w:rPr>
          <w:spacing w:val="-1"/>
        </w:rPr>
        <w:t>产的成本进行初始计量；对于换出资产，本集团在终止确认时将换出资产的公允价值与其账面价值</w:t>
      </w:r>
      <w:r>
        <w:rPr>
          <w:spacing w:val="-68"/>
        </w:rPr>
        <w:t> </w:t>
      </w:r>
      <w:r>
        <w:rPr>
          <w:spacing w:val="-68"/>
        </w:rPr>
      </w:r>
      <w:r>
        <w:rPr>
          <w:spacing w:val="-1"/>
        </w:rPr>
        <w:t>的差额计入当期损益。未同时满足上述两项条件的非货币性资产交换，本集团以账面价值为基础计</w:t>
      </w:r>
      <w:r>
        <w:rPr>
          <w:spacing w:val="-68"/>
        </w:rPr>
        <w:t> </w:t>
      </w:r>
      <w:r>
        <w:rPr>
          <w:spacing w:val="-68"/>
        </w:rPr>
      </w:r>
      <w:r>
        <w:rPr>
          <w:spacing w:val="-1"/>
        </w:rPr>
        <w:t>量。对于换入资产，本集团以换出资产的账面价值和应支付的相关税费作为换入资产的初始计量金</w:t>
      </w:r>
      <w:r>
        <w:rPr>
          <w:spacing w:val="-68"/>
        </w:rPr>
        <w:t> </w:t>
      </w:r>
      <w:r>
        <w:rPr>
          <w:spacing w:val="-68"/>
        </w:rPr>
      </w:r>
      <w:r>
        <w:rPr/>
        <w:t>额；对于换出资产，终止确认时不确认损益。</w:t>
      </w:r>
    </w:p>
    <w:p>
      <w:pPr>
        <w:pStyle w:val="BodyText"/>
        <w:spacing w:line="240" w:lineRule="auto" w:before="197"/>
        <w:ind w:left="133" w:right="0"/>
        <w:jc w:val="left"/>
      </w:pPr>
      <w:r>
        <w:rPr>
          <w:rFonts w:ascii="Arial" w:hAnsi="Arial" w:cs="Arial" w:eastAsia="Arial" w:hint="default"/>
        </w:rPr>
        <w:t>31</w:t>
      </w:r>
      <w:r>
        <w:rPr/>
        <w:t>、与少数股东之间的交易</w:t>
      </w:r>
    </w:p>
    <w:p>
      <w:pPr>
        <w:spacing w:line="240" w:lineRule="auto" w:before="13"/>
        <w:rPr>
          <w:rFonts w:ascii="宋体" w:hAnsi="宋体" w:cs="宋体" w:eastAsia="宋体" w:hint="default"/>
          <w:sz w:val="16"/>
          <w:szCs w:val="16"/>
        </w:rPr>
      </w:pPr>
    </w:p>
    <w:p>
      <w:pPr>
        <w:pStyle w:val="BodyText"/>
        <w:spacing w:line="237" w:lineRule="auto"/>
        <w:ind w:left="599" w:right="0"/>
        <w:jc w:val="left"/>
      </w:pPr>
      <w:r>
        <w:rPr/>
        <w:t>在不影响控制权的情况下，导致本公司对子公司持股比例发生变化的交易属于与少数股东之间的交</w:t>
      </w:r>
      <w:r>
        <w:rPr>
          <w:w w:val="100"/>
        </w:rPr>
        <w:t> </w:t>
      </w:r>
      <w:r>
        <w:rPr/>
        <w:t>易。对于与少数股东之间的交易，在合并财务报表中，子公司的资产、负债以购买日或合并日开始</w:t>
      </w:r>
      <w:r>
        <w:rPr>
          <w:w w:val="100"/>
        </w:rPr>
        <w:t> </w:t>
      </w:r>
      <w:r>
        <w:rPr/>
        <w:t>持续计算的金额反映，增加或减少的长期股权投资与按照本公司新的持股比例计算应享有子公司自</w:t>
      </w:r>
      <w:r>
        <w:rPr>
          <w:w w:val="100"/>
        </w:rPr>
        <w:t> </w:t>
      </w:r>
      <w:r>
        <w:rPr>
          <w:spacing w:val="-2"/>
        </w:rPr>
        <w:t>购买日或合并日开始持续计算的净资产份额之间的差额调整资本公积，资本公积的金额不足冲减的，</w:t>
      </w:r>
      <w:r>
        <w:rPr>
          <w:spacing w:val="-70"/>
        </w:rPr>
        <w:t> </w:t>
      </w:r>
      <w:r>
        <w:rPr>
          <w:spacing w:val="-70"/>
        </w:rPr>
      </w:r>
      <w:r>
        <w:rPr/>
        <w:t>调整留存收益。</w:t>
      </w:r>
    </w:p>
    <w:p>
      <w:pPr>
        <w:spacing w:after="0" w:line="237" w:lineRule="auto"/>
        <w:jc w:val="left"/>
        <w:sectPr>
          <w:headerReference w:type="default" r:id="rId131"/>
          <w:pgSz w:w="11910" w:h="16840"/>
          <w:pgMar w:header="842" w:footer="502" w:top="2700" w:bottom="700" w:left="860" w:right="700"/>
        </w:sectPr>
      </w:pPr>
    </w:p>
    <w:p>
      <w:pPr>
        <w:spacing w:line="240" w:lineRule="auto" w:before="4"/>
        <w:rPr>
          <w:rFonts w:ascii="宋体" w:hAnsi="宋体" w:cs="宋体" w:eastAsia="宋体" w:hint="default"/>
          <w:sz w:val="14"/>
          <w:szCs w:val="14"/>
        </w:rPr>
      </w:pPr>
    </w:p>
    <w:p>
      <w:pPr>
        <w:pStyle w:val="BodyText"/>
        <w:spacing w:line="240" w:lineRule="auto" w:before="32"/>
        <w:ind w:left="133" w:right="0"/>
        <w:jc w:val="left"/>
      </w:pPr>
      <w:r>
        <w:rPr>
          <w:rFonts w:ascii="Arial" w:hAnsi="Arial" w:cs="Arial" w:eastAsia="Arial" w:hint="default"/>
        </w:rPr>
        <w:t>32</w:t>
      </w:r>
      <w:r>
        <w:rPr/>
        <w:t>、关联方</w:t>
      </w:r>
    </w:p>
    <w:p>
      <w:pPr>
        <w:spacing w:line="240" w:lineRule="auto" w:before="11"/>
        <w:rPr>
          <w:rFonts w:ascii="宋体" w:hAnsi="宋体" w:cs="宋体" w:eastAsia="宋体" w:hint="default"/>
          <w:sz w:val="15"/>
          <w:szCs w:val="15"/>
        </w:rPr>
      </w:pPr>
    </w:p>
    <w:p>
      <w:pPr>
        <w:pStyle w:val="BodyText"/>
        <w:spacing w:line="237" w:lineRule="auto"/>
        <w:ind w:left="599" w:right="0"/>
        <w:jc w:val="left"/>
      </w:pPr>
      <w:r>
        <w:rPr>
          <w:spacing w:val="-2"/>
        </w:rPr>
        <w:t>一方控制、共同控制另一方或对另一方施加重大影响，以及两方或两方以上同受一方控制、共同控</w:t>
      </w:r>
      <w:r>
        <w:rPr>
          <w:spacing w:val="-70"/>
        </w:rPr>
        <w:t> </w:t>
      </w:r>
      <w:r>
        <w:rPr>
          <w:spacing w:val="-70"/>
        </w:rPr>
      </w:r>
      <w:r>
        <w:rPr/>
        <w:t>制的，构成关联方。关联方可为个人或企业。仅仅同受国家控制而不存在其他关联方关系的企业，</w:t>
      </w:r>
      <w:r>
        <w:rPr>
          <w:spacing w:val="-56"/>
        </w:rPr>
        <w:t> </w:t>
      </w:r>
      <w:r>
        <w:rPr>
          <w:spacing w:val="-56"/>
        </w:rPr>
      </w:r>
      <w:r>
        <w:rPr/>
        <w:t>不构成关联方。</w:t>
      </w:r>
    </w:p>
    <w:p>
      <w:pPr>
        <w:spacing w:line="240" w:lineRule="auto" w:before="1"/>
        <w:rPr>
          <w:rFonts w:ascii="宋体" w:hAnsi="宋体" w:cs="宋体" w:eastAsia="宋体" w:hint="default"/>
          <w:sz w:val="19"/>
          <w:szCs w:val="19"/>
        </w:rPr>
      </w:pPr>
    </w:p>
    <w:p>
      <w:pPr>
        <w:pStyle w:val="BodyText"/>
        <w:spacing w:line="240" w:lineRule="auto"/>
        <w:ind w:left="599" w:right="0"/>
        <w:jc w:val="left"/>
      </w:pPr>
      <w:r>
        <w:rPr>
          <w:w w:val="100"/>
        </w:rPr>
        <w:t>此外</w:t>
      </w:r>
      <w:r>
        <w:rPr>
          <w:spacing w:val="-92"/>
          <w:w w:val="100"/>
        </w:rPr>
        <w:t>，</w:t>
      </w:r>
      <w:r>
        <w:rPr>
          <w:w w:val="100"/>
        </w:rPr>
        <w:t>本公司同时根</w:t>
      </w:r>
      <w:r>
        <w:rPr>
          <w:spacing w:val="-5"/>
          <w:w w:val="100"/>
        </w:rPr>
        <w:t>据</w:t>
      </w:r>
      <w:r>
        <w:rPr>
          <w:w w:val="100"/>
        </w:rPr>
        <w:t>证监会颁布</w:t>
      </w:r>
      <w:r>
        <w:rPr>
          <w:spacing w:val="-92"/>
          <w:w w:val="100"/>
        </w:rPr>
        <w:t>的</w:t>
      </w:r>
      <w:r>
        <w:rPr>
          <w:w w:val="100"/>
        </w:rPr>
        <w:t>《</w:t>
      </w:r>
      <w:r>
        <w:rPr>
          <w:spacing w:val="-5"/>
          <w:w w:val="100"/>
        </w:rPr>
        <w:t>上</w:t>
      </w:r>
      <w:r>
        <w:rPr>
          <w:w w:val="100"/>
        </w:rPr>
        <w:t>市公司信</w:t>
      </w:r>
      <w:r>
        <w:rPr>
          <w:spacing w:val="-5"/>
          <w:w w:val="100"/>
        </w:rPr>
        <w:t>息</w:t>
      </w:r>
      <w:r>
        <w:rPr>
          <w:w w:val="100"/>
        </w:rPr>
        <w:t>披露管理办法</w:t>
      </w:r>
      <w:r>
        <w:rPr>
          <w:spacing w:val="-92"/>
          <w:w w:val="100"/>
        </w:rPr>
        <w:t>》</w:t>
      </w:r>
      <w:r>
        <w:rPr>
          <w:w w:val="100"/>
        </w:rPr>
        <w:t>确定</w:t>
      </w:r>
      <w:r>
        <w:rPr>
          <w:spacing w:val="-5"/>
          <w:w w:val="100"/>
        </w:rPr>
        <w:t>本</w:t>
      </w:r>
      <w:r>
        <w:rPr>
          <w:w w:val="100"/>
        </w:rPr>
        <w:t>集团或本公</w:t>
      </w:r>
      <w:r>
        <w:rPr>
          <w:spacing w:val="-5"/>
          <w:w w:val="100"/>
        </w:rPr>
        <w:t>司</w:t>
      </w:r>
      <w:r>
        <w:rPr>
          <w:w w:val="100"/>
        </w:rPr>
        <w:t>的关联方。</w:t>
      </w:r>
    </w:p>
    <w:p>
      <w:pPr>
        <w:spacing w:line="240" w:lineRule="auto" w:before="4"/>
        <w:rPr>
          <w:rFonts w:ascii="宋体" w:hAnsi="宋体" w:cs="宋体" w:eastAsia="宋体" w:hint="default"/>
          <w:sz w:val="18"/>
          <w:szCs w:val="18"/>
        </w:rPr>
      </w:pPr>
    </w:p>
    <w:p>
      <w:pPr>
        <w:pStyle w:val="BodyText"/>
        <w:spacing w:line="240" w:lineRule="auto"/>
        <w:ind w:left="133" w:right="0"/>
        <w:jc w:val="left"/>
      </w:pPr>
      <w:r>
        <w:rPr>
          <w:rFonts w:ascii="Arial" w:hAnsi="Arial" w:cs="Arial" w:eastAsia="Arial" w:hint="default"/>
        </w:rPr>
        <w:t>33</w:t>
      </w:r>
      <w:r>
        <w:rPr/>
        <w:t>、会计政策变更</w:t>
      </w:r>
    </w:p>
    <w:p>
      <w:pPr>
        <w:spacing w:line="240" w:lineRule="auto" w:before="10"/>
        <w:rPr>
          <w:rFonts w:ascii="宋体" w:hAnsi="宋体" w:cs="宋体" w:eastAsia="宋体" w:hint="default"/>
          <w:sz w:val="16"/>
          <w:szCs w:val="16"/>
        </w:rPr>
      </w:pPr>
    </w:p>
    <w:p>
      <w:pPr>
        <w:pStyle w:val="BodyText"/>
        <w:spacing w:line="424" w:lineRule="auto"/>
        <w:ind w:left="493" w:right="603" w:hanging="361"/>
        <w:jc w:val="left"/>
      </w:pPr>
      <w:r>
        <w:rPr>
          <w:rFonts w:ascii="Arial" w:hAnsi="Arial" w:cs="Arial" w:eastAsia="Arial" w:hint="default"/>
        </w:rPr>
        <w:t>(1)</w:t>
      </w:r>
      <w:r>
        <w:rPr>
          <w:rFonts w:ascii="Arial" w:hAnsi="Arial" w:cs="Arial" w:eastAsia="Arial" w:hint="default"/>
          <w:spacing w:val="25"/>
        </w:rPr>
        <w:t> </w:t>
      </w:r>
      <w:r>
        <w:rPr/>
        <w:t>会计政策变更的内容及原因</w:t>
      </w:r>
      <w:r>
        <w:rPr>
          <w:spacing w:val="-105"/>
        </w:rPr>
        <w:t> </w:t>
      </w:r>
      <w:r>
        <w:rPr>
          <w:spacing w:val="-105"/>
        </w:rPr>
      </w:r>
      <w:r>
        <w:rPr>
          <w:spacing w:val="-1"/>
        </w:rPr>
        <w:t>本集团于</w:t>
      </w:r>
      <w:r>
        <w:rPr>
          <w:rFonts w:ascii="Arial" w:hAnsi="Arial" w:cs="Arial" w:eastAsia="Arial" w:hint="default"/>
          <w:spacing w:val="-1"/>
        </w:rPr>
        <w:t>2019</w:t>
      </w:r>
      <w:r>
        <w:rPr>
          <w:spacing w:val="-1"/>
        </w:rPr>
        <w:t>年度执行了财政部于近年颁布的以下企业会计准则修订：</w:t>
      </w:r>
    </w:p>
    <w:p>
      <w:pPr>
        <w:pStyle w:val="BodyText"/>
        <w:tabs>
          <w:tab w:pos="968" w:val="left" w:leader="none"/>
        </w:tabs>
        <w:spacing w:line="296" w:lineRule="exact" w:before="44"/>
        <w:ind w:left="599" w:right="0"/>
        <w:jc w:val="left"/>
        <w:rPr>
          <w:rFonts w:ascii="Arial" w:hAnsi="Arial" w:cs="Arial" w:eastAsia="Arial" w:hint="default"/>
        </w:rPr>
      </w:pPr>
      <w:r>
        <w:rPr>
          <w:rFonts w:ascii="Arial" w:hAnsi="Arial" w:cs="Arial" w:eastAsia="Arial" w:hint="default"/>
        </w:rPr>
        <w:t>-</w:t>
        <w:tab/>
      </w:r>
      <w:r>
        <w:rPr/>
        <w:t>《企业会计准则第</w:t>
      </w:r>
      <w:r>
        <w:rPr>
          <w:rFonts w:ascii="Arial" w:hAnsi="Arial" w:cs="Arial" w:eastAsia="Arial" w:hint="default"/>
        </w:rPr>
        <w:t>21</w:t>
      </w:r>
      <w:r>
        <w:rPr/>
        <w:t>号</w:t>
      </w:r>
      <w:r>
        <w:rPr>
          <w:rFonts w:ascii="宋体" w:hAnsi="宋体" w:cs="宋体" w:eastAsia="宋体" w:hint="default"/>
        </w:rPr>
        <w:t>——</w:t>
      </w:r>
      <w:r>
        <w:rPr/>
        <w:t>租赁</w:t>
      </w:r>
      <w:r>
        <w:rPr>
          <w:rFonts w:ascii="Arial" w:hAnsi="Arial" w:cs="Arial" w:eastAsia="Arial" w:hint="default"/>
        </w:rPr>
        <w:t>(</w:t>
      </w:r>
      <w:r>
        <w:rPr/>
        <w:t>修订</w:t>
      </w:r>
      <w:r>
        <w:rPr>
          <w:rFonts w:ascii="Arial" w:hAnsi="Arial" w:cs="Arial" w:eastAsia="Arial" w:hint="default"/>
        </w:rPr>
        <w:t>)</w:t>
      </w:r>
      <w:r>
        <w:rPr/>
        <w:t>》</w:t>
      </w:r>
      <w:r>
        <w:rPr>
          <w:rFonts w:ascii="Arial" w:hAnsi="Arial" w:cs="Arial" w:eastAsia="Arial" w:hint="default"/>
        </w:rPr>
        <w:t>(</w:t>
      </w:r>
      <w:r>
        <w:rPr/>
        <w:t>“新租赁准则”</w:t>
      </w:r>
      <w:r>
        <w:rPr>
          <w:rFonts w:ascii="Arial" w:hAnsi="Arial" w:cs="Arial" w:eastAsia="Arial" w:hint="default"/>
        </w:rPr>
        <w:t>)</w:t>
      </w:r>
    </w:p>
    <w:p>
      <w:pPr>
        <w:pStyle w:val="BodyText"/>
        <w:tabs>
          <w:tab w:pos="968" w:val="left" w:leader="none"/>
        </w:tabs>
        <w:spacing w:line="286" w:lineRule="exact"/>
        <w:ind w:left="599" w:right="0"/>
        <w:jc w:val="left"/>
      </w:pPr>
      <w:r>
        <w:rPr>
          <w:rFonts w:ascii="Arial" w:hAnsi="Arial" w:cs="Arial" w:eastAsia="Arial" w:hint="default"/>
        </w:rPr>
        <w:t>-</w:t>
        <w:tab/>
      </w:r>
      <w:r>
        <w:rPr/>
        <w:t>《关于修订印发</w:t>
      </w:r>
      <w:r>
        <w:rPr>
          <w:rFonts w:ascii="Arial" w:hAnsi="Arial" w:cs="Arial" w:eastAsia="Arial" w:hint="default"/>
        </w:rPr>
        <w:t>2019</w:t>
      </w:r>
      <w:r>
        <w:rPr/>
        <w:t>年度一般企业财务报表格式的通知》</w:t>
      </w:r>
      <w:r>
        <w:rPr>
          <w:rFonts w:ascii="Arial" w:hAnsi="Arial" w:cs="Arial" w:eastAsia="Arial" w:hint="default"/>
        </w:rPr>
        <w:t>(</w:t>
      </w:r>
      <w:r>
        <w:rPr/>
        <w:t>财会</w:t>
      </w:r>
      <w:r>
        <w:rPr>
          <w:rFonts w:ascii="Arial" w:hAnsi="Arial" w:cs="Arial" w:eastAsia="Arial" w:hint="default"/>
        </w:rPr>
        <w:t>[2019]6</w:t>
      </w:r>
      <w:r>
        <w:rPr/>
        <w:t>号</w:t>
      </w:r>
      <w:r>
        <w:rPr>
          <w:rFonts w:ascii="Arial" w:hAnsi="Arial" w:cs="Arial" w:eastAsia="Arial" w:hint="default"/>
        </w:rPr>
        <w:t>)</w:t>
      </w:r>
      <w:r>
        <w:rPr/>
        <w:t>；</w:t>
      </w:r>
    </w:p>
    <w:p>
      <w:pPr>
        <w:pStyle w:val="BodyText"/>
        <w:tabs>
          <w:tab w:pos="968" w:val="left" w:leader="none"/>
        </w:tabs>
        <w:spacing w:line="286" w:lineRule="exact"/>
        <w:ind w:left="599" w:right="0"/>
        <w:jc w:val="left"/>
        <w:rPr>
          <w:rFonts w:ascii="Arial" w:hAnsi="Arial" w:cs="Arial" w:eastAsia="Arial" w:hint="default"/>
        </w:rPr>
      </w:pPr>
      <w:r>
        <w:rPr>
          <w:rFonts w:ascii="Arial" w:hAnsi="Arial" w:cs="Arial" w:eastAsia="Arial" w:hint="default"/>
        </w:rPr>
        <w:t>-</w:t>
        <w:tab/>
      </w:r>
      <w:r>
        <w:rPr/>
        <w:t>《关于修订印发合并财务报表格式（</w:t>
      </w:r>
      <w:r>
        <w:rPr>
          <w:rFonts w:ascii="Arial" w:hAnsi="Arial" w:cs="Arial" w:eastAsia="Arial" w:hint="default"/>
        </w:rPr>
        <w:t>2019</w:t>
      </w:r>
      <w:r>
        <w:rPr/>
        <w:t>版）的通知》</w:t>
      </w:r>
      <w:r>
        <w:rPr>
          <w:rFonts w:ascii="Arial" w:hAnsi="Arial" w:cs="Arial" w:eastAsia="Arial" w:hint="default"/>
        </w:rPr>
        <w:t>(</w:t>
      </w:r>
      <w:r>
        <w:rPr/>
        <w:t>财会</w:t>
      </w:r>
      <w:r>
        <w:rPr>
          <w:rFonts w:ascii="Arial" w:hAnsi="Arial" w:cs="Arial" w:eastAsia="Arial" w:hint="default"/>
        </w:rPr>
        <w:t>[2019]16</w:t>
      </w:r>
      <w:r>
        <w:rPr/>
        <w:t>号</w:t>
      </w:r>
      <w:r>
        <w:rPr>
          <w:rFonts w:ascii="Arial" w:hAnsi="Arial" w:cs="Arial" w:eastAsia="Arial" w:hint="default"/>
        </w:rPr>
        <w:t>)</w:t>
      </w:r>
    </w:p>
    <w:p>
      <w:pPr>
        <w:pStyle w:val="BodyText"/>
        <w:tabs>
          <w:tab w:pos="968" w:val="left" w:leader="none"/>
        </w:tabs>
        <w:spacing w:line="286" w:lineRule="exact"/>
        <w:ind w:left="599" w:right="0"/>
        <w:jc w:val="left"/>
        <w:rPr>
          <w:rFonts w:ascii="Arial" w:hAnsi="Arial" w:cs="Arial" w:eastAsia="Arial" w:hint="default"/>
        </w:rPr>
      </w:pPr>
      <w:r>
        <w:rPr>
          <w:rFonts w:ascii="Arial" w:hAnsi="Arial" w:cs="Arial" w:eastAsia="Arial" w:hint="default"/>
        </w:rPr>
        <w:t>-</w:t>
        <w:tab/>
      </w:r>
      <w:r>
        <w:rPr/>
        <w:t>《企业会计准则第</w:t>
      </w:r>
      <w:r>
        <w:rPr>
          <w:rFonts w:ascii="Arial" w:hAnsi="Arial" w:cs="Arial" w:eastAsia="Arial" w:hint="default"/>
        </w:rPr>
        <w:t>7</w:t>
      </w:r>
      <w:r>
        <w:rPr/>
        <w:t>号</w:t>
      </w:r>
      <w:r>
        <w:rPr>
          <w:rFonts w:ascii="宋体" w:hAnsi="宋体" w:cs="宋体" w:eastAsia="宋体" w:hint="default"/>
        </w:rPr>
        <w:t>——</w:t>
      </w:r>
      <w:r>
        <w:rPr/>
        <w:t>非货币性资产交换（修订）》</w:t>
      </w:r>
      <w:r>
        <w:rPr>
          <w:rFonts w:ascii="Arial" w:hAnsi="Arial" w:cs="Arial" w:eastAsia="Arial" w:hint="default"/>
        </w:rPr>
        <w:t>(</w:t>
      </w:r>
      <w:r>
        <w:rPr/>
        <w:t>“准则</w:t>
      </w:r>
      <w:r>
        <w:rPr>
          <w:rFonts w:ascii="Arial" w:hAnsi="Arial" w:cs="Arial" w:eastAsia="Arial" w:hint="default"/>
        </w:rPr>
        <w:t>7</w:t>
      </w:r>
      <w:r>
        <w:rPr/>
        <w:t>号</w:t>
      </w:r>
      <w:r>
        <w:rPr>
          <w:rFonts w:ascii="Arial" w:hAnsi="Arial" w:cs="Arial" w:eastAsia="Arial" w:hint="default"/>
        </w:rPr>
        <w:t>(2019)</w:t>
      </w:r>
      <w:r>
        <w:rPr/>
        <w:t>”</w:t>
      </w:r>
      <w:r>
        <w:rPr>
          <w:rFonts w:ascii="Arial" w:hAnsi="Arial" w:cs="Arial" w:eastAsia="Arial" w:hint="default"/>
        </w:rPr>
        <w:t>)</w:t>
      </w:r>
    </w:p>
    <w:p>
      <w:pPr>
        <w:pStyle w:val="BodyText"/>
        <w:tabs>
          <w:tab w:pos="968" w:val="left" w:leader="none"/>
        </w:tabs>
        <w:spacing w:line="417" w:lineRule="auto"/>
        <w:ind w:left="147" w:right="2483" w:firstLine="451"/>
        <w:jc w:val="left"/>
      </w:pPr>
      <w:r>
        <w:rPr>
          <w:rFonts w:ascii="Arial" w:hAnsi="Arial" w:cs="Arial" w:eastAsia="Arial" w:hint="default"/>
        </w:rPr>
        <w:t>-</w:t>
        <w:tab/>
      </w:r>
      <w:r>
        <w:rPr>
          <w:spacing w:val="-1"/>
        </w:rPr>
        <w:t>《企业会计准则第</w:t>
      </w:r>
      <w:r>
        <w:rPr>
          <w:rFonts w:ascii="Arial" w:hAnsi="Arial" w:cs="Arial" w:eastAsia="Arial" w:hint="default"/>
          <w:spacing w:val="-1"/>
        </w:rPr>
        <w:t>12</w:t>
      </w:r>
      <w:r>
        <w:rPr>
          <w:spacing w:val="-1"/>
        </w:rPr>
        <w:t>号</w:t>
      </w:r>
      <w:r>
        <w:rPr>
          <w:rFonts w:ascii="宋体" w:hAnsi="宋体" w:cs="宋体" w:eastAsia="宋体" w:hint="default"/>
          <w:spacing w:val="-1"/>
        </w:rPr>
        <w:t>——</w:t>
      </w:r>
      <w:r>
        <w:rPr>
          <w:spacing w:val="-1"/>
        </w:rPr>
        <w:t>债务重组（修订）》</w:t>
      </w:r>
      <w:r>
        <w:rPr>
          <w:rFonts w:ascii="Arial" w:hAnsi="Arial" w:cs="Arial" w:eastAsia="Arial" w:hint="default"/>
          <w:spacing w:val="-1"/>
        </w:rPr>
        <w:t>(</w:t>
      </w:r>
      <w:r>
        <w:rPr>
          <w:spacing w:val="-1"/>
        </w:rPr>
        <w:t>“准则</w:t>
      </w:r>
      <w:r>
        <w:rPr>
          <w:rFonts w:ascii="Arial" w:hAnsi="Arial" w:cs="Arial" w:eastAsia="Arial" w:hint="default"/>
          <w:spacing w:val="-1"/>
        </w:rPr>
        <w:t>12</w:t>
      </w:r>
      <w:r>
        <w:rPr>
          <w:spacing w:val="-1"/>
        </w:rPr>
        <w:t>号</w:t>
      </w:r>
      <w:r>
        <w:rPr>
          <w:rFonts w:ascii="Arial" w:hAnsi="Arial" w:cs="Arial" w:eastAsia="Arial" w:hint="default"/>
          <w:spacing w:val="-1"/>
        </w:rPr>
        <w:t>(2019)</w:t>
      </w:r>
      <w:r>
        <w:rPr>
          <w:spacing w:val="-1"/>
        </w:rPr>
        <w:t>”</w:t>
      </w:r>
      <w:r>
        <w:rPr>
          <w:rFonts w:ascii="Arial" w:hAnsi="Arial" w:cs="Arial" w:eastAsia="Arial" w:hint="default"/>
          <w:spacing w:val="-1"/>
        </w:rPr>
        <w:t>)</w:t>
      </w:r>
      <w:r>
        <w:rPr>
          <w:rFonts w:ascii="Arial" w:hAnsi="Arial" w:cs="Arial" w:eastAsia="Arial" w:hint="default"/>
          <w:w w:val="100"/>
        </w:rPr>
        <w:t> </w:t>
      </w:r>
      <w:r>
        <w:rPr>
          <w:rFonts w:ascii="Arial" w:hAnsi="Arial" w:cs="Arial" w:eastAsia="Arial" w:hint="default"/>
        </w:rPr>
        <w:t>(a)</w:t>
      </w:r>
      <w:r>
        <w:rPr>
          <w:rFonts w:ascii="Arial" w:hAnsi="Arial" w:cs="Arial" w:eastAsia="Arial" w:hint="default"/>
          <w:spacing w:val="9"/>
        </w:rPr>
        <w:t> </w:t>
      </w:r>
      <w:r>
        <w:rPr/>
        <w:t>财务报表列报</w:t>
      </w:r>
    </w:p>
    <w:p>
      <w:pPr>
        <w:pStyle w:val="BodyText"/>
        <w:spacing w:line="284" w:lineRule="exact" w:before="83"/>
        <w:ind w:left="599" w:right="0"/>
        <w:jc w:val="left"/>
      </w:pPr>
      <w:r>
        <w:rPr/>
        <w:t>本集团根据财会</w:t>
      </w:r>
      <w:r>
        <w:rPr>
          <w:rFonts w:ascii="Arial" w:hAnsi="Arial" w:cs="Arial" w:eastAsia="Arial" w:hint="default"/>
        </w:rPr>
        <w:t>[2019]6</w:t>
      </w:r>
      <w:r>
        <w:rPr/>
        <w:t>号和财会</w:t>
      </w:r>
      <w:r>
        <w:rPr>
          <w:rFonts w:ascii="Arial" w:hAnsi="Arial" w:cs="Arial" w:eastAsia="Arial" w:hint="default"/>
        </w:rPr>
        <w:t>[2019]16</w:t>
      </w:r>
      <w:r>
        <w:rPr/>
        <w:t>号规定的财务报表格式编制</w:t>
      </w:r>
      <w:r>
        <w:rPr>
          <w:rFonts w:ascii="Arial" w:hAnsi="Arial" w:cs="Arial" w:eastAsia="Arial" w:hint="default"/>
        </w:rPr>
        <w:t>2019</w:t>
      </w:r>
      <w:r>
        <w:rPr/>
        <w:t>年度财务报表，并采用</w:t>
      </w:r>
      <w:r>
        <w:rPr>
          <w:spacing w:val="-46"/>
        </w:rPr>
        <w:t> </w:t>
      </w:r>
      <w:r>
        <w:rPr>
          <w:spacing w:val="-46"/>
        </w:rPr>
      </w:r>
      <w:r>
        <w:rPr/>
        <w:t>追溯调整法变更了相关财务报表列报。</w:t>
      </w:r>
    </w:p>
    <w:p>
      <w:pPr>
        <w:spacing w:line="240" w:lineRule="auto" w:before="4"/>
        <w:rPr>
          <w:rFonts w:ascii="宋体" w:hAnsi="宋体" w:cs="宋体" w:eastAsia="宋体" w:hint="default"/>
          <w:sz w:val="15"/>
          <w:szCs w:val="15"/>
        </w:rPr>
      </w:pPr>
    </w:p>
    <w:p>
      <w:pPr>
        <w:pStyle w:val="BodyText"/>
        <w:spacing w:line="240" w:lineRule="auto"/>
        <w:ind w:left="608" w:right="0"/>
        <w:jc w:val="left"/>
      </w:pPr>
      <w:r>
        <w:rPr>
          <w:rFonts w:ascii="Arial" w:hAnsi="Arial" w:cs="Arial" w:eastAsia="Arial" w:hint="default"/>
        </w:rPr>
        <w:t>2018</w:t>
      </w:r>
      <w:r>
        <w:rPr/>
        <w:t>年</w:t>
      </w:r>
      <w:r>
        <w:rPr>
          <w:rFonts w:ascii="Arial" w:hAnsi="Arial" w:cs="Arial" w:eastAsia="Arial" w:hint="default"/>
        </w:rPr>
        <w:t>12</w:t>
      </w:r>
      <w:r>
        <w:rPr/>
        <w:t>月</w:t>
      </w:r>
      <w:r>
        <w:rPr>
          <w:rFonts w:ascii="Arial" w:hAnsi="Arial" w:cs="Arial" w:eastAsia="Arial" w:hint="default"/>
        </w:rPr>
        <w:t>31</w:t>
      </w:r>
      <w:r>
        <w:rPr/>
        <w:t>日受影响的合并资产负债表项目：</w:t>
      </w:r>
    </w:p>
    <w:p>
      <w:pPr>
        <w:spacing w:line="240" w:lineRule="auto" w:before="0"/>
        <w:rPr>
          <w:rFonts w:ascii="宋体" w:hAnsi="宋体" w:cs="宋体" w:eastAsia="宋体" w:hint="default"/>
          <w:sz w:val="21"/>
          <w:szCs w:val="21"/>
        </w:rPr>
      </w:pPr>
    </w:p>
    <w:tbl>
      <w:tblPr>
        <w:tblW w:w="0" w:type="auto"/>
        <w:jc w:val="left"/>
        <w:tblInd w:w="555" w:type="dxa"/>
        <w:tblLayout w:type="fixed"/>
        <w:tblCellMar>
          <w:top w:w="0" w:type="dxa"/>
          <w:left w:w="0" w:type="dxa"/>
          <w:bottom w:w="0" w:type="dxa"/>
          <w:right w:w="0" w:type="dxa"/>
        </w:tblCellMar>
        <w:tblLook w:val="01E0"/>
      </w:tblPr>
      <w:tblGrid>
        <w:gridCol w:w="2400"/>
        <w:gridCol w:w="2107"/>
        <w:gridCol w:w="2328"/>
        <w:gridCol w:w="2261"/>
      </w:tblGrid>
      <w:tr>
        <w:trPr>
          <w:trHeight w:val="355" w:hRule="exact"/>
        </w:trPr>
        <w:tc>
          <w:tcPr>
            <w:tcW w:w="2400" w:type="dxa"/>
            <w:vMerge w:val="restart"/>
            <w:tcBorders>
              <w:top w:val="single" w:sz="12" w:space="0" w:color="000000"/>
              <w:left w:val="nil" w:sz="6" w:space="0" w:color="auto"/>
              <w:right w:val="single" w:sz="4" w:space="0" w:color="000000"/>
            </w:tcBorders>
          </w:tcPr>
          <w:p>
            <w:pPr/>
          </w:p>
        </w:tc>
        <w:tc>
          <w:tcPr>
            <w:tcW w:w="6696" w:type="dxa"/>
            <w:gridSpan w:val="3"/>
            <w:tcBorders>
              <w:top w:val="single" w:sz="12" w:space="0" w:color="000000"/>
              <w:left w:val="single" w:sz="4" w:space="0" w:color="000000"/>
              <w:bottom w:val="single" w:sz="4" w:space="0" w:color="000000"/>
              <w:right w:val="nil" w:sz="6" w:space="0" w:color="auto"/>
            </w:tcBorders>
          </w:tcPr>
          <w:p>
            <w:pPr>
              <w:pStyle w:val="TableParagraph"/>
              <w:spacing w:line="240" w:lineRule="auto" w:before="25"/>
              <w:ind w:right="7"/>
              <w:jc w:val="center"/>
              <w:rPr>
                <w:rFonts w:ascii="宋体" w:hAnsi="宋体" w:cs="宋体" w:eastAsia="宋体" w:hint="default"/>
                <w:sz w:val="20"/>
                <w:szCs w:val="20"/>
              </w:rPr>
            </w:pPr>
            <w:r>
              <w:rPr>
                <w:rFonts w:ascii="宋体" w:hAnsi="宋体" w:cs="宋体" w:eastAsia="宋体" w:hint="default"/>
                <w:sz w:val="20"/>
                <w:szCs w:val="20"/>
              </w:rPr>
              <w:t>本集团</w:t>
            </w:r>
          </w:p>
        </w:tc>
      </w:tr>
      <w:tr>
        <w:trPr>
          <w:trHeight w:val="398" w:hRule="exact"/>
        </w:trPr>
        <w:tc>
          <w:tcPr>
            <w:tcW w:w="2400" w:type="dxa"/>
            <w:vMerge/>
            <w:tcBorders>
              <w:left w:val="nil" w:sz="6" w:space="0" w:color="auto"/>
              <w:bottom w:val="single" w:sz="4" w:space="0" w:color="000000"/>
              <w:right w:val="single" w:sz="4" w:space="0" w:color="000000"/>
            </w:tcBorders>
          </w:tcPr>
          <w:p>
            <w:pP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959" w:right="0"/>
              <w:jc w:val="left"/>
              <w:rPr>
                <w:rFonts w:ascii="宋体" w:hAnsi="宋体" w:cs="宋体" w:eastAsia="宋体" w:hint="default"/>
                <w:sz w:val="20"/>
                <w:szCs w:val="20"/>
              </w:rPr>
            </w:pPr>
            <w:r>
              <w:rPr>
                <w:rFonts w:ascii="宋体" w:hAnsi="宋体" w:cs="宋体" w:eastAsia="宋体" w:hint="default"/>
                <w:sz w:val="20"/>
                <w:szCs w:val="20"/>
              </w:rPr>
              <w:t>调整前</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1075" w:right="0"/>
              <w:jc w:val="left"/>
              <w:rPr>
                <w:rFonts w:ascii="宋体" w:hAnsi="宋体" w:cs="宋体" w:eastAsia="宋体" w:hint="default"/>
                <w:sz w:val="20"/>
                <w:szCs w:val="20"/>
              </w:rPr>
            </w:pPr>
            <w:r>
              <w:rPr>
                <w:rFonts w:ascii="宋体" w:hAnsi="宋体" w:cs="宋体" w:eastAsia="宋体" w:hint="default"/>
                <w:sz w:val="20"/>
                <w:szCs w:val="20"/>
              </w:rPr>
              <w:t>调整数</w:t>
            </w:r>
          </w:p>
        </w:tc>
        <w:tc>
          <w:tcPr>
            <w:tcW w:w="226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9"/>
              <w:ind w:left="1046" w:right="0"/>
              <w:jc w:val="left"/>
              <w:rPr>
                <w:rFonts w:ascii="宋体" w:hAnsi="宋体" w:cs="宋体" w:eastAsia="宋体" w:hint="default"/>
                <w:sz w:val="20"/>
                <w:szCs w:val="20"/>
              </w:rPr>
            </w:pPr>
            <w:r>
              <w:rPr>
                <w:rFonts w:ascii="宋体" w:hAnsi="宋体" w:cs="宋体" w:eastAsia="宋体" w:hint="default"/>
                <w:sz w:val="20"/>
                <w:szCs w:val="20"/>
              </w:rPr>
              <w:t>调整后</w:t>
            </w:r>
          </w:p>
        </w:tc>
      </w:tr>
      <w:tr>
        <w:trPr>
          <w:trHeight w:val="355" w:hRule="exact"/>
        </w:trPr>
        <w:tc>
          <w:tcPr>
            <w:tcW w:w="24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9"/>
              <w:ind w:left="172" w:right="0"/>
              <w:jc w:val="left"/>
              <w:rPr>
                <w:rFonts w:ascii="宋体" w:hAnsi="宋体" w:cs="宋体" w:eastAsia="宋体" w:hint="default"/>
                <w:sz w:val="20"/>
                <w:szCs w:val="20"/>
              </w:rPr>
            </w:pPr>
            <w:r>
              <w:rPr>
                <w:rFonts w:ascii="宋体" w:hAnsi="宋体" w:cs="宋体" w:eastAsia="宋体" w:hint="default"/>
                <w:sz w:val="20"/>
                <w:szCs w:val="20"/>
              </w:rPr>
              <w:t>应收票据及应收账款</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261"/>
              <w:jc w:val="right"/>
              <w:rPr>
                <w:rFonts w:ascii="Arial" w:hAnsi="Arial" w:cs="Arial" w:eastAsia="Arial" w:hint="default"/>
                <w:sz w:val="20"/>
                <w:szCs w:val="20"/>
              </w:rPr>
            </w:pPr>
            <w:r>
              <w:rPr>
                <w:rFonts w:ascii="Arial"/>
                <w:spacing w:val="-2"/>
                <w:sz w:val="20"/>
              </w:rPr>
              <w:t>18,206,026,524</w:t>
            </w:r>
            <w:r>
              <w:rPr>
                <w:rFonts w:ascii="Arial"/>
                <w:sz w:val="20"/>
              </w:rPr>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90"/>
              <w:jc w:val="right"/>
              <w:rPr>
                <w:rFonts w:ascii="Arial" w:hAnsi="Arial" w:cs="Arial" w:eastAsia="Arial" w:hint="default"/>
                <w:sz w:val="20"/>
                <w:szCs w:val="20"/>
              </w:rPr>
            </w:pPr>
            <w:r>
              <w:rPr>
                <w:rFonts w:ascii="Arial"/>
                <w:spacing w:val="-2"/>
                <w:sz w:val="20"/>
              </w:rPr>
              <w:t>(18,206,026,524)</w:t>
            </w:r>
            <w:r>
              <w:rPr>
                <w:rFonts w:ascii="Arial"/>
                <w:sz w:val="20"/>
              </w:rPr>
            </w:r>
          </w:p>
        </w:tc>
        <w:tc>
          <w:tcPr>
            <w:tcW w:w="226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5"/>
              <w:ind w:right="252"/>
              <w:jc w:val="right"/>
              <w:rPr>
                <w:rFonts w:ascii="Arial" w:hAnsi="Arial" w:cs="Arial" w:eastAsia="Arial" w:hint="default"/>
                <w:sz w:val="20"/>
                <w:szCs w:val="20"/>
              </w:rPr>
            </w:pPr>
            <w:r>
              <w:rPr>
                <w:rFonts w:ascii="Arial"/>
                <w:w w:val="100"/>
                <w:sz w:val="20"/>
              </w:rPr>
              <w:t>-</w:t>
            </w:r>
          </w:p>
        </w:tc>
      </w:tr>
      <w:tr>
        <w:trPr>
          <w:trHeight w:val="346" w:hRule="exact"/>
        </w:trPr>
        <w:tc>
          <w:tcPr>
            <w:tcW w:w="24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0"/>
              <w:ind w:left="172" w:right="0"/>
              <w:jc w:val="left"/>
              <w:rPr>
                <w:rFonts w:ascii="宋体" w:hAnsi="宋体" w:cs="宋体" w:eastAsia="宋体" w:hint="default"/>
                <w:sz w:val="20"/>
                <w:szCs w:val="20"/>
              </w:rPr>
            </w:pPr>
            <w:r>
              <w:rPr>
                <w:rFonts w:ascii="宋体" w:hAnsi="宋体" w:cs="宋体" w:eastAsia="宋体" w:hint="default"/>
                <w:sz w:val="20"/>
                <w:szCs w:val="20"/>
              </w:rPr>
              <w:t>应收票据</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57"/>
              <w:jc w:val="right"/>
              <w:rPr>
                <w:rFonts w:ascii="Arial" w:hAnsi="Arial" w:cs="Arial" w:eastAsia="Arial" w:hint="default"/>
                <w:sz w:val="20"/>
                <w:szCs w:val="20"/>
              </w:rPr>
            </w:pPr>
            <w:r>
              <w:rPr>
                <w:rFonts w:ascii="Arial"/>
                <w:w w:val="100"/>
                <w:sz w:val="20"/>
              </w:rPr>
              <w:t>-</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56"/>
              <w:jc w:val="right"/>
              <w:rPr>
                <w:rFonts w:ascii="Arial" w:hAnsi="Arial" w:cs="Arial" w:eastAsia="Arial" w:hint="default"/>
                <w:sz w:val="20"/>
                <w:szCs w:val="20"/>
              </w:rPr>
            </w:pPr>
            <w:r>
              <w:rPr>
                <w:rFonts w:ascii="Arial"/>
                <w:spacing w:val="-2"/>
                <w:sz w:val="20"/>
              </w:rPr>
              <w:t>363,323,541</w:t>
            </w:r>
            <w:r>
              <w:rPr>
                <w:rFonts w:ascii="Arial"/>
                <w:sz w:val="20"/>
              </w:rPr>
            </w:r>
          </w:p>
        </w:tc>
        <w:tc>
          <w:tcPr>
            <w:tcW w:w="226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5"/>
              <w:ind w:right="256"/>
              <w:jc w:val="right"/>
              <w:rPr>
                <w:rFonts w:ascii="Arial" w:hAnsi="Arial" w:cs="Arial" w:eastAsia="Arial" w:hint="default"/>
                <w:sz w:val="20"/>
                <w:szCs w:val="20"/>
              </w:rPr>
            </w:pPr>
            <w:r>
              <w:rPr>
                <w:rFonts w:ascii="Arial"/>
                <w:spacing w:val="-2"/>
                <w:sz w:val="20"/>
              </w:rPr>
              <w:t>363,323,541</w:t>
            </w:r>
            <w:r>
              <w:rPr>
                <w:rFonts w:ascii="Arial"/>
                <w:sz w:val="20"/>
              </w:rPr>
            </w:r>
          </w:p>
        </w:tc>
      </w:tr>
      <w:tr>
        <w:trPr>
          <w:trHeight w:val="355" w:hRule="exact"/>
        </w:trPr>
        <w:tc>
          <w:tcPr>
            <w:tcW w:w="24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9"/>
              <w:ind w:left="172" w:right="0"/>
              <w:jc w:val="left"/>
              <w:rPr>
                <w:rFonts w:ascii="宋体" w:hAnsi="宋体" w:cs="宋体" w:eastAsia="宋体" w:hint="default"/>
                <w:sz w:val="20"/>
                <w:szCs w:val="20"/>
              </w:rPr>
            </w:pPr>
            <w:r>
              <w:rPr>
                <w:rFonts w:ascii="宋体" w:hAnsi="宋体" w:cs="宋体" w:eastAsia="宋体" w:hint="default"/>
                <w:sz w:val="20"/>
                <w:szCs w:val="20"/>
              </w:rPr>
              <w:t>应收账款</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257"/>
              <w:jc w:val="right"/>
              <w:rPr>
                <w:rFonts w:ascii="Arial" w:hAnsi="Arial" w:cs="Arial" w:eastAsia="Arial" w:hint="default"/>
                <w:sz w:val="20"/>
                <w:szCs w:val="20"/>
              </w:rPr>
            </w:pPr>
            <w:r>
              <w:rPr>
                <w:rFonts w:ascii="Arial"/>
                <w:w w:val="100"/>
                <w:sz w:val="20"/>
              </w:rPr>
              <w:t>-</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256"/>
              <w:jc w:val="right"/>
              <w:rPr>
                <w:rFonts w:ascii="Arial" w:hAnsi="Arial" w:cs="Arial" w:eastAsia="Arial" w:hint="default"/>
                <w:sz w:val="20"/>
                <w:szCs w:val="20"/>
              </w:rPr>
            </w:pPr>
            <w:r>
              <w:rPr>
                <w:rFonts w:ascii="Arial"/>
                <w:spacing w:val="-2"/>
                <w:sz w:val="20"/>
              </w:rPr>
              <w:t>17,842,702,983</w:t>
            </w:r>
            <w:r>
              <w:rPr>
                <w:rFonts w:ascii="Arial"/>
                <w:sz w:val="20"/>
              </w:rPr>
            </w:r>
          </w:p>
        </w:tc>
        <w:tc>
          <w:tcPr>
            <w:tcW w:w="226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5"/>
              <w:ind w:right="256"/>
              <w:jc w:val="right"/>
              <w:rPr>
                <w:rFonts w:ascii="Arial" w:hAnsi="Arial" w:cs="Arial" w:eastAsia="Arial" w:hint="default"/>
                <w:sz w:val="20"/>
                <w:szCs w:val="20"/>
              </w:rPr>
            </w:pPr>
            <w:r>
              <w:rPr>
                <w:rFonts w:ascii="Arial"/>
                <w:spacing w:val="-2"/>
                <w:sz w:val="20"/>
              </w:rPr>
              <w:t>17,842,702,983</w:t>
            </w:r>
            <w:r>
              <w:rPr>
                <w:rFonts w:ascii="Arial"/>
                <w:sz w:val="20"/>
              </w:rPr>
            </w:r>
          </w:p>
        </w:tc>
      </w:tr>
      <w:tr>
        <w:trPr>
          <w:trHeight w:val="355" w:hRule="exact"/>
        </w:trPr>
        <w:tc>
          <w:tcPr>
            <w:tcW w:w="24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5"/>
              <w:ind w:left="172" w:right="0"/>
              <w:jc w:val="left"/>
              <w:rPr>
                <w:rFonts w:ascii="宋体" w:hAnsi="宋体" w:cs="宋体" w:eastAsia="宋体" w:hint="default"/>
                <w:sz w:val="20"/>
                <w:szCs w:val="20"/>
              </w:rPr>
            </w:pPr>
            <w:r>
              <w:rPr>
                <w:rFonts w:ascii="宋体" w:hAnsi="宋体" w:cs="宋体" w:eastAsia="宋体" w:hint="default"/>
                <w:sz w:val="20"/>
                <w:szCs w:val="20"/>
              </w:rPr>
              <w:t>应付票据及应付账款</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261"/>
              <w:jc w:val="right"/>
              <w:rPr>
                <w:rFonts w:ascii="Arial" w:hAnsi="Arial" w:cs="Arial" w:eastAsia="Arial" w:hint="default"/>
                <w:sz w:val="20"/>
                <w:szCs w:val="20"/>
              </w:rPr>
            </w:pPr>
            <w:r>
              <w:rPr>
                <w:rFonts w:ascii="Arial"/>
                <w:spacing w:val="-2"/>
                <w:sz w:val="20"/>
              </w:rPr>
              <w:t>108,702,531,748</w:t>
            </w:r>
            <w:r>
              <w:rPr>
                <w:rFonts w:ascii="Arial"/>
                <w:sz w:val="20"/>
              </w:rPr>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96"/>
              <w:jc w:val="right"/>
              <w:rPr>
                <w:rFonts w:ascii="Arial" w:hAnsi="Arial" w:cs="Arial" w:eastAsia="Arial" w:hint="default"/>
                <w:sz w:val="20"/>
                <w:szCs w:val="20"/>
              </w:rPr>
            </w:pPr>
            <w:r>
              <w:rPr>
                <w:rFonts w:ascii="Arial"/>
                <w:spacing w:val="-2"/>
                <w:sz w:val="20"/>
              </w:rPr>
              <w:t>(108,702,531,748)</w:t>
            </w:r>
            <w:r>
              <w:rPr>
                <w:rFonts w:ascii="Arial"/>
                <w:sz w:val="20"/>
              </w:rPr>
            </w:r>
          </w:p>
        </w:tc>
        <w:tc>
          <w:tcPr>
            <w:tcW w:w="226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5"/>
              <w:ind w:right="252"/>
              <w:jc w:val="right"/>
              <w:rPr>
                <w:rFonts w:ascii="Arial" w:hAnsi="Arial" w:cs="Arial" w:eastAsia="Arial" w:hint="default"/>
                <w:sz w:val="20"/>
                <w:szCs w:val="20"/>
              </w:rPr>
            </w:pPr>
            <w:r>
              <w:rPr>
                <w:rFonts w:ascii="Arial"/>
                <w:w w:val="100"/>
                <w:sz w:val="20"/>
              </w:rPr>
              <w:t>-</w:t>
            </w:r>
          </w:p>
        </w:tc>
      </w:tr>
      <w:tr>
        <w:trPr>
          <w:trHeight w:val="350" w:hRule="exact"/>
        </w:trPr>
        <w:tc>
          <w:tcPr>
            <w:tcW w:w="24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5"/>
              <w:ind w:left="172" w:right="0"/>
              <w:jc w:val="left"/>
              <w:rPr>
                <w:rFonts w:ascii="宋体" w:hAnsi="宋体" w:cs="宋体" w:eastAsia="宋体" w:hint="default"/>
                <w:sz w:val="20"/>
                <w:szCs w:val="20"/>
              </w:rPr>
            </w:pPr>
            <w:r>
              <w:rPr>
                <w:rFonts w:ascii="宋体" w:hAnsi="宋体" w:cs="宋体" w:eastAsia="宋体" w:hint="default"/>
                <w:sz w:val="20"/>
                <w:szCs w:val="20"/>
              </w:rPr>
              <w:t>应付票据</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257"/>
              <w:jc w:val="right"/>
              <w:rPr>
                <w:rFonts w:ascii="Arial" w:hAnsi="Arial" w:cs="Arial" w:eastAsia="Arial" w:hint="default"/>
                <w:sz w:val="20"/>
                <w:szCs w:val="20"/>
              </w:rPr>
            </w:pPr>
            <w:r>
              <w:rPr>
                <w:rFonts w:ascii="Arial"/>
                <w:w w:val="100"/>
                <w:sz w:val="20"/>
              </w:rPr>
              <w:t>-</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256"/>
              <w:jc w:val="right"/>
              <w:rPr>
                <w:rFonts w:ascii="Arial" w:hAnsi="Arial" w:cs="Arial" w:eastAsia="Arial" w:hint="default"/>
                <w:sz w:val="20"/>
                <w:szCs w:val="20"/>
              </w:rPr>
            </w:pPr>
            <w:r>
              <w:rPr>
                <w:rFonts w:ascii="Arial"/>
                <w:spacing w:val="-2"/>
                <w:sz w:val="20"/>
              </w:rPr>
              <w:t>99,657,098</w:t>
            </w:r>
            <w:r>
              <w:rPr>
                <w:rFonts w:ascii="Arial"/>
                <w:sz w:val="20"/>
              </w:rPr>
            </w:r>
          </w:p>
        </w:tc>
        <w:tc>
          <w:tcPr>
            <w:tcW w:w="226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0"/>
              <w:ind w:right="256"/>
              <w:jc w:val="right"/>
              <w:rPr>
                <w:rFonts w:ascii="Arial" w:hAnsi="Arial" w:cs="Arial" w:eastAsia="Arial" w:hint="default"/>
                <w:sz w:val="20"/>
                <w:szCs w:val="20"/>
              </w:rPr>
            </w:pPr>
            <w:r>
              <w:rPr>
                <w:rFonts w:ascii="Arial"/>
                <w:spacing w:val="-2"/>
                <w:sz w:val="20"/>
              </w:rPr>
              <w:t>99,657,098</w:t>
            </w:r>
            <w:r>
              <w:rPr>
                <w:rFonts w:ascii="Arial"/>
                <w:sz w:val="20"/>
              </w:rPr>
            </w:r>
          </w:p>
        </w:tc>
      </w:tr>
      <w:tr>
        <w:trPr>
          <w:trHeight w:val="350" w:hRule="exact"/>
        </w:trPr>
        <w:tc>
          <w:tcPr>
            <w:tcW w:w="24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5"/>
              <w:ind w:left="172" w:right="0"/>
              <w:jc w:val="left"/>
              <w:rPr>
                <w:rFonts w:ascii="宋体" w:hAnsi="宋体" w:cs="宋体" w:eastAsia="宋体" w:hint="default"/>
                <w:sz w:val="20"/>
                <w:szCs w:val="20"/>
              </w:rPr>
            </w:pPr>
            <w:r>
              <w:rPr>
                <w:rFonts w:ascii="宋体" w:hAnsi="宋体" w:cs="宋体" w:eastAsia="宋体" w:hint="default"/>
                <w:sz w:val="20"/>
                <w:szCs w:val="20"/>
              </w:rPr>
              <w:t>应付账款</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257"/>
              <w:jc w:val="right"/>
              <w:rPr>
                <w:rFonts w:ascii="Arial" w:hAnsi="Arial" w:cs="Arial" w:eastAsia="Arial" w:hint="default"/>
                <w:sz w:val="20"/>
                <w:szCs w:val="20"/>
              </w:rPr>
            </w:pPr>
            <w:r>
              <w:rPr>
                <w:rFonts w:ascii="Arial"/>
                <w:w w:val="100"/>
                <w:sz w:val="20"/>
              </w:rPr>
              <w:t>-</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256"/>
              <w:jc w:val="right"/>
              <w:rPr>
                <w:rFonts w:ascii="Arial" w:hAnsi="Arial" w:cs="Arial" w:eastAsia="Arial" w:hint="default"/>
                <w:sz w:val="20"/>
                <w:szCs w:val="20"/>
              </w:rPr>
            </w:pPr>
            <w:r>
              <w:rPr>
                <w:rFonts w:ascii="Arial"/>
                <w:spacing w:val="-2"/>
                <w:sz w:val="20"/>
              </w:rPr>
              <w:t>108,602,874,650</w:t>
            </w:r>
            <w:r>
              <w:rPr>
                <w:rFonts w:ascii="Arial"/>
                <w:sz w:val="20"/>
              </w:rPr>
            </w:r>
          </w:p>
        </w:tc>
        <w:tc>
          <w:tcPr>
            <w:tcW w:w="226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0"/>
              <w:ind w:right="256"/>
              <w:jc w:val="right"/>
              <w:rPr>
                <w:rFonts w:ascii="Arial" w:hAnsi="Arial" w:cs="Arial" w:eastAsia="Arial" w:hint="default"/>
                <w:sz w:val="20"/>
                <w:szCs w:val="20"/>
              </w:rPr>
            </w:pPr>
            <w:r>
              <w:rPr>
                <w:rFonts w:ascii="Arial"/>
                <w:spacing w:val="-2"/>
                <w:sz w:val="20"/>
              </w:rPr>
              <w:t>108,602,874,650</w:t>
            </w:r>
            <w:r>
              <w:rPr>
                <w:rFonts w:ascii="Arial"/>
                <w:sz w:val="20"/>
              </w:rPr>
            </w:r>
          </w:p>
        </w:tc>
      </w:tr>
      <w:tr>
        <w:trPr>
          <w:trHeight w:val="355" w:hRule="exact"/>
        </w:trPr>
        <w:tc>
          <w:tcPr>
            <w:tcW w:w="24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9"/>
              <w:ind w:left="172" w:right="0"/>
              <w:jc w:val="left"/>
              <w:rPr>
                <w:rFonts w:ascii="宋体" w:hAnsi="宋体" w:cs="宋体" w:eastAsia="宋体" w:hint="default"/>
                <w:sz w:val="20"/>
                <w:szCs w:val="20"/>
              </w:rPr>
            </w:pPr>
            <w:r>
              <w:rPr>
                <w:rFonts w:ascii="宋体" w:hAnsi="宋体" w:cs="宋体" w:eastAsia="宋体" w:hint="default"/>
                <w:sz w:val="20"/>
                <w:szCs w:val="20"/>
              </w:rPr>
              <w:t>一年内到期的非流动负债</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261"/>
              <w:jc w:val="right"/>
              <w:rPr>
                <w:rFonts w:ascii="Arial" w:hAnsi="Arial" w:cs="Arial" w:eastAsia="Arial" w:hint="default"/>
                <w:sz w:val="20"/>
                <w:szCs w:val="20"/>
              </w:rPr>
            </w:pPr>
            <w:r>
              <w:rPr>
                <w:rFonts w:ascii="Arial"/>
                <w:spacing w:val="-2"/>
                <w:sz w:val="20"/>
              </w:rPr>
              <w:t>17,763,739,166</w:t>
            </w:r>
            <w:r>
              <w:rPr>
                <w:rFonts w:ascii="Arial"/>
                <w:sz w:val="20"/>
              </w:rPr>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91"/>
              <w:jc w:val="right"/>
              <w:rPr>
                <w:rFonts w:ascii="Arial" w:hAnsi="Arial" w:cs="Arial" w:eastAsia="Arial" w:hint="default"/>
                <w:sz w:val="20"/>
                <w:szCs w:val="20"/>
              </w:rPr>
            </w:pPr>
            <w:r>
              <w:rPr>
                <w:rFonts w:ascii="Arial"/>
                <w:spacing w:val="-2"/>
                <w:sz w:val="20"/>
              </w:rPr>
              <w:t>(78,279,483)</w:t>
            </w:r>
            <w:r>
              <w:rPr>
                <w:rFonts w:ascii="Arial"/>
                <w:sz w:val="20"/>
              </w:rPr>
            </w:r>
          </w:p>
        </w:tc>
        <w:tc>
          <w:tcPr>
            <w:tcW w:w="226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5"/>
              <w:ind w:right="251"/>
              <w:jc w:val="right"/>
              <w:rPr>
                <w:rFonts w:ascii="Arial" w:hAnsi="Arial" w:cs="Arial" w:eastAsia="Arial" w:hint="default"/>
                <w:sz w:val="20"/>
                <w:szCs w:val="20"/>
              </w:rPr>
            </w:pPr>
            <w:r>
              <w:rPr>
                <w:rFonts w:ascii="Arial"/>
                <w:spacing w:val="-2"/>
                <w:sz w:val="20"/>
              </w:rPr>
              <w:t>17,685,459,683</w:t>
            </w:r>
            <w:r>
              <w:rPr>
                <w:rFonts w:ascii="Arial"/>
                <w:sz w:val="20"/>
              </w:rPr>
            </w:r>
          </w:p>
        </w:tc>
      </w:tr>
      <w:tr>
        <w:trPr>
          <w:trHeight w:val="350" w:hRule="exact"/>
        </w:trPr>
        <w:tc>
          <w:tcPr>
            <w:tcW w:w="24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5"/>
              <w:ind w:left="172" w:right="0"/>
              <w:jc w:val="left"/>
              <w:rPr>
                <w:rFonts w:ascii="宋体" w:hAnsi="宋体" w:cs="宋体" w:eastAsia="宋体" w:hint="default"/>
                <w:sz w:val="20"/>
                <w:szCs w:val="20"/>
              </w:rPr>
            </w:pPr>
            <w:r>
              <w:rPr>
                <w:rFonts w:ascii="宋体" w:hAnsi="宋体" w:cs="宋体" w:eastAsia="宋体" w:hint="default"/>
                <w:sz w:val="20"/>
                <w:szCs w:val="20"/>
              </w:rPr>
              <w:t>递延收益</w:t>
            </w:r>
          </w:p>
        </w:tc>
        <w:tc>
          <w:tcPr>
            <w:tcW w:w="2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256"/>
              <w:jc w:val="right"/>
              <w:rPr>
                <w:rFonts w:ascii="Arial" w:hAnsi="Arial" w:cs="Arial" w:eastAsia="Arial" w:hint="default"/>
                <w:sz w:val="20"/>
                <w:szCs w:val="20"/>
              </w:rPr>
            </w:pPr>
            <w:r>
              <w:rPr>
                <w:rFonts w:ascii="Arial"/>
                <w:spacing w:val="-2"/>
                <w:sz w:val="20"/>
              </w:rPr>
              <w:t>3,609,138,904</w:t>
            </w:r>
            <w:r>
              <w:rPr>
                <w:rFonts w:ascii="Arial"/>
                <w:sz w:val="20"/>
              </w:rPr>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256"/>
              <w:jc w:val="right"/>
              <w:rPr>
                <w:rFonts w:ascii="Arial" w:hAnsi="Arial" w:cs="Arial" w:eastAsia="Arial" w:hint="default"/>
                <w:sz w:val="20"/>
                <w:szCs w:val="20"/>
              </w:rPr>
            </w:pPr>
            <w:r>
              <w:rPr>
                <w:rFonts w:ascii="Arial"/>
                <w:spacing w:val="-2"/>
                <w:sz w:val="20"/>
              </w:rPr>
              <w:t>78,279,483</w:t>
            </w:r>
            <w:r>
              <w:rPr>
                <w:rFonts w:ascii="Arial"/>
                <w:sz w:val="20"/>
              </w:rPr>
            </w:r>
          </w:p>
        </w:tc>
        <w:tc>
          <w:tcPr>
            <w:tcW w:w="226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0"/>
              <w:ind w:right="251"/>
              <w:jc w:val="right"/>
              <w:rPr>
                <w:rFonts w:ascii="Arial" w:hAnsi="Arial" w:cs="Arial" w:eastAsia="Arial" w:hint="default"/>
                <w:sz w:val="20"/>
                <w:szCs w:val="20"/>
              </w:rPr>
            </w:pPr>
            <w:r>
              <w:rPr>
                <w:rFonts w:ascii="Arial"/>
                <w:spacing w:val="-2"/>
                <w:sz w:val="20"/>
              </w:rPr>
              <w:t>3,687,418,387</w:t>
            </w:r>
            <w:r>
              <w:rPr>
                <w:rFonts w:ascii="Arial"/>
                <w:sz w:val="20"/>
              </w:rPr>
            </w:r>
          </w:p>
        </w:tc>
      </w:tr>
      <w:tr>
        <w:trPr>
          <w:trHeight w:val="379" w:hRule="exact"/>
        </w:trPr>
        <w:tc>
          <w:tcPr>
            <w:tcW w:w="2400"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64"/>
              <w:ind w:left="172"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210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9"/>
              <w:ind w:right="261"/>
              <w:jc w:val="right"/>
              <w:rPr>
                <w:rFonts w:ascii="Arial" w:hAnsi="Arial" w:cs="Arial" w:eastAsia="Arial" w:hint="default"/>
                <w:sz w:val="20"/>
                <w:szCs w:val="20"/>
              </w:rPr>
            </w:pPr>
            <w:r>
              <w:rPr>
                <w:rFonts w:ascii="Arial"/>
                <w:spacing w:val="-2"/>
                <w:sz w:val="20"/>
              </w:rPr>
              <w:t>148,281,436,342</w:t>
            </w:r>
            <w:r>
              <w:rPr>
                <w:rFonts w:ascii="Arial"/>
                <w:sz w:val="20"/>
              </w:rPr>
            </w:r>
          </w:p>
        </w:tc>
        <w:tc>
          <w:tcPr>
            <w:tcW w:w="232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9"/>
              <w:ind w:right="252"/>
              <w:jc w:val="right"/>
              <w:rPr>
                <w:rFonts w:ascii="Arial" w:hAnsi="Arial" w:cs="Arial" w:eastAsia="Arial" w:hint="default"/>
                <w:sz w:val="20"/>
                <w:szCs w:val="20"/>
              </w:rPr>
            </w:pPr>
            <w:r>
              <w:rPr>
                <w:rFonts w:ascii="Arial"/>
                <w:w w:val="100"/>
                <w:sz w:val="20"/>
              </w:rPr>
              <w:t>-</w:t>
            </w:r>
          </w:p>
        </w:tc>
        <w:tc>
          <w:tcPr>
            <w:tcW w:w="2261"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29"/>
              <w:ind w:right="256"/>
              <w:jc w:val="right"/>
              <w:rPr>
                <w:rFonts w:ascii="Arial" w:hAnsi="Arial" w:cs="Arial" w:eastAsia="Arial" w:hint="default"/>
                <w:sz w:val="20"/>
                <w:szCs w:val="20"/>
              </w:rPr>
            </w:pPr>
            <w:r>
              <w:rPr>
                <w:rFonts w:ascii="Arial"/>
                <w:spacing w:val="-2"/>
                <w:sz w:val="20"/>
              </w:rPr>
              <w:t>148,281,436,342</w:t>
            </w:r>
            <w:r>
              <w:rPr>
                <w:rFonts w:ascii="Arial"/>
                <w:sz w:val="20"/>
              </w:rPr>
            </w:r>
          </w:p>
        </w:tc>
      </w:tr>
    </w:tbl>
    <w:p>
      <w:pPr>
        <w:spacing w:after="0" w:line="240" w:lineRule="auto"/>
        <w:jc w:val="right"/>
        <w:rPr>
          <w:rFonts w:ascii="Arial" w:hAnsi="Arial" w:cs="Arial" w:eastAsia="Arial" w:hint="default"/>
          <w:sz w:val="20"/>
          <w:szCs w:val="20"/>
        </w:rPr>
        <w:sectPr>
          <w:headerReference w:type="default" r:id="rId132"/>
          <w:pgSz w:w="11910" w:h="16840"/>
          <w:pgMar w:header="842" w:footer="502" w:top="2700" w:bottom="700" w:left="860" w:right="820"/>
        </w:sectPr>
      </w:pPr>
    </w:p>
    <w:p>
      <w:pPr>
        <w:spacing w:line="240" w:lineRule="auto" w:before="7"/>
        <w:rPr>
          <w:rFonts w:ascii="宋体" w:hAnsi="宋体" w:cs="宋体" w:eastAsia="宋体" w:hint="default"/>
          <w:sz w:val="16"/>
          <w:szCs w:val="16"/>
        </w:rPr>
      </w:pPr>
    </w:p>
    <w:p>
      <w:pPr>
        <w:pStyle w:val="BodyText"/>
        <w:spacing w:line="240" w:lineRule="auto" w:before="32"/>
        <w:ind w:left="133" w:right="0"/>
        <w:jc w:val="left"/>
      </w:pPr>
      <w:r>
        <w:rPr>
          <w:rFonts w:ascii="Arial" w:hAnsi="Arial" w:cs="Arial" w:eastAsia="Arial" w:hint="default"/>
        </w:rPr>
        <w:t>33</w:t>
      </w:r>
      <w:r>
        <w:rPr/>
        <w:t>、会计政策变更（续）</w:t>
      </w:r>
    </w:p>
    <w:p>
      <w:pPr>
        <w:spacing w:line="240" w:lineRule="auto" w:before="11"/>
        <w:rPr>
          <w:rFonts w:ascii="宋体" w:hAnsi="宋体" w:cs="宋体" w:eastAsia="宋体" w:hint="default"/>
          <w:sz w:val="17"/>
          <w:szCs w:val="17"/>
        </w:rPr>
      </w:pPr>
    </w:p>
    <w:p>
      <w:pPr>
        <w:pStyle w:val="BodyText"/>
        <w:spacing w:line="240" w:lineRule="auto"/>
        <w:ind w:left="133" w:right="0"/>
        <w:jc w:val="left"/>
      </w:pPr>
      <w:r>
        <w:rPr>
          <w:rFonts w:ascii="Arial" w:hAnsi="Arial" w:cs="Arial" w:eastAsia="Arial" w:hint="default"/>
        </w:rPr>
        <w:t>(1) </w:t>
      </w:r>
      <w:r>
        <w:rPr>
          <w:rFonts w:ascii="Arial" w:hAnsi="Arial" w:cs="Arial" w:eastAsia="Arial" w:hint="default"/>
          <w:spacing w:val="22"/>
        </w:rPr>
        <w:t> </w:t>
      </w:r>
      <w:r>
        <w:rPr/>
        <w:t>会计政策变更的内容及原因（续）</w:t>
      </w:r>
    </w:p>
    <w:p>
      <w:pPr>
        <w:spacing w:line="240" w:lineRule="auto" w:before="3"/>
        <w:rPr>
          <w:rFonts w:ascii="宋体" w:hAnsi="宋体" w:cs="宋体" w:eastAsia="宋体" w:hint="default"/>
          <w:sz w:val="18"/>
          <w:szCs w:val="18"/>
        </w:rPr>
      </w:pPr>
    </w:p>
    <w:p>
      <w:pPr>
        <w:pStyle w:val="BodyText"/>
        <w:spacing w:line="240" w:lineRule="auto"/>
        <w:ind w:left="147" w:right="0"/>
        <w:jc w:val="left"/>
      </w:pPr>
      <w:r>
        <w:rPr>
          <w:rFonts w:ascii="Arial" w:hAnsi="Arial" w:cs="Arial" w:eastAsia="Arial" w:hint="default"/>
        </w:rPr>
        <w:t>(b) </w:t>
      </w:r>
      <w:r>
        <w:rPr>
          <w:rFonts w:ascii="Arial" w:hAnsi="Arial" w:cs="Arial" w:eastAsia="Arial" w:hint="default"/>
          <w:spacing w:val="44"/>
        </w:rPr>
        <w:t> </w:t>
      </w:r>
      <w:r>
        <w:rPr/>
        <w:t>新租赁准则</w:t>
      </w:r>
    </w:p>
    <w:p>
      <w:pPr>
        <w:spacing w:line="240" w:lineRule="auto" w:before="1"/>
        <w:rPr>
          <w:rFonts w:ascii="宋体" w:hAnsi="宋体" w:cs="宋体" w:eastAsia="宋体" w:hint="default"/>
          <w:sz w:val="16"/>
          <w:szCs w:val="16"/>
        </w:rPr>
      </w:pPr>
    </w:p>
    <w:p>
      <w:pPr>
        <w:pStyle w:val="BodyText"/>
        <w:spacing w:line="289" w:lineRule="exact"/>
        <w:ind w:left="584" w:right="0"/>
        <w:jc w:val="left"/>
      </w:pPr>
      <w:r>
        <w:rPr>
          <w:w w:val="100"/>
        </w:rPr>
        <w:t>新租赁准则修订</w:t>
      </w:r>
      <w:r>
        <w:rPr>
          <w:spacing w:val="-5"/>
          <w:w w:val="100"/>
        </w:rPr>
        <w:t>了</w:t>
      </w:r>
      <w:r>
        <w:rPr>
          <w:w w:val="100"/>
        </w:rPr>
        <w:t>财政部于</w:t>
      </w:r>
      <w:r>
        <w:rPr>
          <w:spacing w:val="-67"/>
        </w:rPr>
        <w:t> </w:t>
      </w:r>
      <w:r>
        <w:rPr>
          <w:rFonts w:ascii="Arial" w:hAnsi="Arial" w:cs="Arial" w:eastAsia="Arial" w:hint="default"/>
          <w:spacing w:val="2"/>
          <w:w w:val="100"/>
        </w:rPr>
        <w:t>2</w:t>
      </w:r>
      <w:r>
        <w:rPr>
          <w:rFonts w:ascii="Arial" w:hAnsi="Arial" w:cs="Arial" w:eastAsia="Arial" w:hint="default"/>
          <w:spacing w:val="-3"/>
          <w:w w:val="100"/>
        </w:rPr>
        <w:t>0</w:t>
      </w:r>
      <w:r>
        <w:rPr>
          <w:rFonts w:ascii="Arial" w:hAnsi="Arial" w:cs="Arial" w:eastAsia="Arial" w:hint="default"/>
          <w:spacing w:val="2"/>
          <w:w w:val="100"/>
        </w:rPr>
        <w:t>0</w:t>
      </w:r>
      <w:r>
        <w:rPr>
          <w:rFonts w:ascii="Arial" w:hAnsi="Arial" w:cs="Arial" w:eastAsia="Arial" w:hint="default"/>
          <w:w w:val="100"/>
        </w:rPr>
        <w:t>6</w:t>
      </w:r>
      <w:r>
        <w:rPr>
          <w:rFonts w:ascii="Arial" w:hAnsi="Arial" w:cs="Arial" w:eastAsia="Arial" w:hint="default"/>
          <w:spacing w:val="-11"/>
        </w:rPr>
        <w:t> </w:t>
      </w:r>
      <w:r>
        <w:rPr>
          <w:w w:val="100"/>
        </w:rPr>
        <w:t>年</w:t>
      </w:r>
      <w:r>
        <w:rPr>
          <w:spacing w:val="-5"/>
          <w:w w:val="100"/>
        </w:rPr>
        <w:t>颁</w:t>
      </w:r>
      <w:r>
        <w:rPr>
          <w:w w:val="100"/>
        </w:rPr>
        <w:t>布</w:t>
      </w:r>
      <w:r>
        <w:rPr>
          <w:spacing w:val="-111"/>
          <w:w w:val="100"/>
        </w:rPr>
        <w:t>的</w:t>
      </w:r>
      <w:r>
        <w:rPr>
          <w:w w:val="100"/>
        </w:rPr>
        <w:t>《企业</w:t>
      </w:r>
      <w:r>
        <w:rPr>
          <w:spacing w:val="-5"/>
          <w:w w:val="100"/>
        </w:rPr>
        <w:t>会</w:t>
      </w:r>
      <w:r>
        <w:rPr>
          <w:w w:val="100"/>
        </w:rPr>
        <w:t>计准则第</w:t>
      </w:r>
      <w:r>
        <w:rPr>
          <w:spacing w:val="-62"/>
        </w:rPr>
        <w:t> </w:t>
      </w:r>
      <w:r>
        <w:rPr>
          <w:rFonts w:ascii="Arial" w:hAnsi="Arial" w:cs="Arial" w:eastAsia="Arial" w:hint="default"/>
          <w:spacing w:val="-3"/>
          <w:w w:val="100"/>
        </w:rPr>
        <w:t>2</w:t>
      </w:r>
      <w:r>
        <w:rPr>
          <w:rFonts w:ascii="Arial" w:hAnsi="Arial" w:cs="Arial" w:eastAsia="Arial" w:hint="default"/>
          <w:w w:val="100"/>
        </w:rPr>
        <w:t>1</w:t>
      </w:r>
      <w:r>
        <w:rPr>
          <w:rFonts w:ascii="Arial" w:hAnsi="Arial" w:cs="Arial" w:eastAsia="Arial" w:hint="default"/>
          <w:spacing w:val="-11"/>
        </w:rPr>
        <w:t> </w:t>
      </w:r>
      <w:r>
        <w:rPr>
          <w:w w:val="100"/>
        </w:rPr>
        <w:t>号</w:t>
      </w:r>
      <w:r>
        <w:rPr>
          <w:rFonts w:ascii="宋体" w:hAnsi="宋体" w:cs="宋体" w:eastAsia="宋体" w:hint="default"/>
          <w:w w:val="100"/>
        </w:rPr>
        <w:t>——</w:t>
      </w:r>
      <w:r>
        <w:rPr>
          <w:w w:val="100"/>
        </w:rPr>
        <w:t>租</w:t>
      </w:r>
      <w:r>
        <w:rPr>
          <w:spacing w:val="-5"/>
          <w:w w:val="100"/>
        </w:rPr>
        <w:t>赁</w:t>
      </w:r>
      <w:r>
        <w:rPr>
          <w:spacing w:val="-111"/>
          <w:w w:val="100"/>
        </w:rPr>
        <w:t>》</w:t>
      </w:r>
      <w:r>
        <w:rPr>
          <w:rFonts w:ascii="Arial" w:hAnsi="Arial" w:cs="Arial" w:eastAsia="Arial" w:hint="default"/>
          <w:spacing w:val="-2"/>
          <w:w w:val="100"/>
        </w:rPr>
        <w:t>(</w:t>
      </w:r>
      <w:r>
        <w:rPr>
          <w:w w:val="100"/>
        </w:rPr>
        <w:t>简</w:t>
      </w:r>
      <w:r>
        <w:rPr>
          <w:spacing w:val="-111"/>
          <w:w w:val="100"/>
        </w:rPr>
        <w:t>称</w:t>
      </w:r>
      <w:r>
        <w:rPr>
          <w:w w:val="100"/>
        </w:rPr>
        <w:t>“原租赁</w:t>
      </w:r>
      <w:r>
        <w:rPr>
          <w:spacing w:val="-5"/>
          <w:w w:val="100"/>
        </w:rPr>
        <w:t>准</w:t>
      </w:r>
      <w:r>
        <w:rPr>
          <w:w w:val="100"/>
        </w:rPr>
        <w:t>则</w:t>
      </w:r>
      <w:r>
        <w:rPr>
          <w:spacing w:val="-111"/>
          <w:w w:val="100"/>
        </w:rPr>
        <w:t>”</w:t>
      </w:r>
      <w:r>
        <w:rPr>
          <w:rFonts w:ascii="Arial" w:hAnsi="Arial" w:cs="Arial" w:eastAsia="Arial" w:hint="default"/>
          <w:spacing w:val="-2"/>
          <w:w w:val="100"/>
        </w:rPr>
        <w:t>)</w:t>
      </w:r>
      <w:r>
        <w:rPr>
          <w:w w:val="100"/>
        </w:rPr>
        <w:t>。</w:t>
      </w:r>
    </w:p>
    <w:p>
      <w:pPr>
        <w:pStyle w:val="BodyText"/>
        <w:spacing w:line="289" w:lineRule="exact"/>
        <w:ind w:left="584" w:right="0"/>
        <w:jc w:val="left"/>
      </w:pPr>
      <w:r>
        <w:rPr/>
        <w:t>本集团自</w:t>
      </w:r>
      <w:r>
        <w:rPr>
          <w:spacing w:val="-56"/>
        </w:rPr>
        <w:t> </w:t>
      </w:r>
      <w:r>
        <w:rPr>
          <w:rFonts w:ascii="Arial" w:hAnsi="Arial" w:cs="Arial" w:eastAsia="Arial" w:hint="default"/>
        </w:rPr>
        <w:t>2019</w:t>
      </w:r>
      <w:r>
        <w:rPr>
          <w:rFonts w:ascii="Arial" w:hAnsi="Arial" w:cs="Arial" w:eastAsia="Arial" w:hint="default"/>
          <w:spacing w:val="-5"/>
        </w:rPr>
        <w:t> </w:t>
      </w:r>
      <w:r>
        <w:rPr/>
        <w:t>年</w:t>
      </w:r>
      <w:r>
        <w:rPr>
          <w:spacing w:val="-56"/>
        </w:rPr>
        <w:t> </w:t>
      </w:r>
      <w:r>
        <w:rPr>
          <w:rFonts w:ascii="Arial" w:hAnsi="Arial" w:cs="Arial" w:eastAsia="Arial" w:hint="default"/>
        </w:rPr>
        <w:t>1</w:t>
      </w:r>
      <w:r>
        <w:rPr>
          <w:rFonts w:ascii="Arial" w:hAnsi="Arial" w:cs="Arial" w:eastAsia="Arial" w:hint="default"/>
          <w:spacing w:val="-5"/>
        </w:rPr>
        <w:t> </w:t>
      </w:r>
      <w:r>
        <w:rPr/>
        <w:t>月</w:t>
      </w:r>
      <w:r>
        <w:rPr>
          <w:spacing w:val="-56"/>
        </w:rPr>
        <w:t> </w:t>
      </w:r>
      <w:r>
        <w:rPr>
          <w:rFonts w:ascii="Arial" w:hAnsi="Arial" w:cs="Arial" w:eastAsia="Arial" w:hint="default"/>
        </w:rPr>
        <w:t>1</w:t>
      </w:r>
      <w:r>
        <w:rPr>
          <w:rFonts w:ascii="Arial" w:hAnsi="Arial" w:cs="Arial" w:eastAsia="Arial" w:hint="default"/>
          <w:spacing w:val="-5"/>
        </w:rPr>
        <w:t> </w:t>
      </w:r>
      <w:r>
        <w:rPr/>
        <w:t>日起执行新租赁准则，对会计政策相关内容进行调整。</w:t>
      </w:r>
    </w:p>
    <w:p>
      <w:pPr>
        <w:spacing w:line="240" w:lineRule="auto" w:before="11"/>
        <w:rPr>
          <w:rFonts w:ascii="宋体" w:hAnsi="宋体" w:cs="宋体" w:eastAsia="宋体" w:hint="default"/>
          <w:sz w:val="16"/>
          <w:szCs w:val="16"/>
        </w:rPr>
      </w:pPr>
    </w:p>
    <w:p>
      <w:pPr>
        <w:pStyle w:val="BodyText"/>
        <w:spacing w:line="225" w:lineRule="auto"/>
        <w:ind w:left="584" w:right="205"/>
        <w:jc w:val="both"/>
      </w:pPr>
      <w:r>
        <w:rPr>
          <w:spacing w:val="-2"/>
        </w:rPr>
        <w:t>新租赁准则完善了租赁的定义，本集团在新租赁准则下根据租赁的定义评估合同是否为租赁或者包</w:t>
      </w:r>
      <w:r>
        <w:rPr>
          <w:spacing w:val="-49"/>
        </w:rPr>
        <w:t> </w:t>
      </w:r>
      <w:r>
        <w:rPr>
          <w:spacing w:val="-49"/>
        </w:rPr>
      </w:r>
      <w:r>
        <w:rPr>
          <w:spacing w:val="-2"/>
        </w:rPr>
        <w:t>含租赁。对于首次执行日前已存在的合同，本集团在首次执行日选择不重新评估其是否为租赁或者</w:t>
      </w:r>
      <w:r>
        <w:rPr>
          <w:spacing w:val="-50"/>
        </w:rPr>
        <w:t> </w:t>
      </w:r>
      <w:r>
        <w:rPr>
          <w:spacing w:val="-50"/>
        </w:rPr>
      </w:r>
      <w:r>
        <w:rPr/>
        <w:t>包含租赁。</w:t>
      </w:r>
    </w:p>
    <w:p>
      <w:pPr>
        <w:spacing w:line="240" w:lineRule="auto" w:before="5"/>
        <w:rPr>
          <w:rFonts w:ascii="宋体" w:hAnsi="宋体" w:cs="宋体" w:eastAsia="宋体" w:hint="default"/>
          <w:sz w:val="17"/>
          <w:szCs w:val="17"/>
        </w:rPr>
      </w:pPr>
    </w:p>
    <w:p>
      <w:pPr>
        <w:pStyle w:val="BodyText"/>
        <w:tabs>
          <w:tab w:pos="968" w:val="left" w:leader="none"/>
        </w:tabs>
        <w:spacing w:line="240" w:lineRule="auto"/>
        <w:ind w:left="593" w:right="0"/>
        <w:jc w:val="left"/>
      </w:pPr>
      <w:r>
        <w:rPr>
          <w:rFonts w:ascii="宋体" w:hAnsi="宋体" w:cs="宋体" w:eastAsia="宋体" w:hint="default"/>
        </w:rPr>
        <w:t>•</w:t>
        <w:tab/>
      </w:r>
      <w:r>
        <w:rPr/>
        <w:t>本集团作为承租人</w:t>
      </w:r>
    </w:p>
    <w:p>
      <w:pPr>
        <w:spacing w:line="240" w:lineRule="auto" w:before="10"/>
        <w:rPr>
          <w:rFonts w:ascii="宋体" w:hAnsi="宋体" w:cs="宋体" w:eastAsia="宋体" w:hint="default"/>
          <w:sz w:val="19"/>
          <w:szCs w:val="19"/>
        </w:rPr>
      </w:pPr>
    </w:p>
    <w:p>
      <w:pPr>
        <w:pStyle w:val="BodyText"/>
        <w:spacing w:line="274" w:lineRule="exact"/>
        <w:ind w:left="584" w:right="0"/>
        <w:jc w:val="left"/>
      </w:pPr>
      <w:r>
        <w:rPr/>
        <w:t>原租赁准则下，本集团根据租赁是否实质上将与资产所有权有关的全部风险和报酬转移给本集团，</w:t>
      </w:r>
      <w:r>
        <w:rPr>
          <w:spacing w:val="-40"/>
        </w:rPr>
        <w:t> </w:t>
      </w:r>
      <w:r>
        <w:rPr>
          <w:spacing w:val="-40"/>
        </w:rPr>
      </w:r>
      <w:r>
        <w:rPr/>
        <w:t>将租赁分为融资租赁和经营租赁。</w:t>
      </w:r>
    </w:p>
    <w:p>
      <w:pPr>
        <w:spacing w:line="240" w:lineRule="auto" w:before="12"/>
        <w:rPr>
          <w:rFonts w:ascii="宋体" w:hAnsi="宋体" w:cs="宋体" w:eastAsia="宋体" w:hint="default"/>
          <w:sz w:val="17"/>
          <w:szCs w:val="17"/>
        </w:rPr>
      </w:pPr>
    </w:p>
    <w:p>
      <w:pPr>
        <w:pStyle w:val="BodyText"/>
        <w:spacing w:line="274" w:lineRule="exact"/>
        <w:ind w:left="584" w:right="0"/>
        <w:jc w:val="left"/>
      </w:pPr>
      <w:r>
        <w:rPr>
          <w:spacing w:val="-4"/>
        </w:rPr>
        <w:t>新租赁准则下，本集团不再区分融资租赁与经营租赁。本集团对所有租赁</w:t>
      </w:r>
      <w:r>
        <w:rPr>
          <w:rFonts w:ascii="Arial" w:hAnsi="Arial" w:cs="Arial" w:eastAsia="Arial" w:hint="default"/>
          <w:spacing w:val="-4"/>
        </w:rPr>
        <w:t>(</w:t>
      </w:r>
      <w:r>
        <w:rPr>
          <w:spacing w:val="-4"/>
        </w:rPr>
        <w:t>选择简化处理方法的短期</w:t>
      </w:r>
      <w:r>
        <w:rPr>
          <w:spacing w:val="-33"/>
        </w:rPr>
        <w:t> </w:t>
      </w:r>
      <w:r>
        <w:rPr>
          <w:spacing w:val="-33"/>
        </w:rPr>
      </w:r>
      <w:r>
        <w:rPr/>
        <w:t>租赁和低价值资产租赁除外</w:t>
      </w:r>
      <w:r>
        <w:rPr>
          <w:rFonts w:ascii="Arial" w:hAnsi="Arial" w:cs="Arial" w:eastAsia="Arial" w:hint="default"/>
        </w:rPr>
        <w:t>)</w:t>
      </w:r>
      <w:r>
        <w:rPr>
          <w:rFonts w:ascii="Arial" w:hAnsi="Arial" w:cs="Arial" w:eastAsia="Arial" w:hint="default"/>
          <w:spacing w:val="52"/>
        </w:rPr>
        <w:t> </w:t>
      </w:r>
      <w:r>
        <w:rPr/>
        <w:t>确认使用权资产和租赁负债。</w:t>
      </w:r>
    </w:p>
    <w:p>
      <w:pPr>
        <w:spacing w:line="240" w:lineRule="auto" w:before="12"/>
        <w:rPr>
          <w:rFonts w:ascii="宋体" w:hAnsi="宋体" w:cs="宋体" w:eastAsia="宋体" w:hint="default"/>
          <w:sz w:val="17"/>
          <w:szCs w:val="17"/>
        </w:rPr>
      </w:pPr>
    </w:p>
    <w:p>
      <w:pPr>
        <w:pStyle w:val="BodyText"/>
        <w:spacing w:line="274" w:lineRule="exact"/>
        <w:ind w:left="584" w:right="0"/>
        <w:jc w:val="left"/>
      </w:pPr>
      <w:r>
        <w:rPr>
          <w:spacing w:val="-2"/>
        </w:rPr>
        <w:t>在分拆合同包含的租赁和非租赁部分时，本集团按照各租赁部分单独价格及非租赁部分的单独价格</w:t>
      </w:r>
      <w:r>
        <w:rPr>
          <w:spacing w:val="-49"/>
        </w:rPr>
        <w:t> </w:t>
      </w:r>
      <w:r>
        <w:rPr>
          <w:spacing w:val="-49"/>
        </w:rPr>
      </w:r>
      <w:r>
        <w:rPr/>
        <w:t>之和的相对比例分摊合同对价。</w:t>
      </w:r>
    </w:p>
    <w:p>
      <w:pPr>
        <w:spacing w:line="240" w:lineRule="auto" w:before="12"/>
        <w:rPr>
          <w:rFonts w:ascii="宋体" w:hAnsi="宋体" w:cs="宋体" w:eastAsia="宋体" w:hint="default"/>
          <w:sz w:val="17"/>
          <w:szCs w:val="17"/>
        </w:rPr>
      </w:pPr>
    </w:p>
    <w:p>
      <w:pPr>
        <w:pStyle w:val="BodyText"/>
        <w:spacing w:line="274" w:lineRule="exact"/>
        <w:ind w:left="584" w:right="0"/>
        <w:jc w:val="left"/>
      </w:pPr>
      <w:r>
        <w:rPr>
          <w:spacing w:val="-2"/>
        </w:rPr>
        <w:t>本集团选择根据首次执行新租赁准则的累积影响数，调整首次执行新租赁准则当年年初留存收益及</w:t>
      </w:r>
      <w:r>
        <w:rPr>
          <w:spacing w:val="-49"/>
        </w:rPr>
        <w:t> </w:t>
      </w:r>
      <w:r>
        <w:rPr>
          <w:spacing w:val="-49"/>
        </w:rPr>
      </w:r>
      <w:r>
        <w:rPr/>
        <w:t>财务报表其他相关项目金额，不调整可比期间信息。</w:t>
      </w:r>
    </w:p>
    <w:p>
      <w:pPr>
        <w:spacing w:line="240" w:lineRule="auto" w:before="12"/>
        <w:rPr>
          <w:rFonts w:ascii="宋体" w:hAnsi="宋体" w:cs="宋体" w:eastAsia="宋体" w:hint="default"/>
          <w:sz w:val="17"/>
          <w:szCs w:val="17"/>
        </w:rPr>
      </w:pPr>
    </w:p>
    <w:p>
      <w:pPr>
        <w:pStyle w:val="BodyText"/>
        <w:spacing w:line="274" w:lineRule="exact"/>
        <w:ind w:left="584" w:right="0"/>
        <w:jc w:val="left"/>
      </w:pPr>
      <w:r>
        <w:rPr>
          <w:spacing w:val="-2"/>
        </w:rPr>
        <w:t>对于首次执行日前的经营租赁，本集团在首次执行日根据剩余租赁付款额按首次执行日本集团增量</w:t>
      </w:r>
      <w:r>
        <w:rPr>
          <w:spacing w:val="-49"/>
        </w:rPr>
        <w:t> </w:t>
      </w:r>
      <w:r>
        <w:rPr>
          <w:spacing w:val="-49"/>
        </w:rPr>
      </w:r>
      <w:r>
        <w:rPr/>
        <w:t>借款利率折现的现值计量租赁负债，并按照以下方法计量使用权资产：</w:t>
      </w:r>
    </w:p>
    <w:p>
      <w:pPr>
        <w:spacing w:line="240" w:lineRule="auto" w:before="11"/>
        <w:rPr>
          <w:rFonts w:ascii="宋体" w:hAnsi="宋体" w:cs="宋体" w:eastAsia="宋体" w:hint="default"/>
          <w:sz w:val="17"/>
          <w:szCs w:val="17"/>
        </w:rPr>
      </w:pPr>
    </w:p>
    <w:p>
      <w:pPr>
        <w:pStyle w:val="BodyText"/>
        <w:tabs>
          <w:tab w:pos="1016" w:val="left" w:leader="none"/>
        </w:tabs>
        <w:spacing w:line="288" w:lineRule="exact"/>
        <w:ind w:left="1016" w:right="221" w:hanging="409"/>
        <w:jc w:val="left"/>
      </w:pPr>
      <w:r>
        <w:rPr>
          <w:rFonts w:ascii="Arial" w:hAnsi="Arial" w:cs="Arial" w:eastAsia="Arial" w:hint="default"/>
        </w:rPr>
        <w:t>-</w:t>
        <w:tab/>
      </w:r>
      <w:r>
        <w:rPr/>
        <w:t>假设自租赁期开始日即采用新租赁准则的账面价值</w:t>
      </w:r>
      <w:r>
        <w:rPr>
          <w:rFonts w:ascii="Arial" w:hAnsi="Arial" w:cs="Arial" w:eastAsia="Arial" w:hint="default"/>
        </w:rPr>
        <w:t>(</w:t>
      </w:r>
      <w:r>
        <w:rPr/>
        <w:t>采用首次执行日本集团的增量借款利率作</w:t>
      </w:r>
      <w:r>
        <w:rPr>
          <w:spacing w:val="4"/>
        </w:rPr>
        <w:t> </w:t>
      </w:r>
      <w:r>
        <w:rPr>
          <w:spacing w:val="4"/>
        </w:rPr>
      </w:r>
      <w:r>
        <w:rPr/>
        <w:t>为折现率</w:t>
      </w:r>
      <w:r>
        <w:rPr>
          <w:rFonts w:ascii="Arial" w:hAnsi="Arial" w:cs="Arial" w:eastAsia="Arial" w:hint="default"/>
        </w:rPr>
        <w:t>)</w:t>
      </w:r>
      <w:r>
        <w:rPr/>
        <w:t>；</w:t>
      </w:r>
    </w:p>
    <w:p>
      <w:pPr>
        <w:spacing w:line="240" w:lineRule="auto" w:before="0"/>
        <w:rPr>
          <w:rFonts w:ascii="宋体" w:hAnsi="宋体" w:cs="宋体" w:eastAsia="宋体" w:hint="default"/>
          <w:sz w:val="17"/>
          <w:szCs w:val="17"/>
        </w:rPr>
      </w:pPr>
    </w:p>
    <w:p>
      <w:pPr>
        <w:pStyle w:val="BodyText"/>
        <w:spacing w:line="240" w:lineRule="auto"/>
        <w:ind w:left="598" w:right="0"/>
        <w:jc w:val="left"/>
      </w:pPr>
      <w:r>
        <w:rPr/>
        <w:t>对于首次执行日前的经营租赁，本集团在应用上述方法时同时采用了如下简化处理：</w:t>
      </w:r>
    </w:p>
    <w:p>
      <w:pPr>
        <w:spacing w:line="240" w:lineRule="auto" w:before="1"/>
        <w:rPr>
          <w:rFonts w:ascii="宋体" w:hAnsi="宋体" w:cs="宋体" w:eastAsia="宋体" w:hint="default"/>
          <w:sz w:val="19"/>
          <w:szCs w:val="19"/>
        </w:rPr>
      </w:pPr>
    </w:p>
    <w:p>
      <w:pPr>
        <w:pStyle w:val="BodyText"/>
        <w:tabs>
          <w:tab w:pos="1016" w:val="left" w:leader="none"/>
        </w:tabs>
        <w:spacing w:line="293" w:lineRule="exact"/>
        <w:ind w:left="608" w:right="0"/>
        <w:jc w:val="left"/>
      </w:pPr>
      <w:r>
        <w:rPr>
          <w:rFonts w:ascii="Arial" w:hAnsi="Arial" w:cs="Arial" w:eastAsia="Arial" w:hint="default"/>
        </w:rPr>
        <w:t>-</w:t>
        <w:tab/>
      </w:r>
      <w:r>
        <w:rPr/>
        <w:t>对将于首次执行日后</w:t>
      </w:r>
      <w:r>
        <w:rPr>
          <w:rFonts w:ascii="Arial" w:hAnsi="Arial" w:cs="Arial" w:eastAsia="Arial" w:hint="default"/>
        </w:rPr>
        <w:t>12</w:t>
      </w:r>
      <w:r>
        <w:rPr/>
        <w:t>个月内完成的租赁作为短期租赁处理；</w:t>
      </w:r>
    </w:p>
    <w:p>
      <w:pPr>
        <w:pStyle w:val="BodyText"/>
        <w:tabs>
          <w:tab w:pos="1016" w:val="left" w:leader="none"/>
        </w:tabs>
        <w:spacing w:line="286" w:lineRule="exact"/>
        <w:ind w:left="608" w:right="0"/>
        <w:jc w:val="left"/>
      </w:pPr>
      <w:r>
        <w:rPr>
          <w:rFonts w:ascii="Arial" w:hAnsi="Arial" w:cs="Arial" w:eastAsia="Arial" w:hint="default"/>
        </w:rPr>
        <w:t>-</w:t>
        <w:tab/>
      </w:r>
      <w:r>
        <w:rPr/>
        <w:t>计量租赁负债时，对具有相似特征的租赁采用同一折现率；</w:t>
      </w:r>
    </w:p>
    <w:p>
      <w:pPr>
        <w:pStyle w:val="BodyText"/>
        <w:tabs>
          <w:tab w:pos="1016" w:val="left" w:leader="none"/>
        </w:tabs>
        <w:spacing w:line="284" w:lineRule="exact" w:before="22"/>
        <w:ind w:left="1016" w:right="221" w:hanging="409"/>
        <w:jc w:val="left"/>
      </w:pPr>
      <w:r>
        <w:rPr>
          <w:rFonts w:ascii="Arial" w:hAnsi="Arial" w:cs="Arial" w:eastAsia="Arial" w:hint="default"/>
        </w:rPr>
        <w:t>-</w:t>
        <w:tab/>
      </w:r>
      <w:r>
        <w:rPr>
          <w:spacing w:val="-2"/>
        </w:rPr>
        <w:t>对首次执行新租赁准则当年年初之前发生的租赁变更，不进行追溯调整，根据租赁变更的最终</w:t>
      </w:r>
      <w:r>
        <w:rPr>
          <w:spacing w:val="-51"/>
        </w:rPr>
        <w:t> </w:t>
      </w:r>
      <w:r>
        <w:rPr>
          <w:spacing w:val="-51"/>
        </w:rPr>
      </w:r>
      <w:r>
        <w:rPr/>
        <w:t>安排，按照新租赁准则进行会计处理。</w:t>
      </w:r>
    </w:p>
    <w:p>
      <w:pPr>
        <w:spacing w:line="240" w:lineRule="auto" w:before="12"/>
        <w:rPr>
          <w:rFonts w:ascii="宋体" w:hAnsi="宋体" w:cs="宋体" w:eastAsia="宋体" w:hint="default"/>
          <w:sz w:val="18"/>
          <w:szCs w:val="18"/>
        </w:rPr>
      </w:pPr>
    </w:p>
    <w:p>
      <w:pPr>
        <w:pStyle w:val="BodyText"/>
        <w:spacing w:line="268" w:lineRule="exact"/>
        <w:ind w:left="584" w:right="0"/>
        <w:jc w:val="left"/>
      </w:pPr>
      <w:r>
        <w:rPr>
          <w:spacing w:val="-2"/>
        </w:rPr>
        <w:t>对于首次执行日前的融资租赁，本集团在首次执行日按照融资租入资产和应付融资租赁款的原账面</w:t>
      </w:r>
      <w:r>
        <w:rPr>
          <w:spacing w:val="-49"/>
        </w:rPr>
        <w:t> </w:t>
      </w:r>
      <w:r>
        <w:rPr>
          <w:spacing w:val="-49"/>
        </w:rPr>
      </w:r>
      <w:r>
        <w:rPr/>
        <w:t>价值，分别计量使用权资产和租赁负债。</w:t>
      </w:r>
    </w:p>
    <w:p>
      <w:pPr>
        <w:spacing w:after="0" w:line="268" w:lineRule="exact"/>
        <w:jc w:val="left"/>
        <w:sectPr>
          <w:headerReference w:type="default" r:id="rId133"/>
          <w:pgSz w:w="11910" w:h="16840"/>
          <w:pgMar w:header="842" w:footer="502" w:top="2700" w:bottom="700" w:left="860" w:right="820"/>
        </w:sectPr>
      </w:pPr>
    </w:p>
    <w:p>
      <w:pPr>
        <w:spacing w:line="240" w:lineRule="auto" w:before="12"/>
        <w:rPr>
          <w:rFonts w:ascii="宋体" w:hAnsi="宋体" w:cs="宋体" w:eastAsia="宋体" w:hint="default"/>
          <w:sz w:val="13"/>
          <w:szCs w:val="13"/>
        </w:rPr>
      </w:pPr>
    </w:p>
    <w:p>
      <w:pPr>
        <w:pStyle w:val="BodyText"/>
        <w:tabs>
          <w:tab w:pos="968" w:val="left" w:leader="none"/>
        </w:tabs>
        <w:spacing w:line="240" w:lineRule="auto" w:before="32"/>
        <w:ind w:left="594" w:right="94"/>
        <w:jc w:val="left"/>
      </w:pPr>
      <w:r>
        <w:rPr>
          <w:rFonts w:ascii="宋体" w:hAnsi="宋体" w:cs="宋体" w:eastAsia="宋体" w:hint="default"/>
        </w:rPr>
        <w:t>•</w:t>
        <w:tab/>
      </w:r>
      <w:r>
        <w:rPr/>
        <w:t>本集团作为出租人</w:t>
      </w:r>
    </w:p>
    <w:p>
      <w:pPr>
        <w:spacing w:line="240" w:lineRule="auto" w:before="6"/>
        <w:rPr>
          <w:rFonts w:ascii="宋体" w:hAnsi="宋体" w:cs="宋体" w:eastAsia="宋体" w:hint="default"/>
          <w:sz w:val="18"/>
          <w:szCs w:val="18"/>
        </w:rPr>
      </w:pPr>
    </w:p>
    <w:p>
      <w:pPr>
        <w:pStyle w:val="BodyText"/>
        <w:spacing w:line="225" w:lineRule="auto"/>
        <w:ind w:left="555" w:right="94" w:firstLine="4"/>
        <w:jc w:val="left"/>
      </w:pPr>
      <w:r>
        <w:rPr>
          <w:spacing w:val="-3"/>
        </w:rPr>
        <w:t>在新租赁准则下，本集团作为转租出租人应基于原租赁产生的使用权资产，而不是原租赁的标的</w:t>
      </w:r>
      <w:r>
        <w:rPr>
          <w:spacing w:val="-68"/>
        </w:rPr>
        <w:t> </w:t>
      </w:r>
      <w:r>
        <w:rPr>
          <w:spacing w:val="-68"/>
        </w:rPr>
      </w:r>
      <w:r>
        <w:rPr>
          <w:spacing w:val="-5"/>
          <w:w w:val="100"/>
        </w:rPr>
        <w:t>资产，对转租赁进行分类。对于首次执行日前划分为经营租赁且在首次执行日后仍存续的转租赁，</w:t>
      </w:r>
      <w:r>
        <w:rPr>
          <w:w w:val="100"/>
        </w:rPr>
        <w:t> </w:t>
      </w:r>
      <w:r>
        <w:rPr>
          <w:spacing w:val="-3"/>
        </w:rPr>
        <w:t>本集团在首次执行日基于原租赁和转租赁的剩余合同期限和条款进行重新评估，并按照新租赁准</w:t>
      </w:r>
      <w:r>
        <w:rPr>
          <w:spacing w:val="-53"/>
        </w:rPr>
        <w:t> </w:t>
      </w:r>
      <w:r>
        <w:rPr>
          <w:spacing w:val="-53"/>
        </w:rPr>
      </w:r>
      <w:r>
        <w:rPr/>
        <w:t>则的规定进行分类。重分类为融资租赁的，本集团将其作为一项新的融资租赁进行会计处理。</w:t>
      </w:r>
    </w:p>
    <w:p>
      <w:pPr>
        <w:spacing w:line="240" w:lineRule="auto" w:before="8"/>
        <w:rPr>
          <w:rFonts w:ascii="宋体" w:hAnsi="宋体" w:cs="宋体" w:eastAsia="宋体" w:hint="default"/>
          <w:sz w:val="20"/>
          <w:szCs w:val="20"/>
        </w:rPr>
      </w:pPr>
    </w:p>
    <w:p>
      <w:pPr>
        <w:pStyle w:val="BodyText"/>
        <w:spacing w:line="268" w:lineRule="exact"/>
        <w:ind w:left="556" w:right="94" w:firstLine="4"/>
        <w:jc w:val="left"/>
      </w:pPr>
      <w:r>
        <w:rPr/>
        <w:t>本集团无需对其作为出租人的租赁调整首次执行新租赁准则当年年初留存收益及财务报表其他</w:t>
      </w:r>
      <w:r>
        <w:rPr>
          <w:spacing w:val="9"/>
        </w:rPr>
        <w:t> </w:t>
      </w:r>
      <w:r>
        <w:rPr>
          <w:spacing w:val="9"/>
        </w:rPr>
      </w:r>
      <w:r>
        <w:rPr/>
        <w:t>相关项目金额。本集团自首次执行日起按照新租赁准则准则进行会计处理。</w:t>
      </w:r>
    </w:p>
    <w:p>
      <w:pPr>
        <w:spacing w:line="240" w:lineRule="auto" w:before="7"/>
        <w:rPr>
          <w:rFonts w:ascii="宋体" w:hAnsi="宋体" w:cs="宋体" w:eastAsia="宋体" w:hint="default"/>
          <w:sz w:val="15"/>
          <w:szCs w:val="15"/>
        </w:rPr>
      </w:pPr>
    </w:p>
    <w:p>
      <w:pPr>
        <w:pStyle w:val="BodyText"/>
        <w:tabs>
          <w:tab w:pos="969" w:val="left" w:leader="none"/>
        </w:tabs>
        <w:spacing w:line="240" w:lineRule="auto"/>
        <w:ind w:left="594" w:right="94"/>
        <w:jc w:val="left"/>
      </w:pPr>
      <w:r>
        <w:rPr>
          <w:rFonts w:ascii="宋体" w:hAnsi="宋体" w:cs="宋体" w:eastAsia="宋体" w:hint="default"/>
        </w:rPr>
        <w:t>•</w:t>
        <w:tab/>
      </w:r>
      <w:r>
        <w:rPr>
          <w:rFonts w:ascii="Arial" w:hAnsi="Arial" w:cs="Arial" w:eastAsia="Arial" w:hint="default"/>
        </w:rPr>
        <w:t>2019</w:t>
      </w:r>
      <w:r>
        <w:rPr>
          <w:rFonts w:ascii="Arial" w:hAnsi="Arial" w:cs="Arial" w:eastAsia="Arial" w:hint="default"/>
          <w:spacing w:val="-7"/>
        </w:rPr>
        <w:t> </w:t>
      </w:r>
      <w:r>
        <w:rPr/>
        <w:t>年</w:t>
      </w:r>
      <w:r>
        <w:rPr>
          <w:spacing w:val="-58"/>
        </w:rPr>
        <w:t> </w:t>
      </w:r>
      <w:r>
        <w:rPr>
          <w:rFonts w:ascii="Arial" w:hAnsi="Arial" w:cs="Arial" w:eastAsia="Arial" w:hint="default"/>
        </w:rPr>
        <w:t>1</w:t>
      </w:r>
      <w:r>
        <w:rPr>
          <w:rFonts w:ascii="Arial" w:hAnsi="Arial" w:cs="Arial" w:eastAsia="Arial" w:hint="default"/>
          <w:spacing w:val="-7"/>
        </w:rPr>
        <w:t> </w:t>
      </w:r>
      <w:r>
        <w:rPr/>
        <w:t>月</w:t>
      </w:r>
      <w:r>
        <w:rPr>
          <w:spacing w:val="-58"/>
        </w:rPr>
        <w:t> </w:t>
      </w:r>
      <w:r>
        <w:rPr>
          <w:rFonts w:ascii="Arial" w:hAnsi="Arial" w:cs="Arial" w:eastAsia="Arial" w:hint="default"/>
        </w:rPr>
        <w:t>1</w:t>
      </w:r>
      <w:r>
        <w:rPr>
          <w:rFonts w:ascii="Arial" w:hAnsi="Arial" w:cs="Arial" w:eastAsia="Arial" w:hint="default"/>
          <w:spacing w:val="-7"/>
        </w:rPr>
        <w:t> </w:t>
      </w:r>
      <w:r>
        <w:rPr/>
        <w:t>日执行新租赁准则对财务报表的影响</w:t>
      </w:r>
    </w:p>
    <w:p>
      <w:pPr>
        <w:spacing w:line="240" w:lineRule="auto" w:before="7"/>
        <w:rPr>
          <w:rFonts w:ascii="宋体" w:hAnsi="宋体" w:cs="宋体" w:eastAsia="宋体" w:hint="default"/>
          <w:sz w:val="18"/>
          <w:szCs w:val="18"/>
        </w:rPr>
      </w:pPr>
    </w:p>
    <w:p>
      <w:pPr>
        <w:pStyle w:val="BodyText"/>
        <w:spacing w:line="274" w:lineRule="exact"/>
        <w:ind w:left="555" w:right="212" w:firstLine="5"/>
        <w:jc w:val="left"/>
      </w:pPr>
      <w:r>
        <w:rPr>
          <w:spacing w:val="-3"/>
        </w:rPr>
        <w:t>在计量租赁负债时，本集团使用</w:t>
      </w:r>
      <w:r>
        <w:rPr>
          <w:spacing w:val="-57"/>
        </w:rPr>
        <w:t> </w:t>
      </w:r>
      <w:r>
        <w:rPr>
          <w:rFonts w:ascii="Arial" w:hAnsi="Arial" w:cs="Arial" w:eastAsia="Arial" w:hint="default"/>
        </w:rPr>
        <w:t>2019</w:t>
      </w:r>
      <w:r>
        <w:rPr>
          <w:rFonts w:ascii="Arial" w:hAnsi="Arial" w:cs="Arial" w:eastAsia="Arial" w:hint="default"/>
          <w:spacing w:val="-6"/>
        </w:rPr>
        <w:t> </w:t>
      </w:r>
      <w:r>
        <w:rPr/>
        <w:t>年</w:t>
      </w:r>
      <w:r>
        <w:rPr>
          <w:spacing w:val="-57"/>
        </w:rPr>
        <w:t> </w:t>
      </w:r>
      <w:r>
        <w:rPr>
          <w:rFonts w:ascii="Arial" w:hAnsi="Arial" w:cs="Arial" w:eastAsia="Arial" w:hint="default"/>
        </w:rPr>
        <w:t>1</w:t>
      </w:r>
      <w:r>
        <w:rPr>
          <w:rFonts w:ascii="Arial" w:hAnsi="Arial" w:cs="Arial" w:eastAsia="Arial" w:hint="default"/>
          <w:spacing w:val="-6"/>
        </w:rPr>
        <w:t> </w:t>
      </w:r>
      <w:r>
        <w:rPr/>
        <w:t>月</w:t>
      </w:r>
      <w:r>
        <w:rPr>
          <w:spacing w:val="-57"/>
        </w:rPr>
        <w:t> </w:t>
      </w:r>
      <w:r>
        <w:rPr>
          <w:rFonts w:ascii="Arial" w:hAnsi="Arial" w:cs="Arial" w:eastAsia="Arial" w:hint="default"/>
        </w:rPr>
        <w:t>1</w:t>
      </w:r>
      <w:r>
        <w:rPr>
          <w:rFonts w:ascii="Arial" w:hAnsi="Arial" w:cs="Arial" w:eastAsia="Arial" w:hint="default"/>
          <w:spacing w:val="-6"/>
        </w:rPr>
        <w:t> </w:t>
      </w:r>
      <w:r>
        <w:rPr/>
        <w:t>日的增量借款利率来对租赁付款额进行折现。本</w:t>
      </w:r>
      <w:r>
        <w:rPr>
          <w:w w:val="100"/>
        </w:rPr>
        <w:t> </w:t>
      </w:r>
      <w:r>
        <w:rPr/>
        <w:t>集团所用的加权平均利率为</w:t>
      </w:r>
      <w:r>
        <w:rPr>
          <w:spacing w:val="-51"/>
        </w:rPr>
        <w:t> </w:t>
      </w:r>
      <w:r>
        <w:rPr>
          <w:rFonts w:ascii="Arial" w:hAnsi="Arial" w:cs="Arial" w:eastAsia="Arial" w:hint="default"/>
        </w:rPr>
        <w:t>3.7%</w:t>
      </w:r>
      <w:r>
        <w:rPr/>
        <w:t>。</w:t>
      </w:r>
    </w:p>
    <w:p>
      <w:pPr>
        <w:spacing w:line="240" w:lineRule="auto" w:before="11"/>
        <w:rPr>
          <w:rFonts w:ascii="宋体" w:hAnsi="宋体" w:cs="宋体" w:eastAsia="宋体" w:hint="default"/>
          <w:sz w:val="18"/>
          <w:szCs w:val="18"/>
        </w:rPr>
      </w:pPr>
    </w:p>
    <w:tbl>
      <w:tblPr>
        <w:tblW w:w="0" w:type="auto"/>
        <w:jc w:val="left"/>
        <w:tblInd w:w="404" w:type="dxa"/>
        <w:tblLayout w:type="fixed"/>
        <w:tblCellMar>
          <w:top w:w="0" w:type="dxa"/>
          <w:left w:w="0" w:type="dxa"/>
          <w:bottom w:w="0" w:type="dxa"/>
          <w:right w:w="0" w:type="dxa"/>
        </w:tblCellMar>
        <w:tblLook w:val="01E0"/>
      </w:tblPr>
      <w:tblGrid>
        <w:gridCol w:w="6555"/>
        <w:gridCol w:w="2741"/>
      </w:tblGrid>
      <w:tr>
        <w:trPr>
          <w:trHeight w:val="259" w:hRule="exact"/>
        </w:trPr>
        <w:tc>
          <w:tcPr>
            <w:tcW w:w="6555" w:type="dxa"/>
            <w:tcBorders>
              <w:top w:val="nil" w:sz="6" w:space="0" w:color="auto"/>
              <w:left w:val="nil" w:sz="6" w:space="0" w:color="auto"/>
              <w:bottom w:val="nil" w:sz="6" w:space="0" w:color="auto"/>
              <w:right w:val="nil" w:sz="6" w:space="0" w:color="auto"/>
            </w:tcBorders>
          </w:tcPr>
          <w:p>
            <w:pPr/>
          </w:p>
        </w:tc>
        <w:tc>
          <w:tcPr>
            <w:tcW w:w="2741" w:type="dxa"/>
            <w:tcBorders>
              <w:top w:val="nil" w:sz="6" w:space="0" w:color="auto"/>
              <w:left w:val="nil" w:sz="6" w:space="0" w:color="auto"/>
              <w:bottom w:val="single" w:sz="6" w:space="0" w:color="000000"/>
              <w:right w:val="nil" w:sz="6" w:space="0" w:color="auto"/>
            </w:tcBorders>
          </w:tcPr>
          <w:p>
            <w:pPr>
              <w:pStyle w:val="TableParagraph"/>
              <w:spacing w:line="221" w:lineRule="exact"/>
              <w:ind w:left="4" w:right="0"/>
              <w:jc w:val="center"/>
              <w:rPr>
                <w:rFonts w:ascii="宋体" w:hAnsi="宋体" w:cs="宋体" w:eastAsia="宋体" w:hint="default"/>
                <w:sz w:val="22"/>
                <w:szCs w:val="22"/>
              </w:rPr>
            </w:pPr>
            <w:r>
              <w:rPr>
                <w:rFonts w:ascii="宋体" w:hAnsi="宋体" w:cs="宋体" w:eastAsia="宋体" w:hint="default"/>
                <w:sz w:val="22"/>
                <w:szCs w:val="22"/>
              </w:rPr>
              <w:t>本集团</w:t>
            </w:r>
          </w:p>
        </w:tc>
      </w:tr>
      <w:tr>
        <w:trPr>
          <w:trHeight w:val="603" w:hRule="exact"/>
        </w:trPr>
        <w:tc>
          <w:tcPr>
            <w:tcW w:w="655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于</w:t>
            </w:r>
            <w:r>
              <w:rPr>
                <w:rFonts w:ascii="宋体" w:hAnsi="宋体" w:cs="宋体" w:eastAsia="宋体" w:hint="default"/>
                <w:spacing w:val="-56"/>
                <w:sz w:val="22"/>
                <w:szCs w:val="22"/>
              </w:rPr>
              <w:t> </w:t>
            </w: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60"/>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日的经营租赁和其他承诺</w:t>
            </w:r>
          </w:p>
        </w:tc>
        <w:tc>
          <w:tcPr>
            <w:tcW w:w="2741" w:type="dxa"/>
            <w:tcBorders>
              <w:top w:val="single" w:sz="6"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99"/>
              <w:jc w:val="right"/>
              <w:rPr>
                <w:rFonts w:ascii="Arial" w:hAnsi="Arial" w:cs="Arial" w:eastAsia="Arial" w:hint="default"/>
                <w:sz w:val="22"/>
                <w:szCs w:val="22"/>
              </w:rPr>
            </w:pPr>
            <w:r>
              <w:rPr>
                <w:rFonts w:ascii="Arial"/>
                <w:sz w:val="22"/>
              </w:rPr>
              <w:t>54,750,895,562</w:t>
            </w:r>
          </w:p>
        </w:tc>
      </w:tr>
      <w:tr>
        <w:trPr>
          <w:trHeight w:val="442" w:hRule="exact"/>
        </w:trPr>
        <w:tc>
          <w:tcPr>
            <w:tcW w:w="6555" w:type="dxa"/>
            <w:tcBorders>
              <w:top w:val="nil" w:sz="6" w:space="0" w:color="auto"/>
              <w:left w:val="nil" w:sz="6" w:space="0" w:color="auto"/>
              <w:bottom w:val="nil" w:sz="6" w:space="0" w:color="auto"/>
              <w:right w:val="nil" w:sz="6" w:space="0" w:color="auto"/>
            </w:tcBorders>
          </w:tcPr>
          <w:p>
            <w:pPr>
              <w:pStyle w:val="TableParagraph"/>
              <w:spacing w:line="257" w:lineRule="exact"/>
              <w:ind w:left="200" w:right="0"/>
              <w:jc w:val="left"/>
              <w:rPr>
                <w:rFonts w:ascii="宋体" w:hAnsi="宋体" w:cs="宋体" w:eastAsia="宋体" w:hint="default"/>
                <w:sz w:val="22"/>
                <w:szCs w:val="22"/>
              </w:rPr>
            </w:pPr>
            <w:r>
              <w:rPr>
                <w:rFonts w:ascii="宋体" w:hAnsi="宋体" w:cs="宋体" w:eastAsia="宋体" w:hint="default"/>
                <w:sz w:val="22"/>
                <w:szCs w:val="22"/>
              </w:rPr>
              <w:t>减：与</w:t>
            </w:r>
            <w:r>
              <w:rPr>
                <w:rFonts w:ascii="宋体" w:hAnsi="宋体" w:cs="宋体" w:eastAsia="宋体" w:hint="default"/>
                <w:spacing w:val="-57"/>
                <w:sz w:val="22"/>
                <w:szCs w:val="22"/>
              </w:rPr>
              <w:t> </w:t>
            </w:r>
            <w:r>
              <w:rPr>
                <w:rFonts w:ascii="Arial" w:hAnsi="Arial" w:cs="Arial" w:eastAsia="Arial" w:hint="default"/>
                <w:sz w:val="22"/>
                <w:szCs w:val="22"/>
              </w:rPr>
              <w:t>2018</w:t>
            </w:r>
            <w:r>
              <w:rPr>
                <w:rFonts w:ascii="Arial" w:hAnsi="Arial" w:cs="Arial" w:eastAsia="Arial" w:hint="default"/>
                <w:spacing w:val="-6"/>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Arial" w:hAnsi="Arial" w:cs="Arial" w:eastAsia="Arial" w:hint="default"/>
                <w:sz w:val="22"/>
                <w:szCs w:val="22"/>
              </w:rPr>
              <w:t>12</w:t>
            </w:r>
            <w:r>
              <w:rPr>
                <w:rFonts w:ascii="Arial" w:hAnsi="Arial" w:cs="Arial" w:eastAsia="Arial" w:hint="default"/>
                <w:spacing w:val="-6"/>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Arial" w:hAnsi="Arial" w:cs="Arial" w:eastAsia="Arial" w:hint="default"/>
                <w:sz w:val="22"/>
                <w:szCs w:val="22"/>
              </w:rPr>
              <w:t>31</w:t>
            </w:r>
            <w:r>
              <w:rPr>
                <w:rFonts w:ascii="Arial" w:hAnsi="Arial" w:cs="Arial" w:eastAsia="Arial" w:hint="default"/>
                <w:spacing w:val="-6"/>
                <w:sz w:val="22"/>
                <w:szCs w:val="22"/>
              </w:rPr>
              <w:t> </w:t>
            </w:r>
            <w:r>
              <w:rPr>
                <w:rFonts w:ascii="宋体" w:hAnsi="宋体" w:cs="宋体" w:eastAsia="宋体" w:hint="default"/>
                <w:sz w:val="22"/>
                <w:szCs w:val="22"/>
              </w:rPr>
              <w:t>日的非租赁部分相关的承诺</w:t>
            </w:r>
          </w:p>
        </w:tc>
        <w:tc>
          <w:tcPr>
            <w:tcW w:w="2741" w:type="dxa"/>
            <w:tcBorders>
              <w:top w:val="nil" w:sz="6" w:space="0" w:color="auto"/>
              <w:left w:val="nil" w:sz="6" w:space="0" w:color="auto"/>
              <w:bottom w:val="nil" w:sz="6" w:space="0" w:color="auto"/>
              <w:right w:val="nil" w:sz="6" w:space="0" w:color="auto"/>
            </w:tcBorders>
          </w:tcPr>
          <w:p>
            <w:pPr>
              <w:pStyle w:val="TableParagraph"/>
              <w:tabs>
                <w:tab w:pos="1031" w:val="left" w:leader="none"/>
              </w:tabs>
              <w:spacing w:line="240" w:lineRule="auto" w:before="18"/>
              <w:ind w:right="2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(14,344,640,976)</w:t>
            </w:r>
            <w:r>
              <w:rPr>
                <w:rFonts w:ascii="Arial"/>
                <w:sz w:val="22"/>
              </w:rPr>
            </w:r>
          </w:p>
        </w:tc>
      </w:tr>
      <w:tr>
        <w:trPr>
          <w:trHeight w:val="588" w:hRule="exact"/>
        </w:trPr>
        <w:tc>
          <w:tcPr>
            <w:tcW w:w="655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00" w:right="0"/>
              <w:jc w:val="left"/>
              <w:rPr>
                <w:rFonts w:ascii="宋体" w:hAnsi="宋体" w:cs="宋体" w:eastAsia="宋体" w:hint="default"/>
                <w:sz w:val="22"/>
                <w:szCs w:val="22"/>
              </w:rPr>
            </w:pPr>
            <w:r>
              <w:rPr>
                <w:rFonts w:ascii="宋体" w:hAnsi="宋体" w:cs="宋体" w:eastAsia="宋体" w:hint="default"/>
                <w:sz w:val="22"/>
                <w:szCs w:val="22"/>
              </w:rPr>
              <w:t>于</w:t>
            </w:r>
            <w:r>
              <w:rPr>
                <w:rFonts w:ascii="宋体" w:hAnsi="宋体" w:cs="宋体" w:eastAsia="宋体" w:hint="default"/>
                <w:spacing w:val="-56"/>
                <w:sz w:val="22"/>
                <w:szCs w:val="22"/>
              </w:rPr>
              <w:t> </w:t>
            </w: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60"/>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日的经营租赁承诺</w:t>
            </w:r>
          </w:p>
        </w:tc>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172"/>
              <w:ind w:right="99"/>
              <w:jc w:val="right"/>
              <w:rPr>
                <w:rFonts w:ascii="Arial" w:hAnsi="Arial" w:cs="Arial" w:eastAsia="Arial" w:hint="default"/>
                <w:sz w:val="22"/>
                <w:szCs w:val="22"/>
              </w:rPr>
            </w:pPr>
            <w:r>
              <w:rPr>
                <w:rFonts w:ascii="Arial"/>
                <w:sz w:val="22"/>
              </w:rPr>
              <w:t>40,406,254,586</w:t>
            </w:r>
          </w:p>
        </w:tc>
      </w:tr>
      <w:tr>
        <w:trPr>
          <w:trHeight w:val="434" w:hRule="exact"/>
        </w:trPr>
        <w:tc>
          <w:tcPr>
            <w:tcW w:w="6555"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200" w:right="0"/>
              <w:jc w:val="left"/>
              <w:rPr>
                <w:rFonts w:ascii="宋体" w:hAnsi="宋体" w:cs="宋体" w:eastAsia="宋体" w:hint="default"/>
                <w:sz w:val="22"/>
                <w:szCs w:val="22"/>
              </w:rPr>
            </w:pPr>
            <w:r>
              <w:rPr>
                <w:rFonts w:ascii="宋体" w:hAnsi="宋体" w:cs="宋体" w:eastAsia="宋体" w:hint="default"/>
                <w:sz w:val="22"/>
                <w:szCs w:val="22"/>
              </w:rPr>
              <w:t>减：免除资本化的短期及剩余期限小于</w:t>
            </w:r>
            <w:r>
              <w:rPr>
                <w:rFonts w:ascii="宋体" w:hAnsi="宋体" w:cs="宋体" w:eastAsia="宋体" w:hint="default"/>
                <w:spacing w:val="-56"/>
                <w:sz w:val="22"/>
                <w:szCs w:val="22"/>
              </w:rPr>
              <w:t> </w:t>
            </w:r>
            <w:r>
              <w:rPr>
                <w:rFonts w:ascii="Arial" w:hAnsi="Arial" w:cs="Arial" w:eastAsia="Arial" w:hint="default"/>
                <w:sz w:val="22"/>
                <w:szCs w:val="22"/>
              </w:rPr>
              <w:t>1</w:t>
            </w:r>
            <w:r>
              <w:rPr>
                <w:rFonts w:ascii="Arial" w:hAnsi="Arial" w:cs="Arial" w:eastAsia="Arial" w:hint="default"/>
                <w:spacing w:val="-5"/>
                <w:sz w:val="22"/>
                <w:szCs w:val="22"/>
              </w:rPr>
              <w:t> </w:t>
            </w:r>
            <w:r>
              <w:rPr>
                <w:rFonts w:ascii="宋体" w:hAnsi="宋体" w:cs="宋体" w:eastAsia="宋体" w:hint="default"/>
                <w:sz w:val="22"/>
                <w:szCs w:val="22"/>
              </w:rPr>
              <w:t>年租赁相关的承诺</w:t>
            </w:r>
          </w:p>
        </w:tc>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165"/>
              <w:ind w:right="23"/>
              <w:jc w:val="right"/>
              <w:rPr>
                <w:rFonts w:ascii="Arial" w:hAnsi="Arial" w:cs="Arial" w:eastAsia="Arial" w:hint="default"/>
                <w:sz w:val="22"/>
                <w:szCs w:val="22"/>
              </w:rPr>
            </w:pPr>
            <w:r>
              <w:rPr>
                <w:rFonts w:ascii="Arial"/>
                <w:sz w:val="22"/>
              </w:rPr>
              <w:t>(721,413,921)</w:t>
            </w:r>
          </w:p>
        </w:tc>
      </w:tr>
      <w:tr>
        <w:trPr>
          <w:trHeight w:val="290" w:hRule="exact"/>
        </w:trPr>
        <w:tc>
          <w:tcPr>
            <w:tcW w:w="6555" w:type="dxa"/>
            <w:tcBorders>
              <w:top w:val="nil" w:sz="6" w:space="0" w:color="auto"/>
              <w:left w:val="nil" w:sz="6" w:space="0" w:color="auto"/>
              <w:bottom w:val="nil" w:sz="6" w:space="0" w:color="auto"/>
              <w:right w:val="nil" w:sz="6" w:space="0" w:color="auto"/>
            </w:tcBorders>
          </w:tcPr>
          <w:p>
            <w:pPr>
              <w:pStyle w:val="TableParagraph"/>
              <w:spacing w:line="242" w:lineRule="exact"/>
              <w:ind w:left="641" w:right="0"/>
              <w:jc w:val="left"/>
              <w:rPr>
                <w:rFonts w:ascii="宋体" w:hAnsi="宋体" w:cs="宋体" w:eastAsia="宋体" w:hint="default"/>
                <w:sz w:val="22"/>
                <w:szCs w:val="22"/>
              </w:rPr>
            </w:pPr>
            <w:r>
              <w:rPr>
                <w:rFonts w:ascii="宋体" w:hAnsi="宋体" w:cs="宋体" w:eastAsia="宋体" w:hint="default"/>
                <w:sz w:val="22"/>
                <w:szCs w:val="22"/>
              </w:rPr>
              <w:t>低价值资产租赁相关的承诺</w:t>
            </w:r>
          </w:p>
        </w:tc>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3"/>
              <w:jc w:val="right"/>
              <w:rPr>
                <w:rFonts w:ascii="Arial" w:hAnsi="Arial" w:cs="Arial" w:eastAsia="Arial" w:hint="default"/>
                <w:sz w:val="22"/>
                <w:szCs w:val="22"/>
              </w:rPr>
            </w:pPr>
            <w:r>
              <w:rPr>
                <w:rFonts w:ascii="Arial"/>
                <w:sz w:val="22"/>
              </w:rPr>
              <w:t>(36,383,928)</w:t>
            </w:r>
          </w:p>
        </w:tc>
      </w:tr>
      <w:tr>
        <w:trPr>
          <w:trHeight w:val="444" w:hRule="exact"/>
        </w:trPr>
        <w:tc>
          <w:tcPr>
            <w:tcW w:w="6555" w:type="dxa"/>
            <w:tcBorders>
              <w:top w:val="nil" w:sz="6" w:space="0" w:color="auto"/>
              <w:left w:val="nil" w:sz="6" w:space="0" w:color="auto"/>
              <w:bottom w:val="nil" w:sz="6" w:space="0" w:color="auto"/>
              <w:right w:val="nil" w:sz="6" w:space="0" w:color="auto"/>
            </w:tcBorders>
          </w:tcPr>
          <w:p>
            <w:pPr>
              <w:pStyle w:val="TableParagraph"/>
              <w:spacing w:line="244" w:lineRule="exact"/>
              <w:ind w:left="641" w:right="0"/>
              <w:jc w:val="left"/>
              <w:rPr>
                <w:rFonts w:ascii="宋体" w:hAnsi="宋体" w:cs="宋体" w:eastAsia="宋体" w:hint="default"/>
                <w:sz w:val="22"/>
                <w:szCs w:val="22"/>
              </w:rPr>
            </w:pPr>
            <w:r>
              <w:rPr>
                <w:rFonts w:ascii="宋体" w:hAnsi="宋体" w:cs="宋体" w:eastAsia="宋体" w:hint="default"/>
                <w:sz w:val="22"/>
                <w:szCs w:val="22"/>
              </w:rPr>
              <w:t>首次执行日后利息支出总额</w:t>
            </w:r>
          </w:p>
        </w:tc>
        <w:tc>
          <w:tcPr>
            <w:tcW w:w="2741" w:type="dxa"/>
            <w:tcBorders>
              <w:top w:val="nil" w:sz="6" w:space="0" w:color="auto"/>
              <w:left w:val="nil" w:sz="6" w:space="0" w:color="auto"/>
              <w:bottom w:val="nil" w:sz="6" w:space="0" w:color="auto"/>
              <w:right w:val="nil" w:sz="6" w:space="0" w:color="auto"/>
            </w:tcBorders>
          </w:tcPr>
          <w:p>
            <w:pPr>
              <w:pStyle w:val="TableParagraph"/>
              <w:tabs>
                <w:tab w:pos="1151" w:val="left" w:leader="none"/>
              </w:tabs>
              <w:spacing w:line="240" w:lineRule="auto" w:before="21"/>
              <w:ind w:right="28"/>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(3,168,543,273)</w:t>
            </w:r>
            <w:r>
              <w:rPr>
                <w:rFonts w:ascii="Arial"/>
                <w:spacing w:val="-1"/>
                <w:sz w:val="22"/>
              </w:rPr>
            </w:r>
            <w:r>
              <w:rPr>
                <w:rFonts w:ascii="Arial"/>
                <w:sz w:val="22"/>
              </w:rPr>
            </w:r>
          </w:p>
        </w:tc>
      </w:tr>
      <w:tr>
        <w:trPr>
          <w:trHeight w:val="442" w:hRule="exact"/>
        </w:trPr>
        <w:tc>
          <w:tcPr>
            <w:tcW w:w="655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00" w:right="0"/>
              <w:jc w:val="left"/>
              <w:rPr>
                <w:rFonts w:ascii="宋体" w:hAnsi="宋体" w:cs="宋体" w:eastAsia="宋体" w:hint="default"/>
                <w:sz w:val="22"/>
                <w:szCs w:val="22"/>
              </w:rPr>
            </w:pPr>
            <w:r>
              <w:rPr>
                <w:rFonts w:ascii="宋体" w:hAnsi="宋体" w:cs="宋体" w:eastAsia="宋体" w:hint="default"/>
                <w:sz w:val="22"/>
                <w:szCs w:val="22"/>
              </w:rPr>
              <w:t>剩余租赁付款额按</w:t>
            </w:r>
            <w:r>
              <w:rPr>
                <w:rFonts w:ascii="宋体" w:hAnsi="宋体" w:cs="宋体" w:eastAsia="宋体" w:hint="default"/>
                <w:spacing w:val="-57"/>
                <w:sz w:val="22"/>
                <w:szCs w:val="22"/>
              </w:rPr>
              <w:t> </w:t>
            </w: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Arial" w:hAnsi="Arial" w:cs="Arial" w:eastAsia="Arial" w:hint="default"/>
                <w:sz w:val="22"/>
                <w:szCs w:val="22"/>
              </w:rPr>
              <w:t>1</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Arial" w:hAnsi="Arial" w:cs="Arial" w:eastAsia="Arial" w:hint="default"/>
                <w:sz w:val="22"/>
                <w:szCs w:val="22"/>
              </w:rPr>
              <w:t>1</w:t>
            </w:r>
            <w:r>
              <w:rPr>
                <w:rFonts w:ascii="Arial" w:hAnsi="Arial" w:cs="Arial" w:eastAsia="Arial" w:hint="default"/>
                <w:spacing w:val="-5"/>
                <w:sz w:val="22"/>
                <w:szCs w:val="22"/>
              </w:rPr>
              <w:t> </w:t>
            </w:r>
            <w:r>
              <w:rPr>
                <w:rFonts w:ascii="宋体" w:hAnsi="宋体" w:cs="宋体" w:eastAsia="宋体" w:hint="default"/>
                <w:sz w:val="22"/>
                <w:szCs w:val="22"/>
              </w:rPr>
              <w:t>日的增量借款利率折现的现值</w:t>
            </w:r>
          </w:p>
        </w:tc>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172"/>
              <w:ind w:right="99"/>
              <w:jc w:val="right"/>
              <w:rPr>
                <w:rFonts w:ascii="Arial" w:hAnsi="Arial" w:cs="Arial" w:eastAsia="Arial" w:hint="default"/>
                <w:sz w:val="22"/>
                <w:szCs w:val="22"/>
              </w:rPr>
            </w:pPr>
            <w:r>
              <w:rPr>
                <w:rFonts w:ascii="Arial"/>
                <w:sz w:val="22"/>
              </w:rPr>
              <w:t>36,479,913,464</w:t>
            </w:r>
          </w:p>
        </w:tc>
      </w:tr>
      <w:tr>
        <w:trPr>
          <w:trHeight w:val="442" w:hRule="exact"/>
        </w:trPr>
        <w:tc>
          <w:tcPr>
            <w:tcW w:w="6555" w:type="dxa"/>
            <w:tcBorders>
              <w:top w:val="nil" w:sz="6" w:space="0" w:color="auto"/>
              <w:left w:val="nil" w:sz="6" w:space="0" w:color="auto"/>
              <w:bottom w:val="nil" w:sz="6" w:space="0" w:color="auto"/>
              <w:right w:val="nil" w:sz="6" w:space="0" w:color="auto"/>
            </w:tcBorders>
          </w:tcPr>
          <w:p>
            <w:pPr>
              <w:pStyle w:val="TableParagraph"/>
              <w:spacing w:line="257" w:lineRule="exact"/>
              <w:ind w:left="200" w:right="0"/>
              <w:jc w:val="left"/>
              <w:rPr>
                <w:rFonts w:ascii="宋体" w:hAnsi="宋体" w:cs="宋体" w:eastAsia="宋体" w:hint="default"/>
                <w:sz w:val="22"/>
                <w:szCs w:val="22"/>
              </w:rPr>
            </w:pPr>
            <w:r>
              <w:rPr>
                <w:rFonts w:ascii="宋体" w:hAnsi="宋体" w:cs="宋体" w:eastAsia="宋体" w:hint="default"/>
                <w:sz w:val="22"/>
                <w:szCs w:val="22"/>
              </w:rPr>
              <w:t>加：于</w:t>
            </w:r>
            <w:r>
              <w:rPr>
                <w:rFonts w:ascii="宋体" w:hAnsi="宋体" w:cs="宋体" w:eastAsia="宋体" w:hint="default"/>
                <w:spacing w:val="-57"/>
                <w:sz w:val="22"/>
                <w:szCs w:val="22"/>
              </w:rPr>
              <w:t> </w:t>
            </w:r>
            <w:r>
              <w:rPr>
                <w:rFonts w:ascii="Arial" w:hAnsi="Arial" w:cs="Arial" w:eastAsia="Arial" w:hint="default"/>
                <w:sz w:val="22"/>
                <w:szCs w:val="22"/>
              </w:rPr>
              <w:t>2018</w:t>
            </w:r>
            <w:r>
              <w:rPr>
                <w:rFonts w:ascii="Arial" w:hAnsi="Arial" w:cs="Arial" w:eastAsia="Arial" w:hint="default"/>
                <w:spacing w:val="-6"/>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Arial" w:hAnsi="Arial" w:cs="Arial" w:eastAsia="Arial" w:hint="default"/>
                <w:sz w:val="22"/>
                <w:szCs w:val="22"/>
              </w:rPr>
              <w:t>12</w:t>
            </w:r>
            <w:r>
              <w:rPr>
                <w:rFonts w:ascii="Arial" w:hAnsi="Arial" w:cs="Arial" w:eastAsia="Arial" w:hint="default"/>
                <w:spacing w:val="-6"/>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Arial" w:hAnsi="Arial" w:cs="Arial" w:eastAsia="Arial" w:hint="default"/>
                <w:sz w:val="22"/>
                <w:szCs w:val="22"/>
              </w:rPr>
              <w:t>31</w:t>
            </w:r>
            <w:r>
              <w:rPr>
                <w:rFonts w:ascii="Arial" w:hAnsi="Arial" w:cs="Arial" w:eastAsia="Arial" w:hint="default"/>
                <w:spacing w:val="-6"/>
                <w:sz w:val="22"/>
                <w:szCs w:val="22"/>
              </w:rPr>
              <w:t> </w:t>
            </w:r>
            <w:r>
              <w:rPr>
                <w:rFonts w:ascii="宋体" w:hAnsi="宋体" w:cs="宋体" w:eastAsia="宋体" w:hint="default"/>
                <w:sz w:val="22"/>
                <w:szCs w:val="22"/>
              </w:rPr>
              <w:t>日确认原租赁准则下的融资租赁负债</w:t>
            </w:r>
          </w:p>
        </w:tc>
        <w:tc>
          <w:tcPr>
            <w:tcW w:w="2741" w:type="dxa"/>
            <w:tcBorders>
              <w:top w:val="nil" w:sz="6" w:space="0" w:color="auto"/>
              <w:left w:val="nil" w:sz="6" w:space="0" w:color="auto"/>
              <w:bottom w:val="nil" w:sz="6" w:space="0" w:color="auto"/>
              <w:right w:val="nil" w:sz="6" w:space="0" w:color="auto"/>
            </w:tcBorders>
          </w:tcPr>
          <w:p>
            <w:pPr>
              <w:pStyle w:val="TableParagraph"/>
              <w:tabs>
                <w:tab w:pos="1411" w:val="left" w:leader="none"/>
                <w:tab w:pos="2740" w:val="left" w:leader="none"/>
              </w:tabs>
              <w:spacing w:line="240" w:lineRule="auto" w:before="18"/>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240,033,088</w:t>
              <w:tab/>
            </w:r>
            <w:r>
              <w:rPr>
                <w:rFonts w:ascii="Arial"/>
                <w:spacing w:val="-1"/>
                <w:sz w:val="22"/>
              </w:rPr>
            </w:r>
          </w:p>
        </w:tc>
      </w:tr>
      <w:tr>
        <w:trPr>
          <w:trHeight w:val="446" w:hRule="exact"/>
        </w:trPr>
        <w:tc>
          <w:tcPr>
            <w:tcW w:w="655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00" w:right="0"/>
              <w:jc w:val="left"/>
              <w:rPr>
                <w:rFonts w:ascii="宋体" w:hAnsi="宋体" w:cs="宋体" w:eastAsia="宋体" w:hint="default"/>
                <w:sz w:val="22"/>
                <w:szCs w:val="22"/>
              </w:rPr>
            </w:pPr>
            <w:r>
              <w:rPr>
                <w:rFonts w:ascii="宋体" w:hAnsi="宋体" w:cs="宋体" w:eastAsia="宋体" w:hint="default"/>
                <w:sz w:val="22"/>
                <w:szCs w:val="22"/>
              </w:rPr>
              <w:t>于</w:t>
            </w:r>
            <w:r>
              <w:rPr>
                <w:rFonts w:ascii="宋体" w:hAnsi="宋体" w:cs="宋体" w:eastAsia="宋体" w:hint="default"/>
                <w:spacing w:val="-56"/>
                <w:sz w:val="22"/>
                <w:szCs w:val="22"/>
              </w:rPr>
              <w:t> </w:t>
            </w: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1</w:t>
            </w:r>
            <w:r>
              <w:rPr>
                <w:rFonts w:ascii="Arial" w:hAnsi="Arial" w:cs="Arial" w:eastAsia="Arial" w:hint="default"/>
                <w:spacing w:val="-5"/>
                <w:sz w:val="22"/>
                <w:szCs w:val="22"/>
              </w:rPr>
              <w:t> </w:t>
            </w:r>
            <w:r>
              <w:rPr>
                <w:rFonts w:ascii="宋体" w:hAnsi="宋体" w:cs="宋体" w:eastAsia="宋体" w:hint="default"/>
                <w:sz w:val="22"/>
                <w:szCs w:val="22"/>
              </w:rPr>
              <w:t>日确认的租赁负债</w:t>
            </w:r>
          </w:p>
        </w:tc>
        <w:tc>
          <w:tcPr>
            <w:tcW w:w="2741" w:type="dxa"/>
            <w:tcBorders>
              <w:top w:val="nil" w:sz="6" w:space="0" w:color="auto"/>
              <w:left w:val="nil" w:sz="6" w:space="0" w:color="auto"/>
              <w:bottom w:val="single" w:sz="12" w:space="0" w:color="000000"/>
              <w:right w:val="nil" w:sz="6" w:space="0" w:color="auto"/>
            </w:tcBorders>
          </w:tcPr>
          <w:p>
            <w:pPr>
              <w:pStyle w:val="TableParagraph"/>
              <w:spacing w:line="240" w:lineRule="auto" w:before="172"/>
              <w:ind w:right="99"/>
              <w:jc w:val="right"/>
              <w:rPr>
                <w:rFonts w:ascii="Arial" w:hAnsi="Arial" w:cs="Arial" w:eastAsia="Arial" w:hint="default"/>
                <w:sz w:val="22"/>
                <w:szCs w:val="22"/>
              </w:rPr>
            </w:pPr>
            <w:r>
              <w:rPr>
                <w:rFonts w:ascii="Arial"/>
                <w:sz w:val="22"/>
              </w:rPr>
              <w:t>36,719,946,552</w:t>
            </w:r>
          </w:p>
        </w:tc>
      </w:tr>
    </w:tbl>
    <w:p>
      <w:pPr>
        <w:spacing w:after="0" w:line="240" w:lineRule="auto"/>
        <w:jc w:val="right"/>
        <w:rPr>
          <w:rFonts w:ascii="Arial" w:hAnsi="Arial" w:cs="Arial" w:eastAsia="Arial" w:hint="default"/>
          <w:sz w:val="22"/>
          <w:szCs w:val="22"/>
        </w:rPr>
        <w:sectPr>
          <w:headerReference w:type="default" r:id="rId134"/>
          <w:pgSz w:w="11910" w:h="16840"/>
          <w:pgMar w:header="842" w:footer="502" w:top="4320" w:bottom="700" w:left="860" w:right="1100"/>
        </w:sectPr>
      </w:pPr>
    </w:p>
    <w:p>
      <w:pPr>
        <w:spacing w:line="240" w:lineRule="auto" w:before="7"/>
        <w:rPr>
          <w:rFonts w:ascii="宋体" w:hAnsi="宋体" w:cs="宋体" w:eastAsia="宋体" w:hint="default"/>
          <w:sz w:val="13"/>
          <w:szCs w:val="13"/>
        </w:rPr>
      </w:pPr>
    </w:p>
    <w:p>
      <w:pPr>
        <w:pStyle w:val="BodyText"/>
        <w:spacing w:line="288" w:lineRule="exact" w:before="59"/>
        <w:ind w:left="560" w:right="110" w:hanging="5"/>
        <w:jc w:val="left"/>
      </w:pPr>
      <w:r>
        <w:rPr/>
        <w:t>本集团以按照财会</w:t>
      </w:r>
      <w:r>
        <w:rPr>
          <w:rFonts w:ascii="Arial" w:hAnsi="Arial" w:cs="Arial" w:eastAsia="Arial" w:hint="default"/>
        </w:rPr>
        <w:t>[2019]6</w:t>
      </w:r>
      <w:r>
        <w:rPr>
          <w:rFonts w:ascii="Arial" w:hAnsi="Arial" w:cs="Arial" w:eastAsia="Arial" w:hint="default"/>
          <w:spacing w:val="38"/>
        </w:rPr>
        <w:t> </w:t>
      </w:r>
      <w:r>
        <w:rPr/>
        <w:t>号和财会</w:t>
      </w:r>
      <w:r>
        <w:rPr>
          <w:rFonts w:ascii="Arial" w:hAnsi="Arial" w:cs="Arial" w:eastAsia="Arial" w:hint="default"/>
        </w:rPr>
        <w:t>[2019]16</w:t>
      </w:r>
      <w:r>
        <w:rPr/>
        <w:t>号规定追溯调整后的比较财务报表为基础，对执行新</w:t>
      </w:r>
      <w:r>
        <w:rPr>
          <w:spacing w:val="-106"/>
        </w:rPr>
        <w:t> </w:t>
      </w:r>
      <w:r>
        <w:rPr>
          <w:spacing w:val="-106"/>
        </w:rPr>
      </w:r>
      <w:r>
        <w:rPr/>
        <w:t>租赁准则对</w:t>
      </w:r>
      <w:r>
        <w:rPr>
          <w:rFonts w:ascii="Arial" w:hAnsi="Arial" w:cs="Arial" w:eastAsia="Arial" w:hint="default"/>
        </w:rPr>
        <w:t>2019</w:t>
      </w:r>
      <w:r>
        <w:rPr/>
        <w:t>年</w:t>
      </w:r>
      <w:r>
        <w:rPr>
          <w:rFonts w:ascii="Arial" w:hAnsi="Arial" w:cs="Arial" w:eastAsia="Arial" w:hint="default"/>
        </w:rPr>
        <w:t>1</w:t>
      </w:r>
      <w:r>
        <w:rPr/>
        <w:t>月</w:t>
      </w:r>
      <w:r>
        <w:rPr>
          <w:rFonts w:ascii="Arial" w:hAnsi="Arial" w:cs="Arial" w:eastAsia="Arial" w:hint="default"/>
        </w:rPr>
        <w:t>1</w:t>
      </w:r>
      <w:r>
        <w:rPr/>
        <w:t>日合并资产负债表及母公司资产负债表各项目的影响汇总如下：</w:t>
      </w:r>
    </w:p>
    <w:p>
      <w:pPr>
        <w:spacing w:line="240" w:lineRule="auto" w:before="2"/>
        <w:rPr>
          <w:rFonts w:ascii="宋体" w:hAnsi="宋体" w:cs="宋体" w:eastAsia="宋体" w:hint="default"/>
          <w:sz w:val="20"/>
          <w:szCs w:val="20"/>
        </w:rPr>
      </w:pPr>
    </w:p>
    <w:tbl>
      <w:tblPr>
        <w:tblW w:w="0" w:type="auto"/>
        <w:jc w:val="left"/>
        <w:tblInd w:w="346" w:type="dxa"/>
        <w:tblLayout w:type="fixed"/>
        <w:tblCellMar>
          <w:top w:w="0" w:type="dxa"/>
          <w:left w:w="0" w:type="dxa"/>
          <w:bottom w:w="0" w:type="dxa"/>
          <w:right w:w="0" w:type="dxa"/>
        </w:tblCellMar>
        <w:tblLook w:val="01E0"/>
      </w:tblPr>
      <w:tblGrid>
        <w:gridCol w:w="2763"/>
        <w:gridCol w:w="2242"/>
        <w:gridCol w:w="235"/>
        <w:gridCol w:w="2112"/>
        <w:gridCol w:w="250"/>
        <w:gridCol w:w="2040"/>
      </w:tblGrid>
      <w:tr>
        <w:trPr>
          <w:trHeight w:val="231" w:hRule="exact"/>
        </w:trPr>
        <w:tc>
          <w:tcPr>
            <w:tcW w:w="2763" w:type="dxa"/>
            <w:tcBorders>
              <w:top w:val="nil" w:sz="6" w:space="0" w:color="auto"/>
              <w:left w:val="nil" w:sz="6" w:space="0" w:color="auto"/>
              <w:bottom w:val="nil" w:sz="6" w:space="0" w:color="auto"/>
              <w:right w:val="nil" w:sz="6" w:space="0" w:color="auto"/>
            </w:tcBorders>
          </w:tcPr>
          <w:p>
            <w:pPr/>
          </w:p>
        </w:tc>
        <w:tc>
          <w:tcPr>
            <w:tcW w:w="2242" w:type="dxa"/>
            <w:tcBorders>
              <w:top w:val="nil" w:sz="6" w:space="0" w:color="auto"/>
              <w:left w:val="nil" w:sz="6" w:space="0" w:color="auto"/>
              <w:bottom w:val="single" w:sz="4" w:space="0" w:color="000000"/>
              <w:right w:val="nil" w:sz="6" w:space="0" w:color="auto"/>
            </w:tcBorders>
          </w:tcPr>
          <w:p>
            <w:pPr/>
          </w:p>
        </w:tc>
        <w:tc>
          <w:tcPr>
            <w:tcW w:w="235" w:type="dxa"/>
            <w:tcBorders>
              <w:top w:val="nil" w:sz="6" w:space="0" w:color="auto"/>
              <w:left w:val="nil" w:sz="6" w:space="0" w:color="auto"/>
              <w:bottom w:val="single" w:sz="4" w:space="0" w:color="000000"/>
              <w:right w:val="nil" w:sz="6" w:space="0" w:color="auto"/>
            </w:tcBorders>
          </w:tcPr>
          <w:p>
            <w:pPr/>
          </w:p>
        </w:tc>
        <w:tc>
          <w:tcPr>
            <w:tcW w:w="2112" w:type="dxa"/>
            <w:tcBorders>
              <w:top w:val="nil" w:sz="6" w:space="0" w:color="auto"/>
              <w:left w:val="nil" w:sz="6" w:space="0" w:color="auto"/>
              <w:bottom w:val="single" w:sz="4" w:space="0" w:color="000000"/>
              <w:right w:val="nil" w:sz="6" w:space="0" w:color="auto"/>
            </w:tcBorders>
          </w:tcPr>
          <w:p>
            <w:pPr>
              <w:pStyle w:val="TableParagraph"/>
              <w:spacing w:line="201" w:lineRule="exact"/>
              <w:ind w:left="657" w:right="0"/>
              <w:jc w:val="left"/>
              <w:rPr>
                <w:rFonts w:ascii="宋体" w:hAnsi="宋体" w:cs="宋体" w:eastAsia="宋体" w:hint="default"/>
                <w:sz w:val="20"/>
                <w:szCs w:val="20"/>
              </w:rPr>
            </w:pPr>
            <w:r>
              <w:rPr>
                <w:rFonts w:ascii="宋体" w:hAnsi="宋体" w:cs="宋体" w:eastAsia="宋体" w:hint="default"/>
                <w:sz w:val="20"/>
                <w:szCs w:val="20"/>
              </w:rPr>
              <w:t>本集团</w:t>
            </w:r>
          </w:p>
        </w:tc>
        <w:tc>
          <w:tcPr>
            <w:tcW w:w="250" w:type="dxa"/>
            <w:tcBorders>
              <w:top w:val="nil" w:sz="6" w:space="0" w:color="auto"/>
              <w:left w:val="nil" w:sz="6" w:space="0" w:color="auto"/>
              <w:bottom w:val="single" w:sz="4" w:space="0" w:color="000000"/>
              <w:right w:val="nil" w:sz="6" w:space="0" w:color="auto"/>
            </w:tcBorders>
          </w:tcPr>
          <w:p>
            <w:pPr/>
          </w:p>
        </w:tc>
        <w:tc>
          <w:tcPr>
            <w:tcW w:w="2040" w:type="dxa"/>
            <w:tcBorders>
              <w:top w:val="nil" w:sz="6" w:space="0" w:color="auto"/>
              <w:left w:val="nil" w:sz="6" w:space="0" w:color="auto"/>
              <w:bottom w:val="single" w:sz="4" w:space="0" w:color="000000"/>
              <w:right w:val="nil" w:sz="6" w:space="0" w:color="auto"/>
            </w:tcBorders>
          </w:tcPr>
          <w:p>
            <w:pPr/>
          </w:p>
        </w:tc>
      </w:tr>
      <w:tr>
        <w:trPr>
          <w:trHeight w:val="259" w:hRule="exact"/>
        </w:trPr>
        <w:tc>
          <w:tcPr>
            <w:tcW w:w="2763" w:type="dxa"/>
            <w:tcBorders>
              <w:top w:val="nil" w:sz="6" w:space="0" w:color="auto"/>
              <w:left w:val="nil" w:sz="6" w:space="0" w:color="auto"/>
              <w:bottom w:val="nil" w:sz="6" w:space="0" w:color="auto"/>
              <w:right w:val="nil" w:sz="6" w:space="0" w:color="auto"/>
            </w:tcBorders>
          </w:tcPr>
          <w:p>
            <w:pPr/>
          </w:p>
        </w:tc>
        <w:tc>
          <w:tcPr>
            <w:tcW w:w="2242" w:type="dxa"/>
            <w:tcBorders>
              <w:top w:val="single" w:sz="4" w:space="0" w:color="000000"/>
              <w:left w:val="nil" w:sz="6" w:space="0" w:color="auto"/>
              <w:bottom w:val="single" w:sz="4" w:space="0" w:color="000000"/>
              <w:right w:val="nil" w:sz="6" w:space="0" w:color="auto"/>
            </w:tcBorders>
          </w:tcPr>
          <w:p>
            <w:pPr>
              <w:pStyle w:val="TableParagraph"/>
              <w:spacing w:line="234" w:lineRule="exact"/>
              <w:ind w:left="249" w:right="0"/>
              <w:jc w:val="left"/>
              <w:rPr>
                <w:rFonts w:ascii="宋体" w:hAnsi="宋体" w:cs="宋体" w:eastAsia="宋体" w:hint="default"/>
                <w:sz w:val="20"/>
                <w:szCs w:val="20"/>
              </w:rPr>
            </w:pPr>
            <w:r>
              <w:rPr>
                <w:rFonts w:ascii="Arial" w:hAnsi="Arial" w:cs="Arial" w:eastAsia="Arial" w:hint="default"/>
                <w:sz w:val="20"/>
                <w:szCs w:val="20"/>
              </w:rPr>
              <w:t>2018</w:t>
            </w:r>
            <w:r>
              <w:rPr>
                <w:rFonts w:ascii="Arial" w:hAnsi="Arial" w:cs="Arial" w:eastAsia="Arial" w:hint="default"/>
                <w:spacing w:val="-8"/>
                <w:sz w:val="20"/>
                <w:szCs w:val="20"/>
              </w:rPr>
              <w:t> </w:t>
            </w:r>
            <w:r>
              <w:rPr>
                <w:rFonts w:ascii="宋体" w:hAnsi="宋体" w:cs="宋体" w:eastAsia="宋体" w:hint="default"/>
                <w:sz w:val="20"/>
                <w:szCs w:val="20"/>
              </w:rPr>
              <w:t>年</w:t>
            </w:r>
            <w:r>
              <w:rPr>
                <w:rFonts w:ascii="宋体" w:hAnsi="宋体" w:cs="宋体" w:eastAsia="宋体" w:hint="default"/>
                <w:spacing w:val="-50"/>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宋体" w:hAnsi="宋体" w:cs="宋体" w:eastAsia="宋体" w:hint="default"/>
                <w:sz w:val="20"/>
                <w:szCs w:val="20"/>
              </w:rPr>
              <w:t>日</w:t>
            </w:r>
          </w:p>
        </w:tc>
        <w:tc>
          <w:tcPr>
            <w:tcW w:w="235" w:type="dxa"/>
            <w:tcBorders>
              <w:top w:val="single" w:sz="4" w:space="0" w:color="000000"/>
              <w:left w:val="nil" w:sz="6" w:space="0" w:color="auto"/>
              <w:bottom w:val="nil" w:sz="6" w:space="0" w:color="auto"/>
              <w:right w:val="nil" w:sz="6" w:space="0" w:color="auto"/>
            </w:tcBorders>
          </w:tcPr>
          <w:p>
            <w:pPr/>
          </w:p>
        </w:tc>
        <w:tc>
          <w:tcPr>
            <w:tcW w:w="2112" w:type="dxa"/>
            <w:tcBorders>
              <w:top w:val="single" w:sz="4" w:space="0" w:color="000000"/>
              <w:left w:val="nil" w:sz="6" w:space="0" w:color="auto"/>
              <w:bottom w:val="single" w:sz="4" w:space="0" w:color="000000"/>
              <w:right w:val="nil" w:sz="6" w:space="0" w:color="auto"/>
            </w:tcBorders>
          </w:tcPr>
          <w:p>
            <w:pPr>
              <w:pStyle w:val="TableParagraph"/>
              <w:spacing w:line="234" w:lineRule="exact"/>
              <w:ind w:left="297" w:right="0"/>
              <w:jc w:val="left"/>
              <w:rPr>
                <w:rFonts w:ascii="宋体" w:hAnsi="宋体" w:cs="宋体" w:eastAsia="宋体" w:hint="default"/>
                <w:sz w:val="20"/>
                <w:szCs w:val="20"/>
              </w:rPr>
            </w:pPr>
            <w:r>
              <w:rPr>
                <w:rFonts w:ascii="Arial" w:hAnsi="Arial" w:cs="Arial" w:eastAsia="Arial" w:hint="default"/>
                <w:sz w:val="20"/>
                <w:szCs w:val="20"/>
              </w:rPr>
              <w:t>2019</w:t>
            </w:r>
            <w:r>
              <w:rPr>
                <w:rFonts w:ascii="Arial" w:hAnsi="Arial" w:cs="Arial" w:eastAsia="Arial" w:hint="default"/>
                <w:spacing w:val="-10"/>
                <w:sz w:val="20"/>
                <w:szCs w:val="20"/>
              </w:rPr>
              <w:t> </w:t>
            </w:r>
            <w:r>
              <w:rPr>
                <w:rFonts w:ascii="宋体" w:hAnsi="宋体" w:cs="宋体" w:eastAsia="宋体" w:hint="default"/>
                <w:sz w:val="20"/>
                <w:szCs w:val="20"/>
              </w:rPr>
              <w:t>年</w:t>
            </w:r>
            <w:r>
              <w:rPr>
                <w:rFonts w:ascii="宋体" w:hAnsi="宋体" w:cs="宋体" w:eastAsia="宋体" w:hint="default"/>
                <w:spacing w:val="-48"/>
                <w:sz w:val="20"/>
                <w:szCs w:val="20"/>
              </w:rPr>
              <w:t> </w:t>
            </w:r>
            <w:r>
              <w:rPr>
                <w:rFonts w:ascii="Arial" w:hAnsi="Arial" w:cs="Arial" w:eastAsia="Arial" w:hint="default"/>
                <w:sz w:val="20"/>
                <w:szCs w:val="20"/>
              </w:rPr>
              <w:t>1</w:t>
            </w:r>
            <w:r>
              <w:rPr>
                <w:rFonts w:ascii="Arial" w:hAnsi="Arial" w:cs="Arial" w:eastAsia="Arial" w:hint="default"/>
                <w:spacing w:val="-1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Arial" w:hAnsi="Arial" w:cs="Arial" w:eastAsia="Arial" w:hint="default"/>
                <w:sz w:val="20"/>
                <w:szCs w:val="20"/>
              </w:rPr>
              <w:t>1</w:t>
            </w:r>
            <w:r>
              <w:rPr>
                <w:rFonts w:ascii="Arial" w:hAnsi="Arial" w:cs="Arial" w:eastAsia="Arial" w:hint="default"/>
                <w:spacing w:val="-10"/>
                <w:sz w:val="20"/>
                <w:szCs w:val="20"/>
              </w:rPr>
              <w:t> </w:t>
            </w:r>
            <w:r>
              <w:rPr>
                <w:rFonts w:ascii="宋体" w:hAnsi="宋体" w:cs="宋体" w:eastAsia="宋体" w:hint="default"/>
                <w:sz w:val="20"/>
                <w:szCs w:val="20"/>
              </w:rPr>
              <w:t>日</w:t>
            </w:r>
          </w:p>
        </w:tc>
        <w:tc>
          <w:tcPr>
            <w:tcW w:w="250" w:type="dxa"/>
            <w:tcBorders>
              <w:top w:val="single" w:sz="4" w:space="0" w:color="000000"/>
              <w:left w:val="nil" w:sz="6" w:space="0" w:color="auto"/>
              <w:bottom w:val="nil" w:sz="6" w:space="0" w:color="auto"/>
              <w:right w:val="nil" w:sz="6" w:space="0" w:color="auto"/>
            </w:tcBorders>
          </w:tcPr>
          <w:p>
            <w:pPr/>
          </w:p>
        </w:tc>
        <w:tc>
          <w:tcPr>
            <w:tcW w:w="2040" w:type="dxa"/>
            <w:tcBorders>
              <w:top w:val="single" w:sz="4" w:space="0" w:color="000000"/>
              <w:left w:val="nil" w:sz="6" w:space="0" w:color="auto"/>
              <w:bottom w:val="single" w:sz="4" w:space="0" w:color="000000"/>
              <w:right w:val="nil" w:sz="6" w:space="0" w:color="auto"/>
            </w:tcBorders>
          </w:tcPr>
          <w:p>
            <w:pPr>
              <w:pStyle w:val="TableParagraph"/>
              <w:spacing w:line="220" w:lineRule="exact"/>
              <w:ind w:left="4" w:right="0"/>
              <w:jc w:val="center"/>
              <w:rPr>
                <w:rFonts w:ascii="宋体" w:hAnsi="宋体" w:cs="宋体" w:eastAsia="宋体" w:hint="default"/>
                <w:sz w:val="20"/>
                <w:szCs w:val="20"/>
              </w:rPr>
            </w:pPr>
            <w:r>
              <w:rPr>
                <w:rFonts w:ascii="宋体" w:hAnsi="宋体" w:cs="宋体" w:eastAsia="宋体" w:hint="default"/>
                <w:sz w:val="20"/>
                <w:szCs w:val="20"/>
              </w:rPr>
              <w:t>调整数</w:t>
            </w:r>
          </w:p>
        </w:tc>
      </w:tr>
      <w:tr>
        <w:trPr>
          <w:trHeight w:val="247"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25" w:lineRule="exact"/>
              <w:ind w:left="228" w:right="0"/>
              <w:jc w:val="left"/>
              <w:rPr>
                <w:rFonts w:ascii="宋体" w:hAnsi="宋体" w:cs="宋体" w:eastAsia="宋体" w:hint="default"/>
                <w:sz w:val="20"/>
                <w:szCs w:val="20"/>
              </w:rPr>
            </w:pPr>
            <w:r>
              <w:rPr>
                <w:rFonts w:ascii="宋体" w:hAnsi="宋体" w:cs="宋体" w:eastAsia="宋体" w:hint="default"/>
                <w:sz w:val="20"/>
                <w:szCs w:val="20"/>
              </w:rPr>
              <w:t>资产</w:t>
            </w:r>
          </w:p>
        </w:tc>
        <w:tc>
          <w:tcPr>
            <w:tcW w:w="2242" w:type="dxa"/>
            <w:tcBorders>
              <w:top w:val="single" w:sz="4" w:space="0" w:color="000000"/>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single" w:sz="4" w:space="0" w:color="000000"/>
              <w:left w:val="nil" w:sz="6" w:space="0" w:color="auto"/>
              <w:bottom w:val="nil" w:sz="6" w:space="0" w:color="auto"/>
              <w:right w:val="nil" w:sz="6" w:space="0" w:color="auto"/>
            </w:tcBorders>
          </w:tcPr>
          <w:p>
            <w:pP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single" w:sz="4" w:space="0" w:color="000000"/>
              <w:left w:val="nil" w:sz="6" w:space="0" w:color="auto"/>
              <w:bottom w:val="nil" w:sz="6" w:space="0" w:color="auto"/>
              <w:right w:val="nil" w:sz="6" w:space="0" w:color="auto"/>
            </w:tcBorders>
          </w:tcPr>
          <w:p>
            <w:pPr/>
          </w:p>
        </w:tc>
      </w:tr>
      <w:tr>
        <w:trPr>
          <w:trHeight w:val="247"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23" w:lineRule="exact"/>
              <w:ind w:left="209" w:right="0"/>
              <w:jc w:val="left"/>
              <w:rPr>
                <w:rFonts w:ascii="宋体" w:hAnsi="宋体" w:cs="宋体" w:eastAsia="宋体" w:hint="default"/>
                <w:sz w:val="20"/>
                <w:szCs w:val="20"/>
              </w:rPr>
            </w:pPr>
            <w:r>
              <w:rPr>
                <w:rFonts w:ascii="宋体" w:hAnsi="宋体" w:cs="宋体" w:eastAsia="宋体" w:hint="default"/>
                <w:sz w:val="20"/>
                <w:szCs w:val="20"/>
              </w:rPr>
              <w:t>流动资产</w:t>
            </w:r>
          </w:p>
        </w:tc>
        <w:tc>
          <w:tcPr>
            <w:tcW w:w="2242"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
        </w:tc>
      </w:tr>
      <w:tr>
        <w:trPr>
          <w:trHeight w:val="259"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25" w:lineRule="exact"/>
              <w:ind w:left="411" w:right="0"/>
              <w:jc w:val="left"/>
              <w:rPr>
                <w:rFonts w:ascii="宋体" w:hAnsi="宋体" w:cs="宋体" w:eastAsia="宋体" w:hint="default"/>
                <w:sz w:val="20"/>
                <w:szCs w:val="20"/>
              </w:rPr>
            </w:pPr>
            <w:r>
              <w:rPr>
                <w:rFonts w:ascii="宋体" w:hAnsi="宋体" w:cs="宋体" w:eastAsia="宋体" w:hint="default"/>
                <w:sz w:val="20"/>
                <w:szCs w:val="20"/>
              </w:rPr>
              <w:t>预付款项</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Arial" w:hAnsi="Arial" w:cs="Arial" w:eastAsia="Arial" w:hint="default"/>
                <w:sz w:val="20"/>
                <w:szCs w:val="20"/>
              </w:rPr>
            </w:pPr>
            <w:r>
              <w:rPr>
                <w:rFonts w:ascii="Arial"/>
                <w:spacing w:val="-2"/>
                <w:sz w:val="20"/>
              </w:rPr>
              <w:t>4,030,653,660</w:t>
            </w:r>
            <w:r>
              <w:rPr>
                <w:rFonts w:ascii="Arial"/>
                <w:sz w:val="20"/>
              </w:rPr>
            </w: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2"/>
              <w:jc w:val="right"/>
              <w:rPr>
                <w:rFonts w:ascii="Arial" w:hAnsi="Arial" w:cs="Arial" w:eastAsia="Arial" w:hint="default"/>
                <w:sz w:val="20"/>
                <w:szCs w:val="20"/>
              </w:rPr>
            </w:pPr>
            <w:r>
              <w:rPr>
                <w:rFonts w:ascii="Arial"/>
                <w:spacing w:val="-2"/>
                <w:sz w:val="20"/>
              </w:rPr>
              <w:t>3,504,446,825</w:t>
            </w:r>
            <w:r>
              <w:rPr>
                <w:rFonts w:ascii="Arial"/>
                <w:sz w:val="20"/>
              </w:rPr>
            </w: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2"/>
              <w:jc w:val="right"/>
              <w:rPr>
                <w:rFonts w:ascii="Arial" w:hAnsi="Arial" w:cs="Arial" w:eastAsia="Arial" w:hint="default"/>
                <w:sz w:val="20"/>
                <w:szCs w:val="20"/>
              </w:rPr>
            </w:pPr>
            <w:r>
              <w:rPr>
                <w:rFonts w:ascii="Arial"/>
                <w:spacing w:val="-2"/>
                <w:sz w:val="20"/>
              </w:rPr>
              <w:t>(526,206,835)</w:t>
            </w:r>
            <w:r>
              <w:rPr>
                <w:rFonts w:ascii="Arial"/>
                <w:sz w:val="20"/>
              </w:rPr>
            </w:r>
          </w:p>
        </w:tc>
      </w:tr>
      <w:tr>
        <w:trPr>
          <w:trHeight w:val="355"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11" w:lineRule="exact"/>
              <w:ind w:left="200" w:right="0"/>
              <w:jc w:val="left"/>
              <w:rPr>
                <w:rFonts w:ascii="宋体" w:hAnsi="宋体" w:cs="宋体" w:eastAsia="宋体" w:hint="default"/>
                <w:sz w:val="20"/>
                <w:szCs w:val="20"/>
              </w:rPr>
            </w:pPr>
            <w:r>
              <w:rPr>
                <w:rFonts w:ascii="宋体" w:hAnsi="宋体" w:cs="宋体" w:eastAsia="宋体" w:hint="default"/>
                <w:sz w:val="20"/>
                <w:szCs w:val="20"/>
              </w:rPr>
              <w:t>流动资产合计</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12"/>
              <w:jc w:val="right"/>
              <w:rPr>
                <w:rFonts w:ascii="Arial" w:hAnsi="Arial" w:cs="Arial" w:eastAsia="Arial" w:hint="default"/>
                <w:sz w:val="20"/>
                <w:szCs w:val="20"/>
              </w:rPr>
            </w:pPr>
            <w:r>
              <w:rPr>
                <w:rFonts w:ascii="Arial"/>
                <w:spacing w:val="-2"/>
                <w:sz w:val="20"/>
              </w:rPr>
              <w:t>75,924,546,766</w:t>
            </w:r>
            <w:r>
              <w:rPr>
                <w:rFonts w:ascii="Arial"/>
                <w:sz w:val="20"/>
              </w:rPr>
            </w: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7"/>
              <w:jc w:val="right"/>
              <w:rPr>
                <w:rFonts w:ascii="Arial" w:hAnsi="Arial" w:cs="Arial" w:eastAsia="Arial" w:hint="default"/>
                <w:sz w:val="20"/>
                <w:szCs w:val="20"/>
              </w:rPr>
            </w:pPr>
            <w:r>
              <w:rPr>
                <w:rFonts w:ascii="Arial"/>
                <w:spacing w:val="-2"/>
                <w:sz w:val="20"/>
              </w:rPr>
              <w:t>75,398,339,931</w:t>
            </w:r>
            <w:r>
              <w:rPr>
                <w:rFonts w:ascii="Arial"/>
                <w:sz w:val="20"/>
              </w:rPr>
            </w: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2"/>
              <w:jc w:val="right"/>
              <w:rPr>
                <w:rFonts w:ascii="Arial" w:hAnsi="Arial" w:cs="Arial" w:eastAsia="Arial" w:hint="default"/>
                <w:sz w:val="20"/>
                <w:szCs w:val="20"/>
              </w:rPr>
            </w:pPr>
            <w:r>
              <w:rPr>
                <w:rFonts w:ascii="Arial"/>
                <w:spacing w:val="-2"/>
                <w:sz w:val="20"/>
              </w:rPr>
              <w:t>(526,206,835)</w:t>
            </w:r>
            <w:r>
              <w:rPr>
                <w:rFonts w:ascii="Arial"/>
                <w:sz w:val="20"/>
              </w:rPr>
            </w:r>
          </w:p>
        </w:tc>
      </w:tr>
      <w:tr>
        <w:trPr>
          <w:trHeight w:val="343"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09" w:right="0"/>
              <w:jc w:val="left"/>
              <w:rPr>
                <w:rFonts w:ascii="宋体" w:hAnsi="宋体" w:cs="宋体" w:eastAsia="宋体" w:hint="default"/>
                <w:sz w:val="20"/>
                <w:szCs w:val="20"/>
              </w:rPr>
            </w:pPr>
            <w:r>
              <w:rPr>
                <w:rFonts w:ascii="宋体" w:hAnsi="宋体" w:cs="宋体" w:eastAsia="宋体" w:hint="default"/>
                <w:sz w:val="20"/>
                <w:szCs w:val="20"/>
              </w:rPr>
              <w:t>非流动资产</w:t>
            </w:r>
          </w:p>
        </w:tc>
        <w:tc>
          <w:tcPr>
            <w:tcW w:w="2242"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
        </w:tc>
      </w:tr>
      <w:tr>
        <w:trPr>
          <w:trHeight w:val="257"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23" w:lineRule="exact"/>
              <w:ind w:left="411" w:right="0"/>
              <w:jc w:val="left"/>
              <w:rPr>
                <w:rFonts w:ascii="宋体" w:hAnsi="宋体" w:cs="宋体" w:eastAsia="宋体" w:hint="default"/>
                <w:sz w:val="20"/>
                <w:szCs w:val="20"/>
              </w:rPr>
            </w:pPr>
            <w:r>
              <w:rPr>
                <w:rFonts w:ascii="宋体" w:hAnsi="宋体" w:cs="宋体" w:eastAsia="宋体" w:hint="default"/>
                <w:sz w:val="20"/>
                <w:szCs w:val="20"/>
              </w:rPr>
              <w:t>长期股权投资</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12"/>
              <w:jc w:val="right"/>
              <w:rPr>
                <w:rFonts w:ascii="Arial" w:hAnsi="Arial" w:cs="Arial" w:eastAsia="Arial" w:hint="default"/>
                <w:sz w:val="20"/>
                <w:szCs w:val="20"/>
              </w:rPr>
            </w:pPr>
            <w:r>
              <w:rPr>
                <w:rFonts w:ascii="Arial"/>
                <w:spacing w:val="-2"/>
                <w:sz w:val="20"/>
              </w:rPr>
              <w:t>39,723,875,225</w:t>
            </w:r>
            <w:r>
              <w:rPr>
                <w:rFonts w:ascii="Arial"/>
                <w:sz w:val="20"/>
              </w:rPr>
            </w: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7"/>
              <w:jc w:val="right"/>
              <w:rPr>
                <w:rFonts w:ascii="Arial" w:hAnsi="Arial" w:cs="Arial" w:eastAsia="Arial" w:hint="default"/>
                <w:sz w:val="20"/>
                <w:szCs w:val="20"/>
              </w:rPr>
            </w:pPr>
            <w:r>
              <w:rPr>
                <w:rFonts w:ascii="Arial"/>
                <w:spacing w:val="-2"/>
                <w:sz w:val="20"/>
              </w:rPr>
              <w:t>39,459,403,802</w:t>
            </w:r>
            <w:r>
              <w:rPr>
                <w:rFonts w:ascii="Arial"/>
                <w:sz w:val="20"/>
              </w:rPr>
            </w: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2"/>
              <w:jc w:val="right"/>
              <w:rPr>
                <w:rFonts w:ascii="Arial" w:hAnsi="Arial" w:cs="Arial" w:eastAsia="Arial" w:hint="default"/>
                <w:sz w:val="20"/>
                <w:szCs w:val="20"/>
              </w:rPr>
            </w:pPr>
            <w:r>
              <w:rPr>
                <w:rFonts w:ascii="Arial"/>
                <w:spacing w:val="-2"/>
                <w:sz w:val="20"/>
              </w:rPr>
              <w:t>(264,471,423)</w:t>
            </w:r>
            <w:r>
              <w:rPr>
                <w:rFonts w:ascii="Arial"/>
                <w:sz w:val="20"/>
              </w:rPr>
            </w:r>
          </w:p>
        </w:tc>
      </w:tr>
      <w:tr>
        <w:trPr>
          <w:trHeight w:val="250"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11" w:lineRule="exact"/>
              <w:ind w:left="411" w:right="0"/>
              <w:jc w:val="left"/>
              <w:rPr>
                <w:rFonts w:ascii="宋体" w:hAnsi="宋体" w:cs="宋体" w:eastAsia="宋体" w:hint="default"/>
                <w:sz w:val="20"/>
                <w:szCs w:val="20"/>
              </w:rPr>
            </w:pPr>
            <w:r>
              <w:rPr>
                <w:rFonts w:ascii="宋体" w:hAnsi="宋体" w:cs="宋体" w:eastAsia="宋体" w:hint="default"/>
                <w:sz w:val="20"/>
                <w:szCs w:val="20"/>
              </w:rPr>
              <w:t>固定资产</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12"/>
              <w:jc w:val="right"/>
              <w:rPr>
                <w:rFonts w:ascii="Arial" w:hAnsi="Arial" w:cs="Arial" w:eastAsia="Arial" w:hint="default"/>
                <w:sz w:val="20"/>
                <w:szCs w:val="20"/>
              </w:rPr>
            </w:pPr>
            <w:r>
              <w:rPr>
                <w:rFonts w:ascii="Arial"/>
                <w:spacing w:val="-2"/>
                <w:sz w:val="20"/>
              </w:rPr>
              <w:t>341,452,644,261</w:t>
            </w:r>
            <w:r>
              <w:rPr>
                <w:rFonts w:ascii="Arial"/>
                <w:sz w:val="20"/>
              </w:rPr>
            </w: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7"/>
              <w:jc w:val="right"/>
              <w:rPr>
                <w:rFonts w:ascii="Arial" w:hAnsi="Arial" w:cs="Arial" w:eastAsia="Arial" w:hint="default"/>
                <w:sz w:val="20"/>
                <w:szCs w:val="20"/>
              </w:rPr>
            </w:pPr>
            <w:r>
              <w:rPr>
                <w:rFonts w:ascii="Arial"/>
                <w:spacing w:val="-2"/>
                <w:sz w:val="20"/>
              </w:rPr>
              <w:t>341,109,544,133</w:t>
            </w:r>
            <w:r>
              <w:rPr>
                <w:rFonts w:ascii="Arial"/>
                <w:sz w:val="20"/>
              </w:rPr>
            </w: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2"/>
              <w:jc w:val="right"/>
              <w:rPr>
                <w:rFonts w:ascii="Arial" w:hAnsi="Arial" w:cs="Arial" w:eastAsia="Arial" w:hint="default"/>
                <w:sz w:val="20"/>
                <w:szCs w:val="20"/>
              </w:rPr>
            </w:pPr>
            <w:r>
              <w:rPr>
                <w:rFonts w:ascii="Arial"/>
                <w:spacing w:val="-2"/>
                <w:sz w:val="20"/>
              </w:rPr>
              <w:t>(343,100,128)</w:t>
            </w:r>
            <w:r>
              <w:rPr>
                <w:rFonts w:ascii="Arial"/>
                <w:sz w:val="20"/>
              </w:rPr>
            </w:r>
          </w:p>
        </w:tc>
      </w:tr>
      <w:tr>
        <w:trPr>
          <w:trHeight w:val="245"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11" w:lineRule="exact"/>
              <w:ind w:left="411" w:right="0"/>
              <w:jc w:val="left"/>
              <w:rPr>
                <w:rFonts w:ascii="宋体" w:hAnsi="宋体" w:cs="宋体" w:eastAsia="宋体" w:hint="default"/>
                <w:sz w:val="20"/>
                <w:szCs w:val="20"/>
              </w:rPr>
            </w:pPr>
            <w:r>
              <w:rPr>
                <w:rFonts w:ascii="宋体" w:hAnsi="宋体" w:cs="宋体" w:eastAsia="宋体" w:hint="default"/>
                <w:sz w:val="20"/>
                <w:szCs w:val="20"/>
              </w:rPr>
              <w:t>使用权资产</w:t>
            </w:r>
          </w:p>
        </w:tc>
        <w:tc>
          <w:tcPr>
            <w:tcW w:w="2242" w:type="dxa"/>
            <w:tcBorders>
              <w:top w:val="nil" w:sz="6" w:space="0" w:color="auto"/>
              <w:left w:val="nil" w:sz="6" w:space="0" w:color="auto"/>
              <w:bottom w:val="nil" w:sz="6" w:space="0" w:color="auto"/>
              <w:right w:val="nil" w:sz="6" w:space="0" w:color="auto"/>
            </w:tcBorders>
          </w:tcPr>
          <w:p>
            <w:pPr>
              <w:pStyle w:val="TableParagraph"/>
              <w:spacing w:line="211" w:lineRule="exact"/>
              <w:ind w:right="103"/>
              <w:jc w:val="right"/>
              <w:rPr>
                <w:rFonts w:ascii="宋体" w:hAnsi="宋体" w:cs="宋体" w:eastAsia="宋体" w:hint="default"/>
                <w:sz w:val="20"/>
                <w:szCs w:val="20"/>
              </w:rPr>
            </w:pPr>
            <w:r>
              <w:rPr>
                <w:rFonts w:ascii="宋体" w:hAnsi="宋体" w:cs="宋体" w:eastAsia="宋体" w:hint="default"/>
                <w:sz w:val="20"/>
                <w:szCs w:val="20"/>
              </w:rPr>
              <w:t>不适用</w:t>
            </w: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2"/>
              <w:jc w:val="right"/>
              <w:rPr>
                <w:rFonts w:ascii="Arial" w:hAnsi="Arial" w:cs="Arial" w:eastAsia="Arial" w:hint="default"/>
                <w:sz w:val="20"/>
                <w:szCs w:val="20"/>
              </w:rPr>
            </w:pPr>
            <w:r>
              <w:rPr>
                <w:rFonts w:ascii="Arial"/>
                <w:spacing w:val="-2"/>
                <w:sz w:val="20"/>
              </w:rPr>
              <w:t>38,068,974,106</w:t>
            </w:r>
            <w:r>
              <w:rPr>
                <w:rFonts w:ascii="Arial"/>
                <w:sz w:val="20"/>
              </w:rPr>
            </w: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2"/>
              <w:jc w:val="right"/>
              <w:rPr>
                <w:rFonts w:ascii="Arial" w:hAnsi="Arial" w:cs="Arial" w:eastAsia="Arial" w:hint="default"/>
                <w:sz w:val="20"/>
                <w:szCs w:val="20"/>
              </w:rPr>
            </w:pPr>
            <w:r>
              <w:rPr>
                <w:rFonts w:ascii="Arial"/>
                <w:spacing w:val="-2"/>
                <w:sz w:val="20"/>
              </w:rPr>
              <w:t>38,068,974,106</w:t>
            </w:r>
            <w:r>
              <w:rPr>
                <w:rFonts w:ascii="Arial"/>
                <w:sz w:val="20"/>
              </w:rPr>
            </w:r>
          </w:p>
        </w:tc>
      </w:tr>
      <w:tr>
        <w:trPr>
          <w:trHeight w:val="245"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11" w:lineRule="exact"/>
              <w:ind w:left="411" w:right="0"/>
              <w:jc w:val="left"/>
              <w:rPr>
                <w:rFonts w:ascii="宋体" w:hAnsi="宋体" w:cs="宋体" w:eastAsia="宋体" w:hint="default"/>
                <w:sz w:val="20"/>
                <w:szCs w:val="20"/>
              </w:rPr>
            </w:pPr>
            <w:r>
              <w:rPr>
                <w:rFonts w:ascii="宋体" w:hAnsi="宋体" w:cs="宋体" w:eastAsia="宋体" w:hint="default"/>
                <w:sz w:val="20"/>
                <w:szCs w:val="20"/>
              </w:rPr>
              <w:t>长期待摊费用</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7"/>
              <w:jc w:val="right"/>
              <w:rPr>
                <w:rFonts w:ascii="Arial" w:hAnsi="Arial" w:cs="Arial" w:eastAsia="Arial" w:hint="default"/>
                <w:sz w:val="20"/>
                <w:szCs w:val="20"/>
              </w:rPr>
            </w:pPr>
            <w:r>
              <w:rPr>
                <w:rFonts w:ascii="Arial"/>
                <w:spacing w:val="-2"/>
                <w:sz w:val="20"/>
              </w:rPr>
              <w:t>3,929,093,283</w:t>
            </w:r>
            <w:r>
              <w:rPr>
                <w:rFonts w:ascii="Arial"/>
                <w:sz w:val="20"/>
              </w:rPr>
            </w: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2"/>
              <w:jc w:val="right"/>
              <w:rPr>
                <w:rFonts w:ascii="Arial" w:hAnsi="Arial" w:cs="Arial" w:eastAsia="Arial" w:hint="default"/>
                <w:sz w:val="20"/>
                <w:szCs w:val="20"/>
              </w:rPr>
            </w:pPr>
            <w:r>
              <w:rPr>
                <w:rFonts w:ascii="Arial"/>
                <w:spacing w:val="-2"/>
                <w:sz w:val="20"/>
              </w:rPr>
              <w:t>2,128,236,019</w:t>
            </w:r>
            <w:r>
              <w:rPr>
                <w:rFonts w:ascii="Arial"/>
                <w:sz w:val="20"/>
              </w:rPr>
            </w: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2"/>
              <w:jc w:val="right"/>
              <w:rPr>
                <w:rFonts w:ascii="Arial" w:hAnsi="Arial" w:cs="Arial" w:eastAsia="Arial" w:hint="default"/>
                <w:sz w:val="20"/>
                <w:szCs w:val="20"/>
              </w:rPr>
            </w:pPr>
            <w:r>
              <w:rPr>
                <w:rFonts w:ascii="Arial"/>
                <w:spacing w:val="-2"/>
                <w:sz w:val="20"/>
              </w:rPr>
              <w:t>(1,800,857,264)</w:t>
            </w:r>
            <w:r>
              <w:rPr>
                <w:rFonts w:ascii="Arial"/>
                <w:sz w:val="20"/>
              </w:rPr>
            </w:r>
          </w:p>
        </w:tc>
      </w:tr>
      <w:tr>
        <w:trPr>
          <w:trHeight w:val="250"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11" w:lineRule="exact"/>
              <w:ind w:left="411" w:right="0"/>
              <w:jc w:val="left"/>
              <w:rPr>
                <w:rFonts w:ascii="宋体" w:hAnsi="宋体" w:cs="宋体" w:eastAsia="宋体" w:hint="default"/>
                <w:sz w:val="20"/>
                <w:szCs w:val="20"/>
              </w:rPr>
            </w:pPr>
            <w:r>
              <w:rPr>
                <w:rFonts w:ascii="宋体" w:hAnsi="宋体" w:cs="宋体" w:eastAsia="宋体" w:hint="default"/>
                <w:sz w:val="20"/>
                <w:szCs w:val="20"/>
              </w:rPr>
              <w:t>递延所得税资产</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7"/>
              <w:jc w:val="right"/>
              <w:rPr>
                <w:rFonts w:ascii="Arial" w:hAnsi="Arial" w:cs="Arial" w:eastAsia="Arial" w:hint="default"/>
                <w:sz w:val="20"/>
                <w:szCs w:val="20"/>
              </w:rPr>
            </w:pPr>
            <w:r>
              <w:rPr>
                <w:rFonts w:ascii="Arial"/>
                <w:spacing w:val="-2"/>
                <w:sz w:val="20"/>
              </w:rPr>
              <w:t>2,048,586,266</w:t>
            </w:r>
            <w:r>
              <w:rPr>
                <w:rFonts w:ascii="Arial"/>
                <w:sz w:val="20"/>
              </w:rPr>
            </w: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2"/>
              <w:jc w:val="right"/>
              <w:rPr>
                <w:rFonts w:ascii="Arial" w:hAnsi="Arial" w:cs="Arial" w:eastAsia="Arial" w:hint="default"/>
                <w:sz w:val="20"/>
                <w:szCs w:val="20"/>
              </w:rPr>
            </w:pPr>
            <w:r>
              <w:rPr>
                <w:rFonts w:ascii="Arial"/>
                <w:spacing w:val="-2"/>
                <w:sz w:val="20"/>
              </w:rPr>
              <w:t>2,320,043,549</w:t>
            </w:r>
            <w:r>
              <w:rPr>
                <w:rFonts w:ascii="Arial"/>
                <w:sz w:val="20"/>
              </w:rPr>
            </w: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7"/>
              <w:jc w:val="right"/>
              <w:rPr>
                <w:rFonts w:ascii="Arial" w:hAnsi="Arial" w:cs="Arial" w:eastAsia="Arial" w:hint="default"/>
                <w:sz w:val="20"/>
                <w:szCs w:val="20"/>
              </w:rPr>
            </w:pPr>
            <w:r>
              <w:rPr>
                <w:rFonts w:ascii="Arial"/>
                <w:spacing w:val="-2"/>
                <w:sz w:val="20"/>
              </w:rPr>
              <w:t>271,457,283</w:t>
            </w:r>
            <w:r>
              <w:rPr>
                <w:rFonts w:ascii="Arial"/>
                <w:sz w:val="20"/>
              </w:rPr>
            </w:r>
          </w:p>
        </w:tc>
      </w:tr>
      <w:tr>
        <w:trPr>
          <w:trHeight w:val="355"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11" w:lineRule="exact"/>
              <w:ind w:left="209" w:right="0"/>
              <w:jc w:val="left"/>
              <w:rPr>
                <w:rFonts w:ascii="宋体" w:hAnsi="宋体" w:cs="宋体" w:eastAsia="宋体" w:hint="default"/>
                <w:sz w:val="20"/>
                <w:szCs w:val="20"/>
              </w:rPr>
            </w:pPr>
            <w:r>
              <w:rPr>
                <w:rFonts w:ascii="宋体" w:hAnsi="宋体" w:cs="宋体" w:eastAsia="宋体" w:hint="default"/>
                <w:sz w:val="20"/>
                <w:szCs w:val="20"/>
              </w:rPr>
              <w:t>非流动资产合计</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12"/>
              <w:jc w:val="right"/>
              <w:rPr>
                <w:rFonts w:ascii="Arial" w:hAnsi="Arial" w:cs="Arial" w:eastAsia="Arial" w:hint="default"/>
                <w:sz w:val="20"/>
                <w:szCs w:val="20"/>
              </w:rPr>
            </w:pPr>
            <w:r>
              <w:rPr>
                <w:rFonts w:ascii="Arial"/>
                <w:spacing w:val="-2"/>
                <w:sz w:val="20"/>
              </w:rPr>
              <w:t>465,837,737,218</w:t>
            </w:r>
            <w:r>
              <w:rPr>
                <w:rFonts w:ascii="Arial"/>
                <w:sz w:val="20"/>
              </w:rPr>
            </w: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7"/>
              <w:jc w:val="right"/>
              <w:rPr>
                <w:rFonts w:ascii="Arial" w:hAnsi="Arial" w:cs="Arial" w:eastAsia="Arial" w:hint="default"/>
                <w:sz w:val="20"/>
                <w:szCs w:val="20"/>
              </w:rPr>
            </w:pPr>
            <w:r>
              <w:rPr>
                <w:rFonts w:ascii="Arial"/>
                <w:spacing w:val="-2"/>
                <w:sz w:val="20"/>
              </w:rPr>
              <w:t>501,769,739,792</w:t>
            </w:r>
            <w:r>
              <w:rPr>
                <w:rFonts w:ascii="Arial"/>
                <w:sz w:val="20"/>
              </w:rPr>
            </w: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7"/>
              <w:jc w:val="right"/>
              <w:rPr>
                <w:rFonts w:ascii="Arial" w:hAnsi="Arial" w:cs="Arial" w:eastAsia="Arial" w:hint="default"/>
                <w:sz w:val="20"/>
                <w:szCs w:val="20"/>
              </w:rPr>
            </w:pPr>
            <w:r>
              <w:rPr>
                <w:rFonts w:ascii="Arial"/>
                <w:spacing w:val="-2"/>
                <w:sz w:val="20"/>
              </w:rPr>
              <w:t>35,932,002,574</w:t>
            </w:r>
            <w:r>
              <w:rPr>
                <w:rFonts w:ascii="Arial"/>
                <w:sz w:val="20"/>
              </w:rPr>
            </w:r>
          </w:p>
        </w:tc>
      </w:tr>
      <w:tr>
        <w:trPr>
          <w:trHeight w:val="463"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09" w:right="0"/>
              <w:jc w:val="left"/>
              <w:rPr>
                <w:rFonts w:ascii="宋体" w:hAnsi="宋体" w:cs="宋体" w:eastAsia="宋体" w:hint="default"/>
                <w:sz w:val="20"/>
                <w:szCs w:val="20"/>
              </w:rPr>
            </w:pPr>
            <w:r>
              <w:rPr>
                <w:rFonts w:ascii="宋体" w:hAnsi="宋体" w:cs="宋体" w:eastAsia="宋体" w:hint="default"/>
                <w:sz w:val="20"/>
                <w:szCs w:val="20"/>
              </w:rPr>
              <w:t>资产总计</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12"/>
              <w:jc w:val="right"/>
              <w:rPr>
                <w:rFonts w:ascii="Arial" w:hAnsi="Arial" w:cs="Arial" w:eastAsia="Arial" w:hint="default"/>
                <w:sz w:val="20"/>
                <w:szCs w:val="20"/>
              </w:rPr>
            </w:pPr>
            <w:r>
              <w:rPr>
                <w:rFonts w:ascii="Arial"/>
                <w:spacing w:val="-2"/>
                <w:sz w:val="20"/>
              </w:rPr>
              <w:t>541,762,283,984</w:t>
            </w:r>
            <w:r>
              <w:rPr>
                <w:rFonts w:ascii="Arial"/>
                <w:sz w:val="20"/>
              </w:rPr>
            </w: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7"/>
              <w:jc w:val="right"/>
              <w:rPr>
                <w:rFonts w:ascii="Arial" w:hAnsi="Arial" w:cs="Arial" w:eastAsia="Arial" w:hint="default"/>
                <w:sz w:val="20"/>
                <w:szCs w:val="20"/>
              </w:rPr>
            </w:pPr>
            <w:r>
              <w:rPr>
                <w:rFonts w:ascii="Arial"/>
                <w:spacing w:val="-2"/>
                <w:sz w:val="20"/>
              </w:rPr>
              <w:t>577,168,079,723</w:t>
            </w:r>
            <w:r>
              <w:rPr>
                <w:rFonts w:ascii="Arial"/>
                <w:sz w:val="20"/>
              </w:rPr>
            </w: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7"/>
              <w:jc w:val="right"/>
              <w:rPr>
                <w:rFonts w:ascii="Arial" w:hAnsi="Arial" w:cs="Arial" w:eastAsia="Arial" w:hint="default"/>
                <w:sz w:val="20"/>
                <w:szCs w:val="20"/>
              </w:rPr>
            </w:pPr>
            <w:r>
              <w:rPr>
                <w:rFonts w:ascii="Arial"/>
                <w:spacing w:val="-2"/>
                <w:sz w:val="20"/>
              </w:rPr>
              <w:t>35,405,795,739</w:t>
            </w:r>
            <w:r>
              <w:rPr>
                <w:rFonts w:ascii="Arial"/>
                <w:sz w:val="20"/>
              </w:rPr>
            </w:r>
          </w:p>
        </w:tc>
      </w:tr>
      <w:tr>
        <w:trPr>
          <w:trHeight w:val="343"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09" w:right="0"/>
              <w:jc w:val="left"/>
              <w:rPr>
                <w:rFonts w:ascii="宋体" w:hAnsi="宋体" w:cs="宋体" w:eastAsia="宋体" w:hint="default"/>
                <w:sz w:val="20"/>
                <w:szCs w:val="20"/>
              </w:rPr>
            </w:pPr>
            <w:r>
              <w:rPr>
                <w:rFonts w:ascii="宋体" w:hAnsi="宋体" w:cs="宋体" w:eastAsia="宋体" w:hint="default"/>
                <w:sz w:val="20"/>
                <w:szCs w:val="20"/>
              </w:rPr>
              <w:t>负债和股东权益</w:t>
            </w:r>
          </w:p>
        </w:tc>
        <w:tc>
          <w:tcPr>
            <w:tcW w:w="2242"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
        </w:tc>
      </w:tr>
      <w:tr>
        <w:trPr>
          <w:trHeight w:val="247"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25" w:lineRule="exact"/>
              <w:ind w:left="209" w:right="0"/>
              <w:jc w:val="left"/>
              <w:rPr>
                <w:rFonts w:ascii="宋体" w:hAnsi="宋体" w:cs="宋体" w:eastAsia="宋体" w:hint="default"/>
                <w:sz w:val="20"/>
                <w:szCs w:val="20"/>
              </w:rPr>
            </w:pPr>
            <w:r>
              <w:rPr>
                <w:rFonts w:ascii="宋体" w:hAnsi="宋体" w:cs="宋体" w:eastAsia="宋体" w:hint="default"/>
                <w:sz w:val="20"/>
                <w:szCs w:val="20"/>
              </w:rPr>
              <w:t>流动负债</w:t>
            </w:r>
          </w:p>
        </w:tc>
        <w:tc>
          <w:tcPr>
            <w:tcW w:w="2242"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
        </w:tc>
      </w:tr>
      <w:tr>
        <w:trPr>
          <w:trHeight w:val="507"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14" w:lineRule="exact"/>
              <w:ind w:left="435" w:right="0"/>
              <w:jc w:val="left"/>
              <w:rPr>
                <w:rFonts w:ascii="宋体" w:hAnsi="宋体" w:cs="宋体" w:eastAsia="宋体" w:hint="default"/>
                <w:sz w:val="20"/>
                <w:szCs w:val="20"/>
              </w:rPr>
            </w:pPr>
            <w:r>
              <w:rPr>
                <w:rFonts w:ascii="宋体" w:hAnsi="宋体" w:cs="宋体" w:eastAsia="宋体" w:hint="default"/>
                <w:spacing w:val="18"/>
                <w:sz w:val="20"/>
                <w:szCs w:val="20"/>
              </w:rPr>
              <w:t>一年内到期的非流动</w:t>
            </w:r>
          </w:p>
          <w:p>
            <w:pPr>
              <w:pStyle w:val="TableParagraph"/>
              <w:spacing w:line="253" w:lineRule="exact"/>
              <w:ind w:left="440" w:right="0"/>
              <w:jc w:val="left"/>
              <w:rPr>
                <w:rFonts w:ascii="宋体" w:hAnsi="宋体" w:cs="宋体" w:eastAsia="宋体" w:hint="default"/>
                <w:sz w:val="20"/>
                <w:szCs w:val="20"/>
              </w:rPr>
            </w:pPr>
            <w:r>
              <w:rPr>
                <w:rFonts w:ascii="宋体" w:hAnsi="宋体" w:cs="宋体" w:eastAsia="宋体" w:hint="default"/>
                <w:sz w:val="20"/>
                <w:szCs w:val="20"/>
              </w:rPr>
              <w:t>负债</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112"/>
              <w:jc w:val="right"/>
              <w:rPr>
                <w:rFonts w:ascii="Arial" w:hAnsi="Arial" w:cs="Arial" w:eastAsia="Arial" w:hint="default"/>
                <w:sz w:val="20"/>
                <w:szCs w:val="20"/>
              </w:rPr>
            </w:pPr>
            <w:r>
              <w:rPr>
                <w:rFonts w:ascii="Arial"/>
                <w:spacing w:val="-2"/>
                <w:sz w:val="20"/>
              </w:rPr>
              <w:t>17,685,459,683</w:t>
            </w:r>
            <w:r>
              <w:rPr>
                <w:rFonts w:ascii="Arial"/>
                <w:sz w:val="20"/>
              </w:rPr>
            </w: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107"/>
              <w:jc w:val="right"/>
              <w:rPr>
                <w:rFonts w:ascii="Arial" w:hAnsi="Arial" w:cs="Arial" w:eastAsia="Arial" w:hint="default"/>
                <w:sz w:val="20"/>
                <w:szCs w:val="20"/>
              </w:rPr>
            </w:pPr>
            <w:r>
              <w:rPr>
                <w:rFonts w:ascii="Arial"/>
                <w:spacing w:val="-2"/>
                <w:sz w:val="20"/>
              </w:rPr>
              <w:t>26,595,824,031</w:t>
            </w:r>
            <w:r>
              <w:rPr>
                <w:rFonts w:ascii="Arial"/>
                <w:sz w:val="20"/>
              </w:rPr>
            </w: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102"/>
              <w:jc w:val="right"/>
              <w:rPr>
                <w:rFonts w:ascii="Arial" w:hAnsi="Arial" w:cs="Arial" w:eastAsia="Arial" w:hint="default"/>
                <w:sz w:val="20"/>
                <w:szCs w:val="20"/>
              </w:rPr>
            </w:pPr>
            <w:r>
              <w:rPr>
                <w:rFonts w:ascii="Arial"/>
                <w:spacing w:val="-2"/>
                <w:sz w:val="20"/>
              </w:rPr>
              <w:t>8,910,364,348</w:t>
            </w:r>
            <w:r>
              <w:rPr>
                <w:rFonts w:ascii="Arial"/>
                <w:sz w:val="20"/>
              </w:rPr>
            </w:r>
          </w:p>
        </w:tc>
      </w:tr>
      <w:tr>
        <w:trPr>
          <w:trHeight w:val="355"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11" w:lineRule="exact"/>
              <w:ind w:left="209" w:right="0"/>
              <w:jc w:val="left"/>
              <w:rPr>
                <w:rFonts w:ascii="宋体" w:hAnsi="宋体" w:cs="宋体" w:eastAsia="宋体" w:hint="default"/>
                <w:sz w:val="20"/>
                <w:szCs w:val="20"/>
              </w:rPr>
            </w:pPr>
            <w:r>
              <w:rPr>
                <w:rFonts w:ascii="宋体" w:hAnsi="宋体" w:cs="宋体" w:eastAsia="宋体" w:hint="default"/>
                <w:sz w:val="20"/>
                <w:szCs w:val="20"/>
              </w:rPr>
              <w:t>流动负债合计</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12"/>
              <w:jc w:val="right"/>
              <w:rPr>
                <w:rFonts w:ascii="Arial" w:hAnsi="Arial" w:cs="Arial" w:eastAsia="Arial" w:hint="default"/>
                <w:sz w:val="20"/>
                <w:szCs w:val="20"/>
              </w:rPr>
            </w:pPr>
            <w:r>
              <w:rPr>
                <w:rFonts w:ascii="Arial"/>
                <w:spacing w:val="-2"/>
                <w:sz w:val="20"/>
              </w:rPr>
              <w:t>213,715,729,302</w:t>
            </w:r>
            <w:r>
              <w:rPr>
                <w:rFonts w:ascii="Arial"/>
                <w:sz w:val="20"/>
              </w:rPr>
            </w: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7"/>
              <w:jc w:val="right"/>
              <w:rPr>
                <w:rFonts w:ascii="Arial" w:hAnsi="Arial" w:cs="Arial" w:eastAsia="Arial" w:hint="default"/>
                <w:sz w:val="20"/>
                <w:szCs w:val="20"/>
              </w:rPr>
            </w:pPr>
            <w:r>
              <w:rPr>
                <w:rFonts w:ascii="Arial"/>
                <w:spacing w:val="-2"/>
                <w:sz w:val="20"/>
              </w:rPr>
              <w:t>222,626,093,650</w:t>
            </w:r>
            <w:r>
              <w:rPr>
                <w:rFonts w:ascii="Arial"/>
                <w:sz w:val="20"/>
              </w:rPr>
            </w: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2"/>
              <w:jc w:val="right"/>
              <w:rPr>
                <w:rFonts w:ascii="Arial" w:hAnsi="Arial" w:cs="Arial" w:eastAsia="Arial" w:hint="default"/>
                <w:sz w:val="20"/>
                <w:szCs w:val="20"/>
              </w:rPr>
            </w:pPr>
            <w:r>
              <w:rPr>
                <w:rFonts w:ascii="Arial"/>
                <w:spacing w:val="-2"/>
                <w:sz w:val="20"/>
              </w:rPr>
              <w:t>8,910,364,348</w:t>
            </w:r>
            <w:r>
              <w:rPr>
                <w:rFonts w:ascii="Arial"/>
                <w:sz w:val="20"/>
              </w:rPr>
            </w:r>
          </w:p>
        </w:tc>
      </w:tr>
      <w:tr>
        <w:trPr>
          <w:trHeight w:val="343"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09" w:right="0"/>
              <w:jc w:val="left"/>
              <w:rPr>
                <w:rFonts w:ascii="宋体" w:hAnsi="宋体" w:cs="宋体" w:eastAsia="宋体" w:hint="default"/>
                <w:sz w:val="20"/>
                <w:szCs w:val="20"/>
              </w:rPr>
            </w:pPr>
            <w:r>
              <w:rPr>
                <w:rFonts w:ascii="宋体" w:hAnsi="宋体" w:cs="宋体" w:eastAsia="宋体" w:hint="default"/>
                <w:sz w:val="20"/>
                <w:szCs w:val="20"/>
              </w:rPr>
              <w:t>非流动负债</w:t>
            </w:r>
          </w:p>
        </w:tc>
        <w:tc>
          <w:tcPr>
            <w:tcW w:w="2242"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
        </w:tc>
      </w:tr>
      <w:tr>
        <w:trPr>
          <w:trHeight w:val="257"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23" w:lineRule="exact"/>
              <w:ind w:left="411" w:right="0"/>
              <w:jc w:val="left"/>
              <w:rPr>
                <w:rFonts w:ascii="宋体" w:hAnsi="宋体" w:cs="宋体" w:eastAsia="宋体" w:hint="default"/>
                <w:sz w:val="20"/>
                <w:szCs w:val="20"/>
              </w:rPr>
            </w:pPr>
            <w:r>
              <w:rPr>
                <w:rFonts w:ascii="宋体" w:hAnsi="宋体" w:cs="宋体" w:eastAsia="宋体" w:hint="default"/>
                <w:sz w:val="20"/>
                <w:szCs w:val="20"/>
              </w:rPr>
              <w:t>租赁负债</w:t>
            </w:r>
          </w:p>
        </w:tc>
        <w:tc>
          <w:tcPr>
            <w:tcW w:w="2242" w:type="dxa"/>
            <w:tcBorders>
              <w:top w:val="nil" w:sz="6" w:space="0" w:color="auto"/>
              <w:left w:val="nil" w:sz="6" w:space="0" w:color="auto"/>
              <w:bottom w:val="nil" w:sz="6" w:space="0" w:color="auto"/>
              <w:right w:val="nil" w:sz="6" w:space="0" w:color="auto"/>
            </w:tcBorders>
          </w:tcPr>
          <w:p>
            <w:pPr>
              <w:pStyle w:val="TableParagraph"/>
              <w:spacing w:line="223" w:lineRule="exact"/>
              <w:ind w:right="103"/>
              <w:jc w:val="right"/>
              <w:rPr>
                <w:rFonts w:ascii="宋体" w:hAnsi="宋体" w:cs="宋体" w:eastAsia="宋体" w:hint="default"/>
                <w:sz w:val="20"/>
                <w:szCs w:val="20"/>
              </w:rPr>
            </w:pPr>
            <w:r>
              <w:rPr>
                <w:rFonts w:ascii="宋体" w:hAnsi="宋体" w:cs="宋体" w:eastAsia="宋体" w:hint="default"/>
                <w:sz w:val="20"/>
                <w:szCs w:val="20"/>
              </w:rPr>
              <w:t>不适用</w:t>
            </w: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7"/>
              <w:jc w:val="right"/>
              <w:rPr>
                <w:rFonts w:ascii="Arial" w:hAnsi="Arial" w:cs="Arial" w:eastAsia="Arial" w:hint="default"/>
                <w:sz w:val="20"/>
                <w:szCs w:val="20"/>
              </w:rPr>
            </w:pPr>
            <w:r>
              <w:rPr>
                <w:rFonts w:ascii="Arial"/>
                <w:spacing w:val="-2"/>
                <w:sz w:val="20"/>
              </w:rPr>
              <w:t>27,575,783,157</w:t>
            </w:r>
            <w:r>
              <w:rPr>
                <w:rFonts w:ascii="Arial"/>
                <w:sz w:val="20"/>
              </w:rPr>
            </w: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7"/>
              <w:jc w:val="right"/>
              <w:rPr>
                <w:rFonts w:ascii="Arial" w:hAnsi="Arial" w:cs="Arial" w:eastAsia="Arial" w:hint="default"/>
                <w:sz w:val="20"/>
                <w:szCs w:val="20"/>
              </w:rPr>
            </w:pPr>
            <w:r>
              <w:rPr>
                <w:rFonts w:ascii="Arial"/>
                <w:spacing w:val="-2"/>
                <w:sz w:val="20"/>
              </w:rPr>
              <w:t>27,575,783,157</w:t>
            </w:r>
            <w:r>
              <w:rPr>
                <w:rFonts w:ascii="Arial"/>
                <w:sz w:val="20"/>
              </w:rPr>
            </w:r>
          </w:p>
        </w:tc>
      </w:tr>
      <w:tr>
        <w:trPr>
          <w:trHeight w:val="250"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11" w:lineRule="exact"/>
              <w:ind w:left="411" w:right="0"/>
              <w:jc w:val="left"/>
              <w:rPr>
                <w:rFonts w:ascii="宋体" w:hAnsi="宋体" w:cs="宋体" w:eastAsia="宋体" w:hint="default"/>
                <w:sz w:val="20"/>
                <w:szCs w:val="20"/>
              </w:rPr>
            </w:pPr>
            <w:r>
              <w:rPr>
                <w:rFonts w:ascii="宋体" w:hAnsi="宋体" w:cs="宋体" w:eastAsia="宋体" w:hint="default"/>
                <w:sz w:val="20"/>
                <w:szCs w:val="20"/>
              </w:rPr>
              <w:t>长期应付款</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7"/>
              <w:jc w:val="right"/>
              <w:rPr>
                <w:rFonts w:ascii="Arial" w:hAnsi="Arial" w:cs="Arial" w:eastAsia="Arial" w:hint="default"/>
                <w:sz w:val="20"/>
                <w:szCs w:val="20"/>
              </w:rPr>
            </w:pPr>
            <w:r>
              <w:rPr>
                <w:rFonts w:ascii="Arial"/>
                <w:spacing w:val="-2"/>
                <w:sz w:val="20"/>
              </w:rPr>
              <w:t>3,055,491,131</w:t>
            </w:r>
            <w:r>
              <w:rPr>
                <w:rFonts w:ascii="Arial"/>
                <w:sz w:val="20"/>
              </w:rPr>
            </w: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2"/>
              <w:jc w:val="right"/>
              <w:rPr>
                <w:rFonts w:ascii="Arial" w:hAnsi="Arial" w:cs="Arial" w:eastAsia="Arial" w:hint="default"/>
                <w:sz w:val="20"/>
                <w:szCs w:val="20"/>
              </w:rPr>
            </w:pPr>
            <w:r>
              <w:rPr>
                <w:rFonts w:ascii="Arial"/>
                <w:spacing w:val="-2"/>
                <w:sz w:val="20"/>
              </w:rPr>
              <w:t>3,049,257,090</w:t>
            </w:r>
            <w:r>
              <w:rPr>
                <w:rFonts w:ascii="Arial"/>
                <w:sz w:val="20"/>
              </w:rPr>
            </w: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2"/>
              <w:jc w:val="right"/>
              <w:rPr>
                <w:rFonts w:ascii="Arial" w:hAnsi="Arial" w:cs="Arial" w:eastAsia="Arial" w:hint="default"/>
                <w:sz w:val="20"/>
                <w:szCs w:val="20"/>
              </w:rPr>
            </w:pPr>
            <w:r>
              <w:rPr>
                <w:rFonts w:ascii="Arial"/>
                <w:spacing w:val="-2"/>
                <w:sz w:val="20"/>
              </w:rPr>
              <w:t>(6,234,041)</w:t>
            </w:r>
            <w:r>
              <w:rPr>
                <w:rFonts w:ascii="Arial"/>
                <w:sz w:val="20"/>
              </w:rPr>
            </w:r>
          </w:p>
        </w:tc>
      </w:tr>
      <w:tr>
        <w:trPr>
          <w:trHeight w:val="353"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11" w:lineRule="exact"/>
              <w:ind w:left="209" w:right="0"/>
              <w:jc w:val="left"/>
              <w:rPr>
                <w:rFonts w:ascii="宋体" w:hAnsi="宋体" w:cs="宋体" w:eastAsia="宋体" w:hint="default"/>
                <w:sz w:val="20"/>
                <w:szCs w:val="20"/>
              </w:rPr>
            </w:pPr>
            <w:r>
              <w:rPr>
                <w:rFonts w:ascii="宋体" w:hAnsi="宋体" w:cs="宋体" w:eastAsia="宋体" w:hint="default"/>
                <w:sz w:val="20"/>
                <w:szCs w:val="20"/>
              </w:rPr>
              <w:t>非流动负债合计</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12"/>
              <w:jc w:val="right"/>
              <w:rPr>
                <w:rFonts w:ascii="Arial" w:hAnsi="Arial" w:cs="Arial" w:eastAsia="Arial" w:hint="default"/>
                <w:sz w:val="20"/>
                <w:szCs w:val="20"/>
              </w:rPr>
            </w:pPr>
            <w:r>
              <w:rPr>
                <w:rFonts w:ascii="Arial"/>
                <w:spacing w:val="-2"/>
                <w:sz w:val="20"/>
              </w:rPr>
              <w:t>11,106,261,464</w:t>
            </w:r>
            <w:r>
              <w:rPr>
                <w:rFonts w:ascii="Arial"/>
                <w:sz w:val="20"/>
              </w:rPr>
            </w: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7"/>
              <w:jc w:val="right"/>
              <w:rPr>
                <w:rFonts w:ascii="Arial" w:hAnsi="Arial" w:cs="Arial" w:eastAsia="Arial" w:hint="default"/>
                <w:sz w:val="20"/>
                <w:szCs w:val="20"/>
              </w:rPr>
            </w:pPr>
            <w:r>
              <w:rPr>
                <w:rFonts w:ascii="Arial"/>
                <w:spacing w:val="-2"/>
                <w:sz w:val="20"/>
              </w:rPr>
              <w:t>38,675,810,580</w:t>
            </w:r>
            <w:r>
              <w:rPr>
                <w:rFonts w:ascii="Arial"/>
                <w:sz w:val="20"/>
              </w:rPr>
            </w: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7"/>
              <w:jc w:val="right"/>
              <w:rPr>
                <w:rFonts w:ascii="Arial" w:hAnsi="Arial" w:cs="Arial" w:eastAsia="Arial" w:hint="default"/>
                <w:sz w:val="20"/>
                <w:szCs w:val="20"/>
              </w:rPr>
            </w:pPr>
            <w:r>
              <w:rPr>
                <w:rFonts w:ascii="Arial"/>
                <w:spacing w:val="-2"/>
                <w:sz w:val="20"/>
              </w:rPr>
              <w:t>27,569,549,116</w:t>
            </w:r>
            <w:r>
              <w:rPr>
                <w:rFonts w:ascii="Arial"/>
                <w:sz w:val="20"/>
              </w:rPr>
            </w:r>
          </w:p>
        </w:tc>
      </w:tr>
      <w:tr>
        <w:trPr>
          <w:trHeight w:val="466"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09" w:right="0"/>
              <w:jc w:val="left"/>
              <w:rPr>
                <w:rFonts w:ascii="宋体" w:hAnsi="宋体" w:cs="宋体" w:eastAsia="宋体" w:hint="default"/>
                <w:sz w:val="20"/>
                <w:szCs w:val="20"/>
              </w:rPr>
            </w:pPr>
            <w:r>
              <w:rPr>
                <w:rFonts w:ascii="宋体" w:hAnsi="宋体" w:cs="宋体" w:eastAsia="宋体" w:hint="default"/>
                <w:sz w:val="20"/>
                <w:szCs w:val="20"/>
              </w:rPr>
              <w:t>负债合计</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12"/>
              <w:jc w:val="right"/>
              <w:rPr>
                <w:rFonts w:ascii="Arial" w:hAnsi="Arial" w:cs="Arial" w:eastAsia="Arial" w:hint="default"/>
                <w:sz w:val="20"/>
                <w:szCs w:val="20"/>
              </w:rPr>
            </w:pPr>
            <w:r>
              <w:rPr>
                <w:rFonts w:ascii="Arial"/>
                <w:spacing w:val="-2"/>
                <w:sz w:val="20"/>
              </w:rPr>
              <w:t>224,821,990,766</w:t>
            </w:r>
            <w:r>
              <w:rPr>
                <w:rFonts w:ascii="Arial"/>
                <w:sz w:val="20"/>
              </w:rPr>
            </w: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7"/>
              <w:jc w:val="right"/>
              <w:rPr>
                <w:rFonts w:ascii="Arial" w:hAnsi="Arial" w:cs="Arial" w:eastAsia="Arial" w:hint="default"/>
                <w:sz w:val="20"/>
                <w:szCs w:val="20"/>
              </w:rPr>
            </w:pPr>
            <w:r>
              <w:rPr>
                <w:rFonts w:ascii="Arial"/>
                <w:spacing w:val="-2"/>
                <w:sz w:val="20"/>
              </w:rPr>
              <w:t>261,301,904,230</w:t>
            </w:r>
            <w:r>
              <w:rPr>
                <w:rFonts w:ascii="Arial"/>
                <w:sz w:val="20"/>
              </w:rPr>
            </w: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7"/>
              <w:jc w:val="right"/>
              <w:rPr>
                <w:rFonts w:ascii="Arial" w:hAnsi="Arial" w:cs="Arial" w:eastAsia="Arial" w:hint="default"/>
                <w:sz w:val="20"/>
                <w:szCs w:val="20"/>
              </w:rPr>
            </w:pPr>
            <w:r>
              <w:rPr>
                <w:rFonts w:ascii="Arial"/>
                <w:spacing w:val="-2"/>
                <w:sz w:val="20"/>
              </w:rPr>
              <w:t>36,479,913,464</w:t>
            </w:r>
            <w:r>
              <w:rPr>
                <w:rFonts w:ascii="Arial"/>
                <w:sz w:val="20"/>
              </w:rPr>
            </w:r>
          </w:p>
        </w:tc>
      </w:tr>
      <w:tr>
        <w:trPr>
          <w:trHeight w:val="343"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09" w:right="0"/>
              <w:jc w:val="left"/>
              <w:rPr>
                <w:rFonts w:ascii="宋体" w:hAnsi="宋体" w:cs="宋体" w:eastAsia="宋体" w:hint="default"/>
                <w:sz w:val="20"/>
                <w:szCs w:val="20"/>
              </w:rPr>
            </w:pPr>
            <w:r>
              <w:rPr>
                <w:rFonts w:ascii="宋体" w:hAnsi="宋体" w:cs="宋体" w:eastAsia="宋体" w:hint="default"/>
                <w:sz w:val="20"/>
                <w:szCs w:val="20"/>
              </w:rPr>
              <w:t>股东权益</w:t>
            </w:r>
          </w:p>
        </w:tc>
        <w:tc>
          <w:tcPr>
            <w:tcW w:w="2242"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
        </w:tc>
      </w:tr>
      <w:tr>
        <w:trPr>
          <w:trHeight w:val="259"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25" w:lineRule="exact"/>
              <w:ind w:left="411" w:right="0"/>
              <w:jc w:val="left"/>
              <w:rPr>
                <w:rFonts w:ascii="宋体" w:hAnsi="宋体" w:cs="宋体" w:eastAsia="宋体" w:hint="default"/>
                <w:sz w:val="20"/>
                <w:szCs w:val="20"/>
              </w:rPr>
            </w:pPr>
            <w:r>
              <w:rPr>
                <w:rFonts w:ascii="宋体" w:hAnsi="宋体" w:cs="宋体" w:eastAsia="宋体" w:hint="default"/>
                <w:sz w:val="20"/>
                <w:szCs w:val="20"/>
              </w:rPr>
              <w:t>未分配利润</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2"/>
              <w:jc w:val="right"/>
              <w:rPr>
                <w:rFonts w:ascii="Arial" w:hAnsi="Arial" w:cs="Arial" w:eastAsia="Arial" w:hint="default"/>
                <w:sz w:val="20"/>
                <w:szCs w:val="20"/>
              </w:rPr>
            </w:pPr>
            <w:r>
              <w:rPr>
                <w:rFonts w:ascii="Arial"/>
                <w:spacing w:val="-2"/>
                <w:sz w:val="20"/>
              </w:rPr>
              <w:t>33,452,065,245</w:t>
            </w:r>
            <w:r>
              <w:rPr>
                <w:rFonts w:ascii="Arial"/>
                <w:sz w:val="20"/>
              </w:rPr>
            </w: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Arial" w:hAnsi="Arial" w:cs="Arial" w:eastAsia="Arial" w:hint="default"/>
                <w:sz w:val="20"/>
                <w:szCs w:val="20"/>
              </w:rPr>
            </w:pPr>
            <w:r>
              <w:rPr>
                <w:rFonts w:ascii="Arial"/>
                <w:spacing w:val="-2"/>
                <w:sz w:val="20"/>
              </w:rPr>
              <w:t>32,980,122,283</w:t>
            </w:r>
            <w:r>
              <w:rPr>
                <w:rFonts w:ascii="Arial"/>
                <w:sz w:val="20"/>
              </w:rPr>
            </w: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2"/>
              <w:jc w:val="right"/>
              <w:rPr>
                <w:rFonts w:ascii="Arial" w:hAnsi="Arial" w:cs="Arial" w:eastAsia="Arial" w:hint="default"/>
                <w:sz w:val="20"/>
                <w:szCs w:val="20"/>
              </w:rPr>
            </w:pPr>
            <w:r>
              <w:rPr>
                <w:rFonts w:ascii="Arial"/>
                <w:spacing w:val="-2"/>
                <w:sz w:val="20"/>
              </w:rPr>
              <w:t>(471,942,962)</w:t>
            </w:r>
            <w:r>
              <w:rPr>
                <w:rFonts w:ascii="Arial"/>
                <w:sz w:val="20"/>
              </w:rPr>
            </w:r>
          </w:p>
        </w:tc>
      </w:tr>
      <w:tr>
        <w:trPr>
          <w:trHeight w:val="494"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02" w:lineRule="exact"/>
              <w:ind w:left="411" w:right="0"/>
              <w:jc w:val="left"/>
              <w:rPr>
                <w:rFonts w:ascii="宋体" w:hAnsi="宋体" w:cs="宋体" w:eastAsia="宋体" w:hint="default"/>
                <w:sz w:val="20"/>
                <w:szCs w:val="20"/>
              </w:rPr>
            </w:pPr>
            <w:r>
              <w:rPr>
                <w:rFonts w:ascii="宋体" w:hAnsi="宋体" w:cs="宋体" w:eastAsia="宋体" w:hint="default"/>
                <w:sz w:val="20"/>
                <w:szCs w:val="20"/>
              </w:rPr>
              <w:t>归属于母公司股东权益</w:t>
            </w:r>
          </w:p>
          <w:p>
            <w:pPr>
              <w:pStyle w:val="TableParagraph"/>
              <w:spacing w:line="253" w:lineRule="exact"/>
              <w:ind w:left="440"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12"/>
              <w:jc w:val="right"/>
              <w:rPr>
                <w:rFonts w:ascii="Arial" w:hAnsi="Arial" w:cs="Arial" w:eastAsia="Arial" w:hint="default"/>
                <w:sz w:val="20"/>
                <w:szCs w:val="20"/>
              </w:rPr>
            </w:pPr>
            <w:r>
              <w:rPr>
                <w:rFonts w:ascii="Arial"/>
                <w:spacing w:val="-2"/>
                <w:sz w:val="20"/>
              </w:rPr>
              <w:t>140,144,361,690</w:t>
            </w:r>
            <w:r>
              <w:rPr>
                <w:rFonts w:ascii="Arial"/>
                <w:sz w:val="20"/>
              </w:rPr>
            </w: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07"/>
              <w:jc w:val="right"/>
              <w:rPr>
                <w:rFonts w:ascii="Arial" w:hAnsi="Arial" w:cs="Arial" w:eastAsia="Arial" w:hint="default"/>
                <w:sz w:val="20"/>
                <w:szCs w:val="20"/>
              </w:rPr>
            </w:pPr>
            <w:r>
              <w:rPr>
                <w:rFonts w:ascii="Arial"/>
                <w:spacing w:val="-2"/>
                <w:sz w:val="20"/>
              </w:rPr>
              <w:t>139,672,418,728</w:t>
            </w:r>
            <w:r>
              <w:rPr>
                <w:rFonts w:ascii="Arial"/>
                <w:sz w:val="20"/>
              </w:rPr>
            </w: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42"/>
              <w:jc w:val="right"/>
              <w:rPr>
                <w:rFonts w:ascii="Arial" w:hAnsi="Arial" w:cs="Arial" w:eastAsia="Arial" w:hint="default"/>
                <w:sz w:val="20"/>
                <w:szCs w:val="20"/>
              </w:rPr>
            </w:pPr>
            <w:r>
              <w:rPr>
                <w:rFonts w:ascii="Arial"/>
                <w:spacing w:val="-2"/>
                <w:sz w:val="20"/>
              </w:rPr>
              <w:t>(471,942,962)</w:t>
            </w:r>
            <w:r>
              <w:rPr>
                <w:rFonts w:ascii="Arial"/>
                <w:sz w:val="20"/>
              </w:rPr>
            </w:r>
          </w:p>
        </w:tc>
      </w:tr>
      <w:tr>
        <w:trPr>
          <w:trHeight w:val="355"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11" w:lineRule="exact"/>
              <w:ind w:left="411" w:right="0"/>
              <w:jc w:val="left"/>
              <w:rPr>
                <w:rFonts w:ascii="宋体" w:hAnsi="宋体" w:cs="宋体" w:eastAsia="宋体" w:hint="default"/>
                <w:sz w:val="20"/>
                <w:szCs w:val="20"/>
              </w:rPr>
            </w:pPr>
            <w:r>
              <w:rPr>
                <w:rFonts w:ascii="宋体" w:hAnsi="宋体" w:cs="宋体" w:eastAsia="宋体" w:hint="default"/>
                <w:sz w:val="20"/>
                <w:szCs w:val="20"/>
              </w:rPr>
              <w:t>少数股东权益</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12"/>
              <w:jc w:val="right"/>
              <w:rPr>
                <w:rFonts w:ascii="Arial" w:hAnsi="Arial" w:cs="Arial" w:eastAsia="Arial" w:hint="default"/>
                <w:sz w:val="20"/>
                <w:szCs w:val="20"/>
              </w:rPr>
            </w:pPr>
            <w:r>
              <w:rPr>
                <w:rFonts w:ascii="Arial"/>
                <w:spacing w:val="-2"/>
                <w:sz w:val="20"/>
              </w:rPr>
              <w:t>176,795,931,528</w:t>
            </w:r>
            <w:r>
              <w:rPr>
                <w:rFonts w:ascii="Arial"/>
                <w:sz w:val="20"/>
              </w:rPr>
            </w: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7"/>
              <w:jc w:val="right"/>
              <w:rPr>
                <w:rFonts w:ascii="Arial" w:hAnsi="Arial" w:cs="Arial" w:eastAsia="Arial" w:hint="default"/>
                <w:sz w:val="20"/>
                <w:szCs w:val="20"/>
              </w:rPr>
            </w:pPr>
            <w:r>
              <w:rPr>
                <w:rFonts w:ascii="Arial"/>
                <w:spacing w:val="-2"/>
                <w:sz w:val="20"/>
              </w:rPr>
              <w:t>176,193,756,765</w:t>
            </w:r>
            <w:r>
              <w:rPr>
                <w:rFonts w:ascii="Arial"/>
                <w:sz w:val="20"/>
              </w:rPr>
            </w: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2"/>
              <w:jc w:val="right"/>
              <w:rPr>
                <w:rFonts w:ascii="Arial" w:hAnsi="Arial" w:cs="Arial" w:eastAsia="Arial" w:hint="default"/>
                <w:sz w:val="20"/>
                <w:szCs w:val="20"/>
              </w:rPr>
            </w:pPr>
            <w:r>
              <w:rPr>
                <w:rFonts w:ascii="Arial"/>
                <w:spacing w:val="-2"/>
                <w:sz w:val="20"/>
              </w:rPr>
              <w:t>(602,174,763)</w:t>
            </w:r>
            <w:r>
              <w:rPr>
                <w:rFonts w:ascii="Arial"/>
                <w:sz w:val="20"/>
              </w:rPr>
            </w:r>
          </w:p>
        </w:tc>
      </w:tr>
      <w:tr>
        <w:trPr>
          <w:trHeight w:val="463"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09" w:right="0"/>
              <w:jc w:val="left"/>
              <w:rPr>
                <w:rFonts w:ascii="宋体" w:hAnsi="宋体" w:cs="宋体" w:eastAsia="宋体" w:hint="default"/>
                <w:sz w:val="20"/>
                <w:szCs w:val="20"/>
              </w:rPr>
            </w:pPr>
            <w:r>
              <w:rPr>
                <w:rFonts w:ascii="宋体" w:hAnsi="宋体" w:cs="宋体" w:eastAsia="宋体" w:hint="default"/>
                <w:sz w:val="20"/>
                <w:szCs w:val="20"/>
              </w:rPr>
              <w:t>股东权益合计</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12"/>
              <w:jc w:val="right"/>
              <w:rPr>
                <w:rFonts w:ascii="Arial" w:hAnsi="Arial" w:cs="Arial" w:eastAsia="Arial" w:hint="default"/>
                <w:sz w:val="20"/>
                <w:szCs w:val="20"/>
              </w:rPr>
            </w:pPr>
            <w:r>
              <w:rPr>
                <w:rFonts w:ascii="Arial"/>
                <w:spacing w:val="-2"/>
                <w:sz w:val="20"/>
              </w:rPr>
              <w:t>316,940,293,218</w:t>
            </w:r>
            <w:r>
              <w:rPr>
                <w:rFonts w:ascii="Arial"/>
                <w:sz w:val="20"/>
              </w:rPr>
            </w: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7"/>
              <w:jc w:val="right"/>
              <w:rPr>
                <w:rFonts w:ascii="Arial" w:hAnsi="Arial" w:cs="Arial" w:eastAsia="Arial" w:hint="default"/>
                <w:sz w:val="20"/>
                <w:szCs w:val="20"/>
              </w:rPr>
            </w:pPr>
            <w:r>
              <w:rPr>
                <w:rFonts w:ascii="Arial"/>
                <w:spacing w:val="-2"/>
                <w:sz w:val="20"/>
              </w:rPr>
              <w:t>315,866,175,493</w:t>
            </w:r>
            <w:r>
              <w:rPr>
                <w:rFonts w:ascii="Arial"/>
                <w:sz w:val="20"/>
              </w:rPr>
            </w: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42"/>
              <w:jc w:val="right"/>
              <w:rPr>
                <w:rFonts w:ascii="Arial" w:hAnsi="Arial" w:cs="Arial" w:eastAsia="Arial" w:hint="default"/>
                <w:sz w:val="20"/>
                <w:szCs w:val="20"/>
              </w:rPr>
            </w:pPr>
            <w:r>
              <w:rPr>
                <w:rFonts w:ascii="Arial"/>
                <w:spacing w:val="-2"/>
                <w:sz w:val="20"/>
              </w:rPr>
              <w:t>(1,074,117,725)</w:t>
            </w:r>
            <w:r>
              <w:rPr>
                <w:rFonts w:ascii="Arial"/>
                <w:sz w:val="20"/>
              </w:rPr>
            </w:r>
          </w:p>
        </w:tc>
      </w:tr>
      <w:tr>
        <w:trPr>
          <w:trHeight w:val="348"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09" w:right="0"/>
              <w:jc w:val="left"/>
              <w:rPr>
                <w:rFonts w:ascii="宋体" w:hAnsi="宋体" w:cs="宋体" w:eastAsia="宋体" w:hint="default"/>
                <w:sz w:val="20"/>
                <w:szCs w:val="20"/>
              </w:rPr>
            </w:pPr>
            <w:r>
              <w:rPr>
                <w:rFonts w:ascii="宋体" w:hAnsi="宋体" w:cs="宋体" w:eastAsia="宋体" w:hint="default"/>
                <w:sz w:val="20"/>
                <w:szCs w:val="20"/>
              </w:rPr>
              <w:t>负债和股东权益总计</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12"/>
              <w:jc w:val="right"/>
              <w:rPr>
                <w:rFonts w:ascii="Arial" w:hAnsi="Arial" w:cs="Arial" w:eastAsia="Arial" w:hint="default"/>
                <w:sz w:val="20"/>
                <w:szCs w:val="20"/>
              </w:rPr>
            </w:pPr>
            <w:r>
              <w:rPr>
                <w:rFonts w:ascii="Arial"/>
                <w:spacing w:val="-2"/>
                <w:sz w:val="20"/>
              </w:rPr>
              <w:t>541,762,283,984</w:t>
            </w:r>
            <w:r>
              <w:rPr>
                <w:rFonts w:ascii="Arial"/>
                <w:sz w:val="20"/>
              </w:rPr>
            </w:r>
          </w:p>
        </w:tc>
        <w:tc>
          <w:tcPr>
            <w:tcW w:w="235"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7"/>
              <w:jc w:val="right"/>
              <w:rPr>
                <w:rFonts w:ascii="Arial" w:hAnsi="Arial" w:cs="Arial" w:eastAsia="Arial" w:hint="default"/>
                <w:sz w:val="20"/>
                <w:szCs w:val="20"/>
              </w:rPr>
            </w:pPr>
            <w:r>
              <w:rPr>
                <w:rFonts w:ascii="Arial"/>
                <w:spacing w:val="-2"/>
                <w:sz w:val="20"/>
              </w:rPr>
              <w:t>577,168,079,723</w:t>
            </w:r>
            <w:r>
              <w:rPr>
                <w:rFonts w:ascii="Arial"/>
                <w:sz w:val="20"/>
              </w:rPr>
            </w:r>
          </w:p>
        </w:tc>
        <w:tc>
          <w:tcPr>
            <w:tcW w:w="250"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7"/>
              <w:jc w:val="right"/>
              <w:rPr>
                <w:rFonts w:ascii="Arial" w:hAnsi="Arial" w:cs="Arial" w:eastAsia="Arial" w:hint="default"/>
                <w:sz w:val="20"/>
                <w:szCs w:val="20"/>
              </w:rPr>
            </w:pPr>
            <w:r>
              <w:rPr>
                <w:rFonts w:ascii="Arial"/>
                <w:spacing w:val="-2"/>
                <w:sz w:val="20"/>
              </w:rPr>
              <w:t>35,405,795,739</w:t>
            </w:r>
            <w:r>
              <w:rPr>
                <w:rFonts w:ascii="Arial"/>
                <w:sz w:val="20"/>
              </w:rPr>
            </w:r>
          </w:p>
        </w:tc>
      </w:tr>
    </w:tbl>
    <w:p>
      <w:pPr>
        <w:spacing w:after="0" w:line="240" w:lineRule="auto"/>
        <w:jc w:val="right"/>
        <w:rPr>
          <w:rFonts w:ascii="Arial" w:hAnsi="Arial" w:cs="Arial" w:eastAsia="Arial" w:hint="default"/>
          <w:sz w:val="20"/>
          <w:szCs w:val="20"/>
        </w:rPr>
        <w:sectPr>
          <w:pgSz w:w="11910" w:h="16840"/>
          <w:pgMar w:header="842" w:footer="502" w:top="4320" w:bottom="700" w:left="860" w:right="920"/>
        </w:sectPr>
      </w:pPr>
    </w:p>
    <w:p>
      <w:pPr>
        <w:spacing w:line="240" w:lineRule="auto" w:before="10"/>
        <w:rPr>
          <w:rFonts w:ascii="宋体" w:hAnsi="宋体" w:cs="宋体" w:eastAsia="宋体" w:hint="default"/>
          <w:sz w:val="15"/>
          <w:szCs w:val="15"/>
        </w:rPr>
      </w:pPr>
    </w:p>
    <w:p>
      <w:pPr>
        <w:pStyle w:val="BodyText"/>
        <w:spacing w:line="232" w:lineRule="auto" w:before="40"/>
        <w:ind w:left="483" w:right="210"/>
        <w:jc w:val="both"/>
      </w:pPr>
      <w:r>
        <w:rPr>
          <w:spacing w:val="-1"/>
        </w:rPr>
        <w:t>于</w:t>
      </w:r>
      <w:r>
        <w:rPr>
          <w:rFonts w:ascii="Arial" w:hAnsi="Arial" w:cs="Arial" w:eastAsia="Arial" w:hint="default"/>
          <w:spacing w:val="-1"/>
        </w:rPr>
        <w:t>2019</w:t>
      </w:r>
      <w:r>
        <w:rPr>
          <w:spacing w:val="-1"/>
        </w:rPr>
        <w:t>年</w:t>
      </w:r>
      <w:r>
        <w:rPr>
          <w:rFonts w:ascii="Arial" w:hAnsi="Arial" w:cs="Arial" w:eastAsia="Arial" w:hint="default"/>
          <w:spacing w:val="-1"/>
        </w:rPr>
        <w:t>1</w:t>
      </w:r>
      <w:r>
        <w:rPr>
          <w:spacing w:val="-1"/>
        </w:rPr>
        <w:t>月</w:t>
      </w:r>
      <w:r>
        <w:rPr>
          <w:rFonts w:ascii="Arial" w:hAnsi="Arial" w:cs="Arial" w:eastAsia="Arial" w:hint="default"/>
          <w:spacing w:val="-1"/>
        </w:rPr>
        <w:t>1</w:t>
      </w:r>
      <w:r>
        <w:rPr>
          <w:spacing w:val="-1"/>
        </w:rPr>
        <w:t>日初始确认使用权资产及租赁负债后，本集团（作为承租人）须确认租赁负债在租赁</w:t>
      </w:r>
      <w:r>
        <w:rPr>
          <w:spacing w:val="-68"/>
        </w:rPr>
        <w:t> </w:t>
      </w:r>
      <w:r>
        <w:rPr>
          <w:spacing w:val="-68"/>
        </w:rPr>
      </w:r>
      <w:r>
        <w:rPr/>
        <w:t>期内各期间的利息费用，并计提使用权资产的折旧，而非过往以直线法为基准确认租赁期内经营租</w:t>
      </w:r>
      <w:r>
        <w:rPr>
          <w:spacing w:val="-52"/>
        </w:rPr>
        <w:t> </w:t>
      </w:r>
      <w:r>
        <w:rPr>
          <w:spacing w:val="-52"/>
        </w:rPr>
      </w:r>
      <w:r>
        <w:rPr/>
        <w:t>赁产生的租赁费用。倘若与本年度仍采用原租赁准则所得的经营成果相比，此对本集团合并利润表</w:t>
      </w:r>
      <w:r>
        <w:rPr>
          <w:spacing w:val="-52"/>
        </w:rPr>
        <w:t> </w:t>
      </w:r>
      <w:r>
        <w:rPr>
          <w:spacing w:val="-52"/>
        </w:rPr>
      </w:r>
      <w:r>
        <w:rPr/>
        <w:t>中净利润产生负面影响。</w:t>
      </w:r>
    </w:p>
    <w:p>
      <w:pPr>
        <w:spacing w:line="240" w:lineRule="auto" w:before="10"/>
        <w:rPr>
          <w:rFonts w:ascii="宋体" w:hAnsi="宋体" w:cs="宋体" w:eastAsia="宋体" w:hint="default"/>
          <w:sz w:val="21"/>
          <w:szCs w:val="21"/>
        </w:rPr>
      </w:pPr>
    </w:p>
    <w:p>
      <w:pPr>
        <w:pStyle w:val="BodyText"/>
        <w:spacing w:line="284" w:lineRule="exact"/>
        <w:ind w:left="483" w:right="215"/>
        <w:jc w:val="both"/>
      </w:pPr>
      <w:r>
        <w:rPr>
          <w:spacing w:val="-5"/>
        </w:rPr>
        <w:t>在现金流量表中，本集团（作为承租人）需将偿还租赁负债本金和利息所支付的现金应当计入筹资活</w:t>
      </w:r>
      <w:r>
        <w:rPr>
          <w:spacing w:val="-44"/>
        </w:rPr>
        <w:t> </w:t>
      </w:r>
      <w:r>
        <w:rPr>
          <w:spacing w:val="-44"/>
        </w:rPr>
      </w:r>
      <w:r>
        <w:rPr/>
        <w:t>动的现金流出，而不是将原租赁准则经营租赁支付的现金划分归类为经营活动的现金流出。尽管现</w:t>
      </w:r>
      <w:r>
        <w:rPr>
          <w:spacing w:val="-52"/>
        </w:rPr>
        <w:t> </w:t>
      </w:r>
      <w:r>
        <w:rPr>
          <w:spacing w:val="-52"/>
        </w:rPr>
      </w:r>
      <w:r>
        <w:rPr/>
        <w:t>金流量总额未受影响，采用新租赁准则将导致合并现金流量表内现金流量的列报出现了重大变化。</w:t>
      </w:r>
    </w:p>
    <w:p>
      <w:pPr>
        <w:spacing w:line="240" w:lineRule="auto" w:before="10"/>
        <w:rPr>
          <w:rFonts w:ascii="宋体" w:hAnsi="宋体" w:cs="宋体" w:eastAsia="宋体" w:hint="default"/>
          <w:sz w:val="19"/>
          <w:szCs w:val="19"/>
        </w:rPr>
      </w:pPr>
    </w:p>
    <w:p>
      <w:pPr>
        <w:pStyle w:val="BodyText"/>
        <w:spacing w:line="284" w:lineRule="exact"/>
        <w:ind w:left="483" w:right="109"/>
        <w:jc w:val="both"/>
      </w:pPr>
      <w:r>
        <w:rPr/>
        <w:t>下表载列了因采用新租赁准则对本集团的</w:t>
      </w:r>
      <w:r>
        <w:rPr>
          <w:rFonts w:ascii="Arial" w:hAnsi="Arial" w:cs="Arial" w:eastAsia="Arial" w:hint="default"/>
        </w:rPr>
        <w:t>2019</w:t>
      </w:r>
      <w:r>
        <w:rPr/>
        <w:t>年度经营成果和现金流量的估算影响。以合并财务报</w:t>
      </w:r>
      <w:r>
        <w:rPr>
          <w:spacing w:val="-93"/>
        </w:rPr>
        <w:t> </w:t>
      </w:r>
      <w:r>
        <w:rPr>
          <w:spacing w:val="-93"/>
        </w:rPr>
      </w:r>
      <w:r>
        <w:rPr/>
        <w:t>表中采用新租赁准则所呈报的金额为基础进行调整，推算出假设原租赁准则于</w:t>
      </w:r>
      <w:r>
        <w:rPr>
          <w:rFonts w:ascii="Arial" w:hAnsi="Arial" w:cs="Arial" w:eastAsia="Arial" w:hint="default"/>
        </w:rPr>
        <w:t>2019</w:t>
      </w:r>
      <w:r>
        <w:rPr/>
        <w:t>年仍继续适用的</w:t>
      </w:r>
      <w:r>
        <w:rPr>
          <w:spacing w:val="-93"/>
        </w:rPr>
        <w:t> </w:t>
      </w:r>
      <w:r>
        <w:rPr>
          <w:spacing w:val="-93"/>
        </w:rPr>
      </w:r>
      <w:r>
        <w:rPr/>
        <w:t>模拟报表金额，并将该</w:t>
      </w:r>
      <w:r>
        <w:rPr>
          <w:rFonts w:ascii="Arial" w:hAnsi="Arial" w:cs="Arial" w:eastAsia="Arial" w:hint="default"/>
        </w:rPr>
        <w:t>2019</w:t>
      </w:r>
      <w:r>
        <w:rPr/>
        <w:t>年的模拟金额与根据原租赁准则列报的</w:t>
      </w:r>
      <w:r>
        <w:rPr>
          <w:rFonts w:ascii="Arial" w:hAnsi="Arial" w:cs="Arial" w:eastAsia="Arial" w:hint="default"/>
        </w:rPr>
        <w:t>2018</w:t>
      </w:r>
      <w:r>
        <w:rPr/>
        <w:t>年实际相应金额进行比较。</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tbl>
      <w:tblPr>
        <w:tblW w:w="0" w:type="auto"/>
        <w:jc w:val="left"/>
        <w:tblInd w:w="288" w:type="dxa"/>
        <w:tblLayout w:type="fixed"/>
        <w:tblCellMar>
          <w:top w:w="0" w:type="dxa"/>
          <w:left w:w="0" w:type="dxa"/>
          <w:bottom w:w="0" w:type="dxa"/>
          <w:right w:w="0" w:type="dxa"/>
        </w:tblCellMar>
        <w:tblLook w:val="01E0"/>
      </w:tblPr>
      <w:tblGrid>
        <w:gridCol w:w="1597"/>
        <w:gridCol w:w="1601"/>
        <w:gridCol w:w="1678"/>
        <w:gridCol w:w="1562"/>
        <w:gridCol w:w="1658"/>
        <w:gridCol w:w="1589"/>
      </w:tblGrid>
      <w:tr>
        <w:trPr>
          <w:trHeight w:val="214" w:hRule="exact"/>
        </w:trPr>
        <w:tc>
          <w:tcPr>
            <w:tcW w:w="1597" w:type="dxa"/>
            <w:tcBorders>
              <w:top w:val="nil" w:sz="6" w:space="0" w:color="auto"/>
              <w:left w:val="nil" w:sz="6" w:space="0" w:color="auto"/>
              <w:bottom w:val="nil" w:sz="6" w:space="0" w:color="auto"/>
              <w:right w:val="nil" w:sz="6" w:space="0" w:color="auto"/>
            </w:tcBorders>
          </w:tcPr>
          <w:p>
            <w:pPr>
              <w:pStyle w:val="TableParagraph"/>
              <w:spacing w:line="182" w:lineRule="exact"/>
              <w:ind w:right="249"/>
              <w:jc w:val="center"/>
              <w:rPr>
                <w:rFonts w:ascii="宋体" w:hAnsi="宋体" w:cs="宋体" w:eastAsia="宋体" w:hint="default"/>
                <w:sz w:val="18"/>
                <w:szCs w:val="18"/>
              </w:rPr>
            </w:pPr>
            <w:r>
              <w:rPr>
                <w:rFonts w:ascii="宋体"/>
                <w:w w:val="101"/>
                <w:sz w:val="18"/>
              </w:rPr>
              <w:t> </w:t>
            </w:r>
            <w:r>
              <w:rPr>
                <w:rFonts w:ascii="宋体"/>
                <w:sz w:val="18"/>
              </w:rPr>
            </w:r>
          </w:p>
        </w:tc>
        <w:tc>
          <w:tcPr>
            <w:tcW w:w="1601" w:type="dxa"/>
            <w:tcBorders>
              <w:top w:val="nil" w:sz="6" w:space="0" w:color="auto"/>
              <w:left w:val="nil" w:sz="6" w:space="0" w:color="auto"/>
              <w:bottom w:val="single" w:sz="4" w:space="0" w:color="000000"/>
              <w:right w:val="nil" w:sz="6" w:space="0" w:color="auto"/>
            </w:tcBorders>
          </w:tcPr>
          <w:p>
            <w:pPr/>
          </w:p>
        </w:tc>
        <w:tc>
          <w:tcPr>
            <w:tcW w:w="3240" w:type="dxa"/>
            <w:gridSpan w:val="2"/>
            <w:tcBorders>
              <w:top w:val="nil" w:sz="6" w:space="0" w:color="auto"/>
              <w:left w:val="nil" w:sz="6" w:space="0" w:color="auto"/>
              <w:bottom w:val="single" w:sz="4" w:space="0" w:color="000000"/>
              <w:right w:val="nil" w:sz="6" w:space="0" w:color="auto"/>
            </w:tcBorders>
          </w:tcPr>
          <w:p>
            <w:pPr>
              <w:pStyle w:val="TableParagraph"/>
              <w:spacing w:line="195" w:lineRule="exact"/>
              <w:ind w:left="1523" w:right="0"/>
              <w:jc w:val="left"/>
              <w:rPr>
                <w:rFonts w:ascii="宋体" w:hAnsi="宋体" w:cs="宋体" w:eastAsia="宋体" w:hint="default"/>
                <w:sz w:val="18"/>
                <w:szCs w:val="18"/>
              </w:rPr>
            </w:pPr>
            <w:r>
              <w:rPr>
                <w:rFonts w:ascii="Arial" w:hAnsi="Arial" w:cs="Arial" w:eastAsia="Arial" w:hint="default"/>
                <w:sz w:val="18"/>
                <w:szCs w:val="18"/>
              </w:rPr>
              <w:t>2019</w:t>
            </w:r>
            <w:r>
              <w:rPr>
                <w:rFonts w:ascii="Arial" w:hAnsi="Arial" w:cs="Arial" w:eastAsia="Arial" w:hint="default"/>
                <w:spacing w:val="-4"/>
                <w:sz w:val="18"/>
                <w:szCs w:val="18"/>
              </w:rPr>
              <w:t> </w:t>
            </w:r>
            <w:r>
              <w:rPr>
                <w:rFonts w:ascii="宋体" w:hAnsi="宋体" w:cs="宋体" w:eastAsia="宋体" w:hint="default"/>
                <w:spacing w:val="-5"/>
                <w:sz w:val="18"/>
                <w:szCs w:val="18"/>
              </w:rPr>
              <w:t>年</w:t>
            </w:r>
            <w:r>
              <w:rPr>
                <w:rFonts w:ascii="宋体" w:hAnsi="宋体" w:cs="宋体" w:eastAsia="宋体" w:hint="default"/>
                <w:sz w:val="18"/>
                <w:szCs w:val="18"/>
              </w:rPr>
              <w:t> </w:t>
            </w:r>
          </w:p>
        </w:tc>
        <w:tc>
          <w:tcPr>
            <w:tcW w:w="1658" w:type="dxa"/>
            <w:tcBorders>
              <w:top w:val="nil" w:sz="6" w:space="0" w:color="auto"/>
              <w:left w:val="nil" w:sz="6" w:space="0" w:color="auto"/>
              <w:bottom w:val="single" w:sz="4" w:space="0" w:color="000000"/>
              <w:right w:val="nil" w:sz="6" w:space="0" w:color="auto"/>
            </w:tcBorders>
          </w:tcPr>
          <w:p>
            <w:pPr/>
          </w:p>
        </w:tc>
        <w:tc>
          <w:tcPr>
            <w:tcW w:w="1589" w:type="dxa"/>
            <w:tcBorders>
              <w:top w:val="nil" w:sz="6" w:space="0" w:color="auto"/>
              <w:left w:val="nil" w:sz="6" w:space="0" w:color="auto"/>
              <w:bottom w:val="single" w:sz="4" w:space="0" w:color="000000"/>
              <w:right w:val="nil" w:sz="6" w:space="0" w:color="auto"/>
            </w:tcBorders>
          </w:tcPr>
          <w:p>
            <w:pPr>
              <w:pStyle w:val="TableParagraph"/>
              <w:spacing w:line="195" w:lineRule="exact"/>
              <w:ind w:left="556" w:right="0"/>
              <w:jc w:val="left"/>
              <w:rPr>
                <w:rFonts w:ascii="宋体" w:hAnsi="宋体" w:cs="宋体" w:eastAsia="宋体" w:hint="default"/>
                <w:sz w:val="18"/>
                <w:szCs w:val="18"/>
              </w:rPr>
            </w:pPr>
            <w:r>
              <w:rPr>
                <w:rFonts w:ascii="Arial" w:hAnsi="Arial" w:cs="Arial" w:eastAsia="Arial" w:hint="default"/>
                <w:sz w:val="18"/>
                <w:szCs w:val="18"/>
              </w:rPr>
              <w:t>2018</w:t>
            </w:r>
            <w:r>
              <w:rPr>
                <w:rFonts w:ascii="Arial" w:hAnsi="Arial" w:cs="Arial" w:eastAsia="Arial" w:hint="default"/>
                <w:spacing w:val="-4"/>
                <w:sz w:val="18"/>
                <w:szCs w:val="18"/>
              </w:rPr>
              <w:t> </w:t>
            </w:r>
            <w:r>
              <w:rPr>
                <w:rFonts w:ascii="宋体" w:hAnsi="宋体" w:cs="宋体" w:eastAsia="宋体" w:hint="default"/>
                <w:spacing w:val="-5"/>
                <w:sz w:val="18"/>
                <w:szCs w:val="18"/>
              </w:rPr>
              <w:t>年</w:t>
            </w:r>
            <w:r>
              <w:rPr>
                <w:rFonts w:ascii="宋体" w:hAnsi="宋体" w:cs="宋体" w:eastAsia="宋体" w:hint="default"/>
                <w:sz w:val="18"/>
                <w:szCs w:val="18"/>
              </w:rPr>
              <w:t> </w:t>
            </w:r>
          </w:p>
        </w:tc>
      </w:tr>
      <w:tr>
        <w:trPr>
          <w:trHeight w:val="1147" w:hRule="exact"/>
        </w:trPr>
        <w:tc>
          <w:tcPr>
            <w:tcW w:w="1597" w:type="dxa"/>
            <w:tcBorders>
              <w:top w:val="nil" w:sz="6" w:space="0" w:color="auto"/>
              <w:left w:val="nil" w:sz="6" w:space="0" w:color="auto"/>
              <w:bottom w:val="nil" w:sz="6" w:space="0" w:color="auto"/>
              <w:right w:val="nil" w:sz="6" w:space="0" w:color="auto"/>
            </w:tcBorders>
          </w:tcPr>
          <w:p>
            <w:pPr/>
          </w:p>
        </w:tc>
        <w:tc>
          <w:tcPr>
            <w:tcW w:w="1601"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7"/>
                <w:szCs w:val="17"/>
              </w:rPr>
            </w:pPr>
          </w:p>
          <w:p>
            <w:pPr>
              <w:pStyle w:val="TableParagraph"/>
              <w:spacing w:line="230" w:lineRule="exact"/>
              <w:ind w:left="335" w:right="183" w:hanging="92"/>
              <w:jc w:val="left"/>
              <w:rPr>
                <w:rFonts w:ascii="宋体" w:hAnsi="宋体" w:cs="宋体" w:eastAsia="宋体" w:hint="default"/>
                <w:sz w:val="18"/>
                <w:szCs w:val="18"/>
              </w:rPr>
            </w:pPr>
            <w:r>
              <w:rPr>
                <w:rFonts w:ascii="宋体" w:hAnsi="宋体" w:cs="宋体" w:eastAsia="宋体" w:hint="default"/>
                <w:spacing w:val="-3"/>
                <w:sz w:val="18"/>
                <w:szCs w:val="18"/>
              </w:rPr>
              <w:t>新租赁准则下</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3"/>
                <w:sz w:val="18"/>
                <w:szCs w:val="18"/>
              </w:rPr>
              <w:t>列报的金额</w:t>
            </w:r>
            <w:r>
              <w:rPr>
                <w:rFonts w:ascii="宋体" w:hAnsi="宋体" w:cs="宋体" w:eastAsia="宋体" w:hint="default"/>
                <w:sz w:val="18"/>
                <w:szCs w:val="18"/>
              </w:rPr>
              <w:t> </w:t>
            </w:r>
          </w:p>
          <w:p>
            <w:pPr>
              <w:pStyle w:val="TableParagraph"/>
              <w:tabs>
                <w:tab w:pos="667" w:val="left" w:leader="none"/>
                <w:tab w:pos="2332" w:val="left" w:leader="none"/>
              </w:tabs>
              <w:spacing w:line="240" w:lineRule="auto" w:before="6"/>
              <w:ind w:right="-732"/>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t>(A)</w:t>
              <w:tab/>
            </w:r>
            <w:r>
              <w:rPr>
                <w:rFonts w:ascii="Arial"/>
                <w:sz w:val="18"/>
              </w:rPr>
            </w:r>
          </w:p>
        </w:tc>
        <w:tc>
          <w:tcPr>
            <w:tcW w:w="1678"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37" w:lineRule="auto"/>
              <w:ind w:left="21" w:right="36" w:firstLine="643"/>
              <w:jc w:val="left"/>
              <w:rPr>
                <w:rFonts w:ascii="宋体" w:hAnsi="宋体" w:cs="宋体" w:eastAsia="宋体" w:hint="default"/>
                <w:sz w:val="18"/>
                <w:szCs w:val="18"/>
              </w:rPr>
            </w:pPr>
            <w:r>
              <w:rPr>
                <w:rFonts w:ascii="宋体" w:hAnsi="宋体" w:cs="宋体" w:eastAsia="宋体" w:hint="default"/>
                <w:spacing w:val="-4"/>
                <w:sz w:val="18"/>
                <w:szCs w:val="18"/>
              </w:rPr>
              <w:t>加回：</w:t>
            </w:r>
            <w:r>
              <w:rPr>
                <w:rFonts w:ascii="宋体" w:hAnsi="宋体" w:cs="宋体" w:eastAsia="宋体" w:hint="default"/>
                <w:w w:val="101"/>
                <w:sz w:val="18"/>
                <w:szCs w:val="18"/>
              </w:rPr>
              <w:t> </w:t>
            </w:r>
            <w:r>
              <w:rPr>
                <w:rFonts w:ascii="宋体" w:hAnsi="宋体" w:cs="宋体" w:eastAsia="宋体" w:hint="default"/>
                <w:spacing w:val="-3"/>
                <w:sz w:val="18"/>
                <w:szCs w:val="18"/>
              </w:rPr>
              <w:t>根据新租赁准则计提</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3"/>
                <w:sz w:val="18"/>
                <w:szCs w:val="18"/>
              </w:rPr>
              <w:t>的折旧和利息支出</w:t>
            </w:r>
            <w:r>
              <w:rPr>
                <w:rFonts w:ascii="宋体" w:hAnsi="宋体" w:cs="宋体" w:eastAsia="宋体" w:hint="default"/>
                <w:sz w:val="18"/>
                <w:szCs w:val="18"/>
              </w:rPr>
              <w:t> </w:t>
            </w:r>
          </w:p>
          <w:p>
            <w:pPr>
              <w:pStyle w:val="TableParagraph"/>
              <w:tabs>
                <w:tab w:pos="1648" w:val="left" w:leader="none"/>
              </w:tabs>
              <w:spacing w:line="240" w:lineRule="auto" w:before="27"/>
              <w:ind w:left="731" w:right="0"/>
              <w:jc w:val="left"/>
              <w:rPr>
                <w:rFonts w:ascii="宋体" w:hAnsi="宋体" w:cs="宋体" w:eastAsia="宋体" w:hint="default"/>
                <w:sz w:val="18"/>
                <w:szCs w:val="18"/>
              </w:rPr>
            </w:pPr>
            <w:r>
              <w:rPr>
                <w:rFonts w:ascii="Arial"/>
                <w:w w:val="101"/>
                <w:sz w:val="18"/>
              </w:rPr>
            </w:r>
            <w:r>
              <w:rPr>
                <w:rFonts w:ascii="Arial"/>
                <w:sz w:val="18"/>
                <w:u w:val="single" w:color="000000"/>
              </w:rPr>
              <w:t>(B)</w:t>
            </w:r>
            <w:r>
              <w:rPr>
                <w:rFonts w:ascii="宋体"/>
                <w:sz w:val="18"/>
                <w:u w:val="single" w:color="000000"/>
              </w:rPr>
              <w:t> </w:t>
              <w:tab/>
            </w:r>
            <w:r>
              <w:rPr>
                <w:rFonts w:ascii="宋体"/>
                <w:sz w:val="18"/>
              </w:rPr>
            </w:r>
          </w:p>
        </w:tc>
        <w:tc>
          <w:tcPr>
            <w:tcW w:w="1562" w:type="dxa"/>
            <w:tcBorders>
              <w:top w:val="single" w:sz="4" w:space="0" w:color="000000"/>
              <w:left w:val="nil" w:sz="6" w:space="0" w:color="auto"/>
              <w:bottom w:val="nil" w:sz="6" w:space="0" w:color="auto"/>
              <w:right w:val="nil" w:sz="6" w:space="0" w:color="auto"/>
            </w:tcBorders>
          </w:tcPr>
          <w:p>
            <w:pPr>
              <w:pStyle w:val="TableParagraph"/>
              <w:spacing w:line="203" w:lineRule="exact"/>
              <w:ind w:left="595" w:right="0"/>
              <w:jc w:val="left"/>
              <w:rPr>
                <w:rFonts w:ascii="宋体" w:hAnsi="宋体" w:cs="宋体" w:eastAsia="宋体" w:hint="default"/>
                <w:sz w:val="18"/>
                <w:szCs w:val="18"/>
              </w:rPr>
            </w:pPr>
            <w:r>
              <w:rPr>
                <w:rFonts w:ascii="宋体" w:hAnsi="宋体" w:cs="宋体" w:eastAsia="宋体" w:hint="default"/>
                <w:spacing w:val="-4"/>
                <w:sz w:val="18"/>
                <w:szCs w:val="18"/>
              </w:rPr>
              <w:t>扣除：</w:t>
            </w:r>
            <w:r>
              <w:rPr>
                <w:rFonts w:ascii="宋体" w:hAnsi="宋体" w:cs="宋体" w:eastAsia="宋体" w:hint="default"/>
                <w:sz w:val="18"/>
                <w:szCs w:val="18"/>
              </w:rPr>
            </w:r>
          </w:p>
          <w:p>
            <w:pPr>
              <w:pStyle w:val="TableParagraph"/>
              <w:spacing w:line="237" w:lineRule="auto" w:before="2"/>
              <w:ind w:left="38" w:right="77"/>
              <w:jc w:val="both"/>
              <w:rPr>
                <w:rFonts w:ascii="宋体" w:hAnsi="宋体" w:cs="宋体" w:eastAsia="宋体" w:hint="default"/>
                <w:sz w:val="18"/>
                <w:szCs w:val="18"/>
              </w:rPr>
            </w:pPr>
            <w:r>
              <w:rPr>
                <w:rFonts w:ascii="宋体" w:hAnsi="宋体" w:cs="宋体" w:eastAsia="宋体" w:hint="default"/>
                <w:spacing w:val="-2"/>
                <w:sz w:val="18"/>
                <w:szCs w:val="18"/>
              </w:rPr>
              <w:t>根据原租赁准则与</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经营租赁相关的估</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计金额（附注</w:t>
            </w:r>
            <w:r>
              <w:rPr>
                <w:rFonts w:ascii="宋体" w:hAnsi="宋体" w:cs="宋体" w:eastAsia="宋体" w:hint="default"/>
                <w:spacing w:val="-42"/>
                <w:sz w:val="18"/>
                <w:szCs w:val="18"/>
              </w:rPr>
              <w:t> </w:t>
            </w:r>
            <w:r>
              <w:rPr>
                <w:rFonts w:ascii="Arial" w:hAnsi="Arial" w:cs="Arial" w:eastAsia="Arial" w:hint="default"/>
                <w:sz w:val="18"/>
                <w:szCs w:val="18"/>
              </w:rPr>
              <w:t>i</w:t>
            </w:r>
            <w:r>
              <w:rPr>
                <w:rFonts w:ascii="宋体" w:hAnsi="宋体" w:cs="宋体" w:eastAsia="宋体" w:hint="default"/>
                <w:sz w:val="18"/>
                <w:szCs w:val="18"/>
              </w:rPr>
              <w:t>）</w:t>
            </w:r>
          </w:p>
          <w:p>
            <w:pPr>
              <w:pStyle w:val="TableParagraph"/>
              <w:tabs>
                <w:tab w:pos="657" w:val="left" w:leader="none"/>
              </w:tabs>
              <w:spacing w:line="240" w:lineRule="auto" w:before="14"/>
              <w:ind w:left="14" w:right="0"/>
              <w:jc w:val="both"/>
              <w:rPr>
                <w:rFonts w:ascii="宋体" w:hAnsi="宋体" w:cs="宋体" w:eastAsia="宋体" w:hint="default"/>
                <w:sz w:val="18"/>
                <w:szCs w:val="18"/>
              </w:rPr>
            </w:pPr>
            <w:r>
              <w:rPr>
                <w:rFonts w:ascii="Arial"/>
                <w:w w:val="101"/>
                <w:sz w:val="18"/>
              </w:rPr>
            </w:r>
            <w:r>
              <w:rPr>
                <w:rFonts w:ascii="Arial"/>
                <w:w w:val="101"/>
                <w:sz w:val="18"/>
                <w:u w:val="single" w:color="000000"/>
              </w:rPr>
              <w:t> </w:t>
            </w:r>
            <w:r>
              <w:rPr>
                <w:rFonts w:ascii="Arial"/>
                <w:sz w:val="18"/>
                <w:u w:val="single" w:color="000000"/>
              </w:rPr>
              <w:tab/>
              <w:t>(C)</w:t>
            </w:r>
            <w:r>
              <w:rPr>
                <w:rFonts w:ascii="宋体"/>
                <w:w w:val="101"/>
                <w:sz w:val="18"/>
                <w:u w:val="single" w:color="000000"/>
              </w:rPr>
              <w:t> </w:t>
            </w:r>
            <w:r>
              <w:rPr>
                <w:rFonts w:ascii="宋体"/>
                <w:sz w:val="18"/>
                <w:u w:val="single" w:color="000000"/>
              </w:rPr>
              <w:t>     </w:t>
            </w:r>
            <w:r>
              <w:rPr>
                <w:rFonts w:ascii="宋体"/>
                <w:spacing w:val="16"/>
                <w:sz w:val="18"/>
                <w:u w:val="single" w:color="000000"/>
              </w:rPr>
              <w:t> </w:t>
            </w:r>
            <w:r>
              <w:rPr>
                <w:rFonts w:ascii="宋体"/>
                <w:spacing w:val="16"/>
                <w:sz w:val="18"/>
              </w:rPr>
            </w:r>
            <w:r>
              <w:rPr>
                <w:rFonts w:ascii="宋体"/>
                <w:sz w:val="18"/>
              </w:rPr>
            </w:r>
          </w:p>
        </w:tc>
        <w:tc>
          <w:tcPr>
            <w:tcW w:w="1658"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7"/>
                <w:szCs w:val="17"/>
              </w:rPr>
            </w:pPr>
          </w:p>
          <w:p>
            <w:pPr>
              <w:pStyle w:val="TableParagraph"/>
              <w:spacing w:line="230" w:lineRule="exact"/>
              <w:ind w:left="290" w:right="103" w:hanging="183"/>
              <w:jc w:val="left"/>
              <w:rPr>
                <w:rFonts w:ascii="宋体" w:hAnsi="宋体" w:cs="宋体" w:eastAsia="宋体" w:hint="default"/>
                <w:sz w:val="18"/>
                <w:szCs w:val="18"/>
              </w:rPr>
            </w:pPr>
            <w:r>
              <w:rPr>
                <w:rFonts w:ascii="宋体" w:hAnsi="宋体" w:cs="宋体" w:eastAsia="宋体" w:hint="default"/>
                <w:spacing w:val="-2"/>
                <w:sz w:val="18"/>
                <w:szCs w:val="18"/>
              </w:rPr>
              <w:t>假设采用原租赁准</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3"/>
                <w:sz w:val="18"/>
                <w:szCs w:val="18"/>
              </w:rPr>
              <w:t>则的模拟金额</w:t>
            </w:r>
            <w:r>
              <w:rPr>
                <w:rFonts w:ascii="宋体" w:hAnsi="宋体" w:cs="宋体" w:eastAsia="宋体" w:hint="default"/>
                <w:sz w:val="18"/>
                <w:szCs w:val="18"/>
              </w:rPr>
              <w:t> </w:t>
            </w:r>
          </w:p>
          <w:p>
            <w:pPr>
              <w:pStyle w:val="TableParagraph"/>
              <w:tabs>
                <w:tab w:pos="362" w:val="left" w:leader="none"/>
                <w:tab w:pos="1614" w:val="left" w:leader="none"/>
              </w:tabs>
              <w:spacing w:line="240" w:lineRule="auto" w:before="6"/>
              <w:ind w:left="45" w:right="0"/>
              <w:jc w:val="left"/>
              <w:rPr>
                <w:rFonts w:ascii="宋体" w:hAnsi="宋体" w:cs="宋体" w:eastAsia="宋体" w:hint="default"/>
                <w:sz w:val="18"/>
                <w:szCs w:val="18"/>
              </w:rPr>
            </w:pPr>
            <w:r>
              <w:rPr>
                <w:rFonts w:ascii="Arial"/>
                <w:w w:val="101"/>
                <w:sz w:val="18"/>
              </w:rPr>
            </w:r>
            <w:r>
              <w:rPr>
                <w:rFonts w:ascii="Arial"/>
                <w:w w:val="101"/>
                <w:sz w:val="18"/>
                <w:u w:val="single" w:color="000000"/>
              </w:rPr>
              <w:t> </w:t>
            </w:r>
            <w:r>
              <w:rPr>
                <w:rFonts w:ascii="Arial"/>
                <w:sz w:val="18"/>
                <w:u w:val="single" w:color="000000"/>
              </w:rPr>
              <w:tab/>
              <w:t>(D=A+B+C)</w:t>
            </w:r>
            <w:r>
              <w:rPr>
                <w:rFonts w:ascii="宋体"/>
                <w:w w:val="101"/>
                <w:sz w:val="18"/>
                <w:u w:val="single" w:color="000000"/>
              </w:rPr>
              <w:t> </w:t>
            </w:r>
            <w:r>
              <w:rPr>
                <w:rFonts w:ascii="宋体"/>
                <w:sz w:val="18"/>
                <w:u w:val="single" w:color="000000"/>
              </w:rPr>
              <w:tab/>
            </w:r>
            <w:r>
              <w:rPr>
                <w:rFonts w:ascii="宋体"/>
                <w:sz w:val="18"/>
              </w:rPr>
            </w:r>
          </w:p>
        </w:tc>
        <w:tc>
          <w:tcPr>
            <w:tcW w:w="1589"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35" w:lineRule="exact"/>
              <w:ind w:left="1041" w:right="0"/>
              <w:jc w:val="left"/>
              <w:rPr>
                <w:rFonts w:ascii="宋体" w:hAnsi="宋体" w:cs="宋体" w:eastAsia="宋体" w:hint="default"/>
                <w:sz w:val="18"/>
                <w:szCs w:val="18"/>
              </w:rPr>
            </w:pPr>
            <w:r>
              <w:rPr>
                <w:rFonts w:ascii="宋体"/>
                <w:w w:val="101"/>
                <w:sz w:val="18"/>
              </w:rPr>
              <w:t> </w:t>
            </w:r>
            <w:r>
              <w:rPr>
                <w:rFonts w:ascii="宋体"/>
                <w:sz w:val="18"/>
              </w:rPr>
            </w:r>
          </w:p>
          <w:p>
            <w:pPr>
              <w:pStyle w:val="TableParagraph"/>
              <w:spacing w:line="230" w:lineRule="exact" w:before="26"/>
              <w:ind w:left="254" w:right="70" w:hanging="183"/>
              <w:jc w:val="left"/>
              <w:rPr>
                <w:rFonts w:ascii="宋体" w:hAnsi="宋体" w:cs="宋体" w:eastAsia="宋体" w:hint="default"/>
                <w:sz w:val="18"/>
                <w:szCs w:val="18"/>
              </w:rPr>
            </w:pPr>
            <w:r>
              <w:rPr>
                <w:rFonts w:ascii="宋体" w:hAnsi="宋体" w:cs="宋体" w:eastAsia="宋体" w:hint="default"/>
                <w:spacing w:val="-2"/>
                <w:sz w:val="18"/>
                <w:szCs w:val="18"/>
              </w:rPr>
              <w:t>根据原租赁准则列</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3"/>
                <w:sz w:val="18"/>
                <w:szCs w:val="18"/>
              </w:rPr>
              <w:t>报的比较金额</w:t>
            </w:r>
            <w:r>
              <w:rPr>
                <w:rFonts w:ascii="宋体" w:hAnsi="宋体" w:cs="宋体" w:eastAsia="宋体" w:hint="default"/>
                <w:sz w:val="18"/>
                <w:szCs w:val="18"/>
              </w:rPr>
              <w:t> </w:t>
            </w:r>
          </w:p>
        </w:tc>
      </w:tr>
      <w:tr>
        <w:trPr>
          <w:trHeight w:val="815" w:hRule="exact"/>
        </w:trPr>
        <w:tc>
          <w:tcPr>
            <w:tcW w:w="9685" w:type="dxa"/>
            <w:gridSpan w:val="6"/>
            <w:tcBorders>
              <w:top w:val="nil" w:sz="6" w:space="0" w:color="auto"/>
              <w:left w:val="nil" w:sz="6" w:space="0" w:color="auto"/>
              <w:bottom w:val="nil" w:sz="6" w:space="0" w:color="auto"/>
              <w:right w:val="nil" w:sz="6" w:space="0" w:color="auto"/>
            </w:tcBorders>
          </w:tcPr>
          <w:p>
            <w:pPr>
              <w:pStyle w:val="TableParagraph"/>
              <w:spacing w:line="212" w:lineRule="exact"/>
              <w:ind w:left="200" w:right="0"/>
              <w:jc w:val="left"/>
              <w:rPr>
                <w:rFonts w:ascii="宋体" w:hAnsi="宋体" w:cs="宋体" w:eastAsia="宋体" w:hint="default"/>
                <w:sz w:val="18"/>
                <w:szCs w:val="18"/>
              </w:rPr>
            </w:pPr>
            <w:r>
              <w:rPr>
                <w:rFonts w:ascii="宋体" w:hAnsi="宋体" w:cs="宋体" w:eastAsia="宋体" w:hint="default"/>
                <w:spacing w:val="-3"/>
                <w:sz w:val="18"/>
                <w:szCs w:val="18"/>
              </w:rPr>
              <w:t>采用新租赁准则</w:t>
            </w:r>
            <w:r>
              <w:rPr>
                <w:rFonts w:ascii="宋体" w:hAnsi="宋体" w:cs="宋体" w:eastAsia="宋体" w:hint="default"/>
                <w:sz w:val="18"/>
                <w:szCs w:val="18"/>
              </w:rPr>
            </w:r>
          </w:p>
          <w:p>
            <w:pPr>
              <w:pStyle w:val="TableParagraph"/>
              <w:spacing w:line="230" w:lineRule="exact" w:before="26"/>
              <w:ind w:left="200" w:right="8086"/>
              <w:jc w:val="left"/>
              <w:rPr>
                <w:rFonts w:ascii="宋体" w:hAnsi="宋体" w:cs="宋体" w:eastAsia="宋体" w:hint="default"/>
                <w:sz w:val="18"/>
                <w:szCs w:val="18"/>
              </w:rPr>
            </w:pPr>
            <w:r>
              <w:rPr>
                <w:rFonts w:ascii="宋体" w:hAnsi="宋体" w:cs="宋体" w:eastAsia="宋体" w:hint="default"/>
                <w:sz w:val="18"/>
                <w:szCs w:val="18"/>
              </w:rPr>
              <w:t>后的</w:t>
            </w:r>
            <w:r>
              <w:rPr>
                <w:rFonts w:ascii="宋体" w:hAnsi="宋体" w:cs="宋体" w:eastAsia="宋体" w:hint="default"/>
                <w:spacing w:val="-43"/>
                <w:sz w:val="18"/>
                <w:szCs w:val="18"/>
              </w:rPr>
              <w:t> </w:t>
            </w:r>
            <w:r>
              <w:rPr>
                <w:rFonts w:ascii="Arial" w:hAnsi="Arial" w:cs="Arial" w:eastAsia="Arial" w:hint="default"/>
                <w:sz w:val="18"/>
                <w:szCs w:val="18"/>
              </w:rPr>
              <w:t>2019</w:t>
            </w:r>
            <w:r>
              <w:rPr>
                <w:rFonts w:ascii="Arial" w:hAnsi="Arial" w:cs="Arial" w:eastAsia="Arial" w:hint="default"/>
                <w:spacing w:val="-4"/>
                <w:sz w:val="18"/>
                <w:szCs w:val="18"/>
              </w:rPr>
              <w:t> </w:t>
            </w:r>
            <w:r>
              <w:rPr>
                <w:rFonts w:ascii="宋体" w:hAnsi="宋体" w:cs="宋体" w:eastAsia="宋体" w:hint="default"/>
                <w:sz w:val="18"/>
                <w:szCs w:val="18"/>
              </w:rPr>
              <w:t>年度经</w:t>
            </w:r>
            <w:r>
              <w:rPr>
                <w:rFonts w:ascii="宋体" w:hAnsi="宋体" w:cs="宋体" w:eastAsia="宋体" w:hint="default"/>
                <w:w w:val="101"/>
                <w:sz w:val="18"/>
                <w:szCs w:val="18"/>
              </w:rPr>
              <w:t> </w:t>
            </w:r>
            <w:r>
              <w:rPr>
                <w:rFonts w:ascii="宋体" w:hAnsi="宋体" w:cs="宋体" w:eastAsia="宋体" w:hint="default"/>
                <w:spacing w:val="-3"/>
                <w:sz w:val="18"/>
                <w:szCs w:val="18"/>
              </w:rPr>
              <w:t>营成果</w:t>
            </w:r>
            <w:r>
              <w:rPr>
                <w:rFonts w:ascii="宋体" w:hAnsi="宋体" w:cs="宋体" w:eastAsia="宋体" w:hint="default"/>
                <w:spacing w:val="-3"/>
                <w:sz w:val="18"/>
                <w:szCs w:val="18"/>
              </w:rPr>
              <w:t>:</w:t>
            </w:r>
            <w:r>
              <w:rPr>
                <w:rFonts w:ascii="宋体" w:hAnsi="宋体" w:cs="宋体" w:eastAsia="宋体" w:hint="default"/>
                <w:sz w:val="18"/>
                <w:szCs w:val="18"/>
              </w:rPr>
              <w:t> </w:t>
            </w:r>
          </w:p>
        </w:tc>
      </w:tr>
      <w:tr>
        <w:trPr>
          <w:trHeight w:val="358" w:hRule="exact"/>
        </w:trPr>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18"/>
                <w:szCs w:val="18"/>
              </w:rPr>
            </w:pPr>
            <w:r>
              <w:rPr>
                <w:rFonts w:ascii="宋体" w:hAnsi="宋体" w:cs="宋体" w:eastAsia="宋体" w:hint="default"/>
                <w:spacing w:val="-3"/>
                <w:sz w:val="18"/>
                <w:szCs w:val="18"/>
              </w:rPr>
              <w:t>营业成本</w:t>
            </w:r>
            <w:r>
              <w:rPr>
                <w:rFonts w:ascii="宋体" w:hAnsi="宋体" w:cs="宋体" w:eastAsia="宋体" w:hint="default"/>
                <w:sz w:val="18"/>
                <w:szCs w:val="18"/>
              </w:rPr>
              <w:t> </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9"/>
              <w:jc w:val="right"/>
              <w:rPr>
                <w:rFonts w:ascii="Arial" w:hAnsi="Arial" w:cs="Arial" w:eastAsia="Arial" w:hint="default"/>
                <w:sz w:val="19"/>
                <w:szCs w:val="19"/>
              </w:rPr>
            </w:pPr>
            <w:r>
              <w:rPr>
                <w:rFonts w:ascii="Arial"/>
                <w:spacing w:val="-2"/>
                <w:sz w:val="19"/>
              </w:rPr>
              <w:t>(214,133,057,016)</w:t>
            </w:r>
            <w:r>
              <w:rPr>
                <w:rFonts w:ascii="Arial"/>
                <w:sz w:val="19"/>
              </w:rPr>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79"/>
              <w:jc w:val="right"/>
              <w:rPr>
                <w:rFonts w:ascii="Arial" w:hAnsi="Arial" w:cs="Arial" w:eastAsia="Arial" w:hint="default"/>
                <w:sz w:val="19"/>
                <w:szCs w:val="19"/>
              </w:rPr>
            </w:pPr>
            <w:r>
              <w:rPr>
                <w:rFonts w:ascii="Arial"/>
                <w:spacing w:val="-2"/>
                <w:sz w:val="19"/>
              </w:rPr>
              <w:t>10,382,662,302</w:t>
            </w:r>
            <w:r>
              <w:rPr>
                <w:rFonts w:ascii="Arial"/>
                <w:sz w:val="19"/>
              </w:rPr>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62"/>
              <w:jc w:val="right"/>
              <w:rPr>
                <w:rFonts w:ascii="Arial" w:hAnsi="Arial" w:cs="Arial" w:eastAsia="Arial" w:hint="default"/>
                <w:sz w:val="19"/>
                <w:szCs w:val="19"/>
              </w:rPr>
            </w:pPr>
            <w:r>
              <w:rPr>
                <w:rFonts w:ascii="Arial"/>
                <w:spacing w:val="-2"/>
                <w:sz w:val="19"/>
              </w:rPr>
              <w:t>(11,345,094,307)</w:t>
            </w:r>
            <w:r>
              <w:rPr>
                <w:rFonts w:ascii="Arial"/>
                <w:sz w:val="19"/>
              </w:rPr>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40"/>
              <w:jc w:val="right"/>
              <w:rPr>
                <w:rFonts w:ascii="Arial" w:hAnsi="Arial" w:cs="Arial" w:eastAsia="Arial" w:hint="default"/>
                <w:sz w:val="19"/>
                <w:szCs w:val="19"/>
              </w:rPr>
            </w:pPr>
            <w:r>
              <w:rPr>
                <w:rFonts w:ascii="Arial"/>
                <w:spacing w:val="-2"/>
                <w:sz w:val="19"/>
              </w:rPr>
              <w:t>(215,095,489,021)</w:t>
            </w:r>
            <w:r>
              <w:rPr>
                <w:rFonts w:ascii="Arial"/>
                <w:sz w:val="19"/>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0"/>
              <w:jc w:val="right"/>
              <w:rPr>
                <w:rFonts w:ascii="Arial" w:hAnsi="Arial" w:cs="Arial" w:eastAsia="Arial" w:hint="default"/>
                <w:sz w:val="19"/>
                <w:szCs w:val="19"/>
              </w:rPr>
            </w:pPr>
            <w:r>
              <w:rPr>
                <w:rFonts w:ascii="Arial"/>
                <w:spacing w:val="-2"/>
                <w:sz w:val="19"/>
              </w:rPr>
              <w:t>(213,585,637,513)</w:t>
            </w:r>
            <w:r>
              <w:rPr>
                <w:rFonts w:ascii="Arial"/>
                <w:sz w:val="19"/>
              </w:rPr>
            </w:r>
          </w:p>
        </w:tc>
      </w:tr>
      <w:tr>
        <w:trPr>
          <w:trHeight w:val="235" w:hRule="exact"/>
        </w:trPr>
        <w:tc>
          <w:tcPr>
            <w:tcW w:w="1597" w:type="dxa"/>
            <w:tcBorders>
              <w:top w:val="nil" w:sz="6" w:space="0" w:color="auto"/>
              <w:left w:val="nil" w:sz="6" w:space="0" w:color="auto"/>
              <w:bottom w:val="nil" w:sz="6" w:space="0" w:color="auto"/>
              <w:right w:val="nil" w:sz="6" w:space="0" w:color="auto"/>
            </w:tcBorders>
          </w:tcPr>
          <w:p>
            <w:pPr>
              <w:pStyle w:val="TableParagraph"/>
              <w:spacing w:line="196" w:lineRule="exact"/>
              <w:ind w:left="200" w:right="0"/>
              <w:jc w:val="left"/>
              <w:rPr>
                <w:rFonts w:ascii="宋体" w:hAnsi="宋体" w:cs="宋体" w:eastAsia="宋体" w:hint="default"/>
                <w:sz w:val="18"/>
                <w:szCs w:val="18"/>
              </w:rPr>
            </w:pPr>
            <w:r>
              <w:rPr>
                <w:rFonts w:ascii="宋体" w:hAnsi="宋体" w:cs="宋体" w:eastAsia="宋体" w:hint="default"/>
                <w:spacing w:val="-3"/>
                <w:sz w:val="18"/>
                <w:szCs w:val="18"/>
              </w:rPr>
              <w:t>管理费用</w:t>
            </w:r>
            <w:r>
              <w:rPr>
                <w:rFonts w:ascii="宋体" w:hAnsi="宋体" w:cs="宋体" w:eastAsia="宋体" w:hint="default"/>
                <w:sz w:val="18"/>
                <w:szCs w:val="18"/>
              </w:rPr>
              <w:t> </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9"/>
              <w:jc w:val="right"/>
              <w:rPr>
                <w:rFonts w:ascii="Arial" w:hAnsi="Arial" w:cs="Arial" w:eastAsia="Arial" w:hint="default"/>
                <w:sz w:val="19"/>
                <w:szCs w:val="19"/>
              </w:rPr>
            </w:pPr>
            <w:r>
              <w:rPr>
                <w:rFonts w:ascii="Arial"/>
                <w:spacing w:val="-2"/>
                <w:sz w:val="19"/>
              </w:rPr>
              <w:t>(22,977,013,828)</w:t>
            </w:r>
            <w:r>
              <w:rPr>
                <w:rFonts w:ascii="Arial"/>
                <w:sz w:val="19"/>
              </w:rPr>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9"/>
              <w:jc w:val="right"/>
              <w:rPr>
                <w:rFonts w:ascii="Arial" w:hAnsi="Arial" w:cs="Arial" w:eastAsia="Arial" w:hint="default"/>
                <w:sz w:val="19"/>
                <w:szCs w:val="19"/>
              </w:rPr>
            </w:pPr>
            <w:r>
              <w:rPr>
                <w:rFonts w:ascii="Arial"/>
                <w:spacing w:val="-2"/>
                <w:sz w:val="19"/>
              </w:rPr>
              <w:t>196,097,810</w:t>
            </w:r>
            <w:r>
              <w:rPr>
                <w:rFonts w:ascii="Arial"/>
                <w:sz w:val="19"/>
              </w:rPr>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2"/>
              <w:jc w:val="right"/>
              <w:rPr>
                <w:rFonts w:ascii="Arial" w:hAnsi="Arial" w:cs="Arial" w:eastAsia="Arial" w:hint="default"/>
                <w:sz w:val="19"/>
                <w:szCs w:val="19"/>
              </w:rPr>
            </w:pPr>
            <w:r>
              <w:rPr>
                <w:rFonts w:ascii="Arial"/>
                <w:spacing w:val="-2"/>
                <w:sz w:val="19"/>
              </w:rPr>
              <w:t>(192,244,304)</w:t>
            </w:r>
            <w:r>
              <w:rPr>
                <w:rFonts w:ascii="Arial"/>
                <w:sz w:val="19"/>
              </w:rPr>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0"/>
              <w:jc w:val="right"/>
              <w:rPr>
                <w:rFonts w:ascii="Arial" w:hAnsi="Arial" w:cs="Arial" w:eastAsia="Arial" w:hint="default"/>
                <w:sz w:val="19"/>
                <w:szCs w:val="19"/>
              </w:rPr>
            </w:pPr>
            <w:r>
              <w:rPr>
                <w:rFonts w:ascii="Arial"/>
                <w:spacing w:val="-2"/>
                <w:sz w:val="19"/>
              </w:rPr>
              <w:t>(22,973,160,322)</w:t>
            </w:r>
            <w:r>
              <w:rPr>
                <w:rFonts w:ascii="Arial"/>
                <w:sz w:val="19"/>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right"/>
              <w:rPr>
                <w:rFonts w:ascii="Arial" w:hAnsi="Arial" w:cs="Arial" w:eastAsia="Arial" w:hint="default"/>
                <w:sz w:val="19"/>
                <w:szCs w:val="19"/>
              </w:rPr>
            </w:pPr>
            <w:r>
              <w:rPr>
                <w:rFonts w:ascii="Arial"/>
                <w:spacing w:val="-2"/>
                <w:sz w:val="19"/>
              </w:rPr>
              <w:t>(22,925,119,665)</w:t>
            </w:r>
            <w:r>
              <w:rPr>
                <w:rFonts w:ascii="Arial"/>
                <w:sz w:val="19"/>
              </w:rPr>
            </w:r>
          </w:p>
        </w:tc>
      </w:tr>
      <w:tr>
        <w:trPr>
          <w:trHeight w:val="230" w:hRule="exact"/>
        </w:trPr>
        <w:tc>
          <w:tcPr>
            <w:tcW w:w="1597" w:type="dxa"/>
            <w:tcBorders>
              <w:top w:val="nil" w:sz="6" w:space="0" w:color="auto"/>
              <w:left w:val="nil" w:sz="6" w:space="0" w:color="auto"/>
              <w:bottom w:val="nil" w:sz="6" w:space="0" w:color="auto"/>
              <w:right w:val="nil" w:sz="6" w:space="0" w:color="auto"/>
            </w:tcBorders>
          </w:tcPr>
          <w:p>
            <w:pPr>
              <w:pStyle w:val="TableParagraph"/>
              <w:spacing w:line="196" w:lineRule="exact"/>
              <w:ind w:left="200" w:right="0"/>
              <w:jc w:val="left"/>
              <w:rPr>
                <w:rFonts w:ascii="宋体" w:hAnsi="宋体" w:cs="宋体" w:eastAsia="宋体" w:hint="default"/>
                <w:sz w:val="18"/>
                <w:szCs w:val="18"/>
              </w:rPr>
            </w:pPr>
            <w:r>
              <w:rPr>
                <w:rFonts w:ascii="宋体" w:hAnsi="宋体" w:cs="宋体" w:eastAsia="宋体" w:hint="default"/>
                <w:spacing w:val="-3"/>
                <w:sz w:val="18"/>
                <w:szCs w:val="18"/>
              </w:rPr>
              <w:t>财务费用</w:t>
            </w:r>
            <w:r>
              <w:rPr>
                <w:rFonts w:ascii="宋体" w:hAnsi="宋体" w:cs="宋体" w:eastAsia="宋体" w:hint="default"/>
                <w:sz w:val="18"/>
                <w:szCs w:val="18"/>
              </w:rPr>
              <w:t> </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9"/>
              <w:jc w:val="right"/>
              <w:rPr>
                <w:rFonts w:ascii="Arial" w:hAnsi="Arial" w:cs="Arial" w:eastAsia="Arial" w:hint="default"/>
                <w:sz w:val="19"/>
                <w:szCs w:val="19"/>
              </w:rPr>
            </w:pPr>
            <w:r>
              <w:rPr>
                <w:rFonts w:ascii="Arial"/>
                <w:spacing w:val="-2"/>
                <w:sz w:val="19"/>
              </w:rPr>
              <w:t>(717,430,307)</w:t>
            </w:r>
            <w:r>
              <w:rPr>
                <w:rFonts w:ascii="Arial"/>
                <w:sz w:val="19"/>
              </w:rPr>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79"/>
              <w:jc w:val="right"/>
              <w:rPr>
                <w:rFonts w:ascii="Arial" w:hAnsi="Arial" w:cs="Arial" w:eastAsia="Arial" w:hint="default"/>
                <w:sz w:val="19"/>
                <w:szCs w:val="19"/>
              </w:rPr>
            </w:pPr>
            <w:r>
              <w:rPr>
                <w:rFonts w:ascii="Arial"/>
                <w:spacing w:val="-2"/>
                <w:sz w:val="19"/>
              </w:rPr>
              <w:t>1,349,021,296</w:t>
            </w:r>
            <w:r>
              <w:rPr>
                <w:rFonts w:ascii="Arial"/>
                <w:sz w:val="19"/>
              </w:rPr>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28"/>
              <w:jc w:val="right"/>
              <w:rPr>
                <w:rFonts w:ascii="Arial" w:hAnsi="Arial" w:cs="Arial" w:eastAsia="Arial" w:hint="default"/>
                <w:sz w:val="19"/>
                <w:szCs w:val="19"/>
              </w:rPr>
            </w:pPr>
            <w:r>
              <w:rPr>
                <w:rFonts w:ascii="Arial"/>
                <w:w w:val="101"/>
                <w:sz w:val="19"/>
              </w:rPr>
              <w:t>-</w:t>
            </w:r>
            <w:r>
              <w:rPr>
                <w:rFonts w:ascii="Arial"/>
                <w:sz w:val="19"/>
              </w:rPr>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98"/>
              <w:jc w:val="right"/>
              <w:rPr>
                <w:rFonts w:ascii="Arial" w:hAnsi="Arial" w:cs="Arial" w:eastAsia="Arial" w:hint="default"/>
                <w:sz w:val="19"/>
                <w:szCs w:val="19"/>
              </w:rPr>
            </w:pPr>
            <w:r>
              <w:rPr>
                <w:rFonts w:ascii="Arial"/>
                <w:spacing w:val="-2"/>
                <w:sz w:val="19"/>
              </w:rPr>
              <w:t>631,590,989</w:t>
            </w:r>
            <w:r>
              <w:rPr>
                <w:rFonts w:ascii="Arial"/>
                <w:sz w:val="19"/>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57"/>
              <w:jc w:val="right"/>
              <w:rPr>
                <w:rFonts w:ascii="Arial" w:hAnsi="Arial" w:cs="Arial" w:eastAsia="Arial" w:hint="default"/>
                <w:sz w:val="19"/>
                <w:szCs w:val="19"/>
              </w:rPr>
            </w:pPr>
            <w:r>
              <w:rPr>
                <w:rFonts w:ascii="Arial"/>
                <w:spacing w:val="-2"/>
                <w:sz w:val="19"/>
              </w:rPr>
              <w:t>137,779,791</w:t>
            </w:r>
            <w:r>
              <w:rPr>
                <w:rFonts w:ascii="Arial"/>
                <w:sz w:val="19"/>
              </w:rPr>
            </w:r>
          </w:p>
        </w:tc>
      </w:tr>
      <w:tr>
        <w:trPr>
          <w:trHeight w:val="235" w:hRule="exact"/>
        </w:trPr>
        <w:tc>
          <w:tcPr>
            <w:tcW w:w="1597" w:type="dxa"/>
            <w:tcBorders>
              <w:top w:val="nil" w:sz="6" w:space="0" w:color="auto"/>
              <w:left w:val="nil" w:sz="6" w:space="0" w:color="auto"/>
              <w:bottom w:val="nil" w:sz="6" w:space="0" w:color="auto"/>
              <w:right w:val="nil" w:sz="6" w:space="0" w:color="auto"/>
            </w:tcBorders>
          </w:tcPr>
          <w:p>
            <w:pPr>
              <w:pStyle w:val="TableParagraph"/>
              <w:spacing w:line="196" w:lineRule="exact"/>
              <w:ind w:left="200" w:right="0"/>
              <w:jc w:val="left"/>
              <w:rPr>
                <w:rFonts w:ascii="宋体" w:hAnsi="宋体" w:cs="宋体" w:eastAsia="宋体" w:hint="default"/>
                <w:sz w:val="18"/>
                <w:szCs w:val="18"/>
              </w:rPr>
            </w:pPr>
            <w:r>
              <w:rPr>
                <w:rFonts w:ascii="宋体" w:hAnsi="宋体" w:cs="宋体" w:eastAsia="宋体" w:hint="default"/>
                <w:spacing w:val="-3"/>
                <w:sz w:val="18"/>
                <w:szCs w:val="18"/>
              </w:rPr>
              <w:t>投资收益</w:t>
            </w:r>
            <w:r>
              <w:rPr>
                <w:rFonts w:ascii="宋体" w:hAnsi="宋体" w:cs="宋体" w:eastAsia="宋体" w:hint="default"/>
                <w:sz w:val="18"/>
                <w:szCs w:val="18"/>
              </w:rPr>
              <w:t> </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6"/>
              <w:ind w:left="307" w:right="0"/>
              <w:jc w:val="left"/>
              <w:rPr>
                <w:rFonts w:ascii="Arial" w:hAnsi="Arial" w:cs="Arial" w:eastAsia="Arial" w:hint="default"/>
                <w:sz w:val="19"/>
                <w:szCs w:val="19"/>
              </w:rPr>
            </w:pPr>
            <w:r>
              <w:rPr>
                <w:rFonts w:ascii="Arial"/>
                <w:sz w:val="19"/>
              </w:rPr>
              <w:t>2,174,504,090</w:t>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9"/>
              <w:jc w:val="right"/>
              <w:rPr>
                <w:rFonts w:ascii="Arial" w:hAnsi="Arial" w:cs="Arial" w:eastAsia="Arial" w:hint="default"/>
                <w:sz w:val="19"/>
                <w:szCs w:val="19"/>
              </w:rPr>
            </w:pPr>
            <w:r>
              <w:rPr>
                <w:rFonts w:ascii="Arial"/>
                <w:spacing w:val="-2"/>
                <w:sz w:val="19"/>
              </w:rPr>
              <w:t>37,376,500</w:t>
            </w:r>
            <w:r>
              <w:rPr>
                <w:rFonts w:ascii="Arial"/>
                <w:sz w:val="19"/>
              </w:rPr>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28"/>
              <w:jc w:val="right"/>
              <w:rPr>
                <w:rFonts w:ascii="Arial" w:hAnsi="Arial" w:cs="Arial" w:eastAsia="Arial" w:hint="default"/>
                <w:sz w:val="19"/>
                <w:szCs w:val="19"/>
              </w:rPr>
            </w:pPr>
            <w:r>
              <w:rPr>
                <w:rFonts w:ascii="Arial"/>
                <w:w w:val="101"/>
                <w:sz w:val="19"/>
              </w:rPr>
              <w:t>-</w:t>
            </w:r>
            <w:r>
              <w:rPr>
                <w:rFonts w:ascii="Arial"/>
                <w:sz w:val="19"/>
              </w:rPr>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6"/>
              <w:ind w:left="343" w:right="0"/>
              <w:jc w:val="left"/>
              <w:rPr>
                <w:rFonts w:ascii="Arial" w:hAnsi="Arial" w:cs="Arial" w:eastAsia="Arial" w:hint="default"/>
                <w:sz w:val="19"/>
                <w:szCs w:val="19"/>
              </w:rPr>
            </w:pPr>
            <w:r>
              <w:rPr>
                <w:rFonts w:ascii="Arial"/>
                <w:sz w:val="19"/>
              </w:rPr>
              <w:t>2,211,880,590</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57"/>
              <w:jc w:val="right"/>
              <w:rPr>
                <w:rFonts w:ascii="Arial" w:hAnsi="Arial" w:cs="Arial" w:eastAsia="Arial" w:hint="default"/>
                <w:sz w:val="19"/>
                <w:szCs w:val="19"/>
              </w:rPr>
            </w:pPr>
            <w:r>
              <w:rPr>
                <w:rFonts w:ascii="Arial"/>
                <w:spacing w:val="-2"/>
                <w:sz w:val="19"/>
              </w:rPr>
              <w:t>2,475,567,494</w:t>
            </w:r>
            <w:r>
              <w:rPr>
                <w:rFonts w:ascii="Arial"/>
                <w:sz w:val="19"/>
              </w:rPr>
            </w:r>
          </w:p>
        </w:tc>
      </w:tr>
      <w:tr>
        <w:trPr>
          <w:trHeight w:val="233" w:hRule="exact"/>
        </w:trPr>
        <w:tc>
          <w:tcPr>
            <w:tcW w:w="1597" w:type="dxa"/>
            <w:tcBorders>
              <w:top w:val="nil" w:sz="6" w:space="0" w:color="auto"/>
              <w:left w:val="nil" w:sz="6" w:space="0" w:color="auto"/>
              <w:bottom w:val="nil" w:sz="6" w:space="0" w:color="auto"/>
              <w:right w:val="nil" w:sz="6" w:space="0" w:color="auto"/>
            </w:tcBorders>
          </w:tcPr>
          <w:p>
            <w:pPr>
              <w:pStyle w:val="TableParagraph"/>
              <w:spacing w:line="196" w:lineRule="exact"/>
              <w:ind w:left="200" w:right="0"/>
              <w:jc w:val="left"/>
              <w:rPr>
                <w:rFonts w:ascii="宋体" w:hAnsi="宋体" w:cs="宋体" w:eastAsia="宋体" w:hint="default"/>
                <w:sz w:val="18"/>
                <w:szCs w:val="18"/>
              </w:rPr>
            </w:pPr>
            <w:r>
              <w:rPr>
                <w:rFonts w:ascii="宋体" w:hAnsi="宋体" w:cs="宋体" w:eastAsia="宋体" w:hint="default"/>
                <w:spacing w:val="-3"/>
                <w:sz w:val="18"/>
                <w:szCs w:val="18"/>
              </w:rPr>
              <w:t>利润总额</w:t>
            </w:r>
            <w:r>
              <w:rPr>
                <w:rFonts w:ascii="宋体" w:hAnsi="宋体" w:cs="宋体" w:eastAsia="宋体" w:hint="default"/>
                <w:sz w:val="18"/>
                <w:szCs w:val="18"/>
              </w:rPr>
              <w:t> </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6"/>
              <w:ind w:left="201" w:right="0"/>
              <w:jc w:val="left"/>
              <w:rPr>
                <w:rFonts w:ascii="Arial" w:hAnsi="Arial" w:cs="Arial" w:eastAsia="Arial" w:hint="default"/>
                <w:sz w:val="19"/>
                <w:szCs w:val="19"/>
              </w:rPr>
            </w:pPr>
            <w:r>
              <w:rPr>
                <w:rFonts w:ascii="Arial"/>
                <w:sz w:val="19"/>
              </w:rPr>
              <w:t>14,035,186,382</w:t>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9"/>
              <w:jc w:val="right"/>
              <w:rPr>
                <w:rFonts w:ascii="Arial" w:hAnsi="Arial" w:cs="Arial" w:eastAsia="Arial" w:hint="default"/>
                <w:sz w:val="19"/>
                <w:szCs w:val="19"/>
              </w:rPr>
            </w:pPr>
            <w:r>
              <w:rPr>
                <w:rFonts w:ascii="Arial"/>
                <w:spacing w:val="-2"/>
                <w:sz w:val="19"/>
              </w:rPr>
              <w:t>11,965,157,908</w:t>
            </w:r>
            <w:r>
              <w:rPr>
                <w:rFonts w:ascii="Arial"/>
                <w:sz w:val="19"/>
              </w:rPr>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2"/>
              <w:jc w:val="right"/>
              <w:rPr>
                <w:rFonts w:ascii="Arial" w:hAnsi="Arial" w:cs="Arial" w:eastAsia="Arial" w:hint="default"/>
                <w:sz w:val="19"/>
                <w:szCs w:val="19"/>
              </w:rPr>
            </w:pPr>
            <w:r>
              <w:rPr>
                <w:rFonts w:ascii="Arial"/>
                <w:spacing w:val="-2"/>
                <w:sz w:val="19"/>
              </w:rPr>
              <w:t>(11,537,338,611)</w:t>
            </w:r>
            <w:r>
              <w:rPr>
                <w:rFonts w:ascii="Arial"/>
                <w:sz w:val="19"/>
              </w:rPr>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6"/>
              <w:ind w:left="237" w:right="0"/>
              <w:jc w:val="left"/>
              <w:rPr>
                <w:rFonts w:ascii="Arial" w:hAnsi="Arial" w:cs="Arial" w:eastAsia="Arial" w:hint="default"/>
                <w:sz w:val="19"/>
                <w:szCs w:val="19"/>
              </w:rPr>
            </w:pPr>
            <w:r>
              <w:rPr>
                <w:rFonts w:ascii="Arial"/>
                <w:sz w:val="19"/>
              </w:rPr>
              <w:t>14,463,005,679</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57"/>
              <w:jc w:val="right"/>
              <w:rPr>
                <w:rFonts w:ascii="Arial" w:hAnsi="Arial" w:cs="Arial" w:eastAsia="Arial" w:hint="default"/>
                <w:sz w:val="19"/>
                <w:szCs w:val="19"/>
              </w:rPr>
            </w:pPr>
            <w:r>
              <w:rPr>
                <w:rFonts w:ascii="Arial"/>
                <w:spacing w:val="-2"/>
                <w:sz w:val="19"/>
              </w:rPr>
              <w:t>12,075,362,887</w:t>
            </w:r>
            <w:r>
              <w:rPr>
                <w:rFonts w:ascii="Arial"/>
                <w:sz w:val="19"/>
              </w:rPr>
            </w:r>
          </w:p>
        </w:tc>
      </w:tr>
      <w:tr>
        <w:trPr>
          <w:trHeight w:val="219" w:hRule="exact"/>
        </w:trPr>
        <w:tc>
          <w:tcPr>
            <w:tcW w:w="1597" w:type="dxa"/>
            <w:tcBorders>
              <w:top w:val="nil" w:sz="6" w:space="0" w:color="auto"/>
              <w:left w:val="nil" w:sz="6" w:space="0" w:color="auto"/>
              <w:bottom w:val="nil" w:sz="6" w:space="0" w:color="auto"/>
              <w:right w:val="nil" w:sz="6" w:space="0" w:color="auto"/>
            </w:tcBorders>
          </w:tcPr>
          <w:p>
            <w:pPr>
              <w:pStyle w:val="TableParagraph"/>
              <w:spacing w:line="193" w:lineRule="exact"/>
              <w:ind w:left="200" w:right="0"/>
              <w:jc w:val="left"/>
              <w:rPr>
                <w:rFonts w:ascii="宋体" w:hAnsi="宋体" w:cs="宋体" w:eastAsia="宋体" w:hint="default"/>
                <w:sz w:val="18"/>
                <w:szCs w:val="18"/>
              </w:rPr>
            </w:pPr>
            <w:r>
              <w:rPr>
                <w:rFonts w:ascii="宋体" w:hAnsi="宋体" w:cs="宋体" w:eastAsia="宋体" w:hint="default"/>
                <w:spacing w:val="-4"/>
                <w:sz w:val="18"/>
                <w:szCs w:val="18"/>
              </w:rPr>
              <w:t>净利润</w:t>
            </w:r>
            <w:r>
              <w:rPr>
                <w:rFonts w:ascii="宋体" w:hAnsi="宋体" w:cs="宋体" w:eastAsia="宋体" w:hint="default"/>
                <w:sz w:val="18"/>
                <w:szCs w:val="18"/>
              </w:rPr>
              <w:t> </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4"/>
              <w:ind w:left="201" w:right="0"/>
              <w:jc w:val="left"/>
              <w:rPr>
                <w:rFonts w:ascii="Arial" w:hAnsi="Arial" w:cs="Arial" w:eastAsia="Arial" w:hint="default"/>
                <w:sz w:val="19"/>
                <w:szCs w:val="19"/>
              </w:rPr>
            </w:pPr>
            <w:r>
              <w:rPr>
                <w:rFonts w:ascii="Arial"/>
                <w:sz w:val="19"/>
              </w:rPr>
              <w:t>11,264,124,299</w:t>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79"/>
              <w:jc w:val="right"/>
              <w:rPr>
                <w:rFonts w:ascii="Arial" w:hAnsi="Arial" w:cs="Arial" w:eastAsia="Arial" w:hint="default"/>
                <w:sz w:val="19"/>
                <w:szCs w:val="19"/>
              </w:rPr>
            </w:pPr>
            <w:r>
              <w:rPr>
                <w:rFonts w:ascii="Arial"/>
                <w:spacing w:val="-2"/>
                <w:sz w:val="19"/>
              </w:rPr>
              <w:t>11,965,157,908</w:t>
            </w:r>
            <w:r>
              <w:rPr>
                <w:rFonts w:ascii="Arial"/>
                <w:sz w:val="19"/>
              </w:rPr>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62"/>
              <w:jc w:val="right"/>
              <w:rPr>
                <w:rFonts w:ascii="Arial" w:hAnsi="Arial" w:cs="Arial" w:eastAsia="Arial" w:hint="default"/>
                <w:sz w:val="19"/>
                <w:szCs w:val="19"/>
              </w:rPr>
            </w:pPr>
            <w:r>
              <w:rPr>
                <w:rFonts w:ascii="Arial"/>
                <w:spacing w:val="-2"/>
                <w:sz w:val="19"/>
              </w:rPr>
              <w:t>(11,537,338,611)</w:t>
            </w:r>
            <w:r>
              <w:rPr>
                <w:rFonts w:ascii="Arial"/>
                <w:sz w:val="19"/>
              </w:rPr>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4"/>
              <w:ind w:left="237" w:right="0"/>
              <w:jc w:val="left"/>
              <w:rPr>
                <w:rFonts w:ascii="Arial" w:hAnsi="Arial" w:cs="Arial" w:eastAsia="Arial" w:hint="default"/>
                <w:sz w:val="19"/>
                <w:szCs w:val="19"/>
              </w:rPr>
            </w:pPr>
            <w:r>
              <w:rPr>
                <w:rFonts w:ascii="Arial"/>
                <w:sz w:val="19"/>
              </w:rPr>
              <w:t>11,691,943,596</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57"/>
              <w:jc w:val="right"/>
              <w:rPr>
                <w:rFonts w:ascii="Arial" w:hAnsi="Arial" w:cs="Arial" w:eastAsia="Arial" w:hint="default"/>
                <w:sz w:val="19"/>
                <w:szCs w:val="19"/>
              </w:rPr>
            </w:pPr>
            <w:r>
              <w:rPr>
                <w:rFonts w:ascii="Arial"/>
                <w:spacing w:val="-2"/>
                <w:sz w:val="19"/>
              </w:rPr>
              <w:t>9,300,663,815</w:t>
            </w:r>
            <w:r>
              <w:rPr>
                <w:rFonts w:ascii="Arial"/>
                <w:sz w:val="19"/>
              </w:rPr>
            </w:r>
          </w:p>
        </w:tc>
      </w:tr>
    </w:tbl>
    <w:p>
      <w:pPr>
        <w:spacing w:after="0" w:line="240" w:lineRule="auto"/>
        <w:jc w:val="right"/>
        <w:rPr>
          <w:rFonts w:ascii="Arial" w:hAnsi="Arial" w:cs="Arial" w:eastAsia="Arial" w:hint="default"/>
          <w:sz w:val="19"/>
          <w:szCs w:val="19"/>
        </w:rPr>
        <w:sectPr>
          <w:headerReference w:type="default" r:id="rId135"/>
          <w:pgSz w:w="11910" w:h="16840"/>
          <w:pgMar w:header="842" w:footer="502" w:top="4300" w:bottom="700" w:left="860" w:right="82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tbl>
      <w:tblPr>
        <w:tblW w:w="0" w:type="auto"/>
        <w:jc w:val="left"/>
        <w:tblInd w:w="355" w:type="dxa"/>
        <w:tblLayout w:type="fixed"/>
        <w:tblCellMar>
          <w:top w:w="0" w:type="dxa"/>
          <w:left w:w="0" w:type="dxa"/>
          <w:bottom w:w="0" w:type="dxa"/>
          <w:right w:w="0" w:type="dxa"/>
        </w:tblCellMar>
        <w:tblLook w:val="01E0"/>
      </w:tblPr>
      <w:tblGrid>
        <w:gridCol w:w="3032"/>
        <w:gridCol w:w="1550"/>
        <w:gridCol w:w="1897"/>
        <w:gridCol w:w="1550"/>
        <w:gridCol w:w="1637"/>
      </w:tblGrid>
      <w:tr>
        <w:trPr>
          <w:trHeight w:val="214" w:hRule="exact"/>
        </w:trPr>
        <w:tc>
          <w:tcPr>
            <w:tcW w:w="3032" w:type="dxa"/>
            <w:tcBorders>
              <w:top w:val="nil" w:sz="6" w:space="0" w:color="auto"/>
              <w:left w:val="nil" w:sz="6" w:space="0" w:color="auto"/>
              <w:bottom w:val="nil" w:sz="6" w:space="0" w:color="auto"/>
              <w:right w:val="nil" w:sz="6" w:space="0" w:color="auto"/>
            </w:tcBorders>
          </w:tcPr>
          <w:p>
            <w:pPr/>
          </w:p>
        </w:tc>
        <w:tc>
          <w:tcPr>
            <w:tcW w:w="1550" w:type="dxa"/>
            <w:tcBorders>
              <w:top w:val="nil" w:sz="6" w:space="0" w:color="auto"/>
              <w:left w:val="nil" w:sz="6" w:space="0" w:color="auto"/>
              <w:bottom w:val="single" w:sz="4" w:space="0" w:color="000000"/>
              <w:right w:val="nil" w:sz="6" w:space="0" w:color="auto"/>
            </w:tcBorders>
          </w:tcPr>
          <w:p>
            <w:pPr/>
          </w:p>
        </w:tc>
        <w:tc>
          <w:tcPr>
            <w:tcW w:w="1897" w:type="dxa"/>
            <w:tcBorders>
              <w:top w:val="nil" w:sz="6" w:space="0" w:color="auto"/>
              <w:left w:val="nil" w:sz="6" w:space="0" w:color="auto"/>
              <w:bottom w:val="single" w:sz="4" w:space="0" w:color="000000"/>
              <w:right w:val="nil" w:sz="6" w:space="0" w:color="auto"/>
            </w:tcBorders>
          </w:tcPr>
          <w:p>
            <w:pPr>
              <w:pStyle w:val="TableParagraph"/>
              <w:spacing w:line="195" w:lineRule="exact"/>
              <w:ind w:left="850" w:right="0"/>
              <w:jc w:val="left"/>
              <w:rPr>
                <w:rFonts w:ascii="宋体" w:hAnsi="宋体" w:cs="宋体" w:eastAsia="宋体" w:hint="default"/>
                <w:sz w:val="18"/>
                <w:szCs w:val="18"/>
              </w:rPr>
            </w:pPr>
            <w:r>
              <w:rPr>
                <w:rFonts w:ascii="Arial" w:hAnsi="Arial" w:cs="Arial" w:eastAsia="Arial" w:hint="default"/>
                <w:sz w:val="18"/>
                <w:szCs w:val="18"/>
              </w:rPr>
              <w:t>2019</w:t>
            </w:r>
            <w:r>
              <w:rPr>
                <w:rFonts w:ascii="Arial" w:hAnsi="Arial" w:cs="Arial" w:eastAsia="Arial" w:hint="default"/>
                <w:spacing w:val="-4"/>
                <w:sz w:val="18"/>
                <w:szCs w:val="18"/>
              </w:rPr>
              <w:t> </w:t>
            </w:r>
            <w:r>
              <w:rPr>
                <w:rFonts w:ascii="宋体" w:hAnsi="宋体" w:cs="宋体" w:eastAsia="宋体" w:hint="default"/>
                <w:sz w:val="18"/>
                <w:szCs w:val="18"/>
              </w:rPr>
              <w:t>年</w:t>
            </w:r>
          </w:p>
        </w:tc>
        <w:tc>
          <w:tcPr>
            <w:tcW w:w="1550" w:type="dxa"/>
            <w:tcBorders>
              <w:top w:val="nil" w:sz="6" w:space="0" w:color="auto"/>
              <w:left w:val="nil" w:sz="6" w:space="0" w:color="auto"/>
              <w:bottom w:val="single" w:sz="4" w:space="0" w:color="000000"/>
              <w:right w:val="nil" w:sz="6" w:space="0" w:color="auto"/>
            </w:tcBorders>
          </w:tcPr>
          <w:p>
            <w:pPr/>
          </w:p>
        </w:tc>
        <w:tc>
          <w:tcPr>
            <w:tcW w:w="1637" w:type="dxa"/>
            <w:tcBorders>
              <w:top w:val="nil" w:sz="6" w:space="0" w:color="auto"/>
              <w:left w:val="nil" w:sz="6" w:space="0" w:color="auto"/>
              <w:bottom w:val="single" w:sz="4" w:space="0" w:color="000000"/>
              <w:right w:val="nil" w:sz="6" w:space="0" w:color="auto"/>
            </w:tcBorders>
          </w:tcPr>
          <w:p>
            <w:pPr>
              <w:pStyle w:val="TableParagraph"/>
              <w:spacing w:line="195" w:lineRule="exact"/>
              <w:ind w:left="667" w:right="0"/>
              <w:jc w:val="left"/>
              <w:rPr>
                <w:rFonts w:ascii="宋体" w:hAnsi="宋体" w:cs="宋体" w:eastAsia="宋体" w:hint="default"/>
                <w:sz w:val="18"/>
                <w:szCs w:val="18"/>
              </w:rPr>
            </w:pPr>
            <w:r>
              <w:rPr>
                <w:rFonts w:ascii="Arial" w:hAnsi="Arial" w:cs="Arial" w:eastAsia="Arial" w:hint="default"/>
                <w:sz w:val="18"/>
                <w:szCs w:val="18"/>
              </w:rPr>
              <w:t>2018</w:t>
            </w:r>
            <w:r>
              <w:rPr>
                <w:rFonts w:ascii="Arial" w:hAnsi="Arial" w:cs="Arial" w:eastAsia="Arial" w:hint="default"/>
                <w:spacing w:val="-4"/>
                <w:sz w:val="18"/>
                <w:szCs w:val="18"/>
              </w:rPr>
              <w:t> </w:t>
            </w:r>
            <w:r>
              <w:rPr>
                <w:rFonts w:ascii="宋体" w:hAnsi="宋体" w:cs="宋体" w:eastAsia="宋体" w:hint="default"/>
                <w:sz w:val="18"/>
                <w:szCs w:val="18"/>
              </w:rPr>
              <w:t>年</w:t>
            </w:r>
          </w:p>
        </w:tc>
      </w:tr>
      <w:tr>
        <w:trPr>
          <w:trHeight w:val="1214"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00" w:right="0"/>
              <w:jc w:val="left"/>
              <w:rPr>
                <w:rFonts w:ascii="宋体" w:hAnsi="宋体" w:cs="宋体" w:eastAsia="宋体" w:hint="default"/>
                <w:sz w:val="18"/>
                <w:szCs w:val="18"/>
              </w:rPr>
            </w:pPr>
            <w:r>
              <w:rPr>
                <w:rFonts w:ascii="宋体"/>
                <w:w w:val="101"/>
                <w:sz w:val="18"/>
              </w:rPr>
              <w:t> </w:t>
            </w:r>
            <w:r>
              <w:rPr>
                <w:rFonts w:ascii="宋体"/>
                <w:sz w:val="18"/>
              </w:rPr>
            </w:r>
          </w:p>
        </w:tc>
        <w:tc>
          <w:tcPr>
            <w:tcW w:w="1550"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2"/>
                <w:szCs w:val="22"/>
              </w:rPr>
            </w:pPr>
          </w:p>
          <w:p>
            <w:pPr>
              <w:pStyle w:val="TableParagraph"/>
              <w:spacing w:line="230" w:lineRule="exact"/>
              <w:ind w:left="499" w:right="54" w:hanging="452"/>
              <w:jc w:val="left"/>
              <w:rPr>
                <w:rFonts w:ascii="宋体" w:hAnsi="宋体" w:cs="宋体" w:eastAsia="宋体" w:hint="default"/>
                <w:sz w:val="18"/>
                <w:szCs w:val="18"/>
              </w:rPr>
            </w:pPr>
            <w:r>
              <w:rPr>
                <w:rFonts w:ascii="宋体" w:hAnsi="宋体" w:cs="宋体" w:eastAsia="宋体" w:hint="default"/>
                <w:spacing w:val="-2"/>
                <w:sz w:val="18"/>
                <w:szCs w:val="18"/>
              </w:rPr>
              <w:t>新租赁准则下列报</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4"/>
                <w:sz w:val="18"/>
                <w:szCs w:val="18"/>
              </w:rPr>
              <w:t>的金额</w:t>
            </w:r>
            <w:r>
              <w:rPr>
                <w:rFonts w:ascii="宋体" w:hAnsi="宋体" w:cs="宋体" w:eastAsia="宋体" w:hint="default"/>
                <w:sz w:val="18"/>
                <w:szCs w:val="18"/>
              </w:rPr>
              <w:t> </w:t>
            </w:r>
          </w:p>
          <w:p>
            <w:pPr>
              <w:pStyle w:val="TableParagraph"/>
              <w:tabs>
                <w:tab w:pos="777" w:val="left" w:leader="none"/>
                <w:tab w:pos="1535" w:val="left" w:leader="none"/>
              </w:tabs>
              <w:spacing w:line="240" w:lineRule="auto" w:before="6"/>
              <w:ind w:right="0"/>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t>(A)</w:t>
              <w:tab/>
            </w:r>
            <w:r>
              <w:rPr>
                <w:rFonts w:ascii="Arial"/>
                <w:sz w:val="18"/>
              </w:rPr>
            </w:r>
          </w:p>
        </w:tc>
        <w:tc>
          <w:tcPr>
            <w:tcW w:w="1897"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43" w:right="46"/>
              <w:jc w:val="center"/>
              <w:rPr>
                <w:rFonts w:ascii="宋体" w:hAnsi="宋体" w:cs="宋体" w:eastAsia="宋体" w:hint="default"/>
                <w:sz w:val="18"/>
                <w:szCs w:val="18"/>
              </w:rPr>
            </w:pPr>
            <w:r>
              <w:rPr>
                <w:rFonts w:ascii="宋体" w:hAnsi="宋体" w:cs="宋体" w:eastAsia="宋体" w:hint="default"/>
                <w:spacing w:val="-2"/>
                <w:sz w:val="18"/>
                <w:szCs w:val="18"/>
              </w:rPr>
              <w:t>根据原租赁准则与经营</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租赁相关的估计金额</w:t>
            </w:r>
            <w:r>
              <w:rPr>
                <w:rFonts w:ascii="宋体" w:hAnsi="宋体" w:cs="宋体" w:eastAsia="宋体" w:hint="default"/>
                <w:sz w:val="18"/>
                <w:szCs w:val="18"/>
              </w:rPr>
              <w:t> </w:t>
            </w:r>
          </w:p>
          <w:p>
            <w:pPr>
              <w:pStyle w:val="TableParagraph"/>
              <w:spacing w:line="243" w:lineRule="exact"/>
              <w:ind w:right="2"/>
              <w:jc w:val="center"/>
              <w:rPr>
                <w:rFonts w:ascii="宋体" w:hAnsi="宋体" w:cs="宋体" w:eastAsia="宋体" w:hint="default"/>
                <w:sz w:val="18"/>
                <w:szCs w:val="18"/>
              </w:rPr>
            </w:pPr>
            <w:r>
              <w:rPr>
                <w:rFonts w:ascii="宋体" w:hAnsi="宋体" w:cs="宋体" w:eastAsia="宋体" w:hint="default"/>
                <w:sz w:val="18"/>
                <w:szCs w:val="18"/>
              </w:rPr>
              <w:t>（附注</w:t>
            </w:r>
            <w:r>
              <w:rPr>
                <w:rFonts w:ascii="宋体" w:hAnsi="宋体" w:cs="宋体" w:eastAsia="宋体" w:hint="default"/>
                <w:spacing w:val="-43"/>
                <w:sz w:val="18"/>
                <w:szCs w:val="18"/>
              </w:rPr>
              <w:t> </w:t>
            </w:r>
            <w:r>
              <w:rPr>
                <w:rFonts w:ascii="Arial" w:hAnsi="Arial" w:cs="Arial" w:eastAsia="Arial" w:hint="default"/>
                <w:sz w:val="18"/>
                <w:szCs w:val="18"/>
              </w:rPr>
              <w:t>i</w:t>
            </w:r>
            <w:r>
              <w:rPr>
                <w:rFonts w:ascii="Arial" w:hAnsi="Arial" w:cs="Arial" w:eastAsia="Arial" w:hint="default"/>
                <w:spacing w:val="-5"/>
                <w:sz w:val="18"/>
                <w:szCs w:val="18"/>
              </w:rPr>
              <w:t> </w:t>
            </w:r>
            <w:r>
              <w:rPr>
                <w:rFonts w:ascii="宋体" w:hAnsi="宋体" w:cs="宋体" w:eastAsia="宋体" w:hint="default"/>
                <w:sz w:val="18"/>
                <w:szCs w:val="18"/>
              </w:rPr>
              <w:t>和</w:t>
            </w:r>
            <w:r>
              <w:rPr>
                <w:rFonts w:ascii="宋体" w:hAnsi="宋体" w:cs="宋体" w:eastAsia="宋体" w:hint="default"/>
                <w:spacing w:val="-43"/>
                <w:sz w:val="18"/>
                <w:szCs w:val="18"/>
              </w:rPr>
              <w:t> </w:t>
            </w:r>
            <w:r>
              <w:rPr>
                <w:rFonts w:ascii="Arial" w:hAnsi="Arial" w:cs="Arial" w:eastAsia="Arial" w:hint="default"/>
                <w:sz w:val="18"/>
                <w:szCs w:val="18"/>
              </w:rPr>
              <w:t>ii</w:t>
            </w:r>
            <w:r>
              <w:rPr>
                <w:rFonts w:ascii="宋体" w:hAnsi="宋体" w:cs="宋体" w:eastAsia="宋体" w:hint="default"/>
                <w:sz w:val="18"/>
                <w:szCs w:val="18"/>
              </w:rPr>
              <w:t>）</w:t>
            </w:r>
          </w:p>
          <w:p>
            <w:pPr>
              <w:pStyle w:val="TableParagraph"/>
              <w:tabs>
                <w:tab w:pos="911" w:val="left" w:leader="none"/>
                <w:tab w:pos="1804" w:val="left" w:leader="none"/>
              </w:tabs>
              <w:spacing w:line="240" w:lineRule="auto" w:before="14"/>
              <w:ind w:right="2"/>
              <w:jc w:val="center"/>
              <w:rPr>
                <w:rFonts w:ascii="宋体" w:hAnsi="宋体" w:cs="宋体" w:eastAsia="宋体" w:hint="default"/>
                <w:sz w:val="18"/>
                <w:szCs w:val="18"/>
              </w:rPr>
            </w:pPr>
            <w:r>
              <w:rPr>
                <w:rFonts w:ascii="Arial"/>
                <w:w w:val="101"/>
                <w:sz w:val="18"/>
              </w:rPr>
            </w:r>
            <w:r>
              <w:rPr>
                <w:rFonts w:ascii="Arial"/>
                <w:w w:val="101"/>
                <w:sz w:val="18"/>
                <w:u w:val="single" w:color="000000"/>
              </w:rPr>
              <w:t> </w:t>
            </w:r>
            <w:r>
              <w:rPr>
                <w:rFonts w:ascii="Arial"/>
                <w:sz w:val="18"/>
                <w:u w:val="single" w:color="000000"/>
              </w:rPr>
              <w:tab/>
              <w:t>(B)</w:t>
            </w:r>
            <w:r>
              <w:rPr>
                <w:rFonts w:ascii="宋体"/>
                <w:sz w:val="18"/>
                <w:u w:val="single" w:color="000000"/>
              </w:rPr>
              <w:t> </w:t>
              <w:tab/>
            </w:r>
            <w:r>
              <w:rPr>
                <w:rFonts w:ascii="宋体"/>
                <w:sz w:val="18"/>
              </w:rPr>
            </w:r>
          </w:p>
        </w:tc>
        <w:tc>
          <w:tcPr>
            <w:tcW w:w="1550"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2"/>
                <w:szCs w:val="22"/>
              </w:rPr>
            </w:pPr>
          </w:p>
          <w:p>
            <w:pPr>
              <w:pStyle w:val="TableParagraph"/>
              <w:spacing w:line="230" w:lineRule="exact"/>
              <w:ind w:left="249" w:right="36" w:hanging="183"/>
              <w:jc w:val="left"/>
              <w:rPr>
                <w:rFonts w:ascii="宋体" w:hAnsi="宋体" w:cs="宋体" w:eastAsia="宋体" w:hint="default"/>
                <w:sz w:val="18"/>
                <w:szCs w:val="18"/>
              </w:rPr>
            </w:pPr>
            <w:r>
              <w:rPr>
                <w:rFonts w:ascii="宋体" w:hAnsi="宋体" w:cs="宋体" w:eastAsia="宋体" w:hint="default"/>
                <w:spacing w:val="-2"/>
                <w:sz w:val="18"/>
                <w:szCs w:val="18"/>
              </w:rPr>
              <w:t>假设采用原租赁准</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则的模拟金额</w:t>
            </w:r>
          </w:p>
          <w:p>
            <w:pPr>
              <w:pStyle w:val="TableParagraph"/>
              <w:tabs>
                <w:tab w:pos="436" w:val="left" w:leader="none"/>
                <w:tab w:pos="1550" w:val="left" w:leader="none"/>
              </w:tabs>
              <w:spacing w:line="240" w:lineRule="auto" w:before="6"/>
              <w:ind w:left="19" w:right="0"/>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t>(C=A+B)</w:t>
              <w:tab/>
            </w:r>
            <w:r>
              <w:rPr>
                <w:rFonts w:ascii="Arial"/>
                <w:sz w:val="18"/>
              </w:rPr>
            </w:r>
          </w:p>
        </w:tc>
        <w:tc>
          <w:tcPr>
            <w:tcW w:w="1637" w:type="dxa"/>
            <w:tcBorders>
              <w:top w:val="single" w:sz="4" w:space="0" w:color="000000"/>
              <w:left w:val="nil" w:sz="6" w:space="0" w:color="auto"/>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35" w:lineRule="exact"/>
              <w:ind w:right="431"/>
              <w:jc w:val="right"/>
              <w:rPr>
                <w:rFonts w:ascii="宋体" w:hAnsi="宋体" w:cs="宋体" w:eastAsia="宋体" w:hint="default"/>
                <w:sz w:val="18"/>
                <w:szCs w:val="18"/>
              </w:rPr>
            </w:pPr>
            <w:r>
              <w:rPr>
                <w:rFonts w:ascii="宋体"/>
                <w:w w:val="101"/>
                <w:sz w:val="18"/>
              </w:rPr>
              <w:t> </w:t>
            </w:r>
            <w:r>
              <w:rPr>
                <w:rFonts w:ascii="宋体"/>
                <w:sz w:val="18"/>
              </w:rPr>
            </w:r>
          </w:p>
          <w:p>
            <w:pPr>
              <w:pStyle w:val="TableParagraph"/>
              <w:spacing w:line="240" w:lineRule="auto"/>
              <w:ind w:left="326" w:right="45" w:hanging="183"/>
              <w:jc w:val="left"/>
              <w:rPr>
                <w:rFonts w:ascii="宋体" w:hAnsi="宋体" w:cs="宋体" w:eastAsia="宋体" w:hint="default"/>
                <w:sz w:val="18"/>
                <w:szCs w:val="18"/>
              </w:rPr>
            </w:pPr>
            <w:r>
              <w:rPr>
                <w:rFonts w:ascii="宋体" w:hAnsi="宋体" w:cs="宋体" w:eastAsia="宋体" w:hint="default"/>
                <w:spacing w:val="-2"/>
                <w:sz w:val="18"/>
                <w:szCs w:val="18"/>
              </w:rPr>
              <w:t>根据原租赁准则列</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3"/>
                <w:sz w:val="18"/>
                <w:szCs w:val="18"/>
              </w:rPr>
              <w:t>报的比较金额</w:t>
            </w:r>
            <w:r>
              <w:rPr>
                <w:rFonts w:ascii="宋体" w:hAnsi="宋体" w:cs="宋体" w:eastAsia="宋体" w:hint="default"/>
                <w:sz w:val="18"/>
                <w:szCs w:val="18"/>
              </w:rPr>
              <w:t> </w:t>
            </w:r>
          </w:p>
          <w:p>
            <w:pPr>
              <w:pStyle w:val="TableParagraph"/>
              <w:spacing w:line="230" w:lineRule="exact"/>
              <w:ind w:right="431"/>
              <w:jc w:val="right"/>
              <w:rPr>
                <w:rFonts w:ascii="宋体" w:hAnsi="宋体" w:cs="宋体" w:eastAsia="宋体" w:hint="default"/>
                <w:sz w:val="18"/>
                <w:szCs w:val="18"/>
              </w:rPr>
            </w:pPr>
            <w:r>
              <w:rPr>
                <w:rFonts w:ascii="宋体"/>
                <w:w w:val="101"/>
                <w:sz w:val="18"/>
              </w:rPr>
              <w:t> </w:t>
            </w:r>
            <w:r>
              <w:rPr>
                <w:rFonts w:ascii="宋体"/>
                <w:sz w:val="18"/>
              </w:rPr>
            </w:r>
          </w:p>
        </w:tc>
      </w:tr>
      <w:tr>
        <w:trPr>
          <w:trHeight w:val="472"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219" w:lineRule="exact"/>
              <w:ind w:left="200" w:right="-5"/>
              <w:jc w:val="left"/>
              <w:rPr>
                <w:rFonts w:ascii="宋体" w:hAnsi="宋体" w:cs="宋体" w:eastAsia="宋体" w:hint="default"/>
                <w:sz w:val="18"/>
                <w:szCs w:val="18"/>
              </w:rPr>
            </w:pPr>
            <w:r>
              <w:rPr>
                <w:rFonts w:ascii="宋体" w:hAnsi="宋体" w:cs="宋体" w:eastAsia="宋体" w:hint="default"/>
                <w:sz w:val="18"/>
                <w:szCs w:val="18"/>
              </w:rPr>
              <w:t>采用新租赁准则后的</w:t>
            </w:r>
            <w:r>
              <w:rPr>
                <w:rFonts w:ascii="宋体" w:hAnsi="宋体" w:cs="宋体" w:eastAsia="宋体" w:hint="default"/>
                <w:spacing w:val="-43"/>
                <w:sz w:val="18"/>
                <w:szCs w:val="18"/>
              </w:rPr>
              <w:t> </w:t>
            </w:r>
            <w:r>
              <w:rPr>
                <w:rFonts w:ascii="Arial" w:hAnsi="Arial" w:cs="Arial" w:eastAsia="Arial" w:hint="default"/>
                <w:sz w:val="18"/>
                <w:szCs w:val="18"/>
              </w:rPr>
              <w:t>2019</w:t>
            </w:r>
            <w:r>
              <w:rPr>
                <w:rFonts w:ascii="Arial" w:hAnsi="Arial" w:cs="Arial" w:eastAsia="Arial" w:hint="default"/>
                <w:spacing w:val="-4"/>
                <w:sz w:val="18"/>
                <w:szCs w:val="18"/>
              </w:rPr>
              <w:t> </w:t>
            </w:r>
            <w:r>
              <w:rPr>
                <w:rFonts w:ascii="宋体" w:hAnsi="宋体" w:cs="宋体" w:eastAsia="宋体" w:hint="default"/>
                <w:sz w:val="18"/>
                <w:szCs w:val="18"/>
              </w:rPr>
              <w:t>年度合并</w:t>
            </w:r>
          </w:p>
          <w:p>
            <w:pPr>
              <w:pStyle w:val="TableParagraph"/>
              <w:spacing w:line="229" w:lineRule="exact"/>
              <w:ind w:left="382" w:right="0"/>
              <w:jc w:val="left"/>
              <w:rPr>
                <w:rFonts w:ascii="宋体" w:hAnsi="宋体" w:cs="宋体" w:eastAsia="宋体" w:hint="default"/>
                <w:sz w:val="18"/>
                <w:szCs w:val="18"/>
              </w:rPr>
            </w:pPr>
            <w:r>
              <w:rPr>
                <w:rFonts w:ascii="宋体" w:hAnsi="宋体" w:cs="宋体" w:eastAsia="宋体" w:hint="default"/>
                <w:spacing w:val="-3"/>
                <w:sz w:val="18"/>
                <w:szCs w:val="18"/>
              </w:rPr>
              <w:t>现金流量表中项目</w:t>
            </w:r>
            <w:r>
              <w:rPr>
                <w:rFonts w:ascii="宋体" w:hAnsi="宋体" w:cs="宋体" w:eastAsia="宋体" w:hint="default"/>
                <w:sz w:val="18"/>
                <w:szCs w:val="18"/>
              </w:rPr>
              <w:t> </w:t>
            </w:r>
          </w:p>
        </w:tc>
        <w:tc>
          <w:tcPr>
            <w:tcW w:w="1550"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nil" w:sz="6" w:space="0" w:color="auto"/>
            </w:tcBorders>
          </w:tcPr>
          <w:p>
            <w:pPr/>
          </w:p>
        </w:tc>
        <w:tc>
          <w:tcPr>
            <w:tcW w:w="1550" w:type="dxa"/>
            <w:tcBorders>
              <w:top w:val="nil" w:sz="6" w:space="0" w:color="auto"/>
              <w:left w:val="nil" w:sz="6" w:space="0" w:color="auto"/>
              <w:bottom w:val="nil" w:sz="6" w:space="0" w:color="auto"/>
              <w:right w:val="nil" w:sz="6" w:space="0" w:color="auto"/>
            </w:tcBorders>
          </w:tcPr>
          <w:p>
            <w:pPr/>
          </w:p>
        </w:tc>
        <w:tc>
          <w:tcPr>
            <w:tcW w:w="1637" w:type="dxa"/>
            <w:tcBorders>
              <w:top w:val="single" w:sz="4" w:space="0" w:color="000000"/>
              <w:left w:val="nil" w:sz="6" w:space="0" w:color="auto"/>
              <w:bottom w:val="nil" w:sz="6" w:space="0" w:color="auto"/>
              <w:right w:val="nil" w:sz="6" w:space="0" w:color="auto"/>
            </w:tcBorders>
          </w:tcPr>
          <w:p>
            <w:pPr/>
          </w:p>
        </w:tc>
      </w:tr>
      <w:tr>
        <w:trPr>
          <w:trHeight w:val="233"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206" w:lineRule="exact"/>
              <w:ind w:left="200" w:right="0"/>
              <w:jc w:val="left"/>
              <w:rPr>
                <w:rFonts w:ascii="宋体" w:hAnsi="宋体" w:cs="宋体" w:eastAsia="宋体" w:hint="default"/>
                <w:sz w:val="18"/>
                <w:szCs w:val="18"/>
              </w:rPr>
            </w:pPr>
            <w:r>
              <w:rPr>
                <w:rFonts w:ascii="宋体"/>
                <w:w w:val="101"/>
                <w:sz w:val="18"/>
              </w:rPr>
              <w:t> </w:t>
            </w:r>
            <w:r>
              <w:rPr>
                <w:rFonts w:ascii="宋体"/>
                <w:sz w:val="18"/>
              </w:rPr>
            </w:r>
          </w:p>
        </w:tc>
        <w:tc>
          <w:tcPr>
            <w:tcW w:w="1550"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nil" w:sz="6" w:space="0" w:color="auto"/>
            </w:tcBorders>
          </w:tcPr>
          <w:p>
            <w:pPr/>
          </w:p>
        </w:tc>
        <w:tc>
          <w:tcPr>
            <w:tcW w:w="1550"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
        </w:tc>
      </w:tr>
      <w:tr>
        <w:trPr>
          <w:trHeight w:val="247"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208" w:lineRule="exact"/>
              <w:ind w:left="200" w:right="0"/>
              <w:jc w:val="left"/>
              <w:rPr>
                <w:rFonts w:ascii="宋体" w:hAnsi="宋体" w:cs="宋体" w:eastAsia="宋体" w:hint="default"/>
                <w:sz w:val="18"/>
                <w:szCs w:val="18"/>
              </w:rPr>
            </w:pPr>
            <w:r>
              <w:rPr>
                <w:rFonts w:ascii="宋体" w:hAnsi="宋体" w:cs="宋体" w:eastAsia="宋体" w:hint="default"/>
                <w:spacing w:val="-3"/>
                <w:sz w:val="18"/>
                <w:szCs w:val="18"/>
              </w:rPr>
              <w:t>购买商品、接受劳务支付的现金</w:t>
            </w:r>
            <w:r>
              <w:rPr>
                <w:rFonts w:ascii="宋体" w:hAnsi="宋体" w:cs="宋体" w:eastAsia="宋体" w:hint="default"/>
                <w:sz w:val="18"/>
                <w:szCs w:val="18"/>
              </w:rPr>
              <w:t> </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0"/>
              <w:jc w:val="center"/>
              <w:rPr>
                <w:rFonts w:ascii="Arial" w:hAnsi="Arial" w:cs="Arial" w:eastAsia="Arial" w:hint="default"/>
                <w:sz w:val="18"/>
                <w:szCs w:val="18"/>
              </w:rPr>
            </w:pPr>
            <w:r>
              <w:rPr>
                <w:rFonts w:ascii="Arial"/>
                <w:spacing w:val="-3"/>
                <w:sz w:val="18"/>
              </w:rPr>
              <w:t>(148,308,611,071)</w:t>
            </w:r>
            <w:r>
              <w:rPr>
                <w:rFonts w:ascii="Arial"/>
                <w:sz w:val="18"/>
              </w:rPr>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76"/>
              <w:jc w:val="right"/>
              <w:rPr>
                <w:rFonts w:ascii="Arial" w:hAnsi="Arial" w:cs="Arial" w:eastAsia="Arial" w:hint="default"/>
                <w:sz w:val="18"/>
                <w:szCs w:val="18"/>
              </w:rPr>
            </w:pPr>
            <w:r>
              <w:rPr>
                <w:rFonts w:ascii="Arial"/>
                <w:spacing w:val="-2"/>
                <w:sz w:val="18"/>
              </w:rPr>
              <w:t>(12,222,413,058)</w:t>
            </w:r>
            <w:r>
              <w:rPr>
                <w:rFonts w:ascii="Arial"/>
                <w:sz w:val="18"/>
              </w:rPr>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7"/>
              <w:jc w:val="right"/>
              <w:rPr>
                <w:rFonts w:ascii="Arial" w:hAnsi="Arial" w:cs="Arial" w:eastAsia="Arial" w:hint="default"/>
                <w:sz w:val="18"/>
                <w:szCs w:val="18"/>
              </w:rPr>
            </w:pPr>
            <w:r>
              <w:rPr>
                <w:rFonts w:ascii="Arial"/>
                <w:spacing w:val="-2"/>
                <w:sz w:val="18"/>
              </w:rPr>
              <w:t>(160,531,024,129)</w:t>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7"/>
              <w:jc w:val="right"/>
              <w:rPr>
                <w:rFonts w:ascii="Arial" w:hAnsi="Arial" w:cs="Arial" w:eastAsia="Arial" w:hint="default"/>
                <w:sz w:val="18"/>
                <w:szCs w:val="18"/>
              </w:rPr>
            </w:pPr>
            <w:r>
              <w:rPr>
                <w:rFonts w:ascii="Arial"/>
                <w:spacing w:val="-2"/>
                <w:sz w:val="18"/>
              </w:rPr>
              <w:t>(156,093,700,049)</w:t>
            </w:r>
          </w:p>
        </w:tc>
      </w:tr>
      <w:tr>
        <w:trPr>
          <w:trHeight w:val="230"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197" w:lineRule="exact"/>
              <w:ind w:left="200" w:right="0"/>
              <w:jc w:val="left"/>
              <w:rPr>
                <w:rFonts w:ascii="宋体" w:hAnsi="宋体" w:cs="宋体" w:eastAsia="宋体" w:hint="default"/>
                <w:sz w:val="18"/>
                <w:szCs w:val="18"/>
              </w:rPr>
            </w:pPr>
            <w:r>
              <w:rPr>
                <w:rFonts w:ascii="宋体" w:hAnsi="宋体" w:cs="宋体" w:eastAsia="宋体" w:hint="default"/>
                <w:spacing w:val="-3"/>
                <w:sz w:val="18"/>
                <w:szCs w:val="18"/>
              </w:rPr>
              <w:t>经营活动产生的现金流量净额</w:t>
            </w:r>
            <w:r>
              <w:rPr>
                <w:rFonts w:ascii="宋体" w:hAnsi="宋体" w:cs="宋体" w:eastAsia="宋体" w:hint="default"/>
                <w:sz w:val="18"/>
                <w:szCs w:val="18"/>
              </w:rPr>
              <w:t> </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11" w:right="0"/>
              <w:jc w:val="center"/>
              <w:rPr>
                <w:rFonts w:ascii="Arial" w:hAnsi="Arial" w:cs="Arial" w:eastAsia="Arial" w:hint="default"/>
                <w:sz w:val="18"/>
                <w:szCs w:val="18"/>
              </w:rPr>
            </w:pPr>
            <w:r>
              <w:rPr>
                <w:rFonts w:ascii="Arial"/>
                <w:sz w:val="18"/>
              </w:rPr>
              <w:t>96,208,235,799</w:t>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6"/>
              <w:jc w:val="right"/>
              <w:rPr>
                <w:rFonts w:ascii="Arial" w:hAnsi="Arial" w:cs="Arial" w:eastAsia="Arial" w:hint="default"/>
                <w:sz w:val="18"/>
                <w:szCs w:val="18"/>
              </w:rPr>
            </w:pPr>
            <w:r>
              <w:rPr>
                <w:rFonts w:ascii="Arial"/>
                <w:spacing w:val="-2"/>
                <w:sz w:val="18"/>
              </w:rPr>
              <w:t>(12,222,413,058)</w:t>
            </w:r>
            <w:r>
              <w:rPr>
                <w:rFonts w:ascii="Arial"/>
                <w:sz w:val="18"/>
              </w:rPr>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9"/>
              <w:jc w:val="right"/>
              <w:rPr>
                <w:rFonts w:ascii="Arial" w:hAnsi="Arial" w:cs="Arial" w:eastAsia="Arial" w:hint="default"/>
                <w:sz w:val="18"/>
                <w:szCs w:val="18"/>
              </w:rPr>
            </w:pPr>
            <w:r>
              <w:rPr>
                <w:rFonts w:ascii="Arial"/>
                <w:spacing w:val="-2"/>
                <w:sz w:val="18"/>
              </w:rPr>
              <w:t>83,985,822,741</w:t>
            </w:r>
            <w:r>
              <w:rPr>
                <w:rFonts w:ascii="Arial"/>
                <w:sz w:val="18"/>
              </w:rPr>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4"/>
              <w:jc w:val="right"/>
              <w:rPr>
                <w:rFonts w:ascii="Arial" w:hAnsi="Arial" w:cs="Arial" w:eastAsia="Arial" w:hint="default"/>
                <w:sz w:val="18"/>
                <w:szCs w:val="18"/>
              </w:rPr>
            </w:pPr>
            <w:r>
              <w:rPr>
                <w:rFonts w:ascii="Arial"/>
                <w:spacing w:val="-2"/>
                <w:sz w:val="18"/>
              </w:rPr>
              <w:t>94,829,725,347</w:t>
            </w:r>
            <w:r>
              <w:rPr>
                <w:rFonts w:ascii="Arial"/>
                <w:sz w:val="18"/>
              </w:rPr>
            </w:r>
          </w:p>
        </w:tc>
      </w:tr>
      <w:tr>
        <w:trPr>
          <w:trHeight w:val="224"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197" w:lineRule="exact"/>
              <w:ind w:left="200" w:right="0"/>
              <w:jc w:val="left"/>
              <w:rPr>
                <w:rFonts w:ascii="宋体" w:hAnsi="宋体" w:cs="宋体" w:eastAsia="宋体" w:hint="default"/>
                <w:sz w:val="18"/>
                <w:szCs w:val="18"/>
              </w:rPr>
            </w:pPr>
            <w:r>
              <w:rPr>
                <w:rFonts w:ascii="宋体"/>
                <w:w w:val="101"/>
                <w:sz w:val="18"/>
              </w:rPr>
              <w:t> </w:t>
            </w:r>
            <w:r>
              <w:rPr>
                <w:rFonts w:ascii="宋体"/>
                <w:sz w:val="18"/>
              </w:rPr>
            </w:r>
          </w:p>
        </w:tc>
        <w:tc>
          <w:tcPr>
            <w:tcW w:w="1550"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nil" w:sz="6" w:space="0" w:color="auto"/>
            </w:tcBorders>
          </w:tcPr>
          <w:p>
            <w:pPr/>
          </w:p>
        </w:tc>
        <w:tc>
          <w:tcPr>
            <w:tcW w:w="1550"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
        </w:tc>
      </w:tr>
      <w:tr>
        <w:trPr>
          <w:trHeight w:val="244"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208" w:lineRule="exact"/>
              <w:ind w:left="200" w:right="0"/>
              <w:jc w:val="left"/>
              <w:rPr>
                <w:rFonts w:ascii="宋体" w:hAnsi="宋体" w:cs="宋体" w:eastAsia="宋体" w:hint="default"/>
                <w:sz w:val="18"/>
                <w:szCs w:val="18"/>
              </w:rPr>
            </w:pPr>
            <w:r>
              <w:rPr>
                <w:rFonts w:ascii="宋体" w:hAnsi="宋体" w:cs="宋体" w:eastAsia="宋体" w:hint="default"/>
                <w:spacing w:val="-3"/>
                <w:sz w:val="18"/>
                <w:szCs w:val="18"/>
              </w:rPr>
              <w:t>偿还债务支付的现金</w:t>
            </w:r>
            <w:r>
              <w:rPr>
                <w:rFonts w:ascii="宋体" w:hAnsi="宋体" w:cs="宋体" w:eastAsia="宋体" w:hint="default"/>
                <w:sz w:val="18"/>
                <w:szCs w:val="18"/>
              </w:rPr>
              <w:t> </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85" w:right="0"/>
              <w:jc w:val="center"/>
              <w:rPr>
                <w:rFonts w:ascii="Arial" w:hAnsi="Arial" w:cs="Arial" w:eastAsia="Arial" w:hint="default"/>
                <w:sz w:val="18"/>
                <w:szCs w:val="18"/>
              </w:rPr>
            </w:pPr>
            <w:r>
              <w:rPr>
                <w:rFonts w:ascii="Arial"/>
                <w:sz w:val="18"/>
              </w:rPr>
              <w:t>(66,878,971,703)</w:t>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22"/>
              <w:jc w:val="right"/>
              <w:rPr>
                <w:rFonts w:ascii="Arial" w:hAnsi="Arial" w:cs="Arial" w:eastAsia="Arial" w:hint="default"/>
                <w:sz w:val="18"/>
                <w:szCs w:val="18"/>
              </w:rPr>
            </w:pPr>
            <w:r>
              <w:rPr>
                <w:rFonts w:ascii="Arial"/>
                <w:spacing w:val="-2"/>
                <w:sz w:val="18"/>
              </w:rPr>
              <w:t>10,883,294,375</w:t>
            </w:r>
            <w:r>
              <w:rPr>
                <w:rFonts w:ascii="Arial"/>
                <w:sz w:val="18"/>
              </w:rPr>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8"/>
              <w:jc w:val="right"/>
              <w:rPr>
                <w:rFonts w:ascii="Arial" w:hAnsi="Arial" w:cs="Arial" w:eastAsia="Arial" w:hint="default"/>
                <w:sz w:val="18"/>
                <w:szCs w:val="18"/>
              </w:rPr>
            </w:pPr>
            <w:r>
              <w:rPr>
                <w:rFonts w:ascii="Arial"/>
                <w:spacing w:val="-2"/>
                <w:sz w:val="18"/>
              </w:rPr>
              <w:t>(55,995,677,328)</w:t>
            </w:r>
            <w:r>
              <w:rPr>
                <w:rFonts w:ascii="Arial"/>
                <w:sz w:val="18"/>
              </w:rPr>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8"/>
              <w:jc w:val="right"/>
              <w:rPr>
                <w:rFonts w:ascii="Arial" w:hAnsi="Arial" w:cs="Arial" w:eastAsia="Arial" w:hint="default"/>
                <w:sz w:val="18"/>
                <w:szCs w:val="18"/>
              </w:rPr>
            </w:pPr>
            <w:r>
              <w:rPr>
                <w:rFonts w:ascii="Arial"/>
                <w:spacing w:val="-2"/>
                <w:sz w:val="18"/>
              </w:rPr>
              <w:t>(90,468,088,413)</w:t>
            </w:r>
            <w:r>
              <w:rPr>
                <w:rFonts w:ascii="Arial"/>
                <w:sz w:val="18"/>
              </w:rPr>
            </w:r>
          </w:p>
        </w:tc>
      </w:tr>
      <w:tr>
        <w:trPr>
          <w:trHeight w:val="293"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194" w:lineRule="exact"/>
              <w:ind w:left="200" w:right="0"/>
              <w:jc w:val="left"/>
              <w:rPr>
                <w:rFonts w:ascii="宋体" w:hAnsi="宋体" w:cs="宋体" w:eastAsia="宋体" w:hint="default"/>
                <w:sz w:val="18"/>
                <w:szCs w:val="18"/>
              </w:rPr>
            </w:pPr>
            <w:r>
              <w:rPr>
                <w:rFonts w:ascii="宋体" w:hAnsi="宋体" w:cs="宋体" w:eastAsia="宋体" w:hint="default"/>
                <w:spacing w:val="-3"/>
                <w:sz w:val="18"/>
                <w:szCs w:val="18"/>
              </w:rPr>
              <w:t>分配股利或偿付利息所支付的现金</w:t>
            </w:r>
            <w:r>
              <w:rPr>
                <w:rFonts w:ascii="宋体" w:hAnsi="宋体" w:cs="宋体" w:eastAsia="宋体" w:hint="default"/>
                <w:sz w:val="18"/>
                <w:szCs w:val="18"/>
              </w:rPr>
              <w:t> </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86" w:right="0"/>
              <w:jc w:val="center"/>
              <w:rPr>
                <w:rFonts w:ascii="Arial" w:hAnsi="Arial" w:cs="Arial" w:eastAsia="Arial" w:hint="default"/>
                <w:sz w:val="18"/>
                <w:szCs w:val="18"/>
              </w:rPr>
            </w:pPr>
            <w:r>
              <w:rPr>
                <w:rFonts w:ascii="Arial"/>
                <w:sz w:val="18"/>
              </w:rPr>
              <w:t>(6,315,227,479)</w:t>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27"/>
              <w:jc w:val="right"/>
              <w:rPr>
                <w:rFonts w:ascii="Arial" w:hAnsi="Arial" w:cs="Arial" w:eastAsia="Arial" w:hint="default"/>
                <w:sz w:val="18"/>
                <w:szCs w:val="18"/>
              </w:rPr>
            </w:pPr>
            <w:r>
              <w:rPr>
                <w:rFonts w:ascii="Arial"/>
                <w:spacing w:val="-3"/>
                <w:sz w:val="18"/>
              </w:rPr>
              <w:t>1,339,118,683</w:t>
            </w:r>
            <w:r>
              <w:rPr>
                <w:rFonts w:ascii="Arial"/>
                <w:sz w:val="18"/>
              </w:rPr>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8"/>
              <w:jc w:val="right"/>
              <w:rPr>
                <w:rFonts w:ascii="Arial" w:hAnsi="Arial" w:cs="Arial" w:eastAsia="Arial" w:hint="default"/>
                <w:sz w:val="18"/>
                <w:szCs w:val="18"/>
              </w:rPr>
            </w:pPr>
            <w:r>
              <w:rPr>
                <w:rFonts w:ascii="Arial"/>
                <w:spacing w:val="-2"/>
                <w:sz w:val="18"/>
              </w:rPr>
              <w:t>(4,976,108,796)</w:t>
            </w:r>
            <w:r>
              <w:rPr>
                <w:rFonts w:ascii="Arial"/>
                <w:sz w:val="18"/>
              </w:rPr>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8"/>
              <w:jc w:val="right"/>
              <w:rPr>
                <w:rFonts w:ascii="Arial" w:hAnsi="Arial" w:cs="Arial" w:eastAsia="Arial" w:hint="default"/>
                <w:sz w:val="18"/>
                <w:szCs w:val="18"/>
              </w:rPr>
            </w:pPr>
            <w:r>
              <w:rPr>
                <w:rFonts w:ascii="Arial"/>
                <w:spacing w:val="-2"/>
                <w:sz w:val="18"/>
              </w:rPr>
              <w:t>(3,938,559,553)</w:t>
            </w:r>
            <w:r>
              <w:rPr>
                <w:rFonts w:ascii="Arial"/>
                <w:sz w:val="18"/>
              </w:rPr>
            </w:r>
          </w:p>
        </w:tc>
      </w:tr>
      <w:tr>
        <w:trPr>
          <w:trHeight w:val="280"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240" w:lineRule="auto" w:before="21"/>
              <w:ind w:left="200" w:right="0"/>
              <w:jc w:val="left"/>
              <w:rPr>
                <w:rFonts w:ascii="宋体" w:hAnsi="宋体" w:cs="宋体" w:eastAsia="宋体" w:hint="default"/>
                <w:sz w:val="18"/>
                <w:szCs w:val="18"/>
              </w:rPr>
            </w:pPr>
            <w:r>
              <w:rPr>
                <w:rFonts w:ascii="宋体" w:hAnsi="宋体" w:cs="宋体" w:eastAsia="宋体" w:hint="default"/>
                <w:spacing w:val="-3"/>
                <w:sz w:val="18"/>
                <w:szCs w:val="18"/>
              </w:rPr>
              <w:t>筹资活动产生的现金流量净额</w:t>
            </w:r>
            <w:r>
              <w:rPr>
                <w:rFonts w:ascii="宋体" w:hAnsi="宋体" w:cs="宋体" w:eastAsia="宋体" w:hint="default"/>
                <w:sz w:val="18"/>
                <w:szCs w:val="18"/>
              </w:rPr>
              <w:t> </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77"/>
              <w:ind w:left="85" w:right="0"/>
              <w:jc w:val="center"/>
              <w:rPr>
                <w:rFonts w:ascii="Arial" w:hAnsi="Arial" w:cs="Arial" w:eastAsia="Arial" w:hint="default"/>
                <w:sz w:val="18"/>
                <w:szCs w:val="18"/>
              </w:rPr>
            </w:pPr>
            <w:r>
              <w:rPr>
                <w:rFonts w:ascii="Arial"/>
                <w:sz w:val="18"/>
              </w:rPr>
              <w:t>(32,469,497,587)</w:t>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22"/>
              <w:jc w:val="right"/>
              <w:rPr>
                <w:rFonts w:ascii="Arial" w:hAnsi="Arial" w:cs="Arial" w:eastAsia="Arial" w:hint="default"/>
                <w:sz w:val="18"/>
                <w:szCs w:val="18"/>
              </w:rPr>
            </w:pPr>
            <w:r>
              <w:rPr>
                <w:rFonts w:ascii="Arial"/>
                <w:spacing w:val="-2"/>
                <w:sz w:val="18"/>
              </w:rPr>
              <w:t>12,222,413,058</w:t>
            </w:r>
            <w:r>
              <w:rPr>
                <w:rFonts w:ascii="Arial"/>
                <w:sz w:val="18"/>
              </w:rPr>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8"/>
              <w:jc w:val="right"/>
              <w:rPr>
                <w:rFonts w:ascii="Arial" w:hAnsi="Arial" w:cs="Arial" w:eastAsia="Arial" w:hint="default"/>
                <w:sz w:val="18"/>
                <w:szCs w:val="18"/>
              </w:rPr>
            </w:pPr>
            <w:r>
              <w:rPr>
                <w:rFonts w:ascii="Arial"/>
                <w:spacing w:val="-2"/>
                <w:sz w:val="18"/>
              </w:rPr>
              <w:t>(20,247,084,529)</w:t>
            </w:r>
            <w:r>
              <w:rPr>
                <w:rFonts w:ascii="Arial"/>
                <w:sz w:val="18"/>
              </w:rPr>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8"/>
              <w:jc w:val="right"/>
              <w:rPr>
                <w:rFonts w:ascii="Arial" w:hAnsi="Arial" w:cs="Arial" w:eastAsia="Arial" w:hint="default"/>
                <w:sz w:val="18"/>
                <w:szCs w:val="18"/>
              </w:rPr>
            </w:pPr>
            <w:r>
              <w:rPr>
                <w:rFonts w:ascii="Arial"/>
                <w:spacing w:val="-2"/>
                <w:sz w:val="18"/>
              </w:rPr>
              <w:t>(36,549,771,905)</w:t>
            </w:r>
            <w:r>
              <w:rPr>
                <w:rFonts w:ascii="Arial"/>
                <w:sz w:val="18"/>
              </w:rPr>
            </w:r>
          </w:p>
        </w:tc>
      </w:tr>
    </w:tbl>
    <w:p>
      <w:pPr>
        <w:spacing w:line="240" w:lineRule="auto" w:before="1"/>
        <w:rPr>
          <w:rFonts w:ascii="宋体" w:hAnsi="宋体" w:cs="宋体" w:eastAsia="宋体" w:hint="default"/>
          <w:sz w:val="25"/>
          <w:szCs w:val="25"/>
        </w:rPr>
      </w:pPr>
    </w:p>
    <w:p>
      <w:pPr>
        <w:pStyle w:val="BodyText"/>
        <w:tabs>
          <w:tab w:pos="978" w:val="left" w:leader="none"/>
        </w:tabs>
        <w:spacing w:line="274" w:lineRule="exact" w:before="70"/>
        <w:ind w:left="978" w:right="110" w:hanging="418"/>
        <w:jc w:val="left"/>
      </w:pPr>
      <w:r>
        <w:rPr>
          <w:rFonts w:ascii="Arial" w:hAnsi="Arial" w:cs="Arial" w:eastAsia="Arial" w:hint="default"/>
        </w:rPr>
        <w:t>i</w:t>
        <w:tab/>
      </w:r>
      <w:r>
        <w:rPr>
          <w:spacing w:val="-1"/>
        </w:rPr>
        <w:t>与经营租赁相关的估计金额是指对原租赁准则下应当被分类为经营性租赁的租赁款的估计。该</w:t>
      </w:r>
      <w:r>
        <w:rPr>
          <w:spacing w:val="-52"/>
        </w:rPr>
        <w:t> </w:t>
      </w:r>
      <w:r>
        <w:rPr>
          <w:spacing w:val="-52"/>
        </w:rPr>
      </w:r>
      <w:r>
        <w:rPr/>
        <w:t>估计假设</w:t>
      </w:r>
      <w:r>
        <w:rPr>
          <w:spacing w:val="-56"/>
        </w:rPr>
        <w:t> </w:t>
      </w:r>
      <w:r>
        <w:rPr>
          <w:rFonts w:ascii="Arial" w:hAnsi="Arial" w:cs="Arial" w:eastAsia="Arial" w:hint="default"/>
        </w:rPr>
        <w:t>2019</w:t>
      </w:r>
      <w:r>
        <w:rPr>
          <w:rFonts w:ascii="Arial" w:hAnsi="Arial" w:cs="Arial" w:eastAsia="Arial" w:hint="default"/>
          <w:spacing w:val="-5"/>
        </w:rPr>
        <w:t> </w:t>
      </w:r>
      <w:r>
        <w:rPr/>
        <w:t>年订立的所有新租赁均为经营性租赁，且未考虑任何潜在的税务影响。</w:t>
      </w:r>
    </w:p>
    <w:p>
      <w:pPr>
        <w:spacing w:line="240" w:lineRule="auto" w:before="12"/>
        <w:rPr>
          <w:rFonts w:ascii="宋体" w:hAnsi="宋体" w:cs="宋体" w:eastAsia="宋体" w:hint="default"/>
          <w:sz w:val="17"/>
          <w:szCs w:val="17"/>
        </w:rPr>
      </w:pPr>
    </w:p>
    <w:p>
      <w:pPr>
        <w:pStyle w:val="BodyText"/>
        <w:tabs>
          <w:tab w:pos="978" w:val="left" w:leader="none"/>
        </w:tabs>
        <w:spacing w:line="274" w:lineRule="exact"/>
        <w:ind w:left="978" w:right="110" w:hanging="418"/>
        <w:jc w:val="left"/>
      </w:pPr>
      <w:r>
        <w:rPr>
          <w:rFonts w:ascii="Arial" w:hAnsi="Arial" w:cs="Arial" w:eastAsia="Arial" w:hint="default"/>
          <w:spacing w:val="-1"/>
        </w:rPr>
        <w:t>ii</w:t>
        <w:tab/>
      </w:r>
      <w:r>
        <w:rPr>
          <w:spacing w:val="-1"/>
        </w:rPr>
        <w:t>在本影响列表中，相关现金流出已从筹资活动重新归类为经营活动，用以计算原租赁准则仍然</w:t>
      </w:r>
      <w:r>
        <w:rPr>
          <w:spacing w:val="-52"/>
        </w:rPr>
        <w:t> </w:t>
      </w:r>
      <w:r>
        <w:rPr>
          <w:spacing w:val="-52"/>
        </w:rPr>
      </w:r>
      <w:r>
        <w:rPr/>
        <w:t>适用，经营活动和筹资活动所产生的现金流量净额的模拟金额。</w:t>
      </w:r>
    </w:p>
    <w:p>
      <w:pPr>
        <w:spacing w:after="0" w:line="274" w:lineRule="exact"/>
        <w:jc w:val="left"/>
        <w:sectPr>
          <w:pgSz w:w="11910" w:h="16840"/>
          <w:pgMar w:header="842" w:footer="502" w:top="4300" w:bottom="700" w:left="860" w:right="920"/>
        </w:sectPr>
      </w:pPr>
    </w:p>
    <w:p>
      <w:pPr>
        <w:spacing w:line="240" w:lineRule="auto" w:before="0"/>
        <w:rPr>
          <w:rFonts w:ascii="宋体" w:hAnsi="宋体" w:cs="宋体" w:eastAsia="宋体" w:hint="default"/>
          <w:sz w:val="15"/>
          <w:szCs w:val="15"/>
        </w:rPr>
      </w:pPr>
    </w:p>
    <w:p>
      <w:pPr>
        <w:pStyle w:val="BodyText"/>
        <w:spacing w:line="240" w:lineRule="auto" w:before="32"/>
        <w:ind w:left="147" w:right="0"/>
        <w:jc w:val="left"/>
        <w:rPr>
          <w:rFonts w:ascii="Arial" w:hAnsi="Arial" w:cs="Arial" w:eastAsia="Arial" w:hint="default"/>
        </w:rPr>
      </w:pPr>
      <w:r>
        <w:rPr>
          <w:rFonts w:ascii="Arial" w:hAnsi="Arial" w:cs="Arial" w:eastAsia="Arial" w:hint="default"/>
        </w:rPr>
        <w:t>(c) </w:t>
      </w:r>
      <w:r>
        <w:rPr>
          <w:rFonts w:ascii="Arial" w:hAnsi="Arial" w:cs="Arial" w:eastAsia="Arial" w:hint="default"/>
          <w:spacing w:val="55"/>
        </w:rPr>
        <w:t> </w:t>
      </w:r>
      <w:r>
        <w:rPr/>
        <w:t>准则</w:t>
      </w:r>
      <w:r>
        <w:rPr>
          <w:rFonts w:ascii="Arial" w:hAnsi="Arial" w:cs="Arial" w:eastAsia="Arial" w:hint="default"/>
        </w:rPr>
        <w:t>7</w:t>
      </w:r>
      <w:r>
        <w:rPr/>
        <w:t>号</w:t>
      </w:r>
      <w:r>
        <w:rPr>
          <w:rFonts w:ascii="Arial" w:hAnsi="Arial" w:cs="Arial" w:eastAsia="Arial" w:hint="default"/>
        </w:rPr>
        <w:t>(2019)</w:t>
      </w:r>
    </w:p>
    <w:p>
      <w:pPr>
        <w:spacing w:line="240" w:lineRule="auto" w:before="10"/>
        <w:rPr>
          <w:rFonts w:ascii="Arial" w:hAnsi="Arial" w:cs="Arial" w:eastAsia="Arial" w:hint="default"/>
          <w:sz w:val="19"/>
          <w:szCs w:val="19"/>
        </w:rPr>
      </w:pPr>
    </w:p>
    <w:p>
      <w:pPr>
        <w:pStyle w:val="BodyText"/>
        <w:spacing w:line="223" w:lineRule="auto"/>
        <w:ind w:left="561" w:right="204" w:hanging="1"/>
        <w:jc w:val="both"/>
      </w:pPr>
      <w:r>
        <w:rPr/>
        <w:t>准则</w:t>
      </w:r>
      <w:r>
        <w:rPr>
          <w:spacing w:val="-55"/>
        </w:rPr>
        <w:t> </w:t>
      </w:r>
      <w:r>
        <w:rPr>
          <w:rFonts w:ascii="Arial" w:hAnsi="Arial" w:cs="Arial" w:eastAsia="Arial" w:hint="default"/>
        </w:rPr>
        <w:t>7</w:t>
      </w:r>
      <w:r>
        <w:rPr>
          <w:rFonts w:ascii="Arial" w:hAnsi="Arial" w:cs="Arial" w:eastAsia="Arial" w:hint="default"/>
          <w:spacing w:val="1"/>
        </w:rPr>
        <w:t> </w:t>
      </w:r>
      <w:r>
        <w:rPr/>
        <w:t>号</w:t>
      </w:r>
      <w:r>
        <w:rPr>
          <w:rFonts w:ascii="Arial" w:hAnsi="Arial" w:cs="Arial" w:eastAsia="Arial" w:hint="default"/>
        </w:rPr>
        <w:t>(2019)</w:t>
      </w:r>
      <w:r>
        <w:rPr/>
        <w:t>细化了非货币性资产交换准则的适用范围，明确了换入资产的确认时点和换出资产</w:t>
      </w:r>
      <w:r>
        <w:rPr>
          <w:w w:val="100"/>
        </w:rPr>
        <w:t> </w:t>
      </w:r>
      <w:r>
        <w:rPr>
          <w:spacing w:val="-1"/>
        </w:rPr>
        <w:t>的终止确认时点并规定了两个时点不一致时的会计处理方法，修订了以公允价值为基础计量的非货</w:t>
      </w:r>
      <w:r>
        <w:rPr>
          <w:spacing w:val="-69"/>
        </w:rPr>
        <w:t> </w:t>
      </w:r>
      <w:r>
        <w:rPr>
          <w:spacing w:val="-69"/>
        </w:rPr>
      </w:r>
      <w:r>
        <w:rPr>
          <w:spacing w:val="-1"/>
        </w:rPr>
        <w:t>币性资产交换中同时换入或换出多项资产时的计量原则，此外新增了对非货币资产交换是否具有商</w:t>
      </w:r>
      <w:r>
        <w:rPr>
          <w:spacing w:val="-69"/>
        </w:rPr>
        <w:t> </w:t>
      </w:r>
      <w:r>
        <w:rPr>
          <w:spacing w:val="-69"/>
        </w:rPr>
      </w:r>
      <w:r>
        <w:rPr/>
        <w:t>业实质及其原因的披露要求。</w:t>
      </w:r>
    </w:p>
    <w:p>
      <w:pPr>
        <w:spacing w:line="240" w:lineRule="auto" w:before="1"/>
        <w:rPr>
          <w:rFonts w:ascii="宋体" w:hAnsi="宋体" w:cs="宋体" w:eastAsia="宋体" w:hint="default"/>
          <w:sz w:val="17"/>
          <w:szCs w:val="17"/>
        </w:rPr>
      </w:pPr>
    </w:p>
    <w:p>
      <w:pPr>
        <w:pStyle w:val="BodyText"/>
        <w:spacing w:line="289" w:lineRule="exact"/>
        <w:ind w:left="561" w:right="0"/>
        <w:jc w:val="left"/>
      </w:pPr>
      <w:r>
        <w:rPr/>
        <w:t>准则</w:t>
      </w:r>
      <w:r>
        <w:rPr>
          <w:spacing w:val="-53"/>
        </w:rPr>
        <w:t> </w:t>
      </w:r>
      <w:r>
        <w:rPr>
          <w:rFonts w:ascii="Arial" w:hAnsi="Arial" w:cs="Arial" w:eastAsia="Arial" w:hint="default"/>
        </w:rPr>
        <w:t>7</w:t>
      </w:r>
      <w:r>
        <w:rPr>
          <w:rFonts w:ascii="Arial" w:hAnsi="Arial" w:cs="Arial" w:eastAsia="Arial" w:hint="default"/>
          <w:spacing w:val="3"/>
        </w:rPr>
        <w:t> </w:t>
      </w:r>
      <w:r>
        <w:rPr/>
        <w:t>号</w:t>
      </w:r>
      <w:r>
        <w:rPr>
          <w:rFonts w:ascii="Arial" w:hAnsi="Arial" w:cs="Arial" w:eastAsia="Arial" w:hint="default"/>
        </w:rPr>
        <w:t>(2019)</w:t>
      </w:r>
      <w:r>
        <w:rPr/>
        <w:t>自</w:t>
      </w:r>
      <w:r>
        <w:rPr>
          <w:spacing w:val="-5"/>
        </w:rPr>
        <w:t> </w:t>
      </w:r>
      <w:r>
        <w:rPr>
          <w:rFonts w:ascii="Arial" w:hAnsi="Arial" w:cs="Arial" w:eastAsia="Arial" w:hint="default"/>
        </w:rPr>
        <w:t>2019</w:t>
      </w:r>
      <w:r>
        <w:rPr>
          <w:rFonts w:ascii="Arial" w:hAnsi="Arial" w:cs="Arial" w:eastAsia="Arial" w:hint="default"/>
          <w:spacing w:val="3"/>
        </w:rPr>
        <w:t> </w:t>
      </w:r>
      <w:r>
        <w:rPr/>
        <w:t>年</w:t>
      </w:r>
      <w:r>
        <w:rPr>
          <w:spacing w:val="-53"/>
        </w:rPr>
        <w:t> </w:t>
      </w:r>
      <w:r>
        <w:rPr>
          <w:rFonts w:ascii="Arial" w:hAnsi="Arial" w:cs="Arial" w:eastAsia="Arial" w:hint="default"/>
        </w:rPr>
        <w:t>6</w:t>
      </w:r>
      <w:r>
        <w:rPr>
          <w:rFonts w:ascii="Arial" w:hAnsi="Arial" w:cs="Arial" w:eastAsia="Arial" w:hint="default"/>
          <w:spacing w:val="52"/>
        </w:rPr>
        <w:t> </w:t>
      </w:r>
      <w:r>
        <w:rPr/>
        <w:t>月</w:t>
      </w:r>
      <w:r>
        <w:rPr>
          <w:spacing w:val="-53"/>
        </w:rPr>
        <w:t> </w:t>
      </w:r>
      <w:r>
        <w:rPr>
          <w:rFonts w:ascii="Arial" w:hAnsi="Arial" w:cs="Arial" w:eastAsia="Arial" w:hint="default"/>
        </w:rPr>
        <w:t>10</w:t>
      </w:r>
      <w:r>
        <w:rPr>
          <w:rFonts w:ascii="Arial" w:hAnsi="Arial" w:cs="Arial" w:eastAsia="Arial" w:hint="default"/>
          <w:spacing w:val="3"/>
        </w:rPr>
        <w:t> </w:t>
      </w:r>
      <w:r>
        <w:rPr/>
        <w:t>日起施行，对</w:t>
      </w:r>
      <w:r>
        <w:rPr>
          <w:spacing w:val="-53"/>
        </w:rPr>
        <w:t> </w:t>
      </w:r>
      <w:r>
        <w:rPr>
          <w:rFonts w:ascii="Arial" w:hAnsi="Arial" w:cs="Arial" w:eastAsia="Arial" w:hint="default"/>
        </w:rPr>
        <w:t>2019</w:t>
      </w:r>
      <w:r>
        <w:rPr>
          <w:rFonts w:ascii="Arial" w:hAnsi="Arial" w:cs="Arial" w:eastAsia="Arial" w:hint="default"/>
          <w:spacing w:val="-2"/>
        </w:rPr>
        <w:t> </w:t>
      </w:r>
      <w:r>
        <w:rPr/>
        <w:t>年</w:t>
      </w:r>
      <w:r>
        <w:rPr>
          <w:spacing w:val="-53"/>
        </w:rPr>
        <w:t> </w:t>
      </w:r>
      <w:r>
        <w:rPr>
          <w:rFonts w:ascii="Arial" w:hAnsi="Arial" w:cs="Arial" w:eastAsia="Arial" w:hint="default"/>
        </w:rPr>
        <w:t>1</w:t>
      </w:r>
      <w:r>
        <w:rPr>
          <w:rFonts w:ascii="Arial" w:hAnsi="Arial" w:cs="Arial" w:eastAsia="Arial" w:hint="default"/>
          <w:spacing w:val="3"/>
        </w:rPr>
        <w:t> </w:t>
      </w:r>
      <w:r>
        <w:rPr/>
        <w:t>月</w:t>
      </w:r>
      <w:r>
        <w:rPr>
          <w:spacing w:val="-53"/>
        </w:rPr>
        <w:t> </w:t>
      </w:r>
      <w:r>
        <w:rPr>
          <w:rFonts w:ascii="Arial" w:hAnsi="Arial" w:cs="Arial" w:eastAsia="Arial" w:hint="default"/>
        </w:rPr>
        <w:t>1</w:t>
      </w:r>
      <w:r>
        <w:rPr>
          <w:rFonts w:ascii="Arial" w:hAnsi="Arial" w:cs="Arial" w:eastAsia="Arial" w:hint="default"/>
          <w:spacing w:val="3"/>
        </w:rPr>
        <w:t> </w:t>
      </w:r>
      <w:r>
        <w:rPr/>
        <w:t>日至准则施行日之间发生的非货</w:t>
      </w:r>
    </w:p>
    <w:p>
      <w:pPr>
        <w:pStyle w:val="BodyText"/>
        <w:spacing w:line="268" w:lineRule="exact" w:before="27"/>
        <w:ind w:left="561" w:right="196"/>
        <w:jc w:val="left"/>
      </w:pPr>
      <w:r>
        <w:rPr/>
        <w:t>币性资产交换根据该准则规定进行调整，对</w:t>
      </w:r>
      <w:r>
        <w:rPr>
          <w:spacing w:val="-49"/>
        </w:rPr>
        <w:t> </w:t>
      </w:r>
      <w:r>
        <w:rPr>
          <w:rFonts w:ascii="Arial" w:hAnsi="Arial" w:cs="Arial" w:eastAsia="Arial" w:hint="default"/>
        </w:rPr>
        <w:t>2019</w:t>
      </w:r>
      <w:r>
        <w:rPr>
          <w:rFonts w:ascii="Arial" w:hAnsi="Arial" w:cs="Arial" w:eastAsia="Arial" w:hint="default"/>
          <w:spacing w:val="-3"/>
        </w:rPr>
        <w:t> </w:t>
      </w:r>
      <w:r>
        <w:rPr/>
        <w:t>年</w:t>
      </w:r>
      <w:r>
        <w:rPr>
          <w:spacing w:val="-49"/>
        </w:rPr>
        <w:t> </w:t>
      </w:r>
      <w:r>
        <w:rPr>
          <w:rFonts w:ascii="Arial" w:hAnsi="Arial" w:cs="Arial" w:eastAsia="Arial" w:hint="default"/>
        </w:rPr>
        <w:t>1</w:t>
      </w:r>
      <w:r>
        <w:rPr>
          <w:rFonts w:ascii="Arial" w:hAnsi="Arial" w:cs="Arial" w:eastAsia="Arial" w:hint="default"/>
          <w:spacing w:val="-3"/>
        </w:rPr>
        <w:t> </w:t>
      </w:r>
      <w:r>
        <w:rPr/>
        <w:t>月</w:t>
      </w:r>
      <w:r>
        <w:rPr>
          <w:spacing w:val="-54"/>
        </w:rPr>
        <w:t> </w:t>
      </w:r>
      <w:r>
        <w:rPr>
          <w:rFonts w:ascii="Arial" w:hAnsi="Arial" w:cs="Arial" w:eastAsia="Arial" w:hint="default"/>
        </w:rPr>
        <w:t>1</w:t>
      </w:r>
      <w:r>
        <w:rPr>
          <w:rFonts w:ascii="Arial" w:hAnsi="Arial" w:cs="Arial" w:eastAsia="Arial" w:hint="default"/>
          <w:spacing w:val="2"/>
        </w:rPr>
        <w:t> </w:t>
      </w:r>
      <w:r>
        <w:rPr/>
        <w:t>日之前发生的非货币性资产交换，不再</w:t>
      </w:r>
      <w:r>
        <w:rPr>
          <w:w w:val="100"/>
        </w:rPr>
        <w:t> </w:t>
      </w:r>
      <w:r>
        <w:rPr/>
        <w:t>进行追溯调整。采用该准则未对本集团的财务状况和经营成果产生重大影响。</w:t>
      </w:r>
    </w:p>
    <w:p>
      <w:pPr>
        <w:spacing w:line="240" w:lineRule="auto" w:before="3"/>
        <w:rPr>
          <w:rFonts w:ascii="宋体" w:hAnsi="宋体" w:cs="宋体" w:eastAsia="宋体" w:hint="default"/>
          <w:sz w:val="16"/>
          <w:szCs w:val="16"/>
        </w:rPr>
      </w:pPr>
    </w:p>
    <w:p>
      <w:pPr>
        <w:pStyle w:val="BodyText"/>
        <w:spacing w:line="240" w:lineRule="auto"/>
        <w:ind w:left="148" w:right="0"/>
        <w:jc w:val="left"/>
        <w:rPr>
          <w:rFonts w:ascii="Arial" w:hAnsi="Arial" w:cs="Arial" w:eastAsia="Arial" w:hint="default"/>
        </w:rPr>
      </w:pPr>
      <w:r>
        <w:rPr>
          <w:rFonts w:ascii="Arial" w:hAnsi="Arial" w:cs="Arial" w:eastAsia="Arial" w:hint="default"/>
        </w:rPr>
        <w:t>(d) </w:t>
      </w:r>
      <w:r>
        <w:rPr>
          <w:rFonts w:ascii="Arial" w:hAnsi="Arial" w:cs="Arial" w:eastAsia="Arial" w:hint="default"/>
          <w:spacing w:val="47"/>
        </w:rPr>
        <w:t> </w:t>
      </w:r>
      <w:r>
        <w:rPr/>
        <w:t>准则</w:t>
      </w:r>
      <w:r>
        <w:rPr>
          <w:rFonts w:ascii="Arial" w:hAnsi="Arial" w:cs="Arial" w:eastAsia="Arial" w:hint="default"/>
        </w:rPr>
        <w:t>12</w:t>
      </w:r>
      <w:r>
        <w:rPr/>
        <w:t>号</w:t>
      </w:r>
      <w:r>
        <w:rPr>
          <w:rFonts w:ascii="Arial" w:hAnsi="Arial" w:cs="Arial" w:eastAsia="Arial" w:hint="default"/>
        </w:rPr>
        <w:t>(2019)</w:t>
      </w:r>
    </w:p>
    <w:p>
      <w:pPr>
        <w:spacing w:line="240" w:lineRule="auto" w:before="0"/>
        <w:rPr>
          <w:rFonts w:ascii="Arial" w:hAnsi="Arial" w:cs="Arial" w:eastAsia="Arial" w:hint="default"/>
          <w:sz w:val="20"/>
          <w:szCs w:val="20"/>
        </w:rPr>
      </w:pPr>
    </w:p>
    <w:p>
      <w:pPr>
        <w:pStyle w:val="BodyText"/>
        <w:spacing w:line="230" w:lineRule="auto"/>
        <w:ind w:left="599" w:right="0"/>
        <w:jc w:val="left"/>
      </w:pPr>
      <w:r>
        <w:rPr>
          <w:spacing w:val="-2"/>
        </w:rPr>
        <w:t>准则</w:t>
      </w:r>
      <w:r>
        <w:rPr>
          <w:rFonts w:ascii="Arial" w:hAnsi="Arial" w:cs="Arial" w:eastAsia="Arial" w:hint="default"/>
          <w:spacing w:val="-2"/>
        </w:rPr>
        <w:t>12</w:t>
      </w:r>
      <w:r>
        <w:rPr>
          <w:spacing w:val="-2"/>
        </w:rPr>
        <w:t>号</w:t>
      </w:r>
      <w:r>
        <w:rPr>
          <w:rFonts w:ascii="Arial" w:hAnsi="Arial" w:cs="Arial" w:eastAsia="Arial" w:hint="default"/>
          <w:spacing w:val="-2"/>
        </w:rPr>
        <w:t>(2019)</w:t>
      </w:r>
      <w:r>
        <w:rPr>
          <w:spacing w:val="-2"/>
        </w:rPr>
        <w:t>修改了债务重组的定义，明确了该准则的适用范围，并规定债务重组中涉及的金融</w:t>
      </w:r>
      <w:r>
        <w:rPr>
          <w:spacing w:val="-67"/>
        </w:rPr>
        <w:t> </w:t>
      </w:r>
      <w:r>
        <w:rPr>
          <w:spacing w:val="-67"/>
        </w:rPr>
      </w:r>
      <w:r>
        <w:rPr>
          <w:spacing w:val="-5"/>
        </w:rPr>
        <w:t>工具的确认、计量和列报适用金融工具相关准则的规定。对于以资产清偿债务方式进行债务重组的，</w:t>
      </w:r>
      <w:r>
        <w:rPr>
          <w:spacing w:val="-44"/>
        </w:rPr>
        <w:t> </w:t>
      </w:r>
      <w:r>
        <w:rPr>
          <w:spacing w:val="-44"/>
        </w:rPr>
      </w:r>
      <w:r>
        <w:rPr>
          <w:spacing w:val="-2"/>
        </w:rPr>
        <w:t>准则</w:t>
      </w:r>
      <w:r>
        <w:rPr>
          <w:rFonts w:ascii="Arial" w:hAnsi="Arial" w:cs="Arial" w:eastAsia="Arial" w:hint="default"/>
          <w:spacing w:val="-2"/>
        </w:rPr>
        <w:t>12</w:t>
      </w:r>
      <w:r>
        <w:rPr>
          <w:spacing w:val="-2"/>
        </w:rPr>
        <w:t>号</w:t>
      </w:r>
      <w:r>
        <w:rPr>
          <w:rFonts w:ascii="Arial" w:hAnsi="Arial" w:cs="Arial" w:eastAsia="Arial" w:hint="default"/>
          <w:spacing w:val="-2"/>
        </w:rPr>
        <w:t>(2019)</w:t>
      </w:r>
      <w:r>
        <w:rPr>
          <w:spacing w:val="-2"/>
        </w:rPr>
        <w:t>修改了债权人受让非金融资产初始确认时的计量原则，并对于债务人在债务重组中</w:t>
      </w:r>
      <w:r>
        <w:rPr>
          <w:spacing w:val="-67"/>
        </w:rPr>
        <w:t> </w:t>
      </w:r>
      <w:r>
        <w:rPr>
          <w:spacing w:val="-67"/>
        </w:rPr>
      </w:r>
      <w:r>
        <w:rPr>
          <w:spacing w:val="-2"/>
        </w:rPr>
        <w:t>产生的利得和损失不再区分资产转让损益和债务重组损益两项损益进行列报。对于将债务转为权益</w:t>
      </w:r>
      <w:r>
        <w:rPr>
          <w:spacing w:val="-73"/>
        </w:rPr>
        <w:t> </w:t>
      </w:r>
      <w:r>
        <w:rPr>
          <w:spacing w:val="-73"/>
        </w:rPr>
      </w:r>
      <w:r>
        <w:rPr>
          <w:spacing w:val="-2"/>
        </w:rPr>
        <w:t>工具方式进行债务重组的，准则</w:t>
      </w:r>
      <w:r>
        <w:rPr>
          <w:rFonts w:ascii="Arial" w:hAnsi="Arial" w:cs="Arial" w:eastAsia="Arial" w:hint="default"/>
          <w:spacing w:val="-2"/>
        </w:rPr>
        <w:t>12</w:t>
      </w:r>
      <w:r>
        <w:rPr>
          <w:spacing w:val="-2"/>
        </w:rPr>
        <w:t>号</w:t>
      </w:r>
      <w:r>
        <w:rPr>
          <w:rFonts w:ascii="Arial" w:hAnsi="Arial" w:cs="Arial" w:eastAsia="Arial" w:hint="default"/>
          <w:spacing w:val="-2"/>
        </w:rPr>
        <w:t>(2019)</w:t>
      </w:r>
      <w:r>
        <w:rPr>
          <w:spacing w:val="-2"/>
        </w:rPr>
        <w:t>修改了债权人初始确认享有股份的计量原则，并对于债</w:t>
      </w:r>
      <w:r>
        <w:rPr>
          <w:spacing w:val="-67"/>
        </w:rPr>
        <w:t> </w:t>
      </w:r>
      <w:r>
        <w:rPr>
          <w:spacing w:val="-67"/>
        </w:rPr>
      </w:r>
      <w:r>
        <w:rPr/>
        <w:t>务人初始确认权益工具的计量原则增加了指引。</w:t>
      </w:r>
    </w:p>
    <w:p>
      <w:pPr>
        <w:spacing w:line="240" w:lineRule="auto" w:before="6"/>
        <w:rPr>
          <w:rFonts w:ascii="宋体" w:hAnsi="宋体" w:cs="宋体" w:eastAsia="宋体" w:hint="default"/>
          <w:sz w:val="18"/>
          <w:szCs w:val="18"/>
        </w:rPr>
      </w:pPr>
    </w:p>
    <w:p>
      <w:pPr>
        <w:pStyle w:val="BodyText"/>
        <w:spacing w:line="286" w:lineRule="exact"/>
        <w:ind w:left="561" w:right="0"/>
        <w:jc w:val="left"/>
      </w:pPr>
      <w:r>
        <w:rPr/>
        <w:t>准则</w:t>
      </w:r>
      <w:r>
        <w:rPr>
          <w:spacing w:val="-53"/>
        </w:rPr>
        <w:t> </w:t>
      </w:r>
      <w:r>
        <w:rPr>
          <w:rFonts w:ascii="Arial" w:hAnsi="Arial" w:cs="Arial" w:eastAsia="Arial" w:hint="default"/>
        </w:rPr>
        <w:t>12</w:t>
      </w:r>
      <w:r>
        <w:rPr>
          <w:rFonts w:ascii="Arial" w:hAnsi="Arial" w:cs="Arial" w:eastAsia="Arial" w:hint="default"/>
          <w:spacing w:val="-2"/>
        </w:rPr>
        <w:t> </w:t>
      </w:r>
      <w:r>
        <w:rPr/>
        <w:t>号</w:t>
      </w:r>
      <w:r>
        <w:rPr>
          <w:rFonts w:ascii="Arial" w:hAnsi="Arial" w:cs="Arial" w:eastAsia="Arial" w:hint="default"/>
        </w:rPr>
        <w:t>(2019)</w:t>
      </w:r>
      <w:r>
        <w:rPr/>
        <w:t>自</w:t>
      </w:r>
      <w:r>
        <w:rPr>
          <w:spacing w:val="-53"/>
        </w:rPr>
        <w:t> </w:t>
      </w:r>
      <w:r>
        <w:rPr>
          <w:rFonts w:ascii="Arial" w:hAnsi="Arial" w:cs="Arial" w:eastAsia="Arial" w:hint="default"/>
        </w:rPr>
        <w:t>2019</w:t>
      </w:r>
      <w:r>
        <w:rPr>
          <w:rFonts w:ascii="Arial" w:hAnsi="Arial" w:cs="Arial" w:eastAsia="Arial" w:hint="default"/>
          <w:spacing w:val="-2"/>
        </w:rPr>
        <w:t> </w:t>
      </w:r>
      <w:r>
        <w:rPr/>
        <w:t>年</w:t>
      </w:r>
      <w:r>
        <w:rPr>
          <w:spacing w:val="-53"/>
        </w:rPr>
        <w:t> </w:t>
      </w:r>
      <w:r>
        <w:rPr>
          <w:rFonts w:ascii="Arial" w:hAnsi="Arial" w:cs="Arial" w:eastAsia="Arial" w:hint="default"/>
        </w:rPr>
        <w:t>6</w:t>
      </w:r>
      <w:r>
        <w:rPr>
          <w:rFonts w:ascii="Arial" w:hAnsi="Arial" w:cs="Arial" w:eastAsia="Arial" w:hint="default"/>
          <w:spacing w:val="-2"/>
        </w:rPr>
        <w:t> </w:t>
      </w:r>
      <w:r>
        <w:rPr/>
        <w:t>月</w:t>
      </w:r>
      <w:r>
        <w:rPr>
          <w:spacing w:val="-53"/>
        </w:rPr>
        <w:t> </w:t>
      </w:r>
      <w:r>
        <w:rPr>
          <w:rFonts w:ascii="Arial" w:hAnsi="Arial" w:cs="Arial" w:eastAsia="Arial" w:hint="default"/>
        </w:rPr>
        <w:t>17</w:t>
      </w:r>
      <w:r>
        <w:rPr>
          <w:rFonts w:ascii="Arial" w:hAnsi="Arial" w:cs="Arial" w:eastAsia="Arial" w:hint="default"/>
          <w:spacing w:val="-2"/>
        </w:rPr>
        <w:t> </w:t>
      </w:r>
      <w:r>
        <w:rPr/>
        <w:t>日起施行，对</w:t>
      </w:r>
      <w:r>
        <w:rPr>
          <w:spacing w:val="-53"/>
        </w:rPr>
        <w:t> </w:t>
      </w:r>
      <w:r>
        <w:rPr>
          <w:rFonts w:ascii="Arial" w:hAnsi="Arial" w:cs="Arial" w:eastAsia="Arial" w:hint="default"/>
        </w:rPr>
        <w:t>2019</w:t>
      </w:r>
      <w:r>
        <w:rPr>
          <w:rFonts w:ascii="Arial" w:hAnsi="Arial" w:cs="Arial" w:eastAsia="Arial" w:hint="default"/>
          <w:spacing w:val="-2"/>
        </w:rPr>
        <w:t> </w:t>
      </w:r>
      <w:r>
        <w:rPr/>
        <w:t>年</w:t>
      </w:r>
      <w:r>
        <w:rPr>
          <w:spacing w:val="-53"/>
        </w:rPr>
        <w:t> </w:t>
      </w:r>
      <w:r>
        <w:rPr>
          <w:rFonts w:ascii="Arial" w:hAnsi="Arial" w:cs="Arial" w:eastAsia="Arial" w:hint="default"/>
        </w:rPr>
        <w:t>1</w:t>
      </w:r>
      <w:r>
        <w:rPr>
          <w:rFonts w:ascii="Arial" w:hAnsi="Arial" w:cs="Arial" w:eastAsia="Arial" w:hint="default"/>
          <w:spacing w:val="-2"/>
        </w:rPr>
        <w:t> </w:t>
      </w:r>
      <w:r>
        <w:rPr/>
        <w:t>月</w:t>
      </w:r>
      <w:r>
        <w:rPr>
          <w:spacing w:val="-53"/>
        </w:rPr>
        <w:t> </w:t>
      </w:r>
      <w:r>
        <w:rPr>
          <w:rFonts w:ascii="Arial" w:hAnsi="Arial" w:cs="Arial" w:eastAsia="Arial" w:hint="default"/>
        </w:rPr>
        <w:t>1</w:t>
      </w:r>
      <w:r>
        <w:rPr>
          <w:rFonts w:ascii="Arial" w:hAnsi="Arial" w:cs="Arial" w:eastAsia="Arial" w:hint="default"/>
          <w:spacing w:val="-2"/>
        </w:rPr>
        <w:t> </w:t>
      </w:r>
      <w:r>
        <w:rPr/>
        <w:t>日至准则施行日之间发生的债务</w:t>
      </w:r>
    </w:p>
    <w:p>
      <w:pPr>
        <w:pStyle w:val="BodyText"/>
        <w:spacing w:line="274" w:lineRule="exact" w:before="20"/>
        <w:ind w:left="561" w:right="195"/>
        <w:jc w:val="left"/>
      </w:pPr>
      <w:r>
        <w:rPr/>
        <w:t>重组根据该准则规定进行调整，对</w:t>
      </w:r>
      <w:r>
        <w:rPr>
          <w:spacing w:val="-48"/>
        </w:rPr>
        <w:t> </w:t>
      </w:r>
      <w:r>
        <w:rPr>
          <w:rFonts w:ascii="Arial" w:hAnsi="Arial" w:cs="Arial" w:eastAsia="Arial" w:hint="default"/>
        </w:rPr>
        <w:t>2019</w:t>
      </w:r>
      <w:r>
        <w:rPr>
          <w:rFonts w:ascii="Arial" w:hAnsi="Arial" w:cs="Arial" w:eastAsia="Arial" w:hint="default"/>
          <w:spacing w:val="-2"/>
        </w:rPr>
        <w:t> </w:t>
      </w:r>
      <w:r>
        <w:rPr/>
        <w:t>年</w:t>
      </w:r>
      <w:r>
        <w:rPr>
          <w:spacing w:val="-53"/>
        </w:rPr>
        <w:t> </w:t>
      </w:r>
      <w:r>
        <w:rPr>
          <w:rFonts w:ascii="Arial" w:hAnsi="Arial" w:cs="Arial" w:eastAsia="Arial" w:hint="default"/>
        </w:rPr>
        <w:t>1</w:t>
      </w:r>
      <w:r>
        <w:rPr>
          <w:rFonts w:ascii="Arial" w:hAnsi="Arial" w:cs="Arial" w:eastAsia="Arial" w:hint="default"/>
          <w:spacing w:val="3"/>
        </w:rPr>
        <w:t> </w:t>
      </w:r>
      <w:r>
        <w:rPr/>
        <w:t>月</w:t>
      </w:r>
      <w:r>
        <w:rPr>
          <w:spacing w:val="-53"/>
        </w:rPr>
        <w:t> </w:t>
      </w:r>
      <w:r>
        <w:rPr>
          <w:rFonts w:ascii="Arial" w:hAnsi="Arial" w:cs="Arial" w:eastAsia="Arial" w:hint="default"/>
        </w:rPr>
        <w:t>1</w:t>
      </w:r>
      <w:r>
        <w:rPr>
          <w:rFonts w:ascii="Arial" w:hAnsi="Arial" w:cs="Arial" w:eastAsia="Arial" w:hint="default"/>
          <w:spacing w:val="-2"/>
        </w:rPr>
        <w:t> </w:t>
      </w:r>
      <w:r>
        <w:rPr/>
        <w:t>日之前发生的债务重组，不再进行追溯调整。采</w:t>
      </w:r>
      <w:r>
        <w:rPr>
          <w:w w:val="100"/>
        </w:rPr>
        <w:t> </w:t>
      </w:r>
      <w:r>
        <w:rPr/>
        <w:t>用该准则未对本集团的财务状况和经营成果产生重大影响。</w:t>
      </w:r>
    </w:p>
    <w:p>
      <w:pPr>
        <w:spacing w:after="0" w:line="274" w:lineRule="exact"/>
        <w:jc w:val="left"/>
        <w:sectPr>
          <w:headerReference w:type="default" r:id="rId136"/>
          <w:pgSz w:w="11910" w:h="16840"/>
          <w:pgMar w:header="842" w:footer="502" w:top="3780" w:bottom="700" w:left="860" w:right="820"/>
        </w:sectPr>
      </w:pPr>
    </w:p>
    <w:p>
      <w:pPr>
        <w:spacing w:line="240" w:lineRule="auto" w:before="11"/>
        <w:rPr>
          <w:rFonts w:ascii="宋体" w:hAnsi="宋体" w:cs="宋体" w:eastAsia="宋体" w:hint="default"/>
          <w:sz w:val="15"/>
          <w:szCs w:val="15"/>
        </w:rPr>
      </w:pPr>
    </w:p>
    <w:p>
      <w:pPr>
        <w:pStyle w:val="BodyText"/>
        <w:spacing w:line="240" w:lineRule="auto" w:before="32"/>
        <w:ind w:left="133" w:right="0"/>
        <w:jc w:val="left"/>
      </w:pPr>
      <w:r>
        <w:rPr>
          <w:rFonts w:ascii="Arial" w:hAnsi="Arial" w:cs="Arial" w:eastAsia="Arial" w:hint="default"/>
        </w:rPr>
        <w:t>34</w:t>
      </w:r>
      <w:r>
        <w:rPr/>
        <w:t>、重要会计估计和判断</w:t>
      </w:r>
    </w:p>
    <w:p>
      <w:pPr>
        <w:spacing w:line="240" w:lineRule="auto" w:before="4"/>
        <w:rPr>
          <w:rFonts w:ascii="宋体" w:hAnsi="宋体" w:cs="宋体" w:eastAsia="宋体" w:hint="default"/>
          <w:sz w:val="19"/>
          <w:szCs w:val="19"/>
        </w:rPr>
      </w:pPr>
    </w:p>
    <w:p>
      <w:pPr>
        <w:pStyle w:val="BodyText"/>
        <w:spacing w:line="268" w:lineRule="exact"/>
        <w:ind w:left="599" w:right="214"/>
        <w:jc w:val="both"/>
      </w:pPr>
      <w:r>
        <w:rPr>
          <w:spacing w:val="-2"/>
        </w:rPr>
        <w:t>本集团根据历史经验和其他因素，包括对未来事项的合理预期，对所采用的重要会计估计和关键判</w:t>
      </w:r>
      <w:r>
        <w:rPr>
          <w:spacing w:val="-73"/>
        </w:rPr>
        <w:t> </w:t>
      </w:r>
      <w:r>
        <w:rPr>
          <w:spacing w:val="-73"/>
        </w:rPr>
      </w:r>
      <w:r>
        <w:rPr/>
        <w:t>断进行持续的评价。</w:t>
      </w:r>
    </w:p>
    <w:p>
      <w:pPr>
        <w:spacing w:line="240" w:lineRule="auto" w:before="7"/>
        <w:rPr>
          <w:rFonts w:ascii="宋体" w:hAnsi="宋体" w:cs="宋体" w:eastAsia="宋体" w:hint="default"/>
          <w:sz w:val="15"/>
          <w:szCs w:val="15"/>
        </w:rPr>
      </w:pPr>
    </w:p>
    <w:p>
      <w:pPr>
        <w:pStyle w:val="BodyText"/>
        <w:spacing w:line="240" w:lineRule="auto"/>
        <w:ind w:left="147" w:right="0"/>
        <w:jc w:val="left"/>
      </w:pPr>
      <w:r>
        <w:rPr>
          <w:rFonts w:ascii="Arial" w:hAnsi="Arial" w:cs="Arial" w:eastAsia="Arial" w:hint="default"/>
        </w:rPr>
        <w:t>(a)  </w:t>
      </w:r>
      <w:r>
        <w:rPr>
          <w:rFonts w:ascii="Arial" w:hAnsi="Arial" w:cs="Arial" w:eastAsia="Arial" w:hint="default"/>
          <w:spacing w:val="2"/>
        </w:rPr>
        <w:t> </w:t>
      </w:r>
      <w:r>
        <w:rPr/>
        <w:t>重要会计估计及其关键假设</w:t>
      </w:r>
    </w:p>
    <w:p>
      <w:pPr>
        <w:spacing w:line="240" w:lineRule="auto" w:before="7"/>
        <w:rPr>
          <w:rFonts w:ascii="宋体" w:hAnsi="宋体" w:cs="宋体" w:eastAsia="宋体" w:hint="default"/>
          <w:sz w:val="17"/>
          <w:szCs w:val="17"/>
        </w:rPr>
      </w:pPr>
    </w:p>
    <w:p>
      <w:pPr>
        <w:pStyle w:val="BodyText"/>
        <w:spacing w:line="268" w:lineRule="exact"/>
        <w:ind w:left="599" w:right="203"/>
        <w:jc w:val="both"/>
      </w:pPr>
      <w:r>
        <w:rPr>
          <w:spacing w:val="2"/>
        </w:rPr>
        <w:t>下列重大会计估计及关键假设存在会导致下一会计年度资产和负债的账面价值出现重大调整的主</w:t>
      </w:r>
      <w:r>
        <w:rPr>
          <w:spacing w:val="-39"/>
        </w:rPr>
        <w:t> </w:t>
      </w:r>
      <w:r>
        <w:rPr>
          <w:spacing w:val="-39"/>
        </w:rPr>
      </w:r>
      <w:r>
        <w:rPr/>
        <w:t>要风险：</w:t>
      </w:r>
    </w:p>
    <w:p>
      <w:pPr>
        <w:pStyle w:val="BodyText"/>
        <w:spacing w:line="240" w:lineRule="auto" w:before="188"/>
        <w:ind w:left="162" w:right="0"/>
        <w:jc w:val="left"/>
      </w:pPr>
      <w:bookmarkStart w:name="(1) 应收账款和合同资产减值" w:id="23"/>
      <w:bookmarkEnd w:id="23"/>
      <w:r>
        <w:rPr/>
      </w:r>
      <w:r>
        <w:rPr>
          <w:rFonts w:ascii="Arial" w:hAnsi="Arial" w:cs="Arial" w:eastAsia="Arial" w:hint="default"/>
        </w:rPr>
        <w:t>(1) </w:t>
      </w:r>
      <w:r>
        <w:rPr>
          <w:rFonts w:ascii="Arial" w:hAnsi="Arial" w:cs="Arial" w:eastAsia="Arial" w:hint="default"/>
          <w:spacing w:val="48"/>
        </w:rPr>
        <w:t> </w:t>
      </w:r>
      <w:r>
        <w:rPr/>
        <w:t>应收账款和合同资产减值</w:t>
      </w:r>
    </w:p>
    <w:p>
      <w:pPr>
        <w:spacing w:line="240" w:lineRule="auto" w:before="2"/>
        <w:rPr>
          <w:rFonts w:ascii="宋体" w:hAnsi="宋体" w:cs="宋体" w:eastAsia="宋体" w:hint="default"/>
          <w:sz w:val="16"/>
          <w:szCs w:val="16"/>
        </w:rPr>
      </w:pPr>
    </w:p>
    <w:p>
      <w:pPr>
        <w:pStyle w:val="BodyText"/>
        <w:spacing w:line="220" w:lineRule="auto"/>
        <w:ind w:left="599" w:right="211"/>
        <w:jc w:val="both"/>
      </w:pPr>
      <w:r>
        <w:rPr/>
        <w:t>本集团按照附注三</w:t>
      </w:r>
      <w:r>
        <w:rPr>
          <w:rFonts w:ascii="Arial" w:hAnsi="Arial" w:cs="Arial" w:eastAsia="Arial" w:hint="default"/>
        </w:rPr>
        <w:t>(8)</w:t>
      </w:r>
      <w:r>
        <w:rPr/>
        <w:t>所述，按照预期信用损失模型对以摊余成本计量的应收账款和合同资产进行</w:t>
      </w:r>
      <w:r>
        <w:rPr>
          <w:spacing w:val="1"/>
        </w:rPr>
        <w:t> </w:t>
      </w:r>
      <w:r>
        <w:rPr>
          <w:spacing w:val="1"/>
        </w:rPr>
      </w:r>
      <w:r>
        <w:rPr>
          <w:spacing w:val="-2"/>
        </w:rPr>
        <w:t>减值会计处理并确认损失准备。本集团在每个资产负债表日重新计量预期信用损失，由此形成的损</w:t>
      </w:r>
      <w:r>
        <w:rPr>
          <w:spacing w:val="-73"/>
        </w:rPr>
        <w:t> </w:t>
      </w:r>
      <w:r>
        <w:rPr>
          <w:spacing w:val="-73"/>
        </w:rPr>
      </w:r>
      <w:r>
        <w:rPr/>
        <w:t>失准备的增加或转回金额，作为减值损失或利得计入当期损益。</w:t>
      </w:r>
    </w:p>
    <w:p>
      <w:pPr>
        <w:spacing w:line="240" w:lineRule="auto" w:before="8"/>
        <w:rPr>
          <w:rFonts w:ascii="宋体" w:hAnsi="宋体" w:cs="宋体" w:eastAsia="宋体" w:hint="default"/>
          <w:sz w:val="15"/>
          <w:szCs w:val="15"/>
        </w:rPr>
      </w:pPr>
    </w:p>
    <w:p>
      <w:pPr>
        <w:pStyle w:val="BodyText"/>
        <w:spacing w:line="240" w:lineRule="auto"/>
        <w:ind w:left="162" w:right="0"/>
        <w:jc w:val="left"/>
      </w:pPr>
      <w:bookmarkStart w:name="(2) 固定资产折旧" w:id="24"/>
      <w:bookmarkEnd w:id="24"/>
      <w:r>
        <w:rPr/>
      </w:r>
      <w:r>
        <w:rPr>
          <w:rFonts w:ascii="Arial" w:hAnsi="Arial" w:cs="Arial" w:eastAsia="Arial" w:hint="default"/>
        </w:rPr>
        <w:t>(2) </w:t>
      </w:r>
      <w:r>
        <w:rPr>
          <w:rFonts w:ascii="Arial" w:hAnsi="Arial" w:cs="Arial" w:eastAsia="Arial" w:hint="default"/>
          <w:spacing w:val="49"/>
        </w:rPr>
        <w:t> </w:t>
      </w:r>
      <w:r>
        <w:rPr/>
        <w:t>固定资产折旧</w:t>
      </w:r>
    </w:p>
    <w:p>
      <w:pPr>
        <w:spacing w:line="240" w:lineRule="auto" w:before="5"/>
        <w:rPr>
          <w:rFonts w:ascii="宋体" w:hAnsi="宋体" w:cs="宋体" w:eastAsia="宋体" w:hint="default"/>
          <w:sz w:val="15"/>
          <w:szCs w:val="15"/>
        </w:rPr>
      </w:pPr>
    </w:p>
    <w:p>
      <w:pPr>
        <w:pStyle w:val="BodyText"/>
        <w:spacing w:line="225" w:lineRule="auto"/>
        <w:ind w:left="598" w:right="109"/>
        <w:jc w:val="both"/>
      </w:pPr>
      <w:r>
        <w:rPr>
          <w:spacing w:val="2"/>
        </w:rPr>
        <w:t>本集团固定资产的折旧在预计使用寿命内以资产的入账价值减去预计净残值后的金额按直线法计</w:t>
      </w:r>
      <w:r>
        <w:rPr>
          <w:spacing w:val="-39"/>
        </w:rPr>
        <w:t> </w:t>
      </w:r>
      <w:r>
        <w:rPr>
          <w:spacing w:val="-39"/>
        </w:rPr>
      </w:r>
      <w:r>
        <w:rPr>
          <w:spacing w:val="-2"/>
        </w:rPr>
        <w:t>提。本集团定期对预计使用寿命、预计净残值和折旧方法进行评估，以确保折旧方法及折旧率与固</w:t>
      </w:r>
      <w:r>
        <w:rPr>
          <w:spacing w:val="-75"/>
        </w:rPr>
        <w:t> </w:t>
      </w:r>
      <w:r>
        <w:rPr>
          <w:spacing w:val="-75"/>
        </w:rPr>
      </w:r>
      <w:r>
        <w:rPr/>
        <w:t>定资产的预计经济利益实现模式一致。</w:t>
      </w:r>
    </w:p>
    <w:p>
      <w:pPr>
        <w:spacing w:line="240" w:lineRule="auto" w:before="11"/>
        <w:rPr>
          <w:rFonts w:ascii="宋体" w:hAnsi="宋体" w:cs="宋体" w:eastAsia="宋体" w:hint="default"/>
          <w:sz w:val="18"/>
          <w:szCs w:val="18"/>
        </w:rPr>
      </w:pPr>
    </w:p>
    <w:p>
      <w:pPr>
        <w:pStyle w:val="BodyText"/>
        <w:spacing w:line="268" w:lineRule="exact"/>
        <w:ind w:left="599" w:right="109"/>
        <w:jc w:val="both"/>
      </w:pPr>
      <w:r>
        <w:rPr/>
        <w:t>本集团对固定资产预计使用寿命及净残值的估计是基于历史经验并考虑预期的技术更新而作出的。</w:t>
      </w:r>
      <w:r>
        <w:rPr>
          <w:spacing w:val="-56"/>
        </w:rPr>
        <w:t> </w:t>
      </w:r>
      <w:r>
        <w:rPr>
          <w:spacing w:val="-56"/>
        </w:rPr>
      </w:r>
      <w:r>
        <w:rPr/>
        <w:t>当预计使用寿命及预计净残值发生重大变化时，可能需要相应调整折旧费用。</w:t>
      </w:r>
    </w:p>
    <w:p>
      <w:pPr>
        <w:pStyle w:val="BodyText"/>
        <w:spacing w:line="240" w:lineRule="auto" w:before="179"/>
        <w:ind w:left="162" w:right="0"/>
        <w:jc w:val="left"/>
      </w:pPr>
      <w:bookmarkStart w:name="(3) 长期资产减值" w:id="25"/>
      <w:bookmarkEnd w:id="25"/>
      <w:r>
        <w:rPr/>
      </w:r>
      <w:r>
        <w:rPr>
          <w:rFonts w:ascii="Arial" w:hAnsi="Arial" w:cs="Arial" w:eastAsia="Arial" w:hint="default"/>
        </w:rPr>
        <w:t>(3)  </w:t>
      </w:r>
      <w:r>
        <w:rPr>
          <w:rFonts w:ascii="Arial" w:hAnsi="Arial" w:cs="Arial" w:eastAsia="Arial" w:hint="default"/>
          <w:spacing w:val="12"/>
        </w:rPr>
        <w:t> </w:t>
      </w:r>
      <w:r>
        <w:rPr/>
        <w:t>长期资产减值</w:t>
      </w:r>
    </w:p>
    <w:p>
      <w:pPr>
        <w:spacing w:line="240" w:lineRule="auto" w:before="8"/>
        <w:rPr>
          <w:rFonts w:ascii="宋体" w:hAnsi="宋体" w:cs="宋体" w:eastAsia="宋体" w:hint="default"/>
          <w:sz w:val="15"/>
          <w:szCs w:val="15"/>
        </w:rPr>
      </w:pPr>
    </w:p>
    <w:p>
      <w:pPr>
        <w:pStyle w:val="BodyText"/>
        <w:spacing w:line="223" w:lineRule="auto"/>
        <w:ind w:left="599" w:right="203"/>
        <w:jc w:val="both"/>
      </w:pPr>
      <w:r>
        <w:rPr>
          <w:spacing w:val="-1"/>
        </w:rPr>
        <w:t>本集团按照附注三</w:t>
      </w:r>
      <w:r>
        <w:rPr>
          <w:rFonts w:ascii="Arial" w:hAnsi="Arial" w:cs="Arial" w:eastAsia="Arial" w:hint="default"/>
          <w:spacing w:val="-1"/>
        </w:rPr>
        <w:t>(16)</w:t>
      </w:r>
      <w:r>
        <w:rPr>
          <w:spacing w:val="-1"/>
        </w:rPr>
        <w:t>所述会计政策评估长期资产是否存在减值。一项资产的可收回金额是指资产</w:t>
      </w:r>
      <w:r>
        <w:rPr>
          <w:spacing w:val="-67"/>
        </w:rPr>
        <w:t> </w:t>
      </w:r>
      <w:r>
        <w:rPr>
          <w:spacing w:val="-67"/>
        </w:rPr>
      </w:r>
      <w:r>
        <w:rPr>
          <w:spacing w:val="-2"/>
        </w:rPr>
        <w:t>公允价值减去处置费用后的净额与资产预计未来现金流量的现值两者之间的较高者。管理层估计的</w:t>
      </w:r>
      <w:r>
        <w:rPr>
          <w:spacing w:val="-73"/>
        </w:rPr>
        <w:t> </w:t>
      </w:r>
      <w:r>
        <w:rPr>
          <w:spacing w:val="-73"/>
        </w:rPr>
      </w:r>
      <w:r>
        <w:rPr>
          <w:spacing w:val="2"/>
        </w:rPr>
        <w:t>资产预计未来现金流量的现值是根据能够独立产生现金流入的最小资产组合的预期未来税前现金</w:t>
      </w:r>
      <w:r>
        <w:rPr>
          <w:spacing w:val="-40"/>
        </w:rPr>
        <w:t> </w:t>
      </w:r>
      <w:r>
        <w:rPr>
          <w:spacing w:val="-40"/>
        </w:rPr>
      </w:r>
      <w:r>
        <w:rPr>
          <w:spacing w:val="-2"/>
        </w:rPr>
        <w:t>流量折现确定。当管理层的假设和长期资产的预期可收回金额发生重大变化时，本集团的未来经营</w:t>
      </w:r>
      <w:r>
        <w:rPr>
          <w:spacing w:val="-73"/>
        </w:rPr>
        <w:t> </w:t>
      </w:r>
      <w:r>
        <w:rPr>
          <w:spacing w:val="-73"/>
        </w:rPr>
      </w:r>
      <w:r>
        <w:rPr/>
        <w:t>成果将受到影响。</w:t>
      </w:r>
    </w:p>
    <w:p>
      <w:pPr>
        <w:spacing w:after="0" w:line="223" w:lineRule="auto"/>
        <w:jc w:val="both"/>
        <w:sectPr>
          <w:headerReference w:type="default" r:id="rId137"/>
          <w:pgSz w:w="11910" w:h="16840"/>
          <w:pgMar w:header="842" w:footer="502" w:top="2700" w:bottom="700" w:left="860" w:right="820"/>
        </w:sectPr>
      </w:pPr>
    </w:p>
    <w:p>
      <w:pPr>
        <w:spacing w:line="240" w:lineRule="auto" w:before="7"/>
        <w:rPr>
          <w:rFonts w:ascii="宋体" w:hAnsi="宋体" w:cs="宋体" w:eastAsia="宋体" w:hint="default"/>
          <w:sz w:val="16"/>
          <w:szCs w:val="16"/>
        </w:rPr>
      </w:pPr>
    </w:p>
    <w:p>
      <w:pPr>
        <w:pStyle w:val="Heading3"/>
        <w:spacing w:line="240" w:lineRule="auto"/>
        <w:ind w:left="127" w:right="104"/>
        <w:jc w:val="left"/>
        <w:rPr>
          <w:b w:val="0"/>
          <w:bCs w:val="0"/>
        </w:rPr>
      </w:pPr>
      <w:r>
        <w:rPr/>
        <w:t>四</w:t>
      </w:r>
      <w:r>
        <w:rPr>
          <w:spacing w:val="70"/>
        </w:rPr>
        <w:t> </w:t>
      </w:r>
      <w:r>
        <w:rPr/>
        <w:t>税项</w:t>
      </w:r>
      <w:r>
        <w:rPr>
          <w:b w:val="0"/>
          <w:bCs w:val="0"/>
        </w:rPr>
      </w:r>
    </w:p>
    <w:p>
      <w:pPr>
        <w:spacing w:line="240" w:lineRule="auto" w:before="6"/>
        <w:rPr>
          <w:rFonts w:ascii="宋体" w:hAnsi="宋体" w:cs="宋体" w:eastAsia="宋体" w:hint="default"/>
          <w:b/>
          <w:bCs/>
          <w:sz w:val="19"/>
          <w:szCs w:val="19"/>
        </w:rPr>
      </w:pPr>
    </w:p>
    <w:p>
      <w:pPr>
        <w:pStyle w:val="BodyText"/>
        <w:spacing w:line="240" w:lineRule="auto"/>
        <w:ind w:left="113" w:right="104"/>
        <w:jc w:val="left"/>
      </w:pPr>
      <w:r>
        <w:rPr>
          <w:rFonts w:ascii="Arial" w:hAnsi="Arial" w:cs="Arial" w:eastAsia="Arial" w:hint="default"/>
        </w:rPr>
        <w:t>1</w:t>
      </w:r>
      <w:r>
        <w:rPr/>
        <w:t>、</w:t>
      </w:r>
      <w:r>
        <w:rPr>
          <w:spacing w:val="-19"/>
        </w:rPr>
        <w:t> </w:t>
      </w:r>
      <w:r>
        <w:rPr/>
        <w:t>增值税</w:t>
      </w:r>
    </w:p>
    <w:p>
      <w:pPr>
        <w:spacing w:line="240" w:lineRule="auto" w:before="1"/>
        <w:rPr>
          <w:rFonts w:ascii="宋体" w:hAnsi="宋体" w:cs="宋体" w:eastAsia="宋体" w:hint="default"/>
          <w:sz w:val="19"/>
          <w:szCs w:val="19"/>
        </w:rPr>
      </w:pPr>
    </w:p>
    <w:p>
      <w:pPr>
        <w:pStyle w:val="BodyText"/>
        <w:spacing w:line="284" w:lineRule="exact"/>
        <w:ind w:left="535" w:right="105"/>
        <w:jc w:val="both"/>
      </w:pPr>
      <w:r>
        <w:rPr>
          <w:spacing w:val="-4"/>
        </w:rPr>
        <w:t>根据《中华人民共和国增值税暂行条例》的规定，截至</w:t>
      </w:r>
      <w:r>
        <w:rPr>
          <w:spacing w:val="-50"/>
        </w:rPr>
        <w:t> </w:t>
      </w:r>
      <w:r>
        <w:rPr>
          <w:rFonts w:ascii="Arial" w:hAnsi="Arial" w:cs="Arial" w:eastAsia="Arial" w:hint="default"/>
        </w:rPr>
        <w:t>2018</w:t>
      </w:r>
      <w:r>
        <w:rPr>
          <w:rFonts w:ascii="Arial" w:hAnsi="Arial" w:cs="Arial" w:eastAsia="Arial" w:hint="default"/>
          <w:spacing w:val="2"/>
        </w:rPr>
        <w:t> </w:t>
      </w:r>
      <w:r>
        <w:rPr/>
        <w:t>年</w:t>
      </w:r>
      <w:r>
        <w:rPr>
          <w:spacing w:val="-50"/>
        </w:rPr>
        <w:t> </w:t>
      </w:r>
      <w:r>
        <w:rPr>
          <w:rFonts w:ascii="Arial" w:hAnsi="Arial" w:cs="Arial" w:eastAsia="Arial" w:hint="default"/>
        </w:rPr>
        <w:t>4</w:t>
      </w:r>
      <w:r>
        <w:rPr>
          <w:rFonts w:ascii="Arial" w:hAnsi="Arial" w:cs="Arial" w:eastAsia="Arial" w:hint="default"/>
          <w:spacing w:val="2"/>
        </w:rPr>
        <w:t> </w:t>
      </w:r>
      <w:r>
        <w:rPr/>
        <w:t>月</w:t>
      </w:r>
      <w:r>
        <w:rPr>
          <w:spacing w:val="-50"/>
        </w:rPr>
        <w:t> </w:t>
      </w:r>
      <w:r>
        <w:rPr>
          <w:rFonts w:ascii="Arial" w:hAnsi="Arial" w:cs="Arial" w:eastAsia="Arial" w:hint="default"/>
        </w:rPr>
        <w:t>30</w:t>
      </w:r>
      <w:r>
        <w:rPr>
          <w:rFonts w:ascii="Arial" w:hAnsi="Arial" w:cs="Arial" w:eastAsia="Arial" w:hint="default"/>
          <w:spacing w:val="2"/>
        </w:rPr>
        <w:t> </w:t>
      </w:r>
      <w:r>
        <w:rPr>
          <w:spacing w:val="-3"/>
        </w:rPr>
        <w:t>日，本公司所属联通运营公</w:t>
      </w:r>
      <w:r>
        <w:rPr>
          <w:w w:val="100"/>
        </w:rPr>
        <w:t> </w:t>
      </w:r>
      <w:r>
        <w:rPr/>
        <w:t>司各子公司在境内销售货物、提供修理修配劳务适用增值税，税率为</w:t>
      </w:r>
      <w:r>
        <w:rPr>
          <w:spacing w:val="-53"/>
        </w:rPr>
        <w:t> </w:t>
      </w:r>
      <w:r>
        <w:rPr>
          <w:rFonts w:ascii="Arial" w:hAnsi="Arial" w:cs="Arial" w:eastAsia="Arial" w:hint="default"/>
        </w:rPr>
        <w:t>17%</w:t>
      </w:r>
      <w:r>
        <w:rPr/>
        <w:t>。</w:t>
      </w:r>
    </w:p>
    <w:p>
      <w:pPr>
        <w:spacing w:line="240" w:lineRule="auto" w:before="9"/>
        <w:rPr>
          <w:rFonts w:ascii="宋体" w:hAnsi="宋体" w:cs="宋体" w:eastAsia="宋体" w:hint="default"/>
          <w:sz w:val="17"/>
          <w:szCs w:val="17"/>
        </w:rPr>
      </w:pPr>
    </w:p>
    <w:p>
      <w:pPr>
        <w:pStyle w:val="BodyText"/>
        <w:spacing w:line="232" w:lineRule="auto"/>
        <w:ind w:left="535" w:right="110"/>
        <w:jc w:val="both"/>
      </w:pPr>
      <w:r>
        <w:rPr/>
        <w:t>根据财税</w:t>
      </w:r>
      <w:r>
        <w:rPr>
          <w:rFonts w:ascii="Arial" w:hAnsi="Arial" w:cs="Arial" w:eastAsia="Arial" w:hint="default"/>
        </w:rPr>
        <w:t>[2013]106 </w:t>
      </w:r>
      <w:r>
        <w:rPr>
          <w:spacing w:val="-10"/>
        </w:rPr>
        <w:t>号《财政部</w:t>
      </w:r>
      <w:r>
        <w:rPr>
          <w:spacing w:val="-3"/>
        </w:rPr>
        <w:t> </w:t>
      </w:r>
      <w:r>
        <w:rPr/>
        <w:t>国家税务总局关于将铁路运输和邮政业纳入营业税改征增值税试点</w:t>
      </w:r>
      <w:r>
        <w:rPr>
          <w:w w:val="100"/>
        </w:rPr>
        <w:t> </w:t>
      </w:r>
      <w:r>
        <w:rPr>
          <w:spacing w:val="-1"/>
        </w:rPr>
        <w:t>的通知》的规定，本公司所属联通运营公司各子公司在境内提供信息技术服务、技术咨询服务等部</w:t>
      </w:r>
      <w:r>
        <w:rPr>
          <w:spacing w:val="-68"/>
        </w:rPr>
        <w:t> </w:t>
      </w:r>
      <w:r>
        <w:rPr>
          <w:spacing w:val="-68"/>
        </w:rPr>
      </w:r>
      <w:r>
        <w:rPr/>
        <w:t>分现代服务业业务适用增值税，税率为</w:t>
      </w:r>
      <w:r>
        <w:rPr>
          <w:spacing w:val="-51"/>
        </w:rPr>
        <w:t> </w:t>
      </w:r>
      <w:r>
        <w:rPr>
          <w:rFonts w:ascii="Arial" w:hAnsi="Arial" w:cs="Arial" w:eastAsia="Arial" w:hint="default"/>
        </w:rPr>
        <w:t>6%</w:t>
      </w:r>
      <w:r>
        <w:rPr/>
        <w:t>。</w:t>
      </w:r>
    </w:p>
    <w:p>
      <w:pPr>
        <w:spacing w:line="240" w:lineRule="auto" w:before="0"/>
        <w:rPr>
          <w:rFonts w:ascii="宋体" w:hAnsi="宋体" w:cs="宋体" w:eastAsia="宋体" w:hint="default"/>
          <w:sz w:val="20"/>
          <w:szCs w:val="20"/>
        </w:rPr>
      </w:pPr>
    </w:p>
    <w:p>
      <w:pPr>
        <w:pStyle w:val="BodyText"/>
        <w:spacing w:line="288" w:lineRule="exact"/>
        <w:ind w:left="535" w:right="110"/>
        <w:jc w:val="both"/>
      </w:pPr>
      <w:r>
        <w:rPr/>
        <w:t>根据财税</w:t>
      </w:r>
      <w:r>
        <w:rPr>
          <w:rFonts w:ascii="Arial" w:hAnsi="Arial" w:cs="Arial" w:eastAsia="Arial" w:hint="default"/>
        </w:rPr>
        <w:t>[2014]43 </w:t>
      </w:r>
      <w:r>
        <w:rPr/>
        <w:t>号《财政部</w:t>
      </w:r>
      <w:r>
        <w:rPr>
          <w:spacing w:val="9"/>
        </w:rPr>
        <w:t> </w:t>
      </w:r>
      <w:r>
        <w:rPr/>
        <w:t>国家税务总局关于将电信业纳入营业税改征增值税试点的通知》的</w:t>
      </w:r>
      <w:r>
        <w:rPr>
          <w:w w:val="100"/>
        </w:rPr>
        <w:t> </w:t>
      </w:r>
      <w:r>
        <w:rPr>
          <w:spacing w:val="-12"/>
        </w:rPr>
        <w:t>规定，自</w:t>
      </w:r>
      <w:r>
        <w:rPr>
          <w:spacing w:val="-47"/>
        </w:rPr>
        <w:t> </w:t>
      </w:r>
      <w:r>
        <w:rPr>
          <w:rFonts w:ascii="Arial" w:hAnsi="Arial" w:cs="Arial" w:eastAsia="Arial" w:hint="default"/>
        </w:rPr>
        <w:t>2014</w:t>
      </w:r>
      <w:r>
        <w:rPr>
          <w:rFonts w:ascii="Arial" w:hAnsi="Arial" w:cs="Arial" w:eastAsia="Arial" w:hint="default"/>
          <w:spacing w:val="4"/>
        </w:rPr>
        <w:t> </w:t>
      </w:r>
      <w:r>
        <w:rPr/>
        <w:t>年</w:t>
      </w:r>
      <w:r>
        <w:rPr>
          <w:spacing w:val="-47"/>
        </w:rPr>
        <w:t> </w:t>
      </w:r>
      <w:r>
        <w:rPr>
          <w:rFonts w:ascii="Arial" w:hAnsi="Arial" w:cs="Arial" w:eastAsia="Arial" w:hint="default"/>
        </w:rPr>
        <w:t>6</w:t>
      </w:r>
      <w:r>
        <w:rPr>
          <w:rFonts w:ascii="Arial" w:hAnsi="Arial" w:cs="Arial" w:eastAsia="Arial" w:hint="default"/>
          <w:spacing w:val="4"/>
        </w:rPr>
        <w:t> </w:t>
      </w:r>
      <w:r>
        <w:rPr/>
        <w:t>月</w:t>
      </w:r>
      <w:r>
        <w:rPr>
          <w:spacing w:val="-47"/>
        </w:rPr>
        <w:t> </w:t>
      </w:r>
      <w:r>
        <w:rPr>
          <w:rFonts w:ascii="Arial" w:hAnsi="Arial" w:cs="Arial" w:eastAsia="Arial" w:hint="default"/>
        </w:rPr>
        <w:t>1</w:t>
      </w:r>
      <w:r>
        <w:rPr>
          <w:rFonts w:ascii="Arial" w:hAnsi="Arial" w:cs="Arial" w:eastAsia="Arial" w:hint="default"/>
          <w:spacing w:val="4"/>
        </w:rPr>
        <w:t> </w:t>
      </w:r>
      <w:r>
        <w:rPr>
          <w:spacing w:val="-6"/>
        </w:rPr>
        <w:t>日起，在中华人民共和国境内开展电信业营业税改征增值税（以下简称“营</w:t>
      </w:r>
    </w:p>
    <w:p>
      <w:pPr>
        <w:pStyle w:val="BodyText"/>
        <w:spacing w:line="264" w:lineRule="exact"/>
        <w:ind w:left="535" w:right="0"/>
        <w:jc w:val="both"/>
      </w:pPr>
      <w:r>
        <w:rPr>
          <w:spacing w:val="-9"/>
        </w:rPr>
        <w:t>改增”）试点。截至</w:t>
      </w:r>
      <w:r>
        <w:rPr>
          <w:spacing w:val="-58"/>
        </w:rPr>
        <w:t> </w:t>
      </w:r>
      <w:r>
        <w:rPr>
          <w:rFonts w:ascii="Arial" w:hAnsi="Arial" w:cs="Arial" w:eastAsia="Arial" w:hint="default"/>
        </w:rPr>
        <w:t>2018</w:t>
      </w:r>
      <w:r>
        <w:rPr>
          <w:rFonts w:ascii="Arial" w:hAnsi="Arial" w:cs="Arial" w:eastAsia="Arial" w:hint="default"/>
          <w:spacing w:val="-7"/>
        </w:rPr>
        <w:t> </w:t>
      </w:r>
      <w:r>
        <w:rPr/>
        <w:t>年</w:t>
      </w:r>
      <w:r>
        <w:rPr>
          <w:spacing w:val="-58"/>
        </w:rPr>
        <w:t> </w:t>
      </w:r>
      <w:r>
        <w:rPr>
          <w:rFonts w:ascii="Arial" w:hAnsi="Arial" w:cs="Arial" w:eastAsia="Arial" w:hint="default"/>
        </w:rPr>
        <w:t>4</w:t>
      </w:r>
      <w:r>
        <w:rPr>
          <w:rFonts w:ascii="Arial" w:hAnsi="Arial" w:cs="Arial" w:eastAsia="Arial" w:hint="default"/>
          <w:spacing w:val="-7"/>
        </w:rPr>
        <w:t> </w:t>
      </w:r>
      <w:r>
        <w:rPr/>
        <w:t>月</w:t>
      </w:r>
      <w:r>
        <w:rPr>
          <w:spacing w:val="-58"/>
        </w:rPr>
        <w:t> </w:t>
      </w:r>
      <w:r>
        <w:rPr>
          <w:rFonts w:ascii="Arial" w:hAnsi="Arial" w:cs="Arial" w:eastAsia="Arial" w:hint="default"/>
        </w:rPr>
        <w:t>30</w:t>
      </w:r>
      <w:r>
        <w:rPr>
          <w:rFonts w:ascii="Arial" w:hAnsi="Arial" w:cs="Arial" w:eastAsia="Arial" w:hint="default"/>
          <w:spacing w:val="-11"/>
        </w:rPr>
        <w:t> </w:t>
      </w:r>
      <w:r>
        <w:rPr/>
        <w:t>日，本公司所属联通运营公司及其子公司在境内提供的电信服</w:t>
      </w:r>
    </w:p>
    <w:p>
      <w:pPr>
        <w:pStyle w:val="BodyText"/>
        <w:spacing w:line="284" w:lineRule="exact" w:before="22"/>
        <w:ind w:left="534" w:right="106"/>
        <w:jc w:val="both"/>
      </w:pPr>
      <w:r>
        <w:rPr/>
        <w:t>务适用增值税，提供基础电信服务，税率为</w:t>
      </w:r>
      <w:r>
        <w:rPr>
          <w:spacing w:val="-49"/>
        </w:rPr>
        <w:t> </w:t>
      </w:r>
      <w:r>
        <w:rPr>
          <w:rFonts w:ascii="Arial" w:hAnsi="Arial" w:cs="Arial" w:eastAsia="Arial" w:hint="default"/>
        </w:rPr>
        <w:t>11%</w:t>
      </w:r>
      <w:r>
        <w:rPr/>
        <w:t>；提供增值电信服务，税率为</w:t>
      </w:r>
      <w:r>
        <w:rPr>
          <w:spacing w:val="-49"/>
        </w:rPr>
        <w:t> </w:t>
      </w:r>
      <w:r>
        <w:rPr>
          <w:rFonts w:ascii="Arial" w:hAnsi="Arial" w:cs="Arial" w:eastAsia="Arial" w:hint="default"/>
        </w:rPr>
        <w:t>6%</w:t>
      </w:r>
      <w:r>
        <w:rPr/>
        <w:t>；提供电信服务</w:t>
      </w:r>
      <w:r>
        <w:rPr>
          <w:w w:val="100"/>
        </w:rPr>
        <w:t> </w:t>
      </w:r>
      <w:r>
        <w:rPr/>
        <w:t>时，附带赠送的用户识别卡、电信终端等货物，税率为</w:t>
      </w:r>
      <w:r>
        <w:rPr>
          <w:spacing w:val="-53"/>
        </w:rPr>
        <w:t> </w:t>
      </w:r>
      <w:r>
        <w:rPr>
          <w:rFonts w:ascii="Arial" w:hAnsi="Arial" w:cs="Arial" w:eastAsia="Arial" w:hint="default"/>
        </w:rPr>
        <w:t>17%</w:t>
      </w:r>
      <w:r>
        <w:rPr/>
        <w:t>。</w:t>
      </w:r>
    </w:p>
    <w:p>
      <w:pPr>
        <w:spacing w:line="240" w:lineRule="auto" w:before="4"/>
        <w:rPr>
          <w:rFonts w:ascii="宋体" w:hAnsi="宋体" w:cs="宋体" w:eastAsia="宋体" w:hint="default"/>
          <w:sz w:val="18"/>
          <w:szCs w:val="18"/>
        </w:rPr>
      </w:pPr>
    </w:p>
    <w:p>
      <w:pPr>
        <w:pStyle w:val="BodyText"/>
        <w:spacing w:line="225" w:lineRule="auto"/>
        <w:ind w:left="534" w:right="106"/>
        <w:jc w:val="both"/>
      </w:pPr>
      <w:r>
        <w:rPr/>
        <w:t>根据财税</w:t>
      </w:r>
      <w:r>
        <w:rPr>
          <w:rFonts w:ascii="Arial" w:hAnsi="Arial" w:cs="Arial" w:eastAsia="Arial" w:hint="default"/>
        </w:rPr>
        <w:t>[2018]32</w:t>
      </w:r>
      <w:r>
        <w:rPr>
          <w:rFonts w:ascii="Arial" w:hAnsi="Arial" w:cs="Arial" w:eastAsia="Arial" w:hint="default"/>
          <w:spacing w:val="-3"/>
        </w:rPr>
        <w:t> </w:t>
      </w:r>
      <w:r>
        <w:rPr>
          <w:spacing w:val="-6"/>
        </w:rPr>
        <w:t>号《财政部</w:t>
      </w:r>
      <w:r>
        <w:rPr>
          <w:spacing w:val="4"/>
        </w:rPr>
        <w:t> </w:t>
      </w:r>
      <w:r>
        <w:rPr>
          <w:spacing w:val="-4"/>
        </w:rPr>
        <w:t>税务总局关于调整增值税税率的通知》，自</w:t>
      </w:r>
      <w:r>
        <w:rPr>
          <w:spacing w:val="-54"/>
        </w:rPr>
        <w:t> </w:t>
      </w:r>
      <w:r>
        <w:rPr>
          <w:rFonts w:ascii="Arial" w:hAnsi="Arial" w:cs="Arial" w:eastAsia="Arial" w:hint="default"/>
        </w:rPr>
        <w:t>2018</w:t>
      </w:r>
      <w:r>
        <w:rPr>
          <w:rFonts w:ascii="Arial" w:hAnsi="Arial" w:cs="Arial" w:eastAsia="Arial" w:hint="default"/>
          <w:spacing w:val="-3"/>
        </w:rPr>
        <w:t> </w:t>
      </w:r>
      <w:r>
        <w:rPr/>
        <w:t>年</w:t>
      </w:r>
      <w:r>
        <w:rPr>
          <w:spacing w:val="-54"/>
        </w:rPr>
        <w:t> </w:t>
      </w:r>
      <w:r>
        <w:rPr>
          <w:rFonts w:ascii="Arial" w:hAnsi="Arial" w:cs="Arial" w:eastAsia="Arial" w:hint="default"/>
        </w:rPr>
        <w:t>5</w:t>
      </w:r>
      <w:r>
        <w:rPr>
          <w:rFonts w:ascii="Arial" w:hAnsi="Arial" w:cs="Arial" w:eastAsia="Arial" w:hint="default"/>
          <w:spacing w:val="-3"/>
        </w:rPr>
        <w:t> </w:t>
      </w:r>
      <w:r>
        <w:rPr/>
        <w:t>月</w:t>
      </w:r>
      <w:r>
        <w:rPr>
          <w:spacing w:val="-54"/>
        </w:rPr>
        <w:t> </w:t>
      </w:r>
      <w:r>
        <w:rPr>
          <w:rFonts w:ascii="Arial" w:hAnsi="Arial" w:cs="Arial" w:eastAsia="Arial" w:hint="default"/>
        </w:rPr>
        <w:t>1</w:t>
      </w:r>
      <w:r>
        <w:rPr>
          <w:rFonts w:ascii="Arial" w:hAnsi="Arial" w:cs="Arial" w:eastAsia="Arial" w:hint="default"/>
          <w:spacing w:val="-3"/>
        </w:rPr>
        <w:t> </w:t>
      </w:r>
      <w:r>
        <w:rPr>
          <w:spacing w:val="-8"/>
        </w:rPr>
        <w:t>日起，上</w:t>
      </w:r>
      <w:r>
        <w:rPr>
          <w:w w:val="100"/>
        </w:rPr>
        <w:t> </w:t>
      </w:r>
      <w:r>
        <w:rPr/>
        <w:t>述业务活动中适用</w:t>
      </w:r>
      <w:r>
        <w:rPr>
          <w:spacing w:val="-41"/>
        </w:rPr>
        <w:t> </w:t>
      </w:r>
      <w:r>
        <w:rPr>
          <w:rFonts w:ascii="Arial" w:hAnsi="Arial" w:cs="Arial" w:eastAsia="Arial" w:hint="default"/>
        </w:rPr>
        <w:t>17%</w:t>
      </w:r>
      <w:r>
        <w:rPr/>
        <w:t>和</w:t>
      </w:r>
      <w:r>
        <w:rPr>
          <w:spacing w:val="-36"/>
        </w:rPr>
        <w:t> </w:t>
      </w:r>
      <w:r>
        <w:rPr>
          <w:rFonts w:ascii="Arial" w:hAnsi="Arial" w:cs="Arial" w:eastAsia="Arial" w:hint="default"/>
        </w:rPr>
        <w:t>11%</w:t>
      </w:r>
      <w:r>
        <w:rPr/>
        <w:t>税率的，税率分别调整为</w:t>
      </w:r>
      <w:r>
        <w:rPr>
          <w:spacing w:val="-36"/>
        </w:rPr>
        <w:t> </w:t>
      </w:r>
      <w:r>
        <w:rPr>
          <w:rFonts w:ascii="Arial" w:hAnsi="Arial" w:cs="Arial" w:eastAsia="Arial" w:hint="default"/>
        </w:rPr>
        <w:t>16%</w:t>
      </w:r>
      <w:r>
        <w:rPr/>
        <w:t>、</w:t>
      </w:r>
      <w:r>
        <w:rPr>
          <w:rFonts w:ascii="Arial" w:hAnsi="Arial" w:cs="Arial" w:eastAsia="Arial" w:hint="default"/>
        </w:rPr>
        <w:t>10%</w:t>
      </w:r>
      <w:r>
        <w:rPr/>
        <w:t>。根据《财政部</w:t>
      </w:r>
      <w:r>
        <w:rPr>
          <w:spacing w:val="-2"/>
        </w:rPr>
        <w:t> </w:t>
      </w:r>
      <w:r>
        <w:rPr/>
        <w:t>税务总局</w:t>
      </w:r>
      <w:r>
        <w:rPr>
          <w:spacing w:val="3"/>
        </w:rPr>
        <w:t> </w:t>
      </w:r>
      <w:r>
        <w:rPr/>
        <w:t>海</w:t>
      </w:r>
      <w:r>
        <w:rPr>
          <w:w w:val="100"/>
        </w:rPr>
        <w:t> </w:t>
      </w:r>
      <w:r>
        <w:rPr/>
        <w:t>关总署关于深化增值税改革有关政策的公告》，自</w:t>
      </w:r>
      <w:r>
        <w:rPr>
          <w:spacing w:val="-62"/>
        </w:rPr>
        <w:t> </w:t>
      </w:r>
      <w:r>
        <w:rPr>
          <w:rFonts w:ascii="Arial" w:hAnsi="Arial" w:cs="Arial" w:eastAsia="Arial" w:hint="default"/>
        </w:rPr>
        <w:t>2019</w:t>
      </w:r>
      <w:r>
        <w:rPr>
          <w:rFonts w:ascii="Arial" w:hAnsi="Arial" w:cs="Arial" w:eastAsia="Arial" w:hint="default"/>
          <w:spacing w:val="-7"/>
        </w:rPr>
        <w:t> </w:t>
      </w:r>
      <w:r>
        <w:rPr/>
        <w:t>年</w:t>
      </w:r>
      <w:r>
        <w:rPr>
          <w:spacing w:val="-58"/>
        </w:rPr>
        <w:t> </w:t>
      </w:r>
      <w:r>
        <w:rPr>
          <w:rFonts w:ascii="Arial" w:hAnsi="Arial" w:cs="Arial" w:eastAsia="Arial" w:hint="default"/>
        </w:rPr>
        <w:t>4</w:t>
      </w:r>
      <w:r>
        <w:rPr>
          <w:rFonts w:ascii="Arial" w:hAnsi="Arial" w:cs="Arial" w:eastAsia="Arial" w:hint="default"/>
          <w:spacing w:val="-7"/>
        </w:rPr>
        <w:t> </w:t>
      </w:r>
      <w:r>
        <w:rPr/>
        <w:t>月</w:t>
      </w:r>
      <w:r>
        <w:rPr>
          <w:spacing w:val="-58"/>
        </w:rPr>
        <w:t> </w:t>
      </w:r>
      <w:r>
        <w:rPr>
          <w:rFonts w:ascii="Arial" w:hAnsi="Arial" w:cs="Arial" w:eastAsia="Arial" w:hint="default"/>
        </w:rPr>
        <w:t>1</w:t>
      </w:r>
      <w:r>
        <w:rPr>
          <w:rFonts w:ascii="Arial" w:hAnsi="Arial" w:cs="Arial" w:eastAsia="Arial" w:hint="default"/>
          <w:spacing w:val="-7"/>
        </w:rPr>
        <w:t> </w:t>
      </w:r>
      <w:r>
        <w:rPr/>
        <w:t>日起，原适用</w:t>
      </w:r>
      <w:r>
        <w:rPr>
          <w:spacing w:val="-62"/>
        </w:rPr>
        <w:t> </w:t>
      </w:r>
      <w:r>
        <w:rPr>
          <w:rFonts w:ascii="Arial" w:hAnsi="Arial" w:cs="Arial" w:eastAsia="Arial" w:hint="default"/>
        </w:rPr>
        <w:t>16%</w:t>
      </w:r>
      <w:r>
        <w:rPr/>
        <w:t>税率的业务活</w:t>
      </w:r>
    </w:p>
    <w:p>
      <w:pPr>
        <w:pStyle w:val="BodyText"/>
        <w:spacing w:line="281" w:lineRule="exact"/>
        <w:ind w:left="534" w:right="0"/>
        <w:jc w:val="both"/>
      </w:pPr>
      <w:r>
        <w:rPr/>
        <w:t>动税率调整为</w:t>
      </w:r>
      <w:r>
        <w:rPr>
          <w:spacing w:val="-51"/>
        </w:rPr>
        <w:t> </w:t>
      </w:r>
      <w:r>
        <w:rPr>
          <w:rFonts w:ascii="Arial" w:hAnsi="Arial" w:cs="Arial" w:eastAsia="Arial" w:hint="default"/>
        </w:rPr>
        <w:t>13%</w:t>
      </w:r>
      <w:r>
        <w:rPr/>
        <w:t>；原适用</w:t>
      </w:r>
      <w:r>
        <w:rPr>
          <w:spacing w:val="-57"/>
        </w:rPr>
        <w:t> </w:t>
      </w:r>
      <w:r>
        <w:rPr>
          <w:rFonts w:ascii="Arial" w:hAnsi="Arial" w:cs="Arial" w:eastAsia="Arial" w:hint="default"/>
        </w:rPr>
        <w:t>10%</w:t>
      </w:r>
      <w:r>
        <w:rPr/>
        <w:t>税率的业务活动税率调整为</w:t>
      </w:r>
      <w:r>
        <w:rPr>
          <w:spacing w:val="-51"/>
        </w:rPr>
        <w:t> </w:t>
      </w:r>
      <w:r>
        <w:rPr>
          <w:rFonts w:ascii="Arial" w:hAnsi="Arial" w:cs="Arial" w:eastAsia="Arial" w:hint="default"/>
        </w:rPr>
        <w:t>9%</w:t>
      </w:r>
      <w:r>
        <w:rPr/>
        <w:t>；自</w:t>
      </w:r>
      <w:r>
        <w:rPr>
          <w:spacing w:val="-57"/>
        </w:rPr>
        <w:t> </w:t>
      </w:r>
      <w:r>
        <w:rPr>
          <w:rFonts w:ascii="Arial" w:hAnsi="Arial" w:cs="Arial" w:eastAsia="Arial" w:hint="default"/>
        </w:rPr>
        <w:t>2019 </w:t>
      </w:r>
      <w:r>
        <w:rPr/>
        <w:t>年</w:t>
      </w:r>
      <w:r>
        <w:rPr>
          <w:spacing w:val="-51"/>
        </w:rPr>
        <w:t> </w:t>
      </w:r>
      <w:r>
        <w:rPr>
          <w:rFonts w:ascii="Arial" w:hAnsi="Arial" w:cs="Arial" w:eastAsia="Arial" w:hint="default"/>
        </w:rPr>
        <w:t>4 </w:t>
      </w:r>
      <w:r>
        <w:rPr/>
        <w:t>月</w:t>
      </w:r>
      <w:r>
        <w:rPr>
          <w:spacing w:val="-51"/>
        </w:rPr>
        <w:t> </w:t>
      </w:r>
      <w:r>
        <w:rPr>
          <w:rFonts w:ascii="Arial" w:hAnsi="Arial" w:cs="Arial" w:eastAsia="Arial" w:hint="default"/>
        </w:rPr>
        <w:t>1 </w:t>
      </w:r>
      <w:r>
        <w:rPr/>
        <w:t>日至</w:t>
      </w:r>
      <w:r>
        <w:rPr>
          <w:spacing w:val="-51"/>
        </w:rPr>
        <w:t> </w:t>
      </w:r>
      <w:r>
        <w:rPr>
          <w:rFonts w:ascii="Arial" w:hAnsi="Arial" w:cs="Arial" w:eastAsia="Arial" w:hint="default"/>
        </w:rPr>
        <w:t>2021 </w:t>
      </w:r>
      <w:r>
        <w:rPr/>
        <w:t>年</w:t>
      </w:r>
    </w:p>
    <w:p>
      <w:pPr>
        <w:pStyle w:val="BodyText"/>
        <w:spacing w:line="284" w:lineRule="exact" w:before="19"/>
        <w:ind w:left="534" w:right="106" w:hanging="1"/>
        <w:jc w:val="both"/>
      </w:pPr>
      <w:r>
        <w:rPr>
          <w:rFonts w:ascii="Arial" w:hAnsi="Arial" w:cs="Arial" w:eastAsia="Arial" w:hint="default"/>
        </w:rPr>
        <w:t>12</w:t>
      </w:r>
      <w:r>
        <w:rPr>
          <w:rFonts w:ascii="Arial" w:hAnsi="Arial" w:cs="Arial" w:eastAsia="Arial" w:hint="default"/>
          <w:spacing w:val="5"/>
        </w:rPr>
        <w:t> </w:t>
      </w:r>
      <w:r>
        <w:rPr/>
        <w:t>月</w:t>
      </w:r>
      <w:r>
        <w:rPr>
          <w:spacing w:val="-46"/>
        </w:rPr>
        <w:t> </w:t>
      </w:r>
      <w:r>
        <w:rPr>
          <w:rFonts w:ascii="Arial" w:hAnsi="Arial" w:cs="Arial" w:eastAsia="Arial" w:hint="default"/>
        </w:rPr>
        <w:t>31</w:t>
      </w:r>
      <w:r>
        <w:rPr>
          <w:rFonts w:ascii="Arial" w:hAnsi="Arial" w:cs="Arial" w:eastAsia="Arial" w:hint="default"/>
          <w:spacing w:val="5"/>
        </w:rPr>
        <w:t> </w:t>
      </w:r>
      <w:r>
        <w:rPr>
          <w:spacing w:val="-6"/>
        </w:rPr>
        <w:t>日，允许生产、生活性服务业纳税人按照当期可抵扣进项税额加计</w:t>
      </w:r>
      <w:r>
        <w:rPr>
          <w:spacing w:val="-46"/>
        </w:rPr>
        <w:t> </w:t>
      </w:r>
      <w:r>
        <w:rPr>
          <w:rFonts w:ascii="Arial" w:hAnsi="Arial" w:cs="Arial" w:eastAsia="Arial" w:hint="default"/>
          <w:spacing w:val="-12"/>
        </w:rPr>
        <w:t>10%</w:t>
      </w:r>
      <w:r>
        <w:rPr>
          <w:spacing w:val="-12"/>
        </w:rPr>
        <w:t>，抵减应纳税额（以</w:t>
      </w:r>
      <w:r>
        <w:rPr>
          <w:spacing w:val="-107"/>
        </w:rPr>
        <w:t> </w:t>
      </w:r>
      <w:r>
        <w:rPr>
          <w:spacing w:val="-107"/>
        </w:rPr>
      </w:r>
      <w:r>
        <w:rPr/>
        <w:t>下称加计抵减政策）。</w:t>
      </w:r>
    </w:p>
    <w:p>
      <w:pPr>
        <w:spacing w:line="240" w:lineRule="auto" w:before="10"/>
        <w:rPr>
          <w:rFonts w:ascii="宋体" w:hAnsi="宋体" w:cs="宋体" w:eastAsia="宋体" w:hint="default"/>
          <w:sz w:val="19"/>
          <w:szCs w:val="19"/>
        </w:rPr>
      </w:pPr>
    </w:p>
    <w:p>
      <w:pPr>
        <w:pStyle w:val="BodyText"/>
        <w:spacing w:line="284" w:lineRule="exact"/>
        <w:ind w:left="534" w:right="111"/>
        <w:jc w:val="both"/>
      </w:pPr>
      <w:r>
        <w:rPr>
          <w:spacing w:val="-1"/>
        </w:rPr>
        <w:t>本公司所属联通运营公司及其子公司购进应税货物或接受应税劳务及服务，取得的增值税进项税额</w:t>
      </w:r>
      <w:r>
        <w:rPr>
          <w:spacing w:val="-68"/>
        </w:rPr>
        <w:t> </w:t>
      </w:r>
      <w:r>
        <w:rPr>
          <w:spacing w:val="-68"/>
        </w:rPr>
      </w:r>
      <w:r>
        <w:rPr>
          <w:spacing w:val="-1"/>
        </w:rPr>
        <w:t>可以按相关规定抵扣销项税额。增值税应纳税额为当期销项税额抵减当期可以抵扣的进项税额后的</w:t>
      </w:r>
      <w:r>
        <w:rPr>
          <w:spacing w:val="-68"/>
        </w:rPr>
        <w:t> </w:t>
      </w:r>
      <w:r>
        <w:rPr>
          <w:spacing w:val="-68"/>
        </w:rPr>
      </w:r>
      <w:r>
        <w:rPr/>
        <w:t>余额。当期销项税额小于当期进项税额不足抵扣时，其不足部分可以结转下期继续抵扣。</w:t>
      </w:r>
    </w:p>
    <w:p>
      <w:pPr>
        <w:spacing w:line="240" w:lineRule="auto" w:before="6"/>
        <w:rPr>
          <w:rFonts w:ascii="宋体" w:hAnsi="宋体" w:cs="宋体" w:eastAsia="宋体" w:hint="default"/>
          <w:sz w:val="17"/>
          <w:szCs w:val="17"/>
        </w:rPr>
      </w:pPr>
    </w:p>
    <w:p>
      <w:pPr>
        <w:pStyle w:val="BodyText"/>
        <w:spacing w:line="240" w:lineRule="auto"/>
        <w:ind w:left="534" w:right="0"/>
        <w:jc w:val="both"/>
      </w:pPr>
      <w:r>
        <w:rPr/>
        <w:t>本公司所属中国境内各子公司按缴纳增值税额的</w:t>
      </w:r>
      <w:r>
        <w:rPr>
          <w:spacing w:val="-55"/>
        </w:rPr>
        <w:t> </w:t>
      </w:r>
      <w:r>
        <w:rPr>
          <w:rFonts w:ascii="Arial" w:hAnsi="Arial" w:cs="Arial" w:eastAsia="Arial" w:hint="default"/>
        </w:rPr>
        <w:t>7%</w:t>
      </w:r>
      <w:r>
        <w:rPr/>
        <w:t>缴纳城市维护建设税。</w:t>
      </w:r>
    </w:p>
    <w:p>
      <w:pPr>
        <w:spacing w:after="0" w:line="240" w:lineRule="auto"/>
        <w:jc w:val="both"/>
        <w:sectPr>
          <w:headerReference w:type="default" r:id="rId138"/>
          <w:pgSz w:w="11910" w:h="16840"/>
          <w:pgMar w:header="842" w:footer="502" w:top="2160" w:bottom="700" w:left="880" w:right="920"/>
        </w:sectPr>
      </w:pPr>
    </w:p>
    <w:p>
      <w:pPr>
        <w:spacing w:line="240" w:lineRule="auto" w:before="5"/>
        <w:rPr>
          <w:rFonts w:ascii="宋体" w:hAnsi="宋体" w:cs="宋体" w:eastAsia="宋体" w:hint="default"/>
          <w:sz w:val="14"/>
          <w:szCs w:val="14"/>
        </w:rPr>
      </w:pPr>
    </w:p>
    <w:p>
      <w:pPr>
        <w:pStyle w:val="BodyText"/>
        <w:spacing w:line="240" w:lineRule="auto" w:before="32"/>
        <w:ind w:left="113" w:right="104"/>
        <w:jc w:val="left"/>
      </w:pPr>
      <w:r>
        <w:rPr>
          <w:rFonts w:ascii="Arial" w:hAnsi="Arial" w:cs="Arial" w:eastAsia="Arial" w:hint="default"/>
        </w:rPr>
        <w:t>2</w:t>
      </w:r>
      <w:r>
        <w:rPr/>
        <w:t>、</w:t>
      </w:r>
      <w:r>
        <w:rPr>
          <w:spacing w:val="45"/>
        </w:rPr>
        <w:t> </w:t>
      </w:r>
      <w:r>
        <w:rPr/>
        <w:t>企业所得税</w:t>
      </w:r>
    </w:p>
    <w:p>
      <w:pPr>
        <w:spacing w:line="240" w:lineRule="auto" w:before="10"/>
        <w:rPr>
          <w:rFonts w:ascii="宋体" w:hAnsi="宋体" w:cs="宋体" w:eastAsia="宋体" w:hint="default"/>
          <w:sz w:val="16"/>
          <w:szCs w:val="16"/>
        </w:rPr>
      </w:pPr>
    </w:p>
    <w:p>
      <w:pPr>
        <w:pStyle w:val="BodyText"/>
        <w:tabs>
          <w:tab w:pos="607" w:val="left" w:leader="none"/>
        </w:tabs>
        <w:spacing w:line="240" w:lineRule="auto"/>
        <w:ind w:left="113" w:right="104"/>
        <w:jc w:val="left"/>
      </w:pPr>
      <w:r>
        <w:rPr>
          <w:rFonts w:ascii="Arial" w:hAnsi="Arial" w:cs="Arial" w:eastAsia="Arial" w:hint="default"/>
        </w:rPr>
        <w:t>(a)</w:t>
        <w:tab/>
      </w:r>
      <w:r>
        <w:rPr/>
        <w:t>本公司企业所得税</w:t>
      </w:r>
    </w:p>
    <w:p>
      <w:pPr>
        <w:spacing w:line="240" w:lineRule="auto" w:before="12"/>
        <w:rPr>
          <w:rFonts w:ascii="宋体" w:hAnsi="宋体" w:cs="宋体" w:eastAsia="宋体" w:hint="default"/>
          <w:sz w:val="19"/>
          <w:szCs w:val="19"/>
        </w:rPr>
      </w:pPr>
    </w:p>
    <w:p>
      <w:pPr>
        <w:pStyle w:val="BodyText"/>
        <w:spacing w:line="288" w:lineRule="exact"/>
        <w:ind w:left="607" w:right="129"/>
        <w:jc w:val="both"/>
      </w:pPr>
      <w:r>
        <w:rPr>
          <w:spacing w:val="-4"/>
        </w:rPr>
        <w:t>根据《中华人民共和国企业所得税法》（“所得税法”），本公司适用的企业所得税率为</w:t>
      </w:r>
      <w:r>
        <w:rPr>
          <w:spacing w:val="-22"/>
        </w:rPr>
        <w:t> </w:t>
      </w:r>
      <w:r>
        <w:rPr>
          <w:rFonts w:ascii="Arial" w:hAnsi="Arial" w:cs="Arial" w:eastAsia="Arial" w:hint="default"/>
          <w:spacing w:val="-8"/>
        </w:rPr>
        <w:t>25%</w:t>
      </w:r>
      <w:r>
        <w:rPr>
          <w:spacing w:val="-8"/>
        </w:rPr>
        <w:t>。本</w:t>
      </w:r>
      <w:r>
        <w:rPr>
          <w:spacing w:val="-102"/>
        </w:rPr>
        <w:t> </w:t>
      </w:r>
      <w:r>
        <w:rPr/>
        <w:t>公司按收入总额减去准予扣除项目后计算应纳税所得额。</w:t>
      </w:r>
    </w:p>
    <w:p>
      <w:pPr>
        <w:spacing w:line="240" w:lineRule="auto" w:before="0"/>
        <w:rPr>
          <w:rFonts w:ascii="宋体" w:hAnsi="宋体" w:cs="宋体" w:eastAsia="宋体" w:hint="default"/>
          <w:sz w:val="17"/>
          <w:szCs w:val="17"/>
        </w:rPr>
      </w:pPr>
    </w:p>
    <w:p>
      <w:pPr>
        <w:pStyle w:val="BodyText"/>
        <w:tabs>
          <w:tab w:pos="607" w:val="left" w:leader="none"/>
        </w:tabs>
        <w:spacing w:line="240" w:lineRule="auto"/>
        <w:ind w:left="113" w:right="104"/>
        <w:jc w:val="left"/>
      </w:pPr>
      <w:r>
        <w:rPr>
          <w:rFonts w:ascii="Arial" w:hAnsi="Arial" w:cs="Arial" w:eastAsia="Arial" w:hint="default"/>
        </w:rPr>
        <w:t>(b)</w:t>
        <w:tab/>
      </w:r>
      <w:r>
        <w:rPr/>
        <w:t>联通运营公司企业所得税</w:t>
      </w:r>
    </w:p>
    <w:p>
      <w:pPr>
        <w:spacing w:line="240" w:lineRule="auto" w:before="9"/>
        <w:rPr>
          <w:rFonts w:ascii="宋体" w:hAnsi="宋体" w:cs="宋体" w:eastAsia="宋体" w:hint="default"/>
          <w:sz w:val="18"/>
          <w:szCs w:val="18"/>
        </w:rPr>
      </w:pPr>
    </w:p>
    <w:p>
      <w:pPr>
        <w:pStyle w:val="BodyText"/>
        <w:spacing w:line="230" w:lineRule="auto"/>
        <w:ind w:left="607" w:right="110"/>
        <w:jc w:val="both"/>
      </w:pPr>
      <w:r>
        <w:rPr/>
        <w:t>根据财预</w:t>
      </w:r>
      <w:r>
        <w:rPr>
          <w:rFonts w:ascii="Arial" w:hAnsi="Arial" w:cs="Arial" w:eastAsia="Arial" w:hint="default"/>
        </w:rPr>
        <w:t>[2012]40</w:t>
      </w:r>
      <w:r>
        <w:rPr>
          <w:rFonts w:ascii="Arial" w:hAnsi="Arial" w:cs="Arial" w:eastAsia="Arial" w:hint="default"/>
          <w:spacing w:val="8"/>
        </w:rPr>
        <w:t> </w:t>
      </w:r>
      <w:r>
        <w:rPr>
          <w:spacing w:val="-3"/>
        </w:rPr>
        <w:t>号《跨省市总分机构企业所得税分配及预算管理办法》的相关规定，自</w:t>
      </w:r>
      <w:r>
        <w:rPr>
          <w:spacing w:val="-50"/>
        </w:rPr>
        <w:t> </w:t>
      </w:r>
      <w:r>
        <w:rPr>
          <w:rFonts w:ascii="Arial" w:hAnsi="Arial" w:cs="Arial" w:eastAsia="Arial" w:hint="default"/>
        </w:rPr>
        <w:t>2013</w:t>
      </w:r>
      <w:r>
        <w:rPr>
          <w:rFonts w:ascii="Arial" w:hAnsi="Arial" w:cs="Arial" w:eastAsia="Arial" w:hint="default"/>
          <w:spacing w:val="8"/>
        </w:rPr>
        <w:t> </w:t>
      </w:r>
      <w:r>
        <w:rPr/>
        <w:t>年</w:t>
      </w:r>
      <w:r>
        <w:rPr>
          <w:spacing w:val="-106"/>
        </w:rPr>
        <w:t> </w:t>
      </w:r>
      <w:r>
        <w:rPr>
          <w:rFonts w:ascii="Arial" w:hAnsi="Arial" w:cs="Arial" w:eastAsia="Arial" w:hint="default"/>
        </w:rPr>
        <w:t>1</w:t>
      </w:r>
      <w:r>
        <w:rPr>
          <w:rFonts w:ascii="Arial" w:hAnsi="Arial" w:cs="Arial" w:eastAsia="Arial" w:hint="default"/>
          <w:spacing w:val="-20"/>
        </w:rPr>
        <w:t> </w:t>
      </w:r>
      <w:r>
        <w:rPr/>
        <w:t>月</w:t>
      </w:r>
      <w:r>
        <w:rPr>
          <w:spacing w:val="-71"/>
        </w:rPr>
        <w:t> </w:t>
      </w:r>
      <w:r>
        <w:rPr>
          <w:rFonts w:ascii="Arial" w:hAnsi="Arial" w:cs="Arial" w:eastAsia="Arial" w:hint="default"/>
        </w:rPr>
        <w:t>1</w:t>
      </w:r>
      <w:r>
        <w:rPr>
          <w:rFonts w:ascii="Arial" w:hAnsi="Arial" w:cs="Arial" w:eastAsia="Arial" w:hint="default"/>
          <w:spacing w:val="-20"/>
        </w:rPr>
        <w:t> </w:t>
      </w:r>
      <w:r>
        <w:rPr/>
        <w:t>日开始，企业总机构汇总计算企业年度应纳所得税额，扣除总机构和各境内分支机构已预缴</w:t>
      </w:r>
      <w:r>
        <w:rPr>
          <w:w w:val="100"/>
        </w:rPr>
        <w:t> </w:t>
      </w:r>
      <w:r>
        <w:rPr>
          <w:spacing w:val="-3"/>
        </w:rPr>
        <w:t>的税款，计算出应补退税款，分别由总机构和各分支机构（不包括当年已办理注销税务登记的分支</w:t>
      </w:r>
      <w:r>
        <w:rPr>
          <w:spacing w:val="-54"/>
        </w:rPr>
        <w:t> </w:t>
      </w:r>
      <w:r>
        <w:rPr>
          <w:spacing w:val="-54"/>
        </w:rPr>
      </w:r>
      <w:r>
        <w:rPr/>
        <w:t>机构）于每财年结束后就地办理税款缴库或退库。</w:t>
      </w:r>
    </w:p>
    <w:p>
      <w:pPr>
        <w:spacing w:line="240" w:lineRule="auto" w:before="2"/>
        <w:rPr>
          <w:rFonts w:ascii="宋体" w:hAnsi="宋体" w:cs="宋体" w:eastAsia="宋体" w:hint="default"/>
          <w:sz w:val="19"/>
          <w:szCs w:val="19"/>
        </w:rPr>
      </w:pPr>
    </w:p>
    <w:p>
      <w:pPr>
        <w:pStyle w:val="BodyText"/>
        <w:spacing w:line="240" w:lineRule="auto"/>
        <w:ind w:left="607" w:right="0"/>
        <w:jc w:val="both"/>
      </w:pPr>
      <w:r>
        <w:rPr/>
        <w:t>联通运营公司部分分公司于所得税法下的税收优惠政策：</w:t>
      </w:r>
    </w:p>
    <w:p>
      <w:pPr>
        <w:spacing w:line="240" w:lineRule="auto" w:before="1"/>
        <w:rPr>
          <w:rFonts w:ascii="宋体" w:hAnsi="宋体" w:cs="宋体" w:eastAsia="宋体" w:hint="default"/>
          <w:sz w:val="24"/>
          <w:szCs w:val="24"/>
        </w:rPr>
      </w:pPr>
    </w:p>
    <w:tbl>
      <w:tblPr>
        <w:tblW w:w="0" w:type="auto"/>
        <w:jc w:val="left"/>
        <w:tblInd w:w="574" w:type="dxa"/>
        <w:tblLayout w:type="fixed"/>
        <w:tblCellMar>
          <w:top w:w="0" w:type="dxa"/>
          <w:left w:w="0" w:type="dxa"/>
          <w:bottom w:w="0" w:type="dxa"/>
          <w:right w:w="0" w:type="dxa"/>
        </w:tblCellMar>
        <w:tblLook w:val="01E0"/>
      </w:tblPr>
      <w:tblGrid>
        <w:gridCol w:w="1490"/>
        <w:gridCol w:w="828"/>
        <w:gridCol w:w="893"/>
        <w:gridCol w:w="2532"/>
        <w:gridCol w:w="3631"/>
      </w:tblGrid>
      <w:tr>
        <w:trPr>
          <w:trHeight w:val="238" w:hRule="exact"/>
        </w:trPr>
        <w:tc>
          <w:tcPr>
            <w:tcW w:w="1490" w:type="dxa"/>
            <w:tcBorders>
              <w:top w:val="nil" w:sz="6" w:space="0" w:color="auto"/>
              <w:left w:val="nil" w:sz="6" w:space="0" w:color="auto"/>
              <w:bottom w:val="single" w:sz="6" w:space="0" w:color="000000"/>
              <w:right w:val="nil" w:sz="6" w:space="0" w:color="auto"/>
            </w:tcBorders>
          </w:tcPr>
          <w:p>
            <w:pPr>
              <w:pStyle w:val="TableParagraph"/>
              <w:spacing w:line="201" w:lineRule="exact"/>
              <w:ind w:left="33" w:right="0"/>
              <w:jc w:val="left"/>
              <w:rPr>
                <w:rFonts w:ascii="宋体" w:hAnsi="宋体" w:cs="宋体" w:eastAsia="宋体" w:hint="default"/>
                <w:sz w:val="20"/>
                <w:szCs w:val="20"/>
              </w:rPr>
            </w:pPr>
            <w:r>
              <w:rPr>
                <w:rFonts w:ascii="宋体" w:hAnsi="宋体" w:cs="宋体" w:eastAsia="宋体" w:hint="default"/>
                <w:sz w:val="20"/>
                <w:szCs w:val="20"/>
              </w:rPr>
              <w:t>分公司名称</w:t>
            </w:r>
          </w:p>
        </w:tc>
        <w:tc>
          <w:tcPr>
            <w:tcW w:w="1721" w:type="dxa"/>
            <w:gridSpan w:val="2"/>
            <w:tcBorders>
              <w:top w:val="nil" w:sz="6" w:space="0" w:color="auto"/>
              <w:left w:val="nil" w:sz="6" w:space="0" w:color="auto"/>
              <w:bottom w:val="single" w:sz="6" w:space="0" w:color="000000"/>
              <w:right w:val="nil" w:sz="6" w:space="0" w:color="auto"/>
            </w:tcBorders>
          </w:tcPr>
          <w:p>
            <w:pPr>
              <w:pStyle w:val="TableParagraph"/>
              <w:spacing w:line="201" w:lineRule="exact"/>
              <w:ind w:right="91"/>
              <w:jc w:val="center"/>
              <w:rPr>
                <w:rFonts w:ascii="宋体" w:hAnsi="宋体" w:cs="宋体" w:eastAsia="宋体" w:hint="default"/>
                <w:sz w:val="20"/>
                <w:szCs w:val="20"/>
              </w:rPr>
            </w:pPr>
            <w:r>
              <w:rPr>
                <w:rFonts w:ascii="宋体" w:hAnsi="宋体" w:cs="宋体" w:eastAsia="宋体" w:hint="default"/>
                <w:sz w:val="20"/>
                <w:szCs w:val="20"/>
              </w:rPr>
              <w:t>税率</w:t>
            </w:r>
          </w:p>
        </w:tc>
        <w:tc>
          <w:tcPr>
            <w:tcW w:w="2532" w:type="dxa"/>
            <w:tcBorders>
              <w:top w:val="nil" w:sz="6" w:space="0" w:color="auto"/>
              <w:left w:val="nil" w:sz="6" w:space="0" w:color="auto"/>
              <w:bottom w:val="single" w:sz="6" w:space="0" w:color="000000"/>
              <w:right w:val="nil" w:sz="6" w:space="0" w:color="auto"/>
            </w:tcBorders>
          </w:tcPr>
          <w:p>
            <w:pPr>
              <w:pStyle w:val="TableParagraph"/>
              <w:spacing w:line="201" w:lineRule="exact"/>
              <w:ind w:left="916" w:right="0"/>
              <w:jc w:val="left"/>
              <w:rPr>
                <w:rFonts w:ascii="宋体" w:hAnsi="宋体" w:cs="宋体" w:eastAsia="宋体" w:hint="default"/>
                <w:sz w:val="20"/>
                <w:szCs w:val="20"/>
              </w:rPr>
            </w:pPr>
            <w:r>
              <w:rPr>
                <w:rFonts w:ascii="宋体" w:hAnsi="宋体" w:cs="宋体" w:eastAsia="宋体" w:hint="default"/>
                <w:sz w:val="20"/>
                <w:szCs w:val="20"/>
              </w:rPr>
              <w:t>批准单位</w:t>
            </w:r>
          </w:p>
        </w:tc>
        <w:tc>
          <w:tcPr>
            <w:tcW w:w="3631" w:type="dxa"/>
            <w:tcBorders>
              <w:top w:val="nil" w:sz="6" w:space="0" w:color="auto"/>
              <w:left w:val="nil" w:sz="6" w:space="0" w:color="auto"/>
              <w:bottom w:val="single" w:sz="6" w:space="0" w:color="000000"/>
              <w:right w:val="nil" w:sz="6" w:space="0" w:color="auto"/>
            </w:tcBorders>
          </w:tcPr>
          <w:p>
            <w:pPr>
              <w:pStyle w:val="TableParagraph"/>
              <w:spacing w:line="201" w:lineRule="exact"/>
              <w:ind w:left="933" w:right="0"/>
              <w:jc w:val="left"/>
              <w:rPr>
                <w:rFonts w:ascii="宋体" w:hAnsi="宋体" w:cs="宋体" w:eastAsia="宋体" w:hint="default"/>
                <w:sz w:val="20"/>
                <w:szCs w:val="20"/>
              </w:rPr>
            </w:pPr>
            <w:r>
              <w:rPr>
                <w:rFonts w:ascii="宋体" w:hAnsi="宋体" w:cs="宋体" w:eastAsia="宋体" w:hint="default"/>
                <w:sz w:val="20"/>
                <w:szCs w:val="20"/>
              </w:rPr>
              <w:t>政府文件及适用期限</w:t>
            </w:r>
          </w:p>
        </w:tc>
      </w:tr>
      <w:tr>
        <w:trPr>
          <w:trHeight w:val="278" w:hRule="exact"/>
        </w:trPr>
        <w:tc>
          <w:tcPr>
            <w:tcW w:w="1490" w:type="dxa"/>
            <w:tcBorders>
              <w:top w:val="single" w:sz="6" w:space="0" w:color="000000"/>
              <w:left w:val="nil" w:sz="6" w:space="0" w:color="auto"/>
              <w:bottom w:val="single" w:sz="4" w:space="0" w:color="000000"/>
              <w:right w:val="nil" w:sz="6" w:space="0" w:color="auto"/>
            </w:tcBorders>
          </w:tcPr>
          <w:p>
            <w:pPr>
              <w:pStyle w:val="TableParagraph"/>
              <w:spacing w:line="235" w:lineRule="exact"/>
              <w:ind w:left="33" w:right="0"/>
              <w:jc w:val="left"/>
              <w:rPr>
                <w:rFonts w:ascii="宋体" w:hAnsi="宋体" w:cs="宋体" w:eastAsia="宋体" w:hint="default"/>
                <w:sz w:val="20"/>
                <w:szCs w:val="20"/>
              </w:rPr>
            </w:pPr>
            <w:r>
              <w:rPr>
                <w:rFonts w:ascii="宋体" w:hAnsi="宋体" w:cs="宋体" w:eastAsia="宋体" w:hint="default"/>
                <w:sz w:val="20"/>
                <w:szCs w:val="20"/>
              </w:rPr>
              <w:t>联通运营公司：</w:t>
            </w:r>
          </w:p>
        </w:tc>
        <w:tc>
          <w:tcPr>
            <w:tcW w:w="828" w:type="dxa"/>
            <w:tcBorders>
              <w:top w:val="single" w:sz="6" w:space="0" w:color="000000"/>
              <w:left w:val="nil" w:sz="6" w:space="0" w:color="auto"/>
              <w:bottom w:val="single" w:sz="6" w:space="0" w:color="000000"/>
              <w:right w:val="nil" w:sz="6" w:space="0" w:color="auto"/>
            </w:tcBorders>
          </w:tcPr>
          <w:p>
            <w:pPr>
              <w:pStyle w:val="TableParagraph"/>
              <w:spacing w:line="249" w:lineRule="exact"/>
              <w:ind w:right="34"/>
              <w:jc w:val="center"/>
              <w:rPr>
                <w:rFonts w:ascii="宋体" w:hAnsi="宋体" w:cs="宋体" w:eastAsia="宋体" w:hint="default"/>
                <w:sz w:val="20"/>
                <w:szCs w:val="20"/>
              </w:rPr>
            </w:pPr>
            <w:r>
              <w:rPr>
                <w:rFonts w:ascii="Arial" w:hAnsi="Arial" w:cs="Arial" w:eastAsia="Arial" w:hint="default"/>
                <w:sz w:val="20"/>
                <w:szCs w:val="20"/>
              </w:rPr>
              <w:t>2019</w:t>
            </w:r>
            <w:r>
              <w:rPr>
                <w:rFonts w:ascii="Arial" w:hAnsi="Arial" w:cs="Arial" w:eastAsia="Arial" w:hint="default"/>
                <w:spacing w:val="-11"/>
                <w:sz w:val="20"/>
                <w:szCs w:val="20"/>
              </w:rPr>
              <w:t> </w:t>
            </w:r>
            <w:r>
              <w:rPr>
                <w:rFonts w:ascii="宋体" w:hAnsi="宋体" w:cs="宋体" w:eastAsia="宋体" w:hint="default"/>
                <w:sz w:val="20"/>
                <w:szCs w:val="20"/>
              </w:rPr>
              <w:t>年</w:t>
            </w:r>
          </w:p>
        </w:tc>
        <w:tc>
          <w:tcPr>
            <w:tcW w:w="893" w:type="dxa"/>
            <w:tcBorders>
              <w:top w:val="single" w:sz="6" w:space="0" w:color="000000"/>
              <w:left w:val="nil" w:sz="6" w:space="0" w:color="auto"/>
              <w:bottom w:val="single" w:sz="6" w:space="0" w:color="000000"/>
              <w:right w:val="nil" w:sz="6" w:space="0" w:color="auto"/>
            </w:tcBorders>
          </w:tcPr>
          <w:p>
            <w:pPr>
              <w:pStyle w:val="TableParagraph"/>
              <w:spacing w:line="249" w:lineRule="exact"/>
              <w:ind w:left="48" w:right="0"/>
              <w:jc w:val="center"/>
              <w:rPr>
                <w:rFonts w:ascii="宋体" w:hAnsi="宋体" w:cs="宋体" w:eastAsia="宋体" w:hint="default"/>
                <w:sz w:val="20"/>
                <w:szCs w:val="20"/>
              </w:rPr>
            </w:pPr>
            <w:r>
              <w:rPr>
                <w:rFonts w:ascii="Arial" w:hAnsi="Arial" w:cs="Arial" w:eastAsia="Arial" w:hint="default"/>
                <w:sz w:val="20"/>
                <w:szCs w:val="20"/>
              </w:rPr>
              <w:t>2018</w:t>
            </w:r>
            <w:r>
              <w:rPr>
                <w:rFonts w:ascii="Arial" w:hAnsi="Arial" w:cs="Arial" w:eastAsia="Arial" w:hint="default"/>
                <w:spacing w:val="-11"/>
                <w:sz w:val="20"/>
                <w:szCs w:val="20"/>
              </w:rPr>
              <w:t> </w:t>
            </w:r>
            <w:r>
              <w:rPr>
                <w:rFonts w:ascii="宋体" w:hAnsi="宋体" w:cs="宋体" w:eastAsia="宋体" w:hint="default"/>
                <w:sz w:val="20"/>
                <w:szCs w:val="20"/>
              </w:rPr>
              <w:t>年</w:t>
            </w:r>
          </w:p>
        </w:tc>
        <w:tc>
          <w:tcPr>
            <w:tcW w:w="2532" w:type="dxa"/>
            <w:tcBorders>
              <w:top w:val="single" w:sz="6" w:space="0" w:color="000000"/>
              <w:left w:val="nil" w:sz="6" w:space="0" w:color="auto"/>
              <w:bottom w:val="nil" w:sz="6" w:space="0" w:color="auto"/>
              <w:right w:val="nil" w:sz="6" w:space="0" w:color="auto"/>
            </w:tcBorders>
          </w:tcPr>
          <w:p>
            <w:pPr/>
          </w:p>
        </w:tc>
        <w:tc>
          <w:tcPr>
            <w:tcW w:w="3631" w:type="dxa"/>
            <w:tcBorders>
              <w:top w:val="single" w:sz="6" w:space="0" w:color="000000"/>
              <w:left w:val="nil" w:sz="6" w:space="0" w:color="auto"/>
              <w:bottom w:val="nil" w:sz="6" w:space="0" w:color="auto"/>
              <w:right w:val="nil" w:sz="6" w:space="0" w:color="auto"/>
            </w:tcBorders>
          </w:tcPr>
          <w:p>
            <w:pPr/>
          </w:p>
        </w:tc>
      </w:tr>
      <w:tr>
        <w:trPr>
          <w:trHeight w:val="278" w:hRule="exact"/>
        </w:trPr>
        <w:tc>
          <w:tcPr>
            <w:tcW w:w="1490" w:type="dxa"/>
            <w:tcBorders>
              <w:top w:val="single" w:sz="4" w:space="0" w:color="000000"/>
              <w:left w:val="nil" w:sz="6" w:space="0" w:color="auto"/>
              <w:bottom w:val="nil" w:sz="6" w:space="0" w:color="auto"/>
              <w:right w:val="nil" w:sz="6" w:space="0" w:color="auto"/>
            </w:tcBorders>
          </w:tcPr>
          <w:p>
            <w:pPr>
              <w:pStyle w:val="TableParagraph"/>
              <w:spacing w:line="235" w:lineRule="exact"/>
              <w:ind w:left="33" w:right="0"/>
              <w:jc w:val="left"/>
              <w:rPr>
                <w:rFonts w:ascii="宋体" w:hAnsi="宋体" w:cs="宋体" w:eastAsia="宋体" w:hint="default"/>
                <w:sz w:val="20"/>
                <w:szCs w:val="20"/>
              </w:rPr>
            </w:pPr>
            <w:r>
              <w:rPr>
                <w:rFonts w:ascii="宋体" w:hAnsi="宋体" w:cs="宋体" w:eastAsia="宋体" w:hint="default"/>
                <w:sz w:val="20"/>
                <w:szCs w:val="20"/>
              </w:rPr>
              <w:t>西藏分公司</w:t>
            </w:r>
          </w:p>
        </w:tc>
        <w:tc>
          <w:tcPr>
            <w:tcW w:w="828" w:type="dxa"/>
            <w:tcBorders>
              <w:top w:val="single" w:sz="6" w:space="0" w:color="000000"/>
              <w:left w:val="nil" w:sz="6" w:space="0" w:color="auto"/>
              <w:bottom w:val="nil" w:sz="6" w:space="0" w:color="auto"/>
              <w:right w:val="nil" w:sz="6" w:space="0" w:color="auto"/>
            </w:tcBorders>
          </w:tcPr>
          <w:p>
            <w:pPr>
              <w:pStyle w:val="TableParagraph"/>
              <w:spacing w:line="240" w:lineRule="auto" w:before="31"/>
              <w:ind w:right="9"/>
              <w:jc w:val="center"/>
              <w:rPr>
                <w:rFonts w:ascii="Arial" w:hAnsi="Arial" w:cs="Arial" w:eastAsia="Arial" w:hint="default"/>
                <w:sz w:val="20"/>
                <w:szCs w:val="20"/>
              </w:rPr>
            </w:pPr>
            <w:r>
              <w:rPr>
                <w:rFonts w:ascii="Arial"/>
                <w:spacing w:val="-2"/>
                <w:sz w:val="20"/>
              </w:rPr>
              <w:t>15%</w:t>
            </w:r>
            <w:r>
              <w:rPr>
                <w:rFonts w:ascii="Arial"/>
                <w:sz w:val="20"/>
              </w:rPr>
            </w:r>
          </w:p>
        </w:tc>
        <w:tc>
          <w:tcPr>
            <w:tcW w:w="893" w:type="dxa"/>
            <w:tcBorders>
              <w:top w:val="single" w:sz="6" w:space="0" w:color="000000"/>
              <w:left w:val="nil" w:sz="6" w:space="0" w:color="auto"/>
              <w:bottom w:val="nil" w:sz="6" w:space="0" w:color="auto"/>
              <w:right w:val="nil" w:sz="6" w:space="0" w:color="auto"/>
            </w:tcBorders>
          </w:tcPr>
          <w:p>
            <w:pPr>
              <w:pStyle w:val="TableParagraph"/>
              <w:spacing w:line="240" w:lineRule="auto" w:before="28"/>
              <w:ind w:left="81" w:right="0"/>
              <w:jc w:val="center"/>
              <w:rPr>
                <w:rFonts w:ascii="Arial" w:hAnsi="Arial" w:cs="Arial" w:eastAsia="Arial" w:hint="default"/>
                <w:sz w:val="20"/>
                <w:szCs w:val="20"/>
              </w:rPr>
            </w:pPr>
            <w:r>
              <w:rPr>
                <w:rFonts w:ascii="Arial"/>
                <w:spacing w:val="-2"/>
                <w:sz w:val="20"/>
              </w:rPr>
              <w:t>15%</w:t>
            </w:r>
            <w:r>
              <w:rPr>
                <w:rFonts w:ascii="Arial"/>
                <w:sz w:val="20"/>
              </w:rPr>
            </w:r>
          </w:p>
        </w:tc>
        <w:tc>
          <w:tcPr>
            <w:tcW w:w="2532" w:type="dxa"/>
            <w:tcBorders>
              <w:top w:val="nil" w:sz="6" w:space="0" w:color="auto"/>
              <w:left w:val="nil" w:sz="6" w:space="0" w:color="auto"/>
              <w:bottom w:val="nil" w:sz="6" w:space="0" w:color="auto"/>
              <w:right w:val="nil" w:sz="6" w:space="0" w:color="auto"/>
            </w:tcBorders>
          </w:tcPr>
          <w:p>
            <w:pPr>
              <w:pStyle w:val="TableParagraph"/>
              <w:spacing w:line="237" w:lineRule="exact"/>
              <w:ind w:left="67" w:right="0"/>
              <w:jc w:val="left"/>
              <w:rPr>
                <w:rFonts w:ascii="宋体" w:hAnsi="宋体" w:cs="宋体" w:eastAsia="宋体" w:hint="default"/>
                <w:sz w:val="20"/>
                <w:szCs w:val="20"/>
              </w:rPr>
            </w:pPr>
            <w:r>
              <w:rPr>
                <w:rFonts w:ascii="宋体" w:hAnsi="宋体" w:cs="宋体" w:eastAsia="宋体" w:hint="default"/>
                <w:sz w:val="20"/>
                <w:szCs w:val="20"/>
              </w:rPr>
              <w:t>西藏自治区人民政府</w:t>
            </w:r>
          </w:p>
        </w:tc>
        <w:tc>
          <w:tcPr>
            <w:tcW w:w="3631" w:type="dxa"/>
            <w:tcBorders>
              <w:top w:val="nil" w:sz="6" w:space="0" w:color="auto"/>
              <w:left w:val="nil" w:sz="6" w:space="0" w:color="auto"/>
              <w:bottom w:val="nil" w:sz="6" w:space="0" w:color="auto"/>
              <w:right w:val="nil" w:sz="6" w:space="0" w:color="auto"/>
            </w:tcBorders>
          </w:tcPr>
          <w:p>
            <w:pPr>
              <w:pStyle w:val="TableParagraph"/>
              <w:spacing w:line="251" w:lineRule="exact"/>
              <w:ind w:left="59" w:right="0"/>
              <w:jc w:val="left"/>
              <w:rPr>
                <w:rFonts w:ascii="宋体" w:hAnsi="宋体" w:cs="宋体" w:eastAsia="宋体" w:hint="default"/>
                <w:sz w:val="20"/>
                <w:szCs w:val="20"/>
              </w:rPr>
            </w:pPr>
            <w:r>
              <w:rPr>
                <w:rFonts w:ascii="宋体" w:hAnsi="宋体" w:cs="宋体" w:eastAsia="宋体" w:hint="default"/>
                <w:sz w:val="20"/>
                <w:szCs w:val="20"/>
              </w:rPr>
              <w:t>藏政发</w:t>
            </w:r>
            <w:r>
              <w:rPr>
                <w:rFonts w:ascii="Arial" w:hAnsi="Arial" w:cs="Arial" w:eastAsia="Arial" w:hint="default"/>
                <w:sz w:val="20"/>
                <w:szCs w:val="20"/>
              </w:rPr>
              <w:t>[2011]14</w:t>
            </w:r>
            <w:r>
              <w:rPr>
                <w:rFonts w:ascii="Arial" w:hAnsi="Arial" w:cs="Arial" w:eastAsia="Arial" w:hint="default"/>
                <w:spacing w:val="-8"/>
                <w:sz w:val="20"/>
                <w:szCs w:val="20"/>
              </w:rPr>
              <w:t> </w:t>
            </w:r>
            <w:r>
              <w:rPr>
                <w:rFonts w:ascii="宋体" w:hAnsi="宋体" w:cs="宋体" w:eastAsia="宋体" w:hint="default"/>
                <w:sz w:val="20"/>
                <w:szCs w:val="20"/>
              </w:rPr>
              <w:t>号，至</w:t>
            </w:r>
            <w:r>
              <w:rPr>
                <w:rFonts w:ascii="宋体" w:hAnsi="宋体" w:cs="宋体" w:eastAsia="宋体" w:hint="default"/>
                <w:spacing w:val="-50"/>
                <w:sz w:val="20"/>
                <w:szCs w:val="20"/>
              </w:rPr>
              <w:t> </w:t>
            </w:r>
            <w:r>
              <w:rPr>
                <w:rFonts w:ascii="Arial" w:hAnsi="Arial" w:cs="Arial" w:eastAsia="Arial" w:hint="default"/>
                <w:sz w:val="20"/>
                <w:szCs w:val="20"/>
              </w:rPr>
              <w:t>2020</w:t>
            </w:r>
            <w:r>
              <w:rPr>
                <w:rFonts w:ascii="Arial" w:hAnsi="Arial" w:cs="Arial" w:eastAsia="Arial" w:hint="default"/>
                <w:spacing w:val="-8"/>
                <w:sz w:val="20"/>
                <w:szCs w:val="20"/>
              </w:rPr>
              <w:t> </w:t>
            </w:r>
            <w:r>
              <w:rPr>
                <w:rFonts w:ascii="宋体" w:hAnsi="宋体" w:cs="宋体" w:eastAsia="宋体" w:hint="default"/>
                <w:sz w:val="20"/>
                <w:szCs w:val="20"/>
              </w:rPr>
              <w:t>年</w:t>
            </w:r>
          </w:p>
        </w:tc>
      </w:tr>
      <w:tr>
        <w:trPr>
          <w:trHeight w:val="259" w:hRule="exact"/>
        </w:trPr>
        <w:tc>
          <w:tcPr>
            <w:tcW w:w="1490" w:type="dxa"/>
            <w:tcBorders>
              <w:top w:val="nil" w:sz="6" w:space="0" w:color="auto"/>
              <w:left w:val="nil" w:sz="6" w:space="0" w:color="auto"/>
              <w:bottom w:val="nil" w:sz="6" w:space="0" w:color="auto"/>
              <w:right w:val="nil" w:sz="6" w:space="0" w:color="auto"/>
            </w:tcBorders>
          </w:tcPr>
          <w:p>
            <w:pPr>
              <w:pStyle w:val="TableParagraph"/>
              <w:spacing w:line="218" w:lineRule="exact"/>
              <w:ind w:left="33" w:right="0"/>
              <w:jc w:val="left"/>
              <w:rPr>
                <w:rFonts w:ascii="宋体" w:hAnsi="宋体" w:cs="宋体" w:eastAsia="宋体" w:hint="default"/>
                <w:sz w:val="20"/>
                <w:szCs w:val="20"/>
              </w:rPr>
            </w:pPr>
            <w:r>
              <w:rPr>
                <w:rFonts w:ascii="宋体" w:hAnsi="宋体" w:cs="宋体" w:eastAsia="宋体" w:hint="default"/>
                <w:sz w:val="20"/>
                <w:szCs w:val="20"/>
              </w:rPr>
              <w:t>青海分公司</w:t>
            </w:r>
          </w:p>
        </w:tc>
        <w:tc>
          <w:tcPr>
            <w:tcW w:w="82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9"/>
              <w:jc w:val="center"/>
              <w:rPr>
                <w:rFonts w:ascii="Arial" w:hAnsi="Arial" w:cs="Arial" w:eastAsia="Arial" w:hint="default"/>
                <w:sz w:val="20"/>
                <w:szCs w:val="20"/>
              </w:rPr>
            </w:pPr>
            <w:r>
              <w:rPr>
                <w:rFonts w:ascii="Arial"/>
                <w:spacing w:val="-2"/>
                <w:sz w:val="20"/>
              </w:rPr>
              <w:t>15%</w:t>
            </w:r>
            <w:r>
              <w:rPr>
                <w:rFonts w:ascii="Arial"/>
                <w:sz w:val="20"/>
              </w:rPr>
            </w:r>
          </w:p>
        </w:tc>
        <w:tc>
          <w:tcPr>
            <w:tcW w:w="89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81" w:right="0"/>
              <w:jc w:val="center"/>
              <w:rPr>
                <w:rFonts w:ascii="Arial" w:hAnsi="Arial" w:cs="Arial" w:eastAsia="Arial" w:hint="default"/>
                <w:sz w:val="20"/>
                <w:szCs w:val="20"/>
              </w:rPr>
            </w:pPr>
            <w:r>
              <w:rPr>
                <w:rFonts w:ascii="Arial"/>
                <w:spacing w:val="-2"/>
                <w:sz w:val="20"/>
              </w:rPr>
              <w:t>15%</w:t>
            </w:r>
            <w:r>
              <w:rPr>
                <w:rFonts w:ascii="Arial"/>
                <w:sz w:val="20"/>
              </w:rPr>
            </w:r>
          </w:p>
        </w:tc>
        <w:tc>
          <w:tcPr>
            <w:tcW w:w="2532" w:type="dxa"/>
            <w:tcBorders>
              <w:top w:val="nil" w:sz="6" w:space="0" w:color="auto"/>
              <w:left w:val="nil" w:sz="6" w:space="0" w:color="auto"/>
              <w:bottom w:val="nil" w:sz="6" w:space="0" w:color="auto"/>
              <w:right w:val="nil" w:sz="6" w:space="0" w:color="auto"/>
            </w:tcBorders>
          </w:tcPr>
          <w:p>
            <w:pPr>
              <w:pStyle w:val="TableParagraph"/>
              <w:spacing w:line="218" w:lineRule="exact"/>
              <w:ind w:left="67" w:right="0"/>
              <w:jc w:val="left"/>
              <w:rPr>
                <w:rFonts w:ascii="宋体" w:hAnsi="宋体" w:cs="宋体" w:eastAsia="宋体" w:hint="default"/>
                <w:sz w:val="20"/>
                <w:szCs w:val="20"/>
              </w:rPr>
            </w:pPr>
            <w:r>
              <w:rPr>
                <w:rFonts w:ascii="宋体" w:hAnsi="宋体" w:cs="宋体" w:eastAsia="宋体" w:hint="default"/>
                <w:sz w:val="20"/>
                <w:szCs w:val="20"/>
              </w:rPr>
              <w:t>西宁市城西区国家税务局</w:t>
            </w:r>
          </w:p>
        </w:tc>
        <w:tc>
          <w:tcPr>
            <w:tcW w:w="3631" w:type="dxa"/>
            <w:tcBorders>
              <w:top w:val="nil" w:sz="6" w:space="0" w:color="auto"/>
              <w:left w:val="nil" w:sz="6" w:space="0" w:color="auto"/>
              <w:bottom w:val="nil" w:sz="6" w:space="0" w:color="auto"/>
              <w:right w:val="nil" w:sz="6" w:space="0" w:color="auto"/>
            </w:tcBorders>
          </w:tcPr>
          <w:p>
            <w:pPr>
              <w:pStyle w:val="TableParagraph"/>
              <w:spacing w:line="232" w:lineRule="exact"/>
              <w:ind w:left="59" w:right="0"/>
              <w:jc w:val="left"/>
              <w:rPr>
                <w:rFonts w:ascii="宋体" w:hAnsi="宋体" w:cs="宋体" w:eastAsia="宋体" w:hint="default"/>
                <w:sz w:val="20"/>
                <w:szCs w:val="20"/>
              </w:rPr>
            </w:pPr>
            <w:r>
              <w:rPr>
                <w:rFonts w:ascii="宋体" w:hAnsi="宋体" w:cs="宋体" w:eastAsia="宋体" w:hint="default"/>
                <w:sz w:val="20"/>
                <w:szCs w:val="20"/>
              </w:rPr>
              <w:t>税收优惠事项备案通知书，至</w:t>
            </w:r>
            <w:r>
              <w:rPr>
                <w:rFonts w:ascii="宋体" w:hAnsi="宋体" w:cs="宋体" w:eastAsia="宋体" w:hint="default"/>
                <w:spacing w:val="-50"/>
                <w:sz w:val="20"/>
                <w:szCs w:val="20"/>
              </w:rPr>
              <w:t> </w:t>
            </w:r>
            <w:r>
              <w:rPr>
                <w:rFonts w:ascii="Arial" w:hAnsi="Arial" w:cs="Arial" w:eastAsia="Arial" w:hint="default"/>
                <w:sz w:val="20"/>
                <w:szCs w:val="20"/>
              </w:rPr>
              <w:t>2020</w:t>
            </w:r>
            <w:r>
              <w:rPr>
                <w:rFonts w:ascii="Arial" w:hAnsi="Arial" w:cs="Arial" w:eastAsia="Arial" w:hint="default"/>
                <w:spacing w:val="-8"/>
                <w:sz w:val="20"/>
                <w:szCs w:val="20"/>
              </w:rPr>
              <w:t> </w:t>
            </w:r>
            <w:r>
              <w:rPr>
                <w:rFonts w:ascii="宋体" w:hAnsi="宋体" w:cs="宋体" w:eastAsia="宋体" w:hint="default"/>
                <w:sz w:val="20"/>
                <w:szCs w:val="20"/>
              </w:rPr>
              <w:t>年</w:t>
            </w:r>
          </w:p>
        </w:tc>
      </w:tr>
      <w:tr>
        <w:trPr>
          <w:trHeight w:val="243" w:hRule="exact"/>
        </w:trPr>
        <w:tc>
          <w:tcPr>
            <w:tcW w:w="1490" w:type="dxa"/>
            <w:tcBorders>
              <w:top w:val="nil" w:sz="6" w:space="0" w:color="auto"/>
              <w:left w:val="nil" w:sz="6" w:space="0" w:color="auto"/>
              <w:bottom w:val="nil" w:sz="6" w:space="0" w:color="auto"/>
              <w:right w:val="nil" w:sz="6" w:space="0" w:color="auto"/>
            </w:tcBorders>
          </w:tcPr>
          <w:p>
            <w:pPr>
              <w:pStyle w:val="TableParagraph"/>
              <w:spacing w:line="218" w:lineRule="exact"/>
              <w:ind w:left="33" w:right="0"/>
              <w:jc w:val="left"/>
              <w:rPr>
                <w:rFonts w:ascii="宋体" w:hAnsi="宋体" w:cs="宋体" w:eastAsia="宋体" w:hint="default"/>
                <w:sz w:val="20"/>
                <w:szCs w:val="20"/>
              </w:rPr>
            </w:pPr>
            <w:r>
              <w:rPr>
                <w:rFonts w:ascii="宋体" w:hAnsi="宋体" w:cs="宋体" w:eastAsia="宋体" w:hint="default"/>
                <w:sz w:val="20"/>
                <w:szCs w:val="20"/>
              </w:rPr>
              <w:t>宁夏分公司</w:t>
            </w:r>
          </w:p>
        </w:tc>
        <w:tc>
          <w:tcPr>
            <w:tcW w:w="82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9"/>
              <w:jc w:val="center"/>
              <w:rPr>
                <w:rFonts w:ascii="Arial" w:hAnsi="Arial" w:cs="Arial" w:eastAsia="Arial" w:hint="default"/>
                <w:sz w:val="20"/>
                <w:szCs w:val="20"/>
              </w:rPr>
            </w:pPr>
            <w:r>
              <w:rPr>
                <w:rFonts w:ascii="Arial"/>
                <w:spacing w:val="-2"/>
                <w:sz w:val="20"/>
              </w:rPr>
              <w:t>15%</w:t>
            </w:r>
            <w:r>
              <w:rPr>
                <w:rFonts w:ascii="Arial"/>
                <w:sz w:val="20"/>
              </w:rPr>
            </w:r>
          </w:p>
        </w:tc>
        <w:tc>
          <w:tcPr>
            <w:tcW w:w="89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81" w:right="0"/>
              <w:jc w:val="center"/>
              <w:rPr>
                <w:rFonts w:ascii="Arial" w:hAnsi="Arial" w:cs="Arial" w:eastAsia="Arial" w:hint="default"/>
                <w:sz w:val="20"/>
                <w:szCs w:val="20"/>
              </w:rPr>
            </w:pPr>
            <w:r>
              <w:rPr>
                <w:rFonts w:ascii="Arial"/>
                <w:spacing w:val="-2"/>
                <w:sz w:val="20"/>
              </w:rPr>
              <w:t>15%</w:t>
            </w:r>
            <w:r>
              <w:rPr>
                <w:rFonts w:ascii="Arial"/>
                <w:sz w:val="20"/>
              </w:rPr>
            </w:r>
          </w:p>
        </w:tc>
        <w:tc>
          <w:tcPr>
            <w:tcW w:w="2532" w:type="dxa"/>
            <w:tcBorders>
              <w:top w:val="nil" w:sz="6" w:space="0" w:color="auto"/>
              <w:left w:val="nil" w:sz="6" w:space="0" w:color="auto"/>
              <w:bottom w:val="nil" w:sz="6" w:space="0" w:color="auto"/>
              <w:right w:val="nil" w:sz="6" w:space="0" w:color="auto"/>
            </w:tcBorders>
          </w:tcPr>
          <w:p>
            <w:pPr>
              <w:pStyle w:val="TableParagraph"/>
              <w:spacing w:line="218" w:lineRule="exact"/>
              <w:ind w:left="67" w:right="0"/>
              <w:jc w:val="left"/>
              <w:rPr>
                <w:rFonts w:ascii="宋体" w:hAnsi="宋体" w:cs="宋体" w:eastAsia="宋体" w:hint="default"/>
                <w:sz w:val="20"/>
                <w:szCs w:val="20"/>
              </w:rPr>
            </w:pPr>
            <w:r>
              <w:rPr>
                <w:rFonts w:ascii="宋体" w:hAnsi="宋体" w:cs="宋体" w:eastAsia="宋体" w:hint="default"/>
                <w:sz w:val="20"/>
                <w:szCs w:val="20"/>
              </w:rPr>
              <w:t>银川经济开发区国家税务局</w:t>
            </w:r>
          </w:p>
        </w:tc>
        <w:tc>
          <w:tcPr>
            <w:tcW w:w="3631" w:type="dxa"/>
            <w:tcBorders>
              <w:top w:val="nil" w:sz="6" w:space="0" w:color="auto"/>
              <w:left w:val="nil" w:sz="6" w:space="0" w:color="auto"/>
              <w:bottom w:val="nil" w:sz="6" w:space="0" w:color="auto"/>
              <w:right w:val="nil" w:sz="6" w:space="0" w:color="auto"/>
            </w:tcBorders>
          </w:tcPr>
          <w:p>
            <w:pPr>
              <w:pStyle w:val="TableParagraph"/>
              <w:spacing w:line="232" w:lineRule="exact"/>
              <w:ind w:left="59" w:right="0"/>
              <w:jc w:val="left"/>
              <w:rPr>
                <w:rFonts w:ascii="宋体" w:hAnsi="宋体" w:cs="宋体" w:eastAsia="宋体" w:hint="default"/>
                <w:sz w:val="20"/>
                <w:szCs w:val="20"/>
              </w:rPr>
            </w:pPr>
            <w:r>
              <w:rPr>
                <w:rFonts w:ascii="宋体" w:hAnsi="宋体" w:cs="宋体" w:eastAsia="宋体" w:hint="default"/>
                <w:sz w:val="20"/>
                <w:szCs w:val="20"/>
              </w:rPr>
              <w:t>税收优惠事项备案通知书，至</w:t>
            </w:r>
            <w:r>
              <w:rPr>
                <w:rFonts w:ascii="宋体" w:hAnsi="宋体" w:cs="宋体" w:eastAsia="宋体" w:hint="default"/>
                <w:spacing w:val="-50"/>
                <w:sz w:val="20"/>
                <w:szCs w:val="20"/>
              </w:rPr>
              <w:t> </w:t>
            </w:r>
            <w:r>
              <w:rPr>
                <w:rFonts w:ascii="Arial" w:hAnsi="Arial" w:cs="Arial" w:eastAsia="Arial" w:hint="default"/>
                <w:sz w:val="20"/>
                <w:szCs w:val="20"/>
              </w:rPr>
              <w:t>2020</w:t>
            </w:r>
            <w:r>
              <w:rPr>
                <w:rFonts w:ascii="Arial" w:hAnsi="Arial" w:cs="Arial" w:eastAsia="Arial" w:hint="default"/>
                <w:spacing w:val="-8"/>
                <w:sz w:val="20"/>
                <w:szCs w:val="20"/>
              </w:rPr>
              <w:t> </w:t>
            </w:r>
            <w:r>
              <w:rPr>
                <w:rFonts w:ascii="宋体" w:hAnsi="宋体" w:cs="宋体" w:eastAsia="宋体" w:hint="default"/>
                <w:sz w:val="20"/>
                <w:szCs w:val="20"/>
              </w:rPr>
              <w:t>年</w:t>
            </w:r>
          </w:p>
        </w:tc>
      </w:tr>
    </w:tbl>
    <w:p>
      <w:pPr>
        <w:spacing w:line="240" w:lineRule="auto" w:before="7"/>
        <w:rPr>
          <w:rFonts w:ascii="宋体" w:hAnsi="宋体" w:cs="宋体" w:eastAsia="宋体" w:hint="default"/>
          <w:sz w:val="14"/>
          <w:szCs w:val="14"/>
        </w:rPr>
      </w:pPr>
    </w:p>
    <w:p>
      <w:pPr>
        <w:pStyle w:val="BodyText"/>
        <w:spacing w:line="284" w:lineRule="exact" w:before="62"/>
        <w:ind w:left="607" w:right="104"/>
        <w:jc w:val="left"/>
      </w:pPr>
      <w:r>
        <w:rPr/>
        <w:t>于</w:t>
      </w:r>
      <w:r>
        <w:rPr>
          <w:spacing w:val="-50"/>
        </w:rPr>
        <w:t> </w:t>
      </w:r>
      <w:r>
        <w:rPr>
          <w:rFonts w:ascii="Arial" w:hAnsi="Arial" w:cs="Arial" w:eastAsia="Arial" w:hint="default"/>
        </w:rPr>
        <w:t>2019</w:t>
      </w:r>
      <w:r>
        <w:rPr>
          <w:rFonts w:ascii="Arial" w:hAnsi="Arial" w:cs="Arial" w:eastAsia="Arial" w:hint="default"/>
          <w:spacing w:val="1"/>
        </w:rPr>
        <w:t> </w:t>
      </w:r>
      <w:r>
        <w:rPr/>
        <w:t>年</w:t>
      </w:r>
      <w:r>
        <w:rPr>
          <w:spacing w:val="-56"/>
        </w:rPr>
        <w:t> </w:t>
      </w:r>
      <w:r>
        <w:rPr>
          <w:rFonts w:ascii="Arial" w:hAnsi="Arial" w:cs="Arial" w:eastAsia="Arial" w:hint="default"/>
        </w:rPr>
        <w:t>12</w:t>
      </w:r>
      <w:r>
        <w:rPr>
          <w:rFonts w:ascii="Arial" w:hAnsi="Arial" w:cs="Arial" w:eastAsia="Arial" w:hint="default"/>
          <w:spacing w:val="1"/>
        </w:rPr>
        <w:t> </w:t>
      </w:r>
      <w:r>
        <w:rPr/>
        <w:t>月</w:t>
      </w:r>
      <w:r>
        <w:rPr>
          <w:spacing w:val="-50"/>
        </w:rPr>
        <w:t> </w:t>
      </w:r>
      <w:r>
        <w:rPr>
          <w:rFonts w:ascii="Arial" w:hAnsi="Arial" w:cs="Arial" w:eastAsia="Arial" w:hint="default"/>
        </w:rPr>
        <w:t>31</w:t>
      </w:r>
      <w:r>
        <w:rPr>
          <w:rFonts w:ascii="Arial" w:hAnsi="Arial" w:cs="Arial" w:eastAsia="Arial" w:hint="default"/>
          <w:spacing w:val="1"/>
        </w:rPr>
        <w:t> </w:t>
      </w:r>
      <w:r>
        <w:rPr>
          <w:spacing w:val="-3"/>
        </w:rPr>
        <w:t>日，联通运营公司除西藏、青海及宁夏分公司享受所列的优惠税率外，其他各</w:t>
      </w:r>
      <w:r>
        <w:rPr>
          <w:w w:val="100"/>
        </w:rPr>
        <w:t> </w:t>
      </w:r>
      <w:r>
        <w:rPr/>
        <w:t>分公司均适用</w:t>
      </w:r>
      <w:r>
        <w:rPr>
          <w:spacing w:val="-52"/>
        </w:rPr>
        <w:t> </w:t>
      </w:r>
      <w:r>
        <w:rPr>
          <w:rFonts w:ascii="Arial" w:hAnsi="Arial" w:cs="Arial" w:eastAsia="Arial" w:hint="default"/>
        </w:rPr>
        <w:t>25%</w:t>
      </w:r>
      <w:r>
        <w:rPr/>
        <w:t>的企业所得税率。</w:t>
      </w:r>
    </w:p>
    <w:p>
      <w:pPr>
        <w:spacing w:after="0" w:line="284" w:lineRule="exact"/>
        <w:jc w:val="left"/>
        <w:sectPr>
          <w:headerReference w:type="default" r:id="rId139"/>
          <w:pgSz w:w="11910" w:h="16840"/>
          <w:pgMar w:header="842" w:footer="502" w:top="2700" w:bottom="700" w:left="880" w:right="920"/>
        </w:sectPr>
      </w:pPr>
    </w:p>
    <w:p>
      <w:pPr>
        <w:spacing w:line="240" w:lineRule="auto" w:before="0"/>
        <w:rPr>
          <w:rFonts w:ascii="宋体" w:hAnsi="宋体" w:cs="宋体" w:eastAsia="宋体" w:hint="default"/>
          <w:sz w:val="8"/>
          <w:szCs w:val="8"/>
        </w:rPr>
      </w:pPr>
    </w:p>
    <w:p>
      <w:pPr>
        <w:pStyle w:val="BodyText"/>
        <w:spacing w:line="424" w:lineRule="auto" w:before="32"/>
        <w:ind w:left="540" w:right="156" w:hanging="428"/>
        <w:jc w:val="left"/>
      </w:pPr>
      <w:r>
        <w:rPr>
          <w:rFonts w:ascii="Arial" w:hAnsi="Arial" w:cs="Arial" w:eastAsia="Arial" w:hint="default"/>
        </w:rPr>
        <w:t>(c)</w:t>
      </w:r>
      <w:r>
        <w:rPr>
          <w:rFonts w:ascii="Arial" w:hAnsi="Arial" w:cs="Arial" w:eastAsia="Arial" w:hint="default"/>
          <w:spacing w:val="39"/>
        </w:rPr>
        <w:t> </w:t>
      </w:r>
      <w:r>
        <w:rPr/>
        <w:t>联通运营公司所属子公司之企业所得税</w:t>
      </w:r>
      <w:r>
        <w:rPr>
          <w:spacing w:val="-108"/>
        </w:rPr>
        <w:t> </w:t>
      </w:r>
      <w:r>
        <w:rPr>
          <w:spacing w:val="-108"/>
        </w:rPr>
      </w:r>
      <w:r>
        <w:rPr>
          <w:spacing w:val="-1"/>
        </w:rPr>
        <w:t>联通运营公司的部分获得高新技术企业认证的子公司列示如下：</w:t>
      </w:r>
    </w:p>
    <w:p>
      <w:pPr>
        <w:tabs>
          <w:tab w:pos="7121" w:val="left" w:leader="none"/>
        </w:tabs>
        <w:spacing w:before="110"/>
        <w:ind w:left="4726" w:right="156" w:firstLine="0"/>
        <w:jc w:val="left"/>
        <w:rPr>
          <w:rFonts w:ascii="宋体" w:hAnsi="宋体" w:cs="宋体" w:eastAsia="宋体" w:hint="default"/>
          <w:sz w:val="18"/>
          <w:szCs w:val="18"/>
        </w:rPr>
      </w:pPr>
      <w:r>
        <w:rPr>
          <w:rFonts w:ascii="宋体" w:hAnsi="宋体" w:cs="宋体" w:eastAsia="宋体" w:hint="default"/>
          <w:position w:val="7"/>
          <w:sz w:val="18"/>
          <w:szCs w:val="18"/>
        </w:rPr>
        <w:t>税率</w:t>
        <w:tab/>
      </w:r>
      <w:r>
        <w:rPr>
          <w:rFonts w:ascii="宋体" w:hAnsi="宋体" w:cs="宋体" w:eastAsia="宋体" w:hint="default"/>
          <w:sz w:val="18"/>
          <w:szCs w:val="18"/>
        </w:rPr>
        <w:t>高新技术企业证书</w:t>
      </w:r>
    </w:p>
    <w:tbl>
      <w:tblPr>
        <w:tblW w:w="0" w:type="auto"/>
        <w:jc w:val="left"/>
        <w:tblInd w:w="505" w:type="dxa"/>
        <w:tblLayout w:type="fixed"/>
        <w:tblCellMar>
          <w:top w:w="0" w:type="dxa"/>
          <w:left w:w="0" w:type="dxa"/>
          <w:bottom w:w="0" w:type="dxa"/>
          <w:right w:w="0" w:type="dxa"/>
        </w:tblCellMar>
        <w:tblLook w:val="01E0"/>
      </w:tblPr>
      <w:tblGrid>
        <w:gridCol w:w="2809"/>
        <w:gridCol w:w="197"/>
        <w:gridCol w:w="1402"/>
        <w:gridCol w:w="101"/>
        <w:gridCol w:w="1402"/>
        <w:gridCol w:w="2765"/>
      </w:tblGrid>
      <w:tr>
        <w:trPr>
          <w:trHeight w:val="370" w:hRule="exact"/>
        </w:trPr>
        <w:tc>
          <w:tcPr>
            <w:tcW w:w="2809" w:type="dxa"/>
            <w:tcBorders>
              <w:top w:val="nil" w:sz="6" w:space="0" w:color="auto"/>
              <w:left w:val="nil" w:sz="6" w:space="0" w:color="auto"/>
              <w:bottom w:val="single" w:sz="6" w:space="0" w:color="000000"/>
              <w:right w:val="nil" w:sz="6" w:space="0" w:color="auto"/>
            </w:tcBorders>
          </w:tcPr>
          <w:p>
            <w:pPr>
              <w:pStyle w:val="TableParagraph"/>
              <w:spacing w:line="115" w:lineRule="exact"/>
              <w:ind w:left="20" w:right="0"/>
              <w:jc w:val="center"/>
              <w:rPr>
                <w:rFonts w:ascii="宋体" w:hAnsi="宋体" w:cs="宋体" w:eastAsia="宋体" w:hint="default"/>
                <w:sz w:val="18"/>
                <w:szCs w:val="18"/>
              </w:rPr>
            </w:pPr>
            <w:r>
              <w:rPr>
                <w:rFonts w:ascii="宋体" w:hAnsi="宋体" w:cs="宋体" w:eastAsia="宋体" w:hint="default"/>
                <w:spacing w:val="-3"/>
                <w:sz w:val="18"/>
                <w:szCs w:val="18"/>
              </w:rPr>
              <w:t>子公司名称</w:t>
            </w:r>
            <w:r>
              <w:rPr>
                <w:rFonts w:ascii="宋体" w:hAnsi="宋体" w:cs="宋体" w:eastAsia="宋体" w:hint="default"/>
                <w:sz w:val="18"/>
                <w:szCs w:val="18"/>
              </w:rPr>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right="406"/>
              <w:jc w:val="right"/>
              <w:rPr>
                <w:rFonts w:ascii="宋体" w:hAnsi="宋体" w:cs="宋体" w:eastAsia="宋体" w:hint="default"/>
                <w:sz w:val="18"/>
                <w:szCs w:val="18"/>
              </w:rPr>
            </w:pPr>
            <w:r>
              <w:rPr>
                <w:rFonts w:ascii="Arial" w:hAnsi="Arial" w:cs="Arial" w:eastAsia="Arial" w:hint="default"/>
                <w:sz w:val="18"/>
                <w:szCs w:val="18"/>
              </w:rPr>
              <w:t>2018</w:t>
            </w:r>
            <w:r>
              <w:rPr>
                <w:rFonts w:ascii="Arial" w:hAnsi="Arial" w:cs="Arial" w:eastAsia="Arial" w:hint="default"/>
                <w:spacing w:val="-4"/>
                <w:sz w:val="18"/>
                <w:szCs w:val="18"/>
              </w:rPr>
              <w:t> </w:t>
            </w:r>
            <w:r>
              <w:rPr>
                <w:rFonts w:ascii="宋体" w:hAnsi="宋体" w:cs="宋体" w:eastAsia="宋体" w:hint="default"/>
                <w:sz w:val="18"/>
                <w:szCs w:val="18"/>
              </w:rPr>
              <w:t>年</w:t>
            </w:r>
          </w:p>
        </w:tc>
        <w:tc>
          <w:tcPr>
            <w:tcW w:w="101" w:type="dxa"/>
            <w:tcBorders>
              <w:top w:val="single" w:sz="6" w:space="0" w:color="000000"/>
              <w:left w:val="nil" w:sz="6" w:space="0" w:color="auto"/>
              <w:bottom w:val="nil" w:sz="6" w:space="0" w:color="auto"/>
              <w:right w:val="nil" w:sz="6" w:space="0" w:color="auto"/>
            </w:tcBorders>
          </w:tcPr>
          <w:p>
            <w:pPr/>
          </w:p>
        </w:tc>
        <w:tc>
          <w:tcPr>
            <w:tcW w:w="1402"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right="41"/>
              <w:jc w:val="center"/>
              <w:rPr>
                <w:rFonts w:ascii="宋体" w:hAnsi="宋体" w:cs="宋体" w:eastAsia="宋体" w:hint="default"/>
                <w:sz w:val="18"/>
                <w:szCs w:val="18"/>
              </w:rPr>
            </w:pPr>
            <w:r>
              <w:rPr>
                <w:rFonts w:ascii="Arial" w:hAnsi="Arial" w:cs="Arial" w:eastAsia="Arial" w:hint="default"/>
                <w:sz w:val="18"/>
                <w:szCs w:val="18"/>
              </w:rPr>
              <w:t>2019</w:t>
            </w:r>
            <w:r>
              <w:rPr>
                <w:rFonts w:ascii="Arial" w:hAnsi="Arial" w:cs="Arial" w:eastAsia="Arial" w:hint="default"/>
                <w:spacing w:val="-4"/>
                <w:sz w:val="18"/>
                <w:szCs w:val="18"/>
              </w:rPr>
              <w:t> </w:t>
            </w:r>
            <w:r>
              <w:rPr>
                <w:rFonts w:ascii="宋体" w:hAnsi="宋体" w:cs="宋体" w:eastAsia="宋体" w:hint="default"/>
                <w:sz w:val="18"/>
                <w:szCs w:val="18"/>
              </w:rPr>
              <w:t>年</w:t>
            </w:r>
          </w:p>
        </w:tc>
        <w:tc>
          <w:tcPr>
            <w:tcW w:w="2765" w:type="dxa"/>
            <w:tcBorders>
              <w:top w:val="nil" w:sz="6" w:space="0" w:color="auto"/>
              <w:left w:val="nil" w:sz="6" w:space="0" w:color="auto"/>
              <w:bottom w:val="single" w:sz="6" w:space="0" w:color="000000"/>
              <w:right w:val="nil" w:sz="6" w:space="0" w:color="auto"/>
            </w:tcBorders>
          </w:tcPr>
          <w:p>
            <w:pPr>
              <w:pStyle w:val="TableParagraph"/>
              <w:spacing w:line="230" w:lineRule="exact"/>
              <w:ind w:left="705" w:right="0"/>
              <w:jc w:val="left"/>
              <w:rPr>
                <w:rFonts w:ascii="宋体" w:hAnsi="宋体" w:cs="宋体" w:eastAsia="宋体" w:hint="default"/>
                <w:sz w:val="18"/>
                <w:szCs w:val="18"/>
              </w:rPr>
            </w:pPr>
            <w:r>
              <w:rPr>
                <w:rFonts w:ascii="宋体" w:hAnsi="宋体" w:cs="宋体" w:eastAsia="宋体" w:hint="default"/>
                <w:sz w:val="18"/>
                <w:szCs w:val="18"/>
              </w:rPr>
              <w:t>起始年度及有效期</w:t>
            </w:r>
          </w:p>
        </w:tc>
      </w:tr>
      <w:tr>
        <w:trPr>
          <w:trHeight w:val="515" w:hRule="exact"/>
        </w:trPr>
        <w:tc>
          <w:tcPr>
            <w:tcW w:w="2809"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73" w:right="0"/>
              <w:jc w:val="left"/>
              <w:rPr>
                <w:rFonts w:ascii="宋体" w:hAnsi="宋体" w:cs="宋体" w:eastAsia="宋体" w:hint="default"/>
                <w:sz w:val="18"/>
                <w:szCs w:val="18"/>
              </w:rPr>
            </w:pPr>
            <w:r>
              <w:rPr>
                <w:rFonts w:ascii="宋体" w:hAnsi="宋体" w:cs="宋体" w:eastAsia="宋体" w:hint="default"/>
                <w:sz w:val="18"/>
                <w:szCs w:val="18"/>
              </w:rPr>
              <w:t>联通系统集成有限公司</w:t>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single" w:sz="6" w:space="0" w:color="000000"/>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1402" w:type="dxa"/>
            <w:tcBorders>
              <w:top w:val="single" w:sz="6" w:space="0" w:color="000000"/>
              <w:left w:val="nil" w:sz="6" w:space="0" w:color="auto"/>
              <w:bottom w:val="nil" w:sz="6" w:space="0" w:color="auto"/>
              <w:right w:val="nil" w:sz="6" w:space="0" w:color="auto"/>
            </w:tcBorders>
          </w:tcPr>
          <w:p>
            <w:pPr/>
          </w:p>
        </w:tc>
        <w:tc>
          <w:tcPr>
            <w:tcW w:w="2765" w:type="dxa"/>
            <w:tcBorders>
              <w:top w:val="single" w:sz="6" w:space="0" w:color="000000"/>
              <w:left w:val="nil" w:sz="6" w:space="0" w:color="auto"/>
              <w:bottom w:val="nil" w:sz="6" w:space="0" w:color="auto"/>
              <w:right w:val="nil" w:sz="6" w:space="0" w:color="auto"/>
            </w:tcBorders>
          </w:tcPr>
          <w:p>
            <w:pPr/>
          </w:p>
        </w:tc>
      </w:tr>
      <w:tr>
        <w:trPr>
          <w:trHeight w:val="256"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195" w:lineRule="exact"/>
              <w:ind w:left="73" w:right="0"/>
              <w:jc w:val="left"/>
              <w:rPr>
                <w:rFonts w:ascii="宋体" w:hAnsi="宋体" w:cs="宋体" w:eastAsia="宋体" w:hint="default"/>
                <w:sz w:val="18"/>
                <w:szCs w:val="18"/>
              </w:rPr>
            </w:pPr>
            <w:r>
              <w:rPr>
                <w:rFonts w:ascii="宋体" w:hAnsi="宋体" w:cs="宋体" w:eastAsia="宋体" w:hint="default"/>
                <w:sz w:val="18"/>
                <w:szCs w:val="18"/>
              </w:rPr>
              <w:t>（“系统集成公司”）</w:t>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8"/>
              <w:jc w:val="center"/>
              <w:rPr>
                <w:rFonts w:ascii="Arial" w:hAnsi="Arial" w:cs="Arial" w:eastAsia="Arial" w:hint="default"/>
                <w:sz w:val="18"/>
                <w:szCs w:val="18"/>
              </w:rPr>
            </w:pPr>
            <w:r>
              <w:rPr>
                <w:rFonts w:ascii="Arial"/>
                <w:sz w:val="18"/>
              </w:rPr>
              <w:t>15%</w:t>
            </w:r>
          </w:p>
        </w:tc>
        <w:tc>
          <w:tcPr>
            <w:tcW w:w="1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8"/>
              <w:jc w:val="center"/>
              <w:rPr>
                <w:rFonts w:ascii="Arial" w:hAnsi="Arial" w:cs="Arial" w:eastAsia="Arial" w:hint="default"/>
                <w:sz w:val="18"/>
                <w:szCs w:val="18"/>
              </w:rPr>
            </w:pPr>
            <w:r>
              <w:rPr>
                <w:rFonts w:ascii="Arial"/>
                <w:sz w:val="18"/>
              </w:rPr>
              <w:t>15%</w:t>
            </w:r>
          </w:p>
        </w:tc>
        <w:tc>
          <w:tcPr>
            <w:tcW w:w="2765" w:type="dxa"/>
            <w:tcBorders>
              <w:top w:val="nil" w:sz="6" w:space="0" w:color="auto"/>
              <w:left w:val="nil" w:sz="6" w:space="0" w:color="auto"/>
              <w:bottom w:val="nil" w:sz="6" w:space="0" w:color="auto"/>
              <w:right w:val="nil" w:sz="6" w:space="0" w:color="auto"/>
            </w:tcBorders>
          </w:tcPr>
          <w:p>
            <w:pPr>
              <w:pStyle w:val="TableParagraph"/>
              <w:spacing w:line="213" w:lineRule="exact"/>
              <w:ind w:left="768" w:right="0"/>
              <w:jc w:val="left"/>
              <w:rPr>
                <w:rFonts w:ascii="宋体" w:hAnsi="宋体" w:cs="宋体" w:eastAsia="宋体" w:hint="default"/>
                <w:sz w:val="18"/>
                <w:szCs w:val="18"/>
              </w:rPr>
            </w:pPr>
            <w:r>
              <w:rPr>
                <w:rFonts w:ascii="Arial" w:hAnsi="Arial" w:cs="Arial" w:eastAsia="Arial" w:hint="default"/>
                <w:sz w:val="18"/>
                <w:szCs w:val="18"/>
              </w:rPr>
              <w:t>2017</w:t>
            </w:r>
            <w:r>
              <w:rPr>
                <w:rFonts w:ascii="Arial" w:hAnsi="Arial" w:cs="Arial" w:eastAsia="Arial" w:hint="default"/>
                <w:spacing w:val="12"/>
                <w:sz w:val="18"/>
                <w:szCs w:val="18"/>
              </w:rPr>
              <w:t> </w:t>
            </w:r>
            <w:r>
              <w:rPr>
                <w:rFonts w:ascii="宋体" w:hAnsi="宋体" w:cs="宋体" w:eastAsia="宋体" w:hint="default"/>
                <w:spacing w:val="-3"/>
                <w:sz w:val="18"/>
                <w:szCs w:val="18"/>
              </w:rPr>
              <w:t>年，有效期三年</w:t>
            </w:r>
            <w:r>
              <w:rPr>
                <w:rFonts w:ascii="宋体" w:hAnsi="宋体" w:cs="宋体" w:eastAsia="宋体" w:hint="default"/>
                <w:sz w:val="18"/>
                <w:szCs w:val="18"/>
              </w:rPr>
            </w:r>
          </w:p>
        </w:tc>
      </w:tr>
      <w:tr>
        <w:trPr>
          <w:trHeight w:val="228"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188" w:lineRule="exact"/>
              <w:ind w:left="73" w:right="0"/>
              <w:jc w:val="left"/>
              <w:rPr>
                <w:rFonts w:ascii="宋体" w:hAnsi="宋体" w:cs="宋体" w:eastAsia="宋体" w:hint="default"/>
                <w:sz w:val="18"/>
                <w:szCs w:val="18"/>
              </w:rPr>
            </w:pPr>
            <w:r>
              <w:rPr>
                <w:rFonts w:ascii="宋体" w:hAnsi="宋体" w:cs="宋体" w:eastAsia="宋体" w:hint="default"/>
                <w:spacing w:val="-3"/>
                <w:sz w:val="18"/>
                <w:szCs w:val="18"/>
              </w:rPr>
              <w:t>联通在线信息科技有限公司</w:t>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2765" w:type="dxa"/>
            <w:tcBorders>
              <w:top w:val="nil" w:sz="6" w:space="0" w:color="auto"/>
              <w:left w:val="nil" w:sz="6" w:space="0" w:color="auto"/>
              <w:bottom w:val="nil" w:sz="6" w:space="0" w:color="auto"/>
              <w:right w:val="nil" w:sz="6" w:space="0" w:color="auto"/>
            </w:tcBorders>
          </w:tcPr>
          <w:p>
            <w:pPr/>
          </w:p>
        </w:tc>
      </w:tr>
      <w:tr>
        <w:trPr>
          <w:trHeight w:val="249"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195" w:lineRule="exact"/>
              <w:ind w:left="73" w:right="0"/>
              <w:jc w:val="left"/>
              <w:rPr>
                <w:rFonts w:ascii="宋体" w:hAnsi="宋体" w:cs="宋体" w:eastAsia="宋体" w:hint="default"/>
                <w:sz w:val="18"/>
                <w:szCs w:val="18"/>
              </w:rPr>
            </w:pPr>
            <w:r>
              <w:rPr>
                <w:rFonts w:ascii="宋体" w:hAnsi="宋体" w:cs="宋体" w:eastAsia="宋体" w:hint="default"/>
                <w:sz w:val="18"/>
                <w:szCs w:val="18"/>
              </w:rPr>
              <w:t>（“联通在线”）</w:t>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8"/>
              <w:jc w:val="center"/>
              <w:rPr>
                <w:rFonts w:ascii="Arial" w:hAnsi="Arial" w:cs="Arial" w:eastAsia="Arial" w:hint="default"/>
                <w:sz w:val="18"/>
                <w:szCs w:val="18"/>
              </w:rPr>
            </w:pPr>
            <w:r>
              <w:rPr>
                <w:rFonts w:ascii="Arial"/>
                <w:sz w:val="18"/>
              </w:rPr>
              <w:t>15%</w:t>
            </w:r>
          </w:p>
        </w:tc>
        <w:tc>
          <w:tcPr>
            <w:tcW w:w="1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8"/>
              <w:jc w:val="center"/>
              <w:rPr>
                <w:rFonts w:ascii="Arial" w:hAnsi="Arial" w:cs="Arial" w:eastAsia="Arial" w:hint="default"/>
                <w:sz w:val="18"/>
                <w:szCs w:val="18"/>
              </w:rPr>
            </w:pPr>
            <w:r>
              <w:rPr>
                <w:rFonts w:ascii="Arial"/>
                <w:sz w:val="18"/>
              </w:rPr>
              <w:t>15%</w:t>
            </w:r>
          </w:p>
        </w:tc>
        <w:tc>
          <w:tcPr>
            <w:tcW w:w="2765" w:type="dxa"/>
            <w:tcBorders>
              <w:top w:val="nil" w:sz="6" w:space="0" w:color="auto"/>
              <w:left w:val="nil" w:sz="6" w:space="0" w:color="auto"/>
              <w:bottom w:val="nil" w:sz="6" w:space="0" w:color="auto"/>
              <w:right w:val="nil" w:sz="6" w:space="0" w:color="auto"/>
            </w:tcBorders>
          </w:tcPr>
          <w:p>
            <w:pPr>
              <w:pStyle w:val="TableParagraph"/>
              <w:spacing w:line="208" w:lineRule="exact"/>
              <w:ind w:left="768" w:right="0"/>
              <w:jc w:val="left"/>
              <w:rPr>
                <w:rFonts w:ascii="宋体" w:hAnsi="宋体" w:cs="宋体" w:eastAsia="宋体" w:hint="default"/>
                <w:sz w:val="18"/>
                <w:szCs w:val="18"/>
              </w:rPr>
            </w:pPr>
            <w:r>
              <w:rPr>
                <w:rFonts w:ascii="Arial" w:hAnsi="Arial" w:cs="Arial" w:eastAsia="Arial" w:hint="default"/>
                <w:sz w:val="18"/>
                <w:szCs w:val="18"/>
              </w:rPr>
              <w:t>2017</w:t>
            </w:r>
            <w:r>
              <w:rPr>
                <w:rFonts w:ascii="Arial" w:hAnsi="Arial" w:cs="Arial" w:eastAsia="Arial" w:hint="default"/>
                <w:spacing w:val="12"/>
                <w:sz w:val="18"/>
                <w:szCs w:val="18"/>
              </w:rPr>
              <w:t> </w:t>
            </w:r>
            <w:r>
              <w:rPr>
                <w:rFonts w:ascii="宋体" w:hAnsi="宋体" w:cs="宋体" w:eastAsia="宋体" w:hint="default"/>
                <w:spacing w:val="-3"/>
                <w:sz w:val="18"/>
                <w:szCs w:val="18"/>
              </w:rPr>
              <w:t>年，有效期三年</w:t>
            </w:r>
            <w:r>
              <w:rPr>
                <w:rFonts w:ascii="宋体" w:hAnsi="宋体" w:cs="宋体" w:eastAsia="宋体" w:hint="default"/>
                <w:sz w:val="18"/>
                <w:szCs w:val="18"/>
              </w:rPr>
            </w:r>
          </w:p>
        </w:tc>
      </w:tr>
      <w:tr>
        <w:trPr>
          <w:trHeight w:val="228"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191" w:lineRule="exact"/>
              <w:ind w:left="49" w:right="0"/>
              <w:jc w:val="left"/>
              <w:rPr>
                <w:rFonts w:ascii="宋体" w:hAnsi="宋体" w:cs="宋体" w:eastAsia="宋体" w:hint="default"/>
                <w:sz w:val="18"/>
                <w:szCs w:val="18"/>
              </w:rPr>
            </w:pPr>
            <w:r>
              <w:rPr>
                <w:rFonts w:ascii="宋体" w:hAnsi="宋体" w:cs="宋体" w:eastAsia="宋体" w:hint="default"/>
                <w:spacing w:val="-3"/>
                <w:sz w:val="18"/>
                <w:szCs w:val="18"/>
              </w:rPr>
              <w:t>北京电信规划设计院有限公司</w:t>
            </w:r>
            <w:r>
              <w:rPr>
                <w:rFonts w:ascii="宋体" w:hAnsi="宋体" w:cs="宋体" w:eastAsia="宋体" w:hint="default"/>
                <w:sz w:val="18"/>
                <w:szCs w:val="18"/>
              </w:rPr>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2765" w:type="dxa"/>
            <w:tcBorders>
              <w:top w:val="nil" w:sz="6" w:space="0" w:color="auto"/>
              <w:left w:val="nil" w:sz="6" w:space="0" w:color="auto"/>
              <w:bottom w:val="nil" w:sz="6" w:space="0" w:color="auto"/>
              <w:right w:val="nil" w:sz="6" w:space="0" w:color="auto"/>
            </w:tcBorders>
          </w:tcPr>
          <w:p>
            <w:pPr/>
          </w:p>
        </w:tc>
      </w:tr>
      <w:tr>
        <w:trPr>
          <w:trHeight w:val="249"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193" w:lineRule="exact"/>
              <w:ind w:left="49" w:right="0"/>
              <w:jc w:val="left"/>
              <w:rPr>
                <w:rFonts w:ascii="宋体" w:hAnsi="宋体" w:cs="宋体" w:eastAsia="宋体" w:hint="default"/>
                <w:sz w:val="18"/>
                <w:szCs w:val="18"/>
              </w:rPr>
            </w:pPr>
            <w:r>
              <w:rPr>
                <w:rFonts w:ascii="宋体" w:hAnsi="宋体" w:cs="宋体" w:eastAsia="宋体" w:hint="default"/>
                <w:spacing w:val="-3"/>
                <w:sz w:val="18"/>
                <w:szCs w:val="18"/>
              </w:rPr>
              <w:t>（“规划设计院”）</w:t>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
              <w:jc w:val="center"/>
              <w:rPr>
                <w:rFonts w:ascii="Arial" w:hAnsi="Arial" w:cs="Arial" w:eastAsia="Arial" w:hint="default"/>
                <w:sz w:val="18"/>
                <w:szCs w:val="18"/>
              </w:rPr>
            </w:pPr>
            <w:r>
              <w:rPr>
                <w:rFonts w:ascii="Arial"/>
                <w:sz w:val="18"/>
              </w:rPr>
              <w:t>15%</w:t>
            </w:r>
          </w:p>
        </w:tc>
        <w:tc>
          <w:tcPr>
            <w:tcW w:w="1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
              <w:jc w:val="center"/>
              <w:rPr>
                <w:rFonts w:ascii="Arial" w:hAnsi="Arial" w:cs="Arial" w:eastAsia="Arial" w:hint="default"/>
                <w:sz w:val="18"/>
                <w:szCs w:val="18"/>
              </w:rPr>
            </w:pPr>
            <w:r>
              <w:rPr>
                <w:rFonts w:ascii="Arial"/>
                <w:sz w:val="18"/>
              </w:rPr>
              <w:t>15%</w:t>
            </w:r>
          </w:p>
        </w:tc>
        <w:tc>
          <w:tcPr>
            <w:tcW w:w="2765" w:type="dxa"/>
            <w:tcBorders>
              <w:top w:val="nil" w:sz="6" w:space="0" w:color="auto"/>
              <w:left w:val="nil" w:sz="6" w:space="0" w:color="auto"/>
              <w:bottom w:val="nil" w:sz="6" w:space="0" w:color="auto"/>
              <w:right w:val="nil" w:sz="6" w:space="0" w:color="auto"/>
            </w:tcBorders>
          </w:tcPr>
          <w:p>
            <w:pPr>
              <w:pStyle w:val="TableParagraph"/>
              <w:spacing w:line="206" w:lineRule="exact"/>
              <w:ind w:left="768" w:right="0"/>
              <w:jc w:val="left"/>
              <w:rPr>
                <w:rFonts w:ascii="宋体" w:hAnsi="宋体" w:cs="宋体" w:eastAsia="宋体" w:hint="default"/>
                <w:sz w:val="18"/>
                <w:szCs w:val="18"/>
              </w:rPr>
            </w:pPr>
            <w:r>
              <w:rPr>
                <w:rFonts w:ascii="Arial" w:hAnsi="Arial" w:cs="Arial" w:eastAsia="Arial" w:hint="default"/>
                <w:sz w:val="18"/>
                <w:szCs w:val="18"/>
              </w:rPr>
              <w:t>2018</w:t>
            </w:r>
            <w:r>
              <w:rPr>
                <w:rFonts w:ascii="Arial" w:hAnsi="Arial" w:cs="Arial" w:eastAsia="Arial" w:hint="default"/>
                <w:spacing w:val="12"/>
                <w:sz w:val="18"/>
                <w:szCs w:val="18"/>
              </w:rPr>
              <w:t> </w:t>
            </w:r>
            <w:r>
              <w:rPr>
                <w:rFonts w:ascii="宋体" w:hAnsi="宋体" w:cs="宋体" w:eastAsia="宋体" w:hint="default"/>
                <w:spacing w:val="-3"/>
                <w:sz w:val="18"/>
                <w:szCs w:val="18"/>
              </w:rPr>
              <w:t>年，有效期三年</w:t>
            </w:r>
            <w:r>
              <w:rPr>
                <w:rFonts w:ascii="宋体" w:hAnsi="宋体" w:cs="宋体" w:eastAsia="宋体" w:hint="default"/>
                <w:sz w:val="18"/>
                <w:szCs w:val="18"/>
              </w:rPr>
            </w:r>
          </w:p>
        </w:tc>
      </w:tr>
      <w:tr>
        <w:trPr>
          <w:trHeight w:val="226"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188" w:lineRule="exact"/>
              <w:ind w:left="73" w:right="0"/>
              <w:jc w:val="left"/>
              <w:rPr>
                <w:rFonts w:ascii="宋体" w:hAnsi="宋体" w:cs="宋体" w:eastAsia="宋体" w:hint="default"/>
                <w:sz w:val="18"/>
                <w:szCs w:val="18"/>
              </w:rPr>
            </w:pPr>
            <w:r>
              <w:rPr>
                <w:rFonts w:ascii="宋体" w:hAnsi="宋体" w:cs="宋体" w:eastAsia="宋体" w:hint="default"/>
                <w:sz w:val="18"/>
                <w:szCs w:val="18"/>
              </w:rPr>
              <w:t>联通信息导航有限公司</w:t>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2765" w:type="dxa"/>
            <w:tcBorders>
              <w:top w:val="nil" w:sz="6" w:space="0" w:color="auto"/>
              <w:left w:val="nil" w:sz="6" w:space="0" w:color="auto"/>
              <w:bottom w:val="nil" w:sz="6" w:space="0" w:color="auto"/>
              <w:right w:val="nil" w:sz="6" w:space="0" w:color="auto"/>
            </w:tcBorders>
          </w:tcPr>
          <w:p>
            <w:pPr/>
          </w:p>
        </w:tc>
      </w:tr>
      <w:tr>
        <w:trPr>
          <w:trHeight w:val="249"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193" w:lineRule="exact"/>
              <w:ind w:left="73" w:right="0"/>
              <w:jc w:val="left"/>
              <w:rPr>
                <w:rFonts w:ascii="宋体" w:hAnsi="宋体" w:cs="宋体" w:eastAsia="宋体" w:hint="default"/>
                <w:sz w:val="18"/>
                <w:szCs w:val="18"/>
              </w:rPr>
            </w:pPr>
            <w:r>
              <w:rPr>
                <w:rFonts w:ascii="宋体" w:hAnsi="宋体" w:cs="宋体" w:eastAsia="宋体" w:hint="default"/>
                <w:sz w:val="18"/>
                <w:szCs w:val="18"/>
              </w:rPr>
              <w:t>（“联通信息导航”）</w:t>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
              <w:jc w:val="center"/>
              <w:rPr>
                <w:rFonts w:ascii="Arial" w:hAnsi="Arial" w:cs="Arial" w:eastAsia="Arial" w:hint="default"/>
                <w:sz w:val="18"/>
                <w:szCs w:val="18"/>
              </w:rPr>
            </w:pPr>
            <w:r>
              <w:rPr>
                <w:rFonts w:ascii="Arial"/>
                <w:sz w:val="18"/>
              </w:rPr>
              <w:t>15%</w:t>
            </w:r>
          </w:p>
        </w:tc>
        <w:tc>
          <w:tcPr>
            <w:tcW w:w="1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
              <w:jc w:val="center"/>
              <w:rPr>
                <w:rFonts w:ascii="Arial" w:hAnsi="Arial" w:cs="Arial" w:eastAsia="Arial" w:hint="default"/>
                <w:sz w:val="18"/>
                <w:szCs w:val="18"/>
              </w:rPr>
            </w:pPr>
            <w:r>
              <w:rPr>
                <w:rFonts w:ascii="Arial"/>
                <w:sz w:val="18"/>
              </w:rPr>
              <w:t>15%</w:t>
            </w:r>
          </w:p>
        </w:tc>
        <w:tc>
          <w:tcPr>
            <w:tcW w:w="2765" w:type="dxa"/>
            <w:tcBorders>
              <w:top w:val="nil" w:sz="6" w:space="0" w:color="auto"/>
              <w:left w:val="nil" w:sz="6" w:space="0" w:color="auto"/>
              <w:bottom w:val="nil" w:sz="6" w:space="0" w:color="auto"/>
              <w:right w:val="nil" w:sz="6" w:space="0" w:color="auto"/>
            </w:tcBorders>
          </w:tcPr>
          <w:p>
            <w:pPr>
              <w:pStyle w:val="TableParagraph"/>
              <w:spacing w:line="206" w:lineRule="exact"/>
              <w:ind w:left="768" w:right="0"/>
              <w:jc w:val="left"/>
              <w:rPr>
                <w:rFonts w:ascii="宋体" w:hAnsi="宋体" w:cs="宋体" w:eastAsia="宋体" w:hint="default"/>
                <w:sz w:val="18"/>
                <w:szCs w:val="18"/>
              </w:rPr>
            </w:pPr>
            <w:r>
              <w:rPr>
                <w:rFonts w:ascii="Arial" w:hAnsi="Arial" w:cs="Arial" w:eastAsia="Arial" w:hint="default"/>
                <w:sz w:val="18"/>
                <w:szCs w:val="18"/>
              </w:rPr>
              <w:t>2016</w:t>
            </w:r>
            <w:r>
              <w:rPr>
                <w:rFonts w:ascii="Arial" w:hAnsi="Arial" w:cs="Arial" w:eastAsia="Arial" w:hint="default"/>
                <w:spacing w:val="12"/>
                <w:sz w:val="18"/>
                <w:szCs w:val="18"/>
              </w:rPr>
              <w:t> </w:t>
            </w:r>
            <w:r>
              <w:rPr>
                <w:rFonts w:ascii="宋体" w:hAnsi="宋体" w:cs="宋体" w:eastAsia="宋体" w:hint="default"/>
                <w:spacing w:val="-3"/>
                <w:sz w:val="18"/>
                <w:szCs w:val="18"/>
              </w:rPr>
              <w:t>年，有效期三年</w:t>
            </w:r>
            <w:r>
              <w:rPr>
                <w:rFonts w:ascii="宋体" w:hAnsi="宋体" w:cs="宋体" w:eastAsia="宋体" w:hint="default"/>
                <w:sz w:val="18"/>
                <w:szCs w:val="18"/>
              </w:rPr>
            </w:r>
          </w:p>
        </w:tc>
      </w:tr>
      <w:tr>
        <w:trPr>
          <w:trHeight w:val="228"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188" w:lineRule="exact"/>
              <w:ind w:left="73" w:right="0"/>
              <w:jc w:val="left"/>
              <w:rPr>
                <w:rFonts w:ascii="宋体" w:hAnsi="宋体" w:cs="宋体" w:eastAsia="宋体" w:hint="default"/>
                <w:sz w:val="18"/>
                <w:szCs w:val="18"/>
              </w:rPr>
            </w:pPr>
            <w:r>
              <w:rPr>
                <w:rFonts w:ascii="宋体" w:hAnsi="宋体" w:cs="宋体" w:eastAsia="宋体" w:hint="default"/>
                <w:spacing w:val="-3"/>
                <w:sz w:val="18"/>
                <w:szCs w:val="18"/>
              </w:rPr>
              <w:t>中讯邮电咨询设计院有限公司</w:t>
            </w:r>
            <w:r>
              <w:rPr>
                <w:rFonts w:ascii="宋体" w:hAnsi="宋体" w:cs="宋体" w:eastAsia="宋体" w:hint="default"/>
                <w:sz w:val="18"/>
                <w:szCs w:val="18"/>
              </w:rPr>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2765" w:type="dxa"/>
            <w:tcBorders>
              <w:top w:val="nil" w:sz="6" w:space="0" w:color="auto"/>
              <w:left w:val="nil" w:sz="6" w:space="0" w:color="auto"/>
              <w:bottom w:val="nil" w:sz="6" w:space="0" w:color="auto"/>
              <w:right w:val="nil" w:sz="6" w:space="0" w:color="auto"/>
            </w:tcBorders>
          </w:tcPr>
          <w:p>
            <w:pPr/>
          </w:p>
        </w:tc>
      </w:tr>
      <w:tr>
        <w:trPr>
          <w:trHeight w:val="247"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195" w:lineRule="exact"/>
              <w:ind w:left="73" w:right="0"/>
              <w:jc w:val="left"/>
              <w:rPr>
                <w:rFonts w:ascii="宋体" w:hAnsi="宋体" w:cs="宋体" w:eastAsia="宋体" w:hint="default"/>
                <w:sz w:val="18"/>
                <w:szCs w:val="18"/>
              </w:rPr>
            </w:pPr>
            <w:r>
              <w:rPr>
                <w:rFonts w:ascii="宋体" w:hAnsi="宋体" w:cs="宋体" w:eastAsia="宋体" w:hint="default"/>
                <w:spacing w:val="-3"/>
                <w:sz w:val="18"/>
                <w:szCs w:val="18"/>
              </w:rPr>
              <w:t>（“中讯设计院”）</w:t>
            </w:r>
            <w:r>
              <w:rPr>
                <w:rFonts w:ascii="宋体" w:hAnsi="宋体" w:cs="宋体" w:eastAsia="宋体" w:hint="default"/>
                <w:sz w:val="18"/>
                <w:szCs w:val="18"/>
              </w:rPr>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8"/>
              <w:jc w:val="center"/>
              <w:rPr>
                <w:rFonts w:ascii="Arial" w:hAnsi="Arial" w:cs="Arial" w:eastAsia="Arial" w:hint="default"/>
                <w:sz w:val="18"/>
                <w:szCs w:val="18"/>
              </w:rPr>
            </w:pPr>
            <w:r>
              <w:rPr>
                <w:rFonts w:ascii="Arial"/>
                <w:sz w:val="18"/>
              </w:rPr>
              <w:t>15%</w:t>
            </w:r>
          </w:p>
        </w:tc>
        <w:tc>
          <w:tcPr>
            <w:tcW w:w="1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8"/>
              <w:jc w:val="center"/>
              <w:rPr>
                <w:rFonts w:ascii="Arial" w:hAnsi="Arial" w:cs="Arial" w:eastAsia="Arial" w:hint="default"/>
                <w:sz w:val="18"/>
                <w:szCs w:val="18"/>
              </w:rPr>
            </w:pPr>
            <w:r>
              <w:rPr>
                <w:rFonts w:ascii="Arial"/>
                <w:sz w:val="18"/>
              </w:rPr>
              <w:t>15%</w:t>
            </w:r>
          </w:p>
        </w:tc>
        <w:tc>
          <w:tcPr>
            <w:tcW w:w="2765" w:type="dxa"/>
            <w:tcBorders>
              <w:top w:val="nil" w:sz="6" w:space="0" w:color="auto"/>
              <w:left w:val="nil" w:sz="6" w:space="0" w:color="auto"/>
              <w:bottom w:val="nil" w:sz="6" w:space="0" w:color="auto"/>
              <w:right w:val="nil" w:sz="6" w:space="0" w:color="auto"/>
            </w:tcBorders>
          </w:tcPr>
          <w:p>
            <w:pPr>
              <w:pStyle w:val="TableParagraph"/>
              <w:spacing w:line="208" w:lineRule="exact"/>
              <w:ind w:left="768" w:right="0"/>
              <w:jc w:val="left"/>
              <w:rPr>
                <w:rFonts w:ascii="宋体" w:hAnsi="宋体" w:cs="宋体" w:eastAsia="宋体" w:hint="default"/>
                <w:sz w:val="18"/>
                <w:szCs w:val="18"/>
              </w:rPr>
            </w:pPr>
            <w:r>
              <w:rPr>
                <w:rFonts w:ascii="Arial" w:hAnsi="Arial" w:cs="Arial" w:eastAsia="Arial" w:hint="default"/>
                <w:sz w:val="18"/>
                <w:szCs w:val="18"/>
              </w:rPr>
              <w:t>2016</w:t>
            </w:r>
            <w:r>
              <w:rPr>
                <w:rFonts w:ascii="Arial" w:hAnsi="Arial" w:cs="Arial" w:eastAsia="Arial" w:hint="default"/>
                <w:spacing w:val="12"/>
                <w:sz w:val="18"/>
                <w:szCs w:val="18"/>
              </w:rPr>
              <w:t> </w:t>
            </w:r>
            <w:r>
              <w:rPr>
                <w:rFonts w:ascii="宋体" w:hAnsi="宋体" w:cs="宋体" w:eastAsia="宋体" w:hint="default"/>
                <w:spacing w:val="-3"/>
                <w:sz w:val="18"/>
                <w:szCs w:val="18"/>
              </w:rPr>
              <w:t>年，有效期三年</w:t>
            </w:r>
            <w:r>
              <w:rPr>
                <w:rFonts w:ascii="宋体" w:hAnsi="宋体" w:cs="宋体" w:eastAsia="宋体" w:hint="default"/>
                <w:sz w:val="18"/>
                <w:szCs w:val="18"/>
              </w:rPr>
            </w:r>
          </w:p>
        </w:tc>
      </w:tr>
      <w:tr>
        <w:trPr>
          <w:trHeight w:val="228"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188" w:lineRule="exact"/>
              <w:ind w:left="73" w:right="0"/>
              <w:jc w:val="left"/>
              <w:rPr>
                <w:rFonts w:ascii="宋体" w:hAnsi="宋体" w:cs="宋体" w:eastAsia="宋体" w:hint="default"/>
                <w:sz w:val="18"/>
                <w:szCs w:val="18"/>
              </w:rPr>
            </w:pPr>
            <w:r>
              <w:rPr>
                <w:rFonts w:ascii="宋体" w:hAnsi="宋体" w:cs="宋体" w:eastAsia="宋体" w:hint="default"/>
                <w:sz w:val="18"/>
                <w:szCs w:val="18"/>
              </w:rPr>
              <w:t>联通支付有限公司</w:t>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2765" w:type="dxa"/>
            <w:tcBorders>
              <w:top w:val="nil" w:sz="6" w:space="0" w:color="auto"/>
              <w:left w:val="nil" w:sz="6" w:space="0" w:color="auto"/>
              <w:bottom w:val="nil" w:sz="6" w:space="0" w:color="auto"/>
              <w:right w:val="nil" w:sz="6" w:space="0" w:color="auto"/>
            </w:tcBorders>
          </w:tcPr>
          <w:p>
            <w:pPr/>
          </w:p>
        </w:tc>
      </w:tr>
      <w:tr>
        <w:trPr>
          <w:trHeight w:val="249"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195" w:lineRule="exact"/>
              <w:ind w:left="73" w:right="0"/>
              <w:jc w:val="left"/>
              <w:rPr>
                <w:rFonts w:ascii="宋体" w:hAnsi="宋体" w:cs="宋体" w:eastAsia="宋体" w:hint="default"/>
                <w:sz w:val="18"/>
                <w:szCs w:val="18"/>
              </w:rPr>
            </w:pPr>
            <w:r>
              <w:rPr>
                <w:rFonts w:ascii="宋体" w:hAnsi="宋体" w:cs="宋体" w:eastAsia="宋体" w:hint="default"/>
                <w:sz w:val="18"/>
                <w:szCs w:val="18"/>
              </w:rPr>
              <w:t>（“联通支付”）</w:t>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8"/>
              <w:jc w:val="center"/>
              <w:rPr>
                <w:rFonts w:ascii="Arial" w:hAnsi="Arial" w:cs="Arial" w:eastAsia="Arial" w:hint="default"/>
                <w:sz w:val="18"/>
                <w:szCs w:val="18"/>
              </w:rPr>
            </w:pPr>
            <w:r>
              <w:rPr>
                <w:rFonts w:ascii="Arial"/>
                <w:sz w:val="18"/>
              </w:rPr>
              <w:t>15%</w:t>
            </w:r>
          </w:p>
        </w:tc>
        <w:tc>
          <w:tcPr>
            <w:tcW w:w="1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8"/>
              <w:jc w:val="center"/>
              <w:rPr>
                <w:rFonts w:ascii="Arial" w:hAnsi="Arial" w:cs="Arial" w:eastAsia="Arial" w:hint="default"/>
                <w:sz w:val="18"/>
                <w:szCs w:val="18"/>
              </w:rPr>
            </w:pPr>
            <w:r>
              <w:rPr>
                <w:rFonts w:ascii="Arial"/>
                <w:sz w:val="18"/>
              </w:rPr>
              <w:t>15%</w:t>
            </w:r>
          </w:p>
        </w:tc>
        <w:tc>
          <w:tcPr>
            <w:tcW w:w="2765" w:type="dxa"/>
            <w:tcBorders>
              <w:top w:val="nil" w:sz="6" w:space="0" w:color="auto"/>
              <w:left w:val="nil" w:sz="6" w:space="0" w:color="auto"/>
              <w:bottom w:val="nil" w:sz="6" w:space="0" w:color="auto"/>
              <w:right w:val="nil" w:sz="6" w:space="0" w:color="auto"/>
            </w:tcBorders>
          </w:tcPr>
          <w:p>
            <w:pPr>
              <w:pStyle w:val="TableParagraph"/>
              <w:spacing w:line="208" w:lineRule="exact"/>
              <w:ind w:left="768" w:right="0"/>
              <w:jc w:val="left"/>
              <w:rPr>
                <w:rFonts w:ascii="宋体" w:hAnsi="宋体" w:cs="宋体" w:eastAsia="宋体" w:hint="default"/>
                <w:sz w:val="18"/>
                <w:szCs w:val="18"/>
              </w:rPr>
            </w:pPr>
            <w:r>
              <w:rPr>
                <w:rFonts w:ascii="Arial" w:hAnsi="Arial" w:cs="Arial" w:eastAsia="Arial" w:hint="default"/>
                <w:sz w:val="18"/>
                <w:szCs w:val="18"/>
              </w:rPr>
              <w:t>2016</w:t>
            </w:r>
            <w:r>
              <w:rPr>
                <w:rFonts w:ascii="Arial" w:hAnsi="Arial" w:cs="Arial" w:eastAsia="Arial" w:hint="default"/>
                <w:spacing w:val="12"/>
                <w:sz w:val="18"/>
                <w:szCs w:val="18"/>
              </w:rPr>
              <w:t> </w:t>
            </w:r>
            <w:r>
              <w:rPr>
                <w:rFonts w:ascii="宋体" w:hAnsi="宋体" w:cs="宋体" w:eastAsia="宋体" w:hint="default"/>
                <w:spacing w:val="-3"/>
                <w:sz w:val="18"/>
                <w:szCs w:val="18"/>
              </w:rPr>
              <w:t>年，有效期三年</w:t>
            </w:r>
            <w:r>
              <w:rPr>
                <w:rFonts w:ascii="宋体" w:hAnsi="宋体" w:cs="宋体" w:eastAsia="宋体" w:hint="default"/>
                <w:sz w:val="18"/>
                <w:szCs w:val="18"/>
              </w:rPr>
            </w:r>
          </w:p>
        </w:tc>
      </w:tr>
      <w:tr>
        <w:trPr>
          <w:trHeight w:val="226"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186" w:lineRule="exact"/>
              <w:ind w:left="92" w:right="0"/>
              <w:jc w:val="left"/>
              <w:rPr>
                <w:rFonts w:ascii="宋体" w:hAnsi="宋体" w:cs="宋体" w:eastAsia="宋体" w:hint="default"/>
                <w:sz w:val="18"/>
                <w:szCs w:val="18"/>
              </w:rPr>
            </w:pPr>
            <w:r>
              <w:rPr>
                <w:rFonts w:ascii="宋体" w:hAnsi="宋体" w:cs="宋体" w:eastAsia="宋体" w:hint="default"/>
                <w:sz w:val="18"/>
                <w:szCs w:val="18"/>
              </w:rPr>
              <w:t>联通智网科技有限公司</w:t>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2765" w:type="dxa"/>
            <w:tcBorders>
              <w:top w:val="nil" w:sz="6" w:space="0" w:color="auto"/>
              <w:left w:val="nil" w:sz="6" w:space="0" w:color="auto"/>
              <w:bottom w:val="nil" w:sz="6" w:space="0" w:color="auto"/>
              <w:right w:val="nil" w:sz="6" w:space="0" w:color="auto"/>
            </w:tcBorders>
          </w:tcPr>
          <w:p>
            <w:pPr/>
          </w:p>
        </w:tc>
      </w:tr>
      <w:tr>
        <w:trPr>
          <w:trHeight w:val="466"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193" w:lineRule="exact"/>
              <w:ind w:left="73" w:right="0"/>
              <w:jc w:val="left"/>
              <w:rPr>
                <w:rFonts w:ascii="宋体" w:hAnsi="宋体" w:cs="宋体" w:eastAsia="宋体" w:hint="default"/>
                <w:sz w:val="18"/>
                <w:szCs w:val="18"/>
              </w:rPr>
            </w:pPr>
            <w:r>
              <w:rPr>
                <w:rFonts w:ascii="宋体" w:hAnsi="宋体" w:cs="宋体" w:eastAsia="宋体" w:hint="default"/>
                <w:sz w:val="18"/>
                <w:szCs w:val="18"/>
              </w:rPr>
              <w:t>（“智网科技”）</w:t>
            </w:r>
          </w:p>
          <w:p>
            <w:pPr>
              <w:pStyle w:val="TableParagraph"/>
              <w:spacing w:line="233" w:lineRule="exact"/>
              <w:ind w:left="92" w:right="0"/>
              <w:jc w:val="left"/>
              <w:rPr>
                <w:rFonts w:ascii="宋体" w:hAnsi="宋体" w:cs="宋体" w:eastAsia="宋体" w:hint="default"/>
                <w:sz w:val="18"/>
                <w:szCs w:val="18"/>
              </w:rPr>
            </w:pPr>
            <w:r>
              <w:rPr>
                <w:rFonts w:ascii="宋体" w:hAnsi="宋体" w:cs="宋体" w:eastAsia="宋体" w:hint="default"/>
                <w:spacing w:val="-3"/>
                <w:sz w:val="18"/>
                <w:szCs w:val="18"/>
              </w:rPr>
              <w:t>联通云数据有限公司</w:t>
            </w:r>
            <w:r>
              <w:rPr>
                <w:rFonts w:ascii="宋体" w:hAnsi="宋体" w:cs="宋体" w:eastAsia="宋体" w:hint="default"/>
                <w:sz w:val="18"/>
                <w:szCs w:val="18"/>
              </w:rPr>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8"/>
              <w:jc w:val="center"/>
              <w:rPr>
                <w:rFonts w:ascii="Arial" w:hAnsi="Arial" w:cs="Arial" w:eastAsia="Arial" w:hint="default"/>
                <w:sz w:val="18"/>
                <w:szCs w:val="18"/>
              </w:rPr>
            </w:pPr>
            <w:r>
              <w:rPr>
                <w:rFonts w:ascii="Arial"/>
                <w:sz w:val="18"/>
              </w:rPr>
              <w:t>15%</w:t>
            </w:r>
          </w:p>
        </w:tc>
        <w:tc>
          <w:tcPr>
            <w:tcW w:w="1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8"/>
              <w:jc w:val="center"/>
              <w:rPr>
                <w:rFonts w:ascii="Arial" w:hAnsi="Arial" w:cs="Arial" w:eastAsia="Arial" w:hint="default"/>
                <w:sz w:val="18"/>
                <w:szCs w:val="18"/>
              </w:rPr>
            </w:pPr>
            <w:r>
              <w:rPr>
                <w:rFonts w:ascii="Arial"/>
                <w:sz w:val="18"/>
              </w:rPr>
              <w:t>15%</w:t>
            </w:r>
          </w:p>
        </w:tc>
        <w:tc>
          <w:tcPr>
            <w:tcW w:w="2765" w:type="dxa"/>
            <w:tcBorders>
              <w:top w:val="nil" w:sz="6" w:space="0" w:color="auto"/>
              <w:left w:val="nil" w:sz="6" w:space="0" w:color="auto"/>
              <w:bottom w:val="nil" w:sz="6" w:space="0" w:color="auto"/>
              <w:right w:val="nil" w:sz="6" w:space="0" w:color="auto"/>
            </w:tcBorders>
          </w:tcPr>
          <w:p>
            <w:pPr>
              <w:pStyle w:val="TableParagraph"/>
              <w:spacing w:line="208" w:lineRule="exact"/>
              <w:ind w:left="768" w:right="0"/>
              <w:jc w:val="left"/>
              <w:rPr>
                <w:rFonts w:ascii="宋体" w:hAnsi="宋体" w:cs="宋体" w:eastAsia="宋体" w:hint="default"/>
                <w:sz w:val="18"/>
                <w:szCs w:val="18"/>
              </w:rPr>
            </w:pPr>
            <w:r>
              <w:rPr>
                <w:rFonts w:ascii="Arial" w:hAnsi="Arial" w:cs="Arial" w:eastAsia="Arial" w:hint="default"/>
                <w:sz w:val="18"/>
                <w:szCs w:val="18"/>
              </w:rPr>
              <w:t>2017</w:t>
            </w:r>
            <w:r>
              <w:rPr>
                <w:rFonts w:ascii="Arial" w:hAnsi="Arial" w:cs="Arial" w:eastAsia="Arial" w:hint="default"/>
                <w:spacing w:val="12"/>
                <w:sz w:val="18"/>
                <w:szCs w:val="18"/>
              </w:rPr>
              <w:t> </w:t>
            </w:r>
            <w:r>
              <w:rPr>
                <w:rFonts w:ascii="宋体" w:hAnsi="宋体" w:cs="宋体" w:eastAsia="宋体" w:hint="default"/>
                <w:spacing w:val="-3"/>
                <w:sz w:val="18"/>
                <w:szCs w:val="18"/>
              </w:rPr>
              <w:t>年，有效期三年</w:t>
            </w:r>
            <w:r>
              <w:rPr>
                <w:rFonts w:ascii="宋体" w:hAnsi="宋体" w:cs="宋体" w:eastAsia="宋体" w:hint="default"/>
                <w:sz w:val="18"/>
                <w:szCs w:val="18"/>
              </w:rPr>
            </w:r>
          </w:p>
        </w:tc>
      </w:tr>
      <w:tr>
        <w:trPr>
          <w:trHeight w:val="256"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195" w:lineRule="exact"/>
              <w:ind w:left="92" w:right="0"/>
              <w:jc w:val="left"/>
              <w:rPr>
                <w:rFonts w:ascii="宋体" w:hAnsi="宋体" w:cs="宋体" w:eastAsia="宋体" w:hint="default"/>
                <w:sz w:val="18"/>
                <w:szCs w:val="18"/>
              </w:rPr>
            </w:pPr>
            <w:r>
              <w:rPr>
                <w:rFonts w:ascii="宋体" w:hAnsi="宋体" w:cs="宋体" w:eastAsia="宋体" w:hint="default"/>
                <w:spacing w:val="-3"/>
                <w:sz w:val="18"/>
                <w:szCs w:val="18"/>
              </w:rPr>
              <w:t>（“联通云数据”）</w:t>
            </w:r>
            <w:r>
              <w:rPr>
                <w:rFonts w:ascii="宋体" w:hAnsi="宋体" w:cs="宋体" w:eastAsia="宋体" w:hint="default"/>
                <w:sz w:val="18"/>
                <w:szCs w:val="18"/>
              </w:rPr>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8"/>
              <w:jc w:val="center"/>
              <w:rPr>
                <w:rFonts w:ascii="Arial" w:hAnsi="Arial" w:cs="Arial" w:eastAsia="Arial" w:hint="default"/>
                <w:sz w:val="18"/>
                <w:szCs w:val="18"/>
              </w:rPr>
            </w:pPr>
            <w:r>
              <w:rPr>
                <w:rFonts w:ascii="Arial"/>
                <w:sz w:val="18"/>
              </w:rPr>
              <w:t>15%</w:t>
            </w:r>
          </w:p>
        </w:tc>
        <w:tc>
          <w:tcPr>
            <w:tcW w:w="1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8"/>
              <w:jc w:val="center"/>
              <w:rPr>
                <w:rFonts w:ascii="Arial" w:hAnsi="Arial" w:cs="Arial" w:eastAsia="Arial" w:hint="default"/>
                <w:sz w:val="18"/>
                <w:szCs w:val="18"/>
              </w:rPr>
            </w:pPr>
            <w:r>
              <w:rPr>
                <w:rFonts w:ascii="Arial"/>
                <w:sz w:val="18"/>
              </w:rPr>
              <w:t>15%</w:t>
            </w:r>
          </w:p>
        </w:tc>
        <w:tc>
          <w:tcPr>
            <w:tcW w:w="2765" w:type="dxa"/>
            <w:tcBorders>
              <w:top w:val="nil" w:sz="6" w:space="0" w:color="auto"/>
              <w:left w:val="nil" w:sz="6" w:space="0" w:color="auto"/>
              <w:bottom w:val="nil" w:sz="6" w:space="0" w:color="auto"/>
              <w:right w:val="nil" w:sz="6" w:space="0" w:color="auto"/>
            </w:tcBorders>
          </w:tcPr>
          <w:p>
            <w:pPr>
              <w:pStyle w:val="TableParagraph"/>
              <w:spacing w:line="218" w:lineRule="exact"/>
              <w:ind w:left="768" w:right="0"/>
              <w:jc w:val="left"/>
              <w:rPr>
                <w:rFonts w:ascii="宋体" w:hAnsi="宋体" w:cs="宋体" w:eastAsia="宋体" w:hint="default"/>
                <w:sz w:val="18"/>
                <w:szCs w:val="18"/>
              </w:rPr>
            </w:pPr>
            <w:r>
              <w:rPr>
                <w:rFonts w:ascii="Arial" w:hAnsi="Arial" w:cs="Arial" w:eastAsia="Arial" w:hint="default"/>
                <w:sz w:val="18"/>
                <w:szCs w:val="18"/>
              </w:rPr>
              <w:t>2018</w:t>
            </w:r>
            <w:r>
              <w:rPr>
                <w:rFonts w:ascii="Arial" w:hAnsi="Arial" w:cs="Arial" w:eastAsia="Arial" w:hint="default"/>
                <w:spacing w:val="12"/>
                <w:sz w:val="18"/>
                <w:szCs w:val="18"/>
              </w:rPr>
              <w:t> </w:t>
            </w:r>
            <w:r>
              <w:rPr>
                <w:rFonts w:ascii="宋体" w:hAnsi="宋体" w:cs="宋体" w:eastAsia="宋体" w:hint="default"/>
                <w:spacing w:val="-3"/>
                <w:sz w:val="18"/>
                <w:szCs w:val="18"/>
              </w:rPr>
              <w:t>年，有效期三年</w:t>
            </w:r>
            <w:r>
              <w:rPr>
                <w:rFonts w:ascii="宋体" w:hAnsi="宋体" w:cs="宋体" w:eastAsia="宋体" w:hint="default"/>
                <w:sz w:val="18"/>
                <w:szCs w:val="18"/>
              </w:rPr>
            </w:r>
          </w:p>
        </w:tc>
      </w:tr>
      <w:tr>
        <w:trPr>
          <w:trHeight w:val="221"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183" w:lineRule="exact"/>
              <w:ind w:left="92" w:right="0"/>
              <w:jc w:val="left"/>
              <w:rPr>
                <w:rFonts w:ascii="宋体" w:hAnsi="宋体" w:cs="宋体" w:eastAsia="宋体" w:hint="default"/>
                <w:sz w:val="18"/>
                <w:szCs w:val="18"/>
              </w:rPr>
            </w:pPr>
            <w:r>
              <w:rPr>
                <w:rFonts w:ascii="宋体" w:hAnsi="宋体" w:cs="宋体" w:eastAsia="宋体" w:hint="default"/>
                <w:sz w:val="18"/>
                <w:szCs w:val="18"/>
              </w:rPr>
              <w:t>小沃科技有限公司</w:t>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2765" w:type="dxa"/>
            <w:tcBorders>
              <w:top w:val="nil" w:sz="6" w:space="0" w:color="auto"/>
              <w:left w:val="nil" w:sz="6" w:space="0" w:color="auto"/>
              <w:bottom w:val="nil" w:sz="6" w:space="0" w:color="auto"/>
              <w:right w:val="nil" w:sz="6" w:space="0" w:color="auto"/>
            </w:tcBorders>
          </w:tcPr>
          <w:p>
            <w:pPr/>
          </w:p>
        </w:tc>
      </w:tr>
      <w:tr>
        <w:trPr>
          <w:trHeight w:val="254"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206" w:lineRule="exact"/>
              <w:ind w:left="9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小沃科技</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450"/>
              <w:jc w:val="right"/>
              <w:rPr>
                <w:rFonts w:ascii="Arial" w:hAnsi="Arial" w:cs="Arial" w:eastAsia="Arial" w:hint="default"/>
                <w:sz w:val="18"/>
                <w:szCs w:val="18"/>
              </w:rPr>
            </w:pPr>
            <w:r>
              <w:rPr>
                <w:rFonts w:ascii="Arial"/>
                <w:spacing w:val="-2"/>
                <w:sz w:val="18"/>
              </w:rPr>
              <w:t>12.5%</w:t>
            </w:r>
          </w:p>
        </w:tc>
        <w:tc>
          <w:tcPr>
            <w:tcW w:w="1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8"/>
              <w:jc w:val="center"/>
              <w:rPr>
                <w:rFonts w:ascii="Arial" w:hAnsi="Arial" w:cs="Arial" w:eastAsia="Arial" w:hint="default"/>
                <w:sz w:val="18"/>
                <w:szCs w:val="18"/>
              </w:rPr>
            </w:pPr>
            <w:r>
              <w:rPr>
                <w:rFonts w:ascii="Arial"/>
                <w:sz w:val="18"/>
              </w:rPr>
              <w:t>15%</w:t>
            </w:r>
          </w:p>
        </w:tc>
        <w:tc>
          <w:tcPr>
            <w:tcW w:w="2765" w:type="dxa"/>
            <w:tcBorders>
              <w:top w:val="nil" w:sz="6" w:space="0" w:color="auto"/>
              <w:left w:val="nil" w:sz="6" w:space="0" w:color="auto"/>
              <w:bottom w:val="nil" w:sz="6" w:space="0" w:color="auto"/>
              <w:right w:val="nil" w:sz="6" w:space="0" w:color="auto"/>
            </w:tcBorders>
          </w:tcPr>
          <w:p>
            <w:pPr>
              <w:pStyle w:val="TableParagraph"/>
              <w:spacing w:line="215" w:lineRule="exact"/>
              <w:ind w:left="768" w:right="0"/>
              <w:jc w:val="left"/>
              <w:rPr>
                <w:rFonts w:ascii="宋体" w:hAnsi="宋体" w:cs="宋体" w:eastAsia="宋体" w:hint="default"/>
                <w:sz w:val="18"/>
                <w:szCs w:val="18"/>
              </w:rPr>
            </w:pPr>
            <w:r>
              <w:rPr>
                <w:rFonts w:ascii="Arial" w:hAnsi="Arial" w:cs="Arial" w:eastAsia="Arial" w:hint="default"/>
                <w:sz w:val="18"/>
                <w:szCs w:val="18"/>
              </w:rPr>
              <w:t>2016</w:t>
            </w:r>
            <w:r>
              <w:rPr>
                <w:rFonts w:ascii="Arial" w:hAnsi="Arial" w:cs="Arial" w:eastAsia="Arial" w:hint="default"/>
                <w:spacing w:val="12"/>
                <w:sz w:val="18"/>
                <w:szCs w:val="18"/>
              </w:rPr>
              <w:t> </w:t>
            </w:r>
            <w:r>
              <w:rPr>
                <w:rFonts w:ascii="宋体" w:hAnsi="宋体" w:cs="宋体" w:eastAsia="宋体" w:hint="default"/>
                <w:spacing w:val="-3"/>
                <w:sz w:val="18"/>
                <w:szCs w:val="18"/>
              </w:rPr>
              <w:t>年，有效期三年</w:t>
            </w:r>
            <w:r>
              <w:rPr>
                <w:rFonts w:ascii="宋体" w:hAnsi="宋体" w:cs="宋体" w:eastAsia="宋体" w:hint="default"/>
                <w:sz w:val="18"/>
                <w:szCs w:val="18"/>
              </w:rPr>
            </w:r>
          </w:p>
        </w:tc>
      </w:tr>
      <w:tr>
        <w:trPr>
          <w:trHeight w:val="221"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183" w:lineRule="exact"/>
              <w:ind w:left="92" w:right="0"/>
              <w:jc w:val="left"/>
              <w:rPr>
                <w:rFonts w:ascii="宋体" w:hAnsi="宋体" w:cs="宋体" w:eastAsia="宋体" w:hint="default"/>
                <w:sz w:val="18"/>
                <w:szCs w:val="18"/>
              </w:rPr>
            </w:pPr>
            <w:r>
              <w:rPr>
                <w:rFonts w:ascii="宋体" w:hAnsi="宋体" w:cs="宋体" w:eastAsia="宋体" w:hint="default"/>
                <w:spacing w:val="-3"/>
                <w:sz w:val="18"/>
                <w:szCs w:val="18"/>
              </w:rPr>
              <w:t>联通物联网有限责任公司</w:t>
            </w:r>
            <w:r>
              <w:rPr>
                <w:rFonts w:ascii="宋体" w:hAnsi="宋体" w:cs="宋体" w:eastAsia="宋体" w:hint="default"/>
                <w:sz w:val="18"/>
                <w:szCs w:val="18"/>
              </w:rPr>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2765" w:type="dxa"/>
            <w:tcBorders>
              <w:top w:val="nil" w:sz="6" w:space="0" w:color="auto"/>
              <w:left w:val="nil" w:sz="6" w:space="0" w:color="auto"/>
              <w:bottom w:val="nil" w:sz="6" w:space="0" w:color="auto"/>
              <w:right w:val="nil" w:sz="6" w:space="0" w:color="auto"/>
            </w:tcBorders>
          </w:tcPr>
          <w:p>
            <w:pPr/>
          </w:p>
        </w:tc>
      </w:tr>
      <w:tr>
        <w:trPr>
          <w:trHeight w:val="254"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193" w:lineRule="exact"/>
              <w:ind w:left="92" w:right="0"/>
              <w:jc w:val="left"/>
              <w:rPr>
                <w:rFonts w:ascii="宋体" w:hAnsi="宋体" w:cs="宋体" w:eastAsia="宋体" w:hint="default"/>
                <w:sz w:val="18"/>
                <w:szCs w:val="18"/>
              </w:rPr>
            </w:pPr>
            <w:r>
              <w:rPr>
                <w:rFonts w:ascii="宋体" w:hAnsi="宋体" w:cs="宋体" w:eastAsia="宋体" w:hint="default"/>
                <w:spacing w:val="-3"/>
                <w:sz w:val="18"/>
                <w:szCs w:val="18"/>
              </w:rPr>
              <w:t>（“联通物联网”）</w:t>
            </w:r>
            <w:r>
              <w:rPr>
                <w:rFonts w:ascii="宋体" w:hAnsi="宋体" w:cs="宋体" w:eastAsia="宋体" w:hint="default"/>
                <w:sz w:val="18"/>
                <w:szCs w:val="18"/>
              </w:rPr>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8"/>
              <w:jc w:val="center"/>
              <w:rPr>
                <w:rFonts w:ascii="Arial" w:hAnsi="Arial" w:cs="Arial" w:eastAsia="Arial" w:hint="default"/>
                <w:sz w:val="18"/>
                <w:szCs w:val="18"/>
              </w:rPr>
            </w:pPr>
            <w:r>
              <w:rPr>
                <w:rFonts w:ascii="Arial"/>
                <w:sz w:val="18"/>
              </w:rPr>
              <w:t>25%</w:t>
            </w:r>
          </w:p>
        </w:tc>
        <w:tc>
          <w:tcPr>
            <w:tcW w:w="1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8"/>
              <w:jc w:val="center"/>
              <w:rPr>
                <w:rFonts w:ascii="Arial" w:hAnsi="Arial" w:cs="Arial" w:eastAsia="Arial" w:hint="default"/>
                <w:sz w:val="18"/>
                <w:szCs w:val="18"/>
              </w:rPr>
            </w:pPr>
            <w:r>
              <w:rPr>
                <w:rFonts w:ascii="Arial"/>
                <w:sz w:val="18"/>
              </w:rPr>
              <w:t>15%</w:t>
            </w:r>
          </w:p>
        </w:tc>
        <w:tc>
          <w:tcPr>
            <w:tcW w:w="2765" w:type="dxa"/>
            <w:tcBorders>
              <w:top w:val="nil" w:sz="6" w:space="0" w:color="auto"/>
              <w:left w:val="nil" w:sz="6" w:space="0" w:color="auto"/>
              <w:bottom w:val="nil" w:sz="6" w:space="0" w:color="auto"/>
              <w:right w:val="nil" w:sz="6" w:space="0" w:color="auto"/>
            </w:tcBorders>
          </w:tcPr>
          <w:p>
            <w:pPr>
              <w:pStyle w:val="TableParagraph"/>
              <w:spacing w:line="215" w:lineRule="exact"/>
              <w:ind w:left="768" w:right="0"/>
              <w:jc w:val="left"/>
              <w:rPr>
                <w:rFonts w:ascii="宋体" w:hAnsi="宋体" w:cs="宋体" w:eastAsia="宋体" w:hint="default"/>
                <w:sz w:val="18"/>
                <w:szCs w:val="18"/>
              </w:rPr>
            </w:pPr>
            <w:r>
              <w:rPr>
                <w:rFonts w:ascii="Arial" w:hAnsi="Arial" w:cs="Arial" w:eastAsia="Arial" w:hint="default"/>
                <w:sz w:val="18"/>
                <w:szCs w:val="18"/>
              </w:rPr>
              <w:t>2019</w:t>
            </w:r>
            <w:r>
              <w:rPr>
                <w:rFonts w:ascii="Arial" w:hAnsi="Arial" w:cs="Arial" w:eastAsia="Arial" w:hint="default"/>
                <w:spacing w:val="12"/>
                <w:sz w:val="18"/>
                <w:szCs w:val="18"/>
              </w:rPr>
              <w:t> </w:t>
            </w:r>
            <w:r>
              <w:rPr>
                <w:rFonts w:ascii="宋体" w:hAnsi="宋体" w:cs="宋体" w:eastAsia="宋体" w:hint="default"/>
                <w:spacing w:val="-3"/>
                <w:sz w:val="18"/>
                <w:szCs w:val="18"/>
              </w:rPr>
              <w:t>年，有效期三年</w:t>
            </w:r>
            <w:r>
              <w:rPr>
                <w:rFonts w:ascii="宋体" w:hAnsi="宋体" w:cs="宋体" w:eastAsia="宋体" w:hint="default"/>
                <w:sz w:val="18"/>
                <w:szCs w:val="18"/>
              </w:rPr>
            </w:r>
          </w:p>
        </w:tc>
      </w:tr>
      <w:tr>
        <w:trPr>
          <w:trHeight w:val="224"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183" w:lineRule="exact"/>
              <w:ind w:left="92" w:right="0"/>
              <w:jc w:val="left"/>
              <w:rPr>
                <w:rFonts w:ascii="宋体" w:hAnsi="宋体" w:cs="宋体" w:eastAsia="宋体" w:hint="default"/>
                <w:sz w:val="18"/>
                <w:szCs w:val="18"/>
              </w:rPr>
            </w:pPr>
            <w:r>
              <w:rPr>
                <w:rFonts w:ascii="宋体" w:hAnsi="宋体" w:cs="宋体" w:eastAsia="宋体" w:hint="default"/>
                <w:spacing w:val="-3"/>
                <w:sz w:val="18"/>
                <w:szCs w:val="18"/>
              </w:rPr>
              <w:t>联通智慧安全科技有限公司</w:t>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2765" w:type="dxa"/>
            <w:tcBorders>
              <w:top w:val="nil" w:sz="6" w:space="0" w:color="auto"/>
              <w:left w:val="nil" w:sz="6" w:space="0" w:color="auto"/>
              <w:bottom w:val="nil" w:sz="6" w:space="0" w:color="auto"/>
              <w:right w:val="nil" w:sz="6" w:space="0" w:color="auto"/>
            </w:tcBorders>
          </w:tcPr>
          <w:p>
            <w:pPr/>
          </w:p>
        </w:tc>
      </w:tr>
      <w:tr>
        <w:trPr>
          <w:trHeight w:val="382"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195" w:lineRule="exact"/>
              <w:ind w:left="92" w:right="0"/>
              <w:jc w:val="left"/>
              <w:rPr>
                <w:rFonts w:ascii="宋体" w:hAnsi="宋体" w:cs="宋体" w:eastAsia="宋体" w:hint="default"/>
                <w:sz w:val="18"/>
                <w:szCs w:val="18"/>
              </w:rPr>
            </w:pPr>
            <w:r>
              <w:rPr>
                <w:rFonts w:ascii="宋体" w:hAnsi="宋体" w:cs="宋体" w:eastAsia="宋体" w:hint="default"/>
                <w:sz w:val="18"/>
                <w:szCs w:val="18"/>
              </w:rPr>
              <w:t>（“智慧安全”）</w:t>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8"/>
              <w:jc w:val="center"/>
              <w:rPr>
                <w:rFonts w:ascii="Arial" w:hAnsi="Arial" w:cs="Arial" w:eastAsia="Arial" w:hint="default"/>
                <w:sz w:val="18"/>
                <w:szCs w:val="18"/>
              </w:rPr>
            </w:pPr>
            <w:r>
              <w:rPr>
                <w:rFonts w:ascii="Arial"/>
                <w:sz w:val="18"/>
              </w:rPr>
              <w:t>15%</w:t>
            </w:r>
          </w:p>
        </w:tc>
        <w:tc>
          <w:tcPr>
            <w:tcW w:w="1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8"/>
              <w:jc w:val="center"/>
              <w:rPr>
                <w:rFonts w:ascii="Arial" w:hAnsi="Arial" w:cs="Arial" w:eastAsia="Arial" w:hint="default"/>
                <w:sz w:val="18"/>
                <w:szCs w:val="18"/>
              </w:rPr>
            </w:pPr>
            <w:r>
              <w:rPr>
                <w:rFonts w:ascii="Arial"/>
                <w:sz w:val="18"/>
              </w:rPr>
              <w:t>15%</w:t>
            </w:r>
          </w:p>
        </w:tc>
        <w:tc>
          <w:tcPr>
            <w:tcW w:w="2765" w:type="dxa"/>
            <w:tcBorders>
              <w:top w:val="nil" w:sz="6" w:space="0" w:color="auto"/>
              <w:left w:val="nil" w:sz="6" w:space="0" w:color="auto"/>
              <w:bottom w:val="nil" w:sz="6" w:space="0" w:color="auto"/>
              <w:right w:val="nil" w:sz="6" w:space="0" w:color="auto"/>
            </w:tcBorders>
          </w:tcPr>
          <w:p>
            <w:pPr>
              <w:pStyle w:val="TableParagraph"/>
              <w:spacing w:line="218" w:lineRule="exact"/>
              <w:ind w:left="768" w:right="0"/>
              <w:jc w:val="left"/>
              <w:rPr>
                <w:rFonts w:ascii="宋体" w:hAnsi="宋体" w:cs="宋体" w:eastAsia="宋体" w:hint="default"/>
                <w:sz w:val="18"/>
                <w:szCs w:val="18"/>
              </w:rPr>
            </w:pPr>
            <w:r>
              <w:rPr>
                <w:rFonts w:ascii="Arial" w:hAnsi="Arial" w:cs="Arial" w:eastAsia="Arial" w:hint="default"/>
                <w:sz w:val="18"/>
                <w:szCs w:val="18"/>
              </w:rPr>
              <w:t>2017</w:t>
            </w:r>
            <w:r>
              <w:rPr>
                <w:rFonts w:ascii="Arial" w:hAnsi="Arial" w:cs="Arial" w:eastAsia="Arial" w:hint="default"/>
                <w:spacing w:val="12"/>
                <w:sz w:val="18"/>
                <w:szCs w:val="18"/>
              </w:rPr>
              <w:t> </w:t>
            </w:r>
            <w:r>
              <w:rPr>
                <w:rFonts w:ascii="宋体" w:hAnsi="宋体" w:cs="宋体" w:eastAsia="宋体" w:hint="default"/>
                <w:spacing w:val="-3"/>
                <w:sz w:val="18"/>
                <w:szCs w:val="18"/>
              </w:rPr>
              <w:t>年，有效期三年</w:t>
            </w:r>
            <w:r>
              <w:rPr>
                <w:rFonts w:ascii="宋体" w:hAnsi="宋体" w:cs="宋体" w:eastAsia="宋体" w:hint="default"/>
                <w:sz w:val="18"/>
                <w:szCs w:val="18"/>
              </w:rPr>
            </w:r>
          </w:p>
        </w:tc>
      </w:tr>
      <w:tr>
        <w:trPr>
          <w:trHeight w:val="465" w:hRule="exact"/>
        </w:trPr>
        <w:tc>
          <w:tcPr>
            <w:tcW w:w="2809" w:type="dxa"/>
            <w:tcBorders>
              <w:top w:val="nil" w:sz="6" w:space="0" w:color="auto"/>
              <w:left w:val="nil" w:sz="6" w:space="0" w:color="auto"/>
              <w:bottom w:val="nil" w:sz="6" w:space="0" w:color="auto"/>
              <w:right w:val="nil" w:sz="6" w:space="0" w:color="auto"/>
            </w:tcBorders>
          </w:tcPr>
          <w:p>
            <w:pPr>
              <w:pStyle w:val="TableParagraph"/>
              <w:spacing w:line="240" w:lineRule="auto" w:before="64"/>
              <w:ind w:left="35" w:right="0"/>
              <w:jc w:val="left"/>
              <w:rPr>
                <w:rFonts w:ascii="宋体" w:hAnsi="宋体" w:cs="宋体" w:eastAsia="宋体" w:hint="default"/>
                <w:sz w:val="16"/>
                <w:szCs w:val="16"/>
              </w:rPr>
            </w:pPr>
            <w:r>
              <w:rPr>
                <w:rFonts w:ascii="宋体" w:hAnsi="宋体" w:cs="宋体" w:eastAsia="宋体" w:hint="default"/>
                <w:sz w:val="22"/>
                <w:szCs w:val="22"/>
              </w:rPr>
              <w:t>注释</w:t>
            </w:r>
            <w:r>
              <w:rPr>
                <w:rFonts w:ascii="宋体" w:hAnsi="宋体" w:cs="宋体" w:eastAsia="宋体" w:hint="default"/>
                <w:sz w:val="16"/>
                <w:szCs w:val="16"/>
              </w:rPr>
              <w:t>：</w:t>
            </w:r>
          </w:p>
        </w:tc>
        <w:tc>
          <w:tcPr>
            <w:tcW w:w="19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2765" w:type="dxa"/>
            <w:tcBorders>
              <w:top w:val="nil" w:sz="6" w:space="0" w:color="auto"/>
              <w:left w:val="nil" w:sz="6" w:space="0" w:color="auto"/>
              <w:bottom w:val="nil" w:sz="6" w:space="0" w:color="auto"/>
              <w:right w:val="nil" w:sz="6" w:space="0" w:color="auto"/>
            </w:tcBorders>
          </w:tcPr>
          <w:p>
            <w:pPr/>
          </w:p>
        </w:tc>
      </w:tr>
    </w:tbl>
    <w:p>
      <w:pPr>
        <w:spacing w:line="240" w:lineRule="auto" w:before="12"/>
        <w:rPr>
          <w:rFonts w:ascii="宋体" w:hAnsi="宋体" w:cs="宋体" w:eastAsia="宋体" w:hint="default"/>
          <w:sz w:val="7"/>
          <w:szCs w:val="7"/>
        </w:rPr>
      </w:pPr>
    </w:p>
    <w:p>
      <w:pPr>
        <w:pStyle w:val="BodyText"/>
        <w:spacing w:line="288" w:lineRule="exact" w:before="59"/>
        <w:ind w:left="540" w:right="156"/>
        <w:jc w:val="left"/>
      </w:pPr>
      <w:r>
        <w:rPr/>
        <w:t>联通运营公司个别子公司符合小型微利企业所得税优惠的条件，按</w:t>
      </w:r>
      <w:r>
        <w:rPr>
          <w:spacing w:val="-58"/>
        </w:rPr>
        <w:t> </w:t>
      </w:r>
      <w:r>
        <w:rPr>
          <w:rFonts w:ascii="Arial" w:hAnsi="Arial" w:cs="Arial" w:eastAsia="Arial" w:hint="default"/>
        </w:rPr>
        <w:t>20%</w:t>
      </w:r>
      <w:r>
        <w:rPr/>
        <w:t>的税率缴纳企业所</w:t>
      </w:r>
      <w:r>
        <w:rPr>
          <w:w w:val="100"/>
        </w:rPr>
        <w:t> </w:t>
      </w:r>
      <w:r>
        <w:rPr/>
        <w:t>得税。</w:t>
      </w:r>
    </w:p>
    <w:p>
      <w:pPr>
        <w:spacing w:line="240" w:lineRule="auto" w:before="0"/>
        <w:rPr>
          <w:rFonts w:ascii="宋体" w:hAnsi="宋体" w:cs="宋体" w:eastAsia="宋体" w:hint="default"/>
          <w:sz w:val="17"/>
          <w:szCs w:val="17"/>
        </w:rPr>
      </w:pPr>
    </w:p>
    <w:p>
      <w:pPr>
        <w:pStyle w:val="BodyText"/>
        <w:spacing w:line="240" w:lineRule="auto"/>
        <w:ind w:left="545" w:right="156"/>
        <w:jc w:val="left"/>
      </w:pPr>
      <w:r>
        <w:rPr/>
        <w:t>联通运营公司所属其余子公司根据所得税法均适用</w:t>
      </w:r>
      <w:r>
        <w:rPr>
          <w:spacing w:val="-54"/>
        </w:rPr>
        <w:t> </w:t>
      </w:r>
      <w:r>
        <w:rPr>
          <w:rFonts w:ascii="Arial" w:hAnsi="Arial" w:cs="Arial" w:eastAsia="Arial" w:hint="default"/>
        </w:rPr>
        <w:t>25%</w:t>
      </w:r>
      <w:r>
        <w:rPr/>
        <w:t>的企业所得税率。</w:t>
      </w:r>
    </w:p>
    <w:p>
      <w:pPr>
        <w:spacing w:after="0" w:line="240" w:lineRule="auto"/>
        <w:jc w:val="left"/>
        <w:sectPr>
          <w:headerReference w:type="default" r:id="rId140"/>
          <w:pgSz w:w="11910" w:h="16840"/>
          <w:pgMar w:header="842" w:footer="502" w:top="3280" w:bottom="700" w:left="880" w:right="1680"/>
        </w:sectPr>
      </w:pPr>
    </w:p>
    <w:p>
      <w:pPr>
        <w:spacing w:line="240" w:lineRule="auto" w:before="4"/>
        <w:rPr>
          <w:rFonts w:ascii="宋体" w:hAnsi="宋体" w:cs="宋体" w:eastAsia="宋体" w:hint="default"/>
          <w:sz w:val="18"/>
          <w:szCs w:val="18"/>
        </w:rPr>
      </w:pPr>
    </w:p>
    <w:p>
      <w:pPr>
        <w:pStyle w:val="BodyText"/>
        <w:spacing w:line="240" w:lineRule="auto" w:before="32"/>
        <w:ind w:left="113" w:right="102"/>
        <w:jc w:val="left"/>
      </w:pPr>
      <w:r>
        <w:rPr>
          <w:rFonts w:ascii="Arial" w:hAnsi="Arial" w:cs="Arial" w:eastAsia="Arial" w:hint="default"/>
        </w:rPr>
        <w:t>(d) </w:t>
      </w:r>
      <w:r>
        <w:rPr>
          <w:rFonts w:ascii="Arial" w:hAnsi="Arial" w:cs="Arial" w:eastAsia="Arial" w:hint="default"/>
          <w:spacing w:val="31"/>
        </w:rPr>
        <w:t> </w:t>
      </w:r>
      <w:r>
        <w:rPr/>
        <w:t>本集团所属境外子公司所得税</w:t>
      </w:r>
    </w:p>
    <w:p>
      <w:pPr>
        <w:spacing w:line="240" w:lineRule="auto" w:before="6"/>
        <w:rPr>
          <w:rFonts w:ascii="宋体" w:hAnsi="宋体" w:cs="宋体" w:eastAsia="宋体" w:hint="default"/>
          <w:sz w:val="18"/>
          <w:szCs w:val="18"/>
        </w:rPr>
      </w:pPr>
    </w:p>
    <w:p>
      <w:pPr>
        <w:pStyle w:val="BodyText"/>
        <w:spacing w:line="232" w:lineRule="auto"/>
        <w:ind w:left="540" w:right="115"/>
        <w:jc w:val="both"/>
      </w:pPr>
      <w:r>
        <w:rPr>
          <w:spacing w:val="-5"/>
        </w:rPr>
        <w:t>根据国务院为所得税法发布的《中华人民共和国企业所得税法实施条例》（“实施条例”）、财</w:t>
      </w:r>
      <w:r>
        <w:rPr>
          <w:spacing w:val="-36"/>
        </w:rPr>
        <w:t> </w:t>
      </w:r>
      <w:r>
        <w:rPr>
          <w:spacing w:val="-36"/>
        </w:rPr>
      </w:r>
      <w:r>
        <w:rPr>
          <w:spacing w:val="-2"/>
        </w:rPr>
        <w:t>政部及国家税务总局共同发布的《关于企业所得税若干优惠政策的通知》（财税</w:t>
      </w:r>
      <w:r>
        <w:rPr>
          <w:rFonts w:ascii="Arial" w:hAnsi="Arial" w:cs="Arial" w:eastAsia="Arial" w:hint="default"/>
          <w:spacing w:val="-2"/>
        </w:rPr>
        <w:t>[2008]1</w:t>
      </w:r>
      <w:r>
        <w:rPr>
          <w:rFonts w:ascii="Arial" w:hAnsi="Arial" w:cs="Arial" w:eastAsia="Arial" w:hint="default"/>
          <w:spacing w:val="41"/>
        </w:rPr>
        <w:t> </w:t>
      </w:r>
      <w:r>
        <w:rPr>
          <w:spacing w:val="-5"/>
        </w:rPr>
        <w:t>号）以</w:t>
      </w:r>
      <w:r>
        <w:rPr>
          <w:spacing w:val="-102"/>
        </w:rPr>
        <w:t> </w:t>
      </w:r>
      <w:r>
        <w:rPr>
          <w:spacing w:val="-102"/>
        </w:rPr>
      </w:r>
      <w:r>
        <w:rPr/>
        <w:t>及根据国家税务总局</w:t>
      </w:r>
      <w:r>
        <w:rPr>
          <w:spacing w:val="-61"/>
        </w:rPr>
        <w:t> </w:t>
      </w:r>
      <w:r>
        <w:rPr>
          <w:rFonts w:ascii="Arial" w:hAnsi="Arial" w:cs="Arial" w:eastAsia="Arial" w:hint="default"/>
        </w:rPr>
        <w:t>2009</w:t>
      </w:r>
      <w:r>
        <w:rPr>
          <w:rFonts w:ascii="Arial" w:hAnsi="Arial" w:cs="Arial" w:eastAsia="Arial" w:hint="default"/>
          <w:spacing w:val="-5"/>
        </w:rPr>
        <w:t> </w:t>
      </w:r>
      <w:r>
        <w:rPr/>
        <w:t>年</w:t>
      </w:r>
      <w:r>
        <w:rPr>
          <w:spacing w:val="-56"/>
        </w:rPr>
        <w:t> </w:t>
      </w:r>
      <w:r>
        <w:rPr>
          <w:rFonts w:ascii="Arial" w:hAnsi="Arial" w:cs="Arial" w:eastAsia="Arial" w:hint="default"/>
        </w:rPr>
        <w:t>4</w:t>
      </w:r>
      <w:r>
        <w:rPr>
          <w:rFonts w:ascii="Arial" w:hAnsi="Arial" w:cs="Arial" w:eastAsia="Arial" w:hint="default"/>
          <w:spacing w:val="-5"/>
        </w:rPr>
        <w:t> </w:t>
      </w:r>
      <w:r>
        <w:rPr/>
        <w:t>月</w:t>
      </w:r>
      <w:r>
        <w:rPr>
          <w:spacing w:val="-56"/>
        </w:rPr>
        <w:t> </w:t>
      </w:r>
      <w:r>
        <w:rPr>
          <w:rFonts w:ascii="Arial" w:hAnsi="Arial" w:cs="Arial" w:eastAsia="Arial" w:hint="default"/>
        </w:rPr>
        <w:t>22</w:t>
      </w:r>
      <w:r>
        <w:rPr>
          <w:rFonts w:ascii="Arial" w:hAnsi="Arial" w:cs="Arial" w:eastAsia="Arial" w:hint="default"/>
          <w:spacing w:val="-5"/>
        </w:rPr>
        <w:t> </w:t>
      </w:r>
      <w:r>
        <w:rPr/>
        <w:t>日发布的《关于境外注册中资控股企业依据实际管理机构</w:t>
      </w:r>
      <w:r>
        <w:rPr>
          <w:w w:val="100"/>
        </w:rPr>
        <w:t> </w:t>
      </w:r>
      <w:r>
        <w:rPr>
          <w:spacing w:val="-4"/>
        </w:rPr>
        <w:t>标准认定为居民企业有关问题的通知》等，经主管税务机关批准，本集团的联通红筹公司及联通</w:t>
      </w:r>
      <w:r>
        <w:rPr>
          <w:spacing w:val="-75"/>
        </w:rPr>
        <w:t> </w:t>
      </w:r>
      <w:r>
        <w:rPr>
          <w:spacing w:val="-75"/>
        </w:rPr>
      </w:r>
      <w:r>
        <w:rPr>
          <w:rFonts w:ascii="Arial" w:hAnsi="Arial" w:cs="Arial" w:eastAsia="Arial" w:hint="default"/>
        </w:rPr>
        <w:t>BVI</w:t>
      </w:r>
      <w:r>
        <w:rPr>
          <w:rFonts w:ascii="Arial" w:hAnsi="Arial" w:cs="Arial" w:eastAsia="Arial" w:hint="default"/>
          <w:spacing w:val="-12"/>
        </w:rPr>
        <w:t> </w:t>
      </w:r>
      <w:r>
        <w:rPr/>
        <w:t>公司从</w:t>
      </w:r>
      <w:r>
        <w:rPr>
          <w:spacing w:val="-57"/>
        </w:rPr>
        <w:t> </w:t>
      </w:r>
      <w:r>
        <w:rPr>
          <w:rFonts w:ascii="Arial" w:hAnsi="Arial" w:cs="Arial" w:eastAsia="Arial" w:hint="default"/>
        </w:rPr>
        <w:t>2008</w:t>
      </w:r>
      <w:r>
        <w:rPr>
          <w:rFonts w:ascii="Arial" w:hAnsi="Arial" w:cs="Arial" w:eastAsia="Arial" w:hint="default"/>
          <w:spacing w:val="-6"/>
        </w:rPr>
        <w:t> </w:t>
      </w:r>
      <w:r>
        <w:rPr/>
        <w:t>年</w:t>
      </w:r>
      <w:r>
        <w:rPr>
          <w:spacing w:val="-57"/>
        </w:rPr>
        <w:t> </w:t>
      </w:r>
      <w:r>
        <w:rPr>
          <w:rFonts w:ascii="Arial" w:hAnsi="Arial" w:cs="Arial" w:eastAsia="Arial" w:hint="default"/>
        </w:rPr>
        <w:t>1</w:t>
      </w:r>
      <w:r>
        <w:rPr>
          <w:rFonts w:ascii="Arial" w:hAnsi="Arial" w:cs="Arial" w:eastAsia="Arial" w:hint="default"/>
          <w:spacing w:val="-6"/>
        </w:rPr>
        <w:t> </w:t>
      </w:r>
      <w:r>
        <w:rPr/>
        <w:t>月</w:t>
      </w:r>
      <w:r>
        <w:rPr>
          <w:spacing w:val="-57"/>
        </w:rPr>
        <w:t> </w:t>
      </w:r>
      <w:r>
        <w:rPr>
          <w:rFonts w:ascii="Arial" w:hAnsi="Arial" w:cs="Arial" w:eastAsia="Arial" w:hint="default"/>
        </w:rPr>
        <w:t>1</w:t>
      </w:r>
      <w:r>
        <w:rPr>
          <w:rFonts w:ascii="Arial" w:hAnsi="Arial" w:cs="Arial" w:eastAsia="Arial" w:hint="default"/>
          <w:spacing w:val="-6"/>
        </w:rPr>
        <w:t> </w:t>
      </w:r>
      <w:r>
        <w:rPr/>
        <w:t>日起被认定为中国居民企业并适用所得税法的相关规定。</w:t>
      </w:r>
    </w:p>
    <w:p>
      <w:pPr>
        <w:spacing w:line="240" w:lineRule="auto" w:before="7"/>
        <w:rPr>
          <w:rFonts w:ascii="宋体" w:hAnsi="宋体" w:cs="宋体" w:eastAsia="宋体" w:hint="default"/>
          <w:sz w:val="18"/>
          <w:szCs w:val="18"/>
        </w:rPr>
      </w:pPr>
    </w:p>
    <w:p>
      <w:pPr>
        <w:pStyle w:val="BodyText"/>
        <w:spacing w:line="232" w:lineRule="auto"/>
        <w:ind w:left="540" w:right="115"/>
        <w:jc w:val="both"/>
      </w:pPr>
      <w:r>
        <w:rPr/>
        <w:t>除联通红筹公司及联通 </w:t>
      </w:r>
      <w:r>
        <w:rPr>
          <w:rFonts w:ascii="Arial" w:hAnsi="Arial" w:cs="Arial" w:eastAsia="Arial" w:hint="default"/>
        </w:rPr>
        <w:t>BVI</w:t>
      </w:r>
      <w:r>
        <w:rPr>
          <w:rFonts w:ascii="Arial" w:hAnsi="Arial" w:cs="Arial" w:eastAsia="Arial" w:hint="default"/>
          <w:spacing w:val="1"/>
        </w:rPr>
        <w:t> </w:t>
      </w:r>
      <w:r>
        <w:rPr/>
        <w:t>公司被认定为居民纳税人企业外，本集团所属境外子公司（请参见</w:t>
      </w:r>
      <w:r>
        <w:rPr>
          <w:w w:val="100"/>
        </w:rPr>
        <w:t> </w:t>
      </w:r>
      <w:r>
        <w:rPr>
          <w:spacing w:val="-4"/>
        </w:rPr>
        <w:t>附注七），其企业所得税按其在有关期间的应纳税所得额以及各公司所在国家或地区的企业所得</w:t>
      </w:r>
      <w:r>
        <w:rPr>
          <w:spacing w:val="-75"/>
        </w:rPr>
        <w:t> </w:t>
      </w:r>
      <w:r>
        <w:rPr>
          <w:spacing w:val="-75"/>
        </w:rPr>
      </w:r>
      <w:r>
        <w:rPr/>
        <w:t>税率计算，企业所得税率一般在</w:t>
      </w:r>
      <w:r>
        <w:rPr>
          <w:spacing w:val="-57"/>
        </w:rPr>
        <w:t> </w:t>
      </w:r>
      <w:r>
        <w:rPr>
          <w:rFonts w:ascii="Arial" w:hAnsi="Arial" w:cs="Arial" w:eastAsia="Arial" w:hint="default"/>
        </w:rPr>
        <w:t>16.5%</w:t>
      </w:r>
      <w:r>
        <w:rPr/>
        <w:t>至</w:t>
      </w:r>
      <w:r>
        <w:rPr>
          <w:spacing w:val="-57"/>
        </w:rPr>
        <w:t> </w:t>
      </w:r>
      <w:r>
        <w:rPr>
          <w:rFonts w:ascii="Arial" w:hAnsi="Arial" w:cs="Arial" w:eastAsia="Arial" w:hint="default"/>
        </w:rPr>
        <w:t>34.0%</w:t>
      </w:r>
      <w:r>
        <w:rPr/>
        <w:t>之间。</w:t>
      </w:r>
    </w:p>
    <w:p>
      <w:pPr>
        <w:spacing w:after="0" w:line="232" w:lineRule="auto"/>
        <w:jc w:val="both"/>
        <w:sectPr>
          <w:headerReference w:type="default" r:id="rId141"/>
          <w:pgSz w:w="11910" w:h="16840"/>
          <w:pgMar w:header="842" w:footer="502" w:top="3280" w:bottom="700" w:left="880" w:right="1260"/>
        </w:sectPr>
      </w:pPr>
    </w:p>
    <w:p>
      <w:pPr>
        <w:spacing w:line="240" w:lineRule="auto" w:before="7"/>
        <w:rPr>
          <w:rFonts w:ascii="宋体" w:hAnsi="宋体" w:cs="宋体" w:eastAsia="宋体" w:hint="default"/>
          <w:sz w:val="16"/>
          <w:szCs w:val="16"/>
        </w:rPr>
      </w:pPr>
    </w:p>
    <w:p>
      <w:pPr>
        <w:pStyle w:val="BodyText"/>
        <w:spacing w:line="240" w:lineRule="auto" w:before="32"/>
        <w:ind w:left="113" w:right="104"/>
        <w:jc w:val="left"/>
      </w:pPr>
      <w:r>
        <w:rPr>
          <w:rFonts w:ascii="Arial" w:hAnsi="Arial" w:cs="Arial" w:eastAsia="Arial" w:hint="default"/>
        </w:rPr>
        <w:t>1</w:t>
      </w:r>
      <w:r>
        <w:rPr/>
        <w:t>、</w:t>
      </w:r>
      <w:r>
        <w:rPr>
          <w:spacing w:val="-32"/>
        </w:rPr>
        <w:t> </w:t>
      </w:r>
      <w:r>
        <w:rPr/>
        <w:t>货币资金</w:t>
      </w:r>
    </w:p>
    <w:p>
      <w:pPr>
        <w:spacing w:line="240" w:lineRule="auto" w:before="1"/>
        <w:rPr>
          <w:rFonts w:ascii="宋体" w:hAnsi="宋体" w:cs="宋体" w:eastAsia="宋体" w:hint="default"/>
          <w:sz w:val="23"/>
          <w:szCs w:val="23"/>
        </w:rPr>
      </w:pPr>
    </w:p>
    <w:tbl>
      <w:tblPr>
        <w:tblW w:w="0" w:type="auto"/>
        <w:jc w:val="left"/>
        <w:tblInd w:w="374" w:type="dxa"/>
        <w:tblLayout w:type="fixed"/>
        <w:tblCellMar>
          <w:top w:w="0" w:type="dxa"/>
          <w:left w:w="0" w:type="dxa"/>
          <w:bottom w:w="0" w:type="dxa"/>
          <w:right w:w="0" w:type="dxa"/>
        </w:tblCellMar>
        <w:tblLook w:val="01E0"/>
      </w:tblPr>
      <w:tblGrid>
        <w:gridCol w:w="3673"/>
        <w:gridCol w:w="737"/>
        <w:gridCol w:w="2366"/>
        <w:gridCol w:w="106"/>
        <w:gridCol w:w="2390"/>
      </w:tblGrid>
      <w:tr>
        <w:trPr>
          <w:trHeight w:val="264" w:hRule="exact"/>
        </w:trPr>
        <w:tc>
          <w:tcPr>
            <w:tcW w:w="3673"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Style w:val="TableParagraph"/>
              <w:spacing w:line="221" w:lineRule="exact"/>
              <w:ind w:right="26"/>
              <w:jc w:val="right"/>
              <w:rPr>
                <w:rFonts w:ascii="宋体" w:hAnsi="宋体" w:cs="宋体" w:eastAsia="宋体" w:hint="default"/>
                <w:sz w:val="22"/>
                <w:szCs w:val="22"/>
              </w:rPr>
            </w:pPr>
            <w:r>
              <w:rPr>
                <w:rFonts w:ascii="宋体"/>
                <w:w w:val="100"/>
                <w:sz w:val="22"/>
              </w:rPr>
              <w:t> </w:t>
            </w:r>
          </w:p>
        </w:tc>
        <w:tc>
          <w:tcPr>
            <w:tcW w:w="2366" w:type="dxa"/>
            <w:tcBorders>
              <w:top w:val="nil" w:sz="6" w:space="0" w:color="auto"/>
              <w:left w:val="nil" w:sz="6" w:space="0" w:color="auto"/>
              <w:bottom w:val="single" w:sz="6" w:space="0" w:color="000000"/>
              <w:right w:val="nil" w:sz="6" w:space="0" w:color="auto"/>
            </w:tcBorders>
          </w:tcPr>
          <w:p>
            <w:pPr>
              <w:pStyle w:val="TableParagraph"/>
              <w:spacing w:line="236" w:lineRule="exact"/>
              <w:ind w:right="31"/>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106" w:type="dxa"/>
            <w:tcBorders>
              <w:top w:val="nil" w:sz="6" w:space="0" w:color="auto"/>
              <w:left w:val="nil" w:sz="6" w:space="0" w:color="auto"/>
              <w:bottom w:val="nil" w:sz="6" w:space="0" w:color="auto"/>
              <w:right w:val="nil" w:sz="6" w:space="0" w:color="auto"/>
            </w:tcBorders>
          </w:tcPr>
          <w:p>
            <w:pPr/>
          </w:p>
        </w:tc>
        <w:tc>
          <w:tcPr>
            <w:tcW w:w="2390" w:type="dxa"/>
            <w:tcBorders>
              <w:top w:val="nil" w:sz="6" w:space="0" w:color="auto"/>
              <w:left w:val="nil" w:sz="6" w:space="0" w:color="auto"/>
              <w:bottom w:val="single" w:sz="6" w:space="0" w:color="000000"/>
              <w:right w:val="nil" w:sz="6" w:space="0" w:color="auto"/>
            </w:tcBorders>
          </w:tcPr>
          <w:p>
            <w:pPr>
              <w:pStyle w:val="TableParagraph"/>
              <w:spacing w:line="236" w:lineRule="exact"/>
              <w:ind w:right="36"/>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244" w:hRule="exact"/>
        </w:trPr>
        <w:tc>
          <w:tcPr>
            <w:tcW w:w="3673"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Style w:val="TableParagraph"/>
              <w:spacing w:line="215" w:lineRule="exact"/>
              <w:ind w:right="47"/>
              <w:jc w:val="right"/>
              <w:rPr>
                <w:rFonts w:ascii="宋体" w:hAnsi="宋体" w:cs="宋体" w:eastAsia="宋体" w:hint="default"/>
                <w:sz w:val="18"/>
                <w:szCs w:val="18"/>
              </w:rPr>
            </w:pPr>
            <w:r>
              <w:rPr>
                <w:rFonts w:ascii="宋体"/>
                <w:w w:val="101"/>
                <w:sz w:val="18"/>
              </w:rPr>
              <w:t> </w:t>
            </w:r>
            <w:r>
              <w:rPr>
                <w:rFonts w:ascii="宋体"/>
                <w:sz w:val="18"/>
              </w:rPr>
            </w:r>
          </w:p>
        </w:tc>
        <w:tc>
          <w:tcPr>
            <w:tcW w:w="2366" w:type="dxa"/>
            <w:tcBorders>
              <w:top w:val="single" w:sz="6" w:space="0" w:color="000000"/>
              <w:left w:val="nil" w:sz="6" w:space="0" w:color="auto"/>
              <w:bottom w:val="nil" w:sz="6" w:space="0" w:color="auto"/>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
        </w:tc>
        <w:tc>
          <w:tcPr>
            <w:tcW w:w="2390" w:type="dxa"/>
            <w:tcBorders>
              <w:top w:val="single" w:sz="6" w:space="0" w:color="000000"/>
              <w:left w:val="nil" w:sz="6" w:space="0" w:color="auto"/>
              <w:bottom w:val="nil" w:sz="6" w:space="0" w:color="auto"/>
              <w:right w:val="nil" w:sz="6" w:space="0" w:color="auto"/>
            </w:tcBorders>
          </w:tcPr>
          <w:p>
            <w:pPr/>
          </w:p>
        </w:tc>
      </w:tr>
      <w:tr>
        <w:trPr>
          <w:trHeight w:val="294" w:hRule="exact"/>
        </w:trPr>
        <w:tc>
          <w:tcPr>
            <w:tcW w:w="3673" w:type="dxa"/>
            <w:tcBorders>
              <w:top w:val="nil" w:sz="6" w:space="0" w:color="auto"/>
              <w:left w:val="nil" w:sz="6" w:space="0" w:color="auto"/>
              <w:bottom w:val="nil" w:sz="6" w:space="0" w:color="auto"/>
              <w:right w:val="nil" w:sz="6" w:space="0" w:color="auto"/>
            </w:tcBorders>
          </w:tcPr>
          <w:p>
            <w:pPr>
              <w:pStyle w:val="TableParagraph"/>
              <w:spacing w:line="250" w:lineRule="exact"/>
              <w:ind w:left="200" w:right="0"/>
              <w:jc w:val="left"/>
              <w:rPr>
                <w:rFonts w:ascii="宋体" w:hAnsi="宋体" w:cs="宋体" w:eastAsia="宋体" w:hint="default"/>
                <w:sz w:val="22"/>
                <w:szCs w:val="22"/>
              </w:rPr>
            </w:pPr>
            <w:r>
              <w:rPr>
                <w:rFonts w:ascii="宋体" w:hAnsi="宋体" w:cs="宋体" w:eastAsia="宋体" w:hint="default"/>
                <w:sz w:val="22"/>
                <w:szCs w:val="22"/>
              </w:rPr>
              <w:t>库存现金</w:t>
            </w:r>
            <w:r>
              <w:rPr>
                <w:rFonts w:ascii="宋体" w:hAnsi="宋体" w:cs="宋体" w:eastAsia="宋体" w:hint="default"/>
                <w:sz w:val="22"/>
                <w:szCs w:val="22"/>
              </w:rPr>
              <w:t> </w:t>
            </w:r>
          </w:p>
        </w:tc>
        <w:tc>
          <w:tcPr>
            <w:tcW w:w="737" w:type="dxa"/>
            <w:tcBorders>
              <w:top w:val="nil" w:sz="6" w:space="0" w:color="auto"/>
              <w:left w:val="nil" w:sz="6" w:space="0" w:color="auto"/>
              <w:bottom w:val="nil" w:sz="6" w:space="0" w:color="auto"/>
              <w:right w:val="nil" w:sz="6" w:space="0" w:color="auto"/>
            </w:tcBorders>
          </w:tcPr>
          <w:p>
            <w:pPr>
              <w:pStyle w:val="TableParagraph"/>
              <w:spacing w:line="250" w:lineRule="exact"/>
              <w:ind w:right="122"/>
              <w:jc w:val="right"/>
              <w:rPr>
                <w:rFonts w:ascii="宋体" w:hAnsi="宋体" w:cs="宋体" w:eastAsia="宋体" w:hint="default"/>
                <w:sz w:val="22"/>
                <w:szCs w:val="22"/>
              </w:rPr>
            </w:pPr>
            <w:r>
              <w:rPr>
                <w:rFonts w:ascii="宋体"/>
                <w:w w:val="100"/>
                <w:sz w:val="22"/>
              </w:rPr>
              <w:t> </w:t>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6"/>
              <w:jc w:val="right"/>
              <w:rPr>
                <w:rFonts w:ascii="Arial" w:hAnsi="Arial" w:cs="Arial" w:eastAsia="Arial" w:hint="default"/>
                <w:sz w:val="22"/>
                <w:szCs w:val="22"/>
              </w:rPr>
            </w:pPr>
            <w:r>
              <w:rPr>
                <w:rFonts w:ascii="Arial"/>
                <w:sz w:val="22"/>
              </w:rPr>
              <w:t>1,390,149</w:t>
            </w:r>
          </w:p>
        </w:tc>
        <w:tc>
          <w:tcPr>
            <w:tcW w:w="106" w:type="dxa"/>
            <w:tcBorders>
              <w:top w:val="nil" w:sz="6" w:space="0" w:color="auto"/>
              <w:left w:val="nil" w:sz="6" w:space="0" w:color="auto"/>
              <w:bottom w:val="nil" w:sz="6" w:space="0" w:color="auto"/>
              <w:right w:val="nil" w:sz="6" w:space="0" w:color="auto"/>
            </w:tcBorders>
          </w:tcPr>
          <w:p>
            <w:pPr/>
          </w:p>
        </w:tc>
        <w:tc>
          <w:tcPr>
            <w:tcW w:w="239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6"/>
              <w:jc w:val="right"/>
              <w:rPr>
                <w:rFonts w:ascii="Arial" w:hAnsi="Arial" w:cs="Arial" w:eastAsia="Arial" w:hint="default"/>
                <w:sz w:val="22"/>
                <w:szCs w:val="22"/>
              </w:rPr>
            </w:pPr>
            <w:r>
              <w:rPr>
                <w:rFonts w:ascii="Arial"/>
                <w:sz w:val="22"/>
              </w:rPr>
              <w:t>522,543</w:t>
            </w:r>
          </w:p>
        </w:tc>
      </w:tr>
      <w:tr>
        <w:trPr>
          <w:trHeight w:val="283" w:hRule="exact"/>
        </w:trPr>
        <w:tc>
          <w:tcPr>
            <w:tcW w:w="3673"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Arial" w:hAnsi="Arial" w:cs="Arial" w:eastAsia="Arial" w:hint="default"/>
                <w:sz w:val="22"/>
                <w:szCs w:val="22"/>
              </w:rPr>
              <w:t>3</w:t>
            </w:r>
            <w:r>
              <w:rPr>
                <w:rFonts w:ascii="Arial" w:hAnsi="Arial" w:cs="Arial" w:eastAsia="Arial" w:hint="default"/>
                <w:spacing w:val="-1"/>
                <w:sz w:val="22"/>
                <w:szCs w:val="22"/>
              </w:rPr>
              <w:t> </w:t>
            </w:r>
            <w:r>
              <w:rPr>
                <w:rFonts w:ascii="宋体" w:hAnsi="宋体" w:cs="宋体" w:eastAsia="宋体" w:hint="default"/>
                <w:sz w:val="22"/>
                <w:szCs w:val="22"/>
              </w:rPr>
              <w:t>个月以下银行存款</w:t>
            </w:r>
          </w:p>
        </w:tc>
        <w:tc>
          <w:tcPr>
            <w:tcW w:w="737" w:type="dxa"/>
            <w:tcBorders>
              <w:top w:val="nil" w:sz="6" w:space="0" w:color="auto"/>
              <w:left w:val="nil" w:sz="6" w:space="0" w:color="auto"/>
              <w:bottom w:val="nil" w:sz="6" w:space="0" w:color="auto"/>
              <w:right w:val="nil" w:sz="6" w:space="0" w:color="auto"/>
            </w:tcBorders>
          </w:tcPr>
          <w:p>
            <w:pPr>
              <w:pStyle w:val="TableParagraph"/>
              <w:spacing w:line="239" w:lineRule="exact"/>
              <w:ind w:right="122"/>
              <w:jc w:val="right"/>
              <w:rPr>
                <w:rFonts w:ascii="宋体" w:hAnsi="宋体" w:cs="宋体" w:eastAsia="宋体" w:hint="default"/>
                <w:sz w:val="22"/>
                <w:szCs w:val="22"/>
              </w:rPr>
            </w:pPr>
            <w:r>
              <w:rPr>
                <w:rFonts w:ascii="宋体"/>
                <w:w w:val="100"/>
                <w:sz w:val="22"/>
              </w:rPr>
              <w:t> </w:t>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1"/>
              <w:jc w:val="right"/>
              <w:rPr>
                <w:rFonts w:ascii="Arial" w:hAnsi="Arial" w:cs="Arial" w:eastAsia="Arial" w:hint="default"/>
                <w:sz w:val="22"/>
                <w:szCs w:val="22"/>
              </w:rPr>
            </w:pPr>
            <w:r>
              <w:rPr>
                <w:rFonts w:ascii="Arial"/>
                <w:sz w:val="22"/>
              </w:rPr>
              <w:t>34,823,264,616</w:t>
            </w:r>
          </w:p>
        </w:tc>
        <w:tc>
          <w:tcPr>
            <w:tcW w:w="106" w:type="dxa"/>
            <w:tcBorders>
              <w:top w:val="nil" w:sz="6" w:space="0" w:color="auto"/>
              <w:left w:val="nil" w:sz="6" w:space="0" w:color="auto"/>
              <w:bottom w:val="nil" w:sz="6" w:space="0" w:color="auto"/>
              <w:right w:val="nil" w:sz="6" w:space="0" w:color="auto"/>
            </w:tcBorders>
          </w:tcPr>
          <w:p>
            <w:pPr/>
          </w:p>
        </w:tc>
        <w:tc>
          <w:tcPr>
            <w:tcW w:w="239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6"/>
              <w:jc w:val="right"/>
              <w:rPr>
                <w:rFonts w:ascii="Arial" w:hAnsi="Arial" w:cs="Arial" w:eastAsia="Arial" w:hint="default"/>
                <w:sz w:val="22"/>
                <w:szCs w:val="22"/>
              </w:rPr>
            </w:pPr>
            <w:r>
              <w:rPr>
                <w:rFonts w:ascii="Arial"/>
                <w:sz w:val="22"/>
              </w:rPr>
              <w:t>29,706,736,530</w:t>
            </w:r>
          </w:p>
        </w:tc>
      </w:tr>
      <w:tr>
        <w:trPr>
          <w:trHeight w:val="293" w:hRule="exact"/>
        </w:trPr>
        <w:tc>
          <w:tcPr>
            <w:tcW w:w="3673"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其他货币资金</w:t>
            </w:r>
          </w:p>
        </w:tc>
        <w:tc>
          <w:tcPr>
            <w:tcW w:w="737" w:type="dxa"/>
            <w:tcBorders>
              <w:top w:val="nil" w:sz="6" w:space="0" w:color="auto"/>
              <w:left w:val="nil" w:sz="6" w:space="0" w:color="auto"/>
              <w:bottom w:val="nil" w:sz="6" w:space="0" w:color="auto"/>
              <w:right w:val="nil" w:sz="6" w:space="0" w:color="auto"/>
            </w:tcBorders>
          </w:tcPr>
          <w:p>
            <w:pPr>
              <w:pStyle w:val="TableParagraph"/>
              <w:spacing w:line="239" w:lineRule="exact"/>
              <w:ind w:right="122"/>
              <w:jc w:val="right"/>
              <w:rPr>
                <w:rFonts w:ascii="宋体" w:hAnsi="宋体" w:cs="宋体" w:eastAsia="宋体" w:hint="default"/>
                <w:sz w:val="22"/>
                <w:szCs w:val="22"/>
              </w:rPr>
            </w:pPr>
            <w:r>
              <w:rPr>
                <w:rFonts w:ascii="宋体"/>
                <w:w w:val="100"/>
                <w:sz w:val="22"/>
              </w:rPr>
              <w:t> </w:t>
            </w:r>
          </w:p>
        </w:tc>
        <w:tc>
          <w:tcPr>
            <w:tcW w:w="2366" w:type="dxa"/>
            <w:tcBorders>
              <w:top w:val="nil" w:sz="6" w:space="0" w:color="auto"/>
              <w:left w:val="nil" w:sz="6" w:space="0" w:color="auto"/>
              <w:bottom w:val="nil" w:sz="6" w:space="0" w:color="auto"/>
              <w:right w:val="nil" w:sz="6" w:space="0" w:color="auto"/>
            </w:tcBorders>
          </w:tcPr>
          <w:p>
            <w:pPr>
              <w:pStyle w:val="TableParagraph"/>
              <w:tabs>
                <w:tab w:pos="1099" w:val="left" w:leader="none"/>
              </w:tabs>
              <w:spacing w:line="240" w:lineRule="auto" w:before="21"/>
              <w:ind w:right="36"/>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125,131,226</w:t>
            </w:r>
            <w:r>
              <w:rPr>
                <w:rFonts w:ascii="Arial"/>
                <w:sz w:val="22"/>
              </w:rPr>
            </w:r>
          </w:p>
        </w:tc>
        <w:tc>
          <w:tcPr>
            <w:tcW w:w="106" w:type="dxa"/>
            <w:tcBorders>
              <w:top w:val="nil" w:sz="6" w:space="0" w:color="auto"/>
              <w:left w:val="nil" w:sz="6" w:space="0" w:color="auto"/>
              <w:bottom w:val="nil" w:sz="6" w:space="0" w:color="auto"/>
              <w:right w:val="nil" w:sz="6" w:space="0" w:color="auto"/>
            </w:tcBorders>
          </w:tcPr>
          <w:p>
            <w:pPr/>
          </w:p>
        </w:tc>
        <w:tc>
          <w:tcPr>
            <w:tcW w:w="2390" w:type="dxa"/>
            <w:tcBorders>
              <w:top w:val="nil" w:sz="6" w:space="0" w:color="auto"/>
              <w:left w:val="nil" w:sz="6" w:space="0" w:color="auto"/>
              <w:bottom w:val="nil" w:sz="6" w:space="0" w:color="auto"/>
              <w:right w:val="nil" w:sz="6" w:space="0" w:color="auto"/>
            </w:tcBorders>
          </w:tcPr>
          <w:p>
            <w:pPr>
              <w:pStyle w:val="TableParagraph"/>
              <w:tabs>
                <w:tab w:pos="1123" w:val="left" w:leader="none"/>
              </w:tabs>
              <w:spacing w:line="240" w:lineRule="auto" w:before="21"/>
              <w:ind w:right="38"/>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355,647,409</w:t>
            </w:r>
            <w:r>
              <w:rPr>
                <w:rFonts w:ascii="Arial"/>
                <w:spacing w:val="-1"/>
                <w:sz w:val="22"/>
              </w:rPr>
            </w:r>
          </w:p>
        </w:tc>
      </w:tr>
      <w:tr>
        <w:trPr>
          <w:trHeight w:val="275" w:hRule="exact"/>
        </w:trPr>
        <w:tc>
          <w:tcPr>
            <w:tcW w:w="3673" w:type="dxa"/>
            <w:tcBorders>
              <w:top w:val="nil" w:sz="6" w:space="0" w:color="auto"/>
              <w:left w:val="nil" w:sz="6" w:space="0" w:color="auto"/>
              <w:bottom w:val="nil" w:sz="6" w:space="0" w:color="auto"/>
              <w:right w:val="nil" w:sz="6" w:space="0" w:color="auto"/>
            </w:tcBorders>
          </w:tcPr>
          <w:p>
            <w:pPr/>
          </w:p>
        </w:tc>
        <w:tc>
          <w:tcPr>
            <w:tcW w:w="5599" w:type="dxa"/>
            <w:gridSpan w:val="4"/>
            <w:tcBorders>
              <w:top w:val="nil" w:sz="6" w:space="0" w:color="auto"/>
              <w:left w:val="nil" w:sz="6" w:space="0" w:color="auto"/>
              <w:bottom w:val="nil" w:sz="6" w:space="0" w:color="auto"/>
              <w:right w:val="nil" w:sz="6" w:space="0" w:color="auto"/>
            </w:tcBorders>
          </w:tcPr>
          <w:p>
            <w:pPr>
              <w:pStyle w:val="TableParagraph"/>
              <w:spacing w:line="244" w:lineRule="exact"/>
              <w:ind w:left="501" w:right="0"/>
              <w:jc w:val="left"/>
              <w:rPr>
                <w:rFonts w:ascii="宋体" w:hAnsi="宋体" w:cs="宋体" w:eastAsia="宋体" w:hint="default"/>
                <w:sz w:val="22"/>
                <w:szCs w:val="22"/>
              </w:rPr>
            </w:pPr>
            <w:r>
              <w:rPr>
                <w:rFonts w:ascii="宋体"/>
                <w:w w:val="100"/>
                <w:sz w:val="22"/>
              </w:rPr>
              <w:t> </w:t>
            </w:r>
          </w:p>
        </w:tc>
      </w:tr>
      <w:tr>
        <w:trPr>
          <w:trHeight w:val="305" w:hRule="exact"/>
        </w:trPr>
        <w:tc>
          <w:tcPr>
            <w:tcW w:w="3673" w:type="dxa"/>
            <w:tcBorders>
              <w:top w:val="nil" w:sz="6" w:space="0" w:color="auto"/>
              <w:left w:val="nil" w:sz="6" w:space="0" w:color="auto"/>
              <w:bottom w:val="nil" w:sz="6" w:space="0" w:color="auto"/>
              <w:right w:val="nil" w:sz="6" w:space="0" w:color="auto"/>
            </w:tcBorders>
          </w:tcPr>
          <w:p>
            <w:pPr>
              <w:pStyle w:val="TableParagraph"/>
              <w:spacing w:line="252" w:lineRule="exact"/>
              <w:ind w:left="200" w:right="0"/>
              <w:jc w:val="left"/>
              <w:rPr>
                <w:rFonts w:ascii="宋体" w:hAnsi="宋体" w:cs="宋体" w:eastAsia="宋体" w:hint="default"/>
                <w:sz w:val="22"/>
                <w:szCs w:val="22"/>
              </w:rPr>
            </w:pPr>
            <w:r>
              <w:rPr>
                <w:rFonts w:ascii="宋体" w:hAnsi="宋体" w:cs="宋体" w:eastAsia="宋体" w:hint="default"/>
                <w:sz w:val="22"/>
                <w:szCs w:val="22"/>
              </w:rPr>
              <w:t>现金及现金等价物小计</w:t>
            </w:r>
          </w:p>
        </w:tc>
        <w:tc>
          <w:tcPr>
            <w:tcW w:w="737" w:type="dxa"/>
            <w:tcBorders>
              <w:top w:val="nil" w:sz="6" w:space="0" w:color="auto"/>
              <w:left w:val="nil" w:sz="6" w:space="0" w:color="auto"/>
              <w:bottom w:val="nil" w:sz="6" w:space="0" w:color="auto"/>
              <w:right w:val="nil" w:sz="6" w:space="0" w:color="auto"/>
            </w:tcBorders>
          </w:tcPr>
          <w:p>
            <w:pPr>
              <w:pStyle w:val="TableParagraph"/>
              <w:spacing w:line="252" w:lineRule="exact"/>
              <w:ind w:right="122"/>
              <w:jc w:val="right"/>
              <w:rPr>
                <w:rFonts w:ascii="宋体" w:hAnsi="宋体" w:cs="宋体" w:eastAsia="宋体" w:hint="default"/>
                <w:sz w:val="22"/>
                <w:szCs w:val="22"/>
              </w:rPr>
            </w:pPr>
            <w:r>
              <w:rPr>
                <w:rFonts w:ascii="宋体"/>
                <w:w w:val="100"/>
                <w:sz w:val="22"/>
              </w:rPr>
              <w:t> </w:t>
            </w:r>
          </w:p>
        </w:tc>
        <w:tc>
          <w:tcPr>
            <w:tcW w:w="2366" w:type="dxa"/>
            <w:tcBorders>
              <w:top w:val="nil" w:sz="6" w:space="0" w:color="auto"/>
              <w:left w:val="nil" w:sz="6" w:space="0" w:color="auto"/>
              <w:bottom w:val="nil" w:sz="6" w:space="0" w:color="auto"/>
              <w:right w:val="nil" w:sz="6" w:space="0" w:color="auto"/>
            </w:tcBorders>
          </w:tcPr>
          <w:p>
            <w:pPr>
              <w:pStyle w:val="TableParagraph"/>
              <w:tabs>
                <w:tab w:pos="796" w:val="left" w:leader="none"/>
              </w:tabs>
              <w:spacing w:line="240" w:lineRule="auto" w:before="33"/>
              <w:ind w:right="31"/>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34,949,785,991</w:t>
            </w:r>
            <w:r>
              <w:rPr>
                <w:rFonts w:ascii="Arial"/>
                <w:sz w:val="22"/>
              </w:rPr>
            </w:r>
          </w:p>
        </w:tc>
        <w:tc>
          <w:tcPr>
            <w:tcW w:w="106" w:type="dxa"/>
            <w:tcBorders>
              <w:top w:val="nil" w:sz="6" w:space="0" w:color="auto"/>
              <w:left w:val="nil" w:sz="6" w:space="0" w:color="auto"/>
              <w:bottom w:val="nil" w:sz="6" w:space="0" w:color="auto"/>
              <w:right w:val="nil" w:sz="6" w:space="0" w:color="auto"/>
            </w:tcBorders>
          </w:tcPr>
          <w:p>
            <w:pPr/>
          </w:p>
        </w:tc>
        <w:tc>
          <w:tcPr>
            <w:tcW w:w="2390" w:type="dxa"/>
            <w:tcBorders>
              <w:top w:val="nil" w:sz="6" w:space="0" w:color="auto"/>
              <w:left w:val="nil" w:sz="6" w:space="0" w:color="auto"/>
              <w:bottom w:val="nil" w:sz="6" w:space="0" w:color="auto"/>
              <w:right w:val="nil" w:sz="6" w:space="0" w:color="auto"/>
            </w:tcBorders>
          </w:tcPr>
          <w:p>
            <w:pPr>
              <w:pStyle w:val="TableParagraph"/>
              <w:tabs>
                <w:tab w:pos="815" w:val="left" w:leader="none"/>
              </w:tabs>
              <w:spacing w:line="240" w:lineRule="auto" w:before="33"/>
              <w:ind w:right="36"/>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30,062,906,482</w:t>
            </w:r>
            <w:r>
              <w:rPr>
                <w:rFonts w:ascii="Arial"/>
                <w:sz w:val="22"/>
              </w:rPr>
            </w:r>
          </w:p>
        </w:tc>
      </w:tr>
      <w:tr>
        <w:trPr>
          <w:trHeight w:val="275" w:hRule="exact"/>
        </w:trPr>
        <w:tc>
          <w:tcPr>
            <w:tcW w:w="3673" w:type="dxa"/>
            <w:tcBorders>
              <w:top w:val="nil" w:sz="6" w:space="0" w:color="auto"/>
              <w:left w:val="nil" w:sz="6" w:space="0" w:color="auto"/>
              <w:bottom w:val="nil" w:sz="6" w:space="0" w:color="auto"/>
              <w:right w:val="nil" w:sz="6" w:space="0" w:color="auto"/>
            </w:tcBorders>
          </w:tcPr>
          <w:p>
            <w:pPr/>
          </w:p>
        </w:tc>
        <w:tc>
          <w:tcPr>
            <w:tcW w:w="5599" w:type="dxa"/>
            <w:gridSpan w:val="4"/>
            <w:tcBorders>
              <w:top w:val="nil" w:sz="6" w:space="0" w:color="auto"/>
              <w:left w:val="nil" w:sz="6" w:space="0" w:color="auto"/>
              <w:bottom w:val="nil" w:sz="6" w:space="0" w:color="auto"/>
              <w:right w:val="nil" w:sz="6" w:space="0" w:color="auto"/>
            </w:tcBorders>
          </w:tcPr>
          <w:p>
            <w:pPr>
              <w:pStyle w:val="TableParagraph"/>
              <w:spacing w:line="244" w:lineRule="exact"/>
              <w:ind w:left="501" w:right="0"/>
              <w:jc w:val="left"/>
              <w:rPr>
                <w:rFonts w:ascii="宋体" w:hAnsi="宋体" w:cs="宋体" w:eastAsia="宋体" w:hint="default"/>
                <w:sz w:val="22"/>
                <w:szCs w:val="22"/>
              </w:rPr>
            </w:pPr>
            <w:r>
              <w:rPr>
                <w:rFonts w:ascii="宋体"/>
                <w:w w:val="100"/>
                <w:sz w:val="22"/>
              </w:rPr>
              <w:t> </w:t>
            </w:r>
          </w:p>
        </w:tc>
      </w:tr>
      <w:tr>
        <w:trPr>
          <w:trHeight w:val="305" w:hRule="exact"/>
        </w:trPr>
        <w:tc>
          <w:tcPr>
            <w:tcW w:w="3673" w:type="dxa"/>
            <w:tcBorders>
              <w:top w:val="nil" w:sz="6" w:space="0" w:color="auto"/>
              <w:left w:val="nil" w:sz="6" w:space="0" w:color="auto"/>
              <w:bottom w:val="nil" w:sz="6" w:space="0" w:color="auto"/>
              <w:right w:val="nil" w:sz="6" w:space="0" w:color="auto"/>
            </w:tcBorders>
          </w:tcPr>
          <w:p>
            <w:pPr>
              <w:pStyle w:val="TableParagraph"/>
              <w:spacing w:line="268" w:lineRule="exact"/>
              <w:ind w:left="200" w:right="0"/>
              <w:jc w:val="left"/>
              <w:rPr>
                <w:rFonts w:ascii="宋体" w:hAnsi="宋体" w:cs="宋体" w:eastAsia="宋体" w:hint="default"/>
                <w:sz w:val="22"/>
                <w:szCs w:val="22"/>
              </w:rPr>
            </w:pPr>
            <w:r>
              <w:rPr>
                <w:rFonts w:ascii="Arial" w:hAnsi="Arial" w:cs="Arial" w:eastAsia="Arial" w:hint="default"/>
                <w:sz w:val="22"/>
                <w:szCs w:val="22"/>
              </w:rPr>
              <w:t>3</w:t>
            </w:r>
            <w:r>
              <w:rPr>
                <w:rFonts w:ascii="Arial" w:hAnsi="Arial" w:cs="Arial" w:eastAsia="Arial" w:hint="default"/>
                <w:spacing w:val="-1"/>
                <w:sz w:val="22"/>
                <w:szCs w:val="22"/>
              </w:rPr>
              <w:t> </w:t>
            </w:r>
            <w:r>
              <w:rPr>
                <w:rFonts w:ascii="宋体" w:hAnsi="宋体" w:cs="宋体" w:eastAsia="宋体" w:hint="default"/>
                <w:sz w:val="22"/>
                <w:szCs w:val="22"/>
              </w:rPr>
              <w:t>个月以上定期存款</w:t>
            </w:r>
          </w:p>
        </w:tc>
        <w:tc>
          <w:tcPr>
            <w:tcW w:w="737" w:type="dxa"/>
            <w:tcBorders>
              <w:top w:val="nil" w:sz="6" w:space="0" w:color="auto"/>
              <w:left w:val="nil" w:sz="6" w:space="0" w:color="auto"/>
              <w:bottom w:val="nil" w:sz="6" w:space="0" w:color="auto"/>
              <w:right w:val="nil" w:sz="6" w:space="0" w:color="auto"/>
            </w:tcBorders>
          </w:tcPr>
          <w:p>
            <w:pPr>
              <w:pStyle w:val="TableParagraph"/>
              <w:spacing w:line="252" w:lineRule="exact"/>
              <w:ind w:right="122"/>
              <w:jc w:val="right"/>
              <w:rPr>
                <w:rFonts w:ascii="宋体" w:hAnsi="宋体" w:cs="宋体" w:eastAsia="宋体" w:hint="default"/>
                <w:sz w:val="22"/>
                <w:szCs w:val="22"/>
              </w:rPr>
            </w:pPr>
            <w:r>
              <w:rPr>
                <w:rFonts w:ascii="宋体"/>
                <w:w w:val="100"/>
                <w:sz w:val="22"/>
              </w:rPr>
              <w:t> </w:t>
            </w:r>
          </w:p>
        </w:tc>
        <w:tc>
          <w:tcPr>
            <w:tcW w:w="2366" w:type="dxa"/>
            <w:tcBorders>
              <w:top w:val="nil" w:sz="6" w:space="0" w:color="auto"/>
              <w:left w:val="nil" w:sz="6" w:space="0" w:color="auto"/>
              <w:bottom w:val="nil" w:sz="6" w:space="0" w:color="auto"/>
              <w:right w:val="nil" w:sz="6" w:space="0" w:color="auto"/>
            </w:tcBorders>
          </w:tcPr>
          <w:p>
            <w:pPr>
              <w:pStyle w:val="TableParagraph"/>
              <w:tabs>
                <w:tab w:pos="2255" w:val="left" w:leader="none"/>
              </w:tabs>
              <w:spacing w:line="240" w:lineRule="auto" w:before="33"/>
              <w:ind w:right="34"/>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r>
            <w:r>
              <w:rPr>
                <w:rFonts w:ascii="Arial"/>
                <w:sz w:val="22"/>
              </w:rPr>
            </w:r>
          </w:p>
        </w:tc>
        <w:tc>
          <w:tcPr>
            <w:tcW w:w="106" w:type="dxa"/>
            <w:tcBorders>
              <w:top w:val="nil" w:sz="6" w:space="0" w:color="auto"/>
              <w:left w:val="nil" w:sz="6" w:space="0" w:color="auto"/>
              <w:bottom w:val="nil" w:sz="6" w:space="0" w:color="auto"/>
              <w:right w:val="nil" w:sz="6" w:space="0" w:color="auto"/>
            </w:tcBorders>
          </w:tcPr>
          <w:p>
            <w:pPr/>
          </w:p>
        </w:tc>
        <w:tc>
          <w:tcPr>
            <w:tcW w:w="2390" w:type="dxa"/>
            <w:tcBorders>
              <w:top w:val="nil" w:sz="6" w:space="0" w:color="auto"/>
              <w:left w:val="nil" w:sz="6" w:space="0" w:color="auto"/>
              <w:bottom w:val="nil" w:sz="6" w:space="0" w:color="auto"/>
              <w:right w:val="nil" w:sz="6" w:space="0" w:color="auto"/>
            </w:tcBorders>
          </w:tcPr>
          <w:p>
            <w:pPr>
              <w:pStyle w:val="TableParagraph"/>
              <w:tabs>
                <w:tab w:pos="1243" w:val="left" w:leader="none"/>
              </w:tabs>
              <w:spacing w:line="240" w:lineRule="auto" w:before="33"/>
              <w:ind w:right="4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34,022,050</w:t>
            </w:r>
            <w:r>
              <w:rPr>
                <w:rFonts w:ascii="Arial"/>
                <w:spacing w:val="-1"/>
                <w:sz w:val="22"/>
              </w:rPr>
            </w:r>
          </w:p>
        </w:tc>
      </w:tr>
      <w:tr>
        <w:trPr>
          <w:trHeight w:val="275" w:hRule="exact"/>
        </w:trPr>
        <w:tc>
          <w:tcPr>
            <w:tcW w:w="3673" w:type="dxa"/>
            <w:tcBorders>
              <w:top w:val="nil" w:sz="6" w:space="0" w:color="auto"/>
              <w:left w:val="nil" w:sz="6" w:space="0" w:color="auto"/>
              <w:bottom w:val="nil" w:sz="6" w:space="0" w:color="auto"/>
              <w:right w:val="nil" w:sz="6" w:space="0" w:color="auto"/>
            </w:tcBorders>
          </w:tcPr>
          <w:p>
            <w:pPr>
              <w:pStyle w:val="TableParagraph"/>
              <w:spacing w:line="244" w:lineRule="exact"/>
              <w:ind w:left="200" w:right="0"/>
              <w:jc w:val="left"/>
              <w:rPr>
                <w:rFonts w:ascii="宋体" w:hAnsi="宋体" w:cs="宋体" w:eastAsia="宋体" w:hint="default"/>
                <w:sz w:val="22"/>
                <w:szCs w:val="22"/>
              </w:rPr>
            </w:pPr>
            <w:r>
              <w:rPr>
                <w:rFonts w:ascii="宋体"/>
                <w:w w:val="100"/>
                <w:sz w:val="22"/>
              </w:rPr>
              <w:t> </w:t>
            </w:r>
          </w:p>
        </w:tc>
        <w:tc>
          <w:tcPr>
            <w:tcW w:w="5599" w:type="dxa"/>
            <w:gridSpan w:val="4"/>
            <w:tcBorders>
              <w:top w:val="nil" w:sz="6" w:space="0" w:color="auto"/>
              <w:left w:val="nil" w:sz="6" w:space="0" w:color="auto"/>
              <w:bottom w:val="nil" w:sz="6" w:space="0" w:color="auto"/>
              <w:right w:val="nil" w:sz="6" w:space="0" w:color="auto"/>
            </w:tcBorders>
          </w:tcPr>
          <w:p>
            <w:pPr>
              <w:pStyle w:val="TableParagraph"/>
              <w:spacing w:line="244" w:lineRule="exact"/>
              <w:ind w:left="501" w:right="0"/>
              <w:jc w:val="left"/>
              <w:rPr>
                <w:rFonts w:ascii="宋体" w:hAnsi="宋体" w:cs="宋体" w:eastAsia="宋体" w:hint="default"/>
                <w:sz w:val="22"/>
                <w:szCs w:val="22"/>
              </w:rPr>
            </w:pPr>
            <w:r>
              <w:rPr>
                <w:rFonts w:ascii="宋体"/>
                <w:w w:val="100"/>
                <w:sz w:val="22"/>
              </w:rPr>
              <w:t> </w:t>
            </w:r>
          </w:p>
        </w:tc>
      </w:tr>
      <w:tr>
        <w:trPr>
          <w:trHeight w:val="305" w:hRule="exact"/>
        </w:trPr>
        <w:tc>
          <w:tcPr>
            <w:tcW w:w="3673" w:type="dxa"/>
            <w:tcBorders>
              <w:top w:val="nil" w:sz="6" w:space="0" w:color="auto"/>
              <w:left w:val="nil" w:sz="6" w:space="0" w:color="auto"/>
              <w:bottom w:val="nil" w:sz="6" w:space="0" w:color="auto"/>
              <w:right w:val="nil" w:sz="6" w:space="0" w:color="auto"/>
            </w:tcBorders>
          </w:tcPr>
          <w:p>
            <w:pPr>
              <w:pStyle w:val="TableParagraph"/>
              <w:spacing w:line="252" w:lineRule="exact"/>
              <w:ind w:left="200" w:right="0"/>
              <w:jc w:val="left"/>
              <w:rPr>
                <w:rFonts w:ascii="宋体" w:hAnsi="宋体" w:cs="宋体" w:eastAsia="宋体" w:hint="default"/>
                <w:sz w:val="22"/>
                <w:szCs w:val="22"/>
              </w:rPr>
            </w:pPr>
            <w:r>
              <w:rPr>
                <w:rFonts w:ascii="宋体" w:hAnsi="宋体" w:cs="宋体" w:eastAsia="宋体" w:hint="default"/>
                <w:sz w:val="22"/>
                <w:szCs w:val="22"/>
              </w:rPr>
              <w:t>受到限制的银行存款</w:t>
            </w:r>
            <w:r>
              <w:rPr>
                <w:rFonts w:ascii="宋体" w:hAnsi="宋体" w:cs="宋体" w:eastAsia="宋体" w:hint="default"/>
                <w:sz w:val="22"/>
                <w:szCs w:val="22"/>
              </w:rPr>
              <w:t> </w:t>
            </w:r>
          </w:p>
        </w:tc>
        <w:tc>
          <w:tcPr>
            <w:tcW w:w="737" w:type="dxa"/>
            <w:tcBorders>
              <w:top w:val="nil" w:sz="6" w:space="0" w:color="auto"/>
              <w:left w:val="nil" w:sz="6" w:space="0" w:color="auto"/>
              <w:bottom w:val="nil" w:sz="6" w:space="0" w:color="auto"/>
              <w:right w:val="nil" w:sz="6" w:space="0" w:color="auto"/>
            </w:tcBorders>
          </w:tcPr>
          <w:p>
            <w:pPr>
              <w:pStyle w:val="TableParagraph"/>
              <w:spacing w:line="252" w:lineRule="exact"/>
              <w:ind w:right="122"/>
              <w:jc w:val="right"/>
              <w:rPr>
                <w:rFonts w:ascii="宋体" w:hAnsi="宋体" w:cs="宋体" w:eastAsia="宋体" w:hint="default"/>
                <w:sz w:val="22"/>
                <w:szCs w:val="22"/>
              </w:rPr>
            </w:pPr>
            <w:r>
              <w:rPr>
                <w:rFonts w:ascii="宋体"/>
                <w:w w:val="100"/>
                <w:sz w:val="22"/>
              </w:rPr>
              <w:t> </w:t>
            </w:r>
          </w:p>
        </w:tc>
        <w:tc>
          <w:tcPr>
            <w:tcW w:w="2366" w:type="dxa"/>
            <w:tcBorders>
              <w:top w:val="nil" w:sz="6" w:space="0" w:color="auto"/>
              <w:left w:val="nil" w:sz="6" w:space="0" w:color="auto"/>
              <w:bottom w:val="nil" w:sz="6" w:space="0" w:color="auto"/>
              <w:right w:val="nil" w:sz="6" w:space="0" w:color="auto"/>
            </w:tcBorders>
          </w:tcPr>
          <w:p>
            <w:pPr>
              <w:pStyle w:val="TableParagraph"/>
              <w:tabs>
                <w:tab w:pos="916" w:val="left" w:leader="none"/>
              </w:tabs>
              <w:spacing w:line="240" w:lineRule="auto" w:before="33"/>
              <w:ind w:right="38"/>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3,715,520,860</w:t>
            </w:r>
            <w:r>
              <w:rPr>
                <w:rFonts w:ascii="Arial"/>
                <w:spacing w:val="-1"/>
                <w:sz w:val="22"/>
              </w:rPr>
            </w:r>
          </w:p>
        </w:tc>
        <w:tc>
          <w:tcPr>
            <w:tcW w:w="106" w:type="dxa"/>
            <w:tcBorders>
              <w:top w:val="nil" w:sz="6" w:space="0" w:color="auto"/>
              <w:left w:val="nil" w:sz="6" w:space="0" w:color="auto"/>
              <w:bottom w:val="nil" w:sz="6" w:space="0" w:color="auto"/>
              <w:right w:val="nil" w:sz="6" w:space="0" w:color="auto"/>
            </w:tcBorders>
          </w:tcPr>
          <w:p>
            <w:pPr/>
          </w:p>
        </w:tc>
        <w:tc>
          <w:tcPr>
            <w:tcW w:w="2390" w:type="dxa"/>
            <w:tcBorders>
              <w:top w:val="nil" w:sz="6" w:space="0" w:color="auto"/>
              <w:left w:val="nil" w:sz="6" w:space="0" w:color="auto"/>
              <w:bottom w:val="nil" w:sz="6" w:space="0" w:color="auto"/>
              <w:right w:val="nil" w:sz="6" w:space="0" w:color="auto"/>
            </w:tcBorders>
          </w:tcPr>
          <w:p>
            <w:pPr>
              <w:pStyle w:val="TableParagraph"/>
              <w:tabs>
                <w:tab w:pos="940" w:val="left" w:leader="none"/>
              </w:tabs>
              <w:spacing w:line="240" w:lineRule="auto" w:before="33"/>
              <w:ind w:right="38"/>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3,686,423,502</w:t>
            </w:r>
            <w:r>
              <w:rPr>
                <w:rFonts w:ascii="Arial"/>
                <w:spacing w:val="-1"/>
                <w:sz w:val="22"/>
              </w:rPr>
            </w:r>
          </w:p>
        </w:tc>
      </w:tr>
      <w:tr>
        <w:trPr>
          <w:trHeight w:val="275" w:hRule="exact"/>
        </w:trPr>
        <w:tc>
          <w:tcPr>
            <w:tcW w:w="3673" w:type="dxa"/>
            <w:tcBorders>
              <w:top w:val="nil" w:sz="6" w:space="0" w:color="auto"/>
              <w:left w:val="nil" w:sz="6" w:space="0" w:color="auto"/>
              <w:bottom w:val="nil" w:sz="6" w:space="0" w:color="auto"/>
              <w:right w:val="nil" w:sz="6" w:space="0" w:color="auto"/>
            </w:tcBorders>
          </w:tcPr>
          <w:p>
            <w:pPr>
              <w:pStyle w:val="TableParagraph"/>
              <w:spacing w:line="244" w:lineRule="exact"/>
              <w:ind w:left="200" w:right="0"/>
              <w:jc w:val="left"/>
              <w:rPr>
                <w:rFonts w:ascii="宋体" w:hAnsi="宋体" w:cs="宋体" w:eastAsia="宋体" w:hint="default"/>
                <w:sz w:val="22"/>
                <w:szCs w:val="22"/>
              </w:rPr>
            </w:pPr>
            <w:r>
              <w:rPr>
                <w:rFonts w:ascii="宋体"/>
                <w:w w:val="100"/>
                <w:sz w:val="22"/>
              </w:rPr>
              <w:t> </w:t>
            </w:r>
          </w:p>
        </w:tc>
        <w:tc>
          <w:tcPr>
            <w:tcW w:w="5599" w:type="dxa"/>
            <w:gridSpan w:val="4"/>
            <w:tcBorders>
              <w:top w:val="nil" w:sz="6" w:space="0" w:color="auto"/>
              <w:left w:val="nil" w:sz="6" w:space="0" w:color="auto"/>
              <w:bottom w:val="nil" w:sz="6" w:space="0" w:color="auto"/>
              <w:right w:val="nil" w:sz="6" w:space="0" w:color="auto"/>
            </w:tcBorders>
          </w:tcPr>
          <w:p>
            <w:pPr>
              <w:pStyle w:val="TableParagraph"/>
              <w:spacing w:line="244" w:lineRule="exact"/>
              <w:ind w:left="501" w:right="0"/>
              <w:jc w:val="left"/>
              <w:rPr>
                <w:rFonts w:ascii="宋体" w:hAnsi="宋体" w:cs="宋体" w:eastAsia="宋体" w:hint="default"/>
                <w:sz w:val="22"/>
                <w:szCs w:val="22"/>
              </w:rPr>
            </w:pPr>
            <w:r>
              <w:rPr>
                <w:rFonts w:ascii="宋体"/>
                <w:w w:val="100"/>
                <w:sz w:val="22"/>
              </w:rPr>
              <w:t> </w:t>
            </w:r>
          </w:p>
        </w:tc>
      </w:tr>
      <w:tr>
        <w:trPr>
          <w:trHeight w:val="310" w:hRule="exact"/>
        </w:trPr>
        <w:tc>
          <w:tcPr>
            <w:tcW w:w="3673" w:type="dxa"/>
            <w:tcBorders>
              <w:top w:val="nil" w:sz="6" w:space="0" w:color="auto"/>
              <w:left w:val="nil" w:sz="6" w:space="0" w:color="auto"/>
              <w:bottom w:val="nil" w:sz="6" w:space="0" w:color="auto"/>
              <w:right w:val="nil" w:sz="6" w:space="0" w:color="auto"/>
            </w:tcBorders>
          </w:tcPr>
          <w:p>
            <w:pPr>
              <w:pStyle w:val="TableParagraph"/>
              <w:spacing w:line="252" w:lineRule="exact"/>
              <w:ind w:left="200" w:right="0"/>
              <w:jc w:val="left"/>
              <w:rPr>
                <w:rFonts w:ascii="宋体" w:hAnsi="宋体" w:cs="宋体" w:eastAsia="宋体" w:hint="default"/>
                <w:sz w:val="22"/>
                <w:szCs w:val="22"/>
              </w:rPr>
            </w:pPr>
            <w:r>
              <w:rPr>
                <w:rFonts w:ascii="宋体" w:hAnsi="宋体" w:cs="宋体" w:eastAsia="宋体" w:hint="default"/>
                <w:sz w:val="22"/>
                <w:szCs w:val="22"/>
              </w:rPr>
              <w:t>合计</w:t>
            </w:r>
            <w:r>
              <w:rPr>
                <w:rFonts w:ascii="宋体" w:hAnsi="宋体" w:cs="宋体" w:eastAsia="宋体" w:hint="default"/>
                <w:sz w:val="22"/>
                <w:szCs w:val="22"/>
              </w:rPr>
              <w:t> </w:t>
            </w:r>
          </w:p>
        </w:tc>
        <w:tc>
          <w:tcPr>
            <w:tcW w:w="737" w:type="dxa"/>
            <w:tcBorders>
              <w:top w:val="nil" w:sz="6" w:space="0" w:color="auto"/>
              <w:left w:val="nil" w:sz="6" w:space="0" w:color="auto"/>
              <w:bottom w:val="nil" w:sz="6" w:space="0" w:color="auto"/>
              <w:right w:val="nil" w:sz="6" w:space="0" w:color="auto"/>
            </w:tcBorders>
          </w:tcPr>
          <w:p>
            <w:pPr>
              <w:pStyle w:val="TableParagraph"/>
              <w:spacing w:line="252" w:lineRule="exact"/>
              <w:ind w:right="122"/>
              <w:jc w:val="right"/>
              <w:rPr>
                <w:rFonts w:ascii="宋体" w:hAnsi="宋体" w:cs="宋体" w:eastAsia="宋体" w:hint="default"/>
                <w:sz w:val="22"/>
                <w:szCs w:val="22"/>
              </w:rPr>
            </w:pPr>
            <w:r>
              <w:rPr>
                <w:rFonts w:ascii="宋体"/>
                <w:w w:val="100"/>
                <w:sz w:val="22"/>
              </w:rPr>
              <w:t> </w:t>
            </w:r>
          </w:p>
        </w:tc>
        <w:tc>
          <w:tcPr>
            <w:tcW w:w="2366"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31"/>
              <w:jc w:val="right"/>
              <w:rPr>
                <w:rFonts w:ascii="Arial" w:hAnsi="Arial" w:cs="Arial" w:eastAsia="Arial" w:hint="default"/>
                <w:sz w:val="22"/>
                <w:szCs w:val="22"/>
              </w:rPr>
            </w:pPr>
            <w:r>
              <w:rPr>
                <w:rFonts w:ascii="Arial"/>
                <w:sz w:val="22"/>
              </w:rPr>
              <w:t>38,665,306,851</w:t>
            </w:r>
          </w:p>
        </w:tc>
        <w:tc>
          <w:tcPr>
            <w:tcW w:w="106" w:type="dxa"/>
            <w:tcBorders>
              <w:top w:val="nil" w:sz="6" w:space="0" w:color="auto"/>
              <w:left w:val="nil" w:sz="6" w:space="0" w:color="auto"/>
              <w:bottom w:val="nil" w:sz="6" w:space="0" w:color="auto"/>
              <w:right w:val="nil" w:sz="6" w:space="0" w:color="auto"/>
            </w:tcBorders>
          </w:tcPr>
          <w:p>
            <w:pPr/>
          </w:p>
        </w:tc>
        <w:tc>
          <w:tcPr>
            <w:tcW w:w="2390"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36"/>
              <w:jc w:val="right"/>
              <w:rPr>
                <w:rFonts w:ascii="Arial" w:hAnsi="Arial" w:cs="Arial" w:eastAsia="Arial" w:hint="default"/>
                <w:sz w:val="22"/>
                <w:szCs w:val="22"/>
              </w:rPr>
            </w:pPr>
            <w:r>
              <w:rPr>
                <w:rFonts w:ascii="Arial"/>
                <w:sz w:val="22"/>
              </w:rPr>
              <w:t>33,783,352,034</w:t>
            </w:r>
          </w:p>
        </w:tc>
      </w:tr>
      <w:tr>
        <w:trPr>
          <w:trHeight w:val="307" w:hRule="exact"/>
        </w:trPr>
        <w:tc>
          <w:tcPr>
            <w:tcW w:w="3673" w:type="dxa"/>
            <w:tcBorders>
              <w:top w:val="nil" w:sz="6" w:space="0" w:color="auto"/>
              <w:left w:val="nil" w:sz="6" w:space="0" w:color="auto"/>
              <w:bottom w:val="nil" w:sz="6" w:space="0" w:color="auto"/>
              <w:right w:val="nil" w:sz="6" w:space="0" w:color="auto"/>
            </w:tcBorders>
          </w:tcPr>
          <w:p>
            <w:pPr>
              <w:pStyle w:val="TableParagraph"/>
              <w:spacing w:line="273" w:lineRule="exact"/>
              <w:ind w:left="200" w:right="0"/>
              <w:jc w:val="left"/>
              <w:rPr>
                <w:rFonts w:ascii="宋体" w:hAnsi="宋体" w:cs="宋体" w:eastAsia="宋体" w:hint="default"/>
                <w:sz w:val="22"/>
                <w:szCs w:val="22"/>
              </w:rPr>
            </w:pPr>
            <w:r>
              <w:rPr>
                <w:rFonts w:ascii="宋体"/>
                <w:w w:val="100"/>
                <w:sz w:val="22"/>
              </w:rPr>
              <w:t> </w:t>
            </w:r>
          </w:p>
        </w:tc>
        <w:tc>
          <w:tcPr>
            <w:tcW w:w="737" w:type="dxa"/>
            <w:tcBorders>
              <w:top w:val="nil" w:sz="6" w:space="0" w:color="auto"/>
              <w:left w:val="nil" w:sz="6" w:space="0" w:color="auto"/>
              <w:bottom w:val="nil" w:sz="6" w:space="0" w:color="auto"/>
              <w:right w:val="nil" w:sz="6" w:space="0" w:color="auto"/>
            </w:tcBorders>
          </w:tcPr>
          <w:p>
            <w:pPr>
              <w:pStyle w:val="TableParagraph"/>
              <w:spacing w:line="273" w:lineRule="exact"/>
              <w:ind w:right="122"/>
              <w:jc w:val="right"/>
              <w:rPr>
                <w:rFonts w:ascii="宋体" w:hAnsi="宋体" w:cs="宋体" w:eastAsia="宋体" w:hint="default"/>
                <w:sz w:val="22"/>
                <w:szCs w:val="22"/>
              </w:rPr>
            </w:pPr>
            <w:r>
              <w:rPr>
                <w:rFonts w:ascii="宋体"/>
                <w:w w:val="100"/>
                <w:sz w:val="22"/>
              </w:rPr>
              <w:t> </w:t>
            </w:r>
          </w:p>
        </w:tc>
        <w:tc>
          <w:tcPr>
            <w:tcW w:w="2366" w:type="dxa"/>
            <w:tcBorders>
              <w:top w:val="single" w:sz="17" w:space="0" w:color="000000"/>
              <w:left w:val="nil" w:sz="6" w:space="0" w:color="auto"/>
              <w:bottom w:val="nil" w:sz="6" w:space="0" w:color="auto"/>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
        </w:tc>
        <w:tc>
          <w:tcPr>
            <w:tcW w:w="2390" w:type="dxa"/>
            <w:tcBorders>
              <w:top w:val="single" w:sz="17" w:space="0" w:color="000000"/>
              <w:left w:val="nil" w:sz="6" w:space="0" w:color="auto"/>
              <w:bottom w:val="nil" w:sz="6" w:space="0" w:color="auto"/>
              <w:right w:val="nil" w:sz="6" w:space="0" w:color="auto"/>
            </w:tcBorders>
          </w:tcPr>
          <w:p>
            <w:pPr/>
          </w:p>
        </w:tc>
      </w:tr>
      <w:tr>
        <w:trPr>
          <w:trHeight w:val="280" w:hRule="exact"/>
        </w:trPr>
        <w:tc>
          <w:tcPr>
            <w:tcW w:w="3673" w:type="dxa"/>
            <w:tcBorders>
              <w:top w:val="nil" w:sz="6" w:space="0" w:color="auto"/>
              <w:left w:val="nil" w:sz="6" w:space="0" w:color="auto"/>
              <w:bottom w:val="nil" w:sz="6" w:space="0" w:color="auto"/>
              <w:right w:val="nil" w:sz="6" w:space="0" w:color="auto"/>
            </w:tcBorders>
          </w:tcPr>
          <w:p>
            <w:pPr>
              <w:pStyle w:val="TableParagraph"/>
              <w:spacing w:line="254" w:lineRule="exact"/>
              <w:ind w:left="200" w:right="0"/>
              <w:jc w:val="left"/>
              <w:rPr>
                <w:rFonts w:ascii="宋体" w:hAnsi="宋体" w:cs="宋体" w:eastAsia="宋体" w:hint="default"/>
                <w:sz w:val="22"/>
                <w:szCs w:val="22"/>
              </w:rPr>
            </w:pPr>
            <w:r>
              <w:rPr>
                <w:rFonts w:ascii="宋体" w:hAnsi="宋体" w:cs="宋体" w:eastAsia="宋体" w:hint="default"/>
                <w:sz w:val="22"/>
                <w:szCs w:val="22"/>
              </w:rPr>
              <w:t>其中：存放在境外的款项总额</w:t>
            </w:r>
            <w:r>
              <w:rPr>
                <w:rFonts w:ascii="宋体" w:hAnsi="宋体" w:cs="宋体" w:eastAsia="宋体" w:hint="default"/>
                <w:sz w:val="22"/>
                <w:szCs w:val="22"/>
              </w:rPr>
              <w:t> </w:t>
            </w:r>
          </w:p>
        </w:tc>
        <w:tc>
          <w:tcPr>
            <w:tcW w:w="737" w:type="dxa"/>
            <w:tcBorders>
              <w:top w:val="nil" w:sz="6" w:space="0" w:color="auto"/>
              <w:left w:val="nil" w:sz="6" w:space="0" w:color="auto"/>
              <w:bottom w:val="nil" w:sz="6" w:space="0" w:color="auto"/>
              <w:right w:val="nil" w:sz="6" w:space="0" w:color="auto"/>
            </w:tcBorders>
          </w:tcPr>
          <w:p>
            <w:pPr>
              <w:pStyle w:val="TableParagraph"/>
              <w:spacing w:line="254" w:lineRule="exact"/>
              <w:ind w:right="122"/>
              <w:jc w:val="right"/>
              <w:rPr>
                <w:rFonts w:ascii="宋体" w:hAnsi="宋体" w:cs="宋体" w:eastAsia="宋体" w:hint="default"/>
                <w:sz w:val="22"/>
                <w:szCs w:val="22"/>
              </w:rPr>
            </w:pPr>
            <w:r>
              <w:rPr>
                <w:rFonts w:ascii="宋体"/>
                <w:w w:val="100"/>
                <w:sz w:val="22"/>
              </w:rPr>
              <w:t> </w:t>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3"/>
              <w:jc w:val="right"/>
              <w:rPr>
                <w:rFonts w:ascii="Arial" w:hAnsi="Arial" w:cs="Arial" w:eastAsia="Arial" w:hint="default"/>
                <w:sz w:val="22"/>
                <w:szCs w:val="22"/>
              </w:rPr>
            </w:pPr>
            <w:r>
              <w:rPr>
                <w:rFonts w:ascii="Arial"/>
                <w:spacing w:val="-1"/>
                <w:sz w:val="22"/>
              </w:rPr>
              <w:t>1,728,307,939</w:t>
            </w:r>
          </w:p>
        </w:tc>
        <w:tc>
          <w:tcPr>
            <w:tcW w:w="106" w:type="dxa"/>
            <w:tcBorders>
              <w:top w:val="nil" w:sz="6" w:space="0" w:color="auto"/>
              <w:left w:val="nil" w:sz="6" w:space="0" w:color="auto"/>
              <w:bottom w:val="nil" w:sz="6" w:space="0" w:color="auto"/>
              <w:right w:val="nil" w:sz="6" w:space="0" w:color="auto"/>
            </w:tcBorders>
          </w:tcPr>
          <w:p>
            <w:pPr/>
          </w:p>
        </w:tc>
        <w:tc>
          <w:tcPr>
            <w:tcW w:w="239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8"/>
              <w:jc w:val="right"/>
              <w:rPr>
                <w:rFonts w:ascii="Arial" w:hAnsi="Arial" w:cs="Arial" w:eastAsia="Arial" w:hint="default"/>
                <w:sz w:val="22"/>
                <w:szCs w:val="22"/>
              </w:rPr>
            </w:pPr>
            <w:r>
              <w:rPr>
                <w:rFonts w:ascii="Arial"/>
                <w:spacing w:val="-1"/>
                <w:sz w:val="22"/>
              </w:rPr>
              <w:t>2,062,259,579</w:t>
            </w:r>
          </w:p>
        </w:tc>
      </w:tr>
    </w:tbl>
    <w:p>
      <w:pPr>
        <w:spacing w:line="240" w:lineRule="auto" w:before="8"/>
        <w:rPr>
          <w:rFonts w:ascii="宋体" w:hAnsi="宋体" w:cs="宋体" w:eastAsia="宋体" w:hint="default"/>
          <w:sz w:val="14"/>
          <w:szCs w:val="14"/>
        </w:rPr>
      </w:pPr>
    </w:p>
    <w:p>
      <w:pPr>
        <w:pStyle w:val="BodyText"/>
        <w:spacing w:line="293" w:lineRule="exact" w:before="32"/>
        <w:ind w:left="560" w:right="104"/>
        <w:jc w:val="left"/>
      </w:pPr>
      <w:r>
        <w:rPr/>
        <w:t>于</w:t>
      </w:r>
      <w:r>
        <w:rPr>
          <w:spacing w:val="-53"/>
        </w:rPr>
        <w:t> </w:t>
      </w:r>
      <w:r>
        <w:rPr>
          <w:rFonts w:ascii="Arial" w:hAnsi="Arial" w:cs="Arial" w:eastAsia="Arial" w:hint="default"/>
        </w:rPr>
        <w:t>2019</w:t>
      </w:r>
      <w:r>
        <w:rPr>
          <w:rFonts w:ascii="Arial" w:hAnsi="Arial" w:cs="Arial" w:eastAsia="Arial" w:hint="default"/>
          <w:spacing w:val="-2"/>
        </w:rPr>
        <w:t> </w:t>
      </w:r>
      <w:r>
        <w:rPr/>
        <w:t>年</w:t>
      </w:r>
      <w:r>
        <w:rPr>
          <w:spacing w:val="-53"/>
        </w:rPr>
        <w:t> </w:t>
      </w:r>
      <w:r>
        <w:rPr>
          <w:rFonts w:ascii="Arial" w:hAnsi="Arial" w:cs="Arial" w:eastAsia="Arial" w:hint="default"/>
        </w:rPr>
        <w:t>12</w:t>
      </w:r>
      <w:r>
        <w:rPr>
          <w:rFonts w:ascii="Arial" w:hAnsi="Arial" w:cs="Arial" w:eastAsia="Arial" w:hint="default"/>
          <w:spacing w:val="-2"/>
        </w:rPr>
        <w:t> </w:t>
      </w:r>
      <w:r>
        <w:rPr/>
        <w:t>月</w:t>
      </w:r>
      <w:r>
        <w:rPr>
          <w:spacing w:val="-53"/>
        </w:rPr>
        <w:t> </w:t>
      </w:r>
      <w:r>
        <w:rPr>
          <w:rFonts w:ascii="Arial" w:hAnsi="Arial" w:cs="Arial" w:eastAsia="Arial" w:hint="default"/>
        </w:rPr>
        <w:t>31</w:t>
      </w:r>
      <w:r>
        <w:rPr>
          <w:rFonts w:ascii="Arial" w:hAnsi="Arial" w:cs="Arial" w:eastAsia="Arial" w:hint="default"/>
          <w:spacing w:val="-2"/>
        </w:rPr>
        <w:t> </w:t>
      </w:r>
      <w:r>
        <w:rPr/>
        <w:t>日，本集团受限制的银行存款约人民币</w:t>
      </w:r>
      <w:r>
        <w:rPr>
          <w:spacing w:val="-53"/>
        </w:rPr>
        <w:t> </w:t>
      </w:r>
      <w:r>
        <w:rPr>
          <w:rFonts w:ascii="Arial" w:hAnsi="Arial" w:cs="Arial" w:eastAsia="Arial" w:hint="default"/>
        </w:rPr>
        <w:t>37.16</w:t>
      </w:r>
      <w:r>
        <w:rPr>
          <w:rFonts w:ascii="Arial" w:hAnsi="Arial" w:cs="Arial" w:eastAsia="Arial" w:hint="default"/>
          <w:spacing w:val="-2"/>
        </w:rPr>
        <w:t> </w:t>
      </w:r>
      <w:r>
        <w:rPr/>
        <w:t>亿元（</w:t>
      </w:r>
      <w:r>
        <w:rPr>
          <w:rFonts w:ascii="Arial" w:hAnsi="Arial" w:cs="Arial" w:eastAsia="Arial" w:hint="default"/>
        </w:rPr>
        <w:t>2018</w:t>
      </w:r>
      <w:r>
        <w:rPr>
          <w:rFonts w:ascii="Arial" w:hAnsi="Arial" w:cs="Arial" w:eastAsia="Arial" w:hint="default"/>
          <w:spacing w:val="-2"/>
        </w:rPr>
        <w:t> </w:t>
      </w:r>
      <w:r>
        <w:rPr/>
        <w:t>年</w:t>
      </w:r>
      <w:r>
        <w:rPr>
          <w:spacing w:val="-53"/>
        </w:rPr>
        <w:t> </w:t>
      </w:r>
      <w:r>
        <w:rPr>
          <w:rFonts w:ascii="Arial" w:hAnsi="Arial" w:cs="Arial" w:eastAsia="Arial" w:hint="default"/>
        </w:rPr>
        <w:t>12</w:t>
      </w:r>
      <w:r>
        <w:rPr>
          <w:rFonts w:ascii="Arial" w:hAnsi="Arial" w:cs="Arial" w:eastAsia="Arial" w:hint="default"/>
          <w:spacing w:val="-2"/>
        </w:rPr>
        <w:t> </w:t>
      </w:r>
      <w:r>
        <w:rPr/>
        <w:t>月</w:t>
      </w:r>
      <w:r>
        <w:rPr>
          <w:spacing w:val="-53"/>
        </w:rPr>
        <w:t> </w:t>
      </w:r>
      <w:r>
        <w:rPr>
          <w:rFonts w:ascii="Arial" w:hAnsi="Arial" w:cs="Arial" w:eastAsia="Arial" w:hint="default"/>
        </w:rPr>
        <w:t>31</w:t>
      </w:r>
      <w:r>
        <w:rPr>
          <w:rFonts w:ascii="Arial" w:hAnsi="Arial" w:cs="Arial" w:eastAsia="Arial" w:hint="default"/>
          <w:spacing w:val="-7"/>
        </w:rPr>
        <w:t> </w:t>
      </w:r>
      <w:r>
        <w:rPr/>
        <w:t>日：</w:t>
      </w:r>
    </w:p>
    <w:p>
      <w:pPr>
        <w:pStyle w:val="BodyText"/>
        <w:spacing w:line="286" w:lineRule="exact"/>
        <w:ind w:left="560" w:right="104"/>
        <w:jc w:val="left"/>
      </w:pPr>
      <w:r>
        <w:rPr/>
        <w:t>约人民币 </w:t>
      </w:r>
      <w:r>
        <w:rPr>
          <w:rFonts w:ascii="Arial" w:hAnsi="Arial" w:cs="Arial" w:eastAsia="Arial" w:hint="default"/>
        </w:rPr>
        <w:t>36.86</w:t>
      </w:r>
      <w:r>
        <w:rPr>
          <w:rFonts w:ascii="Arial" w:hAnsi="Arial" w:cs="Arial" w:eastAsia="Arial" w:hint="default"/>
          <w:spacing w:val="-24"/>
        </w:rPr>
        <w:t> </w:t>
      </w:r>
      <w:r>
        <w:rPr>
          <w:spacing w:val="-5"/>
        </w:rPr>
        <w:t>亿元），主要包括本集团子公司联通集团财务有限公司（“财务公司”）存放中</w:t>
      </w:r>
    </w:p>
    <w:p>
      <w:pPr>
        <w:pStyle w:val="BodyText"/>
        <w:spacing w:line="286" w:lineRule="exact"/>
        <w:ind w:left="560" w:right="104"/>
        <w:jc w:val="left"/>
        <w:rPr>
          <w:rFonts w:ascii="Arial" w:hAnsi="Arial" w:cs="Arial" w:eastAsia="Arial" w:hint="default"/>
        </w:rPr>
      </w:pPr>
      <w:r>
        <w:rPr/>
        <w:t>央银行法定准备金约人民币 </w:t>
      </w:r>
      <w:r>
        <w:rPr>
          <w:rFonts w:ascii="Arial" w:hAnsi="Arial" w:cs="Arial" w:eastAsia="Arial" w:hint="default"/>
        </w:rPr>
        <w:t>32.28 </w:t>
      </w:r>
      <w:r>
        <w:rPr/>
        <w:t>亿元、支付公司提供支付业务收取的用户备付金人民币</w:t>
      </w:r>
      <w:r>
        <w:rPr>
          <w:spacing w:val="-87"/>
        </w:rPr>
        <w:t> </w:t>
      </w:r>
      <w:r>
        <w:rPr>
          <w:rFonts w:ascii="Arial" w:hAnsi="Arial" w:cs="Arial" w:eastAsia="Arial" w:hint="default"/>
        </w:rPr>
        <w:t>4.32</w:t>
      </w:r>
    </w:p>
    <w:p>
      <w:pPr>
        <w:pStyle w:val="BodyText"/>
        <w:spacing w:line="278" w:lineRule="exact"/>
        <w:ind w:left="560" w:right="104"/>
        <w:jc w:val="left"/>
      </w:pPr>
      <w:r>
        <w:rPr/>
        <w:t>亿元和个别子公司用于物业及工程的保证金。</w:t>
      </w:r>
    </w:p>
    <w:p>
      <w:pPr>
        <w:spacing w:line="240" w:lineRule="auto" w:before="1"/>
        <w:rPr>
          <w:rFonts w:ascii="宋体" w:hAnsi="宋体" w:cs="宋体" w:eastAsia="宋体" w:hint="default"/>
          <w:sz w:val="19"/>
          <w:szCs w:val="19"/>
        </w:rPr>
      </w:pPr>
    </w:p>
    <w:p>
      <w:pPr>
        <w:pStyle w:val="BodyText"/>
        <w:spacing w:line="240" w:lineRule="auto"/>
        <w:ind w:left="560" w:right="104"/>
        <w:jc w:val="left"/>
      </w:pPr>
      <w:r>
        <w:rPr/>
        <w:t>于</w:t>
      </w:r>
      <w:r>
        <w:rPr>
          <w:spacing w:val="-56"/>
        </w:rPr>
        <w:t> </w:t>
      </w:r>
      <w:r>
        <w:rPr>
          <w:rFonts w:ascii="Arial" w:hAnsi="Arial" w:cs="Arial" w:eastAsia="Arial" w:hint="default"/>
        </w:rPr>
        <w:t>2019</w:t>
      </w:r>
      <w:r>
        <w:rPr>
          <w:rFonts w:ascii="Arial" w:hAnsi="Arial" w:cs="Arial" w:eastAsia="Arial" w:hint="default"/>
          <w:spacing w:val="-5"/>
        </w:rPr>
        <w:t> </w:t>
      </w:r>
      <w:r>
        <w:rPr/>
        <w:t>年</w:t>
      </w:r>
      <w:r>
        <w:rPr>
          <w:spacing w:val="-61"/>
        </w:rPr>
        <w:t> </w:t>
      </w:r>
      <w:r>
        <w:rPr>
          <w:rFonts w:ascii="Arial" w:hAnsi="Arial" w:cs="Arial" w:eastAsia="Arial" w:hint="default"/>
        </w:rPr>
        <w:t>12</w:t>
      </w:r>
      <w:r>
        <w:rPr>
          <w:rFonts w:ascii="Arial" w:hAnsi="Arial" w:cs="Arial" w:eastAsia="Arial" w:hint="default"/>
          <w:spacing w:val="-5"/>
        </w:rPr>
        <w:t> </w:t>
      </w:r>
      <w:r>
        <w:rPr/>
        <w:t>月</w:t>
      </w:r>
      <w:r>
        <w:rPr>
          <w:spacing w:val="-56"/>
        </w:rPr>
        <w:t> </w:t>
      </w:r>
      <w:r>
        <w:rPr>
          <w:rFonts w:ascii="Arial" w:hAnsi="Arial" w:cs="Arial" w:eastAsia="Arial" w:hint="default"/>
        </w:rPr>
        <w:t>31</w:t>
      </w:r>
      <w:r>
        <w:rPr>
          <w:rFonts w:ascii="Arial" w:hAnsi="Arial" w:cs="Arial" w:eastAsia="Arial" w:hint="default"/>
          <w:spacing w:val="-5"/>
        </w:rPr>
        <w:t> </w:t>
      </w:r>
      <w:r>
        <w:rPr/>
        <w:t>日，本集团存放在境外的资金均无汇回限制。</w:t>
      </w:r>
    </w:p>
    <w:p>
      <w:pPr>
        <w:spacing w:line="240" w:lineRule="auto" w:before="11"/>
        <w:rPr>
          <w:rFonts w:ascii="宋体" w:hAnsi="宋体" w:cs="宋体" w:eastAsia="宋体" w:hint="default"/>
          <w:sz w:val="17"/>
          <w:szCs w:val="17"/>
        </w:rPr>
      </w:pPr>
    </w:p>
    <w:p>
      <w:pPr>
        <w:pStyle w:val="BodyText"/>
        <w:spacing w:line="240" w:lineRule="auto"/>
        <w:ind w:left="113" w:right="104"/>
        <w:jc w:val="left"/>
        <w:rPr>
          <w:rFonts w:ascii="宋体" w:hAnsi="宋体" w:cs="宋体" w:eastAsia="宋体" w:hint="default"/>
        </w:rPr>
      </w:pPr>
      <w:r>
        <w:rPr>
          <w:rFonts w:ascii="Arial" w:hAnsi="Arial" w:cs="Arial" w:eastAsia="Arial" w:hint="default"/>
        </w:rPr>
        <w:t>2</w:t>
      </w:r>
      <w:r>
        <w:rPr/>
        <w:t>、</w:t>
      </w:r>
      <w:r>
        <w:rPr>
          <w:spacing w:val="-35"/>
        </w:rPr>
        <w:t> </w:t>
      </w:r>
      <w:r>
        <w:rPr/>
        <w:t>交易性金融资产</w:t>
      </w:r>
      <w:r>
        <w:rPr>
          <w:rFonts w:ascii="宋体" w:hAnsi="宋体" w:cs="宋体" w:eastAsia="宋体" w:hint="default"/>
        </w:rPr>
        <w:t> </w:t>
      </w:r>
    </w:p>
    <w:p>
      <w:pPr>
        <w:spacing w:line="240" w:lineRule="auto" w:before="11"/>
        <w:rPr>
          <w:rFonts w:ascii="宋体" w:hAnsi="宋体" w:cs="宋体" w:eastAsia="宋体" w:hint="default"/>
          <w:sz w:val="27"/>
          <w:szCs w:val="27"/>
        </w:rPr>
      </w:pPr>
    </w:p>
    <w:tbl>
      <w:tblPr>
        <w:tblW w:w="0" w:type="auto"/>
        <w:jc w:val="left"/>
        <w:tblInd w:w="360" w:type="dxa"/>
        <w:tblLayout w:type="fixed"/>
        <w:tblCellMar>
          <w:top w:w="0" w:type="dxa"/>
          <w:left w:w="0" w:type="dxa"/>
          <w:bottom w:w="0" w:type="dxa"/>
          <w:right w:w="0" w:type="dxa"/>
        </w:tblCellMar>
        <w:tblLook w:val="01E0"/>
      </w:tblPr>
      <w:tblGrid>
        <w:gridCol w:w="4434"/>
        <w:gridCol w:w="2410"/>
        <w:gridCol w:w="283"/>
        <w:gridCol w:w="2170"/>
      </w:tblGrid>
      <w:tr>
        <w:trPr>
          <w:trHeight w:val="259" w:hRule="exact"/>
        </w:trPr>
        <w:tc>
          <w:tcPr>
            <w:tcW w:w="4434"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single" w:sz="6" w:space="0" w:color="000000"/>
              <w:right w:val="nil" w:sz="6" w:space="0" w:color="auto"/>
            </w:tcBorders>
          </w:tcPr>
          <w:p>
            <w:pPr>
              <w:pStyle w:val="TableParagraph"/>
              <w:spacing w:line="236" w:lineRule="exact"/>
              <w:ind w:right="0"/>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283" w:type="dxa"/>
            <w:tcBorders>
              <w:top w:val="nil" w:sz="6" w:space="0" w:color="auto"/>
              <w:left w:val="nil" w:sz="6" w:space="0" w:color="auto"/>
              <w:bottom w:val="nil" w:sz="6" w:space="0" w:color="auto"/>
              <w:right w:val="nil" w:sz="6" w:space="0" w:color="auto"/>
            </w:tcBorders>
          </w:tcPr>
          <w:p>
            <w:pPr/>
          </w:p>
        </w:tc>
        <w:tc>
          <w:tcPr>
            <w:tcW w:w="2170" w:type="dxa"/>
            <w:tcBorders>
              <w:top w:val="nil" w:sz="6" w:space="0" w:color="auto"/>
              <w:left w:val="nil" w:sz="6" w:space="0" w:color="auto"/>
              <w:bottom w:val="single" w:sz="6" w:space="0" w:color="000000"/>
              <w:right w:val="nil" w:sz="6" w:space="0" w:color="auto"/>
            </w:tcBorders>
          </w:tcPr>
          <w:p>
            <w:pPr>
              <w:pStyle w:val="TableParagraph"/>
              <w:spacing w:line="236" w:lineRule="exact"/>
              <w:ind w:right="0"/>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578" w:hRule="exact"/>
        </w:trPr>
        <w:tc>
          <w:tcPr>
            <w:tcW w:w="9296" w:type="dxa"/>
            <w:gridSpan w:val="4"/>
            <w:tcBorders>
              <w:top w:val="nil" w:sz="6" w:space="0" w:color="auto"/>
              <w:left w:val="nil" w:sz="6" w:space="0" w:color="auto"/>
              <w:bottom w:val="nil" w:sz="6" w:space="0" w:color="auto"/>
              <w:right w:val="nil" w:sz="6" w:space="0" w:color="auto"/>
            </w:tcBorders>
          </w:tcPr>
          <w:p>
            <w:pPr>
              <w:pStyle w:val="TableParagraph"/>
              <w:spacing w:line="259" w:lineRule="exact"/>
              <w:ind w:left="200" w:right="0"/>
              <w:jc w:val="left"/>
              <w:rPr>
                <w:rFonts w:ascii="宋体" w:hAnsi="宋体" w:cs="宋体" w:eastAsia="宋体" w:hint="default"/>
                <w:sz w:val="22"/>
                <w:szCs w:val="22"/>
              </w:rPr>
            </w:pPr>
            <w:r>
              <w:rPr>
                <w:rFonts w:ascii="宋体" w:hAnsi="宋体" w:cs="宋体" w:eastAsia="宋体" w:hint="default"/>
                <w:sz w:val="22"/>
                <w:szCs w:val="22"/>
              </w:rPr>
              <w:t>以公允价值计量且其变动计入当期损益的</w:t>
            </w:r>
            <w:r>
              <w:rPr>
                <w:rFonts w:ascii="宋体" w:hAnsi="宋体" w:cs="宋体" w:eastAsia="宋体" w:hint="default"/>
                <w:sz w:val="22"/>
                <w:szCs w:val="22"/>
              </w:rPr>
              <w:t> </w:t>
            </w: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金融资产</w:t>
            </w:r>
          </w:p>
        </w:tc>
      </w:tr>
      <w:tr>
        <w:trPr>
          <w:trHeight w:val="296" w:hRule="exact"/>
        </w:trPr>
        <w:tc>
          <w:tcPr>
            <w:tcW w:w="4434" w:type="dxa"/>
            <w:tcBorders>
              <w:top w:val="nil" w:sz="6" w:space="0" w:color="auto"/>
              <w:left w:val="nil" w:sz="6" w:space="0" w:color="auto"/>
              <w:bottom w:val="nil" w:sz="6" w:space="0" w:color="auto"/>
              <w:right w:val="nil" w:sz="6" w:space="0" w:color="auto"/>
            </w:tcBorders>
          </w:tcPr>
          <w:p>
            <w:pPr>
              <w:pStyle w:val="TableParagraph"/>
              <w:spacing w:line="252" w:lineRule="exact"/>
              <w:ind w:left="200" w:right="0"/>
              <w:jc w:val="left"/>
              <w:rPr>
                <w:rFonts w:ascii="宋体" w:hAnsi="宋体" w:cs="宋体" w:eastAsia="宋体" w:hint="default"/>
                <w:sz w:val="22"/>
                <w:szCs w:val="22"/>
              </w:rPr>
            </w:pPr>
            <w:r>
              <w:rPr>
                <w:rFonts w:ascii="宋体" w:hAnsi="宋体" w:cs="宋体" w:eastAsia="宋体" w:hint="default"/>
                <w:sz w:val="22"/>
                <w:szCs w:val="22"/>
              </w:rPr>
              <w:t>其中：权益工具投资</w:t>
            </w:r>
            <w:r>
              <w:rPr>
                <w:rFonts w:ascii="宋体" w:hAnsi="宋体" w:cs="宋体" w:eastAsia="宋体" w:hint="default"/>
                <w:sz w:val="22"/>
                <w:szCs w:val="22"/>
              </w:rPr>
              <w:t> </w:t>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5"/>
              <w:jc w:val="right"/>
              <w:rPr>
                <w:rFonts w:ascii="Arial" w:hAnsi="Arial" w:cs="Arial" w:eastAsia="Arial" w:hint="default"/>
                <w:sz w:val="22"/>
                <w:szCs w:val="22"/>
              </w:rPr>
            </w:pPr>
            <w:r>
              <w:rPr>
                <w:rFonts w:ascii="Arial"/>
                <w:spacing w:val="-1"/>
                <w:sz w:val="22"/>
              </w:rPr>
              <w:t>151,054,202</w:t>
            </w:r>
          </w:p>
        </w:tc>
        <w:tc>
          <w:tcPr>
            <w:tcW w:w="283" w:type="dxa"/>
            <w:tcBorders>
              <w:top w:val="nil" w:sz="6" w:space="0" w:color="auto"/>
              <w:left w:val="nil" w:sz="6" w:space="0" w:color="auto"/>
              <w:bottom w:val="nil" w:sz="6" w:space="0" w:color="auto"/>
              <w:right w:val="nil" w:sz="6" w:space="0" w:color="auto"/>
            </w:tcBorders>
          </w:tcPr>
          <w:p>
            <w:pPr/>
          </w:p>
        </w:tc>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4"/>
              <w:jc w:val="right"/>
              <w:rPr>
                <w:rFonts w:ascii="Arial" w:hAnsi="Arial" w:cs="Arial" w:eastAsia="Arial" w:hint="default"/>
                <w:sz w:val="22"/>
                <w:szCs w:val="22"/>
              </w:rPr>
            </w:pPr>
            <w:r>
              <w:rPr>
                <w:rFonts w:ascii="Arial"/>
                <w:spacing w:val="-1"/>
                <w:sz w:val="22"/>
              </w:rPr>
              <w:t>190,505,347</w:t>
            </w:r>
          </w:p>
        </w:tc>
      </w:tr>
      <w:tr>
        <w:trPr>
          <w:trHeight w:val="293" w:hRule="exact"/>
        </w:trPr>
        <w:tc>
          <w:tcPr>
            <w:tcW w:w="4434" w:type="dxa"/>
            <w:tcBorders>
              <w:top w:val="nil" w:sz="6" w:space="0" w:color="auto"/>
              <w:left w:val="nil" w:sz="6" w:space="0" w:color="auto"/>
              <w:bottom w:val="nil" w:sz="6" w:space="0" w:color="auto"/>
              <w:right w:val="nil" w:sz="6" w:space="0" w:color="auto"/>
            </w:tcBorders>
          </w:tcPr>
          <w:p>
            <w:pPr>
              <w:pStyle w:val="TableParagraph"/>
              <w:spacing w:line="239" w:lineRule="exact"/>
              <w:ind w:left="857" w:right="0"/>
              <w:jc w:val="left"/>
              <w:rPr>
                <w:rFonts w:ascii="宋体" w:hAnsi="宋体" w:cs="宋体" w:eastAsia="宋体" w:hint="default"/>
                <w:sz w:val="22"/>
                <w:szCs w:val="22"/>
              </w:rPr>
            </w:pPr>
            <w:r>
              <w:rPr>
                <w:rFonts w:ascii="宋体" w:hAnsi="宋体" w:cs="宋体" w:eastAsia="宋体" w:hint="default"/>
                <w:sz w:val="22"/>
                <w:szCs w:val="22"/>
              </w:rPr>
              <w:t>其他</w:t>
            </w:r>
            <w:r>
              <w:rPr>
                <w:rFonts w:ascii="宋体" w:hAnsi="宋体" w:cs="宋体" w:eastAsia="宋体" w:hint="default"/>
                <w:sz w:val="22"/>
                <w:szCs w:val="22"/>
              </w:rPr>
              <w:t> </w:t>
            </w:r>
          </w:p>
        </w:tc>
        <w:tc>
          <w:tcPr>
            <w:tcW w:w="2410" w:type="dxa"/>
            <w:tcBorders>
              <w:top w:val="nil" w:sz="6" w:space="0" w:color="auto"/>
              <w:left w:val="nil" w:sz="6" w:space="0" w:color="auto"/>
              <w:bottom w:val="nil" w:sz="6" w:space="0" w:color="auto"/>
              <w:right w:val="nil" w:sz="6" w:space="0" w:color="auto"/>
            </w:tcBorders>
          </w:tcPr>
          <w:p>
            <w:pPr>
              <w:pStyle w:val="TableParagraph"/>
              <w:tabs>
                <w:tab w:pos="1300" w:val="left" w:leader="none"/>
              </w:tabs>
              <w:spacing w:line="240" w:lineRule="auto" w:before="21"/>
              <w:ind w:right="5"/>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50,800,000</w:t>
            </w:r>
            <w:r>
              <w:rPr>
                <w:rFonts w:ascii="Arial"/>
                <w:spacing w:val="-1"/>
                <w:sz w:val="22"/>
              </w:rPr>
            </w:r>
          </w:p>
        </w:tc>
        <w:tc>
          <w:tcPr>
            <w:tcW w:w="283" w:type="dxa"/>
            <w:tcBorders>
              <w:top w:val="nil" w:sz="6" w:space="0" w:color="auto"/>
              <w:left w:val="nil" w:sz="6" w:space="0" w:color="auto"/>
              <w:bottom w:val="nil" w:sz="6" w:space="0" w:color="auto"/>
              <w:right w:val="nil" w:sz="6" w:space="0" w:color="auto"/>
            </w:tcBorders>
          </w:tcPr>
          <w:p>
            <w:pPr/>
          </w:p>
        </w:tc>
        <w:tc>
          <w:tcPr>
            <w:tcW w:w="2170" w:type="dxa"/>
            <w:tcBorders>
              <w:top w:val="nil" w:sz="6" w:space="0" w:color="auto"/>
              <w:left w:val="nil" w:sz="6" w:space="0" w:color="auto"/>
              <w:bottom w:val="nil" w:sz="6" w:space="0" w:color="auto"/>
              <w:right w:val="nil" w:sz="6" w:space="0" w:color="auto"/>
            </w:tcBorders>
          </w:tcPr>
          <w:p>
            <w:pPr>
              <w:pStyle w:val="TableParagraph"/>
              <w:tabs>
                <w:tab w:pos="902" w:val="left" w:leader="none"/>
              </w:tabs>
              <w:spacing w:line="240" w:lineRule="auto" w:before="21"/>
              <w:ind w:right="36"/>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579,400,000</w:t>
            </w:r>
            <w:r>
              <w:rPr>
                <w:rFonts w:ascii="Arial"/>
                <w:sz w:val="22"/>
              </w:rPr>
            </w:r>
          </w:p>
        </w:tc>
      </w:tr>
      <w:tr>
        <w:trPr>
          <w:trHeight w:val="275" w:hRule="exact"/>
        </w:trPr>
        <w:tc>
          <w:tcPr>
            <w:tcW w:w="4434" w:type="dxa"/>
            <w:tcBorders>
              <w:top w:val="nil" w:sz="6" w:space="0" w:color="auto"/>
              <w:left w:val="nil" w:sz="6" w:space="0" w:color="auto"/>
              <w:bottom w:val="nil" w:sz="6" w:space="0" w:color="auto"/>
              <w:right w:val="nil" w:sz="6" w:space="0" w:color="auto"/>
            </w:tcBorders>
          </w:tcPr>
          <w:p>
            <w:pPr>
              <w:pStyle w:val="TableParagraph"/>
              <w:spacing w:line="244" w:lineRule="exact"/>
              <w:ind w:left="857" w:right="0"/>
              <w:jc w:val="left"/>
              <w:rPr>
                <w:rFonts w:ascii="宋体" w:hAnsi="宋体" w:cs="宋体" w:eastAsia="宋体" w:hint="default"/>
                <w:sz w:val="22"/>
                <w:szCs w:val="22"/>
              </w:rPr>
            </w:pPr>
            <w:r>
              <w:rPr>
                <w:rFonts w:ascii="宋体"/>
                <w:w w:val="100"/>
                <w:sz w:val="22"/>
              </w:rPr>
              <w:t> </w:t>
            </w:r>
          </w:p>
        </w:tc>
        <w:tc>
          <w:tcPr>
            <w:tcW w:w="2410" w:type="dxa"/>
            <w:tcBorders>
              <w:top w:val="nil" w:sz="6" w:space="0" w:color="auto"/>
              <w:left w:val="nil" w:sz="6" w:space="0" w:color="auto"/>
              <w:bottom w:val="nil" w:sz="6" w:space="0" w:color="auto"/>
              <w:right w:val="nil" w:sz="6" w:space="0" w:color="auto"/>
            </w:tcBorders>
          </w:tcPr>
          <w:p>
            <w:pPr/>
          </w:p>
        </w:tc>
        <w:tc>
          <w:tcPr>
            <w:tcW w:w="283" w:type="dxa"/>
            <w:tcBorders>
              <w:top w:val="nil" w:sz="6" w:space="0" w:color="auto"/>
              <w:left w:val="nil" w:sz="6" w:space="0" w:color="auto"/>
              <w:bottom w:val="nil" w:sz="6" w:space="0" w:color="auto"/>
              <w:right w:val="nil" w:sz="6" w:space="0" w:color="auto"/>
            </w:tcBorders>
          </w:tcPr>
          <w:p>
            <w:pPr/>
          </w:p>
        </w:tc>
        <w:tc>
          <w:tcPr>
            <w:tcW w:w="2170" w:type="dxa"/>
            <w:tcBorders>
              <w:top w:val="nil" w:sz="6" w:space="0" w:color="auto"/>
              <w:left w:val="nil" w:sz="6" w:space="0" w:color="auto"/>
              <w:bottom w:val="nil" w:sz="6" w:space="0" w:color="auto"/>
              <w:right w:val="nil" w:sz="6" w:space="0" w:color="auto"/>
            </w:tcBorders>
          </w:tcPr>
          <w:p>
            <w:pPr/>
          </w:p>
        </w:tc>
      </w:tr>
      <w:tr>
        <w:trPr>
          <w:trHeight w:val="310" w:hRule="exact"/>
        </w:trPr>
        <w:tc>
          <w:tcPr>
            <w:tcW w:w="4434" w:type="dxa"/>
            <w:tcBorders>
              <w:top w:val="nil" w:sz="6" w:space="0" w:color="auto"/>
              <w:left w:val="nil" w:sz="6" w:space="0" w:color="auto"/>
              <w:bottom w:val="nil" w:sz="6" w:space="0" w:color="auto"/>
              <w:right w:val="nil" w:sz="6" w:space="0" w:color="auto"/>
            </w:tcBorders>
          </w:tcPr>
          <w:p>
            <w:pPr>
              <w:pStyle w:val="TableParagraph"/>
              <w:spacing w:line="252" w:lineRule="exact"/>
              <w:ind w:left="200" w:right="0"/>
              <w:jc w:val="left"/>
              <w:rPr>
                <w:rFonts w:ascii="宋体" w:hAnsi="宋体" w:cs="宋体" w:eastAsia="宋体" w:hint="default"/>
                <w:sz w:val="22"/>
                <w:szCs w:val="22"/>
              </w:rPr>
            </w:pPr>
            <w:r>
              <w:rPr>
                <w:rFonts w:ascii="宋体" w:hAnsi="宋体" w:cs="宋体" w:eastAsia="宋体" w:hint="default"/>
                <w:sz w:val="22"/>
                <w:szCs w:val="22"/>
              </w:rPr>
              <w:t>合计</w:t>
            </w:r>
            <w:r>
              <w:rPr>
                <w:rFonts w:ascii="宋体" w:hAnsi="宋体" w:cs="宋体" w:eastAsia="宋体" w:hint="default"/>
                <w:sz w:val="22"/>
                <w:szCs w:val="22"/>
              </w:rPr>
              <w:t> </w:t>
            </w:r>
          </w:p>
        </w:tc>
        <w:tc>
          <w:tcPr>
            <w:tcW w:w="2410"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7"/>
              <w:jc w:val="right"/>
              <w:rPr>
                <w:rFonts w:ascii="Arial" w:hAnsi="Arial" w:cs="Arial" w:eastAsia="Arial" w:hint="default"/>
                <w:sz w:val="22"/>
                <w:szCs w:val="22"/>
              </w:rPr>
            </w:pPr>
            <w:r>
              <w:rPr>
                <w:rFonts w:ascii="Arial"/>
                <w:sz w:val="22"/>
              </w:rPr>
              <w:t>201,854,202</w:t>
            </w:r>
          </w:p>
        </w:tc>
        <w:tc>
          <w:tcPr>
            <w:tcW w:w="283" w:type="dxa"/>
            <w:tcBorders>
              <w:top w:val="nil" w:sz="6" w:space="0" w:color="auto"/>
              <w:left w:val="nil" w:sz="6" w:space="0" w:color="auto"/>
              <w:bottom w:val="nil" w:sz="6" w:space="0" w:color="auto"/>
              <w:right w:val="nil" w:sz="6" w:space="0" w:color="auto"/>
            </w:tcBorders>
          </w:tcPr>
          <w:p>
            <w:pPr/>
          </w:p>
        </w:tc>
        <w:tc>
          <w:tcPr>
            <w:tcW w:w="2170"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34"/>
              <w:jc w:val="right"/>
              <w:rPr>
                <w:rFonts w:ascii="Arial" w:hAnsi="Arial" w:cs="Arial" w:eastAsia="Arial" w:hint="default"/>
                <w:sz w:val="22"/>
                <w:szCs w:val="22"/>
              </w:rPr>
            </w:pPr>
            <w:r>
              <w:rPr>
                <w:rFonts w:ascii="Arial"/>
                <w:spacing w:val="-1"/>
                <w:sz w:val="22"/>
              </w:rPr>
              <w:t>769,905,347</w:t>
            </w:r>
          </w:p>
        </w:tc>
      </w:tr>
    </w:tbl>
    <w:p>
      <w:pPr>
        <w:spacing w:line="240" w:lineRule="auto" w:before="2"/>
        <w:rPr>
          <w:rFonts w:ascii="宋体" w:hAnsi="宋体" w:cs="宋体" w:eastAsia="宋体" w:hint="default"/>
          <w:sz w:val="14"/>
          <w:szCs w:val="14"/>
        </w:rPr>
      </w:pPr>
    </w:p>
    <w:p>
      <w:pPr>
        <w:pStyle w:val="BodyText"/>
        <w:spacing w:line="240" w:lineRule="auto" w:before="32"/>
        <w:ind w:left="531" w:right="0"/>
        <w:jc w:val="left"/>
      </w:pPr>
      <w:r>
        <w:rPr/>
        <w:t>本集团拟长期持有的以公允价值计量且其变动计入当期损益的金融资产计入其他非流动金融资产。</w:t>
      </w:r>
    </w:p>
    <w:p>
      <w:pPr>
        <w:spacing w:after="0" w:line="240" w:lineRule="auto"/>
        <w:jc w:val="left"/>
        <w:sectPr>
          <w:headerReference w:type="default" r:id="rId142"/>
          <w:pgSz w:w="11910" w:h="16840"/>
          <w:pgMar w:header="842" w:footer="502" w:top="2700" w:bottom="700" w:left="880" w:right="920"/>
        </w:sectPr>
      </w:pPr>
    </w:p>
    <w:p>
      <w:pPr>
        <w:spacing w:line="240" w:lineRule="auto" w:before="7"/>
        <w:rPr>
          <w:rFonts w:ascii="宋体" w:hAnsi="宋体" w:cs="宋体" w:eastAsia="宋体" w:hint="default"/>
          <w:sz w:val="16"/>
          <w:szCs w:val="16"/>
        </w:rPr>
      </w:pPr>
    </w:p>
    <w:p>
      <w:pPr>
        <w:pStyle w:val="BodyText"/>
        <w:spacing w:line="240" w:lineRule="auto" w:before="32"/>
        <w:ind w:left="113" w:right="102"/>
        <w:jc w:val="left"/>
      </w:pPr>
      <w:r>
        <w:rPr>
          <w:rFonts w:ascii="Arial" w:hAnsi="Arial" w:cs="Arial" w:eastAsia="Arial" w:hint="default"/>
        </w:rPr>
        <w:t>3</w:t>
      </w:r>
      <w:r>
        <w:rPr/>
        <w:t>、</w:t>
      </w:r>
      <w:r>
        <w:rPr>
          <w:spacing w:val="-23"/>
        </w:rPr>
        <w:t> </w:t>
      </w:r>
      <w:r>
        <w:rPr/>
        <w:t>应收票据</w:t>
      </w:r>
    </w:p>
    <w:p>
      <w:pPr>
        <w:spacing w:line="240" w:lineRule="auto" w:before="1"/>
        <w:rPr>
          <w:rFonts w:ascii="宋体" w:hAnsi="宋体" w:cs="宋体" w:eastAsia="宋体" w:hint="default"/>
          <w:sz w:val="16"/>
          <w:szCs w:val="16"/>
        </w:rPr>
      </w:pPr>
    </w:p>
    <w:tbl>
      <w:tblPr>
        <w:tblW w:w="0" w:type="auto"/>
        <w:jc w:val="left"/>
        <w:tblInd w:w="388" w:type="dxa"/>
        <w:tblLayout w:type="fixed"/>
        <w:tblCellMar>
          <w:top w:w="0" w:type="dxa"/>
          <w:left w:w="0" w:type="dxa"/>
          <w:bottom w:w="0" w:type="dxa"/>
          <w:right w:w="0" w:type="dxa"/>
        </w:tblCellMar>
        <w:tblLook w:val="01E0"/>
      </w:tblPr>
      <w:tblGrid>
        <w:gridCol w:w="2905"/>
        <w:gridCol w:w="1490"/>
        <w:gridCol w:w="2366"/>
        <w:gridCol w:w="106"/>
        <w:gridCol w:w="2390"/>
      </w:tblGrid>
      <w:tr>
        <w:trPr>
          <w:trHeight w:val="264" w:hRule="exact"/>
        </w:trPr>
        <w:tc>
          <w:tcPr>
            <w:tcW w:w="290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tcPr>
          <w:p>
            <w:pPr>
              <w:pStyle w:val="TableParagraph"/>
              <w:spacing w:line="221" w:lineRule="exact"/>
              <w:ind w:right="26"/>
              <w:jc w:val="right"/>
              <w:rPr>
                <w:rFonts w:ascii="宋体" w:hAnsi="宋体" w:cs="宋体" w:eastAsia="宋体" w:hint="default"/>
                <w:sz w:val="22"/>
                <w:szCs w:val="22"/>
              </w:rPr>
            </w:pPr>
            <w:r>
              <w:rPr>
                <w:rFonts w:ascii="宋体"/>
                <w:w w:val="100"/>
                <w:sz w:val="22"/>
              </w:rPr>
              <w:t> </w:t>
            </w:r>
          </w:p>
        </w:tc>
        <w:tc>
          <w:tcPr>
            <w:tcW w:w="2366" w:type="dxa"/>
            <w:tcBorders>
              <w:top w:val="nil" w:sz="6" w:space="0" w:color="auto"/>
              <w:left w:val="nil" w:sz="6" w:space="0" w:color="auto"/>
              <w:bottom w:val="single" w:sz="6" w:space="0" w:color="000000"/>
              <w:right w:val="nil" w:sz="6" w:space="0" w:color="auto"/>
            </w:tcBorders>
          </w:tcPr>
          <w:p>
            <w:pPr>
              <w:pStyle w:val="TableParagraph"/>
              <w:spacing w:line="236" w:lineRule="exact"/>
              <w:ind w:right="31"/>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106" w:type="dxa"/>
            <w:tcBorders>
              <w:top w:val="nil" w:sz="6" w:space="0" w:color="auto"/>
              <w:left w:val="nil" w:sz="6" w:space="0" w:color="auto"/>
              <w:bottom w:val="nil" w:sz="6" w:space="0" w:color="auto"/>
              <w:right w:val="nil" w:sz="6" w:space="0" w:color="auto"/>
            </w:tcBorders>
          </w:tcPr>
          <w:p>
            <w:pPr/>
          </w:p>
        </w:tc>
        <w:tc>
          <w:tcPr>
            <w:tcW w:w="2390" w:type="dxa"/>
            <w:tcBorders>
              <w:top w:val="nil" w:sz="6" w:space="0" w:color="auto"/>
              <w:left w:val="nil" w:sz="6" w:space="0" w:color="auto"/>
              <w:bottom w:val="single" w:sz="6" w:space="0" w:color="000000"/>
              <w:right w:val="nil" w:sz="6" w:space="0" w:color="auto"/>
            </w:tcBorders>
          </w:tcPr>
          <w:p>
            <w:pPr>
              <w:pStyle w:val="TableParagraph"/>
              <w:spacing w:line="236" w:lineRule="exact"/>
              <w:ind w:right="36"/>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240" w:hRule="exact"/>
        </w:trPr>
        <w:tc>
          <w:tcPr>
            <w:tcW w:w="290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tcPr>
          <w:p>
            <w:pPr>
              <w:pStyle w:val="TableParagraph"/>
              <w:spacing w:line="210" w:lineRule="exact"/>
              <w:ind w:right="47"/>
              <w:jc w:val="right"/>
              <w:rPr>
                <w:rFonts w:ascii="宋体" w:hAnsi="宋体" w:cs="宋体" w:eastAsia="宋体" w:hint="default"/>
                <w:sz w:val="18"/>
                <w:szCs w:val="18"/>
              </w:rPr>
            </w:pPr>
            <w:r>
              <w:rPr>
                <w:rFonts w:ascii="宋体"/>
                <w:w w:val="101"/>
                <w:sz w:val="18"/>
              </w:rPr>
              <w:t> </w:t>
            </w:r>
            <w:r>
              <w:rPr>
                <w:rFonts w:ascii="宋体"/>
                <w:sz w:val="18"/>
              </w:rPr>
            </w:r>
          </w:p>
        </w:tc>
        <w:tc>
          <w:tcPr>
            <w:tcW w:w="2366" w:type="dxa"/>
            <w:tcBorders>
              <w:top w:val="single" w:sz="6" w:space="0" w:color="000000"/>
              <w:left w:val="nil" w:sz="6" w:space="0" w:color="auto"/>
              <w:bottom w:val="nil" w:sz="6" w:space="0" w:color="auto"/>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
        </w:tc>
        <w:tc>
          <w:tcPr>
            <w:tcW w:w="2390" w:type="dxa"/>
            <w:tcBorders>
              <w:top w:val="single" w:sz="6" w:space="0" w:color="000000"/>
              <w:left w:val="nil" w:sz="6" w:space="0" w:color="auto"/>
              <w:bottom w:val="nil" w:sz="6" w:space="0" w:color="auto"/>
              <w:right w:val="nil" w:sz="6" w:space="0" w:color="auto"/>
            </w:tcBorders>
          </w:tcPr>
          <w:p>
            <w:pPr/>
          </w:p>
        </w:tc>
      </w:tr>
      <w:tr>
        <w:trPr>
          <w:trHeight w:val="299" w:hRule="exact"/>
        </w:trPr>
        <w:tc>
          <w:tcPr>
            <w:tcW w:w="2905" w:type="dxa"/>
            <w:tcBorders>
              <w:top w:val="nil" w:sz="6" w:space="0" w:color="auto"/>
              <w:left w:val="nil" w:sz="6" w:space="0" w:color="auto"/>
              <w:bottom w:val="nil" w:sz="6" w:space="0" w:color="auto"/>
              <w:right w:val="nil" w:sz="6" w:space="0" w:color="auto"/>
            </w:tcBorders>
          </w:tcPr>
          <w:p>
            <w:pPr>
              <w:pStyle w:val="TableParagraph"/>
              <w:spacing w:line="250" w:lineRule="exact"/>
              <w:ind w:left="219" w:right="0"/>
              <w:jc w:val="left"/>
              <w:rPr>
                <w:rFonts w:ascii="宋体" w:hAnsi="宋体" w:cs="宋体" w:eastAsia="宋体" w:hint="default"/>
                <w:sz w:val="22"/>
                <w:szCs w:val="22"/>
              </w:rPr>
            </w:pPr>
            <w:r>
              <w:rPr>
                <w:rFonts w:ascii="宋体" w:hAnsi="宋体" w:cs="宋体" w:eastAsia="宋体" w:hint="default"/>
                <w:sz w:val="22"/>
                <w:szCs w:val="22"/>
              </w:rPr>
              <w:t>银行承兑汇票</w:t>
            </w:r>
            <w:r>
              <w:rPr>
                <w:rFonts w:ascii="宋体" w:hAnsi="宋体" w:cs="宋体" w:eastAsia="宋体" w:hint="default"/>
                <w:sz w:val="22"/>
                <w:szCs w:val="22"/>
              </w:rPr>
              <w:t> </w:t>
            </w:r>
          </w:p>
        </w:tc>
        <w:tc>
          <w:tcPr>
            <w:tcW w:w="1490" w:type="dxa"/>
            <w:tcBorders>
              <w:top w:val="nil" w:sz="6" w:space="0" w:color="auto"/>
              <w:left w:val="nil" w:sz="6" w:space="0" w:color="auto"/>
              <w:bottom w:val="nil" w:sz="6" w:space="0" w:color="auto"/>
              <w:right w:val="nil" w:sz="6" w:space="0" w:color="auto"/>
            </w:tcBorders>
          </w:tcPr>
          <w:p>
            <w:pPr>
              <w:pStyle w:val="TableParagraph"/>
              <w:spacing w:line="250" w:lineRule="exact"/>
              <w:ind w:right="122"/>
              <w:jc w:val="right"/>
              <w:rPr>
                <w:rFonts w:ascii="宋体" w:hAnsi="宋体" w:cs="宋体" w:eastAsia="宋体" w:hint="default"/>
                <w:sz w:val="22"/>
                <w:szCs w:val="22"/>
              </w:rPr>
            </w:pPr>
            <w:r>
              <w:rPr>
                <w:rFonts w:ascii="宋体"/>
                <w:w w:val="100"/>
                <w:sz w:val="22"/>
              </w:rPr>
              <w:t> </w:t>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6"/>
              <w:jc w:val="right"/>
              <w:rPr>
                <w:rFonts w:ascii="Arial" w:hAnsi="Arial" w:cs="Arial" w:eastAsia="Arial" w:hint="default"/>
                <w:sz w:val="22"/>
                <w:szCs w:val="22"/>
              </w:rPr>
            </w:pPr>
            <w:r>
              <w:rPr>
                <w:rFonts w:ascii="Arial"/>
                <w:sz w:val="22"/>
              </w:rPr>
              <w:t>157,353,783</w:t>
            </w:r>
          </w:p>
        </w:tc>
        <w:tc>
          <w:tcPr>
            <w:tcW w:w="106" w:type="dxa"/>
            <w:tcBorders>
              <w:top w:val="nil" w:sz="6" w:space="0" w:color="auto"/>
              <w:left w:val="nil" w:sz="6" w:space="0" w:color="auto"/>
              <w:bottom w:val="nil" w:sz="6" w:space="0" w:color="auto"/>
              <w:right w:val="nil" w:sz="6" w:space="0" w:color="auto"/>
            </w:tcBorders>
          </w:tcPr>
          <w:p>
            <w:pPr/>
          </w:p>
        </w:tc>
        <w:tc>
          <w:tcPr>
            <w:tcW w:w="239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8"/>
              <w:jc w:val="right"/>
              <w:rPr>
                <w:rFonts w:ascii="Arial" w:hAnsi="Arial" w:cs="Arial" w:eastAsia="Arial" w:hint="default"/>
                <w:sz w:val="22"/>
                <w:szCs w:val="22"/>
              </w:rPr>
            </w:pPr>
            <w:r>
              <w:rPr>
                <w:rFonts w:ascii="Arial"/>
                <w:spacing w:val="-1"/>
                <w:sz w:val="22"/>
              </w:rPr>
              <w:t>58,552,956</w:t>
            </w:r>
          </w:p>
        </w:tc>
      </w:tr>
      <w:tr>
        <w:trPr>
          <w:trHeight w:val="288" w:hRule="exact"/>
        </w:trPr>
        <w:tc>
          <w:tcPr>
            <w:tcW w:w="2905"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商业承兑汇票</w:t>
            </w:r>
            <w:r>
              <w:rPr>
                <w:rFonts w:ascii="宋体" w:hAnsi="宋体" w:cs="宋体" w:eastAsia="宋体" w:hint="default"/>
                <w:sz w:val="22"/>
                <w:szCs w:val="22"/>
              </w:rPr>
              <w:t> </w:t>
            </w:r>
          </w:p>
        </w:tc>
        <w:tc>
          <w:tcPr>
            <w:tcW w:w="1490" w:type="dxa"/>
            <w:tcBorders>
              <w:top w:val="nil" w:sz="6" w:space="0" w:color="auto"/>
              <w:left w:val="nil" w:sz="6" w:space="0" w:color="auto"/>
              <w:bottom w:val="nil" w:sz="6" w:space="0" w:color="auto"/>
              <w:right w:val="nil" w:sz="6" w:space="0" w:color="auto"/>
            </w:tcBorders>
          </w:tcPr>
          <w:p>
            <w:pPr>
              <w:pStyle w:val="TableParagraph"/>
              <w:spacing w:line="239" w:lineRule="exact"/>
              <w:ind w:right="122"/>
              <w:jc w:val="right"/>
              <w:rPr>
                <w:rFonts w:ascii="宋体" w:hAnsi="宋体" w:cs="宋体" w:eastAsia="宋体" w:hint="default"/>
                <w:sz w:val="22"/>
                <w:szCs w:val="22"/>
              </w:rPr>
            </w:pPr>
            <w:r>
              <w:rPr>
                <w:rFonts w:ascii="宋体"/>
                <w:w w:val="100"/>
                <w:sz w:val="22"/>
              </w:rPr>
              <w:t> </w:t>
            </w:r>
          </w:p>
        </w:tc>
        <w:tc>
          <w:tcPr>
            <w:tcW w:w="2366" w:type="dxa"/>
            <w:tcBorders>
              <w:top w:val="nil" w:sz="6" w:space="0" w:color="auto"/>
              <w:left w:val="nil" w:sz="6" w:space="0" w:color="auto"/>
              <w:bottom w:val="nil" w:sz="6" w:space="0" w:color="auto"/>
              <w:right w:val="nil" w:sz="6" w:space="0" w:color="auto"/>
            </w:tcBorders>
          </w:tcPr>
          <w:p>
            <w:pPr>
              <w:pStyle w:val="TableParagraph"/>
              <w:tabs>
                <w:tab w:pos="1343" w:val="left" w:leader="none"/>
              </w:tabs>
              <w:spacing w:line="240" w:lineRule="auto" w:before="16"/>
              <w:ind w:right="36"/>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6,603,410</w:t>
            </w:r>
            <w:r>
              <w:rPr>
                <w:rFonts w:ascii="Arial"/>
                <w:sz w:val="22"/>
              </w:rPr>
            </w:r>
          </w:p>
        </w:tc>
        <w:tc>
          <w:tcPr>
            <w:tcW w:w="106" w:type="dxa"/>
            <w:tcBorders>
              <w:top w:val="nil" w:sz="6" w:space="0" w:color="auto"/>
              <w:left w:val="nil" w:sz="6" w:space="0" w:color="auto"/>
              <w:bottom w:val="nil" w:sz="6" w:space="0" w:color="auto"/>
              <w:right w:val="nil" w:sz="6" w:space="0" w:color="auto"/>
            </w:tcBorders>
          </w:tcPr>
          <w:p>
            <w:pPr/>
          </w:p>
        </w:tc>
        <w:tc>
          <w:tcPr>
            <w:tcW w:w="2390" w:type="dxa"/>
            <w:tcBorders>
              <w:top w:val="nil" w:sz="6" w:space="0" w:color="auto"/>
              <w:left w:val="nil" w:sz="6" w:space="0" w:color="auto"/>
              <w:bottom w:val="nil" w:sz="6" w:space="0" w:color="auto"/>
              <w:right w:val="nil" w:sz="6" w:space="0" w:color="auto"/>
            </w:tcBorders>
          </w:tcPr>
          <w:p>
            <w:pPr>
              <w:pStyle w:val="TableParagraph"/>
              <w:tabs>
                <w:tab w:pos="1123" w:val="left" w:leader="none"/>
              </w:tabs>
              <w:spacing w:line="240" w:lineRule="auto" w:before="16"/>
              <w:ind w:right="38"/>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304,770,585</w:t>
            </w:r>
            <w:r>
              <w:rPr>
                <w:rFonts w:ascii="Arial"/>
                <w:spacing w:val="-1"/>
                <w:sz w:val="22"/>
              </w:rPr>
            </w:r>
          </w:p>
        </w:tc>
      </w:tr>
      <w:tr>
        <w:trPr>
          <w:trHeight w:val="278" w:hRule="exact"/>
        </w:trPr>
        <w:tc>
          <w:tcPr>
            <w:tcW w:w="2905" w:type="dxa"/>
            <w:tcBorders>
              <w:top w:val="nil" w:sz="6" w:space="0" w:color="auto"/>
              <w:left w:val="nil" w:sz="6" w:space="0" w:color="auto"/>
              <w:bottom w:val="nil" w:sz="6" w:space="0" w:color="auto"/>
              <w:right w:val="nil" w:sz="6" w:space="0" w:color="auto"/>
            </w:tcBorders>
          </w:tcPr>
          <w:p>
            <w:pPr>
              <w:pStyle w:val="TableParagraph"/>
              <w:spacing w:line="244" w:lineRule="exact"/>
              <w:ind w:left="219" w:right="0"/>
              <w:jc w:val="left"/>
              <w:rPr>
                <w:rFonts w:ascii="宋体" w:hAnsi="宋体" w:cs="宋体" w:eastAsia="宋体" w:hint="default"/>
                <w:sz w:val="22"/>
                <w:szCs w:val="22"/>
              </w:rPr>
            </w:pPr>
            <w:r>
              <w:rPr>
                <w:rFonts w:ascii="宋体"/>
                <w:w w:val="100"/>
                <w:sz w:val="22"/>
              </w:rPr>
              <w:t> </w:t>
            </w:r>
          </w:p>
        </w:tc>
        <w:tc>
          <w:tcPr>
            <w:tcW w:w="6353" w:type="dxa"/>
            <w:gridSpan w:val="4"/>
            <w:tcBorders>
              <w:top w:val="nil" w:sz="6" w:space="0" w:color="auto"/>
              <w:left w:val="nil" w:sz="6" w:space="0" w:color="auto"/>
              <w:bottom w:val="nil" w:sz="6" w:space="0" w:color="auto"/>
              <w:right w:val="nil" w:sz="6" w:space="0" w:color="auto"/>
            </w:tcBorders>
          </w:tcPr>
          <w:p>
            <w:pPr>
              <w:pStyle w:val="TableParagraph"/>
              <w:spacing w:line="244" w:lineRule="exact"/>
              <w:ind w:left="1255" w:right="0"/>
              <w:jc w:val="left"/>
              <w:rPr>
                <w:rFonts w:ascii="宋体" w:hAnsi="宋体" w:cs="宋体" w:eastAsia="宋体" w:hint="default"/>
                <w:sz w:val="22"/>
                <w:szCs w:val="22"/>
              </w:rPr>
            </w:pPr>
            <w:r>
              <w:rPr>
                <w:rFonts w:ascii="宋体"/>
                <w:w w:val="100"/>
                <w:sz w:val="22"/>
              </w:rPr>
              <w:t> </w:t>
            </w:r>
          </w:p>
        </w:tc>
      </w:tr>
      <w:tr>
        <w:trPr>
          <w:trHeight w:val="312" w:hRule="exact"/>
        </w:trPr>
        <w:tc>
          <w:tcPr>
            <w:tcW w:w="2905" w:type="dxa"/>
            <w:tcBorders>
              <w:top w:val="nil" w:sz="6" w:space="0" w:color="auto"/>
              <w:left w:val="nil" w:sz="6" w:space="0" w:color="auto"/>
              <w:bottom w:val="nil" w:sz="6" w:space="0" w:color="auto"/>
              <w:right w:val="nil" w:sz="6" w:space="0" w:color="auto"/>
            </w:tcBorders>
          </w:tcPr>
          <w:p>
            <w:pPr>
              <w:pStyle w:val="TableParagraph"/>
              <w:spacing w:line="254" w:lineRule="exact"/>
              <w:ind w:left="219" w:right="0"/>
              <w:jc w:val="left"/>
              <w:rPr>
                <w:rFonts w:ascii="宋体" w:hAnsi="宋体" w:cs="宋体" w:eastAsia="宋体" w:hint="default"/>
                <w:sz w:val="22"/>
                <w:szCs w:val="22"/>
              </w:rPr>
            </w:pPr>
            <w:r>
              <w:rPr>
                <w:rFonts w:ascii="宋体" w:hAnsi="宋体" w:cs="宋体" w:eastAsia="宋体" w:hint="default"/>
                <w:sz w:val="22"/>
                <w:szCs w:val="22"/>
              </w:rPr>
              <w:t>合计</w:t>
            </w:r>
            <w:r>
              <w:rPr>
                <w:rFonts w:ascii="宋体" w:hAnsi="宋体" w:cs="宋体" w:eastAsia="宋体" w:hint="default"/>
                <w:sz w:val="22"/>
                <w:szCs w:val="22"/>
              </w:rPr>
              <w:t> </w:t>
            </w:r>
          </w:p>
        </w:tc>
        <w:tc>
          <w:tcPr>
            <w:tcW w:w="1490" w:type="dxa"/>
            <w:tcBorders>
              <w:top w:val="nil" w:sz="6" w:space="0" w:color="auto"/>
              <w:left w:val="nil" w:sz="6" w:space="0" w:color="auto"/>
              <w:bottom w:val="nil" w:sz="6" w:space="0" w:color="auto"/>
              <w:right w:val="nil" w:sz="6" w:space="0" w:color="auto"/>
            </w:tcBorders>
          </w:tcPr>
          <w:p>
            <w:pPr>
              <w:pStyle w:val="TableParagraph"/>
              <w:spacing w:line="254" w:lineRule="exact"/>
              <w:ind w:right="122"/>
              <w:jc w:val="right"/>
              <w:rPr>
                <w:rFonts w:ascii="宋体" w:hAnsi="宋体" w:cs="宋体" w:eastAsia="宋体" w:hint="default"/>
                <w:sz w:val="22"/>
                <w:szCs w:val="22"/>
              </w:rPr>
            </w:pPr>
            <w:r>
              <w:rPr>
                <w:rFonts w:ascii="宋体"/>
                <w:w w:val="100"/>
                <w:sz w:val="22"/>
              </w:rPr>
              <w:t> </w:t>
            </w:r>
          </w:p>
        </w:tc>
        <w:tc>
          <w:tcPr>
            <w:tcW w:w="2366"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right="36"/>
              <w:jc w:val="right"/>
              <w:rPr>
                <w:rFonts w:ascii="Arial" w:hAnsi="Arial" w:cs="Arial" w:eastAsia="Arial" w:hint="default"/>
                <w:sz w:val="22"/>
                <w:szCs w:val="22"/>
              </w:rPr>
            </w:pPr>
            <w:r>
              <w:rPr>
                <w:rFonts w:ascii="Arial"/>
                <w:sz w:val="22"/>
              </w:rPr>
              <w:t>163,957,193</w:t>
            </w:r>
          </w:p>
        </w:tc>
        <w:tc>
          <w:tcPr>
            <w:tcW w:w="106" w:type="dxa"/>
            <w:tcBorders>
              <w:top w:val="nil" w:sz="6" w:space="0" w:color="auto"/>
              <w:left w:val="nil" w:sz="6" w:space="0" w:color="auto"/>
              <w:bottom w:val="nil" w:sz="6" w:space="0" w:color="auto"/>
              <w:right w:val="nil" w:sz="6" w:space="0" w:color="auto"/>
            </w:tcBorders>
          </w:tcPr>
          <w:p>
            <w:pPr/>
          </w:p>
        </w:tc>
        <w:tc>
          <w:tcPr>
            <w:tcW w:w="2390"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right="38"/>
              <w:jc w:val="right"/>
              <w:rPr>
                <w:rFonts w:ascii="Arial" w:hAnsi="Arial" w:cs="Arial" w:eastAsia="Arial" w:hint="default"/>
                <w:sz w:val="22"/>
                <w:szCs w:val="22"/>
              </w:rPr>
            </w:pPr>
            <w:r>
              <w:rPr>
                <w:rFonts w:ascii="Arial"/>
                <w:spacing w:val="-1"/>
                <w:sz w:val="22"/>
              </w:rPr>
              <w:t>363,323,541</w:t>
            </w:r>
          </w:p>
        </w:tc>
      </w:tr>
    </w:tbl>
    <w:p>
      <w:pPr>
        <w:spacing w:line="240" w:lineRule="auto" w:before="9"/>
        <w:rPr>
          <w:rFonts w:ascii="宋体" w:hAnsi="宋体" w:cs="宋体" w:eastAsia="宋体" w:hint="default"/>
          <w:sz w:val="8"/>
          <w:szCs w:val="8"/>
        </w:rPr>
      </w:pPr>
    </w:p>
    <w:p>
      <w:pPr>
        <w:pStyle w:val="BodyText"/>
        <w:spacing w:line="240" w:lineRule="auto" w:before="32"/>
        <w:ind w:left="540" w:right="102"/>
        <w:jc w:val="left"/>
      </w:pPr>
      <w:r>
        <w:rPr/>
        <w:t>上述应收票据均为一年内到期。</w:t>
      </w:r>
    </w:p>
    <w:p>
      <w:pPr>
        <w:spacing w:line="240" w:lineRule="auto" w:before="1"/>
        <w:rPr>
          <w:rFonts w:ascii="宋体" w:hAnsi="宋体" w:cs="宋体" w:eastAsia="宋体" w:hint="default"/>
          <w:sz w:val="21"/>
          <w:szCs w:val="21"/>
        </w:rPr>
      </w:pPr>
    </w:p>
    <w:p>
      <w:pPr>
        <w:pStyle w:val="BodyText"/>
        <w:spacing w:line="288" w:lineRule="exact"/>
        <w:ind w:left="540" w:right="102"/>
        <w:jc w:val="left"/>
      </w:pPr>
      <w:r>
        <w:rPr/>
        <w:t>于</w:t>
      </w:r>
      <w:r>
        <w:rPr>
          <w:spacing w:val="-38"/>
        </w:rPr>
        <w:t> </w:t>
      </w:r>
      <w:r>
        <w:rPr>
          <w:rFonts w:ascii="Arial" w:hAnsi="Arial" w:cs="Arial" w:eastAsia="Arial" w:hint="default"/>
        </w:rPr>
        <w:t>2019</w:t>
      </w:r>
      <w:r>
        <w:rPr>
          <w:rFonts w:ascii="Arial" w:hAnsi="Arial" w:cs="Arial" w:eastAsia="Arial" w:hint="default"/>
          <w:spacing w:val="13"/>
        </w:rPr>
        <w:t> </w:t>
      </w:r>
      <w:r>
        <w:rPr/>
        <w:t>年</w:t>
      </w:r>
      <w:r>
        <w:rPr>
          <w:spacing w:val="-43"/>
        </w:rPr>
        <w:t> </w:t>
      </w:r>
      <w:r>
        <w:rPr>
          <w:rFonts w:ascii="Arial" w:hAnsi="Arial" w:cs="Arial" w:eastAsia="Arial" w:hint="default"/>
        </w:rPr>
        <w:t>12</w:t>
      </w:r>
      <w:r>
        <w:rPr>
          <w:rFonts w:ascii="Arial" w:hAnsi="Arial" w:cs="Arial" w:eastAsia="Arial" w:hint="default"/>
          <w:spacing w:val="8"/>
        </w:rPr>
        <w:t> </w:t>
      </w:r>
      <w:r>
        <w:rPr/>
        <w:t>月</w:t>
      </w:r>
      <w:r>
        <w:rPr>
          <w:spacing w:val="-38"/>
        </w:rPr>
        <w:t> </w:t>
      </w:r>
      <w:r>
        <w:rPr>
          <w:rFonts w:ascii="Arial" w:hAnsi="Arial" w:cs="Arial" w:eastAsia="Arial" w:hint="default"/>
        </w:rPr>
        <w:t>31</w:t>
      </w:r>
      <w:r>
        <w:rPr>
          <w:rFonts w:ascii="Arial" w:hAnsi="Arial" w:cs="Arial" w:eastAsia="Arial" w:hint="default"/>
          <w:spacing w:val="12"/>
        </w:rPr>
        <w:t> </w:t>
      </w:r>
      <w:r>
        <w:rPr/>
        <w:t>日，本集团无已质押、已背书或贴现且未到期以及因出票人未履约而转入</w:t>
      </w:r>
      <w:r>
        <w:rPr>
          <w:w w:val="100"/>
        </w:rPr>
        <w:t> </w:t>
      </w:r>
      <w:r>
        <w:rPr/>
        <w:t>应收账款的票据。</w:t>
      </w:r>
    </w:p>
    <w:p>
      <w:pPr>
        <w:spacing w:line="240" w:lineRule="auto" w:before="0"/>
        <w:rPr>
          <w:rFonts w:ascii="宋体" w:hAnsi="宋体" w:cs="宋体" w:eastAsia="宋体" w:hint="default"/>
          <w:sz w:val="17"/>
          <w:szCs w:val="17"/>
        </w:rPr>
      </w:pPr>
    </w:p>
    <w:p>
      <w:pPr>
        <w:pStyle w:val="BodyText"/>
        <w:spacing w:line="240" w:lineRule="auto"/>
        <w:ind w:left="113" w:right="102"/>
        <w:jc w:val="left"/>
      </w:pPr>
      <w:r>
        <w:rPr>
          <w:rFonts w:ascii="Arial" w:hAnsi="Arial" w:cs="Arial" w:eastAsia="Arial" w:hint="default"/>
        </w:rPr>
        <w:t>4</w:t>
      </w:r>
      <w:r>
        <w:rPr/>
        <w:t>、</w:t>
      </w:r>
      <w:r>
        <w:rPr>
          <w:spacing w:val="-23"/>
        </w:rPr>
        <w:t> </w:t>
      </w:r>
      <w:r>
        <w:rPr/>
        <w:t>应收账款</w:t>
      </w:r>
    </w:p>
    <w:p>
      <w:pPr>
        <w:spacing w:line="240" w:lineRule="auto" w:before="1"/>
        <w:rPr>
          <w:rFonts w:ascii="宋体" w:hAnsi="宋体" w:cs="宋体" w:eastAsia="宋体" w:hint="default"/>
          <w:sz w:val="23"/>
          <w:szCs w:val="23"/>
        </w:rPr>
      </w:pPr>
    </w:p>
    <w:tbl>
      <w:tblPr>
        <w:tblW w:w="0" w:type="auto"/>
        <w:jc w:val="left"/>
        <w:tblInd w:w="470" w:type="dxa"/>
        <w:tblLayout w:type="fixed"/>
        <w:tblCellMar>
          <w:top w:w="0" w:type="dxa"/>
          <w:left w:w="0" w:type="dxa"/>
          <w:bottom w:w="0" w:type="dxa"/>
          <w:right w:w="0" w:type="dxa"/>
        </w:tblCellMar>
        <w:tblLook w:val="01E0"/>
      </w:tblPr>
      <w:tblGrid>
        <w:gridCol w:w="4136"/>
        <w:gridCol w:w="2410"/>
        <w:gridCol w:w="228"/>
        <w:gridCol w:w="2402"/>
      </w:tblGrid>
      <w:tr>
        <w:trPr>
          <w:trHeight w:val="262" w:hRule="exact"/>
        </w:trPr>
        <w:tc>
          <w:tcPr>
            <w:tcW w:w="4136"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single" w:sz="4" w:space="0" w:color="000000"/>
              <w:right w:val="nil" w:sz="6" w:space="0" w:color="auto"/>
            </w:tcBorders>
          </w:tcPr>
          <w:p>
            <w:pPr>
              <w:pStyle w:val="TableParagraph"/>
              <w:spacing w:line="236" w:lineRule="exact"/>
              <w:ind w:left="403"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10"/>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Arial" w:hAnsi="Arial" w:cs="Arial" w:eastAsia="Arial" w:hint="default"/>
                <w:sz w:val="22"/>
                <w:szCs w:val="22"/>
              </w:rPr>
              <w:t>12</w:t>
            </w:r>
            <w:r>
              <w:rPr>
                <w:rFonts w:ascii="Arial" w:hAnsi="Arial" w:cs="Arial" w:eastAsia="Arial" w:hint="default"/>
                <w:spacing w:val="-10"/>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Arial" w:hAnsi="Arial" w:cs="Arial" w:eastAsia="Arial" w:hint="default"/>
                <w:sz w:val="22"/>
                <w:szCs w:val="22"/>
              </w:rPr>
              <w:t>31</w:t>
            </w:r>
            <w:r>
              <w:rPr>
                <w:rFonts w:ascii="Arial" w:hAnsi="Arial" w:cs="Arial" w:eastAsia="Arial" w:hint="default"/>
                <w:spacing w:val="-11"/>
                <w:sz w:val="22"/>
                <w:szCs w:val="22"/>
              </w:rPr>
              <w:t> </w:t>
            </w:r>
            <w:r>
              <w:rPr>
                <w:rFonts w:ascii="宋体" w:hAnsi="宋体" w:cs="宋体" w:eastAsia="宋体" w:hint="default"/>
                <w:sz w:val="22"/>
                <w:szCs w:val="22"/>
              </w:rPr>
              <w:t>日</w:t>
            </w:r>
          </w:p>
        </w:tc>
        <w:tc>
          <w:tcPr>
            <w:tcW w:w="228" w:type="dxa"/>
            <w:tcBorders>
              <w:top w:val="nil" w:sz="6" w:space="0" w:color="auto"/>
              <w:left w:val="nil" w:sz="6" w:space="0" w:color="auto"/>
              <w:bottom w:val="nil" w:sz="6" w:space="0" w:color="auto"/>
              <w:right w:val="nil" w:sz="6" w:space="0" w:color="auto"/>
            </w:tcBorders>
          </w:tcPr>
          <w:p>
            <w:pPr/>
          </w:p>
        </w:tc>
        <w:tc>
          <w:tcPr>
            <w:tcW w:w="2402" w:type="dxa"/>
            <w:tcBorders>
              <w:top w:val="nil" w:sz="6" w:space="0" w:color="auto"/>
              <w:left w:val="nil" w:sz="6" w:space="0" w:color="auto"/>
              <w:bottom w:val="single" w:sz="4" w:space="0" w:color="000000"/>
              <w:right w:val="nil" w:sz="6" w:space="0" w:color="auto"/>
            </w:tcBorders>
          </w:tcPr>
          <w:p>
            <w:pPr>
              <w:pStyle w:val="TableParagraph"/>
              <w:spacing w:line="236" w:lineRule="exact"/>
              <w:ind w:left="381"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708" w:hRule="exact"/>
        </w:trPr>
        <w:tc>
          <w:tcPr>
            <w:tcW w:w="413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应收账款</w:t>
            </w:r>
            <w:r>
              <w:rPr>
                <w:rFonts w:ascii="宋体" w:hAnsi="宋体" w:cs="宋体" w:eastAsia="宋体" w:hint="default"/>
                <w:sz w:val="22"/>
                <w:szCs w:val="22"/>
              </w:rPr>
              <w:t> </w:t>
            </w:r>
          </w:p>
        </w:tc>
        <w:tc>
          <w:tcPr>
            <w:tcW w:w="2410"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30"/>
                <w:szCs w:val="30"/>
              </w:rPr>
            </w:pPr>
          </w:p>
          <w:p>
            <w:pPr>
              <w:pStyle w:val="TableParagraph"/>
              <w:spacing w:line="240" w:lineRule="auto"/>
              <w:ind w:right="103"/>
              <w:jc w:val="right"/>
              <w:rPr>
                <w:rFonts w:ascii="Arial" w:hAnsi="Arial" w:cs="Arial" w:eastAsia="Arial" w:hint="default"/>
                <w:sz w:val="22"/>
                <w:szCs w:val="22"/>
              </w:rPr>
            </w:pPr>
            <w:r>
              <w:rPr>
                <w:rFonts w:ascii="Arial"/>
                <w:sz w:val="22"/>
              </w:rPr>
              <w:t>27,832,116,901</w:t>
            </w:r>
          </w:p>
        </w:tc>
        <w:tc>
          <w:tcPr>
            <w:tcW w:w="228" w:type="dxa"/>
            <w:tcBorders>
              <w:top w:val="nil" w:sz="6" w:space="0" w:color="auto"/>
              <w:left w:val="nil" w:sz="6" w:space="0" w:color="auto"/>
              <w:bottom w:val="nil" w:sz="6" w:space="0" w:color="auto"/>
              <w:right w:val="nil" w:sz="6" w:space="0" w:color="auto"/>
            </w:tcBorders>
          </w:tcPr>
          <w:p>
            <w:pPr/>
          </w:p>
        </w:tc>
        <w:tc>
          <w:tcPr>
            <w:tcW w:w="2402"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30"/>
                <w:szCs w:val="30"/>
              </w:rPr>
            </w:pPr>
          </w:p>
          <w:p>
            <w:pPr>
              <w:pStyle w:val="TableParagraph"/>
              <w:spacing w:line="240" w:lineRule="auto"/>
              <w:ind w:right="99"/>
              <w:jc w:val="right"/>
              <w:rPr>
                <w:rFonts w:ascii="Arial" w:hAnsi="Arial" w:cs="Arial" w:eastAsia="Arial" w:hint="default"/>
                <w:sz w:val="22"/>
                <w:szCs w:val="22"/>
              </w:rPr>
            </w:pPr>
            <w:r>
              <w:rPr>
                <w:rFonts w:ascii="Arial"/>
                <w:sz w:val="22"/>
              </w:rPr>
              <w:t>24,563,105,484</w:t>
            </w:r>
          </w:p>
        </w:tc>
      </w:tr>
      <w:tr>
        <w:trPr>
          <w:trHeight w:val="499" w:hRule="exact"/>
        </w:trPr>
        <w:tc>
          <w:tcPr>
            <w:tcW w:w="4136" w:type="dxa"/>
            <w:tcBorders>
              <w:top w:val="nil" w:sz="6" w:space="0" w:color="auto"/>
              <w:left w:val="nil" w:sz="6" w:space="0" w:color="auto"/>
              <w:bottom w:val="nil" w:sz="6" w:space="0" w:color="auto"/>
              <w:right w:val="nil" w:sz="6" w:space="0" w:color="auto"/>
            </w:tcBorders>
          </w:tcPr>
          <w:p>
            <w:pPr>
              <w:pStyle w:val="TableParagraph"/>
              <w:spacing w:line="273" w:lineRule="exact"/>
              <w:ind w:left="200" w:right="0"/>
              <w:jc w:val="left"/>
              <w:rPr>
                <w:rFonts w:ascii="宋体" w:hAnsi="宋体" w:cs="宋体" w:eastAsia="宋体" w:hint="default"/>
                <w:sz w:val="22"/>
                <w:szCs w:val="22"/>
              </w:rPr>
            </w:pPr>
            <w:r>
              <w:rPr>
                <w:rFonts w:ascii="宋体" w:hAnsi="宋体" w:cs="宋体" w:eastAsia="宋体" w:hint="default"/>
                <w:sz w:val="22"/>
                <w:szCs w:val="22"/>
              </w:rPr>
              <w:t>减：坏账准备</w:t>
            </w:r>
            <w:r>
              <w:rPr>
                <w:rFonts w:ascii="宋体" w:hAnsi="宋体" w:cs="宋体" w:eastAsia="宋体" w:hint="default"/>
                <w:sz w:val="22"/>
                <w:szCs w:val="22"/>
              </w:rPr>
              <w:t> </w:t>
            </w:r>
          </w:p>
        </w:tc>
        <w:tc>
          <w:tcPr>
            <w:tcW w:w="2410" w:type="dxa"/>
            <w:tcBorders>
              <w:top w:val="nil" w:sz="6" w:space="0" w:color="auto"/>
              <w:left w:val="nil" w:sz="6" w:space="0" w:color="auto"/>
              <w:bottom w:val="nil" w:sz="6" w:space="0" w:color="auto"/>
              <w:right w:val="nil" w:sz="6" w:space="0" w:color="auto"/>
            </w:tcBorders>
          </w:tcPr>
          <w:p>
            <w:pPr>
              <w:pStyle w:val="TableParagraph"/>
              <w:tabs>
                <w:tab w:pos="825" w:val="left" w:leader="none"/>
              </w:tabs>
              <w:spacing w:line="240" w:lineRule="auto" w:before="50"/>
              <w:ind w:right="2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(7,375,200,276)</w:t>
            </w:r>
            <w:r>
              <w:rPr>
                <w:rFonts w:ascii="Arial"/>
                <w:spacing w:val="-1"/>
                <w:sz w:val="22"/>
              </w:rPr>
            </w:r>
            <w:r>
              <w:rPr>
                <w:rFonts w:ascii="Arial"/>
                <w:sz w:val="22"/>
              </w:rPr>
            </w:r>
          </w:p>
        </w:tc>
        <w:tc>
          <w:tcPr>
            <w:tcW w:w="228" w:type="dxa"/>
            <w:tcBorders>
              <w:top w:val="nil" w:sz="6" w:space="0" w:color="auto"/>
              <w:left w:val="nil" w:sz="6" w:space="0" w:color="auto"/>
              <w:bottom w:val="nil" w:sz="6" w:space="0" w:color="auto"/>
              <w:right w:val="nil" w:sz="6" w:space="0" w:color="auto"/>
            </w:tcBorders>
          </w:tcPr>
          <w:p>
            <w:pPr/>
          </w:p>
        </w:tc>
        <w:tc>
          <w:tcPr>
            <w:tcW w:w="2402" w:type="dxa"/>
            <w:tcBorders>
              <w:top w:val="nil" w:sz="6" w:space="0" w:color="auto"/>
              <w:left w:val="nil" w:sz="6" w:space="0" w:color="auto"/>
              <w:bottom w:val="nil" w:sz="6" w:space="0" w:color="auto"/>
              <w:right w:val="nil" w:sz="6" w:space="0" w:color="auto"/>
            </w:tcBorders>
          </w:tcPr>
          <w:p>
            <w:pPr>
              <w:pStyle w:val="TableParagraph"/>
              <w:tabs>
                <w:tab w:pos="811" w:val="left" w:leader="none"/>
              </w:tabs>
              <w:spacing w:line="240" w:lineRule="auto" w:before="50"/>
              <w:ind w:right="2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(6,720,402,501)</w:t>
            </w:r>
            <w:r>
              <w:rPr>
                <w:rFonts w:ascii="Arial"/>
                <w:spacing w:val="-1"/>
                <w:sz w:val="22"/>
              </w:rPr>
            </w:r>
            <w:r>
              <w:rPr>
                <w:rFonts w:ascii="Arial"/>
                <w:sz w:val="22"/>
              </w:rPr>
            </w:r>
          </w:p>
        </w:tc>
      </w:tr>
      <w:tr>
        <w:trPr>
          <w:trHeight w:val="480" w:hRule="exact"/>
        </w:trPr>
        <w:tc>
          <w:tcPr>
            <w:tcW w:w="4136"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200" w:right="0"/>
              <w:jc w:val="left"/>
              <w:rPr>
                <w:rFonts w:ascii="宋体" w:hAnsi="宋体" w:cs="宋体" w:eastAsia="宋体" w:hint="default"/>
                <w:sz w:val="22"/>
                <w:szCs w:val="22"/>
              </w:rPr>
            </w:pPr>
            <w:r>
              <w:rPr>
                <w:rFonts w:ascii="宋体" w:hAnsi="宋体" w:cs="宋体" w:eastAsia="宋体" w:hint="default"/>
                <w:sz w:val="22"/>
                <w:szCs w:val="22"/>
              </w:rPr>
              <w:t>应收账款净额合计</w:t>
            </w:r>
            <w:r>
              <w:rPr>
                <w:rFonts w:ascii="宋体" w:hAnsi="宋体" w:cs="宋体" w:eastAsia="宋体" w:hint="default"/>
                <w:sz w:val="22"/>
                <w:szCs w:val="22"/>
              </w:rPr>
              <w:t> </w:t>
            </w:r>
          </w:p>
        </w:tc>
        <w:tc>
          <w:tcPr>
            <w:tcW w:w="2410" w:type="dxa"/>
            <w:tcBorders>
              <w:top w:val="nil" w:sz="6" w:space="0" w:color="auto"/>
              <w:left w:val="nil" w:sz="6" w:space="0" w:color="auto"/>
              <w:bottom w:val="single" w:sz="17" w:space="0" w:color="000000"/>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3"/>
              <w:jc w:val="right"/>
              <w:rPr>
                <w:rFonts w:ascii="Arial" w:hAnsi="Arial" w:cs="Arial" w:eastAsia="Arial" w:hint="default"/>
                <w:sz w:val="22"/>
                <w:szCs w:val="22"/>
              </w:rPr>
            </w:pPr>
            <w:r>
              <w:rPr>
                <w:rFonts w:ascii="Arial"/>
                <w:sz w:val="22"/>
              </w:rPr>
              <w:t>20,456,916,625</w:t>
            </w:r>
          </w:p>
        </w:tc>
        <w:tc>
          <w:tcPr>
            <w:tcW w:w="228" w:type="dxa"/>
            <w:tcBorders>
              <w:top w:val="nil" w:sz="6" w:space="0" w:color="auto"/>
              <w:left w:val="nil" w:sz="6" w:space="0" w:color="auto"/>
              <w:bottom w:val="nil" w:sz="6" w:space="0" w:color="auto"/>
              <w:right w:val="nil" w:sz="6" w:space="0" w:color="auto"/>
            </w:tcBorders>
          </w:tcPr>
          <w:p>
            <w:pPr/>
          </w:p>
        </w:tc>
        <w:tc>
          <w:tcPr>
            <w:tcW w:w="2402" w:type="dxa"/>
            <w:tcBorders>
              <w:top w:val="nil" w:sz="6" w:space="0" w:color="auto"/>
              <w:left w:val="nil" w:sz="6" w:space="0" w:color="auto"/>
              <w:bottom w:val="single" w:sz="17" w:space="0" w:color="000000"/>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9"/>
              <w:jc w:val="right"/>
              <w:rPr>
                <w:rFonts w:ascii="Arial" w:hAnsi="Arial" w:cs="Arial" w:eastAsia="Arial" w:hint="default"/>
                <w:sz w:val="22"/>
                <w:szCs w:val="22"/>
              </w:rPr>
            </w:pPr>
            <w:r>
              <w:rPr>
                <w:rFonts w:ascii="Arial"/>
                <w:sz w:val="22"/>
              </w:rPr>
              <w:t>17,842,702,983</w:t>
            </w:r>
          </w:p>
        </w:tc>
      </w:tr>
    </w:tbl>
    <w:p>
      <w:pPr>
        <w:spacing w:line="240" w:lineRule="auto" w:before="2"/>
        <w:rPr>
          <w:rFonts w:ascii="宋体" w:hAnsi="宋体" w:cs="宋体" w:eastAsia="宋体" w:hint="default"/>
          <w:sz w:val="14"/>
          <w:szCs w:val="14"/>
        </w:rPr>
      </w:pPr>
    </w:p>
    <w:p>
      <w:pPr>
        <w:pStyle w:val="BodyText"/>
        <w:spacing w:line="240" w:lineRule="auto" w:before="32"/>
        <w:ind w:left="113" w:right="102"/>
        <w:jc w:val="left"/>
      </w:pPr>
      <w:r>
        <w:rPr>
          <w:rFonts w:ascii="Arial" w:hAnsi="Arial" w:cs="Arial" w:eastAsia="Arial" w:hint="default"/>
        </w:rPr>
        <w:t>(1) </w:t>
      </w:r>
      <w:r>
        <w:rPr>
          <w:rFonts w:ascii="Arial" w:hAnsi="Arial" w:cs="Arial" w:eastAsia="Arial" w:hint="default"/>
          <w:spacing w:val="32"/>
        </w:rPr>
        <w:t> </w:t>
      </w:r>
      <w:r>
        <w:rPr/>
        <w:t>本集团应收账款账龄分析如下：</w:t>
      </w:r>
    </w:p>
    <w:p>
      <w:pPr>
        <w:spacing w:line="240" w:lineRule="auto" w:before="0"/>
        <w:rPr>
          <w:rFonts w:ascii="宋体" w:hAnsi="宋体" w:cs="宋体" w:eastAsia="宋体" w:hint="default"/>
          <w:sz w:val="23"/>
          <w:szCs w:val="23"/>
        </w:rPr>
      </w:pPr>
    </w:p>
    <w:tbl>
      <w:tblPr>
        <w:tblW w:w="0" w:type="auto"/>
        <w:jc w:val="left"/>
        <w:tblInd w:w="355" w:type="dxa"/>
        <w:tblLayout w:type="fixed"/>
        <w:tblCellMar>
          <w:top w:w="0" w:type="dxa"/>
          <w:left w:w="0" w:type="dxa"/>
          <w:bottom w:w="0" w:type="dxa"/>
          <w:right w:w="0" w:type="dxa"/>
        </w:tblCellMar>
        <w:tblLook w:val="01E0"/>
      </w:tblPr>
      <w:tblGrid>
        <w:gridCol w:w="3790"/>
        <w:gridCol w:w="2549"/>
        <w:gridCol w:w="235"/>
        <w:gridCol w:w="2534"/>
      </w:tblGrid>
      <w:tr>
        <w:trPr>
          <w:trHeight w:val="262" w:hRule="exact"/>
        </w:trPr>
        <w:tc>
          <w:tcPr>
            <w:tcW w:w="3790" w:type="dxa"/>
            <w:tcBorders>
              <w:top w:val="nil" w:sz="6" w:space="0" w:color="auto"/>
              <w:left w:val="nil" w:sz="6" w:space="0" w:color="auto"/>
              <w:bottom w:val="nil" w:sz="6" w:space="0" w:color="auto"/>
              <w:right w:val="nil" w:sz="6" w:space="0" w:color="auto"/>
            </w:tcBorders>
          </w:tcPr>
          <w:p>
            <w:pPr/>
          </w:p>
        </w:tc>
        <w:tc>
          <w:tcPr>
            <w:tcW w:w="2549" w:type="dxa"/>
            <w:tcBorders>
              <w:top w:val="nil" w:sz="6" w:space="0" w:color="auto"/>
              <w:left w:val="nil" w:sz="6" w:space="0" w:color="auto"/>
              <w:bottom w:val="single" w:sz="4" w:space="0" w:color="000000"/>
              <w:right w:val="nil" w:sz="6" w:space="0" w:color="auto"/>
            </w:tcBorders>
          </w:tcPr>
          <w:p>
            <w:pPr>
              <w:pStyle w:val="TableParagraph"/>
              <w:spacing w:line="236" w:lineRule="exact"/>
              <w:ind w:right="103"/>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10"/>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Arial" w:hAnsi="Arial" w:cs="Arial" w:eastAsia="Arial" w:hint="default"/>
                <w:sz w:val="22"/>
                <w:szCs w:val="22"/>
              </w:rPr>
              <w:t>12</w:t>
            </w:r>
            <w:r>
              <w:rPr>
                <w:rFonts w:ascii="Arial" w:hAnsi="Arial" w:cs="Arial" w:eastAsia="Arial" w:hint="default"/>
                <w:spacing w:val="-10"/>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Arial" w:hAnsi="Arial" w:cs="Arial" w:eastAsia="Arial" w:hint="default"/>
                <w:sz w:val="22"/>
                <w:szCs w:val="22"/>
              </w:rPr>
              <w:t>31</w:t>
            </w:r>
            <w:r>
              <w:rPr>
                <w:rFonts w:ascii="Arial" w:hAnsi="Arial" w:cs="Arial" w:eastAsia="Arial" w:hint="default"/>
                <w:spacing w:val="-11"/>
                <w:sz w:val="22"/>
                <w:szCs w:val="22"/>
              </w:rPr>
              <w:t> </w:t>
            </w:r>
            <w:r>
              <w:rPr>
                <w:rFonts w:ascii="宋体" w:hAnsi="宋体" w:cs="宋体" w:eastAsia="宋体" w:hint="default"/>
                <w:sz w:val="22"/>
                <w:szCs w:val="22"/>
              </w:rPr>
              <w:t>日</w:t>
            </w:r>
          </w:p>
        </w:tc>
        <w:tc>
          <w:tcPr>
            <w:tcW w:w="235" w:type="dxa"/>
            <w:tcBorders>
              <w:top w:val="nil" w:sz="6" w:space="0" w:color="auto"/>
              <w:left w:val="nil" w:sz="6" w:space="0" w:color="auto"/>
              <w:bottom w:val="nil" w:sz="6" w:space="0" w:color="auto"/>
              <w:right w:val="nil" w:sz="6" w:space="0" w:color="auto"/>
            </w:tcBorders>
          </w:tcPr>
          <w:p>
            <w:pPr/>
          </w:p>
        </w:tc>
        <w:tc>
          <w:tcPr>
            <w:tcW w:w="2534" w:type="dxa"/>
            <w:tcBorders>
              <w:top w:val="nil" w:sz="6" w:space="0" w:color="auto"/>
              <w:left w:val="nil" w:sz="6" w:space="0" w:color="auto"/>
              <w:bottom w:val="single" w:sz="4" w:space="0" w:color="000000"/>
              <w:right w:val="nil" w:sz="6" w:space="0" w:color="auto"/>
            </w:tcBorders>
          </w:tcPr>
          <w:p>
            <w:pPr>
              <w:pStyle w:val="TableParagraph"/>
              <w:spacing w:line="236" w:lineRule="exact"/>
              <w:ind w:right="98"/>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10"/>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Arial" w:hAnsi="Arial" w:cs="Arial" w:eastAsia="Arial" w:hint="default"/>
                <w:sz w:val="22"/>
                <w:szCs w:val="22"/>
              </w:rPr>
              <w:t>12</w:t>
            </w:r>
            <w:r>
              <w:rPr>
                <w:rFonts w:ascii="Arial" w:hAnsi="Arial" w:cs="Arial" w:eastAsia="Arial" w:hint="default"/>
                <w:spacing w:val="-10"/>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Arial" w:hAnsi="Arial" w:cs="Arial" w:eastAsia="Arial" w:hint="default"/>
                <w:sz w:val="22"/>
                <w:szCs w:val="22"/>
              </w:rPr>
              <w:t>31</w:t>
            </w:r>
            <w:r>
              <w:rPr>
                <w:rFonts w:ascii="Arial" w:hAnsi="Arial" w:cs="Arial" w:eastAsia="Arial" w:hint="default"/>
                <w:spacing w:val="-11"/>
                <w:sz w:val="22"/>
                <w:szCs w:val="22"/>
              </w:rPr>
              <w:t> </w:t>
            </w:r>
            <w:r>
              <w:rPr>
                <w:rFonts w:ascii="宋体" w:hAnsi="宋体" w:cs="宋体" w:eastAsia="宋体" w:hint="default"/>
                <w:sz w:val="22"/>
                <w:szCs w:val="22"/>
              </w:rPr>
              <w:t>日</w:t>
            </w:r>
          </w:p>
        </w:tc>
      </w:tr>
      <w:tr>
        <w:trPr>
          <w:trHeight w:val="677" w:hRule="exact"/>
        </w:trPr>
        <w:tc>
          <w:tcPr>
            <w:tcW w:w="379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left="200" w:right="0"/>
              <w:jc w:val="left"/>
              <w:rPr>
                <w:rFonts w:ascii="宋体" w:hAnsi="宋体" w:cs="宋体" w:eastAsia="宋体" w:hint="default"/>
                <w:sz w:val="22"/>
                <w:szCs w:val="22"/>
              </w:rPr>
            </w:pPr>
            <w:r>
              <w:rPr>
                <w:rFonts w:ascii="Arial" w:hAnsi="Arial" w:cs="Arial" w:eastAsia="Arial" w:hint="default"/>
                <w:sz w:val="22"/>
                <w:szCs w:val="22"/>
              </w:rPr>
              <w:t>1</w:t>
            </w:r>
            <w:r>
              <w:rPr>
                <w:rFonts w:ascii="Arial" w:hAnsi="Arial" w:cs="Arial" w:eastAsia="Arial" w:hint="default"/>
                <w:spacing w:val="-9"/>
                <w:sz w:val="22"/>
                <w:szCs w:val="22"/>
              </w:rPr>
              <w:t> </w:t>
            </w:r>
            <w:r>
              <w:rPr>
                <w:rFonts w:ascii="宋体" w:hAnsi="宋体" w:cs="宋体" w:eastAsia="宋体" w:hint="default"/>
                <w:sz w:val="22"/>
                <w:szCs w:val="22"/>
              </w:rPr>
              <w:t>个月以内</w:t>
            </w:r>
            <w:r>
              <w:rPr>
                <w:rFonts w:ascii="宋体" w:hAnsi="宋体" w:cs="宋体" w:eastAsia="宋体" w:hint="default"/>
                <w:sz w:val="22"/>
                <w:szCs w:val="22"/>
              </w:rPr>
              <w:t> </w:t>
            </w:r>
          </w:p>
        </w:tc>
        <w:tc>
          <w:tcPr>
            <w:tcW w:w="2549"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103"/>
              <w:jc w:val="right"/>
              <w:rPr>
                <w:rFonts w:ascii="Arial" w:hAnsi="Arial" w:cs="Arial" w:eastAsia="Arial" w:hint="default"/>
                <w:sz w:val="22"/>
                <w:szCs w:val="22"/>
              </w:rPr>
            </w:pPr>
            <w:r>
              <w:rPr>
                <w:rFonts w:ascii="Arial"/>
                <w:sz w:val="22"/>
              </w:rPr>
              <w:t>11,738,698,051</w:t>
            </w:r>
          </w:p>
        </w:tc>
        <w:tc>
          <w:tcPr>
            <w:tcW w:w="235" w:type="dxa"/>
            <w:tcBorders>
              <w:top w:val="nil" w:sz="6" w:space="0" w:color="auto"/>
              <w:left w:val="nil" w:sz="6" w:space="0" w:color="auto"/>
              <w:bottom w:val="nil" w:sz="6" w:space="0" w:color="auto"/>
              <w:right w:val="nil" w:sz="6" w:space="0" w:color="auto"/>
            </w:tcBorders>
          </w:tcPr>
          <w:p>
            <w:pPr/>
          </w:p>
        </w:tc>
        <w:tc>
          <w:tcPr>
            <w:tcW w:w="2534"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99"/>
              <w:jc w:val="right"/>
              <w:rPr>
                <w:rFonts w:ascii="Arial" w:hAnsi="Arial" w:cs="Arial" w:eastAsia="Arial" w:hint="default"/>
                <w:sz w:val="22"/>
                <w:szCs w:val="22"/>
              </w:rPr>
            </w:pPr>
            <w:r>
              <w:rPr>
                <w:rFonts w:ascii="Arial"/>
                <w:sz w:val="22"/>
              </w:rPr>
              <w:t>10,137,854,774</w:t>
            </w:r>
          </w:p>
        </w:tc>
      </w:tr>
      <w:tr>
        <w:trPr>
          <w:trHeight w:val="350" w:hRule="exact"/>
        </w:trPr>
        <w:tc>
          <w:tcPr>
            <w:tcW w:w="3790" w:type="dxa"/>
            <w:tcBorders>
              <w:top w:val="nil" w:sz="6" w:space="0" w:color="auto"/>
              <w:left w:val="nil" w:sz="6" w:space="0" w:color="auto"/>
              <w:bottom w:val="nil" w:sz="6" w:space="0" w:color="auto"/>
              <w:right w:val="nil" w:sz="6" w:space="0" w:color="auto"/>
            </w:tcBorders>
          </w:tcPr>
          <w:p>
            <w:pPr>
              <w:pStyle w:val="TableParagraph"/>
              <w:spacing w:line="286" w:lineRule="exact"/>
              <w:ind w:left="200" w:right="0"/>
              <w:jc w:val="left"/>
              <w:rPr>
                <w:rFonts w:ascii="宋体" w:hAnsi="宋体" w:cs="宋体" w:eastAsia="宋体" w:hint="default"/>
                <w:sz w:val="22"/>
                <w:szCs w:val="22"/>
              </w:rPr>
            </w:pPr>
            <w:r>
              <w:rPr>
                <w:rFonts w:ascii="Arial" w:hAnsi="Arial" w:cs="Arial" w:eastAsia="Arial" w:hint="default"/>
                <w:sz w:val="22"/>
                <w:szCs w:val="22"/>
              </w:rPr>
              <w:t>1-3</w:t>
            </w:r>
            <w:r>
              <w:rPr>
                <w:rFonts w:ascii="Arial" w:hAnsi="Arial" w:cs="Arial" w:eastAsia="Arial" w:hint="default"/>
                <w:spacing w:val="-4"/>
                <w:sz w:val="22"/>
                <w:szCs w:val="22"/>
              </w:rPr>
              <w:t> </w:t>
            </w:r>
            <w:r>
              <w:rPr>
                <w:rFonts w:ascii="宋体" w:hAnsi="宋体" w:cs="宋体" w:eastAsia="宋体" w:hint="default"/>
                <w:spacing w:val="-3"/>
                <w:sz w:val="22"/>
                <w:szCs w:val="22"/>
              </w:rPr>
              <w:t>个月</w:t>
            </w:r>
            <w:r>
              <w:rPr>
                <w:rFonts w:ascii="宋体" w:hAnsi="宋体" w:cs="宋体" w:eastAsia="宋体" w:hint="default"/>
                <w:sz w:val="22"/>
                <w:szCs w:val="22"/>
              </w:rPr>
              <w:t> </w:t>
            </w:r>
          </w:p>
        </w:tc>
        <w:tc>
          <w:tcPr>
            <w:tcW w:w="254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5"/>
              <w:jc w:val="right"/>
              <w:rPr>
                <w:rFonts w:ascii="Arial" w:hAnsi="Arial" w:cs="Arial" w:eastAsia="Arial" w:hint="default"/>
                <w:sz w:val="22"/>
                <w:szCs w:val="22"/>
              </w:rPr>
            </w:pPr>
            <w:r>
              <w:rPr>
                <w:rFonts w:ascii="Arial"/>
                <w:spacing w:val="-1"/>
                <w:sz w:val="22"/>
              </w:rPr>
              <w:t>3,793,000,347</w:t>
            </w:r>
          </w:p>
        </w:tc>
        <w:tc>
          <w:tcPr>
            <w:tcW w:w="235" w:type="dxa"/>
            <w:tcBorders>
              <w:top w:val="nil" w:sz="6" w:space="0" w:color="auto"/>
              <w:left w:val="nil" w:sz="6" w:space="0" w:color="auto"/>
              <w:bottom w:val="nil" w:sz="6" w:space="0" w:color="auto"/>
              <w:right w:val="nil" w:sz="6" w:space="0" w:color="auto"/>
            </w:tcBorders>
          </w:tcPr>
          <w:p>
            <w:pPr/>
          </w:p>
        </w:tc>
        <w:tc>
          <w:tcPr>
            <w:tcW w:w="253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1"/>
              <w:jc w:val="right"/>
              <w:rPr>
                <w:rFonts w:ascii="Arial" w:hAnsi="Arial" w:cs="Arial" w:eastAsia="Arial" w:hint="default"/>
                <w:sz w:val="22"/>
                <w:szCs w:val="22"/>
              </w:rPr>
            </w:pPr>
            <w:r>
              <w:rPr>
                <w:rFonts w:ascii="Arial"/>
                <w:spacing w:val="-1"/>
                <w:sz w:val="22"/>
              </w:rPr>
              <w:t>3,443,245,326</w:t>
            </w:r>
          </w:p>
        </w:tc>
      </w:tr>
      <w:tr>
        <w:trPr>
          <w:trHeight w:val="350" w:hRule="exact"/>
        </w:trPr>
        <w:tc>
          <w:tcPr>
            <w:tcW w:w="3790" w:type="dxa"/>
            <w:tcBorders>
              <w:top w:val="nil" w:sz="6" w:space="0" w:color="auto"/>
              <w:left w:val="nil" w:sz="6" w:space="0" w:color="auto"/>
              <w:bottom w:val="nil" w:sz="6" w:space="0" w:color="auto"/>
              <w:right w:val="nil" w:sz="6" w:space="0" w:color="auto"/>
            </w:tcBorders>
          </w:tcPr>
          <w:p>
            <w:pPr>
              <w:pStyle w:val="TableParagraph"/>
              <w:spacing w:line="286" w:lineRule="exact"/>
              <w:ind w:left="200" w:right="0"/>
              <w:jc w:val="left"/>
              <w:rPr>
                <w:rFonts w:ascii="宋体" w:hAnsi="宋体" w:cs="宋体" w:eastAsia="宋体" w:hint="default"/>
                <w:sz w:val="22"/>
                <w:szCs w:val="22"/>
              </w:rPr>
            </w:pPr>
            <w:r>
              <w:rPr>
                <w:rFonts w:ascii="Arial" w:hAnsi="Arial" w:cs="Arial" w:eastAsia="Arial" w:hint="default"/>
                <w:sz w:val="22"/>
                <w:szCs w:val="22"/>
              </w:rPr>
              <w:t>3-12</w:t>
            </w:r>
            <w:r>
              <w:rPr>
                <w:rFonts w:ascii="Arial" w:hAnsi="Arial" w:cs="Arial" w:eastAsia="Arial" w:hint="default"/>
                <w:spacing w:val="-1"/>
                <w:sz w:val="22"/>
                <w:szCs w:val="22"/>
              </w:rPr>
              <w:t> </w:t>
            </w:r>
            <w:r>
              <w:rPr>
                <w:rFonts w:ascii="宋体" w:hAnsi="宋体" w:cs="宋体" w:eastAsia="宋体" w:hint="default"/>
                <w:spacing w:val="-3"/>
                <w:sz w:val="22"/>
                <w:szCs w:val="22"/>
              </w:rPr>
              <w:t>个月</w:t>
            </w:r>
            <w:r>
              <w:rPr>
                <w:rFonts w:ascii="宋体" w:hAnsi="宋体" w:cs="宋体" w:eastAsia="宋体" w:hint="default"/>
                <w:sz w:val="22"/>
                <w:szCs w:val="22"/>
              </w:rPr>
              <w:t> </w:t>
            </w:r>
          </w:p>
        </w:tc>
        <w:tc>
          <w:tcPr>
            <w:tcW w:w="254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5"/>
              <w:jc w:val="right"/>
              <w:rPr>
                <w:rFonts w:ascii="Arial" w:hAnsi="Arial" w:cs="Arial" w:eastAsia="Arial" w:hint="default"/>
                <w:sz w:val="22"/>
                <w:szCs w:val="22"/>
              </w:rPr>
            </w:pPr>
            <w:r>
              <w:rPr>
                <w:rFonts w:ascii="Arial"/>
                <w:spacing w:val="-1"/>
                <w:sz w:val="22"/>
              </w:rPr>
              <w:t>6,780,126,507</w:t>
            </w:r>
          </w:p>
        </w:tc>
        <w:tc>
          <w:tcPr>
            <w:tcW w:w="235" w:type="dxa"/>
            <w:tcBorders>
              <w:top w:val="nil" w:sz="6" w:space="0" w:color="auto"/>
              <w:left w:val="nil" w:sz="6" w:space="0" w:color="auto"/>
              <w:bottom w:val="nil" w:sz="6" w:space="0" w:color="auto"/>
              <w:right w:val="nil" w:sz="6" w:space="0" w:color="auto"/>
            </w:tcBorders>
          </w:tcPr>
          <w:p>
            <w:pPr/>
          </w:p>
        </w:tc>
        <w:tc>
          <w:tcPr>
            <w:tcW w:w="253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1"/>
              <w:jc w:val="right"/>
              <w:rPr>
                <w:rFonts w:ascii="Arial" w:hAnsi="Arial" w:cs="Arial" w:eastAsia="Arial" w:hint="default"/>
                <w:sz w:val="22"/>
                <w:szCs w:val="22"/>
              </w:rPr>
            </w:pPr>
            <w:r>
              <w:rPr>
                <w:rFonts w:ascii="Arial"/>
                <w:spacing w:val="-1"/>
                <w:sz w:val="22"/>
              </w:rPr>
              <w:t>6,033,449,117</w:t>
            </w:r>
          </w:p>
        </w:tc>
      </w:tr>
      <w:tr>
        <w:trPr>
          <w:trHeight w:val="350" w:hRule="exact"/>
        </w:trPr>
        <w:tc>
          <w:tcPr>
            <w:tcW w:w="3790" w:type="dxa"/>
            <w:tcBorders>
              <w:top w:val="nil" w:sz="6" w:space="0" w:color="auto"/>
              <w:left w:val="nil" w:sz="6" w:space="0" w:color="auto"/>
              <w:bottom w:val="nil" w:sz="6" w:space="0" w:color="auto"/>
              <w:right w:val="nil" w:sz="6" w:space="0" w:color="auto"/>
            </w:tcBorders>
          </w:tcPr>
          <w:p>
            <w:pPr>
              <w:pStyle w:val="TableParagraph"/>
              <w:spacing w:line="286" w:lineRule="exact"/>
              <w:ind w:left="200" w:right="0"/>
              <w:jc w:val="left"/>
              <w:rPr>
                <w:rFonts w:ascii="宋体" w:hAnsi="宋体" w:cs="宋体" w:eastAsia="宋体" w:hint="default"/>
                <w:sz w:val="22"/>
                <w:szCs w:val="22"/>
              </w:rPr>
            </w:pPr>
            <w:r>
              <w:rPr>
                <w:rFonts w:ascii="Arial" w:hAnsi="Arial" w:cs="Arial" w:eastAsia="Arial" w:hint="default"/>
                <w:sz w:val="22"/>
                <w:szCs w:val="22"/>
              </w:rPr>
              <w:t>1-2</w:t>
            </w:r>
            <w:r>
              <w:rPr>
                <w:rFonts w:ascii="Arial" w:hAnsi="Arial" w:cs="Arial" w:eastAsia="Arial" w:hint="default"/>
                <w:spacing w:val="-6"/>
                <w:sz w:val="22"/>
                <w:szCs w:val="22"/>
              </w:rPr>
              <w:t> </w:t>
            </w:r>
            <w:r>
              <w:rPr>
                <w:rFonts w:ascii="宋体" w:hAnsi="宋体" w:cs="宋体" w:eastAsia="宋体" w:hint="default"/>
                <w:sz w:val="22"/>
                <w:szCs w:val="22"/>
              </w:rPr>
              <w:t>年</w:t>
            </w:r>
            <w:r>
              <w:rPr>
                <w:rFonts w:ascii="宋体" w:hAnsi="宋体" w:cs="宋体" w:eastAsia="宋体" w:hint="default"/>
                <w:sz w:val="22"/>
                <w:szCs w:val="22"/>
              </w:rPr>
              <w:t> </w:t>
            </w:r>
          </w:p>
        </w:tc>
        <w:tc>
          <w:tcPr>
            <w:tcW w:w="254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5"/>
              <w:jc w:val="right"/>
              <w:rPr>
                <w:rFonts w:ascii="Arial" w:hAnsi="Arial" w:cs="Arial" w:eastAsia="Arial" w:hint="default"/>
                <w:sz w:val="22"/>
                <w:szCs w:val="22"/>
              </w:rPr>
            </w:pPr>
            <w:r>
              <w:rPr>
                <w:rFonts w:ascii="Arial"/>
                <w:spacing w:val="-1"/>
                <w:sz w:val="22"/>
              </w:rPr>
              <w:t>2,296,560,419</w:t>
            </w:r>
          </w:p>
        </w:tc>
        <w:tc>
          <w:tcPr>
            <w:tcW w:w="235" w:type="dxa"/>
            <w:tcBorders>
              <w:top w:val="nil" w:sz="6" w:space="0" w:color="auto"/>
              <w:left w:val="nil" w:sz="6" w:space="0" w:color="auto"/>
              <w:bottom w:val="nil" w:sz="6" w:space="0" w:color="auto"/>
              <w:right w:val="nil" w:sz="6" w:space="0" w:color="auto"/>
            </w:tcBorders>
          </w:tcPr>
          <w:p>
            <w:pPr/>
          </w:p>
        </w:tc>
        <w:tc>
          <w:tcPr>
            <w:tcW w:w="253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1"/>
              <w:jc w:val="right"/>
              <w:rPr>
                <w:rFonts w:ascii="Arial" w:hAnsi="Arial" w:cs="Arial" w:eastAsia="Arial" w:hint="default"/>
                <w:sz w:val="22"/>
                <w:szCs w:val="22"/>
              </w:rPr>
            </w:pPr>
            <w:r>
              <w:rPr>
                <w:rFonts w:ascii="Arial"/>
                <w:spacing w:val="-1"/>
                <w:sz w:val="22"/>
              </w:rPr>
              <w:t>1,819,236,580</w:t>
            </w:r>
          </w:p>
        </w:tc>
      </w:tr>
      <w:tr>
        <w:trPr>
          <w:trHeight w:val="350" w:hRule="exact"/>
        </w:trPr>
        <w:tc>
          <w:tcPr>
            <w:tcW w:w="3790" w:type="dxa"/>
            <w:tcBorders>
              <w:top w:val="nil" w:sz="6" w:space="0" w:color="auto"/>
              <w:left w:val="nil" w:sz="6" w:space="0" w:color="auto"/>
              <w:bottom w:val="nil" w:sz="6" w:space="0" w:color="auto"/>
              <w:right w:val="nil" w:sz="6" w:space="0" w:color="auto"/>
            </w:tcBorders>
          </w:tcPr>
          <w:p>
            <w:pPr>
              <w:pStyle w:val="TableParagraph"/>
              <w:spacing w:line="286" w:lineRule="exact"/>
              <w:ind w:left="200" w:right="0"/>
              <w:jc w:val="left"/>
              <w:rPr>
                <w:rFonts w:ascii="宋体" w:hAnsi="宋体" w:cs="宋体" w:eastAsia="宋体" w:hint="default"/>
                <w:sz w:val="22"/>
                <w:szCs w:val="22"/>
              </w:rPr>
            </w:pPr>
            <w:r>
              <w:rPr>
                <w:rFonts w:ascii="Arial" w:hAnsi="Arial" w:cs="Arial" w:eastAsia="Arial" w:hint="default"/>
                <w:sz w:val="22"/>
                <w:szCs w:val="22"/>
              </w:rPr>
              <w:t>2-3</w:t>
            </w:r>
            <w:r>
              <w:rPr>
                <w:rFonts w:ascii="Arial" w:hAnsi="Arial" w:cs="Arial" w:eastAsia="Arial" w:hint="default"/>
                <w:spacing w:val="-6"/>
                <w:sz w:val="22"/>
                <w:szCs w:val="22"/>
              </w:rPr>
              <w:t> </w:t>
            </w:r>
            <w:r>
              <w:rPr>
                <w:rFonts w:ascii="宋体" w:hAnsi="宋体" w:cs="宋体" w:eastAsia="宋体" w:hint="default"/>
                <w:sz w:val="22"/>
                <w:szCs w:val="22"/>
              </w:rPr>
              <w:t>年</w:t>
            </w:r>
            <w:r>
              <w:rPr>
                <w:rFonts w:ascii="宋体" w:hAnsi="宋体" w:cs="宋体" w:eastAsia="宋体" w:hint="default"/>
                <w:sz w:val="22"/>
                <w:szCs w:val="22"/>
              </w:rPr>
              <w:t> </w:t>
            </w:r>
          </w:p>
        </w:tc>
        <w:tc>
          <w:tcPr>
            <w:tcW w:w="254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Arial" w:hAnsi="Arial" w:cs="Arial" w:eastAsia="Arial" w:hint="default"/>
                <w:sz w:val="22"/>
                <w:szCs w:val="22"/>
              </w:rPr>
            </w:pPr>
            <w:r>
              <w:rPr>
                <w:rFonts w:ascii="Arial"/>
                <w:spacing w:val="-1"/>
                <w:sz w:val="22"/>
              </w:rPr>
              <w:t>928,163,985</w:t>
            </w:r>
          </w:p>
        </w:tc>
        <w:tc>
          <w:tcPr>
            <w:tcW w:w="235" w:type="dxa"/>
            <w:tcBorders>
              <w:top w:val="nil" w:sz="6" w:space="0" w:color="auto"/>
              <w:left w:val="nil" w:sz="6" w:space="0" w:color="auto"/>
              <w:bottom w:val="nil" w:sz="6" w:space="0" w:color="auto"/>
              <w:right w:val="nil" w:sz="6" w:space="0" w:color="auto"/>
            </w:tcBorders>
          </w:tcPr>
          <w:p>
            <w:pPr/>
          </w:p>
        </w:tc>
        <w:tc>
          <w:tcPr>
            <w:tcW w:w="253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1"/>
              <w:jc w:val="right"/>
              <w:rPr>
                <w:rFonts w:ascii="Arial" w:hAnsi="Arial" w:cs="Arial" w:eastAsia="Arial" w:hint="default"/>
                <w:sz w:val="22"/>
                <w:szCs w:val="22"/>
              </w:rPr>
            </w:pPr>
            <w:r>
              <w:rPr>
                <w:rFonts w:ascii="Arial"/>
                <w:spacing w:val="-1"/>
                <w:sz w:val="22"/>
              </w:rPr>
              <w:t>1,198,451,829</w:t>
            </w:r>
          </w:p>
        </w:tc>
      </w:tr>
      <w:tr>
        <w:trPr>
          <w:trHeight w:val="350" w:hRule="exact"/>
        </w:trPr>
        <w:tc>
          <w:tcPr>
            <w:tcW w:w="3790" w:type="dxa"/>
            <w:tcBorders>
              <w:top w:val="nil" w:sz="6" w:space="0" w:color="auto"/>
              <w:left w:val="nil" w:sz="6" w:space="0" w:color="auto"/>
              <w:bottom w:val="nil" w:sz="6" w:space="0" w:color="auto"/>
              <w:right w:val="nil" w:sz="6" w:space="0" w:color="auto"/>
            </w:tcBorders>
          </w:tcPr>
          <w:p>
            <w:pPr>
              <w:pStyle w:val="TableParagraph"/>
              <w:spacing w:line="286" w:lineRule="exact"/>
              <w:ind w:left="200" w:right="0"/>
              <w:jc w:val="left"/>
              <w:rPr>
                <w:rFonts w:ascii="宋体" w:hAnsi="宋体" w:cs="宋体" w:eastAsia="宋体" w:hint="default"/>
                <w:sz w:val="22"/>
                <w:szCs w:val="22"/>
              </w:rPr>
            </w:pPr>
            <w:r>
              <w:rPr>
                <w:rFonts w:ascii="Arial" w:hAnsi="Arial" w:cs="Arial" w:eastAsia="Arial" w:hint="default"/>
                <w:sz w:val="22"/>
                <w:szCs w:val="22"/>
              </w:rPr>
              <w:t>3-4</w:t>
            </w:r>
            <w:r>
              <w:rPr>
                <w:rFonts w:ascii="Arial" w:hAnsi="Arial" w:cs="Arial" w:eastAsia="Arial" w:hint="default"/>
                <w:spacing w:val="-6"/>
                <w:sz w:val="22"/>
                <w:szCs w:val="22"/>
              </w:rPr>
              <w:t> </w:t>
            </w:r>
            <w:r>
              <w:rPr>
                <w:rFonts w:ascii="宋体" w:hAnsi="宋体" w:cs="宋体" w:eastAsia="宋体" w:hint="default"/>
                <w:sz w:val="22"/>
                <w:szCs w:val="22"/>
              </w:rPr>
              <w:t>年</w:t>
            </w:r>
            <w:r>
              <w:rPr>
                <w:rFonts w:ascii="宋体" w:hAnsi="宋体" w:cs="宋体" w:eastAsia="宋体" w:hint="default"/>
                <w:sz w:val="22"/>
                <w:szCs w:val="22"/>
              </w:rPr>
              <w:t> </w:t>
            </w:r>
          </w:p>
        </w:tc>
        <w:tc>
          <w:tcPr>
            <w:tcW w:w="254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Arial" w:hAnsi="Arial" w:cs="Arial" w:eastAsia="Arial" w:hint="default"/>
                <w:sz w:val="22"/>
                <w:szCs w:val="22"/>
              </w:rPr>
            </w:pPr>
            <w:r>
              <w:rPr>
                <w:rFonts w:ascii="Arial"/>
                <w:spacing w:val="-1"/>
                <w:sz w:val="22"/>
              </w:rPr>
              <w:t>875,098,893</w:t>
            </w:r>
          </w:p>
        </w:tc>
        <w:tc>
          <w:tcPr>
            <w:tcW w:w="235" w:type="dxa"/>
            <w:tcBorders>
              <w:top w:val="nil" w:sz="6" w:space="0" w:color="auto"/>
              <w:left w:val="nil" w:sz="6" w:space="0" w:color="auto"/>
              <w:bottom w:val="nil" w:sz="6" w:space="0" w:color="auto"/>
              <w:right w:val="nil" w:sz="6" w:space="0" w:color="auto"/>
            </w:tcBorders>
          </w:tcPr>
          <w:p>
            <w:pPr/>
          </w:p>
        </w:tc>
        <w:tc>
          <w:tcPr>
            <w:tcW w:w="253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1"/>
              <w:jc w:val="right"/>
              <w:rPr>
                <w:rFonts w:ascii="Arial" w:hAnsi="Arial" w:cs="Arial" w:eastAsia="Arial" w:hint="default"/>
                <w:sz w:val="22"/>
                <w:szCs w:val="22"/>
              </w:rPr>
            </w:pPr>
            <w:r>
              <w:rPr>
                <w:rFonts w:ascii="Arial"/>
                <w:spacing w:val="-1"/>
                <w:sz w:val="22"/>
              </w:rPr>
              <w:t>636,597,727</w:t>
            </w:r>
          </w:p>
        </w:tc>
      </w:tr>
      <w:tr>
        <w:trPr>
          <w:trHeight w:val="348" w:hRule="exact"/>
        </w:trPr>
        <w:tc>
          <w:tcPr>
            <w:tcW w:w="3790" w:type="dxa"/>
            <w:tcBorders>
              <w:top w:val="nil" w:sz="6" w:space="0" w:color="auto"/>
              <w:left w:val="nil" w:sz="6" w:space="0" w:color="auto"/>
              <w:bottom w:val="nil" w:sz="6" w:space="0" w:color="auto"/>
              <w:right w:val="nil" w:sz="6" w:space="0" w:color="auto"/>
            </w:tcBorders>
          </w:tcPr>
          <w:p>
            <w:pPr>
              <w:pStyle w:val="TableParagraph"/>
              <w:spacing w:line="286" w:lineRule="exact"/>
              <w:ind w:left="200" w:right="0"/>
              <w:jc w:val="left"/>
              <w:rPr>
                <w:rFonts w:ascii="宋体" w:hAnsi="宋体" w:cs="宋体" w:eastAsia="宋体" w:hint="default"/>
                <w:sz w:val="22"/>
                <w:szCs w:val="22"/>
              </w:rPr>
            </w:pPr>
            <w:r>
              <w:rPr>
                <w:rFonts w:ascii="Arial" w:hAnsi="Arial" w:cs="Arial" w:eastAsia="Arial" w:hint="default"/>
                <w:sz w:val="22"/>
                <w:szCs w:val="22"/>
              </w:rPr>
              <w:t>4-5</w:t>
            </w:r>
            <w:r>
              <w:rPr>
                <w:rFonts w:ascii="Arial" w:hAnsi="Arial" w:cs="Arial" w:eastAsia="Arial" w:hint="default"/>
                <w:spacing w:val="-6"/>
                <w:sz w:val="22"/>
                <w:szCs w:val="22"/>
              </w:rPr>
              <w:t> </w:t>
            </w:r>
            <w:r>
              <w:rPr>
                <w:rFonts w:ascii="宋体" w:hAnsi="宋体" w:cs="宋体" w:eastAsia="宋体" w:hint="default"/>
                <w:sz w:val="22"/>
                <w:szCs w:val="22"/>
              </w:rPr>
              <w:t>年</w:t>
            </w:r>
            <w:r>
              <w:rPr>
                <w:rFonts w:ascii="宋体" w:hAnsi="宋体" w:cs="宋体" w:eastAsia="宋体" w:hint="default"/>
                <w:sz w:val="22"/>
                <w:szCs w:val="22"/>
              </w:rPr>
              <w:t> </w:t>
            </w:r>
          </w:p>
        </w:tc>
        <w:tc>
          <w:tcPr>
            <w:tcW w:w="254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6"/>
              <w:jc w:val="right"/>
              <w:rPr>
                <w:rFonts w:ascii="Arial" w:hAnsi="Arial" w:cs="Arial" w:eastAsia="Arial" w:hint="default"/>
                <w:sz w:val="22"/>
                <w:szCs w:val="22"/>
              </w:rPr>
            </w:pPr>
            <w:r>
              <w:rPr>
                <w:rFonts w:ascii="Arial"/>
                <w:spacing w:val="-1"/>
                <w:sz w:val="22"/>
              </w:rPr>
              <w:t>369,900,993</w:t>
            </w:r>
          </w:p>
        </w:tc>
        <w:tc>
          <w:tcPr>
            <w:tcW w:w="235" w:type="dxa"/>
            <w:tcBorders>
              <w:top w:val="nil" w:sz="6" w:space="0" w:color="auto"/>
              <w:left w:val="nil" w:sz="6" w:space="0" w:color="auto"/>
              <w:bottom w:val="nil" w:sz="6" w:space="0" w:color="auto"/>
              <w:right w:val="nil" w:sz="6" w:space="0" w:color="auto"/>
            </w:tcBorders>
          </w:tcPr>
          <w:p>
            <w:pPr/>
          </w:p>
        </w:tc>
        <w:tc>
          <w:tcPr>
            <w:tcW w:w="2534"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1"/>
              <w:jc w:val="right"/>
              <w:rPr>
                <w:rFonts w:ascii="Arial" w:hAnsi="Arial" w:cs="Arial" w:eastAsia="Arial" w:hint="default"/>
                <w:sz w:val="22"/>
                <w:szCs w:val="22"/>
              </w:rPr>
            </w:pPr>
            <w:r>
              <w:rPr>
                <w:rFonts w:ascii="Arial"/>
                <w:spacing w:val="-1"/>
                <w:sz w:val="22"/>
              </w:rPr>
              <w:t>277,038,597</w:t>
            </w:r>
          </w:p>
        </w:tc>
      </w:tr>
      <w:tr>
        <w:trPr>
          <w:trHeight w:val="324" w:hRule="exact"/>
        </w:trPr>
        <w:tc>
          <w:tcPr>
            <w:tcW w:w="3790" w:type="dxa"/>
            <w:tcBorders>
              <w:top w:val="nil" w:sz="6" w:space="0" w:color="auto"/>
              <w:left w:val="nil" w:sz="6" w:space="0" w:color="auto"/>
              <w:bottom w:val="nil" w:sz="6" w:space="0" w:color="auto"/>
              <w:right w:val="nil" w:sz="6" w:space="0" w:color="auto"/>
            </w:tcBorders>
          </w:tcPr>
          <w:p>
            <w:pPr>
              <w:pStyle w:val="TableParagraph"/>
              <w:spacing w:line="289" w:lineRule="exact"/>
              <w:ind w:left="200" w:right="0"/>
              <w:jc w:val="left"/>
              <w:rPr>
                <w:rFonts w:ascii="宋体" w:hAnsi="宋体" w:cs="宋体" w:eastAsia="宋体" w:hint="default"/>
                <w:sz w:val="22"/>
                <w:szCs w:val="22"/>
              </w:rPr>
            </w:pPr>
            <w:r>
              <w:rPr>
                <w:rFonts w:ascii="Arial" w:hAnsi="Arial" w:cs="Arial" w:eastAsia="Arial" w:hint="default"/>
                <w:sz w:val="22"/>
                <w:szCs w:val="22"/>
              </w:rPr>
              <w:t>5</w:t>
            </w:r>
            <w:r>
              <w:rPr>
                <w:rFonts w:ascii="Arial" w:hAnsi="Arial" w:cs="Arial" w:eastAsia="Arial" w:hint="default"/>
                <w:spacing w:val="-10"/>
                <w:sz w:val="22"/>
                <w:szCs w:val="22"/>
              </w:rPr>
              <w:t> </w:t>
            </w:r>
            <w:r>
              <w:rPr>
                <w:rFonts w:ascii="宋体" w:hAnsi="宋体" w:cs="宋体" w:eastAsia="宋体" w:hint="default"/>
                <w:sz w:val="22"/>
                <w:szCs w:val="22"/>
              </w:rPr>
              <w:t>年以上</w:t>
            </w:r>
            <w:r>
              <w:rPr>
                <w:rFonts w:ascii="宋体" w:hAnsi="宋体" w:cs="宋体" w:eastAsia="宋体" w:hint="default"/>
                <w:sz w:val="22"/>
                <w:szCs w:val="22"/>
              </w:rPr>
              <w:t> </w:t>
            </w:r>
          </w:p>
        </w:tc>
        <w:tc>
          <w:tcPr>
            <w:tcW w:w="2549" w:type="dxa"/>
            <w:tcBorders>
              <w:top w:val="nil" w:sz="6" w:space="0" w:color="auto"/>
              <w:left w:val="nil" w:sz="6" w:space="0" w:color="auto"/>
              <w:bottom w:val="nil" w:sz="6" w:space="0" w:color="auto"/>
              <w:right w:val="nil" w:sz="6" w:space="0" w:color="auto"/>
            </w:tcBorders>
          </w:tcPr>
          <w:p>
            <w:pPr>
              <w:pStyle w:val="TableParagraph"/>
              <w:tabs>
                <w:tab w:pos="1031" w:val="left" w:leader="none"/>
                <w:tab w:pos="2548" w:val="left" w:leader="none"/>
              </w:tabs>
              <w:spacing w:line="240" w:lineRule="auto" w:before="50"/>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1,050,567,706</w:t>
              <w:tab/>
            </w:r>
            <w:r>
              <w:rPr>
                <w:rFonts w:ascii="Arial"/>
                <w:spacing w:val="-1"/>
                <w:sz w:val="22"/>
              </w:rPr>
            </w:r>
          </w:p>
        </w:tc>
        <w:tc>
          <w:tcPr>
            <w:tcW w:w="235" w:type="dxa"/>
            <w:tcBorders>
              <w:top w:val="nil" w:sz="6" w:space="0" w:color="auto"/>
              <w:left w:val="nil" w:sz="6" w:space="0" w:color="auto"/>
              <w:bottom w:val="nil" w:sz="6" w:space="0" w:color="auto"/>
              <w:right w:val="nil" w:sz="6" w:space="0" w:color="auto"/>
            </w:tcBorders>
          </w:tcPr>
          <w:p>
            <w:pPr/>
          </w:p>
        </w:tc>
        <w:tc>
          <w:tcPr>
            <w:tcW w:w="2534" w:type="dxa"/>
            <w:tcBorders>
              <w:top w:val="nil" w:sz="6" w:space="0" w:color="auto"/>
              <w:left w:val="nil" w:sz="6" w:space="0" w:color="auto"/>
              <w:bottom w:val="nil" w:sz="6" w:space="0" w:color="auto"/>
              <w:right w:val="nil" w:sz="6" w:space="0" w:color="auto"/>
            </w:tcBorders>
          </w:tcPr>
          <w:p>
            <w:pPr>
              <w:pStyle w:val="TableParagraph"/>
              <w:tabs>
                <w:tab w:pos="1022" w:val="left" w:leader="none"/>
                <w:tab w:pos="2534" w:val="left" w:leader="none"/>
              </w:tabs>
              <w:spacing w:line="240" w:lineRule="auto" w:before="50"/>
              <w:ind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1,017,231,534</w:t>
              <w:tab/>
            </w:r>
            <w:r>
              <w:rPr>
                <w:rFonts w:ascii="Arial"/>
                <w:sz w:val="22"/>
              </w:rPr>
            </w:r>
          </w:p>
        </w:tc>
      </w:tr>
      <w:tr>
        <w:trPr>
          <w:trHeight w:val="442" w:hRule="exact"/>
        </w:trPr>
        <w:tc>
          <w:tcPr>
            <w:tcW w:w="3790" w:type="dxa"/>
            <w:tcBorders>
              <w:top w:val="nil" w:sz="6" w:space="0" w:color="auto"/>
              <w:left w:val="nil" w:sz="6" w:space="0" w:color="auto"/>
              <w:bottom w:val="nil" w:sz="6" w:space="0" w:color="auto"/>
              <w:right w:val="nil" w:sz="6" w:space="0" w:color="auto"/>
            </w:tcBorders>
          </w:tcPr>
          <w:p>
            <w:pPr>
              <w:pStyle w:val="TableParagraph"/>
              <w:spacing w:line="246" w:lineRule="exact"/>
              <w:ind w:left="200" w:right="0"/>
              <w:jc w:val="left"/>
              <w:rPr>
                <w:rFonts w:ascii="宋体" w:hAnsi="宋体" w:cs="宋体" w:eastAsia="宋体" w:hint="default"/>
                <w:sz w:val="22"/>
                <w:szCs w:val="22"/>
              </w:rPr>
            </w:pPr>
            <w:r>
              <w:rPr>
                <w:rFonts w:ascii="宋体" w:hAnsi="宋体" w:cs="宋体" w:eastAsia="宋体" w:hint="default"/>
                <w:sz w:val="22"/>
                <w:szCs w:val="22"/>
              </w:rPr>
              <w:t>小计</w:t>
            </w:r>
            <w:r>
              <w:rPr>
                <w:rFonts w:ascii="宋体" w:hAnsi="宋体" w:cs="宋体" w:eastAsia="宋体" w:hint="default"/>
                <w:sz w:val="22"/>
                <w:szCs w:val="22"/>
              </w:rPr>
              <w:t> </w:t>
            </w:r>
          </w:p>
        </w:tc>
        <w:tc>
          <w:tcPr>
            <w:tcW w:w="254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3"/>
              <w:jc w:val="right"/>
              <w:rPr>
                <w:rFonts w:ascii="Arial" w:hAnsi="Arial" w:cs="Arial" w:eastAsia="Arial" w:hint="default"/>
                <w:sz w:val="22"/>
                <w:szCs w:val="22"/>
              </w:rPr>
            </w:pPr>
            <w:r>
              <w:rPr>
                <w:rFonts w:ascii="Arial"/>
                <w:sz w:val="22"/>
              </w:rPr>
              <w:t>27,832,116,901</w:t>
            </w:r>
          </w:p>
        </w:tc>
        <w:tc>
          <w:tcPr>
            <w:tcW w:w="235" w:type="dxa"/>
            <w:tcBorders>
              <w:top w:val="nil" w:sz="6" w:space="0" w:color="auto"/>
              <w:left w:val="nil" w:sz="6" w:space="0" w:color="auto"/>
              <w:bottom w:val="nil" w:sz="6" w:space="0" w:color="auto"/>
              <w:right w:val="nil" w:sz="6" w:space="0" w:color="auto"/>
            </w:tcBorders>
          </w:tcPr>
          <w:p>
            <w:pPr/>
          </w:p>
        </w:tc>
        <w:tc>
          <w:tcPr>
            <w:tcW w:w="253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99"/>
              <w:jc w:val="right"/>
              <w:rPr>
                <w:rFonts w:ascii="Arial" w:hAnsi="Arial" w:cs="Arial" w:eastAsia="Arial" w:hint="default"/>
                <w:sz w:val="22"/>
                <w:szCs w:val="22"/>
              </w:rPr>
            </w:pPr>
            <w:r>
              <w:rPr>
                <w:rFonts w:ascii="Arial"/>
                <w:sz w:val="22"/>
              </w:rPr>
              <w:t>24,563,105,484</w:t>
            </w:r>
          </w:p>
        </w:tc>
      </w:tr>
      <w:tr>
        <w:trPr>
          <w:trHeight w:val="622" w:hRule="exact"/>
        </w:trPr>
        <w:tc>
          <w:tcPr>
            <w:tcW w:w="3790" w:type="dxa"/>
            <w:tcBorders>
              <w:top w:val="nil" w:sz="6" w:space="0" w:color="auto"/>
              <w:left w:val="nil" w:sz="6" w:space="0" w:color="auto"/>
              <w:bottom w:val="nil" w:sz="6" w:space="0" w:color="auto"/>
              <w:right w:val="nil" w:sz="6" w:space="0" w:color="auto"/>
            </w:tcBorders>
          </w:tcPr>
          <w:p>
            <w:pPr>
              <w:pStyle w:val="TableParagraph"/>
              <w:spacing w:line="240" w:lineRule="auto" w:before="97"/>
              <w:ind w:left="200" w:right="0"/>
              <w:jc w:val="left"/>
              <w:rPr>
                <w:rFonts w:ascii="宋体" w:hAnsi="宋体" w:cs="宋体" w:eastAsia="宋体" w:hint="default"/>
                <w:sz w:val="22"/>
                <w:szCs w:val="22"/>
              </w:rPr>
            </w:pPr>
            <w:r>
              <w:rPr>
                <w:rFonts w:ascii="宋体" w:hAnsi="宋体" w:cs="宋体" w:eastAsia="宋体" w:hint="default"/>
                <w:sz w:val="22"/>
                <w:szCs w:val="22"/>
              </w:rPr>
              <w:t>减：坏账准备</w:t>
            </w:r>
            <w:r>
              <w:rPr>
                <w:rFonts w:ascii="宋体" w:hAnsi="宋体" w:cs="宋体" w:eastAsia="宋体" w:hint="default"/>
                <w:sz w:val="22"/>
                <w:szCs w:val="22"/>
              </w:rPr>
              <w:t> </w:t>
            </w:r>
          </w:p>
        </w:tc>
        <w:tc>
          <w:tcPr>
            <w:tcW w:w="2549" w:type="dxa"/>
            <w:tcBorders>
              <w:top w:val="nil" w:sz="6" w:space="0" w:color="auto"/>
              <w:left w:val="nil" w:sz="6" w:space="0" w:color="auto"/>
              <w:bottom w:val="nil" w:sz="6" w:space="0" w:color="auto"/>
              <w:right w:val="nil" w:sz="6" w:space="0" w:color="auto"/>
            </w:tcBorders>
          </w:tcPr>
          <w:p>
            <w:pPr>
              <w:pStyle w:val="TableParagraph"/>
              <w:tabs>
                <w:tab w:pos="940" w:val="left" w:leader="none"/>
              </w:tabs>
              <w:spacing w:line="240" w:lineRule="auto" w:before="167"/>
              <w:ind w:right="47"/>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(7,375,200,276)</w:t>
            </w:r>
            <w:r>
              <w:rPr>
                <w:rFonts w:ascii="Arial"/>
                <w:spacing w:val="-1"/>
                <w:sz w:val="22"/>
              </w:rPr>
            </w:r>
            <w:r>
              <w:rPr>
                <w:rFonts w:ascii="Arial"/>
                <w:sz w:val="22"/>
              </w:rPr>
            </w:r>
          </w:p>
        </w:tc>
        <w:tc>
          <w:tcPr>
            <w:tcW w:w="235" w:type="dxa"/>
            <w:tcBorders>
              <w:top w:val="nil" w:sz="6" w:space="0" w:color="auto"/>
              <w:left w:val="nil" w:sz="6" w:space="0" w:color="auto"/>
              <w:bottom w:val="nil" w:sz="6" w:space="0" w:color="auto"/>
              <w:right w:val="nil" w:sz="6" w:space="0" w:color="auto"/>
            </w:tcBorders>
          </w:tcPr>
          <w:p>
            <w:pPr/>
          </w:p>
        </w:tc>
        <w:tc>
          <w:tcPr>
            <w:tcW w:w="2534" w:type="dxa"/>
            <w:tcBorders>
              <w:top w:val="nil" w:sz="6" w:space="0" w:color="auto"/>
              <w:left w:val="nil" w:sz="6" w:space="0" w:color="auto"/>
              <w:bottom w:val="nil" w:sz="6" w:space="0" w:color="auto"/>
              <w:right w:val="nil" w:sz="6" w:space="0" w:color="auto"/>
            </w:tcBorders>
          </w:tcPr>
          <w:p>
            <w:pPr>
              <w:pStyle w:val="TableParagraph"/>
              <w:tabs>
                <w:tab w:pos="931" w:val="left" w:leader="none"/>
              </w:tabs>
              <w:spacing w:line="240" w:lineRule="auto" w:before="167"/>
              <w:ind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(6,720,402,501)</w:t>
            </w:r>
            <w:r>
              <w:rPr>
                <w:rFonts w:ascii="Arial"/>
                <w:sz w:val="22"/>
              </w:rPr>
            </w:r>
          </w:p>
        </w:tc>
      </w:tr>
      <w:tr>
        <w:trPr>
          <w:trHeight w:val="452" w:hRule="exact"/>
        </w:trPr>
        <w:tc>
          <w:tcPr>
            <w:tcW w:w="3790" w:type="dxa"/>
            <w:tcBorders>
              <w:top w:val="nil" w:sz="6" w:space="0" w:color="auto"/>
              <w:left w:val="nil" w:sz="6" w:space="0" w:color="auto"/>
              <w:bottom w:val="nil" w:sz="6" w:space="0" w:color="auto"/>
              <w:right w:val="nil" w:sz="6" w:space="0" w:color="auto"/>
            </w:tcBorders>
          </w:tcPr>
          <w:p>
            <w:pPr>
              <w:pStyle w:val="TableParagraph"/>
              <w:spacing w:line="240" w:lineRule="auto" w:before="138"/>
              <w:ind w:left="200" w:right="0"/>
              <w:jc w:val="left"/>
              <w:rPr>
                <w:rFonts w:ascii="宋体" w:hAnsi="宋体" w:cs="宋体" w:eastAsia="宋体" w:hint="default"/>
                <w:sz w:val="22"/>
                <w:szCs w:val="22"/>
              </w:rPr>
            </w:pPr>
            <w:r>
              <w:rPr>
                <w:rFonts w:ascii="宋体" w:hAnsi="宋体" w:cs="宋体" w:eastAsia="宋体" w:hint="default"/>
                <w:sz w:val="22"/>
                <w:szCs w:val="22"/>
              </w:rPr>
              <w:t>合计</w:t>
            </w:r>
            <w:r>
              <w:rPr>
                <w:rFonts w:ascii="宋体" w:hAnsi="宋体" w:cs="宋体" w:eastAsia="宋体" w:hint="default"/>
                <w:sz w:val="22"/>
                <w:szCs w:val="22"/>
              </w:rPr>
              <w:t> </w:t>
            </w:r>
          </w:p>
        </w:tc>
        <w:tc>
          <w:tcPr>
            <w:tcW w:w="254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tabs>
                <w:tab w:pos="907" w:val="left" w:leader="none"/>
                <w:tab w:pos="2548" w:val="left" w:leader="none"/>
              </w:tabs>
              <w:spacing w:line="240" w:lineRule="auto"/>
              <w:ind w:left="-15" w:right="0"/>
              <w:jc w:val="right"/>
              <w:rPr>
                <w:rFonts w:ascii="Arial" w:hAnsi="Arial" w:cs="Arial" w:eastAsia="Arial" w:hint="default"/>
                <w:sz w:val="22"/>
                <w:szCs w:val="22"/>
              </w:rPr>
            </w:pPr>
            <w:r>
              <w:rPr>
                <w:rFonts w:ascii="Arial"/>
                <w:w w:val="100"/>
                <w:sz w:val="22"/>
              </w:rPr>
            </w:r>
            <w:r>
              <w:rPr>
                <w:rFonts w:ascii="Arial"/>
                <w:w w:val="100"/>
                <w:sz w:val="22"/>
                <w:u w:val="thick" w:color="000000"/>
              </w:rPr>
              <w:t> </w:t>
            </w:r>
            <w:r>
              <w:rPr>
                <w:rFonts w:ascii="Arial"/>
                <w:sz w:val="22"/>
                <w:u w:val="thick" w:color="000000"/>
              </w:rPr>
              <w:tab/>
            </w:r>
            <w:r>
              <w:rPr>
                <w:rFonts w:ascii="Arial"/>
                <w:spacing w:val="-1"/>
                <w:sz w:val="22"/>
                <w:u w:val="thick" w:color="000000"/>
              </w:rPr>
              <w:t>20,456,916,625</w:t>
              <w:tab/>
            </w:r>
            <w:r>
              <w:rPr>
                <w:rFonts w:ascii="Arial"/>
                <w:spacing w:val="-1"/>
                <w:sz w:val="22"/>
              </w:rPr>
            </w:r>
          </w:p>
        </w:tc>
        <w:tc>
          <w:tcPr>
            <w:tcW w:w="235" w:type="dxa"/>
            <w:tcBorders>
              <w:top w:val="nil" w:sz="6" w:space="0" w:color="auto"/>
              <w:left w:val="nil" w:sz="6" w:space="0" w:color="auto"/>
              <w:bottom w:val="nil" w:sz="6" w:space="0" w:color="auto"/>
              <w:right w:val="nil" w:sz="6" w:space="0" w:color="auto"/>
            </w:tcBorders>
          </w:tcPr>
          <w:p>
            <w:pPr/>
          </w:p>
        </w:tc>
        <w:tc>
          <w:tcPr>
            <w:tcW w:w="253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tabs>
                <w:tab w:pos="897" w:val="left" w:leader="none"/>
                <w:tab w:pos="2534" w:val="left" w:leader="none"/>
              </w:tabs>
              <w:spacing w:line="240" w:lineRule="auto"/>
              <w:ind w:left="-15" w:right="0"/>
              <w:jc w:val="left"/>
              <w:rPr>
                <w:rFonts w:ascii="Arial" w:hAnsi="Arial" w:cs="Arial" w:eastAsia="Arial" w:hint="default"/>
                <w:sz w:val="22"/>
                <w:szCs w:val="22"/>
              </w:rPr>
            </w:pPr>
            <w:r>
              <w:rPr>
                <w:rFonts w:ascii="Arial"/>
                <w:w w:val="100"/>
                <w:sz w:val="22"/>
              </w:rPr>
            </w:r>
            <w:r>
              <w:rPr>
                <w:rFonts w:ascii="Arial"/>
                <w:w w:val="100"/>
                <w:sz w:val="22"/>
                <w:u w:val="thick" w:color="000000"/>
              </w:rPr>
              <w:t> </w:t>
            </w:r>
            <w:r>
              <w:rPr>
                <w:rFonts w:ascii="Arial"/>
                <w:sz w:val="22"/>
                <w:u w:val="thick" w:color="000000"/>
              </w:rPr>
              <w:tab/>
              <w:t>17,842,702,983</w:t>
              <w:tab/>
            </w:r>
            <w:r>
              <w:rPr>
                <w:rFonts w:ascii="Arial"/>
                <w:sz w:val="22"/>
              </w:rPr>
            </w:r>
          </w:p>
        </w:tc>
      </w:tr>
    </w:tbl>
    <w:p>
      <w:pPr>
        <w:spacing w:line="240" w:lineRule="auto" w:before="11"/>
        <w:rPr>
          <w:rFonts w:ascii="宋体" w:hAnsi="宋体" w:cs="宋体" w:eastAsia="宋体" w:hint="default"/>
          <w:sz w:val="16"/>
          <w:szCs w:val="16"/>
        </w:rPr>
      </w:pPr>
    </w:p>
    <w:p>
      <w:pPr>
        <w:pStyle w:val="BodyText"/>
        <w:spacing w:line="240" w:lineRule="auto" w:before="32"/>
        <w:ind w:left="560" w:right="102"/>
        <w:jc w:val="left"/>
      </w:pPr>
      <w:r>
        <w:rPr/>
        <w:t>账龄自应收账款确认日起开始计算。</w:t>
      </w:r>
    </w:p>
    <w:p>
      <w:pPr>
        <w:spacing w:after="0" w:line="240" w:lineRule="auto"/>
        <w:jc w:val="left"/>
        <w:sectPr>
          <w:headerReference w:type="default" r:id="rId143"/>
          <w:pgSz w:w="11910" w:h="16840"/>
          <w:pgMar w:header="842" w:footer="502" w:top="2700" w:bottom="700" w:left="880" w:right="1260"/>
        </w:sectPr>
      </w:pPr>
    </w:p>
    <w:p>
      <w:pPr>
        <w:pStyle w:val="BodyText"/>
        <w:spacing w:line="240" w:lineRule="auto" w:before="6"/>
        <w:ind w:left="152" w:right="9974"/>
        <w:jc w:val="left"/>
        <w:rPr>
          <w:rFonts w:ascii="黑体" w:hAnsi="黑体" w:cs="黑体" w:eastAsia="黑体" w:hint="default"/>
        </w:rPr>
      </w:pPr>
      <w:r>
        <w:rPr>
          <w:rFonts w:ascii="黑体" w:hAnsi="黑体" w:cs="黑体" w:eastAsia="黑体" w:hint="default"/>
        </w:rPr>
        <w:t>中国联合网络通信股份有限公司</w:t>
      </w:r>
    </w:p>
    <w:p>
      <w:pPr>
        <w:spacing w:line="240" w:lineRule="auto" w:before="1"/>
        <w:rPr>
          <w:rFonts w:ascii="黑体" w:hAnsi="黑体" w:cs="黑体" w:eastAsia="黑体" w:hint="default"/>
          <w:sz w:val="19"/>
          <w:szCs w:val="19"/>
        </w:rPr>
      </w:pPr>
    </w:p>
    <w:p>
      <w:pPr>
        <w:pStyle w:val="BodyText"/>
        <w:spacing w:line="240" w:lineRule="auto"/>
        <w:ind w:left="151" w:right="9974"/>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left="151" w:right="9974"/>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tabs>
          <w:tab w:pos="607" w:val="left" w:leader="none"/>
        </w:tabs>
        <w:spacing w:line="448" w:lineRule="auto"/>
        <w:ind w:left="108" w:right="9974" w:firstLine="43"/>
        <w:jc w:val="left"/>
        <w:rPr>
          <w:rFonts w:ascii="黑体" w:hAnsi="黑体" w:cs="黑体" w:eastAsia="黑体" w:hint="default"/>
        </w:rPr>
      </w:pPr>
      <w:r>
        <w:rPr>
          <w:rFonts w:ascii="黑体" w:hAnsi="黑体" w:cs="黑体" w:eastAsia="黑体" w:hint="default"/>
          <w:spacing w:val="-1"/>
        </w:rPr>
        <w:t>（除特别注明外，金额单位为人民币元）</w:t>
      </w:r>
      <w:r>
        <w:rPr>
          <w:rFonts w:ascii="黑体" w:hAnsi="黑体" w:cs="黑体" w:eastAsia="黑体" w:hint="default"/>
          <w:w w:val="100"/>
        </w:rPr>
        <w:t> </w:t>
      </w:r>
      <w:r>
        <w:rPr>
          <w:rFonts w:ascii="黑体" w:hAnsi="黑体" w:cs="黑体" w:eastAsia="黑体" w:hint="default"/>
        </w:rPr>
        <w:t>五</w:t>
        <w:tab/>
        <w:t>合并财务报表项目附注（续）</w:t>
      </w:r>
    </w:p>
    <w:p>
      <w:pPr>
        <w:pStyle w:val="BodyText"/>
        <w:spacing w:line="240" w:lineRule="auto" w:before="58"/>
        <w:ind w:left="161" w:right="9974"/>
        <w:jc w:val="left"/>
      </w:pPr>
      <w:r>
        <w:rPr>
          <w:rFonts w:ascii="Arial" w:hAnsi="Arial" w:cs="Arial" w:eastAsia="Arial" w:hint="default"/>
        </w:rPr>
        <w:t>4</w:t>
      </w:r>
      <w:r>
        <w:rPr/>
        <w:t>、</w:t>
      </w:r>
      <w:r>
        <w:rPr>
          <w:spacing w:val="-64"/>
        </w:rPr>
        <w:t> </w:t>
      </w:r>
      <w:r>
        <w:rPr/>
        <w:t>应收账款（续）</w:t>
      </w:r>
    </w:p>
    <w:p>
      <w:pPr>
        <w:spacing w:line="240" w:lineRule="auto" w:before="11"/>
        <w:rPr>
          <w:rFonts w:ascii="宋体" w:hAnsi="宋体" w:cs="宋体" w:eastAsia="宋体" w:hint="default"/>
          <w:sz w:val="17"/>
          <w:szCs w:val="17"/>
        </w:rPr>
      </w:pPr>
    </w:p>
    <w:p>
      <w:pPr>
        <w:pStyle w:val="BodyText"/>
        <w:spacing w:line="240" w:lineRule="auto"/>
        <w:ind w:left="161" w:right="0"/>
        <w:jc w:val="left"/>
      </w:pPr>
      <w:r>
        <w:rPr>
          <w:rFonts w:ascii="Arial" w:hAnsi="Arial" w:cs="Arial" w:eastAsia="Arial" w:hint="default"/>
        </w:rPr>
        <w:t>(2)</w:t>
      </w:r>
      <w:r>
        <w:rPr>
          <w:rFonts w:ascii="Arial" w:hAnsi="Arial" w:cs="Arial" w:eastAsia="Arial" w:hint="default"/>
          <w:spacing w:val="57"/>
        </w:rPr>
        <w:t> </w:t>
      </w:r>
      <w:r>
        <w:rPr/>
        <w:t>应收账款按坏账准备计提方法分类披露：</w:t>
      </w:r>
    </w:p>
    <w:p>
      <w:pPr>
        <w:spacing w:line="240" w:lineRule="auto" w:before="12"/>
        <w:rPr>
          <w:rFonts w:ascii="宋体" w:hAnsi="宋体" w:cs="宋体" w:eastAsia="宋体" w:hint="default"/>
          <w:sz w:val="20"/>
          <w:szCs w:val="20"/>
        </w:rPr>
      </w:pPr>
    </w:p>
    <w:tbl>
      <w:tblPr>
        <w:tblW w:w="0" w:type="auto"/>
        <w:jc w:val="left"/>
        <w:tblInd w:w="297" w:type="dxa"/>
        <w:tblLayout w:type="fixed"/>
        <w:tblCellMar>
          <w:top w:w="0" w:type="dxa"/>
          <w:left w:w="0" w:type="dxa"/>
          <w:bottom w:w="0" w:type="dxa"/>
          <w:right w:w="0" w:type="dxa"/>
        </w:tblCellMar>
        <w:tblLook w:val="01E0"/>
      </w:tblPr>
      <w:tblGrid>
        <w:gridCol w:w="1654"/>
        <w:gridCol w:w="1234"/>
        <w:gridCol w:w="221"/>
        <w:gridCol w:w="672"/>
        <w:gridCol w:w="271"/>
        <w:gridCol w:w="1528"/>
        <w:gridCol w:w="553"/>
        <w:gridCol w:w="228"/>
        <w:gridCol w:w="1438"/>
        <w:gridCol w:w="1516"/>
        <w:gridCol w:w="601"/>
        <w:gridCol w:w="233"/>
        <w:gridCol w:w="1523"/>
        <w:gridCol w:w="553"/>
        <w:gridCol w:w="228"/>
        <w:gridCol w:w="1226"/>
      </w:tblGrid>
      <w:tr>
        <w:trPr>
          <w:trHeight w:val="189" w:hRule="exact"/>
        </w:trPr>
        <w:tc>
          <w:tcPr>
            <w:tcW w:w="5580" w:type="dxa"/>
            <w:gridSpan w:val="6"/>
            <w:tcBorders>
              <w:top w:val="nil" w:sz="6" w:space="0" w:color="auto"/>
              <w:left w:val="nil" w:sz="6" w:space="0" w:color="auto"/>
              <w:bottom w:val="nil" w:sz="6" w:space="0" w:color="auto"/>
              <w:right w:val="nil" w:sz="6" w:space="0" w:color="auto"/>
            </w:tcBorders>
          </w:tcPr>
          <w:p>
            <w:pPr>
              <w:pStyle w:val="TableParagraph"/>
              <w:spacing w:line="170" w:lineRule="exact"/>
              <w:ind w:right="200"/>
              <w:jc w:val="right"/>
              <w:rPr>
                <w:rFonts w:ascii="宋体" w:hAnsi="宋体" w:cs="宋体" w:eastAsia="宋体" w:hint="default"/>
                <w:sz w:val="16"/>
                <w:szCs w:val="16"/>
              </w:rPr>
            </w:pPr>
            <w:r>
              <w:rPr>
                <w:rFonts w:ascii="Arial" w:hAnsi="Arial" w:cs="Arial" w:eastAsia="Arial" w:hint="default"/>
                <w:sz w:val="16"/>
                <w:szCs w:val="16"/>
              </w:rPr>
              <w:t>2019</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39"/>
                <w:sz w:val="16"/>
                <w:szCs w:val="16"/>
              </w:rPr>
              <w:t> </w:t>
            </w:r>
            <w:r>
              <w:rPr>
                <w:rFonts w:ascii="Arial" w:hAnsi="Arial" w:cs="Arial" w:eastAsia="Arial" w:hint="default"/>
                <w:sz w:val="16"/>
                <w:szCs w:val="16"/>
              </w:rPr>
              <w:t>12</w:t>
            </w:r>
            <w:r>
              <w:rPr>
                <w:rFonts w:ascii="Arial" w:hAnsi="Arial" w:cs="Arial" w:eastAsia="Arial" w:hint="default"/>
                <w:spacing w:val="-10"/>
                <w:sz w:val="16"/>
                <w:szCs w:val="16"/>
              </w:rPr>
              <w:t> </w:t>
            </w:r>
            <w:r>
              <w:rPr>
                <w:rFonts w:ascii="宋体" w:hAnsi="宋体" w:cs="宋体" w:eastAsia="宋体" w:hint="default"/>
                <w:sz w:val="16"/>
                <w:szCs w:val="16"/>
              </w:rPr>
              <w:t>月</w:t>
            </w:r>
            <w:r>
              <w:rPr>
                <w:rFonts w:ascii="宋体" w:hAnsi="宋体" w:cs="宋体" w:eastAsia="宋体" w:hint="default"/>
                <w:spacing w:val="-39"/>
                <w:sz w:val="16"/>
                <w:szCs w:val="16"/>
              </w:rPr>
              <w:t> </w:t>
            </w:r>
            <w:r>
              <w:rPr>
                <w:rFonts w:ascii="Arial" w:hAnsi="Arial" w:cs="Arial" w:eastAsia="Arial" w:hint="default"/>
                <w:sz w:val="16"/>
                <w:szCs w:val="16"/>
              </w:rPr>
              <w:t>31</w:t>
            </w:r>
            <w:r>
              <w:rPr>
                <w:rFonts w:ascii="Arial" w:hAnsi="Arial" w:cs="Arial" w:eastAsia="Arial" w:hint="default"/>
                <w:spacing w:val="-10"/>
                <w:sz w:val="16"/>
                <w:szCs w:val="16"/>
              </w:rPr>
              <w:t> </w:t>
            </w:r>
            <w:r>
              <w:rPr>
                <w:rFonts w:ascii="宋体" w:hAnsi="宋体" w:cs="宋体" w:eastAsia="宋体" w:hint="default"/>
                <w:spacing w:val="4"/>
                <w:sz w:val="16"/>
                <w:szCs w:val="16"/>
              </w:rPr>
              <w:t>日</w:t>
            </w:r>
            <w:r>
              <w:rPr>
                <w:rFonts w:ascii="宋体" w:hAnsi="宋体" w:cs="宋体" w:eastAsia="宋体" w:hint="default"/>
                <w:sz w:val="16"/>
                <w:szCs w:val="16"/>
              </w:rPr>
              <w:t> </w:t>
            </w:r>
          </w:p>
        </w:tc>
        <w:tc>
          <w:tcPr>
            <w:tcW w:w="553" w:type="dxa"/>
            <w:tcBorders>
              <w:top w:val="nil" w:sz="6" w:space="0" w:color="auto"/>
              <w:left w:val="nil" w:sz="6" w:space="0" w:color="auto"/>
              <w:bottom w:val="single" w:sz="4" w:space="0" w:color="000000"/>
              <w:right w:val="nil" w:sz="6" w:space="0" w:color="auto"/>
            </w:tcBorders>
          </w:tcPr>
          <w:p>
            <w:pPr/>
          </w:p>
        </w:tc>
        <w:tc>
          <w:tcPr>
            <w:tcW w:w="228" w:type="dxa"/>
            <w:tcBorders>
              <w:top w:val="nil" w:sz="6" w:space="0" w:color="auto"/>
              <w:left w:val="nil" w:sz="6" w:space="0" w:color="auto"/>
              <w:bottom w:val="single" w:sz="4" w:space="0" w:color="000000"/>
              <w:right w:val="nil" w:sz="6" w:space="0" w:color="auto"/>
            </w:tcBorders>
          </w:tcPr>
          <w:p>
            <w:pPr/>
          </w:p>
        </w:tc>
        <w:tc>
          <w:tcPr>
            <w:tcW w:w="1438" w:type="dxa"/>
            <w:tcBorders>
              <w:top w:val="nil" w:sz="6" w:space="0" w:color="auto"/>
              <w:left w:val="nil" w:sz="6" w:space="0" w:color="auto"/>
              <w:bottom w:val="single" w:sz="4" w:space="0" w:color="000000"/>
              <w:right w:val="nil" w:sz="6" w:space="0" w:color="auto"/>
            </w:tcBorders>
          </w:tcPr>
          <w:p>
            <w:pPr>
              <w:pStyle w:val="TableParagraph"/>
              <w:spacing w:line="207" w:lineRule="exact"/>
              <w:ind w:right="43"/>
              <w:jc w:val="right"/>
              <w:rPr>
                <w:rFonts w:ascii="宋体" w:hAnsi="宋体" w:cs="宋体" w:eastAsia="宋体" w:hint="default"/>
                <w:sz w:val="16"/>
                <w:szCs w:val="16"/>
              </w:rPr>
            </w:pPr>
            <w:r>
              <w:rPr>
                <w:rFonts w:ascii="宋体"/>
                <w:w w:val="99"/>
                <w:sz w:val="16"/>
              </w:rPr>
              <w:t> </w:t>
            </w:r>
            <w:r>
              <w:rPr>
                <w:rFonts w:ascii="宋体"/>
                <w:sz w:val="16"/>
              </w:rPr>
            </w:r>
          </w:p>
        </w:tc>
        <w:tc>
          <w:tcPr>
            <w:tcW w:w="1516" w:type="dxa"/>
            <w:tcBorders>
              <w:top w:val="nil" w:sz="6" w:space="0" w:color="auto"/>
              <w:left w:val="nil" w:sz="6" w:space="0" w:color="auto"/>
              <w:bottom w:val="single" w:sz="4" w:space="0" w:color="000000"/>
              <w:right w:val="nil" w:sz="6" w:space="0" w:color="auto"/>
            </w:tcBorders>
          </w:tcPr>
          <w:p>
            <w:pPr/>
          </w:p>
        </w:tc>
        <w:tc>
          <w:tcPr>
            <w:tcW w:w="601" w:type="dxa"/>
            <w:tcBorders>
              <w:top w:val="nil" w:sz="6" w:space="0" w:color="auto"/>
              <w:left w:val="nil" w:sz="6" w:space="0" w:color="auto"/>
              <w:bottom w:val="single" w:sz="4" w:space="0" w:color="000000"/>
              <w:right w:val="nil" w:sz="6" w:space="0" w:color="auto"/>
            </w:tcBorders>
          </w:tcPr>
          <w:p>
            <w:pPr/>
          </w:p>
        </w:tc>
        <w:tc>
          <w:tcPr>
            <w:tcW w:w="233" w:type="dxa"/>
            <w:tcBorders>
              <w:top w:val="nil" w:sz="6" w:space="0" w:color="auto"/>
              <w:left w:val="nil" w:sz="6" w:space="0" w:color="auto"/>
              <w:bottom w:val="single" w:sz="4" w:space="0" w:color="000000"/>
              <w:right w:val="nil" w:sz="6" w:space="0" w:color="auto"/>
            </w:tcBorders>
          </w:tcPr>
          <w:p>
            <w:pPr>
              <w:pStyle w:val="TableParagraph"/>
              <w:spacing w:line="170" w:lineRule="exact"/>
              <w:ind w:left="124" w:right="0"/>
              <w:jc w:val="left"/>
              <w:rPr>
                <w:rFonts w:ascii="Arial" w:hAnsi="Arial" w:cs="Arial" w:eastAsia="Arial" w:hint="default"/>
                <w:sz w:val="16"/>
                <w:szCs w:val="16"/>
              </w:rPr>
            </w:pPr>
            <w:r>
              <w:rPr>
                <w:rFonts w:ascii="Arial"/>
                <w:spacing w:val="-2"/>
                <w:w w:val="98"/>
                <w:sz w:val="16"/>
              </w:rPr>
              <w:t>2</w:t>
            </w:r>
            <w:r>
              <w:rPr>
                <w:rFonts w:ascii="Arial"/>
                <w:sz w:val="16"/>
              </w:rPr>
            </w:r>
          </w:p>
        </w:tc>
        <w:tc>
          <w:tcPr>
            <w:tcW w:w="1523" w:type="dxa"/>
            <w:tcBorders>
              <w:top w:val="nil" w:sz="6" w:space="0" w:color="auto"/>
              <w:left w:val="nil" w:sz="6" w:space="0" w:color="auto"/>
              <w:bottom w:val="single" w:sz="4" w:space="0" w:color="000000"/>
              <w:right w:val="nil" w:sz="6" w:space="0" w:color="auto"/>
            </w:tcBorders>
          </w:tcPr>
          <w:p>
            <w:pPr>
              <w:pStyle w:val="TableParagraph"/>
              <w:spacing w:line="170" w:lineRule="exact"/>
              <w:ind w:left="-22" w:right="0"/>
              <w:jc w:val="left"/>
              <w:rPr>
                <w:rFonts w:ascii="宋体" w:hAnsi="宋体" w:cs="宋体" w:eastAsia="宋体" w:hint="default"/>
                <w:sz w:val="16"/>
                <w:szCs w:val="16"/>
              </w:rPr>
            </w:pPr>
            <w:r>
              <w:rPr>
                <w:rFonts w:ascii="Arial" w:hAnsi="Arial" w:cs="Arial" w:eastAsia="Arial" w:hint="default"/>
                <w:sz w:val="16"/>
                <w:szCs w:val="16"/>
              </w:rPr>
              <w:t>018</w:t>
            </w:r>
            <w:r>
              <w:rPr>
                <w:rFonts w:ascii="Arial" w:hAnsi="Arial" w:cs="Arial" w:eastAsia="Arial" w:hint="default"/>
                <w:spacing w:val="-4"/>
                <w:sz w:val="16"/>
                <w:szCs w:val="16"/>
              </w:rPr>
              <w:t> </w:t>
            </w:r>
            <w:r>
              <w:rPr>
                <w:rFonts w:ascii="宋体" w:hAnsi="宋体" w:cs="宋体" w:eastAsia="宋体" w:hint="default"/>
                <w:sz w:val="16"/>
                <w:szCs w:val="16"/>
              </w:rPr>
              <w:t>年</w:t>
            </w:r>
            <w:r>
              <w:rPr>
                <w:rFonts w:ascii="宋体" w:hAnsi="宋体" w:cs="宋体" w:eastAsia="宋体" w:hint="default"/>
                <w:spacing w:val="-38"/>
                <w:sz w:val="16"/>
                <w:szCs w:val="16"/>
              </w:rPr>
              <w:t> </w:t>
            </w:r>
            <w:r>
              <w:rPr>
                <w:rFonts w:ascii="Arial" w:hAnsi="Arial" w:cs="Arial" w:eastAsia="Arial" w:hint="default"/>
                <w:sz w:val="16"/>
                <w:szCs w:val="16"/>
              </w:rPr>
              <w:t>12</w:t>
            </w:r>
            <w:r>
              <w:rPr>
                <w:rFonts w:ascii="Arial" w:hAnsi="Arial" w:cs="Arial" w:eastAsia="Arial" w:hint="default"/>
                <w:spacing w:val="-9"/>
                <w:sz w:val="16"/>
                <w:szCs w:val="16"/>
              </w:rPr>
              <w:t> </w:t>
            </w:r>
            <w:r>
              <w:rPr>
                <w:rFonts w:ascii="宋体" w:hAnsi="宋体" w:cs="宋体" w:eastAsia="宋体" w:hint="default"/>
                <w:sz w:val="16"/>
                <w:szCs w:val="16"/>
              </w:rPr>
              <w:t>月</w:t>
            </w:r>
            <w:r>
              <w:rPr>
                <w:rFonts w:ascii="宋体" w:hAnsi="宋体" w:cs="宋体" w:eastAsia="宋体" w:hint="default"/>
                <w:spacing w:val="-38"/>
                <w:sz w:val="16"/>
                <w:szCs w:val="16"/>
              </w:rPr>
              <w:t> </w:t>
            </w:r>
            <w:r>
              <w:rPr>
                <w:rFonts w:ascii="Arial" w:hAnsi="Arial" w:cs="Arial" w:eastAsia="Arial" w:hint="default"/>
                <w:sz w:val="16"/>
                <w:szCs w:val="16"/>
              </w:rPr>
              <w:t>31</w:t>
            </w:r>
            <w:r>
              <w:rPr>
                <w:rFonts w:ascii="Arial" w:hAnsi="Arial" w:cs="Arial" w:eastAsia="Arial" w:hint="default"/>
                <w:spacing w:val="-9"/>
                <w:sz w:val="16"/>
                <w:szCs w:val="16"/>
              </w:rPr>
              <w:t> </w:t>
            </w:r>
            <w:r>
              <w:rPr>
                <w:rFonts w:ascii="宋体" w:hAnsi="宋体" w:cs="宋体" w:eastAsia="宋体" w:hint="default"/>
                <w:spacing w:val="4"/>
                <w:sz w:val="16"/>
                <w:szCs w:val="16"/>
              </w:rPr>
              <w:t>日</w:t>
            </w:r>
            <w:r>
              <w:rPr>
                <w:rFonts w:ascii="宋体" w:hAnsi="宋体" w:cs="宋体" w:eastAsia="宋体" w:hint="default"/>
                <w:sz w:val="16"/>
                <w:szCs w:val="16"/>
              </w:rPr>
              <w:t> </w:t>
            </w:r>
          </w:p>
        </w:tc>
        <w:tc>
          <w:tcPr>
            <w:tcW w:w="553" w:type="dxa"/>
            <w:tcBorders>
              <w:top w:val="nil" w:sz="6" w:space="0" w:color="auto"/>
              <w:left w:val="nil" w:sz="6" w:space="0" w:color="auto"/>
              <w:bottom w:val="single" w:sz="4" w:space="0" w:color="000000"/>
              <w:right w:val="nil" w:sz="6" w:space="0" w:color="auto"/>
            </w:tcBorders>
          </w:tcPr>
          <w:p>
            <w:pPr/>
          </w:p>
        </w:tc>
        <w:tc>
          <w:tcPr>
            <w:tcW w:w="228" w:type="dxa"/>
            <w:tcBorders>
              <w:top w:val="nil" w:sz="6" w:space="0" w:color="auto"/>
              <w:left w:val="nil" w:sz="6" w:space="0" w:color="auto"/>
              <w:bottom w:val="single" w:sz="4" w:space="0" w:color="000000"/>
              <w:right w:val="nil" w:sz="6" w:space="0" w:color="auto"/>
            </w:tcBorders>
          </w:tcPr>
          <w:p>
            <w:pPr/>
          </w:p>
        </w:tc>
        <w:tc>
          <w:tcPr>
            <w:tcW w:w="1226" w:type="dxa"/>
            <w:tcBorders>
              <w:top w:val="nil" w:sz="6" w:space="0" w:color="auto"/>
              <w:left w:val="nil" w:sz="6" w:space="0" w:color="auto"/>
              <w:bottom w:val="single" w:sz="4" w:space="0" w:color="000000"/>
              <w:right w:val="nil" w:sz="6" w:space="0" w:color="auto"/>
            </w:tcBorders>
          </w:tcPr>
          <w:p>
            <w:pPr/>
          </w:p>
        </w:tc>
      </w:tr>
      <w:tr>
        <w:trPr>
          <w:trHeight w:val="233" w:hRule="exact"/>
        </w:trPr>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45" w:right="0"/>
              <w:jc w:val="center"/>
              <w:rPr>
                <w:rFonts w:ascii="宋体" w:hAnsi="宋体" w:cs="宋体" w:eastAsia="宋体" w:hint="default"/>
                <w:sz w:val="16"/>
                <w:szCs w:val="16"/>
              </w:rPr>
            </w:pPr>
            <w:r>
              <w:rPr>
                <w:rFonts w:ascii="宋体"/>
                <w:w w:val="98"/>
                <w:sz w:val="16"/>
              </w:rPr>
              <w:t> </w:t>
            </w:r>
            <w:r>
              <w:rPr>
                <w:rFonts w:ascii="宋体"/>
                <w:sz w:val="16"/>
              </w:rPr>
            </w:r>
          </w:p>
        </w:tc>
        <w:tc>
          <w:tcPr>
            <w:tcW w:w="2126" w:type="dxa"/>
            <w:gridSpan w:val="3"/>
            <w:tcBorders>
              <w:top w:val="single" w:sz="4" w:space="0" w:color="000000"/>
              <w:left w:val="nil" w:sz="6" w:space="0" w:color="auto"/>
              <w:bottom w:val="single" w:sz="4" w:space="0" w:color="000000"/>
              <w:right w:val="nil" w:sz="6" w:space="0" w:color="auto"/>
            </w:tcBorders>
          </w:tcPr>
          <w:p>
            <w:pPr>
              <w:pStyle w:val="TableParagraph"/>
              <w:spacing w:line="181" w:lineRule="exact"/>
              <w:ind w:left="739" w:right="0"/>
              <w:jc w:val="left"/>
              <w:rPr>
                <w:rFonts w:ascii="宋体" w:hAnsi="宋体" w:cs="宋体" w:eastAsia="宋体" w:hint="default"/>
                <w:sz w:val="16"/>
                <w:szCs w:val="16"/>
              </w:rPr>
            </w:pPr>
            <w:r>
              <w:rPr>
                <w:rFonts w:ascii="宋体" w:hAnsi="宋体" w:cs="宋体" w:eastAsia="宋体" w:hint="default"/>
                <w:sz w:val="16"/>
                <w:szCs w:val="16"/>
              </w:rPr>
              <w:t>账面余额</w:t>
            </w:r>
            <w:r>
              <w:rPr>
                <w:rFonts w:ascii="宋体" w:hAnsi="宋体" w:cs="宋体" w:eastAsia="宋体" w:hint="default"/>
                <w:sz w:val="16"/>
                <w:szCs w:val="16"/>
              </w:rPr>
              <w:t> </w:t>
            </w:r>
          </w:p>
        </w:tc>
        <w:tc>
          <w:tcPr>
            <w:tcW w:w="271" w:type="dxa"/>
            <w:tcBorders>
              <w:top w:val="single" w:sz="4" w:space="0" w:color="000000"/>
              <w:left w:val="nil" w:sz="6" w:space="0" w:color="auto"/>
              <w:bottom w:val="nil" w:sz="6" w:space="0" w:color="auto"/>
              <w:right w:val="nil" w:sz="6" w:space="0" w:color="auto"/>
            </w:tcBorders>
          </w:tcPr>
          <w:p>
            <w:pPr/>
          </w:p>
        </w:tc>
        <w:tc>
          <w:tcPr>
            <w:tcW w:w="1528" w:type="dxa"/>
            <w:tcBorders>
              <w:top w:val="single" w:sz="4" w:space="0" w:color="000000"/>
              <w:left w:val="nil" w:sz="6" w:space="0" w:color="auto"/>
              <w:bottom w:val="single" w:sz="4" w:space="0" w:color="000000"/>
              <w:right w:val="nil" w:sz="6" w:space="0" w:color="auto"/>
            </w:tcBorders>
          </w:tcPr>
          <w:p>
            <w:pPr>
              <w:pStyle w:val="TableParagraph"/>
              <w:spacing w:line="181" w:lineRule="exact"/>
              <w:ind w:left="722" w:right="0"/>
              <w:jc w:val="left"/>
              <w:rPr>
                <w:rFonts w:ascii="宋体" w:hAnsi="宋体" w:cs="宋体" w:eastAsia="宋体" w:hint="default"/>
                <w:sz w:val="16"/>
                <w:szCs w:val="16"/>
              </w:rPr>
            </w:pPr>
            <w:r>
              <w:rPr>
                <w:rFonts w:ascii="宋体" w:hAnsi="宋体" w:cs="宋体" w:eastAsia="宋体" w:hint="default"/>
                <w:sz w:val="16"/>
                <w:szCs w:val="16"/>
              </w:rPr>
              <w:t>坏账准备</w:t>
            </w:r>
            <w:r>
              <w:rPr>
                <w:rFonts w:ascii="宋体" w:hAnsi="宋体" w:cs="宋体" w:eastAsia="宋体" w:hint="default"/>
                <w:sz w:val="16"/>
                <w:szCs w:val="16"/>
              </w:rPr>
              <w:t> </w:t>
            </w:r>
          </w:p>
        </w:tc>
        <w:tc>
          <w:tcPr>
            <w:tcW w:w="553" w:type="dxa"/>
            <w:tcBorders>
              <w:top w:val="single" w:sz="4" w:space="0" w:color="000000"/>
              <w:left w:val="nil" w:sz="6" w:space="0" w:color="auto"/>
              <w:bottom w:val="single" w:sz="4" w:space="0" w:color="000000"/>
              <w:right w:val="nil" w:sz="6" w:space="0" w:color="auto"/>
            </w:tcBorders>
          </w:tcPr>
          <w:p>
            <w:pPr/>
          </w:p>
        </w:tc>
        <w:tc>
          <w:tcPr>
            <w:tcW w:w="228" w:type="dxa"/>
            <w:tcBorders>
              <w:top w:val="single" w:sz="4" w:space="0" w:color="000000"/>
              <w:left w:val="nil" w:sz="6" w:space="0" w:color="auto"/>
              <w:bottom w:val="nil" w:sz="6" w:space="0" w:color="auto"/>
              <w:right w:val="nil" w:sz="6" w:space="0" w:color="auto"/>
            </w:tcBorders>
          </w:tcPr>
          <w:p>
            <w:pPr/>
          </w:p>
        </w:tc>
        <w:tc>
          <w:tcPr>
            <w:tcW w:w="1438" w:type="dxa"/>
            <w:tcBorders>
              <w:top w:val="single" w:sz="4" w:space="0" w:color="000000"/>
              <w:left w:val="nil" w:sz="6" w:space="0" w:color="auto"/>
              <w:bottom w:val="single" w:sz="4" w:space="0" w:color="000000"/>
              <w:right w:val="nil" w:sz="6" w:space="0" w:color="auto"/>
            </w:tcBorders>
          </w:tcPr>
          <w:p>
            <w:pPr>
              <w:pStyle w:val="TableParagraph"/>
              <w:spacing w:line="181" w:lineRule="exact"/>
              <w:ind w:left="280" w:right="0"/>
              <w:jc w:val="left"/>
              <w:rPr>
                <w:rFonts w:ascii="宋体" w:hAnsi="宋体" w:cs="宋体" w:eastAsia="宋体" w:hint="default"/>
                <w:sz w:val="16"/>
                <w:szCs w:val="16"/>
              </w:rPr>
            </w:pPr>
            <w:r>
              <w:rPr>
                <w:rFonts w:ascii="宋体" w:hAnsi="宋体" w:cs="宋体" w:eastAsia="宋体" w:hint="default"/>
                <w:sz w:val="16"/>
                <w:szCs w:val="16"/>
              </w:rPr>
              <w:t>账面价值</w:t>
            </w:r>
            <w:r>
              <w:rPr>
                <w:rFonts w:ascii="宋体" w:hAnsi="宋体" w:cs="宋体" w:eastAsia="宋体" w:hint="default"/>
                <w:sz w:val="16"/>
                <w:szCs w:val="16"/>
              </w:rPr>
              <w:t> </w:t>
            </w:r>
          </w:p>
        </w:tc>
        <w:tc>
          <w:tcPr>
            <w:tcW w:w="1516" w:type="dxa"/>
            <w:tcBorders>
              <w:top w:val="single" w:sz="4" w:space="0" w:color="000000"/>
              <w:left w:val="nil" w:sz="6" w:space="0" w:color="auto"/>
              <w:bottom w:val="single" w:sz="4" w:space="0" w:color="000000"/>
              <w:right w:val="nil" w:sz="6" w:space="0" w:color="auto"/>
            </w:tcBorders>
          </w:tcPr>
          <w:p>
            <w:pPr>
              <w:pStyle w:val="TableParagraph"/>
              <w:spacing w:line="181" w:lineRule="exact"/>
              <w:ind w:left="734" w:right="0"/>
              <w:jc w:val="left"/>
              <w:rPr>
                <w:rFonts w:ascii="宋体" w:hAnsi="宋体" w:cs="宋体" w:eastAsia="宋体" w:hint="default"/>
                <w:sz w:val="16"/>
                <w:szCs w:val="16"/>
              </w:rPr>
            </w:pPr>
            <w:r>
              <w:rPr>
                <w:rFonts w:ascii="宋体" w:hAnsi="宋体" w:cs="宋体" w:eastAsia="宋体" w:hint="default"/>
                <w:sz w:val="16"/>
                <w:szCs w:val="16"/>
              </w:rPr>
              <w:t>账面余额</w:t>
            </w:r>
            <w:r>
              <w:rPr>
                <w:rFonts w:ascii="宋体" w:hAnsi="宋体" w:cs="宋体" w:eastAsia="宋体" w:hint="default"/>
                <w:sz w:val="16"/>
                <w:szCs w:val="16"/>
              </w:rPr>
              <w:t> </w:t>
            </w:r>
          </w:p>
        </w:tc>
        <w:tc>
          <w:tcPr>
            <w:tcW w:w="601" w:type="dxa"/>
            <w:tcBorders>
              <w:top w:val="single" w:sz="4" w:space="0" w:color="000000"/>
              <w:left w:val="nil" w:sz="6" w:space="0" w:color="auto"/>
              <w:bottom w:val="single" w:sz="4" w:space="0" w:color="000000"/>
              <w:right w:val="nil" w:sz="6" w:space="0" w:color="auto"/>
            </w:tcBorders>
          </w:tcPr>
          <w:p>
            <w:pPr/>
          </w:p>
        </w:tc>
        <w:tc>
          <w:tcPr>
            <w:tcW w:w="233" w:type="dxa"/>
            <w:tcBorders>
              <w:top w:val="single" w:sz="4" w:space="0" w:color="000000"/>
              <w:left w:val="nil" w:sz="6" w:space="0" w:color="auto"/>
              <w:bottom w:val="nil" w:sz="6" w:space="0" w:color="auto"/>
              <w:right w:val="nil" w:sz="6" w:space="0" w:color="auto"/>
            </w:tcBorders>
          </w:tcPr>
          <w:p>
            <w:pPr/>
          </w:p>
        </w:tc>
        <w:tc>
          <w:tcPr>
            <w:tcW w:w="1523" w:type="dxa"/>
            <w:tcBorders>
              <w:top w:val="single" w:sz="4" w:space="0" w:color="000000"/>
              <w:left w:val="nil" w:sz="6" w:space="0" w:color="auto"/>
              <w:bottom w:val="single" w:sz="4" w:space="0" w:color="000000"/>
              <w:right w:val="nil" w:sz="6" w:space="0" w:color="auto"/>
            </w:tcBorders>
          </w:tcPr>
          <w:p>
            <w:pPr>
              <w:pStyle w:val="TableParagraph"/>
              <w:spacing w:line="181" w:lineRule="exact"/>
              <w:ind w:left="717" w:right="0"/>
              <w:jc w:val="left"/>
              <w:rPr>
                <w:rFonts w:ascii="宋体" w:hAnsi="宋体" w:cs="宋体" w:eastAsia="宋体" w:hint="default"/>
                <w:sz w:val="16"/>
                <w:szCs w:val="16"/>
              </w:rPr>
            </w:pPr>
            <w:r>
              <w:rPr>
                <w:rFonts w:ascii="宋体" w:hAnsi="宋体" w:cs="宋体" w:eastAsia="宋体" w:hint="default"/>
                <w:sz w:val="16"/>
                <w:szCs w:val="16"/>
              </w:rPr>
              <w:t>坏账准备</w:t>
            </w:r>
            <w:r>
              <w:rPr>
                <w:rFonts w:ascii="宋体" w:hAnsi="宋体" w:cs="宋体" w:eastAsia="宋体" w:hint="default"/>
                <w:sz w:val="16"/>
                <w:szCs w:val="16"/>
              </w:rPr>
              <w:t> </w:t>
            </w:r>
          </w:p>
        </w:tc>
        <w:tc>
          <w:tcPr>
            <w:tcW w:w="553" w:type="dxa"/>
            <w:tcBorders>
              <w:top w:val="single" w:sz="4" w:space="0" w:color="000000"/>
              <w:left w:val="nil" w:sz="6" w:space="0" w:color="auto"/>
              <w:bottom w:val="single" w:sz="4" w:space="0" w:color="000000"/>
              <w:right w:val="nil" w:sz="6" w:space="0" w:color="auto"/>
            </w:tcBorders>
          </w:tcPr>
          <w:p>
            <w:pPr/>
          </w:p>
        </w:tc>
        <w:tc>
          <w:tcPr>
            <w:tcW w:w="228" w:type="dxa"/>
            <w:tcBorders>
              <w:top w:val="single" w:sz="4" w:space="0" w:color="000000"/>
              <w:left w:val="nil" w:sz="6" w:space="0" w:color="auto"/>
              <w:bottom w:val="nil" w:sz="6" w:space="0" w:color="auto"/>
              <w:right w:val="nil" w:sz="6" w:space="0" w:color="auto"/>
            </w:tcBorders>
          </w:tcPr>
          <w:p>
            <w:pPr/>
          </w:p>
        </w:tc>
        <w:tc>
          <w:tcPr>
            <w:tcW w:w="1226" w:type="dxa"/>
            <w:tcBorders>
              <w:top w:val="single" w:sz="4" w:space="0" w:color="000000"/>
              <w:left w:val="nil" w:sz="6" w:space="0" w:color="auto"/>
              <w:bottom w:val="single" w:sz="4" w:space="0" w:color="000000"/>
              <w:right w:val="nil" w:sz="6" w:space="0" w:color="auto"/>
            </w:tcBorders>
          </w:tcPr>
          <w:p>
            <w:pPr>
              <w:pStyle w:val="TableParagraph"/>
              <w:spacing w:line="181" w:lineRule="exact"/>
              <w:ind w:left="295" w:right="0"/>
              <w:jc w:val="left"/>
              <w:rPr>
                <w:rFonts w:ascii="宋体" w:hAnsi="宋体" w:cs="宋体" w:eastAsia="宋体" w:hint="default"/>
                <w:sz w:val="16"/>
                <w:szCs w:val="16"/>
              </w:rPr>
            </w:pPr>
            <w:r>
              <w:rPr>
                <w:rFonts w:ascii="宋体" w:hAnsi="宋体" w:cs="宋体" w:eastAsia="宋体" w:hint="default"/>
                <w:sz w:val="16"/>
                <w:szCs w:val="16"/>
              </w:rPr>
              <w:t>账面价值</w:t>
            </w:r>
            <w:r>
              <w:rPr>
                <w:rFonts w:ascii="宋体" w:hAnsi="宋体" w:cs="宋体" w:eastAsia="宋体" w:hint="default"/>
                <w:sz w:val="16"/>
                <w:szCs w:val="16"/>
              </w:rPr>
              <w:t> </w:t>
            </w:r>
          </w:p>
        </w:tc>
      </w:tr>
      <w:tr>
        <w:trPr>
          <w:trHeight w:val="206" w:hRule="exact"/>
        </w:trPr>
        <w:tc>
          <w:tcPr>
            <w:tcW w:w="1654" w:type="dxa"/>
            <w:tcBorders>
              <w:top w:val="nil" w:sz="6" w:space="0" w:color="auto"/>
              <w:left w:val="nil" w:sz="6" w:space="0" w:color="auto"/>
              <w:bottom w:val="nil" w:sz="6" w:space="0" w:color="auto"/>
              <w:right w:val="nil" w:sz="6" w:space="0" w:color="auto"/>
            </w:tcBorders>
          </w:tcPr>
          <w:p>
            <w:pPr/>
          </w:p>
        </w:tc>
        <w:tc>
          <w:tcPr>
            <w:tcW w:w="1234" w:type="dxa"/>
            <w:tcBorders>
              <w:top w:val="single" w:sz="4" w:space="0" w:color="000000"/>
              <w:left w:val="nil" w:sz="6" w:space="0" w:color="auto"/>
              <w:bottom w:val="nil" w:sz="6" w:space="0" w:color="auto"/>
              <w:right w:val="nil" w:sz="6" w:space="0" w:color="auto"/>
            </w:tcBorders>
          </w:tcPr>
          <w:p>
            <w:pPr>
              <w:pStyle w:val="TableParagraph"/>
              <w:spacing w:line="181" w:lineRule="exact"/>
              <w:ind w:left="451" w:right="0"/>
              <w:jc w:val="left"/>
              <w:rPr>
                <w:rFonts w:ascii="宋体" w:hAnsi="宋体" w:cs="宋体" w:eastAsia="宋体" w:hint="default"/>
                <w:sz w:val="16"/>
                <w:szCs w:val="16"/>
              </w:rPr>
            </w:pPr>
            <w:r>
              <w:rPr>
                <w:rFonts w:ascii="宋体" w:hAnsi="宋体" w:cs="宋体" w:eastAsia="宋体" w:hint="default"/>
                <w:sz w:val="16"/>
                <w:szCs w:val="16"/>
              </w:rPr>
              <w:t>金额</w:t>
            </w:r>
            <w:r>
              <w:rPr>
                <w:rFonts w:ascii="宋体" w:hAnsi="宋体" w:cs="宋体" w:eastAsia="宋体" w:hint="default"/>
                <w:sz w:val="16"/>
                <w:szCs w:val="16"/>
              </w:rPr>
              <w:t> </w:t>
            </w:r>
          </w:p>
        </w:tc>
        <w:tc>
          <w:tcPr>
            <w:tcW w:w="221" w:type="dxa"/>
            <w:vMerge w:val="restart"/>
            <w:tcBorders>
              <w:top w:val="single" w:sz="4" w:space="0" w:color="000000"/>
              <w:left w:val="nil" w:sz="6" w:space="0" w:color="auto"/>
              <w:right w:val="nil" w:sz="6" w:space="0" w:color="auto"/>
            </w:tcBorders>
          </w:tcPr>
          <w:p>
            <w:pPr/>
          </w:p>
        </w:tc>
        <w:tc>
          <w:tcPr>
            <w:tcW w:w="672" w:type="dxa"/>
            <w:vMerge w:val="restart"/>
            <w:tcBorders>
              <w:top w:val="single" w:sz="4" w:space="0" w:color="000000"/>
              <w:left w:val="nil" w:sz="6" w:space="0" w:color="auto"/>
              <w:right w:val="nil" w:sz="6" w:space="0" w:color="auto"/>
            </w:tcBorders>
          </w:tcPr>
          <w:p>
            <w:pPr>
              <w:pStyle w:val="TableParagraph"/>
              <w:spacing w:line="181" w:lineRule="exact"/>
              <w:ind w:left="4" w:right="0"/>
              <w:jc w:val="center"/>
              <w:rPr>
                <w:rFonts w:ascii="宋体" w:hAnsi="宋体" w:cs="宋体" w:eastAsia="宋体" w:hint="default"/>
                <w:sz w:val="16"/>
                <w:szCs w:val="16"/>
              </w:rPr>
            </w:pPr>
            <w:r>
              <w:rPr>
                <w:rFonts w:ascii="宋体" w:hAnsi="宋体" w:cs="宋体" w:eastAsia="宋体" w:hint="default"/>
                <w:spacing w:val="2"/>
                <w:w w:val="99"/>
                <w:sz w:val="16"/>
                <w:szCs w:val="16"/>
              </w:rPr>
              <w:t> </w:t>
            </w:r>
            <w:r>
              <w:rPr>
                <w:rFonts w:ascii="宋体" w:hAnsi="宋体" w:cs="宋体" w:eastAsia="宋体" w:hint="default"/>
                <w:sz w:val="16"/>
                <w:szCs w:val="16"/>
              </w:rPr>
              <w:t>比例</w:t>
            </w:r>
          </w:p>
          <w:p>
            <w:pPr>
              <w:pStyle w:val="TableParagraph"/>
              <w:spacing w:line="240" w:lineRule="auto" w:before="29"/>
              <w:ind w:right="35"/>
              <w:jc w:val="center"/>
              <w:rPr>
                <w:rFonts w:ascii="宋体" w:hAnsi="宋体" w:cs="宋体" w:eastAsia="宋体" w:hint="default"/>
                <w:sz w:val="16"/>
                <w:szCs w:val="16"/>
              </w:rPr>
            </w:pPr>
            <w:r>
              <w:rPr>
                <w:rFonts w:ascii="Arial"/>
                <w:w w:val="99"/>
                <w:sz w:val="16"/>
              </w:rPr>
            </w:r>
            <w:r>
              <w:rPr>
                <w:rFonts w:ascii="Arial"/>
                <w:w w:val="99"/>
                <w:sz w:val="16"/>
                <w:u w:val="single" w:color="000000"/>
              </w:rPr>
              <w:t> </w:t>
            </w:r>
            <w:r>
              <w:rPr>
                <w:rFonts w:ascii="Arial"/>
                <w:sz w:val="16"/>
                <w:u w:val="single" w:color="000000"/>
              </w:rPr>
              <w:t>   </w:t>
            </w:r>
            <w:r>
              <w:rPr>
                <w:rFonts w:ascii="Arial"/>
                <w:spacing w:val="-21"/>
                <w:sz w:val="16"/>
                <w:u w:val="single" w:color="000000"/>
              </w:rPr>
              <w:t> </w:t>
            </w:r>
            <w:r>
              <w:rPr>
                <w:rFonts w:ascii="Arial"/>
                <w:sz w:val="16"/>
                <w:u w:val="single" w:color="000000"/>
              </w:rPr>
              <w:t>(%) </w:t>
            </w:r>
            <w:r>
              <w:rPr>
                <w:rFonts w:ascii="Arial"/>
                <w:spacing w:val="-8"/>
                <w:sz w:val="16"/>
                <w:u w:val="single" w:color="000000"/>
              </w:rPr>
              <w:t> </w:t>
            </w:r>
            <w:r>
              <w:rPr>
                <w:rFonts w:ascii="宋体"/>
                <w:w w:val="99"/>
                <w:sz w:val="16"/>
                <w:u w:val="single" w:color="000000"/>
              </w:rPr>
              <w:t> </w:t>
            </w:r>
            <w:r>
              <w:rPr>
                <w:rFonts w:ascii="宋体"/>
                <w:w w:val="99"/>
                <w:sz w:val="16"/>
              </w:rPr>
            </w:r>
            <w:r>
              <w:rPr>
                <w:rFonts w:ascii="宋体"/>
                <w:sz w:val="16"/>
              </w:rPr>
            </w:r>
          </w:p>
        </w:tc>
        <w:tc>
          <w:tcPr>
            <w:tcW w:w="271" w:type="dxa"/>
            <w:tcBorders>
              <w:top w:val="nil" w:sz="6" w:space="0" w:color="auto"/>
              <w:left w:val="nil" w:sz="6" w:space="0" w:color="auto"/>
              <w:bottom w:val="nil" w:sz="6" w:space="0" w:color="auto"/>
              <w:right w:val="nil" w:sz="6" w:space="0" w:color="auto"/>
            </w:tcBorders>
          </w:tcPr>
          <w:p>
            <w:pPr/>
          </w:p>
        </w:tc>
        <w:tc>
          <w:tcPr>
            <w:tcW w:w="1528" w:type="dxa"/>
            <w:tcBorders>
              <w:top w:val="single" w:sz="4" w:space="0" w:color="000000"/>
              <w:left w:val="nil" w:sz="6" w:space="0" w:color="auto"/>
              <w:bottom w:val="nil" w:sz="6" w:space="0" w:color="auto"/>
              <w:right w:val="nil" w:sz="6" w:space="0" w:color="auto"/>
            </w:tcBorders>
          </w:tcPr>
          <w:p>
            <w:pPr>
              <w:pStyle w:val="TableParagraph"/>
              <w:spacing w:line="181" w:lineRule="exact"/>
              <w:ind w:left="463" w:right="0"/>
              <w:jc w:val="left"/>
              <w:rPr>
                <w:rFonts w:ascii="宋体" w:hAnsi="宋体" w:cs="宋体" w:eastAsia="宋体" w:hint="default"/>
                <w:sz w:val="16"/>
                <w:szCs w:val="16"/>
              </w:rPr>
            </w:pPr>
            <w:r>
              <w:rPr>
                <w:rFonts w:ascii="宋体" w:hAnsi="宋体" w:cs="宋体" w:eastAsia="宋体" w:hint="default"/>
                <w:sz w:val="16"/>
                <w:szCs w:val="16"/>
              </w:rPr>
              <w:t>金额</w:t>
            </w:r>
            <w:r>
              <w:rPr>
                <w:rFonts w:ascii="宋体" w:hAnsi="宋体" w:cs="宋体" w:eastAsia="宋体" w:hint="default"/>
                <w:sz w:val="16"/>
                <w:szCs w:val="16"/>
              </w:rPr>
              <w:t> </w:t>
            </w:r>
          </w:p>
        </w:tc>
        <w:tc>
          <w:tcPr>
            <w:tcW w:w="553" w:type="dxa"/>
            <w:vMerge w:val="restart"/>
            <w:tcBorders>
              <w:top w:val="single" w:sz="4" w:space="0" w:color="000000"/>
              <w:left w:val="nil" w:sz="6" w:space="0" w:color="auto"/>
              <w:right w:val="nil" w:sz="6" w:space="0" w:color="auto"/>
            </w:tcBorders>
          </w:tcPr>
          <w:p>
            <w:pPr>
              <w:pStyle w:val="TableParagraph"/>
              <w:spacing w:line="181" w:lineRule="exact"/>
              <w:ind w:right="59"/>
              <w:jc w:val="center"/>
              <w:rPr>
                <w:rFonts w:ascii="宋体" w:hAnsi="宋体" w:cs="宋体" w:eastAsia="宋体" w:hint="default"/>
                <w:sz w:val="16"/>
                <w:szCs w:val="16"/>
              </w:rPr>
            </w:pPr>
            <w:r>
              <w:rPr>
                <w:rFonts w:ascii="宋体" w:hAnsi="宋体" w:cs="宋体" w:eastAsia="宋体" w:hint="default"/>
                <w:sz w:val="16"/>
                <w:szCs w:val="16"/>
              </w:rPr>
              <w:t>比例</w:t>
            </w:r>
          </w:p>
          <w:p>
            <w:pPr>
              <w:pStyle w:val="TableParagraph"/>
              <w:spacing w:line="240" w:lineRule="auto" w:before="29"/>
              <w:ind w:left="-47" w:right="19"/>
              <w:jc w:val="center"/>
              <w:rPr>
                <w:rFonts w:ascii="宋体" w:hAnsi="宋体" w:cs="宋体" w:eastAsia="宋体" w:hint="default"/>
                <w:sz w:val="16"/>
                <w:szCs w:val="16"/>
              </w:rPr>
            </w:pPr>
            <w:r>
              <w:rPr>
                <w:rFonts w:ascii="Arial"/>
                <w:w w:val="99"/>
                <w:sz w:val="16"/>
              </w:rPr>
            </w:r>
            <w:r>
              <w:rPr>
                <w:rFonts w:ascii="Arial"/>
                <w:w w:val="99"/>
                <w:sz w:val="16"/>
                <w:u w:val="single" w:color="000000"/>
              </w:rPr>
              <w:t> </w:t>
            </w:r>
            <w:r>
              <w:rPr>
                <w:rFonts w:ascii="Arial"/>
                <w:sz w:val="16"/>
                <w:u w:val="single" w:color="000000"/>
              </w:rPr>
              <w:t>  </w:t>
            </w:r>
            <w:r>
              <w:rPr>
                <w:rFonts w:ascii="Arial"/>
                <w:spacing w:val="-5"/>
                <w:sz w:val="16"/>
                <w:u w:val="single" w:color="000000"/>
              </w:rPr>
              <w:t> </w:t>
            </w:r>
            <w:r>
              <w:rPr>
                <w:rFonts w:ascii="Arial"/>
                <w:sz w:val="16"/>
                <w:u w:val="single" w:color="000000"/>
              </w:rPr>
              <w:t>(%) </w:t>
            </w:r>
            <w:r>
              <w:rPr>
                <w:rFonts w:ascii="Arial"/>
                <w:spacing w:val="-8"/>
                <w:sz w:val="16"/>
                <w:u w:val="single" w:color="000000"/>
              </w:rPr>
              <w:t> </w:t>
            </w:r>
            <w:r>
              <w:rPr>
                <w:rFonts w:ascii="宋体"/>
                <w:w w:val="99"/>
                <w:sz w:val="16"/>
                <w:u w:val="single" w:color="000000"/>
              </w:rPr>
              <w:t> </w:t>
            </w:r>
            <w:r>
              <w:rPr>
                <w:rFonts w:ascii="宋体"/>
                <w:w w:val="99"/>
                <w:sz w:val="16"/>
              </w:rPr>
            </w:r>
            <w:r>
              <w:rPr>
                <w:rFonts w:ascii="宋体"/>
                <w:sz w:val="16"/>
              </w:rPr>
            </w:r>
          </w:p>
        </w:tc>
        <w:tc>
          <w:tcPr>
            <w:tcW w:w="228" w:type="dxa"/>
            <w:tcBorders>
              <w:top w:val="nil" w:sz="6" w:space="0" w:color="auto"/>
              <w:left w:val="nil" w:sz="6" w:space="0" w:color="auto"/>
              <w:bottom w:val="nil" w:sz="6" w:space="0" w:color="auto"/>
              <w:right w:val="nil" w:sz="6" w:space="0" w:color="auto"/>
            </w:tcBorders>
          </w:tcPr>
          <w:p>
            <w:pPr/>
          </w:p>
        </w:tc>
        <w:tc>
          <w:tcPr>
            <w:tcW w:w="1438" w:type="dxa"/>
            <w:tcBorders>
              <w:top w:val="single" w:sz="4" w:space="0" w:color="000000"/>
              <w:left w:val="nil" w:sz="6" w:space="0" w:color="auto"/>
              <w:bottom w:val="nil" w:sz="6" w:space="0" w:color="auto"/>
              <w:right w:val="nil" w:sz="6" w:space="0" w:color="auto"/>
            </w:tcBorders>
          </w:tcPr>
          <w:p>
            <w:pPr/>
          </w:p>
        </w:tc>
        <w:tc>
          <w:tcPr>
            <w:tcW w:w="1516" w:type="dxa"/>
            <w:tcBorders>
              <w:top w:val="single" w:sz="4" w:space="0" w:color="000000"/>
              <w:left w:val="nil" w:sz="6" w:space="0" w:color="auto"/>
              <w:bottom w:val="nil" w:sz="6" w:space="0" w:color="auto"/>
              <w:right w:val="nil" w:sz="6" w:space="0" w:color="auto"/>
            </w:tcBorders>
          </w:tcPr>
          <w:p>
            <w:pPr>
              <w:pStyle w:val="TableParagraph"/>
              <w:spacing w:line="181" w:lineRule="exact"/>
              <w:ind w:left="278" w:right="0"/>
              <w:jc w:val="left"/>
              <w:rPr>
                <w:rFonts w:ascii="宋体" w:hAnsi="宋体" w:cs="宋体" w:eastAsia="宋体" w:hint="default"/>
                <w:sz w:val="16"/>
                <w:szCs w:val="16"/>
              </w:rPr>
            </w:pPr>
            <w:r>
              <w:rPr>
                <w:rFonts w:ascii="宋体" w:hAnsi="宋体" w:cs="宋体" w:eastAsia="宋体" w:hint="default"/>
                <w:sz w:val="16"/>
                <w:szCs w:val="16"/>
              </w:rPr>
              <w:t>账面余额</w:t>
            </w:r>
            <w:r>
              <w:rPr>
                <w:rFonts w:ascii="宋体" w:hAnsi="宋体" w:cs="宋体" w:eastAsia="宋体" w:hint="default"/>
                <w:sz w:val="16"/>
                <w:szCs w:val="16"/>
              </w:rPr>
              <w:t> </w:t>
            </w:r>
          </w:p>
        </w:tc>
        <w:tc>
          <w:tcPr>
            <w:tcW w:w="601" w:type="dxa"/>
            <w:vMerge w:val="restart"/>
            <w:tcBorders>
              <w:top w:val="single" w:sz="4" w:space="0" w:color="000000"/>
              <w:left w:val="nil" w:sz="6" w:space="0" w:color="auto"/>
              <w:right w:val="nil" w:sz="6" w:space="0" w:color="auto"/>
            </w:tcBorders>
          </w:tcPr>
          <w:p>
            <w:pPr>
              <w:pStyle w:val="TableParagraph"/>
              <w:spacing w:line="181" w:lineRule="exact"/>
              <w:ind w:right="73"/>
              <w:jc w:val="center"/>
              <w:rPr>
                <w:rFonts w:ascii="宋体" w:hAnsi="宋体" w:cs="宋体" w:eastAsia="宋体" w:hint="default"/>
                <w:sz w:val="16"/>
                <w:szCs w:val="16"/>
              </w:rPr>
            </w:pPr>
            <w:r>
              <w:rPr>
                <w:rFonts w:ascii="宋体" w:hAnsi="宋体" w:cs="宋体" w:eastAsia="宋体" w:hint="default"/>
                <w:spacing w:val="2"/>
                <w:w w:val="99"/>
                <w:sz w:val="16"/>
                <w:szCs w:val="16"/>
              </w:rPr>
              <w:t> </w:t>
            </w:r>
            <w:r>
              <w:rPr>
                <w:rFonts w:ascii="宋体" w:hAnsi="宋体" w:cs="宋体" w:eastAsia="宋体" w:hint="default"/>
                <w:sz w:val="16"/>
                <w:szCs w:val="16"/>
              </w:rPr>
              <w:t>比例</w:t>
            </w:r>
          </w:p>
          <w:p>
            <w:pPr>
              <w:pStyle w:val="TableParagraph"/>
              <w:spacing w:line="240" w:lineRule="auto" w:before="29"/>
              <w:ind w:left="-71" w:right="53"/>
              <w:jc w:val="center"/>
              <w:rPr>
                <w:rFonts w:ascii="宋体" w:hAnsi="宋体" w:cs="宋体" w:eastAsia="宋体" w:hint="default"/>
                <w:sz w:val="16"/>
                <w:szCs w:val="16"/>
              </w:rPr>
            </w:pPr>
            <w:r>
              <w:rPr>
                <w:rFonts w:ascii="Arial"/>
                <w:w w:val="99"/>
                <w:sz w:val="16"/>
              </w:rPr>
            </w:r>
            <w:r>
              <w:rPr>
                <w:rFonts w:ascii="Arial"/>
                <w:w w:val="99"/>
                <w:sz w:val="16"/>
                <w:u w:val="single" w:color="000000"/>
              </w:rPr>
              <w:t> </w:t>
            </w:r>
            <w:r>
              <w:rPr>
                <w:rFonts w:ascii="Arial"/>
                <w:sz w:val="16"/>
                <w:u w:val="single" w:color="000000"/>
              </w:rPr>
              <w:t>   </w:t>
            </w:r>
            <w:r>
              <w:rPr>
                <w:rFonts w:ascii="Arial"/>
                <w:spacing w:val="-11"/>
                <w:sz w:val="16"/>
                <w:u w:val="single" w:color="000000"/>
              </w:rPr>
              <w:t> </w:t>
            </w:r>
            <w:r>
              <w:rPr>
                <w:rFonts w:ascii="Arial"/>
                <w:sz w:val="16"/>
                <w:u w:val="single" w:color="000000"/>
              </w:rPr>
              <w:t>(%) </w:t>
            </w:r>
            <w:r>
              <w:rPr>
                <w:rFonts w:ascii="Arial"/>
                <w:spacing w:val="-8"/>
                <w:sz w:val="16"/>
                <w:u w:val="single" w:color="000000"/>
              </w:rPr>
              <w:t> </w:t>
            </w:r>
            <w:r>
              <w:rPr>
                <w:rFonts w:ascii="宋体"/>
                <w:w w:val="99"/>
                <w:sz w:val="16"/>
                <w:u w:val="single" w:color="000000"/>
              </w:rPr>
              <w:t> </w:t>
            </w:r>
            <w:r>
              <w:rPr>
                <w:rFonts w:ascii="宋体"/>
                <w:w w:val="99"/>
                <w:sz w:val="16"/>
              </w:rPr>
            </w:r>
            <w:r>
              <w:rPr>
                <w:rFonts w:ascii="宋体"/>
                <w:sz w:val="16"/>
              </w:rPr>
            </w:r>
          </w:p>
        </w:tc>
        <w:tc>
          <w:tcPr>
            <w:tcW w:w="233" w:type="dxa"/>
            <w:tcBorders>
              <w:top w:val="nil" w:sz="6" w:space="0" w:color="auto"/>
              <w:left w:val="nil" w:sz="6" w:space="0" w:color="auto"/>
              <w:bottom w:val="nil" w:sz="6" w:space="0" w:color="auto"/>
              <w:right w:val="nil" w:sz="6" w:space="0" w:color="auto"/>
            </w:tcBorders>
          </w:tcPr>
          <w:p>
            <w:pPr/>
          </w:p>
        </w:tc>
        <w:tc>
          <w:tcPr>
            <w:tcW w:w="1523" w:type="dxa"/>
            <w:tcBorders>
              <w:top w:val="single" w:sz="4" w:space="0" w:color="000000"/>
              <w:left w:val="nil" w:sz="6" w:space="0" w:color="auto"/>
              <w:bottom w:val="nil" w:sz="6" w:space="0" w:color="auto"/>
              <w:right w:val="nil" w:sz="6" w:space="0" w:color="auto"/>
            </w:tcBorders>
          </w:tcPr>
          <w:p>
            <w:pPr>
              <w:pStyle w:val="TableParagraph"/>
              <w:spacing w:line="181" w:lineRule="exact"/>
              <w:ind w:left="458" w:right="0"/>
              <w:jc w:val="left"/>
              <w:rPr>
                <w:rFonts w:ascii="宋体" w:hAnsi="宋体" w:cs="宋体" w:eastAsia="宋体" w:hint="default"/>
                <w:sz w:val="16"/>
                <w:szCs w:val="16"/>
              </w:rPr>
            </w:pPr>
            <w:r>
              <w:rPr>
                <w:rFonts w:ascii="宋体" w:hAnsi="宋体" w:cs="宋体" w:eastAsia="宋体" w:hint="default"/>
                <w:sz w:val="16"/>
                <w:szCs w:val="16"/>
              </w:rPr>
              <w:t>金额</w:t>
            </w:r>
            <w:r>
              <w:rPr>
                <w:rFonts w:ascii="宋体" w:hAnsi="宋体" w:cs="宋体" w:eastAsia="宋体" w:hint="default"/>
                <w:spacing w:val="2"/>
                <w:sz w:val="16"/>
                <w:szCs w:val="16"/>
              </w:rPr>
              <w:t> </w:t>
            </w:r>
            <w:r>
              <w:rPr>
                <w:rFonts w:ascii="宋体" w:hAnsi="宋体" w:cs="宋体" w:eastAsia="宋体" w:hint="default"/>
                <w:sz w:val="16"/>
                <w:szCs w:val="16"/>
              </w:rPr>
              <w:t> </w:t>
            </w:r>
          </w:p>
        </w:tc>
        <w:tc>
          <w:tcPr>
            <w:tcW w:w="553" w:type="dxa"/>
            <w:vMerge w:val="restart"/>
            <w:tcBorders>
              <w:top w:val="single" w:sz="4" w:space="0" w:color="000000"/>
              <w:left w:val="nil" w:sz="6" w:space="0" w:color="auto"/>
              <w:right w:val="nil" w:sz="6" w:space="0" w:color="auto"/>
            </w:tcBorders>
          </w:tcPr>
          <w:p>
            <w:pPr>
              <w:pStyle w:val="TableParagraph"/>
              <w:spacing w:line="181" w:lineRule="exact"/>
              <w:ind w:right="59"/>
              <w:jc w:val="center"/>
              <w:rPr>
                <w:rFonts w:ascii="宋体" w:hAnsi="宋体" w:cs="宋体" w:eastAsia="宋体" w:hint="default"/>
                <w:sz w:val="16"/>
                <w:szCs w:val="16"/>
              </w:rPr>
            </w:pPr>
            <w:r>
              <w:rPr>
                <w:rFonts w:ascii="宋体" w:hAnsi="宋体" w:cs="宋体" w:eastAsia="宋体" w:hint="default"/>
                <w:sz w:val="16"/>
                <w:szCs w:val="16"/>
              </w:rPr>
              <w:t>比例</w:t>
            </w:r>
          </w:p>
          <w:p>
            <w:pPr>
              <w:pStyle w:val="TableParagraph"/>
              <w:spacing w:line="240" w:lineRule="auto" w:before="29"/>
              <w:ind w:left="-52" w:right="19"/>
              <w:jc w:val="center"/>
              <w:rPr>
                <w:rFonts w:ascii="宋体" w:hAnsi="宋体" w:cs="宋体" w:eastAsia="宋体" w:hint="default"/>
                <w:sz w:val="16"/>
                <w:szCs w:val="16"/>
              </w:rPr>
            </w:pPr>
            <w:r>
              <w:rPr>
                <w:rFonts w:ascii="Arial"/>
                <w:w w:val="99"/>
                <w:sz w:val="16"/>
              </w:rPr>
            </w:r>
            <w:r>
              <w:rPr>
                <w:rFonts w:ascii="Arial"/>
                <w:w w:val="99"/>
                <w:sz w:val="16"/>
                <w:u w:val="single" w:color="000000"/>
              </w:rPr>
              <w:t> </w:t>
            </w:r>
            <w:r>
              <w:rPr>
                <w:rFonts w:ascii="Arial"/>
                <w:sz w:val="16"/>
                <w:u w:val="single" w:color="000000"/>
              </w:rPr>
              <w:t>   (%) </w:t>
            </w:r>
            <w:r>
              <w:rPr>
                <w:rFonts w:ascii="Arial"/>
                <w:spacing w:val="-8"/>
                <w:sz w:val="16"/>
                <w:u w:val="single" w:color="000000"/>
              </w:rPr>
              <w:t> </w:t>
            </w:r>
            <w:r>
              <w:rPr>
                <w:rFonts w:ascii="宋体"/>
                <w:w w:val="99"/>
                <w:sz w:val="16"/>
                <w:u w:val="single" w:color="000000"/>
              </w:rPr>
              <w:t> </w:t>
            </w:r>
            <w:r>
              <w:rPr>
                <w:rFonts w:ascii="宋体"/>
                <w:w w:val="99"/>
                <w:sz w:val="16"/>
              </w:rPr>
            </w:r>
            <w:r>
              <w:rPr>
                <w:rFonts w:ascii="宋体"/>
                <w:sz w:val="16"/>
              </w:rPr>
            </w:r>
          </w:p>
        </w:tc>
        <w:tc>
          <w:tcPr>
            <w:tcW w:w="228" w:type="dxa"/>
            <w:vMerge w:val="restart"/>
            <w:tcBorders>
              <w:top w:val="nil" w:sz="6" w:space="0" w:color="auto"/>
              <w:left w:val="nil" w:sz="6" w:space="0" w:color="auto"/>
              <w:right w:val="nil" w:sz="6" w:space="0" w:color="auto"/>
            </w:tcBorders>
          </w:tcPr>
          <w:p>
            <w:pPr/>
          </w:p>
        </w:tc>
        <w:tc>
          <w:tcPr>
            <w:tcW w:w="1226" w:type="dxa"/>
            <w:vMerge w:val="restart"/>
            <w:tcBorders>
              <w:top w:val="single" w:sz="4" w:space="0" w:color="000000"/>
              <w:left w:val="nil" w:sz="6" w:space="0" w:color="auto"/>
              <w:right w:val="nil" w:sz="6" w:space="0" w:color="auto"/>
            </w:tcBorders>
          </w:tcPr>
          <w:p>
            <w:pPr/>
          </w:p>
        </w:tc>
      </w:tr>
      <w:tr>
        <w:trPr>
          <w:trHeight w:val="283" w:hRule="exact"/>
        </w:trPr>
        <w:tc>
          <w:tcPr>
            <w:tcW w:w="1654" w:type="dxa"/>
            <w:tcBorders>
              <w:top w:val="nil" w:sz="6" w:space="0" w:color="auto"/>
              <w:left w:val="nil" w:sz="6" w:space="0" w:color="auto"/>
              <w:bottom w:val="nil" w:sz="6" w:space="0" w:color="auto"/>
              <w:right w:val="nil" w:sz="6" w:space="0" w:color="auto"/>
            </w:tcBorders>
          </w:tcPr>
          <w:p>
            <w:pPr>
              <w:pStyle w:val="TableParagraph"/>
              <w:spacing w:line="197" w:lineRule="exact"/>
              <w:ind w:left="245" w:right="0"/>
              <w:jc w:val="center"/>
              <w:rPr>
                <w:rFonts w:ascii="宋体" w:hAnsi="宋体" w:cs="宋体" w:eastAsia="宋体" w:hint="default"/>
                <w:sz w:val="16"/>
                <w:szCs w:val="16"/>
              </w:rPr>
            </w:pPr>
            <w:r>
              <w:rPr>
                <w:rFonts w:ascii="宋体"/>
                <w:w w:val="98"/>
                <w:sz w:val="16"/>
              </w:rPr>
              <w:t> </w:t>
            </w:r>
            <w:r>
              <w:rPr>
                <w:rFonts w:ascii="宋体"/>
                <w:sz w:val="16"/>
              </w:rPr>
            </w:r>
          </w:p>
        </w:tc>
        <w:tc>
          <w:tcPr>
            <w:tcW w:w="1234" w:type="dxa"/>
            <w:tcBorders>
              <w:top w:val="nil" w:sz="6" w:space="0" w:color="auto"/>
              <w:left w:val="nil" w:sz="6" w:space="0" w:color="auto"/>
              <w:bottom w:val="nil" w:sz="6" w:space="0" w:color="auto"/>
              <w:right w:val="nil" w:sz="6" w:space="0" w:color="auto"/>
            </w:tcBorders>
          </w:tcPr>
          <w:p>
            <w:pPr>
              <w:pStyle w:val="TableParagraph"/>
              <w:tabs>
                <w:tab w:pos="1233" w:val="left" w:leader="none"/>
              </w:tabs>
              <w:spacing w:line="197" w:lineRule="exact"/>
              <w:ind w:right="0"/>
              <w:jc w:val="right"/>
              <w:rPr>
                <w:rFonts w:ascii="宋体" w:hAnsi="宋体" w:cs="宋体" w:eastAsia="宋体" w:hint="default"/>
                <w:sz w:val="16"/>
                <w:szCs w:val="16"/>
              </w:rPr>
            </w:pPr>
            <w:r>
              <w:rPr>
                <w:rFonts w:ascii="宋体"/>
                <w:w w:val="98"/>
                <w:sz w:val="16"/>
              </w:rPr>
            </w:r>
            <w:r>
              <w:rPr>
                <w:rFonts w:ascii="宋体"/>
                <w:w w:val="98"/>
                <w:sz w:val="16"/>
                <w:u w:val="single" w:color="000000"/>
              </w:rPr>
              <w:t> </w:t>
            </w:r>
            <w:r>
              <w:rPr>
                <w:rFonts w:ascii="宋体"/>
                <w:sz w:val="16"/>
                <w:u w:val="single" w:color="000000"/>
              </w:rPr>
              <w:tab/>
            </w:r>
            <w:r>
              <w:rPr>
                <w:rFonts w:ascii="宋体"/>
                <w:sz w:val="16"/>
              </w:rPr>
            </w:r>
          </w:p>
        </w:tc>
        <w:tc>
          <w:tcPr>
            <w:tcW w:w="221" w:type="dxa"/>
            <w:vMerge/>
            <w:tcBorders>
              <w:left w:val="nil" w:sz="6" w:space="0" w:color="auto"/>
              <w:bottom w:val="nil" w:sz="6" w:space="0" w:color="auto"/>
              <w:right w:val="nil" w:sz="6" w:space="0" w:color="auto"/>
            </w:tcBorders>
          </w:tcPr>
          <w:p>
            <w:pPr/>
          </w:p>
        </w:tc>
        <w:tc>
          <w:tcPr>
            <w:tcW w:w="672" w:type="dxa"/>
            <w:vMerge/>
            <w:tcBorders>
              <w:left w:val="nil" w:sz="6" w:space="0" w:color="auto"/>
              <w:bottom w:val="nil" w:sz="6" w:space="0" w:color="auto"/>
              <w:right w:val="nil" w:sz="6" w:space="0" w:color="auto"/>
            </w:tcBorders>
          </w:tcPr>
          <w:p>
            <w:pPr/>
          </w:p>
        </w:tc>
        <w:tc>
          <w:tcPr>
            <w:tcW w:w="271" w:type="dxa"/>
            <w:tcBorders>
              <w:top w:val="nil" w:sz="6" w:space="0" w:color="auto"/>
              <w:left w:val="nil" w:sz="6" w:space="0" w:color="auto"/>
              <w:bottom w:val="nil" w:sz="6" w:space="0" w:color="auto"/>
              <w:right w:val="nil" w:sz="6" w:space="0" w:color="auto"/>
            </w:tcBorders>
          </w:tcPr>
          <w:p>
            <w:pPr/>
          </w:p>
        </w:tc>
        <w:tc>
          <w:tcPr>
            <w:tcW w:w="1528" w:type="dxa"/>
            <w:tcBorders>
              <w:top w:val="nil" w:sz="6" w:space="0" w:color="auto"/>
              <w:left w:val="nil" w:sz="6" w:space="0" w:color="auto"/>
              <w:bottom w:val="nil" w:sz="6" w:space="0" w:color="auto"/>
              <w:right w:val="nil" w:sz="6" w:space="0" w:color="auto"/>
            </w:tcBorders>
          </w:tcPr>
          <w:p>
            <w:pPr>
              <w:pStyle w:val="TableParagraph"/>
              <w:tabs>
                <w:tab w:pos="1240" w:val="left" w:leader="none"/>
              </w:tabs>
              <w:spacing w:line="163" w:lineRule="exact"/>
              <w:ind w:left="7" w:right="0"/>
              <w:jc w:val="left"/>
              <w:rPr>
                <w:rFonts w:ascii="宋体" w:hAnsi="宋体" w:cs="宋体" w:eastAsia="宋体" w:hint="default"/>
                <w:sz w:val="16"/>
                <w:szCs w:val="16"/>
              </w:rPr>
            </w:pPr>
            <w:r>
              <w:rPr>
                <w:rFonts w:ascii="宋体"/>
                <w:w w:val="99"/>
                <w:sz w:val="16"/>
              </w:rPr>
            </w:r>
            <w:r>
              <w:rPr>
                <w:rFonts w:ascii="宋体"/>
                <w:w w:val="99"/>
                <w:sz w:val="16"/>
                <w:u w:val="single" w:color="000000"/>
              </w:rPr>
              <w:t> </w:t>
            </w:r>
            <w:r>
              <w:rPr>
                <w:rFonts w:ascii="宋体"/>
                <w:sz w:val="16"/>
                <w:u w:val="single" w:color="000000"/>
              </w:rPr>
              <w:tab/>
            </w:r>
            <w:r>
              <w:rPr>
                <w:rFonts w:ascii="宋体"/>
                <w:sz w:val="16"/>
              </w:rPr>
            </w:r>
          </w:p>
        </w:tc>
        <w:tc>
          <w:tcPr>
            <w:tcW w:w="553" w:type="dxa"/>
            <w:vMerge/>
            <w:tcBorders>
              <w:left w:val="nil" w:sz="6" w:space="0" w:color="auto"/>
              <w:bottom w:val="nil" w:sz="6" w:space="0" w:color="auto"/>
              <w:right w:val="nil" w:sz="6" w:space="0" w:color="auto"/>
            </w:tcBorders>
          </w:tcPr>
          <w:p>
            <w:pPr/>
          </w:p>
        </w:tc>
        <w:tc>
          <w:tcPr>
            <w:tcW w:w="228"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nil" w:sz="6" w:space="0" w:color="auto"/>
            </w:tcBorders>
          </w:tcPr>
          <w:p>
            <w:pPr/>
          </w:p>
        </w:tc>
        <w:tc>
          <w:tcPr>
            <w:tcW w:w="1516" w:type="dxa"/>
            <w:tcBorders>
              <w:top w:val="nil" w:sz="6" w:space="0" w:color="auto"/>
              <w:left w:val="nil" w:sz="6" w:space="0" w:color="auto"/>
              <w:bottom w:val="nil" w:sz="6" w:space="0" w:color="auto"/>
              <w:right w:val="nil" w:sz="6" w:space="0" w:color="auto"/>
            </w:tcBorders>
          </w:tcPr>
          <w:p>
            <w:pPr>
              <w:pStyle w:val="TableParagraph"/>
              <w:tabs>
                <w:tab w:pos="1204" w:val="left" w:leader="none"/>
              </w:tabs>
              <w:spacing w:line="163" w:lineRule="exact"/>
              <w:ind w:right="0"/>
              <w:jc w:val="left"/>
              <w:rPr>
                <w:rFonts w:ascii="宋体" w:hAnsi="宋体" w:cs="宋体" w:eastAsia="宋体" w:hint="default"/>
                <w:sz w:val="16"/>
                <w:szCs w:val="16"/>
              </w:rPr>
            </w:pPr>
            <w:r>
              <w:rPr>
                <w:rFonts w:ascii="宋体"/>
                <w:w w:val="99"/>
                <w:sz w:val="16"/>
              </w:rPr>
            </w:r>
            <w:r>
              <w:rPr>
                <w:rFonts w:ascii="宋体"/>
                <w:w w:val="99"/>
                <w:sz w:val="16"/>
                <w:u w:val="single" w:color="000000"/>
              </w:rPr>
              <w:t> </w:t>
            </w:r>
            <w:r>
              <w:rPr>
                <w:rFonts w:ascii="宋体"/>
                <w:sz w:val="16"/>
                <w:u w:val="single" w:color="000000"/>
              </w:rPr>
              <w:tab/>
            </w:r>
            <w:r>
              <w:rPr>
                <w:rFonts w:ascii="宋体"/>
                <w:sz w:val="16"/>
              </w:rPr>
            </w:r>
          </w:p>
        </w:tc>
        <w:tc>
          <w:tcPr>
            <w:tcW w:w="601" w:type="dxa"/>
            <w:vMerge/>
            <w:tcBorders>
              <w:left w:val="nil" w:sz="6" w:space="0" w:color="auto"/>
              <w:bottom w:val="nil" w:sz="6" w:space="0" w:color="auto"/>
              <w:right w:val="nil" w:sz="6" w:space="0" w:color="auto"/>
            </w:tcBorders>
          </w:tcPr>
          <w:p>
            <w:pPr/>
          </w:p>
        </w:tc>
        <w:tc>
          <w:tcPr>
            <w:tcW w:w="233" w:type="dxa"/>
            <w:tcBorders>
              <w:top w:val="nil" w:sz="6" w:space="0" w:color="auto"/>
              <w:left w:val="nil" w:sz="6" w:space="0" w:color="auto"/>
              <w:bottom w:val="nil" w:sz="6" w:space="0" w:color="auto"/>
              <w:right w:val="nil" w:sz="6" w:space="0" w:color="auto"/>
            </w:tcBorders>
          </w:tcPr>
          <w:p>
            <w:pPr/>
          </w:p>
        </w:tc>
        <w:tc>
          <w:tcPr>
            <w:tcW w:w="1523" w:type="dxa"/>
            <w:tcBorders>
              <w:top w:val="nil" w:sz="6" w:space="0" w:color="auto"/>
              <w:left w:val="nil" w:sz="6" w:space="0" w:color="auto"/>
              <w:bottom w:val="nil" w:sz="6" w:space="0" w:color="auto"/>
              <w:right w:val="nil" w:sz="6" w:space="0" w:color="auto"/>
            </w:tcBorders>
          </w:tcPr>
          <w:p>
            <w:pPr>
              <w:pStyle w:val="TableParagraph"/>
              <w:tabs>
                <w:tab w:pos="1235" w:val="left" w:leader="none"/>
              </w:tabs>
              <w:spacing w:line="163" w:lineRule="exact"/>
              <w:ind w:left="7" w:right="0"/>
              <w:jc w:val="left"/>
              <w:rPr>
                <w:rFonts w:ascii="宋体" w:hAnsi="宋体" w:cs="宋体" w:eastAsia="宋体" w:hint="default"/>
                <w:sz w:val="16"/>
                <w:szCs w:val="16"/>
              </w:rPr>
            </w:pPr>
            <w:r>
              <w:rPr>
                <w:rFonts w:ascii="宋体"/>
                <w:w w:val="99"/>
                <w:sz w:val="16"/>
              </w:rPr>
            </w:r>
            <w:r>
              <w:rPr>
                <w:rFonts w:ascii="宋体"/>
                <w:w w:val="99"/>
                <w:sz w:val="16"/>
                <w:u w:val="single" w:color="000000"/>
              </w:rPr>
              <w:t> </w:t>
            </w:r>
            <w:r>
              <w:rPr>
                <w:rFonts w:ascii="宋体"/>
                <w:sz w:val="16"/>
                <w:u w:val="single" w:color="000000"/>
              </w:rPr>
              <w:tab/>
            </w:r>
            <w:r>
              <w:rPr>
                <w:rFonts w:ascii="宋体"/>
                <w:sz w:val="16"/>
              </w:rPr>
            </w:r>
          </w:p>
        </w:tc>
        <w:tc>
          <w:tcPr>
            <w:tcW w:w="553" w:type="dxa"/>
            <w:vMerge/>
            <w:tcBorders>
              <w:left w:val="nil" w:sz="6" w:space="0" w:color="auto"/>
              <w:bottom w:val="nil" w:sz="6" w:space="0" w:color="auto"/>
              <w:right w:val="nil" w:sz="6" w:space="0" w:color="auto"/>
            </w:tcBorders>
          </w:tcPr>
          <w:p>
            <w:pPr/>
          </w:p>
        </w:tc>
        <w:tc>
          <w:tcPr>
            <w:tcW w:w="228" w:type="dxa"/>
            <w:vMerge/>
            <w:tcBorders>
              <w:left w:val="nil" w:sz="6" w:space="0" w:color="auto"/>
              <w:bottom w:val="nil" w:sz="6" w:space="0" w:color="auto"/>
              <w:right w:val="nil" w:sz="6" w:space="0" w:color="auto"/>
            </w:tcBorders>
          </w:tcPr>
          <w:p>
            <w:pPr/>
          </w:p>
        </w:tc>
        <w:tc>
          <w:tcPr>
            <w:tcW w:w="1226" w:type="dxa"/>
            <w:vMerge/>
            <w:tcBorders>
              <w:left w:val="nil" w:sz="6" w:space="0" w:color="auto"/>
              <w:bottom w:val="nil" w:sz="6" w:space="0" w:color="auto"/>
              <w:right w:val="nil" w:sz="6" w:space="0" w:color="auto"/>
            </w:tcBorders>
          </w:tcPr>
          <w:p>
            <w:pPr/>
          </w:p>
        </w:tc>
      </w:tr>
      <w:tr>
        <w:trPr>
          <w:trHeight w:val="338" w:hRule="exact"/>
        </w:trPr>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09" w:right="0"/>
              <w:jc w:val="left"/>
              <w:rPr>
                <w:rFonts w:ascii="宋体" w:hAnsi="宋体" w:cs="宋体" w:eastAsia="宋体" w:hint="default"/>
                <w:sz w:val="16"/>
                <w:szCs w:val="16"/>
              </w:rPr>
            </w:pPr>
            <w:r>
              <w:rPr>
                <w:rFonts w:ascii="宋体" w:hAnsi="宋体" w:cs="宋体" w:eastAsia="宋体" w:hint="default"/>
                <w:sz w:val="16"/>
                <w:szCs w:val="16"/>
              </w:rPr>
              <w:t>按单项计提坏账准备</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17"/>
              <w:jc w:val="right"/>
              <w:rPr>
                <w:rFonts w:ascii="Arial" w:hAnsi="Arial" w:cs="Arial" w:eastAsia="Arial" w:hint="default"/>
                <w:sz w:val="14"/>
                <w:szCs w:val="14"/>
              </w:rPr>
            </w:pPr>
            <w:r>
              <w:rPr>
                <w:rFonts w:ascii="Arial"/>
                <w:spacing w:val="-1"/>
                <w:sz w:val="14"/>
              </w:rPr>
              <w:t>86,224,945</w:t>
            </w:r>
            <w:r>
              <w:rPr>
                <w:rFonts w:ascii="Arial"/>
                <w:sz w:val="14"/>
              </w:rPr>
            </w:r>
          </w:p>
        </w:tc>
        <w:tc>
          <w:tcPr>
            <w:tcW w:w="221" w:type="dxa"/>
            <w:tcBorders>
              <w:top w:val="nil" w:sz="6" w:space="0" w:color="auto"/>
              <w:left w:val="nil" w:sz="6" w:space="0" w:color="auto"/>
              <w:bottom w:val="nil" w:sz="6" w:space="0" w:color="auto"/>
              <w:right w:val="nil" w:sz="6" w:space="0" w:color="auto"/>
            </w:tcBorders>
          </w:tcPr>
          <w:p>
            <w:pPr/>
          </w:p>
        </w:tc>
        <w:tc>
          <w:tcPr>
            <w:tcW w:w="672"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292" w:right="0"/>
              <w:jc w:val="left"/>
              <w:rPr>
                <w:rFonts w:ascii="Arial" w:hAnsi="Arial" w:cs="Arial" w:eastAsia="Arial" w:hint="default"/>
                <w:sz w:val="14"/>
                <w:szCs w:val="14"/>
              </w:rPr>
            </w:pPr>
            <w:r>
              <w:rPr>
                <w:rFonts w:ascii="Arial"/>
                <w:sz w:val="14"/>
              </w:rPr>
              <w:t>0.31</w:t>
            </w:r>
          </w:p>
        </w:tc>
        <w:tc>
          <w:tcPr>
            <w:tcW w:w="271" w:type="dxa"/>
            <w:tcBorders>
              <w:top w:val="nil" w:sz="6" w:space="0" w:color="auto"/>
              <w:left w:val="nil" w:sz="6" w:space="0" w:color="auto"/>
              <w:bottom w:val="nil" w:sz="6" w:space="0" w:color="auto"/>
              <w:right w:val="nil" w:sz="6" w:space="0" w:color="auto"/>
            </w:tcBorders>
          </w:tcPr>
          <w:p>
            <w:pP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338" w:right="0"/>
              <w:jc w:val="left"/>
              <w:rPr>
                <w:rFonts w:ascii="Arial" w:hAnsi="Arial" w:cs="Arial" w:eastAsia="Arial" w:hint="default"/>
                <w:sz w:val="14"/>
                <w:szCs w:val="14"/>
              </w:rPr>
            </w:pPr>
            <w:r>
              <w:rPr>
                <w:rFonts w:ascii="Arial"/>
                <w:sz w:val="14"/>
              </w:rPr>
              <w:t>(81,358,764)</w:t>
            </w:r>
          </w:p>
        </w:tc>
        <w:tc>
          <w:tcPr>
            <w:tcW w:w="553"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92" w:right="0"/>
              <w:jc w:val="left"/>
              <w:rPr>
                <w:rFonts w:ascii="Arial" w:hAnsi="Arial" w:cs="Arial" w:eastAsia="Arial" w:hint="default"/>
                <w:sz w:val="14"/>
                <w:szCs w:val="14"/>
              </w:rPr>
            </w:pPr>
            <w:r>
              <w:rPr>
                <w:rFonts w:ascii="Arial"/>
                <w:sz w:val="14"/>
              </w:rPr>
              <w:t>94.36</w:t>
            </w:r>
          </w:p>
        </w:tc>
        <w:tc>
          <w:tcPr>
            <w:tcW w:w="228"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511" w:right="0"/>
              <w:jc w:val="left"/>
              <w:rPr>
                <w:rFonts w:ascii="Arial" w:hAnsi="Arial" w:cs="Arial" w:eastAsia="Arial" w:hint="default"/>
                <w:sz w:val="14"/>
                <w:szCs w:val="14"/>
              </w:rPr>
            </w:pPr>
            <w:r>
              <w:rPr>
                <w:rFonts w:ascii="Arial"/>
                <w:sz w:val="14"/>
              </w:rPr>
              <w:t>4,866,181</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321" w:right="0"/>
              <w:jc w:val="left"/>
              <w:rPr>
                <w:rFonts w:ascii="Arial" w:hAnsi="Arial" w:cs="Arial" w:eastAsia="Arial" w:hint="default"/>
                <w:sz w:val="14"/>
                <w:szCs w:val="14"/>
              </w:rPr>
            </w:pPr>
            <w:r>
              <w:rPr>
                <w:rFonts w:ascii="Arial"/>
                <w:sz w:val="14"/>
              </w:rPr>
              <w:t>112,258,918</w:t>
            </w:r>
          </w:p>
        </w:tc>
        <w:tc>
          <w:tcPr>
            <w:tcW w:w="601"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217" w:right="0"/>
              <w:jc w:val="left"/>
              <w:rPr>
                <w:rFonts w:ascii="Arial" w:hAnsi="Arial" w:cs="Arial" w:eastAsia="Arial" w:hint="default"/>
                <w:sz w:val="14"/>
                <w:szCs w:val="14"/>
              </w:rPr>
            </w:pPr>
            <w:r>
              <w:rPr>
                <w:rFonts w:ascii="Arial"/>
                <w:sz w:val="14"/>
              </w:rPr>
              <w:t>0.46</w:t>
            </w:r>
          </w:p>
        </w:tc>
        <w:tc>
          <w:tcPr>
            <w:tcW w:w="233" w:type="dxa"/>
            <w:tcBorders>
              <w:top w:val="nil" w:sz="6" w:space="0" w:color="auto"/>
              <w:left w:val="nil" w:sz="6" w:space="0" w:color="auto"/>
              <w:bottom w:val="nil" w:sz="6" w:space="0" w:color="auto"/>
              <w:right w:val="nil" w:sz="6" w:space="0" w:color="auto"/>
            </w:tcBorders>
          </w:tcPr>
          <w:p>
            <w:pPr/>
          </w:p>
        </w:tc>
        <w:tc>
          <w:tcPr>
            <w:tcW w:w="1523"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256" w:right="0"/>
              <w:jc w:val="left"/>
              <w:rPr>
                <w:rFonts w:ascii="Arial" w:hAnsi="Arial" w:cs="Arial" w:eastAsia="Arial" w:hint="default"/>
                <w:sz w:val="14"/>
                <w:szCs w:val="14"/>
              </w:rPr>
            </w:pPr>
            <w:r>
              <w:rPr>
                <w:rFonts w:ascii="Arial"/>
                <w:sz w:val="14"/>
              </w:rPr>
              <w:t>(106,970,688)</w:t>
            </w:r>
          </w:p>
        </w:tc>
        <w:tc>
          <w:tcPr>
            <w:tcW w:w="553"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20"/>
              <w:jc w:val="center"/>
              <w:rPr>
                <w:rFonts w:ascii="Arial" w:hAnsi="Arial" w:cs="Arial" w:eastAsia="Arial" w:hint="default"/>
                <w:sz w:val="14"/>
                <w:szCs w:val="14"/>
              </w:rPr>
            </w:pPr>
            <w:r>
              <w:rPr>
                <w:rFonts w:ascii="Arial"/>
                <w:sz w:val="14"/>
              </w:rPr>
              <w:t>95.29</w:t>
            </w:r>
          </w:p>
        </w:tc>
        <w:tc>
          <w:tcPr>
            <w:tcW w:w="228"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08"/>
              <w:jc w:val="right"/>
              <w:rPr>
                <w:rFonts w:ascii="Arial" w:hAnsi="Arial" w:cs="Arial" w:eastAsia="Arial" w:hint="default"/>
                <w:sz w:val="14"/>
                <w:szCs w:val="14"/>
              </w:rPr>
            </w:pPr>
            <w:r>
              <w:rPr>
                <w:rFonts w:ascii="Arial"/>
                <w:spacing w:val="-1"/>
                <w:sz w:val="14"/>
              </w:rPr>
              <w:t>5,288,230</w:t>
            </w:r>
            <w:r>
              <w:rPr>
                <w:rFonts w:ascii="Arial"/>
                <w:sz w:val="14"/>
              </w:rPr>
            </w:r>
          </w:p>
        </w:tc>
      </w:tr>
      <w:tr>
        <w:trPr>
          <w:trHeight w:val="406" w:hRule="exact"/>
        </w:trPr>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09" w:right="0"/>
              <w:jc w:val="left"/>
              <w:rPr>
                <w:rFonts w:ascii="宋体" w:hAnsi="宋体" w:cs="宋体" w:eastAsia="宋体" w:hint="default"/>
                <w:sz w:val="16"/>
                <w:szCs w:val="16"/>
              </w:rPr>
            </w:pPr>
            <w:r>
              <w:rPr>
                <w:rFonts w:ascii="宋体" w:hAnsi="宋体" w:cs="宋体" w:eastAsia="宋体" w:hint="default"/>
                <w:sz w:val="16"/>
                <w:szCs w:val="16"/>
              </w:rPr>
              <w:t>按组合计提坏账准备</w:t>
            </w:r>
          </w:p>
        </w:tc>
        <w:tc>
          <w:tcPr>
            <w:tcW w:w="1234" w:type="dxa"/>
            <w:tcBorders>
              <w:top w:val="nil" w:sz="6" w:space="0" w:color="auto"/>
              <w:left w:val="nil" w:sz="6" w:space="0" w:color="auto"/>
              <w:bottom w:val="nil" w:sz="6" w:space="0" w:color="auto"/>
              <w:right w:val="nil" w:sz="6" w:space="0" w:color="auto"/>
            </w:tcBorders>
          </w:tcPr>
          <w:p>
            <w:pPr>
              <w:pStyle w:val="TableParagraph"/>
              <w:tabs>
                <w:tab w:pos="1233" w:val="left" w:leader="none"/>
              </w:tabs>
              <w:spacing w:line="240" w:lineRule="auto" w:before="94"/>
              <w:ind w:right="0"/>
              <w:jc w:val="right"/>
              <w:rPr>
                <w:rFonts w:ascii="Arial" w:hAnsi="Arial" w:cs="Arial" w:eastAsia="Arial" w:hint="default"/>
                <w:sz w:val="14"/>
                <w:szCs w:val="14"/>
              </w:rPr>
            </w:pPr>
            <w:r>
              <w:rPr>
                <w:rFonts w:ascii="Arial"/>
                <w:w w:val="99"/>
                <w:sz w:val="14"/>
              </w:rPr>
            </w:r>
            <w:r>
              <w:rPr>
                <w:rFonts w:ascii="Arial"/>
                <w:w w:val="99"/>
                <w:sz w:val="14"/>
                <w:u w:val="single" w:color="000000"/>
              </w:rPr>
              <w:t> </w:t>
            </w:r>
            <w:r>
              <w:rPr>
                <w:rFonts w:ascii="Arial"/>
                <w:sz w:val="14"/>
                <w:u w:val="single" w:color="000000"/>
              </w:rPr>
              <w:t>  </w:t>
            </w:r>
            <w:r>
              <w:rPr>
                <w:rFonts w:ascii="Arial"/>
                <w:spacing w:val="-12"/>
                <w:sz w:val="14"/>
                <w:u w:val="single" w:color="000000"/>
              </w:rPr>
              <w:t> </w:t>
            </w:r>
            <w:r>
              <w:rPr>
                <w:rFonts w:ascii="Arial"/>
                <w:spacing w:val="-1"/>
                <w:sz w:val="14"/>
                <w:u w:val="single" w:color="000000"/>
              </w:rPr>
              <w:t>27,745,891,956</w:t>
              <w:tab/>
            </w:r>
            <w:r>
              <w:rPr>
                <w:rFonts w:ascii="Arial"/>
                <w:spacing w:val="-1"/>
                <w:sz w:val="14"/>
              </w:rPr>
            </w:r>
          </w:p>
        </w:tc>
        <w:tc>
          <w:tcPr>
            <w:tcW w:w="221" w:type="dxa"/>
            <w:tcBorders>
              <w:top w:val="nil" w:sz="6" w:space="0" w:color="auto"/>
              <w:left w:val="nil" w:sz="6" w:space="0" w:color="auto"/>
              <w:bottom w:val="nil" w:sz="6" w:space="0" w:color="auto"/>
              <w:right w:val="nil" w:sz="6" w:space="0" w:color="auto"/>
            </w:tcBorders>
          </w:tcPr>
          <w:p>
            <w:pPr/>
          </w:p>
        </w:tc>
        <w:tc>
          <w:tcPr>
            <w:tcW w:w="672" w:type="dxa"/>
            <w:tcBorders>
              <w:top w:val="nil" w:sz="6" w:space="0" w:color="auto"/>
              <w:left w:val="nil" w:sz="6" w:space="0" w:color="auto"/>
              <w:bottom w:val="nil" w:sz="6" w:space="0" w:color="auto"/>
              <w:right w:val="nil" w:sz="6" w:space="0" w:color="auto"/>
            </w:tcBorders>
          </w:tcPr>
          <w:p>
            <w:pPr>
              <w:pStyle w:val="TableParagraph"/>
              <w:tabs>
                <w:tab w:pos="671" w:val="left" w:leader="none"/>
              </w:tabs>
              <w:spacing w:line="240" w:lineRule="auto" w:before="94"/>
              <w:ind w:left="14" w:right="0"/>
              <w:jc w:val="left"/>
              <w:rPr>
                <w:rFonts w:ascii="Arial" w:hAnsi="Arial" w:cs="Arial" w:eastAsia="Arial" w:hint="default"/>
                <w:sz w:val="14"/>
                <w:szCs w:val="14"/>
              </w:rPr>
            </w:pPr>
            <w:r>
              <w:rPr>
                <w:rFonts w:ascii="Arial"/>
                <w:w w:val="99"/>
                <w:sz w:val="14"/>
              </w:rPr>
            </w:r>
            <w:r>
              <w:rPr>
                <w:rFonts w:ascii="Arial"/>
                <w:w w:val="99"/>
                <w:sz w:val="14"/>
                <w:u w:val="single" w:color="000000"/>
              </w:rPr>
              <w:t> </w:t>
            </w:r>
            <w:r>
              <w:rPr>
                <w:rFonts w:ascii="Arial"/>
                <w:sz w:val="14"/>
                <w:u w:val="single" w:color="000000"/>
              </w:rPr>
              <w:t>   </w:t>
            </w:r>
            <w:r>
              <w:rPr>
                <w:rFonts w:ascii="Arial"/>
                <w:spacing w:val="2"/>
                <w:sz w:val="14"/>
                <w:u w:val="single" w:color="000000"/>
              </w:rPr>
              <w:t> </w:t>
            </w:r>
            <w:r>
              <w:rPr>
                <w:rFonts w:ascii="Arial"/>
                <w:sz w:val="14"/>
                <w:u w:val="single" w:color="000000"/>
              </w:rPr>
              <w:t>99.69</w:t>
              <w:tab/>
            </w:r>
            <w:r>
              <w:rPr>
                <w:rFonts w:ascii="Arial"/>
                <w:sz w:val="14"/>
              </w:rPr>
            </w:r>
          </w:p>
        </w:tc>
        <w:tc>
          <w:tcPr>
            <w:tcW w:w="271" w:type="dxa"/>
            <w:tcBorders>
              <w:top w:val="nil" w:sz="6" w:space="0" w:color="auto"/>
              <w:left w:val="nil" w:sz="6" w:space="0" w:color="auto"/>
              <w:bottom w:val="nil" w:sz="6" w:space="0" w:color="auto"/>
              <w:right w:val="nil" w:sz="6" w:space="0" w:color="auto"/>
            </w:tcBorders>
          </w:tcPr>
          <w:p>
            <w:pPr/>
          </w:p>
        </w:tc>
        <w:tc>
          <w:tcPr>
            <w:tcW w:w="1528" w:type="dxa"/>
            <w:tcBorders>
              <w:top w:val="nil" w:sz="6" w:space="0" w:color="auto"/>
              <w:left w:val="nil" w:sz="6" w:space="0" w:color="auto"/>
              <w:bottom w:val="nil" w:sz="6" w:space="0" w:color="auto"/>
              <w:right w:val="nil" w:sz="6" w:space="0" w:color="auto"/>
            </w:tcBorders>
          </w:tcPr>
          <w:p>
            <w:pPr>
              <w:pStyle w:val="TableParagraph"/>
              <w:tabs>
                <w:tab w:pos="1240" w:val="left" w:leader="none"/>
              </w:tabs>
              <w:spacing w:line="240" w:lineRule="auto" w:before="94"/>
              <w:ind w:left="7" w:right="0"/>
              <w:jc w:val="left"/>
              <w:rPr>
                <w:rFonts w:ascii="Arial" w:hAnsi="Arial" w:cs="Arial" w:eastAsia="Arial" w:hint="default"/>
                <w:sz w:val="14"/>
                <w:szCs w:val="14"/>
              </w:rPr>
            </w:pPr>
            <w:r>
              <w:rPr>
                <w:rFonts w:ascii="Arial"/>
                <w:w w:val="99"/>
                <w:sz w:val="14"/>
              </w:rPr>
            </w:r>
            <w:r>
              <w:rPr>
                <w:rFonts w:ascii="Arial"/>
                <w:w w:val="99"/>
                <w:sz w:val="14"/>
                <w:u w:val="single" w:color="000000"/>
              </w:rPr>
              <w:t> </w:t>
            </w:r>
            <w:r>
              <w:rPr>
                <w:rFonts w:ascii="Arial"/>
                <w:sz w:val="14"/>
                <w:u w:val="single" w:color="000000"/>
              </w:rPr>
              <w:t> </w:t>
            </w:r>
            <w:r>
              <w:rPr>
                <w:rFonts w:ascii="Arial"/>
                <w:spacing w:val="17"/>
                <w:sz w:val="14"/>
                <w:u w:val="single" w:color="000000"/>
              </w:rPr>
              <w:t> </w:t>
            </w:r>
            <w:r>
              <w:rPr>
                <w:rFonts w:ascii="Arial"/>
                <w:sz w:val="14"/>
                <w:u w:val="single" w:color="000000"/>
              </w:rPr>
              <w:t>(7,293,841,512)</w:t>
              <w:tab/>
            </w:r>
            <w:r>
              <w:rPr>
                <w:rFonts w:ascii="Arial"/>
                <w:sz w:val="14"/>
              </w:rPr>
            </w:r>
          </w:p>
        </w:tc>
        <w:tc>
          <w:tcPr>
            <w:tcW w:w="553" w:type="dxa"/>
            <w:tcBorders>
              <w:top w:val="nil" w:sz="6" w:space="0" w:color="auto"/>
              <w:left w:val="nil" w:sz="6" w:space="0" w:color="auto"/>
              <w:bottom w:val="nil" w:sz="6" w:space="0" w:color="auto"/>
              <w:right w:val="nil" w:sz="6" w:space="0" w:color="auto"/>
            </w:tcBorders>
          </w:tcPr>
          <w:p>
            <w:pPr>
              <w:pStyle w:val="TableParagraph"/>
              <w:spacing w:line="240" w:lineRule="auto" w:before="94"/>
              <w:ind w:left="92" w:right="0"/>
              <w:jc w:val="left"/>
              <w:rPr>
                <w:rFonts w:ascii="Arial" w:hAnsi="Arial" w:cs="Arial" w:eastAsia="Arial" w:hint="default"/>
                <w:sz w:val="14"/>
                <w:szCs w:val="14"/>
              </w:rPr>
            </w:pPr>
            <w:r>
              <w:rPr>
                <w:rFonts w:ascii="Arial"/>
                <w:sz w:val="14"/>
              </w:rPr>
              <w:t>26.29</w:t>
            </w:r>
          </w:p>
        </w:tc>
        <w:tc>
          <w:tcPr>
            <w:tcW w:w="228"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nil" w:sz="6" w:space="0" w:color="auto"/>
            </w:tcBorders>
          </w:tcPr>
          <w:p>
            <w:pPr>
              <w:pStyle w:val="TableParagraph"/>
              <w:tabs>
                <w:tab w:pos="1197" w:val="left" w:leader="none"/>
              </w:tabs>
              <w:spacing w:line="240" w:lineRule="auto" w:before="94"/>
              <w:ind w:left="7" w:right="0"/>
              <w:jc w:val="left"/>
              <w:rPr>
                <w:rFonts w:ascii="Arial" w:hAnsi="Arial" w:cs="Arial" w:eastAsia="Arial" w:hint="default"/>
                <w:sz w:val="14"/>
                <w:szCs w:val="14"/>
              </w:rPr>
            </w:pPr>
            <w:r>
              <w:rPr>
                <w:rFonts w:ascii="Arial"/>
                <w:w w:val="99"/>
                <w:sz w:val="14"/>
              </w:rPr>
            </w:r>
            <w:r>
              <w:rPr>
                <w:rFonts w:ascii="Arial"/>
                <w:w w:val="99"/>
                <w:sz w:val="14"/>
                <w:u w:val="single" w:color="000000"/>
              </w:rPr>
              <w:t> </w:t>
            </w:r>
            <w:r>
              <w:rPr>
                <w:rFonts w:ascii="Arial"/>
                <w:sz w:val="14"/>
                <w:u w:val="single" w:color="000000"/>
              </w:rPr>
              <w:t>  </w:t>
            </w:r>
            <w:r>
              <w:rPr>
                <w:rFonts w:ascii="Arial"/>
                <w:spacing w:val="7"/>
                <w:sz w:val="14"/>
                <w:u w:val="single" w:color="000000"/>
              </w:rPr>
              <w:t> </w:t>
            </w:r>
            <w:r>
              <w:rPr>
                <w:rFonts w:ascii="Arial"/>
                <w:sz w:val="14"/>
                <w:u w:val="single" w:color="000000"/>
              </w:rPr>
              <w:t>20,452,050,444</w:t>
              <w:tab/>
            </w:r>
            <w:r>
              <w:rPr>
                <w:rFonts w:ascii="Arial"/>
                <w:sz w:val="14"/>
              </w:rPr>
            </w:r>
          </w:p>
        </w:tc>
        <w:tc>
          <w:tcPr>
            <w:tcW w:w="1516" w:type="dxa"/>
            <w:tcBorders>
              <w:top w:val="nil" w:sz="6" w:space="0" w:color="auto"/>
              <w:left w:val="nil" w:sz="6" w:space="0" w:color="auto"/>
              <w:bottom w:val="nil" w:sz="6" w:space="0" w:color="auto"/>
              <w:right w:val="nil" w:sz="6" w:space="0" w:color="auto"/>
            </w:tcBorders>
          </w:tcPr>
          <w:p>
            <w:pPr>
              <w:pStyle w:val="TableParagraph"/>
              <w:tabs>
                <w:tab w:pos="1444" w:val="left" w:leader="none"/>
                <w:tab w:pos="1655" w:val="left" w:leader="none"/>
              </w:tabs>
              <w:spacing w:line="240" w:lineRule="auto" w:before="94"/>
              <w:ind w:right="-141"/>
              <w:jc w:val="left"/>
              <w:rPr>
                <w:rFonts w:ascii="Arial" w:hAnsi="Arial" w:cs="Arial" w:eastAsia="Arial" w:hint="default"/>
                <w:sz w:val="14"/>
                <w:szCs w:val="14"/>
              </w:rPr>
            </w:pPr>
            <w:r>
              <w:rPr>
                <w:rFonts w:ascii="Arial"/>
                <w:w w:val="99"/>
                <w:sz w:val="14"/>
              </w:rPr>
            </w:r>
            <w:r>
              <w:rPr>
                <w:rFonts w:ascii="Arial"/>
                <w:w w:val="99"/>
                <w:sz w:val="14"/>
                <w:u w:val="single" w:color="000000"/>
              </w:rPr>
              <w:t> </w:t>
            </w:r>
            <w:r>
              <w:rPr>
                <w:rFonts w:ascii="Arial"/>
                <w:sz w:val="14"/>
                <w:u w:val="single" w:color="000000"/>
              </w:rPr>
              <w:t> </w:t>
            </w:r>
            <w:r>
              <w:rPr>
                <w:rFonts w:ascii="Arial"/>
                <w:spacing w:val="8"/>
                <w:sz w:val="14"/>
                <w:u w:val="single" w:color="000000"/>
              </w:rPr>
              <w:t> </w:t>
            </w:r>
            <w:r>
              <w:rPr>
                <w:rFonts w:ascii="Arial"/>
                <w:sz w:val="14"/>
                <w:u w:val="single" w:color="000000"/>
              </w:rPr>
              <w:t>24,450,846,566  </w:t>
            </w:r>
            <w:r>
              <w:rPr>
                <w:rFonts w:ascii="Arial"/>
                <w:spacing w:val="-8"/>
                <w:sz w:val="14"/>
                <w:u w:val="single" w:color="000000"/>
              </w:rPr>
              <w:t> </w:t>
            </w:r>
            <w:r>
              <w:rPr>
                <w:rFonts w:ascii="Arial"/>
                <w:spacing w:val="-8"/>
                <w:sz w:val="14"/>
              </w:rPr>
            </w:r>
            <w:r>
              <w:rPr>
                <w:rFonts w:ascii="Arial"/>
                <w:sz w:val="14"/>
              </w:rPr>
              <w:tab/>
            </w:r>
            <w:r>
              <w:rPr>
                <w:rFonts w:ascii="Arial"/>
                <w:w w:val="99"/>
                <w:sz w:val="14"/>
              </w:rPr>
            </w:r>
            <w:r>
              <w:rPr>
                <w:rFonts w:ascii="Arial"/>
                <w:w w:val="99"/>
                <w:sz w:val="14"/>
                <w:u w:val="single" w:color="000000"/>
              </w:rPr>
              <w:t> </w:t>
            </w:r>
            <w:r>
              <w:rPr>
                <w:rFonts w:ascii="Arial"/>
                <w:sz w:val="14"/>
                <w:u w:val="single" w:color="000000"/>
              </w:rPr>
              <w:tab/>
            </w:r>
            <w:r>
              <w:rPr>
                <w:rFonts w:ascii="Arial"/>
                <w:sz w:val="14"/>
              </w:rPr>
            </w:r>
          </w:p>
        </w:tc>
        <w:tc>
          <w:tcPr>
            <w:tcW w:w="601" w:type="dxa"/>
            <w:tcBorders>
              <w:top w:val="nil" w:sz="6" w:space="0" w:color="auto"/>
              <w:left w:val="nil" w:sz="6" w:space="0" w:color="auto"/>
              <w:bottom w:val="nil" w:sz="6" w:space="0" w:color="auto"/>
              <w:right w:val="nil" w:sz="6" w:space="0" w:color="auto"/>
            </w:tcBorders>
          </w:tcPr>
          <w:p>
            <w:pPr>
              <w:pStyle w:val="TableParagraph"/>
              <w:tabs>
                <w:tab w:pos="601" w:val="left" w:leader="none"/>
              </w:tabs>
              <w:spacing w:line="240" w:lineRule="auto" w:before="94"/>
              <w:ind w:left="140" w:right="0"/>
              <w:jc w:val="left"/>
              <w:rPr>
                <w:rFonts w:ascii="Arial" w:hAnsi="Arial" w:cs="Arial" w:eastAsia="Arial" w:hint="default"/>
                <w:sz w:val="14"/>
                <w:szCs w:val="14"/>
              </w:rPr>
            </w:pPr>
            <w:r>
              <w:rPr>
                <w:rFonts w:ascii="Arial"/>
                <w:w w:val="99"/>
                <w:sz w:val="14"/>
              </w:rPr>
            </w:r>
            <w:r>
              <w:rPr>
                <w:rFonts w:ascii="Arial"/>
                <w:sz w:val="14"/>
                <w:u w:val="single" w:color="000000"/>
              </w:rPr>
              <w:t>99.54</w:t>
              <w:tab/>
            </w:r>
            <w:r>
              <w:rPr>
                <w:rFonts w:ascii="Arial"/>
                <w:sz w:val="14"/>
              </w:rPr>
            </w:r>
          </w:p>
        </w:tc>
        <w:tc>
          <w:tcPr>
            <w:tcW w:w="233" w:type="dxa"/>
            <w:tcBorders>
              <w:top w:val="nil" w:sz="6" w:space="0" w:color="auto"/>
              <w:left w:val="nil" w:sz="6" w:space="0" w:color="auto"/>
              <w:bottom w:val="nil" w:sz="6" w:space="0" w:color="auto"/>
              <w:right w:val="nil" w:sz="6" w:space="0" w:color="auto"/>
            </w:tcBorders>
          </w:tcPr>
          <w:p>
            <w:pPr/>
          </w:p>
        </w:tc>
        <w:tc>
          <w:tcPr>
            <w:tcW w:w="1523" w:type="dxa"/>
            <w:tcBorders>
              <w:top w:val="nil" w:sz="6" w:space="0" w:color="auto"/>
              <w:left w:val="nil" w:sz="6" w:space="0" w:color="auto"/>
              <w:bottom w:val="nil" w:sz="6" w:space="0" w:color="auto"/>
              <w:right w:val="nil" w:sz="6" w:space="0" w:color="auto"/>
            </w:tcBorders>
          </w:tcPr>
          <w:p>
            <w:pPr>
              <w:pStyle w:val="TableParagraph"/>
              <w:tabs>
                <w:tab w:pos="1235" w:val="left" w:leader="none"/>
              </w:tabs>
              <w:spacing w:line="240" w:lineRule="auto" w:before="94"/>
              <w:ind w:left="7" w:right="0"/>
              <w:jc w:val="left"/>
              <w:rPr>
                <w:rFonts w:ascii="Arial" w:hAnsi="Arial" w:cs="Arial" w:eastAsia="Arial" w:hint="default"/>
                <w:sz w:val="14"/>
                <w:szCs w:val="14"/>
              </w:rPr>
            </w:pPr>
            <w:r>
              <w:rPr>
                <w:rFonts w:ascii="Arial"/>
                <w:w w:val="99"/>
                <w:sz w:val="14"/>
              </w:rPr>
            </w:r>
            <w:r>
              <w:rPr>
                <w:rFonts w:ascii="Arial"/>
                <w:w w:val="99"/>
                <w:sz w:val="14"/>
                <w:u w:val="single" w:color="000000"/>
              </w:rPr>
              <w:t> </w:t>
            </w:r>
            <w:r>
              <w:rPr>
                <w:rFonts w:ascii="Arial"/>
                <w:sz w:val="14"/>
                <w:u w:val="single" w:color="000000"/>
              </w:rPr>
              <w:t> </w:t>
            </w:r>
            <w:r>
              <w:rPr>
                <w:rFonts w:ascii="Arial"/>
                <w:spacing w:val="13"/>
                <w:sz w:val="14"/>
                <w:u w:val="single" w:color="000000"/>
              </w:rPr>
              <w:t> </w:t>
            </w:r>
            <w:r>
              <w:rPr>
                <w:rFonts w:ascii="Arial"/>
                <w:sz w:val="14"/>
                <w:u w:val="single" w:color="000000"/>
              </w:rPr>
              <w:t>(6,613,431,813)</w:t>
              <w:tab/>
            </w:r>
            <w:r>
              <w:rPr>
                <w:rFonts w:ascii="Arial"/>
                <w:sz w:val="14"/>
              </w:rPr>
            </w:r>
          </w:p>
        </w:tc>
        <w:tc>
          <w:tcPr>
            <w:tcW w:w="553"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20"/>
              <w:jc w:val="center"/>
              <w:rPr>
                <w:rFonts w:ascii="Arial" w:hAnsi="Arial" w:cs="Arial" w:eastAsia="Arial" w:hint="default"/>
                <w:sz w:val="14"/>
                <w:szCs w:val="14"/>
              </w:rPr>
            </w:pPr>
            <w:r>
              <w:rPr>
                <w:rFonts w:ascii="Arial"/>
                <w:sz w:val="14"/>
              </w:rPr>
              <w:t>27.05</w:t>
            </w:r>
          </w:p>
        </w:tc>
        <w:tc>
          <w:tcPr>
            <w:tcW w:w="228"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Style w:val="TableParagraph"/>
              <w:tabs>
                <w:tab w:pos="1219" w:val="left" w:leader="none"/>
              </w:tabs>
              <w:spacing w:line="240" w:lineRule="auto" w:before="94"/>
              <w:ind w:right="0"/>
              <w:jc w:val="right"/>
              <w:rPr>
                <w:rFonts w:ascii="Arial" w:hAnsi="Arial" w:cs="Arial" w:eastAsia="Arial" w:hint="default"/>
                <w:sz w:val="14"/>
                <w:szCs w:val="14"/>
              </w:rPr>
            </w:pPr>
            <w:r>
              <w:rPr>
                <w:rFonts w:ascii="Arial"/>
                <w:w w:val="99"/>
                <w:sz w:val="14"/>
              </w:rPr>
            </w:r>
            <w:r>
              <w:rPr>
                <w:rFonts w:ascii="Arial"/>
                <w:w w:val="99"/>
                <w:sz w:val="14"/>
                <w:u w:val="single" w:color="000000"/>
              </w:rPr>
              <w:t> </w:t>
            </w:r>
            <w:r>
              <w:rPr>
                <w:rFonts w:ascii="Arial"/>
                <w:sz w:val="14"/>
                <w:u w:val="single" w:color="000000"/>
              </w:rPr>
              <w:t>  </w:t>
            </w:r>
            <w:r>
              <w:rPr>
                <w:rFonts w:ascii="Arial"/>
                <w:spacing w:val="-17"/>
                <w:sz w:val="14"/>
                <w:u w:val="single" w:color="000000"/>
              </w:rPr>
              <w:t> </w:t>
            </w:r>
            <w:r>
              <w:rPr>
                <w:rFonts w:ascii="Arial"/>
                <w:spacing w:val="-1"/>
                <w:sz w:val="14"/>
                <w:u w:val="single" w:color="000000"/>
              </w:rPr>
              <w:t>17,837,414,753</w:t>
              <w:tab/>
            </w:r>
            <w:r>
              <w:rPr>
                <w:rFonts w:ascii="Arial"/>
                <w:spacing w:val="-1"/>
                <w:sz w:val="14"/>
              </w:rPr>
            </w:r>
          </w:p>
        </w:tc>
      </w:tr>
      <w:tr>
        <w:trPr>
          <w:trHeight w:val="364" w:hRule="exact"/>
        </w:trPr>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200" w:right="0"/>
              <w:jc w:val="left"/>
              <w:rPr>
                <w:rFonts w:ascii="宋体" w:hAnsi="宋体" w:cs="宋体" w:eastAsia="宋体" w:hint="default"/>
                <w:sz w:val="16"/>
                <w:szCs w:val="16"/>
              </w:rPr>
            </w:pPr>
            <w:r>
              <w:rPr>
                <w:rFonts w:ascii="宋体" w:hAnsi="宋体" w:cs="宋体" w:eastAsia="宋体" w:hint="default"/>
                <w:sz w:val="16"/>
                <w:szCs w:val="16"/>
              </w:rPr>
              <w:t>合计</w:t>
            </w:r>
            <w:r>
              <w:rPr>
                <w:rFonts w:ascii="宋体" w:hAnsi="宋体" w:cs="宋体" w:eastAsia="宋体" w:hint="default"/>
                <w:sz w:val="16"/>
                <w:szCs w:val="16"/>
              </w:rPr>
              <w:t> </w:t>
            </w:r>
          </w:p>
        </w:tc>
        <w:tc>
          <w:tcPr>
            <w:tcW w:w="1234"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144" w:right="0"/>
              <w:jc w:val="left"/>
              <w:rPr>
                <w:rFonts w:ascii="Arial" w:hAnsi="Arial" w:cs="Arial" w:eastAsia="Arial" w:hint="default"/>
                <w:sz w:val="14"/>
                <w:szCs w:val="14"/>
              </w:rPr>
            </w:pPr>
            <w:r>
              <w:rPr>
                <w:rFonts w:ascii="Arial"/>
                <w:sz w:val="14"/>
              </w:rPr>
              <w:t>27,832,116,901</w:t>
            </w:r>
          </w:p>
        </w:tc>
        <w:tc>
          <w:tcPr>
            <w:tcW w:w="221" w:type="dxa"/>
            <w:tcBorders>
              <w:top w:val="nil" w:sz="6" w:space="0" w:color="auto"/>
              <w:left w:val="nil" w:sz="6" w:space="0" w:color="auto"/>
              <w:bottom w:val="nil" w:sz="6" w:space="0" w:color="auto"/>
              <w:right w:val="nil" w:sz="6" w:space="0" w:color="auto"/>
            </w:tcBorders>
          </w:tcPr>
          <w:p>
            <w:pPr/>
          </w:p>
        </w:tc>
        <w:tc>
          <w:tcPr>
            <w:tcW w:w="672"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134" w:right="0"/>
              <w:jc w:val="left"/>
              <w:rPr>
                <w:rFonts w:ascii="Arial" w:hAnsi="Arial" w:cs="Arial" w:eastAsia="Arial" w:hint="default"/>
                <w:sz w:val="14"/>
                <w:szCs w:val="14"/>
              </w:rPr>
            </w:pPr>
            <w:r>
              <w:rPr>
                <w:rFonts w:ascii="Arial"/>
                <w:sz w:val="14"/>
              </w:rPr>
              <w:t>100.00</w:t>
            </w:r>
          </w:p>
        </w:tc>
        <w:tc>
          <w:tcPr>
            <w:tcW w:w="271" w:type="dxa"/>
            <w:tcBorders>
              <w:top w:val="nil" w:sz="6" w:space="0" w:color="auto"/>
              <w:left w:val="nil" w:sz="6" w:space="0" w:color="auto"/>
              <w:bottom w:val="nil" w:sz="6" w:space="0" w:color="auto"/>
              <w:right w:val="nil" w:sz="6" w:space="0" w:color="auto"/>
            </w:tcBorders>
          </w:tcPr>
          <w:p>
            <w:pPr/>
          </w:p>
        </w:tc>
        <w:tc>
          <w:tcPr>
            <w:tcW w:w="1528"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141" w:right="0"/>
              <w:jc w:val="left"/>
              <w:rPr>
                <w:rFonts w:ascii="Arial" w:hAnsi="Arial" w:cs="Arial" w:eastAsia="Arial" w:hint="default"/>
                <w:sz w:val="14"/>
                <w:szCs w:val="14"/>
              </w:rPr>
            </w:pPr>
            <w:r>
              <w:rPr>
                <w:rFonts w:ascii="Arial"/>
                <w:sz w:val="14"/>
              </w:rPr>
              <w:t>(7,375,200,276)</w:t>
            </w:r>
          </w:p>
        </w:tc>
        <w:tc>
          <w:tcPr>
            <w:tcW w:w="5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92" w:right="0"/>
              <w:jc w:val="left"/>
              <w:rPr>
                <w:rFonts w:ascii="Arial" w:hAnsi="Arial" w:cs="Arial" w:eastAsia="Arial" w:hint="default"/>
                <w:sz w:val="14"/>
                <w:szCs w:val="14"/>
              </w:rPr>
            </w:pPr>
            <w:r>
              <w:rPr>
                <w:rFonts w:ascii="Arial"/>
                <w:sz w:val="14"/>
              </w:rPr>
              <w:t>26.50</w:t>
            </w:r>
          </w:p>
        </w:tc>
        <w:tc>
          <w:tcPr>
            <w:tcW w:w="228"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170" w:right="0"/>
              <w:jc w:val="left"/>
              <w:rPr>
                <w:rFonts w:ascii="Arial" w:hAnsi="Arial" w:cs="Arial" w:eastAsia="Arial" w:hint="default"/>
                <w:sz w:val="14"/>
                <w:szCs w:val="14"/>
              </w:rPr>
            </w:pPr>
            <w:r>
              <w:rPr>
                <w:rFonts w:ascii="Arial"/>
                <w:sz w:val="14"/>
              </w:rPr>
              <w:t>20,456,916,625</w:t>
            </w:r>
          </w:p>
        </w:tc>
        <w:tc>
          <w:tcPr>
            <w:tcW w:w="1516"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124" w:right="0"/>
              <w:jc w:val="left"/>
              <w:rPr>
                <w:rFonts w:ascii="Arial" w:hAnsi="Arial" w:cs="Arial" w:eastAsia="Arial" w:hint="default"/>
                <w:sz w:val="14"/>
                <w:szCs w:val="14"/>
              </w:rPr>
            </w:pPr>
            <w:r>
              <w:rPr>
                <w:rFonts w:ascii="Arial"/>
                <w:sz w:val="14"/>
              </w:rPr>
              <w:t>24,563,105,484</w:t>
            </w:r>
          </w:p>
        </w:tc>
        <w:tc>
          <w:tcPr>
            <w:tcW w:w="601"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63" w:right="0"/>
              <w:jc w:val="left"/>
              <w:rPr>
                <w:rFonts w:ascii="Arial" w:hAnsi="Arial" w:cs="Arial" w:eastAsia="Arial" w:hint="default"/>
                <w:sz w:val="14"/>
                <w:szCs w:val="14"/>
              </w:rPr>
            </w:pPr>
            <w:r>
              <w:rPr>
                <w:rFonts w:ascii="Arial"/>
                <w:sz w:val="14"/>
              </w:rPr>
              <w:t>100.00</w:t>
            </w:r>
          </w:p>
        </w:tc>
        <w:tc>
          <w:tcPr>
            <w:tcW w:w="233" w:type="dxa"/>
            <w:tcBorders>
              <w:top w:val="nil" w:sz="6" w:space="0" w:color="auto"/>
              <w:left w:val="nil" w:sz="6" w:space="0" w:color="auto"/>
              <w:bottom w:val="nil" w:sz="6" w:space="0" w:color="auto"/>
              <w:right w:val="nil" w:sz="6" w:space="0" w:color="auto"/>
            </w:tcBorders>
          </w:tcPr>
          <w:p>
            <w:pPr/>
          </w:p>
        </w:tc>
        <w:tc>
          <w:tcPr>
            <w:tcW w:w="1523"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136" w:right="0"/>
              <w:jc w:val="left"/>
              <w:rPr>
                <w:rFonts w:ascii="Arial" w:hAnsi="Arial" w:cs="Arial" w:eastAsia="Arial" w:hint="default"/>
                <w:sz w:val="14"/>
                <w:szCs w:val="14"/>
              </w:rPr>
            </w:pPr>
            <w:r>
              <w:rPr>
                <w:rFonts w:ascii="Arial"/>
                <w:sz w:val="14"/>
              </w:rPr>
              <w:t>(6,720,402,501)</w:t>
            </w:r>
          </w:p>
        </w:tc>
        <w:tc>
          <w:tcPr>
            <w:tcW w:w="5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20"/>
              <w:jc w:val="center"/>
              <w:rPr>
                <w:rFonts w:ascii="Arial" w:hAnsi="Arial" w:cs="Arial" w:eastAsia="Arial" w:hint="default"/>
                <w:sz w:val="14"/>
                <w:szCs w:val="14"/>
              </w:rPr>
            </w:pPr>
            <w:r>
              <w:rPr>
                <w:rFonts w:ascii="Arial"/>
                <w:sz w:val="14"/>
              </w:rPr>
              <w:t>27.36</w:t>
            </w:r>
          </w:p>
        </w:tc>
        <w:tc>
          <w:tcPr>
            <w:tcW w:w="228"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146" w:right="0"/>
              <w:jc w:val="left"/>
              <w:rPr>
                <w:rFonts w:ascii="Arial" w:hAnsi="Arial" w:cs="Arial" w:eastAsia="Arial" w:hint="default"/>
                <w:sz w:val="14"/>
                <w:szCs w:val="14"/>
              </w:rPr>
            </w:pPr>
            <w:r>
              <w:rPr>
                <w:rFonts w:ascii="Arial"/>
                <w:sz w:val="14"/>
              </w:rPr>
              <w:t>17,842,702,983</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1"/>
          <w:szCs w:val="21"/>
        </w:rPr>
      </w:pPr>
    </w:p>
    <w:p>
      <w:pPr>
        <w:spacing w:before="50"/>
        <w:ind w:left="7076" w:right="6336" w:firstLine="0"/>
        <w:jc w:val="center"/>
        <w:rPr>
          <w:rFonts w:ascii="宋体" w:hAnsi="宋体" w:cs="宋体" w:eastAsia="宋体" w:hint="default"/>
          <w:sz w:val="16"/>
          <w:szCs w:val="16"/>
        </w:rPr>
      </w:pPr>
      <w:r>
        <w:rPr>
          <w:rFonts w:ascii="宋体" w:hAnsi="宋体" w:cs="宋体" w:eastAsia="宋体" w:hint="default"/>
          <w:sz w:val="16"/>
          <w:szCs w:val="16"/>
        </w:rPr>
        <w:t>125／220</w:t>
      </w:r>
    </w:p>
    <w:p>
      <w:pPr>
        <w:spacing w:after="0"/>
        <w:jc w:val="center"/>
        <w:rPr>
          <w:rFonts w:ascii="宋体" w:hAnsi="宋体" w:cs="宋体" w:eastAsia="宋体" w:hint="default"/>
          <w:sz w:val="16"/>
          <w:szCs w:val="16"/>
        </w:rPr>
        <w:sectPr>
          <w:headerReference w:type="default" r:id="rId144"/>
          <w:footerReference w:type="default" r:id="rId145"/>
          <w:pgSz w:w="16840" w:h="11910" w:orient="landscape"/>
          <w:pgMar w:header="0" w:footer="0" w:top="760" w:bottom="280" w:left="1000" w:right="1740"/>
        </w:sectPr>
      </w:pPr>
    </w:p>
    <w:p>
      <w:pPr>
        <w:spacing w:line="240" w:lineRule="auto" w:before="7"/>
        <w:rPr>
          <w:rFonts w:ascii="宋体" w:hAnsi="宋体" w:cs="宋体" w:eastAsia="宋体" w:hint="default"/>
          <w:sz w:val="16"/>
          <w:szCs w:val="16"/>
        </w:rPr>
      </w:pPr>
    </w:p>
    <w:p>
      <w:pPr>
        <w:pStyle w:val="BodyText"/>
        <w:spacing w:line="240" w:lineRule="auto" w:before="32"/>
        <w:ind w:left="113" w:right="0"/>
        <w:jc w:val="left"/>
      </w:pPr>
      <w:r>
        <w:rPr>
          <w:rFonts w:ascii="Arial" w:hAnsi="Arial" w:cs="Arial" w:eastAsia="Arial" w:hint="default"/>
        </w:rPr>
        <w:t>4</w:t>
      </w:r>
      <w:r>
        <w:rPr/>
        <w:t>、</w:t>
      </w:r>
      <w:r>
        <w:rPr>
          <w:spacing w:val="-21"/>
        </w:rPr>
        <w:t> </w:t>
      </w:r>
      <w:r>
        <w:rPr/>
        <w:t>应收账款（续）</w:t>
      </w:r>
    </w:p>
    <w:p>
      <w:pPr>
        <w:spacing w:line="240" w:lineRule="auto" w:before="11"/>
        <w:rPr>
          <w:rFonts w:ascii="宋体" w:hAnsi="宋体" w:cs="宋体" w:eastAsia="宋体" w:hint="default"/>
          <w:sz w:val="17"/>
          <w:szCs w:val="17"/>
        </w:rPr>
      </w:pPr>
    </w:p>
    <w:p>
      <w:pPr>
        <w:pStyle w:val="BodyText"/>
        <w:spacing w:line="240" w:lineRule="auto"/>
        <w:ind w:left="132" w:right="0"/>
        <w:jc w:val="left"/>
      </w:pPr>
      <w:r>
        <w:rPr>
          <w:rFonts w:ascii="Arial" w:hAnsi="Arial" w:cs="Arial" w:eastAsia="Arial" w:hint="default"/>
        </w:rPr>
        <w:t>(3) </w:t>
      </w:r>
      <w:r>
        <w:rPr>
          <w:rFonts w:ascii="Arial" w:hAnsi="Arial" w:cs="Arial" w:eastAsia="Arial" w:hint="default"/>
          <w:spacing w:val="45"/>
        </w:rPr>
        <w:t> </w:t>
      </w:r>
      <w:r>
        <w:rPr/>
        <w:t>应收账款预期信用损失的评估</w:t>
      </w:r>
    </w:p>
    <w:p>
      <w:pPr>
        <w:spacing w:line="240" w:lineRule="auto" w:before="7"/>
        <w:rPr>
          <w:rFonts w:ascii="宋体" w:hAnsi="宋体" w:cs="宋体" w:eastAsia="宋体" w:hint="default"/>
          <w:sz w:val="20"/>
          <w:szCs w:val="20"/>
        </w:rPr>
      </w:pPr>
    </w:p>
    <w:p>
      <w:pPr>
        <w:pStyle w:val="BodyText"/>
        <w:spacing w:line="284" w:lineRule="exact"/>
        <w:ind w:left="564" w:right="113"/>
        <w:jc w:val="both"/>
      </w:pPr>
      <w:r>
        <w:rPr>
          <w:spacing w:val="-1"/>
        </w:rPr>
        <w:t>本集团按照相当于整个存续期内预期信用损失的金额计量应收账款的减值准备，并以逾期天数</w:t>
      </w:r>
      <w:r>
        <w:rPr>
          <w:spacing w:val="-62"/>
        </w:rPr>
        <w:t> </w:t>
      </w:r>
      <w:r>
        <w:rPr>
          <w:spacing w:val="-62"/>
        </w:rPr>
      </w:r>
      <w:r>
        <w:rPr>
          <w:spacing w:val="-1"/>
        </w:rPr>
        <w:t>与违约损失率对照表为基础计算其预期信用损失。根据本集团的历史经验，不同细分客户群体</w:t>
      </w:r>
      <w:r>
        <w:rPr>
          <w:spacing w:val="-62"/>
        </w:rPr>
        <w:t> </w:t>
      </w:r>
      <w:r>
        <w:rPr>
          <w:spacing w:val="-62"/>
        </w:rPr>
      </w:r>
      <w:r>
        <w:rPr/>
        <w:t>适用不同的损失模型。</w:t>
      </w:r>
    </w:p>
    <w:p>
      <w:pPr>
        <w:spacing w:line="240" w:lineRule="auto" w:before="10"/>
        <w:rPr>
          <w:rFonts w:ascii="宋体" w:hAnsi="宋体" w:cs="宋体" w:eastAsia="宋体" w:hint="default"/>
          <w:sz w:val="19"/>
          <w:szCs w:val="19"/>
        </w:rPr>
      </w:pPr>
    </w:p>
    <w:p>
      <w:pPr>
        <w:pStyle w:val="BodyText"/>
        <w:spacing w:line="284" w:lineRule="exact"/>
        <w:ind w:left="564" w:right="118"/>
        <w:jc w:val="both"/>
      </w:pPr>
      <w:r>
        <w:rPr/>
        <w:t>下表列示了在</w:t>
      </w:r>
      <w:r>
        <w:rPr>
          <w:spacing w:val="-57"/>
        </w:rPr>
        <w:t> </w:t>
      </w:r>
      <w:r>
        <w:rPr>
          <w:rFonts w:ascii="Arial" w:hAnsi="Arial" w:cs="Arial" w:eastAsia="Arial" w:hint="default"/>
        </w:rPr>
        <w:t>2019</w:t>
      </w:r>
      <w:r>
        <w:rPr>
          <w:rFonts w:ascii="Arial" w:hAnsi="Arial" w:cs="Arial" w:eastAsia="Arial" w:hint="default"/>
          <w:spacing w:val="-5"/>
        </w:rPr>
        <w:t> </w:t>
      </w:r>
      <w:r>
        <w:rPr/>
        <w:t>年</w:t>
      </w:r>
      <w:r>
        <w:rPr>
          <w:spacing w:val="-57"/>
        </w:rPr>
        <w:t> </w:t>
      </w:r>
      <w:r>
        <w:rPr>
          <w:rFonts w:ascii="Arial" w:hAnsi="Arial" w:cs="Arial" w:eastAsia="Arial" w:hint="default"/>
        </w:rPr>
        <w:t>12</w:t>
      </w:r>
      <w:r>
        <w:rPr>
          <w:rFonts w:ascii="Arial" w:hAnsi="Arial" w:cs="Arial" w:eastAsia="Arial" w:hint="default"/>
          <w:spacing w:val="-5"/>
        </w:rPr>
        <w:t> </w:t>
      </w:r>
      <w:r>
        <w:rPr/>
        <w:t>月</w:t>
      </w:r>
      <w:r>
        <w:rPr>
          <w:spacing w:val="-62"/>
        </w:rPr>
        <w:t> </w:t>
      </w:r>
      <w:r>
        <w:rPr>
          <w:rFonts w:ascii="Arial" w:hAnsi="Arial" w:cs="Arial" w:eastAsia="Arial" w:hint="default"/>
        </w:rPr>
        <w:t>31</w:t>
      </w:r>
      <w:r>
        <w:rPr>
          <w:rFonts w:ascii="Arial" w:hAnsi="Arial" w:cs="Arial" w:eastAsia="Arial" w:hint="default"/>
          <w:spacing w:val="-5"/>
        </w:rPr>
        <w:t> </w:t>
      </w:r>
      <w:r>
        <w:rPr/>
        <w:t>日及</w:t>
      </w:r>
      <w:r>
        <w:rPr>
          <w:spacing w:val="-57"/>
        </w:rPr>
        <w:t> </w:t>
      </w:r>
      <w:r>
        <w:rPr>
          <w:rFonts w:ascii="Arial" w:hAnsi="Arial" w:cs="Arial" w:eastAsia="Arial" w:hint="default"/>
        </w:rPr>
        <w:t>2018</w:t>
      </w:r>
      <w:r>
        <w:rPr>
          <w:rFonts w:ascii="Arial" w:hAnsi="Arial" w:cs="Arial" w:eastAsia="Arial" w:hint="default"/>
          <w:spacing w:val="-5"/>
        </w:rPr>
        <w:t> </w:t>
      </w:r>
      <w:r>
        <w:rPr/>
        <w:t>年</w:t>
      </w:r>
      <w:r>
        <w:rPr>
          <w:spacing w:val="-57"/>
        </w:rPr>
        <w:t> </w:t>
      </w:r>
      <w:r>
        <w:rPr>
          <w:rFonts w:ascii="Arial" w:hAnsi="Arial" w:cs="Arial" w:eastAsia="Arial" w:hint="default"/>
        </w:rPr>
        <w:t>12</w:t>
      </w:r>
      <w:r>
        <w:rPr>
          <w:rFonts w:ascii="Arial" w:hAnsi="Arial" w:cs="Arial" w:eastAsia="Arial" w:hint="default"/>
          <w:spacing w:val="-10"/>
        </w:rPr>
        <w:t> </w:t>
      </w:r>
      <w:r>
        <w:rPr/>
        <w:t>月</w:t>
      </w:r>
      <w:r>
        <w:rPr>
          <w:spacing w:val="-57"/>
        </w:rPr>
        <w:t> </w:t>
      </w:r>
      <w:r>
        <w:rPr>
          <w:rFonts w:ascii="Arial" w:hAnsi="Arial" w:cs="Arial" w:eastAsia="Arial" w:hint="default"/>
        </w:rPr>
        <w:t>31</w:t>
      </w:r>
      <w:r>
        <w:rPr>
          <w:rFonts w:ascii="Arial" w:hAnsi="Arial" w:cs="Arial" w:eastAsia="Arial" w:hint="default"/>
          <w:spacing w:val="-5"/>
        </w:rPr>
        <w:t> </w:t>
      </w:r>
      <w:r>
        <w:rPr/>
        <w:t>日，本集团除应收境内运营商款、应收</w:t>
      </w:r>
      <w:r>
        <w:rPr>
          <w:w w:val="100"/>
        </w:rPr>
        <w:t> </w:t>
      </w:r>
      <w:r>
        <w:rPr>
          <w:spacing w:val="-1"/>
        </w:rPr>
        <w:t>最终控股公司款、以及应收集团内其他关联公司款以外的应收账款的信用风险敞口及预期信用</w:t>
      </w:r>
      <w:r>
        <w:rPr>
          <w:spacing w:val="-67"/>
        </w:rPr>
        <w:t> </w:t>
      </w:r>
      <w:r>
        <w:rPr>
          <w:spacing w:val="-67"/>
        </w:rPr>
      </w:r>
      <w:r>
        <w:rPr/>
        <w:t>损失的相关信息。</w:t>
      </w:r>
    </w:p>
    <w:p>
      <w:pPr>
        <w:spacing w:line="240" w:lineRule="auto" w:before="6"/>
        <w:rPr>
          <w:rFonts w:ascii="宋体" w:hAnsi="宋体" w:cs="宋体" w:eastAsia="宋体" w:hint="default"/>
          <w:sz w:val="17"/>
          <w:szCs w:val="17"/>
        </w:rPr>
      </w:pPr>
    </w:p>
    <w:p>
      <w:pPr>
        <w:pStyle w:val="BodyText"/>
        <w:spacing w:line="240" w:lineRule="auto"/>
        <w:ind w:left="597" w:right="0"/>
        <w:jc w:val="both"/>
      </w:pPr>
      <w:r>
        <w:rPr>
          <w:rFonts w:ascii="Arial" w:hAnsi="Arial" w:cs="Arial" w:eastAsia="Arial" w:hint="default"/>
        </w:rPr>
        <w:t>2019</w:t>
      </w:r>
      <w:r>
        <w:rPr>
          <w:rFonts w:ascii="Arial" w:hAnsi="Arial" w:cs="Arial" w:eastAsia="Arial" w:hint="default"/>
          <w:spacing w:val="-4"/>
        </w:rPr>
        <w:t> </w:t>
      </w:r>
      <w:r>
        <w:rPr/>
        <w:t>年</w:t>
      </w:r>
    </w:p>
    <w:p>
      <w:pPr>
        <w:pStyle w:val="BodyText"/>
        <w:tabs>
          <w:tab w:pos="564" w:val="left" w:leader="none"/>
        </w:tabs>
        <w:spacing w:line="240" w:lineRule="auto" w:before="186"/>
        <w:ind w:left="132" w:right="0"/>
        <w:jc w:val="left"/>
      </w:pPr>
      <w:r>
        <w:rPr>
          <w:rFonts w:ascii="Arial" w:hAnsi="Arial" w:cs="Arial" w:eastAsia="Arial" w:hint="default"/>
          <w:spacing w:val="-1"/>
        </w:rPr>
        <w:t>(i)</w:t>
        <w:tab/>
      </w:r>
      <w:r>
        <w:rPr>
          <w:spacing w:val="-1"/>
        </w:rPr>
        <w:t>公众和一般商务用户</w:t>
      </w:r>
    </w:p>
    <w:p>
      <w:pPr>
        <w:spacing w:line="240" w:lineRule="auto" w:before="12"/>
        <w:rPr>
          <w:rFonts w:ascii="宋体" w:hAnsi="宋体" w:cs="宋体" w:eastAsia="宋体" w:hint="default"/>
          <w:sz w:val="3"/>
          <w:szCs w:val="3"/>
        </w:rPr>
      </w:pPr>
    </w:p>
    <w:tbl>
      <w:tblPr>
        <w:tblW w:w="0" w:type="auto"/>
        <w:jc w:val="left"/>
        <w:tblInd w:w="393" w:type="dxa"/>
        <w:tblLayout w:type="fixed"/>
        <w:tblCellMar>
          <w:top w:w="0" w:type="dxa"/>
          <w:left w:w="0" w:type="dxa"/>
          <w:bottom w:w="0" w:type="dxa"/>
          <w:right w:w="0" w:type="dxa"/>
        </w:tblCellMar>
        <w:tblLook w:val="01E0"/>
      </w:tblPr>
      <w:tblGrid>
        <w:gridCol w:w="2682"/>
        <w:gridCol w:w="1574"/>
        <w:gridCol w:w="2405"/>
        <w:gridCol w:w="137"/>
        <w:gridCol w:w="2412"/>
      </w:tblGrid>
      <w:tr>
        <w:trPr>
          <w:trHeight w:val="257" w:hRule="exact"/>
        </w:trPr>
        <w:tc>
          <w:tcPr>
            <w:tcW w:w="2682" w:type="dxa"/>
            <w:tcBorders>
              <w:top w:val="nil" w:sz="6" w:space="0" w:color="auto"/>
              <w:left w:val="nil" w:sz="6" w:space="0" w:color="auto"/>
              <w:bottom w:val="nil" w:sz="6" w:space="0" w:color="auto"/>
              <w:right w:val="nil" w:sz="6" w:space="0" w:color="auto"/>
            </w:tcBorders>
          </w:tcPr>
          <w:p>
            <w:pPr/>
          </w:p>
        </w:tc>
        <w:tc>
          <w:tcPr>
            <w:tcW w:w="1574" w:type="dxa"/>
            <w:tcBorders>
              <w:top w:val="nil" w:sz="6" w:space="0" w:color="auto"/>
              <w:left w:val="nil" w:sz="6" w:space="0" w:color="auto"/>
              <w:bottom w:val="nil" w:sz="6" w:space="0" w:color="auto"/>
              <w:right w:val="nil" w:sz="6" w:space="0" w:color="auto"/>
            </w:tcBorders>
          </w:tcPr>
          <w:p>
            <w:pPr>
              <w:pStyle w:val="TableParagraph"/>
              <w:spacing w:line="221" w:lineRule="exact"/>
              <w:ind w:right="239"/>
              <w:jc w:val="right"/>
              <w:rPr>
                <w:rFonts w:ascii="宋体" w:hAnsi="宋体" w:cs="宋体" w:eastAsia="宋体" w:hint="default"/>
                <w:sz w:val="22"/>
                <w:szCs w:val="22"/>
              </w:rPr>
            </w:pPr>
            <w:r>
              <w:rPr>
                <w:rFonts w:ascii="宋体" w:hAnsi="宋体" w:cs="宋体" w:eastAsia="宋体" w:hint="default"/>
                <w:sz w:val="22"/>
                <w:szCs w:val="22"/>
              </w:rPr>
              <w:t>违约损失率</w:t>
            </w:r>
          </w:p>
        </w:tc>
        <w:tc>
          <w:tcPr>
            <w:tcW w:w="2405" w:type="dxa"/>
            <w:tcBorders>
              <w:top w:val="nil" w:sz="6" w:space="0" w:color="auto"/>
              <w:left w:val="nil" w:sz="6" w:space="0" w:color="auto"/>
              <w:bottom w:val="single" w:sz="4" w:space="0" w:color="000000"/>
              <w:right w:val="nil" w:sz="6" w:space="0" w:color="auto"/>
            </w:tcBorders>
          </w:tcPr>
          <w:p>
            <w:pPr>
              <w:pStyle w:val="TableParagraph"/>
              <w:spacing w:line="221" w:lineRule="exact"/>
              <w:ind w:right="98"/>
              <w:jc w:val="right"/>
              <w:rPr>
                <w:rFonts w:ascii="宋体" w:hAnsi="宋体" w:cs="宋体" w:eastAsia="宋体" w:hint="default"/>
                <w:sz w:val="22"/>
                <w:szCs w:val="22"/>
              </w:rPr>
            </w:pPr>
            <w:r>
              <w:rPr>
                <w:rFonts w:ascii="宋体" w:hAnsi="宋体" w:cs="宋体" w:eastAsia="宋体" w:hint="default"/>
                <w:sz w:val="22"/>
                <w:szCs w:val="22"/>
              </w:rPr>
              <w:t>年末账面余额</w:t>
            </w:r>
          </w:p>
        </w:tc>
        <w:tc>
          <w:tcPr>
            <w:tcW w:w="137" w:type="dxa"/>
            <w:tcBorders>
              <w:top w:val="nil" w:sz="6" w:space="0" w:color="auto"/>
              <w:left w:val="nil" w:sz="6" w:space="0" w:color="auto"/>
              <w:bottom w:val="nil" w:sz="6" w:space="0" w:color="auto"/>
              <w:right w:val="nil" w:sz="6" w:space="0" w:color="auto"/>
            </w:tcBorders>
          </w:tcPr>
          <w:p>
            <w:pPr/>
          </w:p>
        </w:tc>
        <w:tc>
          <w:tcPr>
            <w:tcW w:w="2412" w:type="dxa"/>
            <w:tcBorders>
              <w:top w:val="nil" w:sz="6" w:space="0" w:color="auto"/>
              <w:left w:val="nil" w:sz="6" w:space="0" w:color="auto"/>
              <w:bottom w:val="single" w:sz="4" w:space="0" w:color="000000"/>
              <w:right w:val="nil" w:sz="6" w:space="0" w:color="auto"/>
            </w:tcBorders>
          </w:tcPr>
          <w:p>
            <w:pPr>
              <w:pStyle w:val="TableParagraph"/>
              <w:spacing w:line="221" w:lineRule="exact"/>
              <w:ind w:right="98"/>
              <w:jc w:val="right"/>
              <w:rPr>
                <w:rFonts w:ascii="宋体" w:hAnsi="宋体" w:cs="宋体" w:eastAsia="宋体" w:hint="default"/>
                <w:sz w:val="22"/>
                <w:szCs w:val="22"/>
              </w:rPr>
            </w:pPr>
            <w:r>
              <w:rPr>
                <w:rFonts w:ascii="宋体" w:hAnsi="宋体" w:cs="宋体" w:eastAsia="宋体" w:hint="default"/>
                <w:sz w:val="22"/>
                <w:szCs w:val="22"/>
              </w:rPr>
              <w:t>年末减值准备</w:t>
            </w:r>
          </w:p>
        </w:tc>
      </w:tr>
      <w:tr>
        <w:trPr>
          <w:trHeight w:val="555"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未逾期</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1"/>
              <w:jc w:val="right"/>
              <w:rPr>
                <w:rFonts w:ascii="Arial" w:hAnsi="Arial" w:cs="Arial" w:eastAsia="Arial" w:hint="default"/>
                <w:sz w:val="22"/>
                <w:szCs w:val="22"/>
              </w:rPr>
            </w:pPr>
            <w:r>
              <w:rPr>
                <w:rFonts w:ascii="Arial"/>
                <w:sz w:val="22"/>
              </w:rPr>
              <w:t>6%</w:t>
            </w:r>
          </w:p>
        </w:tc>
        <w:tc>
          <w:tcPr>
            <w:tcW w:w="2405"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5"/>
              <w:jc w:val="right"/>
              <w:rPr>
                <w:rFonts w:ascii="Arial" w:hAnsi="Arial" w:cs="Arial" w:eastAsia="Arial" w:hint="default"/>
                <w:sz w:val="22"/>
                <w:szCs w:val="22"/>
              </w:rPr>
            </w:pPr>
            <w:r>
              <w:rPr>
                <w:rFonts w:ascii="Arial"/>
                <w:spacing w:val="-1"/>
                <w:sz w:val="22"/>
              </w:rPr>
              <w:t>2,929,194,329</w:t>
            </w:r>
          </w:p>
        </w:tc>
        <w:tc>
          <w:tcPr>
            <w:tcW w:w="137" w:type="dxa"/>
            <w:tcBorders>
              <w:top w:val="nil" w:sz="6" w:space="0" w:color="auto"/>
              <w:left w:val="nil" w:sz="6" w:space="0" w:color="auto"/>
              <w:bottom w:val="nil" w:sz="6" w:space="0" w:color="auto"/>
              <w:right w:val="nil" w:sz="6" w:space="0" w:color="auto"/>
            </w:tcBorders>
          </w:tcPr>
          <w:p>
            <w:pPr/>
          </w:p>
        </w:tc>
        <w:tc>
          <w:tcPr>
            <w:tcW w:w="2412"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0"/>
              <w:jc w:val="right"/>
              <w:rPr>
                <w:rFonts w:ascii="Arial" w:hAnsi="Arial" w:cs="Arial" w:eastAsia="Arial" w:hint="default"/>
                <w:sz w:val="22"/>
                <w:szCs w:val="22"/>
              </w:rPr>
            </w:pPr>
            <w:r>
              <w:rPr>
                <w:rFonts w:ascii="Arial"/>
                <w:sz w:val="22"/>
              </w:rPr>
              <w:t>(175,441,136)</w:t>
            </w:r>
          </w:p>
        </w:tc>
      </w:tr>
      <w:tr>
        <w:trPr>
          <w:trHeight w:val="288"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宋体" w:hAnsi="宋体" w:cs="宋体" w:eastAsia="宋体" w:hint="default"/>
                <w:sz w:val="22"/>
                <w:szCs w:val="22"/>
              </w:rPr>
              <w:t>逾期</w:t>
            </w:r>
            <w:r>
              <w:rPr>
                <w:rFonts w:ascii="宋体" w:hAnsi="宋体" w:cs="宋体" w:eastAsia="宋体" w:hint="default"/>
                <w:spacing w:val="-57"/>
                <w:sz w:val="22"/>
                <w:szCs w:val="22"/>
              </w:rPr>
              <w:t> </w:t>
            </w:r>
            <w:r>
              <w:rPr>
                <w:rFonts w:ascii="Arial" w:hAnsi="Arial" w:cs="Arial" w:eastAsia="Arial" w:hint="default"/>
                <w:sz w:val="22"/>
                <w:szCs w:val="22"/>
              </w:rPr>
              <w:t>1</w:t>
            </w:r>
            <w:r>
              <w:rPr>
                <w:rFonts w:ascii="Arial" w:hAnsi="Arial" w:cs="Arial" w:eastAsia="Arial" w:hint="default"/>
                <w:spacing w:val="-6"/>
                <w:sz w:val="22"/>
                <w:szCs w:val="22"/>
              </w:rPr>
              <w:t> </w:t>
            </w:r>
            <w:r>
              <w:rPr>
                <w:rFonts w:ascii="宋体" w:hAnsi="宋体" w:cs="宋体" w:eastAsia="宋体" w:hint="default"/>
                <w:sz w:val="22"/>
                <w:szCs w:val="22"/>
              </w:rPr>
              <w:t>至</w:t>
            </w:r>
            <w:r>
              <w:rPr>
                <w:rFonts w:ascii="宋体" w:hAnsi="宋体" w:cs="宋体" w:eastAsia="宋体" w:hint="default"/>
                <w:spacing w:val="-57"/>
                <w:sz w:val="22"/>
                <w:szCs w:val="22"/>
              </w:rPr>
              <w:t> </w:t>
            </w:r>
            <w:r>
              <w:rPr>
                <w:rFonts w:ascii="Arial" w:hAnsi="Arial" w:cs="Arial" w:eastAsia="Arial" w:hint="default"/>
                <w:sz w:val="22"/>
                <w:szCs w:val="22"/>
              </w:rPr>
              <w:t>90</w:t>
            </w:r>
            <w:r>
              <w:rPr>
                <w:rFonts w:ascii="Arial" w:hAnsi="Arial" w:cs="Arial" w:eastAsia="Arial" w:hint="default"/>
                <w:spacing w:val="-6"/>
                <w:sz w:val="22"/>
                <w:szCs w:val="22"/>
              </w:rPr>
              <w:t> </w:t>
            </w:r>
            <w:r>
              <w:rPr>
                <w:rFonts w:ascii="宋体" w:hAnsi="宋体" w:cs="宋体" w:eastAsia="宋体" w:hint="default"/>
                <w:sz w:val="22"/>
                <w:szCs w:val="22"/>
              </w:rPr>
              <w:t>日</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41"/>
              <w:jc w:val="right"/>
              <w:rPr>
                <w:rFonts w:ascii="Arial" w:hAnsi="Arial" w:cs="Arial" w:eastAsia="Arial" w:hint="default"/>
                <w:sz w:val="22"/>
                <w:szCs w:val="22"/>
              </w:rPr>
            </w:pPr>
            <w:r>
              <w:rPr>
                <w:rFonts w:ascii="Arial"/>
                <w:spacing w:val="2"/>
                <w:sz w:val="22"/>
              </w:rPr>
              <w:t>50%</w:t>
            </w:r>
            <w:r>
              <w:rPr>
                <w:rFonts w:ascii="Arial"/>
                <w:sz w:val="22"/>
              </w:rPr>
            </w:r>
          </w:p>
        </w:tc>
        <w:tc>
          <w:tcPr>
            <w:tcW w:w="2405"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1"/>
              <w:jc w:val="right"/>
              <w:rPr>
                <w:rFonts w:ascii="Arial" w:hAnsi="Arial" w:cs="Arial" w:eastAsia="Arial" w:hint="default"/>
                <w:sz w:val="22"/>
                <w:szCs w:val="22"/>
              </w:rPr>
            </w:pPr>
            <w:r>
              <w:rPr>
                <w:rFonts w:ascii="Arial"/>
                <w:spacing w:val="-1"/>
                <w:sz w:val="22"/>
              </w:rPr>
              <w:t>1,361,961,873</w:t>
            </w:r>
          </w:p>
        </w:tc>
        <w:tc>
          <w:tcPr>
            <w:tcW w:w="137" w:type="dxa"/>
            <w:tcBorders>
              <w:top w:val="nil" w:sz="6" w:space="0" w:color="auto"/>
              <w:left w:val="nil" w:sz="6" w:space="0" w:color="auto"/>
              <w:bottom w:val="nil" w:sz="6" w:space="0" w:color="auto"/>
              <w:right w:val="nil" w:sz="6" w:space="0" w:color="auto"/>
            </w:tcBorders>
          </w:tcPr>
          <w:p>
            <w:pP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95"/>
              <w:jc w:val="right"/>
              <w:rPr>
                <w:rFonts w:ascii="Arial" w:hAnsi="Arial" w:cs="Arial" w:eastAsia="Arial" w:hint="default"/>
                <w:sz w:val="22"/>
                <w:szCs w:val="22"/>
              </w:rPr>
            </w:pPr>
            <w:r>
              <w:rPr>
                <w:rFonts w:ascii="Arial"/>
                <w:sz w:val="22"/>
              </w:rPr>
              <w:t>(682,506,581)</w:t>
            </w:r>
          </w:p>
        </w:tc>
      </w:tr>
      <w:tr>
        <w:trPr>
          <w:trHeight w:val="283"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宋体" w:hAnsi="宋体" w:cs="宋体" w:eastAsia="宋体" w:hint="default"/>
                <w:sz w:val="22"/>
                <w:szCs w:val="22"/>
              </w:rPr>
              <w:t>逾期</w:t>
            </w:r>
            <w:r>
              <w:rPr>
                <w:rFonts w:ascii="宋体" w:hAnsi="宋体" w:cs="宋体" w:eastAsia="宋体" w:hint="default"/>
                <w:spacing w:val="-56"/>
                <w:sz w:val="22"/>
                <w:szCs w:val="22"/>
              </w:rPr>
              <w:t> </w:t>
            </w:r>
            <w:r>
              <w:rPr>
                <w:rFonts w:ascii="Arial" w:hAnsi="Arial" w:cs="Arial" w:eastAsia="Arial" w:hint="default"/>
                <w:sz w:val="22"/>
                <w:szCs w:val="22"/>
              </w:rPr>
              <w:t>91</w:t>
            </w:r>
            <w:r>
              <w:rPr>
                <w:rFonts w:ascii="Arial" w:hAnsi="Arial" w:cs="Arial" w:eastAsia="Arial" w:hint="default"/>
                <w:spacing w:val="-5"/>
                <w:sz w:val="22"/>
                <w:szCs w:val="22"/>
              </w:rPr>
              <w:t> </w:t>
            </w:r>
            <w:r>
              <w:rPr>
                <w:rFonts w:ascii="宋体" w:hAnsi="宋体" w:cs="宋体" w:eastAsia="宋体" w:hint="default"/>
                <w:sz w:val="22"/>
                <w:szCs w:val="22"/>
              </w:rPr>
              <w:t>至</w:t>
            </w:r>
            <w:r>
              <w:rPr>
                <w:rFonts w:ascii="宋体" w:hAnsi="宋体" w:cs="宋体" w:eastAsia="宋体" w:hint="default"/>
                <w:spacing w:val="-56"/>
                <w:sz w:val="22"/>
                <w:szCs w:val="22"/>
              </w:rPr>
              <w:t> </w:t>
            </w:r>
            <w:r>
              <w:rPr>
                <w:rFonts w:ascii="Arial" w:hAnsi="Arial" w:cs="Arial" w:eastAsia="Arial" w:hint="default"/>
                <w:sz w:val="22"/>
                <w:szCs w:val="22"/>
              </w:rPr>
              <w:t>180</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41"/>
              <w:jc w:val="right"/>
              <w:rPr>
                <w:rFonts w:ascii="Arial" w:hAnsi="Arial" w:cs="Arial" w:eastAsia="Arial" w:hint="default"/>
                <w:sz w:val="22"/>
                <w:szCs w:val="22"/>
              </w:rPr>
            </w:pPr>
            <w:r>
              <w:rPr>
                <w:rFonts w:ascii="Arial"/>
                <w:spacing w:val="2"/>
                <w:sz w:val="22"/>
              </w:rPr>
              <w:t>90%</w:t>
            </w:r>
            <w:r>
              <w:rPr>
                <w:rFonts w:ascii="Arial"/>
                <w:sz w:val="22"/>
              </w:rPr>
            </w:r>
          </w:p>
        </w:tc>
        <w:tc>
          <w:tcPr>
            <w:tcW w:w="240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3"/>
              <w:jc w:val="right"/>
              <w:rPr>
                <w:rFonts w:ascii="Arial" w:hAnsi="Arial" w:cs="Arial" w:eastAsia="Arial" w:hint="default"/>
                <w:sz w:val="22"/>
                <w:szCs w:val="22"/>
              </w:rPr>
            </w:pPr>
            <w:r>
              <w:rPr>
                <w:rFonts w:ascii="Arial"/>
                <w:sz w:val="22"/>
              </w:rPr>
              <w:t>839,519,722</w:t>
            </w:r>
          </w:p>
        </w:tc>
        <w:tc>
          <w:tcPr>
            <w:tcW w:w="137" w:type="dxa"/>
            <w:tcBorders>
              <w:top w:val="nil" w:sz="6" w:space="0" w:color="auto"/>
              <w:left w:val="nil" w:sz="6" w:space="0" w:color="auto"/>
              <w:bottom w:val="nil" w:sz="6" w:space="0" w:color="auto"/>
              <w:right w:val="nil" w:sz="6" w:space="0" w:color="auto"/>
            </w:tcBorders>
          </w:tcPr>
          <w:p>
            <w:pP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0"/>
              <w:jc w:val="right"/>
              <w:rPr>
                <w:rFonts w:ascii="Arial" w:hAnsi="Arial" w:cs="Arial" w:eastAsia="Arial" w:hint="default"/>
                <w:sz w:val="22"/>
                <w:szCs w:val="22"/>
              </w:rPr>
            </w:pPr>
            <w:r>
              <w:rPr>
                <w:rFonts w:ascii="Arial"/>
                <w:sz w:val="22"/>
              </w:rPr>
              <w:t>(755,463,747)</w:t>
            </w:r>
          </w:p>
        </w:tc>
      </w:tr>
      <w:tr>
        <w:trPr>
          <w:trHeight w:val="418"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宋体" w:hAnsi="宋体" w:cs="宋体" w:eastAsia="宋体" w:hint="default"/>
                <w:sz w:val="22"/>
                <w:szCs w:val="22"/>
              </w:rPr>
              <w:t>逾期超过</w:t>
            </w:r>
            <w:r>
              <w:rPr>
                <w:rFonts w:ascii="宋体" w:hAnsi="宋体" w:cs="宋体" w:eastAsia="宋体" w:hint="default"/>
                <w:spacing w:val="-54"/>
                <w:sz w:val="22"/>
                <w:szCs w:val="22"/>
              </w:rPr>
              <w:t> </w:t>
            </w:r>
            <w:r>
              <w:rPr>
                <w:rFonts w:ascii="Arial" w:hAnsi="Arial" w:cs="Arial" w:eastAsia="Arial" w:hint="default"/>
                <w:sz w:val="22"/>
                <w:szCs w:val="22"/>
              </w:rPr>
              <w:t>180</w:t>
            </w:r>
            <w:r>
              <w:rPr>
                <w:rFonts w:ascii="Arial" w:hAnsi="Arial" w:cs="Arial" w:eastAsia="Arial" w:hint="default"/>
                <w:spacing w:val="-3"/>
                <w:sz w:val="22"/>
                <w:szCs w:val="22"/>
              </w:rPr>
              <w:t> </w:t>
            </w:r>
            <w:r>
              <w:rPr>
                <w:rFonts w:ascii="宋体" w:hAnsi="宋体" w:cs="宋体" w:eastAsia="宋体" w:hint="default"/>
                <w:sz w:val="22"/>
                <w:szCs w:val="22"/>
              </w:rPr>
              <w:t>日</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41"/>
              <w:jc w:val="right"/>
              <w:rPr>
                <w:rFonts w:ascii="Arial" w:hAnsi="Arial" w:cs="Arial" w:eastAsia="Arial" w:hint="default"/>
                <w:sz w:val="22"/>
                <w:szCs w:val="22"/>
              </w:rPr>
            </w:pPr>
            <w:r>
              <w:rPr>
                <w:rFonts w:ascii="Arial"/>
                <w:sz w:val="22"/>
              </w:rPr>
              <w:t>100%</w:t>
            </w:r>
          </w:p>
        </w:tc>
        <w:tc>
          <w:tcPr>
            <w:tcW w:w="2405" w:type="dxa"/>
            <w:tcBorders>
              <w:top w:val="nil" w:sz="6" w:space="0" w:color="auto"/>
              <w:left w:val="nil" w:sz="6" w:space="0" w:color="auto"/>
              <w:bottom w:val="nil" w:sz="6" w:space="0" w:color="auto"/>
              <w:right w:val="nil" w:sz="6" w:space="0" w:color="auto"/>
            </w:tcBorders>
          </w:tcPr>
          <w:p>
            <w:pPr>
              <w:pStyle w:val="TableParagraph"/>
              <w:tabs>
                <w:tab w:pos="892" w:val="left" w:leader="none"/>
                <w:tab w:pos="2404"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2,249,681,991</w:t>
              <w:tab/>
            </w:r>
            <w:r>
              <w:rPr>
                <w:rFonts w:ascii="Arial"/>
                <w:spacing w:val="-1"/>
                <w:sz w:val="22"/>
              </w:rPr>
            </w:r>
          </w:p>
        </w:tc>
        <w:tc>
          <w:tcPr>
            <w:tcW w:w="137" w:type="dxa"/>
            <w:tcBorders>
              <w:top w:val="nil" w:sz="6" w:space="0" w:color="auto"/>
              <w:left w:val="nil" w:sz="6" w:space="0" w:color="auto"/>
              <w:bottom w:val="nil" w:sz="6" w:space="0" w:color="auto"/>
              <w:right w:val="nil" w:sz="6" w:space="0" w:color="auto"/>
            </w:tcBorders>
          </w:tcPr>
          <w:p>
            <w:pPr/>
          </w:p>
        </w:tc>
        <w:tc>
          <w:tcPr>
            <w:tcW w:w="2412" w:type="dxa"/>
            <w:tcBorders>
              <w:top w:val="nil" w:sz="6" w:space="0" w:color="auto"/>
              <w:left w:val="nil" w:sz="6" w:space="0" w:color="auto"/>
              <w:bottom w:val="nil" w:sz="6" w:space="0" w:color="auto"/>
              <w:right w:val="nil" w:sz="6" w:space="0" w:color="auto"/>
            </w:tcBorders>
          </w:tcPr>
          <w:p>
            <w:pPr>
              <w:pStyle w:val="TableParagraph"/>
              <w:tabs>
                <w:tab w:pos="743" w:val="left" w:leader="none"/>
                <w:tab w:pos="2404"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(2,249,681,815)</w:t>
              <w:tab/>
            </w:r>
            <w:r>
              <w:rPr>
                <w:rFonts w:ascii="Arial"/>
                <w:spacing w:val="-1"/>
                <w:sz w:val="22"/>
              </w:rPr>
            </w:r>
          </w:p>
        </w:tc>
      </w:tr>
      <w:tr>
        <w:trPr>
          <w:trHeight w:val="427"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1574" w:type="dxa"/>
            <w:tcBorders>
              <w:top w:val="nil" w:sz="6" w:space="0" w:color="auto"/>
              <w:left w:val="nil" w:sz="6" w:space="0" w:color="auto"/>
              <w:bottom w:val="nil" w:sz="6" w:space="0" w:color="auto"/>
              <w:right w:val="nil" w:sz="6" w:space="0" w:color="auto"/>
            </w:tcBorders>
          </w:tcPr>
          <w:p>
            <w:pPr/>
          </w:p>
        </w:tc>
        <w:tc>
          <w:tcPr>
            <w:tcW w:w="2405"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right="101"/>
              <w:jc w:val="right"/>
              <w:rPr>
                <w:rFonts w:ascii="Arial" w:hAnsi="Arial" w:cs="Arial" w:eastAsia="Arial" w:hint="default"/>
                <w:sz w:val="22"/>
                <w:szCs w:val="22"/>
              </w:rPr>
            </w:pPr>
            <w:r>
              <w:rPr>
                <w:rFonts w:ascii="Arial"/>
                <w:spacing w:val="-1"/>
                <w:sz w:val="22"/>
              </w:rPr>
              <w:t>7,380,357,915</w:t>
            </w:r>
          </w:p>
        </w:tc>
        <w:tc>
          <w:tcPr>
            <w:tcW w:w="137" w:type="dxa"/>
            <w:tcBorders>
              <w:top w:val="nil" w:sz="6" w:space="0" w:color="auto"/>
              <w:left w:val="nil" w:sz="6" w:space="0" w:color="auto"/>
              <w:bottom w:val="nil" w:sz="6" w:space="0" w:color="auto"/>
              <w:right w:val="nil" w:sz="6" w:space="0" w:color="auto"/>
            </w:tcBorders>
          </w:tcPr>
          <w:p>
            <w:pPr/>
          </w:p>
        </w:tc>
        <w:tc>
          <w:tcPr>
            <w:tcW w:w="2412"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right="100"/>
              <w:jc w:val="right"/>
              <w:rPr>
                <w:rFonts w:ascii="Arial" w:hAnsi="Arial" w:cs="Arial" w:eastAsia="Arial" w:hint="default"/>
                <w:sz w:val="22"/>
                <w:szCs w:val="22"/>
              </w:rPr>
            </w:pPr>
            <w:r>
              <w:rPr>
                <w:rFonts w:ascii="Arial"/>
                <w:spacing w:val="-1"/>
                <w:sz w:val="22"/>
              </w:rPr>
              <w:t>(3,863,093,279)</w:t>
            </w:r>
            <w:r>
              <w:rPr>
                <w:rFonts w:ascii="Arial"/>
                <w:sz w:val="22"/>
              </w:rPr>
            </w:r>
          </w:p>
        </w:tc>
      </w:tr>
    </w:tbl>
    <w:p>
      <w:pPr>
        <w:spacing w:line="240" w:lineRule="auto" w:before="2"/>
        <w:rPr>
          <w:rFonts w:ascii="宋体" w:hAnsi="宋体" w:cs="宋体" w:eastAsia="宋体" w:hint="default"/>
          <w:sz w:val="14"/>
          <w:szCs w:val="14"/>
        </w:rPr>
      </w:pPr>
    </w:p>
    <w:p>
      <w:pPr>
        <w:pStyle w:val="BodyText"/>
        <w:spacing w:line="240" w:lineRule="auto" w:before="32"/>
        <w:ind w:left="132" w:right="0"/>
        <w:jc w:val="left"/>
      </w:pPr>
      <w:r>
        <w:rPr>
          <w:rFonts w:ascii="Arial" w:hAnsi="Arial" w:cs="Arial" w:eastAsia="Arial" w:hint="default"/>
        </w:rPr>
        <w:t>(ii)  </w:t>
      </w:r>
      <w:r>
        <w:rPr>
          <w:rFonts w:ascii="Arial" w:hAnsi="Arial" w:cs="Arial" w:eastAsia="Arial" w:hint="default"/>
          <w:spacing w:val="5"/>
        </w:rPr>
        <w:t> </w:t>
      </w:r>
      <w:r>
        <w:rPr/>
        <w:t>政企大客户</w:t>
      </w:r>
    </w:p>
    <w:p>
      <w:pPr>
        <w:spacing w:line="240" w:lineRule="auto" w:before="8"/>
        <w:rPr>
          <w:rFonts w:ascii="宋体" w:hAnsi="宋体" w:cs="宋体" w:eastAsia="宋体" w:hint="default"/>
          <w:sz w:val="3"/>
          <w:szCs w:val="3"/>
        </w:rPr>
      </w:pPr>
    </w:p>
    <w:tbl>
      <w:tblPr>
        <w:tblW w:w="0" w:type="auto"/>
        <w:jc w:val="left"/>
        <w:tblInd w:w="393" w:type="dxa"/>
        <w:tblLayout w:type="fixed"/>
        <w:tblCellMar>
          <w:top w:w="0" w:type="dxa"/>
          <w:left w:w="0" w:type="dxa"/>
          <w:bottom w:w="0" w:type="dxa"/>
          <w:right w:w="0" w:type="dxa"/>
        </w:tblCellMar>
        <w:tblLook w:val="01E0"/>
      </w:tblPr>
      <w:tblGrid>
        <w:gridCol w:w="2550"/>
        <w:gridCol w:w="1697"/>
        <w:gridCol w:w="2410"/>
        <w:gridCol w:w="144"/>
        <w:gridCol w:w="2414"/>
      </w:tblGrid>
      <w:tr>
        <w:trPr>
          <w:trHeight w:val="262" w:hRule="exact"/>
        </w:trPr>
        <w:tc>
          <w:tcPr>
            <w:tcW w:w="2550" w:type="dxa"/>
            <w:tcBorders>
              <w:top w:val="nil" w:sz="6" w:space="0" w:color="auto"/>
              <w:left w:val="nil" w:sz="6" w:space="0" w:color="auto"/>
              <w:bottom w:val="nil" w:sz="6" w:space="0" w:color="auto"/>
              <w:right w:val="nil" w:sz="6" w:space="0" w:color="auto"/>
            </w:tcBorders>
          </w:tcPr>
          <w:p>
            <w:pPr/>
          </w:p>
        </w:tc>
        <w:tc>
          <w:tcPr>
            <w:tcW w:w="1697" w:type="dxa"/>
            <w:tcBorders>
              <w:top w:val="nil" w:sz="6" w:space="0" w:color="auto"/>
              <w:left w:val="nil" w:sz="6" w:space="0" w:color="auto"/>
              <w:bottom w:val="nil" w:sz="6" w:space="0" w:color="auto"/>
              <w:right w:val="nil" w:sz="6" w:space="0" w:color="auto"/>
            </w:tcBorders>
          </w:tcPr>
          <w:p>
            <w:pPr>
              <w:pStyle w:val="TableParagraph"/>
              <w:spacing w:line="221" w:lineRule="exact"/>
              <w:ind w:right="242"/>
              <w:jc w:val="right"/>
              <w:rPr>
                <w:rFonts w:ascii="宋体" w:hAnsi="宋体" w:cs="宋体" w:eastAsia="宋体" w:hint="default"/>
                <w:sz w:val="22"/>
                <w:szCs w:val="22"/>
              </w:rPr>
            </w:pPr>
            <w:r>
              <w:rPr>
                <w:rFonts w:ascii="宋体" w:hAnsi="宋体" w:cs="宋体" w:eastAsia="宋体" w:hint="default"/>
                <w:sz w:val="22"/>
                <w:szCs w:val="22"/>
              </w:rPr>
              <w:t>违约损失率</w:t>
            </w:r>
          </w:p>
        </w:tc>
        <w:tc>
          <w:tcPr>
            <w:tcW w:w="2410" w:type="dxa"/>
            <w:tcBorders>
              <w:top w:val="nil" w:sz="6" w:space="0" w:color="auto"/>
              <w:left w:val="nil" w:sz="6" w:space="0" w:color="auto"/>
              <w:bottom w:val="single" w:sz="4" w:space="0" w:color="000000"/>
              <w:right w:val="nil" w:sz="6" w:space="0" w:color="auto"/>
            </w:tcBorders>
          </w:tcPr>
          <w:p>
            <w:pPr>
              <w:pStyle w:val="TableParagraph"/>
              <w:spacing w:line="221" w:lineRule="exact"/>
              <w:ind w:right="103"/>
              <w:jc w:val="right"/>
              <w:rPr>
                <w:rFonts w:ascii="宋体" w:hAnsi="宋体" w:cs="宋体" w:eastAsia="宋体" w:hint="default"/>
                <w:sz w:val="22"/>
                <w:szCs w:val="22"/>
              </w:rPr>
            </w:pPr>
            <w:r>
              <w:rPr>
                <w:rFonts w:ascii="宋体" w:hAnsi="宋体" w:cs="宋体" w:eastAsia="宋体" w:hint="default"/>
                <w:sz w:val="22"/>
                <w:szCs w:val="22"/>
              </w:rPr>
              <w:t>年末账面余额</w:t>
            </w:r>
          </w:p>
        </w:tc>
        <w:tc>
          <w:tcPr>
            <w:tcW w:w="144" w:type="dxa"/>
            <w:tcBorders>
              <w:top w:val="nil" w:sz="6" w:space="0" w:color="auto"/>
              <w:left w:val="nil" w:sz="6" w:space="0" w:color="auto"/>
              <w:bottom w:val="nil" w:sz="6" w:space="0" w:color="auto"/>
              <w:right w:val="nil" w:sz="6" w:space="0" w:color="auto"/>
            </w:tcBorders>
          </w:tcPr>
          <w:p>
            <w:pPr/>
          </w:p>
        </w:tc>
        <w:tc>
          <w:tcPr>
            <w:tcW w:w="2414" w:type="dxa"/>
            <w:tcBorders>
              <w:top w:val="nil" w:sz="6" w:space="0" w:color="auto"/>
              <w:left w:val="nil" w:sz="6" w:space="0" w:color="auto"/>
              <w:bottom w:val="single" w:sz="4" w:space="0" w:color="000000"/>
              <w:right w:val="nil" w:sz="6" w:space="0" w:color="auto"/>
            </w:tcBorders>
          </w:tcPr>
          <w:p>
            <w:pPr>
              <w:pStyle w:val="TableParagraph"/>
              <w:spacing w:line="221" w:lineRule="exact"/>
              <w:ind w:right="103"/>
              <w:jc w:val="right"/>
              <w:rPr>
                <w:rFonts w:ascii="宋体" w:hAnsi="宋体" w:cs="宋体" w:eastAsia="宋体" w:hint="default"/>
                <w:sz w:val="22"/>
                <w:szCs w:val="22"/>
              </w:rPr>
            </w:pPr>
            <w:r>
              <w:rPr>
                <w:rFonts w:ascii="宋体" w:hAnsi="宋体" w:cs="宋体" w:eastAsia="宋体" w:hint="default"/>
                <w:sz w:val="22"/>
                <w:szCs w:val="22"/>
              </w:rPr>
              <w:t>年末减值准备</w:t>
            </w:r>
          </w:p>
        </w:tc>
      </w:tr>
      <w:tr>
        <w:trPr>
          <w:trHeight w:val="555" w:hRule="exact"/>
        </w:trPr>
        <w:tc>
          <w:tcPr>
            <w:tcW w:w="255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未逾期</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1"/>
              <w:jc w:val="right"/>
              <w:rPr>
                <w:rFonts w:ascii="Arial" w:hAnsi="Arial" w:cs="Arial" w:eastAsia="Arial" w:hint="default"/>
                <w:sz w:val="22"/>
                <w:szCs w:val="22"/>
              </w:rPr>
            </w:pPr>
            <w:r>
              <w:rPr>
                <w:rFonts w:ascii="Arial"/>
                <w:sz w:val="22"/>
              </w:rPr>
              <w:t>4%</w:t>
            </w:r>
          </w:p>
        </w:tc>
        <w:tc>
          <w:tcPr>
            <w:tcW w:w="2410"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10"/>
              <w:jc w:val="right"/>
              <w:rPr>
                <w:rFonts w:ascii="Arial" w:hAnsi="Arial" w:cs="Arial" w:eastAsia="Arial" w:hint="default"/>
                <w:sz w:val="22"/>
                <w:szCs w:val="22"/>
              </w:rPr>
            </w:pPr>
            <w:r>
              <w:rPr>
                <w:rFonts w:ascii="Arial"/>
                <w:spacing w:val="-1"/>
                <w:sz w:val="22"/>
              </w:rPr>
              <w:t>9,602,213,704</w:t>
            </w:r>
          </w:p>
        </w:tc>
        <w:tc>
          <w:tcPr>
            <w:tcW w:w="144" w:type="dxa"/>
            <w:tcBorders>
              <w:top w:val="nil" w:sz="6" w:space="0" w:color="auto"/>
              <w:left w:val="nil" w:sz="6" w:space="0" w:color="auto"/>
              <w:bottom w:val="nil" w:sz="6" w:space="0" w:color="auto"/>
              <w:right w:val="nil" w:sz="6" w:space="0" w:color="auto"/>
            </w:tcBorders>
          </w:tcPr>
          <w:p>
            <w:pPr/>
          </w:p>
        </w:tc>
        <w:tc>
          <w:tcPr>
            <w:tcW w:w="2414"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5"/>
              <w:jc w:val="right"/>
              <w:rPr>
                <w:rFonts w:ascii="Arial" w:hAnsi="Arial" w:cs="Arial" w:eastAsia="Arial" w:hint="default"/>
                <w:sz w:val="22"/>
                <w:szCs w:val="22"/>
              </w:rPr>
            </w:pPr>
            <w:r>
              <w:rPr>
                <w:rFonts w:ascii="Arial"/>
                <w:sz w:val="22"/>
              </w:rPr>
              <w:t>(371,575,166)</w:t>
            </w:r>
          </w:p>
        </w:tc>
      </w:tr>
      <w:tr>
        <w:trPr>
          <w:trHeight w:val="283" w:hRule="exact"/>
        </w:trPr>
        <w:tc>
          <w:tcPr>
            <w:tcW w:w="2550"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宋体" w:hAnsi="宋体" w:cs="宋体" w:eastAsia="宋体" w:hint="default"/>
                <w:sz w:val="22"/>
                <w:szCs w:val="22"/>
              </w:rPr>
              <w:t>逾期</w:t>
            </w:r>
            <w:r>
              <w:rPr>
                <w:rFonts w:ascii="宋体" w:hAnsi="宋体" w:cs="宋体" w:eastAsia="宋体" w:hint="default"/>
                <w:spacing w:val="-56"/>
                <w:sz w:val="22"/>
                <w:szCs w:val="22"/>
              </w:rPr>
              <w:t> </w:t>
            </w:r>
            <w:r>
              <w:rPr>
                <w:rFonts w:ascii="Arial" w:hAnsi="Arial" w:cs="Arial" w:eastAsia="Arial" w:hint="default"/>
                <w:sz w:val="22"/>
                <w:szCs w:val="22"/>
              </w:rPr>
              <w:t>1</w:t>
            </w:r>
            <w:r>
              <w:rPr>
                <w:rFonts w:ascii="Arial" w:hAnsi="Arial" w:cs="Arial" w:eastAsia="Arial" w:hint="default"/>
                <w:spacing w:val="-5"/>
                <w:sz w:val="22"/>
                <w:szCs w:val="22"/>
              </w:rPr>
              <w:t> </w:t>
            </w:r>
            <w:r>
              <w:rPr>
                <w:rFonts w:ascii="宋体" w:hAnsi="宋体" w:cs="宋体" w:eastAsia="宋体" w:hint="default"/>
                <w:sz w:val="22"/>
                <w:szCs w:val="22"/>
              </w:rPr>
              <w:t>年以内</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41"/>
              <w:jc w:val="right"/>
              <w:rPr>
                <w:rFonts w:ascii="Arial" w:hAnsi="Arial" w:cs="Arial" w:eastAsia="Arial" w:hint="default"/>
                <w:sz w:val="22"/>
                <w:szCs w:val="22"/>
              </w:rPr>
            </w:pPr>
            <w:r>
              <w:rPr>
                <w:rFonts w:ascii="Arial"/>
                <w:spacing w:val="2"/>
                <w:sz w:val="22"/>
              </w:rPr>
              <w:t>15%</w:t>
            </w:r>
            <w:r>
              <w:rPr>
                <w:rFonts w:ascii="Arial"/>
                <w:sz w:val="22"/>
              </w:rPr>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0"/>
              <w:jc w:val="right"/>
              <w:rPr>
                <w:rFonts w:ascii="Arial" w:hAnsi="Arial" w:cs="Arial" w:eastAsia="Arial" w:hint="default"/>
                <w:sz w:val="22"/>
                <w:szCs w:val="22"/>
              </w:rPr>
            </w:pPr>
            <w:r>
              <w:rPr>
                <w:rFonts w:ascii="Arial"/>
                <w:spacing w:val="-1"/>
                <w:sz w:val="22"/>
              </w:rPr>
              <w:t>4,516,517,292</w:t>
            </w:r>
          </w:p>
        </w:tc>
        <w:tc>
          <w:tcPr>
            <w:tcW w:w="144" w:type="dxa"/>
            <w:tcBorders>
              <w:top w:val="nil" w:sz="6" w:space="0" w:color="auto"/>
              <w:left w:val="nil" w:sz="6" w:space="0" w:color="auto"/>
              <w:bottom w:val="nil" w:sz="6" w:space="0" w:color="auto"/>
              <w:right w:val="nil" w:sz="6" w:space="0" w:color="auto"/>
            </w:tcBorders>
          </w:tcPr>
          <w:p>
            <w:pPr/>
          </w:p>
        </w:tc>
        <w:tc>
          <w:tcPr>
            <w:tcW w:w="241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5"/>
              <w:jc w:val="right"/>
              <w:rPr>
                <w:rFonts w:ascii="Arial" w:hAnsi="Arial" w:cs="Arial" w:eastAsia="Arial" w:hint="default"/>
                <w:sz w:val="22"/>
                <w:szCs w:val="22"/>
              </w:rPr>
            </w:pPr>
            <w:r>
              <w:rPr>
                <w:rFonts w:ascii="Arial"/>
                <w:sz w:val="22"/>
              </w:rPr>
              <w:t>(673,906,385)</w:t>
            </w:r>
          </w:p>
        </w:tc>
      </w:tr>
      <w:tr>
        <w:trPr>
          <w:trHeight w:val="288" w:hRule="exact"/>
        </w:trPr>
        <w:tc>
          <w:tcPr>
            <w:tcW w:w="2550"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宋体" w:hAnsi="宋体" w:cs="宋体" w:eastAsia="宋体" w:hint="default"/>
                <w:sz w:val="22"/>
                <w:szCs w:val="22"/>
              </w:rPr>
              <w:t>逾期</w:t>
            </w:r>
            <w:r>
              <w:rPr>
                <w:rFonts w:ascii="宋体" w:hAnsi="宋体" w:cs="宋体" w:eastAsia="宋体" w:hint="default"/>
                <w:spacing w:val="-57"/>
                <w:sz w:val="22"/>
                <w:szCs w:val="22"/>
              </w:rPr>
              <w:t> </w:t>
            </w:r>
            <w:r>
              <w:rPr>
                <w:rFonts w:ascii="Arial" w:hAnsi="Arial" w:cs="Arial" w:eastAsia="Arial" w:hint="default"/>
                <w:sz w:val="22"/>
                <w:szCs w:val="22"/>
              </w:rPr>
              <w:t>1</w:t>
            </w:r>
            <w:r>
              <w:rPr>
                <w:rFonts w:ascii="Arial" w:hAnsi="Arial" w:cs="Arial" w:eastAsia="Arial" w:hint="default"/>
                <w:spacing w:val="-6"/>
                <w:sz w:val="22"/>
                <w:szCs w:val="22"/>
              </w:rPr>
              <w:t> </w:t>
            </w:r>
            <w:r>
              <w:rPr>
                <w:rFonts w:ascii="宋体" w:hAnsi="宋体" w:cs="宋体" w:eastAsia="宋体" w:hint="default"/>
                <w:sz w:val="22"/>
                <w:szCs w:val="22"/>
              </w:rPr>
              <w:t>至</w:t>
            </w:r>
            <w:r>
              <w:rPr>
                <w:rFonts w:ascii="宋体" w:hAnsi="宋体" w:cs="宋体" w:eastAsia="宋体" w:hint="default"/>
                <w:spacing w:val="-57"/>
                <w:sz w:val="22"/>
                <w:szCs w:val="22"/>
              </w:rPr>
              <w:t> </w:t>
            </w:r>
            <w:r>
              <w:rPr>
                <w:rFonts w:ascii="Arial" w:hAnsi="Arial" w:cs="Arial" w:eastAsia="Arial" w:hint="default"/>
                <w:sz w:val="22"/>
                <w:szCs w:val="22"/>
              </w:rPr>
              <w:t>2</w:t>
            </w:r>
            <w:r>
              <w:rPr>
                <w:rFonts w:ascii="Arial" w:hAnsi="Arial" w:cs="Arial" w:eastAsia="Arial" w:hint="default"/>
                <w:spacing w:val="-6"/>
                <w:sz w:val="22"/>
                <w:szCs w:val="22"/>
              </w:rPr>
              <w:t> </w:t>
            </w:r>
            <w:r>
              <w:rPr>
                <w:rFonts w:ascii="宋体" w:hAnsi="宋体" w:cs="宋体" w:eastAsia="宋体" w:hint="default"/>
                <w:sz w:val="22"/>
                <w:szCs w:val="22"/>
              </w:rPr>
              <w:t>年</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41"/>
              <w:jc w:val="right"/>
              <w:rPr>
                <w:rFonts w:ascii="Arial" w:hAnsi="Arial" w:cs="Arial" w:eastAsia="Arial" w:hint="default"/>
                <w:sz w:val="22"/>
                <w:szCs w:val="22"/>
              </w:rPr>
            </w:pPr>
            <w:r>
              <w:rPr>
                <w:rFonts w:ascii="Arial"/>
                <w:spacing w:val="2"/>
                <w:sz w:val="22"/>
              </w:rPr>
              <w:t>48%</w:t>
            </w:r>
            <w:r>
              <w:rPr>
                <w:rFonts w:ascii="Arial"/>
                <w:sz w:val="22"/>
              </w:rPr>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10"/>
              <w:jc w:val="right"/>
              <w:rPr>
                <w:rFonts w:ascii="Arial" w:hAnsi="Arial" w:cs="Arial" w:eastAsia="Arial" w:hint="default"/>
                <w:sz w:val="22"/>
                <w:szCs w:val="22"/>
              </w:rPr>
            </w:pPr>
            <w:r>
              <w:rPr>
                <w:rFonts w:ascii="Arial"/>
                <w:spacing w:val="-1"/>
                <w:sz w:val="22"/>
              </w:rPr>
              <w:t>1,036,848,224</w:t>
            </w:r>
          </w:p>
        </w:tc>
        <w:tc>
          <w:tcPr>
            <w:tcW w:w="144" w:type="dxa"/>
            <w:tcBorders>
              <w:top w:val="nil" w:sz="6" w:space="0" w:color="auto"/>
              <w:left w:val="nil" w:sz="6" w:space="0" w:color="auto"/>
              <w:bottom w:val="nil" w:sz="6" w:space="0" w:color="auto"/>
              <w:right w:val="nil" w:sz="6" w:space="0" w:color="auto"/>
            </w:tcBorders>
          </w:tcPr>
          <w:p>
            <w:pPr/>
          </w:p>
        </w:tc>
        <w:tc>
          <w:tcPr>
            <w:tcW w:w="241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5"/>
              <w:jc w:val="right"/>
              <w:rPr>
                <w:rFonts w:ascii="Arial" w:hAnsi="Arial" w:cs="Arial" w:eastAsia="Arial" w:hint="default"/>
                <w:sz w:val="22"/>
                <w:szCs w:val="22"/>
              </w:rPr>
            </w:pPr>
            <w:r>
              <w:rPr>
                <w:rFonts w:ascii="Arial"/>
                <w:sz w:val="22"/>
              </w:rPr>
              <w:t>(497,548,221)</w:t>
            </w:r>
          </w:p>
        </w:tc>
      </w:tr>
      <w:tr>
        <w:trPr>
          <w:trHeight w:val="283" w:hRule="exact"/>
        </w:trPr>
        <w:tc>
          <w:tcPr>
            <w:tcW w:w="2550"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宋体" w:hAnsi="宋体" w:cs="宋体" w:eastAsia="宋体" w:hint="default"/>
                <w:sz w:val="22"/>
                <w:szCs w:val="22"/>
              </w:rPr>
              <w:t>逾期</w:t>
            </w:r>
            <w:r>
              <w:rPr>
                <w:rFonts w:ascii="宋体" w:hAnsi="宋体" w:cs="宋体" w:eastAsia="宋体" w:hint="default"/>
                <w:spacing w:val="-57"/>
                <w:sz w:val="22"/>
                <w:szCs w:val="22"/>
              </w:rPr>
              <w:t> </w:t>
            </w:r>
            <w:r>
              <w:rPr>
                <w:rFonts w:ascii="Arial" w:hAnsi="Arial" w:cs="Arial" w:eastAsia="Arial" w:hint="default"/>
                <w:sz w:val="22"/>
                <w:szCs w:val="22"/>
              </w:rPr>
              <w:t>2</w:t>
            </w:r>
            <w:r>
              <w:rPr>
                <w:rFonts w:ascii="Arial" w:hAnsi="Arial" w:cs="Arial" w:eastAsia="Arial" w:hint="default"/>
                <w:spacing w:val="-6"/>
                <w:sz w:val="22"/>
                <w:szCs w:val="22"/>
              </w:rPr>
              <w:t> </w:t>
            </w:r>
            <w:r>
              <w:rPr>
                <w:rFonts w:ascii="宋体" w:hAnsi="宋体" w:cs="宋体" w:eastAsia="宋体" w:hint="default"/>
                <w:sz w:val="22"/>
                <w:szCs w:val="22"/>
              </w:rPr>
              <w:t>至</w:t>
            </w:r>
            <w:r>
              <w:rPr>
                <w:rFonts w:ascii="宋体" w:hAnsi="宋体" w:cs="宋体" w:eastAsia="宋体" w:hint="default"/>
                <w:spacing w:val="-57"/>
                <w:sz w:val="22"/>
                <w:szCs w:val="22"/>
              </w:rPr>
              <w:t> </w:t>
            </w:r>
            <w:r>
              <w:rPr>
                <w:rFonts w:ascii="Arial" w:hAnsi="Arial" w:cs="Arial" w:eastAsia="Arial" w:hint="default"/>
                <w:sz w:val="22"/>
                <w:szCs w:val="22"/>
              </w:rPr>
              <w:t>3</w:t>
            </w:r>
            <w:r>
              <w:rPr>
                <w:rFonts w:ascii="Arial" w:hAnsi="Arial" w:cs="Arial" w:eastAsia="Arial" w:hint="default"/>
                <w:spacing w:val="-6"/>
                <w:sz w:val="22"/>
                <w:szCs w:val="22"/>
              </w:rPr>
              <w:t> </w:t>
            </w:r>
            <w:r>
              <w:rPr>
                <w:rFonts w:ascii="宋体" w:hAnsi="宋体" w:cs="宋体" w:eastAsia="宋体" w:hint="default"/>
                <w:sz w:val="22"/>
                <w:szCs w:val="22"/>
              </w:rPr>
              <w:t>年</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41"/>
              <w:jc w:val="right"/>
              <w:rPr>
                <w:rFonts w:ascii="Arial" w:hAnsi="Arial" w:cs="Arial" w:eastAsia="Arial" w:hint="default"/>
                <w:sz w:val="22"/>
                <w:szCs w:val="22"/>
              </w:rPr>
            </w:pPr>
            <w:r>
              <w:rPr>
                <w:rFonts w:ascii="Arial"/>
                <w:spacing w:val="2"/>
                <w:sz w:val="22"/>
              </w:rPr>
              <w:t>88%</w:t>
            </w:r>
            <w:r>
              <w:rPr>
                <w:rFonts w:ascii="Arial"/>
                <w:sz w:val="22"/>
              </w:rPr>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8"/>
              <w:jc w:val="right"/>
              <w:rPr>
                <w:rFonts w:ascii="Arial" w:hAnsi="Arial" w:cs="Arial" w:eastAsia="Arial" w:hint="default"/>
                <w:sz w:val="22"/>
                <w:szCs w:val="22"/>
              </w:rPr>
            </w:pPr>
            <w:r>
              <w:rPr>
                <w:rFonts w:ascii="Arial"/>
                <w:sz w:val="22"/>
              </w:rPr>
              <w:t>795,129,885</w:t>
            </w:r>
          </w:p>
        </w:tc>
        <w:tc>
          <w:tcPr>
            <w:tcW w:w="144" w:type="dxa"/>
            <w:tcBorders>
              <w:top w:val="nil" w:sz="6" w:space="0" w:color="auto"/>
              <w:left w:val="nil" w:sz="6" w:space="0" w:color="auto"/>
              <w:bottom w:val="nil" w:sz="6" w:space="0" w:color="auto"/>
              <w:right w:val="nil" w:sz="6" w:space="0" w:color="auto"/>
            </w:tcBorders>
          </w:tcPr>
          <w:p>
            <w:pPr/>
          </w:p>
        </w:tc>
        <w:tc>
          <w:tcPr>
            <w:tcW w:w="241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5"/>
              <w:jc w:val="right"/>
              <w:rPr>
                <w:rFonts w:ascii="Arial" w:hAnsi="Arial" w:cs="Arial" w:eastAsia="Arial" w:hint="default"/>
                <w:sz w:val="22"/>
                <w:szCs w:val="22"/>
              </w:rPr>
            </w:pPr>
            <w:r>
              <w:rPr>
                <w:rFonts w:ascii="Arial"/>
                <w:sz w:val="22"/>
              </w:rPr>
              <w:t>(698,574,193)</w:t>
            </w:r>
          </w:p>
        </w:tc>
      </w:tr>
      <w:tr>
        <w:trPr>
          <w:trHeight w:val="420" w:hRule="exact"/>
        </w:trPr>
        <w:tc>
          <w:tcPr>
            <w:tcW w:w="2550"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宋体" w:hAnsi="宋体" w:cs="宋体" w:eastAsia="宋体" w:hint="default"/>
                <w:sz w:val="22"/>
                <w:szCs w:val="22"/>
              </w:rPr>
              <w:t>逾期超过</w:t>
            </w:r>
            <w:r>
              <w:rPr>
                <w:rFonts w:ascii="宋体" w:hAnsi="宋体" w:cs="宋体" w:eastAsia="宋体" w:hint="default"/>
                <w:spacing w:val="-56"/>
                <w:sz w:val="22"/>
                <w:szCs w:val="22"/>
              </w:rPr>
              <w:t> </w:t>
            </w:r>
            <w:r>
              <w:rPr>
                <w:rFonts w:ascii="Arial" w:hAnsi="Arial" w:cs="Arial" w:eastAsia="Arial" w:hint="default"/>
                <w:sz w:val="22"/>
                <w:szCs w:val="22"/>
              </w:rPr>
              <w:t>3</w:t>
            </w:r>
            <w:r>
              <w:rPr>
                <w:rFonts w:ascii="Arial" w:hAnsi="Arial" w:cs="Arial" w:eastAsia="Arial" w:hint="default"/>
                <w:spacing w:val="-5"/>
                <w:sz w:val="22"/>
                <w:szCs w:val="22"/>
              </w:rPr>
              <w:t> </w:t>
            </w:r>
            <w:r>
              <w:rPr>
                <w:rFonts w:ascii="宋体" w:hAnsi="宋体" w:cs="宋体" w:eastAsia="宋体" w:hint="default"/>
                <w:sz w:val="22"/>
                <w:szCs w:val="22"/>
              </w:rPr>
              <w:t>年</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41"/>
              <w:jc w:val="right"/>
              <w:rPr>
                <w:rFonts w:ascii="Arial" w:hAnsi="Arial" w:cs="Arial" w:eastAsia="Arial" w:hint="default"/>
                <w:sz w:val="22"/>
                <w:szCs w:val="22"/>
              </w:rPr>
            </w:pPr>
            <w:r>
              <w:rPr>
                <w:rFonts w:ascii="Arial"/>
                <w:spacing w:val="2"/>
                <w:sz w:val="22"/>
              </w:rPr>
              <w:t>99%</w:t>
            </w:r>
            <w:r>
              <w:rPr>
                <w:rFonts w:ascii="Arial"/>
                <w:sz w:val="22"/>
              </w:rPr>
            </w:r>
          </w:p>
        </w:tc>
        <w:tc>
          <w:tcPr>
            <w:tcW w:w="2410" w:type="dxa"/>
            <w:tcBorders>
              <w:top w:val="nil" w:sz="6" w:space="0" w:color="auto"/>
              <w:left w:val="nil" w:sz="6" w:space="0" w:color="auto"/>
              <w:bottom w:val="nil" w:sz="6" w:space="0" w:color="auto"/>
              <w:right w:val="nil" w:sz="6" w:space="0" w:color="auto"/>
            </w:tcBorders>
          </w:tcPr>
          <w:p>
            <w:pPr>
              <w:pStyle w:val="TableParagraph"/>
              <w:tabs>
                <w:tab w:pos="887" w:val="left" w:leader="none"/>
                <w:tab w:pos="2409"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1,269,512,496</w:t>
              <w:tab/>
            </w:r>
            <w:r>
              <w:rPr>
                <w:rFonts w:ascii="Arial"/>
                <w:spacing w:val="-1"/>
                <w:sz w:val="22"/>
              </w:rPr>
            </w:r>
          </w:p>
        </w:tc>
        <w:tc>
          <w:tcPr>
            <w:tcW w:w="144" w:type="dxa"/>
            <w:tcBorders>
              <w:top w:val="nil" w:sz="6" w:space="0" w:color="auto"/>
              <w:left w:val="nil" w:sz="6" w:space="0" w:color="auto"/>
              <w:bottom w:val="nil" w:sz="6" w:space="0" w:color="auto"/>
              <w:right w:val="nil" w:sz="6" w:space="0" w:color="auto"/>
            </w:tcBorders>
          </w:tcPr>
          <w:p>
            <w:pPr/>
          </w:p>
        </w:tc>
        <w:tc>
          <w:tcPr>
            <w:tcW w:w="2414" w:type="dxa"/>
            <w:tcBorders>
              <w:top w:val="nil" w:sz="6" w:space="0" w:color="auto"/>
              <w:left w:val="nil" w:sz="6" w:space="0" w:color="auto"/>
              <w:bottom w:val="nil" w:sz="6" w:space="0" w:color="auto"/>
              <w:right w:val="nil" w:sz="6" w:space="0" w:color="auto"/>
            </w:tcBorders>
          </w:tcPr>
          <w:p>
            <w:pPr>
              <w:pStyle w:val="TableParagraph"/>
              <w:tabs>
                <w:tab w:pos="748" w:val="left" w:leader="none"/>
                <w:tab w:pos="2414"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(1,263,037,586)</w:t>
              <w:tab/>
            </w:r>
            <w:r>
              <w:rPr>
                <w:rFonts w:ascii="Arial"/>
                <w:spacing w:val="-1"/>
                <w:sz w:val="22"/>
              </w:rPr>
            </w:r>
          </w:p>
        </w:tc>
      </w:tr>
      <w:tr>
        <w:trPr>
          <w:trHeight w:val="424" w:hRule="exact"/>
        </w:trPr>
        <w:tc>
          <w:tcPr>
            <w:tcW w:w="255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1697"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103"/>
              <w:jc w:val="right"/>
              <w:rPr>
                <w:rFonts w:ascii="Arial" w:hAnsi="Arial" w:cs="Arial" w:eastAsia="Arial" w:hint="default"/>
                <w:sz w:val="22"/>
                <w:szCs w:val="22"/>
              </w:rPr>
            </w:pPr>
            <w:r>
              <w:rPr>
                <w:rFonts w:ascii="Arial"/>
                <w:sz w:val="22"/>
              </w:rPr>
              <w:t>17,220,221,601</w:t>
            </w:r>
          </w:p>
        </w:tc>
        <w:tc>
          <w:tcPr>
            <w:tcW w:w="144" w:type="dxa"/>
            <w:tcBorders>
              <w:top w:val="nil" w:sz="6" w:space="0" w:color="auto"/>
              <w:left w:val="nil" w:sz="6" w:space="0" w:color="auto"/>
              <w:bottom w:val="nil" w:sz="6" w:space="0" w:color="auto"/>
              <w:right w:val="nil" w:sz="6" w:space="0" w:color="auto"/>
            </w:tcBorders>
          </w:tcPr>
          <w:p>
            <w:pPr/>
          </w:p>
        </w:tc>
        <w:tc>
          <w:tcPr>
            <w:tcW w:w="2414"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105"/>
              <w:jc w:val="right"/>
              <w:rPr>
                <w:rFonts w:ascii="Arial" w:hAnsi="Arial" w:cs="Arial" w:eastAsia="Arial" w:hint="default"/>
                <w:sz w:val="22"/>
                <w:szCs w:val="22"/>
              </w:rPr>
            </w:pPr>
            <w:r>
              <w:rPr>
                <w:rFonts w:ascii="Arial"/>
                <w:spacing w:val="-1"/>
                <w:sz w:val="22"/>
              </w:rPr>
              <w:t>(3,504,641,551)</w:t>
            </w:r>
            <w:r>
              <w:rPr>
                <w:rFonts w:ascii="Arial"/>
                <w:sz w:val="22"/>
              </w:rPr>
            </w:r>
          </w:p>
        </w:tc>
      </w:tr>
    </w:tbl>
    <w:p>
      <w:pPr>
        <w:spacing w:after="0" w:line="240" w:lineRule="auto"/>
        <w:jc w:val="right"/>
        <w:rPr>
          <w:rFonts w:ascii="Arial" w:hAnsi="Arial" w:cs="Arial" w:eastAsia="Arial" w:hint="default"/>
          <w:sz w:val="22"/>
          <w:szCs w:val="22"/>
        </w:rPr>
        <w:sectPr>
          <w:footerReference w:type="default" r:id="rId146"/>
          <w:pgSz w:w="11910" w:h="16840"/>
          <w:pgMar w:footer="502" w:header="0" w:top="2700" w:bottom="700" w:left="880" w:right="1320"/>
          <w:pgNumType w:start="126"/>
        </w:sectPr>
      </w:pPr>
    </w:p>
    <w:p>
      <w:pPr>
        <w:spacing w:line="240" w:lineRule="auto" w:before="10"/>
        <w:rPr>
          <w:rFonts w:ascii="宋体" w:hAnsi="宋体" w:cs="宋体" w:eastAsia="宋体" w:hint="default"/>
          <w:sz w:val="15"/>
          <w:szCs w:val="15"/>
        </w:rPr>
      </w:pPr>
    </w:p>
    <w:p>
      <w:pPr>
        <w:pStyle w:val="BodyText"/>
        <w:spacing w:line="240" w:lineRule="auto" w:before="32"/>
        <w:ind w:left="108" w:right="0"/>
        <w:jc w:val="left"/>
      </w:pPr>
      <w:r>
        <w:rPr>
          <w:rFonts w:ascii="Arial" w:hAnsi="Arial" w:cs="Arial" w:eastAsia="Arial" w:hint="default"/>
        </w:rPr>
        <w:t>(3) </w:t>
      </w:r>
      <w:r>
        <w:rPr>
          <w:rFonts w:ascii="Arial" w:hAnsi="Arial" w:cs="Arial" w:eastAsia="Arial" w:hint="default"/>
          <w:spacing w:val="42"/>
        </w:rPr>
        <w:t> </w:t>
      </w:r>
      <w:r>
        <w:rPr/>
        <w:t>应收账款预期信用损失的评估（续）</w:t>
      </w:r>
    </w:p>
    <w:p>
      <w:pPr>
        <w:spacing w:line="240" w:lineRule="auto" w:before="3"/>
        <w:rPr>
          <w:rFonts w:ascii="宋体" w:hAnsi="宋体" w:cs="宋体" w:eastAsia="宋体" w:hint="default"/>
          <w:sz w:val="18"/>
          <w:szCs w:val="18"/>
        </w:rPr>
      </w:pPr>
    </w:p>
    <w:p>
      <w:pPr>
        <w:pStyle w:val="BodyText"/>
        <w:spacing w:line="240" w:lineRule="auto"/>
        <w:ind w:left="540" w:right="0"/>
        <w:jc w:val="left"/>
      </w:pPr>
      <w:r>
        <w:rPr>
          <w:rFonts w:ascii="Arial" w:hAnsi="Arial" w:cs="Arial" w:eastAsia="Arial" w:hint="default"/>
        </w:rPr>
        <w:t>2018</w:t>
      </w:r>
      <w:r>
        <w:rPr>
          <w:rFonts w:ascii="Arial" w:hAnsi="Arial" w:cs="Arial" w:eastAsia="Arial" w:hint="default"/>
          <w:spacing w:val="-4"/>
        </w:rPr>
        <w:t> </w:t>
      </w:r>
      <w:r>
        <w:rPr/>
        <w:t>年</w:t>
      </w:r>
    </w:p>
    <w:p>
      <w:pPr>
        <w:pStyle w:val="BodyText"/>
        <w:tabs>
          <w:tab w:pos="559" w:val="left" w:leader="none"/>
        </w:tabs>
        <w:spacing w:line="240" w:lineRule="auto" w:before="186"/>
        <w:ind w:left="152" w:right="0"/>
        <w:jc w:val="left"/>
      </w:pPr>
      <w:r>
        <w:rPr>
          <w:rFonts w:ascii="Arial" w:hAnsi="Arial" w:cs="Arial" w:eastAsia="Arial" w:hint="default"/>
          <w:spacing w:val="-1"/>
        </w:rPr>
        <w:t>(i)</w:t>
        <w:tab/>
      </w:r>
      <w:r>
        <w:rPr>
          <w:spacing w:val="-1"/>
        </w:rPr>
        <w:t>公众和一般商务用户</w:t>
      </w:r>
    </w:p>
    <w:p>
      <w:pPr>
        <w:spacing w:line="240" w:lineRule="auto" w:before="12"/>
        <w:rPr>
          <w:rFonts w:ascii="宋体" w:hAnsi="宋体" w:cs="宋体" w:eastAsia="宋体" w:hint="default"/>
          <w:sz w:val="3"/>
          <w:szCs w:val="3"/>
        </w:rPr>
      </w:pPr>
    </w:p>
    <w:tbl>
      <w:tblPr>
        <w:tblW w:w="0" w:type="auto"/>
        <w:jc w:val="left"/>
        <w:tblInd w:w="374" w:type="dxa"/>
        <w:tblLayout w:type="fixed"/>
        <w:tblCellMar>
          <w:top w:w="0" w:type="dxa"/>
          <w:left w:w="0" w:type="dxa"/>
          <w:bottom w:w="0" w:type="dxa"/>
          <w:right w:w="0" w:type="dxa"/>
        </w:tblCellMar>
        <w:tblLook w:val="01E0"/>
      </w:tblPr>
      <w:tblGrid>
        <w:gridCol w:w="2622"/>
        <w:gridCol w:w="1514"/>
        <w:gridCol w:w="2390"/>
        <w:gridCol w:w="146"/>
        <w:gridCol w:w="2426"/>
      </w:tblGrid>
      <w:tr>
        <w:trPr>
          <w:trHeight w:val="257" w:hRule="exact"/>
        </w:trPr>
        <w:tc>
          <w:tcPr>
            <w:tcW w:w="2622"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Style w:val="TableParagraph"/>
              <w:spacing w:line="221" w:lineRule="exact"/>
              <w:ind w:right="242"/>
              <w:jc w:val="right"/>
              <w:rPr>
                <w:rFonts w:ascii="宋体" w:hAnsi="宋体" w:cs="宋体" w:eastAsia="宋体" w:hint="default"/>
                <w:sz w:val="22"/>
                <w:szCs w:val="22"/>
              </w:rPr>
            </w:pPr>
            <w:r>
              <w:rPr>
                <w:rFonts w:ascii="宋体" w:hAnsi="宋体" w:cs="宋体" w:eastAsia="宋体" w:hint="default"/>
                <w:sz w:val="22"/>
                <w:szCs w:val="22"/>
              </w:rPr>
              <w:t>违约损失率</w:t>
            </w:r>
          </w:p>
        </w:tc>
        <w:tc>
          <w:tcPr>
            <w:tcW w:w="2390" w:type="dxa"/>
            <w:tcBorders>
              <w:top w:val="nil" w:sz="6" w:space="0" w:color="auto"/>
              <w:left w:val="nil" w:sz="6" w:space="0" w:color="auto"/>
              <w:bottom w:val="single" w:sz="4" w:space="0" w:color="000000"/>
              <w:right w:val="nil" w:sz="6" w:space="0" w:color="auto"/>
            </w:tcBorders>
          </w:tcPr>
          <w:p>
            <w:pPr>
              <w:pStyle w:val="TableParagraph"/>
              <w:spacing w:line="221" w:lineRule="exact"/>
              <w:ind w:right="98"/>
              <w:jc w:val="right"/>
              <w:rPr>
                <w:rFonts w:ascii="宋体" w:hAnsi="宋体" w:cs="宋体" w:eastAsia="宋体" w:hint="default"/>
                <w:sz w:val="22"/>
                <w:szCs w:val="22"/>
              </w:rPr>
            </w:pPr>
            <w:r>
              <w:rPr>
                <w:rFonts w:ascii="宋体" w:hAnsi="宋体" w:cs="宋体" w:eastAsia="宋体" w:hint="default"/>
                <w:sz w:val="22"/>
                <w:szCs w:val="22"/>
              </w:rPr>
              <w:t>年末账面余额</w:t>
            </w:r>
          </w:p>
        </w:tc>
        <w:tc>
          <w:tcPr>
            <w:tcW w:w="146" w:type="dxa"/>
            <w:tcBorders>
              <w:top w:val="nil" w:sz="6" w:space="0" w:color="auto"/>
              <w:left w:val="nil" w:sz="6" w:space="0" w:color="auto"/>
              <w:bottom w:val="nil" w:sz="6" w:space="0" w:color="auto"/>
              <w:right w:val="nil" w:sz="6" w:space="0" w:color="auto"/>
            </w:tcBorders>
          </w:tcPr>
          <w:p>
            <w:pPr/>
          </w:p>
        </w:tc>
        <w:tc>
          <w:tcPr>
            <w:tcW w:w="2426" w:type="dxa"/>
            <w:tcBorders>
              <w:top w:val="nil" w:sz="6" w:space="0" w:color="auto"/>
              <w:left w:val="nil" w:sz="6" w:space="0" w:color="auto"/>
              <w:bottom w:val="single" w:sz="4" w:space="0" w:color="000000"/>
              <w:right w:val="nil" w:sz="6" w:space="0" w:color="auto"/>
            </w:tcBorders>
          </w:tcPr>
          <w:p>
            <w:pPr>
              <w:pStyle w:val="TableParagraph"/>
              <w:spacing w:line="221" w:lineRule="exact"/>
              <w:ind w:right="98"/>
              <w:jc w:val="right"/>
              <w:rPr>
                <w:rFonts w:ascii="宋体" w:hAnsi="宋体" w:cs="宋体" w:eastAsia="宋体" w:hint="default"/>
                <w:sz w:val="22"/>
                <w:szCs w:val="22"/>
              </w:rPr>
            </w:pPr>
            <w:r>
              <w:rPr>
                <w:rFonts w:ascii="宋体" w:hAnsi="宋体" w:cs="宋体" w:eastAsia="宋体" w:hint="default"/>
                <w:sz w:val="22"/>
                <w:szCs w:val="22"/>
              </w:rPr>
              <w:t>年末减值准备</w:t>
            </w:r>
          </w:p>
        </w:tc>
      </w:tr>
      <w:tr>
        <w:trPr>
          <w:trHeight w:val="555" w:hRule="exact"/>
        </w:trPr>
        <w:tc>
          <w:tcPr>
            <w:tcW w:w="262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未逾期</w:t>
            </w:r>
          </w:p>
        </w:tc>
        <w:tc>
          <w:tcPr>
            <w:tcW w:w="151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1"/>
              <w:jc w:val="right"/>
              <w:rPr>
                <w:rFonts w:ascii="Arial" w:hAnsi="Arial" w:cs="Arial" w:eastAsia="Arial" w:hint="default"/>
                <w:sz w:val="22"/>
                <w:szCs w:val="22"/>
              </w:rPr>
            </w:pPr>
            <w:r>
              <w:rPr>
                <w:rFonts w:ascii="Arial"/>
                <w:sz w:val="22"/>
              </w:rPr>
              <w:t>7%</w:t>
            </w:r>
          </w:p>
        </w:tc>
        <w:tc>
          <w:tcPr>
            <w:tcW w:w="2390"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5"/>
              <w:jc w:val="right"/>
              <w:rPr>
                <w:rFonts w:ascii="Arial" w:hAnsi="Arial" w:cs="Arial" w:eastAsia="Arial" w:hint="default"/>
                <w:sz w:val="22"/>
                <w:szCs w:val="22"/>
              </w:rPr>
            </w:pPr>
            <w:r>
              <w:rPr>
                <w:rFonts w:ascii="Arial"/>
                <w:spacing w:val="-1"/>
                <w:sz w:val="22"/>
              </w:rPr>
              <w:t>3,202,357,201</w:t>
            </w:r>
          </w:p>
        </w:tc>
        <w:tc>
          <w:tcPr>
            <w:tcW w:w="146" w:type="dxa"/>
            <w:tcBorders>
              <w:top w:val="nil" w:sz="6" w:space="0" w:color="auto"/>
              <w:left w:val="nil" w:sz="6" w:space="0" w:color="auto"/>
              <w:bottom w:val="nil" w:sz="6" w:space="0" w:color="auto"/>
              <w:right w:val="nil" w:sz="6" w:space="0" w:color="auto"/>
            </w:tcBorders>
          </w:tcPr>
          <w:p>
            <w:pPr/>
          </w:p>
        </w:tc>
        <w:tc>
          <w:tcPr>
            <w:tcW w:w="2426"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95"/>
              <w:jc w:val="right"/>
              <w:rPr>
                <w:rFonts w:ascii="Arial" w:hAnsi="Arial" w:cs="Arial" w:eastAsia="Arial" w:hint="default"/>
                <w:sz w:val="22"/>
                <w:szCs w:val="22"/>
              </w:rPr>
            </w:pPr>
            <w:r>
              <w:rPr>
                <w:rFonts w:ascii="Arial"/>
                <w:sz w:val="22"/>
              </w:rPr>
              <w:t>(212,198,899)</w:t>
            </w:r>
          </w:p>
        </w:tc>
      </w:tr>
      <w:tr>
        <w:trPr>
          <w:trHeight w:val="288" w:hRule="exact"/>
        </w:trPr>
        <w:tc>
          <w:tcPr>
            <w:tcW w:w="2622"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宋体" w:hAnsi="宋体" w:cs="宋体" w:eastAsia="宋体" w:hint="default"/>
                <w:sz w:val="22"/>
                <w:szCs w:val="22"/>
              </w:rPr>
              <w:t>逾期</w:t>
            </w:r>
            <w:r>
              <w:rPr>
                <w:rFonts w:ascii="宋体" w:hAnsi="宋体" w:cs="宋体" w:eastAsia="宋体" w:hint="default"/>
                <w:spacing w:val="-57"/>
                <w:sz w:val="22"/>
                <w:szCs w:val="22"/>
              </w:rPr>
              <w:t> </w:t>
            </w:r>
            <w:r>
              <w:rPr>
                <w:rFonts w:ascii="Arial" w:hAnsi="Arial" w:cs="Arial" w:eastAsia="Arial" w:hint="default"/>
                <w:sz w:val="22"/>
                <w:szCs w:val="22"/>
              </w:rPr>
              <w:t>1</w:t>
            </w:r>
            <w:r>
              <w:rPr>
                <w:rFonts w:ascii="Arial" w:hAnsi="Arial" w:cs="Arial" w:eastAsia="Arial" w:hint="default"/>
                <w:spacing w:val="-6"/>
                <w:sz w:val="22"/>
                <w:szCs w:val="22"/>
              </w:rPr>
              <w:t> </w:t>
            </w:r>
            <w:r>
              <w:rPr>
                <w:rFonts w:ascii="宋体" w:hAnsi="宋体" w:cs="宋体" w:eastAsia="宋体" w:hint="default"/>
                <w:sz w:val="22"/>
                <w:szCs w:val="22"/>
              </w:rPr>
              <w:t>至</w:t>
            </w:r>
            <w:r>
              <w:rPr>
                <w:rFonts w:ascii="宋体" w:hAnsi="宋体" w:cs="宋体" w:eastAsia="宋体" w:hint="default"/>
                <w:spacing w:val="-57"/>
                <w:sz w:val="22"/>
                <w:szCs w:val="22"/>
              </w:rPr>
              <w:t> </w:t>
            </w:r>
            <w:r>
              <w:rPr>
                <w:rFonts w:ascii="Arial" w:hAnsi="Arial" w:cs="Arial" w:eastAsia="Arial" w:hint="default"/>
                <w:sz w:val="22"/>
                <w:szCs w:val="22"/>
              </w:rPr>
              <w:t>90</w:t>
            </w:r>
            <w:r>
              <w:rPr>
                <w:rFonts w:ascii="Arial" w:hAnsi="Arial" w:cs="Arial" w:eastAsia="Arial" w:hint="default"/>
                <w:spacing w:val="-6"/>
                <w:sz w:val="22"/>
                <w:szCs w:val="22"/>
              </w:rPr>
              <w:t> </w:t>
            </w:r>
            <w:r>
              <w:rPr>
                <w:rFonts w:ascii="宋体" w:hAnsi="宋体" w:cs="宋体" w:eastAsia="宋体" w:hint="default"/>
                <w:sz w:val="22"/>
                <w:szCs w:val="22"/>
              </w:rPr>
              <w:t>日</w:t>
            </w:r>
          </w:p>
        </w:tc>
        <w:tc>
          <w:tcPr>
            <w:tcW w:w="151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41"/>
              <w:jc w:val="right"/>
              <w:rPr>
                <w:rFonts w:ascii="Arial" w:hAnsi="Arial" w:cs="Arial" w:eastAsia="Arial" w:hint="default"/>
                <w:sz w:val="22"/>
                <w:szCs w:val="22"/>
              </w:rPr>
            </w:pPr>
            <w:r>
              <w:rPr>
                <w:rFonts w:ascii="Arial"/>
                <w:spacing w:val="2"/>
                <w:sz w:val="22"/>
              </w:rPr>
              <w:t>50%</w:t>
            </w:r>
            <w:r>
              <w:rPr>
                <w:rFonts w:ascii="Arial"/>
                <w:sz w:val="22"/>
              </w:rPr>
            </w:r>
          </w:p>
        </w:tc>
        <w:tc>
          <w:tcPr>
            <w:tcW w:w="239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1"/>
              <w:jc w:val="right"/>
              <w:rPr>
                <w:rFonts w:ascii="Arial" w:hAnsi="Arial" w:cs="Arial" w:eastAsia="Arial" w:hint="default"/>
                <w:sz w:val="22"/>
                <w:szCs w:val="22"/>
              </w:rPr>
            </w:pPr>
            <w:r>
              <w:rPr>
                <w:rFonts w:ascii="Arial"/>
                <w:spacing w:val="-1"/>
                <w:sz w:val="22"/>
              </w:rPr>
              <w:t>1,395,232,710</w:t>
            </w:r>
          </w:p>
        </w:tc>
        <w:tc>
          <w:tcPr>
            <w:tcW w:w="146" w:type="dxa"/>
            <w:tcBorders>
              <w:top w:val="nil" w:sz="6" w:space="0" w:color="auto"/>
              <w:left w:val="nil" w:sz="6" w:space="0" w:color="auto"/>
              <w:bottom w:val="nil" w:sz="6" w:space="0" w:color="auto"/>
              <w:right w:val="nil" w:sz="6" w:space="0" w:color="auto"/>
            </w:tcBorders>
          </w:tcPr>
          <w:p>
            <w:pPr/>
          </w:p>
        </w:tc>
        <w:tc>
          <w:tcPr>
            <w:tcW w:w="242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95"/>
              <w:jc w:val="right"/>
              <w:rPr>
                <w:rFonts w:ascii="Arial" w:hAnsi="Arial" w:cs="Arial" w:eastAsia="Arial" w:hint="default"/>
                <w:sz w:val="22"/>
                <w:szCs w:val="22"/>
              </w:rPr>
            </w:pPr>
            <w:r>
              <w:rPr>
                <w:rFonts w:ascii="Arial"/>
                <w:sz w:val="22"/>
              </w:rPr>
              <w:t>(701,753,124)</w:t>
            </w:r>
          </w:p>
        </w:tc>
      </w:tr>
      <w:tr>
        <w:trPr>
          <w:trHeight w:val="283" w:hRule="exact"/>
        </w:trPr>
        <w:tc>
          <w:tcPr>
            <w:tcW w:w="2622"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宋体" w:hAnsi="宋体" w:cs="宋体" w:eastAsia="宋体" w:hint="default"/>
                <w:sz w:val="22"/>
                <w:szCs w:val="22"/>
              </w:rPr>
              <w:t>逾期</w:t>
            </w:r>
            <w:r>
              <w:rPr>
                <w:rFonts w:ascii="宋体" w:hAnsi="宋体" w:cs="宋体" w:eastAsia="宋体" w:hint="default"/>
                <w:spacing w:val="-56"/>
                <w:sz w:val="22"/>
                <w:szCs w:val="22"/>
              </w:rPr>
              <w:t> </w:t>
            </w:r>
            <w:r>
              <w:rPr>
                <w:rFonts w:ascii="Arial" w:hAnsi="Arial" w:cs="Arial" w:eastAsia="Arial" w:hint="default"/>
                <w:sz w:val="22"/>
                <w:szCs w:val="22"/>
              </w:rPr>
              <w:t>91</w:t>
            </w:r>
            <w:r>
              <w:rPr>
                <w:rFonts w:ascii="Arial" w:hAnsi="Arial" w:cs="Arial" w:eastAsia="Arial" w:hint="default"/>
                <w:spacing w:val="-5"/>
                <w:sz w:val="22"/>
                <w:szCs w:val="22"/>
              </w:rPr>
              <w:t> </w:t>
            </w:r>
            <w:r>
              <w:rPr>
                <w:rFonts w:ascii="宋体" w:hAnsi="宋体" w:cs="宋体" w:eastAsia="宋体" w:hint="default"/>
                <w:sz w:val="22"/>
                <w:szCs w:val="22"/>
              </w:rPr>
              <w:t>至</w:t>
            </w:r>
            <w:r>
              <w:rPr>
                <w:rFonts w:ascii="宋体" w:hAnsi="宋体" w:cs="宋体" w:eastAsia="宋体" w:hint="default"/>
                <w:spacing w:val="-56"/>
                <w:sz w:val="22"/>
                <w:szCs w:val="22"/>
              </w:rPr>
              <w:t> </w:t>
            </w:r>
            <w:r>
              <w:rPr>
                <w:rFonts w:ascii="Arial" w:hAnsi="Arial" w:cs="Arial" w:eastAsia="Arial" w:hint="default"/>
                <w:sz w:val="22"/>
                <w:szCs w:val="22"/>
              </w:rPr>
              <w:t>180</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151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41"/>
              <w:jc w:val="right"/>
              <w:rPr>
                <w:rFonts w:ascii="Arial" w:hAnsi="Arial" w:cs="Arial" w:eastAsia="Arial" w:hint="default"/>
                <w:sz w:val="22"/>
                <w:szCs w:val="22"/>
              </w:rPr>
            </w:pPr>
            <w:r>
              <w:rPr>
                <w:rFonts w:ascii="Arial"/>
                <w:spacing w:val="2"/>
                <w:sz w:val="22"/>
              </w:rPr>
              <w:t>90%</w:t>
            </w:r>
            <w:r>
              <w:rPr>
                <w:rFonts w:ascii="Arial"/>
                <w:sz w:val="22"/>
              </w:rPr>
            </w:r>
          </w:p>
        </w:tc>
        <w:tc>
          <w:tcPr>
            <w:tcW w:w="239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1"/>
              <w:jc w:val="right"/>
              <w:rPr>
                <w:rFonts w:ascii="Arial" w:hAnsi="Arial" w:cs="Arial" w:eastAsia="Arial" w:hint="default"/>
                <w:sz w:val="22"/>
                <w:szCs w:val="22"/>
              </w:rPr>
            </w:pPr>
            <w:r>
              <w:rPr>
                <w:rFonts w:ascii="Arial"/>
                <w:spacing w:val="-1"/>
                <w:sz w:val="22"/>
              </w:rPr>
              <w:t>862,367,651</w:t>
            </w:r>
          </w:p>
        </w:tc>
        <w:tc>
          <w:tcPr>
            <w:tcW w:w="146" w:type="dxa"/>
            <w:tcBorders>
              <w:top w:val="nil" w:sz="6" w:space="0" w:color="auto"/>
              <w:left w:val="nil" w:sz="6" w:space="0" w:color="auto"/>
              <w:bottom w:val="nil" w:sz="6" w:space="0" w:color="auto"/>
              <w:right w:val="nil" w:sz="6" w:space="0" w:color="auto"/>
            </w:tcBorders>
          </w:tcPr>
          <w:p>
            <w:pPr/>
          </w:p>
        </w:tc>
        <w:tc>
          <w:tcPr>
            <w:tcW w:w="242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95"/>
              <w:jc w:val="right"/>
              <w:rPr>
                <w:rFonts w:ascii="Arial" w:hAnsi="Arial" w:cs="Arial" w:eastAsia="Arial" w:hint="default"/>
                <w:sz w:val="22"/>
                <w:szCs w:val="22"/>
              </w:rPr>
            </w:pPr>
            <w:r>
              <w:rPr>
                <w:rFonts w:ascii="Arial"/>
                <w:sz w:val="22"/>
              </w:rPr>
              <w:t>(776,051,612)</w:t>
            </w:r>
          </w:p>
        </w:tc>
      </w:tr>
      <w:tr>
        <w:trPr>
          <w:trHeight w:val="418" w:hRule="exact"/>
        </w:trPr>
        <w:tc>
          <w:tcPr>
            <w:tcW w:w="2622"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宋体" w:hAnsi="宋体" w:cs="宋体" w:eastAsia="宋体" w:hint="default"/>
                <w:sz w:val="22"/>
                <w:szCs w:val="22"/>
              </w:rPr>
              <w:t>逾期超过</w:t>
            </w:r>
            <w:r>
              <w:rPr>
                <w:rFonts w:ascii="宋体" w:hAnsi="宋体" w:cs="宋体" w:eastAsia="宋体" w:hint="default"/>
                <w:spacing w:val="-54"/>
                <w:sz w:val="22"/>
                <w:szCs w:val="22"/>
              </w:rPr>
              <w:t> </w:t>
            </w:r>
            <w:r>
              <w:rPr>
                <w:rFonts w:ascii="Arial" w:hAnsi="Arial" w:cs="Arial" w:eastAsia="Arial" w:hint="default"/>
                <w:sz w:val="22"/>
                <w:szCs w:val="22"/>
              </w:rPr>
              <w:t>180</w:t>
            </w:r>
            <w:r>
              <w:rPr>
                <w:rFonts w:ascii="Arial" w:hAnsi="Arial" w:cs="Arial" w:eastAsia="Arial" w:hint="default"/>
                <w:spacing w:val="-3"/>
                <w:sz w:val="22"/>
                <w:szCs w:val="22"/>
              </w:rPr>
              <w:t> </w:t>
            </w:r>
            <w:r>
              <w:rPr>
                <w:rFonts w:ascii="宋体" w:hAnsi="宋体" w:cs="宋体" w:eastAsia="宋体" w:hint="default"/>
                <w:sz w:val="22"/>
                <w:szCs w:val="22"/>
              </w:rPr>
              <w:t>日</w:t>
            </w:r>
          </w:p>
        </w:tc>
        <w:tc>
          <w:tcPr>
            <w:tcW w:w="151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41"/>
              <w:jc w:val="right"/>
              <w:rPr>
                <w:rFonts w:ascii="Arial" w:hAnsi="Arial" w:cs="Arial" w:eastAsia="Arial" w:hint="default"/>
                <w:sz w:val="22"/>
                <w:szCs w:val="22"/>
              </w:rPr>
            </w:pPr>
            <w:r>
              <w:rPr>
                <w:rFonts w:ascii="Arial"/>
                <w:sz w:val="22"/>
              </w:rPr>
              <w:t>100%</w:t>
            </w:r>
          </w:p>
        </w:tc>
        <w:tc>
          <w:tcPr>
            <w:tcW w:w="2390" w:type="dxa"/>
            <w:tcBorders>
              <w:top w:val="nil" w:sz="6" w:space="0" w:color="auto"/>
              <w:left w:val="nil" w:sz="6" w:space="0" w:color="auto"/>
              <w:bottom w:val="nil" w:sz="6" w:space="0" w:color="auto"/>
              <w:right w:val="nil" w:sz="6" w:space="0" w:color="auto"/>
            </w:tcBorders>
          </w:tcPr>
          <w:p>
            <w:pPr>
              <w:pStyle w:val="TableParagraph"/>
              <w:tabs>
                <w:tab w:pos="878" w:val="left" w:leader="none"/>
                <w:tab w:pos="2390"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2,187,738,727</w:t>
              <w:tab/>
            </w:r>
            <w:r>
              <w:rPr>
                <w:rFonts w:ascii="Arial"/>
                <w:spacing w:val="-1"/>
                <w:sz w:val="22"/>
              </w:rPr>
            </w:r>
          </w:p>
        </w:tc>
        <w:tc>
          <w:tcPr>
            <w:tcW w:w="146" w:type="dxa"/>
            <w:tcBorders>
              <w:top w:val="nil" w:sz="6" w:space="0" w:color="auto"/>
              <w:left w:val="nil" w:sz="6" w:space="0" w:color="auto"/>
              <w:bottom w:val="nil" w:sz="6" w:space="0" w:color="auto"/>
              <w:right w:val="nil" w:sz="6" w:space="0" w:color="auto"/>
            </w:tcBorders>
          </w:tcPr>
          <w:p>
            <w:pPr/>
          </w:p>
        </w:tc>
        <w:tc>
          <w:tcPr>
            <w:tcW w:w="2426" w:type="dxa"/>
            <w:tcBorders>
              <w:top w:val="nil" w:sz="6" w:space="0" w:color="auto"/>
              <w:left w:val="nil" w:sz="6" w:space="0" w:color="auto"/>
              <w:bottom w:val="nil" w:sz="6" w:space="0" w:color="auto"/>
              <w:right w:val="nil" w:sz="6" w:space="0" w:color="auto"/>
            </w:tcBorders>
          </w:tcPr>
          <w:p>
            <w:pPr>
              <w:pStyle w:val="TableParagraph"/>
              <w:tabs>
                <w:tab w:pos="758" w:val="left" w:leader="none"/>
                <w:tab w:pos="2419"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(2,187,738,727)</w:t>
              <w:tab/>
            </w:r>
            <w:r>
              <w:rPr>
                <w:rFonts w:ascii="Arial"/>
                <w:spacing w:val="-1"/>
                <w:sz w:val="22"/>
              </w:rPr>
            </w:r>
          </w:p>
        </w:tc>
      </w:tr>
      <w:tr>
        <w:trPr>
          <w:trHeight w:val="427" w:hRule="exact"/>
        </w:trPr>
        <w:tc>
          <w:tcPr>
            <w:tcW w:w="2622"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1514" w:type="dxa"/>
            <w:tcBorders>
              <w:top w:val="nil" w:sz="6" w:space="0" w:color="auto"/>
              <w:left w:val="nil" w:sz="6" w:space="0" w:color="auto"/>
              <w:bottom w:val="nil" w:sz="6" w:space="0" w:color="auto"/>
              <w:right w:val="nil" w:sz="6" w:space="0" w:color="auto"/>
            </w:tcBorders>
          </w:tcPr>
          <w:p>
            <w:pPr/>
          </w:p>
        </w:tc>
        <w:tc>
          <w:tcPr>
            <w:tcW w:w="2390"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right="101"/>
              <w:jc w:val="right"/>
              <w:rPr>
                <w:rFonts w:ascii="Arial" w:hAnsi="Arial" w:cs="Arial" w:eastAsia="Arial" w:hint="default"/>
                <w:sz w:val="22"/>
                <w:szCs w:val="22"/>
              </w:rPr>
            </w:pPr>
            <w:r>
              <w:rPr>
                <w:rFonts w:ascii="Arial"/>
                <w:spacing w:val="-1"/>
                <w:sz w:val="22"/>
              </w:rPr>
              <w:t>7,647,696,289</w:t>
            </w:r>
          </w:p>
        </w:tc>
        <w:tc>
          <w:tcPr>
            <w:tcW w:w="146" w:type="dxa"/>
            <w:tcBorders>
              <w:top w:val="nil" w:sz="6" w:space="0" w:color="auto"/>
              <w:left w:val="nil" w:sz="6" w:space="0" w:color="auto"/>
              <w:bottom w:val="nil" w:sz="6" w:space="0" w:color="auto"/>
              <w:right w:val="nil" w:sz="6" w:space="0" w:color="auto"/>
            </w:tcBorders>
          </w:tcPr>
          <w:p>
            <w:pPr/>
          </w:p>
        </w:tc>
        <w:tc>
          <w:tcPr>
            <w:tcW w:w="2426"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right="100"/>
              <w:jc w:val="right"/>
              <w:rPr>
                <w:rFonts w:ascii="Arial" w:hAnsi="Arial" w:cs="Arial" w:eastAsia="Arial" w:hint="default"/>
                <w:sz w:val="22"/>
                <w:szCs w:val="22"/>
              </w:rPr>
            </w:pPr>
            <w:r>
              <w:rPr>
                <w:rFonts w:ascii="Arial"/>
                <w:spacing w:val="-1"/>
                <w:sz w:val="22"/>
              </w:rPr>
              <w:t>(3,877,742,362)</w:t>
            </w:r>
            <w:r>
              <w:rPr>
                <w:rFonts w:ascii="Arial"/>
                <w:sz w:val="22"/>
              </w:rPr>
            </w:r>
          </w:p>
        </w:tc>
      </w:tr>
    </w:tbl>
    <w:p>
      <w:pPr>
        <w:spacing w:line="240" w:lineRule="auto" w:before="2"/>
        <w:rPr>
          <w:rFonts w:ascii="宋体" w:hAnsi="宋体" w:cs="宋体" w:eastAsia="宋体" w:hint="default"/>
          <w:sz w:val="14"/>
          <w:szCs w:val="14"/>
        </w:rPr>
      </w:pPr>
    </w:p>
    <w:p>
      <w:pPr>
        <w:pStyle w:val="BodyText"/>
        <w:spacing w:line="240" w:lineRule="auto" w:before="32"/>
        <w:ind w:left="156" w:right="0"/>
        <w:jc w:val="left"/>
      </w:pPr>
      <w:r>
        <w:rPr>
          <w:rFonts w:ascii="Arial" w:hAnsi="Arial" w:cs="Arial" w:eastAsia="Arial" w:hint="default"/>
        </w:rPr>
        <w:t>(ii)  </w:t>
      </w:r>
      <w:r>
        <w:rPr>
          <w:rFonts w:ascii="Arial" w:hAnsi="Arial" w:cs="Arial" w:eastAsia="Arial" w:hint="default"/>
          <w:spacing w:val="5"/>
        </w:rPr>
        <w:t> </w:t>
      </w:r>
      <w:r>
        <w:rPr/>
        <w:t>政企大客户</w:t>
      </w:r>
    </w:p>
    <w:p>
      <w:pPr>
        <w:spacing w:line="240" w:lineRule="auto" w:before="8"/>
        <w:rPr>
          <w:rFonts w:ascii="宋体" w:hAnsi="宋体" w:cs="宋体" w:eastAsia="宋体" w:hint="default"/>
          <w:sz w:val="3"/>
          <w:szCs w:val="3"/>
        </w:rPr>
      </w:pPr>
    </w:p>
    <w:tbl>
      <w:tblPr>
        <w:tblW w:w="0" w:type="auto"/>
        <w:jc w:val="left"/>
        <w:tblInd w:w="350" w:type="dxa"/>
        <w:tblLayout w:type="fixed"/>
        <w:tblCellMar>
          <w:top w:w="0" w:type="dxa"/>
          <w:left w:w="0" w:type="dxa"/>
          <w:bottom w:w="0" w:type="dxa"/>
          <w:right w:w="0" w:type="dxa"/>
        </w:tblCellMar>
        <w:tblLook w:val="01E0"/>
      </w:tblPr>
      <w:tblGrid>
        <w:gridCol w:w="2506"/>
        <w:gridCol w:w="1654"/>
        <w:gridCol w:w="2410"/>
        <w:gridCol w:w="132"/>
        <w:gridCol w:w="2422"/>
      </w:tblGrid>
      <w:tr>
        <w:trPr>
          <w:trHeight w:val="262" w:hRule="exact"/>
        </w:trPr>
        <w:tc>
          <w:tcPr>
            <w:tcW w:w="2506" w:type="dxa"/>
            <w:tcBorders>
              <w:top w:val="nil" w:sz="6" w:space="0" w:color="auto"/>
              <w:left w:val="nil" w:sz="6" w:space="0" w:color="auto"/>
              <w:bottom w:val="nil" w:sz="6" w:space="0" w:color="auto"/>
              <w:right w:val="nil" w:sz="6" w:space="0" w:color="auto"/>
            </w:tcBorders>
          </w:tcPr>
          <w:p>
            <w:pPr/>
          </w:p>
        </w:tc>
        <w:tc>
          <w:tcPr>
            <w:tcW w:w="1654" w:type="dxa"/>
            <w:tcBorders>
              <w:top w:val="nil" w:sz="6" w:space="0" w:color="auto"/>
              <w:left w:val="nil" w:sz="6" w:space="0" w:color="auto"/>
              <w:bottom w:val="nil" w:sz="6" w:space="0" w:color="auto"/>
              <w:right w:val="nil" w:sz="6" w:space="0" w:color="auto"/>
            </w:tcBorders>
          </w:tcPr>
          <w:p>
            <w:pPr>
              <w:pStyle w:val="TableParagraph"/>
              <w:spacing w:line="221" w:lineRule="exact"/>
              <w:ind w:right="242"/>
              <w:jc w:val="right"/>
              <w:rPr>
                <w:rFonts w:ascii="宋体" w:hAnsi="宋体" w:cs="宋体" w:eastAsia="宋体" w:hint="default"/>
                <w:sz w:val="22"/>
                <w:szCs w:val="22"/>
              </w:rPr>
            </w:pPr>
            <w:r>
              <w:rPr>
                <w:rFonts w:ascii="宋体" w:hAnsi="宋体" w:cs="宋体" w:eastAsia="宋体" w:hint="default"/>
                <w:sz w:val="22"/>
                <w:szCs w:val="22"/>
              </w:rPr>
              <w:t>违约损失率</w:t>
            </w:r>
          </w:p>
        </w:tc>
        <w:tc>
          <w:tcPr>
            <w:tcW w:w="2410" w:type="dxa"/>
            <w:tcBorders>
              <w:top w:val="nil" w:sz="6" w:space="0" w:color="auto"/>
              <w:left w:val="nil" w:sz="6" w:space="0" w:color="auto"/>
              <w:bottom w:val="single" w:sz="4" w:space="0" w:color="000000"/>
              <w:right w:val="nil" w:sz="6" w:space="0" w:color="auto"/>
            </w:tcBorders>
          </w:tcPr>
          <w:p>
            <w:pPr>
              <w:pStyle w:val="TableParagraph"/>
              <w:spacing w:line="221" w:lineRule="exact"/>
              <w:ind w:right="103"/>
              <w:jc w:val="right"/>
              <w:rPr>
                <w:rFonts w:ascii="宋体" w:hAnsi="宋体" w:cs="宋体" w:eastAsia="宋体" w:hint="default"/>
                <w:sz w:val="22"/>
                <w:szCs w:val="22"/>
              </w:rPr>
            </w:pPr>
            <w:r>
              <w:rPr>
                <w:rFonts w:ascii="宋体" w:hAnsi="宋体" w:cs="宋体" w:eastAsia="宋体" w:hint="default"/>
                <w:sz w:val="22"/>
                <w:szCs w:val="22"/>
              </w:rPr>
              <w:t>年末账面余额</w:t>
            </w:r>
          </w:p>
        </w:tc>
        <w:tc>
          <w:tcPr>
            <w:tcW w:w="132" w:type="dxa"/>
            <w:tcBorders>
              <w:top w:val="nil" w:sz="6" w:space="0" w:color="auto"/>
              <w:left w:val="nil" w:sz="6" w:space="0" w:color="auto"/>
              <w:bottom w:val="nil" w:sz="6" w:space="0" w:color="auto"/>
              <w:right w:val="nil" w:sz="6" w:space="0" w:color="auto"/>
            </w:tcBorders>
          </w:tcPr>
          <w:p>
            <w:pPr/>
          </w:p>
        </w:tc>
        <w:tc>
          <w:tcPr>
            <w:tcW w:w="2422" w:type="dxa"/>
            <w:tcBorders>
              <w:top w:val="nil" w:sz="6" w:space="0" w:color="auto"/>
              <w:left w:val="nil" w:sz="6" w:space="0" w:color="auto"/>
              <w:bottom w:val="single" w:sz="4" w:space="0" w:color="000000"/>
              <w:right w:val="nil" w:sz="6" w:space="0" w:color="auto"/>
            </w:tcBorders>
          </w:tcPr>
          <w:p>
            <w:pPr>
              <w:pStyle w:val="TableParagraph"/>
              <w:spacing w:line="221" w:lineRule="exact"/>
              <w:ind w:right="103"/>
              <w:jc w:val="right"/>
              <w:rPr>
                <w:rFonts w:ascii="宋体" w:hAnsi="宋体" w:cs="宋体" w:eastAsia="宋体" w:hint="default"/>
                <w:sz w:val="22"/>
                <w:szCs w:val="22"/>
              </w:rPr>
            </w:pPr>
            <w:r>
              <w:rPr>
                <w:rFonts w:ascii="宋体" w:hAnsi="宋体" w:cs="宋体" w:eastAsia="宋体" w:hint="default"/>
                <w:sz w:val="22"/>
                <w:szCs w:val="22"/>
              </w:rPr>
              <w:t>年末减值准备</w:t>
            </w:r>
          </w:p>
        </w:tc>
      </w:tr>
      <w:tr>
        <w:trPr>
          <w:trHeight w:val="555" w:hRule="exact"/>
        </w:trPr>
        <w:tc>
          <w:tcPr>
            <w:tcW w:w="250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未逾期</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1"/>
              <w:jc w:val="right"/>
              <w:rPr>
                <w:rFonts w:ascii="Arial" w:hAnsi="Arial" w:cs="Arial" w:eastAsia="Arial" w:hint="default"/>
                <w:sz w:val="22"/>
                <w:szCs w:val="22"/>
              </w:rPr>
            </w:pPr>
            <w:r>
              <w:rPr>
                <w:rFonts w:ascii="Arial"/>
                <w:sz w:val="22"/>
              </w:rPr>
              <w:t>4%</w:t>
            </w:r>
          </w:p>
        </w:tc>
        <w:tc>
          <w:tcPr>
            <w:tcW w:w="2410"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10"/>
              <w:jc w:val="right"/>
              <w:rPr>
                <w:rFonts w:ascii="Arial" w:hAnsi="Arial" w:cs="Arial" w:eastAsia="Arial" w:hint="default"/>
                <w:sz w:val="22"/>
                <w:szCs w:val="22"/>
              </w:rPr>
            </w:pPr>
            <w:r>
              <w:rPr>
                <w:rFonts w:ascii="Arial"/>
                <w:spacing w:val="-1"/>
                <w:sz w:val="22"/>
              </w:rPr>
              <w:t>7,538,821,843</w:t>
            </w:r>
          </w:p>
        </w:tc>
        <w:tc>
          <w:tcPr>
            <w:tcW w:w="132" w:type="dxa"/>
            <w:tcBorders>
              <w:top w:val="nil" w:sz="6" w:space="0" w:color="auto"/>
              <w:left w:val="nil" w:sz="6" w:space="0" w:color="auto"/>
              <w:bottom w:val="nil" w:sz="6" w:space="0" w:color="auto"/>
              <w:right w:val="nil" w:sz="6" w:space="0" w:color="auto"/>
            </w:tcBorders>
          </w:tcPr>
          <w:p>
            <w:pPr/>
          </w:p>
        </w:tc>
        <w:tc>
          <w:tcPr>
            <w:tcW w:w="2422"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5"/>
              <w:jc w:val="right"/>
              <w:rPr>
                <w:rFonts w:ascii="Arial" w:hAnsi="Arial" w:cs="Arial" w:eastAsia="Arial" w:hint="default"/>
                <w:sz w:val="22"/>
                <w:szCs w:val="22"/>
              </w:rPr>
            </w:pPr>
            <w:r>
              <w:rPr>
                <w:rFonts w:ascii="Arial"/>
                <w:sz w:val="22"/>
              </w:rPr>
              <w:t>(285,606,886)</w:t>
            </w:r>
          </w:p>
        </w:tc>
      </w:tr>
      <w:tr>
        <w:trPr>
          <w:trHeight w:val="283" w:hRule="exact"/>
        </w:trPr>
        <w:tc>
          <w:tcPr>
            <w:tcW w:w="2506"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宋体" w:hAnsi="宋体" w:cs="宋体" w:eastAsia="宋体" w:hint="default"/>
                <w:sz w:val="22"/>
                <w:szCs w:val="22"/>
              </w:rPr>
              <w:t>逾期</w:t>
            </w:r>
            <w:r>
              <w:rPr>
                <w:rFonts w:ascii="宋体" w:hAnsi="宋体" w:cs="宋体" w:eastAsia="宋体" w:hint="default"/>
                <w:spacing w:val="-56"/>
                <w:sz w:val="22"/>
                <w:szCs w:val="22"/>
              </w:rPr>
              <w:t> </w:t>
            </w:r>
            <w:r>
              <w:rPr>
                <w:rFonts w:ascii="Arial" w:hAnsi="Arial" w:cs="Arial" w:eastAsia="Arial" w:hint="default"/>
                <w:sz w:val="22"/>
                <w:szCs w:val="22"/>
              </w:rPr>
              <w:t>1</w:t>
            </w:r>
            <w:r>
              <w:rPr>
                <w:rFonts w:ascii="Arial" w:hAnsi="Arial" w:cs="Arial" w:eastAsia="Arial" w:hint="default"/>
                <w:spacing w:val="-5"/>
                <w:sz w:val="22"/>
                <w:szCs w:val="22"/>
              </w:rPr>
              <w:t> </w:t>
            </w:r>
            <w:r>
              <w:rPr>
                <w:rFonts w:ascii="宋体" w:hAnsi="宋体" w:cs="宋体" w:eastAsia="宋体" w:hint="default"/>
                <w:sz w:val="22"/>
                <w:szCs w:val="22"/>
              </w:rPr>
              <w:t>年以内</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41"/>
              <w:jc w:val="right"/>
              <w:rPr>
                <w:rFonts w:ascii="Arial" w:hAnsi="Arial" w:cs="Arial" w:eastAsia="Arial" w:hint="default"/>
                <w:sz w:val="22"/>
                <w:szCs w:val="22"/>
              </w:rPr>
            </w:pPr>
            <w:r>
              <w:rPr>
                <w:rFonts w:ascii="Arial"/>
                <w:spacing w:val="2"/>
                <w:sz w:val="22"/>
              </w:rPr>
              <w:t>13%</w:t>
            </w:r>
            <w:r>
              <w:rPr>
                <w:rFonts w:ascii="Arial"/>
                <w:sz w:val="22"/>
              </w:rPr>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0"/>
              <w:jc w:val="right"/>
              <w:rPr>
                <w:rFonts w:ascii="Arial" w:hAnsi="Arial" w:cs="Arial" w:eastAsia="Arial" w:hint="default"/>
                <w:sz w:val="22"/>
                <w:szCs w:val="22"/>
              </w:rPr>
            </w:pPr>
            <w:r>
              <w:rPr>
                <w:rFonts w:ascii="Arial"/>
                <w:spacing w:val="-1"/>
                <w:sz w:val="22"/>
              </w:rPr>
              <w:t>3,140,857,684</w:t>
            </w:r>
          </w:p>
        </w:tc>
        <w:tc>
          <w:tcPr>
            <w:tcW w:w="132" w:type="dxa"/>
            <w:tcBorders>
              <w:top w:val="nil" w:sz="6" w:space="0" w:color="auto"/>
              <w:left w:val="nil" w:sz="6" w:space="0" w:color="auto"/>
              <w:bottom w:val="nil" w:sz="6" w:space="0" w:color="auto"/>
              <w:right w:val="nil" w:sz="6" w:space="0" w:color="auto"/>
            </w:tcBorders>
          </w:tcPr>
          <w:p>
            <w:pPr/>
          </w:p>
        </w:tc>
        <w:tc>
          <w:tcPr>
            <w:tcW w:w="242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5"/>
              <w:jc w:val="right"/>
              <w:rPr>
                <w:rFonts w:ascii="Arial" w:hAnsi="Arial" w:cs="Arial" w:eastAsia="Arial" w:hint="default"/>
                <w:sz w:val="22"/>
                <w:szCs w:val="22"/>
              </w:rPr>
            </w:pPr>
            <w:r>
              <w:rPr>
                <w:rFonts w:ascii="Arial"/>
                <w:sz w:val="22"/>
              </w:rPr>
              <w:t>(403,998,005)</w:t>
            </w:r>
          </w:p>
        </w:tc>
      </w:tr>
      <w:tr>
        <w:trPr>
          <w:trHeight w:val="288" w:hRule="exact"/>
        </w:trPr>
        <w:tc>
          <w:tcPr>
            <w:tcW w:w="2506"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宋体" w:hAnsi="宋体" w:cs="宋体" w:eastAsia="宋体" w:hint="default"/>
                <w:sz w:val="22"/>
                <w:szCs w:val="22"/>
              </w:rPr>
              <w:t>逾期</w:t>
            </w:r>
            <w:r>
              <w:rPr>
                <w:rFonts w:ascii="宋体" w:hAnsi="宋体" w:cs="宋体" w:eastAsia="宋体" w:hint="default"/>
                <w:spacing w:val="-57"/>
                <w:sz w:val="22"/>
                <w:szCs w:val="22"/>
              </w:rPr>
              <w:t> </w:t>
            </w:r>
            <w:r>
              <w:rPr>
                <w:rFonts w:ascii="Arial" w:hAnsi="Arial" w:cs="Arial" w:eastAsia="Arial" w:hint="default"/>
                <w:sz w:val="22"/>
                <w:szCs w:val="22"/>
              </w:rPr>
              <w:t>1</w:t>
            </w:r>
            <w:r>
              <w:rPr>
                <w:rFonts w:ascii="Arial" w:hAnsi="Arial" w:cs="Arial" w:eastAsia="Arial" w:hint="default"/>
                <w:spacing w:val="-6"/>
                <w:sz w:val="22"/>
                <w:szCs w:val="22"/>
              </w:rPr>
              <w:t> </w:t>
            </w:r>
            <w:r>
              <w:rPr>
                <w:rFonts w:ascii="宋体" w:hAnsi="宋体" w:cs="宋体" w:eastAsia="宋体" w:hint="default"/>
                <w:sz w:val="22"/>
                <w:szCs w:val="22"/>
              </w:rPr>
              <w:t>至</w:t>
            </w:r>
            <w:r>
              <w:rPr>
                <w:rFonts w:ascii="宋体" w:hAnsi="宋体" w:cs="宋体" w:eastAsia="宋体" w:hint="default"/>
                <w:spacing w:val="-57"/>
                <w:sz w:val="22"/>
                <w:szCs w:val="22"/>
              </w:rPr>
              <w:t> </w:t>
            </w:r>
            <w:r>
              <w:rPr>
                <w:rFonts w:ascii="Arial" w:hAnsi="Arial" w:cs="Arial" w:eastAsia="Arial" w:hint="default"/>
                <w:sz w:val="22"/>
                <w:szCs w:val="22"/>
              </w:rPr>
              <w:t>2</w:t>
            </w:r>
            <w:r>
              <w:rPr>
                <w:rFonts w:ascii="Arial" w:hAnsi="Arial" w:cs="Arial" w:eastAsia="Arial" w:hint="default"/>
                <w:spacing w:val="-6"/>
                <w:sz w:val="22"/>
                <w:szCs w:val="22"/>
              </w:rPr>
              <w:t> </w:t>
            </w:r>
            <w:r>
              <w:rPr>
                <w:rFonts w:ascii="宋体" w:hAnsi="宋体" w:cs="宋体" w:eastAsia="宋体" w:hint="default"/>
                <w:sz w:val="22"/>
                <w:szCs w:val="22"/>
              </w:rPr>
              <w:t>年</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41"/>
              <w:jc w:val="right"/>
              <w:rPr>
                <w:rFonts w:ascii="Arial" w:hAnsi="Arial" w:cs="Arial" w:eastAsia="Arial" w:hint="default"/>
                <w:sz w:val="22"/>
                <w:szCs w:val="22"/>
              </w:rPr>
            </w:pPr>
            <w:r>
              <w:rPr>
                <w:rFonts w:ascii="Arial"/>
                <w:spacing w:val="2"/>
                <w:sz w:val="22"/>
              </w:rPr>
              <w:t>47%</w:t>
            </w:r>
            <w:r>
              <w:rPr>
                <w:rFonts w:ascii="Arial"/>
                <w:sz w:val="22"/>
              </w:rPr>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10"/>
              <w:jc w:val="right"/>
              <w:rPr>
                <w:rFonts w:ascii="Arial" w:hAnsi="Arial" w:cs="Arial" w:eastAsia="Arial" w:hint="default"/>
                <w:sz w:val="22"/>
                <w:szCs w:val="22"/>
              </w:rPr>
            </w:pPr>
            <w:r>
              <w:rPr>
                <w:rFonts w:ascii="Arial"/>
                <w:spacing w:val="-1"/>
                <w:sz w:val="22"/>
              </w:rPr>
              <w:t>1,062,926,904</w:t>
            </w:r>
          </w:p>
        </w:tc>
        <w:tc>
          <w:tcPr>
            <w:tcW w:w="132" w:type="dxa"/>
            <w:tcBorders>
              <w:top w:val="nil" w:sz="6" w:space="0" w:color="auto"/>
              <w:left w:val="nil" w:sz="6" w:space="0" w:color="auto"/>
              <w:bottom w:val="nil" w:sz="6" w:space="0" w:color="auto"/>
              <w:right w:val="nil" w:sz="6" w:space="0" w:color="auto"/>
            </w:tcBorders>
          </w:tcPr>
          <w:p>
            <w:pPr/>
          </w:p>
        </w:tc>
        <w:tc>
          <w:tcPr>
            <w:tcW w:w="242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5"/>
              <w:jc w:val="right"/>
              <w:rPr>
                <w:rFonts w:ascii="Arial" w:hAnsi="Arial" w:cs="Arial" w:eastAsia="Arial" w:hint="default"/>
                <w:sz w:val="22"/>
                <w:szCs w:val="22"/>
              </w:rPr>
            </w:pPr>
            <w:r>
              <w:rPr>
                <w:rFonts w:ascii="Arial"/>
                <w:sz w:val="22"/>
              </w:rPr>
              <w:t>(499,627,371)</w:t>
            </w:r>
          </w:p>
        </w:tc>
      </w:tr>
      <w:tr>
        <w:trPr>
          <w:trHeight w:val="283" w:hRule="exact"/>
        </w:trPr>
        <w:tc>
          <w:tcPr>
            <w:tcW w:w="2506"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宋体" w:hAnsi="宋体" w:cs="宋体" w:eastAsia="宋体" w:hint="default"/>
                <w:sz w:val="22"/>
                <w:szCs w:val="22"/>
              </w:rPr>
              <w:t>逾期</w:t>
            </w:r>
            <w:r>
              <w:rPr>
                <w:rFonts w:ascii="宋体" w:hAnsi="宋体" w:cs="宋体" w:eastAsia="宋体" w:hint="default"/>
                <w:spacing w:val="-57"/>
                <w:sz w:val="22"/>
                <w:szCs w:val="22"/>
              </w:rPr>
              <w:t> </w:t>
            </w:r>
            <w:r>
              <w:rPr>
                <w:rFonts w:ascii="Arial" w:hAnsi="Arial" w:cs="Arial" w:eastAsia="Arial" w:hint="default"/>
                <w:sz w:val="22"/>
                <w:szCs w:val="22"/>
              </w:rPr>
              <w:t>2</w:t>
            </w:r>
            <w:r>
              <w:rPr>
                <w:rFonts w:ascii="Arial" w:hAnsi="Arial" w:cs="Arial" w:eastAsia="Arial" w:hint="default"/>
                <w:spacing w:val="-6"/>
                <w:sz w:val="22"/>
                <w:szCs w:val="22"/>
              </w:rPr>
              <w:t> </w:t>
            </w:r>
            <w:r>
              <w:rPr>
                <w:rFonts w:ascii="宋体" w:hAnsi="宋体" w:cs="宋体" w:eastAsia="宋体" w:hint="default"/>
                <w:sz w:val="22"/>
                <w:szCs w:val="22"/>
              </w:rPr>
              <w:t>至</w:t>
            </w:r>
            <w:r>
              <w:rPr>
                <w:rFonts w:ascii="宋体" w:hAnsi="宋体" w:cs="宋体" w:eastAsia="宋体" w:hint="default"/>
                <w:spacing w:val="-57"/>
                <w:sz w:val="22"/>
                <w:szCs w:val="22"/>
              </w:rPr>
              <w:t> </w:t>
            </w:r>
            <w:r>
              <w:rPr>
                <w:rFonts w:ascii="Arial" w:hAnsi="Arial" w:cs="Arial" w:eastAsia="Arial" w:hint="default"/>
                <w:sz w:val="22"/>
                <w:szCs w:val="22"/>
              </w:rPr>
              <w:t>3</w:t>
            </w:r>
            <w:r>
              <w:rPr>
                <w:rFonts w:ascii="Arial" w:hAnsi="Arial" w:cs="Arial" w:eastAsia="Arial" w:hint="default"/>
                <w:spacing w:val="-6"/>
                <w:sz w:val="22"/>
                <w:szCs w:val="22"/>
              </w:rPr>
              <w:t> </w:t>
            </w:r>
            <w:r>
              <w:rPr>
                <w:rFonts w:ascii="宋体" w:hAnsi="宋体" w:cs="宋体" w:eastAsia="宋体" w:hint="default"/>
                <w:sz w:val="22"/>
                <w:szCs w:val="22"/>
              </w:rPr>
              <w:t>年</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41"/>
              <w:jc w:val="right"/>
              <w:rPr>
                <w:rFonts w:ascii="Arial" w:hAnsi="Arial" w:cs="Arial" w:eastAsia="Arial" w:hint="default"/>
                <w:sz w:val="22"/>
                <w:szCs w:val="22"/>
              </w:rPr>
            </w:pPr>
            <w:r>
              <w:rPr>
                <w:rFonts w:ascii="Arial"/>
                <w:spacing w:val="2"/>
                <w:sz w:val="22"/>
              </w:rPr>
              <w:t>88%</w:t>
            </w:r>
            <w:r>
              <w:rPr>
                <w:rFonts w:ascii="Arial"/>
                <w:sz w:val="22"/>
              </w:rPr>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8"/>
              <w:jc w:val="right"/>
              <w:rPr>
                <w:rFonts w:ascii="Arial" w:hAnsi="Arial" w:cs="Arial" w:eastAsia="Arial" w:hint="default"/>
                <w:sz w:val="22"/>
                <w:szCs w:val="22"/>
              </w:rPr>
            </w:pPr>
            <w:r>
              <w:rPr>
                <w:rFonts w:ascii="Arial"/>
                <w:sz w:val="22"/>
              </w:rPr>
              <w:t>549,214,433</w:t>
            </w:r>
          </w:p>
        </w:tc>
        <w:tc>
          <w:tcPr>
            <w:tcW w:w="132" w:type="dxa"/>
            <w:tcBorders>
              <w:top w:val="nil" w:sz="6" w:space="0" w:color="auto"/>
              <w:left w:val="nil" w:sz="6" w:space="0" w:color="auto"/>
              <w:bottom w:val="nil" w:sz="6" w:space="0" w:color="auto"/>
              <w:right w:val="nil" w:sz="6" w:space="0" w:color="auto"/>
            </w:tcBorders>
          </w:tcPr>
          <w:p>
            <w:pPr/>
          </w:p>
        </w:tc>
        <w:tc>
          <w:tcPr>
            <w:tcW w:w="242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5"/>
              <w:jc w:val="right"/>
              <w:rPr>
                <w:rFonts w:ascii="Arial" w:hAnsi="Arial" w:cs="Arial" w:eastAsia="Arial" w:hint="default"/>
                <w:sz w:val="22"/>
                <w:szCs w:val="22"/>
              </w:rPr>
            </w:pPr>
            <w:r>
              <w:rPr>
                <w:rFonts w:ascii="Arial"/>
                <w:sz w:val="22"/>
              </w:rPr>
              <w:t>(485,406,670)</w:t>
            </w:r>
          </w:p>
        </w:tc>
      </w:tr>
      <w:tr>
        <w:trPr>
          <w:trHeight w:val="420" w:hRule="exact"/>
        </w:trPr>
        <w:tc>
          <w:tcPr>
            <w:tcW w:w="2506"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宋体" w:hAnsi="宋体" w:cs="宋体" w:eastAsia="宋体" w:hint="default"/>
                <w:sz w:val="22"/>
                <w:szCs w:val="22"/>
              </w:rPr>
              <w:t>逾期超过</w:t>
            </w:r>
            <w:r>
              <w:rPr>
                <w:rFonts w:ascii="宋体" w:hAnsi="宋体" w:cs="宋体" w:eastAsia="宋体" w:hint="default"/>
                <w:spacing w:val="-56"/>
                <w:sz w:val="22"/>
                <w:szCs w:val="22"/>
              </w:rPr>
              <w:t> </w:t>
            </w:r>
            <w:r>
              <w:rPr>
                <w:rFonts w:ascii="Arial" w:hAnsi="Arial" w:cs="Arial" w:eastAsia="Arial" w:hint="default"/>
                <w:sz w:val="22"/>
                <w:szCs w:val="22"/>
              </w:rPr>
              <w:t>3</w:t>
            </w:r>
            <w:r>
              <w:rPr>
                <w:rFonts w:ascii="Arial" w:hAnsi="Arial" w:cs="Arial" w:eastAsia="Arial" w:hint="default"/>
                <w:spacing w:val="-5"/>
                <w:sz w:val="22"/>
                <w:szCs w:val="22"/>
              </w:rPr>
              <w:t> </w:t>
            </w:r>
            <w:r>
              <w:rPr>
                <w:rFonts w:ascii="宋体" w:hAnsi="宋体" w:cs="宋体" w:eastAsia="宋体" w:hint="default"/>
                <w:sz w:val="22"/>
                <w:szCs w:val="22"/>
              </w:rPr>
              <w:t>年</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41"/>
              <w:jc w:val="right"/>
              <w:rPr>
                <w:rFonts w:ascii="Arial" w:hAnsi="Arial" w:cs="Arial" w:eastAsia="Arial" w:hint="default"/>
                <w:sz w:val="22"/>
                <w:szCs w:val="22"/>
              </w:rPr>
            </w:pPr>
            <w:r>
              <w:rPr>
                <w:rFonts w:ascii="Arial"/>
                <w:spacing w:val="2"/>
                <w:sz w:val="22"/>
              </w:rPr>
              <w:t>96%</w:t>
            </w:r>
            <w:r>
              <w:rPr>
                <w:rFonts w:ascii="Arial"/>
                <w:sz w:val="22"/>
              </w:rPr>
            </w:r>
          </w:p>
        </w:tc>
        <w:tc>
          <w:tcPr>
            <w:tcW w:w="2410" w:type="dxa"/>
            <w:tcBorders>
              <w:top w:val="nil" w:sz="6" w:space="0" w:color="auto"/>
              <w:left w:val="nil" w:sz="6" w:space="0" w:color="auto"/>
              <w:bottom w:val="nil" w:sz="6" w:space="0" w:color="auto"/>
              <w:right w:val="nil" w:sz="6" w:space="0" w:color="auto"/>
            </w:tcBorders>
          </w:tcPr>
          <w:p>
            <w:pPr>
              <w:pStyle w:val="TableParagraph"/>
              <w:tabs>
                <w:tab w:pos="887" w:val="left" w:leader="none"/>
                <w:tab w:pos="2409"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1,203,147,364</w:t>
              <w:tab/>
            </w:r>
            <w:r>
              <w:rPr>
                <w:rFonts w:ascii="Arial"/>
                <w:spacing w:val="-1"/>
                <w:sz w:val="22"/>
              </w:rPr>
            </w:r>
          </w:p>
        </w:tc>
        <w:tc>
          <w:tcPr>
            <w:tcW w:w="132" w:type="dxa"/>
            <w:tcBorders>
              <w:top w:val="nil" w:sz="6" w:space="0" w:color="auto"/>
              <w:left w:val="nil" w:sz="6" w:space="0" w:color="auto"/>
              <w:bottom w:val="nil" w:sz="6" w:space="0" w:color="auto"/>
              <w:right w:val="nil" w:sz="6" w:space="0" w:color="auto"/>
            </w:tcBorders>
          </w:tcPr>
          <w:p>
            <w:pPr/>
          </w:p>
        </w:tc>
        <w:tc>
          <w:tcPr>
            <w:tcW w:w="2422" w:type="dxa"/>
            <w:tcBorders>
              <w:top w:val="nil" w:sz="6" w:space="0" w:color="auto"/>
              <w:left w:val="nil" w:sz="6" w:space="0" w:color="auto"/>
              <w:bottom w:val="nil" w:sz="6" w:space="0" w:color="auto"/>
              <w:right w:val="nil" w:sz="6" w:space="0" w:color="auto"/>
            </w:tcBorders>
          </w:tcPr>
          <w:p>
            <w:pPr>
              <w:pStyle w:val="TableParagraph"/>
              <w:tabs>
                <w:tab w:pos="748" w:val="left" w:leader="none"/>
                <w:tab w:pos="2414"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(1,156,441,758)</w:t>
              <w:tab/>
            </w:r>
            <w:r>
              <w:rPr>
                <w:rFonts w:ascii="Arial"/>
                <w:spacing w:val="-1"/>
                <w:sz w:val="22"/>
              </w:rPr>
            </w:r>
          </w:p>
        </w:tc>
      </w:tr>
      <w:tr>
        <w:trPr>
          <w:trHeight w:val="424" w:hRule="exact"/>
        </w:trPr>
        <w:tc>
          <w:tcPr>
            <w:tcW w:w="2506"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1654"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103"/>
              <w:jc w:val="right"/>
              <w:rPr>
                <w:rFonts w:ascii="Arial" w:hAnsi="Arial" w:cs="Arial" w:eastAsia="Arial" w:hint="default"/>
                <w:sz w:val="22"/>
                <w:szCs w:val="22"/>
              </w:rPr>
            </w:pPr>
            <w:r>
              <w:rPr>
                <w:rFonts w:ascii="Arial"/>
                <w:sz w:val="22"/>
              </w:rPr>
              <w:t>13,494,968,228</w:t>
            </w:r>
          </w:p>
        </w:tc>
        <w:tc>
          <w:tcPr>
            <w:tcW w:w="132" w:type="dxa"/>
            <w:tcBorders>
              <w:top w:val="nil" w:sz="6" w:space="0" w:color="auto"/>
              <w:left w:val="nil" w:sz="6" w:space="0" w:color="auto"/>
              <w:bottom w:val="nil" w:sz="6" w:space="0" w:color="auto"/>
              <w:right w:val="nil" w:sz="6" w:space="0" w:color="auto"/>
            </w:tcBorders>
          </w:tcPr>
          <w:p>
            <w:pPr/>
          </w:p>
        </w:tc>
        <w:tc>
          <w:tcPr>
            <w:tcW w:w="2422"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105"/>
              <w:jc w:val="right"/>
              <w:rPr>
                <w:rFonts w:ascii="Arial" w:hAnsi="Arial" w:cs="Arial" w:eastAsia="Arial" w:hint="default"/>
                <w:sz w:val="22"/>
                <w:szCs w:val="22"/>
              </w:rPr>
            </w:pPr>
            <w:r>
              <w:rPr>
                <w:rFonts w:ascii="Arial"/>
                <w:spacing w:val="-1"/>
                <w:sz w:val="22"/>
              </w:rPr>
              <w:t>(2,831,080,690)</w:t>
            </w:r>
            <w:r>
              <w:rPr>
                <w:rFonts w:ascii="Arial"/>
                <w:sz w:val="22"/>
              </w:rPr>
            </w:r>
          </w:p>
        </w:tc>
      </w:tr>
    </w:tbl>
    <w:p>
      <w:pPr>
        <w:spacing w:line="240" w:lineRule="auto" w:before="2"/>
        <w:rPr>
          <w:rFonts w:ascii="宋体" w:hAnsi="宋体" w:cs="宋体" w:eastAsia="宋体" w:hint="default"/>
          <w:sz w:val="14"/>
          <w:szCs w:val="14"/>
        </w:rPr>
      </w:pPr>
    </w:p>
    <w:p>
      <w:pPr>
        <w:pStyle w:val="BodyText"/>
        <w:spacing w:line="284" w:lineRule="exact" w:before="62"/>
        <w:ind w:left="564" w:right="0"/>
        <w:jc w:val="left"/>
      </w:pPr>
      <w:r>
        <w:rPr>
          <w:spacing w:val="-1"/>
        </w:rPr>
        <w:t>违约损失率基于过去年度的实际信用损失经验计算，并根据历史数据收集期间的经济状况、当</w:t>
      </w:r>
      <w:r>
        <w:rPr>
          <w:spacing w:val="-67"/>
        </w:rPr>
        <w:t> </w:t>
      </w:r>
      <w:r>
        <w:rPr>
          <w:spacing w:val="-67"/>
        </w:rPr>
      </w:r>
      <w:r>
        <w:rPr/>
        <w:t>前的经济状况与本集团所认为的预计存续期内的经济状况三者之间的差异进行调整。</w:t>
      </w:r>
    </w:p>
    <w:p>
      <w:pPr>
        <w:spacing w:after="0" w:line="284" w:lineRule="exact"/>
        <w:jc w:val="left"/>
        <w:sectPr>
          <w:headerReference w:type="default" r:id="rId147"/>
          <w:pgSz w:w="11910" w:h="16840"/>
          <w:pgMar w:header="842" w:footer="502" w:top="3240" w:bottom="700" w:left="880" w:right="1340"/>
        </w:sectPr>
      </w:pPr>
    </w:p>
    <w:p>
      <w:pPr>
        <w:spacing w:line="240" w:lineRule="auto" w:before="10"/>
        <w:rPr>
          <w:rFonts w:ascii="宋体" w:hAnsi="宋体" w:cs="宋体" w:eastAsia="宋体" w:hint="default"/>
          <w:sz w:val="15"/>
          <w:szCs w:val="15"/>
        </w:rPr>
      </w:pPr>
    </w:p>
    <w:p>
      <w:pPr>
        <w:pStyle w:val="BodyText"/>
        <w:spacing w:line="240" w:lineRule="auto" w:before="32"/>
        <w:ind w:left="113" w:right="0"/>
        <w:jc w:val="left"/>
      </w:pPr>
      <w:r>
        <w:rPr>
          <w:rFonts w:ascii="Arial" w:hAnsi="Arial" w:cs="Arial" w:eastAsia="Arial" w:hint="default"/>
        </w:rPr>
        <w:t>(4) </w:t>
      </w:r>
      <w:r>
        <w:rPr>
          <w:rFonts w:ascii="Arial" w:hAnsi="Arial" w:cs="Arial" w:eastAsia="Arial" w:hint="default"/>
          <w:spacing w:val="5"/>
        </w:rPr>
        <w:t> </w:t>
      </w:r>
      <w:r>
        <w:rPr/>
        <w:t>本年计提、收回或转回的坏账准备情况：</w:t>
      </w:r>
    </w:p>
    <w:p>
      <w:pPr>
        <w:spacing w:line="240" w:lineRule="auto" w:before="13"/>
        <w:rPr>
          <w:rFonts w:ascii="宋体" w:hAnsi="宋体" w:cs="宋体" w:eastAsia="宋体" w:hint="default"/>
          <w:sz w:val="21"/>
          <w:szCs w:val="21"/>
        </w:rPr>
      </w:pPr>
    </w:p>
    <w:tbl>
      <w:tblPr>
        <w:tblW w:w="0" w:type="auto"/>
        <w:jc w:val="left"/>
        <w:tblInd w:w="307" w:type="dxa"/>
        <w:tblLayout w:type="fixed"/>
        <w:tblCellMar>
          <w:top w:w="0" w:type="dxa"/>
          <w:left w:w="0" w:type="dxa"/>
          <w:bottom w:w="0" w:type="dxa"/>
          <w:right w:w="0" w:type="dxa"/>
        </w:tblCellMar>
        <w:tblLook w:val="01E0"/>
      </w:tblPr>
      <w:tblGrid>
        <w:gridCol w:w="3901"/>
        <w:gridCol w:w="2510"/>
        <w:gridCol w:w="62"/>
        <w:gridCol w:w="110"/>
        <w:gridCol w:w="2573"/>
      </w:tblGrid>
      <w:tr>
        <w:trPr>
          <w:trHeight w:val="221" w:hRule="exact"/>
        </w:trPr>
        <w:tc>
          <w:tcPr>
            <w:tcW w:w="6411" w:type="dxa"/>
            <w:gridSpan w:val="2"/>
            <w:tcBorders>
              <w:top w:val="nil" w:sz="6" w:space="0" w:color="auto"/>
              <w:left w:val="nil" w:sz="6" w:space="0" w:color="auto"/>
              <w:bottom w:val="nil" w:sz="6" w:space="0" w:color="auto"/>
              <w:right w:val="nil" w:sz="6" w:space="0" w:color="auto"/>
            </w:tcBorders>
          </w:tcPr>
          <w:p>
            <w:pPr>
              <w:pStyle w:val="TableParagraph"/>
              <w:tabs>
                <w:tab w:pos="5475" w:val="left" w:leader="none"/>
              </w:tabs>
              <w:spacing w:line="236" w:lineRule="exact"/>
              <w:ind w:left="3900" w:right="0"/>
              <w:jc w:val="left"/>
              <w:rPr>
                <w:rFonts w:ascii="宋体" w:hAnsi="宋体" w:cs="宋体" w:eastAsia="宋体" w:hint="default"/>
                <w:sz w:val="22"/>
                <w:szCs w:val="22"/>
              </w:rPr>
            </w:pPr>
            <w:r>
              <w:rPr>
                <w:rFonts w:ascii="Arial" w:hAnsi="Arial" w:cs="Arial" w:eastAsia="Arial" w:hint="default"/>
                <w:w w:val="100"/>
                <w:sz w:val="22"/>
                <w:szCs w:val="22"/>
              </w:rPr>
            </w:r>
            <w:r>
              <w:rPr>
                <w:rFonts w:ascii="Arial" w:hAnsi="Arial" w:cs="Arial" w:eastAsia="Arial" w:hint="default"/>
                <w:w w:val="100"/>
                <w:sz w:val="22"/>
                <w:szCs w:val="22"/>
                <w:u w:val="single" w:color="000000"/>
              </w:rPr>
              <w:t> </w:t>
            </w:r>
            <w:r>
              <w:rPr>
                <w:rFonts w:ascii="Arial" w:hAnsi="Arial" w:cs="Arial" w:eastAsia="Arial" w:hint="default"/>
                <w:sz w:val="22"/>
                <w:szCs w:val="22"/>
                <w:u w:val="single" w:color="000000"/>
              </w:rPr>
              <w:tab/>
              <w:t>2019</w:t>
            </w:r>
            <w:r>
              <w:rPr>
                <w:rFonts w:ascii="Arial" w:hAnsi="Arial" w:cs="Arial" w:eastAsia="Arial" w:hint="default"/>
                <w:spacing w:val="-4"/>
                <w:sz w:val="22"/>
                <w:szCs w:val="22"/>
                <w:u w:val="single" w:color="000000"/>
              </w:rPr>
              <w:t> </w:t>
            </w:r>
            <w:r>
              <w:rPr>
                <w:rFonts w:ascii="宋体" w:hAnsi="宋体" w:cs="宋体" w:eastAsia="宋体" w:hint="default"/>
                <w:spacing w:val="-5"/>
                <w:sz w:val="22"/>
                <w:szCs w:val="22"/>
                <w:u w:val="single" w:color="000000"/>
              </w:rPr>
              <w:t>年</w:t>
            </w:r>
            <w:r>
              <w:rPr>
                <w:rFonts w:ascii="宋体" w:hAnsi="宋体" w:cs="宋体" w:eastAsia="宋体" w:hint="default"/>
                <w:sz w:val="22"/>
                <w:szCs w:val="22"/>
                <w:u w:val="single" w:color="000000"/>
              </w:rPr>
              <w:t> </w:t>
            </w:r>
            <w:r>
              <w:rPr>
                <w:rFonts w:ascii="宋体" w:hAnsi="宋体" w:cs="宋体" w:eastAsia="宋体" w:hint="default"/>
                <w:sz w:val="22"/>
                <w:szCs w:val="22"/>
              </w:rPr>
            </w:r>
          </w:p>
        </w:tc>
        <w:tc>
          <w:tcPr>
            <w:tcW w:w="62" w:type="dxa"/>
            <w:vMerge w:val="restart"/>
            <w:tcBorders>
              <w:top w:val="nil" w:sz="6" w:space="0" w:color="auto"/>
              <w:left w:val="nil" w:sz="6" w:space="0" w:color="auto"/>
              <w:right w:val="nil" w:sz="6" w:space="0" w:color="auto"/>
            </w:tcBorders>
          </w:tcPr>
          <w:p>
            <w:pPr/>
          </w:p>
        </w:tc>
        <w:tc>
          <w:tcPr>
            <w:tcW w:w="110" w:type="dxa"/>
            <w:vMerge w:val="restart"/>
            <w:tcBorders>
              <w:top w:val="nil" w:sz="6" w:space="0" w:color="auto"/>
              <w:left w:val="nil" w:sz="6" w:space="0" w:color="auto"/>
              <w:right w:val="nil" w:sz="6" w:space="0" w:color="auto"/>
            </w:tcBorders>
          </w:tcPr>
          <w:p>
            <w:pPr>
              <w:pStyle w:val="TableParagraph"/>
              <w:spacing w:line="283" w:lineRule="exact"/>
              <w:ind w:right="0"/>
              <w:jc w:val="left"/>
              <w:rPr>
                <w:rFonts w:ascii="宋体" w:hAnsi="宋体" w:cs="宋体" w:eastAsia="宋体" w:hint="default"/>
                <w:sz w:val="22"/>
                <w:szCs w:val="22"/>
              </w:rPr>
            </w:pPr>
            <w:r>
              <w:rPr>
                <w:rFonts w:ascii="宋体"/>
                <w:w w:val="100"/>
                <w:sz w:val="22"/>
              </w:rPr>
              <w:t> </w:t>
            </w:r>
          </w:p>
        </w:tc>
        <w:tc>
          <w:tcPr>
            <w:tcW w:w="2573" w:type="dxa"/>
            <w:tcBorders>
              <w:top w:val="nil" w:sz="6" w:space="0" w:color="auto"/>
              <w:left w:val="nil" w:sz="6" w:space="0" w:color="auto"/>
              <w:bottom w:val="nil" w:sz="6" w:space="0" w:color="auto"/>
              <w:right w:val="nil" w:sz="6" w:space="0" w:color="auto"/>
            </w:tcBorders>
          </w:tcPr>
          <w:p>
            <w:pPr>
              <w:pStyle w:val="TableParagraph"/>
              <w:spacing w:line="236" w:lineRule="exact"/>
              <w:ind w:right="0"/>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pacing w:val="-5"/>
                <w:sz w:val="22"/>
                <w:szCs w:val="22"/>
              </w:rPr>
              <w:t>年</w:t>
            </w:r>
            <w:r>
              <w:rPr>
                <w:rFonts w:ascii="宋体" w:hAnsi="宋体" w:cs="宋体" w:eastAsia="宋体" w:hint="default"/>
                <w:sz w:val="22"/>
                <w:szCs w:val="22"/>
              </w:rPr>
              <w:t> </w:t>
            </w:r>
          </w:p>
        </w:tc>
      </w:tr>
      <w:tr>
        <w:trPr>
          <w:trHeight w:val="285" w:hRule="exact"/>
        </w:trPr>
        <w:tc>
          <w:tcPr>
            <w:tcW w:w="3901" w:type="dxa"/>
            <w:tcBorders>
              <w:top w:val="nil" w:sz="6" w:space="0" w:color="auto"/>
              <w:left w:val="nil" w:sz="6" w:space="0" w:color="auto"/>
              <w:bottom w:val="nil" w:sz="6" w:space="0" w:color="auto"/>
              <w:right w:val="nil" w:sz="6" w:space="0" w:color="auto"/>
            </w:tcBorders>
          </w:tcPr>
          <w:p>
            <w:pPr>
              <w:pStyle w:val="TableParagraph"/>
              <w:spacing w:line="210" w:lineRule="exact"/>
              <w:ind w:right="0"/>
              <w:jc w:val="right"/>
              <w:rPr>
                <w:rFonts w:ascii="宋体" w:hAnsi="宋体" w:cs="宋体" w:eastAsia="宋体" w:hint="default"/>
                <w:sz w:val="22"/>
                <w:szCs w:val="22"/>
              </w:rPr>
            </w:pPr>
            <w:r>
              <w:rPr>
                <w:rFonts w:ascii="宋体"/>
                <w:w w:val="100"/>
                <w:sz w:val="22"/>
              </w:rPr>
              <w:t> </w:t>
            </w:r>
          </w:p>
        </w:tc>
        <w:tc>
          <w:tcPr>
            <w:tcW w:w="2510" w:type="dxa"/>
            <w:tcBorders>
              <w:top w:val="nil" w:sz="6" w:space="0" w:color="auto"/>
              <w:left w:val="nil" w:sz="6" w:space="0" w:color="auto"/>
              <w:bottom w:val="nil" w:sz="6" w:space="0" w:color="auto"/>
              <w:right w:val="nil" w:sz="6" w:space="0" w:color="auto"/>
            </w:tcBorders>
          </w:tcPr>
          <w:p>
            <w:pPr/>
          </w:p>
        </w:tc>
        <w:tc>
          <w:tcPr>
            <w:tcW w:w="62" w:type="dxa"/>
            <w:vMerge/>
            <w:tcBorders>
              <w:left w:val="nil" w:sz="6" w:space="0" w:color="auto"/>
              <w:bottom w:val="nil" w:sz="6" w:space="0" w:color="auto"/>
              <w:right w:val="nil" w:sz="6" w:space="0" w:color="auto"/>
            </w:tcBorders>
          </w:tcPr>
          <w:p>
            <w:pPr/>
          </w:p>
        </w:tc>
        <w:tc>
          <w:tcPr>
            <w:tcW w:w="110" w:type="dxa"/>
            <w:vMerge/>
            <w:tcBorders>
              <w:left w:val="nil" w:sz="6" w:space="0" w:color="auto"/>
              <w:bottom w:val="nil" w:sz="6" w:space="0" w:color="auto"/>
              <w:right w:val="nil" w:sz="6" w:space="0" w:color="auto"/>
            </w:tcBorders>
          </w:tcPr>
          <w:p>
            <w:pPr/>
          </w:p>
        </w:tc>
        <w:tc>
          <w:tcPr>
            <w:tcW w:w="257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
                <w:szCs w:val="2"/>
              </w:rPr>
            </w:pPr>
          </w:p>
          <w:p>
            <w:pPr>
              <w:pStyle w:val="TableParagraph"/>
              <w:spacing w:line="20" w:lineRule="exact"/>
              <w:ind w:left="-5" w:right="-56"/>
              <w:jc w:val="left"/>
              <w:rPr>
                <w:rFonts w:ascii="宋体" w:hAnsi="宋体" w:cs="宋体" w:eastAsia="宋体" w:hint="default"/>
                <w:sz w:val="2"/>
                <w:szCs w:val="2"/>
              </w:rPr>
            </w:pPr>
            <w:r>
              <w:rPr>
                <w:rFonts w:ascii="宋体" w:hAnsi="宋体" w:cs="宋体" w:eastAsia="宋体" w:hint="default"/>
                <w:sz w:val="2"/>
                <w:szCs w:val="2"/>
              </w:rPr>
              <w:pict>
                <v:group style="width:129.15pt;height:.5pt;mso-position-horizontal-relative:char;mso-position-vertical-relative:line" coordorigin="0,0" coordsize="2583,10">
                  <v:group style="position:absolute;left:5;top:5;width:2573;height:2" coordorigin="5,5" coordsize="2573,2">
                    <v:shape style="position:absolute;left:5;top:5;width:2573;height:2" coordorigin="5,5" coordsize="2573,0" path="m5,5l2578,5e" filled="false" stroked="true" strokeweight=".48pt" strokecolor="#000000">
                      <v:path arrowok="t"/>
                    </v:shape>
                  </v:group>
                </v:group>
              </w:pict>
            </w:r>
            <w:r>
              <w:rPr>
                <w:rFonts w:ascii="宋体" w:hAnsi="宋体" w:cs="宋体" w:eastAsia="宋体" w:hint="default"/>
                <w:sz w:val="2"/>
                <w:szCs w:val="2"/>
              </w:rPr>
            </w:r>
          </w:p>
          <w:p>
            <w:pPr>
              <w:pStyle w:val="TableParagraph"/>
              <w:spacing w:line="240" w:lineRule="auto" w:before="12"/>
              <w:ind w:right="0"/>
              <w:jc w:val="left"/>
              <w:rPr>
                <w:rFonts w:ascii="宋体" w:hAnsi="宋体" w:cs="宋体" w:eastAsia="宋体" w:hint="default"/>
                <w:sz w:val="17"/>
                <w:szCs w:val="17"/>
              </w:rPr>
            </w:pPr>
          </w:p>
        </w:tc>
      </w:tr>
      <w:tr>
        <w:trPr>
          <w:trHeight w:val="341" w:hRule="exact"/>
        </w:trPr>
        <w:tc>
          <w:tcPr>
            <w:tcW w:w="3901" w:type="dxa"/>
            <w:tcBorders>
              <w:top w:val="nil" w:sz="6" w:space="0" w:color="auto"/>
              <w:left w:val="nil" w:sz="6" w:space="0" w:color="auto"/>
              <w:bottom w:val="nil" w:sz="6" w:space="0" w:color="auto"/>
              <w:right w:val="nil" w:sz="6" w:space="0" w:color="auto"/>
            </w:tcBorders>
          </w:tcPr>
          <w:p>
            <w:pPr>
              <w:pStyle w:val="TableParagraph"/>
              <w:spacing w:line="240" w:lineRule="auto" w:before="7"/>
              <w:ind w:left="200" w:right="0"/>
              <w:jc w:val="left"/>
              <w:rPr>
                <w:rFonts w:ascii="宋体" w:hAnsi="宋体" w:cs="宋体" w:eastAsia="宋体" w:hint="default"/>
                <w:sz w:val="22"/>
                <w:szCs w:val="22"/>
              </w:rPr>
            </w:pPr>
            <w:r>
              <w:rPr>
                <w:rFonts w:ascii="宋体" w:hAnsi="宋体" w:cs="宋体" w:eastAsia="宋体" w:hint="default"/>
                <w:sz w:val="22"/>
                <w:szCs w:val="22"/>
              </w:rPr>
              <w:t>原金融工具准则下的余额</w:t>
            </w:r>
            <w:r>
              <w:rPr>
                <w:rFonts w:ascii="宋体" w:hAnsi="宋体" w:cs="宋体" w:eastAsia="宋体" w:hint="default"/>
                <w:sz w:val="22"/>
                <w:szCs w:val="22"/>
              </w:rPr>
              <w:t> </w:t>
            </w:r>
          </w:p>
        </w:tc>
        <w:tc>
          <w:tcPr>
            <w:tcW w:w="2510"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41"/>
              <w:jc w:val="right"/>
              <w:rPr>
                <w:rFonts w:ascii="Arial" w:hAnsi="Arial" w:cs="Arial" w:eastAsia="Arial" w:hint="default"/>
                <w:sz w:val="22"/>
                <w:szCs w:val="22"/>
              </w:rPr>
            </w:pPr>
            <w:r>
              <w:rPr>
                <w:rFonts w:ascii="Arial"/>
                <w:w w:val="100"/>
                <w:sz w:val="22"/>
              </w:rPr>
              <w:t>-</w:t>
            </w:r>
          </w:p>
        </w:tc>
        <w:tc>
          <w:tcPr>
            <w:tcW w:w="62" w:type="dxa"/>
            <w:tcBorders>
              <w:top w:val="nil" w:sz="6" w:space="0" w:color="auto"/>
              <w:left w:val="nil" w:sz="6" w:space="0" w:color="auto"/>
              <w:bottom w:val="nil" w:sz="6" w:space="0" w:color="auto"/>
              <w:right w:val="nil" w:sz="6" w:space="0" w:color="auto"/>
            </w:tcBorders>
          </w:tcPr>
          <w:p>
            <w:pPr/>
          </w:p>
        </w:tc>
        <w:tc>
          <w:tcPr>
            <w:tcW w:w="110" w:type="dxa"/>
            <w:tcBorders>
              <w:top w:val="nil" w:sz="6" w:space="0" w:color="auto"/>
              <w:left w:val="nil" w:sz="6" w:space="0" w:color="auto"/>
              <w:bottom w:val="nil" w:sz="6" w:space="0" w:color="auto"/>
              <w:right w:val="nil" w:sz="6" w:space="0" w:color="auto"/>
            </w:tcBorders>
          </w:tcPr>
          <w:p>
            <w:pPr/>
          </w:p>
        </w:tc>
        <w:tc>
          <w:tcPr>
            <w:tcW w:w="2573"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05"/>
              <w:jc w:val="right"/>
              <w:rPr>
                <w:rFonts w:ascii="Arial" w:hAnsi="Arial" w:cs="Arial" w:eastAsia="Arial" w:hint="default"/>
                <w:sz w:val="22"/>
                <w:szCs w:val="22"/>
              </w:rPr>
            </w:pPr>
            <w:r>
              <w:rPr>
                <w:rFonts w:ascii="Arial"/>
                <w:spacing w:val="-1"/>
                <w:sz w:val="22"/>
              </w:rPr>
              <w:t>(5,219,829,294)</w:t>
            </w:r>
            <w:r>
              <w:rPr>
                <w:rFonts w:ascii="Arial"/>
                <w:sz w:val="22"/>
              </w:rPr>
            </w:r>
          </w:p>
        </w:tc>
      </w:tr>
      <w:tr>
        <w:trPr>
          <w:trHeight w:val="571" w:hRule="exact"/>
        </w:trPr>
        <w:tc>
          <w:tcPr>
            <w:tcW w:w="3901" w:type="dxa"/>
            <w:tcBorders>
              <w:top w:val="nil" w:sz="6" w:space="0" w:color="auto"/>
              <w:left w:val="nil" w:sz="6" w:space="0" w:color="auto"/>
              <w:bottom w:val="nil" w:sz="6" w:space="0" w:color="auto"/>
              <w:right w:val="nil" w:sz="6" w:space="0" w:color="auto"/>
            </w:tcBorders>
          </w:tcPr>
          <w:p>
            <w:pPr>
              <w:pStyle w:val="TableParagraph"/>
              <w:spacing w:line="242" w:lineRule="exact"/>
              <w:ind w:left="200" w:right="0"/>
              <w:jc w:val="left"/>
              <w:rPr>
                <w:rFonts w:ascii="宋体" w:hAnsi="宋体" w:cs="宋体" w:eastAsia="宋体" w:hint="default"/>
                <w:sz w:val="22"/>
                <w:szCs w:val="22"/>
              </w:rPr>
            </w:pPr>
            <w:r>
              <w:rPr>
                <w:rFonts w:ascii="宋体" w:hAnsi="宋体" w:cs="宋体" w:eastAsia="宋体" w:hint="default"/>
                <w:sz w:val="22"/>
                <w:szCs w:val="22"/>
              </w:rPr>
              <w:t>首次执行新金融工具准则的调整金额</w:t>
            </w:r>
            <w:r>
              <w:rPr>
                <w:rFonts w:ascii="宋体" w:hAnsi="宋体" w:cs="宋体" w:eastAsia="宋体" w:hint="default"/>
                <w:sz w:val="22"/>
                <w:szCs w:val="22"/>
              </w:rPr>
              <w:t> </w:t>
            </w:r>
          </w:p>
        </w:tc>
        <w:tc>
          <w:tcPr>
            <w:tcW w:w="2510" w:type="dxa"/>
            <w:tcBorders>
              <w:top w:val="nil" w:sz="6" w:space="0" w:color="auto"/>
              <w:left w:val="nil" w:sz="6" w:space="0" w:color="auto"/>
              <w:bottom w:val="single" w:sz="4" w:space="0" w:color="000000"/>
              <w:right w:val="nil" w:sz="6" w:space="0" w:color="auto"/>
            </w:tcBorders>
          </w:tcPr>
          <w:p>
            <w:pPr>
              <w:pStyle w:val="TableParagraph"/>
              <w:spacing w:line="240" w:lineRule="auto" w:before="18"/>
              <w:ind w:right="236"/>
              <w:jc w:val="right"/>
              <w:rPr>
                <w:rFonts w:ascii="Arial" w:hAnsi="Arial" w:cs="Arial" w:eastAsia="Arial" w:hint="default"/>
                <w:sz w:val="22"/>
                <w:szCs w:val="22"/>
              </w:rPr>
            </w:pPr>
            <w:r>
              <w:rPr>
                <w:rFonts w:ascii="Arial"/>
                <w:w w:val="100"/>
                <w:sz w:val="22"/>
              </w:rPr>
              <w:t>-</w:t>
            </w:r>
          </w:p>
        </w:tc>
        <w:tc>
          <w:tcPr>
            <w:tcW w:w="62" w:type="dxa"/>
            <w:tcBorders>
              <w:top w:val="nil" w:sz="6" w:space="0" w:color="auto"/>
              <w:left w:val="nil" w:sz="6" w:space="0" w:color="auto"/>
              <w:bottom w:val="nil" w:sz="6" w:space="0" w:color="auto"/>
              <w:right w:val="nil" w:sz="6" w:space="0" w:color="auto"/>
            </w:tcBorders>
          </w:tcPr>
          <w:p>
            <w:pPr/>
          </w:p>
        </w:tc>
        <w:tc>
          <w:tcPr>
            <w:tcW w:w="110" w:type="dxa"/>
            <w:tcBorders>
              <w:top w:val="nil" w:sz="6" w:space="0" w:color="auto"/>
              <w:left w:val="nil" w:sz="6" w:space="0" w:color="auto"/>
              <w:bottom w:val="nil" w:sz="6" w:space="0" w:color="auto"/>
              <w:right w:val="nil" w:sz="6" w:space="0" w:color="auto"/>
            </w:tcBorders>
          </w:tcPr>
          <w:p>
            <w:pPr/>
          </w:p>
        </w:tc>
        <w:tc>
          <w:tcPr>
            <w:tcW w:w="2573" w:type="dxa"/>
            <w:tcBorders>
              <w:top w:val="nil" w:sz="6" w:space="0" w:color="auto"/>
              <w:left w:val="nil" w:sz="6" w:space="0" w:color="auto"/>
              <w:bottom w:val="single" w:sz="4" w:space="0" w:color="000000"/>
              <w:right w:val="nil" w:sz="6" w:space="0" w:color="auto"/>
            </w:tcBorders>
          </w:tcPr>
          <w:p>
            <w:pPr>
              <w:pStyle w:val="TableParagraph"/>
              <w:spacing w:line="240" w:lineRule="auto" w:before="18"/>
              <w:ind w:right="105"/>
              <w:jc w:val="right"/>
              <w:rPr>
                <w:rFonts w:ascii="Arial" w:hAnsi="Arial" w:cs="Arial" w:eastAsia="Arial" w:hint="default"/>
                <w:sz w:val="22"/>
                <w:szCs w:val="22"/>
              </w:rPr>
            </w:pPr>
            <w:r>
              <w:rPr>
                <w:rFonts w:ascii="Arial"/>
                <w:spacing w:val="-1"/>
                <w:sz w:val="22"/>
              </w:rPr>
              <w:t>(1,118,430,369)</w:t>
            </w:r>
            <w:r>
              <w:rPr>
                <w:rFonts w:ascii="Arial"/>
                <w:sz w:val="22"/>
              </w:rPr>
            </w:r>
          </w:p>
        </w:tc>
      </w:tr>
      <w:tr>
        <w:trPr>
          <w:trHeight w:val="454" w:hRule="exact"/>
        </w:trPr>
        <w:tc>
          <w:tcPr>
            <w:tcW w:w="3901" w:type="dxa"/>
            <w:tcBorders>
              <w:top w:val="nil" w:sz="6" w:space="0" w:color="auto"/>
              <w:left w:val="nil" w:sz="6" w:space="0" w:color="auto"/>
              <w:bottom w:val="nil" w:sz="6" w:space="0" w:color="auto"/>
              <w:right w:val="nil" w:sz="6" w:space="0" w:color="auto"/>
            </w:tcBorders>
          </w:tcPr>
          <w:p>
            <w:pPr>
              <w:pStyle w:val="TableParagraph"/>
              <w:spacing w:line="261" w:lineRule="exact"/>
              <w:ind w:left="200" w:right="0"/>
              <w:jc w:val="left"/>
              <w:rPr>
                <w:rFonts w:ascii="宋体" w:hAnsi="宋体" w:cs="宋体" w:eastAsia="宋体" w:hint="default"/>
                <w:sz w:val="22"/>
                <w:szCs w:val="22"/>
              </w:rPr>
            </w:pPr>
            <w:r>
              <w:rPr>
                <w:rFonts w:ascii="宋体" w:hAnsi="宋体" w:cs="宋体" w:eastAsia="宋体" w:hint="default"/>
                <w:sz w:val="22"/>
                <w:szCs w:val="22"/>
              </w:rPr>
              <w:t>调整后的年初余额</w:t>
            </w:r>
            <w:r>
              <w:rPr>
                <w:rFonts w:ascii="宋体" w:hAnsi="宋体" w:cs="宋体" w:eastAsia="宋体" w:hint="default"/>
                <w:sz w:val="22"/>
                <w:szCs w:val="22"/>
              </w:rPr>
              <w:t> </w:t>
            </w:r>
          </w:p>
        </w:tc>
        <w:tc>
          <w:tcPr>
            <w:tcW w:w="2510" w:type="dxa"/>
            <w:tcBorders>
              <w:top w:val="single" w:sz="4" w:space="0" w:color="000000"/>
              <w:left w:val="nil" w:sz="6" w:space="0" w:color="auto"/>
              <w:bottom w:val="nil" w:sz="6" w:space="0" w:color="auto"/>
              <w:right w:val="nil" w:sz="6" w:space="0" w:color="auto"/>
            </w:tcBorders>
          </w:tcPr>
          <w:p>
            <w:pPr>
              <w:pStyle w:val="TableParagraph"/>
              <w:spacing w:line="240" w:lineRule="auto" w:before="33"/>
              <w:ind w:right="167"/>
              <w:jc w:val="right"/>
              <w:rPr>
                <w:rFonts w:ascii="Arial" w:hAnsi="Arial" w:cs="Arial" w:eastAsia="Arial" w:hint="default"/>
                <w:sz w:val="22"/>
                <w:szCs w:val="22"/>
              </w:rPr>
            </w:pPr>
            <w:r>
              <w:rPr>
                <w:rFonts w:ascii="Arial"/>
                <w:spacing w:val="-1"/>
                <w:sz w:val="22"/>
              </w:rPr>
              <w:t>(6,720,402,501)</w:t>
            </w:r>
            <w:r>
              <w:rPr>
                <w:rFonts w:ascii="Arial"/>
                <w:sz w:val="22"/>
              </w:rPr>
            </w:r>
          </w:p>
        </w:tc>
        <w:tc>
          <w:tcPr>
            <w:tcW w:w="62" w:type="dxa"/>
            <w:tcBorders>
              <w:top w:val="nil" w:sz="6" w:space="0" w:color="auto"/>
              <w:left w:val="nil" w:sz="6" w:space="0" w:color="auto"/>
              <w:bottom w:val="nil" w:sz="6" w:space="0" w:color="auto"/>
              <w:right w:val="nil" w:sz="6" w:space="0" w:color="auto"/>
            </w:tcBorders>
          </w:tcPr>
          <w:p>
            <w:pPr/>
          </w:p>
        </w:tc>
        <w:tc>
          <w:tcPr>
            <w:tcW w:w="110" w:type="dxa"/>
            <w:tcBorders>
              <w:top w:val="nil" w:sz="6" w:space="0" w:color="auto"/>
              <w:left w:val="nil" w:sz="6" w:space="0" w:color="auto"/>
              <w:bottom w:val="nil" w:sz="6" w:space="0" w:color="auto"/>
              <w:right w:val="nil" w:sz="6" w:space="0" w:color="auto"/>
            </w:tcBorders>
          </w:tcPr>
          <w:p>
            <w:pPr/>
          </w:p>
        </w:tc>
        <w:tc>
          <w:tcPr>
            <w:tcW w:w="2573" w:type="dxa"/>
            <w:tcBorders>
              <w:top w:val="single" w:sz="4" w:space="0" w:color="000000"/>
              <w:left w:val="nil" w:sz="6" w:space="0" w:color="auto"/>
              <w:bottom w:val="nil" w:sz="6" w:space="0" w:color="auto"/>
              <w:right w:val="nil" w:sz="6" w:space="0" w:color="auto"/>
            </w:tcBorders>
          </w:tcPr>
          <w:p>
            <w:pPr>
              <w:pStyle w:val="TableParagraph"/>
              <w:spacing w:line="240" w:lineRule="auto" w:before="33"/>
              <w:ind w:right="105"/>
              <w:jc w:val="right"/>
              <w:rPr>
                <w:rFonts w:ascii="Arial" w:hAnsi="Arial" w:cs="Arial" w:eastAsia="Arial" w:hint="default"/>
                <w:sz w:val="22"/>
                <w:szCs w:val="22"/>
              </w:rPr>
            </w:pPr>
            <w:r>
              <w:rPr>
                <w:rFonts w:ascii="Arial"/>
                <w:spacing w:val="-1"/>
                <w:sz w:val="22"/>
              </w:rPr>
              <w:t>(6,338,259,663)</w:t>
            </w:r>
            <w:r>
              <w:rPr>
                <w:rFonts w:ascii="Arial"/>
                <w:sz w:val="22"/>
              </w:rPr>
            </w:r>
          </w:p>
        </w:tc>
      </w:tr>
      <w:tr>
        <w:trPr>
          <w:trHeight w:val="434" w:hRule="exact"/>
        </w:trPr>
        <w:tc>
          <w:tcPr>
            <w:tcW w:w="3901"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200" w:right="0"/>
              <w:jc w:val="left"/>
              <w:rPr>
                <w:rFonts w:ascii="宋体" w:hAnsi="宋体" w:cs="宋体" w:eastAsia="宋体" w:hint="default"/>
                <w:sz w:val="22"/>
                <w:szCs w:val="22"/>
              </w:rPr>
            </w:pPr>
            <w:r>
              <w:rPr>
                <w:rFonts w:ascii="宋体" w:hAnsi="宋体" w:cs="宋体" w:eastAsia="宋体" w:hint="default"/>
                <w:sz w:val="22"/>
                <w:szCs w:val="22"/>
              </w:rPr>
              <w:t>本年计提和转回</w:t>
            </w:r>
            <w:r>
              <w:rPr>
                <w:rFonts w:ascii="宋体" w:hAnsi="宋体" w:cs="宋体" w:eastAsia="宋体" w:hint="default"/>
                <w:sz w:val="22"/>
                <w:szCs w:val="22"/>
              </w:rPr>
              <w:t> </w:t>
            </w:r>
          </w:p>
        </w:tc>
        <w:tc>
          <w:tcPr>
            <w:tcW w:w="2510" w:type="dxa"/>
            <w:tcBorders>
              <w:top w:val="nil" w:sz="6" w:space="0" w:color="auto"/>
              <w:left w:val="nil" w:sz="6" w:space="0" w:color="auto"/>
              <w:bottom w:val="nil" w:sz="6" w:space="0" w:color="auto"/>
              <w:right w:val="nil" w:sz="6" w:space="0" w:color="auto"/>
            </w:tcBorders>
          </w:tcPr>
          <w:p>
            <w:pPr>
              <w:pStyle w:val="TableParagraph"/>
              <w:spacing w:line="240" w:lineRule="auto" w:before="165"/>
              <w:ind w:right="167"/>
              <w:jc w:val="right"/>
              <w:rPr>
                <w:rFonts w:ascii="Arial" w:hAnsi="Arial" w:cs="Arial" w:eastAsia="Arial" w:hint="default"/>
                <w:sz w:val="22"/>
                <w:szCs w:val="22"/>
              </w:rPr>
            </w:pPr>
            <w:r>
              <w:rPr>
                <w:rFonts w:ascii="Arial"/>
                <w:spacing w:val="-1"/>
                <w:sz w:val="22"/>
              </w:rPr>
              <w:t>(3,127,844,263)</w:t>
            </w:r>
            <w:r>
              <w:rPr>
                <w:rFonts w:ascii="Arial"/>
                <w:sz w:val="22"/>
              </w:rPr>
            </w:r>
          </w:p>
        </w:tc>
        <w:tc>
          <w:tcPr>
            <w:tcW w:w="62" w:type="dxa"/>
            <w:tcBorders>
              <w:top w:val="nil" w:sz="6" w:space="0" w:color="auto"/>
              <w:left w:val="nil" w:sz="6" w:space="0" w:color="auto"/>
              <w:bottom w:val="nil" w:sz="6" w:space="0" w:color="auto"/>
              <w:right w:val="nil" w:sz="6" w:space="0" w:color="auto"/>
            </w:tcBorders>
          </w:tcPr>
          <w:p>
            <w:pPr/>
          </w:p>
        </w:tc>
        <w:tc>
          <w:tcPr>
            <w:tcW w:w="110" w:type="dxa"/>
            <w:tcBorders>
              <w:top w:val="nil" w:sz="6" w:space="0" w:color="auto"/>
              <w:left w:val="nil" w:sz="6" w:space="0" w:color="auto"/>
              <w:bottom w:val="nil" w:sz="6" w:space="0" w:color="auto"/>
              <w:right w:val="nil" w:sz="6" w:space="0" w:color="auto"/>
            </w:tcBorders>
          </w:tcPr>
          <w:p>
            <w:pPr/>
          </w:p>
        </w:tc>
        <w:tc>
          <w:tcPr>
            <w:tcW w:w="2573" w:type="dxa"/>
            <w:tcBorders>
              <w:top w:val="nil" w:sz="6" w:space="0" w:color="auto"/>
              <w:left w:val="nil" w:sz="6" w:space="0" w:color="auto"/>
              <w:bottom w:val="nil" w:sz="6" w:space="0" w:color="auto"/>
              <w:right w:val="nil" w:sz="6" w:space="0" w:color="auto"/>
            </w:tcBorders>
          </w:tcPr>
          <w:p>
            <w:pPr>
              <w:pStyle w:val="TableParagraph"/>
              <w:spacing w:line="240" w:lineRule="auto" w:before="165"/>
              <w:ind w:right="105"/>
              <w:jc w:val="right"/>
              <w:rPr>
                <w:rFonts w:ascii="Arial" w:hAnsi="Arial" w:cs="Arial" w:eastAsia="Arial" w:hint="default"/>
                <w:sz w:val="22"/>
                <w:szCs w:val="22"/>
              </w:rPr>
            </w:pPr>
            <w:r>
              <w:rPr>
                <w:rFonts w:ascii="Arial"/>
                <w:spacing w:val="-1"/>
                <w:sz w:val="22"/>
              </w:rPr>
              <w:t>(3,299,920,450)</w:t>
            </w:r>
            <w:r>
              <w:rPr>
                <w:rFonts w:ascii="Arial"/>
                <w:sz w:val="22"/>
              </w:rPr>
            </w:r>
          </w:p>
        </w:tc>
      </w:tr>
      <w:tr>
        <w:trPr>
          <w:trHeight w:val="446" w:hRule="exact"/>
        </w:trPr>
        <w:tc>
          <w:tcPr>
            <w:tcW w:w="3901" w:type="dxa"/>
            <w:tcBorders>
              <w:top w:val="nil" w:sz="6" w:space="0" w:color="auto"/>
              <w:left w:val="nil" w:sz="6" w:space="0" w:color="auto"/>
              <w:bottom w:val="nil" w:sz="6" w:space="0" w:color="auto"/>
              <w:right w:val="nil" w:sz="6" w:space="0" w:color="auto"/>
            </w:tcBorders>
          </w:tcPr>
          <w:p>
            <w:pPr>
              <w:pStyle w:val="TableParagraph"/>
              <w:spacing w:line="242" w:lineRule="exact"/>
              <w:ind w:left="200" w:right="0"/>
              <w:jc w:val="left"/>
              <w:rPr>
                <w:rFonts w:ascii="宋体" w:hAnsi="宋体" w:cs="宋体" w:eastAsia="宋体" w:hint="default"/>
                <w:sz w:val="22"/>
                <w:szCs w:val="22"/>
              </w:rPr>
            </w:pPr>
            <w:r>
              <w:rPr>
                <w:rFonts w:ascii="宋体" w:hAnsi="宋体" w:cs="宋体" w:eastAsia="宋体" w:hint="default"/>
                <w:sz w:val="22"/>
                <w:szCs w:val="22"/>
              </w:rPr>
              <w:t>本年核销</w:t>
            </w:r>
            <w:r>
              <w:rPr>
                <w:rFonts w:ascii="宋体" w:hAnsi="宋体" w:cs="宋体" w:eastAsia="宋体" w:hint="default"/>
                <w:sz w:val="22"/>
                <w:szCs w:val="22"/>
              </w:rPr>
              <w:t> </w:t>
            </w:r>
          </w:p>
        </w:tc>
        <w:tc>
          <w:tcPr>
            <w:tcW w:w="2510" w:type="dxa"/>
            <w:tcBorders>
              <w:top w:val="nil" w:sz="6" w:space="0" w:color="auto"/>
              <w:left w:val="nil" w:sz="6" w:space="0" w:color="auto"/>
              <w:bottom w:val="nil" w:sz="6" w:space="0" w:color="auto"/>
              <w:right w:val="nil" w:sz="6" w:space="0" w:color="auto"/>
            </w:tcBorders>
          </w:tcPr>
          <w:p>
            <w:pPr>
              <w:pStyle w:val="TableParagraph"/>
              <w:tabs>
                <w:tab w:pos="859" w:val="left" w:leader="none"/>
                <w:tab w:pos="2447" w:val="left" w:leader="none"/>
              </w:tabs>
              <w:spacing w:line="240" w:lineRule="auto" w:before="23"/>
              <w:ind w:left="-1" w:right="6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2,473,046,488</w:t>
              <w:tab/>
            </w:r>
            <w:r>
              <w:rPr>
                <w:rFonts w:ascii="Arial"/>
                <w:spacing w:val="-1"/>
                <w:sz w:val="22"/>
              </w:rPr>
            </w:r>
          </w:p>
        </w:tc>
        <w:tc>
          <w:tcPr>
            <w:tcW w:w="62" w:type="dxa"/>
            <w:tcBorders>
              <w:top w:val="nil" w:sz="6" w:space="0" w:color="auto"/>
              <w:left w:val="nil" w:sz="6" w:space="0" w:color="auto"/>
              <w:bottom w:val="nil" w:sz="6" w:space="0" w:color="auto"/>
              <w:right w:val="nil" w:sz="6" w:space="0" w:color="auto"/>
            </w:tcBorders>
          </w:tcPr>
          <w:p>
            <w:pPr/>
          </w:p>
        </w:tc>
        <w:tc>
          <w:tcPr>
            <w:tcW w:w="110" w:type="dxa"/>
            <w:tcBorders>
              <w:top w:val="nil" w:sz="6" w:space="0" w:color="auto"/>
              <w:left w:val="nil" w:sz="6" w:space="0" w:color="auto"/>
              <w:bottom w:val="nil" w:sz="6" w:space="0" w:color="auto"/>
              <w:right w:val="nil" w:sz="6" w:space="0" w:color="auto"/>
            </w:tcBorders>
          </w:tcPr>
          <w:p>
            <w:pPr/>
          </w:p>
        </w:tc>
        <w:tc>
          <w:tcPr>
            <w:tcW w:w="2573" w:type="dxa"/>
            <w:tcBorders>
              <w:top w:val="nil" w:sz="6" w:space="0" w:color="auto"/>
              <w:left w:val="nil" w:sz="6" w:space="0" w:color="auto"/>
              <w:bottom w:val="nil" w:sz="6" w:space="0" w:color="auto"/>
              <w:right w:val="nil" w:sz="6" w:space="0" w:color="auto"/>
            </w:tcBorders>
          </w:tcPr>
          <w:p>
            <w:pPr>
              <w:pStyle w:val="TableParagraph"/>
              <w:tabs>
                <w:tab w:pos="988" w:val="left" w:leader="none"/>
                <w:tab w:pos="2572" w:val="left" w:leader="none"/>
              </w:tabs>
              <w:spacing w:line="240" w:lineRule="auto" w:before="23"/>
              <w:ind w:left="-1"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2,917,777,612</w:t>
              <w:tab/>
            </w:r>
            <w:r>
              <w:rPr>
                <w:rFonts w:ascii="Arial"/>
                <w:spacing w:val="-1"/>
                <w:sz w:val="22"/>
              </w:rPr>
            </w:r>
          </w:p>
        </w:tc>
      </w:tr>
      <w:tr>
        <w:trPr>
          <w:trHeight w:val="453" w:hRule="exact"/>
        </w:trPr>
        <w:tc>
          <w:tcPr>
            <w:tcW w:w="3901"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00" w:right="0"/>
              <w:jc w:val="left"/>
              <w:rPr>
                <w:rFonts w:ascii="宋体" w:hAnsi="宋体" w:cs="宋体" w:eastAsia="宋体" w:hint="default"/>
                <w:sz w:val="22"/>
                <w:szCs w:val="22"/>
              </w:rPr>
            </w:pPr>
            <w:r>
              <w:rPr>
                <w:rFonts w:ascii="宋体" w:hAnsi="宋体" w:cs="宋体" w:eastAsia="宋体" w:hint="default"/>
                <w:sz w:val="22"/>
                <w:szCs w:val="22"/>
              </w:rPr>
              <w:t>年末余额</w:t>
            </w:r>
            <w:r>
              <w:rPr>
                <w:rFonts w:ascii="宋体" w:hAnsi="宋体" w:cs="宋体" w:eastAsia="宋体" w:hint="default"/>
                <w:sz w:val="22"/>
                <w:szCs w:val="22"/>
              </w:rPr>
              <w:t> </w:t>
            </w:r>
          </w:p>
        </w:tc>
        <w:tc>
          <w:tcPr>
            <w:tcW w:w="2510" w:type="dxa"/>
            <w:tcBorders>
              <w:top w:val="nil" w:sz="6" w:space="0" w:color="auto"/>
              <w:left w:val="nil" w:sz="6" w:space="0" w:color="auto"/>
              <w:bottom w:val="single" w:sz="17" w:space="0" w:color="000000"/>
              <w:right w:val="nil" w:sz="6" w:space="0" w:color="auto"/>
            </w:tcBorders>
          </w:tcPr>
          <w:p>
            <w:pPr>
              <w:pStyle w:val="TableParagraph"/>
              <w:spacing w:line="240" w:lineRule="auto" w:before="177"/>
              <w:ind w:right="167"/>
              <w:jc w:val="right"/>
              <w:rPr>
                <w:rFonts w:ascii="Arial" w:hAnsi="Arial" w:cs="Arial" w:eastAsia="Arial" w:hint="default"/>
                <w:sz w:val="22"/>
                <w:szCs w:val="22"/>
              </w:rPr>
            </w:pPr>
            <w:r>
              <w:rPr>
                <w:rFonts w:ascii="Arial"/>
                <w:spacing w:val="-1"/>
                <w:sz w:val="22"/>
              </w:rPr>
              <w:t>(7,375,200,276)</w:t>
            </w:r>
            <w:r>
              <w:rPr>
                <w:rFonts w:ascii="Arial"/>
                <w:sz w:val="22"/>
              </w:rPr>
            </w:r>
          </w:p>
        </w:tc>
        <w:tc>
          <w:tcPr>
            <w:tcW w:w="62" w:type="dxa"/>
            <w:tcBorders>
              <w:top w:val="nil" w:sz="6" w:space="0" w:color="auto"/>
              <w:left w:val="nil" w:sz="6" w:space="0" w:color="auto"/>
              <w:bottom w:val="nil" w:sz="6" w:space="0" w:color="auto"/>
              <w:right w:val="nil" w:sz="6" w:space="0" w:color="auto"/>
            </w:tcBorders>
          </w:tcPr>
          <w:p>
            <w:pPr/>
          </w:p>
        </w:tc>
        <w:tc>
          <w:tcPr>
            <w:tcW w:w="110" w:type="dxa"/>
            <w:tcBorders>
              <w:top w:val="nil" w:sz="6" w:space="0" w:color="auto"/>
              <w:left w:val="nil" w:sz="6" w:space="0" w:color="auto"/>
              <w:bottom w:val="nil" w:sz="6" w:space="0" w:color="auto"/>
              <w:right w:val="nil" w:sz="6" w:space="0" w:color="auto"/>
            </w:tcBorders>
          </w:tcPr>
          <w:p>
            <w:pPr/>
          </w:p>
        </w:tc>
        <w:tc>
          <w:tcPr>
            <w:tcW w:w="2573" w:type="dxa"/>
            <w:tcBorders>
              <w:top w:val="nil" w:sz="6" w:space="0" w:color="auto"/>
              <w:left w:val="nil" w:sz="6" w:space="0" w:color="auto"/>
              <w:bottom w:val="single" w:sz="17" w:space="0" w:color="000000"/>
              <w:right w:val="nil" w:sz="6" w:space="0" w:color="auto"/>
            </w:tcBorders>
          </w:tcPr>
          <w:p>
            <w:pPr>
              <w:pStyle w:val="TableParagraph"/>
              <w:spacing w:line="240" w:lineRule="auto" w:before="177"/>
              <w:ind w:right="105"/>
              <w:jc w:val="right"/>
              <w:rPr>
                <w:rFonts w:ascii="Arial" w:hAnsi="Arial" w:cs="Arial" w:eastAsia="Arial" w:hint="default"/>
                <w:sz w:val="22"/>
                <w:szCs w:val="22"/>
              </w:rPr>
            </w:pPr>
            <w:r>
              <w:rPr>
                <w:rFonts w:ascii="Arial"/>
                <w:spacing w:val="-1"/>
                <w:sz w:val="22"/>
              </w:rPr>
              <w:t>(6,720,402,501)</w:t>
            </w:r>
            <w:r>
              <w:rPr>
                <w:rFonts w:ascii="Arial"/>
                <w:sz w:val="22"/>
              </w:rPr>
            </w:r>
          </w:p>
        </w:tc>
      </w:tr>
    </w:tbl>
    <w:p>
      <w:pPr>
        <w:spacing w:line="240" w:lineRule="auto" w:before="2"/>
        <w:rPr>
          <w:rFonts w:ascii="宋体" w:hAnsi="宋体" w:cs="宋体" w:eastAsia="宋体" w:hint="default"/>
          <w:sz w:val="14"/>
          <w:szCs w:val="14"/>
        </w:rPr>
      </w:pPr>
    </w:p>
    <w:p>
      <w:pPr>
        <w:pStyle w:val="BodyText"/>
        <w:spacing w:line="284" w:lineRule="exact" w:before="62"/>
        <w:ind w:left="507" w:right="0"/>
        <w:jc w:val="left"/>
      </w:pPr>
      <w:r>
        <w:rPr>
          <w:spacing w:val="-1"/>
        </w:rPr>
        <w:t>本集团核销的坏账准备主要为对一般商务及公众用户计提的坏账准备，其个别欠款金额对本集团</w:t>
      </w:r>
      <w:r>
        <w:rPr>
          <w:spacing w:val="-65"/>
        </w:rPr>
        <w:t> </w:t>
      </w:r>
      <w:r>
        <w:rPr>
          <w:spacing w:val="-65"/>
        </w:rPr>
      </w:r>
      <w:r>
        <w:rPr/>
        <w:t>并不重大。此外，本集团本年核销的应收账款中无应收关联公司款项。</w:t>
      </w:r>
    </w:p>
    <w:p>
      <w:pPr>
        <w:spacing w:line="240" w:lineRule="auto" w:before="1"/>
        <w:rPr>
          <w:rFonts w:ascii="宋体" w:hAnsi="宋体" w:cs="宋体" w:eastAsia="宋体" w:hint="default"/>
          <w:sz w:val="17"/>
          <w:szCs w:val="17"/>
        </w:rPr>
      </w:pPr>
    </w:p>
    <w:p>
      <w:pPr>
        <w:pStyle w:val="BodyText"/>
        <w:spacing w:line="296" w:lineRule="exact"/>
        <w:ind w:left="156" w:right="0"/>
        <w:jc w:val="left"/>
      </w:pPr>
      <w:r>
        <w:rPr>
          <w:rFonts w:ascii="Arial" w:hAnsi="Arial" w:cs="Arial" w:eastAsia="Arial" w:hint="default"/>
        </w:rPr>
        <w:t>(5)  </w:t>
      </w:r>
      <w:r>
        <w:rPr/>
        <w:t>本集团年末余额前五名的应收账款合计约人民币 </w:t>
      </w:r>
      <w:r>
        <w:rPr>
          <w:rFonts w:ascii="Arial" w:hAnsi="Arial" w:cs="Arial" w:eastAsia="Arial" w:hint="default"/>
        </w:rPr>
        <w:t>34.12 </w:t>
      </w:r>
      <w:r>
        <w:rPr>
          <w:rFonts w:ascii="Arial" w:hAnsi="Arial" w:cs="Arial" w:eastAsia="Arial" w:hint="default"/>
          <w:spacing w:val="54"/>
        </w:rPr>
        <w:t> </w:t>
      </w:r>
      <w:r>
        <w:rPr/>
        <w:t>亿元，占应收账款年末余额合计数的</w:t>
      </w:r>
    </w:p>
    <w:p>
      <w:pPr>
        <w:pStyle w:val="BodyText"/>
        <w:spacing w:line="296" w:lineRule="exact"/>
        <w:ind w:left="516" w:right="0"/>
        <w:jc w:val="left"/>
      </w:pPr>
      <w:r>
        <w:rPr>
          <w:rFonts w:ascii="Arial" w:hAnsi="Arial" w:cs="Arial" w:eastAsia="Arial" w:hint="default"/>
        </w:rPr>
        <w:t>12.26%</w:t>
      </w:r>
      <w:r>
        <w:rPr/>
        <w:t>，相应计提的坏账准备年末余额合计约人民币</w:t>
      </w:r>
      <w:r>
        <w:rPr>
          <w:spacing w:val="-58"/>
        </w:rPr>
        <w:t> </w:t>
      </w:r>
      <w:r>
        <w:rPr>
          <w:rFonts w:ascii="Arial" w:hAnsi="Arial" w:cs="Arial" w:eastAsia="Arial" w:hint="default"/>
        </w:rPr>
        <w:t>0.49</w:t>
      </w:r>
      <w:r>
        <w:rPr>
          <w:rFonts w:ascii="Arial" w:hAnsi="Arial" w:cs="Arial" w:eastAsia="Arial" w:hint="default"/>
          <w:spacing w:val="-7"/>
        </w:rPr>
        <w:t> </w:t>
      </w:r>
      <w:r>
        <w:rPr/>
        <w:t>亿元。</w:t>
      </w:r>
    </w:p>
    <w:p>
      <w:pPr>
        <w:spacing w:after="0" w:line="296" w:lineRule="exact"/>
        <w:jc w:val="left"/>
        <w:sectPr>
          <w:headerReference w:type="default" r:id="rId148"/>
          <w:pgSz w:w="11910" w:h="16840"/>
          <w:pgMar w:header="842" w:footer="502" w:top="3240" w:bottom="700" w:left="880" w:right="1160"/>
        </w:sectPr>
      </w:pPr>
    </w:p>
    <w:p>
      <w:pPr>
        <w:pStyle w:val="BodyText"/>
        <w:spacing w:line="240" w:lineRule="auto" w:before="12"/>
        <w:ind w:left="104" w:right="9408"/>
        <w:jc w:val="left"/>
        <w:rPr>
          <w:rFonts w:ascii="黑体" w:hAnsi="黑体" w:cs="黑体" w:eastAsia="黑体" w:hint="default"/>
        </w:rPr>
      </w:pPr>
      <w:r>
        <w:rPr>
          <w:rFonts w:ascii="黑体" w:hAnsi="黑体" w:cs="黑体" w:eastAsia="黑体" w:hint="default"/>
        </w:rPr>
        <w:t>中国联合网络通信股份有限公司</w:t>
      </w:r>
    </w:p>
    <w:p>
      <w:pPr>
        <w:spacing w:line="240" w:lineRule="auto" w:before="1"/>
        <w:rPr>
          <w:rFonts w:ascii="黑体" w:hAnsi="黑体" w:cs="黑体" w:eastAsia="黑体" w:hint="default"/>
          <w:sz w:val="19"/>
          <w:szCs w:val="19"/>
        </w:rPr>
      </w:pPr>
    </w:p>
    <w:p>
      <w:pPr>
        <w:pStyle w:val="BodyText"/>
        <w:spacing w:line="240" w:lineRule="auto"/>
        <w:ind w:left="104" w:right="9408"/>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left="104" w:right="9408"/>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448" w:lineRule="auto"/>
        <w:ind w:left="103" w:right="9408"/>
        <w:jc w:val="left"/>
      </w:pPr>
      <w:r>
        <w:rPr>
          <w:rFonts w:ascii="黑体" w:hAnsi="黑体" w:cs="黑体" w:eastAsia="黑体" w:hint="default"/>
          <w:spacing w:val="-1"/>
        </w:rPr>
        <w:t>（除特别注明外，金额单位为人民币元）</w:t>
      </w:r>
      <w:r>
        <w:rPr>
          <w:rFonts w:ascii="黑体" w:hAnsi="黑体" w:cs="黑体" w:eastAsia="黑体" w:hint="default"/>
          <w:spacing w:val="-88"/>
        </w:rPr>
        <w:t> </w:t>
      </w:r>
      <w:r>
        <w:rPr>
          <w:rFonts w:ascii="黑体" w:hAnsi="黑体" w:cs="黑体" w:eastAsia="黑体" w:hint="default"/>
          <w:spacing w:val="-88"/>
        </w:rPr>
      </w:r>
      <w:r>
        <w:rPr>
          <w:rFonts w:ascii="黑体" w:hAnsi="黑体" w:cs="黑体" w:eastAsia="黑体" w:hint="default"/>
        </w:rPr>
        <w:t>五</w:t>
      </w:r>
      <w:r>
        <w:rPr>
          <w:rFonts w:ascii="黑体" w:hAnsi="黑体" w:cs="黑体" w:eastAsia="黑体" w:hint="default"/>
          <w:spacing w:val="54"/>
        </w:rPr>
        <w:t> </w:t>
      </w:r>
      <w:r>
        <w:rPr>
          <w:rFonts w:ascii="黑体" w:hAnsi="黑体" w:cs="黑体" w:eastAsia="黑体" w:hint="default"/>
        </w:rPr>
        <w:t>合并财务报表项目附注（续）</w:t>
      </w:r>
      <w:r>
        <w:rPr>
          <w:rFonts w:ascii="黑体" w:hAnsi="黑体" w:cs="黑体" w:eastAsia="黑体" w:hint="default"/>
          <w:spacing w:val="-105"/>
        </w:rPr>
        <w:t> </w:t>
      </w:r>
      <w:r>
        <w:rPr>
          <w:rFonts w:ascii="黑体" w:hAnsi="黑体" w:cs="黑体" w:eastAsia="黑体" w:hint="default"/>
          <w:spacing w:val="-105"/>
        </w:rPr>
      </w:r>
      <w:r>
        <w:rPr>
          <w:rFonts w:ascii="Arial" w:hAnsi="Arial" w:cs="Arial" w:eastAsia="Arial" w:hint="default"/>
          <w:spacing w:val="2"/>
        </w:rPr>
        <w:t>5</w:t>
      </w:r>
      <w:r>
        <w:rPr>
          <w:spacing w:val="2"/>
        </w:rPr>
        <w:t>、预付款项</w:t>
      </w:r>
    </w:p>
    <w:p>
      <w:pPr>
        <w:pStyle w:val="BodyText"/>
        <w:spacing w:line="240" w:lineRule="auto" w:before="20"/>
        <w:ind w:left="147" w:right="9408"/>
        <w:jc w:val="left"/>
      </w:pPr>
      <w:r>
        <w:rPr>
          <w:rFonts w:ascii="Arial" w:hAnsi="Arial" w:cs="Arial" w:eastAsia="Arial" w:hint="default"/>
        </w:rPr>
        <w:t>(a)</w:t>
      </w:r>
      <w:r>
        <w:rPr>
          <w:rFonts w:ascii="Arial" w:hAnsi="Arial" w:cs="Arial" w:eastAsia="Arial" w:hint="default"/>
          <w:spacing w:val="35"/>
        </w:rPr>
        <w:t> </w:t>
      </w:r>
      <w:r>
        <w:rPr/>
        <w:t>本集团预付款项账龄分析如下：</w:t>
      </w:r>
    </w:p>
    <w:p>
      <w:pPr>
        <w:spacing w:line="240" w:lineRule="auto" w:before="3"/>
        <w:rPr>
          <w:rFonts w:ascii="宋体" w:hAnsi="宋体" w:cs="宋体" w:eastAsia="宋体" w:hint="default"/>
          <w:sz w:val="18"/>
          <w:szCs w:val="18"/>
        </w:rPr>
      </w:pPr>
    </w:p>
    <w:tbl>
      <w:tblPr>
        <w:tblW w:w="0" w:type="auto"/>
        <w:jc w:val="left"/>
        <w:tblInd w:w="384" w:type="dxa"/>
        <w:tblLayout w:type="fixed"/>
        <w:tblCellMar>
          <w:top w:w="0" w:type="dxa"/>
          <w:left w:w="0" w:type="dxa"/>
          <w:bottom w:w="0" w:type="dxa"/>
          <w:right w:w="0" w:type="dxa"/>
        </w:tblCellMar>
        <w:tblLook w:val="01E0"/>
      </w:tblPr>
      <w:tblGrid>
        <w:gridCol w:w="2221"/>
        <w:gridCol w:w="110"/>
        <w:gridCol w:w="1661"/>
        <w:gridCol w:w="1526"/>
        <w:gridCol w:w="182"/>
        <w:gridCol w:w="2573"/>
        <w:gridCol w:w="883"/>
        <w:gridCol w:w="178"/>
        <w:gridCol w:w="2006"/>
        <w:gridCol w:w="1786"/>
      </w:tblGrid>
      <w:tr>
        <w:trPr>
          <w:trHeight w:val="265"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221" w:lineRule="exact"/>
              <w:ind w:left="190" w:right="0"/>
              <w:jc w:val="center"/>
              <w:rPr>
                <w:rFonts w:ascii="宋体" w:hAnsi="宋体" w:cs="宋体" w:eastAsia="宋体" w:hint="default"/>
                <w:sz w:val="22"/>
                <w:szCs w:val="22"/>
              </w:rPr>
            </w:pPr>
            <w:r>
              <w:rPr>
                <w:rFonts w:ascii="宋体"/>
                <w:w w:val="100"/>
                <w:sz w:val="22"/>
              </w:rPr>
              <w:t> </w:t>
            </w:r>
          </w:p>
        </w:tc>
        <w:tc>
          <w:tcPr>
            <w:tcW w:w="110" w:type="dxa"/>
            <w:tcBorders>
              <w:top w:val="nil" w:sz="6" w:space="0" w:color="auto"/>
              <w:left w:val="nil" w:sz="6" w:space="0" w:color="auto"/>
              <w:bottom w:val="single" w:sz="6" w:space="0" w:color="000000"/>
              <w:right w:val="nil" w:sz="6" w:space="0" w:color="auto"/>
            </w:tcBorders>
          </w:tcPr>
          <w:p>
            <w:pPr>
              <w:pStyle w:val="TableParagraph"/>
              <w:spacing w:line="221" w:lineRule="exact"/>
              <w:ind w:right="0"/>
              <w:jc w:val="left"/>
              <w:rPr>
                <w:rFonts w:ascii="宋体" w:hAnsi="宋体" w:cs="宋体" w:eastAsia="宋体" w:hint="default"/>
                <w:sz w:val="22"/>
                <w:szCs w:val="22"/>
              </w:rPr>
            </w:pPr>
            <w:r>
              <w:rPr>
                <w:rFonts w:ascii="宋体"/>
                <w:w w:val="100"/>
                <w:sz w:val="22"/>
              </w:rPr>
              <w:t> </w:t>
            </w:r>
          </w:p>
        </w:tc>
        <w:tc>
          <w:tcPr>
            <w:tcW w:w="3187" w:type="dxa"/>
            <w:gridSpan w:val="2"/>
            <w:tcBorders>
              <w:top w:val="nil" w:sz="6" w:space="0" w:color="auto"/>
              <w:left w:val="nil" w:sz="6" w:space="0" w:color="auto"/>
              <w:bottom w:val="single" w:sz="6" w:space="0" w:color="000000"/>
              <w:right w:val="nil" w:sz="6" w:space="0" w:color="auto"/>
            </w:tcBorders>
          </w:tcPr>
          <w:p>
            <w:pPr>
              <w:pStyle w:val="TableParagraph"/>
              <w:spacing w:line="237" w:lineRule="exact"/>
              <w:ind w:left="547"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182" w:type="dxa"/>
            <w:tcBorders>
              <w:top w:val="nil" w:sz="6" w:space="0" w:color="auto"/>
              <w:left w:val="nil" w:sz="6" w:space="0" w:color="auto"/>
              <w:bottom w:val="nil" w:sz="6" w:space="0" w:color="auto"/>
              <w:right w:val="nil" w:sz="6" w:space="0" w:color="auto"/>
            </w:tcBorders>
          </w:tcPr>
          <w:p>
            <w:pPr/>
          </w:p>
        </w:tc>
        <w:tc>
          <w:tcPr>
            <w:tcW w:w="2573" w:type="dxa"/>
            <w:tcBorders>
              <w:top w:val="nil" w:sz="6" w:space="0" w:color="auto"/>
              <w:left w:val="nil" w:sz="6" w:space="0" w:color="auto"/>
              <w:bottom w:val="single" w:sz="6" w:space="0" w:color="000000"/>
              <w:right w:val="nil" w:sz="6" w:space="0" w:color="auto"/>
            </w:tcBorders>
          </w:tcPr>
          <w:p>
            <w:pPr>
              <w:pStyle w:val="TableParagraph"/>
              <w:spacing w:line="237" w:lineRule="exact"/>
              <w:ind w:left="892"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6"/>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Arial" w:hAnsi="Arial" w:cs="Arial" w:eastAsia="Arial" w:hint="default"/>
                <w:sz w:val="22"/>
                <w:szCs w:val="22"/>
              </w:rPr>
              <w:t>1</w:t>
            </w:r>
            <w:r>
              <w:rPr>
                <w:rFonts w:ascii="Arial" w:hAnsi="Arial" w:cs="Arial" w:eastAsia="Arial" w:hint="default"/>
                <w:spacing w:val="-6"/>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Arial" w:hAnsi="Arial" w:cs="Arial" w:eastAsia="Arial" w:hint="default"/>
                <w:sz w:val="22"/>
                <w:szCs w:val="22"/>
              </w:rPr>
              <w:t>1</w:t>
            </w:r>
            <w:r>
              <w:rPr>
                <w:rFonts w:ascii="Arial" w:hAnsi="Arial" w:cs="Arial" w:eastAsia="Arial" w:hint="default"/>
                <w:spacing w:val="-6"/>
                <w:sz w:val="22"/>
                <w:szCs w:val="22"/>
              </w:rPr>
              <w:t> </w:t>
            </w:r>
            <w:r>
              <w:rPr>
                <w:rFonts w:ascii="宋体" w:hAnsi="宋体" w:cs="宋体" w:eastAsia="宋体" w:hint="default"/>
                <w:sz w:val="22"/>
                <w:szCs w:val="22"/>
              </w:rPr>
              <w:t>日</w:t>
            </w:r>
          </w:p>
        </w:tc>
        <w:tc>
          <w:tcPr>
            <w:tcW w:w="883" w:type="dxa"/>
            <w:tcBorders>
              <w:top w:val="nil" w:sz="6" w:space="0" w:color="auto"/>
              <w:left w:val="nil" w:sz="6" w:space="0" w:color="auto"/>
              <w:bottom w:val="single" w:sz="6" w:space="0" w:color="000000"/>
              <w:right w:val="nil" w:sz="6" w:space="0" w:color="auto"/>
            </w:tcBorders>
          </w:tcPr>
          <w:p>
            <w:pPr/>
          </w:p>
        </w:tc>
        <w:tc>
          <w:tcPr>
            <w:tcW w:w="3970" w:type="dxa"/>
            <w:gridSpan w:val="3"/>
            <w:tcBorders>
              <w:top w:val="nil" w:sz="6" w:space="0" w:color="auto"/>
              <w:left w:val="nil" w:sz="6" w:space="0" w:color="auto"/>
              <w:bottom w:val="nil" w:sz="6" w:space="0" w:color="auto"/>
              <w:right w:val="nil" w:sz="6" w:space="0" w:color="auto"/>
            </w:tcBorders>
          </w:tcPr>
          <w:p>
            <w:pPr>
              <w:pStyle w:val="TableParagraph"/>
              <w:spacing w:line="237" w:lineRule="exact"/>
              <w:ind w:left="1113"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298" w:hRule="exact"/>
        </w:trPr>
        <w:tc>
          <w:tcPr>
            <w:tcW w:w="2221" w:type="dxa"/>
            <w:tcBorders>
              <w:top w:val="nil" w:sz="6" w:space="0" w:color="auto"/>
              <w:left w:val="nil" w:sz="6" w:space="0" w:color="auto"/>
              <w:bottom w:val="nil" w:sz="6" w:space="0" w:color="auto"/>
              <w:right w:val="nil" w:sz="6" w:space="0" w:color="auto"/>
            </w:tcBorders>
          </w:tcPr>
          <w:p>
            <w:pPr/>
          </w:p>
        </w:tc>
        <w:tc>
          <w:tcPr>
            <w:tcW w:w="110" w:type="dxa"/>
            <w:tcBorders>
              <w:top w:val="single" w:sz="6" w:space="0" w:color="000000"/>
              <w:left w:val="nil" w:sz="6" w:space="0" w:color="auto"/>
              <w:bottom w:val="single" w:sz="6" w:space="0" w:color="000000"/>
              <w:right w:val="nil" w:sz="6" w:space="0" w:color="auto"/>
            </w:tcBorders>
          </w:tcPr>
          <w:p>
            <w:pPr/>
          </w:p>
        </w:tc>
        <w:tc>
          <w:tcPr>
            <w:tcW w:w="1661" w:type="dxa"/>
            <w:tcBorders>
              <w:top w:val="single" w:sz="6" w:space="0" w:color="000000"/>
              <w:left w:val="nil" w:sz="6" w:space="0" w:color="auto"/>
              <w:bottom w:val="single" w:sz="6" w:space="0" w:color="000000"/>
              <w:right w:val="nil" w:sz="6" w:space="0" w:color="auto"/>
            </w:tcBorders>
          </w:tcPr>
          <w:p>
            <w:pPr>
              <w:pStyle w:val="TableParagraph"/>
              <w:spacing w:line="252" w:lineRule="exact"/>
              <w:ind w:left="1075" w:right="0"/>
              <w:jc w:val="left"/>
              <w:rPr>
                <w:rFonts w:ascii="宋体" w:hAnsi="宋体" w:cs="宋体" w:eastAsia="宋体" w:hint="default"/>
                <w:sz w:val="22"/>
                <w:szCs w:val="22"/>
              </w:rPr>
            </w:pPr>
            <w:r>
              <w:rPr>
                <w:rFonts w:ascii="宋体" w:hAnsi="宋体" w:cs="宋体" w:eastAsia="宋体" w:hint="default"/>
                <w:sz w:val="22"/>
                <w:szCs w:val="22"/>
              </w:rPr>
              <w:t>金额</w:t>
            </w:r>
          </w:p>
        </w:tc>
        <w:tc>
          <w:tcPr>
            <w:tcW w:w="1526" w:type="dxa"/>
            <w:tcBorders>
              <w:top w:val="single" w:sz="6" w:space="0" w:color="000000"/>
              <w:left w:val="nil" w:sz="6" w:space="0" w:color="auto"/>
              <w:bottom w:val="single" w:sz="6" w:space="0" w:color="000000"/>
              <w:right w:val="nil" w:sz="6" w:space="0" w:color="auto"/>
            </w:tcBorders>
          </w:tcPr>
          <w:p>
            <w:pPr>
              <w:pStyle w:val="TableParagraph"/>
              <w:spacing w:line="267" w:lineRule="exact"/>
              <w:ind w:right="87"/>
              <w:jc w:val="right"/>
              <w:rPr>
                <w:rFonts w:ascii="Arial" w:hAnsi="Arial" w:cs="Arial" w:eastAsia="Arial" w:hint="default"/>
                <w:sz w:val="22"/>
                <w:szCs w:val="22"/>
              </w:rPr>
            </w:pPr>
            <w:r>
              <w:rPr>
                <w:rFonts w:ascii="宋体" w:hAnsi="宋体" w:cs="宋体" w:eastAsia="宋体" w:hint="default"/>
                <w:spacing w:val="-1"/>
                <w:sz w:val="22"/>
                <w:szCs w:val="22"/>
              </w:rPr>
              <w:t>比例</w:t>
            </w:r>
            <w:r>
              <w:rPr>
                <w:rFonts w:ascii="Arial" w:hAnsi="Arial" w:cs="Arial" w:eastAsia="Arial" w:hint="default"/>
                <w:spacing w:val="-1"/>
                <w:sz w:val="22"/>
                <w:szCs w:val="22"/>
              </w:rPr>
              <w:t>(%)</w:t>
            </w:r>
          </w:p>
        </w:tc>
        <w:tc>
          <w:tcPr>
            <w:tcW w:w="182" w:type="dxa"/>
            <w:tcBorders>
              <w:top w:val="nil" w:sz="6" w:space="0" w:color="auto"/>
              <w:left w:val="nil" w:sz="6" w:space="0" w:color="auto"/>
              <w:bottom w:val="nil" w:sz="6" w:space="0" w:color="auto"/>
              <w:right w:val="nil" w:sz="6" w:space="0" w:color="auto"/>
            </w:tcBorders>
          </w:tcPr>
          <w:p>
            <w:pPr/>
          </w:p>
        </w:tc>
        <w:tc>
          <w:tcPr>
            <w:tcW w:w="2573" w:type="dxa"/>
            <w:tcBorders>
              <w:top w:val="single" w:sz="6" w:space="0" w:color="000000"/>
              <w:left w:val="nil" w:sz="6" w:space="0" w:color="auto"/>
              <w:bottom w:val="single" w:sz="6" w:space="0" w:color="000000"/>
              <w:right w:val="nil" w:sz="6" w:space="0" w:color="auto"/>
            </w:tcBorders>
          </w:tcPr>
          <w:p>
            <w:pPr>
              <w:pStyle w:val="TableParagraph"/>
              <w:spacing w:line="252" w:lineRule="exact"/>
              <w:ind w:left="182" w:right="0"/>
              <w:jc w:val="center"/>
              <w:rPr>
                <w:rFonts w:ascii="宋体" w:hAnsi="宋体" w:cs="宋体" w:eastAsia="宋体" w:hint="default"/>
                <w:sz w:val="22"/>
                <w:szCs w:val="22"/>
              </w:rPr>
            </w:pPr>
            <w:r>
              <w:rPr>
                <w:rFonts w:ascii="宋体" w:hAnsi="宋体" w:cs="宋体" w:eastAsia="宋体" w:hint="default"/>
                <w:sz w:val="22"/>
                <w:szCs w:val="22"/>
              </w:rPr>
              <w:t>金额</w:t>
            </w:r>
          </w:p>
        </w:tc>
        <w:tc>
          <w:tcPr>
            <w:tcW w:w="883" w:type="dxa"/>
            <w:tcBorders>
              <w:top w:val="single" w:sz="6" w:space="0" w:color="000000"/>
              <w:left w:val="nil" w:sz="6" w:space="0" w:color="auto"/>
              <w:bottom w:val="single" w:sz="6" w:space="0" w:color="000000"/>
              <w:right w:val="nil" w:sz="6" w:space="0" w:color="auto"/>
            </w:tcBorders>
          </w:tcPr>
          <w:p>
            <w:pPr>
              <w:pStyle w:val="TableParagraph"/>
              <w:spacing w:line="267" w:lineRule="exact"/>
              <w:ind w:right="87"/>
              <w:jc w:val="right"/>
              <w:rPr>
                <w:rFonts w:ascii="Arial" w:hAnsi="Arial" w:cs="Arial" w:eastAsia="Arial" w:hint="default"/>
                <w:sz w:val="22"/>
                <w:szCs w:val="22"/>
              </w:rPr>
            </w:pPr>
            <w:r>
              <w:rPr>
                <w:rFonts w:ascii="宋体" w:hAnsi="宋体" w:cs="宋体" w:eastAsia="宋体" w:hint="default"/>
                <w:spacing w:val="-1"/>
                <w:sz w:val="22"/>
                <w:szCs w:val="22"/>
              </w:rPr>
              <w:t>比例</w:t>
            </w:r>
            <w:r>
              <w:rPr>
                <w:rFonts w:ascii="Arial" w:hAnsi="Arial" w:cs="Arial" w:eastAsia="Arial" w:hint="default"/>
                <w:spacing w:val="-1"/>
                <w:sz w:val="22"/>
                <w:szCs w:val="22"/>
              </w:rPr>
              <w:t>(%)</w:t>
            </w:r>
          </w:p>
        </w:tc>
        <w:tc>
          <w:tcPr>
            <w:tcW w:w="178" w:type="dxa"/>
            <w:tcBorders>
              <w:top w:val="nil" w:sz="6" w:space="0" w:color="auto"/>
              <w:left w:val="nil" w:sz="6" w:space="0" w:color="auto"/>
              <w:bottom w:val="nil" w:sz="6" w:space="0" w:color="auto"/>
              <w:right w:val="nil" w:sz="6" w:space="0" w:color="auto"/>
            </w:tcBorders>
          </w:tcPr>
          <w:p>
            <w:pPr/>
          </w:p>
        </w:tc>
        <w:tc>
          <w:tcPr>
            <w:tcW w:w="2006" w:type="dxa"/>
            <w:tcBorders>
              <w:top w:val="single" w:sz="6" w:space="0" w:color="000000"/>
              <w:left w:val="nil" w:sz="6" w:space="0" w:color="auto"/>
              <w:bottom w:val="single" w:sz="6" w:space="0" w:color="000000"/>
              <w:right w:val="nil" w:sz="6" w:space="0" w:color="auto"/>
            </w:tcBorders>
          </w:tcPr>
          <w:p>
            <w:pPr>
              <w:pStyle w:val="TableParagraph"/>
              <w:spacing w:line="252" w:lineRule="exact"/>
              <w:ind w:left="1276" w:right="0"/>
              <w:jc w:val="left"/>
              <w:rPr>
                <w:rFonts w:ascii="宋体" w:hAnsi="宋体" w:cs="宋体" w:eastAsia="宋体" w:hint="default"/>
                <w:sz w:val="22"/>
                <w:szCs w:val="22"/>
              </w:rPr>
            </w:pPr>
            <w:r>
              <w:rPr>
                <w:rFonts w:ascii="宋体" w:hAnsi="宋体" w:cs="宋体" w:eastAsia="宋体" w:hint="default"/>
                <w:sz w:val="22"/>
                <w:szCs w:val="22"/>
              </w:rPr>
              <w:t>金额</w:t>
            </w:r>
          </w:p>
        </w:tc>
        <w:tc>
          <w:tcPr>
            <w:tcW w:w="1786" w:type="dxa"/>
            <w:tcBorders>
              <w:top w:val="single" w:sz="6" w:space="0" w:color="000000"/>
              <w:left w:val="nil" w:sz="6" w:space="0" w:color="auto"/>
              <w:bottom w:val="single" w:sz="6" w:space="0" w:color="000000"/>
              <w:right w:val="nil" w:sz="6" w:space="0" w:color="auto"/>
            </w:tcBorders>
          </w:tcPr>
          <w:p>
            <w:pPr>
              <w:pStyle w:val="TableParagraph"/>
              <w:spacing w:line="267" w:lineRule="exact"/>
              <w:ind w:right="140"/>
              <w:jc w:val="right"/>
              <w:rPr>
                <w:rFonts w:ascii="Arial" w:hAnsi="Arial" w:cs="Arial" w:eastAsia="Arial" w:hint="default"/>
                <w:sz w:val="22"/>
                <w:szCs w:val="22"/>
              </w:rPr>
            </w:pPr>
            <w:r>
              <w:rPr>
                <w:rFonts w:ascii="宋体" w:hAnsi="宋体" w:cs="宋体" w:eastAsia="宋体" w:hint="default"/>
                <w:spacing w:val="-1"/>
                <w:sz w:val="22"/>
                <w:szCs w:val="22"/>
              </w:rPr>
              <w:t>比例</w:t>
            </w:r>
            <w:r>
              <w:rPr>
                <w:rFonts w:ascii="Arial" w:hAnsi="Arial" w:cs="Arial" w:eastAsia="Arial" w:hint="default"/>
                <w:spacing w:val="-1"/>
                <w:sz w:val="22"/>
                <w:szCs w:val="22"/>
              </w:rPr>
              <w:t>(%)</w:t>
            </w:r>
          </w:p>
        </w:tc>
      </w:tr>
      <w:tr>
        <w:trPr>
          <w:trHeight w:val="295"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264" w:lineRule="exact"/>
              <w:ind w:left="190" w:right="0"/>
              <w:jc w:val="center"/>
              <w:rPr>
                <w:rFonts w:ascii="宋体" w:hAnsi="宋体" w:cs="宋体" w:eastAsia="宋体" w:hint="default"/>
                <w:sz w:val="22"/>
                <w:szCs w:val="22"/>
              </w:rPr>
            </w:pPr>
            <w:r>
              <w:rPr>
                <w:rFonts w:ascii="宋体"/>
                <w:w w:val="100"/>
                <w:sz w:val="22"/>
              </w:rPr>
              <w:t> </w:t>
            </w:r>
          </w:p>
        </w:tc>
        <w:tc>
          <w:tcPr>
            <w:tcW w:w="110" w:type="dxa"/>
            <w:tcBorders>
              <w:top w:val="single" w:sz="6" w:space="0" w:color="000000"/>
              <w:left w:val="nil" w:sz="6" w:space="0" w:color="auto"/>
              <w:bottom w:val="nil" w:sz="6" w:space="0" w:color="auto"/>
              <w:right w:val="nil" w:sz="6" w:space="0" w:color="auto"/>
            </w:tcBorders>
          </w:tcPr>
          <w:p>
            <w:pPr>
              <w:pStyle w:val="TableParagraph"/>
              <w:spacing w:line="257" w:lineRule="exact"/>
              <w:ind w:right="0"/>
              <w:jc w:val="left"/>
              <w:rPr>
                <w:rFonts w:ascii="宋体" w:hAnsi="宋体" w:cs="宋体" w:eastAsia="宋体" w:hint="default"/>
                <w:sz w:val="22"/>
                <w:szCs w:val="22"/>
              </w:rPr>
            </w:pPr>
            <w:r>
              <w:rPr>
                <w:rFonts w:ascii="宋体"/>
                <w:w w:val="100"/>
                <w:sz w:val="22"/>
              </w:rPr>
              <w:t> </w:t>
            </w:r>
          </w:p>
        </w:tc>
        <w:tc>
          <w:tcPr>
            <w:tcW w:w="1661" w:type="dxa"/>
            <w:tcBorders>
              <w:top w:val="single" w:sz="6" w:space="0" w:color="000000"/>
              <w:left w:val="nil" w:sz="6" w:space="0" w:color="auto"/>
              <w:bottom w:val="nil" w:sz="6" w:space="0" w:color="auto"/>
              <w:right w:val="nil" w:sz="6" w:space="0" w:color="auto"/>
            </w:tcBorders>
          </w:tcPr>
          <w:p>
            <w:pPr/>
          </w:p>
        </w:tc>
        <w:tc>
          <w:tcPr>
            <w:tcW w:w="1526" w:type="dxa"/>
            <w:tcBorders>
              <w:top w:val="single" w:sz="6" w:space="0" w:color="000000"/>
              <w:left w:val="nil" w:sz="6" w:space="0" w:color="auto"/>
              <w:bottom w:val="nil" w:sz="6" w:space="0" w:color="auto"/>
              <w:right w:val="nil" w:sz="6" w:space="0" w:color="auto"/>
            </w:tcBorders>
          </w:tcPr>
          <w:p>
            <w:pPr/>
          </w:p>
        </w:tc>
        <w:tc>
          <w:tcPr>
            <w:tcW w:w="182" w:type="dxa"/>
            <w:tcBorders>
              <w:top w:val="nil" w:sz="6" w:space="0" w:color="auto"/>
              <w:left w:val="nil" w:sz="6" w:space="0" w:color="auto"/>
              <w:bottom w:val="nil" w:sz="6" w:space="0" w:color="auto"/>
              <w:right w:val="nil" w:sz="6" w:space="0" w:color="auto"/>
            </w:tcBorders>
          </w:tcPr>
          <w:p>
            <w:pPr/>
          </w:p>
        </w:tc>
        <w:tc>
          <w:tcPr>
            <w:tcW w:w="2573" w:type="dxa"/>
            <w:tcBorders>
              <w:top w:val="single" w:sz="6" w:space="0" w:color="000000"/>
              <w:left w:val="nil" w:sz="6" w:space="0" w:color="auto"/>
              <w:bottom w:val="nil" w:sz="6" w:space="0" w:color="auto"/>
              <w:right w:val="nil" w:sz="6" w:space="0" w:color="auto"/>
            </w:tcBorders>
          </w:tcPr>
          <w:p>
            <w:pPr>
              <w:pStyle w:val="TableParagraph"/>
              <w:spacing w:line="20" w:lineRule="exact"/>
              <w:ind w:left="-8" w:right="0"/>
              <w:jc w:val="left"/>
              <w:rPr>
                <w:rFonts w:ascii="宋体" w:hAnsi="宋体" w:cs="宋体" w:eastAsia="宋体" w:hint="default"/>
                <w:sz w:val="2"/>
                <w:szCs w:val="2"/>
              </w:rPr>
            </w:pPr>
            <w:r>
              <w:rPr>
                <w:rFonts w:ascii="宋体" w:hAnsi="宋体" w:cs="宋体" w:eastAsia="宋体" w:hint="default"/>
                <w:sz w:val="2"/>
                <w:szCs w:val="2"/>
              </w:rPr>
              <w:pict>
                <v:group style="width:88.8pt;height:.75pt;mso-position-horizontal-relative:char;mso-position-vertical-relative:line" coordorigin="0,0" coordsize="1776,15">
                  <v:group style="position:absolute;left:7;top:7;width:1762;height:2" coordorigin="7,7" coordsize="1762,2">
                    <v:shape style="position:absolute;left:7;top:7;width:1762;height:2" coordorigin="7,7" coordsize="1762,0" path="m7,7l1769,7e" filled="false" stroked="true" strokeweight=".72pt" strokecolor="#000000">
                      <v:path arrowok="t"/>
                    </v:shape>
                  </v:group>
                </v:group>
              </w:pict>
            </w:r>
            <w:r>
              <w:rPr>
                <w:rFonts w:ascii="宋体" w:hAnsi="宋体" w:cs="宋体" w:eastAsia="宋体" w:hint="default"/>
                <w:sz w:val="2"/>
                <w:szCs w:val="2"/>
              </w:rPr>
            </w:r>
          </w:p>
          <w:p>
            <w:pPr>
              <w:pStyle w:val="TableParagraph"/>
              <w:spacing w:line="240" w:lineRule="auto" w:before="7"/>
              <w:ind w:right="0"/>
              <w:jc w:val="left"/>
              <w:rPr>
                <w:rFonts w:ascii="宋体" w:hAnsi="宋体" w:cs="宋体" w:eastAsia="宋体" w:hint="default"/>
                <w:sz w:val="21"/>
                <w:szCs w:val="21"/>
              </w:rPr>
            </w:pPr>
          </w:p>
        </w:tc>
        <w:tc>
          <w:tcPr>
            <w:tcW w:w="883" w:type="dxa"/>
            <w:tcBorders>
              <w:top w:val="single" w:sz="6" w:space="0" w:color="000000"/>
              <w:left w:val="nil" w:sz="6" w:space="0" w:color="auto"/>
              <w:bottom w:val="nil" w:sz="6" w:space="0" w:color="auto"/>
              <w:right w:val="nil" w:sz="6" w:space="0" w:color="auto"/>
            </w:tcBorders>
          </w:tcPr>
          <w:p>
            <w:pPr/>
          </w:p>
        </w:tc>
        <w:tc>
          <w:tcPr>
            <w:tcW w:w="178" w:type="dxa"/>
            <w:tcBorders>
              <w:top w:val="nil" w:sz="6" w:space="0" w:color="auto"/>
              <w:left w:val="nil" w:sz="6" w:space="0" w:color="auto"/>
              <w:bottom w:val="nil" w:sz="6" w:space="0" w:color="auto"/>
              <w:right w:val="nil" w:sz="6" w:space="0" w:color="auto"/>
            </w:tcBorders>
          </w:tcPr>
          <w:p>
            <w:pPr/>
          </w:p>
        </w:tc>
        <w:tc>
          <w:tcPr>
            <w:tcW w:w="2006" w:type="dxa"/>
            <w:tcBorders>
              <w:top w:val="single" w:sz="6" w:space="0" w:color="000000"/>
              <w:left w:val="nil" w:sz="6" w:space="0" w:color="auto"/>
              <w:bottom w:val="nil" w:sz="6" w:space="0" w:color="auto"/>
              <w:right w:val="nil" w:sz="6" w:space="0" w:color="auto"/>
            </w:tcBorders>
          </w:tcPr>
          <w:p>
            <w:pPr/>
          </w:p>
        </w:tc>
        <w:tc>
          <w:tcPr>
            <w:tcW w:w="1786" w:type="dxa"/>
            <w:tcBorders>
              <w:top w:val="single" w:sz="6" w:space="0" w:color="000000"/>
              <w:left w:val="nil" w:sz="6" w:space="0" w:color="auto"/>
              <w:bottom w:val="nil" w:sz="6" w:space="0" w:color="auto"/>
              <w:right w:val="nil" w:sz="6" w:space="0" w:color="auto"/>
            </w:tcBorders>
          </w:tcPr>
          <w:p>
            <w:pPr/>
          </w:p>
        </w:tc>
      </w:tr>
      <w:tr>
        <w:trPr>
          <w:trHeight w:val="296"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268" w:lineRule="exact"/>
              <w:ind w:left="200" w:right="0"/>
              <w:jc w:val="left"/>
              <w:rPr>
                <w:rFonts w:ascii="宋体" w:hAnsi="宋体" w:cs="宋体" w:eastAsia="宋体" w:hint="default"/>
                <w:sz w:val="22"/>
                <w:szCs w:val="22"/>
              </w:rPr>
            </w:pPr>
            <w:r>
              <w:rPr>
                <w:rFonts w:ascii="Arial" w:hAnsi="Arial" w:cs="Arial" w:eastAsia="Arial" w:hint="default"/>
                <w:sz w:val="22"/>
                <w:szCs w:val="22"/>
              </w:rPr>
              <w:t>1</w:t>
            </w:r>
            <w:r>
              <w:rPr>
                <w:rFonts w:ascii="Arial" w:hAnsi="Arial" w:cs="Arial" w:eastAsia="Arial" w:hint="default"/>
                <w:spacing w:val="-5"/>
                <w:sz w:val="22"/>
                <w:szCs w:val="22"/>
              </w:rPr>
              <w:t> </w:t>
            </w:r>
            <w:r>
              <w:rPr>
                <w:rFonts w:ascii="宋体" w:hAnsi="宋体" w:cs="宋体" w:eastAsia="宋体" w:hint="default"/>
                <w:sz w:val="22"/>
                <w:szCs w:val="22"/>
              </w:rPr>
              <w:t>年以内（含</w:t>
            </w:r>
            <w:r>
              <w:rPr>
                <w:rFonts w:ascii="宋体" w:hAnsi="宋体" w:cs="宋体" w:eastAsia="宋体" w:hint="default"/>
                <w:spacing w:val="-57"/>
                <w:sz w:val="22"/>
                <w:szCs w:val="22"/>
              </w:rPr>
              <w:t> </w:t>
            </w:r>
            <w:r>
              <w:rPr>
                <w:rFonts w:ascii="Arial" w:hAnsi="Arial" w:cs="Arial" w:eastAsia="Arial" w:hint="default"/>
                <w:sz w:val="22"/>
                <w:szCs w:val="22"/>
              </w:rPr>
              <w:t>1</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z w:val="22"/>
                <w:szCs w:val="22"/>
              </w:rPr>
              <w:t>)</w:t>
            </w:r>
          </w:p>
        </w:tc>
        <w:tc>
          <w:tcPr>
            <w:tcW w:w="110" w:type="dxa"/>
            <w:tcBorders>
              <w:top w:val="nil" w:sz="6" w:space="0" w:color="auto"/>
              <w:left w:val="nil" w:sz="6" w:space="0" w:color="auto"/>
              <w:bottom w:val="nil" w:sz="6" w:space="0" w:color="auto"/>
              <w:right w:val="nil" w:sz="6" w:space="0" w:color="auto"/>
            </w:tcBorders>
          </w:tcPr>
          <w:p>
            <w:pPr>
              <w:pStyle w:val="TableParagraph"/>
              <w:spacing w:line="252" w:lineRule="exact"/>
              <w:ind w:right="0"/>
              <w:jc w:val="left"/>
              <w:rPr>
                <w:rFonts w:ascii="宋体" w:hAnsi="宋体" w:cs="宋体" w:eastAsia="宋体" w:hint="default"/>
                <w:sz w:val="22"/>
                <w:szCs w:val="22"/>
              </w:rPr>
            </w:pPr>
            <w:r>
              <w:rPr>
                <w:rFonts w:ascii="宋体"/>
                <w:w w:val="100"/>
                <w:sz w:val="22"/>
              </w:rPr>
              <w:t> </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53"/>
              <w:jc w:val="right"/>
              <w:rPr>
                <w:rFonts w:ascii="Arial" w:hAnsi="Arial" w:cs="Arial" w:eastAsia="Arial" w:hint="default"/>
                <w:sz w:val="22"/>
                <w:szCs w:val="22"/>
              </w:rPr>
            </w:pPr>
            <w:r>
              <w:rPr>
                <w:rFonts w:ascii="Arial"/>
                <w:spacing w:val="-1"/>
                <w:sz w:val="22"/>
              </w:rPr>
              <w:t>4,011,160,059</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52"/>
              <w:jc w:val="right"/>
              <w:rPr>
                <w:rFonts w:ascii="Arial" w:hAnsi="Arial" w:cs="Arial" w:eastAsia="Arial" w:hint="default"/>
                <w:sz w:val="22"/>
                <w:szCs w:val="22"/>
              </w:rPr>
            </w:pPr>
            <w:r>
              <w:rPr>
                <w:rFonts w:ascii="Arial"/>
                <w:sz w:val="22"/>
              </w:rPr>
              <w:t>95.58</w:t>
            </w:r>
          </w:p>
        </w:tc>
        <w:tc>
          <w:tcPr>
            <w:tcW w:w="182" w:type="dxa"/>
            <w:tcBorders>
              <w:top w:val="nil" w:sz="6" w:space="0" w:color="auto"/>
              <w:left w:val="nil" w:sz="6" w:space="0" w:color="auto"/>
              <w:bottom w:val="nil" w:sz="6" w:space="0" w:color="auto"/>
              <w:right w:val="nil" w:sz="6" w:space="0" w:color="auto"/>
            </w:tcBorders>
          </w:tcPr>
          <w:p>
            <w:pPr/>
          </w:p>
        </w:tc>
        <w:tc>
          <w:tcPr>
            <w:tcW w:w="2573"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07" w:right="0"/>
              <w:jc w:val="left"/>
              <w:rPr>
                <w:rFonts w:ascii="Arial" w:hAnsi="Arial" w:cs="Arial" w:eastAsia="Arial" w:hint="default"/>
                <w:sz w:val="22"/>
                <w:szCs w:val="22"/>
              </w:rPr>
            </w:pPr>
            <w:r>
              <w:rPr>
                <w:rFonts w:ascii="Arial"/>
                <w:sz w:val="22"/>
              </w:rPr>
              <w:t>3,323,946,041</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46"/>
              <w:jc w:val="right"/>
              <w:rPr>
                <w:rFonts w:ascii="Arial" w:hAnsi="Arial" w:cs="Arial" w:eastAsia="Arial" w:hint="default"/>
                <w:sz w:val="22"/>
                <w:szCs w:val="22"/>
              </w:rPr>
            </w:pPr>
            <w:r>
              <w:rPr>
                <w:rFonts w:ascii="Arial"/>
                <w:sz w:val="22"/>
              </w:rPr>
              <w:t>94.85</w:t>
            </w:r>
          </w:p>
        </w:tc>
        <w:tc>
          <w:tcPr>
            <w:tcW w:w="178" w:type="dxa"/>
            <w:tcBorders>
              <w:top w:val="nil" w:sz="6" w:space="0" w:color="auto"/>
              <w:left w:val="nil" w:sz="6" w:space="0" w:color="auto"/>
              <w:bottom w:val="nil" w:sz="6" w:space="0" w:color="auto"/>
              <w:right w:val="nil" w:sz="6" w:space="0" w:color="auto"/>
            </w:tcBorders>
          </w:tcPr>
          <w:p>
            <w:pPr/>
          </w:p>
        </w:tc>
        <w:tc>
          <w:tcPr>
            <w:tcW w:w="200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43"/>
              <w:jc w:val="right"/>
              <w:rPr>
                <w:rFonts w:ascii="Arial" w:hAnsi="Arial" w:cs="Arial" w:eastAsia="Arial" w:hint="default"/>
                <w:sz w:val="22"/>
                <w:szCs w:val="22"/>
              </w:rPr>
            </w:pPr>
            <w:r>
              <w:rPr>
                <w:rFonts w:ascii="Arial"/>
                <w:spacing w:val="-1"/>
                <w:sz w:val="22"/>
              </w:rPr>
              <w:t>3,850,152,876</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46"/>
              <w:jc w:val="right"/>
              <w:rPr>
                <w:rFonts w:ascii="Arial" w:hAnsi="Arial" w:cs="Arial" w:eastAsia="Arial" w:hint="default"/>
                <w:sz w:val="22"/>
                <w:szCs w:val="22"/>
              </w:rPr>
            </w:pPr>
            <w:r>
              <w:rPr>
                <w:rFonts w:ascii="Arial"/>
                <w:sz w:val="22"/>
              </w:rPr>
              <w:t>95.52</w:t>
            </w:r>
          </w:p>
        </w:tc>
      </w:tr>
      <w:tr>
        <w:trPr>
          <w:trHeight w:val="288"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Arial" w:hAnsi="Arial" w:cs="Arial" w:eastAsia="Arial" w:hint="default"/>
                <w:sz w:val="22"/>
                <w:szCs w:val="22"/>
              </w:rPr>
              <w:t>1-2</w:t>
            </w:r>
            <w:r>
              <w:rPr>
                <w:rFonts w:ascii="Arial" w:hAnsi="Arial" w:cs="Arial" w:eastAsia="Arial" w:hint="default"/>
                <w:spacing w:val="-6"/>
                <w:sz w:val="22"/>
                <w:szCs w:val="22"/>
              </w:rPr>
              <w:t> </w:t>
            </w:r>
            <w:r>
              <w:rPr>
                <w:rFonts w:ascii="宋体" w:hAnsi="宋体" w:cs="宋体" w:eastAsia="宋体" w:hint="default"/>
                <w:sz w:val="22"/>
                <w:szCs w:val="22"/>
              </w:rPr>
              <w:t>年（含</w:t>
            </w:r>
            <w:r>
              <w:rPr>
                <w:rFonts w:ascii="宋体" w:hAnsi="宋体" w:cs="宋体" w:eastAsia="宋体" w:hint="default"/>
                <w:spacing w:val="-57"/>
                <w:sz w:val="22"/>
                <w:szCs w:val="22"/>
              </w:rPr>
              <w:t> </w:t>
            </w:r>
            <w:r>
              <w:rPr>
                <w:rFonts w:ascii="Arial" w:hAnsi="Arial" w:cs="Arial" w:eastAsia="Arial" w:hint="default"/>
                <w:sz w:val="22"/>
                <w:szCs w:val="22"/>
              </w:rPr>
              <w:t>2</w:t>
            </w:r>
            <w:r>
              <w:rPr>
                <w:rFonts w:ascii="Arial" w:hAnsi="Arial" w:cs="Arial" w:eastAsia="Arial" w:hint="default"/>
                <w:spacing w:val="-6"/>
                <w:sz w:val="22"/>
                <w:szCs w:val="22"/>
              </w:rPr>
              <w:t> </w:t>
            </w:r>
            <w:r>
              <w:rPr>
                <w:rFonts w:ascii="宋体" w:hAnsi="宋体" w:cs="宋体" w:eastAsia="宋体" w:hint="default"/>
                <w:sz w:val="22"/>
                <w:szCs w:val="22"/>
              </w:rPr>
              <w:t>年</w:t>
            </w:r>
            <w:r>
              <w:rPr>
                <w:rFonts w:ascii="宋体" w:hAnsi="宋体" w:cs="宋体" w:eastAsia="宋体" w:hint="default"/>
                <w:sz w:val="22"/>
                <w:szCs w:val="22"/>
              </w:rPr>
              <w:t>)</w:t>
            </w:r>
          </w:p>
        </w:tc>
        <w:tc>
          <w:tcPr>
            <w:tcW w:w="110" w:type="dxa"/>
            <w:tcBorders>
              <w:top w:val="nil" w:sz="6" w:space="0" w:color="auto"/>
              <w:left w:val="nil" w:sz="6" w:space="0" w:color="auto"/>
              <w:bottom w:val="nil" w:sz="6" w:space="0" w:color="auto"/>
              <w:right w:val="nil" w:sz="6" w:space="0" w:color="auto"/>
            </w:tcBorders>
          </w:tcPr>
          <w:p>
            <w:pPr>
              <w:pStyle w:val="TableParagraph"/>
              <w:spacing w:line="239" w:lineRule="exact"/>
              <w:ind w:right="0"/>
              <w:jc w:val="left"/>
              <w:rPr>
                <w:rFonts w:ascii="宋体" w:hAnsi="宋体" w:cs="宋体" w:eastAsia="宋体" w:hint="default"/>
                <w:sz w:val="22"/>
                <w:szCs w:val="22"/>
              </w:rPr>
            </w:pPr>
            <w:r>
              <w:rPr>
                <w:rFonts w:ascii="宋体"/>
                <w:w w:val="100"/>
                <w:sz w:val="22"/>
              </w:rPr>
              <w:t> </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8"/>
              <w:jc w:val="right"/>
              <w:rPr>
                <w:rFonts w:ascii="Arial" w:hAnsi="Arial" w:cs="Arial" w:eastAsia="Arial" w:hint="default"/>
                <w:sz w:val="22"/>
                <w:szCs w:val="22"/>
              </w:rPr>
            </w:pPr>
            <w:r>
              <w:rPr>
                <w:rFonts w:ascii="Arial"/>
                <w:spacing w:val="-1"/>
                <w:sz w:val="22"/>
              </w:rPr>
              <w:t>120,245,030</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
              <w:jc w:val="right"/>
              <w:rPr>
                <w:rFonts w:ascii="Arial" w:hAnsi="Arial" w:cs="Arial" w:eastAsia="Arial" w:hint="default"/>
                <w:sz w:val="22"/>
                <w:szCs w:val="22"/>
              </w:rPr>
            </w:pPr>
            <w:r>
              <w:rPr>
                <w:rFonts w:ascii="Arial"/>
                <w:spacing w:val="-1"/>
                <w:sz w:val="22"/>
              </w:rPr>
              <w:t>2.87</w:t>
            </w:r>
            <w:r>
              <w:rPr>
                <w:rFonts w:ascii="Arial"/>
                <w:sz w:val="22"/>
              </w:rPr>
            </w:r>
          </w:p>
        </w:tc>
        <w:tc>
          <w:tcPr>
            <w:tcW w:w="182" w:type="dxa"/>
            <w:tcBorders>
              <w:top w:val="nil" w:sz="6" w:space="0" w:color="auto"/>
              <w:left w:val="nil" w:sz="6" w:space="0" w:color="auto"/>
              <w:bottom w:val="nil" w:sz="6" w:space="0" w:color="auto"/>
              <w:right w:val="nil" w:sz="6" w:space="0" w:color="auto"/>
            </w:tcBorders>
          </w:tcPr>
          <w:p>
            <w:pPr/>
          </w:p>
        </w:tc>
        <w:tc>
          <w:tcPr>
            <w:tcW w:w="2573" w:type="dxa"/>
            <w:tcBorders>
              <w:top w:val="nil" w:sz="6" w:space="0" w:color="auto"/>
              <w:left w:val="nil" w:sz="6" w:space="0" w:color="auto"/>
              <w:bottom w:val="nil" w:sz="6" w:space="0" w:color="auto"/>
              <w:right w:val="nil" w:sz="6" w:space="0" w:color="auto"/>
            </w:tcBorders>
          </w:tcPr>
          <w:p>
            <w:pPr>
              <w:pStyle w:val="TableParagraph"/>
              <w:spacing w:line="240" w:lineRule="auto" w:before="21"/>
              <w:ind w:left="489" w:right="0"/>
              <w:jc w:val="left"/>
              <w:rPr>
                <w:rFonts w:ascii="Arial" w:hAnsi="Arial" w:cs="Arial" w:eastAsia="Arial" w:hint="default"/>
                <w:sz w:val="22"/>
                <w:szCs w:val="22"/>
              </w:rPr>
            </w:pPr>
            <w:r>
              <w:rPr>
                <w:rFonts w:ascii="Arial"/>
                <w:sz w:val="22"/>
              </w:rPr>
              <w:t>114,964,616</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
              <w:jc w:val="right"/>
              <w:rPr>
                <w:rFonts w:ascii="Arial" w:hAnsi="Arial" w:cs="Arial" w:eastAsia="Arial" w:hint="default"/>
                <w:sz w:val="22"/>
                <w:szCs w:val="22"/>
              </w:rPr>
            </w:pPr>
            <w:r>
              <w:rPr>
                <w:rFonts w:ascii="Arial"/>
                <w:spacing w:val="-1"/>
                <w:sz w:val="22"/>
              </w:rPr>
              <w:t>3.28</w:t>
            </w:r>
            <w:r>
              <w:rPr>
                <w:rFonts w:ascii="Arial"/>
                <w:sz w:val="22"/>
              </w:rPr>
            </w:r>
          </w:p>
        </w:tc>
        <w:tc>
          <w:tcPr>
            <w:tcW w:w="178" w:type="dxa"/>
            <w:tcBorders>
              <w:top w:val="nil" w:sz="6" w:space="0" w:color="auto"/>
              <w:left w:val="nil" w:sz="6" w:space="0" w:color="auto"/>
              <w:bottom w:val="nil" w:sz="6" w:space="0" w:color="auto"/>
              <w:right w:val="nil" w:sz="6" w:space="0" w:color="auto"/>
            </w:tcBorders>
          </w:tcPr>
          <w:p>
            <w:pPr/>
          </w:p>
        </w:tc>
        <w:tc>
          <w:tcPr>
            <w:tcW w:w="200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3"/>
              <w:jc w:val="right"/>
              <w:rPr>
                <w:rFonts w:ascii="Arial" w:hAnsi="Arial" w:cs="Arial" w:eastAsia="Arial" w:hint="default"/>
                <w:sz w:val="22"/>
                <w:szCs w:val="22"/>
              </w:rPr>
            </w:pPr>
            <w:r>
              <w:rPr>
                <w:rFonts w:ascii="Arial"/>
                <w:spacing w:val="-1"/>
                <w:sz w:val="22"/>
              </w:rPr>
              <w:t>114,964,616</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
              <w:jc w:val="right"/>
              <w:rPr>
                <w:rFonts w:ascii="Arial" w:hAnsi="Arial" w:cs="Arial" w:eastAsia="Arial" w:hint="default"/>
                <w:sz w:val="22"/>
                <w:szCs w:val="22"/>
              </w:rPr>
            </w:pPr>
            <w:r>
              <w:rPr>
                <w:rFonts w:ascii="Arial"/>
                <w:spacing w:val="-1"/>
                <w:sz w:val="22"/>
              </w:rPr>
              <w:t>2.85</w:t>
            </w:r>
            <w:r>
              <w:rPr>
                <w:rFonts w:ascii="Arial"/>
                <w:sz w:val="22"/>
              </w:rPr>
            </w:r>
          </w:p>
        </w:tc>
      </w:tr>
      <w:tr>
        <w:trPr>
          <w:trHeight w:val="283"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Arial" w:hAnsi="Arial" w:cs="Arial" w:eastAsia="Arial" w:hint="default"/>
                <w:sz w:val="22"/>
                <w:szCs w:val="22"/>
              </w:rPr>
              <w:t>2-3</w:t>
            </w:r>
            <w:r>
              <w:rPr>
                <w:rFonts w:ascii="Arial" w:hAnsi="Arial" w:cs="Arial" w:eastAsia="Arial" w:hint="default"/>
                <w:spacing w:val="-6"/>
                <w:sz w:val="22"/>
                <w:szCs w:val="22"/>
              </w:rPr>
              <w:t> </w:t>
            </w:r>
            <w:r>
              <w:rPr>
                <w:rFonts w:ascii="宋体" w:hAnsi="宋体" w:cs="宋体" w:eastAsia="宋体" w:hint="default"/>
                <w:sz w:val="22"/>
                <w:szCs w:val="22"/>
              </w:rPr>
              <w:t>年（含</w:t>
            </w:r>
            <w:r>
              <w:rPr>
                <w:rFonts w:ascii="宋体" w:hAnsi="宋体" w:cs="宋体" w:eastAsia="宋体" w:hint="default"/>
                <w:spacing w:val="-57"/>
                <w:sz w:val="22"/>
                <w:szCs w:val="22"/>
              </w:rPr>
              <w:t> </w:t>
            </w:r>
            <w:r>
              <w:rPr>
                <w:rFonts w:ascii="Arial" w:hAnsi="Arial" w:cs="Arial" w:eastAsia="Arial" w:hint="default"/>
                <w:sz w:val="22"/>
                <w:szCs w:val="22"/>
              </w:rPr>
              <w:t>3</w:t>
            </w:r>
            <w:r>
              <w:rPr>
                <w:rFonts w:ascii="Arial" w:hAnsi="Arial" w:cs="Arial" w:eastAsia="Arial" w:hint="default"/>
                <w:spacing w:val="-6"/>
                <w:sz w:val="22"/>
                <w:szCs w:val="22"/>
              </w:rPr>
              <w:t> </w:t>
            </w:r>
            <w:r>
              <w:rPr>
                <w:rFonts w:ascii="宋体" w:hAnsi="宋体" w:cs="宋体" w:eastAsia="宋体" w:hint="default"/>
                <w:sz w:val="22"/>
                <w:szCs w:val="22"/>
              </w:rPr>
              <w:t>年</w:t>
            </w:r>
            <w:r>
              <w:rPr>
                <w:rFonts w:ascii="宋体" w:hAnsi="宋体" w:cs="宋体" w:eastAsia="宋体" w:hint="default"/>
                <w:sz w:val="22"/>
                <w:szCs w:val="22"/>
              </w:rPr>
              <w:t>)</w:t>
            </w:r>
          </w:p>
        </w:tc>
        <w:tc>
          <w:tcPr>
            <w:tcW w:w="110" w:type="dxa"/>
            <w:tcBorders>
              <w:top w:val="nil" w:sz="6" w:space="0" w:color="auto"/>
              <w:left w:val="nil" w:sz="6" w:space="0" w:color="auto"/>
              <w:bottom w:val="nil" w:sz="6" w:space="0" w:color="auto"/>
              <w:right w:val="nil" w:sz="6" w:space="0" w:color="auto"/>
            </w:tcBorders>
          </w:tcPr>
          <w:p>
            <w:pPr>
              <w:pStyle w:val="TableParagraph"/>
              <w:spacing w:line="239" w:lineRule="exact"/>
              <w:ind w:right="0"/>
              <w:jc w:val="left"/>
              <w:rPr>
                <w:rFonts w:ascii="宋体" w:hAnsi="宋体" w:cs="宋体" w:eastAsia="宋体" w:hint="default"/>
                <w:sz w:val="22"/>
                <w:szCs w:val="22"/>
              </w:rPr>
            </w:pPr>
            <w:r>
              <w:rPr>
                <w:rFonts w:ascii="宋体"/>
                <w:w w:val="100"/>
                <w:sz w:val="22"/>
              </w:rPr>
              <w:t> </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8"/>
              <w:jc w:val="right"/>
              <w:rPr>
                <w:rFonts w:ascii="Arial" w:hAnsi="Arial" w:cs="Arial" w:eastAsia="Arial" w:hint="default"/>
                <w:sz w:val="22"/>
                <w:szCs w:val="22"/>
              </w:rPr>
            </w:pPr>
            <w:r>
              <w:rPr>
                <w:rFonts w:ascii="Arial"/>
                <w:spacing w:val="-1"/>
                <w:sz w:val="22"/>
              </w:rPr>
              <w:t>50,603,795</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2"/>
              <w:jc w:val="right"/>
              <w:rPr>
                <w:rFonts w:ascii="Arial" w:hAnsi="Arial" w:cs="Arial" w:eastAsia="Arial" w:hint="default"/>
                <w:sz w:val="22"/>
                <w:szCs w:val="22"/>
              </w:rPr>
            </w:pPr>
            <w:r>
              <w:rPr>
                <w:rFonts w:ascii="Arial"/>
                <w:sz w:val="22"/>
              </w:rPr>
              <w:t>1.21</w:t>
            </w:r>
          </w:p>
        </w:tc>
        <w:tc>
          <w:tcPr>
            <w:tcW w:w="182" w:type="dxa"/>
            <w:tcBorders>
              <w:top w:val="nil" w:sz="6" w:space="0" w:color="auto"/>
              <w:left w:val="nil" w:sz="6" w:space="0" w:color="auto"/>
              <w:bottom w:val="nil" w:sz="6" w:space="0" w:color="auto"/>
              <w:right w:val="nil" w:sz="6" w:space="0" w:color="auto"/>
            </w:tcBorders>
          </w:tcPr>
          <w:p>
            <w:pPr/>
          </w:p>
        </w:tc>
        <w:tc>
          <w:tcPr>
            <w:tcW w:w="257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609" w:right="0"/>
              <w:jc w:val="left"/>
              <w:rPr>
                <w:rFonts w:ascii="Arial" w:hAnsi="Arial" w:cs="Arial" w:eastAsia="Arial" w:hint="default"/>
                <w:sz w:val="22"/>
                <w:szCs w:val="22"/>
              </w:rPr>
            </w:pPr>
            <w:r>
              <w:rPr>
                <w:rFonts w:ascii="Arial"/>
                <w:sz w:val="22"/>
              </w:rPr>
              <w:t>41,114,761</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1"/>
              <w:jc w:val="right"/>
              <w:rPr>
                <w:rFonts w:ascii="Arial" w:hAnsi="Arial" w:cs="Arial" w:eastAsia="Arial" w:hint="default"/>
                <w:sz w:val="22"/>
                <w:szCs w:val="22"/>
              </w:rPr>
            </w:pPr>
            <w:r>
              <w:rPr>
                <w:rFonts w:ascii="Arial"/>
                <w:spacing w:val="-1"/>
                <w:sz w:val="22"/>
              </w:rPr>
              <w:t>1.17</w:t>
            </w:r>
            <w:r>
              <w:rPr>
                <w:rFonts w:ascii="Arial"/>
                <w:sz w:val="22"/>
              </w:rPr>
            </w:r>
          </w:p>
        </w:tc>
        <w:tc>
          <w:tcPr>
            <w:tcW w:w="178" w:type="dxa"/>
            <w:tcBorders>
              <w:top w:val="nil" w:sz="6" w:space="0" w:color="auto"/>
              <w:left w:val="nil" w:sz="6" w:space="0" w:color="auto"/>
              <w:bottom w:val="nil" w:sz="6" w:space="0" w:color="auto"/>
              <w:right w:val="nil" w:sz="6" w:space="0" w:color="auto"/>
            </w:tcBorders>
          </w:tcPr>
          <w:p>
            <w:pPr/>
          </w:p>
        </w:tc>
        <w:tc>
          <w:tcPr>
            <w:tcW w:w="200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8"/>
              <w:jc w:val="right"/>
              <w:rPr>
                <w:rFonts w:ascii="Arial" w:hAnsi="Arial" w:cs="Arial" w:eastAsia="Arial" w:hint="default"/>
                <w:sz w:val="22"/>
                <w:szCs w:val="22"/>
              </w:rPr>
            </w:pPr>
            <w:r>
              <w:rPr>
                <w:rFonts w:ascii="Arial"/>
                <w:spacing w:val="-1"/>
                <w:sz w:val="22"/>
              </w:rPr>
              <w:t>41,114,761</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1"/>
              <w:jc w:val="right"/>
              <w:rPr>
                <w:rFonts w:ascii="Arial" w:hAnsi="Arial" w:cs="Arial" w:eastAsia="Arial" w:hint="default"/>
                <w:sz w:val="22"/>
                <w:szCs w:val="22"/>
              </w:rPr>
            </w:pPr>
            <w:r>
              <w:rPr>
                <w:rFonts w:ascii="Arial"/>
                <w:spacing w:val="-1"/>
                <w:sz w:val="22"/>
              </w:rPr>
              <w:t>1.02</w:t>
            </w:r>
            <w:r>
              <w:rPr>
                <w:rFonts w:ascii="Arial"/>
                <w:sz w:val="22"/>
              </w:rPr>
            </w:r>
          </w:p>
        </w:tc>
      </w:tr>
      <w:tr>
        <w:trPr>
          <w:trHeight w:val="283"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Arial" w:hAnsi="Arial" w:cs="Arial" w:eastAsia="Arial" w:hint="default"/>
                <w:sz w:val="22"/>
                <w:szCs w:val="22"/>
              </w:rPr>
              <w:t>3</w:t>
            </w:r>
            <w:r>
              <w:rPr>
                <w:rFonts w:ascii="Arial" w:hAnsi="Arial" w:cs="Arial" w:eastAsia="Arial" w:hint="default"/>
                <w:spacing w:val="-5"/>
                <w:sz w:val="22"/>
                <w:szCs w:val="22"/>
              </w:rPr>
              <w:t> </w:t>
            </w:r>
            <w:r>
              <w:rPr>
                <w:rFonts w:ascii="宋体" w:hAnsi="宋体" w:cs="宋体" w:eastAsia="宋体" w:hint="default"/>
                <w:sz w:val="22"/>
                <w:szCs w:val="22"/>
              </w:rPr>
              <w:t>年以上</w:t>
            </w:r>
          </w:p>
        </w:tc>
        <w:tc>
          <w:tcPr>
            <w:tcW w:w="110" w:type="dxa"/>
            <w:tcBorders>
              <w:top w:val="nil" w:sz="6" w:space="0" w:color="auto"/>
              <w:left w:val="nil" w:sz="6" w:space="0" w:color="auto"/>
              <w:bottom w:val="single" w:sz="6" w:space="0" w:color="000000"/>
              <w:right w:val="nil" w:sz="6" w:space="0" w:color="auto"/>
            </w:tcBorders>
          </w:tcPr>
          <w:p>
            <w:pPr>
              <w:pStyle w:val="TableParagraph"/>
              <w:spacing w:line="239" w:lineRule="exact"/>
              <w:ind w:right="0"/>
              <w:jc w:val="left"/>
              <w:rPr>
                <w:rFonts w:ascii="宋体" w:hAnsi="宋体" w:cs="宋体" w:eastAsia="宋体" w:hint="default"/>
                <w:sz w:val="22"/>
                <w:szCs w:val="22"/>
              </w:rPr>
            </w:pPr>
            <w:r>
              <w:rPr>
                <w:rFonts w:ascii="宋体"/>
                <w:w w:val="100"/>
                <w:sz w:val="22"/>
              </w:rPr>
              <w:t> </w:t>
            </w:r>
          </w:p>
        </w:tc>
        <w:tc>
          <w:tcPr>
            <w:tcW w:w="1661" w:type="dxa"/>
            <w:tcBorders>
              <w:top w:val="nil" w:sz="6" w:space="0" w:color="auto"/>
              <w:left w:val="nil" w:sz="6" w:space="0" w:color="auto"/>
              <w:bottom w:val="single" w:sz="6" w:space="0" w:color="000000"/>
              <w:right w:val="nil" w:sz="6" w:space="0" w:color="auto"/>
            </w:tcBorders>
          </w:tcPr>
          <w:p>
            <w:pPr>
              <w:pStyle w:val="TableParagraph"/>
              <w:spacing w:line="240" w:lineRule="auto" w:before="21"/>
              <w:ind w:right="53"/>
              <w:jc w:val="right"/>
              <w:rPr>
                <w:rFonts w:ascii="Arial" w:hAnsi="Arial" w:cs="Arial" w:eastAsia="Arial" w:hint="default"/>
                <w:sz w:val="22"/>
                <w:szCs w:val="22"/>
              </w:rPr>
            </w:pPr>
            <w:r>
              <w:rPr>
                <w:rFonts w:ascii="Arial"/>
                <w:spacing w:val="-1"/>
                <w:sz w:val="22"/>
              </w:rPr>
              <w:t>14,280,405</w:t>
            </w:r>
          </w:p>
        </w:tc>
        <w:tc>
          <w:tcPr>
            <w:tcW w:w="1526" w:type="dxa"/>
            <w:tcBorders>
              <w:top w:val="nil" w:sz="6" w:space="0" w:color="auto"/>
              <w:left w:val="nil" w:sz="6" w:space="0" w:color="auto"/>
              <w:bottom w:val="nil" w:sz="6" w:space="0" w:color="auto"/>
              <w:right w:val="nil" w:sz="6" w:space="0" w:color="auto"/>
            </w:tcBorders>
          </w:tcPr>
          <w:p>
            <w:pPr>
              <w:pStyle w:val="TableParagraph"/>
              <w:tabs>
                <w:tab w:pos="950" w:val="left" w:leader="none"/>
              </w:tabs>
              <w:spacing w:line="240" w:lineRule="auto" w:before="21"/>
              <w:ind w:right="52"/>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0.34</w:t>
            </w:r>
            <w:r>
              <w:rPr>
                <w:rFonts w:ascii="Arial"/>
                <w:sz w:val="22"/>
              </w:rPr>
            </w:r>
          </w:p>
        </w:tc>
        <w:tc>
          <w:tcPr>
            <w:tcW w:w="182" w:type="dxa"/>
            <w:tcBorders>
              <w:top w:val="nil" w:sz="6" w:space="0" w:color="auto"/>
              <w:left w:val="nil" w:sz="6" w:space="0" w:color="auto"/>
              <w:bottom w:val="nil" w:sz="6" w:space="0" w:color="auto"/>
              <w:right w:val="nil" w:sz="6" w:space="0" w:color="auto"/>
            </w:tcBorders>
          </w:tcPr>
          <w:p>
            <w:pPr/>
          </w:p>
        </w:tc>
        <w:tc>
          <w:tcPr>
            <w:tcW w:w="2573" w:type="dxa"/>
            <w:tcBorders>
              <w:top w:val="nil" w:sz="6" w:space="0" w:color="auto"/>
              <w:left w:val="nil" w:sz="6" w:space="0" w:color="auto"/>
              <w:bottom w:val="nil" w:sz="6" w:space="0" w:color="auto"/>
              <w:right w:val="nil" w:sz="6" w:space="0" w:color="auto"/>
            </w:tcBorders>
          </w:tcPr>
          <w:p>
            <w:pPr>
              <w:pStyle w:val="TableParagraph"/>
              <w:tabs>
                <w:tab w:pos="614" w:val="left" w:leader="none"/>
                <w:tab w:pos="2975" w:val="left" w:leader="none"/>
              </w:tabs>
              <w:spacing w:line="240" w:lineRule="auto" w:before="21"/>
              <w:ind w:right="-404"/>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24,421,407</w:t>
            </w:r>
            <w:r>
              <w:rPr>
                <w:rFonts w:ascii="Arial"/>
                <w:sz w:val="22"/>
              </w:rPr>
              <w:t> </w:t>
            </w:r>
            <w:r>
              <w:rPr>
                <w:rFonts w:ascii="Arial"/>
                <w:spacing w:val="14"/>
                <w:sz w:val="22"/>
              </w:rPr>
              <w:t> </w:t>
            </w:r>
            <w:r>
              <w:rPr>
                <w:rFonts w:ascii="Arial"/>
                <w:spacing w:val="14"/>
                <w:w w:val="100"/>
                <w:sz w:val="22"/>
              </w:rPr>
            </w:r>
            <w:r>
              <w:rPr>
                <w:rFonts w:ascii="Arial"/>
                <w:w w:val="100"/>
                <w:sz w:val="22"/>
                <w:u w:val="single" w:color="000000"/>
              </w:rPr>
              <w:t> </w:t>
            </w:r>
            <w:r>
              <w:rPr>
                <w:rFonts w:ascii="Arial"/>
                <w:sz w:val="22"/>
                <w:u w:val="single" w:color="000000"/>
              </w:rPr>
              <w:tab/>
            </w:r>
            <w:r>
              <w:rPr>
                <w:rFonts w:ascii="Arial"/>
                <w:sz w:val="22"/>
              </w:rPr>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
              <w:jc w:val="right"/>
              <w:rPr>
                <w:rFonts w:ascii="Arial" w:hAnsi="Arial" w:cs="Arial" w:eastAsia="Arial" w:hint="default"/>
                <w:sz w:val="22"/>
                <w:szCs w:val="22"/>
              </w:rPr>
            </w:pPr>
            <w:r>
              <w:rPr>
                <w:rFonts w:ascii="Arial"/>
                <w:w w:val="100"/>
                <w:sz w:val="22"/>
              </w:rPr>
            </w:r>
            <w:r>
              <w:rPr>
                <w:rFonts w:ascii="Arial"/>
                <w:spacing w:val="-1"/>
                <w:sz w:val="22"/>
                <w:u w:val="single" w:color="000000"/>
              </w:rPr>
              <w:t>0.70</w:t>
            </w:r>
            <w:r>
              <w:rPr>
                <w:rFonts w:ascii="Arial"/>
                <w:spacing w:val="-1"/>
                <w:sz w:val="22"/>
              </w:rPr>
            </w:r>
            <w:r>
              <w:rPr>
                <w:rFonts w:ascii="Arial"/>
                <w:sz w:val="22"/>
              </w:rPr>
            </w:r>
          </w:p>
        </w:tc>
        <w:tc>
          <w:tcPr>
            <w:tcW w:w="178" w:type="dxa"/>
            <w:tcBorders>
              <w:top w:val="nil" w:sz="6" w:space="0" w:color="auto"/>
              <w:left w:val="nil" w:sz="6" w:space="0" w:color="auto"/>
              <w:bottom w:val="nil" w:sz="6" w:space="0" w:color="auto"/>
              <w:right w:val="nil" w:sz="6" w:space="0" w:color="auto"/>
            </w:tcBorders>
          </w:tcPr>
          <w:p>
            <w:pPr/>
          </w:p>
        </w:tc>
        <w:tc>
          <w:tcPr>
            <w:tcW w:w="2006" w:type="dxa"/>
            <w:tcBorders>
              <w:top w:val="nil" w:sz="6" w:space="0" w:color="auto"/>
              <w:left w:val="nil" w:sz="6" w:space="0" w:color="auto"/>
              <w:bottom w:val="nil" w:sz="6" w:space="0" w:color="auto"/>
              <w:right w:val="nil" w:sz="6" w:space="0" w:color="auto"/>
            </w:tcBorders>
          </w:tcPr>
          <w:p>
            <w:pPr>
              <w:pStyle w:val="TableParagraph"/>
              <w:tabs>
                <w:tab w:pos="859" w:val="left" w:leader="none"/>
              </w:tabs>
              <w:spacing w:line="240" w:lineRule="auto" w:before="21"/>
              <w:ind w:right="4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24,421,407</w:t>
            </w:r>
            <w:r>
              <w:rPr>
                <w:rFonts w:ascii="Arial"/>
                <w:spacing w:val="-1"/>
                <w:sz w:val="22"/>
              </w:rPr>
            </w:r>
          </w:p>
        </w:tc>
        <w:tc>
          <w:tcPr>
            <w:tcW w:w="1786" w:type="dxa"/>
            <w:tcBorders>
              <w:top w:val="nil" w:sz="6" w:space="0" w:color="auto"/>
              <w:left w:val="nil" w:sz="6" w:space="0" w:color="auto"/>
              <w:bottom w:val="nil" w:sz="6" w:space="0" w:color="auto"/>
              <w:right w:val="nil" w:sz="6" w:space="0" w:color="auto"/>
            </w:tcBorders>
          </w:tcPr>
          <w:p>
            <w:pPr>
              <w:pStyle w:val="TableParagraph"/>
              <w:tabs>
                <w:tab w:pos="1209" w:val="left" w:leader="none"/>
              </w:tabs>
              <w:spacing w:line="240" w:lineRule="auto" w:before="21"/>
              <w:ind w:right="51"/>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0.61</w:t>
            </w:r>
            <w:r>
              <w:rPr>
                <w:rFonts w:ascii="Arial"/>
                <w:spacing w:val="-1"/>
                <w:sz w:val="22"/>
              </w:rPr>
            </w:r>
            <w:r>
              <w:rPr>
                <w:rFonts w:ascii="Arial"/>
                <w:sz w:val="22"/>
              </w:rPr>
            </w:r>
          </w:p>
        </w:tc>
      </w:tr>
      <w:tr>
        <w:trPr>
          <w:trHeight w:val="572"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合计</w:t>
            </w:r>
            <w:r>
              <w:rPr>
                <w:rFonts w:ascii="宋体" w:hAnsi="宋体" w:cs="宋体" w:eastAsia="宋体" w:hint="default"/>
                <w:sz w:val="22"/>
                <w:szCs w:val="22"/>
              </w:rPr>
              <w:t> </w:t>
            </w:r>
          </w:p>
        </w:tc>
        <w:tc>
          <w:tcPr>
            <w:tcW w:w="110" w:type="dxa"/>
            <w:tcBorders>
              <w:top w:val="single" w:sz="6"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tabs>
                <w:tab w:pos="311" w:val="left" w:leader="none"/>
              </w:tabs>
              <w:spacing w:line="240" w:lineRule="auto"/>
              <w:ind w:right="-202"/>
              <w:jc w:val="left"/>
              <w:rPr>
                <w:rFonts w:ascii="宋体" w:hAnsi="宋体" w:cs="宋体" w:eastAsia="宋体" w:hint="default"/>
                <w:sz w:val="22"/>
                <w:szCs w:val="22"/>
              </w:rPr>
            </w:pPr>
            <w:r>
              <w:rPr>
                <w:rFonts w:ascii="宋体"/>
                <w:w w:val="100"/>
                <w:sz w:val="22"/>
              </w:rPr>
              <w:t> </w:t>
            </w:r>
            <w:r>
              <w:rPr>
                <w:rFonts w:ascii="宋体"/>
                <w:sz w:val="22"/>
              </w:rPr>
              <w:tab/>
            </w:r>
          </w:p>
        </w:tc>
        <w:tc>
          <w:tcPr>
            <w:tcW w:w="1661" w:type="dxa"/>
            <w:tcBorders>
              <w:top w:val="single" w:sz="6"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48"/>
              <w:jc w:val="right"/>
              <w:rPr>
                <w:rFonts w:ascii="Arial" w:hAnsi="Arial" w:cs="Arial" w:eastAsia="Arial" w:hint="default"/>
                <w:sz w:val="22"/>
                <w:szCs w:val="22"/>
              </w:rPr>
            </w:pPr>
            <w:r>
              <w:rPr>
                <w:rFonts w:ascii="Arial"/>
                <w:w w:val="100"/>
                <w:sz w:val="22"/>
              </w:rPr>
            </w:r>
            <w:r>
              <w:rPr>
                <w:rFonts w:ascii="Arial"/>
                <w:spacing w:val="-1"/>
                <w:sz w:val="22"/>
                <w:u w:val="thick" w:color="000000"/>
              </w:rPr>
              <w:t>4,196,289,289</w:t>
            </w:r>
            <w:r>
              <w:rPr>
                <w:rFonts w:ascii="Arial"/>
                <w:spacing w:val="-1"/>
                <w:sz w:val="22"/>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4"/>
                <w:szCs w:val="24"/>
              </w:rPr>
            </w:pPr>
          </w:p>
          <w:p>
            <w:pPr>
              <w:pStyle w:val="TableParagraph"/>
              <w:tabs>
                <w:tab w:pos="724" w:val="left" w:leader="none"/>
              </w:tabs>
              <w:spacing w:line="240" w:lineRule="auto"/>
              <w:ind w:right="51"/>
              <w:jc w:val="right"/>
              <w:rPr>
                <w:rFonts w:ascii="Arial" w:hAnsi="Arial" w:cs="Arial" w:eastAsia="Arial" w:hint="default"/>
                <w:sz w:val="22"/>
                <w:szCs w:val="22"/>
              </w:rPr>
            </w:pPr>
            <w:r>
              <w:rPr>
                <w:rFonts w:ascii="Arial"/>
                <w:w w:val="100"/>
                <w:sz w:val="22"/>
              </w:rPr>
            </w:r>
            <w:r>
              <w:rPr>
                <w:rFonts w:ascii="Arial"/>
                <w:w w:val="100"/>
                <w:sz w:val="22"/>
                <w:u w:val="thick" w:color="000000"/>
              </w:rPr>
              <w:t> </w:t>
            </w:r>
            <w:r>
              <w:rPr>
                <w:rFonts w:ascii="Arial"/>
                <w:sz w:val="22"/>
                <w:u w:val="thick" w:color="000000"/>
              </w:rPr>
              <w:tab/>
            </w:r>
            <w:r>
              <w:rPr>
                <w:rFonts w:ascii="Arial"/>
                <w:spacing w:val="-1"/>
                <w:sz w:val="22"/>
                <w:u w:val="thick" w:color="000000"/>
              </w:rPr>
              <w:t>100.00</w:t>
            </w:r>
            <w:r>
              <w:rPr>
                <w:rFonts w:ascii="Arial"/>
                <w:spacing w:val="-1"/>
                <w:sz w:val="22"/>
              </w:rPr>
            </w:r>
            <w:r>
              <w:rPr>
                <w:rFonts w:ascii="Arial"/>
                <w:sz w:val="22"/>
              </w:rPr>
            </w:r>
          </w:p>
        </w:tc>
        <w:tc>
          <w:tcPr>
            <w:tcW w:w="182" w:type="dxa"/>
            <w:tcBorders>
              <w:top w:val="nil" w:sz="6" w:space="0" w:color="auto"/>
              <w:left w:val="nil" w:sz="6" w:space="0" w:color="auto"/>
              <w:bottom w:val="nil" w:sz="6" w:space="0" w:color="auto"/>
              <w:right w:val="nil" w:sz="6" w:space="0" w:color="auto"/>
            </w:tcBorders>
          </w:tcPr>
          <w:p>
            <w:pPr/>
          </w:p>
        </w:tc>
        <w:tc>
          <w:tcPr>
            <w:tcW w:w="257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4"/>
                <w:szCs w:val="24"/>
              </w:rPr>
            </w:pPr>
          </w:p>
          <w:p>
            <w:pPr>
              <w:pStyle w:val="TableParagraph"/>
              <w:tabs>
                <w:tab w:pos="307" w:val="left" w:leader="none"/>
                <w:tab w:pos="2731" w:val="left" w:leader="none"/>
              </w:tabs>
              <w:spacing w:line="240" w:lineRule="auto"/>
              <w:ind w:left="-15" w:right="-159"/>
              <w:jc w:val="left"/>
              <w:rPr>
                <w:rFonts w:ascii="Arial" w:hAnsi="Arial" w:cs="Arial" w:eastAsia="Arial" w:hint="default"/>
                <w:sz w:val="22"/>
                <w:szCs w:val="22"/>
              </w:rPr>
            </w:pPr>
            <w:r>
              <w:rPr>
                <w:rFonts w:ascii="Arial"/>
                <w:w w:val="100"/>
                <w:sz w:val="22"/>
              </w:rPr>
            </w:r>
            <w:r>
              <w:rPr>
                <w:rFonts w:ascii="Arial"/>
                <w:w w:val="100"/>
                <w:sz w:val="22"/>
                <w:u w:val="thick" w:color="000000"/>
              </w:rPr>
              <w:t> </w:t>
            </w:r>
            <w:r>
              <w:rPr>
                <w:rFonts w:ascii="Arial"/>
                <w:sz w:val="22"/>
                <w:u w:val="thick" w:color="000000"/>
              </w:rPr>
              <w:tab/>
              <w:t>3,504,446,825</w:t>
            </w:r>
            <w:r>
              <w:rPr>
                <w:rFonts w:ascii="Arial"/>
                <w:sz w:val="22"/>
              </w:rPr>
              <w:t>  </w:t>
            </w:r>
            <w:r>
              <w:rPr>
                <w:rFonts w:ascii="Arial"/>
                <w:w w:val="100"/>
                <w:sz w:val="22"/>
              </w:rPr>
            </w:r>
            <w:r>
              <w:rPr>
                <w:rFonts w:ascii="Arial"/>
                <w:w w:val="100"/>
                <w:sz w:val="22"/>
                <w:u w:val="thick" w:color="000000"/>
              </w:rPr>
              <w:t> </w:t>
            </w:r>
            <w:r>
              <w:rPr>
                <w:rFonts w:ascii="Arial"/>
                <w:sz w:val="22"/>
                <w:u w:val="thick" w:color="000000"/>
              </w:rPr>
              <w:tab/>
            </w:r>
            <w:r>
              <w:rPr>
                <w:rFonts w:ascii="Arial"/>
                <w:sz w:val="22"/>
              </w:rPr>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51"/>
              <w:jc w:val="right"/>
              <w:rPr>
                <w:rFonts w:ascii="Arial" w:hAnsi="Arial" w:cs="Arial" w:eastAsia="Arial" w:hint="default"/>
                <w:sz w:val="22"/>
                <w:szCs w:val="22"/>
              </w:rPr>
            </w:pPr>
            <w:r>
              <w:rPr>
                <w:rFonts w:ascii="Arial"/>
                <w:w w:val="100"/>
                <w:sz w:val="22"/>
              </w:rPr>
            </w:r>
            <w:r>
              <w:rPr>
                <w:rFonts w:ascii="Arial"/>
                <w:spacing w:val="-1"/>
                <w:sz w:val="22"/>
                <w:u w:val="thick" w:color="000000"/>
              </w:rPr>
              <w:t>100.00</w:t>
            </w:r>
            <w:r>
              <w:rPr>
                <w:rFonts w:ascii="Arial"/>
                <w:spacing w:val="-1"/>
                <w:sz w:val="22"/>
              </w:rPr>
            </w:r>
            <w:r>
              <w:rPr>
                <w:rFonts w:ascii="Arial"/>
                <w:sz w:val="22"/>
              </w:rPr>
            </w:r>
          </w:p>
        </w:tc>
        <w:tc>
          <w:tcPr>
            <w:tcW w:w="178" w:type="dxa"/>
            <w:tcBorders>
              <w:top w:val="nil" w:sz="6" w:space="0" w:color="auto"/>
              <w:left w:val="nil" w:sz="6" w:space="0" w:color="auto"/>
              <w:bottom w:val="nil" w:sz="6" w:space="0" w:color="auto"/>
              <w:right w:val="nil" w:sz="6" w:space="0" w:color="auto"/>
            </w:tcBorders>
          </w:tcPr>
          <w:p>
            <w:pPr/>
          </w:p>
        </w:tc>
        <w:tc>
          <w:tcPr>
            <w:tcW w:w="200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4"/>
                <w:szCs w:val="24"/>
              </w:rPr>
            </w:pPr>
          </w:p>
          <w:p>
            <w:pPr>
              <w:pStyle w:val="TableParagraph"/>
              <w:tabs>
                <w:tab w:pos="551" w:val="left" w:leader="none"/>
              </w:tabs>
              <w:spacing w:line="240" w:lineRule="auto"/>
              <w:ind w:left="-15" w:right="43"/>
              <w:jc w:val="right"/>
              <w:rPr>
                <w:rFonts w:ascii="Arial" w:hAnsi="Arial" w:cs="Arial" w:eastAsia="Arial" w:hint="default"/>
                <w:sz w:val="22"/>
                <w:szCs w:val="22"/>
              </w:rPr>
            </w:pPr>
            <w:r>
              <w:rPr>
                <w:rFonts w:ascii="Arial"/>
                <w:w w:val="100"/>
                <w:sz w:val="22"/>
              </w:rPr>
            </w:r>
            <w:r>
              <w:rPr>
                <w:rFonts w:ascii="Arial"/>
                <w:w w:val="100"/>
                <w:sz w:val="22"/>
                <w:u w:val="thick" w:color="000000"/>
              </w:rPr>
              <w:t> </w:t>
            </w:r>
            <w:r>
              <w:rPr>
                <w:rFonts w:ascii="Arial"/>
                <w:sz w:val="22"/>
                <w:u w:val="thick" w:color="000000"/>
              </w:rPr>
              <w:tab/>
            </w:r>
            <w:r>
              <w:rPr>
                <w:rFonts w:ascii="Arial"/>
                <w:spacing w:val="-1"/>
                <w:sz w:val="22"/>
                <w:u w:val="thick" w:color="000000"/>
              </w:rPr>
              <w:t>4,030,653,660</w:t>
            </w:r>
            <w:r>
              <w:rPr>
                <w:rFonts w:ascii="Arial"/>
                <w:spacing w:val="-1"/>
                <w:sz w:val="22"/>
              </w:rPr>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4"/>
                <w:szCs w:val="24"/>
              </w:rPr>
            </w:pPr>
          </w:p>
          <w:p>
            <w:pPr>
              <w:pStyle w:val="TableParagraph"/>
              <w:tabs>
                <w:tab w:pos="979" w:val="left" w:leader="none"/>
              </w:tabs>
              <w:spacing w:line="240" w:lineRule="auto"/>
              <w:ind w:right="51"/>
              <w:jc w:val="right"/>
              <w:rPr>
                <w:rFonts w:ascii="Arial" w:hAnsi="Arial" w:cs="Arial" w:eastAsia="Arial" w:hint="default"/>
                <w:sz w:val="22"/>
                <w:szCs w:val="22"/>
              </w:rPr>
            </w:pPr>
            <w:r>
              <w:rPr>
                <w:rFonts w:ascii="Arial"/>
                <w:w w:val="100"/>
                <w:sz w:val="22"/>
              </w:rPr>
            </w:r>
            <w:r>
              <w:rPr>
                <w:rFonts w:ascii="Arial"/>
                <w:w w:val="100"/>
                <w:sz w:val="22"/>
                <w:u w:val="thick" w:color="000000"/>
              </w:rPr>
              <w:t> </w:t>
            </w:r>
            <w:r>
              <w:rPr>
                <w:rFonts w:ascii="Arial"/>
                <w:sz w:val="22"/>
                <w:u w:val="thick" w:color="000000"/>
              </w:rPr>
              <w:tab/>
            </w:r>
            <w:r>
              <w:rPr>
                <w:rFonts w:ascii="Arial"/>
                <w:spacing w:val="-1"/>
                <w:sz w:val="22"/>
                <w:u w:val="thick" w:color="000000"/>
              </w:rPr>
              <w:t>100.00</w:t>
            </w:r>
            <w:r>
              <w:rPr>
                <w:rFonts w:ascii="Arial"/>
                <w:spacing w:val="-1"/>
                <w:sz w:val="22"/>
              </w:rPr>
            </w:r>
            <w:r>
              <w:rPr>
                <w:rFonts w:ascii="Arial"/>
                <w:sz w:val="22"/>
              </w:rPr>
            </w:r>
          </w:p>
        </w:tc>
      </w:tr>
    </w:tbl>
    <w:p>
      <w:pPr>
        <w:spacing w:line="240" w:lineRule="auto" w:before="5"/>
        <w:rPr>
          <w:rFonts w:ascii="宋体" w:hAnsi="宋体" w:cs="宋体" w:eastAsia="宋体" w:hint="default"/>
          <w:sz w:val="26"/>
          <w:szCs w:val="26"/>
        </w:rPr>
      </w:pPr>
    </w:p>
    <w:p>
      <w:pPr>
        <w:pStyle w:val="BodyText"/>
        <w:spacing w:line="296" w:lineRule="exact" w:before="32"/>
        <w:ind w:left="535" w:right="0"/>
        <w:jc w:val="left"/>
      </w:pPr>
      <w:r>
        <w:rPr/>
        <w:t>于</w:t>
      </w:r>
      <w:r>
        <w:rPr>
          <w:spacing w:val="-52"/>
        </w:rPr>
        <w:t> </w:t>
      </w:r>
      <w:r>
        <w:rPr>
          <w:rFonts w:ascii="Arial" w:hAnsi="Arial" w:cs="Arial" w:eastAsia="Arial" w:hint="default"/>
        </w:rPr>
        <w:t>2019</w:t>
      </w:r>
      <w:r>
        <w:rPr>
          <w:rFonts w:ascii="Arial" w:hAnsi="Arial" w:cs="Arial" w:eastAsia="Arial" w:hint="default"/>
          <w:spacing w:val="-1"/>
        </w:rPr>
        <w:t> </w:t>
      </w:r>
      <w:r>
        <w:rPr/>
        <w:t>年</w:t>
      </w:r>
      <w:r>
        <w:rPr>
          <w:spacing w:val="-57"/>
        </w:rPr>
        <w:t> </w:t>
      </w:r>
      <w:r>
        <w:rPr>
          <w:rFonts w:ascii="Arial" w:hAnsi="Arial" w:cs="Arial" w:eastAsia="Arial" w:hint="default"/>
        </w:rPr>
        <w:t>12</w:t>
      </w:r>
      <w:r>
        <w:rPr>
          <w:rFonts w:ascii="Arial" w:hAnsi="Arial" w:cs="Arial" w:eastAsia="Arial" w:hint="default"/>
          <w:spacing w:val="-1"/>
        </w:rPr>
        <w:t> </w:t>
      </w:r>
      <w:r>
        <w:rPr/>
        <w:t>月</w:t>
      </w:r>
      <w:r>
        <w:rPr>
          <w:spacing w:val="-52"/>
        </w:rPr>
        <w:t> </w:t>
      </w:r>
      <w:r>
        <w:rPr>
          <w:rFonts w:ascii="Arial" w:hAnsi="Arial" w:cs="Arial" w:eastAsia="Arial" w:hint="default"/>
        </w:rPr>
        <w:t>31</w:t>
      </w:r>
      <w:r>
        <w:rPr>
          <w:rFonts w:ascii="Arial" w:hAnsi="Arial" w:cs="Arial" w:eastAsia="Arial" w:hint="default"/>
          <w:spacing w:val="-1"/>
        </w:rPr>
        <w:t> </w:t>
      </w:r>
      <w:r>
        <w:rPr/>
        <w:t>日，账龄超过</w:t>
      </w:r>
      <w:r>
        <w:rPr>
          <w:spacing w:val="-52"/>
        </w:rPr>
        <w:t> </w:t>
      </w:r>
      <w:r>
        <w:rPr>
          <w:rFonts w:ascii="Arial" w:hAnsi="Arial" w:cs="Arial" w:eastAsia="Arial" w:hint="default"/>
        </w:rPr>
        <w:t>1</w:t>
      </w:r>
      <w:r>
        <w:rPr>
          <w:rFonts w:ascii="Arial" w:hAnsi="Arial" w:cs="Arial" w:eastAsia="Arial" w:hint="default"/>
          <w:spacing w:val="-1"/>
        </w:rPr>
        <w:t> </w:t>
      </w:r>
      <w:r>
        <w:rPr/>
        <w:t>年的预付款项约人民币</w:t>
      </w:r>
      <w:r>
        <w:rPr>
          <w:spacing w:val="-52"/>
        </w:rPr>
        <w:t> </w:t>
      </w:r>
      <w:r>
        <w:rPr>
          <w:rFonts w:ascii="Arial" w:hAnsi="Arial" w:cs="Arial" w:eastAsia="Arial" w:hint="default"/>
        </w:rPr>
        <w:t>1.85</w:t>
      </w:r>
      <w:r>
        <w:rPr>
          <w:rFonts w:ascii="Arial" w:hAnsi="Arial" w:cs="Arial" w:eastAsia="Arial" w:hint="default"/>
          <w:spacing w:val="-1"/>
        </w:rPr>
        <w:t> </w:t>
      </w:r>
      <w:r>
        <w:rPr/>
        <w:t>亿元（</w:t>
      </w:r>
      <w:r>
        <w:rPr>
          <w:rFonts w:ascii="Arial" w:hAnsi="Arial" w:cs="Arial" w:eastAsia="Arial" w:hint="default"/>
        </w:rPr>
        <w:t>2018</w:t>
      </w:r>
      <w:r>
        <w:rPr>
          <w:rFonts w:ascii="Arial" w:hAnsi="Arial" w:cs="Arial" w:eastAsia="Arial" w:hint="default"/>
          <w:spacing w:val="-1"/>
        </w:rPr>
        <w:t> </w:t>
      </w:r>
      <w:r>
        <w:rPr/>
        <w:t>年</w:t>
      </w:r>
      <w:r>
        <w:rPr>
          <w:spacing w:val="-52"/>
        </w:rPr>
        <w:t> </w:t>
      </w:r>
      <w:r>
        <w:rPr>
          <w:rFonts w:ascii="Arial" w:hAnsi="Arial" w:cs="Arial" w:eastAsia="Arial" w:hint="default"/>
        </w:rPr>
        <w:t>12</w:t>
      </w:r>
      <w:r>
        <w:rPr>
          <w:rFonts w:ascii="Arial" w:hAnsi="Arial" w:cs="Arial" w:eastAsia="Arial" w:hint="default"/>
          <w:spacing w:val="-1"/>
        </w:rPr>
        <w:t> </w:t>
      </w:r>
      <w:r>
        <w:rPr/>
        <w:t>月</w:t>
      </w:r>
      <w:r>
        <w:rPr>
          <w:spacing w:val="-52"/>
        </w:rPr>
        <w:t> </w:t>
      </w:r>
      <w:r>
        <w:rPr>
          <w:rFonts w:ascii="Arial" w:hAnsi="Arial" w:cs="Arial" w:eastAsia="Arial" w:hint="default"/>
        </w:rPr>
        <w:t>31</w:t>
      </w:r>
      <w:r>
        <w:rPr>
          <w:rFonts w:ascii="Arial" w:hAnsi="Arial" w:cs="Arial" w:eastAsia="Arial" w:hint="default"/>
          <w:spacing w:val="-6"/>
        </w:rPr>
        <w:t> </w:t>
      </w:r>
      <w:r>
        <w:rPr/>
        <w:t>日：约人民币</w:t>
      </w:r>
      <w:r>
        <w:rPr>
          <w:spacing w:val="-52"/>
        </w:rPr>
        <w:t> </w:t>
      </w:r>
      <w:r>
        <w:rPr>
          <w:rFonts w:ascii="Arial" w:hAnsi="Arial" w:cs="Arial" w:eastAsia="Arial" w:hint="default"/>
        </w:rPr>
        <w:t>1.81</w:t>
      </w:r>
      <w:r>
        <w:rPr>
          <w:rFonts w:ascii="Arial" w:hAnsi="Arial" w:cs="Arial" w:eastAsia="Arial" w:hint="default"/>
          <w:spacing w:val="-1"/>
        </w:rPr>
        <w:t> </w:t>
      </w:r>
      <w:r>
        <w:rPr/>
        <w:t>亿元），主要为合同执行</w:t>
      </w:r>
    </w:p>
    <w:p>
      <w:pPr>
        <w:pStyle w:val="BodyText"/>
        <w:spacing w:line="296" w:lineRule="exact"/>
        <w:ind w:left="535" w:right="9408"/>
        <w:jc w:val="left"/>
      </w:pPr>
      <w:r>
        <w:rPr/>
        <w:t>期限超过</w:t>
      </w:r>
      <w:r>
        <w:rPr>
          <w:spacing w:val="-56"/>
        </w:rPr>
        <w:t> </w:t>
      </w:r>
      <w:r>
        <w:rPr>
          <w:rFonts w:ascii="Arial" w:hAnsi="Arial" w:cs="Arial" w:eastAsia="Arial" w:hint="default"/>
        </w:rPr>
        <w:t>1</w:t>
      </w:r>
      <w:r>
        <w:rPr>
          <w:rFonts w:ascii="Arial" w:hAnsi="Arial" w:cs="Arial" w:eastAsia="Arial" w:hint="default"/>
          <w:spacing w:val="-5"/>
        </w:rPr>
        <w:t> </w:t>
      </w:r>
      <w:r>
        <w:rPr/>
        <w:t>年的预付购货款等。</w:t>
      </w:r>
    </w:p>
    <w:p>
      <w:pPr>
        <w:spacing w:line="240" w:lineRule="auto" w:before="11"/>
        <w:rPr>
          <w:rFonts w:ascii="宋体" w:hAnsi="宋体" w:cs="宋体" w:eastAsia="宋体" w:hint="default"/>
          <w:sz w:val="17"/>
          <w:szCs w:val="17"/>
        </w:rPr>
      </w:pPr>
    </w:p>
    <w:p>
      <w:pPr>
        <w:pStyle w:val="BodyText"/>
        <w:spacing w:line="240" w:lineRule="auto"/>
        <w:ind w:left="132" w:right="0"/>
        <w:jc w:val="left"/>
      </w:pPr>
      <w:r>
        <w:rPr>
          <w:rFonts w:ascii="Arial" w:hAnsi="Arial" w:cs="Arial" w:eastAsia="Arial" w:hint="default"/>
        </w:rPr>
        <w:t>(b)</w:t>
      </w:r>
      <w:r>
        <w:rPr>
          <w:rFonts w:ascii="Arial" w:hAnsi="Arial" w:cs="Arial" w:eastAsia="Arial" w:hint="default"/>
          <w:spacing w:val="58"/>
        </w:rPr>
        <w:t> </w:t>
      </w:r>
      <w:r>
        <w:rPr/>
        <w:t>于</w:t>
      </w:r>
      <w:r>
        <w:rPr>
          <w:spacing w:val="-56"/>
        </w:rPr>
        <w:t> </w:t>
      </w:r>
      <w:r>
        <w:rPr>
          <w:rFonts w:ascii="Arial" w:hAnsi="Arial" w:cs="Arial" w:eastAsia="Arial" w:hint="default"/>
        </w:rPr>
        <w:t>2019</w:t>
      </w:r>
      <w:r>
        <w:rPr>
          <w:rFonts w:ascii="Arial" w:hAnsi="Arial" w:cs="Arial" w:eastAsia="Arial" w:hint="default"/>
          <w:spacing w:val="-5"/>
        </w:rPr>
        <w:t> </w:t>
      </w:r>
      <w:r>
        <w:rPr/>
        <w:t>年</w:t>
      </w:r>
      <w:r>
        <w:rPr>
          <w:spacing w:val="-61"/>
        </w:rPr>
        <w:t> </w:t>
      </w:r>
      <w:r>
        <w:rPr>
          <w:rFonts w:ascii="Arial" w:hAnsi="Arial" w:cs="Arial" w:eastAsia="Arial" w:hint="default"/>
        </w:rPr>
        <w:t>12</w:t>
      </w:r>
      <w:r>
        <w:rPr>
          <w:rFonts w:ascii="Arial" w:hAnsi="Arial" w:cs="Arial" w:eastAsia="Arial" w:hint="default"/>
          <w:spacing w:val="-5"/>
        </w:rPr>
        <w:t> </w:t>
      </w:r>
      <w:r>
        <w:rPr/>
        <w:t>月</w:t>
      </w:r>
      <w:r>
        <w:rPr>
          <w:spacing w:val="-56"/>
        </w:rPr>
        <w:t> </w:t>
      </w:r>
      <w:r>
        <w:rPr>
          <w:rFonts w:ascii="Arial" w:hAnsi="Arial" w:cs="Arial" w:eastAsia="Arial" w:hint="default"/>
        </w:rPr>
        <w:t>31</w:t>
      </w:r>
      <w:r>
        <w:rPr>
          <w:rFonts w:ascii="Arial" w:hAnsi="Arial" w:cs="Arial" w:eastAsia="Arial" w:hint="default"/>
          <w:spacing w:val="-5"/>
        </w:rPr>
        <w:t> </w:t>
      </w:r>
      <w:r>
        <w:rPr/>
        <w:t>日，本集团年末余额前五名的预付款项合计人民币</w:t>
      </w:r>
      <w:r>
        <w:rPr>
          <w:spacing w:val="-60"/>
        </w:rPr>
        <w:t> </w:t>
      </w:r>
      <w:r>
        <w:rPr>
          <w:rFonts w:ascii="Arial" w:hAnsi="Arial" w:cs="Arial" w:eastAsia="Arial" w:hint="default"/>
        </w:rPr>
        <w:t>4.46</w:t>
      </w:r>
      <w:r>
        <w:rPr>
          <w:rFonts w:ascii="Arial" w:hAnsi="Arial" w:cs="Arial" w:eastAsia="Arial" w:hint="default"/>
          <w:spacing w:val="-9"/>
        </w:rPr>
        <w:t> </w:t>
      </w:r>
      <w:r>
        <w:rPr/>
        <w:t>亿元，占预付款项年末余额合计数的</w:t>
      </w:r>
      <w:r>
        <w:rPr>
          <w:spacing w:val="-56"/>
        </w:rPr>
        <w:t> </w:t>
      </w:r>
      <w:r>
        <w:rPr>
          <w:rFonts w:ascii="Arial" w:hAnsi="Arial" w:cs="Arial" w:eastAsia="Arial" w:hint="default"/>
        </w:rPr>
        <w:t>10.63%</w:t>
      </w:r>
      <w:r>
        <w:rPr/>
        <w:t>。</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29"/>
          <w:szCs w:val="29"/>
        </w:rPr>
      </w:pPr>
    </w:p>
    <w:p>
      <w:pPr>
        <w:spacing w:before="0"/>
        <w:ind w:left="7316" w:right="5656" w:firstLine="0"/>
        <w:jc w:val="center"/>
        <w:rPr>
          <w:rFonts w:ascii="宋体" w:hAnsi="宋体" w:cs="宋体" w:eastAsia="宋体" w:hint="default"/>
          <w:sz w:val="16"/>
          <w:szCs w:val="16"/>
        </w:rPr>
      </w:pPr>
      <w:r>
        <w:rPr>
          <w:rFonts w:ascii="宋体" w:hAnsi="宋体" w:cs="宋体" w:eastAsia="宋体" w:hint="default"/>
          <w:sz w:val="16"/>
          <w:szCs w:val="16"/>
        </w:rPr>
        <w:t>129／220</w:t>
      </w:r>
    </w:p>
    <w:p>
      <w:pPr>
        <w:spacing w:after="0"/>
        <w:jc w:val="center"/>
        <w:rPr>
          <w:rFonts w:ascii="宋体" w:hAnsi="宋体" w:cs="宋体" w:eastAsia="宋体" w:hint="default"/>
          <w:sz w:val="16"/>
          <w:szCs w:val="16"/>
        </w:rPr>
        <w:sectPr>
          <w:headerReference w:type="default" r:id="rId149"/>
          <w:footerReference w:type="default" r:id="rId150"/>
          <w:pgSz w:w="16840" w:h="11910" w:orient="landscape"/>
          <w:pgMar w:header="0" w:footer="0" w:top="1100" w:bottom="280" w:left="760" w:right="2420"/>
        </w:sectPr>
      </w:pPr>
    </w:p>
    <w:p>
      <w:pPr>
        <w:spacing w:line="240" w:lineRule="auto" w:before="7"/>
        <w:rPr>
          <w:rFonts w:ascii="宋体" w:hAnsi="宋体" w:cs="宋体" w:eastAsia="宋体" w:hint="default"/>
          <w:sz w:val="16"/>
          <w:szCs w:val="16"/>
        </w:rPr>
      </w:pPr>
    </w:p>
    <w:p>
      <w:pPr>
        <w:pStyle w:val="BodyText"/>
        <w:spacing w:line="240" w:lineRule="auto" w:before="32"/>
        <w:ind w:left="136" w:right="0"/>
        <w:jc w:val="left"/>
      </w:pPr>
      <w:r>
        <w:rPr>
          <w:rFonts w:ascii="Arial" w:hAnsi="Arial" w:cs="Arial" w:eastAsia="Arial" w:hint="default"/>
        </w:rPr>
        <w:t>6</w:t>
      </w:r>
      <w:r>
        <w:rPr/>
        <w:t>、其他应收款</w:t>
      </w:r>
    </w:p>
    <w:p>
      <w:pPr>
        <w:spacing w:line="240" w:lineRule="auto" w:before="12"/>
        <w:rPr>
          <w:rFonts w:ascii="宋体" w:hAnsi="宋体" w:cs="宋体" w:eastAsia="宋体" w:hint="default"/>
          <w:sz w:val="21"/>
          <w:szCs w:val="21"/>
        </w:rPr>
      </w:pPr>
    </w:p>
    <w:tbl>
      <w:tblPr>
        <w:tblW w:w="0" w:type="auto"/>
        <w:jc w:val="left"/>
        <w:tblInd w:w="296" w:type="dxa"/>
        <w:tblLayout w:type="fixed"/>
        <w:tblCellMar>
          <w:top w:w="0" w:type="dxa"/>
          <w:left w:w="0" w:type="dxa"/>
          <w:bottom w:w="0" w:type="dxa"/>
          <w:right w:w="0" w:type="dxa"/>
        </w:tblCellMar>
        <w:tblLook w:val="01E0"/>
      </w:tblPr>
      <w:tblGrid>
        <w:gridCol w:w="1818"/>
        <w:gridCol w:w="1862"/>
        <w:gridCol w:w="2731"/>
        <w:gridCol w:w="235"/>
        <w:gridCol w:w="2525"/>
      </w:tblGrid>
      <w:tr>
        <w:trPr>
          <w:trHeight w:val="257" w:hRule="exact"/>
        </w:trPr>
        <w:tc>
          <w:tcPr>
            <w:tcW w:w="1818" w:type="dxa"/>
            <w:tcBorders>
              <w:top w:val="nil" w:sz="6" w:space="0" w:color="auto"/>
              <w:left w:val="nil" w:sz="6" w:space="0" w:color="auto"/>
              <w:bottom w:val="nil" w:sz="6" w:space="0" w:color="auto"/>
              <w:right w:val="nil" w:sz="6" w:space="0" w:color="auto"/>
            </w:tcBorders>
          </w:tcPr>
          <w:p>
            <w:pPr/>
          </w:p>
        </w:tc>
        <w:tc>
          <w:tcPr>
            <w:tcW w:w="1862" w:type="dxa"/>
            <w:tcBorders>
              <w:top w:val="nil" w:sz="6" w:space="0" w:color="auto"/>
              <w:left w:val="nil" w:sz="6" w:space="0" w:color="auto"/>
              <w:bottom w:val="nil" w:sz="6" w:space="0" w:color="auto"/>
              <w:right w:val="nil" w:sz="6" w:space="0" w:color="auto"/>
            </w:tcBorders>
          </w:tcPr>
          <w:p>
            <w:pPr>
              <w:pStyle w:val="TableParagraph"/>
              <w:spacing w:line="221" w:lineRule="exact"/>
              <w:ind w:left="1008" w:right="0"/>
              <w:jc w:val="left"/>
              <w:rPr>
                <w:rFonts w:ascii="宋体" w:hAnsi="宋体" w:cs="宋体" w:eastAsia="宋体" w:hint="default"/>
                <w:sz w:val="22"/>
                <w:szCs w:val="22"/>
              </w:rPr>
            </w:pPr>
            <w:r>
              <w:rPr>
                <w:rFonts w:ascii="宋体" w:hAnsi="宋体" w:cs="宋体" w:eastAsia="宋体" w:hint="default"/>
                <w:sz w:val="22"/>
                <w:szCs w:val="22"/>
              </w:rPr>
              <w:t>注</w:t>
            </w:r>
            <w:r>
              <w:rPr>
                <w:rFonts w:ascii="宋体" w:hAnsi="宋体" w:cs="宋体" w:eastAsia="宋体" w:hint="default"/>
                <w:sz w:val="22"/>
                <w:szCs w:val="22"/>
              </w:rPr>
              <w:t>  </w:t>
            </w:r>
          </w:p>
        </w:tc>
        <w:tc>
          <w:tcPr>
            <w:tcW w:w="2731" w:type="dxa"/>
            <w:tcBorders>
              <w:top w:val="nil" w:sz="6" w:space="0" w:color="auto"/>
              <w:left w:val="nil" w:sz="6" w:space="0" w:color="auto"/>
              <w:bottom w:val="single" w:sz="4" w:space="0" w:color="000000"/>
              <w:right w:val="nil" w:sz="6" w:space="0" w:color="auto"/>
            </w:tcBorders>
          </w:tcPr>
          <w:p>
            <w:pPr>
              <w:pStyle w:val="TableParagraph"/>
              <w:spacing w:line="236" w:lineRule="exact"/>
              <w:ind w:right="108"/>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235" w:type="dxa"/>
            <w:tcBorders>
              <w:top w:val="nil" w:sz="6" w:space="0" w:color="auto"/>
              <w:left w:val="nil" w:sz="6" w:space="0" w:color="auto"/>
              <w:bottom w:val="nil" w:sz="6" w:space="0" w:color="auto"/>
              <w:right w:val="nil" w:sz="6" w:space="0" w:color="auto"/>
            </w:tcBorders>
          </w:tcPr>
          <w:p>
            <w:pPr/>
          </w:p>
        </w:tc>
        <w:tc>
          <w:tcPr>
            <w:tcW w:w="2525" w:type="dxa"/>
            <w:tcBorders>
              <w:top w:val="nil" w:sz="6" w:space="0" w:color="auto"/>
              <w:left w:val="nil" w:sz="6" w:space="0" w:color="auto"/>
              <w:bottom w:val="single" w:sz="4" w:space="0" w:color="000000"/>
              <w:right w:val="nil" w:sz="6" w:space="0" w:color="auto"/>
            </w:tcBorders>
          </w:tcPr>
          <w:p>
            <w:pPr>
              <w:pStyle w:val="TableParagraph"/>
              <w:spacing w:line="236" w:lineRule="exact"/>
              <w:ind w:left="499"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600" w:hRule="exact"/>
        </w:trPr>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应收利息</w:t>
            </w:r>
            <w:r>
              <w:rPr>
                <w:rFonts w:ascii="宋体" w:hAnsi="宋体" w:cs="宋体" w:eastAsia="宋体" w:hint="default"/>
                <w:spacing w:val="-5"/>
                <w:sz w:val="22"/>
                <w:szCs w:val="22"/>
              </w:rPr>
              <w:t> </w:t>
            </w:r>
            <w:r>
              <w:rPr>
                <w:rFonts w:ascii="宋体" w:hAnsi="宋体" w:cs="宋体" w:eastAsia="宋体" w:hint="default"/>
                <w:sz w:val="22"/>
                <w:szCs w:val="22"/>
              </w:rPr>
              <w:t> </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590" w:right="0"/>
              <w:jc w:val="left"/>
              <w:rPr>
                <w:rFonts w:ascii="宋体" w:hAnsi="宋体" w:cs="宋体" w:eastAsia="宋体" w:hint="default"/>
                <w:sz w:val="22"/>
                <w:szCs w:val="22"/>
              </w:rPr>
            </w:pPr>
            <w:r>
              <w:rPr>
                <w:rFonts w:ascii="宋体" w:hAnsi="宋体" w:cs="宋体" w:eastAsia="宋体" w:hint="default"/>
                <w:sz w:val="22"/>
                <w:szCs w:val="22"/>
              </w:rPr>
              <w:t>附注五</w:t>
            </w:r>
            <w:r>
              <w:rPr>
                <w:rFonts w:ascii="Arial" w:hAnsi="Arial" w:cs="Arial" w:eastAsia="Arial" w:hint="default"/>
                <w:sz w:val="22"/>
                <w:szCs w:val="22"/>
              </w:rPr>
              <w:t>(42)</w:t>
            </w:r>
            <w:r>
              <w:rPr>
                <w:rFonts w:ascii="宋体" w:hAnsi="宋体" w:cs="宋体" w:eastAsia="宋体" w:hint="default"/>
                <w:spacing w:val="-5"/>
                <w:sz w:val="22"/>
                <w:szCs w:val="22"/>
              </w:rPr>
              <w:t> </w:t>
            </w:r>
            <w:r>
              <w:rPr>
                <w:rFonts w:ascii="宋体" w:hAnsi="宋体" w:cs="宋体" w:eastAsia="宋体" w:hint="default"/>
                <w:sz w:val="22"/>
                <w:szCs w:val="22"/>
              </w:rPr>
              <w:t> </w:t>
            </w:r>
          </w:p>
        </w:tc>
        <w:tc>
          <w:tcPr>
            <w:tcW w:w="2731"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10"/>
              <w:jc w:val="right"/>
              <w:rPr>
                <w:rFonts w:ascii="Arial" w:hAnsi="Arial" w:cs="Arial" w:eastAsia="Arial" w:hint="default"/>
                <w:sz w:val="22"/>
                <w:szCs w:val="22"/>
              </w:rPr>
            </w:pPr>
            <w:r>
              <w:rPr>
                <w:rFonts w:ascii="Arial"/>
                <w:spacing w:val="-1"/>
                <w:sz w:val="22"/>
              </w:rPr>
              <w:t>63,986,724</w:t>
            </w:r>
          </w:p>
        </w:tc>
        <w:tc>
          <w:tcPr>
            <w:tcW w:w="235" w:type="dxa"/>
            <w:tcBorders>
              <w:top w:val="nil" w:sz="6" w:space="0" w:color="auto"/>
              <w:left w:val="nil" w:sz="6" w:space="0" w:color="auto"/>
              <w:bottom w:val="nil" w:sz="6" w:space="0" w:color="auto"/>
              <w:right w:val="nil" w:sz="6" w:space="0" w:color="auto"/>
            </w:tcBorders>
          </w:tcPr>
          <w:p>
            <w:pPr/>
          </w:p>
        </w:tc>
        <w:tc>
          <w:tcPr>
            <w:tcW w:w="2525"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195" w:right="0"/>
              <w:jc w:val="left"/>
              <w:rPr>
                <w:rFonts w:ascii="Arial" w:hAnsi="Arial" w:cs="Arial" w:eastAsia="Arial" w:hint="default"/>
                <w:sz w:val="22"/>
                <w:szCs w:val="22"/>
              </w:rPr>
            </w:pPr>
            <w:r>
              <w:rPr>
                <w:rFonts w:ascii="Arial"/>
                <w:sz w:val="22"/>
              </w:rPr>
              <w:t>342,481,203</w:t>
            </w:r>
          </w:p>
        </w:tc>
      </w:tr>
      <w:tr>
        <w:trPr>
          <w:trHeight w:val="444" w:hRule="exact"/>
        </w:trPr>
        <w:tc>
          <w:tcPr>
            <w:tcW w:w="1818" w:type="dxa"/>
            <w:tcBorders>
              <w:top w:val="nil" w:sz="6" w:space="0" w:color="auto"/>
              <w:left w:val="nil" w:sz="6" w:space="0" w:color="auto"/>
              <w:bottom w:val="nil" w:sz="6" w:space="0" w:color="auto"/>
              <w:right w:val="nil" w:sz="6" w:space="0" w:color="auto"/>
            </w:tcBorders>
          </w:tcPr>
          <w:p>
            <w:pPr>
              <w:pStyle w:val="TableParagraph"/>
              <w:spacing w:line="242"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w:t>
            </w:r>
            <w:r>
              <w:rPr>
                <w:rFonts w:ascii="宋体" w:hAnsi="宋体" w:cs="宋体" w:eastAsia="宋体" w:hint="default"/>
                <w:sz w:val="22"/>
                <w:szCs w:val="22"/>
              </w:rPr>
              <w:t>  </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984" w:right="0"/>
              <w:jc w:val="left"/>
              <w:rPr>
                <w:rFonts w:ascii="Arial" w:hAnsi="Arial" w:cs="Arial" w:eastAsia="Arial" w:hint="default"/>
                <w:sz w:val="22"/>
                <w:szCs w:val="22"/>
              </w:rPr>
            </w:pPr>
            <w:r>
              <w:rPr>
                <w:rFonts w:ascii="Arial"/>
                <w:sz w:val="22"/>
              </w:rPr>
              <w:t>(a)</w:t>
            </w:r>
          </w:p>
        </w:tc>
        <w:tc>
          <w:tcPr>
            <w:tcW w:w="2731" w:type="dxa"/>
            <w:tcBorders>
              <w:top w:val="nil" w:sz="6" w:space="0" w:color="auto"/>
              <w:left w:val="nil" w:sz="6" w:space="0" w:color="auto"/>
              <w:bottom w:val="nil" w:sz="6" w:space="0" w:color="auto"/>
              <w:right w:val="nil" w:sz="6" w:space="0" w:color="auto"/>
            </w:tcBorders>
          </w:tcPr>
          <w:p>
            <w:pPr>
              <w:pStyle w:val="TableParagraph"/>
              <w:tabs>
                <w:tab w:pos="1209" w:val="left" w:leader="none"/>
                <w:tab w:pos="2731" w:val="left" w:leader="none"/>
              </w:tabs>
              <w:spacing w:line="240" w:lineRule="auto" w:before="18"/>
              <w:ind w:left="-34"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2,736,621,435</w:t>
              <w:tab/>
            </w:r>
            <w:r>
              <w:rPr>
                <w:rFonts w:ascii="Arial"/>
                <w:spacing w:val="-1"/>
                <w:sz w:val="22"/>
              </w:rPr>
            </w:r>
          </w:p>
        </w:tc>
        <w:tc>
          <w:tcPr>
            <w:tcW w:w="235" w:type="dxa"/>
            <w:tcBorders>
              <w:top w:val="nil" w:sz="6" w:space="0" w:color="auto"/>
              <w:left w:val="nil" w:sz="6" w:space="0" w:color="auto"/>
              <w:bottom w:val="nil" w:sz="6" w:space="0" w:color="auto"/>
              <w:right w:val="nil" w:sz="6" w:space="0" w:color="auto"/>
            </w:tcBorders>
          </w:tcPr>
          <w:p>
            <w:pPr/>
          </w:p>
        </w:tc>
        <w:tc>
          <w:tcPr>
            <w:tcW w:w="2525" w:type="dxa"/>
            <w:tcBorders>
              <w:top w:val="nil" w:sz="6" w:space="0" w:color="auto"/>
              <w:left w:val="nil" w:sz="6" w:space="0" w:color="auto"/>
              <w:bottom w:val="nil" w:sz="6" w:space="0" w:color="auto"/>
              <w:right w:val="nil" w:sz="6" w:space="0" w:color="auto"/>
            </w:tcBorders>
          </w:tcPr>
          <w:p>
            <w:pPr>
              <w:pStyle w:val="TableParagraph"/>
              <w:tabs>
                <w:tab w:pos="1012" w:val="left" w:leader="none"/>
                <w:tab w:pos="2524" w:val="left" w:leader="none"/>
              </w:tabs>
              <w:spacing w:line="240" w:lineRule="auto" w:before="18"/>
              <w:ind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2,878,388,446</w:t>
              <w:tab/>
            </w:r>
            <w:r>
              <w:rPr>
                <w:rFonts w:ascii="Arial"/>
                <w:sz w:val="22"/>
              </w:rPr>
            </w:r>
          </w:p>
        </w:tc>
      </w:tr>
      <w:tr>
        <w:trPr>
          <w:trHeight w:val="460" w:hRule="exact"/>
        </w:trPr>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00" w:right="0"/>
              <w:jc w:val="left"/>
              <w:rPr>
                <w:rFonts w:ascii="宋体" w:hAnsi="宋体" w:cs="宋体" w:eastAsia="宋体" w:hint="default"/>
                <w:sz w:val="22"/>
                <w:szCs w:val="22"/>
              </w:rPr>
            </w:pPr>
            <w:r>
              <w:rPr>
                <w:rFonts w:ascii="宋体" w:hAnsi="宋体" w:cs="宋体" w:eastAsia="宋体" w:hint="default"/>
                <w:sz w:val="22"/>
                <w:szCs w:val="22"/>
              </w:rPr>
              <w:t>合计</w:t>
            </w:r>
            <w:r>
              <w:rPr>
                <w:rFonts w:ascii="宋体" w:hAnsi="宋体" w:cs="宋体" w:eastAsia="宋体" w:hint="default"/>
                <w:sz w:val="22"/>
                <w:szCs w:val="22"/>
              </w:rPr>
              <w:t>  </w:t>
            </w:r>
          </w:p>
        </w:tc>
        <w:tc>
          <w:tcPr>
            <w:tcW w:w="1862" w:type="dxa"/>
            <w:tcBorders>
              <w:top w:val="nil" w:sz="6" w:space="0" w:color="auto"/>
              <w:left w:val="nil" w:sz="6" w:space="0" w:color="auto"/>
              <w:bottom w:val="nil" w:sz="6" w:space="0" w:color="auto"/>
              <w:right w:val="nil" w:sz="6" w:space="0" w:color="auto"/>
            </w:tcBorders>
          </w:tcPr>
          <w:p>
            <w:pPr>
              <w:pStyle w:val="TableParagraph"/>
              <w:tabs>
                <w:tab w:pos="1814" w:val="left" w:leader="none"/>
                <w:tab w:pos="3071" w:val="left" w:leader="none"/>
              </w:tabs>
              <w:spacing w:line="240" w:lineRule="auto" w:before="174"/>
              <w:ind w:left="518" w:right="-1210"/>
              <w:jc w:val="left"/>
              <w:rPr>
                <w:rFonts w:ascii="Arial" w:hAnsi="Arial" w:cs="Arial" w:eastAsia="Arial" w:hint="default"/>
                <w:sz w:val="22"/>
                <w:szCs w:val="22"/>
              </w:rPr>
            </w:pPr>
            <w:r>
              <w:rPr>
                <w:rFonts w:ascii="宋体"/>
                <w:w w:val="100"/>
                <w:position w:val="-4"/>
                <w:sz w:val="22"/>
              </w:rPr>
              <w:t> </w:t>
            </w:r>
            <w:r>
              <w:rPr>
                <w:rFonts w:ascii="宋体"/>
                <w:position w:val="-4"/>
                <w:sz w:val="22"/>
              </w:rPr>
              <w:tab/>
            </w:r>
            <w:r>
              <w:rPr>
                <w:rFonts w:ascii="Arial"/>
                <w:w w:val="100"/>
                <w:sz w:val="22"/>
              </w:rPr>
            </w:r>
            <w:r>
              <w:rPr>
                <w:rFonts w:ascii="Arial"/>
                <w:w w:val="100"/>
                <w:sz w:val="22"/>
                <w:u w:val="thick" w:color="000000"/>
              </w:rPr>
              <w:t> </w:t>
            </w:r>
            <w:r>
              <w:rPr>
                <w:rFonts w:ascii="Arial"/>
                <w:sz w:val="22"/>
                <w:u w:val="thick" w:color="000000"/>
              </w:rPr>
              <w:tab/>
            </w:r>
            <w:r>
              <w:rPr>
                <w:rFonts w:ascii="Arial"/>
                <w:sz w:val="22"/>
              </w:rPr>
            </w:r>
          </w:p>
        </w:tc>
        <w:tc>
          <w:tcPr>
            <w:tcW w:w="2731" w:type="dxa"/>
            <w:tcBorders>
              <w:top w:val="nil" w:sz="6" w:space="0" w:color="auto"/>
              <w:left w:val="nil" w:sz="6" w:space="0" w:color="auto"/>
              <w:bottom w:val="nil" w:sz="6" w:space="0" w:color="auto"/>
              <w:right w:val="nil" w:sz="6" w:space="0" w:color="auto"/>
            </w:tcBorders>
          </w:tcPr>
          <w:p>
            <w:pPr>
              <w:pStyle w:val="TableParagraph"/>
              <w:tabs>
                <w:tab w:pos="1521" w:val="left" w:leader="none"/>
              </w:tabs>
              <w:spacing w:line="240" w:lineRule="auto" w:before="174"/>
              <w:ind w:right="0"/>
              <w:jc w:val="right"/>
              <w:rPr>
                <w:rFonts w:ascii="Arial" w:hAnsi="Arial" w:cs="Arial" w:eastAsia="Arial" w:hint="default"/>
                <w:sz w:val="22"/>
                <w:szCs w:val="22"/>
              </w:rPr>
            </w:pPr>
            <w:r>
              <w:rPr>
                <w:rFonts w:ascii="Arial"/>
                <w:w w:val="100"/>
                <w:sz w:val="22"/>
              </w:rPr>
            </w:r>
            <w:r>
              <w:rPr>
                <w:rFonts w:ascii="Arial"/>
                <w:spacing w:val="-1"/>
                <w:sz w:val="22"/>
                <w:u w:val="thick" w:color="000000"/>
              </w:rPr>
              <w:t>2,800,608,159</w:t>
              <w:tab/>
            </w:r>
            <w:r>
              <w:rPr>
                <w:rFonts w:ascii="Arial"/>
                <w:spacing w:val="-1"/>
                <w:sz w:val="22"/>
              </w:rPr>
            </w:r>
          </w:p>
        </w:tc>
        <w:tc>
          <w:tcPr>
            <w:tcW w:w="235" w:type="dxa"/>
            <w:tcBorders>
              <w:top w:val="nil" w:sz="6" w:space="0" w:color="auto"/>
              <w:left w:val="nil" w:sz="6" w:space="0" w:color="auto"/>
              <w:bottom w:val="nil" w:sz="6" w:space="0" w:color="auto"/>
              <w:right w:val="nil" w:sz="6" w:space="0" w:color="auto"/>
            </w:tcBorders>
          </w:tcPr>
          <w:p>
            <w:pPr/>
          </w:p>
        </w:tc>
        <w:tc>
          <w:tcPr>
            <w:tcW w:w="2525" w:type="dxa"/>
            <w:tcBorders>
              <w:top w:val="nil" w:sz="6" w:space="0" w:color="auto"/>
              <w:left w:val="nil" w:sz="6" w:space="0" w:color="auto"/>
              <w:bottom w:val="nil" w:sz="6" w:space="0" w:color="auto"/>
              <w:right w:val="nil" w:sz="6" w:space="0" w:color="auto"/>
            </w:tcBorders>
          </w:tcPr>
          <w:p>
            <w:pPr>
              <w:pStyle w:val="TableParagraph"/>
              <w:tabs>
                <w:tab w:pos="1007" w:val="left" w:leader="none"/>
                <w:tab w:pos="2524" w:val="left" w:leader="none"/>
              </w:tabs>
              <w:spacing w:line="240" w:lineRule="auto" w:before="174"/>
              <w:ind w:left="-15" w:right="0"/>
              <w:jc w:val="left"/>
              <w:rPr>
                <w:rFonts w:ascii="Arial" w:hAnsi="Arial" w:cs="Arial" w:eastAsia="Arial" w:hint="default"/>
                <w:sz w:val="22"/>
                <w:szCs w:val="22"/>
              </w:rPr>
            </w:pPr>
            <w:r>
              <w:rPr>
                <w:rFonts w:ascii="Arial"/>
                <w:w w:val="100"/>
                <w:sz w:val="22"/>
              </w:rPr>
            </w:r>
            <w:r>
              <w:rPr>
                <w:rFonts w:ascii="Arial"/>
                <w:w w:val="100"/>
                <w:sz w:val="22"/>
                <w:u w:val="thick" w:color="000000"/>
              </w:rPr>
              <w:t> </w:t>
            </w:r>
            <w:r>
              <w:rPr>
                <w:rFonts w:ascii="Arial"/>
                <w:sz w:val="22"/>
                <w:u w:val="thick" w:color="000000"/>
              </w:rPr>
              <w:tab/>
              <w:t>3,220,869,649</w:t>
              <w:tab/>
            </w:r>
            <w:r>
              <w:rPr>
                <w:rFonts w:ascii="Arial"/>
                <w:sz w:val="22"/>
              </w:rPr>
            </w:r>
          </w:p>
        </w:tc>
      </w:tr>
    </w:tbl>
    <w:p>
      <w:pPr>
        <w:spacing w:line="240" w:lineRule="auto" w:before="13"/>
        <w:rPr>
          <w:rFonts w:ascii="宋体" w:hAnsi="宋体" w:cs="宋体" w:eastAsia="宋体" w:hint="default"/>
          <w:sz w:val="13"/>
          <w:szCs w:val="13"/>
        </w:rPr>
      </w:pPr>
    </w:p>
    <w:p>
      <w:pPr>
        <w:pStyle w:val="BodyText"/>
        <w:spacing w:line="240" w:lineRule="auto" w:before="32"/>
        <w:ind w:left="151" w:right="0"/>
        <w:jc w:val="left"/>
      </w:pPr>
      <w:r>
        <w:rPr>
          <w:rFonts w:ascii="Arial" w:hAnsi="Arial" w:cs="Arial" w:eastAsia="Arial" w:hint="default"/>
        </w:rPr>
        <w:t>(a)</w:t>
      </w:r>
      <w:r>
        <w:rPr>
          <w:rFonts w:ascii="Arial" w:hAnsi="Arial" w:cs="Arial" w:eastAsia="Arial" w:hint="default"/>
          <w:spacing w:val="35"/>
        </w:rPr>
        <w:t> </w:t>
      </w:r>
      <w:r>
        <w:rPr/>
        <w:t>其他</w:t>
      </w:r>
    </w:p>
    <w:p>
      <w:pPr>
        <w:pStyle w:val="BodyText"/>
        <w:spacing w:line="240" w:lineRule="auto" w:before="186"/>
        <w:ind w:left="165" w:right="0"/>
        <w:jc w:val="left"/>
      </w:pPr>
      <w:r>
        <w:rPr>
          <w:rFonts w:ascii="Arial" w:hAnsi="Arial" w:cs="Arial" w:eastAsia="Arial" w:hint="default"/>
        </w:rPr>
        <w:t>(1)</w:t>
      </w:r>
      <w:r>
        <w:rPr>
          <w:rFonts w:ascii="Arial" w:hAnsi="Arial" w:cs="Arial" w:eastAsia="Arial" w:hint="default"/>
          <w:spacing w:val="21"/>
        </w:rPr>
        <w:t> </w:t>
      </w:r>
      <w:r>
        <w:rPr/>
        <w:t>按类别分析如下：</w:t>
      </w:r>
    </w:p>
    <w:p>
      <w:pPr>
        <w:spacing w:line="240" w:lineRule="auto" w:before="7"/>
        <w:rPr>
          <w:rFonts w:ascii="宋体" w:hAnsi="宋体" w:cs="宋体" w:eastAsia="宋体" w:hint="default"/>
          <w:sz w:val="24"/>
          <w:szCs w:val="24"/>
        </w:rPr>
      </w:pPr>
    </w:p>
    <w:tbl>
      <w:tblPr>
        <w:tblW w:w="0" w:type="auto"/>
        <w:jc w:val="left"/>
        <w:tblInd w:w="296" w:type="dxa"/>
        <w:tblLayout w:type="fixed"/>
        <w:tblCellMar>
          <w:top w:w="0" w:type="dxa"/>
          <w:left w:w="0" w:type="dxa"/>
          <w:bottom w:w="0" w:type="dxa"/>
          <w:right w:w="0" w:type="dxa"/>
        </w:tblCellMar>
        <w:tblLook w:val="01E0"/>
      </w:tblPr>
      <w:tblGrid>
        <w:gridCol w:w="2833"/>
        <w:gridCol w:w="823"/>
        <w:gridCol w:w="2765"/>
        <w:gridCol w:w="235"/>
        <w:gridCol w:w="2549"/>
      </w:tblGrid>
      <w:tr>
        <w:trPr>
          <w:trHeight w:val="262" w:hRule="exact"/>
        </w:trPr>
        <w:tc>
          <w:tcPr>
            <w:tcW w:w="2833" w:type="dxa"/>
            <w:tcBorders>
              <w:top w:val="nil" w:sz="6" w:space="0" w:color="auto"/>
              <w:left w:val="nil" w:sz="6" w:space="0" w:color="auto"/>
              <w:bottom w:val="nil" w:sz="6" w:space="0" w:color="auto"/>
              <w:right w:val="nil" w:sz="6" w:space="0" w:color="auto"/>
            </w:tcBorders>
          </w:tcPr>
          <w:p>
            <w:pPr/>
          </w:p>
        </w:tc>
        <w:tc>
          <w:tcPr>
            <w:tcW w:w="823" w:type="dxa"/>
            <w:tcBorders>
              <w:top w:val="nil" w:sz="6" w:space="0" w:color="auto"/>
              <w:left w:val="nil" w:sz="6" w:space="0" w:color="auto"/>
              <w:bottom w:val="nil" w:sz="6" w:space="0" w:color="auto"/>
              <w:right w:val="nil" w:sz="6" w:space="0" w:color="auto"/>
            </w:tcBorders>
          </w:tcPr>
          <w:p>
            <w:pPr/>
          </w:p>
        </w:tc>
        <w:tc>
          <w:tcPr>
            <w:tcW w:w="2765" w:type="dxa"/>
            <w:tcBorders>
              <w:top w:val="nil" w:sz="6" w:space="0" w:color="auto"/>
              <w:left w:val="nil" w:sz="6" w:space="0" w:color="auto"/>
              <w:bottom w:val="single" w:sz="4" w:space="0" w:color="000000"/>
              <w:right w:val="nil" w:sz="6" w:space="0" w:color="auto"/>
            </w:tcBorders>
          </w:tcPr>
          <w:p>
            <w:pPr>
              <w:pStyle w:val="TableParagraph"/>
              <w:spacing w:line="236" w:lineRule="exact"/>
              <w:ind w:right="103"/>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235" w:type="dxa"/>
            <w:tcBorders>
              <w:top w:val="nil" w:sz="6" w:space="0" w:color="auto"/>
              <w:left w:val="nil" w:sz="6" w:space="0" w:color="auto"/>
              <w:bottom w:val="nil" w:sz="6" w:space="0" w:color="auto"/>
              <w:right w:val="nil" w:sz="6" w:space="0" w:color="auto"/>
            </w:tcBorders>
          </w:tcPr>
          <w:p>
            <w:pPr/>
          </w:p>
        </w:tc>
        <w:tc>
          <w:tcPr>
            <w:tcW w:w="2549" w:type="dxa"/>
            <w:tcBorders>
              <w:top w:val="nil" w:sz="6" w:space="0" w:color="auto"/>
              <w:left w:val="nil" w:sz="6" w:space="0" w:color="auto"/>
              <w:bottom w:val="single" w:sz="4" w:space="0" w:color="000000"/>
              <w:right w:val="nil" w:sz="6" w:space="0" w:color="auto"/>
            </w:tcBorders>
          </w:tcPr>
          <w:p>
            <w:pPr>
              <w:pStyle w:val="TableParagraph"/>
              <w:spacing w:line="236" w:lineRule="exact"/>
              <w:ind w:right="103"/>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717" w:hRule="exact"/>
        </w:trPr>
        <w:tc>
          <w:tcPr>
            <w:tcW w:w="283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备用金及垫付款</w:t>
            </w:r>
            <w:r>
              <w:rPr>
                <w:rFonts w:ascii="宋体" w:hAnsi="宋体" w:cs="宋体" w:eastAsia="宋体" w:hint="default"/>
                <w:sz w:val="22"/>
                <w:szCs w:val="22"/>
              </w:rPr>
              <w:t> </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30"/>
                <w:szCs w:val="30"/>
              </w:rPr>
            </w:pPr>
          </w:p>
          <w:p>
            <w:pPr>
              <w:pStyle w:val="TableParagraph"/>
              <w:spacing w:line="240" w:lineRule="auto"/>
              <w:ind w:left="323" w:right="0"/>
              <w:jc w:val="left"/>
              <w:rPr>
                <w:rFonts w:ascii="宋体" w:hAnsi="宋体" w:cs="宋体" w:eastAsia="宋体" w:hint="default"/>
                <w:sz w:val="22"/>
                <w:szCs w:val="22"/>
              </w:rPr>
            </w:pPr>
            <w:r>
              <w:rPr>
                <w:rFonts w:ascii="宋体"/>
                <w:w w:val="100"/>
                <w:sz w:val="22"/>
              </w:rPr>
              <w:t> </w:t>
            </w:r>
          </w:p>
        </w:tc>
        <w:tc>
          <w:tcPr>
            <w:tcW w:w="2765"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30"/>
                <w:szCs w:val="30"/>
              </w:rPr>
            </w:pPr>
          </w:p>
          <w:p>
            <w:pPr>
              <w:pStyle w:val="TableParagraph"/>
              <w:spacing w:line="240" w:lineRule="auto"/>
              <w:ind w:right="108"/>
              <w:jc w:val="right"/>
              <w:rPr>
                <w:rFonts w:ascii="Arial" w:hAnsi="Arial" w:cs="Arial" w:eastAsia="Arial" w:hint="default"/>
                <w:sz w:val="22"/>
                <w:szCs w:val="22"/>
              </w:rPr>
            </w:pPr>
            <w:r>
              <w:rPr>
                <w:rFonts w:ascii="Arial"/>
                <w:sz w:val="22"/>
              </w:rPr>
              <w:t>492,355,532</w:t>
            </w:r>
          </w:p>
        </w:tc>
        <w:tc>
          <w:tcPr>
            <w:tcW w:w="235" w:type="dxa"/>
            <w:tcBorders>
              <w:top w:val="nil" w:sz="6" w:space="0" w:color="auto"/>
              <w:left w:val="nil" w:sz="6" w:space="0" w:color="auto"/>
              <w:bottom w:val="nil" w:sz="6" w:space="0" w:color="auto"/>
              <w:right w:val="nil" w:sz="6" w:space="0" w:color="auto"/>
            </w:tcBorders>
          </w:tcPr>
          <w:p>
            <w:pPr/>
          </w:p>
        </w:tc>
        <w:tc>
          <w:tcPr>
            <w:tcW w:w="2549"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30"/>
                <w:szCs w:val="30"/>
              </w:rPr>
            </w:pPr>
          </w:p>
          <w:p>
            <w:pPr>
              <w:pStyle w:val="TableParagraph"/>
              <w:spacing w:line="240" w:lineRule="auto"/>
              <w:ind w:right="106"/>
              <w:jc w:val="right"/>
              <w:rPr>
                <w:rFonts w:ascii="Arial" w:hAnsi="Arial" w:cs="Arial" w:eastAsia="Arial" w:hint="default"/>
                <w:sz w:val="22"/>
                <w:szCs w:val="22"/>
              </w:rPr>
            </w:pPr>
            <w:r>
              <w:rPr>
                <w:rFonts w:ascii="Arial"/>
                <w:spacing w:val="-1"/>
                <w:sz w:val="22"/>
              </w:rPr>
              <w:t>448,085,377</w:t>
            </w:r>
          </w:p>
        </w:tc>
      </w:tr>
      <w:tr>
        <w:trPr>
          <w:trHeight w:val="329" w:hRule="exact"/>
        </w:trPr>
        <w:tc>
          <w:tcPr>
            <w:tcW w:w="2833" w:type="dxa"/>
            <w:tcBorders>
              <w:top w:val="nil" w:sz="6" w:space="0" w:color="auto"/>
              <w:left w:val="nil" w:sz="6" w:space="0" w:color="auto"/>
              <w:bottom w:val="nil" w:sz="6" w:space="0" w:color="auto"/>
              <w:right w:val="nil" w:sz="6" w:space="0" w:color="auto"/>
            </w:tcBorders>
          </w:tcPr>
          <w:p>
            <w:pPr>
              <w:pStyle w:val="TableParagraph"/>
              <w:spacing w:line="245" w:lineRule="exact"/>
              <w:ind w:left="200" w:right="0"/>
              <w:jc w:val="left"/>
              <w:rPr>
                <w:rFonts w:ascii="宋体" w:hAnsi="宋体" w:cs="宋体" w:eastAsia="宋体" w:hint="default"/>
                <w:sz w:val="22"/>
                <w:szCs w:val="22"/>
              </w:rPr>
            </w:pPr>
            <w:r>
              <w:rPr>
                <w:rFonts w:ascii="宋体" w:hAnsi="宋体" w:cs="宋体" w:eastAsia="宋体" w:hint="default"/>
                <w:sz w:val="22"/>
                <w:szCs w:val="22"/>
              </w:rPr>
              <w:t>暂付押金、保证金等</w:t>
            </w:r>
            <w:r>
              <w:rPr>
                <w:rFonts w:ascii="宋体" w:hAnsi="宋体" w:cs="宋体" w:eastAsia="宋体" w:hint="default"/>
                <w:sz w:val="22"/>
                <w:szCs w:val="22"/>
              </w:rPr>
              <w:t> </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23" w:right="0"/>
              <w:jc w:val="left"/>
              <w:rPr>
                <w:rFonts w:ascii="宋体" w:hAnsi="宋体" w:cs="宋体" w:eastAsia="宋体" w:hint="default"/>
                <w:sz w:val="22"/>
                <w:szCs w:val="22"/>
              </w:rPr>
            </w:pPr>
            <w:r>
              <w:rPr>
                <w:rFonts w:ascii="宋体"/>
                <w:w w:val="100"/>
                <w:sz w:val="22"/>
              </w:rPr>
              <w:t> </w:t>
            </w:r>
          </w:p>
        </w:tc>
        <w:tc>
          <w:tcPr>
            <w:tcW w:w="2765"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10"/>
              <w:jc w:val="right"/>
              <w:rPr>
                <w:rFonts w:ascii="Arial" w:hAnsi="Arial" w:cs="Arial" w:eastAsia="Arial" w:hint="default"/>
                <w:sz w:val="22"/>
                <w:szCs w:val="22"/>
              </w:rPr>
            </w:pPr>
            <w:r>
              <w:rPr>
                <w:rFonts w:ascii="Arial"/>
                <w:spacing w:val="-1"/>
                <w:sz w:val="22"/>
              </w:rPr>
              <w:t>1,295,104,436</w:t>
            </w:r>
          </w:p>
        </w:tc>
        <w:tc>
          <w:tcPr>
            <w:tcW w:w="235" w:type="dxa"/>
            <w:tcBorders>
              <w:top w:val="nil" w:sz="6" w:space="0" w:color="auto"/>
              <w:left w:val="nil" w:sz="6" w:space="0" w:color="auto"/>
              <w:bottom w:val="nil" w:sz="6" w:space="0" w:color="auto"/>
              <w:right w:val="nil" w:sz="6" w:space="0" w:color="auto"/>
            </w:tcBorders>
          </w:tcPr>
          <w:p>
            <w:pPr/>
          </w:p>
        </w:tc>
        <w:tc>
          <w:tcPr>
            <w:tcW w:w="254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5"/>
              <w:jc w:val="right"/>
              <w:rPr>
                <w:rFonts w:ascii="Arial" w:hAnsi="Arial" w:cs="Arial" w:eastAsia="Arial" w:hint="default"/>
                <w:sz w:val="22"/>
                <w:szCs w:val="22"/>
              </w:rPr>
            </w:pPr>
            <w:r>
              <w:rPr>
                <w:rFonts w:ascii="Arial"/>
                <w:spacing w:val="-1"/>
                <w:sz w:val="22"/>
              </w:rPr>
              <w:t>1,103,890,537</w:t>
            </w:r>
          </w:p>
        </w:tc>
      </w:tr>
      <w:tr>
        <w:trPr>
          <w:trHeight w:val="331" w:hRule="exact"/>
        </w:trPr>
        <w:tc>
          <w:tcPr>
            <w:tcW w:w="2833" w:type="dxa"/>
            <w:tcBorders>
              <w:top w:val="nil" w:sz="6" w:space="0" w:color="auto"/>
              <w:left w:val="nil" w:sz="6" w:space="0" w:color="auto"/>
              <w:bottom w:val="nil" w:sz="6" w:space="0" w:color="auto"/>
              <w:right w:val="nil" w:sz="6" w:space="0" w:color="auto"/>
            </w:tcBorders>
          </w:tcPr>
          <w:p>
            <w:pPr>
              <w:pStyle w:val="TableParagraph"/>
              <w:spacing w:line="242" w:lineRule="exact"/>
              <w:ind w:left="200" w:right="0"/>
              <w:jc w:val="left"/>
              <w:rPr>
                <w:rFonts w:ascii="宋体" w:hAnsi="宋体" w:cs="宋体" w:eastAsia="宋体" w:hint="default"/>
                <w:sz w:val="22"/>
                <w:szCs w:val="22"/>
              </w:rPr>
            </w:pPr>
            <w:r>
              <w:rPr>
                <w:rFonts w:ascii="宋体" w:hAnsi="宋体" w:cs="宋体" w:eastAsia="宋体" w:hint="default"/>
                <w:sz w:val="22"/>
                <w:szCs w:val="22"/>
              </w:rPr>
              <w:t>员工备用金</w:t>
            </w:r>
            <w:r>
              <w:rPr>
                <w:rFonts w:ascii="宋体" w:hAnsi="宋体" w:cs="宋体" w:eastAsia="宋体" w:hint="default"/>
                <w:sz w:val="22"/>
                <w:szCs w:val="22"/>
              </w:rPr>
              <w:t> </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23" w:right="0"/>
              <w:jc w:val="left"/>
              <w:rPr>
                <w:rFonts w:ascii="宋体" w:hAnsi="宋体" w:cs="宋体" w:eastAsia="宋体" w:hint="default"/>
                <w:sz w:val="22"/>
                <w:szCs w:val="22"/>
              </w:rPr>
            </w:pPr>
            <w:r>
              <w:rPr>
                <w:rFonts w:ascii="宋体"/>
                <w:w w:val="100"/>
                <w:sz w:val="22"/>
              </w:rPr>
              <w:t> </w:t>
            </w:r>
          </w:p>
        </w:tc>
        <w:tc>
          <w:tcPr>
            <w:tcW w:w="276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0"/>
              <w:jc w:val="right"/>
              <w:rPr>
                <w:rFonts w:ascii="Arial" w:hAnsi="Arial" w:cs="Arial" w:eastAsia="Arial" w:hint="default"/>
                <w:sz w:val="22"/>
                <w:szCs w:val="22"/>
              </w:rPr>
            </w:pPr>
            <w:r>
              <w:rPr>
                <w:rFonts w:ascii="Arial"/>
                <w:spacing w:val="-1"/>
                <w:sz w:val="22"/>
              </w:rPr>
              <w:t>14,035,988</w:t>
            </w:r>
          </w:p>
        </w:tc>
        <w:tc>
          <w:tcPr>
            <w:tcW w:w="235" w:type="dxa"/>
            <w:tcBorders>
              <w:top w:val="nil" w:sz="6" w:space="0" w:color="auto"/>
              <w:left w:val="nil" w:sz="6" w:space="0" w:color="auto"/>
              <w:bottom w:val="nil" w:sz="6" w:space="0" w:color="auto"/>
              <w:right w:val="nil" w:sz="6" w:space="0" w:color="auto"/>
            </w:tcBorders>
          </w:tcPr>
          <w:p>
            <w:pPr/>
          </w:p>
        </w:tc>
        <w:tc>
          <w:tcPr>
            <w:tcW w:w="254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Arial" w:hAnsi="Arial" w:cs="Arial" w:eastAsia="Arial" w:hint="default"/>
                <w:sz w:val="22"/>
                <w:szCs w:val="22"/>
              </w:rPr>
            </w:pPr>
            <w:r>
              <w:rPr>
                <w:rFonts w:ascii="Arial"/>
                <w:spacing w:val="-1"/>
                <w:sz w:val="22"/>
              </w:rPr>
              <w:t>22,401,118</w:t>
            </w:r>
          </w:p>
        </w:tc>
      </w:tr>
      <w:tr>
        <w:trPr>
          <w:trHeight w:val="329" w:hRule="exact"/>
        </w:trPr>
        <w:tc>
          <w:tcPr>
            <w:tcW w:w="2833" w:type="dxa"/>
            <w:tcBorders>
              <w:top w:val="nil" w:sz="6" w:space="0" w:color="auto"/>
              <w:left w:val="nil" w:sz="6" w:space="0" w:color="auto"/>
              <w:bottom w:val="nil" w:sz="6" w:space="0" w:color="auto"/>
              <w:right w:val="nil" w:sz="6" w:space="0" w:color="auto"/>
            </w:tcBorders>
          </w:tcPr>
          <w:p>
            <w:pPr>
              <w:pStyle w:val="TableParagraph"/>
              <w:spacing w:line="242" w:lineRule="exact"/>
              <w:ind w:left="200" w:right="0"/>
              <w:jc w:val="left"/>
              <w:rPr>
                <w:rFonts w:ascii="宋体" w:hAnsi="宋体" w:cs="宋体" w:eastAsia="宋体" w:hint="default"/>
                <w:sz w:val="22"/>
                <w:szCs w:val="22"/>
              </w:rPr>
            </w:pPr>
            <w:r>
              <w:rPr>
                <w:rFonts w:ascii="宋体" w:hAnsi="宋体" w:cs="宋体" w:eastAsia="宋体" w:hint="default"/>
                <w:sz w:val="22"/>
                <w:szCs w:val="22"/>
              </w:rPr>
              <w:t>应收铁塔公司相关款项</w:t>
            </w:r>
            <w:r>
              <w:rPr>
                <w:rFonts w:ascii="宋体" w:hAnsi="宋体" w:cs="宋体" w:eastAsia="宋体" w:hint="default"/>
                <w:sz w:val="22"/>
                <w:szCs w:val="22"/>
              </w:rPr>
              <w:t> </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23" w:right="0"/>
              <w:jc w:val="left"/>
              <w:rPr>
                <w:rFonts w:ascii="宋体" w:hAnsi="宋体" w:cs="宋体" w:eastAsia="宋体" w:hint="default"/>
                <w:sz w:val="22"/>
                <w:szCs w:val="22"/>
              </w:rPr>
            </w:pPr>
            <w:r>
              <w:rPr>
                <w:rFonts w:ascii="宋体"/>
                <w:w w:val="100"/>
                <w:sz w:val="22"/>
              </w:rPr>
              <w:t> </w:t>
            </w:r>
          </w:p>
        </w:tc>
        <w:tc>
          <w:tcPr>
            <w:tcW w:w="276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0"/>
              <w:jc w:val="right"/>
              <w:rPr>
                <w:rFonts w:ascii="Arial" w:hAnsi="Arial" w:cs="Arial" w:eastAsia="Arial" w:hint="default"/>
                <w:sz w:val="22"/>
                <w:szCs w:val="22"/>
              </w:rPr>
            </w:pPr>
            <w:r>
              <w:rPr>
                <w:rFonts w:ascii="Arial"/>
                <w:spacing w:val="-1"/>
                <w:sz w:val="22"/>
              </w:rPr>
              <w:t>64,316,563</w:t>
            </w:r>
          </w:p>
        </w:tc>
        <w:tc>
          <w:tcPr>
            <w:tcW w:w="235" w:type="dxa"/>
            <w:tcBorders>
              <w:top w:val="nil" w:sz="6" w:space="0" w:color="auto"/>
              <w:left w:val="nil" w:sz="6" w:space="0" w:color="auto"/>
              <w:bottom w:val="nil" w:sz="6" w:space="0" w:color="auto"/>
              <w:right w:val="nil" w:sz="6" w:space="0" w:color="auto"/>
            </w:tcBorders>
          </w:tcPr>
          <w:p>
            <w:pPr/>
          </w:p>
        </w:tc>
        <w:tc>
          <w:tcPr>
            <w:tcW w:w="254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Arial" w:hAnsi="Arial" w:cs="Arial" w:eastAsia="Arial" w:hint="default"/>
                <w:sz w:val="22"/>
                <w:szCs w:val="22"/>
              </w:rPr>
            </w:pPr>
            <w:r>
              <w:rPr>
                <w:rFonts w:ascii="Arial"/>
                <w:spacing w:val="-1"/>
                <w:sz w:val="22"/>
              </w:rPr>
              <w:t>530,029,814</w:t>
            </w:r>
          </w:p>
        </w:tc>
      </w:tr>
      <w:tr>
        <w:trPr>
          <w:trHeight w:val="336" w:hRule="exact"/>
        </w:trPr>
        <w:tc>
          <w:tcPr>
            <w:tcW w:w="2833" w:type="dxa"/>
            <w:tcBorders>
              <w:top w:val="nil" w:sz="6" w:space="0" w:color="auto"/>
              <w:left w:val="nil" w:sz="6" w:space="0" w:color="auto"/>
              <w:bottom w:val="nil" w:sz="6" w:space="0" w:color="auto"/>
              <w:right w:val="nil" w:sz="6" w:space="0" w:color="auto"/>
            </w:tcBorders>
          </w:tcPr>
          <w:p>
            <w:pPr>
              <w:pStyle w:val="TableParagraph"/>
              <w:spacing w:line="245"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w:t>
            </w:r>
            <w:r>
              <w:rPr>
                <w:rFonts w:ascii="宋体" w:hAnsi="宋体" w:cs="宋体" w:eastAsia="宋体" w:hint="default"/>
                <w:sz w:val="22"/>
                <w:szCs w:val="22"/>
              </w:rPr>
              <w:t> </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23" w:right="0"/>
              <w:jc w:val="left"/>
              <w:rPr>
                <w:rFonts w:ascii="宋体" w:hAnsi="宋体" w:cs="宋体" w:eastAsia="宋体" w:hint="default"/>
                <w:sz w:val="22"/>
                <w:szCs w:val="22"/>
              </w:rPr>
            </w:pPr>
            <w:r>
              <w:rPr>
                <w:rFonts w:ascii="宋体"/>
                <w:w w:val="100"/>
                <w:sz w:val="22"/>
              </w:rPr>
              <w:t> </w:t>
            </w:r>
          </w:p>
        </w:tc>
        <w:tc>
          <w:tcPr>
            <w:tcW w:w="2765" w:type="dxa"/>
            <w:tcBorders>
              <w:top w:val="nil" w:sz="6" w:space="0" w:color="auto"/>
              <w:left w:val="nil" w:sz="6" w:space="0" w:color="auto"/>
              <w:bottom w:val="nil" w:sz="6" w:space="0" w:color="auto"/>
              <w:right w:val="nil" w:sz="6" w:space="0" w:color="auto"/>
            </w:tcBorders>
          </w:tcPr>
          <w:p>
            <w:pPr>
              <w:pStyle w:val="TableParagraph"/>
              <w:tabs>
                <w:tab w:pos="1243" w:val="left" w:leader="none"/>
                <w:tab w:pos="2764"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1,450,588,535</w:t>
              <w:tab/>
            </w:r>
            <w:r>
              <w:rPr>
                <w:rFonts w:ascii="Arial"/>
                <w:spacing w:val="-1"/>
                <w:sz w:val="22"/>
              </w:rPr>
            </w:r>
          </w:p>
        </w:tc>
        <w:tc>
          <w:tcPr>
            <w:tcW w:w="235" w:type="dxa"/>
            <w:tcBorders>
              <w:top w:val="nil" w:sz="6" w:space="0" w:color="auto"/>
              <w:left w:val="nil" w:sz="6" w:space="0" w:color="auto"/>
              <w:bottom w:val="nil" w:sz="6" w:space="0" w:color="auto"/>
              <w:right w:val="nil" w:sz="6" w:space="0" w:color="auto"/>
            </w:tcBorders>
          </w:tcPr>
          <w:p>
            <w:pPr/>
          </w:p>
        </w:tc>
        <w:tc>
          <w:tcPr>
            <w:tcW w:w="2549" w:type="dxa"/>
            <w:tcBorders>
              <w:top w:val="nil" w:sz="6" w:space="0" w:color="auto"/>
              <w:left w:val="nil" w:sz="6" w:space="0" w:color="auto"/>
              <w:bottom w:val="nil" w:sz="6" w:space="0" w:color="auto"/>
              <w:right w:val="nil" w:sz="6" w:space="0" w:color="auto"/>
            </w:tcBorders>
          </w:tcPr>
          <w:p>
            <w:pPr>
              <w:pStyle w:val="TableParagraph"/>
              <w:tabs>
                <w:tab w:pos="1031" w:val="left" w:leader="none"/>
                <w:tab w:pos="2548"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1,276,169,792</w:t>
              <w:tab/>
            </w:r>
            <w:r>
              <w:rPr>
                <w:rFonts w:ascii="Arial"/>
                <w:spacing w:val="-1"/>
                <w:sz w:val="22"/>
              </w:rPr>
            </w:r>
          </w:p>
        </w:tc>
      </w:tr>
      <w:tr>
        <w:trPr>
          <w:trHeight w:val="499" w:hRule="exact"/>
        </w:trPr>
        <w:tc>
          <w:tcPr>
            <w:tcW w:w="2833" w:type="dxa"/>
            <w:tcBorders>
              <w:top w:val="nil" w:sz="6" w:space="0" w:color="auto"/>
              <w:left w:val="nil" w:sz="6" w:space="0" w:color="auto"/>
              <w:bottom w:val="nil" w:sz="6" w:space="0" w:color="auto"/>
              <w:right w:val="nil" w:sz="6" w:space="0" w:color="auto"/>
            </w:tcBorders>
          </w:tcPr>
          <w:p>
            <w:pPr>
              <w:pStyle w:val="TableParagraph"/>
              <w:spacing w:line="249" w:lineRule="exact"/>
              <w:ind w:left="200" w:right="0"/>
              <w:jc w:val="left"/>
              <w:rPr>
                <w:rFonts w:ascii="宋体" w:hAnsi="宋体" w:cs="宋体" w:eastAsia="宋体" w:hint="default"/>
                <w:sz w:val="22"/>
                <w:szCs w:val="22"/>
              </w:rPr>
            </w:pPr>
            <w:r>
              <w:rPr>
                <w:rFonts w:ascii="宋体" w:hAnsi="宋体" w:cs="宋体" w:eastAsia="宋体" w:hint="default"/>
                <w:sz w:val="22"/>
                <w:szCs w:val="22"/>
              </w:rPr>
              <w:t>小计</w:t>
            </w:r>
            <w:r>
              <w:rPr>
                <w:rFonts w:ascii="宋体" w:hAnsi="宋体" w:cs="宋体" w:eastAsia="宋体" w:hint="default"/>
                <w:sz w:val="22"/>
                <w:szCs w:val="22"/>
              </w:rPr>
              <w:t> </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23" w:right="0"/>
              <w:jc w:val="left"/>
              <w:rPr>
                <w:rFonts w:ascii="宋体" w:hAnsi="宋体" w:cs="宋体" w:eastAsia="宋体" w:hint="default"/>
                <w:sz w:val="22"/>
                <w:szCs w:val="22"/>
              </w:rPr>
            </w:pPr>
            <w:r>
              <w:rPr>
                <w:rFonts w:ascii="宋体"/>
                <w:w w:val="100"/>
                <w:sz w:val="22"/>
              </w:rPr>
              <w:t> </w:t>
            </w:r>
          </w:p>
        </w:tc>
        <w:tc>
          <w:tcPr>
            <w:tcW w:w="276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10"/>
              <w:jc w:val="right"/>
              <w:rPr>
                <w:rFonts w:ascii="Arial" w:hAnsi="Arial" w:cs="Arial" w:eastAsia="Arial" w:hint="default"/>
                <w:sz w:val="22"/>
                <w:szCs w:val="22"/>
              </w:rPr>
            </w:pPr>
            <w:r>
              <w:rPr>
                <w:rFonts w:ascii="Arial"/>
                <w:spacing w:val="-1"/>
                <w:sz w:val="22"/>
              </w:rPr>
              <w:t>3,316,401,054</w:t>
            </w:r>
          </w:p>
        </w:tc>
        <w:tc>
          <w:tcPr>
            <w:tcW w:w="235" w:type="dxa"/>
            <w:tcBorders>
              <w:top w:val="nil" w:sz="6" w:space="0" w:color="auto"/>
              <w:left w:val="nil" w:sz="6" w:space="0" w:color="auto"/>
              <w:bottom w:val="nil" w:sz="6" w:space="0" w:color="auto"/>
              <w:right w:val="nil" w:sz="6" w:space="0" w:color="auto"/>
            </w:tcBorders>
          </w:tcPr>
          <w:p>
            <w:pPr/>
          </w:p>
        </w:tc>
        <w:tc>
          <w:tcPr>
            <w:tcW w:w="254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5"/>
              <w:jc w:val="right"/>
              <w:rPr>
                <w:rFonts w:ascii="Arial" w:hAnsi="Arial" w:cs="Arial" w:eastAsia="Arial" w:hint="default"/>
                <w:sz w:val="22"/>
                <w:szCs w:val="22"/>
              </w:rPr>
            </w:pPr>
            <w:r>
              <w:rPr>
                <w:rFonts w:ascii="Arial"/>
                <w:spacing w:val="-1"/>
                <w:sz w:val="22"/>
              </w:rPr>
              <w:t>3,380,576,638</w:t>
            </w:r>
          </w:p>
        </w:tc>
      </w:tr>
      <w:tr>
        <w:trPr>
          <w:trHeight w:val="667" w:hRule="exact"/>
        </w:trPr>
        <w:tc>
          <w:tcPr>
            <w:tcW w:w="2833"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200" w:right="0"/>
              <w:jc w:val="left"/>
              <w:rPr>
                <w:rFonts w:ascii="宋体" w:hAnsi="宋体" w:cs="宋体" w:eastAsia="宋体" w:hint="default"/>
                <w:sz w:val="22"/>
                <w:szCs w:val="22"/>
              </w:rPr>
            </w:pPr>
            <w:r>
              <w:rPr>
                <w:rFonts w:ascii="宋体" w:hAnsi="宋体" w:cs="宋体" w:eastAsia="宋体" w:hint="default"/>
                <w:sz w:val="22"/>
                <w:szCs w:val="22"/>
              </w:rPr>
              <w:t>减：坏账准备</w:t>
            </w:r>
            <w:r>
              <w:rPr>
                <w:rFonts w:ascii="宋体" w:hAnsi="宋体" w:cs="宋体" w:eastAsia="宋体" w:hint="default"/>
                <w:sz w:val="22"/>
                <w:szCs w:val="22"/>
              </w:rPr>
              <w:t> </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187"/>
              <w:ind w:left="323" w:right="0"/>
              <w:jc w:val="left"/>
              <w:rPr>
                <w:rFonts w:ascii="宋体" w:hAnsi="宋体" w:cs="宋体" w:eastAsia="宋体" w:hint="default"/>
                <w:sz w:val="22"/>
                <w:szCs w:val="22"/>
              </w:rPr>
            </w:pPr>
            <w:r>
              <w:rPr>
                <w:rFonts w:ascii="宋体"/>
                <w:w w:val="100"/>
                <w:sz w:val="22"/>
              </w:rPr>
              <w:t> </w:t>
            </w:r>
          </w:p>
        </w:tc>
        <w:tc>
          <w:tcPr>
            <w:tcW w:w="2765" w:type="dxa"/>
            <w:tcBorders>
              <w:top w:val="nil" w:sz="6" w:space="0" w:color="auto"/>
              <w:left w:val="nil" w:sz="6" w:space="0" w:color="auto"/>
              <w:bottom w:val="nil" w:sz="6" w:space="0" w:color="auto"/>
              <w:right w:val="nil" w:sz="6" w:space="0" w:color="auto"/>
            </w:tcBorders>
          </w:tcPr>
          <w:p>
            <w:pPr>
              <w:pStyle w:val="TableParagraph"/>
              <w:tabs>
                <w:tab w:pos="1343" w:val="left" w:leader="none"/>
              </w:tabs>
              <w:spacing w:line="240" w:lineRule="auto" w:before="189"/>
              <w:ind w:right="42"/>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(579,779,619)</w:t>
            </w:r>
            <w:r>
              <w:rPr>
                <w:rFonts w:ascii="Arial"/>
                <w:sz w:val="22"/>
              </w:rPr>
            </w:r>
          </w:p>
        </w:tc>
        <w:tc>
          <w:tcPr>
            <w:tcW w:w="235" w:type="dxa"/>
            <w:tcBorders>
              <w:top w:val="nil" w:sz="6" w:space="0" w:color="auto"/>
              <w:left w:val="nil" w:sz="6" w:space="0" w:color="auto"/>
              <w:bottom w:val="nil" w:sz="6" w:space="0" w:color="auto"/>
              <w:right w:val="nil" w:sz="6" w:space="0" w:color="auto"/>
            </w:tcBorders>
          </w:tcPr>
          <w:p>
            <w:pPr/>
          </w:p>
        </w:tc>
        <w:tc>
          <w:tcPr>
            <w:tcW w:w="2549" w:type="dxa"/>
            <w:tcBorders>
              <w:top w:val="nil" w:sz="6" w:space="0" w:color="auto"/>
              <w:left w:val="nil" w:sz="6" w:space="0" w:color="auto"/>
              <w:bottom w:val="nil" w:sz="6" w:space="0" w:color="auto"/>
              <w:right w:val="nil" w:sz="6" w:space="0" w:color="auto"/>
            </w:tcBorders>
          </w:tcPr>
          <w:p>
            <w:pPr>
              <w:pStyle w:val="TableParagraph"/>
              <w:tabs>
                <w:tab w:pos="1137" w:val="left" w:leader="none"/>
              </w:tabs>
              <w:spacing w:line="240" w:lineRule="auto" w:before="189"/>
              <w:ind w:right="3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(502,188,192)</w:t>
            </w:r>
            <w:r>
              <w:rPr>
                <w:rFonts w:ascii="Arial"/>
                <w:sz w:val="22"/>
              </w:rPr>
            </w:r>
          </w:p>
        </w:tc>
      </w:tr>
      <w:tr>
        <w:trPr>
          <w:trHeight w:val="475" w:hRule="exact"/>
        </w:trPr>
        <w:tc>
          <w:tcPr>
            <w:tcW w:w="2833"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200" w:right="0"/>
              <w:jc w:val="left"/>
              <w:rPr>
                <w:rFonts w:ascii="宋体" w:hAnsi="宋体" w:cs="宋体" w:eastAsia="宋体" w:hint="default"/>
                <w:sz w:val="22"/>
                <w:szCs w:val="22"/>
              </w:rPr>
            </w:pPr>
            <w:r>
              <w:rPr>
                <w:rFonts w:ascii="宋体" w:hAnsi="宋体" w:cs="宋体" w:eastAsia="宋体" w:hint="default"/>
                <w:sz w:val="22"/>
                <w:szCs w:val="22"/>
              </w:rPr>
              <w:t>其他应收款净额合计</w:t>
            </w:r>
            <w:r>
              <w:rPr>
                <w:rFonts w:ascii="宋体" w:hAnsi="宋体" w:cs="宋体" w:eastAsia="宋体" w:hint="default"/>
                <w:sz w:val="22"/>
                <w:szCs w:val="22"/>
              </w:rPr>
              <w:t> </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187"/>
              <w:ind w:left="323" w:right="0"/>
              <w:jc w:val="left"/>
              <w:rPr>
                <w:rFonts w:ascii="宋体" w:hAnsi="宋体" w:cs="宋体" w:eastAsia="宋体" w:hint="default"/>
                <w:sz w:val="22"/>
                <w:szCs w:val="22"/>
              </w:rPr>
            </w:pPr>
            <w:r>
              <w:rPr>
                <w:rFonts w:ascii="宋体"/>
                <w:w w:val="100"/>
                <w:sz w:val="22"/>
              </w:rPr>
              <w:t> </w:t>
            </w:r>
          </w:p>
        </w:tc>
        <w:tc>
          <w:tcPr>
            <w:tcW w:w="2765" w:type="dxa"/>
            <w:tcBorders>
              <w:top w:val="nil" w:sz="6" w:space="0" w:color="auto"/>
              <w:left w:val="nil" w:sz="6" w:space="0" w:color="auto"/>
              <w:bottom w:val="nil" w:sz="6" w:space="0" w:color="auto"/>
              <w:right w:val="nil" w:sz="6" w:space="0" w:color="auto"/>
            </w:tcBorders>
          </w:tcPr>
          <w:p>
            <w:pPr>
              <w:pStyle w:val="TableParagraph"/>
              <w:tabs>
                <w:tab w:pos="1243" w:val="left" w:leader="none"/>
                <w:tab w:pos="2764" w:val="left" w:leader="none"/>
              </w:tabs>
              <w:spacing w:line="240" w:lineRule="auto" w:before="189"/>
              <w:ind w:left="-15" w:right="0"/>
              <w:jc w:val="right"/>
              <w:rPr>
                <w:rFonts w:ascii="Arial" w:hAnsi="Arial" w:cs="Arial" w:eastAsia="Arial" w:hint="default"/>
                <w:sz w:val="22"/>
                <w:szCs w:val="22"/>
              </w:rPr>
            </w:pPr>
            <w:r>
              <w:rPr>
                <w:rFonts w:ascii="Arial"/>
                <w:w w:val="100"/>
                <w:sz w:val="22"/>
              </w:rPr>
            </w:r>
            <w:r>
              <w:rPr>
                <w:rFonts w:ascii="Arial"/>
                <w:w w:val="100"/>
                <w:sz w:val="22"/>
                <w:u w:val="thick" w:color="000000"/>
              </w:rPr>
              <w:t> </w:t>
            </w:r>
            <w:r>
              <w:rPr>
                <w:rFonts w:ascii="Arial"/>
                <w:sz w:val="22"/>
                <w:u w:val="thick" w:color="000000"/>
              </w:rPr>
              <w:tab/>
            </w:r>
            <w:r>
              <w:rPr>
                <w:rFonts w:ascii="Arial"/>
                <w:spacing w:val="-1"/>
                <w:sz w:val="22"/>
                <w:u w:val="thick" w:color="000000"/>
              </w:rPr>
              <w:t>2,736,621,435</w:t>
              <w:tab/>
            </w:r>
            <w:r>
              <w:rPr>
                <w:rFonts w:ascii="Arial"/>
                <w:spacing w:val="-1"/>
                <w:sz w:val="22"/>
              </w:rPr>
            </w:r>
          </w:p>
        </w:tc>
        <w:tc>
          <w:tcPr>
            <w:tcW w:w="235" w:type="dxa"/>
            <w:tcBorders>
              <w:top w:val="nil" w:sz="6" w:space="0" w:color="auto"/>
              <w:left w:val="nil" w:sz="6" w:space="0" w:color="auto"/>
              <w:bottom w:val="nil" w:sz="6" w:space="0" w:color="auto"/>
              <w:right w:val="nil" w:sz="6" w:space="0" w:color="auto"/>
            </w:tcBorders>
          </w:tcPr>
          <w:p>
            <w:pPr/>
          </w:p>
        </w:tc>
        <w:tc>
          <w:tcPr>
            <w:tcW w:w="2549" w:type="dxa"/>
            <w:tcBorders>
              <w:top w:val="nil" w:sz="6" w:space="0" w:color="auto"/>
              <w:left w:val="nil" w:sz="6" w:space="0" w:color="auto"/>
              <w:bottom w:val="nil" w:sz="6" w:space="0" w:color="auto"/>
              <w:right w:val="nil" w:sz="6" w:space="0" w:color="auto"/>
            </w:tcBorders>
          </w:tcPr>
          <w:p>
            <w:pPr>
              <w:pStyle w:val="TableParagraph"/>
              <w:tabs>
                <w:tab w:pos="1031" w:val="left" w:leader="none"/>
                <w:tab w:pos="2548" w:val="left" w:leader="none"/>
              </w:tabs>
              <w:spacing w:line="240" w:lineRule="auto" w:before="189"/>
              <w:ind w:left="-15" w:right="-1"/>
              <w:jc w:val="right"/>
              <w:rPr>
                <w:rFonts w:ascii="Arial" w:hAnsi="Arial" w:cs="Arial" w:eastAsia="Arial" w:hint="default"/>
                <w:sz w:val="22"/>
                <w:szCs w:val="22"/>
              </w:rPr>
            </w:pPr>
            <w:r>
              <w:rPr>
                <w:rFonts w:ascii="Arial"/>
                <w:w w:val="100"/>
                <w:sz w:val="22"/>
              </w:rPr>
            </w:r>
            <w:r>
              <w:rPr>
                <w:rFonts w:ascii="Arial"/>
                <w:w w:val="100"/>
                <w:sz w:val="22"/>
                <w:u w:val="thick" w:color="000000"/>
              </w:rPr>
              <w:t> </w:t>
            </w:r>
            <w:r>
              <w:rPr>
                <w:rFonts w:ascii="Arial"/>
                <w:sz w:val="22"/>
                <w:u w:val="thick" w:color="000000"/>
              </w:rPr>
              <w:tab/>
            </w:r>
            <w:r>
              <w:rPr>
                <w:rFonts w:ascii="Arial"/>
                <w:spacing w:val="-1"/>
                <w:sz w:val="22"/>
                <w:u w:val="thick" w:color="000000"/>
              </w:rPr>
              <w:t>2,878,388,446</w:t>
              <w:tab/>
            </w:r>
            <w:r>
              <w:rPr>
                <w:rFonts w:ascii="Arial"/>
                <w:spacing w:val="-1"/>
                <w:sz w:val="22"/>
              </w:rPr>
            </w:r>
          </w:p>
        </w:tc>
      </w:tr>
    </w:tbl>
    <w:p>
      <w:pPr>
        <w:spacing w:after="0" w:line="240" w:lineRule="auto"/>
        <w:jc w:val="right"/>
        <w:rPr>
          <w:rFonts w:ascii="Arial" w:hAnsi="Arial" w:cs="Arial" w:eastAsia="Arial" w:hint="default"/>
          <w:sz w:val="22"/>
          <w:szCs w:val="22"/>
        </w:rPr>
        <w:sectPr>
          <w:headerReference w:type="default" r:id="rId151"/>
          <w:footerReference w:type="default" r:id="rId152"/>
          <w:pgSz w:w="11910" w:h="16840"/>
          <w:pgMar w:header="1188" w:footer="502" w:top="3040" w:bottom="700" w:left="900" w:right="1400"/>
          <w:pgNumType w:start="130"/>
        </w:sectPr>
      </w:pPr>
    </w:p>
    <w:p>
      <w:pPr>
        <w:spacing w:line="240" w:lineRule="auto" w:before="12"/>
        <w:rPr>
          <w:rFonts w:ascii="宋体" w:hAnsi="宋体" w:cs="宋体" w:eastAsia="宋体" w:hint="default"/>
          <w:sz w:val="24"/>
          <w:szCs w:val="24"/>
        </w:rPr>
      </w:pPr>
    </w:p>
    <w:tbl>
      <w:tblPr>
        <w:tblW w:w="0" w:type="auto"/>
        <w:jc w:val="left"/>
        <w:tblInd w:w="375" w:type="dxa"/>
        <w:tblLayout w:type="fixed"/>
        <w:tblCellMar>
          <w:top w:w="0" w:type="dxa"/>
          <w:left w:w="0" w:type="dxa"/>
          <w:bottom w:w="0" w:type="dxa"/>
          <w:right w:w="0" w:type="dxa"/>
        </w:tblCellMar>
        <w:tblLook w:val="01E0"/>
      </w:tblPr>
      <w:tblGrid>
        <w:gridCol w:w="2106"/>
        <w:gridCol w:w="1224"/>
        <w:gridCol w:w="3029"/>
        <w:gridCol w:w="235"/>
        <w:gridCol w:w="2726"/>
      </w:tblGrid>
      <w:tr>
        <w:trPr>
          <w:trHeight w:val="262" w:hRule="exact"/>
        </w:trPr>
        <w:tc>
          <w:tcPr>
            <w:tcW w:w="2106" w:type="dxa"/>
            <w:tcBorders>
              <w:top w:val="nil" w:sz="6" w:space="0" w:color="auto"/>
              <w:left w:val="nil" w:sz="6" w:space="0" w:color="auto"/>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nil" w:sz="6" w:space="0" w:color="auto"/>
            </w:tcBorders>
          </w:tcPr>
          <w:p>
            <w:pPr/>
          </w:p>
        </w:tc>
        <w:tc>
          <w:tcPr>
            <w:tcW w:w="3029" w:type="dxa"/>
            <w:tcBorders>
              <w:top w:val="nil" w:sz="6" w:space="0" w:color="auto"/>
              <w:left w:val="nil" w:sz="6" w:space="0" w:color="auto"/>
              <w:bottom w:val="single" w:sz="4" w:space="0" w:color="000000"/>
              <w:right w:val="nil" w:sz="6" w:space="0" w:color="auto"/>
            </w:tcBorders>
          </w:tcPr>
          <w:p>
            <w:pPr>
              <w:pStyle w:val="TableParagraph"/>
              <w:spacing w:line="236" w:lineRule="exact"/>
              <w:ind w:right="103"/>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235" w:type="dxa"/>
            <w:tcBorders>
              <w:top w:val="nil" w:sz="6" w:space="0" w:color="auto"/>
              <w:left w:val="nil" w:sz="6" w:space="0" w:color="auto"/>
              <w:bottom w:val="nil" w:sz="6" w:space="0" w:color="auto"/>
              <w:right w:val="nil" w:sz="6" w:space="0" w:color="auto"/>
            </w:tcBorders>
          </w:tcPr>
          <w:p>
            <w:pPr/>
          </w:p>
        </w:tc>
        <w:tc>
          <w:tcPr>
            <w:tcW w:w="2726" w:type="dxa"/>
            <w:tcBorders>
              <w:top w:val="nil" w:sz="6" w:space="0" w:color="auto"/>
              <w:left w:val="nil" w:sz="6" w:space="0" w:color="auto"/>
              <w:bottom w:val="single" w:sz="4" w:space="0" w:color="000000"/>
              <w:right w:val="nil" w:sz="6" w:space="0" w:color="auto"/>
            </w:tcBorders>
          </w:tcPr>
          <w:p>
            <w:pPr>
              <w:pStyle w:val="TableParagraph"/>
              <w:spacing w:line="236" w:lineRule="exact"/>
              <w:ind w:right="98"/>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717"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200" w:right="0"/>
              <w:jc w:val="left"/>
              <w:rPr>
                <w:rFonts w:ascii="宋体" w:hAnsi="宋体" w:cs="宋体" w:eastAsia="宋体" w:hint="default"/>
                <w:sz w:val="22"/>
                <w:szCs w:val="22"/>
              </w:rPr>
            </w:pPr>
            <w:r>
              <w:rPr>
                <w:rFonts w:ascii="Arial" w:hAnsi="Arial" w:cs="Arial" w:eastAsia="Arial" w:hint="default"/>
                <w:sz w:val="22"/>
                <w:szCs w:val="22"/>
              </w:rPr>
              <w:t>1</w:t>
            </w:r>
            <w:r>
              <w:rPr>
                <w:rFonts w:ascii="Arial" w:hAnsi="Arial" w:cs="Arial" w:eastAsia="Arial" w:hint="default"/>
                <w:spacing w:val="-10"/>
                <w:sz w:val="22"/>
                <w:szCs w:val="22"/>
              </w:rPr>
              <w:t> </w:t>
            </w:r>
            <w:r>
              <w:rPr>
                <w:rFonts w:ascii="宋体" w:hAnsi="宋体" w:cs="宋体" w:eastAsia="宋体" w:hint="default"/>
                <w:sz w:val="22"/>
                <w:szCs w:val="22"/>
              </w:rPr>
              <w:t>年以内</w:t>
            </w:r>
            <w:r>
              <w:rPr>
                <w:rFonts w:ascii="宋体" w:hAnsi="宋体" w:cs="宋体" w:eastAsia="宋体" w:hint="default"/>
                <w:sz w:val="22"/>
                <w:szCs w:val="22"/>
              </w:rPr>
              <w:t> </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30"/>
                <w:szCs w:val="30"/>
              </w:rPr>
            </w:pPr>
          </w:p>
          <w:p>
            <w:pPr>
              <w:pStyle w:val="TableParagraph"/>
              <w:spacing w:line="240" w:lineRule="auto"/>
              <w:ind w:left="475" w:right="0"/>
              <w:jc w:val="left"/>
              <w:rPr>
                <w:rFonts w:ascii="宋体" w:hAnsi="宋体" w:cs="宋体" w:eastAsia="宋体" w:hint="default"/>
                <w:sz w:val="22"/>
                <w:szCs w:val="22"/>
              </w:rPr>
            </w:pPr>
            <w:r>
              <w:rPr>
                <w:rFonts w:ascii="宋体"/>
                <w:w w:val="100"/>
                <w:sz w:val="22"/>
              </w:rPr>
              <w:t> </w:t>
            </w:r>
          </w:p>
        </w:tc>
        <w:tc>
          <w:tcPr>
            <w:tcW w:w="3029"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30"/>
                <w:szCs w:val="30"/>
              </w:rPr>
            </w:pPr>
          </w:p>
          <w:p>
            <w:pPr>
              <w:pStyle w:val="TableParagraph"/>
              <w:spacing w:line="240" w:lineRule="auto"/>
              <w:ind w:right="105"/>
              <w:jc w:val="right"/>
              <w:rPr>
                <w:rFonts w:ascii="Arial" w:hAnsi="Arial" w:cs="Arial" w:eastAsia="Arial" w:hint="default"/>
                <w:sz w:val="22"/>
                <w:szCs w:val="22"/>
              </w:rPr>
            </w:pPr>
            <w:r>
              <w:rPr>
                <w:rFonts w:ascii="Arial"/>
                <w:spacing w:val="-1"/>
                <w:sz w:val="22"/>
              </w:rPr>
              <w:t>2,778,786,372</w:t>
            </w:r>
          </w:p>
        </w:tc>
        <w:tc>
          <w:tcPr>
            <w:tcW w:w="235" w:type="dxa"/>
            <w:tcBorders>
              <w:top w:val="nil" w:sz="6" w:space="0" w:color="auto"/>
              <w:left w:val="nil" w:sz="6" w:space="0" w:color="auto"/>
              <w:bottom w:val="nil" w:sz="6" w:space="0" w:color="auto"/>
              <w:right w:val="nil" w:sz="6" w:space="0" w:color="auto"/>
            </w:tcBorders>
          </w:tcPr>
          <w:p>
            <w:pPr/>
          </w:p>
        </w:tc>
        <w:tc>
          <w:tcPr>
            <w:tcW w:w="2726"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30"/>
                <w:szCs w:val="30"/>
              </w:rPr>
            </w:pPr>
          </w:p>
          <w:p>
            <w:pPr>
              <w:pStyle w:val="TableParagraph"/>
              <w:spacing w:line="240" w:lineRule="auto"/>
              <w:ind w:right="101"/>
              <w:jc w:val="right"/>
              <w:rPr>
                <w:rFonts w:ascii="Arial" w:hAnsi="Arial" w:cs="Arial" w:eastAsia="Arial" w:hint="default"/>
                <w:sz w:val="22"/>
                <w:szCs w:val="22"/>
              </w:rPr>
            </w:pPr>
            <w:r>
              <w:rPr>
                <w:rFonts w:ascii="Arial"/>
                <w:spacing w:val="-1"/>
                <w:sz w:val="22"/>
              </w:rPr>
              <w:t>2,367,633,540</w:t>
            </w:r>
          </w:p>
        </w:tc>
      </w:tr>
      <w:tr>
        <w:trPr>
          <w:trHeight w:val="329"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60" w:lineRule="exact"/>
              <w:ind w:left="200" w:right="0"/>
              <w:jc w:val="left"/>
              <w:rPr>
                <w:rFonts w:ascii="宋体" w:hAnsi="宋体" w:cs="宋体" w:eastAsia="宋体" w:hint="default"/>
                <w:sz w:val="22"/>
                <w:szCs w:val="22"/>
              </w:rPr>
            </w:pPr>
            <w:r>
              <w:rPr>
                <w:rFonts w:ascii="Arial" w:hAnsi="Arial" w:cs="Arial" w:eastAsia="Arial" w:hint="default"/>
                <w:sz w:val="22"/>
                <w:szCs w:val="22"/>
              </w:rPr>
              <w:t>1-2</w:t>
            </w:r>
            <w:r>
              <w:rPr>
                <w:rFonts w:ascii="Arial" w:hAnsi="Arial" w:cs="Arial" w:eastAsia="Arial" w:hint="default"/>
                <w:spacing w:val="-6"/>
                <w:sz w:val="22"/>
                <w:szCs w:val="22"/>
              </w:rPr>
              <w:t> </w:t>
            </w:r>
            <w:r>
              <w:rPr>
                <w:rFonts w:ascii="宋体" w:hAnsi="宋体" w:cs="宋体" w:eastAsia="宋体" w:hint="default"/>
                <w:sz w:val="22"/>
                <w:szCs w:val="22"/>
              </w:rPr>
              <w:t>年</w:t>
            </w:r>
            <w:r>
              <w:rPr>
                <w:rFonts w:ascii="宋体" w:hAnsi="宋体" w:cs="宋体" w:eastAsia="宋体" w:hint="default"/>
                <w:sz w:val="22"/>
                <w:szCs w:val="22"/>
              </w:rPr>
              <w:t> </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19"/>
              <w:ind w:left="475" w:right="0"/>
              <w:jc w:val="left"/>
              <w:rPr>
                <w:rFonts w:ascii="宋体" w:hAnsi="宋体" w:cs="宋体" w:eastAsia="宋体" w:hint="default"/>
                <w:sz w:val="22"/>
                <w:szCs w:val="22"/>
              </w:rPr>
            </w:pPr>
            <w:r>
              <w:rPr>
                <w:rFonts w:ascii="宋体"/>
                <w:w w:val="100"/>
                <w:sz w:val="22"/>
              </w:rPr>
              <w:t> </w:t>
            </w:r>
          </w:p>
        </w:tc>
        <w:tc>
          <w:tcPr>
            <w:tcW w:w="302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Arial" w:hAnsi="Arial" w:cs="Arial" w:eastAsia="Arial" w:hint="default"/>
                <w:sz w:val="22"/>
                <w:szCs w:val="22"/>
              </w:rPr>
            </w:pPr>
            <w:r>
              <w:rPr>
                <w:rFonts w:ascii="Arial"/>
                <w:sz w:val="22"/>
              </w:rPr>
              <w:t>173,089,789</w:t>
            </w:r>
          </w:p>
        </w:tc>
        <w:tc>
          <w:tcPr>
            <w:tcW w:w="235" w:type="dxa"/>
            <w:tcBorders>
              <w:top w:val="nil" w:sz="6" w:space="0" w:color="auto"/>
              <w:left w:val="nil" w:sz="6" w:space="0" w:color="auto"/>
              <w:bottom w:val="nil" w:sz="6" w:space="0" w:color="auto"/>
              <w:right w:val="nil" w:sz="6" w:space="0" w:color="auto"/>
            </w:tcBorders>
          </w:tcPr>
          <w:p>
            <w:pPr/>
          </w:p>
        </w:tc>
        <w:tc>
          <w:tcPr>
            <w:tcW w:w="272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1"/>
              <w:jc w:val="right"/>
              <w:rPr>
                <w:rFonts w:ascii="Arial" w:hAnsi="Arial" w:cs="Arial" w:eastAsia="Arial" w:hint="default"/>
                <w:sz w:val="22"/>
                <w:szCs w:val="22"/>
              </w:rPr>
            </w:pPr>
            <w:r>
              <w:rPr>
                <w:rFonts w:ascii="Arial"/>
                <w:spacing w:val="-1"/>
                <w:sz w:val="22"/>
              </w:rPr>
              <w:t>275,975,836</w:t>
            </w:r>
          </w:p>
        </w:tc>
      </w:tr>
      <w:tr>
        <w:trPr>
          <w:trHeight w:val="331"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58" w:lineRule="exact"/>
              <w:ind w:left="200" w:right="0"/>
              <w:jc w:val="left"/>
              <w:rPr>
                <w:rFonts w:ascii="宋体" w:hAnsi="宋体" w:cs="宋体" w:eastAsia="宋体" w:hint="default"/>
                <w:sz w:val="22"/>
                <w:szCs w:val="22"/>
              </w:rPr>
            </w:pPr>
            <w:r>
              <w:rPr>
                <w:rFonts w:ascii="Arial" w:hAnsi="Arial" w:cs="Arial" w:eastAsia="Arial" w:hint="default"/>
                <w:sz w:val="22"/>
                <w:szCs w:val="22"/>
              </w:rPr>
              <w:t>2-3</w:t>
            </w:r>
            <w:r>
              <w:rPr>
                <w:rFonts w:ascii="Arial" w:hAnsi="Arial" w:cs="Arial" w:eastAsia="Arial" w:hint="default"/>
                <w:spacing w:val="-6"/>
                <w:sz w:val="22"/>
                <w:szCs w:val="22"/>
              </w:rPr>
              <w:t> </w:t>
            </w:r>
            <w:r>
              <w:rPr>
                <w:rFonts w:ascii="宋体" w:hAnsi="宋体" w:cs="宋体" w:eastAsia="宋体" w:hint="default"/>
                <w:sz w:val="22"/>
                <w:szCs w:val="22"/>
              </w:rPr>
              <w:t>年</w:t>
            </w:r>
            <w:r>
              <w:rPr>
                <w:rFonts w:ascii="宋体" w:hAnsi="宋体" w:cs="宋体" w:eastAsia="宋体" w:hint="default"/>
                <w:sz w:val="22"/>
                <w:szCs w:val="22"/>
              </w:rPr>
              <w:t> </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21"/>
              <w:ind w:left="475" w:right="0"/>
              <w:jc w:val="left"/>
              <w:rPr>
                <w:rFonts w:ascii="宋体" w:hAnsi="宋体" w:cs="宋体" w:eastAsia="宋体" w:hint="default"/>
                <w:sz w:val="22"/>
                <w:szCs w:val="22"/>
              </w:rPr>
            </w:pPr>
            <w:r>
              <w:rPr>
                <w:rFonts w:ascii="宋体"/>
                <w:w w:val="100"/>
                <w:sz w:val="22"/>
              </w:rPr>
              <w:t> </w:t>
            </w:r>
          </w:p>
        </w:tc>
        <w:tc>
          <w:tcPr>
            <w:tcW w:w="30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Arial" w:hAnsi="Arial" w:cs="Arial" w:eastAsia="Arial" w:hint="default"/>
                <w:sz w:val="22"/>
                <w:szCs w:val="22"/>
              </w:rPr>
            </w:pPr>
            <w:r>
              <w:rPr>
                <w:rFonts w:ascii="Arial"/>
                <w:spacing w:val="-1"/>
                <w:sz w:val="22"/>
              </w:rPr>
              <w:t>62,012,701</w:t>
            </w:r>
          </w:p>
        </w:tc>
        <w:tc>
          <w:tcPr>
            <w:tcW w:w="235" w:type="dxa"/>
            <w:tcBorders>
              <w:top w:val="nil" w:sz="6" w:space="0" w:color="auto"/>
              <w:left w:val="nil" w:sz="6" w:space="0" w:color="auto"/>
              <w:bottom w:val="nil" w:sz="6" w:space="0" w:color="auto"/>
              <w:right w:val="nil" w:sz="6" w:space="0" w:color="auto"/>
            </w:tcBorders>
          </w:tcPr>
          <w:p>
            <w:pPr/>
          </w:p>
        </w:tc>
        <w:tc>
          <w:tcPr>
            <w:tcW w:w="272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1"/>
              <w:jc w:val="right"/>
              <w:rPr>
                <w:rFonts w:ascii="Arial" w:hAnsi="Arial" w:cs="Arial" w:eastAsia="Arial" w:hint="default"/>
                <w:sz w:val="22"/>
                <w:szCs w:val="22"/>
              </w:rPr>
            </w:pPr>
            <w:r>
              <w:rPr>
                <w:rFonts w:ascii="Arial"/>
                <w:spacing w:val="-1"/>
                <w:sz w:val="22"/>
              </w:rPr>
              <w:t>78,809,524</w:t>
            </w:r>
          </w:p>
        </w:tc>
      </w:tr>
      <w:tr>
        <w:trPr>
          <w:trHeight w:val="331"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58" w:lineRule="exact"/>
              <w:ind w:left="200" w:right="0"/>
              <w:jc w:val="left"/>
              <w:rPr>
                <w:rFonts w:ascii="宋体" w:hAnsi="宋体" w:cs="宋体" w:eastAsia="宋体" w:hint="default"/>
                <w:sz w:val="22"/>
                <w:szCs w:val="22"/>
              </w:rPr>
            </w:pPr>
            <w:r>
              <w:rPr>
                <w:rFonts w:ascii="Arial" w:hAnsi="Arial" w:cs="Arial" w:eastAsia="Arial" w:hint="default"/>
                <w:sz w:val="22"/>
                <w:szCs w:val="22"/>
              </w:rPr>
              <w:t>3-4</w:t>
            </w:r>
            <w:r>
              <w:rPr>
                <w:rFonts w:ascii="Arial" w:hAnsi="Arial" w:cs="Arial" w:eastAsia="Arial" w:hint="default"/>
                <w:spacing w:val="-6"/>
                <w:sz w:val="22"/>
                <w:szCs w:val="22"/>
              </w:rPr>
              <w:t> </w:t>
            </w:r>
            <w:r>
              <w:rPr>
                <w:rFonts w:ascii="宋体" w:hAnsi="宋体" w:cs="宋体" w:eastAsia="宋体" w:hint="default"/>
                <w:sz w:val="22"/>
                <w:szCs w:val="22"/>
              </w:rPr>
              <w:t>年</w:t>
            </w:r>
            <w:r>
              <w:rPr>
                <w:rFonts w:ascii="宋体" w:hAnsi="宋体" w:cs="宋体" w:eastAsia="宋体" w:hint="default"/>
                <w:sz w:val="22"/>
                <w:szCs w:val="22"/>
              </w:rPr>
              <w:t> </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21"/>
              <w:ind w:left="475" w:right="0"/>
              <w:jc w:val="left"/>
              <w:rPr>
                <w:rFonts w:ascii="宋体" w:hAnsi="宋体" w:cs="宋体" w:eastAsia="宋体" w:hint="default"/>
                <w:sz w:val="22"/>
                <w:szCs w:val="22"/>
              </w:rPr>
            </w:pPr>
            <w:r>
              <w:rPr>
                <w:rFonts w:ascii="宋体"/>
                <w:w w:val="100"/>
                <w:sz w:val="22"/>
              </w:rPr>
              <w:t> </w:t>
            </w:r>
          </w:p>
        </w:tc>
        <w:tc>
          <w:tcPr>
            <w:tcW w:w="30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0"/>
              <w:jc w:val="right"/>
              <w:rPr>
                <w:rFonts w:ascii="Arial" w:hAnsi="Arial" w:cs="Arial" w:eastAsia="Arial" w:hint="default"/>
                <w:sz w:val="22"/>
                <w:szCs w:val="22"/>
              </w:rPr>
            </w:pPr>
            <w:r>
              <w:rPr>
                <w:rFonts w:ascii="Arial"/>
                <w:spacing w:val="-1"/>
                <w:sz w:val="22"/>
              </w:rPr>
              <w:t>39,098,846</w:t>
            </w:r>
          </w:p>
        </w:tc>
        <w:tc>
          <w:tcPr>
            <w:tcW w:w="235" w:type="dxa"/>
            <w:tcBorders>
              <w:top w:val="nil" w:sz="6" w:space="0" w:color="auto"/>
              <w:left w:val="nil" w:sz="6" w:space="0" w:color="auto"/>
              <w:bottom w:val="nil" w:sz="6" w:space="0" w:color="auto"/>
              <w:right w:val="nil" w:sz="6" w:space="0" w:color="auto"/>
            </w:tcBorders>
          </w:tcPr>
          <w:p>
            <w:pPr/>
          </w:p>
        </w:tc>
        <w:tc>
          <w:tcPr>
            <w:tcW w:w="272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1"/>
              <w:jc w:val="right"/>
              <w:rPr>
                <w:rFonts w:ascii="Arial" w:hAnsi="Arial" w:cs="Arial" w:eastAsia="Arial" w:hint="default"/>
                <w:sz w:val="22"/>
                <w:szCs w:val="22"/>
              </w:rPr>
            </w:pPr>
            <w:r>
              <w:rPr>
                <w:rFonts w:ascii="Arial"/>
                <w:spacing w:val="-1"/>
                <w:sz w:val="22"/>
              </w:rPr>
              <w:t>421,474,324</w:t>
            </w:r>
          </w:p>
        </w:tc>
      </w:tr>
      <w:tr>
        <w:trPr>
          <w:trHeight w:val="329"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58" w:lineRule="exact"/>
              <w:ind w:left="200" w:right="0"/>
              <w:jc w:val="left"/>
              <w:rPr>
                <w:rFonts w:ascii="宋体" w:hAnsi="宋体" w:cs="宋体" w:eastAsia="宋体" w:hint="default"/>
                <w:sz w:val="22"/>
                <w:szCs w:val="22"/>
              </w:rPr>
            </w:pPr>
            <w:r>
              <w:rPr>
                <w:rFonts w:ascii="Arial" w:hAnsi="Arial" w:cs="Arial" w:eastAsia="Arial" w:hint="default"/>
                <w:sz w:val="22"/>
                <w:szCs w:val="22"/>
              </w:rPr>
              <w:t>4-5</w:t>
            </w:r>
            <w:r>
              <w:rPr>
                <w:rFonts w:ascii="Arial" w:hAnsi="Arial" w:cs="Arial" w:eastAsia="Arial" w:hint="default"/>
                <w:spacing w:val="-6"/>
                <w:sz w:val="22"/>
                <w:szCs w:val="22"/>
              </w:rPr>
              <w:t> </w:t>
            </w:r>
            <w:r>
              <w:rPr>
                <w:rFonts w:ascii="宋体" w:hAnsi="宋体" w:cs="宋体" w:eastAsia="宋体" w:hint="default"/>
                <w:sz w:val="22"/>
                <w:szCs w:val="22"/>
              </w:rPr>
              <w:t>年</w:t>
            </w:r>
            <w:r>
              <w:rPr>
                <w:rFonts w:ascii="宋体" w:hAnsi="宋体" w:cs="宋体" w:eastAsia="宋体" w:hint="default"/>
                <w:sz w:val="22"/>
                <w:szCs w:val="22"/>
              </w:rPr>
              <w:t> </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16"/>
              <w:ind w:left="475" w:right="0"/>
              <w:jc w:val="left"/>
              <w:rPr>
                <w:rFonts w:ascii="宋体" w:hAnsi="宋体" w:cs="宋体" w:eastAsia="宋体" w:hint="default"/>
                <w:sz w:val="22"/>
                <w:szCs w:val="22"/>
              </w:rPr>
            </w:pPr>
            <w:r>
              <w:rPr>
                <w:rFonts w:ascii="宋体"/>
                <w:w w:val="100"/>
                <w:sz w:val="22"/>
              </w:rPr>
              <w:t> </w:t>
            </w:r>
          </w:p>
        </w:tc>
        <w:tc>
          <w:tcPr>
            <w:tcW w:w="302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0"/>
              <w:jc w:val="right"/>
              <w:rPr>
                <w:rFonts w:ascii="Arial" w:hAnsi="Arial" w:cs="Arial" w:eastAsia="Arial" w:hint="default"/>
                <w:sz w:val="22"/>
                <w:szCs w:val="22"/>
              </w:rPr>
            </w:pPr>
            <w:r>
              <w:rPr>
                <w:rFonts w:ascii="Arial"/>
                <w:spacing w:val="-1"/>
                <w:sz w:val="22"/>
              </w:rPr>
              <w:t>28,486,917</w:t>
            </w:r>
          </w:p>
        </w:tc>
        <w:tc>
          <w:tcPr>
            <w:tcW w:w="235" w:type="dxa"/>
            <w:tcBorders>
              <w:top w:val="nil" w:sz="6" w:space="0" w:color="auto"/>
              <w:left w:val="nil" w:sz="6" w:space="0" w:color="auto"/>
              <w:bottom w:val="nil" w:sz="6" w:space="0" w:color="auto"/>
              <w:right w:val="nil" w:sz="6" w:space="0" w:color="auto"/>
            </w:tcBorders>
          </w:tcPr>
          <w:p>
            <w:pPr/>
          </w:p>
        </w:tc>
        <w:tc>
          <w:tcPr>
            <w:tcW w:w="272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1"/>
              <w:jc w:val="right"/>
              <w:rPr>
                <w:rFonts w:ascii="Arial" w:hAnsi="Arial" w:cs="Arial" w:eastAsia="Arial" w:hint="default"/>
                <w:sz w:val="22"/>
                <w:szCs w:val="22"/>
              </w:rPr>
            </w:pPr>
            <w:r>
              <w:rPr>
                <w:rFonts w:ascii="Arial"/>
                <w:spacing w:val="-1"/>
                <w:sz w:val="22"/>
              </w:rPr>
              <w:t>17,568,624</w:t>
            </w:r>
          </w:p>
        </w:tc>
      </w:tr>
      <w:tr>
        <w:trPr>
          <w:trHeight w:val="334"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60" w:lineRule="exact"/>
              <w:ind w:left="200" w:right="0"/>
              <w:jc w:val="left"/>
              <w:rPr>
                <w:rFonts w:ascii="宋体" w:hAnsi="宋体" w:cs="宋体" w:eastAsia="宋体" w:hint="default"/>
                <w:sz w:val="22"/>
                <w:szCs w:val="22"/>
              </w:rPr>
            </w:pPr>
            <w:r>
              <w:rPr>
                <w:rFonts w:ascii="Arial" w:hAnsi="Arial" w:cs="Arial" w:eastAsia="Arial" w:hint="default"/>
                <w:sz w:val="22"/>
                <w:szCs w:val="22"/>
              </w:rPr>
              <w:t>5</w:t>
            </w:r>
            <w:r>
              <w:rPr>
                <w:rFonts w:ascii="Arial" w:hAnsi="Arial" w:cs="Arial" w:eastAsia="Arial" w:hint="default"/>
                <w:spacing w:val="-10"/>
                <w:sz w:val="22"/>
                <w:szCs w:val="22"/>
              </w:rPr>
              <w:t> </w:t>
            </w:r>
            <w:r>
              <w:rPr>
                <w:rFonts w:ascii="宋体" w:hAnsi="宋体" w:cs="宋体" w:eastAsia="宋体" w:hint="default"/>
                <w:sz w:val="22"/>
                <w:szCs w:val="22"/>
              </w:rPr>
              <w:t>年以上</w:t>
            </w:r>
            <w:r>
              <w:rPr>
                <w:rFonts w:ascii="宋体" w:hAnsi="宋体" w:cs="宋体" w:eastAsia="宋体" w:hint="default"/>
                <w:sz w:val="22"/>
                <w:szCs w:val="22"/>
              </w:rPr>
              <w:t> </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19"/>
              <w:ind w:left="475" w:right="0"/>
              <w:jc w:val="left"/>
              <w:rPr>
                <w:rFonts w:ascii="宋体" w:hAnsi="宋体" w:cs="宋体" w:eastAsia="宋体" w:hint="default"/>
                <w:sz w:val="22"/>
                <w:szCs w:val="22"/>
              </w:rPr>
            </w:pPr>
            <w:r>
              <w:rPr>
                <w:rFonts w:ascii="宋体"/>
                <w:w w:val="100"/>
                <w:sz w:val="22"/>
              </w:rPr>
              <w:t> </w:t>
            </w:r>
          </w:p>
        </w:tc>
        <w:tc>
          <w:tcPr>
            <w:tcW w:w="3029" w:type="dxa"/>
            <w:tcBorders>
              <w:top w:val="nil" w:sz="6" w:space="0" w:color="auto"/>
              <w:left w:val="nil" w:sz="6" w:space="0" w:color="auto"/>
              <w:bottom w:val="nil" w:sz="6" w:space="0" w:color="auto"/>
              <w:right w:val="nil" w:sz="6" w:space="0" w:color="auto"/>
            </w:tcBorders>
          </w:tcPr>
          <w:p>
            <w:pPr>
              <w:pStyle w:val="TableParagraph"/>
              <w:tabs>
                <w:tab w:pos="1689" w:val="left" w:leader="none"/>
                <w:tab w:pos="3028"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234,926,429</w:t>
              <w:tab/>
            </w:r>
            <w:r>
              <w:rPr>
                <w:rFonts w:ascii="Arial"/>
                <w:spacing w:val="-1"/>
                <w:sz w:val="22"/>
              </w:rPr>
            </w:r>
          </w:p>
        </w:tc>
        <w:tc>
          <w:tcPr>
            <w:tcW w:w="235" w:type="dxa"/>
            <w:tcBorders>
              <w:top w:val="nil" w:sz="6" w:space="0" w:color="auto"/>
              <w:left w:val="nil" w:sz="6" w:space="0" w:color="auto"/>
              <w:bottom w:val="nil" w:sz="6" w:space="0" w:color="auto"/>
              <w:right w:val="nil" w:sz="6" w:space="0" w:color="auto"/>
            </w:tcBorders>
          </w:tcPr>
          <w:p>
            <w:pPr/>
          </w:p>
        </w:tc>
        <w:tc>
          <w:tcPr>
            <w:tcW w:w="2726" w:type="dxa"/>
            <w:tcBorders>
              <w:top w:val="nil" w:sz="6" w:space="0" w:color="auto"/>
              <w:left w:val="nil" w:sz="6" w:space="0" w:color="auto"/>
              <w:bottom w:val="nil" w:sz="6" w:space="0" w:color="auto"/>
              <w:right w:val="nil" w:sz="6" w:space="0" w:color="auto"/>
            </w:tcBorders>
          </w:tcPr>
          <w:p>
            <w:pPr>
              <w:pStyle w:val="TableParagraph"/>
              <w:tabs>
                <w:tab w:pos="1396" w:val="left" w:leader="none"/>
                <w:tab w:pos="2726"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219,114,790</w:t>
              <w:tab/>
            </w:r>
            <w:r>
              <w:rPr>
                <w:rFonts w:ascii="Arial"/>
                <w:spacing w:val="-1"/>
                <w:sz w:val="22"/>
              </w:rPr>
            </w:r>
          </w:p>
        </w:tc>
      </w:tr>
      <w:tr>
        <w:trPr>
          <w:trHeight w:val="502"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7" w:lineRule="exact"/>
              <w:ind w:left="200" w:right="0"/>
              <w:jc w:val="left"/>
              <w:rPr>
                <w:rFonts w:ascii="宋体" w:hAnsi="宋体" w:cs="宋体" w:eastAsia="宋体" w:hint="default"/>
                <w:sz w:val="22"/>
                <w:szCs w:val="22"/>
              </w:rPr>
            </w:pPr>
            <w:r>
              <w:rPr>
                <w:rFonts w:ascii="宋体" w:hAnsi="宋体" w:cs="宋体" w:eastAsia="宋体" w:hint="default"/>
                <w:sz w:val="22"/>
                <w:szCs w:val="22"/>
              </w:rPr>
              <w:t>小计</w:t>
            </w:r>
            <w:r>
              <w:rPr>
                <w:rFonts w:ascii="宋体" w:hAnsi="宋体" w:cs="宋体" w:eastAsia="宋体" w:hint="default"/>
                <w:sz w:val="22"/>
                <w:szCs w:val="22"/>
              </w:rPr>
              <w:t> </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475" w:right="0"/>
              <w:jc w:val="left"/>
              <w:rPr>
                <w:rFonts w:ascii="宋体" w:hAnsi="宋体" w:cs="宋体" w:eastAsia="宋体" w:hint="default"/>
                <w:sz w:val="22"/>
                <w:szCs w:val="22"/>
              </w:rPr>
            </w:pPr>
            <w:r>
              <w:rPr>
                <w:rFonts w:ascii="宋体"/>
                <w:w w:val="100"/>
                <w:sz w:val="22"/>
              </w:rPr>
              <w:t> </w:t>
            </w:r>
          </w:p>
        </w:tc>
        <w:tc>
          <w:tcPr>
            <w:tcW w:w="302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0"/>
              <w:jc w:val="right"/>
              <w:rPr>
                <w:rFonts w:ascii="Arial" w:hAnsi="Arial" w:cs="Arial" w:eastAsia="Arial" w:hint="default"/>
                <w:sz w:val="22"/>
                <w:szCs w:val="22"/>
              </w:rPr>
            </w:pPr>
            <w:r>
              <w:rPr>
                <w:rFonts w:ascii="Arial"/>
                <w:spacing w:val="-1"/>
                <w:sz w:val="22"/>
              </w:rPr>
              <w:t>3,316,401,054</w:t>
            </w:r>
          </w:p>
        </w:tc>
        <w:tc>
          <w:tcPr>
            <w:tcW w:w="235" w:type="dxa"/>
            <w:tcBorders>
              <w:top w:val="nil" w:sz="6" w:space="0" w:color="auto"/>
              <w:left w:val="nil" w:sz="6" w:space="0" w:color="auto"/>
              <w:bottom w:val="nil" w:sz="6" w:space="0" w:color="auto"/>
              <w:right w:val="nil" w:sz="6" w:space="0" w:color="auto"/>
            </w:tcBorders>
          </w:tcPr>
          <w:p>
            <w:pPr/>
          </w:p>
        </w:tc>
        <w:tc>
          <w:tcPr>
            <w:tcW w:w="272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1"/>
              <w:jc w:val="right"/>
              <w:rPr>
                <w:rFonts w:ascii="Arial" w:hAnsi="Arial" w:cs="Arial" w:eastAsia="Arial" w:hint="default"/>
                <w:sz w:val="22"/>
                <w:szCs w:val="22"/>
              </w:rPr>
            </w:pPr>
            <w:r>
              <w:rPr>
                <w:rFonts w:ascii="Arial"/>
                <w:spacing w:val="-1"/>
                <w:sz w:val="22"/>
              </w:rPr>
              <w:t>3,380,576,638</w:t>
            </w:r>
          </w:p>
        </w:tc>
      </w:tr>
      <w:tr>
        <w:trPr>
          <w:trHeight w:val="665"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200" w:right="0"/>
              <w:jc w:val="left"/>
              <w:rPr>
                <w:rFonts w:ascii="宋体" w:hAnsi="宋体" w:cs="宋体" w:eastAsia="宋体" w:hint="default"/>
                <w:sz w:val="22"/>
                <w:szCs w:val="22"/>
              </w:rPr>
            </w:pPr>
            <w:r>
              <w:rPr>
                <w:rFonts w:ascii="宋体" w:hAnsi="宋体" w:cs="宋体" w:eastAsia="宋体" w:hint="default"/>
                <w:sz w:val="22"/>
                <w:szCs w:val="22"/>
              </w:rPr>
              <w:t>减：坏账准备</w:t>
            </w:r>
            <w:r>
              <w:rPr>
                <w:rFonts w:ascii="宋体" w:hAnsi="宋体" w:cs="宋体" w:eastAsia="宋体" w:hint="default"/>
                <w:sz w:val="22"/>
                <w:szCs w:val="22"/>
              </w:rPr>
              <w:t> </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182"/>
              <w:ind w:left="475" w:right="0"/>
              <w:jc w:val="left"/>
              <w:rPr>
                <w:rFonts w:ascii="宋体" w:hAnsi="宋体" w:cs="宋体" w:eastAsia="宋体" w:hint="default"/>
                <w:sz w:val="22"/>
                <w:szCs w:val="22"/>
              </w:rPr>
            </w:pPr>
            <w:r>
              <w:rPr>
                <w:rFonts w:ascii="宋体"/>
                <w:w w:val="100"/>
                <w:sz w:val="22"/>
              </w:rPr>
              <w:t> </w:t>
            </w:r>
          </w:p>
        </w:tc>
        <w:tc>
          <w:tcPr>
            <w:tcW w:w="3029" w:type="dxa"/>
            <w:tcBorders>
              <w:top w:val="nil" w:sz="6" w:space="0" w:color="auto"/>
              <w:left w:val="nil" w:sz="6" w:space="0" w:color="auto"/>
              <w:bottom w:val="nil" w:sz="6" w:space="0" w:color="auto"/>
              <w:right w:val="nil" w:sz="6" w:space="0" w:color="auto"/>
            </w:tcBorders>
          </w:tcPr>
          <w:p>
            <w:pPr>
              <w:pStyle w:val="TableParagraph"/>
              <w:tabs>
                <w:tab w:pos="1622" w:val="left" w:leader="none"/>
              </w:tabs>
              <w:spacing w:line="240" w:lineRule="auto" w:before="185"/>
              <w:ind w:right="28"/>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(579,779,619)</w:t>
            </w:r>
            <w:r>
              <w:rPr>
                <w:rFonts w:ascii="Arial"/>
                <w:sz w:val="22"/>
              </w:rPr>
            </w:r>
          </w:p>
        </w:tc>
        <w:tc>
          <w:tcPr>
            <w:tcW w:w="235" w:type="dxa"/>
            <w:tcBorders>
              <w:top w:val="nil" w:sz="6" w:space="0" w:color="auto"/>
              <w:left w:val="nil" w:sz="6" w:space="0" w:color="auto"/>
              <w:bottom w:val="nil" w:sz="6" w:space="0" w:color="auto"/>
              <w:right w:val="nil" w:sz="6" w:space="0" w:color="auto"/>
            </w:tcBorders>
          </w:tcPr>
          <w:p>
            <w:pPr/>
          </w:p>
        </w:tc>
        <w:tc>
          <w:tcPr>
            <w:tcW w:w="2726" w:type="dxa"/>
            <w:tcBorders>
              <w:top w:val="nil" w:sz="6" w:space="0" w:color="auto"/>
              <w:left w:val="nil" w:sz="6" w:space="0" w:color="auto"/>
              <w:bottom w:val="nil" w:sz="6" w:space="0" w:color="auto"/>
              <w:right w:val="nil" w:sz="6" w:space="0" w:color="auto"/>
            </w:tcBorders>
          </w:tcPr>
          <w:p>
            <w:pPr>
              <w:pStyle w:val="TableParagraph"/>
              <w:tabs>
                <w:tab w:pos="1319" w:val="left" w:leader="none"/>
              </w:tabs>
              <w:spacing w:line="240" w:lineRule="auto" w:before="185"/>
              <w:ind w:right="28"/>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(502,188,192)</w:t>
            </w:r>
            <w:r>
              <w:rPr>
                <w:rFonts w:ascii="Arial"/>
                <w:sz w:val="22"/>
              </w:rPr>
            </w:r>
          </w:p>
        </w:tc>
      </w:tr>
      <w:tr>
        <w:trPr>
          <w:trHeight w:val="478"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127"/>
              <w:ind w:left="200" w:right="0"/>
              <w:jc w:val="left"/>
              <w:rPr>
                <w:rFonts w:ascii="宋体" w:hAnsi="宋体" w:cs="宋体" w:eastAsia="宋体" w:hint="default"/>
                <w:sz w:val="22"/>
                <w:szCs w:val="22"/>
              </w:rPr>
            </w:pPr>
            <w:r>
              <w:rPr>
                <w:rFonts w:ascii="宋体" w:hAnsi="宋体" w:cs="宋体" w:eastAsia="宋体" w:hint="default"/>
                <w:sz w:val="22"/>
                <w:szCs w:val="22"/>
              </w:rPr>
              <w:t>合计</w:t>
            </w:r>
            <w:r>
              <w:rPr>
                <w:rFonts w:ascii="宋体" w:hAnsi="宋体" w:cs="宋体" w:eastAsia="宋体" w:hint="default"/>
                <w:sz w:val="22"/>
                <w:szCs w:val="22"/>
              </w:rPr>
              <w:t> </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189"/>
              <w:ind w:left="475" w:right="0"/>
              <w:jc w:val="left"/>
              <w:rPr>
                <w:rFonts w:ascii="宋体" w:hAnsi="宋体" w:cs="宋体" w:eastAsia="宋体" w:hint="default"/>
                <w:sz w:val="22"/>
                <w:szCs w:val="22"/>
              </w:rPr>
            </w:pPr>
            <w:r>
              <w:rPr>
                <w:rFonts w:ascii="宋体"/>
                <w:w w:val="100"/>
                <w:sz w:val="22"/>
              </w:rPr>
              <w:t> </w:t>
            </w:r>
          </w:p>
        </w:tc>
        <w:tc>
          <w:tcPr>
            <w:tcW w:w="3029" w:type="dxa"/>
            <w:tcBorders>
              <w:top w:val="nil" w:sz="6" w:space="0" w:color="auto"/>
              <w:left w:val="nil" w:sz="6" w:space="0" w:color="auto"/>
              <w:bottom w:val="nil" w:sz="6" w:space="0" w:color="auto"/>
              <w:right w:val="nil" w:sz="6" w:space="0" w:color="auto"/>
            </w:tcBorders>
          </w:tcPr>
          <w:p>
            <w:pPr>
              <w:pStyle w:val="TableParagraph"/>
              <w:tabs>
                <w:tab w:pos="1507" w:val="left" w:leader="none"/>
                <w:tab w:pos="3028" w:val="left" w:leader="none"/>
              </w:tabs>
              <w:spacing w:line="240" w:lineRule="auto" w:before="192"/>
              <w:ind w:left="-15" w:right="0"/>
              <w:jc w:val="right"/>
              <w:rPr>
                <w:rFonts w:ascii="Arial" w:hAnsi="Arial" w:cs="Arial" w:eastAsia="Arial" w:hint="default"/>
                <w:sz w:val="22"/>
                <w:szCs w:val="22"/>
              </w:rPr>
            </w:pPr>
            <w:r>
              <w:rPr>
                <w:rFonts w:ascii="Arial"/>
                <w:w w:val="100"/>
                <w:sz w:val="22"/>
              </w:rPr>
            </w:r>
            <w:r>
              <w:rPr>
                <w:rFonts w:ascii="Arial"/>
                <w:w w:val="100"/>
                <w:sz w:val="22"/>
                <w:u w:val="thick" w:color="000000"/>
              </w:rPr>
              <w:t> </w:t>
            </w:r>
            <w:r>
              <w:rPr>
                <w:rFonts w:ascii="Arial"/>
                <w:sz w:val="22"/>
                <w:u w:val="thick" w:color="000000"/>
              </w:rPr>
              <w:tab/>
            </w:r>
            <w:r>
              <w:rPr>
                <w:rFonts w:ascii="Arial"/>
                <w:spacing w:val="-1"/>
                <w:sz w:val="22"/>
                <w:u w:val="thick" w:color="000000"/>
              </w:rPr>
              <w:t>2,736,621,435</w:t>
              <w:tab/>
            </w:r>
            <w:r>
              <w:rPr>
                <w:rFonts w:ascii="Arial"/>
                <w:spacing w:val="-1"/>
                <w:sz w:val="22"/>
              </w:rPr>
            </w:r>
          </w:p>
        </w:tc>
        <w:tc>
          <w:tcPr>
            <w:tcW w:w="235" w:type="dxa"/>
            <w:tcBorders>
              <w:top w:val="nil" w:sz="6" w:space="0" w:color="auto"/>
              <w:left w:val="nil" w:sz="6" w:space="0" w:color="auto"/>
              <w:bottom w:val="nil" w:sz="6" w:space="0" w:color="auto"/>
              <w:right w:val="nil" w:sz="6" w:space="0" w:color="auto"/>
            </w:tcBorders>
          </w:tcPr>
          <w:p>
            <w:pPr/>
          </w:p>
        </w:tc>
        <w:tc>
          <w:tcPr>
            <w:tcW w:w="2726" w:type="dxa"/>
            <w:tcBorders>
              <w:top w:val="nil" w:sz="6" w:space="0" w:color="auto"/>
              <w:left w:val="nil" w:sz="6" w:space="0" w:color="auto"/>
              <w:bottom w:val="nil" w:sz="6" w:space="0" w:color="auto"/>
              <w:right w:val="nil" w:sz="6" w:space="0" w:color="auto"/>
            </w:tcBorders>
          </w:tcPr>
          <w:p>
            <w:pPr>
              <w:pStyle w:val="TableParagraph"/>
              <w:tabs>
                <w:tab w:pos="1214" w:val="left" w:leader="none"/>
                <w:tab w:pos="2726" w:val="left" w:leader="none"/>
              </w:tabs>
              <w:spacing w:line="240" w:lineRule="auto" w:before="192"/>
              <w:ind w:left="-15" w:right="0"/>
              <w:jc w:val="right"/>
              <w:rPr>
                <w:rFonts w:ascii="Arial" w:hAnsi="Arial" w:cs="Arial" w:eastAsia="Arial" w:hint="default"/>
                <w:sz w:val="22"/>
                <w:szCs w:val="22"/>
              </w:rPr>
            </w:pPr>
            <w:r>
              <w:rPr>
                <w:rFonts w:ascii="Arial"/>
                <w:w w:val="100"/>
                <w:sz w:val="22"/>
              </w:rPr>
            </w:r>
            <w:r>
              <w:rPr>
                <w:rFonts w:ascii="Arial"/>
                <w:w w:val="100"/>
                <w:sz w:val="22"/>
                <w:u w:val="thick" w:color="000000"/>
              </w:rPr>
              <w:t> </w:t>
            </w:r>
            <w:r>
              <w:rPr>
                <w:rFonts w:ascii="Arial"/>
                <w:sz w:val="22"/>
                <w:u w:val="thick" w:color="000000"/>
              </w:rPr>
              <w:tab/>
            </w:r>
            <w:r>
              <w:rPr>
                <w:rFonts w:ascii="Arial"/>
                <w:spacing w:val="-1"/>
                <w:sz w:val="22"/>
                <w:u w:val="thick" w:color="000000"/>
              </w:rPr>
              <w:t>2,878,388,446</w:t>
              <w:tab/>
            </w:r>
            <w:r>
              <w:rPr>
                <w:rFonts w:ascii="Arial"/>
                <w:spacing w:val="-1"/>
                <w:sz w:val="22"/>
              </w:rPr>
            </w:r>
          </w:p>
        </w:tc>
      </w:tr>
    </w:tbl>
    <w:p>
      <w:pPr>
        <w:spacing w:line="240" w:lineRule="auto" w:before="1"/>
        <w:rPr>
          <w:rFonts w:ascii="宋体" w:hAnsi="宋体" w:cs="宋体" w:eastAsia="宋体" w:hint="default"/>
          <w:sz w:val="15"/>
          <w:szCs w:val="15"/>
        </w:rPr>
      </w:pPr>
    </w:p>
    <w:p>
      <w:pPr>
        <w:pStyle w:val="BodyText"/>
        <w:spacing w:line="240" w:lineRule="auto" w:before="32"/>
        <w:ind w:left="560" w:right="0"/>
        <w:jc w:val="left"/>
      </w:pPr>
      <w:r>
        <w:rPr/>
        <w:t>账龄自其他应收账款确认日起开始计算。</w:t>
      </w:r>
    </w:p>
    <w:p>
      <w:pPr>
        <w:spacing w:after="0" w:line="240" w:lineRule="auto"/>
        <w:jc w:val="left"/>
        <w:sectPr>
          <w:headerReference w:type="default" r:id="rId153"/>
          <w:pgSz w:w="11910" w:h="16840"/>
          <w:pgMar w:header="1188" w:footer="502" w:top="4680" w:bottom="700" w:left="860" w:right="1240"/>
        </w:sectPr>
      </w:pPr>
    </w:p>
    <w:p>
      <w:pPr>
        <w:pStyle w:val="BodyText"/>
        <w:spacing w:line="240" w:lineRule="auto" w:before="12"/>
        <w:ind w:left="129" w:right="11217"/>
        <w:jc w:val="left"/>
        <w:rPr>
          <w:rFonts w:ascii="黑体" w:hAnsi="黑体" w:cs="黑体" w:eastAsia="黑体" w:hint="default"/>
        </w:rPr>
      </w:pPr>
      <w:r>
        <w:rPr>
          <w:rFonts w:ascii="黑体" w:hAnsi="黑体" w:cs="黑体" w:eastAsia="黑体" w:hint="default"/>
        </w:rPr>
        <w:t>中国联合网络通信股份有限公司</w:t>
      </w:r>
    </w:p>
    <w:p>
      <w:pPr>
        <w:spacing w:line="240" w:lineRule="auto" w:before="1"/>
        <w:rPr>
          <w:rFonts w:ascii="黑体" w:hAnsi="黑体" w:cs="黑体" w:eastAsia="黑体" w:hint="default"/>
          <w:sz w:val="19"/>
          <w:szCs w:val="19"/>
        </w:rPr>
      </w:pPr>
    </w:p>
    <w:p>
      <w:pPr>
        <w:pStyle w:val="BodyText"/>
        <w:spacing w:line="240" w:lineRule="auto"/>
        <w:ind w:left="129" w:right="11217"/>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left="129" w:right="11217"/>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tabs>
          <w:tab w:pos="604" w:val="left" w:leader="none"/>
        </w:tabs>
        <w:spacing w:line="448" w:lineRule="auto"/>
        <w:ind w:left="105" w:right="11217" w:firstLine="24"/>
        <w:jc w:val="left"/>
        <w:rPr>
          <w:rFonts w:ascii="黑体" w:hAnsi="黑体" w:cs="黑体" w:eastAsia="黑体" w:hint="default"/>
        </w:rPr>
      </w:pPr>
      <w:r>
        <w:rPr>
          <w:rFonts w:ascii="黑体" w:hAnsi="黑体" w:cs="黑体" w:eastAsia="黑体" w:hint="default"/>
          <w:spacing w:val="-1"/>
        </w:rPr>
        <w:t>（除特别注明外，金额单位为人民币元）</w:t>
      </w:r>
      <w:r>
        <w:rPr>
          <w:rFonts w:ascii="黑体" w:hAnsi="黑体" w:cs="黑体" w:eastAsia="黑体" w:hint="default"/>
          <w:w w:val="100"/>
        </w:rPr>
        <w:t> </w:t>
      </w:r>
      <w:r>
        <w:rPr>
          <w:rFonts w:ascii="黑体" w:hAnsi="黑体" w:cs="黑体" w:eastAsia="黑体" w:hint="default"/>
        </w:rPr>
        <w:t>五</w:t>
        <w:tab/>
        <w:t>合并财务报表项目附注（续）</w:t>
      </w:r>
    </w:p>
    <w:p>
      <w:pPr>
        <w:pStyle w:val="BodyText"/>
        <w:spacing w:line="240" w:lineRule="auto" w:before="58"/>
        <w:ind w:left="139" w:right="11217"/>
        <w:jc w:val="left"/>
      </w:pPr>
      <w:r>
        <w:rPr>
          <w:rFonts w:ascii="Arial" w:hAnsi="Arial" w:cs="Arial" w:eastAsia="Arial" w:hint="default"/>
        </w:rPr>
        <w:t>6</w:t>
      </w:r>
      <w:r>
        <w:rPr/>
        <w:t>、</w:t>
      </w:r>
      <w:r>
        <w:rPr>
          <w:spacing w:val="-44"/>
        </w:rPr>
        <w:t> </w:t>
      </w:r>
      <w:r>
        <w:rPr/>
        <w:t>其他应收款（续）</w:t>
      </w:r>
    </w:p>
    <w:p>
      <w:pPr>
        <w:spacing w:line="240" w:lineRule="auto" w:before="11"/>
        <w:rPr>
          <w:rFonts w:ascii="宋体" w:hAnsi="宋体" w:cs="宋体" w:eastAsia="宋体" w:hint="default"/>
          <w:sz w:val="17"/>
          <w:szCs w:val="17"/>
        </w:rPr>
      </w:pPr>
    </w:p>
    <w:p>
      <w:pPr>
        <w:pStyle w:val="BodyText"/>
        <w:spacing w:line="240" w:lineRule="auto"/>
        <w:ind w:left="139" w:right="11217"/>
        <w:jc w:val="left"/>
      </w:pPr>
      <w:r>
        <w:rPr>
          <w:rFonts w:ascii="Arial" w:hAnsi="Arial" w:cs="Arial" w:eastAsia="Arial" w:hint="default"/>
        </w:rPr>
        <w:t>(a) </w:t>
      </w:r>
      <w:r>
        <w:rPr>
          <w:rFonts w:ascii="Arial" w:hAnsi="Arial" w:cs="Arial" w:eastAsia="Arial" w:hint="default"/>
          <w:spacing w:val="14"/>
        </w:rPr>
        <w:t> </w:t>
      </w:r>
      <w:r>
        <w:rPr/>
        <w:t>其他（续）</w:t>
      </w:r>
    </w:p>
    <w:p>
      <w:pPr>
        <w:spacing w:line="240" w:lineRule="auto" w:before="3"/>
        <w:rPr>
          <w:rFonts w:ascii="宋体" w:hAnsi="宋体" w:cs="宋体" w:eastAsia="宋体" w:hint="default"/>
          <w:sz w:val="18"/>
          <w:szCs w:val="18"/>
        </w:rPr>
      </w:pPr>
    </w:p>
    <w:p>
      <w:pPr>
        <w:pStyle w:val="BodyText"/>
        <w:spacing w:line="240" w:lineRule="auto"/>
        <w:ind w:left="153" w:right="11217"/>
        <w:jc w:val="left"/>
      </w:pPr>
      <w:r>
        <w:rPr>
          <w:rFonts w:ascii="Arial" w:hAnsi="Arial" w:cs="Arial" w:eastAsia="Arial" w:hint="default"/>
        </w:rPr>
        <w:t>(3) </w:t>
      </w:r>
      <w:r>
        <w:rPr>
          <w:rFonts w:ascii="Arial" w:hAnsi="Arial" w:cs="Arial" w:eastAsia="Arial" w:hint="default"/>
          <w:spacing w:val="3"/>
        </w:rPr>
        <w:t> </w:t>
      </w:r>
      <w:r>
        <w:rPr/>
        <w:t>按坏账准备计提方法分析如下：</w:t>
      </w:r>
    </w:p>
    <w:p>
      <w:pPr>
        <w:spacing w:line="240" w:lineRule="auto" w:before="7"/>
        <w:rPr>
          <w:rFonts w:ascii="宋体" w:hAnsi="宋体" w:cs="宋体" w:eastAsia="宋体" w:hint="default"/>
          <w:sz w:val="20"/>
          <w:szCs w:val="20"/>
        </w:rPr>
      </w:pPr>
    </w:p>
    <w:tbl>
      <w:tblPr>
        <w:tblW w:w="0" w:type="auto"/>
        <w:jc w:val="left"/>
        <w:tblInd w:w="385" w:type="dxa"/>
        <w:tblLayout w:type="fixed"/>
        <w:tblCellMar>
          <w:top w:w="0" w:type="dxa"/>
          <w:left w:w="0" w:type="dxa"/>
          <w:bottom w:w="0" w:type="dxa"/>
          <w:right w:w="0" w:type="dxa"/>
        </w:tblCellMar>
        <w:tblLook w:val="01E0"/>
      </w:tblPr>
      <w:tblGrid>
        <w:gridCol w:w="1816"/>
        <w:gridCol w:w="227"/>
        <w:gridCol w:w="1238"/>
        <w:gridCol w:w="235"/>
        <w:gridCol w:w="792"/>
        <w:gridCol w:w="235"/>
        <w:gridCol w:w="1310"/>
        <w:gridCol w:w="275"/>
        <w:gridCol w:w="671"/>
        <w:gridCol w:w="235"/>
        <w:gridCol w:w="1253"/>
        <w:gridCol w:w="235"/>
        <w:gridCol w:w="1238"/>
        <w:gridCol w:w="240"/>
        <w:gridCol w:w="840"/>
        <w:gridCol w:w="235"/>
        <w:gridCol w:w="1214"/>
        <w:gridCol w:w="380"/>
        <w:gridCol w:w="671"/>
        <w:gridCol w:w="235"/>
        <w:gridCol w:w="1248"/>
      </w:tblGrid>
      <w:tr>
        <w:trPr>
          <w:trHeight w:val="189" w:hRule="exact"/>
        </w:trPr>
        <w:tc>
          <w:tcPr>
            <w:tcW w:w="5854" w:type="dxa"/>
            <w:gridSpan w:val="7"/>
            <w:tcBorders>
              <w:top w:val="nil" w:sz="6" w:space="0" w:color="auto"/>
              <w:left w:val="nil" w:sz="6" w:space="0" w:color="auto"/>
              <w:bottom w:val="nil" w:sz="6" w:space="0" w:color="auto"/>
              <w:right w:val="nil" w:sz="6" w:space="0" w:color="auto"/>
            </w:tcBorders>
          </w:tcPr>
          <w:p>
            <w:pPr>
              <w:pStyle w:val="TableParagraph"/>
              <w:spacing w:line="170" w:lineRule="exact"/>
              <w:ind w:right="0"/>
              <w:jc w:val="right"/>
              <w:rPr>
                <w:rFonts w:ascii="宋体" w:hAnsi="宋体" w:cs="宋体" w:eastAsia="宋体" w:hint="default"/>
                <w:sz w:val="16"/>
                <w:szCs w:val="16"/>
              </w:rPr>
            </w:pPr>
            <w:r>
              <w:rPr>
                <w:rFonts w:ascii="Arial" w:hAnsi="Arial" w:cs="Arial" w:eastAsia="Arial" w:hint="default"/>
                <w:sz w:val="16"/>
                <w:szCs w:val="16"/>
              </w:rPr>
              <w:t>2019</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39"/>
                <w:sz w:val="16"/>
                <w:szCs w:val="16"/>
              </w:rPr>
              <w:t> </w:t>
            </w:r>
            <w:r>
              <w:rPr>
                <w:rFonts w:ascii="Arial" w:hAnsi="Arial" w:cs="Arial" w:eastAsia="Arial" w:hint="default"/>
                <w:sz w:val="16"/>
                <w:szCs w:val="16"/>
              </w:rPr>
              <w:t>12</w:t>
            </w:r>
            <w:r>
              <w:rPr>
                <w:rFonts w:ascii="Arial" w:hAnsi="Arial" w:cs="Arial" w:eastAsia="Arial" w:hint="default"/>
                <w:spacing w:val="-10"/>
                <w:sz w:val="16"/>
                <w:szCs w:val="16"/>
              </w:rPr>
              <w:t> </w:t>
            </w:r>
            <w:r>
              <w:rPr>
                <w:rFonts w:ascii="宋体" w:hAnsi="宋体" w:cs="宋体" w:eastAsia="宋体" w:hint="default"/>
                <w:sz w:val="16"/>
                <w:szCs w:val="16"/>
              </w:rPr>
              <w:t>月</w:t>
            </w:r>
            <w:r>
              <w:rPr>
                <w:rFonts w:ascii="宋体" w:hAnsi="宋体" w:cs="宋体" w:eastAsia="宋体" w:hint="default"/>
                <w:spacing w:val="-39"/>
                <w:sz w:val="16"/>
                <w:szCs w:val="16"/>
              </w:rPr>
              <w:t> </w:t>
            </w:r>
            <w:r>
              <w:rPr>
                <w:rFonts w:ascii="Arial" w:hAnsi="Arial" w:cs="Arial" w:eastAsia="Arial" w:hint="default"/>
                <w:sz w:val="16"/>
                <w:szCs w:val="16"/>
              </w:rPr>
              <w:t>31</w:t>
            </w:r>
            <w:r>
              <w:rPr>
                <w:rFonts w:ascii="Arial" w:hAnsi="Arial" w:cs="Arial" w:eastAsia="Arial" w:hint="default"/>
                <w:spacing w:val="-10"/>
                <w:sz w:val="16"/>
                <w:szCs w:val="16"/>
              </w:rPr>
              <w:t> </w:t>
            </w:r>
            <w:r>
              <w:rPr>
                <w:rFonts w:ascii="宋体" w:hAnsi="宋体" w:cs="宋体" w:eastAsia="宋体" w:hint="default"/>
                <w:sz w:val="16"/>
                <w:szCs w:val="16"/>
              </w:rPr>
              <w:t>日</w:t>
            </w:r>
          </w:p>
        </w:tc>
        <w:tc>
          <w:tcPr>
            <w:tcW w:w="275" w:type="dxa"/>
            <w:tcBorders>
              <w:top w:val="nil" w:sz="6" w:space="0" w:color="auto"/>
              <w:left w:val="nil" w:sz="6" w:space="0" w:color="auto"/>
              <w:bottom w:val="single" w:sz="4" w:space="0" w:color="000000"/>
              <w:right w:val="nil" w:sz="6" w:space="0" w:color="auto"/>
            </w:tcBorders>
          </w:tcPr>
          <w:p>
            <w:pPr/>
          </w:p>
        </w:tc>
        <w:tc>
          <w:tcPr>
            <w:tcW w:w="671" w:type="dxa"/>
            <w:tcBorders>
              <w:top w:val="nil" w:sz="6" w:space="0" w:color="auto"/>
              <w:left w:val="nil" w:sz="6" w:space="0" w:color="auto"/>
              <w:bottom w:val="single" w:sz="4" w:space="0" w:color="000000"/>
              <w:right w:val="nil" w:sz="6" w:space="0" w:color="auto"/>
            </w:tcBorders>
          </w:tcPr>
          <w:p>
            <w:pPr/>
          </w:p>
        </w:tc>
        <w:tc>
          <w:tcPr>
            <w:tcW w:w="235" w:type="dxa"/>
            <w:tcBorders>
              <w:top w:val="nil" w:sz="6" w:space="0" w:color="auto"/>
              <w:left w:val="nil" w:sz="6" w:space="0" w:color="auto"/>
              <w:bottom w:val="single" w:sz="4" w:space="0" w:color="000000"/>
              <w:right w:val="nil" w:sz="6" w:space="0" w:color="auto"/>
            </w:tcBorders>
          </w:tcPr>
          <w:p>
            <w:pPr/>
          </w:p>
        </w:tc>
        <w:tc>
          <w:tcPr>
            <w:tcW w:w="1253" w:type="dxa"/>
            <w:tcBorders>
              <w:top w:val="nil" w:sz="6" w:space="0" w:color="auto"/>
              <w:left w:val="nil" w:sz="6" w:space="0" w:color="auto"/>
              <w:bottom w:val="single" w:sz="4" w:space="0" w:color="000000"/>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238" w:type="dxa"/>
            <w:tcBorders>
              <w:top w:val="nil" w:sz="6" w:space="0" w:color="auto"/>
              <w:left w:val="nil" w:sz="6" w:space="0" w:color="auto"/>
              <w:bottom w:val="single" w:sz="4" w:space="0" w:color="000000"/>
              <w:right w:val="nil" w:sz="6" w:space="0" w:color="auto"/>
            </w:tcBorders>
          </w:tcPr>
          <w:p>
            <w:pPr/>
          </w:p>
        </w:tc>
        <w:tc>
          <w:tcPr>
            <w:tcW w:w="240" w:type="dxa"/>
            <w:tcBorders>
              <w:top w:val="nil" w:sz="6" w:space="0" w:color="auto"/>
              <w:left w:val="nil" w:sz="6" w:space="0" w:color="auto"/>
              <w:bottom w:val="single" w:sz="4" w:space="0" w:color="000000"/>
              <w:right w:val="nil" w:sz="6" w:space="0" w:color="auto"/>
            </w:tcBorders>
          </w:tcPr>
          <w:p>
            <w:pPr/>
          </w:p>
        </w:tc>
        <w:tc>
          <w:tcPr>
            <w:tcW w:w="840" w:type="dxa"/>
            <w:tcBorders>
              <w:top w:val="nil" w:sz="6" w:space="0" w:color="auto"/>
              <w:left w:val="nil" w:sz="6" w:space="0" w:color="auto"/>
              <w:bottom w:val="single" w:sz="4" w:space="0" w:color="000000"/>
              <w:right w:val="nil" w:sz="6" w:space="0" w:color="auto"/>
            </w:tcBorders>
          </w:tcPr>
          <w:p>
            <w:pPr/>
          </w:p>
        </w:tc>
        <w:tc>
          <w:tcPr>
            <w:tcW w:w="1830" w:type="dxa"/>
            <w:gridSpan w:val="3"/>
            <w:tcBorders>
              <w:top w:val="nil" w:sz="6" w:space="0" w:color="auto"/>
              <w:left w:val="nil" w:sz="6" w:space="0" w:color="auto"/>
              <w:bottom w:val="single" w:sz="4" w:space="0" w:color="000000"/>
              <w:right w:val="nil" w:sz="6" w:space="0" w:color="auto"/>
            </w:tcBorders>
          </w:tcPr>
          <w:p>
            <w:pPr>
              <w:pStyle w:val="TableParagraph"/>
              <w:spacing w:line="170" w:lineRule="exact"/>
              <w:ind w:left="134" w:right="0"/>
              <w:jc w:val="left"/>
              <w:rPr>
                <w:rFonts w:ascii="宋体" w:hAnsi="宋体" w:cs="宋体" w:eastAsia="宋体" w:hint="default"/>
                <w:sz w:val="16"/>
                <w:szCs w:val="16"/>
              </w:rPr>
            </w:pPr>
            <w:r>
              <w:rPr>
                <w:rFonts w:ascii="Arial" w:hAnsi="Arial" w:cs="Arial" w:eastAsia="Arial" w:hint="default"/>
                <w:sz w:val="16"/>
                <w:szCs w:val="16"/>
              </w:rPr>
              <w:t>2018</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39"/>
                <w:sz w:val="16"/>
                <w:szCs w:val="16"/>
              </w:rPr>
              <w:t> </w:t>
            </w:r>
            <w:r>
              <w:rPr>
                <w:rFonts w:ascii="Arial" w:hAnsi="Arial" w:cs="Arial" w:eastAsia="Arial" w:hint="default"/>
                <w:sz w:val="16"/>
                <w:szCs w:val="16"/>
              </w:rPr>
              <w:t>12</w:t>
            </w:r>
            <w:r>
              <w:rPr>
                <w:rFonts w:ascii="Arial" w:hAnsi="Arial" w:cs="Arial" w:eastAsia="Arial" w:hint="default"/>
                <w:spacing w:val="-10"/>
                <w:sz w:val="16"/>
                <w:szCs w:val="16"/>
              </w:rPr>
              <w:t> </w:t>
            </w:r>
            <w:r>
              <w:rPr>
                <w:rFonts w:ascii="宋体" w:hAnsi="宋体" w:cs="宋体" w:eastAsia="宋体" w:hint="default"/>
                <w:sz w:val="16"/>
                <w:szCs w:val="16"/>
              </w:rPr>
              <w:t>月</w:t>
            </w:r>
            <w:r>
              <w:rPr>
                <w:rFonts w:ascii="宋体" w:hAnsi="宋体" w:cs="宋体" w:eastAsia="宋体" w:hint="default"/>
                <w:spacing w:val="-39"/>
                <w:sz w:val="16"/>
                <w:szCs w:val="16"/>
              </w:rPr>
              <w:t> </w:t>
            </w:r>
            <w:r>
              <w:rPr>
                <w:rFonts w:ascii="Arial" w:hAnsi="Arial" w:cs="Arial" w:eastAsia="Arial" w:hint="default"/>
                <w:sz w:val="16"/>
                <w:szCs w:val="16"/>
              </w:rPr>
              <w:t>31</w:t>
            </w:r>
            <w:r>
              <w:rPr>
                <w:rFonts w:ascii="Arial" w:hAnsi="Arial" w:cs="Arial" w:eastAsia="Arial" w:hint="default"/>
                <w:spacing w:val="-10"/>
                <w:sz w:val="16"/>
                <w:szCs w:val="16"/>
              </w:rPr>
              <w:t> </w:t>
            </w:r>
            <w:r>
              <w:rPr>
                <w:rFonts w:ascii="宋体" w:hAnsi="宋体" w:cs="宋体" w:eastAsia="宋体" w:hint="default"/>
                <w:sz w:val="16"/>
                <w:szCs w:val="16"/>
              </w:rPr>
              <w:t>日</w:t>
            </w:r>
          </w:p>
        </w:tc>
        <w:tc>
          <w:tcPr>
            <w:tcW w:w="671" w:type="dxa"/>
            <w:tcBorders>
              <w:top w:val="nil" w:sz="6" w:space="0" w:color="auto"/>
              <w:left w:val="nil" w:sz="6" w:space="0" w:color="auto"/>
              <w:bottom w:val="single" w:sz="4" w:space="0" w:color="000000"/>
              <w:right w:val="nil" w:sz="6" w:space="0" w:color="auto"/>
            </w:tcBorders>
          </w:tcPr>
          <w:p>
            <w:pPr/>
          </w:p>
        </w:tc>
        <w:tc>
          <w:tcPr>
            <w:tcW w:w="235" w:type="dxa"/>
            <w:tcBorders>
              <w:top w:val="nil" w:sz="6" w:space="0" w:color="auto"/>
              <w:left w:val="nil" w:sz="6" w:space="0" w:color="auto"/>
              <w:bottom w:val="single" w:sz="4" w:space="0" w:color="000000"/>
              <w:right w:val="nil" w:sz="6" w:space="0" w:color="auto"/>
            </w:tcBorders>
          </w:tcPr>
          <w:p>
            <w:pPr/>
          </w:p>
        </w:tc>
        <w:tc>
          <w:tcPr>
            <w:tcW w:w="1248" w:type="dxa"/>
            <w:tcBorders>
              <w:top w:val="nil" w:sz="6" w:space="0" w:color="auto"/>
              <w:left w:val="nil" w:sz="6" w:space="0" w:color="auto"/>
              <w:bottom w:val="single" w:sz="4" w:space="0" w:color="000000"/>
              <w:right w:val="nil" w:sz="6" w:space="0" w:color="auto"/>
            </w:tcBorders>
          </w:tcPr>
          <w:p>
            <w:pPr/>
          </w:p>
        </w:tc>
      </w:tr>
      <w:tr>
        <w:trPr>
          <w:trHeight w:val="221" w:hRule="exact"/>
        </w:trPr>
        <w:tc>
          <w:tcPr>
            <w:tcW w:w="1816" w:type="dxa"/>
            <w:tcBorders>
              <w:top w:val="nil" w:sz="6" w:space="0" w:color="auto"/>
              <w:left w:val="nil" w:sz="6" w:space="0" w:color="auto"/>
              <w:bottom w:val="nil" w:sz="6" w:space="0" w:color="auto"/>
              <w:right w:val="nil" w:sz="6" w:space="0" w:color="auto"/>
            </w:tcBorders>
          </w:tcPr>
          <w:p>
            <w:pPr/>
          </w:p>
        </w:tc>
        <w:tc>
          <w:tcPr>
            <w:tcW w:w="227" w:type="dxa"/>
            <w:tcBorders>
              <w:top w:val="nil" w:sz="6" w:space="0" w:color="auto"/>
              <w:left w:val="nil" w:sz="6" w:space="0" w:color="auto"/>
              <w:bottom w:val="nil" w:sz="6" w:space="0" w:color="auto"/>
              <w:right w:val="nil" w:sz="6" w:space="0" w:color="auto"/>
            </w:tcBorders>
          </w:tcPr>
          <w:p>
            <w:pPr/>
          </w:p>
        </w:tc>
        <w:tc>
          <w:tcPr>
            <w:tcW w:w="1474" w:type="dxa"/>
            <w:gridSpan w:val="2"/>
            <w:tcBorders>
              <w:top w:val="single" w:sz="4" w:space="0" w:color="000000"/>
              <w:left w:val="nil" w:sz="6" w:space="0" w:color="auto"/>
              <w:bottom w:val="single" w:sz="4" w:space="0" w:color="000000"/>
              <w:right w:val="nil" w:sz="6" w:space="0" w:color="auto"/>
            </w:tcBorders>
          </w:tcPr>
          <w:p>
            <w:pPr>
              <w:pStyle w:val="TableParagraph"/>
              <w:spacing w:line="181" w:lineRule="exact"/>
              <w:ind w:left="811" w:right="0"/>
              <w:jc w:val="left"/>
              <w:rPr>
                <w:rFonts w:ascii="宋体" w:hAnsi="宋体" w:cs="宋体" w:eastAsia="宋体" w:hint="default"/>
                <w:sz w:val="16"/>
                <w:szCs w:val="16"/>
              </w:rPr>
            </w:pPr>
            <w:r>
              <w:rPr>
                <w:rFonts w:ascii="宋体" w:hAnsi="宋体" w:cs="宋体" w:eastAsia="宋体" w:hint="default"/>
                <w:sz w:val="16"/>
                <w:szCs w:val="16"/>
              </w:rPr>
              <w:t>账面余额</w:t>
            </w:r>
          </w:p>
        </w:tc>
        <w:tc>
          <w:tcPr>
            <w:tcW w:w="792" w:type="dxa"/>
            <w:tcBorders>
              <w:top w:val="single" w:sz="4" w:space="0" w:color="000000"/>
              <w:left w:val="nil" w:sz="6" w:space="0" w:color="auto"/>
              <w:bottom w:val="single" w:sz="4" w:space="0" w:color="000000"/>
              <w:right w:val="nil" w:sz="6" w:space="0" w:color="auto"/>
            </w:tcBorders>
          </w:tcPr>
          <w:p>
            <w:pPr>
              <w:pStyle w:val="TableParagraph"/>
              <w:spacing w:line="181" w:lineRule="exact"/>
              <w:ind w:left="-25" w:right="0"/>
              <w:jc w:val="left"/>
              <w:rPr>
                <w:rFonts w:ascii="宋体" w:hAnsi="宋体" w:cs="宋体" w:eastAsia="宋体" w:hint="default"/>
                <w:sz w:val="16"/>
                <w:szCs w:val="16"/>
              </w:rPr>
            </w:pPr>
            <w:r>
              <w:rPr>
                <w:rFonts w:ascii="宋体"/>
                <w:w w:val="99"/>
                <w:sz w:val="16"/>
              </w:rPr>
              <w:t> </w:t>
            </w:r>
            <w:r>
              <w:rPr>
                <w:rFonts w:ascii="宋体"/>
                <w:sz w:val="16"/>
              </w:rPr>
            </w:r>
          </w:p>
        </w:tc>
        <w:tc>
          <w:tcPr>
            <w:tcW w:w="235" w:type="dxa"/>
            <w:tcBorders>
              <w:top w:val="single" w:sz="4" w:space="0" w:color="000000"/>
              <w:left w:val="nil" w:sz="6" w:space="0" w:color="auto"/>
              <w:bottom w:val="nil" w:sz="6" w:space="0" w:color="auto"/>
              <w:right w:val="nil" w:sz="6" w:space="0" w:color="auto"/>
            </w:tcBorders>
          </w:tcPr>
          <w:p>
            <w:pPr>
              <w:pStyle w:val="TableParagraph"/>
              <w:spacing w:line="240" w:lineRule="auto" w:before="24"/>
              <w:ind w:left="74" w:right="0"/>
              <w:jc w:val="center"/>
              <w:rPr>
                <w:rFonts w:ascii="宋体" w:hAnsi="宋体" w:cs="宋体" w:eastAsia="宋体" w:hint="default"/>
                <w:sz w:val="16"/>
                <w:szCs w:val="16"/>
              </w:rPr>
            </w:pPr>
            <w:r>
              <w:rPr>
                <w:rFonts w:ascii="宋体"/>
                <w:w w:val="99"/>
                <w:sz w:val="16"/>
              </w:rPr>
              <w:t> </w:t>
            </w:r>
            <w:r>
              <w:rPr>
                <w:rFonts w:ascii="宋体"/>
                <w:sz w:val="16"/>
              </w:rPr>
            </w:r>
          </w:p>
        </w:tc>
        <w:tc>
          <w:tcPr>
            <w:tcW w:w="1585" w:type="dxa"/>
            <w:gridSpan w:val="2"/>
            <w:tcBorders>
              <w:top w:val="single" w:sz="4" w:space="0" w:color="000000"/>
              <w:left w:val="nil" w:sz="6" w:space="0" w:color="auto"/>
              <w:bottom w:val="single" w:sz="4" w:space="0" w:color="000000"/>
              <w:right w:val="nil" w:sz="6" w:space="0" w:color="auto"/>
            </w:tcBorders>
          </w:tcPr>
          <w:p>
            <w:pPr>
              <w:pStyle w:val="TableParagraph"/>
              <w:spacing w:line="181" w:lineRule="exact"/>
              <w:ind w:left="806" w:right="-21"/>
              <w:jc w:val="left"/>
              <w:rPr>
                <w:rFonts w:ascii="宋体" w:hAnsi="宋体" w:cs="宋体" w:eastAsia="宋体" w:hint="default"/>
                <w:sz w:val="16"/>
                <w:szCs w:val="16"/>
              </w:rPr>
            </w:pPr>
            <w:r>
              <w:rPr>
                <w:rFonts w:ascii="宋体" w:hAnsi="宋体" w:cs="宋体" w:eastAsia="宋体" w:hint="default"/>
                <w:sz w:val="16"/>
                <w:szCs w:val="16"/>
              </w:rPr>
              <w:t>坏账准备</w:t>
            </w:r>
            <w:r>
              <w:rPr>
                <w:rFonts w:ascii="宋体" w:hAnsi="宋体" w:cs="宋体" w:eastAsia="宋体" w:hint="default"/>
                <w:spacing w:val="7"/>
                <w:sz w:val="16"/>
                <w:szCs w:val="16"/>
              </w:rPr>
              <w:t> </w:t>
            </w:r>
            <w:r>
              <w:rPr>
                <w:rFonts w:ascii="宋体" w:hAnsi="宋体" w:cs="宋体" w:eastAsia="宋体" w:hint="default"/>
                <w:sz w:val="16"/>
                <w:szCs w:val="16"/>
              </w:rPr>
              <w:t> </w:t>
            </w:r>
          </w:p>
        </w:tc>
        <w:tc>
          <w:tcPr>
            <w:tcW w:w="671" w:type="dxa"/>
            <w:tcBorders>
              <w:top w:val="single" w:sz="4" w:space="0" w:color="000000"/>
              <w:left w:val="nil" w:sz="6" w:space="0" w:color="auto"/>
              <w:bottom w:val="single" w:sz="4" w:space="0" w:color="000000"/>
              <w:right w:val="nil" w:sz="6" w:space="0" w:color="auto"/>
            </w:tcBorders>
          </w:tcPr>
          <w:p>
            <w:pPr/>
          </w:p>
        </w:tc>
        <w:tc>
          <w:tcPr>
            <w:tcW w:w="235" w:type="dxa"/>
            <w:tcBorders>
              <w:top w:val="single" w:sz="4" w:space="0" w:color="000000"/>
              <w:left w:val="nil" w:sz="6" w:space="0" w:color="auto"/>
              <w:bottom w:val="nil" w:sz="6" w:space="0" w:color="auto"/>
              <w:right w:val="nil" w:sz="6" w:space="0" w:color="auto"/>
            </w:tcBorders>
          </w:tcPr>
          <w:p>
            <w:pPr>
              <w:pStyle w:val="TableParagraph"/>
              <w:spacing w:line="240" w:lineRule="auto" w:before="24"/>
              <w:ind w:left="74" w:right="0"/>
              <w:jc w:val="center"/>
              <w:rPr>
                <w:rFonts w:ascii="宋体" w:hAnsi="宋体" w:cs="宋体" w:eastAsia="宋体" w:hint="default"/>
                <w:sz w:val="16"/>
                <w:szCs w:val="16"/>
              </w:rPr>
            </w:pPr>
            <w:r>
              <w:rPr>
                <w:rFonts w:ascii="宋体"/>
                <w:w w:val="99"/>
                <w:sz w:val="16"/>
              </w:rPr>
              <w:t> </w:t>
            </w:r>
            <w:r>
              <w:rPr>
                <w:rFonts w:ascii="宋体"/>
                <w:sz w:val="16"/>
              </w:rPr>
            </w:r>
          </w:p>
        </w:tc>
        <w:tc>
          <w:tcPr>
            <w:tcW w:w="1253" w:type="dxa"/>
            <w:tcBorders>
              <w:top w:val="single" w:sz="4" w:space="0" w:color="000000"/>
              <w:left w:val="nil" w:sz="6" w:space="0" w:color="auto"/>
              <w:bottom w:val="single" w:sz="4" w:space="0" w:color="000000"/>
              <w:right w:val="nil" w:sz="6" w:space="0" w:color="auto"/>
            </w:tcBorders>
          </w:tcPr>
          <w:p>
            <w:pPr>
              <w:pStyle w:val="TableParagraph"/>
              <w:spacing w:line="181" w:lineRule="exact"/>
              <w:ind w:left="79" w:right="0"/>
              <w:jc w:val="center"/>
              <w:rPr>
                <w:rFonts w:ascii="宋体" w:hAnsi="宋体" w:cs="宋体" w:eastAsia="宋体" w:hint="default"/>
                <w:sz w:val="16"/>
                <w:szCs w:val="16"/>
              </w:rPr>
            </w:pPr>
            <w:r>
              <w:rPr>
                <w:rFonts w:ascii="宋体" w:hAnsi="宋体" w:cs="宋体" w:eastAsia="宋体" w:hint="default"/>
                <w:sz w:val="16"/>
                <w:szCs w:val="16"/>
              </w:rPr>
              <w:t>账面价值</w:t>
            </w:r>
            <w:r>
              <w:rPr>
                <w:rFonts w:ascii="宋体" w:hAnsi="宋体" w:cs="宋体" w:eastAsia="宋体" w:hint="default"/>
                <w:sz w:val="16"/>
                <w:szCs w:val="16"/>
              </w:rPr>
              <w:t> </w:t>
            </w:r>
          </w:p>
        </w:tc>
        <w:tc>
          <w:tcPr>
            <w:tcW w:w="23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15" w:right="0"/>
              <w:jc w:val="left"/>
              <w:rPr>
                <w:rFonts w:ascii="宋体" w:hAnsi="宋体" w:cs="宋体" w:eastAsia="宋体" w:hint="default"/>
                <w:sz w:val="16"/>
                <w:szCs w:val="16"/>
              </w:rPr>
            </w:pPr>
            <w:r>
              <w:rPr>
                <w:rFonts w:ascii="宋体"/>
                <w:w w:val="99"/>
                <w:sz w:val="16"/>
              </w:rPr>
              <w:t> </w:t>
            </w:r>
            <w:r>
              <w:rPr>
                <w:rFonts w:ascii="宋体"/>
                <w:sz w:val="16"/>
              </w:rPr>
            </w:r>
          </w:p>
        </w:tc>
        <w:tc>
          <w:tcPr>
            <w:tcW w:w="1478" w:type="dxa"/>
            <w:gridSpan w:val="2"/>
            <w:tcBorders>
              <w:top w:val="single" w:sz="4" w:space="0" w:color="000000"/>
              <w:left w:val="nil" w:sz="6" w:space="0" w:color="auto"/>
              <w:bottom w:val="single" w:sz="4" w:space="0" w:color="000000"/>
              <w:right w:val="nil" w:sz="6" w:space="0" w:color="auto"/>
            </w:tcBorders>
          </w:tcPr>
          <w:p>
            <w:pPr>
              <w:pStyle w:val="TableParagraph"/>
              <w:spacing w:line="181" w:lineRule="exact"/>
              <w:ind w:left="835" w:right="0"/>
              <w:jc w:val="left"/>
              <w:rPr>
                <w:rFonts w:ascii="宋体" w:hAnsi="宋体" w:cs="宋体" w:eastAsia="宋体" w:hint="default"/>
                <w:sz w:val="16"/>
                <w:szCs w:val="16"/>
              </w:rPr>
            </w:pPr>
            <w:r>
              <w:rPr>
                <w:rFonts w:ascii="宋体" w:hAnsi="宋体" w:cs="宋体" w:eastAsia="宋体" w:hint="default"/>
                <w:sz w:val="16"/>
                <w:szCs w:val="16"/>
              </w:rPr>
              <w:t>账面余额</w:t>
            </w:r>
          </w:p>
        </w:tc>
        <w:tc>
          <w:tcPr>
            <w:tcW w:w="840" w:type="dxa"/>
            <w:tcBorders>
              <w:top w:val="single" w:sz="4" w:space="0" w:color="000000"/>
              <w:left w:val="nil" w:sz="6" w:space="0" w:color="auto"/>
              <w:bottom w:val="single" w:sz="4" w:space="0" w:color="000000"/>
              <w:right w:val="nil" w:sz="6" w:space="0" w:color="auto"/>
            </w:tcBorders>
          </w:tcPr>
          <w:p>
            <w:pPr>
              <w:pStyle w:val="TableParagraph"/>
              <w:spacing w:line="181" w:lineRule="exact"/>
              <w:ind w:left="-5" w:right="0"/>
              <w:jc w:val="left"/>
              <w:rPr>
                <w:rFonts w:ascii="宋体" w:hAnsi="宋体" w:cs="宋体" w:eastAsia="宋体" w:hint="default"/>
                <w:sz w:val="16"/>
                <w:szCs w:val="16"/>
              </w:rPr>
            </w:pPr>
            <w:r>
              <w:rPr>
                <w:rFonts w:ascii="宋体"/>
                <w:w w:val="99"/>
                <w:sz w:val="16"/>
              </w:rPr>
              <w:t> </w:t>
            </w:r>
            <w:r>
              <w:rPr>
                <w:rFonts w:ascii="宋体"/>
                <w:sz w:val="16"/>
              </w:rPr>
            </w:r>
          </w:p>
        </w:tc>
        <w:tc>
          <w:tcPr>
            <w:tcW w:w="235" w:type="dxa"/>
            <w:tcBorders>
              <w:top w:val="single" w:sz="4" w:space="0" w:color="000000"/>
              <w:left w:val="nil" w:sz="6" w:space="0" w:color="auto"/>
              <w:bottom w:val="nil" w:sz="6" w:space="0" w:color="auto"/>
              <w:right w:val="nil" w:sz="6" w:space="0" w:color="auto"/>
            </w:tcBorders>
          </w:tcPr>
          <w:p>
            <w:pPr>
              <w:pStyle w:val="TableParagraph"/>
              <w:spacing w:line="240" w:lineRule="auto" w:before="24"/>
              <w:ind w:right="38"/>
              <w:jc w:val="right"/>
              <w:rPr>
                <w:rFonts w:ascii="宋体" w:hAnsi="宋体" w:cs="宋体" w:eastAsia="宋体" w:hint="default"/>
                <w:sz w:val="16"/>
                <w:szCs w:val="16"/>
              </w:rPr>
            </w:pPr>
            <w:r>
              <w:rPr>
                <w:rFonts w:ascii="宋体"/>
                <w:w w:val="99"/>
                <w:sz w:val="16"/>
              </w:rPr>
              <w:t> </w:t>
            </w:r>
            <w:r>
              <w:rPr>
                <w:rFonts w:ascii="宋体"/>
                <w:sz w:val="16"/>
              </w:rPr>
            </w:r>
          </w:p>
        </w:tc>
        <w:tc>
          <w:tcPr>
            <w:tcW w:w="1595" w:type="dxa"/>
            <w:gridSpan w:val="2"/>
            <w:tcBorders>
              <w:top w:val="single" w:sz="4" w:space="0" w:color="000000"/>
              <w:left w:val="nil" w:sz="6" w:space="0" w:color="auto"/>
              <w:bottom w:val="single" w:sz="4" w:space="0" w:color="000000"/>
              <w:right w:val="nil" w:sz="6" w:space="0" w:color="auto"/>
            </w:tcBorders>
          </w:tcPr>
          <w:p>
            <w:pPr>
              <w:pStyle w:val="TableParagraph"/>
              <w:spacing w:line="181" w:lineRule="exact"/>
              <w:ind w:left="815" w:right="-21"/>
              <w:jc w:val="left"/>
              <w:rPr>
                <w:rFonts w:ascii="宋体" w:hAnsi="宋体" w:cs="宋体" w:eastAsia="宋体" w:hint="default"/>
                <w:sz w:val="16"/>
                <w:szCs w:val="16"/>
              </w:rPr>
            </w:pPr>
            <w:r>
              <w:rPr>
                <w:rFonts w:ascii="宋体" w:hAnsi="宋体" w:cs="宋体" w:eastAsia="宋体" w:hint="default"/>
                <w:sz w:val="16"/>
                <w:szCs w:val="16"/>
              </w:rPr>
              <w:t>坏账准备</w:t>
            </w:r>
            <w:r>
              <w:rPr>
                <w:rFonts w:ascii="宋体" w:hAnsi="宋体" w:cs="宋体" w:eastAsia="宋体" w:hint="default"/>
                <w:spacing w:val="7"/>
                <w:sz w:val="16"/>
                <w:szCs w:val="16"/>
              </w:rPr>
              <w:t> </w:t>
            </w:r>
            <w:r>
              <w:rPr>
                <w:rFonts w:ascii="宋体" w:hAnsi="宋体" w:cs="宋体" w:eastAsia="宋体" w:hint="default"/>
                <w:sz w:val="16"/>
                <w:szCs w:val="16"/>
              </w:rPr>
              <w:t> </w:t>
            </w:r>
          </w:p>
        </w:tc>
        <w:tc>
          <w:tcPr>
            <w:tcW w:w="671" w:type="dxa"/>
            <w:tcBorders>
              <w:top w:val="single" w:sz="4" w:space="0" w:color="000000"/>
              <w:left w:val="nil" w:sz="6" w:space="0" w:color="auto"/>
              <w:bottom w:val="single" w:sz="4" w:space="0" w:color="000000"/>
              <w:right w:val="nil" w:sz="6" w:space="0" w:color="auto"/>
            </w:tcBorders>
          </w:tcPr>
          <w:p>
            <w:pPr/>
          </w:p>
        </w:tc>
        <w:tc>
          <w:tcPr>
            <w:tcW w:w="235" w:type="dxa"/>
            <w:tcBorders>
              <w:top w:val="single" w:sz="4" w:space="0" w:color="000000"/>
              <w:left w:val="nil" w:sz="6" w:space="0" w:color="auto"/>
              <w:bottom w:val="nil" w:sz="6" w:space="0" w:color="auto"/>
              <w:right w:val="nil" w:sz="6" w:space="0" w:color="auto"/>
            </w:tcBorders>
          </w:tcPr>
          <w:p>
            <w:pPr>
              <w:pStyle w:val="TableParagraph"/>
              <w:spacing w:line="240" w:lineRule="auto" w:before="24"/>
              <w:ind w:left="84" w:right="0"/>
              <w:jc w:val="center"/>
              <w:rPr>
                <w:rFonts w:ascii="宋体" w:hAnsi="宋体" w:cs="宋体" w:eastAsia="宋体" w:hint="default"/>
                <w:sz w:val="16"/>
                <w:szCs w:val="16"/>
              </w:rPr>
            </w:pPr>
            <w:r>
              <w:rPr>
                <w:rFonts w:ascii="宋体"/>
                <w:w w:val="99"/>
                <w:sz w:val="16"/>
              </w:rPr>
              <w:t> </w:t>
            </w:r>
            <w:r>
              <w:rPr>
                <w:rFonts w:ascii="宋体"/>
                <w:sz w:val="16"/>
              </w:rPr>
            </w:r>
          </w:p>
        </w:tc>
        <w:tc>
          <w:tcPr>
            <w:tcW w:w="1248" w:type="dxa"/>
            <w:tcBorders>
              <w:top w:val="single" w:sz="4" w:space="0" w:color="000000"/>
              <w:left w:val="nil" w:sz="6" w:space="0" w:color="auto"/>
              <w:bottom w:val="single" w:sz="4" w:space="0" w:color="000000"/>
              <w:right w:val="nil" w:sz="6" w:space="0" w:color="auto"/>
            </w:tcBorders>
          </w:tcPr>
          <w:p>
            <w:pPr>
              <w:pStyle w:val="TableParagraph"/>
              <w:spacing w:line="181" w:lineRule="exact"/>
              <w:ind w:left="302" w:right="0"/>
              <w:jc w:val="left"/>
              <w:rPr>
                <w:rFonts w:ascii="宋体" w:hAnsi="宋体" w:cs="宋体" w:eastAsia="宋体" w:hint="default"/>
                <w:sz w:val="16"/>
                <w:szCs w:val="16"/>
              </w:rPr>
            </w:pPr>
            <w:r>
              <w:rPr>
                <w:rFonts w:ascii="宋体" w:hAnsi="宋体" w:cs="宋体" w:eastAsia="宋体" w:hint="default"/>
                <w:sz w:val="16"/>
                <w:szCs w:val="16"/>
              </w:rPr>
              <w:t>账面价值</w:t>
            </w:r>
            <w:r>
              <w:rPr>
                <w:rFonts w:ascii="宋体" w:hAnsi="宋体" w:cs="宋体" w:eastAsia="宋体" w:hint="default"/>
                <w:sz w:val="16"/>
                <w:szCs w:val="16"/>
              </w:rPr>
              <w:t> </w:t>
            </w:r>
          </w:p>
        </w:tc>
      </w:tr>
      <w:tr>
        <w:trPr>
          <w:trHeight w:val="233"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37" w:right="0"/>
              <w:jc w:val="center"/>
              <w:rPr>
                <w:rFonts w:ascii="宋体" w:hAnsi="宋体" w:cs="宋体" w:eastAsia="宋体" w:hint="default"/>
                <w:sz w:val="16"/>
                <w:szCs w:val="16"/>
              </w:rPr>
            </w:pPr>
            <w:r>
              <w:rPr>
                <w:rFonts w:ascii="宋体"/>
                <w:w w:val="99"/>
                <w:sz w:val="16"/>
              </w:rPr>
              <w:t> </w:t>
            </w:r>
            <w:r>
              <w:rPr>
                <w:rFonts w:ascii="宋体"/>
                <w:sz w:val="16"/>
              </w:rPr>
            </w:r>
          </w:p>
        </w:tc>
        <w:tc>
          <w:tcPr>
            <w:tcW w:w="227" w:type="dxa"/>
            <w:tcBorders>
              <w:top w:val="nil" w:sz="6" w:space="0" w:color="auto"/>
              <w:left w:val="nil" w:sz="6" w:space="0" w:color="auto"/>
              <w:bottom w:val="nil" w:sz="6" w:space="0" w:color="auto"/>
              <w:right w:val="nil" w:sz="6" w:space="0" w:color="auto"/>
            </w:tcBorders>
          </w:tcPr>
          <w:p>
            <w:pPr/>
          </w:p>
        </w:tc>
        <w:tc>
          <w:tcPr>
            <w:tcW w:w="1238" w:type="dxa"/>
            <w:tcBorders>
              <w:top w:val="single" w:sz="4" w:space="0" w:color="000000"/>
              <w:left w:val="nil" w:sz="6" w:space="0" w:color="auto"/>
              <w:bottom w:val="single" w:sz="4" w:space="0" w:color="000000"/>
              <w:right w:val="nil" w:sz="6" w:space="0" w:color="auto"/>
            </w:tcBorders>
          </w:tcPr>
          <w:p>
            <w:pPr>
              <w:pStyle w:val="TableParagraph"/>
              <w:spacing w:line="181" w:lineRule="exact"/>
              <w:ind w:left="456" w:right="0"/>
              <w:jc w:val="left"/>
              <w:rPr>
                <w:rFonts w:ascii="宋体" w:hAnsi="宋体" w:cs="宋体" w:eastAsia="宋体" w:hint="default"/>
                <w:sz w:val="16"/>
                <w:szCs w:val="16"/>
              </w:rPr>
            </w:pPr>
            <w:r>
              <w:rPr>
                <w:rFonts w:ascii="宋体" w:hAnsi="宋体" w:cs="宋体" w:eastAsia="宋体" w:hint="default"/>
                <w:sz w:val="16"/>
                <w:szCs w:val="16"/>
              </w:rPr>
              <w:t>金额</w:t>
            </w:r>
            <w:r>
              <w:rPr>
                <w:rFonts w:ascii="宋体" w:hAnsi="宋体" w:cs="宋体" w:eastAsia="宋体" w:hint="default"/>
                <w:sz w:val="16"/>
                <w:szCs w:val="16"/>
              </w:rPr>
              <w:t> </w:t>
            </w:r>
          </w:p>
        </w:tc>
        <w:tc>
          <w:tcPr>
            <w:tcW w:w="235" w:type="dxa"/>
            <w:tcBorders>
              <w:top w:val="single" w:sz="4" w:space="0" w:color="000000"/>
              <w:left w:val="nil" w:sz="6" w:space="0" w:color="auto"/>
              <w:bottom w:val="nil" w:sz="6" w:space="0" w:color="auto"/>
              <w:right w:val="nil" w:sz="6" w:space="0" w:color="auto"/>
            </w:tcBorders>
          </w:tcPr>
          <w:p>
            <w:pPr>
              <w:pStyle w:val="TableParagraph"/>
              <w:spacing w:line="240" w:lineRule="auto" w:before="19"/>
              <w:ind w:left="115" w:right="0"/>
              <w:jc w:val="left"/>
              <w:rPr>
                <w:rFonts w:ascii="宋体" w:hAnsi="宋体" w:cs="宋体" w:eastAsia="宋体" w:hint="default"/>
                <w:sz w:val="16"/>
                <w:szCs w:val="16"/>
              </w:rPr>
            </w:pPr>
            <w:r>
              <w:rPr>
                <w:rFonts w:ascii="宋体"/>
                <w:w w:val="99"/>
                <w:sz w:val="16"/>
              </w:rPr>
              <w:t> </w:t>
            </w:r>
            <w:r>
              <w:rPr>
                <w:rFonts w:ascii="宋体"/>
                <w:sz w:val="16"/>
              </w:rPr>
            </w:r>
          </w:p>
        </w:tc>
        <w:tc>
          <w:tcPr>
            <w:tcW w:w="792" w:type="dxa"/>
            <w:tcBorders>
              <w:top w:val="single" w:sz="4" w:space="0" w:color="000000"/>
              <w:left w:val="nil" w:sz="6" w:space="0" w:color="auto"/>
              <w:bottom w:val="single" w:sz="4" w:space="0" w:color="000000"/>
              <w:right w:val="nil" w:sz="6" w:space="0" w:color="auto"/>
            </w:tcBorders>
          </w:tcPr>
          <w:p>
            <w:pPr>
              <w:pStyle w:val="TableParagraph"/>
              <w:spacing w:line="192" w:lineRule="exact"/>
              <w:ind w:right="35"/>
              <w:jc w:val="right"/>
              <w:rPr>
                <w:rFonts w:ascii="宋体" w:hAnsi="宋体" w:cs="宋体" w:eastAsia="宋体" w:hint="default"/>
                <w:sz w:val="16"/>
                <w:szCs w:val="16"/>
              </w:rPr>
            </w:pPr>
            <w:r>
              <w:rPr>
                <w:rFonts w:ascii="宋体" w:hAnsi="宋体" w:cs="宋体" w:eastAsia="宋体" w:hint="default"/>
                <w:w w:val="95"/>
                <w:sz w:val="16"/>
                <w:szCs w:val="16"/>
              </w:rPr>
              <w:t>比例</w:t>
            </w:r>
            <w:r>
              <w:rPr>
                <w:rFonts w:ascii="Arial" w:hAnsi="Arial" w:cs="Arial" w:eastAsia="Arial" w:hint="default"/>
                <w:w w:val="95"/>
                <w:sz w:val="16"/>
                <w:szCs w:val="16"/>
              </w:rPr>
              <w:t>(%)</w:t>
            </w:r>
            <w:r>
              <w:rPr>
                <w:rFonts w:ascii="宋体" w:hAnsi="宋体" w:cs="宋体" w:eastAsia="宋体" w:hint="default"/>
                <w:w w:val="99"/>
                <w:sz w:val="16"/>
                <w:szCs w:val="16"/>
              </w:rPr>
              <w:t> </w:t>
            </w:r>
            <w:r>
              <w:rPr>
                <w:rFonts w:ascii="宋体" w:hAnsi="宋体" w:cs="宋体" w:eastAsia="宋体" w:hint="default"/>
                <w:sz w:val="16"/>
                <w:szCs w:val="16"/>
              </w:rPr>
            </w:r>
          </w:p>
        </w:tc>
        <w:tc>
          <w:tcPr>
            <w:tcW w:w="23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74" w:right="0"/>
              <w:jc w:val="center"/>
              <w:rPr>
                <w:rFonts w:ascii="宋体" w:hAnsi="宋体" w:cs="宋体" w:eastAsia="宋体" w:hint="default"/>
                <w:sz w:val="16"/>
                <w:szCs w:val="16"/>
              </w:rPr>
            </w:pPr>
            <w:r>
              <w:rPr>
                <w:rFonts w:ascii="宋体"/>
                <w:w w:val="99"/>
                <w:sz w:val="16"/>
              </w:rPr>
              <w:t> </w:t>
            </w:r>
            <w:r>
              <w:rPr>
                <w:rFonts w:ascii="宋体"/>
                <w:sz w:val="16"/>
              </w:rPr>
            </w:r>
          </w:p>
        </w:tc>
        <w:tc>
          <w:tcPr>
            <w:tcW w:w="1310" w:type="dxa"/>
            <w:tcBorders>
              <w:top w:val="single" w:sz="4" w:space="0" w:color="000000"/>
              <w:left w:val="nil" w:sz="6" w:space="0" w:color="auto"/>
              <w:bottom w:val="single" w:sz="4" w:space="0" w:color="000000"/>
              <w:right w:val="nil" w:sz="6" w:space="0" w:color="auto"/>
            </w:tcBorders>
          </w:tcPr>
          <w:p>
            <w:pPr>
              <w:pStyle w:val="TableParagraph"/>
              <w:spacing w:line="181" w:lineRule="exact"/>
              <w:ind w:right="24"/>
              <w:jc w:val="center"/>
              <w:rPr>
                <w:rFonts w:ascii="宋体" w:hAnsi="宋体" w:cs="宋体" w:eastAsia="宋体" w:hint="default"/>
                <w:sz w:val="16"/>
                <w:szCs w:val="16"/>
              </w:rPr>
            </w:pPr>
            <w:r>
              <w:rPr>
                <w:rFonts w:ascii="宋体" w:hAnsi="宋体" w:cs="宋体" w:eastAsia="宋体" w:hint="default"/>
                <w:sz w:val="16"/>
                <w:szCs w:val="16"/>
              </w:rPr>
              <w:t>金额</w:t>
            </w:r>
            <w:r>
              <w:rPr>
                <w:rFonts w:ascii="宋体" w:hAnsi="宋体" w:cs="宋体" w:eastAsia="宋体" w:hint="default"/>
                <w:sz w:val="16"/>
                <w:szCs w:val="16"/>
              </w:rPr>
              <w:t> </w:t>
            </w:r>
          </w:p>
        </w:tc>
        <w:tc>
          <w:tcPr>
            <w:tcW w:w="275" w:type="dxa"/>
            <w:tcBorders>
              <w:top w:val="single" w:sz="4" w:space="0" w:color="000000"/>
              <w:left w:val="nil" w:sz="6" w:space="0" w:color="auto"/>
              <w:bottom w:val="single" w:sz="4" w:space="0" w:color="000000"/>
              <w:right w:val="nil" w:sz="6" w:space="0" w:color="auto"/>
            </w:tcBorders>
          </w:tcPr>
          <w:p>
            <w:pPr>
              <w:pStyle w:val="TableParagraph"/>
              <w:spacing w:line="240" w:lineRule="auto" w:before="19"/>
              <w:ind w:left="19" w:right="0"/>
              <w:jc w:val="left"/>
              <w:rPr>
                <w:rFonts w:ascii="宋体" w:hAnsi="宋体" w:cs="宋体" w:eastAsia="宋体" w:hint="default"/>
                <w:sz w:val="16"/>
                <w:szCs w:val="16"/>
              </w:rPr>
            </w:pPr>
            <w:r>
              <w:rPr>
                <w:rFonts w:ascii="宋体"/>
                <w:w w:val="99"/>
                <w:sz w:val="16"/>
              </w:rPr>
              <w:t> </w:t>
            </w:r>
            <w:r>
              <w:rPr>
                <w:rFonts w:ascii="宋体"/>
                <w:sz w:val="16"/>
              </w:rPr>
            </w:r>
          </w:p>
        </w:tc>
        <w:tc>
          <w:tcPr>
            <w:tcW w:w="671" w:type="dxa"/>
            <w:tcBorders>
              <w:top w:val="single" w:sz="4" w:space="0" w:color="000000"/>
              <w:left w:val="nil" w:sz="6" w:space="0" w:color="auto"/>
              <w:bottom w:val="single" w:sz="4" w:space="0" w:color="000000"/>
              <w:right w:val="nil" w:sz="6" w:space="0" w:color="auto"/>
            </w:tcBorders>
          </w:tcPr>
          <w:p>
            <w:pPr>
              <w:pStyle w:val="TableParagraph"/>
              <w:spacing w:line="192" w:lineRule="exact"/>
              <w:ind w:left="-21" w:right="0"/>
              <w:jc w:val="left"/>
              <w:rPr>
                <w:rFonts w:ascii="宋体" w:hAnsi="宋体" w:cs="宋体" w:eastAsia="宋体" w:hint="default"/>
                <w:sz w:val="16"/>
                <w:szCs w:val="16"/>
              </w:rPr>
            </w:pPr>
            <w:r>
              <w:rPr>
                <w:rFonts w:ascii="宋体" w:hAnsi="宋体" w:cs="宋体" w:eastAsia="宋体" w:hint="default"/>
                <w:sz w:val="16"/>
                <w:szCs w:val="16"/>
              </w:rPr>
              <w:t>比例</w:t>
            </w:r>
            <w:r>
              <w:rPr>
                <w:rFonts w:ascii="Arial" w:hAnsi="Arial" w:cs="Arial" w:eastAsia="Arial" w:hint="default"/>
                <w:sz w:val="16"/>
                <w:szCs w:val="16"/>
              </w:rPr>
              <w:t>(%)</w:t>
            </w:r>
            <w:r>
              <w:rPr>
                <w:rFonts w:ascii="宋体" w:hAnsi="宋体" w:cs="宋体" w:eastAsia="宋体" w:hint="default"/>
                <w:w w:val="99"/>
                <w:sz w:val="16"/>
                <w:szCs w:val="16"/>
              </w:rPr>
              <w:t> </w:t>
            </w:r>
            <w:r>
              <w:rPr>
                <w:rFonts w:ascii="宋体" w:hAnsi="宋体" w:cs="宋体" w:eastAsia="宋体" w:hint="default"/>
                <w:sz w:val="16"/>
                <w:szCs w:val="16"/>
              </w:rPr>
            </w:r>
          </w:p>
        </w:tc>
        <w:tc>
          <w:tcPr>
            <w:tcW w:w="23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74" w:right="0"/>
              <w:jc w:val="center"/>
              <w:rPr>
                <w:rFonts w:ascii="宋体" w:hAnsi="宋体" w:cs="宋体" w:eastAsia="宋体" w:hint="default"/>
                <w:sz w:val="16"/>
                <w:szCs w:val="16"/>
              </w:rPr>
            </w:pPr>
            <w:r>
              <w:rPr>
                <w:rFonts w:ascii="宋体"/>
                <w:w w:val="99"/>
                <w:sz w:val="16"/>
              </w:rPr>
              <w:t> </w:t>
            </w:r>
            <w:r>
              <w:rPr>
                <w:rFonts w:ascii="宋体"/>
                <w:sz w:val="16"/>
              </w:rPr>
            </w:r>
          </w:p>
        </w:tc>
        <w:tc>
          <w:tcPr>
            <w:tcW w:w="1253" w:type="dxa"/>
            <w:tcBorders>
              <w:top w:val="single" w:sz="4" w:space="0" w:color="000000"/>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238" w:type="dxa"/>
            <w:tcBorders>
              <w:top w:val="single" w:sz="4" w:space="0" w:color="000000"/>
              <w:left w:val="nil" w:sz="6" w:space="0" w:color="auto"/>
              <w:bottom w:val="single" w:sz="4" w:space="0" w:color="000000"/>
              <w:right w:val="nil" w:sz="6" w:space="0" w:color="auto"/>
            </w:tcBorders>
          </w:tcPr>
          <w:p>
            <w:pPr>
              <w:pStyle w:val="TableParagraph"/>
              <w:spacing w:line="181" w:lineRule="exact"/>
              <w:ind w:left="456" w:right="0"/>
              <w:jc w:val="left"/>
              <w:rPr>
                <w:rFonts w:ascii="宋体" w:hAnsi="宋体" w:cs="宋体" w:eastAsia="宋体" w:hint="default"/>
                <w:sz w:val="16"/>
                <w:szCs w:val="16"/>
              </w:rPr>
            </w:pPr>
            <w:r>
              <w:rPr>
                <w:rFonts w:ascii="宋体" w:hAnsi="宋体" w:cs="宋体" w:eastAsia="宋体" w:hint="default"/>
                <w:sz w:val="16"/>
                <w:szCs w:val="16"/>
              </w:rPr>
              <w:t>金额</w:t>
            </w:r>
            <w:r>
              <w:rPr>
                <w:rFonts w:ascii="宋体" w:hAnsi="宋体" w:cs="宋体" w:eastAsia="宋体" w:hint="default"/>
                <w:sz w:val="16"/>
                <w:szCs w:val="16"/>
              </w:rPr>
              <w:t> </w:t>
            </w:r>
          </w:p>
        </w:tc>
        <w:tc>
          <w:tcPr>
            <w:tcW w:w="240" w:type="dxa"/>
            <w:tcBorders>
              <w:top w:val="single" w:sz="4" w:space="0" w:color="000000"/>
              <w:left w:val="nil" w:sz="6" w:space="0" w:color="auto"/>
              <w:bottom w:val="nil" w:sz="6" w:space="0" w:color="auto"/>
              <w:right w:val="nil" w:sz="6" w:space="0" w:color="auto"/>
            </w:tcBorders>
          </w:tcPr>
          <w:p>
            <w:pPr>
              <w:pStyle w:val="TableParagraph"/>
              <w:spacing w:line="240" w:lineRule="auto" w:before="19"/>
              <w:ind w:left="115" w:right="0"/>
              <w:jc w:val="left"/>
              <w:rPr>
                <w:rFonts w:ascii="宋体" w:hAnsi="宋体" w:cs="宋体" w:eastAsia="宋体" w:hint="default"/>
                <w:sz w:val="16"/>
                <w:szCs w:val="16"/>
              </w:rPr>
            </w:pPr>
            <w:r>
              <w:rPr>
                <w:rFonts w:ascii="宋体"/>
                <w:w w:val="99"/>
                <w:sz w:val="16"/>
              </w:rPr>
              <w:t> </w:t>
            </w:r>
            <w:r>
              <w:rPr>
                <w:rFonts w:ascii="宋体"/>
                <w:sz w:val="16"/>
              </w:rPr>
            </w:r>
          </w:p>
        </w:tc>
        <w:tc>
          <w:tcPr>
            <w:tcW w:w="840" w:type="dxa"/>
            <w:tcBorders>
              <w:top w:val="single" w:sz="4" w:space="0" w:color="000000"/>
              <w:left w:val="nil" w:sz="6" w:space="0" w:color="auto"/>
              <w:bottom w:val="single" w:sz="4" w:space="0" w:color="000000"/>
              <w:right w:val="nil" w:sz="6" w:space="0" w:color="auto"/>
            </w:tcBorders>
          </w:tcPr>
          <w:p>
            <w:pPr>
              <w:pStyle w:val="TableParagraph"/>
              <w:spacing w:line="192" w:lineRule="exact"/>
              <w:ind w:left="134" w:right="0"/>
              <w:jc w:val="left"/>
              <w:rPr>
                <w:rFonts w:ascii="宋体" w:hAnsi="宋体" w:cs="宋体" w:eastAsia="宋体" w:hint="default"/>
                <w:sz w:val="16"/>
                <w:szCs w:val="16"/>
              </w:rPr>
            </w:pPr>
            <w:r>
              <w:rPr>
                <w:rFonts w:ascii="宋体" w:hAnsi="宋体" w:cs="宋体" w:eastAsia="宋体" w:hint="default"/>
                <w:sz w:val="16"/>
                <w:szCs w:val="16"/>
              </w:rPr>
              <w:t>比例</w:t>
            </w:r>
            <w:r>
              <w:rPr>
                <w:rFonts w:ascii="Arial" w:hAnsi="Arial" w:cs="Arial" w:eastAsia="Arial" w:hint="default"/>
                <w:sz w:val="16"/>
                <w:szCs w:val="16"/>
              </w:rPr>
              <w:t>(%)</w:t>
            </w:r>
            <w:r>
              <w:rPr>
                <w:rFonts w:ascii="宋体" w:hAnsi="宋体" w:cs="宋体" w:eastAsia="宋体" w:hint="default"/>
                <w:w w:val="99"/>
                <w:sz w:val="16"/>
                <w:szCs w:val="16"/>
              </w:rPr>
              <w:t> </w:t>
            </w:r>
            <w:r>
              <w:rPr>
                <w:rFonts w:ascii="宋体" w:hAnsi="宋体" w:cs="宋体" w:eastAsia="宋体" w:hint="default"/>
                <w:sz w:val="16"/>
                <w:szCs w:val="16"/>
              </w:rPr>
            </w:r>
          </w:p>
        </w:tc>
        <w:tc>
          <w:tcPr>
            <w:tcW w:w="23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8"/>
              <w:jc w:val="right"/>
              <w:rPr>
                <w:rFonts w:ascii="宋体" w:hAnsi="宋体" w:cs="宋体" w:eastAsia="宋体" w:hint="default"/>
                <w:sz w:val="16"/>
                <w:szCs w:val="16"/>
              </w:rPr>
            </w:pPr>
            <w:r>
              <w:rPr>
                <w:rFonts w:ascii="宋体"/>
                <w:w w:val="99"/>
                <w:sz w:val="16"/>
              </w:rPr>
              <w:t> </w:t>
            </w:r>
            <w:r>
              <w:rPr>
                <w:rFonts w:ascii="宋体"/>
                <w:sz w:val="16"/>
              </w:rPr>
            </w:r>
          </w:p>
        </w:tc>
        <w:tc>
          <w:tcPr>
            <w:tcW w:w="1214" w:type="dxa"/>
            <w:tcBorders>
              <w:top w:val="single" w:sz="4" w:space="0" w:color="000000"/>
              <w:left w:val="nil" w:sz="6" w:space="0" w:color="auto"/>
              <w:bottom w:val="single" w:sz="4" w:space="0" w:color="000000"/>
              <w:right w:val="nil" w:sz="6" w:space="0" w:color="auto"/>
            </w:tcBorders>
          </w:tcPr>
          <w:p>
            <w:pPr>
              <w:pStyle w:val="TableParagraph"/>
              <w:spacing w:line="181" w:lineRule="exact"/>
              <w:ind w:left="446" w:right="0"/>
              <w:jc w:val="left"/>
              <w:rPr>
                <w:rFonts w:ascii="宋体" w:hAnsi="宋体" w:cs="宋体" w:eastAsia="宋体" w:hint="default"/>
                <w:sz w:val="16"/>
                <w:szCs w:val="16"/>
              </w:rPr>
            </w:pPr>
            <w:r>
              <w:rPr>
                <w:rFonts w:ascii="宋体" w:hAnsi="宋体" w:cs="宋体" w:eastAsia="宋体" w:hint="default"/>
                <w:sz w:val="16"/>
                <w:szCs w:val="16"/>
              </w:rPr>
              <w:t>金额</w:t>
            </w:r>
            <w:r>
              <w:rPr>
                <w:rFonts w:ascii="宋体" w:hAnsi="宋体" w:cs="宋体" w:eastAsia="宋体" w:hint="default"/>
                <w:sz w:val="16"/>
                <w:szCs w:val="16"/>
              </w:rPr>
              <w:t> </w:t>
            </w:r>
          </w:p>
        </w:tc>
        <w:tc>
          <w:tcPr>
            <w:tcW w:w="380" w:type="dxa"/>
            <w:tcBorders>
              <w:top w:val="single" w:sz="4" w:space="0" w:color="000000"/>
              <w:left w:val="nil" w:sz="6" w:space="0" w:color="auto"/>
              <w:bottom w:val="single" w:sz="4" w:space="0" w:color="000000"/>
              <w:right w:val="nil" w:sz="6" w:space="0" w:color="auto"/>
            </w:tcBorders>
          </w:tcPr>
          <w:p>
            <w:pPr>
              <w:pStyle w:val="TableParagraph"/>
              <w:spacing w:line="240" w:lineRule="auto" w:before="19"/>
              <w:ind w:left="115" w:right="0"/>
              <w:jc w:val="left"/>
              <w:rPr>
                <w:rFonts w:ascii="宋体" w:hAnsi="宋体" w:cs="宋体" w:eastAsia="宋体" w:hint="default"/>
                <w:sz w:val="16"/>
                <w:szCs w:val="16"/>
              </w:rPr>
            </w:pPr>
            <w:r>
              <w:rPr>
                <w:rFonts w:ascii="宋体"/>
                <w:w w:val="99"/>
                <w:sz w:val="16"/>
              </w:rPr>
              <w:t> </w:t>
            </w:r>
            <w:r>
              <w:rPr>
                <w:rFonts w:ascii="宋体"/>
                <w:sz w:val="16"/>
              </w:rPr>
            </w:r>
          </w:p>
        </w:tc>
        <w:tc>
          <w:tcPr>
            <w:tcW w:w="671" w:type="dxa"/>
            <w:tcBorders>
              <w:top w:val="single" w:sz="4" w:space="0" w:color="000000"/>
              <w:left w:val="nil" w:sz="6" w:space="0" w:color="auto"/>
              <w:bottom w:val="single" w:sz="4" w:space="0" w:color="000000"/>
              <w:right w:val="nil" w:sz="6" w:space="0" w:color="auto"/>
            </w:tcBorders>
          </w:tcPr>
          <w:p>
            <w:pPr>
              <w:pStyle w:val="TableParagraph"/>
              <w:spacing w:line="192" w:lineRule="exact"/>
              <w:ind w:left="-21" w:right="0"/>
              <w:jc w:val="left"/>
              <w:rPr>
                <w:rFonts w:ascii="宋体" w:hAnsi="宋体" w:cs="宋体" w:eastAsia="宋体" w:hint="default"/>
                <w:sz w:val="16"/>
                <w:szCs w:val="16"/>
              </w:rPr>
            </w:pPr>
            <w:r>
              <w:rPr>
                <w:rFonts w:ascii="宋体" w:hAnsi="宋体" w:cs="宋体" w:eastAsia="宋体" w:hint="default"/>
                <w:sz w:val="16"/>
                <w:szCs w:val="16"/>
              </w:rPr>
              <w:t>比例</w:t>
            </w:r>
            <w:r>
              <w:rPr>
                <w:rFonts w:ascii="Arial" w:hAnsi="Arial" w:cs="Arial" w:eastAsia="Arial" w:hint="default"/>
                <w:sz w:val="16"/>
                <w:szCs w:val="16"/>
              </w:rPr>
              <w:t>(%)</w:t>
            </w:r>
            <w:r>
              <w:rPr>
                <w:rFonts w:ascii="宋体" w:hAnsi="宋体" w:cs="宋体" w:eastAsia="宋体" w:hint="default"/>
                <w:w w:val="99"/>
                <w:sz w:val="16"/>
                <w:szCs w:val="16"/>
              </w:rPr>
              <w:t> </w:t>
            </w:r>
            <w:r>
              <w:rPr>
                <w:rFonts w:ascii="宋体" w:hAnsi="宋体" w:cs="宋体" w:eastAsia="宋体" w:hint="default"/>
                <w:sz w:val="16"/>
                <w:szCs w:val="16"/>
              </w:rPr>
            </w:r>
          </w:p>
        </w:tc>
        <w:tc>
          <w:tcPr>
            <w:tcW w:w="23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84" w:right="0"/>
              <w:jc w:val="center"/>
              <w:rPr>
                <w:rFonts w:ascii="宋体" w:hAnsi="宋体" w:cs="宋体" w:eastAsia="宋体" w:hint="default"/>
                <w:sz w:val="16"/>
                <w:szCs w:val="16"/>
              </w:rPr>
            </w:pPr>
            <w:r>
              <w:rPr>
                <w:rFonts w:ascii="宋体"/>
                <w:w w:val="99"/>
                <w:sz w:val="16"/>
              </w:rPr>
              <w:t> </w:t>
            </w:r>
            <w:r>
              <w:rPr>
                <w:rFonts w:ascii="宋体"/>
                <w:sz w:val="16"/>
              </w:rPr>
            </w:r>
          </w:p>
        </w:tc>
        <w:tc>
          <w:tcPr>
            <w:tcW w:w="1248" w:type="dxa"/>
            <w:tcBorders>
              <w:top w:val="single" w:sz="4" w:space="0" w:color="000000"/>
              <w:left w:val="nil" w:sz="6" w:space="0" w:color="auto"/>
              <w:bottom w:val="nil" w:sz="6" w:space="0" w:color="auto"/>
              <w:right w:val="nil" w:sz="6" w:space="0" w:color="auto"/>
            </w:tcBorders>
          </w:tcPr>
          <w:p>
            <w:pPr/>
          </w:p>
        </w:tc>
      </w:tr>
      <w:tr>
        <w:trPr>
          <w:trHeight w:val="398"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41"/>
              <w:ind w:left="200" w:right="0"/>
              <w:jc w:val="left"/>
              <w:rPr>
                <w:rFonts w:ascii="宋体" w:hAnsi="宋体" w:cs="宋体" w:eastAsia="宋体" w:hint="default"/>
                <w:sz w:val="16"/>
                <w:szCs w:val="16"/>
              </w:rPr>
            </w:pPr>
            <w:r>
              <w:rPr>
                <w:rFonts w:ascii="宋体" w:hAnsi="宋体" w:cs="宋体" w:eastAsia="宋体" w:hint="default"/>
                <w:sz w:val="16"/>
                <w:szCs w:val="16"/>
              </w:rPr>
              <w:t>按单项计提坏账准备</w:t>
            </w:r>
            <w:r>
              <w:rPr>
                <w:rFonts w:ascii="宋体" w:hAnsi="宋体" w:cs="宋体" w:eastAsia="宋体" w:hint="default"/>
                <w:sz w:val="16"/>
                <w:szCs w:val="16"/>
              </w:rPr>
              <w:t> </w:t>
            </w:r>
          </w:p>
        </w:tc>
        <w:tc>
          <w:tcPr>
            <w:tcW w:w="22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48"/>
              <w:jc w:val="right"/>
              <w:rPr>
                <w:rFonts w:ascii="宋体" w:hAnsi="宋体" w:cs="宋体" w:eastAsia="宋体" w:hint="default"/>
                <w:sz w:val="16"/>
                <w:szCs w:val="16"/>
              </w:rPr>
            </w:pPr>
            <w:r>
              <w:rPr>
                <w:rFonts w:ascii="宋体"/>
                <w:w w:val="98"/>
                <w:sz w:val="16"/>
              </w:rPr>
              <w:t> </w:t>
            </w:r>
            <w:r>
              <w:rPr>
                <w:rFonts w:ascii="宋体"/>
                <w:sz w:val="16"/>
              </w:rPr>
            </w:r>
          </w:p>
        </w:tc>
        <w:tc>
          <w:tcPr>
            <w:tcW w:w="1238"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51"/>
              <w:jc w:val="right"/>
              <w:rPr>
                <w:rFonts w:ascii="Arial" w:hAnsi="Arial" w:cs="Arial" w:eastAsia="Arial" w:hint="default"/>
                <w:sz w:val="16"/>
                <w:szCs w:val="16"/>
              </w:rPr>
            </w:pPr>
            <w:r>
              <w:rPr>
                <w:rFonts w:ascii="Arial"/>
                <w:w w:val="95"/>
                <w:sz w:val="16"/>
              </w:rPr>
              <w:t>548,886,836</w:t>
            </w:r>
            <w:r>
              <w:rPr>
                <w:rFonts w:ascii="Arial"/>
                <w:sz w:val="16"/>
              </w:rPr>
            </w:r>
          </w:p>
        </w:tc>
        <w:tc>
          <w:tcPr>
            <w:tcW w:w="235" w:type="dxa"/>
            <w:tcBorders>
              <w:top w:val="nil" w:sz="6" w:space="0" w:color="auto"/>
              <w:left w:val="nil" w:sz="6" w:space="0" w:color="auto"/>
              <w:bottom w:val="nil" w:sz="6" w:space="0" w:color="auto"/>
              <w:right w:val="nil" w:sz="6" w:space="0" w:color="auto"/>
            </w:tcBorders>
          </w:tcPr>
          <w:p>
            <w:pPr/>
          </w:p>
        </w:tc>
        <w:tc>
          <w:tcPr>
            <w:tcW w:w="792"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51"/>
              <w:jc w:val="right"/>
              <w:rPr>
                <w:rFonts w:ascii="Arial" w:hAnsi="Arial" w:cs="Arial" w:eastAsia="Arial" w:hint="default"/>
                <w:sz w:val="16"/>
                <w:szCs w:val="16"/>
              </w:rPr>
            </w:pPr>
            <w:r>
              <w:rPr>
                <w:rFonts w:ascii="Arial"/>
                <w:spacing w:val="-1"/>
                <w:w w:val="95"/>
                <w:sz w:val="16"/>
              </w:rPr>
              <w:t>16.55</w:t>
            </w:r>
            <w:r>
              <w:rPr>
                <w:rFonts w:ascii="Arial"/>
                <w:sz w:val="16"/>
              </w:rPr>
            </w:r>
          </w:p>
        </w:tc>
        <w:tc>
          <w:tcPr>
            <w:tcW w:w="235" w:type="dxa"/>
            <w:tcBorders>
              <w:top w:val="nil" w:sz="6" w:space="0" w:color="auto"/>
              <w:left w:val="nil" w:sz="6" w:space="0" w:color="auto"/>
              <w:bottom w:val="nil" w:sz="6" w:space="0" w:color="auto"/>
              <w:right w:val="nil" w:sz="6" w:space="0" w:color="auto"/>
            </w:tcBorders>
          </w:tcPr>
          <w:p>
            <w:pPr/>
          </w:p>
        </w:tc>
        <w:tc>
          <w:tcPr>
            <w:tcW w:w="1310"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52"/>
              <w:jc w:val="right"/>
              <w:rPr>
                <w:rFonts w:ascii="Arial" w:hAnsi="Arial" w:cs="Arial" w:eastAsia="Arial" w:hint="default"/>
                <w:sz w:val="16"/>
                <w:szCs w:val="16"/>
              </w:rPr>
            </w:pPr>
            <w:r>
              <w:rPr>
                <w:rFonts w:ascii="Arial"/>
                <w:w w:val="95"/>
                <w:sz w:val="16"/>
              </w:rPr>
              <w:t>(426,174,610)</w:t>
            </w:r>
            <w:r>
              <w:rPr>
                <w:rFonts w:ascii="Arial"/>
                <w:sz w:val="16"/>
              </w:rPr>
            </w:r>
          </w:p>
        </w:tc>
        <w:tc>
          <w:tcPr>
            <w:tcW w:w="275" w:type="dxa"/>
            <w:tcBorders>
              <w:top w:val="single" w:sz="4" w:space="0" w:color="000000"/>
              <w:left w:val="nil" w:sz="6" w:space="0" w:color="auto"/>
              <w:bottom w:val="nil" w:sz="6" w:space="0" w:color="auto"/>
              <w:right w:val="nil" w:sz="6" w:space="0" w:color="auto"/>
            </w:tcBorders>
          </w:tcPr>
          <w:p>
            <w:pPr/>
          </w:p>
        </w:tc>
        <w:tc>
          <w:tcPr>
            <w:tcW w:w="671"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2" w:right="0"/>
              <w:jc w:val="left"/>
              <w:rPr>
                <w:rFonts w:ascii="Arial" w:hAnsi="Arial" w:cs="Arial" w:eastAsia="Arial" w:hint="default"/>
                <w:sz w:val="16"/>
                <w:szCs w:val="16"/>
              </w:rPr>
            </w:pPr>
            <w:r>
              <w:rPr>
                <w:rFonts w:ascii="Arial"/>
                <w:sz w:val="16"/>
              </w:rPr>
              <w:t>77.64</w:t>
            </w:r>
          </w:p>
        </w:tc>
        <w:tc>
          <w:tcPr>
            <w:tcW w:w="235"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38" w:right="0"/>
              <w:jc w:val="center"/>
              <w:rPr>
                <w:rFonts w:ascii="Arial" w:hAnsi="Arial" w:cs="Arial" w:eastAsia="Arial" w:hint="default"/>
                <w:sz w:val="16"/>
                <w:szCs w:val="16"/>
              </w:rPr>
            </w:pPr>
            <w:r>
              <w:rPr>
                <w:rFonts w:ascii="Arial"/>
                <w:sz w:val="16"/>
              </w:rPr>
              <w:t>122,712,226</w:t>
            </w:r>
          </w:p>
        </w:tc>
        <w:tc>
          <w:tcPr>
            <w:tcW w:w="147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475" w:right="0"/>
              <w:jc w:val="left"/>
              <w:rPr>
                <w:rFonts w:ascii="Arial" w:hAnsi="Arial" w:cs="Arial" w:eastAsia="Arial" w:hint="default"/>
                <w:sz w:val="16"/>
                <w:szCs w:val="16"/>
              </w:rPr>
            </w:pPr>
            <w:r>
              <w:rPr>
                <w:rFonts w:ascii="Arial"/>
                <w:sz w:val="16"/>
              </w:rPr>
              <w:t>957,972,520</w:t>
            </w:r>
          </w:p>
        </w:tc>
        <w:tc>
          <w:tcPr>
            <w:tcW w:w="240" w:type="dxa"/>
            <w:tcBorders>
              <w:top w:val="nil" w:sz="6" w:space="0" w:color="auto"/>
              <w:left w:val="nil" w:sz="6" w:space="0" w:color="auto"/>
              <w:bottom w:val="nil" w:sz="6" w:space="0" w:color="auto"/>
              <w:right w:val="nil" w:sz="6" w:space="0" w:color="auto"/>
            </w:tcBorders>
          </w:tcPr>
          <w:p>
            <w:pPr/>
          </w:p>
        </w:tc>
        <w:tc>
          <w:tcPr>
            <w:tcW w:w="840"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31" w:right="0"/>
              <w:jc w:val="left"/>
              <w:rPr>
                <w:rFonts w:ascii="Arial" w:hAnsi="Arial" w:cs="Arial" w:eastAsia="Arial" w:hint="default"/>
                <w:sz w:val="16"/>
                <w:szCs w:val="16"/>
              </w:rPr>
            </w:pPr>
            <w:r>
              <w:rPr>
                <w:rFonts w:ascii="Arial"/>
                <w:sz w:val="16"/>
              </w:rPr>
              <w:t>28.34</w:t>
            </w:r>
          </w:p>
        </w:tc>
        <w:tc>
          <w:tcPr>
            <w:tcW w:w="145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345" w:right="0"/>
              <w:jc w:val="left"/>
              <w:rPr>
                <w:rFonts w:ascii="Arial" w:hAnsi="Arial" w:cs="Arial" w:eastAsia="Arial" w:hint="default"/>
                <w:sz w:val="16"/>
                <w:szCs w:val="16"/>
              </w:rPr>
            </w:pPr>
            <w:r>
              <w:rPr>
                <w:rFonts w:ascii="Arial"/>
                <w:sz w:val="16"/>
              </w:rPr>
              <w:t>(345,488,477)</w:t>
            </w:r>
          </w:p>
        </w:tc>
        <w:tc>
          <w:tcPr>
            <w:tcW w:w="380" w:type="dxa"/>
            <w:tcBorders>
              <w:top w:val="single" w:sz="4" w:space="0" w:color="000000"/>
              <w:left w:val="nil" w:sz="6" w:space="0" w:color="auto"/>
              <w:bottom w:val="nil" w:sz="6" w:space="0" w:color="auto"/>
              <w:right w:val="nil" w:sz="6" w:space="0" w:color="auto"/>
            </w:tcBorders>
          </w:tcPr>
          <w:p>
            <w:pPr/>
          </w:p>
        </w:tc>
        <w:tc>
          <w:tcPr>
            <w:tcW w:w="671"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6" w:right="0"/>
              <w:jc w:val="left"/>
              <w:rPr>
                <w:rFonts w:ascii="Arial" w:hAnsi="Arial" w:cs="Arial" w:eastAsia="Arial" w:hint="default"/>
                <w:sz w:val="16"/>
                <w:szCs w:val="16"/>
              </w:rPr>
            </w:pPr>
            <w:r>
              <w:rPr>
                <w:rFonts w:ascii="Arial"/>
                <w:sz w:val="16"/>
              </w:rPr>
              <w:t>36.06</w:t>
            </w:r>
          </w:p>
        </w:tc>
        <w:tc>
          <w:tcPr>
            <w:tcW w:w="235" w:type="dxa"/>
            <w:tcBorders>
              <w:top w:val="nil" w:sz="6" w:space="0" w:color="auto"/>
              <w:left w:val="nil" w:sz="6" w:space="0" w:color="auto"/>
              <w:bottom w:val="nil" w:sz="6" w:space="0" w:color="auto"/>
              <w:right w:val="nil" w:sz="6" w:space="0" w:color="auto"/>
            </w:tcBorders>
          </w:tcPr>
          <w:p>
            <w:pP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249" w:right="0"/>
              <w:jc w:val="left"/>
              <w:rPr>
                <w:rFonts w:ascii="Arial" w:hAnsi="Arial" w:cs="Arial" w:eastAsia="Arial" w:hint="default"/>
                <w:sz w:val="16"/>
                <w:szCs w:val="16"/>
              </w:rPr>
            </w:pPr>
            <w:r>
              <w:rPr>
                <w:rFonts w:ascii="Arial"/>
                <w:sz w:val="16"/>
              </w:rPr>
              <w:t>612,484,043</w:t>
            </w:r>
          </w:p>
        </w:tc>
      </w:tr>
      <w:tr>
        <w:trPr>
          <w:trHeight w:val="307"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159" w:lineRule="exact"/>
              <w:ind w:left="200" w:right="0"/>
              <w:jc w:val="left"/>
              <w:rPr>
                <w:rFonts w:ascii="宋体" w:hAnsi="宋体" w:cs="宋体" w:eastAsia="宋体" w:hint="default"/>
                <w:sz w:val="16"/>
                <w:szCs w:val="16"/>
              </w:rPr>
            </w:pPr>
            <w:r>
              <w:rPr>
                <w:rFonts w:ascii="宋体" w:hAnsi="宋体" w:cs="宋体" w:eastAsia="宋体" w:hint="default"/>
                <w:sz w:val="16"/>
                <w:szCs w:val="16"/>
              </w:rPr>
              <w:t>按组合计提坏账准备</w:t>
            </w:r>
            <w:r>
              <w:rPr>
                <w:rFonts w:ascii="宋体" w:hAnsi="宋体" w:cs="宋体" w:eastAsia="宋体" w:hint="default"/>
                <w:sz w:val="16"/>
                <w:szCs w:val="16"/>
              </w:rPr>
              <w:t> </w:t>
            </w:r>
          </w:p>
        </w:tc>
        <w:tc>
          <w:tcPr>
            <w:tcW w:w="22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48"/>
              <w:jc w:val="right"/>
              <w:rPr>
                <w:rFonts w:ascii="宋体" w:hAnsi="宋体" w:cs="宋体" w:eastAsia="宋体" w:hint="default"/>
                <w:sz w:val="16"/>
                <w:szCs w:val="16"/>
              </w:rPr>
            </w:pPr>
            <w:r>
              <w:rPr>
                <w:rFonts w:ascii="宋体"/>
                <w:w w:val="99"/>
                <w:sz w:val="16"/>
              </w:rPr>
              <w:t> </w:t>
            </w:r>
            <w:r>
              <w:rPr>
                <w:rFonts w:ascii="宋体"/>
                <w:sz w:val="16"/>
              </w:rPr>
            </w:r>
          </w:p>
        </w:tc>
        <w:tc>
          <w:tcPr>
            <w:tcW w:w="1238" w:type="dxa"/>
            <w:tcBorders>
              <w:top w:val="nil" w:sz="6" w:space="0" w:color="auto"/>
              <w:left w:val="nil" w:sz="6" w:space="0" w:color="auto"/>
              <w:bottom w:val="nil" w:sz="6" w:space="0" w:color="auto"/>
              <w:right w:val="nil" w:sz="6" w:space="0" w:color="auto"/>
            </w:tcBorders>
          </w:tcPr>
          <w:p>
            <w:pPr>
              <w:pStyle w:val="TableParagraph"/>
              <w:tabs>
                <w:tab w:pos="1238" w:val="left" w:leader="none"/>
              </w:tabs>
              <w:spacing w:line="240" w:lineRule="auto"/>
              <w:ind w:right="0"/>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  </w:t>
            </w:r>
            <w:r>
              <w:rPr>
                <w:rFonts w:ascii="Arial"/>
                <w:spacing w:val="-10"/>
                <w:sz w:val="16"/>
                <w:u w:val="single" w:color="000000"/>
              </w:rPr>
              <w:t> </w:t>
            </w:r>
            <w:r>
              <w:rPr>
                <w:rFonts w:ascii="Arial"/>
                <w:w w:val="95"/>
                <w:sz w:val="16"/>
                <w:u w:val="single" w:color="000000"/>
              </w:rPr>
              <w:t>2,767,514,218</w:t>
            </w:r>
            <w:r>
              <w:rPr>
                <w:rFonts w:ascii="Arial"/>
                <w:sz w:val="16"/>
                <w:u w:val="single" w:color="000000"/>
              </w:rPr>
              <w:tab/>
            </w:r>
            <w:r>
              <w:rPr>
                <w:rFonts w:ascii="Arial"/>
                <w:sz w:val="16"/>
              </w:rPr>
            </w:r>
          </w:p>
        </w:tc>
        <w:tc>
          <w:tcPr>
            <w:tcW w:w="235" w:type="dxa"/>
            <w:tcBorders>
              <w:top w:val="nil" w:sz="6" w:space="0" w:color="auto"/>
              <w:left w:val="nil" w:sz="6" w:space="0" w:color="auto"/>
              <w:bottom w:val="nil" w:sz="6" w:space="0" w:color="auto"/>
              <w:right w:val="nil" w:sz="6" w:space="0" w:color="auto"/>
            </w:tcBorders>
          </w:tcPr>
          <w:p>
            <w:pPr/>
          </w:p>
        </w:tc>
        <w:tc>
          <w:tcPr>
            <w:tcW w:w="792" w:type="dxa"/>
            <w:tcBorders>
              <w:top w:val="nil" w:sz="6" w:space="0" w:color="auto"/>
              <w:left w:val="nil" w:sz="6" w:space="0" w:color="auto"/>
              <w:bottom w:val="nil" w:sz="6" w:space="0" w:color="auto"/>
              <w:right w:val="nil" w:sz="6" w:space="0" w:color="auto"/>
            </w:tcBorders>
          </w:tcPr>
          <w:p>
            <w:pPr>
              <w:pStyle w:val="TableParagraph"/>
              <w:tabs>
                <w:tab w:pos="345" w:val="left" w:leader="none"/>
                <w:tab w:pos="791" w:val="left" w:leader="none"/>
              </w:tabs>
              <w:spacing w:line="240" w:lineRule="auto"/>
              <w:ind w:right="0"/>
              <w:jc w:val="lef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ab/>
              <w:t>83.45</w:t>
              <w:tab/>
            </w:r>
            <w:r>
              <w:rPr>
                <w:rFonts w:ascii="Arial"/>
                <w:sz w:val="16"/>
              </w:rPr>
            </w:r>
          </w:p>
        </w:tc>
        <w:tc>
          <w:tcPr>
            <w:tcW w:w="235" w:type="dxa"/>
            <w:tcBorders>
              <w:top w:val="nil" w:sz="6" w:space="0" w:color="auto"/>
              <w:left w:val="nil" w:sz="6" w:space="0" w:color="auto"/>
              <w:bottom w:val="nil" w:sz="6" w:space="0" w:color="auto"/>
              <w:right w:val="nil" w:sz="6" w:space="0" w:color="auto"/>
            </w:tcBorders>
          </w:tcPr>
          <w:p>
            <w:pPr/>
          </w:p>
        </w:tc>
        <w:tc>
          <w:tcPr>
            <w:tcW w:w="1310" w:type="dxa"/>
            <w:tcBorders>
              <w:top w:val="nil" w:sz="6" w:space="0" w:color="auto"/>
              <w:left w:val="nil" w:sz="6" w:space="0" w:color="auto"/>
              <w:bottom w:val="nil" w:sz="6" w:space="0" w:color="auto"/>
              <w:right w:val="nil" w:sz="6" w:space="0" w:color="auto"/>
            </w:tcBorders>
          </w:tcPr>
          <w:p>
            <w:pPr>
              <w:pStyle w:val="TableParagraph"/>
              <w:tabs>
                <w:tab w:pos="1214" w:val="left" w:leader="none"/>
              </w:tabs>
              <w:spacing w:line="240" w:lineRule="auto"/>
              <w:ind w:right="94"/>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  </w:t>
            </w:r>
            <w:r>
              <w:rPr>
                <w:rFonts w:ascii="Arial"/>
                <w:spacing w:val="-15"/>
                <w:sz w:val="16"/>
                <w:u w:val="single" w:color="000000"/>
              </w:rPr>
              <w:t> </w:t>
            </w:r>
            <w:r>
              <w:rPr>
                <w:rFonts w:ascii="Arial"/>
                <w:w w:val="95"/>
                <w:sz w:val="16"/>
                <w:u w:val="single" w:color="000000"/>
              </w:rPr>
              <w:t>(153,605,009)</w:t>
            </w:r>
            <w:r>
              <w:rPr>
                <w:rFonts w:ascii="Arial"/>
                <w:sz w:val="16"/>
                <w:u w:val="single" w:color="000000"/>
              </w:rPr>
              <w:tab/>
            </w:r>
            <w:r>
              <w:rPr>
                <w:rFonts w:ascii="Arial"/>
                <w:sz w:val="16"/>
              </w:rPr>
            </w:r>
          </w:p>
        </w:tc>
        <w:tc>
          <w:tcPr>
            <w:tcW w:w="275" w:type="dxa"/>
            <w:tcBorders>
              <w:top w:val="nil" w:sz="6" w:space="0" w:color="auto"/>
              <w:left w:val="nil" w:sz="6" w:space="0" w:color="auto"/>
              <w:bottom w:val="nil" w:sz="6" w:space="0" w:color="auto"/>
              <w:right w:val="nil" w:sz="6" w:space="0" w:color="auto"/>
            </w:tcBorders>
          </w:tcPr>
          <w:p>
            <w:pPr/>
          </w:p>
        </w:tc>
        <w:tc>
          <w:tcPr>
            <w:tcW w:w="671" w:type="dxa"/>
            <w:tcBorders>
              <w:top w:val="nil" w:sz="6" w:space="0" w:color="auto"/>
              <w:left w:val="nil" w:sz="6" w:space="0" w:color="auto"/>
              <w:bottom w:val="nil" w:sz="6" w:space="0" w:color="auto"/>
              <w:right w:val="nil" w:sz="6" w:space="0" w:color="auto"/>
            </w:tcBorders>
          </w:tcPr>
          <w:p>
            <w:pPr>
              <w:pStyle w:val="TableParagraph"/>
              <w:spacing w:line="240" w:lineRule="auto"/>
              <w:ind w:left="248" w:right="0"/>
              <w:jc w:val="left"/>
              <w:rPr>
                <w:rFonts w:ascii="Arial" w:hAnsi="Arial" w:cs="Arial" w:eastAsia="Arial" w:hint="default"/>
                <w:sz w:val="16"/>
                <w:szCs w:val="16"/>
              </w:rPr>
            </w:pPr>
            <w:r>
              <w:rPr>
                <w:rFonts w:ascii="Arial"/>
                <w:sz w:val="16"/>
              </w:rPr>
              <w:t>5.55</w:t>
            </w:r>
          </w:p>
        </w:tc>
        <w:tc>
          <w:tcPr>
            <w:tcW w:w="235"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Style w:val="TableParagraph"/>
              <w:tabs>
                <w:tab w:pos="1252" w:val="left" w:leader="none"/>
              </w:tabs>
              <w:spacing w:line="240" w:lineRule="auto"/>
              <w:ind w:right="-1"/>
              <w:jc w:val="center"/>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 </w:t>
            </w:r>
            <w:r>
              <w:rPr>
                <w:rFonts w:ascii="Arial"/>
                <w:spacing w:val="-13"/>
                <w:sz w:val="16"/>
                <w:u w:val="single" w:color="000000"/>
              </w:rPr>
              <w:t> </w:t>
            </w:r>
            <w:r>
              <w:rPr>
                <w:rFonts w:ascii="Arial"/>
                <w:sz w:val="16"/>
                <w:u w:val="single" w:color="000000"/>
              </w:rPr>
              <w:t>2,613,909,209</w:t>
              <w:tab/>
            </w:r>
            <w:r>
              <w:rPr>
                <w:rFonts w:ascii="Arial"/>
                <w:sz w:val="16"/>
              </w:rPr>
            </w:r>
          </w:p>
        </w:tc>
        <w:tc>
          <w:tcPr>
            <w:tcW w:w="1474" w:type="dxa"/>
            <w:gridSpan w:val="2"/>
            <w:tcBorders>
              <w:top w:val="nil" w:sz="6" w:space="0" w:color="auto"/>
              <w:left w:val="nil" w:sz="6" w:space="0" w:color="auto"/>
              <w:bottom w:val="nil" w:sz="6" w:space="0" w:color="auto"/>
              <w:right w:val="nil" w:sz="6" w:space="0" w:color="auto"/>
            </w:tcBorders>
          </w:tcPr>
          <w:p>
            <w:pPr>
              <w:pStyle w:val="TableParagraph"/>
              <w:tabs>
                <w:tab w:pos="1473" w:val="left" w:leader="none"/>
              </w:tabs>
              <w:spacing w:line="240" w:lineRule="auto"/>
              <w:ind w:left="235" w:right="0"/>
              <w:jc w:val="lef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pacing w:val="17"/>
                <w:sz w:val="16"/>
                <w:u w:val="single" w:color="000000"/>
              </w:rPr>
              <w:t> </w:t>
            </w:r>
            <w:r>
              <w:rPr>
                <w:rFonts w:ascii="Arial"/>
                <w:sz w:val="16"/>
                <w:u w:val="single" w:color="000000"/>
              </w:rPr>
              <w:t>2,422,604,118</w:t>
              <w:tab/>
            </w:r>
            <w:r>
              <w:rPr>
                <w:rFonts w:ascii="Arial"/>
                <w:sz w:val="16"/>
              </w:rPr>
            </w:r>
          </w:p>
        </w:tc>
        <w:tc>
          <w:tcPr>
            <w:tcW w:w="240" w:type="dxa"/>
            <w:tcBorders>
              <w:top w:val="nil" w:sz="6" w:space="0" w:color="auto"/>
              <w:left w:val="nil" w:sz="6" w:space="0" w:color="auto"/>
              <w:bottom w:val="nil" w:sz="6" w:space="0" w:color="auto"/>
              <w:right w:val="nil" w:sz="6" w:space="0" w:color="auto"/>
            </w:tcBorders>
          </w:tcPr>
          <w:p>
            <w:pPr/>
          </w:p>
        </w:tc>
        <w:tc>
          <w:tcPr>
            <w:tcW w:w="840" w:type="dxa"/>
            <w:tcBorders>
              <w:top w:val="nil" w:sz="6" w:space="0" w:color="auto"/>
              <w:left w:val="nil" w:sz="6" w:space="0" w:color="auto"/>
              <w:bottom w:val="nil" w:sz="6" w:space="0" w:color="auto"/>
              <w:right w:val="nil" w:sz="6" w:space="0" w:color="auto"/>
            </w:tcBorders>
          </w:tcPr>
          <w:p>
            <w:pPr>
              <w:pStyle w:val="TableParagraph"/>
              <w:tabs>
                <w:tab w:pos="331" w:val="left" w:leader="none"/>
                <w:tab w:pos="839" w:val="left" w:leader="none"/>
              </w:tabs>
              <w:spacing w:line="240" w:lineRule="auto"/>
              <w:ind w:right="0"/>
              <w:jc w:val="lef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ab/>
              <w:t>71.66</w:t>
              <w:tab/>
            </w:r>
            <w:r>
              <w:rPr>
                <w:rFonts w:ascii="Arial"/>
                <w:sz w:val="16"/>
              </w:rPr>
            </w:r>
          </w:p>
        </w:tc>
        <w:tc>
          <w:tcPr>
            <w:tcW w:w="1450" w:type="dxa"/>
            <w:gridSpan w:val="2"/>
            <w:tcBorders>
              <w:top w:val="nil" w:sz="6" w:space="0" w:color="auto"/>
              <w:left w:val="nil" w:sz="6" w:space="0" w:color="auto"/>
              <w:bottom w:val="nil" w:sz="6" w:space="0" w:color="auto"/>
              <w:right w:val="nil" w:sz="6" w:space="0" w:color="auto"/>
            </w:tcBorders>
          </w:tcPr>
          <w:p>
            <w:pPr>
              <w:pStyle w:val="TableParagraph"/>
              <w:tabs>
                <w:tab w:pos="1449" w:val="left" w:leader="none"/>
              </w:tabs>
              <w:spacing w:line="240" w:lineRule="auto"/>
              <w:ind w:left="235" w:right="0"/>
              <w:jc w:val="lef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pacing w:val="21"/>
                <w:sz w:val="16"/>
                <w:u w:val="single" w:color="000000"/>
              </w:rPr>
              <w:t> </w:t>
            </w:r>
            <w:r>
              <w:rPr>
                <w:rFonts w:ascii="Arial"/>
                <w:sz w:val="16"/>
                <w:u w:val="single" w:color="000000"/>
              </w:rPr>
              <w:t>(156,699,715)</w:t>
              <w:tab/>
            </w:r>
            <w:r>
              <w:rPr>
                <w:rFonts w:ascii="Arial"/>
                <w:sz w:val="16"/>
              </w:rPr>
            </w:r>
          </w:p>
        </w:tc>
        <w:tc>
          <w:tcPr>
            <w:tcW w:w="380" w:type="dxa"/>
            <w:tcBorders>
              <w:top w:val="nil" w:sz="6" w:space="0" w:color="auto"/>
              <w:left w:val="nil" w:sz="6" w:space="0" w:color="auto"/>
              <w:bottom w:val="nil" w:sz="6" w:space="0" w:color="auto"/>
              <w:right w:val="nil" w:sz="6" w:space="0" w:color="auto"/>
            </w:tcBorders>
          </w:tcPr>
          <w:p>
            <w:pPr/>
          </w:p>
        </w:tc>
        <w:tc>
          <w:tcPr>
            <w:tcW w:w="671" w:type="dxa"/>
            <w:tcBorders>
              <w:top w:val="nil" w:sz="6" w:space="0" w:color="auto"/>
              <w:left w:val="nil" w:sz="6" w:space="0" w:color="auto"/>
              <w:bottom w:val="nil" w:sz="6" w:space="0" w:color="auto"/>
              <w:right w:val="nil" w:sz="6" w:space="0" w:color="auto"/>
            </w:tcBorders>
          </w:tcPr>
          <w:p>
            <w:pPr>
              <w:pStyle w:val="TableParagraph"/>
              <w:spacing w:line="240" w:lineRule="auto"/>
              <w:ind w:left="253" w:right="0"/>
              <w:jc w:val="left"/>
              <w:rPr>
                <w:rFonts w:ascii="Arial" w:hAnsi="Arial" w:cs="Arial" w:eastAsia="Arial" w:hint="default"/>
                <w:sz w:val="16"/>
                <w:szCs w:val="16"/>
              </w:rPr>
            </w:pPr>
            <w:r>
              <w:rPr>
                <w:rFonts w:ascii="Arial"/>
                <w:sz w:val="16"/>
              </w:rPr>
              <w:t>6.47</w:t>
            </w:r>
          </w:p>
        </w:tc>
        <w:tc>
          <w:tcPr>
            <w:tcW w:w="235" w:type="dxa"/>
            <w:tcBorders>
              <w:top w:val="nil" w:sz="6" w:space="0" w:color="auto"/>
              <w:left w:val="nil" w:sz="6" w:space="0" w:color="auto"/>
              <w:bottom w:val="nil" w:sz="6" w:space="0" w:color="auto"/>
              <w:right w:val="nil" w:sz="6" w:space="0" w:color="auto"/>
            </w:tcBorders>
          </w:tcPr>
          <w:p>
            <w:pPr/>
          </w:p>
        </w:tc>
        <w:tc>
          <w:tcPr>
            <w:tcW w:w="1248" w:type="dxa"/>
            <w:tcBorders>
              <w:top w:val="nil" w:sz="6" w:space="0" w:color="auto"/>
              <w:left w:val="nil" w:sz="6" w:space="0" w:color="auto"/>
              <w:bottom w:val="nil" w:sz="6" w:space="0" w:color="auto"/>
              <w:right w:val="nil" w:sz="6" w:space="0" w:color="auto"/>
            </w:tcBorders>
          </w:tcPr>
          <w:p>
            <w:pPr>
              <w:pStyle w:val="TableParagraph"/>
              <w:tabs>
                <w:tab w:pos="1247" w:val="left" w:leader="none"/>
              </w:tabs>
              <w:spacing w:line="240" w:lineRule="auto"/>
              <w:ind w:right="0"/>
              <w:jc w:val="lef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 </w:t>
            </w:r>
            <w:r>
              <w:rPr>
                <w:rFonts w:ascii="Arial"/>
                <w:spacing w:val="-18"/>
                <w:sz w:val="16"/>
                <w:u w:val="single" w:color="000000"/>
              </w:rPr>
              <w:t> </w:t>
            </w:r>
            <w:r>
              <w:rPr>
                <w:rFonts w:ascii="Arial"/>
                <w:sz w:val="16"/>
                <w:u w:val="single" w:color="000000"/>
              </w:rPr>
              <w:t>2,265,904,403</w:t>
              <w:tab/>
            </w:r>
            <w:r>
              <w:rPr>
                <w:rFonts w:ascii="Arial"/>
                <w:sz w:val="16"/>
              </w:rPr>
            </w:r>
          </w:p>
        </w:tc>
      </w:tr>
      <w:tr>
        <w:trPr>
          <w:trHeight w:val="307" w:hRule="exact"/>
        </w:trPr>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45"/>
              <w:ind w:left="209" w:right="0"/>
              <w:jc w:val="left"/>
              <w:rPr>
                <w:rFonts w:ascii="宋体" w:hAnsi="宋体" w:cs="宋体" w:eastAsia="宋体" w:hint="default"/>
                <w:sz w:val="16"/>
                <w:szCs w:val="16"/>
              </w:rPr>
            </w:pPr>
            <w:r>
              <w:rPr>
                <w:rFonts w:ascii="宋体" w:hAnsi="宋体" w:cs="宋体" w:eastAsia="宋体" w:hint="default"/>
                <w:sz w:val="16"/>
                <w:szCs w:val="16"/>
              </w:rPr>
              <w:t>合计</w:t>
            </w:r>
            <w:r>
              <w:rPr>
                <w:rFonts w:ascii="宋体" w:hAnsi="宋体" w:cs="宋体" w:eastAsia="宋体" w:hint="default"/>
                <w:sz w:val="16"/>
                <w:szCs w:val="16"/>
              </w:rPr>
              <w:t> </w:t>
            </w:r>
          </w:p>
        </w:tc>
        <w:tc>
          <w:tcPr>
            <w:tcW w:w="227"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48"/>
              <w:jc w:val="right"/>
              <w:rPr>
                <w:rFonts w:ascii="宋体" w:hAnsi="宋体" w:cs="宋体" w:eastAsia="宋体" w:hint="default"/>
                <w:sz w:val="16"/>
                <w:szCs w:val="16"/>
              </w:rPr>
            </w:pPr>
            <w:r>
              <w:rPr>
                <w:rFonts w:ascii="宋体"/>
                <w:w w:val="98"/>
                <w:sz w:val="16"/>
              </w:rPr>
              <w:t> </w:t>
            </w:r>
            <w:r>
              <w:rPr>
                <w:rFonts w:ascii="宋体"/>
                <w:sz w:val="16"/>
              </w:rPr>
            </w:r>
          </w:p>
        </w:tc>
        <w:tc>
          <w:tcPr>
            <w:tcW w:w="1238" w:type="dxa"/>
            <w:tcBorders>
              <w:top w:val="nil" w:sz="6" w:space="0" w:color="auto"/>
              <w:left w:val="nil" w:sz="6" w:space="0" w:color="auto"/>
              <w:bottom w:val="single" w:sz="17" w:space="0" w:color="000000"/>
              <w:right w:val="nil" w:sz="6" w:space="0" w:color="auto"/>
            </w:tcBorders>
          </w:tcPr>
          <w:p>
            <w:pPr>
              <w:pStyle w:val="TableParagraph"/>
              <w:spacing w:line="240" w:lineRule="auto" w:before="96"/>
              <w:ind w:right="48"/>
              <w:jc w:val="right"/>
              <w:rPr>
                <w:rFonts w:ascii="Arial" w:hAnsi="Arial" w:cs="Arial" w:eastAsia="Arial" w:hint="default"/>
                <w:sz w:val="16"/>
                <w:szCs w:val="16"/>
              </w:rPr>
            </w:pPr>
            <w:r>
              <w:rPr>
                <w:rFonts w:ascii="Arial"/>
                <w:w w:val="95"/>
                <w:sz w:val="16"/>
              </w:rPr>
              <w:t>3,316,401,054</w:t>
            </w:r>
            <w:r>
              <w:rPr>
                <w:rFonts w:ascii="Arial"/>
                <w:sz w:val="16"/>
              </w:rPr>
            </w:r>
          </w:p>
        </w:tc>
        <w:tc>
          <w:tcPr>
            <w:tcW w:w="235" w:type="dxa"/>
            <w:tcBorders>
              <w:top w:val="nil" w:sz="6" w:space="0" w:color="auto"/>
              <w:left w:val="nil" w:sz="6" w:space="0" w:color="auto"/>
              <w:bottom w:val="nil" w:sz="6" w:space="0" w:color="auto"/>
              <w:right w:val="nil" w:sz="6" w:space="0" w:color="auto"/>
            </w:tcBorders>
          </w:tcPr>
          <w:p>
            <w:pPr/>
          </w:p>
        </w:tc>
        <w:tc>
          <w:tcPr>
            <w:tcW w:w="792" w:type="dxa"/>
            <w:tcBorders>
              <w:top w:val="nil" w:sz="6" w:space="0" w:color="auto"/>
              <w:left w:val="nil" w:sz="6" w:space="0" w:color="auto"/>
              <w:bottom w:val="single" w:sz="17" w:space="0" w:color="000000"/>
              <w:right w:val="nil" w:sz="6" w:space="0" w:color="auto"/>
            </w:tcBorders>
          </w:tcPr>
          <w:p>
            <w:pPr>
              <w:pStyle w:val="TableParagraph"/>
              <w:spacing w:line="240" w:lineRule="auto" w:before="96"/>
              <w:ind w:right="45"/>
              <w:jc w:val="right"/>
              <w:rPr>
                <w:rFonts w:ascii="Arial" w:hAnsi="Arial" w:cs="Arial" w:eastAsia="Arial" w:hint="default"/>
                <w:sz w:val="16"/>
                <w:szCs w:val="16"/>
              </w:rPr>
            </w:pPr>
            <w:r>
              <w:rPr>
                <w:rFonts w:ascii="Arial"/>
                <w:w w:val="95"/>
                <w:sz w:val="16"/>
              </w:rPr>
              <w:t>100.00</w:t>
            </w:r>
            <w:r>
              <w:rPr>
                <w:rFonts w:ascii="Arial"/>
                <w:sz w:val="16"/>
              </w:rPr>
            </w:r>
          </w:p>
        </w:tc>
        <w:tc>
          <w:tcPr>
            <w:tcW w:w="235" w:type="dxa"/>
            <w:tcBorders>
              <w:top w:val="nil" w:sz="6" w:space="0" w:color="auto"/>
              <w:left w:val="nil" w:sz="6" w:space="0" w:color="auto"/>
              <w:bottom w:val="nil" w:sz="6" w:space="0" w:color="auto"/>
              <w:right w:val="nil" w:sz="6" w:space="0" w:color="auto"/>
            </w:tcBorders>
          </w:tcPr>
          <w:p>
            <w:pPr/>
          </w:p>
        </w:tc>
        <w:tc>
          <w:tcPr>
            <w:tcW w:w="1310" w:type="dxa"/>
            <w:tcBorders>
              <w:top w:val="nil" w:sz="6" w:space="0" w:color="auto"/>
              <w:left w:val="nil" w:sz="6" w:space="0" w:color="auto"/>
              <w:bottom w:val="single" w:sz="17" w:space="0" w:color="000000"/>
              <w:right w:val="nil" w:sz="6" w:space="0" w:color="auto"/>
            </w:tcBorders>
          </w:tcPr>
          <w:p>
            <w:pPr>
              <w:pStyle w:val="TableParagraph"/>
              <w:spacing w:line="240" w:lineRule="auto" w:before="96"/>
              <w:ind w:right="152"/>
              <w:jc w:val="right"/>
              <w:rPr>
                <w:rFonts w:ascii="Arial" w:hAnsi="Arial" w:cs="Arial" w:eastAsia="Arial" w:hint="default"/>
                <w:sz w:val="16"/>
                <w:szCs w:val="16"/>
              </w:rPr>
            </w:pPr>
            <w:r>
              <w:rPr>
                <w:rFonts w:ascii="Arial"/>
                <w:w w:val="95"/>
                <w:sz w:val="16"/>
              </w:rPr>
              <w:t>(579,779,619)</w:t>
            </w:r>
            <w:r>
              <w:rPr>
                <w:rFonts w:ascii="Arial"/>
                <w:sz w:val="16"/>
              </w:rPr>
            </w:r>
          </w:p>
        </w:tc>
        <w:tc>
          <w:tcPr>
            <w:tcW w:w="275" w:type="dxa"/>
            <w:tcBorders>
              <w:top w:val="nil" w:sz="6" w:space="0" w:color="auto"/>
              <w:left w:val="nil" w:sz="6" w:space="0" w:color="auto"/>
              <w:bottom w:val="nil" w:sz="6" w:space="0" w:color="auto"/>
              <w:right w:val="nil" w:sz="6" w:space="0" w:color="auto"/>
            </w:tcBorders>
          </w:tcPr>
          <w:p>
            <w:pPr/>
          </w:p>
        </w:tc>
        <w:tc>
          <w:tcPr>
            <w:tcW w:w="671"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62" w:right="0"/>
              <w:jc w:val="left"/>
              <w:rPr>
                <w:rFonts w:ascii="Arial" w:hAnsi="Arial" w:cs="Arial" w:eastAsia="Arial" w:hint="default"/>
                <w:sz w:val="16"/>
                <w:szCs w:val="16"/>
              </w:rPr>
            </w:pPr>
            <w:r>
              <w:rPr>
                <w:rFonts w:ascii="Arial"/>
                <w:sz w:val="16"/>
              </w:rPr>
              <w:t>17.48</w:t>
            </w:r>
          </w:p>
        </w:tc>
        <w:tc>
          <w:tcPr>
            <w:tcW w:w="235"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single" w:sz="17" w:space="0" w:color="000000"/>
              <w:right w:val="nil" w:sz="6" w:space="0" w:color="auto"/>
            </w:tcBorders>
          </w:tcPr>
          <w:p>
            <w:pPr>
              <w:pStyle w:val="TableParagraph"/>
              <w:spacing w:line="240" w:lineRule="auto" w:before="96"/>
              <w:ind w:left="6" w:right="0"/>
              <w:jc w:val="center"/>
              <w:rPr>
                <w:rFonts w:ascii="Arial" w:hAnsi="Arial" w:cs="Arial" w:eastAsia="Arial" w:hint="default"/>
                <w:sz w:val="16"/>
                <w:szCs w:val="16"/>
              </w:rPr>
            </w:pPr>
            <w:r>
              <w:rPr>
                <w:rFonts w:ascii="Arial"/>
                <w:sz w:val="16"/>
              </w:rPr>
              <w:t>2,736,621,435</w:t>
            </w:r>
          </w:p>
        </w:tc>
        <w:tc>
          <w:tcPr>
            <w:tcW w:w="147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6"/>
              <w:ind w:left="340" w:right="0"/>
              <w:jc w:val="left"/>
              <w:rPr>
                <w:rFonts w:ascii="Arial" w:hAnsi="Arial" w:cs="Arial" w:eastAsia="Arial" w:hint="default"/>
                <w:sz w:val="16"/>
                <w:szCs w:val="16"/>
              </w:rPr>
            </w:pPr>
            <w:r>
              <w:rPr>
                <w:rFonts w:ascii="Arial"/>
                <w:sz w:val="16"/>
              </w:rPr>
              <w:t>3,380,576,638</w:t>
            </w:r>
          </w:p>
        </w:tc>
        <w:tc>
          <w:tcPr>
            <w:tcW w:w="240" w:type="dxa"/>
            <w:tcBorders>
              <w:top w:val="nil" w:sz="6" w:space="0" w:color="auto"/>
              <w:left w:val="nil" w:sz="6" w:space="0" w:color="auto"/>
              <w:bottom w:val="nil" w:sz="6" w:space="0" w:color="auto"/>
              <w:right w:val="nil" w:sz="6" w:space="0" w:color="auto"/>
            </w:tcBorders>
          </w:tcPr>
          <w:p>
            <w:pPr/>
          </w:p>
        </w:tc>
        <w:tc>
          <w:tcPr>
            <w:tcW w:w="840" w:type="dxa"/>
            <w:tcBorders>
              <w:top w:val="nil" w:sz="6" w:space="0" w:color="auto"/>
              <w:left w:val="nil" w:sz="6" w:space="0" w:color="auto"/>
              <w:bottom w:val="single" w:sz="17" w:space="0" w:color="000000"/>
              <w:right w:val="nil" w:sz="6" w:space="0" w:color="auto"/>
            </w:tcBorders>
          </w:tcPr>
          <w:p>
            <w:pPr>
              <w:pStyle w:val="TableParagraph"/>
              <w:spacing w:line="240" w:lineRule="auto" w:before="96"/>
              <w:ind w:left="240" w:right="0"/>
              <w:jc w:val="left"/>
              <w:rPr>
                <w:rFonts w:ascii="Arial" w:hAnsi="Arial" w:cs="Arial" w:eastAsia="Arial" w:hint="default"/>
                <w:sz w:val="16"/>
                <w:szCs w:val="16"/>
              </w:rPr>
            </w:pPr>
            <w:r>
              <w:rPr>
                <w:rFonts w:ascii="Arial"/>
                <w:sz w:val="16"/>
              </w:rPr>
              <w:t>100.00</w:t>
            </w:r>
          </w:p>
        </w:tc>
        <w:tc>
          <w:tcPr>
            <w:tcW w:w="145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6"/>
              <w:ind w:left="345" w:right="0"/>
              <w:jc w:val="left"/>
              <w:rPr>
                <w:rFonts w:ascii="Arial" w:hAnsi="Arial" w:cs="Arial" w:eastAsia="Arial" w:hint="default"/>
                <w:sz w:val="16"/>
                <w:szCs w:val="16"/>
              </w:rPr>
            </w:pPr>
            <w:r>
              <w:rPr>
                <w:rFonts w:ascii="Arial"/>
                <w:sz w:val="16"/>
              </w:rPr>
              <w:t>(502,188,192)</w:t>
            </w:r>
          </w:p>
        </w:tc>
        <w:tc>
          <w:tcPr>
            <w:tcW w:w="380" w:type="dxa"/>
            <w:tcBorders>
              <w:top w:val="nil" w:sz="6" w:space="0" w:color="auto"/>
              <w:left w:val="nil" w:sz="6" w:space="0" w:color="auto"/>
              <w:bottom w:val="nil" w:sz="6" w:space="0" w:color="auto"/>
              <w:right w:val="nil" w:sz="6" w:space="0" w:color="auto"/>
            </w:tcBorders>
          </w:tcPr>
          <w:p>
            <w:pPr/>
          </w:p>
        </w:tc>
        <w:tc>
          <w:tcPr>
            <w:tcW w:w="671"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66" w:right="0"/>
              <w:jc w:val="left"/>
              <w:rPr>
                <w:rFonts w:ascii="Arial" w:hAnsi="Arial" w:cs="Arial" w:eastAsia="Arial" w:hint="default"/>
                <w:sz w:val="16"/>
                <w:szCs w:val="16"/>
              </w:rPr>
            </w:pPr>
            <w:r>
              <w:rPr>
                <w:rFonts w:ascii="Arial"/>
                <w:sz w:val="16"/>
              </w:rPr>
              <w:t>14.86</w:t>
            </w:r>
          </w:p>
        </w:tc>
        <w:tc>
          <w:tcPr>
            <w:tcW w:w="235" w:type="dxa"/>
            <w:tcBorders>
              <w:top w:val="nil" w:sz="6" w:space="0" w:color="auto"/>
              <w:left w:val="nil" w:sz="6" w:space="0" w:color="auto"/>
              <w:bottom w:val="nil" w:sz="6" w:space="0" w:color="auto"/>
              <w:right w:val="nil" w:sz="6" w:space="0" w:color="auto"/>
            </w:tcBorders>
          </w:tcPr>
          <w:p>
            <w:pPr/>
          </w:p>
        </w:tc>
        <w:tc>
          <w:tcPr>
            <w:tcW w:w="1248" w:type="dxa"/>
            <w:tcBorders>
              <w:top w:val="nil" w:sz="6" w:space="0" w:color="auto"/>
              <w:left w:val="nil" w:sz="6" w:space="0" w:color="auto"/>
              <w:bottom w:val="single" w:sz="17" w:space="0" w:color="000000"/>
              <w:right w:val="nil" w:sz="6" w:space="0" w:color="auto"/>
            </w:tcBorders>
          </w:tcPr>
          <w:p>
            <w:pPr>
              <w:pStyle w:val="TableParagraph"/>
              <w:spacing w:line="240" w:lineRule="auto" w:before="96"/>
              <w:ind w:left="115" w:right="0"/>
              <w:jc w:val="left"/>
              <w:rPr>
                <w:rFonts w:ascii="Arial" w:hAnsi="Arial" w:cs="Arial" w:eastAsia="Arial" w:hint="default"/>
                <w:sz w:val="16"/>
                <w:szCs w:val="16"/>
              </w:rPr>
            </w:pPr>
            <w:r>
              <w:rPr>
                <w:rFonts w:ascii="Arial"/>
                <w:sz w:val="16"/>
              </w:rPr>
              <w:t>2,878,388,446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p>
      <w:pPr>
        <w:spacing w:before="50"/>
        <w:ind w:left="7356" w:right="7276" w:firstLine="0"/>
        <w:jc w:val="center"/>
        <w:rPr>
          <w:rFonts w:ascii="宋体" w:hAnsi="宋体" w:cs="宋体" w:eastAsia="宋体" w:hint="default"/>
          <w:sz w:val="16"/>
          <w:szCs w:val="16"/>
        </w:rPr>
      </w:pPr>
      <w:r>
        <w:rPr>
          <w:rFonts w:ascii="宋体" w:hAnsi="宋体" w:cs="宋体" w:eastAsia="宋体" w:hint="default"/>
          <w:sz w:val="16"/>
          <w:szCs w:val="16"/>
        </w:rPr>
        <w:t>132／220</w:t>
      </w:r>
    </w:p>
    <w:p>
      <w:pPr>
        <w:spacing w:after="0"/>
        <w:jc w:val="center"/>
        <w:rPr>
          <w:rFonts w:ascii="宋体" w:hAnsi="宋体" w:cs="宋体" w:eastAsia="宋体" w:hint="default"/>
          <w:sz w:val="16"/>
          <w:szCs w:val="16"/>
        </w:rPr>
        <w:sectPr>
          <w:headerReference w:type="default" r:id="rId154"/>
          <w:footerReference w:type="default" r:id="rId155"/>
          <w:pgSz w:w="16840" w:h="11910" w:orient="landscape"/>
          <w:pgMar w:header="0" w:footer="0" w:top="1100" w:bottom="280" w:left="720" w:right="800"/>
        </w:sectPr>
      </w:pPr>
    </w:p>
    <w:p>
      <w:pPr>
        <w:spacing w:line="240" w:lineRule="auto" w:before="3"/>
        <w:rPr>
          <w:rFonts w:ascii="宋体" w:hAnsi="宋体" w:cs="宋体" w:eastAsia="宋体" w:hint="default"/>
          <w:sz w:val="17"/>
          <w:szCs w:val="17"/>
        </w:rPr>
      </w:pPr>
    </w:p>
    <w:tbl>
      <w:tblPr>
        <w:tblW w:w="0" w:type="auto"/>
        <w:jc w:val="left"/>
        <w:tblInd w:w="404" w:type="dxa"/>
        <w:tblLayout w:type="fixed"/>
        <w:tblCellMar>
          <w:top w:w="0" w:type="dxa"/>
          <w:left w:w="0" w:type="dxa"/>
          <w:bottom w:w="0" w:type="dxa"/>
          <w:right w:w="0" w:type="dxa"/>
        </w:tblCellMar>
        <w:tblLook w:val="01E0"/>
      </w:tblPr>
      <w:tblGrid>
        <w:gridCol w:w="3627"/>
        <w:gridCol w:w="2520"/>
        <w:gridCol w:w="228"/>
        <w:gridCol w:w="2806"/>
      </w:tblGrid>
      <w:tr>
        <w:trPr>
          <w:trHeight w:val="257" w:hRule="exact"/>
        </w:trPr>
        <w:tc>
          <w:tcPr>
            <w:tcW w:w="3627"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single" w:sz="4" w:space="0" w:color="000000"/>
              <w:right w:val="nil" w:sz="6" w:space="0" w:color="auto"/>
            </w:tcBorders>
          </w:tcPr>
          <w:p>
            <w:pPr>
              <w:pStyle w:val="TableParagraph"/>
              <w:spacing w:line="236" w:lineRule="exact"/>
              <w:ind w:left="1646"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228" w:type="dxa"/>
            <w:tcBorders>
              <w:top w:val="nil" w:sz="6" w:space="0" w:color="auto"/>
              <w:left w:val="nil" w:sz="6" w:space="0" w:color="auto"/>
              <w:bottom w:val="nil" w:sz="6" w:space="0" w:color="auto"/>
              <w:right w:val="nil" w:sz="6" w:space="0" w:color="auto"/>
            </w:tcBorders>
          </w:tcPr>
          <w:p>
            <w:pPr/>
          </w:p>
        </w:tc>
        <w:tc>
          <w:tcPr>
            <w:tcW w:w="2806" w:type="dxa"/>
            <w:tcBorders>
              <w:top w:val="nil" w:sz="6" w:space="0" w:color="auto"/>
              <w:left w:val="nil" w:sz="6" w:space="0" w:color="auto"/>
              <w:bottom w:val="single" w:sz="4" w:space="0" w:color="000000"/>
              <w:right w:val="nil" w:sz="6" w:space="0" w:color="auto"/>
            </w:tcBorders>
          </w:tcPr>
          <w:p>
            <w:pPr>
              <w:pStyle w:val="TableParagraph"/>
              <w:spacing w:line="236" w:lineRule="exact"/>
              <w:ind w:right="103"/>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tc>
      </w:tr>
      <w:tr>
        <w:trPr>
          <w:trHeight w:val="536" w:hRule="exact"/>
        </w:trPr>
        <w:tc>
          <w:tcPr>
            <w:tcW w:w="362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原金融工具准则下的余额</w:t>
            </w:r>
            <w:r>
              <w:rPr>
                <w:rFonts w:ascii="宋体" w:hAnsi="宋体" w:cs="宋体" w:eastAsia="宋体" w:hint="default"/>
                <w:sz w:val="22"/>
                <w:szCs w:val="22"/>
              </w:rPr>
              <w:t> </w:t>
            </w:r>
          </w:p>
        </w:tc>
        <w:tc>
          <w:tcPr>
            <w:tcW w:w="2520"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174"/>
              <w:jc w:val="right"/>
              <w:rPr>
                <w:rFonts w:ascii="Arial" w:hAnsi="Arial" w:cs="Arial" w:eastAsia="Arial" w:hint="default"/>
                <w:sz w:val="22"/>
                <w:szCs w:val="22"/>
              </w:rPr>
            </w:pPr>
            <w:r>
              <w:rPr>
                <w:rFonts w:ascii="Arial"/>
                <w:w w:val="100"/>
                <w:sz w:val="22"/>
              </w:rPr>
              <w:t>-</w:t>
            </w:r>
          </w:p>
        </w:tc>
        <w:tc>
          <w:tcPr>
            <w:tcW w:w="228" w:type="dxa"/>
            <w:tcBorders>
              <w:top w:val="nil" w:sz="6" w:space="0" w:color="auto"/>
              <w:left w:val="nil" w:sz="6" w:space="0" w:color="auto"/>
              <w:bottom w:val="nil" w:sz="6" w:space="0" w:color="auto"/>
              <w:right w:val="nil" w:sz="6" w:space="0" w:color="auto"/>
            </w:tcBorders>
          </w:tcPr>
          <w:p>
            <w:pPr/>
          </w:p>
        </w:tc>
        <w:tc>
          <w:tcPr>
            <w:tcW w:w="2806"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42"/>
              <w:jc w:val="right"/>
              <w:rPr>
                <w:rFonts w:ascii="Arial" w:hAnsi="Arial" w:cs="Arial" w:eastAsia="Arial" w:hint="default"/>
                <w:sz w:val="22"/>
                <w:szCs w:val="22"/>
              </w:rPr>
            </w:pPr>
            <w:r>
              <w:rPr>
                <w:rFonts w:ascii="Arial"/>
                <w:spacing w:val="-1"/>
                <w:sz w:val="22"/>
              </w:rPr>
              <w:t>(1,386,825,349)</w:t>
            </w:r>
            <w:r>
              <w:rPr>
                <w:rFonts w:ascii="Arial"/>
                <w:sz w:val="22"/>
              </w:rPr>
            </w:r>
          </w:p>
        </w:tc>
      </w:tr>
      <w:tr>
        <w:trPr>
          <w:trHeight w:val="530" w:hRule="exact"/>
        </w:trPr>
        <w:tc>
          <w:tcPr>
            <w:tcW w:w="3627"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重分类至合同资产</w:t>
            </w:r>
            <w:r>
              <w:rPr>
                <w:rFonts w:ascii="宋体" w:hAnsi="宋体" w:cs="宋体" w:eastAsia="宋体" w:hint="default"/>
                <w:sz w:val="22"/>
                <w:szCs w:val="22"/>
              </w:rPr>
              <w:t> </w:t>
            </w:r>
          </w:p>
        </w:tc>
        <w:tc>
          <w:tcPr>
            <w:tcW w:w="2520" w:type="dxa"/>
            <w:tcBorders>
              <w:top w:val="nil" w:sz="6" w:space="0" w:color="auto"/>
              <w:left w:val="nil" w:sz="6" w:space="0" w:color="auto"/>
              <w:bottom w:val="single" w:sz="4" w:space="0" w:color="000000"/>
              <w:right w:val="nil" w:sz="6" w:space="0" w:color="auto"/>
            </w:tcBorders>
          </w:tcPr>
          <w:p>
            <w:pPr>
              <w:pStyle w:val="TableParagraph"/>
              <w:spacing w:line="240" w:lineRule="auto" w:before="16"/>
              <w:ind w:right="188"/>
              <w:jc w:val="right"/>
              <w:rPr>
                <w:rFonts w:ascii="Arial" w:hAnsi="Arial" w:cs="Arial" w:eastAsia="Arial" w:hint="default"/>
                <w:sz w:val="22"/>
                <w:szCs w:val="22"/>
              </w:rPr>
            </w:pPr>
            <w:r>
              <w:rPr>
                <w:rFonts w:ascii="Arial"/>
                <w:w w:val="100"/>
                <w:sz w:val="22"/>
              </w:rPr>
              <w:t>-</w:t>
            </w:r>
          </w:p>
        </w:tc>
        <w:tc>
          <w:tcPr>
            <w:tcW w:w="228" w:type="dxa"/>
            <w:tcBorders>
              <w:top w:val="nil" w:sz="6" w:space="0" w:color="auto"/>
              <w:left w:val="nil" w:sz="6" w:space="0" w:color="auto"/>
              <w:bottom w:val="nil" w:sz="6" w:space="0" w:color="auto"/>
              <w:right w:val="nil" w:sz="6" w:space="0" w:color="auto"/>
            </w:tcBorders>
          </w:tcPr>
          <w:p>
            <w:pPr/>
          </w:p>
        </w:tc>
        <w:tc>
          <w:tcPr>
            <w:tcW w:w="2806" w:type="dxa"/>
            <w:tcBorders>
              <w:top w:val="nil" w:sz="6" w:space="0" w:color="auto"/>
              <w:left w:val="nil" w:sz="6" w:space="0" w:color="auto"/>
              <w:bottom w:val="single" w:sz="4" w:space="0" w:color="000000"/>
              <w:right w:val="nil" w:sz="6" w:space="0" w:color="auto"/>
            </w:tcBorders>
          </w:tcPr>
          <w:p>
            <w:pPr>
              <w:pStyle w:val="TableParagraph"/>
              <w:spacing w:line="240" w:lineRule="auto" w:before="16"/>
              <w:ind w:right="106"/>
              <w:jc w:val="right"/>
              <w:rPr>
                <w:rFonts w:ascii="Arial" w:hAnsi="Arial" w:cs="Arial" w:eastAsia="Arial" w:hint="default"/>
                <w:sz w:val="22"/>
                <w:szCs w:val="22"/>
              </w:rPr>
            </w:pPr>
            <w:r>
              <w:rPr>
                <w:rFonts w:ascii="Arial"/>
                <w:spacing w:val="-1"/>
                <w:sz w:val="22"/>
              </w:rPr>
              <w:t>896,482,127</w:t>
            </w:r>
          </w:p>
        </w:tc>
      </w:tr>
      <w:tr>
        <w:trPr>
          <w:trHeight w:val="430" w:hRule="exact"/>
        </w:trPr>
        <w:tc>
          <w:tcPr>
            <w:tcW w:w="3627" w:type="dxa"/>
            <w:tcBorders>
              <w:top w:val="nil" w:sz="6" w:space="0" w:color="auto"/>
              <w:left w:val="nil" w:sz="6" w:space="0" w:color="auto"/>
              <w:bottom w:val="nil" w:sz="6" w:space="0" w:color="auto"/>
              <w:right w:val="nil" w:sz="6" w:space="0" w:color="auto"/>
            </w:tcBorders>
          </w:tcPr>
          <w:p>
            <w:pPr>
              <w:pStyle w:val="TableParagraph"/>
              <w:spacing w:line="257" w:lineRule="exact"/>
              <w:ind w:left="200" w:right="0"/>
              <w:jc w:val="left"/>
              <w:rPr>
                <w:rFonts w:ascii="宋体" w:hAnsi="宋体" w:cs="宋体" w:eastAsia="宋体" w:hint="default"/>
                <w:sz w:val="22"/>
                <w:szCs w:val="22"/>
              </w:rPr>
            </w:pPr>
            <w:r>
              <w:rPr>
                <w:rFonts w:ascii="宋体" w:hAnsi="宋体" w:cs="宋体" w:eastAsia="宋体" w:hint="default"/>
                <w:sz w:val="22"/>
                <w:szCs w:val="22"/>
              </w:rPr>
              <w:t>调整后的年初余额</w:t>
            </w:r>
            <w:r>
              <w:rPr>
                <w:rFonts w:ascii="宋体" w:hAnsi="宋体" w:cs="宋体" w:eastAsia="宋体" w:hint="default"/>
                <w:sz w:val="22"/>
                <w:szCs w:val="22"/>
              </w:rPr>
              <w:t> </w:t>
            </w:r>
          </w:p>
        </w:tc>
        <w:tc>
          <w:tcPr>
            <w:tcW w:w="2520" w:type="dxa"/>
            <w:tcBorders>
              <w:top w:val="single" w:sz="4" w:space="0" w:color="000000"/>
              <w:left w:val="nil" w:sz="6" w:space="0" w:color="auto"/>
              <w:bottom w:val="nil" w:sz="6" w:space="0" w:color="auto"/>
              <w:right w:val="nil" w:sz="6" w:space="0" w:color="auto"/>
            </w:tcBorders>
          </w:tcPr>
          <w:p>
            <w:pPr>
              <w:pStyle w:val="TableParagraph"/>
              <w:spacing w:line="240" w:lineRule="auto" w:before="33"/>
              <w:ind w:left="1041" w:right="0"/>
              <w:jc w:val="left"/>
              <w:rPr>
                <w:rFonts w:ascii="Arial" w:hAnsi="Arial" w:cs="Arial" w:eastAsia="Arial" w:hint="default"/>
                <w:sz w:val="22"/>
                <w:szCs w:val="22"/>
              </w:rPr>
            </w:pPr>
            <w:r>
              <w:rPr>
                <w:rFonts w:ascii="Arial"/>
                <w:sz w:val="22"/>
              </w:rPr>
              <w:t>(502,188,192)</w:t>
            </w:r>
          </w:p>
        </w:tc>
        <w:tc>
          <w:tcPr>
            <w:tcW w:w="228" w:type="dxa"/>
            <w:tcBorders>
              <w:top w:val="nil" w:sz="6" w:space="0" w:color="auto"/>
              <w:left w:val="nil" w:sz="6" w:space="0" w:color="auto"/>
              <w:bottom w:val="nil" w:sz="6" w:space="0" w:color="auto"/>
              <w:right w:val="nil" w:sz="6" w:space="0" w:color="auto"/>
            </w:tcBorders>
          </w:tcPr>
          <w:p>
            <w:pPr/>
          </w:p>
        </w:tc>
        <w:tc>
          <w:tcPr>
            <w:tcW w:w="2806" w:type="dxa"/>
            <w:tcBorders>
              <w:top w:val="single" w:sz="4" w:space="0" w:color="000000"/>
              <w:left w:val="nil" w:sz="6" w:space="0" w:color="auto"/>
              <w:bottom w:val="nil" w:sz="6" w:space="0" w:color="auto"/>
              <w:right w:val="nil" w:sz="6" w:space="0" w:color="auto"/>
            </w:tcBorders>
          </w:tcPr>
          <w:p>
            <w:pPr>
              <w:pStyle w:val="TableParagraph"/>
              <w:spacing w:line="240" w:lineRule="auto" w:before="33"/>
              <w:ind w:right="37"/>
              <w:jc w:val="right"/>
              <w:rPr>
                <w:rFonts w:ascii="Arial" w:hAnsi="Arial" w:cs="Arial" w:eastAsia="Arial" w:hint="default"/>
                <w:sz w:val="22"/>
                <w:szCs w:val="22"/>
              </w:rPr>
            </w:pPr>
            <w:r>
              <w:rPr>
                <w:rFonts w:ascii="Arial"/>
                <w:sz w:val="22"/>
              </w:rPr>
              <w:t>(490,343,222)</w:t>
            </w:r>
          </w:p>
        </w:tc>
      </w:tr>
      <w:tr>
        <w:trPr>
          <w:trHeight w:val="413" w:hRule="exact"/>
        </w:trPr>
        <w:tc>
          <w:tcPr>
            <w:tcW w:w="3627"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00" w:right="0"/>
              <w:jc w:val="left"/>
              <w:rPr>
                <w:rFonts w:ascii="宋体" w:hAnsi="宋体" w:cs="宋体" w:eastAsia="宋体" w:hint="default"/>
                <w:sz w:val="22"/>
                <w:szCs w:val="22"/>
              </w:rPr>
            </w:pPr>
            <w:r>
              <w:rPr>
                <w:rFonts w:ascii="宋体" w:hAnsi="宋体" w:cs="宋体" w:eastAsia="宋体" w:hint="default"/>
                <w:sz w:val="22"/>
                <w:szCs w:val="22"/>
              </w:rPr>
              <w:t>本年计提和转回</w:t>
            </w:r>
            <w:r>
              <w:rPr>
                <w:rFonts w:ascii="宋体" w:hAnsi="宋体" w:cs="宋体" w:eastAsia="宋体" w:hint="default"/>
                <w:sz w:val="22"/>
                <w:szCs w:val="22"/>
              </w:rPr>
              <w:t> </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1161" w:right="0"/>
              <w:jc w:val="left"/>
              <w:rPr>
                <w:rFonts w:ascii="Arial" w:hAnsi="Arial" w:cs="Arial" w:eastAsia="Arial" w:hint="default"/>
                <w:sz w:val="22"/>
                <w:szCs w:val="22"/>
              </w:rPr>
            </w:pPr>
            <w:r>
              <w:rPr>
                <w:rFonts w:ascii="Arial"/>
                <w:sz w:val="22"/>
              </w:rPr>
              <w:t>(87,382,054)</w:t>
            </w:r>
          </w:p>
        </w:tc>
        <w:tc>
          <w:tcPr>
            <w:tcW w:w="228" w:type="dxa"/>
            <w:tcBorders>
              <w:top w:val="nil" w:sz="6" w:space="0" w:color="auto"/>
              <w:left w:val="nil" w:sz="6" w:space="0" w:color="auto"/>
              <w:bottom w:val="nil" w:sz="6" w:space="0" w:color="auto"/>
              <w:right w:val="nil" w:sz="6" w:space="0" w:color="auto"/>
            </w:tcBorders>
          </w:tcPr>
          <w:p>
            <w:pPr/>
          </w:p>
        </w:tc>
        <w:tc>
          <w:tcPr>
            <w:tcW w:w="2806"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37"/>
              <w:jc w:val="right"/>
              <w:rPr>
                <w:rFonts w:ascii="Arial" w:hAnsi="Arial" w:cs="Arial" w:eastAsia="Arial" w:hint="default"/>
                <w:sz w:val="22"/>
                <w:szCs w:val="22"/>
              </w:rPr>
            </w:pPr>
            <w:r>
              <w:rPr>
                <w:rFonts w:ascii="Arial"/>
                <w:sz w:val="22"/>
              </w:rPr>
              <w:t>(13,602,821)</w:t>
            </w:r>
          </w:p>
        </w:tc>
      </w:tr>
      <w:tr>
        <w:trPr>
          <w:trHeight w:val="415" w:hRule="exact"/>
        </w:trPr>
        <w:tc>
          <w:tcPr>
            <w:tcW w:w="3627"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本年核销</w:t>
            </w:r>
            <w:r>
              <w:rPr>
                <w:rFonts w:ascii="宋体" w:hAnsi="宋体" w:cs="宋体" w:eastAsia="宋体" w:hint="default"/>
                <w:sz w:val="22"/>
                <w:szCs w:val="22"/>
              </w:rPr>
              <w:t> </w:t>
            </w:r>
          </w:p>
        </w:tc>
        <w:tc>
          <w:tcPr>
            <w:tcW w:w="2520" w:type="dxa"/>
            <w:tcBorders>
              <w:top w:val="nil" w:sz="6" w:space="0" w:color="auto"/>
              <w:left w:val="nil" w:sz="6" w:space="0" w:color="auto"/>
              <w:bottom w:val="nil" w:sz="6" w:space="0" w:color="auto"/>
              <w:right w:val="nil" w:sz="6" w:space="0" w:color="auto"/>
            </w:tcBorders>
          </w:tcPr>
          <w:p>
            <w:pPr>
              <w:pStyle w:val="TableParagraph"/>
              <w:tabs>
                <w:tab w:pos="1348" w:val="left" w:leader="none"/>
                <w:tab w:pos="2519" w:val="left" w:leader="none"/>
              </w:tabs>
              <w:spacing w:line="240" w:lineRule="auto" w:before="16"/>
              <w:ind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9,790,627</w:t>
              <w:tab/>
            </w:r>
            <w:r>
              <w:rPr>
                <w:rFonts w:ascii="Arial"/>
                <w:sz w:val="22"/>
              </w:rPr>
            </w:r>
          </w:p>
        </w:tc>
        <w:tc>
          <w:tcPr>
            <w:tcW w:w="228" w:type="dxa"/>
            <w:tcBorders>
              <w:top w:val="nil" w:sz="6" w:space="0" w:color="auto"/>
              <w:left w:val="nil" w:sz="6" w:space="0" w:color="auto"/>
              <w:bottom w:val="nil" w:sz="6" w:space="0" w:color="auto"/>
              <w:right w:val="nil" w:sz="6" w:space="0" w:color="auto"/>
            </w:tcBorders>
          </w:tcPr>
          <w:p>
            <w:pPr/>
          </w:p>
        </w:tc>
        <w:tc>
          <w:tcPr>
            <w:tcW w:w="2806" w:type="dxa"/>
            <w:tcBorders>
              <w:top w:val="nil" w:sz="6" w:space="0" w:color="auto"/>
              <w:left w:val="nil" w:sz="6" w:space="0" w:color="auto"/>
              <w:bottom w:val="nil" w:sz="6" w:space="0" w:color="auto"/>
              <w:right w:val="nil" w:sz="6" w:space="0" w:color="auto"/>
            </w:tcBorders>
          </w:tcPr>
          <w:p>
            <w:pPr>
              <w:pStyle w:val="TableParagraph"/>
              <w:tabs>
                <w:tab w:pos="1708" w:val="left" w:leader="none"/>
                <w:tab w:pos="2798" w:val="left" w:leader="none"/>
              </w:tabs>
              <w:spacing w:line="240" w:lineRule="auto" w:before="16"/>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1,757,851</w:t>
              <w:tab/>
            </w:r>
            <w:r>
              <w:rPr>
                <w:rFonts w:ascii="Arial"/>
                <w:spacing w:val="-1"/>
                <w:sz w:val="22"/>
              </w:rPr>
            </w:r>
          </w:p>
        </w:tc>
      </w:tr>
      <w:tr>
        <w:trPr>
          <w:trHeight w:val="429" w:hRule="exact"/>
        </w:trPr>
        <w:tc>
          <w:tcPr>
            <w:tcW w:w="3627"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年末余额</w:t>
            </w:r>
            <w:r>
              <w:rPr>
                <w:rFonts w:ascii="宋体" w:hAnsi="宋体" w:cs="宋体" w:eastAsia="宋体" w:hint="default"/>
                <w:sz w:val="22"/>
                <w:szCs w:val="22"/>
              </w:rPr>
              <w:t> </w:t>
            </w:r>
          </w:p>
        </w:tc>
        <w:tc>
          <w:tcPr>
            <w:tcW w:w="2520"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left="1041" w:right="0"/>
              <w:jc w:val="left"/>
              <w:rPr>
                <w:rFonts w:ascii="Arial" w:hAnsi="Arial" w:cs="Arial" w:eastAsia="Arial" w:hint="default"/>
                <w:sz w:val="22"/>
                <w:szCs w:val="22"/>
              </w:rPr>
            </w:pPr>
            <w:r>
              <w:rPr>
                <w:rFonts w:ascii="Arial"/>
                <w:sz w:val="22"/>
              </w:rPr>
              <w:t>(579,779,619)</w:t>
            </w:r>
          </w:p>
        </w:tc>
        <w:tc>
          <w:tcPr>
            <w:tcW w:w="228" w:type="dxa"/>
            <w:tcBorders>
              <w:top w:val="nil" w:sz="6" w:space="0" w:color="auto"/>
              <w:left w:val="nil" w:sz="6" w:space="0" w:color="auto"/>
              <w:bottom w:val="nil" w:sz="6" w:space="0" w:color="auto"/>
              <w:right w:val="nil" w:sz="6" w:space="0" w:color="auto"/>
            </w:tcBorders>
          </w:tcPr>
          <w:p>
            <w:pPr/>
          </w:p>
        </w:tc>
        <w:tc>
          <w:tcPr>
            <w:tcW w:w="2806"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37"/>
              <w:jc w:val="right"/>
              <w:rPr>
                <w:rFonts w:ascii="Arial" w:hAnsi="Arial" w:cs="Arial" w:eastAsia="Arial" w:hint="default"/>
                <w:sz w:val="22"/>
                <w:szCs w:val="22"/>
              </w:rPr>
            </w:pPr>
            <w:r>
              <w:rPr>
                <w:rFonts w:ascii="Arial"/>
                <w:sz w:val="22"/>
              </w:rPr>
              <w:t>(502,188,192)</w:t>
            </w:r>
          </w:p>
        </w:tc>
      </w:tr>
    </w:tbl>
    <w:p>
      <w:pPr>
        <w:spacing w:line="240" w:lineRule="auto" w:before="0"/>
        <w:rPr>
          <w:rFonts w:ascii="宋体" w:hAnsi="宋体" w:cs="宋体" w:eastAsia="宋体" w:hint="default"/>
          <w:sz w:val="9"/>
          <w:szCs w:val="9"/>
        </w:rPr>
      </w:pPr>
    </w:p>
    <w:p>
      <w:pPr>
        <w:pStyle w:val="BodyText"/>
        <w:spacing w:line="240" w:lineRule="auto" w:before="32"/>
        <w:ind w:left="133" w:right="0"/>
        <w:jc w:val="left"/>
      </w:pPr>
      <w:r>
        <w:rPr>
          <w:rFonts w:ascii="Arial" w:hAnsi="Arial" w:cs="Arial" w:eastAsia="Arial" w:hint="default"/>
        </w:rPr>
        <w:t>(5) </w:t>
      </w:r>
      <w:r>
        <w:rPr>
          <w:rFonts w:ascii="Arial" w:hAnsi="Arial" w:cs="Arial" w:eastAsia="Arial" w:hint="default"/>
          <w:spacing w:val="34"/>
        </w:rPr>
        <w:t> </w:t>
      </w:r>
      <w:r>
        <w:rPr/>
        <w:t>本集团本年核销的其他应收款中无应收关联公司款项。</w:t>
      </w:r>
    </w:p>
    <w:p>
      <w:pPr>
        <w:spacing w:line="240" w:lineRule="auto" w:before="11"/>
        <w:rPr>
          <w:rFonts w:ascii="宋体" w:hAnsi="宋体" w:cs="宋体" w:eastAsia="宋体" w:hint="default"/>
          <w:sz w:val="17"/>
          <w:szCs w:val="17"/>
        </w:rPr>
      </w:pPr>
    </w:p>
    <w:p>
      <w:pPr>
        <w:pStyle w:val="BodyText"/>
        <w:spacing w:line="296" w:lineRule="exact"/>
        <w:ind w:left="133" w:right="0"/>
        <w:jc w:val="left"/>
      </w:pPr>
      <w:r>
        <w:rPr>
          <w:rFonts w:ascii="Arial" w:hAnsi="Arial" w:cs="Arial" w:eastAsia="Arial" w:hint="default"/>
        </w:rPr>
        <w:t>(6)  </w:t>
      </w:r>
      <w:r>
        <w:rPr/>
        <w:t>本集团年末余额前五名的其他应收款合计人民币 </w:t>
      </w:r>
      <w:r>
        <w:rPr>
          <w:rFonts w:ascii="Arial" w:hAnsi="Arial" w:cs="Arial" w:eastAsia="Arial" w:hint="default"/>
        </w:rPr>
        <w:t>4.21 </w:t>
      </w:r>
      <w:r>
        <w:rPr/>
        <w:t>亿元，占年末余额合计数的</w:t>
      </w:r>
      <w:r>
        <w:rPr>
          <w:spacing w:val="-62"/>
        </w:rPr>
        <w:t> </w:t>
      </w:r>
      <w:r>
        <w:rPr>
          <w:rFonts w:ascii="Arial" w:hAnsi="Arial" w:cs="Arial" w:eastAsia="Arial" w:hint="default"/>
        </w:rPr>
        <w:t>12.70%</w:t>
      </w:r>
      <w:r>
        <w:rPr/>
        <w:t>，计</w:t>
      </w:r>
    </w:p>
    <w:p>
      <w:pPr>
        <w:pStyle w:val="BodyText"/>
        <w:spacing w:line="296" w:lineRule="exact"/>
        <w:ind w:left="560" w:right="0"/>
        <w:jc w:val="left"/>
      </w:pPr>
      <w:r>
        <w:rPr/>
        <w:t>提坏账准备</w:t>
      </w:r>
      <w:r>
        <w:rPr>
          <w:spacing w:val="-55"/>
        </w:rPr>
        <w:t> </w:t>
      </w:r>
      <w:r>
        <w:rPr>
          <w:rFonts w:ascii="Arial" w:hAnsi="Arial" w:cs="Arial" w:eastAsia="Arial" w:hint="default"/>
        </w:rPr>
        <w:t>0.91</w:t>
      </w:r>
      <w:r>
        <w:rPr>
          <w:rFonts w:ascii="Arial" w:hAnsi="Arial" w:cs="Arial" w:eastAsia="Arial" w:hint="default"/>
          <w:spacing w:val="-3"/>
        </w:rPr>
        <w:t> </w:t>
      </w:r>
      <w:r>
        <w:rPr/>
        <w:t>亿元。</w:t>
      </w:r>
    </w:p>
    <w:p>
      <w:pPr>
        <w:spacing w:line="240" w:lineRule="auto" w:before="11"/>
        <w:rPr>
          <w:rFonts w:ascii="宋体" w:hAnsi="宋体" w:cs="宋体" w:eastAsia="宋体" w:hint="default"/>
          <w:sz w:val="17"/>
          <w:szCs w:val="17"/>
        </w:rPr>
      </w:pPr>
    </w:p>
    <w:p>
      <w:pPr>
        <w:pStyle w:val="BodyText"/>
        <w:spacing w:line="240" w:lineRule="auto"/>
        <w:ind w:left="132" w:right="0"/>
        <w:jc w:val="left"/>
      </w:pPr>
      <w:r>
        <w:rPr>
          <w:rFonts w:ascii="Arial" w:hAnsi="Arial" w:cs="Arial" w:eastAsia="Arial" w:hint="default"/>
        </w:rPr>
        <w:t>7</w:t>
      </w:r>
      <w:r>
        <w:rPr/>
        <w:t>、存货</w:t>
      </w:r>
    </w:p>
    <w:p>
      <w:pPr>
        <w:spacing w:line="240" w:lineRule="auto" w:before="11"/>
        <w:rPr>
          <w:rFonts w:ascii="宋体" w:hAnsi="宋体" w:cs="宋体" w:eastAsia="宋体" w:hint="default"/>
          <w:sz w:val="17"/>
          <w:szCs w:val="17"/>
        </w:rPr>
      </w:pPr>
    </w:p>
    <w:p>
      <w:pPr>
        <w:pStyle w:val="BodyText"/>
        <w:spacing w:line="240" w:lineRule="auto"/>
        <w:ind w:left="132" w:right="0"/>
        <w:jc w:val="left"/>
      </w:pPr>
      <w:r>
        <w:rPr>
          <w:rFonts w:ascii="Arial" w:hAnsi="Arial" w:cs="Arial" w:eastAsia="Arial" w:hint="default"/>
        </w:rPr>
        <w:t>(a) </w:t>
      </w:r>
      <w:r>
        <w:rPr>
          <w:rFonts w:ascii="Arial" w:hAnsi="Arial" w:cs="Arial" w:eastAsia="Arial" w:hint="default"/>
          <w:spacing w:val="2"/>
        </w:rPr>
        <w:t> </w:t>
      </w:r>
      <w:r>
        <w:rPr/>
        <w:t>存货分类如下：</w:t>
      </w:r>
    </w:p>
    <w:p>
      <w:pPr>
        <w:spacing w:line="240" w:lineRule="auto" w:before="9"/>
        <w:rPr>
          <w:rFonts w:ascii="宋体" w:hAnsi="宋体" w:cs="宋体" w:eastAsia="宋体" w:hint="default"/>
          <w:sz w:val="22"/>
          <w:szCs w:val="22"/>
        </w:rPr>
      </w:pPr>
    </w:p>
    <w:tbl>
      <w:tblPr>
        <w:tblW w:w="0" w:type="auto"/>
        <w:jc w:val="left"/>
        <w:tblInd w:w="298" w:type="dxa"/>
        <w:tblLayout w:type="fixed"/>
        <w:tblCellMar>
          <w:top w:w="0" w:type="dxa"/>
          <w:left w:w="0" w:type="dxa"/>
          <w:bottom w:w="0" w:type="dxa"/>
          <w:right w:w="0" w:type="dxa"/>
        </w:tblCellMar>
        <w:tblLook w:val="01E0"/>
      </w:tblPr>
      <w:tblGrid>
        <w:gridCol w:w="1534"/>
        <w:gridCol w:w="1248"/>
        <w:gridCol w:w="1339"/>
        <w:gridCol w:w="1315"/>
        <w:gridCol w:w="1320"/>
        <w:gridCol w:w="1286"/>
        <w:gridCol w:w="1210"/>
      </w:tblGrid>
      <w:tr>
        <w:trPr>
          <w:trHeight w:val="217" w:hRule="exact"/>
        </w:trPr>
        <w:tc>
          <w:tcPr>
            <w:tcW w:w="5437" w:type="dxa"/>
            <w:gridSpan w:val="4"/>
            <w:tcBorders>
              <w:top w:val="nil" w:sz="6" w:space="0" w:color="auto"/>
              <w:left w:val="nil" w:sz="6" w:space="0" w:color="auto"/>
              <w:bottom w:val="nil" w:sz="6" w:space="0" w:color="auto"/>
              <w:right w:val="nil" w:sz="6" w:space="0" w:color="auto"/>
            </w:tcBorders>
          </w:tcPr>
          <w:p>
            <w:pPr>
              <w:pStyle w:val="TableParagraph"/>
              <w:spacing w:line="195" w:lineRule="exact"/>
              <w:ind w:left="2667" w:right="0"/>
              <w:jc w:val="left"/>
              <w:rPr>
                <w:rFonts w:ascii="宋体" w:hAnsi="宋体" w:cs="宋体" w:eastAsia="宋体" w:hint="default"/>
                <w:sz w:val="18"/>
                <w:szCs w:val="18"/>
              </w:rPr>
            </w:pPr>
            <w:r>
              <w:rPr>
                <w:rFonts w:ascii="Arial" w:hAnsi="Arial" w:cs="Arial" w:eastAsia="Arial" w:hint="default"/>
                <w:sz w:val="18"/>
                <w:szCs w:val="18"/>
              </w:rPr>
              <w:t>2019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Arial" w:hAnsi="Arial" w:cs="Arial" w:eastAsia="Arial" w:hint="default"/>
                <w:sz w:val="18"/>
                <w:szCs w:val="18"/>
              </w:rPr>
              <w:t>31</w:t>
            </w:r>
            <w:r>
              <w:rPr>
                <w:rFonts w:ascii="Arial" w:hAnsi="Arial" w:cs="Arial" w:eastAsia="Arial" w:hint="default"/>
                <w:spacing w:val="-6"/>
                <w:sz w:val="18"/>
                <w:szCs w:val="18"/>
              </w:rPr>
              <w:t> </w:t>
            </w:r>
            <w:r>
              <w:rPr>
                <w:rFonts w:ascii="宋体" w:hAnsi="宋体" w:cs="宋体" w:eastAsia="宋体" w:hint="default"/>
                <w:sz w:val="18"/>
                <w:szCs w:val="18"/>
              </w:rPr>
              <w:t>日</w:t>
            </w:r>
          </w:p>
        </w:tc>
        <w:tc>
          <w:tcPr>
            <w:tcW w:w="3816" w:type="dxa"/>
            <w:gridSpan w:val="3"/>
            <w:tcBorders>
              <w:top w:val="nil" w:sz="6" w:space="0" w:color="auto"/>
              <w:left w:val="nil" w:sz="6" w:space="0" w:color="auto"/>
              <w:bottom w:val="single" w:sz="6" w:space="0" w:color="000000"/>
              <w:right w:val="nil" w:sz="6" w:space="0" w:color="auto"/>
            </w:tcBorders>
          </w:tcPr>
          <w:p>
            <w:pPr>
              <w:pStyle w:val="TableParagraph"/>
              <w:spacing w:line="195" w:lineRule="exact"/>
              <w:ind w:left="1128" w:right="0"/>
              <w:jc w:val="left"/>
              <w:rPr>
                <w:rFonts w:ascii="宋体" w:hAnsi="宋体" w:cs="宋体" w:eastAsia="宋体" w:hint="default"/>
                <w:sz w:val="18"/>
                <w:szCs w:val="18"/>
              </w:rPr>
            </w:pPr>
            <w:r>
              <w:rPr>
                <w:rFonts w:ascii="Arial" w:hAnsi="Arial" w:cs="Arial" w:eastAsia="Arial" w:hint="default"/>
                <w:sz w:val="18"/>
                <w:szCs w:val="18"/>
              </w:rPr>
              <w:t>2018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Arial" w:hAnsi="Arial" w:cs="Arial" w:eastAsia="Arial" w:hint="default"/>
                <w:sz w:val="18"/>
                <w:szCs w:val="18"/>
              </w:rPr>
              <w:t>31</w:t>
            </w:r>
            <w:r>
              <w:rPr>
                <w:rFonts w:ascii="Arial" w:hAnsi="Arial" w:cs="Arial" w:eastAsia="Arial" w:hint="default"/>
                <w:spacing w:val="-6"/>
                <w:sz w:val="18"/>
                <w:szCs w:val="18"/>
              </w:rPr>
              <w:t> </w:t>
            </w:r>
            <w:r>
              <w:rPr>
                <w:rFonts w:ascii="宋体" w:hAnsi="宋体" w:cs="宋体" w:eastAsia="宋体" w:hint="default"/>
                <w:sz w:val="18"/>
                <w:szCs w:val="18"/>
              </w:rPr>
              <w:t>日</w:t>
            </w:r>
          </w:p>
        </w:tc>
      </w:tr>
      <w:tr>
        <w:trPr>
          <w:trHeight w:val="250" w:hRule="exact"/>
        </w:trPr>
        <w:tc>
          <w:tcPr>
            <w:tcW w:w="1534" w:type="dxa"/>
            <w:tcBorders>
              <w:top w:val="nil" w:sz="6" w:space="0" w:color="auto"/>
              <w:left w:val="nil" w:sz="6" w:space="0" w:color="auto"/>
              <w:bottom w:val="nil" w:sz="6" w:space="0" w:color="auto"/>
              <w:right w:val="nil" w:sz="6" w:space="0" w:color="auto"/>
            </w:tcBorders>
          </w:tcPr>
          <w:p>
            <w:pPr/>
          </w:p>
        </w:tc>
        <w:tc>
          <w:tcPr>
            <w:tcW w:w="1248" w:type="dxa"/>
            <w:tcBorders>
              <w:top w:val="single" w:sz="6" w:space="0" w:color="000000"/>
              <w:left w:val="nil" w:sz="6" w:space="0" w:color="auto"/>
              <w:bottom w:val="single" w:sz="6" w:space="0" w:color="000000"/>
              <w:right w:val="nil" w:sz="6" w:space="0" w:color="auto"/>
            </w:tcBorders>
          </w:tcPr>
          <w:p>
            <w:pPr>
              <w:pStyle w:val="TableParagraph"/>
              <w:spacing w:line="208" w:lineRule="exact"/>
              <w:ind w:right="65"/>
              <w:jc w:val="right"/>
              <w:rPr>
                <w:rFonts w:ascii="宋体" w:hAnsi="宋体" w:cs="宋体" w:eastAsia="宋体" w:hint="default"/>
                <w:sz w:val="18"/>
                <w:szCs w:val="18"/>
              </w:rPr>
            </w:pPr>
            <w:r>
              <w:rPr>
                <w:rFonts w:ascii="宋体" w:hAnsi="宋体" w:cs="宋体" w:eastAsia="宋体" w:hint="default"/>
                <w:spacing w:val="-2"/>
                <w:sz w:val="18"/>
                <w:szCs w:val="18"/>
              </w:rPr>
              <w:t>账面余额</w:t>
            </w:r>
          </w:p>
        </w:tc>
        <w:tc>
          <w:tcPr>
            <w:tcW w:w="1339" w:type="dxa"/>
            <w:tcBorders>
              <w:top w:val="single" w:sz="6" w:space="0" w:color="000000"/>
              <w:left w:val="nil" w:sz="6" w:space="0" w:color="auto"/>
              <w:bottom w:val="single" w:sz="6" w:space="0" w:color="000000"/>
              <w:right w:val="nil" w:sz="6" w:space="0" w:color="auto"/>
            </w:tcBorders>
          </w:tcPr>
          <w:p>
            <w:pPr>
              <w:pStyle w:val="TableParagraph"/>
              <w:spacing w:line="208" w:lineRule="exact"/>
              <w:ind w:right="84"/>
              <w:jc w:val="right"/>
              <w:rPr>
                <w:rFonts w:ascii="宋体" w:hAnsi="宋体" w:cs="宋体" w:eastAsia="宋体" w:hint="default"/>
                <w:sz w:val="18"/>
                <w:szCs w:val="18"/>
              </w:rPr>
            </w:pPr>
            <w:r>
              <w:rPr>
                <w:rFonts w:ascii="宋体" w:hAnsi="宋体" w:cs="宋体" w:eastAsia="宋体" w:hint="default"/>
                <w:spacing w:val="-2"/>
                <w:sz w:val="18"/>
                <w:szCs w:val="18"/>
              </w:rPr>
              <w:t>存货跌价准备</w:t>
            </w:r>
          </w:p>
        </w:tc>
        <w:tc>
          <w:tcPr>
            <w:tcW w:w="1315" w:type="dxa"/>
            <w:tcBorders>
              <w:top w:val="single" w:sz="6" w:space="0" w:color="000000"/>
              <w:left w:val="nil" w:sz="6" w:space="0" w:color="auto"/>
              <w:bottom w:val="single" w:sz="6" w:space="0" w:color="000000"/>
              <w:right w:val="nil" w:sz="6" w:space="0" w:color="auto"/>
            </w:tcBorders>
          </w:tcPr>
          <w:p>
            <w:pPr>
              <w:pStyle w:val="TableParagraph"/>
              <w:spacing w:line="208" w:lineRule="exact"/>
              <w:ind w:right="74"/>
              <w:jc w:val="right"/>
              <w:rPr>
                <w:rFonts w:ascii="宋体" w:hAnsi="宋体" w:cs="宋体" w:eastAsia="宋体" w:hint="default"/>
                <w:sz w:val="18"/>
                <w:szCs w:val="18"/>
              </w:rPr>
            </w:pPr>
            <w:r>
              <w:rPr>
                <w:rFonts w:ascii="宋体" w:hAnsi="宋体" w:cs="宋体" w:eastAsia="宋体" w:hint="default"/>
                <w:spacing w:val="-2"/>
                <w:sz w:val="18"/>
                <w:szCs w:val="18"/>
              </w:rPr>
              <w:t>账面价值</w:t>
            </w:r>
          </w:p>
        </w:tc>
        <w:tc>
          <w:tcPr>
            <w:tcW w:w="1320" w:type="dxa"/>
            <w:tcBorders>
              <w:top w:val="single" w:sz="6" w:space="0" w:color="000000"/>
              <w:left w:val="nil" w:sz="6" w:space="0" w:color="auto"/>
              <w:bottom w:val="single" w:sz="6" w:space="0" w:color="000000"/>
              <w:right w:val="nil" w:sz="6" w:space="0" w:color="auto"/>
            </w:tcBorders>
          </w:tcPr>
          <w:p>
            <w:pPr>
              <w:pStyle w:val="TableParagraph"/>
              <w:spacing w:line="208" w:lineRule="exact"/>
              <w:ind w:right="74"/>
              <w:jc w:val="right"/>
              <w:rPr>
                <w:rFonts w:ascii="宋体" w:hAnsi="宋体" w:cs="宋体" w:eastAsia="宋体" w:hint="default"/>
                <w:sz w:val="18"/>
                <w:szCs w:val="18"/>
              </w:rPr>
            </w:pPr>
            <w:r>
              <w:rPr>
                <w:rFonts w:ascii="宋体" w:hAnsi="宋体" w:cs="宋体" w:eastAsia="宋体" w:hint="default"/>
                <w:spacing w:val="-2"/>
                <w:sz w:val="18"/>
                <w:szCs w:val="18"/>
              </w:rPr>
              <w:t>账面余额</w:t>
            </w:r>
          </w:p>
        </w:tc>
        <w:tc>
          <w:tcPr>
            <w:tcW w:w="1286" w:type="dxa"/>
            <w:tcBorders>
              <w:top w:val="single" w:sz="6" w:space="0" w:color="000000"/>
              <w:left w:val="nil" w:sz="6" w:space="0" w:color="auto"/>
              <w:bottom w:val="single" w:sz="6" w:space="0" w:color="000000"/>
              <w:right w:val="nil" w:sz="6" w:space="0" w:color="auto"/>
            </w:tcBorders>
          </w:tcPr>
          <w:p>
            <w:pPr>
              <w:pStyle w:val="TableParagraph"/>
              <w:spacing w:line="208" w:lineRule="exact"/>
              <w:ind w:right="79"/>
              <w:jc w:val="right"/>
              <w:rPr>
                <w:rFonts w:ascii="宋体" w:hAnsi="宋体" w:cs="宋体" w:eastAsia="宋体" w:hint="default"/>
                <w:sz w:val="18"/>
                <w:szCs w:val="18"/>
              </w:rPr>
            </w:pPr>
            <w:r>
              <w:rPr>
                <w:rFonts w:ascii="宋体" w:hAnsi="宋体" w:cs="宋体" w:eastAsia="宋体" w:hint="default"/>
                <w:spacing w:val="-2"/>
                <w:sz w:val="18"/>
                <w:szCs w:val="18"/>
              </w:rPr>
              <w:t>存货跌价准备</w:t>
            </w:r>
          </w:p>
        </w:tc>
        <w:tc>
          <w:tcPr>
            <w:tcW w:w="1210" w:type="dxa"/>
            <w:tcBorders>
              <w:top w:val="single" w:sz="6" w:space="0" w:color="000000"/>
              <w:left w:val="nil" w:sz="6" w:space="0" w:color="auto"/>
              <w:bottom w:val="single" w:sz="6" w:space="0" w:color="000000"/>
              <w:right w:val="nil" w:sz="6" w:space="0" w:color="auto"/>
            </w:tcBorders>
          </w:tcPr>
          <w:p>
            <w:pPr>
              <w:pStyle w:val="TableParagraph"/>
              <w:spacing w:line="208" w:lineRule="exact"/>
              <w:ind w:right="2"/>
              <w:jc w:val="right"/>
              <w:rPr>
                <w:rFonts w:ascii="宋体" w:hAnsi="宋体" w:cs="宋体" w:eastAsia="宋体" w:hint="default"/>
                <w:sz w:val="18"/>
                <w:szCs w:val="18"/>
              </w:rPr>
            </w:pPr>
            <w:r>
              <w:rPr>
                <w:rFonts w:ascii="宋体" w:hAnsi="宋体" w:cs="宋体" w:eastAsia="宋体" w:hint="default"/>
                <w:spacing w:val="-2"/>
                <w:sz w:val="18"/>
                <w:szCs w:val="18"/>
              </w:rPr>
              <w:t>账面价值</w:t>
            </w:r>
          </w:p>
        </w:tc>
      </w:tr>
      <w:tr>
        <w:trPr>
          <w:trHeight w:val="690"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30" w:lineRule="exact"/>
              <w:ind w:left="377" w:right="22" w:hanging="178"/>
              <w:jc w:val="left"/>
              <w:rPr>
                <w:rFonts w:ascii="宋体" w:hAnsi="宋体" w:cs="宋体" w:eastAsia="宋体" w:hint="default"/>
                <w:sz w:val="18"/>
                <w:szCs w:val="18"/>
              </w:rPr>
            </w:pPr>
            <w:r>
              <w:rPr>
                <w:rFonts w:ascii="宋体" w:hAnsi="宋体" w:cs="宋体" w:eastAsia="宋体" w:hint="default"/>
                <w:spacing w:val="3"/>
                <w:sz w:val="18"/>
                <w:szCs w:val="18"/>
              </w:rPr>
              <w:t>手机及其他通信</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产品</w:t>
            </w:r>
          </w:p>
        </w:tc>
        <w:tc>
          <w:tcPr>
            <w:tcW w:w="1248"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26"/>
              <w:jc w:val="right"/>
              <w:rPr>
                <w:rFonts w:ascii="Arial" w:hAnsi="Arial" w:cs="Arial" w:eastAsia="Arial" w:hint="default"/>
                <w:sz w:val="18"/>
                <w:szCs w:val="18"/>
              </w:rPr>
            </w:pPr>
            <w:r>
              <w:rPr>
                <w:rFonts w:ascii="Arial"/>
                <w:spacing w:val="-2"/>
                <w:sz w:val="18"/>
              </w:rPr>
              <w:t>2,148,145,333</w:t>
            </w:r>
            <w:r>
              <w:rPr>
                <w:rFonts w:ascii="Arial"/>
                <w:sz w:val="18"/>
              </w:rPr>
            </w:r>
          </w:p>
        </w:tc>
        <w:tc>
          <w:tcPr>
            <w:tcW w:w="1339"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9"/>
              <w:jc w:val="right"/>
              <w:rPr>
                <w:rFonts w:ascii="Arial" w:hAnsi="Arial" w:cs="Arial" w:eastAsia="Arial" w:hint="default"/>
                <w:sz w:val="18"/>
                <w:szCs w:val="18"/>
              </w:rPr>
            </w:pPr>
            <w:r>
              <w:rPr>
                <w:rFonts w:ascii="Arial"/>
                <w:spacing w:val="-2"/>
                <w:sz w:val="18"/>
              </w:rPr>
              <w:t>(121,491,449)</w:t>
            </w:r>
          </w:p>
        </w:tc>
        <w:tc>
          <w:tcPr>
            <w:tcW w:w="1315"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3"/>
              <w:jc w:val="right"/>
              <w:rPr>
                <w:rFonts w:ascii="Arial" w:hAnsi="Arial" w:cs="Arial" w:eastAsia="Arial" w:hint="default"/>
                <w:sz w:val="18"/>
                <w:szCs w:val="18"/>
              </w:rPr>
            </w:pPr>
            <w:r>
              <w:rPr>
                <w:rFonts w:ascii="Arial"/>
                <w:spacing w:val="-2"/>
                <w:sz w:val="18"/>
              </w:rPr>
              <w:t>2,026,653,884</w:t>
            </w:r>
            <w:r>
              <w:rPr>
                <w:rFonts w:ascii="Arial"/>
                <w:sz w:val="18"/>
              </w:rPr>
            </w:r>
          </w:p>
        </w:tc>
        <w:tc>
          <w:tcPr>
            <w:tcW w:w="1320"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8"/>
              <w:jc w:val="right"/>
              <w:rPr>
                <w:rFonts w:ascii="Arial" w:hAnsi="Arial" w:cs="Arial" w:eastAsia="Arial" w:hint="default"/>
                <w:sz w:val="18"/>
                <w:szCs w:val="18"/>
              </w:rPr>
            </w:pPr>
            <w:r>
              <w:rPr>
                <w:rFonts w:ascii="Arial"/>
                <w:spacing w:val="-2"/>
                <w:sz w:val="18"/>
              </w:rPr>
              <w:t>2,210,938,421</w:t>
            </w:r>
            <w:r>
              <w:rPr>
                <w:rFonts w:ascii="Arial"/>
                <w:sz w:val="18"/>
              </w:rPr>
            </w:r>
          </w:p>
        </w:tc>
        <w:tc>
          <w:tcPr>
            <w:tcW w:w="1286"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5"/>
              <w:jc w:val="right"/>
              <w:rPr>
                <w:rFonts w:ascii="Arial" w:hAnsi="Arial" w:cs="Arial" w:eastAsia="Arial" w:hint="default"/>
                <w:sz w:val="18"/>
                <w:szCs w:val="18"/>
              </w:rPr>
            </w:pPr>
            <w:r>
              <w:rPr>
                <w:rFonts w:ascii="Arial"/>
                <w:spacing w:val="-2"/>
                <w:sz w:val="18"/>
              </w:rPr>
              <w:t>(99,111,073)</w:t>
            </w:r>
            <w:r>
              <w:rPr>
                <w:rFonts w:ascii="Arial"/>
                <w:sz w:val="18"/>
              </w:rPr>
            </w:r>
          </w:p>
        </w:tc>
        <w:tc>
          <w:tcPr>
            <w:tcW w:w="1210"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26"/>
              <w:jc w:val="right"/>
              <w:rPr>
                <w:rFonts w:ascii="Arial" w:hAnsi="Arial" w:cs="Arial" w:eastAsia="Arial" w:hint="default"/>
                <w:sz w:val="18"/>
                <w:szCs w:val="18"/>
              </w:rPr>
            </w:pPr>
            <w:r>
              <w:rPr>
                <w:rFonts w:ascii="Arial"/>
                <w:spacing w:val="-2"/>
                <w:sz w:val="18"/>
              </w:rPr>
              <w:t>2,111,827,348</w:t>
            </w:r>
            <w:r>
              <w:rPr>
                <w:rFonts w:ascii="Arial"/>
                <w:sz w:val="18"/>
              </w:rPr>
            </w:r>
          </w:p>
        </w:tc>
      </w:tr>
      <w:tr>
        <w:trPr>
          <w:trHeight w:val="466"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201" w:lineRule="exact"/>
              <w:ind w:left="377" w:right="0" w:hanging="178"/>
              <w:jc w:val="left"/>
              <w:rPr>
                <w:rFonts w:ascii="宋体" w:hAnsi="宋体" w:cs="宋体" w:eastAsia="宋体" w:hint="default"/>
                <w:sz w:val="18"/>
                <w:szCs w:val="18"/>
              </w:rPr>
            </w:pPr>
            <w:r>
              <w:rPr>
                <w:rFonts w:ascii="Arial" w:hAnsi="Arial" w:cs="Arial" w:eastAsia="Arial" w:hint="default"/>
                <w:spacing w:val="-2"/>
                <w:w w:val="101"/>
                <w:sz w:val="18"/>
                <w:szCs w:val="18"/>
              </w:rPr>
              <w:t>S</w:t>
            </w:r>
            <w:r>
              <w:rPr>
                <w:rFonts w:ascii="Arial" w:hAnsi="Arial" w:cs="Arial" w:eastAsia="Arial" w:hint="default"/>
                <w:spacing w:val="2"/>
                <w:w w:val="101"/>
                <w:sz w:val="18"/>
                <w:szCs w:val="18"/>
              </w:rPr>
              <w:t>I</w:t>
            </w:r>
            <w:r>
              <w:rPr>
                <w:rFonts w:ascii="Arial" w:hAnsi="Arial" w:cs="Arial" w:eastAsia="Arial" w:hint="default"/>
                <w:w w:val="101"/>
                <w:sz w:val="18"/>
                <w:szCs w:val="18"/>
              </w:rPr>
              <w:t>M</w:t>
            </w:r>
            <w:r>
              <w:rPr>
                <w:rFonts w:ascii="Arial" w:hAnsi="Arial" w:cs="Arial" w:eastAsia="Arial" w:hint="default"/>
                <w:spacing w:val="-10"/>
                <w:sz w:val="18"/>
                <w:szCs w:val="18"/>
              </w:rPr>
              <w:t> </w:t>
            </w:r>
            <w:r>
              <w:rPr>
                <w:rFonts w:ascii="宋体" w:hAnsi="宋体" w:cs="宋体" w:eastAsia="宋体" w:hint="default"/>
                <w:w w:val="101"/>
                <w:sz w:val="18"/>
                <w:szCs w:val="18"/>
              </w:rPr>
              <w:t>卡</w:t>
            </w:r>
            <w:r>
              <w:rPr>
                <w:rFonts w:ascii="宋体" w:hAnsi="宋体" w:cs="宋体" w:eastAsia="宋体" w:hint="default"/>
                <w:spacing w:val="-92"/>
                <w:w w:val="101"/>
                <w:sz w:val="18"/>
                <w:szCs w:val="18"/>
              </w:rPr>
              <w:t>、</w:t>
            </w:r>
            <w:r>
              <w:rPr>
                <w:rFonts w:ascii="Arial" w:hAnsi="Arial" w:cs="Arial" w:eastAsia="Arial" w:hint="default"/>
                <w:spacing w:val="-3"/>
                <w:w w:val="101"/>
                <w:sz w:val="18"/>
                <w:szCs w:val="18"/>
              </w:rPr>
              <w:t>U</w:t>
            </w:r>
            <w:r>
              <w:rPr>
                <w:rFonts w:ascii="Arial" w:hAnsi="Arial" w:cs="Arial" w:eastAsia="Arial" w:hint="default"/>
                <w:spacing w:val="-7"/>
                <w:w w:val="101"/>
                <w:sz w:val="18"/>
                <w:szCs w:val="18"/>
              </w:rPr>
              <w:t>S</w:t>
            </w:r>
            <w:r>
              <w:rPr>
                <w:rFonts w:ascii="Arial" w:hAnsi="Arial" w:cs="Arial" w:eastAsia="Arial" w:hint="default"/>
                <w:spacing w:val="2"/>
                <w:w w:val="101"/>
                <w:sz w:val="18"/>
                <w:szCs w:val="18"/>
              </w:rPr>
              <w:t>I</w:t>
            </w:r>
            <w:r>
              <w:rPr>
                <w:rFonts w:ascii="Arial" w:hAnsi="Arial" w:cs="Arial" w:eastAsia="Arial" w:hint="default"/>
                <w:w w:val="101"/>
                <w:sz w:val="18"/>
                <w:szCs w:val="18"/>
              </w:rPr>
              <w:t>M</w:t>
            </w:r>
            <w:r>
              <w:rPr>
                <w:rFonts w:ascii="Arial" w:hAnsi="Arial" w:cs="Arial" w:eastAsia="Arial" w:hint="default"/>
                <w:spacing w:val="-11"/>
                <w:sz w:val="18"/>
                <w:szCs w:val="18"/>
              </w:rPr>
              <w:t> </w:t>
            </w:r>
            <w:r>
              <w:rPr>
                <w:rFonts w:ascii="宋体" w:hAnsi="宋体" w:cs="宋体" w:eastAsia="宋体" w:hint="default"/>
                <w:w w:val="101"/>
                <w:sz w:val="18"/>
                <w:szCs w:val="18"/>
              </w:rPr>
              <w:t>卡</w:t>
            </w:r>
            <w:r>
              <w:rPr>
                <w:rFonts w:ascii="宋体" w:hAnsi="宋体" w:cs="宋体" w:eastAsia="宋体" w:hint="default"/>
                <w:sz w:val="18"/>
                <w:szCs w:val="18"/>
              </w:rPr>
            </w:r>
          </w:p>
          <w:p>
            <w:pPr>
              <w:pStyle w:val="TableParagraph"/>
              <w:spacing w:line="227" w:lineRule="exact"/>
              <w:ind w:left="377" w:right="0"/>
              <w:jc w:val="left"/>
              <w:rPr>
                <w:rFonts w:ascii="宋体" w:hAnsi="宋体" w:cs="宋体" w:eastAsia="宋体" w:hint="default"/>
                <w:sz w:val="18"/>
                <w:szCs w:val="18"/>
              </w:rPr>
            </w:pPr>
            <w:r>
              <w:rPr>
                <w:rFonts w:ascii="宋体" w:hAnsi="宋体" w:cs="宋体" w:eastAsia="宋体" w:hint="default"/>
                <w:sz w:val="18"/>
                <w:szCs w:val="18"/>
              </w:rPr>
              <w:t>及预付电话卡</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Arial" w:hAnsi="Arial" w:cs="Arial" w:eastAsia="Arial" w:hint="default"/>
                <w:sz w:val="18"/>
                <w:szCs w:val="18"/>
              </w:rPr>
            </w:pPr>
            <w:r>
              <w:rPr>
                <w:rFonts w:ascii="Arial"/>
                <w:spacing w:val="-1"/>
                <w:sz w:val="18"/>
              </w:rPr>
              <w:t>43,529,977</w:t>
            </w:r>
            <w:r>
              <w:rPr>
                <w:rFonts w:ascii="Arial"/>
                <w:sz w:val="18"/>
              </w:rPr>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10"/>
              <w:jc w:val="right"/>
              <w:rPr>
                <w:rFonts w:ascii="Arial" w:hAnsi="Arial" w:cs="Arial" w:eastAsia="Arial" w:hint="default"/>
                <w:sz w:val="18"/>
                <w:szCs w:val="18"/>
              </w:rPr>
            </w:pPr>
            <w:r>
              <w:rPr>
                <w:rFonts w:ascii="Arial"/>
                <w:spacing w:val="-2"/>
                <w:sz w:val="18"/>
              </w:rPr>
              <w:t>(1,911,377)</w:t>
            </w:r>
            <w:r>
              <w:rPr>
                <w:rFonts w:ascii="Arial"/>
                <w:sz w:val="18"/>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Arial" w:hAnsi="Arial" w:cs="Arial" w:eastAsia="Arial" w:hint="default"/>
                <w:sz w:val="18"/>
                <w:szCs w:val="18"/>
              </w:rPr>
            </w:pPr>
            <w:r>
              <w:rPr>
                <w:rFonts w:ascii="Arial"/>
                <w:spacing w:val="-1"/>
                <w:sz w:val="18"/>
              </w:rPr>
              <w:t>41,618,600</w:t>
            </w:r>
            <w:r>
              <w:rPr>
                <w:rFonts w:ascii="Arial"/>
                <w:sz w:val="18"/>
              </w:rPr>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Arial" w:hAnsi="Arial" w:cs="Arial" w:eastAsia="Arial" w:hint="default"/>
                <w:sz w:val="18"/>
                <w:szCs w:val="18"/>
              </w:rPr>
            </w:pPr>
            <w:r>
              <w:rPr>
                <w:rFonts w:ascii="Arial"/>
                <w:spacing w:val="-1"/>
                <w:sz w:val="18"/>
              </w:rPr>
              <w:t>40,746,388</w:t>
            </w:r>
            <w:r>
              <w:rPr>
                <w:rFonts w:ascii="Arial"/>
                <w:sz w:val="18"/>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5"/>
              <w:jc w:val="right"/>
              <w:rPr>
                <w:rFonts w:ascii="Arial" w:hAnsi="Arial" w:cs="Arial" w:eastAsia="Arial" w:hint="default"/>
                <w:sz w:val="18"/>
                <w:szCs w:val="18"/>
              </w:rPr>
            </w:pPr>
            <w:r>
              <w:rPr>
                <w:rFonts w:ascii="Arial"/>
                <w:spacing w:val="-2"/>
                <w:sz w:val="18"/>
              </w:rPr>
              <w:t>(3,664,445)</w:t>
            </w:r>
            <w:r>
              <w:rPr>
                <w:rFonts w:ascii="Arial"/>
                <w:sz w:val="18"/>
              </w:rPr>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6"/>
              <w:jc w:val="right"/>
              <w:rPr>
                <w:rFonts w:ascii="Arial" w:hAnsi="Arial" w:cs="Arial" w:eastAsia="Arial" w:hint="default"/>
                <w:sz w:val="18"/>
                <w:szCs w:val="18"/>
              </w:rPr>
            </w:pPr>
            <w:r>
              <w:rPr>
                <w:rFonts w:ascii="Arial"/>
                <w:spacing w:val="-1"/>
                <w:sz w:val="18"/>
              </w:rPr>
              <w:t>37,081,943</w:t>
            </w:r>
            <w:r>
              <w:rPr>
                <w:rFonts w:ascii="Arial"/>
                <w:sz w:val="18"/>
              </w:rPr>
            </w:r>
          </w:p>
        </w:tc>
      </w:tr>
      <w:tr>
        <w:trPr>
          <w:trHeight w:val="235"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197" w:lineRule="exact"/>
              <w:ind w:left="200" w:right="0"/>
              <w:jc w:val="left"/>
              <w:rPr>
                <w:rFonts w:ascii="宋体" w:hAnsi="宋体" w:cs="宋体" w:eastAsia="宋体" w:hint="default"/>
                <w:sz w:val="18"/>
                <w:szCs w:val="18"/>
              </w:rPr>
            </w:pPr>
            <w:r>
              <w:rPr>
                <w:rFonts w:ascii="宋体" w:hAnsi="宋体" w:cs="宋体" w:eastAsia="宋体" w:hint="default"/>
                <w:sz w:val="18"/>
                <w:szCs w:val="18"/>
              </w:rPr>
              <w:t>备品备件</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6"/>
              <w:jc w:val="right"/>
              <w:rPr>
                <w:rFonts w:ascii="Arial" w:hAnsi="Arial" w:cs="Arial" w:eastAsia="Arial" w:hint="default"/>
                <w:sz w:val="18"/>
                <w:szCs w:val="18"/>
              </w:rPr>
            </w:pPr>
            <w:r>
              <w:rPr>
                <w:rFonts w:ascii="Arial"/>
                <w:spacing w:val="-1"/>
                <w:sz w:val="18"/>
              </w:rPr>
              <w:t>1,653,170</w:t>
            </w:r>
            <w:r>
              <w:rPr>
                <w:rFonts w:ascii="Arial"/>
                <w:sz w:val="18"/>
              </w:rPr>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5"/>
              <w:jc w:val="right"/>
              <w:rPr>
                <w:rFonts w:ascii="Arial" w:hAnsi="Arial" w:cs="Arial" w:eastAsia="Arial" w:hint="default"/>
                <w:sz w:val="18"/>
                <w:szCs w:val="18"/>
              </w:rPr>
            </w:pPr>
            <w:r>
              <w:rPr>
                <w:rFonts w:ascii="Arial"/>
                <w:spacing w:val="-1"/>
                <w:sz w:val="18"/>
              </w:rPr>
              <w:t>(141,954)</w:t>
            </w:r>
            <w:r>
              <w:rPr>
                <w:rFonts w:ascii="Arial"/>
                <w:sz w:val="18"/>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3"/>
              <w:jc w:val="right"/>
              <w:rPr>
                <w:rFonts w:ascii="Arial" w:hAnsi="Arial" w:cs="Arial" w:eastAsia="Arial" w:hint="default"/>
                <w:sz w:val="18"/>
                <w:szCs w:val="18"/>
              </w:rPr>
            </w:pPr>
            <w:r>
              <w:rPr>
                <w:rFonts w:ascii="Arial"/>
                <w:spacing w:val="-1"/>
                <w:sz w:val="18"/>
              </w:rPr>
              <w:t>1,511,216</w:t>
            </w:r>
            <w:r>
              <w:rPr>
                <w:rFonts w:ascii="Arial"/>
                <w:sz w:val="18"/>
              </w:rPr>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98"/>
              <w:jc w:val="right"/>
              <w:rPr>
                <w:rFonts w:ascii="Arial" w:hAnsi="Arial" w:cs="Arial" w:eastAsia="Arial" w:hint="default"/>
                <w:sz w:val="18"/>
                <w:szCs w:val="18"/>
              </w:rPr>
            </w:pPr>
            <w:r>
              <w:rPr>
                <w:rFonts w:ascii="Arial"/>
                <w:spacing w:val="-1"/>
                <w:sz w:val="18"/>
              </w:rPr>
              <w:t>1,577,663</w:t>
            </w:r>
            <w:r>
              <w:rPr>
                <w:rFonts w:ascii="Arial"/>
                <w:sz w:val="18"/>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5"/>
              <w:jc w:val="right"/>
              <w:rPr>
                <w:rFonts w:ascii="Arial" w:hAnsi="Arial" w:cs="Arial" w:eastAsia="Arial" w:hint="default"/>
                <w:sz w:val="18"/>
                <w:szCs w:val="18"/>
              </w:rPr>
            </w:pPr>
            <w:r>
              <w:rPr>
                <w:rFonts w:ascii="Arial"/>
                <w:spacing w:val="-1"/>
                <w:sz w:val="18"/>
              </w:rPr>
              <w:t>(54,250)</w:t>
            </w:r>
            <w:r>
              <w:rPr>
                <w:rFonts w:ascii="Arial"/>
                <w:sz w:val="18"/>
              </w:rPr>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6"/>
              <w:jc w:val="right"/>
              <w:rPr>
                <w:rFonts w:ascii="Arial" w:hAnsi="Arial" w:cs="Arial" w:eastAsia="Arial" w:hint="default"/>
                <w:sz w:val="18"/>
                <w:szCs w:val="18"/>
              </w:rPr>
            </w:pPr>
            <w:r>
              <w:rPr>
                <w:rFonts w:ascii="Arial"/>
                <w:spacing w:val="-1"/>
                <w:sz w:val="18"/>
              </w:rPr>
              <w:t>1,523,413</w:t>
            </w:r>
            <w:r>
              <w:rPr>
                <w:rFonts w:ascii="Arial"/>
                <w:sz w:val="18"/>
              </w:rPr>
            </w:r>
          </w:p>
        </w:tc>
      </w:tr>
      <w:tr>
        <w:trPr>
          <w:trHeight w:val="233"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197" w:lineRule="exact"/>
              <w:ind w:left="200" w:right="0"/>
              <w:jc w:val="left"/>
              <w:rPr>
                <w:rFonts w:ascii="宋体" w:hAnsi="宋体" w:cs="宋体" w:eastAsia="宋体" w:hint="default"/>
                <w:sz w:val="18"/>
                <w:szCs w:val="18"/>
              </w:rPr>
            </w:pPr>
            <w:r>
              <w:rPr>
                <w:rFonts w:ascii="宋体" w:hAnsi="宋体" w:cs="宋体" w:eastAsia="宋体" w:hint="default"/>
                <w:spacing w:val="-3"/>
                <w:sz w:val="18"/>
                <w:szCs w:val="18"/>
              </w:rPr>
              <w:t>低值易耗品</w:t>
            </w:r>
            <w:r>
              <w:rPr>
                <w:rFonts w:ascii="宋体" w:hAnsi="宋体" w:cs="宋体" w:eastAsia="宋体" w:hint="default"/>
                <w:sz w:val="18"/>
                <w:szCs w:val="18"/>
              </w:rPr>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1"/>
              <w:jc w:val="right"/>
              <w:rPr>
                <w:rFonts w:ascii="Arial" w:hAnsi="Arial" w:cs="Arial" w:eastAsia="Arial" w:hint="default"/>
                <w:sz w:val="18"/>
                <w:szCs w:val="18"/>
              </w:rPr>
            </w:pPr>
            <w:r>
              <w:rPr>
                <w:rFonts w:ascii="Arial"/>
                <w:spacing w:val="-1"/>
                <w:sz w:val="18"/>
              </w:rPr>
              <w:t>14,545,451</w:t>
            </w:r>
            <w:r>
              <w:rPr>
                <w:rFonts w:ascii="Arial"/>
                <w:sz w:val="18"/>
              </w:rPr>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72"/>
              <w:jc w:val="right"/>
              <w:rPr>
                <w:rFonts w:ascii="Arial" w:hAnsi="Arial" w:cs="Arial" w:eastAsia="Arial" w:hint="default"/>
                <w:sz w:val="18"/>
                <w:szCs w:val="18"/>
              </w:rPr>
            </w:pPr>
            <w:r>
              <w:rPr>
                <w:rFonts w:ascii="Arial"/>
                <w:w w:val="101"/>
                <w:sz w:val="18"/>
              </w:rPr>
              <w:t>-</w:t>
            </w:r>
            <w:r>
              <w:rPr>
                <w:rFonts w:ascii="Arial"/>
                <w:sz w:val="18"/>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98"/>
              <w:jc w:val="right"/>
              <w:rPr>
                <w:rFonts w:ascii="Arial" w:hAnsi="Arial" w:cs="Arial" w:eastAsia="Arial" w:hint="default"/>
                <w:sz w:val="18"/>
                <w:szCs w:val="18"/>
              </w:rPr>
            </w:pPr>
            <w:r>
              <w:rPr>
                <w:rFonts w:ascii="Arial"/>
                <w:spacing w:val="-1"/>
                <w:sz w:val="18"/>
              </w:rPr>
              <w:t>14,545,451</w:t>
            </w:r>
            <w:r>
              <w:rPr>
                <w:rFonts w:ascii="Arial"/>
                <w:sz w:val="18"/>
              </w:rPr>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98"/>
              <w:jc w:val="right"/>
              <w:rPr>
                <w:rFonts w:ascii="Arial" w:hAnsi="Arial" w:cs="Arial" w:eastAsia="Arial" w:hint="default"/>
                <w:sz w:val="18"/>
                <w:szCs w:val="18"/>
              </w:rPr>
            </w:pPr>
            <w:r>
              <w:rPr>
                <w:rFonts w:ascii="Arial"/>
                <w:spacing w:val="-1"/>
                <w:sz w:val="18"/>
              </w:rPr>
              <w:t>24,966,269</w:t>
            </w:r>
            <w:r>
              <w:rPr>
                <w:rFonts w:ascii="Arial"/>
                <w:sz w:val="18"/>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72"/>
              <w:jc w:val="right"/>
              <w:rPr>
                <w:rFonts w:ascii="Arial" w:hAnsi="Arial" w:cs="Arial" w:eastAsia="Arial" w:hint="default"/>
                <w:sz w:val="18"/>
                <w:szCs w:val="18"/>
              </w:rPr>
            </w:pPr>
            <w:r>
              <w:rPr>
                <w:rFonts w:ascii="Arial"/>
                <w:w w:val="101"/>
                <w:sz w:val="18"/>
              </w:rPr>
              <w:t>-</w:t>
            </w:r>
            <w:r>
              <w:rPr>
                <w:rFonts w:ascii="Arial"/>
                <w:sz w:val="18"/>
              </w:rPr>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6"/>
              <w:jc w:val="right"/>
              <w:rPr>
                <w:rFonts w:ascii="Arial" w:hAnsi="Arial" w:cs="Arial" w:eastAsia="Arial" w:hint="default"/>
                <w:sz w:val="18"/>
                <w:szCs w:val="18"/>
              </w:rPr>
            </w:pPr>
            <w:r>
              <w:rPr>
                <w:rFonts w:ascii="Arial"/>
                <w:spacing w:val="-1"/>
                <w:sz w:val="18"/>
              </w:rPr>
              <w:t>24,966,269</w:t>
            </w:r>
            <w:r>
              <w:rPr>
                <w:rFonts w:ascii="Arial"/>
                <w:sz w:val="18"/>
              </w:rPr>
            </w:r>
          </w:p>
        </w:tc>
      </w:tr>
      <w:tr>
        <w:trPr>
          <w:trHeight w:val="341"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194" w:lineRule="exact"/>
              <w:ind w:left="2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1"/>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  </w:t>
            </w:r>
            <w:r>
              <w:rPr>
                <w:rFonts w:ascii="Arial"/>
                <w:spacing w:val="15"/>
                <w:sz w:val="18"/>
                <w:u w:val="single" w:color="000000"/>
              </w:rPr>
              <w:t> </w:t>
            </w:r>
            <w:r>
              <w:rPr>
                <w:rFonts w:ascii="Arial"/>
                <w:spacing w:val="-1"/>
                <w:sz w:val="18"/>
                <w:u w:val="single" w:color="000000"/>
              </w:rPr>
              <w:t>274,819,022</w:t>
            </w:r>
            <w:r>
              <w:rPr>
                <w:rFonts w:ascii="Arial"/>
                <w:spacing w:val="-1"/>
                <w:sz w:val="18"/>
              </w:rPr>
            </w:r>
            <w:r>
              <w:rPr>
                <w:rFonts w:ascii="Arial"/>
                <w:sz w:val="18"/>
              </w:rPr>
            </w:r>
          </w:p>
        </w:tc>
        <w:tc>
          <w:tcPr>
            <w:tcW w:w="1339" w:type="dxa"/>
            <w:tcBorders>
              <w:top w:val="nil" w:sz="6" w:space="0" w:color="auto"/>
              <w:left w:val="nil" w:sz="6" w:space="0" w:color="auto"/>
              <w:bottom w:val="nil" w:sz="6" w:space="0" w:color="auto"/>
              <w:right w:val="nil" w:sz="6" w:space="0" w:color="auto"/>
            </w:tcBorders>
          </w:tcPr>
          <w:p>
            <w:pPr>
              <w:pStyle w:val="TableParagraph"/>
              <w:tabs>
                <w:tab w:pos="1027" w:val="left" w:leader="none"/>
              </w:tabs>
              <w:spacing w:line="240" w:lineRule="auto" w:before="14"/>
              <w:ind w:right="84"/>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t>-</w:t>
              <w:tab/>
            </w:r>
            <w:r>
              <w:rPr>
                <w:rFonts w:ascii="Arial"/>
                <w:sz w:val="18"/>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98"/>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  </w:t>
            </w:r>
            <w:r>
              <w:rPr>
                <w:rFonts w:ascii="Arial"/>
                <w:spacing w:val="5"/>
                <w:sz w:val="18"/>
                <w:u w:val="single" w:color="000000"/>
              </w:rPr>
              <w:t> </w:t>
            </w:r>
            <w:r>
              <w:rPr>
                <w:rFonts w:ascii="Arial"/>
                <w:spacing w:val="-1"/>
                <w:sz w:val="18"/>
                <w:u w:val="single" w:color="000000"/>
              </w:rPr>
              <w:t>274,819,022</w:t>
            </w:r>
            <w:r>
              <w:rPr>
                <w:rFonts w:ascii="Arial"/>
                <w:spacing w:val="-1"/>
                <w:sz w:val="18"/>
              </w:rPr>
            </w:r>
            <w:r>
              <w:rPr>
                <w:rFonts w:ascii="Arial"/>
                <w:sz w:val="18"/>
              </w:rPr>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98"/>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  </w:t>
            </w:r>
            <w:r>
              <w:rPr>
                <w:rFonts w:ascii="Arial"/>
                <w:spacing w:val="10"/>
                <w:sz w:val="18"/>
                <w:u w:val="single" w:color="000000"/>
              </w:rPr>
              <w:t> </w:t>
            </w:r>
            <w:r>
              <w:rPr>
                <w:rFonts w:ascii="Arial"/>
                <w:spacing w:val="-1"/>
                <w:sz w:val="18"/>
                <w:u w:val="single" w:color="000000"/>
              </w:rPr>
              <w:t>212,928,356</w:t>
            </w:r>
            <w:r>
              <w:rPr>
                <w:rFonts w:ascii="Arial"/>
                <w:spacing w:val="-1"/>
                <w:sz w:val="18"/>
              </w:rPr>
            </w:r>
            <w:r>
              <w:rPr>
                <w:rFonts w:ascii="Arial"/>
                <w:sz w:val="18"/>
              </w:rPr>
            </w:r>
          </w:p>
        </w:tc>
        <w:tc>
          <w:tcPr>
            <w:tcW w:w="1286" w:type="dxa"/>
            <w:tcBorders>
              <w:top w:val="nil" w:sz="6" w:space="0" w:color="auto"/>
              <w:left w:val="nil" w:sz="6" w:space="0" w:color="auto"/>
              <w:bottom w:val="nil" w:sz="6" w:space="0" w:color="auto"/>
              <w:right w:val="nil" w:sz="6" w:space="0" w:color="auto"/>
            </w:tcBorders>
          </w:tcPr>
          <w:p>
            <w:pPr>
              <w:pStyle w:val="TableParagraph"/>
              <w:tabs>
                <w:tab w:pos="1051" w:val="left" w:leader="none"/>
                <w:tab w:pos="1204" w:val="left" w:leader="none"/>
              </w:tabs>
              <w:spacing w:line="240" w:lineRule="auto" w:before="14"/>
              <w:ind w:right="79"/>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t>-</w:t>
              <w:tab/>
            </w:r>
            <w:r>
              <w:rPr>
                <w:rFonts w:ascii="Arial"/>
                <w:sz w:val="18"/>
              </w:rPr>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6"/>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 </w:t>
            </w:r>
            <w:r>
              <w:rPr>
                <w:rFonts w:ascii="Arial"/>
                <w:spacing w:val="22"/>
                <w:sz w:val="18"/>
                <w:u w:val="single" w:color="000000"/>
              </w:rPr>
              <w:t> </w:t>
            </w:r>
            <w:r>
              <w:rPr>
                <w:rFonts w:ascii="Arial"/>
                <w:spacing w:val="-1"/>
                <w:sz w:val="18"/>
                <w:u w:val="single" w:color="000000"/>
              </w:rPr>
              <w:t>212,928,356</w:t>
            </w:r>
            <w:r>
              <w:rPr>
                <w:rFonts w:ascii="Arial"/>
                <w:spacing w:val="-1"/>
                <w:sz w:val="18"/>
              </w:rPr>
            </w:r>
            <w:r>
              <w:rPr>
                <w:rFonts w:ascii="Arial"/>
                <w:sz w:val="18"/>
              </w:rPr>
            </w:r>
          </w:p>
        </w:tc>
      </w:tr>
      <w:tr>
        <w:trPr>
          <w:trHeight w:val="359"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0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48" w:type="dxa"/>
            <w:tcBorders>
              <w:top w:val="nil" w:sz="6" w:space="0" w:color="auto"/>
              <w:left w:val="nil" w:sz="6" w:space="0" w:color="auto"/>
              <w:bottom w:val="single" w:sz="17" w:space="0" w:color="000000"/>
              <w:right w:val="nil" w:sz="6" w:space="0" w:color="auto"/>
            </w:tcBorders>
          </w:tcPr>
          <w:p>
            <w:pPr>
              <w:pStyle w:val="TableParagraph"/>
              <w:spacing w:line="240" w:lineRule="auto" w:before="125"/>
              <w:ind w:right="26"/>
              <w:jc w:val="right"/>
              <w:rPr>
                <w:rFonts w:ascii="Arial" w:hAnsi="Arial" w:cs="Arial" w:eastAsia="Arial" w:hint="default"/>
                <w:sz w:val="18"/>
                <w:szCs w:val="18"/>
              </w:rPr>
            </w:pPr>
            <w:r>
              <w:rPr>
                <w:rFonts w:ascii="Arial"/>
                <w:spacing w:val="-2"/>
                <w:sz w:val="18"/>
              </w:rPr>
              <w:t>2,482,692,953</w:t>
            </w:r>
            <w:r>
              <w:rPr>
                <w:rFonts w:ascii="Arial"/>
                <w:sz w:val="18"/>
              </w:rPr>
            </w:r>
          </w:p>
        </w:tc>
        <w:tc>
          <w:tcPr>
            <w:tcW w:w="1339" w:type="dxa"/>
            <w:tcBorders>
              <w:top w:val="nil" w:sz="6" w:space="0" w:color="auto"/>
              <w:left w:val="nil" w:sz="6" w:space="0" w:color="auto"/>
              <w:bottom w:val="single" w:sz="17" w:space="0" w:color="000000"/>
              <w:right w:val="nil" w:sz="6" w:space="0" w:color="auto"/>
            </w:tcBorders>
          </w:tcPr>
          <w:p>
            <w:pPr>
              <w:pStyle w:val="TableParagraph"/>
              <w:spacing w:line="240" w:lineRule="auto" w:before="125"/>
              <w:ind w:right="109"/>
              <w:jc w:val="right"/>
              <w:rPr>
                <w:rFonts w:ascii="Arial" w:hAnsi="Arial" w:cs="Arial" w:eastAsia="Arial" w:hint="default"/>
                <w:sz w:val="18"/>
                <w:szCs w:val="18"/>
              </w:rPr>
            </w:pPr>
            <w:r>
              <w:rPr>
                <w:rFonts w:ascii="Arial"/>
                <w:spacing w:val="-2"/>
                <w:sz w:val="18"/>
              </w:rPr>
              <w:t>(123,544,780)</w:t>
            </w:r>
          </w:p>
        </w:tc>
        <w:tc>
          <w:tcPr>
            <w:tcW w:w="1315" w:type="dxa"/>
            <w:tcBorders>
              <w:top w:val="nil" w:sz="6" w:space="0" w:color="auto"/>
              <w:left w:val="nil" w:sz="6" w:space="0" w:color="auto"/>
              <w:bottom w:val="single" w:sz="17" w:space="0" w:color="000000"/>
              <w:right w:val="nil" w:sz="6" w:space="0" w:color="auto"/>
            </w:tcBorders>
          </w:tcPr>
          <w:p>
            <w:pPr>
              <w:pStyle w:val="TableParagraph"/>
              <w:spacing w:line="240" w:lineRule="auto" w:before="125"/>
              <w:ind w:right="103"/>
              <w:jc w:val="right"/>
              <w:rPr>
                <w:rFonts w:ascii="Arial" w:hAnsi="Arial" w:cs="Arial" w:eastAsia="Arial" w:hint="default"/>
                <w:sz w:val="18"/>
                <w:szCs w:val="18"/>
              </w:rPr>
            </w:pPr>
            <w:r>
              <w:rPr>
                <w:rFonts w:ascii="Arial"/>
                <w:spacing w:val="-2"/>
                <w:sz w:val="18"/>
              </w:rPr>
              <w:t>2,359,148,173</w:t>
            </w:r>
            <w:r>
              <w:rPr>
                <w:rFonts w:ascii="Arial"/>
                <w:sz w:val="18"/>
              </w:rPr>
            </w:r>
          </w:p>
        </w:tc>
        <w:tc>
          <w:tcPr>
            <w:tcW w:w="1320" w:type="dxa"/>
            <w:tcBorders>
              <w:top w:val="nil" w:sz="6" w:space="0" w:color="auto"/>
              <w:left w:val="nil" w:sz="6" w:space="0" w:color="auto"/>
              <w:bottom w:val="single" w:sz="17" w:space="0" w:color="000000"/>
              <w:right w:val="nil" w:sz="6" w:space="0" w:color="auto"/>
            </w:tcBorders>
          </w:tcPr>
          <w:p>
            <w:pPr>
              <w:pStyle w:val="TableParagraph"/>
              <w:spacing w:line="240" w:lineRule="auto" w:before="125"/>
              <w:ind w:right="98"/>
              <w:jc w:val="right"/>
              <w:rPr>
                <w:rFonts w:ascii="Arial" w:hAnsi="Arial" w:cs="Arial" w:eastAsia="Arial" w:hint="default"/>
                <w:sz w:val="18"/>
                <w:szCs w:val="18"/>
              </w:rPr>
            </w:pPr>
            <w:r>
              <w:rPr>
                <w:rFonts w:ascii="Arial"/>
                <w:spacing w:val="-2"/>
                <w:sz w:val="18"/>
              </w:rPr>
              <w:t>2,491,157,097</w:t>
            </w:r>
            <w:r>
              <w:rPr>
                <w:rFonts w:ascii="Arial"/>
                <w:sz w:val="18"/>
              </w:rPr>
            </w:r>
          </w:p>
        </w:tc>
        <w:tc>
          <w:tcPr>
            <w:tcW w:w="1286" w:type="dxa"/>
            <w:tcBorders>
              <w:top w:val="nil" w:sz="6" w:space="0" w:color="auto"/>
              <w:left w:val="nil" w:sz="6" w:space="0" w:color="auto"/>
              <w:bottom w:val="single" w:sz="17" w:space="0" w:color="000000"/>
              <w:right w:val="nil" w:sz="6" w:space="0" w:color="auto"/>
            </w:tcBorders>
          </w:tcPr>
          <w:p>
            <w:pPr>
              <w:pStyle w:val="TableParagraph"/>
              <w:spacing w:line="240" w:lineRule="auto" w:before="125"/>
              <w:ind w:right="104"/>
              <w:jc w:val="right"/>
              <w:rPr>
                <w:rFonts w:ascii="Arial" w:hAnsi="Arial" w:cs="Arial" w:eastAsia="Arial" w:hint="default"/>
                <w:sz w:val="18"/>
                <w:szCs w:val="18"/>
              </w:rPr>
            </w:pPr>
            <w:r>
              <w:rPr>
                <w:rFonts w:ascii="Arial"/>
                <w:spacing w:val="-2"/>
                <w:sz w:val="18"/>
              </w:rPr>
              <w:t>(102,829,768)</w:t>
            </w:r>
          </w:p>
        </w:tc>
        <w:tc>
          <w:tcPr>
            <w:tcW w:w="1210" w:type="dxa"/>
            <w:tcBorders>
              <w:top w:val="nil" w:sz="6" w:space="0" w:color="auto"/>
              <w:left w:val="nil" w:sz="6" w:space="0" w:color="auto"/>
              <w:bottom w:val="single" w:sz="17" w:space="0" w:color="000000"/>
              <w:right w:val="nil" w:sz="6" w:space="0" w:color="auto"/>
            </w:tcBorders>
          </w:tcPr>
          <w:p>
            <w:pPr>
              <w:pStyle w:val="TableParagraph"/>
              <w:spacing w:line="240" w:lineRule="auto" w:before="125"/>
              <w:ind w:right="26"/>
              <w:jc w:val="right"/>
              <w:rPr>
                <w:rFonts w:ascii="Arial" w:hAnsi="Arial" w:cs="Arial" w:eastAsia="Arial" w:hint="default"/>
                <w:sz w:val="18"/>
                <w:szCs w:val="18"/>
              </w:rPr>
            </w:pPr>
            <w:r>
              <w:rPr>
                <w:rFonts w:ascii="Arial"/>
                <w:spacing w:val="-2"/>
                <w:sz w:val="18"/>
              </w:rPr>
              <w:t>2,388,327,329</w:t>
            </w:r>
            <w:r>
              <w:rPr>
                <w:rFonts w:ascii="Arial"/>
                <w:sz w:val="18"/>
              </w:rPr>
            </w:r>
          </w:p>
        </w:tc>
      </w:tr>
    </w:tbl>
    <w:p>
      <w:pPr>
        <w:spacing w:after="0" w:line="240" w:lineRule="auto"/>
        <w:jc w:val="right"/>
        <w:rPr>
          <w:rFonts w:ascii="Arial" w:hAnsi="Arial" w:cs="Arial" w:eastAsia="Arial" w:hint="default"/>
          <w:sz w:val="18"/>
          <w:szCs w:val="18"/>
        </w:rPr>
        <w:sectPr>
          <w:headerReference w:type="default" r:id="rId156"/>
          <w:footerReference w:type="default" r:id="rId157"/>
          <w:pgSz w:w="11910" w:h="16840"/>
          <w:pgMar w:header="1188" w:footer="502" w:top="4680" w:bottom="700" w:left="860" w:right="1320"/>
          <w:pgNumType w:start="133"/>
        </w:sectPr>
      </w:pPr>
    </w:p>
    <w:p>
      <w:pPr>
        <w:spacing w:line="240" w:lineRule="auto" w:before="10"/>
        <w:rPr>
          <w:rFonts w:ascii="宋体" w:hAnsi="宋体" w:cs="宋体" w:eastAsia="宋体" w:hint="default"/>
          <w:sz w:val="15"/>
          <w:szCs w:val="15"/>
        </w:rPr>
      </w:pPr>
    </w:p>
    <w:p>
      <w:pPr>
        <w:pStyle w:val="BodyText"/>
        <w:spacing w:line="240" w:lineRule="auto" w:before="32"/>
        <w:ind w:left="113" w:right="0"/>
        <w:jc w:val="left"/>
      </w:pPr>
      <w:r>
        <w:rPr>
          <w:rFonts w:ascii="Arial" w:hAnsi="Arial" w:cs="Arial" w:eastAsia="Arial" w:hint="default"/>
        </w:rPr>
        <w:t>(b) </w:t>
      </w:r>
      <w:r>
        <w:rPr>
          <w:rFonts w:ascii="Arial" w:hAnsi="Arial" w:cs="Arial" w:eastAsia="Arial" w:hint="default"/>
          <w:spacing w:val="9"/>
        </w:rPr>
        <w:t> </w:t>
      </w:r>
      <w:r>
        <w:rPr/>
        <w:t>存货跌价准备分析如下：</w:t>
      </w:r>
    </w:p>
    <w:p>
      <w:pPr>
        <w:spacing w:line="240" w:lineRule="auto" w:before="3"/>
        <w:rPr>
          <w:rFonts w:ascii="宋体" w:hAnsi="宋体" w:cs="宋体" w:eastAsia="宋体" w:hint="default"/>
          <w:sz w:val="23"/>
          <w:szCs w:val="23"/>
        </w:rPr>
      </w:pPr>
    </w:p>
    <w:tbl>
      <w:tblPr>
        <w:tblW w:w="0" w:type="auto"/>
        <w:jc w:val="left"/>
        <w:tblInd w:w="340" w:type="dxa"/>
        <w:tblLayout w:type="fixed"/>
        <w:tblCellMar>
          <w:top w:w="0" w:type="dxa"/>
          <w:left w:w="0" w:type="dxa"/>
          <w:bottom w:w="0" w:type="dxa"/>
          <w:right w:w="0" w:type="dxa"/>
        </w:tblCellMar>
        <w:tblLook w:val="01E0"/>
      </w:tblPr>
      <w:tblGrid>
        <w:gridCol w:w="2902"/>
        <w:gridCol w:w="1445"/>
        <w:gridCol w:w="113"/>
        <w:gridCol w:w="1490"/>
        <w:gridCol w:w="118"/>
        <w:gridCol w:w="1438"/>
        <w:gridCol w:w="101"/>
        <w:gridCol w:w="1771"/>
      </w:tblGrid>
      <w:tr>
        <w:trPr>
          <w:trHeight w:val="497" w:hRule="exact"/>
        </w:trPr>
        <w:tc>
          <w:tcPr>
            <w:tcW w:w="2902"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single" w:sz="6" w:space="0" w:color="000000"/>
              <w:right w:val="nil" w:sz="6" w:space="0" w:color="auto"/>
            </w:tcBorders>
          </w:tcPr>
          <w:p>
            <w:pPr>
              <w:pStyle w:val="TableParagraph"/>
              <w:spacing w:line="207" w:lineRule="exact"/>
              <w:ind w:left="724" w:right="0"/>
              <w:jc w:val="left"/>
              <w:rPr>
                <w:rFonts w:ascii="宋体" w:hAnsi="宋体" w:cs="宋体" w:eastAsia="宋体" w:hint="default"/>
                <w:sz w:val="20"/>
                <w:szCs w:val="20"/>
              </w:rPr>
            </w:pPr>
            <w:r>
              <w:rPr>
                <w:rFonts w:ascii="Arial" w:hAnsi="Arial" w:cs="Arial" w:eastAsia="Arial" w:hint="default"/>
                <w:sz w:val="20"/>
                <w:szCs w:val="20"/>
              </w:rPr>
              <w:t>2018</w:t>
            </w:r>
            <w:r>
              <w:rPr>
                <w:rFonts w:ascii="Arial" w:hAnsi="Arial" w:cs="Arial" w:eastAsia="Arial" w:hint="default"/>
                <w:spacing w:val="-11"/>
                <w:sz w:val="20"/>
                <w:szCs w:val="20"/>
              </w:rPr>
              <w:t> </w:t>
            </w:r>
            <w:r>
              <w:rPr>
                <w:rFonts w:ascii="宋体" w:hAnsi="宋体" w:cs="宋体" w:eastAsia="宋体" w:hint="default"/>
                <w:sz w:val="20"/>
                <w:szCs w:val="20"/>
              </w:rPr>
              <w:t>年</w:t>
            </w:r>
          </w:p>
          <w:p>
            <w:pPr>
              <w:pStyle w:val="TableParagraph"/>
              <w:spacing w:line="268" w:lineRule="exact"/>
              <w:ind w:left="427" w:right="0"/>
              <w:jc w:val="left"/>
              <w:rPr>
                <w:rFonts w:ascii="宋体" w:hAnsi="宋体" w:cs="宋体" w:eastAsia="宋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宋体" w:hAnsi="宋体" w:cs="宋体" w:eastAsia="宋体" w:hint="default"/>
                <w:sz w:val="20"/>
                <w:szCs w:val="20"/>
              </w:rPr>
              <w:t>日</w:t>
            </w:r>
          </w:p>
        </w:tc>
        <w:tc>
          <w:tcPr>
            <w:tcW w:w="113"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41"/>
              <w:jc w:val="right"/>
              <w:rPr>
                <w:rFonts w:ascii="宋体" w:hAnsi="宋体" w:cs="宋体" w:eastAsia="宋体" w:hint="default"/>
                <w:sz w:val="20"/>
                <w:szCs w:val="20"/>
              </w:rPr>
            </w:pPr>
            <w:r>
              <w:rPr>
                <w:rFonts w:ascii="宋体" w:hAnsi="宋体" w:cs="宋体" w:eastAsia="宋体" w:hint="default"/>
                <w:sz w:val="20"/>
                <w:szCs w:val="20"/>
              </w:rPr>
              <w:t>本年计提</w:t>
            </w:r>
          </w:p>
        </w:tc>
        <w:tc>
          <w:tcPr>
            <w:tcW w:w="118"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7"/>
              <w:jc w:val="right"/>
              <w:rPr>
                <w:rFonts w:ascii="宋体" w:hAnsi="宋体" w:cs="宋体" w:eastAsia="宋体" w:hint="default"/>
                <w:sz w:val="20"/>
                <w:szCs w:val="20"/>
              </w:rPr>
            </w:pPr>
            <w:r>
              <w:rPr>
                <w:rFonts w:ascii="宋体" w:hAnsi="宋体" w:cs="宋体" w:eastAsia="宋体" w:hint="default"/>
                <w:sz w:val="20"/>
                <w:szCs w:val="20"/>
              </w:rPr>
              <w:t>本年转销</w:t>
            </w:r>
          </w:p>
        </w:tc>
        <w:tc>
          <w:tcPr>
            <w:tcW w:w="101"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single" w:sz="6" w:space="0" w:color="000000"/>
              <w:right w:val="nil" w:sz="6" w:space="0" w:color="auto"/>
            </w:tcBorders>
          </w:tcPr>
          <w:p>
            <w:pPr>
              <w:pStyle w:val="TableParagraph"/>
              <w:spacing w:line="207" w:lineRule="exact"/>
              <w:ind w:left="1056" w:right="0"/>
              <w:jc w:val="left"/>
              <w:rPr>
                <w:rFonts w:ascii="宋体" w:hAnsi="宋体" w:cs="宋体" w:eastAsia="宋体" w:hint="default"/>
                <w:sz w:val="20"/>
                <w:szCs w:val="20"/>
              </w:rPr>
            </w:pPr>
            <w:r>
              <w:rPr>
                <w:rFonts w:ascii="Arial" w:hAnsi="Arial" w:cs="Arial" w:eastAsia="Arial" w:hint="default"/>
                <w:sz w:val="20"/>
                <w:szCs w:val="20"/>
              </w:rPr>
              <w:t>2019</w:t>
            </w:r>
            <w:r>
              <w:rPr>
                <w:rFonts w:ascii="Arial" w:hAnsi="Arial" w:cs="Arial" w:eastAsia="Arial" w:hint="default"/>
                <w:spacing w:val="-11"/>
                <w:sz w:val="20"/>
                <w:szCs w:val="20"/>
              </w:rPr>
              <w:t> </w:t>
            </w:r>
            <w:r>
              <w:rPr>
                <w:rFonts w:ascii="宋体" w:hAnsi="宋体" w:cs="宋体" w:eastAsia="宋体" w:hint="default"/>
                <w:sz w:val="20"/>
                <w:szCs w:val="20"/>
              </w:rPr>
              <w:t>年</w:t>
            </w:r>
          </w:p>
          <w:p>
            <w:pPr>
              <w:pStyle w:val="TableParagraph"/>
              <w:spacing w:line="268" w:lineRule="exact"/>
              <w:ind w:left="758" w:right="0"/>
              <w:jc w:val="left"/>
              <w:rPr>
                <w:rFonts w:ascii="宋体" w:hAnsi="宋体" w:cs="宋体" w:eastAsia="宋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宋体" w:hAnsi="宋体" w:cs="宋体" w:eastAsia="宋体" w:hint="default"/>
                <w:sz w:val="20"/>
                <w:szCs w:val="20"/>
              </w:rPr>
              <w:t>日</w:t>
            </w:r>
          </w:p>
        </w:tc>
      </w:tr>
      <w:tr>
        <w:trPr>
          <w:trHeight w:val="612" w:hRule="exact"/>
        </w:trPr>
        <w:tc>
          <w:tcPr>
            <w:tcW w:w="290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left="200" w:right="0"/>
              <w:jc w:val="left"/>
              <w:rPr>
                <w:rFonts w:ascii="宋体" w:hAnsi="宋体" w:cs="宋体" w:eastAsia="宋体" w:hint="default"/>
                <w:sz w:val="20"/>
                <w:szCs w:val="20"/>
              </w:rPr>
            </w:pPr>
            <w:r>
              <w:rPr>
                <w:rFonts w:ascii="宋体" w:hAnsi="宋体" w:cs="宋体" w:eastAsia="宋体" w:hint="default"/>
                <w:sz w:val="20"/>
                <w:szCs w:val="20"/>
              </w:rPr>
              <w:t>手机及其他通信产品</w:t>
            </w:r>
          </w:p>
        </w:tc>
        <w:tc>
          <w:tcPr>
            <w:tcW w:w="1445"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3"/>
              <w:ind w:left="369" w:right="0"/>
              <w:jc w:val="left"/>
              <w:rPr>
                <w:rFonts w:ascii="Arial" w:hAnsi="Arial" w:cs="Arial" w:eastAsia="Arial" w:hint="default"/>
                <w:sz w:val="18"/>
                <w:szCs w:val="18"/>
              </w:rPr>
            </w:pPr>
            <w:r>
              <w:rPr>
                <w:rFonts w:ascii="Arial"/>
                <w:sz w:val="18"/>
              </w:rPr>
              <w:t>(99,111,073)</w:t>
            </w:r>
          </w:p>
        </w:tc>
        <w:tc>
          <w:tcPr>
            <w:tcW w:w="113" w:type="dxa"/>
            <w:tcBorders>
              <w:top w:val="nil" w:sz="6" w:space="0" w:color="auto"/>
              <w:left w:val="nil" w:sz="6" w:space="0" w:color="auto"/>
              <w:bottom w:val="nil" w:sz="6" w:space="0" w:color="auto"/>
              <w:right w:val="nil" w:sz="6" w:space="0" w:color="auto"/>
            </w:tcBorders>
          </w:tcPr>
          <w:p>
            <w:pPr/>
          </w:p>
        </w:tc>
        <w:tc>
          <w:tcPr>
            <w:tcW w:w="1490"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3"/>
              <w:ind w:right="56"/>
              <w:jc w:val="right"/>
              <w:rPr>
                <w:rFonts w:ascii="Arial" w:hAnsi="Arial" w:cs="Arial" w:eastAsia="Arial" w:hint="default"/>
                <w:sz w:val="18"/>
                <w:szCs w:val="18"/>
              </w:rPr>
            </w:pPr>
            <w:r>
              <w:rPr>
                <w:rFonts w:ascii="Arial"/>
                <w:spacing w:val="-2"/>
                <w:sz w:val="18"/>
              </w:rPr>
              <w:t>(363,602,663)</w:t>
            </w:r>
          </w:p>
        </w:tc>
        <w:tc>
          <w:tcPr>
            <w:tcW w:w="118" w:type="dxa"/>
            <w:tcBorders>
              <w:top w:val="nil" w:sz="6" w:space="0" w:color="auto"/>
              <w:left w:val="nil" w:sz="6" w:space="0" w:color="auto"/>
              <w:bottom w:val="nil" w:sz="6" w:space="0" w:color="auto"/>
              <w:right w:val="nil" w:sz="6" w:space="0" w:color="auto"/>
            </w:tcBorders>
          </w:tcPr>
          <w:p>
            <w:pPr/>
          </w:p>
        </w:tc>
        <w:tc>
          <w:tcPr>
            <w:tcW w:w="1438"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3"/>
              <w:ind w:right="45"/>
              <w:jc w:val="right"/>
              <w:rPr>
                <w:rFonts w:ascii="Arial" w:hAnsi="Arial" w:cs="Arial" w:eastAsia="Arial" w:hint="default"/>
                <w:sz w:val="18"/>
                <w:szCs w:val="18"/>
              </w:rPr>
            </w:pPr>
            <w:r>
              <w:rPr>
                <w:rFonts w:ascii="Arial"/>
                <w:spacing w:val="-1"/>
                <w:sz w:val="18"/>
              </w:rPr>
              <w:t>341,222,287</w:t>
            </w:r>
            <w:r>
              <w:rPr>
                <w:rFonts w:ascii="Arial"/>
                <w:sz w:val="18"/>
              </w:rPr>
            </w:r>
          </w:p>
        </w:tc>
        <w:tc>
          <w:tcPr>
            <w:tcW w:w="101" w:type="dxa"/>
            <w:tcBorders>
              <w:top w:val="nil" w:sz="6" w:space="0" w:color="auto"/>
              <w:left w:val="nil" w:sz="6" w:space="0" w:color="auto"/>
              <w:bottom w:val="nil" w:sz="6" w:space="0" w:color="auto"/>
              <w:right w:val="nil" w:sz="6" w:space="0" w:color="auto"/>
            </w:tcBorders>
          </w:tcPr>
          <w:p>
            <w:pPr/>
          </w:p>
        </w:tc>
        <w:tc>
          <w:tcPr>
            <w:tcW w:w="1771"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3"/>
              <w:ind w:right="52"/>
              <w:jc w:val="right"/>
              <w:rPr>
                <w:rFonts w:ascii="Arial" w:hAnsi="Arial" w:cs="Arial" w:eastAsia="Arial" w:hint="default"/>
                <w:sz w:val="18"/>
                <w:szCs w:val="18"/>
              </w:rPr>
            </w:pPr>
            <w:r>
              <w:rPr>
                <w:rFonts w:ascii="Arial"/>
                <w:spacing w:val="-2"/>
                <w:sz w:val="18"/>
              </w:rPr>
              <w:t>(121,491,449)</w:t>
            </w:r>
          </w:p>
        </w:tc>
      </w:tr>
      <w:tr>
        <w:trPr>
          <w:trHeight w:val="288" w:hRule="exact"/>
        </w:trPr>
        <w:tc>
          <w:tcPr>
            <w:tcW w:w="2902"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0"/>
                <w:szCs w:val="20"/>
              </w:rPr>
            </w:pPr>
            <w:r>
              <w:rPr>
                <w:rFonts w:ascii="Arial" w:hAnsi="Arial" w:cs="Arial" w:eastAsia="Arial" w:hint="default"/>
                <w:sz w:val="20"/>
                <w:szCs w:val="20"/>
              </w:rPr>
              <w:t>SIM </w:t>
            </w:r>
            <w:r>
              <w:rPr>
                <w:rFonts w:ascii="宋体" w:hAnsi="宋体" w:cs="宋体" w:eastAsia="宋体" w:hint="default"/>
                <w:spacing w:val="-11"/>
                <w:sz w:val="20"/>
                <w:szCs w:val="20"/>
              </w:rPr>
              <w:t>卡、</w:t>
            </w:r>
            <w:r>
              <w:rPr>
                <w:rFonts w:ascii="Arial" w:hAnsi="Arial" w:cs="Arial" w:eastAsia="Arial" w:hint="default"/>
                <w:spacing w:val="-11"/>
                <w:sz w:val="20"/>
                <w:szCs w:val="20"/>
              </w:rPr>
              <w:t>USIM</w:t>
            </w:r>
            <w:r>
              <w:rPr>
                <w:rFonts w:ascii="Arial" w:hAnsi="Arial" w:cs="Arial" w:eastAsia="Arial" w:hint="default"/>
                <w:spacing w:val="-3"/>
                <w:sz w:val="20"/>
                <w:szCs w:val="20"/>
              </w:rPr>
              <w:t> </w:t>
            </w:r>
            <w:r>
              <w:rPr>
                <w:rFonts w:ascii="宋体" w:hAnsi="宋体" w:cs="宋体" w:eastAsia="宋体" w:hint="default"/>
                <w:sz w:val="20"/>
                <w:szCs w:val="20"/>
              </w:rPr>
              <w:t>卡及预付电话卡</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47"/>
              <w:jc w:val="right"/>
              <w:rPr>
                <w:rFonts w:ascii="Arial" w:hAnsi="Arial" w:cs="Arial" w:eastAsia="Arial" w:hint="default"/>
                <w:sz w:val="18"/>
                <w:szCs w:val="18"/>
              </w:rPr>
            </w:pPr>
            <w:r>
              <w:rPr>
                <w:rFonts w:ascii="Arial"/>
                <w:spacing w:val="-2"/>
                <w:sz w:val="18"/>
              </w:rPr>
              <w:t>(3,664,445)</w:t>
            </w:r>
            <w:r>
              <w:rPr>
                <w:rFonts w:ascii="Arial"/>
                <w:sz w:val="18"/>
              </w:rPr>
            </w:r>
          </w:p>
        </w:tc>
        <w:tc>
          <w:tcPr>
            <w:tcW w:w="113"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52"/>
              <w:jc w:val="right"/>
              <w:rPr>
                <w:rFonts w:ascii="Arial" w:hAnsi="Arial" w:cs="Arial" w:eastAsia="Arial" w:hint="default"/>
                <w:sz w:val="18"/>
                <w:szCs w:val="18"/>
              </w:rPr>
            </w:pPr>
            <w:r>
              <w:rPr>
                <w:rFonts w:ascii="Arial"/>
                <w:spacing w:val="-1"/>
                <w:sz w:val="18"/>
              </w:rPr>
              <w:t>(364,664)</w:t>
            </w:r>
            <w:r>
              <w:rPr>
                <w:rFonts w:ascii="Arial"/>
                <w:sz w:val="18"/>
              </w:rPr>
            </w:r>
          </w:p>
        </w:tc>
        <w:tc>
          <w:tcPr>
            <w:tcW w:w="118"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50"/>
              <w:jc w:val="right"/>
              <w:rPr>
                <w:rFonts w:ascii="Arial" w:hAnsi="Arial" w:cs="Arial" w:eastAsia="Arial" w:hint="default"/>
                <w:sz w:val="18"/>
                <w:szCs w:val="18"/>
              </w:rPr>
            </w:pPr>
            <w:r>
              <w:rPr>
                <w:rFonts w:ascii="Arial"/>
                <w:spacing w:val="-1"/>
                <w:sz w:val="18"/>
              </w:rPr>
              <w:t>2,117,732</w:t>
            </w:r>
            <w:r>
              <w:rPr>
                <w:rFonts w:ascii="Arial"/>
                <w:sz w:val="18"/>
              </w:rPr>
            </w:r>
          </w:p>
        </w:tc>
        <w:tc>
          <w:tcPr>
            <w:tcW w:w="101"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52"/>
              <w:jc w:val="right"/>
              <w:rPr>
                <w:rFonts w:ascii="Arial" w:hAnsi="Arial" w:cs="Arial" w:eastAsia="Arial" w:hint="default"/>
                <w:sz w:val="18"/>
                <w:szCs w:val="18"/>
              </w:rPr>
            </w:pPr>
            <w:r>
              <w:rPr>
                <w:rFonts w:ascii="Arial"/>
                <w:spacing w:val="-2"/>
                <w:sz w:val="18"/>
              </w:rPr>
              <w:t>(1,911,377)</w:t>
            </w:r>
            <w:r>
              <w:rPr>
                <w:rFonts w:ascii="Arial"/>
                <w:sz w:val="18"/>
              </w:rPr>
            </w:r>
          </w:p>
        </w:tc>
      </w:tr>
      <w:tr>
        <w:trPr>
          <w:trHeight w:val="276" w:hRule="exact"/>
        </w:trPr>
        <w:tc>
          <w:tcPr>
            <w:tcW w:w="2902"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0"/>
                <w:szCs w:val="20"/>
              </w:rPr>
            </w:pPr>
            <w:r>
              <w:rPr>
                <w:rFonts w:ascii="宋体" w:hAnsi="宋体" w:cs="宋体" w:eastAsia="宋体" w:hint="default"/>
                <w:sz w:val="20"/>
                <w:szCs w:val="20"/>
              </w:rPr>
              <w:t>备品备件</w:t>
            </w:r>
          </w:p>
        </w:tc>
        <w:tc>
          <w:tcPr>
            <w:tcW w:w="1445" w:type="dxa"/>
            <w:tcBorders>
              <w:top w:val="nil" w:sz="6" w:space="0" w:color="auto"/>
              <w:left w:val="nil" w:sz="6" w:space="0" w:color="auto"/>
              <w:bottom w:val="nil" w:sz="6" w:space="0" w:color="auto"/>
              <w:right w:val="nil" w:sz="6" w:space="0" w:color="auto"/>
            </w:tcBorders>
          </w:tcPr>
          <w:p>
            <w:pPr>
              <w:pStyle w:val="TableParagraph"/>
              <w:tabs>
                <w:tab w:pos="719" w:val="left" w:leader="none"/>
                <w:tab w:pos="1444" w:val="left" w:leader="none"/>
              </w:tabs>
              <w:spacing w:line="240" w:lineRule="auto" w:before="61"/>
              <w:ind w:left="-5" w:right="0"/>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r>
            <w:r>
              <w:rPr>
                <w:rFonts w:ascii="Arial"/>
                <w:spacing w:val="-1"/>
                <w:sz w:val="18"/>
                <w:u w:val="single" w:color="000000"/>
              </w:rPr>
              <w:t>(54,250)</w:t>
              <w:tab/>
            </w:r>
            <w:r>
              <w:rPr>
                <w:rFonts w:ascii="Arial"/>
                <w:spacing w:val="-1"/>
                <w:sz w:val="18"/>
              </w:rPr>
            </w:r>
          </w:p>
        </w:tc>
        <w:tc>
          <w:tcPr>
            <w:tcW w:w="113"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tcPr>
          <w:p>
            <w:pPr>
              <w:pStyle w:val="TableParagraph"/>
              <w:tabs>
                <w:tab w:pos="753" w:val="left" w:leader="none"/>
                <w:tab w:pos="1483" w:val="left" w:leader="none"/>
              </w:tabs>
              <w:spacing w:line="240" w:lineRule="auto" w:before="61"/>
              <w:ind w:right="0"/>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r>
            <w:r>
              <w:rPr>
                <w:rFonts w:ascii="Arial"/>
                <w:spacing w:val="-1"/>
                <w:sz w:val="18"/>
                <w:u w:val="single" w:color="000000"/>
              </w:rPr>
              <w:t>(87,704)</w:t>
              <w:tab/>
            </w:r>
            <w:r>
              <w:rPr>
                <w:rFonts w:ascii="Arial"/>
                <w:spacing w:val="-1"/>
                <w:sz w:val="18"/>
              </w:rPr>
            </w:r>
          </w:p>
        </w:tc>
        <w:tc>
          <w:tcPr>
            <w:tcW w:w="118"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single" w:sz="6" w:space="0" w:color="000000"/>
              <w:right w:val="nil" w:sz="6" w:space="0" w:color="auto"/>
            </w:tcBorders>
          </w:tcPr>
          <w:p>
            <w:pPr>
              <w:pStyle w:val="TableParagraph"/>
              <w:spacing w:line="240" w:lineRule="auto" w:before="47"/>
              <w:ind w:right="47"/>
              <w:jc w:val="right"/>
              <w:rPr>
                <w:rFonts w:ascii="Arial" w:hAnsi="Arial" w:cs="Arial" w:eastAsia="Arial" w:hint="default"/>
                <w:sz w:val="18"/>
                <w:szCs w:val="18"/>
              </w:rPr>
            </w:pPr>
            <w:r>
              <w:rPr>
                <w:rFonts w:ascii="Arial"/>
                <w:w w:val="101"/>
                <w:sz w:val="18"/>
              </w:rPr>
              <w:t>-</w:t>
            </w:r>
            <w:r>
              <w:rPr>
                <w:rFonts w:ascii="Arial"/>
                <w:sz w:val="18"/>
              </w:rPr>
            </w:r>
          </w:p>
        </w:tc>
        <w:tc>
          <w:tcPr>
            <w:tcW w:w="101"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single" w:sz="6" w:space="0" w:color="000000"/>
              <w:right w:val="nil" w:sz="6" w:space="0" w:color="auto"/>
            </w:tcBorders>
          </w:tcPr>
          <w:p>
            <w:pPr>
              <w:pStyle w:val="TableParagraph"/>
              <w:spacing w:line="240" w:lineRule="auto" w:before="61"/>
              <w:ind w:right="47"/>
              <w:jc w:val="right"/>
              <w:rPr>
                <w:rFonts w:ascii="Arial" w:hAnsi="Arial" w:cs="Arial" w:eastAsia="Arial" w:hint="default"/>
                <w:sz w:val="18"/>
                <w:szCs w:val="18"/>
              </w:rPr>
            </w:pPr>
            <w:r>
              <w:rPr>
                <w:rFonts w:ascii="Arial"/>
                <w:spacing w:val="-1"/>
                <w:sz w:val="18"/>
              </w:rPr>
              <w:t>(141,954)</w:t>
            </w:r>
            <w:r>
              <w:rPr>
                <w:rFonts w:ascii="Arial"/>
                <w:sz w:val="18"/>
              </w:rPr>
            </w:r>
          </w:p>
        </w:tc>
      </w:tr>
      <w:tr>
        <w:trPr>
          <w:trHeight w:val="624" w:hRule="exact"/>
        </w:trPr>
        <w:tc>
          <w:tcPr>
            <w:tcW w:w="290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200"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445" w:type="dxa"/>
            <w:tcBorders>
              <w:top w:val="nil" w:sz="6" w:space="0" w:color="auto"/>
              <w:left w:val="nil" w:sz="6" w:space="0" w:color="auto"/>
              <w:bottom w:val="single" w:sz="17"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9"/>
              <w:ind w:left="273" w:right="0"/>
              <w:jc w:val="left"/>
              <w:rPr>
                <w:rFonts w:ascii="Arial" w:hAnsi="Arial" w:cs="Arial" w:eastAsia="Arial" w:hint="default"/>
                <w:sz w:val="18"/>
                <w:szCs w:val="18"/>
              </w:rPr>
            </w:pPr>
            <w:r>
              <w:rPr>
                <w:rFonts w:ascii="Arial"/>
                <w:sz w:val="18"/>
              </w:rPr>
              <w:t>(102,829,768)</w:t>
            </w:r>
          </w:p>
        </w:tc>
        <w:tc>
          <w:tcPr>
            <w:tcW w:w="113"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single" w:sz="17"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right="56"/>
              <w:jc w:val="right"/>
              <w:rPr>
                <w:rFonts w:ascii="Arial" w:hAnsi="Arial" w:cs="Arial" w:eastAsia="Arial" w:hint="default"/>
                <w:sz w:val="18"/>
                <w:szCs w:val="18"/>
              </w:rPr>
            </w:pPr>
            <w:r>
              <w:rPr>
                <w:rFonts w:ascii="Arial"/>
                <w:spacing w:val="-2"/>
                <w:sz w:val="18"/>
              </w:rPr>
              <w:t>(364,055,031)</w:t>
            </w:r>
          </w:p>
        </w:tc>
        <w:tc>
          <w:tcPr>
            <w:tcW w:w="118" w:type="dxa"/>
            <w:tcBorders>
              <w:top w:val="nil" w:sz="6" w:space="0" w:color="auto"/>
              <w:left w:val="nil" w:sz="6" w:space="0" w:color="auto"/>
              <w:bottom w:val="nil" w:sz="6" w:space="0" w:color="auto"/>
              <w:right w:val="nil" w:sz="6" w:space="0" w:color="auto"/>
            </w:tcBorders>
          </w:tcPr>
          <w:p>
            <w:pPr/>
          </w:p>
        </w:tc>
        <w:tc>
          <w:tcPr>
            <w:tcW w:w="1438" w:type="dxa"/>
            <w:tcBorders>
              <w:top w:val="single" w:sz="6" w:space="0" w:color="000000"/>
              <w:left w:val="nil" w:sz="6" w:space="0" w:color="auto"/>
              <w:bottom w:val="single" w:sz="17"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2"/>
              <w:ind w:right="45"/>
              <w:jc w:val="right"/>
              <w:rPr>
                <w:rFonts w:ascii="Arial" w:hAnsi="Arial" w:cs="Arial" w:eastAsia="Arial" w:hint="default"/>
                <w:sz w:val="18"/>
                <w:szCs w:val="18"/>
              </w:rPr>
            </w:pPr>
            <w:r>
              <w:rPr>
                <w:rFonts w:ascii="Arial"/>
                <w:spacing w:val="-1"/>
                <w:sz w:val="18"/>
              </w:rPr>
              <w:t>343,340,019</w:t>
            </w:r>
            <w:r>
              <w:rPr>
                <w:rFonts w:ascii="Arial"/>
                <w:sz w:val="18"/>
              </w:rPr>
            </w:r>
          </w:p>
        </w:tc>
        <w:tc>
          <w:tcPr>
            <w:tcW w:w="101" w:type="dxa"/>
            <w:tcBorders>
              <w:top w:val="nil" w:sz="6" w:space="0" w:color="auto"/>
              <w:left w:val="nil" w:sz="6" w:space="0" w:color="auto"/>
              <w:bottom w:val="nil" w:sz="6" w:space="0" w:color="auto"/>
              <w:right w:val="nil" w:sz="6" w:space="0" w:color="auto"/>
            </w:tcBorders>
          </w:tcPr>
          <w:p>
            <w:pPr/>
          </w:p>
        </w:tc>
        <w:tc>
          <w:tcPr>
            <w:tcW w:w="1771" w:type="dxa"/>
            <w:tcBorders>
              <w:top w:val="single" w:sz="6" w:space="0" w:color="000000"/>
              <w:left w:val="nil" w:sz="6" w:space="0" w:color="auto"/>
              <w:bottom w:val="single" w:sz="17"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2"/>
              <w:ind w:right="52"/>
              <w:jc w:val="right"/>
              <w:rPr>
                <w:rFonts w:ascii="Arial" w:hAnsi="Arial" w:cs="Arial" w:eastAsia="Arial" w:hint="default"/>
                <w:sz w:val="18"/>
                <w:szCs w:val="18"/>
              </w:rPr>
            </w:pPr>
            <w:r>
              <w:rPr>
                <w:rFonts w:ascii="Arial"/>
                <w:spacing w:val="-2"/>
                <w:sz w:val="18"/>
              </w:rPr>
              <w:t>(123,544,780)</w:t>
            </w:r>
          </w:p>
        </w:tc>
      </w:tr>
    </w:tbl>
    <w:p>
      <w:pPr>
        <w:spacing w:line="240" w:lineRule="auto" w:before="2"/>
        <w:rPr>
          <w:rFonts w:ascii="宋体" w:hAnsi="宋体" w:cs="宋体" w:eastAsia="宋体" w:hint="default"/>
          <w:sz w:val="14"/>
          <w:szCs w:val="14"/>
        </w:rPr>
      </w:pPr>
    </w:p>
    <w:p>
      <w:pPr>
        <w:pStyle w:val="BodyText"/>
        <w:spacing w:line="284" w:lineRule="exact" w:before="62"/>
        <w:ind w:left="516" w:right="0" w:hanging="403"/>
        <w:jc w:val="left"/>
      </w:pPr>
      <w:r>
        <w:rPr>
          <w:rFonts w:ascii="Arial" w:hAnsi="Arial" w:cs="Arial" w:eastAsia="Arial" w:hint="default"/>
        </w:rPr>
        <w:t>(c)</w:t>
      </w:r>
      <w:r>
        <w:rPr>
          <w:rFonts w:ascii="Arial" w:hAnsi="Arial" w:cs="Arial" w:eastAsia="Arial" w:hint="default"/>
          <w:spacing w:val="17"/>
        </w:rPr>
        <w:t> </w:t>
      </w:r>
      <w:r>
        <w:rPr/>
        <w:t>存货跌价准备的计提主要是因为存货陈旧过时或销售价格下降。本年转销是由于部分在以前年度</w:t>
      </w:r>
      <w:r>
        <w:rPr>
          <w:w w:val="100"/>
        </w:rPr>
        <w:t> </w:t>
      </w:r>
      <w:r>
        <w:rPr/>
        <w:t>已计提跌价准备的存货于本年因出售而转出相应已计提的跌价准备。</w:t>
      </w:r>
    </w:p>
    <w:p>
      <w:pPr>
        <w:spacing w:after="0" w:line="284" w:lineRule="exact"/>
        <w:jc w:val="left"/>
        <w:sectPr>
          <w:headerReference w:type="default" r:id="rId158"/>
          <w:pgSz w:w="11910" w:h="16840"/>
          <w:pgMar w:header="1188" w:footer="502" w:top="3600" w:bottom="700" w:left="880" w:right="1160"/>
        </w:sectPr>
      </w:pPr>
    </w:p>
    <w:p>
      <w:pPr>
        <w:spacing w:line="240" w:lineRule="auto" w:before="7"/>
        <w:rPr>
          <w:rFonts w:ascii="宋体" w:hAnsi="宋体" w:cs="宋体" w:eastAsia="宋体" w:hint="default"/>
          <w:sz w:val="16"/>
          <w:szCs w:val="16"/>
        </w:rPr>
      </w:pPr>
    </w:p>
    <w:p>
      <w:pPr>
        <w:pStyle w:val="BodyText"/>
        <w:spacing w:line="240" w:lineRule="auto" w:before="32"/>
        <w:ind w:left="148" w:right="0"/>
        <w:jc w:val="left"/>
      </w:pPr>
      <w:r>
        <w:rPr>
          <w:rFonts w:ascii="Arial" w:hAnsi="Arial" w:cs="Arial" w:eastAsia="Arial" w:hint="default"/>
        </w:rPr>
        <w:t>8</w:t>
      </w:r>
      <w:r>
        <w:rPr/>
        <w:t>、合同资产</w:t>
      </w:r>
    </w:p>
    <w:p>
      <w:pPr>
        <w:spacing w:line="240" w:lineRule="auto" w:before="11"/>
        <w:rPr>
          <w:rFonts w:ascii="宋体" w:hAnsi="宋体" w:cs="宋体" w:eastAsia="宋体" w:hint="default"/>
          <w:sz w:val="17"/>
          <w:szCs w:val="17"/>
        </w:rPr>
      </w:pPr>
    </w:p>
    <w:p>
      <w:pPr>
        <w:pStyle w:val="BodyText"/>
        <w:spacing w:line="240" w:lineRule="auto"/>
        <w:ind w:left="148" w:right="0"/>
        <w:jc w:val="left"/>
      </w:pPr>
      <w:r>
        <w:rPr>
          <w:rFonts w:ascii="Arial" w:hAnsi="Arial" w:cs="Arial" w:eastAsia="Arial" w:hint="default"/>
        </w:rPr>
        <w:t>(a) </w:t>
      </w:r>
      <w:r>
        <w:rPr>
          <w:rFonts w:ascii="Arial" w:hAnsi="Arial" w:cs="Arial" w:eastAsia="Arial" w:hint="default"/>
          <w:spacing w:val="15"/>
        </w:rPr>
        <w:t> </w:t>
      </w:r>
      <w:r>
        <w:rPr/>
        <w:t>合同资产按性质分析如下：</w:t>
      </w:r>
    </w:p>
    <w:p>
      <w:pPr>
        <w:spacing w:line="240" w:lineRule="auto" w:before="6"/>
        <w:rPr>
          <w:rFonts w:ascii="宋体" w:hAnsi="宋体" w:cs="宋体" w:eastAsia="宋体" w:hint="default"/>
          <w:sz w:val="23"/>
          <w:szCs w:val="23"/>
        </w:rPr>
      </w:pPr>
    </w:p>
    <w:tbl>
      <w:tblPr>
        <w:tblW w:w="0" w:type="auto"/>
        <w:jc w:val="left"/>
        <w:tblInd w:w="346" w:type="dxa"/>
        <w:tblLayout w:type="fixed"/>
        <w:tblCellMar>
          <w:top w:w="0" w:type="dxa"/>
          <w:left w:w="0" w:type="dxa"/>
          <w:bottom w:w="0" w:type="dxa"/>
          <w:right w:w="0" w:type="dxa"/>
        </w:tblCellMar>
        <w:tblLook w:val="01E0"/>
      </w:tblPr>
      <w:tblGrid>
        <w:gridCol w:w="2919"/>
        <w:gridCol w:w="1231"/>
        <w:gridCol w:w="2381"/>
        <w:gridCol w:w="173"/>
        <w:gridCol w:w="2386"/>
      </w:tblGrid>
      <w:tr>
        <w:trPr>
          <w:trHeight w:val="259" w:hRule="exact"/>
        </w:trPr>
        <w:tc>
          <w:tcPr>
            <w:tcW w:w="2919" w:type="dxa"/>
            <w:tcBorders>
              <w:top w:val="nil" w:sz="6" w:space="0" w:color="auto"/>
              <w:left w:val="nil" w:sz="6" w:space="0" w:color="auto"/>
              <w:bottom w:val="nil" w:sz="6" w:space="0" w:color="auto"/>
              <w:right w:val="nil" w:sz="6" w:space="0" w:color="auto"/>
            </w:tcBorders>
          </w:tcPr>
          <w:p>
            <w:pPr/>
          </w:p>
        </w:tc>
        <w:tc>
          <w:tcPr>
            <w:tcW w:w="1231" w:type="dxa"/>
            <w:tcBorders>
              <w:top w:val="nil" w:sz="6" w:space="0" w:color="auto"/>
              <w:left w:val="nil" w:sz="6" w:space="0" w:color="auto"/>
              <w:bottom w:val="nil" w:sz="6" w:space="0" w:color="auto"/>
              <w:right w:val="nil" w:sz="6" w:space="0" w:color="auto"/>
            </w:tcBorders>
          </w:tcPr>
          <w:p>
            <w:pPr/>
          </w:p>
        </w:tc>
        <w:tc>
          <w:tcPr>
            <w:tcW w:w="2381" w:type="dxa"/>
            <w:tcBorders>
              <w:top w:val="nil" w:sz="6" w:space="0" w:color="auto"/>
              <w:left w:val="nil" w:sz="6" w:space="0" w:color="auto"/>
              <w:bottom w:val="single" w:sz="6" w:space="0" w:color="000000"/>
              <w:right w:val="nil" w:sz="6" w:space="0" w:color="auto"/>
            </w:tcBorders>
          </w:tcPr>
          <w:p>
            <w:pPr>
              <w:pStyle w:val="TableParagraph"/>
              <w:spacing w:line="236" w:lineRule="exact"/>
              <w:ind w:right="60"/>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173" w:type="dxa"/>
            <w:tcBorders>
              <w:top w:val="nil" w:sz="6" w:space="0" w:color="auto"/>
              <w:left w:val="nil" w:sz="6" w:space="0" w:color="auto"/>
              <w:bottom w:val="nil" w:sz="6" w:space="0" w:color="auto"/>
              <w:right w:val="nil" w:sz="6" w:space="0" w:color="auto"/>
            </w:tcBorders>
          </w:tcPr>
          <w:p>
            <w:pPr/>
          </w:p>
        </w:tc>
        <w:tc>
          <w:tcPr>
            <w:tcW w:w="2386" w:type="dxa"/>
            <w:tcBorders>
              <w:top w:val="nil" w:sz="6" w:space="0" w:color="auto"/>
              <w:left w:val="nil" w:sz="6" w:space="0" w:color="auto"/>
              <w:bottom w:val="single" w:sz="6" w:space="0" w:color="000000"/>
              <w:right w:val="nil" w:sz="6" w:space="0" w:color="auto"/>
            </w:tcBorders>
          </w:tcPr>
          <w:p>
            <w:pPr>
              <w:pStyle w:val="TableParagraph"/>
              <w:spacing w:line="236" w:lineRule="exact"/>
              <w:ind w:right="47"/>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615" w:hRule="exact"/>
        </w:trPr>
        <w:tc>
          <w:tcPr>
            <w:tcW w:w="291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应收合约用户通信终端款</w:t>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4"/>
              <w:jc w:val="center"/>
              <w:rPr>
                <w:rFonts w:ascii="宋体" w:hAnsi="宋体" w:cs="宋体" w:eastAsia="宋体" w:hint="default"/>
                <w:sz w:val="22"/>
                <w:szCs w:val="22"/>
              </w:rPr>
            </w:pPr>
            <w:r>
              <w:rPr>
                <w:rFonts w:ascii="宋体" w:hAnsi="宋体" w:cs="宋体" w:eastAsia="宋体" w:hint="default"/>
                <w:w w:val="100"/>
                <w:sz w:val="22"/>
                <w:szCs w:val="22"/>
              </w:rPr>
              <w:t>注</w:t>
            </w:r>
          </w:p>
        </w:tc>
        <w:tc>
          <w:tcPr>
            <w:tcW w:w="2381" w:type="dxa"/>
            <w:tcBorders>
              <w:top w:val="single" w:sz="6"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right="62"/>
              <w:jc w:val="right"/>
              <w:rPr>
                <w:rFonts w:ascii="Arial" w:hAnsi="Arial" w:cs="Arial" w:eastAsia="Arial" w:hint="default"/>
                <w:sz w:val="22"/>
                <w:szCs w:val="22"/>
              </w:rPr>
            </w:pPr>
            <w:r>
              <w:rPr>
                <w:rFonts w:ascii="Arial"/>
                <w:spacing w:val="-1"/>
                <w:sz w:val="22"/>
              </w:rPr>
              <w:t>3,025,815,608</w:t>
            </w:r>
          </w:p>
        </w:tc>
        <w:tc>
          <w:tcPr>
            <w:tcW w:w="173" w:type="dxa"/>
            <w:tcBorders>
              <w:top w:val="nil" w:sz="6" w:space="0" w:color="auto"/>
              <w:left w:val="nil" w:sz="6" w:space="0" w:color="auto"/>
              <w:bottom w:val="nil" w:sz="6" w:space="0" w:color="auto"/>
              <w:right w:val="nil" w:sz="6" w:space="0" w:color="auto"/>
            </w:tcBorders>
          </w:tcPr>
          <w:p>
            <w:pPr/>
          </w:p>
        </w:tc>
        <w:tc>
          <w:tcPr>
            <w:tcW w:w="2386" w:type="dxa"/>
            <w:tcBorders>
              <w:top w:val="single" w:sz="6"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right="86"/>
              <w:jc w:val="right"/>
              <w:rPr>
                <w:rFonts w:ascii="Arial" w:hAnsi="Arial" w:cs="Arial" w:eastAsia="Arial" w:hint="default"/>
                <w:sz w:val="22"/>
                <w:szCs w:val="22"/>
              </w:rPr>
            </w:pPr>
            <w:r>
              <w:rPr>
                <w:rFonts w:ascii="Arial"/>
                <w:spacing w:val="-1"/>
                <w:sz w:val="22"/>
              </w:rPr>
              <w:t>2,960,152,715</w:t>
            </w:r>
          </w:p>
        </w:tc>
      </w:tr>
      <w:tr>
        <w:trPr>
          <w:trHeight w:val="293" w:hRule="exact"/>
        </w:trPr>
        <w:tc>
          <w:tcPr>
            <w:tcW w:w="2919"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3612" w:type="dxa"/>
            <w:gridSpan w:val="2"/>
            <w:tcBorders>
              <w:top w:val="nil" w:sz="6" w:space="0" w:color="auto"/>
              <w:left w:val="nil" w:sz="6" w:space="0" w:color="auto"/>
              <w:bottom w:val="nil" w:sz="6" w:space="0" w:color="auto"/>
              <w:right w:val="nil" w:sz="6" w:space="0" w:color="auto"/>
            </w:tcBorders>
          </w:tcPr>
          <w:p>
            <w:pPr>
              <w:pStyle w:val="TableParagraph"/>
              <w:tabs>
                <w:tab w:pos="2445" w:val="left" w:leader="none"/>
                <w:tab w:pos="3611" w:val="left" w:leader="none"/>
              </w:tabs>
              <w:spacing w:line="240" w:lineRule="auto" w:before="21"/>
              <w:ind w:left="1231"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47,100,092</w:t>
              <w:tab/>
            </w:r>
            <w:r>
              <w:rPr>
                <w:rFonts w:ascii="Arial"/>
                <w:sz w:val="22"/>
              </w:rPr>
            </w:r>
          </w:p>
        </w:tc>
        <w:tc>
          <w:tcPr>
            <w:tcW w:w="173" w:type="dxa"/>
            <w:tcBorders>
              <w:top w:val="nil" w:sz="6" w:space="0" w:color="auto"/>
              <w:left w:val="nil" w:sz="6" w:space="0" w:color="auto"/>
              <w:bottom w:val="nil" w:sz="6" w:space="0" w:color="auto"/>
              <w:right w:val="nil" w:sz="6" w:space="0" w:color="auto"/>
            </w:tcBorders>
          </w:tcPr>
          <w:p>
            <w:pPr/>
          </w:p>
        </w:tc>
        <w:tc>
          <w:tcPr>
            <w:tcW w:w="2386" w:type="dxa"/>
            <w:tcBorders>
              <w:top w:val="nil" w:sz="6" w:space="0" w:color="auto"/>
              <w:left w:val="nil" w:sz="6" w:space="0" w:color="auto"/>
              <w:bottom w:val="nil" w:sz="6" w:space="0" w:color="auto"/>
              <w:right w:val="nil" w:sz="6" w:space="0" w:color="auto"/>
            </w:tcBorders>
          </w:tcPr>
          <w:p>
            <w:pPr>
              <w:pStyle w:val="TableParagraph"/>
              <w:tabs>
                <w:tab w:pos="2222"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tab/>
            </w:r>
            <w:r>
              <w:rPr>
                <w:rFonts w:ascii="Arial"/>
                <w:sz w:val="22"/>
              </w:rPr>
            </w:r>
          </w:p>
        </w:tc>
      </w:tr>
      <w:tr>
        <w:trPr>
          <w:trHeight w:val="415" w:hRule="exact"/>
        </w:trPr>
        <w:tc>
          <w:tcPr>
            <w:tcW w:w="2919" w:type="dxa"/>
            <w:tcBorders>
              <w:top w:val="nil" w:sz="6" w:space="0" w:color="auto"/>
              <w:left w:val="nil" w:sz="6" w:space="0" w:color="auto"/>
              <w:bottom w:val="nil" w:sz="6" w:space="0" w:color="auto"/>
              <w:right w:val="nil" w:sz="6" w:space="0" w:color="auto"/>
            </w:tcBorders>
          </w:tcPr>
          <w:p>
            <w:pPr>
              <w:pStyle w:val="TableParagraph"/>
              <w:spacing w:line="244" w:lineRule="exact"/>
              <w:ind w:left="200" w:right="0"/>
              <w:jc w:val="left"/>
              <w:rPr>
                <w:rFonts w:ascii="宋体" w:hAnsi="宋体" w:cs="宋体" w:eastAsia="宋体" w:hint="default"/>
                <w:sz w:val="22"/>
                <w:szCs w:val="22"/>
              </w:rPr>
            </w:pPr>
            <w:r>
              <w:rPr>
                <w:rFonts w:ascii="宋体" w:hAnsi="宋体" w:cs="宋体" w:eastAsia="宋体" w:hint="default"/>
                <w:sz w:val="22"/>
                <w:szCs w:val="22"/>
              </w:rPr>
              <w:t>小计</w:t>
            </w:r>
          </w:p>
        </w:tc>
        <w:tc>
          <w:tcPr>
            <w:tcW w:w="361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1"/>
              <w:ind w:left="2138" w:right="0"/>
              <w:jc w:val="left"/>
              <w:rPr>
                <w:rFonts w:ascii="Arial" w:hAnsi="Arial" w:cs="Arial" w:eastAsia="Arial" w:hint="default"/>
                <w:sz w:val="22"/>
                <w:szCs w:val="22"/>
              </w:rPr>
            </w:pPr>
            <w:r>
              <w:rPr>
                <w:rFonts w:ascii="Arial"/>
                <w:sz w:val="22"/>
              </w:rPr>
              <w:t>3,072,915,700</w:t>
            </w:r>
          </w:p>
        </w:tc>
        <w:tc>
          <w:tcPr>
            <w:tcW w:w="173" w:type="dxa"/>
            <w:tcBorders>
              <w:top w:val="nil" w:sz="6" w:space="0" w:color="auto"/>
              <w:left w:val="nil" w:sz="6" w:space="0" w:color="auto"/>
              <w:bottom w:val="nil" w:sz="6" w:space="0" w:color="auto"/>
              <w:right w:val="nil" w:sz="6" w:space="0" w:color="auto"/>
            </w:tcBorders>
          </w:tcPr>
          <w:p>
            <w:pPr/>
          </w:p>
        </w:tc>
        <w:tc>
          <w:tcPr>
            <w:tcW w:w="238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86"/>
              <w:jc w:val="right"/>
              <w:rPr>
                <w:rFonts w:ascii="Arial" w:hAnsi="Arial" w:cs="Arial" w:eastAsia="Arial" w:hint="default"/>
                <w:sz w:val="22"/>
                <w:szCs w:val="22"/>
              </w:rPr>
            </w:pPr>
            <w:r>
              <w:rPr>
                <w:rFonts w:ascii="Arial"/>
                <w:spacing w:val="-1"/>
                <w:sz w:val="22"/>
              </w:rPr>
              <w:t>2,960,152,715</w:t>
            </w:r>
          </w:p>
        </w:tc>
      </w:tr>
      <w:tr>
        <w:trPr>
          <w:trHeight w:val="542" w:hRule="exact"/>
        </w:trPr>
        <w:tc>
          <w:tcPr>
            <w:tcW w:w="2919" w:type="dxa"/>
            <w:tcBorders>
              <w:top w:val="nil" w:sz="6" w:space="0" w:color="auto"/>
              <w:left w:val="nil" w:sz="6" w:space="0" w:color="auto"/>
              <w:bottom w:val="nil" w:sz="6" w:space="0" w:color="auto"/>
              <w:right w:val="nil" w:sz="6" w:space="0" w:color="auto"/>
            </w:tcBorders>
          </w:tcPr>
          <w:p>
            <w:pPr>
              <w:pStyle w:val="TableParagraph"/>
              <w:spacing w:line="240" w:lineRule="auto" w:before="78"/>
              <w:ind w:left="200" w:right="0"/>
              <w:jc w:val="left"/>
              <w:rPr>
                <w:rFonts w:ascii="宋体" w:hAnsi="宋体" w:cs="宋体" w:eastAsia="宋体" w:hint="default"/>
                <w:sz w:val="22"/>
                <w:szCs w:val="22"/>
              </w:rPr>
            </w:pPr>
            <w:r>
              <w:rPr>
                <w:rFonts w:ascii="宋体" w:hAnsi="宋体" w:cs="宋体" w:eastAsia="宋体" w:hint="default"/>
                <w:sz w:val="22"/>
                <w:szCs w:val="22"/>
              </w:rPr>
              <w:t>减：坏账准备</w:t>
            </w:r>
          </w:p>
        </w:tc>
        <w:tc>
          <w:tcPr>
            <w:tcW w:w="3612" w:type="dxa"/>
            <w:gridSpan w:val="2"/>
            <w:tcBorders>
              <w:top w:val="nil" w:sz="6" w:space="0" w:color="auto"/>
              <w:left w:val="nil" w:sz="6" w:space="0" w:color="auto"/>
              <w:bottom w:val="nil" w:sz="6" w:space="0" w:color="auto"/>
              <w:right w:val="nil" w:sz="6" w:space="0" w:color="auto"/>
            </w:tcBorders>
          </w:tcPr>
          <w:p>
            <w:pPr>
              <w:pStyle w:val="TableParagraph"/>
              <w:tabs>
                <w:tab w:pos="2051" w:val="left" w:leader="none"/>
              </w:tabs>
              <w:spacing w:line="240" w:lineRule="auto" w:before="143"/>
              <w:ind w:left="1231"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(1,170,160,537)</w:t>
            </w:r>
            <w:r>
              <w:rPr>
                <w:rFonts w:ascii="Arial"/>
                <w:sz w:val="22"/>
              </w:rPr>
            </w:r>
          </w:p>
        </w:tc>
        <w:tc>
          <w:tcPr>
            <w:tcW w:w="173" w:type="dxa"/>
            <w:tcBorders>
              <w:top w:val="nil" w:sz="6" w:space="0" w:color="auto"/>
              <w:left w:val="nil" w:sz="6" w:space="0" w:color="auto"/>
              <w:bottom w:val="nil" w:sz="6" w:space="0" w:color="auto"/>
              <w:right w:val="nil" w:sz="6" w:space="0" w:color="auto"/>
            </w:tcBorders>
          </w:tcPr>
          <w:p>
            <w:pPr/>
          </w:p>
        </w:tc>
        <w:tc>
          <w:tcPr>
            <w:tcW w:w="2386" w:type="dxa"/>
            <w:tcBorders>
              <w:top w:val="nil" w:sz="6" w:space="0" w:color="auto"/>
              <w:left w:val="nil" w:sz="6" w:space="0" w:color="auto"/>
              <w:bottom w:val="nil" w:sz="6" w:space="0" w:color="auto"/>
              <w:right w:val="nil" w:sz="6" w:space="0" w:color="auto"/>
            </w:tcBorders>
          </w:tcPr>
          <w:p>
            <w:pPr>
              <w:pStyle w:val="TableParagraph"/>
              <w:tabs>
                <w:tab w:pos="825" w:val="left" w:leader="none"/>
              </w:tabs>
              <w:spacing w:line="240" w:lineRule="auto" w:before="143"/>
              <w:ind w:right="1"/>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(1,135,648,384)</w:t>
            </w:r>
            <w:r>
              <w:rPr>
                <w:rFonts w:ascii="Arial"/>
                <w:spacing w:val="-1"/>
                <w:sz w:val="22"/>
              </w:rPr>
            </w:r>
            <w:r>
              <w:rPr>
                <w:rFonts w:ascii="Arial"/>
                <w:sz w:val="22"/>
              </w:rPr>
            </w:r>
          </w:p>
        </w:tc>
      </w:tr>
      <w:tr>
        <w:trPr>
          <w:trHeight w:val="429" w:hRule="exact"/>
        </w:trPr>
        <w:tc>
          <w:tcPr>
            <w:tcW w:w="2919"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1231" w:type="dxa"/>
            <w:tcBorders>
              <w:top w:val="nil" w:sz="6" w:space="0" w:color="auto"/>
              <w:left w:val="nil" w:sz="6" w:space="0" w:color="auto"/>
              <w:bottom w:val="nil" w:sz="6" w:space="0" w:color="auto"/>
              <w:right w:val="nil" w:sz="6" w:space="0" w:color="auto"/>
            </w:tcBorders>
          </w:tcPr>
          <w:p>
            <w:pPr/>
          </w:p>
        </w:tc>
        <w:tc>
          <w:tcPr>
            <w:tcW w:w="2381" w:type="dxa"/>
            <w:tcBorders>
              <w:top w:val="nil" w:sz="6" w:space="0" w:color="auto"/>
              <w:left w:val="nil" w:sz="6" w:space="0" w:color="auto"/>
              <w:bottom w:val="single" w:sz="17" w:space="0" w:color="000000"/>
              <w:right w:val="nil" w:sz="6" w:space="0" w:color="auto"/>
            </w:tcBorders>
          </w:tcPr>
          <w:p>
            <w:pPr>
              <w:pStyle w:val="TableParagraph"/>
              <w:spacing w:line="240" w:lineRule="auto" w:before="153"/>
              <w:ind w:right="62"/>
              <w:jc w:val="right"/>
              <w:rPr>
                <w:rFonts w:ascii="Arial" w:hAnsi="Arial" w:cs="Arial" w:eastAsia="Arial" w:hint="default"/>
                <w:sz w:val="22"/>
                <w:szCs w:val="22"/>
              </w:rPr>
            </w:pPr>
            <w:r>
              <w:rPr>
                <w:rFonts w:ascii="Arial"/>
                <w:spacing w:val="-1"/>
                <w:sz w:val="22"/>
              </w:rPr>
              <w:t>1,902,755,163</w:t>
            </w:r>
          </w:p>
        </w:tc>
        <w:tc>
          <w:tcPr>
            <w:tcW w:w="173" w:type="dxa"/>
            <w:tcBorders>
              <w:top w:val="nil" w:sz="6" w:space="0" w:color="auto"/>
              <w:left w:val="nil" w:sz="6" w:space="0" w:color="auto"/>
              <w:bottom w:val="nil" w:sz="6" w:space="0" w:color="auto"/>
              <w:right w:val="nil" w:sz="6" w:space="0" w:color="auto"/>
            </w:tcBorders>
          </w:tcPr>
          <w:p>
            <w:pPr/>
          </w:p>
        </w:tc>
        <w:tc>
          <w:tcPr>
            <w:tcW w:w="2386" w:type="dxa"/>
            <w:tcBorders>
              <w:top w:val="nil" w:sz="6" w:space="0" w:color="auto"/>
              <w:left w:val="nil" w:sz="6" w:space="0" w:color="auto"/>
              <w:bottom w:val="single" w:sz="17" w:space="0" w:color="000000"/>
              <w:right w:val="nil" w:sz="6" w:space="0" w:color="auto"/>
            </w:tcBorders>
          </w:tcPr>
          <w:p>
            <w:pPr>
              <w:pStyle w:val="TableParagraph"/>
              <w:spacing w:line="240" w:lineRule="auto" w:before="153"/>
              <w:ind w:right="86"/>
              <w:jc w:val="right"/>
              <w:rPr>
                <w:rFonts w:ascii="Arial" w:hAnsi="Arial" w:cs="Arial" w:eastAsia="Arial" w:hint="default"/>
                <w:sz w:val="22"/>
                <w:szCs w:val="22"/>
              </w:rPr>
            </w:pPr>
            <w:r>
              <w:rPr>
                <w:rFonts w:ascii="Arial"/>
                <w:spacing w:val="-1"/>
                <w:sz w:val="22"/>
              </w:rPr>
              <w:t>1,824,504,331</w:t>
            </w:r>
          </w:p>
        </w:tc>
      </w:tr>
      <w:tr>
        <w:trPr>
          <w:trHeight w:val="572" w:hRule="exact"/>
        </w:trPr>
        <w:tc>
          <w:tcPr>
            <w:tcW w:w="291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72"/>
              <w:jc w:val="right"/>
              <w:rPr>
                <w:rFonts w:ascii="宋体" w:hAnsi="宋体" w:cs="宋体" w:eastAsia="宋体" w:hint="default"/>
                <w:sz w:val="22"/>
                <w:szCs w:val="22"/>
              </w:rPr>
            </w:pPr>
            <w:r>
              <w:rPr>
                <w:rFonts w:ascii="宋体" w:hAnsi="宋体" w:cs="宋体" w:eastAsia="宋体" w:hint="default"/>
                <w:spacing w:val="-1"/>
                <w:sz w:val="22"/>
                <w:szCs w:val="22"/>
              </w:rPr>
              <w:t>其中：回收期一年以内部分</w:t>
            </w:r>
          </w:p>
        </w:tc>
        <w:tc>
          <w:tcPr>
            <w:tcW w:w="1231" w:type="dxa"/>
            <w:tcBorders>
              <w:top w:val="nil" w:sz="6" w:space="0" w:color="auto"/>
              <w:left w:val="nil" w:sz="6" w:space="0" w:color="auto"/>
              <w:bottom w:val="nil" w:sz="6" w:space="0" w:color="auto"/>
              <w:right w:val="nil" w:sz="6" w:space="0" w:color="auto"/>
            </w:tcBorders>
          </w:tcPr>
          <w:p>
            <w:pPr/>
          </w:p>
        </w:tc>
        <w:tc>
          <w:tcPr>
            <w:tcW w:w="2381" w:type="dxa"/>
            <w:tcBorders>
              <w:top w:val="single" w:sz="17"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62"/>
              <w:jc w:val="right"/>
              <w:rPr>
                <w:rFonts w:ascii="Arial" w:hAnsi="Arial" w:cs="Arial" w:eastAsia="Arial" w:hint="default"/>
                <w:sz w:val="22"/>
                <w:szCs w:val="22"/>
              </w:rPr>
            </w:pPr>
            <w:r>
              <w:rPr>
                <w:rFonts w:ascii="Arial"/>
                <w:spacing w:val="-1"/>
                <w:sz w:val="22"/>
              </w:rPr>
              <w:t>1,308,225,927</w:t>
            </w:r>
          </w:p>
        </w:tc>
        <w:tc>
          <w:tcPr>
            <w:tcW w:w="173" w:type="dxa"/>
            <w:tcBorders>
              <w:top w:val="nil" w:sz="6" w:space="0" w:color="auto"/>
              <w:left w:val="nil" w:sz="6" w:space="0" w:color="auto"/>
              <w:bottom w:val="nil" w:sz="6" w:space="0" w:color="auto"/>
              <w:right w:val="nil" w:sz="6" w:space="0" w:color="auto"/>
            </w:tcBorders>
          </w:tcPr>
          <w:p>
            <w:pPr/>
          </w:p>
        </w:tc>
        <w:tc>
          <w:tcPr>
            <w:tcW w:w="2386" w:type="dxa"/>
            <w:tcBorders>
              <w:top w:val="single" w:sz="17"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86"/>
              <w:jc w:val="right"/>
              <w:rPr>
                <w:rFonts w:ascii="Arial" w:hAnsi="Arial" w:cs="Arial" w:eastAsia="Arial" w:hint="default"/>
                <w:sz w:val="22"/>
                <w:szCs w:val="22"/>
              </w:rPr>
            </w:pPr>
            <w:r>
              <w:rPr>
                <w:rFonts w:ascii="Arial"/>
                <w:spacing w:val="-1"/>
                <w:sz w:val="22"/>
              </w:rPr>
              <w:t>1,254,428,639</w:t>
            </w:r>
          </w:p>
        </w:tc>
      </w:tr>
      <w:tr>
        <w:trPr>
          <w:trHeight w:val="269" w:hRule="exact"/>
        </w:trPr>
        <w:tc>
          <w:tcPr>
            <w:tcW w:w="2919" w:type="dxa"/>
            <w:tcBorders>
              <w:top w:val="nil" w:sz="6" w:space="0" w:color="auto"/>
              <w:left w:val="nil" w:sz="6" w:space="0" w:color="auto"/>
              <w:bottom w:val="nil" w:sz="6" w:space="0" w:color="auto"/>
              <w:right w:val="nil" w:sz="6" w:space="0" w:color="auto"/>
            </w:tcBorders>
          </w:tcPr>
          <w:p>
            <w:pPr>
              <w:pStyle w:val="TableParagraph"/>
              <w:spacing w:line="239" w:lineRule="exact"/>
              <w:ind w:right="72"/>
              <w:jc w:val="right"/>
              <w:rPr>
                <w:rFonts w:ascii="宋体" w:hAnsi="宋体" w:cs="宋体" w:eastAsia="宋体" w:hint="default"/>
                <w:sz w:val="22"/>
                <w:szCs w:val="22"/>
              </w:rPr>
            </w:pPr>
            <w:r>
              <w:rPr>
                <w:rFonts w:ascii="宋体" w:hAnsi="宋体" w:cs="宋体" w:eastAsia="宋体" w:hint="default"/>
                <w:spacing w:val="-1"/>
                <w:sz w:val="22"/>
                <w:szCs w:val="22"/>
              </w:rPr>
              <w:t>回收期超过一年部分</w:t>
            </w:r>
          </w:p>
        </w:tc>
        <w:tc>
          <w:tcPr>
            <w:tcW w:w="1231" w:type="dxa"/>
            <w:tcBorders>
              <w:top w:val="nil" w:sz="6" w:space="0" w:color="auto"/>
              <w:left w:val="nil" w:sz="6" w:space="0" w:color="auto"/>
              <w:bottom w:val="nil" w:sz="6" w:space="0" w:color="auto"/>
              <w:right w:val="nil" w:sz="6" w:space="0" w:color="auto"/>
            </w:tcBorders>
          </w:tcPr>
          <w:p>
            <w:pPr>
              <w:pStyle w:val="TableParagraph"/>
              <w:spacing w:line="255" w:lineRule="exact"/>
              <w:ind w:right="22"/>
              <w:jc w:val="center"/>
              <w:rPr>
                <w:rFonts w:ascii="Arial" w:hAnsi="Arial" w:cs="Arial" w:eastAsia="Arial" w:hint="default"/>
                <w:sz w:val="22"/>
                <w:szCs w:val="22"/>
              </w:rPr>
            </w:pPr>
            <w:r>
              <w:rPr>
                <w:rFonts w:ascii="宋体" w:hAnsi="宋体" w:cs="宋体" w:eastAsia="宋体" w:hint="default"/>
                <w:sz w:val="22"/>
                <w:szCs w:val="22"/>
              </w:rPr>
              <w:t>附注五</w:t>
            </w:r>
            <w:r>
              <w:rPr>
                <w:rFonts w:ascii="Arial" w:hAnsi="Arial" w:cs="Arial" w:eastAsia="Arial" w:hint="default"/>
                <w:sz w:val="22"/>
                <w:szCs w:val="22"/>
              </w:rPr>
              <w:t>(16)</w:t>
            </w:r>
          </w:p>
        </w:tc>
        <w:tc>
          <w:tcPr>
            <w:tcW w:w="2381"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62"/>
              <w:jc w:val="right"/>
              <w:rPr>
                <w:rFonts w:ascii="Arial" w:hAnsi="Arial" w:cs="Arial" w:eastAsia="Arial" w:hint="default"/>
                <w:sz w:val="22"/>
                <w:szCs w:val="22"/>
              </w:rPr>
            </w:pPr>
            <w:r>
              <w:rPr>
                <w:rFonts w:ascii="Arial"/>
                <w:spacing w:val="-1"/>
                <w:sz w:val="22"/>
              </w:rPr>
              <w:t>594,529,236</w:t>
            </w:r>
          </w:p>
        </w:tc>
        <w:tc>
          <w:tcPr>
            <w:tcW w:w="173" w:type="dxa"/>
            <w:tcBorders>
              <w:top w:val="nil" w:sz="6" w:space="0" w:color="auto"/>
              <w:left w:val="nil" w:sz="6" w:space="0" w:color="auto"/>
              <w:bottom w:val="nil" w:sz="6" w:space="0" w:color="auto"/>
              <w:right w:val="nil" w:sz="6" w:space="0" w:color="auto"/>
            </w:tcBorders>
          </w:tcPr>
          <w:p>
            <w:pPr/>
          </w:p>
        </w:tc>
        <w:tc>
          <w:tcPr>
            <w:tcW w:w="238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86"/>
              <w:jc w:val="right"/>
              <w:rPr>
                <w:rFonts w:ascii="Arial" w:hAnsi="Arial" w:cs="Arial" w:eastAsia="Arial" w:hint="default"/>
                <w:sz w:val="22"/>
                <w:szCs w:val="22"/>
              </w:rPr>
            </w:pPr>
            <w:r>
              <w:rPr>
                <w:rFonts w:ascii="Arial"/>
                <w:spacing w:val="-1"/>
                <w:sz w:val="22"/>
              </w:rPr>
              <w:t>570,075,692</w:t>
            </w:r>
          </w:p>
        </w:tc>
      </w:tr>
    </w:tbl>
    <w:p>
      <w:pPr>
        <w:spacing w:line="240" w:lineRule="auto" w:before="3"/>
        <w:rPr>
          <w:rFonts w:ascii="宋体" w:hAnsi="宋体" w:cs="宋体" w:eastAsia="宋体" w:hint="default"/>
          <w:sz w:val="14"/>
          <w:szCs w:val="14"/>
        </w:rPr>
      </w:pPr>
    </w:p>
    <w:p>
      <w:pPr>
        <w:pStyle w:val="BodyText"/>
        <w:spacing w:line="235" w:lineRule="auto" w:before="38"/>
        <w:ind w:left="556" w:right="113" w:firstLine="24"/>
        <w:jc w:val="both"/>
      </w:pPr>
      <w:r>
        <w:rPr/>
        <w:t>注：本集团向用户提供捆绑手机终端及通信服务的套餐。如附注三</w:t>
      </w:r>
      <w:r>
        <w:rPr>
          <w:rFonts w:ascii="Arial" w:hAnsi="Arial" w:cs="Arial" w:eastAsia="Arial" w:hint="default"/>
        </w:rPr>
        <w:t>(23)(i)</w:t>
      </w:r>
      <w:r>
        <w:rPr/>
        <w:t>所述，该套餐的合同</w:t>
      </w:r>
      <w:r>
        <w:rPr>
          <w:w w:val="100"/>
        </w:rPr>
        <w:t> </w:t>
      </w:r>
      <w:r>
        <w:rPr>
          <w:spacing w:val="-3"/>
        </w:rPr>
        <w:t>总金额按照手机终端和通信服务单独售价在二者之间进行分配。销售手机终端收入于该手机终</w:t>
      </w:r>
      <w:r>
        <w:rPr>
          <w:spacing w:val="-48"/>
        </w:rPr>
        <w:t> </w:t>
      </w:r>
      <w:r>
        <w:rPr>
          <w:spacing w:val="-48"/>
        </w:rPr>
      </w:r>
      <w:r>
        <w:rPr>
          <w:spacing w:val="-3"/>
        </w:rPr>
        <w:t>端的控制权转移至用户时予以确认，并相应形成应收通信终端销售款项。当本集团取得该无条</w:t>
      </w:r>
      <w:r>
        <w:rPr>
          <w:spacing w:val="-48"/>
        </w:rPr>
        <w:t> </w:t>
      </w:r>
      <w:r>
        <w:rPr>
          <w:spacing w:val="-48"/>
        </w:rPr>
      </w:r>
      <w:r>
        <w:rPr>
          <w:spacing w:val="-3"/>
        </w:rPr>
        <w:t>件收取对价的权利时，合同资产将转为应收账款。该应收通信终端销售款项在合约期内用户缴</w:t>
      </w:r>
      <w:r>
        <w:rPr>
          <w:spacing w:val="-48"/>
        </w:rPr>
        <w:t> </w:t>
      </w:r>
      <w:r>
        <w:rPr>
          <w:spacing w:val="-48"/>
        </w:rPr>
      </w:r>
      <w:r>
        <w:rPr/>
        <w:t>纳月套餐使用费时逐渐收回。回收期超过一年的部分列示于其他非流动资产（附注五</w:t>
      </w:r>
      <w:r>
        <w:rPr>
          <w:rFonts w:ascii="Arial" w:hAnsi="Arial" w:cs="Arial" w:eastAsia="Arial" w:hint="default"/>
        </w:rPr>
        <w:t>(16)</w:t>
      </w:r>
      <w:r>
        <w:rPr/>
        <w:t>）。</w:t>
      </w:r>
    </w:p>
    <w:p>
      <w:pPr>
        <w:spacing w:line="240" w:lineRule="auto" w:before="12"/>
        <w:rPr>
          <w:rFonts w:ascii="宋体" w:hAnsi="宋体" w:cs="宋体" w:eastAsia="宋体" w:hint="default"/>
          <w:sz w:val="17"/>
          <w:szCs w:val="17"/>
        </w:rPr>
      </w:pPr>
    </w:p>
    <w:p>
      <w:pPr>
        <w:pStyle w:val="BodyText"/>
        <w:spacing w:line="240" w:lineRule="auto"/>
        <w:ind w:left="119" w:right="0"/>
        <w:jc w:val="left"/>
      </w:pPr>
      <w:r>
        <w:rPr>
          <w:rFonts w:ascii="Arial" w:hAnsi="Arial" w:cs="Arial" w:eastAsia="Arial" w:hint="default"/>
        </w:rPr>
        <w:t>(b)  </w:t>
      </w:r>
      <w:r>
        <w:rPr>
          <w:rFonts w:ascii="Arial" w:hAnsi="Arial" w:cs="Arial" w:eastAsia="Arial" w:hint="default"/>
          <w:spacing w:val="12"/>
        </w:rPr>
        <w:t> </w:t>
      </w:r>
      <w:r>
        <w:rPr/>
        <w:t>本年计提、收回或转回的坏账准备情况：</w:t>
      </w:r>
    </w:p>
    <w:p>
      <w:pPr>
        <w:spacing w:line="240" w:lineRule="auto" w:before="3"/>
        <w:rPr>
          <w:rFonts w:ascii="宋体" w:hAnsi="宋体" w:cs="宋体" w:eastAsia="宋体" w:hint="default"/>
          <w:sz w:val="21"/>
          <w:szCs w:val="21"/>
        </w:rPr>
      </w:pPr>
    </w:p>
    <w:tbl>
      <w:tblPr>
        <w:tblW w:w="0" w:type="auto"/>
        <w:jc w:val="left"/>
        <w:tblInd w:w="399" w:type="dxa"/>
        <w:tblLayout w:type="fixed"/>
        <w:tblCellMar>
          <w:top w:w="0" w:type="dxa"/>
          <w:left w:w="0" w:type="dxa"/>
          <w:bottom w:w="0" w:type="dxa"/>
          <w:right w:w="0" w:type="dxa"/>
        </w:tblCellMar>
        <w:tblLook w:val="01E0"/>
      </w:tblPr>
      <w:tblGrid>
        <w:gridCol w:w="3987"/>
        <w:gridCol w:w="2554"/>
        <w:gridCol w:w="2587"/>
      </w:tblGrid>
      <w:tr>
        <w:trPr>
          <w:trHeight w:val="259" w:hRule="exact"/>
        </w:trPr>
        <w:tc>
          <w:tcPr>
            <w:tcW w:w="3987" w:type="dxa"/>
            <w:tcBorders>
              <w:top w:val="nil" w:sz="6" w:space="0" w:color="auto"/>
              <w:left w:val="nil" w:sz="6" w:space="0" w:color="auto"/>
              <w:bottom w:val="nil" w:sz="6" w:space="0" w:color="auto"/>
              <w:right w:val="nil" w:sz="6" w:space="0" w:color="auto"/>
            </w:tcBorders>
          </w:tcPr>
          <w:p>
            <w:pPr/>
          </w:p>
        </w:tc>
        <w:tc>
          <w:tcPr>
            <w:tcW w:w="2554" w:type="dxa"/>
            <w:tcBorders>
              <w:top w:val="nil" w:sz="6" w:space="0" w:color="auto"/>
              <w:left w:val="nil" w:sz="6" w:space="0" w:color="auto"/>
              <w:bottom w:val="single" w:sz="4" w:space="0" w:color="000000"/>
              <w:right w:val="nil" w:sz="6" w:space="0" w:color="auto"/>
            </w:tcBorders>
          </w:tcPr>
          <w:p>
            <w:pPr>
              <w:pStyle w:val="TableParagraph"/>
              <w:spacing w:line="236" w:lineRule="exact"/>
              <w:ind w:right="79"/>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2587" w:type="dxa"/>
            <w:tcBorders>
              <w:top w:val="nil" w:sz="6" w:space="0" w:color="auto"/>
              <w:left w:val="nil" w:sz="6" w:space="0" w:color="auto"/>
              <w:bottom w:val="single" w:sz="6" w:space="0" w:color="000000"/>
              <w:right w:val="nil" w:sz="6" w:space="0" w:color="auto"/>
            </w:tcBorders>
          </w:tcPr>
          <w:p>
            <w:pPr>
              <w:pStyle w:val="TableParagraph"/>
              <w:spacing w:line="236" w:lineRule="exact"/>
              <w:ind w:right="74"/>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tc>
      </w:tr>
      <w:tr>
        <w:trPr>
          <w:trHeight w:val="684" w:hRule="exact"/>
        </w:trPr>
        <w:tc>
          <w:tcPr>
            <w:tcW w:w="398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年初余额</w:t>
            </w:r>
          </w:p>
        </w:tc>
        <w:tc>
          <w:tcPr>
            <w:tcW w:w="255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39"/>
              <w:jc w:val="right"/>
              <w:rPr>
                <w:rFonts w:ascii="Arial" w:hAnsi="Arial" w:cs="Arial" w:eastAsia="Arial" w:hint="default"/>
                <w:sz w:val="22"/>
                <w:szCs w:val="22"/>
              </w:rPr>
            </w:pPr>
            <w:r>
              <w:rPr>
                <w:rFonts w:ascii="Arial"/>
                <w:spacing w:val="-1"/>
                <w:sz w:val="22"/>
              </w:rPr>
              <w:t>(1,135,648,384)</w:t>
            </w:r>
            <w:r>
              <w:rPr>
                <w:rFonts w:ascii="Arial"/>
                <w:sz w:val="22"/>
              </w:rPr>
            </w:r>
          </w:p>
        </w:tc>
        <w:tc>
          <w:tcPr>
            <w:tcW w:w="2587"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8"/>
              <w:jc w:val="right"/>
              <w:rPr>
                <w:rFonts w:ascii="Arial" w:hAnsi="Arial" w:cs="Arial" w:eastAsia="Arial" w:hint="default"/>
                <w:sz w:val="22"/>
                <w:szCs w:val="22"/>
              </w:rPr>
            </w:pPr>
            <w:r>
              <w:rPr>
                <w:rFonts w:ascii="Arial"/>
                <w:sz w:val="22"/>
              </w:rPr>
              <w:t>(936,118,531)</w:t>
            </w:r>
          </w:p>
        </w:tc>
      </w:tr>
      <w:tr>
        <w:trPr>
          <w:trHeight w:val="410" w:hRule="exact"/>
        </w:trPr>
        <w:tc>
          <w:tcPr>
            <w:tcW w:w="3987" w:type="dxa"/>
            <w:tcBorders>
              <w:top w:val="nil" w:sz="6" w:space="0" w:color="auto"/>
              <w:left w:val="nil" w:sz="6" w:space="0" w:color="auto"/>
              <w:bottom w:val="nil" w:sz="6" w:space="0" w:color="auto"/>
              <w:right w:val="nil" w:sz="6" w:space="0" w:color="auto"/>
            </w:tcBorders>
          </w:tcPr>
          <w:p>
            <w:pPr>
              <w:pStyle w:val="TableParagraph"/>
              <w:spacing w:line="240" w:lineRule="auto" w:before="78"/>
              <w:ind w:left="200" w:right="0"/>
              <w:jc w:val="left"/>
              <w:rPr>
                <w:rFonts w:ascii="宋体" w:hAnsi="宋体" w:cs="宋体" w:eastAsia="宋体" w:hint="default"/>
                <w:sz w:val="22"/>
                <w:szCs w:val="22"/>
              </w:rPr>
            </w:pPr>
            <w:r>
              <w:rPr>
                <w:rFonts w:ascii="宋体" w:hAnsi="宋体" w:cs="宋体" w:eastAsia="宋体" w:hint="default"/>
                <w:sz w:val="22"/>
                <w:szCs w:val="22"/>
              </w:rPr>
              <w:t>本年计提和转回</w:t>
            </w:r>
          </w:p>
        </w:tc>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33"/>
              <w:jc w:val="right"/>
              <w:rPr>
                <w:rFonts w:ascii="Arial" w:hAnsi="Arial" w:cs="Arial" w:eastAsia="Arial" w:hint="default"/>
                <w:sz w:val="22"/>
                <w:szCs w:val="22"/>
              </w:rPr>
            </w:pPr>
            <w:r>
              <w:rPr>
                <w:rFonts w:ascii="Arial"/>
                <w:sz w:val="22"/>
              </w:rPr>
              <w:t>(43,865,737)</w:t>
            </w:r>
          </w:p>
        </w:tc>
        <w:tc>
          <w:tcPr>
            <w:tcW w:w="2587"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28"/>
              <w:jc w:val="right"/>
              <w:rPr>
                <w:rFonts w:ascii="Arial" w:hAnsi="Arial" w:cs="Arial" w:eastAsia="Arial" w:hint="default"/>
                <w:sz w:val="22"/>
                <w:szCs w:val="22"/>
              </w:rPr>
            </w:pPr>
            <w:r>
              <w:rPr>
                <w:rFonts w:ascii="Arial"/>
                <w:sz w:val="22"/>
              </w:rPr>
              <w:t>(230,553,517)</w:t>
            </w:r>
          </w:p>
        </w:tc>
      </w:tr>
      <w:tr>
        <w:trPr>
          <w:trHeight w:val="420" w:hRule="exact"/>
        </w:trPr>
        <w:tc>
          <w:tcPr>
            <w:tcW w:w="3987"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本年核销</w:t>
            </w:r>
          </w:p>
        </w:tc>
        <w:tc>
          <w:tcPr>
            <w:tcW w:w="2554" w:type="dxa"/>
            <w:tcBorders>
              <w:top w:val="nil" w:sz="6" w:space="0" w:color="auto"/>
              <w:left w:val="nil" w:sz="6" w:space="0" w:color="auto"/>
              <w:bottom w:val="nil" w:sz="6" w:space="0" w:color="auto"/>
              <w:right w:val="nil" w:sz="6" w:space="0" w:color="auto"/>
            </w:tcBorders>
          </w:tcPr>
          <w:p>
            <w:pPr>
              <w:pStyle w:val="TableParagraph"/>
              <w:tabs>
                <w:tab w:pos="1463" w:val="left" w:leader="none"/>
                <w:tab w:pos="2553"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9,353,584</w:t>
              <w:tab/>
            </w:r>
            <w:r>
              <w:rPr>
                <w:rFonts w:ascii="Arial"/>
                <w:spacing w:val="-1"/>
                <w:sz w:val="22"/>
              </w:rPr>
            </w:r>
          </w:p>
        </w:tc>
        <w:tc>
          <w:tcPr>
            <w:tcW w:w="2587" w:type="dxa"/>
            <w:tcBorders>
              <w:top w:val="nil" w:sz="6" w:space="0" w:color="auto"/>
              <w:left w:val="nil" w:sz="6" w:space="0" w:color="auto"/>
              <w:bottom w:val="nil" w:sz="6" w:space="0" w:color="auto"/>
              <w:right w:val="nil" w:sz="6" w:space="0" w:color="auto"/>
            </w:tcBorders>
          </w:tcPr>
          <w:p>
            <w:pPr>
              <w:pStyle w:val="TableParagraph"/>
              <w:tabs>
                <w:tab w:pos="1295" w:val="left" w:leader="none"/>
                <w:tab w:pos="2495"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31,023,664</w:t>
              <w:tab/>
            </w:r>
            <w:r>
              <w:rPr>
                <w:rFonts w:ascii="Arial"/>
                <w:spacing w:val="-1"/>
                <w:sz w:val="22"/>
              </w:rPr>
            </w:r>
          </w:p>
        </w:tc>
      </w:tr>
      <w:tr>
        <w:trPr>
          <w:trHeight w:val="429" w:hRule="exact"/>
        </w:trPr>
        <w:tc>
          <w:tcPr>
            <w:tcW w:w="3987"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年末余额</w:t>
            </w:r>
          </w:p>
        </w:tc>
        <w:tc>
          <w:tcPr>
            <w:tcW w:w="2554" w:type="dxa"/>
            <w:tcBorders>
              <w:top w:val="nil" w:sz="6" w:space="0" w:color="auto"/>
              <w:left w:val="nil" w:sz="6" w:space="0" w:color="auto"/>
              <w:bottom w:val="single" w:sz="17" w:space="0" w:color="000000"/>
              <w:right w:val="nil" w:sz="6" w:space="0" w:color="auto"/>
            </w:tcBorders>
          </w:tcPr>
          <w:p>
            <w:pPr>
              <w:pStyle w:val="TableParagraph"/>
              <w:spacing w:line="240" w:lineRule="auto" w:before="153"/>
              <w:ind w:right="39"/>
              <w:jc w:val="right"/>
              <w:rPr>
                <w:rFonts w:ascii="Arial" w:hAnsi="Arial" w:cs="Arial" w:eastAsia="Arial" w:hint="default"/>
                <w:sz w:val="22"/>
                <w:szCs w:val="22"/>
              </w:rPr>
            </w:pPr>
            <w:r>
              <w:rPr>
                <w:rFonts w:ascii="Arial"/>
                <w:spacing w:val="-1"/>
                <w:sz w:val="22"/>
              </w:rPr>
              <w:t>(1,170,160,537)</w:t>
            </w:r>
            <w:r>
              <w:rPr>
                <w:rFonts w:ascii="Arial"/>
                <w:sz w:val="22"/>
              </w:rPr>
            </w:r>
          </w:p>
        </w:tc>
        <w:tc>
          <w:tcPr>
            <w:tcW w:w="2587" w:type="dxa"/>
            <w:tcBorders>
              <w:top w:val="nil" w:sz="6" w:space="0" w:color="auto"/>
              <w:left w:val="nil" w:sz="6" w:space="0" w:color="auto"/>
              <w:bottom w:val="single" w:sz="17" w:space="0" w:color="000000"/>
              <w:right w:val="nil" w:sz="6" w:space="0" w:color="auto"/>
            </w:tcBorders>
          </w:tcPr>
          <w:p>
            <w:pPr>
              <w:pStyle w:val="TableParagraph"/>
              <w:spacing w:line="240" w:lineRule="auto" w:before="153"/>
              <w:ind w:right="33"/>
              <w:jc w:val="right"/>
              <w:rPr>
                <w:rFonts w:ascii="Arial" w:hAnsi="Arial" w:cs="Arial" w:eastAsia="Arial" w:hint="default"/>
                <w:sz w:val="22"/>
                <w:szCs w:val="22"/>
              </w:rPr>
            </w:pPr>
            <w:r>
              <w:rPr>
                <w:rFonts w:ascii="Arial"/>
                <w:spacing w:val="-1"/>
                <w:sz w:val="22"/>
              </w:rPr>
              <w:t>(1,135,648,384)</w:t>
            </w:r>
            <w:r>
              <w:rPr>
                <w:rFonts w:ascii="Arial"/>
                <w:sz w:val="22"/>
              </w:rPr>
            </w:r>
          </w:p>
        </w:tc>
      </w:tr>
    </w:tbl>
    <w:p>
      <w:pPr>
        <w:spacing w:after="0" w:line="240" w:lineRule="auto"/>
        <w:jc w:val="right"/>
        <w:rPr>
          <w:rFonts w:ascii="Arial" w:hAnsi="Arial" w:cs="Arial" w:eastAsia="Arial" w:hint="default"/>
          <w:sz w:val="22"/>
          <w:szCs w:val="22"/>
        </w:rPr>
        <w:sectPr>
          <w:headerReference w:type="default" r:id="rId159"/>
          <w:pgSz w:w="11910" w:h="16840"/>
          <w:pgMar w:header="1188" w:footer="502" w:top="3040" w:bottom="700" w:left="860" w:right="1300"/>
        </w:sectPr>
      </w:pPr>
    </w:p>
    <w:p>
      <w:pPr>
        <w:spacing w:line="240" w:lineRule="auto" w:before="1"/>
        <w:rPr>
          <w:rFonts w:ascii="宋体" w:hAnsi="宋体" w:cs="宋体" w:eastAsia="宋体" w:hint="default"/>
          <w:sz w:val="11"/>
          <w:szCs w:val="11"/>
        </w:rPr>
      </w:pPr>
    </w:p>
    <w:p>
      <w:pPr>
        <w:pStyle w:val="BodyText"/>
        <w:spacing w:line="240" w:lineRule="auto" w:before="32"/>
        <w:ind w:left="108" w:right="0"/>
        <w:jc w:val="left"/>
      </w:pPr>
      <w:r>
        <w:rPr>
          <w:rFonts w:ascii="Arial" w:hAnsi="Arial" w:cs="Arial" w:eastAsia="Arial" w:hint="default"/>
        </w:rPr>
        <w:t>9</w:t>
      </w:r>
      <w:r>
        <w:rPr/>
        <w:t>、</w:t>
      </w:r>
      <w:r>
        <w:rPr>
          <w:spacing w:val="-45"/>
        </w:rPr>
        <w:t> </w:t>
      </w:r>
      <w:r>
        <w:rPr/>
        <w:t>其他流动资产</w:t>
      </w:r>
    </w:p>
    <w:p>
      <w:pPr>
        <w:spacing w:line="240" w:lineRule="auto" w:before="1"/>
        <w:rPr>
          <w:rFonts w:ascii="宋体" w:hAnsi="宋体" w:cs="宋体" w:eastAsia="宋体" w:hint="default"/>
          <w:sz w:val="23"/>
          <w:szCs w:val="23"/>
        </w:rPr>
      </w:pPr>
    </w:p>
    <w:tbl>
      <w:tblPr>
        <w:tblW w:w="0" w:type="auto"/>
        <w:jc w:val="left"/>
        <w:tblInd w:w="287" w:type="dxa"/>
        <w:tblLayout w:type="fixed"/>
        <w:tblCellMar>
          <w:top w:w="0" w:type="dxa"/>
          <w:left w:w="0" w:type="dxa"/>
          <w:bottom w:w="0" w:type="dxa"/>
          <w:right w:w="0" w:type="dxa"/>
        </w:tblCellMar>
        <w:tblLook w:val="01E0"/>
      </w:tblPr>
      <w:tblGrid>
        <w:gridCol w:w="2216"/>
        <w:gridCol w:w="1843"/>
        <w:gridCol w:w="2410"/>
        <w:gridCol w:w="262"/>
        <w:gridCol w:w="2431"/>
      </w:tblGrid>
      <w:tr>
        <w:trPr>
          <w:trHeight w:val="264" w:hRule="exact"/>
        </w:trPr>
        <w:tc>
          <w:tcPr>
            <w:tcW w:w="2216"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nil" w:sz="6" w:space="0" w:color="auto"/>
            </w:tcBorders>
          </w:tcPr>
          <w:p>
            <w:pPr>
              <w:pStyle w:val="TableParagraph"/>
              <w:spacing w:line="221" w:lineRule="exact"/>
              <w:ind w:right="286"/>
              <w:jc w:val="center"/>
              <w:rPr>
                <w:rFonts w:ascii="宋体" w:hAnsi="宋体" w:cs="宋体" w:eastAsia="宋体" w:hint="default"/>
                <w:sz w:val="22"/>
                <w:szCs w:val="22"/>
              </w:rPr>
            </w:pPr>
            <w:r>
              <w:rPr>
                <w:rFonts w:ascii="宋体" w:hAnsi="宋体" w:cs="宋体" w:eastAsia="宋体" w:hint="default"/>
                <w:w w:val="100"/>
                <w:sz w:val="22"/>
                <w:szCs w:val="22"/>
              </w:rPr>
              <w:t>注</w:t>
            </w:r>
          </w:p>
        </w:tc>
        <w:tc>
          <w:tcPr>
            <w:tcW w:w="2410" w:type="dxa"/>
            <w:tcBorders>
              <w:top w:val="nil" w:sz="6" w:space="0" w:color="auto"/>
              <w:left w:val="nil" w:sz="6" w:space="0" w:color="auto"/>
              <w:bottom w:val="single" w:sz="6" w:space="0" w:color="000000"/>
              <w:right w:val="nil" w:sz="6" w:space="0" w:color="auto"/>
            </w:tcBorders>
          </w:tcPr>
          <w:p>
            <w:pPr>
              <w:pStyle w:val="TableParagraph"/>
              <w:spacing w:line="236" w:lineRule="exact"/>
              <w:ind w:left="383"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262" w:type="dxa"/>
            <w:tcBorders>
              <w:top w:val="nil" w:sz="6" w:space="0" w:color="auto"/>
              <w:left w:val="nil" w:sz="6" w:space="0" w:color="auto"/>
              <w:bottom w:val="nil" w:sz="6" w:space="0" w:color="auto"/>
              <w:right w:val="nil" w:sz="6" w:space="0" w:color="auto"/>
            </w:tcBorders>
          </w:tcPr>
          <w:p>
            <w:pPr/>
          </w:p>
        </w:tc>
        <w:tc>
          <w:tcPr>
            <w:tcW w:w="2431" w:type="dxa"/>
            <w:tcBorders>
              <w:top w:val="nil" w:sz="6" w:space="0" w:color="auto"/>
              <w:left w:val="nil" w:sz="6" w:space="0" w:color="auto"/>
              <w:bottom w:val="single" w:sz="6" w:space="0" w:color="000000"/>
              <w:right w:val="nil" w:sz="6" w:space="0" w:color="auto"/>
            </w:tcBorders>
          </w:tcPr>
          <w:p>
            <w:pPr>
              <w:pStyle w:val="TableParagraph"/>
              <w:spacing w:line="236" w:lineRule="exact"/>
              <w:ind w:right="98"/>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557" w:hRule="exact"/>
        </w:trPr>
        <w:tc>
          <w:tcPr>
            <w:tcW w:w="221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财务公司发放贷款</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284"/>
              <w:jc w:val="center"/>
              <w:rPr>
                <w:rFonts w:ascii="Arial" w:hAnsi="Arial" w:cs="Arial" w:eastAsia="Arial" w:hint="default"/>
                <w:sz w:val="22"/>
                <w:szCs w:val="22"/>
              </w:rPr>
            </w:pPr>
            <w:r>
              <w:rPr>
                <w:rFonts w:ascii="宋体" w:hAnsi="宋体" w:cs="宋体" w:eastAsia="宋体" w:hint="default"/>
                <w:sz w:val="22"/>
                <w:szCs w:val="22"/>
              </w:rPr>
              <w:t>附注十</w:t>
            </w:r>
            <w:r>
              <w:rPr>
                <w:rFonts w:ascii="Arial" w:hAnsi="Arial" w:cs="Arial" w:eastAsia="Arial" w:hint="default"/>
                <w:sz w:val="22"/>
                <w:szCs w:val="22"/>
              </w:rPr>
              <w:t>(6)</w:t>
            </w:r>
          </w:p>
        </w:tc>
        <w:tc>
          <w:tcPr>
            <w:tcW w:w="2410"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892" w:right="0"/>
              <w:jc w:val="left"/>
              <w:rPr>
                <w:rFonts w:ascii="Arial" w:hAnsi="Arial" w:cs="Arial" w:eastAsia="Arial" w:hint="default"/>
                <w:sz w:val="22"/>
                <w:szCs w:val="22"/>
              </w:rPr>
            </w:pPr>
            <w:r>
              <w:rPr>
                <w:rFonts w:ascii="Arial"/>
                <w:sz w:val="22"/>
              </w:rPr>
              <w:t>7,704,000,000</w:t>
            </w:r>
          </w:p>
        </w:tc>
        <w:tc>
          <w:tcPr>
            <w:tcW w:w="262" w:type="dxa"/>
            <w:tcBorders>
              <w:top w:val="nil" w:sz="6" w:space="0" w:color="auto"/>
              <w:left w:val="nil" w:sz="6" w:space="0" w:color="auto"/>
              <w:bottom w:val="nil" w:sz="6" w:space="0" w:color="auto"/>
              <w:right w:val="nil" w:sz="6" w:space="0" w:color="auto"/>
            </w:tcBorders>
          </w:tcPr>
          <w:p>
            <w:pPr/>
          </w:p>
        </w:tc>
        <w:tc>
          <w:tcPr>
            <w:tcW w:w="2431"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5"/>
              <w:jc w:val="right"/>
              <w:rPr>
                <w:rFonts w:ascii="Arial" w:hAnsi="Arial" w:cs="Arial" w:eastAsia="Arial" w:hint="default"/>
                <w:sz w:val="22"/>
                <w:szCs w:val="22"/>
              </w:rPr>
            </w:pPr>
            <w:r>
              <w:rPr>
                <w:rFonts w:ascii="Arial"/>
                <w:spacing w:val="-1"/>
                <w:sz w:val="22"/>
              </w:rPr>
              <w:t>7,404,000,000</w:t>
            </w:r>
          </w:p>
        </w:tc>
      </w:tr>
      <w:tr>
        <w:trPr>
          <w:trHeight w:val="286" w:hRule="exact"/>
        </w:trPr>
        <w:tc>
          <w:tcPr>
            <w:tcW w:w="2216"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待抵扣增值税</w:t>
            </w:r>
          </w:p>
        </w:tc>
        <w:tc>
          <w:tcPr>
            <w:tcW w:w="1843" w:type="dxa"/>
            <w:tcBorders>
              <w:top w:val="nil" w:sz="6" w:space="0" w:color="auto"/>
              <w:left w:val="nil" w:sz="6" w:space="0" w:color="auto"/>
              <w:bottom w:val="nil" w:sz="6" w:space="0" w:color="auto"/>
              <w:right w:val="nil" w:sz="6" w:space="0" w:color="auto"/>
            </w:tcBorders>
          </w:tcPr>
          <w:p>
            <w:pPr>
              <w:pStyle w:val="TableParagraph"/>
              <w:spacing w:line="255" w:lineRule="exact"/>
              <w:ind w:right="284"/>
              <w:jc w:val="center"/>
              <w:rPr>
                <w:rFonts w:ascii="Arial" w:hAnsi="Arial" w:cs="Arial" w:eastAsia="Arial" w:hint="default"/>
                <w:sz w:val="22"/>
                <w:szCs w:val="22"/>
              </w:rPr>
            </w:pPr>
            <w:r>
              <w:rPr>
                <w:rFonts w:ascii="宋体" w:hAnsi="宋体" w:cs="宋体" w:eastAsia="宋体" w:hint="default"/>
                <w:sz w:val="22"/>
                <w:szCs w:val="22"/>
              </w:rPr>
              <w:t>附注五</w:t>
            </w:r>
            <w:r>
              <w:rPr>
                <w:rFonts w:ascii="Arial" w:hAnsi="Arial" w:cs="Arial" w:eastAsia="Arial" w:hint="default"/>
                <w:sz w:val="22"/>
                <w:szCs w:val="22"/>
              </w:rPr>
              <w:t>(22)</w:t>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16"/>
              <w:ind w:left="888" w:right="0"/>
              <w:jc w:val="left"/>
              <w:rPr>
                <w:rFonts w:ascii="Arial" w:hAnsi="Arial" w:cs="Arial" w:eastAsia="Arial" w:hint="default"/>
                <w:sz w:val="22"/>
                <w:szCs w:val="22"/>
              </w:rPr>
            </w:pPr>
            <w:r>
              <w:rPr>
                <w:rFonts w:ascii="Arial"/>
                <w:sz w:val="22"/>
              </w:rPr>
              <w:t>5,107,202,023</w:t>
            </w:r>
          </w:p>
        </w:tc>
        <w:tc>
          <w:tcPr>
            <w:tcW w:w="262" w:type="dxa"/>
            <w:tcBorders>
              <w:top w:val="nil" w:sz="6" w:space="0" w:color="auto"/>
              <w:left w:val="nil" w:sz="6" w:space="0" w:color="auto"/>
              <w:bottom w:val="nil" w:sz="6" w:space="0" w:color="auto"/>
              <w:right w:val="nil" w:sz="6" w:space="0" w:color="auto"/>
            </w:tcBorders>
          </w:tcPr>
          <w:p>
            <w:pP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5"/>
              <w:jc w:val="right"/>
              <w:rPr>
                <w:rFonts w:ascii="Arial" w:hAnsi="Arial" w:cs="Arial" w:eastAsia="Arial" w:hint="default"/>
                <w:sz w:val="22"/>
                <w:szCs w:val="22"/>
              </w:rPr>
            </w:pPr>
            <w:r>
              <w:rPr>
                <w:rFonts w:ascii="Arial"/>
                <w:spacing w:val="-1"/>
                <w:sz w:val="22"/>
              </w:rPr>
              <w:t>4,216,555,651</w:t>
            </w:r>
          </w:p>
        </w:tc>
      </w:tr>
      <w:tr>
        <w:trPr>
          <w:trHeight w:val="286" w:hRule="exact"/>
        </w:trPr>
        <w:tc>
          <w:tcPr>
            <w:tcW w:w="2216" w:type="dxa"/>
            <w:tcBorders>
              <w:top w:val="nil" w:sz="6" w:space="0" w:color="auto"/>
              <w:left w:val="nil" w:sz="6" w:space="0" w:color="auto"/>
              <w:bottom w:val="nil" w:sz="6" w:space="0" w:color="auto"/>
              <w:right w:val="nil" w:sz="6" w:space="0" w:color="auto"/>
            </w:tcBorders>
          </w:tcPr>
          <w:p>
            <w:pPr>
              <w:pStyle w:val="TableParagraph"/>
              <w:spacing w:line="242" w:lineRule="exact"/>
              <w:ind w:left="200" w:right="0"/>
              <w:jc w:val="left"/>
              <w:rPr>
                <w:rFonts w:ascii="宋体" w:hAnsi="宋体" w:cs="宋体" w:eastAsia="宋体" w:hint="default"/>
                <w:sz w:val="22"/>
                <w:szCs w:val="22"/>
              </w:rPr>
            </w:pPr>
            <w:r>
              <w:rPr>
                <w:rFonts w:ascii="宋体" w:hAnsi="宋体" w:cs="宋体" w:eastAsia="宋体" w:hint="default"/>
                <w:sz w:val="22"/>
                <w:szCs w:val="22"/>
              </w:rPr>
              <w:t>预缴增值税</w:t>
            </w:r>
          </w:p>
        </w:tc>
        <w:tc>
          <w:tcPr>
            <w:tcW w:w="1843" w:type="dxa"/>
            <w:tcBorders>
              <w:top w:val="nil" w:sz="6" w:space="0" w:color="auto"/>
              <w:left w:val="nil" w:sz="6" w:space="0" w:color="auto"/>
              <w:bottom w:val="nil" w:sz="6" w:space="0" w:color="auto"/>
              <w:right w:val="nil" w:sz="6" w:space="0" w:color="auto"/>
            </w:tcBorders>
          </w:tcPr>
          <w:p>
            <w:pPr>
              <w:pStyle w:val="TableParagraph"/>
              <w:spacing w:line="257" w:lineRule="exact"/>
              <w:ind w:right="284"/>
              <w:jc w:val="center"/>
              <w:rPr>
                <w:rFonts w:ascii="Arial" w:hAnsi="Arial" w:cs="Arial" w:eastAsia="Arial" w:hint="default"/>
                <w:sz w:val="22"/>
                <w:szCs w:val="22"/>
              </w:rPr>
            </w:pPr>
            <w:r>
              <w:rPr>
                <w:rFonts w:ascii="宋体" w:hAnsi="宋体" w:cs="宋体" w:eastAsia="宋体" w:hint="default"/>
                <w:sz w:val="22"/>
                <w:szCs w:val="22"/>
              </w:rPr>
              <w:t>附注五</w:t>
            </w:r>
            <w:r>
              <w:rPr>
                <w:rFonts w:ascii="Arial" w:hAnsi="Arial" w:cs="Arial" w:eastAsia="Arial" w:hint="default"/>
                <w:sz w:val="22"/>
                <w:szCs w:val="22"/>
              </w:rPr>
              <w:t>(22)</w:t>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075" w:right="0"/>
              <w:jc w:val="left"/>
              <w:rPr>
                <w:rFonts w:ascii="Arial" w:hAnsi="Arial" w:cs="Arial" w:eastAsia="Arial" w:hint="default"/>
                <w:sz w:val="22"/>
                <w:szCs w:val="22"/>
              </w:rPr>
            </w:pPr>
            <w:r>
              <w:rPr>
                <w:rFonts w:ascii="Arial"/>
                <w:sz w:val="22"/>
              </w:rPr>
              <w:t>183,449,478</w:t>
            </w:r>
          </w:p>
        </w:tc>
        <w:tc>
          <w:tcPr>
            <w:tcW w:w="262" w:type="dxa"/>
            <w:tcBorders>
              <w:top w:val="nil" w:sz="6" w:space="0" w:color="auto"/>
              <w:left w:val="nil" w:sz="6" w:space="0" w:color="auto"/>
              <w:bottom w:val="nil" w:sz="6" w:space="0" w:color="auto"/>
              <w:right w:val="nil" w:sz="6" w:space="0" w:color="auto"/>
            </w:tcBorders>
          </w:tcPr>
          <w:p>
            <w:pP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1"/>
              <w:jc w:val="right"/>
              <w:rPr>
                <w:rFonts w:ascii="Arial" w:hAnsi="Arial" w:cs="Arial" w:eastAsia="Arial" w:hint="default"/>
                <w:sz w:val="22"/>
                <w:szCs w:val="22"/>
              </w:rPr>
            </w:pPr>
            <w:r>
              <w:rPr>
                <w:rFonts w:ascii="Arial"/>
                <w:spacing w:val="-1"/>
                <w:sz w:val="22"/>
              </w:rPr>
              <w:t>362,637,113</w:t>
            </w:r>
          </w:p>
        </w:tc>
      </w:tr>
      <w:tr>
        <w:trPr>
          <w:trHeight w:val="286" w:hRule="exact"/>
        </w:trPr>
        <w:tc>
          <w:tcPr>
            <w:tcW w:w="2216"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预缴企业所得税</w:t>
            </w:r>
          </w:p>
        </w:tc>
        <w:tc>
          <w:tcPr>
            <w:tcW w:w="1843" w:type="dxa"/>
            <w:tcBorders>
              <w:top w:val="nil" w:sz="6" w:space="0" w:color="auto"/>
              <w:left w:val="nil" w:sz="6" w:space="0" w:color="auto"/>
              <w:bottom w:val="nil" w:sz="6" w:space="0" w:color="auto"/>
              <w:right w:val="nil" w:sz="6" w:space="0" w:color="auto"/>
            </w:tcBorders>
          </w:tcPr>
          <w:p>
            <w:pPr>
              <w:pStyle w:val="TableParagraph"/>
              <w:spacing w:line="255" w:lineRule="exact"/>
              <w:ind w:right="284"/>
              <w:jc w:val="center"/>
              <w:rPr>
                <w:rFonts w:ascii="Arial" w:hAnsi="Arial" w:cs="Arial" w:eastAsia="Arial" w:hint="default"/>
                <w:sz w:val="22"/>
                <w:szCs w:val="22"/>
              </w:rPr>
            </w:pPr>
            <w:r>
              <w:rPr>
                <w:rFonts w:ascii="宋体" w:hAnsi="宋体" w:cs="宋体" w:eastAsia="宋体" w:hint="default"/>
                <w:sz w:val="22"/>
                <w:szCs w:val="22"/>
              </w:rPr>
              <w:t>附注五</w:t>
            </w:r>
            <w:r>
              <w:rPr>
                <w:rFonts w:ascii="Arial" w:hAnsi="Arial" w:cs="Arial" w:eastAsia="Arial" w:hint="default"/>
                <w:sz w:val="22"/>
                <w:szCs w:val="22"/>
              </w:rPr>
              <w:t>(22)</w:t>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75" w:right="0"/>
              <w:jc w:val="left"/>
              <w:rPr>
                <w:rFonts w:ascii="Arial" w:hAnsi="Arial" w:cs="Arial" w:eastAsia="Arial" w:hint="default"/>
                <w:sz w:val="22"/>
                <w:szCs w:val="22"/>
              </w:rPr>
            </w:pPr>
            <w:r>
              <w:rPr>
                <w:rFonts w:ascii="Arial"/>
                <w:sz w:val="22"/>
              </w:rPr>
              <w:t>329,163,628</w:t>
            </w:r>
          </w:p>
        </w:tc>
        <w:tc>
          <w:tcPr>
            <w:tcW w:w="262" w:type="dxa"/>
            <w:tcBorders>
              <w:top w:val="nil" w:sz="6" w:space="0" w:color="auto"/>
              <w:left w:val="nil" w:sz="6" w:space="0" w:color="auto"/>
              <w:bottom w:val="nil" w:sz="6" w:space="0" w:color="auto"/>
              <w:right w:val="nil" w:sz="6" w:space="0" w:color="auto"/>
            </w:tcBorders>
          </w:tcPr>
          <w:p>
            <w:pP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1"/>
              <w:jc w:val="right"/>
              <w:rPr>
                <w:rFonts w:ascii="Arial" w:hAnsi="Arial" w:cs="Arial" w:eastAsia="Arial" w:hint="default"/>
                <w:sz w:val="22"/>
                <w:szCs w:val="22"/>
              </w:rPr>
            </w:pPr>
            <w:r>
              <w:rPr>
                <w:rFonts w:ascii="Arial"/>
                <w:spacing w:val="-1"/>
                <w:sz w:val="22"/>
              </w:rPr>
              <w:t>311,558,824</w:t>
            </w:r>
          </w:p>
        </w:tc>
      </w:tr>
      <w:tr>
        <w:trPr>
          <w:trHeight w:val="290" w:hRule="exact"/>
        </w:trPr>
        <w:tc>
          <w:tcPr>
            <w:tcW w:w="2216" w:type="dxa"/>
            <w:tcBorders>
              <w:top w:val="nil" w:sz="6" w:space="0" w:color="auto"/>
              <w:left w:val="nil" w:sz="6" w:space="0" w:color="auto"/>
              <w:bottom w:val="nil" w:sz="6" w:space="0" w:color="auto"/>
              <w:right w:val="nil" w:sz="6" w:space="0" w:color="auto"/>
            </w:tcBorders>
          </w:tcPr>
          <w:p>
            <w:pPr>
              <w:pStyle w:val="TableParagraph"/>
              <w:spacing w:line="242"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1843"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nil" w:sz="6" w:space="0" w:color="auto"/>
            </w:tcBorders>
          </w:tcPr>
          <w:p>
            <w:pPr>
              <w:pStyle w:val="TableParagraph"/>
              <w:tabs>
                <w:tab w:pos="1070" w:val="left" w:leader="none"/>
                <w:tab w:pos="2409" w:val="left" w:leader="none"/>
              </w:tabs>
              <w:spacing w:line="240" w:lineRule="auto" w:before="18"/>
              <w:ind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165,998,573</w:t>
              <w:tab/>
            </w:r>
            <w:r>
              <w:rPr>
                <w:rFonts w:ascii="Arial"/>
                <w:sz w:val="22"/>
              </w:rPr>
            </w:r>
          </w:p>
        </w:tc>
        <w:tc>
          <w:tcPr>
            <w:tcW w:w="262" w:type="dxa"/>
            <w:tcBorders>
              <w:top w:val="nil" w:sz="6" w:space="0" w:color="auto"/>
              <w:left w:val="nil" w:sz="6" w:space="0" w:color="auto"/>
              <w:bottom w:val="nil" w:sz="6" w:space="0" w:color="auto"/>
              <w:right w:val="nil" w:sz="6" w:space="0" w:color="auto"/>
            </w:tcBorders>
          </w:tcPr>
          <w:p>
            <w:pPr/>
          </w:p>
        </w:tc>
        <w:tc>
          <w:tcPr>
            <w:tcW w:w="2431" w:type="dxa"/>
            <w:tcBorders>
              <w:top w:val="nil" w:sz="6" w:space="0" w:color="auto"/>
              <w:left w:val="nil" w:sz="6" w:space="0" w:color="auto"/>
              <w:bottom w:val="nil" w:sz="6" w:space="0" w:color="auto"/>
              <w:right w:val="nil" w:sz="6" w:space="0" w:color="auto"/>
            </w:tcBorders>
          </w:tcPr>
          <w:p>
            <w:pPr>
              <w:pStyle w:val="TableParagraph"/>
              <w:tabs>
                <w:tab w:pos="1219" w:val="left" w:leader="none"/>
                <w:tab w:pos="2423" w:val="left" w:leader="none"/>
              </w:tabs>
              <w:spacing w:line="240" w:lineRule="auto" w:before="18"/>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13,251,996</w:t>
              <w:tab/>
            </w:r>
            <w:r>
              <w:rPr>
                <w:rFonts w:ascii="Arial"/>
                <w:spacing w:val="-1"/>
                <w:sz w:val="22"/>
              </w:rPr>
            </w:r>
          </w:p>
        </w:tc>
      </w:tr>
      <w:tr>
        <w:trPr>
          <w:trHeight w:val="430" w:hRule="exact"/>
        </w:trPr>
        <w:tc>
          <w:tcPr>
            <w:tcW w:w="2216" w:type="dxa"/>
            <w:tcBorders>
              <w:top w:val="nil" w:sz="6" w:space="0" w:color="auto"/>
              <w:left w:val="nil" w:sz="6" w:space="0" w:color="auto"/>
              <w:bottom w:val="nil" w:sz="6" w:space="0" w:color="auto"/>
              <w:right w:val="nil" w:sz="6" w:space="0" w:color="auto"/>
            </w:tcBorders>
          </w:tcPr>
          <w:p>
            <w:pPr>
              <w:pStyle w:val="TableParagraph"/>
              <w:spacing w:line="244" w:lineRule="exact"/>
              <w:ind w:left="200" w:right="0"/>
              <w:jc w:val="left"/>
              <w:rPr>
                <w:rFonts w:ascii="宋体" w:hAnsi="宋体" w:cs="宋体" w:eastAsia="宋体" w:hint="default"/>
                <w:sz w:val="22"/>
                <w:szCs w:val="22"/>
              </w:rPr>
            </w:pPr>
            <w:r>
              <w:rPr>
                <w:rFonts w:ascii="宋体" w:hAnsi="宋体" w:cs="宋体" w:eastAsia="宋体" w:hint="default"/>
                <w:sz w:val="22"/>
                <w:szCs w:val="22"/>
              </w:rPr>
              <w:t>小计</w:t>
            </w:r>
          </w:p>
        </w:tc>
        <w:tc>
          <w:tcPr>
            <w:tcW w:w="1843"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21"/>
              <w:ind w:left="768" w:right="0"/>
              <w:jc w:val="left"/>
              <w:rPr>
                <w:rFonts w:ascii="Arial" w:hAnsi="Arial" w:cs="Arial" w:eastAsia="Arial" w:hint="default"/>
                <w:sz w:val="22"/>
                <w:szCs w:val="22"/>
              </w:rPr>
            </w:pPr>
            <w:r>
              <w:rPr>
                <w:rFonts w:ascii="Arial"/>
                <w:sz w:val="22"/>
              </w:rPr>
              <w:t>13,489,813,702</w:t>
            </w:r>
          </w:p>
        </w:tc>
        <w:tc>
          <w:tcPr>
            <w:tcW w:w="262" w:type="dxa"/>
            <w:tcBorders>
              <w:top w:val="nil" w:sz="6" w:space="0" w:color="auto"/>
              <w:left w:val="nil" w:sz="6" w:space="0" w:color="auto"/>
              <w:bottom w:val="nil" w:sz="6" w:space="0" w:color="auto"/>
              <w:right w:val="nil" w:sz="6" w:space="0" w:color="auto"/>
            </w:tcBorders>
          </w:tcPr>
          <w:p>
            <w:pP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99"/>
              <w:jc w:val="right"/>
              <w:rPr>
                <w:rFonts w:ascii="Arial" w:hAnsi="Arial" w:cs="Arial" w:eastAsia="Arial" w:hint="default"/>
                <w:sz w:val="22"/>
                <w:szCs w:val="22"/>
              </w:rPr>
            </w:pPr>
            <w:r>
              <w:rPr>
                <w:rFonts w:ascii="Arial"/>
                <w:sz w:val="22"/>
              </w:rPr>
              <w:t>12,308,003,584</w:t>
            </w:r>
          </w:p>
        </w:tc>
      </w:tr>
      <w:tr>
        <w:trPr>
          <w:trHeight w:val="557" w:hRule="exact"/>
        </w:trPr>
        <w:tc>
          <w:tcPr>
            <w:tcW w:w="2216" w:type="dxa"/>
            <w:tcBorders>
              <w:top w:val="nil" w:sz="6" w:space="0" w:color="auto"/>
              <w:left w:val="nil" w:sz="6" w:space="0" w:color="auto"/>
              <w:bottom w:val="nil" w:sz="6" w:space="0" w:color="auto"/>
              <w:right w:val="nil" w:sz="6" w:space="0" w:color="auto"/>
            </w:tcBorders>
          </w:tcPr>
          <w:p>
            <w:pPr>
              <w:pStyle w:val="TableParagraph"/>
              <w:spacing w:line="240" w:lineRule="auto" w:before="93"/>
              <w:ind w:left="200" w:right="0"/>
              <w:jc w:val="left"/>
              <w:rPr>
                <w:rFonts w:ascii="宋体" w:hAnsi="宋体" w:cs="宋体" w:eastAsia="宋体" w:hint="default"/>
                <w:sz w:val="22"/>
                <w:szCs w:val="22"/>
              </w:rPr>
            </w:pPr>
            <w:r>
              <w:rPr>
                <w:rFonts w:ascii="宋体" w:hAnsi="宋体" w:cs="宋体" w:eastAsia="宋体" w:hint="default"/>
                <w:sz w:val="22"/>
                <w:szCs w:val="22"/>
              </w:rPr>
              <w:t>减：减值准备</w:t>
            </w:r>
          </w:p>
        </w:tc>
        <w:tc>
          <w:tcPr>
            <w:tcW w:w="1843"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nil" w:sz="6" w:space="0" w:color="auto"/>
            </w:tcBorders>
          </w:tcPr>
          <w:p>
            <w:pPr>
              <w:pStyle w:val="TableParagraph"/>
              <w:tabs>
                <w:tab w:pos="1142" w:val="left" w:leader="none"/>
              </w:tabs>
              <w:spacing w:line="240" w:lineRule="auto" w:before="158"/>
              <w:ind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(38,270,000)</w:t>
            </w:r>
            <w:r>
              <w:rPr>
                <w:rFonts w:ascii="Arial"/>
                <w:sz w:val="22"/>
              </w:rPr>
            </w:r>
          </w:p>
        </w:tc>
        <w:tc>
          <w:tcPr>
            <w:tcW w:w="262" w:type="dxa"/>
            <w:tcBorders>
              <w:top w:val="nil" w:sz="6" w:space="0" w:color="auto"/>
              <w:left w:val="nil" w:sz="6" w:space="0" w:color="auto"/>
              <w:bottom w:val="nil" w:sz="6" w:space="0" w:color="auto"/>
              <w:right w:val="nil" w:sz="6" w:space="0" w:color="auto"/>
            </w:tcBorders>
          </w:tcPr>
          <w:p>
            <w:pPr/>
          </w:p>
        </w:tc>
        <w:tc>
          <w:tcPr>
            <w:tcW w:w="2431" w:type="dxa"/>
            <w:tcBorders>
              <w:top w:val="nil" w:sz="6" w:space="0" w:color="auto"/>
              <w:left w:val="nil" w:sz="6" w:space="0" w:color="auto"/>
              <w:bottom w:val="nil" w:sz="6" w:space="0" w:color="auto"/>
              <w:right w:val="nil" w:sz="6" w:space="0" w:color="auto"/>
            </w:tcBorders>
          </w:tcPr>
          <w:p>
            <w:pPr>
              <w:pStyle w:val="TableParagraph"/>
              <w:tabs>
                <w:tab w:pos="1156" w:val="left" w:leader="none"/>
              </w:tabs>
              <w:spacing w:line="240" w:lineRule="auto" w:before="158"/>
              <w:ind w:right="9"/>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(37,020,000)</w:t>
            </w:r>
            <w:r>
              <w:rPr>
                <w:rFonts w:ascii="Arial"/>
                <w:sz w:val="22"/>
              </w:rPr>
            </w:r>
          </w:p>
        </w:tc>
      </w:tr>
      <w:tr>
        <w:trPr>
          <w:trHeight w:val="429" w:hRule="exact"/>
        </w:trPr>
        <w:tc>
          <w:tcPr>
            <w:tcW w:w="2216"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1843"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left="768" w:right="0"/>
              <w:jc w:val="left"/>
              <w:rPr>
                <w:rFonts w:ascii="Arial" w:hAnsi="Arial" w:cs="Arial" w:eastAsia="Arial" w:hint="default"/>
                <w:sz w:val="22"/>
                <w:szCs w:val="22"/>
              </w:rPr>
            </w:pPr>
            <w:r>
              <w:rPr>
                <w:rFonts w:ascii="Arial"/>
                <w:sz w:val="22"/>
              </w:rPr>
              <w:t>13,451,543,702</w:t>
            </w:r>
          </w:p>
        </w:tc>
        <w:tc>
          <w:tcPr>
            <w:tcW w:w="262" w:type="dxa"/>
            <w:tcBorders>
              <w:top w:val="nil" w:sz="6" w:space="0" w:color="auto"/>
              <w:left w:val="nil" w:sz="6" w:space="0" w:color="auto"/>
              <w:bottom w:val="nil" w:sz="6" w:space="0" w:color="auto"/>
              <w:right w:val="nil" w:sz="6" w:space="0" w:color="auto"/>
            </w:tcBorders>
          </w:tcPr>
          <w:p>
            <w:pPr/>
          </w:p>
        </w:tc>
        <w:tc>
          <w:tcPr>
            <w:tcW w:w="2431"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99"/>
              <w:jc w:val="right"/>
              <w:rPr>
                <w:rFonts w:ascii="Arial" w:hAnsi="Arial" w:cs="Arial" w:eastAsia="Arial" w:hint="default"/>
                <w:sz w:val="22"/>
                <w:szCs w:val="22"/>
              </w:rPr>
            </w:pPr>
            <w:r>
              <w:rPr>
                <w:rFonts w:ascii="Arial"/>
                <w:sz w:val="22"/>
              </w:rPr>
              <w:t>12,270,983,584</w:t>
            </w:r>
          </w:p>
        </w:tc>
      </w:tr>
    </w:tbl>
    <w:p>
      <w:pPr>
        <w:spacing w:line="240" w:lineRule="auto" w:before="2"/>
        <w:rPr>
          <w:rFonts w:ascii="宋体" w:hAnsi="宋体" w:cs="宋体" w:eastAsia="宋体" w:hint="default"/>
          <w:sz w:val="14"/>
          <w:szCs w:val="14"/>
        </w:rPr>
      </w:pPr>
    </w:p>
    <w:p>
      <w:pPr>
        <w:pStyle w:val="BodyText"/>
        <w:spacing w:line="240" w:lineRule="auto" w:before="32"/>
        <w:ind w:left="107" w:right="0"/>
        <w:jc w:val="left"/>
      </w:pPr>
      <w:r>
        <w:rPr>
          <w:rFonts w:ascii="Arial" w:hAnsi="Arial" w:cs="Arial" w:eastAsia="Arial" w:hint="default"/>
        </w:rPr>
        <w:t>10</w:t>
      </w:r>
      <w:r>
        <w:rPr/>
        <w:t>、长期股权投资</w:t>
      </w:r>
    </w:p>
    <w:p>
      <w:pPr>
        <w:spacing w:line="240" w:lineRule="auto" w:before="0"/>
        <w:rPr>
          <w:rFonts w:ascii="宋体" w:hAnsi="宋体" w:cs="宋体" w:eastAsia="宋体" w:hint="default"/>
          <w:sz w:val="23"/>
          <w:szCs w:val="23"/>
        </w:rPr>
      </w:pPr>
    </w:p>
    <w:tbl>
      <w:tblPr>
        <w:tblW w:w="0" w:type="auto"/>
        <w:jc w:val="left"/>
        <w:tblInd w:w="287" w:type="dxa"/>
        <w:tblLayout w:type="fixed"/>
        <w:tblCellMar>
          <w:top w:w="0" w:type="dxa"/>
          <w:left w:w="0" w:type="dxa"/>
          <w:bottom w:w="0" w:type="dxa"/>
          <w:right w:w="0" w:type="dxa"/>
        </w:tblCellMar>
        <w:tblLook w:val="01E0"/>
      </w:tblPr>
      <w:tblGrid>
        <w:gridCol w:w="4059"/>
        <w:gridCol w:w="2410"/>
        <w:gridCol w:w="276"/>
        <w:gridCol w:w="2278"/>
      </w:tblGrid>
      <w:tr>
        <w:trPr>
          <w:trHeight w:val="259" w:hRule="exact"/>
        </w:trPr>
        <w:tc>
          <w:tcPr>
            <w:tcW w:w="4059"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single" w:sz="6" w:space="0" w:color="000000"/>
              <w:right w:val="nil" w:sz="6" w:space="0" w:color="auto"/>
            </w:tcBorders>
          </w:tcPr>
          <w:p>
            <w:pPr>
              <w:pStyle w:val="TableParagraph"/>
              <w:spacing w:line="236" w:lineRule="exact"/>
              <w:ind w:left="383"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276" w:type="dxa"/>
            <w:tcBorders>
              <w:top w:val="nil" w:sz="6" w:space="0" w:color="auto"/>
              <w:left w:val="nil" w:sz="6" w:space="0" w:color="auto"/>
              <w:bottom w:val="nil" w:sz="6" w:space="0" w:color="auto"/>
              <w:right w:val="nil" w:sz="6" w:space="0" w:color="auto"/>
            </w:tcBorders>
          </w:tcPr>
          <w:p>
            <w:pPr/>
          </w:p>
        </w:tc>
        <w:tc>
          <w:tcPr>
            <w:tcW w:w="2278" w:type="dxa"/>
            <w:tcBorders>
              <w:top w:val="nil" w:sz="6" w:space="0" w:color="auto"/>
              <w:left w:val="nil" w:sz="6" w:space="0" w:color="auto"/>
              <w:bottom w:val="single" w:sz="6" w:space="0" w:color="000000"/>
              <w:right w:val="nil" w:sz="6" w:space="0" w:color="auto"/>
            </w:tcBorders>
          </w:tcPr>
          <w:p>
            <w:pPr>
              <w:pStyle w:val="TableParagraph"/>
              <w:spacing w:line="236" w:lineRule="exact"/>
              <w:ind w:left="251"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557" w:hRule="exact"/>
        </w:trPr>
        <w:tc>
          <w:tcPr>
            <w:tcW w:w="405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合营企业</w:t>
            </w:r>
          </w:p>
        </w:tc>
        <w:tc>
          <w:tcPr>
            <w:tcW w:w="2410"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10"/>
              <w:jc w:val="right"/>
              <w:rPr>
                <w:rFonts w:ascii="Arial" w:hAnsi="Arial" w:cs="Arial" w:eastAsia="Arial" w:hint="default"/>
                <w:sz w:val="22"/>
                <w:szCs w:val="22"/>
              </w:rPr>
            </w:pPr>
            <w:r>
              <w:rPr>
                <w:rFonts w:ascii="Arial"/>
                <w:spacing w:val="-1"/>
                <w:sz w:val="22"/>
              </w:rPr>
              <w:t>4,778,875,377</w:t>
            </w:r>
          </w:p>
        </w:tc>
        <w:tc>
          <w:tcPr>
            <w:tcW w:w="276" w:type="dxa"/>
            <w:tcBorders>
              <w:top w:val="nil" w:sz="6" w:space="0" w:color="auto"/>
              <w:left w:val="nil" w:sz="6" w:space="0" w:color="auto"/>
              <w:bottom w:val="nil" w:sz="6" w:space="0" w:color="auto"/>
              <w:right w:val="nil" w:sz="6" w:space="0" w:color="auto"/>
            </w:tcBorders>
          </w:tcPr>
          <w:p>
            <w:pPr/>
          </w:p>
        </w:tc>
        <w:tc>
          <w:tcPr>
            <w:tcW w:w="2278"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10"/>
              <w:jc w:val="right"/>
              <w:rPr>
                <w:rFonts w:ascii="Arial" w:hAnsi="Arial" w:cs="Arial" w:eastAsia="Arial" w:hint="default"/>
                <w:sz w:val="22"/>
                <w:szCs w:val="22"/>
              </w:rPr>
            </w:pPr>
            <w:r>
              <w:rPr>
                <w:rFonts w:ascii="Arial"/>
                <w:spacing w:val="-1"/>
                <w:sz w:val="22"/>
              </w:rPr>
              <w:t>4,008,049,940</w:t>
            </w:r>
          </w:p>
        </w:tc>
      </w:tr>
      <w:tr>
        <w:trPr>
          <w:trHeight w:val="295" w:hRule="exact"/>
        </w:trPr>
        <w:tc>
          <w:tcPr>
            <w:tcW w:w="4059"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联营企业</w:t>
            </w:r>
          </w:p>
        </w:tc>
        <w:tc>
          <w:tcPr>
            <w:tcW w:w="2410" w:type="dxa"/>
            <w:tcBorders>
              <w:top w:val="nil" w:sz="6" w:space="0" w:color="auto"/>
              <w:left w:val="nil" w:sz="6" w:space="0" w:color="auto"/>
              <w:bottom w:val="nil" w:sz="6" w:space="0" w:color="auto"/>
              <w:right w:val="nil" w:sz="6" w:space="0" w:color="auto"/>
            </w:tcBorders>
          </w:tcPr>
          <w:p>
            <w:pPr>
              <w:pStyle w:val="TableParagraph"/>
              <w:tabs>
                <w:tab w:pos="767" w:val="left" w:leader="none"/>
                <w:tab w:pos="2409"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36,451,446,942</w:t>
              <w:tab/>
            </w:r>
            <w:r>
              <w:rPr>
                <w:rFonts w:ascii="Arial"/>
                <w:spacing w:val="-1"/>
                <w:sz w:val="22"/>
              </w:rPr>
            </w:r>
          </w:p>
        </w:tc>
        <w:tc>
          <w:tcPr>
            <w:tcW w:w="276" w:type="dxa"/>
            <w:tcBorders>
              <w:top w:val="nil" w:sz="6" w:space="0" w:color="auto"/>
              <w:left w:val="nil" w:sz="6" w:space="0" w:color="auto"/>
              <w:bottom w:val="nil" w:sz="6" w:space="0" w:color="auto"/>
              <w:right w:val="nil" w:sz="6" w:space="0" w:color="auto"/>
            </w:tcBorders>
          </w:tcPr>
          <w:p>
            <w:pPr/>
          </w:p>
        </w:tc>
        <w:tc>
          <w:tcPr>
            <w:tcW w:w="2278" w:type="dxa"/>
            <w:tcBorders>
              <w:top w:val="nil" w:sz="6" w:space="0" w:color="auto"/>
              <w:left w:val="nil" w:sz="6" w:space="0" w:color="auto"/>
              <w:bottom w:val="nil" w:sz="6" w:space="0" w:color="auto"/>
              <w:right w:val="nil" w:sz="6" w:space="0" w:color="auto"/>
            </w:tcBorders>
          </w:tcPr>
          <w:p>
            <w:pPr>
              <w:pStyle w:val="TableParagraph"/>
              <w:tabs>
                <w:tab w:pos="628" w:val="left" w:leader="none"/>
                <w:tab w:pos="2270"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35,721,783,375</w:t>
              <w:tab/>
            </w:r>
            <w:r>
              <w:rPr>
                <w:rFonts w:ascii="Arial"/>
                <w:spacing w:val="-1"/>
                <w:sz w:val="22"/>
              </w:rPr>
            </w:r>
          </w:p>
        </w:tc>
      </w:tr>
      <w:tr>
        <w:trPr>
          <w:trHeight w:val="418" w:hRule="exact"/>
        </w:trPr>
        <w:tc>
          <w:tcPr>
            <w:tcW w:w="4059" w:type="dxa"/>
            <w:tcBorders>
              <w:top w:val="nil" w:sz="6" w:space="0" w:color="auto"/>
              <w:left w:val="nil" w:sz="6" w:space="0" w:color="auto"/>
              <w:bottom w:val="nil" w:sz="6" w:space="0" w:color="auto"/>
              <w:right w:val="nil" w:sz="6" w:space="0" w:color="auto"/>
            </w:tcBorders>
          </w:tcPr>
          <w:p>
            <w:pPr>
              <w:pStyle w:val="TableParagraph"/>
              <w:spacing w:line="246" w:lineRule="exact"/>
              <w:ind w:left="200" w:right="0"/>
              <w:jc w:val="left"/>
              <w:rPr>
                <w:rFonts w:ascii="宋体" w:hAnsi="宋体" w:cs="宋体" w:eastAsia="宋体" w:hint="default"/>
                <w:sz w:val="22"/>
                <w:szCs w:val="22"/>
              </w:rPr>
            </w:pPr>
            <w:r>
              <w:rPr>
                <w:rFonts w:ascii="宋体" w:hAnsi="宋体" w:cs="宋体" w:eastAsia="宋体" w:hint="default"/>
                <w:sz w:val="22"/>
                <w:szCs w:val="22"/>
              </w:rPr>
              <w:t>小计</w:t>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3"/>
              <w:jc w:val="right"/>
              <w:rPr>
                <w:rFonts w:ascii="Arial" w:hAnsi="Arial" w:cs="Arial" w:eastAsia="Arial" w:hint="default"/>
                <w:sz w:val="22"/>
                <w:szCs w:val="22"/>
              </w:rPr>
            </w:pPr>
            <w:r>
              <w:rPr>
                <w:rFonts w:ascii="Arial"/>
                <w:sz w:val="22"/>
              </w:rPr>
              <w:t>41,230,322,319</w:t>
            </w:r>
          </w:p>
        </w:tc>
        <w:tc>
          <w:tcPr>
            <w:tcW w:w="276" w:type="dxa"/>
            <w:tcBorders>
              <w:top w:val="nil" w:sz="6" w:space="0" w:color="auto"/>
              <w:left w:val="nil" w:sz="6" w:space="0" w:color="auto"/>
              <w:bottom w:val="nil" w:sz="6" w:space="0" w:color="auto"/>
              <w:right w:val="nil" w:sz="6" w:space="0" w:color="auto"/>
            </w:tcBorders>
          </w:tcPr>
          <w:p>
            <w:pPr/>
          </w:p>
        </w:tc>
        <w:tc>
          <w:tcPr>
            <w:tcW w:w="227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3"/>
              <w:jc w:val="right"/>
              <w:rPr>
                <w:rFonts w:ascii="Arial" w:hAnsi="Arial" w:cs="Arial" w:eastAsia="Arial" w:hint="default"/>
                <w:sz w:val="22"/>
                <w:szCs w:val="22"/>
              </w:rPr>
            </w:pPr>
            <w:r>
              <w:rPr>
                <w:rFonts w:ascii="Arial"/>
                <w:sz w:val="22"/>
              </w:rPr>
              <w:t>39,729,833,315</w:t>
            </w:r>
          </w:p>
        </w:tc>
      </w:tr>
      <w:tr>
        <w:trPr>
          <w:trHeight w:val="547" w:hRule="exact"/>
        </w:trPr>
        <w:tc>
          <w:tcPr>
            <w:tcW w:w="4059" w:type="dxa"/>
            <w:tcBorders>
              <w:top w:val="nil" w:sz="6" w:space="0" w:color="auto"/>
              <w:left w:val="nil" w:sz="6" w:space="0" w:color="auto"/>
              <w:bottom w:val="nil" w:sz="6" w:space="0" w:color="auto"/>
              <w:right w:val="nil" w:sz="6" w:space="0" w:color="auto"/>
            </w:tcBorders>
          </w:tcPr>
          <w:p>
            <w:pPr>
              <w:pStyle w:val="TableParagraph"/>
              <w:spacing w:line="240" w:lineRule="auto" w:before="78"/>
              <w:ind w:left="200" w:right="0"/>
              <w:jc w:val="left"/>
              <w:rPr>
                <w:rFonts w:ascii="宋体" w:hAnsi="宋体" w:cs="宋体" w:eastAsia="宋体" w:hint="default"/>
                <w:sz w:val="22"/>
                <w:szCs w:val="22"/>
              </w:rPr>
            </w:pPr>
            <w:r>
              <w:rPr>
                <w:rFonts w:ascii="宋体" w:hAnsi="宋体" w:cs="宋体" w:eastAsia="宋体" w:hint="default"/>
                <w:sz w:val="22"/>
                <w:szCs w:val="22"/>
              </w:rPr>
              <w:t>减：减值准备</w:t>
            </w:r>
          </w:p>
        </w:tc>
        <w:tc>
          <w:tcPr>
            <w:tcW w:w="2410" w:type="dxa"/>
            <w:tcBorders>
              <w:top w:val="nil" w:sz="6" w:space="0" w:color="auto"/>
              <w:left w:val="nil" w:sz="6" w:space="0" w:color="auto"/>
              <w:bottom w:val="nil" w:sz="6" w:space="0" w:color="auto"/>
              <w:right w:val="nil" w:sz="6" w:space="0" w:color="auto"/>
            </w:tcBorders>
          </w:tcPr>
          <w:p>
            <w:pPr>
              <w:pStyle w:val="TableParagraph"/>
              <w:tabs>
                <w:tab w:pos="1127" w:val="left" w:leader="none"/>
              </w:tabs>
              <w:spacing w:line="240" w:lineRule="auto" w:before="148"/>
              <w:ind w:right="2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(13,904,437)</w:t>
            </w:r>
            <w:r>
              <w:rPr>
                <w:rFonts w:ascii="Arial"/>
                <w:sz w:val="22"/>
              </w:rPr>
            </w:r>
          </w:p>
        </w:tc>
        <w:tc>
          <w:tcPr>
            <w:tcW w:w="276" w:type="dxa"/>
            <w:tcBorders>
              <w:top w:val="nil" w:sz="6" w:space="0" w:color="auto"/>
              <w:left w:val="nil" w:sz="6" w:space="0" w:color="auto"/>
              <w:bottom w:val="nil" w:sz="6" w:space="0" w:color="auto"/>
              <w:right w:val="nil" w:sz="6" w:space="0" w:color="auto"/>
            </w:tcBorders>
          </w:tcPr>
          <w:p>
            <w:pPr/>
          </w:p>
        </w:tc>
        <w:tc>
          <w:tcPr>
            <w:tcW w:w="2278" w:type="dxa"/>
            <w:tcBorders>
              <w:top w:val="nil" w:sz="6" w:space="0" w:color="auto"/>
              <w:left w:val="nil" w:sz="6" w:space="0" w:color="auto"/>
              <w:bottom w:val="nil" w:sz="6" w:space="0" w:color="auto"/>
              <w:right w:val="nil" w:sz="6" w:space="0" w:color="auto"/>
            </w:tcBorders>
          </w:tcPr>
          <w:p>
            <w:pPr>
              <w:pStyle w:val="TableParagraph"/>
              <w:tabs>
                <w:tab w:pos="1118" w:val="left" w:leader="none"/>
              </w:tabs>
              <w:spacing w:line="240" w:lineRule="auto" w:before="148"/>
              <w:ind w:right="18"/>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(5,958,090)</w:t>
            </w:r>
            <w:r>
              <w:rPr>
                <w:rFonts w:ascii="Arial"/>
                <w:sz w:val="22"/>
              </w:rPr>
            </w:r>
          </w:p>
        </w:tc>
      </w:tr>
      <w:tr>
        <w:trPr>
          <w:trHeight w:val="429" w:hRule="exact"/>
        </w:trPr>
        <w:tc>
          <w:tcPr>
            <w:tcW w:w="4059"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410" w:type="dxa"/>
            <w:tcBorders>
              <w:top w:val="nil" w:sz="6" w:space="0" w:color="auto"/>
              <w:left w:val="nil" w:sz="6" w:space="0" w:color="auto"/>
              <w:bottom w:val="single" w:sz="17" w:space="0" w:color="000000"/>
              <w:right w:val="nil" w:sz="6" w:space="0" w:color="auto"/>
            </w:tcBorders>
          </w:tcPr>
          <w:p>
            <w:pPr>
              <w:pStyle w:val="TableParagraph"/>
              <w:spacing w:line="240" w:lineRule="auto" w:before="153"/>
              <w:ind w:right="103"/>
              <w:jc w:val="right"/>
              <w:rPr>
                <w:rFonts w:ascii="Arial" w:hAnsi="Arial" w:cs="Arial" w:eastAsia="Arial" w:hint="default"/>
                <w:sz w:val="22"/>
                <w:szCs w:val="22"/>
              </w:rPr>
            </w:pPr>
            <w:r>
              <w:rPr>
                <w:rFonts w:ascii="Arial"/>
                <w:sz w:val="22"/>
              </w:rPr>
              <w:t>41,216,417,882</w:t>
            </w:r>
          </w:p>
        </w:tc>
        <w:tc>
          <w:tcPr>
            <w:tcW w:w="276" w:type="dxa"/>
            <w:tcBorders>
              <w:top w:val="nil" w:sz="6" w:space="0" w:color="auto"/>
              <w:left w:val="nil" w:sz="6" w:space="0" w:color="auto"/>
              <w:bottom w:val="nil" w:sz="6" w:space="0" w:color="auto"/>
              <w:right w:val="nil" w:sz="6" w:space="0" w:color="auto"/>
            </w:tcBorders>
          </w:tcPr>
          <w:p>
            <w:pPr/>
          </w:p>
        </w:tc>
        <w:tc>
          <w:tcPr>
            <w:tcW w:w="2278" w:type="dxa"/>
            <w:tcBorders>
              <w:top w:val="nil" w:sz="6" w:space="0" w:color="auto"/>
              <w:left w:val="nil" w:sz="6" w:space="0" w:color="auto"/>
              <w:bottom w:val="single" w:sz="17" w:space="0" w:color="000000"/>
              <w:right w:val="nil" w:sz="6" w:space="0" w:color="auto"/>
            </w:tcBorders>
          </w:tcPr>
          <w:p>
            <w:pPr>
              <w:pStyle w:val="TableParagraph"/>
              <w:spacing w:line="240" w:lineRule="auto" w:before="153"/>
              <w:ind w:right="103"/>
              <w:jc w:val="right"/>
              <w:rPr>
                <w:rFonts w:ascii="Arial" w:hAnsi="Arial" w:cs="Arial" w:eastAsia="Arial" w:hint="default"/>
                <w:sz w:val="22"/>
                <w:szCs w:val="22"/>
              </w:rPr>
            </w:pPr>
            <w:r>
              <w:rPr>
                <w:rFonts w:ascii="Arial"/>
                <w:sz w:val="22"/>
              </w:rPr>
              <w:t>39,723,875,225</w:t>
            </w:r>
          </w:p>
        </w:tc>
      </w:tr>
    </w:tbl>
    <w:p>
      <w:pPr>
        <w:spacing w:line="240" w:lineRule="auto" w:before="7"/>
        <w:rPr>
          <w:rFonts w:ascii="宋体" w:hAnsi="宋体" w:cs="宋体" w:eastAsia="宋体" w:hint="default"/>
          <w:sz w:val="10"/>
          <w:szCs w:val="10"/>
        </w:rPr>
      </w:pPr>
    </w:p>
    <w:p>
      <w:pPr>
        <w:pStyle w:val="BodyText"/>
        <w:spacing w:line="240" w:lineRule="auto" w:before="32"/>
        <w:ind w:left="472" w:right="0"/>
        <w:jc w:val="left"/>
      </w:pPr>
      <w:r>
        <w:rPr/>
        <w:t>本集团长期股权投资不存在变现的重大限制。</w:t>
      </w:r>
    </w:p>
    <w:p>
      <w:pPr>
        <w:spacing w:after="0" w:line="240" w:lineRule="auto"/>
        <w:jc w:val="left"/>
        <w:sectPr>
          <w:headerReference w:type="default" r:id="rId160"/>
          <w:pgSz w:w="11910" w:h="16840"/>
          <w:pgMar w:header="1188" w:footer="502" w:top="3120" w:bottom="700" w:left="900" w:right="1460"/>
        </w:sectPr>
      </w:pPr>
    </w:p>
    <w:p>
      <w:pPr>
        <w:pStyle w:val="BodyText"/>
        <w:spacing w:line="240" w:lineRule="auto" w:before="12"/>
        <w:ind w:left="167" w:right="11204"/>
        <w:jc w:val="left"/>
        <w:rPr>
          <w:rFonts w:ascii="黑体" w:hAnsi="黑体" w:cs="黑体" w:eastAsia="黑体" w:hint="default"/>
        </w:rPr>
      </w:pPr>
      <w:r>
        <w:rPr>
          <w:rFonts w:ascii="黑体" w:hAnsi="黑体" w:cs="黑体" w:eastAsia="黑体" w:hint="default"/>
        </w:rPr>
        <w:t>中国联合网络通信股份有限公司</w:t>
      </w:r>
    </w:p>
    <w:p>
      <w:pPr>
        <w:spacing w:line="240" w:lineRule="auto" w:before="1"/>
        <w:rPr>
          <w:rFonts w:ascii="黑体" w:hAnsi="黑体" w:cs="黑体" w:eastAsia="黑体" w:hint="default"/>
          <w:sz w:val="19"/>
          <w:szCs w:val="19"/>
        </w:rPr>
      </w:pPr>
    </w:p>
    <w:p>
      <w:pPr>
        <w:pStyle w:val="BodyText"/>
        <w:spacing w:line="240" w:lineRule="auto"/>
        <w:ind w:left="167" w:right="11204"/>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left="167" w:right="11204"/>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506" w:lineRule="auto"/>
        <w:ind w:left="259" w:right="11204" w:hanging="92"/>
        <w:jc w:val="left"/>
      </w:pPr>
      <w:r>
        <w:rPr>
          <w:rFonts w:ascii="黑体" w:hAnsi="黑体" w:cs="黑体" w:eastAsia="黑体" w:hint="default"/>
          <w:spacing w:val="-1"/>
        </w:rPr>
        <w:t>（除特别注明外，金额单位为人民币元）</w:t>
      </w:r>
      <w:r>
        <w:rPr>
          <w:rFonts w:ascii="黑体" w:hAnsi="黑体" w:cs="黑体" w:eastAsia="黑体" w:hint="default"/>
          <w:spacing w:val="-88"/>
        </w:rPr>
        <w:t> </w:t>
      </w:r>
      <w:r>
        <w:rPr>
          <w:rFonts w:ascii="黑体" w:hAnsi="黑体" w:cs="黑体" w:eastAsia="黑体" w:hint="default"/>
          <w:spacing w:val="-88"/>
        </w:rPr>
      </w:r>
      <w:r>
        <w:rPr>
          <w:rFonts w:ascii="黑体" w:hAnsi="黑体" w:cs="黑体" w:eastAsia="黑体" w:hint="default"/>
        </w:rPr>
        <w:t>五</w:t>
      </w:r>
      <w:r>
        <w:rPr>
          <w:rFonts w:ascii="黑体" w:hAnsi="黑体" w:cs="黑体" w:eastAsia="黑体" w:hint="default"/>
          <w:spacing w:val="54"/>
        </w:rPr>
        <w:t> </w:t>
      </w:r>
      <w:r>
        <w:rPr>
          <w:rFonts w:ascii="黑体" w:hAnsi="黑体" w:cs="黑体" w:eastAsia="黑体" w:hint="default"/>
        </w:rPr>
        <w:t>合并财务报表项目附注（续）</w:t>
      </w:r>
      <w:r>
        <w:rPr>
          <w:rFonts w:ascii="黑体" w:hAnsi="黑体" w:cs="黑体" w:eastAsia="黑体" w:hint="default"/>
          <w:w w:val="100"/>
        </w:rPr>
        <w:t> </w:t>
      </w:r>
      <w:r>
        <w:rPr>
          <w:rFonts w:ascii="Arial" w:hAnsi="Arial" w:cs="Arial" w:eastAsia="Arial" w:hint="default"/>
        </w:rPr>
        <w:t>10</w:t>
      </w:r>
      <w:r>
        <w:rPr/>
        <w:t>、长期股权投资（续）</w:t>
      </w:r>
    </w:p>
    <w:p>
      <w:pPr>
        <w:pStyle w:val="BodyText"/>
        <w:spacing w:line="249" w:lineRule="exact"/>
        <w:ind w:left="719" w:right="0"/>
        <w:jc w:val="left"/>
      </w:pPr>
      <w:r>
        <w:rPr/>
        <w:t>合营及联营企业本年变动情况分析如下：</w:t>
      </w:r>
    </w:p>
    <w:p>
      <w:pPr>
        <w:spacing w:line="240" w:lineRule="auto" w:before="12"/>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headerReference w:type="default" r:id="rId161"/>
          <w:footerReference w:type="default" r:id="rId162"/>
          <w:pgSz w:w="16840" w:h="11910" w:orient="landscape"/>
          <w:pgMar w:header="0" w:footer="0" w:top="1100" w:bottom="280" w:left="480" w:right="840"/>
        </w:sectPr>
      </w:pPr>
    </w:p>
    <w:p>
      <w:pPr>
        <w:spacing w:line="240" w:lineRule="auto" w:before="8"/>
        <w:rPr>
          <w:rFonts w:ascii="宋体" w:hAnsi="宋体" w:cs="宋体" w:eastAsia="宋体" w:hint="default"/>
          <w:sz w:val="20"/>
          <w:szCs w:val="20"/>
        </w:rPr>
      </w:pPr>
    </w:p>
    <w:p>
      <w:pPr>
        <w:spacing w:before="0"/>
        <w:ind w:left="0" w:right="0" w:firstLine="0"/>
        <w:jc w:val="right"/>
        <w:rPr>
          <w:rFonts w:ascii="宋体" w:hAnsi="宋体" w:cs="宋体" w:eastAsia="宋体" w:hint="default"/>
          <w:sz w:val="16"/>
          <w:szCs w:val="16"/>
        </w:rPr>
      </w:pPr>
      <w:r>
        <w:rPr>
          <w:rFonts w:ascii="宋体" w:hAnsi="宋体" w:cs="宋体" w:eastAsia="宋体" w:hint="default"/>
          <w:w w:val="95"/>
          <w:sz w:val="16"/>
          <w:szCs w:val="16"/>
        </w:rPr>
        <w:t>新租赁准则</w:t>
      </w:r>
      <w:r>
        <w:rPr>
          <w:rFonts w:ascii="宋体" w:hAnsi="宋体" w:cs="宋体" w:eastAsia="宋体" w:hint="default"/>
          <w:sz w:val="16"/>
          <w:szCs w:val="16"/>
        </w:rPr>
      </w:r>
    </w:p>
    <w:p>
      <w:pPr>
        <w:tabs>
          <w:tab w:pos="2283" w:val="left" w:leader="none"/>
        </w:tabs>
        <w:spacing w:line="252" w:lineRule="auto" w:before="49"/>
        <w:ind w:left="2484" w:right="0" w:hanging="1205"/>
        <w:jc w:val="left"/>
        <w:rPr>
          <w:rFonts w:ascii="宋体" w:hAnsi="宋体" w:cs="宋体" w:eastAsia="宋体" w:hint="default"/>
          <w:sz w:val="16"/>
          <w:szCs w:val="16"/>
        </w:rPr>
      </w:pPr>
      <w:r>
        <w:rPr/>
        <w:br w:type="column"/>
      </w:r>
      <w:r>
        <w:rPr>
          <w:rFonts w:ascii="宋体" w:hAnsi="宋体" w:cs="宋体" w:eastAsia="宋体" w:hint="default"/>
          <w:w w:val="98"/>
          <w:sz w:val="16"/>
          <w:szCs w:val="16"/>
        </w:rPr>
        <w:t> </w:t>
      </w:r>
      <w:r>
        <w:rPr>
          <w:rFonts w:ascii="宋体" w:hAnsi="宋体" w:cs="宋体" w:eastAsia="宋体" w:hint="default"/>
          <w:sz w:val="16"/>
          <w:szCs w:val="16"/>
        </w:rPr>
        <w:tab/>
      </w:r>
      <w:r>
        <w:rPr>
          <w:rFonts w:ascii="宋体" w:hAnsi="宋体" w:cs="宋体" w:eastAsia="宋体" w:hint="default"/>
          <w:w w:val="98"/>
          <w:sz w:val="16"/>
          <w:szCs w:val="16"/>
        </w:rPr>
        <w:t>本年增</w:t>
      </w:r>
      <w:r>
        <w:rPr>
          <w:rFonts w:ascii="宋体" w:hAnsi="宋体" w:cs="宋体" w:eastAsia="宋体" w:hint="default"/>
          <w:spacing w:val="4"/>
          <w:w w:val="98"/>
          <w:sz w:val="16"/>
          <w:szCs w:val="16"/>
        </w:rPr>
        <w:t>减</w:t>
      </w:r>
      <w:r>
        <w:rPr>
          <w:rFonts w:ascii="宋体" w:hAnsi="宋体" w:cs="宋体" w:eastAsia="宋体" w:hint="default"/>
          <w:w w:val="98"/>
          <w:sz w:val="16"/>
          <w:szCs w:val="16"/>
        </w:rPr>
        <w:t>变动</w:t>
      </w:r>
      <w:r>
        <w:rPr>
          <w:rFonts w:ascii="宋体" w:hAnsi="宋体" w:cs="宋体" w:eastAsia="宋体" w:hint="default"/>
          <w:w w:val="98"/>
          <w:sz w:val="16"/>
          <w:szCs w:val="16"/>
        </w:rPr>
        <w:t> </w:t>
      </w:r>
      <w:r>
        <w:rPr>
          <w:rFonts w:ascii="宋体" w:hAnsi="宋体" w:cs="宋体" w:eastAsia="宋体" w:hint="default"/>
          <w:sz w:val="16"/>
          <w:szCs w:val="16"/>
        </w:rPr>
        <w:t>减少</w:t>
      </w:r>
    </w:p>
    <w:p>
      <w:pPr>
        <w:spacing w:line="240" w:lineRule="auto" w:before="8"/>
        <w:rPr>
          <w:rFonts w:ascii="宋体" w:hAnsi="宋体" w:cs="宋体" w:eastAsia="宋体" w:hint="default"/>
          <w:sz w:val="20"/>
          <w:szCs w:val="20"/>
        </w:rPr>
      </w:pPr>
      <w:r>
        <w:rPr/>
        <w:br w:type="column"/>
      </w:r>
      <w:r>
        <w:rPr>
          <w:rFonts w:ascii="宋体"/>
          <w:sz w:val="20"/>
        </w:rPr>
      </w:r>
    </w:p>
    <w:p>
      <w:pPr>
        <w:spacing w:before="0"/>
        <w:ind w:left="545" w:right="0" w:firstLine="0"/>
        <w:jc w:val="left"/>
        <w:rPr>
          <w:rFonts w:ascii="宋体" w:hAnsi="宋体" w:cs="宋体" w:eastAsia="宋体" w:hint="default"/>
          <w:sz w:val="16"/>
          <w:szCs w:val="16"/>
        </w:rPr>
      </w:pPr>
      <w:r>
        <w:rPr/>
        <w:pict>
          <v:group style="position:absolute;margin-left:315.359985pt;margin-top:.943751pt;width:119.3pt;height:.5pt;mso-position-horizontal-relative:page;mso-position-vertical-relative:paragraph;z-index:-1024696" coordorigin="6307,19" coordsize="2386,10">
            <v:group style="position:absolute;left:6312;top:24;width:20;height:2" coordorigin="6312,24" coordsize="20,2">
              <v:shape style="position:absolute;left:6312;top:24;width:20;height:2" coordorigin="6312,24" coordsize="20,0" path="m6312,24l6331,24e" filled="false" stroked="true" strokeweight=".48pt" strokecolor="#000000">
                <v:path arrowok="t"/>
              </v:shape>
            </v:group>
            <v:group style="position:absolute;left:6331;top:24;width:10;height:2" coordorigin="6331,24" coordsize="10,2">
              <v:shape style="position:absolute;left:6331;top:24;width:10;height:2" coordorigin="6331,24" coordsize="10,0" path="m6331,24l6341,24e" filled="false" stroked="true" strokeweight=".48pt" strokecolor="#000000">
                <v:path arrowok="t"/>
              </v:shape>
            </v:group>
            <v:group style="position:absolute;left:6341;top:24;width:941;height:2" coordorigin="6341,24" coordsize="941,2">
              <v:shape style="position:absolute;left:6341;top:24;width:941;height:2" coordorigin="6341,24" coordsize="941,0" path="m6341,24l7282,24e" filled="false" stroked="true" strokeweight=".48pt" strokecolor="#000000">
                <v:path arrowok="t"/>
              </v:shape>
            </v:group>
            <v:group style="position:absolute;left:7282;top:24;width:10;height:2" coordorigin="7282,24" coordsize="10,2">
              <v:shape style="position:absolute;left:7282;top:24;width:10;height:2" coordorigin="7282,24" coordsize="10,0" path="m7282,24l7291,24e" filled="false" stroked="true" strokeweight=".48pt" strokecolor="#000000">
                <v:path arrowok="t"/>
              </v:shape>
            </v:group>
            <v:group style="position:absolute;left:7291;top:24;width:15;height:2" coordorigin="7291,24" coordsize="15,2">
              <v:shape style="position:absolute;left:7291;top:24;width:15;height:2" coordorigin="7291,24" coordsize="15,0" path="m7291,24l7306,24e" filled="false" stroked="true" strokeweight=".48pt" strokecolor="#000000">
                <v:path arrowok="t"/>
              </v:shape>
            </v:group>
            <v:group style="position:absolute;left:7306;top:24;width:10;height:2" coordorigin="7306,24" coordsize="10,2">
              <v:shape style="position:absolute;left:7306;top:24;width:10;height:2" coordorigin="7306,24" coordsize="10,0" path="m7306,24l7315,24e" filled="false" stroked="true" strokeweight=".48pt" strokecolor="#000000">
                <v:path arrowok="t"/>
              </v:shape>
            </v:group>
            <v:group style="position:absolute;left:7315;top:24;width:480;height:2" coordorigin="7315,24" coordsize="480,2">
              <v:shape style="position:absolute;left:7315;top:24;width:480;height:2" coordorigin="7315,24" coordsize="480,0" path="m7315,24l7795,24e" filled="false" stroked="true" strokeweight=".48pt" strokecolor="#000000">
                <v:path arrowok="t"/>
              </v:shape>
            </v:group>
            <v:group style="position:absolute;left:7795;top:24;width:10;height:2" coordorigin="7795,24" coordsize="10,2">
              <v:shape style="position:absolute;left:7795;top:24;width:10;height:2" coordorigin="7795,24" coordsize="10,0" path="m7795,24l7805,24e" filled="false" stroked="true" strokeweight=".48pt" strokecolor="#000000">
                <v:path arrowok="t"/>
              </v:shape>
            </v:group>
            <v:group style="position:absolute;left:7805;top:24;width:10;height:2" coordorigin="7805,24" coordsize="10,2">
              <v:shape style="position:absolute;left:7805;top:24;width:10;height:2" coordorigin="7805,24" coordsize="10,0" path="m7805,24l7814,24e" filled="false" stroked="true" strokeweight=".48pt" strokecolor="#000000">
                <v:path arrowok="t"/>
              </v:shape>
            </v:group>
            <v:group style="position:absolute;left:7814;top:24;width:10;height:2" coordorigin="7814,24" coordsize="10,2">
              <v:shape style="position:absolute;left:7814;top:24;width:10;height:2" coordorigin="7814,24" coordsize="10,0" path="m7814,24l7824,24e" filled="false" stroked="true" strokeweight=".48pt" strokecolor="#000000">
                <v:path arrowok="t"/>
              </v:shape>
            </v:group>
            <v:group style="position:absolute;left:7824;top:24;width:864;height:2" coordorigin="7824,24" coordsize="864,2">
              <v:shape style="position:absolute;left:7824;top:24;width:864;height:2" coordorigin="7824,24" coordsize="864,0" path="m7824,24l8688,24e" filled="false" stroked="true" strokeweight=".48pt" strokecolor="#000000">
                <v:path arrowok="t"/>
              </v:shape>
            </v:group>
            <w10:wrap type="none"/>
          </v:group>
        </w:pict>
      </w:r>
      <w:r>
        <w:rPr>
          <w:rFonts w:ascii="宋体" w:hAnsi="宋体" w:cs="宋体" w:eastAsia="宋体" w:hint="default"/>
          <w:w w:val="95"/>
          <w:sz w:val="16"/>
          <w:szCs w:val="16"/>
        </w:rPr>
        <w:t>权益法下确认的</w:t>
      </w:r>
      <w:r>
        <w:rPr>
          <w:rFonts w:ascii="宋体" w:hAnsi="宋体" w:cs="宋体" w:eastAsia="宋体" w:hint="default"/>
          <w:sz w:val="16"/>
          <w:szCs w:val="16"/>
        </w:rPr>
      </w:r>
    </w:p>
    <w:p>
      <w:pPr>
        <w:spacing w:line="240" w:lineRule="auto" w:before="8"/>
        <w:rPr>
          <w:rFonts w:ascii="宋体" w:hAnsi="宋体" w:cs="宋体" w:eastAsia="宋体" w:hint="default"/>
          <w:sz w:val="20"/>
          <w:szCs w:val="20"/>
        </w:rPr>
      </w:pPr>
      <w:r>
        <w:rPr/>
        <w:br w:type="column"/>
      </w:r>
      <w:r>
        <w:rPr>
          <w:rFonts w:ascii="宋体"/>
          <w:sz w:val="20"/>
        </w:rPr>
      </w:r>
    </w:p>
    <w:p>
      <w:pPr>
        <w:spacing w:before="0"/>
        <w:ind w:left="108" w:right="-15" w:firstLine="0"/>
        <w:jc w:val="left"/>
        <w:rPr>
          <w:rFonts w:ascii="宋体" w:hAnsi="宋体" w:cs="宋体" w:eastAsia="宋体" w:hint="default"/>
          <w:sz w:val="16"/>
          <w:szCs w:val="16"/>
        </w:rPr>
      </w:pPr>
      <w:r>
        <w:rPr>
          <w:rFonts w:ascii="宋体" w:hAnsi="宋体" w:cs="宋体" w:eastAsia="宋体" w:hint="default"/>
          <w:sz w:val="16"/>
          <w:szCs w:val="16"/>
        </w:rPr>
        <w:t>其他综 </w:t>
      </w:r>
      <w:r>
        <w:rPr>
          <w:rFonts w:ascii="宋体" w:hAnsi="宋体" w:cs="宋体" w:eastAsia="宋体" w:hint="default"/>
          <w:position w:val="-1"/>
          <w:sz w:val="16"/>
          <w:szCs w:val="16"/>
        </w:rPr>
        <w:t>其他权益变动 </w:t>
      </w:r>
      <w:r>
        <w:rPr>
          <w:rFonts w:ascii="宋体" w:hAnsi="宋体" w:cs="宋体" w:eastAsia="宋体" w:hint="default"/>
          <w:sz w:val="16"/>
          <w:szCs w:val="16"/>
        </w:rPr>
        <w:t>宣告分派的现</w:t>
      </w:r>
      <w:r>
        <w:rPr>
          <w:rFonts w:ascii="宋体" w:hAnsi="宋体" w:cs="宋体" w:eastAsia="宋体" w:hint="default"/>
          <w:spacing w:val="-8"/>
          <w:sz w:val="16"/>
          <w:szCs w:val="16"/>
        </w:rPr>
        <w:t> </w:t>
      </w:r>
      <w:r>
        <w:rPr>
          <w:rFonts w:ascii="宋体" w:hAnsi="宋体" w:cs="宋体" w:eastAsia="宋体" w:hint="default"/>
          <w:sz w:val="16"/>
          <w:szCs w:val="16"/>
        </w:rPr>
        <w:t>计提减值准</w:t>
      </w:r>
    </w:p>
    <w:p>
      <w:pPr>
        <w:spacing w:line="240" w:lineRule="auto" w:before="8"/>
        <w:rPr>
          <w:rFonts w:ascii="宋体" w:hAnsi="宋体" w:cs="宋体" w:eastAsia="宋体" w:hint="default"/>
          <w:sz w:val="20"/>
          <w:szCs w:val="20"/>
        </w:rPr>
      </w:pPr>
      <w:r>
        <w:rPr/>
        <w:br w:type="column"/>
      </w:r>
      <w:r>
        <w:rPr>
          <w:rFonts w:ascii="宋体"/>
          <w:sz w:val="20"/>
        </w:rPr>
      </w:r>
    </w:p>
    <w:p>
      <w:pPr>
        <w:spacing w:before="0"/>
        <w:ind w:left="1328" w:right="0" w:firstLine="0"/>
        <w:jc w:val="left"/>
        <w:rPr>
          <w:rFonts w:ascii="宋体" w:hAnsi="宋体" w:cs="宋体" w:eastAsia="宋体" w:hint="default"/>
          <w:sz w:val="16"/>
          <w:szCs w:val="16"/>
        </w:rPr>
      </w:pPr>
      <w:r>
        <w:rPr>
          <w:rFonts w:ascii="宋体" w:hAnsi="宋体" w:cs="宋体" w:eastAsia="宋体" w:hint="default"/>
          <w:sz w:val="16"/>
          <w:szCs w:val="16"/>
        </w:rPr>
        <w:t>减值准备年末</w:t>
      </w:r>
    </w:p>
    <w:p>
      <w:pPr>
        <w:spacing w:after="0"/>
        <w:jc w:val="left"/>
        <w:rPr>
          <w:rFonts w:ascii="宋体" w:hAnsi="宋体" w:cs="宋体" w:eastAsia="宋体" w:hint="default"/>
          <w:sz w:val="16"/>
          <w:szCs w:val="16"/>
        </w:rPr>
        <w:sectPr>
          <w:type w:val="continuous"/>
          <w:pgSz w:w="16840" w:h="11910" w:orient="landscape"/>
          <w:pgMar w:top="1360" w:bottom="700" w:left="480" w:right="840"/>
          <w:cols w:num="5" w:equalWidth="0">
            <w:col w:w="4407" w:space="40"/>
            <w:col w:w="3239" w:space="40"/>
            <w:col w:w="1660" w:space="40"/>
            <w:col w:w="3546" w:space="40"/>
            <w:col w:w="2508"/>
          </w:cols>
        </w:sectPr>
      </w:pPr>
    </w:p>
    <w:p>
      <w:pPr>
        <w:tabs>
          <w:tab w:pos="2419" w:val="left" w:leader="none"/>
        </w:tabs>
        <w:spacing w:line="186" w:lineRule="exact" w:before="0"/>
        <w:ind w:left="830" w:right="0" w:firstLine="0"/>
        <w:jc w:val="left"/>
        <w:rPr>
          <w:rFonts w:ascii="宋体" w:hAnsi="宋体" w:cs="宋体" w:eastAsia="宋体" w:hint="default"/>
          <w:sz w:val="16"/>
          <w:szCs w:val="16"/>
        </w:rPr>
      </w:pPr>
      <w:r>
        <w:rPr>
          <w:rFonts w:ascii="宋体" w:hAnsi="宋体" w:cs="宋体" w:eastAsia="宋体" w:hint="default"/>
          <w:w w:val="95"/>
          <w:sz w:val="16"/>
          <w:szCs w:val="16"/>
        </w:rPr>
        <w:t>被投资单位</w:t>
        <w:tab/>
        <w:t>调整前年初余额</w:t>
      </w:r>
      <w:r>
        <w:rPr>
          <w:rFonts w:ascii="宋体" w:hAnsi="宋体" w:cs="宋体" w:eastAsia="宋体" w:hint="default"/>
          <w:sz w:val="16"/>
          <w:szCs w:val="16"/>
        </w:rPr>
      </w:r>
    </w:p>
    <w:p>
      <w:pPr>
        <w:tabs>
          <w:tab w:pos="1049" w:val="left" w:leader="none"/>
          <w:tab w:pos="2388" w:val="left" w:leader="none"/>
        </w:tabs>
        <w:spacing w:line="186" w:lineRule="exact" w:before="0"/>
        <w:ind w:left="276" w:right="0" w:firstLine="0"/>
        <w:jc w:val="left"/>
        <w:rPr>
          <w:rFonts w:ascii="宋体" w:hAnsi="宋体" w:cs="宋体" w:eastAsia="宋体" w:hint="default"/>
          <w:sz w:val="16"/>
          <w:szCs w:val="16"/>
        </w:rPr>
      </w:pPr>
      <w:r>
        <w:rPr>
          <w:w w:val="95"/>
        </w:rPr>
        <w:br w:type="column"/>
      </w:r>
      <w:r>
        <w:rPr>
          <w:rFonts w:ascii="宋体" w:hAnsi="宋体" w:cs="宋体" w:eastAsia="宋体" w:hint="default"/>
          <w:w w:val="95"/>
          <w:sz w:val="16"/>
          <w:szCs w:val="16"/>
        </w:rPr>
        <w:t>影响</w:t>
        <w:tab/>
        <w:t>调整后年初余额</w:t>
        <w:tab/>
        <w:t>增加投资</w:t>
      </w:r>
      <w:r>
        <w:rPr>
          <w:rFonts w:ascii="宋体" w:hAnsi="宋体" w:cs="宋体" w:eastAsia="宋体" w:hint="default"/>
          <w:sz w:val="16"/>
          <w:szCs w:val="16"/>
        </w:rPr>
      </w:r>
    </w:p>
    <w:p>
      <w:pPr>
        <w:spacing w:line="186" w:lineRule="exact" w:before="0"/>
        <w:ind w:left="295" w:right="-18" w:firstLine="0"/>
        <w:jc w:val="left"/>
        <w:rPr>
          <w:rFonts w:ascii="宋体" w:hAnsi="宋体" w:cs="宋体" w:eastAsia="宋体" w:hint="default"/>
          <w:sz w:val="16"/>
          <w:szCs w:val="16"/>
        </w:rPr>
      </w:pPr>
      <w:r>
        <w:rPr/>
        <w:br w:type="column"/>
      </w:r>
      <w:r>
        <w:rPr>
          <w:rFonts w:ascii="宋体" w:hAnsi="宋体" w:cs="宋体" w:eastAsia="宋体" w:hint="default"/>
          <w:sz w:val="16"/>
          <w:szCs w:val="16"/>
        </w:rPr>
        <w:t>投资 </w:t>
      </w:r>
      <w:r>
        <w:rPr>
          <w:rFonts w:ascii="宋体" w:hAnsi="宋体" w:cs="宋体" w:eastAsia="宋体" w:hint="default"/>
          <w:spacing w:val="7"/>
          <w:sz w:val="16"/>
          <w:szCs w:val="16"/>
        </w:rPr>
        <w:t> </w:t>
      </w:r>
      <w:r>
        <w:rPr>
          <w:rFonts w:ascii="宋体" w:hAnsi="宋体" w:cs="宋体" w:eastAsia="宋体" w:hint="default"/>
          <w:sz w:val="16"/>
          <w:szCs w:val="16"/>
        </w:rPr>
        <w:t>其他变动</w:t>
      </w:r>
    </w:p>
    <w:p>
      <w:pPr>
        <w:spacing w:line="203" w:lineRule="exact" w:before="0"/>
        <w:ind w:left="175" w:right="0" w:firstLine="0"/>
        <w:jc w:val="left"/>
        <w:rPr>
          <w:rFonts w:ascii="Arial" w:hAnsi="Arial" w:cs="Arial" w:eastAsia="Arial" w:hint="default"/>
          <w:sz w:val="16"/>
          <w:szCs w:val="16"/>
        </w:rPr>
      </w:pPr>
      <w:r>
        <w:rPr>
          <w:w w:val="95"/>
        </w:rPr>
        <w:br w:type="column"/>
      </w:r>
      <w:r>
        <w:rPr>
          <w:rFonts w:ascii="宋体" w:hAnsi="宋体" w:cs="宋体" w:eastAsia="宋体" w:hint="default"/>
          <w:w w:val="95"/>
          <w:sz w:val="16"/>
          <w:szCs w:val="16"/>
        </w:rPr>
        <w:t>投资收益</w:t>
      </w:r>
      <w:r>
        <w:rPr>
          <w:rFonts w:ascii="Arial" w:hAnsi="Arial" w:cs="Arial" w:eastAsia="Arial" w:hint="default"/>
          <w:w w:val="95"/>
          <w:sz w:val="16"/>
          <w:szCs w:val="16"/>
        </w:rPr>
        <w:t>/(</w:t>
      </w:r>
      <w:r>
        <w:rPr>
          <w:rFonts w:ascii="宋体" w:hAnsi="宋体" w:cs="宋体" w:eastAsia="宋体" w:hint="default"/>
          <w:w w:val="95"/>
          <w:sz w:val="16"/>
          <w:szCs w:val="16"/>
        </w:rPr>
        <w:t>损失</w:t>
      </w:r>
      <w:r>
        <w:rPr>
          <w:rFonts w:ascii="Arial" w:hAnsi="Arial" w:cs="Arial" w:eastAsia="Arial" w:hint="default"/>
          <w:w w:val="95"/>
          <w:sz w:val="16"/>
          <w:szCs w:val="16"/>
        </w:rPr>
        <w:t>)</w:t>
      </w:r>
      <w:r>
        <w:rPr>
          <w:rFonts w:ascii="Arial" w:hAnsi="Arial" w:cs="Arial" w:eastAsia="Arial" w:hint="default"/>
          <w:sz w:val="16"/>
          <w:szCs w:val="16"/>
        </w:rPr>
      </w:r>
    </w:p>
    <w:p>
      <w:pPr>
        <w:spacing w:line="186" w:lineRule="exact" w:before="0"/>
        <w:ind w:left="113" w:right="-1" w:firstLine="0"/>
        <w:jc w:val="left"/>
        <w:rPr>
          <w:rFonts w:ascii="宋体" w:hAnsi="宋体" w:cs="宋体" w:eastAsia="宋体" w:hint="default"/>
          <w:sz w:val="16"/>
          <w:szCs w:val="16"/>
        </w:rPr>
      </w:pPr>
      <w:r>
        <w:rPr>
          <w:w w:val="95"/>
        </w:rPr>
        <w:br w:type="column"/>
      </w:r>
      <w:r>
        <w:rPr>
          <w:rFonts w:ascii="宋体" w:hAnsi="宋体" w:cs="宋体" w:eastAsia="宋体" w:hint="default"/>
          <w:w w:val="95"/>
          <w:sz w:val="16"/>
          <w:szCs w:val="16"/>
        </w:rPr>
        <w:t>合收益</w:t>
      </w:r>
      <w:r>
        <w:rPr>
          <w:rFonts w:ascii="宋体" w:hAnsi="宋体" w:cs="宋体" w:eastAsia="宋体" w:hint="default"/>
          <w:sz w:val="16"/>
          <w:szCs w:val="16"/>
        </w:rPr>
      </w:r>
    </w:p>
    <w:p>
      <w:pPr>
        <w:spacing w:line="186" w:lineRule="exact" w:before="0"/>
        <w:ind w:left="830" w:right="-1" w:firstLine="0"/>
        <w:jc w:val="left"/>
        <w:rPr>
          <w:rFonts w:ascii="宋体" w:hAnsi="宋体" w:cs="宋体" w:eastAsia="宋体" w:hint="default"/>
          <w:sz w:val="16"/>
          <w:szCs w:val="16"/>
        </w:rPr>
      </w:pPr>
      <w:r>
        <w:rPr>
          <w:w w:val="95"/>
        </w:rPr>
        <w:br w:type="column"/>
      </w:r>
      <w:r>
        <w:rPr>
          <w:rFonts w:ascii="宋体" w:hAnsi="宋体" w:cs="宋体" w:eastAsia="宋体" w:hint="default"/>
          <w:w w:val="95"/>
          <w:sz w:val="16"/>
          <w:szCs w:val="16"/>
        </w:rPr>
        <w:t>金股利</w:t>
      </w:r>
      <w:r>
        <w:rPr>
          <w:rFonts w:ascii="宋体" w:hAnsi="宋体" w:cs="宋体" w:eastAsia="宋体" w:hint="default"/>
          <w:sz w:val="16"/>
          <w:szCs w:val="16"/>
        </w:rPr>
      </w:r>
    </w:p>
    <w:p>
      <w:pPr>
        <w:tabs>
          <w:tab w:pos="1423" w:val="left" w:leader="none"/>
          <w:tab w:pos="2739" w:val="left" w:leader="none"/>
        </w:tabs>
        <w:spacing w:line="186" w:lineRule="exact" w:before="0"/>
        <w:ind w:left="574" w:right="0" w:firstLine="0"/>
        <w:jc w:val="left"/>
        <w:rPr>
          <w:rFonts w:ascii="宋体" w:hAnsi="宋体" w:cs="宋体" w:eastAsia="宋体" w:hint="default"/>
          <w:sz w:val="16"/>
          <w:szCs w:val="16"/>
        </w:rPr>
      </w:pPr>
      <w:r>
        <w:rPr>
          <w:w w:val="95"/>
        </w:rPr>
        <w:br w:type="column"/>
      </w:r>
      <w:r>
        <w:rPr>
          <w:rFonts w:ascii="宋体" w:hAnsi="宋体" w:cs="宋体" w:eastAsia="宋体" w:hint="default"/>
          <w:w w:val="95"/>
          <w:sz w:val="16"/>
          <w:szCs w:val="16"/>
        </w:rPr>
        <w:t>备</w:t>
        <w:tab/>
        <w:t>年末余额</w:t>
        <w:tab/>
      </w:r>
      <w:r>
        <w:rPr>
          <w:rFonts w:ascii="宋体" w:hAnsi="宋体" w:cs="宋体" w:eastAsia="宋体" w:hint="default"/>
          <w:sz w:val="16"/>
          <w:szCs w:val="16"/>
        </w:rPr>
        <w:t>余额</w:t>
      </w:r>
    </w:p>
    <w:p>
      <w:pPr>
        <w:spacing w:after="0" w:line="186" w:lineRule="exact"/>
        <w:jc w:val="left"/>
        <w:rPr>
          <w:rFonts w:ascii="宋体" w:hAnsi="宋体" w:cs="宋体" w:eastAsia="宋体" w:hint="default"/>
          <w:sz w:val="16"/>
          <w:szCs w:val="16"/>
        </w:rPr>
        <w:sectPr>
          <w:type w:val="continuous"/>
          <w:pgSz w:w="16840" w:h="11910" w:orient="landscape"/>
          <w:pgMar w:top="1360" w:bottom="700" w:left="480" w:right="840"/>
          <w:cols w:num="7" w:equalWidth="0">
            <w:col w:w="3533" w:space="40"/>
            <w:col w:w="3023" w:space="40"/>
            <w:col w:w="1424" w:space="40"/>
            <w:col w:w="1280" w:space="40"/>
            <w:col w:w="589" w:space="566"/>
            <w:col w:w="1306" w:space="40"/>
            <w:col w:w="3599"/>
          </w:cols>
        </w:sectPr>
      </w:pPr>
    </w:p>
    <w:p>
      <w:pPr>
        <w:spacing w:line="20" w:lineRule="exact"/>
        <w:ind w:left="132" w:right="0" w:firstLine="0"/>
        <w:rPr>
          <w:rFonts w:ascii="宋体" w:hAnsi="宋体" w:cs="宋体" w:eastAsia="宋体" w:hint="default"/>
          <w:sz w:val="2"/>
          <w:szCs w:val="2"/>
        </w:rPr>
      </w:pPr>
      <w:r>
        <w:rPr>
          <w:rFonts w:ascii="宋体"/>
          <w:sz w:val="2"/>
        </w:rPr>
        <w:pict>
          <v:group style="width:109.7pt;height:.75pt;mso-position-horizontal-relative:char;mso-position-vertical-relative:line" coordorigin="0,0" coordsize="2194,15">
            <v:group style="position:absolute;left:7;top:7;width:2180;height:2" coordorigin="7,7" coordsize="2180,2">
              <v:shape style="position:absolute;left:7;top:7;width:2180;height:2" coordorigin="7,7" coordsize="2180,0" path="m7,7l2186,7e" filled="false" stroked="true" strokeweight=".72pt" strokecolor="#000000">
                <v:path arrowok="t"/>
              </v:shape>
            </v:group>
          </v:group>
        </w:pict>
      </w:r>
      <w:r>
        <w:rPr>
          <w:rFonts w:ascii="宋体"/>
          <w:sz w:val="2"/>
        </w:rPr>
      </w:r>
      <w:r>
        <w:rPr>
          <w:rFonts w:ascii="Times New Roman"/>
          <w:spacing w:val="73"/>
          <w:sz w:val="2"/>
        </w:rPr>
        <w:t> </w:t>
      </w:r>
      <w:r>
        <w:rPr>
          <w:rFonts w:ascii="宋体"/>
          <w:spacing w:val="73"/>
          <w:sz w:val="2"/>
        </w:rPr>
        <w:pict>
          <v:group style="width:649.6pt;height:.75pt;mso-position-horizontal-relative:char;mso-position-vertical-relative:line" coordorigin="0,0" coordsize="12992,15">
            <v:group style="position:absolute;left:7;top:7;width:1124;height:2" coordorigin="7,7" coordsize="1124,2">
              <v:shape style="position:absolute;left:7;top:7;width:1124;height:2" coordorigin="7,7" coordsize="1124,0" path="m7,7l1130,7e" filled="false" stroked="true" strokeweight=".72pt" strokecolor="#000000">
                <v:path arrowok="t"/>
              </v:shape>
            </v:group>
            <v:group style="position:absolute;left:1130;top:5;width:994;height:2" coordorigin="1130,5" coordsize="994,2">
              <v:shape style="position:absolute;left:1130;top:5;width:994;height:2" coordorigin="1130,5" coordsize="994,0" path="m1130,5l2124,5e" filled="false" stroked="true" strokeweight=".48pt" strokecolor="#000000">
                <v:path arrowok="t"/>
              </v:shape>
            </v:group>
            <v:group style="position:absolute;left:2143;top:5;width:1258;height:2" coordorigin="2143,5" coordsize="1258,2">
              <v:shape style="position:absolute;left:2143;top:5;width:1258;height:2" coordorigin="2143,5" coordsize="1258,0" path="m2143,5l3401,5e" filled="false" stroked="true" strokeweight=".48pt" strokecolor="#000000">
                <v:path arrowok="t"/>
              </v:shape>
            </v:group>
            <v:group style="position:absolute;left:3444;top:7;width:951;height:2" coordorigin="3444,7" coordsize="951,2">
              <v:shape style="position:absolute;left:3444;top:7;width:951;height:2" coordorigin="3444,7" coordsize="951,0" path="m3444,7l4394,7e" filled="false" stroked="true" strokeweight=".72pt" strokecolor="#000000">
                <v:path arrowok="t"/>
              </v:shape>
            </v:group>
            <v:group style="position:absolute;left:4418;top:5;width:490;height:2" coordorigin="4418,5" coordsize="490,2">
              <v:shape style="position:absolute;left:4418;top:5;width:490;height:2" coordorigin="4418,5" coordsize="490,0" path="m4418,5l4908,5e" filled="false" stroked="true" strokeweight=".48pt" strokecolor="#000000">
                <v:path arrowok="t"/>
              </v:shape>
            </v:group>
            <v:group style="position:absolute;left:4908;top:7;width:20;height:2" coordorigin="4908,7" coordsize="20,2">
              <v:shape style="position:absolute;left:4908;top:7;width:20;height:2" coordorigin="4908,7" coordsize="20,0" path="m4908,7l4927,7e" filled="false" stroked="true" strokeweight=".72pt" strokecolor="#000000">
                <v:path arrowok="t"/>
              </v:shape>
            </v:group>
            <v:group style="position:absolute;left:4927;top:5;width:874;height:2" coordorigin="4927,5" coordsize="874,2">
              <v:shape style="position:absolute;left:4927;top:5;width:874;height:2" coordorigin="4927,5" coordsize="874,0" path="m4927,5l5801,5e" filled="false" stroked="true" strokeweight=".48pt" strokecolor="#000000">
                <v:path arrowok="t"/>
              </v:shape>
            </v:group>
            <v:group style="position:absolute;left:5839;top:7;width:1220;height:2" coordorigin="5839,7" coordsize="1220,2">
              <v:shape style="position:absolute;left:5839;top:7;width:1220;height:2" coordorigin="5839,7" coordsize="1220,0" path="m5839,7l7058,7e" filled="false" stroked="true" strokeweight=".72pt" strokecolor="#000000">
                <v:path arrowok="t"/>
              </v:shape>
            </v:group>
            <v:group style="position:absolute;left:7078;top:7;width:586;height:2" coordorigin="7078,7" coordsize="586,2">
              <v:shape style="position:absolute;left:7078;top:7;width:586;height:2" coordorigin="7078,7" coordsize="586,0" path="m7078,7l7663,7e" filled="false" stroked="true" strokeweight=".72pt" strokecolor="#000000">
                <v:path arrowok="t"/>
              </v:shape>
            </v:group>
            <v:group style="position:absolute;left:7682;top:7;width:1042;height:2" coordorigin="7682,7" coordsize="1042,2">
              <v:shape style="position:absolute;left:7682;top:7;width:1042;height:2" coordorigin="7682,7" coordsize="1042,0" path="m7682,7l8724,7e" filled="false" stroked="true" strokeweight=".72pt" strokecolor="#000000">
                <v:path arrowok="t"/>
              </v:shape>
            </v:group>
            <v:group style="position:absolute;left:8743;top:5;width:989;height:2" coordorigin="8743,5" coordsize="989,2">
              <v:shape style="position:absolute;left:8743;top:5;width:989;height:2" coordorigin="8743,5" coordsize="989,0" path="m8743,5l9732,5e" filled="false" stroked="true" strokeweight=".48pt" strokecolor="#000000">
                <v:path arrowok="t"/>
              </v:shape>
            </v:group>
            <v:group style="position:absolute;left:9751;top:5;width:879;height:2" coordorigin="9751,5" coordsize="879,2">
              <v:shape style="position:absolute;left:9751;top:5;width:879;height:2" coordorigin="9751,5" coordsize="879,0" path="m9751,5l10630,5e" filled="false" stroked="true" strokeweight=".48pt" strokecolor="#000000">
                <v:path arrowok="t"/>
              </v:shape>
            </v:group>
            <v:group style="position:absolute;left:10649;top:7;width:1210;height:2" coordorigin="10649,7" coordsize="1210,2">
              <v:shape style="position:absolute;left:10649;top:7;width:1210;height:2" coordorigin="10649,7" coordsize="1210,0" path="m10649,7l11858,7e" filled="false" stroked="true" strokeweight=".72pt" strokecolor="#000000">
                <v:path arrowok="t"/>
              </v:shape>
            </v:group>
            <v:group style="position:absolute;left:11878;top:5;width:1109;height:2" coordorigin="11878,5" coordsize="1109,2">
              <v:shape style="position:absolute;left:11878;top:5;width:1109;height:2" coordorigin="11878,5" coordsize="1109,0" path="m11878,5l12986,5e" filled="false" stroked="true" strokeweight=".48pt" strokecolor="#000000">
                <v:path arrowok="t"/>
              </v:shape>
            </v:group>
          </v:group>
        </w:pict>
      </w:r>
      <w:r>
        <w:rPr>
          <w:rFonts w:ascii="宋体"/>
          <w:spacing w:val="73"/>
          <w:sz w:val="2"/>
        </w:rPr>
      </w:r>
    </w:p>
    <w:p>
      <w:pPr>
        <w:spacing w:line="240" w:lineRule="auto" w:before="8"/>
        <w:rPr>
          <w:rFonts w:ascii="宋体" w:hAnsi="宋体" w:cs="宋体" w:eastAsia="宋体" w:hint="default"/>
          <w:sz w:val="8"/>
          <w:szCs w:val="8"/>
        </w:rPr>
      </w:pPr>
    </w:p>
    <w:tbl>
      <w:tblPr>
        <w:tblW w:w="0" w:type="auto"/>
        <w:jc w:val="left"/>
        <w:tblInd w:w="108" w:type="dxa"/>
        <w:tblLayout w:type="fixed"/>
        <w:tblCellMar>
          <w:top w:w="0" w:type="dxa"/>
          <w:left w:w="0" w:type="dxa"/>
          <w:bottom w:w="0" w:type="dxa"/>
          <w:right w:w="0" w:type="dxa"/>
        </w:tblCellMar>
        <w:tblLook w:val="01E0"/>
      </w:tblPr>
      <w:tblGrid>
        <w:gridCol w:w="2305"/>
        <w:gridCol w:w="1107"/>
        <w:gridCol w:w="1082"/>
        <w:gridCol w:w="1231"/>
        <w:gridCol w:w="1142"/>
        <w:gridCol w:w="1331"/>
        <w:gridCol w:w="1387"/>
        <w:gridCol w:w="1477"/>
        <w:gridCol w:w="995"/>
        <w:gridCol w:w="929"/>
        <w:gridCol w:w="1258"/>
        <w:gridCol w:w="1038"/>
      </w:tblGrid>
      <w:tr>
        <w:trPr>
          <w:trHeight w:val="501" w:hRule="exact"/>
        </w:trPr>
        <w:tc>
          <w:tcPr>
            <w:tcW w:w="2305" w:type="dxa"/>
            <w:tcBorders>
              <w:top w:val="nil" w:sz="6" w:space="0" w:color="auto"/>
              <w:left w:val="nil" w:sz="6" w:space="0" w:color="auto"/>
              <w:bottom w:val="nil" w:sz="6" w:space="0" w:color="auto"/>
              <w:right w:val="nil" w:sz="6" w:space="0" w:color="auto"/>
            </w:tcBorders>
          </w:tcPr>
          <w:p>
            <w:pPr>
              <w:pStyle w:val="TableParagraph"/>
              <w:spacing w:line="206" w:lineRule="exact" w:before="71"/>
              <w:ind w:left="35" w:right="674"/>
              <w:jc w:val="left"/>
              <w:rPr>
                <w:rFonts w:ascii="宋体" w:hAnsi="宋体" w:cs="宋体" w:eastAsia="宋体" w:hint="default"/>
                <w:sz w:val="16"/>
                <w:szCs w:val="16"/>
              </w:rPr>
            </w:pPr>
            <w:r>
              <w:rPr>
                <w:rFonts w:ascii="宋体" w:hAnsi="宋体" w:cs="宋体" w:eastAsia="宋体" w:hint="default"/>
                <w:sz w:val="16"/>
                <w:szCs w:val="16"/>
              </w:rPr>
              <w:t>合营企业</w:t>
            </w:r>
            <w:r>
              <w:rPr>
                <w:rFonts w:ascii="宋体" w:hAnsi="宋体" w:cs="宋体" w:eastAsia="宋体" w:hint="default"/>
                <w:w w:val="99"/>
                <w:sz w:val="16"/>
                <w:szCs w:val="16"/>
              </w:rPr>
              <w:t> </w:t>
            </w:r>
            <w:r>
              <w:rPr>
                <w:rFonts w:ascii="宋体" w:hAnsi="宋体" w:cs="宋体" w:eastAsia="宋体" w:hint="default"/>
                <w:w w:val="95"/>
                <w:sz w:val="16"/>
                <w:szCs w:val="16"/>
              </w:rPr>
              <w:t>招联消费金融有限公司</w:t>
            </w:r>
            <w:r>
              <w:rPr>
                <w:rFonts w:ascii="宋体" w:hAnsi="宋体" w:cs="宋体" w:eastAsia="宋体" w:hint="default"/>
                <w:sz w:val="16"/>
                <w:szCs w:val="16"/>
              </w:rPr>
            </w:r>
          </w:p>
        </w:tc>
        <w:tc>
          <w:tcPr>
            <w:tcW w:w="110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0"/>
                <w:szCs w:val="10"/>
              </w:rPr>
            </w:pPr>
          </w:p>
          <w:p>
            <w:pPr>
              <w:pStyle w:val="TableParagraph"/>
              <w:spacing w:line="240" w:lineRule="auto"/>
              <w:ind w:right="43"/>
              <w:jc w:val="right"/>
              <w:rPr>
                <w:rFonts w:ascii="Arial" w:hAnsi="Arial" w:cs="Arial" w:eastAsia="Arial" w:hint="default"/>
                <w:sz w:val="15"/>
                <w:szCs w:val="15"/>
              </w:rPr>
            </w:pPr>
            <w:r>
              <w:rPr>
                <w:rFonts w:ascii="Arial"/>
                <w:spacing w:val="-1"/>
                <w:sz w:val="15"/>
              </w:rPr>
              <w:t>3,946,844,039</w:t>
            </w:r>
          </w:p>
        </w:tc>
        <w:tc>
          <w:tcPr>
            <w:tcW w:w="2314"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0"/>
                <w:szCs w:val="10"/>
              </w:rPr>
            </w:pPr>
          </w:p>
          <w:p>
            <w:pPr>
              <w:pStyle w:val="TableParagraph"/>
              <w:tabs>
                <w:tab w:pos="1273" w:val="left" w:leader="none"/>
              </w:tabs>
              <w:spacing w:line="240" w:lineRule="auto"/>
              <w:ind w:left="880" w:right="0"/>
              <w:jc w:val="left"/>
              <w:rPr>
                <w:rFonts w:ascii="Arial" w:hAnsi="Arial" w:cs="Arial" w:eastAsia="Arial" w:hint="default"/>
                <w:sz w:val="15"/>
                <w:szCs w:val="15"/>
              </w:rPr>
            </w:pPr>
            <w:r>
              <w:rPr>
                <w:rFonts w:ascii="Arial"/>
                <w:w w:val="95"/>
                <w:sz w:val="15"/>
              </w:rPr>
              <w:t>-</w:t>
              <w:tab/>
            </w:r>
            <w:r>
              <w:rPr>
                <w:rFonts w:ascii="Arial"/>
                <w:sz w:val="15"/>
              </w:rPr>
              <w:t>3,946,844,039</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0"/>
                <w:szCs w:val="10"/>
              </w:rPr>
            </w:pPr>
          </w:p>
          <w:p>
            <w:pPr>
              <w:pStyle w:val="TableParagraph"/>
              <w:spacing w:line="240" w:lineRule="auto"/>
              <w:ind w:right="230"/>
              <w:jc w:val="right"/>
              <w:rPr>
                <w:rFonts w:ascii="Arial" w:hAnsi="Arial" w:cs="Arial" w:eastAsia="Arial" w:hint="default"/>
                <w:sz w:val="15"/>
                <w:szCs w:val="15"/>
              </w:rPr>
            </w:pPr>
            <w:r>
              <w:rPr>
                <w:rFonts w:ascii="Arial"/>
                <w:w w:val="99"/>
                <w:sz w:val="15"/>
              </w:rPr>
              <w:t>-</w:t>
            </w:r>
            <w:r>
              <w:rPr>
                <w:rFonts w:ascii="Arial"/>
                <w:sz w:val="15"/>
              </w:rPr>
            </w:r>
          </w:p>
        </w:tc>
        <w:tc>
          <w:tcPr>
            <w:tcW w:w="2718"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0"/>
                <w:szCs w:val="10"/>
              </w:rPr>
            </w:pPr>
          </w:p>
          <w:p>
            <w:pPr>
              <w:pStyle w:val="TableParagraph"/>
              <w:tabs>
                <w:tab w:pos="1124" w:val="left" w:leader="none"/>
                <w:tab w:pos="1580" w:val="left" w:leader="none"/>
              </w:tabs>
              <w:spacing w:line="240" w:lineRule="auto"/>
              <w:ind w:left="232" w:right="0"/>
              <w:jc w:val="left"/>
              <w:rPr>
                <w:rFonts w:ascii="Arial" w:hAnsi="Arial" w:cs="Arial" w:eastAsia="Arial" w:hint="default"/>
                <w:sz w:val="15"/>
                <w:szCs w:val="15"/>
              </w:rPr>
            </w:pPr>
            <w:r>
              <w:rPr>
                <w:rFonts w:ascii="Arial"/>
                <w:w w:val="95"/>
                <w:sz w:val="15"/>
              </w:rPr>
              <w:t>-</w:t>
              <w:tab/>
              <w:t>-</w:t>
              <w:tab/>
            </w:r>
            <w:r>
              <w:rPr>
                <w:rFonts w:ascii="Arial"/>
                <w:sz w:val="15"/>
              </w:rPr>
              <w:t>733,009,118</w:t>
            </w:r>
          </w:p>
        </w:tc>
        <w:tc>
          <w:tcPr>
            <w:tcW w:w="3401" w:type="dxa"/>
            <w:gridSpan w:val="3"/>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0"/>
                <w:szCs w:val="10"/>
              </w:rPr>
            </w:pPr>
          </w:p>
          <w:p>
            <w:pPr>
              <w:pStyle w:val="TableParagraph"/>
              <w:tabs>
                <w:tab w:pos="1300" w:val="left" w:leader="none"/>
                <w:tab w:pos="2313" w:val="left" w:leader="none"/>
                <w:tab w:pos="3211" w:val="left" w:leader="none"/>
              </w:tabs>
              <w:spacing w:line="240" w:lineRule="auto"/>
              <w:ind w:left="268" w:right="0"/>
              <w:jc w:val="left"/>
              <w:rPr>
                <w:rFonts w:ascii="Arial" w:hAnsi="Arial" w:cs="Arial" w:eastAsia="Arial" w:hint="default"/>
                <w:sz w:val="15"/>
                <w:szCs w:val="15"/>
              </w:rPr>
            </w:pPr>
            <w:r>
              <w:rPr>
                <w:rFonts w:ascii="Arial"/>
                <w:w w:val="95"/>
                <w:sz w:val="15"/>
              </w:rPr>
              <w:t>-</w:t>
              <w:tab/>
              <w:t>-</w:t>
              <w:tab/>
              <w:t>-</w:t>
              <w:tab/>
            </w:r>
            <w:r>
              <w:rPr>
                <w:rFonts w:ascii="Arial"/>
                <w:sz w:val="15"/>
              </w:rPr>
              <w:t>-</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0"/>
                <w:szCs w:val="10"/>
              </w:rPr>
            </w:pPr>
          </w:p>
          <w:p>
            <w:pPr>
              <w:pStyle w:val="TableParagraph"/>
              <w:spacing w:line="240" w:lineRule="auto"/>
              <w:ind w:right="139"/>
              <w:jc w:val="right"/>
              <w:rPr>
                <w:rFonts w:ascii="Arial" w:hAnsi="Arial" w:cs="Arial" w:eastAsia="Arial" w:hint="default"/>
                <w:sz w:val="15"/>
                <w:szCs w:val="15"/>
              </w:rPr>
            </w:pPr>
            <w:r>
              <w:rPr>
                <w:rFonts w:ascii="Arial"/>
                <w:spacing w:val="-1"/>
                <w:sz w:val="15"/>
              </w:rPr>
              <w:t>4,679,853,157</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0"/>
                <w:szCs w:val="10"/>
              </w:rPr>
            </w:pPr>
          </w:p>
          <w:p>
            <w:pPr>
              <w:pStyle w:val="TableParagraph"/>
              <w:spacing w:line="240" w:lineRule="auto"/>
              <w:ind w:right="106"/>
              <w:jc w:val="right"/>
              <w:rPr>
                <w:rFonts w:ascii="Arial" w:hAnsi="Arial" w:cs="Arial" w:eastAsia="Arial" w:hint="default"/>
                <w:sz w:val="15"/>
                <w:szCs w:val="15"/>
              </w:rPr>
            </w:pPr>
            <w:r>
              <w:rPr>
                <w:rFonts w:ascii="Arial"/>
                <w:w w:val="99"/>
                <w:sz w:val="15"/>
              </w:rPr>
              <w:t>-</w:t>
            </w:r>
            <w:r>
              <w:rPr>
                <w:rFonts w:ascii="Arial"/>
                <w:sz w:val="15"/>
              </w:rPr>
            </w:r>
          </w:p>
        </w:tc>
      </w:tr>
      <w:tr>
        <w:trPr>
          <w:trHeight w:val="206" w:hRule="exact"/>
        </w:trPr>
        <w:tc>
          <w:tcPr>
            <w:tcW w:w="2305" w:type="dxa"/>
            <w:tcBorders>
              <w:top w:val="nil" w:sz="6" w:space="0" w:color="auto"/>
              <w:left w:val="nil" w:sz="6" w:space="0" w:color="auto"/>
              <w:bottom w:val="nil" w:sz="6" w:space="0" w:color="auto"/>
              <w:right w:val="nil" w:sz="6" w:space="0" w:color="auto"/>
            </w:tcBorders>
          </w:tcPr>
          <w:p>
            <w:pPr>
              <w:pStyle w:val="TableParagraph"/>
              <w:spacing w:line="170" w:lineRule="exact"/>
              <w:ind w:left="35" w:right="0"/>
              <w:jc w:val="left"/>
              <w:rPr>
                <w:rFonts w:ascii="宋体" w:hAnsi="宋体" w:cs="宋体" w:eastAsia="宋体" w:hint="default"/>
                <w:sz w:val="16"/>
                <w:szCs w:val="16"/>
              </w:rPr>
            </w:pPr>
            <w:r>
              <w:rPr>
                <w:rFonts w:ascii="宋体" w:hAnsi="宋体" w:cs="宋体" w:eastAsia="宋体" w:hint="default"/>
                <w:sz w:val="16"/>
                <w:szCs w:val="16"/>
              </w:rPr>
              <w:t>云粒智慧科技有限公司</w:t>
            </w:r>
          </w:p>
        </w:tc>
        <w:tc>
          <w:tcPr>
            <w:tcW w:w="110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4"/>
              <w:jc w:val="right"/>
              <w:rPr>
                <w:rFonts w:ascii="Arial" w:hAnsi="Arial" w:cs="Arial" w:eastAsia="Arial" w:hint="default"/>
                <w:sz w:val="15"/>
                <w:szCs w:val="15"/>
              </w:rPr>
            </w:pPr>
            <w:r>
              <w:rPr>
                <w:rFonts w:ascii="Arial"/>
                <w:spacing w:val="-1"/>
                <w:w w:val="95"/>
                <w:sz w:val="15"/>
              </w:rPr>
              <w:t>41,666,546</w:t>
            </w:r>
            <w:r>
              <w:rPr>
                <w:rFonts w:ascii="Arial"/>
                <w:sz w:val="15"/>
              </w:rPr>
            </w:r>
          </w:p>
        </w:tc>
        <w:tc>
          <w:tcPr>
            <w:tcW w:w="2314" w:type="dxa"/>
            <w:gridSpan w:val="2"/>
            <w:tcBorders>
              <w:top w:val="nil" w:sz="6" w:space="0" w:color="auto"/>
              <w:left w:val="nil" w:sz="6" w:space="0" w:color="auto"/>
              <w:bottom w:val="nil" w:sz="6" w:space="0" w:color="auto"/>
              <w:right w:val="nil" w:sz="6" w:space="0" w:color="auto"/>
            </w:tcBorders>
          </w:tcPr>
          <w:p>
            <w:pPr>
              <w:pStyle w:val="TableParagraph"/>
              <w:tabs>
                <w:tab w:pos="1484" w:val="left" w:leader="none"/>
              </w:tabs>
              <w:spacing w:line="240" w:lineRule="auto" w:before="26"/>
              <w:ind w:left="880" w:right="0"/>
              <w:jc w:val="left"/>
              <w:rPr>
                <w:rFonts w:ascii="Arial" w:hAnsi="Arial" w:cs="Arial" w:eastAsia="Arial" w:hint="default"/>
                <w:sz w:val="15"/>
                <w:szCs w:val="15"/>
              </w:rPr>
            </w:pPr>
            <w:r>
              <w:rPr>
                <w:rFonts w:ascii="Arial"/>
                <w:w w:val="95"/>
                <w:sz w:val="15"/>
              </w:rPr>
              <w:t>-</w:t>
              <w:tab/>
            </w:r>
            <w:r>
              <w:rPr>
                <w:rFonts w:ascii="Arial"/>
                <w:sz w:val="15"/>
              </w:rPr>
              <w:t>41,666,546</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33"/>
              <w:jc w:val="right"/>
              <w:rPr>
                <w:rFonts w:ascii="Arial" w:hAnsi="Arial" w:cs="Arial" w:eastAsia="Arial" w:hint="default"/>
                <w:sz w:val="15"/>
                <w:szCs w:val="15"/>
              </w:rPr>
            </w:pPr>
            <w:r>
              <w:rPr>
                <w:rFonts w:ascii="Arial"/>
                <w:spacing w:val="-1"/>
                <w:w w:val="95"/>
                <w:sz w:val="15"/>
              </w:rPr>
              <w:t>60,000,000</w:t>
            </w:r>
            <w:r>
              <w:rPr>
                <w:rFonts w:ascii="Arial"/>
                <w:sz w:val="15"/>
              </w:rPr>
            </w:r>
          </w:p>
        </w:tc>
        <w:tc>
          <w:tcPr>
            <w:tcW w:w="2718" w:type="dxa"/>
            <w:gridSpan w:val="2"/>
            <w:tcBorders>
              <w:top w:val="nil" w:sz="6" w:space="0" w:color="auto"/>
              <w:left w:val="nil" w:sz="6" w:space="0" w:color="auto"/>
              <w:bottom w:val="nil" w:sz="6" w:space="0" w:color="auto"/>
              <w:right w:val="nil" w:sz="6" w:space="0" w:color="auto"/>
            </w:tcBorders>
          </w:tcPr>
          <w:p>
            <w:pPr>
              <w:pStyle w:val="TableParagraph"/>
              <w:tabs>
                <w:tab w:pos="1124" w:val="left" w:leader="none"/>
                <w:tab w:pos="1604" w:val="left" w:leader="none"/>
              </w:tabs>
              <w:spacing w:line="240" w:lineRule="auto" w:before="26"/>
              <w:ind w:left="232" w:right="0"/>
              <w:jc w:val="left"/>
              <w:rPr>
                <w:rFonts w:ascii="Arial" w:hAnsi="Arial" w:cs="Arial" w:eastAsia="Arial" w:hint="default"/>
                <w:sz w:val="15"/>
                <w:szCs w:val="15"/>
              </w:rPr>
            </w:pPr>
            <w:r>
              <w:rPr>
                <w:rFonts w:ascii="Arial"/>
                <w:w w:val="95"/>
                <w:sz w:val="15"/>
              </w:rPr>
              <w:t>-</w:t>
              <w:tab/>
              <w:t>-</w:t>
              <w:tab/>
            </w:r>
            <w:r>
              <w:rPr>
                <w:rFonts w:ascii="Arial"/>
                <w:sz w:val="15"/>
              </w:rPr>
              <w:t>(52,803,187)</w:t>
            </w:r>
          </w:p>
        </w:tc>
        <w:tc>
          <w:tcPr>
            <w:tcW w:w="3401" w:type="dxa"/>
            <w:gridSpan w:val="3"/>
            <w:tcBorders>
              <w:top w:val="nil" w:sz="6" w:space="0" w:color="auto"/>
              <w:left w:val="nil" w:sz="6" w:space="0" w:color="auto"/>
              <w:bottom w:val="nil" w:sz="6" w:space="0" w:color="auto"/>
              <w:right w:val="nil" w:sz="6" w:space="0" w:color="auto"/>
            </w:tcBorders>
          </w:tcPr>
          <w:p>
            <w:pPr>
              <w:pStyle w:val="TableParagraph"/>
              <w:tabs>
                <w:tab w:pos="1300" w:val="left" w:leader="none"/>
                <w:tab w:pos="2313" w:val="left" w:leader="none"/>
                <w:tab w:pos="3211" w:val="left" w:leader="none"/>
              </w:tabs>
              <w:spacing w:line="240" w:lineRule="auto" w:before="26"/>
              <w:ind w:left="268" w:right="0"/>
              <w:jc w:val="left"/>
              <w:rPr>
                <w:rFonts w:ascii="Arial" w:hAnsi="Arial" w:cs="Arial" w:eastAsia="Arial" w:hint="default"/>
                <w:sz w:val="15"/>
                <w:szCs w:val="15"/>
              </w:rPr>
            </w:pPr>
            <w:r>
              <w:rPr>
                <w:rFonts w:ascii="Arial"/>
                <w:w w:val="95"/>
                <w:sz w:val="15"/>
              </w:rPr>
              <w:t>-</w:t>
              <w:tab/>
              <w:t>-</w:t>
              <w:tab/>
              <w:t>-</w:t>
              <w:tab/>
            </w:r>
            <w:r>
              <w:rPr>
                <w:rFonts w:ascii="Arial"/>
                <w:sz w:val="15"/>
              </w:rPr>
              <w:t>-</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40"/>
              <w:jc w:val="right"/>
              <w:rPr>
                <w:rFonts w:ascii="Arial" w:hAnsi="Arial" w:cs="Arial" w:eastAsia="Arial" w:hint="default"/>
                <w:sz w:val="15"/>
                <w:szCs w:val="15"/>
              </w:rPr>
            </w:pPr>
            <w:r>
              <w:rPr>
                <w:rFonts w:ascii="Arial"/>
                <w:spacing w:val="-1"/>
                <w:w w:val="95"/>
                <w:sz w:val="15"/>
              </w:rPr>
              <w:t>48,863,359</w:t>
            </w:r>
            <w:r>
              <w:rPr>
                <w:rFonts w:ascii="Arial"/>
                <w:sz w:val="15"/>
              </w:rPr>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15"/>
                <w:szCs w:val="15"/>
              </w:rPr>
            </w:pPr>
            <w:r>
              <w:rPr>
                <w:rFonts w:ascii="Arial"/>
                <w:w w:val="99"/>
                <w:sz w:val="15"/>
              </w:rPr>
              <w:t>-</w:t>
            </w:r>
            <w:r>
              <w:rPr>
                <w:rFonts w:ascii="Arial"/>
                <w:sz w:val="15"/>
              </w:rPr>
            </w:r>
          </w:p>
        </w:tc>
      </w:tr>
      <w:tr>
        <w:trPr>
          <w:trHeight w:val="211" w:hRule="exact"/>
        </w:trPr>
        <w:tc>
          <w:tcPr>
            <w:tcW w:w="2305" w:type="dxa"/>
            <w:tcBorders>
              <w:top w:val="nil" w:sz="6" w:space="0" w:color="auto"/>
              <w:left w:val="nil" w:sz="6" w:space="0" w:color="auto"/>
              <w:bottom w:val="nil" w:sz="6" w:space="0" w:color="auto"/>
              <w:right w:val="nil" w:sz="6" w:space="0" w:color="auto"/>
            </w:tcBorders>
          </w:tcPr>
          <w:p>
            <w:pPr>
              <w:pStyle w:val="TableParagraph"/>
              <w:spacing w:line="170" w:lineRule="exact"/>
              <w:ind w:left="35" w:right="0"/>
              <w:jc w:val="left"/>
              <w:rPr>
                <w:rFonts w:ascii="宋体" w:hAnsi="宋体" w:cs="宋体" w:eastAsia="宋体" w:hint="default"/>
                <w:sz w:val="16"/>
                <w:szCs w:val="16"/>
              </w:rPr>
            </w:pPr>
            <w:r>
              <w:rPr>
                <w:rFonts w:ascii="宋体" w:hAnsi="宋体" w:cs="宋体" w:eastAsia="宋体" w:hint="default"/>
                <w:sz w:val="16"/>
                <w:szCs w:val="16"/>
              </w:rPr>
              <w:t>云际智慧科技有限公司</w:t>
            </w:r>
          </w:p>
        </w:tc>
        <w:tc>
          <w:tcPr>
            <w:tcW w:w="1107"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8"/>
              <w:jc w:val="right"/>
              <w:rPr>
                <w:rFonts w:ascii="Arial" w:hAnsi="Arial" w:cs="Arial" w:eastAsia="Arial" w:hint="default"/>
                <w:sz w:val="15"/>
                <w:szCs w:val="15"/>
              </w:rPr>
            </w:pPr>
            <w:r>
              <w:rPr>
                <w:rFonts w:ascii="Arial"/>
                <w:w w:val="99"/>
                <w:sz w:val="15"/>
              </w:rPr>
              <w:t>-</w:t>
            </w:r>
            <w:r>
              <w:rPr>
                <w:rFonts w:ascii="Arial"/>
                <w:sz w:val="15"/>
              </w:rPr>
            </w:r>
          </w:p>
        </w:tc>
        <w:tc>
          <w:tcPr>
            <w:tcW w:w="2314" w:type="dxa"/>
            <w:gridSpan w:val="2"/>
            <w:tcBorders>
              <w:top w:val="nil" w:sz="6" w:space="0" w:color="auto"/>
              <w:left w:val="nil" w:sz="6" w:space="0" w:color="auto"/>
              <w:bottom w:val="nil" w:sz="6" w:space="0" w:color="auto"/>
              <w:right w:val="nil" w:sz="6" w:space="0" w:color="auto"/>
            </w:tcBorders>
          </w:tcPr>
          <w:p>
            <w:pPr>
              <w:pStyle w:val="TableParagraph"/>
              <w:tabs>
                <w:tab w:pos="2185" w:val="left" w:leader="none"/>
              </w:tabs>
              <w:spacing w:line="240" w:lineRule="auto" w:before="31"/>
              <w:ind w:left="880" w:right="0"/>
              <w:jc w:val="left"/>
              <w:rPr>
                <w:rFonts w:ascii="Arial" w:hAnsi="Arial" w:cs="Arial" w:eastAsia="Arial" w:hint="default"/>
                <w:sz w:val="15"/>
                <w:szCs w:val="15"/>
              </w:rPr>
            </w:pPr>
            <w:r>
              <w:rPr>
                <w:rFonts w:ascii="Arial"/>
                <w:w w:val="95"/>
                <w:sz w:val="15"/>
              </w:rPr>
              <w:t>-</w:t>
              <w:tab/>
            </w:r>
            <w:r>
              <w:rPr>
                <w:rFonts w:ascii="Arial"/>
                <w:sz w:val="15"/>
              </w:rPr>
              <w:t>-</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236"/>
              <w:jc w:val="right"/>
              <w:rPr>
                <w:rFonts w:ascii="Arial" w:hAnsi="Arial" w:cs="Arial" w:eastAsia="Arial" w:hint="default"/>
                <w:sz w:val="15"/>
                <w:szCs w:val="15"/>
              </w:rPr>
            </w:pPr>
            <w:r>
              <w:rPr>
                <w:rFonts w:ascii="Arial"/>
                <w:spacing w:val="-1"/>
                <w:w w:val="95"/>
                <w:sz w:val="15"/>
              </w:rPr>
              <w:t>50,000,000</w:t>
            </w:r>
            <w:r>
              <w:rPr>
                <w:rFonts w:ascii="Arial"/>
                <w:sz w:val="15"/>
              </w:rPr>
            </w:r>
          </w:p>
        </w:tc>
        <w:tc>
          <w:tcPr>
            <w:tcW w:w="2718" w:type="dxa"/>
            <w:gridSpan w:val="2"/>
            <w:tcBorders>
              <w:top w:val="nil" w:sz="6" w:space="0" w:color="auto"/>
              <w:left w:val="nil" w:sz="6" w:space="0" w:color="auto"/>
              <w:bottom w:val="nil" w:sz="6" w:space="0" w:color="auto"/>
              <w:right w:val="nil" w:sz="6" w:space="0" w:color="auto"/>
            </w:tcBorders>
          </w:tcPr>
          <w:p>
            <w:pPr>
              <w:pStyle w:val="TableParagraph"/>
              <w:tabs>
                <w:tab w:pos="1124" w:val="left" w:leader="none"/>
                <w:tab w:pos="1599" w:val="left" w:leader="none"/>
              </w:tabs>
              <w:spacing w:line="240" w:lineRule="auto" w:before="31"/>
              <w:ind w:left="232" w:right="0"/>
              <w:jc w:val="left"/>
              <w:rPr>
                <w:rFonts w:ascii="Arial" w:hAnsi="Arial" w:cs="Arial" w:eastAsia="Arial" w:hint="default"/>
                <w:sz w:val="15"/>
                <w:szCs w:val="15"/>
              </w:rPr>
            </w:pPr>
            <w:r>
              <w:rPr>
                <w:rFonts w:ascii="Arial"/>
                <w:w w:val="95"/>
                <w:sz w:val="15"/>
              </w:rPr>
              <w:t>-</w:t>
              <w:tab/>
              <w:t>-</w:t>
              <w:tab/>
            </w:r>
            <w:r>
              <w:rPr>
                <w:rFonts w:ascii="Arial"/>
                <w:sz w:val="15"/>
              </w:rPr>
              <w:t>(24,153,529)</w:t>
            </w:r>
          </w:p>
        </w:tc>
        <w:tc>
          <w:tcPr>
            <w:tcW w:w="3401" w:type="dxa"/>
            <w:gridSpan w:val="3"/>
            <w:tcBorders>
              <w:top w:val="nil" w:sz="6" w:space="0" w:color="auto"/>
              <w:left w:val="nil" w:sz="6" w:space="0" w:color="auto"/>
              <w:bottom w:val="nil" w:sz="6" w:space="0" w:color="auto"/>
              <w:right w:val="nil" w:sz="6" w:space="0" w:color="auto"/>
            </w:tcBorders>
          </w:tcPr>
          <w:p>
            <w:pPr>
              <w:pStyle w:val="TableParagraph"/>
              <w:tabs>
                <w:tab w:pos="1300" w:val="left" w:leader="none"/>
                <w:tab w:pos="2313" w:val="left" w:leader="none"/>
              </w:tabs>
              <w:spacing w:line="240" w:lineRule="auto" w:before="31"/>
              <w:ind w:left="268" w:right="0"/>
              <w:jc w:val="left"/>
              <w:rPr>
                <w:rFonts w:ascii="Arial" w:hAnsi="Arial" w:cs="Arial" w:eastAsia="Arial" w:hint="default"/>
                <w:sz w:val="15"/>
                <w:szCs w:val="15"/>
              </w:rPr>
            </w:pPr>
            <w:r>
              <w:rPr>
                <w:rFonts w:ascii="Arial"/>
                <w:w w:val="95"/>
                <w:sz w:val="15"/>
              </w:rPr>
              <w:t>-</w:t>
              <w:tab/>
              <w:t>-</w:t>
              <w:tab/>
            </w:r>
            <w:r>
              <w:rPr>
                <w:rFonts w:ascii="Arial"/>
                <w:sz w:val="15"/>
              </w:rPr>
              <w:t>-   </w:t>
            </w:r>
            <w:r>
              <w:rPr>
                <w:rFonts w:ascii="Arial"/>
                <w:spacing w:val="17"/>
                <w:sz w:val="15"/>
              </w:rPr>
              <w:t> </w:t>
            </w:r>
            <w:r>
              <w:rPr>
                <w:rFonts w:ascii="Arial"/>
                <w:sz w:val="15"/>
              </w:rPr>
              <w:t>(7,946,347)</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45"/>
              <w:jc w:val="right"/>
              <w:rPr>
                <w:rFonts w:ascii="Arial" w:hAnsi="Arial" w:cs="Arial" w:eastAsia="Arial" w:hint="default"/>
                <w:sz w:val="15"/>
                <w:szCs w:val="15"/>
              </w:rPr>
            </w:pPr>
            <w:r>
              <w:rPr>
                <w:rFonts w:ascii="Arial"/>
                <w:spacing w:val="-1"/>
                <w:w w:val="95"/>
                <w:sz w:val="15"/>
              </w:rPr>
              <w:t>17,900,124</w:t>
            </w:r>
            <w:r>
              <w:rPr>
                <w:rFonts w:ascii="Arial"/>
                <w:sz w:val="15"/>
              </w:rPr>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49"/>
              <w:jc w:val="right"/>
              <w:rPr>
                <w:rFonts w:ascii="Arial" w:hAnsi="Arial" w:cs="Arial" w:eastAsia="Arial" w:hint="default"/>
                <w:sz w:val="15"/>
                <w:szCs w:val="15"/>
              </w:rPr>
            </w:pPr>
            <w:r>
              <w:rPr>
                <w:rFonts w:ascii="Arial"/>
                <w:spacing w:val="-1"/>
                <w:sz w:val="15"/>
              </w:rPr>
              <w:t>(7,946,347)</w:t>
            </w:r>
          </w:p>
        </w:tc>
      </w:tr>
      <w:tr>
        <w:trPr>
          <w:trHeight w:val="376" w:hRule="exact"/>
        </w:trPr>
        <w:tc>
          <w:tcPr>
            <w:tcW w:w="2305" w:type="dxa"/>
            <w:tcBorders>
              <w:top w:val="nil" w:sz="6" w:space="0" w:color="auto"/>
              <w:left w:val="nil" w:sz="6" w:space="0" w:color="auto"/>
              <w:bottom w:val="nil" w:sz="6" w:space="0" w:color="auto"/>
              <w:right w:val="nil" w:sz="6" w:space="0" w:color="auto"/>
            </w:tcBorders>
          </w:tcPr>
          <w:p>
            <w:pPr>
              <w:pStyle w:val="TableParagraph"/>
              <w:spacing w:line="169" w:lineRule="exact"/>
              <w:ind w:left="35" w:right="0"/>
              <w:jc w:val="left"/>
              <w:rPr>
                <w:rFonts w:ascii="宋体" w:hAnsi="宋体" w:cs="宋体" w:eastAsia="宋体" w:hint="default"/>
                <w:sz w:val="16"/>
                <w:szCs w:val="16"/>
              </w:rPr>
            </w:pPr>
            <w:r>
              <w:rPr>
                <w:rFonts w:ascii="宋体" w:hAnsi="宋体" w:cs="宋体" w:eastAsia="宋体" w:hint="default"/>
                <w:sz w:val="16"/>
                <w:szCs w:val="16"/>
              </w:rPr>
              <w:t>云镝智慧科技有限公司</w:t>
            </w:r>
          </w:p>
          <w:p>
            <w:pPr>
              <w:pStyle w:val="TableParagraph"/>
              <w:spacing w:line="208" w:lineRule="exact"/>
              <w:ind w:left="35" w:right="0"/>
              <w:jc w:val="left"/>
              <w:rPr>
                <w:rFonts w:ascii="宋体" w:hAnsi="宋体" w:cs="宋体" w:eastAsia="宋体" w:hint="default"/>
                <w:sz w:val="16"/>
                <w:szCs w:val="16"/>
              </w:rPr>
            </w:pPr>
            <w:r>
              <w:rPr>
                <w:rFonts w:ascii="宋体" w:hAnsi="宋体" w:cs="宋体" w:eastAsia="宋体" w:hint="default"/>
                <w:sz w:val="16"/>
                <w:szCs w:val="16"/>
              </w:rPr>
              <w:t>联通大陆智能交通科技（上海）</w:t>
            </w:r>
          </w:p>
        </w:tc>
        <w:tc>
          <w:tcPr>
            <w:tcW w:w="110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8"/>
              <w:jc w:val="right"/>
              <w:rPr>
                <w:rFonts w:ascii="Arial" w:hAnsi="Arial" w:cs="Arial" w:eastAsia="Arial" w:hint="default"/>
                <w:sz w:val="15"/>
                <w:szCs w:val="15"/>
              </w:rPr>
            </w:pPr>
            <w:r>
              <w:rPr>
                <w:rFonts w:ascii="Arial"/>
                <w:w w:val="99"/>
                <w:sz w:val="15"/>
              </w:rPr>
              <w:t>-</w:t>
            </w:r>
            <w:r>
              <w:rPr>
                <w:rFonts w:ascii="Arial"/>
                <w:sz w:val="15"/>
              </w:rPr>
            </w:r>
          </w:p>
        </w:tc>
        <w:tc>
          <w:tcPr>
            <w:tcW w:w="2314" w:type="dxa"/>
            <w:gridSpan w:val="2"/>
            <w:tcBorders>
              <w:top w:val="nil" w:sz="6" w:space="0" w:color="auto"/>
              <w:left w:val="nil" w:sz="6" w:space="0" w:color="auto"/>
              <w:bottom w:val="nil" w:sz="6" w:space="0" w:color="auto"/>
              <w:right w:val="nil" w:sz="6" w:space="0" w:color="auto"/>
            </w:tcBorders>
          </w:tcPr>
          <w:p>
            <w:pPr>
              <w:pStyle w:val="TableParagraph"/>
              <w:tabs>
                <w:tab w:pos="2185" w:val="left" w:leader="none"/>
              </w:tabs>
              <w:spacing w:line="240" w:lineRule="auto" w:before="26"/>
              <w:ind w:left="880" w:right="0"/>
              <w:jc w:val="left"/>
              <w:rPr>
                <w:rFonts w:ascii="Arial" w:hAnsi="Arial" w:cs="Arial" w:eastAsia="Arial" w:hint="default"/>
                <w:sz w:val="15"/>
                <w:szCs w:val="15"/>
              </w:rPr>
            </w:pPr>
            <w:r>
              <w:rPr>
                <w:rFonts w:ascii="Arial"/>
                <w:w w:val="95"/>
                <w:sz w:val="15"/>
              </w:rPr>
              <w:t>-</w:t>
              <w:tab/>
            </w:r>
            <w:r>
              <w:rPr>
                <w:rFonts w:ascii="Arial"/>
                <w:sz w:val="15"/>
              </w:rPr>
              <w:t>-</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36"/>
              <w:jc w:val="right"/>
              <w:rPr>
                <w:rFonts w:ascii="Arial" w:hAnsi="Arial" w:cs="Arial" w:eastAsia="Arial" w:hint="default"/>
                <w:sz w:val="15"/>
                <w:szCs w:val="15"/>
              </w:rPr>
            </w:pPr>
            <w:r>
              <w:rPr>
                <w:rFonts w:ascii="Arial"/>
                <w:spacing w:val="-1"/>
                <w:w w:val="95"/>
                <w:sz w:val="15"/>
              </w:rPr>
              <w:t>27,000,000</w:t>
            </w:r>
            <w:r>
              <w:rPr>
                <w:rFonts w:ascii="Arial"/>
                <w:sz w:val="15"/>
              </w:rPr>
            </w:r>
          </w:p>
        </w:tc>
        <w:tc>
          <w:tcPr>
            <w:tcW w:w="2718" w:type="dxa"/>
            <w:gridSpan w:val="2"/>
            <w:tcBorders>
              <w:top w:val="nil" w:sz="6" w:space="0" w:color="auto"/>
              <w:left w:val="nil" w:sz="6" w:space="0" w:color="auto"/>
              <w:bottom w:val="nil" w:sz="6" w:space="0" w:color="auto"/>
              <w:right w:val="nil" w:sz="6" w:space="0" w:color="auto"/>
            </w:tcBorders>
          </w:tcPr>
          <w:p>
            <w:pPr>
              <w:pStyle w:val="TableParagraph"/>
              <w:tabs>
                <w:tab w:pos="1124" w:val="left" w:leader="none"/>
                <w:tab w:pos="1681" w:val="left" w:leader="none"/>
              </w:tabs>
              <w:spacing w:line="240" w:lineRule="auto" w:before="26"/>
              <w:ind w:left="232" w:right="0"/>
              <w:jc w:val="left"/>
              <w:rPr>
                <w:rFonts w:ascii="Arial" w:hAnsi="Arial" w:cs="Arial" w:eastAsia="Arial" w:hint="default"/>
                <w:sz w:val="15"/>
                <w:szCs w:val="15"/>
              </w:rPr>
            </w:pPr>
            <w:r>
              <w:rPr>
                <w:rFonts w:ascii="Arial"/>
                <w:w w:val="95"/>
                <w:sz w:val="15"/>
              </w:rPr>
              <w:t>-</w:t>
              <w:tab/>
              <w:t>-</w:t>
              <w:tab/>
            </w:r>
            <w:r>
              <w:rPr>
                <w:rFonts w:ascii="Arial"/>
                <w:sz w:val="15"/>
              </w:rPr>
              <w:t>(2,687,610)</w:t>
            </w:r>
          </w:p>
        </w:tc>
        <w:tc>
          <w:tcPr>
            <w:tcW w:w="3401" w:type="dxa"/>
            <w:gridSpan w:val="3"/>
            <w:tcBorders>
              <w:top w:val="nil" w:sz="6" w:space="0" w:color="auto"/>
              <w:left w:val="nil" w:sz="6" w:space="0" w:color="auto"/>
              <w:bottom w:val="nil" w:sz="6" w:space="0" w:color="auto"/>
              <w:right w:val="nil" w:sz="6" w:space="0" w:color="auto"/>
            </w:tcBorders>
          </w:tcPr>
          <w:p>
            <w:pPr>
              <w:pStyle w:val="TableParagraph"/>
              <w:tabs>
                <w:tab w:pos="1300" w:val="left" w:leader="none"/>
                <w:tab w:pos="2313" w:val="left" w:leader="none"/>
                <w:tab w:pos="3211" w:val="left" w:leader="none"/>
              </w:tabs>
              <w:spacing w:line="240" w:lineRule="auto" w:before="26"/>
              <w:ind w:left="268" w:right="0"/>
              <w:jc w:val="left"/>
              <w:rPr>
                <w:rFonts w:ascii="Arial" w:hAnsi="Arial" w:cs="Arial" w:eastAsia="Arial" w:hint="default"/>
                <w:sz w:val="15"/>
                <w:szCs w:val="15"/>
              </w:rPr>
            </w:pPr>
            <w:r>
              <w:rPr>
                <w:rFonts w:ascii="Arial"/>
                <w:w w:val="95"/>
                <w:sz w:val="15"/>
              </w:rPr>
              <w:t>-</w:t>
              <w:tab/>
              <w:t>-</w:t>
              <w:tab/>
              <w:t>-</w:t>
              <w:tab/>
            </w:r>
            <w:r>
              <w:rPr>
                <w:rFonts w:ascii="Arial"/>
                <w:sz w:val="15"/>
              </w:rPr>
              <w:t>-</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45"/>
              <w:jc w:val="right"/>
              <w:rPr>
                <w:rFonts w:ascii="Arial" w:hAnsi="Arial" w:cs="Arial" w:eastAsia="Arial" w:hint="default"/>
                <w:sz w:val="15"/>
                <w:szCs w:val="15"/>
              </w:rPr>
            </w:pPr>
            <w:r>
              <w:rPr>
                <w:rFonts w:ascii="Arial"/>
                <w:spacing w:val="-1"/>
                <w:w w:val="95"/>
                <w:sz w:val="15"/>
              </w:rPr>
              <w:t>24,312,390</w:t>
            </w:r>
            <w:r>
              <w:rPr>
                <w:rFonts w:ascii="Arial"/>
                <w:sz w:val="15"/>
              </w:rPr>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15"/>
                <w:szCs w:val="15"/>
              </w:rPr>
            </w:pPr>
            <w:r>
              <w:rPr>
                <w:rFonts w:ascii="Arial"/>
                <w:w w:val="99"/>
                <w:sz w:val="15"/>
              </w:rPr>
              <w:t>-</w:t>
            </w:r>
            <w:r>
              <w:rPr>
                <w:rFonts w:ascii="Arial"/>
                <w:sz w:val="15"/>
              </w:rPr>
            </w:r>
          </w:p>
        </w:tc>
      </w:tr>
      <w:tr>
        <w:trPr>
          <w:trHeight w:val="243" w:hRule="exact"/>
        </w:trPr>
        <w:tc>
          <w:tcPr>
            <w:tcW w:w="15285" w:type="dxa"/>
            <w:gridSpan w:val="12"/>
            <w:tcBorders>
              <w:top w:val="nil" w:sz="6" w:space="0" w:color="auto"/>
              <w:left w:val="nil" w:sz="6" w:space="0" w:color="auto"/>
              <w:bottom w:val="nil" w:sz="6" w:space="0" w:color="auto"/>
              <w:right w:val="nil" w:sz="6" w:space="0" w:color="auto"/>
            </w:tcBorders>
          </w:tcPr>
          <w:p>
            <w:pPr>
              <w:pStyle w:val="TableParagraph"/>
              <w:tabs>
                <w:tab w:pos="2703" w:val="left" w:leader="none"/>
                <w:tab w:pos="4292" w:val="left" w:leader="none"/>
                <w:tab w:pos="4978" w:val="left" w:leader="none"/>
                <w:tab w:pos="6586" w:val="left" w:leader="none"/>
                <w:tab w:pos="7100" w:val="left" w:leader="none"/>
                <w:tab w:pos="7993" w:val="left" w:leader="none"/>
                <w:tab w:pos="8554" w:val="left" w:leader="none"/>
                <w:tab w:pos="9855" w:val="left" w:leader="none"/>
                <w:tab w:pos="10887" w:val="left" w:leader="none"/>
                <w:tab w:pos="11900" w:val="left" w:leader="none"/>
                <w:tab w:pos="12798" w:val="left" w:leader="none"/>
                <w:tab w:pos="14055" w:val="left" w:leader="none"/>
                <w:tab w:pos="15126" w:val="left" w:leader="none"/>
              </w:tabs>
              <w:spacing w:line="235" w:lineRule="exact"/>
              <w:ind w:left="203" w:right="0"/>
              <w:jc w:val="left"/>
              <w:rPr>
                <w:rFonts w:ascii="Arial" w:hAnsi="Arial" w:cs="Arial" w:eastAsia="Arial" w:hint="default"/>
                <w:sz w:val="15"/>
                <w:szCs w:val="15"/>
              </w:rPr>
            </w:pPr>
            <w:r>
              <w:rPr>
                <w:rFonts w:ascii="宋体" w:hAnsi="宋体" w:cs="宋体" w:eastAsia="宋体" w:hint="default"/>
                <w:w w:val="95"/>
                <w:position w:val="2"/>
                <w:sz w:val="16"/>
                <w:szCs w:val="16"/>
              </w:rPr>
              <w:t>有限公司</w:t>
              <w:tab/>
            </w:r>
            <w:r>
              <w:rPr>
                <w:rFonts w:ascii="Arial" w:hAnsi="Arial" w:cs="Arial" w:eastAsia="Arial" w:hint="default"/>
                <w:spacing w:val="-1"/>
                <w:w w:val="95"/>
                <w:sz w:val="15"/>
                <w:szCs w:val="15"/>
              </w:rPr>
              <w:t>6,995,298</w:t>
              <w:tab/>
            </w:r>
            <w:r>
              <w:rPr>
                <w:rFonts w:ascii="Arial" w:hAnsi="Arial" w:cs="Arial" w:eastAsia="Arial" w:hint="default"/>
                <w:w w:val="95"/>
                <w:sz w:val="15"/>
                <w:szCs w:val="15"/>
              </w:rPr>
              <w:t>-</w:t>
              <w:tab/>
            </w:r>
            <w:r>
              <w:rPr>
                <w:rFonts w:ascii="Arial" w:hAnsi="Arial" w:cs="Arial" w:eastAsia="Arial" w:hint="default"/>
                <w:spacing w:val="-1"/>
                <w:w w:val="95"/>
                <w:sz w:val="15"/>
                <w:szCs w:val="15"/>
              </w:rPr>
              <w:t>6,995,298</w:t>
              <w:tab/>
            </w:r>
            <w:r>
              <w:rPr>
                <w:rFonts w:ascii="Arial" w:hAnsi="Arial" w:cs="Arial" w:eastAsia="Arial" w:hint="default"/>
                <w:w w:val="95"/>
                <w:sz w:val="15"/>
                <w:szCs w:val="15"/>
              </w:rPr>
              <w:t>-</w:t>
              <w:tab/>
              <w:t>-</w:t>
              <w:tab/>
              <w:t>-</w:t>
              <w:tab/>
            </w:r>
            <w:r>
              <w:rPr>
                <w:rFonts w:ascii="Arial" w:hAnsi="Arial" w:cs="Arial" w:eastAsia="Arial" w:hint="default"/>
                <w:spacing w:val="-1"/>
                <w:sz w:val="15"/>
                <w:szCs w:val="15"/>
              </w:rPr>
              <w:t>(6,995,298)</w:t>
              <w:tab/>
            </w:r>
            <w:r>
              <w:rPr>
                <w:rFonts w:ascii="Arial" w:hAnsi="Arial" w:cs="Arial" w:eastAsia="Arial" w:hint="default"/>
                <w:w w:val="95"/>
                <w:sz w:val="15"/>
                <w:szCs w:val="15"/>
              </w:rPr>
              <w:t>-</w:t>
              <w:tab/>
              <w:t>-</w:t>
              <w:tab/>
              <w:t>-</w:t>
              <w:tab/>
              <w:t>-</w:t>
              <w:tab/>
              <w:t>-</w:t>
              <w:tab/>
            </w:r>
            <w:r>
              <w:rPr>
                <w:rFonts w:ascii="Arial" w:hAnsi="Arial" w:cs="Arial" w:eastAsia="Arial" w:hint="default"/>
                <w:sz w:val="15"/>
                <w:szCs w:val="15"/>
              </w:rPr>
              <w:t>-</w:t>
            </w:r>
          </w:p>
        </w:tc>
      </w:tr>
      <w:tr>
        <w:trPr>
          <w:trHeight w:val="203" w:hRule="exact"/>
        </w:trPr>
        <w:tc>
          <w:tcPr>
            <w:tcW w:w="2305" w:type="dxa"/>
            <w:tcBorders>
              <w:top w:val="nil" w:sz="6" w:space="0" w:color="auto"/>
              <w:left w:val="nil" w:sz="6" w:space="0" w:color="auto"/>
              <w:bottom w:val="nil" w:sz="6" w:space="0" w:color="auto"/>
              <w:right w:val="nil" w:sz="6" w:space="0" w:color="auto"/>
            </w:tcBorders>
          </w:tcPr>
          <w:p>
            <w:pPr>
              <w:pStyle w:val="TableParagraph"/>
              <w:spacing w:line="159" w:lineRule="exact"/>
              <w:ind w:left="35" w:right="0"/>
              <w:jc w:val="left"/>
              <w:rPr>
                <w:rFonts w:ascii="宋体" w:hAnsi="宋体" w:cs="宋体" w:eastAsia="宋体" w:hint="default"/>
                <w:sz w:val="16"/>
                <w:szCs w:val="16"/>
              </w:rPr>
            </w:pPr>
            <w:r>
              <w:rPr>
                <w:rFonts w:ascii="宋体" w:hAnsi="宋体" w:cs="宋体" w:eastAsia="宋体" w:hint="default"/>
                <w:sz w:val="16"/>
                <w:szCs w:val="16"/>
              </w:rPr>
              <w:t>智慧足迹数据科技有限公司</w:t>
            </w:r>
          </w:p>
        </w:tc>
        <w:tc>
          <w:tcPr>
            <w:tcW w:w="1107" w:type="dxa"/>
            <w:tcBorders>
              <w:top w:val="nil" w:sz="6" w:space="0" w:color="auto"/>
              <w:left w:val="nil" w:sz="6" w:space="0" w:color="auto"/>
              <w:bottom w:val="single" w:sz="6" w:space="0" w:color="000000"/>
              <w:right w:val="nil" w:sz="6" w:space="0" w:color="auto"/>
            </w:tcBorders>
          </w:tcPr>
          <w:p>
            <w:pPr>
              <w:pStyle w:val="TableParagraph"/>
              <w:spacing w:line="240" w:lineRule="auto" w:before="14"/>
              <w:ind w:right="44"/>
              <w:jc w:val="right"/>
              <w:rPr>
                <w:rFonts w:ascii="Arial" w:hAnsi="Arial" w:cs="Arial" w:eastAsia="Arial" w:hint="default"/>
                <w:sz w:val="15"/>
                <w:szCs w:val="15"/>
              </w:rPr>
            </w:pPr>
            <w:r>
              <w:rPr>
                <w:rFonts w:ascii="Arial"/>
                <w:spacing w:val="-1"/>
                <w:w w:val="95"/>
                <w:sz w:val="15"/>
              </w:rPr>
              <w:t>12,544,057</w:t>
            </w:r>
            <w:r>
              <w:rPr>
                <w:rFonts w:ascii="Arial"/>
                <w:sz w:val="15"/>
              </w:rPr>
            </w:r>
          </w:p>
        </w:tc>
        <w:tc>
          <w:tcPr>
            <w:tcW w:w="1082" w:type="dxa"/>
            <w:tcBorders>
              <w:top w:val="nil" w:sz="6" w:space="0" w:color="auto"/>
              <w:left w:val="nil" w:sz="6" w:space="0" w:color="auto"/>
              <w:bottom w:val="single" w:sz="4" w:space="0" w:color="000000"/>
              <w:right w:val="nil" w:sz="6" w:space="0" w:color="auto"/>
            </w:tcBorders>
          </w:tcPr>
          <w:p>
            <w:pPr>
              <w:pStyle w:val="TableParagraph"/>
              <w:spacing w:line="240" w:lineRule="auto" w:before="14"/>
              <w:ind w:right="150"/>
              <w:jc w:val="right"/>
              <w:rPr>
                <w:rFonts w:ascii="Arial" w:hAnsi="Arial" w:cs="Arial" w:eastAsia="Arial" w:hint="default"/>
                <w:sz w:val="15"/>
                <w:szCs w:val="15"/>
              </w:rPr>
            </w:pPr>
            <w:r>
              <w:rPr>
                <w:rFonts w:ascii="Arial"/>
                <w:w w:val="99"/>
                <w:sz w:val="15"/>
              </w:rPr>
              <w:t>-</w:t>
            </w:r>
            <w:r>
              <w:rPr>
                <w:rFonts w:ascii="Arial"/>
                <w:sz w:val="15"/>
              </w:rPr>
            </w:r>
          </w:p>
        </w:tc>
        <w:tc>
          <w:tcPr>
            <w:tcW w:w="1231" w:type="dxa"/>
            <w:tcBorders>
              <w:top w:val="nil" w:sz="6" w:space="0" w:color="auto"/>
              <w:left w:val="nil" w:sz="6" w:space="0" w:color="auto"/>
              <w:bottom w:val="single" w:sz="4" w:space="0" w:color="000000"/>
              <w:right w:val="nil" w:sz="6" w:space="0" w:color="auto"/>
            </w:tcBorders>
          </w:tcPr>
          <w:p>
            <w:pPr>
              <w:pStyle w:val="TableParagraph"/>
              <w:spacing w:line="240" w:lineRule="auto" w:before="14"/>
              <w:ind w:right="83"/>
              <w:jc w:val="right"/>
              <w:rPr>
                <w:rFonts w:ascii="Arial" w:hAnsi="Arial" w:cs="Arial" w:eastAsia="Arial" w:hint="default"/>
                <w:sz w:val="15"/>
                <w:szCs w:val="15"/>
              </w:rPr>
            </w:pPr>
            <w:r>
              <w:rPr>
                <w:rFonts w:ascii="Arial"/>
                <w:spacing w:val="-1"/>
                <w:w w:val="95"/>
                <w:sz w:val="15"/>
              </w:rPr>
              <w:t>12,544,057</w:t>
            </w:r>
            <w:r>
              <w:rPr>
                <w:rFonts w:ascii="Arial"/>
                <w:sz w:val="15"/>
              </w:rPr>
            </w:r>
          </w:p>
        </w:tc>
        <w:tc>
          <w:tcPr>
            <w:tcW w:w="1142" w:type="dxa"/>
            <w:tcBorders>
              <w:top w:val="nil" w:sz="6" w:space="0" w:color="auto"/>
              <w:left w:val="nil" w:sz="6" w:space="0" w:color="auto"/>
              <w:bottom w:val="single" w:sz="6" w:space="0" w:color="000000"/>
              <w:right w:val="nil" w:sz="6" w:space="0" w:color="auto"/>
            </w:tcBorders>
          </w:tcPr>
          <w:p>
            <w:pPr>
              <w:pStyle w:val="TableParagraph"/>
              <w:spacing w:line="240" w:lineRule="auto" w:before="14"/>
              <w:ind w:right="230"/>
              <w:jc w:val="right"/>
              <w:rPr>
                <w:rFonts w:ascii="Arial" w:hAnsi="Arial" w:cs="Arial" w:eastAsia="Arial" w:hint="default"/>
                <w:sz w:val="15"/>
                <w:szCs w:val="15"/>
              </w:rPr>
            </w:pPr>
            <w:r>
              <w:rPr>
                <w:rFonts w:ascii="Arial"/>
                <w:w w:val="99"/>
                <w:sz w:val="15"/>
              </w:rPr>
              <w:t>-</w:t>
            </w:r>
            <w:r>
              <w:rPr>
                <w:rFonts w:ascii="Arial"/>
                <w:sz w:val="15"/>
              </w:rPr>
            </w:r>
          </w:p>
        </w:tc>
        <w:tc>
          <w:tcPr>
            <w:tcW w:w="1331" w:type="dxa"/>
            <w:tcBorders>
              <w:top w:val="nil" w:sz="6" w:space="0" w:color="auto"/>
              <w:left w:val="nil" w:sz="6" w:space="0" w:color="auto"/>
              <w:bottom w:val="single" w:sz="6" w:space="0" w:color="000000"/>
              <w:right w:val="nil" w:sz="6" w:space="0" w:color="auto"/>
            </w:tcBorders>
          </w:tcPr>
          <w:p>
            <w:pPr>
              <w:pStyle w:val="TableParagraph"/>
              <w:spacing w:line="240" w:lineRule="auto" w:before="14"/>
              <w:ind w:right="122"/>
              <w:jc w:val="right"/>
              <w:rPr>
                <w:rFonts w:ascii="Arial" w:hAnsi="Arial" w:cs="Arial" w:eastAsia="Arial" w:hint="default"/>
                <w:sz w:val="15"/>
                <w:szCs w:val="15"/>
              </w:rPr>
            </w:pPr>
            <w:r>
              <w:rPr>
                <w:rFonts w:ascii="Arial"/>
                <w:sz w:val="15"/>
              </w:rPr>
              <w:t>-</w:t>
            </w:r>
            <w:r>
              <w:rPr>
                <w:rFonts w:ascii="Arial"/>
                <w:spacing w:val="22"/>
                <w:sz w:val="15"/>
              </w:rPr>
              <w:t> </w:t>
            </w:r>
            <w:r>
              <w:rPr>
                <w:rFonts w:ascii="Arial"/>
                <w:sz w:val="15"/>
              </w:rPr>
              <w:t>(12,544,057)</w:t>
            </w:r>
          </w:p>
        </w:tc>
        <w:tc>
          <w:tcPr>
            <w:tcW w:w="1387" w:type="dxa"/>
            <w:tcBorders>
              <w:top w:val="nil" w:sz="6" w:space="0" w:color="auto"/>
              <w:left w:val="nil" w:sz="6" w:space="0" w:color="auto"/>
              <w:bottom w:val="single" w:sz="6" w:space="0" w:color="000000"/>
              <w:right w:val="nil" w:sz="6" w:space="0" w:color="auto"/>
            </w:tcBorders>
          </w:tcPr>
          <w:p>
            <w:pPr>
              <w:pStyle w:val="TableParagraph"/>
              <w:spacing w:line="240" w:lineRule="auto" w:before="14"/>
              <w:ind w:right="284"/>
              <w:jc w:val="right"/>
              <w:rPr>
                <w:rFonts w:ascii="Arial" w:hAnsi="Arial" w:cs="Arial" w:eastAsia="Arial" w:hint="default"/>
                <w:sz w:val="15"/>
                <w:szCs w:val="15"/>
              </w:rPr>
            </w:pPr>
            <w:r>
              <w:rPr>
                <w:rFonts w:ascii="Arial"/>
                <w:w w:val="99"/>
                <w:sz w:val="15"/>
              </w:rPr>
              <w:t>-</w:t>
            </w:r>
            <w:r>
              <w:rPr>
                <w:rFonts w:ascii="Arial"/>
                <w:sz w:val="15"/>
              </w:rPr>
            </w:r>
          </w:p>
        </w:tc>
        <w:tc>
          <w:tcPr>
            <w:tcW w:w="1477" w:type="dxa"/>
            <w:tcBorders>
              <w:top w:val="nil" w:sz="6" w:space="0" w:color="auto"/>
              <w:left w:val="nil" w:sz="6" w:space="0" w:color="auto"/>
              <w:bottom w:val="single" w:sz="6" w:space="0" w:color="000000"/>
              <w:right w:val="nil" w:sz="6" w:space="0" w:color="auto"/>
            </w:tcBorders>
          </w:tcPr>
          <w:p>
            <w:pPr>
              <w:pStyle w:val="TableParagraph"/>
              <w:tabs>
                <w:tab w:pos="1031" w:val="left" w:leader="none"/>
              </w:tabs>
              <w:spacing w:line="240" w:lineRule="auto" w:before="14"/>
              <w:ind w:right="124"/>
              <w:jc w:val="right"/>
              <w:rPr>
                <w:rFonts w:ascii="Arial" w:hAnsi="Arial" w:cs="Arial" w:eastAsia="Arial" w:hint="default"/>
                <w:sz w:val="15"/>
                <w:szCs w:val="15"/>
              </w:rPr>
            </w:pPr>
            <w:r>
              <w:rPr>
                <w:rFonts w:ascii="Arial"/>
                <w:w w:val="95"/>
                <w:sz w:val="15"/>
              </w:rPr>
              <w:t>-</w:t>
              <w:tab/>
              <w:t>-</w:t>
            </w:r>
            <w:r>
              <w:rPr>
                <w:rFonts w:ascii="Arial"/>
                <w:sz w:val="15"/>
              </w:rPr>
            </w:r>
          </w:p>
        </w:tc>
        <w:tc>
          <w:tcPr>
            <w:tcW w:w="995" w:type="dxa"/>
            <w:tcBorders>
              <w:top w:val="nil" w:sz="6" w:space="0" w:color="auto"/>
              <w:left w:val="nil" w:sz="6" w:space="0" w:color="auto"/>
              <w:bottom w:val="single" w:sz="4" w:space="0" w:color="000000"/>
              <w:right w:val="nil" w:sz="6" w:space="0" w:color="auto"/>
            </w:tcBorders>
          </w:tcPr>
          <w:p>
            <w:pPr>
              <w:pStyle w:val="TableParagraph"/>
              <w:spacing w:line="240" w:lineRule="auto" w:before="14"/>
              <w:ind w:right="106"/>
              <w:jc w:val="right"/>
              <w:rPr>
                <w:rFonts w:ascii="Arial" w:hAnsi="Arial" w:cs="Arial" w:eastAsia="Arial" w:hint="default"/>
                <w:sz w:val="15"/>
                <w:szCs w:val="15"/>
              </w:rPr>
            </w:pPr>
            <w:r>
              <w:rPr>
                <w:rFonts w:ascii="Arial"/>
                <w:w w:val="99"/>
                <w:sz w:val="15"/>
              </w:rPr>
              <w:t>-</w:t>
            </w:r>
            <w:r>
              <w:rPr>
                <w:rFonts w:ascii="Arial"/>
                <w:sz w:val="15"/>
              </w:rPr>
            </w:r>
          </w:p>
        </w:tc>
        <w:tc>
          <w:tcPr>
            <w:tcW w:w="929" w:type="dxa"/>
            <w:tcBorders>
              <w:top w:val="nil" w:sz="6" w:space="0" w:color="auto"/>
              <w:left w:val="nil" w:sz="6" w:space="0" w:color="auto"/>
              <w:bottom w:val="single" w:sz="4" w:space="0" w:color="000000"/>
              <w:right w:val="nil" w:sz="6" w:space="0" w:color="auto"/>
            </w:tcBorders>
          </w:tcPr>
          <w:p>
            <w:pPr>
              <w:pStyle w:val="TableParagraph"/>
              <w:spacing w:line="240" w:lineRule="auto" w:before="14"/>
              <w:ind w:right="138"/>
              <w:jc w:val="right"/>
              <w:rPr>
                <w:rFonts w:ascii="Arial" w:hAnsi="Arial" w:cs="Arial" w:eastAsia="Arial" w:hint="default"/>
                <w:sz w:val="15"/>
                <w:szCs w:val="15"/>
              </w:rPr>
            </w:pPr>
            <w:r>
              <w:rPr>
                <w:rFonts w:ascii="Arial"/>
                <w:w w:val="99"/>
                <w:sz w:val="15"/>
              </w:rPr>
              <w:t>-</w:t>
            </w:r>
            <w:r>
              <w:rPr>
                <w:rFonts w:ascii="Arial"/>
                <w:sz w:val="15"/>
              </w:rPr>
            </w:r>
          </w:p>
        </w:tc>
        <w:tc>
          <w:tcPr>
            <w:tcW w:w="1258" w:type="dxa"/>
            <w:tcBorders>
              <w:top w:val="nil" w:sz="6" w:space="0" w:color="auto"/>
              <w:left w:val="nil" w:sz="6" w:space="0" w:color="auto"/>
              <w:bottom w:val="single" w:sz="6" w:space="0" w:color="000000"/>
              <w:right w:val="nil" w:sz="6" w:space="0" w:color="auto"/>
            </w:tcBorders>
          </w:tcPr>
          <w:p>
            <w:pPr>
              <w:pStyle w:val="TableParagraph"/>
              <w:spacing w:line="240" w:lineRule="auto" w:before="14"/>
              <w:ind w:right="138"/>
              <w:jc w:val="right"/>
              <w:rPr>
                <w:rFonts w:ascii="Arial" w:hAnsi="Arial" w:cs="Arial" w:eastAsia="Arial" w:hint="default"/>
                <w:sz w:val="15"/>
                <w:szCs w:val="15"/>
              </w:rPr>
            </w:pPr>
            <w:r>
              <w:rPr>
                <w:rFonts w:ascii="Arial"/>
                <w:w w:val="99"/>
                <w:sz w:val="15"/>
              </w:rPr>
              <w:t>-</w:t>
            </w:r>
            <w:r>
              <w:rPr>
                <w:rFonts w:ascii="Arial"/>
                <w:sz w:val="15"/>
              </w:rPr>
            </w:r>
          </w:p>
        </w:tc>
        <w:tc>
          <w:tcPr>
            <w:tcW w:w="1038" w:type="dxa"/>
            <w:tcBorders>
              <w:top w:val="nil" w:sz="6" w:space="0" w:color="auto"/>
              <w:left w:val="nil" w:sz="6" w:space="0" w:color="auto"/>
              <w:bottom w:val="single" w:sz="4" w:space="0" w:color="000000"/>
              <w:right w:val="nil" w:sz="6" w:space="0" w:color="auto"/>
            </w:tcBorders>
          </w:tcPr>
          <w:p>
            <w:pPr>
              <w:pStyle w:val="TableParagraph"/>
              <w:spacing w:line="240" w:lineRule="auto" w:before="14"/>
              <w:ind w:right="106"/>
              <w:jc w:val="right"/>
              <w:rPr>
                <w:rFonts w:ascii="Arial" w:hAnsi="Arial" w:cs="Arial" w:eastAsia="Arial" w:hint="default"/>
                <w:sz w:val="15"/>
                <w:szCs w:val="15"/>
              </w:rPr>
            </w:pPr>
            <w:r>
              <w:rPr>
                <w:rFonts w:ascii="Arial"/>
                <w:w w:val="99"/>
                <w:sz w:val="15"/>
              </w:rPr>
              <w:t>-</w:t>
            </w:r>
            <w:r>
              <w:rPr>
                <w:rFonts w:ascii="Arial"/>
                <w:sz w:val="15"/>
              </w:rPr>
            </w:r>
          </w:p>
        </w:tc>
      </w:tr>
      <w:tr>
        <w:trPr>
          <w:trHeight w:val="332" w:hRule="exact"/>
        </w:trPr>
        <w:tc>
          <w:tcPr>
            <w:tcW w:w="2305" w:type="dxa"/>
            <w:tcBorders>
              <w:top w:val="nil" w:sz="6" w:space="0" w:color="auto"/>
              <w:left w:val="nil" w:sz="6" w:space="0" w:color="auto"/>
              <w:bottom w:val="nil" w:sz="6" w:space="0" w:color="auto"/>
              <w:right w:val="nil" w:sz="6" w:space="0" w:color="auto"/>
            </w:tcBorders>
          </w:tcPr>
          <w:p>
            <w:pPr>
              <w:pStyle w:val="TableParagraph"/>
              <w:spacing w:line="193" w:lineRule="exact"/>
              <w:ind w:left="35"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1107" w:type="dxa"/>
            <w:tcBorders>
              <w:top w:val="single" w:sz="6" w:space="0" w:color="000000"/>
              <w:left w:val="nil" w:sz="6" w:space="0" w:color="auto"/>
              <w:bottom w:val="nil" w:sz="6" w:space="0" w:color="auto"/>
              <w:right w:val="nil" w:sz="6" w:space="0" w:color="auto"/>
            </w:tcBorders>
          </w:tcPr>
          <w:p>
            <w:pPr>
              <w:pStyle w:val="TableParagraph"/>
              <w:spacing w:line="240" w:lineRule="auto" w:before="41"/>
              <w:ind w:right="43"/>
              <w:jc w:val="right"/>
              <w:rPr>
                <w:rFonts w:ascii="Arial" w:hAnsi="Arial" w:cs="Arial" w:eastAsia="Arial" w:hint="default"/>
                <w:sz w:val="15"/>
                <w:szCs w:val="15"/>
              </w:rPr>
            </w:pPr>
            <w:r>
              <w:rPr>
                <w:rFonts w:ascii="Arial"/>
                <w:spacing w:val="-1"/>
                <w:sz w:val="15"/>
              </w:rPr>
              <w:t>4,008,049,940</w:t>
            </w:r>
          </w:p>
        </w:tc>
        <w:tc>
          <w:tcPr>
            <w:tcW w:w="1082" w:type="dxa"/>
            <w:tcBorders>
              <w:top w:val="single" w:sz="4" w:space="0" w:color="000000"/>
              <w:left w:val="nil" w:sz="6" w:space="0" w:color="auto"/>
              <w:bottom w:val="nil" w:sz="6" w:space="0" w:color="auto"/>
              <w:right w:val="nil" w:sz="6" w:space="0" w:color="auto"/>
            </w:tcBorders>
          </w:tcPr>
          <w:p>
            <w:pPr>
              <w:pStyle w:val="TableParagraph"/>
              <w:spacing w:line="240" w:lineRule="auto" w:before="44"/>
              <w:ind w:right="150"/>
              <w:jc w:val="right"/>
              <w:rPr>
                <w:rFonts w:ascii="Arial" w:hAnsi="Arial" w:cs="Arial" w:eastAsia="Arial" w:hint="default"/>
                <w:sz w:val="15"/>
                <w:szCs w:val="15"/>
              </w:rPr>
            </w:pPr>
            <w:r>
              <w:rPr>
                <w:rFonts w:ascii="Arial"/>
                <w:w w:val="99"/>
                <w:sz w:val="15"/>
              </w:rPr>
              <w:t>-</w:t>
            </w:r>
            <w:r>
              <w:rPr>
                <w:rFonts w:ascii="Arial"/>
                <w:sz w:val="15"/>
              </w:rPr>
            </w:r>
          </w:p>
        </w:tc>
        <w:tc>
          <w:tcPr>
            <w:tcW w:w="1231" w:type="dxa"/>
            <w:tcBorders>
              <w:top w:val="single" w:sz="4" w:space="0" w:color="000000"/>
              <w:left w:val="nil" w:sz="6" w:space="0" w:color="auto"/>
              <w:bottom w:val="nil" w:sz="6" w:space="0" w:color="auto"/>
              <w:right w:val="nil" w:sz="6" w:space="0" w:color="auto"/>
            </w:tcBorders>
          </w:tcPr>
          <w:p>
            <w:pPr>
              <w:pStyle w:val="TableParagraph"/>
              <w:spacing w:line="240" w:lineRule="auto" w:before="44"/>
              <w:ind w:right="82"/>
              <w:jc w:val="right"/>
              <w:rPr>
                <w:rFonts w:ascii="Arial" w:hAnsi="Arial" w:cs="Arial" w:eastAsia="Arial" w:hint="default"/>
                <w:sz w:val="15"/>
                <w:szCs w:val="15"/>
              </w:rPr>
            </w:pPr>
            <w:r>
              <w:rPr>
                <w:rFonts w:ascii="Arial"/>
                <w:spacing w:val="-1"/>
                <w:sz w:val="15"/>
              </w:rPr>
              <w:t>4,008,049,940</w:t>
            </w:r>
          </w:p>
        </w:tc>
        <w:tc>
          <w:tcPr>
            <w:tcW w:w="1142" w:type="dxa"/>
            <w:tcBorders>
              <w:top w:val="single" w:sz="6" w:space="0" w:color="000000"/>
              <w:left w:val="nil" w:sz="6" w:space="0" w:color="auto"/>
              <w:bottom w:val="nil" w:sz="6" w:space="0" w:color="auto"/>
              <w:right w:val="nil" w:sz="6" w:space="0" w:color="auto"/>
            </w:tcBorders>
          </w:tcPr>
          <w:p>
            <w:pPr>
              <w:pStyle w:val="TableParagraph"/>
              <w:spacing w:line="240" w:lineRule="auto" w:before="41"/>
              <w:ind w:right="230"/>
              <w:jc w:val="right"/>
              <w:rPr>
                <w:rFonts w:ascii="Arial" w:hAnsi="Arial" w:cs="Arial" w:eastAsia="Arial" w:hint="default"/>
                <w:sz w:val="15"/>
                <w:szCs w:val="15"/>
              </w:rPr>
            </w:pPr>
            <w:r>
              <w:rPr>
                <w:rFonts w:ascii="Arial"/>
                <w:spacing w:val="-1"/>
                <w:sz w:val="15"/>
              </w:rPr>
              <w:t>137,000,000</w:t>
            </w:r>
          </w:p>
        </w:tc>
        <w:tc>
          <w:tcPr>
            <w:tcW w:w="1331" w:type="dxa"/>
            <w:tcBorders>
              <w:top w:val="single" w:sz="6" w:space="0" w:color="000000"/>
              <w:left w:val="nil" w:sz="6" w:space="0" w:color="auto"/>
              <w:bottom w:val="nil" w:sz="6" w:space="0" w:color="auto"/>
              <w:right w:val="nil" w:sz="6" w:space="0" w:color="auto"/>
            </w:tcBorders>
          </w:tcPr>
          <w:p>
            <w:pPr>
              <w:pStyle w:val="TableParagraph"/>
              <w:spacing w:line="240" w:lineRule="auto" w:before="41"/>
              <w:ind w:right="122"/>
              <w:jc w:val="right"/>
              <w:rPr>
                <w:rFonts w:ascii="Arial" w:hAnsi="Arial" w:cs="Arial" w:eastAsia="Arial" w:hint="default"/>
                <w:sz w:val="15"/>
                <w:szCs w:val="15"/>
              </w:rPr>
            </w:pPr>
            <w:r>
              <w:rPr>
                <w:rFonts w:ascii="Arial"/>
                <w:sz w:val="15"/>
              </w:rPr>
              <w:t>-</w:t>
            </w:r>
            <w:r>
              <w:rPr>
                <w:rFonts w:ascii="Arial"/>
                <w:spacing w:val="22"/>
                <w:sz w:val="15"/>
              </w:rPr>
              <w:t> </w:t>
            </w:r>
            <w:r>
              <w:rPr>
                <w:rFonts w:ascii="Arial"/>
                <w:sz w:val="15"/>
              </w:rPr>
              <w:t>(12,544,057)</w:t>
            </w:r>
          </w:p>
        </w:tc>
        <w:tc>
          <w:tcPr>
            <w:tcW w:w="1387" w:type="dxa"/>
            <w:tcBorders>
              <w:top w:val="single" w:sz="6" w:space="0" w:color="000000"/>
              <w:left w:val="nil" w:sz="6" w:space="0" w:color="auto"/>
              <w:bottom w:val="nil" w:sz="6" w:space="0" w:color="auto"/>
              <w:right w:val="nil" w:sz="6" w:space="0" w:color="auto"/>
            </w:tcBorders>
          </w:tcPr>
          <w:p>
            <w:pPr>
              <w:pStyle w:val="TableParagraph"/>
              <w:spacing w:line="240" w:lineRule="auto" w:before="41"/>
              <w:ind w:right="304"/>
              <w:jc w:val="right"/>
              <w:rPr>
                <w:rFonts w:ascii="Arial" w:hAnsi="Arial" w:cs="Arial" w:eastAsia="Arial" w:hint="default"/>
                <w:sz w:val="15"/>
                <w:szCs w:val="15"/>
              </w:rPr>
            </w:pPr>
            <w:r>
              <w:rPr>
                <w:rFonts w:ascii="Arial"/>
                <w:spacing w:val="-1"/>
                <w:sz w:val="15"/>
              </w:rPr>
              <w:t>646,369,494</w:t>
            </w:r>
          </w:p>
        </w:tc>
        <w:tc>
          <w:tcPr>
            <w:tcW w:w="1477" w:type="dxa"/>
            <w:tcBorders>
              <w:top w:val="single" w:sz="6" w:space="0" w:color="000000"/>
              <w:left w:val="nil" w:sz="6" w:space="0" w:color="auto"/>
              <w:bottom w:val="nil" w:sz="6" w:space="0" w:color="auto"/>
              <w:right w:val="nil" w:sz="6" w:space="0" w:color="auto"/>
            </w:tcBorders>
          </w:tcPr>
          <w:p>
            <w:pPr>
              <w:pStyle w:val="TableParagraph"/>
              <w:tabs>
                <w:tab w:pos="1031" w:val="left" w:leader="none"/>
              </w:tabs>
              <w:spacing w:line="240" w:lineRule="auto" w:before="41"/>
              <w:ind w:right="124"/>
              <w:jc w:val="right"/>
              <w:rPr>
                <w:rFonts w:ascii="Arial" w:hAnsi="Arial" w:cs="Arial" w:eastAsia="Arial" w:hint="default"/>
                <w:sz w:val="15"/>
                <w:szCs w:val="15"/>
              </w:rPr>
            </w:pPr>
            <w:r>
              <w:rPr>
                <w:rFonts w:ascii="Arial"/>
                <w:w w:val="95"/>
                <w:sz w:val="15"/>
              </w:rPr>
              <w:t>-</w:t>
              <w:tab/>
              <w:t>-</w:t>
            </w:r>
            <w:r>
              <w:rPr>
                <w:rFonts w:ascii="Arial"/>
                <w:sz w:val="15"/>
              </w:rPr>
            </w:r>
          </w:p>
        </w:tc>
        <w:tc>
          <w:tcPr>
            <w:tcW w:w="995" w:type="dxa"/>
            <w:tcBorders>
              <w:top w:val="single" w:sz="4" w:space="0" w:color="000000"/>
              <w:left w:val="nil" w:sz="6" w:space="0" w:color="auto"/>
              <w:bottom w:val="nil" w:sz="6" w:space="0" w:color="auto"/>
              <w:right w:val="nil" w:sz="6" w:space="0" w:color="auto"/>
            </w:tcBorders>
          </w:tcPr>
          <w:p>
            <w:pPr>
              <w:pStyle w:val="TableParagraph"/>
              <w:spacing w:line="240" w:lineRule="auto" w:before="44"/>
              <w:ind w:right="106"/>
              <w:jc w:val="right"/>
              <w:rPr>
                <w:rFonts w:ascii="Arial" w:hAnsi="Arial" w:cs="Arial" w:eastAsia="Arial" w:hint="default"/>
                <w:sz w:val="15"/>
                <w:szCs w:val="15"/>
              </w:rPr>
            </w:pPr>
            <w:r>
              <w:rPr>
                <w:rFonts w:ascii="Arial"/>
                <w:w w:val="99"/>
                <w:sz w:val="15"/>
              </w:rPr>
              <w:t>-</w:t>
            </w:r>
            <w:r>
              <w:rPr>
                <w:rFonts w:ascii="Arial"/>
                <w:sz w:val="15"/>
              </w:rPr>
            </w:r>
          </w:p>
        </w:tc>
        <w:tc>
          <w:tcPr>
            <w:tcW w:w="929" w:type="dxa"/>
            <w:tcBorders>
              <w:top w:val="single" w:sz="4" w:space="0" w:color="000000"/>
              <w:left w:val="nil" w:sz="6" w:space="0" w:color="auto"/>
              <w:bottom w:val="nil" w:sz="6" w:space="0" w:color="auto"/>
              <w:right w:val="nil" w:sz="6" w:space="0" w:color="auto"/>
            </w:tcBorders>
          </w:tcPr>
          <w:p>
            <w:pPr>
              <w:pStyle w:val="TableParagraph"/>
              <w:spacing w:line="240" w:lineRule="auto" w:before="44"/>
              <w:ind w:right="76"/>
              <w:jc w:val="right"/>
              <w:rPr>
                <w:rFonts w:ascii="Arial" w:hAnsi="Arial" w:cs="Arial" w:eastAsia="Arial" w:hint="default"/>
                <w:sz w:val="15"/>
                <w:szCs w:val="15"/>
              </w:rPr>
            </w:pPr>
            <w:r>
              <w:rPr>
                <w:rFonts w:ascii="Arial"/>
                <w:spacing w:val="-1"/>
                <w:sz w:val="15"/>
              </w:rPr>
              <w:t>(7,946,347)</w:t>
            </w:r>
          </w:p>
        </w:tc>
        <w:tc>
          <w:tcPr>
            <w:tcW w:w="1258" w:type="dxa"/>
            <w:tcBorders>
              <w:top w:val="single" w:sz="6" w:space="0" w:color="000000"/>
              <w:left w:val="nil" w:sz="6" w:space="0" w:color="auto"/>
              <w:bottom w:val="nil" w:sz="6" w:space="0" w:color="auto"/>
              <w:right w:val="nil" w:sz="6" w:space="0" w:color="auto"/>
            </w:tcBorders>
          </w:tcPr>
          <w:p>
            <w:pPr>
              <w:pStyle w:val="TableParagraph"/>
              <w:spacing w:line="240" w:lineRule="auto" w:before="41"/>
              <w:ind w:right="139"/>
              <w:jc w:val="right"/>
              <w:rPr>
                <w:rFonts w:ascii="Arial" w:hAnsi="Arial" w:cs="Arial" w:eastAsia="Arial" w:hint="default"/>
                <w:sz w:val="15"/>
                <w:szCs w:val="15"/>
              </w:rPr>
            </w:pPr>
            <w:r>
              <w:rPr>
                <w:rFonts w:ascii="Arial"/>
                <w:spacing w:val="-1"/>
                <w:sz w:val="15"/>
              </w:rPr>
              <w:t>4,770,929,030</w:t>
            </w:r>
          </w:p>
        </w:tc>
        <w:tc>
          <w:tcPr>
            <w:tcW w:w="1038" w:type="dxa"/>
            <w:tcBorders>
              <w:top w:val="single" w:sz="4" w:space="0" w:color="000000"/>
              <w:left w:val="nil" w:sz="6" w:space="0" w:color="auto"/>
              <w:bottom w:val="nil" w:sz="6" w:space="0" w:color="auto"/>
              <w:right w:val="nil" w:sz="6" w:space="0" w:color="auto"/>
            </w:tcBorders>
          </w:tcPr>
          <w:p>
            <w:pPr>
              <w:pStyle w:val="TableParagraph"/>
              <w:spacing w:line="240" w:lineRule="auto" w:before="44"/>
              <w:ind w:right="49"/>
              <w:jc w:val="right"/>
              <w:rPr>
                <w:rFonts w:ascii="Arial" w:hAnsi="Arial" w:cs="Arial" w:eastAsia="Arial" w:hint="default"/>
                <w:sz w:val="15"/>
                <w:szCs w:val="15"/>
              </w:rPr>
            </w:pPr>
            <w:r>
              <w:rPr>
                <w:rFonts w:ascii="Arial"/>
                <w:spacing w:val="-1"/>
                <w:sz w:val="15"/>
              </w:rPr>
              <w:t>(7,946,347)</w:t>
            </w:r>
          </w:p>
        </w:tc>
      </w:tr>
      <w:tr>
        <w:trPr>
          <w:trHeight w:val="400" w:hRule="exact"/>
        </w:trPr>
        <w:tc>
          <w:tcPr>
            <w:tcW w:w="2305" w:type="dxa"/>
            <w:tcBorders>
              <w:top w:val="nil" w:sz="6" w:space="0" w:color="auto"/>
              <w:left w:val="nil" w:sz="6" w:space="0" w:color="auto"/>
              <w:bottom w:val="nil" w:sz="6" w:space="0" w:color="auto"/>
              <w:right w:val="nil" w:sz="6" w:space="0" w:color="auto"/>
            </w:tcBorders>
          </w:tcPr>
          <w:p>
            <w:pPr>
              <w:pStyle w:val="TableParagraph"/>
              <w:spacing w:line="240" w:lineRule="auto" w:before="64"/>
              <w:ind w:left="35" w:right="0"/>
              <w:jc w:val="left"/>
              <w:rPr>
                <w:rFonts w:ascii="宋体" w:hAnsi="宋体" w:cs="宋体" w:eastAsia="宋体" w:hint="default"/>
                <w:sz w:val="16"/>
                <w:szCs w:val="16"/>
              </w:rPr>
            </w:pPr>
            <w:r>
              <w:rPr>
                <w:rFonts w:ascii="宋体" w:hAnsi="宋体" w:cs="宋体" w:eastAsia="宋体" w:hint="default"/>
                <w:sz w:val="16"/>
                <w:szCs w:val="16"/>
              </w:rPr>
              <w:t>联营企业</w:t>
            </w:r>
          </w:p>
        </w:tc>
        <w:tc>
          <w:tcPr>
            <w:tcW w:w="1107" w:type="dxa"/>
            <w:tcBorders>
              <w:top w:val="nil" w:sz="6" w:space="0" w:color="auto"/>
              <w:left w:val="nil" w:sz="6" w:space="0" w:color="auto"/>
              <w:bottom w:val="nil" w:sz="6" w:space="0" w:color="auto"/>
              <w:right w:val="nil" w:sz="6" w:space="0" w:color="auto"/>
            </w:tcBorders>
          </w:tcPr>
          <w:p>
            <w:pPr/>
          </w:p>
        </w:tc>
        <w:tc>
          <w:tcPr>
            <w:tcW w:w="1082" w:type="dxa"/>
            <w:tcBorders>
              <w:top w:val="nil" w:sz="6" w:space="0" w:color="auto"/>
              <w:left w:val="nil" w:sz="6" w:space="0" w:color="auto"/>
              <w:bottom w:val="nil" w:sz="6" w:space="0" w:color="auto"/>
              <w:right w:val="nil" w:sz="6" w:space="0" w:color="auto"/>
            </w:tcBorders>
          </w:tcPr>
          <w:p>
            <w:pPr/>
          </w:p>
        </w:tc>
        <w:tc>
          <w:tcPr>
            <w:tcW w:w="1231" w:type="dxa"/>
            <w:tcBorders>
              <w:top w:val="nil" w:sz="6" w:space="0" w:color="auto"/>
              <w:left w:val="nil" w:sz="6" w:space="0" w:color="auto"/>
              <w:bottom w:val="nil" w:sz="6" w:space="0" w:color="auto"/>
              <w:right w:val="nil" w:sz="6" w:space="0" w:color="auto"/>
            </w:tcBorders>
          </w:tcPr>
          <w:p>
            <w:pPr/>
          </w:p>
        </w:tc>
        <w:tc>
          <w:tcPr>
            <w:tcW w:w="1142" w:type="dxa"/>
            <w:tcBorders>
              <w:top w:val="nil" w:sz="6" w:space="0" w:color="auto"/>
              <w:left w:val="nil" w:sz="6" w:space="0" w:color="auto"/>
              <w:bottom w:val="nil" w:sz="6" w:space="0" w:color="auto"/>
              <w:right w:val="nil" w:sz="6" w:space="0" w:color="auto"/>
            </w:tcBorders>
          </w:tcPr>
          <w:p>
            <w:pPr/>
          </w:p>
        </w:tc>
        <w:tc>
          <w:tcPr>
            <w:tcW w:w="1331"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
        </w:tc>
        <w:tc>
          <w:tcPr>
            <w:tcW w:w="1477" w:type="dxa"/>
            <w:tcBorders>
              <w:top w:val="nil" w:sz="6" w:space="0" w:color="auto"/>
              <w:left w:val="nil" w:sz="6" w:space="0" w:color="auto"/>
              <w:bottom w:val="nil" w:sz="6" w:space="0" w:color="auto"/>
              <w:right w:val="nil" w:sz="6" w:space="0" w:color="auto"/>
            </w:tcBorders>
          </w:tcPr>
          <w:p>
            <w:pPr/>
          </w:p>
        </w:tc>
        <w:tc>
          <w:tcPr>
            <w:tcW w:w="995" w:type="dxa"/>
            <w:tcBorders>
              <w:top w:val="nil" w:sz="6" w:space="0" w:color="auto"/>
              <w:left w:val="nil" w:sz="6" w:space="0" w:color="auto"/>
              <w:bottom w:val="nil" w:sz="6" w:space="0" w:color="auto"/>
              <w:right w:val="nil" w:sz="6" w:space="0" w:color="auto"/>
            </w:tcBorders>
          </w:tcPr>
          <w:p>
            <w:pPr/>
          </w:p>
        </w:tc>
        <w:tc>
          <w:tcPr>
            <w:tcW w:w="929" w:type="dxa"/>
            <w:tcBorders>
              <w:top w:val="nil" w:sz="6" w:space="0" w:color="auto"/>
              <w:left w:val="nil" w:sz="6" w:space="0" w:color="auto"/>
              <w:bottom w:val="nil" w:sz="6" w:space="0" w:color="auto"/>
              <w:right w:val="nil" w:sz="6" w:space="0" w:color="auto"/>
            </w:tcBorders>
          </w:tcPr>
          <w:p>
            <w:pPr/>
          </w:p>
        </w:tc>
        <w:tc>
          <w:tcPr>
            <w:tcW w:w="1258" w:type="dxa"/>
            <w:tcBorders>
              <w:top w:val="nil" w:sz="6" w:space="0" w:color="auto"/>
              <w:left w:val="nil" w:sz="6" w:space="0" w:color="auto"/>
              <w:bottom w:val="nil" w:sz="6" w:space="0" w:color="auto"/>
              <w:right w:val="nil" w:sz="6" w:space="0" w:color="auto"/>
            </w:tcBorders>
          </w:tcPr>
          <w:p>
            <w:pPr/>
          </w:p>
        </w:tc>
        <w:tc>
          <w:tcPr>
            <w:tcW w:w="1038" w:type="dxa"/>
            <w:tcBorders>
              <w:top w:val="nil" w:sz="6" w:space="0" w:color="auto"/>
              <w:left w:val="nil" w:sz="6" w:space="0" w:color="auto"/>
              <w:bottom w:val="nil" w:sz="6" w:space="0" w:color="auto"/>
              <w:right w:val="nil" w:sz="6" w:space="0" w:color="auto"/>
            </w:tcBorders>
          </w:tcPr>
          <w:p>
            <w:pPr/>
          </w:p>
        </w:tc>
      </w:tr>
      <w:tr>
        <w:trPr>
          <w:trHeight w:val="327" w:hRule="exact"/>
        </w:trPr>
        <w:tc>
          <w:tcPr>
            <w:tcW w:w="2305"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5" w:right="0"/>
              <w:jc w:val="left"/>
              <w:rPr>
                <w:rFonts w:ascii="宋体" w:hAnsi="宋体" w:cs="宋体" w:eastAsia="宋体" w:hint="default"/>
                <w:sz w:val="16"/>
                <w:szCs w:val="16"/>
              </w:rPr>
            </w:pPr>
            <w:r>
              <w:rPr>
                <w:rFonts w:ascii="宋体" w:hAnsi="宋体" w:cs="宋体" w:eastAsia="宋体" w:hint="default"/>
                <w:sz w:val="16"/>
                <w:szCs w:val="16"/>
              </w:rPr>
              <w:t>广联视通新媒体有限公司</w:t>
            </w:r>
          </w:p>
        </w:tc>
        <w:tc>
          <w:tcPr>
            <w:tcW w:w="110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right="44"/>
              <w:jc w:val="right"/>
              <w:rPr>
                <w:rFonts w:ascii="Arial" w:hAnsi="Arial" w:cs="Arial" w:eastAsia="Arial" w:hint="default"/>
                <w:sz w:val="15"/>
                <w:szCs w:val="15"/>
              </w:rPr>
            </w:pPr>
            <w:r>
              <w:rPr>
                <w:rFonts w:ascii="Arial"/>
                <w:spacing w:val="-1"/>
                <w:w w:val="95"/>
                <w:sz w:val="15"/>
              </w:rPr>
              <w:t>43,218,338</w:t>
            </w:r>
            <w:r>
              <w:rPr>
                <w:rFonts w:ascii="Arial"/>
                <w:sz w:val="15"/>
              </w:rPr>
            </w: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right="150"/>
              <w:jc w:val="right"/>
              <w:rPr>
                <w:rFonts w:ascii="Arial" w:hAnsi="Arial" w:cs="Arial" w:eastAsia="Arial" w:hint="default"/>
                <w:sz w:val="15"/>
                <w:szCs w:val="15"/>
              </w:rPr>
            </w:pPr>
            <w:r>
              <w:rPr>
                <w:rFonts w:ascii="Arial"/>
                <w:w w:val="99"/>
                <w:sz w:val="15"/>
              </w:rPr>
              <w:t>-</w:t>
            </w:r>
            <w:r>
              <w:rPr>
                <w:rFonts w:ascii="Arial"/>
                <w:sz w:val="15"/>
              </w:rPr>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right="83"/>
              <w:jc w:val="right"/>
              <w:rPr>
                <w:rFonts w:ascii="Arial" w:hAnsi="Arial" w:cs="Arial" w:eastAsia="Arial" w:hint="default"/>
                <w:sz w:val="15"/>
                <w:szCs w:val="15"/>
              </w:rPr>
            </w:pPr>
            <w:r>
              <w:rPr>
                <w:rFonts w:ascii="Arial"/>
                <w:spacing w:val="-1"/>
                <w:w w:val="95"/>
                <w:sz w:val="15"/>
              </w:rPr>
              <w:t>43,218,338</w:t>
            </w:r>
            <w:r>
              <w:rPr>
                <w:rFonts w:ascii="Arial"/>
                <w:sz w:val="15"/>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right="230"/>
              <w:jc w:val="right"/>
              <w:rPr>
                <w:rFonts w:ascii="Arial" w:hAnsi="Arial" w:cs="Arial" w:eastAsia="Arial" w:hint="default"/>
                <w:sz w:val="15"/>
                <w:szCs w:val="15"/>
              </w:rPr>
            </w:pPr>
            <w:r>
              <w:rPr>
                <w:rFonts w:ascii="Arial"/>
                <w:w w:val="99"/>
                <w:sz w:val="15"/>
              </w:rPr>
              <w:t>-</w:t>
            </w:r>
            <w:r>
              <w:rPr>
                <w:rFonts w:ascii="Arial"/>
                <w:sz w:val="15"/>
              </w:rPr>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1"/>
                <w:szCs w:val="11"/>
              </w:rPr>
            </w:pPr>
          </w:p>
          <w:p>
            <w:pPr>
              <w:pStyle w:val="TableParagraph"/>
              <w:tabs>
                <w:tab w:pos="892" w:val="left" w:leader="none"/>
              </w:tabs>
              <w:spacing w:line="240" w:lineRule="auto"/>
              <w:ind w:right="154"/>
              <w:jc w:val="right"/>
              <w:rPr>
                <w:rFonts w:ascii="Arial" w:hAnsi="Arial" w:cs="Arial" w:eastAsia="Arial" w:hint="default"/>
                <w:sz w:val="15"/>
                <w:szCs w:val="15"/>
              </w:rPr>
            </w:pPr>
            <w:r>
              <w:rPr>
                <w:rFonts w:ascii="Arial"/>
                <w:w w:val="95"/>
                <w:sz w:val="15"/>
              </w:rPr>
              <w:t>-</w:t>
              <w:tab/>
              <w:t>-</w:t>
            </w:r>
            <w:r>
              <w:rPr>
                <w:rFonts w:ascii="Arial"/>
                <w:sz w:val="15"/>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right="305"/>
              <w:jc w:val="right"/>
              <w:rPr>
                <w:rFonts w:ascii="Arial" w:hAnsi="Arial" w:cs="Arial" w:eastAsia="Arial" w:hint="default"/>
                <w:sz w:val="15"/>
                <w:szCs w:val="15"/>
              </w:rPr>
            </w:pPr>
            <w:r>
              <w:rPr>
                <w:rFonts w:ascii="Arial"/>
                <w:spacing w:val="-1"/>
                <w:w w:val="95"/>
                <w:sz w:val="15"/>
              </w:rPr>
              <w:t>833,303</w:t>
            </w:r>
            <w:r>
              <w:rPr>
                <w:rFonts w:ascii="Arial"/>
                <w:sz w:val="15"/>
              </w:rPr>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1"/>
                <w:szCs w:val="11"/>
              </w:rPr>
            </w:pPr>
          </w:p>
          <w:p>
            <w:pPr>
              <w:pStyle w:val="TableParagraph"/>
              <w:tabs>
                <w:tab w:pos="1031" w:val="left" w:leader="none"/>
              </w:tabs>
              <w:spacing w:line="240" w:lineRule="auto"/>
              <w:ind w:right="124"/>
              <w:jc w:val="right"/>
              <w:rPr>
                <w:rFonts w:ascii="Arial" w:hAnsi="Arial" w:cs="Arial" w:eastAsia="Arial" w:hint="default"/>
                <w:sz w:val="15"/>
                <w:szCs w:val="15"/>
              </w:rPr>
            </w:pPr>
            <w:r>
              <w:rPr>
                <w:rFonts w:ascii="Arial"/>
                <w:w w:val="95"/>
                <w:sz w:val="15"/>
              </w:rPr>
              <w:t>-</w:t>
              <w:tab/>
              <w:t>-</w:t>
            </w:r>
            <w:r>
              <w:rPr>
                <w:rFonts w:ascii="Arial"/>
                <w:sz w:val="15"/>
              </w:rPr>
            </w:r>
          </w:p>
        </w:tc>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right="106"/>
              <w:jc w:val="right"/>
              <w:rPr>
                <w:rFonts w:ascii="Arial" w:hAnsi="Arial" w:cs="Arial" w:eastAsia="Arial" w:hint="default"/>
                <w:sz w:val="15"/>
                <w:szCs w:val="15"/>
              </w:rPr>
            </w:pPr>
            <w:r>
              <w:rPr>
                <w:rFonts w:ascii="Arial"/>
                <w:w w:val="99"/>
                <w:sz w:val="15"/>
              </w:rPr>
              <w:t>-</w:t>
            </w:r>
            <w:r>
              <w:rPr>
                <w:rFonts w:ascii="Arial"/>
                <w:sz w:val="15"/>
              </w:rPr>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right="138"/>
              <w:jc w:val="right"/>
              <w:rPr>
                <w:rFonts w:ascii="Arial" w:hAnsi="Arial" w:cs="Arial" w:eastAsia="Arial" w:hint="default"/>
                <w:sz w:val="15"/>
                <w:szCs w:val="15"/>
              </w:rPr>
            </w:pPr>
            <w:r>
              <w:rPr>
                <w:rFonts w:ascii="Arial"/>
                <w:w w:val="99"/>
                <w:sz w:val="15"/>
              </w:rPr>
              <w:t>-</w:t>
            </w:r>
            <w:r>
              <w:rPr>
                <w:rFonts w:ascii="Arial"/>
                <w:sz w:val="15"/>
              </w:rPr>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right="140"/>
              <w:jc w:val="right"/>
              <w:rPr>
                <w:rFonts w:ascii="Arial" w:hAnsi="Arial" w:cs="Arial" w:eastAsia="Arial" w:hint="default"/>
                <w:sz w:val="15"/>
                <w:szCs w:val="15"/>
              </w:rPr>
            </w:pPr>
            <w:r>
              <w:rPr>
                <w:rFonts w:ascii="Arial"/>
                <w:spacing w:val="-1"/>
                <w:w w:val="95"/>
                <w:sz w:val="15"/>
              </w:rPr>
              <w:t>44,051,641</w:t>
            </w:r>
            <w:r>
              <w:rPr>
                <w:rFonts w:ascii="Arial"/>
                <w:sz w:val="15"/>
              </w:rPr>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right="106"/>
              <w:jc w:val="right"/>
              <w:rPr>
                <w:rFonts w:ascii="Arial" w:hAnsi="Arial" w:cs="Arial" w:eastAsia="Arial" w:hint="default"/>
                <w:sz w:val="15"/>
                <w:szCs w:val="15"/>
              </w:rPr>
            </w:pPr>
            <w:r>
              <w:rPr>
                <w:rFonts w:ascii="Arial"/>
                <w:w w:val="99"/>
                <w:sz w:val="15"/>
              </w:rPr>
              <w:t>-</w:t>
            </w:r>
            <w:r>
              <w:rPr>
                <w:rFonts w:ascii="Arial"/>
                <w:sz w:val="15"/>
              </w:rPr>
            </w:r>
          </w:p>
        </w:tc>
      </w:tr>
      <w:tr>
        <w:trPr>
          <w:trHeight w:val="206" w:hRule="exact"/>
        </w:trPr>
        <w:tc>
          <w:tcPr>
            <w:tcW w:w="2305" w:type="dxa"/>
            <w:tcBorders>
              <w:top w:val="nil" w:sz="6" w:space="0" w:color="auto"/>
              <w:left w:val="nil" w:sz="6" w:space="0" w:color="auto"/>
              <w:bottom w:val="nil" w:sz="6" w:space="0" w:color="auto"/>
              <w:right w:val="nil" w:sz="6" w:space="0" w:color="auto"/>
            </w:tcBorders>
          </w:tcPr>
          <w:p>
            <w:pPr>
              <w:pStyle w:val="TableParagraph"/>
              <w:spacing w:line="170" w:lineRule="exact"/>
              <w:ind w:left="35" w:right="0"/>
              <w:jc w:val="left"/>
              <w:rPr>
                <w:rFonts w:ascii="宋体" w:hAnsi="宋体" w:cs="宋体" w:eastAsia="宋体" w:hint="default"/>
                <w:sz w:val="16"/>
                <w:szCs w:val="16"/>
              </w:rPr>
            </w:pPr>
            <w:r>
              <w:rPr>
                <w:rFonts w:ascii="宋体" w:hAnsi="宋体" w:cs="宋体" w:eastAsia="宋体" w:hint="default"/>
                <w:sz w:val="16"/>
                <w:szCs w:val="16"/>
              </w:rPr>
              <w:t>中国铁塔股份有限公司</w:t>
            </w:r>
          </w:p>
        </w:tc>
        <w:tc>
          <w:tcPr>
            <w:tcW w:w="110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0"/>
              <w:jc w:val="right"/>
              <w:rPr>
                <w:rFonts w:ascii="Arial" w:hAnsi="Arial" w:cs="Arial" w:eastAsia="Arial" w:hint="default"/>
                <w:sz w:val="15"/>
                <w:szCs w:val="15"/>
              </w:rPr>
            </w:pPr>
            <w:r>
              <w:rPr>
                <w:rFonts w:ascii="Arial"/>
                <w:spacing w:val="-1"/>
                <w:w w:val="95"/>
                <w:sz w:val="15"/>
              </w:rPr>
              <w:t>35,498,034,658</w:t>
            </w:r>
            <w:r>
              <w:rPr>
                <w:rFonts w:ascii="Arial"/>
                <w:sz w:val="15"/>
              </w:rPr>
            </w: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7"/>
              <w:jc w:val="right"/>
              <w:rPr>
                <w:rFonts w:ascii="Arial" w:hAnsi="Arial" w:cs="Arial" w:eastAsia="Arial" w:hint="default"/>
                <w:sz w:val="15"/>
                <w:szCs w:val="15"/>
              </w:rPr>
            </w:pPr>
            <w:r>
              <w:rPr>
                <w:rFonts w:ascii="Arial"/>
                <w:spacing w:val="-1"/>
                <w:sz w:val="15"/>
              </w:rPr>
              <w:t>(264,471,423)</w:t>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83"/>
              <w:jc w:val="right"/>
              <w:rPr>
                <w:rFonts w:ascii="Arial" w:hAnsi="Arial" w:cs="Arial" w:eastAsia="Arial" w:hint="default"/>
                <w:sz w:val="15"/>
                <w:szCs w:val="15"/>
              </w:rPr>
            </w:pPr>
            <w:r>
              <w:rPr>
                <w:rFonts w:ascii="Arial"/>
                <w:spacing w:val="-1"/>
                <w:w w:val="95"/>
                <w:sz w:val="15"/>
              </w:rPr>
              <w:t>35,233,563,235</w:t>
            </w:r>
            <w:r>
              <w:rPr>
                <w:rFonts w:ascii="Arial"/>
                <w:sz w:val="15"/>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30"/>
              <w:jc w:val="right"/>
              <w:rPr>
                <w:rFonts w:ascii="Arial" w:hAnsi="Arial" w:cs="Arial" w:eastAsia="Arial" w:hint="default"/>
                <w:sz w:val="15"/>
                <w:szCs w:val="15"/>
              </w:rPr>
            </w:pPr>
            <w:r>
              <w:rPr>
                <w:rFonts w:ascii="Arial"/>
                <w:w w:val="99"/>
                <w:sz w:val="15"/>
              </w:rPr>
              <w:t>-</w:t>
            </w:r>
            <w:r>
              <w:rPr>
                <w:rFonts w:ascii="Arial"/>
                <w:sz w:val="15"/>
              </w:rPr>
            </w:r>
          </w:p>
        </w:tc>
        <w:tc>
          <w:tcPr>
            <w:tcW w:w="1331" w:type="dxa"/>
            <w:tcBorders>
              <w:top w:val="nil" w:sz="6" w:space="0" w:color="auto"/>
              <w:left w:val="nil" w:sz="6" w:space="0" w:color="auto"/>
              <w:bottom w:val="nil" w:sz="6" w:space="0" w:color="auto"/>
              <w:right w:val="nil" w:sz="6" w:space="0" w:color="auto"/>
            </w:tcBorders>
          </w:tcPr>
          <w:p>
            <w:pPr>
              <w:pStyle w:val="TableParagraph"/>
              <w:tabs>
                <w:tab w:pos="892" w:val="left" w:leader="none"/>
              </w:tabs>
              <w:spacing w:line="240" w:lineRule="auto" w:before="26"/>
              <w:ind w:right="154"/>
              <w:jc w:val="right"/>
              <w:rPr>
                <w:rFonts w:ascii="Arial" w:hAnsi="Arial" w:cs="Arial" w:eastAsia="Arial" w:hint="default"/>
                <w:sz w:val="15"/>
                <w:szCs w:val="15"/>
              </w:rPr>
            </w:pPr>
            <w:r>
              <w:rPr>
                <w:rFonts w:ascii="Arial"/>
                <w:w w:val="95"/>
                <w:sz w:val="15"/>
              </w:rPr>
              <w:t>-</w:t>
              <w:tab/>
              <w:t>-</w:t>
            </w:r>
            <w:r>
              <w:rPr>
                <w:rFonts w:ascii="Arial"/>
                <w:sz w:val="15"/>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04"/>
              <w:jc w:val="right"/>
              <w:rPr>
                <w:rFonts w:ascii="Arial" w:hAnsi="Arial" w:cs="Arial" w:eastAsia="Arial" w:hint="default"/>
                <w:sz w:val="15"/>
                <w:szCs w:val="15"/>
              </w:rPr>
            </w:pPr>
            <w:r>
              <w:rPr>
                <w:rFonts w:ascii="Arial"/>
                <w:spacing w:val="-1"/>
                <w:sz w:val="15"/>
              </w:rPr>
              <w:t>1,331,818,913</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62"/>
              <w:jc w:val="right"/>
              <w:rPr>
                <w:rFonts w:ascii="Arial" w:hAnsi="Arial" w:cs="Arial" w:eastAsia="Arial" w:hint="default"/>
                <w:sz w:val="15"/>
                <w:szCs w:val="15"/>
              </w:rPr>
            </w:pPr>
            <w:r>
              <w:rPr>
                <w:rFonts w:ascii="Arial"/>
                <w:sz w:val="15"/>
              </w:rPr>
              <w:t>-  </w:t>
            </w:r>
            <w:r>
              <w:rPr>
                <w:rFonts w:ascii="Arial"/>
                <w:spacing w:val="25"/>
                <w:sz w:val="15"/>
              </w:rPr>
              <w:t> </w:t>
            </w:r>
            <w:r>
              <w:rPr>
                <w:rFonts w:ascii="Arial"/>
                <w:sz w:val="15"/>
              </w:rPr>
              <w:t>(307,451,552)</w:t>
            </w:r>
          </w:p>
        </w:tc>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84"/>
              <w:jc w:val="right"/>
              <w:rPr>
                <w:rFonts w:ascii="Arial" w:hAnsi="Arial" w:cs="Arial" w:eastAsia="Arial" w:hint="default"/>
                <w:sz w:val="15"/>
                <w:szCs w:val="15"/>
              </w:rPr>
            </w:pPr>
            <w:r>
              <w:rPr>
                <w:rFonts w:ascii="Arial"/>
                <w:spacing w:val="-1"/>
                <w:w w:val="95"/>
                <w:sz w:val="15"/>
              </w:rPr>
              <w:t>(81,778,133)</w:t>
            </w:r>
            <w:r>
              <w:rPr>
                <w:rFonts w:ascii="Arial"/>
                <w:sz w:val="15"/>
              </w:rPr>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8"/>
              <w:jc w:val="right"/>
              <w:rPr>
                <w:rFonts w:ascii="Arial" w:hAnsi="Arial" w:cs="Arial" w:eastAsia="Arial" w:hint="default"/>
                <w:sz w:val="15"/>
                <w:szCs w:val="15"/>
              </w:rPr>
            </w:pPr>
            <w:r>
              <w:rPr>
                <w:rFonts w:ascii="Arial"/>
                <w:w w:val="99"/>
                <w:sz w:val="15"/>
              </w:rPr>
              <w:t>-</w:t>
            </w:r>
            <w:r>
              <w:rPr>
                <w:rFonts w:ascii="Arial"/>
                <w:sz w:val="15"/>
              </w:rPr>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40"/>
              <w:jc w:val="right"/>
              <w:rPr>
                <w:rFonts w:ascii="Arial" w:hAnsi="Arial" w:cs="Arial" w:eastAsia="Arial" w:hint="default"/>
                <w:sz w:val="15"/>
                <w:szCs w:val="15"/>
              </w:rPr>
            </w:pPr>
            <w:r>
              <w:rPr>
                <w:rFonts w:ascii="Arial"/>
                <w:spacing w:val="-1"/>
                <w:w w:val="95"/>
                <w:sz w:val="15"/>
              </w:rPr>
              <w:t>36,176,152,463</w:t>
            </w:r>
            <w:r>
              <w:rPr>
                <w:rFonts w:ascii="Arial"/>
                <w:sz w:val="15"/>
              </w:rPr>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15"/>
                <w:szCs w:val="15"/>
              </w:rPr>
            </w:pPr>
            <w:r>
              <w:rPr>
                <w:rFonts w:ascii="Arial"/>
                <w:w w:val="99"/>
                <w:sz w:val="15"/>
              </w:rPr>
              <w:t>-</w:t>
            </w:r>
            <w:r>
              <w:rPr>
                <w:rFonts w:ascii="Arial"/>
                <w:sz w:val="15"/>
              </w:rPr>
            </w:r>
          </w:p>
        </w:tc>
      </w:tr>
      <w:tr>
        <w:trPr>
          <w:trHeight w:val="206" w:hRule="exact"/>
        </w:trPr>
        <w:tc>
          <w:tcPr>
            <w:tcW w:w="2305" w:type="dxa"/>
            <w:tcBorders>
              <w:top w:val="nil" w:sz="6" w:space="0" w:color="auto"/>
              <w:left w:val="nil" w:sz="6" w:space="0" w:color="auto"/>
              <w:bottom w:val="nil" w:sz="6" w:space="0" w:color="auto"/>
              <w:right w:val="nil" w:sz="6" w:space="0" w:color="auto"/>
            </w:tcBorders>
          </w:tcPr>
          <w:p>
            <w:pPr>
              <w:pStyle w:val="TableParagraph"/>
              <w:spacing w:line="170" w:lineRule="exact"/>
              <w:ind w:left="35" w:right="0"/>
              <w:jc w:val="left"/>
              <w:rPr>
                <w:rFonts w:ascii="宋体" w:hAnsi="宋体" w:cs="宋体" w:eastAsia="宋体" w:hint="default"/>
                <w:sz w:val="16"/>
                <w:szCs w:val="16"/>
              </w:rPr>
            </w:pPr>
            <w:r>
              <w:rPr>
                <w:rFonts w:ascii="宋体" w:hAnsi="宋体" w:cs="宋体" w:eastAsia="宋体" w:hint="default"/>
                <w:sz w:val="16"/>
                <w:szCs w:val="16"/>
              </w:rPr>
              <w:t>中国东盟信息港股份有限公司</w:t>
            </w:r>
          </w:p>
        </w:tc>
        <w:tc>
          <w:tcPr>
            <w:tcW w:w="110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1"/>
              <w:jc w:val="right"/>
              <w:rPr>
                <w:rFonts w:ascii="Arial" w:hAnsi="Arial" w:cs="Arial" w:eastAsia="Arial" w:hint="default"/>
                <w:sz w:val="15"/>
                <w:szCs w:val="15"/>
              </w:rPr>
            </w:pPr>
            <w:r>
              <w:rPr>
                <w:rFonts w:ascii="Arial"/>
                <w:spacing w:val="-1"/>
                <w:w w:val="95"/>
                <w:sz w:val="15"/>
              </w:rPr>
              <w:t>50,723,347</w:t>
            </w:r>
            <w:r>
              <w:rPr>
                <w:rFonts w:ascii="Arial"/>
                <w:sz w:val="15"/>
              </w:rPr>
            </w: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50"/>
              <w:jc w:val="right"/>
              <w:rPr>
                <w:rFonts w:ascii="Arial" w:hAnsi="Arial" w:cs="Arial" w:eastAsia="Arial" w:hint="default"/>
                <w:sz w:val="15"/>
                <w:szCs w:val="15"/>
              </w:rPr>
            </w:pPr>
            <w:r>
              <w:rPr>
                <w:rFonts w:ascii="Arial"/>
                <w:w w:val="99"/>
                <w:sz w:val="15"/>
              </w:rPr>
              <w:t>-</w:t>
            </w:r>
            <w:r>
              <w:rPr>
                <w:rFonts w:ascii="Arial"/>
                <w:sz w:val="15"/>
              </w:rPr>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83"/>
              <w:jc w:val="right"/>
              <w:rPr>
                <w:rFonts w:ascii="Arial" w:hAnsi="Arial" w:cs="Arial" w:eastAsia="Arial" w:hint="default"/>
                <w:sz w:val="15"/>
                <w:szCs w:val="15"/>
              </w:rPr>
            </w:pPr>
            <w:r>
              <w:rPr>
                <w:rFonts w:ascii="Arial"/>
                <w:spacing w:val="-1"/>
                <w:w w:val="95"/>
                <w:sz w:val="15"/>
              </w:rPr>
              <w:t>50,723,347</w:t>
            </w:r>
            <w:r>
              <w:rPr>
                <w:rFonts w:ascii="Arial"/>
                <w:sz w:val="15"/>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30"/>
              <w:jc w:val="right"/>
              <w:rPr>
                <w:rFonts w:ascii="Arial" w:hAnsi="Arial" w:cs="Arial" w:eastAsia="Arial" w:hint="default"/>
                <w:sz w:val="15"/>
                <w:szCs w:val="15"/>
              </w:rPr>
            </w:pPr>
            <w:r>
              <w:rPr>
                <w:rFonts w:ascii="Arial"/>
                <w:w w:val="99"/>
                <w:sz w:val="15"/>
              </w:rPr>
              <w:t>-</w:t>
            </w:r>
            <w:r>
              <w:rPr>
                <w:rFonts w:ascii="Arial"/>
                <w:sz w:val="15"/>
              </w:rPr>
            </w:r>
          </w:p>
        </w:tc>
        <w:tc>
          <w:tcPr>
            <w:tcW w:w="1331" w:type="dxa"/>
            <w:tcBorders>
              <w:top w:val="nil" w:sz="6" w:space="0" w:color="auto"/>
              <w:left w:val="nil" w:sz="6" w:space="0" w:color="auto"/>
              <w:bottom w:val="nil" w:sz="6" w:space="0" w:color="auto"/>
              <w:right w:val="nil" w:sz="6" w:space="0" w:color="auto"/>
            </w:tcBorders>
          </w:tcPr>
          <w:p>
            <w:pPr>
              <w:pStyle w:val="TableParagraph"/>
              <w:tabs>
                <w:tab w:pos="892" w:val="left" w:leader="none"/>
              </w:tabs>
              <w:spacing w:line="240" w:lineRule="auto" w:before="26"/>
              <w:ind w:right="154"/>
              <w:jc w:val="right"/>
              <w:rPr>
                <w:rFonts w:ascii="Arial" w:hAnsi="Arial" w:cs="Arial" w:eastAsia="Arial" w:hint="default"/>
                <w:sz w:val="15"/>
                <w:szCs w:val="15"/>
              </w:rPr>
            </w:pPr>
            <w:r>
              <w:rPr>
                <w:rFonts w:ascii="Arial"/>
                <w:w w:val="95"/>
                <w:sz w:val="15"/>
              </w:rPr>
              <w:t>-</w:t>
              <w:tab/>
              <w:t>-</w:t>
            </w:r>
            <w:r>
              <w:rPr>
                <w:rFonts w:ascii="Arial"/>
                <w:sz w:val="15"/>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05"/>
              <w:jc w:val="right"/>
              <w:rPr>
                <w:rFonts w:ascii="Arial" w:hAnsi="Arial" w:cs="Arial" w:eastAsia="Arial" w:hint="default"/>
                <w:sz w:val="15"/>
                <w:szCs w:val="15"/>
              </w:rPr>
            </w:pPr>
            <w:r>
              <w:rPr>
                <w:rFonts w:ascii="Arial"/>
                <w:spacing w:val="-1"/>
                <w:w w:val="95"/>
                <w:sz w:val="15"/>
              </w:rPr>
              <w:t>9,213,264</w:t>
            </w:r>
            <w:r>
              <w:rPr>
                <w:rFonts w:ascii="Arial"/>
                <w:sz w:val="15"/>
              </w:rPr>
            </w:r>
          </w:p>
        </w:tc>
        <w:tc>
          <w:tcPr>
            <w:tcW w:w="1477" w:type="dxa"/>
            <w:tcBorders>
              <w:top w:val="nil" w:sz="6" w:space="0" w:color="auto"/>
              <w:left w:val="nil" w:sz="6" w:space="0" w:color="auto"/>
              <w:bottom w:val="nil" w:sz="6" w:space="0" w:color="auto"/>
              <w:right w:val="nil" w:sz="6" w:space="0" w:color="auto"/>
            </w:tcBorders>
          </w:tcPr>
          <w:p>
            <w:pPr>
              <w:pStyle w:val="TableParagraph"/>
              <w:tabs>
                <w:tab w:pos="1031" w:val="left" w:leader="none"/>
              </w:tabs>
              <w:spacing w:line="240" w:lineRule="auto" w:before="26"/>
              <w:ind w:right="124"/>
              <w:jc w:val="right"/>
              <w:rPr>
                <w:rFonts w:ascii="Arial" w:hAnsi="Arial" w:cs="Arial" w:eastAsia="Arial" w:hint="default"/>
                <w:sz w:val="15"/>
                <w:szCs w:val="15"/>
              </w:rPr>
            </w:pPr>
            <w:r>
              <w:rPr>
                <w:rFonts w:ascii="Arial"/>
                <w:w w:val="95"/>
                <w:sz w:val="15"/>
              </w:rPr>
              <w:t>-</w:t>
              <w:tab/>
              <w:t>-</w:t>
            </w:r>
            <w:r>
              <w:rPr>
                <w:rFonts w:ascii="Arial"/>
                <w:sz w:val="15"/>
              </w:rPr>
            </w:r>
          </w:p>
        </w:tc>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15"/>
                <w:szCs w:val="15"/>
              </w:rPr>
            </w:pPr>
            <w:r>
              <w:rPr>
                <w:rFonts w:ascii="Arial"/>
                <w:w w:val="99"/>
                <w:sz w:val="15"/>
              </w:rPr>
              <w:t>-</w:t>
            </w:r>
            <w:r>
              <w:rPr>
                <w:rFonts w:ascii="Arial"/>
                <w:sz w:val="15"/>
              </w:rPr>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8"/>
              <w:jc w:val="right"/>
              <w:rPr>
                <w:rFonts w:ascii="Arial" w:hAnsi="Arial" w:cs="Arial" w:eastAsia="Arial" w:hint="default"/>
                <w:sz w:val="15"/>
                <w:szCs w:val="15"/>
              </w:rPr>
            </w:pPr>
            <w:r>
              <w:rPr>
                <w:rFonts w:ascii="Arial"/>
                <w:w w:val="99"/>
                <w:sz w:val="15"/>
              </w:rPr>
              <w:t>-</w:t>
            </w:r>
            <w:r>
              <w:rPr>
                <w:rFonts w:ascii="Arial"/>
                <w:sz w:val="15"/>
              </w:rPr>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40"/>
              <w:jc w:val="right"/>
              <w:rPr>
                <w:rFonts w:ascii="Arial" w:hAnsi="Arial" w:cs="Arial" w:eastAsia="Arial" w:hint="default"/>
                <w:sz w:val="15"/>
                <w:szCs w:val="15"/>
              </w:rPr>
            </w:pPr>
            <w:r>
              <w:rPr>
                <w:rFonts w:ascii="Arial"/>
                <w:spacing w:val="-1"/>
                <w:w w:val="95"/>
                <w:sz w:val="15"/>
              </w:rPr>
              <w:t>59,936,611</w:t>
            </w:r>
            <w:r>
              <w:rPr>
                <w:rFonts w:ascii="Arial"/>
                <w:sz w:val="15"/>
              </w:rPr>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15"/>
                <w:szCs w:val="15"/>
              </w:rPr>
            </w:pPr>
            <w:r>
              <w:rPr>
                <w:rFonts w:ascii="Arial"/>
                <w:w w:val="99"/>
                <w:sz w:val="15"/>
              </w:rPr>
              <w:t>-</w:t>
            </w:r>
            <w:r>
              <w:rPr>
                <w:rFonts w:ascii="Arial"/>
                <w:sz w:val="15"/>
              </w:rPr>
            </w:r>
          </w:p>
        </w:tc>
      </w:tr>
      <w:tr>
        <w:trPr>
          <w:trHeight w:val="206" w:hRule="exact"/>
        </w:trPr>
        <w:tc>
          <w:tcPr>
            <w:tcW w:w="2305" w:type="dxa"/>
            <w:tcBorders>
              <w:top w:val="nil" w:sz="6" w:space="0" w:color="auto"/>
              <w:left w:val="nil" w:sz="6" w:space="0" w:color="auto"/>
              <w:bottom w:val="nil" w:sz="6" w:space="0" w:color="auto"/>
              <w:right w:val="nil" w:sz="6" w:space="0" w:color="auto"/>
            </w:tcBorders>
          </w:tcPr>
          <w:p>
            <w:pPr>
              <w:pStyle w:val="TableParagraph"/>
              <w:spacing w:line="170" w:lineRule="exact"/>
              <w:ind w:left="35" w:right="0"/>
              <w:jc w:val="left"/>
              <w:rPr>
                <w:rFonts w:ascii="宋体" w:hAnsi="宋体" w:cs="宋体" w:eastAsia="宋体" w:hint="default"/>
                <w:sz w:val="16"/>
                <w:szCs w:val="16"/>
              </w:rPr>
            </w:pPr>
            <w:r>
              <w:rPr>
                <w:rFonts w:ascii="宋体" w:hAnsi="宋体" w:cs="宋体" w:eastAsia="宋体" w:hint="default"/>
                <w:sz w:val="16"/>
                <w:szCs w:val="16"/>
              </w:rPr>
              <w:t>联通航美网络有限公司</w:t>
            </w:r>
          </w:p>
        </w:tc>
        <w:tc>
          <w:tcPr>
            <w:tcW w:w="110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4"/>
              <w:jc w:val="right"/>
              <w:rPr>
                <w:rFonts w:ascii="Arial" w:hAnsi="Arial" w:cs="Arial" w:eastAsia="Arial" w:hint="default"/>
                <w:sz w:val="15"/>
                <w:szCs w:val="15"/>
              </w:rPr>
            </w:pPr>
            <w:r>
              <w:rPr>
                <w:rFonts w:ascii="Arial"/>
                <w:spacing w:val="-1"/>
                <w:w w:val="95"/>
                <w:sz w:val="15"/>
              </w:rPr>
              <w:t>69,446,897</w:t>
            </w:r>
            <w:r>
              <w:rPr>
                <w:rFonts w:ascii="Arial"/>
                <w:sz w:val="15"/>
              </w:rPr>
            </w: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50"/>
              <w:jc w:val="right"/>
              <w:rPr>
                <w:rFonts w:ascii="Arial" w:hAnsi="Arial" w:cs="Arial" w:eastAsia="Arial" w:hint="default"/>
                <w:sz w:val="15"/>
                <w:szCs w:val="15"/>
              </w:rPr>
            </w:pPr>
            <w:r>
              <w:rPr>
                <w:rFonts w:ascii="Arial"/>
                <w:w w:val="99"/>
                <w:sz w:val="15"/>
              </w:rPr>
              <w:t>-</w:t>
            </w:r>
            <w:r>
              <w:rPr>
                <w:rFonts w:ascii="Arial"/>
                <w:sz w:val="15"/>
              </w:rPr>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83"/>
              <w:jc w:val="right"/>
              <w:rPr>
                <w:rFonts w:ascii="Arial" w:hAnsi="Arial" w:cs="Arial" w:eastAsia="Arial" w:hint="default"/>
                <w:sz w:val="15"/>
                <w:szCs w:val="15"/>
              </w:rPr>
            </w:pPr>
            <w:r>
              <w:rPr>
                <w:rFonts w:ascii="Arial"/>
                <w:spacing w:val="-1"/>
                <w:w w:val="95"/>
                <w:sz w:val="15"/>
              </w:rPr>
              <w:t>69,446,897</w:t>
            </w:r>
            <w:r>
              <w:rPr>
                <w:rFonts w:ascii="Arial"/>
                <w:sz w:val="15"/>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30"/>
              <w:jc w:val="right"/>
              <w:rPr>
                <w:rFonts w:ascii="Arial" w:hAnsi="Arial" w:cs="Arial" w:eastAsia="Arial" w:hint="default"/>
                <w:sz w:val="15"/>
                <w:szCs w:val="15"/>
              </w:rPr>
            </w:pPr>
            <w:r>
              <w:rPr>
                <w:rFonts w:ascii="Arial"/>
                <w:w w:val="99"/>
                <w:sz w:val="15"/>
              </w:rPr>
              <w:t>-</w:t>
            </w:r>
            <w:r>
              <w:rPr>
                <w:rFonts w:ascii="Arial"/>
                <w:sz w:val="15"/>
              </w:rPr>
            </w:r>
          </w:p>
        </w:tc>
        <w:tc>
          <w:tcPr>
            <w:tcW w:w="1331" w:type="dxa"/>
            <w:tcBorders>
              <w:top w:val="nil" w:sz="6" w:space="0" w:color="auto"/>
              <w:left w:val="nil" w:sz="6" w:space="0" w:color="auto"/>
              <w:bottom w:val="nil" w:sz="6" w:space="0" w:color="auto"/>
              <w:right w:val="nil" w:sz="6" w:space="0" w:color="auto"/>
            </w:tcBorders>
          </w:tcPr>
          <w:p>
            <w:pPr>
              <w:pStyle w:val="TableParagraph"/>
              <w:tabs>
                <w:tab w:pos="892" w:val="left" w:leader="none"/>
              </w:tabs>
              <w:spacing w:line="240" w:lineRule="auto" w:before="26"/>
              <w:ind w:right="154"/>
              <w:jc w:val="right"/>
              <w:rPr>
                <w:rFonts w:ascii="Arial" w:hAnsi="Arial" w:cs="Arial" w:eastAsia="Arial" w:hint="default"/>
                <w:sz w:val="15"/>
                <w:szCs w:val="15"/>
              </w:rPr>
            </w:pPr>
            <w:r>
              <w:rPr>
                <w:rFonts w:ascii="Arial"/>
                <w:w w:val="95"/>
                <w:sz w:val="15"/>
              </w:rPr>
              <w:t>-</w:t>
              <w:tab/>
              <w:t>-</w:t>
            </w:r>
            <w:r>
              <w:rPr>
                <w:rFonts w:ascii="Arial"/>
                <w:sz w:val="15"/>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66"/>
              <w:jc w:val="right"/>
              <w:rPr>
                <w:rFonts w:ascii="Arial" w:hAnsi="Arial" w:cs="Arial" w:eastAsia="Arial" w:hint="default"/>
                <w:sz w:val="15"/>
                <w:szCs w:val="15"/>
              </w:rPr>
            </w:pPr>
            <w:r>
              <w:rPr>
                <w:rFonts w:ascii="Arial"/>
                <w:spacing w:val="-1"/>
                <w:w w:val="95"/>
                <w:sz w:val="15"/>
              </w:rPr>
              <w:t>(22,378,634)</w:t>
            </w:r>
            <w:r>
              <w:rPr>
                <w:rFonts w:ascii="Arial"/>
                <w:sz w:val="15"/>
              </w:rPr>
            </w:r>
          </w:p>
        </w:tc>
        <w:tc>
          <w:tcPr>
            <w:tcW w:w="1477" w:type="dxa"/>
            <w:tcBorders>
              <w:top w:val="nil" w:sz="6" w:space="0" w:color="auto"/>
              <w:left w:val="nil" w:sz="6" w:space="0" w:color="auto"/>
              <w:bottom w:val="nil" w:sz="6" w:space="0" w:color="auto"/>
              <w:right w:val="nil" w:sz="6" w:space="0" w:color="auto"/>
            </w:tcBorders>
          </w:tcPr>
          <w:p>
            <w:pPr>
              <w:pStyle w:val="TableParagraph"/>
              <w:tabs>
                <w:tab w:pos="1031" w:val="left" w:leader="none"/>
              </w:tabs>
              <w:spacing w:line="240" w:lineRule="auto" w:before="26"/>
              <w:ind w:right="124"/>
              <w:jc w:val="right"/>
              <w:rPr>
                <w:rFonts w:ascii="Arial" w:hAnsi="Arial" w:cs="Arial" w:eastAsia="Arial" w:hint="default"/>
                <w:sz w:val="15"/>
                <w:szCs w:val="15"/>
              </w:rPr>
            </w:pPr>
            <w:r>
              <w:rPr>
                <w:rFonts w:ascii="Arial"/>
                <w:w w:val="95"/>
                <w:sz w:val="15"/>
              </w:rPr>
              <w:t>-</w:t>
              <w:tab/>
              <w:t>-</w:t>
            </w:r>
            <w:r>
              <w:rPr>
                <w:rFonts w:ascii="Arial"/>
                <w:sz w:val="15"/>
              </w:rPr>
            </w:r>
          </w:p>
        </w:tc>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15"/>
                <w:szCs w:val="15"/>
              </w:rPr>
            </w:pPr>
            <w:r>
              <w:rPr>
                <w:rFonts w:ascii="Arial"/>
                <w:w w:val="99"/>
                <w:sz w:val="15"/>
              </w:rPr>
              <w:t>-</w:t>
            </w:r>
            <w:r>
              <w:rPr>
                <w:rFonts w:ascii="Arial"/>
                <w:sz w:val="15"/>
              </w:rPr>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8"/>
              <w:jc w:val="right"/>
              <w:rPr>
                <w:rFonts w:ascii="Arial" w:hAnsi="Arial" w:cs="Arial" w:eastAsia="Arial" w:hint="default"/>
                <w:sz w:val="15"/>
                <w:szCs w:val="15"/>
              </w:rPr>
            </w:pPr>
            <w:r>
              <w:rPr>
                <w:rFonts w:ascii="Arial"/>
                <w:w w:val="99"/>
                <w:sz w:val="15"/>
              </w:rPr>
              <w:t>-</w:t>
            </w:r>
            <w:r>
              <w:rPr>
                <w:rFonts w:ascii="Arial"/>
                <w:sz w:val="15"/>
              </w:rPr>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40"/>
              <w:jc w:val="right"/>
              <w:rPr>
                <w:rFonts w:ascii="Arial" w:hAnsi="Arial" w:cs="Arial" w:eastAsia="Arial" w:hint="default"/>
                <w:sz w:val="15"/>
                <w:szCs w:val="15"/>
              </w:rPr>
            </w:pPr>
            <w:r>
              <w:rPr>
                <w:rFonts w:ascii="Arial"/>
                <w:spacing w:val="-1"/>
                <w:w w:val="95"/>
                <w:sz w:val="15"/>
              </w:rPr>
              <w:t>47,068,263</w:t>
            </w:r>
            <w:r>
              <w:rPr>
                <w:rFonts w:ascii="Arial"/>
                <w:sz w:val="15"/>
              </w:rPr>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15"/>
                <w:szCs w:val="15"/>
              </w:rPr>
            </w:pPr>
            <w:r>
              <w:rPr>
                <w:rFonts w:ascii="Arial"/>
                <w:w w:val="99"/>
                <w:sz w:val="15"/>
              </w:rPr>
              <w:t>-</w:t>
            </w:r>
            <w:r>
              <w:rPr>
                <w:rFonts w:ascii="Arial"/>
                <w:sz w:val="15"/>
              </w:rPr>
            </w:r>
          </w:p>
        </w:tc>
      </w:tr>
      <w:tr>
        <w:trPr>
          <w:trHeight w:val="211" w:hRule="exact"/>
        </w:trPr>
        <w:tc>
          <w:tcPr>
            <w:tcW w:w="2305" w:type="dxa"/>
            <w:tcBorders>
              <w:top w:val="nil" w:sz="6" w:space="0" w:color="auto"/>
              <w:left w:val="nil" w:sz="6" w:space="0" w:color="auto"/>
              <w:bottom w:val="nil" w:sz="6" w:space="0" w:color="auto"/>
              <w:right w:val="nil" w:sz="6" w:space="0" w:color="auto"/>
            </w:tcBorders>
          </w:tcPr>
          <w:p>
            <w:pPr>
              <w:pStyle w:val="TableParagraph"/>
              <w:spacing w:line="170" w:lineRule="exact"/>
              <w:ind w:left="35" w:right="0"/>
              <w:jc w:val="left"/>
              <w:rPr>
                <w:rFonts w:ascii="宋体" w:hAnsi="宋体" w:cs="宋体" w:eastAsia="宋体" w:hint="default"/>
                <w:sz w:val="16"/>
                <w:szCs w:val="16"/>
              </w:rPr>
            </w:pPr>
            <w:r>
              <w:rPr>
                <w:rFonts w:ascii="宋体" w:hAnsi="宋体" w:cs="宋体" w:eastAsia="宋体" w:hint="default"/>
                <w:sz w:val="16"/>
                <w:szCs w:val="16"/>
              </w:rPr>
              <w:t>智慧足迹数据科技有限公司</w:t>
            </w:r>
          </w:p>
        </w:tc>
        <w:tc>
          <w:tcPr>
            <w:tcW w:w="1107"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8"/>
              <w:jc w:val="right"/>
              <w:rPr>
                <w:rFonts w:ascii="Arial" w:hAnsi="Arial" w:cs="Arial" w:eastAsia="Arial" w:hint="default"/>
                <w:sz w:val="15"/>
                <w:szCs w:val="15"/>
              </w:rPr>
            </w:pPr>
            <w:r>
              <w:rPr>
                <w:rFonts w:ascii="Arial"/>
                <w:w w:val="99"/>
                <w:sz w:val="15"/>
              </w:rPr>
              <w:t>-</w:t>
            </w:r>
            <w:r>
              <w:rPr>
                <w:rFonts w:ascii="Arial"/>
                <w:sz w:val="15"/>
              </w:rPr>
            </w: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50"/>
              <w:jc w:val="right"/>
              <w:rPr>
                <w:rFonts w:ascii="Arial" w:hAnsi="Arial" w:cs="Arial" w:eastAsia="Arial" w:hint="default"/>
                <w:sz w:val="15"/>
                <w:szCs w:val="15"/>
              </w:rPr>
            </w:pPr>
            <w:r>
              <w:rPr>
                <w:rFonts w:ascii="Arial"/>
                <w:w w:val="99"/>
                <w:sz w:val="15"/>
              </w:rPr>
              <w:t>-</w:t>
            </w:r>
            <w:r>
              <w:rPr>
                <w:rFonts w:ascii="Arial"/>
                <w:sz w:val="15"/>
              </w:rPr>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76"/>
              <w:jc w:val="right"/>
              <w:rPr>
                <w:rFonts w:ascii="Arial" w:hAnsi="Arial" w:cs="Arial" w:eastAsia="Arial" w:hint="default"/>
                <w:sz w:val="15"/>
                <w:szCs w:val="15"/>
              </w:rPr>
            </w:pPr>
            <w:r>
              <w:rPr>
                <w:rFonts w:ascii="Arial"/>
                <w:w w:val="99"/>
                <w:sz w:val="15"/>
              </w:rPr>
              <w:t>-</w:t>
            </w:r>
            <w:r>
              <w:rPr>
                <w:rFonts w:ascii="Arial"/>
                <w:sz w:val="15"/>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230"/>
              <w:jc w:val="right"/>
              <w:rPr>
                <w:rFonts w:ascii="Arial" w:hAnsi="Arial" w:cs="Arial" w:eastAsia="Arial" w:hint="default"/>
                <w:sz w:val="15"/>
                <w:szCs w:val="15"/>
              </w:rPr>
            </w:pPr>
            <w:r>
              <w:rPr>
                <w:rFonts w:ascii="Arial"/>
                <w:w w:val="99"/>
                <w:sz w:val="15"/>
              </w:rPr>
              <w:t>-</w:t>
            </w:r>
            <w:r>
              <w:rPr>
                <w:rFonts w:ascii="Arial"/>
                <w:sz w:val="15"/>
              </w:rPr>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61"/>
              <w:jc w:val="right"/>
              <w:rPr>
                <w:rFonts w:ascii="Arial" w:hAnsi="Arial" w:cs="Arial" w:eastAsia="Arial" w:hint="default"/>
                <w:sz w:val="15"/>
                <w:szCs w:val="15"/>
              </w:rPr>
            </w:pPr>
            <w:r>
              <w:rPr>
                <w:rFonts w:ascii="Arial"/>
                <w:sz w:val="15"/>
              </w:rPr>
              <w:t>-  </w:t>
            </w:r>
            <w:r>
              <w:rPr>
                <w:rFonts w:ascii="Arial"/>
                <w:spacing w:val="1"/>
                <w:sz w:val="15"/>
              </w:rPr>
              <w:t> </w:t>
            </w:r>
            <w:r>
              <w:rPr>
                <w:rFonts w:ascii="Arial"/>
                <w:sz w:val="15"/>
              </w:rPr>
              <w:t>12,544,057</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266"/>
              <w:jc w:val="right"/>
              <w:rPr>
                <w:rFonts w:ascii="Arial" w:hAnsi="Arial" w:cs="Arial" w:eastAsia="Arial" w:hint="default"/>
                <w:sz w:val="15"/>
                <w:szCs w:val="15"/>
              </w:rPr>
            </w:pPr>
            <w:r>
              <w:rPr>
                <w:rFonts w:ascii="Arial"/>
                <w:spacing w:val="-1"/>
                <w:w w:val="95"/>
                <w:sz w:val="15"/>
              </w:rPr>
              <w:t>(11,564,340)</w:t>
            </w:r>
            <w:r>
              <w:rPr>
                <w:rFonts w:ascii="Arial"/>
                <w:sz w:val="15"/>
              </w:rPr>
            </w:r>
          </w:p>
        </w:tc>
        <w:tc>
          <w:tcPr>
            <w:tcW w:w="1477" w:type="dxa"/>
            <w:tcBorders>
              <w:top w:val="nil" w:sz="6" w:space="0" w:color="auto"/>
              <w:left w:val="nil" w:sz="6" w:space="0" w:color="auto"/>
              <w:bottom w:val="nil" w:sz="6" w:space="0" w:color="auto"/>
              <w:right w:val="nil" w:sz="6" w:space="0" w:color="auto"/>
            </w:tcBorders>
          </w:tcPr>
          <w:p>
            <w:pPr>
              <w:pStyle w:val="TableParagraph"/>
              <w:tabs>
                <w:tab w:pos="335" w:val="left" w:leader="none"/>
              </w:tabs>
              <w:spacing w:line="240" w:lineRule="auto" w:before="31"/>
              <w:ind w:right="126"/>
              <w:jc w:val="right"/>
              <w:rPr>
                <w:rFonts w:ascii="Arial" w:hAnsi="Arial" w:cs="Arial" w:eastAsia="Arial" w:hint="default"/>
                <w:sz w:val="15"/>
                <w:szCs w:val="15"/>
              </w:rPr>
            </w:pPr>
            <w:r>
              <w:rPr>
                <w:rFonts w:ascii="Arial"/>
                <w:w w:val="95"/>
                <w:sz w:val="15"/>
              </w:rPr>
              <w:t>-</w:t>
              <w:tab/>
            </w:r>
            <w:r>
              <w:rPr>
                <w:rFonts w:ascii="Arial"/>
                <w:spacing w:val="-1"/>
                <w:w w:val="95"/>
                <w:sz w:val="15"/>
              </w:rPr>
              <w:t>44,592,478</w:t>
            </w:r>
            <w:r>
              <w:rPr>
                <w:rFonts w:ascii="Arial"/>
                <w:sz w:val="15"/>
              </w:rPr>
            </w:r>
          </w:p>
        </w:tc>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06"/>
              <w:jc w:val="right"/>
              <w:rPr>
                <w:rFonts w:ascii="Arial" w:hAnsi="Arial" w:cs="Arial" w:eastAsia="Arial" w:hint="default"/>
                <w:sz w:val="15"/>
                <w:szCs w:val="15"/>
              </w:rPr>
            </w:pPr>
            <w:r>
              <w:rPr>
                <w:rFonts w:ascii="Arial"/>
                <w:w w:val="99"/>
                <w:sz w:val="15"/>
              </w:rPr>
              <w:t>-</w:t>
            </w:r>
            <w:r>
              <w:rPr>
                <w:rFonts w:ascii="Arial"/>
                <w:sz w:val="15"/>
              </w:rPr>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38"/>
              <w:jc w:val="right"/>
              <w:rPr>
                <w:rFonts w:ascii="Arial" w:hAnsi="Arial" w:cs="Arial" w:eastAsia="Arial" w:hint="default"/>
                <w:sz w:val="15"/>
                <w:szCs w:val="15"/>
              </w:rPr>
            </w:pPr>
            <w:r>
              <w:rPr>
                <w:rFonts w:ascii="Arial"/>
                <w:w w:val="99"/>
                <w:sz w:val="15"/>
              </w:rPr>
              <w:t>-</w:t>
            </w:r>
            <w:r>
              <w:rPr>
                <w:rFonts w:ascii="Arial"/>
                <w:sz w:val="15"/>
              </w:rPr>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40"/>
              <w:jc w:val="right"/>
              <w:rPr>
                <w:rFonts w:ascii="Arial" w:hAnsi="Arial" w:cs="Arial" w:eastAsia="Arial" w:hint="default"/>
                <w:sz w:val="15"/>
                <w:szCs w:val="15"/>
              </w:rPr>
            </w:pPr>
            <w:r>
              <w:rPr>
                <w:rFonts w:ascii="Arial"/>
                <w:spacing w:val="-1"/>
                <w:w w:val="95"/>
                <w:sz w:val="15"/>
              </w:rPr>
              <w:t>45,572,195</w:t>
            </w:r>
            <w:r>
              <w:rPr>
                <w:rFonts w:ascii="Arial"/>
                <w:sz w:val="15"/>
              </w:rPr>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06"/>
              <w:jc w:val="right"/>
              <w:rPr>
                <w:rFonts w:ascii="Arial" w:hAnsi="Arial" w:cs="Arial" w:eastAsia="Arial" w:hint="default"/>
                <w:sz w:val="15"/>
                <w:szCs w:val="15"/>
              </w:rPr>
            </w:pPr>
            <w:r>
              <w:rPr>
                <w:rFonts w:ascii="Arial"/>
                <w:w w:val="99"/>
                <w:sz w:val="15"/>
              </w:rPr>
              <w:t>-</w:t>
            </w:r>
            <w:r>
              <w:rPr>
                <w:rFonts w:ascii="Arial"/>
                <w:sz w:val="15"/>
              </w:rPr>
            </w:r>
          </w:p>
        </w:tc>
      </w:tr>
      <w:tr>
        <w:trPr>
          <w:trHeight w:val="203" w:hRule="exact"/>
        </w:trPr>
        <w:tc>
          <w:tcPr>
            <w:tcW w:w="2305" w:type="dxa"/>
            <w:tcBorders>
              <w:top w:val="nil" w:sz="6" w:space="0" w:color="auto"/>
              <w:left w:val="nil" w:sz="6" w:space="0" w:color="auto"/>
              <w:bottom w:val="nil" w:sz="6" w:space="0" w:color="auto"/>
              <w:right w:val="nil" w:sz="6" w:space="0" w:color="auto"/>
            </w:tcBorders>
          </w:tcPr>
          <w:p>
            <w:pPr>
              <w:pStyle w:val="TableParagraph"/>
              <w:spacing w:line="170" w:lineRule="exact"/>
              <w:ind w:left="35"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107" w:type="dxa"/>
            <w:tcBorders>
              <w:top w:val="nil" w:sz="6" w:space="0" w:color="auto"/>
              <w:left w:val="nil" w:sz="6" w:space="0" w:color="auto"/>
              <w:bottom w:val="single" w:sz="6" w:space="0" w:color="000000"/>
              <w:right w:val="nil" w:sz="6" w:space="0" w:color="auto"/>
            </w:tcBorders>
          </w:tcPr>
          <w:p>
            <w:pPr>
              <w:pStyle w:val="TableParagraph"/>
              <w:spacing w:line="240" w:lineRule="auto" w:before="26"/>
              <w:ind w:right="41"/>
              <w:jc w:val="right"/>
              <w:rPr>
                <w:rFonts w:ascii="Arial" w:hAnsi="Arial" w:cs="Arial" w:eastAsia="Arial" w:hint="default"/>
                <w:sz w:val="15"/>
                <w:szCs w:val="15"/>
              </w:rPr>
            </w:pPr>
            <w:r>
              <w:rPr>
                <w:rFonts w:ascii="Arial"/>
                <w:spacing w:val="-1"/>
                <w:w w:val="95"/>
                <w:sz w:val="15"/>
              </w:rPr>
              <w:t>54,402,045</w:t>
            </w:r>
            <w:r>
              <w:rPr>
                <w:rFonts w:ascii="Arial"/>
                <w:sz w:val="15"/>
              </w:rPr>
            </w:r>
          </w:p>
        </w:tc>
        <w:tc>
          <w:tcPr>
            <w:tcW w:w="1082" w:type="dxa"/>
            <w:tcBorders>
              <w:top w:val="nil" w:sz="6" w:space="0" w:color="auto"/>
              <w:left w:val="nil" w:sz="6" w:space="0" w:color="auto"/>
              <w:bottom w:val="single" w:sz="4" w:space="0" w:color="000000"/>
              <w:right w:val="nil" w:sz="6" w:space="0" w:color="auto"/>
            </w:tcBorders>
          </w:tcPr>
          <w:p>
            <w:pPr>
              <w:pStyle w:val="TableParagraph"/>
              <w:spacing w:line="240" w:lineRule="auto" w:before="26"/>
              <w:ind w:right="150"/>
              <w:jc w:val="right"/>
              <w:rPr>
                <w:rFonts w:ascii="Arial" w:hAnsi="Arial" w:cs="Arial" w:eastAsia="Arial" w:hint="default"/>
                <w:sz w:val="15"/>
                <w:szCs w:val="15"/>
              </w:rPr>
            </w:pPr>
            <w:r>
              <w:rPr>
                <w:rFonts w:ascii="Arial"/>
                <w:w w:val="99"/>
                <w:sz w:val="15"/>
              </w:rPr>
              <w:t>-</w:t>
            </w:r>
            <w:r>
              <w:rPr>
                <w:rFonts w:ascii="Arial"/>
                <w:sz w:val="15"/>
              </w:rPr>
            </w:r>
          </w:p>
        </w:tc>
        <w:tc>
          <w:tcPr>
            <w:tcW w:w="1231" w:type="dxa"/>
            <w:tcBorders>
              <w:top w:val="nil" w:sz="6" w:space="0" w:color="auto"/>
              <w:left w:val="nil" w:sz="6" w:space="0" w:color="auto"/>
              <w:bottom w:val="single" w:sz="4" w:space="0" w:color="000000"/>
              <w:right w:val="nil" w:sz="6" w:space="0" w:color="auto"/>
            </w:tcBorders>
          </w:tcPr>
          <w:p>
            <w:pPr>
              <w:pStyle w:val="TableParagraph"/>
              <w:spacing w:line="240" w:lineRule="auto" w:before="26"/>
              <w:ind w:right="83"/>
              <w:jc w:val="right"/>
              <w:rPr>
                <w:rFonts w:ascii="Arial" w:hAnsi="Arial" w:cs="Arial" w:eastAsia="Arial" w:hint="default"/>
                <w:sz w:val="15"/>
                <w:szCs w:val="15"/>
              </w:rPr>
            </w:pPr>
            <w:r>
              <w:rPr>
                <w:rFonts w:ascii="Arial"/>
                <w:spacing w:val="-1"/>
                <w:w w:val="95"/>
                <w:sz w:val="15"/>
              </w:rPr>
              <w:t>54,402,045</w:t>
            </w:r>
            <w:r>
              <w:rPr>
                <w:rFonts w:ascii="Arial"/>
                <w:sz w:val="15"/>
              </w:rPr>
            </w:r>
          </w:p>
        </w:tc>
        <w:tc>
          <w:tcPr>
            <w:tcW w:w="1142" w:type="dxa"/>
            <w:tcBorders>
              <w:top w:val="nil" w:sz="6" w:space="0" w:color="auto"/>
              <w:left w:val="nil" w:sz="6" w:space="0" w:color="auto"/>
              <w:bottom w:val="single" w:sz="6" w:space="0" w:color="000000"/>
              <w:right w:val="nil" w:sz="6" w:space="0" w:color="auto"/>
            </w:tcBorders>
          </w:tcPr>
          <w:p>
            <w:pPr>
              <w:pStyle w:val="TableParagraph"/>
              <w:spacing w:line="240" w:lineRule="auto" w:before="26"/>
              <w:ind w:right="233"/>
              <w:jc w:val="right"/>
              <w:rPr>
                <w:rFonts w:ascii="Arial" w:hAnsi="Arial" w:cs="Arial" w:eastAsia="Arial" w:hint="default"/>
                <w:sz w:val="15"/>
                <w:szCs w:val="15"/>
              </w:rPr>
            </w:pPr>
            <w:r>
              <w:rPr>
                <w:rFonts w:ascii="Arial"/>
                <w:spacing w:val="-1"/>
                <w:w w:val="95"/>
                <w:sz w:val="15"/>
              </w:rPr>
              <w:t>11,639,568</w:t>
            </w:r>
            <w:r>
              <w:rPr>
                <w:rFonts w:ascii="Arial"/>
                <w:sz w:val="15"/>
              </w:rPr>
            </w:r>
          </w:p>
        </w:tc>
        <w:tc>
          <w:tcPr>
            <w:tcW w:w="1331" w:type="dxa"/>
            <w:tcBorders>
              <w:top w:val="nil" w:sz="6" w:space="0" w:color="auto"/>
              <w:left w:val="nil" w:sz="6" w:space="0" w:color="auto"/>
              <w:bottom w:val="single" w:sz="6" w:space="0" w:color="000000"/>
              <w:right w:val="nil" w:sz="6" w:space="0" w:color="auto"/>
            </w:tcBorders>
          </w:tcPr>
          <w:p>
            <w:pPr>
              <w:pStyle w:val="TableParagraph"/>
              <w:tabs>
                <w:tab w:pos="892" w:val="left" w:leader="none"/>
              </w:tabs>
              <w:spacing w:line="240" w:lineRule="auto" w:before="26"/>
              <w:ind w:right="154"/>
              <w:jc w:val="right"/>
              <w:rPr>
                <w:rFonts w:ascii="Arial" w:hAnsi="Arial" w:cs="Arial" w:eastAsia="Arial" w:hint="default"/>
                <w:sz w:val="15"/>
                <w:szCs w:val="15"/>
              </w:rPr>
            </w:pPr>
            <w:r>
              <w:rPr>
                <w:rFonts w:ascii="Arial"/>
                <w:w w:val="95"/>
                <w:sz w:val="15"/>
              </w:rPr>
              <w:t>-</w:t>
              <w:tab/>
              <w:t>-</w:t>
            </w:r>
            <w:r>
              <w:rPr>
                <w:rFonts w:ascii="Arial"/>
                <w:sz w:val="15"/>
              </w:rPr>
            </w:r>
          </w:p>
        </w:tc>
        <w:tc>
          <w:tcPr>
            <w:tcW w:w="1387" w:type="dxa"/>
            <w:tcBorders>
              <w:top w:val="nil" w:sz="6" w:space="0" w:color="auto"/>
              <w:left w:val="nil" w:sz="6" w:space="0" w:color="auto"/>
              <w:bottom w:val="single" w:sz="6" w:space="0" w:color="000000"/>
              <w:right w:val="nil" w:sz="6" w:space="0" w:color="auto"/>
            </w:tcBorders>
          </w:tcPr>
          <w:p>
            <w:pPr>
              <w:pStyle w:val="TableParagraph"/>
              <w:spacing w:line="240" w:lineRule="auto" w:before="26"/>
              <w:ind w:right="305"/>
              <w:jc w:val="right"/>
              <w:rPr>
                <w:rFonts w:ascii="Arial" w:hAnsi="Arial" w:cs="Arial" w:eastAsia="Arial" w:hint="default"/>
                <w:sz w:val="15"/>
                <w:szCs w:val="15"/>
              </w:rPr>
            </w:pPr>
            <w:r>
              <w:rPr>
                <w:rFonts w:ascii="Arial"/>
                <w:spacing w:val="-1"/>
                <w:w w:val="95"/>
                <w:sz w:val="15"/>
              </w:rPr>
              <w:t>2,716,332</w:t>
            </w:r>
            <w:r>
              <w:rPr>
                <w:rFonts w:ascii="Arial"/>
                <w:sz w:val="15"/>
              </w:rPr>
            </w:r>
          </w:p>
        </w:tc>
        <w:tc>
          <w:tcPr>
            <w:tcW w:w="1477" w:type="dxa"/>
            <w:tcBorders>
              <w:top w:val="nil" w:sz="6" w:space="0" w:color="auto"/>
              <w:left w:val="nil" w:sz="6" w:space="0" w:color="auto"/>
              <w:bottom w:val="single" w:sz="6" w:space="0" w:color="000000"/>
              <w:right w:val="nil" w:sz="6" w:space="0" w:color="auto"/>
            </w:tcBorders>
          </w:tcPr>
          <w:p>
            <w:pPr>
              <w:pStyle w:val="TableParagraph"/>
              <w:tabs>
                <w:tab w:pos="412" w:val="left" w:leader="none"/>
              </w:tabs>
              <w:spacing w:line="240" w:lineRule="auto" w:before="26"/>
              <w:ind w:right="131"/>
              <w:jc w:val="right"/>
              <w:rPr>
                <w:rFonts w:ascii="Arial" w:hAnsi="Arial" w:cs="Arial" w:eastAsia="Arial" w:hint="default"/>
                <w:sz w:val="15"/>
                <w:szCs w:val="15"/>
              </w:rPr>
            </w:pPr>
            <w:r>
              <w:rPr>
                <w:rFonts w:ascii="Arial"/>
                <w:w w:val="95"/>
                <w:sz w:val="15"/>
              </w:rPr>
              <w:t>-</w:t>
              <w:tab/>
            </w:r>
            <w:r>
              <w:rPr>
                <w:rFonts w:ascii="Arial"/>
                <w:spacing w:val="-1"/>
                <w:w w:val="95"/>
                <w:sz w:val="15"/>
              </w:rPr>
              <w:t>3,949,734</w:t>
            </w:r>
            <w:r>
              <w:rPr>
                <w:rFonts w:ascii="Arial"/>
                <w:sz w:val="15"/>
              </w:rPr>
            </w:r>
          </w:p>
        </w:tc>
        <w:tc>
          <w:tcPr>
            <w:tcW w:w="995" w:type="dxa"/>
            <w:tcBorders>
              <w:top w:val="nil" w:sz="6" w:space="0" w:color="auto"/>
              <w:left w:val="nil" w:sz="6" w:space="0" w:color="auto"/>
              <w:bottom w:val="single" w:sz="4" w:space="0" w:color="000000"/>
              <w:right w:val="nil" w:sz="6" w:space="0" w:color="auto"/>
            </w:tcBorders>
          </w:tcPr>
          <w:p>
            <w:pPr>
              <w:pStyle w:val="TableParagraph"/>
              <w:spacing w:line="240" w:lineRule="auto" w:before="26"/>
              <w:ind w:right="106"/>
              <w:jc w:val="right"/>
              <w:rPr>
                <w:rFonts w:ascii="Arial" w:hAnsi="Arial" w:cs="Arial" w:eastAsia="Arial" w:hint="default"/>
                <w:sz w:val="15"/>
                <w:szCs w:val="15"/>
              </w:rPr>
            </w:pPr>
            <w:r>
              <w:rPr>
                <w:rFonts w:ascii="Arial"/>
                <w:w w:val="99"/>
                <w:sz w:val="15"/>
              </w:rPr>
              <w:t>-</w:t>
            </w:r>
            <w:r>
              <w:rPr>
                <w:rFonts w:ascii="Arial"/>
                <w:sz w:val="15"/>
              </w:rPr>
            </w:r>
          </w:p>
        </w:tc>
        <w:tc>
          <w:tcPr>
            <w:tcW w:w="929" w:type="dxa"/>
            <w:tcBorders>
              <w:top w:val="nil" w:sz="6" w:space="0" w:color="auto"/>
              <w:left w:val="nil" w:sz="6" w:space="0" w:color="auto"/>
              <w:bottom w:val="single" w:sz="4" w:space="0" w:color="000000"/>
              <w:right w:val="nil" w:sz="6" w:space="0" w:color="auto"/>
            </w:tcBorders>
          </w:tcPr>
          <w:p>
            <w:pPr>
              <w:pStyle w:val="TableParagraph"/>
              <w:spacing w:line="240" w:lineRule="auto" w:before="26"/>
              <w:ind w:right="138"/>
              <w:jc w:val="right"/>
              <w:rPr>
                <w:rFonts w:ascii="Arial" w:hAnsi="Arial" w:cs="Arial" w:eastAsia="Arial" w:hint="default"/>
                <w:sz w:val="15"/>
                <w:szCs w:val="15"/>
              </w:rPr>
            </w:pPr>
            <w:r>
              <w:rPr>
                <w:rFonts w:ascii="Arial"/>
                <w:w w:val="99"/>
                <w:sz w:val="15"/>
              </w:rPr>
              <w:t>-</w:t>
            </w:r>
            <w:r>
              <w:rPr>
                <w:rFonts w:ascii="Arial"/>
                <w:sz w:val="15"/>
              </w:rPr>
            </w:r>
          </w:p>
        </w:tc>
        <w:tc>
          <w:tcPr>
            <w:tcW w:w="1258" w:type="dxa"/>
            <w:tcBorders>
              <w:top w:val="nil" w:sz="6" w:space="0" w:color="auto"/>
              <w:left w:val="nil" w:sz="6" w:space="0" w:color="auto"/>
              <w:bottom w:val="single" w:sz="6" w:space="0" w:color="000000"/>
              <w:right w:val="nil" w:sz="6" w:space="0" w:color="auto"/>
            </w:tcBorders>
          </w:tcPr>
          <w:p>
            <w:pPr>
              <w:pStyle w:val="TableParagraph"/>
              <w:spacing w:line="240" w:lineRule="auto" w:before="26"/>
              <w:ind w:right="140"/>
              <w:jc w:val="right"/>
              <w:rPr>
                <w:rFonts w:ascii="Arial" w:hAnsi="Arial" w:cs="Arial" w:eastAsia="Arial" w:hint="default"/>
                <w:sz w:val="15"/>
                <w:szCs w:val="15"/>
              </w:rPr>
            </w:pPr>
            <w:r>
              <w:rPr>
                <w:rFonts w:ascii="Arial"/>
                <w:spacing w:val="-1"/>
                <w:w w:val="95"/>
                <w:sz w:val="15"/>
              </w:rPr>
              <w:t>72,707,679</w:t>
            </w:r>
            <w:r>
              <w:rPr>
                <w:rFonts w:ascii="Arial"/>
                <w:sz w:val="15"/>
              </w:rPr>
            </w:r>
          </w:p>
        </w:tc>
        <w:tc>
          <w:tcPr>
            <w:tcW w:w="1038" w:type="dxa"/>
            <w:tcBorders>
              <w:top w:val="nil" w:sz="6" w:space="0" w:color="auto"/>
              <w:left w:val="nil" w:sz="6" w:space="0" w:color="auto"/>
              <w:bottom w:val="single" w:sz="4" w:space="0" w:color="000000"/>
              <w:right w:val="nil" w:sz="6" w:space="0" w:color="auto"/>
            </w:tcBorders>
          </w:tcPr>
          <w:p>
            <w:pPr>
              <w:pStyle w:val="TableParagraph"/>
              <w:spacing w:line="240" w:lineRule="auto" w:before="26"/>
              <w:ind w:right="49"/>
              <w:jc w:val="right"/>
              <w:rPr>
                <w:rFonts w:ascii="Arial" w:hAnsi="Arial" w:cs="Arial" w:eastAsia="Arial" w:hint="default"/>
                <w:sz w:val="15"/>
                <w:szCs w:val="15"/>
              </w:rPr>
            </w:pPr>
            <w:r>
              <w:rPr>
                <w:rFonts w:ascii="Arial"/>
                <w:spacing w:val="-1"/>
                <w:sz w:val="15"/>
              </w:rPr>
              <w:t>(5,958,090)</w:t>
            </w:r>
          </w:p>
        </w:tc>
      </w:tr>
      <w:tr>
        <w:trPr>
          <w:trHeight w:val="318" w:hRule="exact"/>
        </w:trPr>
        <w:tc>
          <w:tcPr>
            <w:tcW w:w="2305" w:type="dxa"/>
            <w:tcBorders>
              <w:top w:val="nil" w:sz="6" w:space="0" w:color="auto"/>
              <w:left w:val="nil" w:sz="6" w:space="0" w:color="auto"/>
              <w:bottom w:val="nil" w:sz="6" w:space="0" w:color="auto"/>
              <w:right w:val="nil" w:sz="6" w:space="0" w:color="auto"/>
            </w:tcBorders>
          </w:tcPr>
          <w:p>
            <w:pPr>
              <w:pStyle w:val="TableParagraph"/>
              <w:spacing w:line="188" w:lineRule="exact"/>
              <w:ind w:left="35"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1107" w:type="dxa"/>
            <w:tcBorders>
              <w:top w:val="single" w:sz="6" w:space="0" w:color="000000"/>
              <w:left w:val="nil" w:sz="6" w:space="0" w:color="auto"/>
              <w:bottom w:val="nil" w:sz="6" w:space="0" w:color="auto"/>
              <w:right w:val="nil" w:sz="6" w:space="0" w:color="auto"/>
            </w:tcBorders>
          </w:tcPr>
          <w:p>
            <w:pPr>
              <w:pStyle w:val="TableParagraph"/>
              <w:spacing w:line="240" w:lineRule="auto" w:before="37"/>
              <w:ind w:right="40"/>
              <w:jc w:val="right"/>
              <w:rPr>
                <w:rFonts w:ascii="Arial" w:hAnsi="Arial" w:cs="Arial" w:eastAsia="Arial" w:hint="default"/>
                <w:sz w:val="15"/>
                <w:szCs w:val="15"/>
              </w:rPr>
            </w:pPr>
            <w:r>
              <w:rPr>
                <w:rFonts w:ascii="Arial"/>
                <w:spacing w:val="-1"/>
                <w:w w:val="95"/>
                <w:sz w:val="15"/>
              </w:rPr>
              <w:t>35,715,825,285</w:t>
            </w:r>
            <w:r>
              <w:rPr>
                <w:rFonts w:ascii="Arial"/>
                <w:sz w:val="15"/>
              </w:rPr>
            </w:r>
          </w:p>
        </w:tc>
        <w:tc>
          <w:tcPr>
            <w:tcW w:w="1082" w:type="dxa"/>
            <w:tcBorders>
              <w:top w:val="single" w:sz="4" w:space="0" w:color="000000"/>
              <w:left w:val="nil" w:sz="6" w:space="0" w:color="auto"/>
              <w:bottom w:val="nil" w:sz="6" w:space="0" w:color="auto"/>
              <w:right w:val="nil" w:sz="6" w:space="0" w:color="auto"/>
            </w:tcBorders>
          </w:tcPr>
          <w:p>
            <w:pPr>
              <w:pStyle w:val="TableParagraph"/>
              <w:spacing w:line="240" w:lineRule="auto" w:before="39"/>
              <w:ind w:right="107"/>
              <w:jc w:val="right"/>
              <w:rPr>
                <w:rFonts w:ascii="Arial" w:hAnsi="Arial" w:cs="Arial" w:eastAsia="Arial" w:hint="default"/>
                <w:sz w:val="15"/>
                <w:szCs w:val="15"/>
              </w:rPr>
            </w:pPr>
            <w:r>
              <w:rPr>
                <w:rFonts w:ascii="Arial"/>
                <w:spacing w:val="-1"/>
                <w:sz w:val="15"/>
              </w:rPr>
              <w:t>(264,471,423)</w:t>
            </w:r>
          </w:p>
        </w:tc>
        <w:tc>
          <w:tcPr>
            <w:tcW w:w="1231" w:type="dxa"/>
            <w:tcBorders>
              <w:top w:val="single" w:sz="4" w:space="0" w:color="000000"/>
              <w:left w:val="nil" w:sz="6" w:space="0" w:color="auto"/>
              <w:bottom w:val="nil" w:sz="6" w:space="0" w:color="auto"/>
              <w:right w:val="nil" w:sz="6" w:space="0" w:color="auto"/>
            </w:tcBorders>
          </w:tcPr>
          <w:p>
            <w:pPr>
              <w:pStyle w:val="TableParagraph"/>
              <w:spacing w:line="240" w:lineRule="auto" w:before="39"/>
              <w:ind w:right="83"/>
              <w:jc w:val="right"/>
              <w:rPr>
                <w:rFonts w:ascii="Arial" w:hAnsi="Arial" w:cs="Arial" w:eastAsia="Arial" w:hint="default"/>
                <w:sz w:val="15"/>
                <w:szCs w:val="15"/>
              </w:rPr>
            </w:pPr>
            <w:r>
              <w:rPr>
                <w:rFonts w:ascii="Arial"/>
                <w:spacing w:val="-1"/>
                <w:w w:val="95"/>
                <w:sz w:val="15"/>
              </w:rPr>
              <w:t>35,451,353,862</w:t>
            </w:r>
            <w:r>
              <w:rPr>
                <w:rFonts w:ascii="Arial"/>
                <w:sz w:val="15"/>
              </w:rPr>
            </w:r>
          </w:p>
        </w:tc>
        <w:tc>
          <w:tcPr>
            <w:tcW w:w="1142" w:type="dxa"/>
            <w:tcBorders>
              <w:top w:val="single" w:sz="6" w:space="0" w:color="000000"/>
              <w:left w:val="nil" w:sz="6" w:space="0" w:color="auto"/>
              <w:bottom w:val="nil" w:sz="6" w:space="0" w:color="auto"/>
              <w:right w:val="nil" w:sz="6" w:space="0" w:color="auto"/>
            </w:tcBorders>
          </w:tcPr>
          <w:p>
            <w:pPr>
              <w:pStyle w:val="TableParagraph"/>
              <w:spacing w:line="240" w:lineRule="auto" w:before="37"/>
              <w:ind w:right="233"/>
              <w:jc w:val="right"/>
              <w:rPr>
                <w:rFonts w:ascii="Arial" w:hAnsi="Arial" w:cs="Arial" w:eastAsia="Arial" w:hint="default"/>
                <w:sz w:val="15"/>
                <w:szCs w:val="15"/>
              </w:rPr>
            </w:pPr>
            <w:r>
              <w:rPr>
                <w:rFonts w:ascii="Arial"/>
                <w:spacing w:val="-1"/>
                <w:w w:val="95"/>
                <w:sz w:val="15"/>
              </w:rPr>
              <w:t>11,639,568</w:t>
            </w:r>
            <w:r>
              <w:rPr>
                <w:rFonts w:ascii="Arial"/>
                <w:sz w:val="15"/>
              </w:rPr>
            </w:r>
          </w:p>
        </w:tc>
        <w:tc>
          <w:tcPr>
            <w:tcW w:w="1331" w:type="dxa"/>
            <w:tcBorders>
              <w:top w:val="single" w:sz="6" w:space="0" w:color="000000"/>
              <w:left w:val="nil" w:sz="6" w:space="0" w:color="auto"/>
              <w:bottom w:val="nil" w:sz="6" w:space="0" w:color="auto"/>
              <w:right w:val="nil" w:sz="6" w:space="0" w:color="auto"/>
            </w:tcBorders>
          </w:tcPr>
          <w:p>
            <w:pPr>
              <w:pStyle w:val="TableParagraph"/>
              <w:spacing w:line="240" w:lineRule="auto" w:before="37"/>
              <w:ind w:right="161"/>
              <w:jc w:val="right"/>
              <w:rPr>
                <w:rFonts w:ascii="Arial" w:hAnsi="Arial" w:cs="Arial" w:eastAsia="Arial" w:hint="default"/>
                <w:sz w:val="15"/>
                <w:szCs w:val="15"/>
              </w:rPr>
            </w:pPr>
            <w:r>
              <w:rPr>
                <w:rFonts w:ascii="Arial"/>
                <w:sz w:val="15"/>
              </w:rPr>
              <w:t>-  </w:t>
            </w:r>
            <w:r>
              <w:rPr>
                <w:rFonts w:ascii="Arial"/>
                <w:spacing w:val="1"/>
                <w:sz w:val="15"/>
              </w:rPr>
              <w:t> </w:t>
            </w:r>
            <w:r>
              <w:rPr>
                <w:rFonts w:ascii="Arial"/>
                <w:sz w:val="15"/>
              </w:rPr>
              <w:t>12,544,057</w:t>
            </w:r>
          </w:p>
        </w:tc>
        <w:tc>
          <w:tcPr>
            <w:tcW w:w="1387" w:type="dxa"/>
            <w:tcBorders>
              <w:top w:val="single" w:sz="6" w:space="0" w:color="000000"/>
              <w:left w:val="nil" w:sz="6" w:space="0" w:color="auto"/>
              <w:bottom w:val="nil" w:sz="6" w:space="0" w:color="auto"/>
              <w:right w:val="nil" w:sz="6" w:space="0" w:color="auto"/>
            </w:tcBorders>
          </w:tcPr>
          <w:p>
            <w:pPr>
              <w:pStyle w:val="TableParagraph"/>
              <w:spacing w:line="240" w:lineRule="auto" w:before="37"/>
              <w:ind w:right="304"/>
              <w:jc w:val="right"/>
              <w:rPr>
                <w:rFonts w:ascii="Arial" w:hAnsi="Arial" w:cs="Arial" w:eastAsia="Arial" w:hint="default"/>
                <w:sz w:val="15"/>
                <w:szCs w:val="15"/>
              </w:rPr>
            </w:pPr>
            <w:r>
              <w:rPr>
                <w:rFonts w:ascii="Arial"/>
                <w:spacing w:val="-1"/>
                <w:sz w:val="15"/>
              </w:rPr>
              <w:t>1,310,638,838</w:t>
            </w:r>
          </w:p>
        </w:tc>
        <w:tc>
          <w:tcPr>
            <w:tcW w:w="1477" w:type="dxa"/>
            <w:tcBorders>
              <w:top w:val="single" w:sz="6" w:space="0" w:color="000000"/>
              <w:left w:val="nil" w:sz="6" w:space="0" w:color="auto"/>
              <w:bottom w:val="nil" w:sz="6" w:space="0" w:color="auto"/>
              <w:right w:val="nil" w:sz="6" w:space="0" w:color="auto"/>
            </w:tcBorders>
          </w:tcPr>
          <w:p>
            <w:pPr>
              <w:pStyle w:val="TableParagraph"/>
              <w:spacing w:line="240" w:lineRule="auto" w:before="37"/>
              <w:ind w:right="100"/>
              <w:jc w:val="right"/>
              <w:rPr>
                <w:rFonts w:ascii="Arial" w:hAnsi="Arial" w:cs="Arial" w:eastAsia="Arial" w:hint="default"/>
                <w:sz w:val="15"/>
                <w:szCs w:val="15"/>
              </w:rPr>
            </w:pPr>
            <w:r>
              <w:rPr>
                <w:rFonts w:ascii="Arial"/>
                <w:sz w:val="15"/>
              </w:rPr>
              <w:t>- </w:t>
            </w:r>
            <w:r>
              <w:rPr>
                <w:rFonts w:ascii="Arial"/>
                <w:spacing w:val="28"/>
                <w:sz w:val="15"/>
              </w:rPr>
              <w:t> </w:t>
            </w:r>
            <w:r>
              <w:rPr>
                <w:rFonts w:ascii="Arial"/>
                <w:sz w:val="15"/>
              </w:rPr>
              <w:t>(258,909,340)</w:t>
            </w:r>
          </w:p>
        </w:tc>
        <w:tc>
          <w:tcPr>
            <w:tcW w:w="995" w:type="dxa"/>
            <w:tcBorders>
              <w:top w:val="single" w:sz="4" w:space="0" w:color="000000"/>
              <w:left w:val="nil" w:sz="6" w:space="0" w:color="auto"/>
              <w:bottom w:val="nil" w:sz="6" w:space="0" w:color="auto"/>
              <w:right w:val="nil" w:sz="6" w:space="0" w:color="auto"/>
            </w:tcBorders>
          </w:tcPr>
          <w:p>
            <w:pPr>
              <w:pStyle w:val="TableParagraph"/>
              <w:spacing w:line="240" w:lineRule="auto" w:before="39"/>
              <w:ind w:right="84"/>
              <w:jc w:val="right"/>
              <w:rPr>
                <w:rFonts w:ascii="Arial" w:hAnsi="Arial" w:cs="Arial" w:eastAsia="Arial" w:hint="default"/>
                <w:sz w:val="15"/>
                <w:szCs w:val="15"/>
              </w:rPr>
            </w:pPr>
            <w:r>
              <w:rPr>
                <w:rFonts w:ascii="Arial"/>
                <w:spacing w:val="-1"/>
                <w:w w:val="95"/>
                <w:sz w:val="15"/>
              </w:rPr>
              <w:t>(81,778,133)</w:t>
            </w:r>
            <w:r>
              <w:rPr>
                <w:rFonts w:ascii="Arial"/>
                <w:sz w:val="15"/>
              </w:rPr>
            </w:r>
          </w:p>
        </w:tc>
        <w:tc>
          <w:tcPr>
            <w:tcW w:w="929" w:type="dxa"/>
            <w:tcBorders>
              <w:top w:val="single" w:sz="4" w:space="0" w:color="000000"/>
              <w:left w:val="nil" w:sz="6" w:space="0" w:color="auto"/>
              <w:bottom w:val="nil" w:sz="6" w:space="0" w:color="auto"/>
              <w:right w:val="nil" w:sz="6" w:space="0" w:color="auto"/>
            </w:tcBorders>
          </w:tcPr>
          <w:p>
            <w:pPr>
              <w:pStyle w:val="TableParagraph"/>
              <w:spacing w:line="240" w:lineRule="auto" w:before="39"/>
              <w:ind w:right="138"/>
              <w:jc w:val="right"/>
              <w:rPr>
                <w:rFonts w:ascii="Arial" w:hAnsi="Arial" w:cs="Arial" w:eastAsia="Arial" w:hint="default"/>
                <w:sz w:val="15"/>
                <w:szCs w:val="15"/>
              </w:rPr>
            </w:pPr>
            <w:r>
              <w:rPr>
                <w:rFonts w:ascii="Arial"/>
                <w:w w:val="99"/>
                <w:sz w:val="15"/>
              </w:rPr>
              <w:t>-</w:t>
            </w:r>
            <w:r>
              <w:rPr>
                <w:rFonts w:ascii="Arial"/>
                <w:sz w:val="15"/>
              </w:rPr>
            </w:r>
          </w:p>
        </w:tc>
        <w:tc>
          <w:tcPr>
            <w:tcW w:w="1258" w:type="dxa"/>
            <w:tcBorders>
              <w:top w:val="single" w:sz="6" w:space="0" w:color="000000"/>
              <w:left w:val="nil" w:sz="6" w:space="0" w:color="auto"/>
              <w:bottom w:val="nil" w:sz="6" w:space="0" w:color="auto"/>
              <w:right w:val="nil" w:sz="6" w:space="0" w:color="auto"/>
            </w:tcBorders>
          </w:tcPr>
          <w:p>
            <w:pPr>
              <w:pStyle w:val="TableParagraph"/>
              <w:spacing w:line="240" w:lineRule="auto" w:before="37"/>
              <w:ind w:right="140"/>
              <w:jc w:val="right"/>
              <w:rPr>
                <w:rFonts w:ascii="Arial" w:hAnsi="Arial" w:cs="Arial" w:eastAsia="Arial" w:hint="default"/>
                <w:sz w:val="15"/>
                <w:szCs w:val="15"/>
              </w:rPr>
            </w:pPr>
            <w:r>
              <w:rPr>
                <w:rFonts w:ascii="Arial"/>
                <w:spacing w:val="-1"/>
                <w:w w:val="95"/>
                <w:sz w:val="15"/>
              </w:rPr>
              <w:t>36,445,488,852</w:t>
            </w:r>
            <w:r>
              <w:rPr>
                <w:rFonts w:ascii="Arial"/>
                <w:sz w:val="15"/>
              </w:rPr>
            </w:r>
          </w:p>
        </w:tc>
        <w:tc>
          <w:tcPr>
            <w:tcW w:w="1038" w:type="dxa"/>
            <w:tcBorders>
              <w:top w:val="single" w:sz="4" w:space="0" w:color="000000"/>
              <w:left w:val="nil" w:sz="6" w:space="0" w:color="auto"/>
              <w:bottom w:val="nil" w:sz="6" w:space="0" w:color="auto"/>
              <w:right w:val="nil" w:sz="6" w:space="0" w:color="auto"/>
            </w:tcBorders>
          </w:tcPr>
          <w:p>
            <w:pPr>
              <w:pStyle w:val="TableParagraph"/>
              <w:spacing w:line="240" w:lineRule="auto" w:before="39"/>
              <w:ind w:right="49"/>
              <w:jc w:val="right"/>
              <w:rPr>
                <w:rFonts w:ascii="Arial" w:hAnsi="Arial" w:cs="Arial" w:eastAsia="Arial" w:hint="default"/>
                <w:sz w:val="15"/>
                <w:szCs w:val="15"/>
              </w:rPr>
            </w:pPr>
            <w:r>
              <w:rPr>
                <w:rFonts w:ascii="Arial"/>
                <w:spacing w:val="-1"/>
                <w:sz w:val="15"/>
              </w:rPr>
              <w:t>(5,958,090)</w:t>
            </w:r>
          </w:p>
        </w:tc>
      </w:tr>
      <w:tr>
        <w:trPr>
          <w:trHeight w:val="304" w:hRule="exact"/>
        </w:trPr>
        <w:tc>
          <w:tcPr>
            <w:tcW w:w="230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5"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107"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40"/>
              <w:jc w:val="right"/>
              <w:rPr>
                <w:rFonts w:ascii="Arial" w:hAnsi="Arial" w:cs="Arial" w:eastAsia="Arial" w:hint="default"/>
                <w:sz w:val="15"/>
                <w:szCs w:val="15"/>
              </w:rPr>
            </w:pPr>
            <w:r>
              <w:rPr>
                <w:rFonts w:ascii="Arial"/>
                <w:spacing w:val="-1"/>
                <w:w w:val="95"/>
                <w:sz w:val="15"/>
              </w:rPr>
              <w:t>39,723,875,225</w:t>
            </w:r>
            <w:r>
              <w:rPr>
                <w:rFonts w:ascii="Arial"/>
                <w:sz w:val="15"/>
              </w:rPr>
            </w:r>
          </w:p>
        </w:tc>
        <w:tc>
          <w:tcPr>
            <w:tcW w:w="1082"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107"/>
              <w:jc w:val="right"/>
              <w:rPr>
                <w:rFonts w:ascii="Arial" w:hAnsi="Arial" w:cs="Arial" w:eastAsia="Arial" w:hint="default"/>
                <w:sz w:val="15"/>
                <w:szCs w:val="15"/>
              </w:rPr>
            </w:pPr>
            <w:r>
              <w:rPr>
                <w:rFonts w:ascii="Arial"/>
                <w:spacing w:val="-1"/>
                <w:sz w:val="15"/>
              </w:rPr>
              <w:t>(264,471,423)</w:t>
            </w:r>
          </w:p>
        </w:tc>
        <w:tc>
          <w:tcPr>
            <w:tcW w:w="1231"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83"/>
              <w:jc w:val="right"/>
              <w:rPr>
                <w:rFonts w:ascii="Arial" w:hAnsi="Arial" w:cs="Arial" w:eastAsia="Arial" w:hint="default"/>
                <w:sz w:val="15"/>
                <w:szCs w:val="15"/>
              </w:rPr>
            </w:pPr>
            <w:r>
              <w:rPr>
                <w:rFonts w:ascii="Arial"/>
                <w:spacing w:val="-1"/>
                <w:w w:val="95"/>
                <w:sz w:val="15"/>
              </w:rPr>
              <w:t>39,459,403,802</w:t>
            </w:r>
            <w:r>
              <w:rPr>
                <w:rFonts w:ascii="Arial"/>
                <w:sz w:val="15"/>
              </w:rPr>
            </w:r>
          </w:p>
        </w:tc>
        <w:tc>
          <w:tcPr>
            <w:tcW w:w="1142"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230"/>
              <w:jc w:val="right"/>
              <w:rPr>
                <w:rFonts w:ascii="Arial" w:hAnsi="Arial" w:cs="Arial" w:eastAsia="Arial" w:hint="default"/>
                <w:sz w:val="15"/>
                <w:szCs w:val="15"/>
              </w:rPr>
            </w:pPr>
            <w:r>
              <w:rPr>
                <w:rFonts w:ascii="Arial"/>
                <w:spacing w:val="-1"/>
                <w:sz w:val="15"/>
              </w:rPr>
              <w:t>148,639,568</w:t>
            </w:r>
          </w:p>
        </w:tc>
        <w:tc>
          <w:tcPr>
            <w:tcW w:w="1331" w:type="dxa"/>
            <w:tcBorders>
              <w:top w:val="nil" w:sz="6" w:space="0" w:color="auto"/>
              <w:left w:val="nil" w:sz="6" w:space="0" w:color="auto"/>
              <w:bottom w:val="single" w:sz="12" w:space="0" w:color="000000"/>
              <w:right w:val="nil" w:sz="6" w:space="0" w:color="auto"/>
            </w:tcBorders>
          </w:tcPr>
          <w:p>
            <w:pPr>
              <w:pStyle w:val="TableParagraph"/>
              <w:tabs>
                <w:tab w:pos="892" w:val="left" w:leader="none"/>
              </w:tabs>
              <w:spacing w:line="240" w:lineRule="auto" w:before="119"/>
              <w:ind w:right="154"/>
              <w:jc w:val="right"/>
              <w:rPr>
                <w:rFonts w:ascii="Arial" w:hAnsi="Arial" w:cs="Arial" w:eastAsia="Arial" w:hint="default"/>
                <w:sz w:val="15"/>
                <w:szCs w:val="15"/>
              </w:rPr>
            </w:pPr>
            <w:r>
              <w:rPr>
                <w:rFonts w:ascii="Arial"/>
                <w:w w:val="95"/>
                <w:sz w:val="15"/>
              </w:rPr>
              <w:t>-</w:t>
              <w:tab/>
              <w:t>-</w:t>
            </w:r>
            <w:r>
              <w:rPr>
                <w:rFonts w:ascii="Arial"/>
                <w:sz w:val="15"/>
              </w:rPr>
            </w:r>
          </w:p>
        </w:tc>
        <w:tc>
          <w:tcPr>
            <w:tcW w:w="1387"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285"/>
              <w:jc w:val="right"/>
              <w:rPr>
                <w:rFonts w:ascii="Arial" w:hAnsi="Arial" w:cs="Arial" w:eastAsia="Arial" w:hint="default"/>
                <w:sz w:val="15"/>
                <w:szCs w:val="15"/>
              </w:rPr>
            </w:pPr>
            <w:r>
              <w:rPr>
                <w:rFonts w:ascii="Arial"/>
                <w:spacing w:val="-1"/>
                <w:sz w:val="15"/>
              </w:rPr>
              <w:t>1,957,008,332</w:t>
            </w:r>
          </w:p>
        </w:tc>
        <w:tc>
          <w:tcPr>
            <w:tcW w:w="1477"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100"/>
              <w:jc w:val="right"/>
              <w:rPr>
                <w:rFonts w:ascii="Arial" w:hAnsi="Arial" w:cs="Arial" w:eastAsia="Arial" w:hint="default"/>
                <w:sz w:val="15"/>
                <w:szCs w:val="15"/>
              </w:rPr>
            </w:pPr>
            <w:r>
              <w:rPr>
                <w:rFonts w:ascii="Arial"/>
                <w:sz w:val="15"/>
              </w:rPr>
              <w:t>- </w:t>
            </w:r>
            <w:r>
              <w:rPr>
                <w:rFonts w:ascii="Arial"/>
                <w:spacing w:val="28"/>
                <w:sz w:val="15"/>
              </w:rPr>
              <w:t> </w:t>
            </w:r>
            <w:r>
              <w:rPr>
                <w:rFonts w:ascii="Arial"/>
                <w:sz w:val="15"/>
              </w:rPr>
              <w:t>(258,909,340)</w:t>
            </w:r>
          </w:p>
        </w:tc>
        <w:tc>
          <w:tcPr>
            <w:tcW w:w="995"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84"/>
              <w:jc w:val="right"/>
              <w:rPr>
                <w:rFonts w:ascii="Arial" w:hAnsi="Arial" w:cs="Arial" w:eastAsia="Arial" w:hint="default"/>
                <w:sz w:val="15"/>
                <w:szCs w:val="15"/>
              </w:rPr>
            </w:pPr>
            <w:r>
              <w:rPr>
                <w:rFonts w:ascii="Arial"/>
                <w:spacing w:val="-1"/>
                <w:w w:val="95"/>
                <w:sz w:val="15"/>
              </w:rPr>
              <w:t>(81,778,133)</w:t>
            </w:r>
            <w:r>
              <w:rPr>
                <w:rFonts w:ascii="Arial"/>
                <w:sz w:val="15"/>
              </w:rPr>
            </w:r>
          </w:p>
        </w:tc>
        <w:tc>
          <w:tcPr>
            <w:tcW w:w="929"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76"/>
              <w:jc w:val="right"/>
              <w:rPr>
                <w:rFonts w:ascii="Arial" w:hAnsi="Arial" w:cs="Arial" w:eastAsia="Arial" w:hint="default"/>
                <w:sz w:val="15"/>
                <w:szCs w:val="15"/>
              </w:rPr>
            </w:pPr>
            <w:r>
              <w:rPr>
                <w:rFonts w:ascii="Arial"/>
                <w:spacing w:val="-1"/>
                <w:sz w:val="15"/>
              </w:rPr>
              <w:t>(7,946,347)</w:t>
            </w:r>
          </w:p>
        </w:tc>
        <w:tc>
          <w:tcPr>
            <w:tcW w:w="1258"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140"/>
              <w:jc w:val="right"/>
              <w:rPr>
                <w:rFonts w:ascii="Arial" w:hAnsi="Arial" w:cs="Arial" w:eastAsia="Arial" w:hint="default"/>
                <w:sz w:val="15"/>
                <w:szCs w:val="15"/>
              </w:rPr>
            </w:pPr>
            <w:r>
              <w:rPr>
                <w:rFonts w:ascii="Arial"/>
                <w:spacing w:val="-1"/>
                <w:w w:val="95"/>
                <w:sz w:val="15"/>
              </w:rPr>
              <w:t>41,216,417,882</w:t>
            </w:r>
            <w:r>
              <w:rPr>
                <w:rFonts w:ascii="Arial"/>
                <w:sz w:val="15"/>
              </w:rPr>
            </w:r>
          </w:p>
        </w:tc>
        <w:tc>
          <w:tcPr>
            <w:tcW w:w="1038"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50"/>
              <w:jc w:val="right"/>
              <w:rPr>
                <w:rFonts w:ascii="Arial" w:hAnsi="Arial" w:cs="Arial" w:eastAsia="Arial" w:hint="default"/>
                <w:sz w:val="15"/>
                <w:szCs w:val="15"/>
              </w:rPr>
            </w:pPr>
            <w:r>
              <w:rPr>
                <w:rFonts w:ascii="Arial"/>
                <w:spacing w:val="-1"/>
                <w:w w:val="95"/>
                <w:sz w:val="15"/>
              </w:rPr>
              <w:t>(13,904,437)</w:t>
            </w:r>
            <w:r>
              <w:rPr>
                <w:rFonts w:ascii="Arial"/>
                <w:sz w:val="15"/>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spacing w:before="50"/>
        <w:ind w:left="7596" w:right="7236" w:firstLine="0"/>
        <w:jc w:val="center"/>
        <w:rPr>
          <w:rFonts w:ascii="宋体" w:hAnsi="宋体" w:cs="宋体" w:eastAsia="宋体" w:hint="default"/>
          <w:sz w:val="16"/>
          <w:szCs w:val="16"/>
        </w:rPr>
      </w:pPr>
      <w:r>
        <w:rPr>
          <w:rFonts w:ascii="宋体" w:hAnsi="宋体" w:cs="宋体" w:eastAsia="宋体" w:hint="default"/>
          <w:sz w:val="16"/>
          <w:szCs w:val="16"/>
        </w:rPr>
        <w:t>137／220</w:t>
      </w:r>
    </w:p>
    <w:p>
      <w:pPr>
        <w:spacing w:after="0"/>
        <w:jc w:val="center"/>
        <w:rPr>
          <w:rFonts w:ascii="宋体" w:hAnsi="宋体" w:cs="宋体" w:eastAsia="宋体" w:hint="default"/>
          <w:sz w:val="16"/>
          <w:szCs w:val="16"/>
        </w:rPr>
        <w:sectPr>
          <w:type w:val="continuous"/>
          <w:pgSz w:w="16840" w:h="11910" w:orient="landscape"/>
          <w:pgMar w:top="1360" w:bottom="700" w:left="480" w:right="840"/>
        </w:sectPr>
      </w:pPr>
    </w:p>
    <w:p>
      <w:pPr>
        <w:spacing w:line="240" w:lineRule="auto" w:before="9"/>
        <w:rPr>
          <w:rFonts w:ascii="宋体" w:hAnsi="宋体" w:cs="宋体" w:eastAsia="宋体" w:hint="default"/>
          <w:sz w:val="21"/>
          <w:szCs w:val="21"/>
        </w:rPr>
      </w:pPr>
    </w:p>
    <w:p>
      <w:pPr>
        <w:pStyle w:val="BodyText"/>
        <w:spacing w:line="240" w:lineRule="auto" w:before="32"/>
        <w:ind w:left="247" w:right="0"/>
        <w:jc w:val="left"/>
      </w:pPr>
      <w:r>
        <w:rPr>
          <w:rFonts w:ascii="Arial" w:hAnsi="Arial" w:cs="Arial" w:eastAsia="Arial" w:hint="default"/>
        </w:rPr>
        <w:t>11</w:t>
      </w:r>
      <w:r>
        <w:rPr/>
        <w:t>、其他权益工具投资</w:t>
      </w:r>
    </w:p>
    <w:p>
      <w:pPr>
        <w:spacing w:line="240" w:lineRule="auto" w:before="0"/>
        <w:rPr>
          <w:rFonts w:ascii="宋体" w:hAnsi="宋体" w:cs="宋体" w:eastAsia="宋体" w:hint="default"/>
          <w:sz w:val="23"/>
          <w:szCs w:val="23"/>
        </w:rPr>
      </w:pPr>
    </w:p>
    <w:tbl>
      <w:tblPr>
        <w:tblW w:w="0" w:type="auto"/>
        <w:jc w:val="left"/>
        <w:tblInd w:w="455" w:type="dxa"/>
        <w:tblLayout w:type="fixed"/>
        <w:tblCellMar>
          <w:top w:w="0" w:type="dxa"/>
          <w:left w:w="0" w:type="dxa"/>
          <w:bottom w:w="0" w:type="dxa"/>
          <w:right w:w="0" w:type="dxa"/>
        </w:tblCellMar>
        <w:tblLook w:val="01E0"/>
      </w:tblPr>
      <w:tblGrid>
        <w:gridCol w:w="4314"/>
        <w:gridCol w:w="2270"/>
        <w:gridCol w:w="276"/>
        <w:gridCol w:w="2273"/>
      </w:tblGrid>
      <w:tr>
        <w:trPr>
          <w:trHeight w:val="264" w:hRule="exact"/>
        </w:trPr>
        <w:tc>
          <w:tcPr>
            <w:tcW w:w="4314" w:type="dxa"/>
            <w:tcBorders>
              <w:top w:val="nil" w:sz="6" w:space="0" w:color="auto"/>
              <w:left w:val="nil" w:sz="6" w:space="0" w:color="auto"/>
              <w:bottom w:val="nil" w:sz="6" w:space="0" w:color="auto"/>
              <w:right w:val="nil" w:sz="6" w:space="0" w:color="auto"/>
            </w:tcBorders>
          </w:tcPr>
          <w:p>
            <w:pPr/>
          </w:p>
        </w:tc>
        <w:tc>
          <w:tcPr>
            <w:tcW w:w="2270" w:type="dxa"/>
            <w:tcBorders>
              <w:top w:val="nil" w:sz="6" w:space="0" w:color="auto"/>
              <w:left w:val="nil" w:sz="6" w:space="0" w:color="auto"/>
              <w:bottom w:val="single" w:sz="4" w:space="0" w:color="000000"/>
              <w:right w:val="nil" w:sz="6" w:space="0" w:color="auto"/>
            </w:tcBorders>
          </w:tcPr>
          <w:p>
            <w:pPr>
              <w:pStyle w:val="TableParagraph"/>
              <w:spacing w:line="236" w:lineRule="exact"/>
              <w:ind w:left="249"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276" w:type="dxa"/>
            <w:tcBorders>
              <w:top w:val="nil" w:sz="6" w:space="0" w:color="auto"/>
              <w:left w:val="nil" w:sz="6" w:space="0" w:color="auto"/>
              <w:bottom w:val="nil" w:sz="6" w:space="0" w:color="auto"/>
              <w:right w:val="nil" w:sz="6" w:space="0" w:color="auto"/>
            </w:tcBorders>
          </w:tcPr>
          <w:p>
            <w:pPr/>
          </w:p>
        </w:tc>
        <w:tc>
          <w:tcPr>
            <w:tcW w:w="2273" w:type="dxa"/>
            <w:tcBorders>
              <w:top w:val="nil" w:sz="6" w:space="0" w:color="auto"/>
              <w:left w:val="nil" w:sz="6" w:space="0" w:color="auto"/>
              <w:bottom w:val="single" w:sz="6" w:space="0" w:color="000000"/>
              <w:right w:val="nil" w:sz="6" w:space="0" w:color="auto"/>
            </w:tcBorders>
          </w:tcPr>
          <w:p>
            <w:pPr>
              <w:pStyle w:val="TableParagraph"/>
              <w:spacing w:line="236" w:lineRule="exact"/>
              <w:ind w:left="252"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557" w:hRule="exact"/>
        </w:trPr>
        <w:tc>
          <w:tcPr>
            <w:tcW w:w="431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28" w:right="0"/>
              <w:jc w:val="left"/>
              <w:rPr>
                <w:rFonts w:ascii="宋体" w:hAnsi="宋体" w:cs="宋体" w:eastAsia="宋体" w:hint="default"/>
                <w:sz w:val="22"/>
                <w:szCs w:val="22"/>
              </w:rPr>
            </w:pPr>
            <w:r>
              <w:rPr>
                <w:rFonts w:ascii="宋体" w:hAnsi="宋体" w:cs="宋体" w:eastAsia="宋体" w:hint="default"/>
                <w:sz w:val="22"/>
                <w:szCs w:val="22"/>
              </w:rPr>
              <w:t>对交通银行的股票投资</w:t>
            </w:r>
          </w:p>
        </w:tc>
        <w:tc>
          <w:tcPr>
            <w:tcW w:w="2270"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Arial" w:hAnsi="Arial" w:cs="Arial" w:eastAsia="Arial" w:hint="default"/>
                <w:sz w:val="22"/>
                <w:szCs w:val="22"/>
              </w:rPr>
            </w:pPr>
            <w:r>
              <w:rPr>
                <w:rFonts w:ascii="Arial"/>
                <w:spacing w:val="-1"/>
                <w:sz w:val="22"/>
              </w:rPr>
              <w:t>142,913,783</w:t>
            </w:r>
          </w:p>
        </w:tc>
        <w:tc>
          <w:tcPr>
            <w:tcW w:w="276" w:type="dxa"/>
            <w:tcBorders>
              <w:top w:val="nil" w:sz="6" w:space="0" w:color="auto"/>
              <w:left w:val="nil" w:sz="6" w:space="0" w:color="auto"/>
              <w:bottom w:val="nil" w:sz="6" w:space="0" w:color="auto"/>
              <w:right w:val="nil" w:sz="6" w:space="0" w:color="auto"/>
            </w:tcBorders>
          </w:tcPr>
          <w:p>
            <w:pPr/>
          </w:p>
        </w:tc>
        <w:tc>
          <w:tcPr>
            <w:tcW w:w="2273"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1"/>
              <w:jc w:val="right"/>
              <w:rPr>
                <w:rFonts w:ascii="Arial" w:hAnsi="Arial" w:cs="Arial" w:eastAsia="Arial" w:hint="default"/>
                <w:sz w:val="22"/>
                <w:szCs w:val="22"/>
              </w:rPr>
            </w:pPr>
            <w:r>
              <w:rPr>
                <w:rFonts w:ascii="Arial"/>
                <w:spacing w:val="-1"/>
                <w:sz w:val="22"/>
              </w:rPr>
              <w:t>146,975,276</w:t>
            </w:r>
          </w:p>
        </w:tc>
      </w:tr>
      <w:tr>
        <w:trPr>
          <w:trHeight w:val="283" w:hRule="exact"/>
        </w:trPr>
        <w:tc>
          <w:tcPr>
            <w:tcW w:w="4314" w:type="dxa"/>
            <w:tcBorders>
              <w:top w:val="nil" w:sz="6" w:space="0" w:color="auto"/>
              <w:left w:val="nil" w:sz="6" w:space="0" w:color="auto"/>
              <w:bottom w:val="nil" w:sz="6" w:space="0" w:color="auto"/>
              <w:right w:val="nil" w:sz="6" w:space="0" w:color="auto"/>
            </w:tcBorders>
          </w:tcPr>
          <w:p>
            <w:pPr>
              <w:pStyle w:val="TableParagraph"/>
              <w:spacing w:line="239" w:lineRule="exact"/>
              <w:ind w:left="228" w:right="0"/>
              <w:jc w:val="left"/>
              <w:rPr>
                <w:rFonts w:ascii="宋体" w:hAnsi="宋体" w:cs="宋体" w:eastAsia="宋体" w:hint="default"/>
                <w:sz w:val="22"/>
                <w:szCs w:val="22"/>
              </w:rPr>
            </w:pPr>
            <w:r>
              <w:rPr>
                <w:rFonts w:ascii="宋体" w:hAnsi="宋体" w:cs="宋体" w:eastAsia="宋体" w:hint="default"/>
                <w:sz w:val="22"/>
                <w:szCs w:val="22"/>
              </w:rPr>
              <w:t>对西班牙电信的股票投资</w:t>
            </w:r>
          </w:p>
        </w:tc>
        <w:tc>
          <w:tcPr>
            <w:tcW w:w="227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1"/>
              <w:jc w:val="right"/>
              <w:rPr>
                <w:rFonts w:ascii="Arial" w:hAnsi="Arial" w:cs="Arial" w:eastAsia="Arial" w:hint="default"/>
                <w:sz w:val="22"/>
                <w:szCs w:val="22"/>
              </w:rPr>
            </w:pPr>
            <w:r>
              <w:rPr>
                <w:rFonts w:ascii="Arial"/>
                <w:spacing w:val="-1"/>
                <w:sz w:val="22"/>
              </w:rPr>
              <w:t>3,124,646,831</w:t>
            </w:r>
          </w:p>
        </w:tc>
        <w:tc>
          <w:tcPr>
            <w:tcW w:w="276" w:type="dxa"/>
            <w:tcBorders>
              <w:top w:val="nil" w:sz="6" w:space="0" w:color="auto"/>
              <w:left w:val="nil" w:sz="6" w:space="0" w:color="auto"/>
              <w:bottom w:val="nil" w:sz="6" w:space="0" w:color="auto"/>
              <w:right w:val="nil" w:sz="6" w:space="0" w:color="auto"/>
            </w:tcBorders>
          </w:tcPr>
          <w:p>
            <w:pP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1"/>
              <w:jc w:val="right"/>
              <w:rPr>
                <w:rFonts w:ascii="Arial" w:hAnsi="Arial" w:cs="Arial" w:eastAsia="Arial" w:hint="default"/>
                <w:sz w:val="22"/>
                <w:szCs w:val="22"/>
              </w:rPr>
            </w:pPr>
            <w:r>
              <w:rPr>
                <w:rFonts w:ascii="Arial"/>
                <w:spacing w:val="-1"/>
                <w:sz w:val="22"/>
              </w:rPr>
              <w:t>3,697,639,436</w:t>
            </w:r>
          </w:p>
        </w:tc>
      </w:tr>
      <w:tr>
        <w:trPr>
          <w:trHeight w:val="420" w:hRule="exact"/>
        </w:trPr>
        <w:tc>
          <w:tcPr>
            <w:tcW w:w="4314" w:type="dxa"/>
            <w:tcBorders>
              <w:top w:val="nil" w:sz="6" w:space="0" w:color="auto"/>
              <w:left w:val="nil" w:sz="6" w:space="0" w:color="auto"/>
              <w:bottom w:val="nil" w:sz="6" w:space="0" w:color="auto"/>
              <w:right w:val="nil" w:sz="6" w:space="0" w:color="auto"/>
            </w:tcBorders>
          </w:tcPr>
          <w:p>
            <w:pPr>
              <w:pStyle w:val="TableParagraph"/>
              <w:spacing w:line="239" w:lineRule="exact"/>
              <w:ind w:left="228"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270" w:type="dxa"/>
            <w:tcBorders>
              <w:top w:val="nil" w:sz="6" w:space="0" w:color="auto"/>
              <w:left w:val="nil" w:sz="6" w:space="0" w:color="auto"/>
              <w:bottom w:val="nil" w:sz="6" w:space="0" w:color="auto"/>
              <w:right w:val="nil" w:sz="6" w:space="0" w:color="auto"/>
            </w:tcBorders>
          </w:tcPr>
          <w:p>
            <w:pPr>
              <w:pStyle w:val="TableParagraph"/>
              <w:tabs>
                <w:tab w:pos="1065" w:val="left" w:leader="none"/>
                <w:tab w:pos="2270"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55,570,074</w:t>
              <w:tab/>
            </w:r>
            <w:r>
              <w:rPr>
                <w:rFonts w:ascii="Arial"/>
                <w:spacing w:val="-1"/>
                <w:sz w:val="22"/>
              </w:rPr>
            </w:r>
          </w:p>
        </w:tc>
        <w:tc>
          <w:tcPr>
            <w:tcW w:w="276" w:type="dxa"/>
            <w:tcBorders>
              <w:top w:val="nil" w:sz="6" w:space="0" w:color="auto"/>
              <w:left w:val="nil" w:sz="6" w:space="0" w:color="auto"/>
              <w:bottom w:val="nil" w:sz="6" w:space="0" w:color="auto"/>
              <w:right w:val="nil" w:sz="6" w:space="0" w:color="auto"/>
            </w:tcBorders>
          </w:tcPr>
          <w:p>
            <w:pPr/>
          </w:p>
        </w:tc>
        <w:tc>
          <w:tcPr>
            <w:tcW w:w="2273" w:type="dxa"/>
            <w:tcBorders>
              <w:top w:val="nil" w:sz="6" w:space="0" w:color="auto"/>
              <w:left w:val="nil" w:sz="6" w:space="0" w:color="auto"/>
              <w:bottom w:val="nil" w:sz="6" w:space="0" w:color="auto"/>
              <w:right w:val="nil" w:sz="6" w:space="0" w:color="auto"/>
            </w:tcBorders>
          </w:tcPr>
          <w:p>
            <w:pPr>
              <w:pStyle w:val="TableParagraph"/>
              <w:tabs>
                <w:tab w:pos="1055" w:val="left" w:leader="none"/>
                <w:tab w:pos="2265"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58,280,271</w:t>
              <w:tab/>
            </w:r>
            <w:r>
              <w:rPr>
                <w:rFonts w:ascii="Arial"/>
                <w:spacing w:val="-1"/>
                <w:sz w:val="22"/>
              </w:rPr>
            </w:r>
          </w:p>
        </w:tc>
      </w:tr>
      <w:tr>
        <w:trPr>
          <w:trHeight w:val="424" w:hRule="exact"/>
        </w:trPr>
        <w:tc>
          <w:tcPr>
            <w:tcW w:w="431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270" w:type="dxa"/>
            <w:tcBorders>
              <w:top w:val="nil" w:sz="6" w:space="0" w:color="auto"/>
              <w:left w:val="nil" w:sz="6" w:space="0" w:color="auto"/>
              <w:bottom w:val="nil" w:sz="6" w:space="0" w:color="auto"/>
              <w:right w:val="nil" w:sz="6" w:space="0" w:color="auto"/>
            </w:tcBorders>
          </w:tcPr>
          <w:p>
            <w:pPr>
              <w:pStyle w:val="TableParagraph"/>
              <w:tabs>
                <w:tab w:pos="758" w:val="left" w:leader="none"/>
                <w:tab w:pos="2270" w:val="left" w:leader="none"/>
              </w:tabs>
              <w:spacing w:line="240" w:lineRule="auto" w:before="148"/>
              <w:ind w:left="-15" w:right="0"/>
              <w:jc w:val="right"/>
              <w:rPr>
                <w:rFonts w:ascii="Arial" w:hAnsi="Arial" w:cs="Arial" w:eastAsia="Arial" w:hint="default"/>
                <w:sz w:val="22"/>
                <w:szCs w:val="22"/>
              </w:rPr>
            </w:pPr>
            <w:r>
              <w:rPr>
                <w:rFonts w:ascii="Arial"/>
                <w:w w:val="100"/>
                <w:sz w:val="22"/>
              </w:rPr>
            </w:r>
            <w:r>
              <w:rPr>
                <w:rFonts w:ascii="Arial"/>
                <w:w w:val="100"/>
                <w:sz w:val="22"/>
                <w:u w:val="thick" w:color="000000"/>
              </w:rPr>
              <w:t> </w:t>
            </w:r>
            <w:r>
              <w:rPr>
                <w:rFonts w:ascii="Arial"/>
                <w:sz w:val="22"/>
                <w:u w:val="thick" w:color="000000"/>
              </w:rPr>
              <w:tab/>
            </w:r>
            <w:r>
              <w:rPr>
                <w:rFonts w:ascii="Arial"/>
                <w:spacing w:val="-1"/>
                <w:sz w:val="22"/>
                <w:u w:val="thick" w:color="000000"/>
              </w:rPr>
              <w:t>3,323,130,688</w:t>
              <w:tab/>
            </w:r>
            <w:r>
              <w:rPr>
                <w:rFonts w:ascii="Arial"/>
                <w:spacing w:val="-1"/>
                <w:sz w:val="22"/>
              </w:rPr>
            </w:r>
          </w:p>
        </w:tc>
        <w:tc>
          <w:tcPr>
            <w:tcW w:w="276" w:type="dxa"/>
            <w:tcBorders>
              <w:top w:val="nil" w:sz="6" w:space="0" w:color="auto"/>
              <w:left w:val="nil" w:sz="6" w:space="0" w:color="auto"/>
              <w:bottom w:val="nil" w:sz="6" w:space="0" w:color="auto"/>
              <w:right w:val="nil" w:sz="6" w:space="0" w:color="auto"/>
            </w:tcBorders>
          </w:tcPr>
          <w:p>
            <w:pPr/>
          </w:p>
        </w:tc>
        <w:tc>
          <w:tcPr>
            <w:tcW w:w="2273"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105"/>
              <w:jc w:val="right"/>
              <w:rPr>
                <w:rFonts w:ascii="Arial" w:hAnsi="Arial" w:cs="Arial" w:eastAsia="Arial" w:hint="default"/>
                <w:sz w:val="22"/>
                <w:szCs w:val="22"/>
              </w:rPr>
            </w:pPr>
            <w:r>
              <w:rPr>
                <w:rFonts w:ascii="Arial"/>
                <w:spacing w:val="-1"/>
                <w:sz w:val="22"/>
              </w:rPr>
              <w:t>3,902,894,983</w:t>
            </w:r>
          </w:p>
        </w:tc>
      </w:tr>
    </w:tbl>
    <w:p>
      <w:pPr>
        <w:spacing w:after="0" w:line="240" w:lineRule="auto"/>
        <w:jc w:val="right"/>
        <w:rPr>
          <w:rFonts w:ascii="Arial" w:hAnsi="Arial" w:cs="Arial" w:eastAsia="Arial" w:hint="default"/>
          <w:sz w:val="22"/>
          <w:szCs w:val="22"/>
        </w:rPr>
        <w:sectPr>
          <w:footerReference w:type="default" r:id="rId163"/>
          <w:pgSz w:w="11910" w:h="16840"/>
          <w:pgMar w:footer="502" w:header="0" w:top="3120" w:bottom="700" w:left="900" w:right="1320"/>
          <w:pgNumType w:start="138"/>
        </w:sectPr>
      </w:pPr>
    </w:p>
    <w:p>
      <w:pPr>
        <w:spacing w:line="240" w:lineRule="auto" w:before="10"/>
        <w:rPr>
          <w:rFonts w:ascii="宋体" w:hAnsi="宋体" w:cs="宋体" w:eastAsia="宋体" w:hint="default"/>
          <w:sz w:val="15"/>
          <w:szCs w:val="15"/>
        </w:rPr>
      </w:pPr>
    </w:p>
    <w:p>
      <w:pPr>
        <w:pStyle w:val="BodyText"/>
        <w:tabs>
          <w:tab w:pos="672" w:val="left" w:leader="none"/>
        </w:tabs>
        <w:spacing w:line="240" w:lineRule="auto" w:before="32"/>
        <w:ind w:left="192" w:right="103"/>
        <w:jc w:val="left"/>
      </w:pPr>
      <w:r>
        <w:rPr>
          <w:rFonts w:ascii="Arial" w:hAnsi="Arial" w:cs="Arial" w:eastAsia="Arial" w:hint="default"/>
        </w:rPr>
        <w:t>(a)</w:t>
        <w:tab/>
      </w:r>
      <w:r>
        <w:rPr/>
        <w:t>固定资产情况</w:t>
      </w:r>
    </w:p>
    <w:p>
      <w:pPr>
        <w:spacing w:line="240" w:lineRule="auto" w:before="10"/>
        <w:rPr>
          <w:rFonts w:ascii="宋体" w:hAnsi="宋体" w:cs="宋体" w:eastAsia="宋体" w:hint="default"/>
          <w:sz w:val="3"/>
          <w:szCs w:val="3"/>
        </w:rPr>
      </w:pPr>
    </w:p>
    <w:tbl>
      <w:tblPr>
        <w:tblW w:w="0" w:type="auto"/>
        <w:jc w:val="left"/>
        <w:tblInd w:w="103" w:type="dxa"/>
        <w:tblLayout w:type="fixed"/>
        <w:tblCellMar>
          <w:top w:w="0" w:type="dxa"/>
          <w:left w:w="0" w:type="dxa"/>
          <w:bottom w:w="0" w:type="dxa"/>
          <w:right w:w="0" w:type="dxa"/>
        </w:tblCellMar>
        <w:tblLook w:val="01E0"/>
      </w:tblPr>
      <w:tblGrid>
        <w:gridCol w:w="2514"/>
        <w:gridCol w:w="1507"/>
        <w:gridCol w:w="240"/>
        <w:gridCol w:w="1766"/>
        <w:gridCol w:w="235"/>
        <w:gridCol w:w="1637"/>
        <w:gridCol w:w="283"/>
        <w:gridCol w:w="1608"/>
      </w:tblGrid>
      <w:tr>
        <w:trPr>
          <w:trHeight w:val="236" w:hRule="exact"/>
        </w:trPr>
        <w:tc>
          <w:tcPr>
            <w:tcW w:w="2514" w:type="dxa"/>
            <w:tcBorders>
              <w:top w:val="nil" w:sz="6" w:space="0" w:color="auto"/>
              <w:left w:val="nil" w:sz="6" w:space="0" w:color="auto"/>
              <w:bottom w:val="nil" w:sz="6" w:space="0" w:color="auto"/>
              <w:right w:val="nil" w:sz="6" w:space="0" w:color="auto"/>
            </w:tcBorders>
          </w:tcPr>
          <w:p>
            <w:pPr/>
          </w:p>
        </w:tc>
        <w:tc>
          <w:tcPr>
            <w:tcW w:w="1507" w:type="dxa"/>
            <w:tcBorders>
              <w:top w:val="nil" w:sz="6" w:space="0" w:color="auto"/>
              <w:left w:val="nil" w:sz="6" w:space="0" w:color="auto"/>
              <w:bottom w:val="single" w:sz="4" w:space="0" w:color="000000"/>
              <w:right w:val="nil" w:sz="6" w:space="0" w:color="auto"/>
            </w:tcBorders>
          </w:tcPr>
          <w:p>
            <w:pPr>
              <w:pStyle w:val="TableParagraph"/>
              <w:spacing w:line="201" w:lineRule="exact"/>
              <w:ind w:left="254" w:right="0"/>
              <w:jc w:val="left"/>
              <w:rPr>
                <w:rFonts w:ascii="宋体" w:hAnsi="宋体" w:cs="宋体" w:eastAsia="宋体" w:hint="default"/>
                <w:sz w:val="20"/>
                <w:szCs w:val="20"/>
              </w:rPr>
            </w:pPr>
            <w:r>
              <w:rPr>
                <w:rFonts w:ascii="宋体" w:hAnsi="宋体" w:cs="宋体" w:eastAsia="宋体" w:hint="default"/>
                <w:sz w:val="20"/>
                <w:szCs w:val="20"/>
              </w:rPr>
              <w:t>房屋建筑物</w:t>
            </w:r>
            <w:r>
              <w:rPr>
                <w:rFonts w:ascii="宋体" w:hAnsi="宋体" w:cs="宋体" w:eastAsia="宋体" w:hint="default"/>
                <w:sz w:val="20"/>
                <w:szCs w:val="20"/>
              </w:rPr>
              <w:t> </w:t>
            </w:r>
          </w:p>
        </w:tc>
        <w:tc>
          <w:tcPr>
            <w:tcW w:w="240" w:type="dxa"/>
            <w:tcBorders>
              <w:top w:val="nil" w:sz="6" w:space="0" w:color="auto"/>
              <w:left w:val="nil" w:sz="6" w:space="0" w:color="auto"/>
              <w:bottom w:val="nil" w:sz="6" w:space="0" w:color="auto"/>
              <w:right w:val="nil" w:sz="6" w:space="0" w:color="auto"/>
            </w:tcBorders>
          </w:tcPr>
          <w:p>
            <w:pPr>
              <w:pStyle w:val="TableParagraph"/>
              <w:spacing w:line="259" w:lineRule="exact"/>
              <w:ind w:right="17"/>
              <w:jc w:val="right"/>
              <w:rPr>
                <w:rFonts w:ascii="宋体" w:hAnsi="宋体" w:cs="宋体" w:eastAsia="宋体" w:hint="default"/>
                <w:sz w:val="20"/>
                <w:szCs w:val="20"/>
              </w:rPr>
            </w:pPr>
            <w:r>
              <w:rPr>
                <w:rFonts w:ascii="宋体"/>
                <w:w w:val="100"/>
                <w:sz w:val="20"/>
              </w:rPr>
              <w:t> </w:t>
            </w:r>
          </w:p>
        </w:tc>
        <w:tc>
          <w:tcPr>
            <w:tcW w:w="1766" w:type="dxa"/>
            <w:tcBorders>
              <w:top w:val="nil" w:sz="6" w:space="0" w:color="auto"/>
              <w:left w:val="nil" w:sz="6" w:space="0" w:color="auto"/>
              <w:bottom w:val="single" w:sz="4" w:space="0" w:color="000000"/>
              <w:right w:val="nil" w:sz="6" w:space="0" w:color="auto"/>
            </w:tcBorders>
          </w:tcPr>
          <w:p>
            <w:pPr>
              <w:pStyle w:val="TableParagraph"/>
              <w:spacing w:line="201" w:lineRule="exact"/>
              <w:ind w:left="480" w:right="0"/>
              <w:jc w:val="left"/>
              <w:rPr>
                <w:rFonts w:ascii="宋体" w:hAnsi="宋体" w:cs="宋体" w:eastAsia="宋体" w:hint="default"/>
                <w:sz w:val="20"/>
                <w:szCs w:val="20"/>
              </w:rPr>
            </w:pPr>
            <w:r>
              <w:rPr>
                <w:rFonts w:ascii="宋体" w:hAnsi="宋体" w:cs="宋体" w:eastAsia="宋体" w:hint="default"/>
                <w:sz w:val="20"/>
                <w:szCs w:val="20"/>
              </w:rPr>
              <w:t>通信设备</w:t>
            </w:r>
            <w:r>
              <w:rPr>
                <w:rFonts w:ascii="宋体" w:hAnsi="宋体" w:cs="宋体" w:eastAsia="宋体" w:hint="default"/>
                <w:sz w:val="20"/>
                <w:szCs w:val="20"/>
              </w:rPr>
              <w:t> </w:t>
            </w:r>
          </w:p>
        </w:tc>
        <w:tc>
          <w:tcPr>
            <w:tcW w:w="235" w:type="dxa"/>
            <w:tcBorders>
              <w:top w:val="nil" w:sz="6" w:space="0" w:color="auto"/>
              <w:left w:val="nil" w:sz="6" w:space="0" w:color="auto"/>
              <w:bottom w:val="nil" w:sz="6" w:space="0" w:color="auto"/>
              <w:right w:val="nil" w:sz="6" w:space="0" w:color="auto"/>
            </w:tcBorders>
          </w:tcPr>
          <w:p>
            <w:pPr>
              <w:pStyle w:val="TableParagraph"/>
              <w:spacing w:line="259" w:lineRule="exact"/>
              <w:ind w:left="115" w:right="0"/>
              <w:jc w:val="left"/>
              <w:rPr>
                <w:rFonts w:ascii="宋体" w:hAnsi="宋体" w:cs="宋体" w:eastAsia="宋体" w:hint="default"/>
                <w:sz w:val="20"/>
                <w:szCs w:val="20"/>
              </w:rPr>
            </w:pPr>
            <w:r>
              <w:rPr>
                <w:rFonts w:ascii="宋体"/>
                <w:w w:val="100"/>
                <w:sz w:val="20"/>
              </w:rPr>
              <w:t> </w:t>
            </w:r>
          </w:p>
        </w:tc>
        <w:tc>
          <w:tcPr>
            <w:tcW w:w="1637" w:type="dxa"/>
            <w:tcBorders>
              <w:top w:val="nil" w:sz="6" w:space="0" w:color="auto"/>
              <w:left w:val="nil" w:sz="6" w:space="0" w:color="auto"/>
              <w:bottom w:val="single" w:sz="4" w:space="0" w:color="000000"/>
              <w:right w:val="nil" w:sz="6" w:space="0" w:color="auto"/>
            </w:tcBorders>
          </w:tcPr>
          <w:p>
            <w:pPr>
              <w:pStyle w:val="TableParagraph"/>
              <w:spacing w:line="201" w:lineRule="exact"/>
              <w:ind w:right="12"/>
              <w:jc w:val="right"/>
              <w:rPr>
                <w:rFonts w:ascii="宋体" w:hAnsi="宋体" w:cs="宋体" w:eastAsia="宋体" w:hint="default"/>
                <w:sz w:val="20"/>
                <w:szCs w:val="20"/>
              </w:rPr>
            </w:pPr>
            <w:r>
              <w:rPr>
                <w:rFonts w:ascii="宋体" w:hAnsi="宋体" w:cs="宋体" w:eastAsia="宋体" w:hint="default"/>
                <w:spacing w:val="-2"/>
                <w:sz w:val="20"/>
                <w:szCs w:val="20"/>
              </w:rPr>
              <w:t>办公设备及其他</w:t>
            </w:r>
            <w:r>
              <w:rPr>
                <w:rFonts w:ascii="宋体" w:hAnsi="宋体" w:cs="宋体" w:eastAsia="宋体" w:hint="default"/>
                <w:sz w:val="20"/>
                <w:szCs w:val="20"/>
              </w:rPr>
              <w:t> </w:t>
            </w:r>
          </w:p>
        </w:tc>
        <w:tc>
          <w:tcPr>
            <w:tcW w:w="283" w:type="dxa"/>
            <w:tcBorders>
              <w:top w:val="nil" w:sz="6" w:space="0" w:color="auto"/>
              <w:left w:val="nil" w:sz="6" w:space="0" w:color="auto"/>
              <w:bottom w:val="nil" w:sz="6" w:space="0" w:color="auto"/>
              <w:right w:val="nil" w:sz="6" w:space="0" w:color="auto"/>
            </w:tcBorders>
          </w:tcPr>
          <w:p>
            <w:pPr>
              <w:pStyle w:val="TableParagraph"/>
              <w:spacing w:line="259" w:lineRule="exact"/>
              <w:ind w:left="143" w:right="0"/>
              <w:jc w:val="left"/>
              <w:rPr>
                <w:rFonts w:ascii="宋体" w:hAnsi="宋体" w:cs="宋体" w:eastAsia="宋体" w:hint="default"/>
                <w:sz w:val="20"/>
                <w:szCs w:val="20"/>
              </w:rPr>
            </w:pPr>
            <w:r>
              <w:rPr>
                <w:rFonts w:ascii="宋体"/>
                <w:w w:val="100"/>
                <w:sz w:val="20"/>
              </w:rPr>
              <w:t> </w:t>
            </w:r>
          </w:p>
        </w:tc>
        <w:tc>
          <w:tcPr>
            <w:tcW w:w="1608" w:type="dxa"/>
            <w:tcBorders>
              <w:top w:val="nil" w:sz="6" w:space="0" w:color="auto"/>
              <w:left w:val="nil" w:sz="6" w:space="0" w:color="auto"/>
              <w:bottom w:val="single" w:sz="4" w:space="0" w:color="000000"/>
              <w:right w:val="nil" w:sz="6" w:space="0" w:color="auto"/>
            </w:tcBorders>
          </w:tcPr>
          <w:p>
            <w:pPr>
              <w:pStyle w:val="TableParagraph"/>
              <w:spacing w:line="201" w:lineRule="exact"/>
              <w:ind w:right="2"/>
              <w:jc w:val="center"/>
              <w:rPr>
                <w:rFonts w:ascii="宋体" w:hAnsi="宋体" w:cs="宋体" w:eastAsia="宋体" w:hint="default"/>
                <w:sz w:val="20"/>
                <w:szCs w:val="20"/>
              </w:rPr>
            </w:pPr>
            <w:r>
              <w:rPr>
                <w:rFonts w:ascii="宋体" w:hAnsi="宋体" w:cs="宋体" w:eastAsia="宋体" w:hint="default"/>
                <w:spacing w:val="-3"/>
                <w:sz w:val="20"/>
                <w:szCs w:val="20"/>
              </w:rPr>
              <w:t>合计</w:t>
            </w:r>
            <w:r>
              <w:rPr>
                <w:rFonts w:ascii="宋体" w:hAnsi="宋体" w:cs="宋体" w:eastAsia="宋体" w:hint="default"/>
                <w:sz w:val="20"/>
                <w:szCs w:val="20"/>
              </w:rPr>
              <w:t> </w:t>
            </w:r>
          </w:p>
        </w:tc>
      </w:tr>
      <w:tr>
        <w:trPr>
          <w:trHeight w:val="302"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40" w:lineRule="auto" w:before="6"/>
              <w:ind w:left="195" w:right="0"/>
              <w:jc w:val="center"/>
              <w:rPr>
                <w:rFonts w:ascii="宋体" w:hAnsi="宋体" w:cs="宋体" w:eastAsia="宋体" w:hint="default"/>
                <w:sz w:val="20"/>
                <w:szCs w:val="20"/>
              </w:rPr>
            </w:pPr>
            <w:r>
              <w:rPr>
                <w:rFonts w:ascii="宋体"/>
                <w:w w:val="100"/>
                <w:sz w:val="20"/>
              </w:rPr>
              <w:t> </w:t>
            </w:r>
          </w:p>
        </w:tc>
        <w:tc>
          <w:tcPr>
            <w:tcW w:w="1507" w:type="dxa"/>
            <w:tcBorders>
              <w:top w:val="single" w:sz="4" w:space="0" w:color="000000"/>
              <w:left w:val="nil" w:sz="6" w:space="0" w:color="auto"/>
              <w:bottom w:val="nil" w:sz="6" w:space="0" w:color="auto"/>
              <w:right w:val="nil" w:sz="6" w:space="0" w:color="auto"/>
            </w:tcBorders>
          </w:tcPr>
          <w:p>
            <w:pP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single" w:sz="4" w:space="0" w:color="000000"/>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single" w:sz="4" w:space="0" w:color="000000"/>
              <w:left w:val="nil" w:sz="6" w:space="0" w:color="auto"/>
              <w:bottom w:val="nil" w:sz="6" w:space="0" w:color="auto"/>
              <w:right w:val="nil" w:sz="6" w:space="0" w:color="auto"/>
            </w:tcBorders>
          </w:tcPr>
          <w:p>
            <w:pPr/>
          </w:p>
        </w:tc>
        <w:tc>
          <w:tcPr>
            <w:tcW w:w="283" w:type="dxa"/>
            <w:tcBorders>
              <w:top w:val="nil" w:sz="6" w:space="0" w:color="auto"/>
              <w:left w:val="nil" w:sz="6" w:space="0" w:color="auto"/>
              <w:bottom w:val="nil" w:sz="6" w:space="0" w:color="auto"/>
              <w:right w:val="nil" w:sz="6" w:space="0" w:color="auto"/>
            </w:tcBorders>
          </w:tcPr>
          <w:p>
            <w:pPr/>
          </w:p>
        </w:tc>
        <w:tc>
          <w:tcPr>
            <w:tcW w:w="1608" w:type="dxa"/>
            <w:tcBorders>
              <w:top w:val="single" w:sz="4" w:space="0" w:color="000000"/>
              <w:left w:val="nil" w:sz="6" w:space="0" w:color="auto"/>
              <w:bottom w:val="nil" w:sz="6" w:space="0" w:color="auto"/>
              <w:right w:val="nil" w:sz="6" w:space="0" w:color="auto"/>
            </w:tcBorders>
          </w:tcPr>
          <w:p>
            <w:pPr/>
          </w:p>
        </w:tc>
      </w:tr>
      <w:tr>
        <w:trPr>
          <w:trHeight w:val="298"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35" w:lineRule="exact"/>
              <w:ind w:left="200" w:right="0"/>
              <w:jc w:val="left"/>
              <w:rPr>
                <w:rFonts w:ascii="宋体" w:hAnsi="宋体" w:cs="宋体" w:eastAsia="宋体" w:hint="default"/>
                <w:sz w:val="20"/>
                <w:szCs w:val="20"/>
              </w:rPr>
            </w:pPr>
            <w:r>
              <w:rPr>
                <w:rFonts w:ascii="宋体" w:hAnsi="宋体" w:cs="宋体" w:eastAsia="宋体" w:hint="default"/>
                <w:spacing w:val="-3"/>
                <w:sz w:val="20"/>
                <w:szCs w:val="20"/>
              </w:rPr>
              <w:t>原值</w:t>
            </w:r>
            <w:r>
              <w:rPr>
                <w:rFonts w:ascii="宋体" w:hAnsi="宋体" w:cs="宋体" w:eastAsia="宋体" w:hint="default"/>
                <w:sz w:val="20"/>
                <w:szCs w:val="20"/>
              </w:rPr>
              <w:t> </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
              <w:jc w:val="right"/>
              <w:rPr>
                <w:rFonts w:ascii="宋体" w:hAnsi="宋体" w:cs="宋体" w:eastAsia="宋体" w:hint="default"/>
                <w:sz w:val="20"/>
                <w:szCs w:val="20"/>
              </w:rPr>
            </w:pPr>
            <w:r>
              <w:rPr>
                <w:rFonts w:ascii="宋体"/>
                <w:w w:val="100"/>
                <w:sz w:val="20"/>
              </w:rPr>
              <w:t> </w:t>
            </w: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
        </w:tc>
        <w:tc>
          <w:tcPr>
            <w:tcW w:w="283" w:type="dxa"/>
            <w:tcBorders>
              <w:top w:val="nil" w:sz="6" w:space="0" w:color="auto"/>
              <w:left w:val="nil" w:sz="6" w:space="0" w:color="auto"/>
              <w:bottom w:val="nil" w:sz="6" w:space="0" w:color="auto"/>
              <w:right w:val="nil" w:sz="6" w:space="0" w:color="auto"/>
            </w:tcBorders>
          </w:tcPr>
          <w:p>
            <w:pPr/>
          </w:p>
        </w:tc>
        <w:tc>
          <w:tcPr>
            <w:tcW w:w="1608" w:type="dxa"/>
            <w:tcBorders>
              <w:top w:val="nil" w:sz="6" w:space="0" w:color="auto"/>
              <w:left w:val="nil" w:sz="6" w:space="0" w:color="auto"/>
              <w:bottom w:val="nil" w:sz="6" w:space="0" w:color="auto"/>
              <w:right w:val="nil" w:sz="6" w:space="0" w:color="auto"/>
            </w:tcBorders>
          </w:tcPr>
          <w:p>
            <w:pPr/>
          </w:p>
        </w:tc>
      </w:tr>
      <w:tr>
        <w:trPr>
          <w:trHeight w:val="242"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01" w:lineRule="exact"/>
              <w:ind w:left="200" w:right="0"/>
              <w:jc w:val="left"/>
              <w:rPr>
                <w:rFonts w:ascii="宋体" w:hAnsi="宋体" w:cs="宋体" w:eastAsia="宋体" w:hint="default"/>
                <w:sz w:val="20"/>
                <w:szCs w:val="20"/>
              </w:rPr>
            </w:pPr>
            <w:r>
              <w:rPr>
                <w:rFonts w:ascii="宋体" w:hAnsi="宋体" w:cs="宋体" w:eastAsia="宋体" w:hint="default"/>
                <w:w w:val="100"/>
                <w:sz w:val="20"/>
                <w:szCs w:val="20"/>
              </w:rPr>
              <w:t>  </w:t>
            </w:r>
            <w:r>
              <w:rPr>
                <w:rFonts w:ascii="宋体" w:hAnsi="宋体" w:cs="宋体" w:eastAsia="宋体" w:hint="default"/>
                <w:spacing w:val="-3"/>
                <w:sz w:val="20"/>
                <w:szCs w:val="20"/>
              </w:rPr>
              <w:t>年初余额</w:t>
            </w:r>
            <w:r>
              <w:rPr>
                <w:rFonts w:ascii="宋体" w:hAnsi="宋体" w:cs="宋体" w:eastAsia="宋体" w:hint="default"/>
                <w:sz w:val="20"/>
                <w:szCs w:val="20"/>
              </w:rPr>
              <w:t> </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20" w:right="0"/>
              <w:jc w:val="left"/>
              <w:rPr>
                <w:rFonts w:ascii="Arial" w:hAnsi="Arial" w:cs="Arial" w:eastAsia="Arial" w:hint="default"/>
                <w:sz w:val="17"/>
                <w:szCs w:val="17"/>
              </w:rPr>
            </w:pPr>
            <w:r>
              <w:rPr>
                <w:rFonts w:ascii="Arial"/>
                <w:sz w:val="17"/>
              </w:rPr>
              <w:t>74,346,971,852</w:t>
            </w: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Arial" w:hAnsi="Arial" w:cs="Arial" w:eastAsia="Arial" w:hint="default"/>
                <w:sz w:val="17"/>
                <w:szCs w:val="17"/>
              </w:rPr>
            </w:pPr>
            <w:r>
              <w:rPr>
                <w:rFonts w:ascii="Arial"/>
                <w:w w:val="95"/>
                <w:sz w:val="17"/>
              </w:rPr>
              <w:t>850,595,277,255</w:t>
            </w:r>
            <w:r>
              <w:rPr>
                <w:rFonts w:ascii="Arial"/>
                <w:sz w:val="17"/>
              </w:rPr>
            </w: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0" w:right="0"/>
              <w:jc w:val="left"/>
              <w:rPr>
                <w:rFonts w:ascii="Arial" w:hAnsi="Arial" w:cs="Arial" w:eastAsia="Arial" w:hint="default"/>
                <w:sz w:val="17"/>
                <w:szCs w:val="17"/>
              </w:rPr>
            </w:pPr>
            <w:r>
              <w:rPr>
                <w:rFonts w:ascii="Arial"/>
                <w:sz w:val="17"/>
              </w:rPr>
              <w:t>20,103,123,043</w:t>
            </w:r>
          </w:p>
        </w:tc>
        <w:tc>
          <w:tcPr>
            <w:tcW w:w="283" w:type="dxa"/>
            <w:tcBorders>
              <w:top w:val="nil" w:sz="6" w:space="0" w:color="auto"/>
              <w:left w:val="nil" w:sz="6" w:space="0" w:color="auto"/>
              <w:bottom w:val="nil" w:sz="6" w:space="0" w:color="auto"/>
              <w:right w:val="nil" w:sz="6" w:space="0" w:color="auto"/>
            </w:tcBorders>
          </w:tcPr>
          <w:p>
            <w:pPr/>
          </w:p>
        </w:tc>
        <w:tc>
          <w:tcPr>
            <w:tcW w:w="1608"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25" w:right="0"/>
              <w:jc w:val="left"/>
              <w:rPr>
                <w:rFonts w:ascii="Arial" w:hAnsi="Arial" w:cs="Arial" w:eastAsia="Arial" w:hint="default"/>
                <w:sz w:val="17"/>
                <w:szCs w:val="17"/>
              </w:rPr>
            </w:pPr>
            <w:r>
              <w:rPr>
                <w:rFonts w:ascii="Arial"/>
                <w:sz w:val="17"/>
              </w:rPr>
              <w:t>945,045,372,150</w:t>
            </w:r>
          </w:p>
        </w:tc>
      </w:tr>
      <w:tr>
        <w:trPr>
          <w:trHeight w:val="586"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18" w:lineRule="exact"/>
              <w:ind w:left="382" w:right="0"/>
              <w:jc w:val="left"/>
              <w:rPr>
                <w:rFonts w:ascii="宋体" w:hAnsi="宋体" w:cs="宋体" w:eastAsia="宋体" w:hint="default"/>
                <w:sz w:val="20"/>
                <w:szCs w:val="20"/>
              </w:rPr>
            </w:pPr>
            <w:r>
              <w:rPr>
                <w:rFonts w:ascii="宋体" w:hAnsi="宋体" w:cs="宋体" w:eastAsia="宋体" w:hint="default"/>
                <w:sz w:val="20"/>
                <w:szCs w:val="20"/>
              </w:rPr>
              <w:t>首次执行新准则</w:t>
            </w:r>
          </w:p>
          <w:p>
            <w:pPr>
              <w:pStyle w:val="TableParagraph"/>
              <w:spacing w:line="260" w:lineRule="exact"/>
              <w:ind w:left="574" w:right="0"/>
              <w:jc w:val="left"/>
              <w:rPr>
                <w:rFonts w:ascii="宋体" w:hAnsi="宋体" w:cs="宋体" w:eastAsia="宋体" w:hint="default"/>
                <w:sz w:val="20"/>
                <w:szCs w:val="20"/>
              </w:rPr>
            </w:pPr>
            <w:r>
              <w:rPr>
                <w:rFonts w:ascii="宋体" w:hAnsi="宋体" w:cs="宋体" w:eastAsia="宋体" w:hint="default"/>
                <w:sz w:val="20"/>
                <w:szCs w:val="20"/>
              </w:rPr>
              <w:t>重分类至使用权资产</w:t>
            </w:r>
            <w:r>
              <w:rPr>
                <w:rFonts w:ascii="宋体" w:hAnsi="宋体" w:cs="宋体" w:eastAsia="宋体" w:hint="default"/>
                <w:sz w:val="20"/>
                <w:szCs w:val="20"/>
              </w:rPr>
              <w:t> </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3"/>
                <w:szCs w:val="23"/>
              </w:rPr>
            </w:pPr>
          </w:p>
          <w:p>
            <w:pPr>
              <w:pStyle w:val="TableParagraph"/>
              <w:tabs>
                <w:tab w:pos="1343" w:val="left" w:leader="none"/>
                <w:tab w:pos="1507" w:val="left" w:leader="none"/>
              </w:tabs>
              <w:spacing w:line="240" w:lineRule="auto"/>
              <w:ind w:right="0"/>
              <w:jc w:val="right"/>
              <w:rPr>
                <w:rFonts w:ascii="Arial" w:hAnsi="Arial" w:cs="Arial" w:eastAsia="Arial" w:hint="default"/>
                <w:sz w:val="17"/>
                <w:szCs w:val="17"/>
              </w:rPr>
            </w:pPr>
            <w:r>
              <w:rPr>
                <w:rFonts w:ascii="Arial"/>
                <w:w w:val="98"/>
                <w:sz w:val="17"/>
              </w:rPr>
            </w:r>
            <w:r>
              <w:rPr>
                <w:rFonts w:ascii="Arial"/>
                <w:w w:val="98"/>
                <w:sz w:val="17"/>
                <w:u w:val="single" w:color="000000"/>
              </w:rPr>
              <w:t> </w:t>
            </w:r>
            <w:r>
              <w:rPr>
                <w:rFonts w:ascii="Arial"/>
                <w:sz w:val="17"/>
                <w:u w:val="single" w:color="000000"/>
              </w:rPr>
              <w:tab/>
            </w:r>
            <w:r>
              <w:rPr>
                <w:rFonts w:ascii="Arial"/>
                <w:w w:val="95"/>
                <w:sz w:val="17"/>
                <w:u w:val="single" w:color="000000"/>
              </w:rPr>
              <w:t>-</w:t>
            </w:r>
            <w:r>
              <w:rPr>
                <w:rFonts w:ascii="Arial"/>
                <w:sz w:val="17"/>
                <w:u w:val="single" w:color="000000"/>
              </w:rPr>
              <w:tab/>
            </w:r>
            <w:r>
              <w:rPr>
                <w:rFonts w:ascii="Arial"/>
                <w:sz w:val="17"/>
              </w:rPr>
            </w:r>
          </w:p>
        </w:tc>
        <w:tc>
          <w:tcPr>
            <w:tcW w:w="24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
              <w:jc w:val="right"/>
              <w:rPr>
                <w:rFonts w:ascii="宋体" w:hAnsi="宋体" w:cs="宋体" w:eastAsia="宋体" w:hint="default"/>
                <w:sz w:val="20"/>
                <w:szCs w:val="20"/>
              </w:rPr>
            </w:pPr>
            <w:r>
              <w:rPr>
                <w:rFonts w:ascii="宋体"/>
                <w:w w:val="100"/>
                <w:sz w:val="20"/>
              </w:rPr>
              <w:t> </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3"/>
                <w:szCs w:val="23"/>
              </w:rPr>
            </w:pPr>
          </w:p>
          <w:p>
            <w:pPr>
              <w:pStyle w:val="TableParagraph"/>
              <w:tabs>
                <w:tab w:pos="652" w:val="left" w:leader="none"/>
                <w:tab w:pos="1766" w:val="left" w:leader="none"/>
              </w:tabs>
              <w:spacing w:line="240" w:lineRule="auto"/>
              <w:ind w:right="0"/>
              <w:jc w:val="right"/>
              <w:rPr>
                <w:rFonts w:ascii="Arial" w:hAnsi="Arial" w:cs="Arial" w:eastAsia="Arial" w:hint="default"/>
                <w:sz w:val="17"/>
                <w:szCs w:val="17"/>
              </w:rPr>
            </w:pPr>
            <w:r>
              <w:rPr>
                <w:rFonts w:ascii="Arial"/>
                <w:w w:val="98"/>
                <w:sz w:val="17"/>
              </w:rPr>
            </w:r>
            <w:r>
              <w:rPr>
                <w:rFonts w:ascii="Arial"/>
                <w:w w:val="98"/>
                <w:sz w:val="17"/>
                <w:u w:val="single" w:color="000000"/>
              </w:rPr>
              <w:t> </w:t>
            </w:r>
            <w:r>
              <w:rPr>
                <w:rFonts w:ascii="Arial"/>
                <w:sz w:val="17"/>
                <w:u w:val="single" w:color="000000"/>
              </w:rPr>
              <w:tab/>
            </w:r>
            <w:r>
              <w:rPr>
                <w:rFonts w:ascii="Arial"/>
                <w:w w:val="95"/>
                <w:sz w:val="17"/>
                <w:u w:val="single" w:color="000000"/>
              </w:rPr>
              <w:t>(461,204,057)</w:t>
            </w:r>
            <w:r>
              <w:rPr>
                <w:rFonts w:ascii="Arial"/>
                <w:sz w:val="17"/>
                <w:u w:val="single" w:color="000000"/>
              </w:rPr>
              <w:tab/>
            </w:r>
            <w:r>
              <w:rPr>
                <w:rFonts w:ascii="Arial"/>
                <w:sz w:val="17"/>
              </w:rPr>
            </w: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3"/>
                <w:szCs w:val="23"/>
              </w:rPr>
            </w:pPr>
          </w:p>
          <w:p>
            <w:pPr>
              <w:pStyle w:val="TableParagraph"/>
              <w:tabs>
                <w:tab w:pos="1439" w:val="left" w:leader="none"/>
                <w:tab w:pos="1636" w:val="left" w:leader="none"/>
              </w:tabs>
              <w:spacing w:line="240" w:lineRule="auto"/>
              <w:ind w:right="0"/>
              <w:jc w:val="right"/>
              <w:rPr>
                <w:rFonts w:ascii="Arial" w:hAnsi="Arial" w:cs="Arial" w:eastAsia="Arial" w:hint="default"/>
                <w:sz w:val="17"/>
                <w:szCs w:val="17"/>
              </w:rPr>
            </w:pPr>
            <w:r>
              <w:rPr>
                <w:rFonts w:ascii="Arial"/>
                <w:w w:val="98"/>
                <w:sz w:val="17"/>
              </w:rPr>
            </w:r>
            <w:r>
              <w:rPr>
                <w:rFonts w:ascii="Arial"/>
                <w:w w:val="98"/>
                <w:sz w:val="17"/>
                <w:u w:val="single" w:color="000000"/>
              </w:rPr>
              <w:t> </w:t>
            </w:r>
            <w:r>
              <w:rPr>
                <w:rFonts w:ascii="Arial"/>
                <w:sz w:val="17"/>
                <w:u w:val="single" w:color="000000"/>
              </w:rPr>
              <w:tab/>
            </w:r>
            <w:r>
              <w:rPr>
                <w:rFonts w:ascii="Arial"/>
                <w:w w:val="95"/>
                <w:sz w:val="17"/>
                <w:u w:val="single" w:color="000000"/>
              </w:rPr>
              <w:t>-</w:t>
            </w:r>
            <w:r>
              <w:rPr>
                <w:rFonts w:ascii="Arial"/>
                <w:sz w:val="17"/>
                <w:u w:val="single" w:color="000000"/>
              </w:rPr>
              <w:tab/>
            </w:r>
            <w:r>
              <w:rPr>
                <w:rFonts w:ascii="Arial"/>
                <w:sz w:val="17"/>
              </w:rPr>
            </w:r>
          </w:p>
        </w:tc>
        <w:tc>
          <w:tcPr>
            <w:tcW w:w="18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3"/>
                <w:szCs w:val="23"/>
              </w:rPr>
            </w:pPr>
          </w:p>
          <w:p>
            <w:pPr>
              <w:pStyle w:val="TableParagraph"/>
              <w:tabs>
                <w:tab w:pos="777" w:val="left" w:leader="none"/>
                <w:tab w:pos="1891" w:val="left" w:leader="none"/>
              </w:tabs>
              <w:spacing w:line="240" w:lineRule="auto"/>
              <w:ind w:left="283" w:right="0"/>
              <w:jc w:val="left"/>
              <w:rPr>
                <w:rFonts w:ascii="Arial" w:hAnsi="Arial" w:cs="Arial" w:eastAsia="Arial" w:hint="default"/>
                <w:sz w:val="17"/>
                <w:szCs w:val="17"/>
              </w:rPr>
            </w:pPr>
            <w:r>
              <w:rPr>
                <w:rFonts w:ascii="Arial"/>
                <w:w w:val="98"/>
                <w:sz w:val="17"/>
              </w:rPr>
            </w:r>
            <w:r>
              <w:rPr>
                <w:rFonts w:ascii="Arial"/>
                <w:w w:val="98"/>
                <w:sz w:val="17"/>
                <w:u w:val="single" w:color="000000"/>
              </w:rPr>
              <w:t> </w:t>
            </w:r>
            <w:r>
              <w:rPr>
                <w:rFonts w:ascii="Arial"/>
                <w:sz w:val="17"/>
                <w:u w:val="single" w:color="000000"/>
              </w:rPr>
              <w:tab/>
              <w:t>(461,204,057)</w:t>
              <w:tab/>
            </w:r>
            <w:r>
              <w:rPr>
                <w:rFonts w:ascii="Arial"/>
                <w:sz w:val="17"/>
              </w:rPr>
            </w:r>
          </w:p>
        </w:tc>
      </w:tr>
      <w:tr>
        <w:trPr>
          <w:trHeight w:val="326"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00" w:right="0"/>
              <w:jc w:val="left"/>
              <w:rPr>
                <w:rFonts w:ascii="宋体" w:hAnsi="宋体" w:cs="宋体" w:eastAsia="宋体" w:hint="default"/>
                <w:sz w:val="20"/>
                <w:szCs w:val="20"/>
              </w:rPr>
            </w:pPr>
            <w:r>
              <w:rPr>
                <w:rFonts w:ascii="宋体" w:hAnsi="宋体" w:cs="宋体" w:eastAsia="宋体" w:hint="default"/>
                <w:w w:val="100"/>
                <w:sz w:val="20"/>
                <w:szCs w:val="20"/>
              </w:rPr>
              <w:t>  </w:t>
            </w:r>
            <w:r>
              <w:rPr>
                <w:rFonts w:ascii="宋体" w:hAnsi="宋体" w:cs="宋体" w:eastAsia="宋体" w:hint="default"/>
                <w:sz w:val="20"/>
                <w:szCs w:val="20"/>
              </w:rPr>
              <w:t>调整后的年初余额</w:t>
            </w:r>
            <w:r>
              <w:rPr>
                <w:rFonts w:ascii="宋体" w:hAnsi="宋体" w:cs="宋体" w:eastAsia="宋体" w:hint="default"/>
                <w:sz w:val="20"/>
                <w:szCs w:val="20"/>
              </w:rPr>
              <w:t> </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127"/>
              <w:ind w:left="220" w:right="0"/>
              <w:jc w:val="left"/>
              <w:rPr>
                <w:rFonts w:ascii="Arial" w:hAnsi="Arial" w:cs="Arial" w:eastAsia="Arial" w:hint="default"/>
                <w:sz w:val="16"/>
                <w:szCs w:val="16"/>
              </w:rPr>
            </w:pPr>
            <w:r>
              <w:rPr>
                <w:rFonts w:ascii="Arial"/>
                <w:w w:val="105"/>
                <w:sz w:val="16"/>
              </w:rPr>
              <w:t>74,346,971,852</w:t>
            </w:r>
            <w:r>
              <w:rPr>
                <w:rFonts w:ascii="Arial"/>
                <w:sz w:val="16"/>
              </w:rPr>
            </w: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110"/>
              <w:jc w:val="right"/>
              <w:rPr>
                <w:rFonts w:ascii="Arial" w:hAnsi="Arial" w:cs="Arial" w:eastAsia="Arial" w:hint="default"/>
                <w:sz w:val="16"/>
                <w:szCs w:val="16"/>
              </w:rPr>
            </w:pPr>
            <w:r>
              <w:rPr>
                <w:rFonts w:ascii="Arial"/>
                <w:w w:val="105"/>
                <w:sz w:val="16"/>
              </w:rPr>
              <w:t>850,134,073,198</w:t>
            </w:r>
            <w:r>
              <w:rPr>
                <w:rFonts w:ascii="Arial"/>
                <w:sz w:val="16"/>
              </w:rPr>
            </w: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27"/>
              <w:ind w:left="350" w:right="0"/>
              <w:jc w:val="left"/>
              <w:rPr>
                <w:rFonts w:ascii="Arial" w:hAnsi="Arial" w:cs="Arial" w:eastAsia="Arial" w:hint="default"/>
                <w:sz w:val="16"/>
                <w:szCs w:val="16"/>
              </w:rPr>
            </w:pPr>
            <w:r>
              <w:rPr>
                <w:rFonts w:ascii="Arial"/>
                <w:w w:val="105"/>
                <w:sz w:val="16"/>
              </w:rPr>
              <w:t>20,103,123,043</w:t>
            </w:r>
            <w:r>
              <w:rPr>
                <w:rFonts w:ascii="Arial"/>
                <w:sz w:val="16"/>
              </w:rPr>
            </w:r>
          </w:p>
        </w:tc>
        <w:tc>
          <w:tcPr>
            <w:tcW w:w="283" w:type="dxa"/>
            <w:tcBorders>
              <w:top w:val="nil" w:sz="6" w:space="0" w:color="auto"/>
              <w:left w:val="nil" w:sz="6" w:space="0" w:color="auto"/>
              <w:bottom w:val="nil" w:sz="6" w:space="0" w:color="auto"/>
              <w:right w:val="nil" w:sz="6" w:space="0" w:color="auto"/>
            </w:tcBorders>
          </w:tcPr>
          <w:p>
            <w:pPr/>
          </w:p>
        </w:tc>
        <w:tc>
          <w:tcPr>
            <w:tcW w:w="1608" w:type="dxa"/>
            <w:tcBorders>
              <w:top w:val="nil" w:sz="6" w:space="0" w:color="auto"/>
              <w:left w:val="nil" w:sz="6" w:space="0" w:color="auto"/>
              <w:bottom w:val="nil" w:sz="6" w:space="0" w:color="auto"/>
              <w:right w:val="nil" w:sz="6" w:space="0" w:color="auto"/>
            </w:tcBorders>
          </w:tcPr>
          <w:p>
            <w:pPr>
              <w:pStyle w:val="TableParagraph"/>
              <w:spacing w:line="240" w:lineRule="auto" w:before="127"/>
              <w:ind w:left="225" w:right="0"/>
              <w:jc w:val="left"/>
              <w:rPr>
                <w:rFonts w:ascii="Arial" w:hAnsi="Arial" w:cs="Arial" w:eastAsia="Arial" w:hint="default"/>
                <w:sz w:val="16"/>
                <w:szCs w:val="16"/>
              </w:rPr>
            </w:pPr>
            <w:r>
              <w:rPr>
                <w:rFonts w:ascii="Arial"/>
                <w:w w:val="105"/>
                <w:sz w:val="16"/>
              </w:rPr>
              <w:t>944,584,168,093</w:t>
            </w:r>
            <w:r>
              <w:rPr>
                <w:rFonts w:ascii="Arial"/>
                <w:sz w:val="16"/>
              </w:rPr>
            </w:r>
          </w:p>
        </w:tc>
      </w:tr>
      <w:tr>
        <w:trPr>
          <w:trHeight w:val="259"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19" w:lineRule="exact"/>
              <w:ind w:left="200" w:right="0"/>
              <w:jc w:val="left"/>
              <w:rPr>
                <w:rFonts w:ascii="宋体" w:hAnsi="宋体" w:cs="宋体" w:eastAsia="宋体" w:hint="default"/>
                <w:sz w:val="20"/>
                <w:szCs w:val="20"/>
              </w:rPr>
            </w:pPr>
            <w:r>
              <w:rPr>
                <w:rFonts w:ascii="宋体" w:hAnsi="宋体" w:cs="宋体" w:eastAsia="宋体" w:hint="default"/>
                <w:w w:val="100"/>
                <w:sz w:val="20"/>
                <w:szCs w:val="20"/>
              </w:rPr>
              <w:t>  </w:t>
            </w:r>
            <w:r>
              <w:rPr>
                <w:rFonts w:ascii="宋体" w:hAnsi="宋体" w:cs="宋体" w:eastAsia="宋体" w:hint="default"/>
                <w:spacing w:val="-3"/>
                <w:sz w:val="20"/>
                <w:szCs w:val="20"/>
              </w:rPr>
              <w:t>本年增加</w:t>
            </w:r>
            <w:r>
              <w:rPr>
                <w:rFonts w:ascii="宋体" w:hAnsi="宋体" w:cs="宋体" w:eastAsia="宋体" w:hint="default"/>
                <w:sz w:val="20"/>
                <w:szCs w:val="20"/>
              </w:rPr>
              <w:t> </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21" w:right="0"/>
              <w:jc w:val="left"/>
              <w:rPr>
                <w:rFonts w:ascii="Arial" w:hAnsi="Arial" w:cs="Arial" w:eastAsia="Arial" w:hint="default"/>
                <w:sz w:val="17"/>
                <w:szCs w:val="17"/>
              </w:rPr>
            </w:pPr>
            <w:r>
              <w:rPr>
                <w:rFonts w:ascii="Arial"/>
                <w:sz w:val="17"/>
              </w:rPr>
              <w:t>1,438,694,977</w:t>
            </w: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0"/>
              <w:jc w:val="right"/>
              <w:rPr>
                <w:rFonts w:ascii="Arial" w:hAnsi="Arial" w:cs="Arial" w:eastAsia="Arial" w:hint="default"/>
                <w:sz w:val="17"/>
                <w:szCs w:val="17"/>
              </w:rPr>
            </w:pPr>
            <w:r>
              <w:rPr>
                <w:rFonts w:ascii="Arial"/>
                <w:w w:val="95"/>
                <w:sz w:val="17"/>
              </w:rPr>
              <w:t>37,095,946,963</w:t>
            </w:r>
            <w:r>
              <w:rPr>
                <w:rFonts w:ascii="Arial"/>
                <w:sz w:val="17"/>
              </w:rPr>
            </w: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446" w:right="0"/>
              <w:jc w:val="left"/>
              <w:rPr>
                <w:rFonts w:ascii="Arial" w:hAnsi="Arial" w:cs="Arial" w:eastAsia="Arial" w:hint="default"/>
                <w:sz w:val="17"/>
                <w:szCs w:val="17"/>
              </w:rPr>
            </w:pPr>
            <w:r>
              <w:rPr>
                <w:rFonts w:ascii="Arial"/>
                <w:sz w:val="17"/>
              </w:rPr>
              <w:t>1,207,941,653</w:t>
            </w:r>
          </w:p>
        </w:tc>
        <w:tc>
          <w:tcPr>
            <w:tcW w:w="283" w:type="dxa"/>
            <w:tcBorders>
              <w:top w:val="nil" w:sz="6" w:space="0" w:color="auto"/>
              <w:left w:val="nil" w:sz="6" w:space="0" w:color="auto"/>
              <w:bottom w:val="nil" w:sz="6" w:space="0" w:color="auto"/>
              <w:right w:val="nil" w:sz="6" w:space="0" w:color="auto"/>
            </w:tcBorders>
          </w:tcPr>
          <w:p>
            <w:pPr/>
          </w:p>
        </w:tc>
        <w:tc>
          <w:tcPr>
            <w:tcW w:w="160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21" w:right="0"/>
              <w:jc w:val="left"/>
              <w:rPr>
                <w:rFonts w:ascii="Arial" w:hAnsi="Arial" w:cs="Arial" w:eastAsia="Arial" w:hint="default"/>
                <w:sz w:val="17"/>
                <w:szCs w:val="17"/>
              </w:rPr>
            </w:pPr>
            <w:r>
              <w:rPr>
                <w:rFonts w:ascii="Arial"/>
                <w:sz w:val="17"/>
              </w:rPr>
              <w:t>39,742,583,593</w:t>
            </w:r>
          </w:p>
        </w:tc>
      </w:tr>
      <w:tr>
        <w:trPr>
          <w:trHeight w:val="259"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19" w:lineRule="exact"/>
              <w:ind w:left="200" w:right="0"/>
              <w:jc w:val="left"/>
              <w:rPr>
                <w:rFonts w:ascii="宋体" w:hAnsi="宋体" w:cs="宋体" w:eastAsia="宋体" w:hint="default"/>
                <w:sz w:val="20"/>
                <w:szCs w:val="20"/>
              </w:rPr>
            </w:pPr>
            <w:r>
              <w:rPr>
                <w:rFonts w:ascii="宋体" w:hAnsi="宋体" w:cs="宋体" w:eastAsia="宋体" w:hint="default"/>
                <w:w w:val="100"/>
                <w:sz w:val="20"/>
                <w:szCs w:val="20"/>
              </w:rPr>
              <w:t>    </w:t>
            </w:r>
            <w:r>
              <w:rPr>
                <w:rFonts w:ascii="宋体" w:hAnsi="宋体" w:cs="宋体" w:eastAsia="宋体" w:hint="default"/>
                <w:spacing w:val="-4"/>
                <w:sz w:val="20"/>
                <w:szCs w:val="20"/>
              </w:rPr>
              <w:t>-</w:t>
            </w:r>
            <w:r>
              <w:rPr>
                <w:rFonts w:ascii="宋体" w:hAnsi="宋体" w:cs="宋体" w:eastAsia="宋体" w:hint="default"/>
                <w:spacing w:val="-4"/>
                <w:sz w:val="20"/>
                <w:szCs w:val="20"/>
              </w:rPr>
              <w:t>购置</w:t>
            </w:r>
            <w:r>
              <w:rPr>
                <w:rFonts w:ascii="宋体" w:hAnsi="宋体" w:cs="宋体" w:eastAsia="宋体" w:hint="default"/>
                <w:sz w:val="20"/>
                <w:szCs w:val="20"/>
              </w:rPr>
              <w:t> </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6"/>
              <w:jc w:val="right"/>
              <w:rPr>
                <w:rFonts w:ascii="Arial" w:hAnsi="Arial" w:cs="Arial" w:eastAsia="Arial" w:hint="default"/>
                <w:sz w:val="17"/>
                <w:szCs w:val="17"/>
              </w:rPr>
            </w:pPr>
            <w:r>
              <w:rPr>
                <w:rFonts w:ascii="Arial"/>
                <w:w w:val="95"/>
                <w:sz w:val="17"/>
              </w:rPr>
              <w:t>159,974,025</w:t>
            </w:r>
            <w:r>
              <w:rPr>
                <w:rFonts w:ascii="Arial"/>
                <w:sz w:val="17"/>
              </w:rPr>
            </w: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0"/>
              <w:jc w:val="right"/>
              <w:rPr>
                <w:rFonts w:ascii="Arial" w:hAnsi="Arial" w:cs="Arial" w:eastAsia="Arial" w:hint="default"/>
                <w:sz w:val="17"/>
                <w:szCs w:val="17"/>
              </w:rPr>
            </w:pPr>
            <w:r>
              <w:rPr>
                <w:rFonts w:ascii="Arial"/>
                <w:w w:val="95"/>
                <w:sz w:val="17"/>
              </w:rPr>
              <w:t>225,151,250</w:t>
            </w:r>
            <w:r>
              <w:rPr>
                <w:rFonts w:ascii="Arial"/>
                <w:sz w:val="17"/>
              </w:rPr>
            </w: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6"/>
              <w:jc w:val="right"/>
              <w:rPr>
                <w:rFonts w:ascii="Arial" w:hAnsi="Arial" w:cs="Arial" w:eastAsia="Arial" w:hint="default"/>
                <w:sz w:val="17"/>
                <w:szCs w:val="17"/>
              </w:rPr>
            </w:pPr>
            <w:r>
              <w:rPr>
                <w:rFonts w:ascii="Arial"/>
                <w:w w:val="95"/>
                <w:sz w:val="17"/>
              </w:rPr>
              <w:t>369,260,841</w:t>
            </w:r>
            <w:r>
              <w:rPr>
                <w:rFonts w:ascii="Arial"/>
                <w:sz w:val="17"/>
              </w:rPr>
            </w:r>
          </w:p>
        </w:tc>
        <w:tc>
          <w:tcPr>
            <w:tcW w:w="283" w:type="dxa"/>
            <w:tcBorders>
              <w:top w:val="nil" w:sz="6" w:space="0" w:color="auto"/>
              <w:left w:val="nil" w:sz="6" w:space="0" w:color="auto"/>
              <w:bottom w:val="nil" w:sz="6" w:space="0" w:color="auto"/>
              <w:right w:val="nil" w:sz="6" w:space="0" w:color="auto"/>
            </w:tcBorders>
          </w:tcPr>
          <w:p>
            <w:pPr/>
          </w:p>
        </w:tc>
        <w:tc>
          <w:tcPr>
            <w:tcW w:w="160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6"/>
              <w:jc w:val="right"/>
              <w:rPr>
                <w:rFonts w:ascii="Arial" w:hAnsi="Arial" w:cs="Arial" w:eastAsia="Arial" w:hint="default"/>
                <w:sz w:val="17"/>
                <w:szCs w:val="17"/>
              </w:rPr>
            </w:pPr>
            <w:r>
              <w:rPr>
                <w:rFonts w:ascii="Arial"/>
                <w:w w:val="95"/>
                <w:sz w:val="17"/>
              </w:rPr>
              <w:t>754,386,116</w:t>
            </w:r>
            <w:r>
              <w:rPr>
                <w:rFonts w:ascii="Arial"/>
                <w:sz w:val="17"/>
              </w:rPr>
            </w:r>
          </w:p>
        </w:tc>
      </w:tr>
      <w:tr>
        <w:trPr>
          <w:trHeight w:val="259"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19" w:lineRule="exact"/>
              <w:ind w:left="200" w:right="0"/>
              <w:jc w:val="left"/>
              <w:rPr>
                <w:rFonts w:ascii="宋体" w:hAnsi="宋体" w:cs="宋体" w:eastAsia="宋体" w:hint="default"/>
                <w:sz w:val="20"/>
                <w:szCs w:val="20"/>
              </w:rPr>
            </w:pPr>
            <w:r>
              <w:rPr>
                <w:rFonts w:ascii="宋体" w:hAnsi="宋体" w:cs="宋体" w:eastAsia="宋体" w:hint="default"/>
                <w:w w:val="100"/>
                <w:sz w:val="20"/>
                <w:szCs w:val="20"/>
              </w:rPr>
              <w:t>    </w:t>
            </w:r>
            <w:r>
              <w:rPr>
                <w:rFonts w:ascii="宋体" w:hAnsi="宋体" w:cs="宋体" w:eastAsia="宋体" w:hint="default"/>
                <w:spacing w:val="-3"/>
                <w:sz w:val="20"/>
                <w:szCs w:val="20"/>
              </w:rPr>
              <w:t>-</w:t>
            </w:r>
            <w:r>
              <w:rPr>
                <w:rFonts w:ascii="宋体" w:hAnsi="宋体" w:cs="宋体" w:eastAsia="宋体" w:hint="default"/>
                <w:spacing w:val="-3"/>
                <w:sz w:val="20"/>
                <w:szCs w:val="20"/>
              </w:rPr>
              <w:t>在建工程转入</w:t>
            </w:r>
            <w:r>
              <w:rPr>
                <w:rFonts w:ascii="宋体" w:hAnsi="宋体" w:cs="宋体" w:eastAsia="宋体" w:hint="default"/>
                <w:sz w:val="20"/>
                <w:szCs w:val="20"/>
              </w:rPr>
              <w:t> </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16" w:right="0"/>
              <w:jc w:val="left"/>
              <w:rPr>
                <w:rFonts w:ascii="Arial" w:hAnsi="Arial" w:cs="Arial" w:eastAsia="Arial" w:hint="default"/>
                <w:sz w:val="17"/>
                <w:szCs w:val="17"/>
              </w:rPr>
            </w:pPr>
            <w:r>
              <w:rPr>
                <w:rFonts w:ascii="Arial"/>
                <w:sz w:val="17"/>
              </w:rPr>
              <w:t>1,278,720,952</w:t>
            </w: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0"/>
              <w:jc w:val="right"/>
              <w:rPr>
                <w:rFonts w:ascii="Arial" w:hAnsi="Arial" w:cs="Arial" w:eastAsia="Arial" w:hint="default"/>
                <w:sz w:val="17"/>
                <w:szCs w:val="17"/>
              </w:rPr>
            </w:pPr>
            <w:r>
              <w:rPr>
                <w:rFonts w:ascii="Arial"/>
                <w:w w:val="95"/>
                <w:sz w:val="17"/>
              </w:rPr>
              <w:t>36,870,795,713</w:t>
            </w:r>
            <w:r>
              <w:rPr>
                <w:rFonts w:ascii="Arial"/>
                <w:sz w:val="17"/>
              </w:rPr>
            </w: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6"/>
              <w:jc w:val="right"/>
              <w:rPr>
                <w:rFonts w:ascii="Arial" w:hAnsi="Arial" w:cs="Arial" w:eastAsia="Arial" w:hint="default"/>
                <w:sz w:val="17"/>
                <w:szCs w:val="17"/>
              </w:rPr>
            </w:pPr>
            <w:r>
              <w:rPr>
                <w:rFonts w:ascii="Arial"/>
                <w:w w:val="95"/>
                <w:sz w:val="17"/>
              </w:rPr>
              <w:t>838,680,812</w:t>
            </w:r>
            <w:r>
              <w:rPr>
                <w:rFonts w:ascii="Arial"/>
                <w:sz w:val="17"/>
              </w:rPr>
            </w:r>
          </w:p>
        </w:tc>
        <w:tc>
          <w:tcPr>
            <w:tcW w:w="283" w:type="dxa"/>
            <w:tcBorders>
              <w:top w:val="nil" w:sz="6" w:space="0" w:color="auto"/>
              <w:left w:val="nil" w:sz="6" w:space="0" w:color="auto"/>
              <w:bottom w:val="nil" w:sz="6" w:space="0" w:color="auto"/>
              <w:right w:val="nil" w:sz="6" w:space="0" w:color="auto"/>
            </w:tcBorders>
          </w:tcPr>
          <w:p>
            <w:pPr/>
          </w:p>
        </w:tc>
        <w:tc>
          <w:tcPr>
            <w:tcW w:w="160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21" w:right="0"/>
              <w:jc w:val="left"/>
              <w:rPr>
                <w:rFonts w:ascii="Arial" w:hAnsi="Arial" w:cs="Arial" w:eastAsia="Arial" w:hint="default"/>
                <w:sz w:val="17"/>
                <w:szCs w:val="17"/>
              </w:rPr>
            </w:pPr>
            <w:r>
              <w:rPr>
                <w:rFonts w:ascii="Arial"/>
                <w:sz w:val="17"/>
              </w:rPr>
              <w:t>38,988,197,477</w:t>
            </w:r>
          </w:p>
        </w:tc>
      </w:tr>
      <w:tr>
        <w:trPr>
          <w:trHeight w:val="264"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19" w:lineRule="exact"/>
              <w:ind w:left="200" w:right="0"/>
              <w:jc w:val="left"/>
              <w:rPr>
                <w:rFonts w:ascii="宋体" w:hAnsi="宋体" w:cs="宋体" w:eastAsia="宋体" w:hint="default"/>
                <w:sz w:val="20"/>
                <w:szCs w:val="20"/>
              </w:rPr>
            </w:pPr>
            <w:r>
              <w:rPr>
                <w:rFonts w:ascii="宋体" w:hAnsi="宋体" w:cs="宋体" w:eastAsia="宋体" w:hint="default"/>
                <w:w w:val="100"/>
                <w:sz w:val="20"/>
                <w:szCs w:val="20"/>
              </w:rPr>
              <w:t>  </w:t>
            </w:r>
            <w:r>
              <w:rPr>
                <w:rFonts w:ascii="宋体" w:hAnsi="宋体" w:cs="宋体" w:eastAsia="宋体" w:hint="default"/>
                <w:spacing w:val="-3"/>
                <w:sz w:val="20"/>
                <w:szCs w:val="20"/>
              </w:rPr>
              <w:t>本年处置或报废</w:t>
            </w:r>
            <w:r>
              <w:rPr>
                <w:rFonts w:ascii="宋体" w:hAnsi="宋体" w:cs="宋体" w:eastAsia="宋体" w:hint="default"/>
                <w:sz w:val="20"/>
                <w:szCs w:val="20"/>
              </w:rPr>
              <w:t> </w:t>
            </w:r>
          </w:p>
        </w:tc>
        <w:tc>
          <w:tcPr>
            <w:tcW w:w="1507" w:type="dxa"/>
            <w:tcBorders>
              <w:top w:val="nil" w:sz="6" w:space="0" w:color="auto"/>
              <w:left w:val="nil" w:sz="6" w:space="0" w:color="auto"/>
              <w:bottom w:val="nil" w:sz="6" w:space="0" w:color="auto"/>
              <w:right w:val="nil" w:sz="6" w:space="0" w:color="auto"/>
            </w:tcBorders>
          </w:tcPr>
          <w:p>
            <w:pPr>
              <w:pStyle w:val="TableParagraph"/>
              <w:tabs>
                <w:tab w:pos="393" w:val="left" w:leader="none"/>
                <w:tab w:pos="1507" w:val="left" w:leader="none"/>
              </w:tabs>
              <w:spacing w:line="240" w:lineRule="auto" w:before="60"/>
              <w:ind w:right="0"/>
              <w:jc w:val="righ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ab/>
              <w:t>(154,654,954)</w:t>
              <w:tab/>
            </w:r>
            <w:r>
              <w:rPr>
                <w:rFonts w:ascii="Arial"/>
                <w:sz w:val="16"/>
              </w:rPr>
            </w: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Style w:val="TableParagraph"/>
              <w:tabs>
                <w:tab w:pos="417" w:val="left" w:leader="none"/>
                <w:tab w:pos="1766" w:val="left" w:leader="none"/>
              </w:tabs>
              <w:spacing w:line="240" w:lineRule="auto" w:before="60"/>
              <w:ind w:right="0"/>
              <w:jc w:val="righ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ab/>
              <w:t>(49,597,929,126)</w:t>
              <w:tab/>
            </w:r>
            <w:r>
              <w:rPr>
                <w:rFonts w:ascii="Arial"/>
                <w:sz w:val="16"/>
              </w:rPr>
            </w: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tabs>
                <w:tab w:pos="388" w:val="left" w:leader="none"/>
                <w:tab w:pos="1636" w:val="left" w:leader="none"/>
              </w:tabs>
              <w:spacing w:line="240" w:lineRule="auto" w:before="60"/>
              <w:ind w:right="0"/>
              <w:jc w:val="righ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ab/>
            </w:r>
            <w:r>
              <w:rPr>
                <w:rFonts w:ascii="Arial"/>
                <w:spacing w:val="-1"/>
                <w:w w:val="105"/>
                <w:sz w:val="16"/>
                <w:u w:val="single" w:color="000000"/>
              </w:rPr>
              <w:t>(1,196,688,882)</w:t>
            </w:r>
            <w:r>
              <w:rPr>
                <w:rFonts w:ascii="Arial"/>
                <w:spacing w:val="-1"/>
                <w:sz w:val="16"/>
                <w:u w:val="single" w:color="000000"/>
              </w:rPr>
              <w:tab/>
            </w:r>
            <w:r>
              <w:rPr>
                <w:rFonts w:ascii="Arial"/>
                <w:spacing w:val="-1"/>
                <w:sz w:val="16"/>
              </w:rPr>
            </w:r>
          </w:p>
        </w:tc>
        <w:tc>
          <w:tcPr>
            <w:tcW w:w="283" w:type="dxa"/>
            <w:tcBorders>
              <w:top w:val="nil" w:sz="6" w:space="0" w:color="auto"/>
              <w:left w:val="nil" w:sz="6" w:space="0" w:color="auto"/>
              <w:bottom w:val="nil" w:sz="6" w:space="0" w:color="auto"/>
              <w:right w:val="nil" w:sz="6" w:space="0" w:color="auto"/>
            </w:tcBorders>
          </w:tcPr>
          <w:p>
            <w:pPr/>
          </w:p>
        </w:tc>
        <w:tc>
          <w:tcPr>
            <w:tcW w:w="1608" w:type="dxa"/>
            <w:tcBorders>
              <w:top w:val="nil" w:sz="6" w:space="0" w:color="auto"/>
              <w:left w:val="nil" w:sz="6" w:space="0" w:color="auto"/>
              <w:bottom w:val="nil" w:sz="6" w:space="0" w:color="auto"/>
              <w:right w:val="nil" w:sz="6" w:space="0" w:color="auto"/>
            </w:tcBorders>
          </w:tcPr>
          <w:p>
            <w:pPr>
              <w:pStyle w:val="TableParagraph"/>
              <w:tabs>
                <w:tab w:pos="259" w:val="left" w:leader="none"/>
                <w:tab w:pos="1607" w:val="left" w:leader="none"/>
              </w:tabs>
              <w:spacing w:line="240" w:lineRule="auto" w:before="60"/>
              <w:ind w:right="0"/>
              <w:jc w:val="righ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ab/>
              <w:t>(50,949,272,962)</w:t>
              <w:tab/>
            </w:r>
            <w:r>
              <w:rPr>
                <w:rFonts w:ascii="Arial"/>
                <w:sz w:val="16"/>
              </w:rPr>
            </w:r>
          </w:p>
        </w:tc>
      </w:tr>
      <w:tr>
        <w:trPr>
          <w:trHeight w:val="418"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24" w:lineRule="exact"/>
              <w:ind w:left="200" w:right="0"/>
              <w:jc w:val="left"/>
              <w:rPr>
                <w:rFonts w:ascii="宋体" w:hAnsi="宋体" w:cs="宋体" w:eastAsia="宋体" w:hint="default"/>
                <w:sz w:val="20"/>
                <w:szCs w:val="20"/>
              </w:rPr>
            </w:pPr>
            <w:r>
              <w:rPr>
                <w:rFonts w:ascii="宋体" w:hAnsi="宋体" w:cs="宋体" w:eastAsia="宋体" w:hint="default"/>
                <w:w w:val="100"/>
                <w:sz w:val="20"/>
                <w:szCs w:val="20"/>
              </w:rPr>
              <w:t>  </w:t>
            </w:r>
            <w:r>
              <w:rPr>
                <w:rFonts w:ascii="宋体" w:hAnsi="宋体" w:cs="宋体" w:eastAsia="宋体" w:hint="default"/>
                <w:spacing w:val="-3"/>
                <w:sz w:val="20"/>
                <w:szCs w:val="20"/>
              </w:rPr>
              <w:t>年末余额</w:t>
            </w:r>
            <w:r>
              <w:rPr>
                <w:rFonts w:ascii="宋体" w:hAnsi="宋体" w:cs="宋体" w:eastAsia="宋体" w:hint="default"/>
                <w:sz w:val="20"/>
                <w:szCs w:val="20"/>
              </w:rPr>
              <w:t> </w:t>
            </w:r>
          </w:p>
        </w:tc>
        <w:tc>
          <w:tcPr>
            <w:tcW w:w="1507" w:type="dxa"/>
            <w:tcBorders>
              <w:top w:val="nil" w:sz="6" w:space="0" w:color="auto"/>
              <w:left w:val="nil" w:sz="6" w:space="0" w:color="auto"/>
              <w:bottom w:val="nil" w:sz="6" w:space="0" w:color="auto"/>
              <w:right w:val="nil" w:sz="6" w:space="0" w:color="auto"/>
            </w:tcBorders>
          </w:tcPr>
          <w:p>
            <w:pPr>
              <w:pStyle w:val="TableParagraph"/>
              <w:tabs>
                <w:tab w:pos="1507" w:val="left" w:leader="none"/>
              </w:tabs>
              <w:spacing w:line="240" w:lineRule="auto" w:before="64"/>
              <w:ind w:right="0"/>
              <w:jc w:val="righ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   </w:t>
            </w:r>
            <w:r>
              <w:rPr>
                <w:rFonts w:ascii="Arial"/>
                <w:spacing w:val="-4"/>
                <w:sz w:val="16"/>
                <w:u w:val="single" w:color="000000"/>
              </w:rPr>
              <w:t> </w:t>
            </w:r>
            <w:r>
              <w:rPr>
                <w:rFonts w:ascii="Arial"/>
                <w:w w:val="105"/>
                <w:sz w:val="16"/>
                <w:u w:val="single" w:color="000000"/>
              </w:rPr>
              <w:t>75,631,011,875</w:t>
            </w:r>
            <w:r>
              <w:rPr>
                <w:rFonts w:ascii="Arial"/>
                <w:sz w:val="16"/>
                <w:u w:val="single" w:color="000000"/>
              </w:rPr>
              <w:tab/>
            </w:r>
            <w:r>
              <w:rPr>
                <w:rFonts w:ascii="Arial"/>
                <w:sz w:val="16"/>
              </w:rPr>
            </w: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Style w:val="TableParagraph"/>
              <w:tabs>
                <w:tab w:pos="379" w:val="left" w:leader="none"/>
                <w:tab w:pos="1766" w:val="left" w:leader="none"/>
              </w:tabs>
              <w:spacing w:line="240" w:lineRule="auto" w:before="64"/>
              <w:ind w:right="0"/>
              <w:jc w:val="righ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ab/>
            </w:r>
            <w:r>
              <w:rPr>
                <w:rFonts w:ascii="Arial"/>
                <w:w w:val="105"/>
                <w:sz w:val="16"/>
                <w:u w:val="single" w:color="000000"/>
              </w:rPr>
              <w:t>837,632,091,035</w:t>
            </w:r>
            <w:r>
              <w:rPr>
                <w:rFonts w:ascii="Arial"/>
                <w:sz w:val="16"/>
                <w:u w:val="single" w:color="000000"/>
              </w:rPr>
              <w:tab/>
            </w:r>
            <w:r>
              <w:rPr>
                <w:rFonts w:ascii="Arial"/>
                <w:sz w:val="16"/>
              </w:rPr>
            </w: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tabs>
                <w:tab w:pos="350" w:val="left" w:leader="none"/>
                <w:tab w:pos="1636" w:val="left" w:leader="none"/>
              </w:tabs>
              <w:spacing w:line="240" w:lineRule="auto" w:before="64"/>
              <w:ind w:right="0"/>
              <w:jc w:val="righ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ab/>
            </w:r>
            <w:r>
              <w:rPr>
                <w:rFonts w:ascii="Arial"/>
                <w:w w:val="105"/>
                <w:sz w:val="16"/>
                <w:u w:val="single" w:color="000000"/>
              </w:rPr>
              <w:t>20,114,375,814</w:t>
            </w:r>
            <w:r>
              <w:rPr>
                <w:rFonts w:ascii="Arial"/>
                <w:sz w:val="16"/>
                <w:u w:val="single" w:color="000000"/>
              </w:rPr>
              <w:tab/>
            </w:r>
            <w:r>
              <w:rPr>
                <w:rFonts w:ascii="Arial"/>
                <w:sz w:val="16"/>
              </w:rPr>
            </w:r>
          </w:p>
        </w:tc>
        <w:tc>
          <w:tcPr>
            <w:tcW w:w="283" w:type="dxa"/>
            <w:tcBorders>
              <w:top w:val="nil" w:sz="6" w:space="0" w:color="auto"/>
              <w:left w:val="nil" w:sz="6" w:space="0" w:color="auto"/>
              <w:bottom w:val="nil" w:sz="6" w:space="0" w:color="auto"/>
              <w:right w:val="nil" w:sz="6" w:space="0" w:color="auto"/>
            </w:tcBorders>
          </w:tcPr>
          <w:p>
            <w:pPr/>
          </w:p>
        </w:tc>
        <w:tc>
          <w:tcPr>
            <w:tcW w:w="1608" w:type="dxa"/>
            <w:tcBorders>
              <w:top w:val="nil" w:sz="6" w:space="0" w:color="auto"/>
              <w:left w:val="nil" w:sz="6" w:space="0" w:color="auto"/>
              <w:bottom w:val="nil" w:sz="6" w:space="0" w:color="auto"/>
              <w:right w:val="nil" w:sz="6" w:space="0" w:color="auto"/>
            </w:tcBorders>
          </w:tcPr>
          <w:p>
            <w:pPr>
              <w:pStyle w:val="TableParagraph"/>
              <w:tabs>
                <w:tab w:pos="1607" w:val="left" w:leader="none"/>
              </w:tabs>
              <w:spacing w:line="240" w:lineRule="auto" w:before="64"/>
              <w:ind w:right="0"/>
              <w:jc w:val="righ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   </w:t>
            </w:r>
            <w:r>
              <w:rPr>
                <w:rFonts w:ascii="Arial"/>
                <w:spacing w:val="1"/>
                <w:sz w:val="16"/>
                <w:u w:val="single" w:color="000000"/>
              </w:rPr>
              <w:t> </w:t>
            </w:r>
            <w:r>
              <w:rPr>
                <w:rFonts w:ascii="Arial"/>
                <w:w w:val="105"/>
                <w:sz w:val="16"/>
                <w:u w:val="single" w:color="000000"/>
              </w:rPr>
              <w:t>933,377,478,724</w:t>
            </w:r>
            <w:r>
              <w:rPr>
                <w:rFonts w:ascii="Arial"/>
                <w:sz w:val="16"/>
                <w:u w:val="single" w:color="000000"/>
              </w:rPr>
              <w:tab/>
            </w:r>
            <w:r>
              <w:rPr>
                <w:rFonts w:ascii="Arial"/>
                <w:sz w:val="16"/>
              </w:rPr>
            </w:r>
          </w:p>
        </w:tc>
      </w:tr>
      <w:tr>
        <w:trPr>
          <w:trHeight w:val="401"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200" w:right="0"/>
              <w:jc w:val="left"/>
              <w:rPr>
                <w:rFonts w:ascii="宋体" w:hAnsi="宋体" w:cs="宋体" w:eastAsia="宋体" w:hint="default"/>
                <w:sz w:val="20"/>
                <w:szCs w:val="20"/>
              </w:rPr>
            </w:pPr>
            <w:r>
              <w:rPr>
                <w:rFonts w:ascii="宋体" w:hAnsi="宋体" w:cs="宋体" w:eastAsia="宋体" w:hint="default"/>
                <w:sz w:val="20"/>
                <w:szCs w:val="20"/>
              </w:rPr>
              <w:t>累计折旧</w:t>
            </w:r>
            <w:r>
              <w:rPr>
                <w:rFonts w:ascii="宋体" w:hAnsi="宋体" w:cs="宋体" w:eastAsia="宋体" w:hint="default"/>
                <w:sz w:val="20"/>
                <w:szCs w:val="20"/>
              </w:rPr>
              <w:t> </w:t>
            </w:r>
          </w:p>
        </w:tc>
        <w:tc>
          <w:tcPr>
            <w:tcW w:w="1507" w:type="dxa"/>
            <w:tcBorders>
              <w:top w:val="nil" w:sz="6" w:space="0" w:color="auto"/>
              <w:left w:val="nil" w:sz="6" w:space="0" w:color="auto"/>
              <w:bottom w:val="nil" w:sz="6" w:space="0" w:color="auto"/>
              <w:right w:val="nil" w:sz="6" w:space="0" w:color="auto"/>
            </w:tcBorders>
          </w:tcPr>
          <w:p>
            <w:pP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
        </w:tc>
        <w:tc>
          <w:tcPr>
            <w:tcW w:w="1891" w:type="dxa"/>
            <w:gridSpan w:val="2"/>
            <w:tcBorders>
              <w:top w:val="nil" w:sz="6" w:space="0" w:color="auto"/>
              <w:left w:val="nil" w:sz="6" w:space="0" w:color="auto"/>
              <w:bottom w:val="nil" w:sz="6" w:space="0" w:color="auto"/>
              <w:right w:val="nil" w:sz="6" w:space="0" w:color="auto"/>
            </w:tcBorders>
          </w:tcPr>
          <w:p>
            <w:pPr/>
          </w:p>
        </w:tc>
      </w:tr>
      <w:tr>
        <w:trPr>
          <w:trHeight w:val="271"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30" w:lineRule="exact"/>
              <w:ind w:left="200" w:right="0"/>
              <w:jc w:val="left"/>
              <w:rPr>
                <w:rFonts w:ascii="宋体" w:hAnsi="宋体" w:cs="宋体" w:eastAsia="宋体" w:hint="default"/>
                <w:sz w:val="20"/>
                <w:szCs w:val="20"/>
              </w:rPr>
            </w:pPr>
            <w:r>
              <w:rPr>
                <w:rFonts w:ascii="宋体" w:hAnsi="宋体" w:cs="宋体" w:eastAsia="宋体" w:hint="default"/>
                <w:w w:val="100"/>
                <w:sz w:val="20"/>
                <w:szCs w:val="20"/>
              </w:rPr>
              <w:t>  </w:t>
            </w:r>
            <w:r>
              <w:rPr>
                <w:rFonts w:ascii="宋体" w:hAnsi="宋体" w:cs="宋体" w:eastAsia="宋体" w:hint="default"/>
                <w:spacing w:val="-3"/>
                <w:sz w:val="20"/>
                <w:szCs w:val="20"/>
              </w:rPr>
              <w:t>年初余额</w:t>
            </w:r>
            <w:r>
              <w:rPr>
                <w:rFonts w:ascii="宋体" w:hAnsi="宋体" w:cs="宋体" w:eastAsia="宋体" w:hint="default"/>
                <w:sz w:val="20"/>
                <w:szCs w:val="20"/>
              </w:rPr>
              <w:t> </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59"/>
              <w:jc w:val="right"/>
              <w:rPr>
                <w:rFonts w:ascii="Arial" w:hAnsi="Arial" w:cs="Arial" w:eastAsia="Arial" w:hint="default"/>
                <w:sz w:val="16"/>
                <w:szCs w:val="16"/>
              </w:rPr>
            </w:pPr>
            <w:r>
              <w:rPr>
                <w:rFonts w:ascii="Arial"/>
                <w:spacing w:val="-1"/>
                <w:w w:val="105"/>
                <w:sz w:val="16"/>
              </w:rPr>
              <w:t>(33,777,254,896)</w:t>
            </w:r>
            <w:r>
              <w:rPr>
                <w:rFonts w:ascii="Arial"/>
                <w:sz w:val="16"/>
              </w:rPr>
            </w: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52"/>
              <w:jc w:val="right"/>
              <w:rPr>
                <w:rFonts w:ascii="Arial" w:hAnsi="Arial" w:cs="Arial" w:eastAsia="Arial" w:hint="default"/>
                <w:sz w:val="16"/>
                <w:szCs w:val="16"/>
              </w:rPr>
            </w:pPr>
            <w:r>
              <w:rPr>
                <w:rFonts w:ascii="Arial"/>
                <w:sz w:val="16"/>
              </w:rPr>
              <w:t>(553,098,847,254)</w:t>
            </w: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54"/>
              <w:jc w:val="right"/>
              <w:rPr>
                <w:rFonts w:ascii="Arial" w:hAnsi="Arial" w:cs="Arial" w:eastAsia="Arial" w:hint="default"/>
                <w:sz w:val="16"/>
                <w:szCs w:val="16"/>
              </w:rPr>
            </w:pPr>
            <w:r>
              <w:rPr>
                <w:rFonts w:ascii="Arial"/>
                <w:spacing w:val="-1"/>
                <w:w w:val="105"/>
                <w:sz w:val="16"/>
              </w:rPr>
              <w:t>(15,676,678,476)</w:t>
            </w:r>
            <w:r>
              <w:rPr>
                <w:rFonts w:ascii="Arial"/>
                <w:sz w:val="16"/>
              </w:rPr>
            </w:r>
          </w:p>
        </w:tc>
        <w:tc>
          <w:tcPr>
            <w:tcW w:w="18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1"/>
              <w:ind w:left="451" w:right="0"/>
              <w:jc w:val="left"/>
              <w:rPr>
                <w:rFonts w:ascii="Arial" w:hAnsi="Arial" w:cs="Arial" w:eastAsia="Arial" w:hint="default"/>
                <w:sz w:val="16"/>
                <w:szCs w:val="16"/>
              </w:rPr>
            </w:pPr>
            <w:r>
              <w:rPr>
                <w:rFonts w:ascii="Arial"/>
                <w:w w:val="105"/>
                <w:sz w:val="16"/>
              </w:rPr>
              <w:t>(602,552,780,626)</w:t>
            </w:r>
            <w:r>
              <w:rPr>
                <w:rFonts w:ascii="Arial"/>
                <w:sz w:val="16"/>
              </w:rPr>
            </w:r>
          </w:p>
        </w:tc>
      </w:tr>
      <w:tr>
        <w:trPr>
          <w:trHeight w:val="598"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18" w:lineRule="exact"/>
              <w:ind w:left="382" w:right="0"/>
              <w:jc w:val="left"/>
              <w:rPr>
                <w:rFonts w:ascii="宋体" w:hAnsi="宋体" w:cs="宋体" w:eastAsia="宋体" w:hint="default"/>
                <w:sz w:val="20"/>
                <w:szCs w:val="20"/>
              </w:rPr>
            </w:pPr>
            <w:r>
              <w:rPr>
                <w:rFonts w:ascii="宋体" w:hAnsi="宋体" w:cs="宋体" w:eastAsia="宋体" w:hint="default"/>
                <w:sz w:val="20"/>
                <w:szCs w:val="20"/>
              </w:rPr>
              <w:t>首次执行新准则</w:t>
            </w:r>
          </w:p>
          <w:p>
            <w:pPr>
              <w:pStyle w:val="TableParagraph"/>
              <w:spacing w:line="260" w:lineRule="exact"/>
              <w:ind w:left="564" w:right="0"/>
              <w:jc w:val="left"/>
              <w:rPr>
                <w:rFonts w:ascii="宋体" w:hAnsi="宋体" w:cs="宋体" w:eastAsia="宋体" w:hint="default"/>
                <w:sz w:val="20"/>
                <w:szCs w:val="20"/>
              </w:rPr>
            </w:pPr>
            <w:r>
              <w:rPr>
                <w:rFonts w:ascii="宋体" w:hAnsi="宋体" w:cs="宋体" w:eastAsia="宋体" w:hint="default"/>
                <w:sz w:val="20"/>
                <w:szCs w:val="20"/>
              </w:rPr>
              <w:t>重分类至使用权资产</w:t>
            </w:r>
            <w:r>
              <w:rPr>
                <w:rFonts w:ascii="宋体" w:hAnsi="宋体" w:cs="宋体" w:eastAsia="宋体" w:hint="default"/>
                <w:sz w:val="20"/>
                <w:szCs w:val="20"/>
              </w:rPr>
              <w:t> </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tabs>
                <w:tab w:pos="1343" w:val="left" w:leader="none"/>
                <w:tab w:pos="1507" w:val="left" w:leader="none"/>
              </w:tabs>
              <w:spacing w:line="240" w:lineRule="auto" w:before="134"/>
              <w:ind w:right="0"/>
              <w:jc w:val="right"/>
              <w:rPr>
                <w:rFonts w:ascii="Arial" w:hAnsi="Arial" w:cs="Arial" w:eastAsia="Arial" w:hint="default"/>
                <w:sz w:val="17"/>
                <w:szCs w:val="17"/>
              </w:rPr>
            </w:pPr>
            <w:r>
              <w:rPr>
                <w:rFonts w:ascii="Arial"/>
                <w:w w:val="98"/>
                <w:sz w:val="17"/>
              </w:rPr>
            </w:r>
            <w:r>
              <w:rPr>
                <w:rFonts w:ascii="Arial"/>
                <w:w w:val="98"/>
                <w:sz w:val="17"/>
                <w:u w:val="single" w:color="000000"/>
              </w:rPr>
              <w:t> </w:t>
            </w:r>
            <w:r>
              <w:rPr>
                <w:rFonts w:ascii="Arial"/>
                <w:sz w:val="17"/>
                <w:u w:val="single" w:color="000000"/>
              </w:rPr>
              <w:tab/>
            </w:r>
            <w:r>
              <w:rPr>
                <w:rFonts w:ascii="Arial"/>
                <w:w w:val="95"/>
                <w:sz w:val="17"/>
                <w:u w:val="single" w:color="000000"/>
              </w:rPr>
              <w:t>-</w:t>
            </w:r>
            <w:r>
              <w:rPr>
                <w:rFonts w:ascii="Arial"/>
                <w:sz w:val="17"/>
                <w:u w:val="single" w:color="000000"/>
              </w:rPr>
              <w:tab/>
            </w:r>
            <w:r>
              <w:rPr>
                <w:rFonts w:ascii="Arial"/>
                <w:sz w:val="17"/>
              </w:rPr>
            </w: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tabs>
                <w:tab w:pos="710" w:val="left" w:leader="none"/>
                <w:tab w:pos="1766" w:val="left" w:leader="none"/>
              </w:tabs>
              <w:spacing w:line="240" w:lineRule="auto" w:before="134"/>
              <w:ind w:right="0"/>
              <w:jc w:val="right"/>
              <w:rPr>
                <w:rFonts w:ascii="Arial" w:hAnsi="Arial" w:cs="Arial" w:eastAsia="Arial" w:hint="default"/>
                <w:sz w:val="17"/>
                <w:szCs w:val="17"/>
              </w:rPr>
            </w:pPr>
            <w:r>
              <w:rPr>
                <w:rFonts w:ascii="Arial"/>
                <w:w w:val="98"/>
                <w:sz w:val="17"/>
              </w:rPr>
            </w:r>
            <w:r>
              <w:rPr>
                <w:rFonts w:ascii="Arial"/>
                <w:w w:val="98"/>
                <w:sz w:val="17"/>
                <w:u w:val="single" w:color="000000"/>
              </w:rPr>
              <w:t> </w:t>
            </w:r>
            <w:r>
              <w:rPr>
                <w:rFonts w:ascii="Arial"/>
                <w:sz w:val="17"/>
                <w:u w:val="single" w:color="000000"/>
              </w:rPr>
              <w:tab/>
            </w:r>
            <w:r>
              <w:rPr>
                <w:rFonts w:ascii="Arial"/>
                <w:w w:val="95"/>
                <w:sz w:val="17"/>
                <w:u w:val="single" w:color="000000"/>
              </w:rPr>
              <w:t>118,103,929</w:t>
            </w:r>
            <w:r>
              <w:rPr>
                <w:rFonts w:ascii="Arial"/>
                <w:sz w:val="17"/>
                <w:u w:val="single" w:color="000000"/>
              </w:rPr>
              <w:tab/>
            </w:r>
            <w:r>
              <w:rPr>
                <w:rFonts w:ascii="Arial"/>
                <w:sz w:val="17"/>
              </w:rPr>
            </w: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tabs>
                <w:tab w:pos="1473" w:val="left" w:leader="none"/>
                <w:tab w:pos="1636" w:val="left" w:leader="none"/>
              </w:tabs>
              <w:spacing w:line="240" w:lineRule="auto" w:before="134"/>
              <w:ind w:right="0"/>
              <w:jc w:val="right"/>
              <w:rPr>
                <w:rFonts w:ascii="Arial" w:hAnsi="Arial" w:cs="Arial" w:eastAsia="Arial" w:hint="default"/>
                <w:sz w:val="17"/>
                <w:szCs w:val="17"/>
              </w:rPr>
            </w:pPr>
            <w:r>
              <w:rPr>
                <w:rFonts w:ascii="Arial"/>
                <w:w w:val="98"/>
                <w:sz w:val="17"/>
              </w:rPr>
            </w:r>
            <w:r>
              <w:rPr>
                <w:rFonts w:ascii="Arial"/>
                <w:w w:val="98"/>
                <w:sz w:val="17"/>
                <w:u w:val="single" w:color="000000"/>
              </w:rPr>
              <w:t> </w:t>
            </w:r>
            <w:r>
              <w:rPr>
                <w:rFonts w:ascii="Arial"/>
                <w:sz w:val="17"/>
                <w:u w:val="single" w:color="000000"/>
              </w:rPr>
              <w:tab/>
            </w:r>
            <w:r>
              <w:rPr>
                <w:rFonts w:ascii="Arial"/>
                <w:w w:val="95"/>
                <w:sz w:val="17"/>
                <w:u w:val="single" w:color="000000"/>
              </w:rPr>
              <w:t>-</w:t>
            </w:r>
            <w:r>
              <w:rPr>
                <w:rFonts w:ascii="Arial"/>
                <w:sz w:val="17"/>
                <w:u w:val="single" w:color="000000"/>
              </w:rPr>
              <w:tab/>
            </w:r>
            <w:r>
              <w:rPr>
                <w:rFonts w:ascii="Arial"/>
                <w:sz w:val="17"/>
              </w:rPr>
            </w:r>
          </w:p>
        </w:tc>
        <w:tc>
          <w:tcPr>
            <w:tcW w:w="1891"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tabs>
                <w:tab w:pos="839" w:val="left" w:leader="none"/>
                <w:tab w:pos="1891" w:val="left" w:leader="none"/>
              </w:tabs>
              <w:spacing w:line="240" w:lineRule="auto" w:before="134"/>
              <w:ind w:left="283" w:right="0"/>
              <w:jc w:val="left"/>
              <w:rPr>
                <w:rFonts w:ascii="Arial" w:hAnsi="Arial" w:cs="Arial" w:eastAsia="Arial" w:hint="default"/>
                <w:sz w:val="17"/>
                <w:szCs w:val="17"/>
              </w:rPr>
            </w:pPr>
            <w:r>
              <w:rPr>
                <w:rFonts w:ascii="Arial"/>
                <w:w w:val="98"/>
                <w:sz w:val="17"/>
              </w:rPr>
            </w:r>
            <w:r>
              <w:rPr>
                <w:rFonts w:ascii="Arial"/>
                <w:w w:val="98"/>
                <w:sz w:val="17"/>
                <w:u w:val="single" w:color="000000"/>
              </w:rPr>
              <w:t> </w:t>
            </w:r>
            <w:r>
              <w:rPr>
                <w:rFonts w:ascii="Arial"/>
                <w:sz w:val="17"/>
                <w:u w:val="single" w:color="000000"/>
              </w:rPr>
              <w:tab/>
              <w:t>118,103,929</w:t>
              <w:tab/>
            </w:r>
            <w:r>
              <w:rPr>
                <w:rFonts w:ascii="Arial"/>
                <w:sz w:val="17"/>
              </w:rPr>
            </w:r>
          </w:p>
        </w:tc>
      </w:tr>
      <w:tr>
        <w:trPr>
          <w:trHeight w:val="305"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40" w:lineRule="auto" w:before="2"/>
              <w:ind w:left="200" w:right="0"/>
              <w:jc w:val="left"/>
              <w:rPr>
                <w:rFonts w:ascii="宋体" w:hAnsi="宋体" w:cs="宋体" w:eastAsia="宋体" w:hint="default"/>
                <w:sz w:val="20"/>
                <w:szCs w:val="20"/>
              </w:rPr>
            </w:pPr>
            <w:r>
              <w:rPr>
                <w:rFonts w:ascii="宋体" w:hAnsi="宋体" w:cs="宋体" w:eastAsia="宋体" w:hint="default"/>
                <w:w w:val="100"/>
                <w:sz w:val="20"/>
                <w:szCs w:val="20"/>
              </w:rPr>
              <w:t>  </w:t>
            </w:r>
            <w:r>
              <w:rPr>
                <w:rFonts w:ascii="宋体" w:hAnsi="宋体" w:cs="宋体" w:eastAsia="宋体" w:hint="default"/>
                <w:sz w:val="20"/>
                <w:szCs w:val="20"/>
              </w:rPr>
              <w:t>调整后的年初余额</w:t>
            </w:r>
            <w:r>
              <w:rPr>
                <w:rFonts w:ascii="宋体" w:hAnsi="宋体" w:cs="宋体" w:eastAsia="宋体" w:hint="default"/>
                <w:sz w:val="20"/>
                <w:szCs w:val="20"/>
              </w:rPr>
              <w:t> </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59"/>
              <w:jc w:val="right"/>
              <w:rPr>
                <w:rFonts w:ascii="Arial" w:hAnsi="Arial" w:cs="Arial" w:eastAsia="Arial" w:hint="default"/>
                <w:sz w:val="16"/>
                <w:szCs w:val="16"/>
              </w:rPr>
            </w:pPr>
            <w:r>
              <w:rPr>
                <w:rFonts w:ascii="Arial"/>
                <w:spacing w:val="-1"/>
                <w:w w:val="105"/>
                <w:sz w:val="16"/>
              </w:rPr>
              <w:t>(33,777,254,896)</w:t>
            </w:r>
            <w:r>
              <w:rPr>
                <w:rFonts w:ascii="Arial"/>
                <w:sz w:val="16"/>
              </w:rPr>
            </w: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52"/>
              <w:jc w:val="right"/>
              <w:rPr>
                <w:rFonts w:ascii="Arial" w:hAnsi="Arial" w:cs="Arial" w:eastAsia="Arial" w:hint="default"/>
                <w:sz w:val="16"/>
                <w:szCs w:val="16"/>
              </w:rPr>
            </w:pPr>
            <w:r>
              <w:rPr>
                <w:rFonts w:ascii="Arial"/>
                <w:sz w:val="16"/>
              </w:rPr>
              <w:t>(552,980,743,325)</w:t>
            </w: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54"/>
              <w:jc w:val="right"/>
              <w:rPr>
                <w:rFonts w:ascii="Arial" w:hAnsi="Arial" w:cs="Arial" w:eastAsia="Arial" w:hint="default"/>
                <w:sz w:val="16"/>
                <w:szCs w:val="16"/>
              </w:rPr>
            </w:pPr>
            <w:r>
              <w:rPr>
                <w:rFonts w:ascii="Arial"/>
                <w:spacing w:val="-1"/>
                <w:w w:val="105"/>
                <w:sz w:val="16"/>
              </w:rPr>
              <w:t>(15,676,678,476)</w:t>
            </w:r>
            <w:r>
              <w:rPr>
                <w:rFonts w:ascii="Arial"/>
                <w:sz w:val="16"/>
              </w:rPr>
            </w:r>
          </w:p>
        </w:tc>
        <w:tc>
          <w:tcPr>
            <w:tcW w:w="18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5"/>
              <w:ind w:left="451" w:right="0"/>
              <w:jc w:val="left"/>
              <w:rPr>
                <w:rFonts w:ascii="Arial" w:hAnsi="Arial" w:cs="Arial" w:eastAsia="Arial" w:hint="default"/>
                <w:sz w:val="16"/>
                <w:szCs w:val="16"/>
              </w:rPr>
            </w:pPr>
            <w:r>
              <w:rPr>
                <w:rFonts w:ascii="Arial"/>
                <w:w w:val="105"/>
                <w:sz w:val="16"/>
              </w:rPr>
              <w:t>(602,434,676,697)</w:t>
            </w:r>
            <w:r>
              <w:rPr>
                <w:rFonts w:ascii="Arial"/>
                <w:sz w:val="16"/>
              </w:rPr>
            </w:r>
          </w:p>
        </w:tc>
      </w:tr>
      <w:tr>
        <w:trPr>
          <w:trHeight w:val="259"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19" w:lineRule="exact"/>
              <w:ind w:left="200" w:right="0"/>
              <w:jc w:val="left"/>
              <w:rPr>
                <w:rFonts w:ascii="宋体" w:hAnsi="宋体" w:cs="宋体" w:eastAsia="宋体" w:hint="default"/>
                <w:sz w:val="20"/>
                <w:szCs w:val="20"/>
              </w:rPr>
            </w:pPr>
            <w:r>
              <w:rPr>
                <w:rFonts w:ascii="宋体" w:hAnsi="宋体" w:cs="宋体" w:eastAsia="宋体" w:hint="default"/>
                <w:w w:val="100"/>
                <w:sz w:val="20"/>
                <w:szCs w:val="20"/>
              </w:rPr>
              <w:t>  </w:t>
            </w:r>
            <w:r>
              <w:rPr>
                <w:rFonts w:ascii="宋体" w:hAnsi="宋体" w:cs="宋体" w:eastAsia="宋体" w:hint="default"/>
                <w:spacing w:val="-3"/>
                <w:sz w:val="20"/>
                <w:szCs w:val="20"/>
              </w:rPr>
              <w:t>本年计提</w:t>
            </w:r>
            <w:r>
              <w:rPr>
                <w:rFonts w:ascii="宋体" w:hAnsi="宋体" w:cs="宋体" w:eastAsia="宋体" w:hint="default"/>
                <w:sz w:val="20"/>
                <w:szCs w:val="20"/>
              </w:rPr>
              <w:t> </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9"/>
              <w:jc w:val="right"/>
              <w:rPr>
                <w:rFonts w:ascii="Arial" w:hAnsi="Arial" w:cs="Arial" w:eastAsia="Arial" w:hint="default"/>
                <w:sz w:val="17"/>
                <w:szCs w:val="17"/>
              </w:rPr>
            </w:pPr>
            <w:r>
              <w:rPr>
                <w:rFonts w:ascii="Arial"/>
                <w:spacing w:val="-1"/>
                <w:w w:val="95"/>
                <w:sz w:val="17"/>
              </w:rPr>
              <w:t>(2,747,213,268)</w:t>
            </w:r>
            <w:r>
              <w:rPr>
                <w:rFonts w:ascii="Arial"/>
                <w:sz w:val="17"/>
              </w:rPr>
            </w: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9"/>
              <w:jc w:val="right"/>
              <w:rPr>
                <w:rFonts w:ascii="Arial" w:hAnsi="Arial" w:cs="Arial" w:eastAsia="Arial" w:hint="default"/>
                <w:sz w:val="17"/>
                <w:szCs w:val="17"/>
              </w:rPr>
            </w:pPr>
            <w:r>
              <w:rPr>
                <w:rFonts w:ascii="Arial"/>
                <w:spacing w:val="-1"/>
                <w:w w:val="95"/>
                <w:sz w:val="17"/>
              </w:rPr>
              <w:t>(60,606,084,305)</w:t>
            </w:r>
            <w:r>
              <w:rPr>
                <w:rFonts w:ascii="Arial"/>
                <w:sz w:val="17"/>
              </w:rPr>
            </w: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4"/>
              <w:jc w:val="right"/>
              <w:rPr>
                <w:rFonts w:ascii="Arial" w:hAnsi="Arial" w:cs="Arial" w:eastAsia="Arial" w:hint="default"/>
                <w:sz w:val="17"/>
                <w:szCs w:val="17"/>
              </w:rPr>
            </w:pPr>
            <w:r>
              <w:rPr>
                <w:rFonts w:ascii="Arial"/>
                <w:spacing w:val="-1"/>
                <w:w w:val="95"/>
                <w:sz w:val="17"/>
              </w:rPr>
              <w:t>(1,225,838,451)</w:t>
            </w:r>
            <w:r>
              <w:rPr>
                <w:rFonts w:ascii="Arial"/>
                <w:sz w:val="17"/>
              </w:rPr>
            </w:r>
          </w:p>
        </w:tc>
        <w:tc>
          <w:tcPr>
            <w:tcW w:w="283" w:type="dxa"/>
            <w:tcBorders>
              <w:top w:val="nil" w:sz="6" w:space="0" w:color="auto"/>
              <w:left w:val="nil" w:sz="6" w:space="0" w:color="auto"/>
              <w:bottom w:val="nil" w:sz="6" w:space="0" w:color="auto"/>
              <w:right w:val="nil" w:sz="6" w:space="0" w:color="auto"/>
            </w:tcBorders>
          </w:tcPr>
          <w:p>
            <w:pPr/>
          </w:p>
        </w:tc>
        <w:tc>
          <w:tcPr>
            <w:tcW w:w="160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59" w:right="0"/>
              <w:jc w:val="left"/>
              <w:rPr>
                <w:rFonts w:ascii="Arial" w:hAnsi="Arial" w:cs="Arial" w:eastAsia="Arial" w:hint="default"/>
                <w:sz w:val="17"/>
                <w:szCs w:val="17"/>
              </w:rPr>
            </w:pPr>
            <w:r>
              <w:rPr>
                <w:rFonts w:ascii="Arial"/>
                <w:sz w:val="17"/>
              </w:rPr>
              <w:t>(64,579,136,024)</w:t>
            </w:r>
          </w:p>
        </w:tc>
      </w:tr>
      <w:tr>
        <w:trPr>
          <w:trHeight w:val="264"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19" w:lineRule="exact"/>
              <w:ind w:left="200" w:right="0"/>
              <w:jc w:val="left"/>
              <w:rPr>
                <w:rFonts w:ascii="宋体" w:hAnsi="宋体" w:cs="宋体" w:eastAsia="宋体" w:hint="default"/>
                <w:sz w:val="20"/>
                <w:szCs w:val="20"/>
              </w:rPr>
            </w:pPr>
            <w:r>
              <w:rPr>
                <w:rFonts w:ascii="宋体" w:hAnsi="宋体" w:cs="宋体" w:eastAsia="宋体" w:hint="default"/>
                <w:w w:val="100"/>
                <w:sz w:val="20"/>
                <w:szCs w:val="20"/>
              </w:rPr>
              <w:t>  </w:t>
            </w:r>
            <w:r>
              <w:rPr>
                <w:rFonts w:ascii="宋体" w:hAnsi="宋体" w:cs="宋体" w:eastAsia="宋体" w:hint="default"/>
                <w:spacing w:val="-3"/>
                <w:sz w:val="20"/>
                <w:szCs w:val="20"/>
              </w:rPr>
              <w:t>本年处置或报废</w:t>
            </w:r>
            <w:r>
              <w:rPr>
                <w:rFonts w:ascii="宋体" w:hAnsi="宋体" w:cs="宋体" w:eastAsia="宋体" w:hint="default"/>
                <w:sz w:val="20"/>
                <w:szCs w:val="20"/>
              </w:rPr>
              <w:t> </w:t>
            </w:r>
          </w:p>
        </w:tc>
        <w:tc>
          <w:tcPr>
            <w:tcW w:w="1507" w:type="dxa"/>
            <w:tcBorders>
              <w:top w:val="nil" w:sz="6" w:space="0" w:color="auto"/>
              <w:left w:val="nil" w:sz="6" w:space="0" w:color="auto"/>
              <w:bottom w:val="nil" w:sz="6" w:space="0" w:color="auto"/>
              <w:right w:val="nil" w:sz="6" w:space="0" w:color="auto"/>
            </w:tcBorders>
          </w:tcPr>
          <w:p>
            <w:pPr>
              <w:pStyle w:val="TableParagraph"/>
              <w:tabs>
                <w:tab w:pos="455" w:val="left" w:leader="none"/>
                <w:tab w:pos="1507" w:val="left" w:leader="none"/>
              </w:tabs>
              <w:spacing w:line="240" w:lineRule="auto" w:before="50"/>
              <w:ind w:right="0"/>
              <w:jc w:val="right"/>
              <w:rPr>
                <w:rFonts w:ascii="Arial" w:hAnsi="Arial" w:cs="Arial" w:eastAsia="Arial" w:hint="default"/>
                <w:sz w:val="17"/>
                <w:szCs w:val="17"/>
              </w:rPr>
            </w:pPr>
            <w:r>
              <w:rPr>
                <w:rFonts w:ascii="Arial"/>
                <w:w w:val="98"/>
                <w:sz w:val="17"/>
              </w:rPr>
            </w:r>
            <w:r>
              <w:rPr>
                <w:rFonts w:ascii="Arial"/>
                <w:w w:val="98"/>
                <w:sz w:val="17"/>
                <w:u w:val="single" w:color="000000"/>
              </w:rPr>
              <w:t> </w:t>
            </w:r>
            <w:r>
              <w:rPr>
                <w:rFonts w:ascii="Arial"/>
                <w:sz w:val="17"/>
                <w:u w:val="single" w:color="000000"/>
              </w:rPr>
              <w:tab/>
            </w:r>
            <w:r>
              <w:rPr>
                <w:rFonts w:ascii="Arial"/>
                <w:w w:val="95"/>
                <w:sz w:val="17"/>
                <w:u w:val="single" w:color="000000"/>
              </w:rPr>
              <w:t>125,814,262</w:t>
            </w:r>
            <w:r>
              <w:rPr>
                <w:rFonts w:ascii="Arial"/>
                <w:sz w:val="17"/>
                <w:u w:val="single" w:color="000000"/>
              </w:rPr>
              <w:tab/>
            </w:r>
            <w:r>
              <w:rPr>
                <w:rFonts w:ascii="Arial"/>
                <w:sz w:val="17"/>
              </w:rPr>
            </w: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Style w:val="TableParagraph"/>
              <w:tabs>
                <w:tab w:pos="475" w:val="left" w:leader="none"/>
                <w:tab w:pos="1766" w:val="left" w:leader="none"/>
              </w:tabs>
              <w:spacing w:line="240" w:lineRule="auto" w:before="50"/>
              <w:ind w:right="0"/>
              <w:jc w:val="right"/>
              <w:rPr>
                <w:rFonts w:ascii="Arial" w:hAnsi="Arial" w:cs="Arial" w:eastAsia="Arial" w:hint="default"/>
                <w:sz w:val="17"/>
                <w:szCs w:val="17"/>
              </w:rPr>
            </w:pPr>
            <w:r>
              <w:rPr>
                <w:rFonts w:ascii="Arial"/>
                <w:w w:val="98"/>
                <w:sz w:val="17"/>
              </w:rPr>
            </w:r>
            <w:r>
              <w:rPr>
                <w:rFonts w:ascii="Arial"/>
                <w:w w:val="98"/>
                <w:sz w:val="17"/>
                <w:u w:val="single" w:color="000000"/>
              </w:rPr>
              <w:t> </w:t>
            </w:r>
            <w:r>
              <w:rPr>
                <w:rFonts w:ascii="Arial"/>
                <w:sz w:val="17"/>
                <w:u w:val="single" w:color="000000"/>
              </w:rPr>
              <w:tab/>
            </w:r>
            <w:r>
              <w:rPr>
                <w:rFonts w:ascii="Arial"/>
                <w:w w:val="95"/>
                <w:sz w:val="17"/>
                <w:u w:val="single" w:color="000000"/>
              </w:rPr>
              <w:t>45,689,475,795</w:t>
            </w:r>
            <w:r>
              <w:rPr>
                <w:rFonts w:ascii="Arial"/>
                <w:sz w:val="17"/>
                <w:u w:val="single" w:color="000000"/>
              </w:rPr>
              <w:tab/>
            </w:r>
            <w:r>
              <w:rPr>
                <w:rFonts w:ascii="Arial"/>
                <w:sz w:val="17"/>
              </w:rPr>
            </w: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tabs>
                <w:tab w:pos="446" w:val="left" w:leader="none"/>
                <w:tab w:pos="1636" w:val="left" w:leader="none"/>
              </w:tabs>
              <w:spacing w:line="240" w:lineRule="auto" w:before="50"/>
              <w:ind w:right="0"/>
              <w:jc w:val="right"/>
              <w:rPr>
                <w:rFonts w:ascii="Arial" w:hAnsi="Arial" w:cs="Arial" w:eastAsia="Arial" w:hint="default"/>
                <w:sz w:val="17"/>
                <w:szCs w:val="17"/>
              </w:rPr>
            </w:pPr>
            <w:r>
              <w:rPr>
                <w:rFonts w:ascii="Arial"/>
                <w:w w:val="98"/>
                <w:sz w:val="17"/>
              </w:rPr>
            </w:r>
            <w:r>
              <w:rPr>
                <w:rFonts w:ascii="Arial"/>
                <w:w w:val="98"/>
                <w:sz w:val="17"/>
                <w:u w:val="single" w:color="000000"/>
              </w:rPr>
              <w:t> </w:t>
            </w:r>
            <w:r>
              <w:rPr>
                <w:rFonts w:ascii="Arial"/>
                <w:sz w:val="17"/>
                <w:u w:val="single" w:color="000000"/>
              </w:rPr>
              <w:tab/>
            </w:r>
            <w:r>
              <w:rPr>
                <w:rFonts w:ascii="Arial"/>
                <w:w w:val="95"/>
                <w:sz w:val="17"/>
                <w:u w:val="single" w:color="000000"/>
              </w:rPr>
              <w:t>1,127,314,084</w:t>
            </w:r>
            <w:r>
              <w:rPr>
                <w:rFonts w:ascii="Arial"/>
                <w:sz w:val="17"/>
                <w:u w:val="single" w:color="000000"/>
              </w:rPr>
              <w:tab/>
            </w:r>
            <w:r>
              <w:rPr>
                <w:rFonts w:ascii="Arial"/>
                <w:sz w:val="17"/>
              </w:rPr>
            </w:r>
          </w:p>
        </w:tc>
        <w:tc>
          <w:tcPr>
            <w:tcW w:w="1891" w:type="dxa"/>
            <w:gridSpan w:val="2"/>
            <w:tcBorders>
              <w:top w:val="nil" w:sz="6" w:space="0" w:color="auto"/>
              <w:left w:val="nil" w:sz="6" w:space="0" w:color="auto"/>
              <w:bottom w:val="nil" w:sz="6" w:space="0" w:color="auto"/>
              <w:right w:val="nil" w:sz="6" w:space="0" w:color="auto"/>
            </w:tcBorders>
          </w:tcPr>
          <w:p>
            <w:pPr>
              <w:pStyle w:val="TableParagraph"/>
              <w:tabs>
                <w:tab w:pos="604" w:val="left" w:leader="none"/>
                <w:tab w:pos="1891" w:val="left" w:leader="none"/>
              </w:tabs>
              <w:spacing w:line="240" w:lineRule="auto" w:before="50"/>
              <w:ind w:left="283" w:right="0"/>
              <w:jc w:val="left"/>
              <w:rPr>
                <w:rFonts w:ascii="Arial" w:hAnsi="Arial" w:cs="Arial" w:eastAsia="Arial" w:hint="default"/>
                <w:sz w:val="17"/>
                <w:szCs w:val="17"/>
              </w:rPr>
            </w:pPr>
            <w:r>
              <w:rPr>
                <w:rFonts w:ascii="Arial"/>
                <w:w w:val="98"/>
                <w:sz w:val="17"/>
              </w:rPr>
            </w:r>
            <w:r>
              <w:rPr>
                <w:rFonts w:ascii="Arial"/>
                <w:w w:val="98"/>
                <w:sz w:val="17"/>
                <w:u w:val="single" w:color="000000"/>
              </w:rPr>
              <w:t> </w:t>
            </w:r>
            <w:r>
              <w:rPr>
                <w:rFonts w:ascii="Arial"/>
                <w:sz w:val="17"/>
                <w:u w:val="single" w:color="000000"/>
              </w:rPr>
              <w:tab/>
              <w:t>46,942,604,141</w:t>
              <w:tab/>
            </w:r>
            <w:r>
              <w:rPr>
                <w:rFonts w:ascii="Arial"/>
                <w:sz w:val="17"/>
              </w:rPr>
            </w:r>
          </w:p>
        </w:tc>
      </w:tr>
      <w:tr>
        <w:trPr>
          <w:trHeight w:val="427"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24" w:lineRule="exact"/>
              <w:ind w:left="200" w:right="0"/>
              <w:jc w:val="left"/>
              <w:rPr>
                <w:rFonts w:ascii="宋体" w:hAnsi="宋体" w:cs="宋体" w:eastAsia="宋体" w:hint="default"/>
                <w:sz w:val="20"/>
                <w:szCs w:val="20"/>
              </w:rPr>
            </w:pPr>
            <w:r>
              <w:rPr>
                <w:rFonts w:ascii="宋体" w:hAnsi="宋体" w:cs="宋体" w:eastAsia="宋体" w:hint="default"/>
                <w:sz w:val="20"/>
                <w:szCs w:val="20"/>
              </w:rPr>
              <w:t>年末余额</w:t>
            </w:r>
            <w:r>
              <w:rPr>
                <w:rFonts w:ascii="宋体" w:hAnsi="宋体" w:cs="宋体" w:eastAsia="宋体" w:hint="default"/>
                <w:sz w:val="20"/>
                <w:szCs w:val="20"/>
              </w:rPr>
              <w:t> </w:t>
            </w:r>
          </w:p>
        </w:tc>
        <w:tc>
          <w:tcPr>
            <w:tcW w:w="1507" w:type="dxa"/>
            <w:tcBorders>
              <w:top w:val="nil" w:sz="6" w:space="0" w:color="auto"/>
              <w:left w:val="nil" w:sz="6" w:space="0" w:color="auto"/>
              <w:bottom w:val="nil" w:sz="6" w:space="0" w:color="auto"/>
              <w:right w:val="nil" w:sz="6" w:space="0" w:color="auto"/>
            </w:tcBorders>
          </w:tcPr>
          <w:p>
            <w:pPr>
              <w:pStyle w:val="TableParagraph"/>
              <w:tabs>
                <w:tab w:pos="1507" w:val="left" w:leader="none"/>
              </w:tabs>
              <w:spacing w:line="240" w:lineRule="auto" w:before="69"/>
              <w:ind w:right="0"/>
              <w:jc w:val="righ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  </w:t>
            </w:r>
            <w:r>
              <w:rPr>
                <w:rFonts w:ascii="Arial"/>
                <w:spacing w:val="-22"/>
                <w:sz w:val="16"/>
                <w:u w:val="single" w:color="000000"/>
              </w:rPr>
              <w:t> </w:t>
            </w:r>
            <w:r>
              <w:rPr>
                <w:rFonts w:ascii="Arial"/>
                <w:sz w:val="16"/>
                <w:u w:val="single" w:color="000000"/>
              </w:rPr>
              <w:t>(36,398,653,902)</w:t>
              <w:tab/>
            </w:r>
            <w:r>
              <w:rPr>
                <w:rFonts w:ascii="Arial"/>
                <w:sz w:val="16"/>
              </w:rPr>
            </w: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Style w:val="TableParagraph"/>
              <w:tabs>
                <w:tab w:pos="326" w:val="left" w:leader="none"/>
                <w:tab w:pos="1766" w:val="left" w:leader="none"/>
              </w:tabs>
              <w:spacing w:line="240" w:lineRule="auto" w:before="69"/>
              <w:ind w:right="0"/>
              <w:jc w:val="righ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ab/>
              <w:t>(567,897,351,835)</w:t>
              <w:tab/>
            </w:r>
            <w:r>
              <w:rPr>
                <w:rFonts w:ascii="Arial"/>
                <w:sz w:val="16"/>
              </w:rPr>
            </w: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tabs>
                <w:tab w:pos="292" w:val="left" w:leader="none"/>
                <w:tab w:pos="1636" w:val="left" w:leader="none"/>
              </w:tabs>
              <w:spacing w:line="240" w:lineRule="auto" w:before="69"/>
              <w:ind w:right="0"/>
              <w:jc w:val="righ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ab/>
              <w:t>(15,775,202,843)</w:t>
              <w:tab/>
            </w:r>
            <w:r>
              <w:rPr>
                <w:rFonts w:ascii="Arial"/>
                <w:sz w:val="16"/>
              </w:rPr>
            </w:r>
          </w:p>
        </w:tc>
        <w:tc>
          <w:tcPr>
            <w:tcW w:w="1891" w:type="dxa"/>
            <w:gridSpan w:val="2"/>
            <w:tcBorders>
              <w:top w:val="nil" w:sz="6" w:space="0" w:color="auto"/>
              <w:left w:val="nil" w:sz="6" w:space="0" w:color="auto"/>
              <w:bottom w:val="nil" w:sz="6" w:space="0" w:color="auto"/>
              <w:right w:val="nil" w:sz="6" w:space="0" w:color="auto"/>
            </w:tcBorders>
          </w:tcPr>
          <w:p>
            <w:pPr>
              <w:pStyle w:val="TableParagraph"/>
              <w:tabs>
                <w:tab w:pos="1891" w:val="left" w:leader="none"/>
              </w:tabs>
              <w:spacing w:line="240" w:lineRule="auto" w:before="69"/>
              <w:ind w:left="283" w:right="0"/>
              <w:jc w:val="lef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  </w:t>
            </w:r>
            <w:r>
              <w:rPr>
                <w:rFonts w:ascii="Arial"/>
                <w:spacing w:val="-13"/>
                <w:sz w:val="16"/>
                <w:u w:val="single" w:color="000000"/>
              </w:rPr>
              <w:t> </w:t>
            </w:r>
            <w:r>
              <w:rPr>
                <w:rFonts w:ascii="Arial"/>
                <w:w w:val="105"/>
                <w:sz w:val="16"/>
                <w:u w:val="single" w:color="000000"/>
              </w:rPr>
              <w:t>(620,071,208,580)</w:t>
            </w:r>
            <w:r>
              <w:rPr>
                <w:rFonts w:ascii="Arial"/>
                <w:sz w:val="16"/>
                <w:u w:val="single" w:color="000000"/>
              </w:rPr>
              <w:tab/>
            </w:r>
            <w:r>
              <w:rPr>
                <w:rFonts w:ascii="Arial"/>
                <w:sz w:val="16"/>
              </w:rPr>
            </w:r>
          </w:p>
        </w:tc>
      </w:tr>
      <w:tr>
        <w:trPr>
          <w:trHeight w:val="406"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200" w:right="0"/>
              <w:jc w:val="left"/>
              <w:rPr>
                <w:rFonts w:ascii="宋体" w:hAnsi="宋体" w:cs="宋体" w:eastAsia="宋体" w:hint="default"/>
                <w:sz w:val="20"/>
                <w:szCs w:val="20"/>
              </w:rPr>
            </w:pPr>
            <w:r>
              <w:rPr>
                <w:rFonts w:ascii="宋体" w:hAnsi="宋体" w:cs="宋体" w:eastAsia="宋体" w:hint="default"/>
                <w:sz w:val="20"/>
                <w:szCs w:val="20"/>
              </w:rPr>
              <w:t>减值准备</w:t>
            </w:r>
            <w:r>
              <w:rPr>
                <w:rFonts w:ascii="宋体" w:hAnsi="宋体" w:cs="宋体" w:eastAsia="宋体" w:hint="default"/>
                <w:sz w:val="20"/>
                <w:szCs w:val="20"/>
              </w:rPr>
              <w:t> </w:t>
            </w:r>
          </w:p>
        </w:tc>
        <w:tc>
          <w:tcPr>
            <w:tcW w:w="1507" w:type="dxa"/>
            <w:tcBorders>
              <w:top w:val="nil" w:sz="6" w:space="0" w:color="auto"/>
              <w:left w:val="nil" w:sz="6" w:space="0" w:color="auto"/>
              <w:bottom w:val="nil" w:sz="6" w:space="0" w:color="auto"/>
              <w:right w:val="nil" w:sz="6" w:space="0" w:color="auto"/>
            </w:tcBorders>
          </w:tcPr>
          <w:p>
            <w:pP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
        </w:tc>
        <w:tc>
          <w:tcPr>
            <w:tcW w:w="283" w:type="dxa"/>
            <w:tcBorders>
              <w:top w:val="nil" w:sz="6" w:space="0" w:color="auto"/>
              <w:left w:val="nil" w:sz="6" w:space="0" w:color="auto"/>
              <w:bottom w:val="nil" w:sz="6" w:space="0" w:color="auto"/>
              <w:right w:val="nil" w:sz="6" w:space="0" w:color="auto"/>
            </w:tcBorders>
          </w:tcPr>
          <w:p>
            <w:pPr/>
          </w:p>
        </w:tc>
        <w:tc>
          <w:tcPr>
            <w:tcW w:w="1608" w:type="dxa"/>
            <w:tcBorders>
              <w:top w:val="nil" w:sz="6" w:space="0" w:color="auto"/>
              <w:left w:val="nil" w:sz="6" w:space="0" w:color="auto"/>
              <w:bottom w:val="nil" w:sz="6" w:space="0" w:color="auto"/>
              <w:right w:val="nil" w:sz="6" w:space="0" w:color="auto"/>
            </w:tcBorders>
          </w:tcPr>
          <w:p>
            <w:pPr/>
          </w:p>
        </w:tc>
      </w:tr>
      <w:tr>
        <w:trPr>
          <w:trHeight w:val="271"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30" w:lineRule="exact"/>
              <w:ind w:left="200" w:right="0"/>
              <w:jc w:val="left"/>
              <w:rPr>
                <w:rFonts w:ascii="宋体" w:hAnsi="宋体" w:cs="宋体" w:eastAsia="宋体" w:hint="default"/>
                <w:sz w:val="20"/>
                <w:szCs w:val="20"/>
              </w:rPr>
            </w:pPr>
            <w:r>
              <w:rPr>
                <w:rFonts w:ascii="宋体" w:hAnsi="宋体" w:cs="宋体" w:eastAsia="宋体" w:hint="default"/>
                <w:w w:val="100"/>
                <w:sz w:val="20"/>
                <w:szCs w:val="20"/>
              </w:rPr>
              <w:t>  </w:t>
            </w:r>
            <w:r>
              <w:rPr>
                <w:rFonts w:ascii="宋体" w:hAnsi="宋体" w:cs="宋体" w:eastAsia="宋体" w:hint="default"/>
                <w:spacing w:val="-3"/>
                <w:sz w:val="20"/>
                <w:szCs w:val="20"/>
              </w:rPr>
              <w:t>年初余额</w:t>
            </w:r>
            <w:r>
              <w:rPr>
                <w:rFonts w:ascii="宋体" w:hAnsi="宋体" w:cs="宋体" w:eastAsia="宋体" w:hint="default"/>
                <w:sz w:val="20"/>
                <w:szCs w:val="20"/>
              </w:rPr>
              <w:t> </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9"/>
              <w:jc w:val="right"/>
              <w:rPr>
                <w:rFonts w:ascii="Arial" w:hAnsi="Arial" w:cs="Arial" w:eastAsia="Arial" w:hint="default"/>
                <w:sz w:val="17"/>
                <w:szCs w:val="17"/>
              </w:rPr>
            </w:pPr>
            <w:r>
              <w:rPr>
                <w:rFonts w:ascii="Arial"/>
                <w:spacing w:val="-1"/>
                <w:w w:val="95"/>
                <w:sz w:val="17"/>
              </w:rPr>
              <w:t>(15,502)</w:t>
            </w:r>
            <w:r>
              <w:rPr>
                <w:rFonts w:ascii="Arial"/>
                <w:sz w:val="17"/>
              </w:rPr>
            </w: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9"/>
              <w:jc w:val="right"/>
              <w:rPr>
                <w:rFonts w:ascii="Arial" w:hAnsi="Arial" w:cs="Arial" w:eastAsia="Arial" w:hint="default"/>
                <w:sz w:val="17"/>
                <w:szCs w:val="17"/>
              </w:rPr>
            </w:pPr>
            <w:r>
              <w:rPr>
                <w:rFonts w:ascii="Arial"/>
                <w:spacing w:val="-1"/>
                <w:w w:val="95"/>
                <w:sz w:val="17"/>
              </w:rPr>
              <w:t>(1,038,379,670)</w:t>
            </w:r>
            <w:r>
              <w:rPr>
                <w:rFonts w:ascii="Arial"/>
                <w:sz w:val="17"/>
              </w:rPr>
            </w: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44"/>
              <w:jc w:val="right"/>
              <w:rPr>
                <w:rFonts w:ascii="Arial" w:hAnsi="Arial" w:cs="Arial" w:eastAsia="Arial" w:hint="default"/>
                <w:sz w:val="17"/>
                <w:szCs w:val="17"/>
              </w:rPr>
            </w:pPr>
            <w:r>
              <w:rPr>
                <w:rFonts w:ascii="Arial"/>
                <w:spacing w:val="-1"/>
                <w:w w:val="95"/>
                <w:sz w:val="17"/>
              </w:rPr>
              <w:t>(1,552,091)</w:t>
            </w:r>
            <w:r>
              <w:rPr>
                <w:rFonts w:ascii="Arial"/>
                <w:sz w:val="17"/>
              </w:rPr>
            </w:r>
          </w:p>
        </w:tc>
        <w:tc>
          <w:tcPr>
            <w:tcW w:w="283" w:type="dxa"/>
            <w:tcBorders>
              <w:top w:val="nil" w:sz="6" w:space="0" w:color="auto"/>
              <w:left w:val="nil" w:sz="6" w:space="0" w:color="auto"/>
              <w:bottom w:val="nil" w:sz="6" w:space="0" w:color="auto"/>
              <w:right w:val="nil" w:sz="6" w:space="0" w:color="auto"/>
            </w:tcBorders>
          </w:tcPr>
          <w:p>
            <w:pPr/>
          </w:p>
        </w:tc>
        <w:tc>
          <w:tcPr>
            <w:tcW w:w="1608"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5" w:right="0"/>
              <w:jc w:val="left"/>
              <w:rPr>
                <w:rFonts w:ascii="Arial" w:hAnsi="Arial" w:cs="Arial" w:eastAsia="Arial" w:hint="default"/>
                <w:sz w:val="17"/>
                <w:szCs w:val="17"/>
              </w:rPr>
            </w:pPr>
            <w:r>
              <w:rPr>
                <w:rFonts w:ascii="Arial"/>
                <w:sz w:val="17"/>
              </w:rPr>
              <w:t>(1,039,947,263)</w:t>
            </w:r>
          </w:p>
        </w:tc>
      </w:tr>
      <w:tr>
        <w:trPr>
          <w:trHeight w:val="264"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19" w:lineRule="exact"/>
              <w:ind w:left="200" w:right="0"/>
              <w:jc w:val="left"/>
              <w:rPr>
                <w:rFonts w:ascii="宋体" w:hAnsi="宋体" w:cs="宋体" w:eastAsia="宋体" w:hint="default"/>
                <w:sz w:val="20"/>
                <w:szCs w:val="20"/>
              </w:rPr>
            </w:pPr>
            <w:r>
              <w:rPr>
                <w:rFonts w:ascii="宋体" w:hAnsi="宋体" w:cs="宋体" w:eastAsia="宋体" w:hint="default"/>
                <w:w w:val="100"/>
                <w:sz w:val="20"/>
                <w:szCs w:val="20"/>
              </w:rPr>
              <w:t>  </w:t>
            </w:r>
            <w:r>
              <w:rPr>
                <w:rFonts w:ascii="宋体" w:hAnsi="宋体" w:cs="宋体" w:eastAsia="宋体" w:hint="default"/>
                <w:spacing w:val="-3"/>
                <w:sz w:val="20"/>
                <w:szCs w:val="20"/>
              </w:rPr>
              <w:t>本年处置或报废</w:t>
            </w:r>
            <w:r>
              <w:rPr>
                <w:rFonts w:ascii="宋体" w:hAnsi="宋体" w:cs="宋体" w:eastAsia="宋体" w:hint="default"/>
                <w:sz w:val="20"/>
                <w:szCs w:val="20"/>
              </w:rPr>
              <w:t> </w:t>
            </w:r>
          </w:p>
        </w:tc>
        <w:tc>
          <w:tcPr>
            <w:tcW w:w="1507" w:type="dxa"/>
            <w:tcBorders>
              <w:top w:val="nil" w:sz="6" w:space="0" w:color="auto"/>
              <w:left w:val="nil" w:sz="6" w:space="0" w:color="auto"/>
              <w:bottom w:val="nil" w:sz="6" w:space="0" w:color="auto"/>
              <w:right w:val="nil" w:sz="6" w:space="0" w:color="auto"/>
            </w:tcBorders>
          </w:tcPr>
          <w:p>
            <w:pPr>
              <w:pStyle w:val="TableParagraph"/>
              <w:tabs>
                <w:tab w:pos="1343" w:val="left" w:leader="none"/>
                <w:tab w:pos="1507" w:val="left" w:leader="none"/>
              </w:tabs>
              <w:spacing w:line="240" w:lineRule="auto" w:before="60"/>
              <w:ind w:right="0"/>
              <w:jc w:val="righ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ab/>
              <w:t>-</w:t>
              <w:tab/>
            </w:r>
            <w:r>
              <w:rPr>
                <w:rFonts w:ascii="Arial"/>
                <w:sz w:val="16"/>
              </w:rPr>
            </w: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Style w:val="TableParagraph"/>
              <w:tabs>
                <w:tab w:pos="710" w:val="left" w:leader="none"/>
                <w:tab w:pos="1766" w:val="left" w:leader="none"/>
              </w:tabs>
              <w:spacing w:line="240" w:lineRule="auto" w:before="60"/>
              <w:ind w:right="0"/>
              <w:jc w:val="righ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ab/>
            </w:r>
            <w:r>
              <w:rPr>
                <w:rFonts w:ascii="Arial"/>
                <w:w w:val="105"/>
                <w:sz w:val="16"/>
                <w:u w:val="single" w:color="000000"/>
              </w:rPr>
              <w:t>267,193,619</w:t>
            </w:r>
            <w:r>
              <w:rPr>
                <w:rFonts w:ascii="Arial"/>
                <w:sz w:val="16"/>
                <w:u w:val="single" w:color="000000"/>
              </w:rPr>
              <w:tab/>
            </w:r>
            <w:r>
              <w:rPr>
                <w:rFonts w:ascii="Arial"/>
                <w:sz w:val="16"/>
              </w:rPr>
            </w: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tabs>
                <w:tab w:pos="916" w:val="left" w:leader="none"/>
                <w:tab w:pos="1636" w:val="left" w:leader="none"/>
              </w:tabs>
              <w:spacing w:line="240" w:lineRule="auto" w:before="60"/>
              <w:ind w:right="0"/>
              <w:jc w:val="righ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ab/>
              <w:t>219,858</w:t>
              <w:tab/>
            </w:r>
            <w:r>
              <w:rPr>
                <w:rFonts w:ascii="Arial"/>
                <w:sz w:val="16"/>
              </w:rPr>
            </w:r>
          </w:p>
        </w:tc>
        <w:tc>
          <w:tcPr>
            <w:tcW w:w="1891" w:type="dxa"/>
            <w:gridSpan w:val="2"/>
            <w:tcBorders>
              <w:top w:val="nil" w:sz="6" w:space="0" w:color="auto"/>
              <w:left w:val="nil" w:sz="6" w:space="0" w:color="auto"/>
              <w:bottom w:val="nil" w:sz="6" w:space="0" w:color="auto"/>
              <w:right w:val="nil" w:sz="6" w:space="0" w:color="auto"/>
            </w:tcBorders>
          </w:tcPr>
          <w:p>
            <w:pPr>
              <w:pStyle w:val="TableParagraph"/>
              <w:tabs>
                <w:tab w:pos="839" w:val="left" w:leader="none"/>
                <w:tab w:pos="1891" w:val="left" w:leader="none"/>
              </w:tabs>
              <w:spacing w:line="240" w:lineRule="auto" w:before="60"/>
              <w:ind w:left="283" w:right="0"/>
              <w:jc w:val="lef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ab/>
            </w:r>
            <w:r>
              <w:rPr>
                <w:rFonts w:ascii="Arial"/>
                <w:w w:val="105"/>
                <w:sz w:val="16"/>
                <w:u w:val="single" w:color="000000"/>
              </w:rPr>
              <w:t>267,413,477</w:t>
            </w:r>
            <w:r>
              <w:rPr>
                <w:rFonts w:ascii="Arial"/>
                <w:sz w:val="16"/>
                <w:u w:val="single" w:color="000000"/>
              </w:rPr>
              <w:tab/>
            </w:r>
            <w:r>
              <w:rPr>
                <w:rFonts w:ascii="Arial"/>
                <w:sz w:val="16"/>
              </w:rPr>
            </w:r>
          </w:p>
        </w:tc>
      </w:tr>
      <w:tr>
        <w:trPr>
          <w:trHeight w:val="432"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24" w:lineRule="exact"/>
              <w:ind w:left="200" w:right="0"/>
              <w:jc w:val="left"/>
              <w:rPr>
                <w:rFonts w:ascii="宋体" w:hAnsi="宋体" w:cs="宋体" w:eastAsia="宋体" w:hint="default"/>
                <w:sz w:val="20"/>
                <w:szCs w:val="20"/>
              </w:rPr>
            </w:pPr>
            <w:r>
              <w:rPr>
                <w:rFonts w:ascii="宋体" w:hAnsi="宋体" w:cs="宋体" w:eastAsia="宋体" w:hint="default"/>
                <w:w w:val="100"/>
                <w:sz w:val="20"/>
                <w:szCs w:val="20"/>
              </w:rPr>
              <w:t>  </w:t>
            </w:r>
            <w:r>
              <w:rPr>
                <w:rFonts w:ascii="宋体" w:hAnsi="宋体" w:cs="宋体" w:eastAsia="宋体" w:hint="default"/>
                <w:spacing w:val="-3"/>
                <w:sz w:val="20"/>
                <w:szCs w:val="20"/>
              </w:rPr>
              <w:t>年末余额</w:t>
            </w:r>
            <w:r>
              <w:rPr>
                <w:rFonts w:ascii="宋体" w:hAnsi="宋体" w:cs="宋体" w:eastAsia="宋体" w:hint="default"/>
                <w:sz w:val="20"/>
                <w:szCs w:val="20"/>
              </w:rPr>
              <w:t> </w:t>
            </w:r>
          </w:p>
        </w:tc>
        <w:tc>
          <w:tcPr>
            <w:tcW w:w="1507" w:type="dxa"/>
            <w:tcBorders>
              <w:top w:val="nil" w:sz="6" w:space="0" w:color="auto"/>
              <w:left w:val="nil" w:sz="6" w:space="0" w:color="auto"/>
              <w:bottom w:val="nil" w:sz="6" w:space="0" w:color="auto"/>
              <w:right w:val="nil" w:sz="6" w:space="0" w:color="auto"/>
            </w:tcBorders>
          </w:tcPr>
          <w:p>
            <w:pPr>
              <w:pStyle w:val="TableParagraph"/>
              <w:tabs>
                <w:tab w:pos="820" w:val="left" w:leader="none"/>
                <w:tab w:pos="1507" w:val="left" w:leader="none"/>
              </w:tabs>
              <w:spacing w:line="240" w:lineRule="auto" w:before="55"/>
              <w:ind w:right="0"/>
              <w:jc w:val="right"/>
              <w:rPr>
                <w:rFonts w:ascii="Arial" w:hAnsi="Arial" w:cs="Arial" w:eastAsia="Arial" w:hint="default"/>
                <w:sz w:val="17"/>
                <w:szCs w:val="17"/>
              </w:rPr>
            </w:pPr>
            <w:r>
              <w:rPr>
                <w:rFonts w:ascii="Arial"/>
                <w:w w:val="98"/>
                <w:sz w:val="17"/>
              </w:rPr>
            </w:r>
            <w:r>
              <w:rPr>
                <w:rFonts w:ascii="Arial"/>
                <w:w w:val="98"/>
                <w:sz w:val="17"/>
                <w:u w:val="single" w:color="000000"/>
              </w:rPr>
              <w:t> </w:t>
            </w:r>
            <w:r>
              <w:rPr>
                <w:rFonts w:ascii="Arial"/>
                <w:sz w:val="17"/>
                <w:u w:val="single" w:color="000000"/>
              </w:rPr>
              <w:tab/>
            </w:r>
            <w:r>
              <w:rPr>
                <w:rFonts w:ascii="Arial"/>
                <w:spacing w:val="-1"/>
                <w:w w:val="95"/>
                <w:sz w:val="17"/>
                <w:u w:val="single" w:color="000000"/>
              </w:rPr>
              <w:t>(15,502)</w:t>
            </w:r>
            <w:r>
              <w:rPr>
                <w:rFonts w:ascii="Arial"/>
                <w:spacing w:val="-1"/>
                <w:sz w:val="17"/>
                <w:u w:val="single" w:color="000000"/>
              </w:rPr>
              <w:tab/>
            </w:r>
            <w:r>
              <w:rPr>
                <w:rFonts w:ascii="Arial"/>
                <w:spacing w:val="-1"/>
                <w:sz w:val="17"/>
              </w:rPr>
            </w: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Style w:val="TableParagraph"/>
              <w:tabs>
                <w:tab w:pos="652" w:val="left" w:leader="none"/>
                <w:tab w:pos="1766" w:val="left" w:leader="none"/>
              </w:tabs>
              <w:spacing w:line="240" w:lineRule="auto" w:before="55"/>
              <w:ind w:right="0"/>
              <w:jc w:val="right"/>
              <w:rPr>
                <w:rFonts w:ascii="Arial" w:hAnsi="Arial" w:cs="Arial" w:eastAsia="Arial" w:hint="default"/>
                <w:sz w:val="17"/>
                <w:szCs w:val="17"/>
              </w:rPr>
            </w:pPr>
            <w:r>
              <w:rPr>
                <w:rFonts w:ascii="Arial"/>
                <w:w w:val="98"/>
                <w:sz w:val="17"/>
              </w:rPr>
            </w:r>
            <w:r>
              <w:rPr>
                <w:rFonts w:ascii="Arial"/>
                <w:w w:val="98"/>
                <w:sz w:val="17"/>
                <w:u w:val="single" w:color="000000"/>
              </w:rPr>
              <w:t> </w:t>
            </w:r>
            <w:r>
              <w:rPr>
                <w:rFonts w:ascii="Arial"/>
                <w:sz w:val="17"/>
                <w:u w:val="single" w:color="000000"/>
              </w:rPr>
              <w:tab/>
            </w:r>
            <w:r>
              <w:rPr>
                <w:rFonts w:ascii="Arial"/>
                <w:w w:val="95"/>
                <w:sz w:val="17"/>
                <w:u w:val="single" w:color="000000"/>
              </w:rPr>
              <w:t>(771,186,051)</w:t>
            </w:r>
            <w:r>
              <w:rPr>
                <w:rFonts w:ascii="Arial"/>
                <w:sz w:val="17"/>
                <w:u w:val="single" w:color="000000"/>
              </w:rPr>
              <w:tab/>
            </w:r>
            <w:r>
              <w:rPr>
                <w:rFonts w:ascii="Arial"/>
                <w:sz w:val="17"/>
              </w:rPr>
            </w: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tabs>
                <w:tab w:pos="719" w:val="left" w:leader="none"/>
                <w:tab w:pos="1636" w:val="left" w:leader="none"/>
              </w:tabs>
              <w:spacing w:line="240" w:lineRule="auto" w:before="55"/>
              <w:ind w:right="0"/>
              <w:jc w:val="right"/>
              <w:rPr>
                <w:rFonts w:ascii="Arial" w:hAnsi="Arial" w:cs="Arial" w:eastAsia="Arial" w:hint="default"/>
                <w:sz w:val="17"/>
                <w:szCs w:val="17"/>
              </w:rPr>
            </w:pPr>
            <w:r>
              <w:rPr>
                <w:rFonts w:ascii="Arial"/>
                <w:w w:val="98"/>
                <w:sz w:val="17"/>
              </w:rPr>
            </w:r>
            <w:r>
              <w:rPr>
                <w:rFonts w:ascii="Arial"/>
                <w:w w:val="98"/>
                <w:sz w:val="17"/>
                <w:u w:val="single" w:color="000000"/>
              </w:rPr>
              <w:t> </w:t>
            </w:r>
            <w:r>
              <w:rPr>
                <w:rFonts w:ascii="Arial"/>
                <w:sz w:val="17"/>
                <w:u w:val="single" w:color="000000"/>
              </w:rPr>
              <w:tab/>
            </w:r>
            <w:r>
              <w:rPr>
                <w:rFonts w:ascii="Arial"/>
                <w:spacing w:val="-1"/>
                <w:w w:val="95"/>
                <w:sz w:val="17"/>
                <w:u w:val="single" w:color="000000"/>
              </w:rPr>
              <w:t>(1,332,233)</w:t>
            </w:r>
            <w:r>
              <w:rPr>
                <w:rFonts w:ascii="Arial"/>
                <w:spacing w:val="-1"/>
                <w:sz w:val="17"/>
                <w:u w:val="single" w:color="000000"/>
              </w:rPr>
              <w:tab/>
            </w:r>
            <w:r>
              <w:rPr>
                <w:rFonts w:ascii="Arial"/>
                <w:spacing w:val="-1"/>
                <w:sz w:val="17"/>
              </w:rPr>
            </w:r>
          </w:p>
        </w:tc>
        <w:tc>
          <w:tcPr>
            <w:tcW w:w="1891" w:type="dxa"/>
            <w:gridSpan w:val="2"/>
            <w:tcBorders>
              <w:top w:val="nil" w:sz="6" w:space="0" w:color="auto"/>
              <w:left w:val="nil" w:sz="6" w:space="0" w:color="auto"/>
              <w:bottom w:val="nil" w:sz="6" w:space="0" w:color="auto"/>
              <w:right w:val="nil" w:sz="6" w:space="0" w:color="auto"/>
            </w:tcBorders>
          </w:tcPr>
          <w:p>
            <w:pPr>
              <w:pStyle w:val="TableParagraph"/>
              <w:tabs>
                <w:tab w:pos="777" w:val="left" w:leader="none"/>
                <w:tab w:pos="1891" w:val="left" w:leader="none"/>
              </w:tabs>
              <w:spacing w:line="240" w:lineRule="auto" w:before="55"/>
              <w:ind w:left="283" w:right="0"/>
              <w:jc w:val="left"/>
              <w:rPr>
                <w:rFonts w:ascii="Arial" w:hAnsi="Arial" w:cs="Arial" w:eastAsia="Arial" w:hint="default"/>
                <w:sz w:val="17"/>
                <w:szCs w:val="17"/>
              </w:rPr>
            </w:pPr>
            <w:r>
              <w:rPr>
                <w:rFonts w:ascii="Arial"/>
                <w:w w:val="98"/>
                <w:sz w:val="17"/>
              </w:rPr>
            </w:r>
            <w:r>
              <w:rPr>
                <w:rFonts w:ascii="Arial"/>
                <w:w w:val="98"/>
                <w:sz w:val="17"/>
                <w:u w:val="single" w:color="000000"/>
              </w:rPr>
              <w:t> </w:t>
            </w:r>
            <w:r>
              <w:rPr>
                <w:rFonts w:ascii="Arial"/>
                <w:sz w:val="17"/>
                <w:u w:val="single" w:color="000000"/>
              </w:rPr>
              <w:tab/>
              <w:t>(772,533,786)</w:t>
              <w:tab/>
            </w:r>
            <w:r>
              <w:rPr>
                <w:rFonts w:ascii="Arial"/>
                <w:sz w:val="17"/>
              </w:rPr>
            </w:r>
          </w:p>
        </w:tc>
      </w:tr>
      <w:tr>
        <w:trPr>
          <w:trHeight w:val="416"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200" w:right="0"/>
              <w:jc w:val="left"/>
              <w:rPr>
                <w:rFonts w:ascii="宋体" w:hAnsi="宋体" w:cs="宋体" w:eastAsia="宋体" w:hint="default"/>
                <w:sz w:val="20"/>
                <w:szCs w:val="20"/>
              </w:rPr>
            </w:pPr>
            <w:r>
              <w:rPr>
                <w:rFonts w:ascii="宋体" w:hAnsi="宋体" w:cs="宋体" w:eastAsia="宋体" w:hint="default"/>
                <w:sz w:val="20"/>
                <w:szCs w:val="20"/>
              </w:rPr>
              <w:t>账面价值</w:t>
            </w:r>
            <w:r>
              <w:rPr>
                <w:rFonts w:ascii="宋体" w:hAnsi="宋体" w:cs="宋体" w:eastAsia="宋体" w:hint="default"/>
                <w:sz w:val="20"/>
                <w:szCs w:val="20"/>
              </w:rPr>
              <w:t> </w:t>
            </w:r>
          </w:p>
        </w:tc>
        <w:tc>
          <w:tcPr>
            <w:tcW w:w="1507" w:type="dxa"/>
            <w:tcBorders>
              <w:top w:val="nil" w:sz="6" w:space="0" w:color="auto"/>
              <w:left w:val="nil" w:sz="6" w:space="0" w:color="auto"/>
              <w:bottom w:val="nil" w:sz="6" w:space="0" w:color="auto"/>
              <w:right w:val="nil" w:sz="6" w:space="0" w:color="auto"/>
            </w:tcBorders>
          </w:tcPr>
          <w:p>
            <w:pP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
        </w:tc>
        <w:tc>
          <w:tcPr>
            <w:tcW w:w="283" w:type="dxa"/>
            <w:tcBorders>
              <w:top w:val="nil" w:sz="6" w:space="0" w:color="auto"/>
              <w:left w:val="nil" w:sz="6" w:space="0" w:color="auto"/>
              <w:bottom w:val="nil" w:sz="6" w:space="0" w:color="auto"/>
              <w:right w:val="nil" w:sz="6" w:space="0" w:color="auto"/>
            </w:tcBorders>
          </w:tcPr>
          <w:p>
            <w:pPr/>
          </w:p>
        </w:tc>
        <w:tc>
          <w:tcPr>
            <w:tcW w:w="1608" w:type="dxa"/>
            <w:tcBorders>
              <w:top w:val="nil" w:sz="6" w:space="0" w:color="auto"/>
              <w:left w:val="nil" w:sz="6" w:space="0" w:color="auto"/>
              <w:bottom w:val="nil" w:sz="6" w:space="0" w:color="auto"/>
              <w:right w:val="nil" w:sz="6" w:space="0" w:color="auto"/>
            </w:tcBorders>
          </w:tcPr>
          <w:p>
            <w:pPr/>
          </w:p>
        </w:tc>
      </w:tr>
      <w:tr>
        <w:trPr>
          <w:trHeight w:val="281"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30" w:lineRule="exact"/>
              <w:ind w:left="200" w:right="0"/>
              <w:jc w:val="left"/>
              <w:rPr>
                <w:rFonts w:ascii="宋体" w:hAnsi="宋体" w:cs="宋体" w:eastAsia="宋体" w:hint="default"/>
                <w:sz w:val="20"/>
                <w:szCs w:val="20"/>
              </w:rPr>
            </w:pPr>
            <w:r>
              <w:rPr>
                <w:rFonts w:ascii="宋体" w:hAnsi="宋体" w:cs="宋体" w:eastAsia="宋体" w:hint="default"/>
                <w:w w:val="100"/>
                <w:sz w:val="20"/>
                <w:szCs w:val="20"/>
              </w:rPr>
              <w:t>  </w:t>
            </w:r>
            <w:r>
              <w:rPr>
                <w:rFonts w:ascii="宋体" w:hAnsi="宋体" w:cs="宋体" w:eastAsia="宋体" w:hint="default"/>
                <w:spacing w:val="-3"/>
                <w:sz w:val="20"/>
                <w:szCs w:val="20"/>
              </w:rPr>
              <w:t>年末</w:t>
            </w:r>
            <w:r>
              <w:rPr>
                <w:rFonts w:ascii="宋体" w:hAnsi="宋体" w:cs="宋体" w:eastAsia="宋体" w:hint="default"/>
                <w:sz w:val="20"/>
                <w:szCs w:val="20"/>
              </w:rPr>
              <w:t> </w:t>
            </w:r>
          </w:p>
        </w:tc>
        <w:tc>
          <w:tcPr>
            <w:tcW w:w="1507" w:type="dxa"/>
            <w:tcBorders>
              <w:top w:val="nil" w:sz="6" w:space="0" w:color="auto"/>
              <w:left w:val="nil" w:sz="6" w:space="0" w:color="auto"/>
              <w:bottom w:val="single" w:sz="17" w:space="0" w:color="000000"/>
              <w:right w:val="nil" w:sz="6" w:space="0" w:color="auto"/>
            </w:tcBorders>
          </w:tcPr>
          <w:p>
            <w:pPr>
              <w:pStyle w:val="TableParagraph"/>
              <w:spacing w:line="240" w:lineRule="auto" w:before="61"/>
              <w:ind w:left="220" w:right="0"/>
              <w:jc w:val="left"/>
              <w:rPr>
                <w:rFonts w:ascii="Arial" w:hAnsi="Arial" w:cs="Arial" w:eastAsia="Arial" w:hint="default"/>
                <w:sz w:val="17"/>
                <w:szCs w:val="17"/>
              </w:rPr>
            </w:pPr>
            <w:r>
              <w:rPr>
                <w:rFonts w:ascii="Arial"/>
                <w:sz w:val="17"/>
              </w:rPr>
              <w:t>39,232,342,471</w:t>
            </w: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single" w:sz="17" w:space="0" w:color="000000"/>
              <w:right w:val="nil" w:sz="6" w:space="0" w:color="auto"/>
            </w:tcBorders>
          </w:tcPr>
          <w:p>
            <w:pPr>
              <w:pStyle w:val="TableParagraph"/>
              <w:spacing w:line="240" w:lineRule="auto" w:before="61"/>
              <w:ind w:right="110"/>
              <w:jc w:val="right"/>
              <w:rPr>
                <w:rFonts w:ascii="Arial" w:hAnsi="Arial" w:cs="Arial" w:eastAsia="Arial" w:hint="default"/>
                <w:sz w:val="17"/>
                <w:szCs w:val="17"/>
              </w:rPr>
            </w:pPr>
            <w:r>
              <w:rPr>
                <w:rFonts w:ascii="Arial"/>
                <w:w w:val="95"/>
                <w:sz w:val="17"/>
              </w:rPr>
              <w:t>268,963,553,149</w:t>
            </w:r>
            <w:r>
              <w:rPr>
                <w:rFonts w:ascii="Arial"/>
                <w:sz w:val="17"/>
              </w:rPr>
            </w: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single" w:sz="17" w:space="0" w:color="000000"/>
              <w:right w:val="nil" w:sz="6" w:space="0" w:color="auto"/>
            </w:tcBorders>
          </w:tcPr>
          <w:p>
            <w:pPr>
              <w:pStyle w:val="TableParagraph"/>
              <w:spacing w:line="240" w:lineRule="auto" w:before="61"/>
              <w:ind w:left="446" w:right="0"/>
              <w:jc w:val="left"/>
              <w:rPr>
                <w:rFonts w:ascii="Arial" w:hAnsi="Arial" w:cs="Arial" w:eastAsia="Arial" w:hint="default"/>
                <w:sz w:val="17"/>
                <w:szCs w:val="17"/>
              </w:rPr>
            </w:pPr>
            <w:r>
              <w:rPr>
                <w:rFonts w:ascii="Arial"/>
                <w:sz w:val="17"/>
              </w:rPr>
              <w:t>4,337,840,738</w:t>
            </w:r>
          </w:p>
        </w:tc>
        <w:tc>
          <w:tcPr>
            <w:tcW w:w="283" w:type="dxa"/>
            <w:tcBorders>
              <w:top w:val="nil" w:sz="6" w:space="0" w:color="auto"/>
              <w:left w:val="nil" w:sz="6" w:space="0" w:color="auto"/>
              <w:bottom w:val="nil" w:sz="6" w:space="0" w:color="auto"/>
              <w:right w:val="nil" w:sz="6" w:space="0" w:color="auto"/>
            </w:tcBorders>
          </w:tcPr>
          <w:p>
            <w:pPr/>
          </w:p>
        </w:tc>
        <w:tc>
          <w:tcPr>
            <w:tcW w:w="1608" w:type="dxa"/>
            <w:tcBorders>
              <w:top w:val="nil" w:sz="6" w:space="0" w:color="auto"/>
              <w:left w:val="nil" w:sz="6" w:space="0" w:color="auto"/>
              <w:bottom w:val="single" w:sz="17" w:space="0" w:color="000000"/>
              <w:right w:val="nil" w:sz="6" w:space="0" w:color="auto"/>
            </w:tcBorders>
          </w:tcPr>
          <w:p>
            <w:pPr>
              <w:pStyle w:val="TableParagraph"/>
              <w:spacing w:line="240" w:lineRule="auto" w:before="61"/>
              <w:ind w:left="225" w:right="0"/>
              <w:jc w:val="left"/>
              <w:rPr>
                <w:rFonts w:ascii="Arial" w:hAnsi="Arial" w:cs="Arial" w:eastAsia="Arial" w:hint="default"/>
                <w:sz w:val="17"/>
                <w:szCs w:val="17"/>
              </w:rPr>
            </w:pPr>
            <w:r>
              <w:rPr>
                <w:rFonts w:ascii="Arial"/>
                <w:sz w:val="17"/>
              </w:rPr>
              <w:t>312,533,736,358</w:t>
            </w:r>
          </w:p>
        </w:tc>
      </w:tr>
      <w:tr>
        <w:trPr>
          <w:trHeight w:val="542"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0"/>
                <w:szCs w:val="20"/>
              </w:rPr>
            </w:pPr>
            <w:r>
              <w:rPr>
                <w:rFonts w:ascii="宋体" w:hAnsi="宋体" w:cs="宋体" w:eastAsia="宋体" w:hint="default"/>
                <w:w w:val="100"/>
                <w:sz w:val="20"/>
                <w:szCs w:val="20"/>
              </w:rPr>
              <w:t>  </w:t>
            </w:r>
            <w:r>
              <w:rPr>
                <w:rFonts w:ascii="宋体" w:hAnsi="宋体" w:cs="宋体" w:eastAsia="宋体" w:hint="default"/>
                <w:spacing w:val="-3"/>
                <w:sz w:val="20"/>
                <w:szCs w:val="20"/>
              </w:rPr>
              <w:t>年初</w:t>
            </w:r>
            <w:r>
              <w:rPr>
                <w:rFonts w:ascii="宋体" w:hAnsi="宋体" w:cs="宋体" w:eastAsia="宋体" w:hint="default"/>
                <w:sz w:val="20"/>
                <w:szCs w:val="20"/>
              </w:rPr>
              <w:t> </w:t>
            </w:r>
          </w:p>
        </w:tc>
        <w:tc>
          <w:tcPr>
            <w:tcW w:w="1507" w:type="dxa"/>
            <w:tcBorders>
              <w:top w:val="single" w:sz="17" w:space="0" w:color="000000"/>
              <w:left w:val="nil" w:sz="6" w:space="0" w:color="auto"/>
              <w:bottom w:val="single" w:sz="17" w:space="0" w:color="000000"/>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220" w:right="0"/>
              <w:jc w:val="left"/>
              <w:rPr>
                <w:rFonts w:ascii="Arial" w:hAnsi="Arial" w:cs="Arial" w:eastAsia="Arial" w:hint="default"/>
                <w:sz w:val="16"/>
                <w:szCs w:val="16"/>
              </w:rPr>
            </w:pPr>
            <w:r>
              <w:rPr>
                <w:rFonts w:ascii="Arial"/>
                <w:w w:val="105"/>
                <w:sz w:val="16"/>
              </w:rPr>
              <w:t>40,569,701,454</w:t>
            </w:r>
            <w:r>
              <w:rPr>
                <w:rFonts w:ascii="Arial"/>
                <w:sz w:val="16"/>
              </w:rPr>
            </w:r>
          </w:p>
        </w:tc>
        <w:tc>
          <w:tcPr>
            <w:tcW w:w="240" w:type="dxa"/>
            <w:tcBorders>
              <w:top w:val="nil" w:sz="6" w:space="0" w:color="auto"/>
              <w:left w:val="nil" w:sz="6" w:space="0" w:color="auto"/>
              <w:bottom w:val="nil" w:sz="6" w:space="0" w:color="auto"/>
              <w:right w:val="nil" w:sz="6" w:space="0" w:color="auto"/>
            </w:tcBorders>
          </w:tcPr>
          <w:p>
            <w:pPr/>
          </w:p>
        </w:tc>
        <w:tc>
          <w:tcPr>
            <w:tcW w:w="1766" w:type="dxa"/>
            <w:tcBorders>
              <w:top w:val="single" w:sz="17" w:space="0" w:color="000000"/>
              <w:left w:val="nil" w:sz="6" w:space="0" w:color="auto"/>
              <w:bottom w:val="single" w:sz="17" w:space="0" w:color="000000"/>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110"/>
              <w:jc w:val="right"/>
              <w:rPr>
                <w:rFonts w:ascii="Arial" w:hAnsi="Arial" w:cs="Arial" w:eastAsia="Arial" w:hint="default"/>
                <w:sz w:val="16"/>
                <w:szCs w:val="16"/>
              </w:rPr>
            </w:pPr>
            <w:r>
              <w:rPr>
                <w:rFonts w:ascii="Arial"/>
                <w:w w:val="105"/>
                <w:sz w:val="16"/>
              </w:rPr>
              <w:t>296,458,050,331</w:t>
            </w:r>
            <w:r>
              <w:rPr>
                <w:rFonts w:ascii="Arial"/>
                <w:sz w:val="16"/>
              </w:rPr>
            </w:r>
          </w:p>
        </w:tc>
        <w:tc>
          <w:tcPr>
            <w:tcW w:w="235" w:type="dxa"/>
            <w:tcBorders>
              <w:top w:val="nil" w:sz="6" w:space="0" w:color="auto"/>
              <w:left w:val="nil" w:sz="6" w:space="0" w:color="auto"/>
              <w:bottom w:val="nil" w:sz="6" w:space="0" w:color="auto"/>
              <w:right w:val="nil" w:sz="6" w:space="0" w:color="auto"/>
            </w:tcBorders>
          </w:tcPr>
          <w:p>
            <w:pPr/>
          </w:p>
        </w:tc>
        <w:tc>
          <w:tcPr>
            <w:tcW w:w="1637" w:type="dxa"/>
            <w:tcBorders>
              <w:top w:val="single" w:sz="17" w:space="0" w:color="000000"/>
              <w:left w:val="nil" w:sz="6" w:space="0" w:color="auto"/>
              <w:bottom w:val="single" w:sz="17" w:space="0" w:color="000000"/>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446" w:right="0"/>
              <w:jc w:val="left"/>
              <w:rPr>
                <w:rFonts w:ascii="Arial" w:hAnsi="Arial" w:cs="Arial" w:eastAsia="Arial" w:hint="default"/>
                <w:sz w:val="16"/>
                <w:szCs w:val="16"/>
              </w:rPr>
            </w:pPr>
            <w:r>
              <w:rPr>
                <w:rFonts w:ascii="Arial"/>
                <w:w w:val="105"/>
                <w:sz w:val="16"/>
              </w:rPr>
              <w:t>4,424,892,476</w:t>
            </w:r>
            <w:r>
              <w:rPr>
                <w:rFonts w:ascii="Arial"/>
                <w:sz w:val="16"/>
              </w:rPr>
            </w:r>
          </w:p>
        </w:tc>
        <w:tc>
          <w:tcPr>
            <w:tcW w:w="283" w:type="dxa"/>
            <w:tcBorders>
              <w:top w:val="nil" w:sz="6" w:space="0" w:color="auto"/>
              <w:left w:val="nil" w:sz="6" w:space="0" w:color="auto"/>
              <w:bottom w:val="nil" w:sz="6" w:space="0" w:color="auto"/>
              <w:right w:val="nil" w:sz="6" w:space="0" w:color="auto"/>
            </w:tcBorders>
          </w:tcPr>
          <w:p>
            <w:pPr/>
          </w:p>
        </w:tc>
        <w:tc>
          <w:tcPr>
            <w:tcW w:w="1608" w:type="dxa"/>
            <w:tcBorders>
              <w:top w:val="single" w:sz="17" w:space="0" w:color="000000"/>
              <w:left w:val="nil" w:sz="6" w:space="0" w:color="auto"/>
              <w:bottom w:val="single" w:sz="17" w:space="0" w:color="000000"/>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225" w:right="0"/>
              <w:jc w:val="left"/>
              <w:rPr>
                <w:rFonts w:ascii="Arial" w:hAnsi="Arial" w:cs="Arial" w:eastAsia="Arial" w:hint="default"/>
                <w:sz w:val="16"/>
                <w:szCs w:val="16"/>
              </w:rPr>
            </w:pPr>
            <w:r>
              <w:rPr>
                <w:rFonts w:ascii="Arial"/>
                <w:w w:val="105"/>
                <w:sz w:val="16"/>
              </w:rPr>
              <w:t>341,452,644,261</w:t>
            </w:r>
            <w:r>
              <w:rPr>
                <w:rFonts w:ascii="Arial"/>
                <w:sz w:val="16"/>
              </w:rPr>
            </w:r>
          </w:p>
        </w:tc>
      </w:tr>
    </w:tbl>
    <w:p>
      <w:pPr>
        <w:spacing w:line="240" w:lineRule="auto" w:before="4"/>
        <w:rPr>
          <w:rFonts w:ascii="宋体" w:hAnsi="宋体" w:cs="宋体" w:eastAsia="宋体" w:hint="default"/>
          <w:sz w:val="12"/>
          <w:szCs w:val="12"/>
        </w:rPr>
      </w:pPr>
    </w:p>
    <w:p>
      <w:pPr>
        <w:pStyle w:val="BodyText"/>
        <w:spacing w:line="240" w:lineRule="auto" w:before="32"/>
        <w:ind w:left="274" w:right="103"/>
        <w:jc w:val="left"/>
      </w:pPr>
      <w:r>
        <w:rPr/>
        <w:t>于</w:t>
      </w:r>
      <w:r>
        <w:rPr>
          <w:spacing w:val="-54"/>
        </w:rPr>
        <w:t> </w:t>
      </w:r>
      <w:r>
        <w:rPr>
          <w:rFonts w:ascii="Arial" w:hAnsi="Arial" w:cs="Arial" w:eastAsia="Arial" w:hint="default"/>
        </w:rPr>
        <w:t>2019</w:t>
      </w:r>
      <w:r>
        <w:rPr>
          <w:rFonts w:ascii="Arial" w:hAnsi="Arial" w:cs="Arial" w:eastAsia="Arial" w:hint="default"/>
          <w:spacing w:val="-3"/>
        </w:rPr>
        <w:t> </w:t>
      </w:r>
      <w:r>
        <w:rPr/>
        <w:t>年度，本集团的部分资产减值准备随报废资产处置而转出。</w:t>
      </w:r>
    </w:p>
    <w:p>
      <w:pPr>
        <w:spacing w:line="240" w:lineRule="auto" w:before="11"/>
        <w:rPr>
          <w:rFonts w:ascii="宋体" w:hAnsi="宋体" w:cs="宋体" w:eastAsia="宋体" w:hint="default"/>
          <w:sz w:val="17"/>
          <w:szCs w:val="17"/>
        </w:rPr>
      </w:pPr>
    </w:p>
    <w:p>
      <w:pPr>
        <w:pStyle w:val="BodyText"/>
        <w:spacing w:line="296" w:lineRule="exact"/>
        <w:ind w:left="245" w:right="103"/>
        <w:jc w:val="left"/>
      </w:pPr>
      <w:r>
        <w:rPr/>
        <w:t>考虑本集团对电信网络的持续改进以及用户自愿网络迁转的进度，本集团于</w:t>
      </w:r>
      <w:r>
        <w:rPr>
          <w:spacing w:val="-60"/>
        </w:rPr>
        <w:t> </w:t>
      </w:r>
      <w:r>
        <w:rPr>
          <w:rFonts w:ascii="Arial" w:hAnsi="Arial" w:cs="Arial" w:eastAsia="Arial" w:hint="default"/>
        </w:rPr>
        <w:t>2019</w:t>
      </w:r>
      <w:r>
        <w:rPr>
          <w:rFonts w:ascii="Arial" w:hAnsi="Arial" w:cs="Arial" w:eastAsia="Arial" w:hint="default"/>
          <w:spacing w:val="-5"/>
        </w:rPr>
        <w:t> </w:t>
      </w:r>
      <w:r>
        <w:rPr/>
        <w:t>年度处置了净值约</w:t>
      </w:r>
    </w:p>
    <w:p>
      <w:pPr>
        <w:pStyle w:val="BodyText"/>
        <w:spacing w:line="286" w:lineRule="exact"/>
        <w:ind w:left="245" w:right="103"/>
        <w:jc w:val="left"/>
      </w:pPr>
      <w:r>
        <w:rPr/>
        <w:t>人民币 </w:t>
      </w:r>
      <w:r>
        <w:rPr>
          <w:rFonts w:ascii="Arial" w:hAnsi="Arial" w:cs="Arial" w:eastAsia="Arial" w:hint="default"/>
        </w:rPr>
        <w:t>37.39 </w:t>
      </w:r>
      <w:r>
        <w:rPr/>
        <w:t>亿元的固定资产，处置对价约人民币 </w:t>
      </w:r>
      <w:r>
        <w:rPr>
          <w:rFonts w:ascii="Arial" w:hAnsi="Arial" w:cs="Arial" w:eastAsia="Arial" w:hint="default"/>
        </w:rPr>
        <w:t>15.60</w:t>
      </w:r>
      <w:r>
        <w:rPr>
          <w:rFonts w:ascii="Arial" w:hAnsi="Arial" w:cs="Arial" w:eastAsia="Arial" w:hint="default"/>
          <w:spacing w:val="28"/>
        </w:rPr>
        <w:t> </w:t>
      </w:r>
      <w:r>
        <w:rPr/>
        <w:t>亿元，发生固定资产处置净损失约人民币</w:t>
      </w:r>
    </w:p>
    <w:p>
      <w:pPr>
        <w:pStyle w:val="BodyText"/>
        <w:spacing w:line="293" w:lineRule="exact"/>
        <w:ind w:left="245" w:right="103"/>
        <w:jc w:val="left"/>
      </w:pPr>
      <w:r>
        <w:rPr>
          <w:rFonts w:ascii="Arial" w:hAnsi="Arial" w:cs="Arial" w:eastAsia="Arial" w:hint="default"/>
        </w:rPr>
        <w:t>21.79</w:t>
      </w:r>
      <w:r>
        <w:rPr>
          <w:rFonts w:ascii="Arial" w:hAnsi="Arial" w:cs="Arial" w:eastAsia="Arial" w:hint="default"/>
          <w:spacing w:val="-1"/>
        </w:rPr>
        <w:t> </w:t>
      </w:r>
      <w:r>
        <w:rPr/>
        <w:t>亿元。</w:t>
      </w:r>
    </w:p>
    <w:p>
      <w:pPr>
        <w:spacing w:after="0" w:line="293" w:lineRule="exact"/>
        <w:jc w:val="left"/>
        <w:sectPr>
          <w:headerReference w:type="default" r:id="rId164"/>
          <w:pgSz w:w="11910" w:h="16840"/>
          <w:pgMar w:header="1188" w:footer="502" w:top="3740" w:bottom="700" w:left="940" w:right="960"/>
        </w:sectPr>
      </w:pPr>
    </w:p>
    <w:p>
      <w:pPr>
        <w:spacing w:line="240" w:lineRule="auto" w:before="9"/>
        <w:rPr>
          <w:rFonts w:ascii="宋体" w:hAnsi="宋体" w:cs="宋体" w:eastAsia="宋体" w:hint="default"/>
          <w:sz w:val="21"/>
          <w:szCs w:val="21"/>
        </w:rPr>
      </w:pPr>
    </w:p>
    <w:p>
      <w:pPr>
        <w:pStyle w:val="BodyText"/>
        <w:spacing w:line="240" w:lineRule="auto" w:before="32"/>
        <w:ind w:left="112" w:right="91"/>
        <w:jc w:val="left"/>
      </w:pPr>
      <w:r>
        <w:rPr>
          <w:rFonts w:ascii="Arial" w:hAnsi="Arial" w:cs="Arial" w:eastAsia="Arial" w:hint="default"/>
        </w:rPr>
        <w:t>13</w:t>
      </w:r>
      <w:r>
        <w:rPr/>
        <w:t>、在建工程</w:t>
      </w:r>
    </w:p>
    <w:p>
      <w:pPr>
        <w:spacing w:line="240" w:lineRule="auto" w:before="0"/>
        <w:rPr>
          <w:rFonts w:ascii="宋体" w:hAnsi="宋体" w:cs="宋体" w:eastAsia="宋体" w:hint="default"/>
          <w:sz w:val="23"/>
          <w:szCs w:val="23"/>
        </w:rPr>
      </w:pPr>
    </w:p>
    <w:tbl>
      <w:tblPr>
        <w:tblW w:w="0" w:type="auto"/>
        <w:jc w:val="left"/>
        <w:tblInd w:w="344" w:type="dxa"/>
        <w:tblLayout w:type="fixed"/>
        <w:tblCellMar>
          <w:top w:w="0" w:type="dxa"/>
          <w:left w:w="0" w:type="dxa"/>
          <w:bottom w:w="0" w:type="dxa"/>
          <w:right w:w="0" w:type="dxa"/>
        </w:tblCellMar>
        <w:tblLook w:val="01E0"/>
      </w:tblPr>
      <w:tblGrid>
        <w:gridCol w:w="2214"/>
        <w:gridCol w:w="1582"/>
        <w:gridCol w:w="442"/>
        <w:gridCol w:w="2371"/>
        <w:gridCol w:w="190"/>
        <w:gridCol w:w="2561"/>
      </w:tblGrid>
      <w:tr>
        <w:trPr>
          <w:trHeight w:val="264" w:hRule="exact"/>
        </w:trPr>
        <w:tc>
          <w:tcPr>
            <w:tcW w:w="2214"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Style w:val="TableParagraph"/>
              <w:spacing w:line="221" w:lineRule="exact"/>
              <w:ind w:left="770" w:right="0"/>
              <w:jc w:val="center"/>
              <w:rPr>
                <w:rFonts w:ascii="宋体" w:hAnsi="宋体" w:cs="宋体" w:eastAsia="宋体" w:hint="default"/>
                <w:sz w:val="22"/>
                <w:szCs w:val="22"/>
              </w:rPr>
            </w:pPr>
            <w:r>
              <w:rPr>
                <w:rFonts w:ascii="宋体" w:hAnsi="宋体" w:cs="宋体" w:eastAsia="宋体" w:hint="default"/>
                <w:sz w:val="22"/>
                <w:szCs w:val="22"/>
              </w:rPr>
              <w:t>注</w:t>
            </w:r>
            <w:r>
              <w:rPr>
                <w:rFonts w:ascii="宋体" w:hAnsi="宋体" w:cs="宋体" w:eastAsia="宋体" w:hint="default"/>
                <w:sz w:val="22"/>
                <w:szCs w:val="22"/>
              </w:rPr>
              <w:t> </w:t>
            </w:r>
          </w:p>
        </w:tc>
        <w:tc>
          <w:tcPr>
            <w:tcW w:w="442" w:type="dxa"/>
            <w:tcBorders>
              <w:top w:val="nil" w:sz="6" w:space="0" w:color="auto"/>
              <w:left w:val="nil" w:sz="6" w:space="0" w:color="auto"/>
              <w:bottom w:val="nil" w:sz="6" w:space="0" w:color="auto"/>
              <w:right w:val="nil" w:sz="6" w:space="0" w:color="auto"/>
            </w:tcBorders>
          </w:tcPr>
          <w:p>
            <w:pPr>
              <w:pStyle w:val="TableParagraph"/>
              <w:spacing w:line="221" w:lineRule="exact"/>
              <w:ind w:right="17"/>
              <w:jc w:val="right"/>
              <w:rPr>
                <w:rFonts w:ascii="宋体" w:hAnsi="宋体" w:cs="宋体" w:eastAsia="宋体" w:hint="default"/>
                <w:sz w:val="22"/>
                <w:szCs w:val="22"/>
              </w:rPr>
            </w:pPr>
            <w:r>
              <w:rPr>
                <w:rFonts w:ascii="宋体"/>
                <w:w w:val="100"/>
                <w:sz w:val="22"/>
              </w:rPr>
              <w:t> </w:t>
            </w:r>
          </w:p>
        </w:tc>
        <w:tc>
          <w:tcPr>
            <w:tcW w:w="2371" w:type="dxa"/>
            <w:tcBorders>
              <w:top w:val="nil" w:sz="6" w:space="0" w:color="auto"/>
              <w:left w:val="nil" w:sz="6" w:space="0" w:color="auto"/>
              <w:bottom w:val="single" w:sz="6" w:space="0" w:color="000000"/>
              <w:right w:val="nil" w:sz="6" w:space="0" w:color="auto"/>
            </w:tcBorders>
          </w:tcPr>
          <w:p>
            <w:pPr>
              <w:pStyle w:val="TableParagraph"/>
              <w:spacing w:line="236" w:lineRule="exact"/>
              <w:ind w:right="31"/>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190" w:type="dxa"/>
            <w:tcBorders>
              <w:top w:val="nil" w:sz="6" w:space="0" w:color="auto"/>
              <w:left w:val="nil" w:sz="6" w:space="0" w:color="auto"/>
              <w:bottom w:val="nil" w:sz="6" w:space="0" w:color="auto"/>
              <w:right w:val="nil" w:sz="6" w:space="0" w:color="auto"/>
            </w:tcBorders>
          </w:tcPr>
          <w:p>
            <w:pPr/>
          </w:p>
        </w:tc>
        <w:tc>
          <w:tcPr>
            <w:tcW w:w="2561" w:type="dxa"/>
            <w:tcBorders>
              <w:top w:val="nil" w:sz="6" w:space="0" w:color="auto"/>
              <w:left w:val="nil" w:sz="6" w:space="0" w:color="auto"/>
              <w:bottom w:val="single" w:sz="6" w:space="0" w:color="000000"/>
              <w:right w:val="nil" w:sz="6" w:space="0" w:color="auto"/>
            </w:tcBorders>
          </w:tcPr>
          <w:p>
            <w:pPr>
              <w:pStyle w:val="TableParagraph"/>
              <w:spacing w:line="236" w:lineRule="exact"/>
              <w:ind w:right="31"/>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355" w:hRule="exact"/>
        </w:trPr>
        <w:tc>
          <w:tcPr>
            <w:tcW w:w="2214"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Style w:val="TableParagraph"/>
              <w:spacing w:line="210" w:lineRule="exact"/>
              <w:ind w:left="741" w:right="0"/>
              <w:jc w:val="center"/>
              <w:rPr>
                <w:rFonts w:ascii="宋体" w:hAnsi="宋体" w:cs="宋体" w:eastAsia="宋体" w:hint="default"/>
                <w:sz w:val="18"/>
                <w:szCs w:val="18"/>
              </w:rPr>
            </w:pPr>
            <w:r>
              <w:rPr>
                <w:rFonts w:ascii="宋体"/>
                <w:w w:val="101"/>
                <w:sz w:val="18"/>
              </w:rPr>
              <w:t> </w:t>
            </w:r>
            <w:r>
              <w:rPr>
                <w:rFonts w:ascii="宋体"/>
                <w:sz w:val="18"/>
              </w:rPr>
            </w:r>
          </w:p>
        </w:tc>
        <w:tc>
          <w:tcPr>
            <w:tcW w:w="442"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6"/>
              <w:jc w:val="right"/>
              <w:rPr>
                <w:rFonts w:ascii="宋体" w:hAnsi="宋体" w:cs="宋体" w:eastAsia="宋体" w:hint="default"/>
                <w:sz w:val="18"/>
                <w:szCs w:val="18"/>
              </w:rPr>
            </w:pPr>
            <w:r>
              <w:rPr>
                <w:rFonts w:ascii="宋体"/>
                <w:w w:val="101"/>
                <w:sz w:val="18"/>
              </w:rPr>
              <w:t> </w:t>
            </w:r>
            <w:r>
              <w:rPr>
                <w:rFonts w:ascii="宋体"/>
                <w:sz w:val="18"/>
              </w:rPr>
            </w:r>
          </w:p>
        </w:tc>
        <w:tc>
          <w:tcPr>
            <w:tcW w:w="2371" w:type="dxa"/>
            <w:tcBorders>
              <w:top w:val="single" w:sz="6" w:space="0" w:color="000000"/>
              <w:left w:val="nil" w:sz="6" w:space="0" w:color="auto"/>
              <w:bottom w:val="nil" w:sz="6" w:space="0" w:color="auto"/>
              <w:right w:val="nil" w:sz="6" w:space="0" w:color="auto"/>
            </w:tcBorders>
          </w:tcPr>
          <w:p>
            <w:pPr/>
          </w:p>
        </w:tc>
        <w:tc>
          <w:tcPr>
            <w:tcW w:w="190" w:type="dxa"/>
            <w:tcBorders>
              <w:top w:val="nil" w:sz="6" w:space="0" w:color="auto"/>
              <w:left w:val="nil" w:sz="6" w:space="0" w:color="auto"/>
              <w:bottom w:val="nil" w:sz="6" w:space="0" w:color="auto"/>
              <w:right w:val="nil" w:sz="6" w:space="0" w:color="auto"/>
            </w:tcBorders>
          </w:tcPr>
          <w:p>
            <w:pPr/>
          </w:p>
        </w:tc>
        <w:tc>
          <w:tcPr>
            <w:tcW w:w="2561" w:type="dxa"/>
            <w:tcBorders>
              <w:top w:val="single" w:sz="6" w:space="0" w:color="000000"/>
              <w:left w:val="nil" w:sz="6" w:space="0" w:color="auto"/>
              <w:bottom w:val="nil" w:sz="6" w:space="0" w:color="auto"/>
              <w:right w:val="nil" w:sz="6" w:space="0" w:color="auto"/>
            </w:tcBorders>
          </w:tcPr>
          <w:p>
            <w:pPr/>
          </w:p>
        </w:tc>
      </w:tr>
      <w:tr>
        <w:trPr>
          <w:trHeight w:val="294" w:hRule="exact"/>
        </w:trPr>
        <w:tc>
          <w:tcPr>
            <w:tcW w:w="2214" w:type="dxa"/>
            <w:tcBorders>
              <w:top w:val="nil" w:sz="6" w:space="0" w:color="auto"/>
              <w:left w:val="nil" w:sz="6" w:space="0" w:color="auto"/>
              <w:bottom w:val="nil" w:sz="6" w:space="0" w:color="auto"/>
              <w:right w:val="nil" w:sz="6" w:space="0" w:color="auto"/>
            </w:tcBorders>
          </w:tcPr>
          <w:p>
            <w:pPr>
              <w:pStyle w:val="TableParagraph"/>
              <w:spacing w:line="250" w:lineRule="exact"/>
              <w:ind w:left="238" w:right="0"/>
              <w:jc w:val="left"/>
              <w:rPr>
                <w:rFonts w:ascii="宋体" w:hAnsi="宋体" w:cs="宋体" w:eastAsia="宋体" w:hint="default"/>
                <w:sz w:val="22"/>
                <w:szCs w:val="22"/>
              </w:rPr>
            </w:pPr>
            <w:r>
              <w:rPr>
                <w:rFonts w:ascii="宋体" w:hAnsi="宋体" w:cs="宋体" w:eastAsia="宋体" w:hint="default"/>
                <w:sz w:val="22"/>
                <w:szCs w:val="22"/>
              </w:rPr>
              <w:t>在建工程</w:t>
            </w:r>
            <w:r>
              <w:rPr>
                <w:rFonts w:ascii="宋体" w:hAnsi="宋体" w:cs="宋体" w:eastAsia="宋体" w:hint="default"/>
                <w:sz w:val="22"/>
                <w:szCs w:val="22"/>
              </w:rPr>
              <w:t> </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27"/>
              <w:ind w:left="770" w:right="0"/>
              <w:jc w:val="center"/>
              <w:rPr>
                <w:rFonts w:ascii="宋体" w:hAnsi="宋体" w:cs="宋体" w:eastAsia="宋体" w:hint="default"/>
                <w:sz w:val="22"/>
                <w:szCs w:val="22"/>
              </w:rPr>
            </w:pPr>
            <w:r>
              <w:rPr>
                <w:rFonts w:ascii="Arial"/>
                <w:sz w:val="22"/>
              </w:rPr>
              <w:t>(a)</w:t>
            </w:r>
            <w:r>
              <w:rPr>
                <w:rFonts w:ascii="宋体"/>
                <w:sz w:val="22"/>
              </w:rPr>
              <w:t> </w:t>
            </w:r>
          </w:p>
        </w:tc>
        <w:tc>
          <w:tcPr>
            <w:tcW w:w="442" w:type="dxa"/>
            <w:tcBorders>
              <w:top w:val="nil" w:sz="6" w:space="0" w:color="auto"/>
              <w:left w:val="nil" w:sz="6" w:space="0" w:color="auto"/>
              <w:bottom w:val="nil" w:sz="6" w:space="0" w:color="auto"/>
              <w:right w:val="nil" w:sz="6" w:space="0" w:color="auto"/>
            </w:tcBorders>
          </w:tcPr>
          <w:p>
            <w:pPr>
              <w:pStyle w:val="TableParagraph"/>
              <w:spacing w:line="250" w:lineRule="exact"/>
              <w:ind w:left="215" w:right="0"/>
              <w:jc w:val="left"/>
              <w:rPr>
                <w:rFonts w:ascii="宋体" w:hAnsi="宋体" w:cs="宋体" w:eastAsia="宋体" w:hint="default"/>
                <w:sz w:val="22"/>
                <w:szCs w:val="22"/>
              </w:rPr>
            </w:pPr>
            <w:r>
              <w:rPr>
                <w:rFonts w:ascii="宋体"/>
                <w:w w:val="100"/>
                <w:sz w:val="22"/>
              </w:rPr>
              <w:t> </w:t>
            </w:r>
          </w:p>
        </w:tc>
        <w:tc>
          <w:tcPr>
            <w:tcW w:w="2371"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1"/>
              <w:jc w:val="right"/>
              <w:rPr>
                <w:rFonts w:ascii="Arial" w:hAnsi="Arial" w:cs="Arial" w:eastAsia="Arial" w:hint="default"/>
                <w:sz w:val="22"/>
                <w:szCs w:val="22"/>
              </w:rPr>
            </w:pPr>
            <w:r>
              <w:rPr>
                <w:rFonts w:ascii="Arial"/>
                <w:sz w:val="22"/>
              </w:rPr>
              <w:t>52,911,260,219</w:t>
            </w:r>
          </w:p>
        </w:tc>
        <w:tc>
          <w:tcPr>
            <w:tcW w:w="190" w:type="dxa"/>
            <w:tcBorders>
              <w:top w:val="nil" w:sz="6" w:space="0" w:color="auto"/>
              <w:left w:val="nil" w:sz="6" w:space="0" w:color="auto"/>
              <w:bottom w:val="nil" w:sz="6" w:space="0" w:color="auto"/>
              <w:right w:val="nil" w:sz="6" w:space="0" w:color="auto"/>
            </w:tcBorders>
          </w:tcPr>
          <w:p>
            <w:pPr/>
          </w:p>
        </w:tc>
        <w:tc>
          <w:tcPr>
            <w:tcW w:w="2561"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6"/>
              <w:jc w:val="right"/>
              <w:rPr>
                <w:rFonts w:ascii="Arial" w:hAnsi="Arial" w:cs="Arial" w:eastAsia="Arial" w:hint="default"/>
                <w:sz w:val="22"/>
                <w:szCs w:val="22"/>
              </w:rPr>
            </w:pPr>
            <w:r>
              <w:rPr>
                <w:rFonts w:ascii="Arial"/>
                <w:sz w:val="22"/>
              </w:rPr>
              <w:t>41,172,930,040</w:t>
            </w:r>
          </w:p>
        </w:tc>
      </w:tr>
      <w:tr>
        <w:trPr>
          <w:trHeight w:val="293" w:hRule="exact"/>
        </w:trPr>
        <w:tc>
          <w:tcPr>
            <w:tcW w:w="2214" w:type="dxa"/>
            <w:tcBorders>
              <w:top w:val="nil" w:sz="6" w:space="0" w:color="auto"/>
              <w:left w:val="nil" w:sz="6" w:space="0" w:color="auto"/>
              <w:bottom w:val="nil" w:sz="6" w:space="0" w:color="auto"/>
              <w:right w:val="nil" w:sz="6" w:space="0" w:color="auto"/>
            </w:tcBorders>
          </w:tcPr>
          <w:p>
            <w:pPr>
              <w:pStyle w:val="TableParagraph"/>
              <w:spacing w:line="239" w:lineRule="exact"/>
              <w:ind w:left="238" w:right="0"/>
              <w:jc w:val="left"/>
              <w:rPr>
                <w:rFonts w:ascii="宋体" w:hAnsi="宋体" w:cs="宋体" w:eastAsia="宋体" w:hint="default"/>
                <w:sz w:val="22"/>
                <w:szCs w:val="22"/>
              </w:rPr>
            </w:pPr>
            <w:r>
              <w:rPr>
                <w:rFonts w:ascii="宋体" w:hAnsi="宋体" w:cs="宋体" w:eastAsia="宋体" w:hint="default"/>
                <w:sz w:val="22"/>
                <w:szCs w:val="22"/>
              </w:rPr>
              <w:t>工程物资</w:t>
            </w:r>
            <w:r>
              <w:rPr>
                <w:rFonts w:ascii="宋体" w:hAnsi="宋体" w:cs="宋体" w:eastAsia="宋体" w:hint="default"/>
                <w:sz w:val="22"/>
                <w:szCs w:val="22"/>
              </w:rPr>
              <w:t> </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21"/>
              <w:ind w:left="770" w:right="0"/>
              <w:jc w:val="center"/>
              <w:rPr>
                <w:rFonts w:ascii="宋体" w:hAnsi="宋体" w:cs="宋体" w:eastAsia="宋体" w:hint="default"/>
                <w:sz w:val="22"/>
                <w:szCs w:val="22"/>
              </w:rPr>
            </w:pPr>
            <w:r>
              <w:rPr>
                <w:rFonts w:ascii="Arial"/>
                <w:sz w:val="22"/>
              </w:rPr>
              <w:t>(b)</w:t>
            </w:r>
            <w:r>
              <w:rPr>
                <w:rFonts w:ascii="宋体"/>
                <w:sz w:val="22"/>
              </w:rPr>
              <w:t> </w:t>
            </w:r>
          </w:p>
        </w:tc>
        <w:tc>
          <w:tcPr>
            <w:tcW w:w="442" w:type="dxa"/>
            <w:tcBorders>
              <w:top w:val="nil" w:sz="6" w:space="0" w:color="auto"/>
              <w:left w:val="nil" w:sz="6" w:space="0" w:color="auto"/>
              <w:bottom w:val="nil" w:sz="6" w:space="0" w:color="auto"/>
              <w:right w:val="nil" w:sz="6" w:space="0" w:color="auto"/>
            </w:tcBorders>
          </w:tcPr>
          <w:p>
            <w:pPr>
              <w:pStyle w:val="TableParagraph"/>
              <w:spacing w:line="239" w:lineRule="exact"/>
              <w:ind w:left="215" w:right="0"/>
              <w:jc w:val="left"/>
              <w:rPr>
                <w:rFonts w:ascii="宋体" w:hAnsi="宋体" w:cs="宋体" w:eastAsia="宋体" w:hint="default"/>
                <w:sz w:val="22"/>
                <w:szCs w:val="22"/>
              </w:rPr>
            </w:pPr>
            <w:r>
              <w:rPr>
                <w:rFonts w:ascii="宋体"/>
                <w:w w:val="100"/>
                <w:sz w:val="22"/>
              </w:rPr>
              <w:t> </w:t>
            </w:r>
          </w:p>
        </w:tc>
        <w:tc>
          <w:tcPr>
            <w:tcW w:w="2371" w:type="dxa"/>
            <w:tcBorders>
              <w:top w:val="nil" w:sz="6" w:space="0" w:color="auto"/>
              <w:left w:val="nil" w:sz="6" w:space="0" w:color="auto"/>
              <w:bottom w:val="nil" w:sz="6" w:space="0" w:color="auto"/>
              <w:right w:val="nil" w:sz="6" w:space="0" w:color="auto"/>
            </w:tcBorders>
          </w:tcPr>
          <w:p>
            <w:pPr>
              <w:pStyle w:val="TableParagraph"/>
              <w:tabs>
                <w:tab w:pos="1103" w:val="left" w:leader="none"/>
              </w:tabs>
              <w:spacing w:line="240" w:lineRule="auto" w:before="21"/>
              <w:ind w:right="36"/>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553,702,367</w:t>
            </w:r>
            <w:r>
              <w:rPr>
                <w:rFonts w:ascii="Arial"/>
                <w:sz w:val="22"/>
              </w:rPr>
            </w:r>
          </w:p>
        </w:tc>
        <w:tc>
          <w:tcPr>
            <w:tcW w:w="190" w:type="dxa"/>
            <w:tcBorders>
              <w:top w:val="nil" w:sz="6" w:space="0" w:color="auto"/>
              <w:left w:val="nil" w:sz="6" w:space="0" w:color="auto"/>
              <w:bottom w:val="nil" w:sz="6" w:space="0" w:color="auto"/>
              <w:right w:val="nil" w:sz="6" w:space="0" w:color="auto"/>
            </w:tcBorders>
          </w:tcPr>
          <w:p>
            <w:pPr/>
          </w:p>
        </w:tc>
        <w:tc>
          <w:tcPr>
            <w:tcW w:w="2561" w:type="dxa"/>
            <w:tcBorders>
              <w:top w:val="nil" w:sz="6" w:space="0" w:color="auto"/>
              <w:left w:val="nil" w:sz="6" w:space="0" w:color="auto"/>
              <w:bottom w:val="nil" w:sz="6" w:space="0" w:color="auto"/>
              <w:right w:val="nil" w:sz="6" w:space="0" w:color="auto"/>
            </w:tcBorders>
          </w:tcPr>
          <w:p>
            <w:pPr>
              <w:pStyle w:val="TableParagraph"/>
              <w:tabs>
                <w:tab w:pos="1286" w:val="left" w:leader="none"/>
              </w:tabs>
              <w:spacing w:line="240" w:lineRule="auto" w:before="21"/>
              <w:ind w:right="38"/>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556,232,568</w:t>
            </w:r>
            <w:r>
              <w:rPr>
                <w:rFonts w:ascii="Arial"/>
                <w:spacing w:val="-1"/>
                <w:sz w:val="22"/>
              </w:rPr>
            </w:r>
          </w:p>
        </w:tc>
      </w:tr>
      <w:tr>
        <w:trPr>
          <w:trHeight w:val="275" w:hRule="exact"/>
        </w:trPr>
        <w:tc>
          <w:tcPr>
            <w:tcW w:w="2214" w:type="dxa"/>
            <w:tcBorders>
              <w:top w:val="nil" w:sz="6" w:space="0" w:color="auto"/>
              <w:left w:val="nil" w:sz="6" w:space="0" w:color="auto"/>
              <w:bottom w:val="nil" w:sz="6" w:space="0" w:color="auto"/>
              <w:right w:val="nil" w:sz="6" w:space="0" w:color="auto"/>
            </w:tcBorders>
          </w:tcPr>
          <w:p>
            <w:pPr>
              <w:pStyle w:val="TableParagraph"/>
              <w:spacing w:line="244" w:lineRule="exact"/>
              <w:ind w:left="200" w:right="0"/>
              <w:jc w:val="left"/>
              <w:rPr>
                <w:rFonts w:ascii="宋体" w:hAnsi="宋体" w:cs="宋体" w:eastAsia="宋体" w:hint="default"/>
                <w:sz w:val="22"/>
                <w:szCs w:val="22"/>
              </w:rPr>
            </w:pPr>
            <w:r>
              <w:rPr>
                <w:rFonts w:ascii="宋体"/>
                <w:w w:val="100"/>
                <w:sz w:val="22"/>
              </w:rPr>
              <w:t> </w:t>
            </w:r>
          </w:p>
        </w:tc>
        <w:tc>
          <w:tcPr>
            <w:tcW w:w="1582" w:type="dxa"/>
            <w:tcBorders>
              <w:top w:val="nil" w:sz="6" w:space="0" w:color="auto"/>
              <w:left w:val="nil" w:sz="6" w:space="0" w:color="auto"/>
              <w:bottom w:val="nil" w:sz="6" w:space="0" w:color="auto"/>
              <w:right w:val="nil" w:sz="6" w:space="0" w:color="auto"/>
            </w:tcBorders>
          </w:tcPr>
          <w:p>
            <w:pPr>
              <w:pStyle w:val="TableParagraph"/>
              <w:spacing w:line="244" w:lineRule="exact"/>
              <w:ind w:left="770" w:right="0"/>
              <w:jc w:val="center"/>
              <w:rPr>
                <w:rFonts w:ascii="宋体" w:hAnsi="宋体" w:cs="宋体" w:eastAsia="宋体" w:hint="default"/>
                <w:sz w:val="22"/>
                <w:szCs w:val="22"/>
              </w:rPr>
            </w:pPr>
            <w:r>
              <w:rPr>
                <w:rFonts w:ascii="宋体"/>
                <w:w w:val="100"/>
                <w:sz w:val="22"/>
              </w:rPr>
              <w:t> </w:t>
            </w:r>
          </w:p>
        </w:tc>
        <w:tc>
          <w:tcPr>
            <w:tcW w:w="5563" w:type="dxa"/>
            <w:gridSpan w:val="4"/>
            <w:tcBorders>
              <w:top w:val="nil" w:sz="6" w:space="0" w:color="auto"/>
              <w:left w:val="nil" w:sz="6" w:space="0" w:color="auto"/>
              <w:bottom w:val="nil" w:sz="6" w:space="0" w:color="auto"/>
              <w:right w:val="nil" w:sz="6" w:space="0" w:color="auto"/>
            </w:tcBorders>
          </w:tcPr>
          <w:p>
            <w:pPr>
              <w:pStyle w:val="TableParagraph"/>
              <w:spacing w:line="244" w:lineRule="exact"/>
              <w:ind w:left="216" w:right="0"/>
              <w:jc w:val="left"/>
              <w:rPr>
                <w:rFonts w:ascii="宋体" w:hAnsi="宋体" w:cs="宋体" w:eastAsia="宋体" w:hint="default"/>
                <w:sz w:val="22"/>
                <w:szCs w:val="22"/>
              </w:rPr>
            </w:pPr>
            <w:r>
              <w:rPr>
                <w:rFonts w:ascii="宋体"/>
                <w:w w:val="100"/>
                <w:sz w:val="22"/>
              </w:rPr>
              <w:t> </w:t>
            </w:r>
          </w:p>
        </w:tc>
      </w:tr>
      <w:tr>
        <w:trPr>
          <w:trHeight w:val="310" w:hRule="exact"/>
        </w:trPr>
        <w:tc>
          <w:tcPr>
            <w:tcW w:w="2214" w:type="dxa"/>
            <w:tcBorders>
              <w:top w:val="nil" w:sz="6" w:space="0" w:color="auto"/>
              <w:left w:val="nil" w:sz="6" w:space="0" w:color="auto"/>
              <w:bottom w:val="nil" w:sz="6" w:space="0" w:color="auto"/>
              <w:right w:val="nil" w:sz="6" w:space="0" w:color="auto"/>
            </w:tcBorders>
          </w:tcPr>
          <w:p>
            <w:pPr>
              <w:pStyle w:val="TableParagraph"/>
              <w:spacing w:line="252" w:lineRule="exact"/>
              <w:ind w:left="238" w:right="0"/>
              <w:jc w:val="left"/>
              <w:rPr>
                <w:rFonts w:ascii="宋体" w:hAnsi="宋体" w:cs="宋体" w:eastAsia="宋体" w:hint="default"/>
                <w:sz w:val="22"/>
                <w:szCs w:val="22"/>
              </w:rPr>
            </w:pPr>
            <w:r>
              <w:rPr>
                <w:rFonts w:ascii="宋体" w:hAnsi="宋体" w:cs="宋体" w:eastAsia="宋体" w:hint="default"/>
                <w:sz w:val="22"/>
                <w:szCs w:val="22"/>
              </w:rPr>
              <w:t>合计</w:t>
            </w:r>
            <w:r>
              <w:rPr>
                <w:rFonts w:ascii="宋体" w:hAnsi="宋体" w:cs="宋体" w:eastAsia="宋体" w:hint="default"/>
                <w:sz w:val="22"/>
                <w:szCs w:val="22"/>
              </w:rPr>
              <w:t> </w:t>
            </w:r>
          </w:p>
        </w:tc>
        <w:tc>
          <w:tcPr>
            <w:tcW w:w="1582" w:type="dxa"/>
            <w:tcBorders>
              <w:top w:val="nil" w:sz="6" w:space="0" w:color="auto"/>
              <w:left w:val="nil" w:sz="6" w:space="0" w:color="auto"/>
              <w:bottom w:val="nil" w:sz="6" w:space="0" w:color="auto"/>
              <w:right w:val="nil" w:sz="6" w:space="0" w:color="auto"/>
            </w:tcBorders>
          </w:tcPr>
          <w:p>
            <w:pPr>
              <w:pStyle w:val="TableParagraph"/>
              <w:spacing w:line="252" w:lineRule="exact"/>
              <w:ind w:left="770" w:right="0"/>
              <w:jc w:val="center"/>
              <w:rPr>
                <w:rFonts w:ascii="宋体" w:hAnsi="宋体" w:cs="宋体" w:eastAsia="宋体" w:hint="default"/>
                <w:sz w:val="22"/>
                <w:szCs w:val="22"/>
              </w:rPr>
            </w:pPr>
            <w:r>
              <w:rPr>
                <w:rFonts w:ascii="宋体"/>
                <w:w w:val="100"/>
                <w:sz w:val="22"/>
              </w:rPr>
              <w:t> </w:t>
            </w:r>
          </w:p>
        </w:tc>
        <w:tc>
          <w:tcPr>
            <w:tcW w:w="442" w:type="dxa"/>
            <w:tcBorders>
              <w:top w:val="nil" w:sz="6" w:space="0" w:color="auto"/>
              <w:left w:val="nil" w:sz="6" w:space="0" w:color="auto"/>
              <w:bottom w:val="nil" w:sz="6" w:space="0" w:color="auto"/>
              <w:right w:val="nil" w:sz="6" w:space="0" w:color="auto"/>
            </w:tcBorders>
          </w:tcPr>
          <w:p>
            <w:pPr>
              <w:pStyle w:val="TableParagraph"/>
              <w:spacing w:line="252" w:lineRule="exact"/>
              <w:ind w:left="216" w:right="0"/>
              <w:jc w:val="left"/>
              <w:rPr>
                <w:rFonts w:ascii="宋体" w:hAnsi="宋体" w:cs="宋体" w:eastAsia="宋体" w:hint="default"/>
                <w:sz w:val="22"/>
                <w:szCs w:val="22"/>
              </w:rPr>
            </w:pPr>
            <w:r>
              <w:rPr>
                <w:rFonts w:ascii="宋体"/>
                <w:w w:val="100"/>
                <w:sz w:val="22"/>
              </w:rPr>
              <w:t> </w:t>
            </w:r>
          </w:p>
        </w:tc>
        <w:tc>
          <w:tcPr>
            <w:tcW w:w="2371"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31"/>
              <w:jc w:val="right"/>
              <w:rPr>
                <w:rFonts w:ascii="Arial" w:hAnsi="Arial" w:cs="Arial" w:eastAsia="Arial" w:hint="default"/>
                <w:sz w:val="22"/>
                <w:szCs w:val="22"/>
              </w:rPr>
            </w:pPr>
            <w:r>
              <w:rPr>
                <w:rFonts w:ascii="Arial"/>
                <w:sz w:val="22"/>
              </w:rPr>
              <w:t>53,464,962,586</w:t>
            </w:r>
          </w:p>
        </w:tc>
        <w:tc>
          <w:tcPr>
            <w:tcW w:w="190" w:type="dxa"/>
            <w:tcBorders>
              <w:top w:val="nil" w:sz="6" w:space="0" w:color="auto"/>
              <w:left w:val="nil" w:sz="6" w:space="0" w:color="auto"/>
              <w:bottom w:val="nil" w:sz="6" w:space="0" w:color="auto"/>
              <w:right w:val="nil" w:sz="6" w:space="0" w:color="auto"/>
            </w:tcBorders>
          </w:tcPr>
          <w:p>
            <w:pPr/>
          </w:p>
        </w:tc>
        <w:tc>
          <w:tcPr>
            <w:tcW w:w="2561"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36"/>
              <w:jc w:val="right"/>
              <w:rPr>
                <w:rFonts w:ascii="Arial" w:hAnsi="Arial" w:cs="Arial" w:eastAsia="Arial" w:hint="default"/>
                <w:sz w:val="22"/>
                <w:szCs w:val="22"/>
              </w:rPr>
            </w:pPr>
            <w:r>
              <w:rPr>
                <w:rFonts w:ascii="Arial"/>
                <w:sz w:val="22"/>
              </w:rPr>
              <w:t>41,729,162,608</w:t>
            </w:r>
          </w:p>
        </w:tc>
      </w:tr>
    </w:tbl>
    <w:p>
      <w:pPr>
        <w:spacing w:line="240" w:lineRule="auto" w:before="2"/>
        <w:rPr>
          <w:rFonts w:ascii="宋体" w:hAnsi="宋体" w:cs="宋体" w:eastAsia="宋体" w:hint="default"/>
          <w:sz w:val="14"/>
          <w:szCs w:val="14"/>
        </w:rPr>
      </w:pPr>
    </w:p>
    <w:p>
      <w:pPr>
        <w:pStyle w:val="BodyText"/>
        <w:tabs>
          <w:tab w:pos="602" w:val="left" w:leader="none"/>
        </w:tabs>
        <w:spacing w:line="240" w:lineRule="auto" w:before="32"/>
        <w:ind w:left="112" w:right="91"/>
        <w:jc w:val="left"/>
      </w:pPr>
      <w:r>
        <w:rPr>
          <w:rFonts w:ascii="Arial" w:hAnsi="Arial" w:cs="Arial" w:eastAsia="Arial" w:hint="default"/>
        </w:rPr>
        <w:t>(a)</w:t>
        <w:tab/>
      </w:r>
      <w:r>
        <w:rPr/>
        <w:t>在建工程</w:t>
      </w:r>
    </w:p>
    <w:p>
      <w:pPr>
        <w:spacing w:line="240" w:lineRule="auto" w:before="7"/>
        <w:rPr>
          <w:rFonts w:ascii="宋体" w:hAnsi="宋体" w:cs="宋体" w:eastAsia="宋体" w:hint="default"/>
          <w:sz w:val="20"/>
          <w:szCs w:val="20"/>
        </w:rPr>
      </w:pPr>
    </w:p>
    <w:tbl>
      <w:tblPr>
        <w:tblW w:w="0" w:type="auto"/>
        <w:jc w:val="left"/>
        <w:tblInd w:w="407" w:type="dxa"/>
        <w:tblLayout w:type="fixed"/>
        <w:tblCellMar>
          <w:top w:w="0" w:type="dxa"/>
          <w:left w:w="0" w:type="dxa"/>
          <w:bottom w:w="0" w:type="dxa"/>
          <w:right w:w="0" w:type="dxa"/>
        </w:tblCellMar>
        <w:tblLook w:val="01E0"/>
      </w:tblPr>
      <w:tblGrid>
        <w:gridCol w:w="1554"/>
        <w:gridCol w:w="1214"/>
        <w:gridCol w:w="1402"/>
        <w:gridCol w:w="1224"/>
        <w:gridCol w:w="1349"/>
        <w:gridCol w:w="1157"/>
        <w:gridCol w:w="1421"/>
      </w:tblGrid>
      <w:tr>
        <w:trPr>
          <w:trHeight w:val="191" w:hRule="exact"/>
        </w:trPr>
        <w:tc>
          <w:tcPr>
            <w:tcW w:w="4170" w:type="dxa"/>
            <w:gridSpan w:val="3"/>
            <w:tcBorders>
              <w:top w:val="nil" w:sz="6" w:space="0" w:color="auto"/>
              <w:left w:val="nil" w:sz="6" w:space="0" w:color="auto"/>
              <w:bottom w:val="nil" w:sz="6" w:space="0" w:color="auto"/>
              <w:right w:val="nil" w:sz="6" w:space="0" w:color="auto"/>
            </w:tcBorders>
          </w:tcPr>
          <w:p>
            <w:pPr>
              <w:pStyle w:val="TableParagraph"/>
              <w:spacing w:line="170" w:lineRule="exact"/>
              <w:ind w:right="0"/>
              <w:jc w:val="right"/>
              <w:rPr>
                <w:rFonts w:ascii="宋体" w:hAnsi="宋体" w:cs="宋体" w:eastAsia="宋体" w:hint="default"/>
                <w:sz w:val="16"/>
                <w:szCs w:val="16"/>
              </w:rPr>
            </w:pPr>
            <w:r>
              <w:rPr>
                <w:rFonts w:ascii="Arial" w:hAnsi="Arial" w:cs="Arial" w:eastAsia="Arial" w:hint="default"/>
                <w:sz w:val="16"/>
                <w:szCs w:val="16"/>
              </w:rPr>
              <w:t>2019</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39"/>
                <w:sz w:val="16"/>
                <w:szCs w:val="16"/>
              </w:rPr>
              <w:t> </w:t>
            </w:r>
            <w:r>
              <w:rPr>
                <w:rFonts w:ascii="Arial" w:hAnsi="Arial" w:cs="Arial" w:eastAsia="Arial" w:hint="default"/>
                <w:sz w:val="16"/>
                <w:szCs w:val="16"/>
              </w:rPr>
              <w:t>12</w:t>
            </w:r>
            <w:r>
              <w:rPr>
                <w:rFonts w:ascii="Arial" w:hAnsi="Arial" w:cs="Arial" w:eastAsia="Arial" w:hint="default"/>
                <w:spacing w:val="-10"/>
                <w:sz w:val="16"/>
                <w:szCs w:val="16"/>
              </w:rPr>
              <w:t> </w:t>
            </w:r>
            <w:r>
              <w:rPr>
                <w:rFonts w:ascii="宋体" w:hAnsi="宋体" w:cs="宋体" w:eastAsia="宋体" w:hint="default"/>
                <w:sz w:val="16"/>
                <w:szCs w:val="16"/>
              </w:rPr>
              <w:t>月</w:t>
            </w:r>
            <w:r>
              <w:rPr>
                <w:rFonts w:ascii="宋体" w:hAnsi="宋体" w:cs="宋体" w:eastAsia="宋体" w:hint="default"/>
                <w:spacing w:val="-39"/>
                <w:sz w:val="16"/>
                <w:szCs w:val="16"/>
              </w:rPr>
              <w:t> </w:t>
            </w:r>
            <w:r>
              <w:rPr>
                <w:rFonts w:ascii="Arial" w:hAnsi="Arial" w:cs="Arial" w:eastAsia="Arial" w:hint="default"/>
                <w:sz w:val="16"/>
                <w:szCs w:val="16"/>
              </w:rPr>
              <w:t>31</w:t>
            </w:r>
            <w:r>
              <w:rPr>
                <w:rFonts w:ascii="Arial" w:hAnsi="Arial" w:cs="Arial" w:eastAsia="Arial" w:hint="default"/>
                <w:spacing w:val="-10"/>
                <w:sz w:val="16"/>
                <w:szCs w:val="16"/>
              </w:rPr>
              <w:t> </w:t>
            </w:r>
            <w:r>
              <w:rPr>
                <w:rFonts w:ascii="宋体" w:hAnsi="宋体" w:cs="宋体" w:eastAsia="宋体" w:hint="default"/>
                <w:sz w:val="16"/>
                <w:szCs w:val="16"/>
              </w:rPr>
              <w:t>日</w:t>
            </w:r>
          </w:p>
        </w:tc>
        <w:tc>
          <w:tcPr>
            <w:tcW w:w="1224" w:type="dxa"/>
            <w:tcBorders>
              <w:top w:val="nil" w:sz="6" w:space="0" w:color="auto"/>
              <w:left w:val="nil" w:sz="6" w:space="0" w:color="auto"/>
              <w:bottom w:val="single" w:sz="6" w:space="0" w:color="000000"/>
              <w:right w:val="nil" w:sz="6" w:space="0" w:color="auto"/>
            </w:tcBorders>
          </w:tcPr>
          <w:p>
            <w:pPr/>
          </w:p>
        </w:tc>
        <w:tc>
          <w:tcPr>
            <w:tcW w:w="3926" w:type="dxa"/>
            <w:gridSpan w:val="3"/>
            <w:tcBorders>
              <w:top w:val="nil" w:sz="6" w:space="0" w:color="auto"/>
              <w:left w:val="nil" w:sz="6" w:space="0" w:color="auto"/>
              <w:bottom w:val="single" w:sz="6" w:space="0" w:color="000000"/>
              <w:right w:val="nil" w:sz="6" w:space="0" w:color="auto"/>
            </w:tcBorders>
          </w:tcPr>
          <w:p>
            <w:pPr>
              <w:pStyle w:val="TableParagraph"/>
              <w:spacing w:line="170" w:lineRule="exact"/>
              <w:ind w:left="1305" w:right="0"/>
              <w:jc w:val="left"/>
              <w:rPr>
                <w:rFonts w:ascii="宋体" w:hAnsi="宋体" w:cs="宋体" w:eastAsia="宋体" w:hint="default"/>
                <w:sz w:val="16"/>
                <w:szCs w:val="16"/>
              </w:rPr>
            </w:pPr>
            <w:r>
              <w:rPr>
                <w:rFonts w:ascii="Arial" w:hAnsi="Arial" w:cs="Arial" w:eastAsia="Arial" w:hint="default"/>
                <w:sz w:val="16"/>
                <w:szCs w:val="16"/>
              </w:rPr>
              <w:t>2018</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39"/>
                <w:sz w:val="16"/>
                <w:szCs w:val="16"/>
              </w:rPr>
              <w:t> </w:t>
            </w:r>
            <w:r>
              <w:rPr>
                <w:rFonts w:ascii="Arial" w:hAnsi="Arial" w:cs="Arial" w:eastAsia="Arial" w:hint="default"/>
                <w:sz w:val="16"/>
                <w:szCs w:val="16"/>
              </w:rPr>
              <w:t>12</w:t>
            </w:r>
            <w:r>
              <w:rPr>
                <w:rFonts w:ascii="Arial" w:hAnsi="Arial" w:cs="Arial" w:eastAsia="Arial" w:hint="default"/>
                <w:spacing w:val="-10"/>
                <w:sz w:val="16"/>
                <w:szCs w:val="16"/>
              </w:rPr>
              <w:t> </w:t>
            </w:r>
            <w:r>
              <w:rPr>
                <w:rFonts w:ascii="宋体" w:hAnsi="宋体" w:cs="宋体" w:eastAsia="宋体" w:hint="default"/>
                <w:sz w:val="16"/>
                <w:szCs w:val="16"/>
              </w:rPr>
              <w:t>月</w:t>
            </w:r>
            <w:r>
              <w:rPr>
                <w:rFonts w:ascii="宋体" w:hAnsi="宋体" w:cs="宋体" w:eastAsia="宋体" w:hint="default"/>
                <w:spacing w:val="-39"/>
                <w:sz w:val="16"/>
                <w:szCs w:val="16"/>
              </w:rPr>
              <w:t> </w:t>
            </w:r>
            <w:r>
              <w:rPr>
                <w:rFonts w:ascii="Arial" w:hAnsi="Arial" w:cs="Arial" w:eastAsia="Arial" w:hint="default"/>
                <w:sz w:val="16"/>
                <w:szCs w:val="16"/>
              </w:rPr>
              <w:t>31</w:t>
            </w:r>
            <w:r>
              <w:rPr>
                <w:rFonts w:ascii="Arial" w:hAnsi="Arial" w:cs="Arial" w:eastAsia="Arial" w:hint="default"/>
                <w:spacing w:val="-10"/>
                <w:sz w:val="16"/>
                <w:szCs w:val="16"/>
              </w:rPr>
              <w:t> </w:t>
            </w:r>
            <w:r>
              <w:rPr>
                <w:rFonts w:ascii="宋体" w:hAnsi="宋体" w:cs="宋体" w:eastAsia="宋体" w:hint="default"/>
                <w:sz w:val="16"/>
                <w:szCs w:val="16"/>
              </w:rPr>
              <w:t>日</w:t>
            </w:r>
          </w:p>
        </w:tc>
      </w:tr>
      <w:tr>
        <w:trPr>
          <w:trHeight w:val="226" w:hRule="exact"/>
        </w:trPr>
        <w:tc>
          <w:tcPr>
            <w:tcW w:w="1554" w:type="dxa"/>
            <w:tcBorders>
              <w:top w:val="nil" w:sz="6" w:space="0" w:color="auto"/>
              <w:left w:val="nil" w:sz="6" w:space="0" w:color="auto"/>
              <w:bottom w:val="nil" w:sz="6" w:space="0" w:color="auto"/>
              <w:right w:val="nil" w:sz="6" w:space="0" w:color="auto"/>
            </w:tcBorders>
          </w:tcPr>
          <w:p>
            <w:pPr/>
          </w:p>
        </w:tc>
        <w:tc>
          <w:tcPr>
            <w:tcW w:w="1214" w:type="dxa"/>
            <w:tcBorders>
              <w:top w:val="single" w:sz="6" w:space="0" w:color="000000"/>
              <w:left w:val="nil" w:sz="6" w:space="0" w:color="auto"/>
              <w:bottom w:val="single" w:sz="6" w:space="0" w:color="000000"/>
              <w:right w:val="nil" w:sz="6" w:space="0" w:color="auto"/>
            </w:tcBorders>
          </w:tcPr>
          <w:p>
            <w:pPr>
              <w:pStyle w:val="TableParagraph"/>
              <w:spacing w:line="186" w:lineRule="exact"/>
              <w:ind w:right="36"/>
              <w:jc w:val="right"/>
              <w:rPr>
                <w:rFonts w:ascii="宋体" w:hAnsi="宋体" w:cs="宋体" w:eastAsia="宋体" w:hint="default"/>
                <w:sz w:val="16"/>
                <w:szCs w:val="16"/>
              </w:rPr>
            </w:pPr>
            <w:r>
              <w:rPr>
                <w:rFonts w:ascii="宋体" w:hAnsi="宋体" w:cs="宋体" w:eastAsia="宋体" w:hint="default"/>
                <w:w w:val="95"/>
                <w:sz w:val="16"/>
                <w:szCs w:val="16"/>
              </w:rPr>
              <w:t>账面余额</w:t>
            </w:r>
            <w:r>
              <w:rPr>
                <w:rFonts w:ascii="宋体" w:hAnsi="宋体" w:cs="宋体" w:eastAsia="宋体" w:hint="default"/>
                <w:sz w:val="16"/>
                <w:szCs w:val="16"/>
              </w:rPr>
            </w:r>
          </w:p>
        </w:tc>
        <w:tc>
          <w:tcPr>
            <w:tcW w:w="1402" w:type="dxa"/>
            <w:tcBorders>
              <w:top w:val="single" w:sz="6" w:space="0" w:color="000000"/>
              <w:left w:val="nil" w:sz="6" w:space="0" w:color="auto"/>
              <w:bottom w:val="single" w:sz="6" w:space="0" w:color="000000"/>
              <w:right w:val="nil" w:sz="6" w:space="0" w:color="auto"/>
            </w:tcBorders>
          </w:tcPr>
          <w:p>
            <w:pPr>
              <w:pStyle w:val="TableParagraph"/>
              <w:spacing w:line="186" w:lineRule="exact"/>
              <w:ind w:left="76" w:right="0"/>
              <w:jc w:val="center"/>
              <w:rPr>
                <w:rFonts w:ascii="宋体" w:hAnsi="宋体" w:cs="宋体" w:eastAsia="宋体" w:hint="default"/>
                <w:sz w:val="16"/>
                <w:szCs w:val="16"/>
              </w:rPr>
            </w:pPr>
            <w:r>
              <w:rPr>
                <w:rFonts w:ascii="宋体" w:hAnsi="宋体" w:cs="宋体" w:eastAsia="宋体" w:hint="default"/>
                <w:sz w:val="16"/>
                <w:szCs w:val="16"/>
              </w:rPr>
              <w:t>减值准备</w:t>
            </w:r>
          </w:p>
        </w:tc>
        <w:tc>
          <w:tcPr>
            <w:tcW w:w="1224" w:type="dxa"/>
            <w:tcBorders>
              <w:top w:val="single" w:sz="6" w:space="0" w:color="000000"/>
              <w:left w:val="nil" w:sz="6" w:space="0" w:color="auto"/>
              <w:bottom w:val="single" w:sz="6" w:space="0" w:color="000000"/>
              <w:right w:val="nil" w:sz="6" w:space="0" w:color="auto"/>
            </w:tcBorders>
          </w:tcPr>
          <w:p>
            <w:pPr>
              <w:pStyle w:val="TableParagraph"/>
              <w:spacing w:line="186" w:lineRule="exact"/>
              <w:ind w:right="132"/>
              <w:jc w:val="right"/>
              <w:rPr>
                <w:rFonts w:ascii="宋体" w:hAnsi="宋体" w:cs="宋体" w:eastAsia="宋体" w:hint="default"/>
                <w:sz w:val="16"/>
                <w:szCs w:val="16"/>
              </w:rPr>
            </w:pPr>
            <w:r>
              <w:rPr>
                <w:rFonts w:ascii="宋体" w:hAnsi="宋体" w:cs="宋体" w:eastAsia="宋体" w:hint="default"/>
                <w:w w:val="95"/>
                <w:sz w:val="16"/>
                <w:szCs w:val="16"/>
              </w:rPr>
              <w:t>账面价值</w:t>
            </w:r>
            <w:r>
              <w:rPr>
                <w:rFonts w:ascii="宋体" w:hAnsi="宋体" w:cs="宋体" w:eastAsia="宋体" w:hint="default"/>
                <w:sz w:val="16"/>
                <w:szCs w:val="16"/>
              </w:rPr>
            </w:r>
          </w:p>
        </w:tc>
        <w:tc>
          <w:tcPr>
            <w:tcW w:w="1349" w:type="dxa"/>
            <w:tcBorders>
              <w:top w:val="single" w:sz="6" w:space="0" w:color="000000"/>
              <w:left w:val="nil" w:sz="6" w:space="0" w:color="auto"/>
              <w:bottom w:val="single" w:sz="6" w:space="0" w:color="000000"/>
              <w:right w:val="nil" w:sz="6" w:space="0" w:color="auto"/>
            </w:tcBorders>
          </w:tcPr>
          <w:p>
            <w:pPr>
              <w:pStyle w:val="TableParagraph"/>
              <w:spacing w:line="186" w:lineRule="exact"/>
              <w:ind w:right="108"/>
              <w:jc w:val="right"/>
              <w:rPr>
                <w:rFonts w:ascii="宋体" w:hAnsi="宋体" w:cs="宋体" w:eastAsia="宋体" w:hint="default"/>
                <w:sz w:val="16"/>
                <w:szCs w:val="16"/>
              </w:rPr>
            </w:pPr>
            <w:r>
              <w:rPr>
                <w:rFonts w:ascii="宋体" w:hAnsi="宋体" w:cs="宋体" w:eastAsia="宋体" w:hint="default"/>
                <w:w w:val="95"/>
                <w:sz w:val="16"/>
                <w:szCs w:val="16"/>
              </w:rPr>
              <w:t>账面余额</w:t>
            </w:r>
            <w:r>
              <w:rPr>
                <w:rFonts w:ascii="宋体" w:hAnsi="宋体" w:cs="宋体" w:eastAsia="宋体" w:hint="default"/>
                <w:sz w:val="16"/>
                <w:szCs w:val="16"/>
              </w:rPr>
            </w:r>
          </w:p>
        </w:tc>
        <w:tc>
          <w:tcPr>
            <w:tcW w:w="1157" w:type="dxa"/>
            <w:tcBorders>
              <w:top w:val="single" w:sz="6" w:space="0" w:color="000000"/>
              <w:left w:val="nil" w:sz="6" w:space="0" w:color="auto"/>
              <w:bottom w:val="single" w:sz="6" w:space="0" w:color="000000"/>
              <w:right w:val="nil" w:sz="6" w:space="0" w:color="auto"/>
            </w:tcBorders>
          </w:tcPr>
          <w:p>
            <w:pPr>
              <w:pStyle w:val="TableParagraph"/>
              <w:spacing w:line="186" w:lineRule="exact"/>
              <w:ind w:left="403" w:right="0"/>
              <w:jc w:val="left"/>
              <w:rPr>
                <w:rFonts w:ascii="宋体" w:hAnsi="宋体" w:cs="宋体" w:eastAsia="宋体" w:hint="default"/>
                <w:sz w:val="16"/>
                <w:szCs w:val="16"/>
              </w:rPr>
            </w:pPr>
            <w:r>
              <w:rPr>
                <w:rFonts w:ascii="宋体" w:hAnsi="宋体" w:cs="宋体" w:eastAsia="宋体" w:hint="default"/>
                <w:sz w:val="16"/>
                <w:szCs w:val="16"/>
              </w:rPr>
              <w:t>减值准备</w:t>
            </w:r>
          </w:p>
        </w:tc>
        <w:tc>
          <w:tcPr>
            <w:tcW w:w="1421" w:type="dxa"/>
            <w:tcBorders>
              <w:top w:val="single" w:sz="6" w:space="0" w:color="000000"/>
              <w:left w:val="nil" w:sz="6" w:space="0" w:color="auto"/>
              <w:bottom w:val="single" w:sz="6" w:space="0" w:color="000000"/>
              <w:right w:val="nil" w:sz="6" w:space="0" w:color="auto"/>
            </w:tcBorders>
          </w:tcPr>
          <w:p>
            <w:pPr>
              <w:pStyle w:val="TableParagraph"/>
              <w:spacing w:line="186" w:lineRule="exact"/>
              <w:ind w:right="84"/>
              <w:jc w:val="right"/>
              <w:rPr>
                <w:rFonts w:ascii="宋体" w:hAnsi="宋体" w:cs="宋体" w:eastAsia="宋体" w:hint="default"/>
                <w:sz w:val="16"/>
                <w:szCs w:val="16"/>
              </w:rPr>
            </w:pPr>
            <w:r>
              <w:rPr>
                <w:rFonts w:ascii="宋体" w:hAnsi="宋体" w:cs="宋体" w:eastAsia="宋体" w:hint="default"/>
                <w:w w:val="95"/>
                <w:sz w:val="16"/>
                <w:szCs w:val="16"/>
              </w:rPr>
              <w:t>账面价值</w:t>
            </w:r>
            <w:r>
              <w:rPr>
                <w:rFonts w:ascii="宋体" w:hAnsi="宋体" w:cs="宋体" w:eastAsia="宋体" w:hint="default"/>
                <w:sz w:val="16"/>
                <w:szCs w:val="16"/>
              </w:rPr>
            </w:r>
          </w:p>
        </w:tc>
      </w:tr>
      <w:tr>
        <w:trPr>
          <w:trHeight w:val="516" w:hRule="exact"/>
        </w:trPr>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16"/>
                <w:szCs w:val="16"/>
              </w:rPr>
            </w:pPr>
            <w:r>
              <w:rPr>
                <w:rFonts w:ascii="宋体" w:hAnsi="宋体" w:cs="宋体" w:eastAsia="宋体" w:hint="default"/>
                <w:sz w:val="16"/>
                <w:szCs w:val="16"/>
              </w:rPr>
              <w:t>网络工程</w:t>
            </w:r>
          </w:p>
        </w:tc>
        <w:tc>
          <w:tcPr>
            <w:tcW w:w="1214" w:type="dxa"/>
            <w:tcBorders>
              <w:top w:val="single" w:sz="6"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35"/>
              <w:jc w:val="right"/>
              <w:rPr>
                <w:rFonts w:ascii="Arial" w:hAnsi="Arial" w:cs="Arial" w:eastAsia="Arial" w:hint="default"/>
                <w:sz w:val="16"/>
                <w:szCs w:val="16"/>
              </w:rPr>
            </w:pPr>
            <w:r>
              <w:rPr>
                <w:rFonts w:ascii="Arial"/>
                <w:w w:val="95"/>
                <w:sz w:val="16"/>
              </w:rPr>
              <w:t>48,860,622,704</w:t>
            </w:r>
            <w:r>
              <w:rPr>
                <w:rFonts w:ascii="Arial"/>
                <w:sz w:val="16"/>
              </w:rPr>
            </w:r>
          </w:p>
        </w:tc>
        <w:tc>
          <w:tcPr>
            <w:tcW w:w="1402" w:type="dxa"/>
            <w:tcBorders>
              <w:top w:val="single" w:sz="6" w:space="0" w:color="000000"/>
              <w:left w:val="nil" w:sz="6" w:space="0" w:color="auto"/>
              <w:bottom w:val="nil" w:sz="6" w:space="0" w:color="auto"/>
              <w:right w:val="nil" w:sz="6" w:space="0" w:color="auto"/>
            </w:tcBorders>
          </w:tcPr>
          <w:p>
            <w:pPr>
              <w:pStyle w:val="TableParagraph"/>
              <w:spacing w:line="20" w:lineRule="exact"/>
              <w:ind w:left="74" w:right="0"/>
              <w:jc w:val="left"/>
              <w:rPr>
                <w:rFonts w:ascii="宋体" w:hAnsi="宋体" w:cs="宋体" w:eastAsia="宋体" w:hint="default"/>
                <w:sz w:val="2"/>
                <w:szCs w:val="2"/>
              </w:rPr>
            </w:pPr>
            <w:r>
              <w:rPr>
                <w:rFonts w:ascii="宋体" w:hAnsi="宋体" w:cs="宋体" w:eastAsia="宋体" w:hint="default"/>
                <w:sz w:val="2"/>
                <w:szCs w:val="2"/>
              </w:rPr>
              <w:pict>
                <v:group style="width:58.35pt;height:.75pt;mso-position-horizontal-relative:char;mso-position-vertical-relative:line" coordorigin="0,0" coordsize="1167,15">
                  <v:group style="position:absolute;left:7;top:7;width:1152;height:2" coordorigin="7,7" coordsize="1152,2">
                    <v:shape style="position:absolute;left:7;top:7;width:1152;height:2" coordorigin="7,7" coordsize="1152,0" path="m7,7l1159,7e" filled="false" stroked="true" strokeweight=".72pt" strokecolor="#000000">
                      <v:path arrowok="t"/>
                    </v:shape>
                  </v:group>
                </v:group>
              </w:pict>
            </w:r>
            <w:r>
              <w:rPr>
                <w:rFonts w:ascii="宋体" w:hAnsi="宋体" w:cs="宋体" w:eastAsia="宋体" w:hint="default"/>
                <w:sz w:val="2"/>
                <w:szCs w:val="2"/>
              </w:rPr>
            </w:r>
          </w:p>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160" w:right="0"/>
              <w:jc w:val="center"/>
              <w:rPr>
                <w:rFonts w:ascii="Arial" w:hAnsi="Arial" w:cs="Arial" w:eastAsia="Arial" w:hint="default"/>
                <w:sz w:val="16"/>
                <w:szCs w:val="16"/>
              </w:rPr>
            </w:pPr>
            <w:r>
              <w:rPr>
                <w:rFonts w:ascii="Arial"/>
                <w:sz w:val="16"/>
              </w:rPr>
              <w:t>(15,082,077)</w:t>
            </w:r>
          </w:p>
        </w:tc>
        <w:tc>
          <w:tcPr>
            <w:tcW w:w="1224" w:type="dxa"/>
            <w:tcBorders>
              <w:top w:val="single" w:sz="6"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30"/>
              <w:jc w:val="right"/>
              <w:rPr>
                <w:rFonts w:ascii="Arial" w:hAnsi="Arial" w:cs="Arial" w:eastAsia="Arial" w:hint="default"/>
                <w:sz w:val="16"/>
                <w:szCs w:val="16"/>
              </w:rPr>
            </w:pPr>
            <w:r>
              <w:rPr>
                <w:rFonts w:ascii="Arial"/>
                <w:w w:val="95"/>
                <w:sz w:val="16"/>
              </w:rPr>
              <w:t>48,845,540,627</w:t>
            </w:r>
            <w:r>
              <w:rPr>
                <w:rFonts w:ascii="Arial"/>
                <w:sz w:val="16"/>
              </w:rPr>
            </w:r>
          </w:p>
        </w:tc>
        <w:tc>
          <w:tcPr>
            <w:tcW w:w="1349" w:type="dxa"/>
            <w:tcBorders>
              <w:top w:val="single" w:sz="6"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30"/>
              <w:jc w:val="right"/>
              <w:rPr>
                <w:rFonts w:ascii="Arial" w:hAnsi="Arial" w:cs="Arial" w:eastAsia="Arial" w:hint="default"/>
                <w:sz w:val="16"/>
                <w:szCs w:val="16"/>
              </w:rPr>
            </w:pPr>
            <w:r>
              <w:rPr>
                <w:rFonts w:ascii="Arial"/>
                <w:w w:val="95"/>
                <w:sz w:val="16"/>
              </w:rPr>
              <w:t>37,720,397,695</w:t>
            </w:r>
            <w:r>
              <w:rPr>
                <w:rFonts w:ascii="Arial"/>
                <w:sz w:val="16"/>
              </w:rPr>
            </w:r>
          </w:p>
        </w:tc>
        <w:tc>
          <w:tcPr>
            <w:tcW w:w="1157" w:type="dxa"/>
            <w:tcBorders>
              <w:top w:val="single" w:sz="6"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5"/>
              <w:jc w:val="right"/>
              <w:rPr>
                <w:rFonts w:ascii="Arial" w:hAnsi="Arial" w:cs="Arial" w:eastAsia="Arial" w:hint="default"/>
                <w:sz w:val="16"/>
                <w:szCs w:val="16"/>
              </w:rPr>
            </w:pPr>
            <w:r>
              <w:rPr>
                <w:rFonts w:ascii="Arial"/>
                <w:spacing w:val="-1"/>
                <w:sz w:val="16"/>
              </w:rPr>
              <w:t>(15,082,077)</w:t>
            </w:r>
            <w:r>
              <w:rPr>
                <w:rFonts w:ascii="Arial"/>
                <w:sz w:val="16"/>
              </w:rPr>
            </w:r>
          </w:p>
        </w:tc>
        <w:tc>
          <w:tcPr>
            <w:tcW w:w="1421" w:type="dxa"/>
            <w:tcBorders>
              <w:top w:val="single" w:sz="6"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30"/>
              <w:jc w:val="right"/>
              <w:rPr>
                <w:rFonts w:ascii="Arial" w:hAnsi="Arial" w:cs="Arial" w:eastAsia="Arial" w:hint="default"/>
                <w:sz w:val="16"/>
                <w:szCs w:val="16"/>
              </w:rPr>
            </w:pPr>
            <w:r>
              <w:rPr>
                <w:rFonts w:ascii="Arial"/>
                <w:w w:val="95"/>
                <w:sz w:val="16"/>
              </w:rPr>
              <w:t>37,705,315,618</w:t>
            </w:r>
            <w:r>
              <w:rPr>
                <w:rFonts w:ascii="Arial"/>
                <w:sz w:val="16"/>
              </w:rPr>
            </w:r>
          </w:p>
        </w:tc>
      </w:tr>
      <w:tr>
        <w:trPr>
          <w:trHeight w:val="427" w:hRule="exact"/>
        </w:trPr>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ind w:left="200" w:right="0"/>
              <w:jc w:val="left"/>
              <w:rPr>
                <w:rFonts w:ascii="宋体" w:hAnsi="宋体" w:cs="宋体" w:eastAsia="宋体" w:hint="default"/>
                <w:sz w:val="16"/>
                <w:szCs w:val="16"/>
              </w:rPr>
            </w:pPr>
            <w:r>
              <w:rPr>
                <w:rFonts w:ascii="宋体" w:hAnsi="宋体" w:cs="宋体" w:eastAsia="宋体" w:hint="default"/>
                <w:sz w:val="16"/>
                <w:szCs w:val="16"/>
              </w:rPr>
              <w:t>通用基础设施工程</w:t>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4"/>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  </w:t>
            </w:r>
            <w:r>
              <w:rPr>
                <w:rFonts w:ascii="Arial"/>
                <w:spacing w:val="-19"/>
                <w:sz w:val="16"/>
                <w:u w:val="single" w:color="000000"/>
              </w:rPr>
              <w:t> </w:t>
            </w:r>
            <w:r>
              <w:rPr>
                <w:rFonts w:ascii="Arial"/>
                <w:w w:val="95"/>
                <w:sz w:val="16"/>
                <w:u w:val="single" w:color="000000"/>
              </w:rPr>
              <w:t>4,164,440,500</w:t>
            </w:r>
            <w:r>
              <w:rPr>
                <w:rFonts w:ascii="Arial"/>
                <w:w w:val="95"/>
                <w:sz w:val="16"/>
              </w:rPr>
            </w:r>
            <w:r>
              <w:rPr>
                <w:rFonts w:ascii="Arial"/>
                <w:sz w:val="16"/>
              </w:rPr>
            </w:r>
          </w:p>
        </w:tc>
        <w:tc>
          <w:tcPr>
            <w:tcW w:w="1402" w:type="dxa"/>
            <w:tcBorders>
              <w:top w:val="nil" w:sz="6" w:space="0" w:color="auto"/>
              <w:left w:val="nil" w:sz="6" w:space="0" w:color="auto"/>
              <w:bottom w:val="nil" w:sz="6" w:space="0" w:color="auto"/>
              <w:right w:val="nil" w:sz="6" w:space="0" w:color="auto"/>
            </w:tcBorders>
          </w:tcPr>
          <w:p>
            <w:pPr>
              <w:pStyle w:val="TableParagraph"/>
              <w:tabs>
                <w:tab w:pos="1569" w:val="left" w:leader="none"/>
              </w:tabs>
              <w:spacing w:line="240" w:lineRule="auto" w:before="51"/>
              <w:ind w:left="81" w:right="-168"/>
              <w:jc w:val="center"/>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   </w:t>
            </w:r>
            <w:r>
              <w:rPr>
                <w:rFonts w:ascii="Arial"/>
                <w:spacing w:val="13"/>
                <w:sz w:val="16"/>
                <w:u w:val="single" w:color="000000"/>
              </w:rPr>
              <w:t> </w:t>
            </w:r>
            <w:r>
              <w:rPr>
                <w:rFonts w:ascii="Arial"/>
                <w:sz w:val="16"/>
                <w:u w:val="single" w:color="000000"/>
              </w:rPr>
              <w:t>(98,720,908)</w:t>
            </w:r>
            <w:r>
              <w:rPr>
                <w:rFonts w:ascii="Arial"/>
                <w:sz w:val="16"/>
              </w:rPr>
              <w:t> </w:t>
            </w:r>
            <w:r>
              <w:rPr>
                <w:rFonts w:ascii="Arial"/>
                <w:spacing w:val="9"/>
                <w:sz w:val="16"/>
              </w:rPr>
              <w:t> </w:t>
            </w:r>
            <w:r>
              <w:rPr>
                <w:rFonts w:ascii="Arial"/>
                <w:spacing w:val="9"/>
                <w:w w:val="99"/>
                <w:sz w:val="16"/>
              </w:rPr>
            </w:r>
            <w:r>
              <w:rPr>
                <w:rFonts w:ascii="Arial"/>
                <w:w w:val="99"/>
                <w:sz w:val="16"/>
                <w:u w:val="single" w:color="000000"/>
              </w:rPr>
              <w:t> </w:t>
            </w:r>
            <w:r>
              <w:rPr>
                <w:rFonts w:ascii="Arial"/>
                <w:sz w:val="16"/>
                <w:u w:val="single" w:color="000000"/>
              </w:rPr>
              <w:tab/>
            </w:r>
            <w:r>
              <w:rPr>
                <w:rFonts w:ascii="Arial"/>
                <w:sz w:val="16"/>
              </w:rPr>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4"/>
              <w:jc w:val="right"/>
              <w:rPr>
                <w:rFonts w:ascii="Arial" w:hAnsi="Arial" w:cs="Arial" w:eastAsia="Arial" w:hint="default"/>
                <w:sz w:val="16"/>
                <w:szCs w:val="16"/>
              </w:rPr>
            </w:pPr>
            <w:r>
              <w:rPr>
                <w:rFonts w:ascii="Arial"/>
                <w:w w:val="98"/>
                <w:sz w:val="16"/>
              </w:rPr>
            </w:r>
            <w:r>
              <w:rPr>
                <w:rFonts w:ascii="Arial"/>
                <w:w w:val="95"/>
                <w:sz w:val="16"/>
                <w:u w:val="single" w:color="000000"/>
              </w:rPr>
              <w:t>4,065,719,592</w:t>
            </w:r>
            <w:r>
              <w:rPr>
                <w:rFonts w:ascii="Arial"/>
                <w:w w:val="95"/>
                <w:sz w:val="16"/>
              </w:rPr>
            </w:r>
            <w:r>
              <w:rPr>
                <w:rFonts w:ascii="Arial"/>
                <w:sz w:val="16"/>
              </w:rPr>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4"/>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   </w:t>
            </w:r>
            <w:r>
              <w:rPr>
                <w:rFonts w:ascii="Arial"/>
                <w:spacing w:val="-6"/>
                <w:sz w:val="16"/>
                <w:u w:val="single" w:color="000000"/>
              </w:rPr>
              <w:t> </w:t>
            </w:r>
            <w:r>
              <w:rPr>
                <w:rFonts w:ascii="Arial"/>
                <w:w w:val="95"/>
                <w:sz w:val="16"/>
                <w:u w:val="single" w:color="000000"/>
              </w:rPr>
              <w:t>3,574,808,222</w:t>
            </w:r>
            <w:r>
              <w:rPr>
                <w:rFonts w:ascii="Arial"/>
                <w:w w:val="95"/>
                <w:sz w:val="16"/>
              </w:rPr>
            </w:r>
            <w:r>
              <w:rPr>
                <w:rFonts w:ascii="Arial"/>
                <w:sz w:val="16"/>
              </w:rPr>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7"/>
              <w:jc w:val="right"/>
              <w:rPr>
                <w:rFonts w:ascii="Arial" w:hAnsi="Arial" w:cs="Arial" w:eastAsia="Arial" w:hint="default"/>
                <w:sz w:val="16"/>
                <w:szCs w:val="16"/>
              </w:rPr>
            </w:pPr>
            <w:r>
              <w:rPr>
                <w:rFonts w:ascii="Arial"/>
                <w:w w:val="99"/>
                <w:sz w:val="16"/>
              </w:rPr>
            </w:r>
            <w:r>
              <w:rPr>
                <w:rFonts w:ascii="Arial"/>
                <w:spacing w:val="13"/>
                <w:w w:val="99"/>
                <w:sz w:val="16"/>
                <w:u w:val="single" w:color="000000"/>
              </w:rPr>
              <w:t> </w:t>
            </w:r>
            <w:r>
              <w:rPr>
                <w:rFonts w:ascii="Arial"/>
                <w:w w:val="95"/>
                <w:sz w:val="16"/>
                <w:u w:val="single" w:color="000000"/>
              </w:rPr>
              <w:t>(107,193,800)</w:t>
            </w:r>
            <w:r>
              <w:rPr>
                <w:rFonts w:ascii="Arial"/>
                <w:w w:val="95"/>
                <w:sz w:val="16"/>
              </w:rPr>
            </w:r>
            <w:r>
              <w:rPr>
                <w:rFonts w:ascii="Arial"/>
                <w:sz w:val="16"/>
              </w:rPr>
            </w:r>
          </w:p>
        </w:tc>
        <w:tc>
          <w:tcPr>
            <w:tcW w:w="1421" w:type="dxa"/>
            <w:tcBorders>
              <w:top w:val="nil" w:sz="6" w:space="0" w:color="auto"/>
              <w:left w:val="nil" w:sz="6" w:space="0" w:color="auto"/>
              <w:bottom w:val="nil" w:sz="6" w:space="0" w:color="auto"/>
              <w:right w:val="nil" w:sz="6" w:space="0" w:color="auto"/>
            </w:tcBorders>
          </w:tcPr>
          <w:p>
            <w:pPr>
              <w:pStyle w:val="TableParagraph"/>
              <w:tabs>
                <w:tab w:pos="287" w:val="left" w:leader="none"/>
              </w:tabs>
              <w:spacing w:line="240" w:lineRule="auto" w:before="51"/>
              <w:ind w:right="34"/>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ab/>
            </w:r>
            <w:r>
              <w:rPr>
                <w:rFonts w:ascii="Arial"/>
                <w:w w:val="95"/>
                <w:sz w:val="16"/>
                <w:u w:val="single" w:color="000000"/>
              </w:rPr>
              <w:t>3,467,614,422</w:t>
            </w:r>
            <w:r>
              <w:rPr>
                <w:rFonts w:ascii="Arial"/>
                <w:w w:val="95"/>
                <w:sz w:val="16"/>
              </w:rPr>
            </w:r>
            <w:r>
              <w:rPr>
                <w:rFonts w:ascii="Arial"/>
                <w:sz w:val="16"/>
              </w:rPr>
            </w:r>
          </w:p>
        </w:tc>
      </w:tr>
      <w:tr>
        <w:trPr>
          <w:trHeight w:val="406" w:hRule="exact"/>
        </w:trPr>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200"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214"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30"/>
              <w:jc w:val="right"/>
              <w:rPr>
                <w:rFonts w:ascii="Arial" w:hAnsi="Arial" w:cs="Arial" w:eastAsia="Arial" w:hint="default"/>
                <w:sz w:val="16"/>
                <w:szCs w:val="16"/>
              </w:rPr>
            </w:pPr>
            <w:r>
              <w:rPr>
                <w:rFonts w:ascii="Arial"/>
                <w:w w:val="95"/>
                <w:sz w:val="16"/>
              </w:rPr>
              <w:t>53,025,063,204</w:t>
            </w:r>
            <w:r>
              <w:rPr>
                <w:rFonts w:ascii="Arial"/>
                <w:sz w:val="16"/>
              </w:rPr>
            </w:r>
          </w:p>
        </w:tc>
        <w:tc>
          <w:tcPr>
            <w:tcW w:w="1402"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81" w:right="0"/>
              <w:jc w:val="center"/>
              <w:rPr>
                <w:rFonts w:ascii="Arial" w:hAnsi="Arial" w:cs="Arial" w:eastAsia="Arial" w:hint="default"/>
                <w:sz w:val="16"/>
                <w:szCs w:val="16"/>
              </w:rPr>
            </w:pPr>
            <w:r>
              <w:rPr>
                <w:rFonts w:ascii="Arial"/>
                <w:sz w:val="16"/>
              </w:rPr>
              <w:t>(113,802,985)</w:t>
            </w:r>
          </w:p>
        </w:tc>
        <w:tc>
          <w:tcPr>
            <w:tcW w:w="1224"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30"/>
              <w:jc w:val="right"/>
              <w:rPr>
                <w:rFonts w:ascii="Arial" w:hAnsi="Arial" w:cs="Arial" w:eastAsia="Arial" w:hint="default"/>
                <w:sz w:val="16"/>
                <w:szCs w:val="16"/>
              </w:rPr>
            </w:pPr>
            <w:r>
              <w:rPr>
                <w:rFonts w:ascii="Arial"/>
                <w:w w:val="95"/>
                <w:sz w:val="16"/>
              </w:rPr>
              <w:t>52,911,260,219</w:t>
            </w:r>
            <w:r>
              <w:rPr>
                <w:rFonts w:ascii="Arial"/>
                <w:sz w:val="16"/>
              </w:rPr>
            </w:r>
          </w:p>
        </w:tc>
        <w:tc>
          <w:tcPr>
            <w:tcW w:w="1349"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30"/>
              <w:jc w:val="right"/>
              <w:rPr>
                <w:rFonts w:ascii="Arial" w:hAnsi="Arial" w:cs="Arial" w:eastAsia="Arial" w:hint="default"/>
                <w:sz w:val="16"/>
                <w:szCs w:val="16"/>
              </w:rPr>
            </w:pPr>
            <w:r>
              <w:rPr>
                <w:rFonts w:ascii="Arial"/>
                <w:w w:val="95"/>
                <w:sz w:val="16"/>
              </w:rPr>
              <w:t>41,295,205,917</w:t>
            </w:r>
            <w:r>
              <w:rPr>
                <w:rFonts w:ascii="Arial"/>
                <w:sz w:val="16"/>
              </w:rPr>
            </w:r>
          </w:p>
        </w:tc>
        <w:tc>
          <w:tcPr>
            <w:tcW w:w="1157"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3"/>
              <w:jc w:val="right"/>
              <w:rPr>
                <w:rFonts w:ascii="Arial" w:hAnsi="Arial" w:cs="Arial" w:eastAsia="Arial" w:hint="default"/>
                <w:sz w:val="16"/>
                <w:szCs w:val="16"/>
              </w:rPr>
            </w:pPr>
            <w:r>
              <w:rPr>
                <w:rFonts w:ascii="Arial"/>
                <w:w w:val="95"/>
                <w:sz w:val="16"/>
              </w:rPr>
              <w:t>(122,275,877)</w:t>
            </w:r>
            <w:r>
              <w:rPr>
                <w:rFonts w:ascii="Arial"/>
                <w:sz w:val="16"/>
              </w:rPr>
            </w:r>
          </w:p>
        </w:tc>
        <w:tc>
          <w:tcPr>
            <w:tcW w:w="1421" w:type="dxa"/>
            <w:tcBorders>
              <w:top w:val="nil" w:sz="6" w:space="0" w:color="auto"/>
              <w:left w:val="nil" w:sz="6" w:space="0" w:color="auto"/>
              <w:bottom w:val="single" w:sz="17" w:space="0" w:color="000000"/>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30"/>
              <w:jc w:val="right"/>
              <w:rPr>
                <w:rFonts w:ascii="Arial" w:hAnsi="Arial" w:cs="Arial" w:eastAsia="Arial" w:hint="default"/>
                <w:sz w:val="16"/>
                <w:szCs w:val="16"/>
              </w:rPr>
            </w:pPr>
            <w:r>
              <w:rPr>
                <w:rFonts w:ascii="Arial"/>
                <w:w w:val="95"/>
                <w:sz w:val="16"/>
              </w:rPr>
              <w:t>41,172,930,040</w:t>
            </w:r>
            <w:r>
              <w:rPr>
                <w:rFonts w:ascii="Arial"/>
                <w:sz w:val="16"/>
              </w:rPr>
            </w:r>
          </w:p>
        </w:tc>
      </w:tr>
    </w:tbl>
    <w:p>
      <w:pPr>
        <w:spacing w:line="240" w:lineRule="auto" w:before="2"/>
        <w:rPr>
          <w:rFonts w:ascii="宋体" w:hAnsi="宋体" w:cs="宋体" w:eastAsia="宋体" w:hint="default"/>
          <w:sz w:val="14"/>
          <w:szCs w:val="14"/>
        </w:rPr>
      </w:pPr>
    </w:p>
    <w:p>
      <w:pPr>
        <w:pStyle w:val="BodyText"/>
        <w:spacing w:line="225" w:lineRule="auto" w:before="48"/>
        <w:ind w:left="558" w:right="109"/>
        <w:jc w:val="both"/>
      </w:pPr>
      <w:r>
        <w:rPr/>
        <w:t>于</w:t>
      </w:r>
      <w:r>
        <w:rPr>
          <w:spacing w:val="-52"/>
        </w:rPr>
        <w:t> </w:t>
      </w:r>
      <w:r>
        <w:rPr>
          <w:rFonts w:ascii="Arial" w:hAnsi="Arial" w:cs="Arial" w:eastAsia="Arial" w:hint="default"/>
        </w:rPr>
        <w:t>2019</w:t>
      </w:r>
      <w:r>
        <w:rPr>
          <w:rFonts w:ascii="Arial" w:hAnsi="Arial" w:cs="Arial" w:eastAsia="Arial" w:hint="default"/>
          <w:spacing w:val="-6"/>
        </w:rPr>
        <w:t> </w:t>
      </w:r>
      <w:r>
        <w:rPr/>
        <w:t>年度，本集团约人民币</w:t>
      </w:r>
      <w:r>
        <w:rPr>
          <w:spacing w:val="-57"/>
        </w:rPr>
        <w:t> </w:t>
      </w:r>
      <w:r>
        <w:rPr>
          <w:rFonts w:ascii="Arial" w:hAnsi="Arial" w:cs="Arial" w:eastAsia="Arial" w:hint="default"/>
        </w:rPr>
        <w:t>3.87</w:t>
      </w:r>
      <w:r>
        <w:rPr>
          <w:rFonts w:ascii="Arial" w:hAnsi="Arial" w:cs="Arial" w:eastAsia="Arial" w:hint="default"/>
          <w:spacing w:val="-1"/>
        </w:rPr>
        <w:t> </w:t>
      </w:r>
      <w:r>
        <w:rPr/>
        <w:t>亿元的借款费用资本化计入在建工程原值（</w:t>
      </w:r>
      <w:r>
        <w:rPr>
          <w:rFonts w:ascii="Arial" w:hAnsi="Arial" w:cs="Arial" w:eastAsia="Arial" w:hint="default"/>
        </w:rPr>
        <w:t>2018</w:t>
      </w:r>
      <w:r>
        <w:rPr>
          <w:rFonts w:ascii="Arial" w:hAnsi="Arial" w:cs="Arial" w:eastAsia="Arial" w:hint="default"/>
          <w:spacing w:val="-6"/>
        </w:rPr>
        <w:t> </w:t>
      </w:r>
      <w:r>
        <w:rPr/>
        <w:t>年：约人</w:t>
      </w:r>
      <w:r>
        <w:rPr>
          <w:w w:val="100"/>
        </w:rPr>
        <w:t> </w:t>
      </w:r>
      <w:r>
        <w:rPr/>
        <w:t>民币</w:t>
      </w:r>
      <w:r>
        <w:rPr>
          <w:spacing w:val="-52"/>
        </w:rPr>
        <w:t> </w:t>
      </w:r>
      <w:r>
        <w:rPr>
          <w:rFonts w:ascii="Arial" w:hAnsi="Arial" w:cs="Arial" w:eastAsia="Arial" w:hint="default"/>
        </w:rPr>
        <w:t>5.34</w:t>
      </w:r>
      <w:r>
        <w:rPr>
          <w:rFonts w:ascii="Arial" w:hAnsi="Arial" w:cs="Arial" w:eastAsia="Arial" w:hint="default"/>
          <w:spacing w:val="-1"/>
        </w:rPr>
        <w:t> </w:t>
      </w:r>
      <w:r>
        <w:rPr>
          <w:spacing w:val="-20"/>
        </w:rPr>
        <w:t>亿元），本集团于</w:t>
      </w:r>
      <w:r>
        <w:rPr>
          <w:spacing w:val="-52"/>
        </w:rPr>
        <w:t> </w:t>
      </w:r>
      <w:r>
        <w:rPr>
          <w:rFonts w:ascii="Arial" w:hAnsi="Arial" w:cs="Arial" w:eastAsia="Arial" w:hint="default"/>
        </w:rPr>
        <w:t>2019</w:t>
      </w:r>
      <w:r>
        <w:rPr>
          <w:rFonts w:ascii="Arial" w:hAnsi="Arial" w:cs="Arial" w:eastAsia="Arial" w:hint="default"/>
          <w:spacing w:val="-1"/>
        </w:rPr>
        <w:t> </w:t>
      </w:r>
      <w:r>
        <w:rPr/>
        <w:t>年度的借款费用资本化率约为</w:t>
      </w:r>
      <w:r>
        <w:rPr>
          <w:spacing w:val="-52"/>
        </w:rPr>
        <w:t> </w:t>
      </w:r>
      <w:r>
        <w:rPr>
          <w:rFonts w:ascii="Arial" w:hAnsi="Arial" w:cs="Arial" w:eastAsia="Arial" w:hint="default"/>
          <w:spacing w:val="-6"/>
        </w:rPr>
        <w:t>3.07%-3.49%</w:t>
      </w:r>
      <w:r>
        <w:rPr>
          <w:spacing w:val="-6"/>
        </w:rPr>
        <w:t>（</w:t>
      </w:r>
      <w:r>
        <w:rPr>
          <w:rFonts w:ascii="Arial" w:hAnsi="Arial" w:cs="Arial" w:eastAsia="Arial" w:hint="default"/>
          <w:spacing w:val="-6"/>
        </w:rPr>
        <w:t>2018</w:t>
      </w:r>
      <w:r>
        <w:rPr>
          <w:rFonts w:ascii="Arial" w:hAnsi="Arial" w:cs="Arial" w:eastAsia="Arial" w:hint="default"/>
          <w:spacing w:val="-1"/>
        </w:rPr>
        <w:t> </w:t>
      </w:r>
      <w:r>
        <w:rPr>
          <w:spacing w:val="-10"/>
        </w:rPr>
        <w:t>年：</w:t>
      </w:r>
      <w:r>
        <w:rPr>
          <w:rFonts w:ascii="Arial" w:hAnsi="Arial" w:cs="Arial" w:eastAsia="Arial" w:hint="default"/>
          <w:spacing w:val="-10"/>
        </w:rPr>
        <w:t>3.16%-</w:t>
      </w:r>
      <w:r>
        <w:rPr>
          <w:rFonts w:ascii="Arial" w:hAnsi="Arial" w:cs="Arial" w:eastAsia="Arial" w:hint="default"/>
          <w:w w:val="100"/>
        </w:rPr>
        <w:t> </w:t>
      </w:r>
      <w:r>
        <w:rPr>
          <w:rFonts w:ascii="Arial" w:hAnsi="Arial" w:cs="Arial" w:eastAsia="Arial" w:hint="default"/>
          <w:spacing w:val="-5"/>
        </w:rPr>
        <w:t>3.61%</w:t>
      </w:r>
      <w:r>
        <w:rPr>
          <w:spacing w:val="-5"/>
        </w:rPr>
        <w:t>）。于</w:t>
      </w:r>
      <w:r>
        <w:rPr>
          <w:spacing w:val="-45"/>
        </w:rPr>
        <w:t> </w:t>
      </w:r>
      <w:r>
        <w:rPr>
          <w:rFonts w:ascii="Arial" w:hAnsi="Arial" w:cs="Arial" w:eastAsia="Arial" w:hint="default"/>
        </w:rPr>
        <w:t>2019</w:t>
      </w:r>
      <w:r>
        <w:rPr>
          <w:rFonts w:ascii="Arial" w:hAnsi="Arial" w:cs="Arial" w:eastAsia="Arial" w:hint="default"/>
          <w:spacing w:val="7"/>
        </w:rPr>
        <w:t> </w:t>
      </w:r>
      <w:r>
        <w:rPr>
          <w:spacing w:val="-3"/>
        </w:rPr>
        <w:t>年度，除转入固定资产和无形资产的在建工程外，约人民币</w:t>
      </w:r>
      <w:r>
        <w:rPr>
          <w:spacing w:val="-51"/>
        </w:rPr>
        <w:t> </w:t>
      </w:r>
      <w:r>
        <w:rPr>
          <w:rFonts w:ascii="Arial" w:hAnsi="Arial" w:cs="Arial" w:eastAsia="Arial" w:hint="default"/>
        </w:rPr>
        <w:t>3.16</w:t>
      </w:r>
      <w:r>
        <w:rPr>
          <w:rFonts w:ascii="Arial" w:hAnsi="Arial" w:cs="Arial" w:eastAsia="Arial" w:hint="default"/>
          <w:spacing w:val="7"/>
        </w:rPr>
        <w:t> </w:t>
      </w:r>
      <w:r>
        <w:rPr/>
        <w:t>亿元的经营</w:t>
      </w:r>
      <w:r>
        <w:rPr>
          <w:spacing w:val="-107"/>
        </w:rPr>
        <w:t> </w:t>
      </w:r>
      <w:r>
        <w:rPr/>
        <w:t>租入固定资产改良及外市电引入等从在建工程转入长期待摊费用（</w:t>
      </w:r>
      <w:r>
        <w:rPr>
          <w:rFonts w:ascii="Arial" w:hAnsi="Arial" w:cs="Arial" w:eastAsia="Arial" w:hint="default"/>
        </w:rPr>
        <w:t>2018 </w:t>
      </w:r>
      <w:r>
        <w:rPr/>
        <w:t>年：约人民币 </w:t>
      </w:r>
      <w:r>
        <w:rPr>
          <w:rFonts w:ascii="Arial" w:hAnsi="Arial" w:cs="Arial" w:eastAsia="Arial" w:hint="default"/>
        </w:rPr>
        <w:t>4.30</w:t>
      </w:r>
      <w:r>
        <w:rPr>
          <w:rFonts w:ascii="Arial" w:hAnsi="Arial" w:cs="Arial" w:eastAsia="Arial" w:hint="default"/>
          <w:spacing w:val="43"/>
        </w:rPr>
        <w:t> </w:t>
      </w:r>
      <w:r>
        <w:rPr/>
        <w:t>亿</w:t>
      </w:r>
      <w:r>
        <w:rPr>
          <w:w w:val="100"/>
        </w:rPr>
        <w:t> </w:t>
      </w:r>
      <w:r>
        <w:rPr/>
        <w:t>元）。</w:t>
      </w:r>
    </w:p>
    <w:p>
      <w:pPr>
        <w:spacing w:after="0" w:line="225" w:lineRule="auto"/>
        <w:jc w:val="both"/>
        <w:sectPr>
          <w:headerReference w:type="default" r:id="rId165"/>
          <w:pgSz w:w="11910" w:h="16840"/>
          <w:pgMar w:header="1188" w:footer="502" w:top="3120" w:bottom="700" w:left="1020" w:right="1040"/>
        </w:sectPr>
      </w:pPr>
    </w:p>
    <w:p>
      <w:pPr>
        <w:pStyle w:val="BodyText"/>
        <w:spacing w:line="240" w:lineRule="auto" w:before="12"/>
        <w:ind w:left="152" w:right="10440"/>
        <w:jc w:val="left"/>
        <w:rPr>
          <w:rFonts w:ascii="黑体" w:hAnsi="黑体" w:cs="黑体" w:eastAsia="黑体" w:hint="default"/>
        </w:rPr>
      </w:pPr>
      <w:r>
        <w:rPr>
          <w:rFonts w:ascii="黑体" w:hAnsi="黑体" w:cs="黑体" w:eastAsia="黑体" w:hint="default"/>
        </w:rPr>
        <w:t>中国联合网络通信股份有限公司</w:t>
      </w:r>
    </w:p>
    <w:p>
      <w:pPr>
        <w:spacing w:line="240" w:lineRule="auto" w:before="1"/>
        <w:rPr>
          <w:rFonts w:ascii="黑体" w:hAnsi="黑体" w:cs="黑体" w:eastAsia="黑体" w:hint="default"/>
          <w:sz w:val="19"/>
          <w:szCs w:val="19"/>
        </w:rPr>
      </w:pPr>
    </w:p>
    <w:p>
      <w:pPr>
        <w:pStyle w:val="BodyText"/>
        <w:spacing w:line="240" w:lineRule="auto"/>
        <w:ind w:left="151" w:right="1044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left="151" w:right="1044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448" w:lineRule="auto"/>
        <w:ind w:left="137" w:right="10440" w:firstLine="14"/>
        <w:jc w:val="left"/>
      </w:pPr>
      <w:r>
        <w:rPr>
          <w:rFonts w:ascii="黑体" w:hAnsi="黑体" w:cs="黑体" w:eastAsia="黑体" w:hint="default"/>
          <w:spacing w:val="-1"/>
        </w:rPr>
        <w:t>（除特别注明外，金额单位为人民币元）</w:t>
      </w:r>
      <w:r>
        <w:rPr>
          <w:rFonts w:ascii="黑体" w:hAnsi="黑体" w:cs="黑体" w:eastAsia="黑体" w:hint="default"/>
          <w:spacing w:val="-102"/>
        </w:rPr>
        <w:t> </w:t>
      </w:r>
      <w:r>
        <w:rPr>
          <w:rFonts w:ascii="黑体" w:hAnsi="黑体" w:cs="黑体" w:eastAsia="黑体" w:hint="default"/>
          <w:spacing w:val="-102"/>
        </w:rPr>
      </w:r>
      <w:r>
        <w:rPr>
          <w:rFonts w:ascii="黑体" w:hAnsi="黑体" w:cs="黑体" w:eastAsia="黑体" w:hint="default"/>
        </w:rPr>
        <w:t>五</w:t>
      </w:r>
      <w:r>
        <w:rPr>
          <w:rFonts w:ascii="黑体" w:hAnsi="黑体" w:cs="黑体" w:eastAsia="黑体" w:hint="default"/>
          <w:spacing w:val="54"/>
        </w:rPr>
        <w:t> </w:t>
      </w:r>
      <w:r>
        <w:rPr>
          <w:rFonts w:ascii="黑体" w:hAnsi="黑体" w:cs="黑体" w:eastAsia="黑体" w:hint="default"/>
        </w:rPr>
        <w:t>合并财务报表项目附注（续）</w:t>
      </w:r>
      <w:r>
        <w:rPr>
          <w:rFonts w:ascii="黑体" w:hAnsi="黑体" w:cs="黑体" w:eastAsia="黑体" w:hint="default"/>
          <w:spacing w:val="-105"/>
        </w:rPr>
        <w:t> </w:t>
      </w:r>
      <w:r>
        <w:rPr>
          <w:rFonts w:ascii="黑体" w:hAnsi="黑体" w:cs="黑体" w:eastAsia="黑体" w:hint="default"/>
          <w:spacing w:val="-105"/>
        </w:rPr>
      </w:r>
      <w:r>
        <w:rPr>
          <w:rFonts w:ascii="Arial" w:hAnsi="Arial" w:cs="Arial" w:eastAsia="Arial" w:hint="default"/>
        </w:rPr>
        <w:t>13</w:t>
      </w:r>
      <w:r>
        <w:rPr/>
        <w:t>、在建工程（续）</w:t>
      </w:r>
    </w:p>
    <w:p>
      <w:pPr>
        <w:pStyle w:val="BodyText"/>
        <w:spacing w:line="281" w:lineRule="exact"/>
        <w:ind w:left="137" w:right="10440"/>
        <w:jc w:val="left"/>
      </w:pPr>
      <w:r>
        <w:rPr>
          <w:rFonts w:ascii="Arial" w:hAnsi="Arial" w:cs="Arial" w:eastAsia="Arial" w:hint="default"/>
        </w:rPr>
        <w:t>(a)</w:t>
      </w:r>
      <w:r>
        <w:rPr>
          <w:rFonts w:ascii="Arial" w:hAnsi="Arial" w:cs="Arial" w:eastAsia="Arial" w:hint="default"/>
          <w:spacing w:val="53"/>
        </w:rPr>
        <w:t> </w:t>
      </w:r>
      <w:r>
        <w:rPr/>
        <w:t>在建工程（续）</w:t>
      </w:r>
    </w:p>
    <w:p>
      <w:pPr>
        <w:pStyle w:val="BodyText"/>
        <w:spacing w:line="240" w:lineRule="auto" w:before="186"/>
        <w:ind w:left="132" w:right="10440"/>
        <w:jc w:val="left"/>
      </w:pPr>
      <w:r>
        <w:rPr>
          <w:rFonts w:ascii="Arial" w:hAnsi="Arial" w:cs="Arial" w:eastAsia="Arial" w:hint="default"/>
        </w:rPr>
        <w:t>(1)</w:t>
      </w:r>
      <w:r>
        <w:rPr>
          <w:rFonts w:ascii="Arial" w:hAnsi="Arial" w:cs="Arial" w:eastAsia="Arial" w:hint="default"/>
          <w:spacing w:val="61"/>
        </w:rPr>
        <w:t> </w:t>
      </w:r>
      <w:r>
        <w:rPr/>
        <w:t>重大在建工程项目变动</w:t>
      </w:r>
    </w:p>
    <w:p>
      <w:pPr>
        <w:spacing w:line="240" w:lineRule="auto" w:before="6"/>
        <w:rPr>
          <w:rFonts w:ascii="宋体" w:hAnsi="宋体" w:cs="宋体" w:eastAsia="宋体" w:hint="default"/>
          <w:sz w:val="23"/>
          <w:szCs w:val="23"/>
        </w:rPr>
      </w:pPr>
    </w:p>
    <w:tbl>
      <w:tblPr>
        <w:tblW w:w="0" w:type="auto"/>
        <w:jc w:val="left"/>
        <w:tblInd w:w="190" w:type="dxa"/>
        <w:tblLayout w:type="fixed"/>
        <w:tblCellMar>
          <w:top w:w="0" w:type="dxa"/>
          <w:left w:w="0" w:type="dxa"/>
          <w:bottom w:w="0" w:type="dxa"/>
          <w:right w:w="0" w:type="dxa"/>
        </w:tblCellMar>
        <w:tblLook w:val="01E0"/>
      </w:tblPr>
      <w:tblGrid>
        <w:gridCol w:w="4529"/>
        <w:gridCol w:w="818"/>
        <w:gridCol w:w="1090"/>
        <w:gridCol w:w="1142"/>
        <w:gridCol w:w="1037"/>
        <w:gridCol w:w="427"/>
        <w:gridCol w:w="1114"/>
        <w:gridCol w:w="744"/>
        <w:gridCol w:w="1106"/>
        <w:gridCol w:w="890"/>
        <w:gridCol w:w="1541"/>
      </w:tblGrid>
      <w:tr>
        <w:trPr>
          <w:trHeight w:val="604" w:hRule="exact"/>
        </w:trPr>
        <w:tc>
          <w:tcPr>
            <w:tcW w:w="4529"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1"/>
                <w:szCs w:val="11"/>
              </w:rPr>
            </w:pPr>
          </w:p>
          <w:p>
            <w:pPr>
              <w:pStyle w:val="TableParagraph"/>
              <w:spacing w:line="240" w:lineRule="auto"/>
              <w:ind w:right="0"/>
              <w:jc w:val="left"/>
              <w:rPr>
                <w:rFonts w:ascii="宋体" w:hAnsi="宋体" w:cs="宋体" w:eastAsia="宋体" w:hint="default"/>
                <w:sz w:val="16"/>
                <w:szCs w:val="16"/>
              </w:rPr>
            </w:pPr>
            <w:r>
              <w:rPr>
                <w:rFonts w:ascii="宋体" w:hAnsi="宋体" w:cs="宋体" w:eastAsia="宋体" w:hint="default"/>
                <w:sz w:val="16"/>
                <w:szCs w:val="16"/>
              </w:rPr>
              <w:t>工程名称</w:t>
            </w:r>
          </w:p>
        </w:tc>
        <w:tc>
          <w:tcPr>
            <w:tcW w:w="818" w:type="dxa"/>
            <w:tcBorders>
              <w:top w:val="nil" w:sz="6" w:space="0" w:color="auto"/>
              <w:left w:val="nil" w:sz="6" w:space="0" w:color="auto"/>
              <w:bottom w:val="single" w:sz="6" w:space="0" w:color="000000"/>
              <w:right w:val="nil" w:sz="6" w:space="0" w:color="auto"/>
            </w:tcBorders>
          </w:tcPr>
          <w:p>
            <w:pPr>
              <w:pStyle w:val="TableParagraph"/>
              <w:spacing w:line="157" w:lineRule="exact"/>
              <w:ind w:left="252" w:right="0"/>
              <w:jc w:val="left"/>
              <w:rPr>
                <w:rFonts w:ascii="宋体" w:hAnsi="宋体" w:cs="宋体" w:eastAsia="宋体" w:hint="default"/>
                <w:sz w:val="16"/>
                <w:szCs w:val="16"/>
              </w:rPr>
            </w:pPr>
            <w:r>
              <w:rPr>
                <w:rFonts w:ascii="宋体" w:hAnsi="宋体" w:cs="宋体" w:eastAsia="宋体" w:hint="default"/>
                <w:sz w:val="16"/>
                <w:szCs w:val="16"/>
              </w:rPr>
              <w:t>预算数</w:t>
            </w:r>
          </w:p>
          <w:p>
            <w:pPr>
              <w:pStyle w:val="TableParagraph"/>
              <w:spacing w:line="206" w:lineRule="exact" w:before="20"/>
              <w:ind w:left="165" w:right="12" w:firstLine="4"/>
              <w:jc w:val="left"/>
              <w:rPr>
                <w:rFonts w:ascii="宋体" w:hAnsi="宋体" w:cs="宋体" w:eastAsia="宋体" w:hint="default"/>
                <w:sz w:val="16"/>
                <w:szCs w:val="16"/>
              </w:rPr>
            </w:pPr>
            <w:r>
              <w:rPr>
                <w:rFonts w:ascii="宋体" w:hAnsi="宋体" w:cs="宋体" w:eastAsia="宋体" w:hint="default"/>
                <w:w w:val="95"/>
                <w:sz w:val="16"/>
                <w:szCs w:val="16"/>
              </w:rPr>
              <w:t>（人民币</w:t>
            </w:r>
            <w:r>
              <w:rPr>
                <w:rFonts w:ascii="宋体" w:hAnsi="宋体" w:cs="宋体" w:eastAsia="宋体" w:hint="default"/>
                <w:spacing w:val="-55"/>
                <w:w w:val="95"/>
                <w:sz w:val="16"/>
                <w:szCs w:val="16"/>
              </w:rPr>
              <w:t> </w:t>
            </w:r>
            <w:r>
              <w:rPr>
                <w:rFonts w:ascii="宋体" w:hAnsi="宋体" w:cs="宋体" w:eastAsia="宋体" w:hint="default"/>
                <w:w w:val="95"/>
                <w:sz w:val="16"/>
                <w:szCs w:val="16"/>
              </w:rPr>
              <w:t>百万元）</w:t>
            </w:r>
            <w:r>
              <w:rPr>
                <w:rFonts w:ascii="宋体" w:hAnsi="宋体" w:cs="宋体" w:eastAsia="宋体" w:hint="default"/>
                <w:sz w:val="16"/>
                <w:szCs w:val="16"/>
              </w:rPr>
            </w:r>
          </w:p>
        </w:tc>
        <w:tc>
          <w:tcPr>
            <w:tcW w:w="1090" w:type="dxa"/>
            <w:tcBorders>
              <w:top w:val="nil" w:sz="6" w:space="0" w:color="auto"/>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14" w:lineRule="exact"/>
              <w:ind w:left="456" w:right="0"/>
              <w:jc w:val="left"/>
              <w:rPr>
                <w:rFonts w:ascii="宋体" w:hAnsi="宋体" w:cs="宋体" w:eastAsia="宋体" w:hint="default"/>
                <w:sz w:val="16"/>
                <w:szCs w:val="16"/>
              </w:rPr>
            </w:pPr>
            <w:r>
              <w:rPr>
                <w:rFonts w:ascii="Arial" w:hAnsi="Arial" w:cs="Arial" w:eastAsia="Arial" w:hint="default"/>
                <w:sz w:val="16"/>
                <w:szCs w:val="16"/>
              </w:rPr>
              <w:t>2018</w:t>
            </w:r>
            <w:r>
              <w:rPr>
                <w:rFonts w:ascii="Arial" w:hAnsi="Arial" w:cs="Arial" w:eastAsia="Arial" w:hint="default"/>
                <w:spacing w:val="-10"/>
                <w:sz w:val="16"/>
                <w:szCs w:val="16"/>
              </w:rPr>
              <w:t> </w:t>
            </w:r>
            <w:r>
              <w:rPr>
                <w:rFonts w:ascii="宋体" w:hAnsi="宋体" w:cs="宋体" w:eastAsia="宋体" w:hint="default"/>
                <w:sz w:val="16"/>
                <w:szCs w:val="16"/>
              </w:rPr>
              <w:t>年</w:t>
            </w:r>
          </w:p>
          <w:p>
            <w:pPr>
              <w:pStyle w:val="TableParagraph"/>
              <w:spacing w:line="214" w:lineRule="exact"/>
              <w:ind w:left="225" w:right="0"/>
              <w:jc w:val="left"/>
              <w:rPr>
                <w:rFonts w:ascii="宋体" w:hAnsi="宋体" w:cs="宋体" w:eastAsia="宋体" w:hint="default"/>
                <w:sz w:val="16"/>
                <w:szCs w:val="16"/>
              </w:rPr>
            </w:pPr>
            <w:r>
              <w:rPr>
                <w:rFonts w:ascii="Arial" w:hAnsi="Arial" w:cs="Arial" w:eastAsia="Arial" w:hint="default"/>
                <w:sz w:val="16"/>
                <w:szCs w:val="16"/>
              </w:rPr>
              <w:t>12</w:t>
            </w:r>
            <w:r>
              <w:rPr>
                <w:rFonts w:ascii="Arial" w:hAnsi="Arial" w:cs="Arial" w:eastAsia="Arial" w:hint="default"/>
                <w:spacing w:val="-7"/>
                <w:sz w:val="16"/>
                <w:szCs w:val="16"/>
              </w:rPr>
              <w:t> </w:t>
            </w:r>
            <w:r>
              <w:rPr>
                <w:rFonts w:ascii="宋体" w:hAnsi="宋体" w:cs="宋体" w:eastAsia="宋体" w:hint="default"/>
                <w:sz w:val="16"/>
                <w:szCs w:val="16"/>
              </w:rPr>
              <w:t>月</w:t>
            </w:r>
            <w:r>
              <w:rPr>
                <w:rFonts w:ascii="宋体" w:hAnsi="宋体" w:cs="宋体" w:eastAsia="宋体" w:hint="default"/>
                <w:spacing w:val="-41"/>
                <w:sz w:val="16"/>
                <w:szCs w:val="16"/>
              </w:rPr>
              <w:t> </w:t>
            </w:r>
            <w:r>
              <w:rPr>
                <w:rFonts w:ascii="Arial" w:hAnsi="Arial" w:cs="Arial" w:eastAsia="Arial" w:hint="default"/>
                <w:sz w:val="16"/>
                <w:szCs w:val="16"/>
              </w:rPr>
              <w:t>31</w:t>
            </w:r>
            <w:r>
              <w:rPr>
                <w:rFonts w:ascii="Arial" w:hAnsi="Arial" w:cs="Arial" w:eastAsia="Arial" w:hint="default"/>
                <w:spacing w:val="-7"/>
                <w:sz w:val="16"/>
                <w:szCs w:val="16"/>
              </w:rPr>
              <w:t> </w:t>
            </w:r>
            <w:r>
              <w:rPr>
                <w:rFonts w:ascii="宋体" w:hAnsi="宋体" w:cs="宋体" w:eastAsia="宋体" w:hint="default"/>
                <w:sz w:val="16"/>
                <w:szCs w:val="16"/>
              </w:rPr>
              <w:t>日</w:t>
            </w:r>
          </w:p>
        </w:tc>
        <w:tc>
          <w:tcPr>
            <w:tcW w:w="1142"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1"/>
                <w:szCs w:val="11"/>
              </w:rPr>
            </w:pPr>
          </w:p>
          <w:p>
            <w:pPr>
              <w:pStyle w:val="TableParagraph"/>
              <w:spacing w:line="240" w:lineRule="auto"/>
              <w:ind w:right="55"/>
              <w:jc w:val="right"/>
              <w:rPr>
                <w:rFonts w:ascii="宋体" w:hAnsi="宋体" w:cs="宋体" w:eastAsia="宋体" w:hint="default"/>
                <w:sz w:val="16"/>
                <w:szCs w:val="16"/>
              </w:rPr>
            </w:pPr>
            <w:r>
              <w:rPr>
                <w:rFonts w:ascii="宋体" w:hAnsi="宋体" w:cs="宋体" w:eastAsia="宋体" w:hint="default"/>
                <w:w w:val="95"/>
                <w:sz w:val="16"/>
                <w:szCs w:val="16"/>
              </w:rPr>
              <w:t>本年增加</w:t>
            </w:r>
            <w:r>
              <w:rPr>
                <w:rFonts w:ascii="宋体" w:hAnsi="宋体" w:cs="宋体" w:eastAsia="宋体" w:hint="default"/>
                <w:sz w:val="16"/>
                <w:szCs w:val="16"/>
              </w:rPr>
            </w:r>
          </w:p>
        </w:tc>
        <w:tc>
          <w:tcPr>
            <w:tcW w:w="1037" w:type="dxa"/>
            <w:tcBorders>
              <w:top w:val="nil" w:sz="6" w:space="0" w:color="auto"/>
              <w:left w:val="nil" w:sz="6" w:space="0" w:color="auto"/>
              <w:bottom w:val="single" w:sz="6" w:space="0" w:color="000000"/>
              <w:right w:val="nil" w:sz="6" w:space="0" w:color="auto"/>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06" w:lineRule="exact"/>
              <w:ind w:left="331" w:right="71"/>
              <w:jc w:val="left"/>
              <w:rPr>
                <w:rFonts w:ascii="宋体" w:hAnsi="宋体" w:cs="宋体" w:eastAsia="宋体" w:hint="default"/>
                <w:sz w:val="16"/>
                <w:szCs w:val="16"/>
              </w:rPr>
            </w:pPr>
            <w:r>
              <w:rPr>
                <w:rFonts w:ascii="宋体" w:hAnsi="宋体" w:cs="宋体" w:eastAsia="宋体" w:hint="default"/>
                <w:w w:val="95"/>
                <w:sz w:val="16"/>
                <w:szCs w:val="16"/>
              </w:rPr>
              <w:t>本年转入</w:t>
            </w:r>
            <w:r>
              <w:rPr>
                <w:rFonts w:ascii="宋体" w:hAnsi="宋体" w:cs="宋体" w:eastAsia="宋体" w:hint="default"/>
                <w:spacing w:val="-51"/>
                <w:w w:val="95"/>
                <w:sz w:val="16"/>
                <w:szCs w:val="16"/>
              </w:rPr>
              <w:t> </w:t>
            </w:r>
            <w:r>
              <w:rPr>
                <w:rFonts w:ascii="宋体" w:hAnsi="宋体" w:cs="宋体" w:eastAsia="宋体" w:hint="default"/>
                <w:w w:val="95"/>
                <w:sz w:val="16"/>
                <w:szCs w:val="16"/>
              </w:rPr>
              <w:t>固定资产</w:t>
            </w:r>
            <w:r>
              <w:rPr>
                <w:rFonts w:ascii="宋体" w:hAnsi="宋体" w:cs="宋体" w:eastAsia="宋体" w:hint="default"/>
                <w:sz w:val="16"/>
                <w:szCs w:val="16"/>
              </w:rPr>
            </w:r>
          </w:p>
        </w:tc>
        <w:tc>
          <w:tcPr>
            <w:tcW w:w="427" w:type="dxa"/>
            <w:tcBorders>
              <w:top w:val="nil" w:sz="6" w:space="0" w:color="auto"/>
              <w:left w:val="nil" w:sz="6" w:space="0" w:color="auto"/>
              <w:bottom w:val="single" w:sz="6" w:space="0" w:color="000000"/>
              <w:right w:val="nil" w:sz="6" w:space="0" w:color="auto"/>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06" w:lineRule="exact"/>
              <w:ind w:left="71" w:right="36"/>
              <w:jc w:val="left"/>
              <w:rPr>
                <w:rFonts w:ascii="宋体" w:hAnsi="宋体" w:cs="宋体" w:eastAsia="宋体" w:hint="default"/>
                <w:sz w:val="16"/>
                <w:szCs w:val="16"/>
              </w:rPr>
            </w:pPr>
            <w:r>
              <w:rPr>
                <w:rFonts w:ascii="宋体" w:hAnsi="宋体" w:cs="宋体" w:eastAsia="宋体" w:hint="default"/>
                <w:w w:val="95"/>
                <w:sz w:val="16"/>
                <w:szCs w:val="16"/>
              </w:rPr>
              <w:t>其他</w:t>
            </w:r>
            <w:r>
              <w:rPr>
                <w:rFonts w:ascii="宋体" w:hAnsi="宋体" w:cs="宋体" w:eastAsia="宋体" w:hint="default"/>
                <w:spacing w:val="-64"/>
                <w:w w:val="95"/>
                <w:sz w:val="16"/>
                <w:szCs w:val="16"/>
              </w:rPr>
              <w:t> </w:t>
            </w:r>
            <w:r>
              <w:rPr>
                <w:rFonts w:ascii="宋体" w:hAnsi="宋体" w:cs="宋体" w:eastAsia="宋体" w:hint="default"/>
                <w:w w:val="95"/>
                <w:sz w:val="16"/>
                <w:szCs w:val="16"/>
              </w:rPr>
              <w:t>减少</w:t>
            </w:r>
            <w:r>
              <w:rPr>
                <w:rFonts w:ascii="宋体" w:hAnsi="宋体" w:cs="宋体" w:eastAsia="宋体" w:hint="default"/>
                <w:sz w:val="16"/>
                <w:szCs w:val="16"/>
              </w:rPr>
            </w:r>
          </w:p>
        </w:tc>
        <w:tc>
          <w:tcPr>
            <w:tcW w:w="1114" w:type="dxa"/>
            <w:tcBorders>
              <w:top w:val="nil" w:sz="6" w:space="0" w:color="auto"/>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14" w:lineRule="exact"/>
              <w:ind w:left="513" w:right="0"/>
              <w:jc w:val="left"/>
              <w:rPr>
                <w:rFonts w:ascii="宋体" w:hAnsi="宋体" w:cs="宋体" w:eastAsia="宋体" w:hint="default"/>
                <w:sz w:val="16"/>
                <w:szCs w:val="16"/>
              </w:rPr>
            </w:pPr>
            <w:r>
              <w:rPr>
                <w:rFonts w:ascii="Arial" w:hAnsi="Arial" w:cs="Arial" w:eastAsia="Arial" w:hint="default"/>
                <w:sz w:val="16"/>
                <w:szCs w:val="16"/>
              </w:rPr>
              <w:t>2019</w:t>
            </w:r>
            <w:r>
              <w:rPr>
                <w:rFonts w:ascii="Arial" w:hAnsi="Arial" w:cs="Arial" w:eastAsia="Arial" w:hint="default"/>
                <w:spacing w:val="-10"/>
                <w:sz w:val="16"/>
                <w:szCs w:val="16"/>
              </w:rPr>
              <w:t> </w:t>
            </w:r>
            <w:r>
              <w:rPr>
                <w:rFonts w:ascii="宋体" w:hAnsi="宋体" w:cs="宋体" w:eastAsia="宋体" w:hint="default"/>
                <w:sz w:val="16"/>
                <w:szCs w:val="16"/>
              </w:rPr>
              <w:t>年</w:t>
            </w:r>
          </w:p>
          <w:p>
            <w:pPr>
              <w:pStyle w:val="TableParagraph"/>
              <w:spacing w:line="214" w:lineRule="exact"/>
              <w:ind w:left="273" w:right="0"/>
              <w:jc w:val="left"/>
              <w:rPr>
                <w:rFonts w:ascii="宋体" w:hAnsi="宋体" w:cs="宋体" w:eastAsia="宋体" w:hint="default"/>
                <w:sz w:val="16"/>
                <w:szCs w:val="16"/>
              </w:rPr>
            </w:pPr>
            <w:r>
              <w:rPr>
                <w:rFonts w:ascii="Arial" w:hAnsi="Arial" w:cs="Arial" w:eastAsia="Arial" w:hint="default"/>
                <w:sz w:val="16"/>
                <w:szCs w:val="16"/>
              </w:rPr>
              <w:t>12</w:t>
            </w:r>
            <w:r>
              <w:rPr>
                <w:rFonts w:ascii="Arial" w:hAnsi="Arial" w:cs="Arial" w:eastAsia="Arial" w:hint="default"/>
                <w:spacing w:val="-7"/>
                <w:sz w:val="16"/>
                <w:szCs w:val="16"/>
              </w:rPr>
              <w:t> </w:t>
            </w:r>
            <w:r>
              <w:rPr>
                <w:rFonts w:ascii="宋体" w:hAnsi="宋体" w:cs="宋体" w:eastAsia="宋体" w:hint="default"/>
                <w:sz w:val="16"/>
                <w:szCs w:val="16"/>
              </w:rPr>
              <w:t>月</w:t>
            </w:r>
            <w:r>
              <w:rPr>
                <w:rFonts w:ascii="宋体" w:hAnsi="宋体" w:cs="宋体" w:eastAsia="宋体" w:hint="default"/>
                <w:spacing w:val="-41"/>
                <w:sz w:val="16"/>
                <w:szCs w:val="16"/>
              </w:rPr>
              <w:t> </w:t>
            </w:r>
            <w:r>
              <w:rPr>
                <w:rFonts w:ascii="Arial" w:hAnsi="Arial" w:cs="Arial" w:eastAsia="Arial" w:hint="default"/>
                <w:sz w:val="16"/>
                <w:szCs w:val="16"/>
              </w:rPr>
              <w:t>31</w:t>
            </w:r>
            <w:r>
              <w:rPr>
                <w:rFonts w:ascii="Arial" w:hAnsi="Arial" w:cs="Arial" w:eastAsia="Arial" w:hint="default"/>
                <w:spacing w:val="-7"/>
                <w:sz w:val="16"/>
                <w:szCs w:val="16"/>
              </w:rPr>
              <w:t> </w:t>
            </w:r>
            <w:r>
              <w:rPr>
                <w:rFonts w:ascii="宋体" w:hAnsi="宋体" w:cs="宋体" w:eastAsia="宋体" w:hint="default"/>
                <w:sz w:val="16"/>
                <w:szCs w:val="16"/>
              </w:rPr>
              <w:t>日</w:t>
            </w:r>
          </w:p>
        </w:tc>
        <w:tc>
          <w:tcPr>
            <w:tcW w:w="744" w:type="dxa"/>
            <w:tcBorders>
              <w:top w:val="nil" w:sz="6" w:space="0" w:color="auto"/>
              <w:left w:val="nil" w:sz="6" w:space="0" w:color="auto"/>
              <w:bottom w:val="single" w:sz="6" w:space="0" w:color="000000"/>
              <w:right w:val="nil" w:sz="6" w:space="0" w:color="auto"/>
            </w:tcBorders>
          </w:tcPr>
          <w:p>
            <w:pPr>
              <w:pStyle w:val="TableParagraph"/>
              <w:spacing w:line="157" w:lineRule="exact"/>
              <w:ind w:left="38" w:right="0"/>
              <w:jc w:val="left"/>
              <w:rPr>
                <w:rFonts w:ascii="宋体" w:hAnsi="宋体" w:cs="宋体" w:eastAsia="宋体" w:hint="default"/>
                <w:sz w:val="16"/>
                <w:szCs w:val="16"/>
              </w:rPr>
            </w:pPr>
            <w:r>
              <w:rPr>
                <w:rFonts w:ascii="宋体" w:hAnsi="宋体" w:cs="宋体" w:eastAsia="宋体" w:hint="default"/>
                <w:sz w:val="16"/>
                <w:szCs w:val="16"/>
              </w:rPr>
              <w:t>工程投入</w:t>
            </w:r>
          </w:p>
          <w:p>
            <w:pPr>
              <w:pStyle w:val="TableParagraph"/>
              <w:spacing w:line="206" w:lineRule="exact"/>
              <w:ind w:left="38" w:right="0"/>
              <w:jc w:val="left"/>
              <w:rPr>
                <w:rFonts w:ascii="宋体" w:hAnsi="宋体" w:cs="宋体" w:eastAsia="宋体" w:hint="default"/>
                <w:sz w:val="16"/>
                <w:szCs w:val="16"/>
              </w:rPr>
            </w:pPr>
            <w:r>
              <w:rPr>
                <w:rFonts w:ascii="宋体" w:hAnsi="宋体" w:cs="宋体" w:eastAsia="宋体" w:hint="default"/>
                <w:sz w:val="16"/>
                <w:szCs w:val="16"/>
              </w:rPr>
              <w:t>占预算的</w:t>
            </w:r>
          </w:p>
          <w:p>
            <w:pPr>
              <w:pStyle w:val="TableParagraph"/>
              <w:spacing w:line="208" w:lineRule="exact"/>
              <w:ind w:left="355" w:right="0"/>
              <w:jc w:val="left"/>
              <w:rPr>
                <w:rFonts w:ascii="宋体" w:hAnsi="宋体" w:cs="宋体" w:eastAsia="宋体" w:hint="default"/>
                <w:sz w:val="16"/>
                <w:szCs w:val="16"/>
              </w:rPr>
            </w:pPr>
            <w:r>
              <w:rPr>
                <w:rFonts w:ascii="宋体" w:hAnsi="宋体" w:cs="宋体" w:eastAsia="宋体" w:hint="default"/>
                <w:sz w:val="16"/>
                <w:szCs w:val="16"/>
              </w:rPr>
              <w:t>比例</w:t>
            </w:r>
          </w:p>
        </w:tc>
        <w:tc>
          <w:tcPr>
            <w:tcW w:w="1106" w:type="dxa"/>
            <w:tcBorders>
              <w:top w:val="nil" w:sz="6" w:space="0" w:color="auto"/>
              <w:left w:val="nil" w:sz="6" w:space="0" w:color="auto"/>
              <w:bottom w:val="single" w:sz="6" w:space="0" w:color="000000"/>
              <w:right w:val="nil" w:sz="6" w:space="0" w:color="auto"/>
            </w:tcBorders>
          </w:tcPr>
          <w:p>
            <w:pPr>
              <w:pStyle w:val="TableParagraph"/>
              <w:spacing w:line="157" w:lineRule="exact"/>
              <w:ind w:left="571" w:right="0" w:hanging="159"/>
              <w:jc w:val="left"/>
              <w:rPr>
                <w:rFonts w:ascii="宋体" w:hAnsi="宋体" w:cs="宋体" w:eastAsia="宋体" w:hint="default"/>
                <w:sz w:val="16"/>
                <w:szCs w:val="16"/>
              </w:rPr>
            </w:pPr>
            <w:r>
              <w:rPr>
                <w:rFonts w:ascii="宋体" w:hAnsi="宋体" w:cs="宋体" w:eastAsia="宋体" w:hint="default"/>
                <w:sz w:val="16"/>
                <w:szCs w:val="16"/>
              </w:rPr>
              <w:t>借款费用</w:t>
            </w:r>
          </w:p>
          <w:p>
            <w:pPr>
              <w:pStyle w:val="TableParagraph"/>
              <w:spacing w:line="206" w:lineRule="exact" w:before="20"/>
              <w:ind w:left="412" w:right="57" w:firstLine="158"/>
              <w:jc w:val="left"/>
              <w:rPr>
                <w:rFonts w:ascii="宋体" w:hAnsi="宋体" w:cs="宋体" w:eastAsia="宋体" w:hint="default"/>
                <w:sz w:val="16"/>
                <w:szCs w:val="16"/>
              </w:rPr>
            </w:pPr>
            <w:r>
              <w:rPr>
                <w:rFonts w:ascii="宋体" w:hAnsi="宋体" w:cs="宋体" w:eastAsia="宋体" w:hint="default"/>
                <w:w w:val="95"/>
                <w:sz w:val="16"/>
                <w:szCs w:val="16"/>
              </w:rPr>
              <w:t>资本化</w:t>
            </w:r>
            <w:r>
              <w:rPr>
                <w:rFonts w:ascii="宋体" w:hAnsi="宋体" w:cs="宋体" w:eastAsia="宋体" w:hint="default"/>
                <w:w w:val="99"/>
                <w:sz w:val="16"/>
                <w:szCs w:val="16"/>
              </w:rPr>
              <w:t> </w:t>
            </w:r>
            <w:r>
              <w:rPr>
                <w:rFonts w:ascii="宋体" w:hAnsi="宋体" w:cs="宋体" w:eastAsia="宋体" w:hint="default"/>
                <w:w w:val="95"/>
                <w:sz w:val="16"/>
                <w:szCs w:val="16"/>
              </w:rPr>
              <w:t>累计金额</w:t>
            </w:r>
            <w:r>
              <w:rPr>
                <w:rFonts w:ascii="宋体" w:hAnsi="宋体" w:cs="宋体" w:eastAsia="宋体" w:hint="default"/>
                <w:sz w:val="16"/>
                <w:szCs w:val="16"/>
              </w:rPr>
            </w:r>
          </w:p>
        </w:tc>
        <w:tc>
          <w:tcPr>
            <w:tcW w:w="890" w:type="dxa"/>
            <w:tcBorders>
              <w:top w:val="nil" w:sz="6" w:space="0" w:color="auto"/>
              <w:left w:val="nil" w:sz="6" w:space="0" w:color="auto"/>
              <w:bottom w:val="single" w:sz="6" w:space="0" w:color="000000"/>
              <w:right w:val="nil" w:sz="6" w:space="0" w:color="auto"/>
            </w:tcBorders>
          </w:tcPr>
          <w:p>
            <w:pPr>
              <w:pStyle w:val="TableParagraph"/>
              <w:spacing w:line="157" w:lineRule="exact"/>
              <w:ind w:left="203" w:right="0" w:hanging="164"/>
              <w:jc w:val="left"/>
              <w:rPr>
                <w:rFonts w:ascii="宋体" w:hAnsi="宋体" w:cs="宋体" w:eastAsia="宋体" w:hint="default"/>
                <w:sz w:val="16"/>
                <w:szCs w:val="16"/>
              </w:rPr>
            </w:pPr>
            <w:r>
              <w:rPr>
                <w:rFonts w:ascii="宋体" w:hAnsi="宋体" w:cs="宋体" w:eastAsia="宋体" w:hint="default"/>
                <w:sz w:val="16"/>
                <w:szCs w:val="16"/>
              </w:rPr>
              <w:t>其中：本年</w:t>
            </w:r>
          </w:p>
          <w:p>
            <w:pPr>
              <w:pStyle w:val="TableParagraph"/>
              <w:spacing w:line="206" w:lineRule="exact" w:before="20"/>
              <w:ind w:left="40" w:right="50" w:firstLine="163"/>
              <w:jc w:val="left"/>
              <w:rPr>
                <w:rFonts w:ascii="宋体" w:hAnsi="宋体" w:cs="宋体" w:eastAsia="宋体" w:hint="default"/>
                <w:sz w:val="16"/>
                <w:szCs w:val="16"/>
              </w:rPr>
            </w:pPr>
            <w:r>
              <w:rPr>
                <w:rFonts w:ascii="宋体" w:hAnsi="宋体" w:cs="宋体" w:eastAsia="宋体" w:hint="default"/>
                <w:w w:val="95"/>
                <w:sz w:val="16"/>
                <w:szCs w:val="16"/>
              </w:rPr>
              <w:t>借款费用</w:t>
            </w:r>
            <w:r>
              <w:rPr>
                <w:rFonts w:ascii="宋体" w:hAnsi="宋体" w:cs="宋体" w:eastAsia="宋体" w:hint="default"/>
                <w:w w:val="99"/>
                <w:sz w:val="16"/>
                <w:szCs w:val="16"/>
              </w:rPr>
              <w:t> </w:t>
            </w:r>
            <w:r>
              <w:rPr>
                <w:rFonts w:ascii="宋体" w:hAnsi="宋体" w:cs="宋体" w:eastAsia="宋体" w:hint="default"/>
                <w:w w:val="95"/>
                <w:sz w:val="16"/>
                <w:szCs w:val="16"/>
              </w:rPr>
              <w:t>资本化金额</w:t>
            </w:r>
            <w:r>
              <w:rPr>
                <w:rFonts w:ascii="宋体" w:hAnsi="宋体" w:cs="宋体" w:eastAsia="宋体" w:hint="default"/>
                <w:sz w:val="16"/>
                <w:szCs w:val="16"/>
              </w:rPr>
            </w:r>
          </w:p>
        </w:tc>
        <w:tc>
          <w:tcPr>
            <w:tcW w:w="1541"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1"/>
                <w:szCs w:val="11"/>
              </w:rPr>
            </w:pPr>
          </w:p>
          <w:p>
            <w:pPr>
              <w:pStyle w:val="TableParagraph"/>
              <w:spacing w:line="240" w:lineRule="auto"/>
              <w:ind w:right="55"/>
              <w:jc w:val="right"/>
              <w:rPr>
                <w:rFonts w:ascii="宋体" w:hAnsi="宋体" w:cs="宋体" w:eastAsia="宋体" w:hint="default"/>
                <w:sz w:val="16"/>
                <w:szCs w:val="16"/>
              </w:rPr>
            </w:pPr>
            <w:r>
              <w:rPr>
                <w:rFonts w:ascii="宋体" w:hAnsi="宋体" w:cs="宋体" w:eastAsia="宋体" w:hint="default"/>
                <w:w w:val="95"/>
                <w:sz w:val="16"/>
                <w:szCs w:val="16"/>
              </w:rPr>
              <w:t>资金来源</w:t>
            </w:r>
            <w:r>
              <w:rPr>
                <w:rFonts w:ascii="宋体" w:hAnsi="宋体" w:cs="宋体" w:eastAsia="宋体" w:hint="default"/>
                <w:sz w:val="16"/>
                <w:szCs w:val="16"/>
              </w:rPr>
            </w:r>
          </w:p>
        </w:tc>
      </w:tr>
      <w:tr>
        <w:trPr>
          <w:trHeight w:val="227" w:hRule="exact"/>
        </w:trPr>
        <w:tc>
          <w:tcPr>
            <w:tcW w:w="4529" w:type="dxa"/>
            <w:tcBorders>
              <w:top w:val="single" w:sz="4" w:space="0" w:color="000000"/>
              <w:left w:val="nil" w:sz="6" w:space="0" w:color="auto"/>
              <w:bottom w:val="nil" w:sz="6" w:space="0" w:color="auto"/>
              <w:right w:val="nil" w:sz="6" w:space="0" w:color="auto"/>
            </w:tcBorders>
          </w:tcPr>
          <w:p>
            <w:pPr>
              <w:pStyle w:val="TableParagraph"/>
              <w:spacing w:line="199" w:lineRule="exact"/>
              <w:ind w:right="0"/>
              <w:jc w:val="left"/>
              <w:rPr>
                <w:rFonts w:ascii="宋体" w:hAnsi="宋体" w:cs="宋体" w:eastAsia="宋体" w:hint="default"/>
                <w:sz w:val="16"/>
                <w:szCs w:val="16"/>
              </w:rPr>
            </w:pPr>
            <w:r>
              <w:rPr>
                <w:rFonts w:ascii="Arial" w:hAnsi="Arial" w:cs="Arial" w:eastAsia="Arial" w:hint="default"/>
                <w:sz w:val="16"/>
                <w:szCs w:val="16"/>
              </w:rPr>
              <w:t>2019</w:t>
            </w:r>
            <w:r>
              <w:rPr>
                <w:rFonts w:ascii="Arial" w:hAnsi="Arial" w:cs="Arial" w:eastAsia="Arial" w:hint="default"/>
                <w:spacing w:val="-9"/>
                <w:sz w:val="16"/>
                <w:szCs w:val="16"/>
              </w:rPr>
              <w:t> </w:t>
            </w:r>
            <w:r>
              <w:rPr>
                <w:rFonts w:ascii="宋体" w:hAnsi="宋体" w:cs="宋体" w:eastAsia="宋体" w:hint="default"/>
                <w:sz w:val="16"/>
                <w:szCs w:val="16"/>
              </w:rPr>
              <w:t>年中国联通天津分公司</w:t>
            </w:r>
            <w:r>
              <w:rPr>
                <w:rFonts w:ascii="宋体" w:hAnsi="宋体" w:cs="宋体" w:eastAsia="宋体" w:hint="default"/>
                <w:spacing w:val="-43"/>
                <w:sz w:val="16"/>
                <w:szCs w:val="16"/>
              </w:rPr>
              <w:t> </w:t>
            </w:r>
            <w:r>
              <w:rPr>
                <w:rFonts w:ascii="Arial" w:hAnsi="Arial" w:cs="Arial" w:eastAsia="Arial" w:hint="default"/>
                <w:sz w:val="16"/>
                <w:szCs w:val="16"/>
              </w:rPr>
              <w:t>5G</w:t>
            </w:r>
            <w:r>
              <w:rPr>
                <w:rFonts w:ascii="Arial" w:hAnsi="Arial" w:cs="Arial" w:eastAsia="Arial" w:hint="default"/>
                <w:spacing w:val="-11"/>
                <w:sz w:val="16"/>
                <w:szCs w:val="16"/>
              </w:rPr>
              <w:t> </w:t>
            </w:r>
            <w:r>
              <w:rPr>
                <w:rFonts w:ascii="宋体" w:hAnsi="宋体" w:cs="宋体" w:eastAsia="宋体" w:hint="default"/>
                <w:sz w:val="16"/>
                <w:szCs w:val="16"/>
              </w:rPr>
              <w:t>规模试验网无线网工程</w:t>
            </w:r>
          </w:p>
        </w:tc>
        <w:tc>
          <w:tcPr>
            <w:tcW w:w="818" w:type="dxa"/>
            <w:tcBorders>
              <w:top w:val="single" w:sz="6" w:space="0" w:color="000000"/>
              <w:left w:val="nil" w:sz="6" w:space="0" w:color="auto"/>
              <w:bottom w:val="nil" w:sz="6" w:space="0" w:color="auto"/>
              <w:right w:val="nil" w:sz="6" w:space="0" w:color="auto"/>
            </w:tcBorders>
          </w:tcPr>
          <w:p>
            <w:pPr>
              <w:pStyle w:val="TableParagraph"/>
              <w:spacing w:line="240" w:lineRule="auto" w:before="27"/>
              <w:ind w:right="166"/>
              <w:jc w:val="right"/>
              <w:rPr>
                <w:rFonts w:ascii="Arial" w:hAnsi="Arial" w:cs="Arial" w:eastAsia="Arial" w:hint="default"/>
                <w:sz w:val="16"/>
                <w:szCs w:val="16"/>
              </w:rPr>
            </w:pPr>
            <w:r>
              <w:rPr>
                <w:rFonts w:ascii="Arial"/>
                <w:spacing w:val="-1"/>
                <w:w w:val="95"/>
                <w:sz w:val="16"/>
              </w:rPr>
              <w:t>442</w:t>
            </w:r>
            <w:r>
              <w:rPr>
                <w:rFonts w:ascii="Arial"/>
                <w:sz w:val="16"/>
              </w:rPr>
            </w:r>
          </w:p>
        </w:tc>
        <w:tc>
          <w:tcPr>
            <w:tcW w:w="1090" w:type="dxa"/>
            <w:tcBorders>
              <w:top w:val="single" w:sz="6" w:space="0" w:color="000000"/>
              <w:left w:val="nil" w:sz="6" w:space="0" w:color="auto"/>
              <w:bottom w:val="nil" w:sz="6" w:space="0" w:color="auto"/>
              <w:right w:val="nil" w:sz="6" w:space="0" w:color="auto"/>
            </w:tcBorders>
          </w:tcPr>
          <w:p>
            <w:pPr>
              <w:pStyle w:val="TableParagraph"/>
              <w:spacing w:line="240" w:lineRule="auto" w:before="27"/>
              <w:ind w:right="56"/>
              <w:jc w:val="right"/>
              <w:rPr>
                <w:rFonts w:ascii="Arial" w:hAnsi="Arial" w:cs="Arial" w:eastAsia="Arial" w:hint="default"/>
                <w:sz w:val="16"/>
                <w:szCs w:val="16"/>
              </w:rPr>
            </w:pPr>
            <w:r>
              <w:rPr>
                <w:rFonts w:ascii="Arial"/>
                <w:w w:val="98"/>
                <w:sz w:val="16"/>
              </w:rPr>
              <w:t>-</w:t>
            </w:r>
            <w:r>
              <w:rPr>
                <w:rFonts w:ascii="Arial"/>
                <w:sz w:val="16"/>
              </w:rPr>
            </w:r>
          </w:p>
        </w:tc>
        <w:tc>
          <w:tcPr>
            <w:tcW w:w="1142" w:type="dxa"/>
            <w:tcBorders>
              <w:top w:val="single" w:sz="6" w:space="0" w:color="000000"/>
              <w:left w:val="nil" w:sz="6" w:space="0" w:color="auto"/>
              <w:bottom w:val="nil" w:sz="6" w:space="0" w:color="auto"/>
              <w:right w:val="nil" w:sz="6" w:space="0" w:color="auto"/>
            </w:tcBorders>
          </w:tcPr>
          <w:p>
            <w:pPr>
              <w:pStyle w:val="TableParagraph"/>
              <w:spacing w:line="240" w:lineRule="auto" w:before="27"/>
              <w:ind w:right="65"/>
              <w:jc w:val="right"/>
              <w:rPr>
                <w:rFonts w:ascii="Arial" w:hAnsi="Arial" w:cs="Arial" w:eastAsia="Arial" w:hint="default"/>
                <w:sz w:val="16"/>
                <w:szCs w:val="16"/>
              </w:rPr>
            </w:pPr>
            <w:r>
              <w:rPr>
                <w:rFonts w:ascii="Arial"/>
                <w:w w:val="95"/>
                <w:sz w:val="16"/>
              </w:rPr>
              <w:t>394,202,218</w:t>
            </w:r>
            <w:r>
              <w:rPr>
                <w:rFonts w:ascii="Arial"/>
                <w:sz w:val="16"/>
              </w:rPr>
            </w:r>
          </w:p>
        </w:tc>
        <w:tc>
          <w:tcPr>
            <w:tcW w:w="1037" w:type="dxa"/>
            <w:tcBorders>
              <w:top w:val="single" w:sz="6" w:space="0" w:color="000000"/>
              <w:left w:val="nil" w:sz="6" w:space="0" w:color="auto"/>
              <w:bottom w:val="nil" w:sz="6" w:space="0" w:color="auto"/>
              <w:right w:val="nil" w:sz="6" w:space="0" w:color="auto"/>
            </w:tcBorders>
          </w:tcPr>
          <w:p>
            <w:pPr>
              <w:pStyle w:val="TableParagraph"/>
              <w:spacing w:line="240" w:lineRule="auto" w:before="27"/>
              <w:ind w:right="89"/>
              <w:jc w:val="right"/>
              <w:rPr>
                <w:rFonts w:ascii="Arial" w:hAnsi="Arial" w:cs="Arial" w:eastAsia="Arial" w:hint="default"/>
                <w:sz w:val="16"/>
                <w:szCs w:val="16"/>
              </w:rPr>
            </w:pPr>
            <w:r>
              <w:rPr>
                <w:rFonts w:ascii="Arial"/>
                <w:w w:val="98"/>
                <w:sz w:val="16"/>
              </w:rPr>
              <w:t>-</w:t>
            </w:r>
            <w:r>
              <w:rPr>
                <w:rFonts w:ascii="Arial"/>
                <w:sz w:val="16"/>
              </w:rPr>
            </w:r>
          </w:p>
        </w:tc>
        <w:tc>
          <w:tcPr>
            <w:tcW w:w="427" w:type="dxa"/>
            <w:tcBorders>
              <w:top w:val="single" w:sz="6" w:space="0" w:color="000000"/>
              <w:left w:val="nil" w:sz="6" w:space="0" w:color="auto"/>
              <w:bottom w:val="nil" w:sz="6" w:space="0" w:color="auto"/>
              <w:right w:val="nil" w:sz="6" w:space="0" w:color="auto"/>
            </w:tcBorders>
          </w:tcPr>
          <w:p>
            <w:pPr>
              <w:pStyle w:val="TableParagraph"/>
              <w:spacing w:line="240" w:lineRule="auto" w:before="3"/>
              <w:ind w:right="46"/>
              <w:jc w:val="right"/>
              <w:rPr>
                <w:rFonts w:ascii="Arial" w:hAnsi="Arial" w:cs="Arial" w:eastAsia="Arial" w:hint="default"/>
                <w:sz w:val="16"/>
                <w:szCs w:val="16"/>
              </w:rPr>
            </w:pPr>
            <w:r>
              <w:rPr>
                <w:rFonts w:ascii="Arial"/>
                <w:w w:val="98"/>
                <w:sz w:val="16"/>
              </w:rPr>
              <w:t>-</w:t>
            </w:r>
            <w:r>
              <w:rPr>
                <w:rFonts w:ascii="Arial"/>
                <w:sz w:val="16"/>
              </w:rPr>
            </w:r>
          </w:p>
        </w:tc>
        <w:tc>
          <w:tcPr>
            <w:tcW w:w="1114" w:type="dxa"/>
            <w:tcBorders>
              <w:top w:val="single" w:sz="6" w:space="0" w:color="000000"/>
              <w:left w:val="nil" w:sz="6" w:space="0" w:color="auto"/>
              <w:bottom w:val="nil" w:sz="6" w:space="0" w:color="auto"/>
              <w:right w:val="nil" w:sz="6" w:space="0" w:color="auto"/>
            </w:tcBorders>
          </w:tcPr>
          <w:p>
            <w:pPr>
              <w:pStyle w:val="TableParagraph"/>
              <w:spacing w:line="240" w:lineRule="auto" w:before="27"/>
              <w:ind w:right="55"/>
              <w:jc w:val="right"/>
              <w:rPr>
                <w:rFonts w:ascii="Arial" w:hAnsi="Arial" w:cs="Arial" w:eastAsia="Arial" w:hint="default"/>
                <w:sz w:val="16"/>
                <w:szCs w:val="16"/>
              </w:rPr>
            </w:pPr>
            <w:r>
              <w:rPr>
                <w:rFonts w:ascii="Arial"/>
                <w:w w:val="95"/>
                <w:sz w:val="16"/>
              </w:rPr>
              <w:t>394,202,218</w:t>
            </w:r>
            <w:r>
              <w:rPr>
                <w:rFonts w:ascii="Arial"/>
                <w:sz w:val="16"/>
              </w:rPr>
            </w:r>
          </w:p>
        </w:tc>
        <w:tc>
          <w:tcPr>
            <w:tcW w:w="744" w:type="dxa"/>
            <w:tcBorders>
              <w:top w:val="single" w:sz="6" w:space="0" w:color="000000"/>
              <w:left w:val="nil" w:sz="6" w:space="0" w:color="auto"/>
              <w:bottom w:val="nil" w:sz="6" w:space="0" w:color="auto"/>
              <w:right w:val="nil" w:sz="6" w:space="0" w:color="auto"/>
            </w:tcBorders>
          </w:tcPr>
          <w:p>
            <w:pPr>
              <w:pStyle w:val="TableParagraph"/>
              <w:spacing w:line="240" w:lineRule="auto" w:before="27"/>
              <w:ind w:right="20"/>
              <w:jc w:val="right"/>
              <w:rPr>
                <w:rFonts w:ascii="Arial" w:hAnsi="Arial" w:cs="Arial" w:eastAsia="Arial" w:hint="default"/>
                <w:sz w:val="16"/>
                <w:szCs w:val="16"/>
              </w:rPr>
            </w:pPr>
            <w:r>
              <w:rPr>
                <w:rFonts w:ascii="Arial"/>
                <w:w w:val="95"/>
                <w:sz w:val="16"/>
              </w:rPr>
              <w:t>89%</w:t>
            </w:r>
            <w:r>
              <w:rPr>
                <w:rFonts w:ascii="Arial"/>
                <w:sz w:val="16"/>
              </w:rPr>
            </w:r>
          </w:p>
        </w:tc>
        <w:tc>
          <w:tcPr>
            <w:tcW w:w="1106" w:type="dxa"/>
            <w:tcBorders>
              <w:top w:val="single" w:sz="6" w:space="0" w:color="000000"/>
              <w:left w:val="nil" w:sz="6" w:space="0" w:color="auto"/>
              <w:bottom w:val="nil" w:sz="6" w:space="0" w:color="auto"/>
              <w:right w:val="nil" w:sz="6" w:space="0" w:color="auto"/>
            </w:tcBorders>
          </w:tcPr>
          <w:p>
            <w:pPr>
              <w:pStyle w:val="TableParagraph"/>
              <w:spacing w:line="240" w:lineRule="auto" w:before="27"/>
              <w:ind w:right="38"/>
              <w:jc w:val="right"/>
              <w:rPr>
                <w:rFonts w:ascii="Arial" w:hAnsi="Arial" w:cs="Arial" w:eastAsia="Arial" w:hint="default"/>
                <w:sz w:val="16"/>
                <w:szCs w:val="16"/>
              </w:rPr>
            </w:pPr>
            <w:r>
              <w:rPr>
                <w:rFonts w:ascii="Arial"/>
                <w:w w:val="98"/>
                <w:sz w:val="16"/>
              </w:rPr>
              <w:t>-</w:t>
            </w:r>
            <w:r>
              <w:rPr>
                <w:rFonts w:ascii="Arial"/>
                <w:sz w:val="16"/>
              </w:rPr>
            </w:r>
          </w:p>
        </w:tc>
        <w:tc>
          <w:tcPr>
            <w:tcW w:w="890" w:type="dxa"/>
            <w:tcBorders>
              <w:top w:val="single" w:sz="6" w:space="0" w:color="000000"/>
              <w:left w:val="nil" w:sz="6" w:space="0" w:color="auto"/>
              <w:bottom w:val="nil" w:sz="6" w:space="0" w:color="auto"/>
              <w:right w:val="nil" w:sz="6" w:space="0" w:color="auto"/>
            </w:tcBorders>
          </w:tcPr>
          <w:p>
            <w:pPr>
              <w:pStyle w:val="TableParagraph"/>
              <w:spacing w:line="240" w:lineRule="auto" w:before="27"/>
              <w:ind w:right="31"/>
              <w:jc w:val="right"/>
              <w:rPr>
                <w:rFonts w:ascii="Arial" w:hAnsi="Arial" w:cs="Arial" w:eastAsia="Arial" w:hint="default"/>
                <w:sz w:val="16"/>
                <w:szCs w:val="16"/>
              </w:rPr>
            </w:pPr>
            <w:r>
              <w:rPr>
                <w:rFonts w:ascii="Arial"/>
                <w:w w:val="98"/>
                <w:sz w:val="16"/>
              </w:rPr>
              <w:t>-</w:t>
            </w:r>
            <w:r>
              <w:rPr>
                <w:rFonts w:ascii="Arial"/>
                <w:sz w:val="16"/>
              </w:rPr>
            </w:r>
          </w:p>
        </w:tc>
        <w:tc>
          <w:tcPr>
            <w:tcW w:w="1541" w:type="dxa"/>
            <w:tcBorders>
              <w:top w:val="single" w:sz="6" w:space="0" w:color="000000"/>
              <w:left w:val="nil" w:sz="6" w:space="0" w:color="auto"/>
              <w:bottom w:val="nil" w:sz="6" w:space="0" w:color="auto"/>
              <w:right w:val="nil" w:sz="6" w:space="0" w:color="auto"/>
            </w:tcBorders>
          </w:tcPr>
          <w:p>
            <w:pPr>
              <w:pStyle w:val="TableParagraph"/>
              <w:spacing w:line="186" w:lineRule="exact"/>
              <w:ind w:right="7"/>
              <w:jc w:val="right"/>
              <w:rPr>
                <w:rFonts w:ascii="宋体" w:hAnsi="宋体" w:cs="宋体" w:eastAsia="宋体" w:hint="default"/>
                <w:sz w:val="16"/>
                <w:szCs w:val="16"/>
              </w:rPr>
            </w:pPr>
            <w:r>
              <w:rPr>
                <w:rFonts w:ascii="宋体" w:hAnsi="宋体" w:cs="宋体" w:eastAsia="宋体" w:hint="default"/>
                <w:w w:val="95"/>
                <w:sz w:val="16"/>
                <w:szCs w:val="16"/>
              </w:rPr>
              <w:t>自筹资金、募集资金</w:t>
            </w:r>
            <w:r>
              <w:rPr>
                <w:rFonts w:ascii="宋体" w:hAnsi="宋体" w:cs="宋体" w:eastAsia="宋体" w:hint="default"/>
                <w:sz w:val="16"/>
                <w:szCs w:val="16"/>
              </w:rPr>
            </w:r>
          </w:p>
        </w:tc>
      </w:tr>
      <w:tr>
        <w:trPr>
          <w:trHeight w:val="206"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184" w:lineRule="exact"/>
              <w:ind w:right="0"/>
              <w:jc w:val="left"/>
              <w:rPr>
                <w:rFonts w:ascii="宋体" w:hAnsi="宋体" w:cs="宋体" w:eastAsia="宋体" w:hint="default"/>
                <w:sz w:val="16"/>
                <w:szCs w:val="16"/>
              </w:rPr>
            </w:pPr>
            <w:r>
              <w:rPr>
                <w:rFonts w:ascii="Arial" w:hAnsi="Arial" w:cs="Arial" w:eastAsia="Arial" w:hint="default"/>
                <w:sz w:val="16"/>
                <w:szCs w:val="16"/>
              </w:rPr>
              <w:t>2019</w:t>
            </w:r>
            <w:r>
              <w:rPr>
                <w:rFonts w:ascii="Arial" w:hAnsi="Arial" w:cs="Arial" w:eastAsia="Arial" w:hint="default"/>
                <w:spacing w:val="-9"/>
                <w:sz w:val="16"/>
                <w:szCs w:val="16"/>
              </w:rPr>
              <w:t> </w:t>
            </w:r>
            <w:r>
              <w:rPr>
                <w:rFonts w:ascii="宋体" w:hAnsi="宋体" w:cs="宋体" w:eastAsia="宋体" w:hint="default"/>
                <w:sz w:val="16"/>
                <w:szCs w:val="16"/>
              </w:rPr>
              <w:t>年中国联通广东</w:t>
            </w:r>
            <w:r>
              <w:rPr>
                <w:rFonts w:ascii="宋体" w:hAnsi="宋体" w:cs="宋体" w:eastAsia="宋体" w:hint="default"/>
                <w:spacing w:val="-47"/>
                <w:sz w:val="16"/>
                <w:szCs w:val="16"/>
              </w:rPr>
              <w:t> </w:t>
            </w:r>
            <w:r>
              <w:rPr>
                <w:rFonts w:ascii="Arial" w:hAnsi="Arial" w:cs="Arial" w:eastAsia="Arial" w:hint="default"/>
                <w:sz w:val="16"/>
                <w:szCs w:val="16"/>
              </w:rPr>
              <w:t>SD-OTN</w:t>
            </w:r>
            <w:r>
              <w:rPr>
                <w:rFonts w:ascii="Arial" w:hAnsi="Arial" w:cs="Arial" w:eastAsia="Arial" w:hint="default"/>
                <w:spacing w:val="-7"/>
                <w:sz w:val="16"/>
                <w:szCs w:val="16"/>
              </w:rPr>
              <w:t> </w:t>
            </w:r>
            <w:r>
              <w:rPr>
                <w:rFonts w:ascii="宋体" w:hAnsi="宋体" w:cs="宋体" w:eastAsia="宋体" w:hint="default"/>
                <w:sz w:val="16"/>
                <w:szCs w:val="16"/>
              </w:rPr>
              <w:t>政企精品网新建工程</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64"/>
              <w:jc w:val="right"/>
              <w:rPr>
                <w:rFonts w:ascii="Arial" w:hAnsi="Arial" w:cs="Arial" w:eastAsia="Arial" w:hint="default"/>
                <w:sz w:val="16"/>
                <w:szCs w:val="16"/>
              </w:rPr>
            </w:pPr>
            <w:r>
              <w:rPr>
                <w:rFonts w:ascii="Arial"/>
                <w:w w:val="95"/>
                <w:sz w:val="16"/>
              </w:rPr>
              <w:t>203</w:t>
            </w:r>
            <w:r>
              <w:rPr>
                <w:rFonts w:ascii="Arial"/>
                <w:sz w:val="16"/>
              </w:rPr>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6"/>
              <w:jc w:val="right"/>
              <w:rPr>
                <w:rFonts w:ascii="Arial" w:hAnsi="Arial" w:cs="Arial" w:eastAsia="Arial" w:hint="default"/>
                <w:sz w:val="16"/>
                <w:szCs w:val="16"/>
              </w:rPr>
            </w:pPr>
            <w:r>
              <w:rPr>
                <w:rFonts w:ascii="Arial"/>
                <w:w w:val="98"/>
                <w:sz w:val="16"/>
              </w:rPr>
              <w:t>-</w:t>
            </w:r>
            <w:r>
              <w:rPr>
                <w:rFonts w:ascii="Arial"/>
                <w:sz w:val="16"/>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65"/>
              <w:jc w:val="right"/>
              <w:rPr>
                <w:rFonts w:ascii="Arial" w:hAnsi="Arial" w:cs="Arial" w:eastAsia="Arial" w:hint="default"/>
                <w:sz w:val="16"/>
                <w:szCs w:val="16"/>
              </w:rPr>
            </w:pPr>
            <w:r>
              <w:rPr>
                <w:rFonts w:ascii="Arial"/>
                <w:w w:val="95"/>
                <w:sz w:val="16"/>
              </w:rPr>
              <w:t>199,566,453</w:t>
            </w:r>
            <w:r>
              <w:rPr>
                <w:rFonts w:ascii="Arial"/>
                <w:sz w:val="16"/>
              </w:rPr>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89"/>
              <w:jc w:val="right"/>
              <w:rPr>
                <w:rFonts w:ascii="Arial" w:hAnsi="Arial" w:cs="Arial" w:eastAsia="Arial" w:hint="default"/>
                <w:sz w:val="16"/>
                <w:szCs w:val="16"/>
              </w:rPr>
            </w:pPr>
            <w:r>
              <w:rPr>
                <w:rFonts w:ascii="Arial"/>
                <w:w w:val="98"/>
                <w:sz w:val="16"/>
              </w:rPr>
              <w:t>-</w:t>
            </w:r>
            <w:r>
              <w:rPr>
                <w:rFonts w:ascii="Arial"/>
                <w:sz w:val="16"/>
              </w:rPr>
            </w:r>
          </w:p>
        </w:tc>
        <w:tc>
          <w:tcPr>
            <w:tcW w:w="427" w:type="dxa"/>
            <w:tcBorders>
              <w:top w:val="nil" w:sz="6" w:space="0" w:color="auto"/>
              <w:left w:val="nil" w:sz="6" w:space="0" w:color="auto"/>
              <w:bottom w:val="nil" w:sz="6" w:space="0" w:color="auto"/>
              <w:right w:val="nil" w:sz="6" w:space="0" w:color="auto"/>
            </w:tcBorders>
          </w:tcPr>
          <w:p>
            <w:pPr>
              <w:pStyle w:val="TableParagraph"/>
              <w:spacing w:line="174" w:lineRule="exact"/>
              <w:ind w:right="46"/>
              <w:jc w:val="right"/>
              <w:rPr>
                <w:rFonts w:ascii="Arial" w:hAnsi="Arial" w:cs="Arial" w:eastAsia="Arial" w:hint="default"/>
                <w:sz w:val="16"/>
                <w:szCs w:val="16"/>
              </w:rPr>
            </w:pPr>
            <w:r>
              <w:rPr>
                <w:rFonts w:ascii="Arial"/>
                <w:w w:val="98"/>
                <w:sz w:val="16"/>
              </w:rPr>
              <w:t>-</w:t>
            </w:r>
            <w:r>
              <w:rPr>
                <w:rFonts w:ascii="Arial"/>
                <w:sz w:val="16"/>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5"/>
              <w:jc w:val="right"/>
              <w:rPr>
                <w:rFonts w:ascii="Arial" w:hAnsi="Arial" w:cs="Arial" w:eastAsia="Arial" w:hint="default"/>
                <w:sz w:val="16"/>
                <w:szCs w:val="16"/>
              </w:rPr>
            </w:pPr>
            <w:r>
              <w:rPr>
                <w:rFonts w:ascii="Arial"/>
                <w:w w:val="95"/>
                <w:sz w:val="16"/>
              </w:rPr>
              <w:t>199,566,453</w:t>
            </w:r>
            <w:r>
              <w:rPr>
                <w:rFonts w:ascii="Arial"/>
                <w:sz w:val="16"/>
              </w:rPr>
            </w:r>
          </w:p>
        </w:tc>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
              <w:jc w:val="right"/>
              <w:rPr>
                <w:rFonts w:ascii="Arial" w:hAnsi="Arial" w:cs="Arial" w:eastAsia="Arial" w:hint="default"/>
                <w:sz w:val="16"/>
                <w:szCs w:val="16"/>
              </w:rPr>
            </w:pPr>
            <w:r>
              <w:rPr>
                <w:rFonts w:ascii="Arial"/>
                <w:w w:val="95"/>
                <w:sz w:val="16"/>
              </w:rPr>
              <w:t>98%</w:t>
            </w:r>
            <w:r>
              <w:rPr>
                <w:rFonts w:ascii="Arial"/>
                <w:sz w:val="16"/>
              </w:rPr>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1"/>
              <w:jc w:val="right"/>
              <w:rPr>
                <w:rFonts w:ascii="Arial" w:hAnsi="Arial" w:cs="Arial" w:eastAsia="Arial" w:hint="default"/>
                <w:sz w:val="16"/>
                <w:szCs w:val="16"/>
              </w:rPr>
            </w:pPr>
            <w:r>
              <w:rPr>
                <w:rFonts w:ascii="Arial"/>
                <w:w w:val="95"/>
                <w:sz w:val="16"/>
              </w:rPr>
              <w:t>1,408,360</w:t>
            </w:r>
            <w:r>
              <w:rPr>
                <w:rFonts w:ascii="Arial"/>
                <w:sz w:val="16"/>
              </w:rPr>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4"/>
              <w:jc w:val="right"/>
              <w:rPr>
                <w:rFonts w:ascii="Arial" w:hAnsi="Arial" w:cs="Arial" w:eastAsia="Arial" w:hint="default"/>
                <w:sz w:val="16"/>
                <w:szCs w:val="16"/>
              </w:rPr>
            </w:pPr>
            <w:r>
              <w:rPr>
                <w:rFonts w:ascii="Arial"/>
                <w:w w:val="95"/>
                <w:sz w:val="16"/>
              </w:rPr>
              <w:t>1,408,360</w:t>
            </w:r>
            <w:r>
              <w:rPr>
                <w:rFonts w:ascii="Arial"/>
                <w:sz w:val="16"/>
              </w:rPr>
            </w:r>
          </w:p>
        </w:tc>
        <w:tc>
          <w:tcPr>
            <w:tcW w:w="1541" w:type="dxa"/>
            <w:tcBorders>
              <w:top w:val="nil" w:sz="6" w:space="0" w:color="auto"/>
              <w:left w:val="nil" w:sz="6" w:space="0" w:color="auto"/>
              <w:bottom w:val="nil" w:sz="6" w:space="0" w:color="auto"/>
              <w:right w:val="nil" w:sz="6" w:space="0" w:color="auto"/>
            </w:tcBorders>
          </w:tcPr>
          <w:p>
            <w:pPr>
              <w:pStyle w:val="TableParagraph"/>
              <w:spacing w:line="172" w:lineRule="exact"/>
              <w:ind w:right="7"/>
              <w:jc w:val="right"/>
              <w:rPr>
                <w:rFonts w:ascii="宋体" w:hAnsi="宋体" w:cs="宋体" w:eastAsia="宋体" w:hint="default"/>
                <w:sz w:val="16"/>
                <w:szCs w:val="16"/>
              </w:rPr>
            </w:pPr>
            <w:r>
              <w:rPr>
                <w:rFonts w:ascii="宋体" w:hAnsi="宋体" w:cs="宋体" w:eastAsia="宋体" w:hint="default"/>
                <w:w w:val="95"/>
                <w:sz w:val="16"/>
                <w:szCs w:val="16"/>
              </w:rPr>
              <w:t>自筹资金及借款</w:t>
            </w:r>
            <w:r>
              <w:rPr>
                <w:rFonts w:ascii="宋体" w:hAnsi="宋体" w:cs="宋体" w:eastAsia="宋体" w:hint="default"/>
                <w:sz w:val="16"/>
                <w:szCs w:val="16"/>
              </w:rPr>
            </w:r>
          </w:p>
        </w:tc>
      </w:tr>
      <w:tr>
        <w:trPr>
          <w:trHeight w:val="206"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184" w:lineRule="exact"/>
              <w:ind w:right="0"/>
              <w:jc w:val="left"/>
              <w:rPr>
                <w:rFonts w:ascii="宋体" w:hAnsi="宋体" w:cs="宋体" w:eastAsia="宋体" w:hint="default"/>
                <w:sz w:val="16"/>
                <w:szCs w:val="16"/>
              </w:rPr>
            </w:pPr>
            <w:r>
              <w:rPr>
                <w:rFonts w:ascii="Arial" w:hAnsi="Arial" w:cs="Arial" w:eastAsia="Arial" w:hint="default"/>
                <w:sz w:val="16"/>
                <w:szCs w:val="16"/>
              </w:rPr>
              <w:t>2019</w:t>
            </w:r>
            <w:r>
              <w:rPr>
                <w:rFonts w:ascii="Arial" w:hAnsi="Arial" w:cs="Arial" w:eastAsia="Arial" w:hint="default"/>
                <w:spacing w:val="-10"/>
                <w:sz w:val="16"/>
                <w:szCs w:val="16"/>
              </w:rPr>
              <w:t> </w:t>
            </w:r>
            <w:r>
              <w:rPr>
                <w:rFonts w:ascii="宋体" w:hAnsi="宋体" w:cs="宋体" w:eastAsia="宋体" w:hint="default"/>
                <w:sz w:val="16"/>
                <w:szCs w:val="16"/>
              </w:rPr>
              <w:t>年中国联通重庆市分公司</w:t>
            </w:r>
            <w:r>
              <w:rPr>
                <w:rFonts w:ascii="宋体" w:hAnsi="宋体" w:cs="宋体" w:eastAsia="宋体" w:hint="default"/>
                <w:spacing w:val="-45"/>
                <w:sz w:val="16"/>
                <w:szCs w:val="16"/>
              </w:rPr>
              <w:t> </w:t>
            </w:r>
            <w:r>
              <w:rPr>
                <w:rFonts w:ascii="Arial" w:hAnsi="Arial" w:cs="Arial" w:eastAsia="Arial" w:hint="default"/>
                <w:sz w:val="16"/>
                <w:szCs w:val="16"/>
              </w:rPr>
              <w:t>5G</w:t>
            </w:r>
            <w:r>
              <w:rPr>
                <w:rFonts w:ascii="Arial" w:hAnsi="Arial" w:cs="Arial" w:eastAsia="Arial" w:hint="default"/>
                <w:spacing w:val="-8"/>
                <w:sz w:val="16"/>
                <w:szCs w:val="16"/>
              </w:rPr>
              <w:t> </w:t>
            </w:r>
            <w:r>
              <w:rPr>
                <w:rFonts w:ascii="宋体" w:hAnsi="宋体" w:cs="宋体" w:eastAsia="宋体" w:hint="default"/>
                <w:sz w:val="16"/>
                <w:szCs w:val="16"/>
              </w:rPr>
              <w:t>规模试验网无线网专业项目</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64"/>
              <w:jc w:val="right"/>
              <w:rPr>
                <w:rFonts w:ascii="Arial" w:hAnsi="Arial" w:cs="Arial" w:eastAsia="Arial" w:hint="default"/>
                <w:sz w:val="16"/>
                <w:szCs w:val="16"/>
              </w:rPr>
            </w:pPr>
            <w:r>
              <w:rPr>
                <w:rFonts w:ascii="Arial"/>
                <w:w w:val="95"/>
                <w:sz w:val="16"/>
              </w:rPr>
              <w:t>327</w:t>
            </w:r>
            <w:r>
              <w:rPr>
                <w:rFonts w:ascii="Arial"/>
                <w:sz w:val="16"/>
              </w:rPr>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6"/>
              <w:jc w:val="right"/>
              <w:rPr>
                <w:rFonts w:ascii="Arial" w:hAnsi="Arial" w:cs="Arial" w:eastAsia="Arial" w:hint="default"/>
                <w:sz w:val="16"/>
                <w:szCs w:val="16"/>
              </w:rPr>
            </w:pPr>
            <w:r>
              <w:rPr>
                <w:rFonts w:ascii="Arial"/>
                <w:w w:val="98"/>
                <w:sz w:val="16"/>
              </w:rPr>
              <w:t>-</w:t>
            </w:r>
            <w:r>
              <w:rPr>
                <w:rFonts w:ascii="Arial"/>
                <w:sz w:val="16"/>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65"/>
              <w:jc w:val="right"/>
              <w:rPr>
                <w:rFonts w:ascii="Arial" w:hAnsi="Arial" w:cs="Arial" w:eastAsia="Arial" w:hint="default"/>
                <w:sz w:val="16"/>
                <w:szCs w:val="16"/>
              </w:rPr>
            </w:pPr>
            <w:r>
              <w:rPr>
                <w:rFonts w:ascii="Arial"/>
                <w:w w:val="95"/>
                <w:sz w:val="16"/>
              </w:rPr>
              <w:t>198,123,405</w:t>
            </w:r>
            <w:r>
              <w:rPr>
                <w:rFonts w:ascii="Arial"/>
                <w:sz w:val="16"/>
              </w:rPr>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89"/>
              <w:jc w:val="right"/>
              <w:rPr>
                <w:rFonts w:ascii="Arial" w:hAnsi="Arial" w:cs="Arial" w:eastAsia="Arial" w:hint="default"/>
                <w:sz w:val="16"/>
                <w:szCs w:val="16"/>
              </w:rPr>
            </w:pPr>
            <w:r>
              <w:rPr>
                <w:rFonts w:ascii="Arial"/>
                <w:w w:val="98"/>
                <w:sz w:val="16"/>
              </w:rPr>
              <w:t>-</w:t>
            </w:r>
            <w:r>
              <w:rPr>
                <w:rFonts w:ascii="Arial"/>
                <w:sz w:val="16"/>
              </w:rPr>
            </w:r>
          </w:p>
        </w:tc>
        <w:tc>
          <w:tcPr>
            <w:tcW w:w="427" w:type="dxa"/>
            <w:tcBorders>
              <w:top w:val="nil" w:sz="6" w:space="0" w:color="auto"/>
              <w:left w:val="nil" w:sz="6" w:space="0" w:color="auto"/>
              <w:bottom w:val="nil" w:sz="6" w:space="0" w:color="auto"/>
              <w:right w:val="nil" w:sz="6" w:space="0" w:color="auto"/>
            </w:tcBorders>
          </w:tcPr>
          <w:p>
            <w:pPr>
              <w:pStyle w:val="TableParagraph"/>
              <w:spacing w:line="174" w:lineRule="exact"/>
              <w:ind w:right="46"/>
              <w:jc w:val="right"/>
              <w:rPr>
                <w:rFonts w:ascii="Arial" w:hAnsi="Arial" w:cs="Arial" w:eastAsia="Arial" w:hint="default"/>
                <w:sz w:val="16"/>
                <w:szCs w:val="16"/>
              </w:rPr>
            </w:pPr>
            <w:r>
              <w:rPr>
                <w:rFonts w:ascii="Arial"/>
                <w:w w:val="98"/>
                <w:sz w:val="16"/>
              </w:rPr>
              <w:t>-</w:t>
            </w:r>
            <w:r>
              <w:rPr>
                <w:rFonts w:ascii="Arial"/>
                <w:sz w:val="16"/>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5"/>
              <w:jc w:val="right"/>
              <w:rPr>
                <w:rFonts w:ascii="Arial" w:hAnsi="Arial" w:cs="Arial" w:eastAsia="Arial" w:hint="default"/>
                <w:sz w:val="16"/>
                <w:szCs w:val="16"/>
              </w:rPr>
            </w:pPr>
            <w:r>
              <w:rPr>
                <w:rFonts w:ascii="Arial"/>
                <w:w w:val="95"/>
                <w:sz w:val="16"/>
              </w:rPr>
              <w:t>198,123,405</w:t>
            </w:r>
            <w:r>
              <w:rPr>
                <w:rFonts w:ascii="Arial"/>
                <w:sz w:val="16"/>
              </w:rPr>
            </w:r>
          </w:p>
        </w:tc>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
              <w:jc w:val="right"/>
              <w:rPr>
                <w:rFonts w:ascii="Arial" w:hAnsi="Arial" w:cs="Arial" w:eastAsia="Arial" w:hint="default"/>
                <w:sz w:val="16"/>
                <w:szCs w:val="16"/>
              </w:rPr>
            </w:pPr>
            <w:r>
              <w:rPr>
                <w:rFonts w:ascii="Arial"/>
                <w:w w:val="95"/>
                <w:sz w:val="16"/>
              </w:rPr>
              <w:t>61%</w:t>
            </w:r>
            <w:r>
              <w:rPr>
                <w:rFonts w:ascii="Arial"/>
                <w:sz w:val="16"/>
              </w:rPr>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8"/>
              <w:jc w:val="right"/>
              <w:rPr>
                <w:rFonts w:ascii="Arial" w:hAnsi="Arial" w:cs="Arial" w:eastAsia="Arial" w:hint="default"/>
                <w:sz w:val="16"/>
                <w:szCs w:val="16"/>
              </w:rPr>
            </w:pPr>
            <w:r>
              <w:rPr>
                <w:rFonts w:ascii="Arial"/>
                <w:w w:val="98"/>
                <w:sz w:val="16"/>
              </w:rPr>
              <w:t>-</w:t>
            </w:r>
            <w:r>
              <w:rPr>
                <w:rFonts w:ascii="Arial"/>
                <w:sz w:val="16"/>
              </w:rPr>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1"/>
              <w:jc w:val="right"/>
              <w:rPr>
                <w:rFonts w:ascii="Arial" w:hAnsi="Arial" w:cs="Arial" w:eastAsia="Arial" w:hint="default"/>
                <w:sz w:val="16"/>
                <w:szCs w:val="16"/>
              </w:rPr>
            </w:pPr>
            <w:r>
              <w:rPr>
                <w:rFonts w:ascii="Arial"/>
                <w:w w:val="98"/>
                <w:sz w:val="16"/>
              </w:rPr>
              <w:t>-</w:t>
            </w:r>
            <w:r>
              <w:rPr>
                <w:rFonts w:ascii="Arial"/>
                <w:sz w:val="16"/>
              </w:rPr>
            </w:r>
          </w:p>
        </w:tc>
        <w:tc>
          <w:tcPr>
            <w:tcW w:w="1541" w:type="dxa"/>
            <w:tcBorders>
              <w:top w:val="nil" w:sz="6" w:space="0" w:color="auto"/>
              <w:left w:val="nil" w:sz="6" w:space="0" w:color="auto"/>
              <w:bottom w:val="nil" w:sz="6" w:space="0" w:color="auto"/>
              <w:right w:val="nil" w:sz="6" w:space="0" w:color="auto"/>
            </w:tcBorders>
          </w:tcPr>
          <w:p>
            <w:pPr>
              <w:pStyle w:val="TableParagraph"/>
              <w:spacing w:line="172" w:lineRule="exact"/>
              <w:ind w:right="7"/>
              <w:jc w:val="right"/>
              <w:rPr>
                <w:rFonts w:ascii="宋体" w:hAnsi="宋体" w:cs="宋体" w:eastAsia="宋体" w:hint="default"/>
                <w:sz w:val="16"/>
                <w:szCs w:val="16"/>
              </w:rPr>
            </w:pPr>
            <w:r>
              <w:rPr>
                <w:rFonts w:ascii="宋体" w:hAnsi="宋体" w:cs="宋体" w:eastAsia="宋体" w:hint="default"/>
                <w:w w:val="95"/>
                <w:sz w:val="16"/>
                <w:szCs w:val="16"/>
              </w:rPr>
              <w:t>自筹资金、募集资金</w:t>
            </w:r>
            <w:r>
              <w:rPr>
                <w:rFonts w:ascii="宋体" w:hAnsi="宋体" w:cs="宋体" w:eastAsia="宋体" w:hint="default"/>
                <w:sz w:val="16"/>
                <w:szCs w:val="16"/>
              </w:rPr>
            </w:r>
          </w:p>
        </w:tc>
      </w:tr>
      <w:tr>
        <w:trPr>
          <w:trHeight w:val="209"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184" w:lineRule="exact"/>
              <w:ind w:right="0"/>
              <w:jc w:val="left"/>
              <w:rPr>
                <w:rFonts w:ascii="宋体" w:hAnsi="宋体" w:cs="宋体" w:eastAsia="宋体" w:hint="default"/>
                <w:sz w:val="16"/>
                <w:szCs w:val="16"/>
              </w:rPr>
            </w:pPr>
            <w:r>
              <w:rPr>
                <w:rFonts w:ascii="Arial" w:hAnsi="Arial" w:cs="Arial" w:eastAsia="Arial" w:hint="default"/>
                <w:sz w:val="16"/>
                <w:szCs w:val="16"/>
              </w:rPr>
              <w:t>2016</w:t>
            </w:r>
            <w:r>
              <w:rPr>
                <w:rFonts w:ascii="Arial" w:hAnsi="Arial" w:cs="Arial" w:eastAsia="Arial" w:hint="default"/>
                <w:spacing w:val="-18"/>
                <w:sz w:val="16"/>
                <w:szCs w:val="16"/>
              </w:rPr>
              <w:t> </w:t>
            </w:r>
            <w:r>
              <w:rPr>
                <w:rFonts w:ascii="宋体" w:hAnsi="宋体" w:cs="宋体" w:eastAsia="宋体" w:hint="default"/>
                <w:sz w:val="16"/>
                <w:szCs w:val="16"/>
              </w:rPr>
              <w:t>年中国通上海浦江数据中心和核心机房新建工程</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66"/>
              <w:jc w:val="right"/>
              <w:rPr>
                <w:rFonts w:ascii="Arial" w:hAnsi="Arial" w:cs="Arial" w:eastAsia="Arial" w:hint="default"/>
                <w:sz w:val="16"/>
                <w:szCs w:val="16"/>
              </w:rPr>
            </w:pPr>
            <w:r>
              <w:rPr>
                <w:rFonts w:ascii="Arial"/>
                <w:spacing w:val="-1"/>
                <w:w w:val="95"/>
                <w:sz w:val="16"/>
              </w:rPr>
              <w:t>1,287</w:t>
            </w:r>
            <w:r>
              <w:rPr>
                <w:rFonts w:ascii="Arial"/>
                <w:sz w:val="16"/>
              </w:rPr>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61"/>
              <w:jc w:val="right"/>
              <w:rPr>
                <w:rFonts w:ascii="Arial" w:hAnsi="Arial" w:cs="Arial" w:eastAsia="Arial" w:hint="default"/>
                <w:sz w:val="16"/>
                <w:szCs w:val="16"/>
              </w:rPr>
            </w:pPr>
            <w:r>
              <w:rPr>
                <w:rFonts w:ascii="Arial"/>
                <w:w w:val="95"/>
                <w:sz w:val="16"/>
              </w:rPr>
              <w:t>271,164,563</w:t>
            </w:r>
            <w:r>
              <w:rPr>
                <w:rFonts w:ascii="Arial"/>
                <w:sz w:val="16"/>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65"/>
              <w:jc w:val="right"/>
              <w:rPr>
                <w:rFonts w:ascii="Arial" w:hAnsi="Arial" w:cs="Arial" w:eastAsia="Arial" w:hint="default"/>
                <w:sz w:val="16"/>
                <w:szCs w:val="16"/>
              </w:rPr>
            </w:pPr>
            <w:r>
              <w:rPr>
                <w:rFonts w:ascii="Arial"/>
                <w:w w:val="95"/>
                <w:sz w:val="16"/>
              </w:rPr>
              <w:t>160,013,505</w:t>
            </w:r>
            <w:r>
              <w:rPr>
                <w:rFonts w:ascii="Arial"/>
                <w:sz w:val="16"/>
              </w:rPr>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94"/>
              <w:jc w:val="right"/>
              <w:rPr>
                <w:rFonts w:ascii="Arial" w:hAnsi="Arial" w:cs="Arial" w:eastAsia="Arial" w:hint="default"/>
                <w:sz w:val="16"/>
                <w:szCs w:val="16"/>
              </w:rPr>
            </w:pPr>
            <w:r>
              <w:rPr>
                <w:rFonts w:ascii="Arial"/>
                <w:w w:val="95"/>
                <w:sz w:val="16"/>
              </w:rPr>
              <w:t>222,111,500</w:t>
            </w:r>
            <w:r>
              <w:rPr>
                <w:rFonts w:ascii="Arial"/>
                <w:sz w:val="16"/>
              </w:rPr>
            </w:r>
          </w:p>
        </w:tc>
        <w:tc>
          <w:tcPr>
            <w:tcW w:w="427" w:type="dxa"/>
            <w:tcBorders>
              <w:top w:val="nil" w:sz="6" w:space="0" w:color="auto"/>
              <w:left w:val="nil" w:sz="6" w:space="0" w:color="auto"/>
              <w:bottom w:val="nil" w:sz="6" w:space="0" w:color="auto"/>
              <w:right w:val="nil" w:sz="6" w:space="0" w:color="auto"/>
            </w:tcBorders>
          </w:tcPr>
          <w:p>
            <w:pPr>
              <w:pStyle w:val="TableParagraph"/>
              <w:spacing w:line="174" w:lineRule="exact"/>
              <w:ind w:right="46"/>
              <w:jc w:val="right"/>
              <w:rPr>
                <w:rFonts w:ascii="Arial" w:hAnsi="Arial" w:cs="Arial" w:eastAsia="Arial" w:hint="default"/>
                <w:sz w:val="16"/>
                <w:szCs w:val="16"/>
              </w:rPr>
            </w:pPr>
            <w:r>
              <w:rPr>
                <w:rFonts w:ascii="Arial"/>
                <w:w w:val="98"/>
                <w:sz w:val="16"/>
              </w:rPr>
              <w:t>-</w:t>
            </w:r>
            <w:r>
              <w:rPr>
                <w:rFonts w:ascii="Arial"/>
                <w:sz w:val="16"/>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3"/>
              <w:jc w:val="right"/>
              <w:rPr>
                <w:rFonts w:ascii="Arial" w:hAnsi="Arial" w:cs="Arial" w:eastAsia="Arial" w:hint="default"/>
                <w:sz w:val="16"/>
                <w:szCs w:val="16"/>
              </w:rPr>
            </w:pPr>
            <w:r>
              <w:rPr>
                <w:rFonts w:ascii="Arial"/>
                <w:w w:val="95"/>
                <w:sz w:val="16"/>
              </w:rPr>
              <w:t>209,066,568</w:t>
            </w:r>
            <w:r>
              <w:rPr>
                <w:rFonts w:ascii="Arial"/>
                <w:sz w:val="16"/>
              </w:rPr>
            </w:r>
          </w:p>
        </w:tc>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
              <w:jc w:val="right"/>
              <w:rPr>
                <w:rFonts w:ascii="Arial" w:hAnsi="Arial" w:cs="Arial" w:eastAsia="Arial" w:hint="default"/>
                <w:sz w:val="16"/>
                <w:szCs w:val="16"/>
              </w:rPr>
            </w:pPr>
            <w:r>
              <w:rPr>
                <w:rFonts w:ascii="Arial"/>
                <w:w w:val="95"/>
                <w:sz w:val="16"/>
              </w:rPr>
              <w:t>89%</w:t>
            </w:r>
            <w:r>
              <w:rPr>
                <w:rFonts w:ascii="Arial"/>
                <w:sz w:val="16"/>
              </w:rPr>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1"/>
              <w:jc w:val="right"/>
              <w:rPr>
                <w:rFonts w:ascii="Arial" w:hAnsi="Arial" w:cs="Arial" w:eastAsia="Arial" w:hint="default"/>
                <w:sz w:val="16"/>
                <w:szCs w:val="16"/>
              </w:rPr>
            </w:pPr>
            <w:r>
              <w:rPr>
                <w:rFonts w:ascii="Arial"/>
                <w:w w:val="95"/>
                <w:sz w:val="16"/>
              </w:rPr>
              <w:t>4,137,816</w:t>
            </w:r>
            <w:r>
              <w:rPr>
                <w:rFonts w:ascii="Arial"/>
                <w:sz w:val="16"/>
              </w:rPr>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4"/>
              <w:jc w:val="right"/>
              <w:rPr>
                <w:rFonts w:ascii="Arial" w:hAnsi="Arial" w:cs="Arial" w:eastAsia="Arial" w:hint="default"/>
                <w:sz w:val="16"/>
                <w:szCs w:val="16"/>
              </w:rPr>
            </w:pPr>
            <w:r>
              <w:rPr>
                <w:rFonts w:ascii="Arial"/>
                <w:w w:val="95"/>
                <w:sz w:val="16"/>
              </w:rPr>
              <w:t>2,661,477</w:t>
            </w:r>
            <w:r>
              <w:rPr>
                <w:rFonts w:ascii="Arial"/>
                <w:sz w:val="16"/>
              </w:rPr>
            </w:r>
          </w:p>
        </w:tc>
        <w:tc>
          <w:tcPr>
            <w:tcW w:w="1541" w:type="dxa"/>
            <w:tcBorders>
              <w:top w:val="nil" w:sz="6" w:space="0" w:color="auto"/>
              <w:left w:val="nil" w:sz="6" w:space="0" w:color="auto"/>
              <w:bottom w:val="nil" w:sz="6" w:space="0" w:color="auto"/>
              <w:right w:val="nil" w:sz="6" w:space="0" w:color="auto"/>
            </w:tcBorders>
          </w:tcPr>
          <w:p>
            <w:pPr>
              <w:pStyle w:val="TableParagraph"/>
              <w:spacing w:line="172" w:lineRule="exact"/>
              <w:ind w:right="7"/>
              <w:jc w:val="right"/>
              <w:rPr>
                <w:rFonts w:ascii="宋体" w:hAnsi="宋体" w:cs="宋体" w:eastAsia="宋体" w:hint="default"/>
                <w:sz w:val="16"/>
                <w:szCs w:val="16"/>
              </w:rPr>
            </w:pPr>
            <w:r>
              <w:rPr>
                <w:rFonts w:ascii="宋体" w:hAnsi="宋体" w:cs="宋体" w:eastAsia="宋体" w:hint="default"/>
                <w:w w:val="95"/>
                <w:sz w:val="16"/>
                <w:szCs w:val="16"/>
              </w:rPr>
              <w:t>自筹资金及借款</w:t>
            </w:r>
            <w:r>
              <w:rPr>
                <w:rFonts w:ascii="宋体" w:hAnsi="宋体" w:cs="宋体" w:eastAsia="宋体" w:hint="default"/>
                <w:sz w:val="16"/>
                <w:szCs w:val="16"/>
              </w:rPr>
            </w:r>
          </w:p>
        </w:tc>
      </w:tr>
      <w:tr>
        <w:trPr>
          <w:trHeight w:val="206"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186" w:lineRule="exact"/>
              <w:ind w:right="0"/>
              <w:jc w:val="left"/>
              <w:rPr>
                <w:rFonts w:ascii="宋体" w:hAnsi="宋体" w:cs="宋体" w:eastAsia="宋体" w:hint="default"/>
                <w:sz w:val="16"/>
                <w:szCs w:val="16"/>
              </w:rPr>
            </w:pPr>
            <w:r>
              <w:rPr>
                <w:rFonts w:ascii="Arial" w:hAnsi="Arial" w:cs="Arial" w:eastAsia="Arial" w:hint="default"/>
                <w:sz w:val="16"/>
                <w:szCs w:val="16"/>
              </w:rPr>
              <w:t>2019</w:t>
            </w:r>
            <w:r>
              <w:rPr>
                <w:rFonts w:ascii="Arial" w:hAnsi="Arial" w:cs="Arial" w:eastAsia="Arial" w:hint="default"/>
                <w:spacing w:val="-18"/>
                <w:sz w:val="16"/>
                <w:szCs w:val="16"/>
              </w:rPr>
              <w:t> </w:t>
            </w:r>
            <w:r>
              <w:rPr>
                <w:rFonts w:ascii="宋体" w:hAnsi="宋体" w:cs="宋体" w:eastAsia="宋体" w:hint="default"/>
                <w:sz w:val="16"/>
                <w:szCs w:val="16"/>
              </w:rPr>
              <w:t>年中国联通国际环球中心机房客户配套扩容工程</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4"/>
              <w:jc w:val="right"/>
              <w:rPr>
                <w:rFonts w:ascii="Arial" w:hAnsi="Arial" w:cs="Arial" w:eastAsia="Arial" w:hint="default"/>
                <w:sz w:val="16"/>
                <w:szCs w:val="16"/>
              </w:rPr>
            </w:pPr>
            <w:r>
              <w:rPr>
                <w:rFonts w:ascii="Arial"/>
                <w:w w:val="95"/>
                <w:sz w:val="16"/>
              </w:rPr>
              <w:t>172</w:t>
            </w:r>
            <w:r>
              <w:rPr>
                <w:rFonts w:ascii="Arial"/>
                <w:sz w:val="16"/>
              </w:rPr>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6"/>
              <w:jc w:val="right"/>
              <w:rPr>
                <w:rFonts w:ascii="Arial" w:hAnsi="Arial" w:cs="Arial" w:eastAsia="Arial" w:hint="default"/>
                <w:sz w:val="16"/>
                <w:szCs w:val="16"/>
              </w:rPr>
            </w:pPr>
            <w:r>
              <w:rPr>
                <w:rFonts w:ascii="Arial"/>
                <w:w w:val="98"/>
                <w:sz w:val="16"/>
              </w:rPr>
              <w:t>-</w:t>
            </w:r>
            <w:r>
              <w:rPr>
                <w:rFonts w:ascii="Arial"/>
                <w:sz w:val="16"/>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5"/>
              <w:jc w:val="right"/>
              <w:rPr>
                <w:rFonts w:ascii="Arial" w:hAnsi="Arial" w:cs="Arial" w:eastAsia="Arial" w:hint="default"/>
                <w:sz w:val="16"/>
                <w:szCs w:val="16"/>
              </w:rPr>
            </w:pPr>
            <w:r>
              <w:rPr>
                <w:rFonts w:ascii="Arial"/>
                <w:w w:val="95"/>
                <w:sz w:val="16"/>
              </w:rPr>
              <w:t>156,428,955</w:t>
            </w:r>
            <w:r>
              <w:rPr>
                <w:rFonts w:ascii="Arial"/>
                <w:sz w:val="16"/>
              </w:rPr>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89"/>
              <w:jc w:val="right"/>
              <w:rPr>
                <w:rFonts w:ascii="Arial" w:hAnsi="Arial" w:cs="Arial" w:eastAsia="Arial" w:hint="default"/>
                <w:sz w:val="16"/>
                <w:szCs w:val="16"/>
              </w:rPr>
            </w:pPr>
            <w:r>
              <w:rPr>
                <w:rFonts w:ascii="Arial"/>
                <w:w w:val="98"/>
                <w:sz w:val="16"/>
              </w:rPr>
              <w:t>-</w:t>
            </w:r>
            <w:r>
              <w:rPr>
                <w:rFonts w:ascii="Arial"/>
                <w:sz w:val="16"/>
              </w:rPr>
            </w:r>
          </w:p>
        </w:tc>
        <w:tc>
          <w:tcPr>
            <w:tcW w:w="427" w:type="dxa"/>
            <w:tcBorders>
              <w:top w:val="nil" w:sz="6" w:space="0" w:color="auto"/>
              <w:left w:val="nil" w:sz="6" w:space="0" w:color="auto"/>
              <w:bottom w:val="nil" w:sz="6" w:space="0" w:color="auto"/>
              <w:right w:val="nil" w:sz="6" w:space="0" w:color="auto"/>
            </w:tcBorders>
          </w:tcPr>
          <w:p>
            <w:pPr>
              <w:pStyle w:val="TableParagraph"/>
              <w:spacing w:line="177" w:lineRule="exact"/>
              <w:ind w:right="46"/>
              <w:jc w:val="right"/>
              <w:rPr>
                <w:rFonts w:ascii="Arial" w:hAnsi="Arial" w:cs="Arial" w:eastAsia="Arial" w:hint="default"/>
                <w:sz w:val="16"/>
                <w:szCs w:val="16"/>
              </w:rPr>
            </w:pPr>
            <w:r>
              <w:rPr>
                <w:rFonts w:ascii="Arial"/>
                <w:w w:val="98"/>
                <w:sz w:val="16"/>
              </w:rPr>
              <w:t>-</w:t>
            </w:r>
            <w:r>
              <w:rPr>
                <w:rFonts w:ascii="Arial"/>
                <w:sz w:val="16"/>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5"/>
              <w:jc w:val="right"/>
              <w:rPr>
                <w:rFonts w:ascii="Arial" w:hAnsi="Arial" w:cs="Arial" w:eastAsia="Arial" w:hint="default"/>
                <w:sz w:val="16"/>
                <w:szCs w:val="16"/>
              </w:rPr>
            </w:pPr>
            <w:r>
              <w:rPr>
                <w:rFonts w:ascii="Arial"/>
                <w:w w:val="95"/>
                <w:sz w:val="16"/>
              </w:rPr>
              <w:t>156,428,955</w:t>
            </w:r>
            <w:r>
              <w:rPr>
                <w:rFonts w:ascii="Arial"/>
                <w:sz w:val="16"/>
              </w:rPr>
            </w:r>
          </w:p>
        </w:tc>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0"/>
              <w:jc w:val="right"/>
              <w:rPr>
                <w:rFonts w:ascii="Arial" w:hAnsi="Arial" w:cs="Arial" w:eastAsia="Arial" w:hint="default"/>
                <w:sz w:val="16"/>
                <w:szCs w:val="16"/>
              </w:rPr>
            </w:pPr>
            <w:r>
              <w:rPr>
                <w:rFonts w:ascii="Arial"/>
                <w:w w:val="95"/>
                <w:sz w:val="16"/>
              </w:rPr>
              <w:t>91%</w:t>
            </w:r>
            <w:r>
              <w:rPr>
                <w:rFonts w:ascii="Arial"/>
                <w:sz w:val="16"/>
              </w:rPr>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8"/>
              <w:jc w:val="right"/>
              <w:rPr>
                <w:rFonts w:ascii="Arial" w:hAnsi="Arial" w:cs="Arial" w:eastAsia="Arial" w:hint="default"/>
                <w:sz w:val="16"/>
                <w:szCs w:val="16"/>
              </w:rPr>
            </w:pPr>
            <w:r>
              <w:rPr>
                <w:rFonts w:ascii="Arial"/>
                <w:w w:val="98"/>
                <w:sz w:val="16"/>
              </w:rPr>
              <w:t>-</w:t>
            </w:r>
            <w:r>
              <w:rPr>
                <w:rFonts w:ascii="Arial"/>
                <w:sz w:val="16"/>
              </w:rPr>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1"/>
              <w:jc w:val="right"/>
              <w:rPr>
                <w:rFonts w:ascii="Arial" w:hAnsi="Arial" w:cs="Arial" w:eastAsia="Arial" w:hint="default"/>
                <w:sz w:val="16"/>
                <w:szCs w:val="16"/>
              </w:rPr>
            </w:pPr>
            <w:r>
              <w:rPr>
                <w:rFonts w:ascii="Arial"/>
                <w:w w:val="98"/>
                <w:sz w:val="16"/>
              </w:rPr>
              <w:t>-</w:t>
            </w:r>
            <w:r>
              <w:rPr>
                <w:rFonts w:ascii="Arial"/>
                <w:sz w:val="16"/>
              </w:rPr>
            </w:r>
          </w:p>
        </w:tc>
        <w:tc>
          <w:tcPr>
            <w:tcW w:w="1541" w:type="dxa"/>
            <w:tcBorders>
              <w:top w:val="nil" w:sz="6" w:space="0" w:color="auto"/>
              <w:left w:val="nil" w:sz="6" w:space="0" w:color="auto"/>
              <w:bottom w:val="nil" w:sz="6" w:space="0" w:color="auto"/>
              <w:right w:val="nil" w:sz="6" w:space="0" w:color="auto"/>
            </w:tcBorders>
          </w:tcPr>
          <w:p>
            <w:pPr>
              <w:pStyle w:val="TableParagraph"/>
              <w:spacing w:line="175" w:lineRule="exact"/>
              <w:ind w:right="7"/>
              <w:jc w:val="right"/>
              <w:rPr>
                <w:rFonts w:ascii="宋体" w:hAnsi="宋体" w:cs="宋体" w:eastAsia="宋体" w:hint="default"/>
                <w:sz w:val="16"/>
                <w:szCs w:val="16"/>
              </w:rPr>
            </w:pPr>
            <w:r>
              <w:rPr>
                <w:rFonts w:ascii="宋体" w:hAnsi="宋体" w:cs="宋体" w:eastAsia="宋体" w:hint="default"/>
                <w:w w:val="95"/>
                <w:sz w:val="16"/>
                <w:szCs w:val="16"/>
              </w:rPr>
              <w:t>自筹资金</w:t>
            </w:r>
            <w:r>
              <w:rPr>
                <w:rFonts w:ascii="宋体" w:hAnsi="宋体" w:cs="宋体" w:eastAsia="宋体" w:hint="default"/>
                <w:sz w:val="16"/>
                <w:szCs w:val="16"/>
              </w:rPr>
            </w:r>
          </w:p>
        </w:tc>
      </w:tr>
      <w:tr>
        <w:trPr>
          <w:trHeight w:val="209"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186" w:lineRule="exact"/>
              <w:ind w:right="0"/>
              <w:jc w:val="left"/>
              <w:rPr>
                <w:rFonts w:ascii="宋体" w:hAnsi="宋体" w:cs="宋体" w:eastAsia="宋体" w:hint="default"/>
                <w:sz w:val="16"/>
                <w:szCs w:val="16"/>
              </w:rPr>
            </w:pPr>
            <w:r>
              <w:rPr>
                <w:rFonts w:ascii="Arial" w:hAnsi="Arial" w:cs="Arial" w:eastAsia="Arial" w:hint="default"/>
                <w:sz w:val="16"/>
                <w:szCs w:val="16"/>
              </w:rPr>
              <w:t>2019</w:t>
            </w:r>
            <w:r>
              <w:rPr>
                <w:rFonts w:ascii="Arial" w:hAnsi="Arial" w:cs="Arial" w:eastAsia="Arial" w:hint="default"/>
                <w:spacing w:val="-16"/>
                <w:sz w:val="16"/>
                <w:szCs w:val="16"/>
              </w:rPr>
              <w:t> </w:t>
            </w:r>
            <w:r>
              <w:rPr>
                <w:rFonts w:ascii="宋体" w:hAnsi="宋体" w:cs="宋体" w:eastAsia="宋体" w:hint="default"/>
                <w:sz w:val="16"/>
                <w:szCs w:val="16"/>
              </w:rPr>
              <w:t>年中国联通鞍山市公安局智慧大交通购置项目</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64"/>
              <w:jc w:val="right"/>
              <w:rPr>
                <w:rFonts w:ascii="Arial" w:hAnsi="Arial" w:cs="Arial" w:eastAsia="Arial" w:hint="default"/>
                <w:sz w:val="16"/>
                <w:szCs w:val="16"/>
              </w:rPr>
            </w:pPr>
            <w:r>
              <w:rPr>
                <w:rFonts w:ascii="Arial"/>
                <w:w w:val="95"/>
                <w:sz w:val="16"/>
              </w:rPr>
              <w:t>180</w:t>
            </w:r>
            <w:r>
              <w:rPr>
                <w:rFonts w:ascii="Arial"/>
                <w:sz w:val="16"/>
              </w:rPr>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6"/>
              <w:jc w:val="right"/>
              <w:rPr>
                <w:rFonts w:ascii="Arial" w:hAnsi="Arial" w:cs="Arial" w:eastAsia="Arial" w:hint="default"/>
                <w:sz w:val="16"/>
                <w:szCs w:val="16"/>
              </w:rPr>
            </w:pPr>
            <w:r>
              <w:rPr>
                <w:rFonts w:ascii="Arial"/>
                <w:w w:val="98"/>
                <w:sz w:val="16"/>
              </w:rPr>
              <w:t>-</w:t>
            </w:r>
            <w:r>
              <w:rPr>
                <w:rFonts w:ascii="Arial"/>
                <w:sz w:val="16"/>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5"/>
              <w:jc w:val="right"/>
              <w:rPr>
                <w:rFonts w:ascii="Arial" w:hAnsi="Arial" w:cs="Arial" w:eastAsia="Arial" w:hint="default"/>
                <w:sz w:val="16"/>
                <w:szCs w:val="16"/>
              </w:rPr>
            </w:pPr>
            <w:r>
              <w:rPr>
                <w:rFonts w:ascii="Arial"/>
                <w:w w:val="95"/>
                <w:sz w:val="16"/>
              </w:rPr>
              <w:t>151,582,407</w:t>
            </w:r>
            <w:r>
              <w:rPr>
                <w:rFonts w:ascii="Arial"/>
                <w:sz w:val="16"/>
              </w:rPr>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89"/>
              <w:jc w:val="right"/>
              <w:rPr>
                <w:rFonts w:ascii="Arial" w:hAnsi="Arial" w:cs="Arial" w:eastAsia="Arial" w:hint="default"/>
                <w:sz w:val="16"/>
                <w:szCs w:val="16"/>
              </w:rPr>
            </w:pPr>
            <w:r>
              <w:rPr>
                <w:rFonts w:ascii="Arial"/>
                <w:w w:val="98"/>
                <w:sz w:val="16"/>
              </w:rPr>
              <w:t>-</w:t>
            </w:r>
            <w:r>
              <w:rPr>
                <w:rFonts w:ascii="Arial"/>
                <w:sz w:val="16"/>
              </w:rPr>
            </w:r>
          </w:p>
        </w:tc>
        <w:tc>
          <w:tcPr>
            <w:tcW w:w="427" w:type="dxa"/>
            <w:tcBorders>
              <w:top w:val="nil" w:sz="6" w:space="0" w:color="auto"/>
              <w:left w:val="nil" w:sz="6" w:space="0" w:color="auto"/>
              <w:bottom w:val="nil" w:sz="6" w:space="0" w:color="auto"/>
              <w:right w:val="nil" w:sz="6" w:space="0" w:color="auto"/>
            </w:tcBorders>
          </w:tcPr>
          <w:p>
            <w:pPr>
              <w:pStyle w:val="TableParagraph"/>
              <w:spacing w:line="177" w:lineRule="exact"/>
              <w:ind w:right="46"/>
              <w:jc w:val="right"/>
              <w:rPr>
                <w:rFonts w:ascii="Arial" w:hAnsi="Arial" w:cs="Arial" w:eastAsia="Arial" w:hint="default"/>
                <w:sz w:val="16"/>
                <w:szCs w:val="16"/>
              </w:rPr>
            </w:pPr>
            <w:r>
              <w:rPr>
                <w:rFonts w:ascii="Arial"/>
                <w:w w:val="98"/>
                <w:sz w:val="16"/>
              </w:rPr>
              <w:t>-</w:t>
            </w:r>
            <w:r>
              <w:rPr>
                <w:rFonts w:ascii="Arial"/>
                <w:sz w:val="16"/>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5"/>
              <w:jc w:val="right"/>
              <w:rPr>
                <w:rFonts w:ascii="Arial" w:hAnsi="Arial" w:cs="Arial" w:eastAsia="Arial" w:hint="default"/>
                <w:sz w:val="16"/>
                <w:szCs w:val="16"/>
              </w:rPr>
            </w:pPr>
            <w:r>
              <w:rPr>
                <w:rFonts w:ascii="Arial"/>
                <w:w w:val="95"/>
                <w:sz w:val="16"/>
              </w:rPr>
              <w:t>151,582,407</w:t>
            </w:r>
            <w:r>
              <w:rPr>
                <w:rFonts w:ascii="Arial"/>
                <w:sz w:val="16"/>
              </w:rPr>
            </w:r>
          </w:p>
        </w:tc>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0"/>
              <w:jc w:val="right"/>
              <w:rPr>
                <w:rFonts w:ascii="Arial" w:hAnsi="Arial" w:cs="Arial" w:eastAsia="Arial" w:hint="default"/>
                <w:sz w:val="16"/>
                <w:szCs w:val="16"/>
              </w:rPr>
            </w:pPr>
            <w:r>
              <w:rPr>
                <w:rFonts w:ascii="Arial"/>
                <w:w w:val="95"/>
                <w:sz w:val="16"/>
              </w:rPr>
              <w:t>84%</w:t>
            </w:r>
            <w:r>
              <w:rPr>
                <w:rFonts w:ascii="Arial"/>
                <w:sz w:val="16"/>
              </w:rPr>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8"/>
              <w:jc w:val="right"/>
              <w:rPr>
                <w:rFonts w:ascii="Arial" w:hAnsi="Arial" w:cs="Arial" w:eastAsia="Arial" w:hint="default"/>
                <w:sz w:val="16"/>
                <w:szCs w:val="16"/>
              </w:rPr>
            </w:pPr>
            <w:r>
              <w:rPr>
                <w:rFonts w:ascii="Arial"/>
                <w:w w:val="98"/>
                <w:sz w:val="16"/>
              </w:rPr>
              <w:t>-</w:t>
            </w:r>
            <w:r>
              <w:rPr>
                <w:rFonts w:ascii="Arial"/>
                <w:sz w:val="16"/>
              </w:rPr>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1"/>
              <w:jc w:val="right"/>
              <w:rPr>
                <w:rFonts w:ascii="Arial" w:hAnsi="Arial" w:cs="Arial" w:eastAsia="Arial" w:hint="default"/>
                <w:sz w:val="16"/>
                <w:szCs w:val="16"/>
              </w:rPr>
            </w:pPr>
            <w:r>
              <w:rPr>
                <w:rFonts w:ascii="Arial"/>
                <w:w w:val="98"/>
                <w:sz w:val="16"/>
              </w:rPr>
              <w:t>-</w:t>
            </w:r>
            <w:r>
              <w:rPr>
                <w:rFonts w:ascii="Arial"/>
                <w:sz w:val="16"/>
              </w:rPr>
            </w:r>
          </w:p>
        </w:tc>
        <w:tc>
          <w:tcPr>
            <w:tcW w:w="1541" w:type="dxa"/>
            <w:tcBorders>
              <w:top w:val="nil" w:sz="6" w:space="0" w:color="auto"/>
              <w:left w:val="nil" w:sz="6" w:space="0" w:color="auto"/>
              <w:bottom w:val="nil" w:sz="6" w:space="0" w:color="auto"/>
              <w:right w:val="nil" w:sz="6" w:space="0" w:color="auto"/>
            </w:tcBorders>
          </w:tcPr>
          <w:p>
            <w:pPr>
              <w:pStyle w:val="TableParagraph"/>
              <w:spacing w:line="175" w:lineRule="exact"/>
              <w:ind w:right="7"/>
              <w:jc w:val="right"/>
              <w:rPr>
                <w:rFonts w:ascii="宋体" w:hAnsi="宋体" w:cs="宋体" w:eastAsia="宋体" w:hint="default"/>
                <w:sz w:val="16"/>
                <w:szCs w:val="16"/>
              </w:rPr>
            </w:pPr>
            <w:r>
              <w:rPr>
                <w:rFonts w:ascii="宋体" w:hAnsi="宋体" w:cs="宋体" w:eastAsia="宋体" w:hint="default"/>
                <w:w w:val="95"/>
                <w:sz w:val="16"/>
                <w:szCs w:val="16"/>
              </w:rPr>
              <w:t>自筹资金</w:t>
            </w:r>
            <w:r>
              <w:rPr>
                <w:rFonts w:ascii="宋体" w:hAnsi="宋体" w:cs="宋体" w:eastAsia="宋体" w:hint="default"/>
                <w:sz w:val="16"/>
                <w:szCs w:val="16"/>
              </w:rPr>
            </w:r>
          </w:p>
        </w:tc>
      </w:tr>
      <w:tr>
        <w:trPr>
          <w:trHeight w:val="206"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184" w:lineRule="exact"/>
              <w:ind w:right="0"/>
              <w:jc w:val="left"/>
              <w:rPr>
                <w:rFonts w:ascii="宋体" w:hAnsi="宋体" w:cs="宋体" w:eastAsia="宋体" w:hint="default"/>
                <w:sz w:val="16"/>
                <w:szCs w:val="16"/>
              </w:rPr>
            </w:pPr>
            <w:r>
              <w:rPr>
                <w:rFonts w:ascii="Arial" w:hAnsi="Arial" w:cs="Arial" w:eastAsia="Arial" w:hint="default"/>
                <w:sz w:val="16"/>
                <w:szCs w:val="16"/>
              </w:rPr>
              <w:t>2018</w:t>
            </w:r>
            <w:r>
              <w:rPr>
                <w:rFonts w:ascii="Arial" w:hAnsi="Arial" w:cs="Arial" w:eastAsia="Arial" w:hint="default"/>
                <w:spacing w:val="-18"/>
                <w:sz w:val="16"/>
                <w:szCs w:val="16"/>
              </w:rPr>
              <w:t> </w:t>
            </w:r>
            <w:r>
              <w:rPr>
                <w:rFonts w:ascii="宋体" w:hAnsi="宋体" w:cs="宋体" w:eastAsia="宋体" w:hint="default"/>
                <w:sz w:val="16"/>
                <w:szCs w:val="16"/>
              </w:rPr>
              <w:t>年中国联通通信云管理与业务域资源池新建工程</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64"/>
              <w:jc w:val="right"/>
              <w:rPr>
                <w:rFonts w:ascii="Arial" w:hAnsi="Arial" w:cs="Arial" w:eastAsia="Arial" w:hint="default"/>
                <w:sz w:val="16"/>
                <w:szCs w:val="16"/>
              </w:rPr>
            </w:pPr>
            <w:r>
              <w:rPr>
                <w:rFonts w:ascii="Arial"/>
                <w:w w:val="95"/>
                <w:sz w:val="16"/>
              </w:rPr>
              <w:t>177</w:t>
            </w:r>
            <w:r>
              <w:rPr>
                <w:rFonts w:ascii="Arial"/>
                <w:sz w:val="16"/>
              </w:rPr>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6"/>
              <w:jc w:val="right"/>
              <w:rPr>
                <w:rFonts w:ascii="Arial" w:hAnsi="Arial" w:cs="Arial" w:eastAsia="Arial" w:hint="default"/>
                <w:sz w:val="16"/>
                <w:szCs w:val="16"/>
              </w:rPr>
            </w:pPr>
            <w:r>
              <w:rPr>
                <w:rFonts w:ascii="Arial"/>
                <w:w w:val="98"/>
                <w:sz w:val="16"/>
              </w:rPr>
              <w:t>-</w:t>
            </w:r>
            <w:r>
              <w:rPr>
                <w:rFonts w:ascii="Arial"/>
                <w:sz w:val="16"/>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65"/>
              <w:jc w:val="right"/>
              <w:rPr>
                <w:rFonts w:ascii="Arial" w:hAnsi="Arial" w:cs="Arial" w:eastAsia="Arial" w:hint="default"/>
                <w:sz w:val="16"/>
                <w:szCs w:val="16"/>
              </w:rPr>
            </w:pPr>
            <w:r>
              <w:rPr>
                <w:rFonts w:ascii="Arial"/>
                <w:w w:val="95"/>
                <w:sz w:val="16"/>
              </w:rPr>
              <w:t>138,826,990</w:t>
            </w:r>
            <w:r>
              <w:rPr>
                <w:rFonts w:ascii="Arial"/>
                <w:sz w:val="16"/>
              </w:rPr>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89"/>
              <w:jc w:val="right"/>
              <w:rPr>
                <w:rFonts w:ascii="Arial" w:hAnsi="Arial" w:cs="Arial" w:eastAsia="Arial" w:hint="default"/>
                <w:sz w:val="16"/>
                <w:szCs w:val="16"/>
              </w:rPr>
            </w:pPr>
            <w:r>
              <w:rPr>
                <w:rFonts w:ascii="Arial"/>
                <w:w w:val="98"/>
                <w:sz w:val="16"/>
              </w:rPr>
              <w:t>-</w:t>
            </w:r>
            <w:r>
              <w:rPr>
                <w:rFonts w:ascii="Arial"/>
                <w:sz w:val="16"/>
              </w:rPr>
            </w:r>
          </w:p>
        </w:tc>
        <w:tc>
          <w:tcPr>
            <w:tcW w:w="427" w:type="dxa"/>
            <w:tcBorders>
              <w:top w:val="nil" w:sz="6" w:space="0" w:color="auto"/>
              <w:left w:val="nil" w:sz="6" w:space="0" w:color="auto"/>
              <w:bottom w:val="nil" w:sz="6" w:space="0" w:color="auto"/>
              <w:right w:val="nil" w:sz="6" w:space="0" w:color="auto"/>
            </w:tcBorders>
          </w:tcPr>
          <w:p>
            <w:pPr>
              <w:pStyle w:val="TableParagraph"/>
              <w:spacing w:line="174" w:lineRule="exact"/>
              <w:ind w:right="46"/>
              <w:jc w:val="right"/>
              <w:rPr>
                <w:rFonts w:ascii="Arial" w:hAnsi="Arial" w:cs="Arial" w:eastAsia="Arial" w:hint="default"/>
                <w:sz w:val="16"/>
                <w:szCs w:val="16"/>
              </w:rPr>
            </w:pPr>
            <w:r>
              <w:rPr>
                <w:rFonts w:ascii="Arial"/>
                <w:w w:val="98"/>
                <w:sz w:val="16"/>
              </w:rPr>
              <w:t>-</w:t>
            </w:r>
            <w:r>
              <w:rPr>
                <w:rFonts w:ascii="Arial"/>
                <w:sz w:val="16"/>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5"/>
              <w:jc w:val="right"/>
              <w:rPr>
                <w:rFonts w:ascii="Arial" w:hAnsi="Arial" w:cs="Arial" w:eastAsia="Arial" w:hint="default"/>
                <w:sz w:val="16"/>
                <w:szCs w:val="16"/>
              </w:rPr>
            </w:pPr>
            <w:r>
              <w:rPr>
                <w:rFonts w:ascii="Arial"/>
                <w:w w:val="95"/>
                <w:sz w:val="16"/>
              </w:rPr>
              <w:t>138,826,990</w:t>
            </w:r>
            <w:r>
              <w:rPr>
                <w:rFonts w:ascii="Arial"/>
                <w:sz w:val="16"/>
              </w:rPr>
            </w:r>
          </w:p>
        </w:tc>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
              <w:jc w:val="right"/>
              <w:rPr>
                <w:rFonts w:ascii="Arial" w:hAnsi="Arial" w:cs="Arial" w:eastAsia="Arial" w:hint="default"/>
                <w:sz w:val="16"/>
                <w:szCs w:val="16"/>
              </w:rPr>
            </w:pPr>
            <w:r>
              <w:rPr>
                <w:rFonts w:ascii="Arial"/>
                <w:w w:val="95"/>
                <w:sz w:val="16"/>
              </w:rPr>
              <w:t>78%</w:t>
            </w:r>
            <w:r>
              <w:rPr>
                <w:rFonts w:ascii="Arial"/>
                <w:sz w:val="16"/>
              </w:rPr>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8"/>
              <w:jc w:val="right"/>
              <w:rPr>
                <w:rFonts w:ascii="Arial" w:hAnsi="Arial" w:cs="Arial" w:eastAsia="Arial" w:hint="default"/>
                <w:sz w:val="16"/>
                <w:szCs w:val="16"/>
              </w:rPr>
            </w:pPr>
            <w:r>
              <w:rPr>
                <w:rFonts w:ascii="Arial"/>
                <w:w w:val="98"/>
                <w:sz w:val="16"/>
              </w:rPr>
              <w:t>-</w:t>
            </w:r>
            <w:r>
              <w:rPr>
                <w:rFonts w:ascii="Arial"/>
                <w:sz w:val="16"/>
              </w:rPr>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1"/>
              <w:jc w:val="right"/>
              <w:rPr>
                <w:rFonts w:ascii="Arial" w:hAnsi="Arial" w:cs="Arial" w:eastAsia="Arial" w:hint="default"/>
                <w:sz w:val="16"/>
                <w:szCs w:val="16"/>
              </w:rPr>
            </w:pPr>
            <w:r>
              <w:rPr>
                <w:rFonts w:ascii="Arial"/>
                <w:w w:val="98"/>
                <w:sz w:val="16"/>
              </w:rPr>
              <w:t>-</w:t>
            </w:r>
            <w:r>
              <w:rPr>
                <w:rFonts w:ascii="Arial"/>
                <w:sz w:val="16"/>
              </w:rPr>
            </w:r>
          </w:p>
        </w:tc>
        <w:tc>
          <w:tcPr>
            <w:tcW w:w="1541" w:type="dxa"/>
            <w:tcBorders>
              <w:top w:val="nil" w:sz="6" w:space="0" w:color="auto"/>
              <w:left w:val="nil" w:sz="6" w:space="0" w:color="auto"/>
              <w:bottom w:val="nil" w:sz="6" w:space="0" w:color="auto"/>
              <w:right w:val="nil" w:sz="6" w:space="0" w:color="auto"/>
            </w:tcBorders>
          </w:tcPr>
          <w:p>
            <w:pPr>
              <w:pStyle w:val="TableParagraph"/>
              <w:spacing w:line="172" w:lineRule="exact"/>
              <w:ind w:right="7"/>
              <w:jc w:val="right"/>
              <w:rPr>
                <w:rFonts w:ascii="宋体" w:hAnsi="宋体" w:cs="宋体" w:eastAsia="宋体" w:hint="default"/>
                <w:sz w:val="16"/>
                <w:szCs w:val="16"/>
              </w:rPr>
            </w:pPr>
            <w:r>
              <w:rPr>
                <w:rFonts w:ascii="宋体" w:hAnsi="宋体" w:cs="宋体" w:eastAsia="宋体" w:hint="default"/>
                <w:w w:val="95"/>
                <w:sz w:val="16"/>
                <w:szCs w:val="16"/>
              </w:rPr>
              <w:t>自筹资金、募集资金</w:t>
            </w:r>
            <w:r>
              <w:rPr>
                <w:rFonts w:ascii="宋体" w:hAnsi="宋体" w:cs="宋体" w:eastAsia="宋体" w:hint="default"/>
                <w:sz w:val="16"/>
                <w:szCs w:val="16"/>
              </w:rPr>
            </w:r>
          </w:p>
        </w:tc>
      </w:tr>
      <w:tr>
        <w:trPr>
          <w:trHeight w:val="206"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184" w:lineRule="exact"/>
              <w:ind w:right="0"/>
              <w:jc w:val="left"/>
              <w:rPr>
                <w:rFonts w:ascii="宋体" w:hAnsi="宋体" w:cs="宋体" w:eastAsia="宋体" w:hint="default"/>
                <w:sz w:val="16"/>
                <w:szCs w:val="16"/>
              </w:rPr>
            </w:pPr>
            <w:r>
              <w:rPr>
                <w:rFonts w:ascii="Arial" w:hAnsi="Arial" w:cs="Arial" w:eastAsia="Arial" w:hint="default"/>
                <w:sz w:val="16"/>
                <w:szCs w:val="16"/>
              </w:rPr>
              <w:t>2018</w:t>
            </w:r>
            <w:r>
              <w:rPr>
                <w:rFonts w:ascii="Arial" w:hAnsi="Arial" w:cs="Arial" w:eastAsia="Arial" w:hint="default"/>
                <w:spacing w:val="-10"/>
                <w:sz w:val="16"/>
                <w:szCs w:val="16"/>
              </w:rPr>
              <w:t> </w:t>
            </w:r>
            <w:r>
              <w:rPr>
                <w:rFonts w:ascii="宋体" w:hAnsi="宋体" w:cs="宋体" w:eastAsia="宋体" w:hint="default"/>
                <w:sz w:val="16"/>
                <w:szCs w:val="16"/>
              </w:rPr>
              <w:t>年中国联通</w:t>
            </w:r>
            <w:r>
              <w:rPr>
                <w:rFonts w:ascii="宋体" w:hAnsi="宋体" w:cs="宋体" w:eastAsia="宋体" w:hint="default"/>
                <w:spacing w:val="-44"/>
                <w:sz w:val="16"/>
                <w:szCs w:val="16"/>
              </w:rPr>
              <w:t> </w:t>
            </w:r>
            <w:r>
              <w:rPr>
                <w:rFonts w:ascii="Arial" w:hAnsi="Arial" w:cs="Arial" w:eastAsia="Arial" w:hint="default"/>
                <w:sz w:val="16"/>
                <w:szCs w:val="16"/>
              </w:rPr>
              <w:t>China169</w:t>
            </w:r>
            <w:r>
              <w:rPr>
                <w:rFonts w:ascii="Arial" w:hAnsi="Arial" w:cs="Arial" w:eastAsia="Arial" w:hint="default"/>
                <w:spacing w:val="-10"/>
                <w:sz w:val="16"/>
                <w:szCs w:val="16"/>
              </w:rPr>
              <w:t> </w:t>
            </w:r>
            <w:r>
              <w:rPr>
                <w:rFonts w:ascii="宋体" w:hAnsi="宋体" w:cs="宋体" w:eastAsia="宋体" w:hint="default"/>
                <w:sz w:val="16"/>
                <w:szCs w:val="16"/>
              </w:rPr>
              <w:t>骨干网扩容工程</w:t>
            </w:r>
            <w:r>
              <w:rPr>
                <w:rFonts w:ascii="Arial" w:hAnsi="Arial" w:cs="Arial" w:eastAsia="Arial" w:hint="default"/>
                <w:sz w:val="16"/>
                <w:szCs w:val="16"/>
              </w:rPr>
              <w:t>_</w:t>
            </w:r>
            <w:r>
              <w:rPr>
                <w:rFonts w:ascii="宋体" w:hAnsi="宋体" w:cs="宋体" w:eastAsia="宋体" w:hint="default"/>
                <w:sz w:val="16"/>
                <w:szCs w:val="16"/>
              </w:rPr>
              <w:t>河北省分公司</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64"/>
              <w:jc w:val="right"/>
              <w:rPr>
                <w:rFonts w:ascii="Arial" w:hAnsi="Arial" w:cs="Arial" w:eastAsia="Arial" w:hint="default"/>
                <w:sz w:val="16"/>
                <w:szCs w:val="16"/>
              </w:rPr>
            </w:pPr>
            <w:r>
              <w:rPr>
                <w:rFonts w:ascii="Arial"/>
                <w:w w:val="95"/>
                <w:sz w:val="16"/>
              </w:rPr>
              <w:t>217</w:t>
            </w:r>
            <w:r>
              <w:rPr>
                <w:rFonts w:ascii="Arial"/>
                <w:sz w:val="16"/>
              </w:rPr>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4"/>
              <w:jc w:val="right"/>
              <w:rPr>
                <w:rFonts w:ascii="Arial" w:hAnsi="Arial" w:cs="Arial" w:eastAsia="Arial" w:hint="default"/>
                <w:sz w:val="16"/>
                <w:szCs w:val="16"/>
              </w:rPr>
            </w:pPr>
            <w:r>
              <w:rPr>
                <w:rFonts w:ascii="Arial"/>
                <w:w w:val="95"/>
                <w:sz w:val="16"/>
              </w:rPr>
              <w:t>18,013,207</w:t>
            </w:r>
            <w:r>
              <w:rPr>
                <w:rFonts w:ascii="Arial"/>
                <w:sz w:val="16"/>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65"/>
              <w:jc w:val="right"/>
              <w:rPr>
                <w:rFonts w:ascii="Arial" w:hAnsi="Arial" w:cs="Arial" w:eastAsia="Arial" w:hint="default"/>
                <w:sz w:val="16"/>
                <w:szCs w:val="16"/>
              </w:rPr>
            </w:pPr>
            <w:r>
              <w:rPr>
                <w:rFonts w:ascii="Arial"/>
                <w:w w:val="95"/>
                <w:sz w:val="16"/>
              </w:rPr>
              <w:t>138,257,051</w:t>
            </w:r>
            <w:r>
              <w:rPr>
                <w:rFonts w:ascii="Arial"/>
                <w:sz w:val="16"/>
              </w:rPr>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89"/>
              <w:jc w:val="right"/>
              <w:rPr>
                <w:rFonts w:ascii="Arial" w:hAnsi="Arial" w:cs="Arial" w:eastAsia="Arial" w:hint="default"/>
                <w:sz w:val="16"/>
                <w:szCs w:val="16"/>
              </w:rPr>
            </w:pPr>
            <w:r>
              <w:rPr>
                <w:rFonts w:ascii="Arial"/>
                <w:w w:val="98"/>
                <w:sz w:val="16"/>
              </w:rPr>
              <w:t>-</w:t>
            </w:r>
            <w:r>
              <w:rPr>
                <w:rFonts w:ascii="Arial"/>
                <w:sz w:val="16"/>
              </w:rPr>
            </w:r>
          </w:p>
        </w:tc>
        <w:tc>
          <w:tcPr>
            <w:tcW w:w="427" w:type="dxa"/>
            <w:tcBorders>
              <w:top w:val="nil" w:sz="6" w:space="0" w:color="auto"/>
              <w:left w:val="nil" w:sz="6" w:space="0" w:color="auto"/>
              <w:bottom w:val="nil" w:sz="6" w:space="0" w:color="auto"/>
              <w:right w:val="nil" w:sz="6" w:space="0" w:color="auto"/>
            </w:tcBorders>
          </w:tcPr>
          <w:p>
            <w:pPr>
              <w:pStyle w:val="TableParagraph"/>
              <w:spacing w:line="174" w:lineRule="exact"/>
              <w:ind w:right="46"/>
              <w:jc w:val="right"/>
              <w:rPr>
                <w:rFonts w:ascii="Arial" w:hAnsi="Arial" w:cs="Arial" w:eastAsia="Arial" w:hint="default"/>
                <w:sz w:val="16"/>
                <w:szCs w:val="16"/>
              </w:rPr>
            </w:pPr>
            <w:r>
              <w:rPr>
                <w:rFonts w:ascii="Arial"/>
                <w:w w:val="98"/>
                <w:sz w:val="16"/>
              </w:rPr>
              <w:t>-</w:t>
            </w:r>
            <w:r>
              <w:rPr>
                <w:rFonts w:ascii="Arial"/>
                <w:sz w:val="16"/>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5"/>
              <w:jc w:val="right"/>
              <w:rPr>
                <w:rFonts w:ascii="Arial" w:hAnsi="Arial" w:cs="Arial" w:eastAsia="Arial" w:hint="default"/>
                <w:sz w:val="16"/>
                <w:szCs w:val="16"/>
              </w:rPr>
            </w:pPr>
            <w:r>
              <w:rPr>
                <w:rFonts w:ascii="Arial"/>
                <w:w w:val="95"/>
                <w:sz w:val="16"/>
              </w:rPr>
              <w:t>156,270,258</w:t>
            </w:r>
            <w:r>
              <w:rPr>
                <w:rFonts w:ascii="Arial"/>
                <w:sz w:val="16"/>
              </w:rPr>
            </w:r>
          </w:p>
        </w:tc>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
              <w:jc w:val="right"/>
              <w:rPr>
                <w:rFonts w:ascii="Arial" w:hAnsi="Arial" w:cs="Arial" w:eastAsia="Arial" w:hint="default"/>
                <w:sz w:val="16"/>
                <w:szCs w:val="16"/>
              </w:rPr>
            </w:pPr>
            <w:r>
              <w:rPr>
                <w:rFonts w:ascii="Arial"/>
                <w:w w:val="95"/>
                <w:sz w:val="16"/>
              </w:rPr>
              <w:t>72%</w:t>
            </w:r>
            <w:r>
              <w:rPr>
                <w:rFonts w:ascii="Arial"/>
                <w:sz w:val="16"/>
              </w:rPr>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8"/>
              <w:jc w:val="right"/>
              <w:rPr>
                <w:rFonts w:ascii="Arial" w:hAnsi="Arial" w:cs="Arial" w:eastAsia="Arial" w:hint="default"/>
                <w:sz w:val="16"/>
                <w:szCs w:val="16"/>
              </w:rPr>
            </w:pPr>
            <w:r>
              <w:rPr>
                <w:rFonts w:ascii="Arial"/>
                <w:w w:val="98"/>
                <w:sz w:val="16"/>
              </w:rPr>
              <w:t>-</w:t>
            </w:r>
            <w:r>
              <w:rPr>
                <w:rFonts w:ascii="Arial"/>
                <w:sz w:val="16"/>
              </w:rPr>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1"/>
              <w:jc w:val="right"/>
              <w:rPr>
                <w:rFonts w:ascii="Arial" w:hAnsi="Arial" w:cs="Arial" w:eastAsia="Arial" w:hint="default"/>
                <w:sz w:val="16"/>
                <w:szCs w:val="16"/>
              </w:rPr>
            </w:pPr>
            <w:r>
              <w:rPr>
                <w:rFonts w:ascii="Arial"/>
                <w:w w:val="98"/>
                <w:sz w:val="16"/>
              </w:rPr>
              <w:t>-</w:t>
            </w:r>
            <w:r>
              <w:rPr>
                <w:rFonts w:ascii="Arial"/>
                <w:sz w:val="16"/>
              </w:rPr>
            </w:r>
          </w:p>
        </w:tc>
        <w:tc>
          <w:tcPr>
            <w:tcW w:w="1541" w:type="dxa"/>
            <w:tcBorders>
              <w:top w:val="nil" w:sz="6" w:space="0" w:color="auto"/>
              <w:left w:val="nil" w:sz="6" w:space="0" w:color="auto"/>
              <w:bottom w:val="nil" w:sz="6" w:space="0" w:color="auto"/>
              <w:right w:val="nil" w:sz="6" w:space="0" w:color="auto"/>
            </w:tcBorders>
          </w:tcPr>
          <w:p>
            <w:pPr>
              <w:pStyle w:val="TableParagraph"/>
              <w:spacing w:line="172" w:lineRule="exact"/>
              <w:ind w:right="7"/>
              <w:jc w:val="right"/>
              <w:rPr>
                <w:rFonts w:ascii="宋体" w:hAnsi="宋体" w:cs="宋体" w:eastAsia="宋体" w:hint="default"/>
                <w:sz w:val="16"/>
                <w:szCs w:val="16"/>
              </w:rPr>
            </w:pPr>
            <w:r>
              <w:rPr>
                <w:rFonts w:ascii="宋体" w:hAnsi="宋体" w:cs="宋体" w:eastAsia="宋体" w:hint="default"/>
                <w:w w:val="95"/>
                <w:sz w:val="16"/>
                <w:szCs w:val="16"/>
              </w:rPr>
              <w:t>自筹资金</w:t>
            </w:r>
            <w:r>
              <w:rPr>
                <w:rFonts w:ascii="宋体" w:hAnsi="宋体" w:cs="宋体" w:eastAsia="宋体" w:hint="default"/>
                <w:sz w:val="16"/>
                <w:szCs w:val="16"/>
              </w:rPr>
            </w:r>
          </w:p>
        </w:tc>
      </w:tr>
      <w:tr>
        <w:trPr>
          <w:trHeight w:val="209"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184" w:lineRule="exact"/>
              <w:ind w:right="0"/>
              <w:jc w:val="left"/>
              <w:rPr>
                <w:rFonts w:ascii="宋体" w:hAnsi="宋体" w:cs="宋体" w:eastAsia="宋体" w:hint="default"/>
                <w:sz w:val="16"/>
                <w:szCs w:val="16"/>
              </w:rPr>
            </w:pPr>
            <w:r>
              <w:rPr>
                <w:rFonts w:ascii="Arial" w:hAnsi="Arial" w:cs="Arial" w:eastAsia="Arial" w:hint="default"/>
                <w:sz w:val="16"/>
                <w:szCs w:val="16"/>
              </w:rPr>
              <w:t>2018</w:t>
            </w:r>
            <w:r>
              <w:rPr>
                <w:rFonts w:ascii="Arial" w:hAnsi="Arial" w:cs="Arial" w:eastAsia="Arial" w:hint="default"/>
                <w:spacing w:val="-10"/>
                <w:sz w:val="16"/>
                <w:szCs w:val="16"/>
              </w:rPr>
              <w:t> </w:t>
            </w:r>
            <w:r>
              <w:rPr>
                <w:rFonts w:ascii="宋体" w:hAnsi="宋体" w:cs="宋体" w:eastAsia="宋体" w:hint="default"/>
                <w:sz w:val="16"/>
                <w:szCs w:val="16"/>
              </w:rPr>
              <w:t>年中国联通</w:t>
            </w:r>
            <w:r>
              <w:rPr>
                <w:rFonts w:ascii="宋体" w:hAnsi="宋体" w:cs="宋体" w:eastAsia="宋体" w:hint="default"/>
                <w:spacing w:val="-44"/>
                <w:sz w:val="16"/>
                <w:szCs w:val="16"/>
              </w:rPr>
              <w:t> </w:t>
            </w:r>
            <w:r>
              <w:rPr>
                <w:rFonts w:ascii="Arial" w:hAnsi="Arial" w:cs="Arial" w:eastAsia="Arial" w:hint="default"/>
                <w:sz w:val="16"/>
                <w:szCs w:val="16"/>
              </w:rPr>
              <w:t>China169</w:t>
            </w:r>
            <w:r>
              <w:rPr>
                <w:rFonts w:ascii="Arial" w:hAnsi="Arial" w:cs="Arial" w:eastAsia="Arial" w:hint="default"/>
                <w:spacing w:val="-10"/>
                <w:sz w:val="16"/>
                <w:szCs w:val="16"/>
              </w:rPr>
              <w:t> </w:t>
            </w:r>
            <w:r>
              <w:rPr>
                <w:rFonts w:ascii="宋体" w:hAnsi="宋体" w:cs="宋体" w:eastAsia="宋体" w:hint="default"/>
                <w:sz w:val="16"/>
                <w:szCs w:val="16"/>
              </w:rPr>
              <w:t>骨干网扩容工程</w:t>
            </w:r>
            <w:r>
              <w:rPr>
                <w:rFonts w:ascii="Arial" w:hAnsi="Arial" w:cs="Arial" w:eastAsia="Arial" w:hint="default"/>
                <w:sz w:val="16"/>
                <w:szCs w:val="16"/>
              </w:rPr>
              <w:t>_</w:t>
            </w:r>
            <w:r>
              <w:rPr>
                <w:rFonts w:ascii="宋体" w:hAnsi="宋体" w:cs="宋体" w:eastAsia="宋体" w:hint="default"/>
                <w:sz w:val="16"/>
                <w:szCs w:val="16"/>
              </w:rPr>
              <w:t>河南省分公司</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64"/>
              <w:jc w:val="right"/>
              <w:rPr>
                <w:rFonts w:ascii="Arial" w:hAnsi="Arial" w:cs="Arial" w:eastAsia="Arial" w:hint="default"/>
                <w:sz w:val="16"/>
                <w:szCs w:val="16"/>
              </w:rPr>
            </w:pPr>
            <w:r>
              <w:rPr>
                <w:rFonts w:ascii="Arial"/>
                <w:w w:val="95"/>
                <w:sz w:val="16"/>
              </w:rPr>
              <w:t>144</w:t>
            </w:r>
            <w:r>
              <w:rPr>
                <w:rFonts w:ascii="Arial"/>
                <w:sz w:val="16"/>
              </w:rPr>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6"/>
              <w:jc w:val="right"/>
              <w:rPr>
                <w:rFonts w:ascii="Arial" w:hAnsi="Arial" w:cs="Arial" w:eastAsia="Arial" w:hint="default"/>
                <w:sz w:val="16"/>
                <w:szCs w:val="16"/>
              </w:rPr>
            </w:pPr>
            <w:r>
              <w:rPr>
                <w:rFonts w:ascii="Arial"/>
                <w:w w:val="98"/>
                <w:sz w:val="16"/>
              </w:rPr>
              <w:t>-</w:t>
            </w:r>
            <w:r>
              <w:rPr>
                <w:rFonts w:ascii="Arial"/>
                <w:sz w:val="16"/>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65"/>
              <w:jc w:val="right"/>
              <w:rPr>
                <w:rFonts w:ascii="Arial" w:hAnsi="Arial" w:cs="Arial" w:eastAsia="Arial" w:hint="default"/>
                <w:sz w:val="16"/>
                <w:szCs w:val="16"/>
              </w:rPr>
            </w:pPr>
            <w:r>
              <w:rPr>
                <w:rFonts w:ascii="Arial"/>
                <w:w w:val="95"/>
                <w:sz w:val="16"/>
              </w:rPr>
              <w:t>129,430,818</w:t>
            </w:r>
            <w:r>
              <w:rPr>
                <w:rFonts w:ascii="Arial"/>
                <w:sz w:val="16"/>
              </w:rPr>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89"/>
              <w:jc w:val="right"/>
              <w:rPr>
                <w:rFonts w:ascii="Arial" w:hAnsi="Arial" w:cs="Arial" w:eastAsia="Arial" w:hint="default"/>
                <w:sz w:val="16"/>
                <w:szCs w:val="16"/>
              </w:rPr>
            </w:pPr>
            <w:r>
              <w:rPr>
                <w:rFonts w:ascii="Arial"/>
                <w:w w:val="98"/>
                <w:sz w:val="16"/>
              </w:rPr>
              <w:t>-</w:t>
            </w:r>
            <w:r>
              <w:rPr>
                <w:rFonts w:ascii="Arial"/>
                <w:sz w:val="16"/>
              </w:rPr>
            </w:r>
          </w:p>
        </w:tc>
        <w:tc>
          <w:tcPr>
            <w:tcW w:w="427" w:type="dxa"/>
            <w:tcBorders>
              <w:top w:val="nil" w:sz="6" w:space="0" w:color="auto"/>
              <w:left w:val="nil" w:sz="6" w:space="0" w:color="auto"/>
              <w:bottom w:val="nil" w:sz="6" w:space="0" w:color="auto"/>
              <w:right w:val="nil" w:sz="6" w:space="0" w:color="auto"/>
            </w:tcBorders>
          </w:tcPr>
          <w:p>
            <w:pPr>
              <w:pStyle w:val="TableParagraph"/>
              <w:spacing w:line="174" w:lineRule="exact"/>
              <w:ind w:right="46"/>
              <w:jc w:val="right"/>
              <w:rPr>
                <w:rFonts w:ascii="Arial" w:hAnsi="Arial" w:cs="Arial" w:eastAsia="Arial" w:hint="default"/>
                <w:sz w:val="16"/>
                <w:szCs w:val="16"/>
              </w:rPr>
            </w:pPr>
            <w:r>
              <w:rPr>
                <w:rFonts w:ascii="Arial"/>
                <w:w w:val="98"/>
                <w:sz w:val="16"/>
              </w:rPr>
              <w:t>-</w:t>
            </w:r>
            <w:r>
              <w:rPr>
                <w:rFonts w:ascii="Arial"/>
                <w:sz w:val="16"/>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5"/>
              <w:jc w:val="right"/>
              <w:rPr>
                <w:rFonts w:ascii="Arial" w:hAnsi="Arial" w:cs="Arial" w:eastAsia="Arial" w:hint="default"/>
                <w:sz w:val="16"/>
                <w:szCs w:val="16"/>
              </w:rPr>
            </w:pPr>
            <w:r>
              <w:rPr>
                <w:rFonts w:ascii="Arial"/>
                <w:w w:val="95"/>
                <w:sz w:val="16"/>
              </w:rPr>
              <w:t>129,430,818</w:t>
            </w:r>
            <w:r>
              <w:rPr>
                <w:rFonts w:ascii="Arial"/>
                <w:sz w:val="16"/>
              </w:rPr>
            </w:r>
          </w:p>
        </w:tc>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
              <w:jc w:val="right"/>
              <w:rPr>
                <w:rFonts w:ascii="Arial" w:hAnsi="Arial" w:cs="Arial" w:eastAsia="Arial" w:hint="default"/>
                <w:sz w:val="16"/>
                <w:szCs w:val="16"/>
              </w:rPr>
            </w:pPr>
            <w:r>
              <w:rPr>
                <w:rFonts w:ascii="Arial"/>
                <w:w w:val="95"/>
                <w:sz w:val="16"/>
              </w:rPr>
              <w:t>90%</w:t>
            </w:r>
            <w:r>
              <w:rPr>
                <w:rFonts w:ascii="Arial"/>
                <w:sz w:val="16"/>
              </w:rPr>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8"/>
              <w:jc w:val="right"/>
              <w:rPr>
                <w:rFonts w:ascii="Arial" w:hAnsi="Arial" w:cs="Arial" w:eastAsia="Arial" w:hint="default"/>
                <w:sz w:val="16"/>
                <w:szCs w:val="16"/>
              </w:rPr>
            </w:pPr>
            <w:r>
              <w:rPr>
                <w:rFonts w:ascii="Arial"/>
                <w:w w:val="98"/>
                <w:sz w:val="16"/>
              </w:rPr>
              <w:t>-</w:t>
            </w:r>
            <w:r>
              <w:rPr>
                <w:rFonts w:ascii="Arial"/>
                <w:sz w:val="16"/>
              </w:rPr>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1"/>
              <w:jc w:val="right"/>
              <w:rPr>
                <w:rFonts w:ascii="Arial" w:hAnsi="Arial" w:cs="Arial" w:eastAsia="Arial" w:hint="default"/>
                <w:sz w:val="16"/>
                <w:szCs w:val="16"/>
              </w:rPr>
            </w:pPr>
            <w:r>
              <w:rPr>
                <w:rFonts w:ascii="Arial"/>
                <w:w w:val="98"/>
                <w:sz w:val="16"/>
              </w:rPr>
              <w:t>-</w:t>
            </w:r>
            <w:r>
              <w:rPr>
                <w:rFonts w:ascii="Arial"/>
                <w:sz w:val="16"/>
              </w:rPr>
            </w:r>
          </w:p>
        </w:tc>
        <w:tc>
          <w:tcPr>
            <w:tcW w:w="1541" w:type="dxa"/>
            <w:tcBorders>
              <w:top w:val="nil" w:sz="6" w:space="0" w:color="auto"/>
              <w:left w:val="nil" w:sz="6" w:space="0" w:color="auto"/>
              <w:bottom w:val="nil" w:sz="6" w:space="0" w:color="auto"/>
              <w:right w:val="nil" w:sz="6" w:space="0" w:color="auto"/>
            </w:tcBorders>
          </w:tcPr>
          <w:p>
            <w:pPr>
              <w:pStyle w:val="TableParagraph"/>
              <w:spacing w:line="172" w:lineRule="exact"/>
              <w:ind w:right="7"/>
              <w:jc w:val="right"/>
              <w:rPr>
                <w:rFonts w:ascii="宋体" w:hAnsi="宋体" w:cs="宋体" w:eastAsia="宋体" w:hint="default"/>
                <w:sz w:val="16"/>
                <w:szCs w:val="16"/>
              </w:rPr>
            </w:pPr>
            <w:r>
              <w:rPr>
                <w:rFonts w:ascii="宋体" w:hAnsi="宋体" w:cs="宋体" w:eastAsia="宋体" w:hint="default"/>
                <w:w w:val="95"/>
                <w:sz w:val="16"/>
                <w:szCs w:val="16"/>
              </w:rPr>
              <w:t>自筹资金</w:t>
            </w:r>
            <w:r>
              <w:rPr>
                <w:rFonts w:ascii="宋体" w:hAnsi="宋体" w:cs="宋体" w:eastAsia="宋体" w:hint="default"/>
                <w:sz w:val="16"/>
                <w:szCs w:val="16"/>
              </w:rPr>
            </w:r>
          </w:p>
        </w:tc>
      </w:tr>
      <w:tr>
        <w:trPr>
          <w:trHeight w:val="390"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186" w:lineRule="exact"/>
              <w:ind w:right="0"/>
              <w:jc w:val="left"/>
              <w:rPr>
                <w:rFonts w:ascii="宋体" w:hAnsi="宋体" w:cs="宋体" w:eastAsia="宋体" w:hint="default"/>
                <w:sz w:val="16"/>
                <w:szCs w:val="16"/>
              </w:rPr>
            </w:pPr>
            <w:r>
              <w:rPr>
                <w:rFonts w:ascii="Arial" w:hAnsi="Arial" w:cs="Arial" w:eastAsia="Arial" w:hint="default"/>
                <w:sz w:val="16"/>
                <w:szCs w:val="16"/>
              </w:rPr>
              <w:t>2019</w:t>
            </w:r>
            <w:r>
              <w:rPr>
                <w:rFonts w:ascii="Arial" w:hAnsi="Arial" w:cs="Arial" w:eastAsia="Arial" w:hint="default"/>
                <w:spacing w:val="-7"/>
                <w:sz w:val="16"/>
                <w:szCs w:val="16"/>
              </w:rPr>
              <w:t> </w:t>
            </w:r>
            <w:r>
              <w:rPr>
                <w:rFonts w:ascii="宋体" w:hAnsi="宋体" w:cs="宋体" w:eastAsia="宋体" w:hint="default"/>
                <w:sz w:val="16"/>
                <w:szCs w:val="16"/>
              </w:rPr>
              <w:t>年中国联通国际</w:t>
            </w:r>
            <w:r>
              <w:rPr>
                <w:rFonts w:ascii="宋体" w:hAnsi="宋体" w:cs="宋体" w:eastAsia="宋体" w:hint="default"/>
                <w:spacing w:val="-46"/>
                <w:sz w:val="16"/>
                <w:szCs w:val="16"/>
              </w:rPr>
              <w:t> </w:t>
            </w:r>
            <w:r>
              <w:rPr>
                <w:rFonts w:ascii="Arial" w:hAnsi="Arial" w:cs="Arial" w:eastAsia="Arial" w:hint="default"/>
                <w:sz w:val="16"/>
                <w:szCs w:val="16"/>
              </w:rPr>
              <w:t>IRU</w:t>
            </w:r>
            <w:r>
              <w:rPr>
                <w:rFonts w:ascii="Arial" w:hAnsi="Arial" w:cs="Arial" w:eastAsia="Arial" w:hint="default"/>
                <w:spacing w:val="-10"/>
                <w:sz w:val="16"/>
                <w:szCs w:val="16"/>
              </w:rPr>
              <w:t> </w:t>
            </w:r>
            <w:r>
              <w:rPr>
                <w:rFonts w:ascii="宋体" w:hAnsi="宋体" w:cs="宋体" w:eastAsia="宋体" w:hint="default"/>
                <w:sz w:val="16"/>
                <w:szCs w:val="16"/>
              </w:rPr>
              <w:t>第一批购置项目</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64"/>
              <w:jc w:val="right"/>
              <w:rPr>
                <w:rFonts w:ascii="Arial" w:hAnsi="Arial" w:cs="Arial" w:eastAsia="Arial" w:hint="default"/>
                <w:sz w:val="16"/>
                <w:szCs w:val="16"/>
              </w:rPr>
            </w:pPr>
            <w:r>
              <w:rPr>
                <w:rFonts w:ascii="Arial"/>
                <w:w w:val="95"/>
                <w:sz w:val="16"/>
              </w:rPr>
              <w:t>180</w:t>
            </w:r>
            <w:r>
              <w:rPr>
                <w:rFonts w:ascii="Arial"/>
                <w:sz w:val="16"/>
              </w:rPr>
            </w:r>
          </w:p>
        </w:tc>
        <w:tc>
          <w:tcPr>
            <w:tcW w:w="1090" w:type="dxa"/>
            <w:tcBorders>
              <w:top w:val="nil" w:sz="6" w:space="0" w:color="auto"/>
              <w:left w:val="nil" w:sz="6" w:space="0" w:color="auto"/>
              <w:bottom w:val="single" w:sz="6" w:space="0" w:color="000000"/>
              <w:right w:val="nil" w:sz="6" w:space="0" w:color="auto"/>
            </w:tcBorders>
          </w:tcPr>
          <w:p>
            <w:pPr>
              <w:pStyle w:val="TableParagraph"/>
              <w:spacing w:line="240" w:lineRule="auto" w:before="16"/>
              <w:ind w:right="56"/>
              <w:jc w:val="right"/>
              <w:rPr>
                <w:rFonts w:ascii="Arial" w:hAnsi="Arial" w:cs="Arial" w:eastAsia="Arial" w:hint="default"/>
                <w:sz w:val="16"/>
                <w:szCs w:val="16"/>
              </w:rPr>
            </w:pPr>
            <w:r>
              <w:rPr>
                <w:rFonts w:ascii="Arial"/>
                <w:w w:val="98"/>
                <w:sz w:val="16"/>
              </w:rPr>
              <w:t>-</w:t>
            </w:r>
            <w:r>
              <w:rPr>
                <w:rFonts w:ascii="Arial"/>
                <w:sz w:val="16"/>
              </w:rPr>
            </w:r>
          </w:p>
        </w:tc>
        <w:tc>
          <w:tcPr>
            <w:tcW w:w="1142" w:type="dxa"/>
            <w:tcBorders>
              <w:top w:val="nil" w:sz="6" w:space="0" w:color="auto"/>
              <w:left w:val="nil" w:sz="6" w:space="0" w:color="auto"/>
              <w:bottom w:val="single" w:sz="6" w:space="0" w:color="000000"/>
              <w:right w:val="nil" w:sz="6" w:space="0" w:color="auto"/>
            </w:tcBorders>
          </w:tcPr>
          <w:p>
            <w:pPr>
              <w:pStyle w:val="TableParagraph"/>
              <w:spacing w:line="240" w:lineRule="auto" w:before="16"/>
              <w:ind w:right="65"/>
              <w:jc w:val="right"/>
              <w:rPr>
                <w:rFonts w:ascii="Arial" w:hAnsi="Arial" w:cs="Arial" w:eastAsia="Arial" w:hint="default"/>
                <w:sz w:val="16"/>
                <w:szCs w:val="16"/>
              </w:rPr>
            </w:pPr>
            <w:r>
              <w:rPr>
                <w:rFonts w:ascii="Arial"/>
                <w:w w:val="95"/>
                <w:sz w:val="16"/>
              </w:rPr>
              <w:t>123,558,258</w:t>
            </w:r>
            <w:r>
              <w:rPr>
                <w:rFonts w:ascii="Arial"/>
                <w:sz w:val="16"/>
              </w:rPr>
            </w:r>
          </w:p>
        </w:tc>
        <w:tc>
          <w:tcPr>
            <w:tcW w:w="1037" w:type="dxa"/>
            <w:tcBorders>
              <w:top w:val="nil" w:sz="6" w:space="0" w:color="auto"/>
              <w:left w:val="nil" w:sz="6" w:space="0" w:color="auto"/>
              <w:bottom w:val="single" w:sz="6" w:space="0" w:color="000000"/>
              <w:right w:val="nil" w:sz="6" w:space="0" w:color="auto"/>
            </w:tcBorders>
          </w:tcPr>
          <w:p>
            <w:pPr>
              <w:pStyle w:val="TableParagraph"/>
              <w:spacing w:line="240" w:lineRule="auto" w:before="16"/>
              <w:ind w:right="89"/>
              <w:jc w:val="right"/>
              <w:rPr>
                <w:rFonts w:ascii="Arial" w:hAnsi="Arial" w:cs="Arial" w:eastAsia="Arial" w:hint="default"/>
                <w:sz w:val="16"/>
                <w:szCs w:val="16"/>
              </w:rPr>
            </w:pPr>
            <w:r>
              <w:rPr>
                <w:rFonts w:ascii="Arial"/>
                <w:w w:val="98"/>
                <w:sz w:val="16"/>
              </w:rPr>
              <w:t>-</w:t>
            </w:r>
            <w:r>
              <w:rPr>
                <w:rFonts w:ascii="Arial"/>
                <w:sz w:val="16"/>
              </w:rPr>
            </w:r>
          </w:p>
        </w:tc>
        <w:tc>
          <w:tcPr>
            <w:tcW w:w="427" w:type="dxa"/>
            <w:tcBorders>
              <w:top w:val="nil" w:sz="6" w:space="0" w:color="auto"/>
              <w:left w:val="nil" w:sz="6" w:space="0" w:color="auto"/>
              <w:bottom w:val="single" w:sz="6" w:space="0" w:color="000000"/>
              <w:right w:val="nil" w:sz="6" w:space="0" w:color="auto"/>
            </w:tcBorders>
          </w:tcPr>
          <w:p>
            <w:pPr>
              <w:pStyle w:val="TableParagraph"/>
              <w:spacing w:line="177" w:lineRule="exact"/>
              <w:ind w:right="46"/>
              <w:jc w:val="right"/>
              <w:rPr>
                <w:rFonts w:ascii="Arial" w:hAnsi="Arial" w:cs="Arial" w:eastAsia="Arial" w:hint="default"/>
                <w:sz w:val="16"/>
                <w:szCs w:val="16"/>
              </w:rPr>
            </w:pPr>
            <w:r>
              <w:rPr>
                <w:rFonts w:ascii="Arial"/>
                <w:w w:val="98"/>
                <w:sz w:val="16"/>
              </w:rPr>
              <w:t>-</w:t>
            </w:r>
            <w:r>
              <w:rPr>
                <w:rFonts w:ascii="Arial"/>
                <w:sz w:val="16"/>
              </w:rPr>
            </w:r>
          </w:p>
        </w:tc>
        <w:tc>
          <w:tcPr>
            <w:tcW w:w="1114" w:type="dxa"/>
            <w:tcBorders>
              <w:top w:val="nil" w:sz="6" w:space="0" w:color="auto"/>
              <w:left w:val="nil" w:sz="6" w:space="0" w:color="auto"/>
              <w:bottom w:val="single" w:sz="6" w:space="0" w:color="000000"/>
              <w:right w:val="nil" w:sz="6" w:space="0" w:color="auto"/>
            </w:tcBorders>
          </w:tcPr>
          <w:p>
            <w:pPr>
              <w:pStyle w:val="TableParagraph"/>
              <w:spacing w:line="240" w:lineRule="auto" w:before="16"/>
              <w:ind w:right="55"/>
              <w:jc w:val="right"/>
              <w:rPr>
                <w:rFonts w:ascii="Arial" w:hAnsi="Arial" w:cs="Arial" w:eastAsia="Arial" w:hint="default"/>
                <w:sz w:val="16"/>
                <w:szCs w:val="16"/>
              </w:rPr>
            </w:pPr>
            <w:r>
              <w:rPr>
                <w:rFonts w:ascii="Arial"/>
                <w:w w:val="95"/>
                <w:sz w:val="16"/>
              </w:rPr>
              <w:t>123,558,258</w:t>
            </w:r>
            <w:r>
              <w:rPr>
                <w:rFonts w:ascii="Arial"/>
                <w:sz w:val="16"/>
              </w:rPr>
            </w:r>
          </w:p>
        </w:tc>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0"/>
              <w:jc w:val="right"/>
              <w:rPr>
                <w:rFonts w:ascii="Arial" w:hAnsi="Arial" w:cs="Arial" w:eastAsia="Arial" w:hint="default"/>
                <w:sz w:val="16"/>
                <w:szCs w:val="16"/>
              </w:rPr>
            </w:pPr>
            <w:r>
              <w:rPr>
                <w:rFonts w:ascii="Arial"/>
                <w:w w:val="95"/>
                <w:sz w:val="16"/>
              </w:rPr>
              <w:t>69%</w:t>
            </w:r>
            <w:r>
              <w:rPr>
                <w:rFonts w:ascii="Arial"/>
                <w:sz w:val="16"/>
              </w:rPr>
            </w:r>
          </w:p>
        </w:tc>
        <w:tc>
          <w:tcPr>
            <w:tcW w:w="1106" w:type="dxa"/>
            <w:tcBorders>
              <w:top w:val="nil" w:sz="6" w:space="0" w:color="auto"/>
              <w:left w:val="nil" w:sz="6" w:space="0" w:color="auto"/>
              <w:bottom w:val="single" w:sz="6" w:space="0" w:color="000000"/>
              <w:right w:val="nil" w:sz="6" w:space="0" w:color="auto"/>
            </w:tcBorders>
          </w:tcPr>
          <w:p>
            <w:pPr>
              <w:pStyle w:val="TableParagraph"/>
              <w:spacing w:line="240" w:lineRule="auto" w:before="16"/>
              <w:ind w:right="38"/>
              <w:jc w:val="right"/>
              <w:rPr>
                <w:rFonts w:ascii="Arial" w:hAnsi="Arial" w:cs="Arial" w:eastAsia="Arial" w:hint="default"/>
                <w:sz w:val="16"/>
                <w:szCs w:val="16"/>
              </w:rPr>
            </w:pPr>
            <w:r>
              <w:rPr>
                <w:rFonts w:ascii="Arial"/>
                <w:w w:val="98"/>
                <w:sz w:val="16"/>
              </w:rPr>
              <w:t>-</w:t>
            </w:r>
            <w:r>
              <w:rPr>
                <w:rFonts w:ascii="Arial"/>
                <w:sz w:val="16"/>
              </w:rPr>
            </w:r>
          </w:p>
        </w:tc>
        <w:tc>
          <w:tcPr>
            <w:tcW w:w="890" w:type="dxa"/>
            <w:tcBorders>
              <w:top w:val="nil" w:sz="6" w:space="0" w:color="auto"/>
              <w:left w:val="nil" w:sz="6" w:space="0" w:color="auto"/>
              <w:bottom w:val="single" w:sz="6" w:space="0" w:color="000000"/>
              <w:right w:val="nil" w:sz="6" w:space="0" w:color="auto"/>
            </w:tcBorders>
          </w:tcPr>
          <w:p>
            <w:pPr>
              <w:pStyle w:val="TableParagraph"/>
              <w:spacing w:line="240" w:lineRule="auto" w:before="16"/>
              <w:ind w:right="31"/>
              <w:jc w:val="right"/>
              <w:rPr>
                <w:rFonts w:ascii="Arial" w:hAnsi="Arial" w:cs="Arial" w:eastAsia="Arial" w:hint="default"/>
                <w:sz w:val="16"/>
                <w:szCs w:val="16"/>
              </w:rPr>
            </w:pPr>
            <w:r>
              <w:rPr>
                <w:rFonts w:ascii="Arial"/>
                <w:w w:val="98"/>
                <w:sz w:val="16"/>
              </w:rPr>
              <w:t>-</w:t>
            </w:r>
            <w:r>
              <w:rPr>
                <w:rFonts w:ascii="Arial"/>
                <w:sz w:val="16"/>
              </w:rPr>
            </w:r>
          </w:p>
        </w:tc>
        <w:tc>
          <w:tcPr>
            <w:tcW w:w="1541" w:type="dxa"/>
            <w:tcBorders>
              <w:top w:val="nil" w:sz="6" w:space="0" w:color="auto"/>
              <w:left w:val="nil" w:sz="6" w:space="0" w:color="auto"/>
              <w:bottom w:val="nil" w:sz="6" w:space="0" w:color="auto"/>
              <w:right w:val="nil" w:sz="6" w:space="0" w:color="auto"/>
            </w:tcBorders>
          </w:tcPr>
          <w:p>
            <w:pPr>
              <w:pStyle w:val="TableParagraph"/>
              <w:spacing w:line="175" w:lineRule="exact"/>
              <w:ind w:right="7"/>
              <w:jc w:val="right"/>
              <w:rPr>
                <w:rFonts w:ascii="宋体" w:hAnsi="宋体" w:cs="宋体" w:eastAsia="宋体" w:hint="default"/>
                <w:sz w:val="16"/>
                <w:szCs w:val="16"/>
              </w:rPr>
            </w:pPr>
            <w:r>
              <w:rPr>
                <w:rFonts w:ascii="宋体" w:hAnsi="宋体" w:cs="宋体" w:eastAsia="宋体" w:hint="default"/>
                <w:w w:val="95"/>
                <w:sz w:val="16"/>
                <w:szCs w:val="16"/>
              </w:rPr>
              <w:t>自筹资金</w:t>
            </w:r>
            <w:r>
              <w:rPr>
                <w:rFonts w:ascii="宋体" w:hAnsi="宋体" w:cs="宋体" w:eastAsia="宋体" w:hint="default"/>
                <w:sz w:val="16"/>
                <w:szCs w:val="16"/>
              </w:rPr>
            </w:r>
          </w:p>
        </w:tc>
      </w:tr>
      <w:tr>
        <w:trPr>
          <w:trHeight w:val="240"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188" w:lineRule="exact"/>
              <w:ind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818" w:type="dxa"/>
            <w:tcBorders>
              <w:top w:val="nil" w:sz="6" w:space="0" w:color="auto"/>
              <w:left w:val="nil" w:sz="6" w:space="0" w:color="auto"/>
              <w:bottom w:val="nil" w:sz="6" w:space="0" w:color="auto"/>
              <w:right w:val="nil" w:sz="6" w:space="0" w:color="auto"/>
            </w:tcBorders>
          </w:tcPr>
          <w:p>
            <w:pPr/>
          </w:p>
        </w:tc>
        <w:tc>
          <w:tcPr>
            <w:tcW w:w="1090" w:type="dxa"/>
            <w:tcBorders>
              <w:top w:val="single" w:sz="6" w:space="0" w:color="000000"/>
              <w:left w:val="nil" w:sz="6" w:space="0" w:color="auto"/>
              <w:bottom w:val="single" w:sz="17" w:space="0" w:color="000000"/>
              <w:right w:val="nil" w:sz="6" w:space="0" w:color="auto"/>
            </w:tcBorders>
          </w:tcPr>
          <w:p>
            <w:pPr>
              <w:pStyle w:val="TableParagraph"/>
              <w:spacing w:line="240" w:lineRule="auto" w:before="22"/>
              <w:ind w:right="61"/>
              <w:jc w:val="right"/>
              <w:rPr>
                <w:rFonts w:ascii="Arial" w:hAnsi="Arial" w:cs="Arial" w:eastAsia="Arial" w:hint="default"/>
                <w:sz w:val="16"/>
                <w:szCs w:val="16"/>
              </w:rPr>
            </w:pPr>
            <w:r>
              <w:rPr>
                <w:rFonts w:ascii="Arial"/>
                <w:w w:val="95"/>
                <w:sz w:val="16"/>
              </w:rPr>
              <w:t>289,177,770</w:t>
            </w:r>
            <w:r>
              <w:rPr>
                <w:rFonts w:ascii="Arial"/>
                <w:sz w:val="16"/>
              </w:rPr>
            </w:r>
          </w:p>
        </w:tc>
        <w:tc>
          <w:tcPr>
            <w:tcW w:w="1142" w:type="dxa"/>
            <w:tcBorders>
              <w:top w:val="single" w:sz="6" w:space="0" w:color="000000"/>
              <w:left w:val="nil" w:sz="6" w:space="0" w:color="auto"/>
              <w:bottom w:val="single" w:sz="17" w:space="0" w:color="000000"/>
              <w:right w:val="nil" w:sz="6" w:space="0" w:color="auto"/>
            </w:tcBorders>
          </w:tcPr>
          <w:p>
            <w:pPr>
              <w:pStyle w:val="TableParagraph"/>
              <w:spacing w:line="240" w:lineRule="auto" w:before="22"/>
              <w:ind w:right="63"/>
              <w:jc w:val="right"/>
              <w:rPr>
                <w:rFonts w:ascii="Arial" w:hAnsi="Arial" w:cs="Arial" w:eastAsia="Arial" w:hint="default"/>
                <w:sz w:val="16"/>
                <w:szCs w:val="16"/>
              </w:rPr>
            </w:pPr>
            <w:r>
              <w:rPr>
                <w:rFonts w:ascii="Arial"/>
                <w:w w:val="95"/>
                <w:sz w:val="16"/>
              </w:rPr>
              <w:t>1,789,990,060</w:t>
            </w:r>
            <w:r>
              <w:rPr>
                <w:rFonts w:ascii="Arial"/>
                <w:sz w:val="16"/>
              </w:rPr>
            </w:r>
          </w:p>
        </w:tc>
        <w:tc>
          <w:tcPr>
            <w:tcW w:w="1037" w:type="dxa"/>
            <w:tcBorders>
              <w:top w:val="single" w:sz="6" w:space="0" w:color="000000"/>
              <w:left w:val="nil" w:sz="6" w:space="0" w:color="auto"/>
              <w:bottom w:val="single" w:sz="17" w:space="0" w:color="000000"/>
              <w:right w:val="nil" w:sz="6" w:space="0" w:color="auto"/>
            </w:tcBorders>
          </w:tcPr>
          <w:p>
            <w:pPr>
              <w:pStyle w:val="TableParagraph"/>
              <w:spacing w:line="240" w:lineRule="auto" w:before="22"/>
              <w:ind w:right="70"/>
              <w:jc w:val="right"/>
              <w:rPr>
                <w:rFonts w:ascii="Arial" w:hAnsi="Arial" w:cs="Arial" w:eastAsia="Arial" w:hint="default"/>
                <w:sz w:val="16"/>
                <w:szCs w:val="16"/>
              </w:rPr>
            </w:pPr>
            <w:r>
              <w:rPr>
                <w:rFonts w:ascii="Arial"/>
                <w:w w:val="95"/>
                <w:sz w:val="16"/>
              </w:rPr>
              <w:t>222,111,500</w:t>
            </w:r>
            <w:r>
              <w:rPr>
                <w:rFonts w:ascii="Arial"/>
                <w:sz w:val="16"/>
              </w:rPr>
            </w:r>
          </w:p>
        </w:tc>
        <w:tc>
          <w:tcPr>
            <w:tcW w:w="427" w:type="dxa"/>
            <w:tcBorders>
              <w:top w:val="single" w:sz="6" w:space="0" w:color="000000"/>
              <w:left w:val="nil" w:sz="6" w:space="0" w:color="auto"/>
              <w:bottom w:val="single" w:sz="17" w:space="0" w:color="000000"/>
              <w:right w:val="nil" w:sz="6" w:space="0" w:color="auto"/>
            </w:tcBorders>
          </w:tcPr>
          <w:p>
            <w:pPr>
              <w:pStyle w:val="TableParagraph"/>
              <w:spacing w:line="240" w:lineRule="auto" w:before="22"/>
              <w:ind w:right="46"/>
              <w:jc w:val="right"/>
              <w:rPr>
                <w:rFonts w:ascii="Arial" w:hAnsi="Arial" w:cs="Arial" w:eastAsia="Arial" w:hint="default"/>
                <w:sz w:val="16"/>
                <w:szCs w:val="16"/>
              </w:rPr>
            </w:pPr>
            <w:r>
              <w:rPr>
                <w:rFonts w:ascii="Arial"/>
                <w:w w:val="98"/>
                <w:sz w:val="16"/>
              </w:rPr>
              <w:t>-</w:t>
            </w:r>
            <w:r>
              <w:rPr>
                <w:rFonts w:ascii="Arial"/>
                <w:sz w:val="16"/>
              </w:rPr>
            </w:r>
          </w:p>
        </w:tc>
        <w:tc>
          <w:tcPr>
            <w:tcW w:w="1114" w:type="dxa"/>
            <w:tcBorders>
              <w:top w:val="single" w:sz="6" w:space="0" w:color="000000"/>
              <w:left w:val="nil" w:sz="6" w:space="0" w:color="auto"/>
              <w:bottom w:val="single" w:sz="17" w:space="0" w:color="000000"/>
              <w:right w:val="nil" w:sz="6" w:space="0" w:color="auto"/>
            </w:tcBorders>
          </w:tcPr>
          <w:p>
            <w:pPr>
              <w:pStyle w:val="TableParagraph"/>
              <w:spacing w:line="240" w:lineRule="auto" w:before="22"/>
              <w:ind w:right="53"/>
              <w:jc w:val="right"/>
              <w:rPr>
                <w:rFonts w:ascii="Arial" w:hAnsi="Arial" w:cs="Arial" w:eastAsia="Arial" w:hint="default"/>
                <w:sz w:val="16"/>
                <w:szCs w:val="16"/>
              </w:rPr>
            </w:pPr>
            <w:r>
              <w:rPr>
                <w:rFonts w:ascii="Arial"/>
                <w:w w:val="95"/>
                <w:sz w:val="16"/>
              </w:rPr>
              <w:t>1,857,056,330</w:t>
            </w:r>
            <w:r>
              <w:rPr>
                <w:rFonts w:ascii="Arial"/>
                <w:sz w:val="16"/>
              </w:rPr>
            </w:r>
          </w:p>
        </w:tc>
        <w:tc>
          <w:tcPr>
            <w:tcW w:w="744" w:type="dxa"/>
            <w:tcBorders>
              <w:top w:val="nil" w:sz="6" w:space="0" w:color="auto"/>
              <w:left w:val="nil" w:sz="6" w:space="0" w:color="auto"/>
              <w:bottom w:val="nil" w:sz="6" w:space="0" w:color="auto"/>
              <w:right w:val="nil" w:sz="6" w:space="0" w:color="auto"/>
            </w:tcBorders>
          </w:tcPr>
          <w:p>
            <w:pPr/>
          </w:p>
        </w:tc>
        <w:tc>
          <w:tcPr>
            <w:tcW w:w="1106" w:type="dxa"/>
            <w:tcBorders>
              <w:top w:val="single" w:sz="6" w:space="0" w:color="000000"/>
              <w:left w:val="nil" w:sz="6" w:space="0" w:color="auto"/>
              <w:bottom w:val="single" w:sz="17" w:space="0" w:color="000000"/>
              <w:right w:val="nil" w:sz="6" w:space="0" w:color="auto"/>
            </w:tcBorders>
          </w:tcPr>
          <w:p>
            <w:pPr>
              <w:pStyle w:val="TableParagraph"/>
              <w:spacing w:line="240" w:lineRule="auto" w:before="22"/>
              <w:ind w:right="41"/>
              <w:jc w:val="right"/>
              <w:rPr>
                <w:rFonts w:ascii="Arial" w:hAnsi="Arial" w:cs="Arial" w:eastAsia="Arial" w:hint="default"/>
                <w:sz w:val="16"/>
                <w:szCs w:val="16"/>
              </w:rPr>
            </w:pPr>
            <w:r>
              <w:rPr>
                <w:rFonts w:ascii="Arial"/>
                <w:w w:val="95"/>
                <w:sz w:val="16"/>
              </w:rPr>
              <w:t>5,546,176</w:t>
            </w:r>
            <w:r>
              <w:rPr>
                <w:rFonts w:ascii="Arial"/>
                <w:sz w:val="16"/>
              </w:rPr>
            </w:r>
          </w:p>
        </w:tc>
        <w:tc>
          <w:tcPr>
            <w:tcW w:w="890" w:type="dxa"/>
            <w:tcBorders>
              <w:top w:val="single" w:sz="6" w:space="0" w:color="000000"/>
              <w:left w:val="nil" w:sz="6" w:space="0" w:color="auto"/>
              <w:bottom w:val="single" w:sz="17" w:space="0" w:color="000000"/>
              <w:right w:val="nil" w:sz="6" w:space="0" w:color="auto"/>
            </w:tcBorders>
          </w:tcPr>
          <w:p>
            <w:pPr>
              <w:pStyle w:val="TableParagraph"/>
              <w:spacing w:line="240" w:lineRule="auto" w:before="22"/>
              <w:ind w:right="34"/>
              <w:jc w:val="right"/>
              <w:rPr>
                <w:rFonts w:ascii="Arial" w:hAnsi="Arial" w:cs="Arial" w:eastAsia="Arial" w:hint="default"/>
                <w:sz w:val="16"/>
                <w:szCs w:val="16"/>
              </w:rPr>
            </w:pPr>
            <w:r>
              <w:rPr>
                <w:rFonts w:ascii="Arial"/>
                <w:w w:val="95"/>
                <w:sz w:val="16"/>
              </w:rPr>
              <w:t>4,069,837</w:t>
            </w:r>
            <w:r>
              <w:rPr>
                <w:rFonts w:ascii="Arial"/>
                <w:sz w:val="16"/>
              </w:rPr>
            </w:r>
          </w:p>
        </w:tc>
        <w:tc>
          <w:tcPr>
            <w:tcW w:w="1541" w:type="dxa"/>
            <w:tcBorders>
              <w:top w:val="nil" w:sz="6" w:space="0" w:color="auto"/>
              <w:left w:val="nil" w:sz="6" w:space="0" w:color="auto"/>
              <w:bottom w:val="nil" w:sz="6" w:space="0" w:color="auto"/>
              <w:right w:val="nil" w:sz="6" w:space="0" w:color="auto"/>
            </w:tcBorders>
          </w:tcPr>
          <w:p>
            <w:pPr/>
          </w:p>
        </w:tc>
      </w:tr>
    </w:tbl>
    <w:p>
      <w:pPr>
        <w:spacing w:line="240" w:lineRule="auto" w:before="2"/>
        <w:rPr>
          <w:rFonts w:ascii="宋体" w:hAnsi="宋体" w:cs="宋体" w:eastAsia="宋体" w:hint="default"/>
          <w:sz w:val="14"/>
          <w:szCs w:val="14"/>
        </w:rPr>
      </w:pPr>
    </w:p>
    <w:p>
      <w:pPr>
        <w:pStyle w:val="BodyText"/>
        <w:spacing w:line="240" w:lineRule="auto" w:before="32"/>
        <w:ind w:left="113" w:right="0"/>
        <w:jc w:val="left"/>
      </w:pPr>
      <w:r>
        <w:rPr>
          <w:rFonts w:ascii="Arial" w:hAnsi="Arial" w:cs="Arial" w:eastAsia="Arial" w:hint="default"/>
        </w:rPr>
        <w:t>(2)</w:t>
      </w:r>
      <w:r>
        <w:rPr>
          <w:rFonts w:ascii="Arial" w:hAnsi="Arial" w:cs="Arial" w:eastAsia="Arial" w:hint="default"/>
          <w:spacing w:val="25"/>
        </w:rPr>
        <w:t> </w:t>
      </w:r>
      <w:r>
        <w:rPr/>
        <w:t>本集团对技术、性能上明显落后或已终止建设、预计将不能为本集团带来未来经济收益的在建工程计提资产减值准备。</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22"/>
          <w:szCs w:val="22"/>
        </w:rPr>
      </w:pPr>
    </w:p>
    <w:p>
      <w:pPr>
        <w:spacing w:before="0"/>
        <w:ind w:left="7196" w:right="6856" w:firstLine="0"/>
        <w:jc w:val="center"/>
        <w:rPr>
          <w:rFonts w:ascii="宋体" w:hAnsi="宋体" w:cs="宋体" w:eastAsia="宋体" w:hint="default"/>
          <w:sz w:val="16"/>
          <w:szCs w:val="16"/>
        </w:rPr>
      </w:pPr>
      <w:r>
        <w:rPr>
          <w:rFonts w:ascii="宋体" w:hAnsi="宋体" w:cs="宋体" w:eastAsia="宋体" w:hint="default"/>
          <w:sz w:val="16"/>
          <w:szCs w:val="16"/>
        </w:rPr>
        <w:t>141／220</w:t>
      </w:r>
    </w:p>
    <w:p>
      <w:pPr>
        <w:spacing w:after="0"/>
        <w:jc w:val="center"/>
        <w:rPr>
          <w:rFonts w:ascii="宋体" w:hAnsi="宋体" w:cs="宋体" w:eastAsia="宋体" w:hint="default"/>
          <w:sz w:val="16"/>
          <w:szCs w:val="16"/>
        </w:rPr>
        <w:sectPr>
          <w:headerReference w:type="default" r:id="rId166"/>
          <w:footerReference w:type="default" r:id="rId167"/>
          <w:pgSz w:w="16840" w:h="11910" w:orient="landscape"/>
          <w:pgMar w:header="0" w:footer="0" w:top="1100" w:bottom="280" w:left="880" w:right="1220"/>
        </w:sectPr>
      </w:pPr>
    </w:p>
    <w:p>
      <w:pPr>
        <w:spacing w:line="240" w:lineRule="auto" w:before="1"/>
        <w:rPr>
          <w:rFonts w:ascii="宋体" w:hAnsi="宋体" w:cs="宋体" w:eastAsia="宋体" w:hint="default"/>
          <w:sz w:val="11"/>
          <w:szCs w:val="11"/>
        </w:rPr>
      </w:pPr>
    </w:p>
    <w:p>
      <w:pPr>
        <w:pStyle w:val="BodyText"/>
        <w:tabs>
          <w:tab w:pos="602" w:val="left" w:leader="none"/>
        </w:tabs>
        <w:spacing w:line="424" w:lineRule="auto" w:before="32"/>
        <w:ind w:left="112" w:right="7522"/>
        <w:jc w:val="left"/>
      </w:pPr>
      <w:r>
        <w:rPr>
          <w:rFonts w:ascii="Arial" w:hAnsi="Arial" w:cs="Arial" w:eastAsia="Arial" w:hint="default"/>
        </w:rPr>
        <w:t>13</w:t>
      </w:r>
      <w:r>
        <w:rPr/>
        <w:t>、在建工程（续）</w:t>
      </w:r>
      <w:r>
        <w:rPr>
          <w:spacing w:val="-104"/>
        </w:rPr>
        <w:t> </w:t>
      </w:r>
      <w:r>
        <w:rPr>
          <w:spacing w:val="-104"/>
        </w:rPr>
      </w:r>
      <w:r>
        <w:rPr>
          <w:rFonts w:ascii="Arial" w:hAnsi="Arial" w:cs="Arial" w:eastAsia="Arial" w:hint="default"/>
        </w:rPr>
        <w:t>(b)</w:t>
        <w:tab/>
      </w:r>
      <w:r>
        <w:rPr/>
        <w:t>工程物资</w:t>
      </w:r>
    </w:p>
    <w:p>
      <w:pPr>
        <w:spacing w:line="240" w:lineRule="auto" w:before="12"/>
        <w:rPr>
          <w:rFonts w:ascii="宋体" w:hAnsi="宋体" w:cs="宋体" w:eastAsia="宋体" w:hint="default"/>
          <w:sz w:val="8"/>
          <w:szCs w:val="8"/>
        </w:rPr>
      </w:pPr>
    </w:p>
    <w:tbl>
      <w:tblPr>
        <w:tblW w:w="0" w:type="auto"/>
        <w:jc w:val="left"/>
        <w:tblInd w:w="364" w:type="dxa"/>
        <w:tblLayout w:type="fixed"/>
        <w:tblCellMar>
          <w:top w:w="0" w:type="dxa"/>
          <w:left w:w="0" w:type="dxa"/>
          <w:bottom w:w="0" w:type="dxa"/>
          <w:right w:w="0" w:type="dxa"/>
        </w:tblCellMar>
        <w:tblLook w:val="01E0"/>
      </w:tblPr>
      <w:tblGrid>
        <w:gridCol w:w="4400"/>
        <w:gridCol w:w="2326"/>
        <w:gridCol w:w="136"/>
        <w:gridCol w:w="2317"/>
      </w:tblGrid>
      <w:tr>
        <w:trPr>
          <w:trHeight w:val="259" w:hRule="exact"/>
        </w:trPr>
        <w:tc>
          <w:tcPr>
            <w:tcW w:w="4400" w:type="dxa"/>
            <w:tcBorders>
              <w:top w:val="nil" w:sz="6" w:space="0" w:color="auto"/>
              <w:left w:val="nil" w:sz="6" w:space="0" w:color="auto"/>
              <w:bottom w:val="nil" w:sz="6" w:space="0" w:color="auto"/>
              <w:right w:val="nil" w:sz="6" w:space="0" w:color="auto"/>
            </w:tcBorders>
          </w:tcPr>
          <w:p>
            <w:pPr/>
          </w:p>
        </w:tc>
        <w:tc>
          <w:tcPr>
            <w:tcW w:w="2326" w:type="dxa"/>
            <w:tcBorders>
              <w:top w:val="nil" w:sz="6" w:space="0" w:color="auto"/>
              <w:left w:val="nil" w:sz="6" w:space="0" w:color="auto"/>
              <w:bottom w:val="single" w:sz="6" w:space="0" w:color="000000"/>
              <w:right w:val="nil" w:sz="6" w:space="0" w:color="auto"/>
            </w:tcBorders>
          </w:tcPr>
          <w:p>
            <w:pPr>
              <w:pStyle w:val="TableParagraph"/>
              <w:spacing w:line="236" w:lineRule="exact"/>
              <w:ind w:right="44"/>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136" w:type="dxa"/>
            <w:tcBorders>
              <w:top w:val="nil" w:sz="6" w:space="0" w:color="auto"/>
              <w:left w:val="nil" w:sz="6" w:space="0" w:color="auto"/>
              <w:bottom w:val="nil" w:sz="6" w:space="0" w:color="auto"/>
              <w:right w:val="nil" w:sz="6" w:space="0" w:color="auto"/>
            </w:tcBorders>
          </w:tcPr>
          <w:p>
            <w:pPr/>
          </w:p>
        </w:tc>
        <w:tc>
          <w:tcPr>
            <w:tcW w:w="2317" w:type="dxa"/>
            <w:tcBorders>
              <w:top w:val="nil" w:sz="6" w:space="0" w:color="auto"/>
              <w:left w:val="nil" w:sz="6" w:space="0" w:color="auto"/>
              <w:bottom w:val="single" w:sz="6" w:space="0" w:color="000000"/>
              <w:right w:val="nil" w:sz="6" w:space="0" w:color="auto"/>
            </w:tcBorders>
          </w:tcPr>
          <w:p>
            <w:pPr>
              <w:pStyle w:val="TableParagraph"/>
              <w:spacing w:line="236" w:lineRule="exact"/>
              <w:ind w:left="307"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557" w:hRule="exact"/>
        </w:trPr>
        <w:tc>
          <w:tcPr>
            <w:tcW w:w="440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工程设备</w:t>
            </w:r>
          </w:p>
        </w:tc>
        <w:tc>
          <w:tcPr>
            <w:tcW w:w="2326"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56"/>
              <w:jc w:val="right"/>
              <w:rPr>
                <w:rFonts w:ascii="Arial" w:hAnsi="Arial" w:cs="Arial" w:eastAsia="Arial" w:hint="default"/>
                <w:sz w:val="22"/>
                <w:szCs w:val="22"/>
              </w:rPr>
            </w:pPr>
            <w:r>
              <w:rPr>
                <w:rFonts w:ascii="Arial"/>
                <w:spacing w:val="-1"/>
                <w:sz w:val="22"/>
              </w:rPr>
              <w:t>534,182,695</w:t>
            </w:r>
          </w:p>
        </w:tc>
        <w:tc>
          <w:tcPr>
            <w:tcW w:w="136" w:type="dxa"/>
            <w:tcBorders>
              <w:top w:val="nil" w:sz="6" w:space="0" w:color="auto"/>
              <w:left w:val="nil" w:sz="6" w:space="0" w:color="auto"/>
              <w:bottom w:val="nil" w:sz="6" w:space="0" w:color="auto"/>
              <w:right w:val="nil" w:sz="6" w:space="0" w:color="auto"/>
            </w:tcBorders>
          </w:tcPr>
          <w:p>
            <w:pPr/>
          </w:p>
        </w:tc>
        <w:tc>
          <w:tcPr>
            <w:tcW w:w="2317"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56"/>
              <w:jc w:val="right"/>
              <w:rPr>
                <w:rFonts w:ascii="Arial" w:hAnsi="Arial" w:cs="Arial" w:eastAsia="Arial" w:hint="default"/>
                <w:sz w:val="22"/>
                <w:szCs w:val="22"/>
              </w:rPr>
            </w:pPr>
            <w:r>
              <w:rPr>
                <w:rFonts w:ascii="Arial"/>
                <w:spacing w:val="-1"/>
                <w:sz w:val="22"/>
              </w:rPr>
              <w:t>535,869,631</w:t>
            </w:r>
          </w:p>
        </w:tc>
      </w:tr>
      <w:tr>
        <w:trPr>
          <w:trHeight w:val="295" w:hRule="exact"/>
        </w:trPr>
        <w:tc>
          <w:tcPr>
            <w:tcW w:w="440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工程材料</w:t>
            </w:r>
          </w:p>
        </w:tc>
        <w:tc>
          <w:tcPr>
            <w:tcW w:w="2326" w:type="dxa"/>
            <w:tcBorders>
              <w:top w:val="nil" w:sz="6" w:space="0" w:color="auto"/>
              <w:left w:val="nil" w:sz="6" w:space="0" w:color="auto"/>
              <w:bottom w:val="nil" w:sz="6" w:space="0" w:color="auto"/>
              <w:right w:val="nil" w:sz="6" w:space="0" w:color="auto"/>
            </w:tcBorders>
          </w:tcPr>
          <w:p>
            <w:pPr>
              <w:pStyle w:val="TableParagraph"/>
              <w:tabs>
                <w:tab w:pos="1161" w:val="left" w:leader="none"/>
                <w:tab w:pos="2323" w:val="left" w:leader="none"/>
              </w:tabs>
              <w:spacing w:line="240" w:lineRule="auto" w:before="21"/>
              <w:ind w:right="1"/>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26,138,002</w:t>
              <w:tab/>
            </w:r>
            <w:r>
              <w:rPr>
                <w:rFonts w:ascii="Arial"/>
                <w:spacing w:val="-1"/>
                <w:sz w:val="22"/>
              </w:rPr>
            </w:r>
          </w:p>
        </w:tc>
        <w:tc>
          <w:tcPr>
            <w:tcW w:w="136" w:type="dxa"/>
            <w:tcBorders>
              <w:top w:val="nil" w:sz="6" w:space="0" w:color="auto"/>
              <w:left w:val="nil" w:sz="6" w:space="0" w:color="auto"/>
              <w:bottom w:val="nil" w:sz="6" w:space="0" w:color="auto"/>
              <w:right w:val="nil" w:sz="6" w:space="0" w:color="auto"/>
            </w:tcBorders>
          </w:tcPr>
          <w:p>
            <w:pPr/>
          </w:p>
        </w:tc>
        <w:tc>
          <w:tcPr>
            <w:tcW w:w="2317" w:type="dxa"/>
            <w:tcBorders>
              <w:top w:val="nil" w:sz="6" w:space="0" w:color="auto"/>
              <w:left w:val="nil" w:sz="6" w:space="0" w:color="auto"/>
              <w:bottom w:val="nil" w:sz="6" w:space="0" w:color="auto"/>
              <w:right w:val="nil" w:sz="6" w:space="0" w:color="auto"/>
            </w:tcBorders>
          </w:tcPr>
          <w:p>
            <w:pPr>
              <w:pStyle w:val="TableParagraph"/>
              <w:tabs>
                <w:tab w:pos="1156" w:val="left" w:leader="none"/>
              </w:tabs>
              <w:spacing w:line="240" w:lineRule="auto" w:before="21"/>
              <w:ind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26,048,499</w:t>
            </w:r>
            <w:r>
              <w:rPr>
                <w:rFonts w:ascii="Arial"/>
                <w:sz w:val="22"/>
              </w:rPr>
            </w:r>
          </w:p>
        </w:tc>
      </w:tr>
      <w:tr>
        <w:trPr>
          <w:trHeight w:val="418" w:hRule="exact"/>
        </w:trPr>
        <w:tc>
          <w:tcPr>
            <w:tcW w:w="4400" w:type="dxa"/>
            <w:tcBorders>
              <w:top w:val="nil" w:sz="6" w:space="0" w:color="auto"/>
              <w:left w:val="nil" w:sz="6" w:space="0" w:color="auto"/>
              <w:bottom w:val="nil" w:sz="6" w:space="0" w:color="auto"/>
              <w:right w:val="nil" w:sz="6" w:space="0" w:color="auto"/>
            </w:tcBorders>
          </w:tcPr>
          <w:p>
            <w:pPr>
              <w:pStyle w:val="TableParagraph"/>
              <w:spacing w:line="246" w:lineRule="exact"/>
              <w:ind w:left="200" w:right="0"/>
              <w:jc w:val="left"/>
              <w:rPr>
                <w:rFonts w:ascii="宋体" w:hAnsi="宋体" w:cs="宋体" w:eastAsia="宋体" w:hint="default"/>
                <w:sz w:val="22"/>
                <w:szCs w:val="22"/>
              </w:rPr>
            </w:pPr>
            <w:r>
              <w:rPr>
                <w:rFonts w:ascii="宋体" w:hAnsi="宋体" w:cs="宋体" w:eastAsia="宋体" w:hint="default"/>
                <w:sz w:val="22"/>
                <w:szCs w:val="22"/>
              </w:rPr>
              <w:t>小计</w:t>
            </w:r>
            <w:r>
              <w:rPr>
                <w:rFonts w:ascii="宋体" w:hAnsi="宋体" w:cs="宋体" w:eastAsia="宋体" w:hint="default"/>
                <w:sz w:val="22"/>
                <w:szCs w:val="22"/>
              </w:rPr>
              <w:t> </w:t>
            </w:r>
          </w:p>
        </w:tc>
        <w:tc>
          <w:tcPr>
            <w:tcW w:w="23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9"/>
              <w:jc w:val="right"/>
              <w:rPr>
                <w:rFonts w:ascii="Arial" w:hAnsi="Arial" w:cs="Arial" w:eastAsia="Arial" w:hint="default"/>
                <w:sz w:val="22"/>
                <w:szCs w:val="22"/>
              </w:rPr>
            </w:pPr>
            <w:r>
              <w:rPr>
                <w:rFonts w:ascii="Arial"/>
                <w:sz w:val="22"/>
              </w:rPr>
              <w:t>560,320,697</w:t>
            </w:r>
          </w:p>
        </w:tc>
        <w:tc>
          <w:tcPr>
            <w:tcW w:w="136" w:type="dxa"/>
            <w:tcBorders>
              <w:top w:val="nil" w:sz="6" w:space="0" w:color="auto"/>
              <w:left w:val="nil" w:sz="6" w:space="0" w:color="auto"/>
              <w:bottom w:val="nil" w:sz="6" w:space="0" w:color="auto"/>
              <w:right w:val="nil" w:sz="6" w:space="0" w:color="auto"/>
            </w:tcBorders>
          </w:tcPr>
          <w:p>
            <w:pPr/>
          </w:p>
        </w:tc>
        <w:tc>
          <w:tcPr>
            <w:tcW w:w="231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6"/>
              <w:jc w:val="right"/>
              <w:rPr>
                <w:rFonts w:ascii="Arial" w:hAnsi="Arial" w:cs="Arial" w:eastAsia="Arial" w:hint="default"/>
                <w:sz w:val="22"/>
                <w:szCs w:val="22"/>
              </w:rPr>
            </w:pPr>
            <w:r>
              <w:rPr>
                <w:rFonts w:ascii="Arial"/>
                <w:spacing w:val="-1"/>
                <w:sz w:val="22"/>
              </w:rPr>
              <w:t>561,918,130</w:t>
            </w:r>
          </w:p>
        </w:tc>
      </w:tr>
      <w:tr>
        <w:trPr>
          <w:trHeight w:val="547" w:hRule="exact"/>
        </w:trPr>
        <w:tc>
          <w:tcPr>
            <w:tcW w:w="4400" w:type="dxa"/>
            <w:tcBorders>
              <w:top w:val="nil" w:sz="6" w:space="0" w:color="auto"/>
              <w:left w:val="nil" w:sz="6" w:space="0" w:color="auto"/>
              <w:bottom w:val="nil" w:sz="6" w:space="0" w:color="auto"/>
              <w:right w:val="nil" w:sz="6" w:space="0" w:color="auto"/>
            </w:tcBorders>
          </w:tcPr>
          <w:p>
            <w:pPr>
              <w:pStyle w:val="TableParagraph"/>
              <w:spacing w:line="240" w:lineRule="auto" w:before="78"/>
              <w:ind w:left="200" w:right="0"/>
              <w:jc w:val="left"/>
              <w:rPr>
                <w:rFonts w:ascii="宋体" w:hAnsi="宋体" w:cs="宋体" w:eastAsia="宋体" w:hint="default"/>
                <w:sz w:val="22"/>
                <w:szCs w:val="22"/>
              </w:rPr>
            </w:pPr>
            <w:r>
              <w:rPr>
                <w:rFonts w:ascii="宋体" w:hAnsi="宋体" w:cs="宋体" w:eastAsia="宋体" w:hint="default"/>
                <w:sz w:val="22"/>
                <w:szCs w:val="22"/>
              </w:rPr>
              <w:t>工程物资减值准备</w:t>
            </w:r>
          </w:p>
        </w:tc>
        <w:tc>
          <w:tcPr>
            <w:tcW w:w="2326" w:type="dxa"/>
            <w:tcBorders>
              <w:top w:val="nil" w:sz="6" w:space="0" w:color="auto"/>
              <w:left w:val="nil" w:sz="6" w:space="0" w:color="auto"/>
              <w:bottom w:val="nil" w:sz="6" w:space="0" w:color="auto"/>
              <w:right w:val="nil" w:sz="6" w:space="0" w:color="auto"/>
            </w:tcBorders>
          </w:tcPr>
          <w:p>
            <w:pPr>
              <w:pStyle w:val="TableParagraph"/>
              <w:tabs>
                <w:tab w:pos="1195" w:val="left" w:leader="none"/>
              </w:tabs>
              <w:spacing w:line="240" w:lineRule="auto" w:before="148"/>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(6,618,330)</w:t>
            </w:r>
            <w:r>
              <w:rPr>
                <w:rFonts w:ascii="Arial"/>
                <w:sz w:val="22"/>
              </w:rPr>
            </w:r>
          </w:p>
        </w:tc>
        <w:tc>
          <w:tcPr>
            <w:tcW w:w="136" w:type="dxa"/>
            <w:tcBorders>
              <w:top w:val="nil" w:sz="6" w:space="0" w:color="auto"/>
              <w:left w:val="nil" w:sz="6" w:space="0" w:color="auto"/>
              <w:bottom w:val="nil" w:sz="6" w:space="0" w:color="auto"/>
              <w:right w:val="nil" w:sz="6" w:space="0" w:color="auto"/>
            </w:tcBorders>
          </w:tcPr>
          <w:p>
            <w:pPr/>
          </w:p>
        </w:tc>
        <w:tc>
          <w:tcPr>
            <w:tcW w:w="2317" w:type="dxa"/>
            <w:tcBorders>
              <w:top w:val="nil" w:sz="6" w:space="0" w:color="auto"/>
              <w:left w:val="nil" w:sz="6" w:space="0" w:color="auto"/>
              <w:bottom w:val="nil" w:sz="6" w:space="0" w:color="auto"/>
              <w:right w:val="nil" w:sz="6" w:space="0" w:color="auto"/>
            </w:tcBorders>
          </w:tcPr>
          <w:p>
            <w:pPr>
              <w:pStyle w:val="TableParagraph"/>
              <w:tabs>
                <w:tab w:pos="1185" w:val="left" w:leader="none"/>
              </w:tabs>
              <w:spacing w:line="240" w:lineRule="auto" w:before="148"/>
              <w:ind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(5,685,562)</w:t>
            </w:r>
            <w:r>
              <w:rPr>
                <w:rFonts w:ascii="Arial"/>
                <w:sz w:val="22"/>
              </w:rPr>
            </w:r>
          </w:p>
        </w:tc>
      </w:tr>
      <w:tr>
        <w:trPr>
          <w:trHeight w:val="429" w:hRule="exact"/>
        </w:trPr>
        <w:tc>
          <w:tcPr>
            <w:tcW w:w="440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工程物资合计</w:t>
            </w:r>
          </w:p>
        </w:tc>
        <w:tc>
          <w:tcPr>
            <w:tcW w:w="2326" w:type="dxa"/>
            <w:tcBorders>
              <w:top w:val="nil" w:sz="6" w:space="0" w:color="auto"/>
              <w:left w:val="nil" w:sz="6" w:space="0" w:color="auto"/>
              <w:bottom w:val="single" w:sz="17" w:space="0" w:color="000000"/>
              <w:right w:val="nil" w:sz="6" w:space="0" w:color="auto"/>
            </w:tcBorders>
          </w:tcPr>
          <w:p>
            <w:pPr>
              <w:pStyle w:val="TableParagraph"/>
              <w:spacing w:line="240" w:lineRule="auto" w:before="153"/>
              <w:ind w:right="59"/>
              <w:jc w:val="right"/>
              <w:rPr>
                <w:rFonts w:ascii="Arial" w:hAnsi="Arial" w:cs="Arial" w:eastAsia="Arial" w:hint="default"/>
                <w:sz w:val="22"/>
                <w:szCs w:val="22"/>
              </w:rPr>
            </w:pPr>
            <w:r>
              <w:rPr>
                <w:rFonts w:ascii="Arial"/>
                <w:sz w:val="22"/>
              </w:rPr>
              <w:t>553,702,367</w:t>
            </w:r>
          </w:p>
        </w:tc>
        <w:tc>
          <w:tcPr>
            <w:tcW w:w="136" w:type="dxa"/>
            <w:tcBorders>
              <w:top w:val="nil" w:sz="6" w:space="0" w:color="auto"/>
              <w:left w:val="nil" w:sz="6" w:space="0" w:color="auto"/>
              <w:bottom w:val="nil" w:sz="6" w:space="0" w:color="auto"/>
              <w:right w:val="nil" w:sz="6" w:space="0" w:color="auto"/>
            </w:tcBorders>
          </w:tcPr>
          <w:p>
            <w:pPr/>
          </w:p>
        </w:tc>
        <w:tc>
          <w:tcPr>
            <w:tcW w:w="2317" w:type="dxa"/>
            <w:tcBorders>
              <w:top w:val="nil" w:sz="6" w:space="0" w:color="auto"/>
              <w:left w:val="nil" w:sz="6" w:space="0" w:color="auto"/>
              <w:bottom w:val="single" w:sz="17" w:space="0" w:color="000000"/>
              <w:right w:val="nil" w:sz="6" w:space="0" w:color="auto"/>
            </w:tcBorders>
          </w:tcPr>
          <w:p>
            <w:pPr>
              <w:pStyle w:val="TableParagraph"/>
              <w:spacing w:line="240" w:lineRule="auto" w:before="153"/>
              <w:ind w:right="56"/>
              <w:jc w:val="right"/>
              <w:rPr>
                <w:rFonts w:ascii="Arial" w:hAnsi="Arial" w:cs="Arial" w:eastAsia="Arial" w:hint="default"/>
                <w:sz w:val="22"/>
                <w:szCs w:val="22"/>
              </w:rPr>
            </w:pPr>
            <w:r>
              <w:rPr>
                <w:rFonts w:ascii="Arial"/>
                <w:spacing w:val="-1"/>
                <w:sz w:val="22"/>
              </w:rPr>
              <w:t>556,232,568</w:t>
            </w:r>
          </w:p>
        </w:tc>
      </w:tr>
    </w:tbl>
    <w:p>
      <w:pPr>
        <w:spacing w:line="240" w:lineRule="auto" w:before="9"/>
        <w:rPr>
          <w:rFonts w:ascii="宋体" w:hAnsi="宋体" w:cs="宋体" w:eastAsia="宋体" w:hint="default"/>
          <w:sz w:val="8"/>
          <w:szCs w:val="8"/>
        </w:rPr>
      </w:pPr>
    </w:p>
    <w:p>
      <w:pPr>
        <w:pStyle w:val="BodyText"/>
        <w:spacing w:line="240" w:lineRule="auto" w:before="32"/>
        <w:ind w:left="112" w:right="7522"/>
        <w:jc w:val="left"/>
      </w:pPr>
      <w:r>
        <w:rPr>
          <w:rFonts w:ascii="Arial" w:hAnsi="Arial" w:cs="Arial" w:eastAsia="Arial" w:hint="default"/>
        </w:rPr>
        <w:t>14</w:t>
      </w:r>
      <w:r>
        <w:rPr/>
        <w:t>、无形资产</w:t>
      </w:r>
    </w:p>
    <w:p>
      <w:pPr>
        <w:spacing w:line="240" w:lineRule="auto" w:before="3"/>
        <w:rPr>
          <w:rFonts w:ascii="宋体" w:hAnsi="宋体" w:cs="宋体" w:eastAsia="宋体" w:hint="default"/>
          <w:sz w:val="22"/>
          <w:szCs w:val="22"/>
        </w:rPr>
      </w:pPr>
    </w:p>
    <w:tbl>
      <w:tblPr>
        <w:tblW w:w="0" w:type="auto"/>
        <w:jc w:val="left"/>
        <w:tblInd w:w="364" w:type="dxa"/>
        <w:tblLayout w:type="fixed"/>
        <w:tblCellMar>
          <w:top w:w="0" w:type="dxa"/>
          <w:left w:w="0" w:type="dxa"/>
          <w:bottom w:w="0" w:type="dxa"/>
          <w:right w:w="0" w:type="dxa"/>
        </w:tblCellMar>
        <w:tblLook w:val="01E0"/>
      </w:tblPr>
      <w:tblGrid>
        <w:gridCol w:w="1794"/>
        <w:gridCol w:w="1483"/>
        <w:gridCol w:w="1498"/>
        <w:gridCol w:w="1418"/>
        <w:gridCol w:w="1362"/>
        <w:gridCol w:w="1622"/>
      </w:tblGrid>
      <w:tr>
        <w:trPr>
          <w:trHeight w:val="452" w:hRule="exact"/>
        </w:trPr>
        <w:tc>
          <w:tcPr>
            <w:tcW w:w="1794" w:type="dxa"/>
            <w:tcBorders>
              <w:top w:val="nil" w:sz="6" w:space="0" w:color="auto"/>
              <w:left w:val="nil" w:sz="6" w:space="0" w:color="auto"/>
              <w:bottom w:val="nil" w:sz="6" w:space="0" w:color="auto"/>
              <w:right w:val="nil" w:sz="6" w:space="0" w:color="auto"/>
            </w:tcBorders>
          </w:tcPr>
          <w:p>
            <w:pPr/>
          </w:p>
        </w:tc>
        <w:tc>
          <w:tcPr>
            <w:tcW w:w="1483" w:type="dxa"/>
            <w:tcBorders>
              <w:top w:val="nil" w:sz="6" w:space="0" w:color="auto"/>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pacing w:val="-3"/>
                <w:sz w:val="18"/>
                <w:szCs w:val="18"/>
              </w:rPr>
              <w:t>土地使用权</w:t>
            </w:r>
            <w:r>
              <w:rPr>
                <w:rFonts w:ascii="宋体" w:hAnsi="宋体" w:cs="宋体" w:eastAsia="宋体" w:hint="default"/>
                <w:sz w:val="18"/>
                <w:szCs w:val="18"/>
              </w:rPr>
            </w:r>
          </w:p>
        </w:tc>
        <w:tc>
          <w:tcPr>
            <w:tcW w:w="1498" w:type="dxa"/>
            <w:tcBorders>
              <w:top w:val="nil" w:sz="6" w:space="0" w:color="auto"/>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307" w:right="0"/>
              <w:jc w:val="left"/>
              <w:rPr>
                <w:rFonts w:ascii="宋体" w:hAnsi="宋体" w:cs="宋体" w:eastAsia="宋体" w:hint="default"/>
                <w:sz w:val="18"/>
                <w:szCs w:val="18"/>
              </w:rPr>
            </w:pPr>
            <w:r>
              <w:rPr>
                <w:rFonts w:ascii="宋体" w:hAnsi="宋体" w:cs="宋体" w:eastAsia="宋体" w:hint="default"/>
                <w:sz w:val="18"/>
                <w:szCs w:val="18"/>
              </w:rPr>
              <w:t>计算机软件</w:t>
            </w:r>
          </w:p>
        </w:tc>
        <w:tc>
          <w:tcPr>
            <w:tcW w:w="1418" w:type="dxa"/>
            <w:tcBorders>
              <w:top w:val="nil" w:sz="6" w:space="0" w:color="auto"/>
              <w:left w:val="nil" w:sz="6" w:space="0" w:color="auto"/>
              <w:bottom w:val="single" w:sz="6" w:space="0" w:color="000000"/>
              <w:right w:val="nil" w:sz="6" w:space="0" w:color="auto"/>
            </w:tcBorders>
          </w:tcPr>
          <w:p>
            <w:pPr>
              <w:pStyle w:val="TableParagraph"/>
              <w:spacing w:line="182" w:lineRule="exact"/>
              <w:ind w:left="109" w:right="0"/>
              <w:jc w:val="center"/>
              <w:rPr>
                <w:rFonts w:ascii="宋体" w:hAnsi="宋体" w:cs="宋体" w:eastAsia="宋体" w:hint="default"/>
                <w:sz w:val="18"/>
                <w:szCs w:val="18"/>
              </w:rPr>
            </w:pPr>
            <w:r>
              <w:rPr>
                <w:rFonts w:ascii="宋体" w:hAnsi="宋体" w:cs="宋体" w:eastAsia="宋体" w:hint="default"/>
                <w:spacing w:val="-3"/>
                <w:sz w:val="18"/>
                <w:szCs w:val="18"/>
              </w:rPr>
              <w:t>电路及设备</w:t>
            </w:r>
            <w:r>
              <w:rPr>
                <w:rFonts w:ascii="宋体" w:hAnsi="宋体" w:cs="宋体" w:eastAsia="宋体" w:hint="default"/>
                <w:sz w:val="18"/>
                <w:szCs w:val="18"/>
              </w:rPr>
              <w:t> </w:t>
            </w:r>
          </w:p>
          <w:p>
            <w:pPr>
              <w:pStyle w:val="TableParagraph"/>
              <w:spacing w:line="235" w:lineRule="exact"/>
              <w:ind w:left="22" w:right="0"/>
              <w:jc w:val="center"/>
              <w:rPr>
                <w:rFonts w:ascii="宋体" w:hAnsi="宋体" w:cs="宋体" w:eastAsia="宋体" w:hint="default"/>
                <w:sz w:val="18"/>
                <w:szCs w:val="18"/>
              </w:rPr>
            </w:pPr>
            <w:r>
              <w:rPr>
                <w:rFonts w:ascii="宋体" w:hAnsi="宋体" w:cs="宋体" w:eastAsia="宋体" w:hint="default"/>
                <w:spacing w:val="-4"/>
                <w:sz w:val="18"/>
                <w:szCs w:val="18"/>
              </w:rPr>
              <w:t>使用权</w:t>
            </w:r>
            <w:r>
              <w:rPr>
                <w:rFonts w:ascii="宋体" w:hAnsi="宋体" w:cs="宋体" w:eastAsia="宋体" w:hint="default"/>
                <w:sz w:val="18"/>
                <w:szCs w:val="18"/>
              </w:rPr>
            </w:r>
          </w:p>
        </w:tc>
        <w:tc>
          <w:tcPr>
            <w:tcW w:w="1362" w:type="dxa"/>
            <w:tcBorders>
              <w:top w:val="nil" w:sz="6" w:space="0" w:color="auto"/>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27"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622" w:type="dxa"/>
            <w:tcBorders>
              <w:top w:val="nil" w:sz="6" w:space="0" w:color="auto"/>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566" w:hRule="exact"/>
        </w:trPr>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200" w:right="0"/>
              <w:jc w:val="left"/>
              <w:rPr>
                <w:rFonts w:ascii="宋体" w:hAnsi="宋体" w:cs="宋体" w:eastAsia="宋体" w:hint="default"/>
                <w:sz w:val="18"/>
                <w:szCs w:val="18"/>
              </w:rPr>
            </w:pPr>
            <w:r>
              <w:rPr>
                <w:rFonts w:ascii="宋体" w:hAnsi="宋体" w:cs="宋体" w:eastAsia="宋体" w:hint="default"/>
                <w:sz w:val="18"/>
                <w:szCs w:val="18"/>
              </w:rPr>
              <w:t>原值</w:t>
            </w:r>
          </w:p>
        </w:tc>
        <w:tc>
          <w:tcPr>
            <w:tcW w:w="1483" w:type="dxa"/>
            <w:tcBorders>
              <w:top w:val="single" w:sz="6" w:space="0" w:color="000000"/>
              <w:left w:val="nil" w:sz="6" w:space="0" w:color="auto"/>
              <w:bottom w:val="nil" w:sz="6" w:space="0" w:color="auto"/>
              <w:right w:val="nil" w:sz="6" w:space="0" w:color="auto"/>
            </w:tcBorders>
          </w:tcPr>
          <w:p>
            <w:pPr/>
          </w:p>
        </w:tc>
        <w:tc>
          <w:tcPr>
            <w:tcW w:w="1498" w:type="dxa"/>
            <w:tcBorders>
              <w:top w:val="single" w:sz="6" w:space="0" w:color="000000"/>
              <w:left w:val="nil" w:sz="6" w:space="0" w:color="auto"/>
              <w:bottom w:val="nil" w:sz="6" w:space="0" w:color="auto"/>
              <w:right w:val="nil" w:sz="6" w:space="0" w:color="auto"/>
            </w:tcBorders>
          </w:tcPr>
          <w:p>
            <w:pPr/>
          </w:p>
        </w:tc>
        <w:tc>
          <w:tcPr>
            <w:tcW w:w="1418" w:type="dxa"/>
            <w:tcBorders>
              <w:top w:val="single" w:sz="6" w:space="0" w:color="000000"/>
              <w:left w:val="nil" w:sz="6" w:space="0" w:color="auto"/>
              <w:bottom w:val="nil" w:sz="6" w:space="0" w:color="auto"/>
              <w:right w:val="nil" w:sz="6" w:space="0" w:color="auto"/>
            </w:tcBorders>
          </w:tcPr>
          <w:p>
            <w:pPr/>
          </w:p>
        </w:tc>
        <w:tc>
          <w:tcPr>
            <w:tcW w:w="1362" w:type="dxa"/>
            <w:tcBorders>
              <w:top w:val="single" w:sz="6" w:space="0" w:color="000000"/>
              <w:left w:val="nil" w:sz="6" w:space="0" w:color="auto"/>
              <w:bottom w:val="nil" w:sz="6" w:space="0" w:color="auto"/>
              <w:right w:val="nil" w:sz="6" w:space="0" w:color="auto"/>
            </w:tcBorders>
          </w:tcPr>
          <w:p>
            <w:pPr/>
          </w:p>
        </w:tc>
        <w:tc>
          <w:tcPr>
            <w:tcW w:w="1622" w:type="dxa"/>
            <w:tcBorders>
              <w:top w:val="single" w:sz="6" w:space="0" w:color="000000"/>
              <w:left w:val="nil" w:sz="6" w:space="0" w:color="auto"/>
              <w:bottom w:val="nil" w:sz="6" w:space="0" w:color="auto"/>
              <w:right w:val="nil" w:sz="6" w:space="0" w:color="auto"/>
            </w:tcBorders>
          </w:tcPr>
          <w:p>
            <w:pPr/>
          </w:p>
        </w:tc>
      </w:tr>
      <w:tr>
        <w:trPr>
          <w:trHeight w:val="360" w:hRule="exact"/>
        </w:trPr>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82"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139" w:right="0"/>
              <w:jc w:val="left"/>
              <w:rPr>
                <w:rFonts w:ascii="Arial" w:hAnsi="Arial" w:cs="Arial" w:eastAsia="Arial" w:hint="default"/>
                <w:sz w:val="18"/>
                <w:szCs w:val="18"/>
              </w:rPr>
            </w:pPr>
            <w:r>
              <w:rPr>
                <w:rFonts w:ascii="Arial"/>
                <w:sz w:val="18"/>
              </w:rPr>
              <w:t>20,711,281,692</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153" w:right="0"/>
              <w:jc w:val="left"/>
              <w:rPr>
                <w:rFonts w:ascii="Arial" w:hAnsi="Arial" w:cs="Arial" w:eastAsia="Arial" w:hint="default"/>
                <w:sz w:val="18"/>
                <w:szCs w:val="18"/>
              </w:rPr>
            </w:pPr>
            <w:r>
              <w:rPr>
                <w:rFonts w:ascii="Arial"/>
                <w:sz w:val="18"/>
              </w:rPr>
              <w:t>28,955,728,050</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148" w:right="0"/>
              <w:jc w:val="left"/>
              <w:rPr>
                <w:rFonts w:ascii="Arial" w:hAnsi="Arial" w:cs="Arial" w:eastAsia="Arial" w:hint="default"/>
                <w:sz w:val="18"/>
                <w:szCs w:val="18"/>
              </w:rPr>
            </w:pPr>
            <w:r>
              <w:rPr>
                <w:rFonts w:ascii="Arial"/>
                <w:sz w:val="18"/>
              </w:rPr>
              <w:t>1,125,499,737</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79"/>
              <w:jc w:val="right"/>
              <w:rPr>
                <w:rFonts w:ascii="Arial" w:hAnsi="Arial" w:cs="Arial" w:eastAsia="Arial" w:hint="default"/>
                <w:sz w:val="18"/>
                <w:szCs w:val="18"/>
              </w:rPr>
            </w:pPr>
            <w:r>
              <w:rPr>
                <w:rFonts w:ascii="Arial"/>
                <w:spacing w:val="-2"/>
                <w:sz w:val="18"/>
              </w:rPr>
              <w:t>2,278,156,296</w:t>
            </w:r>
            <w:r>
              <w:rPr>
                <w:rFonts w:ascii="Arial"/>
                <w:sz w:val="18"/>
              </w:rPr>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249" w:right="0"/>
              <w:jc w:val="left"/>
              <w:rPr>
                <w:rFonts w:ascii="Arial" w:hAnsi="Arial" w:cs="Arial" w:eastAsia="Arial" w:hint="default"/>
                <w:sz w:val="18"/>
                <w:szCs w:val="18"/>
              </w:rPr>
            </w:pPr>
            <w:r>
              <w:rPr>
                <w:rFonts w:ascii="Arial"/>
                <w:sz w:val="18"/>
              </w:rPr>
              <w:t>53,070,665,775</w:t>
            </w:r>
          </w:p>
        </w:tc>
      </w:tr>
      <w:tr>
        <w:trPr>
          <w:trHeight w:val="240" w:hRule="exact"/>
        </w:trPr>
        <w:tc>
          <w:tcPr>
            <w:tcW w:w="1794" w:type="dxa"/>
            <w:tcBorders>
              <w:top w:val="nil" w:sz="6" w:space="0" w:color="auto"/>
              <w:left w:val="nil" w:sz="6" w:space="0" w:color="auto"/>
              <w:bottom w:val="nil" w:sz="6" w:space="0" w:color="auto"/>
              <w:right w:val="nil" w:sz="6" w:space="0" w:color="auto"/>
            </w:tcBorders>
          </w:tcPr>
          <w:p>
            <w:pPr>
              <w:pStyle w:val="TableParagraph"/>
              <w:spacing w:line="202" w:lineRule="exact"/>
              <w:ind w:left="382"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3"/>
              <w:jc w:val="right"/>
              <w:rPr>
                <w:rFonts w:ascii="Arial" w:hAnsi="Arial" w:cs="Arial" w:eastAsia="Arial" w:hint="default"/>
                <w:sz w:val="18"/>
                <w:szCs w:val="18"/>
              </w:rPr>
            </w:pPr>
            <w:r>
              <w:rPr>
                <w:rFonts w:ascii="Arial"/>
                <w:spacing w:val="-1"/>
                <w:sz w:val="18"/>
              </w:rPr>
              <w:t>177,843,560</w:t>
            </w:r>
            <w:r>
              <w:rPr>
                <w:rFonts w:ascii="Arial"/>
                <w:sz w:val="18"/>
              </w:rPr>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17"/>
              <w:ind w:left="249" w:right="0"/>
              <w:jc w:val="left"/>
              <w:rPr>
                <w:rFonts w:ascii="Arial" w:hAnsi="Arial" w:cs="Arial" w:eastAsia="Arial" w:hint="default"/>
                <w:sz w:val="18"/>
                <w:szCs w:val="18"/>
              </w:rPr>
            </w:pPr>
            <w:r>
              <w:rPr>
                <w:rFonts w:ascii="Arial"/>
                <w:sz w:val="18"/>
              </w:rPr>
              <w:t>4,130,703,822</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11"/>
              <w:jc w:val="right"/>
              <w:rPr>
                <w:rFonts w:ascii="Arial" w:hAnsi="Arial" w:cs="Arial" w:eastAsia="Arial" w:hint="default"/>
                <w:sz w:val="18"/>
                <w:szCs w:val="18"/>
              </w:rPr>
            </w:pPr>
            <w:r>
              <w:rPr>
                <w:rFonts w:ascii="Arial"/>
                <w:w w:val="101"/>
                <w:sz w:val="18"/>
              </w:rPr>
              <w:t>-</w:t>
            </w:r>
            <w:r>
              <w:rPr>
                <w:rFonts w:ascii="Arial"/>
                <w:sz w:val="18"/>
              </w:rPr>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79"/>
              <w:jc w:val="right"/>
              <w:rPr>
                <w:rFonts w:ascii="Arial" w:hAnsi="Arial" w:cs="Arial" w:eastAsia="Arial" w:hint="default"/>
                <w:sz w:val="18"/>
                <w:szCs w:val="18"/>
              </w:rPr>
            </w:pPr>
            <w:r>
              <w:rPr>
                <w:rFonts w:ascii="Arial"/>
                <w:spacing w:val="-1"/>
                <w:sz w:val="18"/>
              </w:rPr>
              <w:t>225,716,062</w:t>
            </w:r>
            <w:r>
              <w:rPr>
                <w:rFonts w:ascii="Arial"/>
                <w:sz w:val="18"/>
              </w:rPr>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45" w:right="0"/>
              <w:jc w:val="left"/>
              <w:rPr>
                <w:rFonts w:ascii="Arial" w:hAnsi="Arial" w:cs="Arial" w:eastAsia="Arial" w:hint="default"/>
                <w:sz w:val="18"/>
                <w:szCs w:val="18"/>
              </w:rPr>
            </w:pPr>
            <w:r>
              <w:rPr>
                <w:rFonts w:ascii="Arial"/>
                <w:sz w:val="18"/>
              </w:rPr>
              <w:t>4,534,263,444</w:t>
            </w:r>
          </w:p>
        </w:tc>
      </w:tr>
      <w:tr>
        <w:trPr>
          <w:trHeight w:val="245" w:hRule="exact"/>
        </w:trPr>
        <w:tc>
          <w:tcPr>
            <w:tcW w:w="1794" w:type="dxa"/>
            <w:tcBorders>
              <w:top w:val="nil" w:sz="6" w:space="0" w:color="auto"/>
              <w:left w:val="nil" w:sz="6" w:space="0" w:color="auto"/>
              <w:bottom w:val="nil" w:sz="6" w:space="0" w:color="auto"/>
              <w:right w:val="nil" w:sz="6" w:space="0" w:color="auto"/>
            </w:tcBorders>
          </w:tcPr>
          <w:p>
            <w:pPr>
              <w:pStyle w:val="TableParagraph"/>
              <w:spacing w:line="214" w:lineRule="exact"/>
              <w:ind w:left="593" w:right="0"/>
              <w:jc w:val="left"/>
              <w:rPr>
                <w:rFonts w:ascii="宋体" w:hAnsi="宋体" w:cs="宋体" w:eastAsia="宋体" w:hint="default"/>
                <w:sz w:val="18"/>
                <w:szCs w:val="18"/>
              </w:rPr>
            </w:pPr>
            <w:r>
              <w:rPr>
                <w:rFonts w:ascii="Arial" w:hAnsi="Arial" w:cs="Arial" w:eastAsia="Arial" w:hint="default"/>
                <w:spacing w:val="-3"/>
                <w:sz w:val="18"/>
                <w:szCs w:val="18"/>
              </w:rPr>
              <w:t>-</w:t>
            </w:r>
            <w:r>
              <w:rPr>
                <w:rFonts w:ascii="宋体" w:hAnsi="宋体" w:cs="宋体" w:eastAsia="宋体" w:hint="default"/>
                <w:spacing w:val="-3"/>
                <w:sz w:val="18"/>
                <w:szCs w:val="18"/>
              </w:rPr>
              <w:t>购置</w:t>
            </w:r>
            <w:r>
              <w:rPr>
                <w:rFonts w:ascii="宋体" w:hAnsi="宋体" w:cs="宋体" w:eastAsia="宋体" w:hint="default"/>
                <w:sz w:val="18"/>
                <w:szCs w:val="18"/>
              </w:rPr>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83"/>
              <w:jc w:val="right"/>
              <w:rPr>
                <w:rFonts w:ascii="Arial" w:hAnsi="Arial" w:cs="Arial" w:eastAsia="Arial" w:hint="default"/>
                <w:sz w:val="18"/>
                <w:szCs w:val="18"/>
              </w:rPr>
            </w:pPr>
            <w:r>
              <w:rPr>
                <w:rFonts w:ascii="Arial"/>
                <w:spacing w:val="-1"/>
                <w:sz w:val="18"/>
              </w:rPr>
              <w:t>18,494,977</w:t>
            </w:r>
            <w:r>
              <w:rPr>
                <w:rFonts w:ascii="Arial"/>
                <w:sz w:val="18"/>
              </w:rPr>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83"/>
              <w:jc w:val="right"/>
              <w:rPr>
                <w:rFonts w:ascii="Arial" w:hAnsi="Arial" w:cs="Arial" w:eastAsia="Arial" w:hint="default"/>
                <w:sz w:val="18"/>
                <w:szCs w:val="18"/>
              </w:rPr>
            </w:pPr>
            <w:r>
              <w:rPr>
                <w:rFonts w:ascii="Arial"/>
                <w:spacing w:val="-1"/>
                <w:sz w:val="18"/>
              </w:rPr>
              <w:t>175,139,912</w:t>
            </w:r>
            <w:r>
              <w:rPr>
                <w:rFonts w:ascii="Arial"/>
                <w:sz w:val="18"/>
              </w:rPr>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1"/>
              <w:jc w:val="right"/>
              <w:rPr>
                <w:rFonts w:ascii="Arial" w:hAnsi="Arial" w:cs="Arial" w:eastAsia="Arial" w:hint="default"/>
                <w:sz w:val="18"/>
                <w:szCs w:val="18"/>
              </w:rPr>
            </w:pPr>
            <w:r>
              <w:rPr>
                <w:rFonts w:ascii="Arial"/>
                <w:w w:val="101"/>
                <w:sz w:val="18"/>
              </w:rPr>
              <w:t>-</w:t>
            </w:r>
            <w:r>
              <w:rPr>
                <w:rFonts w:ascii="Arial"/>
                <w:sz w:val="18"/>
              </w:rPr>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9"/>
              <w:jc w:val="right"/>
              <w:rPr>
                <w:rFonts w:ascii="Arial" w:hAnsi="Arial" w:cs="Arial" w:eastAsia="Arial" w:hint="default"/>
                <w:sz w:val="18"/>
                <w:szCs w:val="18"/>
              </w:rPr>
            </w:pPr>
            <w:r>
              <w:rPr>
                <w:rFonts w:ascii="Arial"/>
                <w:spacing w:val="-1"/>
                <w:sz w:val="18"/>
              </w:rPr>
              <w:t>21,150,718</w:t>
            </w:r>
            <w:r>
              <w:rPr>
                <w:rFonts w:ascii="Arial"/>
                <w:sz w:val="18"/>
              </w:rPr>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right"/>
              <w:rPr>
                <w:rFonts w:ascii="Arial" w:hAnsi="Arial" w:cs="Arial" w:eastAsia="Arial" w:hint="default"/>
                <w:sz w:val="18"/>
                <w:szCs w:val="18"/>
              </w:rPr>
            </w:pPr>
            <w:r>
              <w:rPr>
                <w:rFonts w:ascii="Arial"/>
                <w:spacing w:val="-1"/>
                <w:sz w:val="18"/>
              </w:rPr>
              <w:t>214,785,607</w:t>
            </w:r>
            <w:r>
              <w:rPr>
                <w:rFonts w:ascii="Arial"/>
                <w:sz w:val="18"/>
              </w:rPr>
            </w:r>
          </w:p>
        </w:tc>
      </w:tr>
      <w:tr>
        <w:trPr>
          <w:trHeight w:val="240" w:hRule="exact"/>
        </w:trPr>
        <w:tc>
          <w:tcPr>
            <w:tcW w:w="1794" w:type="dxa"/>
            <w:tcBorders>
              <w:top w:val="nil" w:sz="6" w:space="0" w:color="auto"/>
              <w:left w:val="nil" w:sz="6" w:space="0" w:color="auto"/>
              <w:bottom w:val="nil" w:sz="6" w:space="0" w:color="auto"/>
              <w:right w:val="nil" w:sz="6" w:space="0" w:color="auto"/>
            </w:tcBorders>
          </w:tcPr>
          <w:p>
            <w:pPr>
              <w:pStyle w:val="TableParagraph"/>
              <w:spacing w:line="214" w:lineRule="exact"/>
              <w:ind w:left="593" w:right="0"/>
              <w:jc w:val="left"/>
              <w:rPr>
                <w:rFonts w:ascii="宋体" w:hAnsi="宋体" w:cs="宋体" w:eastAsia="宋体" w:hint="default"/>
                <w:sz w:val="18"/>
                <w:szCs w:val="18"/>
              </w:rPr>
            </w:pPr>
            <w:r>
              <w:rPr>
                <w:rFonts w:ascii="Arial" w:hAnsi="Arial" w:cs="Arial" w:eastAsia="Arial" w:hint="default"/>
                <w:spacing w:val="-3"/>
                <w:sz w:val="18"/>
                <w:szCs w:val="18"/>
              </w:rPr>
              <w:t>-</w:t>
            </w:r>
            <w:r>
              <w:rPr>
                <w:rFonts w:ascii="宋体" w:hAnsi="宋体" w:cs="宋体" w:eastAsia="宋体" w:hint="default"/>
                <w:spacing w:val="-3"/>
                <w:sz w:val="18"/>
                <w:szCs w:val="18"/>
              </w:rPr>
              <w:t>在建工程转入</w:t>
            </w:r>
            <w:r>
              <w:rPr>
                <w:rFonts w:ascii="宋体" w:hAnsi="宋体" w:cs="宋体" w:eastAsia="宋体" w:hint="default"/>
                <w:sz w:val="18"/>
                <w:szCs w:val="18"/>
              </w:rPr>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83"/>
              <w:jc w:val="right"/>
              <w:rPr>
                <w:rFonts w:ascii="Arial" w:hAnsi="Arial" w:cs="Arial" w:eastAsia="Arial" w:hint="default"/>
                <w:sz w:val="18"/>
                <w:szCs w:val="18"/>
              </w:rPr>
            </w:pPr>
            <w:r>
              <w:rPr>
                <w:rFonts w:ascii="Arial"/>
                <w:spacing w:val="-1"/>
                <w:sz w:val="18"/>
              </w:rPr>
              <w:t>159,348,583</w:t>
            </w:r>
            <w:r>
              <w:rPr>
                <w:rFonts w:ascii="Arial"/>
                <w:sz w:val="18"/>
              </w:rPr>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9" w:right="0"/>
              <w:jc w:val="left"/>
              <w:rPr>
                <w:rFonts w:ascii="Arial" w:hAnsi="Arial" w:cs="Arial" w:eastAsia="Arial" w:hint="default"/>
                <w:sz w:val="18"/>
                <w:szCs w:val="18"/>
              </w:rPr>
            </w:pPr>
            <w:r>
              <w:rPr>
                <w:rFonts w:ascii="Arial"/>
                <w:sz w:val="18"/>
              </w:rPr>
              <w:t>3,955,563,910</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1"/>
              <w:jc w:val="right"/>
              <w:rPr>
                <w:rFonts w:ascii="Arial" w:hAnsi="Arial" w:cs="Arial" w:eastAsia="Arial" w:hint="default"/>
                <w:sz w:val="18"/>
                <w:szCs w:val="18"/>
              </w:rPr>
            </w:pPr>
            <w:r>
              <w:rPr>
                <w:rFonts w:ascii="Arial"/>
                <w:w w:val="101"/>
                <w:sz w:val="18"/>
              </w:rPr>
              <w:t>-</w:t>
            </w:r>
            <w:r>
              <w:rPr>
                <w:rFonts w:ascii="Arial"/>
                <w:sz w:val="18"/>
              </w:rPr>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80"/>
              <w:jc w:val="right"/>
              <w:rPr>
                <w:rFonts w:ascii="Arial" w:hAnsi="Arial" w:cs="Arial" w:eastAsia="Arial" w:hint="default"/>
                <w:sz w:val="18"/>
                <w:szCs w:val="18"/>
              </w:rPr>
            </w:pPr>
            <w:r>
              <w:rPr>
                <w:rFonts w:ascii="Arial"/>
                <w:spacing w:val="-1"/>
                <w:sz w:val="18"/>
              </w:rPr>
              <w:t>204,565,344</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45" w:right="0"/>
              <w:jc w:val="left"/>
              <w:rPr>
                <w:rFonts w:ascii="Arial" w:hAnsi="Arial" w:cs="Arial" w:eastAsia="Arial" w:hint="default"/>
                <w:sz w:val="18"/>
                <w:szCs w:val="18"/>
              </w:rPr>
            </w:pPr>
            <w:r>
              <w:rPr>
                <w:rFonts w:ascii="Arial"/>
                <w:sz w:val="18"/>
              </w:rPr>
              <w:t>4,319,477,837</w:t>
            </w:r>
          </w:p>
        </w:tc>
      </w:tr>
      <w:tr>
        <w:trPr>
          <w:trHeight w:val="240" w:hRule="exact"/>
        </w:trPr>
        <w:tc>
          <w:tcPr>
            <w:tcW w:w="1794" w:type="dxa"/>
            <w:tcBorders>
              <w:top w:val="nil" w:sz="6" w:space="0" w:color="auto"/>
              <w:left w:val="nil" w:sz="6" w:space="0" w:color="auto"/>
              <w:bottom w:val="nil" w:sz="6" w:space="0" w:color="auto"/>
              <w:right w:val="nil" w:sz="6" w:space="0" w:color="auto"/>
            </w:tcBorders>
          </w:tcPr>
          <w:p>
            <w:pPr>
              <w:pStyle w:val="TableParagraph"/>
              <w:spacing w:line="197" w:lineRule="exact"/>
              <w:ind w:left="382" w:right="0"/>
              <w:jc w:val="left"/>
              <w:rPr>
                <w:rFonts w:ascii="宋体" w:hAnsi="宋体" w:cs="宋体" w:eastAsia="宋体" w:hint="default"/>
                <w:sz w:val="18"/>
                <w:szCs w:val="18"/>
              </w:rPr>
            </w:pPr>
            <w:r>
              <w:rPr>
                <w:rFonts w:ascii="宋体" w:hAnsi="宋体" w:cs="宋体" w:eastAsia="宋体" w:hint="default"/>
                <w:sz w:val="18"/>
                <w:szCs w:val="18"/>
              </w:rPr>
              <w:t>本年处置</w:t>
            </w:r>
          </w:p>
        </w:tc>
        <w:tc>
          <w:tcPr>
            <w:tcW w:w="1483" w:type="dxa"/>
            <w:tcBorders>
              <w:top w:val="nil" w:sz="6" w:space="0" w:color="auto"/>
              <w:left w:val="nil" w:sz="6" w:space="0" w:color="auto"/>
              <w:bottom w:val="nil" w:sz="6" w:space="0" w:color="auto"/>
              <w:right w:val="nil" w:sz="6" w:space="0" w:color="auto"/>
            </w:tcBorders>
          </w:tcPr>
          <w:p>
            <w:pPr>
              <w:pStyle w:val="TableParagraph"/>
              <w:tabs>
                <w:tab w:pos="1329" w:val="left" w:leader="none"/>
                <w:tab w:pos="1483" w:val="left" w:leader="none"/>
              </w:tabs>
              <w:spacing w:line="240" w:lineRule="auto" w:before="17"/>
              <w:ind w:right="0"/>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t>-</w:t>
              <w:tab/>
            </w:r>
            <w:r>
              <w:rPr>
                <w:rFonts w:ascii="Arial"/>
                <w:sz w:val="18"/>
              </w:rPr>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8"/>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pacing w:val="14"/>
                <w:sz w:val="18"/>
                <w:u w:val="single" w:color="000000"/>
              </w:rPr>
              <w:t> </w:t>
            </w:r>
            <w:r>
              <w:rPr>
                <w:rFonts w:ascii="Arial"/>
                <w:spacing w:val="-2"/>
                <w:sz w:val="18"/>
                <w:u w:val="single" w:color="000000"/>
              </w:rPr>
              <w:t>(1,727,820,448)</w:t>
            </w:r>
            <w:r>
              <w:rPr>
                <w:rFonts w:ascii="Arial"/>
                <w:spacing w:val="-2"/>
                <w:sz w:val="18"/>
              </w:rPr>
            </w:r>
            <w:r>
              <w:rPr>
                <w:rFonts w:ascii="Arial"/>
                <w:sz w:val="18"/>
              </w:rPr>
            </w:r>
          </w:p>
        </w:tc>
        <w:tc>
          <w:tcPr>
            <w:tcW w:w="1418" w:type="dxa"/>
            <w:tcBorders>
              <w:top w:val="nil" w:sz="6" w:space="0" w:color="auto"/>
              <w:left w:val="nil" w:sz="6" w:space="0" w:color="auto"/>
              <w:bottom w:val="nil" w:sz="6" w:space="0" w:color="auto"/>
              <w:right w:val="nil" w:sz="6" w:space="0" w:color="auto"/>
            </w:tcBorders>
          </w:tcPr>
          <w:p>
            <w:pPr>
              <w:pStyle w:val="TableParagraph"/>
              <w:tabs>
                <w:tab w:pos="335" w:val="left" w:leader="none"/>
              </w:tabs>
              <w:spacing w:line="240" w:lineRule="auto" w:before="17"/>
              <w:ind w:left="76" w:right="0"/>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t>(13,435,814)</w:t>
            </w:r>
            <w:r>
              <w:rPr>
                <w:rFonts w:ascii="Arial"/>
                <w:sz w:val="18"/>
              </w:rPr>
            </w:r>
          </w:p>
        </w:tc>
        <w:tc>
          <w:tcPr>
            <w:tcW w:w="1362" w:type="dxa"/>
            <w:tcBorders>
              <w:top w:val="nil" w:sz="6" w:space="0" w:color="auto"/>
              <w:left w:val="nil" w:sz="6" w:space="0" w:color="auto"/>
              <w:bottom w:val="nil" w:sz="6" w:space="0" w:color="auto"/>
              <w:right w:val="nil" w:sz="6" w:space="0" w:color="auto"/>
            </w:tcBorders>
          </w:tcPr>
          <w:p>
            <w:pPr>
              <w:pStyle w:val="TableParagraph"/>
              <w:tabs>
                <w:tab w:pos="254" w:val="left" w:leader="none"/>
              </w:tabs>
              <w:spacing w:line="240" w:lineRule="auto" w:before="17"/>
              <w:ind w:right="28"/>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r>
            <w:r>
              <w:rPr>
                <w:rFonts w:ascii="Arial"/>
                <w:spacing w:val="-2"/>
                <w:sz w:val="18"/>
                <w:u w:val="single" w:color="000000"/>
              </w:rPr>
              <w:t>(40,013,540)</w:t>
            </w:r>
            <w:r>
              <w:rPr>
                <w:rFonts w:ascii="Arial"/>
                <w:spacing w:val="-2"/>
                <w:sz w:val="18"/>
              </w:rPr>
            </w:r>
          </w:p>
        </w:tc>
        <w:tc>
          <w:tcPr>
            <w:tcW w:w="1622" w:type="dxa"/>
            <w:tcBorders>
              <w:top w:val="nil" w:sz="6" w:space="0" w:color="auto"/>
              <w:left w:val="nil" w:sz="6" w:space="0" w:color="auto"/>
              <w:bottom w:val="nil" w:sz="6" w:space="0" w:color="auto"/>
              <w:right w:val="nil" w:sz="6" w:space="0" w:color="auto"/>
            </w:tcBorders>
          </w:tcPr>
          <w:p>
            <w:pPr>
              <w:pStyle w:val="TableParagraph"/>
              <w:tabs>
                <w:tab w:pos="1622" w:val="left" w:leader="none"/>
              </w:tabs>
              <w:spacing w:line="240" w:lineRule="auto" w:before="17"/>
              <w:ind w:left="96" w:right="0"/>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  </w:t>
            </w:r>
            <w:r>
              <w:rPr>
                <w:rFonts w:ascii="Arial"/>
                <w:spacing w:val="-9"/>
                <w:sz w:val="18"/>
                <w:u w:val="single" w:color="000000"/>
              </w:rPr>
              <w:t> </w:t>
            </w:r>
            <w:r>
              <w:rPr>
                <w:rFonts w:ascii="Arial"/>
                <w:sz w:val="18"/>
                <w:u w:val="single" w:color="000000"/>
              </w:rPr>
              <w:t>(1,781,269,802)</w:t>
              <w:tab/>
            </w:r>
            <w:r>
              <w:rPr>
                <w:rFonts w:ascii="Arial"/>
                <w:sz w:val="18"/>
              </w:rPr>
            </w:r>
          </w:p>
        </w:tc>
      </w:tr>
      <w:tr>
        <w:trPr>
          <w:trHeight w:val="302" w:hRule="exact"/>
        </w:trPr>
        <w:tc>
          <w:tcPr>
            <w:tcW w:w="1794" w:type="dxa"/>
            <w:tcBorders>
              <w:top w:val="nil" w:sz="6" w:space="0" w:color="auto"/>
              <w:left w:val="nil" w:sz="6" w:space="0" w:color="auto"/>
              <w:bottom w:val="nil" w:sz="6" w:space="0" w:color="auto"/>
              <w:right w:val="nil" w:sz="6" w:space="0" w:color="auto"/>
            </w:tcBorders>
          </w:tcPr>
          <w:p>
            <w:pPr>
              <w:pStyle w:val="TableParagraph"/>
              <w:spacing w:line="202" w:lineRule="exact"/>
              <w:ind w:left="382"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1483" w:type="dxa"/>
            <w:tcBorders>
              <w:top w:val="nil" w:sz="6" w:space="0" w:color="auto"/>
              <w:left w:val="nil" w:sz="6" w:space="0" w:color="auto"/>
              <w:bottom w:val="nil" w:sz="6" w:space="0" w:color="auto"/>
              <w:right w:val="nil" w:sz="6" w:space="0" w:color="auto"/>
            </w:tcBorders>
          </w:tcPr>
          <w:p>
            <w:pPr>
              <w:pStyle w:val="TableParagraph"/>
              <w:tabs>
                <w:tab w:pos="1483" w:val="left" w:leader="none"/>
              </w:tabs>
              <w:spacing w:line="240" w:lineRule="auto" w:before="22"/>
              <w:ind w:right="0"/>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 </w:t>
            </w:r>
            <w:r>
              <w:rPr>
                <w:rFonts w:ascii="Arial"/>
                <w:spacing w:val="-12"/>
                <w:sz w:val="18"/>
                <w:u w:val="single" w:color="000000"/>
              </w:rPr>
              <w:t> </w:t>
            </w:r>
            <w:r>
              <w:rPr>
                <w:rFonts w:ascii="Arial"/>
                <w:sz w:val="18"/>
                <w:u w:val="single" w:color="000000"/>
              </w:rPr>
              <w:t>20,889,125,252</w:t>
              <w:tab/>
            </w:r>
            <w:r>
              <w:rPr>
                <w:rFonts w:ascii="Arial"/>
                <w:sz w:val="18"/>
              </w:rPr>
            </w:r>
          </w:p>
        </w:tc>
        <w:tc>
          <w:tcPr>
            <w:tcW w:w="1498" w:type="dxa"/>
            <w:tcBorders>
              <w:top w:val="nil" w:sz="6" w:space="0" w:color="auto"/>
              <w:left w:val="nil" w:sz="6" w:space="0" w:color="auto"/>
              <w:bottom w:val="nil" w:sz="6" w:space="0" w:color="auto"/>
              <w:right w:val="nil" w:sz="6" w:space="0" w:color="auto"/>
            </w:tcBorders>
          </w:tcPr>
          <w:p>
            <w:pPr>
              <w:pStyle w:val="TableParagraph"/>
              <w:tabs>
                <w:tab w:pos="1420" w:val="left" w:leader="none"/>
              </w:tabs>
              <w:spacing w:line="240" w:lineRule="auto" w:before="22"/>
              <w:ind w:right="0"/>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pacing w:val="-24"/>
                <w:sz w:val="18"/>
                <w:u w:val="single" w:color="000000"/>
              </w:rPr>
              <w:t> </w:t>
            </w:r>
            <w:r>
              <w:rPr>
                <w:rFonts w:ascii="Arial"/>
                <w:spacing w:val="-1"/>
                <w:sz w:val="18"/>
                <w:u w:val="single" w:color="000000"/>
              </w:rPr>
              <w:t>31,358,611,424</w:t>
              <w:tab/>
            </w:r>
            <w:r>
              <w:rPr>
                <w:rFonts w:ascii="Arial"/>
                <w:spacing w:val="-1"/>
                <w:sz w:val="18"/>
              </w:rPr>
            </w:r>
          </w:p>
        </w:tc>
        <w:tc>
          <w:tcPr>
            <w:tcW w:w="1418" w:type="dxa"/>
            <w:tcBorders>
              <w:top w:val="nil" w:sz="6" w:space="0" w:color="auto"/>
              <w:left w:val="nil" w:sz="6" w:space="0" w:color="auto"/>
              <w:bottom w:val="nil" w:sz="6" w:space="0" w:color="auto"/>
              <w:right w:val="nil" w:sz="6" w:space="0" w:color="auto"/>
            </w:tcBorders>
          </w:tcPr>
          <w:p>
            <w:pPr>
              <w:pStyle w:val="TableParagraph"/>
              <w:tabs>
                <w:tab w:pos="1396" w:val="left" w:leader="none"/>
              </w:tabs>
              <w:spacing w:line="240" w:lineRule="auto" w:before="22"/>
              <w:ind w:left="76" w:right="0"/>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pacing w:val="-29"/>
                <w:sz w:val="18"/>
                <w:u w:val="single" w:color="000000"/>
              </w:rPr>
              <w:t> </w:t>
            </w:r>
            <w:r>
              <w:rPr>
                <w:rFonts w:ascii="Arial"/>
                <w:sz w:val="18"/>
                <w:u w:val="single" w:color="000000"/>
              </w:rPr>
              <w:t>1,112,063,923</w:t>
              <w:tab/>
            </w:r>
            <w:r>
              <w:rPr>
                <w:rFonts w:ascii="Arial"/>
                <w:sz w:val="18"/>
              </w:rPr>
            </w:r>
          </w:p>
        </w:tc>
        <w:tc>
          <w:tcPr>
            <w:tcW w:w="1362" w:type="dxa"/>
            <w:tcBorders>
              <w:top w:val="nil" w:sz="6" w:space="0" w:color="auto"/>
              <w:left w:val="nil" w:sz="6" w:space="0" w:color="auto"/>
              <w:bottom w:val="nil" w:sz="6" w:space="0" w:color="auto"/>
              <w:right w:val="nil" w:sz="6" w:space="0" w:color="auto"/>
            </w:tcBorders>
          </w:tcPr>
          <w:p>
            <w:pPr>
              <w:pStyle w:val="TableParagraph"/>
              <w:tabs>
                <w:tab w:pos="1310" w:val="left" w:leader="none"/>
              </w:tabs>
              <w:spacing w:line="240" w:lineRule="auto" w:before="22"/>
              <w:ind w:right="0"/>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pacing w:val="-29"/>
                <w:sz w:val="18"/>
                <w:u w:val="single" w:color="000000"/>
              </w:rPr>
              <w:t> </w:t>
            </w:r>
            <w:r>
              <w:rPr>
                <w:rFonts w:ascii="Arial"/>
                <w:spacing w:val="-2"/>
                <w:sz w:val="18"/>
                <w:u w:val="single" w:color="000000"/>
              </w:rPr>
              <w:t>2,463,858,818</w:t>
              <w:tab/>
            </w:r>
            <w:r>
              <w:rPr>
                <w:rFonts w:ascii="Arial"/>
                <w:spacing w:val="-2"/>
                <w:sz w:val="18"/>
              </w:rPr>
            </w:r>
          </w:p>
        </w:tc>
        <w:tc>
          <w:tcPr>
            <w:tcW w:w="1622" w:type="dxa"/>
            <w:tcBorders>
              <w:top w:val="nil" w:sz="6" w:space="0" w:color="auto"/>
              <w:left w:val="nil" w:sz="6" w:space="0" w:color="auto"/>
              <w:bottom w:val="nil" w:sz="6" w:space="0" w:color="auto"/>
              <w:right w:val="nil" w:sz="6" w:space="0" w:color="auto"/>
            </w:tcBorders>
          </w:tcPr>
          <w:p>
            <w:pPr>
              <w:pStyle w:val="TableParagraph"/>
              <w:tabs>
                <w:tab w:pos="1622" w:val="left" w:leader="none"/>
              </w:tabs>
              <w:spacing w:line="240" w:lineRule="auto" w:before="22"/>
              <w:ind w:left="96" w:right="0"/>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 </w:t>
            </w:r>
            <w:r>
              <w:rPr>
                <w:rFonts w:ascii="Arial"/>
                <w:spacing w:val="2"/>
                <w:sz w:val="18"/>
                <w:u w:val="single" w:color="000000"/>
              </w:rPr>
              <w:t> </w:t>
            </w:r>
            <w:r>
              <w:rPr>
                <w:rFonts w:ascii="Arial"/>
                <w:sz w:val="18"/>
                <w:u w:val="single" w:color="000000"/>
              </w:rPr>
              <w:t>55,823,659,417</w:t>
              <w:tab/>
            </w:r>
            <w:r>
              <w:rPr>
                <w:rFonts w:ascii="Arial"/>
                <w:sz w:val="18"/>
              </w:rPr>
            </w:r>
          </w:p>
        </w:tc>
      </w:tr>
      <w:tr>
        <w:trPr>
          <w:trHeight w:val="387" w:hRule="exact"/>
        </w:trPr>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00" w:right="0"/>
              <w:jc w:val="left"/>
              <w:rPr>
                <w:rFonts w:ascii="宋体" w:hAnsi="宋体" w:cs="宋体" w:eastAsia="宋体" w:hint="default"/>
                <w:sz w:val="18"/>
                <w:szCs w:val="18"/>
              </w:rPr>
            </w:pPr>
            <w:r>
              <w:rPr>
                <w:rFonts w:ascii="宋体" w:hAnsi="宋体" w:cs="宋体" w:eastAsia="宋体" w:hint="default"/>
                <w:sz w:val="18"/>
                <w:szCs w:val="18"/>
              </w:rPr>
              <w:t>累计摊销</w:t>
            </w:r>
          </w:p>
        </w:tc>
        <w:tc>
          <w:tcPr>
            <w:tcW w:w="1483"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
        </w:tc>
        <w:tc>
          <w:tcPr>
            <w:tcW w:w="1362"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r>
      <w:tr>
        <w:trPr>
          <w:trHeight w:val="348" w:hRule="exact"/>
        </w:trPr>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82"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177" w:right="0"/>
              <w:jc w:val="left"/>
              <w:rPr>
                <w:rFonts w:ascii="Arial" w:hAnsi="Arial" w:cs="Arial" w:eastAsia="Arial" w:hint="default"/>
                <w:sz w:val="18"/>
                <w:szCs w:val="18"/>
              </w:rPr>
            </w:pPr>
            <w:r>
              <w:rPr>
                <w:rFonts w:ascii="Arial"/>
                <w:sz w:val="18"/>
              </w:rPr>
              <w:t>(5,982,661,203)</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28"/>
              <w:jc w:val="right"/>
              <w:rPr>
                <w:rFonts w:ascii="Arial" w:hAnsi="Arial" w:cs="Arial" w:eastAsia="Arial" w:hint="default"/>
                <w:sz w:val="18"/>
                <w:szCs w:val="18"/>
              </w:rPr>
            </w:pPr>
            <w:r>
              <w:rPr>
                <w:rFonts w:ascii="Arial"/>
                <w:spacing w:val="-2"/>
                <w:sz w:val="18"/>
              </w:rPr>
              <w:t>(19,739,966,502)</w:t>
            </w:r>
            <w:r>
              <w:rPr>
                <w:rFonts w:ascii="Arial"/>
                <w:sz w:val="18"/>
              </w:rPr>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235" w:right="0"/>
              <w:jc w:val="left"/>
              <w:rPr>
                <w:rFonts w:ascii="Arial" w:hAnsi="Arial" w:cs="Arial" w:eastAsia="Arial" w:hint="default"/>
                <w:sz w:val="18"/>
                <w:szCs w:val="18"/>
              </w:rPr>
            </w:pPr>
            <w:r>
              <w:rPr>
                <w:rFonts w:ascii="Arial"/>
                <w:sz w:val="18"/>
              </w:rPr>
              <w:t>(647,396,872)</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32"/>
              <w:jc w:val="right"/>
              <w:rPr>
                <w:rFonts w:ascii="Arial" w:hAnsi="Arial" w:cs="Arial" w:eastAsia="Arial" w:hint="default"/>
                <w:sz w:val="18"/>
                <w:szCs w:val="18"/>
              </w:rPr>
            </w:pPr>
            <w:r>
              <w:rPr>
                <w:rFonts w:ascii="Arial"/>
                <w:spacing w:val="-2"/>
                <w:sz w:val="18"/>
              </w:rPr>
              <w:t>(811,137,765)</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187" w:right="0"/>
              <w:jc w:val="left"/>
              <w:rPr>
                <w:rFonts w:ascii="Arial" w:hAnsi="Arial" w:cs="Arial" w:eastAsia="Arial" w:hint="default"/>
                <w:sz w:val="18"/>
                <w:szCs w:val="18"/>
              </w:rPr>
            </w:pPr>
            <w:r>
              <w:rPr>
                <w:rFonts w:ascii="Arial"/>
                <w:sz w:val="18"/>
              </w:rPr>
              <w:t>(27,181,162,342)</w:t>
            </w:r>
          </w:p>
        </w:tc>
      </w:tr>
      <w:tr>
        <w:trPr>
          <w:trHeight w:val="235" w:hRule="exact"/>
        </w:trPr>
        <w:tc>
          <w:tcPr>
            <w:tcW w:w="1794" w:type="dxa"/>
            <w:tcBorders>
              <w:top w:val="nil" w:sz="6" w:space="0" w:color="auto"/>
              <w:left w:val="nil" w:sz="6" w:space="0" w:color="auto"/>
              <w:bottom w:val="nil" w:sz="6" w:space="0" w:color="auto"/>
              <w:right w:val="nil" w:sz="6" w:space="0" w:color="auto"/>
            </w:tcBorders>
          </w:tcPr>
          <w:p>
            <w:pPr>
              <w:pStyle w:val="TableParagraph"/>
              <w:spacing w:line="197" w:lineRule="exact"/>
              <w:ind w:left="382" w:right="0"/>
              <w:jc w:val="left"/>
              <w:rPr>
                <w:rFonts w:ascii="宋体" w:hAnsi="宋体" w:cs="宋体" w:eastAsia="宋体" w:hint="default"/>
                <w:sz w:val="18"/>
                <w:szCs w:val="18"/>
              </w:rPr>
            </w:pPr>
            <w:r>
              <w:rPr>
                <w:rFonts w:ascii="宋体" w:hAnsi="宋体" w:cs="宋体" w:eastAsia="宋体" w:hint="default"/>
                <w:sz w:val="18"/>
                <w:szCs w:val="18"/>
              </w:rPr>
              <w:t>本年计提</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26" w:right="0"/>
              <w:jc w:val="left"/>
              <w:rPr>
                <w:rFonts w:ascii="Arial" w:hAnsi="Arial" w:cs="Arial" w:eastAsia="Arial" w:hint="default"/>
                <w:sz w:val="18"/>
                <w:szCs w:val="18"/>
              </w:rPr>
            </w:pPr>
            <w:r>
              <w:rPr>
                <w:rFonts w:ascii="Arial"/>
                <w:sz w:val="18"/>
              </w:rPr>
              <w:t>(484,344,329)</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8"/>
              <w:jc w:val="right"/>
              <w:rPr>
                <w:rFonts w:ascii="Arial" w:hAnsi="Arial" w:cs="Arial" w:eastAsia="Arial" w:hint="default"/>
                <w:sz w:val="18"/>
                <w:szCs w:val="18"/>
              </w:rPr>
            </w:pPr>
            <w:r>
              <w:rPr>
                <w:rFonts w:ascii="Arial"/>
                <w:spacing w:val="-2"/>
                <w:sz w:val="18"/>
              </w:rPr>
              <w:t>(3,736,055,857)</w:t>
            </w:r>
            <w:r>
              <w:rPr>
                <w:rFonts w:ascii="Arial"/>
                <w:sz w:val="18"/>
              </w:rPr>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36" w:right="0"/>
              <w:jc w:val="left"/>
              <w:rPr>
                <w:rFonts w:ascii="Arial" w:hAnsi="Arial" w:cs="Arial" w:eastAsia="Arial" w:hint="default"/>
                <w:sz w:val="18"/>
                <w:szCs w:val="18"/>
              </w:rPr>
            </w:pPr>
            <w:r>
              <w:rPr>
                <w:rFonts w:ascii="Arial"/>
                <w:sz w:val="18"/>
              </w:rPr>
              <w:t>(54,914,114)</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8"/>
              <w:jc w:val="right"/>
              <w:rPr>
                <w:rFonts w:ascii="Arial" w:hAnsi="Arial" w:cs="Arial" w:eastAsia="Arial" w:hint="default"/>
                <w:sz w:val="18"/>
                <w:szCs w:val="18"/>
              </w:rPr>
            </w:pPr>
            <w:r>
              <w:rPr>
                <w:rFonts w:ascii="Arial"/>
                <w:spacing w:val="-2"/>
                <w:sz w:val="18"/>
              </w:rPr>
              <w:t>(372,198,460)</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7"/>
              <w:ind w:left="287" w:right="0"/>
              <w:jc w:val="left"/>
              <w:rPr>
                <w:rFonts w:ascii="Arial" w:hAnsi="Arial" w:cs="Arial" w:eastAsia="Arial" w:hint="default"/>
                <w:sz w:val="18"/>
                <w:szCs w:val="18"/>
              </w:rPr>
            </w:pPr>
            <w:r>
              <w:rPr>
                <w:rFonts w:ascii="Arial"/>
                <w:sz w:val="18"/>
              </w:rPr>
              <w:t>(4,647,512,760)</w:t>
            </w:r>
          </w:p>
        </w:tc>
      </w:tr>
      <w:tr>
        <w:trPr>
          <w:trHeight w:val="240" w:hRule="exact"/>
        </w:trPr>
        <w:tc>
          <w:tcPr>
            <w:tcW w:w="1794" w:type="dxa"/>
            <w:tcBorders>
              <w:top w:val="nil" w:sz="6" w:space="0" w:color="auto"/>
              <w:left w:val="nil" w:sz="6" w:space="0" w:color="auto"/>
              <w:bottom w:val="nil" w:sz="6" w:space="0" w:color="auto"/>
              <w:right w:val="nil" w:sz="6" w:space="0" w:color="auto"/>
            </w:tcBorders>
          </w:tcPr>
          <w:p>
            <w:pPr>
              <w:pStyle w:val="TableParagraph"/>
              <w:spacing w:line="197" w:lineRule="exact"/>
              <w:ind w:left="382" w:right="0"/>
              <w:jc w:val="left"/>
              <w:rPr>
                <w:rFonts w:ascii="宋体" w:hAnsi="宋体" w:cs="宋体" w:eastAsia="宋体" w:hint="default"/>
                <w:sz w:val="18"/>
                <w:szCs w:val="18"/>
              </w:rPr>
            </w:pPr>
            <w:r>
              <w:rPr>
                <w:rFonts w:ascii="宋体" w:hAnsi="宋体" w:cs="宋体" w:eastAsia="宋体" w:hint="default"/>
                <w:sz w:val="18"/>
                <w:szCs w:val="18"/>
              </w:rPr>
              <w:t>本年处置</w:t>
            </w:r>
          </w:p>
        </w:tc>
        <w:tc>
          <w:tcPr>
            <w:tcW w:w="1483" w:type="dxa"/>
            <w:tcBorders>
              <w:top w:val="nil" w:sz="6" w:space="0" w:color="auto"/>
              <w:left w:val="nil" w:sz="6" w:space="0" w:color="auto"/>
              <w:bottom w:val="nil" w:sz="6" w:space="0" w:color="auto"/>
              <w:right w:val="nil" w:sz="6" w:space="0" w:color="auto"/>
            </w:tcBorders>
          </w:tcPr>
          <w:p>
            <w:pPr>
              <w:pStyle w:val="TableParagraph"/>
              <w:tabs>
                <w:tab w:pos="1329" w:val="left" w:leader="none"/>
                <w:tab w:pos="1483" w:val="left" w:leader="none"/>
              </w:tabs>
              <w:spacing w:line="240" w:lineRule="auto" w:before="17"/>
              <w:ind w:right="0"/>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t>-</w:t>
              <w:tab/>
            </w:r>
            <w:r>
              <w:rPr>
                <w:rFonts w:ascii="Arial"/>
                <w:sz w:val="18"/>
              </w:rPr>
            </w:r>
          </w:p>
        </w:tc>
        <w:tc>
          <w:tcPr>
            <w:tcW w:w="1498" w:type="dxa"/>
            <w:tcBorders>
              <w:top w:val="nil" w:sz="6" w:space="0" w:color="auto"/>
              <w:left w:val="nil" w:sz="6" w:space="0" w:color="auto"/>
              <w:bottom w:val="nil" w:sz="6" w:space="0" w:color="auto"/>
              <w:right w:val="nil" w:sz="6" w:space="0" w:color="auto"/>
            </w:tcBorders>
          </w:tcPr>
          <w:p>
            <w:pPr>
              <w:pStyle w:val="TableParagraph"/>
              <w:tabs>
                <w:tab w:pos="1420" w:val="left" w:leader="none"/>
              </w:tabs>
              <w:spacing w:line="240" w:lineRule="auto" w:before="17"/>
              <w:ind w:right="0"/>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 </w:t>
            </w:r>
            <w:r>
              <w:rPr>
                <w:rFonts w:ascii="Arial"/>
                <w:spacing w:val="22"/>
                <w:sz w:val="18"/>
                <w:u w:val="single" w:color="000000"/>
              </w:rPr>
              <w:t> </w:t>
            </w:r>
            <w:r>
              <w:rPr>
                <w:rFonts w:ascii="Arial"/>
                <w:spacing w:val="-1"/>
                <w:sz w:val="18"/>
                <w:u w:val="single" w:color="000000"/>
              </w:rPr>
              <w:t>1,707,709,183</w:t>
              <w:tab/>
            </w:r>
            <w:r>
              <w:rPr>
                <w:rFonts w:ascii="Arial"/>
                <w:spacing w:val="-1"/>
                <w:sz w:val="18"/>
              </w:rPr>
            </w:r>
          </w:p>
        </w:tc>
        <w:tc>
          <w:tcPr>
            <w:tcW w:w="1418" w:type="dxa"/>
            <w:tcBorders>
              <w:top w:val="nil" w:sz="6" w:space="0" w:color="auto"/>
              <w:left w:val="nil" w:sz="6" w:space="0" w:color="auto"/>
              <w:bottom w:val="nil" w:sz="6" w:space="0" w:color="auto"/>
              <w:right w:val="nil" w:sz="6" w:space="0" w:color="auto"/>
            </w:tcBorders>
          </w:tcPr>
          <w:p>
            <w:pPr>
              <w:pStyle w:val="TableParagraph"/>
              <w:tabs>
                <w:tab w:pos="403" w:val="left" w:leader="none"/>
                <w:tab w:pos="1396" w:val="left" w:leader="none"/>
              </w:tabs>
              <w:spacing w:line="240" w:lineRule="auto" w:before="17"/>
              <w:ind w:left="76" w:right="0"/>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t>13,411,080</w:t>
              <w:tab/>
            </w:r>
            <w:r>
              <w:rPr>
                <w:rFonts w:ascii="Arial"/>
                <w:sz w:val="18"/>
              </w:rPr>
            </w:r>
          </w:p>
        </w:tc>
        <w:tc>
          <w:tcPr>
            <w:tcW w:w="1362" w:type="dxa"/>
            <w:tcBorders>
              <w:top w:val="nil" w:sz="6" w:space="0" w:color="auto"/>
              <w:left w:val="nil" w:sz="6" w:space="0" w:color="auto"/>
              <w:bottom w:val="nil" w:sz="6" w:space="0" w:color="auto"/>
              <w:right w:val="nil" w:sz="6" w:space="0" w:color="auto"/>
            </w:tcBorders>
          </w:tcPr>
          <w:p>
            <w:pPr>
              <w:pStyle w:val="TableParagraph"/>
              <w:tabs>
                <w:tab w:pos="321" w:val="left" w:leader="none"/>
                <w:tab w:pos="1310" w:val="left" w:leader="none"/>
              </w:tabs>
              <w:spacing w:line="240" w:lineRule="auto" w:before="17"/>
              <w:ind w:right="0"/>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r>
            <w:r>
              <w:rPr>
                <w:rFonts w:ascii="Arial"/>
                <w:spacing w:val="-1"/>
                <w:sz w:val="18"/>
                <w:u w:val="single" w:color="000000"/>
              </w:rPr>
              <w:t>35,404,271</w:t>
              <w:tab/>
            </w:r>
            <w:r>
              <w:rPr>
                <w:rFonts w:ascii="Arial"/>
                <w:spacing w:val="-1"/>
                <w:sz w:val="18"/>
              </w:rPr>
            </w:r>
          </w:p>
        </w:tc>
        <w:tc>
          <w:tcPr>
            <w:tcW w:w="1622" w:type="dxa"/>
            <w:tcBorders>
              <w:top w:val="nil" w:sz="6" w:space="0" w:color="auto"/>
              <w:left w:val="nil" w:sz="6" w:space="0" w:color="auto"/>
              <w:bottom w:val="nil" w:sz="6" w:space="0" w:color="auto"/>
              <w:right w:val="nil" w:sz="6" w:space="0" w:color="auto"/>
            </w:tcBorders>
          </w:tcPr>
          <w:p>
            <w:pPr>
              <w:pStyle w:val="TableParagraph"/>
              <w:tabs>
                <w:tab w:pos="1622" w:val="left" w:leader="none"/>
              </w:tabs>
              <w:spacing w:line="240" w:lineRule="auto" w:before="17"/>
              <w:ind w:left="96" w:right="0"/>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   </w:t>
            </w:r>
            <w:r>
              <w:rPr>
                <w:rFonts w:ascii="Arial"/>
                <w:spacing w:val="-2"/>
                <w:sz w:val="18"/>
                <w:u w:val="single" w:color="000000"/>
              </w:rPr>
              <w:t> </w:t>
            </w:r>
            <w:r>
              <w:rPr>
                <w:rFonts w:ascii="Arial"/>
                <w:sz w:val="18"/>
                <w:u w:val="single" w:color="000000"/>
              </w:rPr>
              <w:t>1,756,524,534</w:t>
              <w:tab/>
            </w:r>
            <w:r>
              <w:rPr>
                <w:rFonts w:ascii="Arial"/>
                <w:sz w:val="18"/>
              </w:rPr>
            </w:r>
          </w:p>
        </w:tc>
      </w:tr>
      <w:tr>
        <w:trPr>
          <w:trHeight w:val="302" w:hRule="exact"/>
        </w:trPr>
        <w:tc>
          <w:tcPr>
            <w:tcW w:w="1794" w:type="dxa"/>
            <w:tcBorders>
              <w:top w:val="nil" w:sz="6" w:space="0" w:color="auto"/>
              <w:left w:val="nil" w:sz="6" w:space="0" w:color="auto"/>
              <w:bottom w:val="nil" w:sz="6" w:space="0" w:color="auto"/>
              <w:right w:val="nil" w:sz="6" w:space="0" w:color="auto"/>
            </w:tcBorders>
          </w:tcPr>
          <w:p>
            <w:pPr>
              <w:pStyle w:val="TableParagraph"/>
              <w:spacing w:line="202" w:lineRule="exact"/>
              <w:ind w:left="382"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0"/>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  </w:t>
            </w:r>
            <w:r>
              <w:rPr>
                <w:rFonts w:ascii="Arial"/>
                <w:spacing w:val="-24"/>
                <w:sz w:val="18"/>
                <w:u w:val="single" w:color="000000"/>
              </w:rPr>
              <w:t> </w:t>
            </w:r>
            <w:r>
              <w:rPr>
                <w:rFonts w:ascii="Arial"/>
                <w:sz w:val="18"/>
                <w:u w:val="single" w:color="000000"/>
              </w:rPr>
              <w:t>(6,467,005,532)</w:t>
            </w:r>
            <w:r>
              <w:rPr>
                <w:rFonts w:ascii="Arial"/>
                <w:sz w:val="18"/>
              </w:rPr>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8"/>
              <w:jc w:val="right"/>
              <w:rPr>
                <w:rFonts w:ascii="Arial" w:hAnsi="Arial" w:cs="Arial" w:eastAsia="Arial" w:hint="default"/>
                <w:sz w:val="18"/>
                <w:szCs w:val="18"/>
              </w:rPr>
            </w:pPr>
            <w:r>
              <w:rPr>
                <w:rFonts w:ascii="Arial"/>
                <w:w w:val="101"/>
                <w:sz w:val="18"/>
              </w:rPr>
            </w:r>
            <w:r>
              <w:rPr>
                <w:rFonts w:ascii="Arial"/>
                <w:spacing w:val="-2"/>
                <w:sz w:val="18"/>
                <w:u w:val="single" w:color="000000"/>
              </w:rPr>
              <w:t>(21,768,313,176)</w:t>
            </w:r>
            <w:r>
              <w:rPr>
                <w:rFonts w:ascii="Arial"/>
                <w:spacing w:val="-2"/>
                <w:sz w:val="18"/>
              </w:rPr>
            </w:r>
            <w:r>
              <w:rPr>
                <w:rFonts w:ascii="Arial"/>
                <w:sz w:val="18"/>
              </w:rPr>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76" w:right="0"/>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 </w:t>
            </w:r>
            <w:r>
              <w:rPr>
                <w:rFonts w:ascii="Arial"/>
                <w:spacing w:val="7"/>
                <w:sz w:val="18"/>
                <w:u w:val="single" w:color="000000"/>
              </w:rPr>
              <w:t> </w:t>
            </w:r>
            <w:r>
              <w:rPr>
                <w:rFonts w:ascii="Arial"/>
                <w:sz w:val="18"/>
                <w:u w:val="single" w:color="000000"/>
              </w:rPr>
              <w:t>(688,899,906)</w:t>
            </w:r>
            <w:r>
              <w:rPr>
                <w:rFonts w:ascii="Arial"/>
                <w:sz w:val="18"/>
              </w:rPr>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8"/>
              <w:jc w:val="right"/>
              <w:rPr>
                <w:rFonts w:ascii="Arial" w:hAnsi="Arial" w:cs="Arial" w:eastAsia="Arial" w:hint="default"/>
                <w:sz w:val="18"/>
                <w:szCs w:val="18"/>
              </w:rPr>
            </w:pPr>
            <w:r>
              <w:rPr>
                <w:rFonts w:ascii="Arial"/>
                <w:w w:val="101"/>
                <w:sz w:val="18"/>
              </w:rPr>
            </w:r>
            <w:r>
              <w:rPr>
                <w:rFonts w:ascii="Arial"/>
                <w:spacing w:val="-2"/>
                <w:sz w:val="18"/>
                <w:u w:val="single" w:color="000000"/>
              </w:rPr>
              <w:t>(1,147,931,954)</w:t>
            </w:r>
            <w:r>
              <w:rPr>
                <w:rFonts w:ascii="Arial"/>
                <w:spacing w:val="-2"/>
                <w:sz w:val="18"/>
              </w:rPr>
            </w:r>
            <w:r>
              <w:rPr>
                <w:rFonts w:ascii="Arial"/>
                <w:sz w:val="18"/>
              </w:rPr>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96" w:right="0"/>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pacing w:val="14"/>
                <w:sz w:val="18"/>
                <w:u w:val="single" w:color="000000"/>
              </w:rPr>
              <w:t> </w:t>
            </w:r>
            <w:r>
              <w:rPr>
                <w:rFonts w:ascii="Arial"/>
                <w:sz w:val="18"/>
                <w:u w:val="single" w:color="000000"/>
              </w:rPr>
              <w:t>(30,072,150,568)</w:t>
            </w:r>
            <w:r>
              <w:rPr>
                <w:rFonts w:ascii="Arial"/>
                <w:sz w:val="18"/>
              </w:rPr>
            </w:r>
          </w:p>
        </w:tc>
      </w:tr>
      <w:tr>
        <w:trPr>
          <w:trHeight w:val="394" w:hRule="exact"/>
        </w:trPr>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00"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483"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
        </w:tc>
        <w:tc>
          <w:tcPr>
            <w:tcW w:w="1362"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r>
      <w:tr>
        <w:trPr>
          <w:trHeight w:val="355" w:hRule="exact"/>
        </w:trPr>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82"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86"/>
              <w:jc w:val="right"/>
              <w:rPr>
                <w:rFonts w:ascii="Arial" w:hAnsi="Arial" w:cs="Arial" w:eastAsia="Arial" w:hint="default"/>
                <w:sz w:val="18"/>
                <w:szCs w:val="18"/>
              </w:rPr>
            </w:pPr>
            <w:r>
              <w:rPr>
                <w:rFonts w:ascii="Arial"/>
                <w:w w:val="101"/>
                <w:sz w:val="18"/>
              </w:rPr>
              <w:t>-</w:t>
            </w:r>
            <w:r>
              <w:rPr>
                <w:rFonts w:ascii="Arial"/>
                <w:sz w:val="18"/>
              </w:rPr>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28"/>
              <w:jc w:val="right"/>
              <w:rPr>
                <w:rFonts w:ascii="Arial" w:hAnsi="Arial" w:cs="Arial" w:eastAsia="Arial" w:hint="default"/>
                <w:sz w:val="18"/>
                <w:szCs w:val="18"/>
              </w:rPr>
            </w:pPr>
            <w:r>
              <w:rPr>
                <w:rFonts w:ascii="Arial"/>
                <w:spacing w:val="-2"/>
                <w:sz w:val="18"/>
              </w:rPr>
              <w:t>(5,315,644)</w:t>
            </w:r>
            <w:r>
              <w:rPr>
                <w:rFonts w:ascii="Arial"/>
                <w:sz w:val="18"/>
              </w:rPr>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106"/>
              <w:jc w:val="right"/>
              <w:rPr>
                <w:rFonts w:ascii="Arial" w:hAnsi="Arial" w:cs="Arial" w:eastAsia="Arial" w:hint="default"/>
                <w:sz w:val="18"/>
                <w:szCs w:val="18"/>
              </w:rPr>
            </w:pPr>
            <w:r>
              <w:rPr>
                <w:rFonts w:ascii="Arial"/>
                <w:w w:val="101"/>
                <w:sz w:val="18"/>
              </w:rPr>
              <w:t>-</w:t>
            </w:r>
            <w:r>
              <w:rPr>
                <w:rFonts w:ascii="Arial"/>
                <w:sz w:val="18"/>
              </w:rPr>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28"/>
              <w:jc w:val="right"/>
              <w:rPr>
                <w:rFonts w:ascii="Arial" w:hAnsi="Arial" w:cs="Arial" w:eastAsia="Arial" w:hint="default"/>
                <w:sz w:val="18"/>
                <w:szCs w:val="18"/>
              </w:rPr>
            </w:pPr>
            <w:r>
              <w:rPr>
                <w:rFonts w:ascii="Arial"/>
                <w:spacing w:val="-1"/>
                <w:sz w:val="18"/>
              </w:rPr>
              <w:t>(24,710)</w:t>
            </w:r>
            <w:r>
              <w:rPr>
                <w:rFonts w:ascii="Arial"/>
                <w:sz w:val="18"/>
              </w:rPr>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57"/>
              <w:jc w:val="right"/>
              <w:rPr>
                <w:rFonts w:ascii="Arial" w:hAnsi="Arial" w:cs="Arial" w:eastAsia="Arial" w:hint="default"/>
                <w:sz w:val="18"/>
                <w:szCs w:val="18"/>
              </w:rPr>
            </w:pPr>
            <w:r>
              <w:rPr>
                <w:rFonts w:ascii="Arial"/>
                <w:spacing w:val="-2"/>
                <w:sz w:val="18"/>
              </w:rPr>
              <w:t>(5,340,354)</w:t>
            </w:r>
            <w:r>
              <w:rPr>
                <w:rFonts w:ascii="Arial"/>
                <w:sz w:val="18"/>
              </w:rPr>
            </w:r>
          </w:p>
        </w:tc>
      </w:tr>
      <w:tr>
        <w:trPr>
          <w:trHeight w:val="245" w:hRule="exact"/>
        </w:trPr>
        <w:tc>
          <w:tcPr>
            <w:tcW w:w="1794" w:type="dxa"/>
            <w:tcBorders>
              <w:top w:val="nil" w:sz="6" w:space="0" w:color="auto"/>
              <w:left w:val="nil" w:sz="6" w:space="0" w:color="auto"/>
              <w:bottom w:val="nil" w:sz="6" w:space="0" w:color="auto"/>
              <w:right w:val="nil" w:sz="6" w:space="0" w:color="auto"/>
            </w:tcBorders>
          </w:tcPr>
          <w:p>
            <w:pPr>
              <w:pStyle w:val="TableParagraph"/>
              <w:spacing w:line="202" w:lineRule="exact"/>
              <w:ind w:left="382" w:right="0"/>
              <w:jc w:val="left"/>
              <w:rPr>
                <w:rFonts w:ascii="宋体" w:hAnsi="宋体" w:cs="宋体" w:eastAsia="宋体" w:hint="default"/>
                <w:sz w:val="18"/>
                <w:szCs w:val="18"/>
              </w:rPr>
            </w:pPr>
            <w:r>
              <w:rPr>
                <w:rFonts w:ascii="宋体" w:hAnsi="宋体" w:cs="宋体" w:eastAsia="宋体" w:hint="default"/>
                <w:sz w:val="18"/>
                <w:szCs w:val="18"/>
              </w:rPr>
              <w:t>本年计提</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86"/>
              <w:jc w:val="right"/>
              <w:rPr>
                <w:rFonts w:ascii="Arial" w:hAnsi="Arial" w:cs="Arial" w:eastAsia="Arial" w:hint="default"/>
                <w:sz w:val="18"/>
                <w:szCs w:val="18"/>
              </w:rPr>
            </w:pPr>
            <w:r>
              <w:rPr>
                <w:rFonts w:ascii="Arial"/>
                <w:w w:val="101"/>
                <w:sz w:val="18"/>
              </w:rPr>
              <w:t>-</w:t>
            </w:r>
            <w:r>
              <w:rPr>
                <w:rFonts w:ascii="Arial"/>
                <w:sz w:val="18"/>
              </w:rPr>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0"/>
              <w:jc w:val="right"/>
              <w:rPr>
                <w:rFonts w:ascii="Arial" w:hAnsi="Arial" w:cs="Arial" w:eastAsia="Arial" w:hint="default"/>
                <w:sz w:val="18"/>
                <w:szCs w:val="18"/>
              </w:rPr>
            </w:pPr>
            <w:r>
              <w:rPr>
                <w:rFonts w:ascii="Arial"/>
                <w:w w:val="101"/>
                <w:sz w:val="18"/>
              </w:rPr>
              <w:t>-</w:t>
            </w:r>
            <w:r>
              <w:rPr>
                <w:rFonts w:ascii="Arial"/>
                <w:sz w:val="18"/>
              </w:rPr>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6"/>
              <w:jc w:val="right"/>
              <w:rPr>
                <w:rFonts w:ascii="Arial" w:hAnsi="Arial" w:cs="Arial" w:eastAsia="Arial" w:hint="default"/>
                <w:sz w:val="18"/>
                <w:szCs w:val="18"/>
              </w:rPr>
            </w:pPr>
            <w:r>
              <w:rPr>
                <w:rFonts w:ascii="Arial"/>
                <w:w w:val="101"/>
                <w:sz w:val="18"/>
              </w:rPr>
              <w:t>-</w:t>
            </w:r>
            <w:r>
              <w:rPr>
                <w:rFonts w:ascii="Arial"/>
                <w:sz w:val="18"/>
              </w:rPr>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81"/>
              <w:jc w:val="right"/>
              <w:rPr>
                <w:rFonts w:ascii="Arial" w:hAnsi="Arial" w:cs="Arial" w:eastAsia="Arial" w:hint="default"/>
                <w:sz w:val="18"/>
                <w:szCs w:val="18"/>
              </w:rPr>
            </w:pPr>
            <w:r>
              <w:rPr>
                <w:rFonts w:ascii="Arial"/>
                <w:w w:val="101"/>
                <w:sz w:val="18"/>
              </w:rPr>
              <w:t>-</w:t>
            </w:r>
            <w:r>
              <w:rPr>
                <w:rFonts w:ascii="Arial"/>
                <w:sz w:val="18"/>
              </w:rPr>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4"/>
              <w:jc w:val="right"/>
              <w:rPr>
                <w:rFonts w:ascii="Arial" w:hAnsi="Arial" w:cs="Arial" w:eastAsia="Arial" w:hint="default"/>
                <w:sz w:val="18"/>
                <w:szCs w:val="18"/>
              </w:rPr>
            </w:pPr>
            <w:r>
              <w:rPr>
                <w:rFonts w:ascii="Arial"/>
                <w:w w:val="101"/>
                <w:sz w:val="18"/>
              </w:rPr>
              <w:t>-</w:t>
            </w:r>
            <w:r>
              <w:rPr>
                <w:rFonts w:ascii="Arial"/>
                <w:sz w:val="18"/>
              </w:rPr>
            </w:r>
          </w:p>
        </w:tc>
      </w:tr>
      <w:tr>
        <w:trPr>
          <w:trHeight w:val="247" w:hRule="exact"/>
        </w:trPr>
        <w:tc>
          <w:tcPr>
            <w:tcW w:w="1794" w:type="dxa"/>
            <w:tcBorders>
              <w:top w:val="nil" w:sz="6" w:space="0" w:color="auto"/>
              <w:left w:val="nil" w:sz="6" w:space="0" w:color="auto"/>
              <w:bottom w:val="nil" w:sz="6" w:space="0" w:color="auto"/>
              <w:right w:val="nil" w:sz="6" w:space="0" w:color="auto"/>
            </w:tcBorders>
          </w:tcPr>
          <w:p>
            <w:pPr>
              <w:pStyle w:val="TableParagraph"/>
              <w:spacing w:line="202" w:lineRule="exact"/>
              <w:ind w:left="382" w:right="0"/>
              <w:jc w:val="left"/>
              <w:rPr>
                <w:rFonts w:ascii="宋体" w:hAnsi="宋体" w:cs="宋体" w:eastAsia="宋体" w:hint="default"/>
                <w:sz w:val="18"/>
                <w:szCs w:val="18"/>
              </w:rPr>
            </w:pPr>
            <w:r>
              <w:rPr>
                <w:rFonts w:ascii="宋体" w:hAnsi="宋体" w:cs="宋体" w:eastAsia="宋体" w:hint="default"/>
                <w:sz w:val="18"/>
                <w:szCs w:val="18"/>
              </w:rPr>
              <w:t>本年处置</w:t>
            </w:r>
          </w:p>
        </w:tc>
        <w:tc>
          <w:tcPr>
            <w:tcW w:w="1483" w:type="dxa"/>
            <w:tcBorders>
              <w:top w:val="nil" w:sz="6" w:space="0" w:color="auto"/>
              <w:left w:val="nil" w:sz="6" w:space="0" w:color="auto"/>
              <w:bottom w:val="nil" w:sz="6" w:space="0" w:color="auto"/>
              <w:right w:val="nil" w:sz="6" w:space="0" w:color="auto"/>
            </w:tcBorders>
          </w:tcPr>
          <w:p>
            <w:pPr>
              <w:pStyle w:val="TableParagraph"/>
              <w:tabs>
                <w:tab w:pos="1334" w:val="left" w:leader="none"/>
                <w:tab w:pos="1483" w:val="left" w:leader="none"/>
              </w:tabs>
              <w:spacing w:line="240" w:lineRule="auto" w:before="22"/>
              <w:ind w:right="0"/>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t>-</w:t>
              <w:tab/>
            </w:r>
            <w:r>
              <w:rPr>
                <w:rFonts w:ascii="Arial"/>
                <w:sz w:val="18"/>
              </w:rPr>
            </w:r>
          </w:p>
        </w:tc>
        <w:tc>
          <w:tcPr>
            <w:tcW w:w="1498" w:type="dxa"/>
            <w:tcBorders>
              <w:top w:val="nil" w:sz="6" w:space="0" w:color="auto"/>
              <w:left w:val="nil" w:sz="6" w:space="0" w:color="auto"/>
              <w:bottom w:val="nil" w:sz="6" w:space="0" w:color="auto"/>
              <w:right w:val="nil" w:sz="6" w:space="0" w:color="auto"/>
            </w:tcBorders>
          </w:tcPr>
          <w:p>
            <w:pPr>
              <w:pStyle w:val="TableParagraph"/>
              <w:tabs>
                <w:tab w:pos="1247" w:val="left" w:leader="none"/>
                <w:tab w:pos="1420" w:val="left" w:leader="none"/>
              </w:tabs>
              <w:spacing w:line="240" w:lineRule="auto" w:before="22"/>
              <w:ind w:right="-1"/>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t>-</w:t>
              <w:tab/>
            </w:r>
            <w:r>
              <w:rPr>
                <w:rFonts w:ascii="Arial"/>
                <w:sz w:val="18"/>
              </w:rPr>
            </w:r>
          </w:p>
        </w:tc>
        <w:tc>
          <w:tcPr>
            <w:tcW w:w="1418" w:type="dxa"/>
            <w:tcBorders>
              <w:top w:val="nil" w:sz="6" w:space="0" w:color="auto"/>
              <w:left w:val="nil" w:sz="6" w:space="0" w:color="auto"/>
              <w:bottom w:val="nil" w:sz="6" w:space="0" w:color="auto"/>
              <w:right w:val="nil" w:sz="6" w:space="0" w:color="auto"/>
            </w:tcBorders>
          </w:tcPr>
          <w:p>
            <w:pPr>
              <w:pStyle w:val="TableParagraph"/>
              <w:tabs>
                <w:tab w:pos="1247" w:val="left" w:leader="none"/>
              </w:tabs>
              <w:spacing w:line="240" w:lineRule="auto" w:before="22"/>
              <w:ind w:left="76" w:right="0"/>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t>-</w:t>
              <w:tab/>
            </w:r>
            <w:r>
              <w:rPr>
                <w:rFonts w:ascii="Arial"/>
                <w:sz w:val="18"/>
              </w:rPr>
            </w:r>
          </w:p>
        </w:tc>
        <w:tc>
          <w:tcPr>
            <w:tcW w:w="1362" w:type="dxa"/>
            <w:tcBorders>
              <w:top w:val="nil" w:sz="6" w:space="0" w:color="auto"/>
              <w:left w:val="nil" w:sz="6" w:space="0" w:color="auto"/>
              <w:bottom w:val="nil" w:sz="6" w:space="0" w:color="auto"/>
              <w:right w:val="nil" w:sz="6" w:space="0" w:color="auto"/>
            </w:tcBorders>
          </w:tcPr>
          <w:p>
            <w:pPr>
              <w:pStyle w:val="TableParagraph"/>
              <w:tabs>
                <w:tab w:pos="1166" w:val="left" w:leader="none"/>
                <w:tab w:pos="1310" w:val="left" w:leader="none"/>
              </w:tabs>
              <w:spacing w:line="240" w:lineRule="auto" w:before="22"/>
              <w:ind w:right="0"/>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t>-</w:t>
              <w:tab/>
            </w:r>
            <w:r>
              <w:rPr>
                <w:rFonts w:ascii="Arial"/>
                <w:sz w:val="18"/>
              </w:rPr>
            </w:r>
          </w:p>
        </w:tc>
        <w:tc>
          <w:tcPr>
            <w:tcW w:w="1622" w:type="dxa"/>
            <w:tcBorders>
              <w:top w:val="nil" w:sz="6" w:space="0" w:color="auto"/>
              <w:left w:val="nil" w:sz="6" w:space="0" w:color="auto"/>
              <w:bottom w:val="nil" w:sz="6" w:space="0" w:color="auto"/>
              <w:right w:val="nil" w:sz="6" w:space="0" w:color="auto"/>
            </w:tcBorders>
          </w:tcPr>
          <w:p>
            <w:pPr>
              <w:pStyle w:val="TableParagraph"/>
              <w:tabs>
                <w:tab w:pos="1348" w:val="left" w:leader="none"/>
                <w:tab w:pos="1526" w:val="left" w:leader="none"/>
              </w:tabs>
              <w:spacing w:line="240" w:lineRule="auto" w:before="22"/>
              <w:ind w:right="0"/>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t>-</w:t>
              <w:tab/>
            </w:r>
            <w:r>
              <w:rPr>
                <w:rFonts w:ascii="Arial"/>
                <w:sz w:val="18"/>
              </w:rPr>
            </w:r>
          </w:p>
        </w:tc>
      </w:tr>
      <w:tr>
        <w:trPr>
          <w:trHeight w:val="298" w:hRule="exact"/>
        </w:trPr>
        <w:tc>
          <w:tcPr>
            <w:tcW w:w="1794" w:type="dxa"/>
            <w:tcBorders>
              <w:top w:val="nil" w:sz="6" w:space="0" w:color="auto"/>
              <w:left w:val="nil" w:sz="6" w:space="0" w:color="auto"/>
              <w:bottom w:val="nil" w:sz="6" w:space="0" w:color="auto"/>
              <w:right w:val="nil" w:sz="6" w:space="0" w:color="auto"/>
            </w:tcBorders>
          </w:tcPr>
          <w:p>
            <w:pPr>
              <w:pStyle w:val="TableParagraph"/>
              <w:spacing w:line="204" w:lineRule="exact"/>
              <w:ind w:left="382"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1483" w:type="dxa"/>
            <w:tcBorders>
              <w:top w:val="nil" w:sz="6" w:space="0" w:color="auto"/>
              <w:left w:val="nil" w:sz="6" w:space="0" w:color="auto"/>
              <w:bottom w:val="nil" w:sz="6" w:space="0" w:color="auto"/>
              <w:right w:val="nil" w:sz="6" w:space="0" w:color="auto"/>
            </w:tcBorders>
          </w:tcPr>
          <w:p>
            <w:pPr>
              <w:pStyle w:val="TableParagraph"/>
              <w:tabs>
                <w:tab w:pos="1334" w:val="left" w:leader="none"/>
                <w:tab w:pos="1483" w:val="left" w:leader="none"/>
              </w:tabs>
              <w:spacing w:line="240" w:lineRule="auto" w:before="24"/>
              <w:ind w:right="0"/>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t>-</w:t>
              <w:tab/>
            </w:r>
            <w:r>
              <w:rPr>
                <w:rFonts w:ascii="Arial"/>
                <w:sz w:val="18"/>
              </w:rPr>
            </w:r>
          </w:p>
        </w:tc>
        <w:tc>
          <w:tcPr>
            <w:tcW w:w="1498" w:type="dxa"/>
            <w:tcBorders>
              <w:top w:val="nil" w:sz="6" w:space="0" w:color="auto"/>
              <w:left w:val="nil" w:sz="6" w:space="0" w:color="auto"/>
              <w:bottom w:val="nil" w:sz="6" w:space="0" w:color="auto"/>
              <w:right w:val="nil" w:sz="6" w:space="0" w:color="auto"/>
            </w:tcBorders>
          </w:tcPr>
          <w:p>
            <w:pPr>
              <w:pStyle w:val="TableParagraph"/>
              <w:tabs>
                <w:tab w:pos="460" w:val="left" w:leader="none"/>
              </w:tabs>
              <w:spacing w:line="240" w:lineRule="auto" w:before="24"/>
              <w:ind w:right="33"/>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r>
            <w:r>
              <w:rPr>
                <w:rFonts w:ascii="Arial"/>
                <w:spacing w:val="-2"/>
                <w:sz w:val="18"/>
                <w:u w:val="single" w:color="000000"/>
              </w:rPr>
              <w:t>(5,315,644)</w:t>
            </w:r>
            <w:r>
              <w:rPr>
                <w:rFonts w:ascii="Arial"/>
                <w:spacing w:val="-2"/>
                <w:sz w:val="18"/>
              </w:rPr>
            </w:r>
            <w:r>
              <w:rPr>
                <w:rFonts w:ascii="Arial"/>
                <w:sz w:val="18"/>
              </w:rPr>
            </w:r>
          </w:p>
        </w:tc>
        <w:tc>
          <w:tcPr>
            <w:tcW w:w="1418" w:type="dxa"/>
            <w:tcBorders>
              <w:top w:val="nil" w:sz="6" w:space="0" w:color="auto"/>
              <w:left w:val="nil" w:sz="6" w:space="0" w:color="auto"/>
              <w:bottom w:val="nil" w:sz="6" w:space="0" w:color="auto"/>
              <w:right w:val="nil" w:sz="6" w:space="0" w:color="auto"/>
            </w:tcBorders>
          </w:tcPr>
          <w:p>
            <w:pPr>
              <w:pStyle w:val="TableParagraph"/>
              <w:tabs>
                <w:tab w:pos="1247" w:val="left" w:leader="none"/>
              </w:tabs>
              <w:spacing w:line="240" w:lineRule="auto" w:before="24"/>
              <w:ind w:left="76" w:right="0"/>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t>-</w:t>
              <w:tab/>
            </w:r>
            <w:r>
              <w:rPr>
                <w:rFonts w:ascii="Arial"/>
                <w:sz w:val="18"/>
              </w:rPr>
            </w:r>
          </w:p>
        </w:tc>
        <w:tc>
          <w:tcPr>
            <w:tcW w:w="1362" w:type="dxa"/>
            <w:tcBorders>
              <w:top w:val="nil" w:sz="6" w:space="0" w:color="auto"/>
              <w:left w:val="nil" w:sz="6" w:space="0" w:color="auto"/>
              <w:bottom w:val="nil" w:sz="6" w:space="0" w:color="auto"/>
              <w:right w:val="nil" w:sz="6" w:space="0" w:color="auto"/>
            </w:tcBorders>
          </w:tcPr>
          <w:p>
            <w:pPr>
              <w:pStyle w:val="TableParagraph"/>
              <w:tabs>
                <w:tab w:pos="604" w:val="left" w:leader="none"/>
              </w:tabs>
              <w:spacing w:line="240" w:lineRule="auto" w:before="24"/>
              <w:ind w:right="28"/>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r>
            <w:r>
              <w:rPr>
                <w:rFonts w:ascii="Arial"/>
                <w:spacing w:val="-1"/>
                <w:sz w:val="18"/>
                <w:u w:val="single" w:color="000000"/>
              </w:rPr>
              <w:t>(24,710)</w:t>
            </w:r>
            <w:r>
              <w:rPr>
                <w:rFonts w:ascii="Arial"/>
                <w:spacing w:val="-1"/>
                <w:sz w:val="18"/>
              </w:rPr>
            </w:r>
            <w:r>
              <w:rPr>
                <w:rFonts w:ascii="Arial"/>
                <w:sz w:val="18"/>
              </w:rPr>
            </w:r>
          </w:p>
        </w:tc>
        <w:tc>
          <w:tcPr>
            <w:tcW w:w="1622" w:type="dxa"/>
            <w:tcBorders>
              <w:top w:val="nil" w:sz="6" w:space="0" w:color="auto"/>
              <w:left w:val="nil" w:sz="6" w:space="0" w:color="auto"/>
              <w:bottom w:val="nil" w:sz="6" w:space="0" w:color="auto"/>
              <w:right w:val="nil" w:sz="6" w:space="0" w:color="auto"/>
            </w:tcBorders>
          </w:tcPr>
          <w:p>
            <w:pPr>
              <w:pStyle w:val="TableParagraph"/>
              <w:tabs>
                <w:tab w:pos="633" w:val="left" w:leader="none"/>
                <w:tab w:pos="1622" w:val="left" w:leader="none"/>
              </w:tabs>
              <w:spacing w:line="240" w:lineRule="auto" w:before="24"/>
              <w:ind w:left="96" w:right="0"/>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t>(5,340,354)</w:t>
              <w:tab/>
            </w:r>
            <w:r>
              <w:rPr>
                <w:rFonts w:ascii="Arial"/>
                <w:sz w:val="18"/>
              </w:rPr>
            </w:r>
          </w:p>
        </w:tc>
      </w:tr>
      <w:tr>
        <w:trPr>
          <w:trHeight w:val="382" w:hRule="exact"/>
        </w:trPr>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00"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83"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
        </w:tc>
        <w:tc>
          <w:tcPr>
            <w:tcW w:w="1362"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r>
      <w:tr>
        <w:trPr>
          <w:trHeight w:val="361" w:hRule="exact"/>
        </w:trPr>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82" w:right="0"/>
              <w:jc w:val="left"/>
              <w:rPr>
                <w:rFonts w:ascii="宋体" w:hAnsi="宋体" w:cs="宋体" w:eastAsia="宋体" w:hint="default"/>
                <w:sz w:val="18"/>
                <w:szCs w:val="18"/>
              </w:rPr>
            </w:pPr>
            <w:r>
              <w:rPr>
                <w:rFonts w:ascii="宋体" w:hAnsi="宋体" w:cs="宋体" w:eastAsia="宋体" w:hint="default"/>
                <w:sz w:val="18"/>
                <w:szCs w:val="18"/>
              </w:rPr>
              <w:t>年末</w:t>
            </w:r>
          </w:p>
        </w:tc>
        <w:tc>
          <w:tcPr>
            <w:tcW w:w="1483" w:type="dxa"/>
            <w:tcBorders>
              <w:top w:val="nil" w:sz="6" w:space="0" w:color="auto"/>
              <w:left w:val="nil" w:sz="6" w:space="0" w:color="auto"/>
              <w:bottom w:val="single" w:sz="17" w:space="0" w:color="000000"/>
              <w:right w:val="nil" w:sz="6" w:space="0" w:color="auto"/>
            </w:tcBorders>
          </w:tcPr>
          <w:p>
            <w:pPr>
              <w:pStyle w:val="TableParagraph"/>
              <w:spacing w:line="240" w:lineRule="auto" w:before="132"/>
              <w:ind w:left="139" w:right="0"/>
              <w:jc w:val="left"/>
              <w:rPr>
                <w:rFonts w:ascii="Arial" w:hAnsi="Arial" w:cs="Arial" w:eastAsia="Arial" w:hint="default"/>
                <w:sz w:val="18"/>
                <w:szCs w:val="18"/>
              </w:rPr>
            </w:pPr>
            <w:r>
              <w:rPr>
                <w:rFonts w:ascii="Arial"/>
                <w:sz w:val="18"/>
              </w:rPr>
              <w:t>14,422,119,720</w:t>
            </w:r>
          </w:p>
        </w:tc>
        <w:tc>
          <w:tcPr>
            <w:tcW w:w="1498" w:type="dxa"/>
            <w:tcBorders>
              <w:top w:val="nil" w:sz="6" w:space="0" w:color="auto"/>
              <w:left w:val="nil" w:sz="6" w:space="0" w:color="auto"/>
              <w:bottom w:val="single" w:sz="17" w:space="0" w:color="000000"/>
              <w:right w:val="nil" w:sz="6" w:space="0" w:color="auto"/>
            </w:tcBorders>
          </w:tcPr>
          <w:p>
            <w:pPr>
              <w:pStyle w:val="TableParagraph"/>
              <w:spacing w:line="240" w:lineRule="auto" w:before="132"/>
              <w:ind w:left="249" w:right="0"/>
              <w:jc w:val="left"/>
              <w:rPr>
                <w:rFonts w:ascii="Arial" w:hAnsi="Arial" w:cs="Arial" w:eastAsia="Arial" w:hint="default"/>
                <w:sz w:val="18"/>
                <w:szCs w:val="18"/>
              </w:rPr>
            </w:pPr>
            <w:r>
              <w:rPr>
                <w:rFonts w:ascii="Arial"/>
                <w:sz w:val="18"/>
              </w:rPr>
              <w:t>9,584,982,604</w:t>
            </w:r>
          </w:p>
        </w:tc>
        <w:tc>
          <w:tcPr>
            <w:tcW w:w="1418" w:type="dxa"/>
            <w:tcBorders>
              <w:top w:val="nil" w:sz="6" w:space="0" w:color="auto"/>
              <w:left w:val="nil" w:sz="6" w:space="0" w:color="auto"/>
              <w:bottom w:val="single" w:sz="17" w:space="0" w:color="000000"/>
              <w:right w:val="nil" w:sz="6" w:space="0" w:color="auto"/>
            </w:tcBorders>
          </w:tcPr>
          <w:p>
            <w:pPr>
              <w:pStyle w:val="TableParagraph"/>
              <w:spacing w:line="240" w:lineRule="auto" w:before="132"/>
              <w:ind w:left="302" w:right="0"/>
              <w:jc w:val="left"/>
              <w:rPr>
                <w:rFonts w:ascii="Arial" w:hAnsi="Arial" w:cs="Arial" w:eastAsia="Arial" w:hint="default"/>
                <w:sz w:val="18"/>
                <w:szCs w:val="18"/>
              </w:rPr>
            </w:pPr>
            <w:r>
              <w:rPr>
                <w:rFonts w:ascii="Arial"/>
                <w:sz w:val="18"/>
              </w:rPr>
              <w:t>423,164,017</w:t>
            </w:r>
          </w:p>
        </w:tc>
        <w:tc>
          <w:tcPr>
            <w:tcW w:w="1362" w:type="dxa"/>
            <w:tcBorders>
              <w:top w:val="nil" w:sz="6" w:space="0" w:color="auto"/>
              <w:left w:val="nil" w:sz="6" w:space="0" w:color="auto"/>
              <w:bottom w:val="single" w:sz="17" w:space="0" w:color="000000"/>
              <w:right w:val="nil" w:sz="6" w:space="0" w:color="auto"/>
            </w:tcBorders>
          </w:tcPr>
          <w:p>
            <w:pPr>
              <w:pStyle w:val="TableParagraph"/>
              <w:spacing w:line="240" w:lineRule="auto" w:before="132"/>
              <w:ind w:right="83"/>
              <w:jc w:val="right"/>
              <w:rPr>
                <w:rFonts w:ascii="Arial" w:hAnsi="Arial" w:cs="Arial" w:eastAsia="Arial" w:hint="default"/>
                <w:sz w:val="18"/>
                <w:szCs w:val="18"/>
              </w:rPr>
            </w:pPr>
            <w:r>
              <w:rPr>
                <w:rFonts w:ascii="Arial"/>
                <w:spacing w:val="-2"/>
                <w:sz w:val="18"/>
              </w:rPr>
              <w:t>1,315,902,154</w:t>
            </w:r>
            <w:r>
              <w:rPr>
                <w:rFonts w:ascii="Arial"/>
                <w:sz w:val="18"/>
              </w:rPr>
            </w:r>
          </w:p>
        </w:tc>
        <w:tc>
          <w:tcPr>
            <w:tcW w:w="1622" w:type="dxa"/>
            <w:tcBorders>
              <w:top w:val="nil" w:sz="6" w:space="0" w:color="auto"/>
              <w:left w:val="nil" w:sz="6" w:space="0" w:color="auto"/>
              <w:bottom w:val="single" w:sz="17" w:space="0" w:color="000000"/>
              <w:right w:val="nil" w:sz="6" w:space="0" w:color="auto"/>
            </w:tcBorders>
          </w:tcPr>
          <w:p>
            <w:pPr>
              <w:pStyle w:val="TableParagraph"/>
              <w:spacing w:line="240" w:lineRule="auto" w:before="132"/>
              <w:ind w:left="249" w:right="0"/>
              <w:jc w:val="left"/>
              <w:rPr>
                <w:rFonts w:ascii="Arial" w:hAnsi="Arial" w:cs="Arial" w:eastAsia="Arial" w:hint="default"/>
                <w:sz w:val="18"/>
                <w:szCs w:val="18"/>
              </w:rPr>
            </w:pPr>
            <w:r>
              <w:rPr>
                <w:rFonts w:ascii="Arial"/>
                <w:sz w:val="18"/>
              </w:rPr>
              <w:t>25,746,168,495</w:t>
            </w:r>
          </w:p>
        </w:tc>
      </w:tr>
      <w:tr>
        <w:trPr>
          <w:trHeight w:val="485" w:hRule="exact"/>
        </w:trPr>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382" w:right="0"/>
              <w:jc w:val="left"/>
              <w:rPr>
                <w:rFonts w:ascii="宋体" w:hAnsi="宋体" w:cs="宋体" w:eastAsia="宋体" w:hint="default"/>
                <w:sz w:val="18"/>
                <w:szCs w:val="18"/>
              </w:rPr>
            </w:pPr>
            <w:r>
              <w:rPr>
                <w:rFonts w:ascii="宋体" w:hAnsi="宋体" w:cs="宋体" w:eastAsia="宋体" w:hint="default"/>
                <w:sz w:val="18"/>
                <w:szCs w:val="18"/>
              </w:rPr>
              <w:t>年初</w:t>
            </w:r>
          </w:p>
        </w:tc>
        <w:tc>
          <w:tcPr>
            <w:tcW w:w="1483" w:type="dxa"/>
            <w:tcBorders>
              <w:top w:val="single" w:sz="17" w:space="0" w:color="000000"/>
              <w:left w:val="nil" w:sz="6" w:space="0" w:color="auto"/>
              <w:bottom w:val="single" w:sz="17" w:space="0" w:color="000000"/>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39" w:right="0"/>
              <w:jc w:val="left"/>
              <w:rPr>
                <w:rFonts w:ascii="Arial" w:hAnsi="Arial" w:cs="Arial" w:eastAsia="Arial" w:hint="default"/>
                <w:sz w:val="18"/>
                <w:szCs w:val="18"/>
              </w:rPr>
            </w:pPr>
            <w:r>
              <w:rPr>
                <w:rFonts w:ascii="Arial"/>
                <w:sz w:val="18"/>
              </w:rPr>
              <w:t>14,728,620,489</w:t>
            </w:r>
          </w:p>
        </w:tc>
        <w:tc>
          <w:tcPr>
            <w:tcW w:w="1498" w:type="dxa"/>
            <w:tcBorders>
              <w:top w:val="single" w:sz="17" w:space="0" w:color="000000"/>
              <w:left w:val="nil" w:sz="6" w:space="0" w:color="auto"/>
              <w:bottom w:val="single" w:sz="17" w:space="0" w:color="000000"/>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54" w:right="0"/>
              <w:jc w:val="left"/>
              <w:rPr>
                <w:rFonts w:ascii="Arial" w:hAnsi="Arial" w:cs="Arial" w:eastAsia="Arial" w:hint="default"/>
                <w:sz w:val="18"/>
                <w:szCs w:val="18"/>
              </w:rPr>
            </w:pPr>
            <w:r>
              <w:rPr>
                <w:rFonts w:ascii="Arial"/>
                <w:sz w:val="18"/>
              </w:rPr>
              <w:t>9,210,445,904</w:t>
            </w:r>
          </w:p>
        </w:tc>
        <w:tc>
          <w:tcPr>
            <w:tcW w:w="1418" w:type="dxa"/>
            <w:tcBorders>
              <w:top w:val="single" w:sz="17" w:space="0" w:color="000000"/>
              <w:left w:val="nil" w:sz="6" w:space="0" w:color="auto"/>
              <w:bottom w:val="single" w:sz="17" w:space="0" w:color="000000"/>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302" w:right="0"/>
              <w:jc w:val="left"/>
              <w:rPr>
                <w:rFonts w:ascii="Arial" w:hAnsi="Arial" w:cs="Arial" w:eastAsia="Arial" w:hint="default"/>
                <w:sz w:val="18"/>
                <w:szCs w:val="18"/>
              </w:rPr>
            </w:pPr>
            <w:r>
              <w:rPr>
                <w:rFonts w:ascii="Arial"/>
                <w:sz w:val="18"/>
              </w:rPr>
              <w:t>478,102,865</w:t>
            </w:r>
          </w:p>
        </w:tc>
        <w:tc>
          <w:tcPr>
            <w:tcW w:w="1362" w:type="dxa"/>
            <w:tcBorders>
              <w:top w:val="single" w:sz="17" w:space="0" w:color="000000"/>
              <w:left w:val="nil" w:sz="6" w:space="0" w:color="auto"/>
              <w:bottom w:val="single" w:sz="17" w:space="0" w:color="000000"/>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79"/>
              <w:jc w:val="right"/>
              <w:rPr>
                <w:rFonts w:ascii="Arial" w:hAnsi="Arial" w:cs="Arial" w:eastAsia="Arial" w:hint="default"/>
                <w:sz w:val="18"/>
                <w:szCs w:val="18"/>
              </w:rPr>
            </w:pPr>
            <w:r>
              <w:rPr>
                <w:rFonts w:ascii="Arial"/>
                <w:spacing w:val="-2"/>
                <w:sz w:val="18"/>
              </w:rPr>
              <w:t>1,466,993,821</w:t>
            </w:r>
            <w:r>
              <w:rPr>
                <w:rFonts w:ascii="Arial"/>
                <w:sz w:val="18"/>
              </w:rPr>
            </w:r>
          </w:p>
        </w:tc>
        <w:tc>
          <w:tcPr>
            <w:tcW w:w="1622" w:type="dxa"/>
            <w:tcBorders>
              <w:top w:val="single" w:sz="17" w:space="0" w:color="000000"/>
              <w:left w:val="nil" w:sz="6" w:space="0" w:color="auto"/>
              <w:bottom w:val="single" w:sz="17" w:space="0" w:color="000000"/>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49" w:right="0"/>
              <w:jc w:val="left"/>
              <w:rPr>
                <w:rFonts w:ascii="Arial" w:hAnsi="Arial" w:cs="Arial" w:eastAsia="Arial" w:hint="default"/>
                <w:sz w:val="18"/>
                <w:szCs w:val="18"/>
              </w:rPr>
            </w:pPr>
            <w:r>
              <w:rPr>
                <w:rFonts w:ascii="Arial"/>
                <w:sz w:val="18"/>
              </w:rPr>
              <w:t>25,884,163,079</w:t>
            </w:r>
          </w:p>
        </w:tc>
      </w:tr>
    </w:tbl>
    <w:p>
      <w:pPr>
        <w:spacing w:after="0" w:line="240" w:lineRule="auto"/>
        <w:jc w:val="left"/>
        <w:rPr>
          <w:rFonts w:ascii="Arial" w:hAnsi="Arial" w:cs="Arial" w:eastAsia="Arial" w:hint="default"/>
          <w:sz w:val="18"/>
          <w:szCs w:val="18"/>
        </w:rPr>
        <w:sectPr>
          <w:footerReference w:type="default" r:id="rId168"/>
          <w:pgSz w:w="11910" w:h="16840"/>
          <w:pgMar w:footer="502" w:header="0" w:top="3120" w:bottom="700" w:left="1020" w:right="1240"/>
          <w:pgNumType w:start="142"/>
        </w:sectPr>
      </w:pPr>
    </w:p>
    <w:p>
      <w:pPr>
        <w:spacing w:line="240" w:lineRule="auto" w:before="7"/>
        <w:rPr>
          <w:rFonts w:ascii="宋体" w:hAnsi="宋体" w:cs="宋体" w:eastAsia="宋体" w:hint="default"/>
          <w:sz w:val="16"/>
          <w:szCs w:val="16"/>
        </w:rPr>
      </w:pPr>
    </w:p>
    <w:p>
      <w:pPr>
        <w:pStyle w:val="BodyText"/>
        <w:spacing w:line="240" w:lineRule="auto" w:before="32"/>
        <w:ind w:left="112" w:right="90"/>
        <w:jc w:val="left"/>
      </w:pPr>
      <w:r>
        <w:rPr>
          <w:rFonts w:ascii="Arial" w:hAnsi="Arial" w:cs="Arial" w:eastAsia="Arial" w:hint="default"/>
        </w:rPr>
        <w:t>15</w:t>
      </w:r>
      <w:r>
        <w:rPr/>
        <w:t>、长期待摊费用</w:t>
      </w:r>
    </w:p>
    <w:p>
      <w:pPr>
        <w:spacing w:line="240" w:lineRule="auto" w:before="4"/>
        <w:rPr>
          <w:rFonts w:ascii="宋体" w:hAnsi="宋体" w:cs="宋体" w:eastAsia="宋体" w:hint="default"/>
          <w:sz w:val="19"/>
          <w:szCs w:val="19"/>
        </w:rPr>
      </w:pPr>
    </w:p>
    <w:tbl>
      <w:tblPr>
        <w:tblW w:w="0" w:type="auto"/>
        <w:jc w:val="left"/>
        <w:tblInd w:w="392" w:type="dxa"/>
        <w:tblLayout w:type="fixed"/>
        <w:tblCellMar>
          <w:top w:w="0" w:type="dxa"/>
          <w:left w:w="0" w:type="dxa"/>
          <w:bottom w:w="0" w:type="dxa"/>
          <w:right w:w="0" w:type="dxa"/>
        </w:tblCellMar>
        <w:tblLook w:val="01E0"/>
      </w:tblPr>
      <w:tblGrid>
        <w:gridCol w:w="1962"/>
        <w:gridCol w:w="1421"/>
        <w:gridCol w:w="110"/>
        <w:gridCol w:w="1450"/>
        <w:gridCol w:w="115"/>
        <w:gridCol w:w="1565"/>
        <w:gridCol w:w="115"/>
        <w:gridCol w:w="1392"/>
        <w:gridCol w:w="110"/>
        <w:gridCol w:w="1310"/>
      </w:tblGrid>
      <w:tr>
        <w:trPr>
          <w:trHeight w:val="447" w:hRule="exact"/>
        </w:trPr>
        <w:tc>
          <w:tcPr>
            <w:tcW w:w="1962"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single" w:sz="6" w:space="0" w:color="000000"/>
              <w:right w:val="nil" w:sz="6" w:space="0" w:color="auto"/>
            </w:tcBorders>
          </w:tcPr>
          <w:p>
            <w:pPr>
              <w:pStyle w:val="TableParagraph"/>
              <w:spacing w:line="186" w:lineRule="exact"/>
              <w:ind w:left="696" w:right="0"/>
              <w:jc w:val="left"/>
              <w:rPr>
                <w:rFonts w:ascii="宋体" w:hAnsi="宋体" w:cs="宋体" w:eastAsia="宋体" w:hint="default"/>
                <w:sz w:val="18"/>
                <w:szCs w:val="18"/>
              </w:rPr>
            </w:pPr>
            <w:r>
              <w:rPr>
                <w:rFonts w:ascii="Arial" w:hAnsi="Arial" w:cs="Arial" w:eastAsia="Arial" w:hint="default"/>
                <w:sz w:val="18"/>
                <w:szCs w:val="18"/>
              </w:rPr>
              <w:t>2018</w:t>
            </w:r>
            <w:r>
              <w:rPr>
                <w:rFonts w:ascii="Arial" w:hAnsi="Arial" w:cs="Arial" w:eastAsia="Arial" w:hint="default"/>
                <w:spacing w:val="-4"/>
                <w:sz w:val="18"/>
                <w:szCs w:val="18"/>
              </w:rPr>
              <w:t> </w:t>
            </w:r>
            <w:r>
              <w:rPr>
                <w:rFonts w:ascii="宋体" w:hAnsi="宋体" w:cs="宋体" w:eastAsia="宋体" w:hint="default"/>
                <w:sz w:val="18"/>
                <w:szCs w:val="18"/>
              </w:rPr>
              <w:t>年</w:t>
            </w:r>
          </w:p>
          <w:p>
            <w:pPr>
              <w:pStyle w:val="TableParagraph"/>
              <w:spacing w:line="239" w:lineRule="exact"/>
              <w:ind w:left="422" w:right="0"/>
              <w:jc w:val="left"/>
              <w:rPr>
                <w:rFonts w:ascii="宋体" w:hAnsi="宋体" w:cs="宋体" w:eastAsia="宋体" w:hint="default"/>
                <w:sz w:val="18"/>
                <w:szCs w:val="18"/>
              </w:rPr>
            </w:pP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Arial" w:hAnsi="Arial" w:cs="Arial" w:eastAsia="Arial" w:hint="default"/>
                <w:sz w:val="18"/>
                <w:szCs w:val="18"/>
              </w:rPr>
              <w:t>31</w:t>
            </w:r>
            <w:r>
              <w:rPr>
                <w:rFonts w:ascii="Arial" w:hAnsi="Arial" w:cs="Arial" w:eastAsia="Arial" w:hint="default"/>
                <w:spacing w:val="-6"/>
                <w:sz w:val="18"/>
                <w:szCs w:val="18"/>
              </w:rPr>
              <w:t> </w:t>
            </w:r>
            <w:r>
              <w:rPr>
                <w:rFonts w:ascii="宋体" w:hAnsi="宋体" w:cs="宋体" w:eastAsia="宋体" w:hint="default"/>
                <w:sz w:val="18"/>
                <w:szCs w:val="18"/>
              </w:rPr>
              <w:t>日</w:t>
            </w:r>
          </w:p>
        </w:tc>
        <w:tc>
          <w:tcPr>
            <w:tcW w:w="110"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single" w:sz="6" w:space="0" w:color="000000"/>
              <w:right w:val="nil" w:sz="6" w:space="0" w:color="auto"/>
            </w:tcBorders>
          </w:tcPr>
          <w:p>
            <w:pPr>
              <w:pStyle w:val="TableParagraph"/>
              <w:spacing w:line="179" w:lineRule="exact"/>
              <w:ind w:left="455" w:right="0" w:firstLine="177"/>
              <w:jc w:val="left"/>
              <w:rPr>
                <w:rFonts w:ascii="宋体" w:hAnsi="宋体" w:cs="宋体" w:eastAsia="宋体" w:hint="default"/>
                <w:sz w:val="18"/>
                <w:szCs w:val="18"/>
              </w:rPr>
            </w:pPr>
            <w:r>
              <w:rPr>
                <w:rFonts w:ascii="宋体" w:hAnsi="宋体" w:cs="宋体" w:eastAsia="宋体" w:hint="default"/>
                <w:sz w:val="18"/>
                <w:szCs w:val="18"/>
              </w:rPr>
              <w:t>重分类至</w:t>
            </w:r>
          </w:p>
          <w:p>
            <w:pPr>
              <w:pStyle w:val="TableParagraph"/>
              <w:spacing w:line="233" w:lineRule="exact"/>
              <w:ind w:left="455" w:right="0"/>
              <w:jc w:val="left"/>
              <w:rPr>
                <w:rFonts w:ascii="宋体" w:hAnsi="宋体" w:cs="宋体" w:eastAsia="宋体" w:hint="default"/>
                <w:sz w:val="18"/>
                <w:szCs w:val="18"/>
              </w:rPr>
            </w:pPr>
            <w:r>
              <w:rPr>
                <w:rFonts w:ascii="宋体" w:hAnsi="宋体" w:cs="宋体" w:eastAsia="宋体" w:hint="default"/>
                <w:spacing w:val="-3"/>
                <w:sz w:val="18"/>
                <w:szCs w:val="18"/>
              </w:rPr>
              <w:t>使用权资产</w:t>
            </w:r>
            <w:r>
              <w:rPr>
                <w:rFonts w:ascii="宋体" w:hAnsi="宋体" w:cs="宋体" w:eastAsia="宋体" w:hint="default"/>
                <w:sz w:val="18"/>
                <w:szCs w:val="18"/>
              </w:rPr>
            </w:r>
          </w:p>
        </w:tc>
        <w:tc>
          <w:tcPr>
            <w:tcW w:w="115" w:type="dxa"/>
            <w:tcBorders>
              <w:top w:val="nil" w:sz="6" w:space="0" w:color="auto"/>
              <w:left w:val="nil" w:sz="6" w:space="0" w:color="auto"/>
              <w:bottom w:val="nil" w:sz="6" w:space="0" w:color="auto"/>
              <w:right w:val="nil" w:sz="6" w:space="0" w:color="auto"/>
            </w:tcBorders>
          </w:tcPr>
          <w:p>
            <w:pPr/>
          </w:p>
        </w:tc>
        <w:tc>
          <w:tcPr>
            <w:tcW w:w="1565" w:type="dxa"/>
            <w:tcBorders>
              <w:top w:val="nil" w:sz="6" w:space="0" w:color="auto"/>
              <w:left w:val="nil" w:sz="6" w:space="0" w:color="auto"/>
              <w:bottom w:val="single" w:sz="6"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89"/>
              <w:jc w:val="right"/>
              <w:rPr>
                <w:rFonts w:ascii="宋体" w:hAnsi="宋体" w:cs="宋体" w:eastAsia="宋体" w:hint="default"/>
                <w:sz w:val="18"/>
                <w:szCs w:val="18"/>
              </w:rPr>
            </w:pPr>
            <w:r>
              <w:rPr>
                <w:rFonts w:ascii="宋体" w:hAnsi="宋体" w:cs="宋体" w:eastAsia="宋体" w:hint="default"/>
                <w:spacing w:val="-2"/>
                <w:sz w:val="18"/>
                <w:szCs w:val="18"/>
              </w:rPr>
              <w:t>本年增加</w:t>
            </w:r>
          </w:p>
        </w:tc>
        <w:tc>
          <w:tcPr>
            <w:tcW w:w="115"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single" w:sz="6"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89"/>
              <w:jc w:val="right"/>
              <w:rPr>
                <w:rFonts w:ascii="宋体" w:hAnsi="宋体" w:cs="宋体" w:eastAsia="宋体" w:hint="default"/>
                <w:sz w:val="18"/>
                <w:szCs w:val="18"/>
              </w:rPr>
            </w:pPr>
            <w:r>
              <w:rPr>
                <w:rFonts w:ascii="宋体" w:hAnsi="宋体" w:cs="宋体" w:eastAsia="宋体" w:hint="default"/>
                <w:spacing w:val="-2"/>
                <w:sz w:val="18"/>
                <w:szCs w:val="18"/>
              </w:rPr>
              <w:t>本年减少</w:t>
            </w:r>
          </w:p>
        </w:tc>
        <w:tc>
          <w:tcPr>
            <w:tcW w:w="110" w:type="dxa"/>
            <w:tcBorders>
              <w:top w:val="nil" w:sz="6" w:space="0" w:color="auto"/>
              <w:left w:val="nil" w:sz="6" w:space="0" w:color="auto"/>
              <w:bottom w:val="nil" w:sz="6" w:space="0" w:color="auto"/>
              <w:right w:val="nil" w:sz="6" w:space="0" w:color="auto"/>
            </w:tcBorders>
          </w:tcPr>
          <w:p>
            <w:pPr/>
          </w:p>
        </w:tc>
        <w:tc>
          <w:tcPr>
            <w:tcW w:w="1310" w:type="dxa"/>
            <w:tcBorders>
              <w:top w:val="nil" w:sz="6" w:space="0" w:color="auto"/>
              <w:left w:val="nil" w:sz="6" w:space="0" w:color="auto"/>
              <w:bottom w:val="single" w:sz="6" w:space="0" w:color="000000"/>
              <w:right w:val="nil" w:sz="6" w:space="0" w:color="auto"/>
            </w:tcBorders>
          </w:tcPr>
          <w:p>
            <w:pPr>
              <w:pStyle w:val="TableParagraph"/>
              <w:spacing w:line="186" w:lineRule="exact"/>
              <w:ind w:left="590" w:right="0"/>
              <w:jc w:val="left"/>
              <w:rPr>
                <w:rFonts w:ascii="宋体" w:hAnsi="宋体" w:cs="宋体" w:eastAsia="宋体" w:hint="default"/>
                <w:sz w:val="18"/>
                <w:szCs w:val="18"/>
              </w:rPr>
            </w:pPr>
            <w:r>
              <w:rPr>
                <w:rFonts w:ascii="Arial" w:hAnsi="Arial" w:cs="Arial" w:eastAsia="Arial" w:hint="default"/>
                <w:sz w:val="18"/>
                <w:szCs w:val="18"/>
              </w:rPr>
              <w:t>2019</w:t>
            </w:r>
            <w:r>
              <w:rPr>
                <w:rFonts w:ascii="Arial" w:hAnsi="Arial" w:cs="Arial" w:eastAsia="Arial" w:hint="default"/>
                <w:spacing w:val="-4"/>
                <w:sz w:val="18"/>
                <w:szCs w:val="18"/>
              </w:rPr>
              <w:t> </w:t>
            </w:r>
            <w:r>
              <w:rPr>
                <w:rFonts w:ascii="宋体" w:hAnsi="宋体" w:cs="宋体" w:eastAsia="宋体" w:hint="default"/>
                <w:sz w:val="18"/>
                <w:szCs w:val="18"/>
              </w:rPr>
              <w:t>年</w:t>
            </w:r>
          </w:p>
          <w:p>
            <w:pPr>
              <w:pStyle w:val="TableParagraph"/>
              <w:spacing w:line="239" w:lineRule="exact"/>
              <w:ind w:left="316" w:right="0"/>
              <w:jc w:val="left"/>
              <w:rPr>
                <w:rFonts w:ascii="宋体" w:hAnsi="宋体" w:cs="宋体" w:eastAsia="宋体" w:hint="default"/>
                <w:sz w:val="18"/>
                <w:szCs w:val="18"/>
              </w:rPr>
            </w:pP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Arial" w:hAnsi="Arial" w:cs="Arial" w:eastAsia="Arial" w:hint="default"/>
                <w:sz w:val="18"/>
                <w:szCs w:val="18"/>
              </w:rPr>
              <w:t>31</w:t>
            </w:r>
            <w:r>
              <w:rPr>
                <w:rFonts w:ascii="Arial" w:hAnsi="Arial" w:cs="Arial" w:eastAsia="Arial" w:hint="default"/>
                <w:spacing w:val="-6"/>
                <w:sz w:val="18"/>
                <w:szCs w:val="18"/>
              </w:rPr>
              <w:t> </w:t>
            </w:r>
            <w:r>
              <w:rPr>
                <w:rFonts w:ascii="宋体" w:hAnsi="宋体" w:cs="宋体" w:eastAsia="宋体" w:hint="default"/>
                <w:sz w:val="18"/>
                <w:szCs w:val="18"/>
              </w:rPr>
              <w:t>日</w:t>
            </w:r>
          </w:p>
        </w:tc>
      </w:tr>
      <w:tr>
        <w:trPr>
          <w:trHeight w:val="409" w:hRule="exact"/>
        </w:trPr>
        <w:tc>
          <w:tcPr>
            <w:tcW w:w="196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00" w:right="0"/>
              <w:jc w:val="left"/>
              <w:rPr>
                <w:rFonts w:ascii="宋体" w:hAnsi="宋体" w:cs="宋体" w:eastAsia="宋体" w:hint="default"/>
                <w:sz w:val="16"/>
                <w:szCs w:val="16"/>
              </w:rPr>
            </w:pPr>
            <w:r>
              <w:rPr>
                <w:rFonts w:ascii="宋体" w:hAnsi="宋体" w:cs="宋体" w:eastAsia="宋体" w:hint="default"/>
                <w:sz w:val="16"/>
                <w:szCs w:val="16"/>
              </w:rPr>
              <w:t>经营租入固定资产改良</w:t>
            </w:r>
            <w:r>
              <w:rPr>
                <w:rFonts w:ascii="宋体" w:hAnsi="宋体" w:cs="宋体" w:eastAsia="宋体" w:hint="default"/>
                <w:sz w:val="16"/>
                <w:szCs w:val="16"/>
              </w:rPr>
              <w:t> </w:t>
            </w:r>
          </w:p>
        </w:tc>
        <w:tc>
          <w:tcPr>
            <w:tcW w:w="1421" w:type="dxa"/>
            <w:tcBorders>
              <w:top w:val="single" w:sz="6"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316" w:right="0"/>
              <w:jc w:val="left"/>
              <w:rPr>
                <w:rFonts w:ascii="Arial" w:hAnsi="Arial" w:cs="Arial" w:eastAsia="Arial" w:hint="default"/>
                <w:sz w:val="18"/>
                <w:szCs w:val="18"/>
              </w:rPr>
            </w:pPr>
            <w:r>
              <w:rPr>
                <w:rFonts w:ascii="Arial"/>
                <w:sz w:val="18"/>
              </w:rPr>
              <w:t>937,121,029</w:t>
            </w:r>
          </w:p>
        </w:tc>
        <w:tc>
          <w:tcPr>
            <w:tcW w:w="110" w:type="dxa"/>
            <w:tcBorders>
              <w:top w:val="nil" w:sz="6" w:space="0" w:color="auto"/>
              <w:left w:val="nil" w:sz="6" w:space="0" w:color="auto"/>
              <w:bottom w:val="nil" w:sz="6" w:space="0" w:color="auto"/>
              <w:right w:val="nil" w:sz="6" w:space="0" w:color="auto"/>
            </w:tcBorders>
          </w:tcPr>
          <w:p>
            <w:pPr/>
          </w:p>
        </w:tc>
        <w:tc>
          <w:tcPr>
            <w:tcW w:w="1450" w:type="dxa"/>
            <w:tcBorders>
              <w:top w:val="single" w:sz="6"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34"/>
              <w:jc w:val="right"/>
              <w:rPr>
                <w:rFonts w:ascii="Arial" w:hAnsi="Arial" w:cs="Arial" w:eastAsia="Arial" w:hint="default"/>
                <w:sz w:val="18"/>
                <w:szCs w:val="18"/>
              </w:rPr>
            </w:pPr>
            <w:r>
              <w:rPr>
                <w:rFonts w:ascii="Arial"/>
                <w:w w:val="101"/>
                <w:sz w:val="18"/>
              </w:rPr>
              <w:t>-</w:t>
            </w:r>
            <w:r>
              <w:rPr>
                <w:rFonts w:ascii="Arial"/>
                <w:sz w:val="18"/>
              </w:rPr>
            </w:r>
          </w:p>
        </w:tc>
        <w:tc>
          <w:tcPr>
            <w:tcW w:w="115" w:type="dxa"/>
            <w:tcBorders>
              <w:top w:val="nil" w:sz="6" w:space="0" w:color="auto"/>
              <w:left w:val="nil" w:sz="6" w:space="0" w:color="auto"/>
              <w:bottom w:val="nil" w:sz="6" w:space="0" w:color="auto"/>
              <w:right w:val="nil" w:sz="6" w:space="0" w:color="auto"/>
            </w:tcBorders>
          </w:tcPr>
          <w:p>
            <w:pPr/>
          </w:p>
        </w:tc>
        <w:tc>
          <w:tcPr>
            <w:tcW w:w="1565" w:type="dxa"/>
            <w:tcBorders>
              <w:top w:val="single" w:sz="6"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88"/>
              <w:jc w:val="right"/>
              <w:rPr>
                <w:rFonts w:ascii="Arial" w:hAnsi="Arial" w:cs="Arial" w:eastAsia="Arial" w:hint="default"/>
                <w:sz w:val="18"/>
                <w:szCs w:val="18"/>
              </w:rPr>
            </w:pPr>
            <w:r>
              <w:rPr>
                <w:rFonts w:ascii="Arial"/>
                <w:spacing w:val="-1"/>
                <w:sz w:val="18"/>
              </w:rPr>
              <w:t>309,423,989</w:t>
            </w:r>
            <w:r>
              <w:rPr>
                <w:rFonts w:ascii="Arial"/>
                <w:sz w:val="18"/>
              </w:rPr>
            </w:r>
          </w:p>
        </w:tc>
        <w:tc>
          <w:tcPr>
            <w:tcW w:w="115" w:type="dxa"/>
            <w:tcBorders>
              <w:top w:val="nil" w:sz="6" w:space="0" w:color="auto"/>
              <w:left w:val="nil" w:sz="6" w:space="0" w:color="auto"/>
              <w:bottom w:val="nil" w:sz="6" w:space="0" w:color="auto"/>
              <w:right w:val="nil" w:sz="6" w:space="0" w:color="auto"/>
            </w:tcBorders>
          </w:tcPr>
          <w:p>
            <w:pPr/>
          </w:p>
        </w:tc>
        <w:tc>
          <w:tcPr>
            <w:tcW w:w="1392" w:type="dxa"/>
            <w:tcBorders>
              <w:top w:val="single" w:sz="6"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42"/>
              <w:jc w:val="right"/>
              <w:rPr>
                <w:rFonts w:ascii="Arial" w:hAnsi="Arial" w:cs="Arial" w:eastAsia="Arial" w:hint="default"/>
                <w:sz w:val="18"/>
                <w:szCs w:val="18"/>
              </w:rPr>
            </w:pPr>
            <w:r>
              <w:rPr>
                <w:rFonts w:ascii="Arial"/>
                <w:spacing w:val="-2"/>
                <w:sz w:val="18"/>
              </w:rPr>
              <w:t>(439,306,074)</w:t>
            </w:r>
          </w:p>
        </w:tc>
        <w:tc>
          <w:tcPr>
            <w:tcW w:w="110" w:type="dxa"/>
            <w:tcBorders>
              <w:top w:val="nil" w:sz="6" w:space="0" w:color="auto"/>
              <w:left w:val="nil" w:sz="6" w:space="0" w:color="auto"/>
              <w:bottom w:val="nil" w:sz="6" w:space="0" w:color="auto"/>
              <w:right w:val="nil" w:sz="6" w:space="0" w:color="auto"/>
            </w:tcBorders>
          </w:tcPr>
          <w:p>
            <w:pPr/>
          </w:p>
        </w:tc>
        <w:tc>
          <w:tcPr>
            <w:tcW w:w="1310" w:type="dxa"/>
            <w:tcBorders>
              <w:top w:val="single" w:sz="6"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211" w:right="0"/>
              <w:jc w:val="left"/>
              <w:rPr>
                <w:rFonts w:ascii="Arial" w:hAnsi="Arial" w:cs="Arial" w:eastAsia="Arial" w:hint="default"/>
                <w:sz w:val="18"/>
                <w:szCs w:val="18"/>
              </w:rPr>
            </w:pPr>
            <w:r>
              <w:rPr>
                <w:rFonts w:ascii="Arial"/>
                <w:sz w:val="18"/>
              </w:rPr>
              <w:t>807,238,944</w:t>
            </w:r>
          </w:p>
        </w:tc>
      </w:tr>
      <w:tr>
        <w:trPr>
          <w:trHeight w:val="207" w:hRule="exact"/>
        </w:trPr>
        <w:tc>
          <w:tcPr>
            <w:tcW w:w="1962"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6"/>
                <w:szCs w:val="16"/>
              </w:rPr>
            </w:pPr>
            <w:r>
              <w:rPr>
                <w:rFonts w:ascii="宋体" w:hAnsi="宋体" w:cs="宋体" w:eastAsia="宋体" w:hint="default"/>
                <w:sz w:val="16"/>
                <w:szCs w:val="16"/>
              </w:rPr>
              <w:t>外市电引入</w:t>
            </w:r>
            <w:r>
              <w:rPr>
                <w:rFonts w:ascii="宋体" w:hAnsi="宋体" w:cs="宋体" w:eastAsia="宋体" w:hint="default"/>
                <w:sz w:val="16"/>
                <w:szCs w:val="16"/>
              </w:rPr>
              <w:t> </w:t>
            </w:r>
          </w:p>
        </w:tc>
        <w:tc>
          <w:tcPr>
            <w:tcW w:w="1421" w:type="dxa"/>
            <w:tcBorders>
              <w:top w:val="nil" w:sz="6" w:space="0" w:color="auto"/>
              <w:left w:val="nil" w:sz="6" w:space="0" w:color="auto"/>
              <w:bottom w:val="nil" w:sz="6" w:space="0" w:color="auto"/>
              <w:right w:val="nil" w:sz="6" w:space="0" w:color="auto"/>
            </w:tcBorders>
          </w:tcPr>
          <w:p>
            <w:pPr>
              <w:pStyle w:val="TableParagraph"/>
              <w:spacing w:line="198" w:lineRule="exact"/>
              <w:ind w:left="316" w:right="0"/>
              <w:jc w:val="left"/>
              <w:rPr>
                <w:rFonts w:ascii="Arial" w:hAnsi="Arial" w:cs="Arial" w:eastAsia="Arial" w:hint="default"/>
                <w:sz w:val="18"/>
                <w:szCs w:val="18"/>
              </w:rPr>
            </w:pPr>
            <w:r>
              <w:rPr>
                <w:rFonts w:ascii="Arial"/>
                <w:sz w:val="18"/>
              </w:rPr>
              <w:t>351,985,431</w:t>
            </w:r>
          </w:p>
        </w:tc>
        <w:tc>
          <w:tcPr>
            <w:tcW w:w="110"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nil" w:sz="6" w:space="0" w:color="auto"/>
            </w:tcBorders>
          </w:tcPr>
          <w:p>
            <w:pPr>
              <w:pStyle w:val="TableParagraph"/>
              <w:spacing w:line="198" w:lineRule="exact"/>
              <w:ind w:right="134"/>
              <w:jc w:val="right"/>
              <w:rPr>
                <w:rFonts w:ascii="Arial" w:hAnsi="Arial" w:cs="Arial" w:eastAsia="Arial" w:hint="default"/>
                <w:sz w:val="18"/>
                <w:szCs w:val="18"/>
              </w:rPr>
            </w:pPr>
            <w:r>
              <w:rPr>
                <w:rFonts w:ascii="Arial"/>
                <w:w w:val="101"/>
                <w:sz w:val="18"/>
              </w:rPr>
              <w:t>-</w:t>
            </w:r>
            <w:r>
              <w:rPr>
                <w:rFonts w:ascii="Arial"/>
                <w:sz w:val="18"/>
              </w:rPr>
            </w:r>
          </w:p>
        </w:tc>
        <w:tc>
          <w:tcPr>
            <w:tcW w:w="115" w:type="dxa"/>
            <w:tcBorders>
              <w:top w:val="nil" w:sz="6" w:space="0" w:color="auto"/>
              <w:left w:val="nil" w:sz="6" w:space="0" w:color="auto"/>
              <w:bottom w:val="nil" w:sz="6" w:space="0" w:color="auto"/>
              <w:right w:val="nil" w:sz="6" w:space="0" w:color="auto"/>
            </w:tcBorders>
          </w:tcPr>
          <w:p>
            <w:pPr/>
          </w:p>
        </w:tc>
        <w:tc>
          <w:tcPr>
            <w:tcW w:w="1565" w:type="dxa"/>
            <w:tcBorders>
              <w:top w:val="nil" w:sz="6" w:space="0" w:color="auto"/>
              <w:left w:val="nil" w:sz="6" w:space="0" w:color="auto"/>
              <w:bottom w:val="nil" w:sz="6" w:space="0" w:color="auto"/>
              <w:right w:val="nil" w:sz="6" w:space="0" w:color="auto"/>
            </w:tcBorders>
          </w:tcPr>
          <w:p>
            <w:pPr>
              <w:pStyle w:val="TableParagraph"/>
              <w:spacing w:line="198" w:lineRule="exact"/>
              <w:ind w:right="88"/>
              <w:jc w:val="right"/>
              <w:rPr>
                <w:rFonts w:ascii="Arial" w:hAnsi="Arial" w:cs="Arial" w:eastAsia="Arial" w:hint="default"/>
                <w:sz w:val="18"/>
                <w:szCs w:val="18"/>
              </w:rPr>
            </w:pPr>
            <w:r>
              <w:rPr>
                <w:rFonts w:ascii="Arial"/>
                <w:spacing w:val="-1"/>
                <w:sz w:val="18"/>
              </w:rPr>
              <w:t>107,951,412</w:t>
            </w:r>
            <w:r>
              <w:rPr>
                <w:rFonts w:ascii="Arial"/>
                <w:sz w:val="18"/>
              </w:rPr>
            </w:r>
          </w:p>
        </w:tc>
        <w:tc>
          <w:tcPr>
            <w:tcW w:w="115"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nil" w:sz="6" w:space="0" w:color="auto"/>
            </w:tcBorders>
          </w:tcPr>
          <w:p>
            <w:pPr>
              <w:pStyle w:val="TableParagraph"/>
              <w:spacing w:line="198" w:lineRule="exact"/>
              <w:ind w:right="42"/>
              <w:jc w:val="right"/>
              <w:rPr>
                <w:rFonts w:ascii="Arial" w:hAnsi="Arial" w:cs="Arial" w:eastAsia="Arial" w:hint="default"/>
                <w:sz w:val="18"/>
                <w:szCs w:val="18"/>
              </w:rPr>
            </w:pPr>
            <w:r>
              <w:rPr>
                <w:rFonts w:ascii="Arial"/>
                <w:spacing w:val="-2"/>
                <w:sz w:val="18"/>
              </w:rPr>
              <w:t>(187,818,299)</w:t>
            </w:r>
          </w:p>
        </w:tc>
        <w:tc>
          <w:tcPr>
            <w:tcW w:w="110" w:type="dxa"/>
            <w:tcBorders>
              <w:top w:val="nil" w:sz="6" w:space="0" w:color="auto"/>
              <w:left w:val="nil" w:sz="6" w:space="0" w:color="auto"/>
              <w:bottom w:val="nil" w:sz="6" w:space="0" w:color="auto"/>
              <w:right w:val="nil" w:sz="6" w:space="0" w:color="auto"/>
            </w:tcBorders>
          </w:tcPr>
          <w:p>
            <w:pPr/>
          </w:p>
        </w:tc>
        <w:tc>
          <w:tcPr>
            <w:tcW w:w="1310" w:type="dxa"/>
            <w:tcBorders>
              <w:top w:val="nil" w:sz="6" w:space="0" w:color="auto"/>
              <w:left w:val="nil" w:sz="6" w:space="0" w:color="auto"/>
              <w:bottom w:val="nil" w:sz="6" w:space="0" w:color="auto"/>
              <w:right w:val="nil" w:sz="6" w:space="0" w:color="auto"/>
            </w:tcBorders>
          </w:tcPr>
          <w:p>
            <w:pPr>
              <w:pStyle w:val="TableParagraph"/>
              <w:spacing w:line="198" w:lineRule="exact"/>
              <w:ind w:left="211" w:right="0"/>
              <w:jc w:val="left"/>
              <w:rPr>
                <w:rFonts w:ascii="Arial" w:hAnsi="Arial" w:cs="Arial" w:eastAsia="Arial" w:hint="default"/>
                <w:sz w:val="18"/>
                <w:szCs w:val="18"/>
              </w:rPr>
            </w:pPr>
            <w:r>
              <w:rPr>
                <w:rFonts w:ascii="Arial"/>
                <w:sz w:val="18"/>
              </w:rPr>
              <w:t>272,118,544</w:t>
            </w:r>
          </w:p>
        </w:tc>
      </w:tr>
      <w:tr>
        <w:trPr>
          <w:trHeight w:val="415" w:hRule="exact"/>
        </w:trPr>
        <w:tc>
          <w:tcPr>
            <w:tcW w:w="1962" w:type="dxa"/>
            <w:tcBorders>
              <w:top w:val="nil" w:sz="6" w:space="0" w:color="auto"/>
              <w:left w:val="nil" w:sz="6" w:space="0" w:color="auto"/>
              <w:bottom w:val="nil" w:sz="6" w:space="0" w:color="auto"/>
              <w:right w:val="nil" w:sz="6" w:space="0" w:color="auto"/>
            </w:tcBorders>
          </w:tcPr>
          <w:p>
            <w:pPr>
              <w:pStyle w:val="TableParagraph"/>
              <w:spacing w:line="170" w:lineRule="exact"/>
              <w:ind w:left="200" w:right="0"/>
              <w:jc w:val="left"/>
              <w:rPr>
                <w:rFonts w:ascii="宋体" w:hAnsi="宋体" w:cs="宋体" w:eastAsia="宋体" w:hint="default"/>
                <w:sz w:val="16"/>
                <w:szCs w:val="16"/>
              </w:rPr>
            </w:pPr>
            <w:r>
              <w:rPr>
                <w:rFonts w:ascii="宋体" w:hAnsi="宋体" w:cs="宋体" w:eastAsia="宋体" w:hint="default"/>
                <w:sz w:val="16"/>
                <w:szCs w:val="16"/>
              </w:rPr>
              <w:t>长期预付租金</w:t>
            </w:r>
            <w:r>
              <w:rPr>
                <w:rFonts w:ascii="宋体" w:hAnsi="宋体" w:cs="宋体" w:eastAsia="宋体" w:hint="default"/>
                <w:sz w:val="16"/>
                <w:szCs w:val="16"/>
              </w:rPr>
              <w:t> </w:t>
            </w:r>
          </w:p>
          <w:p>
            <w:pPr>
              <w:pStyle w:val="TableParagraph"/>
              <w:spacing w:line="208" w:lineRule="exact"/>
              <w:ind w:left="358" w:right="0"/>
              <w:jc w:val="left"/>
              <w:rPr>
                <w:rFonts w:ascii="宋体" w:hAnsi="宋体" w:cs="宋体" w:eastAsia="宋体" w:hint="default"/>
                <w:sz w:val="16"/>
                <w:szCs w:val="16"/>
              </w:rPr>
            </w:pPr>
            <w:r>
              <w:rPr>
                <w:rFonts w:ascii="宋体" w:hAnsi="宋体" w:cs="宋体" w:eastAsia="宋体" w:hint="default"/>
                <w:sz w:val="16"/>
                <w:szCs w:val="16"/>
              </w:rPr>
              <w:t>及其相关服务</w:t>
            </w:r>
            <w:r>
              <w:rPr>
                <w:rFonts w:ascii="宋体" w:hAnsi="宋体" w:cs="宋体" w:eastAsia="宋体" w:hint="default"/>
                <w:sz w:val="16"/>
                <w:szCs w:val="16"/>
              </w:rPr>
              <w:t> </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168" w:right="0"/>
              <w:jc w:val="left"/>
              <w:rPr>
                <w:rFonts w:ascii="Arial" w:hAnsi="Arial" w:cs="Arial" w:eastAsia="Arial" w:hint="default"/>
                <w:sz w:val="18"/>
                <w:szCs w:val="18"/>
              </w:rPr>
            </w:pPr>
            <w:r>
              <w:rPr>
                <w:rFonts w:ascii="Arial"/>
                <w:sz w:val="18"/>
              </w:rPr>
              <w:t>1,455,323,852</w:t>
            </w:r>
          </w:p>
        </w:tc>
        <w:tc>
          <w:tcPr>
            <w:tcW w:w="110"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57"/>
              <w:jc w:val="right"/>
              <w:rPr>
                <w:rFonts w:ascii="Arial" w:hAnsi="Arial" w:cs="Arial" w:eastAsia="Arial" w:hint="default"/>
                <w:sz w:val="18"/>
                <w:szCs w:val="18"/>
              </w:rPr>
            </w:pPr>
            <w:r>
              <w:rPr>
                <w:rFonts w:ascii="Arial"/>
                <w:spacing w:val="-2"/>
                <w:sz w:val="18"/>
              </w:rPr>
              <w:t>(1,455,323,852)</w:t>
            </w:r>
            <w:r>
              <w:rPr>
                <w:rFonts w:ascii="Arial"/>
                <w:sz w:val="18"/>
              </w:rPr>
            </w:r>
          </w:p>
        </w:tc>
        <w:tc>
          <w:tcPr>
            <w:tcW w:w="115" w:type="dxa"/>
            <w:tcBorders>
              <w:top w:val="nil" w:sz="6" w:space="0" w:color="auto"/>
              <w:left w:val="nil" w:sz="6" w:space="0" w:color="auto"/>
              <w:bottom w:val="nil" w:sz="6" w:space="0" w:color="auto"/>
              <w:right w:val="nil" w:sz="6" w:space="0" w:color="auto"/>
            </w:tcBorders>
          </w:tcPr>
          <w:p>
            <w:pP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34"/>
              <w:jc w:val="right"/>
              <w:rPr>
                <w:rFonts w:ascii="Arial" w:hAnsi="Arial" w:cs="Arial" w:eastAsia="Arial" w:hint="default"/>
                <w:sz w:val="18"/>
                <w:szCs w:val="18"/>
              </w:rPr>
            </w:pPr>
            <w:r>
              <w:rPr>
                <w:rFonts w:ascii="Arial"/>
                <w:w w:val="101"/>
                <w:sz w:val="18"/>
              </w:rPr>
              <w:t>-</w:t>
            </w:r>
            <w:r>
              <w:rPr>
                <w:rFonts w:ascii="Arial"/>
                <w:sz w:val="18"/>
              </w:rPr>
            </w:r>
          </w:p>
        </w:tc>
        <w:tc>
          <w:tcPr>
            <w:tcW w:w="115"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34"/>
              <w:jc w:val="right"/>
              <w:rPr>
                <w:rFonts w:ascii="Arial" w:hAnsi="Arial" w:cs="Arial" w:eastAsia="Arial" w:hint="default"/>
                <w:sz w:val="18"/>
                <w:szCs w:val="18"/>
              </w:rPr>
            </w:pPr>
            <w:r>
              <w:rPr>
                <w:rFonts w:ascii="Arial"/>
                <w:w w:val="101"/>
                <w:sz w:val="18"/>
              </w:rPr>
              <w:t>-</w:t>
            </w:r>
            <w:r>
              <w:rPr>
                <w:rFonts w:ascii="Arial"/>
                <w:sz w:val="18"/>
              </w:rPr>
            </w:r>
          </w:p>
        </w:tc>
        <w:tc>
          <w:tcPr>
            <w:tcW w:w="110" w:type="dxa"/>
            <w:tcBorders>
              <w:top w:val="nil" w:sz="6" w:space="0" w:color="auto"/>
              <w:left w:val="nil" w:sz="6" w:space="0" w:color="auto"/>
              <w:bottom w:val="nil" w:sz="6" w:space="0" w:color="auto"/>
              <w:right w:val="nil" w:sz="6" w:space="0" w:color="auto"/>
            </w:tcBorders>
          </w:tcPr>
          <w:p>
            <w:pPr/>
          </w:p>
        </w:tc>
        <w:tc>
          <w:tcPr>
            <w:tcW w:w="131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34"/>
              <w:jc w:val="right"/>
              <w:rPr>
                <w:rFonts w:ascii="Arial" w:hAnsi="Arial" w:cs="Arial" w:eastAsia="Arial" w:hint="default"/>
                <w:sz w:val="18"/>
                <w:szCs w:val="18"/>
              </w:rPr>
            </w:pPr>
            <w:r>
              <w:rPr>
                <w:rFonts w:ascii="Arial"/>
                <w:w w:val="101"/>
                <w:sz w:val="18"/>
              </w:rPr>
              <w:t>-</w:t>
            </w:r>
            <w:r>
              <w:rPr>
                <w:rFonts w:ascii="Arial"/>
                <w:sz w:val="18"/>
              </w:rPr>
            </w:r>
          </w:p>
        </w:tc>
      </w:tr>
      <w:tr>
        <w:trPr>
          <w:trHeight w:val="415" w:hRule="exact"/>
        </w:trPr>
        <w:tc>
          <w:tcPr>
            <w:tcW w:w="1962" w:type="dxa"/>
            <w:tcBorders>
              <w:top w:val="nil" w:sz="6" w:space="0" w:color="auto"/>
              <w:left w:val="nil" w:sz="6" w:space="0" w:color="auto"/>
              <w:bottom w:val="nil" w:sz="6" w:space="0" w:color="auto"/>
              <w:right w:val="nil" w:sz="6" w:space="0" w:color="auto"/>
            </w:tcBorders>
          </w:tcPr>
          <w:p>
            <w:pPr>
              <w:pStyle w:val="TableParagraph"/>
              <w:spacing w:line="173" w:lineRule="exact"/>
              <w:ind w:right="198"/>
              <w:jc w:val="center"/>
              <w:rPr>
                <w:rFonts w:ascii="宋体" w:hAnsi="宋体" w:cs="宋体" w:eastAsia="宋体" w:hint="default"/>
                <w:sz w:val="16"/>
                <w:szCs w:val="16"/>
              </w:rPr>
            </w:pPr>
            <w:r>
              <w:rPr>
                <w:rFonts w:ascii="宋体" w:hAnsi="宋体" w:cs="宋体" w:eastAsia="宋体" w:hint="default"/>
                <w:sz w:val="16"/>
                <w:szCs w:val="16"/>
              </w:rPr>
              <w:t>长期预付线路租赁</w:t>
            </w:r>
            <w:r>
              <w:rPr>
                <w:rFonts w:ascii="宋体" w:hAnsi="宋体" w:cs="宋体" w:eastAsia="宋体" w:hint="default"/>
                <w:sz w:val="16"/>
                <w:szCs w:val="16"/>
              </w:rPr>
              <w:t> </w:t>
            </w:r>
          </w:p>
          <w:p>
            <w:pPr>
              <w:pStyle w:val="TableParagraph"/>
              <w:spacing w:line="208" w:lineRule="exact"/>
              <w:ind w:right="203"/>
              <w:jc w:val="center"/>
              <w:rPr>
                <w:rFonts w:ascii="宋体" w:hAnsi="宋体" w:cs="宋体" w:eastAsia="宋体" w:hint="default"/>
                <w:sz w:val="16"/>
                <w:szCs w:val="16"/>
              </w:rPr>
            </w:pPr>
            <w:r>
              <w:rPr>
                <w:rFonts w:ascii="宋体" w:hAnsi="宋体" w:cs="宋体" w:eastAsia="宋体" w:hint="default"/>
                <w:sz w:val="16"/>
                <w:szCs w:val="16"/>
              </w:rPr>
              <w:t>及其相关服务</w:t>
            </w:r>
            <w:r>
              <w:rPr>
                <w:rFonts w:ascii="宋体" w:hAnsi="宋体" w:cs="宋体" w:eastAsia="宋体" w:hint="default"/>
                <w:sz w:val="16"/>
                <w:szCs w:val="16"/>
              </w:rPr>
              <w:t> </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316" w:right="0"/>
              <w:jc w:val="left"/>
              <w:rPr>
                <w:rFonts w:ascii="Arial" w:hAnsi="Arial" w:cs="Arial" w:eastAsia="Arial" w:hint="default"/>
                <w:sz w:val="18"/>
                <w:szCs w:val="18"/>
              </w:rPr>
            </w:pPr>
            <w:r>
              <w:rPr>
                <w:rFonts w:ascii="Arial"/>
                <w:sz w:val="18"/>
              </w:rPr>
              <w:t>452,483,036</w:t>
            </w:r>
          </w:p>
        </w:tc>
        <w:tc>
          <w:tcPr>
            <w:tcW w:w="110"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56"/>
              <w:jc w:val="right"/>
              <w:rPr>
                <w:rFonts w:ascii="Arial" w:hAnsi="Arial" w:cs="Arial" w:eastAsia="Arial" w:hint="default"/>
                <w:sz w:val="18"/>
                <w:szCs w:val="18"/>
              </w:rPr>
            </w:pPr>
            <w:r>
              <w:rPr>
                <w:rFonts w:ascii="Arial"/>
                <w:spacing w:val="-2"/>
                <w:sz w:val="18"/>
              </w:rPr>
              <w:t>(199,693,524)</w:t>
            </w:r>
          </w:p>
        </w:tc>
        <w:tc>
          <w:tcPr>
            <w:tcW w:w="115" w:type="dxa"/>
            <w:tcBorders>
              <w:top w:val="nil" w:sz="6" w:space="0" w:color="auto"/>
              <w:left w:val="nil" w:sz="6" w:space="0" w:color="auto"/>
              <w:bottom w:val="nil" w:sz="6" w:space="0" w:color="auto"/>
              <w:right w:val="nil" w:sz="6" w:space="0" w:color="auto"/>
            </w:tcBorders>
          </w:tcPr>
          <w:p>
            <w:pP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88"/>
              <w:jc w:val="right"/>
              <w:rPr>
                <w:rFonts w:ascii="Arial" w:hAnsi="Arial" w:cs="Arial" w:eastAsia="Arial" w:hint="default"/>
                <w:sz w:val="18"/>
                <w:szCs w:val="18"/>
              </w:rPr>
            </w:pPr>
            <w:r>
              <w:rPr>
                <w:rFonts w:ascii="Arial"/>
                <w:spacing w:val="-1"/>
                <w:sz w:val="18"/>
              </w:rPr>
              <w:t>183,378,363</w:t>
            </w:r>
            <w:r>
              <w:rPr>
                <w:rFonts w:ascii="Arial"/>
                <w:sz w:val="18"/>
              </w:rPr>
            </w:r>
          </w:p>
        </w:tc>
        <w:tc>
          <w:tcPr>
            <w:tcW w:w="115"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42"/>
              <w:jc w:val="right"/>
              <w:rPr>
                <w:rFonts w:ascii="Arial" w:hAnsi="Arial" w:cs="Arial" w:eastAsia="Arial" w:hint="default"/>
                <w:sz w:val="18"/>
                <w:szCs w:val="18"/>
              </w:rPr>
            </w:pPr>
            <w:r>
              <w:rPr>
                <w:rFonts w:ascii="Arial"/>
                <w:spacing w:val="-2"/>
                <w:sz w:val="18"/>
              </w:rPr>
              <w:t>(174,806,171)</w:t>
            </w:r>
          </w:p>
        </w:tc>
        <w:tc>
          <w:tcPr>
            <w:tcW w:w="110" w:type="dxa"/>
            <w:tcBorders>
              <w:top w:val="nil" w:sz="6" w:space="0" w:color="auto"/>
              <w:left w:val="nil" w:sz="6" w:space="0" w:color="auto"/>
              <w:bottom w:val="nil" w:sz="6" w:space="0" w:color="auto"/>
              <w:right w:val="nil" w:sz="6" w:space="0" w:color="auto"/>
            </w:tcBorders>
          </w:tcPr>
          <w:p>
            <w:pPr/>
          </w:p>
        </w:tc>
        <w:tc>
          <w:tcPr>
            <w:tcW w:w="131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211" w:right="0"/>
              <w:jc w:val="left"/>
              <w:rPr>
                <w:rFonts w:ascii="Arial" w:hAnsi="Arial" w:cs="Arial" w:eastAsia="Arial" w:hint="default"/>
                <w:sz w:val="18"/>
                <w:szCs w:val="18"/>
              </w:rPr>
            </w:pPr>
            <w:r>
              <w:rPr>
                <w:rFonts w:ascii="Arial"/>
                <w:sz w:val="18"/>
              </w:rPr>
              <w:t>261,361,704</w:t>
            </w:r>
          </w:p>
        </w:tc>
      </w:tr>
      <w:tr>
        <w:trPr>
          <w:trHeight w:val="448" w:hRule="exact"/>
        </w:trPr>
        <w:tc>
          <w:tcPr>
            <w:tcW w:w="1962" w:type="dxa"/>
            <w:tcBorders>
              <w:top w:val="nil" w:sz="6" w:space="0" w:color="auto"/>
              <w:left w:val="nil" w:sz="6" w:space="0" w:color="auto"/>
              <w:bottom w:val="nil" w:sz="6" w:space="0" w:color="auto"/>
              <w:right w:val="nil" w:sz="6" w:space="0" w:color="auto"/>
            </w:tcBorders>
          </w:tcPr>
          <w:p>
            <w:pPr>
              <w:pStyle w:val="TableParagraph"/>
              <w:spacing w:line="170" w:lineRule="exact"/>
              <w:ind w:left="200" w:right="0"/>
              <w:jc w:val="left"/>
              <w:rPr>
                <w:rFonts w:ascii="宋体" w:hAnsi="宋体" w:cs="宋体" w:eastAsia="宋体" w:hint="default"/>
                <w:sz w:val="16"/>
                <w:szCs w:val="16"/>
              </w:rPr>
            </w:pPr>
            <w:r>
              <w:rPr>
                <w:rFonts w:ascii="宋体" w:hAnsi="宋体" w:cs="宋体" w:eastAsia="宋体" w:hint="default"/>
                <w:sz w:val="16"/>
                <w:szCs w:val="16"/>
              </w:rPr>
              <w:t>一次性不退还收入的</w:t>
            </w:r>
            <w:r>
              <w:rPr>
                <w:rFonts w:ascii="宋体" w:hAnsi="宋体" w:cs="宋体" w:eastAsia="宋体" w:hint="default"/>
                <w:sz w:val="16"/>
                <w:szCs w:val="16"/>
              </w:rPr>
              <w:t> </w:t>
            </w:r>
          </w:p>
          <w:p>
            <w:pPr>
              <w:pStyle w:val="TableParagraph"/>
              <w:spacing w:line="208" w:lineRule="exact"/>
              <w:ind w:left="358" w:right="0"/>
              <w:jc w:val="left"/>
              <w:rPr>
                <w:rFonts w:ascii="宋体" w:hAnsi="宋体" w:cs="宋体" w:eastAsia="宋体" w:hint="default"/>
                <w:sz w:val="16"/>
                <w:szCs w:val="16"/>
              </w:rPr>
            </w:pPr>
            <w:r>
              <w:rPr>
                <w:rFonts w:ascii="宋体" w:hAnsi="宋体" w:cs="宋体" w:eastAsia="宋体" w:hint="default"/>
                <w:sz w:val="16"/>
                <w:szCs w:val="16"/>
              </w:rPr>
              <w:t>直接相关成本</w:t>
            </w:r>
            <w:r>
              <w:rPr>
                <w:rFonts w:ascii="宋体" w:hAnsi="宋体" w:cs="宋体" w:eastAsia="宋体" w:hint="default"/>
                <w:sz w:val="16"/>
                <w:szCs w:val="16"/>
              </w:rPr>
              <w:t> </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316" w:right="0"/>
              <w:jc w:val="left"/>
              <w:rPr>
                <w:rFonts w:ascii="Arial" w:hAnsi="Arial" w:cs="Arial" w:eastAsia="Arial" w:hint="default"/>
                <w:sz w:val="18"/>
                <w:szCs w:val="18"/>
              </w:rPr>
            </w:pPr>
            <w:r>
              <w:rPr>
                <w:rFonts w:ascii="Arial"/>
                <w:sz w:val="18"/>
              </w:rPr>
              <w:t>208,105,761</w:t>
            </w:r>
          </w:p>
        </w:tc>
        <w:tc>
          <w:tcPr>
            <w:tcW w:w="110"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38"/>
              <w:jc w:val="right"/>
              <w:rPr>
                <w:rFonts w:ascii="Arial" w:hAnsi="Arial" w:cs="Arial" w:eastAsia="Arial" w:hint="default"/>
                <w:sz w:val="18"/>
                <w:szCs w:val="18"/>
              </w:rPr>
            </w:pPr>
            <w:r>
              <w:rPr>
                <w:rFonts w:ascii="Arial"/>
                <w:w w:val="101"/>
                <w:sz w:val="18"/>
              </w:rPr>
              <w:t>-</w:t>
            </w:r>
            <w:r>
              <w:rPr>
                <w:rFonts w:ascii="Arial"/>
                <w:sz w:val="18"/>
              </w:rPr>
            </w:r>
          </w:p>
        </w:tc>
        <w:tc>
          <w:tcPr>
            <w:tcW w:w="115" w:type="dxa"/>
            <w:tcBorders>
              <w:top w:val="nil" w:sz="6" w:space="0" w:color="auto"/>
              <w:left w:val="nil" w:sz="6" w:space="0" w:color="auto"/>
              <w:bottom w:val="nil" w:sz="6" w:space="0" w:color="auto"/>
              <w:right w:val="nil" w:sz="6" w:space="0" w:color="auto"/>
            </w:tcBorders>
          </w:tcPr>
          <w:p>
            <w:pP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34"/>
              <w:jc w:val="right"/>
              <w:rPr>
                <w:rFonts w:ascii="Arial" w:hAnsi="Arial" w:cs="Arial" w:eastAsia="Arial" w:hint="default"/>
                <w:sz w:val="18"/>
                <w:szCs w:val="18"/>
              </w:rPr>
            </w:pPr>
            <w:r>
              <w:rPr>
                <w:rFonts w:ascii="Arial"/>
                <w:w w:val="101"/>
                <w:sz w:val="18"/>
              </w:rPr>
              <w:t>-</w:t>
            </w:r>
            <w:r>
              <w:rPr>
                <w:rFonts w:ascii="Arial"/>
                <w:sz w:val="18"/>
              </w:rPr>
            </w:r>
          </w:p>
        </w:tc>
        <w:tc>
          <w:tcPr>
            <w:tcW w:w="115"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38"/>
              <w:jc w:val="right"/>
              <w:rPr>
                <w:rFonts w:ascii="Arial" w:hAnsi="Arial" w:cs="Arial" w:eastAsia="Arial" w:hint="default"/>
                <w:sz w:val="18"/>
                <w:szCs w:val="18"/>
              </w:rPr>
            </w:pPr>
            <w:r>
              <w:rPr>
                <w:rFonts w:ascii="Arial"/>
                <w:spacing w:val="-2"/>
                <w:sz w:val="18"/>
              </w:rPr>
              <w:t>(64,172,391)</w:t>
            </w:r>
            <w:r>
              <w:rPr>
                <w:rFonts w:ascii="Arial"/>
                <w:sz w:val="18"/>
              </w:rPr>
            </w:r>
          </w:p>
        </w:tc>
        <w:tc>
          <w:tcPr>
            <w:tcW w:w="110" w:type="dxa"/>
            <w:tcBorders>
              <w:top w:val="nil" w:sz="6" w:space="0" w:color="auto"/>
              <w:left w:val="nil" w:sz="6" w:space="0" w:color="auto"/>
              <w:bottom w:val="nil" w:sz="6" w:space="0" w:color="auto"/>
              <w:right w:val="nil" w:sz="6" w:space="0" w:color="auto"/>
            </w:tcBorders>
          </w:tcPr>
          <w:p>
            <w:pPr/>
          </w:p>
        </w:tc>
        <w:tc>
          <w:tcPr>
            <w:tcW w:w="131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211" w:right="0"/>
              <w:jc w:val="left"/>
              <w:rPr>
                <w:rFonts w:ascii="Arial" w:hAnsi="Arial" w:cs="Arial" w:eastAsia="Arial" w:hint="default"/>
                <w:sz w:val="18"/>
                <w:szCs w:val="18"/>
              </w:rPr>
            </w:pPr>
            <w:r>
              <w:rPr>
                <w:rFonts w:ascii="Arial"/>
                <w:sz w:val="18"/>
              </w:rPr>
              <w:t>143,933,370</w:t>
            </w:r>
          </w:p>
        </w:tc>
      </w:tr>
      <w:tr>
        <w:trPr>
          <w:trHeight w:val="255" w:hRule="exact"/>
        </w:trPr>
        <w:tc>
          <w:tcPr>
            <w:tcW w:w="1962" w:type="dxa"/>
            <w:tcBorders>
              <w:top w:val="nil" w:sz="6" w:space="0" w:color="auto"/>
              <w:left w:val="nil" w:sz="6" w:space="0" w:color="auto"/>
              <w:bottom w:val="nil" w:sz="6" w:space="0" w:color="auto"/>
              <w:right w:val="nil" w:sz="6" w:space="0" w:color="auto"/>
            </w:tcBorders>
          </w:tcPr>
          <w:p>
            <w:pPr>
              <w:pStyle w:val="TableParagraph"/>
              <w:spacing w:line="240" w:lineRule="auto" w:before="4"/>
              <w:ind w:left="200" w:right="0"/>
              <w:jc w:val="left"/>
              <w:rPr>
                <w:rFonts w:ascii="宋体" w:hAnsi="宋体" w:cs="宋体" w:eastAsia="宋体" w:hint="default"/>
                <w:sz w:val="16"/>
                <w:szCs w:val="16"/>
              </w:rPr>
            </w:pPr>
            <w:r>
              <w:rPr>
                <w:rFonts w:ascii="宋体" w:hAnsi="宋体" w:cs="宋体" w:eastAsia="宋体" w:hint="default"/>
                <w:sz w:val="16"/>
                <w:szCs w:val="16"/>
              </w:rPr>
              <w:t>其他</w:t>
            </w:r>
            <w:r>
              <w:rPr>
                <w:rFonts w:ascii="宋体" w:hAnsi="宋体" w:cs="宋体" w:eastAsia="宋体" w:hint="default"/>
                <w:sz w:val="16"/>
                <w:szCs w:val="16"/>
              </w:rPr>
              <w:t> </w:t>
            </w:r>
          </w:p>
        </w:tc>
        <w:tc>
          <w:tcPr>
            <w:tcW w:w="1421" w:type="dxa"/>
            <w:tcBorders>
              <w:top w:val="nil" w:sz="6" w:space="0" w:color="auto"/>
              <w:left w:val="nil" w:sz="6" w:space="0" w:color="auto"/>
              <w:bottom w:val="nil" w:sz="6" w:space="0" w:color="auto"/>
              <w:right w:val="nil" w:sz="6" w:space="0" w:color="auto"/>
            </w:tcBorders>
          </w:tcPr>
          <w:p>
            <w:pPr>
              <w:pStyle w:val="TableParagraph"/>
              <w:tabs>
                <w:tab w:pos="316" w:val="left" w:leader="none"/>
                <w:tab w:pos="1420" w:val="left" w:leader="none"/>
              </w:tabs>
              <w:spacing w:line="240" w:lineRule="auto" w:before="31"/>
              <w:ind w:right="0"/>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t>524,074,174</w:t>
              <w:tab/>
            </w:r>
            <w:r>
              <w:rPr>
                <w:rFonts w:ascii="Arial"/>
                <w:sz w:val="18"/>
              </w:rPr>
            </w:r>
          </w:p>
        </w:tc>
        <w:tc>
          <w:tcPr>
            <w:tcW w:w="110"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nil" w:sz="6" w:space="0" w:color="auto"/>
            </w:tcBorders>
          </w:tcPr>
          <w:p>
            <w:pPr>
              <w:pStyle w:val="TableParagraph"/>
              <w:tabs>
                <w:tab w:pos="263" w:val="left" w:leader="none"/>
                <w:tab w:pos="1449" w:val="left" w:leader="none"/>
              </w:tabs>
              <w:spacing w:line="240" w:lineRule="auto" w:before="31"/>
              <w:ind w:right="0"/>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r>
            <w:r>
              <w:rPr>
                <w:rFonts w:ascii="Arial"/>
                <w:spacing w:val="-2"/>
                <w:sz w:val="18"/>
                <w:u w:val="single" w:color="000000"/>
              </w:rPr>
              <w:t>(145,839,888)</w:t>
              <w:tab/>
            </w:r>
            <w:r>
              <w:rPr>
                <w:rFonts w:ascii="Arial"/>
                <w:spacing w:val="-2"/>
                <w:sz w:val="18"/>
              </w:rPr>
            </w:r>
          </w:p>
        </w:tc>
        <w:tc>
          <w:tcPr>
            <w:tcW w:w="115" w:type="dxa"/>
            <w:tcBorders>
              <w:top w:val="nil" w:sz="6" w:space="0" w:color="auto"/>
              <w:left w:val="nil" w:sz="6" w:space="0" w:color="auto"/>
              <w:bottom w:val="nil" w:sz="6" w:space="0" w:color="auto"/>
              <w:right w:val="nil" w:sz="6" w:space="0" w:color="auto"/>
            </w:tcBorders>
          </w:tcPr>
          <w:p>
            <w:pPr/>
          </w:p>
        </w:tc>
        <w:tc>
          <w:tcPr>
            <w:tcW w:w="1565" w:type="dxa"/>
            <w:tcBorders>
              <w:top w:val="nil" w:sz="6" w:space="0" w:color="auto"/>
              <w:left w:val="nil" w:sz="6" w:space="0" w:color="auto"/>
              <w:bottom w:val="nil" w:sz="6" w:space="0" w:color="auto"/>
              <w:right w:val="nil" w:sz="6" w:space="0" w:color="auto"/>
            </w:tcBorders>
          </w:tcPr>
          <w:p>
            <w:pPr>
              <w:pStyle w:val="TableParagraph"/>
              <w:tabs>
                <w:tab w:pos="465" w:val="left" w:leader="none"/>
                <w:tab w:pos="1564" w:val="left" w:leader="none"/>
              </w:tabs>
              <w:spacing w:line="240" w:lineRule="auto" w:before="31"/>
              <w:ind w:right="0"/>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r>
            <w:r>
              <w:rPr>
                <w:rFonts w:ascii="Arial"/>
                <w:spacing w:val="-1"/>
                <w:sz w:val="18"/>
                <w:u w:val="single" w:color="000000"/>
              </w:rPr>
              <w:t>827,100,744</w:t>
              <w:tab/>
            </w:r>
            <w:r>
              <w:rPr>
                <w:rFonts w:ascii="Arial"/>
                <w:spacing w:val="-1"/>
                <w:sz w:val="18"/>
              </w:rPr>
            </w:r>
          </w:p>
        </w:tc>
        <w:tc>
          <w:tcPr>
            <w:tcW w:w="115"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42"/>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  </w:t>
            </w:r>
            <w:r>
              <w:rPr>
                <w:rFonts w:ascii="Arial"/>
                <w:spacing w:val="24"/>
                <w:sz w:val="18"/>
                <w:u w:val="single" w:color="000000"/>
              </w:rPr>
              <w:t> </w:t>
            </w:r>
            <w:r>
              <w:rPr>
                <w:rFonts w:ascii="Arial"/>
                <w:spacing w:val="-2"/>
                <w:sz w:val="18"/>
                <w:u w:val="single" w:color="000000"/>
              </w:rPr>
              <w:t>(250,045,143)</w:t>
            </w:r>
            <w:r>
              <w:rPr>
                <w:rFonts w:ascii="Arial"/>
                <w:spacing w:val="-2"/>
                <w:sz w:val="18"/>
              </w:rPr>
            </w:r>
          </w:p>
        </w:tc>
        <w:tc>
          <w:tcPr>
            <w:tcW w:w="110" w:type="dxa"/>
            <w:tcBorders>
              <w:top w:val="nil" w:sz="6" w:space="0" w:color="auto"/>
              <w:left w:val="nil" w:sz="6" w:space="0" w:color="auto"/>
              <w:bottom w:val="nil" w:sz="6" w:space="0" w:color="auto"/>
              <w:right w:val="nil" w:sz="6" w:space="0" w:color="auto"/>
            </w:tcBorders>
          </w:tcPr>
          <w:p>
            <w:pPr/>
          </w:p>
        </w:tc>
        <w:tc>
          <w:tcPr>
            <w:tcW w:w="1310" w:type="dxa"/>
            <w:tcBorders>
              <w:top w:val="nil" w:sz="6" w:space="0" w:color="auto"/>
              <w:left w:val="nil" w:sz="6" w:space="0" w:color="auto"/>
              <w:bottom w:val="nil" w:sz="6" w:space="0" w:color="auto"/>
              <w:right w:val="nil" w:sz="6" w:space="0" w:color="auto"/>
            </w:tcBorders>
          </w:tcPr>
          <w:p>
            <w:pPr>
              <w:pStyle w:val="TableParagraph"/>
              <w:tabs>
                <w:tab w:pos="1310" w:val="left" w:leader="none"/>
              </w:tabs>
              <w:spacing w:line="240" w:lineRule="auto" w:before="27"/>
              <w:ind w:right="0"/>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  </w:t>
            </w:r>
            <w:r>
              <w:rPr>
                <w:rFonts w:ascii="Arial"/>
                <w:spacing w:val="10"/>
                <w:sz w:val="18"/>
                <w:u w:val="single" w:color="000000"/>
              </w:rPr>
              <w:t> </w:t>
            </w:r>
            <w:r>
              <w:rPr>
                <w:rFonts w:ascii="Arial"/>
                <w:sz w:val="18"/>
                <w:u w:val="single" w:color="000000"/>
              </w:rPr>
              <w:t>955,289,887</w:t>
              <w:tab/>
            </w:r>
            <w:r>
              <w:rPr>
                <w:rFonts w:ascii="Arial"/>
                <w:sz w:val="18"/>
              </w:rPr>
            </w:r>
          </w:p>
        </w:tc>
      </w:tr>
      <w:tr>
        <w:trPr>
          <w:trHeight w:val="202" w:hRule="exact"/>
        </w:trPr>
        <w:tc>
          <w:tcPr>
            <w:tcW w:w="3382" w:type="dxa"/>
            <w:gridSpan w:val="2"/>
            <w:tcBorders>
              <w:top w:val="nil" w:sz="6" w:space="0" w:color="auto"/>
              <w:left w:val="nil" w:sz="6" w:space="0" w:color="auto"/>
              <w:bottom w:val="nil" w:sz="6" w:space="0" w:color="auto"/>
              <w:right w:val="nil" w:sz="6" w:space="0" w:color="auto"/>
            </w:tcBorders>
          </w:tcPr>
          <w:p>
            <w:pPr>
              <w:pStyle w:val="TableParagraph"/>
              <w:spacing w:line="179" w:lineRule="exact"/>
              <w:ind w:left="543" w:right="0"/>
              <w:jc w:val="center"/>
              <w:rPr>
                <w:rFonts w:ascii="宋体" w:hAnsi="宋体" w:cs="宋体" w:eastAsia="宋体" w:hint="default"/>
                <w:sz w:val="16"/>
                <w:szCs w:val="16"/>
              </w:rPr>
            </w:pPr>
            <w:r>
              <w:rPr>
                <w:rFonts w:ascii="宋体"/>
                <w:w w:val="99"/>
                <w:sz w:val="16"/>
              </w:rPr>
              <w:t> </w:t>
            </w:r>
            <w:r>
              <w:rPr>
                <w:rFonts w:ascii="宋体"/>
                <w:sz w:val="16"/>
              </w:rPr>
            </w:r>
          </w:p>
        </w:tc>
        <w:tc>
          <w:tcPr>
            <w:tcW w:w="3240" w:type="dxa"/>
            <w:gridSpan w:val="4"/>
            <w:tcBorders>
              <w:top w:val="nil" w:sz="6" w:space="0" w:color="auto"/>
              <w:left w:val="nil" w:sz="6" w:space="0" w:color="auto"/>
              <w:bottom w:val="nil" w:sz="6" w:space="0" w:color="auto"/>
              <w:right w:val="nil" w:sz="6" w:space="0" w:color="auto"/>
            </w:tcBorders>
          </w:tcPr>
          <w:p>
            <w:pPr/>
          </w:p>
        </w:tc>
        <w:tc>
          <w:tcPr>
            <w:tcW w:w="115"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nil" w:sz="6" w:space="0" w:color="auto"/>
            </w:tcBorders>
          </w:tcPr>
          <w:p>
            <w:pPr/>
          </w:p>
        </w:tc>
        <w:tc>
          <w:tcPr>
            <w:tcW w:w="110" w:type="dxa"/>
            <w:tcBorders>
              <w:top w:val="nil" w:sz="6" w:space="0" w:color="auto"/>
              <w:left w:val="nil" w:sz="6" w:space="0" w:color="auto"/>
              <w:bottom w:val="nil" w:sz="6" w:space="0" w:color="auto"/>
              <w:right w:val="nil" w:sz="6" w:space="0" w:color="auto"/>
            </w:tcBorders>
          </w:tcPr>
          <w:p>
            <w:pPr/>
          </w:p>
        </w:tc>
        <w:tc>
          <w:tcPr>
            <w:tcW w:w="1310" w:type="dxa"/>
            <w:tcBorders>
              <w:top w:val="nil" w:sz="6" w:space="0" w:color="auto"/>
              <w:left w:val="nil" w:sz="6" w:space="0" w:color="auto"/>
              <w:bottom w:val="nil" w:sz="6" w:space="0" w:color="auto"/>
              <w:right w:val="nil" w:sz="6" w:space="0" w:color="auto"/>
            </w:tcBorders>
          </w:tcPr>
          <w:p>
            <w:pPr/>
          </w:p>
        </w:tc>
      </w:tr>
      <w:tr>
        <w:trPr>
          <w:trHeight w:val="236" w:hRule="exact"/>
        </w:trPr>
        <w:tc>
          <w:tcPr>
            <w:tcW w:w="1962" w:type="dxa"/>
            <w:tcBorders>
              <w:top w:val="nil" w:sz="6" w:space="0" w:color="auto"/>
              <w:left w:val="nil" w:sz="6" w:space="0" w:color="auto"/>
              <w:bottom w:val="nil" w:sz="6" w:space="0" w:color="auto"/>
              <w:right w:val="nil" w:sz="6" w:space="0" w:color="auto"/>
            </w:tcBorders>
          </w:tcPr>
          <w:p>
            <w:pPr>
              <w:pStyle w:val="TableParagraph"/>
              <w:spacing w:line="184" w:lineRule="exact"/>
              <w:ind w:left="200" w:right="0"/>
              <w:jc w:val="left"/>
              <w:rPr>
                <w:rFonts w:ascii="宋体" w:hAnsi="宋体" w:cs="宋体" w:eastAsia="宋体" w:hint="default"/>
                <w:sz w:val="16"/>
                <w:szCs w:val="16"/>
              </w:rPr>
            </w:pPr>
            <w:r>
              <w:rPr>
                <w:rFonts w:ascii="宋体" w:hAnsi="宋体" w:cs="宋体" w:eastAsia="宋体" w:hint="default"/>
                <w:sz w:val="16"/>
                <w:szCs w:val="16"/>
              </w:rPr>
              <w:t>长期待摊费用合计</w:t>
            </w:r>
            <w:r>
              <w:rPr>
                <w:rFonts w:ascii="宋体" w:hAnsi="宋体" w:cs="宋体" w:eastAsia="宋体" w:hint="default"/>
                <w:sz w:val="16"/>
                <w:szCs w:val="16"/>
              </w:rPr>
              <w:t> </w:t>
            </w:r>
          </w:p>
        </w:tc>
        <w:tc>
          <w:tcPr>
            <w:tcW w:w="1421" w:type="dxa"/>
            <w:tcBorders>
              <w:top w:val="nil" w:sz="6" w:space="0" w:color="auto"/>
              <w:left w:val="nil" w:sz="6" w:space="0" w:color="auto"/>
              <w:bottom w:val="single" w:sz="17" w:space="0" w:color="000000"/>
              <w:right w:val="nil" w:sz="6" w:space="0" w:color="auto"/>
            </w:tcBorders>
          </w:tcPr>
          <w:p>
            <w:pPr>
              <w:pStyle w:val="TableParagraph"/>
              <w:spacing w:line="240" w:lineRule="auto" w:before="2"/>
              <w:ind w:left="168" w:right="0"/>
              <w:jc w:val="left"/>
              <w:rPr>
                <w:rFonts w:ascii="Arial" w:hAnsi="Arial" w:cs="Arial" w:eastAsia="Arial" w:hint="default"/>
                <w:sz w:val="18"/>
                <w:szCs w:val="18"/>
              </w:rPr>
            </w:pPr>
            <w:r>
              <w:rPr>
                <w:rFonts w:ascii="Arial"/>
                <w:sz w:val="18"/>
              </w:rPr>
              <w:t>3,929,093,283</w:t>
            </w:r>
          </w:p>
        </w:tc>
        <w:tc>
          <w:tcPr>
            <w:tcW w:w="110"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single" w:sz="17" w:space="0" w:color="000000"/>
              <w:right w:val="nil" w:sz="6" w:space="0" w:color="auto"/>
            </w:tcBorders>
          </w:tcPr>
          <w:p>
            <w:pPr>
              <w:pStyle w:val="TableParagraph"/>
              <w:spacing w:line="240" w:lineRule="auto" w:before="2"/>
              <w:ind w:right="57"/>
              <w:jc w:val="right"/>
              <w:rPr>
                <w:rFonts w:ascii="Arial" w:hAnsi="Arial" w:cs="Arial" w:eastAsia="Arial" w:hint="default"/>
                <w:sz w:val="18"/>
                <w:szCs w:val="18"/>
              </w:rPr>
            </w:pPr>
            <w:r>
              <w:rPr>
                <w:rFonts w:ascii="Arial"/>
                <w:spacing w:val="-2"/>
                <w:sz w:val="18"/>
              </w:rPr>
              <w:t>(1,800,857,264)</w:t>
            </w:r>
          </w:p>
        </w:tc>
        <w:tc>
          <w:tcPr>
            <w:tcW w:w="115" w:type="dxa"/>
            <w:tcBorders>
              <w:top w:val="nil" w:sz="6" w:space="0" w:color="auto"/>
              <w:left w:val="nil" w:sz="6" w:space="0" w:color="auto"/>
              <w:bottom w:val="nil" w:sz="6" w:space="0" w:color="auto"/>
              <w:right w:val="nil" w:sz="6" w:space="0" w:color="auto"/>
            </w:tcBorders>
          </w:tcPr>
          <w:p>
            <w:pPr/>
          </w:p>
        </w:tc>
        <w:tc>
          <w:tcPr>
            <w:tcW w:w="1565" w:type="dxa"/>
            <w:tcBorders>
              <w:top w:val="nil" w:sz="6" w:space="0" w:color="auto"/>
              <w:left w:val="nil" w:sz="6" w:space="0" w:color="auto"/>
              <w:bottom w:val="single" w:sz="17" w:space="0" w:color="000000"/>
              <w:right w:val="nil" w:sz="6" w:space="0" w:color="auto"/>
            </w:tcBorders>
          </w:tcPr>
          <w:p>
            <w:pPr>
              <w:pStyle w:val="TableParagraph"/>
              <w:spacing w:line="240" w:lineRule="auto" w:before="2"/>
              <w:ind w:left="312" w:right="0"/>
              <w:jc w:val="left"/>
              <w:rPr>
                <w:rFonts w:ascii="Arial" w:hAnsi="Arial" w:cs="Arial" w:eastAsia="Arial" w:hint="default"/>
                <w:sz w:val="18"/>
                <w:szCs w:val="18"/>
              </w:rPr>
            </w:pPr>
            <w:r>
              <w:rPr>
                <w:rFonts w:ascii="Arial"/>
                <w:sz w:val="18"/>
              </w:rPr>
              <w:t>1,427,854,508</w:t>
            </w:r>
          </w:p>
        </w:tc>
        <w:tc>
          <w:tcPr>
            <w:tcW w:w="115"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single" w:sz="17" w:space="0" w:color="000000"/>
              <w:right w:val="nil" w:sz="6" w:space="0" w:color="auto"/>
            </w:tcBorders>
          </w:tcPr>
          <w:p>
            <w:pPr>
              <w:pStyle w:val="TableParagraph"/>
              <w:spacing w:line="240" w:lineRule="auto" w:before="2"/>
              <w:ind w:right="38"/>
              <w:jc w:val="right"/>
              <w:rPr>
                <w:rFonts w:ascii="Arial" w:hAnsi="Arial" w:cs="Arial" w:eastAsia="Arial" w:hint="default"/>
                <w:sz w:val="18"/>
                <w:szCs w:val="18"/>
              </w:rPr>
            </w:pPr>
            <w:r>
              <w:rPr>
                <w:rFonts w:ascii="Arial"/>
                <w:spacing w:val="-2"/>
                <w:sz w:val="18"/>
              </w:rPr>
              <w:t>(1,116,148,078)</w:t>
            </w:r>
            <w:r>
              <w:rPr>
                <w:rFonts w:ascii="Arial"/>
                <w:sz w:val="18"/>
              </w:rPr>
            </w:r>
          </w:p>
        </w:tc>
        <w:tc>
          <w:tcPr>
            <w:tcW w:w="110" w:type="dxa"/>
            <w:tcBorders>
              <w:top w:val="nil" w:sz="6" w:space="0" w:color="auto"/>
              <w:left w:val="nil" w:sz="6" w:space="0" w:color="auto"/>
              <w:bottom w:val="nil" w:sz="6" w:space="0" w:color="auto"/>
              <w:right w:val="nil" w:sz="6" w:space="0" w:color="auto"/>
            </w:tcBorders>
          </w:tcPr>
          <w:p>
            <w:pPr/>
          </w:p>
        </w:tc>
        <w:tc>
          <w:tcPr>
            <w:tcW w:w="1310" w:type="dxa"/>
            <w:tcBorders>
              <w:top w:val="nil" w:sz="6" w:space="0" w:color="auto"/>
              <w:left w:val="nil" w:sz="6" w:space="0" w:color="auto"/>
              <w:bottom w:val="single" w:sz="17" w:space="0" w:color="000000"/>
              <w:right w:val="nil" w:sz="6" w:space="0" w:color="auto"/>
            </w:tcBorders>
          </w:tcPr>
          <w:p>
            <w:pPr>
              <w:pStyle w:val="TableParagraph"/>
              <w:spacing w:line="240" w:lineRule="auto" w:before="2"/>
              <w:ind w:left="62" w:right="0"/>
              <w:jc w:val="left"/>
              <w:rPr>
                <w:rFonts w:ascii="Arial" w:hAnsi="Arial" w:cs="Arial" w:eastAsia="Arial" w:hint="default"/>
                <w:sz w:val="18"/>
                <w:szCs w:val="18"/>
              </w:rPr>
            </w:pPr>
            <w:r>
              <w:rPr>
                <w:rFonts w:ascii="Arial"/>
                <w:sz w:val="18"/>
              </w:rPr>
              <w:t>2,439,942,449</w:t>
            </w:r>
          </w:p>
        </w:tc>
      </w:tr>
    </w:tbl>
    <w:p>
      <w:pPr>
        <w:spacing w:line="240" w:lineRule="auto" w:before="10"/>
        <w:rPr>
          <w:rFonts w:ascii="宋体" w:hAnsi="宋体" w:cs="宋体" w:eastAsia="宋体" w:hint="default"/>
          <w:sz w:val="13"/>
          <w:szCs w:val="13"/>
        </w:rPr>
      </w:pPr>
    </w:p>
    <w:p>
      <w:pPr>
        <w:pStyle w:val="BodyText"/>
        <w:spacing w:line="240" w:lineRule="auto" w:before="32"/>
        <w:ind w:left="112" w:right="90"/>
        <w:jc w:val="left"/>
      </w:pPr>
      <w:r>
        <w:rPr>
          <w:rFonts w:ascii="Arial" w:hAnsi="Arial" w:cs="Arial" w:eastAsia="Arial" w:hint="default"/>
        </w:rPr>
        <w:t>16</w:t>
      </w:r>
      <w:r>
        <w:rPr/>
        <w:t>、其他非流动资产</w:t>
      </w:r>
    </w:p>
    <w:p>
      <w:pPr>
        <w:spacing w:line="240" w:lineRule="auto" w:before="8"/>
        <w:rPr>
          <w:rFonts w:ascii="宋体" w:hAnsi="宋体" w:cs="宋体" w:eastAsia="宋体" w:hint="default"/>
          <w:sz w:val="25"/>
          <w:szCs w:val="25"/>
        </w:rPr>
      </w:pPr>
    </w:p>
    <w:tbl>
      <w:tblPr>
        <w:tblW w:w="0" w:type="auto"/>
        <w:jc w:val="left"/>
        <w:tblInd w:w="364" w:type="dxa"/>
        <w:tblLayout w:type="fixed"/>
        <w:tblCellMar>
          <w:top w:w="0" w:type="dxa"/>
          <w:left w:w="0" w:type="dxa"/>
          <w:bottom w:w="0" w:type="dxa"/>
          <w:right w:w="0" w:type="dxa"/>
        </w:tblCellMar>
        <w:tblLook w:val="01E0"/>
      </w:tblPr>
      <w:tblGrid>
        <w:gridCol w:w="3505"/>
        <w:gridCol w:w="1274"/>
        <w:gridCol w:w="110"/>
        <w:gridCol w:w="2088"/>
        <w:gridCol w:w="110"/>
        <w:gridCol w:w="2299"/>
      </w:tblGrid>
      <w:tr>
        <w:trPr>
          <w:trHeight w:val="288" w:hRule="exact"/>
        </w:trPr>
        <w:tc>
          <w:tcPr>
            <w:tcW w:w="3505" w:type="dxa"/>
            <w:tcBorders>
              <w:top w:val="nil" w:sz="6" w:space="0" w:color="auto"/>
              <w:left w:val="nil" w:sz="6" w:space="0" w:color="auto"/>
              <w:bottom w:val="nil" w:sz="6" w:space="0" w:color="auto"/>
              <w:right w:val="nil" w:sz="6" w:space="0" w:color="auto"/>
            </w:tcBorders>
          </w:tcPr>
          <w:p>
            <w:pPr/>
          </w:p>
        </w:tc>
        <w:tc>
          <w:tcPr>
            <w:tcW w:w="1274" w:type="dxa"/>
            <w:tcBorders>
              <w:top w:val="nil" w:sz="6" w:space="0" w:color="auto"/>
              <w:left w:val="nil" w:sz="6" w:space="0" w:color="auto"/>
              <w:bottom w:val="nil" w:sz="6" w:space="0" w:color="auto"/>
              <w:right w:val="nil" w:sz="6" w:space="0" w:color="auto"/>
            </w:tcBorders>
          </w:tcPr>
          <w:p>
            <w:pPr>
              <w:pStyle w:val="TableParagraph"/>
              <w:spacing w:line="221" w:lineRule="exact"/>
              <w:ind w:left="117" w:right="0"/>
              <w:jc w:val="center"/>
              <w:rPr>
                <w:rFonts w:ascii="宋体" w:hAnsi="宋体" w:cs="宋体" w:eastAsia="宋体" w:hint="default"/>
                <w:sz w:val="22"/>
                <w:szCs w:val="22"/>
              </w:rPr>
            </w:pPr>
            <w:r>
              <w:rPr>
                <w:rFonts w:ascii="宋体" w:hAnsi="宋体" w:cs="宋体" w:eastAsia="宋体" w:hint="default"/>
                <w:sz w:val="22"/>
                <w:szCs w:val="22"/>
              </w:rPr>
              <w:t>注</w:t>
            </w:r>
            <w:r>
              <w:rPr>
                <w:rFonts w:ascii="宋体" w:hAnsi="宋体" w:cs="宋体" w:eastAsia="宋体" w:hint="default"/>
                <w:sz w:val="22"/>
                <w:szCs w:val="22"/>
              </w:rPr>
              <w:t> </w:t>
            </w:r>
          </w:p>
        </w:tc>
        <w:tc>
          <w:tcPr>
            <w:tcW w:w="2198" w:type="dxa"/>
            <w:gridSpan w:val="2"/>
            <w:tcBorders>
              <w:top w:val="nil" w:sz="6" w:space="0" w:color="auto"/>
              <w:left w:val="nil" w:sz="6" w:space="0" w:color="auto"/>
              <w:bottom w:val="single" w:sz="6" w:space="0" w:color="000000"/>
              <w:right w:val="nil" w:sz="6" w:space="0" w:color="auto"/>
            </w:tcBorders>
          </w:tcPr>
          <w:p>
            <w:pPr>
              <w:pStyle w:val="TableParagraph"/>
              <w:spacing w:line="265" w:lineRule="exact"/>
              <w:ind w:left="244"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110" w:type="dxa"/>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single" w:sz="6" w:space="0" w:color="000000"/>
              <w:right w:val="nil" w:sz="6" w:space="0" w:color="auto"/>
            </w:tcBorders>
          </w:tcPr>
          <w:p>
            <w:pPr>
              <w:pStyle w:val="TableParagraph"/>
              <w:spacing w:line="265" w:lineRule="exact"/>
              <w:ind w:right="50"/>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283" w:hRule="exact"/>
        </w:trPr>
        <w:tc>
          <w:tcPr>
            <w:tcW w:w="3505" w:type="dxa"/>
            <w:tcBorders>
              <w:top w:val="nil" w:sz="6" w:space="0" w:color="auto"/>
              <w:left w:val="nil" w:sz="6" w:space="0" w:color="auto"/>
              <w:bottom w:val="nil" w:sz="6" w:space="0" w:color="auto"/>
              <w:right w:val="nil" w:sz="6" w:space="0" w:color="auto"/>
            </w:tcBorders>
          </w:tcPr>
          <w:p>
            <w:pPr/>
          </w:p>
        </w:tc>
        <w:tc>
          <w:tcPr>
            <w:tcW w:w="1274" w:type="dxa"/>
            <w:tcBorders>
              <w:top w:val="nil" w:sz="6" w:space="0" w:color="auto"/>
              <w:left w:val="nil" w:sz="6" w:space="0" w:color="auto"/>
              <w:bottom w:val="nil" w:sz="6" w:space="0" w:color="auto"/>
              <w:right w:val="nil" w:sz="6" w:space="0" w:color="auto"/>
            </w:tcBorders>
          </w:tcPr>
          <w:p>
            <w:pPr>
              <w:pStyle w:val="TableParagraph"/>
              <w:spacing w:line="259" w:lineRule="exact"/>
              <w:ind w:left="117" w:right="0"/>
              <w:jc w:val="center"/>
              <w:rPr>
                <w:rFonts w:ascii="宋体" w:hAnsi="宋体" w:cs="宋体" w:eastAsia="宋体" w:hint="default"/>
                <w:sz w:val="22"/>
                <w:szCs w:val="22"/>
              </w:rPr>
            </w:pPr>
            <w:r>
              <w:rPr>
                <w:rFonts w:ascii="宋体"/>
                <w:w w:val="100"/>
                <w:sz w:val="22"/>
              </w:rPr>
              <w:t> </w:t>
            </w:r>
          </w:p>
        </w:tc>
        <w:tc>
          <w:tcPr>
            <w:tcW w:w="110" w:type="dxa"/>
            <w:tcBorders>
              <w:top w:val="single" w:sz="6" w:space="0" w:color="000000"/>
              <w:left w:val="nil" w:sz="6" w:space="0" w:color="auto"/>
              <w:bottom w:val="nil" w:sz="6" w:space="0" w:color="auto"/>
              <w:right w:val="nil" w:sz="6" w:space="0" w:color="auto"/>
            </w:tcBorders>
          </w:tcPr>
          <w:p>
            <w:pPr/>
          </w:p>
        </w:tc>
        <w:tc>
          <w:tcPr>
            <w:tcW w:w="2088" w:type="dxa"/>
            <w:tcBorders>
              <w:top w:val="single" w:sz="6" w:space="0" w:color="000000"/>
              <w:left w:val="nil" w:sz="6" w:space="0" w:color="auto"/>
              <w:bottom w:val="nil" w:sz="6" w:space="0" w:color="auto"/>
              <w:right w:val="nil" w:sz="6" w:space="0" w:color="auto"/>
            </w:tcBorders>
          </w:tcPr>
          <w:p>
            <w:pPr/>
          </w:p>
        </w:tc>
        <w:tc>
          <w:tcPr>
            <w:tcW w:w="110" w:type="dxa"/>
            <w:tcBorders>
              <w:top w:val="nil" w:sz="6" w:space="0" w:color="auto"/>
              <w:left w:val="nil" w:sz="6" w:space="0" w:color="auto"/>
              <w:bottom w:val="nil" w:sz="6" w:space="0" w:color="auto"/>
              <w:right w:val="nil" w:sz="6" w:space="0" w:color="auto"/>
            </w:tcBorders>
          </w:tcPr>
          <w:p>
            <w:pPr/>
          </w:p>
        </w:tc>
        <w:tc>
          <w:tcPr>
            <w:tcW w:w="2299" w:type="dxa"/>
            <w:tcBorders>
              <w:top w:val="single" w:sz="6" w:space="0" w:color="000000"/>
              <w:left w:val="nil" w:sz="6" w:space="0" w:color="auto"/>
              <w:bottom w:val="nil" w:sz="6" w:space="0" w:color="auto"/>
              <w:right w:val="nil" w:sz="6" w:space="0" w:color="auto"/>
            </w:tcBorders>
          </w:tcPr>
          <w:p>
            <w:pPr/>
          </w:p>
        </w:tc>
      </w:tr>
      <w:tr>
        <w:trPr>
          <w:trHeight w:val="306" w:hRule="exact"/>
        </w:trPr>
        <w:tc>
          <w:tcPr>
            <w:tcW w:w="3505" w:type="dxa"/>
            <w:tcBorders>
              <w:top w:val="nil" w:sz="6" w:space="0" w:color="auto"/>
              <w:left w:val="nil" w:sz="6" w:space="0" w:color="auto"/>
              <w:bottom w:val="nil" w:sz="6" w:space="0" w:color="auto"/>
              <w:right w:val="nil" w:sz="6" w:space="0" w:color="auto"/>
            </w:tcBorders>
          </w:tcPr>
          <w:p>
            <w:pPr>
              <w:pStyle w:val="TableParagraph"/>
              <w:spacing w:line="264" w:lineRule="exact"/>
              <w:ind w:left="200" w:right="0"/>
              <w:jc w:val="left"/>
              <w:rPr>
                <w:rFonts w:ascii="宋体" w:hAnsi="宋体" w:cs="宋体" w:eastAsia="宋体" w:hint="default"/>
                <w:sz w:val="22"/>
                <w:szCs w:val="22"/>
              </w:rPr>
            </w:pPr>
            <w:r>
              <w:rPr>
                <w:rFonts w:ascii="宋体" w:hAnsi="宋体" w:cs="宋体" w:eastAsia="宋体" w:hint="default"/>
                <w:sz w:val="22"/>
                <w:szCs w:val="22"/>
              </w:rPr>
              <w:t>增量佣金支出</w:t>
            </w:r>
            <w:r>
              <w:rPr>
                <w:rFonts w:ascii="宋体" w:hAnsi="宋体" w:cs="宋体" w:eastAsia="宋体" w:hint="default"/>
                <w:sz w:val="22"/>
                <w:szCs w:val="22"/>
              </w:rPr>
              <w:t> </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7"/>
              <w:ind w:left="117" w:right="0"/>
              <w:jc w:val="center"/>
              <w:rPr>
                <w:rFonts w:ascii="宋体" w:hAnsi="宋体" w:cs="宋体" w:eastAsia="宋体" w:hint="default"/>
                <w:sz w:val="22"/>
                <w:szCs w:val="22"/>
              </w:rPr>
            </w:pPr>
            <w:r>
              <w:rPr>
                <w:rFonts w:ascii="Arial"/>
                <w:sz w:val="22"/>
              </w:rPr>
              <w:t>(a)</w:t>
            </w:r>
            <w:r>
              <w:rPr>
                <w:rFonts w:ascii="宋体"/>
                <w:sz w:val="22"/>
              </w:rPr>
              <w:t> </w:t>
            </w:r>
          </w:p>
        </w:tc>
        <w:tc>
          <w:tcPr>
            <w:tcW w:w="110" w:type="dxa"/>
            <w:tcBorders>
              <w:top w:val="nil" w:sz="6" w:space="0" w:color="auto"/>
              <w:left w:val="nil" w:sz="6" w:space="0" w:color="auto"/>
              <w:bottom w:val="nil" w:sz="6" w:space="0" w:color="auto"/>
              <w:right w:val="nil" w:sz="6" w:space="0" w:color="auto"/>
            </w:tcBorders>
          </w:tcPr>
          <w:p>
            <w:pP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43"/>
              <w:jc w:val="right"/>
              <w:rPr>
                <w:rFonts w:ascii="Arial" w:hAnsi="Arial" w:cs="Arial" w:eastAsia="Arial" w:hint="default"/>
                <w:sz w:val="22"/>
                <w:szCs w:val="22"/>
              </w:rPr>
            </w:pPr>
            <w:r>
              <w:rPr>
                <w:rFonts w:ascii="Arial"/>
                <w:spacing w:val="-1"/>
                <w:sz w:val="22"/>
              </w:rPr>
              <w:t>1,843,655,177</w:t>
            </w:r>
          </w:p>
        </w:tc>
        <w:tc>
          <w:tcPr>
            <w:tcW w:w="110" w:type="dxa"/>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43"/>
              <w:jc w:val="right"/>
              <w:rPr>
                <w:rFonts w:ascii="Arial" w:hAnsi="Arial" w:cs="Arial" w:eastAsia="Arial" w:hint="default"/>
                <w:sz w:val="22"/>
                <w:szCs w:val="22"/>
              </w:rPr>
            </w:pPr>
            <w:r>
              <w:rPr>
                <w:rFonts w:ascii="Arial"/>
                <w:spacing w:val="-1"/>
                <w:sz w:val="22"/>
              </w:rPr>
              <w:t>1,847,094,881</w:t>
            </w:r>
          </w:p>
        </w:tc>
      </w:tr>
      <w:tr>
        <w:trPr>
          <w:trHeight w:val="290" w:hRule="exact"/>
        </w:trPr>
        <w:tc>
          <w:tcPr>
            <w:tcW w:w="3505" w:type="dxa"/>
            <w:tcBorders>
              <w:top w:val="nil" w:sz="6" w:space="0" w:color="auto"/>
              <w:left w:val="nil" w:sz="6" w:space="0" w:color="auto"/>
              <w:bottom w:val="nil" w:sz="6" w:space="0" w:color="auto"/>
              <w:right w:val="nil" w:sz="6" w:space="0" w:color="auto"/>
            </w:tcBorders>
          </w:tcPr>
          <w:p>
            <w:pPr>
              <w:pStyle w:val="TableParagraph"/>
              <w:spacing w:line="257" w:lineRule="exact"/>
              <w:ind w:left="200" w:right="0"/>
              <w:jc w:val="left"/>
              <w:rPr>
                <w:rFonts w:ascii="宋体" w:hAnsi="宋体" w:cs="宋体" w:eastAsia="宋体" w:hint="default"/>
                <w:sz w:val="22"/>
                <w:szCs w:val="22"/>
              </w:rPr>
            </w:pPr>
            <w:r>
              <w:rPr>
                <w:rFonts w:ascii="宋体" w:hAnsi="宋体" w:cs="宋体" w:eastAsia="宋体" w:hint="default"/>
                <w:sz w:val="22"/>
                <w:szCs w:val="22"/>
              </w:rPr>
              <w:t>增量宽带及</w:t>
            </w:r>
            <w:r>
              <w:rPr>
                <w:rFonts w:ascii="宋体" w:hAnsi="宋体" w:cs="宋体" w:eastAsia="宋体" w:hint="default"/>
                <w:spacing w:val="-58"/>
                <w:sz w:val="22"/>
                <w:szCs w:val="22"/>
              </w:rPr>
              <w:t> </w:t>
            </w:r>
            <w:r>
              <w:rPr>
                <w:rFonts w:ascii="Arial" w:hAnsi="Arial" w:cs="Arial" w:eastAsia="Arial" w:hint="default"/>
                <w:sz w:val="22"/>
                <w:szCs w:val="22"/>
              </w:rPr>
              <w:t>IPTV</w:t>
            </w:r>
            <w:r>
              <w:rPr>
                <w:rFonts w:ascii="Arial" w:hAnsi="Arial" w:cs="Arial" w:eastAsia="Arial" w:hint="default"/>
                <w:spacing w:val="-7"/>
                <w:sz w:val="22"/>
                <w:szCs w:val="22"/>
              </w:rPr>
              <w:t> </w:t>
            </w:r>
            <w:r>
              <w:rPr>
                <w:rFonts w:ascii="宋体" w:hAnsi="宋体" w:cs="宋体" w:eastAsia="宋体" w:hint="default"/>
                <w:sz w:val="22"/>
                <w:szCs w:val="22"/>
              </w:rPr>
              <w:t>服务支出</w:t>
            </w:r>
            <w:r>
              <w:rPr>
                <w:rFonts w:ascii="宋体" w:hAnsi="宋体" w:cs="宋体" w:eastAsia="宋体" w:hint="default"/>
                <w:sz w:val="22"/>
                <w:szCs w:val="22"/>
              </w:rPr>
              <w:t> </w:t>
            </w:r>
          </w:p>
        </w:tc>
        <w:tc>
          <w:tcPr>
            <w:tcW w:w="1274" w:type="dxa"/>
            <w:tcBorders>
              <w:top w:val="nil" w:sz="6" w:space="0" w:color="auto"/>
              <w:left w:val="nil" w:sz="6" w:space="0" w:color="auto"/>
              <w:bottom w:val="nil" w:sz="6" w:space="0" w:color="auto"/>
              <w:right w:val="nil" w:sz="6" w:space="0" w:color="auto"/>
            </w:tcBorders>
          </w:tcPr>
          <w:p>
            <w:pPr>
              <w:pStyle w:val="TableParagraph"/>
              <w:spacing w:line="242" w:lineRule="exact"/>
              <w:ind w:left="8" w:right="0"/>
              <w:jc w:val="center"/>
              <w:rPr>
                <w:rFonts w:ascii="Arial" w:hAnsi="Arial" w:cs="Arial" w:eastAsia="Arial" w:hint="default"/>
                <w:sz w:val="22"/>
                <w:szCs w:val="22"/>
              </w:rPr>
            </w:pPr>
            <w:r>
              <w:rPr>
                <w:rFonts w:ascii="Arial"/>
                <w:sz w:val="22"/>
              </w:rPr>
              <w:t>(b)</w:t>
            </w:r>
          </w:p>
        </w:tc>
        <w:tc>
          <w:tcPr>
            <w:tcW w:w="110" w:type="dxa"/>
            <w:tcBorders>
              <w:top w:val="nil" w:sz="6" w:space="0" w:color="auto"/>
              <w:left w:val="nil" w:sz="6" w:space="0" w:color="auto"/>
              <w:bottom w:val="nil" w:sz="6" w:space="0" w:color="auto"/>
              <w:right w:val="nil" w:sz="6" w:space="0" w:color="auto"/>
            </w:tcBorders>
          </w:tcPr>
          <w:p>
            <w:pP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3"/>
              <w:jc w:val="right"/>
              <w:rPr>
                <w:rFonts w:ascii="Arial" w:hAnsi="Arial" w:cs="Arial" w:eastAsia="Arial" w:hint="default"/>
                <w:sz w:val="22"/>
                <w:szCs w:val="22"/>
              </w:rPr>
            </w:pPr>
            <w:r>
              <w:rPr>
                <w:rFonts w:ascii="Arial"/>
                <w:spacing w:val="-1"/>
                <w:sz w:val="22"/>
              </w:rPr>
              <w:t>3,078,929,051</w:t>
            </w:r>
          </w:p>
        </w:tc>
        <w:tc>
          <w:tcPr>
            <w:tcW w:w="110" w:type="dxa"/>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3"/>
              <w:jc w:val="right"/>
              <w:rPr>
                <w:rFonts w:ascii="Arial" w:hAnsi="Arial" w:cs="Arial" w:eastAsia="Arial" w:hint="default"/>
                <w:sz w:val="22"/>
                <w:szCs w:val="22"/>
              </w:rPr>
            </w:pPr>
            <w:r>
              <w:rPr>
                <w:rFonts w:ascii="Arial"/>
                <w:spacing w:val="-1"/>
                <w:sz w:val="22"/>
              </w:rPr>
              <w:t>3,784,458,665</w:t>
            </w:r>
          </w:p>
        </w:tc>
      </w:tr>
      <w:tr>
        <w:trPr>
          <w:trHeight w:val="283" w:hRule="exact"/>
        </w:trPr>
        <w:tc>
          <w:tcPr>
            <w:tcW w:w="3505"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预缴及待抵扣增值税</w:t>
            </w:r>
            <w:r>
              <w:rPr>
                <w:rFonts w:ascii="宋体" w:hAnsi="宋体" w:cs="宋体" w:eastAsia="宋体" w:hint="default"/>
                <w:sz w:val="22"/>
                <w:szCs w:val="22"/>
              </w:rPr>
              <w:t> </w:t>
            </w:r>
          </w:p>
        </w:tc>
        <w:tc>
          <w:tcPr>
            <w:tcW w:w="1274" w:type="dxa"/>
            <w:tcBorders>
              <w:top w:val="nil" w:sz="6" w:space="0" w:color="auto"/>
              <w:left w:val="nil" w:sz="6" w:space="0" w:color="auto"/>
              <w:bottom w:val="nil" w:sz="6" w:space="0" w:color="auto"/>
              <w:right w:val="nil" w:sz="6" w:space="0" w:color="auto"/>
            </w:tcBorders>
          </w:tcPr>
          <w:p>
            <w:pPr>
              <w:pStyle w:val="TableParagraph"/>
              <w:spacing w:line="255" w:lineRule="exact"/>
              <w:ind w:left="8" w:right="0"/>
              <w:jc w:val="center"/>
              <w:rPr>
                <w:rFonts w:ascii="Arial" w:hAnsi="Arial" w:cs="Arial" w:eastAsia="Arial" w:hint="default"/>
                <w:sz w:val="22"/>
                <w:szCs w:val="22"/>
              </w:rPr>
            </w:pPr>
            <w:r>
              <w:rPr>
                <w:rFonts w:ascii="宋体" w:hAnsi="宋体" w:cs="宋体" w:eastAsia="宋体" w:hint="default"/>
                <w:sz w:val="22"/>
                <w:szCs w:val="22"/>
              </w:rPr>
              <w:t>附注五</w:t>
            </w:r>
            <w:r>
              <w:rPr>
                <w:rFonts w:ascii="Arial" w:hAnsi="Arial" w:cs="Arial" w:eastAsia="Arial" w:hint="default"/>
                <w:sz w:val="22"/>
                <w:szCs w:val="22"/>
              </w:rPr>
              <w:t>(22)</w:t>
            </w:r>
          </w:p>
        </w:tc>
        <w:tc>
          <w:tcPr>
            <w:tcW w:w="110" w:type="dxa"/>
            <w:tcBorders>
              <w:top w:val="nil" w:sz="6" w:space="0" w:color="auto"/>
              <w:left w:val="nil" w:sz="6" w:space="0" w:color="auto"/>
              <w:bottom w:val="nil" w:sz="6" w:space="0" w:color="auto"/>
              <w:right w:val="nil" w:sz="6" w:space="0" w:color="auto"/>
            </w:tcBorders>
          </w:tcPr>
          <w:p>
            <w:pP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3"/>
              <w:jc w:val="right"/>
              <w:rPr>
                <w:rFonts w:ascii="Arial" w:hAnsi="Arial" w:cs="Arial" w:eastAsia="Arial" w:hint="default"/>
                <w:sz w:val="22"/>
                <w:szCs w:val="22"/>
              </w:rPr>
            </w:pPr>
            <w:r>
              <w:rPr>
                <w:rFonts w:ascii="Arial"/>
                <w:spacing w:val="-1"/>
                <w:sz w:val="22"/>
              </w:rPr>
              <w:t>216,403,961</w:t>
            </w:r>
          </w:p>
        </w:tc>
        <w:tc>
          <w:tcPr>
            <w:tcW w:w="110" w:type="dxa"/>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3"/>
              <w:jc w:val="right"/>
              <w:rPr>
                <w:rFonts w:ascii="Arial" w:hAnsi="Arial" w:cs="Arial" w:eastAsia="Arial" w:hint="default"/>
                <w:sz w:val="22"/>
                <w:szCs w:val="22"/>
              </w:rPr>
            </w:pPr>
            <w:r>
              <w:rPr>
                <w:rFonts w:ascii="Arial"/>
                <w:spacing w:val="-1"/>
                <w:sz w:val="22"/>
              </w:rPr>
              <w:t>423,866,816</w:t>
            </w:r>
          </w:p>
        </w:tc>
      </w:tr>
      <w:tr>
        <w:trPr>
          <w:trHeight w:val="571" w:hRule="exact"/>
        </w:trPr>
        <w:tc>
          <w:tcPr>
            <w:tcW w:w="3505" w:type="dxa"/>
            <w:tcBorders>
              <w:top w:val="nil" w:sz="6" w:space="0" w:color="auto"/>
              <w:left w:val="nil" w:sz="6" w:space="0" w:color="auto"/>
              <w:bottom w:val="nil" w:sz="6" w:space="0" w:color="auto"/>
              <w:right w:val="nil" w:sz="6" w:space="0" w:color="auto"/>
            </w:tcBorders>
          </w:tcPr>
          <w:p>
            <w:pPr>
              <w:pStyle w:val="TableParagraph"/>
              <w:spacing w:line="237" w:lineRule="exact"/>
              <w:ind w:left="200" w:right="0"/>
              <w:jc w:val="left"/>
              <w:rPr>
                <w:rFonts w:ascii="宋体" w:hAnsi="宋体" w:cs="宋体" w:eastAsia="宋体" w:hint="default"/>
                <w:sz w:val="22"/>
                <w:szCs w:val="22"/>
              </w:rPr>
            </w:pPr>
            <w:r>
              <w:rPr>
                <w:rFonts w:ascii="宋体" w:hAnsi="宋体" w:cs="宋体" w:eastAsia="宋体" w:hint="default"/>
                <w:sz w:val="22"/>
                <w:szCs w:val="22"/>
              </w:rPr>
              <w:t>长期合同资产</w:t>
            </w:r>
            <w:r>
              <w:rPr>
                <w:rFonts w:ascii="宋体" w:hAnsi="宋体" w:cs="宋体" w:eastAsia="宋体" w:hint="default"/>
                <w:sz w:val="22"/>
                <w:szCs w:val="22"/>
              </w:rPr>
              <w:t>-</w:t>
            </w:r>
            <w:r>
              <w:rPr>
                <w:rFonts w:ascii="宋体" w:hAnsi="宋体" w:cs="宋体" w:eastAsia="宋体" w:hint="default"/>
                <w:sz w:val="22"/>
                <w:szCs w:val="22"/>
              </w:rPr>
              <w:t>回收期超过一年的</w:t>
            </w:r>
          </w:p>
          <w:p>
            <w:pPr>
              <w:pStyle w:val="TableParagraph"/>
              <w:spacing w:line="286" w:lineRule="exact"/>
              <w:ind w:left="420" w:right="0"/>
              <w:jc w:val="left"/>
              <w:rPr>
                <w:rFonts w:ascii="宋体" w:hAnsi="宋体" w:cs="宋体" w:eastAsia="宋体" w:hint="default"/>
                <w:sz w:val="22"/>
                <w:szCs w:val="22"/>
              </w:rPr>
            </w:pPr>
            <w:r>
              <w:rPr>
                <w:rFonts w:ascii="宋体" w:hAnsi="宋体" w:cs="宋体" w:eastAsia="宋体" w:hint="default"/>
                <w:sz w:val="22"/>
                <w:szCs w:val="22"/>
              </w:rPr>
              <w:t>应收合约用户终端款</w:t>
            </w:r>
            <w:r>
              <w:rPr>
                <w:rFonts w:ascii="宋体" w:hAnsi="宋体" w:cs="宋体" w:eastAsia="宋体" w:hint="default"/>
                <w:sz w:val="22"/>
                <w:szCs w:val="22"/>
              </w:rPr>
              <w:t> </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12" w:right="0"/>
              <w:jc w:val="center"/>
              <w:rPr>
                <w:rFonts w:ascii="宋体" w:hAnsi="宋体" w:cs="宋体" w:eastAsia="宋体" w:hint="default"/>
                <w:sz w:val="22"/>
                <w:szCs w:val="22"/>
              </w:rPr>
            </w:pPr>
            <w:r>
              <w:rPr>
                <w:rFonts w:ascii="宋体" w:hAnsi="宋体" w:cs="宋体" w:eastAsia="宋体" w:hint="default"/>
                <w:sz w:val="22"/>
                <w:szCs w:val="22"/>
              </w:rPr>
              <w:t>附注五</w:t>
            </w:r>
            <w:r>
              <w:rPr>
                <w:rFonts w:ascii="Arial" w:hAnsi="Arial" w:cs="Arial" w:eastAsia="Arial" w:hint="default"/>
                <w:sz w:val="22"/>
                <w:szCs w:val="22"/>
              </w:rPr>
              <w:t>(8)</w:t>
            </w:r>
            <w:r>
              <w:rPr>
                <w:rFonts w:ascii="宋体" w:hAnsi="宋体" w:cs="宋体" w:eastAsia="宋体" w:hint="default"/>
                <w:sz w:val="22"/>
                <w:szCs w:val="22"/>
              </w:rPr>
              <w:t> </w:t>
            </w:r>
          </w:p>
        </w:tc>
        <w:tc>
          <w:tcPr>
            <w:tcW w:w="11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0"/>
              <w:jc w:val="left"/>
              <w:rPr>
                <w:rFonts w:ascii="宋体" w:hAnsi="宋体" w:cs="宋体" w:eastAsia="宋体" w:hint="default"/>
                <w:sz w:val="22"/>
                <w:szCs w:val="22"/>
              </w:rPr>
            </w:pPr>
            <w:r>
              <w:rPr>
                <w:rFonts w:ascii="宋体"/>
                <w:w w:val="100"/>
                <w:sz w:val="22"/>
              </w:rPr>
              <w:t> </w:t>
            </w: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43"/>
              <w:jc w:val="right"/>
              <w:rPr>
                <w:rFonts w:ascii="Arial" w:hAnsi="Arial" w:cs="Arial" w:eastAsia="Arial" w:hint="default"/>
                <w:sz w:val="22"/>
                <w:szCs w:val="22"/>
              </w:rPr>
            </w:pPr>
            <w:r>
              <w:rPr>
                <w:rFonts w:ascii="Arial"/>
                <w:spacing w:val="-1"/>
                <w:sz w:val="22"/>
              </w:rPr>
              <w:t>594,529,236</w:t>
            </w:r>
          </w:p>
        </w:tc>
        <w:tc>
          <w:tcPr>
            <w:tcW w:w="110" w:type="dxa"/>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43"/>
              <w:jc w:val="right"/>
              <w:rPr>
                <w:rFonts w:ascii="Arial" w:hAnsi="Arial" w:cs="Arial" w:eastAsia="Arial" w:hint="default"/>
                <w:sz w:val="22"/>
                <w:szCs w:val="22"/>
              </w:rPr>
            </w:pPr>
            <w:r>
              <w:rPr>
                <w:rFonts w:ascii="Arial"/>
                <w:spacing w:val="-1"/>
                <w:sz w:val="22"/>
              </w:rPr>
              <w:t>570,075,692</w:t>
            </w:r>
          </w:p>
        </w:tc>
      </w:tr>
      <w:tr>
        <w:trPr>
          <w:trHeight w:val="288" w:hRule="exact"/>
        </w:trPr>
        <w:tc>
          <w:tcPr>
            <w:tcW w:w="3505"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w:t>
            </w:r>
            <w:r>
              <w:rPr>
                <w:rFonts w:ascii="宋体" w:hAnsi="宋体" w:cs="宋体" w:eastAsia="宋体" w:hint="default"/>
                <w:sz w:val="22"/>
                <w:szCs w:val="22"/>
              </w:rPr>
              <w:t> </w:t>
            </w:r>
          </w:p>
        </w:tc>
        <w:tc>
          <w:tcPr>
            <w:tcW w:w="1274" w:type="dxa"/>
            <w:tcBorders>
              <w:top w:val="nil" w:sz="6" w:space="0" w:color="auto"/>
              <w:left w:val="nil" w:sz="6" w:space="0" w:color="auto"/>
              <w:bottom w:val="nil" w:sz="6" w:space="0" w:color="auto"/>
              <w:right w:val="nil" w:sz="6" w:space="0" w:color="auto"/>
            </w:tcBorders>
          </w:tcPr>
          <w:p>
            <w:pPr>
              <w:pStyle w:val="TableParagraph"/>
              <w:spacing w:line="239" w:lineRule="exact"/>
              <w:ind w:left="117" w:right="0"/>
              <w:jc w:val="center"/>
              <w:rPr>
                <w:rFonts w:ascii="宋体" w:hAnsi="宋体" w:cs="宋体" w:eastAsia="宋体" w:hint="default"/>
                <w:sz w:val="22"/>
                <w:szCs w:val="22"/>
              </w:rPr>
            </w:pPr>
            <w:r>
              <w:rPr>
                <w:rFonts w:ascii="宋体"/>
                <w:w w:val="100"/>
                <w:sz w:val="22"/>
              </w:rPr>
              <w:t> </w:t>
            </w:r>
          </w:p>
        </w:tc>
        <w:tc>
          <w:tcPr>
            <w:tcW w:w="110" w:type="dxa"/>
            <w:tcBorders>
              <w:top w:val="nil" w:sz="6" w:space="0" w:color="auto"/>
              <w:left w:val="nil" w:sz="6" w:space="0" w:color="auto"/>
              <w:bottom w:val="nil" w:sz="6" w:space="0" w:color="auto"/>
              <w:right w:val="nil" w:sz="6" w:space="0" w:color="auto"/>
            </w:tcBorders>
          </w:tcPr>
          <w:p>
            <w:pPr/>
          </w:p>
        </w:tc>
        <w:tc>
          <w:tcPr>
            <w:tcW w:w="2088" w:type="dxa"/>
            <w:tcBorders>
              <w:top w:val="nil" w:sz="6" w:space="0" w:color="auto"/>
              <w:left w:val="nil" w:sz="6" w:space="0" w:color="auto"/>
              <w:bottom w:val="nil" w:sz="6" w:space="0" w:color="auto"/>
              <w:right w:val="nil" w:sz="6" w:space="0" w:color="auto"/>
            </w:tcBorders>
          </w:tcPr>
          <w:p>
            <w:pPr>
              <w:pStyle w:val="TableParagraph"/>
              <w:tabs>
                <w:tab w:pos="815" w:val="left" w:leader="none"/>
              </w:tabs>
              <w:spacing w:line="240" w:lineRule="auto" w:before="16"/>
              <w:ind w:left="-39" w:right="4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389,080,160</w:t>
            </w:r>
            <w:r>
              <w:rPr>
                <w:rFonts w:ascii="Arial"/>
                <w:spacing w:val="-1"/>
                <w:sz w:val="22"/>
              </w:rPr>
            </w:r>
          </w:p>
        </w:tc>
        <w:tc>
          <w:tcPr>
            <w:tcW w:w="110" w:type="dxa"/>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nil" w:sz="6" w:space="0" w:color="auto"/>
              <w:right w:val="nil" w:sz="6" w:space="0" w:color="auto"/>
            </w:tcBorders>
          </w:tcPr>
          <w:p>
            <w:pPr>
              <w:pStyle w:val="TableParagraph"/>
              <w:tabs>
                <w:tab w:pos="2179" w:val="left" w:leader="none"/>
              </w:tabs>
              <w:spacing w:line="240" w:lineRule="auto" w:before="16"/>
              <w:ind w:right="44"/>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r>
            <w:r>
              <w:rPr>
                <w:rFonts w:ascii="Arial"/>
                <w:sz w:val="22"/>
              </w:rPr>
            </w:r>
          </w:p>
        </w:tc>
      </w:tr>
      <w:tr>
        <w:trPr>
          <w:trHeight w:val="278" w:hRule="exact"/>
        </w:trPr>
        <w:tc>
          <w:tcPr>
            <w:tcW w:w="3505" w:type="dxa"/>
            <w:tcBorders>
              <w:top w:val="nil" w:sz="6" w:space="0" w:color="auto"/>
              <w:left w:val="nil" w:sz="6" w:space="0" w:color="auto"/>
              <w:bottom w:val="nil" w:sz="6" w:space="0" w:color="auto"/>
              <w:right w:val="nil" w:sz="6" w:space="0" w:color="auto"/>
            </w:tcBorders>
          </w:tcPr>
          <w:p>
            <w:pPr>
              <w:pStyle w:val="TableParagraph"/>
              <w:spacing w:line="244" w:lineRule="exact"/>
              <w:ind w:left="200" w:right="0"/>
              <w:jc w:val="left"/>
              <w:rPr>
                <w:rFonts w:ascii="宋体" w:hAnsi="宋体" w:cs="宋体" w:eastAsia="宋体" w:hint="default"/>
                <w:sz w:val="22"/>
                <w:szCs w:val="22"/>
              </w:rPr>
            </w:pPr>
            <w:r>
              <w:rPr>
                <w:rFonts w:ascii="宋体"/>
                <w:w w:val="100"/>
                <w:sz w:val="22"/>
              </w:rPr>
              <w:t> </w:t>
            </w:r>
          </w:p>
        </w:tc>
        <w:tc>
          <w:tcPr>
            <w:tcW w:w="1274" w:type="dxa"/>
            <w:tcBorders>
              <w:top w:val="nil" w:sz="6" w:space="0" w:color="auto"/>
              <w:left w:val="nil" w:sz="6" w:space="0" w:color="auto"/>
              <w:bottom w:val="nil" w:sz="6" w:space="0" w:color="auto"/>
              <w:right w:val="nil" w:sz="6" w:space="0" w:color="auto"/>
            </w:tcBorders>
          </w:tcPr>
          <w:p>
            <w:pPr>
              <w:pStyle w:val="TableParagraph"/>
              <w:spacing w:line="244" w:lineRule="exact"/>
              <w:ind w:left="117" w:right="0"/>
              <w:jc w:val="center"/>
              <w:rPr>
                <w:rFonts w:ascii="宋体" w:hAnsi="宋体" w:cs="宋体" w:eastAsia="宋体" w:hint="default"/>
                <w:sz w:val="22"/>
                <w:szCs w:val="22"/>
              </w:rPr>
            </w:pPr>
            <w:r>
              <w:rPr>
                <w:rFonts w:ascii="宋体"/>
                <w:w w:val="100"/>
                <w:sz w:val="22"/>
              </w:rPr>
              <w:t> </w:t>
            </w:r>
          </w:p>
        </w:tc>
        <w:tc>
          <w:tcPr>
            <w:tcW w:w="110" w:type="dxa"/>
            <w:tcBorders>
              <w:top w:val="nil" w:sz="6" w:space="0" w:color="auto"/>
              <w:left w:val="nil" w:sz="6" w:space="0" w:color="auto"/>
              <w:bottom w:val="nil" w:sz="6" w:space="0" w:color="auto"/>
              <w:right w:val="nil" w:sz="6" w:space="0" w:color="auto"/>
            </w:tcBorders>
          </w:tcPr>
          <w:p>
            <w:pPr/>
          </w:p>
        </w:tc>
        <w:tc>
          <w:tcPr>
            <w:tcW w:w="2088" w:type="dxa"/>
            <w:tcBorders>
              <w:top w:val="nil" w:sz="6" w:space="0" w:color="auto"/>
              <w:left w:val="nil" w:sz="6" w:space="0" w:color="auto"/>
              <w:bottom w:val="nil" w:sz="6" w:space="0" w:color="auto"/>
              <w:right w:val="nil" w:sz="6" w:space="0" w:color="auto"/>
            </w:tcBorders>
          </w:tcPr>
          <w:p>
            <w:pPr/>
          </w:p>
        </w:tc>
        <w:tc>
          <w:tcPr>
            <w:tcW w:w="110" w:type="dxa"/>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nil" w:sz="6" w:space="0" w:color="auto"/>
              <w:right w:val="nil" w:sz="6" w:space="0" w:color="auto"/>
            </w:tcBorders>
          </w:tcPr>
          <w:p>
            <w:pPr/>
          </w:p>
        </w:tc>
      </w:tr>
      <w:tr>
        <w:trPr>
          <w:trHeight w:val="312" w:hRule="exact"/>
        </w:trPr>
        <w:tc>
          <w:tcPr>
            <w:tcW w:w="3505" w:type="dxa"/>
            <w:tcBorders>
              <w:top w:val="nil" w:sz="6" w:space="0" w:color="auto"/>
              <w:left w:val="nil" w:sz="6" w:space="0" w:color="auto"/>
              <w:bottom w:val="nil" w:sz="6" w:space="0" w:color="auto"/>
              <w:right w:val="nil" w:sz="6" w:space="0" w:color="auto"/>
            </w:tcBorders>
          </w:tcPr>
          <w:p>
            <w:pPr>
              <w:pStyle w:val="TableParagraph"/>
              <w:spacing w:line="254" w:lineRule="exact"/>
              <w:ind w:left="200" w:right="0"/>
              <w:jc w:val="left"/>
              <w:rPr>
                <w:rFonts w:ascii="宋体" w:hAnsi="宋体" w:cs="宋体" w:eastAsia="宋体" w:hint="default"/>
                <w:sz w:val="22"/>
                <w:szCs w:val="22"/>
              </w:rPr>
            </w:pPr>
            <w:r>
              <w:rPr>
                <w:rFonts w:ascii="宋体" w:hAnsi="宋体" w:cs="宋体" w:eastAsia="宋体" w:hint="default"/>
                <w:sz w:val="22"/>
                <w:szCs w:val="22"/>
              </w:rPr>
              <w:t>合计</w:t>
            </w:r>
            <w:r>
              <w:rPr>
                <w:rFonts w:ascii="宋体" w:hAnsi="宋体" w:cs="宋体" w:eastAsia="宋体" w:hint="default"/>
                <w:sz w:val="22"/>
                <w:szCs w:val="22"/>
              </w:rPr>
              <w:t> </w:t>
            </w:r>
          </w:p>
        </w:tc>
        <w:tc>
          <w:tcPr>
            <w:tcW w:w="1274" w:type="dxa"/>
            <w:tcBorders>
              <w:top w:val="nil" w:sz="6" w:space="0" w:color="auto"/>
              <w:left w:val="nil" w:sz="6" w:space="0" w:color="auto"/>
              <w:bottom w:val="nil" w:sz="6" w:space="0" w:color="auto"/>
              <w:right w:val="nil" w:sz="6" w:space="0" w:color="auto"/>
            </w:tcBorders>
          </w:tcPr>
          <w:p>
            <w:pPr>
              <w:pStyle w:val="TableParagraph"/>
              <w:spacing w:line="254" w:lineRule="exact"/>
              <w:ind w:left="117" w:right="0"/>
              <w:jc w:val="center"/>
              <w:rPr>
                <w:rFonts w:ascii="宋体" w:hAnsi="宋体" w:cs="宋体" w:eastAsia="宋体" w:hint="default"/>
                <w:sz w:val="22"/>
                <w:szCs w:val="22"/>
              </w:rPr>
            </w:pPr>
            <w:r>
              <w:rPr>
                <w:rFonts w:ascii="宋体"/>
                <w:w w:val="100"/>
                <w:sz w:val="22"/>
              </w:rPr>
              <w:t> </w:t>
            </w:r>
          </w:p>
        </w:tc>
        <w:tc>
          <w:tcPr>
            <w:tcW w:w="110" w:type="dxa"/>
            <w:tcBorders>
              <w:top w:val="nil" w:sz="6" w:space="0" w:color="auto"/>
              <w:left w:val="nil" w:sz="6" w:space="0" w:color="auto"/>
              <w:bottom w:val="single" w:sz="17" w:space="0" w:color="000000"/>
              <w:right w:val="nil" w:sz="6" w:space="0" w:color="auto"/>
            </w:tcBorders>
          </w:tcPr>
          <w:p>
            <w:pPr/>
          </w:p>
        </w:tc>
        <w:tc>
          <w:tcPr>
            <w:tcW w:w="2088"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right="48"/>
              <w:jc w:val="right"/>
              <w:rPr>
                <w:rFonts w:ascii="Arial" w:hAnsi="Arial" w:cs="Arial" w:eastAsia="Arial" w:hint="default"/>
                <w:sz w:val="22"/>
                <w:szCs w:val="22"/>
              </w:rPr>
            </w:pPr>
            <w:r>
              <w:rPr>
                <w:rFonts w:ascii="Arial"/>
                <w:spacing w:val="-1"/>
                <w:sz w:val="22"/>
              </w:rPr>
              <w:t>6,122,597,585</w:t>
            </w:r>
          </w:p>
        </w:tc>
        <w:tc>
          <w:tcPr>
            <w:tcW w:w="110" w:type="dxa"/>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right="43"/>
              <w:jc w:val="right"/>
              <w:rPr>
                <w:rFonts w:ascii="Arial" w:hAnsi="Arial" w:cs="Arial" w:eastAsia="Arial" w:hint="default"/>
                <w:sz w:val="22"/>
                <w:szCs w:val="22"/>
              </w:rPr>
            </w:pPr>
            <w:r>
              <w:rPr>
                <w:rFonts w:ascii="Arial"/>
                <w:spacing w:val="-1"/>
                <w:sz w:val="22"/>
              </w:rPr>
              <w:t>6,625,496,054</w:t>
            </w:r>
          </w:p>
        </w:tc>
      </w:tr>
    </w:tbl>
    <w:p>
      <w:pPr>
        <w:spacing w:line="240" w:lineRule="auto" w:before="10"/>
        <w:rPr>
          <w:rFonts w:ascii="宋体" w:hAnsi="宋体" w:cs="宋体" w:eastAsia="宋体" w:hint="default"/>
          <w:sz w:val="13"/>
          <w:szCs w:val="13"/>
        </w:rPr>
      </w:pPr>
    </w:p>
    <w:p>
      <w:pPr>
        <w:pStyle w:val="BodyText"/>
        <w:spacing w:line="240" w:lineRule="auto" w:before="32"/>
        <w:ind w:left="112" w:right="90"/>
        <w:jc w:val="left"/>
      </w:pPr>
      <w:r>
        <w:rPr>
          <w:rFonts w:ascii="Arial" w:hAnsi="Arial" w:cs="Arial" w:eastAsia="Arial" w:hint="default"/>
        </w:rPr>
        <w:t>(a)</w:t>
      </w:r>
      <w:r>
        <w:rPr>
          <w:rFonts w:ascii="Arial" w:hAnsi="Arial" w:cs="Arial" w:eastAsia="Arial" w:hint="default"/>
          <w:spacing w:val="52"/>
        </w:rPr>
        <w:t> </w:t>
      </w:r>
      <w:r>
        <w:rPr/>
        <w:t>增量佣金支出</w:t>
      </w:r>
    </w:p>
    <w:p>
      <w:pPr>
        <w:pStyle w:val="BodyText"/>
        <w:spacing w:line="237" w:lineRule="auto" w:before="102"/>
        <w:ind w:left="535" w:right="300"/>
        <w:jc w:val="both"/>
      </w:pPr>
      <w:r>
        <w:rPr>
          <w:spacing w:val="-2"/>
        </w:rPr>
        <w:t>增量佣金支出主要指为取得用户合同而支付给渠道商的增量佣金支出。本集团将预期能够收回的</w:t>
      </w:r>
      <w:r>
        <w:rPr>
          <w:spacing w:val="-57"/>
        </w:rPr>
        <w:t> </w:t>
      </w:r>
      <w:r>
        <w:rPr>
          <w:spacing w:val="-57"/>
        </w:rPr>
      </w:r>
      <w:r>
        <w:rPr>
          <w:spacing w:val="-2"/>
        </w:rPr>
        <w:t>增量佣金支出资本化，并在相关收入确认时进行摊销，将摊销期限未超过一年的相关支出于其发</w:t>
      </w:r>
      <w:r>
        <w:rPr>
          <w:spacing w:val="-58"/>
        </w:rPr>
        <w:t> </w:t>
      </w:r>
      <w:r>
        <w:rPr>
          <w:spacing w:val="-58"/>
        </w:rPr>
      </w:r>
      <w:r>
        <w:rPr/>
        <w:t>生时计入当期损益。</w:t>
      </w:r>
    </w:p>
    <w:p>
      <w:pPr>
        <w:spacing w:line="240" w:lineRule="auto" w:before="6"/>
        <w:rPr>
          <w:rFonts w:ascii="宋体" w:hAnsi="宋体" w:cs="宋体" w:eastAsia="宋体" w:hint="default"/>
          <w:sz w:val="15"/>
          <w:szCs w:val="15"/>
        </w:rPr>
      </w:pPr>
    </w:p>
    <w:p>
      <w:pPr>
        <w:pStyle w:val="BodyText"/>
        <w:spacing w:line="296" w:lineRule="exact"/>
        <w:ind w:left="535" w:right="0"/>
        <w:jc w:val="both"/>
      </w:pPr>
      <w:r>
        <w:rPr>
          <w:w w:val="100"/>
        </w:rPr>
        <w:t>本集团资本化的</w:t>
      </w:r>
      <w:r>
        <w:rPr>
          <w:spacing w:val="-5"/>
          <w:w w:val="100"/>
        </w:rPr>
        <w:t>佣</w:t>
      </w:r>
      <w:r>
        <w:rPr>
          <w:w w:val="100"/>
        </w:rPr>
        <w:t>金支出当期</w:t>
      </w:r>
      <w:r>
        <w:rPr>
          <w:spacing w:val="-5"/>
          <w:w w:val="100"/>
        </w:rPr>
        <w:t>摊</w:t>
      </w:r>
      <w:r>
        <w:rPr>
          <w:w w:val="100"/>
        </w:rPr>
        <w:t>销金额约为</w:t>
      </w:r>
      <w:r>
        <w:rPr>
          <w:spacing w:val="-5"/>
          <w:w w:val="100"/>
        </w:rPr>
        <w:t>人</w:t>
      </w:r>
      <w:r>
        <w:rPr>
          <w:w w:val="100"/>
        </w:rPr>
        <w:t>民币</w:t>
      </w:r>
      <w:r>
        <w:rPr>
          <w:spacing w:val="-63"/>
        </w:rPr>
        <w:t> </w:t>
      </w:r>
      <w:r>
        <w:rPr>
          <w:rFonts w:ascii="Arial" w:hAnsi="Arial" w:cs="Arial" w:eastAsia="Arial" w:hint="default"/>
          <w:spacing w:val="2"/>
          <w:w w:val="100"/>
        </w:rPr>
        <w:t>14</w:t>
      </w:r>
      <w:r>
        <w:rPr>
          <w:rFonts w:ascii="Arial" w:hAnsi="Arial" w:cs="Arial" w:eastAsia="Arial" w:hint="default"/>
          <w:spacing w:val="-4"/>
          <w:w w:val="100"/>
        </w:rPr>
        <w:t>.</w:t>
      </w:r>
      <w:r>
        <w:rPr>
          <w:rFonts w:ascii="Arial" w:hAnsi="Arial" w:cs="Arial" w:eastAsia="Arial" w:hint="default"/>
          <w:spacing w:val="1"/>
          <w:w w:val="100"/>
        </w:rPr>
        <w:t>7</w:t>
      </w:r>
      <w:r>
        <w:rPr>
          <w:rFonts w:ascii="Arial" w:hAnsi="Arial" w:cs="Arial" w:eastAsia="Arial" w:hint="default"/>
          <w:w w:val="100"/>
        </w:rPr>
        <w:t>2</w:t>
      </w:r>
      <w:r>
        <w:rPr>
          <w:rFonts w:ascii="Arial" w:hAnsi="Arial" w:cs="Arial" w:eastAsia="Arial" w:hint="default"/>
          <w:spacing w:val="-11"/>
        </w:rPr>
        <w:t> </w:t>
      </w:r>
      <w:r>
        <w:rPr>
          <w:w w:val="100"/>
        </w:rPr>
        <w:t>亿</w:t>
      </w:r>
      <w:r>
        <w:rPr>
          <w:spacing w:val="-111"/>
          <w:w w:val="100"/>
        </w:rPr>
        <w:t>元</w:t>
      </w:r>
      <w:r>
        <w:rPr>
          <w:spacing w:val="-5"/>
          <w:w w:val="100"/>
        </w:rPr>
        <w:t>（</w:t>
      </w:r>
      <w:r>
        <w:rPr>
          <w:rFonts w:ascii="Arial" w:hAnsi="Arial" w:cs="Arial" w:eastAsia="Arial" w:hint="default"/>
          <w:spacing w:val="2"/>
          <w:w w:val="100"/>
        </w:rPr>
        <w:t>2</w:t>
      </w:r>
      <w:r>
        <w:rPr>
          <w:rFonts w:ascii="Arial" w:hAnsi="Arial" w:cs="Arial" w:eastAsia="Arial" w:hint="default"/>
          <w:spacing w:val="-3"/>
          <w:w w:val="100"/>
        </w:rPr>
        <w:t>0</w:t>
      </w:r>
      <w:r>
        <w:rPr>
          <w:rFonts w:ascii="Arial" w:hAnsi="Arial" w:cs="Arial" w:eastAsia="Arial" w:hint="default"/>
          <w:spacing w:val="2"/>
          <w:w w:val="100"/>
        </w:rPr>
        <w:t>1</w:t>
      </w:r>
      <w:r>
        <w:rPr>
          <w:rFonts w:ascii="Arial" w:hAnsi="Arial" w:cs="Arial" w:eastAsia="Arial" w:hint="default"/>
          <w:w w:val="100"/>
        </w:rPr>
        <w:t>8</w:t>
      </w:r>
      <w:r>
        <w:rPr>
          <w:rFonts w:ascii="Arial" w:hAnsi="Arial" w:cs="Arial" w:eastAsia="Arial" w:hint="default"/>
          <w:spacing w:val="-11"/>
        </w:rPr>
        <w:t> </w:t>
      </w:r>
      <w:r>
        <w:rPr>
          <w:w w:val="100"/>
        </w:rPr>
        <w:t>年度</w:t>
      </w:r>
      <w:r>
        <w:rPr>
          <w:spacing w:val="-116"/>
          <w:w w:val="100"/>
        </w:rPr>
        <w:t>：</w:t>
      </w:r>
      <w:r>
        <w:rPr>
          <w:w w:val="100"/>
        </w:rPr>
        <w:t>人民币</w:t>
      </w:r>
      <w:r>
        <w:rPr>
          <w:spacing w:val="-62"/>
        </w:rPr>
        <w:t> </w:t>
      </w:r>
      <w:r>
        <w:rPr>
          <w:rFonts w:ascii="Arial" w:hAnsi="Arial" w:cs="Arial" w:eastAsia="Arial" w:hint="default"/>
          <w:spacing w:val="-3"/>
          <w:w w:val="100"/>
        </w:rPr>
        <w:t>1</w:t>
      </w:r>
      <w:r>
        <w:rPr>
          <w:rFonts w:ascii="Arial" w:hAnsi="Arial" w:cs="Arial" w:eastAsia="Arial" w:hint="default"/>
          <w:spacing w:val="2"/>
          <w:w w:val="100"/>
        </w:rPr>
        <w:t>6</w:t>
      </w:r>
      <w:r>
        <w:rPr>
          <w:rFonts w:ascii="Arial" w:hAnsi="Arial" w:cs="Arial" w:eastAsia="Arial" w:hint="default"/>
          <w:spacing w:val="1"/>
          <w:w w:val="100"/>
        </w:rPr>
        <w:t>.</w:t>
      </w:r>
      <w:r>
        <w:rPr>
          <w:rFonts w:ascii="Arial" w:hAnsi="Arial" w:cs="Arial" w:eastAsia="Arial" w:hint="default"/>
          <w:spacing w:val="-3"/>
          <w:w w:val="100"/>
        </w:rPr>
        <w:t>4</w:t>
      </w:r>
      <w:r>
        <w:rPr>
          <w:rFonts w:ascii="Arial" w:hAnsi="Arial" w:cs="Arial" w:eastAsia="Arial" w:hint="default"/>
          <w:w w:val="100"/>
        </w:rPr>
        <w:t>2</w:t>
      </w:r>
      <w:r>
        <w:rPr>
          <w:rFonts w:ascii="Arial" w:hAnsi="Arial" w:cs="Arial" w:eastAsia="Arial" w:hint="default"/>
          <w:spacing w:val="-11"/>
        </w:rPr>
        <w:t> </w:t>
      </w:r>
      <w:r>
        <w:rPr>
          <w:w w:val="100"/>
        </w:rPr>
        <w:t>亿元</w:t>
      </w:r>
      <w:r>
        <w:rPr>
          <w:spacing w:val="-111"/>
          <w:w w:val="100"/>
        </w:rPr>
        <w:t>）</w:t>
      </w:r>
      <w:r>
        <w:rPr>
          <w:w w:val="100"/>
        </w:rPr>
        <w:t>。</w:t>
      </w:r>
    </w:p>
    <w:p>
      <w:pPr>
        <w:pStyle w:val="BodyText"/>
        <w:spacing w:line="286" w:lineRule="exact"/>
        <w:ind w:left="535" w:right="0"/>
        <w:jc w:val="both"/>
      </w:pPr>
      <w:r>
        <w:rPr/>
        <w:t>年初及本年资本化的佣金支出未发生减值。于</w:t>
      </w:r>
      <w:r>
        <w:rPr>
          <w:spacing w:val="-59"/>
        </w:rPr>
        <w:t> </w:t>
      </w:r>
      <w:r>
        <w:rPr>
          <w:rFonts w:ascii="Arial" w:hAnsi="Arial" w:cs="Arial" w:eastAsia="Arial" w:hint="default"/>
          <w:spacing w:val="-3"/>
        </w:rPr>
        <w:t>2019</w:t>
      </w:r>
      <w:r>
        <w:rPr>
          <w:rFonts w:ascii="Arial" w:hAnsi="Arial" w:cs="Arial" w:eastAsia="Arial" w:hint="default"/>
          <w:spacing w:val="-7"/>
        </w:rPr>
        <w:t> </w:t>
      </w:r>
      <w:r>
        <w:rPr/>
        <w:t>年</w:t>
      </w:r>
      <w:r>
        <w:rPr>
          <w:spacing w:val="-59"/>
        </w:rPr>
        <w:t> </w:t>
      </w:r>
      <w:r>
        <w:rPr>
          <w:rFonts w:ascii="Arial" w:hAnsi="Arial" w:cs="Arial" w:eastAsia="Arial" w:hint="default"/>
        </w:rPr>
        <w:t>12</w:t>
      </w:r>
      <w:r>
        <w:rPr>
          <w:rFonts w:ascii="Arial" w:hAnsi="Arial" w:cs="Arial" w:eastAsia="Arial" w:hint="default"/>
          <w:spacing w:val="-8"/>
        </w:rPr>
        <w:t> </w:t>
      </w:r>
      <w:r>
        <w:rPr/>
        <w:t>月</w:t>
      </w:r>
      <w:r>
        <w:rPr>
          <w:spacing w:val="-59"/>
        </w:rPr>
        <w:t> </w:t>
      </w:r>
      <w:r>
        <w:rPr>
          <w:rFonts w:ascii="Arial" w:hAnsi="Arial" w:cs="Arial" w:eastAsia="Arial" w:hint="default"/>
        </w:rPr>
        <w:t>31</w:t>
      </w:r>
      <w:r>
        <w:rPr>
          <w:rFonts w:ascii="Arial" w:hAnsi="Arial" w:cs="Arial" w:eastAsia="Arial" w:hint="default"/>
          <w:spacing w:val="-8"/>
        </w:rPr>
        <w:t> </w:t>
      </w:r>
      <w:r>
        <w:rPr/>
        <w:t>日，预计摊销期限超过一年的金</w:t>
      </w:r>
    </w:p>
    <w:p>
      <w:pPr>
        <w:pStyle w:val="BodyText"/>
        <w:spacing w:line="293" w:lineRule="exact"/>
        <w:ind w:left="535" w:right="0"/>
        <w:jc w:val="both"/>
      </w:pPr>
      <w:r>
        <w:rPr/>
        <w:t>额约为人民币</w:t>
      </w:r>
      <w:r>
        <w:rPr>
          <w:spacing w:val="-57"/>
        </w:rPr>
        <w:t> </w:t>
      </w:r>
      <w:r>
        <w:rPr>
          <w:rFonts w:ascii="Arial" w:hAnsi="Arial" w:cs="Arial" w:eastAsia="Arial" w:hint="default"/>
        </w:rPr>
        <w:t>8.11</w:t>
      </w:r>
      <w:r>
        <w:rPr>
          <w:rFonts w:ascii="Arial" w:hAnsi="Arial" w:cs="Arial" w:eastAsia="Arial" w:hint="default"/>
          <w:spacing w:val="-6"/>
        </w:rPr>
        <w:t> </w:t>
      </w:r>
      <w:r>
        <w:rPr/>
        <w:t>亿元（</w:t>
      </w:r>
      <w:r>
        <w:rPr>
          <w:rFonts w:ascii="Arial" w:hAnsi="Arial" w:cs="Arial" w:eastAsia="Arial" w:hint="default"/>
        </w:rPr>
        <w:t>2018</w:t>
      </w:r>
      <w:r>
        <w:rPr>
          <w:rFonts w:ascii="Arial" w:hAnsi="Arial" w:cs="Arial" w:eastAsia="Arial" w:hint="default"/>
          <w:spacing w:val="-6"/>
        </w:rPr>
        <w:t> </w:t>
      </w:r>
      <w:r>
        <w:rPr/>
        <w:t>年</w:t>
      </w:r>
      <w:r>
        <w:rPr>
          <w:spacing w:val="-57"/>
        </w:rPr>
        <w:t> </w:t>
      </w:r>
      <w:r>
        <w:rPr>
          <w:rFonts w:ascii="Arial" w:hAnsi="Arial" w:cs="Arial" w:eastAsia="Arial" w:hint="default"/>
        </w:rPr>
        <w:t>12</w:t>
      </w:r>
      <w:r>
        <w:rPr>
          <w:rFonts w:ascii="Arial" w:hAnsi="Arial" w:cs="Arial" w:eastAsia="Arial" w:hint="default"/>
          <w:spacing w:val="-6"/>
        </w:rPr>
        <w:t> </w:t>
      </w:r>
      <w:r>
        <w:rPr/>
        <w:t>月</w:t>
      </w:r>
      <w:r>
        <w:rPr>
          <w:spacing w:val="-62"/>
        </w:rPr>
        <w:t> </w:t>
      </w:r>
      <w:r>
        <w:rPr>
          <w:rFonts w:ascii="Arial" w:hAnsi="Arial" w:cs="Arial" w:eastAsia="Arial" w:hint="default"/>
        </w:rPr>
        <w:t>31</w:t>
      </w:r>
      <w:r>
        <w:rPr>
          <w:rFonts w:ascii="Arial" w:hAnsi="Arial" w:cs="Arial" w:eastAsia="Arial" w:hint="default"/>
          <w:spacing w:val="-6"/>
        </w:rPr>
        <w:t> </w:t>
      </w:r>
      <w:r>
        <w:rPr/>
        <w:t>日，人民币</w:t>
      </w:r>
      <w:r>
        <w:rPr>
          <w:spacing w:val="-57"/>
        </w:rPr>
        <w:t> </w:t>
      </w:r>
      <w:r>
        <w:rPr>
          <w:rFonts w:ascii="Arial" w:hAnsi="Arial" w:cs="Arial" w:eastAsia="Arial" w:hint="default"/>
        </w:rPr>
        <w:t>6.83</w:t>
      </w:r>
      <w:r>
        <w:rPr>
          <w:rFonts w:ascii="Arial" w:hAnsi="Arial" w:cs="Arial" w:eastAsia="Arial" w:hint="default"/>
          <w:spacing w:val="-6"/>
        </w:rPr>
        <w:t> </w:t>
      </w:r>
      <w:r>
        <w:rPr/>
        <w:t>亿元）。</w:t>
      </w:r>
    </w:p>
    <w:p>
      <w:pPr>
        <w:spacing w:after="0" w:line="293" w:lineRule="exact"/>
        <w:jc w:val="both"/>
        <w:sectPr>
          <w:headerReference w:type="default" r:id="rId169"/>
          <w:pgSz w:w="11910" w:h="16840"/>
          <w:pgMar w:header="1188" w:footer="502" w:top="3040" w:bottom="700" w:left="1020" w:right="840"/>
        </w:sectPr>
      </w:pPr>
    </w:p>
    <w:p>
      <w:pPr>
        <w:spacing w:line="240" w:lineRule="auto" w:before="7"/>
        <w:rPr>
          <w:rFonts w:ascii="宋体" w:hAnsi="宋体" w:cs="宋体" w:eastAsia="宋体" w:hint="default"/>
          <w:sz w:val="16"/>
          <w:szCs w:val="16"/>
        </w:rPr>
      </w:pPr>
    </w:p>
    <w:p>
      <w:pPr>
        <w:pStyle w:val="BodyText"/>
        <w:spacing w:line="240" w:lineRule="auto" w:before="32"/>
        <w:ind w:left="112" w:right="91"/>
        <w:jc w:val="left"/>
      </w:pPr>
      <w:r>
        <w:rPr>
          <w:rFonts w:ascii="Arial" w:hAnsi="Arial" w:cs="Arial" w:eastAsia="Arial" w:hint="default"/>
        </w:rPr>
        <w:t>16</w:t>
      </w:r>
      <w:r>
        <w:rPr/>
        <w:t>、其他非流动资产（续）</w:t>
      </w:r>
    </w:p>
    <w:p>
      <w:pPr>
        <w:spacing w:line="240" w:lineRule="auto" w:before="11"/>
        <w:rPr>
          <w:rFonts w:ascii="宋体" w:hAnsi="宋体" w:cs="宋体" w:eastAsia="宋体" w:hint="default"/>
          <w:sz w:val="17"/>
          <w:szCs w:val="17"/>
        </w:rPr>
      </w:pPr>
    </w:p>
    <w:p>
      <w:pPr>
        <w:pStyle w:val="BodyText"/>
        <w:spacing w:line="240" w:lineRule="auto"/>
        <w:ind w:left="112" w:right="91"/>
        <w:jc w:val="left"/>
      </w:pPr>
      <w:r>
        <w:rPr>
          <w:rFonts w:ascii="Arial" w:hAnsi="Arial" w:cs="Arial" w:eastAsia="Arial" w:hint="default"/>
        </w:rPr>
        <w:t>(b)  </w:t>
      </w:r>
      <w:r>
        <w:rPr/>
        <w:t>增量宽带及 </w:t>
      </w:r>
      <w:r>
        <w:rPr>
          <w:rFonts w:ascii="Arial" w:hAnsi="Arial" w:cs="Arial" w:eastAsia="Arial" w:hint="default"/>
        </w:rPr>
        <w:t>IPTV</w:t>
      </w:r>
      <w:r>
        <w:rPr>
          <w:rFonts w:ascii="Arial" w:hAnsi="Arial" w:cs="Arial" w:eastAsia="Arial" w:hint="default"/>
          <w:spacing w:val="-34"/>
        </w:rPr>
        <w:t> </w:t>
      </w:r>
      <w:r>
        <w:rPr/>
        <w:t>服务支出</w:t>
      </w:r>
    </w:p>
    <w:p>
      <w:pPr>
        <w:pStyle w:val="BodyText"/>
        <w:spacing w:line="230" w:lineRule="auto" w:before="110"/>
        <w:ind w:left="535" w:right="110" w:firstLine="9"/>
        <w:jc w:val="both"/>
      </w:pPr>
      <w:r>
        <w:rPr>
          <w:spacing w:val="-1"/>
        </w:rPr>
        <w:t>增量宽带及</w:t>
      </w:r>
      <w:r>
        <w:rPr>
          <w:rFonts w:ascii="Arial" w:hAnsi="Arial" w:cs="Arial" w:eastAsia="Arial" w:hint="default"/>
          <w:spacing w:val="-1"/>
        </w:rPr>
        <w:t>IPTV</w:t>
      </w:r>
      <w:r>
        <w:rPr>
          <w:spacing w:val="-1"/>
        </w:rPr>
        <w:t>服务支出主要指为提供宽带和</w:t>
      </w:r>
      <w:r>
        <w:rPr>
          <w:rFonts w:ascii="Arial" w:hAnsi="Arial" w:cs="Arial" w:eastAsia="Arial" w:hint="default"/>
          <w:spacing w:val="-1"/>
        </w:rPr>
        <w:t>IPTV</w:t>
      </w:r>
      <w:r>
        <w:rPr>
          <w:spacing w:val="-1"/>
        </w:rPr>
        <w:t>服务，为用户开通宽带和</w:t>
      </w:r>
      <w:r>
        <w:rPr>
          <w:rFonts w:ascii="Arial" w:hAnsi="Arial" w:cs="Arial" w:eastAsia="Arial" w:hint="default"/>
          <w:spacing w:val="-1"/>
        </w:rPr>
        <w:t>IPTV</w:t>
      </w:r>
      <w:r>
        <w:rPr>
          <w:spacing w:val="-1"/>
        </w:rPr>
        <w:t>而发生的终端</w:t>
      </w:r>
      <w:r>
        <w:rPr>
          <w:spacing w:val="-58"/>
        </w:rPr>
        <w:t> </w:t>
      </w:r>
      <w:r>
        <w:rPr>
          <w:spacing w:val="-58"/>
        </w:rPr>
      </w:r>
      <w:r>
        <w:rPr>
          <w:spacing w:val="-2"/>
        </w:rPr>
        <w:t>等直接相关成本，在预计服务期内进行摊销。该资本化的直接相关成本当期摊销金额约为人民币</w:t>
      </w:r>
      <w:r>
        <w:rPr>
          <w:spacing w:val="-67"/>
        </w:rPr>
        <w:t> </w:t>
      </w:r>
      <w:r>
        <w:rPr>
          <w:spacing w:val="-67"/>
        </w:rPr>
      </w:r>
      <w:r>
        <w:rPr>
          <w:rFonts w:ascii="Arial" w:hAnsi="Arial" w:cs="Arial" w:eastAsia="Arial" w:hint="default"/>
          <w:spacing w:val="-1"/>
        </w:rPr>
        <w:t>28.91</w:t>
      </w:r>
      <w:r>
        <w:rPr>
          <w:spacing w:val="-1"/>
        </w:rPr>
        <w:t>亿元（</w:t>
      </w:r>
      <w:r>
        <w:rPr>
          <w:rFonts w:ascii="Arial" w:hAnsi="Arial" w:cs="Arial" w:eastAsia="Arial" w:hint="default"/>
          <w:spacing w:val="-1"/>
        </w:rPr>
        <w:t>2018</w:t>
      </w:r>
      <w:r>
        <w:rPr>
          <w:spacing w:val="-1"/>
        </w:rPr>
        <w:t>年度：</w:t>
      </w:r>
      <w:r>
        <w:rPr>
          <w:rFonts w:ascii="Arial" w:hAnsi="Arial" w:cs="Arial" w:eastAsia="Arial" w:hint="default"/>
          <w:spacing w:val="-1"/>
        </w:rPr>
        <w:t>40.44</w:t>
      </w:r>
      <w:r>
        <w:rPr>
          <w:spacing w:val="-1"/>
        </w:rPr>
        <w:t>亿元）。于</w:t>
      </w:r>
      <w:r>
        <w:rPr>
          <w:rFonts w:ascii="Arial" w:hAnsi="Arial" w:cs="Arial" w:eastAsia="Arial" w:hint="default"/>
          <w:spacing w:val="-1"/>
        </w:rPr>
        <w:t>2019</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日，预计摊销期限超过一年的金额约为</w:t>
      </w:r>
      <w:r>
        <w:rPr>
          <w:spacing w:val="-34"/>
        </w:rPr>
        <w:t> </w:t>
      </w:r>
      <w:r>
        <w:rPr>
          <w:spacing w:val="-34"/>
        </w:rPr>
      </w:r>
      <w:r>
        <w:rPr/>
        <w:t>人民币</w:t>
      </w:r>
      <w:r>
        <w:rPr>
          <w:rFonts w:ascii="Arial" w:hAnsi="Arial" w:cs="Arial" w:eastAsia="Arial" w:hint="default"/>
        </w:rPr>
        <w:t>8.93</w:t>
      </w:r>
      <w:r>
        <w:rPr/>
        <w:t>亿元（</w:t>
      </w:r>
      <w:r>
        <w:rPr>
          <w:rFonts w:ascii="Arial" w:hAnsi="Arial" w:cs="Arial" w:eastAsia="Arial" w:hint="default"/>
        </w:rPr>
        <w:t>2018</w:t>
      </w:r>
      <w:r>
        <w:rPr/>
        <w:t>年</w:t>
      </w:r>
      <w:r>
        <w:rPr>
          <w:rFonts w:ascii="Arial" w:hAnsi="Arial" w:cs="Arial" w:eastAsia="Arial" w:hint="default"/>
        </w:rPr>
        <w:t>12</w:t>
      </w:r>
      <w:r>
        <w:rPr/>
        <w:t>月</w:t>
      </w:r>
      <w:r>
        <w:rPr>
          <w:rFonts w:ascii="Arial" w:hAnsi="Arial" w:cs="Arial" w:eastAsia="Arial" w:hint="default"/>
        </w:rPr>
        <w:t>31</w:t>
      </w:r>
      <w:r>
        <w:rPr/>
        <w:t>日：人民币</w:t>
      </w:r>
      <w:r>
        <w:rPr>
          <w:rFonts w:ascii="Arial" w:hAnsi="Arial" w:cs="Arial" w:eastAsia="Arial" w:hint="default"/>
        </w:rPr>
        <w:t>14.17</w:t>
      </w:r>
      <w:r>
        <w:rPr/>
        <w:t>亿元）。</w:t>
      </w:r>
    </w:p>
    <w:p>
      <w:pPr>
        <w:spacing w:line="240" w:lineRule="auto" w:before="0"/>
        <w:rPr>
          <w:rFonts w:ascii="宋体" w:hAnsi="宋体" w:cs="宋体" w:eastAsia="宋体" w:hint="default"/>
          <w:sz w:val="18"/>
          <w:szCs w:val="18"/>
        </w:rPr>
      </w:pPr>
    </w:p>
    <w:p>
      <w:pPr>
        <w:pStyle w:val="BodyText"/>
        <w:spacing w:line="240" w:lineRule="auto"/>
        <w:ind w:left="112" w:right="91"/>
        <w:jc w:val="left"/>
      </w:pPr>
      <w:r>
        <w:rPr>
          <w:rFonts w:ascii="Arial" w:hAnsi="Arial" w:cs="Arial" w:eastAsia="Arial" w:hint="default"/>
        </w:rPr>
        <w:t>17</w:t>
      </w:r>
      <w:r>
        <w:rPr/>
        <w:t>、短期借款</w:t>
      </w:r>
    </w:p>
    <w:p>
      <w:pPr>
        <w:spacing w:line="240" w:lineRule="auto" w:before="11"/>
        <w:rPr>
          <w:rFonts w:ascii="宋体" w:hAnsi="宋体" w:cs="宋体" w:eastAsia="宋体" w:hint="default"/>
          <w:sz w:val="20"/>
          <w:szCs w:val="20"/>
        </w:rPr>
      </w:pPr>
    </w:p>
    <w:tbl>
      <w:tblPr>
        <w:tblW w:w="0" w:type="auto"/>
        <w:jc w:val="left"/>
        <w:tblInd w:w="373" w:type="dxa"/>
        <w:tblLayout w:type="fixed"/>
        <w:tblCellMar>
          <w:top w:w="0" w:type="dxa"/>
          <w:left w:w="0" w:type="dxa"/>
          <w:bottom w:w="0" w:type="dxa"/>
          <w:right w:w="0" w:type="dxa"/>
        </w:tblCellMar>
        <w:tblLook w:val="01E0"/>
      </w:tblPr>
      <w:tblGrid>
        <w:gridCol w:w="3598"/>
        <w:gridCol w:w="768"/>
        <w:gridCol w:w="106"/>
        <w:gridCol w:w="2318"/>
        <w:gridCol w:w="120"/>
        <w:gridCol w:w="2434"/>
      </w:tblGrid>
      <w:tr>
        <w:trPr>
          <w:trHeight w:val="259" w:hRule="exact"/>
        </w:trPr>
        <w:tc>
          <w:tcPr>
            <w:tcW w:w="3598" w:type="dxa"/>
            <w:tcBorders>
              <w:top w:val="nil" w:sz="6" w:space="0" w:color="auto"/>
              <w:left w:val="nil" w:sz="6" w:space="0" w:color="auto"/>
              <w:bottom w:val="nil" w:sz="6" w:space="0" w:color="auto"/>
              <w:right w:val="nil" w:sz="6" w:space="0" w:color="auto"/>
            </w:tcBorders>
          </w:tcPr>
          <w:p>
            <w:pPr/>
          </w:p>
        </w:tc>
        <w:tc>
          <w:tcPr>
            <w:tcW w:w="768" w:type="dxa"/>
            <w:tcBorders>
              <w:top w:val="nil" w:sz="6" w:space="0" w:color="auto"/>
              <w:left w:val="nil" w:sz="6" w:space="0" w:color="auto"/>
              <w:bottom w:val="single" w:sz="6" w:space="0" w:color="000000"/>
              <w:right w:val="nil" w:sz="6" w:space="0" w:color="auto"/>
            </w:tcBorders>
          </w:tcPr>
          <w:p>
            <w:pPr>
              <w:pStyle w:val="TableParagraph"/>
              <w:spacing w:line="221" w:lineRule="exact"/>
              <w:ind w:left="163" w:right="0"/>
              <w:jc w:val="left"/>
              <w:rPr>
                <w:rFonts w:ascii="宋体" w:hAnsi="宋体" w:cs="宋体" w:eastAsia="宋体" w:hint="default"/>
                <w:sz w:val="22"/>
                <w:szCs w:val="22"/>
              </w:rPr>
            </w:pPr>
            <w:r>
              <w:rPr>
                <w:rFonts w:ascii="宋体" w:hAnsi="宋体" w:cs="宋体" w:eastAsia="宋体" w:hint="default"/>
                <w:sz w:val="22"/>
                <w:szCs w:val="22"/>
              </w:rPr>
              <w:t>币种</w:t>
            </w:r>
          </w:p>
        </w:tc>
        <w:tc>
          <w:tcPr>
            <w:tcW w:w="106" w:type="dxa"/>
            <w:tcBorders>
              <w:top w:val="nil" w:sz="6" w:space="0" w:color="auto"/>
              <w:left w:val="nil" w:sz="6" w:space="0" w:color="auto"/>
              <w:bottom w:val="nil" w:sz="6" w:space="0" w:color="auto"/>
              <w:right w:val="nil" w:sz="6" w:space="0" w:color="auto"/>
            </w:tcBorders>
          </w:tcPr>
          <w:p>
            <w:pPr/>
          </w:p>
        </w:tc>
        <w:tc>
          <w:tcPr>
            <w:tcW w:w="2318" w:type="dxa"/>
            <w:tcBorders>
              <w:top w:val="nil" w:sz="6" w:space="0" w:color="auto"/>
              <w:left w:val="nil" w:sz="6" w:space="0" w:color="auto"/>
              <w:bottom w:val="single" w:sz="6" w:space="0" w:color="000000"/>
              <w:right w:val="nil" w:sz="6" w:space="0" w:color="auto"/>
            </w:tcBorders>
          </w:tcPr>
          <w:p>
            <w:pPr>
              <w:pStyle w:val="TableParagraph"/>
              <w:spacing w:line="236" w:lineRule="exact"/>
              <w:ind w:right="65"/>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120" w:type="dxa"/>
            <w:tcBorders>
              <w:top w:val="nil" w:sz="6" w:space="0" w:color="auto"/>
              <w:left w:val="nil" w:sz="6" w:space="0" w:color="auto"/>
              <w:bottom w:val="nil" w:sz="6" w:space="0" w:color="auto"/>
              <w:right w:val="nil" w:sz="6" w:space="0" w:color="auto"/>
            </w:tcBorders>
          </w:tcPr>
          <w:p>
            <w:pPr/>
          </w:p>
        </w:tc>
        <w:tc>
          <w:tcPr>
            <w:tcW w:w="2434" w:type="dxa"/>
            <w:tcBorders>
              <w:top w:val="nil" w:sz="6" w:space="0" w:color="auto"/>
              <w:left w:val="nil" w:sz="6" w:space="0" w:color="auto"/>
              <w:bottom w:val="single" w:sz="6" w:space="0" w:color="000000"/>
              <w:right w:val="nil" w:sz="6" w:space="0" w:color="auto"/>
            </w:tcBorders>
          </w:tcPr>
          <w:p>
            <w:pPr>
              <w:pStyle w:val="TableParagraph"/>
              <w:spacing w:line="236" w:lineRule="exact"/>
              <w:ind w:right="84"/>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557"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信用借款</w:t>
            </w:r>
          </w:p>
        </w:tc>
        <w:tc>
          <w:tcPr>
            <w:tcW w:w="768" w:type="dxa"/>
            <w:tcBorders>
              <w:top w:val="single" w:sz="6"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67" w:right="0"/>
              <w:jc w:val="left"/>
              <w:rPr>
                <w:rFonts w:ascii="宋体" w:hAnsi="宋体" w:cs="宋体" w:eastAsia="宋体" w:hint="default"/>
                <w:sz w:val="22"/>
                <w:szCs w:val="22"/>
              </w:rPr>
            </w:pPr>
            <w:r>
              <w:rPr>
                <w:rFonts w:ascii="宋体" w:hAnsi="宋体" w:cs="宋体" w:eastAsia="宋体" w:hint="default"/>
                <w:sz w:val="22"/>
                <w:szCs w:val="22"/>
              </w:rPr>
              <w:t>人民币</w:t>
            </w:r>
          </w:p>
        </w:tc>
        <w:tc>
          <w:tcPr>
            <w:tcW w:w="106" w:type="dxa"/>
            <w:tcBorders>
              <w:top w:val="nil" w:sz="6" w:space="0" w:color="auto"/>
              <w:left w:val="nil" w:sz="6" w:space="0" w:color="auto"/>
              <w:bottom w:val="nil" w:sz="6" w:space="0" w:color="auto"/>
              <w:right w:val="nil" w:sz="6" w:space="0" w:color="auto"/>
            </w:tcBorders>
          </w:tcPr>
          <w:p>
            <w:pPr/>
          </w:p>
        </w:tc>
        <w:tc>
          <w:tcPr>
            <w:tcW w:w="2318"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38"/>
              <w:jc w:val="right"/>
              <w:rPr>
                <w:rFonts w:ascii="Arial" w:hAnsi="Arial" w:cs="Arial" w:eastAsia="Arial" w:hint="default"/>
                <w:sz w:val="22"/>
                <w:szCs w:val="22"/>
              </w:rPr>
            </w:pPr>
            <w:r>
              <w:rPr>
                <w:rFonts w:ascii="Arial"/>
                <w:spacing w:val="-1"/>
                <w:sz w:val="22"/>
              </w:rPr>
              <w:t>5,614,078,284</w:t>
            </w:r>
          </w:p>
        </w:tc>
        <w:tc>
          <w:tcPr>
            <w:tcW w:w="120" w:type="dxa"/>
            <w:tcBorders>
              <w:top w:val="nil" w:sz="6" w:space="0" w:color="auto"/>
              <w:left w:val="nil" w:sz="6" w:space="0" w:color="auto"/>
              <w:bottom w:val="nil" w:sz="6" w:space="0" w:color="auto"/>
              <w:right w:val="nil" w:sz="6" w:space="0" w:color="auto"/>
            </w:tcBorders>
          </w:tcPr>
          <w:p>
            <w:pPr/>
          </w:p>
        </w:tc>
        <w:tc>
          <w:tcPr>
            <w:tcW w:w="2434"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23"/>
              <w:jc w:val="right"/>
              <w:rPr>
                <w:rFonts w:ascii="Arial" w:hAnsi="Arial" w:cs="Arial" w:eastAsia="Arial" w:hint="default"/>
                <w:sz w:val="22"/>
                <w:szCs w:val="22"/>
              </w:rPr>
            </w:pPr>
            <w:r>
              <w:rPr>
                <w:rFonts w:ascii="Arial"/>
                <w:sz w:val="22"/>
              </w:rPr>
              <w:t>15,130,867,493</w:t>
            </w:r>
          </w:p>
        </w:tc>
      </w:tr>
      <w:tr>
        <w:trPr>
          <w:trHeight w:val="420" w:hRule="exact"/>
        </w:trPr>
        <w:tc>
          <w:tcPr>
            <w:tcW w:w="3598" w:type="dxa"/>
            <w:tcBorders>
              <w:top w:val="nil" w:sz="6" w:space="0" w:color="auto"/>
              <w:left w:val="nil" w:sz="6" w:space="0" w:color="auto"/>
              <w:bottom w:val="nil" w:sz="6" w:space="0" w:color="auto"/>
              <w:right w:val="nil" w:sz="6" w:space="0" w:color="auto"/>
            </w:tcBorders>
          </w:tcPr>
          <w:p>
            <w:pPr/>
          </w:p>
        </w:tc>
        <w:tc>
          <w:tcPr>
            <w:tcW w:w="768" w:type="dxa"/>
            <w:tcBorders>
              <w:top w:val="nil" w:sz="6" w:space="0" w:color="auto"/>
              <w:left w:val="nil" w:sz="6" w:space="0" w:color="auto"/>
              <w:bottom w:val="nil" w:sz="6" w:space="0" w:color="auto"/>
              <w:right w:val="nil" w:sz="6" w:space="0" w:color="auto"/>
            </w:tcBorders>
          </w:tcPr>
          <w:p>
            <w:pPr>
              <w:pStyle w:val="TableParagraph"/>
              <w:spacing w:line="239" w:lineRule="exact"/>
              <w:ind w:left="244" w:right="0"/>
              <w:jc w:val="left"/>
              <w:rPr>
                <w:rFonts w:ascii="宋体" w:hAnsi="宋体" w:cs="宋体" w:eastAsia="宋体" w:hint="default"/>
                <w:sz w:val="22"/>
                <w:szCs w:val="22"/>
              </w:rPr>
            </w:pPr>
            <w:r>
              <w:rPr>
                <w:rFonts w:ascii="宋体" w:hAnsi="宋体" w:cs="宋体" w:eastAsia="宋体" w:hint="default"/>
                <w:sz w:val="22"/>
                <w:szCs w:val="22"/>
              </w:rPr>
              <w:t>港币</w:t>
            </w:r>
          </w:p>
        </w:tc>
        <w:tc>
          <w:tcPr>
            <w:tcW w:w="106" w:type="dxa"/>
            <w:tcBorders>
              <w:top w:val="nil" w:sz="6" w:space="0" w:color="auto"/>
              <w:left w:val="nil" w:sz="6" w:space="0" w:color="auto"/>
              <w:bottom w:val="nil" w:sz="6" w:space="0" w:color="auto"/>
              <w:right w:val="nil" w:sz="6" w:space="0" w:color="auto"/>
            </w:tcBorders>
          </w:tcPr>
          <w:p>
            <w:pPr/>
          </w:p>
        </w:tc>
        <w:tc>
          <w:tcPr>
            <w:tcW w:w="2318" w:type="dxa"/>
            <w:tcBorders>
              <w:top w:val="nil" w:sz="6" w:space="0" w:color="auto"/>
              <w:left w:val="nil" w:sz="6" w:space="0" w:color="auto"/>
              <w:bottom w:val="nil" w:sz="6" w:space="0" w:color="auto"/>
              <w:right w:val="nil" w:sz="6" w:space="0" w:color="auto"/>
            </w:tcBorders>
          </w:tcPr>
          <w:p>
            <w:pPr>
              <w:pStyle w:val="TableParagraph"/>
              <w:tabs>
                <w:tab w:pos="2207" w:val="left" w:leader="none"/>
              </w:tabs>
              <w:spacing w:line="240" w:lineRule="auto" w:before="21"/>
              <w:ind w:right="34"/>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r>
            <w:r>
              <w:rPr>
                <w:rFonts w:ascii="Arial"/>
                <w:sz w:val="22"/>
              </w:rPr>
            </w:r>
          </w:p>
        </w:tc>
        <w:tc>
          <w:tcPr>
            <w:tcW w:w="120" w:type="dxa"/>
            <w:tcBorders>
              <w:top w:val="nil" w:sz="6" w:space="0" w:color="auto"/>
              <w:left w:val="nil" w:sz="6" w:space="0" w:color="auto"/>
              <w:bottom w:val="nil" w:sz="6" w:space="0" w:color="auto"/>
              <w:right w:val="nil" w:sz="6" w:space="0" w:color="auto"/>
            </w:tcBorders>
          </w:tcPr>
          <w:p>
            <w:pPr/>
          </w:p>
        </w:tc>
        <w:tc>
          <w:tcPr>
            <w:tcW w:w="2434" w:type="dxa"/>
            <w:tcBorders>
              <w:top w:val="nil" w:sz="6" w:space="0" w:color="auto"/>
              <w:left w:val="nil" w:sz="6" w:space="0" w:color="auto"/>
              <w:bottom w:val="nil" w:sz="6" w:space="0" w:color="auto"/>
              <w:right w:val="nil" w:sz="6" w:space="0" w:color="auto"/>
            </w:tcBorders>
          </w:tcPr>
          <w:p>
            <w:pPr>
              <w:pStyle w:val="TableParagraph"/>
              <w:tabs>
                <w:tab w:pos="1324" w:val="left" w:leader="none"/>
                <w:tab w:pos="2433"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1,752,400</w:t>
              <w:tab/>
            </w:r>
            <w:r>
              <w:rPr>
                <w:rFonts w:ascii="Arial"/>
                <w:spacing w:val="-1"/>
                <w:sz w:val="22"/>
              </w:rPr>
            </w:r>
          </w:p>
        </w:tc>
      </w:tr>
      <w:tr>
        <w:trPr>
          <w:trHeight w:val="397"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3192" w:type="dxa"/>
            <w:gridSpan w:val="3"/>
            <w:tcBorders>
              <w:top w:val="nil" w:sz="6" w:space="0" w:color="auto"/>
              <w:left w:val="nil" w:sz="6" w:space="0" w:color="auto"/>
              <w:bottom w:val="nil" w:sz="6" w:space="0" w:color="auto"/>
              <w:right w:val="nil" w:sz="6" w:space="0" w:color="auto"/>
            </w:tcBorders>
          </w:tcPr>
          <w:p>
            <w:pPr>
              <w:pStyle w:val="TableParagraph"/>
              <w:tabs>
                <w:tab w:pos="1742" w:val="left" w:leader="none"/>
              </w:tabs>
              <w:spacing w:line="240" w:lineRule="auto" w:before="148"/>
              <w:ind w:left="859" w:right="0"/>
              <w:jc w:val="left"/>
              <w:rPr>
                <w:rFonts w:ascii="Arial" w:hAnsi="Arial" w:cs="Arial" w:eastAsia="Arial" w:hint="default"/>
                <w:sz w:val="22"/>
                <w:szCs w:val="22"/>
              </w:rPr>
            </w:pPr>
            <w:r>
              <w:rPr>
                <w:rFonts w:ascii="Arial"/>
                <w:w w:val="100"/>
                <w:sz w:val="22"/>
              </w:rPr>
            </w:r>
            <w:r>
              <w:rPr>
                <w:rFonts w:ascii="Arial"/>
                <w:w w:val="100"/>
                <w:sz w:val="22"/>
                <w:u w:val="thick" w:color="000000"/>
              </w:rPr>
              <w:t> </w:t>
            </w:r>
            <w:r>
              <w:rPr>
                <w:rFonts w:ascii="Arial"/>
                <w:sz w:val="22"/>
                <w:u w:val="thick" w:color="000000"/>
              </w:rPr>
              <w:tab/>
              <w:t>5,614,078,284</w:t>
            </w:r>
            <w:r>
              <w:rPr>
                <w:rFonts w:ascii="Arial"/>
                <w:sz w:val="22"/>
              </w:rPr>
            </w:r>
          </w:p>
        </w:tc>
        <w:tc>
          <w:tcPr>
            <w:tcW w:w="120" w:type="dxa"/>
            <w:tcBorders>
              <w:top w:val="nil" w:sz="6" w:space="0" w:color="auto"/>
              <w:left w:val="nil" w:sz="6" w:space="0" w:color="auto"/>
              <w:bottom w:val="nil" w:sz="6" w:space="0" w:color="auto"/>
              <w:right w:val="nil" w:sz="6" w:space="0" w:color="auto"/>
            </w:tcBorders>
          </w:tcPr>
          <w:p>
            <w:pPr/>
          </w:p>
        </w:tc>
        <w:tc>
          <w:tcPr>
            <w:tcW w:w="2434" w:type="dxa"/>
            <w:tcBorders>
              <w:top w:val="nil" w:sz="6" w:space="0" w:color="auto"/>
              <w:left w:val="nil" w:sz="6" w:space="0" w:color="auto"/>
              <w:bottom w:val="nil" w:sz="6" w:space="0" w:color="auto"/>
              <w:right w:val="nil" w:sz="6" w:space="0" w:color="auto"/>
            </w:tcBorders>
          </w:tcPr>
          <w:p>
            <w:pPr>
              <w:pStyle w:val="TableParagraph"/>
              <w:tabs>
                <w:tab w:pos="772" w:val="left" w:leader="none"/>
                <w:tab w:pos="2433" w:val="left" w:leader="none"/>
              </w:tabs>
              <w:spacing w:line="240" w:lineRule="auto" w:before="148"/>
              <w:ind w:left="-15" w:right="0"/>
              <w:jc w:val="right"/>
              <w:rPr>
                <w:rFonts w:ascii="Arial" w:hAnsi="Arial" w:cs="Arial" w:eastAsia="Arial" w:hint="default"/>
                <w:sz w:val="22"/>
                <w:szCs w:val="22"/>
              </w:rPr>
            </w:pPr>
            <w:r>
              <w:rPr>
                <w:rFonts w:ascii="Arial"/>
                <w:w w:val="100"/>
                <w:sz w:val="22"/>
              </w:rPr>
            </w:r>
            <w:r>
              <w:rPr>
                <w:rFonts w:ascii="Arial"/>
                <w:w w:val="100"/>
                <w:sz w:val="22"/>
                <w:u w:val="thick" w:color="000000"/>
              </w:rPr>
              <w:t> </w:t>
            </w:r>
            <w:r>
              <w:rPr>
                <w:rFonts w:ascii="Arial"/>
                <w:sz w:val="22"/>
                <w:u w:val="thick" w:color="000000"/>
              </w:rPr>
              <w:tab/>
            </w:r>
            <w:r>
              <w:rPr>
                <w:rFonts w:ascii="Arial"/>
                <w:spacing w:val="-1"/>
                <w:sz w:val="22"/>
                <w:u w:val="thick" w:color="000000"/>
              </w:rPr>
              <w:t>15,132,619,893</w:t>
              <w:tab/>
            </w:r>
            <w:r>
              <w:rPr>
                <w:rFonts w:ascii="Arial"/>
                <w:spacing w:val="-1"/>
                <w:sz w:val="22"/>
              </w:rPr>
            </w:r>
          </w:p>
        </w:tc>
      </w:tr>
    </w:tbl>
    <w:p>
      <w:pPr>
        <w:spacing w:line="240" w:lineRule="auto" w:before="0"/>
        <w:rPr>
          <w:rFonts w:ascii="宋体" w:hAnsi="宋体" w:cs="宋体" w:eastAsia="宋体" w:hint="default"/>
          <w:sz w:val="15"/>
          <w:szCs w:val="15"/>
        </w:rPr>
      </w:pPr>
    </w:p>
    <w:p>
      <w:pPr>
        <w:pStyle w:val="BodyText"/>
        <w:spacing w:line="296" w:lineRule="exact" w:before="32"/>
        <w:ind w:left="559" w:right="91"/>
        <w:jc w:val="left"/>
      </w:pPr>
      <w:r>
        <w:rPr/>
        <w:t>于</w:t>
      </w:r>
      <w:r>
        <w:rPr>
          <w:spacing w:val="-42"/>
        </w:rPr>
        <w:t> </w:t>
      </w:r>
      <w:r>
        <w:rPr>
          <w:rFonts w:ascii="Arial" w:hAnsi="Arial" w:cs="Arial" w:eastAsia="Arial" w:hint="default"/>
        </w:rPr>
        <w:t>2019</w:t>
      </w:r>
      <w:r>
        <w:rPr>
          <w:rFonts w:ascii="Arial" w:hAnsi="Arial" w:cs="Arial" w:eastAsia="Arial" w:hint="default"/>
          <w:spacing w:val="9"/>
        </w:rPr>
        <w:t> </w:t>
      </w:r>
      <w:r>
        <w:rPr/>
        <w:t>年</w:t>
      </w:r>
      <w:r>
        <w:rPr>
          <w:spacing w:val="-42"/>
        </w:rPr>
        <w:t> </w:t>
      </w:r>
      <w:r>
        <w:rPr>
          <w:rFonts w:ascii="Arial" w:hAnsi="Arial" w:cs="Arial" w:eastAsia="Arial" w:hint="default"/>
        </w:rPr>
        <w:t>12</w:t>
      </w:r>
      <w:r>
        <w:rPr>
          <w:rFonts w:ascii="Arial" w:hAnsi="Arial" w:cs="Arial" w:eastAsia="Arial" w:hint="default"/>
          <w:spacing w:val="9"/>
        </w:rPr>
        <w:t> </w:t>
      </w:r>
      <w:r>
        <w:rPr/>
        <w:t>月</w:t>
      </w:r>
      <w:r>
        <w:rPr>
          <w:spacing w:val="-42"/>
        </w:rPr>
        <w:t> </w:t>
      </w:r>
      <w:r>
        <w:rPr>
          <w:rFonts w:ascii="Arial" w:hAnsi="Arial" w:cs="Arial" w:eastAsia="Arial" w:hint="default"/>
        </w:rPr>
        <w:t>31</w:t>
      </w:r>
      <w:r>
        <w:rPr>
          <w:rFonts w:ascii="Arial" w:hAnsi="Arial" w:cs="Arial" w:eastAsia="Arial" w:hint="default"/>
          <w:spacing w:val="4"/>
        </w:rPr>
        <w:t> </w:t>
      </w:r>
      <w:r>
        <w:rPr/>
        <w:t>日，人民币短期借款年利率范围为</w:t>
      </w:r>
      <w:r>
        <w:rPr>
          <w:spacing w:val="-42"/>
        </w:rPr>
        <w:t> </w:t>
      </w:r>
      <w:r>
        <w:rPr>
          <w:rFonts w:ascii="Arial" w:hAnsi="Arial" w:cs="Arial" w:eastAsia="Arial" w:hint="default"/>
        </w:rPr>
        <w:t>2.15%-3.92%</w:t>
      </w:r>
      <w:r>
        <w:rPr/>
        <w:t>（</w:t>
      </w:r>
      <w:r>
        <w:rPr>
          <w:rFonts w:ascii="Arial" w:hAnsi="Arial" w:cs="Arial" w:eastAsia="Arial" w:hint="default"/>
        </w:rPr>
        <w:t>2018</w:t>
      </w:r>
      <w:r>
        <w:rPr>
          <w:rFonts w:ascii="Arial" w:hAnsi="Arial" w:cs="Arial" w:eastAsia="Arial" w:hint="default"/>
          <w:spacing w:val="9"/>
        </w:rPr>
        <w:t> </w:t>
      </w:r>
      <w:r>
        <w:rPr/>
        <w:t>年</w:t>
      </w:r>
      <w:r>
        <w:rPr>
          <w:spacing w:val="-42"/>
        </w:rPr>
        <w:t> </w:t>
      </w:r>
      <w:r>
        <w:rPr>
          <w:rFonts w:ascii="Arial" w:hAnsi="Arial" w:cs="Arial" w:eastAsia="Arial" w:hint="default"/>
        </w:rPr>
        <w:t>12</w:t>
      </w:r>
      <w:r>
        <w:rPr>
          <w:rFonts w:ascii="Arial" w:hAnsi="Arial" w:cs="Arial" w:eastAsia="Arial" w:hint="default"/>
          <w:spacing w:val="9"/>
        </w:rPr>
        <w:t> </w:t>
      </w:r>
      <w:r>
        <w:rPr/>
        <w:t>月</w:t>
      </w:r>
      <w:r>
        <w:rPr>
          <w:spacing w:val="-47"/>
        </w:rPr>
        <w:t> </w:t>
      </w:r>
      <w:r>
        <w:rPr>
          <w:rFonts w:ascii="Arial" w:hAnsi="Arial" w:cs="Arial" w:eastAsia="Arial" w:hint="default"/>
        </w:rPr>
        <w:t>31</w:t>
      </w:r>
      <w:r>
        <w:rPr>
          <w:rFonts w:ascii="Arial" w:hAnsi="Arial" w:cs="Arial" w:eastAsia="Arial" w:hint="default"/>
          <w:spacing w:val="9"/>
        </w:rPr>
        <w:t> </w:t>
      </w:r>
      <w:r>
        <w:rPr/>
        <w:t>日：</w:t>
      </w:r>
    </w:p>
    <w:p>
      <w:pPr>
        <w:pStyle w:val="BodyText"/>
        <w:spacing w:line="296" w:lineRule="exact"/>
        <w:ind w:left="559" w:right="91"/>
        <w:jc w:val="left"/>
      </w:pPr>
      <w:r>
        <w:rPr>
          <w:rFonts w:ascii="Arial" w:hAnsi="Arial" w:cs="Arial" w:eastAsia="Arial" w:hint="default"/>
        </w:rPr>
        <w:t>2.35%-4.77%</w:t>
      </w:r>
      <w:r>
        <w:rPr/>
        <w:t>）。</w:t>
      </w:r>
    </w:p>
    <w:p>
      <w:pPr>
        <w:spacing w:line="240" w:lineRule="auto" w:before="11"/>
        <w:rPr>
          <w:rFonts w:ascii="宋体" w:hAnsi="宋体" w:cs="宋体" w:eastAsia="宋体" w:hint="default"/>
          <w:sz w:val="17"/>
          <w:szCs w:val="17"/>
        </w:rPr>
      </w:pPr>
    </w:p>
    <w:p>
      <w:pPr>
        <w:pStyle w:val="BodyText"/>
        <w:spacing w:line="240" w:lineRule="auto"/>
        <w:ind w:left="554" w:right="91"/>
        <w:jc w:val="left"/>
      </w:pPr>
      <w:r>
        <w:rPr/>
        <w:t>于</w:t>
      </w:r>
      <w:r>
        <w:rPr>
          <w:spacing w:val="-56"/>
        </w:rPr>
        <w:t> </w:t>
      </w:r>
      <w:r>
        <w:rPr>
          <w:rFonts w:ascii="Arial" w:hAnsi="Arial" w:cs="Arial" w:eastAsia="Arial" w:hint="default"/>
        </w:rPr>
        <w:t>2019</w:t>
      </w:r>
      <w:r>
        <w:rPr>
          <w:rFonts w:ascii="Arial" w:hAnsi="Arial" w:cs="Arial" w:eastAsia="Arial" w:hint="default"/>
          <w:spacing w:val="-5"/>
        </w:rPr>
        <w:t> </w:t>
      </w:r>
      <w:r>
        <w:rPr/>
        <w:t>年</w:t>
      </w:r>
      <w:r>
        <w:rPr>
          <w:spacing w:val="-61"/>
        </w:rPr>
        <w:t> </w:t>
      </w:r>
      <w:r>
        <w:rPr>
          <w:rFonts w:ascii="Arial" w:hAnsi="Arial" w:cs="Arial" w:eastAsia="Arial" w:hint="default"/>
        </w:rPr>
        <w:t>12</w:t>
      </w:r>
      <w:r>
        <w:rPr>
          <w:rFonts w:ascii="Arial" w:hAnsi="Arial" w:cs="Arial" w:eastAsia="Arial" w:hint="default"/>
          <w:spacing w:val="-5"/>
        </w:rPr>
        <w:t> </w:t>
      </w:r>
      <w:r>
        <w:rPr/>
        <w:t>月</w:t>
      </w:r>
      <w:r>
        <w:rPr>
          <w:spacing w:val="-56"/>
        </w:rPr>
        <w:t> </w:t>
      </w:r>
      <w:r>
        <w:rPr>
          <w:rFonts w:ascii="Arial" w:hAnsi="Arial" w:cs="Arial" w:eastAsia="Arial" w:hint="default"/>
        </w:rPr>
        <w:t>31</w:t>
      </w:r>
      <w:r>
        <w:rPr>
          <w:rFonts w:ascii="Arial" w:hAnsi="Arial" w:cs="Arial" w:eastAsia="Arial" w:hint="default"/>
          <w:spacing w:val="-5"/>
        </w:rPr>
        <w:t> </w:t>
      </w:r>
      <w:r>
        <w:rPr/>
        <w:t>日及</w:t>
      </w:r>
      <w:r>
        <w:rPr>
          <w:spacing w:val="-56"/>
        </w:rPr>
        <w:t> </w:t>
      </w:r>
      <w:r>
        <w:rPr>
          <w:rFonts w:ascii="Arial" w:hAnsi="Arial" w:cs="Arial" w:eastAsia="Arial" w:hint="default"/>
        </w:rPr>
        <w:t>2018</w:t>
      </w:r>
      <w:r>
        <w:rPr>
          <w:rFonts w:ascii="Arial" w:hAnsi="Arial" w:cs="Arial" w:eastAsia="Arial" w:hint="default"/>
          <w:spacing w:val="-5"/>
        </w:rPr>
        <w:t> </w:t>
      </w:r>
      <w:r>
        <w:rPr/>
        <w:t>年</w:t>
      </w:r>
      <w:r>
        <w:rPr>
          <w:spacing w:val="-61"/>
        </w:rPr>
        <w:t> </w:t>
      </w:r>
      <w:r>
        <w:rPr>
          <w:rFonts w:ascii="Arial" w:hAnsi="Arial" w:cs="Arial" w:eastAsia="Arial" w:hint="default"/>
        </w:rPr>
        <w:t>12</w:t>
      </w:r>
      <w:r>
        <w:rPr>
          <w:rFonts w:ascii="Arial" w:hAnsi="Arial" w:cs="Arial" w:eastAsia="Arial" w:hint="default"/>
          <w:spacing w:val="-5"/>
        </w:rPr>
        <w:t> </w:t>
      </w:r>
      <w:r>
        <w:rPr/>
        <w:t>月</w:t>
      </w:r>
      <w:r>
        <w:rPr>
          <w:spacing w:val="-56"/>
        </w:rPr>
        <w:t> </w:t>
      </w:r>
      <w:r>
        <w:rPr>
          <w:rFonts w:ascii="Arial" w:hAnsi="Arial" w:cs="Arial" w:eastAsia="Arial" w:hint="default"/>
        </w:rPr>
        <w:t>31</w:t>
      </w:r>
      <w:r>
        <w:rPr>
          <w:rFonts w:ascii="Arial" w:hAnsi="Arial" w:cs="Arial" w:eastAsia="Arial" w:hint="default"/>
          <w:spacing w:val="-5"/>
        </w:rPr>
        <w:t> </w:t>
      </w:r>
      <w:r>
        <w:rPr/>
        <w:t>日，本集团无银行保证借款。</w:t>
      </w:r>
    </w:p>
    <w:p>
      <w:pPr>
        <w:spacing w:line="240" w:lineRule="auto" w:before="1"/>
        <w:rPr>
          <w:rFonts w:ascii="宋体" w:hAnsi="宋体" w:cs="宋体" w:eastAsia="宋体" w:hint="default"/>
          <w:sz w:val="16"/>
          <w:szCs w:val="16"/>
        </w:rPr>
      </w:pPr>
    </w:p>
    <w:p>
      <w:pPr>
        <w:pStyle w:val="BodyText"/>
        <w:spacing w:line="240" w:lineRule="auto"/>
        <w:ind w:left="554" w:right="91"/>
        <w:jc w:val="left"/>
      </w:pPr>
      <w:r>
        <w:rPr/>
        <w:t>于</w:t>
      </w:r>
      <w:r>
        <w:rPr>
          <w:spacing w:val="-56"/>
        </w:rPr>
        <w:t> </w:t>
      </w:r>
      <w:r>
        <w:rPr>
          <w:rFonts w:ascii="Arial" w:hAnsi="Arial" w:cs="Arial" w:eastAsia="Arial" w:hint="default"/>
        </w:rPr>
        <w:t>2019</w:t>
      </w:r>
      <w:r>
        <w:rPr>
          <w:rFonts w:ascii="Arial" w:hAnsi="Arial" w:cs="Arial" w:eastAsia="Arial" w:hint="default"/>
          <w:spacing w:val="-5"/>
        </w:rPr>
        <w:t> </w:t>
      </w:r>
      <w:r>
        <w:rPr/>
        <w:t>年</w:t>
      </w:r>
      <w:r>
        <w:rPr>
          <w:spacing w:val="-61"/>
        </w:rPr>
        <w:t> </w:t>
      </w:r>
      <w:r>
        <w:rPr>
          <w:rFonts w:ascii="Arial" w:hAnsi="Arial" w:cs="Arial" w:eastAsia="Arial" w:hint="default"/>
        </w:rPr>
        <w:t>12</w:t>
      </w:r>
      <w:r>
        <w:rPr>
          <w:rFonts w:ascii="Arial" w:hAnsi="Arial" w:cs="Arial" w:eastAsia="Arial" w:hint="default"/>
          <w:spacing w:val="-5"/>
        </w:rPr>
        <w:t> </w:t>
      </w:r>
      <w:r>
        <w:rPr/>
        <w:t>月</w:t>
      </w:r>
      <w:r>
        <w:rPr>
          <w:spacing w:val="-56"/>
        </w:rPr>
        <w:t> </w:t>
      </w:r>
      <w:r>
        <w:rPr>
          <w:rFonts w:ascii="Arial" w:hAnsi="Arial" w:cs="Arial" w:eastAsia="Arial" w:hint="default"/>
        </w:rPr>
        <w:t>31</w:t>
      </w:r>
      <w:r>
        <w:rPr>
          <w:rFonts w:ascii="Arial" w:hAnsi="Arial" w:cs="Arial" w:eastAsia="Arial" w:hint="default"/>
          <w:spacing w:val="-5"/>
        </w:rPr>
        <w:t> </w:t>
      </w:r>
      <w:r>
        <w:rPr/>
        <w:t>日及</w:t>
      </w:r>
      <w:r>
        <w:rPr>
          <w:spacing w:val="-56"/>
        </w:rPr>
        <w:t> </w:t>
      </w:r>
      <w:r>
        <w:rPr>
          <w:rFonts w:ascii="Arial" w:hAnsi="Arial" w:cs="Arial" w:eastAsia="Arial" w:hint="default"/>
        </w:rPr>
        <w:t>2018</w:t>
      </w:r>
      <w:r>
        <w:rPr>
          <w:rFonts w:ascii="Arial" w:hAnsi="Arial" w:cs="Arial" w:eastAsia="Arial" w:hint="default"/>
          <w:spacing w:val="-5"/>
        </w:rPr>
        <w:t> </w:t>
      </w:r>
      <w:r>
        <w:rPr/>
        <w:t>年</w:t>
      </w:r>
      <w:r>
        <w:rPr>
          <w:spacing w:val="-61"/>
        </w:rPr>
        <w:t> </w:t>
      </w:r>
      <w:r>
        <w:rPr>
          <w:rFonts w:ascii="Arial" w:hAnsi="Arial" w:cs="Arial" w:eastAsia="Arial" w:hint="default"/>
        </w:rPr>
        <w:t>12</w:t>
      </w:r>
      <w:r>
        <w:rPr>
          <w:rFonts w:ascii="Arial" w:hAnsi="Arial" w:cs="Arial" w:eastAsia="Arial" w:hint="default"/>
          <w:spacing w:val="-5"/>
        </w:rPr>
        <w:t> </w:t>
      </w:r>
      <w:r>
        <w:rPr/>
        <w:t>月</w:t>
      </w:r>
      <w:r>
        <w:rPr>
          <w:spacing w:val="-56"/>
        </w:rPr>
        <w:t> </w:t>
      </w:r>
      <w:r>
        <w:rPr>
          <w:rFonts w:ascii="Arial" w:hAnsi="Arial" w:cs="Arial" w:eastAsia="Arial" w:hint="default"/>
        </w:rPr>
        <w:t>31</w:t>
      </w:r>
      <w:r>
        <w:rPr>
          <w:rFonts w:ascii="Arial" w:hAnsi="Arial" w:cs="Arial" w:eastAsia="Arial" w:hint="default"/>
          <w:spacing w:val="-5"/>
        </w:rPr>
        <w:t> </w:t>
      </w:r>
      <w:r>
        <w:rPr/>
        <w:t>日，本集团无已到期但尚未偿还的短期借款。</w:t>
      </w:r>
    </w:p>
    <w:p>
      <w:pPr>
        <w:spacing w:line="240" w:lineRule="auto" w:before="11"/>
        <w:rPr>
          <w:rFonts w:ascii="宋体" w:hAnsi="宋体" w:cs="宋体" w:eastAsia="宋体" w:hint="default"/>
          <w:sz w:val="17"/>
          <w:szCs w:val="17"/>
        </w:rPr>
      </w:pPr>
    </w:p>
    <w:p>
      <w:pPr>
        <w:pStyle w:val="BodyText"/>
        <w:spacing w:line="240" w:lineRule="auto"/>
        <w:ind w:left="112" w:right="91"/>
        <w:jc w:val="left"/>
      </w:pPr>
      <w:r>
        <w:rPr>
          <w:rFonts w:ascii="Arial" w:hAnsi="Arial" w:cs="Arial" w:eastAsia="Arial" w:hint="default"/>
        </w:rPr>
        <w:t>18</w:t>
      </w:r>
      <w:r>
        <w:rPr/>
        <w:t>、应付票据</w:t>
      </w:r>
    </w:p>
    <w:p>
      <w:pPr>
        <w:spacing w:line="240" w:lineRule="auto" w:before="5"/>
        <w:rPr>
          <w:rFonts w:ascii="宋体" w:hAnsi="宋体" w:cs="宋体" w:eastAsia="宋体" w:hint="default"/>
          <w:sz w:val="8"/>
          <w:szCs w:val="8"/>
        </w:rPr>
      </w:pPr>
    </w:p>
    <w:tbl>
      <w:tblPr>
        <w:tblW w:w="0" w:type="auto"/>
        <w:jc w:val="left"/>
        <w:tblInd w:w="364" w:type="dxa"/>
        <w:tblLayout w:type="fixed"/>
        <w:tblCellMar>
          <w:top w:w="0" w:type="dxa"/>
          <w:left w:w="0" w:type="dxa"/>
          <w:bottom w:w="0" w:type="dxa"/>
          <w:right w:w="0" w:type="dxa"/>
        </w:tblCellMar>
        <w:tblLook w:val="01E0"/>
      </w:tblPr>
      <w:tblGrid>
        <w:gridCol w:w="4506"/>
        <w:gridCol w:w="2270"/>
        <w:gridCol w:w="130"/>
        <w:gridCol w:w="2472"/>
      </w:tblGrid>
      <w:tr>
        <w:trPr>
          <w:trHeight w:val="259" w:hRule="exact"/>
        </w:trPr>
        <w:tc>
          <w:tcPr>
            <w:tcW w:w="4506" w:type="dxa"/>
            <w:tcBorders>
              <w:top w:val="nil" w:sz="6" w:space="0" w:color="auto"/>
              <w:left w:val="nil" w:sz="6" w:space="0" w:color="auto"/>
              <w:bottom w:val="nil" w:sz="6" w:space="0" w:color="auto"/>
              <w:right w:val="nil" w:sz="6" w:space="0" w:color="auto"/>
            </w:tcBorders>
          </w:tcPr>
          <w:p>
            <w:pPr/>
          </w:p>
        </w:tc>
        <w:tc>
          <w:tcPr>
            <w:tcW w:w="2270" w:type="dxa"/>
            <w:tcBorders>
              <w:top w:val="nil" w:sz="6" w:space="0" w:color="auto"/>
              <w:left w:val="nil" w:sz="6" w:space="0" w:color="auto"/>
              <w:bottom w:val="single" w:sz="6" w:space="0" w:color="000000"/>
              <w:right w:val="nil" w:sz="6" w:space="0" w:color="auto"/>
            </w:tcBorders>
          </w:tcPr>
          <w:p>
            <w:pPr>
              <w:pStyle w:val="TableParagraph"/>
              <w:spacing w:line="236" w:lineRule="exact"/>
              <w:ind w:left="331"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2602" w:type="dxa"/>
            <w:gridSpan w:val="2"/>
            <w:tcBorders>
              <w:top w:val="nil" w:sz="6" w:space="0" w:color="auto"/>
              <w:left w:val="nil" w:sz="6" w:space="0" w:color="auto"/>
              <w:bottom w:val="single" w:sz="6" w:space="0" w:color="000000"/>
              <w:right w:val="nil" w:sz="6" w:space="0" w:color="auto"/>
            </w:tcBorders>
          </w:tcPr>
          <w:p>
            <w:pPr>
              <w:pStyle w:val="TableParagraph"/>
              <w:spacing w:line="236" w:lineRule="exact"/>
              <w:ind w:left="623"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591" w:hRule="exact"/>
        </w:trPr>
        <w:tc>
          <w:tcPr>
            <w:tcW w:w="450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商业承兑汇票</w:t>
            </w:r>
            <w:r>
              <w:rPr>
                <w:rFonts w:ascii="宋体" w:hAnsi="宋体" w:cs="宋体" w:eastAsia="宋体" w:hint="default"/>
                <w:sz w:val="22"/>
                <w:szCs w:val="22"/>
              </w:rPr>
              <w:t> </w:t>
            </w:r>
          </w:p>
        </w:tc>
        <w:tc>
          <w:tcPr>
            <w:tcW w:w="2270" w:type="dxa"/>
            <w:tcBorders>
              <w:top w:val="single" w:sz="6"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62"/>
              <w:jc w:val="right"/>
              <w:rPr>
                <w:rFonts w:ascii="Arial" w:hAnsi="Arial" w:cs="Arial" w:eastAsia="Arial" w:hint="default"/>
                <w:sz w:val="22"/>
                <w:szCs w:val="22"/>
              </w:rPr>
            </w:pPr>
            <w:r>
              <w:rPr>
                <w:rFonts w:ascii="Arial"/>
                <w:spacing w:val="-1"/>
                <w:sz w:val="22"/>
              </w:rPr>
              <w:t>1,594,244,373</w:t>
            </w:r>
          </w:p>
        </w:tc>
        <w:tc>
          <w:tcPr>
            <w:tcW w:w="130" w:type="dxa"/>
            <w:tcBorders>
              <w:top w:val="nil" w:sz="6" w:space="0" w:color="auto"/>
              <w:left w:val="nil" w:sz="6" w:space="0" w:color="auto"/>
              <w:bottom w:val="nil" w:sz="6" w:space="0" w:color="auto"/>
              <w:right w:val="nil" w:sz="6" w:space="0" w:color="auto"/>
            </w:tcBorders>
          </w:tcPr>
          <w:p>
            <w:pPr/>
          </w:p>
        </w:tc>
        <w:tc>
          <w:tcPr>
            <w:tcW w:w="2472" w:type="dxa"/>
            <w:tcBorders>
              <w:top w:val="single" w:sz="6"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105"/>
              <w:jc w:val="right"/>
              <w:rPr>
                <w:rFonts w:ascii="Arial" w:hAnsi="Arial" w:cs="Arial" w:eastAsia="Arial" w:hint="default"/>
                <w:sz w:val="22"/>
                <w:szCs w:val="22"/>
              </w:rPr>
            </w:pPr>
            <w:r>
              <w:rPr>
                <w:rFonts w:ascii="Arial"/>
                <w:spacing w:val="-1"/>
                <w:sz w:val="22"/>
              </w:rPr>
              <w:t>99,657,098</w:t>
            </w:r>
          </w:p>
        </w:tc>
      </w:tr>
      <w:tr>
        <w:trPr>
          <w:trHeight w:val="437" w:hRule="exact"/>
        </w:trPr>
        <w:tc>
          <w:tcPr>
            <w:tcW w:w="4506"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银行承兑汇票</w:t>
            </w:r>
            <w:r>
              <w:rPr>
                <w:rFonts w:ascii="宋体" w:hAnsi="宋体" w:cs="宋体" w:eastAsia="宋体" w:hint="default"/>
                <w:sz w:val="22"/>
                <w:szCs w:val="22"/>
              </w:rPr>
              <w:t> </w:t>
            </w:r>
          </w:p>
        </w:tc>
        <w:tc>
          <w:tcPr>
            <w:tcW w:w="2270" w:type="dxa"/>
            <w:tcBorders>
              <w:top w:val="nil" w:sz="6" w:space="0" w:color="auto"/>
              <w:left w:val="nil" w:sz="6" w:space="0" w:color="auto"/>
              <w:bottom w:val="nil" w:sz="6" w:space="0" w:color="auto"/>
              <w:right w:val="nil" w:sz="6" w:space="0" w:color="auto"/>
            </w:tcBorders>
          </w:tcPr>
          <w:p>
            <w:pPr>
              <w:pStyle w:val="TableParagraph"/>
              <w:tabs>
                <w:tab w:pos="801" w:val="left" w:leader="none"/>
                <w:tab w:pos="2289" w:val="left" w:leader="none"/>
              </w:tabs>
              <w:spacing w:line="240" w:lineRule="auto" w:before="21"/>
              <w:ind w:right="-2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2,445,041,305</w:t>
              <w:tab/>
            </w:r>
            <w:r>
              <w:rPr>
                <w:rFonts w:ascii="Arial"/>
                <w:spacing w:val="-1"/>
                <w:sz w:val="22"/>
              </w:rPr>
            </w:r>
          </w:p>
        </w:tc>
        <w:tc>
          <w:tcPr>
            <w:tcW w:w="2602" w:type="dxa"/>
            <w:gridSpan w:val="2"/>
            <w:tcBorders>
              <w:top w:val="nil" w:sz="6" w:space="0" w:color="auto"/>
              <w:left w:val="nil" w:sz="6" w:space="0" w:color="auto"/>
              <w:bottom w:val="nil" w:sz="6" w:space="0" w:color="auto"/>
              <w:right w:val="nil" w:sz="6" w:space="0" w:color="auto"/>
            </w:tcBorders>
          </w:tcPr>
          <w:p>
            <w:pPr>
              <w:pStyle w:val="TableParagraph"/>
              <w:tabs>
                <w:tab w:pos="2419" w:val="left" w:leader="none"/>
                <w:tab w:pos="2601" w:val="left" w:leader="none"/>
              </w:tabs>
              <w:spacing w:line="240" w:lineRule="auto" w:before="21"/>
              <w:ind w:left="129"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tab/>
            </w:r>
            <w:r>
              <w:rPr>
                <w:rFonts w:ascii="Arial"/>
                <w:sz w:val="22"/>
              </w:rPr>
            </w:r>
          </w:p>
        </w:tc>
      </w:tr>
      <w:tr>
        <w:trPr>
          <w:trHeight w:val="446" w:hRule="exact"/>
        </w:trPr>
        <w:tc>
          <w:tcPr>
            <w:tcW w:w="4506"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200" w:right="0"/>
              <w:jc w:val="left"/>
              <w:rPr>
                <w:rFonts w:ascii="宋体" w:hAnsi="宋体" w:cs="宋体" w:eastAsia="宋体" w:hint="default"/>
                <w:sz w:val="22"/>
                <w:szCs w:val="22"/>
              </w:rPr>
            </w:pPr>
            <w:r>
              <w:rPr>
                <w:rFonts w:ascii="宋体" w:hAnsi="宋体" w:cs="宋体" w:eastAsia="宋体" w:hint="default"/>
                <w:sz w:val="22"/>
                <w:szCs w:val="22"/>
              </w:rPr>
              <w:t>合计</w:t>
            </w:r>
            <w:r>
              <w:rPr>
                <w:rFonts w:ascii="宋体" w:hAnsi="宋体" w:cs="宋体" w:eastAsia="宋体" w:hint="default"/>
                <w:sz w:val="22"/>
                <w:szCs w:val="22"/>
              </w:rPr>
              <w:t> </w:t>
            </w:r>
          </w:p>
        </w:tc>
        <w:tc>
          <w:tcPr>
            <w:tcW w:w="2270" w:type="dxa"/>
            <w:tcBorders>
              <w:top w:val="nil" w:sz="6" w:space="0" w:color="auto"/>
              <w:left w:val="nil" w:sz="6" w:space="0" w:color="auto"/>
              <w:bottom w:val="single" w:sz="17" w:space="0" w:color="000000"/>
              <w:right w:val="nil" w:sz="6" w:space="0" w:color="auto"/>
            </w:tcBorders>
          </w:tcPr>
          <w:p>
            <w:pPr>
              <w:pStyle w:val="TableParagraph"/>
              <w:spacing w:line="240" w:lineRule="auto" w:before="170"/>
              <w:ind w:right="62"/>
              <w:jc w:val="right"/>
              <w:rPr>
                <w:rFonts w:ascii="Arial" w:hAnsi="Arial" w:cs="Arial" w:eastAsia="Arial" w:hint="default"/>
                <w:sz w:val="22"/>
                <w:szCs w:val="22"/>
              </w:rPr>
            </w:pPr>
            <w:r>
              <w:rPr>
                <w:rFonts w:ascii="Arial"/>
                <w:spacing w:val="-1"/>
                <w:sz w:val="22"/>
              </w:rPr>
              <w:t>4,039,285,678</w:t>
            </w:r>
          </w:p>
        </w:tc>
        <w:tc>
          <w:tcPr>
            <w:tcW w:w="130"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9" w:right="0"/>
              <w:jc w:val="left"/>
              <w:rPr>
                <w:rFonts w:ascii="宋体" w:hAnsi="宋体" w:cs="宋体" w:eastAsia="宋体" w:hint="default"/>
                <w:sz w:val="22"/>
                <w:szCs w:val="22"/>
              </w:rPr>
            </w:pPr>
            <w:r>
              <w:rPr>
                <w:rFonts w:ascii="宋体"/>
                <w:w w:val="100"/>
                <w:sz w:val="22"/>
              </w:rPr>
              <w:t> </w:t>
            </w:r>
          </w:p>
        </w:tc>
        <w:tc>
          <w:tcPr>
            <w:tcW w:w="2472" w:type="dxa"/>
            <w:tcBorders>
              <w:top w:val="nil" w:sz="6" w:space="0" w:color="auto"/>
              <w:left w:val="nil" w:sz="6" w:space="0" w:color="auto"/>
              <w:bottom w:val="single" w:sz="17" w:space="0" w:color="000000"/>
              <w:right w:val="nil" w:sz="6" w:space="0" w:color="auto"/>
            </w:tcBorders>
          </w:tcPr>
          <w:p>
            <w:pPr>
              <w:pStyle w:val="TableParagraph"/>
              <w:spacing w:line="240" w:lineRule="auto" w:before="170"/>
              <w:ind w:right="105"/>
              <w:jc w:val="right"/>
              <w:rPr>
                <w:rFonts w:ascii="Arial" w:hAnsi="Arial" w:cs="Arial" w:eastAsia="Arial" w:hint="default"/>
                <w:sz w:val="22"/>
                <w:szCs w:val="22"/>
              </w:rPr>
            </w:pPr>
            <w:r>
              <w:rPr>
                <w:rFonts w:ascii="Arial"/>
                <w:spacing w:val="-1"/>
                <w:sz w:val="22"/>
              </w:rPr>
              <w:t>99,657,098</w:t>
            </w:r>
          </w:p>
        </w:tc>
      </w:tr>
    </w:tbl>
    <w:p>
      <w:pPr>
        <w:spacing w:line="240" w:lineRule="auto" w:before="2"/>
        <w:rPr>
          <w:rFonts w:ascii="宋体" w:hAnsi="宋体" w:cs="宋体" w:eastAsia="宋体" w:hint="default"/>
          <w:sz w:val="14"/>
          <w:szCs w:val="14"/>
        </w:rPr>
      </w:pPr>
    </w:p>
    <w:p>
      <w:pPr>
        <w:pStyle w:val="BodyText"/>
        <w:spacing w:line="240" w:lineRule="auto" w:before="32"/>
        <w:ind w:left="588" w:right="91"/>
        <w:jc w:val="left"/>
      </w:pPr>
      <w:r>
        <w:rPr/>
        <w:t>于</w:t>
      </w:r>
      <w:r>
        <w:rPr>
          <w:spacing w:val="-56"/>
        </w:rPr>
        <w:t> </w:t>
      </w:r>
      <w:r>
        <w:rPr>
          <w:rFonts w:ascii="Arial" w:hAnsi="Arial" w:cs="Arial" w:eastAsia="Arial" w:hint="default"/>
        </w:rPr>
        <w:t>2019</w:t>
      </w:r>
      <w:r>
        <w:rPr>
          <w:rFonts w:ascii="Arial" w:hAnsi="Arial" w:cs="Arial" w:eastAsia="Arial" w:hint="default"/>
          <w:spacing w:val="-5"/>
        </w:rPr>
        <w:t> </w:t>
      </w:r>
      <w:r>
        <w:rPr/>
        <w:t>年</w:t>
      </w:r>
      <w:r>
        <w:rPr>
          <w:spacing w:val="-61"/>
        </w:rPr>
        <w:t> </w:t>
      </w:r>
      <w:r>
        <w:rPr>
          <w:rFonts w:ascii="Arial" w:hAnsi="Arial" w:cs="Arial" w:eastAsia="Arial" w:hint="default"/>
        </w:rPr>
        <w:t>12</w:t>
      </w:r>
      <w:r>
        <w:rPr>
          <w:rFonts w:ascii="Arial" w:hAnsi="Arial" w:cs="Arial" w:eastAsia="Arial" w:hint="default"/>
          <w:spacing w:val="-5"/>
        </w:rPr>
        <w:t> </w:t>
      </w:r>
      <w:r>
        <w:rPr/>
        <w:t>月</w:t>
      </w:r>
      <w:r>
        <w:rPr>
          <w:spacing w:val="-56"/>
        </w:rPr>
        <w:t> </w:t>
      </w:r>
      <w:r>
        <w:rPr>
          <w:rFonts w:ascii="Arial" w:hAnsi="Arial" w:cs="Arial" w:eastAsia="Arial" w:hint="default"/>
        </w:rPr>
        <w:t>31</w:t>
      </w:r>
      <w:r>
        <w:rPr>
          <w:rFonts w:ascii="Arial" w:hAnsi="Arial" w:cs="Arial" w:eastAsia="Arial" w:hint="default"/>
          <w:spacing w:val="-5"/>
        </w:rPr>
        <w:t> </w:t>
      </w:r>
      <w:r>
        <w:rPr/>
        <w:t>日，本集团应付票据均在一年内到期，不存在已到期未支付票据。</w:t>
      </w:r>
    </w:p>
    <w:p>
      <w:pPr>
        <w:spacing w:after="0" w:line="240" w:lineRule="auto"/>
        <w:jc w:val="left"/>
        <w:sectPr>
          <w:headerReference w:type="default" r:id="rId170"/>
          <w:pgSz w:w="11910" w:h="16840"/>
          <w:pgMar w:header="1188" w:footer="502" w:top="3040" w:bottom="700" w:left="1020" w:right="1040"/>
        </w:sectPr>
      </w:pPr>
    </w:p>
    <w:p>
      <w:pPr>
        <w:spacing w:line="240" w:lineRule="auto" w:before="7"/>
        <w:rPr>
          <w:rFonts w:ascii="宋体" w:hAnsi="宋体" w:cs="宋体" w:eastAsia="宋体" w:hint="default"/>
          <w:sz w:val="16"/>
          <w:szCs w:val="16"/>
        </w:rPr>
      </w:pPr>
    </w:p>
    <w:p>
      <w:pPr>
        <w:pStyle w:val="BodyText"/>
        <w:spacing w:line="240" w:lineRule="auto" w:before="32"/>
        <w:ind w:left="112" w:right="102"/>
        <w:jc w:val="left"/>
      </w:pPr>
      <w:r>
        <w:rPr>
          <w:rFonts w:ascii="Arial" w:hAnsi="Arial" w:cs="Arial" w:eastAsia="Arial" w:hint="default"/>
        </w:rPr>
        <w:t>19</w:t>
      </w:r>
      <w:r>
        <w:rPr/>
        <w:t>、应付账款</w:t>
      </w:r>
    </w:p>
    <w:p>
      <w:pPr>
        <w:spacing w:line="240" w:lineRule="auto" w:before="11"/>
        <w:rPr>
          <w:rFonts w:ascii="宋体" w:hAnsi="宋体" w:cs="宋体" w:eastAsia="宋体" w:hint="default"/>
          <w:sz w:val="17"/>
          <w:szCs w:val="17"/>
        </w:rPr>
      </w:pPr>
    </w:p>
    <w:p>
      <w:pPr>
        <w:pStyle w:val="BodyText"/>
        <w:spacing w:line="240" w:lineRule="auto"/>
        <w:ind w:left="588" w:right="102"/>
        <w:jc w:val="left"/>
      </w:pPr>
      <w:r>
        <w:rPr/>
        <w:t>应付账款情况如下：</w:t>
      </w:r>
    </w:p>
    <w:p>
      <w:pPr>
        <w:spacing w:line="240" w:lineRule="auto" w:before="8"/>
        <w:rPr>
          <w:rFonts w:ascii="宋体" w:hAnsi="宋体" w:cs="宋体" w:eastAsia="宋体" w:hint="default"/>
          <w:sz w:val="24"/>
          <w:szCs w:val="24"/>
        </w:rPr>
      </w:pPr>
    </w:p>
    <w:tbl>
      <w:tblPr>
        <w:tblW w:w="0" w:type="auto"/>
        <w:jc w:val="left"/>
        <w:tblInd w:w="373" w:type="dxa"/>
        <w:tblLayout w:type="fixed"/>
        <w:tblCellMar>
          <w:top w:w="0" w:type="dxa"/>
          <w:left w:w="0" w:type="dxa"/>
          <w:bottom w:w="0" w:type="dxa"/>
          <w:right w:w="0" w:type="dxa"/>
        </w:tblCellMar>
        <w:tblLook w:val="01E0"/>
      </w:tblPr>
      <w:tblGrid>
        <w:gridCol w:w="4506"/>
        <w:gridCol w:w="2256"/>
        <w:gridCol w:w="2429"/>
      </w:tblGrid>
      <w:tr>
        <w:trPr>
          <w:trHeight w:val="260" w:hRule="exact"/>
        </w:trPr>
        <w:tc>
          <w:tcPr>
            <w:tcW w:w="4506" w:type="dxa"/>
            <w:tcBorders>
              <w:top w:val="nil" w:sz="6" w:space="0" w:color="auto"/>
              <w:left w:val="nil" w:sz="6" w:space="0" w:color="auto"/>
              <w:bottom w:val="nil" w:sz="6" w:space="0" w:color="auto"/>
              <w:right w:val="nil" w:sz="6" w:space="0" w:color="auto"/>
            </w:tcBorders>
          </w:tcPr>
          <w:p>
            <w:pPr>
              <w:pStyle w:val="TableParagraph"/>
              <w:spacing w:line="221" w:lineRule="exact"/>
              <w:ind w:left="17" w:right="0"/>
              <w:jc w:val="center"/>
              <w:rPr>
                <w:rFonts w:ascii="宋体" w:hAnsi="宋体" w:cs="宋体" w:eastAsia="宋体" w:hint="default"/>
                <w:sz w:val="22"/>
                <w:szCs w:val="22"/>
              </w:rPr>
            </w:pPr>
            <w:r>
              <w:rPr>
                <w:rFonts w:ascii="宋体"/>
                <w:w w:val="100"/>
                <w:sz w:val="22"/>
              </w:rPr>
              <w:t> </w:t>
            </w:r>
          </w:p>
        </w:tc>
        <w:tc>
          <w:tcPr>
            <w:tcW w:w="2256" w:type="dxa"/>
            <w:tcBorders>
              <w:top w:val="nil" w:sz="6" w:space="0" w:color="auto"/>
              <w:left w:val="nil" w:sz="6" w:space="0" w:color="auto"/>
              <w:bottom w:val="single" w:sz="6" w:space="0" w:color="000000"/>
              <w:right w:val="nil" w:sz="6" w:space="0" w:color="auto"/>
            </w:tcBorders>
          </w:tcPr>
          <w:p>
            <w:pPr>
              <w:pStyle w:val="TableParagraph"/>
              <w:spacing w:line="237" w:lineRule="exact"/>
              <w:ind w:right="36"/>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2429" w:type="dxa"/>
            <w:tcBorders>
              <w:top w:val="nil" w:sz="6" w:space="0" w:color="auto"/>
              <w:left w:val="nil" w:sz="6" w:space="0" w:color="auto"/>
              <w:bottom w:val="single" w:sz="6" w:space="0" w:color="000000"/>
              <w:right w:val="nil" w:sz="6" w:space="0" w:color="auto"/>
            </w:tcBorders>
          </w:tcPr>
          <w:p>
            <w:pPr>
              <w:pStyle w:val="TableParagraph"/>
              <w:spacing w:line="237" w:lineRule="exact"/>
              <w:ind w:right="36"/>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293" w:hRule="exact"/>
        </w:trPr>
        <w:tc>
          <w:tcPr>
            <w:tcW w:w="4506" w:type="dxa"/>
            <w:tcBorders>
              <w:top w:val="nil" w:sz="6" w:space="0" w:color="auto"/>
              <w:left w:val="nil" w:sz="6" w:space="0" w:color="auto"/>
              <w:bottom w:val="nil" w:sz="6" w:space="0" w:color="auto"/>
              <w:right w:val="nil" w:sz="6" w:space="0" w:color="auto"/>
            </w:tcBorders>
          </w:tcPr>
          <w:p>
            <w:pPr>
              <w:pStyle w:val="TableParagraph"/>
              <w:spacing w:line="259" w:lineRule="exact"/>
              <w:ind w:left="200" w:right="0"/>
              <w:jc w:val="left"/>
              <w:rPr>
                <w:rFonts w:ascii="宋体" w:hAnsi="宋体" w:cs="宋体" w:eastAsia="宋体" w:hint="default"/>
                <w:sz w:val="22"/>
                <w:szCs w:val="22"/>
              </w:rPr>
            </w:pPr>
            <w:r>
              <w:rPr>
                <w:rFonts w:ascii="宋体"/>
                <w:w w:val="100"/>
                <w:sz w:val="22"/>
              </w:rPr>
              <w:t> </w:t>
            </w:r>
          </w:p>
        </w:tc>
        <w:tc>
          <w:tcPr>
            <w:tcW w:w="2256" w:type="dxa"/>
            <w:tcBorders>
              <w:top w:val="single" w:sz="6" w:space="0" w:color="000000"/>
              <w:left w:val="nil" w:sz="6" w:space="0" w:color="auto"/>
              <w:bottom w:val="nil" w:sz="6" w:space="0" w:color="auto"/>
              <w:right w:val="nil" w:sz="6" w:space="0" w:color="auto"/>
            </w:tcBorders>
          </w:tcPr>
          <w:p>
            <w:pPr/>
          </w:p>
        </w:tc>
        <w:tc>
          <w:tcPr>
            <w:tcW w:w="2429" w:type="dxa"/>
            <w:tcBorders>
              <w:top w:val="single" w:sz="6" w:space="0" w:color="000000"/>
              <w:left w:val="nil" w:sz="6" w:space="0" w:color="auto"/>
              <w:bottom w:val="nil" w:sz="6" w:space="0" w:color="auto"/>
              <w:right w:val="nil" w:sz="6" w:space="0" w:color="auto"/>
            </w:tcBorders>
          </w:tcPr>
          <w:p>
            <w:pPr/>
          </w:p>
        </w:tc>
      </w:tr>
      <w:tr>
        <w:trPr>
          <w:trHeight w:val="298" w:hRule="exact"/>
        </w:trPr>
        <w:tc>
          <w:tcPr>
            <w:tcW w:w="4506" w:type="dxa"/>
            <w:tcBorders>
              <w:top w:val="nil" w:sz="6" w:space="0" w:color="auto"/>
              <w:left w:val="nil" w:sz="6" w:space="0" w:color="auto"/>
              <w:bottom w:val="nil" w:sz="6" w:space="0" w:color="auto"/>
              <w:right w:val="nil" w:sz="6" w:space="0" w:color="auto"/>
            </w:tcBorders>
          </w:tcPr>
          <w:p>
            <w:pPr>
              <w:pStyle w:val="TableParagraph"/>
              <w:spacing w:line="254" w:lineRule="exact"/>
              <w:ind w:left="200" w:right="0"/>
              <w:jc w:val="left"/>
              <w:rPr>
                <w:rFonts w:ascii="宋体" w:hAnsi="宋体" w:cs="宋体" w:eastAsia="宋体" w:hint="default"/>
                <w:sz w:val="22"/>
                <w:szCs w:val="22"/>
              </w:rPr>
            </w:pPr>
            <w:r>
              <w:rPr>
                <w:rFonts w:ascii="宋体" w:hAnsi="宋体" w:cs="宋体" w:eastAsia="宋体" w:hint="default"/>
                <w:sz w:val="22"/>
                <w:szCs w:val="22"/>
              </w:rPr>
              <w:t>应付工程及设备款</w:t>
            </w:r>
            <w:r>
              <w:rPr>
                <w:rFonts w:ascii="宋体" w:hAnsi="宋体" w:cs="宋体" w:eastAsia="宋体" w:hint="default"/>
                <w:sz w:val="22"/>
                <w:szCs w:val="22"/>
              </w:rPr>
              <w:t> </w:t>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51"/>
              <w:jc w:val="right"/>
              <w:rPr>
                <w:rFonts w:ascii="Arial" w:hAnsi="Arial" w:cs="Arial" w:eastAsia="Arial" w:hint="default"/>
                <w:sz w:val="22"/>
                <w:szCs w:val="22"/>
              </w:rPr>
            </w:pPr>
            <w:r>
              <w:rPr>
                <w:rFonts w:ascii="Arial"/>
                <w:sz w:val="22"/>
              </w:rPr>
              <w:t>64,625,619,805</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27"/>
              <w:jc w:val="right"/>
              <w:rPr>
                <w:rFonts w:ascii="Arial" w:hAnsi="Arial" w:cs="Arial" w:eastAsia="Arial" w:hint="default"/>
                <w:sz w:val="22"/>
                <w:szCs w:val="22"/>
              </w:rPr>
            </w:pPr>
            <w:r>
              <w:rPr>
                <w:rFonts w:ascii="Arial"/>
                <w:sz w:val="22"/>
              </w:rPr>
              <w:t>72,747,186,723</w:t>
            </w:r>
          </w:p>
        </w:tc>
      </w:tr>
      <w:tr>
        <w:trPr>
          <w:trHeight w:val="288" w:hRule="exact"/>
        </w:trPr>
        <w:tc>
          <w:tcPr>
            <w:tcW w:w="4506"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应付网间结算及租赁费</w:t>
            </w:r>
            <w:r>
              <w:rPr>
                <w:rFonts w:ascii="宋体" w:hAnsi="宋体" w:cs="宋体" w:eastAsia="宋体" w:hint="default"/>
                <w:sz w:val="22"/>
                <w:szCs w:val="22"/>
              </w:rPr>
              <w:t> </w:t>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
              <w:jc w:val="right"/>
              <w:rPr>
                <w:rFonts w:ascii="Arial" w:hAnsi="Arial" w:cs="Arial" w:eastAsia="Arial" w:hint="default"/>
                <w:sz w:val="22"/>
                <w:szCs w:val="22"/>
              </w:rPr>
            </w:pPr>
            <w:r>
              <w:rPr>
                <w:rFonts w:ascii="Arial"/>
                <w:sz w:val="22"/>
              </w:rPr>
              <w:t>13,389,903,637</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27"/>
              <w:jc w:val="right"/>
              <w:rPr>
                <w:rFonts w:ascii="Arial" w:hAnsi="Arial" w:cs="Arial" w:eastAsia="Arial" w:hint="default"/>
                <w:sz w:val="22"/>
                <w:szCs w:val="22"/>
              </w:rPr>
            </w:pPr>
            <w:r>
              <w:rPr>
                <w:rFonts w:ascii="Arial"/>
                <w:sz w:val="22"/>
              </w:rPr>
              <w:t>11,343,365,899</w:t>
            </w:r>
          </w:p>
        </w:tc>
      </w:tr>
      <w:tr>
        <w:trPr>
          <w:trHeight w:val="283" w:hRule="exact"/>
        </w:trPr>
        <w:tc>
          <w:tcPr>
            <w:tcW w:w="4506"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应付采购通信终端款等</w:t>
            </w:r>
            <w:r>
              <w:rPr>
                <w:rFonts w:ascii="宋体" w:hAnsi="宋体" w:cs="宋体" w:eastAsia="宋体" w:hint="default"/>
                <w:sz w:val="22"/>
                <w:szCs w:val="22"/>
              </w:rPr>
              <w:t> </w:t>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7"/>
              <w:jc w:val="right"/>
              <w:rPr>
                <w:rFonts w:ascii="Arial" w:hAnsi="Arial" w:cs="Arial" w:eastAsia="Arial" w:hint="default"/>
                <w:sz w:val="22"/>
                <w:szCs w:val="22"/>
              </w:rPr>
            </w:pPr>
            <w:r>
              <w:rPr>
                <w:rFonts w:ascii="Arial"/>
                <w:spacing w:val="-1"/>
                <w:sz w:val="22"/>
              </w:rPr>
              <w:t>5,095,740,260</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29"/>
              <w:jc w:val="right"/>
              <w:rPr>
                <w:rFonts w:ascii="Arial" w:hAnsi="Arial" w:cs="Arial" w:eastAsia="Arial" w:hint="default"/>
                <w:sz w:val="22"/>
                <w:szCs w:val="22"/>
              </w:rPr>
            </w:pPr>
            <w:r>
              <w:rPr>
                <w:rFonts w:ascii="Arial"/>
                <w:spacing w:val="-1"/>
                <w:sz w:val="22"/>
              </w:rPr>
              <w:t>4,349,376,236</w:t>
            </w:r>
          </w:p>
        </w:tc>
      </w:tr>
      <w:tr>
        <w:trPr>
          <w:trHeight w:val="283" w:hRule="exact"/>
        </w:trPr>
        <w:tc>
          <w:tcPr>
            <w:tcW w:w="4506"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应付代理费及广告费</w:t>
            </w:r>
            <w:r>
              <w:rPr>
                <w:rFonts w:ascii="宋体" w:hAnsi="宋体" w:cs="宋体" w:eastAsia="宋体" w:hint="default"/>
                <w:sz w:val="22"/>
                <w:szCs w:val="22"/>
              </w:rPr>
              <w:t> </w:t>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7"/>
              <w:jc w:val="right"/>
              <w:rPr>
                <w:rFonts w:ascii="Arial" w:hAnsi="Arial" w:cs="Arial" w:eastAsia="Arial" w:hint="default"/>
                <w:sz w:val="22"/>
                <w:szCs w:val="22"/>
              </w:rPr>
            </w:pPr>
            <w:r>
              <w:rPr>
                <w:rFonts w:ascii="Arial"/>
                <w:spacing w:val="-1"/>
                <w:sz w:val="22"/>
              </w:rPr>
              <w:t>4,978,713,693</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29"/>
              <w:jc w:val="right"/>
              <w:rPr>
                <w:rFonts w:ascii="Arial" w:hAnsi="Arial" w:cs="Arial" w:eastAsia="Arial" w:hint="default"/>
                <w:sz w:val="22"/>
                <w:szCs w:val="22"/>
              </w:rPr>
            </w:pPr>
            <w:r>
              <w:rPr>
                <w:rFonts w:ascii="Arial"/>
                <w:spacing w:val="-1"/>
                <w:sz w:val="22"/>
              </w:rPr>
              <w:t>5,999,350,514</w:t>
            </w:r>
          </w:p>
        </w:tc>
      </w:tr>
      <w:tr>
        <w:trPr>
          <w:trHeight w:val="288" w:hRule="exact"/>
        </w:trPr>
        <w:tc>
          <w:tcPr>
            <w:tcW w:w="4506"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应付维修及维护费</w:t>
            </w:r>
            <w:r>
              <w:rPr>
                <w:rFonts w:ascii="宋体" w:hAnsi="宋体" w:cs="宋体" w:eastAsia="宋体" w:hint="default"/>
                <w:sz w:val="22"/>
                <w:szCs w:val="22"/>
              </w:rPr>
              <w:t> </w:t>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7"/>
              <w:jc w:val="right"/>
              <w:rPr>
                <w:rFonts w:ascii="Arial" w:hAnsi="Arial" w:cs="Arial" w:eastAsia="Arial" w:hint="default"/>
                <w:sz w:val="22"/>
                <w:szCs w:val="22"/>
              </w:rPr>
            </w:pPr>
            <w:r>
              <w:rPr>
                <w:rFonts w:ascii="Arial"/>
                <w:spacing w:val="-1"/>
                <w:sz w:val="22"/>
              </w:rPr>
              <w:t>6,571,473,445</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29"/>
              <w:jc w:val="right"/>
              <w:rPr>
                <w:rFonts w:ascii="Arial" w:hAnsi="Arial" w:cs="Arial" w:eastAsia="Arial" w:hint="default"/>
                <w:sz w:val="22"/>
                <w:szCs w:val="22"/>
              </w:rPr>
            </w:pPr>
            <w:r>
              <w:rPr>
                <w:rFonts w:ascii="Arial"/>
                <w:spacing w:val="-1"/>
                <w:sz w:val="22"/>
              </w:rPr>
              <w:t>6,288,017,521</w:t>
            </w:r>
          </w:p>
        </w:tc>
      </w:tr>
      <w:tr>
        <w:trPr>
          <w:trHeight w:val="283" w:hRule="exact"/>
        </w:trPr>
        <w:tc>
          <w:tcPr>
            <w:tcW w:w="4506"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应付水电取暖费</w:t>
            </w:r>
            <w:r>
              <w:rPr>
                <w:rFonts w:ascii="宋体" w:hAnsi="宋体" w:cs="宋体" w:eastAsia="宋体" w:hint="default"/>
                <w:sz w:val="22"/>
                <w:szCs w:val="22"/>
              </w:rPr>
              <w:t> </w:t>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7"/>
              <w:jc w:val="right"/>
              <w:rPr>
                <w:rFonts w:ascii="Arial" w:hAnsi="Arial" w:cs="Arial" w:eastAsia="Arial" w:hint="default"/>
                <w:sz w:val="22"/>
                <w:szCs w:val="22"/>
              </w:rPr>
            </w:pPr>
            <w:r>
              <w:rPr>
                <w:rFonts w:ascii="Arial"/>
                <w:spacing w:val="-1"/>
                <w:sz w:val="22"/>
              </w:rPr>
              <w:t>6,634,239,501</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29"/>
              <w:jc w:val="right"/>
              <w:rPr>
                <w:rFonts w:ascii="Arial" w:hAnsi="Arial" w:cs="Arial" w:eastAsia="Arial" w:hint="default"/>
                <w:sz w:val="22"/>
                <w:szCs w:val="22"/>
              </w:rPr>
            </w:pPr>
            <w:r>
              <w:rPr>
                <w:rFonts w:ascii="Arial"/>
                <w:spacing w:val="-1"/>
                <w:sz w:val="22"/>
              </w:rPr>
              <w:t>6,463,463,112</w:t>
            </w:r>
          </w:p>
        </w:tc>
      </w:tr>
      <w:tr>
        <w:trPr>
          <w:trHeight w:val="295" w:hRule="exact"/>
        </w:trPr>
        <w:tc>
          <w:tcPr>
            <w:tcW w:w="4506"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w:t>
            </w:r>
            <w:r>
              <w:rPr>
                <w:rFonts w:ascii="宋体" w:hAnsi="宋体" w:cs="宋体" w:eastAsia="宋体" w:hint="default"/>
                <w:sz w:val="22"/>
                <w:szCs w:val="22"/>
              </w:rPr>
              <w:t> </w:t>
            </w:r>
          </w:p>
        </w:tc>
        <w:tc>
          <w:tcPr>
            <w:tcW w:w="2256" w:type="dxa"/>
            <w:tcBorders>
              <w:top w:val="nil" w:sz="6" w:space="0" w:color="auto"/>
              <w:left w:val="nil" w:sz="6" w:space="0" w:color="auto"/>
              <w:bottom w:val="nil" w:sz="6" w:space="0" w:color="auto"/>
              <w:right w:val="nil" w:sz="6" w:space="0" w:color="auto"/>
            </w:tcBorders>
          </w:tcPr>
          <w:p>
            <w:pPr>
              <w:pStyle w:val="TableParagraph"/>
              <w:tabs>
                <w:tab w:pos="791" w:val="left" w:leader="none"/>
              </w:tabs>
              <w:spacing w:line="240" w:lineRule="auto" w:before="21"/>
              <w:ind w:right="5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1,471,397,934</w:t>
            </w:r>
            <w:r>
              <w:rPr>
                <w:rFonts w:ascii="Arial"/>
                <w:spacing w:val="-1"/>
                <w:sz w:val="22"/>
              </w:rPr>
            </w:r>
          </w:p>
        </w:tc>
        <w:tc>
          <w:tcPr>
            <w:tcW w:w="2429" w:type="dxa"/>
            <w:tcBorders>
              <w:top w:val="nil" w:sz="6" w:space="0" w:color="auto"/>
              <w:left w:val="nil" w:sz="6" w:space="0" w:color="auto"/>
              <w:bottom w:val="nil" w:sz="6" w:space="0" w:color="auto"/>
              <w:right w:val="nil" w:sz="6" w:space="0" w:color="auto"/>
            </w:tcBorders>
          </w:tcPr>
          <w:p>
            <w:pPr>
              <w:pStyle w:val="TableParagraph"/>
              <w:tabs>
                <w:tab w:pos="791" w:val="left" w:leader="none"/>
                <w:tab w:pos="2332"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1,412,114,645</w:t>
              <w:tab/>
            </w:r>
            <w:r>
              <w:rPr>
                <w:rFonts w:ascii="Arial"/>
                <w:spacing w:val="-1"/>
                <w:sz w:val="22"/>
              </w:rPr>
            </w:r>
          </w:p>
        </w:tc>
      </w:tr>
      <w:tr>
        <w:trPr>
          <w:trHeight w:val="278" w:hRule="exact"/>
        </w:trPr>
        <w:tc>
          <w:tcPr>
            <w:tcW w:w="4506" w:type="dxa"/>
            <w:tcBorders>
              <w:top w:val="nil" w:sz="6" w:space="0" w:color="auto"/>
              <w:left w:val="nil" w:sz="6" w:space="0" w:color="auto"/>
              <w:bottom w:val="nil" w:sz="6" w:space="0" w:color="auto"/>
              <w:right w:val="nil" w:sz="6" w:space="0" w:color="auto"/>
            </w:tcBorders>
          </w:tcPr>
          <w:p>
            <w:pPr>
              <w:pStyle w:val="TableParagraph"/>
              <w:spacing w:line="246" w:lineRule="exact"/>
              <w:ind w:left="200" w:right="0"/>
              <w:jc w:val="left"/>
              <w:rPr>
                <w:rFonts w:ascii="宋体" w:hAnsi="宋体" w:cs="宋体" w:eastAsia="宋体" w:hint="default"/>
                <w:sz w:val="22"/>
                <w:szCs w:val="22"/>
              </w:rPr>
            </w:pPr>
            <w:r>
              <w:rPr>
                <w:rFonts w:ascii="宋体"/>
                <w:w w:val="100"/>
                <w:sz w:val="22"/>
              </w:rPr>
              <w:t> </w:t>
            </w:r>
          </w:p>
        </w:tc>
        <w:tc>
          <w:tcPr>
            <w:tcW w:w="4685" w:type="dxa"/>
            <w:gridSpan w:val="2"/>
            <w:tcBorders>
              <w:top w:val="nil" w:sz="6" w:space="0" w:color="auto"/>
              <w:left w:val="nil" w:sz="6" w:space="0" w:color="auto"/>
              <w:bottom w:val="nil" w:sz="6" w:space="0" w:color="auto"/>
              <w:right w:val="nil" w:sz="6" w:space="0" w:color="auto"/>
            </w:tcBorders>
          </w:tcPr>
          <w:p>
            <w:pPr/>
          </w:p>
        </w:tc>
      </w:tr>
      <w:tr>
        <w:trPr>
          <w:trHeight w:val="310" w:hRule="exact"/>
        </w:trPr>
        <w:tc>
          <w:tcPr>
            <w:tcW w:w="4506" w:type="dxa"/>
            <w:tcBorders>
              <w:top w:val="nil" w:sz="6" w:space="0" w:color="auto"/>
              <w:left w:val="nil" w:sz="6" w:space="0" w:color="auto"/>
              <w:bottom w:val="nil" w:sz="6" w:space="0" w:color="auto"/>
              <w:right w:val="nil" w:sz="6" w:space="0" w:color="auto"/>
            </w:tcBorders>
          </w:tcPr>
          <w:p>
            <w:pPr>
              <w:pStyle w:val="TableParagraph"/>
              <w:spacing w:line="252" w:lineRule="exact"/>
              <w:ind w:left="200" w:right="0"/>
              <w:jc w:val="left"/>
              <w:rPr>
                <w:rFonts w:ascii="宋体" w:hAnsi="宋体" w:cs="宋体" w:eastAsia="宋体" w:hint="default"/>
                <w:sz w:val="22"/>
                <w:szCs w:val="22"/>
              </w:rPr>
            </w:pPr>
            <w:r>
              <w:rPr>
                <w:rFonts w:ascii="宋体" w:hAnsi="宋体" w:cs="宋体" w:eastAsia="宋体" w:hint="default"/>
                <w:sz w:val="22"/>
                <w:szCs w:val="22"/>
              </w:rPr>
              <w:t>合计</w:t>
            </w:r>
            <w:r>
              <w:rPr>
                <w:rFonts w:ascii="宋体" w:hAnsi="宋体" w:cs="宋体" w:eastAsia="宋体" w:hint="default"/>
                <w:sz w:val="22"/>
                <w:szCs w:val="22"/>
              </w:rPr>
              <w:t> </w:t>
            </w:r>
          </w:p>
        </w:tc>
        <w:tc>
          <w:tcPr>
            <w:tcW w:w="2256"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53"/>
              <w:jc w:val="right"/>
              <w:rPr>
                <w:rFonts w:ascii="Arial" w:hAnsi="Arial" w:cs="Arial" w:eastAsia="Arial" w:hint="default"/>
                <w:sz w:val="22"/>
                <w:szCs w:val="22"/>
              </w:rPr>
            </w:pPr>
            <w:r>
              <w:rPr>
                <w:rFonts w:ascii="Arial"/>
                <w:spacing w:val="-1"/>
                <w:sz w:val="22"/>
              </w:rPr>
              <w:t>102,767,088,275</w:t>
            </w:r>
          </w:p>
        </w:tc>
        <w:tc>
          <w:tcPr>
            <w:tcW w:w="2429"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135"/>
              <w:jc w:val="right"/>
              <w:rPr>
                <w:rFonts w:ascii="Arial" w:hAnsi="Arial" w:cs="Arial" w:eastAsia="Arial" w:hint="default"/>
                <w:sz w:val="22"/>
                <w:szCs w:val="22"/>
              </w:rPr>
            </w:pPr>
            <w:r>
              <w:rPr>
                <w:rFonts w:ascii="Arial"/>
                <w:spacing w:val="-1"/>
                <w:sz w:val="22"/>
              </w:rPr>
              <w:t>108,602,874,650</w:t>
            </w:r>
          </w:p>
        </w:tc>
      </w:tr>
    </w:tbl>
    <w:p>
      <w:pPr>
        <w:spacing w:line="240" w:lineRule="auto" w:before="2"/>
        <w:rPr>
          <w:rFonts w:ascii="宋体" w:hAnsi="宋体" w:cs="宋体" w:eastAsia="宋体" w:hint="default"/>
          <w:sz w:val="14"/>
          <w:szCs w:val="14"/>
        </w:rPr>
      </w:pPr>
    </w:p>
    <w:p>
      <w:pPr>
        <w:pStyle w:val="BodyText"/>
        <w:spacing w:line="293" w:lineRule="exact" w:before="32"/>
        <w:ind w:left="587" w:right="0"/>
        <w:jc w:val="left"/>
      </w:pPr>
      <w:r>
        <w:rPr/>
        <w:t>于</w:t>
      </w:r>
      <w:r>
        <w:rPr>
          <w:spacing w:val="-56"/>
        </w:rPr>
        <w:t> </w:t>
      </w:r>
      <w:r>
        <w:rPr>
          <w:rFonts w:ascii="Arial" w:hAnsi="Arial" w:cs="Arial" w:eastAsia="Arial" w:hint="default"/>
        </w:rPr>
        <w:t>2019</w:t>
      </w:r>
      <w:r>
        <w:rPr>
          <w:rFonts w:ascii="Arial" w:hAnsi="Arial" w:cs="Arial" w:eastAsia="Arial" w:hint="default"/>
          <w:spacing w:val="-5"/>
        </w:rPr>
        <w:t> </w:t>
      </w:r>
      <w:r>
        <w:rPr/>
        <w:t>年</w:t>
      </w:r>
      <w:r>
        <w:rPr>
          <w:spacing w:val="-61"/>
        </w:rPr>
        <w:t> </w:t>
      </w:r>
      <w:r>
        <w:rPr>
          <w:rFonts w:ascii="Arial" w:hAnsi="Arial" w:cs="Arial" w:eastAsia="Arial" w:hint="default"/>
        </w:rPr>
        <w:t>12</w:t>
      </w:r>
      <w:r>
        <w:rPr>
          <w:rFonts w:ascii="Arial" w:hAnsi="Arial" w:cs="Arial" w:eastAsia="Arial" w:hint="default"/>
          <w:spacing w:val="-5"/>
        </w:rPr>
        <w:t> </w:t>
      </w:r>
      <w:r>
        <w:rPr/>
        <w:t>月</w:t>
      </w:r>
      <w:r>
        <w:rPr>
          <w:spacing w:val="-56"/>
        </w:rPr>
        <w:t> </w:t>
      </w:r>
      <w:r>
        <w:rPr>
          <w:rFonts w:ascii="Arial" w:hAnsi="Arial" w:cs="Arial" w:eastAsia="Arial" w:hint="default"/>
        </w:rPr>
        <w:t>31</w:t>
      </w:r>
      <w:r>
        <w:rPr>
          <w:rFonts w:ascii="Arial" w:hAnsi="Arial" w:cs="Arial" w:eastAsia="Arial" w:hint="default"/>
          <w:spacing w:val="-5"/>
        </w:rPr>
        <w:t> </w:t>
      </w:r>
      <w:r>
        <w:rPr>
          <w:spacing w:val="-10"/>
        </w:rPr>
        <w:t>日，账龄超过</w:t>
      </w:r>
      <w:r>
        <w:rPr>
          <w:spacing w:val="-56"/>
        </w:rPr>
        <w:t> </w:t>
      </w:r>
      <w:r>
        <w:rPr>
          <w:rFonts w:ascii="Arial" w:hAnsi="Arial" w:cs="Arial" w:eastAsia="Arial" w:hint="default"/>
        </w:rPr>
        <w:t>1</w:t>
      </w:r>
      <w:r>
        <w:rPr>
          <w:rFonts w:ascii="Arial" w:hAnsi="Arial" w:cs="Arial" w:eastAsia="Arial" w:hint="default"/>
          <w:spacing w:val="-5"/>
        </w:rPr>
        <w:t> </w:t>
      </w:r>
      <w:r>
        <w:rPr/>
        <w:t>年的应付账款约人民币</w:t>
      </w:r>
      <w:r>
        <w:rPr>
          <w:spacing w:val="-56"/>
        </w:rPr>
        <w:t> </w:t>
      </w:r>
      <w:r>
        <w:rPr>
          <w:rFonts w:ascii="Arial" w:hAnsi="Arial" w:cs="Arial" w:eastAsia="Arial" w:hint="default"/>
        </w:rPr>
        <w:t>71.92</w:t>
      </w:r>
      <w:r>
        <w:rPr>
          <w:rFonts w:ascii="Arial" w:hAnsi="Arial" w:cs="Arial" w:eastAsia="Arial" w:hint="default"/>
          <w:spacing w:val="-5"/>
        </w:rPr>
        <w:t> </w:t>
      </w:r>
      <w:r>
        <w:rPr>
          <w:spacing w:val="-9"/>
        </w:rPr>
        <w:t>亿元（</w:t>
      </w:r>
      <w:r>
        <w:rPr>
          <w:rFonts w:ascii="Arial" w:hAnsi="Arial" w:cs="Arial" w:eastAsia="Arial" w:hint="default"/>
          <w:spacing w:val="-9"/>
        </w:rPr>
        <w:t>2018</w:t>
      </w:r>
      <w:r>
        <w:rPr>
          <w:rFonts w:ascii="Arial" w:hAnsi="Arial" w:cs="Arial" w:eastAsia="Arial" w:hint="default"/>
          <w:spacing w:val="-5"/>
        </w:rPr>
        <w:t> </w:t>
      </w:r>
      <w:r>
        <w:rPr/>
        <w:t>年</w:t>
      </w:r>
      <w:r>
        <w:rPr>
          <w:spacing w:val="-56"/>
        </w:rPr>
        <w:t> </w:t>
      </w:r>
      <w:r>
        <w:rPr>
          <w:rFonts w:ascii="Arial" w:hAnsi="Arial" w:cs="Arial" w:eastAsia="Arial" w:hint="default"/>
        </w:rPr>
        <w:t>12</w:t>
      </w:r>
      <w:r>
        <w:rPr>
          <w:rFonts w:ascii="Arial" w:hAnsi="Arial" w:cs="Arial" w:eastAsia="Arial" w:hint="default"/>
          <w:spacing w:val="-5"/>
        </w:rPr>
        <w:t> </w:t>
      </w:r>
      <w:r>
        <w:rPr/>
        <w:t>月</w:t>
      </w:r>
      <w:r>
        <w:rPr>
          <w:spacing w:val="-56"/>
        </w:rPr>
        <w:t> </w:t>
      </w:r>
      <w:r>
        <w:rPr>
          <w:rFonts w:ascii="Arial" w:hAnsi="Arial" w:cs="Arial" w:eastAsia="Arial" w:hint="default"/>
        </w:rPr>
        <w:t>31</w:t>
      </w:r>
      <w:r>
        <w:rPr>
          <w:rFonts w:ascii="Arial" w:hAnsi="Arial" w:cs="Arial" w:eastAsia="Arial" w:hint="default"/>
          <w:spacing w:val="-9"/>
        </w:rPr>
        <w:t> </w:t>
      </w:r>
      <w:r>
        <w:rPr/>
        <w:t>日：</w:t>
      </w:r>
    </w:p>
    <w:p>
      <w:pPr>
        <w:pStyle w:val="BodyText"/>
        <w:spacing w:line="288" w:lineRule="exact" w:before="16"/>
        <w:ind w:left="587" w:right="103"/>
        <w:jc w:val="left"/>
      </w:pPr>
      <w:r>
        <w:rPr/>
        <w:t>约人民币</w:t>
      </w:r>
      <w:r>
        <w:rPr>
          <w:spacing w:val="-31"/>
        </w:rPr>
        <w:t> </w:t>
      </w:r>
      <w:r>
        <w:rPr>
          <w:rFonts w:ascii="Arial" w:hAnsi="Arial" w:cs="Arial" w:eastAsia="Arial" w:hint="default"/>
        </w:rPr>
        <w:t>107.97</w:t>
      </w:r>
      <w:r>
        <w:rPr>
          <w:rFonts w:ascii="Arial" w:hAnsi="Arial" w:cs="Arial" w:eastAsia="Arial" w:hint="default"/>
          <w:spacing w:val="21"/>
        </w:rPr>
        <w:t> </w:t>
      </w:r>
      <w:r>
        <w:rPr>
          <w:spacing w:val="-4"/>
        </w:rPr>
        <w:t>亿元），主要为应付工程及设备款，包括账龄超过一年尚未支付的工程或设备</w:t>
      </w:r>
      <w:r>
        <w:rPr>
          <w:spacing w:val="-106"/>
        </w:rPr>
        <w:t> </w:t>
      </w:r>
      <w:r>
        <w:rPr>
          <w:spacing w:val="-106"/>
        </w:rPr>
      </w:r>
      <w:r>
        <w:rPr/>
        <w:t>质保金等，鉴于债权债务双方仍继续发生业务往来，该项账款尚未结清。</w:t>
      </w:r>
    </w:p>
    <w:p>
      <w:pPr>
        <w:spacing w:after="0" w:line="288" w:lineRule="exact"/>
        <w:jc w:val="left"/>
        <w:sectPr>
          <w:headerReference w:type="default" r:id="rId171"/>
          <w:pgSz w:w="11910" w:h="16840"/>
          <w:pgMar w:header="1188" w:footer="502" w:top="3040" w:bottom="700" w:left="1020" w:right="1120"/>
        </w:sectPr>
      </w:pPr>
    </w:p>
    <w:p>
      <w:pPr>
        <w:spacing w:line="240" w:lineRule="auto" w:before="7"/>
        <w:rPr>
          <w:rFonts w:ascii="宋体" w:hAnsi="宋体" w:cs="宋体" w:eastAsia="宋体" w:hint="default"/>
          <w:sz w:val="16"/>
          <w:szCs w:val="16"/>
        </w:rPr>
      </w:pPr>
    </w:p>
    <w:p>
      <w:pPr>
        <w:pStyle w:val="BodyText"/>
        <w:spacing w:line="240" w:lineRule="auto" w:before="32"/>
        <w:ind w:left="112" w:right="91"/>
        <w:jc w:val="left"/>
      </w:pPr>
      <w:r>
        <w:rPr>
          <w:rFonts w:ascii="Arial" w:hAnsi="Arial" w:cs="Arial" w:eastAsia="Arial" w:hint="default"/>
        </w:rPr>
        <w:t>20</w:t>
      </w:r>
      <w:r>
        <w:rPr/>
        <w:t>、合同负债</w:t>
      </w:r>
    </w:p>
    <w:p>
      <w:pPr>
        <w:spacing w:line="240" w:lineRule="auto" w:before="1"/>
        <w:rPr>
          <w:rFonts w:ascii="宋体" w:hAnsi="宋体" w:cs="宋体" w:eastAsia="宋体" w:hint="default"/>
          <w:sz w:val="23"/>
          <w:szCs w:val="23"/>
        </w:rPr>
      </w:pPr>
    </w:p>
    <w:tbl>
      <w:tblPr>
        <w:tblW w:w="0" w:type="auto"/>
        <w:jc w:val="left"/>
        <w:tblInd w:w="335" w:type="dxa"/>
        <w:tblLayout w:type="fixed"/>
        <w:tblCellMar>
          <w:top w:w="0" w:type="dxa"/>
          <w:left w:w="0" w:type="dxa"/>
          <w:bottom w:w="0" w:type="dxa"/>
          <w:right w:w="0" w:type="dxa"/>
        </w:tblCellMar>
        <w:tblLook w:val="01E0"/>
      </w:tblPr>
      <w:tblGrid>
        <w:gridCol w:w="4496"/>
        <w:gridCol w:w="2251"/>
        <w:gridCol w:w="290"/>
        <w:gridCol w:w="2134"/>
      </w:tblGrid>
      <w:tr>
        <w:trPr>
          <w:trHeight w:val="264" w:hRule="exact"/>
        </w:trPr>
        <w:tc>
          <w:tcPr>
            <w:tcW w:w="4496"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single" w:sz="4" w:space="0" w:color="000000"/>
              <w:right w:val="nil" w:sz="6" w:space="0" w:color="auto"/>
            </w:tcBorders>
          </w:tcPr>
          <w:p>
            <w:pPr>
              <w:pStyle w:val="TableParagraph"/>
              <w:spacing w:line="236" w:lineRule="exact"/>
              <w:ind w:left="283"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290" w:type="dxa"/>
            <w:tcBorders>
              <w:top w:val="nil" w:sz="6" w:space="0" w:color="auto"/>
              <w:left w:val="nil" w:sz="6" w:space="0" w:color="auto"/>
              <w:bottom w:val="nil" w:sz="6" w:space="0" w:color="auto"/>
              <w:right w:val="nil" w:sz="6" w:space="0" w:color="auto"/>
            </w:tcBorders>
          </w:tcPr>
          <w:p>
            <w:pPr/>
          </w:p>
        </w:tc>
        <w:tc>
          <w:tcPr>
            <w:tcW w:w="2134" w:type="dxa"/>
            <w:tcBorders>
              <w:top w:val="nil" w:sz="6" w:space="0" w:color="auto"/>
              <w:left w:val="nil" w:sz="6" w:space="0" w:color="auto"/>
              <w:bottom w:val="single" w:sz="6" w:space="0" w:color="000000"/>
              <w:right w:val="nil" w:sz="6" w:space="0" w:color="auto"/>
            </w:tcBorders>
          </w:tcPr>
          <w:p>
            <w:pPr>
              <w:pStyle w:val="TableParagraph"/>
              <w:spacing w:line="236" w:lineRule="exact"/>
              <w:ind w:right="47"/>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557" w:hRule="exact"/>
        </w:trPr>
        <w:tc>
          <w:tcPr>
            <w:tcW w:w="449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预收用户服务费</w:t>
            </w:r>
          </w:p>
        </w:tc>
        <w:tc>
          <w:tcPr>
            <w:tcW w:w="2251"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623" w:right="0"/>
              <w:jc w:val="left"/>
              <w:rPr>
                <w:rFonts w:ascii="Arial" w:hAnsi="Arial" w:cs="Arial" w:eastAsia="Arial" w:hint="default"/>
                <w:sz w:val="22"/>
                <w:szCs w:val="22"/>
              </w:rPr>
            </w:pPr>
            <w:r>
              <w:rPr>
                <w:rFonts w:ascii="Arial"/>
                <w:sz w:val="22"/>
              </w:rPr>
              <w:t>38,222,554,341</w:t>
            </w:r>
          </w:p>
        </w:tc>
        <w:tc>
          <w:tcPr>
            <w:tcW w:w="290" w:type="dxa"/>
            <w:tcBorders>
              <w:top w:val="nil" w:sz="6" w:space="0" w:color="auto"/>
              <w:left w:val="nil" w:sz="6" w:space="0" w:color="auto"/>
              <w:bottom w:val="nil" w:sz="6" w:space="0" w:color="auto"/>
              <w:right w:val="nil" w:sz="6" w:space="0" w:color="auto"/>
            </w:tcBorders>
          </w:tcPr>
          <w:p>
            <w:pPr/>
          </w:p>
        </w:tc>
        <w:tc>
          <w:tcPr>
            <w:tcW w:w="2134"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46"/>
              <w:jc w:val="right"/>
              <w:rPr>
                <w:rFonts w:ascii="Arial" w:hAnsi="Arial" w:cs="Arial" w:eastAsia="Arial" w:hint="default"/>
                <w:sz w:val="22"/>
                <w:szCs w:val="22"/>
              </w:rPr>
            </w:pPr>
            <w:r>
              <w:rPr>
                <w:rFonts w:ascii="Arial"/>
                <w:sz w:val="22"/>
              </w:rPr>
              <w:t>39,080,507,491</w:t>
            </w:r>
          </w:p>
        </w:tc>
      </w:tr>
      <w:tr>
        <w:trPr>
          <w:trHeight w:val="293" w:hRule="exact"/>
        </w:trPr>
        <w:tc>
          <w:tcPr>
            <w:tcW w:w="4496"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251" w:type="dxa"/>
            <w:tcBorders>
              <w:top w:val="nil" w:sz="6" w:space="0" w:color="auto"/>
              <w:left w:val="nil" w:sz="6" w:space="0" w:color="auto"/>
              <w:bottom w:val="nil" w:sz="6" w:space="0" w:color="auto"/>
              <w:right w:val="nil" w:sz="6" w:space="0" w:color="auto"/>
            </w:tcBorders>
          </w:tcPr>
          <w:p>
            <w:pPr>
              <w:pStyle w:val="TableParagraph"/>
              <w:tabs>
                <w:tab w:pos="748" w:val="left" w:leader="none"/>
                <w:tab w:pos="3215" w:val="left" w:leader="none"/>
              </w:tabs>
              <w:spacing w:line="240" w:lineRule="auto" w:before="21"/>
              <w:ind w:right="-965"/>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2,740,859,567</w:t>
              <w:tab/>
            </w:r>
            <w:r>
              <w:rPr>
                <w:rFonts w:ascii="Arial"/>
                <w:sz w:val="22"/>
              </w:rPr>
            </w:r>
          </w:p>
        </w:tc>
        <w:tc>
          <w:tcPr>
            <w:tcW w:w="290" w:type="dxa"/>
            <w:tcBorders>
              <w:top w:val="nil" w:sz="6" w:space="0" w:color="auto"/>
              <w:left w:val="nil" w:sz="6" w:space="0" w:color="auto"/>
              <w:bottom w:val="nil" w:sz="6" w:space="0" w:color="auto"/>
              <w:right w:val="nil" w:sz="6" w:space="0" w:color="auto"/>
            </w:tcBorders>
          </w:tcPr>
          <w:p>
            <w:pP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8"/>
              <w:jc w:val="right"/>
              <w:rPr>
                <w:rFonts w:ascii="Arial" w:hAnsi="Arial" w:cs="Arial" w:eastAsia="Arial" w:hint="default"/>
                <w:sz w:val="22"/>
                <w:szCs w:val="22"/>
              </w:rPr>
            </w:pPr>
            <w:r>
              <w:rPr>
                <w:rFonts w:ascii="Arial"/>
                <w:w w:val="100"/>
                <w:sz w:val="22"/>
              </w:rPr>
            </w:r>
            <w:r>
              <w:rPr>
                <w:rFonts w:ascii="Arial"/>
                <w:spacing w:val="-1"/>
                <w:sz w:val="22"/>
                <w:u w:val="single" w:color="000000"/>
              </w:rPr>
              <w:t>3,887,700,626</w:t>
            </w:r>
            <w:r>
              <w:rPr>
                <w:rFonts w:ascii="Arial"/>
                <w:spacing w:val="-1"/>
                <w:sz w:val="22"/>
              </w:rPr>
            </w:r>
          </w:p>
        </w:tc>
      </w:tr>
      <w:tr>
        <w:trPr>
          <w:trHeight w:val="302" w:hRule="exact"/>
        </w:trPr>
        <w:tc>
          <w:tcPr>
            <w:tcW w:w="4496" w:type="dxa"/>
            <w:tcBorders>
              <w:top w:val="nil" w:sz="6" w:space="0" w:color="auto"/>
              <w:left w:val="nil" w:sz="6" w:space="0" w:color="auto"/>
              <w:bottom w:val="nil" w:sz="6" w:space="0" w:color="auto"/>
              <w:right w:val="nil" w:sz="6" w:space="0" w:color="auto"/>
            </w:tcBorders>
          </w:tcPr>
          <w:p>
            <w:pPr>
              <w:pStyle w:val="TableParagraph"/>
              <w:spacing w:line="244" w:lineRule="exact"/>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251"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left="623" w:right="0"/>
              <w:jc w:val="left"/>
              <w:rPr>
                <w:rFonts w:ascii="Arial" w:hAnsi="Arial" w:cs="Arial" w:eastAsia="Arial" w:hint="default"/>
                <w:sz w:val="22"/>
                <w:szCs w:val="22"/>
              </w:rPr>
            </w:pPr>
            <w:r>
              <w:rPr>
                <w:rFonts w:ascii="Arial"/>
                <w:sz w:val="22"/>
              </w:rPr>
              <w:t>40,963,413,908</w:t>
            </w:r>
          </w:p>
        </w:tc>
        <w:tc>
          <w:tcPr>
            <w:tcW w:w="290" w:type="dxa"/>
            <w:tcBorders>
              <w:top w:val="nil" w:sz="6" w:space="0" w:color="auto"/>
              <w:left w:val="nil" w:sz="6" w:space="0" w:color="auto"/>
              <w:bottom w:val="nil" w:sz="6" w:space="0" w:color="auto"/>
              <w:right w:val="nil" w:sz="6" w:space="0" w:color="auto"/>
            </w:tcBorders>
          </w:tcPr>
          <w:p>
            <w:pPr/>
          </w:p>
        </w:tc>
        <w:tc>
          <w:tcPr>
            <w:tcW w:w="2134" w:type="dxa"/>
            <w:tcBorders>
              <w:top w:val="nil" w:sz="6" w:space="0" w:color="auto"/>
              <w:left w:val="nil" w:sz="6" w:space="0" w:color="auto"/>
              <w:bottom w:val="single" w:sz="17" w:space="0" w:color="000000"/>
              <w:right w:val="nil" w:sz="6" w:space="0" w:color="auto"/>
            </w:tcBorders>
          </w:tcPr>
          <w:p>
            <w:pPr>
              <w:pStyle w:val="TableParagraph"/>
              <w:spacing w:line="240" w:lineRule="auto" w:before="21"/>
              <w:ind w:right="46"/>
              <w:jc w:val="right"/>
              <w:rPr>
                <w:rFonts w:ascii="Arial" w:hAnsi="Arial" w:cs="Arial" w:eastAsia="Arial" w:hint="default"/>
                <w:sz w:val="22"/>
                <w:szCs w:val="22"/>
              </w:rPr>
            </w:pPr>
            <w:r>
              <w:rPr>
                <w:rFonts w:ascii="Arial"/>
                <w:sz w:val="22"/>
              </w:rPr>
              <w:t>42,968,208,117</w:t>
            </w:r>
          </w:p>
        </w:tc>
      </w:tr>
    </w:tbl>
    <w:p>
      <w:pPr>
        <w:spacing w:line="240" w:lineRule="auto" w:before="10"/>
        <w:rPr>
          <w:rFonts w:ascii="宋体" w:hAnsi="宋体" w:cs="宋体" w:eastAsia="宋体" w:hint="default"/>
          <w:sz w:val="13"/>
          <w:szCs w:val="13"/>
        </w:rPr>
      </w:pPr>
    </w:p>
    <w:p>
      <w:pPr>
        <w:pStyle w:val="BodyText"/>
        <w:spacing w:line="232" w:lineRule="auto" w:before="40"/>
        <w:ind w:left="535" w:right="91"/>
        <w:jc w:val="left"/>
      </w:pPr>
      <w:r>
        <w:rPr/>
        <w:t>合同负债主要为本集团在履行履约义务前向用户收取的预收款。该合同的相关收入将在本集团</w:t>
      </w:r>
      <w:r>
        <w:rPr>
          <w:spacing w:val="-46"/>
        </w:rPr>
        <w:t> </w:t>
      </w:r>
      <w:r>
        <w:rPr>
          <w:spacing w:val="-46"/>
        </w:rPr>
      </w:r>
      <w:r>
        <w:rPr>
          <w:spacing w:val="-10"/>
          <w:w w:val="100"/>
        </w:rPr>
        <w:t>提供服务时确认。</w:t>
      </w:r>
      <w:r>
        <w:rPr>
          <w:rFonts w:ascii="Arial" w:hAnsi="Arial" w:cs="Arial" w:eastAsia="Arial" w:hint="default"/>
          <w:spacing w:val="-10"/>
          <w:w w:val="100"/>
        </w:rPr>
        <w:t>2018</w:t>
      </w:r>
      <w:r>
        <w:rPr>
          <w:rFonts w:ascii="Arial" w:hAnsi="Arial" w:cs="Arial" w:eastAsia="Arial" w:hint="default"/>
          <w:spacing w:val="-13"/>
          <w:w w:val="100"/>
        </w:rPr>
        <w:t> </w:t>
      </w:r>
      <w:r>
        <w:rPr>
          <w:w w:val="100"/>
        </w:rPr>
        <w:t>年</w:t>
      </w:r>
      <w:r>
        <w:rPr>
          <w:spacing w:val="-70"/>
          <w:w w:val="100"/>
        </w:rPr>
        <w:t> </w:t>
      </w:r>
      <w:r>
        <w:rPr>
          <w:rFonts w:ascii="Arial" w:hAnsi="Arial" w:cs="Arial" w:eastAsia="Arial" w:hint="default"/>
          <w:spacing w:val="1"/>
          <w:w w:val="100"/>
        </w:rPr>
        <w:t>12</w:t>
      </w:r>
      <w:r>
        <w:rPr>
          <w:rFonts w:ascii="Arial" w:hAnsi="Arial" w:cs="Arial" w:eastAsia="Arial" w:hint="default"/>
          <w:spacing w:val="-18"/>
          <w:w w:val="100"/>
        </w:rPr>
        <w:t> </w:t>
      </w:r>
      <w:r>
        <w:rPr>
          <w:w w:val="100"/>
        </w:rPr>
        <w:t>月</w:t>
      </w:r>
      <w:r>
        <w:rPr>
          <w:spacing w:val="-64"/>
          <w:w w:val="100"/>
        </w:rPr>
        <w:t> </w:t>
      </w:r>
      <w:r>
        <w:rPr>
          <w:rFonts w:ascii="Arial" w:hAnsi="Arial" w:cs="Arial" w:eastAsia="Arial" w:hint="default"/>
          <w:spacing w:val="-2"/>
          <w:w w:val="100"/>
        </w:rPr>
        <w:t>31</w:t>
      </w:r>
      <w:r>
        <w:rPr>
          <w:rFonts w:ascii="Arial" w:hAnsi="Arial" w:cs="Arial" w:eastAsia="Arial" w:hint="default"/>
          <w:spacing w:val="-13"/>
          <w:w w:val="100"/>
        </w:rPr>
        <w:t> </w:t>
      </w:r>
      <w:r>
        <w:rPr>
          <w:spacing w:val="-1"/>
          <w:w w:val="100"/>
        </w:rPr>
        <w:t>日的合同负债余额中约</w:t>
      </w:r>
      <w:r>
        <w:rPr>
          <w:spacing w:val="-64"/>
          <w:w w:val="100"/>
        </w:rPr>
        <w:t> </w:t>
      </w:r>
      <w:r>
        <w:rPr>
          <w:rFonts w:ascii="Arial" w:hAnsi="Arial" w:cs="Arial" w:eastAsia="Arial" w:hint="default"/>
          <w:spacing w:val="-7"/>
          <w:w w:val="100"/>
        </w:rPr>
        <w:t>96%</w:t>
      </w:r>
      <w:r>
        <w:rPr>
          <w:spacing w:val="-7"/>
          <w:w w:val="100"/>
        </w:rPr>
        <w:t>的部分在本年确认为收入（</w:t>
      </w:r>
      <w:r>
        <w:rPr>
          <w:rFonts w:ascii="Arial" w:hAnsi="Arial" w:cs="Arial" w:eastAsia="Arial" w:hint="default"/>
          <w:spacing w:val="-7"/>
          <w:w w:val="100"/>
        </w:rPr>
        <w:t>2018</w:t>
      </w:r>
      <w:r>
        <w:rPr>
          <w:spacing w:val="-7"/>
          <w:w w:val="100"/>
        </w:rPr>
        <w:t>：</w:t>
      </w:r>
      <w:r>
        <w:rPr>
          <w:w w:val="100"/>
        </w:rPr>
        <w:t> </w:t>
      </w:r>
      <w:r>
        <w:rPr/>
        <w:t>约</w:t>
      </w:r>
      <w:r>
        <w:rPr>
          <w:spacing w:val="-51"/>
        </w:rPr>
        <w:t> </w:t>
      </w:r>
      <w:r>
        <w:rPr>
          <w:rFonts w:ascii="Arial" w:hAnsi="Arial" w:cs="Arial" w:eastAsia="Arial" w:hint="default"/>
        </w:rPr>
        <w:t>96%</w:t>
      </w:r>
      <w:r>
        <w:rPr/>
        <w:t>）。</w:t>
      </w:r>
    </w:p>
    <w:p>
      <w:pPr>
        <w:spacing w:line="240" w:lineRule="auto" w:before="13"/>
        <w:rPr>
          <w:rFonts w:ascii="宋体" w:hAnsi="宋体" w:cs="宋体" w:eastAsia="宋体" w:hint="default"/>
          <w:sz w:val="17"/>
          <w:szCs w:val="17"/>
        </w:rPr>
      </w:pPr>
    </w:p>
    <w:p>
      <w:pPr>
        <w:pStyle w:val="BodyText"/>
        <w:spacing w:line="240" w:lineRule="auto"/>
        <w:ind w:left="112" w:right="91"/>
        <w:jc w:val="left"/>
      </w:pPr>
      <w:r>
        <w:rPr>
          <w:rFonts w:ascii="Arial" w:hAnsi="Arial" w:cs="Arial" w:eastAsia="Arial" w:hint="default"/>
        </w:rPr>
        <w:t>21</w:t>
      </w:r>
      <w:r>
        <w:rPr/>
        <w:t>、应付职工薪酬</w:t>
      </w:r>
    </w:p>
    <w:p>
      <w:pPr>
        <w:spacing w:line="240" w:lineRule="auto" w:before="6"/>
        <w:rPr>
          <w:rFonts w:ascii="宋体" w:hAnsi="宋体" w:cs="宋体" w:eastAsia="宋体" w:hint="default"/>
          <w:sz w:val="16"/>
          <w:szCs w:val="16"/>
        </w:rPr>
      </w:pPr>
    </w:p>
    <w:p>
      <w:pPr>
        <w:pStyle w:val="BodyText"/>
        <w:spacing w:line="240" w:lineRule="auto"/>
        <w:ind w:left="112" w:right="91"/>
        <w:jc w:val="left"/>
      </w:pPr>
      <w:r>
        <w:rPr>
          <w:rFonts w:ascii="Arial" w:hAnsi="Arial" w:cs="Arial" w:eastAsia="Arial" w:hint="default"/>
        </w:rPr>
        <w:t>(a) </w:t>
      </w:r>
      <w:r>
        <w:rPr>
          <w:rFonts w:ascii="Arial" w:hAnsi="Arial" w:cs="Arial" w:eastAsia="Arial" w:hint="default"/>
          <w:spacing w:val="36"/>
        </w:rPr>
        <w:t> </w:t>
      </w:r>
      <w:r>
        <w:rPr/>
        <w:t>应付职工薪酬列示</w:t>
      </w:r>
    </w:p>
    <w:p>
      <w:pPr>
        <w:spacing w:line="240" w:lineRule="auto" w:before="13"/>
        <w:rPr>
          <w:rFonts w:ascii="宋体" w:hAnsi="宋体" w:cs="宋体" w:eastAsia="宋体" w:hint="default"/>
          <w:sz w:val="20"/>
          <w:szCs w:val="20"/>
        </w:rPr>
      </w:pPr>
    </w:p>
    <w:tbl>
      <w:tblPr>
        <w:tblW w:w="0" w:type="auto"/>
        <w:jc w:val="left"/>
        <w:tblInd w:w="364" w:type="dxa"/>
        <w:tblLayout w:type="fixed"/>
        <w:tblCellMar>
          <w:top w:w="0" w:type="dxa"/>
          <w:left w:w="0" w:type="dxa"/>
          <w:bottom w:w="0" w:type="dxa"/>
          <w:right w:w="0" w:type="dxa"/>
        </w:tblCellMar>
        <w:tblLook w:val="01E0"/>
      </w:tblPr>
      <w:tblGrid>
        <w:gridCol w:w="2682"/>
        <w:gridCol w:w="1421"/>
        <w:gridCol w:w="1700"/>
        <w:gridCol w:w="1670"/>
        <w:gridCol w:w="115"/>
        <w:gridCol w:w="1651"/>
      </w:tblGrid>
      <w:tr>
        <w:trPr>
          <w:trHeight w:val="497" w:hRule="exact"/>
        </w:trPr>
        <w:tc>
          <w:tcPr>
            <w:tcW w:w="2682"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single" w:sz="6" w:space="0" w:color="000000"/>
              <w:right w:val="nil" w:sz="6" w:space="0" w:color="auto"/>
            </w:tcBorders>
          </w:tcPr>
          <w:p>
            <w:pPr>
              <w:pStyle w:val="TableParagraph"/>
              <w:spacing w:line="207" w:lineRule="exact"/>
              <w:ind w:left="676" w:right="0"/>
              <w:jc w:val="left"/>
              <w:rPr>
                <w:rFonts w:ascii="宋体" w:hAnsi="宋体" w:cs="宋体" w:eastAsia="宋体" w:hint="default"/>
                <w:sz w:val="20"/>
                <w:szCs w:val="20"/>
              </w:rPr>
            </w:pPr>
            <w:r>
              <w:rPr>
                <w:rFonts w:ascii="Arial" w:hAnsi="Arial" w:cs="Arial" w:eastAsia="Arial" w:hint="default"/>
                <w:sz w:val="20"/>
                <w:szCs w:val="20"/>
              </w:rPr>
              <w:t>2018</w:t>
            </w:r>
            <w:r>
              <w:rPr>
                <w:rFonts w:ascii="Arial" w:hAnsi="Arial" w:cs="Arial" w:eastAsia="Arial" w:hint="default"/>
                <w:spacing w:val="-11"/>
                <w:sz w:val="20"/>
                <w:szCs w:val="20"/>
              </w:rPr>
              <w:t> </w:t>
            </w:r>
            <w:r>
              <w:rPr>
                <w:rFonts w:ascii="宋体" w:hAnsi="宋体" w:cs="宋体" w:eastAsia="宋体" w:hint="default"/>
                <w:sz w:val="20"/>
                <w:szCs w:val="20"/>
              </w:rPr>
              <w:t>年</w:t>
            </w:r>
          </w:p>
          <w:p>
            <w:pPr>
              <w:pStyle w:val="TableParagraph"/>
              <w:spacing w:line="268" w:lineRule="exact"/>
              <w:ind w:left="379" w:right="0"/>
              <w:jc w:val="left"/>
              <w:rPr>
                <w:rFonts w:ascii="宋体" w:hAnsi="宋体" w:cs="宋体" w:eastAsia="宋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宋体" w:hAnsi="宋体" w:cs="宋体" w:eastAsia="宋体" w:hint="default"/>
                <w:sz w:val="20"/>
                <w:szCs w:val="20"/>
              </w:rPr>
              <w:t>日</w:t>
            </w:r>
          </w:p>
        </w:tc>
        <w:tc>
          <w:tcPr>
            <w:tcW w:w="1700"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465" w:right="0"/>
              <w:jc w:val="left"/>
              <w:rPr>
                <w:rFonts w:ascii="宋体" w:hAnsi="宋体" w:cs="宋体" w:eastAsia="宋体" w:hint="default"/>
                <w:sz w:val="20"/>
                <w:szCs w:val="20"/>
              </w:rPr>
            </w:pPr>
            <w:r>
              <w:rPr>
                <w:rFonts w:ascii="宋体" w:hAnsi="宋体" w:cs="宋体" w:eastAsia="宋体" w:hint="default"/>
                <w:sz w:val="20"/>
                <w:szCs w:val="20"/>
              </w:rPr>
              <w:t>本年增加</w:t>
            </w:r>
          </w:p>
        </w:tc>
        <w:tc>
          <w:tcPr>
            <w:tcW w:w="1670"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20"/>
                <w:szCs w:val="20"/>
              </w:rPr>
            </w:pPr>
            <w:r>
              <w:rPr>
                <w:rFonts w:ascii="宋体" w:hAnsi="宋体" w:cs="宋体" w:eastAsia="宋体" w:hint="default"/>
                <w:sz w:val="20"/>
                <w:szCs w:val="20"/>
              </w:rPr>
              <w:t>本年减少</w:t>
            </w:r>
          </w:p>
        </w:tc>
        <w:tc>
          <w:tcPr>
            <w:tcW w:w="115" w:type="dxa"/>
            <w:tcBorders>
              <w:top w:val="nil" w:sz="6" w:space="0" w:color="auto"/>
              <w:left w:val="nil" w:sz="6" w:space="0" w:color="auto"/>
              <w:bottom w:val="nil" w:sz="6" w:space="0" w:color="auto"/>
              <w:right w:val="nil" w:sz="6" w:space="0" w:color="auto"/>
            </w:tcBorders>
          </w:tcPr>
          <w:p>
            <w:pPr/>
          </w:p>
        </w:tc>
        <w:tc>
          <w:tcPr>
            <w:tcW w:w="1651" w:type="dxa"/>
            <w:tcBorders>
              <w:top w:val="nil" w:sz="6" w:space="0" w:color="auto"/>
              <w:left w:val="nil" w:sz="6" w:space="0" w:color="auto"/>
              <w:bottom w:val="single" w:sz="6" w:space="0" w:color="000000"/>
              <w:right w:val="nil" w:sz="6" w:space="0" w:color="auto"/>
            </w:tcBorders>
          </w:tcPr>
          <w:p>
            <w:pPr>
              <w:pStyle w:val="TableParagraph"/>
              <w:spacing w:line="207" w:lineRule="exact"/>
              <w:ind w:left="912" w:right="0"/>
              <w:jc w:val="left"/>
              <w:rPr>
                <w:rFonts w:ascii="宋体" w:hAnsi="宋体" w:cs="宋体" w:eastAsia="宋体" w:hint="default"/>
                <w:sz w:val="20"/>
                <w:szCs w:val="20"/>
              </w:rPr>
            </w:pPr>
            <w:r>
              <w:rPr>
                <w:rFonts w:ascii="Arial" w:hAnsi="Arial" w:cs="Arial" w:eastAsia="Arial" w:hint="default"/>
                <w:sz w:val="20"/>
                <w:szCs w:val="20"/>
              </w:rPr>
              <w:t>2019</w:t>
            </w:r>
            <w:r>
              <w:rPr>
                <w:rFonts w:ascii="Arial" w:hAnsi="Arial" w:cs="Arial" w:eastAsia="Arial" w:hint="default"/>
                <w:spacing w:val="-11"/>
                <w:sz w:val="20"/>
                <w:szCs w:val="20"/>
              </w:rPr>
              <w:t> </w:t>
            </w:r>
            <w:r>
              <w:rPr>
                <w:rFonts w:ascii="宋体" w:hAnsi="宋体" w:cs="宋体" w:eastAsia="宋体" w:hint="default"/>
                <w:sz w:val="20"/>
                <w:szCs w:val="20"/>
              </w:rPr>
              <w:t>年</w:t>
            </w:r>
          </w:p>
          <w:p>
            <w:pPr>
              <w:pStyle w:val="TableParagraph"/>
              <w:spacing w:line="268" w:lineRule="exact"/>
              <w:ind w:left="614" w:right="0"/>
              <w:jc w:val="left"/>
              <w:rPr>
                <w:rFonts w:ascii="宋体" w:hAnsi="宋体" w:cs="宋体" w:eastAsia="宋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宋体" w:hAnsi="宋体" w:cs="宋体" w:eastAsia="宋体" w:hint="default"/>
                <w:sz w:val="20"/>
                <w:szCs w:val="20"/>
              </w:rPr>
              <w:t>日</w:t>
            </w:r>
          </w:p>
        </w:tc>
      </w:tr>
      <w:tr>
        <w:trPr>
          <w:trHeight w:val="561"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00" w:right="0"/>
              <w:jc w:val="left"/>
              <w:rPr>
                <w:rFonts w:ascii="宋体" w:hAnsi="宋体" w:cs="宋体" w:eastAsia="宋体" w:hint="default"/>
                <w:sz w:val="20"/>
                <w:szCs w:val="20"/>
              </w:rPr>
            </w:pPr>
            <w:r>
              <w:rPr>
                <w:rFonts w:ascii="宋体" w:hAnsi="宋体" w:cs="宋体" w:eastAsia="宋体" w:hint="default"/>
                <w:sz w:val="20"/>
                <w:szCs w:val="20"/>
              </w:rPr>
              <w:t>短期薪酬</w:t>
            </w:r>
          </w:p>
        </w:tc>
        <w:tc>
          <w:tcPr>
            <w:tcW w:w="1421" w:type="dxa"/>
            <w:tcBorders>
              <w:top w:val="single" w:sz="6"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40"/>
              <w:jc w:val="right"/>
              <w:rPr>
                <w:rFonts w:ascii="Arial" w:hAnsi="Arial" w:cs="Arial" w:eastAsia="Arial" w:hint="default"/>
                <w:sz w:val="20"/>
                <w:szCs w:val="20"/>
              </w:rPr>
            </w:pPr>
            <w:r>
              <w:rPr>
                <w:rFonts w:ascii="Arial"/>
                <w:spacing w:val="-2"/>
                <w:sz w:val="20"/>
              </w:rPr>
              <w:t>7,012,826,848</w:t>
            </w:r>
            <w:r>
              <w:rPr>
                <w:rFonts w:ascii="Arial"/>
                <w:sz w:val="20"/>
              </w:rPr>
            </w:r>
          </w:p>
        </w:tc>
        <w:tc>
          <w:tcPr>
            <w:tcW w:w="1700" w:type="dxa"/>
            <w:tcBorders>
              <w:top w:val="single" w:sz="6"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201" w:right="0"/>
              <w:jc w:val="left"/>
              <w:rPr>
                <w:rFonts w:ascii="Arial" w:hAnsi="Arial" w:cs="Arial" w:eastAsia="Arial" w:hint="default"/>
                <w:sz w:val="20"/>
                <w:szCs w:val="20"/>
              </w:rPr>
            </w:pPr>
            <w:r>
              <w:rPr>
                <w:rFonts w:ascii="Arial"/>
                <w:sz w:val="20"/>
              </w:rPr>
              <w:t>44,027,342,608</w:t>
            </w:r>
          </w:p>
        </w:tc>
        <w:tc>
          <w:tcPr>
            <w:tcW w:w="1670" w:type="dxa"/>
            <w:tcBorders>
              <w:top w:val="single" w:sz="6"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42"/>
              <w:jc w:val="right"/>
              <w:rPr>
                <w:rFonts w:ascii="Arial" w:hAnsi="Arial" w:cs="Arial" w:eastAsia="Arial" w:hint="default"/>
                <w:sz w:val="20"/>
                <w:szCs w:val="20"/>
              </w:rPr>
            </w:pPr>
            <w:r>
              <w:rPr>
                <w:rFonts w:ascii="Arial"/>
                <w:spacing w:val="-2"/>
                <w:sz w:val="20"/>
              </w:rPr>
              <w:t>(42,165,435,269)</w:t>
            </w:r>
            <w:r>
              <w:rPr>
                <w:rFonts w:ascii="Arial"/>
                <w:sz w:val="20"/>
              </w:rPr>
            </w:r>
          </w:p>
        </w:tc>
        <w:tc>
          <w:tcPr>
            <w:tcW w:w="115" w:type="dxa"/>
            <w:tcBorders>
              <w:top w:val="nil" w:sz="6" w:space="0" w:color="auto"/>
              <w:left w:val="nil" w:sz="6" w:space="0" w:color="auto"/>
              <w:bottom w:val="nil" w:sz="6" w:space="0" w:color="auto"/>
              <w:right w:val="nil" w:sz="6" w:space="0" w:color="auto"/>
            </w:tcBorders>
          </w:tcPr>
          <w:p>
            <w:pPr/>
          </w:p>
        </w:tc>
        <w:tc>
          <w:tcPr>
            <w:tcW w:w="1651" w:type="dxa"/>
            <w:tcBorders>
              <w:top w:val="single" w:sz="6"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278" w:right="0"/>
              <w:jc w:val="left"/>
              <w:rPr>
                <w:rFonts w:ascii="Arial" w:hAnsi="Arial" w:cs="Arial" w:eastAsia="Arial" w:hint="default"/>
                <w:sz w:val="20"/>
                <w:szCs w:val="20"/>
              </w:rPr>
            </w:pPr>
            <w:r>
              <w:rPr>
                <w:rFonts w:ascii="Arial"/>
                <w:sz w:val="20"/>
              </w:rPr>
              <w:t>8,874,734,187</w:t>
            </w:r>
          </w:p>
        </w:tc>
      </w:tr>
      <w:tr>
        <w:trPr>
          <w:trHeight w:val="259"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32" w:lineRule="exact"/>
              <w:ind w:left="200" w:right="0"/>
              <w:jc w:val="left"/>
              <w:rPr>
                <w:rFonts w:ascii="宋体" w:hAnsi="宋体" w:cs="宋体" w:eastAsia="宋体" w:hint="default"/>
                <w:sz w:val="20"/>
                <w:szCs w:val="20"/>
              </w:rPr>
            </w:pPr>
            <w:r>
              <w:rPr>
                <w:rFonts w:ascii="宋体" w:hAnsi="宋体" w:cs="宋体" w:eastAsia="宋体" w:hint="default"/>
                <w:sz w:val="20"/>
                <w:szCs w:val="20"/>
              </w:rPr>
              <w:t>离职后福利</w:t>
            </w:r>
            <w:r>
              <w:rPr>
                <w:rFonts w:ascii="Arial" w:hAnsi="Arial" w:cs="Arial" w:eastAsia="Arial" w:hint="default"/>
                <w:sz w:val="20"/>
                <w:szCs w:val="20"/>
              </w:rPr>
              <w:t>-</w:t>
            </w:r>
            <w:r>
              <w:rPr>
                <w:rFonts w:ascii="宋体" w:hAnsi="宋体" w:cs="宋体" w:eastAsia="宋体" w:hint="default"/>
                <w:sz w:val="20"/>
                <w:szCs w:val="20"/>
              </w:rPr>
              <w:t>设定提存计划</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0"/>
              <w:jc w:val="right"/>
              <w:rPr>
                <w:rFonts w:ascii="Arial" w:hAnsi="Arial" w:cs="Arial" w:eastAsia="Arial" w:hint="default"/>
                <w:sz w:val="20"/>
                <w:szCs w:val="20"/>
              </w:rPr>
            </w:pPr>
            <w:r>
              <w:rPr>
                <w:rFonts w:ascii="Arial"/>
                <w:spacing w:val="-2"/>
                <w:sz w:val="20"/>
              </w:rPr>
              <w:t>1,237,148,223</w:t>
            </w:r>
            <w:r>
              <w:rPr>
                <w:rFonts w:ascii="Arial"/>
                <w:sz w:val="20"/>
              </w:rPr>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16" w:right="0"/>
              <w:jc w:val="left"/>
              <w:rPr>
                <w:rFonts w:ascii="Arial" w:hAnsi="Arial" w:cs="Arial" w:eastAsia="Arial" w:hint="default"/>
                <w:sz w:val="20"/>
                <w:szCs w:val="20"/>
              </w:rPr>
            </w:pPr>
            <w:r>
              <w:rPr>
                <w:rFonts w:ascii="Arial"/>
                <w:sz w:val="20"/>
              </w:rPr>
              <w:t>7,242,432,767</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2"/>
              <w:jc w:val="right"/>
              <w:rPr>
                <w:rFonts w:ascii="Arial" w:hAnsi="Arial" w:cs="Arial" w:eastAsia="Arial" w:hint="default"/>
                <w:sz w:val="20"/>
                <w:szCs w:val="20"/>
              </w:rPr>
            </w:pPr>
            <w:r>
              <w:rPr>
                <w:rFonts w:ascii="Arial"/>
                <w:spacing w:val="-2"/>
                <w:sz w:val="20"/>
              </w:rPr>
              <w:t>(7,872,067,682)</w:t>
            </w:r>
            <w:r>
              <w:rPr>
                <w:rFonts w:ascii="Arial"/>
                <w:sz w:val="20"/>
              </w:rPr>
            </w:r>
          </w:p>
        </w:tc>
        <w:tc>
          <w:tcPr>
            <w:tcW w:w="115" w:type="dxa"/>
            <w:tcBorders>
              <w:top w:val="nil" w:sz="6" w:space="0" w:color="auto"/>
              <w:left w:val="nil" w:sz="6" w:space="0" w:color="auto"/>
              <w:bottom w:val="nil" w:sz="6" w:space="0" w:color="auto"/>
              <w:right w:val="nil" w:sz="6" w:space="0" w:color="auto"/>
            </w:tcBorders>
          </w:tcPr>
          <w:p>
            <w:pP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93"/>
              <w:jc w:val="right"/>
              <w:rPr>
                <w:rFonts w:ascii="Arial" w:hAnsi="Arial" w:cs="Arial" w:eastAsia="Arial" w:hint="default"/>
                <w:sz w:val="20"/>
                <w:szCs w:val="20"/>
              </w:rPr>
            </w:pPr>
            <w:r>
              <w:rPr>
                <w:rFonts w:ascii="Arial"/>
                <w:spacing w:val="-2"/>
                <w:sz w:val="20"/>
              </w:rPr>
              <w:t>607,513,308</w:t>
            </w:r>
            <w:r>
              <w:rPr>
                <w:rFonts w:ascii="Arial"/>
                <w:sz w:val="20"/>
              </w:rPr>
            </w:r>
          </w:p>
        </w:tc>
      </w:tr>
      <w:tr>
        <w:trPr>
          <w:trHeight w:val="259"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32" w:lineRule="exact"/>
              <w:ind w:left="200" w:right="0"/>
              <w:jc w:val="left"/>
              <w:rPr>
                <w:rFonts w:ascii="宋体" w:hAnsi="宋体" w:cs="宋体" w:eastAsia="宋体" w:hint="default"/>
                <w:sz w:val="20"/>
                <w:szCs w:val="20"/>
              </w:rPr>
            </w:pPr>
            <w:r>
              <w:rPr>
                <w:rFonts w:ascii="宋体" w:hAnsi="宋体" w:cs="宋体" w:eastAsia="宋体" w:hint="default"/>
                <w:sz w:val="20"/>
                <w:szCs w:val="20"/>
              </w:rPr>
              <w:t>内退员工补偿费（注</w:t>
            </w:r>
            <w:r>
              <w:rPr>
                <w:rFonts w:ascii="宋体" w:hAnsi="宋体" w:cs="宋体" w:eastAsia="宋体" w:hint="default"/>
                <w:spacing w:val="-48"/>
                <w:sz w:val="20"/>
                <w:szCs w:val="20"/>
              </w:rPr>
              <w:t> </w:t>
            </w:r>
            <w:r>
              <w:rPr>
                <w:rFonts w:ascii="Arial" w:hAnsi="Arial" w:cs="Arial" w:eastAsia="Arial" w:hint="default"/>
                <w:sz w:val="20"/>
                <w:szCs w:val="20"/>
              </w:rPr>
              <w:t>1</w:t>
            </w:r>
            <w:r>
              <w:rPr>
                <w:rFonts w:ascii="宋体" w:hAnsi="宋体" w:cs="宋体" w:eastAsia="宋体" w:hint="default"/>
                <w:sz w:val="20"/>
                <w:szCs w:val="20"/>
              </w:rPr>
              <w:t>）</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0"/>
              <w:jc w:val="right"/>
              <w:rPr>
                <w:rFonts w:ascii="Arial" w:hAnsi="Arial" w:cs="Arial" w:eastAsia="Arial" w:hint="default"/>
                <w:sz w:val="20"/>
                <w:szCs w:val="20"/>
              </w:rPr>
            </w:pPr>
            <w:r>
              <w:rPr>
                <w:rFonts w:ascii="Arial"/>
                <w:spacing w:val="-2"/>
                <w:sz w:val="20"/>
              </w:rPr>
              <w:t>8,978,440</w:t>
            </w:r>
            <w:r>
              <w:rPr>
                <w:rFonts w:ascii="Arial"/>
                <w:sz w:val="20"/>
              </w:rPr>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16"/>
              <w:ind w:left="705" w:right="0"/>
              <w:jc w:val="left"/>
              <w:rPr>
                <w:rFonts w:ascii="Arial" w:hAnsi="Arial" w:cs="Arial" w:eastAsia="Arial" w:hint="default"/>
                <w:sz w:val="20"/>
                <w:szCs w:val="20"/>
              </w:rPr>
            </w:pPr>
            <w:r>
              <w:rPr>
                <w:rFonts w:ascii="Arial"/>
                <w:sz w:val="20"/>
              </w:rPr>
              <w:t>4,522,540</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2"/>
              <w:jc w:val="right"/>
              <w:rPr>
                <w:rFonts w:ascii="Arial" w:hAnsi="Arial" w:cs="Arial" w:eastAsia="Arial" w:hint="default"/>
                <w:sz w:val="20"/>
                <w:szCs w:val="20"/>
              </w:rPr>
            </w:pPr>
            <w:r>
              <w:rPr>
                <w:rFonts w:ascii="Arial"/>
                <w:spacing w:val="-2"/>
                <w:sz w:val="20"/>
              </w:rPr>
              <w:t>(5,980,629)</w:t>
            </w:r>
            <w:r>
              <w:rPr>
                <w:rFonts w:ascii="Arial"/>
                <w:sz w:val="20"/>
              </w:rPr>
            </w:r>
          </w:p>
        </w:tc>
        <w:tc>
          <w:tcPr>
            <w:tcW w:w="115" w:type="dxa"/>
            <w:tcBorders>
              <w:top w:val="nil" w:sz="6" w:space="0" w:color="auto"/>
              <w:left w:val="nil" w:sz="6" w:space="0" w:color="auto"/>
              <w:bottom w:val="nil" w:sz="6" w:space="0" w:color="auto"/>
              <w:right w:val="nil" w:sz="6" w:space="0" w:color="auto"/>
            </w:tcBorders>
          </w:tcPr>
          <w:p>
            <w:pP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93"/>
              <w:jc w:val="right"/>
              <w:rPr>
                <w:rFonts w:ascii="Arial" w:hAnsi="Arial" w:cs="Arial" w:eastAsia="Arial" w:hint="default"/>
                <w:sz w:val="20"/>
                <w:szCs w:val="20"/>
              </w:rPr>
            </w:pPr>
            <w:r>
              <w:rPr>
                <w:rFonts w:ascii="Arial"/>
                <w:spacing w:val="-2"/>
                <w:sz w:val="20"/>
              </w:rPr>
              <w:t>7,520,351</w:t>
            </w:r>
            <w:r>
              <w:rPr>
                <w:rFonts w:ascii="Arial"/>
                <w:sz w:val="20"/>
              </w:rPr>
            </w:r>
          </w:p>
        </w:tc>
      </w:tr>
      <w:tr>
        <w:trPr>
          <w:trHeight w:val="382"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32" w:lineRule="exact"/>
              <w:ind w:left="200" w:right="0"/>
              <w:jc w:val="left"/>
              <w:rPr>
                <w:rFonts w:ascii="宋体" w:hAnsi="宋体" w:cs="宋体" w:eastAsia="宋体" w:hint="default"/>
                <w:sz w:val="20"/>
                <w:szCs w:val="20"/>
              </w:rPr>
            </w:pPr>
            <w:r>
              <w:rPr>
                <w:rFonts w:ascii="宋体" w:hAnsi="宋体" w:cs="宋体" w:eastAsia="宋体" w:hint="default"/>
                <w:sz w:val="20"/>
                <w:szCs w:val="20"/>
              </w:rPr>
              <w:t>离退休后补充福利（注</w:t>
            </w:r>
            <w:r>
              <w:rPr>
                <w:rFonts w:ascii="宋体" w:hAnsi="宋体" w:cs="宋体" w:eastAsia="宋体" w:hint="default"/>
                <w:spacing w:val="-46"/>
                <w:sz w:val="20"/>
                <w:szCs w:val="20"/>
              </w:rPr>
              <w:t> </w:t>
            </w:r>
            <w:r>
              <w:rPr>
                <w:rFonts w:ascii="Arial" w:hAnsi="Arial" w:cs="Arial" w:eastAsia="Arial" w:hint="default"/>
                <w:sz w:val="20"/>
                <w:szCs w:val="20"/>
              </w:rPr>
              <w:t>2</w:t>
            </w:r>
            <w:r>
              <w:rPr>
                <w:rFonts w:ascii="宋体" w:hAnsi="宋体" w:cs="宋体" w:eastAsia="宋体" w:hint="default"/>
                <w:sz w:val="20"/>
                <w:szCs w:val="20"/>
              </w:rPr>
              <w:t>）</w:t>
            </w:r>
          </w:p>
        </w:tc>
        <w:tc>
          <w:tcPr>
            <w:tcW w:w="1421" w:type="dxa"/>
            <w:tcBorders>
              <w:top w:val="nil" w:sz="6" w:space="0" w:color="auto"/>
              <w:left w:val="nil" w:sz="6" w:space="0" w:color="auto"/>
              <w:bottom w:val="nil" w:sz="6" w:space="0" w:color="auto"/>
              <w:right w:val="nil" w:sz="6" w:space="0" w:color="auto"/>
            </w:tcBorders>
          </w:tcPr>
          <w:p>
            <w:pPr>
              <w:pStyle w:val="TableParagraph"/>
              <w:tabs>
                <w:tab w:pos="489" w:val="left" w:leader="none"/>
              </w:tabs>
              <w:spacing w:line="240" w:lineRule="auto" w:before="16"/>
              <w:ind w:right="4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4,404,340</w:t>
            </w:r>
            <w:r>
              <w:rPr>
                <w:rFonts w:ascii="Arial"/>
                <w:spacing w:val="-2"/>
                <w:sz w:val="20"/>
              </w:rPr>
            </w:r>
            <w:r>
              <w:rPr>
                <w:rFonts w:ascii="Arial"/>
                <w:sz w:val="20"/>
              </w:rPr>
            </w:r>
          </w:p>
        </w:tc>
        <w:tc>
          <w:tcPr>
            <w:tcW w:w="1700" w:type="dxa"/>
            <w:tcBorders>
              <w:top w:val="nil" w:sz="6" w:space="0" w:color="auto"/>
              <w:left w:val="nil" w:sz="6" w:space="0" w:color="auto"/>
              <w:bottom w:val="nil" w:sz="6" w:space="0" w:color="auto"/>
              <w:right w:val="nil" w:sz="6" w:space="0" w:color="auto"/>
            </w:tcBorders>
          </w:tcPr>
          <w:p>
            <w:pPr>
              <w:pStyle w:val="TableParagraph"/>
              <w:tabs>
                <w:tab w:pos="705" w:val="left" w:leader="none"/>
                <w:tab w:pos="1689" w:val="left" w:leader="none"/>
              </w:tabs>
              <w:spacing w:line="240" w:lineRule="auto" w:before="16"/>
              <w:ind w:left="96"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4,057,298</w:t>
              <w:tab/>
            </w:r>
            <w:r>
              <w:rPr>
                <w:rFonts w:ascii="Arial"/>
                <w:sz w:val="20"/>
              </w:rPr>
            </w:r>
          </w:p>
        </w:tc>
        <w:tc>
          <w:tcPr>
            <w:tcW w:w="1670" w:type="dxa"/>
            <w:tcBorders>
              <w:top w:val="nil" w:sz="6" w:space="0" w:color="auto"/>
              <w:left w:val="nil" w:sz="6" w:space="0" w:color="auto"/>
              <w:bottom w:val="nil" w:sz="6" w:space="0" w:color="auto"/>
              <w:right w:val="nil" w:sz="6" w:space="0" w:color="auto"/>
            </w:tcBorders>
          </w:tcPr>
          <w:p>
            <w:pPr>
              <w:pStyle w:val="TableParagraph"/>
              <w:tabs>
                <w:tab w:pos="556" w:val="left" w:leader="none"/>
              </w:tabs>
              <w:spacing w:line="240" w:lineRule="auto" w:before="16"/>
              <w:ind w:right="42"/>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(4,679,452)</w:t>
            </w:r>
            <w:r>
              <w:rPr>
                <w:rFonts w:ascii="Arial"/>
                <w:spacing w:val="-2"/>
                <w:sz w:val="20"/>
              </w:rPr>
            </w:r>
            <w:r>
              <w:rPr>
                <w:rFonts w:ascii="Arial"/>
                <w:sz w:val="20"/>
              </w:rPr>
            </w:r>
          </w:p>
        </w:tc>
        <w:tc>
          <w:tcPr>
            <w:tcW w:w="115" w:type="dxa"/>
            <w:tcBorders>
              <w:top w:val="nil" w:sz="6" w:space="0" w:color="auto"/>
              <w:left w:val="nil" w:sz="6" w:space="0" w:color="auto"/>
              <w:bottom w:val="nil" w:sz="6" w:space="0" w:color="auto"/>
              <w:right w:val="nil" w:sz="6" w:space="0" w:color="auto"/>
            </w:tcBorders>
          </w:tcPr>
          <w:p>
            <w:pPr/>
          </w:p>
        </w:tc>
        <w:tc>
          <w:tcPr>
            <w:tcW w:w="1651" w:type="dxa"/>
            <w:tcBorders>
              <w:top w:val="nil" w:sz="6" w:space="0" w:color="auto"/>
              <w:left w:val="nil" w:sz="6" w:space="0" w:color="auto"/>
              <w:bottom w:val="nil" w:sz="6" w:space="0" w:color="auto"/>
              <w:right w:val="nil" w:sz="6" w:space="0" w:color="auto"/>
            </w:tcBorders>
          </w:tcPr>
          <w:p>
            <w:pPr>
              <w:pStyle w:val="TableParagraph"/>
              <w:tabs>
                <w:tab w:pos="667" w:val="left" w:leader="none"/>
                <w:tab w:pos="1651" w:val="left" w:leader="none"/>
              </w:tabs>
              <w:spacing w:line="240" w:lineRule="auto" w:before="16"/>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3,782,186</w:t>
              <w:tab/>
            </w:r>
            <w:r>
              <w:rPr>
                <w:rFonts w:ascii="Arial"/>
                <w:spacing w:val="-2"/>
                <w:sz w:val="20"/>
              </w:rPr>
            </w:r>
          </w:p>
        </w:tc>
      </w:tr>
      <w:tr>
        <w:trPr>
          <w:trHeight w:val="392"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78"/>
              <w:ind w:left="200"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421"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right="40"/>
              <w:jc w:val="right"/>
              <w:rPr>
                <w:rFonts w:ascii="Arial" w:hAnsi="Arial" w:cs="Arial" w:eastAsia="Arial" w:hint="default"/>
                <w:sz w:val="20"/>
                <w:szCs w:val="20"/>
              </w:rPr>
            </w:pPr>
            <w:r>
              <w:rPr>
                <w:rFonts w:ascii="Arial"/>
                <w:spacing w:val="-2"/>
                <w:sz w:val="20"/>
              </w:rPr>
              <w:t>8,263,357,851</w:t>
            </w:r>
            <w:r>
              <w:rPr>
                <w:rFonts w:ascii="Arial"/>
                <w:sz w:val="20"/>
              </w:rPr>
            </w:r>
          </w:p>
        </w:tc>
        <w:tc>
          <w:tcPr>
            <w:tcW w:w="1700"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left="206" w:right="0"/>
              <w:jc w:val="left"/>
              <w:rPr>
                <w:rFonts w:ascii="Arial" w:hAnsi="Arial" w:cs="Arial" w:eastAsia="Arial" w:hint="default"/>
                <w:sz w:val="20"/>
                <w:szCs w:val="20"/>
              </w:rPr>
            </w:pPr>
            <w:r>
              <w:rPr>
                <w:rFonts w:ascii="Arial"/>
                <w:sz w:val="20"/>
              </w:rPr>
              <w:t>51,278,355,213</w:t>
            </w:r>
          </w:p>
        </w:tc>
        <w:tc>
          <w:tcPr>
            <w:tcW w:w="1670"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right="42"/>
              <w:jc w:val="right"/>
              <w:rPr>
                <w:rFonts w:ascii="Arial" w:hAnsi="Arial" w:cs="Arial" w:eastAsia="Arial" w:hint="default"/>
                <w:sz w:val="20"/>
                <w:szCs w:val="20"/>
              </w:rPr>
            </w:pPr>
            <w:r>
              <w:rPr>
                <w:rFonts w:ascii="Arial"/>
                <w:spacing w:val="-2"/>
                <w:sz w:val="20"/>
              </w:rPr>
              <w:t>(50,048,163,032)</w:t>
            </w:r>
            <w:r>
              <w:rPr>
                <w:rFonts w:ascii="Arial"/>
                <w:sz w:val="20"/>
              </w:rPr>
            </w:r>
          </w:p>
        </w:tc>
        <w:tc>
          <w:tcPr>
            <w:tcW w:w="115" w:type="dxa"/>
            <w:tcBorders>
              <w:top w:val="nil" w:sz="6" w:space="0" w:color="auto"/>
              <w:left w:val="nil" w:sz="6" w:space="0" w:color="auto"/>
              <w:bottom w:val="nil" w:sz="6" w:space="0" w:color="auto"/>
              <w:right w:val="nil" w:sz="6" w:space="0" w:color="auto"/>
            </w:tcBorders>
          </w:tcPr>
          <w:p>
            <w:pPr/>
          </w:p>
        </w:tc>
        <w:tc>
          <w:tcPr>
            <w:tcW w:w="1651"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left="278" w:right="0"/>
              <w:jc w:val="left"/>
              <w:rPr>
                <w:rFonts w:ascii="Arial" w:hAnsi="Arial" w:cs="Arial" w:eastAsia="Arial" w:hint="default"/>
                <w:sz w:val="20"/>
                <w:szCs w:val="20"/>
              </w:rPr>
            </w:pPr>
            <w:r>
              <w:rPr>
                <w:rFonts w:ascii="Arial"/>
                <w:sz w:val="20"/>
              </w:rPr>
              <w:t>9,493,550,032</w:t>
            </w:r>
          </w:p>
        </w:tc>
      </w:tr>
    </w:tbl>
    <w:p>
      <w:pPr>
        <w:spacing w:line="240" w:lineRule="auto" w:before="2"/>
        <w:rPr>
          <w:rFonts w:ascii="宋体" w:hAnsi="宋体" w:cs="宋体" w:eastAsia="宋体" w:hint="default"/>
          <w:sz w:val="14"/>
          <w:szCs w:val="14"/>
        </w:rPr>
      </w:pPr>
    </w:p>
    <w:p>
      <w:pPr>
        <w:pStyle w:val="BodyText"/>
        <w:spacing w:line="232" w:lineRule="auto" w:before="40"/>
        <w:ind w:left="1106" w:right="186" w:hanging="567"/>
        <w:jc w:val="both"/>
      </w:pPr>
      <w:r>
        <w:rPr/>
        <w:t>注</w:t>
      </w:r>
      <w:r>
        <w:rPr>
          <w:spacing w:val="-20"/>
        </w:rPr>
        <w:t> </w:t>
      </w:r>
      <w:r>
        <w:rPr>
          <w:rFonts w:ascii="Arial" w:hAnsi="Arial" w:cs="Arial" w:eastAsia="Arial" w:hint="default"/>
          <w:spacing w:val="-3"/>
        </w:rPr>
        <w:t>1</w:t>
      </w:r>
      <w:r>
        <w:rPr>
          <w:spacing w:val="-3"/>
        </w:rPr>
        <w:t>：根据联通运营公司及所属一家子公司于以前年度与内退员工签署的内退协议，其将在内退</w:t>
      </w:r>
      <w:r>
        <w:rPr>
          <w:spacing w:val="-104"/>
        </w:rPr>
        <w:t> </w:t>
      </w:r>
      <w:r>
        <w:rPr>
          <w:spacing w:val="-104"/>
        </w:rPr>
      </w:r>
      <w:r>
        <w:rPr>
          <w:spacing w:val="-2"/>
        </w:rPr>
        <w:t>员工达到国家法定退休年龄前分期支付一定的经济补偿，该等经济补偿已于内退协议签署</w:t>
      </w:r>
      <w:r>
        <w:rPr>
          <w:w w:val="100"/>
        </w:rPr>
        <w:t> </w:t>
      </w:r>
      <w:r>
        <w:rPr>
          <w:spacing w:val="-2"/>
        </w:rPr>
        <w:t>期间折现后分别由联通运营公司及该子公司全额一次性计入签约期间的费用当中。一年以</w:t>
      </w:r>
      <w:r>
        <w:rPr>
          <w:w w:val="100"/>
        </w:rPr>
        <w:t> </w:t>
      </w:r>
      <w:r>
        <w:rPr/>
        <w:t>上应付的部分列示于长期应付职工薪酬（附注五</w:t>
      </w:r>
      <w:r>
        <w:rPr>
          <w:rFonts w:ascii="Arial" w:hAnsi="Arial" w:cs="Arial" w:eastAsia="Arial" w:hint="default"/>
        </w:rPr>
        <w:t>(29)</w:t>
      </w:r>
      <w:r>
        <w:rPr/>
        <w:t>）。</w:t>
      </w:r>
    </w:p>
    <w:p>
      <w:pPr>
        <w:spacing w:line="240" w:lineRule="auto" w:before="5"/>
        <w:rPr>
          <w:rFonts w:ascii="宋体" w:hAnsi="宋体" w:cs="宋体" w:eastAsia="宋体" w:hint="default"/>
          <w:sz w:val="18"/>
          <w:szCs w:val="18"/>
        </w:rPr>
      </w:pPr>
    </w:p>
    <w:p>
      <w:pPr>
        <w:pStyle w:val="BodyText"/>
        <w:spacing w:line="235" w:lineRule="auto"/>
        <w:ind w:left="1106" w:right="196" w:hanging="567"/>
        <w:jc w:val="both"/>
      </w:pPr>
      <w:r>
        <w:rPr/>
        <w:t>注</w:t>
      </w:r>
      <w:r>
        <w:rPr>
          <w:spacing w:val="-27"/>
        </w:rPr>
        <w:t> </w:t>
      </w:r>
      <w:r>
        <w:rPr>
          <w:rFonts w:ascii="Arial" w:hAnsi="Arial" w:cs="Arial" w:eastAsia="Arial" w:hint="default"/>
          <w:spacing w:val="-3"/>
        </w:rPr>
        <w:t>2</w:t>
      </w:r>
      <w:r>
        <w:rPr>
          <w:spacing w:val="-3"/>
        </w:rPr>
        <w:t>：本集团所属个别子公司向职工提供其他离退休后补充福利，主要包括补充退休金津贴，医</w:t>
      </w:r>
      <w:r>
        <w:rPr>
          <w:spacing w:val="-106"/>
        </w:rPr>
        <w:t> </w:t>
      </w:r>
      <w:r>
        <w:rPr>
          <w:spacing w:val="-106"/>
        </w:rPr>
      </w:r>
      <w:r>
        <w:rPr>
          <w:spacing w:val="-2"/>
        </w:rPr>
        <w:t>药费用报销及补充医疗保险，该等离退休后补充福利被视为设定受益计划。设定受益计划</w:t>
      </w:r>
      <w:r>
        <w:rPr>
          <w:w w:val="100"/>
        </w:rPr>
        <w:t> </w:t>
      </w:r>
      <w:r>
        <w:rPr>
          <w:spacing w:val="-2"/>
        </w:rPr>
        <w:t>的现值以到期日与有关离退休后补充福利预计支付期相近的政府债券的利率，按估计未来</w:t>
      </w:r>
      <w:r>
        <w:rPr>
          <w:w w:val="100"/>
        </w:rPr>
        <w:t> </w:t>
      </w:r>
      <w:r>
        <w:rPr/>
        <w:t>现金流出折现确定。一年以上应付的部分列示于长期应付职工薪酬（附注五</w:t>
      </w:r>
      <w:r>
        <w:rPr>
          <w:rFonts w:ascii="Arial" w:hAnsi="Arial" w:cs="Arial" w:eastAsia="Arial" w:hint="default"/>
        </w:rPr>
        <w:t>(29)</w:t>
      </w:r>
      <w:r>
        <w:rPr/>
        <w:t>）。</w:t>
      </w:r>
    </w:p>
    <w:p>
      <w:pPr>
        <w:spacing w:after="0" w:line="235" w:lineRule="auto"/>
        <w:jc w:val="both"/>
        <w:sectPr>
          <w:headerReference w:type="default" r:id="rId172"/>
          <w:pgSz w:w="11910" w:h="16840"/>
          <w:pgMar w:header="1188" w:footer="502" w:top="3040" w:bottom="700" w:left="1020" w:right="1040"/>
        </w:sectPr>
      </w:pPr>
    </w:p>
    <w:p>
      <w:pPr>
        <w:spacing w:line="240" w:lineRule="auto" w:before="8"/>
        <w:rPr>
          <w:rFonts w:ascii="宋体" w:hAnsi="宋体" w:cs="宋体" w:eastAsia="宋体" w:hint="default"/>
          <w:sz w:val="23"/>
          <w:szCs w:val="23"/>
        </w:rPr>
      </w:pPr>
    </w:p>
    <w:tbl>
      <w:tblPr>
        <w:tblW w:w="0" w:type="auto"/>
        <w:jc w:val="left"/>
        <w:tblInd w:w="349" w:type="dxa"/>
        <w:tblLayout w:type="fixed"/>
        <w:tblCellMar>
          <w:top w:w="0" w:type="dxa"/>
          <w:left w:w="0" w:type="dxa"/>
          <w:bottom w:w="0" w:type="dxa"/>
          <w:right w:w="0" w:type="dxa"/>
        </w:tblCellMar>
        <w:tblLook w:val="01E0"/>
      </w:tblPr>
      <w:tblGrid>
        <w:gridCol w:w="2826"/>
        <w:gridCol w:w="1445"/>
        <w:gridCol w:w="1661"/>
        <w:gridCol w:w="1850"/>
        <w:gridCol w:w="1472"/>
      </w:tblGrid>
      <w:tr>
        <w:trPr>
          <w:trHeight w:val="497" w:hRule="exact"/>
        </w:trPr>
        <w:tc>
          <w:tcPr>
            <w:tcW w:w="2826"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single" w:sz="6" w:space="0" w:color="000000"/>
              <w:right w:val="nil" w:sz="6" w:space="0" w:color="auto"/>
            </w:tcBorders>
          </w:tcPr>
          <w:p>
            <w:pPr>
              <w:pStyle w:val="TableParagraph"/>
              <w:spacing w:line="207" w:lineRule="exact"/>
              <w:ind w:left="700" w:right="0"/>
              <w:jc w:val="left"/>
              <w:rPr>
                <w:rFonts w:ascii="宋体" w:hAnsi="宋体" w:cs="宋体" w:eastAsia="宋体" w:hint="default"/>
                <w:sz w:val="20"/>
                <w:szCs w:val="20"/>
              </w:rPr>
            </w:pPr>
            <w:r>
              <w:rPr>
                <w:rFonts w:ascii="Arial" w:hAnsi="Arial" w:cs="Arial" w:eastAsia="Arial" w:hint="default"/>
                <w:sz w:val="20"/>
                <w:szCs w:val="20"/>
              </w:rPr>
              <w:t>2018</w:t>
            </w:r>
            <w:r>
              <w:rPr>
                <w:rFonts w:ascii="Arial" w:hAnsi="Arial" w:cs="Arial" w:eastAsia="Arial" w:hint="default"/>
                <w:spacing w:val="-11"/>
                <w:sz w:val="20"/>
                <w:szCs w:val="20"/>
              </w:rPr>
              <w:t> </w:t>
            </w:r>
            <w:r>
              <w:rPr>
                <w:rFonts w:ascii="宋体" w:hAnsi="宋体" w:cs="宋体" w:eastAsia="宋体" w:hint="default"/>
                <w:sz w:val="20"/>
                <w:szCs w:val="20"/>
              </w:rPr>
              <w:t>年</w:t>
            </w:r>
          </w:p>
          <w:p>
            <w:pPr>
              <w:pStyle w:val="TableParagraph"/>
              <w:spacing w:line="268" w:lineRule="exact"/>
              <w:ind w:left="403" w:right="0"/>
              <w:jc w:val="left"/>
              <w:rPr>
                <w:rFonts w:ascii="宋体" w:hAnsi="宋体" w:cs="宋体" w:eastAsia="宋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宋体" w:hAnsi="宋体" w:cs="宋体" w:eastAsia="宋体" w:hint="default"/>
                <w:sz w:val="20"/>
                <w:szCs w:val="20"/>
              </w:rPr>
              <w:t>日</w:t>
            </w:r>
          </w:p>
        </w:tc>
        <w:tc>
          <w:tcPr>
            <w:tcW w:w="1661"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441" w:right="0"/>
              <w:jc w:val="left"/>
              <w:rPr>
                <w:rFonts w:ascii="宋体" w:hAnsi="宋体" w:cs="宋体" w:eastAsia="宋体" w:hint="default"/>
                <w:sz w:val="20"/>
                <w:szCs w:val="20"/>
              </w:rPr>
            </w:pPr>
            <w:r>
              <w:rPr>
                <w:rFonts w:ascii="宋体" w:hAnsi="宋体" w:cs="宋体" w:eastAsia="宋体" w:hint="default"/>
                <w:sz w:val="20"/>
                <w:szCs w:val="20"/>
              </w:rPr>
              <w:t>本年增加</w:t>
            </w:r>
          </w:p>
        </w:tc>
        <w:tc>
          <w:tcPr>
            <w:tcW w:w="1850"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480" w:right="0"/>
              <w:jc w:val="left"/>
              <w:rPr>
                <w:rFonts w:ascii="宋体" w:hAnsi="宋体" w:cs="宋体" w:eastAsia="宋体" w:hint="default"/>
                <w:sz w:val="20"/>
                <w:szCs w:val="20"/>
              </w:rPr>
            </w:pPr>
            <w:r>
              <w:rPr>
                <w:rFonts w:ascii="宋体" w:hAnsi="宋体" w:cs="宋体" w:eastAsia="宋体" w:hint="default"/>
                <w:sz w:val="20"/>
                <w:szCs w:val="20"/>
              </w:rPr>
              <w:t>本年减少</w:t>
            </w:r>
          </w:p>
        </w:tc>
        <w:tc>
          <w:tcPr>
            <w:tcW w:w="1472" w:type="dxa"/>
            <w:tcBorders>
              <w:top w:val="nil" w:sz="6" w:space="0" w:color="auto"/>
              <w:left w:val="nil" w:sz="6" w:space="0" w:color="auto"/>
              <w:bottom w:val="single" w:sz="6" w:space="0" w:color="000000"/>
              <w:right w:val="nil" w:sz="6" w:space="0" w:color="auto"/>
            </w:tcBorders>
          </w:tcPr>
          <w:p>
            <w:pPr>
              <w:pStyle w:val="TableParagraph"/>
              <w:spacing w:line="207" w:lineRule="exact"/>
              <w:ind w:left="737" w:right="0"/>
              <w:jc w:val="left"/>
              <w:rPr>
                <w:rFonts w:ascii="宋体" w:hAnsi="宋体" w:cs="宋体" w:eastAsia="宋体" w:hint="default"/>
                <w:sz w:val="20"/>
                <w:szCs w:val="20"/>
              </w:rPr>
            </w:pPr>
            <w:r>
              <w:rPr>
                <w:rFonts w:ascii="Arial" w:hAnsi="Arial" w:cs="Arial" w:eastAsia="Arial" w:hint="default"/>
                <w:sz w:val="20"/>
                <w:szCs w:val="20"/>
              </w:rPr>
              <w:t>2019</w:t>
            </w:r>
            <w:r>
              <w:rPr>
                <w:rFonts w:ascii="Arial" w:hAnsi="Arial" w:cs="Arial" w:eastAsia="Arial" w:hint="default"/>
                <w:spacing w:val="-11"/>
                <w:sz w:val="20"/>
                <w:szCs w:val="20"/>
              </w:rPr>
              <w:t> </w:t>
            </w:r>
            <w:r>
              <w:rPr>
                <w:rFonts w:ascii="宋体" w:hAnsi="宋体" w:cs="宋体" w:eastAsia="宋体" w:hint="default"/>
                <w:sz w:val="20"/>
                <w:szCs w:val="20"/>
              </w:rPr>
              <w:t>年</w:t>
            </w:r>
          </w:p>
          <w:p>
            <w:pPr>
              <w:pStyle w:val="TableParagraph"/>
              <w:spacing w:line="268" w:lineRule="exact"/>
              <w:ind w:left="439" w:right="0"/>
              <w:jc w:val="left"/>
              <w:rPr>
                <w:rFonts w:ascii="宋体" w:hAnsi="宋体" w:cs="宋体" w:eastAsia="宋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宋体" w:hAnsi="宋体" w:cs="宋体" w:eastAsia="宋体" w:hint="default"/>
                <w:sz w:val="20"/>
                <w:szCs w:val="20"/>
              </w:rPr>
              <w:t>日</w:t>
            </w:r>
          </w:p>
        </w:tc>
      </w:tr>
      <w:tr>
        <w:trPr>
          <w:trHeight w:val="556" w:hRule="exact"/>
        </w:trPr>
        <w:tc>
          <w:tcPr>
            <w:tcW w:w="282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200" w:right="0"/>
              <w:jc w:val="left"/>
              <w:rPr>
                <w:rFonts w:ascii="宋体" w:hAnsi="宋体" w:cs="宋体" w:eastAsia="宋体" w:hint="default"/>
                <w:sz w:val="20"/>
                <w:szCs w:val="20"/>
              </w:rPr>
            </w:pPr>
            <w:r>
              <w:rPr>
                <w:rFonts w:ascii="宋体" w:hAnsi="宋体" w:cs="宋体" w:eastAsia="宋体" w:hint="default"/>
                <w:sz w:val="20"/>
                <w:szCs w:val="20"/>
              </w:rPr>
              <w:t>工资、奖金、津贴和补贴</w:t>
            </w:r>
          </w:p>
        </w:tc>
        <w:tc>
          <w:tcPr>
            <w:tcW w:w="1445" w:type="dxa"/>
            <w:tcBorders>
              <w:top w:val="single" w:sz="6"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45"/>
              <w:jc w:val="right"/>
              <w:rPr>
                <w:rFonts w:ascii="Arial" w:hAnsi="Arial" w:cs="Arial" w:eastAsia="Arial" w:hint="default"/>
                <w:sz w:val="20"/>
                <w:szCs w:val="20"/>
              </w:rPr>
            </w:pPr>
            <w:r>
              <w:rPr>
                <w:rFonts w:ascii="Arial"/>
                <w:spacing w:val="-2"/>
                <w:sz w:val="20"/>
              </w:rPr>
              <w:t>3,524,884,420</w:t>
            </w:r>
            <w:r>
              <w:rPr>
                <w:rFonts w:ascii="Arial"/>
                <w:sz w:val="20"/>
              </w:rPr>
            </w:r>
          </w:p>
        </w:tc>
        <w:tc>
          <w:tcPr>
            <w:tcW w:w="1661" w:type="dxa"/>
            <w:tcBorders>
              <w:top w:val="single" w:sz="6"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45"/>
              <w:jc w:val="right"/>
              <w:rPr>
                <w:rFonts w:ascii="Arial" w:hAnsi="Arial" w:cs="Arial" w:eastAsia="Arial" w:hint="default"/>
                <w:sz w:val="20"/>
                <w:szCs w:val="20"/>
              </w:rPr>
            </w:pPr>
            <w:r>
              <w:rPr>
                <w:rFonts w:ascii="Arial"/>
                <w:spacing w:val="-2"/>
                <w:sz w:val="20"/>
              </w:rPr>
              <w:t>34,263,125,489</w:t>
            </w:r>
            <w:r>
              <w:rPr>
                <w:rFonts w:ascii="Arial"/>
                <w:sz w:val="20"/>
              </w:rPr>
            </w:r>
          </w:p>
        </w:tc>
        <w:tc>
          <w:tcPr>
            <w:tcW w:w="1850" w:type="dxa"/>
            <w:tcBorders>
              <w:top w:val="single" w:sz="6"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206" w:right="0"/>
              <w:jc w:val="left"/>
              <w:rPr>
                <w:rFonts w:ascii="Arial" w:hAnsi="Arial" w:cs="Arial" w:eastAsia="Arial" w:hint="default"/>
                <w:sz w:val="20"/>
                <w:szCs w:val="20"/>
              </w:rPr>
            </w:pPr>
            <w:r>
              <w:rPr>
                <w:rFonts w:ascii="Arial"/>
                <w:sz w:val="20"/>
              </w:rPr>
              <w:t>(32,398,422,921)</w:t>
            </w:r>
          </w:p>
        </w:tc>
        <w:tc>
          <w:tcPr>
            <w:tcW w:w="1472" w:type="dxa"/>
            <w:tcBorders>
              <w:top w:val="single" w:sz="6"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122" w:right="0"/>
              <w:jc w:val="left"/>
              <w:rPr>
                <w:rFonts w:ascii="Arial" w:hAnsi="Arial" w:cs="Arial" w:eastAsia="Arial" w:hint="default"/>
                <w:sz w:val="20"/>
                <w:szCs w:val="20"/>
              </w:rPr>
            </w:pPr>
            <w:r>
              <w:rPr>
                <w:rFonts w:ascii="Arial"/>
                <w:sz w:val="20"/>
              </w:rPr>
              <w:t>5,389,586,988</w:t>
            </w:r>
          </w:p>
        </w:tc>
      </w:tr>
      <w:tr>
        <w:trPr>
          <w:trHeight w:val="259" w:hRule="exact"/>
        </w:trPr>
        <w:tc>
          <w:tcPr>
            <w:tcW w:w="2826"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职工福利费</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6"/>
              <w:jc w:val="right"/>
              <w:rPr>
                <w:rFonts w:ascii="Arial" w:hAnsi="Arial" w:cs="Arial" w:eastAsia="Arial" w:hint="default"/>
                <w:sz w:val="20"/>
                <w:szCs w:val="20"/>
              </w:rPr>
            </w:pPr>
            <w:r>
              <w:rPr>
                <w:rFonts w:ascii="Arial"/>
                <w:w w:val="100"/>
                <w:sz w:val="20"/>
              </w:rPr>
              <w:t>-</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0"/>
              <w:jc w:val="right"/>
              <w:rPr>
                <w:rFonts w:ascii="Arial" w:hAnsi="Arial" w:cs="Arial" w:eastAsia="Arial" w:hint="default"/>
                <w:sz w:val="20"/>
                <w:szCs w:val="20"/>
              </w:rPr>
            </w:pPr>
            <w:r>
              <w:rPr>
                <w:rFonts w:ascii="Arial"/>
                <w:spacing w:val="-2"/>
                <w:sz w:val="20"/>
              </w:rPr>
              <w:t>2,262,793,751</w:t>
            </w:r>
            <w:r>
              <w:rPr>
                <w:rFonts w:ascii="Arial"/>
                <w:sz w:val="20"/>
              </w:rPr>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16" w:right="0"/>
              <w:jc w:val="left"/>
              <w:rPr>
                <w:rFonts w:ascii="Arial" w:hAnsi="Arial" w:cs="Arial" w:eastAsia="Arial" w:hint="default"/>
                <w:sz w:val="20"/>
                <w:szCs w:val="20"/>
              </w:rPr>
            </w:pPr>
            <w:r>
              <w:rPr>
                <w:rFonts w:ascii="Arial"/>
                <w:sz w:val="20"/>
              </w:rPr>
              <w:t>(2,262,793,751)</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98"/>
              <w:jc w:val="right"/>
              <w:rPr>
                <w:rFonts w:ascii="Arial" w:hAnsi="Arial" w:cs="Arial" w:eastAsia="Arial" w:hint="default"/>
                <w:sz w:val="20"/>
                <w:szCs w:val="20"/>
              </w:rPr>
            </w:pPr>
            <w:r>
              <w:rPr>
                <w:rFonts w:ascii="Arial"/>
                <w:w w:val="100"/>
                <w:sz w:val="20"/>
              </w:rPr>
              <w:t>-</w:t>
            </w:r>
          </w:p>
        </w:tc>
      </w:tr>
      <w:tr>
        <w:trPr>
          <w:trHeight w:val="259" w:hRule="exact"/>
        </w:trPr>
        <w:tc>
          <w:tcPr>
            <w:tcW w:w="2826"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社会保险费</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5"/>
              <w:jc w:val="right"/>
              <w:rPr>
                <w:rFonts w:ascii="Arial" w:hAnsi="Arial" w:cs="Arial" w:eastAsia="Arial" w:hint="default"/>
                <w:sz w:val="20"/>
                <w:szCs w:val="20"/>
              </w:rPr>
            </w:pPr>
            <w:r>
              <w:rPr>
                <w:rFonts w:ascii="Arial"/>
                <w:spacing w:val="-2"/>
                <w:sz w:val="20"/>
              </w:rPr>
              <w:t>167,617,884</w:t>
            </w:r>
            <w:r>
              <w:rPr>
                <w:rFonts w:ascii="Arial"/>
                <w:sz w:val="20"/>
              </w:rPr>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0"/>
              <w:jc w:val="right"/>
              <w:rPr>
                <w:rFonts w:ascii="Arial" w:hAnsi="Arial" w:cs="Arial" w:eastAsia="Arial" w:hint="default"/>
                <w:sz w:val="20"/>
                <w:szCs w:val="20"/>
              </w:rPr>
            </w:pPr>
            <w:r>
              <w:rPr>
                <w:rFonts w:ascii="Arial"/>
                <w:spacing w:val="-2"/>
                <w:sz w:val="20"/>
              </w:rPr>
              <w:t>2,780,368,974</w:t>
            </w:r>
            <w:r>
              <w:rPr>
                <w:rFonts w:ascii="Arial"/>
                <w:sz w:val="20"/>
              </w:rPr>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16" w:right="0"/>
              <w:jc w:val="left"/>
              <w:rPr>
                <w:rFonts w:ascii="Arial" w:hAnsi="Arial" w:cs="Arial" w:eastAsia="Arial" w:hint="default"/>
                <w:sz w:val="20"/>
                <w:szCs w:val="20"/>
              </w:rPr>
            </w:pPr>
            <w:r>
              <w:rPr>
                <w:rFonts w:ascii="Arial"/>
                <w:sz w:val="20"/>
              </w:rPr>
              <w:t>(2,786,451,457)</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90" w:right="0"/>
              <w:jc w:val="left"/>
              <w:rPr>
                <w:rFonts w:ascii="Arial" w:hAnsi="Arial" w:cs="Arial" w:eastAsia="Arial" w:hint="default"/>
                <w:sz w:val="20"/>
                <w:szCs w:val="20"/>
              </w:rPr>
            </w:pPr>
            <w:r>
              <w:rPr>
                <w:rFonts w:ascii="Arial"/>
                <w:sz w:val="20"/>
              </w:rPr>
              <w:t>161,535,401</w:t>
            </w:r>
          </w:p>
        </w:tc>
      </w:tr>
      <w:tr>
        <w:trPr>
          <w:trHeight w:val="259" w:hRule="exact"/>
        </w:trPr>
        <w:tc>
          <w:tcPr>
            <w:tcW w:w="2826"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其中：医疗保险费</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0"/>
              <w:jc w:val="right"/>
              <w:rPr>
                <w:rFonts w:ascii="Arial" w:hAnsi="Arial" w:cs="Arial" w:eastAsia="Arial" w:hint="default"/>
                <w:sz w:val="20"/>
                <w:szCs w:val="20"/>
              </w:rPr>
            </w:pPr>
            <w:r>
              <w:rPr>
                <w:rFonts w:ascii="Arial"/>
                <w:spacing w:val="-2"/>
                <w:sz w:val="20"/>
              </w:rPr>
              <w:t>143,233,003</w:t>
            </w:r>
            <w:r>
              <w:rPr>
                <w:rFonts w:ascii="Arial"/>
                <w:sz w:val="20"/>
              </w:rPr>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0"/>
              <w:jc w:val="right"/>
              <w:rPr>
                <w:rFonts w:ascii="Arial" w:hAnsi="Arial" w:cs="Arial" w:eastAsia="Arial" w:hint="default"/>
                <w:sz w:val="20"/>
                <w:szCs w:val="20"/>
              </w:rPr>
            </w:pPr>
            <w:r>
              <w:rPr>
                <w:rFonts w:ascii="Arial"/>
                <w:spacing w:val="-2"/>
                <w:sz w:val="20"/>
              </w:rPr>
              <w:t>2,471,316,495</w:t>
            </w:r>
            <w:r>
              <w:rPr>
                <w:rFonts w:ascii="Arial"/>
                <w:sz w:val="20"/>
              </w:rPr>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16" w:right="0"/>
              <w:jc w:val="left"/>
              <w:rPr>
                <w:rFonts w:ascii="Arial" w:hAnsi="Arial" w:cs="Arial" w:eastAsia="Arial" w:hint="default"/>
                <w:sz w:val="20"/>
                <w:szCs w:val="20"/>
              </w:rPr>
            </w:pPr>
            <w:r>
              <w:rPr>
                <w:rFonts w:ascii="Arial"/>
                <w:sz w:val="20"/>
              </w:rPr>
              <w:t>(2,482,017,557)</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90" w:right="0"/>
              <w:jc w:val="left"/>
              <w:rPr>
                <w:rFonts w:ascii="Arial" w:hAnsi="Arial" w:cs="Arial" w:eastAsia="Arial" w:hint="default"/>
                <w:sz w:val="20"/>
                <w:szCs w:val="20"/>
              </w:rPr>
            </w:pPr>
            <w:r>
              <w:rPr>
                <w:rFonts w:ascii="Arial"/>
                <w:sz w:val="20"/>
              </w:rPr>
              <w:t>132,531,941</w:t>
            </w:r>
          </w:p>
        </w:tc>
      </w:tr>
      <w:tr>
        <w:trPr>
          <w:trHeight w:val="259" w:hRule="exact"/>
        </w:trPr>
        <w:tc>
          <w:tcPr>
            <w:tcW w:w="2826" w:type="dxa"/>
            <w:tcBorders>
              <w:top w:val="nil" w:sz="6" w:space="0" w:color="auto"/>
              <w:left w:val="nil" w:sz="6" w:space="0" w:color="auto"/>
              <w:bottom w:val="nil" w:sz="6" w:space="0" w:color="auto"/>
              <w:right w:val="nil" w:sz="6" w:space="0" w:color="auto"/>
            </w:tcBorders>
          </w:tcPr>
          <w:p>
            <w:pPr>
              <w:pStyle w:val="TableParagraph"/>
              <w:spacing w:line="218" w:lineRule="exact"/>
              <w:ind w:left="824" w:right="0"/>
              <w:jc w:val="left"/>
              <w:rPr>
                <w:rFonts w:ascii="宋体" w:hAnsi="宋体" w:cs="宋体" w:eastAsia="宋体" w:hint="default"/>
                <w:sz w:val="20"/>
                <w:szCs w:val="20"/>
              </w:rPr>
            </w:pPr>
            <w:r>
              <w:rPr>
                <w:rFonts w:ascii="宋体" w:hAnsi="宋体" w:cs="宋体" w:eastAsia="宋体" w:hint="default"/>
                <w:sz w:val="20"/>
                <w:szCs w:val="20"/>
              </w:rPr>
              <w:t>工伤保险费</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5"/>
              <w:jc w:val="right"/>
              <w:rPr>
                <w:rFonts w:ascii="Arial" w:hAnsi="Arial" w:cs="Arial" w:eastAsia="Arial" w:hint="default"/>
                <w:sz w:val="20"/>
                <w:szCs w:val="20"/>
              </w:rPr>
            </w:pPr>
            <w:r>
              <w:rPr>
                <w:rFonts w:ascii="Arial"/>
                <w:spacing w:val="-2"/>
                <w:sz w:val="20"/>
              </w:rPr>
              <w:t>8,523,929</w:t>
            </w:r>
            <w:r>
              <w:rPr>
                <w:rFonts w:ascii="Arial"/>
                <w:sz w:val="20"/>
              </w:rPr>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0"/>
              <w:jc w:val="right"/>
              <w:rPr>
                <w:rFonts w:ascii="Arial" w:hAnsi="Arial" w:cs="Arial" w:eastAsia="Arial" w:hint="default"/>
                <w:sz w:val="20"/>
                <w:szCs w:val="20"/>
              </w:rPr>
            </w:pPr>
            <w:r>
              <w:rPr>
                <w:rFonts w:ascii="Arial"/>
                <w:spacing w:val="-2"/>
                <w:sz w:val="20"/>
              </w:rPr>
              <w:t>101,872,571</w:t>
            </w:r>
            <w:r>
              <w:rPr>
                <w:rFonts w:ascii="Arial"/>
                <w:sz w:val="20"/>
              </w:rPr>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16"/>
              <w:ind w:left="595" w:right="0"/>
              <w:jc w:val="left"/>
              <w:rPr>
                <w:rFonts w:ascii="Arial" w:hAnsi="Arial" w:cs="Arial" w:eastAsia="Arial" w:hint="default"/>
                <w:sz w:val="20"/>
                <w:szCs w:val="20"/>
              </w:rPr>
            </w:pPr>
            <w:r>
              <w:rPr>
                <w:rFonts w:ascii="Arial"/>
                <w:sz w:val="20"/>
              </w:rPr>
              <w:t>(99,162,851)</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9"/>
              <w:jc w:val="right"/>
              <w:rPr>
                <w:rFonts w:ascii="Arial" w:hAnsi="Arial" w:cs="Arial" w:eastAsia="Arial" w:hint="default"/>
                <w:sz w:val="20"/>
                <w:szCs w:val="20"/>
              </w:rPr>
            </w:pPr>
            <w:r>
              <w:rPr>
                <w:rFonts w:ascii="Arial"/>
                <w:spacing w:val="-2"/>
                <w:sz w:val="20"/>
              </w:rPr>
              <w:t>11,233,649</w:t>
            </w:r>
            <w:r>
              <w:rPr>
                <w:rFonts w:ascii="Arial"/>
                <w:sz w:val="20"/>
              </w:rPr>
            </w:r>
          </w:p>
        </w:tc>
      </w:tr>
      <w:tr>
        <w:trPr>
          <w:trHeight w:val="259" w:hRule="exact"/>
        </w:trPr>
        <w:tc>
          <w:tcPr>
            <w:tcW w:w="2826" w:type="dxa"/>
            <w:tcBorders>
              <w:top w:val="nil" w:sz="6" w:space="0" w:color="auto"/>
              <w:left w:val="nil" w:sz="6" w:space="0" w:color="auto"/>
              <w:bottom w:val="nil" w:sz="6" w:space="0" w:color="auto"/>
              <w:right w:val="nil" w:sz="6" w:space="0" w:color="auto"/>
            </w:tcBorders>
          </w:tcPr>
          <w:p>
            <w:pPr>
              <w:pStyle w:val="TableParagraph"/>
              <w:spacing w:line="218" w:lineRule="exact"/>
              <w:ind w:left="824" w:right="0"/>
              <w:jc w:val="left"/>
              <w:rPr>
                <w:rFonts w:ascii="宋体" w:hAnsi="宋体" w:cs="宋体" w:eastAsia="宋体" w:hint="default"/>
                <w:sz w:val="20"/>
                <w:szCs w:val="20"/>
              </w:rPr>
            </w:pPr>
            <w:r>
              <w:rPr>
                <w:rFonts w:ascii="宋体" w:hAnsi="宋体" w:cs="宋体" w:eastAsia="宋体" w:hint="default"/>
                <w:sz w:val="20"/>
                <w:szCs w:val="20"/>
              </w:rPr>
              <w:t>生育保险费</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0"/>
              <w:jc w:val="right"/>
              <w:rPr>
                <w:rFonts w:ascii="Arial" w:hAnsi="Arial" w:cs="Arial" w:eastAsia="Arial" w:hint="default"/>
                <w:sz w:val="20"/>
                <w:szCs w:val="20"/>
              </w:rPr>
            </w:pPr>
            <w:r>
              <w:rPr>
                <w:rFonts w:ascii="Arial"/>
                <w:spacing w:val="-2"/>
                <w:sz w:val="20"/>
              </w:rPr>
              <w:t>14,698,105</w:t>
            </w:r>
            <w:r>
              <w:rPr>
                <w:rFonts w:ascii="Arial"/>
                <w:sz w:val="20"/>
              </w:rPr>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5"/>
              <w:jc w:val="right"/>
              <w:rPr>
                <w:rFonts w:ascii="Arial" w:hAnsi="Arial" w:cs="Arial" w:eastAsia="Arial" w:hint="default"/>
                <w:sz w:val="20"/>
                <w:szCs w:val="20"/>
              </w:rPr>
            </w:pPr>
            <w:r>
              <w:rPr>
                <w:rFonts w:ascii="Arial"/>
                <w:spacing w:val="-2"/>
                <w:sz w:val="20"/>
              </w:rPr>
              <w:t>179,099,650</w:t>
            </w:r>
            <w:r>
              <w:rPr>
                <w:rFonts w:ascii="Arial"/>
                <w:sz w:val="20"/>
              </w:rPr>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16"/>
              <w:ind w:left="484" w:right="0"/>
              <w:jc w:val="left"/>
              <w:rPr>
                <w:rFonts w:ascii="Arial" w:hAnsi="Arial" w:cs="Arial" w:eastAsia="Arial" w:hint="default"/>
                <w:sz w:val="20"/>
                <w:szCs w:val="20"/>
              </w:rPr>
            </w:pPr>
            <w:r>
              <w:rPr>
                <w:rFonts w:ascii="Arial"/>
                <w:sz w:val="20"/>
              </w:rPr>
              <w:t>(177,522,441)</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9"/>
              <w:jc w:val="right"/>
              <w:rPr>
                <w:rFonts w:ascii="Arial" w:hAnsi="Arial" w:cs="Arial" w:eastAsia="Arial" w:hint="default"/>
                <w:sz w:val="20"/>
                <w:szCs w:val="20"/>
              </w:rPr>
            </w:pPr>
            <w:r>
              <w:rPr>
                <w:rFonts w:ascii="Arial"/>
                <w:spacing w:val="-2"/>
                <w:sz w:val="20"/>
              </w:rPr>
              <w:t>16,275,314</w:t>
            </w:r>
            <w:r>
              <w:rPr>
                <w:rFonts w:ascii="Arial"/>
                <w:sz w:val="20"/>
              </w:rPr>
            </w:r>
          </w:p>
        </w:tc>
      </w:tr>
      <w:tr>
        <w:trPr>
          <w:trHeight w:val="259" w:hRule="exact"/>
        </w:trPr>
        <w:tc>
          <w:tcPr>
            <w:tcW w:w="2826"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住房公积金</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0"/>
              <w:jc w:val="right"/>
              <w:rPr>
                <w:rFonts w:ascii="Arial" w:hAnsi="Arial" w:cs="Arial" w:eastAsia="Arial" w:hint="default"/>
                <w:sz w:val="20"/>
                <w:szCs w:val="20"/>
              </w:rPr>
            </w:pPr>
            <w:r>
              <w:rPr>
                <w:rFonts w:ascii="Arial"/>
                <w:spacing w:val="-2"/>
                <w:sz w:val="20"/>
              </w:rPr>
              <w:t>76,366,920</w:t>
            </w:r>
            <w:r>
              <w:rPr>
                <w:rFonts w:ascii="Arial"/>
                <w:sz w:val="20"/>
              </w:rPr>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0"/>
              <w:jc w:val="right"/>
              <w:rPr>
                <w:rFonts w:ascii="Arial" w:hAnsi="Arial" w:cs="Arial" w:eastAsia="Arial" w:hint="default"/>
                <w:sz w:val="20"/>
                <w:szCs w:val="20"/>
              </w:rPr>
            </w:pPr>
            <w:r>
              <w:rPr>
                <w:rFonts w:ascii="Arial"/>
                <w:spacing w:val="-2"/>
                <w:sz w:val="20"/>
              </w:rPr>
              <w:t>3,234,690,001</w:t>
            </w:r>
            <w:r>
              <w:rPr>
                <w:rFonts w:ascii="Arial"/>
                <w:sz w:val="20"/>
              </w:rPr>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16" w:right="0"/>
              <w:jc w:val="left"/>
              <w:rPr>
                <w:rFonts w:ascii="Arial" w:hAnsi="Arial" w:cs="Arial" w:eastAsia="Arial" w:hint="default"/>
                <w:sz w:val="20"/>
                <w:szCs w:val="20"/>
              </w:rPr>
            </w:pPr>
            <w:r>
              <w:rPr>
                <w:rFonts w:ascii="Arial"/>
                <w:sz w:val="20"/>
              </w:rPr>
              <w:t>(3,236,765,455)</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9"/>
              <w:jc w:val="right"/>
              <w:rPr>
                <w:rFonts w:ascii="Arial" w:hAnsi="Arial" w:cs="Arial" w:eastAsia="Arial" w:hint="default"/>
                <w:sz w:val="20"/>
                <w:szCs w:val="20"/>
              </w:rPr>
            </w:pPr>
            <w:r>
              <w:rPr>
                <w:rFonts w:ascii="Arial"/>
                <w:spacing w:val="-2"/>
                <w:sz w:val="20"/>
              </w:rPr>
              <w:t>74,291,466</w:t>
            </w:r>
            <w:r>
              <w:rPr>
                <w:rFonts w:ascii="Arial"/>
                <w:sz w:val="20"/>
              </w:rPr>
            </w:r>
          </w:p>
        </w:tc>
      </w:tr>
      <w:tr>
        <w:trPr>
          <w:trHeight w:val="259" w:hRule="exact"/>
        </w:trPr>
        <w:tc>
          <w:tcPr>
            <w:tcW w:w="2826"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工会经费和职工教育经费</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0"/>
              <w:jc w:val="right"/>
              <w:rPr>
                <w:rFonts w:ascii="Arial" w:hAnsi="Arial" w:cs="Arial" w:eastAsia="Arial" w:hint="default"/>
                <w:sz w:val="20"/>
                <w:szCs w:val="20"/>
              </w:rPr>
            </w:pPr>
            <w:r>
              <w:rPr>
                <w:rFonts w:ascii="Arial"/>
                <w:spacing w:val="-2"/>
                <w:sz w:val="20"/>
              </w:rPr>
              <w:t>701,481,172</w:t>
            </w:r>
            <w:r>
              <w:rPr>
                <w:rFonts w:ascii="Arial"/>
                <w:sz w:val="20"/>
              </w:rPr>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0"/>
              <w:jc w:val="right"/>
              <w:rPr>
                <w:rFonts w:ascii="Arial" w:hAnsi="Arial" w:cs="Arial" w:eastAsia="Arial" w:hint="default"/>
                <w:sz w:val="20"/>
                <w:szCs w:val="20"/>
              </w:rPr>
            </w:pPr>
            <w:r>
              <w:rPr>
                <w:rFonts w:ascii="Arial"/>
                <w:spacing w:val="-2"/>
                <w:sz w:val="20"/>
              </w:rPr>
              <w:t>1,006,917,099</w:t>
            </w:r>
            <w:r>
              <w:rPr>
                <w:rFonts w:ascii="Arial"/>
                <w:sz w:val="20"/>
              </w:rPr>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16" w:right="0"/>
              <w:jc w:val="left"/>
              <w:rPr>
                <w:rFonts w:ascii="Arial" w:hAnsi="Arial" w:cs="Arial" w:eastAsia="Arial" w:hint="default"/>
                <w:sz w:val="20"/>
                <w:szCs w:val="20"/>
              </w:rPr>
            </w:pPr>
            <w:r>
              <w:rPr>
                <w:rFonts w:ascii="Arial"/>
                <w:sz w:val="20"/>
              </w:rPr>
              <w:t>(1,004,525,088)</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90" w:right="0"/>
              <w:jc w:val="left"/>
              <w:rPr>
                <w:rFonts w:ascii="Arial" w:hAnsi="Arial" w:cs="Arial" w:eastAsia="Arial" w:hint="default"/>
                <w:sz w:val="20"/>
                <w:szCs w:val="20"/>
              </w:rPr>
            </w:pPr>
            <w:r>
              <w:rPr>
                <w:rFonts w:ascii="Arial"/>
                <w:sz w:val="20"/>
              </w:rPr>
              <w:t>703,873,183</w:t>
            </w:r>
          </w:p>
        </w:tc>
      </w:tr>
      <w:tr>
        <w:trPr>
          <w:trHeight w:val="264" w:hRule="exact"/>
        </w:trPr>
        <w:tc>
          <w:tcPr>
            <w:tcW w:w="2826" w:type="dxa"/>
            <w:tcBorders>
              <w:top w:val="nil" w:sz="6" w:space="0" w:color="auto"/>
              <w:left w:val="nil" w:sz="6" w:space="0" w:color="auto"/>
              <w:bottom w:val="nil" w:sz="6" w:space="0" w:color="auto"/>
              <w:right w:val="nil" w:sz="6" w:space="0" w:color="auto"/>
            </w:tcBorders>
          </w:tcPr>
          <w:p>
            <w:pPr>
              <w:pStyle w:val="TableParagraph"/>
              <w:spacing w:line="232" w:lineRule="exact"/>
              <w:ind w:left="200" w:right="0"/>
              <w:jc w:val="left"/>
              <w:rPr>
                <w:rFonts w:ascii="宋体" w:hAnsi="宋体" w:cs="宋体" w:eastAsia="宋体" w:hint="default"/>
                <w:sz w:val="20"/>
                <w:szCs w:val="20"/>
              </w:rPr>
            </w:pPr>
            <w:r>
              <w:rPr>
                <w:rFonts w:ascii="宋体" w:hAnsi="宋体" w:cs="宋体" w:eastAsia="宋体" w:hint="default"/>
                <w:sz w:val="20"/>
                <w:szCs w:val="20"/>
              </w:rPr>
              <w:t>一次性货币住房补贴（注</w:t>
            </w:r>
            <w:r>
              <w:rPr>
                <w:rFonts w:ascii="宋体" w:hAnsi="宋体" w:cs="宋体" w:eastAsia="宋体" w:hint="default"/>
                <w:spacing w:val="-44"/>
                <w:sz w:val="20"/>
                <w:szCs w:val="20"/>
              </w:rPr>
              <w:t> </w:t>
            </w:r>
            <w:r>
              <w:rPr>
                <w:rFonts w:ascii="Arial" w:hAnsi="Arial" w:cs="Arial" w:eastAsia="Arial" w:hint="default"/>
                <w:sz w:val="20"/>
                <w:szCs w:val="20"/>
              </w:rPr>
              <w:t>1</w:t>
            </w:r>
            <w:r>
              <w:rPr>
                <w:rFonts w:ascii="宋体" w:hAnsi="宋体" w:cs="宋体" w:eastAsia="宋体" w:hint="default"/>
                <w:sz w:val="20"/>
                <w:szCs w:val="20"/>
              </w:rPr>
              <w:t>）</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5"/>
              <w:jc w:val="right"/>
              <w:rPr>
                <w:rFonts w:ascii="Arial" w:hAnsi="Arial" w:cs="Arial" w:eastAsia="Arial" w:hint="default"/>
                <w:sz w:val="20"/>
                <w:szCs w:val="20"/>
              </w:rPr>
            </w:pPr>
            <w:r>
              <w:rPr>
                <w:rFonts w:ascii="Arial"/>
                <w:spacing w:val="-2"/>
                <w:sz w:val="20"/>
              </w:rPr>
              <w:t>2,500,430,248</w:t>
            </w:r>
            <w:r>
              <w:rPr>
                <w:rFonts w:ascii="Arial"/>
                <w:sz w:val="20"/>
              </w:rPr>
            </w:r>
          </w:p>
        </w:tc>
        <w:tc>
          <w:tcPr>
            <w:tcW w:w="1661" w:type="dxa"/>
            <w:tcBorders>
              <w:top w:val="nil" w:sz="6" w:space="0" w:color="auto"/>
              <w:left w:val="nil" w:sz="6" w:space="0" w:color="auto"/>
              <w:bottom w:val="nil" w:sz="6" w:space="0" w:color="auto"/>
              <w:right w:val="nil" w:sz="6" w:space="0" w:color="auto"/>
            </w:tcBorders>
          </w:tcPr>
          <w:p>
            <w:pPr>
              <w:pStyle w:val="TableParagraph"/>
              <w:spacing w:line="251" w:lineRule="exact"/>
              <w:ind w:right="39"/>
              <w:jc w:val="right"/>
              <w:rPr>
                <w:rFonts w:ascii="Arial" w:hAnsi="Arial" w:cs="Arial" w:eastAsia="Arial" w:hint="default"/>
                <w:sz w:val="22"/>
                <w:szCs w:val="22"/>
              </w:rPr>
            </w:pPr>
            <w:r>
              <w:rPr>
                <w:rFonts w:ascii="Arial"/>
                <w:w w:val="100"/>
                <w:sz w:val="22"/>
              </w:rPr>
              <w:t>-</w:t>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21"/>
              <w:ind w:left="705" w:right="0"/>
              <w:jc w:val="left"/>
              <w:rPr>
                <w:rFonts w:ascii="Arial" w:hAnsi="Arial" w:cs="Arial" w:eastAsia="Arial" w:hint="default"/>
                <w:sz w:val="20"/>
                <w:szCs w:val="20"/>
              </w:rPr>
            </w:pPr>
            <w:r>
              <w:rPr>
                <w:rFonts w:ascii="Arial"/>
                <w:sz w:val="20"/>
              </w:rPr>
              <w:t>(7,616,070)</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22" w:right="0"/>
              <w:jc w:val="left"/>
              <w:rPr>
                <w:rFonts w:ascii="Arial" w:hAnsi="Arial" w:cs="Arial" w:eastAsia="Arial" w:hint="default"/>
                <w:sz w:val="20"/>
                <w:szCs w:val="20"/>
              </w:rPr>
            </w:pPr>
            <w:r>
              <w:rPr>
                <w:rFonts w:ascii="Arial"/>
                <w:sz w:val="20"/>
              </w:rPr>
              <w:t>2,492,814,178</w:t>
            </w:r>
          </w:p>
        </w:tc>
      </w:tr>
      <w:tr>
        <w:trPr>
          <w:trHeight w:val="382" w:hRule="exact"/>
        </w:trPr>
        <w:tc>
          <w:tcPr>
            <w:tcW w:w="2826"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其他短期薪酬</w:t>
            </w:r>
          </w:p>
        </w:tc>
        <w:tc>
          <w:tcPr>
            <w:tcW w:w="1445"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40" w:lineRule="auto" w:before="16"/>
              <w:ind w:right="4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42,046,204</w:t>
            </w:r>
            <w:r>
              <w:rPr>
                <w:rFonts w:ascii="Arial"/>
                <w:spacing w:val="-2"/>
                <w:sz w:val="20"/>
              </w:rPr>
            </w:r>
            <w:r>
              <w:rPr>
                <w:rFonts w:ascii="Arial"/>
                <w:sz w:val="20"/>
              </w:rPr>
            </w:r>
          </w:p>
        </w:tc>
        <w:tc>
          <w:tcPr>
            <w:tcW w:w="1661" w:type="dxa"/>
            <w:tcBorders>
              <w:top w:val="nil" w:sz="6" w:space="0" w:color="auto"/>
              <w:left w:val="nil" w:sz="6" w:space="0" w:color="auto"/>
              <w:bottom w:val="nil" w:sz="6" w:space="0" w:color="auto"/>
              <w:right w:val="nil" w:sz="6" w:space="0" w:color="auto"/>
            </w:tcBorders>
          </w:tcPr>
          <w:p>
            <w:pPr>
              <w:pStyle w:val="TableParagraph"/>
              <w:tabs>
                <w:tab w:pos="427" w:val="left" w:leader="none"/>
              </w:tabs>
              <w:spacing w:line="240" w:lineRule="auto" w:before="16"/>
              <w:ind w:right="4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479,447,294</w:t>
            </w:r>
            <w:r>
              <w:rPr>
                <w:rFonts w:ascii="Arial"/>
                <w:spacing w:val="-2"/>
                <w:sz w:val="20"/>
              </w:rPr>
            </w:r>
            <w:r>
              <w:rPr>
                <w:rFonts w:ascii="Arial"/>
                <w:sz w:val="20"/>
              </w:rPr>
            </w:r>
          </w:p>
        </w:tc>
        <w:tc>
          <w:tcPr>
            <w:tcW w:w="1850" w:type="dxa"/>
            <w:tcBorders>
              <w:top w:val="nil" w:sz="6" w:space="0" w:color="auto"/>
              <w:left w:val="nil" w:sz="6" w:space="0" w:color="auto"/>
              <w:bottom w:val="nil" w:sz="6" w:space="0" w:color="auto"/>
              <w:right w:val="nil" w:sz="6" w:space="0" w:color="auto"/>
            </w:tcBorders>
          </w:tcPr>
          <w:p>
            <w:pPr>
              <w:pStyle w:val="TableParagraph"/>
              <w:tabs>
                <w:tab w:pos="484" w:val="left" w:leader="none"/>
                <w:tab w:pos="2251" w:val="left" w:leader="none"/>
              </w:tabs>
              <w:spacing w:line="240" w:lineRule="auto" w:before="16"/>
              <w:ind w:left="86" w:right="-402"/>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(468,860,527)</w:t>
            </w:r>
            <w:r>
              <w:rPr>
                <w:rFonts w:ascii="Arial"/>
                <w:sz w:val="20"/>
              </w:rPr>
            </w:r>
            <w:r>
              <w:rPr>
                <w:rFonts w:ascii="Arial"/>
                <w:spacing w:val="17"/>
                <w:sz w:val="20"/>
              </w:rPr>
              <w:t> </w:t>
            </w:r>
            <w:r>
              <w:rPr>
                <w:rFonts w:ascii="Arial"/>
                <w:spacing w:val="17"/>
                <w:w w:val="100"/>
                <w:sz w:val="20"/>
              </w:rPr>
            </w:r>
            <w:r>
              <w:rPr>
                <w:rFonts w:ascii="Arial"/>
                <w:w w:val="100"/>
                <w:sz w:val="20"/>
                <w:u w:val="single" w:color="000000"/>
              </w:rPr>
              <w:t> </w:t>
            </w:r>
            <w:r>
              <w:rPr>
                <w:rFonts w:ascii="Arial"/>
                <w:sz w:val="20"/>
                <w:u w:val="single" w:color="000000"/>
              </w:rPr>
              <w:tab/>
            </w:r>
            <w:r>
              <w:rPr>
                <w:rFonts w:ascii="Arial"/>
                <w:sz w:val="20"/>
              </w:rPr>
            </w:r>
          </w:p>
        </w:tc>
        <w:tc>
          <w:tcPr>
            <w:tcW w:w="1472" w:type="dxa"/>
            <w:tcBorders>
              <w:top w:val="nil" w:sz="6" w:space="0" w:color="auto"/>
              <w:left w:val="nil" w:sz="6" w:space="0" w:color="auto"/>
              <w:bottom w:val="nil" w:sz="6" w:space="0" w:color="auto"/>
              <w:right w:val="nil" w:sz="6" w:space="0" w:color="auto"/>
            </w:tcBorders>
          </w:tcPr>
          <w:p>
            <w:pPr>
              <w:pStyle w:val="TableParagraph"/>
              <w:tabs>
                <w:tab w:pos="1070" w:val="left" w:leader="none"/>
              </w:tabs>
              <w:spacing w:line="240" w:lineRule="auto" w:before="16"/>
              <w:ind w:right="0"/>
              <w:jc w:val="right"/>
              <w:rPr>
                <w:rFonts w:ascii="Arial" w:hAnsi="Arial" w:cs="Arial" w:eastAsia="Arial" w:hint="default"/>
                <w:sz w:val="20"/>
                <w:szCs w:val="20"/>
              </w:rPr>
            </w:pPr>
            <w:r>
              <w:rPr>
                <w:rFonts w:ascii="Arial"/>
                <w:w w:val="100"/>
                <w:sz w:val="20"/>
              </w:rPr>
            </w:r>
            <w:r>
              <w:rPr>
                <w:rFonts w:ascii="Arial"/>
                <w:spacing w:val="-2"/>
                <w:sz w:val="20"/>
                <w:u w:val="single" w:color="000000"/>
              </w:rPr>
              <w:t>52,632,971</w:t>
              <w:tab/>
            </w:r>
            <w:r>
              <w:rPr>
                <w:rFonts w:ascii="Arial"/>
                <w:spacing w:val="-2"/>
                <w:sz w:val="20"/>
              </w:rPr>
            </w:r>
          </w:p>
        </w:tc>
      </w:tr>
      <w:tr>
        <w:trPr>
          <w:trHeight w:val="392" w:hRule="exact"/>
        </w:trPr>
        <w:tc>
          <w:tcPr>
            <w:tcW w:w="2826" w:type="dxa"/>
            <w:tcBorders>
              <w:top w:val="nil" w:sz="6" w:space="0" w:color="auto"/>
              <w:left w:val="nil" w:sz="6" w:space="0" w:color="auto"/>
              <w:bottom w:val="nil" w:sz="6" w:space="0" w:color="auto"/>
              <w:right w:val="nil" w:sz="6" w:space="0" w:color="auto"/>
            </w:tcBorders>
          </w:tcPr>
          <w:p>
            <w:pPr>
              <w:pStyle w:val="TableParagraph"/>
              <w:spacing w:line="240" w:lineRule="auto" w:before="78"/>
              <w:ind w:left="200"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445"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right="45"/>
              <w:jc w:val="right"/>
              <w:rPr>
                <w:rFonts w:ascii="Arial" w:hAnsi="Arial" w:cs="Arial" w:eastAsia="Arial" w:hint="default"/>
                <w:sz w:val="20"/>
                <w:szCs w:val="20"/>
              </w:rPr>
            </w:pPr>
            <w:r>
              <w:rPr>
                <w:rFonts w:ascii="Arial"/>
                <w:spacing w:val="-2"/>
                <w:sz w:val="20"/>
              </w:rPr>
              <w:t>7,012,826,848</w:t>
            </w:r>
            <w:r>
              <w:rPr>
                <w:rFonts w:ascii="Arial"/>
                <w:sz w:val="20"/>
              </w:rPr>
            </w:r>
          </w:p>
        </w:tc>
        <w:tc>
          <w:tcPr>
            <w:tcW w:w="1661"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right="40"/>
              <w:jc w:val="right"/>
              <w:rPr>
                <w:rFonts w:ascii="Arial" w:hAnsi="Arial" w:cs="Arial" w:eastAsia="Arial" w:hint="default"/>
                <w:sz w:val="20"/>
                <w:szCs w:val="20"/>
              </w:rPr>
            </w:pPr>
            <w:r>
              <w:rPr>
                <w:rFonts w:ascii="Arial"/>
                <w:spacing w:val="-2"/>
                <w:sz w:val="20"/>
              </w:rPr>
              <w:t>44,027,342,608</w:t>
            </w:r>
            <w:r>
              <w:rPr>
                <w:rFonts w:ascii="Arial"/>
                <w:sz w:val="20"/>
              </w:rPr>
            </w:r>
          </w:p>
        </w:tc>
        <w:tc>
          <w:tcPr>
            <w:tcW w:w="1850"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left="206" w:right="0"/>
              <w:jc w:val="left"/>
              <w:rPr>
                <w:rFonts w:ascii="Arial" w:hAnsi="Arial" w:cs="Arial" w:eastAsia="Arial" w:hint="default"/>
                <w:sz w:val="20"/>
                <w:szCs w:val="20"/>
              </w:rPr>
            </w:pPr>
            <w:r>
              <w:rPr>
                <w:rFonts w:ascii="Arial"/>
                <w:sz w:val="20"/>
              </w:rPr>
              <w:t>(42,165,435,269)</w:t>
            </w:r>
          </w:p>
        </w:tc>
        <w:tc>
          <w:tcPr>
            <w:tcW w:w="1472"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left="122" w:right="0"/>
              <w:jc w:val="left"/>
              <w:rPr>
                <w:rFonts w:ascii="Arial" w:hAnsi="Arial" w:cs="Arial" w:eastAsia="Arial" w:hint="default"/>
                <w:sz w:val="20"/>
                <w:szCs w:val="20"/>
              </w:rPr>
            </w:pPr>
            <w:r>
              <w:rPr>
                <w:rFonts w:ascii="Arial"/>
                <w:sz w:val="20"/>
              </w:rPr>
              <w:t>8,874,734,187</w:t>
            </w:r>
          </w:p>
        </w:tc>
      </w:tr>
    </w:tbl>
    <w:p>
      <w:pPr>
        <w:spacing w:line="240" w:lineRule="auto" w:before="2"/>
        <w:rPr>
          <w:rFonts w:ascii="宋体" w:hAnsi="宋体" w:cs="宋体" w:eastAsia="宋体" w:hint="default"/>
          <w:sz w:val="14"/>
          <w:szCs w:val="14"/>
        </w:rPr>
      </w:pPr>
    </w:p>
    <w:p>
      <w:pPr>
        <w:pStyle w:val="BodyText"/>
        <w:spacing w:line="232" w:lineRule="auto" w:before="40"/>
        <w:ind w:left="1154" w:right="112" w:hanging="610"/>
        <w:jc w:val="both"/>
      </w:pPr>
      <w:r>
        <w:rPr/>
        <w:t>注</w:t>
      </w:r>
      <w:r>
        <w:rPr>
          <w:spacing w:val="-60"/>
        </w:rPr>
        <w:t> </w:t>
      </w:r>
      <w:r>
        <w:rPr>
          <w:rFonts w:ascii="Arial" w:hAnsi="Arial" w:cs="Arial" w:eastAsia="Arial" w:hint="default"/>
        </w:rPr>
        <w:t>1</w:t>
      </w:r>
      <w:r>
        <w:rPr/>
        <w:t>：国务院</w:t>
      </w:r>
      <w:r>
        <w:rPr>
          <w:spacing w:val="-60"/>
        </w:rPr>
        <w:t> </w:t>
      </w:r>
      <w:r>
        <w:rPr>
          <w:rFonts w:ascii="Arial" w:hAnsi="Arial" w:cs="Arial" w:eastAsia="Arial" w:hint="default"/>
        </w:rPr>
        <w:t>1998</w:t>
      </w:r>
      <w:r>
        <w:rPr>
          <w:rFonts w:ascii="Arial" w:hAnsi="Arial" w:cs="Arial" w:eastAsia="Arial" w:hint="default"/>
          <w:spacing w:val="-9"/>
        </w:rPr>
        <w:t> </w:t>
      </w:r>
      <w:r>
        <w:rPr/>
        <w:t>年公布的住房改革政策，企业应停止向员工进行实物分房，而应采用现金补</w:t>
      </w:r>
      <w:r>
        <w:rPr>
          <w:w w:val="100"/>
        </w:rPr>
        <w:t> </w:t>
      </w:r>
      <w:r>
        <w:rPr>
          <w:spacing w:val="-3"/>
        </w:rPr>
        <w:t>贴形式实行货币分房。在住房改革政策实施中，企业可按照自身实际情况及财务能力考虑</w:t>
      </w:r>
      <w:r>
        <w:rPr>
          <w:w w:val="100"/>
        </w:rPr>
        <w:t> </w:t>
      </w:r>
      <w:r>
        <w:rPr>
          <w:spacing w:val="-3"/>
        </w:rPr>
        <w:t>制定适合本企业的房改方案。另外，还需按属地化原则在各省市内执行当地政府的房改条</w:t>
      </w:r>
      <w:r>
        <w:rPr>
          <w:w w:val="100"/>
        </w:rPr>
        <w:t> </w:t>
      </w:r>
      <w:r>
        <w:rPr/>
        <w:t>例。</w:t>
      </w:r>
    </w:p>
    <w:p>
      <w:pPr>
        <w:spacing w:line="240" w:lineRule="auto" w:before="2"/>
        <w:rPr>
          <w:rFonts w:ascii="宋体" w:hAnsi="宋体" w:cs="宋体" w:eastAsia="宋体" w:hint="default"/>
          <w:sz w:val="19"/>
          <w:szCs w:val="19"/>
        </w:rPr>
      </w:pPr>
    </w:p>
    <w:p>
      <w:pPr>
        <w:pStyle w:val="BodyText"/>
        <w:spacing w:line="296" w:lineRule="exact"/>
        <w:ind w:left="1135" w:right="0"/>
        <w:jc w:val="both"/>
      </w:pPr>
      <w:r>
        <w:rPr>
          <w:rFonts w:ascii="Arial" w:hAnsi="Arial" w:cs="Arial" w:eastAsia="Arial" w:hint="default"/>
        </w:rPr>
        <w:t>1998</w:t>
      </w:r>
      <w:r>
        <w:rPr>
          <w:rFonts w:ascii="Arial" w:hAnsi="Arial" w:cs="Arial" w:eastAsia="Arial" w:hint="default"/>
          <w:spacing w:val="36"/>
        </w:rPr>
        <w:t> </w:t>
      </w:r>
      <w:r>
        <w:rPr>
          <w:spacing w:val="-5"/>
        </w:rPr>
        <w:t>年以前，中国网通（集团）有限公司（“网通运营公司”）以优惠价向其符合规定的</w:t>
      </w:r>
    </w:p>
    <w:p>
      <w:pPr>
        <w:pStyle w:val="BodyText"/>
        <w:spacing w:line="286" w:lineRule="exact"/>
        <w:ind w:left="1135" w:right="0"/>
        <w:jc w:val="both"/>
      </w:pPr>
      <w:r>
        <w:rPr/>
        <w:t>员工出售员工住房（“优惠出售计划”），根据国务院 </w:t>
      </w:r>
      <w:r>
        <w:rPr>
          <w:rFonts w:ascii="Arial" w:hAnsi="Arial" w:cs="Arial" w:eastAsia="Arial" w:hint="default"/>
        </w:rPr>
        <w:t>1998</w:t>
      </w:r>
      <w:r>
        <w:rPr>
          <w:rFonts w:ascii="Arial" w:hAnsi="Arial" w:cs="Arial" w:eastAsia="Arial" w:hint="default"/>
          <w:spacing w:val="-34"/>
        </w:rPr>
        <w:t> </w:t>
      </w:r>
      <w:r>
        <w:rPr/>
        <w:t>年公布的住房改革政策，网</w:t>
      </w:r>
    </w:p>
    <w:p>
      <w:pPr>
        <w:pStyle w:val="BodyText"/>
        <w:spacing w:line="235" w:lineRule="auto"/>
        <w:ind w:left="1134" w:right="103"/>
        <w:jc w:val="both"/>
      </w:pPr>
      <w:r>
        <w:rPr/>
        <w:t>通运营公司取消了优惠出售计划。于 </w:t>
      </w:r>
      <w:r>
        <w:rPr>
          <w:rFonts w:ascii="Arial" w:hAnsi="Arial" w:cs="Arial" w:eastAsia="Arial" w:hint="default"/>
        </w:rPr>
        <w:t>2000</w:t>
      </w:r>
      <w:r>
        <w:rPr>
          <w:rFonts w:ascii="Arial" w:hAnsi="Arial" w:cs="Arial" w:eastAsia="Arial" w:hint="default"/>
          <w:spacing w:val="-34"/>
        </w:rPr>
        <w:t> </w:t>
      </w:r>
      <w:r>
        <w:rPr/>
        <w:t>年，国务院进一步发布通告，说明取消员工住</w:t>
      </w:r>
      <w:r>
        <w:rPr>
          <w:w w:val="100"/>
        </w:rPr>
        <w:t> </w:t>
      </w:r>
      <w:r>
        <w:rPr>
          <w:spacing w:val="-2"/>
        </w:rPr>
        <w:t>房分配后，须给予符合条件的员工现金补贴，故网通运营公司所属各省分公司按照当地政</w:t>
      </w:r>
      <w:r>
        <w:rPr>
          <w:spacing w:val="-66"/>
        </w:rPr>
        <w:t> </w:t>
      </w:r>
      <w:r>
        <w:rPr>
          <w:spacing w:val="-66"/>
        </w:rPr>
      </w:r>
      <w:r>
        <w:rPr>
          <w:spacing w:val="-2"/>
        </w:rPr>
        <w:t>府颁布的相关详细条例采纳了现金住房补贴计划。根据现金住房补贴计划，对于在优惠出</w:t>
      </w:r>
      <w:r>
        <w:rPr>
          <w:spacing w:val="-66"/>
        </w:rPr>
        <w:t> </w:t>
      </w:r>
      <w:r>
        <w:rPr>
          <w:spacing w:val="-66"/>
        </w:rPr>
      </w:r>
      <w:r>
        <w:rPr>
          <w:spacing w:val="-2"/>
        </w:rPr>
        <w:t>售计划终止前未获分配住房或分配住房不达目标符合资格员工，网通运营公司须支付一笔</w:t>
      </w:r>
      <w:r>
        <w:rPr>
          <w:spacing w:val="-65"/>
        </w:rPr>
        <w:t> </w:t>
      </w:r>
      <w:r>
        <w:rPr>
          <w:spacing w:val="-65"/>
        </w:rPr>
      </w:r>
      <w:r>
        <w:rPr>
          <w:spacing w:val="-2"/>
        </w:rPr>
        <w:t>按其服务年份、职位和其他标准计算的一次性货币住房补贴。网通运营公司据此全额计提</w:t>
      </w:r>
      <w:r>
        <w:rPr>
          <w:spacing w:val="-66"/>
        </w:rPr>
        <w:t> </w:t>
      </w:r>
      <w:r>
        <w:rPr>
          <w:spacing w:val="-66"/>
        </w:rPr>
      </w:r>
      <w:r>
        <w:rPr/>
        <w:t>了约人民币</w:t>
      </w:r>
      <w:r>
        <w:rPr>
          <w:spacing w:val="-56"/>
        </w:rPr>
        <w:t> </w:t>
      </w:r>
      <w:r>
        <w:rPr>
          <w:rFonts w:ascii="Arial" w:hAnsi="Arial" w:cs="Arial" w:eastAsia="Arial" w:hint="default"/>
        </w:rPr>
        <w:t>41.42</w:t>
      </w:r>
      <w:r>
        <w:rPr>
          <w:rFonts w:ascii="Arial" w:hAnsi="Arial" w:cs="Arial" w:eastAsia="Arial" w:hint="default"/>
          <w:spacing w:val="-4"/>
        </w:rPr>
        <w:t> </w:t>
      </w:r>
      <w:r>
        <w:rPr/>
        <w:t>亿元的现金住房补贴。</w:t>
      </w:r>
    </w:p>
    <w:p>
      <w:pPr>
        <w:spacing w:line="240" w:lineRule="auto" w:before="12"/>
        <w:rPr>
          <w:rFonts w:ascii="宋体" w:hAnsi="宋体" w:cs="宋体" w:eastAsia="宋体" w:hint="default"/>
          <w:sz w:val="17"/>
          <w:szCs w:val="17"/>
        </w:rPr>
      </w:pPr>
    </w:p>
    <w:p>
      <w:pPr>
        <w:pStyle w:val="BodyText"/>
        <w:spacing w:line="296" w:lineRule="exact"/>
        <w:ind w:left="1091" w:right="0"/>
        <w:jc w:val="both"/>
      </w:pPr>
      <w:r>
        <w:rPr/>
        <w:t>于</w:t>
      </w:r>
      <w:r>
        <w:rPr>
          <w:spacing w:val="-43"/>
        </w:rPr>
        <w:t> </w:t>
      </w:r>
      <w:r>
        <w:rPr>
          <w:rFonts w:ascii="Arial" w:hAnsi="Arial" w:cs="Arial" w:eastAsia="Arial" w:hint="default"/>
        </w:rPr>
        <w:t>2009</w:t>
      </w:r>
      <w:r>
        <w:rPr>
          <w:rFonts w:ascii="Arial" w:hAnsi="Arial" w:cs="Arial" w:eastAsia="Arial" w:hint="default"/>
          <w:spacing w:val="8"/>
        </w:rPr>
        <w:t> </w:t>
      </w:r>
      <w:r>
        <w:rPr/>
        <w:t>年</w:t>
      </w:r>
      <w:r>
        <w:rPr>
          <w:spacing w:val="-43"/>
        </w:rPr>
        <w:t> </w:t>
      </w:r>
      <w:r>
        <w:rPr>
          <w:rFonts w:ascii="Arial" w:hAnsi="Arial" w:cs="Arial" w:eastAsia="Arial" w:hint="default"/>
        </w:rPr>
        <w:t>1</w:t>
      </w:r>
      <w:r>
        <w:rPr>
          <w:rFonts w:ascii="Arial" w:hAnsi="Arial" w:cs="Arial" w:eastAsia="Arial" w:hint="default"/>
          <w:spacing w:val="3"/>
        </w:rPr>
        <w:t> </w:t>
      </w:r>
      <w:r>
        <w:rPr/>
        <w:t>月，由于网通运营公司已被联通运营公司吸收合并，因此网通运营公司在上</w:t>
      </w:r>
    </w:p>
    <w:p>
      <w:pPr>
        <w:pStyle w:val="BodyText"/>
        <w:spacing w:line="286" w:lineRule="exact"/>
        <w:ind w:left="1105" w:right="0"/>
        <w:jc w:val="both"/>
      </w:pPr>
      <w:r>
        <w:rPr/>
        <w:t>述一次性货币住房补贴中的权利和义务由联通运营公司承继。于</w:t>
      </w:r>
      <w:r>
        <w:rPr>
          <w:spacing w:val="-58"/>
        </w:rPr>
        <w:t> </w:t>
      </w:r>
      <w:r>
        <w:rPr>
          <w:rFonts w:ascii="Arial" w:hAnsi="Arial" w:cs="Arial" w:eastAsia="Arial" w:hint="default"/>
        </w:rPr>
        <w:t>2019</w:t>
      </w:r>
      <w:r>
        <w:rPr>
          <w:rFonts w:ascii="Arial" w:hAnsi="Arial" w:cs="Arial" w:eastAsia="Arial" w:hint="default"/>
          <w:spacing w:val="-7"/>
        </w:rPr>
        <w:t> </w:t>
      </w:r>
      <w:r>
        <w:rPr/>
        <w:t>年</w:t>
      </w:r>
      <w:r>
        <w:rPr>
          <w:spacing w:val="-58"/>
        </w:rPr>
        <w:t> </w:t>
      </w:r>
      <w:r>
        <w:rPr>
          <w:rFonts w:ascii="Arial" w:hAnsi="Arial" w:cs="Arial" w:eastAsia="Arial" w:hint="default"/>
        </w:rPr>
        <w:t>12</w:t>
      </w:r>
      <w:r>
        <w:rPr>
          <w:rFonts w:ascii="Arial" w:hAnsi="Arial" w:cs="Arial" w:eastAsia="Arial" w:hint="default"/>
          <w:spacing w:val="-7"/>
        </w:rPr>
        <w:t> </w:t>
      </w:r>
      <w:r>
        <w:rPr/>
        <w:t>月</w:t>
      </w:r>
      <w:r>
        <w:rPr>
          <w:spacing w:val="-58"/>
        </w:rPr>
        <w:t> </w:t>
      </w:r>
      <w:r>
        <w:rPr>
          <w:rFonts w:ascii="Arial" w:hAnsi="Arial" w:cs="Arial" w:eastAsia="Arial" w:hint="default"/>
        </w:rPr>
        <w:t>31</w:t>
      </w:r>
      <w:r>
        <w:rPr>
          <w:rFonts w:ascii="Arial" w:hAnsi="Arial" w:cs="Arial" w:eastAsia="Arial" w:hint="default"/>
          <w:spacing w:val="-7"/>
        </w:rPr>
        <w:t> </w:t>
      </w:r>
      <w:r>
        <w:rPr/>
        <w:t>日，尚</w:t>
      </w:r>
    </w:p>
    <w:p>
      <w:pPr>
        <w:pStyle w:val="BodyText"/>
        <w:spacing w:line="232" w:lineRule="auto"/>
        <w:ind w:left="1105" w:right="113"/>
        <w:jc w:val="both"/>
      </w:pPr>
      <w:r>
        <w:rPr/>
        <w:t>有约人民币</w:t>
      </w:r>
      <w:r>
        <w:rPr>
          <w:spacing w:val="-43"/>
        </w:rPr>
        <w:t> </w:t>
      </w:r>
      <w:r>
        <w:rPr>
          <w:rFonts w:ascii="Arial" w:hAnsi="Arial" w:cs="Arial" w:eastAsia="Arial" w:hint="default"/>
        </w:rPr>
        <w:t>24.93</w:t>
      </w:r>
      <w:r>
        <w:rPr>
          <w:rFonts w:ascii="Arial" w:hAnsi="Arial" w:cs="Arial" w:eastAsia="Arial" w:hint="default"/>
          <w:spacing w:val="8"/>
        </w:rPr>
        <w:t> </w:t>
      </w:r>
      <w:r>
        <w:rPr/>
        <w:t>亿元（</w:t>
      </w:r>
      <w:r>
        <w:rPr>
          <w:rFonts w:ascii="Arial" w:hAnsi="Arial" w:cs="Arial" w:eastAsia="Arial" w:hint="default"/>
        </w:rPr>
        <w:t>2018</w:t>
      </w:r>
      <w:r>
        <w:rPr>
          <w:rFonts w:ascii="Arial" w:hAnsi="Arial" w:cs="Arial" w:eastAsia="Arial" w:hint="default"/>
          <w:spacing w:val="8"/>
        </w:rPr>
        <w:t> </w:t>
      </w:r>
      <w:r>
        <w:rPr/>
        <w:t>年</w:t>
      </w:r>
      <w:r>
        <w:rPr>
          <w:spacing w:val="-48"/>
        </w:rPr>
        <w:t> </w:t>
      </w:r>
      <w:r>
        <w:rPr>
          <w:rFonts w:ascii="Arial" w:hAnsi="Arial" w:cs="Arial" w:eastAsia="Arial" w:hint="default"/>
        </w:rPr>
        <w:t>12</w:t>
      </w:r>
      <w:r>
        <w:rPr>
          <w:rFonts w:ascii="Arial" w:hAnsi="Arial" w:cs="Arial" w:eastAsia="Arial" w:hint="default"/>
          <w:spacing w:val="8"/>
        </w:rPr>
        <w:t> </w:t>
      </w:r>
      <w:r>
        <w:rPr/>
        <w:t>月</w:t>
      </w:r>
      <w:r>
        <w:rPr>
          <w:spacing w:val="-43"/>
        </w:rPr>
        <w:t> </w:t>
      </w:r>
      <w:r>
        <w:rPr>
          <w:rFonts w:ascii="Arial" w:hAnsi="Arial" w:cs="Arial" w:eastAsia="Arial" w:hint="default"/>
        </w:rPr>
        <w:t>31</w:t>
      </w:r>
      <w:r>
        <w:rPr>
          <w:rFonts w:ascii="Arial" w:hAnsi="Arial" w:cs="Arial" w:eastAsia="Arial" w:hint="default"/>
          <w:spacing w:val="8"/>
        </w:rPr>
        <w:t> </w:t>
      </w:r>
      <w:r>
        <w:rPr/>
        <w:t>日：</w:t>
      </w:r>
      <w:r>
        <w:rPr>
          <w:rFonts w:ascii="Arial" w:hAnsi="Arial" w:cs="Arial" w:eastAsia="Arial" w:hint="default"/>
        </w:rPr>
        <w:t>25.00</w:t>
      </w:r>
      <w:r>
        <w:rPr>
          <w:rFonts w:ascii="Arial" w:hAnsi="Arial" w:cs="Arial" w:eastAsia="Arial" w:hint="default"/>
          <w:spacing w:val="8"/>
        </w:rPr>
        <w:t> </w:t>
      </w:r>
      <w:r>
        <w:rPr/>
        <w:t>亿元）的一次性货币住房补贴尚未</w:t>
      </w:r>
      <w:r>
        <w:rPr>
          <w:w w:val="100"/>
        </w:rPr>
        <w:t> </w:t>
      </w:r>
      <w:r>
        <w:rPr>
          <w:spacing w:val="-2"/>
        </w:rPr>
        <w:t>支付完毕，对于实际支付金额多于已计提金额，联通集团将补发其差额，如果实际支付金</w:t>
      </w:r>
      <w:r>
        <w:rPr>
          <w:spacing w:val="-46"/>
        </w:rPr>
        <w:t> </w:t>
      </w:r>
      <w:r>
        <w:rPr>
          <w:spacing w:val="-46"/>
        </w:rPr>
      </w:r>
      <w:r>
        <w:rPr/>
        <w:t>额少于已计提金额，联通运营公司将支付给联通集团。</w:t>
      </w:r>
    </w:p>
    <w:p>
      <w:pPr>
        <w:spacing w:after="0" w:line="232" w:lineRule="auto"/>
        <w:jc w:val="both"/>
        <w:sectPr>
          <w:headerReference w:type="default" r:id="rId173"/>
          <w:pgSz w:w="11910" w:h="16840"/>
          <w:pgMar w:header="1188" w:footer="502" w:top="4140" w:bottom="700" w:left="1020" w:right="1100"/>
        </w:sectPr>
      </w:pPr>
    </w:p>
    <w:p>
      <w:pPr>
        <w:spacing w:line="240" w:lineRule="auto" w:before="8"/>
        <w:rPr>
          <w:rFonts w:ascii="宋体" w:hAnsi="宋体" w:cs="宋体" w:eastAsia="宋体" w:hint="default"/>
          <w:sz w:val="23"/>
          <w:szCs w:val="23"/>
        </w:rPr>
      </w:pPr>
    </w:p>
    <w:tbl>
      <w:tblPr>
        <w:tblW w:w="0" w:type="auto"/>
        <w:jc w:val="left"/>
        <w:tblInd w:w="364" w:type="dxa"/>
        <w:tblLayout w:type="fixed"/>
        <w:tblCellMar>
          <w:top w:w="0" w:type="dxa"/>
          <w:left w:w="0" w:type="dxa"/>
          <w:bottom w:w="0" w:type="dxa"/>
          <w:right w:w="0" w:type="dxa"/>
        </w:tblCellMar>
        <w:tblLook w:val="01E0"/>
      </w:tblPr>
      <w:tblGrid>
        <w:gridCol w:w="2682"/>
        <w:gridCol w:w="1510"/>
        <w:gridCol w:w="1437"/>
        <w:gridCol w:w="110"/>
        <w:gridCol w:w="1570"/>
        <w:gridCol w:w="115"/>
        <w:gridCol w:w="1637"/>
      </w:tblGrid>
      <w:tr>
        <w:trPr>
          <w:trHeight w:val="497" w:hRule="exact"/>
        </w:trPr>
        <w:tc>
          <w:tcPr>
            <w:tcW w:w="2682"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single" w:sz="6" w:space="0" w:color="000000"/>
              <w:right w:val="nil" w:sz="6" w:space="0" w:color="auto"/>
            </w:tcBorders>
          </w:tcPr>
          <w:p>
            <w:pPr>
              <w:pStyle w:val="TableParagraph"/>
              <w:spacing w:line="207" w:lineRule="exact"/>
              <w:ind w:left="676" w:right="0"/>
              <w:jc w:val="left"/>
              <w:rPr>
                <w:rFonts w:ascii="宋体" w:hAnsi="宋体" w:cs="宋体" w:eastAsia="宋体" w:hint="default"/>
                <w:sz w:val="20"/>
                <w:szCs w:val="20"/>
              </w:rPr>
            </w:pPr>
            <w:r>
              <w:rPr>
                <w:rFonts w:ascii="Arial" w:hAnsi="Arial" w:cs="Arial" w:eastAsia="Arial" w:hint="default"/>
                <w:sz w:val="20"/>
                <w:szCs w:val="20"/>
              </w:rPr>
              <w:t>2018</w:t>
            </w:r>
            <w:r>
              <w:rPr>
                <w:rFonts w:ascii="Arial" w:hAnsi="Arial" w:cs="Arial" w:eastAsia="Arial" w:hint="default"/>
                <w:spacing w:val="-11"/>
                <w:sz w:val="20"/>
                <w:szCs w:val="20"/>
              </w:rPr>
              <w:t> </w:t>
            </w:r>
            <w:r>
              <w:rPr>
                <w:rFonts w:ascii="宋体" w:hAnsi="宋体" w:cs="宋体" w:eastAsia="宋体" w:hint="default"/>
                <w:sz w:val="20"/>
                <w:szCs w:val="20"/>
              </w:rPr>
              <w:t>年</w:t>
            </w:r>
          </w:p>
          <w:p>
            <w:pPr>
              <w:pStyle w:val="TableParagraph"/>
              <w:spacing w:line="268" w:lineRule="exact"/>
              <w:ind w:left="379" w:right="0"/>
              <w:jc w:val="left"/>
              <w:rPr>
                <w:rFonts w:ascii="宋体" w:hAnsi="宋体" w:cs="宋体" w:eastAsia="宋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宋体" w:hAnsi="宋体" w:cs="宋体" w:eastAsia="宋体" w:hint="default"/>
                <w:sz w:val="20"/>
                <w:szCs w:val="20"/>
              </w:rPr>
              <w:t>日</w:t>
            </w:r>
          </w:p>
        </w:tc>
        <w:tc>
          <w:tcPr>
            <w:tcW w:w="1437"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75" w:right="0"/>
              <w:jc w:val="left"/>
              <w:rPr>
                <w:rFonts w:ascii="宋体" w:hAnsi="宋体" w:cs="宋体" w:eastAsia="宋体" w:hint="default"/>
                <w:sz w:val="20"/>
                <w:szCs w:val="20"/>
              </w:rPr>
            </w:pPr>
            <w:r>
              <w:rPr>
                <w:rFonts w:ascii="宋体" w:hAnsi="宋体" w:cs="宋体" w:eastAsia="宋体" w:hint="default"/>
                <w:sz w:val="20"/>
                <w:szCs w:val="20"/>
              </w:rPr>
              <w:t>本年增加</w:t>
            </w:r>
          </w:p>
        </w:tc>
        <w:tc>
          <w:tcPr>
            <w:tcW w:w="110"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360" w:right="0"/>
              <w:jc w:val="left"/>
              <w:rPr>
                <w:rFonts w:ascii="宋体" w:hAnsi="宋体" w:cs="宋体" w:eastAsia="宋体" w:hint="default"/>
                <w:sz w:val="20"/>
                <w:szCs w:val="20"/>
              </w:rPr>
            </w:pPr>
            <w:r>
              <w:rPr>
                <w:rFonts w:ascii="宋体" w:hAnsi="宋体" w:cs="宋体" w:eastAsia="宋体" w:hint="default"/>
                <w:sz w:val="20"/>
                <w:szCs w:val="20"/>
              </w:rPr>
              <w:t>本年减少</w:t>
            </w:r>
          </w:p>
        </w:tc>
        <w:tc>
          <w:tcPr>
            <w:tcW w:w="11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single" w:sz="6" w:space="0" w:color="000000"/>
              <w:right w:val="nil" w:sz="6" w:space="0" w:color="auto"/>
            </w:tcBorders>
          </w:tcPr>
          <w:p>
            <w:pPr>
              <w:pStyle w:val="TableParagraph"/>
              <w:spacing w:line="207" w:lineRule="exact"/>
              <w:ind w:left="897" w:right="0"/>
              <w:jc w:val="left"/>
              <w:rPr>
                <w:rFonts w:ascii="宋体" w:hAnsi="宋体" w:cs="宋体" w:eastAsia="宋体" w:hint="default"/>
                <w:sz w:val="20"/>
                <w:szCs w:val="20"/>
              </w:rPr>
            </w:pPr>
            <w:r>
              <w:rPr>
                <w:rFonts w:ascii="Arial" w:hAnsi="Arial" w:cs="Arial" w:eastAsia="Arial" w:hint="default"/>
                <w:sz w:val="20"/>
                <w:szCs w:val="20"/>
              </w:rPr>
              <w:t>2019</w:t>
            </w:r>
            <w:r>
              <w:rPr>
                <w:rFonts w:ascii="Arial" w:hAnsi="Arial" w:cs="Arial" w:eastAsia="Arial" w:hint="default"/>
                <w:spacing w:val="-11"/>
                <w:sz w:val="20"/>
                <w:szCs w:val="20"/>
              </w:rPr>
              <w:t> </w:t>
            </w:r>
            <w:r>
              <w:rPr>
                <w:rFonts w:ascii="宋体" w:hAnsi="宋体" w:cs="宋体" w:eastAsia="宋体" w:hint="default"/>
                <w:sz w:val="20"/>
                <w:szCs w:val="20"/>
              </w:rPr>
              <w:t>年</w:t>
            </w:r>
          </w:p>
          <w:p>
            <w:pPr>
              <w:pStyle w:val="TableParagraph"/>
              <w:spacing w:line="268" w:lineRule="exact"/>
              <w:ind w:left="600" w:right="0"/>
              <w:jc w:val="left"/>
              <w:rPr>
                <w:rFonts w:ascii="宋体" w:hAnsi="宋体" w:cs="宋体" w:eastAsia="宋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宋体" w:hAnsi="宋体" w:cs="宋体" w:eastAsia="宋体" w:hint="default"/>
                <w:sz w:val="20"/>
                <w:szCs w:val="20"/>
              </w:rPr>
              <w:t>日</w:t>
            </w:r>
          </w:p>
        </w:tc>
      </w:tr>
      <w:tr>
        <w:trPr>
          <w:trHeight w:val="556"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200" w:right="0"/>
              <w:jc w:val="left"/>
              <w:rPr>
                <w:rFonts w:ascii="宋体" w:hAnsi="宋体" w:cs="宋体" w:eastAsia="宋体" w:hint="default"/>
                <w:sz w:val="20"/>
                <w:szCs w:val="20"/>
              </w:rPr>
            </w:pPr>
            <w:r>
              <w:rPr>
                <w:rFonts w:ascii="宋体" w:hAnsi="宋体" w:cs="宋体" w:eastAsia="宋体" w:hint="default"/>
                <w:sz w:val="20"/>
                <w:szCs w:val="20"/>
              </w:rPr>
              <w:t>基本养老保险</w:t>
            </w:r>
          </w:p>
        </w:tc>
        <w:tc>
          <w:tcPr>
            <w:tcW w:w="1510" w:type="dxa"/>
            <w:tcBorders>
              <w:top w:val="single" w:sz="6"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20"/>
              <w:jc w:val="right"/>
              <w:rPr>
                <w:rFonts w:ascii="Arial" w:hAnsi="Arial" w:cs="Arial" w:eastAsia="Arial" w:hint="default"/>
                <w:sz w:val="20"/>
                <w:szCs w:val="20"/>
              </w:rPr>
            </w:pPr>
            <w:r>
              <w:rPr>
                <w:rFonts w:ascii="Arial"/>
                <w:spacing w:val="-2"/>
                <w:sz w:val="20"/>
              </w:rPr>
              <w:t>284,309,642</w:t>
            </w:r>
            <w:r>
              <w:rPr>
                <w:rFonts w:ascii="Arial"/>
                <w:sz w:val="20"/>
              </w:rPr>
            </w:r>
          </w:p>
        </w:tc>
        <w:tc>
          <w:tcPr>
            <w:tcW w:w="1437" w:type="dxa"/>
            <w:tcBorders>
              <w:top w:val="single" w:sz="6"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40"/>
              <w:jc w:val="right"/>
              <w:rPr>
                <w:rFonts w:ascii="Arial" w:hAnsi="Arial" w:cs="Arial" w:eastAsia="Arial" w:hint="default"/>
                <w:sz w:val="20"/>
                <w:szCs w:val="20"/>
              </w:rPr>
            </w:pPr>
            <w:r>
              <w:rPr>
                <w:rFonts w:ascii="Arial"/>
                <w:spacing w:val="-2"/>
                <w:sz w:val="20"/>
              </w:rPr>
              <w:t>4,695,505,485</w:t>
            </w:r>
            <w:r>
              <w:rPr>
                <w:rFonts w:ascii="Arial"/>
                <w:sz w:val="20"/>
              </w:rPr>
            </w:r>
          </w:p>
        </w:tc>
        <w:tc>
          <w:tcPr>
            <w:tcW w:w="110" w:type="dxa"/>
            <w:tcBorders>
              <w:top w:val="nil" w:sz="6" w:space="0" w:color="auto"/>
              <w:left w:val="nil" w:sz="6" w:space="0" w:color="auto"/>
              <w:bottom w:val="nil" w:sz="6" w:space="0" w:color="auto"/>
              <w:right w:val="nil" w:sz="6" w:space="0" w:color="auto"/>
            </w:tcBorders>
          </w:tcPr>
          <w:p>
            <w:pPr/>
          </w:p>
        </w:tc>
        <w:tc>
          <w:tcPr>
            <w:tcW w:w="1570" w:type="dxa"/>
            <w:tcBorders>
              <w:top w:val="single" w:sz="6"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37"/>
              <w:jc w:val="right"/>
              <w:rPr>
                <w:rFonts w:ascii="Arial" w:hAnsi="Arial" w:cs="Arial" w:eastAsia="Arial" w:hint="default"/>
                <w:sz w:val="20"/>
                <w:szCs w:val="20"/>
              </w:rPr>
            </w:pPr>
            <w:r>
              <w:rPr>
                <w:rFonts w:ascii="Arial"/>
                <w:spacing w:val="-2"/>
                <w:sz w:val="20"/>
              </w:rPr>
              <w:t>(4,712,115,250)</w:t>
            </w:r>
            <w:r>
              <w:rPr>
                <w:rFonts w:ascii="Arial"/>
                <w:sz w:val="20"/>
              </w:rPr>
            </w:r>
          </w:p>
        </w:tc>
        <w:tc>
          <w:tcPr>
            <w:tcW w:w="115" w:type="dxa"/>
            <w:tcBorders>
              <w:top w:val="nil" w:sz="6" w:space="0" w:color="auto"/>
              <w:left w:val="nil" w:sz="6" w:space="0" w:color="auto"/>
              <w:bottom w:val="nil" w:sz="6" w:space="0" w:color="auto"/>
              <w:right w:val="nil" w:sz="6" w:space="0" w:color="auto"/>
            </w:tcBorders>
          </w:tcPr>
          <w:p>
            <w:pPr/>
          </w:p>
        </w:tc>
        <w:tc>
          <w:tcPr>
            <w:tcW w:w="1637" w:type="dxa"/>
            <w:tcBorders>
              <w:top w:val="single" w:sz="6"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26"/>
              <w:jc w:val="right"/>
              <w:rPr>
                <w:rFonts w:ascii="Arial" w:hAnsi="Arial" w:cs="Arial" w:eastAsia="Arial" w:hint="default"/>
                <w:sz w:val="20"/>
                <w:szCs w:val="20"/>
              </w:rPr>
            </w:pPr>
            <w:r>
              <w:rPr>
                <w:rFonts w:ascii="Arial"/>
                <w:spacing w:val="-2"/>
                <w:sz w:val="20"/>
              </w:rPr>
              <w:t>267,699,877</w:t>
            </w:r>
            <w:r>
              <w:rPr>
                <w:rFonts w:ascii="Arial"/>
                <w:sz w:val="20"/>
              </w:rPr>
            </w:r>
          </w:p>
        </w:tc>
      </w:tr>
      <w:tr>
        <w:trPr>
          <w:trHeight w:val="259"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补充养老保险</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20"/>
              <w:jc w:val="right"/>
              <w:rPr>
                <w:rFonts w:ascii="Arial" w:hAnsi="Arial" w:cs="Arial" w:eastAsia="Arial" w:hint="default"/>
                <w:sz w:val="20"/>
                <w:szCs w:val="20"/>
              </w:rPr>
            </w:pPr>
            <w:r>
              <w:rPr>
                <w:rFonts w:ascii="Arial"/>
                <w:spacing w:val="-2"/>
                <w:sz w:val="20"/>
              </w:rPr>
              <w:t>20,912,817</w:t>
            </w:r>
            <w:r>
              <w:rPr>
                <w:rFonts w:ascii="Arial"/>
                <w:sz w:val="20"/>
              </w:rPr>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0"/>
              <w:jc w:val="right"/>
              <w:rPr>
                <w:rFonts w:ascii="Arial" w:hAnsi="Arial" w:cs="Arial" w:eastAsia="Arial" w:hint="default"/>
                <w:sz w:val="20"/>
                <w:szCs w:val="20"/>
              </w:rPr>
            </w:pPr>
            <w:r>
              <w:rPr>
                <w:rFonts w:ascii="Arial"/>
                <w:spacing w:val="-2"/>
                <w:sz w:val="20"/>
              </w:rPr>
              <w:t>5,471,203</w:t>
            </w:r>
            <w:r>
              <w:rPr>
                <w:rFonts w:ascii="Arial"/>
                <w:sz w:val="20"/>
              </w:rPr>
            </w:r>
          </w:p>
        </w:tc>
        <w:tc>
          <w:tcPr>
            <w:tcW w:w="110"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7"/>
              <w:jc w:val="right"/>
              <w:rPr>
                <w:rFonts w:ascii="Arial" w:hAnsi="Arial" w:cs="Arial" w:eastAsia="Arial" w:hint="default"/>
                <w:sz w:val="20"/>
                <w:szCs w:val="20"/>
              </w:rPr>
            </w:pPr>
            <w:r>
              <w:rPr>
                <w:rFonts w:ascii="Arial"/>
                <w:spacing w:val="-2"/>
                <w:sz w:val="20"/>
              </w:rPr>
              <w:t>(4,888,587)</w:t>
            </w:r>
            <w:r>
              <w:rPr>
                <w:rFonts w:ascii="Arial"/>
                <w:sz w:val="20"/>
              </w:rPr>
            </w:r>
          </w:p>
        </w:tc>
        <w:tc>
          <w:tcPr>
            <w:tcW w:w="11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6"/>
              <w:jc w:val="right"/>
              <w:rPr>
                <w:rFonts w:ascii="Arial" w:hAnsi="Arial" w:cs="Arial" w:eastAsia="Arial" w:hint="default"/>
                <w:sz w:val="20"/>
                <w:szCs w:val="20"/>
              </w:rPr>
            </w:pPr>
            <w:r>
              <w:rPr>
                <w:rFonts w:ascii="Arial"/>
                <w:spacing w:val="-2"/>
                <w:sz w:val="20"/>
              </w:rPr>
              <w:t>21,495,433</w:t>
            </w:r>
            <w:r>
              <w:rPr>
                <w:rFonts w:ascii="Arial"/>
                <w:sz w:val="20"/>
              </w:rPr>
            </w:r>
          </w:p>
        </w:tc>
      </w:tr>
      <w:tr>
        <w:trPr>
          <w:trHeight w:val="259"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失业保险费</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20"/>
              <w:jc w:val="right"/>
              <w:rPr>
                <w:rFonts w:ascii="Arial" w:hAnsi="Arial" w:cs="Arial" w:eastAsia="Arial" w:hint="default"/>
                <w:sz w:val="20"/>
                <w:szCs w:val="20"/>
              </w:rPr>
            </w:pPr>
            <w:r>
              <w:rPr>
                <w:rFonts w:ascii="Arial"/>
                <w:spacing w:val="-2"/>
                <w:sz w:val="20"/>
              </w:rPr>
              <w:t>36,087,380</w:t>
            </w:r>
            <w:r>
              <w:rPr>
                <w:rFonts w:ascii="Arial"/>
                <w:sz w:val="20"/>
              </w:rPr>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0"/>
              <w:jc w:val="right"/>
              <w:rPr>
                <w:rFonts w:ascii="Arial" w:hAnsi="Arial" w:cs="Arial" w:eastAsia="Arial" w:hint="default"/>
                <w:sz w:val="20"/>
                <w:szCs w:val="20"/>
              </w:rPr>
            </w:pPr>
            <w:r>
              <w:rPr>
                <w:rFonts w:ascii="Arial"/>
                <w:spacing w:val="-2"/>
                <w:sz w:val="20"/>
              </w:rPr>
              <w:t>162,024,843</w:t>
            </w:r>
            <w:r>
              <w:rPr>
                <w:rFonts w:ascii="Arial"/>
                <w:sz w:val="20"/>
              </w:rPr>
            </w:r>
          </w:p>
        </w:tc>
        <w:tc>
          <w:tcPr>
            <w:tcW w:w="110"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7"/>
              <w:jc w:val="right"/>
              <w:rPr>
                <w:rFonts w:ascii="Arial" w:hAnsi="Arial" w:cs="Arial" w:eastAsia="Arial" w:hint="default"/>
                <w:sz w:val="20"/>
                <w:szCs w:val="20"/>
              </w:rPr>
            </w:pPr>
            <w:r>
              <w:rPr>
                <w:rFonts w:ascii="Arial"/>
                <w:spacing w:val="-2"/>
                <w:sz w:val="20"/>
              </w:rPr>
              <w:t>(170,831,500)</w:t>
            </w:r>
            <w:r>
              <w:rPr>
                <w:rFonts w:ascii="Arial"/>
                <w:sz w:val="20"/>
              </w:rPr>
            </w:r>
          </w:p>
        </w:tc>
        <w:tc>
          <w:tcPr>
            <w:tcW w:w="11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6"/>
              <w:jc w:val="right"/>
              <w:rPr>
                <w:rFonts w:ascii="Arial" w:hAnsi="Arial" w:cs="Arial" w:eastAsia="Arial" w:hint="default"/>
                <w:sz w:val="20"/>
                <w:szCs w:val="20"/>
              </w:rPr>
            </w:pPr>
            <w:r>
              <w:rPr>
                <w:rFonts w:ascii="Arial"/>
                <w:spacing w:val="-2"/>
                <w:sz w:val="20"/>
              </w:rPr>
              <w:t>27,280,723</w:t>
            </w:r>
            <w:r>
              <w:rPr>
                <w:rFonts w:ascii="Arial"/>
                <w:sz w:val="20"/>
              </w:rPr>
            </w:r>
          </w:p>
        </w:tc>
      </w:tr>
      <w:tr>
        <w:trPr>
          <w:trHeight w:val="382"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企业年金缴费</w:t>
            </w:r>
          </w:p>
        </w:tc>
        <w:tc>
          <w:tcPr>
            <w:tcW w:w="1510" w:type="dxa"/>
            <w:tcBorders>
              <w:top w:val="nil" w:sz="6" w:space="0" w:color="auto"/>
              <w:left w:val="nil" w:sz="6" w:space="0" w:color="auto"/>
              <w:bottom w:val="nil" w:sz="6" w:space="0" w:color="auto"/>
              <w:right w:val="nil" w:sz="6" w:space="0" w:color="auto"/>
            </w:tcBorders>
          </w:tcPr>
          <w:p>
            <w:pPr>
              <w:pStyle w:val="TableParagraph"/>
              <w:tabs>
                <w:tab w:pos="278" w:val="left" w:leader="none"/>
              </w:tabs>
              <w:spacing w:line="240" w:lineRule="auto" w:before="16"/>
              <w:ind w:right="12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895,838,384</w:t>
            </w:r>
            <w:r>
              <w:rPr>
                <w:rFonts w:ascii="Arial"/>
                <w:spacing w:val="-2"/>
                <w:sz w:val="20"/>
              </w:rPr>
            </w:r>
            <w:r>
              <w:rPr>
                <w:rFonts w:ascii="Arial"/>
                <w:sz w:val="20"/>
              </w:rPr>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 w:right="4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8"/>
                <w:sz w:val="20"/>
                <w:u w:val="single" w:color="000000"/>
              </w:rPr>
              <w:t> </w:t>
            </w:r>
            <w:r>
              <w:rPr>
                <w:rFonts w:ascii="Arial"/>
                <w:spacing w:val="-2"/>
                <w:sz w:val="20"/>
                <w:u w:val="single" w:color="000000"/>
              </w:rPr>
              <w:t>2,379,431,236</w:t>
            </w:r>
            <w:r>
              <w:rPr>
                <w:rFonts w:ascii="Arial"/>
                <w:spacing w:val="-2"/>
                <w:sz w:val="20"/>
              </w:rPr>
            </w:r>
            <w:r>
              <w:rPr>
                <w:rFonts w:ascii="Arial"/>
                <w:sz w:val="20"/>
              </w:rPr>
            </w:r>
          </w:p>
        </w:tc>
        <w:tc>
          <w:tcPr>
            <w:tcW w:w="110"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5" w:right="3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22"/>
                <w:sz w:val="20"/>
                <w:u w:val="single" w:color="000000"/>
              </w:rPr>
              <w:t> </w:t>
            </w:r>
            <w:r>
              <w:rPr>
                <w:rFonts w:ascii="Arial"/>
                <w:spacing w:val="-2"/>
                <w:sz w:val="20"/>
                <w:u w:val="single" w:color="000000"/>
              </w:rPr>
              <w:t>(2,984,232,345)</w:t>
            </w:r>
            <w:r>
              <w:rPr>
                <w:rFonts w:ascii="Arial"/>
                <w:spacing w:val="-2"/>
                <w:sz w:val="20"/>
              </w:rPr>
            </w:r>
            <w:r>
              <w:rPr>
                <w:rFonts w:ascii="Arial"/>
                <w:sz w:val="20"/>
              </w:rPr>
            </w:r>
          </w:p>
        </w:tc>
        <w:tc>
          <w:tcPr>
            <w:tcW w:w="11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Style w:val="TableParagraph"/>
              <w:tabs>
                <w:tab w:pos="499" w:val="left" w:leader="none"/>
              </w:tabs>
              <w:spacing w:line="240" w:lineRule="auto" w:before="16"/>
              <w:ind w:right="2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291,037,275</w:t>
            </w:r>
            <w:r>
              <w:rPr>
                <w:rFonts w:ascii="Arial"/>
                <w:spacing w:val="-2"/>
                <w:sz w:val="20"/>
              </w:rPr>
            </w:r>
            <w:r>
              <w:rPr>
                <w:rFonts w:ascii="Arial"/>
                <w:sz w:val="20"/>
              </w:rPr>
            </w:r>
          </w:p>
        </w:tc>
      </w:tr>
      <w:tr>
        <w:trPr>
          <w:trHeight w:val="396"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78"/>
              <w:ind w:left="200"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510"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right="115"/>
              <w:jc w:val="right"/>
              <w:rPr>
                <w:rFonts w:ascii="Arial" w:hAnsi="Arial" w:cs="Arial" w:eastAsia="Arial" w:hint="default"/>
                <w:sz w:val="20"/>
                <w:szCs w:val="20"/>
              </w:rPr>
            </w:pPr>
            <w:r>
              <w:rPr>
                <w:rFonts w:ascii="Arial"/>
                <w:spacing w:val="-2"/>
                <w:sz w:val="20"/>
              </w:rPr>
              <w:t>1,237,148,223</w:t>
            </w:r>
            <w:r>
              <w:rPr>
                <w:rFonts w:ascii="Arial"/>
                <w:sz w:val="20"/>
              </w:rPr>
            </w:r>
          </w:p>
        </w:tc>
        <w:tc>
          <w:tcPr>
            <w:tcW w:w="1437"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right="40"/>
              <w:jc w:val="right"/>
              <w:rPr>
                <w:rFonts w:ascii="Arial" w:hAnsi="Arial" w:cs="Arial" w:eastAsia="Arial" w:hint="default"/>
                <w:sz w:val="20"/>
                <w:szCs w:val="20"/>
              </w:rPr>
            </w:pPr>
            <w:r>
              <w:rPr>
                <w:rFonts w:ascii="Arial"/>
                <w:spacing w:val="-2"/>
                <w:sz w:val="20"/>
              </w:rPr>
              <w:t>7,242,432,767</w:t>
            </w:r>
            <w:r>
              <w:rPr>
                <w:rFonts w:ascii="Arial"/>
                <w:sz w:val="20"/>
              </w:rPr>
            </w:r>
          </w:p>
        </w:tc>
        <w:tc>
          <w:tcPr>
            <w:tcW w:w="110" w:type="dxa"/>
            <w:tcBorders>
              <w:top w:val="nil" w:sz="6" w:space="0" w:color="auto"/>
              <w:left w:val="nil" w:sz="6" w:space="0" w:color="auto"/>
              <w:bottom w:val="single" w:sz="17" w:space="0" w:color="000000"/>
              <w:right w:val="nil" w:sz="6" w:space="0" w:color="auto"/>
            </w:tcBorders>
          </w:tcPr>
          <w:p>
            <w:pPr/>
          </w:p>
        </w:tc>
        <w:tc>
          <w:tcPr>
            <w:tcW w:w="1570"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right="37"/>
              <w:jc w:val="right"/>
              <w:rPr>
                <w:rFonts w:ascii="Arial" w:hAnsi="Arial" w:cs="Arial" w:eastAsia="Arial" w:hint="default"/>
                <w:sz w:val="20"/>
                <w:szCs w:val="20"/>
              </w:rPr>
            </w:pPr>
            <w:r>
              <w:rPr>
                <w:rFonts w:ascii="Arial"/>
                <w:spacing w:val="-2"/>
                <w:sz w:val="20"/>
              </w:rPr>
              <w:t>(7,872,067,682)</w:t>
            </w:r>
            <w:r>
              <w:rPr>
                <w:rFonts w:ascii="Arial"/>
                <w:sz w:val="20"/>
              </w:rPr>
            </w:r>
          </w:p>
        </w:tc>
        <w:tc>
          <w:tcPr>
            <w:tcW w:w="115"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right="26"/>
              <w:jc w:val="right"/>
              <w:rPr>
                <w:rFonts w:ascii="Arial" w:hAnsi="Arial" w:cs="Arial" w:eastAsia="Arial" w:hint="default"/>
                <w:sz w:val="20"/>
                <w:szCs w:val="20"/>
              </w:rPr>
            </w:pPr>
            <w:r>
              <w:rPr>
                <w:rFonts w:ascii="Arial"/>
                <w:spacing w:val="-2"/>
                <w:sz w:val="20"/>
              </w:rPr>
              <w:t>607,513,308</w:t>
            </w:r>
            <w:r>
              <w:rPr>
                <w:rFonts w:ascii="Arial"/>
                <w:sz w:val="20"/>
              </w:rPr>
            </w:r>
          </w:p>
        </w:tc>
      </w:tr>
    </w:tbl>
    <w:p>
      <w:pPr>
        <w:spacing w:line="240" w:lineRule="auto" w:before="10"/>
        <w:rPr>
          <w:rFonts w:ascii="宋体" w:hAnsi="宋体" w:cs="宋体" w:eastAsia="宋体" w:hint="default"/>
          <w:sz w:val="13"/>
          <w:szCs w:val="13"/>
        </w:rPr>
      </w:pPr>
    </w:p>
    <w:p>
      <w:pPr>
        <w:pStyle w:val="BodyText"/>
        <w:spacing w:line="240" w:lineRule="auto" w:before="32"/>
        <w:ind w:left="112" w:right="0"/>
        <w:jc w:val="left"/>
        <w:rPr>
          <w:rFonts w:ascii="宋体" w:hAnsi="宋体" w:cs="宋体" w:eastAsia="宋体" w:hint="default"/>
        </w:rPr>
      </w:pPr>
      <w:r>
        <w:rPr>
          <w:rFonts w:ascii="Arial" w:hAnsi="Arial" w:cs="Arial" w:eastAsia="Arial" w:hint="default"/>
        </w:rPr>
        <w:t>22</w:t>
      </w:r>
      <w:r>
        <w:rPr/>
        <w:t>、应交税费</w:t>
      </w:r>
      <w:r>
        <w:rPr>
          <w:rFonts w:ascii="宋体" w:hAnsi="宋体" w:cs="宋体" w:eastAsia="宋体" w:hint="default"/>
        </w:rPr>
        <w:t> </w:t>
      </w:r>
    </w:p>
    <w:p>
      <w:pPr>
        <w:spacing w:line="240" w:lineRule="auto" w:before="5"/>
        <w:rPr>
          <w:rFonts w:ascii="宋体" w:hAnsi="宋体" w:cs="宋体" w:eastAsia="宋体" w:hint="default"/>
          <w:sz w:val="23"/>
          <w:szCs w:val="23"/>
        </w:rPr>
      </w:pPr>
    </w:p>
    <w:tbl>
      <w:tblPr>
        <w:tblW w:w="0" w:type="auto"/>
        <w:jc w:val="left"/>
        <w:tblInd w:w="378" w:type="dxa"/>
        <w:tblLayout w:type="fixed"/>
        <w:tblCellMar>
          <w:top w:w="0" w:type="dxa"/>
          <w:left w:w="0" w:type="dxa"/>
          <w:bottom w:w="0" w:type="dxa"/>
          <w:right w:w="0" w:type="dxa"/>
        </w:tblCellMar>
        <w:tblLook w:val="01E0"/>
      </w:tblPr>
      <w:tblGrid>
        <w:gridCol w:w="3061"/>
        <w:gridCol w:w="1224"/>
        <w:gridCol w:w="2407"/>
        <w:gridCol w:w="127"/>
        <w:gridCol w:w="2297"/>
      </w:tblGrid>
      <w:tr>
        <w:trPr>
          <w:trHeight w:val="259" w:hRule="exact"/>
        </w:trPr>
        <w:tc>
          <w:tcPr>
            <w:tcW w:w="3061" w:type="dxa"/>
            <w:tcBorders>
              <w:top w:val="nil" w:sz="6" w:space="0" w:color="auto"/>
              <w:left w:val="nil" w:sz="6" w:space="0" w:color="auto"/>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nil" w:sz="6" w:space="0" w:color="auto"/>
            </w:tcBorders>
          </w:tcPr>
          <w:p>
            <w:pPr>
              <w:pStyle w:val="TableParagraph"/>
              <w:spacing w:line="221" w:lineRule="exact"/>
              <w:ind w:left="460" w:right="0"/>
              <w:jc w:val="left"/>
              <w:rPr>
                <w:rFonts w:ascii="宋体" w:hAnsi="宋体" w:cs="宋体" w:eastAsia="宋体" w:hint="default"/>
                <w:sz w:val="22"/>
                <w:szCs w:val="22"/>
              </w:rPr>
            </w:pPr>
            <w:r>
              <w:rPr>
                <w:rFonts w:ascii="宋体" w:hAnsi="宋体" w:cs="宋体" w:eastAsia="宋体" w:hint="default"/>
                <w:w w:val="100"/>
                <w:sz w:val="22"/>
                <w:szCs w:val="22"/>
              </w:rPr>
              <w:t>注</w:t>
            </w:r>
          </w:p>
        </w:tc>
        <w:tc>
          <w:tcPr>
            <w:tcW w:w="2407" w:type="dxa"/>
            <w:tcBorders>
              <w:top w:val="nil" w:sz="6" w:space="0" w:color="auto"/>
              <w:left w:val="nil" w:sz="6" w:space="0" w:color="auto"/>
              <w:bottom w:val="single" w:sz="6" w:space="0" w:color="000000"/>
              <w:right w:val="nil" w:sz="6" w:space="0" w:color="auto"/>
            </w:tcBorders>
          </w:tcPr>
          <w:p>
            <w:pPr>
              <w:pStyle w:val="TableParagraph"/>
              <w:spacing w:line="236" w:lineRule="exact"/>
              <w:ind w:right="48"/>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127" w:type="dxa"/>
            <w:tcBorders>
              <w:top w:val="nil" w:sz="6" w:space="0" w:color="auto"/>
              <w:left w:val="nil" w:sz="6" w:space="0" w:color="auto"/>
              <w:bottom w:val="nil" w:sz="6" w:space="0" w:color="auto"/>
              <w:right w:val="nil" w:sz="6" w:space="0" w:color="auto"/>
            </w:tcBorders>
          </w:tcPr>
          <w:p>
            <w:pPr/>
          </w:p>
        </w:tc>
        <w:tc>
          <w:tcPr>
            <w:tcW w:w="2297" w:type="dxa"/>
            <w:tcBorders>
              <w:top w:val="nil" w:sz="6" w:space="0" w:color="auto"/>
              <w:left w:val="nil" w:sz="6" w:space="0" w:color="auto"/>
              <w:bottom w:val="single" w:sz="6" w:space="0" w:color="000000"/>
              <w:right w:val="nil" w:sz="6" w:space="0" w:color="auto"/>
            </w:tcBorders>
          </w:tcPr>
          <w:p>
            <w:pPr>
              <w:pStyle w:val="TableParagraph"/>
              <w:spacing w:line="236" w:lineRule="exact"/>
              <w:ind w:right="62"/>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555" w:hRule="exact"/>
        </w:trPr>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应交增值税</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436" w:right="0"/>
              <w:jc w:val="left"/>
              <w:rPr>
                <w:rFonts w:ascii="Arial" w:hAnsi="Arial" w:cs="Arial" w:eastAsia="Arial" w:hint="default"/>
                <w:sz w:val="22"/>
                <w:szCs w:val="22"/>
              </w:rPr>
            </w:pPr>
            <w:r>
              <w:rPr>
                <w:rFonts w:ascii="Arial"/>
                <w:sz w:val="22"/>
              </w:rPr>
              <w:t>(a)</w:t>
            </w:r>
          </w:p>
        </w:tc>
        <w:tc>
          <w:tcPr>
            <w:tcW w:w="2407"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right"/>
              <w:rPr>
                <w:rFonts w:ascii="Arial" w:hAnsi="Arial" w:cs="Arial" w:eastAsia="Arial" w:hint="default"/>
                <w:sz w:val="22"/>
                <w:szCs w:val="22"/>
              </w:rPr>
            </w:pPr>
            <w:r>
              <w:rPr>
                <w:rFonts w:ascii="Arial"/>
                <w:spacing w:val="-1"/>
                <w:sz w:val="22"/>
              </w:rPr>
              <w:t>748,618,120</w:t>
            </w:r>
          </w:p>
        </w:tc>
        <w:tc>
          <w:tcPr>
            <w:tcW w:w="127" w:type="dxa"/>
            <w:tcBorders>
              <w:top w:val="nil" w:sz="6" w:space="0" w:color="auto"/>
              <w:left w:val="nil" w:sz="6" w:space="0" w:color="auto"/>
              <w:bottom w:val="nil" w:sz="6" w:space="0" w:color="auto"/>
              <w:right w:val="nil" w:sz="6" w:space="0" w:color="auto"/>
            </w:tcBorders>
          </w:tcPr>
          <w:p>
            <w:pPr/>
          </w:p>
        </w:tc>
        <w:tc>
          <w:tcPr>
            <w:tcW w:w="2297"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right"/>
              <w:rPr>
                <w:rFonts w:ascii="Arial" w:hAnsi="Arial" w:cs="Arial" w:eastAsia="Arial" w:hint="default"/>
                <w:sz w:val="22"/>
                <w:szCs w:val="22"/>
              </w:rPr>
            </w:pPr>
            <w:r>
              <w:rPr>
                <w:rFonts w:ascii="Arial"/>
                <w:spacing w:val="-1"/>
                <w:sz w:val="22"/>
              </w:rPr>
              <w:t>161,073,199</w:t>
            </w:r>
          </w:p>
        </w:tc>
      </w:tr>
      <w:tr>
        <w:trPr>
          <w:trHeight w:val="290" w:hRule="exact"/>
        </w:trPr>
        <w:tc>
          <w:tcPr>
            <w:tcW w:w="3061" w:type="dxa"/>
            <w:tcBorders>
              <w:top w:val="nil" w:sz="6" w:space="0" w:color="auto"/>
              <w:left w:val="nil" w:sz="6" w:space="0" w:color="auto"/>
              <w:bottom w:val="nil" w:sz="6" w:space="0" w:color="auto"/>
              <w:right w:val="nil" w:sz="6" w:space="0" w:color="auto"/>
            </w:tcBorders>
          </w:tcPr>
          <w:p>
            <w:pPr>
              <w:pStyle w:val="TableParagraph"/>
              <w:spacing w:line="241" w:lineRule="exact"/>
              <w:ind w:left="200" w:right="0"/>
              <w:jc w:val="left"/>
              <w:rPr>
                <w:rFonts w:ascii="宋体" w:hAnsi="宋体" w:cs="宋体" w:eastAsia="宋体" w:hint="default"/>
                <w:sz w:val="22"/>
                <w:szCs w:val="22"/>
              </w:rPr>
            </w:pPr>
            <w:r>
              <w:rPr>
                <w:rFonts w:ascii="宋体" w:hAnsi="宋体" w:cs="宋体" w:eastAsia="宋体" w:hint="default"/>
                <w:sz w:val="22"/>
                <w:szCs w:val="22"/>
              </w:rPr>
              <w:t>应交企业所得税</w:t>
            </w:r>
          </w:p>
        </w:tc>
        <w:tc>
          <w:tcPr>
            <w:tcW w:w="1224" w:type="dxa"/>
            <w:tcBorders>
              <w:top w:val="nil" w:sz="6" w:space="0" w:color="auto"/>
              <w:left w:val="nil" w:sz="6" w:space="0" w:color="auto"/>
              <w:bottom w:val="nil" w:sz="6" w:space="0" w:color="auto"/>
              <w:right w:val="nil" w:sz="6" w:space="0" w:color="auto"/>
            </w:tcBorders>
          </w:tcPr>
          <w:p>
            <w:pPr>
              <w:pStyle w:val="TableParagraph"/>
              <w:spacing w:line="242" w:lineRule="exact"/>
              <w:ind w:left="436" w:right="0"/>
              <w:jc w:val="left"/>
              <w:rPr>
                <w:rFonts w:ascii="Arial" w:hAnsi="Arial" w:cs="Arial" w:eastAsia="Arial" w:hint="default"/>
                <w:sz w:val="22"/>
                <w:szCs w:val="22"/>
              </w:rPr>
            </w:pPr>
            <w:r>
              <w:rPr>
                <w:rFonts w:ascii="Arial"/>
                <w:sz w:val="22"/>
              </w:rPr>
              <w:t>(b)</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0"/>
              <w:jc w:val="right"/>
              <w:rPr>
                <w:rFonts w:ascii="Arial" w:hAnsi="Arial" w:cs="Arial" w:eastAsia="Arial" w:hint="default"/>
                <w:sz w:val="22"/>
                <w:szCs w:val="22"/>
              </w:rPr>
            </w:pPr>
            <w:r>
              <w:rPr>
                <w:rFonts w:ascii="Arial"/>
                <w:spacing w:val="-1"/>
                <w:sz w:val="22"/>
              </w:rPr>
              <w:t>176,942,784</w:t>
            </w:r>
          </w:p>
        </w:tc>
        <w:tc>
          <w:tcPr>
            <w:tcW w:w="127" w:type="dxa"/>
            <w:tcBorders>
              <w:top w:val="nil" w:sz="6" w:space="0" w:color="auto"/>
              <w:left w:val="nil" w:sz="6" w:space="0" w:color="auto"/>
              <w:bottom w:val="nil" w:sz="6" w:space="0" w:color="auto"/>
              <w:right w:val="nil" w:sz="6" w:space="0" w:color="auto"/>
            </w:tcBorders>
          </w:tcPr>
          <w:p>
            <w:pPr/>
          </w:p>
        </w:tc>
        <w:tc>
          <w:tcPr>
            <w:tcW w:w="229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0"/>
              <w:jc w:val="right"/>
              <w:rPr>
                <w:rFonts w:ascii="Arial" w:hAnsi="Arial" w:cs="Arial" w:eastAsia="Arial" w:hint="default"/>
                <w:sz w:val="22"/>
                <w:szCs w:val="22"/>
              </w:rPr>
            </w:pPr>
            <w:r>
              <w:rPr>
                <w:rFonts w:ascii="Arial"/>
                <w:spacing w:val="-1"/>
                <w:sz w:val="22"/>
              </w:rPr>
              <w:t>19,624,643</w:t>
            </w:r>
          </w:p>
        </w:tc>
      </w:tr>
      <w:tr>
        <w:trPr>
          <w:trHeight w:val="283" w:hRule="exact"/>
        </w:trPr>
        <w:tc>
          <w:tcPr>
            <w:tcW w:w="3061"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应交代扣代缴个人所得税</w:t>
            </w:r>
          </w:p>
        </w:tc>
        <w:tc>
          <w:tcPr>
            <w:tcW w:w="1224" w:type="dxa"/>
            <w:tcBorders>
              <w:top w:val="nil" w:sz="6" w:space="0" w:color="auto"/>
              <w:left w:val="nil" w:sz="6" w:space="0" w:color="auto"/>
              <w:bottom w:val="nil" w:sz="6" w:space="0" w:color="auto"/>
              <w:right w:val="nil" w:sz="6" w:space="0" w:color="auto"/>
            </w:tcBorders>
          </w:tcPr>
          <w:p>
            <w:pP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0"/>
              <w:jc w:val="right"/>
              <w:rPr>
                <w:rFonts w:ascii="Arial" w:hAnsi="Arial" w:cs="Arial" w:eastAsia="Arial" w:hint="default"/>
                <w:sz w:val="22"/>
                <w:szCs w:val="22"/>
              </w:rPr>
            </w:pPr>
            <w:r>
              <w:rPr>
                <w:rFonts w:ascii="Arial"/>
                <w:spacing w:val="-1"/>
                <w:sz w:val="22"/>
              </w:rPr>
              <w:t>290,238,070</w:t>
            </w:r>
          </w:p>
        </w:tc>
        <w:tc>
          <w:tcPr>
            <w:tcW w:w="127" w:type="dxa"/>
            <w:tcBorders>
              <w:top w:val="nil" w:sz="6" w:space="0" w:color="auto"/>
              <w:left w:val="nil" w:sz="6" w:space="0" w:color="auto"/>
              <w:bottom w:val="nil" w:sz="6" w:space="0" w:color="auto"/>
              <w:right w:val="nil" w:sz="6" w:space="0" w:color="auto"/>
            </w:tcBorders>
          </w:tcPr>
          <w:p>
            <w:pPr/>
          </w:p>
        </w:tc>
        <w:tc>
          <w:tcPr>
            <w:tcW w:w="229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0"/>
              <w:jc w:val="right"/>
              <w:rPr>
                <w:rFonts w:ascii="Arial" w:hAnsi="Arial" w:cs="Arial" w:eastAsia="Arial" w:hint="default"/>
                <w:sz w:val="22"/>
                <w:szCs w:val="22"/>
              </w:rPr>
            </w:pPr>
            <w:r>
              <w:rPr>
                <w:rFonts w:ascii="Arial"/>
                <w:spacing w:val="-1"/>
                <w:sz w:val="22"/>
              </w:rPr>
              <w:t>397,519,071</w:t>
            </w:r>
          </w:p>
        </w:tc>
      </w:tr>
      <w:tr>
        <w:trPr>
          <w:trHeight w:val="288" w:hRule="exact"/>
        </w:trPr>
        <w:tc>
          <w:tcPr>
            <w:tcW w:w="3061"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应交房产税</w:t>
            </w:r>
          </w:p>
        </w:tc>
        <w:tc>
          <w:tcPr>
            <w:tcW w:w="1224" w:type="dxa"/>
            <w:tcBorders>
              <w:top w:val="nil" w:sz="6" w:space="0" w:color="auto"/>
              <w:left w:val="nil" w:sz="6" w:space="0" w:color="auto"/>
              <w:bottom w:val="nil" w:sz="6" w:space="0" w:color="auto"/>
              <w:right w:val="nil" w:sz="6" w:space="0" w:color="auto"/>
            </w:tcBorders>
          </w:tcPr>
          <w:p>
            <w:pP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0"/>
              <w:jc w:val="right"/>
              <w:rPr>
                <w:rFonts w:ascii="Arial" w:hAnsi="Arial" w:cs="Arial" w:eastAsia="Arial" w:hint="default"/>
                <w:sz w:val="22"/>
                <w:szCs w:val="22"/>
              </w:rPr>
            </w:pPr>
            <w:r>
              <w:rPr>
                <w:rFonts w:ascii="Arial"/>
                <w:spacing w:val="-1"/>
                <w:sz w:val="22"/>
              </w:rPr>
              <w:t>100,236,790</w:t>
            </w:r>
          </w:p>
        </w:tc>
        <w:tc>
          <w:tcPr>
            <w:tcW w:w="127" w:type="dxa"/>
            <w:tcBorders>
              <w:top w:val="nil" w:sz="6" w:space="0" w:color="auto"/>
              <w:left w:val="nil" w:sz="6" w:space="0" w:color="auto"/>
              <w:bottom w:val="nil" w:sz="6" w:space="0" w:color="auto"/>
              <w:right w:val="nil" w:sz="6" w:space="0" w:color="auto"/>
            </w:tcBorders>
          </w:tcPr>
          <w:p>
            <w:pPr/>
          </w:p>
        </w:tc>
        <w:tc>
          <w:tcPr>
            <w:tcW w:w="229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0"/>
              <w:jc w:val="right"/>
              <w:rPr>
                <w:rFonts w:ascii="Arial" w:hAnsi="Arial" w:cs="Arial" w:eastAsia="Arial" w:hint="default"/>
                <w:sz w:val="22"/>
                <w:szCs w:val="22"/>
              </w:rPr>
            </w:pPr>
            <w:r>
              <w:rPr>
                <w:rFonts w:ascii="Arial"/>
                <w:spacing w:val="-1"/>
                <w:sz w:val="22"/>
              </w:rPr>
              <w:t>89,847,937</w:t>
            </w:r>
          </w:p>
        </w:tc>
      </w:tr>
      <w:tr>
        <w:trPr>
          <w:trHeight w:val="418" w:hRule="exact"/>
        </w:trPr>
        <w:tc>
          <w:tcPr>
            <w:tcW w:w="3061"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1224" w:type="dxa"/>
            <w:tcBorders>
              <w:top w:val="nil" w:sz="6" w:space="0" w:color="auto"/>
              <w:left w:val="nil" w:sz="6" w:space="0" w:color="auto"/>
              <w:bottom w:val="nil" w:sz="6" w:space="0" w:color="auto"/>
              <w:right w:val="nil" w:sz="6" w:space="0" w:color="auto"/>
            </w:tcBorders>
          </w:tcPr>
          <w:p>
            <w:pPr/>
          </w:p>
        </w:tc>
        <w:tc>
          <w:tcPr>
            <w:tcW w:w="2407" w:type="dxa"/>
            <w:tcBorders>
              <w:top w:val="nil" w:sz="6" w:space="0" w:color="auto"/>
              <w:left w:val="nil" w:sz="6" w:space="0" w:color="auto"/>
              <w:bottom w:val="nil" w:sz="6" w:space="0" w:color="auto"/>
              <w:right w:val="nil" w:sz="6" w:space="0" w:color="auto"/>
            </w:tcBorders>
          </w:tcPr>
          <w:p>
            <w:pPr>
              <w:pStyle w:val="TableParagraph"/>
              <w:tabs>
                <w:tab w:pos="1180" w:val="left" w:leader="none"/>
              </w:tabs>
              <w:spacing w:line="240" w:lineRule="auto" w:before="16"/>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224,926,907</w:t>
            </w:r>
            <w:r>
              <w:rPr>
                <w:rFonts w:ascii="Arial"/>
                <w:spacing w:val="-1"/>
                <w:sz w:val="22"/>
              </w:rPr>
            </w:r>
          </w:p>
        </w:tc>
        <w:tc>
          <w:tcPr>
            <w:tcW w:w="127" w:type="dxa"/>
            <w:tcBorders>
              <w:top w:val="nil" w:sz="6" w:space="0" w:color="auto"/>
              <w:left w:val="nil" w:sz="6" w:space="0" w:color="auto"/>
              <w:bottom w:val="nil" w:sz="6" w:space="0" w:color="auto"/>
              <w:right w:val="nil" w:sz="6" w:space="0" w:color="auto"/>
            </w:tcBorders>
          </w:tcPr>
          <w:p>
            <w:pPr/>
          </w:p>
        </w:tc>
        <w:tc>
          <w:tcPr>
            <w:tcW w:w="2297" w:type="dxa"/>
            <w:tcBorders>
              <w:top w:val="nil" w:sz="6" w:space="0" w:color="auto"/>
              <w:left w:val="nil" w:sz="6" w:space="0" w:color="auto"/>
              <w:bottom w:val="nil" w:sz="6" w:space="0" w:color="auto"/>
              <w:right w:val="nil" w:sz="6" w:space="0" w:color="auto"/>
            </w:tcBorders>
          </w:tcPr>
          <w:p>
            <w:pPr>
              <w:pStyle w:val="TableParagraph"/>
              <w:tabs>
                <w:tab w:pos="1070" w:val="left" w:leader="none"/>
              </w:tabs>
              <w:spacing w:line="240" w:lineRule="auto" w:before="16"/>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243,444,434</w:t>
            </w:r>
            <w:r>
              <w:rPr>
                <w:rFonts w:ascii="Arial"/>
                <w:spacing w:val="-1"/>
                <w:sz w:val="22"/>
              </w:rPr>
            </w:r>
          </w:p>
        </w:tc>
      </w:tr>
      <w:tr>
        <w:trPr>
          <w:trHeight w:val="432" w:hRule="exact"/>
        </w:trPr>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85"/>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1224" w:type="dxa"/>
            <w:tcBorders>
              <w:top w:val="nil" w:sz="6" w:space="0" w:color="auto"/>
              <w:left w:val="nil" w:sz="6" w:space="0" w:color="auto"/>
              <w:bottom w:val="nil" w:sz="6" w:space="0" w:color="auto"/>
              <w:right w:val="nil" w:sz="6" w:space="0" w:color="auto"/>
            </w:tcBorders>
          </w:tcPr>
          <w:p>
            <w:pPr/>
          </w:p>
        </w:tc>
        <w:tc>
          <w:tcPr>
            <w:tcW w:w="2407"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right="0"/>
              <w:jc w:val="right"/>
              <w:rPr>
                <w:rFonts w:ascii="Arial" w:hAnsi="Arial" w:cs="Arial" w:eastAsia="Arial" w:hint="default"/>
                <w:sz w:val="22"/>
                <w:szCs w:val="22"/>
              </w:rPr>
            </w:pPr>
            <w:r>
              <w:rPr>
                <w:rFonts w:ascii="Arial"/>
                <w:spacing w:val="-1"/>
                <w:sz w:val="22"/>
              </w:rPr>
              <w:t>1,540,962,671</w:t>
            </w:r>
          </w:p>
        </w:tc>
        <w:tc>
          <w:tcPr>
            <w:tcW w:w="127" w:type="dxa"/>
            <w:tcBorders>
              <w:top w:val="nil" w:sz="6" w:space="0" w:color="auto"/>
              <w:left w:val="nil" w:sz="6" w:space="0" w:color="auto"/>
              <w:bottom w:val="nil" w:sz="6" w:space="0" w:color="auto"/>
              <w:right w:val="nil" w:sz="6" w:space="0" w:color="auto"/>
            </w:tcBorders>
          </w:tcPr>
          <w:p>
            <w:pPr/>
          </w:p>
        </w:tc>
        <w:tc>
          <w:tcPr>
            <w:tcW w:w="2297"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right="0"/>
              <w:jc w:val="right"/>
              <w:rPr>
                <w:rFonts w:ascii="Arial" w:hAnsi="Arial" w:cs="Arial" w:eastAsia="Arial" w:hint="default"/>
                <w:sz w:val="22"/>
                <w:szCs w:val="22"/>
              </w:rPr>
            </w:pPr>
            <w:r>
              <w:rPr>
                <w:rFonts w:ascii="Arial"/>
                <w:spacing w:val="-1"/>
                <w:sz w:val="22"/>
              </w:rPr>
              <w:t>911,509,284</w:t>
            </w:r>
          </w:p>
        </w:tc>
      </w:tr>
    </w:tbl>
    <w:p>
      <w:pPr>
        <w:spacing w:line="240" w:lineRule="auto" w:before="10"/>
        <w:rPr>
          <w:rFonts w:ascii="宋体" w:hAnsi="宋体" w:cs="宋体" w:eastAsia="宋体" w:hint="default"/>
          <w:sz w:val="13"/>
          <w:szCs w:val="13"/>
        </w:rPr>
      </w:pPr>
    </w:p>
    <w:p>
      <w:pPr>
        <w:pStyle w:val="BodyText"/>
        <w:tabs>
          <w:tab w:pos="679" w:val="left" w:leader="none"/>
        </w:tabs>
        <w:spacing w:line="296" w:lineRule="exact" w:before="32"/>
        <w:ind w:left="112" w:right="0"/>
        <w:jc w:val="left"/>
      </w:pPr>
      <w:r>
        <w:rPr>
          <w:rFonts w:ascii="Arial" w:hAnsi="Arial" w:cs="Arial" w:eastAsia="Arial" w:hint="default"/>
        </w:rPr>
        <w:t>(a)</w:t>
        <w:tab/>
      </w:r>
      <w:r>
        <w:rPr/>
        <w:t>于</w:t>
      </w:r>
      <w:r>
        <w:rPr>
          <w:spacing w:val="-61"/>
        </w:rPr>
        <w:t> </w:t>
      </w:r>
      <w:r>
        <w:rPr>
          <w:rFonts w:ascii="Arial" w:hAnsi="Arial" w:cs="Arial" w:eastAsia="Arial" w:hint="default"/>
        </w:rPr>
        <w:t>2019</w:t>
      </w:r>
      <w:r>
        <w:rPr>
          <w:rFonts w:ascii="Arial" w:hAnsi="Arial" w:cs="Arial" w:eastAsia="Arial" w:hint="default"/>
          <w:spacing w:val="-10"/>
        </w:rPr>
        <w:t> </w:t>
      </w:r>
      <w:r>
        <w:rPr/>
        <w:t>年</w:t>
      </w:r>
      <w:r>
        <w:rPr>
          <w:spacing w:val="-66"/>
        </w:rPr>
        <w:t> </w:t>
      </w:r>
      <w:r>
        <w:rPr>
          <w:rFonts w:ascii="Arial" w:hAnsi="Arial" w:cs="Arial" w:eastAsia="Arial" w:hint="default"/>
        </w:rPr>
        <w:t>12</w:t>
      </w:r>
      <w:r>
        <w:rPr>
          <w:rFonts w:ascii="Arial" w:hAnsi="Arial" w:cs="Arial" w:eastAsia="Arial" w:hint="default"/>
          <w:spacing w:val="-10"/>
        </w:rPr>
        <w:t> </w:t>
      </w:r>
      <w:r>
        <w:rPr/>
        <w:t>月</w:t>
      </w:r>
      <w:r>
        <w:rPr>
          <w:spacing w:val="-61"/>
        </w:rPr>
        <w:t> </w:t>
      </w:r>
      <w:r>
        <w:rPr>
          <w:rFonts w:ascii="Arial" w:hAnsi="Arial" w:cs="Arial" w:eastAsia="Arial" w:hint="default"/>
        </w:rPr>
        <w:t>31</w:t>
      </w:r>
      <w:r>
        <w:rPr>
          <w:rFonts w:ascii="Arial" w:hAnsi="Arial" w:cs="Arial" w:eastAsia="Arial" w:hint="default"/>
          <w:spacing w:val="-10"/>
        </w:rPr>
        <w:t> </w:t>
      </w:r>
      <w:r>
        <w:rPr/>
        <w:t>日，联通运营公司部分分</w:t>
      </w:r>
      <w:r>
        <w:rPr>
          <w:rFonts w:ascii="Arial" w:hAnsi="Arial" w:cs="Arial" w:eastAsia="Arial" w:hint="default"/>
        </w:rPr>
        <w:t>/</w:t>
      </w:r>
      <w:r>
        <w:rPr/>
        <w:t>子公司根据预缴增值税及待抵扣增值税的预计</w:t>
      </w:r>
    </w:p>
    <w:p>
      <w:pPr>
        <w:pStyle w:val="BodyText"/>
        <w:spacing w:line="286" w:lineRule="exact"/>
        <w:ind w:left="679" w:right="0"/>
        <w:jc w:val="left"/>
      </w:pPr>
      <w:r>
        <w:rPr>
          <w:spacing w:val="-5"/>
        </w:rPr>
        <w:t>转回年限，分别列示于其他流动资产人民币约</w:t>
      </w:r>
      <w:r>
        <w:rPr>
          <w:spacing w:val="-49"/>
        </w:rPr>
        <w:t> </w:t>
      </w:r>
      <w:r>
        <w:rPr>
          <w:rFonts w:ascii="Arial" w:hAnsi="Arial" w:cs="Arial" w:eastAsia="Arial" w:hint="default"/>
        </w:rPr>
        <w:t>52.91</w:t>
      </w:r>
      <w:r>
        <w:rPr>
          <w:rFonts w:ascii="Arial" w:hAnsi="Arial" w:cs="Arial" w:eastAsia="Arial" w:hint="default"/>
          <w:spacing w:val="2"/>
        </w:rPr>
        <w:t> </w:t>
      </w:r>
      <w:r>
        <w:rPr/>
        <w:t>亿元及其他非流动资产人民币约</w:t>
      </w:r>
      <w:r>
        <w:rPr>
          <w:spacing w:val="-54"/>
        </w:rPr>
        <w:t> </w:t>
      </w:r>
      <w:r>
        <w:rPr>
          <w:rFonts w:ascii="Arial" w:hAnsi="Arial" w:cs="Arial" w:eastAsia="Arial" w:hint="default"/>
        </w:rPr>
        <w:t>2.16</w:t>
      </w:r>
      <w:r>
        <w:rPr>
          <w:rFonts w:ascii="Arial" w:hAnsi="Arial" w:cs="Arial" w:eastAsia="Arial" w:hint="default"/>
          <w:spacing w:val="-3"/>
        </w:rPr>
        <w:t> </w:t>
      </w:r>
      <w:r>
        <w:rPr/>
        <w:t>亿</w:t>
      </w:r>
    </w:p>
    <w:p>
      <w:pPr>
        <w:pStyle w:val="BodyText"/>
        <w:spacing w:line="293" w:lineRule="exact"/>
        <w:ind w:left="679" w:right="0"/>
        <w:jc w:val="left"/>
      </w:pPr>
      <w:r>
        <w:rPr/>
        <w:t>元（</w:t>
      </w:r>
      <w:r>
        <w:rPr>
          <w:rFonts w:ascii="Arial" w:hAnsi="Arial" w:cs="Arial" w:eastAsia="Arial" w:hint="default"/>
        </w:rPr>
        <w:t>2018</w:t>
      </w:r>
      <w:r>
        <w:rPr>
          <w:rFonts w:ascii="Arial" w:hAnsi="Arial" w:cs="Arial" w:eastAsia="Arial" w:hint="default"/>
          <w:spacing w:val="-4"/>
        </w:rPr>
        <w:t> </w:t>
      </w:r>
      <w:r>
        <w:rPr/>
        <w:t>年</w:t>
      </w:r>
      <w:r>
        <w:rPr>
          <w:spacing w:val="-55"/>
        </w:rPr>
        <w:t> </w:t>
      </w:r>
      <w:r>
        <w:rPr>
          <w:rFonts w:ascii="Arial" w:hAnsi="Arial" w:cs="Arial" w:eastAsia="Arial" w:hint="default"/>
        </w:rPr>
        <w:t>12</w:t>
      </w:r>
      <w:r>
        <w:rPr>
          <w:rFonts w:ascii="Arial" w:hAnsi="Arial" w:cs="Arial" w:eastAsia="Arial" w:hint="default"/>
          <w:spacing w:val="-4"/>
        </w:rPr>
        <w:t> </w:t>
      </w:r>
      <w:r>
        <w:rPr/>
        <w:t>月</w:t>
      </w:r>
      <w:r>
        <w:rPr>
          <w:spacing w:val="-55"/>
        </w:rPr>
        <w:t> </w:t>
      </w:r>
      <w:r>
        <w:rPr>
          <w:rFonts w:ascii="Arial" w:hAnsi="Arial" w:cs="Arial" w:eastAsia="Arial" w:hint="default"/>
        </w:rPr>
        <w:t>31</w:t>
      </w:r>
      <w:r>
        <w:rPr>
          <w:rFonts w:ascii="Arial" w:hAnsi="Arial" w:cs="Arial" w:eastAsia="Arial" w:hint="default"/>
          <w:spacing w:val="-4"/>
        </w:rPr>
        <w:t> </w:t>
      </w:r>
      <w:r>
        <w:rPr/>
        <w:t>日：约人民币</w:t>
      </w:r>
      <w:r>
        <w:rPr>
          <w:spacing w:val="-61"/>
        </w:rPr>
        <w:t> </w:t>
      </w:r>
      <w:r>
        <w:rPr>
          <w:rFonts w:ascii="Arial" w:hAnsi="Arial" w:cs="Arial" w:eastAsia="Arial" w:hint="default"/>
        </w:rPr>
        <w:t>45.79</w:t>
      </w:r>
      <w:r>
        <w:rPr>
          <w:rFonts w:ascii="Arial" w:hAnsi="Arial" w:cs="Arial" w:eastAsia="Arial" w:hint="default"/>
          <w:spacing w:val="-4"/>
        </w:rPr>
        <w:t> </w:t>
      </w:r>
      <w:r>
        <w:rPr/>
        <w:t>亿元及</w:t>
      </w:r>
      <w:r>
        <w:rPr>
          <w:spacing w:val="-61"/>
        </w:rPr>
        <w:t> </w:t>
      </w:r>
      <w:r>
        <w:rPr>
          <w:rFonts w:ascii="Arial" w:hAnsi="Arial" w:cs="Arial" w:eastAsia="Arial" w:hint="default"/>
        </w:rPr>
        <w:t>4.24</w:t>
      </w:r>
      <w:r>
        <w:rPr>
          <w:rFonts w:ascii="Arial" w:hAnsi="Arial" w:cs="Arial" w:eastAsia="Arial" w:hint="default"/>
          <w:spacing w:val="-9"/>
        </w:rPr>
        <w:t> </w:t>
      </w:r>
      <w:r>
        <w:rPr/>
        <w:t>亿元）。</w:t>
      </w:r>
    </w:p>
    <w:p>
      <w:pPr>
        <w:spacing w:line="240" w:lineRule="auto" w:before="11"/>
        <w:rPr>
          <w:rFonts w:ascii="宋体" w:hAnsi="宋体" w:cs="宋体" w:eastAsia="宋体" w:hint="default"/>
          <w:sz w:val="17"/>
          <w:szCs w:val="17"/>
        </w:rPr>
      </w:pPr>
    </w:p>
    <w:p>
      <w:pPr>
        <w:pStyle w:val="BodyText"/>
        <w:tabs>
          <w:tab w:pos="678" w:val="left" w:leader="none"/>
        </w:tabs>
        <w:spacing w:line="296" w:lineRule="exact"/>
        <w:ind w:left="112" w:right="0"/>
        <w:jc w:val="left"/>
      </w:pPr>
      <w:r>
        <w:rPr>
          <w:rFonts w:ascii="Arial" w:hAnsi="Arial" w:cs="Arial" w:eastAsia="Arial" w:hint="default"/>
        </w:rPr>
        <w:t>(b)</w:t>
        <w:tab/>
      </w:r>
      <w:r>
        <w:rPr/>
        <w:t>于</w:t>
      </w:r>
      <w:r>
        <w:rPr>
          <w:spacing w:val="-61"/>
        </w:rPr>
        <w:t> </w:t>
      </w:r>
      <w:r>
        <w:rPr>
          <w:rFonts w:ascii="Arial" w:hAnsi="Arial" w:cs="Arial" w:eastAsia="Arial" w:hint="default"/>
        </w:rPr>
        <w:t>2019</w:t>
      </w:r>
      <w:r>
        <w:rPr>
          <w:rFonts w:ascii="Arial" w:hAnsi="Arial" w:cs="Arial" w:eastAsia="Arial" w:hint="default"/>
          <w:spacing w:val="-10"/>
        </w:rPr>
        <w:t> </w:t>
      </w:r>
      <w:r>
        <w:rPr/>
        <w:t>年</w:t>
      </w:r>
      <w:r>
        <w:rPr>
          <w:spacing w:val="-66"/>
        </w:rPr>
        <w:t> </w:t>
      </w:r>
      <w:r>
        <w:rPr>
          <w:rFonts w:ascii="Arial" w:hAnsi="Arial" w:cs="Arial" w:eastAsia="Arial" w:hint="default"/>
        </w:rPr>
        <w:t>12</w:t>
      </w:r>
      <w:r>
        <w:rPr>
          <w:rFonts w:ascii="Arial" w:hAnsi="Arial" w:cs="Arial" w:eastAsia="Arial" w:hint="default"/>
          <w:spacing w:val="-10"/>
        </w:rPr>
        <w:t> </w:t>
      </w:r>
      <w:r>
        <w:rPr/>
        <w:t>月</w:t>
      </w:r>
      <w:r>
        <w:rPr>
          <w:spacing w:val="-61"/>
        </w:rPr>
        <w:t> </w:t>
      </w:r>
      <w:r>
        <w:rPr>
          <w:rFonts w:ascii="Arial" w:hAnsi="Arial" w:cs="Arial" w:eastAsia="Arial" w:hint="default"/>
        </w:rPr>
        <w:t>31</w:t>
      </w:r>
      <w:r>
        <w:rPr>
          <w:rFonts w:ascii="Arial" w:hAnsi="Arial" w:cs="Arial" w:eastAsia="Arial" w:hint="default"/>
          <w:spacing w:val="-10"/>
        </w:rPr>
        <w:t> </w:t>
      </w:r>
      <w:r>
        <w:rPr/>
        <w:t>日，联通运营公司部分分</w:t>
      </w:r>
      <w:r>
        <w:rPr>
          <w:rFonts w:ascii="Arial" w:hAnsi="Arial" w:cs="Arial" w:eastAsia="Arial" w:hint="default"/>
        </w:rPr>
        <w:t>/</w:t>
      </w:r>
      <w:r>
        <w:rPr/>
        <w:t>子公司实际预缴的企业所得税超过预计应缴纳</w:t>
      </w:r>
    </w:p>
    <w:p>
      <w:pPr>
        <w:pStyle w:val="BodyText"/>
        <w:spacing w:line="286" w:lineRule="exact"/>
        <w:ind w:left="678" w:right="0"/>
        <w:jc w:val="left"/>
        <w:rPr>
          <w:rFonts w:ascii="Arial" w:hAnsi="Arial" w:cs="Arial" w:eastAsia="Arial" w:hint="default"/>
        </w:rPr>
      </w:pPr>
      <w:r>
        <w:rPr/>
        <w:t>的企业所得税约人民币</w:t>
      </w:r>
      <w:r>
        <w:rPr>
          <w:spacing w:val="-54"/>
        </w:rPr>
        <w:t> </w:t>
      </w:r>
      <w:r>
        <w:rPr>
          <w:rFonts w:ascii="Arial" w:hAnsi="Arial" w:cs="Arial" w:eastAsia="Arial" w:hint="default"/>
        </w:rPr>
        <w:t>3.29</w:t>
      </w:r>
      <w:r>
        <w:rPr>
          <w:rFonts w:ascii="Arial" w:hAnsi="Arial" w:cs="Arial" w:eastAsia="Arial" w:hint="default"/>
          <w:spacing w:val="-3"/>
        </w:rPr>
        <w:t> </w:t>
      </w:r>
      <w:r>
        <w:rPr>
          <w:spacing w:val="-3"/>
        </w:rPr>
        <w:t>亿元列示于其他流动资产（</w:t>
      </w:r>
      <w:r>
        <w:rPr>
          <w:rFonts w:ascii="Arial" w:hAnsi="Arial" w:cs="Arial" w:eastAsia="Arial" w:hint="default"/>
          <w:spacing w:val="-3"/>
        </w:rPr>
        <w:t>2018 </w:t>
      </w:r>
      <w:r>
        <w:rPr/>
        <w:t>年</w:t>
      </w:r>
      <w:r>
        <w:rPr>
          <w:spacing w:val="-54"/>
        </w:rPr>
        <w:t> </w:t>
      </w:r>
      <w:r>
        <w:rPr>
          <w:rFonts w:ascii="Arial" w:hAnsi="Arial" w:cs="Arial" w:eastAsia="Arial" w:hint="default"/>
        </w:rPr>
        <w:t>12</w:t>
      </w:r>
      <w:r>
        <w:rPr>
          <w:rFonts w:ascii="Arial" w:hAnsi="Arial" w:cs="Arial" w:eastAsia="Arial" w:hint="default"/>
          <w:spacing w:val="-3"/>
        </w:rPr>
        <w:t> </w:t>
      </w:r>
      <w:r>
        <w:rPr/>
        <w:t>月</w:t>
      </w:r>
      <w:r>
        <w:rPr>
          <w:spacing w:val="-54"/>
        </w:rPr>
        <w:t> </w:t>
      </w:r>
      <w:r>
        <w:rPr>
          <w:rFonts w:ascii="Arial" w:hAnsi="Arial" w:cs="Arial" w:eastAsia="Arial" w:hint="default"/>
        </w:rPr>
        <w:t>31</w:t>
      </w:r>
      <w:r>
        <w:rPr>
          <w:rFonts w:ascii="Arial" w:hAnsi="Arial" w:cs="Arial" w:eastAsia="Arial" w:hint="default"/>
          <w:spacing w:val="-8"/>
        </w:rPr>
        <w:t> </w:t>
      </w:r>
      <w:r>
        <w:rPr>
          <w:spacing w:val="-5"/>
        </w:rPr>
        <w:t>日：约人民币</w:t>
      </w:r>
      <w:r>
        <w:rPr>
          <w:spacing w:val="-54"/>
        </w:rPr>
        <w:t> </w:t>
      </w:r>
      <w:r>
        <w:rPr>
          <w:rFonts w:ascii="Arial" w:hAnsi="Arial" w:cs="Arial" w:eastAsia="Arial" w:hint="default"/>
        </w:rPr>
        <w:t>3.12</w:t>
      </w:r>
    </w:p>
    <w:p>
      <w:pPr>
        <w:pStyle w:val="BodyText"/>
        <w:spacing w:line="278" w:lineRule="exact"/>
        <w:ind w:left="678" w:right="0"/>
        <w:jc w:val="left"/>
      </w:pPr>
      <w:r>
        <w:rPr/>
        <w:t>亿元）。</w:t>
      </w:r>
    </w:p>
    <w:p>
      <w:pPr>
        <w:spacing w:after="0" w:line="278" w:lineRule="exact"/>
        <w:jc w:val="left"/>
        <w:sectPr>
          <w:headerReference w:type="default" r:id="rId174"/>
          <w:pgSz w:w="11910" w:h="16840"/>
          <w:pgMar w:header="1188" w:footer="502" w:top="4140" w:bottom="700" w:left="1020" w:right="1280"/>
        </w:sectPr>
      </w:pPr>
    </w:p>
    <w:p>
      <w:pPr>
        <w:spacing w:line="240" w:lineRule="auto" w:before="7"/>
        <w:rPr>
          <w:rFonts w:ascii="宋体" w:hAnsi="宋体" w:cs="宋体" w:eastAsia="宋体" w:hint="default"/>
          <w:sz w:val="16"/>
          <w:szCs w:val="16"/>
        </w:rPr>
      </w:pPr>
    </w:p>
    <w:p>
      <w:pPr>
        <w:pStyle w:val="BodyText"/>
        <w:spacing w:line="240" w:lineRule="auto" w:before="32"/>
        <w:ind w:left="112" w:right="0"/>
        <w:jc w:val="left"/>
      </w:pPr>
      <w:r>
        <w:rPr>
          <w:rFonts w:ascii="Arial" w:hAnsi="Arial" w:cs="Arial" w:eastAsia="Arial" w:hint="default"/>
        </w:rPr>
        <w:t>23</w:t>
      </w:r>
      <w:r>
        <w:rPr/>
        <w:t>、其他应付款</w:t>
      </w:r>
    </w:p>
    <w:p>
      <w:pPr>
        <w:spacing w:line="240" w:lineRule="auto" w:before="1"/>
        <w:rPr>
          <w:rFonts w:ascii="宋体" w:hAnsi="宋体" w:cs="宋体" w:eastAsia="宋体" w:hint="default"/>
          <w:sz w:val="23"/>
          <w:szCs w:val="23"/>
        </w:rPr>
      </w:pPr>
    </w:p>
    <w:tbl>
      <w:tblPr>
        <w:tblW w:w="0" w:type="auto"/>
        <w:jc w:val="left"/>
        <w:tblInd w:w="340" w:type="dxa"/>
        <w:tblLayout w:type="fixed"/>
        <w:tblCellMar>
          <w:top w:w="0" w:type="dxa"/>
          <w:left w:w="0" w:type="dxa"/>
          <w:bottom w:w="0" w:type="dxa"/>
          <w:right w:w="0" w:type="dxa"/>
        </w:tblCellMar>
        <w:tblLook w:val="01E0"/>
      </w:tblPr>
      <w:tblGrid>
        <w:gridCol w:w="2170"/>
        <w:gridCol w:w="1510"/>
        <w:gridCol w:w="864"/>
        <w:gridCol w:w="2266"/>
        <w:gridCol w:w="106"/>
        <w:gridCol w:w="2165"/>
      </w:tblGrid>
      <w:tr>
        <w:trPr>
          <w:trHeight w:val="264" w:hRule="exact"/>
        </w:trPr>
        <w:tc>
          <w:tcPr>
            <w:tcW w:w="2170"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Style w:val="TableParagraph"/>
              <w:spacing w:line="221" w:lineRule="exact"/>
              <w:ind w:left="986" w:right="0"/>
              <w:jc w:val="left"/>
              <w:rPr>
                <w:rFonts w:ascii="宋体" w:hAnsi="宋体" w:cs="宋体" w:eastAsia="宋体" w:hint="default"/>
                <w:sz w:val="22"/>
                <w:szCs w:val="22"/>
              </w:rPr>
            </w:pPr>
            <w:r>
              <w:rPr>
                <w:rFonts w:ascii="宋体" w:hAnsi="宋体" w:cs="宋体" w:eastAsia="宋体" w:hint="default"/>
                <w:sz w:val="22"/>
                <w:szCs w:val="22"/>
              </w:rPr>
              <w:t>注</w:t>
            </w:r>
            <w:r>
              <w:rPr>
                <w:rFonts w:ascii="宋体" w:hAnsi="宋体" w:cs="宋体" w:eastAsia="宋体" w:hint="default"/>
                <w:sz w:val="22"/>
                <w:szCs w:val="22"/>
              </w:rPr>
              <w:t> </w:t>
            </w:r>
          </w:p>
        </w:tc>
        <w:tc>
          <w:tcPr>
            <w:tcW w:w="864" w:type="dxa"/>
            <w:tcBorders>
              <w:top w:val="nil" w:sz="6" w:space="0" w:color="auto"/>
              <w:left w:val="nil" w:sz="6" w:space="0" w:color="auto"/>
              <w:bottom w:val="nil" w:sz="6" w:space="0" w:color="auto"/>
              <w:right w:val="nil" w:sz="6" w:space="0" w:color="auto"/>
            </w:tcBorders>
          </w:tcPr>
          <w:p>
            <w:pPr>
              <w:pStyle w:val="TableParagraph"/>
              <w:spacing w:line="221" w:lineRule="exact"/>
              <w:ind w:right="242"/>
              <w:jc w:val="right"/>
              <w:rPr>
                <w:rFonts w:ascii="宋体" w:hAnsi="宋体" w:cs="宋体" w:eastAsia="宋体" w:hint="default"/>
                <w:sz w:val="22"/>
                <w:szCs w:val="22"/>
              </w:rPr>
            </w:pPr>
            <w:r>
              <w:rPr>
                <w:rFonts w:ascii="宋体"/>
                <w:w w:val="100"/>
                <w:sz w:val="22"/>
              </w:rPr>
              <w:t> </w:t>
            </w:r>
          </w:p>
        </w:tc>
        <w:tc>
          <w:tcPr>
            <w:tcW w:w="2266" w:type="dxa"/>
            <w:tcBorders>
              <w:top w:val="nil" w:sz="6" w:space="0" w:color="auto"/>
              <w:left w:val="nil" w:sz="6" w:space="0" w:color="auto"/>
              <w:bottom w:val="single" w:sz="6" w:space="0" w:color="000000"/>
              <w:right w:val="nil" w:sz="6" w:space="0" w:color="auto"/>
            </w:tcBorders>
          </w:tcPr>
          <w:p>
            <w:pPr>
              <w:pStyle w:val="TableParagraph"/>
              <w:spacing w:line="236" w:lineRule="exact"/>
              <w:ind w:right="26"/>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106" w:type="dxa"/>
            <w:tcBorders>
              <w:top w:val="nil" w:sz="6" w:space="0" w:color="auto"/>
              <w:left w:val="nil" w:sz="6" w:space="0" w:color="auto"/>
              <w:bottom w:val="nil" w:sz="6" w:space="0" w:color="auto"/>
              <w:right w:val="nil" w:sz="6" w:space="0" w:color="auto"/>
            </w:tcBorders>
          </w:tcPr>
          <w:p>
            <w:pPr/>
          </w:p>
        </w:tc>
        <w:tc>
          <w:tcPr>
            <w:tcW w:w="2165" w:type="dxa"/>
            <w:tcBorders>
              <w:top w:val="nil" w:sz="6" w:space="0" w:color="auto"/>
              <w:left w:val="nil" w:sz="6" w:space="0" w:color="auto"/>
              <w:bottom w:val="single" w:sz="6" w:space="0" w:color="000000"/>
              <w:right w:val="nil" w:sz="6" w:space="0" w:color="auto"/>
            </w:tcBorders>
          </w:tcPr>
          <w:p>
            <w:pPr>
              <w:pStyle w:val="TableParagraph"/>
              <w:spacing w:line="236" w:lineRule="exact"/>
              <w:ind w:right="31"/>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240" w:hRule="exact"/>
        </w:trPr>
        <w:tc>
          <w:tcPr>
            <w:tcW w:w="2170"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Style w:val="TableParagraph"/>
              <w:spacing w:line="215" w:lineRule="exact"/>
              <w:ind w:right="319"/>
              <w:jc w:val="right"/>
              <w:rPr>
                <w:rFonts w:ascii="宋体" w:hAnsi="宋体" w:cs="宋体" w:eastAsia="宋体" w:hint="default"/>
                <w:sz w:val="18"/>
                <w:szCs w:val="18"/>
              </w:rPr>
            </w:pPr>
            <w:r>
              <w:rPr>
                <w:rFonts w:ascii="宋体"/>
                <w:w w:val="101"/>
                <w:sz w:val="18"/>
              </w:rPr>
              <w:t> </w:t>
            </w:r>
            <w:r>
              <w:rPr>
                <w:rFonts w:ascii="宋体"/>
                <w:sz w:val="18"/>
              </w:rPr>
            </w:r>
          </w:p>
        </w:tc>
        <w:tc>
          <w:tcPr>
            <w:tcW w:w="864" w:type="dxa"/>
            <w:tcBorders>
              <w:top w:val="nil" w:sz="6" w:space="0" w:color="auto"/>
              <w:left w:val="nil" w:sz="6" w:space="0" w:color="auto"/>
              <w:bottom w:val="nil" w:sz="6" w:space="0" w:color="auto"/>
              <w:right w:val="nil" w:sz="6" w:space="0" w:color="auto"/>
            </w:tcBorders>
          </w:tcPr>
          <w:p>
            <w:pPr>
              <w:pStyle w:val="TableParagraph"/>
              <w:spacing w:line="215" w:lineRule="exact"/>
              <w:ind w:right="261"/>
              <w:jc w:val="right"/>
              <w:rPr>
                <w:rFonts w:ascii="宋体" w:hAnsi="宋体" w:cs="宋体" w:eastAsia="宋体" w:hint="default"/>
                <w:sz w:val="18"/>
                <w:szCs w:val="18"/>
              </w:rPr>
            </w:pPr>
            <w:r>
              <w:rPr>
                <w:rFonts w:ascii="宋体"/>
                <w:w w:val="101"/>
                <w:sz w:val="18"/>
              </w:rPr>
              <w:t> </w:t>
            </w:r>
            <w:r>
              <w:rPr>
                <w:rFonts w:ascii="宋体"/>
                <w:sz w:val="18"/>
              </w:rPr>
            </w:r>
          </w:p>
        </w:tc>
        <w:tc>
          <w:tcPr>
            <w:tcW w:w="2266" w:type="dxa"/>
            <w:tcBorders>
              <w:top w:val="single" w:sz="6" w:space="0" w:color="000000"/>
              <w:left w:val="nil" w:sz="6" w:space="0" w:color="auto"/>
              <w:bottom w:val="nil" w:sz="6" w:space="0" w:color="auto"/>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
        </w:tc>
        <w:tc>
          <w:tcPr>
            <w:tcW w:w="2165" w:type="dxa"/>
            <w:tcBorders>
              <w:top w:val="single" w:sz="6" w:space="0" w:color="000000"/>
              <w:left w:val="nil" w:sz="6" w:space="0" w:color="auto"/>
              <w:bottom w:val="nil" w:sz="6" w:space="0" w:color="auto"/>
              <w:right w:val="nil" w:sz="6" w:space="0" w:color="auto"/>
            </w:tcBorders>
          </w:tcPr>
          <w:p>
            <w:pPr/>
          </w:p>
        </w:tc>
      </w:tr>
      <w:tr>
        <w:trPr>
          <w:trHeight w:val="296" w:hRule="exact"/>
        </w:trPr>
        <w:tc>
          <w:tcPr>
            <w:tcW w:w="2170" w:type="dxa"/>
            <w:tcBorders>
              <w:top w:val="nil" w:sz="6" w:space="0" w:color="auto"/>
              <w:left w:val="nil" w:sz="6" w:space="0" w:color="auto"/>
              <w:bottom w:val="nil" w:sz="6" w:space="0" w:color="auto"/>
              <w:right w:val="nil" w:sz="6" w:space="0" w:color="auto"/>
            </w:tcBorders>
          </w:tcPr>
          <w:p>
            <w:pPr>
              <w:pStyle w:val="TableParagraph"/>
              <w:spacing w:line="254" w:lineRule="exact"/>
              <w:ind w:left="219" w:right="0"/>
              <w:jc w:val="left"/>
              <w:rPr>
                <w:rFonts w:ascii="宋体" w:hAnsi="宋体" w:cs="宋体" w:eastAsia="宋体" w:hint="default"/>
                <w:sz w:val="22"/>
                <w:szCs w:val="22"/>
              </w:rPr>
            </w:pPr>
            <w:r>
              <w:rPr>
                <w:rFonts w:ascii="宋体" w:hAnsi="宋体" w:cs="宋体" w:eastAsia="宋体" w:hint="default"/>
                <w:sz w:val="22"/>
                <w:szCs w:val="22"/>
              </w:rPr>
              <w:t>应付利息</w:t>
            </w:r>
            <w:r>
              <w:rPr>
                <w:rFonts w:ascii="宋体" w:hAnsi="宋体" w:cs="宋体" w:eastAsia="宋体" w:hint="default"/>
                <w:sz w:val="22"/>
                <w:szCs w:val="22"/>
              </w:rPr>
              <w:t> </w:t>
            </w:r>
          </w:p>
        </w:tc>
        <w:tc>
          <w:tcPr>
            <w:tcW w:w="1510" w:type="dxa"/>
            <w:tcBorders>
              <w:top w:val="nil" w:sz="6" w:space="0" w:color="auto"/>
              <w:left w:val="nil" w:sz="6" w:space="0" w:color="auto"/>
              <w:bottom w:val="nil" w:sz="6" w:space="0" w:color="auto"/>
              <w:right w:val="nil" w:sz="6" w:space="0" w:color="auto"/>
            </w:tcBorders>
          </w:tcPr>
          <w:p>
            <w:pPr>
              <w:pStyle w:val="TableParagraph"/>
              <w:spacing w:line="250" w:lineRule="exact"/>
              <w:ind w:left="962" w:right="0"/>
              <w:jc w:val="left"/>
              <w:rPr>
                <w:rFonts w:ascii="Arial" w:hAnsi="Arial" w:cs="Arial" w:eastAsia="Arial" w:hint="default"/>
                <w:sz w:val="22"/>
                <w:szCs w:val="22"/>
              </w:rPr>
            </w:pPr>
            <w:r>
              <w:rPr>
                <w:rFonts w:ascii="Arial"/>
                <w:sz w:val="22"/>
              </w:rPr>
              <w:t>(a)</w:t>
            </w:r>
          </w:p>
        </w:tc>
        <w:tc>
          <w:tcPr>
            <w:tcW w:w="864" w:type="dxa"/>
            <w:tcBorders>
              <w:top w:val="nil" w:sz="6" w:space="0" w:color="auto"/>
              <w:left w:val="nil" w:sz="6" w:space="0" w:color="auto"/>
              <w:bottom w:val="nil" w:sz="6" w:space="0" w:color="auto"/>
              <w:right w:val="nil" w:sz="6" w:space="0" w:color="auto"/>
            </w:tcBorders>
          </w:tcPr>
          <w:p>
            <w:pPr>
              <w:pStyle w:val="TableParagraph"/>
              <w:spacing w:line="254" w:lineRule="exact"/>
              <w:ind w:left="192" w:right="0"/>
              <w:jc w:val="left"/>
              <w:rPr>
                <w:rFonts w:ascii="宋体" w:hAnsi="宋体" w:cs="宋体" w:eastAsia="宋体" w:hint="default"/>
                <w:sz w:val="22"/>
                <w:szCs w:val="22"/>
              </w:rPr>
            </w:pPr>
            <w:r>
              <w:rPr>
                <w:rFonts w:ascii="宋体"/>
                <w:w w:val="100"/>
                <w:sz w:val="22"/>
              </w:rPr>
              <w:t> </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4"/>
              <w:jc w:val="right"/>
              <w:rPr>
                <w:rFonts w:ascii="Arial" w:hAnsi="Arial" w:cs="Arial" w:eastAsia="Arial" w:hint="default"/>
                <w:sz w:val="22"/>
                <w:szCs w:val="22"/>
              </w:rPr>
            </w:pPr>
            <w:r>
              <w:rPr>
                <w:rFonts w:ascii="Arial"/>
                <w:spacing w:val="-1"/>
                <w:sz w:val="22"/>
              </w:rPr>
              <w:t>136,510,199</w:t>
            </w:r>
          </w:p>
        </w:tc>
        <w:tc>
          <w:tcPr>
            <w:tcW w:w="106" w:type="dxa"/>
            <w:tcBorders>
              <w:top w:val="nil" w:sz="6" w:space="0" w:color="auto"/>
              <w:left w:val="nil" w:sz="6" w:space="0" w:color="auto"/>
              <w:bottom w:val="nil" w:sz="6" w:space="0" w:color="auto"/>
              <w:right w:val="nil" w:sz="6" w:space="0" w:color="auto"/>
            </w:tcBorders>
          </w:tcPr>
          <w:p>
            <w:pP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8"/>
              <w:jc w:val="right"/>
              <w:rPr>
                <w:rFonts w:ascii="Arial" w:hAnsi="Arial" w:cs="Arial" w:eastAsia="Arial" w:hint="default"/>
                <w:sz w:val="22"/>
                <w:szCs w:val="22"/>
              </w:rPr>
            </w:pPr>
            <w:r>
              <w:rPr>
                <w:rFonts w:ascii="Arial"/>
                <w:spacing w:val="-1"/>
                <w:sz w:val="22"/>
              </w:rPr>
              <w:t>324,462,805</w:t>
            </w:r>
          </w:p>
        </w:tc>
      </w:tr>
      <w:tr>
        <w:trPr>
          <w:trHeight w:val="286" w:hRule="exact"/>
        </w:trPr>
        <w:tc>
          <w:tcPr>
            <w:tcW w:w="2170" w:type="dxa"/>
            <w:tcBorders>
              <w:top w:val="nil" w:sz="6" w:space="0" w:color="auto"/>
              <w:left w:val="nil" w:sz="6" w:space="0" w:color="auto"/>
              <w:bottom w:val="nil" w:sz="6" w:space="0" w:color="auto"/>
              <w:right w:val="nil" w:sz="6" w:space="0" w:color="auto"/>
            </w:tcBorders>
          </w:tcPr>
          <w:p>
            <w:pPr>
              <w:pStyle w:val="TableParagraph"/>
              <w:spacing w:line="241" w:lineRule="exact"/>
              <w:ind w:left="219" w:right="0"/>
              <w:jc w:val="left"/>
              <w:rPr>
                <w:rFonts w:ascii="宋体" w:hAnsi="宋体" w:cs="宋体" w:eastAsia="宋体" w:hint="default"/>
                <w:sz w:val="22"/>
                <w:szCs w:val="22"/>
              </w:rPr>
            </w:pPr>
            <w:r>
              <w:rPr>
                <w:rFonts w:ascii="宋体" w:hAnsi="宋体" w:cs="宋体" w:eastAsia="宋体" w:hint="default"/>
                <w:sz w:val="22"/>
                <w:szCs w:val="22"/>
              </w:rPr>
              <w:t>应付股利</w:t>
            </w:r>
            <w:r>
              <w:rPr>
                <w:rFonts w:ascii="宋体" w:hAnsi="宋体" w:cs="宋体" w:eastAsia="宋体" w:hint="default"/>
                <w:sz w:val="22"/>
                <w:szCs w:val="22"/>
              </w:rPr>
              <w:t> </w:t>
            </w:r>
          </w:p>
        </w:tc>
        <w:tc>
          <w:tcPr>
            <w:tcW w:w="1510" w:type="dxa"/>
            <w:tcBorders>
              <w:top w:val="nil" w:sz="6" w:space="0" w:color="auto"/>
              <w:left w:val="nil" w:sz="6" w:space="0" w:color="auto"/>
              <w:bottom w:val="nil" w:sz="6" w:space="0" w:color="auto"/>
              <w:right w:val="nil" w:sz="6" w:space="0" w:color="auto"/>
            </w:tcBorders>
          </w:tcPr>
          <w:p>
            <w:pPr>
              <w:pStyle w:val="TableParagraph"/>
              <w:spacing w:line="242" w:lineRule="exact"/>
              <w:ind w:left="962" w:right="0"/>
              <w:jc w:val="left"/>
              <w:rPr>
                <w:rFonts w:ascii="Arial" w:hAnsi="Arial" w:cs="Arial" w:eastAsia="Arial" w:hint="default"/>
                <w:sz w:val="22"/>
                <w:szCs w:val="22"/>
              </w:rPr>
            </w:pPr>
            <w:r>
              <w:rPr>
                <w:rFonts w:ascii="Arial"/>
                <w:sz w:val="22"/>
              </w:rPr>
              <w:t>(b)</w:t>
            </w:r>
          </w:p>
        </w:tc>
        <w:tc>
          <w:tcPr>
            <w:tcW w:w="864" w:type="dxa"/>
            <w:tcBorders>
              <w:top w:val="nil" w:sz="6" w:space="0" w:color="auto"/>
              <w:left w:val="nil" w:sz="6" w:space="0" w:color="auto"/>
              <w:bottom w:val="nil" w:sz="6" w:space="0" w:color="auto"/>
              <w:right w:val="nil" w:sz="6" w:space="0" w:color="auto"/>
            </w:tcBorders>
          </w:tcPr>
          <w:p>
            <w:pPr>
              <w:pStyle w:val="TableParagraph"/>
              <w:spacing w:line="241" w:lineRule="exact"/>
              <w:ind w:left="192" w:right="0"/>
              <w:jc w:val="left"/>
              <w:rPr>
                <w:rFonts w:ascii="宋体" w:hAnsi="宋体" w:cs="宋体" w:eastAsia="宋体" w:hint="default"/>
                <w:sz w:val="22"/>
                <w:szCs w:val="22"/>
              </w:rPr>
            </w:pPr>
            <w:r>
              <w:rPr>
                <w:rFonts w:ascii="宋体"/>
                <w:w w:val="100"/>
                <w:sz w:val="22"/>
              </w:rPr>
              <w:t> </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Arial" w:hAnsi="Arial" w:cs="Arial" w:eastAsia="Arial" w:hint="default"/>
                <w:sz w:val="22"/>
                <w:szCs w:val="22"/>
              </w:rPr>
            </w:pPr>
            <w:r>
              <w:rPr>
                <w:rFonts w:ascii="Arial"/>
                <w:spacing w:val="-1"/>
                <w:sz w:val="22"/>
              </w:rPr>
              <w:t>2,266,014</w:t>
            </w:r>
          </w:p>
        </w:tc>
        <w:tc>
          <w:tcPr>
            <w:tcW w:w="106" w:type="dxa"/>
            <w:tcBorders>
              <w:top w:val="nil" w:sz="6" w:space="0" w:color="auto"/>
              <w:left w:val="nil" w:sz="6" w:space="0" w:color="auto"/>
              <w:bottom w:val="nil" w:sz="6" w:space="0" w:color="auto"/>
              <w:right w:val="nil" w:sz="6" w:space="0" w:color="auto"/>
            </w:tcBorders>
          </w:tcPr>
          <w:p>
            <w:pP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
              <w:jc w:val="right"/>
              <w:rPr>
                <w:rFonts w:ascii="Arial" w:hAnsi="Arial" w:cs="Arial" w:eastAsia="Arial" w:hint="default"/>
                <w:sz w:val="22"/>
                <w:szCs w:val="22"/>
              </w:rPr>
            </w:pPr>
            <w:r>
              <w:rPr>
                <w:rFonts w:ascii="Arial"/>
                <w:spacing w:val="-1"/>
                <w:sz w:val="22"/>
              </w:rPr>
              <w:t>2,266,014</w:t>
            </w:r>
          </w:p>
        </w:tc>
      </w:tr>
      <w:tr>
        <w:trPr>
          <w:trHeight w:val="292" w:hRule="exact"/>
        </w:trPr>
        <w:tc>
          <w:tcPr>
            <w:tcW w:w="2170" w:type="dxa"/>
            <w:tcBorders>
              <w:top w:val="nil" w:sz="6" w:space="0" w:color="auto"/>
              <w:left w:val="nil" w:sz="6" w:space="0" w:color="auto"/>
              <w:bottom w:val="nil" w:sz="6" w:space="0" w:color="auto"/>
              <w:right w:val="nil" w:sz="6" w:space="0" w:color="auto"/>
            </w:tcBorders>
          </w:tcPr>
          <w:p>
            <w:pPr>
              <w:pStyle w:val="TableParagraph"/>
              <w:spacing w:line="243"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w:t>
            </w:r>
            <w:r>
              <w:rPr>
                <w:rFonts w:ascii="宋体" w:hAnsi="宋体" w:cs="宋体" w:eastAsia="宋体" w:hint="default"/>
                <w:sz w:val="22"/>
                <w:szCs w:val="22"/>
              </w:rPr>
              <w:t> </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exact"/>
              <w:ind w:left="972" w:right="0"/>
              <w:jc w:val="left"/>
              <w:rPr>
                <w:rFonts w:ascii="Arial" w:hAnsi="Arial" w:cs="Arial" w:eastAsia="Arial" w:hint="default"/>
                <w:sz w:val="22"/>
                <w:szCs w:val="22"/>
              </w:rPr>
            </w:pPr>
            <w:r>
              <w:rPr>
                <w:rFonts w:ascii="Arial"/>
                <w:sz w:val="22"/>
              </w:rPr>
              <w:t>(c)</w:t>
            </w:r>
          </w:p>
        </w:tc>
        <w:tc>
          <w:tcPr>
            <w:tcW w:w="864" w:type="dxa"/>
            <w:tcBorders>
              <w:top w:val="nil" w:sz="6" w:space="0" w:color="auto"/>
              <w:left w:val="nil" w:sz="6" w:space="0" w:color="auto"/>
              <w:bottom w:val="nil" w:sz="6" w:space="0" w:color="auto"/>
              <w:right w:val="nil" w:sz="6" w:space="0" w:color="auto"/>
            </w:tcBorders>
          </w:tcPr>
          <w:p>
            <w:pPr>
              <w:pStyle w:val="TableParagraph"/>
              <w:spacing w:line="243" w:lineRule="exact"/>
              <w:ind w:left="192" w:right="0"/>
              <w:jc w:val="left"/>
              <w:rPr>
                <w:rFonts w:ascii="宋体" w:hAnsi="宋体" w:cs="宋体" w:eastAsia="宋体" w:hint="default"/>
                <w:sz w:val="22"/>
                <w:szCs w:val="22"/>
              </w:rPr>
            </w:pPr>
            <w:r>
              <w:rPr>
                <w:rFonts w:ascii="宋体"/>
                <w:w w:val="100"/>
                <w:sz w:val="22"/>
              </w:rPr>
              <w:t> </w:t>
            </w:r>
          </w:p>
        </w:tc>
        <w:tc>
          <w:tcPr>
            <w:tcW w:w="2266" w:type="dxa"/>
            <w:tcBorders>
              <w:top w:val="nil" w:sz="6" w:space="0" w:color="auto"/>
              <w:left w:val="nil" w:sz="6" w:space="0" w:color="auto"/>
              <w:bottom w:val="nil" w:sz="6" w:space="0" w:color="auto"/>
              <w:right w:val="nil" w:sz="6" w:space="0" w:color="auto"/>
            </w:tcBorders>
          </w:tcPr>
          <w:p>
            <w:pPr>
              <w:pStyle w:val="TableParagraph"/>
              <w:tabs>
                <w:tab w:pos="695" w:val="left" w:leader="none"/>
              </w:tabs>
              <w:spacing w:line="240" w:lineRule="auto" w:before="20"/>
              <w:ind w:right="31"/>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18,640,295,180</w:t>
            </w:r>
            <w:r>
              <w:rPr>
                <w:rFonts w:ascii="Arial"/>
                <w:sz w:val="22"/>
              </w:rPr>
            </w:r>
          </w:p>
        </w:tc>
        <w:tc>
          <w:tcPr>
            <w:tcW w:w="106" w:type="dxa"/>
            <w:tcBorders>
              <w:top w:val="nil" w:sz="6" w:space="0" w:color="auto"/>
              <w:left w:val="nil" w:sz="6" w:space="0" w:color="auto"/>
              <w:bottom w:val="nil" w:sz="6" w:space="0" w:color="auto"/>
              <w:right w:val="nil" w:sz="6" w:space="0" w:color="auto"/>
            </w:tcBorders>
          </w:tcPr>
          <w:p>
            <w:pPr/>
          </w:p>
        </w:tc>
        <w:tc>
          <w:tcPr>
            <w:tcW w:w="2165" w:type="dxa"/>
            <w:tcBorders>
              <w:top w:val="nil" w:sz="6" w:space="0" w:color="auto"/>
              <w:left w:val="nil" w:sz="6" w:space="0" w:color="auto"/>
              <w:bottom w:val="nil" w:sz="6" w:space="0" w:color="auto"/>
              <w:right w:val="nil" w:sz="6" w:space="0" w:color="auto"/>
            </w:tcBorders>
          </w:tcPr>
          <w:p>
            <w:pPr>
              <w:pStyle w:val="TableParagraph"/>
              <w:tabs>
                <w:tab w:pos="590" w:val="left" w:leader="none"/>
              </w:tabs>
              <w:spacing w:line="240" w:lineRule="auto" w:before="20"/>
              <w:ind w:right="36"/>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15,999,450,567</w:t>
            </w:r>
            <w:r>
              <w:rPr>
                <w:rFonts w:ascii="Arial"/>
                <w:sz w:val="22"/>
              </w:rPr>
            </w:r>
          </w:p>
        </w:tc>
      </w:tr>
      <w:tr>
        <w:trPr>
          <w:trHeight w:val="278" w:hRule="exact"/>
        </w:trPr>
        <w:tc>
          <w:tcPr>
            <w:tcW w:w="2170" w:type="dxa"/>
            <w:tcBorders>
              <w:top w:val="nil" w:sz="6" w:space="0" w:color="auto"/>
              <w:left w:val="nil" w:sz="6" w:space="0" w:color="auto"/>
              <w:bottom w:val="nil" w:sz="6" w:space="0" w:color="auto"/>
              <w:right w:val="nil" w:sz="6" w:space="0" w:color="auto"/>
            </w:tcBorders>
          </w:tcPr>
          <w:p>
            <w:pPr>
              <w:pStyle w:val="TableParagraph"/>
              <w:spacing w:line="244" w:lineRule="exact"/>
              <w:ind w:left="219" w:right="0"/>
              <w:jc w:val="left"/>
              <w:rPr>
                <w:rFonts w:ascii="宋体" w:hAnsi="宋体" w:cs="宋体" w:eastAsia="宋体" w:hint="default"/>
                <w:sz w:val="22"/>
                <w:szCs w:val="22"/>
              </w:rPr>
            </w:pPr>
            <w:r>
              <w:rPr>
                <w:rFonts w:ascii="宋体"/>
                <w:w w:val="100"/>
                <w:sz w:val="22"/>
              </w:rPr>
              <w:t> </w:t>
            </w:r>
          </w:p>
        </w:tc>
        <w:tc>
          <w:tcPr>
            <w:tcW w:w="1510" w:type="dxa"/>
            <w:tcBorders>
              <w:top w:val="nil" w:sz="6" w:space="0" w:color="auto"/>
              <w:left w:val="nil" w:sz="6" w:space="0" w:color="auto"/>
              <w:bottom w:val="nil" w:sz="6" w:space="0" w:color="auto"/>
              <w:right w:val="nil" w:sz="6" w:space="0" w:color="auto"/>
            </w:tcBorders>
          </w:tcPr>
          <w:p>
            <w:pPr>
              <w:pStyle w:val="TableParagraph"/>
              <w:spacing w:line="244" w:lineRule="exact"/>
              <w:ind w:right="300"/>
              <w:jc w:val="right"/>
              <w:rPr>
                <w:rFonts w:ascii="宋体" w:hAnsi="宋体" w:cs="宋体" w:eastAsia="宋体" w:hint="default"/>
                <w:sz w:val="22"/>
                <w:szCs w:val="22"/>
              </w:rPr>
            </w:pPr>
            <w:r>
              <w:rPr>
                <w:rFonts w:ascii="宋体"/>
                <w:w w:val="100"/>
                <w:sz w:val="22"/>
              </w:rPr>
              <w:t> </w:t>
            </w:r>
          </w:p>
        </w:tc>
        <w:tc>
          <w:tcPr>
            <w:tcW w:w="5400" w:type="dxa"/>
            <w:gridSpan w:val="4"/>
            <w:tcBorders>
              <w:top w:val="nil" w:sz="6" w:space="0" w:color="auto"/>
              <w:left w:val="nil" w:sz="6" w:space="0" w:color="auto"/>
              <w:bottom w:val="nil" w:sz="6" w:space="0" w:color="auto"/>
              <w:right w:val="nil" w:sz="6" w:space="0" w:color="auto"/>
            </w:tcBorders>
          </w:tcPr>
          <w:p>
            <w:pPr>
              <w:pStyle w:val="TableParagraph"/>
              <w:spacing w:line="244" w:lineRule="exact"/>
              <w:ind w:left="191" w:right="0"/>
              <w:jc w:val="left"/>
              <w:rPr>
                <w:rFonts w:ascii="宋体" w:hAnsi="宋体" w:cs="宋体" w:eastAsia="宋体" w:hint="default"/>
                <w:sz w:val="22"/>
                <w:szCs w:val="22"/>
              </w:rPr>
            </w:pPr>
            <w:r>
              <w:rPr>
                <w:rFonts w:ascii="宋体"/>
                <w:w w:val="100"/>
                <w:sz w:val="22"/>
              </w:rPr>
              <w:t> </w:t>
            </w:r>
          </w:p>
        </w:tc>
      </w:tr>
      <w:tr>
        <w:trPr>
          <w:trHeight w:val="307" w:hRule="exact"/>
        </w:trPr>
        <w:tc>
          <w:tcPr>
            <w:tcW w:w="2170" w:type="dxa"/>
            <w:tcBorders>
              <w:top w:val="nil" w:sz="6" w:space="0" w:color="auto"/>
              <w:left w:val="nil" w:sz="6" w:space="0" w:color="auto"/>
              <w:bottom w:val="nil" w:sz="6" w:space="0" w:color="auto"/>
              <w:right w:val="nil" w:sz="6" w:space="0" w:color="auto"/>
            </w:tcBorders>
          </w:tcPr>
          <w:p>
            <w:pPr>
              <w:pStyle w:val="TableParagraph"/>
              <w:spacing w:line="254" w:lineRule="exact"/>
              <w:ind w:left="219" w:right="0"/>
              <w:jc w:val="left"/>
              <w:rPr>
                <w:rFonts w:ascii="宋体" w:hAnsi="宋体" w:cs="宋体" w:eastAsia="宋体" w:hint="default"/>
                <w:sz w:val="22"/>
                <w:szCs w:val="22"/>
              </w:rPr>
            </w:pPr>
            <w:r>
              <w:rPr>
                <w:rFonts w:ascii="宋体" w:hAnsi="宋体" w:cs="宋体" w:eastAsia="宋体" w:hint="default"/>
                <w:sz w:val="22"/>
                <w:szCs w:val="22"/>
              </w:rPr>
              <w:t>合计</w:t>
            </w:r>
            <w:r>
              <w:rPr>
                <w:rFonts w:ascii="宋体" w:hAnsi="宋体" w:cs="宋体" w:eastAsia="宋体" w:hint="default"/>
                <w:sz w:val="22"/>
                <w:szCs w:val="22"/>
              </w:rPr>
              <w:t> </w:t>
            </w:r>
          </w:p>
        </w:tc>
        <w:tc>
          <w:tcPr>
            <w:tcW w:w="1510" w:type="dxa"/>
            <w:tcBorders>
              <w:top w:val="nil" w:sz="6" w:space="0" w:color="auto"/>
              <w:left w:val="nil" w:sz="6" w:space="0" w:color="auto"/>
              <w:bottom w:val="nil" w:sz="6" w:space="0" w:color="auto"/>
              <w:right w:val="nil" w:sz="6" w:space="0" w:color="auto"/>
            </w:tcBorders>
          </w:tcPr>
          <w:p>
            <w:pPr>
              <w:pStyle w:val="TableParagraph"/>
              <w:spacing w:line="254" w:lineRule="exact"/>
              <w:ind w:right="300"/>
              <w:jc w:val="right"/>
              <w:rPr>
                <w:rFonts w:ascii="宋体" w:hAnsi="宋体" w:cs="宋体" w:eastAsia="宋体" w:hint="default"/>
                <w:sz w:val="22"/>
                <w:szCs w:val="22"/>
              </w:rPr>
            </w:pPr>
            <w:r>
              <w:rPr>
                <w:rFonts w:ascii="宋体"/>
                <w:w w:val="100"/>
                <w:sz w:val="22"/>
              </w:rPr>
              <w:t> </w:t>
            </w:r>
          </w:p>
        </w:tc>
        <w:tc>
          <w:tcPr>
            <w:tcW w:w="864" w:type="dxa"/>
            <w:tcBorders>
              <w:top w:val="nil" w:sz="6" w:space="0" w:color="auto"/>
              <w:left w:val="nil" w:sz="6" w:space="0" w:color="auto"/>
              <w:bottom w:val="nil" w:sz="6" w:space="0" w:color="auto"/>
              <w:right w:val="nil" w:sz="6" w:space="0" w:color="auto"/>
            </w:tcBorders>
          </w:tcPr>
          <w:p>
            <w:pPr>
              <w:pStyle w:val="TableParagraph"/>
              <w:spacing w:line="254" w:lineRule="exact"/>
              <w:ind w:left="191" w:right="0"/>
              <w:jc w:val="left"/>
              <w:rPr>
                <w:rFonts w:ascii="宋体" w:hAnsi="宋体" w:cs="宋体" w:eastAsia="宋体" w:hint="default"/>
                <w:sz w:val="22"/>
                <w:szCs w:val="22"/>
              </w:rPr>
            </w:pPr>
            <w:r>
              <w:rPr>
                <w:rFonts w:ascii="宋体"/>
                <w:w w:val="100"/>
                <w:sz w:val="22"/>
              </w:rPr>
              <w:t> </w:t>
            </w:r>
          </w:p>
        </w:tc>
        <w:tc>
          <w:tcPr>
            <w:tcW w:w="2266"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right="31"/>
              <w:jc w:val="right"/>
              <w:rPr>
                <w:rFonts w:ascii="Arial" w:hAnsi="Arial" w:cs="Arial" w:eastAsia="Arial" w:hint="default"/>
                <w:sz w:val="22"/>
                <w:szCs w:val="22"/>
              </w:rPr>
            </w:pPr>
            <w:r>
              <w:rPr>
                <w:rFonts w:ascii="Arial"/>
                <w:sz w:val="22"/>
              </w:rPr>
              <w:t>18,779,071,393</w:t>
            </w:r>
          </w:p>
        </w:tc>
        <w:tc>
          <w:tcPr>
            <w:tcW w:w="106" w:type="dxa"/>
            <w:tcBorders>
              <w:top w:val="nil" w:sz="6" w:space="0" w:color="auto"/>
              <w:left w:val="nil" w:sz="6" w:space="0" w:color="auto"/>
              <w:bottom w:val="nil" w:sz="6" w:space="0" w:color="auto"/>
              <w:right w:val="nil" w:sz="6" w:space="0" w:color="auto"/>
            </w:tcBorders>
          </w:tcPr>
          <w:p>
            <w:pPr/>
          </w:p>
        </w:tc>
        <w:tc>
          <w:tcPr>
            <w:tcW w:w="2165"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right="36"/>
              <w:jc w:val="right"/>
              <w:rPr>
                <w:rFonts w:ascii="Arial" w:hAnsi="Arial" w:cs="Arial" w:eastAsia="Arial" w:hint="default"/>
                <w:sz w:val="22"/>
                <w:szCs w:val="22"/>
              </w:rPr>
            </w:pPr>
            <w:r>
              <w:rPr>
                <w:rFonts w:ascii="Arial"/>
                <w:sz w:val="22"/>
              </w:rPr>
              <w:t>16,326,179,386</w:t>
            </w:r>
          </w:p>
        </w:tc>
      </w:tr>
    </w:tbl>
    <w:p>
      <w:pPr>
        <w:spacing w:line="240" w:lineRule="auto" w:before="2"/>
        <w:rPr>
          <w:rFonts w:ascii="宋体" w:hAnsi="宋体" w:cs="宋体" w:eastAsia="宋体" w:hint="default"/>
          <w:sz w:val="14"/>
          <w:szCs w:val="14"/>
        </w:rPr>
      </w:pPr>
    </w:p>
    <w:p>
      <w:pPr>
        <w:pStyle w:val="BodyText"/>
        <w:spacing w:line="240" w:lineRule="auto" w:before="32"/>
        <w:ind w:left="112" w:right="0"/>
        <w:jc w:val="left"/>
      </w:pPr>
      <w:r>
        <w:rPr>
          <w:rFonts w:ascii="Arial" w:hAnsi="Arial" w:cs="Arial" w:eastAsia="Arial" w:hint="default"/>
        </w:rPr>
        <w:t>(a)  </w:t>
      </w:r>
      <w:r>
        <w:rPr>
          <w:rFonts w:ascii="Arial" w:hAnsi="Arial" w:cs="Arial" w:eastAsia="Arial" w:hint="default"/>
          <w:spacing w:val="20"/>
        </w:rPr>
        <w:t> </w:t>
      </w:r>
      <w:r>
        <w:rPr/>
        <w:t>应付利息</w:t>
      </w:r>
    </w:p>
    <w:p>
      <w:pPr>
        <w:spacing w:line="240" w:lineRule="auto" w:before="0"/>
        <w:rPr>
          <w:rFonts w:ascii="宋体" w:hAnsi="宋体" w:cs="宋体" w:eastAsia="宋体" w:hint="default"/>
          <w:sz w:val="23"/>
          <w:szCs w:val="23"/>
        </w:rPr>
      </w:pPr>
    </w:p>
    <w:tbl>
      <w:tblPr>
        <w:tblW w:w="0" w:type="auto"/>
        <w:jc w:val="left"/>
        <w:tblInd w:w="354" w:type="dxa"/>
        <w:tblLayout w:type="fixed"/>
        <w:tblCellMar>
          <w:top w:w="0" w:type="dxa"/>
          <w:left w:w="0" w:type="dxa"/>
          <w:bottom w:w="0" w:type="dxa"/>
          <w:right w:w="0" w:type="dxa"/>
        </w:tblCellMar>
        <w:tblLook w:val="01E0"/>
      </w:tblPr>
      <w:tblGrid>
        <w:gridCol w:w="4491"/>
        <w:gridCol w:w="2290"/>
        <w:gridCol w:w="101"/>
        <w:gridCol w:w="2328"/>
      </w:tblGrid>
      <w:tr>
        <w:trPr>
          <w:trHeight w:val="264" w:hRule="exact"/>
        </w:trPr>
        <w:tc>
          <w:tcPr>
            <w:tcW w:w="4491" w:type="dxa"/>
            <w:tcBorders>
              <w:top w:val="nil" w:sz="6" w:space="0" w:color="auto"/>
              <w:left w:val="nil" w:sz="6" w:space="0" w:color="auto"/>
              <w:bottom w:val="nil" w:sz="6" w:space="0" w:color="auto"/>
              <w:right w:val="nil" w:sz="6" w:space="0" w:color="auto"/>
            </w:tcBorders>
          </w:tcPr>
          <w:p>
            <w:pPr/>
          </w:p>
        </w:tc>
        <w:tc>
          <w:tcPr>
            <w:tcW w:w="2290" w:type="dxa"/>
            <w:tcBorders>
              <w:top w:val="nil" w:sz="6" w:space="0" w:color="auto"/>
              <w:left w:val="nil" w:sz="6" w:space="0" w:color="auto"/>
              <w:bottom w:val="single" w:sz="6" w:space="0" w:color="000000"/>
              <w:right w:val="nil" w:sz="6" w:space="0" w:color="auto"/>
            </w:tcBorders>
          </w:tcPr>
          <w:p>
            <w:pPr>
              <w:pStyle w:val="TableParagraph"/>
              <w:spacing w:line="236" w:lineRule="exact"/>
              <w:ind w:right="0"/>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101" w:type="dxa"/>
            <w:tcBorders>
              <w:top w:val="nil" w:sz="6" w:space="0" w:color="auto"/>
              <w:left w:val="nil" w:sz="6" w:space="0" w:color="auto"/>
              <w:bottom w:val="nil" w:sz="6" w:space="0" w:color="auto"/>
              <w:right w:val="nil" w:sz="6" w:space="0" w:color="auto"/>
            </w:tcBorders>
          </w:tcPr>
          <w:p>
            <w:pPr/>
          </w:p>
        </w:tc>
        <w:tc>
          <w:tcPr>
            <w:tcW w:w="2328" w:type="dxa"/>
            <w:tcBorders>
              <w:top w:val="nil" w:sz="6" w:space="0" w:color="auto"/>
              <w:left w:val="nil" w:sz="6" w:space="0" w:color="auto"/>
              <w:bottom w:val="single" w:sz="6" w:space="0" w:color="000000"/>
              <w:right w:val="nil" w:sz="6" w:space="0" w:color="auto"/>
            </w:tcBorders>
          </w:tcPr>
          <w:p>
            <w:pPr>
              <w:pStyle w:val="TableParagraph"/>
              <w:spacing w:line="236" w:lineRule="exact"/>
              <w:ind w:right="55"/>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557" w:hRule="exact"/>
        </w:trPr>
        <w:tc>
          <w:tcPr>
            <w:tcW w:w="449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应付短期借款利息</w:t>
            </w:r>
          </w:p>
        </w:tc>
        <w:tc>
          <w:tcPr>
            <w:tcW w:w="2290"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91"/>
              <w:jc w:val="right"/>
              <w:rPr>
                <w:rFonts w:ascii="Arial" w:hAnsi="Arial" w:cs="Arial" w:eastAsia="Arial" w:hint="default"/>
                <w:sz w:val="22"/>
                <w:szCs w:val="22"/>
              </w:rPr>
            </w:pPr>
            <w:r>
              <w:rPr>
                <w:rFonts w:ascii="Arial"/>
                <w:spacing w:val="-1"/>
                <w:sz w:val="22"/>
              </w:rPr>
              <w:t>39,727,912</w:t>
            </w:r>
          </w:p>
        </w:tc>
        <w:tc>
          <w:tcPr>
            <w:tcW w:w="101" w:type="dxa"/>
            <w:tcBorders>
              <w:top w:val="nil" w:sz="6" w:space="0" w:color="auto"/>
              <w:left w:val="nil" w:sz="6" w:space="0" w:color="auto"/>
              <w:bottom w:val="nil" w:sz="6" w:space="0" w:color="auto"/>
              <w:right w:val="nil" w:sz="6" w:space="0" w:color="auto"/>
            </w:tcBorders>
          </w:tcPr>
          <w:p>
            <w:pPr/>
          </w:p>
        </w:tc>
        <w:tc>
          <w:tcPr>
            <w:tcW w:w="2328"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20"/>
              <w:jc w:val="right"/>
              <w:rPr>
                <w:rFonts w:ascii="Arial" w:hAnsi="Arial" w:cs="Arial" w:eastAsia="Arial" w:hint="default"/>
                <w:sz w:val="22"/>
                <w:szCs w:val="22"/>
              </w:rPr>
            </w:pPr>
            <w:r>
              <w:rPr>
                <w:rFonts w:ascii="Arial"/>
                <w:spacing w:val="-1"/>
                <w:sz w:val="22"/>
              </w:rPr>
              <w:t>43,088,008</w:t>
            </w:r>
          </w:p>
        </w:tc>
      </w:tr>
      <w:tr>
        <w:trPr>
          <w:trHeight w:val="283" w:hRule="exact"/>
        </w:trPr>
        <w:tc>
          <w:tcPr>
            <w:tcW w:w="4491"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应付长期借款利息</w:t>
            </w: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91"/>
              <w:jc w:val="right"/>
              <w:rPr>
                <w:rFonts w:ascii="Arial" w:hAnsi="Arial" w:cs="Arial" w:eastAsia="Arial" w:hint="default"/>
                <w:sz w:val="22"/>
                <w:szCs w:val="22"/>
              </w:rPr>
            </w:pPr>
            <w:r>
              <w:rPr>
                <w:rFonts w:ascii="Arial"/>
                <w:spacing w:val="-1"/>
                <w:sz w:val="22"/>
              </w:rPr>
              <w:t>1,645,728</w:t>
            </w:r>
          </w:p>
        </w:tc>
        <w:tc>
          <w:tcPr>
            <w:tcW w:w="101" w:type="dxa"/>
            <w:tcBorders>
              <w:top w:val="nil" w:sz="6" w:space="0" w:color="auto"/>
              <w:left w:val="nil" w:sz="6" w:space="0" w:color="auto"/>
              <w:bottom w:val="nil" w:sz="6" w:space="0" w:color="auto"/>
              <w:right w:val="nil" w:sz="6" w:space="0" w:color="auto"/>
            </w:tcBorders>
          </w:tcPr>
          <w:p>
            <w:pPr/>
          </w:p>
        </w:tc>
        <w:tc>
          <w:tcPr>
            <w:tcW w:w="232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20"/>
              <w:jc w:val="right"/>
              <w:rPr>
                <w:rFonts w:ascii="Arial" w:hAnsi="Arial" w:cs="Arial" w:eastAsia="Arial" w:hint="default"/>
                <w:sz w:val="22"/>
                <w:szCs w:val="22"/>
              </w:rPr>
            </w:pPr>
            <w:r>
              <w:rPr>
                <w:rFonts w:ascii="Arial"/>
                <w:spacing w:val="-1"/>
                <w:sz w:val="22"/>
              </w:rPr>
              <w:t>1,159,455</w:t>
            </w:r>
          </w:p>
        </w:tc>
      </w:tr>
      <w:tr>
        <w:trPr>
          <w:trHeight w:val="288" w:hRule="exact"/>
        </w:trPr>
        <w:tc>
          <w:tcPr>
            <w:tcW w:w="4491"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应付短期债券利息</w:t>
            </w: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91"/>
              <w:jc w:val="right"/>
              <w:rPr>
                <w:rFonts w:ascii="Arial" w:hAnsi="Arial" w:cs="Arial" w:eastAsia="Arial" w:hint="default"/>
                <w:sz w:val="22"/>
                <w:szCs w:val="22"/>
              </w:rPr>
            </w:pPr>
            <w:r>
              <w:rPr>
                <w:rFonts w:ascii="Arial"/>
                <w:spacing w:val="-1"/>
                <w:sz w:val="22"/>
              </w:rPr>
              <w:t>32,088,888</w:t>
            </w:r>
          </w:p>
        </w:tc>
        <w:tc>
          <w:tcPr>
            <w:tcW w:w="101" w:type="dxa"/>
            <w:tcBorders>
              <w:top w:val="nil" w:sz="6" w:space="0" w:color="auto"/>
              <w:left w:val="nil" w:sz="6" w:space="0" w:color="auto"/>
              <w:bottom w:val="nil" w:sz="6" w:space="0" w:color="auto"/>
              <w:right w:val="nil" w:sz="6" w:space="0" w:color="auto"/>
            </w:tcBorders>
          </w:tcPr>
          <w:p>
            <w:pPr/>
          </w:p>
        </w:tc>
        <w:tc>
          <w:tcPr>
            <w:tcW w:w="232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21"/>
              <w:jc w:val="right"/>
              <w:rPr>
                <w:rFonts w:ascii="Arial" w:hAnsi="Arial" w:cs="Arial" w:eastAsia="Arial" w:hint="default"/>
                <w:sz w:val="22"/>
                <w:szCs w:val="22"/>
              </w:rPr>
            </w:pPr>
            <w:r>
              <w:rPr>
                <w:rFonts w:ascii="Arial"/>
                <w:w w:val="100"/>
                <w:sz w:val="22"/>
              </w:rPr>
              <w:t>-</w:t>
            </w:r>
          </w:p>
        </w:tc>
      </w:tr>
      <w:tr>
        <w:trPr>
          <w:trHeight w:val="418" w:hRule="exact"/>
        </w:trPr>
        <w:tc>
          <w:tcPr>
            <w:tcW w:w="4491"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应付长期债券利息</w:t>
            </w:r>
          </w:p>
        </w:tc>
        <w:tc>
          <w:tcPr>
            <w:tcW w:w="2290" w:type="dxa"/>
            <w:tcBorders>
              <w:top w:val="nil" w:sz="6" w:space="0" w:color="auto"/>
              <w:left w:val="nil" w:sz="6" w:space="0" w:color="auto"/>
              <w:bottom w:val="nil" w:sz="6" w:space="0" w:color="auto"/>
              <w:right w:val="nil" w:sz="6" w:space="0" w:color="auto"/>
            </w:tcBorders>
          </w:tcPr>
          <w:p>
            <w:pPr>
              <w:pStyle w:val="TableParagraph"/>
              <w:tabs>
                <w:tab w:pos="1094" w:val="left" w:leader="none"/>
                <w:tab w:pos="2289" w:val="left" w:leader="none"/>
              </w:tabs>
              <w:spacing w:line="240" w:lineRule="auto" w:before="16"/>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63,047,671</w:t>
              <w:tab/>
            </w:r>
            <w:r>
              <w:rPr>
                <w:rFonts w:ascii="Arial"/>
                <w:spacing w:val="-1"/>
                <w:sz w:val="22"/>
              </w:rPr>
            </w:r>
          </w:p>
        </w:tc>
        <w:tc>
          <w:tcPr>
            <w:tcW w:w="101" w:type="dxa"/>
            <w:tcBorders>
              <w:top w:val="nil" w:sz="6" w:space="0" w:color="auto"/>
              <w:left w:val="nil" w:sz="6" w:space="0" w:color="auto"/>
              <w:bottom w:val="nil" w:sz="6" w:space="0" w:color="auto"/>
              <w:right w:val="nil" w:sz="6" w:space="0" w:color="auto"/>
            </w:tcBorders>
          </w:tcPr>
          <w:p>
            <w:pPr/>
          </w:p>
        </w:tc>
        <w:tc>
          <w:tcPr>
            <w:tcW w:w="2328" w:type="dxa"/>
            <w:tcBorders>
              <w:top w:val="nil" w:sz="6" w:space="0" w:color="auto"/>
              <w:left w:val="nil" w:sz="6" w:space="0" w:color="auto"/>
              <w:bottom w:val="nil" w:sz="6" w:space="0" w:color="auto"/>
              <w:right w:val="nil" w:sz="6" w:space="0" w:color="auto"/>
            </w:tcBorders>
          </w:tcPr>
          <w:p>
            <w:pPr>
              <w:pStyle w:val="TableParagraph"/>
              <w:tabs>
                <w:tab w:pos="979" w:val="left" w:leader="none"/>
                <w:tab w:pos="2327" w:val="left" w:leader="none"/>
              </w:tabs>
              <w:spacing w:line="240" w:lineRule="auto" w:before="16"/>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280,215,342</w:t>
              <w:tab/>
            </w:r>
            <w:r>
              <w:rPr>
                <w:rFonts w:ascii="Arial"/>
                <w:spacing w:val="-1"/>
                <w:sz w:val="22"/>
              </w:rPr>
            </w:r>
          </w:p>
        </w:tc>
      </w:tr>
      <w:tr>
        <w:trPr>
          <w:trHeight w:val="432" w:hRule="exact"/>
        </w:trPr>
        <w:tc>
          <w:tcPr>
            <w:tcW w:w="4491" w:type="dxa"/>
            <w:tcBorders>
              <w:top w:val="nil" w:sz="6" w:space="0" w:color="auto"/>
              <w:left w:val="nil" w:sz="6" w:space="0" w:color="auto"/>
              <w:bottom w:val="nil" w:sz="6" w:space="0" w:color="auto"/>
              <w:right w:val="nil" w:sz="6" w:space="0" w:color="auto"/>
            </w:tcBorders>
          </w:tcPr>
          <w:p>
            <w:pPr>
              <w:pStyle w:val="TableParagraph"/>
              <w:spacing w:line="240" w:lineRule="auto" w:before="85"/>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290" w:type="dxa"/>
            <w:tcBorders>
              <w:top w:val="nil" w:sz="6" w:space="0" w:color="auto"/>
              <w:left w:val="nil" w:sz="6" w:space="0" w:color="auto"/>
              <w:bottom w:val="single" w:sz="17" w:space="0" w:color="000000"/>
              <w:right w:val="nil" w:sz="6" w:space="0" w:color="auto"/>
            </w:tcBorders>
          </w:tcPr>
          <w:p>
            <w:pPr>
              <w:pStyle w:val="TableParagraph"/>
              <w:spacing w:line="240" w:lineRule="auto" w:before="155"/>
              <w:ind w:right="89"/>
              <w:jc w:val="right"/>
              <w:rPr>
                <w:rFonts w:ascii="Arial" w:hAnsi="Arial" w:cs="Arial" w:eastAsia="Arial" w:hint="default"/>
                <w:sz w:val="22"/>
                <w:szCs w:val="22"/>
              </w:rPr>
            </w:pPr>
            <w:r>
              <w:rPr>
                <w:rFonts w:ascii="Arial"/>
                <w:sz w:val="22"/>
              </w:rPr>
              <w:t>136,510,199</w:t>
            </w:r>
          </w:p>
        </w:tc>
        <w:tc>
          <w:tcPr>
            <w:tcW w:w="101" w:type="dxa"/>
            <w:tcBorders>
              <w:top w:val="nil" w:sz="6" w:space="0" w:color="auto"/>
              <w:left w:val="nil" w:sz="6" w:space="0" w:color="auto"/>
              <w:bottom w:val="nil" w:sz="6" w:space="0" w:color="auto"/>
              <w:right w:val="nil" w:sz="6" w:space="0" w:color="auto"/>
            </w:tcBorders>
          </w:tcPr>
          <w:p>
            <w:pPr/>
          </w:p>
        </w:tc>
        <w:tc>
          <w:tcPr>
            <w:tcW w:w="2328" w:type="dxa"/>
            <w:tcBorders>
              <w:top w:val="nil" w:sz="6" w:space="0" w:color="auto"/>
              <w:left w:val="nil" w:sz="6" w:space="0" w:color="auto"/>
              <w:bottom w:val="single" w:sz="17" w:space="0" w:color="000000"/>
              <w:right w:val="nil" w:sz="6" w:space="0" w:color="auto"/>
            </w:tcBorders>
          </w:tcPr>
          <w:p>
            <w:pPr>
              <w:pStyle w:val="TableParagraph"/>
              <w:spacing w:line="240" w:lineRule="auto" w:before="155"/>
              <w:ind w:right="120"/>
              <w:jc w:val="right"/>
              <w:rPr>
                <w:rFonts w:ascii="Arial" w:hAnsi="Arial" w:cs="Arial" w:eastAsia="Arial" w:hint="default"/>
                <w:sz w:val="22"/>
                <w:szCs w:val="22"/>
              </w:rPr>
            </w:pPr>
            <w:r>
              <w:rPr>
                <w:rFonts w:ascii="Arial"/>
                <w:spacing w:val="-1"/>
                <w:sz w:val="22"/>
              </w:rPr>
              <w:t>324,462,805</w:t>
            </w:r>
          </w:p>
        </w:tc>
      </w:tr>
    </w:tbl>
    <w:p>
      <w:pPr>
        <w:spacing w:line="240" w:lineRule="auto" w:before="2"/>
        <w:rPr>
          <w:rFonts w:ascii="宋体" w:hAnsi="宋体" w:cs="宋体" w:eastAsia="宋体" w:hint="default"/>
          <w:sz w:val="14"/>
          <w:szCs w:val="14"/>
        </w:rPr>
      </w:pPr>
    </w:p>
    <w:p>
      <w:pPr>
        <w:pStyle w:val="BodyText"/>
        <w:spacing w:line="240" w:lineRule="auto" w:before="32"/>
        <w:ind w:left="112" w:right="0"/>
        <w:jc w:val="left"/>
      </w:pPr>
      <w:r>
        <w:rPr>
          <w:rFonts w:ascii="Arial" w:hAnsi="Arial" w:cs="Arial" w:eastAsia="Arial" w:hint="default"/>
        </w:rPr>
        <w:t>(b)  </w:t>
      </w:r>
      <w:r>
        <w:rPr>
          <w:rFonts w:ascii="Arial" w:hAnsi="Arial" w:cs="Arial" w:eastAsia="Arial" w:hint="default"/>
          <w:spacing w:val="20"/>
        </w:rPr>
        <w:t> </w:t>
      </w:r>
      <w:r>
        <w:rPr/>
        <w:t>应付股利</w:t>
      </w:r>
    </w:p>
    <w:p>
      <w:pPr>
        <w:spacing w:line="240" w:lineRule="auto" w:before="3"/>
        <w:rPr>
          <w:rFonts w:ascii="宋体" w:hAnsi="宋体" w:cs="宋体" w:eastAsia="宋体" w:hint="default"/>
          <w:sz w:val="25"/>
          <w:szCs w:val="25"/>
        </w:rPr>
      </w:pPr>
    </w:p>
    <w:tbl>
      <w:tblPr>
        <w:tblW w:w="0" w:type="auto"/>
        <w:jc w:val="left"/>
        <w:tblInd w:w="383" w:type="dxa"/>
        <w:tblLayout w:type="fixed"/>
        <w:tblCellMar>
          <w:top w:w="0" w:type="dxa"/>
          <w:left w:w="0" w:type="dxa"/>
          <w:bottom w:w="0" w:type="dxa"/>
          <w:right w:w="0" w:type="dxa"/>
        </w:tblCellMar>
        <w:tblLook w:val="01E0"/>
      </w:tblPr>
      <w:tblGrid>
        <w:gridCol w:w="4482"/>
        <w:gridCol w:w="2318"/>
        <w:gridCol w:w="2386"/>
      </w:tblGrid>
      <w:tr>
        <w:trPr>
          <w:trHeight w:val="259" w:hRule="exact"/>
        </w:trPr>
        <w:tc>
          <w:tcPr>
            <w:tcW w:w="4482" w:type="dxa"/>
            <w:tcBorders>
              <w:top w:val="nil" w:sz="6" w:space="0" w:color="auto"/>
              <w:left w:val="nil" w:sz="6" w:space="0" w:color="auto"/>
              <w:bottom w:val="nil" w:sz="6" w:space="0" w:color="auto"/>
              <w:right w:val="nil" w:sz="6" w:space="0" w:color="auto"/>
            </w:tcBorders>
          </w:tcPr>
          <w:p>
            <w:pPr/>
          </w:p>
        </w:tc>
        <w:tc>
          <w:tcPr>
            <w:tcW w:w="2318" w:type="dxa"/>
            <w:tcBorders>
              <w:top w:val="nil" w:sz="6" w:space="0" w:color="auto"/>
              <w:left w:val="nil" w:sz="6" w:space="0" w:color="auto"/>
              <w:bottom w:val="single" w:sz="6" w:space="0" w:color="000000"/>
              <w:right w:val="nil" w:sz="6" w:space="0" w:color="auto"/>
            </w:tcBorders>
          </w:tcPr>
          <w:p>
            <w:pPr>
              <w:pStyle w:val="TableParagraph"/>
              <w:spacing w:line="236" w:lineRule="exact"/>
              <w:ind w:right="23"/>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2386" w:type="dxa"/>
            <w:tcBorders>
              <w:top w:val="nil" w:sz="6" w:space="0" w:color="auto"/>
              <w:left w:val="nil" w:sz="6" w:space="0" w:color="auto"/>
              <w:bottom w:val="single" w:sz="6" w:space="0" w:color="000000"/>
              <w:right w:val="nil" w:sz="6" w:space="0" w:color="auto"/>
            </w:tcBorders>
          </w:tcPr>
          <w:p>
            <w:pPr>
              <w:pStyle w:val="TableParagraph"/>
              <w:spacing w:line="236" w:lineRule="exact"/>
              <w:ind w:right="23"/>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571" w:hRule="exact"/>
        </w:trPr>
        <w:tc>
          <w:tcPr>
            <w:tcW w:w="448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普通股股利</w:t>
            </w:r>
          </w:p>
        </w:tc>
        <w:tc>
          <w:tcPr>
            <w:tcW w:w="2318" w:type="dxa"/>
            <w:tcBorders>
              <w:top w:val="single" w:sz="6" w:space="0" w:color="000000"/>
              <w:left w:val="nil" w:sz="6" w:space="0" w:color="auto"/>
              <w:bottom w:val="single" w:sz="17"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86"/>
              <w:jc w:val="right"/>
              <w:rPr>
                <w:rFonts w:ascii="Arial" w:hAnsi="Arial" w:cs="Arial" w:eastAsia="Arial" w:hint="default"/>
                <w:sz w:val="22"/>
                <w:szCs w:val="22"/>
              </w:rPr>
            </w:pPr>
            <w:r>
              <w:rPr>
                <w:rFonts w:ascii="Arial"/>
                <w:spacing w:val="-1"/>
                <w:sz w:val="22"/>
              </w:rPr>
              <w:t>2,266,014</w:t>
            </w:r>
          </w:p>
        </w:tc>
        <w:tc>
          <w:tcPr>
            <w:tcW w:w="2386" w:type="dxa"/>
            <w:tcBorders>
              <w:top w:val="single" w:sz="6" w:space="0" w:color="000000"/>
              <w:left w:val="nil" w:sz="6" w:space="0" w:color="auto"/>
              <w:bottom w:val="single" w:sz="17"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72"/>
              <w:jc w:val="right"/>
              <w:rPr>
                <w:rFonts w:ascii="Arial" w:hAnsi="Arial" w:cs="Arial" w:eastAsia="Arial" w:hint="default"/>
                <w:sz w:val="22"/>
                <w:szCs w:val="22"/>
              </w:rPr>
            </w:pPr>
            <w:r>
              <w:rPr>
                <w:rFonts w:ascii="Arial"/>
                <w:spacing w:val="-1"/>
                <w:sz w:val="22"/>
              </w:rPr>
              <w:t>2,266,014</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p>
      <w:pPr>
        <w:pStyle w:val="BodyText"/>
        <w:spacing w:line="288" w:lineRule="exact"/>
        <w:ind w:left="559" w:right="0"/>
        <w:jc w:val="left"/>
      </w:pPr>
      <w:r>
        <w:rPr/>
        <w:t>于</w:t>
      </w:r>
      <w:r>
        <w:rPr>
          <w:spacing w:val="-53"/>
        </w:rPr>
        <w:t> </w:t>
      </w:r>
      <w:r>
        <w:rPr>
          <w:rFonts w:ascii="Arial" w:hAnsi="Arial" w:cs="Arial" w:eastAsia="Arial" w:hint="default"/>
        </w:rPr>
        <w:t>2019</w:t>
      </w:r>
      <w:r>
        <w:rPr>
          <w:rFonts w:ascii="Arial" w:hAnsi="Arial" w:cs="Arial" w:eastAsia="Arial" w:hint="default"/>
          <w:spacing w:val="-7"/>
        </w:rPr>
        <w:t> </w:t>
      </w:r>
      <w:r>
        <w:rPr/>
        <w:t>年</w:t>
      </w:r>
      <w:r>
        <w:rPr>
          <w:spacing w:val="-53"/>
        </w:rPr>
        <w:t> </w:t>
      </w:r>
      <w:r>
        <w:rPr>
          <w:rFonts w:ascii="Arial" w:hAnsi="Arial" w:cs="Arial" w:eastAsia="Arial" w:hint="default"/>
        </w:rPr>
        <w:t>12</w:t>
      </w:r>
      <w:r>
        <w:rPr>
          <w:rFonts w:ascii="Arial" w:hAnsi="Arial" w:cs="Arial" w:eastAsia="Arial" w:hint="default"/>
          <w:spacing w:val="-2"/>
        </w:rPr>
        <w:t> </w:t>
      </w:r>
      <w:r>
        <w:rPr/>
        <w:t>月</w:t>
      </w:r>
      <w:r>
        <w:rPr>
          <w:spacing w:val="-58"/>
        </w:rPr>
        <w:t> </w:t>
      </w:r>
      <w:r>
        <w:rPr>
          <w:rFonts w:ascii="Arial" w:hAnsi="Arial" w:cs="Arial" w:eastAsia="Arial" w:hint="default"/>
        </w:rPr>
        <w:t>31</w:t>
      </w:r>
      <w:r>
        <w:rPr>
          <w:rFonts w:ascii="Arial" w:hAnsi="Arial" w:cs="Arial" w:eastAsia="Arial" w:hint="default"/>
          <w:spacing w:val="-7"/>
        </w:rPr>
        <w:t> </w:t>
      </w:r>
      <w:r>
        <w:rPr/>
        <w:t>日，应付股利余额主要为联通</w:t>
      </w:r>
      <w:r>
        <w:rPr>
          <w:spacing w:val="-58"/>
        </w:rPr>
        <w:t> </w:t>
      </w:r>
      <w:r>
        <w:rPr>
          <w:rFonts w:ascii="Arial" w:hAnsi="Arial" w:cs="Arial" w:eastAsia="Arial" w:hint="default"/>
        </w:rPr>
        <w:t>BVI</w:t>
      </w:r>
      <w:r>
        <w:rPr>
          <w:rFonts w:ascii="Arial" w:hAnsi="Arial" w:cs="Arial" w:eastAsia="Arial" w:hint="default"/>
          <w:spacing w:val="-8"/>
        </w:rPr>
        <w:t> </w:t>
      </w:r>
      <w:r>
        <w:rPr/>
        <w:t>公司应付联通集团</w:t>
      </w:r>
      <w:r>
        <w:rPr>
          <w:spacing w:val="-53"/>
        </w:rPr>
        <w:t> </w:t>
      </w:r>
      <w:r>
        <w:rPr>
          <w:rFonts w:ascii="Arial" w:hAnsi="Arial" w:cs="Arial" w:eastAsia="Arial" w:hint="default"/>
        </w:rPr>
        <w:t>2012</w:t>
      </w:r>
      <w:r>
        <w:rPr>
          <w:rFonts w:ascii="Arial" w:hAnsi="Arial" w:cs="Arial" w:eastAsia="Arial" w:hint="default"/>
          <w:spacing w:val="-2"/>
        </w:rPr>
        <w:t> </w:t>
      </w:r>
      <w:r>
        <w:rPr/>
        <w:t>年尚未支付部</w:t>
      </w:r>
      <w:r>
        <w:rPr>
          <w:w w:val="100"/>
        </w:rPr>
        <w:t> </w:t>
      </w:r>
      <w:r>
        <w:rPr/>
        <w:t>分股利。</w:t>
      </w:r>
    </w:p>
    <w:p>
      <w:pPr>
        <w:spacing w:after="0" w:line="288" w:lineRule="exact"/>
        <w:jc w:val="left"/>
        <w:sectPr>
          <w:headerReference w:type="default" r:id="rId175"/>
          <w:pgSz w:w="11910" w:h="16840"/>
          <w:pgMar w:header="1188" w:footer="502" w:top="3040" w:bottom="700" w:left="1020" w:right="1220"/>
        </w:sectPr>
      </w:pPr>
    </w:p>
    <w:p>
      <w:pPr>
        <w:spacing w:line="240" w:lineRule="auto" w:before="7"/>
        <w:rPr>
          <w:rFonts w:ascii="宋体" w:hAnsi="宋体" w:cs="宋体" w:eastAsia="宋体" w:hint="default"/>
          <w:sz w:val="16"/>
          <w:szCs w:val="16"/>
        </w:rPr>
      </w:pPr>
    </w:p>
    <w:p>
      <w:pPr>
        <w:pStyle w:val="BodyText"/>
        <w:spacing w:line="240" w:lineRule="auto" w:before="32"/>
        <w:ind w:left="112" w:right="0"/>
        <w:jc w:val="left"/>
      </w:pPr>
      <w:r>
        <w:rPr>
          <w:rFonts w:ascii="Arial" w:hAnsi="Arial" w:cs="Arial" w:eastAsia="Arial" w:hint="default"/>
        </w:rPr>
        <w:t>23</w:t>
      </w:r>
      <w:r>
        <w:rPr/>
        <w:t>、其他应付款（续）</w:t>
      </w:r>
    </w:p>
    <w:p>
      <w:pPr>
        <w:spacing w:line="240" w:lineRule="auto" w:before="11"/>
        <w:rPr>
          <w:rFonts w:ascii="宋体" w:hAnsi="宋体" w:cs="宋体" w:eastAsia="宋体" w:hint="default"/>
          <w:sz w:val="17"/>
          <w:szCs w:val="17"/>
        </w:rPr>
      </w:pPr>
    </w:p>
    <w:p>
      <w:pPr>
        <w:pStyle w:val="BodyText"/>
        <w:tabs>
          <w:tab w:pos="583" w:val="left" w:leader="none"/>
        </w:tabs>
        <w:spacing w:line="240" w:lineRule="auto"/>
        <w:ind w:left="112" w:right="0"/>
        <w:jc w:val="left"/>
      </w:pPr>
      <w:r>
        <w:rPr>
          <w:rFonts w:ascii="Arial" w:hAnsi="Arial" w:cs="Arial" w:eastAsia="Arial" w:hint="default"/>
          <w:spacing w:val="-1"/>
        </w:rPr>
        <w:t>(c)</w:t>
        <w:tab/>
      </w:r>
      <w:r>
        <w:rPr/>
        <w:t>其他</w:t>
      </w:r>
    </w:p>
    <w:p>
      <w:pPr>
        <w:spacing w:line="240" w:lineRule="auto" w:before="6"/>
        <w:rPr>
          <w:rFonts w:ascii="宋体" w:hAnsi="宋体" w:cs="宋体" w:eastAsia="宋体" w:hint="default"/>
          <w:sz w:val="23"/>
          <w:szCs w:val="23"/>
        </w:rPr>
      </w:pPr>
    </w:p>
    <w:tbl>
      <w:tblPr>
        <w:tblW w:w="0" w:type="auto"/>
        <w:jc w:val="left"/>
        <w:tblInd w:w="373" w:type="dxa"/>
        <w:tblLayout w:type="fixed"/>
        <w:tblCellMar>
          <w:top w:w="0" w:type="dxa"/>
          <w:left w:w="0" w:type="dxa"/>
          <w:bottom w:w="0" w:type="dxa"/>
          <w:right w:w="0" w:type="dxa"/>
        </w:tblCellMar>
        <w:tblLook w:val="01E0"/>
      </w:tblPr>
      <w:tblGrid>
        <w:gridCol w:w="3896"/>
        <w:gridCol w:w="1373"/>
        <w:gridCol w:w="1999"/>
        <w:gridCol w:w="1975"/>
      </w:tblGrid>
      <w:tr>
        <w:trPr>
          <w:trHeight w:val="303" w:hRule="exact"/>
        </w:trPr>
        <w:tc>
          <w:tcPr>
            <w:tcW w:w="3896" w:type="dxa"/>
            <w:tcBorders>
              <w:top w:val="nil" w:sz="6" w:space="0" w:color="auto"/>
              <w:left w:val="nil" w:sz="6" w:space="0" w:color="auto"/>
              <w:bottom w:val="nil" w:sz="6" w:space="0" w:color="auto"/>
              <w:right w:val="nil" w:sz="6" w:space="0" w:color="auto"/>
            </w:tcBorders>
          </w:tcPr>
          <w:p>
            <w:pPr/>
          </w:p>
        </w:tc>
        <w:tc>
          <w:tcPr>
            <w:tcW w:w="1373" w:type="dxa"/>
            <w:tcBorders>
              <w:top w:val="nil" w:sz="6" w:space="0" w:color="auto"/>
              <w:left w:val="nil" w:sz="6" w:space="0" w:color="auto"/>
              <w:bottom w:val="nil" w:sz="6" w:space="0" w:color="auto"/>
              <w:right w:val="nil" w:sz="6" w:space="0" w:color="auto"/>
            </w:tcBorders>
          </w:tcPr>
          <w:p>
            <w:pPr>
              <w:pStyle w:val="TableParagraph"/>
              <w:spacing w:line="221" w:lineRule="exact"/>
              <w:ind w:right="93"/>
              <w:jc w:val="center"/>
              <w:rPr>
                <w:rFonts w:ascii="宋体" w:hAnsi="宋体" w:cs="宋体" w:eastAsia="宋体" w:hint="default"/>
                <w:sz w:val="22"/>
                <w:szCs w:val="22"/>
              </w:rPr>
            </w:pPr>
            <w:r>
              <w:rPr>
                <w:rFonts w:ascii="宋体" w:hAnsi="宋体" w:cs="宋体" w:eastAsia="宋体" w:hint="default"/>
                <w:w w:val="100"/>
                <w:sz w:val="22"/>
                <w:szCs w:val="22"/>
              </w:rPr>
              <w:t>注</w:t>
            </w:r>
          </w:p>
        </w:tc>
        <w:tc>
          <w:tcPr>
            <w:tcW w:w="1999" w:type="dxa"/>
            <w:tcBorders>
              <w:top w:val="nil" w:sz="6" w:space="0" w:color="auto"/>
              <w:left w:val="nil" w:sz="6" w:space="0" w:color="auto"/>
              <w:bottom w:val="single" w:sz="6" w:space="0" w:color="000000"/>
              <w:right w:val="nil" w:sz="6" w:space="0" w:color="auto"/>
            </w:tcBorders>
          </w:tcPr>
          <w:p>
            <w:pPr>
              <w:pStyle w:val="TableParagraph"/>
              <w:spacing w:line="275" w:lineRule="exact"/>
              <w:ind w:left="23"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1975" w:type="dxa"/>
            <w:tcBorders>
              <w:top w:val="nil" w:sz="6" w:space="0" w:color="auto"/>
              <w:left w:val="nil" w:sz="6" w:space="0" w:color="auto"/>
              <w:bottom w:val="single" w:sz="6" w:space="0" w:color="000000"/>
              <w:right w:val="nil" w:sz="6" w:space="0" w:color="auto"/>
            </w:tcBorders>
          </w:tcPr>
          <w:p>
            <w:pPr>
              <w:pStyle w:val="TableParagraph"/>
              <w:spacing w:line="275" w:lineRule="exact"/>
              <w:ind w:right="0"/>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557" w:hRule="exact"/>
        </w:trPr>
        <w:tc>
          <w:tcPr>
            <w:tcW w:w="389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押金及暂收款</w:t>
            </w:r>
          </w:p>
        </w:tc>
        <w:tc>
          <w:tcPr>
            <w:tcW w:w="1373" w:type="dxa"/>
            <w:tcBorders>
              <w:top w:val="nil" w:sz="6" w:space="0" w:color="auto"/>
              <w:left w:val="nil" w:sz="6" w:space="0" w:color="auto"/>
              <w:bottom w:val="nil" w:sz="6" w:space="0" w:color="auto"/>
              <w:right w:val="nil" w:sz="6" w:space="0" w:color="auto"/>
            </w:tcBorders>
          </w:tcPr>
          <w:p>
            <w:pPr/>
          </w:p>
        </w:tc>
        <w:tc>
          <w:tcPr>
            <w:tcW w:w="1999"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451" w:right="0"/>
              <w:jc w:val="left"/>
              <w:rPr>
                <w:rFonts w:ascii="Arial" w:hAnsi="Arial" w:cs="Arial" w:eastAsia="Arial" w:hint="default"/>
                <w:sz w:val="22"/>
                <w:szCs w:val="22"/>
              </w:rPr>
            </w:pPr>
            <w:r>
              <w:rPr>
                <w:rFonts w:ascii="Arial"/>
                <w:sz w:val="22"/>
              </w:rPr>
              <w:t>8,454,286,655</w:t>
            </w:r>
          </w:p>
        </w:tc>
        <w:tc>
          <w:tcPr>
            <w:tcW w:w="1975"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439" w:right="0"/>
              <w:jc w:val="left"/>
              <w:rPr>
                <w:rFonts w:ascii="Arial" w:hAnsi="Arial" w:cs="Arial" w:eastAsia="Arial" w:hint="default"/>
                <w:sz w:val="22"/>
                <w:szCs w:val="22"/>
              </w:rPr>
            </w:pPr>
            <w:r>
              <w:rPr>
                <w:rFonts w:ascii="Arial"/>
                <w:sz w:val="22"/>
              </w:rPr>
              <w:t>9,080,225,524</w:t>
            </w:r>
          </w:p>
        </w:tc>
      </w:tr>
      <w:tr>
        <w:trPr>
          <w:trHeight w:val="283" w:hRule="exact"/>
        </w:trPr>
        <w:tc>
          <w:tcPr>
            <w:tcW w:w="3896"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应付联通集团及其非上市子公司款项</w:t>
            </w:r>
          </w:p>
        </w:tc>
        <w:tc>
          <w:tcPr>
            <w:tcW w:w="1373" w:type="dxa"/>
            <w:tcBorders>
              <w:top w:val="nil" w:sz="6" w:space="0" w:color="auto"/>
              <w:left w:val="nil" w:sz="6" w:space="0" w:color="auto"/>
              <w:bottom w:val="nil" w:sz="6" w:space="0" w:color="auto"/>
              <w:right w:val="nil" w:sz="6" w:space="0" w:color="auto"/>
            </w:tcBorders>
          </w:tcPr>
          <w:p>
            <w:pPr>
              <w:pStyle w:val="TableParagraph"/>
              <w:spacing w:line="255" w:lineRule="exact"/>
              <w:ind w:right="92"/>
              <w:jc w:val="center"/>
              <w:rPr>
                <w:rFonts w:ascii="Arial" w:hAnsi="Arial" w:cs="Arial" w:eastAsia="Arial" w:hint="default"/>
                <w:sz w:val="22"/>
                <w:szCs w:val="22"/>
              </w:rPr>
            </w:pPr>
            <w:r>
              <w:rPr>
                <w:rFonts w:ascii="宋体" w:hAnsi="宋体" w:cs="宋体" w:eastAsia="宋体" w:hint="default"/>
                <w:sz w:val="22"/>
                <w:szCs w:val="22"/>
              </w:rPr>
              <w:t>附注十</w:t>
            </w:r>
            <w:r>
              <w:rPr>
                <w:rFonts w:ascii="Arial" w:hAnsi="Arial" w:cs="Arial" w:eastAsia="Arial" w:hint="default"/>
                <w:sz w:val="22"/>
                <w:szCs w:val="22"/>
              </w:rPr>
              <w:t>(6)</w:t>
            </w:r>
          </w:p>
        </w:tc>
        <w:tc>
          <w:tcPr>
            <w:tcW w:w="199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451" w:right="0"/>
              <w:jc w:val="left"/>
              <w:rPr>
                <w:rFonts w:ascii="Arial" w:hAnsi="Arial" w:cs="Arial" w:eastAsia="Arial" w:hint="default"/>
                <w:sz w:val="22"/>
                <w:szCs w:val="22"/>
              </w:rPr>
            </w:pPr>
            <w:r>
              <w:rPr>
                <w:rFonts w:ascii="Arial"/>
                <w:sz w:val="22"/>
              </w:rPr>
              <w:t>4,633,937,320</w:t>
            </w:r>
          </w:p>
        </w:tc>
        <w:tc>
          <w:tcPr>
            <w:tcW w:w="1975" w:type="dxa"/>
            <w:tcBorders>
              <w:top w:val="nil" w:sz="6" w:space="0" w:color="auto"/>
              <w:left w:val="nil" w:sz="6" w:space="0" w:color="auto"/>
              <w:bottom w:val="nil" w:sz="6" w:space="0" w:color="auto"/>
              <w:right w:val="nil" w:sz="6" w:space="0" w:color="auto"/>
            </w:tcBorders>
          </w:tcPr>
          <w:p>
            <w:pPr>
              <w:pStyle w:val="TableParagraph"/>
              <w:spacing w:line="240" w:lineRule="auto" w:before="16"/>
              <w:ind w:left="439" w:right="0"/>
              <w:jc w:val="left"/>
              <w:rPr>
                <w:rFonts w:ascii="Arial" w:hAnsi="Arial" w:cs="Arial" w:eastAsia="Arial" w:hint="default"/>
                <w:sz w:val="22"/>
                <w:szCs w:val="22"/>
              </w:rPr>
            </w:pPr>
            <w:r>
              <w:rPr>
                <w:rFonts w:ascii="Arial"/>
                <w:sz w:val="22"/>
              </w:rPr>
              <w:t>4,484,054,777</w:t>
            </w:r>
          </w:p>
        </w:tc>
      </w:tr>
      <w:tr>
        <w:trPr>
          <w:trHeight w:val="288" w:hRule="exact"/>
        </w:trPr>
        <w:tc>
          <w:tcPr>
            <w:tcW w:w="3896"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应付合营公司款项</w:t>
            </w:r>
          </w:p>
        </w:tc>
        <w:tc>
          <w:tcPr>
            <w:tcW w:w="1373" w:type="dxa"/>
            <w:tcBorders>
              <w:top w:val="nil" w:sz="6" w:space="0" w:color="auto"/>
              <w:left w:val="nil" w:sz="6" w:space="0" w:color="auto"/>
              <w:bottom w:val="nil" w:sz="6" w:space="0" w:color="auto"/>
              <w:right w:val="nil" w:sz="6" w:space="0" w:color="auto"/>
            </w:tcBorders>
          </w:tcPr>
          <w:p>
            <w:pPr>
              <w:pStyle w:val="TableParagraph"/>
              <w:spacing w:line="255" w:lineRule="exact"/>
              <w:ind w:right="92"/>
              <w:jc w:val="center"/>
              <w:rPr>
                <w:rFonts w:ascii="Arial" w:hAnsi="Arial" w:cs="Arial" w:eastAsia="Arial" w:hint="default"/>
                <w:sz w:val="22"/>
                <w:szCs w:val="22"/>
              </w:rPr>
            </w:pPr>
            <w:r>
              <w:rPr>
                <w:rFonts w:ascii="宋体" w:hAnsi="宋体" w:cs="宋体" w:eastAsia="宋体" w:hint="default"/>
                <w:sz w:val="22"/>
                <w:szCs w:val="22"/>
              </w:rPr>
              <w:t>附注十</w:t>
            </w:r>
            <w:r>
              <w:rPr>
                <w:rFonts w:ascii="Arial" w:hAnsi="Arial" w:cs="Arial" w:eastAsia="Arial" w:hint="default"/>
                <w:sz w:val="22"/>
                <w:szCs w:val="22"/>
              </w:rPr>
              <w:t>(6)</w:t>
            </w:r>
          </w:p>
        </w:tc>
        <w:tc>
          <w:tcPr>
            <w:tcW w:w="1999" w:type="dxa"/>
            <w:tcBorders>
              <w:top w:val="nil" w:sz="6" w:space="0" w:color="auto"/>
              <w:left w:val="nil" w:sz="6" w:space="0" w:color="auto"/>
              <w:bottom w:val="nil" w:sz="6" w:space="0" w:color="auto"/>
              <w:right w:val="nil" w:sz="6" w:space="0" w:color="auto"/>
            </w:tcBorders>
          </w:tcPr>
          <w:p>
            <w:pPr>
              <w:pStyle w:val="TableParagraph"/>
              <w:spacing w:line="240" w:lineRule="auto" w:before="21"/>
              <w:ind w:left="878" w:right="0"/>
              <w:jc w:val="left"/>
              <w:rPr>
                <w:rFonts w:ascii="Arial" w:hAnsi="Arial" w:cs="Arial" w:eastAsia="Arial" w:hint="default"/>
                <w:sz w:val="22"/>
                <w:szCs w:val="22"/>
              </w:rPr>
            </w:pPr>
            <w:r>
              <w:rPr>
                <w:rFonts w:ascii="Arial"/>
                <w:sz w:val="22"/>
              </w:rPr>
              <w:t>7,891,155</w:t>
            </w:r>
          </w:p>
        </w:tc>
        <w:tc>
          <w:tcPr>
            <w:tcW w:w="1975" w:type="dxa"/>
            <w:tcBorders>
              <w:top w:val="nil" w:sz="6" w:space="0" w:color="auto"/>
              <w:left w:val="nil" w:sz="6" w:space="0" w:color="auto"/>
              <w:bottom w:val="nil" w:sz="6" w:space="0" w:color="auto"/>
              <w:right w:val="nil" w:sz="6" w:space="0" w:color="auto"/>
            </w:tcBorders>
          </w:tcPr>
          <w:p>
            <w:pPr>
              <w:pStyle w:val="TableParagraph"/>
              <w:spacing w:line="240" w:lineRule="auto" w:before="21"/>
              <w:ind w:left="746" w:right="0"/>
              <w:jc w:val="left"/>
              <w:rPr>
                <w:rFonts w:ascii="Arial" w:hAnsi="Arial" w:cs="Arial" w:eastAsia="Arial" w:hint="default"/>
                <w:sz w:val="22"/>
                <w:szCs w:val="22"/>
              </w:rPr>
            </w:pPr>
            <w:r>
              <w:rPr>
                <w:rFonts w:ascii="Arial"/>
                <w:sz w:val="22"/>
              </w:rPr>
              <w:t>30,411,003</w:t>
            </w:r>
          </w:p>
        </w:tc>
      </w:tr>
      <w:tr>
        <w:trPr>
          <w:trHeight w:val="283" w:hRule="exact"/>
        </w:trPr>
        <w:tc>
          <w:tcPr>
            <w:tcW w:w="3896"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应付铁塔公司款项</w:t>
            </w:r>
          </w:p>
        </w:tc>
        <w:tc>
          <w:tcPr>
            <w:tcW w:w="1373" w:type="dxa"/>
            <w:tcBorders>
              <w:top w:val="nil" w:sz="6" w:space="0" w:color="auto"/>
              <w:left w:val="nil" w:sz="6" w:space="0" w:color="auto"/>
              <w:bottom w:val="nil" w:sz="6" w:space="0" w:color="auto"/>
              <w:right w:val="nil" w:sz="6" w:space="0" w:color="auto"/>
            </w:tcBorders>
          </w:tcPr>
          <w:p>
            <w:pPr>
              <w:pStyle w:val="TableParagraph"/>
              <w:spacing w:line="255" w:lineRule="exact"/>
              <w:ind w:right="92"/>
              <w:jc w:val="center"/>
              <w:rPr>
                <w:rFonts w:ascii="Arial" w:hAnsi="Arial" w:cs="Arial" w:eastAsia="Arial" w:hint="default"/>
                <w:sz w:val="22"/>
                <w:szCs w:val="22"/>
              </w:rPr>
            </w:pPr>
            <w:r>
              <w:rPr>
                <w:rFonts w:ascii="宋体" w:hAnsi="宋体" w:cs="宋体" w:eastAsia="宋体" w:hint="default"/>
                <w:sz w:val="22"/>
                <w:szCs w:val="22"/>
              </w:rPr>
              <w:t>附注十</w:t>
            </w:r>
            <w:r>
              <w:rPr>
                <w:rFonts w:ascii="Arial" w:hAnsi="Arial" w:cs="Arial" w:eastAsia="Arial" w:hint="default"/>
                <w:sz w:val="22"/>
                <w:szCs w:val="22"/>
              </w:rPr>
              <w:t>(6)</w:t>
            </w:r>
          </w:p>
        </w:tc>
        <w:tc>
          <w:tcPr>
            <w:tcW w:w="199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878" w:right="0"/>
              <w:jc w:val="left"/>
              <w:rPr>
                <w:rFonts w:ascii="Arial" w:hAnsi="Arial" w:cs="Arial" w:eastAsia="Arial" w:hint="default"/>
                <w:sz w:val="22"/>
                <w:szCs w:val="22"/>
              </w:rPr>
            </w:pPr>
            <w:r>
              <w:rPr>
                <w:rFonts w:ascii="Arial"/>
                <w:sz w:val="22"/>
              </w:rPr>
              <w:t>4,137,947</w:t>
            </w:r>
          </w:p>
        </w:tc>
        <w:tc>
          <w:tcPr>
            <w:tcW w:w="1975" w:type="dxa"/>
            <w:tcBorders>
              <w:top w:val="nil" w:sz="6" w:space="0" w:color="auto"/>
              <w:left w:val="nil" w:sz="6" w:space="0" w:color="auto"/>
              <w:bottom w:val="nil" w:sz="6" w:space="0" w:color="auto"/>
              <w:right w:val="nil" w:sz="6" w:space="0" w:color="auto"/>
            </w:tcBorders>
          </w:tcPr>
          <w:p>
            <w:pPr>
              <w:pStyle w:val="TableParagraph"/>
              <w:spacing w:line="240" w:lineRule="auto" w:before="16"/>
              <w:ind w:left="746" w:right="0"/>
              <w:jc w:val="left"/>
              <w:rPr>
                <w:rFonts w:ascii="Arial" w:hAnsi="Arial" w:cs="Arial" w:eastAsia="Arial" w:hint="default"/>
                <w:sz w:val="22"/>
                <w:szCs w:val="22"/>
              </w:rPr>
            </w:pPr>
            <w:r>
              <w:rPr>
                <w:rFonts w:ascii="Arial"/>
                <w:sz w:val="22"/>
              </w:rPr>
              <w:t>93,212,780</w:t>
            </w:r>
          </w:p>
        </w:tc>
      </w:tr>
      <w:tr>
        <w:trPr>
          <w:trHeight w:val="288" w:hRule="exact"/>
        </w:trPr>
        <w:tc>
          <w:tcPr>
            <w:tcW w:w="3896"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应付关联公司借款利息</w:t>
            </w:r>
          </w:p>
        </w:tc>
        <w:tc>
          <w:tcPr>
            <w:tcW w:w="1373" w:type="dxa"/>
            <w:tcBorders>
              <w:top w:val="nil" w:sz="6" w:space="0" w:color="auto"/>
              <w:left w:val="nil" w:sz="6" w:space="0" w:color="auto"/>
              <w:bottom w:val="nil" w:sz="6" w:space="0" w:color="auto"/>
              <w:right w:val="nil" w:sz="6" w:space="0" w:color="auto"/>
            </w:tcBorders>
          </w:tcPr>
          <w:p>
            <w:pPr>
              <w:pStyle w:val="TableParagraph"/>
              <w:spacing w:line="255" w:lineRule="exact"/>
              <w:ind w:right="92"/>
              <w:jc w:val="center"/>
              <w:rPr>
                <w:rFonts w:ascii="Arial" w:hAnsi="Arial" w:cs="Arial" w:eastAsia="Arial" w:hint="default"/>
                <w:sz w:val="22"/>
                <w:szCs w:val="22"/>
              </w:rPr>
            </w:pPr>
            <w:r>
              <w:rPr>
                <w:rFonts w:ascii="宋体" w:hAnsi="宋体" w:cs="宋体" w:eastAsia="宋体" w:hint="default"/>
                <w:sz w:val="22"/>
                <w:szCs w:val="22"/>
              </w:rPr>
              <w:t>附注十</w:t>
            </w:r>
            <w:r>
              <w:rPr>
                <w:rFonts w:ascii="Arial" w:hAnsi="Arial" w:cs="Arial" w:eastAsia="Arial" w:hint="default"/>
                <w:sz w:val="22"/>
                <w:szCs w:val="22"/>
              </w:rPr>
              <w:t>(6)</w:t>
            </w:r>
          </w:p>
        </w:tc>
        <w:tc>
          <w:tcPr>
            <w:tcW w:w="1999" w:type="dxa"/>
            <w:tcBorders>
              <w:top w:val="nil" w:sz="6" w:space="0" w:color="auto"/>
              <w:left w:val="nil" w:sz="6" w:space="0" w:color="auto"/>
              <w:bottom w:val="nil" w:sz="6" w:space="0" w:color="auto"/>
              <w:right w:val="nil" w:sz="6" w:space="0" w:color="auto"/>
            </w:tcBorders>
          </w:tcPr>
          <w:p>
            <w:pPr>
              <w:pStyle w:val="TableParagraph"/>
              <w:spacing w:line="240" w:lineRule="auto" w:before="21"/>
              <w:ind w:left="758" w:right="0"/>
              <w:jc w:val="left"/>
              <w:rPr>
                <w:rFonts w:ascii="Arial" w:hAnsi="Arial" w:cs="Arial" w:eastAsia="Arial" w:hint="default"/>
                <w:sz w:val="22"/>
                <w:szCs w:val="22"/>
              </w:rPr>
            </w:pPr>
            <w:r>
              <w:rPr>
                <w:rFonts w:ascii="Arial"/>
                <w:sz w:val="22"/>
              </w:rPr>
              <w:t>14,355,650</w:t>
            </w:r>
          </w:p>
        </w:tc>
        <w:tc>
          <w:tcPr>
            <w:tcW w:w="1975" w:type="dxa"/>
            <w:tcBorders>
              <w:top w:val="nil" w:sz="6" w:space="0" w:color="auto"/>
              <w:left w:val="nil" w:sz="6" w:space="0" w:color="auto"/>
              <w:bottom w:val="nil" w:sz="6" w:space="0" w:color="auto"/>
              <w:right w:val="nil" w:sz="6" w:space="0" w:color="auto"/>
            </w:tcBorders>
          </w:tcPr>
          <w:p>
            <w:pPr>
              <w:pStyle w:val="TableParagraph"/>
              <w:spacing w:line="240" w:lineRule="auto" w:before="21"/>
              <w:ind w:left="746" w:right="0"/>
              <w:jc w:val="left"/>
              <w:rPr>
                <w:rFonts w:ascii="Arial" w:hAnsi="Arial" w:cs="Arial" w:eastAsia="Arial" w:hint="default"/>
                <w:sz w:val="22"/>
                <w:szCs w:val="22"/>
              </w:rPr>
            </w:pPr>
            <w:r>
              <w:rPr>
                <w:rFonts w:ascii="Arial"/>
                <w:sz w:val="22"/>
              </w:rPr>
              <w:t>71,984,197</w:t>
            </w:r>
          </w:p>
        </w:tc>
      </w:tr>
      <w:tr>
        <w:trPr>
          <w:trHeight w:val="283" w:hRule="exact"/>
        </w:trPr>
        <w:tc>
          <w:tcPr>
            <w:tcW w:w="3896"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代扣代缴员工社保支出</w:t>
            </w:r>
          </w:p>
        </w:tc>
        <w:tc>
          <w:tcPr>
            <w:tcW w:w="1373" w:type="dxa"/>
            <w:tcBorders>
              <w:top w:val="nil" w:sz="6" w:space="0" w:color="auto"/>
              <w:left w:val="nil" w:sz="6" w:space="0" w:color="auto"/>
              <w:bottom w:val="nil" w:sz="6" w:space="0" w:color="auto"/>
              <w:right w:val="nil" w:sz="6" w:space="0" w:color="auto"/>
            </w:tcBorders>
          </w:tcPr>
          <w:p>
            <w:pPr/>
          </w:p>
        </w:tc>
        <w:tc>
          <w:tcPr>
            <w:tcW w:w="199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633" w:right="0"/>
              <w:jc w:val="left"/>
              <w:rPr>
                <w:rFonts w:ascii="Arial" w:hAnsi="Arial" w:cs="Arial" w:eastAsia="Arial" w:hint="default"/>
                <w:sz w:val="22"/>
                <w:szCs w:val="22"/>
              </w:rPr>
            </w:pPr>
            <w:r>
              <w:rPr>
                <w:rFonts w:ascii="Arial"/>
                <w:sz w:val="22"/>
              </w:rPr>
              <w:t>324,573,933</w:t>
            </w:r>
          </w:p>
        </w:tc>
        <w:tc>
          <w:tcPr>
            <w:tcW w:w="1975" w:type="dxa"/>
            <w:tcBorders>
              <w:top w:val="nil" w:sz="6" w:space="0" w:color="auto"/>
              <w:left w:val="nil" w:sz="6" w:space="0" w:color="auto"/>
              <w:bottom w:val="nil" w:sz="6" w:space="0" w:color="auto"/>
              <w:right w:val="nil" w:sz="6" w:space="0" w:color="auto"/>
            </w:tcBorders>
          </w:tcPr>
          <w:p>
            <w:pPr>
              <w:pStyle w:val="TableParagraph"/>
              <w:spacing w:line="240" w:lineRule="auto" w:before="16"/>
              <w:ind w:left="621" w:right="0"/>
              <w:jc w:val="left"/>
              <w:rPr>
                <w:rFonts w:ascii="Arial" w:hAnsi="Arial" w:cs="Arial" w:eastAsia="Arial" w:hint="default"/>
                <w:sz w:val="22"/>
                <w:szCs w:val="22"/>
              </w:rPr>
            </w:pPr>
            <w:r>
              <w:rPr>
                <w:rFonts w:ascii="Arial"/>
                <w:sz w:val="22"/>
              </w:rPr>
              <w:t>229,773,645</w:t>
            </w:r>
          </w:p>
        </w:tc>
      </w:tr>
      <w:tr>
        <w:trPr>
          <w:trHeight w:val="283" w:hRule="exact"/>
        </w:trPr>
        <w:tc>
          <w:tcPr>
            <w:tcW w:w="3896"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限制性股票回购义务</w:t>
            </w:r>
          </w:p>
        </w:tc>
        <w:tc>
          <w:tcPr>
            <w:tcW w:w="1373" w:type="dxa"/>
            <w:tcBorders>
              <w:top w:val="nil" w:sz="6" w:space="0" w:color="auto"/>
              <w:left w:val="nil" w:sz="6" w:space="0" w:color="auto"/>
              <w:bottom w:val="nil" w:sz="6" w:space="0" w:color="auto"/>
              <w:right w:val="nil" w:sz="6" w:space="0" w:color="auto"/>
            </w:tcBorders>
          </w:tcPr>
          <w:p>
            <w:pPr/>
          </w:p>
        </w:tc>
        <w:tc>
          <w:tcPr>
            <w:tcW w:w="199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451" w:right="0"/>
              <w:jc w:val="left"/>
              <w:rPr>
                <w:rFonts w:ascii="Arial" w:hAnsi="Arial" w:cs="Arial" w:eastAsia="Arial" w:hint="default"/>
                <w:sz w:val="22"/>
                <w:szCs w:val="22"/>
              </w:rPr>
            </w:pPr>
            <w:r>
              <w:rPr>
                <w:rFonts w:ascii="Arial"/>
                <w:sz w:val="22"/>
              </w:rPr>
              <w:t>2,984,282,582</w:t>
            </w:r>
          </w:p>
        </w:tc>
        <w:tc>
          <w:tcPr>
            <w:tcW w:w="197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26"/>
              <w:jc w:val="right"/>
              <w:rPr>
                <w:rFonts w:ascii="Arial" w:hAnsi="Arial" w:cs="Arial" w:eastAsia="Arial" w:hint="default"/>
                <w:sz w:val="22"/>
                <w:szCs w:val="22"/>
              </w:rPr>
            </w:pPr>
            <w:r>
              <w:rPr>
                <w:rFonts w:ascii="Arial"/>
                <w:w w:val="100"/>
                <w:sz w:val="22"/>
              </w:rPr>
              <w:t>-</w:t>
            </w:r>
          </w:p>
        </w:tc>
      </w:tr>
      <w:tr>
        <w:trPr>
          <w:trHeight w:val="422" w:hRule="exact"/>
        </w:trPr>
        <w:tc>
          <w:tcPr>
            <w:tcW w:w="3896"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1373" w:type="dxa"/>
            <w:tcBorders>
              <w:top w:val="nil" w:sz="6" w:space="0" w:color="auto"/>
              <w:left w:val="nil" w:sz="6" w:space="0" w:color="auto"/>
              <w:bottom w:val="nil" w:sz="6" w:space="0" w:color="auto"/>
              <w:right w:val="nil" w:sz="6" w:space="0" w:color="auto"/>
            </w:tcBorders>
          </w:tcPr>
          <w:p>
            <w:pPr/>
          </w:p>
        </w:tc>
        <w:tc>
          <w:tcPr>
            <w:tcW w:w="1999" w:type="dxa"/>
            <w:tcBorders>
              <w:top w:val="nil" w:sz="6" w:space="0" w:color="auto"/>
              <w:left w:val="nil" w:sz="6" w:space="0" w:color="auto"/>
              <w:bottom w:val="nil" w:sz="6" w:space="0" w:color="auto"/>
              <w:right w:val="nil" w:sz="6" w:space="0" w:color="auto"/>
            </w:tcBorders>
          </w:tcPr>
          <w:p>
            <w:pPr>
              <w:pStyle w:val="TableParagraph"/>
              <w:tabs>
                <w:tab w:pos="455" w:val="left" w:leader="none"/>
                <w:tab w:pos="2438" w:val="left" w:leader="none"/>
              </w:tabs>
              <w:spacing w:line="240" w:lineRule="auto" w:before="21"/>
              <w:ind w:right="-44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2,216,829,938</w:t>
              <w:tab/>
            </w:r>
            <w:r>
              <w:rPr>
                <w:rFonts w:ascii="Arial"/>
                <w:sz w:val="22"/>
              </w:rPr>
            </w:r>
          </w:p>
        </w:tc>
        <w:tc>
          <w:tcPr>
            <w:tcW w:w="1975" w:type="dxa"/>
            <w:tcBorders>
              <w:top w:val="nil" w:sz="6" w:space="0" w:color="auto"/>
              <w:left w:val="nil" w:sz="6" w:space="0" w:color="auto"/>
              <w:bottom w:val="nil" w:sz="6" w:space="0" w:color="auto"/>
              <w:right w:val="nil" w:sz="6" w:space="0" w:color="auto"/>
            </w:tcBorders>
          </w:tcPr>
          <w:p>
            <w:pPr>
              <w:pStyle w:val="TableParagraph"/>
              <w:tabs>
                <w:tab w:pos="1531" w:val="left" w:leader="none"/>
              </w:tabs>
              <w:spacing w:line="240" w:lineRule="auto" w:before="21"/>
              <w:ind w:right="2"/>
              <w:jc w:val="right"/>
              <w:rPr>
                <w:rFonts w:ascii="Arial" w:hAnsi="Arial" w:cs="Arial" w:eastAsia="Arial" w:hint="default"/>
                <w:sz w:val="22"/>
                <w:szCs w:val="22"/>
              </w:rPr>
            </w:pPr>
            <w:r>
              <w:rPr>
                <w:rFonts w:ascii="Arial"/>
                <w:w w:val="100"/>
                <w:sz w:val="22"/>
              </w:rPr>
            </w:r>
            <w:r>
              <w:rPr>
                <w:rFonts w:ascii="Arial"/>
                <w:spacing w:val="-1"/>
                <w:sz w:val="22"/>
                <w:u w:val="single" w:color="000000"/>
              </w:rPr>
              <w:t>2,009,788,641</w:t>
              <w:tab/>
            </w:r>
            <w:r>
              <w:rPr>
                <w:rFonts w:ascii="Arial"/>
                <w:spacing w:val="-1"/>
                <w:sz w:val="22"/>
              </w:rPr>
            </w:r>
          </w:p>
        </w:tc>
      </w:tr>
      <w:tr>
        <w:trPr>
          <w:trHeight w:val="432" w:hRule="exact"/>
        </w:trPr>
        <w:tc>
          <w:tcPr>
            <w:tcW w:w="3896" w:type="dxa"/>
            <w:tcBorders>
              <w:top w:val="nil" w:sz="6" w:space="0" w:color="auto"/>
              <w:left w:val="nil" w:sz="6" w:space="0" w:color="auto"/>
              <w:bottom w:val="nil" w:sz="6" w:space="0" w:color="auto"/>
              <w:right w:val="nil" w:sz="6" w:space="0" w:color="auto"/>
            </w:tcBorders>
          </w:tcPr>
          <w:p>
            <w:pPr>
              <w:pStyle w:val="TableParagraph"/>
              <w:spacing w:line="240" w:lineRule="auto" w:before="85"/>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1373" w:type="dxa"/>
            <w:tcBorders>
              <w:top w:val="nil" w:sz="6" w:space="0" w:color="auto"/>
              <w:left w:val="nil" w:sz="6" w:space="0" w:color="auto"/>
              <w:bottom w:val="nil" w:sz="6" w:space="0" w:color="auto"/>
              <w:right w:val="nil" w:sz="6" w:space="0" w:color="auto"/>
            </w:tcBorders>
          </w:tcPr>
          <w:p>
            <w:pPr/>
          </w:p>
        </w:tc>
        <w:tc>
          <w:tcPr>
            <w:tcW w:w="1999"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left="331" w:right="0"/>
              <w:jc w:val="left"/>
              <w:rPr>
                <w:rFonts w:ascii="Arial" w:hAnsi="Arial" w:cs="Arial" w:eastAsia="Arial" w:hint="default"/>
                <w:sz w:val="22"/>
                <w:szCs w:val="22"/>
              </w:rPr>
            </w:pPr>
            <w:r>
              <w:rPr>
                <w:rFonts w:ascii="Arial"/>
                <w:sz w:val="22"/>
              </w:rPr>
              <w:t>18,640,295,180</w:t>
            </w:r>
          </w:p>
        </w:tc>
        <w:tc>
          <w:tcPr>
            <w:tcW w:w="1975"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left="314" w:right="0"/>
              <w:jc w:val="left"/>
              <w:rPr>
                <w:rFonts w:ascii="Arial" w:hAnsi="Arial" w:cs="Arial" w:eastAsia="Arial" w:hint="default"/>
                <w:sz w:val="22"/>
                <w:szCs w:val="22"/>
              </w:rPr>
            </w:pPr>
            <w:r>
              <w:rPr>
                <w:rFonts w:ascii="Arial"/>
                <w:sz w:val="22"/>
              </w:rPr>
              <w:t>15,999,450,567</w:t>
            </w:r>
          </w:p>
        </w:tc>
      </w:tr>
    </w:tbl>
    <w:p>
      <w:pPr>
        <w:spacing w:line="240" w:lineRule="auto" w:before="10"/>
        <w:rPr>
          <w:rFonts w:ascii="宋体" w:hAnsi="宋体" w:cs="宋体" w:eastAsia="宋体" w:hint="default"/>
          <w:sz w:val="13"/>
          <w:szCs w:val="13"/>
        </w:rPr>
      </w:pPr>
    </w:p>
    <w:p>
      <w:pPr>
        <w:pStyle w:val="BodyText"/>
        <w:spacing w:line="296" w:lineRule="exact" w:before="32"/>
        <w:ind w:left="559" w:right="0"/>
        <w:jc w:val="left"/>
        <w:rPr>
          <w:rFonts w:ascii="Arial" w:hAnsi="Arial" w:cs="Arial" w:eastAsia="Arial" w:hint="default"/>
        </w:rPr>
      </w:pPr>
      <w:r>
        <w:rPr/>
        <w:t>于</w:t>
      </w:r>
      <w:r>
        <w:rPr>
          <w:spacing w:val="-43"/>
        </w:rPr>
        <w:t> </w:t>
      </w:r>
      <w:r>
        <w:rPr>
          <w:rFonts w:ascii="Arial" w:hAnsi="Arial" w:cs="Arial" w:eastAsia="Arial" w:hint="default"/>
        </w:rPr>
        <w:t>2019</w:t>
      </w:r>
      <w:r>
        <w:rPr>
          <w:rFonts w:ascii="Arial" w:hAnsi="Arial" w:cs="Arial" w:eastAsia="Arial" w:hint="default"/>
          <w:spacing w:val="3"/>
        </w:rPr>
        <w:t> </w:t>
      </w:r>
      <w:r>
        <w:rPr/>
        <w:t>年</w:t>
      </w:r>
      <w:r>
        <w:rPr>
          <w:spacing w:val="-43"/>
        </w:rPr>
        <w:t> </w:t>
      </w:r>
      <w:r>
        <w:rPr>
          <w:rFonts w:ascii="Arial" w:hAnsi="Arial" w:cs="Arial" w:eastAsia="Arial" w:hint="default"/>
        </w:rPr>
        <w:t>12</w:t>
      </w:r>
      <w:r>
        <w:rPr>
          <w:rFonts w:ascii="Arial" w:hAnsi="Arial" w:cs="Arial" w:eastAsia="Arial" w:hint="default"/>
          <w:spacing w:val="8"/>
        </w:rPr>
        <w:t> </w:t>
      </w:r>
      <w:r>
        <w:rPr/>
        <w:t>月</w:t>
      </w:r>
      <w:r>
        <w:rPr>
          <w:spacing w:val="-48"/>
        </w:rPr>
        <w:t> </w:t>
      </w:r>
      <w:r>
        <w:rPr>
          <w:rFonts w:ascii="Arial" w:hAnsi="Arial" w:cs="Arial" w:eastAsia="Arial" w:hint="default"/>
        </w:rPr>
        <w:t>31</w:t>
      </w:r>
      <w:r>
        <w:rPr>
          <w:rFonts w:ascii="Arial" w:hAnsi="Arial" w:cs="Arial" w:eastAsia="Arial" w:hint="default"/>
          <w:spacing w:val="8"/>
        </w:rPr>
        <w:t> </w:t>
      </w:r>
      <w:r>
        <w:rPr/>
        <w:t>日，账龄超过</w:t>
      </w:r>
      <w:r>
        <w:rPr>
          <w:spacing w:val="-48"/>
        </w:rPr>
        <w:t> </w:t>
      </w:r>
      <w:r>
        <w:rPr>
          <w:rFonts w:ascii="Arial" w:hAnsi="Arial" w:cs="Arial" w:eastAsia="Arial" w:hint="default"/>
        </w:rPr>
        <w:t>1</w:t>
      </w:r>
      <w:r>
        <w:rPr>
          <w:rFonts w:ascii="Arial" w:hAnsi="Arial" w:cs="Arial" w:eastAsia="Arial" w:hint="default"/>
          <w:spacing w:val="8"/>
        </w:rPr>
        <w:t> </w:t>
      </w:r>
      <w:r>
        <w:rPr/>
        <w:t>年的其他应付款约人民币</w:t>
      </w:r>
      <w:r>
        <w:rPr>
          <w:spacing w:val="-48"/>
        </w:rPr>
        <w:t> </w:t>
      </w:r>
      <w:r>
        <w:rPr>
          <w:rFonts w:ascii="Arial" w:hAnsi="Arial" w:cs="Arial" w:eastAsia="Arial" w:hint="default"/>
        </w:rPr>
        <w:t>61.50</w:t>
      </w:r>
      <w:r>
        <w:rPr>
          <w:rFonts w:ascii="Arial" w:hAnsi="Arial" w:cs="Arial" w:eastAsia="Arial" w:hint="default"/>
          <w:spacing w:val="8"/>
        </w:rPr>
        <w:t> </w:t>
      </w:r>
      <w:r>
        <w:rPr/>
        <w:t>亿元（</w:t>
      </w:r>
      <w:r>
        <w:rPr>
          <w:rFonts w:ascii="Arial" w:hAnsi="Arial" w:cs="Arial" w:eastAsia="Arial" w:hint="default"/>
        </w:rPr>
        <w:t>2018</w:t>
      </w:r>
      <w:r>
        <w:rPr>
          <w:rFonts w:ascii="Arial" w:hAnsi="Arial" w:cs="Arial" w:eastAsia="Arial" w:hint="default"/>
          <w:spacing w:val="3"/>
        </w:rPr>
        <w:t> </w:t>
      </w:r>
      <w:r>
        <w:rPr/>
        <w:t>年</w:t>
      </w:r>
      <w:r>
        <w:rPr>
          <w:spacing w:val="-43"/>
        </w:rPr>
        <w:t> </w:t>
      </w:r>
      <w:r>
        <w:rPr>
          <w:rFonts w:ascii="Arial" w:hAnsi="Arial" w:cs="Arial" w:eastAsia="Arial" w:hint="default"/>
        </w:rPr>
        <w:t>12</w:t>
      </w:r>
      <w:r>
        <w:rPr>
          <w:rFonts w:ascii="Arial" w:hAnsi="Arial" w:cs="Arial" w:eastAsia="Arial" w:hint="default"/>
          <w:spacing w:val="8"/>
        </w:rPr>
        <w:t> </w:t>
      </w:r>
      <w:r>
        <w:rPr/>
        <w:t>月</w:t>
      </w:r>
      <w:r>
        <w:rPr>
          <w:spacing w:val="-43"/>
        </w:rPr>
        <w:t> </w:t>
      </w:r>
      <w:r>
        <w:rPr>
          <w:rFonts w:ascii="Arial" w:hAnsi="Arial" w:cs="Arial" w:eastAsia="Arial" w:hint="default"/>
          <w:spacing w:val="-3"/>
        </w:rPr>
        <w:t>31</w:t>
      </w:r>
      <w:r>
        <w:rPr>
          <w:rFonts w:ascii="Arial" w:hAnsi="Arial" w:cs="Arial" w:eastAsia="Arial" w:hint="default"/>
        </w:rPr>
      </w:r>
    </w:p>
    <w:p>
      <w:pPr>
        <w:pStyle w:val="BodyText"/>
        <w:spacing w:line="284" w:lineRule="exact" w:before="22"/>
        <w:ind w:left="558" w:right="108"/>
        <w:jc w:val="left"/>
      </w:pPr>
      <w:r>
        <w:rPr>
          <w:spacing w:val="-7"/>
        </w:rPr>
        <w:t>日：约人民币</w:t>
      </w:r>
      <w:r>
        <w:rPr>
          <w:spacing w:val="-51"/>
        </w:rPr>
        <w:t> </w:t>
      </w:r>
      <w:r>
        <w:rPr>
          <w:rFonts w:ascii="Arial" w:hAnsi="Arial" w:cs="Arial" w:eastAsia="Arial" w:hint="default"/>
        </w:rPr>
        <w:t>30.53</w:t>
      </w:r>
      <w:r>
        <w:rPr>
          <w:rFonts w:ascii="Arial" w:hAnsi="Arial" w:cs="Arial" w:eastAsia="Arial" w:hint="default"/>
          <w:spacing w:val="-6"/>
        </w:rPr>
        <w:t> </w:t>
      </w:r>
      <w:r>
        <w:rPr>
          <w:spacing w:val="-9"/>
        </w:rPr>
        <w:t>亿元），主要为本集团</w:t>
      </w:r>
      <w:r>
        <w:rPr>
          <w:spacing w:val="-51"/>
        </w:rPr>
        <w:t> </w:t>
      </w:r>
      <w:r>
        <w:rPr>
          <w:rFonts w:ascii="Arial" w:hAnsi="Arial" w:cs="Arial" w:eastAsia="Arial" w:hint="default"/>
        </w:rPr>
        <w:t>2018 </w:t>
      </w:r>
      <w:r>
        <w:rPr/>
        <w:t>年度实施限制性股票激励计划时就回购义务确</w:t>
      </w:r>
      <w:r>
        <w:rPr>
          <w:w w:val="100"/>
        </w:rPr>
        <w:t> </w:t>
      </w:r>
      <w:r>
        <w:rPr/>
        <w:t>认的负债，以及本集团因业务往来尚未结清的押金、保证金及暂收款等。</w:t>
      </w:r>
    </w:p>
    <w:p>
      <w:pPr>
        <w:spacing w:after="0" w:line="284" w:lineRule="exact"/>
        <w:jc w:val="left"/>
        <w:sectPr>
          <w:headerReference w:type="default" r:id="rId176"/>
          <w:pgSz w:w="11910" w:h="16840"/>
          <w:pgMar w:header="1188" w:footer="502" w:top="3040" w:bottom="700" w:left="1020" w:right="1140"/>
        </w:sectPr>
      </w:pPr>
    </w:p>
    <w:p>
      <w:pPr>
        <w:spacing w:line="240" w:lineRule="auto" w:before="3"/>
        <w:rPr>
          <w:rFonts w:ascii="宋体" w:hAnsi="宋体" w:cs="宋体" w:eastAsia="宋体" w:hint="default"/>
          <w:sz w:val="23"/>
          <w:szCs w:val="23"/>
        </w:rPr>
      </w:pPr>
    </w:p>
    <w:tbl>
      <w:tblPr>
        <w:tblW w:w="0" w:type="auto"/>
        <w:jc w:val="left"/>
        <w:tblInd w:w="378" w:type="dxa"/>
        <w:tblLayout w:type="fixed"/>
        <w:tblCellMar>
          <w:top w:w="0" w:type="dxa"/>
          <w:left w:w="0" w:type="dxa"/>
          <w:bottom w:w="0" w:type="dxa"/>
          <w:right w:w="0" w:type="dxa"/>
        </w:tblCellMar>
        <w:tblLook w:val="01E0"/>
      </w:tblPr>
      <w:tblGrid>
        <w:gridCol w:w="2473"/>
        <w:gridCol w:w="1313"/>
        <w:gridCol w:w="1747"/>
        <w:gridCol w:w="144"/>
        <w:gridCol w:w="1675"/>
        <w:gridCol w:w="127"/>
        <w:gridCol w:w="1807"/>
      </w:tblGrid>
      <w:tr>
        <w:trPr>
          <w:trHeight w:val="243" w:hRule="exact"/>
        </w:trPr>
        <w:tc>
          <w:tcPr>
            <w:tcW w:w="2473" w:type="dxa"/>
            <w:tcBorders>
              <w:top w:val="nil" w:sz="6" w:space="0" w:color="auto"/>
              <w:left w:val="nil" w:sz="6" w:space="0" w:color="auto"/>
              <w:bottom w:val="nil" w:sz="6" w:space="0" w:color="auto"/>
              <w:right w:val="nil" w:sz="6" w:space="0" w:color="auto"/>
            </w:tcBorders>
          </w:tcPr>
          <w:p>
            <w:pPr/>
          </w:p>
        </w:tc>
        <w:tc>
          <w:tcPr>
            <w:tcW w:w="1313" w:type="dxa"/>
            <w:tcBorders>
              <w:top w:val="nil" w:sz="6" w:space="0" w:color="auto"/>
              <w:left w:val="nil" w:sz="6" w:space="0" w:color="auto"/>
              <w:bottom w:val="nil" w:sz="6" w:space="0" w:color="auto"/>
              <w:right w:val="nil" w:sz="6" w:space="0" w:color="auto"/>
            </w:tcBorders>
          </w:tcPr>
          <w:p>
            <w:pPr>
              <w:pStyle w:val="TableParagraph"/>
              <w:spacing w:line="201" w:lineRule="exact"/>
              <w:ind w:left="55" w:right="0"/>
              <w:jc w:val="center"/>
              <w:rPr>
                <w:rFonts w:ascii="宋体" w:hAnsi="宋体" w:cs="宋体" w:eastAsia="宋体" w:hint="default"/>
                <w:sz w:val="20"/>
                <w:szCs w:val="20"/>
              </w:rPr>
            </w:pPr>
            <w:r>
              <w:rPr>
                <w:rFonts w:ascii="宋体" w:hAnsi="宋体" w:cs="宋体" w:eastAsia="宋体" w:hint="default"/>
                <w:w w:val="100"/>
                <w:sz w:val="20"/>
                <w:szCs w:val="20"/>
              </w:rPr>
              <w:t>注</w:t>
            </w:r>
          </w:p>
        </w:tc>
        <w:tc>
          <w:tcPr>
            <w:tcW w:w="1747" w:type="dxa"/>
            <w:tcBorders>
              <w:top w:val="nil" w:sz="6" w:space="0" w:color="auto"/>
              <w:left w:val="nil" w:sz="6" w:space="0" w:color="auto"/>
              <w:bottom w:val="single" w:sz="6" w:space="0" w:color="000000"/>
              <w:right w:val="nil" w:sz="6" w:space="0" w:color="auto"/>
            </w:tcBorders>
          </w:tcPr>
          <w:p>
            <w:pPr>
              <w:pStyle w:val="TableParagraph"/>
              <w:spacing w:line="216" w:lineRule="exact"/>
              <w:ind w:left="9" w:right="0"/>
              <w:jc w:val="left"/>
              <w:rPr>
                <w:rFonts w:ascii="宋体" w:hAnsi="宋体" w:cs="宋体" w:eastAsia="宋体" w:hint="default"/>
                <w:sz w:val="20"/>
                <w:szCs w:val="20"/>
              </w:rPr>
            </w:pPr>
            <w:r>
              <w:rPr>
                <w:rFonts w:ascii="Arial" w:hAnsi="Arial" w:cs="Arial" w:eastAsia="Arial" w:hint="default"/>
                <w:sz w:val="20"/>
                <w:szCs w:val="20"/>
              </w:rPr>
              <w:t>2019</w:t>
            </w:r>
            <w:r>
              <w:rPr>
                <w:rFonts w:ascii="Arial" w:hAnsi="Arial" w:cs="Arial" w:eastAsia="Arial" w:hint="default"/>
                <w:spacing w:val="-8"/>
                <w:sz w:val="20"/>
                <w:szCs w:val="20"/>
              </w:rPr>
              <w:t> </w:t>
            </w:r>
            <w:r>
              <w:rPr>
                <w:rFonts w:ascii="宋体" w:hAnsi="宋体" w:cs="宋体" w:eastAsia="宋体" w:hint="default"/>
                <w:sz w:val="20"/>
                <w:szCs w:val="20"/>
              </w:rPr>
              <w:t>年</w:t>
            </w:r>
            <w:r>
              <w:rPr>
                <w:rFonts w:ascii="宋体" w:hAnsi="宋体" w:cs="宋体" w:eastAsia="宋体" w:hint="default"/>
                <w:spacing w:val="-50"/>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宋体" w:hAnsi="宋体" w:cs="宋体" w:eastAsia="宋体" w:hint="default"/>
                <w:sz w:val="20"/>
                <w:szCs w:val="20"/>
              </w:rPr>
              <w:t>日</w:t>
            </w:r>
          </w:p>
        </w:tc>
        <w:tc>
          <w:tcPr>
            <w:tcW w:w="144"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single" w:sz="6" w:space="0" w:color="000000"/>
              <w:right w:val="nil" w:sz="6" w:space="0" w:color="auto"/>
            </w:tcBorders>
          </w:tcPr>
          <w:p>
            <w:pPr>
              <w:pStyle w:val="TableParagraph"/>
              <w:spacing w:line="216" w:lineRule="exact"/>
              <w:ind w:right="55"/>
              <w:jc w:val="right"/>
              <w:rPr>
                <w:rFonts w:ascii="宋体" w:hAnsi="宋体" w:cs="宋体" w:eastAsia="宋体" w:hint="default"/>
                <w:sz w:val="20"/>
                <w:szCs w:val="20"/>
              </w:rPr>
            </w:pPr>
            <w:r>
              <w:rPr>
                <w:rFonts w:ascii="Arial" w:hAnsi="Arial" w:cs="Arial" w:eastAsia="Arial" w:hint="default"/>
                <w:sz w:val="20"/>
                <w:szCs w:val="20"/>
              </w:rPr>
              <w:t>2019</w:t>
            </w:r>
            <w:r>
              <w:rPr>
                <w:rFonts w:ascii="Arial" w:hAnsi="Arial" w:cs="Arial" w:eastAsia="Arial" w:hint="default"/>
                <w:spacing w:val="-10"/>
                <w:sz w:val="20"/>
                <w:szCs w:val="20"/>
              </w:rPr>
              <w:t> </w:t>
            </w:r>
            <w:r>
              <w:rPr>
                <w:rFonts w:ascii="宋体" w:hAnsi="宋体" w:cs="宋体" w:eastAsia="宋体" w:hint="default"/>
                <w:sz w:val="20"/>
                <w:szCs w:val="20"/>
              </w:rPr>
              <w:t>年</w:t>
            </w:r>
            <w:r>
              <w:rPr>
                <w:rFonts w:ascii="宋体" w:hAnsi="宋体" w:cs="宋体" w:eastAsia="宋体" w:hint="default"/>
                <w:spacing w:val="-48"/>
                <w:sz w:val="20"/>
                <w:szCs w:val="20"/>
              </w:rPr>
              <w:t> </w:t>
            </w:r>
            <w:r>
              <w:rPr>
                <w:rFonts w:ascii="Arial" w:hAnsi="Arial" w:cs="Arial" w:eastAsia="Arial" w:hint="default"/>
                <w:sz w:val="20"/>
                <w:szCs w:val="20"/>
              </w:rPr>
              <w:t>1</w:t>
            </w:r>
            <w:r>
              <w:rPr>
                <w:rFonts w:ascii="Arial" w:hAnsi="Arial" w:cs="Arial" w:eastAsia="Arial" w:hint="default"/>
                <w:spacing w:val="-1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Arial" w:hAnsi="Arial" w:cs="Arial" w:eastAsia="Arial" w:hint="default"/>
                <w:sz w:val="20"/>
                <w:szCs w:val="20"/>
              </w:rPr>
              <w:t>1</w:t>
            </w:r>
            <w:r>
              <w:rPr>
                <w:rFonts w:ascii="Arial" w:hAnsi="Arial" w:cs="Arial" w:eastAsia="Arial" w:hint="default"/>
                <w:spacing w:val="-10"/>
                <w:sz w:val="20"/>
                <w:szCs w:val="20"/>
              </w:rPr>
              <w:t> </w:t>
            </w:r>
            <w:r>
              <w:rPr>
                <w:rFonts w:ascii="宋体" w:hAnsi="宋体" w:cs="宋体" w:eastAsia="宋体" w:hint="default"/>
                <w:sz w:val="20"/>
                <w:szCs w:val="20"/>
              </w:rPr>
              <w:t>日</w:t>
            </w:r>
          </w:p>
        </w:tc>
        <w:tc>
          <w:tcPr>
            <w:tcW w:w="127" w:type="dxa"/>
            <w:tcBorders>
              <w:top w:val="nil" w:sz="6" w:space="0" w:color="auto"/>
              <w:left w:val="nil" w:sz="6" w:space="0" w:color="auto"/>
              <w:bottom w:val="nil" w:sz="6" w:space="0" w:color="auto"/>
              <w:right w:val="nil" w:sz="6" w:space="0" w:color="auto"/>
            </w:tcBorders>
          </w:tcPr>
          <w:p>
            <w:pPr/>
          </w:p>
        </w:tc>
        <w:tc>
          <w:tcPr>
            <w:tcW w:w="1807" w:type="dxa"/>
            <w:tcBorders>
              <w:top w:val="nil" w:sz="6" w:space="0" w:color="auto"/>
              <w:left w:val="nil" w:sz="6" w:space="0" w:color="auto"/>
              <w:bottom w:val="single" w:sz="6" w:space="0" w:color="000000"/>
              <w:right w:val="nil" w:sz="6" w:space="0" w:color="auto"/>
            </w:tcBorders>
          </w:tcPr>
          <w:p>
            <w:pPr>
              <w:pStyle w:val="TableParagraph"/>
              <w:spacing w:line="216" w:lineRule="exact"/>
              <w:ind w:right="55"/>
              <w:jc w:val="right"/>
              <w:rPr>
                <w:rFonts w:ascii="宋体" w:hAnsi="宋体" w:cs="宋体" w:eastAsia="宋体" w:hint="default"/>
                <w:sz w:val="20"/>
                <w:szCs w:val="20"/>
              </w:rPr>
            </w:pPr>
            <w:r>
              <w:rPr>
                <w:rFonts w:ascii="Arial" w:hAnsi="Arial" w:cs="Arial" w:eastAsia="Arial" w:hint="default"/>
                <w:sz w:val="20"/>
                <w:szCs w:val="20"/>
              </w:rPr>
              <w:t>2018</w:t>
            </w:r>
            <w:r>
              <w:rPr>
                <w:rFonts w:ascii="Arial" w:hAnsi="Arial" w:cs="Arial" w:eastAsia="Arial" w:hint="default"/>
                <w:spacing w:val="-8"/>
                <w:sz w:val="20"/>
                <w:szCs w:val="20"/>
              </w:rPr>
              <w:t> </w:t>
            </w:r>
            <w:r>
              <w:rPr>
                <w:rFonts w:ascii="宋体" w:hAnsi="宋体" w:cs="宋体" w:eastAsia="宋体" w:hint="default"/>
                <w:sz w:val="20"/>
                <w:szCs w:val="20"/>
              </w:rPr>
              <w:t>年</w:t>
            </w:r>
            <w:r>
              <w:rPr>
                <w:rFonts w:ascii="宋体" w:hAnsi="宋体" w:cs="宋体" w:eastAsia="宋体" w:hint="default"/>
                <w:spacing w:val="-50"/>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宋体" w:hAnsi="宋体" w:cs="宋体" w:eastAsia="宋体" w:hint="default"/>
                <w:sz w:val="20"/>
                <w:szCs w:val="20"/>
              </w:rPr>
              <w:t>日</w:t>
            </w:r>
          </w:p>
        </w:tc>
      </w:tr>
      <w:tr>
        <w:trPr>
          <w:trHeight w:val="508" w:hRule="exact"/>
        </w:trPr>
        <w:tc>
          <w:tcPr>
            <w:tcW w:w="247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0" w:right="0"/>
              <w:jc w:val="left"/>
              <w:rPr>
                <w:rFonts w:ascii="宋体" w:hAnsi="宋体" w:cs="宋体" w:eastAsia="宋体" w:hint="default"/>
                <w:sz w:val="20"/>
                <w:szCs w:val="20"/>
              </w:rPr>
            </w:pPr>
            <w:r>
              <w:rPr>
                <w:rFonts w:ascii="宋体" w:hAnsi="宋体" w:cs="宋体" w:eastAsia="宋体" w:hint="default"/>
                <w:sz w:val="20"/>
                <w:szCs w:val="20"/>
              </w:rPr>
              <w:t>一年内到期的长期借款</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69" w:right="0"/>
              <w:jc w:val="left"/>
              <w:rPr>
                <w:rFonts w:ascii="Arial" w:hAnsi="Arial" w:cs="Arial" w:eastAsia="Arial" w:hint="default"/>
                <w:sz w:val="20"/>
                <w:szCs w:val="20"/>
              </w:rPr>
            </w:pPr>
            <w:r>
              <w:rPr>
                <w:rFonts w:ascii="宋体" w:hAnsi="宋体" w:cs="宋体" w:eastAsia="宋体" w:hint="default"/>
                <w:sz w:val="20"/>
                <w:szCs w:val="20"/>
              </w:rPr>
              <w:t>附注五</w:t>
            </w:r>
            <w:r>
              <w:rPr>
                <w:rFonts w:ascii="Arial" w:hAnsi="Arial" w:cs="Arial" w:eastAsia="Arial" w:hint="default"/>
                <w:sz w:val="20"/>
                <w:szCs w:val="20"/>
              </w:rPr>
              <w:t>(26)</w:t>
            </w:r>
          </w:p>
        </w:tc>
        <w:tc>
          <w:tcPr>
            <w:tcW w:w="1747"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54"/>
              <w:jc w:val="right"/>
              <w:rPr>
                <w:rFonts w:ascii="Arial" w:hAnsi="Arial" w:cs="Arial" w:eastAsia="Arial" w:hint="default"/>
                <w:sz w:val="20"/>
                <w:szCs w:val="20"/>
              </w:rPr>
            </w:pPr>
            <w:r>
              <w:rPr>
                <w:rFonts w:ascii="Arial"/>
                <w:spacing w:val="-2"/>
                <w:sz w:val="20"/>
              </w:rPr>
              <w:t>436,968,366</w:t>
            </w:r>
            <w:r>
              <w:rPr>
                <w:rFonts w:ascii="Arial"/>
                <w:sz w:val="20"/>
              </w:rPr>
            </w:r>
          </w:p>
        </w:tc>
        <w:tc>
          <w:tcPr>
            <w:tcW w:w="144" w:type="dxa"/>
            <w:tcBorders>
              <w:top w:val="nil" w:sz="6" w:space="0" w:color="auto"/>
              <w:left w:val="nil" w:sz="6" w:space="0" w:color="auto"/>
              <w:bottom w:val="nil" w:sz="6" w:space="0" w:color="auto"/>
              <w:right w:val="nil" w:sz="6" w:space="0" w:color="auto"/>
            </w:tcBorders>
          </w:tcPr>
          <w:p>
            <w:pPr/>
          </w:p>
        </w:tc>
        <w:tc>
          <w:tcPr>
            <w:tcW w:w="1675"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54"/>
              <w:jc w:val="right"/>
              <w:rPr>
                <w:rFonts w:ascii="Arial" w:hAnsi="Arial" w:cs="Arial" w:eastAsia="Arial" w:hint="default"/>
                <w:sz w:val="20"/>
                <w:szCs w:val="20"/>
              </w:rPr>
            </w:pPr>
            <w:r>
              <w:rPr>
                <w:rFonts w:ascii="Arial"/>
                <w:spacing w:val="-2"/>
                <w:sz w:val="20"/>
              </w:rPr>
              <w:t>440,816,358</w:t>
            </w:r>
            <w:r>
              <w:rPr>
                <w:rFonts w:ascii="Arial"/>
                <w:sz w:val="20"/>
              </w:rPr>
            </w:r>
          </w:p>
        </w:tc>
        <w:tc>
          <w:tcPr>
            <w:tcW w:w="127" w:type="dxa"/>
            <w:tcBorders>
              <w:top w:val="nil" w:sz="6" w:space="0" w:color="auto"/>
              <w:left w:val="nil" w:sz="6" w:space="0" w:color="auto"/>
              <w:bottom w:val="nil" w:sz="6" w:space="0" w:color="auto"/>
              <w:right w:val="nil" w:sz="6" w:space="0" w:color="auto"/>
            </w:tcBorders>
          </w:tcPr>
          <w:p>
            <w:pPr/>
          </w:p>
        </w:tc>
        <w:tc>
          <w:tcPr>
            <w:tcW w:w="1807"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74"/>
              <w:jc w:val="right"/>
              <w:rPr>
                <w:rFonts w:ascii="Arial" w:hAnsi="Arial" w:cs="Arial" w:eastAsia="Arial" w:hint="default"/>
                <w:sz w:val="20"/>
                <w:szCs w:val="20"/>
              </w:rPr>
            </w:pPr>
            <w:r>
              <w:rPr>
                <w:rFonts w:ascii="Arial"/>
                <w:spacing w:val="-2"/>
                <w:sz w:val="20"/>
              </w:rPr>
              <w:t>440,816,358</w:t>
            </w:r>
            <w:r>
              <w:rPr>
                <w:rFonts w:ascii="Arial"/>
                <w:sz w:val="20"/>
              </w:rPr>
            </w:r>
          </w:p>
        </w:tc>
      </w:tr>
      <w:tr>
        <w:trPr>
          <w:trHeight w:val="259" w:hRule="exact"/>
        </w:trPr>
        <w:tc>
          <w:tcPr>
            <w:tcW w:w="2473"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一年内到期的应付债券</w:t>
            </w:r>
          </w:p>
        </w:tc>
        <w:tc>
          <w:tcPr>
            <w:tcW w:w="1313" w:type="dxa"/>
            <w:tcBorders>
              <w:top w:val="nil" w:sz="6" w:space="0" w:color="auto"/>
              <w:left w:val="nil" w:sz="6" w:space="0" w:color="auto"/>
              <w:bottom w:val="nil" w:sz="6" w:space="0" w:color="auto"/>
              <w:right w:val="nil" w:sz="6" w:space="0" w:color="auto"/>
            </w:tcBorders>
          </w:tcPr>
          <w:p>
            <w:pPr>
              <w:pStyle w:val="TableParagraph"/>
              <w:spacing w:line="232" w:lineRule="exact"/>
              <w:ind w:left="69" w:right="0"/>
              <w:jc w:val="left"/>
              <w:rPr>
                <w:rFonts w:ascii="Arial" w:hAnsi="Arial" w:cs="Arial" w:eastAsia="Arial" w:hint="default"/>
                <w:sz w:val="20"/>
                <w:szCs w:val="20"/>
              </w:rPr>
            </w:pPr>
            <w:r>
              <w:rPr>
                <w:rFonts w:ascii="宋体" w:hAnsi="宋体" w:cs="宋体" w:eastAsia="宋体" w:hint="default"/>
                <w:sz w:val="20"/>
                <w:szCs w:val="20"/>
              </w:rPr>
              <w:t>附注五</w:t>
            </w:r>
            <w:r>
              <w:rPr>
                <w:rFonts w:ascii="Arial" w:hAnsi="Arial" w:cs="Arial" w:eastAsia="Arial" w:hint="default"/>
                <w:sz w:val="20"/>
                <w:szCs w:val="20"/>
              </w:rPr>
              <w:t>(27)</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0"/>
              <w:jc w:val="right"/>
              <w:rPr>
                <w:rFonts w:ascii="Arial" w:hAnsi="Arial" w:cs="Arial" w:eastAsia="Arial" w:hint="default"/>
                <w:sz w:val="20"/>
                <w:szCs w:val="20"/>
              </w:rPr>
            </w:pPr>
            <w:r>
              <w:rPr>
                <w:rFonts w:ascii="Arial"/>
                <w:w w:val="100"/>
                <w:sz w:val="20"/>
              </w:rPr>
              <w:t>-</w:t>
            </w:r>
          </w:p>
        </w:tc>
        <w:tc>
          <w:tcPr>
            <w:tcW w:w="144"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4"/>
              <w:jc w:val="right"/>
              <w:rPr>
                <w:rFonts w:ascii="Arial" w:hAnsi="Arial" w:cs="Arial" w:eastAsia="Arial" w:hint="default"/>
                <w:sz w:val="20"/>
                <w:szCs w:val="20"/>
              </w:rPr>
            </w:pPr>
            <w:r>
              <w:rPr>
                <w:rFonts w:ascii="Arial"/>
                <w:spacing w:val="-2"/>
                <w:sz w:val="20"/>
              </w:rPr>
              <w:t>16,994,248,976</w:t>
            </w:r>
            <w:r>
              <w:rPr>
                <w:rFonts w:ascii="Arial"/>
                <w:sz w:val="20"/>
              </w:rPr>
            </w:r>
          </w:p>
        </w:tc>
        <w:tc>
          <w:tcPr>
            <w:tcW w:w="127" w:type="dxa"/>
            <w:tcBorders>
              <w:top w:val="nil" w:sz="6" w:space="0" w:color="auto"/>
              <w:left w:val="nil" w:sz="6" w:space="0" w:color="auto"/>
              <w:bottom w:val="nil" w:sz="6" w:space="0" w:color="auto"/>
              <w:right w:val="nil" w:sz="6" w:space="0" w:color="auto"/>
            </w:tcBorders>
          </w:tcPr>
          <w:p>
            <w:pP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73"/>
              <w:jc w:val="right"/>
              <w:rPr>
                <w:rFonts w:ascii="Arial" w:hAnsi="Arial" w:cs="Arial" w:eastAsia="Arial" w:hint="default"/>
                <w:sz w:val="20"/>
                <w:szCs w:val="20"/>
              </w:rPr>
            </w:pPr>
            <w:r>
              <w:rPr>
                <w:rFonts w:ascii="Arial"/>
                <w:spacing w:val="-2"/>
                <w:sz w:val="20"/>
              </w:rPr>
              <w:t>16,994,248,976</w:t>
            </w:r>
            <w:r>
              <w:rPr>
                <w:rFonts w:ascii="Arial"/>
                <w:sz w:val="20"/>
              </w:rPr>
            </w:r>
          </w:p>
        </w:tc>
      </w:tr>
      <w:tr>
        <w:trPr>
          <w:trHeight w:val="259" w:hRule="exact"/>
        </w:trPr>
        <w:tc>
          <w:tcPr>
            <w:tcW w:w="2473"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一年内到期的长期应付款</w:t>
            </w:r>
          </w:p>
        </w:tc>
        <w:tc>
          <w:tcPr>
            <w:tcW w:w="1313" w:type="dxa"/>
            <w:tcBorders>
              <w:top w:val="nil" w:sz="6" w:space="0" w:color="auto"/>
              <w:left w:val="nil" w:sz="6" w:space="0" w:color="auto"/>
              <w:bottom w:val="nil" w:sz="6" w:space="0" w:color="auto"/>
              <w:right w:val="nil" w:sz="6" w:space="0" w:color="auto"/>
            </w:tcBorders>
          </w:tcPr>
          <w:p>
            <w:pPr>
              <w:pStyle w:val="TableParagraph"/>
              <w:spacing w:line="232" w:lineRule="exact"/>
              <w:ind w:left="69" w:right="0"/>
              <w:jc w:val="left"/>
              <w:rPr>
                <w:rFonts w:ascii="Arial" w:hAnsi="Arial" w:cs="Arial" w:eastAsia="Arial" w:hint="default"/>
                <w:sz w:val="20"/>
                <w:szCs w:val="20"/>
              </w:rPr>
            </w:pPr>
            <w:r>
              <w:rPr>
                <w:rFonts w:ascii="宋体" w:hAnsi="宋体" w:cs="宋体" w:eastAsia="宋体" w:hint="default"/>
                <w:sz w:val="20"/>
                <w:szCs w:val="20"/>
              </w:rPr>
              <w:t>附注五</w:t>
            </w:r>
            <w:r>
              <w:rPr>
                <w:rFonts w:ascii="Arial" w:hAnsi="Arial" w:cs="Arial" w:eastAsia="Arial" w:hint="default"/>
                <w:sz w:val="20"/>
                <w:szCs w:val="20"/>
              </w:rPr>
              <w:t>(28)</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0"/>
              <w:jc w:val="right"/>
              <w:rPr>
                <w:rFonts w:ascii="Arial" w:hAnsi="Arial" w:cs="Arial" w:eastAsia="Arial" w:hint="default"/>
                <w:sz w:val="20"/>
                <w:szCs w:val="20"/>
              </w:rPr>
            </w:pPr>
            <w:r>
              <w:rPr>
                <w:rFonts w:ascii="Arial"/>
                <w:spacing w:val="-2"/>
                <w:sz w:val="20"/>
              </w:rPr>
              <w:t>11,147,600</w:t>
            </w:r>
            <w:r>
              <w:rPr>
                <w:rFonts w:ascii="Arial"/>
                <w:sz w:val="20"/>
              </w:rPr>
            </w:r>
          </w:p>
        </w:tc>
        <w:tc>
          <w:tcPr>
            <w:tcW w:w="144"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4"/>
              <w:jc w:val="right"/>
              <w:rPr>
                <w:rFonts w:ascii="Arial" w:hAnsi="Arial" w:cs="Arial" w:eastAsia="Arial" w:hint="default"/>
                <w:sz w:val="20"/>
                <w:szCs w:val="20"/>
              </w:rPr>
            </w:pPr>
            <w:r>
              <w:rPr>
                <w:rFonts w:ascii="Arial"/>
                <w:spacing w:val="-2"/>
                <w:sz w:val="20"/>
              </w:rPr>
              <w:t>16,595,302</w:t>
            </w:r>
            <w:r>
              <w:rPr>
                <w:rFonts w:ascii="Arial"/>
                <w:sz w:val="20"/>
              </w:rPr>
            </w:r>
          </w:p>
        </w:tc>
        <w:tc>
          <w:tcPr>
            <w:tcW w:w="127" w:type="dxa"/>
            <w:tcBorders>
              <w:top w:val="nil" w:sz="6" w:space="0" w:color="auto"/>
              <w:left w:val="nil" w:sz="6" w:space="0" w:color="auto"/>
              <w:bottom w:val="nil" w:sz="6" w:space="0" w:color="auto"/>
              <w:right w:val="nil" w:sz="6" w:space="0" w:color="auto"/>
            </w:tcBorders>
          </w:tcPr>
          <w:p>
            <w:pP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74"/>
              <w:jc w:val="right"/>
              <w:rPr>
                <w:rFonts w:ascii="Arial" w:hAnsi="Arial" w:cs="Arial" w:eastAsia="Arial" w:hint="default"/>
                <w:sz w:val="20"/>
                <w:szCs w:val="20"/>
              </w:rPr>
            </w:pPr>
            <w:r>
              <w:rPr>
                <w:rFonts w:ascii="Arial"/>
                <w:spacing w:val="-2"/>
                <w:sz w:val="20"/>
              </w:rPr>
              <w:t>250,394,349</w:t>
            </w:r>
            <w:r>
              <w:rPr>
                <w:rFonts w:ascii="Arial"/>
                <w:sz w:val="20"/>
              </w:rPr>
            </w:r>
          </w:p>
        </w:tc>
      </w:tr>
      <w:tr>
        <w:trPr>
          <w:trHeight w:val="255" w:hRule="exact"/>
        </w:trPr>
        <w:tc>
          <w:tcPr>
            <w:tcW w:w="2473"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一年内到期的租赁负债</w:t>
            </w:r>
          </w:p>
        </w:tc>
        <w:tc>
          <w:tcPr>
            <w:tcW w:w="1313" w:type="dxa"/>
            <w:tcBorders>
              <w:top w:val="nil" w:sz="6" w:space="0" w:color="auto"/>
              <w:left w:val="nil" w:sz="6" w:space="0" w:color="auto"/>
              <w:bottom w:val="nil" w:sz="6" w:space="0" w:color="auto"/>
              <w:right w:val="nil" w:sz="6" w:space="0" w:color="auto"/>
            </w:tcBorders>
          </w:tcPr>
          <w:p>
            <w:pPr>
              <w:pStyle w:val="TableParagraph"/>
              <w:spacing w:line="232" w:lineRule="exact"/>
              <w:ind w:left="69" w:right="0"/>
              <w:jc w:val="left"/>
              <w:rPr>
                <w:rFonts w:ascii="Arial" w:hAnsi="Arial" w:cs="Arial" w:eastAsia="Arial" w:hint="default"/>
                <w:sz w:val="20"/>
                <w:szCs w:val="20"/>
              </w:rPr>
            </w:pPr>
            <w:r>
              <w:rPr>
                <w:rFonts w:ascii="宋体" w:hAnsi="宋体" w:cs="宋体" w:eastAsia="宋体" w:hint="default"/>
                <w:sz w:val="20"/>
                <w:szCs w:val="20"/>
              </w:rPr>
              <w:t>附注五</w:t>
            </w:r>
            <w:r>
              <w:rPr>
                <w:rFonts w:ascii="Arial" w:hAnsi="Arial" w:cs="Arial" w:eastAsia="Arial" w:hint="default"/>
                <w:sz w:val="20"/>
                <w:szCs w:val="20"/>
              </w:rPr>
              <w:t>(53)</w:t>
            </w:r>
          </w:p>
        </w:tc>
        <w:tc>
          <w:tcPr>
            <w:tcW w:w="1747" w:type="dxa"/>
            <w:tcBorders>
              <w:top w:val="nil" w:sz="6" w:space="0" w:color="auto"/>
              <w:left w:val="nil" w:sz="6" w:space="0" w:color="auto"/>
              <w:bottom w:val="nil" w:sz="6" w:space="0" w:color="auto"/>
              <w:right w:val="nil" w:sz="6" w:space="0" w:color="auto"/>
            </w:tcBorders>
          </w:tcPr>
          <w:p>
            <w:pPr>
              <w:pStyle w:val="TableParagraph"/>
              <w:tabs>
                <w:tab w:pos="307" w:val="left" w:leader="none"/>
              </w:tabs>
              <w:spacing w:line="240" w:lineRule="auto" w:before="16"/>
              <w:ind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10,790,131,111</w:t>
            </w:r>
            <w:r>
              <w:rPr>
                <w:rFonts w:ascii="Arial"/>
                <w:sz w:val="20"/>
              </w:rPr>
            </w:r>
          </w:p>
        </w:tc>
        <w:tc>
          <w:tcPr>
            <w:tcW w:w="144"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nil" w:sz="6" w:space="0" w:color="auto"/>
            </w:tcBorders>
          </w:tcPr>
          <w:p>
            <w:pPr>
              <w:pStyle w:val="TableParagraph"/>
              <w:tabs>
                <w:tab w:pos="345" w:val="left" w:leader="none"/>
              </w:tabs>
              <w:spacing w:line="240" w:lineRule="auto" w:before="16"/>
              <w:ind w:right="5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9,144,163,395</w:t>
            </w:r>
            <w:r>
              <w:rPr>
                <w:rFonts w:ascii="Arial"/>
                <w:spacing w:val="-2"/>
                <w:sz w:val="20"/>
              </w:rPr>
            </w:r>
            <w:r>
              <w:rPr>
                <w:rFonts w:ascii="Arial"/>
                <w:sz w:val="20"/>
              </w:rPr>
            </w:r>
          </w:p>
        </w:tc>
        <w:tc>
          <w:tcPr>
            <w:tcW w:w="127" w:type="dxa"/>
            <w:tcBorders>
              <w:top w:val="nil" w:sz="6" w:space="0" w:color="auto"/>
              <w:left w:val="nil" w:sz="6" w:space="0" w:color="auto"/>
              <w:bottom w:val="nil" w:sz="6" w:space="0" w:color="auto"/>
              <w:right w:val="nil" w:sz="6" w:space="0" w:color="auto"/>
            </w:tcBorders>
          </w:tcPr>
          <w:p>
            <w:pPr/>
          </w:p>
        </w:tc>
        <w:tc>
          <w:tcPr>
            <w:tcW w:w="1807" w:type="dxa"/>
            <w:tcBorders>
              <w:top w:val="nil" w:sz="6" w:space="0" w:color="auto"/>
              <w:left w:val="nil" w:sz="6" w:space="0" w:color="auto"/>
              <w:bottom w:val="single" w:sz="6" w:space="0" w:color="000000"/>
              <w:right w:val="nil" w:sz="6" w:space="0" w:color="auto"/>
            </w:tcBorders>
          </w:tcPr>
          <w:p>
            <w:pPr>
              <w:pStyle w:val="TableParagraph"/>
              <w:spacing w:line="218" w:lineRule="exact"/>
              <w:ind w:right="50"/>
              <w:jc w:val="right"/>
              <w:rPr>
                <w:rFonts w:ascii="宋体" w:hAnsi="宋体" w:cs="宋体" w:eastAsia="宋体" w:hint="default"/>
                <w:sz w:val="20"/>
                <w:szCs w:val="20"/>
              </w:rPr>
            </w:pPr>
            <w:r>
              <w:rPr>
                <w:rFonts w:ascii="宋体" w:hAnsi="宋体" w:cs="宋体" w:eastAsia="宋体" w:hint="default"/>
                <w:sz w:val="20"/>
                <w:szCs w:val="20"/>
              </w:rPr>
              <w:t>不适用</w:t>
            </w:r>
          </w:p>
        </w:tc>
      </w:tr>
      <w:tr>
        <w:trPr>
          <w:trHeight w:val="610" w:hRule="exact"/>
        </w:trPr>
        <w:tc>
          <w:tcPr>
            <w:tcW w:w="247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1313" w:type="dxa"/>
            <w:tcBorders>
              <w:top w:val="nil" w:sz="6" w:space="0" w:color="auto"/>
              <w:left w:val="nil" w:sz="6" w:space="0" w:color="auto"/>
              <w:bottom w:val="nil" w:sz="6" w:space="0" w:color="auto"/>
              <w:right w:val="nil" w:sz="6" w:space="0" w:color="auto"/>
            </w:tcBorders>
          </w:tcPr>
          <w:p>
            <w:pPr/>
          </w:p>
        </w:tc>
        <w:tc>
          <w:tcPr>
            <w:tcW w:w="1747"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right="0"/>
              <w:jc w:val="left"/>
              <w:rPr>
                <w:rFonts w:ascii="宋体" w:hAnsi="宋体" w:cs="宋体" w:eastAsia="宋体" w:hint="default"/>
                <w:sz w:val="27"/>
                <w:szCs w:val="27"/>
              </w:rPr>
            </w:pPr>
          </w:p>
          <w:p>
            <w:pPr>
              <w:pStyle w:val="TableParagraph"/>
              <w:spacing w:line="240" w:lineRule="auto"/>
              <w:ind w:left="307" w:right="0"/>
              <w:jc w:val="left"/>
              <w:rPr>
                <w:rFonts w:ascii="Arial" w:hAnsi="Arial" w:cs="Arial" w:eastAsia="Arial" w:hint="default"/>
                <w:sz w:val="20"/>
                <w:szCs w:val="20"/>
              </w:rPr>
            </w:pPr>
            <w:r>
              <w:rPr>
                <w:rFonts w:ascii="Arial"/>
                <w:sz w:val="20"/>
              </w:rPr>
              <w:t>11,238,247,077</w:t>
            </w:r>
          </w:p>
        </w:tc>
        <w:tc>
          <w:tcPr>
            <w:tcW w:w="144"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right="0"/>
              <w:jc w:val="left"/>
              <w:rPr>
                <w:rFonts w:ascii="宋体" w:hAnsi="宋体" w:cs="宋体" w:eastAsia="宋体" w:hint="default"/>
                <w:sz w:val="27"/>
                <w:szCs w:val="27"/>
              </w:rPr>
            </w:pPr>
          </w:p>
          <w:p>
            <w:pPr>
              <w:pStyle w:val="TableParagraph"/>
              <w:spacing w:line="240" w:lineRule="auto"/>
              <w:ind w:right="54"/>
              <w:jc w:val="right"/>
              <w:rPr>
                <w:rFonts w:ascii="Arial" w:hAnsi="Arial" w:cs="Arial" w:eastAsia="Arial" w:hint="default"/>
                <w:sz w:val="20"/>
                <w:szCs w:val="20"/>
              </w:rPr>
            </w:pPr>
            <w:r>
              <w:rPr>
                <w:rFonts w:ascii="Arial"/>
                <w:spacing w:val="-2"/>
                <w:sz w:val="20"/>
              </w:rPr>
              <w:t>26,595,824,031</w:t>
            </w:r>
            <w:r>
              <w:rPr>
                <w:rFonts w:ascii="Arial"/>
                <w:sz w:val="20"/>
              </w:rPr>
            </w:r>
          </w:p>
        </w:tc>
        <w:tc>
          <w:tcPr>
            <w:tcW w:w="127" w:type="dxa"/>
            <w:tcBorders>
              <w:top w:val="nil" w:sz="6" w:space="0" w:color="auto"/>
              <w:left w:val="nil" w:sz="6" w:space="0" w:color="auto"/>
              <w:bottom w:val="nil" w:sz="6" w:space="0" w:color="auto"/>
              <w:right w:val="nil" w:sz="6" w:space="0" w:color="auto"/>
            </w:tcBorders>
          </w:tcPr>
          <w:p>
            <w:pPr/>
          </w:p>
        </w:tc>
        <w:tc>
          <w:tcPr>
            <w:tcW w:w="1807" w:type="dxa"/>
            <w:tcBorders>
              <w:top w:val="single" w:sz="6" w:space="0" w:color="000000"/>
              <w:left w:val="nil" w:sz="6" w:space="0" w:color="auto"/>
              <w:bottom w:val="single" w:sz="17" w:space="0" w:color="000000"/>
              <w:right w:val="nil" w:sz="6" w:space="0" w:color="auto"/>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73"/>
              <w:jc w:val="right"/>
              <w:rPr>
                <w:rFonts w:ascii="Arial" w:hAnsi="Arial" w:cs="Arial" w:eastAsia="Arial" w:hint="default"/>
                <w:sz w:val="20"/>
                <w:szCs w:val="20"/>
              </w:rPr>
            </w:pPr>
            <w:r>
              <w:rPr>
                <w:rFonts w:ascii="Arial"/>
                <w:spacing w:val="-2"/>
                <w:sz w:val="20"/>
              </w:rPr>
              <w:t>17,685,459,683</w:t>
            </w:r>
            <w:r>
              <w:rPr>
                <w:rFonts w:ascii="Arial"/>
                <w:sz w:val="20"/>
              </w:rPr>
            </w:r>
          </w:p>
        </w:tc>
      </w:tr>
    </w:tbl>
    <w:p>
      <w:pPr>
        <w:spacing w:line="240" w:lineRule="auto" w:before="2"/>
        <w:rPr>
          <w:rFonts w:ascii="宋体" w:hAnsi="宋体" w:cs="宋体" w:eastAsia="宋体" w:hint="default"/>
          <w:sz w:val="14"/>
          <w:szCs w:val="14"/>
        </w:rPr>
      </w:pPr>
    </w:p>
    <w:p>
      <w:pPr>
        <w:pStyle w:val="BodyText"/>
        <w:spacing w:line="240" w:lineRule="auto" w:before="32"/>
        <w:ind w:left="112" w:right="0"/>
        <w:jc w:val="left"/>
      </w:pPr>
      <w:r>
        <w:rPr>
          <w:rFonts w:ascii="Arial" w:hAnsi="Arial" w:cs="Arial" w:eastAsia="Arial" w:hint="default"/>
        </w:rPr>
        <w:t>(a) </w:t>
      </w:r>
      <w:r>
        <w:rPr>
          <w:rFonts w:ascii="Arial" w:hAnsi="Arial" w:cs="Arial" w:eastAsia="Arial" w:hint="default"/>
          <w:spacing w:val="28"/>
        </w:rPr>
        <w:t> </w:t>
      </w:r>
      <w:r>
        <w:rPr/>
        <w:t>一年内到期的长期借款</w:t>
      </w:r>
    </w:p>
    <w:p>
      <w:pPr>
        <w:spacing w:line="240" w:lineRule="auto" w:before="0"/>
        <w:rPr>
          <w:rFonts w:ascii="宋体" w:hAnsi="宋体" w:cs="宋体" w:eastAsia="宋体" w:hint="default"/>
          <w:sz w:val="23"/>
          <w:szCs w:val="23"/>
        </w:rPr>
      </w:pPr>
    </w:p>
    <w:tbl>
      <w:tblPr>
        <w:tblW w:w="0" w:type="auto"/>
        <w:jc w:val="left"/>
        <w:tblInd w:w="364" w:type="dxa"/>
        <w:tblLayout w:type="fixed"/>
        <w:tblCellMar>
          <w:top w:w="0" w:type="dxa"/>
          <w:left w:w="0" w:type="dxa"/>
          <w:bottom w:w="0" w:type="dxa"/>
          <w:right w:w="0" w:type="dxa"/>
        </w:tblCellMar>
        <w:tblLook w:val="01E0"/>
      </w:tblPr>
      <w:tblGrid>
        <w:gridCol w:w="4429"/>
        <w:gridCol w:w="2309"/>
        <w:gridCol w:w="127"/>
        <w:gridCol w:w="2292"/>
      </w:tblGrid>
      <w:tr>
        <w:trPr>
          <w:trHeight w:val="259" w:hRule="exact"/>
        </w:trPr>
        <w:tc>
          <w:tcPr>
            <w:tcW w:w="4429" w:type="dxa"/>
            <w:tcBorders>
              <w:top w:val="nil" w:sz="6" w:space="0" w:color="auto"/>
              <w:left w:val="nil" w:sz="6" w:space="0" w:color="auto"/>
              <w:bottom w:val="nil" w:sz="6" w:space="0" w:color="auto"/>
              <w:right w:val="nil" w:sz="6" w:space="0" w:color="auto"/>
            </w:tcBorders>
          </w:tcPr>
          <w:p>
            <w:pPr/>
          </w:p>
        </w:tc>
        <w:tc>
          <w:tcPr>
            <w:tcW w:w="2309" w:type="dxa"/>
            <w:tcBorders>
              <w:top w:val="nil" w:sz="6" w:space="0" w:color="auto"/>
              <w:left w:val="nil" w:sz="6" w:space="0" w:color="auto"/>
              <w:bottom w:val="single" w:sz="6" w:space="0" w:color="000000"/>
              <w:right w:val="nil" w:sz="6" w:space="0" w:color="auto"/>
            </w:tcBorders>
          </w:tcPr>
          <w:p>
            <w:pPr>
              <w:pStyle w:val="TableParagraph"/>
              <w:spacing w:line="236" w:lineRule="exact"/>
              <w:ind w:left="336"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127" w:type="dxa"/>
            <w:tcBorders>
              <w:top w:val="nil" w:sz="6" w:space="0" w:color="auto"/>
              <w:left w:val="nil" w:sz="6" w:space="0" w:color="auto"/>
              <w:bottom w:val="nil" w:sz="6" w:space="0" w:color="auto"/>
              <w:right w:val="nil" w:sz="6" w:space="0" w:color="auto"/>
            </w:tcBorders>
          </w:tcPr>
          <w:p>
            <w:pPr/>
          </w:p>
        </w:tc>
        <w:tc>
          <w:tcPr>
            <w:tcW w:w="2292" w:type="dxa"/>
            <w:tcBorders>
              <w:top w:val="nil" w:sz="6" w:space="0" w:color="auto"/>
              <w:left w:val="nil" w:sz="6" w:space="0" w:color="auto"/>
              <w:bottom w:val="single" w:sz="6" w:space="0" w:color="000000"/>
              <w:right w:val="nil" w:sz="6" w:space="0" w:color="auto"/>
            </w:tcBorders>
          </w:tcPr>
          <w:p>
            <w:pPr>
              <w:pStyle w:val="TableParagraph"/>
              <w:spacing w:line="236" w:lineRule="exact"/>
              <w:ind w:right="50"/>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562" w:hRule="exact"/>
        </w:trPr>
        <w:tc>
          <w:tcPr>
            <w:tcW w:w="442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保证借款</w:t>
            </w:r>
          </w:p>
        </w:tc>
        <w:tc>
          <w:tcPr>
            <w:tcW w:w="2309"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1094" w:right="0"/>
              <w:jc w:val="left"/>
              <w:rPr>
                <w:rFonts w:ascii="Arial" w:hAnsi="Arial" w:cs="Arial" w:eastAsia="Arial" w:hint="default"/>
                <w:sz w:val="22"/>
                <w:szCs w:val="22"/>
              </w:rPr>
            </w:pPr>
            <w:r>
              <w:rPr>
                <w:rFonts w:ascii="Arial"/>
                <w:sz w:val="22"/>
              </w:rPr>
              <w:t>13,880,566</w:t>
            </w:r>
          </w:p>
        </w:tc>
        <w:tc>
          <w:tcPr>
            <w:tcW w:w="127" w:type="dxa"/>
            <w:tcBorders>
              <w:top w:val="nil" w:sz="6" w:space="0" w:color="auto"/>
              <w:left w:val="nil" w:sz="6" w:space="0" w:color="auto"/>
              <w:bottom w:val="nil" w:sz="6" w:space="0" w:color="auto"/>
              <w:right w:val="nil" w:sz="6" w:space="0" w:color="auto"/>
            </w:tcBorders>
          </w:tcPr>
          <w:p>
            <w:pPr/>
          </w:p>
        </w:tc>
        <w:tc>
          <w:tcPr>
            <w:tcW w:w="2292"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81"/>
              <w:jc w:val="right"/>
              <w:rPr>
                <w:rFonts w:ascii="Arial" w:hAnsi="Arial" w:cs="Arial" w:eastAsia="Arial" w:hint="default"/>
                <w:sz w:val="22"/>
                <w:szCs w:val="22"/>
              </w:rPr>
            </w:pPr>
            <w:r>
              <w:rPr>
                <w:rFonts w:ascii="Arial"/>
                <w:spacing w:val="-1"/>
                <w:sz w:val="22"/>
              </w:rPr>
              <w:t>19,760,994</w:t>
            </w:r>
          </w:p>
        </w:tc>
      </w:tr>
      <w:tr>
        <w:trPr>
          <w:trHeight w:val="418" w:hRule="exact"/>
        </w:trPr>
        <w:tc>
          <w:tcPr>
            <w:tcW w:w="4429"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信用借款</w:t>
            </w:r>
          </w:p>
        </w:tc>
        <w:tc>
          <w:tcPr>
            <w:tcW w:w="2309" w:type="dxa"/>
            <w:tcBorders>
              <w:top w:val="nil" w:sz="6" w:space="0" w:color="auto"/>
              <w:left w:val="nil" w:sz="6" w:space="0" w:color="auto"/>
              <w:bottom w:val="nil" w:sz="6" w:space="0" w:color="auto"/>
              <w:right w:val="nil" w:sz="6" w:space="0" w:color="auto"/>
            </w:tcBorders>
          </w:tcPr>
          <w:p>
            <w:pPr>
              <w:pStyle w:val="TableParagraph"/>
              <w:tabs>
                <w:tab w:pos="969" w:val="left" w:leader="none"/>
                <w:tab w:pos="2308" w:val="left" w:leader="none"/>
              </w:tabs>
              <w:spacing w:line="240" w:lineRule="auto" w:before="16"/>
              <w:ind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423,087,800</w:t>
              <w:tab/>
            </w:r>
            <w:r>
              <w:rPr>
                <w:rFonts w:ascii="Arial"/>
                <w:sz w:val="22"/>
              </w:rPr>
            </w:r>
          </w:p>
        </w:tc>
        <w:tc>
          <w:tcPr>
            <w:tcW w:w="127" w:type="dxa"/>
            <w:tcBorders>
              <w:top w:val="nil" w:sz="6" w:space="0" w:color="auto"/>
              <w:left w:val="nil" w:sz="6" w:space="0" w:color="auto"/>
              <w:bottom w:val="nil" w:sz="6" w:space="0" w:color="auto"/>
              <w:right w:val="nil" w:sz="6" w:space="0" w:color="auto"/>
            </w:tcBorders>
          </w:tcPr>
          <w:p>
            <w:pPr/>
          </w:p>
        </w:tc>
        <w:tc>
          <w:tcPr>
            <w:tcW w:w="2292" w:type="dxa"/>
            <w:tcBorders>
              <w:top w:val="nil" w:sz="6" w:space="0" w:color="auto"/>
              <w:left w:val="nil" w:sz="6" w:space="0" w:color="auto"/>
              <w:bottom w:val="nil" w:sz="6" w:space="0" w:color="auto"/>
              <w:right w:val="nil" w:sz="6" w:space="0" w:color="auto"/>
            </w:tcBorders>
          </w:tcPr>
          <w:p>
            <w:pPr>
              <w:pStyle w:val="TableParagraph"/>
              <w:tabs>
                <w:tab w:pos="974" w:val="left" w:leader="none"/>
                <w:tab w:pos="2284" w:val="left" w:leader="none"/>
              </w:tabs>
              <w:spacing w:line="240" w:lineRule="auto" w:before="16"/>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421,055,364</w:t>
              <w:tab/>
            </w:r>
            <w:r>
              <w:rPr>
                <w:rFonts w:ascii="Arial"/>
                <w:spacing w:val="-1"/>
                <w:sz w:val="22"/>
              </w:rPr>
            </w:r>
          </w:p>
        </w:tc>
      </w:tr>
      <w:tr>
        <w:trPr>
          <w:trHeight w:val="432" w:hRule="exact"/>
        </w:trPr>
        <w:tc>
          <w:tcPr>
            <w:tcW w:w="4429" w:type="dxa"/>
            <w:tcBorders>
              <w:top w:val="nil" w:sz="6" w:space="0" w:color="auto"/>
              <w:left w:val="nil" w:sz="6" w:space="0" w:color="auto"/>
              <w:bottom w:val="nil" w:sz="6" w:space="0" w:color="auto"/>
              <w:right w:val="nil" w:sz="6" w:space="0" w:color="auto"/>
            </w:tcBorders>
          </w:tcPr>
          <w:p>
            <w:pPr>
              <w:pStyle w:val="TableParagraph"/>
              <w:spacing w:line="240" w:lineRule="auto" w:before="85"/>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309"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left="969" w:right="0"/>
              <w:jc w:val="left"/>
              <w:rPr>
                <w:rFonts w:ascii="Arial" w:hAnsi="Arial" w:cs="Arial" w:eastAsia="Arial" w:hint="default"/>
                <w:sz w:val="22"/>
                <w:szCs w:val="22"/>
              </w:rPr>
            </w:pPr>
            <w:r>
              <w:rPr>
                <w:rFonts w:ascii="Arial"/>
                <w:sz w:val="22"/>
              </w:rPr>
              <w:t>436,968,366</w:t>
            </w:r>
          </w:p>
        </w:tc>
        <w:tc>
          <w:tcPr>
            <w:tcW w:w="127" w:type="dxa"/>
            <w:tcBorders>
              <w:top w:val="nil" w:sz="6" w:space="0" w:color="auto"/>
              <w:left w:val="nil" w:sz="6" w:space="0" w:color="auto"/>
              <w:bottom w:val="nil" w:sz="6" w:space="0" w:color="auto"/>
              <w:right w:val="nil" w:sz="6" w:space="0" w:color="auto"/>
            </w:tcBorders>
          </w:tcPr>
          <w:p>
            <w:pPr/>
          </w:p>
        </w:tc>
        <w:tc>
          <w:tcPr>
            <w:tcW w:w="2292"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right="82"/>
              <w:jc w:val="right"/>
              <w:rPr>
                <w:rFonts w:ascii="Arial" w:hAnsi="Arial" w:cs="Arial" w:eastAsia="Arial" w:hint="default"/>
                <w:sz w:val="22"/>
                <w:szCs w:val="22"/>
              </w:rPr>
            </w:pPr>
            <w:r>
              <w:rPr>
                <w:rFonts w:ascii="Arial"/>
                <w:spacing w:val="-1"/>
                <w:sz w:val="22"/>
              </w:rPr>
              <w:t>440,816,358</w:t>
            </w:r>
          </w:p>
        </w:tc>
      </w:tr>
    </w:tbl>
    <w:p>
      <w:pPr>
        <w:spacing w:line="240" w:lineRule="auto" w:before="10"/>
        <w:rPr>
          <w:rFonts w:ascii="宋体" w:hAnsi="宋体" w:cs="宋体" w:eastAsia="宋体" w:hint="default"/>
          <w:sz w:val="13"/>
          <w:szCs w:val="13"/>
        </w:rPr>
      </w:pPr>
    </w:p>
    <w:p>
      <w:pPr>
        <w:pStyle w:val="BodyText"/>
        <w:spacing w:line="240" w:lineRule="auto" w:before="32"/>
        <w:ind w:left="520" w:right="0"/>
        <w:jc w:val="left"/>
      </w:pPr>
      <w:r>
        <w:rPr/>
        <w:t>于</w:t>
      </w:r>
      <w:r>
        <w:rPr>
          <w:spacing w:val="-56"/>
        </w:rPr>
        <w:t> </w:t>
      </w:r>
      <w:r>
        <w:rPr>
          <w:rFonts w:ascii="Arial" w:hAnsi="Arial" w:cs="Arial" w:eastAsia="Arial" w:hint="default"/>
        </w:rPr>
        <w:t>2019</w:t>
      </w:r>
      <w:r>
        <w:rPr>
          <w:rFonts w:ascii="Arial" w:hAnsi="Arial" w:cs="Arial" w:eastAsia="Arial" w:hint="default"/>
          <w:spacing w:val="-5"/>
        </w:rPr>
        <w:t> </w:t>
      </w:r>
      <w:r>
        <w:rPr/>
        <w:t>年</w:t>
      </w:r>
      <w:r>
        <w:rPr>
          <w:spacing w:val="-61"/>
        </w:rPr>
        <w:t> </w:t>
      </w:r>
      <w:r>
        <w:rPr>
          <w:rFonts w:ascii="Arial" w:hAnsi="Arial" w:cs="Arial" w:eastAsia="Arial" w:hint="default"/>
        </w:rPr>
        <w:t>12</w:t>
      </w:r>
      <w:r>
        <w:rPr>
          <w:rFonts w:ascii="Arial" w:hAnsi="Arial" w:cs="Arial" w:eastAsia="Arial" w:hint="default"/>
          <w:spacing w:val="-5"/>
        </w:rPr>
        <w:t> </w:t>
      </w:r>
      <w:r>
        <w:rPr/>
        <w:t>月</w:t>
      </w:r>
      <w:r>
        <w:rPr>
          <w:spacing w:val="-56"/>
        </w:rPr>
        <w:t> </w:t>
      </w:r>
      <w:r>
        <w:rPr>
          <w:rFonts w:ascii="Arial" w:hAnsi="Arial" w:cs="Arial" w:eastAsia="Arial" w:hint="default"/>
        </w:rPr>
        <w:t>31</w:t>
      </w:r>
      <w:r>
        <w:rPr>
          <w:rFonts w:ascii="Arial" w:hAnsi="Arial" w:cs="Arial" w:eastAsia="Arial" w:hint="default"/>
          <w:spacing w:val="-5"/>
        </w:rPr>
        <w:t> </w:t>
      </w:r>
      <w:r>
        <w:rPr/>
        <w:t>日，本集团无已到期但尚未偿还的长期借款（</w:t>
      </w:r>
      <w:r>
        <w:rPr>
          <w:rFonts w:ascii="Arial" w:hAnsi="Arial" w:cs="Arial" w:eastAsia="Arial" w:hint="default"/>
        </w:rPr>
        <w:t>2018</w:t>
      </w:r>
      <w:r>
        <w:rPr>
          <w:rFonts w:ascii="Arial" w:hAnsi="Arial" w:cs="Arial" w:eastAsia="Arial" w:hint="default"/>
          <w:spacing w:val="-5"/>
        </w:rPr>
        <w:t> </w:t>
      </w:r>
      <w:r>
        <w:rPr/>
        <w:t>年</w:t>
      </w:r>
      <w:r>
        <w:rPr>
          <w:spacing w:val="-56"/>
        </w:rPr>
        <w:t> </w:t>
      </w:r>
      <w:r>
        <w:rPr>
          <w:rFonts w:ascii="Arial" w:hAnsi="Arial" w:cs="Arial" w:eastAsia="Arial" w:hint="default"/>
        </w:rPr>
        <w:t>12</w:t>
      </w:r>
      <w:r>
        <w:rPr>
          <w:rFonts w:ascii="Arial" w:hAnsi="Arial" w:cs="Arial" w:eastAsia="Arial" w:hint="default"/>
          <w:spacing w:val="-5"/>
        </w:rPr>
        <w:t> </w:t>
      </w:r>
      <w:r>
        <w:rPr/>
        <w:t>月</w:t>
      </w:r>
      <w:r>
        <w:rPr>
          <w:spacing w:val="-56"/>
        </w:rPr>
        <w:t> </w:t>
      </w:r>
      <w:r>
        <w:rPr>
          <w:rFonts w:ascii="Arial" w:hAnsi="Arial" w:cs="Arial" w:eastAsia="Arial" w:hint="default"/>
        </w:rPr>
        <w:t>31</w:t>
      </w:r>
      <w:r>
        <w:rPr>
          <w:rFonts w:ascii="Arial" w:hAnsi="Arial" w:cs="Arial" w:eastAsia="Arial" w:hint="default"/>
          <w:spacing w:val="-9"/>
        </w:rPr>
        <w:t> </w:t>
      </w:r>
      <w:r>
        <w:rPr/>
        <w:t>日：无）。</w:t>
      </w:r>
    </w:p>
    <w:p>
      <w:pPr>
        <w:spacing w:line="240" w:lineRule="auto" w:before="3"/>
        <w:rPr>
          <w:rFonts w:ascii="宋体" w:hAnsi="宋体" w:cs="宋体" w:eastAsia="宋体" w:hint="default"/>
          <w:sz w:val="18"/>
          <w:szCs w:val="18"/>
        </w:rPr>
      </w:pPr>
    </w:p>
    <w:p>
      <w:pPr>
        <w:pStyle w:val="BodyText"/>
        <w:spacing w:line="240" w:lineRule="auto"/>
        <w:ind w:left="112" w:right="0"/>
        <w:jc w:val="left"/>
      </w:pPr>
      <w:r>
        <w:rPr>
          <w:rFonts w:ascii="Arial" w:hAnsi="Arial" w:cs="Arial" w:eastAsia="Arial" w:hint="default"/>
        </w:rPr>
        <w:t>25</w:t>
      </w:r>
      <w:r>
        <w:rPr/>
        <w:t>、其他流动负债</w:t>
      </w:r>
    </w:p>
    <w:p>
      <w:pPr>
        <w:spacing w:line="240" w:lineRule="auto" w:before="2"/>
        <w:rPr>
          <w:rFonts w:ascii="宋体" w:hAnsi="宋体" w:cs="宋体" w:eastAsia="宋体" w:hint="default"/>
          <w:sz w:val="24"/>
          <w:szCs w:val="24"/>
        </w:rPr>
      </w:pPr>
    </w:p>
    <w:tbl>
      <w:tblPr>
        <w:tblW w:w="0" w:type="auto"/>
        <w:jc w:val="left"/>
        <w:tblInd w:w="373" w:type="dxa"/>
        <w:tblLayout w:type="fixed"/>
        <w:tblCellMar>
          <w:top w:w="0" w:type="dxa"/>
          <w:left w:w="0" w:type="dxa"/>
          <w:bottom w:w="0" w:type="dxa"/>
          <w:right w:w="0" w:type="dxa"/>
        </w:tblCellMar>
        <w:tblLook w:val="01E0"/>
      </w:tblPr>
      <w:tblGrid>
        <w:gridCol w:w="3478"/>
        <w:gridCol w:w="1080"/>
        <w:gridCol w:w="2362"/>
        <w:gridCol w:w="113"/>
        <w:gridCol w:w="2177"/>
      </w:tblGrid>
      <w:tr>
        <w:trPr>
          <w:trHeight w:val="264" w:hRule="exact"/>
        </w:trPr>
        <w:tc>
          <w:tcPr>
            <w:tcW w:w="3478" w:type="dxa"/>
            <w:tcBorders>
              <w:top w:val="nil" w:sz="6" w:space="0" w:color="auto"/>
              <w:left w:val="nil" w:sz="6" w:space="0" w:color="auto"/>
              <w:bottom w:val="nil" w:sz="6" w:space="0" w:color="auto"/>
              <w:right w:val="nil" w:sz="6" w:space="0" w:color="auto"/>
            </w:tcBorders>
          </w:tcPr>
          <w:p>
            <w:pPr/>
          </w:p>
        </w:tc>
        <w:tc>
          <w:tcPr>
            <w:tcW w:w="1080" w:type="dxa"/>
            <w:tcBorders>
              <w:top w:val="nil" w:sz="6" w:space="0" w:color="auto"/>
              <w:left w:val="nil" w:sz="6" w:space="0" w:color="auto"/>
              <w:bottom w:val="nil" w:sz="6" w:space="0" w:color="auto"/>
              <w:right w:val="nil" w:sz="6" w:space="0" w:color="auto"/>
            </w:tcBorders>
          </w:tcPr>
          <w:p>
            <w:pPr>
              <w:pStyle w:val="TableParagraph"/>
              <w:spacing w:line="221" w:lineRule="exact"/>
              <w:ind w:right="51"/>
              <w:jc w:val="center"/>
              <w:rPr>
                <w:rFonts w:ascii="宋体" w:hAnsi="宋体" w:cs="宋体" w:eastAsia="宋体" w:hint="default"/>
                <w:sz w:val="22"/>
                <w:szCs w:val="22"/>
              </w:rPr>
            </w:pPr>
            <w:r>
              <w:rPr>
                <w:rFonts w:ascii="宋体" w:hAnsi="宋体" w:cs="宋体" w:eastAsia="宋体" w:hint="default"/>
                <w:w w:val="100"/>
                <w:sz w:val="22"/>
                <w:szCs w:val="22"/>
              </w:rPr>
              <w:t>注</w:t>
            </w:r>
          </w:p>
        </w:tc>
        <w:tc>
          <w:tcPr>
            <w:tcW w:w="2362" w:type="dxa"/>
            <w:tcBorders>
              <w:top w:val="nil" w:sz="6" w:space="0" w:color="auto"/>
              <w:left w:val="nil" w:sz="6" w:space="0" w:color="auto"/>
              <w:bottom w:val="single" w:sz="6" w:space="0" w:color="000000"/>
              <w:right w:val="nil" w:sz="6" w:space="0" w:color="auto"/>
            </w:tcBorders>
          </w:tcPr>
          <w:p>
            <w:pPr>
              <w:pStyle w:val="TableParagraph"/>
              <w:spacing w:line="237" w:lineRule="exact"/>
              <w:ind w:right="65"/>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113" w:type="dxa"/>
            <w:tcBorders>
              <w:top w:val="nil" w:sz="6" w:space="0" w:color="auto"/>
              <w:left w:val="nil" w:sz="6" w:space="0" w:color="auto"/>
              <w:bottom w:val="nil" w:sz="6" w:space="0" w:color="auto"/>
              <w:right w:val="nil" w:sz="6" w:space="0" w:color="auto"/>
            </w:tcBorders>
          </w:tcPr>
          <w:p>
            <w:pPr/>
          </w:p>
        </w:tc>
        <w:tc>
          <w:tcPr>
            <w:tcW w:w="2177" w:type="dxa"/>
            <w:tcBorders>
              <w:top w:val="nil" w:sz="6" w:space="0" w:color="auto"/>
              <w:left w:val="nil" w:sz="6" w:space="0" w:color="auto"/>
              <w:bottom w:val="single" w:sz="6" w:space="0" w:color="000000"/>
              <w:right w:val="nil" w:sz="6" w:space="0" w:color="auto"/>
            </w:tcBorders>
          </w:tcPr>
          <w:p>
            <w:pPr>
              <w:pStyle w:val="TableParagraph"/>
              <w:spacing w:line="237" w:lineRule="exact"/>
              <w:ind w:right="79"/>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581" w:hRule="exact"/>
        </w:trPr>
        <w:tc>
          <w:tcPr>
            <w:tcW w:w="347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00"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6"/>
                <w:sz w:val="22"/>
                <w:szCs w:val="22"/>
              </w:rPr>
              <w:t> </w:t>
            </w:r>
            <w:r>
              <w:rPr>
                <w:rFonts w:ascii="宋体" w:hAnsi="宋体" w:cs="宋体" w:eastAsia="宋体" w:hint="default"/>
                <w:sz w:val="22"/>
                <w:szCs w:val="22"/>
              </w:rPr>
              <w:t>年度第一期超短期融资券</w:t>
            </w:r>
          </w:p>
        </w:tc>
        <w:tc>
          <w:tcPr>
            <w:tcW w:w="1080" w:type="dxa"/>
            <w:tcBorders>
              <w:top w:val="nil" w:sz="6" w:space="0" w:color="auto"/>
              <w:left w:val="nil" w:sz="6" w:space="0" w:color="auto"/>
              <w:bottom w:val="nil" w:sz="6" w:space="0" w:color="auto"/>
              <w:right w:val="nil" w:sz="6" w:space="0" w:color="auto"/>
            </w:tcBorders>
          </w:tcPr>
          <w:p>
            <w:pPr/>
          </w:p>
        </w:tc>
        <w:tc>
          <w:tcPr>
            <w:tcW w:w="2362"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25"/>
              <w:jc w:val="right"/>
              <w:rPr>
                <w:rFonts w:ascii="Arial" w:hAnsi="Arial" w:cs="Arial" w:eastAsia="Arial" w:hint="default"/>
                <w:sz w:val="22"/>
                <w:szCs w:val="22"/>
              </w:rPr>
            </w:pPr>
            <w:r>
              <w:rPr>
                <w:rFonts w:ascii="Arial"/>
                <w:spacing w:val="-1"/>
                <w:sz w:val="22"/>
              </w:rPr>
              <w:t>4,997,180,556</w:t>
            </w:r>
          </w:p>
        </w:tc>
        <w:tc>
          <w:tcPr>
            <w:tcW w:w="113" w:type="dxa"/>
            <w:tcBorders>
              <w:top w:val="nil" w:sz="6" w:space="0" w:color="auto"/>
              <w:left w:val="nil" w:sz="6" w:space="0" w:color="auto"/>
              <w:bottom w:val="nil" w:sz="6" w:space="0" w:color="auto"/>
              <w:right w:val="nil" w:sz="6" w:space="0" w:color="auto"/>
            </w:tcBorders>
          </w:tcPr>
          <w:p>
            <w:pPr/>
          </w:p>
        </w:tc>
        <w:tc>
          <w:tcPr>
            <w:tcW w:w="2177"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49"/>
              <w:jc w:val="right"/>
              <w:rPr>
                <w:rFonts w:ascii="Arial" w:hAnsi="Arial" w:cs="Arial" w:eastAsia="Arial" w:hint="default"/>
                <w:sz w:val="22"/>
                <w:szCs w:val="22"/>
              </w:rPr>
            </w:pPr>
            <w:r>
              <w:rPr>
                <w:rFonts w:ascii="Arial"/>
                <w:w w:val="100"/>
                <w:sz w:val="22"/>
              </w:rPr>
              <w:t>-</w:t>
            </w:r>
          </w:p>
        </w:tc>
      </w:tr>
      <w:tr>
        <w:trPr>
          <w:trHeight w:val="302" w:hRule="exact"/>
        </w:trPr>
        <w:tc>
          <w:tcPr>
            <w:tcW w:w="3478"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6"/>
                <w:sz w:val="22"/>
                <w:szCs w:val="22"/>
              </w:rPr>
              <w:t> </w:t>
            </w:r>
            <w:r>
              <w:rPr>
                <w:rFonts w:ascii="宋体" w:hAnsi="宋体" w:cs="宋体" w:eastAsia="宋体" w:hint="default"/>
                <w:sz w:val="22"/>
                <w:szCs w:val="22"/>
              </w:rPr>
              <w:t>年度第二期超短期融资券</w:t>
            </w:r>
          </w:p>
        </w:tc>
        <w:tc>
          <w:tcPr>
            <w:tcW w:w="1080" w:type="dxa"/>
            <w:tcBorders>
              <w:top w:val="nil" w:sz="6" w:space="0" w:color="auto"/>
              <w:left w:val="nil" w:sz="6" w:space="0" w:color="auto"/>
              <w:bottom w:val="nil" w:sz="6" w:space="0" w:color="auto"/>
              <w:right w:val="nil" w:sz="6" w:space="0" w:color="auto"/>
            </w:tcBorders>
          </w:tcPr>
          <w:p>
            <w:pPr/>
          </w:p>
        </w:tc>
        <w:tc>
          <w:tcPr>
            <w:tcW w:w="236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25"/>
              <w:jc w:val="right"/>
              <w:rPr>
                <w:rFonts w:ascii="Arial" w:hAnsi="Arial" w:cs="Arial" w:eastAsia="Arial" w:hint="default"/>
                <w:sz w:val="22"/>
                <w:szCs w:val="22"/>
              </w:rPr>
            </w:pPr>
            <w:r>
              <w:rPr>
                <w:rFonts w:ascii="Arial"/>
                <w:spacing w:val="-1"/>
                <w:sz w:val="22"/>
              </w:rPr>
              <w:t>3,997,511,111</w:t>
            </w:r>
          </w:p>
        </w:tc>
        <w:tc>
          <w:tcPr>
            <w:tcW w:w="113" w:type="dxa"/>
            <w:tcBorders>
              <w:top w:val="nil" w:sz="6" w:space="0" w:color="auto"/>
              <w:left w:val="nil" w:sz="6" w:space="0" w:color="auto"/>
              <w:bottom w:val="nil" w:sz="6" w:space="0" w:color="auto"/>
              <w:right w:val="nil" w:sz="6" w:space="0" w:color="auto"/>
            </w:tcBorders>
          </w:tcPr>
          <w:p>
            <w:pPr/>
          </w:p>
        </w:tc>
        <w:tc>
          <w:tcPr>
            <w:tcW w:w="217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9"/>
              <w:jc w:val="right"/>
              <w:rPr>
                <w:rFonts w:ascii="Arial" w:hAnsi="Arial" w:cs="Arial" w:eastAsia="Arial" w:hint="default"/>
                <w:sz w:val="22"/>
                <w:szCs w:val="22"/>
              </w:rPr>
            </w:pPr>
            <w:r>
              <w:rPr>
                <w:rFonts w:ascii="Arial"/>
                <w:w w:val="100"/>
                <w:sz w:val="22"/>
              </w:rPr>
              <w:t>-</w:t>
            </w:r>
          </w:p>
        </w:tc>
      </w:tr>
      <w:tr>
        <w:trPr>
          <w:trHeight w:val="432" w:hRule="exact"/>
        </w:trPr>
        <w:tc>
          <w:tcPr>
            <w:tcW w:w="3478" w:type="dxa"/>
            <w:tcBorders>
              <w:top w:val="nil" w:sz="6" w:space="0" w:color="auto"/>
              <w:left w:val="nil" w:sz="6" w:space="0" w:color="auto"/>
              <w:bottom w:val="nil" w:sz="6" w:space="0" w:color="auto"/>
              <w:right w:val="nil" w:sz="6" w:space="0" w:color="auto"/>
            </w:tcBorders>
          </w:tcPr>
          <w:p>
            <w:pPr>
              <w:pStyle w:val="TableParagraph"/>
              <w:spacing w:line="249" w:lineRule="exact"/>
              <w:ind w:left="200" w:right="0"/>
              <w:jc w:val="left"/>
              <w:rPr>
                <w:rFonts w:ascii="宋体" w:hAnsi="宋体" w:cs="宋体" w:eastAsia="宋体" w:hint="default"/>
                <w:sz w:val="22"/>
                <w:szCs w:val="22"/>
              </w:rPr>
            </w:pPr>
            <w:r>
              <w:rPr>
                <w:rFonts w:ascii="宋体" w:hAnsi="宋体" w:cs="宋体" w:eastAsia="宋体" w:hint="default"/>
                <w:sz w:val="22"/>
                <w:szCs w:val="22"/>
              </w:rPr>
              <w:t>待转增值税</w:t>
            </w:r>
          </w:p>
        </w:tc>
        <w:tc>
          <w:tcPr>
            <w:tcW w:w="1080" w:type="dxa"/>
            <w:tcBorders>
              <w:top w:val="nil" w:sz="6" w:space="0" w:color="auto"/>
              <w:left w:val="nil" w:sz="6" w:space="0" w:color="auto"/>
              <w:bottom w:val="nil" w:sz="6" w:space="0" w:color="auto"/>
              <w:right w:val="nil" w:sz="6" w:space="0" w:color="auto"/>
            </w:tcBorders>
          </w:tcPr>
          <w:p>
            <w:pPr>
              <w:pStyle w:val="TableParagraph"/>
              <w:spacing w:line="265" w:lineRule="exact"/>
              <w:ind w:right="57"/>
              <w:jc w:val="center"/>
              <w:rPr>
                <w:rFonts w:ascii="Arial" w:hAnsi="Arial" w:cs="Arial" w:eastAsia="Arial" w:hint="default"/>
                <w:sz w:val="22"/>
                <w:szCs w:val="22"/>
              </w:rPr>
            </w:pPr>
            <w:r>
              <w:rPr>
                <w:rFonts w:ascii="宋体" w:hAnsi="宋体" w:cs="宋体" w:eastAsia="宋体" w:hint="default"/>
                <w:sz w:val="22"/>
                <w:szCs w:val="22"/>
              </w:rPr>
              <w:t>注</w:t>
            </w:r>
            <w:r>
              <w:rPr>
                <w:rFonts w:ascii="宋体" w:hAnsi="宋体" w:cs="宋体" w:eastAsia="宋体" w:hint="default"/>
                <w:spacing w:val="-57"/>
                <w:sz w:val="22"/>
                <w:szCs w:val="22"/>
              </w:rPr>
              <w:t> </w:t>
            </w:r>
            <w:r>
              <w:rPr>
                <w:rFonts w:ascii="Arial" w:hAnsi="Arial" w:cs="Arial" w:eastAsia="Arial" w:hint="default"/>
                <w:sz w:val="22"/>
                <w:szCs w:val="22"/>
              </w:rPr>
              <w:t>1</w:t>
            </w:r>
          </w:p>
        </w:tc>
        <w:tc>
          <w:tcPr>
            <w:tcW w:w="2362" w:type="dxa"/>
            <w:tcBorders>
              <w:top w:val="nil" w:sz="6" w:space="0" w:color="auto"/>
              <w:left w:val="nil" w:sz="6" w:space="0" w:color="auto"/>
              <w:bottom w:val="nil" w:sz="6" w:space="0" w:color="auto"/>
              <w:right w:val="nil" w:sz="6" w:space="0" w:color="auto"/>
            </w:tcBorders>
          </w:tcPr>
          <w:p>
            <w:pPr>
              <w:pStyle w:val="TableParagraph"/>
              <w:tabs>
                <w:tab w:pos="825" w:val="left" w:leader="none"/>
                <w:tab w:pos="2361" w:val="left" w:leader="none"/>
              </w:tabs>
              <w:spacing w:line="240" w:lineRule="auto" w:before="26"/>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3,052,358,290</w:t>
              <w:tab/>
            </w:r>
            <w:r>
              <w:rPr>
                <w:rFonts w:ascii="Arial"/>
                <w:spacing w:val="-1"/>
                <w:sz w:val="22"/>
              </w:rPr>
            </w:r>
          </w:p>
        </w:tc>
        <w:tc>
          <w:tcPr>
            <w:tcW w:w="113" w:type="dxa"/>
            <w:tcBorders>
              <w:top w:val="nil" w:sz="6" w:space="0" w:color="auto"/>
              <w:left w:val="nil" w:sz="6" w:space="0" w:color="auto"/>
              <w:bottom w:val="nil" w:sz="6" w:space="0" w:color="auto"/>
              <w:right w:val="nil" w:sz="6" w:space="0" w:color="auto"/>
            </w:tcBorders>
          </w:tcPr>
          <w:p>
            <w:pPr/>
          </w:p>
        </w:tc>
        <w:tc>
          <w:tcPr>
            <w:tcW w:w="2177" w:type="dxa"/>
            <w:tcBorders>
              <w:top w:val="nil" w:sz="6" w:space="0" w:color="auto"/>
              <w:left w:val="nil" w:sz="6" w:space="0" w:color="auto"/>
              <w:bottom w:val="nil" w:sz="6" w:space="0" w:color="auto"/>
              <w:right w:val="nil" w:sz="6" w:space="0" w:color="auto"/>
            </w:tcBorders>
          </w:tcPr>
          <w:p>
            <w:pPr>
              <w:pStyle w:val="TableParagraph"/>
              <w:tabs>
                <w:tab w:pos="710" w:val="left" w:leader="none"/>
              </w:tabs>
              <w:spacing w:line="240" w:lineRule="auto" w:before="26"/>
              <w:ind w:right="48"/>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3,397,762,622</w:t>
            </w:r>
            <w:r>
              <w:rPr>
                <w:rFonts w:ascii="Arial"/>
                <w:spacing w:val="-1"/>
                <w:sz w:val="22"/>
              </w:rPr>
            </w:r>
          </w:p>
        </w:tc>
      </w:tr>
      <w:tr>
        <w:trPr>
          <w:trHeight w:val="436" w:hRule="exact"/>
        </w:trPr>
        <w:tc>
          <w:tcPr>
            <w:tcW w:w="3478" w:type="dxa"/>
            <w:tcBorders>
              <w:top w:val="nil" w:sz="6" w:space="0" w:color="auto"/>
              <w:left w:val="nil" w:sz="6" w:space="0" w:color="auto"/>
              <w:bottom w:val="nil" w:sz="6" w:space="0" w:color="auto"/>
              <w:right w:val="nil" w:sz="6" w:space="0" w:color="auto"/>
            </w:tcBorders>
          </w:tcPr>
          <w:p>
            <w:pPr>
              <w:pStyle w:val="TableParagraph"/>
              <w:spacing w:line="240" w:lineRule="auto" w:before="90"/>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1080" w:type="dxa"/>
            <w:tcBorders>
              <w:top w:val="nil" w:sz="6" w:space="0" w:color="auto"/>
              <w:left w:val="nil" w:sz="6" w:space="0" w:color="auto"/>
              <w:bottom w:val="nil" w:sz="6" w:space="0" w:color="auto"/>
              <w:right w:val="nil" w:sz="6" w:space="0" w:color="auto"/>
            </w:tcBorders>
          </w:tcPr>
          <w:p>
            <w:pPr/>
          </w:p>
        </w:tc>
        <w:tc>
          <w:tcPr>
            <w:tcW w:w="2362" w:type="dxa"/>
            <w:tcBorders>
              <w:top w:val="nil" w:sz="6" w:space="0" w:color="auto"/>
              <w:left w:val="nil" w:sz="6" w:space="0" w:color="auto"/>
              <w:bottom w:val="single" w:sz="12" w:space="0" w:color="000000"/>
              <w:right w:val="nil" w:sz="6" w:space="0" w:color="auto"/>
            </w:tcBorders>
          </w:tcPr>
          <w:p>
            <w:pPr>
              <w:pStyle w:val="TableParagraph"/>
              <w:spacing w:line="240" w:lineRule="auto" w:before="155"/>
              <w:ind w:right="123"/>
              <w:jc w:val="right"/>
              <w:rPr>
                <w:rFonts w:ascii="Arial" w:hAnsi="Arial" w:cs="Arial" w:eastAsia="Arial" w:hint="default"/>
                <w:sz w:val="22"/>
                <w:szCs w:val="22"/>
              </w:rPr>
            </w:pPr>
            <w:r>
              <w:rPr>
                <w:rFonts w:ascii="Arial"/>
                <w:sz w:val="22"/>
              </w:rPr>
              <w:t>12,047,049,957</w:t>
            </w:r>
          </w:p>
        </w:tc>
        <w:tc>
          <w:tcPr>
            <w:tcW w:w="113" w:type="dxa"/>
            <w:tcBorders>
              <w:top w:val="nil" w:sz="6" w:space="0" w:color="auto"/>
              <w:left w:val="nil" w:sz="6" w:space="0" w:color="auto"/>
              <w:bottom w:val="nil" w:sz="6" w:space="0" w:color="auto"/>
              <w:right w:val="nil" w:sz="6" w:space="0" w:color="auto"/>
            </w:tcBorders>
          </w:tcPr>
          <w:p>
            <w:pPr/>
          </w:p>
        </w:tc>
        <w:tc>
          <w:tcPr>
            <w:tcW w:w="2177" w:type="dxa"/>
            <w:tcBorders>
              <w:top w:val="nil" w:sz="6" w:space="0" w:color="auto"/>
              <w:left w:val="nil" w:sz="6" w:space="0" w:color="auto"/>
              <w:bottom w:val="single" w:sz="17" w:space="0" w:color="000000"/>
              <w:right w:val="nil" w:sz="6" w:space="0" w:color="auto"/>
            </w:tcBorders>
          </w:tcPr>
          <w:p>
            <w:pPr>
              <w:pStyle w:val="TableParagraph"/>
              <w:spacing w:line="240" w:lineRule="auto" w:before="155"/>
              <w:ind w:right="48"/>
              <w:jc w:val="right"/>
              <w:rPr>
                <w:rFonts w:ascii="Arial" w:hAnsi="Arial" w:cs="Arial" w:eastAsia="Arial" w:hint="default"/>
                <w:sz w:val="22"/>
                <w:szCs w:val="22"/>
              </w:rPr>
            </w:pPr>
            <w:r>
              <w:rPr>
                <w:rFonts w:ascii="Arial"/>
                <w:spacing w:val="-1"/>
                <w:sz w:val="22"/>
              </w:rPr>
              <w:t>3,397,762,622</w:t>
            </w:r>
          </w:p>
        </w:tc>
      </w:tr>
    </w:tbl>
    <w:p>
      <w:pPr>
        <w:spacing w:line="240" w:lineRule="auto" w:before="2"/>
        <w:rPr>
          <w:rFonts w:ascii="宋体" w:hAnsi="宋体" w:cs="宋体" w:eastAsia="宋体" w:hint="default"/>
          <w:sz w:val="14"/>
          <w:szCs w:val="14"/>
        </w:rPr>
      </w:pPr>
    </w:p>
    <w:p>
      <w:pPr>
        <w:pStyle w:val="BodyText"/>
        <w:spacing w:line="284" w:lineRule="exact" w:before="62"/>
        <w:ind w:left="573" w:right="184"/>
        <w:jc w:val="both"/>
      </w:pPr>
      <w:r>
        <w:rPr/>
        <w:t>注</w:t>
      </w:r>
      <w:r>
        <w:rPr>
          <w:spacing w:val="-52"/>
        </w:rPr>
        <w:t> </w:t>
      </w:r>
      <w:r>
        <w:rPr>
          <w:rFonts w:ascii="Arial" w:hAnsi="Arial" w:cs="Arial" w:eastAsia="Arial" w:hint="default"/>
          <w:spacing w:val="-27"/>
        </w:rPr>
        <w:t>1</w:t>
      </w:r>
      <w:r>
        <w:rPr>
          <w:spacing w:val="-27"/>
        </w:rPr>
        <w:t>：于</w:t>
      </w:r>
      <w:r>
        <w:rPr>
          <w:spacing w:val="-52"/>
        </w:rPr>
        <w:t> </w:t>
      </w:r>
      <w:r>
        <w:rPr>
          <w:rFonts w:ascii="Arial" w:hAnsi="Arial" w:cs="Arial" w:eastAsia="Arial" w:hint="default"/>
        </w:rPr>
        <w:t>2019 </w:t>
      </w:r>
      <w:r>
        <w:rPr/>
        <w:t>年</w:t>
      </w:r>
      <w:r>
        <w:rPr>
          <w:spacing w:val="-52"/>
        </w:rPr>
        <w:t> </w:t>
      </w:r>
      <w:r>
        <w:rPr>
          <w:rFonts w:ascii="Arial" w:hAnsi="Arial" w:cs="Arial" w:eastAsia="Arial" w:hint="default"/>
        </w:rPr>
        <w:t>12 </w:t>
      </w:r>
      <w:r>
        <w:rPr/>
        <w:t>月</w:t>
      </w:r>
      <w:r>
        <w:rPr>
          <w:spacing w:val="-52"/>
        </w:rPr>
        <w:t> </w:t>
      </w:r>
      <w:r>
        <w:rPr>
          <w:rFonts w:ascii="Arial" w:hAnsi="Arial" w:cs="Arial" w:eastAsia="Arial" w:hint="default"/>
        </w:rPr>
        <w:t>31 </w:t>
      </w:r>
      <w:r>
        <w:rPr>
          <w:spacing w:val="-4"/>
        </w:rPr>
        <w:t>日，本集团根据历史经验估计用户购买不同税率服务及商品的情况，</w:t>
      </w:r>
      <w:r>
        <w:rPr>
          <w:w w:val="100"/>
        </w:rPr>
        <w:t> </w:t>
      </w:r>
      <w:r>
        <w:rPr>
          <w:spacing w:val="-1"/>
        </w:rPr>
        <w:t>将估计的已收对价中增值税部分确认为待转销项税额，已收对价的剩余价款部分确认为合同负</w:t>
      </w:r>
      <w:r>
        <w:rPr>
          <w:spacing w:val="-62"/>
        </w:rPr>
        <w:t> </w:t>
      </w:r>
      <w:r>
        <w:rPr>
          <w:spacing w:val="-62"/>
        </w:rPr>
      </w:r>
      <w:r>
        <w:rPr/>
        <w:t>债（附注五</w:t>
      </w:r>
      <w:r>
        <w:rPr>
          <w:rFonts w:ascii="Arial" w:hAnsi="Arial" w:cs="Arial" w:eastAsia="Arial" w:hint="default"/>
        </w:rPr>
        <w:t>(20)</w:t>
      </w:r>
      <w:r>
        <w:rPr/>
        <w:t>）。</w:t>
      </w:r>
    </w:p>
    <w:p>
      <w:pPr>
        <w:spacing w:after="0" w:line="284" w:lineRule="exact"/>
        <w:jc w:val="both"/>
        <w:sectPr>
          <w:headerReference w:type="default" r:id="rId177"/>
          <w:pgSz w:w="11910" w:h="16840"/>
          <w:pgMar w:header="1188" w:footer="502" w:top="3600" w:bottom="700" w:left="1020" w:right="1100"/>
        </w:sectPr>
      </w:pPr>
    </w:p>
    <w:p>
      <w:pPr>
        <w:pStyle w:val="BodyText"/>
        <w:spacing w:line="240" w:lineRule="auto" w:before="12"/>
        <w:ind w:left="147" w:right="10664"/>
        <w:jc w:val="left"/>
        <w:rPr>
          <w:rFonts w:ascii="黑体" w:hAnsi="黑体" w:cs="黑体" w:eastAsia="黑体" w:hint="default"/>
        </w:rPr>
      </w:pPr>
      <w:r>
        <w:rPr>
          <w:rFonts w:ascii="黑体" w:hAnsi="黑体" w:cs="黑体" w:eastAsia="黑体" w:hint="default"/>
        </w:rPr>
        <w:t>中国联合网络通信股份有限公司</w:t>
      </w:r>
    </w:p>
    <w:p>
      <w:pPr>
        <w:spacing w:line="240" w:lineRule="auto" w:before="1"/>
        <w:rPr>
          <w:rFonts w:ascii="黑体" w:hAnsi="黑体" w:cs="黑体" w:eastAsia="黑体" w:hint="default"/>
          <w:sz w:val="19"/>
          <w:szCs w:val="19"/>
        </w:rPr>
      </w:pPr>
    </w:p>
    <w:p>
      <w:pPr>
        <w:pStyle w:val="BodyText"/>
        <w:spacing w:line="240" w:lineRule="auto"/>
        <w:ind w:left="148" w:right="10664"/>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left="148" w:right="10664"/>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448" w:lineRule="auto"/>
        <w:ind w:left="114" w:right="10664" w:firstLine="33"/>
        <w:jc w:val="left"/>
      </w:pPr>
      <w:r>
        <w:rPr>
          <w:rFonts w:ascii="黑体" w:hAnsi="黑体" w:cs="黑体" w:eastAsia="黑体" w:hint="default"/>
          <w:spacing w:val="-1"/>
        </w:rPr>
        <w:t>（除特别注明外，金额单位为人民币元）</w:t>
      </w:r>
      <w:r>
        <w:rPr>
          <w:rFonts w:ascii="黑体" w:hAnsi="黑体" w:cs="黑体" w:eastAsia="黑体" w:hint="default"/>
          <w:w w:val="100"/>
        </w:rPr>
        <w:t> </w:t>
      </w:r>
      <w:r>
        <w:rPr>
          <w:rFonts w:ascii="黑体" w:hAnsi="黑体" w:cs="黑体" w:eastAsia="黑体" w:hint="default"/>
        </w:rPr>
        <w:t>五</w:t>
      </w:r>
      <w:r>
        <w:rPr>
          <w:rFonts w:ascii="黑体" w:hAnsi="黑体" w:cs="黑体" w:eastAsia="黑体" w:hint="default"/>
          <w:spacing w:val="54"/>
        </w:rPr>
        <w:t> </w:t>
      </w:r>
      <w:r>
        <w:rPr>
          <w:rFonts w:ascii="黑体" w:hAnsi="黑体" w:cs="黑体" w:eastAsia="黑体" w:hint="default"/>
        </w:rPr>
        <w:t>合并财务报表项目附注（续）</w:t>
      </w:r>
      <w:r>
        <w:rPr>
          <w:rFonts w:ascii="黑体" w:hAnsi="黑体" w:cs="黑体" w:eastAsia="黑体" w:hint="default"/>
          <w:spacing w:val="-105"/>
        </w:rPr>
        <w:t> </w:t>
      </w:r>
      <w:r>
        <w:rPr>
          <w:rFonts w:ascii="黑体" w:hAnsi="黑体" w:cs="黑体" w:eastAsia="黑体" w:hint="default"/>
          <w:spacing w:val="-105"/>
        </w:rPr>
      </w:r>
      <w:r>
        <w:rPr>
          <w:rFonts w:ascii="Arial" w:hAnsi="Arial" w:cs="Arial" w:eastAsia="Arial" w:hint="default"/>
        </w:rPr>
        <w:t>25</w:t>
      </w:r>
      <w:r>
        <w:rPr/>
        <w:t>、其他流动负债（续）</w:t>
      </w:r>
    </w:p>
    <w:p>
      <w:pPr>
        <w:pStyle w:val="BodyText"/>
        <w:spacing w:line="240" w:lineRule="auto" w:before="20"/>
        <w:ind w:left="536" w:right="10664"/>
        <w:jc w:val="left"/>
      </w:pPr>
      <w:r>
        <w:rPr/>
        <w:t>短期债券的增减变动</w:t>
      </w:r>
    </w:p>
    <w:p>
      <w:pPr>
        <w:spacing w:line="240" w:lineRule="auto" w:before="2"/>
        <w:rPr>
          <w:rFonts w:ascii="宋体" w:hAnsi="宋体" w:cs="宋体" w:eastAsia="宋体" w:hint="default"/>
          <w:sz w:val="22"/>
          <w:szCs w:val="22"/>
        </w:rPr>
      </w:pPr>
    </w:p>
    <w:tbl>
      <w:tblPr>
        <w:tblW w:w="0" w:type="auto"/>
        <w:jc w:val="left"/>
        <w:tblInd w:w="551" w:type="dxa"/>
        <w:tblLayout w:type="fixed"/>
        <w:tblCellMar>
          <w:top w:w="0" w:type="dxa"/>
          <w:left w:w="0" w:type="dxa"/>
          <w:bottom w:w="0" w:type="dxa"/>
          <w:right w:w="0" w:type="dxa"/>
        </w:tblCellMar>
        <w:tblLook w:val="01E0"/>
      </w:tblPr>
      <w:tblGrid>
        <w:gridCol w:w="2179"/>
        <w:gridCol w:w="720"/>
        <w:gridCol w:w="134"/>
        <w:gridCol w:w="1421"/>
        <w:gridCol w:w="110"/>
        <w:gridCol w:w="744"/>
        <w:gridCol w:w="120"/>
        <w:gridCol w:w="792"/>
        <w:gridCol w:w="154"/>
        <w:gridCol w:w="763"/>
        <w:gridCol w:w="118"/>
        <w:gridCol w:w="890"/>
        <w:gridCol w:w="101"/>
        <w:gridCol w:w="1301"/>
        <w:gridCol w:w="146"/>
        <w:gridCol w:w="1087"/>
        <w:gridCol w:w="137"/>
        <w:gridCol w:w="943"/>
        <w:gridCol w:w="137"/>
        <w:gridCol w:w="737"/>
        <w:gridCol w:w="137"/>
        <w:gridCol w:w="1423"/>
      </w:tblGrid>
      <w:tr>
        <w:trPr>
          <w:trHeight w:val="395" w:hRule="exact"/>
        </w:trPr>
        <w:tc>
          <w:tcPr>
            <w:tcW w:w="2179"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36" w:right="0"/>
              <w:jc w:val="left"/>
              <w:rPr>
                <w:rFonts w:ascii="宋体" w:hAnsi="宋体" w:cs="宋体" w:eastAsia="宋体" w:hint="default"/>
                <w:sz w:val="16"/>
                <w:szCs w:val="16"/>
              </w:rPr>
            </w:pPr>
            <w:r>
              <w:rPr>
                <w:rFonts w:ascii="宋体" w:hAnsi="宋体" w:cs="宋体" w:eastAsia="宋体" w:hint="default"/>
                <w:sz w:val="16"/>
                <w:szCs w:val="16"/>
              </w:rPr>
              <w:t>债券名称（注</w:t>
            </w:r>
            <w:r>
              <w:rPr>
                <w:rFonts w:ascii="宋体" w:hAnsi="宋体" w:cs="宋体" w:eastAsia="宋体" w:hint="default"/>
                <w:spacing w:val="-48"/>
                <w:sz w:val="16"/>
                <w:szCs w:val="16"/>
              </w:rPr>
              <w:t> </w:t>
            </w:r>
            <w:r>
              <w:rPr>
                <w:rFonts w:ascii="Arial" w:hAnsi="Arial" w:cs="Arial" w:eastAsia="Arial" w:hint="default"/>
                <w:sz w:val="16"/>
                <w:szCs w:val="16"/>
              </w:rPr>
              <w:t>2</w:t>
            </w:r>
            <w:r>
              <w:rPr>
                <w:rFonts w:ascii="宋体" w:hAnsi="宋体" w:cs="宋体" w:eastAsia="宋体" w:hint="default"/>
                <w:sz w:val="16"/>
                <w:szCs w:val="16"/>
              </w:rPr>
              <w:t>）</w:t>
            </w:r>
          </w:p>
        </w:tc>
        <w:tc>
          <w:tcPr>
            <w:tcW w:w="720"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16" w:right="0"/>
              <w:jc w:val="left"/>
              <w:rPr>
                <w:rFonts w:ascii="宋体" w:hAnsi="宋体" w:cs="宋体" w:eastAsia="宋体" w:hint="default"/>
                <w:sz w:val="16"/>
                <w:szCs w:val="16"/>
              </w:rPr>
            </w:pPr>
            <w:r>
              <w:rPr>
                <w:rFonts w:ascii="宋体" w:hAnsi="宋体" w:cs="宋体" w:eastAsia="宋体" w:hint="default"/>
                <w:sz w:val="16"/>
                <w:szCs w:val="16"/>
              </w:rPr>
              <w:t>面值</w:t>
            </w:r>
          </w:p>
        </w:tc>
        <w:tc>
          <w:tcPr>
            <w:tcW w:w="134"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38" w:right="0"/>
              <w:jc w:val="center"/>
              <w:rPr>
                <w:rFonts w:ascii="宋体" w:hAnsi="宋体" w:cs="宋体" w:eastAsia="宋体" w:hint="default"/>
                <w:sz w:val="16"/>
                <w:szCs w:val="16"/>
              </w:rPr>
            </w:pPr>
            <w:r>
              <w:rPr>
                <w:rFonts w:ascii="宋体" w:hAnsi="宋体" w:cs="宋体" w:eastAsia="宋体" w:hint="default"/>
                <w:sz w:val="16"/>
                <w:szCs w:val="16"/>
              </w:rPr>
              <w:t>发行日期</w:t>
            </w:r>
          </w:p>
        </w:tc>
        <w:tc>
          <w:tcPr>
            <w:tcW w:w="110" w:type="dxa"/>
            <w:tcBorders>
              <w:top w:val="nil" w:sz="6" w:space="0" w:color="auto"/>
              <w:left w:val="nil" w:sz="6" w:space="0" w:color="auto"/>
              <w:bottom w:val="nil" w:sz="6" w:space="0" w:color="auto"/>
              <w:right w:val="nil" w:sz="6" w:space="0" w:color="auto"/>
            </w:tcBorders>
          </w:tcPr>
          <w:p>
            <w:pPr/>
          </w:p>
        </w:tc>
        <w:tc>
          <w:tcPr>
            <w:tcW w:w="744"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36"/>
              <w:jc w:val="right"/>
              <w:rPr>
                <w:rFonts w:ascii="宋体" w:hAnsi="宋体" w:cs="宋体" w:eastAsia="宋体" w:hint="default"/>
                <w:sz w:val="16"/>
                <w:szCs w:val="16"/>
              </w:rPr>
            </w:pPr>
            <w:r>
              <w:rPr>
                <w:rFonts w:ascii="宋体" w:hAnsi="宋体" w:cs="宋体" w:eastAsia="宋体" w:hint="default"/>
                <w:w w:val="95"/>
                <w:sz w:val="16"/>
                <w:szCs w:val="16"/>
              </w:rPr>
              <w:t>债券期限</w:t>
            </w:r>
            <w:r>
              <w:rPr>
                <w:rFonts w:ascii="宋体" w:hAnsi="宋体" w:cs="宋体" w:eastAsia="宋体" w:hint="default"/>
                <w:sz w:val="16"/>
                <w:szCs w:val="16"/>
              </w:rPr>
            </w:r>
          </w:p>
        </w:tc>
        <w:tc>
          <w:tcPr>
            <w:tcW w:w="120" w:type="dxa"/>
            <w:tcBorders>
              <w:top w:val="nil" w:sz="6" w:space="0" w:color="auto"/>
              <w:left w:val="nil" w:sz="6" w:space="0" w:color="auto"/>
              <w:bottom w:val="nil" w:sz="6" w:space="0" w:color="auto"/>
              <w:right w:val="nil" w:sz="6" w:space="0" w:color="auto"/>
            </w:tcBorders>
          </w:tcPr>
          <w:p>
            <w:pPr/>
          </w:p>
        </w:tc>
        <w:tc>
          <w:tcPr>
            <w:tcW w:w="792"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65"/>
              <w:jc w:val="right"/>
              <w:rPr>
                <w:rFonts w:ascii="宋体" w:hAnsi="宋体" w:cs="宋体" w:eastAsia="宋体" w:hint="default"/>
                <w:sz w:val="16"/>
                <w:szCs w:val="16"/>
              </w:rPr>
            </w:pPr>
            <w:r>
              <w:rPr>
                <w:rFonts w:ascii="宋体" w:hAnsi="宋体" w:cs="宋体" w:eastAsia="宋体" w:hint="default"/>
                <w:w w:val="95"/>
                <w:sz w:val="16"/>
                <w:szCs w:val="16"/>
              </w:rPr>
              <w:t>票面利率</w:t>
            </w:r>
            <w:r>
              <w:rPr>
                <w:rFonts w:ascii="宋体" w:hAnsi="宋体" w:cs="宋体" w:eastAsia="宋体" w:hint="default"/>
                <w:sz w:val="16"/>
                <w:szCs w:val="16"/>
              </w:rPr>
            </w:r>
          </w:p>
        </w:tc>
        <w:tc>
          <w:tcPr>
            <w:tcW w:w="154" w:type="dxa"/>
            <w:tcBorders>
              <w:top w:val="nil" w:sz="6" w:space="0" w:color="auto"/>
              <w:left w:val="nil" w:sz="6" w:space="0" w:color="auto"/>
              <w:bottom w:val="nil" w:sz="6" w:space="0" w:color="auto"/>
              <w:right w:val="nil" w:sz="6" w:space="0" w:color="auto"/>
            </w:tcBorders>
          </w:tcPr>
          <w:p>
            <w:pPr/>
          </w:p>
        </w:tc>
        <w:tc>
          <w:tcPr>
            <w:tcW w:w="763"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50"/>
              <w:jc w:val="right"/>
              <w:rPr>
                <w:rFonts w:ascii="宋体" w:hAnsi="宋体" w:cs="宋体" w:eastAsia="宋体" w:hint="default"/>
                <w:sz w:val="16"/>
                <w:szCs w:val="16"/>
              </w:rPr>
            </w:pPr>
            <w:r>
              <w:rPr>
                <w:rFonts w:ascii="宋体" w:hAnsi="宋体" w:cs="宋体" w:eastAsia="宋体" w:hint="default"/>
                <w:w w:val="95"/>
                <w:sz w:val="16"/>
                <w:szCs w:val="16"/>
              </w:rPr>
              <w:t>发行金额</w:t>
            </w:r>
            <w:r>
              <w:rPr>
                <w:rFonts w:ascii="宋体" w:hAnsi="宋体" w:cs="宋体" w:eastAsia="宋体" w:hint="default"/>
                <w:sz w:val="16"/>
                <w:szCs w:val="16"/>
              </w:rPr>
            </w:r>
          </w:p>
        </w:tc>
        <w:tc>
          <w:tcPr>
            <w:tcW w:w="118"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3"/>
              <w:jc w:val="righ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c>
        <w:tc>
          <w:tcPr>
            <w:tcW w:w="101"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2"/>
              <w:jc w:val="center"/>
              <w:rPr>
                <w:rFonts w:ascii="宋体" w:hAnsi="宋体" w:cs="宋体" w:eastAsia="宋体" w:hint="default"/>
                <w:sz w:val="16"/>
                <w:szCs w:val="16"/>
              </w:rPr>
            </w:pPr>
            <w:r>
              <w:rPr>
                <w:rFonts w:ascii="宋体" w:hAnsi="宋体" w:cs="宋体" w:eastAsia="宋体" w:hint="default"/>
                <w:sz w:val="16"/>
                <w:szCs w:val="16"/>
              </w:rPr>
              <w:t>本年发行</w:t>
            </w:r>
          </w:p>
        </w:tc>
        <w:tc>
          <w:tcPr>
            <w:tcW w:w="146"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single" w:sz="4" w:space="0" w:color="000000"/>
              <w:right w:val="nil" w:sz="6" w:space="0" w:color="auto"/>
            </w:tcBorders>
          </w:tcPr>
          <w:p>
            <w:pPr>
              <w:pStyle w:val="TableParagraph"/>
              <w:spacing w:line="157" w:lineRule="exact"/>
              <w:ind w:left="247" w:right="0" w:firstLine="81"/>
              <w:jc w:val="left"/>
              <w:rPr>
                <w:rFonts w:ascii="宋体" w:hAnsi="宋体" w:cs="宋体" w:eastAsia="宋体" w:hint="default"/>
                <w:sz w:val="16"/>
                <w:szCs w:val="16"/>
              </w:rPr>
            </w:pPr>
            <w:r>
              <w:rPr>
                <w:rFonts w:ascii="宋体" w:hAnsi="宋体" w:cs="宋体" w:eastAsia="宋体" w:hint="default"/>
                <w:sz w:val="16"/>
                <w:szCs w:val="16"/>
              </w:rPr>
              <w:t>按面值</w:t>
            </w:r>
          </w:p>
          <w:p>
            <w:pPr>
              <w:pStyle w:val="TableParagraph"/>
              <w:spacing w:line="208" w:lineRule="exact"/>
              <w:ind w:left="247" w:right="0"/>
              <w:jc w:val="left"/>
              <w:rPr>
                <w:rFonts w:ascii="宋体" w:hAnsi="宋体" w:cs="宋体" w:eastAsia="宋体" w:hint="default"/>
                <w:sz w:val="16"/>
                <w:szCs w:val="16"/>
              </w:rPr>
            </w:pPr>
            <w:r>
              <w:rPr>
                <w:rFonts w:ascii="宋体" w:hAnsi="宋体" w:cs="宋体" w:eastAsia="宋体" w:hint="default"/>
                <w:sz w:val="16"/>
                <w:szCs w:val="16"/>
              </w:rPr>
              <w:t>计提利息</w:t>
            </w:r>
          </w:p>
        </w:tc>
        <w:tc>
          <w:tcPr>
            <w:tcW w:w="137" w:type="dxa"/>
            <w:tcBorders>
              <w:top w:val="nil" w:sz="6" w:space="0" w:color="auto"/>
              <w:left w:val="nil" w:sz="6" w:space="0" w:color="auto"/>
              <w:bottom w:val="nil" w:sz="6" w:space="0" w:color="auto"/>
              <w:right w:val="nil" w:sz="6" w:space="0" w:color="auto"/>
            </w:tcBorders>
          </w:tcPr>
          <w:p>
            <w:pPr/>
          </w:p>
        </w:tc>
        <w:tc>
          <w:tcPr>
            <w:tcW w:w="943"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5"/>
              <w:jc w:val="center"/>
              <w:rPr>
                <w:rFonts w:ascii="宋体" w:hAnsi="宋体" w:cs="宋体" w:eastAsia="宋体" w:hint="default"/>
                <w:sz w:val="16"/>
                <w:szCs w:val="16"/>
              </w:rPr>
            </w:pPr>
            <w:r>
              <w:rPr>
                <w:rFonts w:ascii="宋体" w:hAnsi="宋体" w:cs="宋体" w:eastAsia="宋体" w:hint="default"/>
                <w:sz w:val="16"/>
                <w:szCs w:val="16"/>
              </w:rPr>
              <w:t>折溢价摊销</w:t>
            </w:r>
          </w:p>
        </w:tc>
        <w:tc>
          <w:tcPr>
            <w:tcW w:w="137"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6" w:right="0"/>
              <w:jc w:val="left"/>
              <w:rPr>
                <w:rFonts w:ascii="宋体" w:hAnsi="宋体" w:cs="宋体" w:eastAsia="宋体" w:hint="default"/>
                <w:sz w:val="16"/>
                <w:szCs w:val="16"/>
              </w:rPr>
            </w:pPr>
            <w:r>
              <w:rPr>
                <w:rFonts w:ascii="宋体" w:hAnsi="宋体" w:cs="宋体" w:eastAsia="宋体" w:hint="default"/>
                <w:sz w:val="16"/>
                <w:szCs w:val="16"/>
              </w:rPr>
              <w:t>本年偿还</w:t>
            </w:r>
          </w:p>
        </w:tc>
        <w:tc>
          <w:tcPr>
            <w:tcW w:w="137"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60" w:right="0"/>
              <w:jc w:val="left"/>
              <w:rPr>
                <w:rFonts w:ascii="宋体" w:hAnsi="宋体" w:cs="宋体" w:eastAsia="宋体" w:hint="default"/>
                <w:sz w:val="16"/>
                <w:szCs w:val="16"/>
              </w:rPr>
            </w:pPr>
            <w:r>
              <w:rPr>
                <w:rFonts w:ascii="宋体" w:hAnsi="宋体" w:cs="宋体" w:eastAsia="宋体" w:hint="default"/>
                <w:sz w:val="16"/>
                <w:szCs w:val="16"/>
              </w:rPr>
              <w:t>年末余额（注</w:t>
            </w:r>
            <w:r>
              <w:rPr>
                <w:rFonts w:ascii="宋体" w:hAnsi="宋体" w:cs="宋体" w:eastAsia="宋体" w:hint="default"/>
                <w:spacing w:val="-48"/>
                <w:sz w:val="16"/>
                <w:szCs w:val="16"/>
              </w:rPr>
              <w:t> </w:t>
            </w:r>
            <w:r>
              <w:rPr>
                <w:rFonts w:ascii="Arial" w:hAnsi="Arial" w:cs="Arial" w:eastAsia="Arial" w:hint="default"/>
                <w:sz w:val="16"/>
                <w:szCs w:val="16"/>
              </w:rPr>
              <w:t>3</w:t>
            </w:r>
            <w:r>
              <w:rPr>
                <w:rFonts w:ascii="宋体" w:hAnsi="宋体" w:cs="宋体" w:eastAsia="宋体" w:hint="default"/>
                <w:sz w:val="16"/>
                <w:szCs w:val="16"/>
              </w:rPr>
              <w:t>）</w:t>
            </w:r>
          </w:p>
        </w:tc>
      </w:tr>
      <w:tr>
        <w:trPr>
          <w:trHeight w:val="425" w:hRule="exact"/>
        </w:trPr>
        <w:tc>
          <w:tcPr>
            <w:tcW w:w="2179" w:type="dxa"/>
            <w:tcBorders>
              <w:top w:val="single" w:sz="4" w:space="0" w:color="000000"/>
              <w:left w:val="nil" w:sz="6" w:space="0" w:color="auto"/>
              <w:bottom w:val="nil" w:sz="6" w:space="0" w:color="auto"/>
              <w:right w:val="nil" w:sz="6" w:space="0" w:color="auto"/>
            </w:tcBorders>
          </w:tcPr>
          <w:p>
            <w:pPr>
              <w:pStyle w:val="TableParagraph"/>
              <w:spacing w:line="240" w:lineRule="auto" w:before="139"/>
              <w:ind w:right="0"/>
              <w:jc w:val="left"/>
              <w:rPr>
                <w:rFonts w:ascii="宋体" w:hAnsi="宋体" w:cs="宋体" w:eastAsia="宋体" w:hint="default"/>
                <w:sz w:val="16"/>
                <w:szCs w:val="16"/>
              </w:rPr>
            </w:pPr>
            <w:r>
              <w:rPr>
                <w:rFonts w:ascii="Arial" w:hAnsi="Arial" w:cs="Arial" w:eastAsia="Arial" w:hint="default"/>
                <w:sz w:val="16"/>
                <w:szCs w:val="16"/>
              </w:rPr>
              <w:t>2019</w:t>
            </w:r>
            <w:r>
              <w:rPr>
                <w:rFonts w:ascii="Arial" w:hAnsi="Arial" w:cs="Arial" w:eastAsia="Arial" w:hint="default"/>
                <w:spacing w:val="-14"/>
                <w:sz w:val="16"/>
                <w:szCs w:val="16"/>
              </w:rPr>
              <w:t> </w:t>
            </w:r>
            <w:r>
              <w:rPr>
                <w:rFonts w:ascii="宋体" w:hAnsi="宋体" w:cs="宋体" w:eastAsia="宋体" w:hint="default"/>
                <w:sz w:val="16"/>
                <w:szCs w:val="16"/>
              </w:rPr>
              <w:t>年度第一期超短期融资券</w:t>
            </w:r>
          </w:p>
        </w:tc>
        <w:tc>
          <w:tcPr>
            <w:tcW w:w="720" w:type="dxa"/>
            <w:tcBorders>
              <w:top w:val="single" w:sz="4" w:space="0" w:color="000000"/>
              <w:left w:val="nil" w:sz="6" w:space="0" w:color="auto"/>
              <w:bottom w:val="nil" w:sz="6" w:space="0" w:color="auto"/>
              <w:right w:val="nil" w:sz="6" w:space="0" w:color="auto"/>
            </w:tcBorders>
          </w:tcPr>
          <w:p>
            <w:pPr>
              <w:pStyle w:val="TableParagraph"/>
              <w:spacing w:line="240" w:lineRule="auto" w:before="139"/>
              <w:ind w:left="177" w:right="0"/>
              <w:jc w:val="left"/>
              <w:rPr>
                <w:rFonts w:ascii="宋体" w:hAnsi="宋体" w:cs="宋体" w:eastAsia="宋体" w:hint="default"/>
                <w:sz w:val="16"/>
                <w:szCs w:val="16"/>
              </w:rPr>
            </w:pPr>
            <w:r>
              <w:rPr>
                <w:rFonts w:ascii="Arial" w:hAnsi="Arial" w:cs="Arial" w:eastAsia="Arial" w:hint="default"/>
                <w:sz w:val="16"/>
                <w:szCs w:val="16"/>
              </w:rPr>
              <w:t>50</w:t>
            </w:r>
            <w:r>
              <w:rPr>
                <w:rFonts w:ascii="Arial" w:hAnsi="Arial" w:cs="Arial" w:eastAsia="Arial" w:hint="default"/>
                <w:spacing w:val="-10"/>
                <w:sz w:val="16"/>
                <w:szCs w:val="16"/>
              </w:rPr>
              <w:t> </w:t>
            </w:r>
            <w:r>
              <w:rPr>
                <w:rFonts w:ascii="宋体" w:hAnsi="宋体" w:cs="宋体" w:eastAsia="宋体" w:hint="default"/>
                <w:sz w:val="16"/>
                <w:szCs w:val="16"/>
              </w:rPr>
              <w:t>亿元</w:t>
            </w:r>
          </w:p>
        </w:tc>
        <w:tc>
          <w:tcPr>
            <w:tcW w:w="134" w:type="dxa"/>
            <w:tcBorders>
              <w:top w:val="nil" w:sz="6" w:space="0" w:color="auto"/>
              <w:left w:val="nil" w:sz="6" w:space="0" w:color="auto"/>
              <w:bottom w:val="nil" w:sz="6" w:space="0" w:color="auto"/>
              <w:right w:val="nil" w:sz="6" w:space="0" w:color="auto"/>
            </w:tcBorders>
          </w:tcPr>
          <w:p>
            <w:pPr/>
          </w:p>
        </w:tc>
        <w:tc>
          <w:tcPr>
            <w:tcW w:w="1421" w:type="dxa"/>
            <w:tcBorders>
              <w:top w:val="single" w:sz="4" w:space="0" w:color="000000"/>
              <w:left w:val="nil" w:sz="6" w:space="0" w:color="auto"/>
              <w:bottom w:val="nil" w:sz="6" w:space="0" w:color="auto"/>
              <w:right w:val="nil" w:sz="6" w:space="0" w:color="auto"/>
            </w:tcBorders>
          </w:tcPr>
          <w:p>
            <w:pPr>
              <w:pStyle w:val="TableParagraph"/>
              <w:spacing w:line="240" w:lineRule="auto" w:before="139"/>
              <w:ind w:left="24" w:right="0"/>
              <w:jc w:val="center"/>
              <w:rPr>
                <w:rFonts w:ascii="宋体" w:hAnsi="宋体" w:cs="宋体" w:eastAsia="宋体" w:hint="default"/>
                <w:sz w:val="16"/>
                <w:szCs w:val="16"/>
              </w:rPr>
            </w:pPr>
            <w:r>
              <w:rPr>
                <w:rFonts w:ascii="Arial" w:hAnsi="Arial" w:cs="Arial" w:eastAsia="Arial" w:hint="default"/>
                <w:sz w:val="16"/>
                <w:szCs w:val="16"/>
              </w:rPr>
              <w:t>2019</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39"/>
                <w:sz w:val="16"/>
                <w:szCs w:val="16"/>
              </w:rPr>
              <w:t> </w:t>
            </w:r>
            <w:r>
              <w:rPr>
                <w:rFonts w:ascii="Arial" w:hAnsi="Arial" w:cs="Arial" w:eastAsia="Arial" w:hint="default"/>
                <w:sz w:val="16"/>
                <w:szCs w:val="16"/>
              </w:rPr>
              <w:t>10</w:t>
            </w:r>
            <w:r>
              <w:rPr>
                <w:rFonts w:ascii="Arial" w:hAnsi="Arial" w:cs="Arial" w:eastAsia="Arial" w:hint="default"/>
                <w:spacing w:val="-10"/>
                <w:sz w:val="16"/>
                <w:szCs w:val="16"/>
              </w:rPr>
              <w:t> </w:t>
            </w:r>
            <w:r>
              <w:rPr>
                <w:rFonts w:ascii="宋体" w:hAnsi="宋体" w:cs="宋体" w:eastAsia="宋体" w:hint="default"/>
                <w:sz w:val="16"/>
                <w:szCs w:val="16"/>
              </w:rPr>
              <w:t>月</w:t>
            </w:r>
            <w:r>
              <w:rPr>
                <w:rFonts w:ascii="宋体" w:hAnsi="宋体" w:cs="宋体" w:eastAsia="宋体" w:hint="default"/>
                <w:spacing w:val="-39"/>
                <w:sz w:val="16"/>
                <w:szCs w:val="16"/>
              </w:rPr>
              <w:t> </w:t>
            </w:r>
            <w:r>
              <w:rPr>
                <w:rFonts w:ascii="Arial" w:hAnsi="Arial" w:cs="Arial" w:eastAsia="Arial" w:hint="default"/>
                <w:sz w:val="16"/>
                <w:szCs w:val="16"/>
              </w:rPr>
              <w:t>25</w:t>
            </w:r>
            <w:r>
              <w:rPr>
                <w:rFonts w:ascii="Arial" w:hAnsi="Arial" w:cs="Arial" w:eastAsia="Arial" w:hint="default"/>
                <w:spacing w:val="-10"/>
                <w:sz w:val="16"/>
                <w:szCs w:val="16"/>
              </w:rPr>
              <w:t> </w:t>
            </w:r>
            <w:r>
              <w:rPr>
                <w:rFonts w:ascii="宋体" w:hAnsi="宋体" w:cs="宋体" w:eastAsia="宋体" w:hint="default"/>
                <w:sz w:val="16"/>
                <w:szCs w:val="16"/>
              </w:rPr>
              <w:t>日</w:t>
            </w:r>
          </w:p>
        </w:tc>
        <w:tc>
          <w:tcPr>
            <w:tcW w:w="110" w:type="dxa"/>
            <w:tcBorders>
              <w:top w:val="nil" w:sz="6" w:space="0" w:color="auto"/>
              <w:left w:val="nil" w:sz="6" w:space="0" w:color="auto"/>
              <w:bottom w:val="nil" w:sz="6" w:space="0" w:color="auto"/>
              <w:right w:val="nil" w:sz="6" w:space="0" w:color="auto"/>
            </w:tcBorders>
          </w:tcPr>
          <w:p>
            <w:pPr/>
          </w:p>
        </w:tc>
        <w:tc>
          <w:tcPr>
            <w:tcW w:w="744" w:type="dxa"/>
            <w:tcBorders>
              <w:top w:val="single" w:sz="4" w:space="0" w:color="000000"/>
              <w:left w:val="nil" w:sz="6" w:space="0" w:color="auto"/>
              <w:bottom w:val="nil" w:sz="6" w:space="0" w:color="auto"/>
              <w:right w:val="nil" w:sz="6" w:space="0" w:color="auto"/>
            </w:tcBorders>
          </w:tcPr>
          <w:p>
            <w:pPr>
              <w:pStyle w:val="TableParagraph"/>
              <w:spacing w:line="240" w:lineRule="auto" w:before="139"/>
              <w:ind w:right="7"/>
              <w:jc w:val="right"/>
              <w:rPr>
                <w:rFonts w:ascii="宋体" w:hAnsi="宋体" w:cs="宋体" w:eastAsia="宋体" w:hint="default"/>
                <w:sz w:val="16"/>
                <w:szCs w:val="16"/>
              </w:rPr>
            </w:pPr>
            <w:r>
              <w:rPr>
                <w:rFonts w:ascii="Arial" w:hAnsi="Arial" w:cs="Arial" w:eastAsia="Arial" w:hint="default"/>
                <w:sz w:val="16"/>
                <w:szCs w:val="16"/>
              </w:rPr>
              <w:t>270</w:t>
            </w:r>
            <w:r>
              <w:rPr>
                <w:rFonts w:ascii="Arial" w:hAnsi="Arial" w:cs="Arial" w:eastAsia="Arial" w:hint="default"/>
                <w:spacing w:val="-12"/>
                <w:sz w:val="16"/>
                <w:szCs w:val="16"/>
              </w:rPr>
              <w:t> </w:t>
            </w:r>
            <w:r>
              <w:rPr>
                <w:rFonts w:ascii="宋体" w:hAnsi="宋体" w:cs="宋体" w:eastAsia="宋体" w:hint="default"/>
                <w:sz w:val="16"/>
                <w:szCs w:val="16"/>
              </w:rPr>
              <w:t>天</w:t>
            </w:r>
          </w:p>
        </w:tc>
        <w:tc>
          <w:tcPr>
            <w:tcW w:w="120" w:type="dxa"/>
            <w:tcBorders>
              <w:top w:val="nil" w:sz="6" w:space="0" w:color="auto"/>
              <w:left w:val="nil" w:sz="6" w:space="0" w:color="auto"/>
              <w:bottom w:val="nil" w:sz="6" w:space="0" w:color="auto"/>
              <w:right w:val="nil" w:sz="6" w:space="0" w:color="auto"/>
            </w:tcBorders>
          </w:tcPr>
          <w:p>
            <w:pPr/>
          </w:p>
        </w:tc>
        <w:tc>
          <w:tcPr>
            <w:tcW w:w="792"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7"/>
              <w:jc w:val="right"/>
              <w:rPr>
                <w:rFonts w:ascii="Arial" w:hAnsi="Arial" w:cs="Arial" w:eastAsia="Arial" w:hint="default"/>
                <w:sz w:val="16"/>
                <w:szCs w:val="16"/>
              </w:rPr>
            </w:pPr>
            <w:r>
              <w:rPr>
                <w:rFonts w:ascii="Arial"/>
                <w:sz w:val="16"/>
              </w:rPr>
              <w:t>2.24%</w:t>
            </w:r>
          </w:p>
        </w:tc>
        <w:tc>
          <w:tcPr>
            <w:tcW w:w="154" w:type="dxa"/>
            <w:tcBorders>
              <w:top w:val="nil" w:sz="6" w:space="0" w:color="auto"/>
              <w:left w:val="nil" w:sz="6" w:space="0" w:color="auto"/>
              <w:bottom w:val="nil" w:sz="6" w:space="0" w:color="auto"/>
              <w:right w:val="nil" w:sz="6" w:space="0" w:color="auto"/>
            </w:tcBorders>
          </w:tcPr>
          <w:p>
            <w:pPr/>
          </w:p>
        </w:tc>
        <w:tc>
          <w:tcPr>
            <w:tcW w:w="763" w:type="dxa"/>
            <w:tcBorders>
              <w:top w:val="single" w:sz="4" w:space="0" w:color="000000"/>
              <w:left w:val="nil" w:sz="6" w:space="0" w:color="auto"/>
              <w:bottom w:val="nil" w:sz="6" w:space="0" w:color="auto"/>
              <w:right w:val="nil" w:sz="6" w:space="0" w:color="auto"/>
            </w:tcBorders>
          </w:tcPr>
          <w:p>
            <w:pPr>
              <w:pStyle w:val="TableParagraph"/>
              <w:spacing w:line="240" w:lineRule="auto" w:before="139"/>
              <w:ind w:right="7"/>
              <w:jc w:val="right"/>
              <w:rPr>
                <w:rFonts w:ascii="宋体" w:hAnsi="宋体" w:cs="宋体" w:eastAsia="宋体" w:hint="default"/>
                <w:sz w:val="16"/>
                <w:szCs w:val="16"/>
              </w:rPr>
            </w:pPr>
            <w:r>
              <w:rPr>
                <w:rFonts w:ascii="Arial" w:hAnsi="Arial" w:cs="Arial" w:eastAsia="Arial" w:hint="default"/>
                <w:sz w:val="16"/>
                <w:szCs w:val="16"/>
              </w:rPr>
              <w:t>50</w:t>
            </w:r>
            <w:r>
              <w:rPr>
                <w:rFonts w:ascii="Arial" w:hAnsi="Arial" w:cs="Arial" w:eastAsia="Arial" w:hint="default"/>
                <w:spacing w:val="-10"/>
                <w:sz w:val="16"/>
                <w:szCs w:val="16"/>
              </w:rPr>
              <w:t> </w:t>
            </w:r>
            <w:r>
              <w:rPr>
                <w:rFonts w:ascii="宋体" w:hAnsi="宋体" w:cs="宋体" w:eastAsia="宋体" w:hint="default"/>
                <w:sz w:val="16"/>
                <w:szCs w:val="16"/>
              </w:rPr>
              <w:t>亿元</w:t>
            </w:r>
          </w:p>
        </w:tc>
        <w:tc>
          <w:tcPr>
            <w:tcW w:w="118" w:type="dxa"/>
            <w:tcBorders>
              <w:top w:val="nil" w:sz="6" w:space="0" w:color="auto"/>
              <w:left w:val="nil" w:sz="6" w:space="0" w:color="auto"/>
              <w:bottom w:val="nil" w:sz="6" w:space="0" w:color="auto"/>
              <w:right w:val="nil" w:sz="6" w:space="0" w:color="auto"/>
            </w:tcBorders>
          </w:tcPr>
          <w:p>
            <w:pPr/>
          </w:p>
        </w:tc>
        <w:tc>
          <w:tcPr>
            <w:tcW w:w="890"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65"/>
              <w:jc w:val="right"/>
              <w:rPr>
                <w:rFonts w:ascii="Arial" w:hAnsi="Arial" w:cs="Arial" w:eastAsia="Arial" w:hint="default"/>
                <w:sz w:val="16"/>
                <w:szCs w:val="16"/>
              </w:rPr>
            </w:pPr>
            <w:r>
              <w:rPr>
                <w:rFonts w:ascii="Arial"/>
                <w:w w:val="98"/>
                <w:sz w:val="16"/>
              </w:rPr>
              <w:t>-</w:t>
            </w:r>
            <w:r>
              <w:rPr>
                <w:rFonts w:ascii="Arial"/>
                <w:sz w:val="16"/>
              </w:rPr>
            </w:r>
          </w:p>
        </w:tc>
        <w:tc>
          <w:tcPr>
            <w:tcW w:w="101" w:type="dxa"/>
            <w:tcBorders>
              <w:top w:val="nil" w:sz="6" w:space="0" w:color="auto"/>
              <w:left w:val="nil" w:sz="6" w:space="0" w:color="auto"/>
              <w:bottom w:val="nil" w:sz="6" w:space="0" w:color="auto"/>
              <w:right w:val="nil" w:sz="6" w:space="0" w:color="auto"/>
            </w:tcBorders>
          </w:tcPr>
          <w:p>
            <w:pPr/>
          </w:p>
        </w:tc>
        <w:tc>
          <w:tcPr>
            <w:tcW w:w="1301"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93" w:right="0"/>
              <w:jc w:val="center"/>
              <w:rPr>
                <w:rFonts w:ascii="Arial" w:hAnsi="Arial" w:cs="Arial" w:eastAsia="Arial" w:hint="default"/>
                <w:sz w:val="16"/>
                <w:szCs w:val="16"/>
              </w:rPr>
            </w:pPr>
            <w:r>
              <w:rPr>
                <w:rFonts w:ascii="Arial"/>
                <w:sz w:val="16"/>
              </w:rPr>
              <w:t>5,000,000,000</w:t>
            </w:r>
          </w:p>
        </w:tc>
        <w:tc>
          <w:tcPr>
            <w:tcW w:w="146" w:type="dxa"/>
            <w:tcBorders>
              <w:top w:val="nil" w:sz="6" w:space="0" w:color="auto"/>
              <w:left w:val="nil" w:sz="6" w:space="0" w:color="auto"/>
              <w:bottom w:val="nil" w:sz="6" w:space="0" w:color="auto"/>
              <w:right w:val="nil" w:sz="6" w:space="0" w:color="auto"/>
            </w:tcBorders>
          </w:tcPr>
          <w:p>
            <w:pPr/>
          </w:p>
        </w:tc>
        <w:tc>
          <w:tcPr>
            <w:tcW w:w="1087"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
              <w:jc w:val="right"/>
              <w:rPr>
                <w:rFonts w:ascii="Arial" w:hAnsi="Arial" w:cs="Arial" w:eastAsia="Arial" w:hint="default"/>
                <w:sz w:val="16"/>
                <w:szCs w:val="16"/>
              </w:rPr>
            </w:pPr>
            <w:r>
              <w:rPr>
                <w:rFonts w:ascii="Arial"/>
                <w:w w:val="95"/>
                <w:sz w:val="16"/>
              </w:rPr>
              <w:t>20,844,444</w:t>
            </w:r>
            <w:r>
              <w:rPr>
                <w:rFonts w:ascii="Arial"/>
                <w:sz w:val="16"/>
              </w:rPr>
            </w:r>
          </w:p>
        </w:tc>
        <w:tc>
          <w:tcPr>
            <w:tcW w:w="137" w:type="dxa"/>
            <w:tcBorders>
              <w:top w:val="nil" w:sz="6" w:space="0" w:color="auto"/>
              <w:left w:val="nil" w:sz="6" w:space="0" w:color="auto"/>
              <w:bottom w:val="nil" w:sz="6" w:space="0" w:color="auto"/>
              <w:right w:val="nil" w:sz="6" w:space="0" w:color="auto"/>
            </w:tcBorders>
          </w:tcPr>
          <w:p>
            <w:pPr/>
          </w:p>
        </w:tc>
        <w:tc>
          <w:tcPr>
            <w:tcW w:w="943"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4" w:right="0"/>
              <w:jc w:val="center"/>
              <w:rPr>
                <w:rFonts w:ascii="Arial" w:hAnsi="Arial" w:cs="Arial" w:eastAsia="Arial" w:hint="default"/>
                <w:sz w:val="16"/>
                <w:szCs w:val="16"/>
              </w:rPr>
            </w:pPr>
            <w:r>
              <w:rPr>
                <w:rFonts w:ascii="Arial"/>
                <w:sz w:val="16"/>
              </w:rPr>
              <w:t>(2,819,444)</w:t>
            </w:r>
          </w:p>
        </w:tc>
        <w:tc>
          <w:tcPr>
            <w:tcW w:w="137" w:type="dxa"/>
            <w:tcBorders>
              <w:top w:val="nil" w:sz="6" w:space="0" w:color="auto"/>
              <w:left w:val="nil" w:sz="6" w:space="0" w:color="auto"/>
              <w:bottom w:val="nil" w:sz="6" w:space="0" w:color="auto"/>
              <w:right w:val="nil" w:sz="6" w:space="0" w:color="auto"/>
            </w:tcBorders>
          </w:tcPr>
          <w:p>
            <w:pPr/>
          </w:p>
        </w:tc>
        <w:tc>
          <w:tcPr>
            <w:tcW w:w="737"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41"/>
              <w:jc w:val="right"/>
              <w:rPr>
                <w:rFonts w:ascii="Arial" w:hAnsi="Arial" w:cs="Arial" w:eastAsia="Arial" w:hint="default"/>
                <w:sz w:val="16"/>
                <w:szCs w:val="16"/>
              </w:rPr>
            </w:pPr>
            <w:r>
              <w:rPr>
                <w:rFonts w:ascii="Arial"/>
                <w:w w:val="98"/>
                <w:sz w:val="16"/>
              </w:rPr>
              <w:t>-</w:t>
            </w:r>
            <w:r>
              <w:rPr>
                <w:rFonts w:ascii="Arial"/>
                <w:sz w:val="16"/>
              </w:rPr>
            </w:r>
          </w:p>
        </w:tc>
        <w:tc>
          <w:tcPr>
            <w:tcW w:w="137" w:type="dxa"/>
            <w:tcBorders>
              <w:top w:val="nil" w:sz="6" w:space="0" w:color="auto"/>
              <w:left w:val="nil" w:sz="6" w:space="0" w:color="auto"/>
              <w:bottom w:val="nil" w:sz="6" w:space="0" w:color="auto"/>
              <w:right w:val="nil" w:sz="6" w:space="0" w:color="auto"/>
            </w:tcBorders>
          </w:tcPr>
          <w:p>
            <w:pPr/>
          </w:p>
        </w:tc>
        <w:tc>
          <w:tcPr>
            <w:tcW w:w="1423"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44"/>
              <w:jc w:val="right"/>
              <w:rPr>
                <w:rFonts w:ascii="Arial" w:hAnsi="Arial" w:cs="Arial" w:eastAsia="Arial" w:hint="default"/>
                <w:sz w:val="16"/>
                <w:szCs w:val="16"/>
              </w:rPr>
            </w:pPr>
            <w:r>
              <w:rPr>
                <w:rFonts w:ascii="Arial"/>
                <w:w w:val="95"/>
                <w:sz w:val="16"/>
              </w:rPr>
              <w:t>5,018,025,000</w:t>
            </w:r>
            <w:r>
              <w:rPr>
                <w:rFonts w:ascii="Arial"/>
                <w:sz w:val="16"/>
              </w:rPr>
            </w:r>
          </w:p>
        </w:tc>
      </w:tr>
      <w:tr>
        <w:trPr>
          <w:trHeight w:val="338" w:hRule="exact"/>
        </w:trPr>
        <w:tc>
          <w:tcPr>
            <w:tcW w:w="2179" w:type="dxa"/>
            <w:tcBorders>
              <w:top w:val="nil" w:sz="6" w:space="0" w:color="auto"/>
              <w:left w:val="nil" w:sz="6" w:space="0" w:color="auto"/>
              <w:bottom w:val="nil" w:sz="6" w:space="0" w:color="auto"/>
              <w:right w:val="nil" w:sz="6" w:space="0" w:color="auto"/>
            </w:tcBorders>
          </w:tcPr>
          <w:p>
            <w:pPr>
              <w:pStyle w:val="TableParagraph"/>
              <w:spacing w:line="219" w:lineRule="exact"/>
              <w:ind w:right="0"/>
              <w:jc w:val="left"/>
              <w:rPr>
                <w:rFonts w:ascii="宋体" w:hAnsi="宋体" w:cs="宋体" w:eastAsia="宋体" w:hint="default"/>
                <w:sz w:val="16"/>
                <w:szCs w:val="16"/>
              </w:rPr>
            </w:pPr>
            <w:r>
              <w:rPr>
                <w:rFonts w:ascii="Arial" w:hAnsi="Arial" w:cs="Arial" w:eastAsia="Arial" w:hint="default"/>
                <w:sz w:val="16"/>
                <w:szCs w:val="16"/>
              </w:rPr>
              <w:t>2019</w:t>
            </w:r>
            <w:r>
              <w:rPr>
                <w:rFonts w:ascii="Arial" w:hAnsi="Arial" w:cs="Arial" w:eastAsia="Arial" w:hint="default"/>
                <w:spacing w:val="-14"/>
                <w:sz w:val="16"/>
                <w:szCs w:val="16"/>
              </w:rPr>
              <w:t> </w:t>
            </w:r>
            <w:r>
              <w:rPr>
                <w:rFonts w:ascii="宋体" w:hAnsi="宋体" w:cs="宋体" w:eastAsia="宋体" w:hint="default"/>
                <w:sz w:val="16"/>
                <w:szCs w:val="16"/>
              </w:rPr>
              <w:t>年度第二期超短期融资券</w:t>
            </w:r>
          </w:p>
        </w:tc>
        <w:tc>
          <w:tcPr>
            <w:tcW w:w="720" w:type="dxa"/>
            <w:tcBorders>
              <w:top w:val="nil" w:sz="6" w:space="0" w:color="auto"/>
              <w:left w:val="nil" w:sz="6" w:space="0" w:color="auto"/>
              <w:bottom w:val="nil" w:sz="6" w:space="0" w:color="auto"/>
              <w:right w:val="nil" w:sz="6" w:space="0" w:color="auto"/>
            </w:tcBorders>
          </w:tcPr>
          <w:p>
            <w:pPr>
              <w:pStyle w:val="TableParagraph"/>
              <w:spacing w:line="219" w:lineRule="exact"/>
              <w:ind w:left="177" w:right="0"/>
              <w:jc w:val="left"/>
              <w:rPr>
                <w:rFonts w:ascii="宋体" w:hAnsi="宋体" w:cs="宋体" w:eastAsia="宋体" w:hint="default"/>
                <w:sz w:val="16"/>
                <w:szCs w:val="16"/>
              </w:rPr>
            </w:pPr>
            <w:r>
              <w:rPr>
                <w:rFonts w:ascii="Arial" w:hAnsi="Arial" w:cs="Arial" w:eastAsia="Arial" w:hint="default"/>
                <w:sz w:val="16"/>
                <w:szCs w:val="16"/>
              </w:rPr>
              <w:t>40</w:t>
            </w:r>
            <w:r>
              <w:rPr>
                <w:rFonts w:ascii="Arial" w:hAnsi="Arial" w:cs="Arial" w:eastAsia="Arial" w:hint="default"/>
                <w:spacing w:val="-10"/>
                <w:sz w:val="16"/>
                <w:szCs w:val="16"/>
              </w:rPr>
              <w:t> </w:t>
            </w:r>
            <w:r>
              <w:rPr>
                <w:rFonts w:ascii="宋体" w:hAnsi="宋体" w:cs="宋体" w:eastAsia="宋体" w:hint="default"/>
                <w:sz w:val="16"/>
                <w:szCs w:val="16"/>
              </w:rPr>
              <w:t>亿元</w:t>
            </w:r>
          </w:p>
        </w:tc>
        <w:tc>
          <w:tcPr>
            <w:tcW w:w="134"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Style w:val="TableParagraph"/>
              <w:spacing w:line="219" w:lineRule="exact"/>
              <w:ind w:left="24" w:right="0"/>
              <w:jc w:val="center"/>
              <w:rPr>
                <w:rFonts w:ascii="宋体" w:hAnsi="宋体" w:cs="宋体" w:eastAsia="宋体" w:hint="default"/>
                <w:sz w:val="16"/>
                <w:szCs w:val="16"/>
              </w:rPr>
            </w:pPr>
            <w:r>
              <w:rPr>
                <w:rFonts w:ascii="Arial" w:hAnsi="Arial" w:cs="Arial" w:eastAsia="Arial" w:hint="default"/>
                <w:sz w:val="16"/>
                <w:szCs w:val="16"/>
              </w:rPr>
              <w:t>2019</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39"/>
                <w:sz w:val="16"/>
                <w:szCs w:val="16"/>
              </w:rPr>
              <w:t> </w:t>
            </w:r>
            <w:r>
              <w:rPr>
                <w:rFonts w:ascii="Arial" w:hAnsi="Arial" w:cs="Arial" w:eastAsia="Arial" w:hint="default"/>
                <w:sz w:val="16"/>
                <w:szCs w:val="16"/>
              </w:rPr>
              <w:t>11</w:t>
            </w:r>
            <w:r>
              <w:rPr>
                <w:rFonts w:ascii="Arial" w:hAnsi="Arial" w:cs="Arial" w:eastAsia="Arial" w:hint="default"/>
                <w:spacing w:val="-10"/>
                <w:sz w:val="16"/>
                <w:szCs w:val="16"/>
              </w:rPr>
              <w:t> </w:t>
            </w:r>
            <w:r>
              <w:rPr>
                <w:rFonts w:ascii="宋体" w:hAnsi="宋体" w:cs="宋体" w:eastAsia="宋体" w:hint="default"/>
                <w:sz w:val="16"/>
                <w:szCs w:val="16"/>
              </w:rPr>
              <w:t>月</w:t>
            </w:r>
            <w:r>
              <w:rPr>
                <w:rFonts w:ascii="宋体" w:hAnsi="宋体" w:cs="宋体" w:eastAsia="宋体" w:hint="default"/>
                <w:spacing w:val="-39"/>
                <w:sz w:val="16"/>
                <w:szCs w:val="16"/>
              </w:rPr>
              <w:t> </w:t>
            </w:r>
            <w:r>
              <w:rPr>
                <w:rFonts w:ascii="Arial" w:hAnsi="Arial" w:cs="Arial" w:eastAsia="Arial" w:hint="default"/>
                <w:sz w:val="16"/>
                <w:szCs w:val="16"/>
              </w:rPr>
              <w:t>15</w:t>
            </w:r>
            <w:r>
              <w:rPr>
                <w:rFonts w:ascii="Arial" w:hAnsi="Arial" w:cs="Arial" w:eastAsia="Arial" w:hint="default"/>
                <w:spacing w:val="-10"/>
                <w:sz w:val="16"/>
                <w:szCs w:val="16"/>
              </w:rPr>
              <w:t> </w:t>
            </w:r>
            <w:r>
              <w:rPr>
                <w:rFonts w:ascii="宋体" w:hAnsi="宋体" w:cs="宋体" w:eastAsia="宋体" w:hint="default"/>
                <w:sz w:val="16"/>
                <w:szCs w:val="16"/>
              </w:rPr>
              <w:t>日</w:t>
            </w:r>
          </w:p>
        </w:tc>
        <w:tc>
          <w:tcPr>
            <w:tcW w:w="110" w:type="dxa"/>
            <w:tcBorders>
              <w:top w:val="nil" w:sz="6" w:space="0" w:color="auto"/>
              <w:left w:val="nil" w:sz="6" w:space="0" w:color="auto"/>
              <w:bottom w:val="nil" w:sz="6" w:space="0" w:color="auto"/>
              <w:right w:val="nil" w:sz="6" w:space="0" w:color="auto"/>
            </w:tcBorders>
          </w:tcPr>
          <w:p>
            <w:pPr/>
          </w:p>
        </w:tc>
        <w:tc>
          <w:tcPr>
            <w:tcW w:w="744" w:type="dxa"/>
            <w:tcBorders>
              <w:top w:val="nil" w:sz="6" w:space="0" w:color="auto"/>
              <w:left w:val="nil" w:sz="6" w:space="0" w:color="auto"/>
              <w:bottom w:val="nil" w:sz="6" w:space="0" w:color="auto"/>
              <w:right w:val="nil" w:sz="6" w:space="0" w:color="auto"/>
            </w:tcBorders>
          </w:tcPr>
          <w:p>
            <w:pPr>
              <w:pStyle w:val="TableParagraph"/>
              <w:spacing w:line="219" w:lineRule="exact"/>
              <w:ind w:right="7"/>
              <w:jc w:val="right"/>
              <w:rPr>
                <w:rFonts w:ascii="宋体" w:hAnsi="宋体" w:cs="宋体" w:eastAsia="宋体" w:hint="default"/>
                <w:sz w:val="16"/>
                <w:szCs w:val="16"/>
              </w:rPr>
            </w:pPr>
            <w:r>
              <w:rPr>
                <w:rFonts w:ascii="Arial" w:hAnsi="Arial" w:cs="Arial" w:eastAsia="Arial" w:hint="default"/>
                <w:sz w:val="16"/>
                <w:szCs w:val="16"/>
              </w:rPr>
              <w:t>270</w:t>
            </w:r>
            <w:r>
              <w:rPr>
                <w:rFonts w:ascii="Arial" w:hAnsi="Arial" w:cs="Arial" w:eastAsia="Arial" w:hint="default"/>
                <w:spacing w:val="-12"/>
                <w:sz w:val="16"/>
                <w:szCs w:val="16"/>
              </w:rPr>
              <w:t> </w:t>
            </w:r>
            <w:r>
              <w:rPr>
                <w:rFonts w:ascii="宋体" w:hAnsi="宋体" w:cs="宋体" w:eastAsia="宋体" w:hint="default"/>
                <w:sz w:val="16"/>
                <w:szCs w:val="16"/>
              </w:rPr>
              <w:t>天</w:t>
            </w:r>
          </w:p>
        </w:tc>
        <w:tc>
          <w:tcPr>
            <w:tcW w:w="120" w:type="dxa"/>
            <w:tcBorders>
              <w:top w:val="nil" w:sz="6" w:space="0" w:color="auto"/>
              <w:left w:val="nil" w:sz="6" w:space="0" w:color="auto"/>
              <w:bottom w:val="nil" w:sz="6" w:space="0" w:color="auto"/>
              <w:right w:val="nil" w:sz="6" w:space="0" w:color="auto"/>
            </w:tcBorders>
          </w:tcPr>
          <w:p>
            <w:pPr/>
          </w:p>
        </w:tc>
        <w:tc>
          <w:tcPr>
            <w:tcW w:w="79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7"/>
              <w:jc w:val="right"/>
              <w:rPr>
                <w:rFonts w:ascii="Arial" w:hAnsi="Arial" w:cs="Arial" w:eastAsia="Arial" w:hint="default"/>
                <w:sz w:val="16"/>
                <w:szCs w:val="16"/>
              </w:rPr>
            </w:pPr>
            <w:r>
              <w:rPr>
                <w:rFonts w:ascii="Arial"/>
                <w:sz w:val="16"/>
              </w:rPr>
              <w:t>2.20%</w:t>
            </w:r>
          </w:p>
        </w:tc>
        <w:tc>
          <w:tcPr>
            <w:tcW w:w="154" w:type="dxa"/>
            <w:tcBorders>
              <w:top w:val="nil" w:sz="6" w:space="0" w:color="auto"/>
              <w:left w:val="nil" w:sz="6" w:space="0" w:color="auto"/>
              <w:bottom w:val="nil" w:sz="6" w:space="0" w:color="auto"/>
              <w:right w:val="nil" w:sz="6" w:space="0" w:color="auto"/>
            </w:tcBorders>
          </w:tcPr>
          <w:p>
            <w:pPr/>
          </w:p>
        </w:tc>
        <w:tc>
          <w:tcPr>
            <w:tcW w:w="763" w:type="dxa"/>
            <w:tcBorders>
              <w:top w:val="nil" w:sz="6" w:space="0" w:color="auto"/>
              <w:left w:val="nil" w:sz="6" w:space="0" w:color="auto"/>
              <w:bottom w:val="nil" w:sz="6" w:space="0" w:color="auto"/>
              <w:right w:val="nil" w:sz="6" w:space="0" w:color="auto"/>
            </w:tcBorders>
          </w:tcPr>
          <w:p>
            <w:pPr>
              <w:pStyle w:val="TableParagraph"/>
              <w:spacing w:line="219" w:lineRule="exact"/>
              <w:ind w:right="7"/>
              <w:jc w:val="right"/>
              <w:rPr>
                <w:rFonts w:ascii="宋体" w:hAnsi="宋体" w:cs="宋体" w:eastAsia="宋体" w:hint="default"/>
                <w:sz w:val="16"/>
                <w:szCs w:val="16"/>
              </w:rPr>
            </w:pPr>
            <w:r>
              <w:rPr>
                <w:rFonts w:ascii="Arial" w:hAnsi="Arial" w:cs="Arial" w:eastAsia="Arial" w:hint="default"/>
                <w:sz w:val="16"/>
                <w:szCs w:val="16"/>
              </w:rPr>
              <w:t>40</w:t>
            </w:r>
            <w:r>
              <w:rPr>
                <w:rFonts w:ascii="Arial" w:hAnsi="Arial" w:cs="Arial" w:eastAsia="Arial" w:hint="default"/>
                <w:spacing w:val="-10"/>
                <w:sz w:val="16"/>
                <w:szCs w:val="16"/>
              </w:rPr>
              <w:t> </w:t>
            </w:r>
            <w:r>
              <w:rPr>
                <w:rFonts w:ascii="宋体" w:hAnsi="宋体" w:cs="宋体" w:eastAsia="宋体" w:hint="default"/>
                <w:sz w:val="16"/>
                <w:szCs w:val="16"/>
              </w:rPr>
              <w:t>亿元</w:t>
            </w:r>
          </w:p>
        </w:tc>
        <w:tc>
          <w:tcPr>
            <w:tcW w:w="118"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nil" w:sz="6" w:space="0" w:color="auto"/>
            </w:tcBorders>
          </w:tcPr>
          <w:p>
            <w:pPr>
              <w:pStyle w:val="TableParagraph"/>
              <w:tabs>
                <w:tab w:pos="763" w:val="left" w:leader="none"/>
                <w:tab w:pos="883" w:val="left" w:leader="none"/>
              </w:tabs>
              <w:spacing w:line="240" w:lineRule="auto" w:before="49"/>
              <w:ind w:right="0"/>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ab/>
            </w:r>
            <w:r>
              <w:rPr>
                <w:rFonts w:ascii="Arial"/>
                <w:w w:val="95"/>
                <w:sz w:val="16"/>
                <w:u w:val="single" w:color="000000"/>
              </w:rPr>
              <w:t>-</w:t>
            </w:r>
            <w:r>
              <w:rPr>
                <w:rFonts w:ascii="Arial"/>
                <w:sz w:val="16"/>
                <w:u w:val="single" w:color="000000"/>
              </w:rPr>
              <w:tab/>
            </w:r>
            <w:r>
              <w:rPr>
                <w:rFonts w:ascii="Arial"/>
                <w:sz w:val="16"/>
              </w:rPr>
            </w:r>
          </w:p>
        </w:tc>
        <w:tc>
          <w:tcPr>
            <w:tcW w:w="101"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Style w:val="TableParagraph"/>
              <w:tabs>
                <w:tab w:pos="1300" w:val="left" w:leader="none"/>
              </w:tabs>
              <w:spacing w:line="240" w:lineRule="auto" w:before="49"/>
              <w:ind w:right="0"/>
              <w:jc w:val="center"/>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  </w:t>
            </w:r>
            <w:r>
              <w:rPr>
                <w:rFonts w:ascii="Arial"/>
                <w:spacing w:val="9"/>
                <w:sz w:val="16"/>
                <w:u w:val="single" w:color="000000"/>
              </w:rPr>
              <w:t> </w:t>
            </w:r>
            <w:r>
              <w:rPr>
                <w:rFonts w:ascii="Arial"/>
                <w:sz w:val="16"/>
                <w:u w:val="single" w:color="000000"/>
              </w:rPr>
              <w:t>4,000,000,000</w:t>
              <w:tab/>
            </w:r>
            <w:r>
              <w:rPr>
                <w:rFonts w:ascii="Arial"/>
                <w:sz w:val="16"/>
              </w:rPr>
            </w:r>
          </w:p>
        </w:tc>
        <w:tc>
          <w:tcPr>
            <w:tcW w:w="146"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Style w:val="TableParagraph"/>
              <w:tabs>
                <w:tab w:pos="278" w:val="left" w:leader="none"/>
              </w:tabs>
              <w:spacing w:line="240" w:lineRule="auto" w:before="49"/>
              <w:ind w:right="1"/>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ab/>
            </w:r>
            <w:r>
              <w:rPr>
                <w:rFonts w:ascii="Arial"/>
                <w:w w:val="95"/>
                <w:sz w:val="16"/>
                <w:u w:val="single" w:color="000000"/>
              </w:rPr>
              <w:t>11,244,444</w:t>
            </w:r>
            <w:r>
              <w:rPr>
                <w:rFonts w:ascii="Arial"/>
                <w:w w:val="95"/>
                <w:sz w:val="16"/>
              </w:rPr>
            </w:r>
            <w:r>
              <w:rPr>
                <w:rFonts w:ascii="Arial"/>
                <w:sz w:val="16"/>
              </w:rPr>
            </w:r>
          </w:p>
        </w:tc>
        <w:tc>
          <w:tcPr>
            <w:tcW w:w="137" w:type="dxa"/>
            <w:tcBorders>
              <w:top w:val="nil" w:sz="6" w:space="0" w:color="auto"/>
              <w:left w:val="nil" w:sz="6" w:space="0" w:color="auto"/>
              <w:bottom w:val="nil" w:sz="6" w:space="0" w:color="auto"/>
              <w:right w:val="nil" w:sz="6" w:space="0" w:color="auto"/>
            </w:tcBorders>
          </w:tcPr>
          <w:p>
            <w:pPr/>
          </w:p>
        </w:tc>
        <w:tc>
          <w:tcPr>
            <w:tcW w:w="943" w:type="dxa"/>
            <w:tcBorders>
              <w:top w:val="nil" w:sz="6" w:space="0" w:color="auto"/>
              <w:left w:val="nil" w:sz="6" w:space="0" w:color="auto"/>
              <w:bottom w:val="nil" w:sz="6" w:space="0" w:color="auto"/>
              <w:right w:val="nil" w:sz="6" w:space="0" w:color="auto"/>
            </w:tcBorders>
          </w:tcPr>
          <w:p>
            <w:pPr>
              <w:pStyle w:val="TableParagraph"/>
              <w:tabs>
                <w:tab w:pos="943" w:val="left" w:leader="none"/>
              </w:tabs>
              <w:spacing w:line="240" w:lineRule="auto" w:before="49"/>
              <w:ind w:left="7" w:right="0"/>
              <w:jc w:val="center"/>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pacing w:val="-17"/>
                <w:sz w:val="16"/>
                <w:u w:val="single" w:color="000000"/>
              </w:rPr>
              <w:t> </w:t>
            </w:r>
            <w:r>
              <w:rPr>
                <w:rFonts w:ascii="Arial"/>
                <w:sz w:val="16"/>
                <w:u w:val="single" w:color="000000"/>
              </w:rPr>
              <w:t>(2,488,889)</w:t>
              <w:tab/>
            </w:r>
            <w:r>
              <w:rPr>
                <w:rFonts w:ascii="Arial"/>
                <w:sz w:val="16"/>
              </w:rPr>
            </w:r>
          </w:p>
        </w:tc>
        <w:tc>
          <w:tcPr>
            <w:tcW w:w="137"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Style w:val="TableParagraph"/>
              <w:tabs>
                <w:tab w:pos="640" w:val="left" w:leader="none"/>
              </w:tabs>
              <w:spacing w:line="240" w:lineRule="auto" w:before="49"/>
              <w:ind w:left="7" w:right="0"/>
              <w:jc w:val="lef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ab/>
              <w:t>-</w:t>
              <w:tab/>
            </w:r>
            <w:r>
              <w:rPr>
                <w:rFonts w:ascii="Arial"/>
                <w:sz w:val="16"/>
              </w:rPr>
            </w:r>
          </w:p>
        </w:tc>
        <w:tc>
          <w:tcPr>
            <w:tcW w:w="137"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tabs>
                <w:tab w:pos="357" w:val="left" w:leader="none"/>
                <w:tab w:pos="1423" w:val="left" w:leader="none"/>
              </w:tabs>
              <w:spacing w:line="240" w:lineRule="auto" w:before="49"/>
              <w:ind w:left="7" w:right="0"/>
              <w:jc w:val="lef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ab/>
              <w:t>4,008,755,555</w:t>
              <w:tab/>
            </w:r>
            <w:r>
              <w:rPr>
                <w:rFonts w:ascii="Arial"/>
                <w:sz w:val="16"/>
              </w:rPr>
            </w:r>
          </w:p>
        </w:tc>
      </w:tr>
      <w:tr>
        <w:trPr>
          <w:trHeight w:val="319" w:hRule="exact"/>
        </w:trPr>
        <w:tc>
          <w:tcPr>
            <w:tcW w:w="2179"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720" w:type="dxa"/>
            <w:tcBorders>
              <w:top w:val="nil" w:sz="6" w:space="0" w:color="auto"/>
              <w:left w:val="nil" w:sz="6" w:space="0" w:color="auto"/>
              <w:bottom w:val="nil" w:sz="6" w:space="0" w:color="auto"/>
              <w:right w:val="nil" w:sz="6" w:space="0" w:color="auto"/>
            </w:tcBorders>
          </w:tcPr>
          <w:p>
            <w:pPr/>
          </w:p>
        </w:tc>
        <w:tc>
          <w:tcPr>
            <w:tcW w:w="134"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
        </w:tc>
        <w:tc>
          <w:tcPr>
            <w:tcW w:w="110" w:type="dxa"/>
            <w:tcBorders>
              <w:top w:val="nil" w:sz="6" w:space="0" w:color="auto"/>
              <w:left w:val="nil" w:sz="6" w:space="0" w:color="auto"/>
              <w:bottom w:val="nil" w:sz="6" w:space="0" w:color="auto"/>
              <w:right w:val="nil" w:sz="6" w:space="0" w:color="auto"/>
            </w:tcBorders>
          </w:tcPr>
          <w:p>
            <w:pPr/>
          </w:p>
        </w:tc>
        <w:tc>
          <w:tcPr>
            <w:tcW w:w="744" w:type="dxa"/>
            <w:tcBorders>
              <w:top w:val="nil" w:sz="6" w:space="0" w:color="auto"/>
              <w:left w:val="nil" w:sz="6" w:space="0" w:color="auto"/>
              <w:bottom w:val="nil" w:sz="6" w:space="0" w:color="auto"/>
              <w:right w:val="nil" w:sz="6" w:space="0" w:color="auto"/>
            </w:tcBorders>
          </w:tcPr>
          <w:p>
            <w:pPr/>
          </w:p>
        </w:tc>
        <w:tc>
          <w:tcPr>
            <w:tcW w:w="120" w:type="dxa"/>
            <w:tcBorders>
              <w:top w:val="nil" w:sz="6" w:space="0" w:color="auto"/>
              <w:left w:val="nil" w:sz="6" w:space="0" w:color="auto"/>
              <w:bottom w:val="nil" w:sz="6" w:space="0" w:color="auto"/>
              <w:right w:val="nil" w:sz="6" w:space="0" w:color="auto"/>
            </w:tcBorders>
          </w:tcPr>
          <w:p>
            <w:pPr/>
          </w:p>
        </w:tc>
        <w:tc>
          <w:tcPr>
            <w:tcW w:w="792" w:type="dxa"/>
            <w:tcBorders>
              <w:top w:val="nil" w:sz="6" w:space="0" w:color="auto"/>
              <w:left w:val="nil" w:sz="6" w:space="0" w:color="auto"/>
              <w:bottom w:val="nil" w:sz="6" w:space="0" w:color="auto"/>
              <w:right w:val="nil" w:sz="6" w:space="0" w:color="auto"/>
            </w:tcBorders>
          </w:tcPr>
          <w:p>
            <w:pPr/>
          </w:p>
        </w:tc>
        <w:tc>
          <w:tcPr>
            <w:tcW w:w="154" w:type="dxa"/>
            <w:tcBorders>
              <w:top w:val="nil" w:sz="6" w:space="0" w:color="auto"/>
              <w:left w:val="nil" w:sz="6" w:space="0" w:color="auto"/>
              <w:bottom w:val="nil" w:sz="6" w:space="0" w:color="auto"/>
              <w:right w:val="nil" w:sz="6" w:space="0" w:color="auto"/>
            </w:tcBorders>
          </w:tcPr>
          <w:p>
            <w:pPr/>
          </w:p>
        </w:tc>
        <w:tc>
          <w:tcPr>
            <w:tcW w:w="763" w:type="dxa"/>
            <w:tcBorders>
              <w:top w:val="nil" w:sz="6" w:space="0" w:color="auto"/>
              <w:left w:val="nil" w:sz="6" w:space="0" w:color="auto"/>
              <w:bottom w:val="nil" w:sz="6" w:space="0" w:color="auto"/>
              <w:right w:val="nil" w:sz="6" w:space="0" w:color="auto"/>
            </w:tcBorders>
          </w:tcPr>
          <w:p>
            <w:pPr/>
          </w:p>
        </w:tc>
        <w:tc>
          <w:tcPr>
            <w:tcW w:w="118"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single" w:sz="17" w:space="0" w:color="000000"/>
              <w:right w:val="nil" w:sz="6" w:space="0" w:color="auto"/>
            </w:tcBorders>
          </w:tcPr>
          <w:p>
            <w:pPr>
              <w:pStyle w:val="TableParagraph"/>
              <w:spacing w:line="240" w:lineRule="auto" w:before="109"/>
              <w:ind w:right="41"/>
              <w:jc w:val="right"/>
              <w:rPr>
                <w:rFonts w:ascii="Arial" w:hAnsi="Arial" w:cs="Arial" w:eastAsia="Arial" w:hint="default"/>
                <w:sz w:val="16"/>
                <w:szCs w:val="16"/>
              </w:rPr>
            </w:pPr>
            <w:r>
              <w:rPr>
                <w:rFonts w:ascii="Arial"/>
                <w:w w:val="98"/>
                <w:sz w:val="16"/>
              </w:rPr>
              <w:t>-</w:t>
            </w:r>
            <w:r>
              <w:rPr>
                <w:rFonts w:ascii="Arial"/>
                <w:sz w:val="16"/>
              </w:rPr>
            </w:r>
          </w:p>
        </w:tc>
        <w:tc>
          <w:tcPr>
            <w:tcW w:w="101"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single" w:sz="17" w:space="0" w:color="000000"/>
              <w:right w:val="nil" w:sz="6" w:space="0" w:color="auto"/>
            </w:tcBorders>
          </w:tcPr>
          <w:p>
            <w:pPr>
              <w:pStyle w:val="TableParagraph"/>
              <w:spacing w:line="240" w:lineRule="auto" w:before="109"/>
              <w:ind w:left="93" w:right="0"/>
              <w:jc w:val="center"/>
              <w:rPr>
                <w:rFonts w:ascii="Arial" w:hAnsi="Arial" w:cs="Arial" w:eastAsia="Arial" w:hint="default"/>
                <w:sz w:val="16"/>
                <w:szCs w:val="16"/>
              </w:rPr>
            </w:pPr>
            <w:r>
              <w:rPr>
                <w:rFonts w:ascii="Arial"/>
                <w:sz w:val="16"/>
              </w:rPr>
              <w:t>9,000,000,000</w:t>
            </w:r>
          </w:p>
        </w:tc>
        <w:tc>
          <w:tcPr>
            <w:tcW w:w="146"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single" w:sz="17" w:space="0" w:color="000000"/>
              <w:right w:val="nil" w:sz="6" w:space="0" w:color="auto"/>
            </w:tcBorders>
          </w:tcPr>
          <w:p>
            <w:pPr>
              <w:pStyle w:val="TableParagraph"/>
              <w:spacing w:line="240" w:lineRule="auto" w:before="109"/>
              <w:ind w:right="6"/>
              <w:jc w:val="right"/>
              <w:rPr>
                <w:rFonts w:ascii="Arial" w:hAnsi="Arial" w:cs="Arial" w:eastAsia="Arial" w:hint="default"/>
                <w:sz w:val="16"/>
                <w:szCs w:val="16"/>
              </w:rPr>
            </w:pPr>
            <w:r>
              <w:rPr>
                <w:rFonts w:ascii="Arial"/>
                <w:w w:val="95"/>
                <w:sz w:val="16"/>
              </w:rPr>
              <w:t>32,088,888</w:t>
            </w:r>
            <w:r>
              <w:rPr>
                <w:rFonts w:ascii="Arial"/>
                <w:sz w:val="16"/>
              </w:rPr>
            </w:r>
          </w:p>
        </w:tc>
        <w:tc>
          <w:tcPr>
            <w:tcW w:w="137" w:type="dxa"/>
            <w:tcBorders>
              <w:top w:val="nil" w:sz="6" w:space="0" w:color="auto"/>
              <w:left w:val="nil" w:sz="6" w:space="0" w:color="auto"/>
              <w:bottom w:val="nil" w:sz="6" w:space="0" w:color="auto"/>
              <w:right w:val="nil" w:sz="6" w:space="0" w:color="auto"/>
            </w:tcBorders>
          </w:tcPr>
          <w:p>
            <w:pPr/>
          </w:p>
        </w:tc>
        <w:tc>
          <w:tcPr>
            <w:tcW w:w="943" w:type="dxa"/>
            <w:tcBorders>
              <w:top w:val="nil" w:sz="6" w:space="0" w:color="auto"/>
              <w:left w:val="nil" w:sz="6" w:space="0" w:color="auto"/>
              <w:bottom w:val="single" w:sz="17" w:space="0" w:color="000000"/>
              <w:right w:val="nil" w:sz="6" w:space="0" w:color="auto"/>
            </w:tcBorders>
          </w:tcPr>
          <w:p>
            <w:pPr>
              <w:pStyle w:val="TableParagraph"/>
              <w:spacing w:line="240" w:lineRule="auto" w:before="109"/>
              <w:ind w:left="26" w:right="0"/>
              <w:jc w:val="center"/>
              <w:rPr>
                <w:rFonts w:ascii="Arial" w:hAnsi="Arial" w:cs="Arial" w:eastAsia="Arial" w:hint="default"/>
                <w:sz w:val="16"/>
                <w:szCs w:val="16"/>
              </w:rPr>
            </w:pPr>
            <w:r>
              <w:rPr>
                <w:rFonts w:ascii="Arial"/>
                <w:sz w:val="16"/>
              </w:rPr>
              <w:t>(5,308,333)</w:t>
            </w:r>
          </w:p>
        </w:tc>
        <w:tc>
          <w:tcPr>
            <w:tcW w:w="137"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single" w:sz="17" w:space="0" w:color="000000"/>
              <w:right w:val="nil" w:sz="6" w:space="0" w:color="auto"/>
            </w:tcBorders>
          </w:tcPr>
          <w:p>
            <w:pPr>
              <w:pStyle w:val="TableParagraph"/>
              <w:spacing w:line="240" w:lineRule="auto" w:before="109"/>
              <w:ind w:right="41"/>
              <w:jc w:val="right"/>
              <w:rPr>
                <w:rFonts w:ascii="Arial" w:hAnsi="Arial" w:cs="Arial" w:eastAsia="Arial" w:hint="default"/>
                <w:sz w:val="16"/>
                <w:szCs w:val="16"/>
              </w:rPr>
            </w:pPr>
            <w:r>
              <w:rPr>
                <w:rFonts w:ascii="Arial"/>
                <w:w w:val="98"/>
                <w:sz w:val="16"/>
              </w:rPr>
              <w:t>-</w:t>
            </w:r>
            <w:r>
              <w:rPr>
                <w:rFonts w:ascii="Arial"/>
                <w:sz w:val="16"/>
              </w:rPr>
            </w:r>
          </w:p>
        </w:tc>
        <w:tc>
          <w:tcPr>
            <w:tcW w:w="137"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single" w:sz="17" w:space="0" w:color="000000"/>
              <w:right w:val="nil" w:sz="6" w:space="0" w:color="auto"/>
            </w:tcBorders>
          </w:tcPr>
          <w:p>
            <w:pPr>
              <w:pStyle w:val="TableParagraph"/>
              <w:spacing w:line="240" w:lineRule="auto" w:before="109"/>
              <w:ind w:right="44"/>
              <w:jc w:val="right"/>
              <w:rPr>
                <w:rFonts w:ascii="Arial" w:hAnsi="Arial" w:cs="Arial" w:eastAsia="Arial" w:hint="default"/>
                <w:sz w:val="16"/>
                <w:szCs w:val="16"/>
              </w:rPr>
            </w:pPr>
            <w:r>
              <w:rPr>
                <w:rFonts w:ascii="Arial"/>
                <w:w w:val="95"/>
                <w:sz w:val="16"/>
              </w:rPr>
              <w:t>9,026,780,555</w:t>
            </w:r>
            <w:r>
              <w:rPr>
                <w:rFonts w:ascii="Arial"/>
                <w:sz w:val="16"/>
              </w:rPr>
            </w:r>
          </w:p>
        </w:tc>
      </w:tr>
    </w:tbl>
    <w:p>
      <w:pPr>
        <w:spacing w:line="240" w:lineRule="auto" w:before="2"/>
        <w:rPr>
          <w:rFonts w:ascii="宋体" w:hAnsi="宋体" w:cs="宋体" w:eastAsia="宋体" w:hint="default"/>
          <w:sz w:val="14"/>
          <w:szCs w:val="14"/>
        </w:rPr>
      </w:pPr>
    </w:p>
    <w:p>
      <w:pPr>
        <w:pStyle w:val="BodyText"/>
        <w:spacing w:line="424" w:lineRule="auto" w:before="32"/>
        <w:ind w:left="551" w:right="1687" w:hanging="10"/>
        <w:jc w:val="left"/>
      </w:pPr>
      <w:r>
        <w:rPr/>
        <w:t>注</w:t>
      </w:r>
      <w:r>
        <w:rPr>
          <w:spacing w:val="-10"/>
        </w:rPr>
        <w:t> </w:t>
      </w:r>
      <w:r>
        <w:rPr>
          <w:rFonts w:ascii="Arial" w:hAnsi="Arial" w:cs="Arial" w:eastAsia="Arial" w:hint="default"/>
          <w:spacing w:val="-1"/>
        </w:rPr>
        <w:t>2</w:t>
      </w:r>
      <w:r>
        <w:rPr>
          <w:spacing w:val="-1"/>
        </w:rPr>
        <w:t>：其他流动负债为本集团所属联通运营公司面向银行间债券市场发行的超短期融资券，均无担保，并于到期按面值加利息兑付。</w:t>
      </w:r>
      <w:r>
        <w:rPr>
          <w:spacing w:val="-99"/>
        </w:rPr>
        <w:t> </w:t>
      </w:r>
      <w:r>
        <w:rPr>
          <w:spacing w:val="-99"/>
        </w:rPr>
      </w:r>
      <w:r>
        <w:rPr/>
        <w:t>注</w:t>
      </w:r>
      <w:r>
        <w:rPr>
          <w:spacing w:val="-58"/>
        </w:rPr>
        <w:t> </w:t>
      </w:r>
      <w:r>
        <w:rPr>
          <w:rFonts w:ascii="Arial" w:hAnsi="Arial" w:cs="Arial" w:eastAsia="Arial" w:hint="default"/>
        </w:rPr>
        <w:t>3</w:t>
      </w:r>
      <w:r>
        <w:rPr/>
        <w:t>：余额包含了附注五</w:t>
      </w:r>
      <w:r>
        <w:rPr>
          <w:rFonts w:ascii="Arial" w:hAnsi="Arial" w:cs="Arial" w:eastAsia="Arial" w:hint="default"/>
        </w:rPr>
        <w:t>(23)(a)</w:t>
      </w:r>
      <w:r>
        <w:rPr/>
        <w:t>列示的应付短期债券利息。</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8"/>
          <w:szCs w:val="18"/>
        </w:rPr>
      </w:pPr>
    </w:p>
    <w:p>
      <w:pPr>
        <w:spacing w:before="0"/>
        <w:ind w:left="7336" w:right="6936" w:firstLine="0"/>
        <w:jc w:val="center"/>
        <w:rPr>
          <w:rFonts w:ascii="宋体" w:hAnsi="宋体" w:cs="宋体" w:eastAsia="宋体" w:hint="default"/>
          <w:sz w:val="16"/>
          <w:szCs w:val="16"/>
        </w:rPr>
      </w:pPr>
      <w:r>
        <w:rPr>
          <w:rFonts w:ascii="宋体" w:hAnsi="宋体" w:cs="宋体" w:eastAsia="宋体" w:hint="default"/>
          <w:sz w:val="16"/>
          <w:szCs w:val="16"/>
        </w:rPr>
        <w:t>152／220</w:t>
      </w:r>
    </w:p>
    <w:p>
      <w:pPr>
        <w:spacing w:after="0"/>
        <w:jc w:val="center"/>
        <w:rPr>
          <w:rFonts w:ascii="宋体" w:hAnsi="宋体" w:cs="宋体" w:eastAsia="宋体" w:hint="default"/>
          <w:sz w:val="16"/>
          <w:szCs w:val="16"/>
        </w:rPr>
        <w:sectPr>
          <w:headerReference w:type="default" r:id="rId178"/>
          <w:footerReference w:type="default" r:id="rId179"/>
          <w:pgSz w:w="16840" w:h="11910" w:orient="landscape"/>
          <w:pgMar w:header="0" w:footer="0" w:top="1100" w:bottom="280" w:left="740" w:right="1140"/>
        </w:sectPr>
      </w:pPr>
    </w:p>
    <w:p>
      <w:pPr>
        <w:spacing w:line="240" w:lineRule="auto" w:before="5"/>
        <w:rPr>
          <w:rFonts w:ascii="宋体" w:hAnsi="宋体" w:cs="宋体" w:eastAsia="宋体" w:hint="default"/>
          <w:sz w:val="23"/>
          <w:szCs w:val="23"/>
        </w:rPr>
      </w:pPr>
    </w:p>
    <w:tbl>
      <w:tblPr>
        <w:tblW w:w="0" w:type="auto"/>
        <w:jc w:val="left"/>
        <w:tblInd w:w="392" w:type="dxa"/>
        <w:tblLayout w:type="fixed"/>
        <w:tblCellMar>
          <w:top w:w="0" w:type="dxa"/>
          <w:left w:w="0" w:type="dxa"/>
          <w:bottom w:w="0" w:type="dxa"/>
          <w:right w:w="0" w:type="dxa"/>
        </w:tblCellMar>
        <w:tblLook w:val="01E0"/>
      </w:tblPr>
      <w:tblGrid>
        <w:gridCol w:w="2948"/>
        <w:gridCol w:w="1265"/>
        <w:gridCol w:w="2304"/>
        <w:gridCol w:w="526"/>
        <w:gridCol w:w="2146"/>
      </w:tblGrid>
      <w:tr>
        <w:trPr>
          <w:trHeight w:val="264" w:hRule="exact"/>
        </w:trPr>
        <w:tc>
          <w:tcPr>
            <w:tcW w:w="2948" w:type="dxa"/>
            <w:tcBorders>
              <w:top w:val="nil" w:sz="6" w:space="0" w:color="auto"/>
              <w:left w:val="nil" w:sz="6" w:space="0" w:color="auto"/>
              <w:bottom w:val="nil" w:sz="6" w:space="0" w:color="auto"/>
              <w:right w:val="nil" w:sz="6" w:space="0" w:color="auto"/>
            </w:tcBorders>
          </w:tcPr>
          <w:p>
            <w:pPr/>
          </w:p>
        </w:tc>
        <w:tc>
          <w:tcPr>
            <w:tcW w:w="1265" w:type="dxa"/>
            <w:tcBorders>
              <w:top w:val="nil" w:sz="6" w:space="0" w:color="auto"/>
              <w:left w:val="nil" w:sz="6" w:space="0" w:color="auto"/>
              <w:bottom w:val="nil" w:sz="6" w:space="0" w:color="auto"/>
              <w:right w:val="nil" w:sz="6" w:space="0" w:color="auto"/>
            </w:tcBorders>
          </w:tcPr>
          <w:p>
            <w:pPr>
              <w:pStyle w:val="TableParagraph"/>
              <w:spacing w:line="221" w:lineRule="exact"/>
              <w:ind w:right="0"/>
              <w:jc w:val="center"/>
              <w:rPr>
                <w:rFonts w:ascii="宋体" w:hAnsi="宋体" w:cs="宋体" w:eastAsia="宋体" w:hint="default"/>
                <w:sz w:val="22"/>
                <w:szCs w:val="22"/>
              </w:rPr>
            </w:pPr>
            <w:r>
              <w:rPr>
                <w:rFonts w:ascii="宋体" w:hAnsi="宋体" w:cs="宋体" w:eastAsia="宋体" w:hint="default"/>
                <w:w w:val="100"/>
                <w:sz w:val="22"/>
                <w:szCs w:val="22"/>
              </w:rPr>
              <w:t>注</w:t>
            </w:r>
          </w:p>
        </w:tc>
        <w:tc>
          <w:tcPr>
            <w:tcW w:w="2304" w:type="dxa"/>
            <w:tcBorders>
              <w:top w:val="nil" w:sz="6" w:space="0" w:color="auto"/>
              <w:left w:val="nil" w:sz="6" w:space="0" w:color="auto"/>
              <w:bottom w:val="single" w:sz="6" w:space="0" w:color="000000"/>
              <w:right w:val="nil" w:sz="6" w:space="0" w:color="auto"/>
            </w:tcBorders>
          </w:tcPr>
          <w:p>
            <w:pPr>
              <w:pStyle w:val="TableParagraph"/>
              <w:spacing w:line="236" w:lineRule="exact"/>
              <w:ind w:left="331"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526"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single" w:sz="6" w:space="0" w:color="000000"/>
              <w:right w:val="nil" w:sz="6" w:space="0" w:color="auto"/>
            </w:tcBorders>
          </w:tcPr>
          <w:p>
            <w:pPr>
              <w:pStyle w:val="TableParagraph"/>
              <w:spacing w:line="236" w:lineRule="exact"/>
              <w:ind w:left="160"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557" w:hRule="exact"/>
        </w:trPr>
        <w:tc>
          <w:tcPr>
            <w:tcW w:w="29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保证借款</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0"/>
              <w:jc w:val="center"/>
              <w:rPr>
                <w:rFonts w:ascii="Arial" w:hAnsi="Arial" w:cs="Arial" w:eastAsia="Arial" w:hint="default"/>
                <w:sz w:val="22"/>
                <w:szCs w:val="22"/>
              </w:rPr>
            </w:pPr>
            <w:r>
              <w:rPr>
                <w:rFonts w:ascii="Arial"/>
                <w:sz w:val="22"/>
              </w:rPr>
              <w:t>(a)</w:t>
            </w:r>
          </w:p>
        </w:tc>
        <w:tc>
          <w:tcPr>
            <w:tcW w:w="2304"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10"/>
              <w:jc w:val="right"/>
              <w:rPr>
                <w:rFonts w:ascii="Arial" w:hAnsi="Arial" w:cs="Arial" w:eastAsia="Arial" w:hint="default"/>
                <w:sz w:val="22"/>
                <w:szCs w:val="22"/>
              </w:rPr>
            </w:pPr>
            <w:r>
              <w:rPr>
                <w:rFonts w:ascii="Arial"/>
                <w:spacing w:val="-1"/>
                <w:sz w:val="22"/>
              </w:rPr>
              <w:t>61,348,554</w:t>
            </w:r>
          </w:p>
        </w:tc>
        <w:tc>
          <w:tcPr>
            <w:tcW w:w="526" w:type="dxa"/>
            <w:tcBorders>
              <w:top w:val="nil" w:sz="6" w:space="0" w:color="auto"/>
              <w:left w:val="nil" w:sz="6" w:space="0" w:color="auto"/>
              <w:bottom w:val="nil" w:sz="6" w:space="0" w:color="auto"/>
              <w:right w:val="nil" w:sz="6" w:space="0" w:color="auto"/>
            </w:tcBorders>
          </w:tcPr>
          <w:p>
            <w:pPr/>
          </w:p>
        </w:tc>
        <w:tc>
          <w:tcPr>
            <w:tcW w:w="2146"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65"/>
              <w:jc w:val="right"/>
              <w:rPr>
                <w:rFonts w:ascii="Arial" w:hAnsi="Arial" w:cs="Arial" w:eastAsia="Arial" w:hint="default"/>
                <w:sz w:val="22"/>
                <w:szCs w:val="22"/>
              </w:rPr>
            </w:pPr>
            <w:r>
              <w:rPr>
                <w:rFonts w:ascii="Arial"/>
                <w:spacing w:val="-1"/>
                <w:sz w:val="22"/>
              </w:rPr>
              <w:t>95,735,474</w:t>
            </w:r>
          </w:p>
        </w:tc>
      </w:tr>
      <w:tr>
        <w:trPr>
          <w:trHeight w:val="295" w:hRule="exact"/>
        </w:trPr>
        <w:tc>
          <w:tcPr>
            <w:tcW w:w="2948"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信用借款</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0"/>
              <w:jc w:val="center"/>
              <w:rPr>
                <w:rFonts w:ascii="Arial" w:hAnsi="Arial" w:cs="Arial" w:eastAsia="Arial" w:hint="default"/>
                <w:sz w:val="22"/>
                <w:szCs w:val="22"/>
              </w:rPr>
            </w:pPr>
            <w:r>
              <w:rPr>
                <w:rFonts w:ascii="Arial"/>
                <w:sz w:val="22"/>
              </w:rPr>
              <w:t>(b)</w:t>
            </w:r>
          </w:p>
        </w:tc>
        <w:tc>
          <w:tcPr>
            <w:tcW w:w="2304" w:type="dxa"/>
            <w:tcBorders>
              <w:top w:val="nil" w:sz="6" w:space="0" w:color="auto"/>
              <w:left w:val="nil" w:sz="6" w:space="0" w:color="auto"/>
              <w:bottom w:val="nil" w:sz="6" w:space="0" w:color="auto"/>
              <w:right w:val="nil" w:sz="6" w:space="0" w:color="auto"/>
            </w:tcBorders>
          </w:tcPr>
          <w:p>
            <w:pPr>
              <w:pStyle w:val="TableParagraph"/>
              <w:tabs>
                <w:tab w:pos="782" w:val="left" w:leader="none"/>
                <w:tab w:pos="2303"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3,244,885,038</w:t>
              <w:tab/>
            </w:r>
            <w:r>
              <w:rPr>
                <w:rFonts w:ascii="Arial"/>
                <w:spacing w:val="-1"/>
                <w:sz w:val="22"/>
              </w:rPr>
            </w:r>
          </w:p>
        </w:tc>
        <w:tc>
          <w:tcPr>
            <w:tcW w:w="526"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Style w:val="TableParagraph"/>
              <w:tabs>
                <w:tab w:pos="669" w:val="left" w:leader="none"/>
              </w:tabs>
              <w:spacing w:line="240" w:lineRule="auto" w:before="21"/>
              <w:ind w:left="7"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3,518,253,860</w:t>
            </w:r>
            <w:r>
              <w:rPr>
                <w:rFonts w:ascii="Arial"/>
                <w:sz w:val="22"/>
              </w:rPr>
            </w:r>
          </w:p>
        </w:tc>
      </w:tr>
      <w:tr>
        <w:trPr>
          <w:trHeight w:val="418" w:hRule="exact"/>
        </w:trPr>
        <w:tc>
          <w:tcPr>
            <w:tcW w:w="2948" w:type="dxa"/>
            <w:tcBorders>
              <w:top w:val="nil" w:sz="6" w:space="0" w:color="auto"/>
              <w:left w:val="nil" w:sz="6" w:space="0" w:color="auto"/>
              <w:bottom w:val="nil" w:sz="6" w:space="0" w:color="auto"/>
              <w:right w:val="nil" w:sz="6" w:space="0" w:color="auto"/>
            </w:tcBorders>
          </w:tcPr>
          <w:p>
            <w:pPr>
              <w:pStyle w:val="TableParagraph"/>
              <w:spacing w:line="246" w:lineRule="exact"/>
              <w:ind w:left="200" w:right="0"/>
              <w:jc w:val="left"/>
              <w:rPr>
                <w:rFonts w:ascii="宋体" w:hAnsi="宋体" w:cs="宋体" w:eastAsia="宋体" w:hint="default"/>
                <w:sz w:val="22"/>
                <w:szCs w:val="22"/>
              </w:rPr>
            </w:pPr>
            <w:r>
              <w:rPr>
                <w:rFonts w:ascii="宋体" w:hAnsi="宋体" w:cs="宋体" w:eastAsia="宋体" w:hint="default"/>
                <w:sz w:val="22"/>
                <w:szCs w:val="22"/>
              </w:rPr>
              <w:t>小计</w:t>
            </w:r>
          </w:p>
        </w:tc>
        <w:tc>
          <w:tcPr>
            <w:tcW w:w="35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3"/>
              <w:ind w:left="2047" w:right="0"/>
              <w:jc w:val="left"/>
              <w:rPr>
                <w:rFonts w:ascii="Arial" w:hAnsi="Arial" w:cs="Arial" w:eastAsia="Arial" w:hint="default"/>
                <w:sz w:val="22"/>
                <w:szCs w:val="22"/>
              </w:rPr>
            </w:pPr>
            <w:r>
              <w:rPr>
                <w:rFonts w:ascii="Arial"/>
                <w:sz w:val="22"/>
              </w:rPr>
              <w:t>3,306,233,592</w:t>
            </w:r>
          </w:p>
        </w:tc>
        <w:tc>
          <w:tcPr>
            <w:tcW w:w="526"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5"/>
              <w:jc w:val="right"/>
              <w:rPr>
                <w:rFonts w:ascii="Arial" w:hAnsi="Arial" w:cs="Arial" w:eastAsia="Arial" w:hint="default"/>
                <w:sz w:val="22"/>
                <w:szCs w:val="22"/>
              </w:rPr>
            </w:pPr>
            <w:r>
              <w:rPr>
                <w:rFonts w:ascii="Arial"/>
                <w:spacing w:val="-1"/>
                <w:sz w:val="22"/>
              </w:rPr>
              <w:t>3,613,989,334</w:t>
            </w:r>
          </w:p>
        </w:tc>
      </w:tr>
      <w:tr>
        <w:trPr>
          <w:trHeight w:val="542" w:hRule="exact"/>
        </w:trPr>
        <w:tc>
          <w:tcPr>
            <w:tcW w:w="2948" w:type="dxa"/>
            <w:tcBorders>
              <w:top w:val="nil" w:sz="6" w:space="0" w:color="auto"/>
              <w:left w:val="nil" w:sz="6" w:space="0" w:color="auto"/>
              <w:bottom w:val="nil" w:sz="6" w:space="0" w:color="auto"/>
              <w:right w:val="nil" w:sz="6" w:space="0" w:color="auto"/>
            </w:tcBorders>
          </w:tcPr>
          <w:p>
            <w:pPr>
              <w:pStyle w:val="TableParagraph"/>
              <w:spacing w:line="240" w:lineRule="auto" w:before="78"/>
              <w:ind w:left="200" w:right="0"/>
              <w:jc w:val="left"/>
              <w:rPr>
                <w:rFonts w:ascii="宋体" w:hAnsi="宋体" w:cs="宋体" w:eastAsia="宋体" w:hint="default"/>
                <w:sz w:val="22"/>
                <w:szCs w:val="22"/>
              </w:rPr>
            </w:pPr>
            <w:r>
              <w:rPr>
                <w:rFonts w:ascii="宋体" w:hAnsi="宋体" w:cs="宋体" w:eastAsia="宋体" w:hint="default"/>
                <w:sz w:val="22"/>
                <w:szCs w:val="22"/>
              </w:rPr>
              <w:t>减：一年内到期的长期借款</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0"/>
              <w:jc w:val="center"/>
              <w:rPr>
                <w:rFonts w:ascii="Arial" w:hAnsi="Arial" w:cs="Arial" w:eastAsia="Arial" w:hint="default"/>
                <w:sz w:val="22"/>
                <w:szCs w:val="22"/>
              </w:rPr>
            </w:pPr>
            <w:r>
              <w:rPr>
                <w:rFonts w:ascii="宋体" w:hAnsi="宋体" w:cs="宋体" w:eastAsia="宋体" w:hint="default"/>
                <w:sz w:val="22"/>
                <w:szCs w:val="22"/>
              </w:rPr>
              <w:t>附注五</w:t>
            </w:r>
            <w:r>
              <w:rPr>
                <w:rFonts w:ascii="Arial" w:hAnsi="Arial" w:cs="Arial" w:eastAsia="Arial" w:hint="default"/>
                <w:sz w:val="22"/>
                <w:szCs w:val="22"/>
              </w:rPr>
              <w:t>(24)</w:t>
            </w:r>
          </w:p>
        </w:tc>
        <w:tc>
          <w:tcPr>
            <w:tcW w:w="2304" w:type="dxa"/>
            <w:tcBorders>
              <w:top w:val="nil" w:sz="6" w:space="0" w:color="auto"/>
              <w:left w:val="nil" w:sz="6" w:space="0" w:color="auto"/>
              <w:bottom w:val="nil" w:sz="6" w:space="0" w:color="auto"/>
              <w:right w:val="nil" w:sz="6" w:space="0" w:color="auto"/>
            </w:tcBorders>
          </w:tcPr>
          <w:p>
            <w:pPr>
              <w:pStyle w:val="TableParagraph"/>
              <w:tabs>
                <w:tab w:pos="892" w:val="left" w:leader="none"/>
              </w:tabs>
              <w:spacing w:line="240" w:lineRule="auto" w:before="143"/>
              <w:ind w:right="3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(436,968,366)</w:t>
            </w:r>
            <w:r>
              <w:rPr>
                <w:rFonts w:ascii="Arial"/>
                <w:sz w:val="22"/>
              </w:rPr>
            </w:r>
          </w:p>
        </w:tc>
        <w:tc>
          <w:tcPr>
            <w:tcW w:w="526"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Style w:val="TableParagraph"/>
              <w:tabs>
                <w:tab w:pos="770" w:val="left" w:leader="none"/>
              </w:tabs>
              <w:spacing w:line="240" w:lineRule="auto" w:before="143"/>
              <w:ind w:left="7"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(440,816,358)</w:t>
            </w:r>
            <w:r>
              <w:rPr>
                <w:rFonts w:ascii="Arial"/>
                <w:sz w:val="22"/>
              </w:rPr>
            </w:r>
          </w:p>
        </w:tc>
      </w:tr>
      <w:tr>
        <w:trPr>
          <w:trHeight w:val="429" w:hRule="exact"/>
        </w:trPr>
        <w:tc>
          <w:tcPr>
            <w:tcW w:w="294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1265" w:type="dxa"/>
            <w:tcBorders>
              <w:top w:val="nil" w:sz="6" w:space="0" w:color="auto"/>
              <w:left w:val="nil" w:sz="6" w:space="0" w:color="auto"/>
              <w:bottom w:val="nil" w:sz="6" w:space="0" w:color="auto"/>
              <w:right w:val="nil" w:sz="6" w:space="0" w:color="auto"/>
            </w:tcBorders>
          </w:tcPr>
          <w:p>
            <w:pPr/>
          </w:p>
        </w:tc>
        <w:tc>
          <w:tcPr>
            <w:tcW w:w="2304" w:type="dxa"/>
            <w:tcBorders>
              <w:top w:val="nil" w:sz="6" w:space="0" w:color="auto"/>
              <w:left w:val="nil" w:sz="6" w:space="0" w:color="auto"/>
              <w:bottom w:val="single" w:sz="17" w:space="0" w:color="000000"/>
              <w:right w:val="nil" w:sz="6" w:space="0" w:color="auto"/>
            </w:tcBorders>
          </w:tcPr>
          <w:p>
            <w:pPr>
              <w:pStyle w:val="TableParagraph"/>
              <w:spacing w:line="240" w:lineRule="auto" w:before="153"/>
              <w:ind w:right="110"/>
              <w:jc w:val="right"/>
              <w:rPr>
                <w:rFonts w:ascii="Arial" w:hAnsi="Arial" w:cs="Arial" w:eastAsia="Arial" w:hint="default"/>
                <w:sz w:val="22"/>
                <w:szCs w:val="22"/>
              </w:rPr>
            </w:pPr>
            <w:r>
              <w:rPr>
                <w:rFonts w:ascii="Arial"/>
                <w:spacing w:val="-1"/>
                <w:sz w:val="22"/>
              </w:rPr>
              <w:t>2,869,265,226</w:t>
            </w:r>
          </w:p>
        </w:tc>
        <w:tc>
          <w:tcPr>
            <w:tcW w:w="526"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single" w:sz="17" w:space="0" w:color="000000"/>
              <w:right w:val="nil" w:sz="6" w:space="0" w:color="auto"/>
            </w:tcBorders>
          </w:tcPr>
          <w:p>
            <w:pPr>
              <w:pStyle w:val="TableParagraph"/>
              <w:spacing w:line="240" w:lineRule="auto" w:before="153"/>
              <w:ind w:right="65"/>
              <w:jc w:val="right"/>
              <w:rPr>
                <w:rFonts w:ascii="Arial" w:hAnsi="Arial" w:cs="Arial" w:eastAsia="Arial" w:hint="default"/>
                <w:sz w:val="22"/>
                <w:szCs w:val="22"/>
              </w:rPr>
            </w:pPr>
            <w:r>
              <w:rPr>
                <w:rFonts w:ascii="Arial"/>
                <w:spacing w:val="-1"/>
                <w:sz w:val="22"/>
              </w:rPr>
              <w:t>3,173,172,976</w:t>
            </w:r>
          </w:p>
        </w:tc>
      </w:tr>
    </w:tbl>
    <w:p>
      <w:pPr>
        <w:spacing w:line="240" w:lineRule="auto" w:before="7"/>
        <w:rPr>
          <w:rFonts w:ascii="宋体" w:hAnsi="宋体" w:cs="宋体" w:eastAsia="宋体" w:hint="default"/>
          <w:sz w:val="10"/>
          <w:szCs w:val="10"/>
        </w:rPr>
      </w:pPr>
    </w:p>
    <w:p>
      <w:pPr>
        <w:pStyle w:val="BodyText"/>
        <w:spacing w:line="296" w:lineRule="exact" w:before="32"/>
        <w:ind w:left="112" w:right="0"/>
        <w:jc w:val="left"/>
      </w:pPr>
      <w:r>
        <w:rPr>
          <w:rFonts w:ascii="Arial" w:hAnsi="Arial" w:cs="Arial" w:eastAsia="Arial" w:hint="default"/>
        </w:rPr>
        <w:t>(a) </w:t>
      </w:r>
      <w:r>
        <w:rPr>
          <w:rFonts w:ascii="Arial" w:hAnsi="Arial" w:cs="Arial" w:eastAsia="Arial" w:hint="default"/>
          <w:spacing w:val="38"/>
        </w:rPr>
        <w:t> </w:t>
      </w:r>
      <w:r>
        <w:rPr/>
        <w:t>于</w:t>
      </w:r>
      <w:r>
        <w:rPr>
          <w:spacing w:val="-57"/>
        </w:rPr>
        <w:t> </w:t>
      </w:r>
      <w:r>
        <w:rPr>
          <w:rFonts w:ascii="Arial" w:hAnsi="Arial" w:cs="Arial" w:eastAsia="Arial" w:hint="default"/>
        </w:rPr>
        <w:t>2019</w:t>
      </w:r>
      <w:r>
        <w:rPr>
          <w:rFonts w:ascii="Arial" w:hAnsi="Arial" w:cs="Arial" w:eastAsia="Arial" w:hint="default"/>
          <w:spacing w:val="-6"/>
        </w:rPr>
        <w:t> </w:t>
      </w:r>
      <w:r>
        <w:rPr/>
        <w:t>年</w:t>
      </w:r>
      <w:r>
        <w:rPr>
          <w:spacing w:val="-62"/>
        </w:rPr>
        <w:t> </w:t>
      </w:r>
      <w:r>
        <w:rPr>
          <w:rFonts w:ascii="Arial" w:hAnsi="Arial" w:cs="Arial" w:eastAsia="Arial" w:hint="default"/>
        </w:rPr>
        <w:t>12</w:t>
      </w:r>
      <w:r>
        <w:rPr>
          <w:rFonts w:ascii="Arial" w:hAnsi="Arial" w:cs="Arial" w:eastAsia="Arial" w:hint="default"/>
          <w:spacing w:val="-6"/>
        </w:rPr>
        <w:t> </w:t>
      </w:r>
      <w:r>
        <w:rPr/>
        <w:t>月</w:t>
      </w:r>
      <w:r>
        <w:rPr>
          <w:spacing w:val="-57"/>
        </w:rPr>
        <w:t> </w:t>
      </w:r>
      <w:r>
        <w:rPr>
          <w:rFonts w:ascii="Arial" w:hAnsi="Arial" w:cs="Arial" w:eastAsia="Arial" w:hint="default"/>
        </w:rPr>
        <w:t>31</w:t>
      </w:r>
      <w:r>
        <w:rPr>
          <w:rFonts w:ascii="Arial" w:hAnsi="Arial" w:cs="Arial" w:eastAsia="Arial" w:hint="default"/>
          <w:spacing w:val="-6"/>
        </w:rPr>
        <w:t> </w:t>
      </w:r>
      <w:r>
        <w:rPr/>
        <w:t>日，保证借款包括由第三方提供担保的借款（含一年内）约人民币</w:t>
      </w:r>
      <w:r>
        <w:rPr>
          <w:spacing w:val="-57"/>
        </w:rPr>
        <w:t> </w:t>
      </w:r>
      <w:r>
        <w:rPr>
          <w:rFonts w:ascii="Arial" w:hAnsi="Arial" w:cs="Arial" w:eastAsia="Arial" w:hint="default"/>
        </w:rPr>
        <w:t>0.61</w:t>
      </w:r>
      <w:r>
        <w:rPr>
          <w:rFonts w:ascii="Arial" w:hAnsi="Arial" w:cs="Arial" w:eastAsia="Arial" w:hint="default"/>
          <w:spacing w:val="-6"/>
        </w:rPr>
        <w:t> </w:t>
      </w:r>
      <w:r>
        <w:rPr/>
        <w:t>亿</w:t>
      </w:r>
    </w:p>
    <w:p>
      <w:pPr>
        <w:pStyle w:val="BodyText"/>
        <w:spacing w:line="296" w:lineRule="exact"/>
        <w:ind w:left="539" w:right="0"/>
        <w:jc w:val="left"/>
      </w:pPr>
      <w:r>
        <w:rPr/>
        <w:t>元（</w:t>
      </w:r>
      <w:r>
        <w:rPr>
          <w:rFonts w:ascii="Arial" w:hAnsi="Arial" w:cs="Arial" w:eastAsia="Arial" w:hint="default"/>
        </w:rPr>
        <w:t>2018</w:t>
      </w:r>
      <w:r>
        <w:rPr>
          <w:rFonts w:ascii="Arial" w:hAnsi="Arial" w:cs="Arial" w:eastAsia="Arial" w:hint="default"/>
          <w:spacing w:val="-4"/>
        </w:rPr>
        <w:t> </w:t>
      </w:r>
      <w:r>
        <w:rPr/>
        <w:t>年</w:t>
      </w:r>
      <w:r>
        <w:rPr>
          <w:spacing w:val="-55"/>
        </w:rPr>
        <w:t> </w:t>
      </w:r>
      <w:r>
        <w:rPr>
          <w:rFonts w:ascii="Arial" w:hAnsi="Arial" w:cs="Arial" w:eastAsia="Arial" w:hint="default"/>
        </w:rPr>
        <w:t>12</w:t>
      </w:r>
      <w:r>
        <w:rPr>
          <w:rFonts w:ascii="Arial" w:hAnsi="Arial" w:cs="Arial" w:eastAsia="Arial" w:hint="default"/>
          <w:spacing w:val="-4"/>
        </w:rPr>
        <w:t> </w:t>
      </w:r>
      <w:r>
        <w:rPr/>
        <w:t>月</w:t>
      </w:r>
      <w:r>
        <w:rPr>
          <w:spacing w:val="-55"/>
        </w:rPr>
        <w:t> </w:t>
      </w:r>
      <w:r>
        <w:rPr>
          <w:rFonts w:ascii="Arial" w:hAnsi="Arial" w:cs="Arial" w:eastAsia="Arial" w:hint="default"/>
        </w:rPr>
        <w:t>31</w:t>
      </w:r>
      <w:r>
        <w:rPr>
          <w:rFonts w:ascii="Arial" w:hAnsi="Arial" w:cs="Arial" w:eastAsia="Arial" w:hint="default"/>
          <w:spacing w:val="-4"/>
        </w:rPr>
        <w:t> </w:t>
      </w:r>
      <w:r>
        <w:rPr/>
        <w:t>日：约人民币</w:t>
      </w:r>
      <w:r>
        <w:rPr>
          <w:spacing w:val="-61"/>
        </w:rPr>
        <w:t> </w:t>
      </w:r>
      <w:r>
        <w:rPr>
          <w:rFonts w:ascii="Arial" w:hAnsi="Arial" w:cs="Arial" w:eastAsia="Arial" w:hint="default"/>
        </w:rPr>
        <w:t>0.96</w:t>
      </w:r>
      <w:r>
        <w:rPr>
          <w:rFonts w:ascii="Arial" w:hAnsi="Arial" w:cs="Arial" w:eastAsia="Arial" w:hint="default"/>
          <w:spacing w:val="-9"/>
        </w:rPr>
        <w:t> </w:t>
      </w:r>
      <w:r>
        <w:rPr/>
        <w:t>亿元）。</w:t>
      </w:r>
    </w:p>
    <w:p>
      <w:pPr>
        <w:spacing w:line="240" w:lineRule="auto" w:before="11"/>
        <w:rPr>
          <w:rFonts w:ascii="宋体" w:hAnsi="宋体" w:cs="宋体" w:eastAsia="宋体" w:hint="default"/>
          <w:sz w:val="17"/>
          <w:szCs w:val="17"/>
        </w:rPr>
      </w:pPr>
    </w:p>
    <w:p>
      <w:pPr>
        <w:pStyle w:val="BodyText"/>
        <w:spacing w:line="293" w:lineRule="exact"/>
        <w:ind w:left="112" w:right="0"/>
        <w:jc w:val="left"/>
      </w:pPr>
      <w:r>
        <w:rPr>
          <w:rFonts w:ascii="Arial" w:hAnsi="Arial" w:cs="Arial" w:eastAsia="Arial" w:hint="default"/>
        </w:rPr>
        <w:t>(b) </w:t>
      </w:r>
      <w:r>
        <w:rPr>
          <w:rFonts w:ascii="Arial" w:hAnsi="Arial" w:cs="Arial" w:eastAsia="Arial" w:hint="default"/>
          <w:spacing w:val="34"/>
        </w:rPr>
        <w:t> </w:t>
      </w:r>
      <w:r>
        <w:rPr/>
        <w:t>于</w:t>
      </w:r>
      <w:r>
        <w:rPr>
          <w:spacing w:val="-38"/>
        </w:rPr>
        <w:t> </w:t>
      </w:r>
      <w:r>
        <w:rPr>
          <w:rFonts w:ascii="Arial" w:hAnsi="Arial" w:cs="Arial" w:eastAsia="Arial" w:hint="default"/>
        </w:rPr>
        <w:t>2019</w:t>
      </w:r>
      <w:r>
        <w:rPr>
          <w:rFonts w:ascii="Arial" w:hAnsi="Arial" w:cs="Arial" w:eastAsia="Arial" w:hint="default"/>
          <w:spacing w:val="13"/>
        </w:rPr>
        <w:t> </w:t>
      </w:r>
      <w:r>
        <w:rPr/>
        <w:t>年</w:t>
      </w:r>
      <w:r>
        <w:rPr>
          <w:spacing w:val="-43"/>
        </w:rPr>
        <w:t> </w:t>
      </w:r>
      <w:r>
        <w:rPr>
          <w:rFonts w:ascii="Arial" w:hAnsi="Arial" w:cs="Arial" w:eastAsia="Arial" w:hint="default"/>
        </w:rPr>
        <w:t>12</w:t>
      </w:r>
      <w:r>
        <w:rPr>
          <w:rFonts w:ascii="Arial" w:hAnsi="Arial" w:cs="Arial" w:eastAsia="Arial" w:hint="default"/>
          <w:spacing w:val="8"/>
        </w:rPr>
        <w:t> </w:t>
      </w:r>
      <w:r>
        <w:rPr/>
        <w:t>月</w:t>
      </w:r>
      <w:r>
        <w:rPr>
          <w:spacing w:val="-38"/>
        </w:rPr>
        <w:t> </w:t>
      </w:r>
      <w:r>
        <w:rPr>
          <w:rFonts w:ascii="Arial" w:hAnsi="Arial" w:cs="Arial" w:eastAsia="Arial" w:hint="default"/>
        </w:rPr>
        <w:t>31</w:t>
      </w:r>
      <w:r>
        <w:rPr>
          <w:rFonts w:ascii="Arial" w:hAnsi="Arial" w:cs="Arial" w:eastAsia="Arial" w:hint="default"/>
          <w:spacing w:val="12"/>
        </w:rPr>
        <w:t> </w:t>
      </w:r>
      <w:r>
        <w:rPr/>
        <w:t>日，信用借款包括由国开发展基金有限公司和中国农发重点建设基金有限</w:t>
      </w:r>
    </w:p>
    <w:p>
      <w:pPr>
        <w:pStyle w:val="BodyText"/>
        <w:spacing w:line="286" w:lineRule="exact"/>
        <w:ind w:left="539" w:right="0"/>
        <w:jc w:val="left"/>
        <w:rPr>
          <w:rFonts w:ascii="Arial" w:hAnsi="Arial" w:cs="Arial" w:eastAsia="Arial" w:hint="default"/>
        </w:rPr>
      </w:pPr>
      <w:r>
        <w:rPr>
          <w:w w:val="100"/>
        </w:rPr>
        <w:t>公司提供的政策</w:t>
      </w:r>
      <w:r>
        <w:rPr>
          <w:spacing w:val="-5"/>
          <w:w w:val="100"/>
        </w:rPr>
        <w:t>性</w:t>
      </w:r>
      <w:r>
        <w:rPr>
          <w:w w:val="100"/>
        </w:rPr>
        <w:t>优惠贷款约</w:t>
      </w:r>
      <w:r>
        <w:rPr>
          <w:spacing w:val="-5"/>
          <w:w w:val="100"/>
        </w:rPr>
        <w:t>人</w:t>
      </w:r>
      <w:r>
        <w:rPr>
          <w:w w:val="100"/>
        </w:rPr>
        <w:t>民币</w:t>
      </w:r>
      <w:r>
        <w:rPr>
          <w:spacing w:val="-58"/>
        </w:rPr>
        <w:t> </w:t>
      </w:r>
      <w:r>
        <w:rPr>
          <w:rFonts w:ascii="Arial" w:hAnsi="Arial" w:cs="Arial" w:eastAsia="Arial" w:hint="default"/>
          <w:spacing w:val="2"/>
          <w:w w:val="100"/>
        </w:rPr>
        <w:t>3</w:t>
      </w:r>
      <w:r>
        <w:rPr>
          <w:rFonts w:ascii="Arial" w:hAnsi="Arial" w:cs="Arial" w:eastAsia="Arial" w:hint="default"/>
          <w:spacing w:val="-3"/>
          <w:w w:val="100"/>
        </w:rPr>
        <w:t>0</w:t>
      </w:r>
      <w:r>
        <w:rPr>
          <w:rFonts w:ascii="Arial" w:hAnsi="Arial" w:cs="Arial" w:eastAsia="Arial" w:hint="default"/>
          <w:spacing w:val="1"/>
          <w:w w:val="100"/>
        </w:rPr>
        <w:t>.</w:t>
      </w:r>
      <w:r>
        <w:rPr>
          <w:rFonts w:ascii="Arial" w:hAnsi="Arial" w:cs="Arial" w:eastAsia="Arial" w:hint="default"/>
          <w:spacing w:val="2"/>
          <w:w w:val="100"/>
        </w:rPr>
        <w:t>3</w:t>
      </w:r>
      <w:r>
        <w:rPr>
          <w:rFonts w:ascii="Arial" w:hAnsi="Arial" w:cs="Arial" w:eastAsia="Arial" w:hint="default"/>
          <w:w w:val="100"/>
        </w:rPr>
        <w:t>2</w:t>
      </w:r>
      <w:r>
        <w:rPr>
          <w:rFonts w:ascii="Arial" w:hAnsi="Arial" w:cs="Arial" w:eastAsia="Arial" w:hint="default"/>
          <w:spacing w:val="-7"/>
        </w:rPr>
        <w:t> </w:t>
      </w:r>
      <w:r>
        <w:rPr>
          <w:spacing w:val="-5"/>
          <w:w w:val="100"/>
        </w:rPr>
        <w:t>亿</w:t>
      </w:r>
      <w:r>
        <w:rPr>
          <w:w w:val="100"/>
        </w:rPr>
        <w:t>元</w:t>
      </w:r>
      <w:r>
        <w:rPr>
          <w:spacing w:val="-96"/>
          <w:w w:val="100"/>
        </w:rPr>
        <w:t>，</w:t>
      </w:r>
      <w:r>
        <w:rPr>
          <w:w w:val="100"/>
        </w:rPr>
        <w:t>主要用于中小城</w:t>
      </w:r>
      <w:r>
        <w:rPr>
          <w:spacing w:val="-5"/>
          <w:w w:val="100"/>
        </w:rPr>
        <w:t>市</w:t>
      </w:r>
      <w:r>
        <w:rPr>
          <w:w w:val="100"/>
        </w:rPr>
        <w:t>和乡村基础</w:t>
      </w:r>
      <w:r>
        <w:rPr>
          <w:spacing w:val="-5"/>
          <w:w w:val="100"/>
        </w:rPr>
        <w:t>网</w:t>
      </w:r>
      <w:r>
        <w:rPr>
          <w:w w:val="100"/>
        </w:rPr>
        <w:t>络建</w:t>
      </w:r>
      <w:r>
        <w:rPr>
          <w:spacing w:val="-92"/>
          <w:w w:val="100"/>
        </w:rPr>
        <w:t>设</w:t>
      </w:r>
      <w:r>
        <w:rPr>
          <w:spacing w:val="-5"/>
          <w:w w:val="100"/>
        </w:rPr>
        <w:t>（</w:t>
      </w:r>
      <w:r>
        <w:rPr>
          <w:rFonts w:ascii="Arial" w:hAnsi="Arial" w:cs="Arial" w:eastAsia="Arial" w:hint="default"/>
          <w:spacing w:val="2"/>
          <w:w w:val="100"/>
        </w:rPr>
        <w:t>2</w:t>
      </w:r>
      <w:r>
        <w:rPr>
          <w:rFonts w:ascii="Arial" w:hAnsi="Arial" w:cs="Arial" w:eastAsia="Arial" w:hint="default"/>
          <w:spacing w:val="-3"/>
          <w:w w:val="100"/>
        </w:rPr>
        <w:t>0</w:t>
      </w:r>
      <w:r>
        <w:rPr>
          <w:rFonts w:ascii="Arial" w:hAnsi="Arial" w:cs="Arial" w:eastAsia="Arial" w:hint="default"/>
          <w:spacing w:val="2"/>
          <w:w w:val="100"/>
        </w:rPr>
        <w:t>1</w:t>
      </w:r>
      <w:r>
        <w:rPr>
          <w:rFonts w:ascii="Arial" w:hAnsi="Arial" w:cs="Arial" w:eastAsia="Arial" w:hint="default"/>
          <w:w w:val="100"/>
        </w:rPr>
        <w:t>8</w:t>
      </w:r>
    </w:p>
    <w:p>
      <w:pPr>
        <w:pStyle w:val="BodyText"/>
        <w:spacing w:line="386" w:lineRule="auto"/>
        <w:ind w:left="535" w:right="5405" w:firstLine="3"/>
        <w:jc w:val="left"/>
      </w:pPr>
      <w:r>
        <w:rPr/>
        <w:t>年</w:t>
      </w:r>
      <w:r>
        <w:rPr>
          <w:spacing w:val="-56"/>
        </w:rPr>
        <w:t> </w:t>
      </w:r>
      <w:r>
        <w:rPr>
          <w:rFonts w:ascii="Arial" w:hAnsi="Arial" w:cs="Arial" w:eastAsia="Arial" w:hint="default"/>
        </w:rPr>
        <w:t>12</w:t>
      </w:r>
      <w:r>
        <w:rPr>
          <w:rFonts w:ascii="Arial" w:hAnsi="Arial" w:cs="Arial" w:eastAsia="Arial" w:hint="default"/>
          <w:spacing w:val="-5"/>
        </w:rPr>
        <w:t> </w:t>
      </w:r>
      <w:r>
        <w:rPr/>
        <w:t>月</w:t>
      </w:r>
      <w:r>
        <w:rPr>
          <w:spacing w:val="-56"/>
        </w:rPr>
        <w:t> </w:t>
      </w:r>
      <w:r>
        <w:rPr>
          <w:rFonts w:ascii="Arial" w:hAnsi="Arial" w:cs="Arial" w:eastAsia="Arial" w:hint="default"/>
        </w:rPr>
        <w:t>31</w:t>
      </w:r>
      <w:r>
        <w:rPr>
          <w:rFonts w:ascii="Arial" w:hAnsi="Arial" w:cs="Arial" w:eastAsia="Arial" w:hint="default"/>
          <w:spacing w:val="-5"/>
        </w:rPr>
        <w:t> </w:t>
      </w:r>
      <w:r>
        <w:rPr/>
        <w:t>日：约人民币</w:t>
      </w:r>
      <w:r>
        <w:rPr>
          <w:spacing w:val="-61"/>
        </w:rPr>
        <w:t> </w:t>
      </w:r>
      <w:r>
        <w:rPr>
          <w:rFonts w:ascii="Arial" w:hAnsi="Arial" w:cs="Arial" w:eastAsia="Arial" w:hint="default"/>
        </w:rPr>
        <w:t>32.99</w:t>
      </w:r>
      <w:r>
        <w:rPr>
          <w:rFonts w:ascii="Arial" w:hAnsi="Arial" w:cs="Arial" w:eastAsia="Arial" w:hint="default"/>
          <w:spacing w:val="-5"/>
        </w:rPr>
        <w:t> </w:t>
      </w:r>
      <w:r>
        <w:rPr/>
        <w:t>亿元）。</w:t>
      </w:r>
      <w:r>
        <w:rPr>
          <w:w w:val="100"/>
        </w:rPr>
        <w:t> </w:t>
      </w:r>
      <w:r>
        <w:rPr/>
        <w:t>长期借款到期日分析如下：</w:t>
      </w:r>
    </w:p>
    <w:p>
      <w:pPr>
        <w:spacing w:line="240" w:lineRule="auto" w:before="9"/>
        <w:rPr>
          <w:rFonts w:ascii="宋体" w:hAnsi="宋体" w:cs="宋体" w:eastAsia="宋体" w:hint="default"/>
          <w:sz w:val="10"/>
          <w:szCs w:val="10"/>
        </w:rPr>
      </w:pPr>
    </w:p>
    <w:tbl>
      <w:tblPr>
        <w:tblW w:w="0" w:type="auto"/>
        <w:jc w:val="left"/>
        <w:tblInd w:w="349" w:type="dxa"/>
        <w:tblLayout w:type="fixed"/>
        <w:tblCellMar>
          <w:top w:w="0" w:type="dxa"/>
          <w:left w:w="0" w:type="dxa"/>
          <w:bottom w:w="0" w:type="dxa"/>
          <w:right w:w="0" w:type="dxa"/>
        </w:tblCellMar>
        <w:tblLook w:val="01E0"/>
      </w:tblPr>
      <w:tblGrid>
        <w:gridCol w:w="4323"/>
        <w:gridCol w:w="2395"/>
        <w:gridCol w:w="132"/>
        <w:gridCol w:w="2354"/>
      </w:tblGrid>
      <w:tr>
        <w:trPr>
          <w:trHeight w:val="259" w:hRule="exact"/>
        </w:trPr>
        <w:tc>
          <w:tcPr>
            <w:tcW w:w="4323" w:type="dxa"/>
            <w:tcBorders>
              <w:top w:val="nil" w:sz="6" w:space="0" w:color="auto"/>
              <w:left w:val="nil" w:sz="6" w:space="0" w:color="auto"/>
              <w:bottom w:val="nil" w:sz="6" w:space="0" w:color="auto"/>
              <w:right w:val="nil" w:sz="6" w:space="0" w:color="auto"/>
            </w:tcBorders>
          </w:tcPr>
          <w:p>
            <w:pPr/>
          </w:p>
        </w:tc>
        <w:tc>
          <w:tcPr>
            <w:tcW w:w="2395" w:type="dxa"/>
            <w:tcBorders>
              <w:top w:val="nil" w:sz="6" w:space="0" w:color="auto"/>
              <w:left w:val="nil" w:sz="6" w:space="0" w:color="auto"/>
              <w:bottom w:val="single" w:sz="6" w:space="0" w:color="000000"/>
              <w:right w:val="nil" w:sz="6" w:space="0" w:color="auto"/>
            </w:tcBorders>
          </w:tcPr>
          <w:p>
            <w:pPr>
              <w:pStyle w:val="TableParagraph"/>
              <w:spacing w:line="236" w:lineRule="exact"/>
              <w:ind w:right="50"/>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132" w:type="dxa"/>
            <w:tcBorders>
              <w:top w:val="nil" w:sz="6" w:space="0" w:color="auto"/>
              <w:left w:val="nil" w:sz="6" w:space="0" w:color="auto"/>
              <w:bottom w:val="nil" w:sz="6" w:space="0" w:color="auto"/>
              <w:right w:val="nil" w:sz="6" w:space="0" w:color="auto"/>
            </w:tcBorders>
          </w:tcPr>
          <w:p>
            <w:pPr/>
          </w:p>
        </w:tc>
        <w:tc>
          <w:tcPr>
            <w:tcW w:w="2354" w:type="dxa"/>
            <w:tcBorders>
              <w:top w:val="nil" w:sz="6" w:space="0" w:color="auto"/>
              <w:left w:val="nil" w:sz="6" w:space="0" w:color="auto"/>
              <w:bottom w:val="single" w:sz="6" w:space="0" w:color="000000"/>
              <w:right w:val="nil" w:sz="6" w:space="0" w:color="auto"/>
            </w:tcBorders>
          </w:tcPr>
          <w:p>
            <w:pPr>
              <w:pStyle w:val="TableParagraph"/>
              <w:spacing w:line="236" w:lineRule="exact"/>
              <w:ind w:right="50"/>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557" w:hRule="exact"/>
        </w:trPr>
        <w:tc>
          <w:tcPr>
            <w:tcW w:w="43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Arial" w:hAnsi="Arial" w:cs="Arial" w:eastAsia="Arial" w:hint="default"/>
                <w:sz w:val="22"/>
                <w:szCs w:val="22"/>
              </w:rPr>
              <w:t>1</w:t>
            </w:r>
            <w:r>
              <w:rPr>
                <w:rFonts w:ascii="Arial" w:hAnsi="Arial" w:cs="Arial" w:eastAsia="Arial" w:hint="default"/>
                <w:spacing w:val="-7"/>
                <w:sz w:val="22"/>
                <w:szCs w:val="22"/>
              </w:rPr>
              <w:t> </w:t>
            </w:r>
            <w:r>
              <w:rPr>
                <w:rFonts w:ascii="宋体" w:hAnsi="宋体" w:cs="宋体" w:eastAsia="宋体" w:hint="default"/>
                <w:sz w:val="22"/>
                <w:szCs w:val="22"/>
              </w:rPr>
              <w:t>到</w:t>
            </w:r>
            <w:r>
              <w:rPr>
                <w:rFonts w:ascii="宋体" w:hAnsi="宋体" w:cs="宋体" w:eastAsia="宋体" w:hint="default"/>
                <w:spacing w:val="-58"/>
                <w:sz w:val="22"/>
                <w:szCs w:val="22"/>
              </w:rPr>
              <w:t> </w:t>
            </w:r>
            <w:r>
              <w:rPr>
                <w:rFonts w:ascii="Arial" w:hAnsi="Arial" w:cs="Arial" w:eastAsia="Arial" w:hint="default"/>
                <w:sz w:val="22"/>
                <w:szCs w:val="22"/>
              </w:rPr>
              <w:t>2</w:t>
            </w:r>
            <w:r>
              <w:rPr>
                <w:rFonts w:ascii="Arial" w:hAnsi="Arial" w:cs="Arial" w:eastAsia="Arial" w:hint="default"/>
                <w:spacing w:val="-7"/>
                <w:sz w:val="22"/>
                <w:szCs w:val="22"/>
              </w:rPr>
              <w:t> </w:t>
            </w:r>
            <w:r>
              <w:rPr>
                <w:rFonts w:ascii="宋体" w:hAnsi="宋体" w:cs="宋体" w:eastAsia="宋体" w:hint="default"/>
                <w:sz w:val="22"/>
                <w:szCs w:val="22"/>
              </w:rPr>
              <w:t>年</w:t>
            </w:r>
          </w:p>
        </w:tc>
        <w:tc>
          <w:tcPr>
            <w:tcW w:w="2395"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84"/>
              <w:jc w:val="right"/>
              <w:rPr>
                <w:rFonts w:ascii="Arial" w:hAnsi="Arial" w:cs="Arial" w:eastAsia="Arial" w:hint="default"/>
                <w:sz w:val="22"/>
                <w:szCs w:val="22"/>
              </w:rPr>
            </w:pPr>
            <w:r>
              <w:rPr>
                <w:rFonts w:ascii="Arial"/>
                <w:sz w:val="22"/>
              </w:rPr>
              <w:t>412,337,486</w:t>
            </w:r>
          </w:p>
        </w:tc>
        <w:tc>
          <w:tcPr>
            <w:tcW w:w="132" w:type="dxa"/>
            <w:tcBorders>
              <w:top w:val="nil" w:sz="6" w:space="0" w:color="auto"/>
              <w:left w:val="nil" w:sz="6" w:space="0" w:color="auto"/>
              <w:bottom w:val="nil" w:sz="6" w:space="0" w:color="auto"/>
              <w:right w:val="nil" w:sz="6" w:space="0" w:color="auto"/>
            </w:tcBorders>
          </w:tcPr>
          <w:p>
            <w:pPr/>
          </w:p>
        </w:tc>
        <w:tc>
          <w:tcPr>
            <w:tcW w:w="2354"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53"/>
              <w:jc w:val="right"/>
              <w:rPr>
                <w:rFonts w:ascii="Arial" w:hAnsi="Arial" w:cs="Arial" w:eastAsia="Arial" w:hint="default"/>
                <w:sz w:val="22"/>
                <w:szCs w:val="22"/>
              </w:rPr>
            </w:pPr>
            <w:r>
              <w:rPr>
                <w:rFonts w:ascii="Arial"/>
                <w:spacing w:val="-1"/>
                <w:sz w:val="22"/>
              </w:rPr>
              <w:t>416,768,634</w:t>
            </w:r>
          </w:p>
        </w:tc>
      </w:tr>
      <w:tr>
        <w:trPr>
          <w:trHeight w:val="288" w:hRule="exact"/>
        </w:trPr>
        <w:tc>
          <w:tcPr>
            <w:tcW w:w="4323"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Arial" w:hAnsi="Arial" w:cs="Arial" w:eastAsia="Arial" w:hint="default"/>
                <w:sz w:val="22"/>
                <w:szCs w:val="22"/>
              </w:rPr>
              <w:t>2</w:t>
            </w:r>
            <w:r>
              <w:rPr>
                <w:rFonts w:ascii="Arial" w:hAnsi="Arial" w:cs="Arial" w:eastAsia="Arial" w:hint="default"/>
                <w:spacing w:val="-7"/>
                <w:sz w:val="22"/>
                <w:szCs w:val="22"/>
              </w:rPr>
              <w:t> </w:t>
            </w:r>
            <w:r>
              <w:rPr>
                <w:rFonts w:ascii="宋体" w:hAnsi="宋体" w:cs="宋体" w:eastAsia="宋体" w:hint="default"/>
                <w:sz w:val="22"/>
                <w:szCs w:val="22"/>
              </w:rPr>
              <w:t>到</w:t>
            </w:r>
            <w:r>
              <w:rPr>
                <w:rFonts w:ascii="宋体" w:hAnsi="宋体" w:cs="宋体" w:eastAsia="宋体" w:hint="default"/>
                <w:spacing w:val="-58"/>
                <w:sz w:val="22"/>
                <w:szCs w:val="22"/>
              </w:rPr>
              <w:t> </w:t>
            </w:r>
            <w:r>
              <w:rPr>
                <w:rFonts w:ascii="Arial" w:hAnsi="Arial" w:cs="Arial" w:eastAsia="Arial" w:hint="default"/>
                <w:sz w:val="22"/>
                <w:szCs w:val="22"/>
              </w:rPr>
              <w:t>5</w:t>
            </w:r>
            <w:r>
              <w:rPr>
                <w:rFonts w:ascii="Arial" w:hAnsi="Arial" w:cs="Arial" w:eastAsia="Arial" w:hint="default"/>
                <w:spacing w:val="-7"/>
                <w:sz w:val="22"/>
                <w:szCs w:val="22"/>
              </w:rPr>
              <w:t> </w:t>
            </w:r>
            <w:r>
              <w:rPr>
                <w:rFonts w:ascii="宋体" w:hAnsi="宋体" w:cs="宋体" w:eastAsia="宋体" w:hint="default"/>
                <w:sz w:val="22"/>
                <w:szCs w:val="22"/>
              </w:rPr>
              <w:t>年</w:t>
            </w:r>
          </w:p>
        </w:tc>
        <w:tc>
          <w:tcPr>
            <w:tcW w:w="2395"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86"/>
              <w:jc w:val="right"/>
              <w:rPr>
                <w:rFonts w:ascii="Arial" w:hAnsi="Arial" w:cs="Arial" w:eastAsia="Arial" w:hint="default"/>
                <w:sz w:val="22"/>
                <w:szCs w:val="22"/>
              </w:rPr>
            </w:pPr>
            <w:r>
              <w:rPr>
                <w:rFonts w:ascii="Arial"/>
                <w:spacing w:val="-1"/>
                <w:sz w:val="22"/>
              </w:rPr>
              <w:t>1,183,636,827</w:t>
            </w:r>
          </w:p>
        </w:tc>
        <w:tc>
          <w:tcPr>
            <w:tcW w:w="132" w:type="dxa"/>
            <w:tcBorders>
              <w:top w:val="nil" w:sz="6" w:space="0" w:color="auto"/>
              <w:left w:val="nil" w:sz="6" w:space="0" w:color="auto"/>
              <w:bottom w:val="nil" w:sz="6" w:space="0" w:color="auto"/>
              <w:right w:val="nil" w:sz="6" w:space="0" w:color="auto"/>
            </w:tcBorders>
          </w:tcPr>
          <w:p>
            <w:pPr/>
          </w:p>
        </w:tc>
        <w:tc>
          <w:tcPr>
            <w:tcW w:w="235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3"/>
              <w:jc w:val="right"/>
              <w:rPr>
                <w:rFonts w:ascii="Arial" w:hAnsi="Arial" w:cs="Arial" w:eastAsia="Arial" w:hint="default"/>
                <w:sz w:val="22"/>
                <w:szCs w:val="22"/>
              </w:rPr>
            </w:pPr>
            <w:r>
              <w:rPr>
                <w:rFonts w:ascii="Arial"/>
                <w:spacing w:val="-1"/>
                <w:sz w:val="22"/>
              </w:rPr>
              <w:t>1,173,400,829</w:t>
            </w:r>
          </w:p>
        </w:tc>
      </w:tr>
      <w:tr>
        <w:trPr>
          <w:trHeight w:val="418" w:hRule="exact"/>
        </w:trPr>
        <w:tc>
          <w:tcPr>
            <w:tcW w:w="4323"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Arial" w:hAnsi="Arial" w:cs="Arial" w:eastAsia="Arial" w:hint="default"/>
                <w:sz w:val="22"/>
                <w:szCs w:val="22"/>
              </w:rPr>
              <w:t>5</w:t>
            </w:r>
            <w:r>
              <w:rPr>
                <w:rFonts w:ascii="Arial" w:hAnsi="Arial" w:cs="Arial" w:eastAsia="Arial" w:hint="default"/>
                <w:spacing w:val="-5"/>
                <w:sz w:val="22"/>
                <w:szCs w:val="22"/>
              </w:rPr>
              <w:t> </w:t>
            </w:r>
            <w:r>
              <w:rPr>
                <w:rFonts w:ascii="宋体" w:hAnsi="宋体" w:cs="宋体" w:eastAsia="宋体" w:hint="default"/>
                <w:sz w:val="22"/>
                <w:szCs w:val="22"/>
              </w:rPr>
              <w:t>年以上</w:t>
            </w:r>
          </w:p>
        </w:tc>
        <w:tc>
          <w:tcPr>
            <w:tcW w:w="2395" w:type="dxa"/>
            <w:tcBorders>
              <w:top w:val="nil" w:sz="6" w:space="0" w:color="auto"/>
              <w:left w:val="nil" w:sz="6" w:space="0" w:color="auto"/>
              <w:bottom w:val="nil" w:sz="6" w:space="0" w:color="auto"/>
              <w:right w:val="nil" w:sz="6" w:space="0" w:color="auto"/>
            </w:tcBorders>
          </w:tcPr>
          <w:p>
            <w:pPr>
              <w:pStyle w:val="TableParagraph"/>
              <w:tabs>
                <w:tab w:pos="897" w:val="left" w:leader="none"/>
                <w:tab w:pos="2395" w:val="left" w:leader="none"/>
              </w:tabs>
              <w:spacing w:line="240" w:lineRule="auto" w:before="16"/>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1,273,290,913</w:t>
              <w:tab/>
            </w:r>
            <w:r>
              <w:rPr>
                <w:rFonts w:ascii="Arial"/>
                <w:spacing w:val="-1"/>
                <w:sz w:val="22"/>
              </w:rPr>
            </w:r>
          </w:p>
        </w:tc>
        <w:tc>
          <w:tcPr>
            <w:tcW w:w="132" w:type="dxa"/>
            <w:tcBorders>
              <w:top w:val="nil" w:sz="6" w:space="0" w:color="auto"/>
              <w:left w:val="nil" w:sz="6" w:space="0" w:color="auto"/>
              <w:bottom w:val="nil" w:sz="6" w:space="0" w:color="auto"/>
              <w:right w:val="nil" w:sz="6" w:space="0" w:color="auto"/>
            </w:tcBorders>
          </w:tcPr>
          <w:p>
            <w:pPr/>
          </w:p>
        </w:tc>
        <w:tc>
          <w:tcPr>
            <w:tcW w:w="2354" w:type="dxa"/>
            <w:tcBorders>
              <w:top w:val="nil" w:sz="6" w:space="0" w:color="auto"/>
              <w:left w:val="nil" w:sz="6" w:space="0" w:color="auto"/>
              <w:bottom w:val="nil" w:sz="6" w:space="0" w:color="auto"/>
              <w:right w:val="nil" w:sz="6" w:space="0" w:color="auto"/>
            </w:tcBorders>
          </w:tcPr>
          <w:p>
            <w:pPr>
              <w:pStyle w:val="TableParagraph"/>
              <w:tabs>
                <w:tab w:pos="883" w:val="left" w:leader="none"/>
              </w:tabs>
              <w:spacing w:line="240" w:lineRule="auto" w:before="16"/>
              <w:ind w:right="5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1,583,003,513</w:t>
            </w:r>
            <w:r>
              <w:rPr>
                <w:rFonts w:ascii="Arial"/>
                <w:spacing w:val="-1"/>
                <w:sz w:val="22"/>
              </w:rPr>
            </w:r>
          </w:p>
        </w:tc>
      </w:tr>
      <w:tr>
        <w:trPr>
          <w:trHeight w:val="432" w:hRule="exact"/>
        </w:trPr>
        <w:tc>
          <w:tcPr>
            <w:tcW w:w="4323" w:type="dxa"/>
            <w:tcBorders>
              <w:top w:val="nil" w:sz="6" w:space="0" w:color="auto"/>
              <w:left w:val="nil" w:sz="6" w:space="0" w:color="auto"/>
              <w:bottom w:val="nil" w:sz="6" w:space="0" w:color="auto"/>
              <w:right w:val="nil" w:sz="6" w:space="0" w:color="auto"/>
            </w:tcBorders>
          </w:tcPr>
          <w:p>
            <w:pPr>
              <w:pStyle w:val="TableParagraph"/>
              <w:spacing w:line="240" w:lineRule="auto" w:before="85"/>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395" w:type="dxa"/>
            <w:tcBorders>
              <w:top w:val="nil" w:sz="6" w:space="0" w:color="auto"/>
              <w:left w:val="nil" w:sz="6" w:space="0" w:color="auto"/>
              <w:bottom w:val="single" w:sz="17" w:space="0" w:color="000000"/>
              <w:right w:val="nil" w:sz="6" w:space="0" w:color="auto"/>
            </w:tcBorders>
          </w:tcPr>
          <w:p>
            <w:pPr>
              <w:pStyle w:val="TableParagraph"/>
              <w:spacing w:line="240" w:lineRule="auto" w:before="155"/>
              <w:ind w:right="86"/>
              <w:jc w:val="right"/>
              <w:rPr>
                <w:rFonts w:ascii="Arial" w:hAnsi="Arial" w:cs="Arial" w:eastAsia="Arial" w:hint="default"/>
                <w:sz w:val="22"/>
                <w:szCs w:val="22"/>
              </w:rPr>
            </w:pPr>
            <w:r>
              <w:rPr>
                <w:rFonts w:ascii="Arial"/>
                <w:spacing w:val="-1"/>
                <w:sz w:val="22"/>
              </w:rPr>
              <w:t>2,869,265,226</w:t>
            </w:r>
          </w:p>
        </w:tc>
        <w:tc>
          <w:tcPr>
            <w:tcW w:w="132" w:type="dxa"/>
            <w:tcBorders>
              <w:top w:val="nil" w:sz="6" w:space="0" w:color="auto"/>
              <w:left w:val="nil" w:sz="6" w:space="0" w:color="auto"/>
              <w:bottom w:val="nil" w:sz="6" w:space="0" w:color="auto"/>
              <w:right w:val="nil" w:sz="6" w:space="0" w:color="auto"/>
            </w:tcBorders>
          </w:tcPr>
          <w:p>
            <w:pPr/>
          </w:p>
        </w:tc>
        <w:tc>
          <w:tcPr>
            <w:tcW w:w="2354" w:type="dxa"/>
            <w:tcBorders>
              <w:top w:val="nil" w:sz="6" w:space="0" w:color="auto"/>
              <w:left w:val="nil" w:sz="6" w:space="0" w:color="auto"/>
              <w:bottom w:val="single" w:sz="17" w:space="0" w:color="000000"/>
              <w:right w:val="nil" w:sz="6" w:space="0" w:color="auto"/>
            </w:tcBorders>
          </w:tcPr>
          <w:p>
            <w:pPr>
              <w:pStyle w:val="TableParagraph"/>
              <w:spacing w:line="240" w:lineRule="auto" w:before="155"/>
              <w:ind w:right="53"/>
              <w:jc w:val="right"/>
              <w:rPr>
                <w:rFonts w:ascii="Arial" w:hAnsi="Arial" w:cs="Arial" w:eastAsia="Arial" w:hint="default"/>
                <w:sz w:val="22"/>
                <w:szCs w:val="22"/>
              </w:rPr>
            </w:pPr>
            <w:r>
              <w:rPr>
                <w:rFonts w:ascii="Arial"/>
                <w:spacing w:val="-1"/>
                <w:sz w:val="22"/>
              </w:rPr>
              <w:t>3,173,172,976</w:t>
            </w:r>
          </w:p>
        </w:tc>
      </w:tr>
    </w:tbl>
    <w:p>
      <w:pPr>
        <w:spacing w:line="240" w:lineRule="auto" w:before="7"/>
        <w:rPr>
          <w:rFonts w:ascii="宋体" w:hAnsi="宋体" w:cs="宋体" w:eastAsia="宋体" w:hint="default"/>
          <w:sz w:val="10"/>
          <w:szCs w:val="10"/>
        </w:rPr>
      </w:pPr>
    </w:p>
    <w:p>
      <w:pPr>
        <w:pStyle w:val="BodyText"/>
        <w:spacing w:line="284" w:lineRule="exact" w:before="62"/>
        <w:ind w:left="539" w:right="0"/>
        <w:jc w:val="left"/>
      </w:pPr>
      <w:r>
        <w:rPr>
          <w:w w:val="100"/>
        </w:rPr>
        <w:t>于</w:t>
      </w:r>
      <w:r>
        <w:rPr>
          <w:spacing w:val="-76"/>
          <w:w w:val="100"/>
        </w:rPr>
        <w:t> </w:t>
      </w:r>
      <w:r>
        <w:rPr>
          <w:rFonts w:ascii="Arial" w:hAnsi="Arial" w:cs="Arial" w:eastAsia="Arial" w:hint="default"/>
          <w:spacing w:val="-1"/>
          <w:w w:val="100"/>
        </w:rPr>
        <w:t>2019</w:t>
      </w:r>
      <w:r>
        <w:rPr>
          <w:rFonts w:ascii="Arial" w:hAnsi="Arial" w:cs="Arial" w:eastAsia="Arial" w:hint="default"/>
          <w:spacing w:val="-25"/>
          <w:w w:val="100"/>
        </w:rPr>
        <w:t> </w:t>
      </w:r>
      <w:r>
        <w:rPr>
          <w:w w:val="100"/>
        </w:rPr>
        <w:t>年</w:t>
      </w:r>
      <w:r>
        <w:rPr>
          <w:spacing w:val="-82"/>
          <w:w w:val="100"/>
        </w:rPr>
        <w:t> </w:t>
      </w:r>
      <w:r>
        <w:rPr>
          <w:rFonts w:ascii="Arial" w:hAnsi="Arial" w:cs="Arial" w:eastAsia="Arial" w:hint="default"/>
          <w:spacing w:val="-2"/>
          <w:w w:val="100"/>
        </w:rPr>
        <w:t>12</w:t>
      </w:r>
      <w:r>
        <w:rPr>
          <w:rFonts w:ascii="Arial" w:hAnsi="Arial" w:cs="Arial" w:eastAsia="Arial" w:hint="default"/>
          <w:spacing w:val="-25"/>
          <w:w w:val="100"/>
        </w:rPr>
        <w:t> </w:t>
      </w:r>
      <w:r>
        <w:rPr>
          <w:w w:val="100"/>
        </w:rPr>
        <w:t>月</w:t>
      </w:r>
      <w:r>
        <w:rPr>
          <w:spacing w:val="-82"/>
          <w:w w:val="100"/>
        </w:rPr>
        <w:t> </w:t>
      </w:r>
      <w:r>
        <w:rPr>
          <w:rFonts w:ascii="Arial" w:hAnsi="Arial" w:cs="Arial" w:eastAsia="Arial" w:hint="default"/>
          <w:spacing w:val="-2"/>
          <w:w w:val="100"/>
        </w:rPr>
        <w:t>31</w:t>
      </w:r>
      <w:r>
        <w:rPr>
          <w:rFonts w:ascii="Arial" w:hAnsi="Arial" w:cs="Arial" w:eastAsia="Arial" w:hint="default"/>
          <w:spacing w:val="-25"/>
          <w:w w:val="100"/>
        </w:rPr>
        <w:t> </w:t>
      </w:r>
      <w:r>
        <w:rPr>
          <w:spacing w:val="-9"/>
          <w:w w:val="100"/>
        </w:rPr>
        <w:t>日，长期借款的票面利率范围为</w:t>
      </w:r>
      <w:r>
        <w:rPr>
          <w:spacing w:val="-82"/>
          <w:w w:val="100"/>
        </w:rPr>
        <w:t> </w:t>
      </w:r>
      <w:r>
        <w:rPr>
          <w:rFonts w:ascii="Arial" w:hAnsi="Arial" w:cs="Arial" w:eastAsia="Arial" w:hint="default"/>
          <w:spacing w:val="-10"/>
          <w:w w:val="100"/>
        </w:rPr>
        <w:t>0%~2.50%</w:t>
      </w:r>
      <w:r>
        <w:rPr>
          <w:spacing w:val="-10"/>
          <w:w w:val="100"/>
        </w:rPr>
        <w:t>（</w:t>
      </w:r>
      <w:r>
        <w:rPr>
          <w:rFonts w:ascii="Arial" w:hAnsi="Arial" w:cs="Arial" w:eastAsia="Arial" w:hint="default"/>
          <w:spacing w:val="-10"/>
          <w:w w:val="100"/>
        </w:rPr>
        <w:t>2018</w:t>
      </w:r>
      <w:r>
        <w:rPr>
          <w:rFonts w:ascii="Arial" w:hAnsi="Arial" w:cs="Arial" w:eastAsia="Arial" w:hint="default"/>
          <w:spacing w:val="-25"/>
          <w:w w:val="100"/>
        </w:rPr>
        <w:t> </w:t>
      </w:r>
      <w:r>
        <w:rPr>
          <w:w w:val="100"/>
        </w:rPr>
        <w:t>年</w:t>
      </w:r>
      <w:r>
        <w:rPr>
          <w:spacing w:val="-82"/>
          <w:w w:val="100"/>
        </w:rPr>
        <w:t> </w:t>
      </w:r>
      <w:r>
        <w:rPr>
          <w:rFonts w:ascii="Arial" w:hAnsi="Arial" w:cs="Arial" w:eastAsia="Arial" w:hint="default"/>
          <w:spacing w:val="1"/>
          <w:w w:val="100"/>
        </w:rPr>
        <w:t>12</w:t>
      </w:r>
      <w:r>
        <w:rPr>
          <w:rFonts w:ascii="Arial" w:hAnsi="Arial" w:cs="Arial" w:eastAsia="Arial" w:hint="default"/>
          <w:spacing w:val="-30"/>
          <w:w w:val="100"/>
        </w:rPr>
        <w:t> </w:t>
      </w:r>
      <w:r>
        <w:rPr>
          <w:w w:val="100"/>
        </w:rPr>
        <w:t>月</w:t>
      </w:r>
      <w:r>
        <w:rPr>
          <w:spacing w:val="-82"/>
          <w:w w:val="100"/>
        </w:rPr>
        <w:t> </w:t>
      </w:r>
      <w:r>
        <w:rPr>
          <w:rFonts w:ascii="Arial" w:hAnsi="Arial" w:cs="Arial" w:eastAsia="Arial" w:hint="default"/>
          <w:spacing w:val="1"/>
          <w:w w:val="100"/>
        </w:rPr>
        <w:t>31</w:t>
      </w:r>
      <w:r>
        <w:rPr>
          <w:rFonts w:ascii="Arial" w:hAnsi="Arial" w:cs="Arial" w:eastAsia="Arial" w:hint="default"/>
          <w:spacing w:val="-30"/>
          <w:w w:val="100"/>
        </w:rPr>
        <w:t> </w:t>
      </w:r>
      <w:r>
        <w:rPr>
          <w:spacing w:val="-19"/>
          <w:w w:val="100"/>
        </w:rPr>
        <w:t>日：</w:t>
      </w:r>
      <w:r>
        <w:rPr>
          <w:rFonts w:ascii="Arial" w:hAnsi="Arial" w:cs="Arial" w:eastAsia="Arial" w:hint="default"/>
          <w:spacing w:val="-19"/>
          <w:w w:val="100"/>
        </w:rPr>
        <w:t>0%~2.50%</w:t>
      </w:r>
      <w:r>
        <w:rPr>
          <w:spacing w:val="-19"/>
          <w:w w:val="100"/>
        </w:rPr>
        <w:t>）。</w:t>
      </w:r>
      <w:r>
        <w:rPr>
          <w:w w:val="100"/>
        </w:rPr>
        <w:t> </w:t>
      </w:r>
      <w:r>
        <w:rPr/>
        <w:t>其中，零利率的借款来自经中国银行转贷的外国政府无息借款。</w:t>
      </w:r>
    </w:p>
    <w:p>
      <w:pPr>
        <w:spacing w:line="240" w:lineRule="auto" w:before="6"/>
        <w:rPr>
          <w:rFonts w:ascii="宋体" w:hAnsi="宋体" w:cs="宋体" w:eastAsia="宋体" w:hint="default"/>
          <w:sz w:val="17"/>
          <w:szCs w:val="17"/>
        </w:rPr>
      </w:pPr>
    </w:p>
    <w:p>
      <w:pPr>
        <w:pStyle w:val="BodyText"/>
        <w:spacing w:line="240" w:lineRule="auto"/>
        <w:ind w:left="534" w:right="0"/>
        <w:jc w:val="left"/>
      </w:pPr>
      <w:r>
        <w:rPr/>
        <w:t>于</w:t>
      </w:r>
      <w:r>
        <w:rPr>
          <w:spacing w:val="-56"/>
        </w:rPr>
        <w:t> </w:t>
      </w:r>
      <w:r>
        <w:rPr>
          <w:rFonts w:ascii="Arial" w:hAnsi="Arial" w:cs="Arial" w:eastAsia="Arial" w:hint="default"/>
        </w:rPr>
        <w:t>2019</w:t>
      </w:r>
      <w:r>
        <w:rPr>
          <w:rFonts w:ascii="Arial" w:hAnsi="Arial" w:cs="Arial" w:eastAsia="Arial" w:hint="default"/>
          <w:spacing w:val="-5"/>
        </w:rPr>
        <w:t> </w:t>
      </w:r>
      <w:r>
        <w:rPr/>
        <w:t>年</w:t>
      </w:r>
      <w:r>
        <w:rPr>
          <w:spacing w:val="-61"/>
        </w:rPr>
        <w:t> </w:t>
      </w:r>
      <w:r>
        <w:rPr>
          <w:rFonts w:ascii="Arial" w:hAnsi="Arial" w:cs="Arial" w:eastAsia="Arial" w:hint="default"/>
        </w:rPr>
        <w:t>12</w:t>
      </w:r>
      <w:r>
        <w:rPr>
          <w:rFonts w:ascii="Arial" w:hAnsi="Arial" w:cs="Arial" w:eastAsia="Arial" w:hint="default"/>
          <w:spacing w:val="-5"/>
        </w:rPr>
        <w:t> </w:t>
      </w:r>
      <w:r>
        <w:rPr/>
        <w:t>月</w:t>
      </w:r>
      <w:r>
        <w:rPr>
          <w:spacing w:val="-56"/>
        </w:rPr>
        <w:t> </w:t>
      </w:r>
      <w:r>
        <w:rPr>
          <w:rFonts w:ascii="Arial" w:hAnsi="Arial" w:cs="Arial" w:eastAsia="Arial" w:hint="default"/>
        </w:rPr>
        <w:t>31</w:t>
      </w:r>
      <w:r>
        <w:rPr>
          <w:rFonts w:ascii="Arial" w:hAnsi="Arial" w:cs="Arial" w:eastAsia="Arial" w:hint="default"/>
          <w:spacing w:val="-5"/>
        </w:rPr>
        <w:t> </w:t>
      </w:r>
      <w:r>
        <w:rPr/>
        <w:t>日，本集团无已到期但尚未偿还的长期借款（</w:t>
      </w:r>
      <w:r>
        <w:rPr>
          <w:rFonts w:ascii="Arial" w:hAnsi="Arial" w:cs="Arial" w:eastAsia="Arial" w:hint="default"/>
        </w:rPr>
        <w:t>2018</w:t>
      </w:r>
      <w:r>
        <w:rPr>
          <w:rFonts w:ascii="Arial" w:hAnsi="Arial" w:cs="Arial" w:eastAsia="Arial" w:hint="default"/>
          <w:spacing w:val="-5"/>
        </w:rPr>
        <w:t> </w:t>
      </w:r>
      <w:r>
        <w:rPr/>
        <w:t>年</w:t>
      </w:r>
      <w:r>
        <w:rPr>
          <w:spacing w:val="-56"/>
        </w:rPr>
        <w:t> </w:t>
      </w:r>
      <w:r>
        <w:rPr>
          <w:rFonts w:ascii="Arial" w:hAnsi="Arial" w:cs="Arial" w:eastAsia="Arial" w:hint="default"/>
        </w:rPr>
        <w:t>12</w:t>
      </w:r>
      <w:r>
        <w:rPr>
          <w:rFonts w:ascii="Arial" w:hAnsi="Arial" w:cs="Arial" w:eastAsia="Arial" w:hint="default"/>
          <w:spacing w:val="-5"/>
        </w:rPr>
        <w:t> </w:t>
      </w:r>
      <w:r>
        <w:rPr/>
        <w:t>月</w:t>
      </w:r>
      <w:r>
        <w:rPr>
          <w:spacing w:val="-56"/>
        </w:rPr>
        <w:t> </w:t>
      </w:r>
      <w:r>
        <w:rPr>
          <w:rFonts w:ascii="Arial" w:hAnsi="Arial" w:cs="Arial" w:eastAsia="Arial" w:hint="default"/>
        </w:rPr>
        <w:t>31</w:t>
      </w:r>
      <w:r>
        <w:rPr>
          <w:rFonts w:ascii="Arial" w:hAnsi="Arial" w:cs="Arial" w:eastAsia="Arial" w:hint="default"/>
          <w:spacing w:val="-9"/>
        </w:rPr>
        <w:t> </w:t>
      </w:r>
      <w:r>
        <w:rPr/>
        <w:t>日：无）。</w:t>
      </w:r>
    </w:p>
    <w:p>
      <w:pPr>
        <w:spacing w:after="0" w:line="240" w:lineRule="auto"/>
        <w:jc w:val="left"/>
        <w:sectPr>
          <w:headerReference w:type="default" r:id="rId180"/>
          <w:footerReference w:type="default" r:id="rId181"/>
          <w:pgSz w:w="11910" w:h="16840"/>
          <w:pgMar w:header="1188" w:footer="502" w:top="3600" w:bottom="700" w:left="1020" w:right="920"/>
          <w:pgNumType w:start="153"/>
        </w:sectPr>
      </w:pPr>
    </w:p>
    <w:p>
      <w:pPr>
        <w:spacing w:line="240" w:lineRule="auto" w:before="7"/>
        <w:rPr>
          <w:rFonts w:ascii="宋体" w:hAnsi="宋体" w:cs="宋体" w:eastAsia="宋体" w:hint="default"/>
          <w:sz w:val="16"/>
          <w:szCs w:val="16"/>
        </w:rPr>
      </w:pPr>
    </w:p>
    <w:p>
      <w:pPr>
        <w:pStyle w:val="BodyText"/>
        <w:spacing w:line="391" w:lineRule="auto" w:before="32"/>
        <w:ind w:left="112" w:right="8092"/>
        <w:jc w:val="left"/>
      </w:pPr>
      <w:r>
        <w:rPr>
          <w:rFonts w:ascii="Arial" w:hAnsi="Arial" w:cs="Arial" w:eastAsia="Arial" w:hint="default"/>
        </w:rPr>
        <w:t>27</w:t>
      </w:r>
      <w:r>
        <w:rPr/>
        <w:t>、应付债券</w:t>
      </w:r>
      <w:r>
        <w:rPr>
          <w:spacing w:val="-107"/>
        </w:rPr>
        <w:t> </w:t>
      </w:r>
      <w:r>
        <w:rPr>
          <w:spacing w:val="-107"/>
        </w:rPr>
      </w:r>
      <w:r>
        <w:rPr>
          <w:rFonts w:ascii="Arial" w:hAnsi="Arial" w:cs="Arial" w:eastAsia="Arial" w:hint="default"/>
        </w:rPr>
        <w:t>(a) </w:t>
      </w:r>
      <w:r>
        <w:rPr>
          <w:rFonts w:ascii="Arial" w:hAnsi="Arial" w:cs="Arial" w:eastAsia="Arial" w:hint="default"/>
          <w:spacing w:val="29"/>
        </w:rPr>
        <w:t> </w:t>
      </w:r>
      <w:r>
        <w:rPr/>
        <w:t>应付债券</w:t>
      </w:r>
    </w:p>
    <w:p>
      <w:pPr>
        <w:spacing w:line="240" w:lineRule="auto" w:before="7"/>
        <w:rPr>
          <w:rFonts w:ascii="宋体" w:hAnsi="宋体" w:cs="宋体" w:eastAsia="宋体" w:hint="default"/>
          <w:sz w:val="7"/>
          <w:szCs w:val="7"/>
        </w:rPr>
      </w:pPr>
    </w:p>
    <w:tbl>
      <w:tblPr>
        <w:tblW w:w="0" w:type="auto"/>
        <w:jc w:val="left"/>
        <w:tblInd w:w="335" w:type="dxa"/>
        <w:tblLayout w:type="fixed"/>
        <w:tblCellMar>
          <w:top w:w="0" w:type="dxa"/>
          <w:left w:w="0" w:type="dxa"/>
          <w:bottom w:w="0" w:type="dxa"/>
          <w:right w:w="0" w:type="dxa"/>
        </w:tblCellMar>
        <w:tblLook w:val="01E0"/>
      </w:tblPr>
      <w:tblGrid>
        <w:gridCol w:w="3258"/>
        <w:gridCol w:w="1152"/>
        <w:gridCol w:w="2256"/>
        <w:gridCol w:w="187"/>
        <w:gridCol w:w="2270"/>
      </w:tblGrid>
      <w:tr>
        <w:trPr>
          <w:trHeight w:val="262" w:hRule="exact"/>
        </w:trPr>
        <w:tc>
          <w:tcPr>
            <w:tcW w:w="3258" w:type="dxa"/>
            <w:tcBorders>
              <w:top w:val="nil" w:sz="6" w:space="0" w:color="auto"/>
              <w:left w:val="nil" w:sz="6" w:space="0" w:color="auto"/>
              <w:bottom w:val="nil" w:sz="6" w:space="0" w:color="auto"/>
              <w:right w:val="nil" w:sz="6" w:space="0" w:color="auto"/>
            </w:tcBorders>
          </w:tcPr>
          <w:p>
            <w:pPr/>
          </w:p>
        </w:tc>
        <w:tc>
          <w:tcPr>
            <w:tcW w:w="1152" w:type="dxa"/>
            <w:tcBorders>
              <w:top w:val="nil" w:sz="6" w:space="0" w:color="auto"/>
              <w:left w:val="nil" w:sz="6" w:space="0" w:color="auto"/>
              <w:bottom w:val="nil" w:sz="6" w:space="0" w:color="auto"/>
              <w:right w:val="nil" w:sz="6" w:space="0" w:color="auto"/>
            </w:tcBorders>
          </w:tcPr>
          <w:p>
            <w:pPr>
              <w:pStyle w:val="TableParagraph"/>
              <w:spacing w:line="221" w:lineRule="exact"/>
              <w:ind w:right="7"/>
              <w:jc w:val="center"/>
              <w:rPr>
                <w:rFonts w:ascii="宋体" w:hAnsi="宋体" w:cs="宋体" w:eastAsia="宋体" w:hint="default"/>
                <w:sz w:val="22"/>
                <w:szCs w:val="22"/>
              </w:rPr>
            </w:pPr>
            <w:bookmarkStart w:name="    注                  " w:id="26"/>
            <w:bookmarkEnd w:id="26"/>
            <w:r>
              <w:rPr/>
            </w:r>
            <w:r>
              <w:rPr>
                <w:rFonts w:ascii="宋体" w:hAnsi="宋体" w:cs="宋体" w:eastAsia="宋体" w:hint="default"/>
                <w:w w:val="100"/>
                <w:sz w:val="22"/>
                <w:szCs w:val="22"/>
              </w:rPr>
              <w:t>注</w:t>
            </w:r>
          </w:p>
        </w:tc>
        <w:tc>
          <w:tcPr>
            <w:tcW w:w="2256" w:type="dxa"/>
            <w:tcBorders>
              <w:top w:val="nil" w:sz="6" w:space="0" w:color="auto"/>
              <w:left w:val="nil" w:sz="6" w:space="0" w:color="auto"/>
              <w:bottom w:val="single" w:sz="4" w:space="0" w:color="000000"/>
              <w:right w:val="nil" w:sz="6" w:space="0" w:color="auto"/>
            </w:tcBorders>
          </w:tcPr>
          <w:p>
            <w:pPr>
              <w:pStyle w:val="TableParagraph"/>
              <w:spacing w:line="236" w:lineRule="exact"/>
              <w:ind w:right="0"/>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187" w:type="dxa"/>
            <w:tcBorders>
              <w:top w:val="nil" w:sz="6" w:space="0" w:color="auto"/>
              <w:left w:val="nil" w:sz="6" w:space="0" w:color="auto"/>
              <w:bottom w:val="nil" w:sz="6" w:space="0" w:color="auto"/>
              <w:right w:val="nil" w:sz="6" w:space="0" w:color="auto"/>
            </w:tcBorders>
          </w:tcPr>
          <w:p>
            <w:pPr/>
          </w:p>
        </w:tc>
        <w:tc>
          <w:tcPr>
            <w:tcW w:w="2270" w:type="dxa"/>
            <w:tcBorders>
              <w:top w:val="nil" w:sz="6" w:space="0" w:color="auto"/>
              <w:left w:val="nil" w:sz="6" w:space="0" w:color="auto"/>
              <w:bottom w:val="single" w:sz="4" w:space="0" w:color="000000"/>
              <w:right w:val="nil" w:sz="6" w:space="0" w:color="auto"/>
            </w:tcBorders>
          </w:tcPr>
          <w:p>
            <w:pPr>
              <w:pStyle w:val="TableParagraph"/>
              <w:spacing w:line="236" w:lineRule="exact"/>
              <w:ind w:right="2"/>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300" w:hRule="exact"/>
        </w:trPr>
        <w:tc>
          <w:tcPr>
            <w:tcW w:w="3258" w:type="dxa"/>
            <w:tcBorders>
              <w:top w:val="nil" w:sz="6" w:space="0" w:color="auto"/>
              <w:left w:val="nil" w:sz="6" w:space="0" w:color="auto"/>
              <w:bottom w:val="nil" w:sz="6" w:space="0" w:color="auto"/>
              <w:right w:val="nil" w:sz="6" w:space="0" w:color="auto"/>
            </w:tcBorders>
          </w:tcPr>
          <w:p>
            <w:pPr>
              <w:pStyle w:val="TableParagraph"/>
              <w:spacing w:line="272" w:lineRule="exact"/>
              <w:ind w:left="200" w:right="0"/>
              <w:jc w:val="left"/>
              <w:rPr>
                <w:rFonts w:ascii="宋体" w:hAnsi="宋体" w:cs="宋体" w:eastAsia="宋体" w:hint="default"/>
                <w:sz w:val="22"/>
                <w:szCs w:val="22"/>
              </w:rPr>
            </w:pPr>
            <w:bookmarkStart w:name="2016年第一期公司债券品种一" w:id="27"/>
            <w:bookmarkEnd w:id="27"/>
            <w:r>
              <w:rPr/>
            </w:r>
            <w:r>
              <w:rPr>
                <w:rFonts w:ascii="Arial" w:hAnsi="Arial" w:cs="Arial" w:eastAsia="Arial" w:hint="default"/>
                <w:sz w:val="22"/>
                <w:szCs w:val="22"/>
              </w:rPr>
              <w:t>2016</w:t>
            </w:r>
            <w:r>
              <w:rPr>
                <w:rFonts w:ascii="Arial" w:hAnsi="Arial" w:cs="Arial" w:eastAsia="Arial" w:hint="default"/>
                <w:spacing w:val="-6"/>
                <w:sz w:val="22"/>
                <w:szCs w:val="22"/>
              </w:rPr>
              <w:t> </w:t>
            </w:r>
            <w:r>
              <w:rPr>
                <w:rFonts w:ascii="宋体" w:hAnsi="宋体" w:cs="宋体" w:eastAsia="宋体" w:hint="default"/>
                <w:sz w:val="22"/>
                <w:szCs w:val="22"/>
              </w:rPr>
              <w:t>年第一期公司债券品种一</w:t>
            </w:r>
          </w:p>
        </w:tc>
        <w:tc>
          <w:tcPr>
            <w:tcW w:w="1152" w:type="dxa"/>
            <w:tcBorders>
              <w:top w:val="nil" w:sz="6" w:space="0" w:color="auto"/>
              <w:left w:val="nil" w:sz="6" w:space="0" w:color="auto"/>
              <w:bottom w:val="nil" w:sz="6" w:space="0" w:color="auto"/>
              <w:right w:val="nil" w:sz="6" w:space="0" w:color="auto"/>
            </w:tcBorders>
          </w:tcPr>
          <w:p>
            <w:pPr/>
          </w:p>
        </w:tc>
        <w:tc>
          <w:tcPr>
            <w:tcW w:w="2256" w:type="dxa"/>
            <w:tcBorders>
              <w:top w:val="single" w:sz="4" w:space="0" w:color="000000"/>
              <w:left w:val="nil" w:sz="6" w:space="0" w:color="auto"/>
              <w:bottom w:val="nil" w:sz="6" w:space="0" w:color="auto"/>
              <w:right w:val="nil" w:sz="6" w:space="0" w:color="auto"/>
            </w:tcBorders>
          </w:tcPr>
          <w:p>
            <w:pPr>
              <w:pStyle w:val="TableParagraph"/>
              <w:spacing w:line="240" w:lineRule="auto" w:before="29"/>
              <w:ind w:right="73"/>
              <w:jc w:val="right"/>
              <w:rPr>
                <w:rFonts w:ascii="Arial" w:hAnsi="Arial" w:cs="Arial" w:eastAsia="Arial" w:hint="default"/>
                <w:sz w:val="22"/>
                <w:szCs w:val="22"/>
              </w:rPr>
            </w:pPr>
            <w:r>
              <w:rPr>
                <w:rFonts w:ascii="Arial"/>
                <w:w w:val="100"/>
                <w:sz w:val="22"/>
              </w:rPr>
              <w:t>-</w:t>
            </w:r>
          </w:p>
        </w:tc>
        <w:tc>
          <w:tcPr>
            <w:tcW w:w="187" w:type="dxa"/>
            <w:tcBorders>
              <w:top w:val="nil" w:sz="6" w:space="0" w:color="auto"/>
              <w:left w:val="nil" w:sz="6" w:space="0" w:color="auto"/>
              <w:bottom w:val="nil" w:sz="6" w:space="0" w:color="auto"/>
              <w:right w:val="nil" w:sz="6" w:space="0" w:color="auto"/>
            </w:tcBorders>
          </w:tcPr>
          <w:p>
            <w:pPr/>
          </w:p>
        </w:tc>
        <w:tc>
          <w:tcPr>
            <w:tcW w:w="2270" w:type="dxa"/>
            <w:tcBorders>
              <w:top w:val="single" w:sz="4" w:space="0" w:color="000000"/>
              <w:left w:val="nil" w:sz="6" w:space="0" w:color="auto"/>
              <w:bottom w:val="nil" w:sz="6" w:space="0" w:color="auto"/>
              <w:right w:val="nil" w:sz="6" w:space="0" w:color="auto"/>
            </w:tcBorders>
          </w:tcPr>
          <w:p>
            <w:pPr>
              <w:pStyle w:val="TableParagraph"/>
              <w:spacing w:line="240" w:lineRule="auto" w:before="29"/>
              <w:ind w:right="86"/>
              <w:jc w:val="right"/>
              <w:rPr>
                <w:rFonts w:ascii="Arial" w:hAnsi="Arial" w:cs="Arial" w:eastAsia="Arial" w:hint="default"/>
                <w:sz w:val="22"/>
                <w:szCs w:val="22"/>
              </w:rPr>
            </w:pPr>
            <w:r>
              <w:rPr>
                <w:rFonts w:ascii="Arial"/>
                <w:spacing w:val="-1"/>
                <w:sz w:val="22"/>
              </w:rPr>
              <w:t>6,997,917,124</w:t>
            </w:r>
          </w:p>
        </w:tc>
      </w:tr>
      <w:tr>
        <w:trPr>
          <w:trHeight w:val="288" w:hRule="exact"/>
        </w:trPr>
        <w:tc>
          <w:tcPr>
            <w:tcW w:w="3258"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bookmarkStart w:name="2016年第一期公司债券品种二" w:id="28"/>
            <w:bookmarkEnd w:id="28"/>
            <w:r>
              <w:rPr/>
            </w:r>
            <w:r>
              <w:rPr>
                <w:rFonts w:ascii="Arial" w:hAnsi="Arial" w:cs="Arial" w:eastAsia="Arial" w:hint="default"/>
                <w:sz w:val="22"/>
                <w:szCs w:val="22"/>
              </w:rPr>
              <w:t>2016</w:t>
            </w:r>
            <w:r>
              <w:rPr>
                <w:rFonts w:ascii="Arial" w:hAnsi="Arial" w:cs="Arial" w:eastAsia="Arial" w:hint="default"/>
                <w:spacing w:val="-6"/>
                <w:sz w:val="22"/>
                <w:szCs w:val="22"/>
              </w:rPr>
              <w:t> </w:t>
            </w:r>
            <w:r>
              <w:rPr>
                <w:rFonts w:ascii="宋体" w:hAnsi="宋体" w:cs="宋体" w:eastAsia="宋体" w:hint="default"/>
                <w:sz w:val="22"/>
                <w:szCs w:val="22"/>
              </w:rPr>
              <w:t>年第一期公司债券品种二</w:t>
            </w:r>
          </w:p>
        </w:tc>
        <w:tc>
          <w:tcPr>
            <w:tcW w:w="1152" w:type="dxa"/>
            <w:tcBorders>
              <w:top w:val="nil" w:sz="6" w:space="0" w:color="auto"/>
              <w:left w:val="nil" w:sz="6" w:space="0" w:color="auto"/>
              <w:bottom w:val="nil" w:sz="6" w:space="0" w:color="auto"/>
              <w:right w:val="nil" w:sz="6" w:space="0" w:color="auto"/>
            </w:tcBorders>
          </w:tcPr>
          <w:p>
            <w:pP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72"/>
              <w:jc w:val="right"/>
              <w:rPr>
                <w:rFonts w:ascii="Arial" w:hAnsi="Arial" w:cs="Arial" w:eastAsia="Arial" w:hint="default"/>
                <w:sz w:val="22"/>
                <w:szCs w:val="22"/>
              </w:rPr>
            </w:pPr>
            <w:r>
              <w:rPr>
                <w:rFonts w:ascii="Arial"/>
                <w:spacing w:val="-1"/>
                <w:sz w:val="22"/>
              </w:rPr>
              <w:t>999,392,624</w:t>
            </w:r>
          </w:p>
        </w:tc>
        <w:tc>
          <w:tcPr>
            <w:tcW w:w="187" w:type="dxa"/>
            <w:tcBorders>
              <w:top w:val="nil" w:sz="6" w:space="0" w:color="auto"/>
              <w:left w:val="nil" w:sz="6" w:space="0" w:color="auto"/>
              <w:bottom w:val="nil" w:sz="6" w:space="0" w:color="auto"/>
              <w:right w:val="nil" w:sz="6" w:space="0" w:color="auto"/>
            </w:tcBorders>
          </w:tcPr>
          <w:p>
            <w:pPr/>
          </w:p>
        </w:tc>
        <w:tc>
          <w:tcPr>
            <w:tcW w:w="22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86"/>
              <w:jc w:val="right"/>
              <w:rPr>
                <w:rFonts w:ascii="Arial" w:hAnsi="Arial" w:cs="Arial" w:eastAsia="Arial" w:hint="default"/>
                <w:sz w:val="22"/>
                <w:szCs w:val="22"/>
              </w:rPr>
            </w:pPr>
            <w:r>
              <w:rPr>
                <w:rFonts w:ascii="Arial"/>
                <w:spacing w:val="-1"/>
                <w:sz w:val="22"/>
              </w:rPr>
              <w:t>998,985,859</w:t>
            </w:r>
          </w:p>
        </w:tc>
      </w:tr>
      <w:tr>
        <w:trPr>
          <w:trHeight w:val="283" w:hRule="exact"/>
        </w:trPr>
        <w:tc>
          <w:tcPr>
            <w:tcW w:w="3258"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bookmarkStart w:name="2016年第二期公司债券" w:id="29"/>
            <w:bookmarkEnd w:id="29"/>
            <w:r>
              <w:rPr/>
            </w:r>
            <w:r>
              <w:rPr>
                <w:rFonts w:ascii="Arial" w:hAnsi="Arial" w:cs="Arial" w:eastAsia="Arial" w:hint="default"/>
                <w:sz w:val="22"/>
                <w:szCs w:val="22"/>
              </w:rPr>
              <w:t>2016</w:t>
            </w:r>
            <w:r>
              <w:rPr>
                <w:rFonts w:ascii="Arial" w:hAnsi="Arial" w:cs="Arial" w:eastAsia="Arial" w:hint="default"/>
                <w:spacing w:val="-3"/>
                <w:sz w:val="22"/>
                <w:szCs w:val="22"/>
              </w:rPr>
              <w:t> </w:t>
            </w:r>
            <w:r>
              <w:rPr>
                <w:rFonts w:ascii="宋体" w:hAnsi="宋体" w:cs="宋体" w:eastAsia="宋体" w:hint="default"/>
                <w:sz w:val="22"/>
                <w:szCs w:val="22"/>
              </w:rPr>
              <w:t>年第二期公司债券</w:t>
            </w:r>
          </w:p>
        </w:tc>
        <w:tc>
          <w:tcPr>
            <w:tcW w:w="1152" w:type="dxa"/>
            <w:tcBorders>
              <w:top w:val="nil" w:sz="6" w:space="0" w:color="auto"/>
              <w:left w:val="nil" w:sz="6" w:space="0" w:color="auto"/>
              <w:bottom w:val="nil" w:sz="6" w:space="0" w:color="auto"/>
              <w:right w:val="nil" w:sz="6" w:space="0" w:color="auto"/>
            </w:tcBorders>
          </w:tcPr>
          <w:p>
            <w:pP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73"/>
              <w:jc w:val="right"/>
              <w:rPr>
                <w:rFonts w:ascii="Arial" w:hAnsi="Arial" w:cs="Arial" w:eastAsia="Arial" w:hint="default"/>
                <w:sz w:val="22"/>
                <w:szCs w:val="22"/>
              </w:rPr>
            </w:pPr>
            <w:r>
              <w:rPr>
                <w:rFonts w:ascii="Arial"/>
                <w:w w:val="100"/>
                <w:sz w:val="22"/>
              </w:rPr>
              <w:t>-</w:t>
            </w:r>
          </w:p>
        </w:tc>
        <w:tc>
          <w:tcPr>
            <w:tcW w:w="187" w:type="dxa"/>
            <w:tcBorders>
              <w:top w:val="nil" w:sz="6" w:space="0" w:color="auto"/>
              <w:left w:val="nil" w:sz="6" w:space="0" w:color="auto"/>
              <w:bottom w:val="nil" w:sz="6" w:space="0" w:color="auto"/>
              <w:right w:val="nil" w:sz="6" w:space="0" w:color="auto"/>
            </w:tcBorders>
          </w:tcPr>
          <w:p>
            <w:pPr/>
          </w:p>
        </w:tc>
        <w:tc>
          <w:tcPr>
            <w:tcW w:w="227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86"/>
              <w:jc w:val="right"/>
              <w:rPr>
                <w:rFonts w:ascii="Arial" w:hAnsi="Arial" w:cs="Arial" w:eastAsia="Arial" w:hint="default"/>
                <w:sz w:val="22"/>
                <w:szCs w:val="22"/>
              </w:rPr>
            </w:pPr>
            <w:r>
              <w:rPr>
                <w:rFonts w:ascii="Arial"/>
                <w:spacing w:val="-1"/>
                <w:sz w:val="22"/>
              </w:rPr>
              <w:t>9,996,331,852</w:t>
            </w:r>
          </w:p>
        </w:tc>
      </w:tr>
      <w:tr>
        <w:trPr>
          <w:trHeight w:val="288" w:hRule="exact"/>
        </w:trPr>
        <w:tc>
          <w:tcPr>
            <w:tcW w:w="3258"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bookmarkStart w:name="2019年第一期公司债券" w:id="30"/>
            <w:bookmarkEnd w:id="30"/>
            <w:r>
              <w:rPr/>
            </w:r>
            <w:r>
              <w:rPr>
                <w:rFonts w:ascii="Arial" w:hAnsi="Arial" w:cs="Arial" w:eastAsia="Arial" w:hint="default"/>
                <w:sz w:val="22"/>
                <w:szCs w:val="22"/>
              </w:rPr>
              <w:t>2019</w:t>
            </w:r>
            <w:r>
              <w:rPr>
                <w:rFonts w:ascii="Arial" w:hAnsi="Arial" w:cs="Arial" w:eastAsia="Arial" w:hint="default"/>
                <w:spacing w:val="-3"/>
                <w:sz w:val="22"/>
                <w:szCs w:val="22"/>
              </w:rPr>
              <w:t> </w:t>
            </w:r>
            <w:r>
              <w:rPr>
                <w:rFonts w:ascii="宋体" w:hAnsi="宋体" w:cs="宋体" w:eastAsia="宋体" w:hint="default"/>
                <w:sz w:val="22"/>
                <w:szCs w:val="22"/>
              </w:rPr>
              <w:t>年第一期公司债券</w:t>
            </w:r>
          </w:p>
        </w:tc>
        <w:tc>
          <w:tcPr>
            <w:tcW w:w="1152" w:type="dxa"/>
            <w:tcBorders>
              <w:top w:val="nil" w:sz="6" w:space="0" w:color="auto"/>
              <w:left w:val="nil" w:sz="6" w:space="0" w:color="auto"/>
              <w:bottom w:val="nil" w:sz="6" w:space="0" w:color="auto"/>
              <w:right w:val="nil" w:sz="6" w:space="0" w:color="auto"/>
            </w:tcBorders>
          </w:tcPr>
          <w:p>
            <w:pP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72"/>
              <w:jc w:val="right"/>
              <w:rPr>
                <w:rFonts w:ascii="Arial" w:hAnsi="Arial" w:cs="Arial" w:eastAsia="Arial" w:hint="default"/>
                <w:sz w:val="22"/>
                <w:szCs w:val="22"/>
              </w:rPr>
            </w:pPr>
            <w:bookmarkStart w:name="2019年第一期中期票据" w:id="31"/>
            <w:bookmarkEnd w:id="31"/>
            <w:r>
              <w:rPr/>
            </w:r>
            <w:r>
              <w:rPr>
                <w:rFonts w:ascii="Arial"/>
                <w:spacing w:val="-1"/>
                <w:sz w:val="22"/>
              </w:rPr>
              <w:t>1,998,342,348</w:t>
            </w:r>
          </w:p>
        </w:tc>
        <w:tc>
          <w:tcPr>
            <w:tcW w:w="187" w:type="dxa"/>
            <w:tcBorders>
              <w:top w:val="nil" w:sz="6" w:space="0" w:color="auto"/>
              <w:left w:val="nil" w:sz="6" w:space="0" w:color="auto"/>
              <w:bottom w:val="nil" w:sz="6" w:space="0" w:color="auto"/>
              <w:right w:val="nil" w:sz="6" w:space="0" w:color="auto"/>
            </w:tcBorders>
          </w:tcPr>
          <w:p>
            <w:pPr/>
          </w:p>
        </w:tc>
        <w:tc>
          <w:tcPr>
            <w:tcW w:w="22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87"/>
              <w:jc w:val="right"/>
              <w:rPr>
                <w:rFonts w:ascii="Arial" w:hAnsi="Arial" w:cs="Arial" w:eastAsia="Arial" w:hint="default"/>
                <w:sz w:val="22"/>
                <w:szCs w:val="22"/>
              </w:rPr>
            </w:pPr>
            <w:r>
              <w:rPr>
                <w:rFonts w:ascii="Arial"/>
                <w:w w:val="100"/>
                <w:sz w:val="22"/>
              </w:rPr>
              <w:t>-</w:t>
            </w:r>
          </w:p>
        </w:tc>
      </w:tr>
      <w:tr>
        <w:trPr>
          <w:trHeight w:val="288" w:hRule="exact"/>
        </w:trPr>
        <w:tc>
          <w:tcPr>
            <w:tcW w:w="3258"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3"/>
                <w:sz w:val="22"/>
                <w:szCs w:val="22"/>
              </w:rPr>
              <w:t> </w:t>
            </w:r>
            <w:r>
              <w:rPr>
                <w:rFonts w:ascii="宋体" w:hAnsi="宋体" w:cs="宋体" w:eastAsia="宋体" w:hint="default"/>
                <w:sz w:val="22"/>
                <w:szCs w:val="22"/>
              </w:rPr>
              <w:t>年第一期中期票据</w:t>
            </w:r>
          </w:p>
        </w:tc>
        <w:tc>
          <w:tcPr>
            <w:tcW w:w="3595" w:type="dxa"/>
            <w:gridSpan w:val="3"/>
            <w:tcBorders>
              <w:top w:val="nil" w:sz="6" w:space="0" w:color="auto"/>
              <w:left w:val="nil" w:sz="6" w:space="0" w:color="auto"/>
              <w:bottom w:val="nil" w:sz="6" w:space="0" w:color="auto"/>
              <w:right w:val="nil" w:sz="6" w:space="0" w:color="auto"/>
            </w:tcBorders>
          </w:tcPr>
          <w:p>
            <w:pPr>
              <w:pStyle w:val="TableParagraph"/>
              <w:tabs>
                <w:tab w:pos="2107" w:val="left" w:leader="none"/>
                <w:tab w:pos="3407" w:val="left" w:leader="none"/>
              </w:tabs>
              <w:spacing w:line="240" w:lineRule="auto" w:before="16"/>
              <w:ind w:left="1152"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997,691,838</w:t>
              <w:tab/>
            </w:r>
            <w:r>
              <w:rPr>
                <w:rFonts w:ascii="Arial"/>
                <w:sz w:val="22"/>
              </w:rPr>
            </w:r>
          </w:p>
        </w:tc>
        <w:tc>
          <w:tcPr>
            <w:tcW w:w="2270" w:type="dxa"/>
            <w:tcBorders>
              <w:top w:val="nil" w:sz="6" w:space="0" w:color="auto"/>
              <w:left w:val="nil" w:sz="6" w:space="0" w:color="auto"/>
              <w:bottom w:val="nil" w:sz="6" w:space="0" w:color="auto"/>
              <w:right w:val="nil" w:sz="6" w:space="0" w:color="auto"/>
            </w:tcBorders>
          </w:tcPr>
          <w:p>
            <w:pPr>
              <w:pStyle w:val="TableParagraph"/>
              <w:tabs>
                <w:tab w:pos="2107" w:val="left" w:leader="none"/>
                <w:tab w:pos="2270" w:val="left" w:leader="none"/>
              </w:tabs>
              <w:spacing w:line="240" w:lineRule="auto" w:before="16"/>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tab/>
            </w:r>
            <w:r>
              <w:rPr>
                <w:rFonts w:ascii="Arial"/>
                <w:sz w:val="22"/>
              </w:rPr>
            </w:r>
          </w:p>
        </w:tc>
      </w:tr>
      <w:tr>
        <w:trPr>
          <w:trHeight w:val="418" w:hRule="exact"/>
        </w:trPr>
        <w:tc>
          <w:tcPr>
            <w:tcW w:w="3258" w:type="dxa"/>
            <w:tcBorders>
              <w:top w:val="nil" w:sz="6" w:space="0" w:color="auto"/>
              <w:left w:val="nil" w:sz="6" w:space="0" w:color="auto"/>
              <w:bottom w:val="nil" w:sz="6" w:space="0" w:color="auto"/>
              <w:right w:val="nil" w:sz="6" w:space="0" w:color="auto"/>
            </w:tcBorders>
          </w:tcPr>
          <w:p>
            <w:pPr>
              <w:pStyle w:val="TableParagraph"/>
              <w:spacing w:line="244" w:lineRule="exact"/>
              <w:ind w:left="204" w:right="0"/>
              <w:jc w:val="left"/>
              <w:rPr>
                <w:rFonts w:ascii="宋体" w:hAnsi="宋体" w:cs="宋体" w:eastAsia="宋体" w:hint="default"/>
                <w:sz w:val="22"/>
                <w:szCs w:val="22"/>
              </w:rPr>
            </w:pPr>
            <w:bookmarkStart w:name="小计" w:id="32"/>
            <w:bookmarkEnd w:id="32"/>
            <w:r>
              <w:rPr/>
            </w:r>
            <w:r>
              <w:rPr>
                <w:rFonts w:ascii="宋体" w:hAnsi="宋体" w:cs="宋体" w:eastAsia="宋体" w:hint="default"/>
                <w:sz w:val="22"/>
                <w:szCs w:val="22"/>
              </w:rPr>
              <w:t>小计</w:t>
            </w:r>
          </w:p>
        </w:tc>
        <w:tc>
          <w:tcPr>
            <w:tcW w:w="359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6"/>
              <w:ind w:left="1924" w:right="0"/>
              <w:jc w:val="left"/>
              <w:rPr>
                <w:rFonts w:ascii="Arial" w:hAnsi="Arial" w:cs="Arial" w:eastAsia="Arial" w:hint="default"/>
                <w:sz w:val="22"/>
                <w:szCs w:val="22"/>
              </w:rPr>
            </w:pPr>
            <w:r>
              <w:rPr>
                <w:rFonts w:ascii="Arial"/>
                <w:sz w:val="22"/>
              </w:rPr>
              <w:t>3,995,426,810</w:t>
            </w:r>
          </w:p>
        </w:tc>
        <w:tc>
          <w:tcPr>
            <w:tcW w:w="227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84"/>
              <w:jc w:val="right"/>
              <w:rPr>
                <w:rFonts w:ascii="Arial" w:hAnsi="Arial" w:cs="Arial" w:eastAsia="Arial" w:hint="default"/>
                <w:sz w:val="22"/>
                <w:szCs w:val="22"/>
              </w:rPr>
            </w:pPr>
            <w:r>
              <w:rPr>
                <w:rFonts w:ascii="Arial"/>
                <w:sz w:val="22"/>
              </w:rPr>
              <w:t>17,993,234,835</w:t>
            </w:r>
          </w:p>
        </w:tc>
      </w:tr>
      <w:tr>
        <w:trPr>
          <w:trHeight w:val="545" w:hRule="exact"/>
        </w:trPr>
        <w:tc>
          <w:tcPr>
            <w:tcW w:w="3258"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00" w:right="0"/>
              <w:jc w:val="left"/>
              <w:rPr>
                <w:rFonts w:ascii="宋体" w:hAnsi="宋体" w:cs="宋体" w:eastAsia="宋体" w:hint="default"/>
                <w:sz w:val="22"/>
                <w:szCs w:val="22"/>
              </w:rPr>
            </w:pPr>
            <w:r>
              <w:rPr>
                <w:rFonts w:ascii="宋体" w:hAnsi="宋体" w:cs="宋体" w:eastAsia="宋体" w:hint="default"/>
                <w:sz w:val="22"/>
                <w:szCs w:val="22"/>
              </w:rPr>
              <w:t>减：一年内到期的应付债券</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87" w:right="0"/>
              <w:jc w:val="center"/>
              <w:rPr>
                <w:rFonts w:ascii="Arial" w:hAnsi="Arial" w:cs="Arial" w:eastAsia="Arial" w:hint="default"/>
                <w:sz w:val="22"/>
                <w:szCs w:val="22"/>
              </w:rPr>
            </w:pPr>
            <w:r>
              <w:rPr>
                <w:rFonts w:ascii="宋体" w:hAnsi="宋体" w:cs="宋体" w:eastAsia="宋体" w:hint="default"/>
                <w:sz w:val="22"/>
                <w:szCs w:val="22"/>
              </w:rPr>
              <w:t>附注五</w:t>
            </w:r>
            <w:r>
              <w:rPr>
                <w:rFonts w:ascii="Arial" w:hAnsi="Arial" w:cs="Arial" w:eastAsia="Arial" w:hint="default"/>
                <w:sz w:val="22"/>
                <w:szCs w:val="22"/>
              </w:rPr>
              <w:t>(24)</w:t>
            </w:r>
          </w:p>
        </w:tc>
        <w:tc>
          <w:tcPr>
            <w:tcW w:w="2256" w:type="dxa"/>
            <w:tcBorders>
              <w:top w:val="nil" w:sz="6" w:space="0" w:color="auto"/>
              <w:left w:val="nil" w:sz="6" w:space="0" w:color="auto"/>
              <w:bottom w:val="nil" w:sz="6" w:space="0" w:color="auto"/>
              <w:right w:val="nil" w:sz="6" w:space="0" w:color="auto"/>
            </w:tcBorders>
          </w:tcPr>
          <w:p>
            <w:pPr>
              <w:pStyle w:val="TableParagraph"/>
              <w:tabs>
                <w:tab w:pos="2107" w:val="left" w:leader="none"/>
                <w:tab w:pos="2255" w:val="left" w:leader="none"/>
              </w:tabs>
              <w:spacing w:line="240" w:lineRule="auto" w:before="146"/>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tab/>
            </w:r>
            <w:r>
              <w:rPr>
                <w:rFonts w:ascii="Arial"/>
                <w:sz w:val="22"/>
              </w:rPr>
            </w:r>
          </w:p>
        </w:tc>
        <w:tc>
          <w:tcPr>
            <w:tcW w:w="187" w:type="dxa"/>
            <w:tcBorders>
              <w:top w:val="nil" w:sz="6" w:space="0" w:color="auto"/>
              <w:left w:val="nil" w:sz="6" w:space="0" w:color="auto"/>
              <w:bottom w:val="nil" w:sz="6" w:space="0" w:color="auto"/>
              <w:right w:val="nil" w:sz="6" w:space="0" w:color="auto"/>
            </w:tcBorders>
          </w:tcPr>
          <w:p>
            <w:pPr/>
          </w:p>
        </w:tc>
        <w:tc>
          <w:tcPr>
            <w:tcW w:w="2270" w:type="dxa"/>
            <w:tcBorders>
              <w:top w:val="nil" w:sz="6" w:space="0" w:color="auto"/>
              <w:left w:val="nil" w:sz="6" w:space="0" w:color="auto"/>
              <w:bottom w:val="nil" w:sz="6" w:space="0" w:color="auto"/>
              <w:right w:val="nil" w:sz="6" w:space="0" w:color="auto"/>
            </w:tcBorders>
          </w:tcPr>
          <w:p>
            <w:pPr>
              <w:pStyle w:val="TableParagraph"/>
              <w:tabs>
                <w:tab w:pos="585" w:val="left" w:leader="none"/>
              </w:tabs>
              <w:spacing w:line="240" w:lineRule="auto" w:before="146"/>
              <w:ind w:right="1"/>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(16,994,248,976)</w:t>
            </w:r>
            <w:r>
              <w:rPr>
                <w:rFonts w:ascii="Arial"/>
                <w:sz w:val="22"/>
              </w:rPr>
            </w:r>
          </w:p>
        </w:tc>
      </w:tr>
      <w:tr>
        <w:trPr>
          <w:trHeight w:val="424" w:hRule="exact"/>
        </w:trPr>
        <w:tc>
          <w:tcPr>
            <w:tcW w:w="325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4" w:right="0"/>
              <w:jc w:val="left"/>
              <w:rPr>
                <w:rFonts w:ascii="宋体" w:hAnsi="宋体" w:cs="宋体" w:eastAsia="宋体" w:hint="default"/>
                <w:sz w:val="22"/>
                <w:szCs w:val="22"/>
              </w:rPr>
            </w:pPr>
            <w:bookmarkStart w:name="合计" w:id="33"/>
            <w:bookmarkEnd w:id="33"/>
            <w:r>
              <w:rPr/>
            </w:r>
            <w:r>
              <w:rPr>
                <w:rFonts w:ascii="宋体" w:hAnsi="宋体" w:cs="宋体" w:eastAsia="宋体" w:hint="default"/>
                <w:sz w:val="22"/>
                <w:szCs w:val="22"/>
              </w:rPr>
              <w:t>合计</w:t>
            </w:r>
          </w:p>
        </w:tc>
        <w:tc>
          <w:tcPr>
            <w:tcW w:w="1152" w:type="dxa"/>
            <w:tcBorders>
              <w:top w:val="nil" w:sz="6" w:space="0" w:color="auto"/>
              <w:left w:val="nil" w:sz="6" w:space="0" w:color="auto"/>
              <w:bottom w:val="nil" w:sz="6" w:space="0" w:color="auto"/>
              <w:right w:val="nil" w:sz="6" w:space="0" w:color="auto"/>
            </w:tcBorders>
          </w:tcPr>
          <w:p>
            <w:pPr/>
          </w:p>
        </w:tc>
        <w:tc>
          <w:tcPr>
            <w:tcW w:w="2256"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72"/>
              <w:jc w:val="right"/>
              <w:rPr>
                <w:rFonts w:ascii="Arial" w:hAnsi="Arial" w:cs="Arial" w:eastAsia="Arial" w:hint="default"/>
                <w:sz w:val="22"/>
                <w:szCs w:val="22"/>
              </w:rPr>
            </w:pPr>
            <w:r>
              <w:rPr>
                <w:rFonts w:ascii="Arial"/>
                <w:spacing w:val="-1"/>
                <w:sz w:val="22"/>
              </w:rPr>
              <w:t>3,995,426,810</w:t>
            </w:r>
          </w:p>
        </w:tc>
        <w:tc>
          <w:tcPr>
            <w:tcW w:w="187" w:type="dxa"/>
            <w:tcBorders>
              <w:top w:val="nil" w:sz="6" w:space="0" w:color="auto"/>
              <w:left w:val="nil" w:sz="6" w:space="0" w:color="auto"/>
              <w:bottom w:val="nil" w:sz="6" w:space="0" w:color="auto"/>
              <w:right w:val="nil" w:sz="6" w:space="0" w:color="auto"/>
            </w:tcBorders>
          </w:tcPr>
          <w:p>
            <w:pPr/>
          </w:p>
        </w:tc>
        <w:tc>
          <w:tcPr>
            <w:tcW w:w="2270"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86"/>
              <w:jc w:val="right"/>
              <w:rPr>
                <w:rFonts w:ascii="Arial" w:hAnsi="Arial" w:cs="Arial" w:eastAsia="Arial" w:hint="default"/>
                <w:sz w:val="22"/>
                <w:szCs w:val="22"/>
              </w:rPr>
            </w:pPr>
            <w:r>
              <w:rPr>
                <w:rFonts w:ascii="Arial"/>
                <w:spacing w:val="-1"/>
                <w:sz w:val="22"/>
              </w:rPr>
              <w:t>998,985,859</w:t>
            </w:r>
          </w:p>
        </w:tc>
      </w:tr>
    </w:tbl>
    <w:p>
      <w:pPr>
        <w:spacing w:after="0" w:line="240" w:lineRule="auto"/>
        <w:jc w:val="right"/>
        <w:rPr>
          <w:rFonts w:ascii="Arial" w:hAnsi="Arial" w:cs="Arial" w:eastAsia="Arial" w:hint="default"/>
          <w:sz w:val="22"/>
          <w:szCs w:val="22"/>
        </w:rPr>
        <w:sectPr>
          <w:headerReference w:type="default" r:id="rId182"/>
          <w:pgSz w:w="11910" w:h="16840"/>
          <w:pgMar w:header="1188" w:footer="502" w:top="3040" w:bottom="700" w:left="1020" w:right="1320"/>
        </w:sectPr>
      </w:pPr>
    </w:p>
    <w:p>
      <w:pPr>
        <w:pStyle w:val="BodyText"/>
        <w:spacing w:line="240" w:lineRule="auto" w:before="12"/>
        <w:ind w:left="147" w:right="10845"/>
        <w:jc w:val="left"/>
        <w:rPr>
          <w:rFonts w:ascii="黑体" w:hAnsi="黑体" w:cs="黑体" w:eastAsia="黑体" w:hint="default"/>
        </w:rPr>
      </w:pPr>
      <w:r>
        <w:rPr>
          <w:rFonts w:ascii="黑体" w:hAnsi="黑体" w:cs="黑体" w:eastAsia="黑体" w:hint="default"/>
        </w:rPr>
        <w:t>中国联合网络通信股份有限公司</w:t>
      </w:r>
    </w:p>
    <w:p>
      <w:pPr>
        <w:spacing w:line="240" w:lineRule="auto" w:before="1"/>
        <w:rPr>
          <w:rFonts w:ascii="黑体" w:hAnsi="黑体" w:cs="黑体" w:eastAsia="黑体" w:hint="default"/>
          <w:sz w:val="19"/>
          <w:szCs w:val="19"/>
        </w:rPr>
      </w:pPr>
    </w:p>
    <w:p>
      <w:pPr>
        <w:pStyle w:val="BodyText"/>
        <w:spacing w:line="240" w:lineRule="auto"/>
        <w:ind w:left="147" w:right="10845"/>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left="147" w:right="10845"/>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448" w:lineRule="auto"/>
        <w:ind w:left="108" w:right="10845" w:firstLine="38"/>
        <w:jc w:val="left"/>
      </w:pPr>
      <w:r>
        <w:rPr>
          <w:rFonts w:ascii="黑体" w:hAnsi="黑体" w:cs="黑体" w:eastAsia="黑体" w:hint="default"/>
          <w:spacing w:val="-1"/>
        </w:rPr>
        <w:t>（除特别注明外，金额单位为人民币元）</w:t>
      </w:r>
      <w:r>
        <w:rPr>
          <w:rFonts w:ascii="黑体" w:hAnsi="黑体" w:cs="黑体" w:eastAsia="黑体" w:hint="default"/>
          <w:w w:val="100"/>
        </w:rPr>
        <w:t> </w:t>
      </w:r>
      <w:r>
        <w:rPr>
          <w:rFonts w:ascii="黑体" w:hAnsi="黑体" w:cs="黑体" w:eastAsia="黑体" w:hint="default"/>
        </w:rPr>
        <w:t>五</w:t>
      </w:r>
      <w:r>
        <w:rPr>
          <w:rFonts w:ascii="黑体" w:hAnsi="黑体" w:cs="黑体" w:eastAsia="黑体" w:hint="default"/>
          <w:spacing w:val="54"/>
        </w:rPr>
        <w:t> </w:t>
      </w:r>
      <w:r>
        <w:rPr>
          <w:rFonts w:ascii="黑体" w:hAnsi="黑体" w:cs="黑体" w:eastAsia="黑体" w:hint="default"/>
        </w:rPr>
        <w:t>合并财务报表项目附注（续）</w:t>
      </w:r>
      <w:r>
        <w:rPr>
          <w:rFonts w:ascii="黑体" w:hAnsi="黑体" w:cs="黑体" w:eastAsia="黑体" w:hint="default"/>
          <w:spacing w:val="-105"/>
        </w:rPr>
        <w:t> </w:t>
      </w:r>
      <w:r>
        <w:rPr>
          <w:rFonts w:ascii="黑体" w:hAnsi="黑体" w:cs="黑体" w:eastAsia="黑体" w:hint="default"/>
          <w:spacing w:val="-105"/>
        </w:rPr>
      </w:r>
      <w:r>
        <w:rPr>
          <w:rFonts w:ascii="Arial" w:hAnsi="Arial" w:cs="Arial" w:eastAsia="Arial" w:hint="default"/>
        </w:rPr>
        <w:t>27</w:t>
      </w:r>
      <w:r>
        <w:rPr/>
        <w:t>、应付债券（续）</w:t>
      </w:r>
    </w:p>
    <w:p>
      <w:pPr>
        <w:pStyle w:val="BodyText"/>
        <w:spacing w:line="240" w:lineRule="auto" w:before="20"/>
        <w:ind w:left="108" w:right="10845"/>
        <w:jc w:val="left"/>
      </w:pPr>
      <w:r>
        <w:rPr>
          <w:rFonts w:ascii="Arial" w:hAnsi="Arial" w:cs="Arial" w:eastAsia="Arial" w:hint="default"/>
        </w:rPr>
        <w:t>(b) </w:t>
      </w:r>
      <w:r>
        <w:rPr>
          <w:rFonts w:ascii="Arial" w:hAnsi="Arial" w:cs="Arial" w:eastAsia="Arial" w:hint="default"/>
          <w:spacing w:val="27"/>
        </w:rPr>
        <w:t> </w:t>
      </w:r>
      <w:r>
        <w:rPr/>
        <w:t>中期票据及公司债券的增减变动</w:t>
      </w:r>
    </w:p>
    <w:p>
      <w:pPr>
        <w:spacing w:line="240" w:lineRule="auto" w:before="10"/>
        <w:rPr>
          <w:rFonts w:ascii="宋体" w:hAnsi="宋体" w:cs="宋体" w:eastAsia="宋体" w:hint="default"/>
          <w:sz w:val="22"/>
          <w:szCs w:val="22"/>
        </w:rPr>
      </w:pPr>
    </w:p>
    <w:tbl>
      <w:tblPr>
        <w:tblW w:w="0" w:type="auto"/>
        <w:jc w:val="left"/>
        <w:tblInd w:w="147" w:type="dxa"/>
        <w:tblLayout w:type="fixed"/>
        <w:tblCellMar>
          <w:top w:w="0" w:type="dxa"/>
          <w:left w:w="0" w:type="dxa"/>
          <w:bottom w:w="0" w:type="dxa"/>
          <w:right w:w="0" w:type="dxa"/>
        </w:tblCellMar>
        <w:tblLook w:val="01E0"/>
      </w:tblPr>
      <w:tblGrid>
        <w:gridCol w:w="2352"/>
        <w:gridCol w:w="984"/>
        <w:gridCol w:w="1577"/>
        <w:gridCol w:w="696"/>
        <w:gridCol w:w="732"/>
        <w:gridCol w:w="845"/>
        <w:gridCol w:w="1349"/>
        <w:gridCol w:w="106"/>
        <w:gridCol w:w="1190"/>
        <w:gridCol w:w="1142"/>
        <w:gridCol w:w="108"/>
        <w:gridCol w:w="1006"/>
        <w:gridCol w:w="1452"/>
        <w:gridCol w:w="1342"/>
      </w:tblGrid>
      <w:tr>
        <w:trPr>
          <w:trHeight w:val="395" w:hRule="exact"/>
        </w:trPr>
        <w:tc>
          <w:tcPr>
            <w:tcW w:w="2352"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585" w:right="0"/>
              <w:jc w:val="left"/>
              <w:rPr>
                <w:rFonts w:ascii="宋体" w:hAnsi="宋体" w:cs="宋体" w:eastAsia="宋体" w:hint="default"/>
                <w:sz w:val="16"/>
                <w:szCs w:val="16"/>
              </w:rPr>
            </w:pPr>
            <w:r>
              <w:rPr>
                <w:rFonts w:ascii="宋体" w:hAnsi="宋体" w:cs="宋体" w:eastAsia="宋体" w:hint="default"/>
                <w:sz w:val="16"/>
                <w:szCs w:val="16"/>
              </w:rPr>
              <w:t>债券名称（注</w:t>
            </w:r>
            <w:r>
              <w:rPr>
                <w:rFonts w:ascii="宋体" w:hAnsi="宋体" w:cs="宋体" w:eastAsia="宋体" w:hint="default"/>
                <w:spacing w:val="-48"/>
                <w:sz w:val="16"/>
                <w:szCs w:val="16"/>
              </w:rPr>
              <w:t> </w:t>
            </w:r>
            <w:r>
              <w:rPr>
                <w:rFonts w:ascii="Arial" w:hAnsi="Arial" w:cs="Arial" w:eastAsia="Arial" w:hint="default"/>
                <w:sz w:val="16"/>
                <w:szCs w:val="16"/>
              </w:rPr>
              <w:t>1</w:t>
            </w:r>
            <w:r>
              <w:rPr>
                <w:rFonts w:ascii="宋体" w:hAnsi="宋体" w:cs="宋体" w:eastAsia="宋体" w:hint="default"/>
                <w:sz w:val="16"/>
                <w:szCs w:val="16"/>
              </w:rPr>
              <w:t>）</w:t>
            </w:r>
          </w:p>
        </w:tc>
        <w:tc>
          <w:tcPr>
            <w:tcW w:w="984"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369" w:right="0"/>
              <w:jc w:val="left"/>
              <w:rPr>
                <w:rFonts w:ascii="宋体" w:hAnsi="宋体" w:cs="宋体" w:eastAsia="宋体" w:hint="default"/>
                <w:sz w:val="16"/>
                <w:szCs w:val="16"/>
              </w:rPr>
            </w:pPr>
            <w:r>
              <w:rPr>
                <w:rFonts w:ascii="宋体" w:hAnsi="宋体" w:cs="宋体" w:eastAsia="宋体" w:hint="default"/>
                <w:sz w:val="16"/>
                <w:szCs w:val="16"/>
              </w:rPr>
              <w:t>面值</w:t>
            </w:r>
          </w:p>
        </w:tc>
        <w:tc>
          <w:tcPr>
            <w:tcW w:w="1577"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80" w:right="0"/>
              <w:jc w:val="left"/>
              <w:rPr>
                <w:rFonts w:ascii="宋体" w:hAnsi="宋体" w:cs="宋体" w:eastAsia="宋体" w:hint="default"/>
                <w:sz w:val="16"/>
                <w:szCs w:val="16"/>
              </w:rPr>
            </w:pPr>
            <w:r>
              <w:rPr>
                <w:rFonts w:ascii="宋体" w:hAnsi="宋体" w:cs="宋体" w:eastAsia="宋体" w:hint="default"/>
                <w:sz w:val="16"/>
                <w:szCs w:val="16"/>
              </w:rPr>
              <w:t>发行日期</w:t>
            </w:r>
          </w:p>
        </w:tc>
        <w:tc>
          <w:tcPr>
            <w:tcW w:w="696"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35" w:right="0"/>
              <w:jc w:val="left"/>
              <w:rPr>
                <w:rFonts w:ascii="宋体" w:hAnsi="宋体" w:cs="宋体" w:eastAsia="宋体" w:hint="default"/>
                <w:sz w:val="16"/>
                <w:szCs w:val="16"/>
              </w:rPr>
            </w:pPr>
            <w:r>
              <w:rPr>
                <w:rFonts w:ascii="宋体" w:hAnsi="宋体" w:cs="宋体" w:eastAsia="宋体" w:hint="default"/>
                <w:sz w:val="16"/>
                <w:szCs w:val="16"/>
              </w:rPr>
              <w:t>债券期限</w:t>
            </w:r>
          </w:p>
        </w:tc>
        <w:tc>
          <w:tcPr>
            <w:tcW w:w="732"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71"/>
              <w:jc w:val="right"/>
              <w:rPr>
                <w:rFonts w:ascii="宋体" w:hAnsi="宋体" w:cs="宋体" w:eastAsia="宋体" w:hint="default"/>
                <w:sz w:val="16"/>
                <w:szCs w:val="16"/>
              </w:rPr>
            </w:pPr>
            <w:r>
              <w:rPr>
                <w:rFonts w:ascii="宋体" w:hAnsi="宋体" w:cs="宋体" w:eastAsia="宋体" w:hint="default"/>
                <w:w w:val="95"/>
                <w:sz w:val="16"/>
                <w:szCs w:val="16"/>
              </w:rPr>
              <w:t>票面利率</w:t>
            </w:r>
            <w:r>
              <w:rPr>
                <w:rFonts w:ascii="宋体" w:hAnsi="宋体" w:cs="宋体" w:eastAsia="宋体" w:hint="default"/>
                <w:sz w:val="16"/>
                <w:szCs w:val="16"/>
              </w:rPr>
            </w:r>
          </w:p>
        </w:tc>
        <w:tc>
          <w:tcPr>
            <w:tcW w:w="845"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8" w:right="0"/>
              <w:jc w:val="center"/>
              <w:rPr>
                <w:rFonts w:ascii="宋体" w:hAnsi="宋体" w:cs="宋体" w:eastAsia="宋体" w:hint="default"/>
                <w:sz w:val="16"/>
                <w:szCs w:val="16"/>
              </w:rPr>
            </w:pPr>
            <w:r>
              <w:rPr>
                <w:rFonts w:ascii="宋体" w:hAnsi="宋体" w:cs="宋体" w:eastAsia="宋体" w:hint="default"/>
                <w:sz w:val="16"/>
                <w:szCs w:val="16"/>
              </w:rPr>
              <w:t>发行金额</w:t>
            </w:r>
          </w:p>
        </w:tc>
        <w:tc>
          <w:tcPr>
            <w:tcW w:w="1349"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6"/>
              <w:jc w:val="right"/>
              <w:rPr>
                <w:rFonts w:ascii="宋体" w:hAnsi="宋体" w:cs="宋体" w:eastAsia="宋体" w:hint="default"/>
                <w:sz w:val="16"/>
                <w:szCs w:val="16"/>
              </w:rPr>
            </w:pPr>
            <w:r>
              <w:rPr>
                <w:rFonts w:ascii="宋体" w:hAnsi="宋体" w:cs="宋体" w:eastAsia="宋体" w:hint="default"/>
                <w:sz w:val="16"/>
                <w:szCs w:val="16"/>
              </w:rPr>
              <w:t>年初余额（注</w:t>
            </w:r>
            <w:r>
              <w:rPr>
                <w:rFonts w:ascii="宋体" w:hAnsi="宋体" w:cs="宋体" w:eastAsia="宋体" w:hint="default"/>
                <w:spacing w:val="-48"/>
                <w:sz w:val="16"/>
                <w:szCs w:val="16"/>
              </w:rPr>
              <w:t> </w:t>
            </w:r>
            <w:r>
              <w:rPr>
                <w:rFonts w:ascii="Arial" w:hAnsi="Arial" w:cs="Arial" w:eastAsia="Arial" w:hint="default"/>
                <w:sz w:val="16"/>
                <w:szCs w:val="16"/>
              </w:rPr>
              <w:t>2</w:t>
            </w:r>
            <w:r>
              <w:rPr>
                <w:rFonts w:ascii="宋体" w:hAnsi="宋体" w:cs="宋体" w:eastAsia="宋体" w:hint="default"/>
                <w:sz w:val="16"/>
                <w:szCs w:val="16"/>
              </w:rPr>
              <w:t>）</w:t>
            </w:r>
          </w:p>
        </w:tc>
        <w:tc>
          <w:tcPr>
            <w:tcW w:w="106"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01" w:right="0"/>
              <w:jc w:val="left"/>
              <w:rPr>
                <w:rFonts w:ascii="宋体" w:hAnsi="宋体" w:cs="宋体" w:eastAsia="宋体" w:hint="default"/>
                <w:sz w:val="16"/>
                <w:szCs w:val="16"/>
              </w:rPr>
            </w:pPr>
            <w:r>
              <w:rPr>
                <w:rFonts w:ascii="宋体" w:hAnsi="宋体" w:cs="宋体" w:eastAsia="宋体" w:hint="default"/>
                <w:sz w:val="16"/>
                <w:szCs w:val="16"/>
              </w:rPr>
              <w:t>本年发行</w:t>
            </w:r>
          </w:p>
        </w:tc>
        <w:tc>
          <w:tcPr>
            <w:tcW w:w="1142" w:type="dxa"/>
            <w:tcBorders>
              <w:top w:val="nil" w:sz="6" w:space="0" w:color="auto"/>
              <w:left w:val="nil" w:sz="6" w:space="0" w:color="auto"/>
              <w:bottom w:val="single" w:sz="4" w:space="0" w:color="000000"/>
              <w:right w:val="nil" w:sz="6" w:space="0" w:color="auto"/>
            </w:tcBorders>
          </w:tcPr>
          <w:p>
            <w:pPr>
              <w:pStyle w:val="TableParagraph"/>
              <w:spacing w:line="157" w:lineRule="exact"/>
              <w:ind w:left="220" w:right="0" w:firstLine="81"/>
              <w:jc w:val="left"/>
              <w:rPr>
                <w:rFonts w:ascii="宋体" w:hAnsi="宋体" w:cs="宋体" w:eastAsia="宋体" w:hint="default"/>
                <w:sz w:val="16"/>
                <w:szCs w:val="16"/>
              </w:rPr>
            </w:pPr>
            <w:r>
              <w:rPr>
                <w:rFonts w:ascii="宋体" w:hAnsi="宋体" w:cs="宋体" w:eastAsia="宋体" w:hint="default"/>
                <w:sz w:val="16"/>
                <w:szCs w:val="16"/>
              </w:rPr>
              <w:t>按面值</w:t>
            </w:r>
          </w:p>
          <w:p>
            <w:pPr>
              <w:pStyle w:val="TableParagraph"/>
              <w:spacing w:line="208" w:lineRule="exact"/>
              <w:ind w:left="220" w:right="0"/>
              <w:jc w:val="left"/>
              <w:rPr>
                <w:rFonts w:ascii="宋体" w:hAnsi="宋体" w:cs="宋体" w:eastAsia="宋体" w:hint="default"/>
                <w:sz w:val="16"/>
                <w:szCs w:val="16"/>
              </w:rPr>
            </w:pPr>
            <w:r>
              <w:rPr>
                <w:rFonts w:ascii="宋体" w:hAnsi="宋体" w:cs="宋体" w:eastAsia="宋体" w:hint="default"/>
                <w:sz w:val="16"/>
                <w:szCs w:val="16"/>
              </w:rPr>
              <w:t>计提利息</w:t>
            </w:r>
          </w:p>
        </w:tc>
        <w:tc>
          <w:tcPr>
            <w:tcW w:w="108" w:type="dxa"/>
            <w:tcBorders>
              <w:top w:val="nil" w:sz="6" w:space="0" w:color="auto"/>
              <w:left w:val="nil" w:sz="6" w:space="0" w:color="auto"/>
              <w:bottom w:val="nil" w:sz="6" w:space="0" w:color="auto"/>
              <w:right w:val="nil" w:sz="6" w:space="0" w:color="auto"/>
            </w:tcBorders>
          </w:tcPr>
          <w:p>
            <w:pPr/>
          </w:p>
        </w:tc>
        <w:tc>
          <w:tcPr>
            <w:tcW w:w="1006"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sz w:val="16"/>
                <w:szCs w:val="16"/>
              </w:rPr>
              <w:t>折溢价摊销</w:t>
            </w:r>
          </w:p>
        </w:tc>
        <w:tc>
          <w:tcPr>
            <w:tcW w:w="1452"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403" w:right="0"/>
              <w:jc w:val="left"/>
              <w:rPr>
                <w:rFonts w:ascii="宋体" w:hAnsi="宋体" w:cs="宋体" w:eastAsia="宋体" w:hint="default"/>
                <w:sz w:val="16"/>
                <w:szCs w:val="16"/>
              </w:rPr>
            </w:pPr>
            <w:r>
              <w:rPr>
                <w:rFonts w:ascii="宋体" w:hAnsi="宋体" w:cs="宋体" w:eastAsia="宋体" w:hint="default"/>
                <w:sz w:val="16"/>
                <w:szCs w:val="16"/>
              </w:rPr>
              <w:t>本年偿还</w:t>
            </w:r>
          </w:p>
        </w:tc>
        <w:tc>
          <w:tcPr>
            <w:tcW w:w="1342"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7"/>
              <w:jc w:val="right"/>
              <w:rPr>
                <w:rFonts w:ascii="宋体" w:hAnsi="宋体" w:cs="宋体" w:eastAsia="宋体" w:hint="default"/>
                <w:sz w:val="16"/>
                <w:szCs w:val="16"/>
              </w:rPr>
            </w:pPr>
            <w:r>
              <w:rPr>
                <w:rFonts w:ascii="宋体" w:hAnsi="宋体" w:cs="宋体" w:eastAsia="宋体" w:hint="default"/>
                <w:sz w:val="16"/>
                <w:szCs w:val="16"/>
              </w:rPr>
              <w:t>年末余额（注</w:t>
            </w:r>
            <w:r>
              <w:rPr>
                <w:rFonts w:ascii="宋体" w:hAnsi="宋体" w:cs="宋体" w:eastAsia="宋体" w:hint="default"/>
                <w:spacing w:val="-48"/>
                <w:sz w:val="16"/>
                <w:szCs w:val="16"/>
              </w:rPr>
              <w:t> </w:t>
            </w:r>
            <w:r>
              <w:rPr>
                <w:rFonts w:ascii="Arial" w:hAnsi="Arial" w:cs="Arial" w:eastAsia="Arial" w:hint="default"/>
                <w:sz w:val="16"/>
                <w:szCs w:val="16"/>
              </w:rPr>
              <w:t>2</w:t>
            </w:r>
            <w:r>
              <w:rPr>
                <w:rFonts w:ascii="宋体" w:hAnsi="宋体" w:cs="宋体" w:eastAsia="宋体" w:hint="default"/>
                <w:sz w:val="16"/>
                <w:szCs w:val="16"/>
              </w:rPr>
              <w:t>）</w:t>
            </w:r>
          </w:p>
        </w:tc>
      </w:tr>
      <w:tr>
        <w:trPr>
          <w:trHeight w:val="427" w:hRule="exact"/>
        </w:trPr>
        <w:tc>
          <w:tcPr>
            <w:tcW w:w="2352"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0"/>
              <w:jc w:val="left"/>
              <w:rPr>
                <w:rFonts w:ascii="宋体" w:hAnsi="宋体" w:cs="宋体" w:eastAsia="宋体" w:hint="default"/>
                <w:sz w:val="16"/>
                <w:szCs w:val="16"/>
              </w:rPr>
            </w:pPr>
            <w:r>
              <w:rPr>
                <w:rFonts w:ascii="Arial" w:hAnsi="Arial" w:cs="Arial" w:eastAsia="Arial" w:hint="default"/>
                <w:sz w:val="16"/>
                <w:szCs w:val="16"/>
              </w:rPr>
              <w:t>2016</w:t>
            </w:r>
            <w:r>
              <w:rPr>
                <w:rFonts w:ascii="Arial" w:hAnsi="Arial" w:cs="Arial" w:eastAsia="Arial" w:hint="default"/>
                <w:spacing w:val="-14"/>
                <w:sz w:val="16"/>
                <w:szCs w:val="16"/>
              </w:rPr>
              <w:t> </w:t>
            </w:r>
            <w:r>
              <w:rPr>
                <w:rFonts w:ascii="宋体" w:hAnsi="宋体" w:cs="宋体" w:eastAsia="宋体" w:hint="default"/>
                <w:sz w:val="16"/>
                <w:szCs w:val="16"/>
              </w:rPr>
              <w:t>年第一期公司债券品种一</w:t>
            </w:r>
          </w:p>
        </w:tc>
        <w:tc>
          <w:tcPr>
            <w:tcW w:w="984"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156"/>
              <w:jc w:val="right"/>
              <w:rPr>
                <w:rFonts w:ascii="宋体" w:hAnsi="宋体" w:cs="宋体" w:eastAsia="宋体" w:hint="default"/>
                <w:sz w:val="16"/>
                <w:szCs w:val="16"/>
              </w:rPr>
            </w:pPr>
            <w:r>
              <w:rPr>
                <w:rFonts w:ascii="Arial" w:hAnsi="Arial" w:cs="Arial" w:eastAsia="Arial" w:hint="default"/>
                <w:sz w:val="16"/>
                <w:szCs w:val="16"/>
              </w:rPr>
              <w:t>70</w:t>
            </w:r>
            <w:r>
              <w:rPr>
                <w:rFonts w:ascii="Arial" w:hAnsi="Arial" w:cs="Arial" w:eastAsia="Arial" w:hint="default"/>
                <w:spacing w:val="-10"/>
                <w:sz w:val="16"/>
                <w:szCs w:val="16"/>
              </w:rPr>
              <w:t> </w:t>
            </w:r>
            <w:r>
              <w:rPr>
                <w:rFonts w:ascii="宋体" w:hAnsi="宋体" w:cs="宋体" w:eastAsia="宋体" w:hint="default"/>
                <w:sz w:val="16"/>
                <w:szCs w:val="16"/>
              </w:rPr>
              <w:t>亿元</w:t>
            </w:r>
          </w:p>
        </w:tc>
        <w:tc>
          <w:tcPr>
            <w:tcW w:w="1577"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35"/>
              <w:jc w:val="right"/>
              <w:rPr>
                <w:rFonts w:ascii="宋体" w:hAnsi="宋体" w:cs="宋体" w:eastAsia="宋体" w:hint="default"/>
                <w:sz w:val="16"/>
                <w:szCs w:val="16"/>
              </w:rPr>
            </w:pPr>
            <w:r>
              <w:rPr>
                <w:rFonts w:ascii="Arial" w:hAnsi="Arial" w:cs="Arial" w:eastAsia="Arial" w:hint="default"/>
                <w:sz w:val="16"/>
                <w:szCs w:val="16"/>
              </w:rPr>
              <w:t>2016</w:t>
            </w:r>
            <w:r>
              <w:rPr>
                <w:rFonts w:ascii="Arial" w:hAnsi="Arial" w:cs="Arial" w:eastAsia="Arial" w:hint="default"/>
                <w:spacing w:val="-6"/>
                <w:sz w:val="16"/>
                <w:szCs w:val="16"/>
              </w:rPr>
              <w:t> </w:t>
            </w:r>
            <w:r>
              <w:rPr>
                <w:rFonts w:ascii="宋体" w:hAnsi="宋体" w:cs="宋体" w:eastAsia="宋体" w:hint="default"/>
                <w:sz w:val="16"/>
                <w:szCs w:val="16"/>
              </w:rPr>
              <w:t>年</w:t>
            </w:r>
            <w:r>
              <w:rPr>
                <w:rFonts w:ascii="宋体" w:hAnsi="宋体" w:cs="宋体" w:eastAsia="宋体" w:hint="default"/>
                <w:spacing w:val="-40"/>
                <w:sz w:val="16"/>
                <w:szCs w:val="16"/>
              </w:rPr>
              <w:t> </w:t>
            </w:r>
            <w:r>
              <w:rPr>
                <w:rFonts w:ascii="Arial" w:hAnsi="Arial" w:cs="Arial" w:eastAsia="Arial" w:hint="default"/>
                <w:sz w:val="16"/>
                <w:szCs w:val="16"/>
              </w:rPr>
              <w:t>6</w:t>
            </w:r>
            <w:r>
              <w:rPr>
                <w:rFonts w:ascii="Arial" w:hAnsi="Arial" w:cs="Arial" w:eastAsia="Arial" w:hint="default"/>
                <w:spacing w:val="-6"/>
                <w:sz w:val="16"/>
                <w:szCs w:val="16"/>
              </w:rPr>
              <w:t> </w:t>
            </w:r>
            <w:r>
              <w:rPr>
                <w:rFonts w:ascii="宋体" w:hAnsi="宋体" w:cs="宋体" w:eastAsia="宋体" w:hint="default"/>
                <w:sz w:val="16"/>
                <w:szCs w:val="16"/>
              </w:rPr>
              <w:t>月</w:t>
            </w:r>
            <w:r>
              <w:rPr>
                <w:rFonts w:ascii="宋体" w:hAnsi="宋体" w:cs="宋体" w:eastAsia="宋体" w:hint="default"/>
                <w:spacing w:val="-40"/>
                <w:sz w:val="16"/>
                <w:szCs w:val="16"/>
              </w:rPr>
              <w:t> </w:t>
            </w:r>
            <w:r>
              <w:rPr>
                <w:rFonts w:ascii="Arial" w:hAnsi="Arial" w:cs="Arial" w:eastAsia="Arial" w:hint="default"/>
                <w:sz w:val="16"/>
                <w:szCs w:val="16"/>
              </w:rPr>
              <w:t>7</w:t>
            </w:r>
            <w:r>
              <w:rPr>
                <w:rFonts w:ascii="Arial" w:hAnsi="Arial" w:cs="Arial" w:eastAsia="Arial" w:hint="default"/>
                <w:spacing w:val="-10"/>
                <w:sz w:val="16"/>
                <w:szCs w:val="16"/>
              </w:rPr>
              <w:t> </w:t>
            </w:r>
            <w:r>
              <w:rPr>
                <w:rFonts w:ascii="宋体" w:hAnsi="宋体" w:cs="宋体" w:eastAsia="宋体" w:hint="default"/>
                <w:sz w:val="16"/>
                <w:szCs w:val="16"/>
              </w:rPr>
              <w:t>日</w:t>
            </w:r>
          </w:p>
        </w:tc>
        <w:tc>
          <w:tcPr>
            <w:tcW w:w="696"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290" w:right="0"/>
              <w:jc w:val="left"/>
              <w:rPr>
                <w:rFonts w:ascii="宋体" w:hAnsi="宋体" w:cs="宋体" w:eastAsia="宋体" w:hint="default"/>
                <w:sz w:val="16"/>
                <w:szCs w:val="16"/>
              </w:rPr>
            </w:pPr>
            <w:r>
              <w:rPr>
                <w:rFonts w:ascii="Arial" w:hAnsi="Arial" w:cs="Arial" w:eastAsia="Arial" w:hint="default"/>
                <w:sz w:val="16"/>
                <w:szCs w:val="16"/>
              </w:rPr>
              <w:t>3</w:t>
            </w:r>
            <w:r>
              <w:rPr>
                <w:rFonts w:ascii="Arial" w:hAnsi="Arial" w:cs="Arial" w:eastAsia="Arial" w:hint="default"/>
                <w:spacing w:val="-11"/>
                <w:sz w:val="16"/>
                <w:szCs w:val="16"/>
              </w:rPr>
              <w:t> </w:t>
            </w:r>
            <w:r>
              <w:rPr>
                <w:rFonts w:ascii="宋体" w:hAnsi="宋体" w:cs="宋体" w:eastAsia="宋体" w:hint="default"/>
                <w:sz w:val="16"/>
                <w:szCs w:val="16"/>
              </w:rPr>
              <w:t>年</w:t>
            </w:r>
          </w:p>
        </w:tc>
        <w:tc>
          <w:tcPr>
            <w:tcW w:w="732"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69"/>
              <w:jc w:val="right"/>
              <w:rPr>
                <w:rFonts w:ascii="Arial" w:hAnsi="Arial" w:cs="Arial" w:eastAsia="Arial" w:hint="default"/>
                <w:sz w:val="16"/>
                <w:szCs w:val="16"/>
              </w:rPr>
            </w:pPr>
            <w:r>
              <w:rPr>
                <w:rFonts w:ascii="Arial"/>
                <w:sz w:val="16"/>
              </w:rPr>
              <w:t>3.07%</w:t>
            </w:r>
          </w:p>
        </w:tc>
        <w:tc>
          <w:tcPr>
            <w:tcW w:w="845"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100" w:right="0"/>
              <w:jc w:val="center"/>
              <w:rPr>
                <w:rFonts w:ascii="宋体" w:hAnsi="宋体" w:cs="宋体" w:eastAsia="宋体" w:hint="default"/>
                <w:sz w:val="16"/>
                <w:szCs w:val="16"/>
              </w:rPr>
            </w:pPr>
            <w:r>
              <w:rPr>
                <w:rFonts w:ascii="Arial" w:hAnsi="Arial" w:cs="Arial" w:eastAsia="Arial" w:hint="default"/>
                <w:sz w:val="16"/>
                <w:szCs w:val="16"/>
              </w:rPr>
              <w:t>70</w:t>
            </w:r>
            <w:r>
              <w:rPr>
                <w:rFonts w:ascii="Arial" w:hAnsi="Arial" w:cs="Arial" w:eastAsia="Arial" w:hint="default"/>
                <w:spacing w:val="-10"/>
                <w:sz w:val="16"/>
                <w:szCs w:val="16"/>
              </w:rPr>
              <w:t> </w:t>
            </w:r>
            <w:r>
              <w:rPr>
                <w:rFonts w:ascii="宋体" w:hAnsi="宋体" w:cs="宋体" w:eastAsia="宋体" w:hint="default"/>
                <w:sz w:val="16"/>
                <w:szCs w:val="16"/>
              </w:rPr>
              <w:t>亿元</w:t>
            </w:r>
          </w:p>
        </w:tc>
        <w:tc>
          <w:tcPr>
            <w:tcW w:w="1349"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72"/>
              <w:jc w:val="right"/>
              <w:rPr>
                <w:rFonts w:ascii="Arial" w:hAnsi="Arial" w:cs="Arial" w:eastAsia="Arial" w:hint="default"/>
                <w:sz w:val="16"/>
                <w:szCs w:val="16"/>
              </w:rPr>
            </w:pPr>
            <w:r>
              <w:rPr>
                <w:rFonts w:ascii="Arial"/>
                <w:w w:val="95"/>
                <w:sz w:val="16"/>
              </w:rPr>
              <w:t>7,120,380,686</w:t>
            </w:r>
            <w:r>
              <w:rPr>
                <w:rFonts w:ascii="Arial"/>
                <w:sz w:val="16"/>
              </w:rPr>
            </w:r>
          </w:p>
        </w:tc>
        <w:tc>
          <w:tcPr>
            <w:tcW w:w="106" w:type="dxa"/>
            <w:tcBorders>
              <w:top w:val="nil" w:sz="6" w:space="0" w:color="auto"/>
              <w:left w:val="nil" w:sz="6" w:space="0" w:color="auto"/>
              <w:bottom w:val="nil" w:sz="6" w:space="0" w:color="auto"/>
              <w:right w:val="nil" w:sz="6" w:space="0" w:color="auto"/>
            </w:tcBorders>
          </w:tcPr>
          <w:p>
            <w:pPr/>
          </w:p>
        </w:tc>
        <w:tc>
          <w:tcPr>
            <w:tcW w:w="1190"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74"/>
              <w:jc w:val="right"/>
              <w:rPr>
                <w:rFonts w:ascii="Arial" w:hAnsi="Arial" w:cs="Arial" w:eastAsia="Arial" w:hint="default"/>
                <w:sz w:val="16"/>
                <w:szCs w:val="16"/>
              </w:rPr>
            </w:pPr>
            <w:r>
              <w:rPr>
                <w:rFonts w:ascii="Arial"/>
                <w:w w:val="98"/>
                <w:sz w:val="16"/>
              </w:rPr>
              <w:t>-</w:t>
            </w:r>
            <w:r>
              <w:rPr>
                <w:rFonts w:ascii="Arial"/>
                <w:sz w:val="16"/>
              </w:rPr>
            </w:r>
          </w:p>
        </w:tc>
        <w:tc>
          <w:tcPr>
            <w:tcW w:w="1142"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68" w:right="0"/>
              <w:jc w:val="left"/>
              <w:rPr>
                <w:rFonts w:ascii="Arial" w:hAnsi="Arial" w:cs="Arial" w:eastAsia="Arial" w:hint="default"/>
                <w:sz w:val="16"/>
                <w:szCs w:val="16"/>
              </w:rPr>
            </w:pPr>
            <w:r>
              <w:rPr>
                <w:rFonts w:ascii="Arial"/>
                <w:sz w:val="16"/>
              </w:rPr>
              <w:t>92,436,438</w:t>
            </w:r>
          </w:p>
        </w:tc>
        <w:tc>
          <w:tcPr>
            <w:tcW w:w="108" w:type="dxa"/>
            <w:tcBorders>
              <w:top w:val="nil" w:sz="6" w:space="0" w:color="auto"/>
              <w:left w:val="nil" w:sz="6" w:space="0" w:color="auto"/>
              <w:bottom w:val="nil" w:sz="6" w:space="0" w:color="auto"/>
              <w:right w:val="nil" w:sz="6" w:space="0" w:color="auto"/>
            </w:tcBorders>
          </w:tcPr>
          <w:p>
            <w:pPr/>
          </w:p>
        </w:tc>
        <w:tc>
          <w:tcPr>
            <w:tcW w:w="1006"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23" w:right="0"/>
              <w:jc w:val="left"/>
              <w:rPr>
                <w:rFonts w:ascii="Arial" w:hAnsi="Arial" w:cs="Arial" w:eastAsia="Arial" w:hint="default"/>
                <w:sz w:val="16"/>
                <w:szCs w:val="16"/>
              </w:rPr>
            </w:pPr>
            <w:r>
              <w:rPr>
                <w:rFonts w:ascii="Arial"/>
                <w:sz w:val="16"/>
              </w:rPr>
              <w:t>2,082,876</w:t>
            </w:r>
          </w:p>
        </w:tc>
        <w:tc>
          <w:tcPr>
            <w:tcW w:w="1452"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84"/>
              <w:jc w:val="right"/>
              <w:rPr>
                <w:rFonts w:ascii="Arial" w:hAnsi="Arial" w:cs="Arial" w:eastAsia="Arial" w:hint="default"/>
                <w:sz w:val="16"/>
                <w:szCs w:val="16"/>
              </w:rPr>
            </w:pPr>
            <w:r>
              <w:rPr>
                <w:rFonts w:ascii="Arial"/>
                <w:w w:val="95"/>
                <w:sz w:val="16"/>
              </w:rPr>
              <w:t>(7,214,900,000)</w:t>
            </w:r>
            <w:r>
              <w:rPr>
                <w:rFonts w:ascii="Arial"/>
                <w:sz w:val="16"/>
              </w:rPr>
            </w:r>
          </w:p>
        </w:tc>
        <w:tc>
          <w:tcPr>
            <w:tcW w:w="1342"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60"/>
              <w:jc w:val="right"/>
              <w:rPr>
                <w:rFonts w:ascii="Arial" w:hAnsi="Arial" w:cs="Arial" w:eastAsia="Arial" w:hint="default"/>
                <w:sz w:val="16"/>
                <w:szCs w:val="16"/>
              </w:rPr>
            </w:pPr>
            <w:r>
              <w:rPr>
                <w:rFonts w:ascii="Arial"/>
                <w:w w:val="98"/>
                <w:sz w:val="16"/>
              </w:rPr>
              <w:t>-</w:t>
            </w:r>
            <w:r>
              <w:rPr>
                <w:rFonts w:ascii="Arial"/>
                <w:sz w:val="16"/>
              </w:rPr>
            </w:r>
          </w:p>
        </w:tc>
      </w:tr>
      <w:tr>
        <w:trPr>
          <w:trHeight w:val="206" w:hRule="exact"/>
        </w:trPr>
        <w:tc>
          <w:tcPr>
            <w:tcW w:w="2352" w:type="dxa"/>
            <w:tcBorders>
              <w:top w:val="nil" w:sz="6" w:space="0" w:color="auto"/>
              <w:left w:val="nil" w:sz="6" w:space="0" w:color="auto"/>
              <w:bottom w:val="nil" w:sz="6" w:space="0" w:color="auto"/>
              <w:right w:val="nil" w:sz="6" w:space="0" w:color="auto"/>
            </w:tcBorders>
          </w:tcPr>
          <w:p>
            <w:pPr>
              <w:pStyle w:val="TableParagraph"/>
              <w:spacing w:line="183" w:lineRule="exact"/>
              <w:ind w:right="0"/>
              <w:jc w:val="left"/>
              <w:rPr>
                <w:rFonts w:ascii="宋体" w:hAnsi="宋体" w:cs="宋体" w:eastAsia="宋体" w:hint="default"/>
                <w:sz w:val="16"/>
                <w:szCs w:val="16"/>
              </w:rPr>
            </w:pPr>
            <w:r>
              <w:rPr>
                <w:rFonts w:ascii="Arial" w:hAnsi="Arial" w:cs="Arial" w:eastAsia="Arial" w:hint="default"/>
                <w:sz w:val="16"/>
                <w:szCs w:val="16"/>
              </w:rPr>
              <w:t>2016</w:t>
            </w:r>
            <w:r>
              <w:rPr>
                <w:rFonts w:ascii="Arial" w:hAnsi="Arial" w:cs="Arial" w:eastAsia="Arial" w:hint="default"/>
                <w:spacing w:val="-14"/>
                <w:sz w:val="16"/>
                <w:szCs w:val="16"/>
              </w:rPr>
              <w:t> </w:t>
            </w:r>
            <w:r>
              <w:rPr>
                <w:rFonts w:ascii="宋体" w:hAnsi="宋体" w:cs="宋体" w:eastAsia="宋体" w:hint="default"/>
                <w:sz w:val="16"/>
                <w:szCs w:val="16"/>
              </w:rPr>
              <w:t>年第一期公司债券品种二</w:t>
            </w:r>
          </w:p>
        </w:tc>
        <w:tc>
          <w:tcPr>
            <w:tcW w:w="984" w:type="dxa"/>
            <w:tcBorders>
              <w:top w:val="nil" w:sz="6" w:space="0" w:color="auto"/>
              <w:left w:val="nil" w:sz="6" w:space="0" w:color="auto"/>
              <w:bottom w:val="nil" w:sz="6" w:space="0" w:color="auto"/>
              <w:right w:val="nil" w:sz="6" w:space="0" w:color="auto"/>
            </w:tcBorders>
          </w:tcPr>
          <w:p>
            <w:pPr>
              <w:pStyle w:val="TableParagraph"/>
              <w:spacing w:line="183" w:lineRule="exact"/>
              <w:ind w:right="156"/>
              <w:jc w:val="right"/>
              <w:rPr>
                <w:rFonts w:ascii="宋体" w:hAnsi="宋体" w:cs="宋体" w:eastAsia="宋体" w:hint="default"/>
                <w:sz w:val="16"/>
                <w:szCs w:val="16"/>
              </w:rPr>
            </w:pPr>
            <w:r>
              <w:rPr>
                <w:rFonts w:ascii="Arial" w:hAnsi="Arial" w:cs="Arial" w:eastAsia="Arial" w:hint="default"/>
                <w:sz w:val="16"/>
                <w:szCs w:val="16"/>
              </w:rPr>
              <w:t>10</w:t>
            </w:r>
            <w:r>
              <w:rPr>
                <w:rFonts w:ascii="Arial" w:hAnsi="Arial" w:cs="Arial" w:eastAsia="Arial" w:hint="default"/>
                <w:spacing w:val="-10"/>
                <w:sz w:val="16"/>
                <w:szCs w:val="16"/>
              </w:rPr>
              <w:t> </w:t>
            </w:r>
            <w:r>
              <w:rPr>
                <w:rFonts w:ascii="宋体" w:hAnsi="宋体" w:cs="宋体" w:eastAsia="宋体" w:hint="default"/>
                <w:sz w:val="16"/>
                <w:szCs w:val="16"/>
              </w:rPr>
              <w:t>亿元</w:t>
            </w:r>
          </w:p>
        </w:tc>
        <w:tc>
          <w:tcPr>
            <w:tcW w:w="1577" w:type="dxa"/>
            <w:tcBorders>
              <w:top w:val="nil" w:sz="6" w:space="0" w:color="auto"/>
              <w:left w:val="nil" w:sz="6" w:space="0" w:color="auto"/>
              <w:bottom w:val="nil" w:sz="6" w:space="0" w:color="auto"/>
              <w:right w:val="nil" w:sz="6" w:space="0" w:color="auto"/>
            </w:tcBorders>
          </w:tcPr>
          <w:p>
            <w:pPr>
              <w:pStyle w:val="TableParagraph"/>
              <w:spacing w:line="183" w:lineRule="exact"/>
              <w:ind w:right="35"/>
              <w:jc w:val="right"/>
              <w:rPr>
                <w:rFonts w:ascii="宋体" w:hAnsi="宋体" w:cs="宋体" w:eastAsia="宋体" w:hint="default"/>
                <w:sz w:val="16"/>
                <w:szCs w:val="16"/>
              </w:rPr>
            </w:pPr>
            <w:r>
              <w:rPr>
                <w:rFonts w:ascii="Arial" w:hAnsi="Arial" w:cs="Arial" w:eastAsia="Arial" w:hint="default"/>
                <w:sz w:val="16"/>
                <w:szCs w:val="16"/>
              </w:rPr>
              <w:t>2016</w:t>
            </w:r>
            <w:r>
              <w:rPr>
                <w:rFonts w:ascii="Arial" w:hAnsi="Arial" w:cs="Arial" w:eastAsia="Arial" w:hint="default"/>
                <w:spacing w:val="-6"/>
                <w:sz w:val="16"/>
                <w:szCs w:val="16"/>
              </w:rPr>
              <w:t> </w:t>
            </w:r>
            <w:r>
              <w:rPr>
                <w:rFonts w:ascii="宋体" w:hAnsi="宋体" w:cs="宋体" w:eastAsia="宋体" w:hint="default"/>
                <w:sz w:val="16"/>
                <w:szCs w:val="16"/>
              </w:rPr>
              <w:t>年</w:t>
            </w:r>
            <w:r>
              <w:rPr>
                <w:rFonts w:ascii="宋体" w:hAnsi="宋体" w:cs="宋体" w:eastAsia="宋体" w:hint="default"/>
                <w:spacing w:val="-40"/>
                <w:sz w:val="16"/>
                <w:szCs w:val="16"/>
              </w:rPr>
              <w:t> </w:t>
            </w:r>
            <w:r>
              <w:rPr>
                <w:rFonts w:ascii="Arial" w:hAnsi="Arial" w:cs="Arial" w:eastAsia="Arial" w:hint="default"/>
                <w:sz w:val="16"/>
                <w:szCs w:val="16"/>
              </w:rPr>
              <w:t>6</w:t>
            </w:r>
            <w:r>
              <w:rPr>
                <w:rFonts w:ascii="Arial" w:hAnsi="Arial" w:cs="Arial" w:eastAsia="Arial" w:hint="default"/>
                <w:spacing w:val="-6"/>
                <w:sz w:val="16"/>
                <w:szCs w:val="16"/>
              </w:rPr>
              <w:t> </w:t>
            </w:r>
            <w:r>
              <w:rPr>
                <w:rFonts w:ascii="宋体" w:hAnsi="宋体" w:cs="宋体" w:eastAsia="宋体" w:hint="default"/>
                <w:sz w:val="16"/>
                <w:szCs w:val="16"/>
              </w:rPr>
              <w:t>月</w:t>
            </w:r>
            <w:r>
              <w:rPr>
                <w:rFonts w:ascii="宋体" w:hAnsi="宋体" w:cs="宋体" w:eastAsia="宋体" w:hint="default"/>
                <w:spacing w:val="-40"/>
                <w:sz w:val="16"/>
                <w:szCs w:val="16"/>
              </w:rPr>
              <w:t> </w:t>
            </w:r>
            <w:r>
              <w:rPr>
                <w:rFonts w:ascii="Arial" w:hAnsi="Arial" w:cs="Arial" w:eastAsia="Arial" w:hint="default"/>
                <w:sz w:val="16"/>
                <w:szCs w:val="16"/>
              </w:rPr>
              <w:t>7</w:t>
            </w:r>
            <w:r>
              <w:rPr>
                <w:rFonts w:ascii="Arial" w:hAnsi="Arial" w:cs="Arial" w:eastAsia="Arial" w:hint="default"/>
                <w:spacing w:val="-10"/>
                <w:sz w:val="16"/>
                <w:szCs w:val="16"/>
              </w:rPr>
              <w:t> </w:t>
            </w:r>
            <w:r>
              <w:rPr>
                <w:rFonts w:ascii="宋体" w:hAnsi="宋体" w:cs="宋体" w:eastAsia="宋体" w:hint="default"/>
                <w:sz w:val="16"/>
                <w:szCs w:val="16"/>
              </w:rPr>
              <w:t>日</w:t>
            </w:r>
          </w:p>
        </w:tc>
        <w:tc>
          <w:tcPr>
            <w:tcW w:w="696" w:type="dxa"/>
            <w:tcBorders>
              <w:top w:val="nil" w:sz="6" w:space="0" w:color="auto"/>
              <w:left w:val="nil" w:sz="6" w:space="0" w:color="auto"/>
              <w:bottom w:val="nil" w:sz="6" w:space="0" w:color="auto"/>
              <w:right w:val="nil" w:sz="6" w:space="0" w:color="auto"/>
            </w:tcBorders>
          </w:tcPr>
          <w:p>
            <w:pPr>
              <w:pStyle w:val="TableParagraph"/>
              <w:spacing w:line="183" w:lineRule="exact"/>
              <w:ind w:left="290" w:right="0"/>
              <w:jc w:val="left"/>
              <w:rPr>
                <w:rFonts w:ascii="宋体" w:hAnsi="宋体" w:cs="宋体" w:eastAsia="宋体" w:hint="default"/>
                <w:sz w:val="16"/>
                <w:szCs w:val="16"/>
              </w:rPr>
            </w:pPr>
            <w:r>
              <w:rPr>
                <w:rFonts w:ascii="Arial" w:hAnsi="Arial" w:cs="Arial" w:eastAsia="Arial" w:hint="default"/>
                <w:sz w:val="16"/>
                <w:szCs w:val="16"/>
              </w:rPr>
              <w:t>5</w:t>
            </w:r>
            <w:r>
              <w:rPr>
                <w:rFonts w:ascii="Arial" w:hAnsi="Arial" w:cs="Arial" w:eastAsia="Arial" w:hint="default"/>
                <w:spacing w:val="-11"/>
                <w:sz w:val="16"/>
                <w:szCs w:val="16"/>
              </w:rPr>
              <w:t> </w:t>
            </w:r>
            <w:r>
              <w:rPr>
                <w:rFonts w:ascii="宋体" w:hAnsi="宋体" w:cs="宋体" w:eastAsia="宋体" w:hint="default"/>
                <w:sz w:val="16"/>
                <w:szCs w:val="16"/>
              </w:rPr>
              <w:t>年</w:t>
            </w:r>
          </w:p>
        </w:tc>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9"/>
              <w:jc w:val="right"/>
              <w:rPr>
                <w:rFonts w:ascii="Arial" w:hAnsi="Arial" w:cs="Arial" w:eastAsia="Arial" w:hint="default"/>
                <w:sz w:val="16"/>
                <w:szCs w:val="16"/>
              </w:rPr>
            </w:pPr>
            <w:r>
              <w:rPr>
                <w:rFonts w:ascii="Arial"/>
                <w:sz w:val="16"/>
              </w:rPr>
              <w:t>3.43%</w:t>
            </w:r>
          </w:p>
        </w:tc>
        <w:tc>
          <w:tcPr>
            <w:tcW w:w="845" w:type="dxa"/>
            <w:tcBorders>
              <w:top w:val="nil" w:sz="6" w:space="0" w:color="auto"/>
              <w:left w:val="nil" w:sz="6" w:space="0" w:color="auto"/>
              <w:bottom w:val="nil" w:sz="6" w:space="0" w:color="auto"/>
              <w:right w:val="nil" w:sz="6" w:space="0" w:color="auto"/>
            </w:tcBorders>
          </w:tcPr>
          <w:p>
            <w:pPr>
              <w:pStyle w:val="TableParagraph"/>
              <w:spacing w:line="183" w:lineRule="exact"/>
              <w:ind w:left="100" w:right="0"/>
              <w:jc w:val="center"/>
              <w:rPr>
                <w:rFonts w:ascii="宋体" w:hAnsi="宋体" w:cs="宋体" w:eastAsia="宋体" w:hint="default"/>
                <w:sz w:val="16"/>
                <w:szCs w:val="16"/>
              </w:rPr>
            </w:pPr>
            <w:r>
              <w:rPr>
                <w:rFonts w:ascii="Arial" w:hAnsi="Arial" w:cs="Arial" w:eastAsia="Arial" w:hint="default"/>
                <w:sz w:val="16"/>
                <w:szCs w:val="16"/>
              </w:rPr>
              <w:t>10</w:t>
            </w:r>
            <w:r>
              <w:rPr>
                <w:rFonts w:ascii="Arial" w:hAnsi="Arial" w:cs="Arial" w:eastAsia="Arial" w:hint="default"/>
                <w:spacing w:val="-10"/>
                <w:sz w:val="16"/>
                <w:szCs w:val="16"/>
              </w:rPr>
              <w:t> </w:t>
            </w:r>
            <w:r>
              <w:rPr>
                <w:rFonts w:ascii="宋体" w:hAnsi="宋体" w:cs="宋体" w:eastAsia="宋体" w:hint="default"/>
                <w:sz w:val="16"/>
                <w:szCs w:val="16"/>
              </w:rPr>
              <w:t>亿元</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2"/>
              <w:jc w:val="right"/>
              <w:rPr>
                <w:rFonts w:ascii="Arial" w:hAnsi="Arial" w:cs="Arial" w:eastAsia="Arial" w:hint="default"/>
                <w:sz w:val="16"/>
                <w:szCs w:val="16"/>
              </w:rPr>
            </w:pPr>
            <w:r>
              <w:rPr>
                <w:rFonts w:ascii="Arial"/>
                <w:w w:val="95"/>
                <w:sz w:val="16"/>
              </w:rPr>
              <w:t>1,018,532,160</w:t>
            </w:r>
            <w:r>
              <w:rPr>
                <w:rFonts w:ascii="Arial"/>
                <w:sz w:val="16"/>
              </w:rPr>
            </w:r>
          </w:p>
        </w:tc>
        <w:tc>
          <w:tcPr>
            <w:tcW w:w="106"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4"/>
              <w:jc w:val="right"/>
              <w:rPr>
                <w:rFonts w:ascii="Arial" w:hAnsi="Arial" w:cs="Arial" w:eastAsia="Arial" w:hint="default"/>
                <w:sz w:val="16"/>
                <w:szCs w:val="16"/>
              </w:rPr>
            </w:pPr>
            <w:r>
              <w:rPr>
                <w:rFonts w:ascii="Arial"/>
                <w:w w:val="98"/>
                <w:sz w:val="16"/>
              </w:rPr>
              <w:t>-</w:t>
            </w:r>
            <w:r>
              <w:rPr>
                <w:rFonts w:ascii="Arial"/>
                <w:sz w:val="16"/>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68" w:right="0"/>
              <w:jc w:val="left"/>
              <w:rPr>
                <w:rFonts w:ascii="Arial" w:hAnsi="Arial" w:cs="Arial" w:eastAsia="Arial" w:hint="default"/>
                <w:sz w:val="16"/>
                <w:szCs w:val="16"/>
              </w:rPr>
            </w:pPr>
            <w:r>
              <w:rPr>
                <w:rFonts w:ascii="Arial"/>
                <w:sz w:val="16"/>
              </w:rPr>
              <w:t>34,300,000</w:t>
            </w:r>
          </w:p>
        </w:tc>
        <w:tc>
          <w:tcPr>
            <w:tcW w:w="108" w:type="dxa"/>
            <w:tcBorders>
              <w:top w:val="nil" w:sz="6" w:space="0" w:color="auto"/>
              <w:left w:val="nil" w:sz="6" w:space="0" w:color="auto"/>
              <w:bottom w:val="nil" w:sz="6" w:space="0" w:color="auto"/>
              <w:right w:val="nil" w:sz="6" w:space="0" w:color="auto"/>
            </w:tcBorders>
          </w:tcPr>
          <w:p>
            <w:pP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5"/>
              <w:jc w:val="right"/>
              <w:rPr>
                <w:rFonts w:ascii="Arial" w:hAnsi="Arial" w:cs="Arial" w:eastAsia="Arial" w:hint="default"/>
                <w:sz w:val="16"/>
                <w:szCs w:val="16"/>
              </w:rPr>
            </w:pPr>
            <w:r>
              <w:rPr>
                <w:rFonts w:ascii="Arial"/>
                <w:spacing w:val="-1"/>
                <w:w w:val="95"/>
                <w:sz w:val="16"/>
              </w:rPr>
              <w:t>406,765</w:t>
            </w:r>
            <w:r>
              <w:rPr>
                <w:rFonts w:ascii="Arial"/>
                <w:sz w:val="16"/>
              </w:rPr>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4"/>
              <w:jc w:val="right"/>
              <w:rPr>
                <w:rFonts w:ascii="Arial" w:hAnsi="Arial" w:cs="Arial" w:eastAsia="Arial" w:hint="default"/>
                <w:sz w:val="16"/>
                <w:szCs w:val="16"/>
              </w:rPr>
            </w:pPr>
            <w:r>
              <w:rPr>
                <w:rFonts w:ascii="Arial"/>
                <w:spacing w:val="-1"/>
                <w:sz w:val="16"/>
              </w:rPr>
              <w:t>(34,300,000)</w:t>
            </w:r>
            <w:r>
              <w:rPr>
                <w:rFonts w:ascii="Arial"/>
                <w:sz w:val="16"/>
              </w:rPr>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3"/>
              <w:jc w:val="right"/>
              <w:rPr>
                <w:rFonts w:ascii="Arial" w:hAnsi="Arial" w:cs="Arial" w:eastAsia="Arial" w:hint="default"/>
                <w:sz w:val="16"/>
                <w:szCs w:val="16"/>
              </w:rPr>
            </w:pPr>
            <w:r>
              <w:rPr>
                <w:rFonts w:ascii="Arial"/>
                <w:w w:val="95"/>
                <w:sz w:val="16"/>
              </w:rPr>
              <w:t>1,018,938,925</w:t>
            </w:r>
            <w:r>
              <w:rPr>
                <w:rFonts w:ascii="Arial"/>
                <w:sz w:val="16"/>
              </w:rPr>
            </w:r>
          </w:p>
        </w:tc>
      </w:tr>
      <w:tr>
        <w:trPr>
          <w:trHeight w:val="206" w:hRule="exact"/>
        </w:trPr>
        <w:tc>
          <w:tcPr>
            <w:tcW w:w="2352" w:type="dxa"/>
            <w:tcBorders>
              <w:top w:val="nil" w:sz="6" w:space="0" w:color="auto"/>
              <w:left w:val="nil" w:sz="6" w:space="0" w:color="auto"/>
              <w:bottom w:val="nil" w:sz="6" w:space="0" w:color="auto"/>
              <w:right w:val="nil" w:sz="6" w:space="0" w:color="auto"/>
            </w:tcBorders>
          </w:tcPr>
          <w:p>
            <w:pPr>
              <w:pStyle w:val="TableParagraph"/>
              <w:spacing w:line="183" w:lineRule="exact"/>
              <w:ind w:right="0"/>
              <w:jc w:val="left"/>
              <w:rPr>
                <w:rFonts w:ascii="宋体" w:hAnsi="宋体" w:cs="宋体" w:eastAsia="宋体" w:hint="default"/>
                <w:sz w:val="16"/>
                <w:szCs w:val="16"/>
              </w:rPr>
            </w:pPr>
            <w:r>
              <w:rPr>
                <w:rFonts w:ascii="Arial" w:hAnsi="Arial" w:cs="Arial" w:eastAsia="Arial" w:hint="default"/>
                <w:sz w:val="16"/>
                <w:szCs w:val="16"/>
              </w:rPr>
              <w:t>2016</w:t>
            </w:r>
            <w:r>
              <w:rPr>
                <w:rFonts w:ascii="Arial" w:hAnsi="Arial" w:cs="Arial" w:eastAsia="Arial" w:hint="default"/>
                <w:spacing w:val="-13"/>
                <w:sz w:val="16"/>
                <w:szCs w:val="16"/>
              </w:rPr>
              <w:t> </w:t>
            </w:r>
            <w:r>
              <w:rPr>
                <w:rFonts w:ascii="宋体" w:hAnsi="宋体" w:cs="宋体" w:eastAsia="宋体" w:hint="default"/>
                <w:sz w:val="16"/>
                <w:szCs w:val="16"/>
              </w:rPr>
              <w:t>年第二期公司债券</w:t>
            </w:r>
          </w:p>
        </w:tc>
        <w:tc>
          <w:tcPr>
            <w:tcW w:w="984" w:type="dxa"/>
            <w:tcBorders>
              <w:top w:val="nil" w:sz="6" w:space="0" w:color="auto"/>
              <w:left w:val="nil" w:sz="6" w:space="0" w:color="auto"/>
              <w:bottom w:val="nil" w:sz="6" w:space="0" w:color="auto"/>
              <w:right w:val="nil" w:sz="6" w:space="0" w:color="auto"/>
            </w:tcBorders>
          </w:tcPr>
          <w:p>
            <w:pPr>
              <w:pStyle w:val="TableParagraph"/>
              <w:spacing w:line="183" w:lineRule="exact"/>
              <w:ind w:right="151"/>
              <w:jc w:val="right"/>
              <w:rPr>
                <w:rFonts w:ascii="宋体" w:hAnsi="宋体" w:cs="宋体" w:eastAsia="宋体" w:hint="default"/>
                <w:sz w:val="16"/>
                <w:szCs w:val="16"/>
              </w:rPr>
            </w:pPr>
            <w:r>
              <w:rPr>
                <w:rFonts w:ascii="Arial" w:hAnsi="Arial" w:cs="Arial" w:eastAsia="Arial" w:hint="default"/>
                <w:sz w:val="16"/>
                <w:szCs w:val="16"/>
              </w:rPr>
              <w:t>100</w:t>
            </w:r>
            <w:r>
              <w:rPr>
                <w:rFonts w:ascii="Arial" w:hAnsi="Arial" w:cs="Arial" w:eastAsia="Arial" w:hint="default"/>
                <w:spacing w:val="-13"/>
                <w:sz w:val="16"/>
                <w:szCs w:val="16"/>
              </w:rPr>
              <w:t> </w:t>
            </w:r>
            <w:r>
              <w:rPr>
                <w:rFonts w:ascii="宋体" w:hAnsi="宋体" w:cs="宋体" w:eastAsia="宋体" w:hint="default"/>
                <w:spacing w:val="4"/>
                <w:sz w:val="16"/>
                <w:szCs w:val="16"/>
              </w:rPr>
              <w:t>亿元</w:t>
            </w:r>
            <w:r>
              <w:rPr>
                <w:rFonts w:ascii="宋体" w:hAnsi="宋体" w:cs="宋体" w:eastAsia="宋体" w:hint="default"/>
                <w:sz w:val="16"/>
                <w:szCs w:val="16"/>
              </w:rPr>
            </w:r>
          </w:p>
        </w:tc>
        <w:tc>
          <w:tcPr>
            <w:tcW w:w="1577" w:type="dxa"/>
            <w:tcBorders>
              <w:top w:val="nil" w:sz="6" w:space="0" w:color="auto"/>
              <w:left w:val="nil" w:sz="6" w:space="0" w:color="auto"/>
              <w:bottom w:val="nil" w:sz="6" w:space="0" w:color="auto"/>
              <w:right w:val="nil" w:sz="6" w:space="0" w:color="auto"/>
            </w:tcBorders>
          </w:tcPr>
          <w:p>
            <w:pPr>
              <w:pStyle w:val="TableParagraph"/>
              <w:spacing w:line="183" w:lineRule="exact"/>
              <w:ind w:right="35"/>
              <w:jc w:val="right"/>
              <w:rPr>
                <w:rFonts w:ascii="宋体" w:hAnsi="宋体" w:cs="宋体" w:eastAsia="宋体" w:hint="default"/>
                <w:sz w:val="16"/>
                <w:szCs w:val="16"/>
              </w:rPr>
            </w:pPr>
            <w:r>
              <w:rPr>
                <w:rFonts w:ascii="Arial" w:hAnsi="Arial" w:cs="Arial" w:eastAsia="Arial" w:hint="default"/>
                <w:sz w:val="16"/>
                <w:szCs w:val="16"/>
              </w:rPr>
              <w:t>2016</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39"/>
                <w:sz w:val="16"/>
                <w:szCs w:val="16"/>
              </w:rPr>
              <w:t> </w:t>
            </w:r>
            <w:r>
              <w:rPr>
                <w:rFonts w:ascii="Arial" w:hAnsi="Arial" w:cs="Arial" w:eastAsia="Arial" w:hint="default"/>
                <w:sz w:val="16"/>
                <w:szCs w:val="16"/>
              </w:rPr>
              <w:t>7</w:t>
            </w:r>
            <w:r>
              <w:rPr>
                <w:rFonts w:ascii="Arial" w:hAnsi="Arial" w:cs="Arial" w:eastAsia="Arial" w:hint="default"/>
                <w:spacing w:val="-5"/>
                <w:sz w:val="16"/>
                <w:szCs w:val="16"/>
              </w:rPr>
              <w:t> </w:t>
            </w:r>
            <w:r>
              <w:rPr>
                <w:rFonts w:ascii="宋体" w:hAnsi="宋体" w:cs="宋体" w:eastAsia="宋体" w:hint="default"/>
                <w:sz w:val="16"/>
                <w:szCs w:val="16"/>
              </w:rPr>
              <w:t>月</w:t>
            </w:r>
            <w:r>
              <w:rPr>
                <w:rFonts w:ascii="宋体" w:hAnsi="宋体" w:cs="宋体" w:eastAsia="宋体" w:hint="default"/>
                <w:spacing w:val="-44"/>
                <w:sz w:val="16"/>
                <w:szCs w:val="16"/>
              </w:rPr>
              <w:t> </w:t>
            </w:r>
            <w:r>
              <w:rPr>
                <w:rFonts w:ascii="Arial" w:hAnsi="Arial" w:cs="Arial" w:eastAsia="Arial" w:hint="default"/>
                <w:sz w:val="16"/>
                <w:szCs w:val="16"/>
              </w:rPr>
              <w:t>14</w:t>
            </w:r>
            <w:r>
              <w:rPr>
                <w:rFonts w:ascii="Arial" w:hAnsi="Arial" w:cs="Arial" w:eastAsia="Arial" w:hint="default"/>
                <w:spacing w:val="-10"/>
                <w:sz w:val="16"/>
                <w:szCs w:val="16"/>
              </w:rPr>
              <w:t> </w:t>
            </w:r>
            <w:r>
              <w:rPr>
                <w:rFonts w:ascii="宋体" w:hAnsi="宋体" w:cs="宋体" w:eastAsia="宋体" w:hint="default"/>
                <w:sz w:val="16"/>
                <w:szCs w:val="16"/>
              </w:rPr>
              <w:t>日</w:t>
            </w:r>
          </w:p>
        </w:tc>
        <w:tc>
          <w:tcPr>
            <w:tcW w:w="696" w:type="dxa"/>
            <w:tcBorders>
              <w:top w:val="nil" w:sz="6" w:space="0" w:color="auto"/>
              <w:left w:val="nil" w:sz="6" w:space="0" w:color="auto"/>
              <w:bottom w:val="nil" w:sz="6" w:space="0" w:color="auto"/>
              <w:right w:val="nil" w:sz="6" w:space="0" w:color="auto"/>
            </w:tcBorders>
          </w:tcPr>
          <w:p>
            <w:pPr>
              <w:pStyle w:val="TableParagraph"/>
              <w:spacing w:line="183" w:lineRule="exact"/>
              <w:ind w:left="290" w:right="0"/>
              <w:jc w:val="left"/>
              <w:rPr>
                <w:rFonts w:ascii="宋体" w:hAnsi="宋体" w:cs="宋体" w:eastAsia="宋体" w:hint="default"/>
                <w:sz w:val="16"/>
                <w:szCs w:val="16"/>
              </w:rPr>
            </w:pPr>
            <w:r>
              <w:rPr>
                <w:rFonts w:ascii="Arial" w:hAnsi="Arial" w:cs="Arial" w:eastAsia="Arial" w:hint="default"/>
                <w:sz w:val="16"/>
                <w:szCs w:val="16"/>
              </w:rPr>
              <w:t>3</w:t>
            </w:r>
            <w:r>
              <w:rPr>
                <w:rFonts w:ascii="Arial" w:hAnsi="Arial" w:cs="Arial" w:eastAsia="Arial" w:hint="default"/>
                <w:spacing w:val="-11"/>
                <w:sz w:val="16"/>
                <w:szCs w:val="16"/>
              </w:rPr>
              <w:t> </w:t>
            </w:r>
            <w:r>
              <w:rPr>
                <w:rFonts w:ascii="宋体" w:hAnsi="宋体" w:cs="宋体" w:eastAsia="宋体" w:hint="default"/>
                <w:sz w:val="16"/>
                <w:szCs w:val="16"/>
              </w:rPr>
              <w:t>年</w:t>
            </w:r>
          </w:p>
        </w:tc>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9"/>
              <w:jc w:val="right"/>
              <w:rPr>
                <w:rFonts w:ascii="Arial" w:hAnsi="Arial" w:cs="Arial" w:eastAsia="Arial" w:hint="default"/>
                <w:sz w:val="16"/>
                <w:szCs w:val="16"/>
              </w:rPr>
            </w:pPr>
            <w:r>
              <w:rPr>
                <w:rFonts w:ascii="Arial"/>
                <w:sz w:val="16"/>
              </w:rPr>
              <w:t>2.95%</w:t>
            </w:r>
          </w:p>
        </w:tc>
        <w:tc>
          <w:tcPr>
            <w:tcW w:w="845" w:type="dxa"/>
            <w:tcBorders>
              <w:top w:val="nil" w:sz="6" w:space="0" w:color="auto"/>
              <w:left w:val="nil" w:sz="6" w:space="0" w:color="auto"/>
              <w:bottom w:val="nil" w:sz="6" w:space="0" w:color="auto"/>
              <w:right w:val="nil" w:sz="6" w:space="0" w:color="auto"/>
            </w:tcBorders>
          </w:tcPr>
          <w:p>
            <w:pPr>
              <w:pStyle w:val="TableParagraph"/>
              <w:spacing w:line="183" w:lineRule="exact"/>
              <w:ind w:left="23" w:right="0"/>
              <w:jc w:val="center"/>
              <w:rPr>
                <w:rFonts w:ascii="宋体" w:hAnsi="宋体" w:cs="宋体" w:eastAsia="宋体" w:hint="default"/>
                <w:sz w:val="16"/>
                <w:szCs w:val="16"/>
              </w:rPr>
            </w:pPr>
            <w:r>
              <w:rPr>
                <w:rFonts w:ascii="Arial" w:hAnsi="Arial" w:cs="Arial" w:eastAsia="Arial" w:hint="default"/>
                <w:sz w:val="16"/>
                <w:szCs w:val="16"/>
              </w:rPr>
              <w:t>100</w:t>
            </w:r>
            <w:r>
              <w:rPr>
                <w:rFonts w:ascii="Arial" w:hAnsi="Arial" w:cs="Arial" w:eastAsia="Arial" w:hint="default"/>
                <w:spacing w:val="-13"/>
                <w:sz w:val="16"/>
                <w:szCs w:val="16"/>
              </w:rPr>
              <w:t> </w:t>
            </w:r>
            <w:r>
              <w:rPr>
                <w:rFonts w:ascii="宋体" w:hAnsi="宋体" w:cs="宋体" w:eastAsia="宋体" w:hint="default"/>
                <w:spacing w:val="4"/>
                <w:sz w:val="16"/>
                <w:szCs w:val="16"/>
              </w:rPr>
              <w:t>亿元</w:t>
            </w:r>
            <w:r>
              <w:rPr>
                <w:rFonts w:ascii="宋体" w:hAnsi="宋体" w:cs="宋体" w:eastAsia="宋体" w:hint="default"/>
                <w:sz w:val="16"/>
                <w:szCs w:val="16"/>
              </w:rPr>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3"/>
              <w:jc w:val="right"/>
              <w:rPr>
                <w:rFonts w:ascii="Arial" w:hAnsi="Arial" w:cs="Arial" w:eastAsia="Arial" w:hint="default"/>
                <w:sz w:val="16"/>
                <w:szCs w:val="16"/>
              </w:rPr>
            </w:pPr>
            <w:r>
              <w:rPr>
                <w:rFonts w:ascii="Arial"/>
                <w:w w:val="95"/>
                <w:sz w:val="16"/>
              </w:rPr>
              <w:t>10,134,537,331</w:t>
            </w:r>
            <w:r>
              <w:rPr>
                <w:rFonts w:ascii="Arial"/>
                <w:sz w:val="16"/>
              </w:rPr>
            </w:r>
          </w:p>
        </w:tc>
        <w:tc>
          <w:tcPr>
            <w:tcW w:w="106"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4"/>
              <w:jc w:val="right"/>
              <w:rPr>
                <w:rFonts w:ascii="Arial" w:hAnsi="Arial" w:cs="Arial" w:eastAsia="Arial" w:hint="default"/>
                <w:sz w:val="16"/>
                <w:szCs w:val="16"/>
              </w:rPr>
            </w:pPr>
            <w:r>
              <w:rPr>
                <w:rFonts w:ascii="Arial"/>
                <w:w w:val="98"/>
                <w:sz w:val="16"/>
              </w:rPr>
              <w:t>-</w:t>
            </w:r>
            <w:r>
              <w:rPr>
                <w:rFonts w:ascii="Arial"/>
                <w:sz w:val="16"/>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82" w:right="0"/>
              <w:jc w:val="left"/>
              <w:rPr>
                <w:rFonts w:ascii="Arial" w:hAnsi="Arial" w:cs="Arial" w:eastAsia="Arial" w:hint="default"/>
                <w:sz w:val="16"/>
                <w:szCs w:val="16"/>
              </w:rPr>
            </w:pPr>
            <w:r>
              <w:rPr>
                <w:rFonts w:ascii="Arial"/>
                <w:sz w:val="16"/>
              </w:rPr>
              <w:t>156,794,521</w:t>
            </w:r>
          </w:p>
        </w:tc>
        <w:tc>
          <w:tcPr>
            <w:tcW w:w="108" w:type="dxa"/>
            <w:tcBorders>
              <w:top w:val="nil" w:sz="6" w:space="0" w:color="auto"/>
              <w:left w:val="nil" w:sz="6" w:space="0" w:color="auto"/>
              <w:bottom w:val="nil" w:sz="6" w:space="0" w:color="auto"/>
              <w:right w:val="nil" w:sz="6" w:space="0" w:color="auto"/>
            </w:tcBorders>
          </w:tcPr>
          <w:p>
            <w:pP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23" w:right="0"/>
              <w:jc w:val="left"/>
              <w:rPr>
                <w:rFonts w:ascii="Arial" w:hAnsi="Arial" w:cs="Arial" w:eastAsia="Arial" w:hint="default"/>
                <w:sz w:val="16"/>
                <w:szCs w:val="16"/>
              </w:rPr>
            </w:pPr>
            <w:r>
              <w:rPr>
                <w:rFonts w:ascii="Arial"/>
                <w:sz w:val="16"/>
              </w:rPr>
              <w:t>3,668,148</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4"/>
              <w:jc w:val="right"/>
              <w:rPr>
                <w:rFonts w:ascii="Arial" w:hAnsi="Arial" w:cs="Arial" w:eastAsia="Arial" w:hint="default"/>
                <w:sz w:val="16"/>
                <w:szCs w:val="16"/>
              </w:rPr>
            </w:pPr>
            <w:r>
              <w:rPr>
                <w:rFonts w:ascii="Arial"/>
                <w:w w:val="95"/>
                <w:sz w:val="16"/>
              </w:rPr>
              <w:t>(10,295,000,000)</w:t>
            </w:r>
            <w:r>
              <w:rPr>
                <w:rFonts w:ascii="Arial"/>
                <w:sz w:val="16"/>
              </w:rPr>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1"/>
              <w:jc w:val="right"/>
              <w:rPr>
                <w:rFonts w:ascii="Arial" w:hAnsi="Arial" w:cs="Arial" w:eastAsia="Arial" w:hint="default"/>
                <w:sz w:val="16"/>
                <w:szCs w:val="16"/>
              </w:rPr>
            </w:pPr>
            <w:r>
              <w:rPr>
                <w:rFonts w:ascii="Arial"/>
                <w:w w:val="98"/>
                <w:sz w:val="16"/>
              </w:rPr>
              <w:t>-</w:t>
            </w:r>
            <w:r>
              <w:rPr>
                <w:rFonts w:ascii="Arial"/>
                <w:sz w:val="16"/>
              </w:rPr>
            </w:r>
          </w:p>
        </w:tc>
      </w:tr>
      <w:tr>
        <w:trPr>
          <w:trHeight w:val="209" w:hRule="exact"/>
        </w:trPr>
        <w:tc>
          <w:tcPr>
            <w:tcW w:w="2352" w:type="dxa"/>
            <w:tcBorders>
              <w:top w:val="nil" w:sz="6" w:space="0" w:color="auto"/>
              <w:left w:val="nil" w:sz="6" w:space="0" w:color="auto"/>
              <w:bottom w:val="nil" w:sz="6" w:space="0" w:color="auto"/>
              <w:right w:val="nil" w:sz="6" w:space="0" w:color="auto"/>
            </w:tcBorders>
          </w:tcPr>
          <w:p>
            <w:pPr>
              <w:pStyle w:val="TableParagraph"/>
              <w:spacing w:line="183" w:lineRule="exact"/>
              <w:ind w:right="0"/>
              <w:jc w:val="left"/>
              <w:rPr>
                <w:rFonts w:ascii="宋体" w:hAnsi="宋体" w:cs="宋体" w:eastAsia="宋体" w:hint="default"/>
                <w:sz w:val="16"/>
                <w:szCs w:val="16"/>
              </w:rPr>
            </w:pPr>
            <w:r>
              <w:rPr>
                <w:rFonts w:ascii="Arial" w:hAnsi="Arial" w:cs="Arial" w:eastAsia="Arial" w:hint="default"/>
                <w:sz w:val="16"/>
                <w:szCs w:val="16"/>
              </w:rPr>
              <w:t>2019</w:t>
            </w:r>
            <w:r>
              <w:rPr>
                <w:rFonts w:ascii="Arial" w:hAnsi="Arial" w:cs="Arial" w:eastAsia="Arial" w:hint="default"/>
                <w:spacing w:val="-13"/>
                <w:sz w:val="16"/>
                <w:szCs w:val="16"/>
              </w:rPr>
              <w:t> </w:t>
            </w:r>
            <w:r>
              <w:rPr>
                <w:rFonts w:ascii="宋体" w:hAnsi="宋体" w:cs="宋体" w:eastAsia="宋体" w:hint="default"/>
                <w:sz w:val="16"/>
                <w:szCs w:val="16"/>
              </w:rPr>
              <w:t>年第一期公司债券</w:t>
            </w:r>
          </w:p>
        </w:tc>
        <w:tc>
          <w:tcPr>
            <w:tcW w:w="984" w:type="dxa"/>
            <w:tcBorders>
              <w:top w:val="nil" w:sz="6" w:space="0" w:color="auto"/>
              <w:left w:val="nil" w:sz="6" w:space="0" w:color="auto"/>
              <w:bottom w:val="nil" w:sz="6" w:space="0" w:color="auto"/>
              <w:right w:val="nil" w:sz="6" w:space="0" w:color="auto"/>
            </w:tcBorders>
          </w:tcPr>
          <w:p>
            <w:pPr>
              <w:pStyle w:val="TableParagraph"/>
              <w:spacing w:line="183" w:lineRule="exact"/>
              <w:ind w:right="156"/>
              <w:jc w:val="right"/>
              <w:rPr>
                <w:rFonts w:ascii="宋体" w:hAnsi="宋体" w:cs="宋体" w:eastAsia="宋体" w:hint="default"/>
                <w:sz w:val="16"/>
                <w:szCs w:val="16"/>
              </w:rPr>
            </w:pPr>
            <w:r>
              <w:rPr>
                <w:rFonts w:ascii="Arial" w:hAnsi="Arial" w:cs="Arial" w:eastAsia="Arial" w:hint="default"/>
                <w:sz w:val="16"/>
                <w:szCs w:val="16"/>
              </w:rPr>
              <w:t>20</w:t>
            </w:r>
            <w:r>
              <w:rPr>
                <w:rFonts w:ascii="Arial" w:hAnsi="Arial" w:cs="Arial" w:eastAsia="Arial" w:hint="default"/>
                <w:spacing w:val="-10"/>
                <w:sz w:val="16"/>
                <w:szCs w:val="16"/>
              </w:rPr>
              <w:t> </w:t>
            </w:r>
            <w:r>
              <w:rPr>
                <w:rFonts w:ascii="宋体" w:hAnsi="宋体" w:cs="宋体" w:eastAsia="宋体" w:hint="default"/>
                <w:sz w:val="16"/>
                <w:szCs w:val="16"/>
              </w:rPr>
              <w:t>亿元</w:t>
            </w:r>
          </w:p>
        </w:tc>
        <w:tc>
          <w:tcPr>
            <w:tcW w:w="1577" w:type="dxa"/>
            <w:tcBorders>
              <w:top w:val="nil" w:sz="6" w:space="0" w:color="auto"/>
              <w:left w:val="nil" w:sz="6" w:space="0" w:color="auto"/>
              <w:bottom w:val="nil" w:sz="6" w:space="0" w:color="auto"/>
              <w:right w:val="nil" w:sz="6" w:space="0" w:color="auto"/>
            </w:tcBorders>
          </w:tcPr>
          <w:p>
            <w:pPr>
              <w:pStyle w:val="TableParagraph"/>
              <w:spacing w:line="183" w:lineRule="exact"/>
              <w:ind w:right="35"/>
              <w:jc w:val="right"/>
              <w:rPr>
                <w:rFonts w:ascii="宋体" w:hAnsi="宋体" w:cs="宋体" w:eastAsia="宋体" w:hint="default"/>
                <w:sz w:val="16"/>
                <w:szCs w:val="16"/>
              </w:rPr>
            </w:pPr>
            <w:r>
              <w:rPr>
                <w:rFonts w:ascii="Arial" w:hAnsi="Arial" w:cs="Arial" w:eastAsia="Arial" w:hint="default"/>
                <w:sz w:val="16"/>
                <w:szCs w:val="16"/>
              </w:rPr>
              <w:t>2019</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39"/>
                <w:sz w:val="16"/>
                <w:szCs w:val="16"/>
              </w:rPr>
              <w:t> </w:t>
            </w:r>
            <w:r>
              <w:rPr>
                <w:rFonts w:ascii="Arial" w:hAnsi="Arial" w:cs="Arial" w:eastAsia="Arial" w:hint="default"/>
                <w:sz w:val="16"/>
                <w:szCs w:val="16"/>
              </w:rPr>
              <w:t>6</w:t>
            </w:r>
            <w:r>
              <w:rPr>
                <w:rFonts w:ascii="Arial" w:hAnsi="Arial" w:cs="Arial" w:eastAsia="Arial" w:hint="default"/>
                <w:spacing w:val="-5"/>
                <w:sz w:val="16"/>
                <w:szCs w:val="16"/>
              </w:rPr>
              <w:t> </w:t>
            </w:r>
            <w:r>
              <w:rPr>
                <w:rFonts w:ascii="宋体" w:hAnsi="宋体" w:cs="宋体" w:eastAsia="宋体" w:hint="default"/>
                <w:sz w:val="16"/>
                <w:szCs w:val="16"/>
              </w:rPr>
              <w:t>月</w:t>
            </w:r>
            <w:r>
              <w:rPr>
                <w:rFonts w:ascii="宋体" w:hAnsi="宋体" w:cs="宋体" w:eastAsia="宋体" w:hint="default"/>
                <w:spacing w:val="-44"/>
                <w:sz w:val="16"/>
                <w:szCs w:val="16"/>
              </w:rPr>
              <w:t> </w:t>
            </w:r>
            <w:r>
              <w:rPr>
                <w:rFonts w:ascii="Arial" w:hAnsi="Arial" w:cs="Arial" w:eastAsia="Arial" w:hint="default"/>
                <w:sz w:val="16"/>
                <w:szCs w:val="16"/>
              </w:rPr>
              <w:t>19</w:t>
            </w:r>
            <w:r>
              <w:rPr>
                <w:rFonts w:ascii="Arial" w:hAnsi="Arial" w:cs="Arial" w:eastAsia="Arial" w:hint="default"/>
                <w:spacing w:val="-10"/>
                <w:sz w:val="16"/>
                <w:szCs w:val="16"/>
              </w:rPr>
              <w:t> </w:t>
            </w:r>
            <w:r>
              <w:rPr>
                <w:rFonts w:ascii="宋体" w:hAnsi="宋体" w:cs="宋体" w:eastAsia="宋体" w:hint="default"/>
                <w:sz w:val="16"/>
                <w:szCs w:val="16"/>
              </w:rPr>
              <w:t>日</w:t>
            </w:r>
          </w:p>
        </w:tc>
        <w:tc>
          <w:tcPr>
            <w:tcW w:w="696" w:type="dxa"/>
            <w:tcBorders>
              <w:top w:val="nil" w:sz="6" w:space="0" w:color="auto"/>
              <w:left w:val="nil" w:sz="6" w:space="0" w:color="auto"/>
              <w:bottom w:val="nil" w:sz="6" w:space="0" w:color="auto"/>
              <w:right w:val="nil" w:sz="6" w:space="0" w:color="auto"/>
            </w:tcBorders>
          </w:tcPr>
          <w:p>
            <w:pPr>
              <w:pStyle w:val="TableParagraph"/>
              <w:spacing w:line="183" w:lineRule="exact"/>
              <w:ind w:left="290" w:right="0"/>
              <w:jc w:val="left"/>
              <w:rPr>
                <w:rFonts w:ascii="宋体" w:hAnsi="宋体" w:cs="宋体" w:eastAsia="宋体" w:hint="default"/>
                <w:sz w:val="16"/>
                <w:szCs w:val="16"/>
              </w:rPr>
            </w:pPr>
            <w:r>
              <w:rPr>
                <w:rFonts w:ascii="Arial" w:hAnsi="Arial" w:cs="Arial" w:eastAsia="Arial" w:hint="default"/>
                <w:sz w:val="16"/>
                <w:szCs w:val="16"/>
              </w:rPr>
              <w:t>3</w:t>
            </w:r>
            <w:r>
              <w:rPr>
                <w:rFonts w:ascii="Arial" w:hAnsi="Arial" w:cs="Arial" w:eastAsia="Arial" w:hint="default"/>
                <w:spacing w:val="-11"/>
                <w:sz w:val="16"/>
                <w:szCs w:val="16"/>
              </w:rPr>
              <w:t> </w:t>
            </w:r>
            <w:r>
              <w:rPr>
                <w:rFonts w:ascii="宋体" w:hAnsi="宋体" w:cs="宋体" w:eastAsia="宋体" w:hint="default"/>
                <w:sz w:val="16"/>
                <w:szCs w:val="16"/>
              </w:rPr>
              <w:t>年</w:t>
            </w:r>
          </w:p>
        </w:tc>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9"/>
              <w:jc w:val="right"/>
              <w:rPr>
                <w:rFonts w:ascii="Arial" w:hAnsi="Arial" w:cs="Arial" w:eastAsia="Arial" w:hint="default"/>
                <w:sz w:val="16"/>
                <w:szCs w:val="16"/>
              </w:rPr>
            </w:pPr>
            <w:r>
              <w:rPr>
                <w:rFonts w:ascii="Arial"/>
                <w:sz w:val="16"/>
              </w:rPr>
              <w:t>3.67%</w:t>
            </w:r>
          </w:p>
        </w:tc>
        <w:tc>
          <w:tcPr>
            <w:tcW w:w="845" w:type="dxa"/>
            <w:tcBorders>
              <w:top w:val="nil" w:sz="6" w:space="0" w:color="auto"/>
              <w:left w:val="nil" w:sz="6" w:space="0" w:color="auto"/>
              <w:bottom w:val="nil" w:sz="6" w:space="0" w:color="auto"/>
              <w:right w:val="nil" w:sz="6" w:space="0" w:color="auto"/>
            </w:tcBorders>
          </w:tcPr>
          <w:p>
            <w:pPr>
              <w:pStyle w:val="TableParagraph"/>
              <w:spacing w:line="183" w:lineRule="exact"/>
              <w:ind w:left="100" w:right="0"/>
              <w:jc w:val="center"/>
              <w:rPr>
                <w:rFonts w:ascii="宋体" w:hAnsi="宋体" w:cs="宋体" w:eastAsia="宋体" w:hint="default"/>
                <w:sz w:val="16"/>
                <w:szCs w:val="16"/>
              </w:rPr>
            </w:pPr>
            <w:r>
              <w:rPr>
                <w:rFonts w:ascii="Arial" w:hAnsi="Arial" w:cs="Arial" w:eastAsia="Arial" w:hint="default"/>
                <w:sz w:val="16"/>
                <w:szCs w:val="16"/>
              </w:rPr>
              <w:t>20</w:t>
            </w:r>
            <w:r>
              <w:rPr>
                <w:rFonts w:ascii="Arial" w:hAnsi="Arial" w:cs="Arial" w:eastAsia="Arial" w:hint="default"/>
                <w:spacing w:val="-10"/>
                <w:sz w:val="16"/>
                <w:szCs w:val="16"/>
              </w:rPr>
              <w:t> </w:t>
            </w:r>
            <w:r>
              <w:rPr>
                <w:rFonts w:ascii="宋体" w:hAnsi="宋体" w:cs="宋体" w:eastAsia="宋体" w:hint="default"/>
                <w:sz w:val="16"/>
                <w:szCs w:val="16"/>
              </w:rPr>
              <w:t>亿元</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0"/>
              <w:jc w:val="right"/>
              <w:rPr>
                <w:rFonts w:ascii="Arial" w:hAnsi="Arial" w:cs="Arial" w:eastAsia="Arial" w:hint="default"/>
                <w:sz w:val="16"/>
                <w:szCs w:val="16"/>
              </w:rPr>
            </w:pPr>
            <w:r>
              <w:rPr>
                <w:rFonts w:ascii="Arial"/>
                <w:w w:val="98"/>
                <w:sz w:val="16"/>
              </w:rPr>
              <w:t>-</w:t>
            </w:r>
            <w:r>
              <w:rPr>
                <w:rFonts w:ascii="Arial"/>
                <w:sz w:val="16"/>
              </w:rPr>
            </w:r>
          </w:p>
        </w:tc>
        <w:tc>
          <w:tcPr>
            <w:tcW w:w="106"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91" w:right="0"/>
              <w:jc w:val="left"/>
              <w:rPr>
                <w:rFonts w:ascii="Arial" w:hAnsi="Arial" w:cs="Arial" w:eastAsia="Arial" w:hint="default"/>
                <w:sz w:val="16"/>
                <w:szCs w:val="16"/>
              </w:rPr>
            </w:pPr>
            <w:r>
              <w:rPr>
                <w:rFonts w:ascii="Arial"/>
                <w:sz w:val="16"/>
              </w:rPr>
              <w:t>2,000,000,000</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73" w:right="0"/>
              <w:jc w:val="left"/>
              <w:rPr>
                <w:rFonts w:ascii="Arial" w:hAnsi="Arial" w:cs="Arial" w:eastAsia="Arial" w:hint="default"/>
                <w:sz w:val="16"/>
                <w:szCs w:val="16"/>
              </w:rPr>
            </w:pPr>
            <w:r>
              <w:rPr>
                <w:rFonts w:ascii="Arial"/>
                <w:sz w:val="16"/>
              </w:rPr>
              <w:t>39,414,795</w:t>
            </w:r>
          </w:p>
        </w:tc>
        <w:tc>
          <w:tcPr>
            <w:tcW w:w="108" w:type="dxa"/>
            <w:tcBorders>
              <w:top w:val="nil" w:sz="6" w:space="0" w:color="auto"/>
              <w:left w:val="nil" w:sz="6" w:space="0" w:color="auto"/>
              <w:bottom w:val="nil" w:sz="6" w:space="0" w:color="auto"/>
              <w:right w:val="nil" w:sz="6" w:space="0" w:color="auto"/>
            </w:tcBorders>
          </w:tcPr>
          <w:p>
            <w:pP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
              <w:jc w:val="right"/>
              <w:rPr>
                <w:rFonts w:ascii="Arial" w:hAnsi="Arial" w:cs="Arial" w:eastAsia="Arial" w:hint="default"/>
                <w:sz w:val="16"/>
                <w:szCs w:val="16"/>
              </w:rPr>
            </w:pPr>
            <w:r>
              <w:rPr>
                <w:rFonts w:ascii="Arial"/>
                <w:spacing w:val="-1"/>
                <w:w w:val="95"/>
                <w:sz w:val="16"/>
              </w:rPr>
              <w:t>(1,657,652)</w:t>
            </w:r>
            <w:r>
              <w:rPr>
                <w:rFonts w:ascii="Arial"/>
                <w:sz w:val="16"/>
              </w:rPr>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7"/>
              <w:jc w:val="right"/>
              <w:rPr>
                <w:rFonts w:ascii="Arial" w:hAnsi="Arial" w:cs="Arial" w:eastAsia="Arial" w:hint="default"/>
                <w:sz w:val="16"/>
                <w:szCs w:val="16"/>
              </w:rPr>
            </w:pPr>
            <w:r>
              <w:rPr>
                <w:rFonts w:ascii="Arial"/>
                <w:w w:val="98"/>
                <w:sz w:val="16"/>
              </w:rPr>
              <w:t>-</w:t>
            </w:r>
            <w:r>
              <w:rPr>
                <w:rFonts w:ascii="Arial"/>
                <w:sz w:val="16"/>
              </w:rPr>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4"/>
              <w:jc w:val="right"/>
              <w:rPr>
                <w:rFonts w:ascii="Arial" w:hAnsi="Arial" w:cs="Arial" w:eastAsia="Arial" w:hint="default"/>
                <w:sz w:val="16"/>
                <w:szCs w:val="16"/>
              </w:rPr>
            </w:pPr>
            <w:r>
              <w:rPr>
                <w:rFonts w:ascii="Arial"/>
                <w:w w:val="95"/>
                <w:sz w:val="16"/>
              </w:rPr>
              <w:t>2,037,757,143</w:t>
            </w:r>
            <w:r>
              <w:rPr>
                <w:rFonts w:ascii="Arial"/>
                <w:sz w:val="16"/>
              </w:rPr>
            </w:r>
          </w:p>
        </w:tc>
      </w:tr>
      <w:tr>
        <w:trPr>
          <w:trHeight w:val="302" w:hRule="exact"/>
        </w:trPr>
        <w:tc>
          <w:tcPr>
            <w:tcW w:w="2352" w:type="dxa"/>
            <w:tcBorders>
              <w:top w:val="nil" w:sz="6" w:space="0" w:color="auto"/>
              <w:left w:val="nil" w:sz="6" w:space="0" w:color="auto"/>
              <w:bottom w:val="nil" w:sz="6" w:space="0" w:color="auto"/>
              <w:right w:val="nil" w:sz="6" w:space="0" w:color="auto"/>
            </w:tcBorders>
          </w:tcPr>
          <w:p>
            <w:pPr>
              <w:pStyle w:val="TableParagraph"/>
              <w:spacing w:line="185" w:lineRule="exact"/>
              <w:ind w:right="0"/>
              <w:jc w:val="left"/>
              <w:rPr>
                <w:rFonts w:ascii="宋体" w:hAnsi="宋体" w:cs="宋体" w:eastAsia="宋体" w:hint="default"/>
                <w:sz w:val="16"/>
                <w:szCs w:val="16"/>
              </w:rPr>
            </w:pPr>
            <w:r>
              <w:rPr>
                <w:rFonts w:ascii="Arial" w:hAnsi="Arial" w:cs="Arial" w:eastAsia="Arial" w:hint="default"/>
                <w:sz w:val="16"/>
                <w:szCs w:val="16"/>
              </w:rPr>
              <w:t>2019</w:t>
            </w:r>
            <w:r>
              <w:rPr>
                <w:rFonts w:ascii="Arial" w:hAnsi="Arial" w:cs="Arial" w:eastAsia="Arial" w:hint="default"/>
                <w:spacing w:val="-13"/>
                <w:sz w:val="16"/>
                <w:szCs w:val="16"/>
              </w:rPr>
              <w:t> </w:t>
            </w:r>
            <w:r>
              <w:rPr>
                <w:rFonts w:ascii="宋体" w:hAnsi="宋体" w:cs="宋体" w:eastAsia="宋体" w:hint="default"/>
                <w:sz w:val="16"/>
                <w:szCs w:val="16"/>
              </w:rPr>
              <w:t>年第一期中期票据</w:t>
            </w:r>
          </w:p>
        </w:tc>
        <w:tc>
          <w:tcPr>
            <w:tcW w:w="984" w:type="dxa"/>
            <w:tcBorders>
              <w:top w:val="nil" w:sz="6" w:space="0" w:color="auto"/>
              <w:left w:val="nil" w:sz="6" w:space="0" w:color="auto"/>
              <w:bottom w:val="nil" w:sz="6" w:space="0" w:color="auto"/>
              <w:right w:val="nil" w:sz="6" w:space="0" w:color="auto"/>
            </w:tcBorders>
          </w:tcPr>
          <w:p>
            <w:pPr>
              <w:pStyle w:val="TableParagraph"/>
              <w:spacing w:line="185" w:lineRule="exact"/>
              <w:ind w:right="156"/>
              <w:jc w:val="right"/>
              <w:rPr>
                <w:rFonts w:ascii="宋体" w:hAnsi="宋体" w:cs="宋体" w:eastAsia="宋体" w:hint="default"/>
                <w:sz w:val="16"/>
                <w:szCs w:val="16"/>
              </w:rPr>
            </w:pPr>
            <w:r>
              <w:rPr>
                <w:rFonts w:ascii="Arial" w:hAnsi="Arial" w:cs="Arial" w:eastAsia="Arial" w:hint="default"/>
                <w:sz w:val="16"/>
                <w:szCs w:val="16"/>
              </w:rPr>
              <w:t>10</w:t>
            </w:r>
            <w:r>
              <w:rPr>
                <w:rFonts w:ascii="Arial" w:hAnsi="Arial" w:cs="Arial" w:eastAsia="Arial" w:hint="default"/>
                <w:spacing w:val="-10"/>
                <w:sz w:val="16"/>
                <w:szCs w:val="16"/>
              </w:rPr>
              <w:t> </w:t>
            </w:r>
            <w:r>
              <w:rPr>
                <w:rFonts w:ascii="宋体" w:hAnsi="宋体" w:cs="宋体" w:eastAsia="宋体" w:hint="default"/>
                <w:sz w:val="16"/>
                <w:szCs w:val="16"/>
              </w:rPr>
              <w:t>亿元</w:t>
            </w:r>
          </w:p>
        </w:tc>
        <w:tc>
          <w:tcPr>
            <w:tcW w:w="1577" w:type="dxa"/>
            <w:tcBorders>
              <w:top w:val="nil" w:sz="6" w:space="0" w:color="auto"/>
              <w:left w:val="nil" w:sz="6" w:space="0" w:color="auto"/>
              <w:bottom w:val="nil" w:sz="6" w:space="0" w:color="auto"/>
              <w:right w:val="nil" w:sz="6" w:space="0" w:color="auto"/>
            </w:tcBorders>
          </w:tcPr>
          <w:p>
            <w:pPr>
              <w:pStyle w:val="TableParagraph"/>
              <w:spacing w:line="185" w:lineRule="exact"/>
              <w:ind w:right="35"/>
              <w:jc w:val="right"/>
              <w:rPr>
                <w:rFonts w:ascii="宋体" w:hAnsi="宋体" w:cs="宋体" w:eastAsia="宋体" w:hint="default"/>
                <w:sz w:val="16"/>
                <w:szCs w:val="16"/>
              </w:rPr>
            </w:pPr>
            <w:r>
              <w:rPr>
                <w:rFonts w:ascii="Arial" w:hAnsi="Arial" w:cs="Arial" w:eastAsia="Arial" w:hint="default"/>
                <w:sz w:val="16"/>
                <w:szCs w:val="16"/>
              </w:rPr>
              <w:t>2019</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39"/>
                <w:sz w:val="16"/>
                <w:szCs w:val="16"/>
              </w:rPr>
              <w:t> </w:t>
            </w:r>
            <w:r>
              <w:rPr>
                <w:rFonts w:ascii="Arial" w:hAnsi="Arial" w:cs="Arial" w:eastAsia="Arial" w:hint="default"/>
                <w:sz w:val="16"/>
                <w:szCs w:val="16"/>
              </w:rPr>
              <w:t>11</w:t>
            </w:r>
            <w:r>
              <w:rPr>
                <w:rFonts w:ascii="Arial" w:hAnsi="Arial" w:cs="Arial" w:eastAsia="Arial" w:hint="default"/>
                <w:spacing w:val="-10"/>
                <w:sz w:val="16"/>
                <w:szCs w:val="16"/>
              </w:rPr>
              <w:t> </w:t>
            </w:r>
            <w:r>
              <w:rPr>
                <w:rFonts w:ascii="宋体" w:hAnsi="宋体" w:cs="宋体" w:eastAsia="宋体" w:hint="default"/>
                <w:sz w:val="16"/>
                <w:szCs w:val="16"/>
              </w:rPr>
              <w:t>月</w:t>
            </w:r>
            <w:r>
              <w:rPr>
                <w:rFonts w:ascii="宋体" w:hAnsi="宋体" w:cs="宋体" w:eastAsia="宋体" w:hint="default"/>
                <w:spacing w:val="-39"/>
                <w:sz w:val="16"/>
                <w:szCs w:val="16"/>
              </w:rPr>
              <w:t> </w:t>
            </w:r>
            <w:r>
              <w:rPr>
                <w:rFonts w:ascii="Arial" w:hAnsi="Arial" w:cs="Arial" w:eastAsia="Arial" w:hint="default"/>
                <w:sz w:val="16"/>
                <w:szCs w:val="16"/>
              </w:rPr>
              <w:t>18</w:t>
            </w:r>
            <w:r>
              <w:rPr>
                <w:rFonts w:ascii="Arial" w:hAnsi="Arial" w:cs="Arial" w:eastAsia="Arial" w:hint="default"/>
                <w:spacing w:val="-10"/>
                <w:sz w:val="16"/>
                <w:szCs w:val="16"/>
              </w:rPr>
              <w:t> </w:t>
            </w:r>
            <w:r>
              <w:rPr>
                <w:rFonts w:ascii="宋体" w:hAnsi="宋体" w:cs="宋体" w:eastAsia="宋体" w:hint="default"/>
                <w:sz w:val="16"/>
                <w:szCs w:val="16"/>
              </w:rPr>
              <w:t>日</w:t>
            </w:r>
          </w:p>
        </w:tc>
        <w:tc>
          <w:tcPr>
            <w:tcW w:w="696" w:type="dxa"/>
            <w:tcBorders>
              <w:top w:val="nil" w:sz="6" w:space="0" w:color="auto"/>
              <w:left w:val="nil" w:sz="6" w:space="0" w:color="auto"/>
              <w:bottom w:val="nil" w:sz="6" w:space="0" w:color="auto"/>
              <w:right w:val="nil" w:sz="6" w:space="0" w:color="auto"/>
            </w:tcBorders>
          </w:tcPr>
          <w:p>
            <w:pPr>
              <w:pStyle w:val="TableParagraph"/>
              <w:spacing w:line="185" w:lineRule="exact"/>
              <w:ind w:left="290" w:right="0"/>
              <w:jc w:val="left"/>
              <w:rPr>
                <w:rFonts w:ascii="宋体" w:hAnsi="宋体" w:cs="宋体" w:eastAsia="宋体" w:hint="default"/>
                <w:sz w:val="16"/>
                <w:szCs w:val="16"/>
              </w:rPr>
            </w:pPr>
            <w:r>
              <w:rPr>
                <w:rFonts w:ascii="Arial" w:hAnsi="Arial" w:cs="Arial" w:eastAsia="Arial" w:hint="default"/>
                <w:sz w:val="16"/>
                <w:szCs w:val="16"/>
              </w:rPr>
              <w:t>3</w:t>
            </w:r>
            <w:r>
              <w:rPr>
                <w:rFonts w:ascii="Arial" w:hAnsi="Arial" w:cs="Arial" w:eastAsia="Arial" w:hint="default"/>
                <w:spacing w:val="-11"/>
                <w:sz w:val="16"/>
                <w:szCs w:val="16"/>
              </w:rPr>
              <w:t> </w:t>
            </w:r>
            <w:r>
              <w:rPr>
                <w:rFonts w:ascii="宋体" w:hAnsi="宋体" w:cs="宋体" w:eastAsia="宋体" w:hint="default"/>
                <w:sz w:val="16"/>
                <w:szCs w:val="16"/>
              </w:rPr>
              <w:t>年</w:t>
            </w:r>
          </w:p>
        </w:tc>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65"/>
              <w:jc w:val="right"/>
              <w:rPr>
                <w:rFonts w:ascii="Arial" w:hAnsi="Arial" w:cs="Arial" w:eastAsia="Arial" w:hint="default"/>
                <w:sz w:val="16"/>
                <w:szCs w:val="16"/>
              </w:rPr>
            </w:pPr>
            <w:r>
              <w:rPr>
                <w:rFonts w:ascii="Arial"/>
                <w:sz w:val="16"/>
              </w:rPr>
              <w:t>3.39%</w:t>
            </w:r>
          </w:p>
        </w:tc>
        <w:tc>
          <w:tcPr>
            <w:tcW w:w="845" w:type="dxa"/>
            <w:tcBorders>
              <w:top w:val="nil" w:sz="6" w:space="0" w:color="auto"/>
              <w:left w:val="nil" w:sz="6" w:space="0" w:color="auto"/>
              <w:bottom w:val="nil" w:sz="6" w:space="0" w:color="auto"/>
              <w:right w:val="nil" w:sz="6" w:space="0" w:color="auto"/>
            </w:tcBorders>
          </w:tcPr>
          <w:p>
            <w:pPr>
              <w:pStyle w:val="TableParagraph"/>
              <w:spacing w:line="185" w:lineRule="exact"/>
              <w:ind w:left="100" w:right="0"/>
              <w:jc w:val="center"/>
              <w:rPr>
                <w:rFonts w:ascii="宋体" w:hAnsi="宋体" w:cs="宋体" w:eastAsia="宋体" w:hint="default"/>
                <w:sz w:val="16"/>
                <w:szCs w:val="16"/>
              </w:rPr>
            </w:pPr>
            <w:r>
              <w:rPr>
                <w:rFonts w:ascii="Arial" w:hAnsi="Arial" w:cs="Arial" w:eastAsia="Arial" w:hint="default"/>
                <w:sz w:val="16"/>
                <w:szCs w:val="16"/>
              </w:rPr>
              <w:t>10</w:t>
            </w:r>
            <w:r>
              <w:rPr>
                <w:rFonts w:ascii="Arial" w:hAnsi="Arial" w:cs="Arial" w:eastAsia="Arial" w:hint="default"/>
                <w:spacing w:val="-10"/>
                <w:sz w:val="16"/>
                <w:szCs w:val="16"/>
              </w:rPr>
              <w:t> </w:t>
            </w:r>
            <w:r>
              <w:rPr>
                <w:rFonts w:ascii="宋体" w:hAnsi="宋体" w:cs="宋体" w:eastAsia="宋体" w:hint="default"/>
                <w:sz w:val="16"/>
                <w:szCs w:val="16"/>
              </w:rPr>
              <w:t>亿元</w:t>
            </w:r>
          </w:p>
        </w:tc>
        <w:tc>
          <w:tcPr>
            <w:tcW w:w="1349" w:type="dxa"/>
            <w:tcBorders>
              <w:top w:val="nil" w:sz="6" w:space="0" w:color="auto"/>
              <w:left w:val="nil" w:sz="6" w:space="0" w:color="auto"/>
              <w:bottom w:val="nil" w:sz="6" w:space="0" w:color="auto"/>
              <w:right w:val="nil" w:sz="6" w:space="0" w:color="auto"/>
            </w:tcBorders>
          </w:tcPr>
          <w:p>
            <w:pPr>
              <w:pStyle w:val="TableParagraph"/>
              <w:tabs>
                <w:tab w:pos="1209" w:val="left" w:leader="none"/>
              </w:tabs>
              <w:spacing w:line="240" w:lineRule="auto" w:before="11"/>
              <w:ind w:right="0"/>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ab/>
            </w:r>
            <w:r>
              <w:rPr>
                <w:rFonts w:ascii="Arial"/>
                <w:w w:val="95"/>
                <w:sz w:val="16"/>
                <w:u w:val="single" w:color="000000"/>
              </w:rPr>
              <w:t>-</w:t>
            </w:r>
            <w:r>
              <w:rPr>
                <w:rFonts w:ascii="Arial"/>
                <w:sz w:val="16"/>
                <w:u w:val="single" w:color="000000"/>
              </w:rPr>
              <w:tab/>
            </w:r>
            <w:r>
              <w:rPr>
                <w:rFonts w:ascii="Arial"/>
                <w:sz w:val="16"/>
              </w:rPr>
            </w:r>
          </w:p>
        </w:tc>
        <w:tc>
          <w:tcPr>
            <w:tcW w:w="106"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Style w:val="TableParagraph"/>
              <w:tabs>
                <w:tab w:pos="1190" w:val="left" w:leader="none"/>
              </w:tabs>
              <w:spacing w:line="240" w:lineRule="auto" w:before="11"/>
              <w:ind w:right="0"/>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pacing w:val="2"/>
                <w:sz w:val="16"/>
                <w:u w:val="single" w:color="000000"/>
              </w:rPr>
              <w:t> </w:t>
            </w:r>
            <w:r>
              <w:rPr>
                <w:rFonts w:ascii="Arial"/>
                <w:w w:val="95"/>
                <w:sz w:val="16"/>
                <w:u w:val="single" w:color="000000"/>
              </w:rPr>
              <w:t>1,000,000,000</w:t>
            </w:r>
            <w:r>
              <w:rPr>
                <w:rFonts w:ascii="Arial"/>
                <w:sz w:val="16"/>
                <w:u w:val="single" w:color="000000"/>
              </w:rPr>
              <w:tab/>
            </w:r>
            <w:r>
              <w:rPr>
                <w:rFonts w:ascii="Arial"/>
                <w:sz w:val="16"/>
              </w:rPr>
            </w:r>
          </w:p>
        </w:tc>
        <w:tc>
          <w:tcPr>
            <w:tcW w:w="1142" w:type="dxa"/>
            <w:tcBorders>
              <w:top w:val="nil" w:sz="6" w:space="0" w:color="auto"/>
              <w:left w:val="nil" w:sz="6" w:space="0" w:color="auto"/>
              <w:bottom w:val="nil" w:sz="6" w:space="0" w:color="auto"/>
              <w:right w:val="nil" w:sz="6" w:space="0" w:color="auto"/>
            </w:tcBorders>
          </w:tcPr>
          <w:p>
            <w:pPr>
              <w:pStyle w:val="TableParagraph"/>
              <w:tabs>
                <w:tab w:pos="359" w:val="left" w:leader="none"/>
                <w:tab w:pos="1142" w:val="left" w:leader="none"/>
              </w:tabs>
              <w:spacing w:line="240" w:lineRule="auto" w:before="11"/>
              <w:ind w:left="86" w:right="0"/>
              <w:jc w:val="lef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ab/>
              <w:t>4,086,575</w:t>
              <w:tab/>
            </w:r>
            <w:r>
              <w:rPr>
                <w:rFonts w:ascii="Arial"/>
                <w:sz w:val="16"/>
              </w:rPr>
            </w:r>
          </w:p>
        </w:tc>
        <w:tc>
          <w:tcPr>
            <w:tcW w:w="108" w:type="dxa"/>
            <w:tcBorders>
              <w:top w:val="nil" w:sz="6" w:space="0" w:color="auto"/>
              <w:left w:val="nil" w:sz="6" w:space="0" w:color="auto"/>
              <w:bottom w:val="nil" w:sz="6" w:space="0" w:color="auto"/>
              <w:right w:val="nil" w:sz="6" w:space="0" w:color="auto"/>
            </w:tcBorders>
          </w:tcPr>
          <w:p>
            <w:pP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8"/>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  </w:t>
            </w:r>
            <w:r>
              <w:rPr>
                <w:rFonts w:ascii="Arial"/>
                <w:spacing w:val="-19"/>
                <w:sz w:val="16"/>
                <w:u w:val="single" w:color="000000"/>
              </w:rPr>
              <w:t> </w:t>
            </w:r>
            <w:r>
              <w:rPr>
                <w:rFonts w:ascii="Arial"/>
                <w:spacing w:val="-1"/>
                <w:w w:val="95"/>
                <w:sz w:val="16"/>
                <w:u w:val="single" w:color="000000"/>
              </w:rPr>
              <w:t>(2,308,162)</w:t>
            </w:r>
            <w:r>
              <w:rPr>
                <w:rFonts w:ascii="Arial"/>
                <w:spacing w:val="-1"/>
                <w:w w:val="95"/>
                <w:sz w:val="16"/>
              </w:rPr>
            </w:r>
            <w:r>
              <w:rPr>
                <w:rFonts w:ascii="Arial"/>
                <w:sz w:val="16"/>
              </w:rPr>
            </w:r>
          </w:p>
        </w:tc>
        <w:tc>
          <w:tcPr>
            <w:tcW w:w="1452" w:type="dxa"/>
            <w:tcBorders>
              <w:top w:val="nil" w:sz="6" w:space="0" w:color="auto"/>
              <w:left w:val="nil" w:sz="6" w:space="0" w:color="auto"/>
              <w:bottom w:val="nil" w:sz="6" w:space="0" w:color="auto"/>
              <w:right w:val="nil" w:sz="6" w:space="0" w:color="auto"/>
            </w:tcBorders>
          </w:tcPr>
          <w:p>
            <w:pPr>
              <w:pStyle w:val="TableParagraph"/>
              <w:tabs>
                <w:tab w:pos="1238" w:val="left" w:leader="none"/>
              </w:tabs>
              <w:spacing w:line="240" w:lineRule="auto" w:before="11"/>
              <w:ind w:right="77"/>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ab/>
            </w:r>
            <w:r>
              <w:rPr>
                <w:rFonts w:ascii="Arial"/>
                <w:w w:val="95"/>
                <w:sz w:val="16"/>
                <w:u w:val="single" w:color="000000"/>
              </w:rPr>
              <w:t>-</w:t>
            </w:r>
            <w:r>
              <w:rPr>
                <w:rFonts w:ascii="Arial"/>
                <w:w w:val="95"/>
                <w:sz w:val="16"/>
              </w:rPr>
            </w:r>
            <w:r>
              <w:rPr>
                <w:rFonts w:ascii="Arial"/>
                <w:sz w:val="16"/>
              </w:rPr>
            </w:r>
          </w:p>
        </w:tc>
        <w:tc>
          <w:tcPr>
            <w:tcW w:w="1342" w:type="dxa"/>
            <w:tcBorders>
              <w:top w:val="nil" w:sz="6" w:space="0" w:color="auto"/>
              <w:left w:val="nil" w:sz="6" w:space="0" w:color="auto"/>
              <w:bottom w:val="nil" w:sz="6" w:space="0" w:color="auto"/>
              <w:right w:val="nil" w:sz="6" w:space="0" w:color="auto"/>
            </w:tcBorders>
          </w:tcPr>
          <w:p>
            <w:pPr>
              <w:pStyle w:val="TableParagraph"/>
              <w:tabs>
                <w:tab w:pos="254" w:val="left" w:leader="none"/>
                <w:tab w:pos="1319" w:val="left" w:leader="none"/>
              </w:tabs>
              <w:spacing w:line="240" w:lineRule="auto" w:before="11"/>
              <w:ind w:right="0"/>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ab/>
            </w:r>
            <w:r>
              <w:rPr>
                <w:rFonts w:ascii="Arial"/>
                <w:w w:val="95"/>
                <w:sz w:val="16"/>
                <w:u w:val="single" w:color="000000"/>
              </w:rPr>
              <w:t>1,001,778,413</w:t>
            </w:r>
            <w:r>
              <w:rPr>
                <w:rFonts w:ascii="Arial"/>
                <w:sz w:val="16"/>
                <w:u w:val="single" w:color="000000"/>
              </w:rPr>
              <w:tab/>
            </w:r>
            <w:r>
              <w:rPr>
                <w:rFonts w:ascii="Arial"/>
                <w:sz w:val="16"/>
              </w:rPr>
            </w:r>
          </w:p>
        </w:tc>
      </w:tr>
      <w:tr>
        <w:trPr>
          <w:trHeight w:val="315" w:hRule="exact"/>
        </w:trPr>
        <w:tc>
          <w:tcPr>
            <w:tcW w:w="235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984"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
        </w:tc>
        <w:tc>
          <w:tcPr>
            <w:tcW w:w="696" w:type="dxa"/>
            <w:tcBorders>
              <w:top w:val="nil" w:sz="6" w:space="0" w:color="auto"/>
              <w:left w:val="nil" w:sz="6" w:space="0" w:color="auto"/>
              <w:bottom w:val="nil" w:sz="6" w:space="0" w:color="auto"/>
              <w:right w:val="nil" w:sz="6" w:space="0" w:color="auto"/>
            </w:tcBorders>
          </w:tcPr>
          <w:p>
            <w:pPr/>
          </w:p>
        </w:tc>
        <w:tc>
          <w:tcPr>
            <w:tcW w:w="732"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nil" w:sz="6" w:space="0" w:color="auto"/>
            </w:tcBorders>
          </w:tcPr>
          <w:p>
            <w:pPr/>
          </w:p>
        </w:tc>
        <w:tc>
          <w:tcPr>
            <w:tcW w:w="1349"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right="73"/>
              <w:jc w:val="right"/>
              <w:rPr>
                <w:rFonts w:ascii="Arial" w:hAnsi="Arial" w:cs="Arial" w:eastAsia="Arial" w:hint="default"/>
                <w:sz w:val="16"/>
                <w:szCs w:val="16"/>
              </w:rPr>
            </w:pPr>
            <w:r>
              <w:rPr>
                <w:rFonts w:ascii="Arial"/>
                <w:w w:val="95"/>
                <w:sz w:val="16"/>
              </w:rPr>
              <w:t>18,273,450,177</w:t>
            </w:r>
            <w:r>
              <w:rPr>
                <w:rFonts w:ascii="Arial"/>
                <w:sz w:val="16"/>
              </w:rPr>
            </w:r>
          </w:p>
        </w:tc>
        <w:tc>
          <w:tcPr>
            <w:tcW w:w="106"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left="91" w:right="0"/>
              <w:jc w:val="left"/>
              <w:rPr>
                <w:rFonts w:ascii="Arial" w:hAnsi="Arial" w:cs="Arial" w:eastAsia="Arial" w:hint="default"/>
                <w:sz w:val="16"/>
                <w:szCs w:val="16"/>
              </w:rPr>
            </w:pPr>
            <w:r>
              <w:rPr>
                <w:rFonts w:ascii="Arial"/>
                <w:sz w:val="16"/>
              </w:rPr>
              <w:t>3,000,000,000</w:t>
            </w:r>
          </w:p>
        </w:tc>
        <w:tc>
          <w:tcPr>
            <w:tcW w:w="1142"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left="182" w:right="0"/>
              <w:jc w:val="left"/>
              <w:rPr>
                <w:rFonts w:ascii="Arial" w:hAnsi="Arial" w:cs="Arial" w:eastAsia="Arial" w:hint="default"/>
                <w:sz w:val="16"/>
                <w:szCs w:val="16"/>
              </w:rPr>
            </w:pPr>
            <w:r>
              <w:rPr>
                <w:rFonts w:ascii="Arial"/>
                <w:sz w:val="16"/>
              </w:rPr>
              <w:t>327,032,329</w:t>
            </w:r>
          </w:p>
        </w:tc>
        <w:tc>
          <w:tcPr>
            <w:tcW w:w="108" w:type="dxa"/>
            <w:tcBorders>
              <w:top w:val="nil" w:sz="6" w:space="0" w:color="auto"/>
              <w:left w:val="nil" w:sz="6" w:space="0" w:color="auto"/>
              <w:bottom w:val="nil" w:sz="6" w:space="0" w:color="auto"/>
              <w:right w:val="nil" w:sz="6" w:space="0" w:color="auto"/>
            </w:tcBorders>
          </w:tcPr>
          <w:p>
            <w:pPr/>
          </w:p>
        </w:tc>
        <w:tc>
          <w:tcPr>
            <w:tcW w:w="1006"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left="223" w:right="0"/>
              <w:jc w:val="left"/>
              <w:rPr>
                <w:rFonts w:ascii="Arial" w:hAnsi="Arial" w:cs="Arial" w:eastAsia="Arial" w:hint="default"/>
                <w:sz w:val="16"/>
                <w:szCs w:val="16"/>
              </w:rPr>
            </w:pPr>
            <w:r>
              <w:rPr>
                <w:rFonts w:ascii="Arial"/>
                <w:sz w:val="16"/>
              </w:rPr>
              <w:t>2,191,975</w:t>
            </w:r>
          </w:p>
        </w:tc>
        <w:tc>
          <w:tcPr>
            <w:tcW w:w="1452"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right="84"/>
              <w:jc w:val="right"/>
              <w:rPr>
                <w:rFonts w:ascii="Arial" w:hAnsi="Arial" w:cs="Arial" w:eastAsia="Arial" w:hint="default"/>
                <w:sz w:val="16"/>
                <w:szCs w:val="16"/>
              </w:rPr>
            </w:pPr>
            <w:r>
              <w:rPr>
                <w:rFonts w:ascii="Arial"/>
                <w:w w:val="95"/>
                <w:sz w:val="16"/>
              </w:rPr>
              <w:t>(17,544,200,000)</w:t>
            </w:r>
            <w:r>
              <w:rPr>
                <w:rFonts w:ascii="Arial"/>
                <w:sz w:val="16"/>
              </w:rPr>
            </w:r>
          </w:p>
        </w:tc>
        <w:tc>
          <w:tcPr>
            <w:tcW w:w="1342"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right="44"/>
              <w:jc w:val="right"/>
              <w:rPr>
                <w:rFonts w:ascii="Arial" w:hAnsi="Arial" w:cs="Arial" w:eastAsia="Arial" w:hint="default"/>
                <w:sz w:val="16"/>
                <w:szCs w:val="16"/>
              </w:rPr>
            </w:pPr>
            <w:r>
              <w:rPr>
                <w:rFonts w:ascii="Arial"/>
                <w:w w:val="95"/>
                <w:sz w:val="16"/>
              </w:rPr>
              <w:t>4,058,474,481</w:t>
            </w:r>
            <w:r>
              <w:rPr>
                <w:rFonts w:ascii="Arial"/>
                <w:sz w:val="16"/>
              </w:rPr>
            </w:r>
          </w:p>
        </w:tc>
      </w:tr>
    </w:tbl>
    <w:p>
      <w:pPr>
        <w:spacing w:line="240" w:lineRule="auto" w:before="10"/>
        <w:rPr>
          <w:rFonts w:ascii="宋体" w:hAnsi="宋体" w:cs="宋体" w:eastAsia="宋体" w:hint="default"/>
          <w:sz w:val="13"/>
          <w:szCs w:val="13"/>
        </w:rPr>
      </w:pPr>
    </w:p>
    <w:p>
      <w:pPr>
        <w:pStyle w:val="BodyText"/>
        <w:spacing w:line="429" w:lineRule="auto" w:before="32"/>
        <w:ind w:left="113" w:right="5148"/>
        <w:jc w:val="left"/>
      </w:pPr>
      <w:r>
        <w:rPr/>
        <w:t>注</w:t>
      </w:r>
      <w:r>
        <w:rPr>
          <w:spacing w:val="-60"/>
        </w:rPr>
        <w:t> </w:t>
      </w:r>
      <w:r>
        <w:rPr>
          <w:rFonts w:ascii="Arial" w:hAnsi="Arial" w:cs="Arial" w:eastAsia="Arial" w:hint="default"/>
        </w:rPr>
        <w:t>1</w:t>
      </w:r>
      <w:r>
        <w:rPr/>
        <w:t>：中期票据及公司债券均为本公司所属联通运营公司发行，且均为单利按年计息，每年付息一次。</w:t>
      </w:r>
      <w:r>
        <w:rPr>
          <w:w w:val="100"/>
        </w:rPr>
        <w:t> </w:t>
      </w:r>
      <w:r>
        <w:rPr/>
        <w:t>注</w:t>
      </w:r>
      <w:r>
        <w:rPr>
          <w:spacing w:val="-58"/>
        </w:rPr>
        <w:t> </w:t>
      </w:r>
      <w:r>
        <w:rPr>
          <w:rFonts w:ascii="Arial" w:hAnsi="Arial" w:cs="Arial" w:eastAsia="Arial" w:hint="default"/>
        </w:rPr>
        <w:t>2</w:t>
      </w:r>
      <w:r>
        <w:rPr/>
        <w:t>：余额包含了附注五</w:t>
      </w:r>
      <w:r>
        <w:rPr>
          <w:rFonts w:ascii="Arial" w:hAnsi="Arial" w:cs="Arial" w:eastAsia="Arial" w:hint="default"/>
        </w:rPr>
        <w:t>(23)(a)</w:t>
      </w:r>
      <w:r>
        <w:rPr/>
        <w:t>列示的应付长期债券利息。</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9"/>
        <w:rPr>
          <w:rFonts w:ascii="宋体" w:hAnsi="宋体" w:cs="宋体" w:eastAsia="宋体" w:hint="default"/>
          <w:sz w:val="16"/>
          <w:szCs w:val="16"/>
        </w:rPr>
      </w:pPr>
    </w:p>
    <w:p>
      <w:pPr>
        <w:spacing w:before="0"/>
        <w:ind w:left="7197" w:right="7256" w:firstLine="0"/>
        <w:jc w:val="center"/>
        <w:rPr>
          <w:rFonts w:ascii="宋体" w:hAnsi="宋体" w:cs="宋体" w:eastAsia="宋体" w:hint="default"/>
          <w:sz w:val="16"/>
          <w:szCs w:val="16"/>
        </w:rPr>
      </w:pPr>
      <w:r>
        <w:rPr>
          <w:rFonts w:ascii="宋体" w:hAnsi="宋体" w:cs="宋体" w:eastAsia="宋体" w:hint="default"/>
          <w:sz w:val="16"/>
          <w:szCs w:val="16"/>
        </w:rPr>
        <w:t>155／220</w:t>
      </w:r>
    </w:p>
    <w:p>
      <w:pPr>
        <w:spacing w:after="0"/>
        <w:jc w:val="center"/>
        <w:rPr>
          <w:rFonts w:ascii="宋体" w:hAnsi="宋体" w:cs="宋体" w:eastAsia="宋体" w:hint="default"/>
          <w:sz w:val="16"/>
          <w:szCs w:val="16"/>
        </w:rPr>
        <w:sectPr>
          <w:headerReference w:type="default" r:id="rId183"/>
          <w:footerReference w:type="default" r:id="rId184"/>
          <w:pgSz w:w="16840" w:h="11910" w:orient="landscape"/>
          <w:pgMar w:header="0" w:footer="0" w:top="1100" w:bottom="280" w:left="880" w:right="820"/>
        </w:sectPr>
      </w:pPr>
    </w:p>
    <w:p>
      <w:pPr>
        <w:spacing w:line="240" w:lineRule="auto" w:before="7"/>
        <w:rPr>
          <w:rFonts w:ascii="宋体" w:hAnsi="宋体" w:cs="宋体" w:eastAsia="宋体" w:hint="default"/>
          <w:sz w:val="16"/>
          <w:szCs w:val="16"/>
        </w:rPr>
      </w:pPr>
    </w:p>
    <w:p>
      <w:pPr>
        <w:pStyle w:val="BodyText"/>
        <w:spacing w:line="240" w:lineRule="auto" w:before="32"/>
        <w:ind w:left="112" w:right="0"/>
        <w:jc w:val="left"/>
      </w:pPr>
      <w:r>
        <w:rPr>
          <w:rFonts w:ascii="Arial" w:hAnsi="Arial" w:cs="Arial" w:eastAsia="Arial" w:hint="default"/>
        </w:rPr>
        <w:t>28</w:t>
      </w:r>
      <w:r>
        <w:rPr/>
        <w:t>、长期应付款</w:t>
      </w:r>
    </w:p>
    <w:p>
      <w:pPr>
        <w:spacing w:line="240" w:lineRule="auto" w:before="10"/>
        <w:rPr>
          <w:rFonts w:ascii="宋体" w:hAnsi="宋体" w:cs="宋体" w:eastAsia="宋体" w:hint="default"/>
          <w:sz w:val="3"/>
          <w:szCs w:val="3"/>
        </w:rPr>
      </w:pPr>
    </w:p>
    <w:tbl>
      <w:tblPr>
        <w:tblW w:w="0" w:type="auto"/>
        <w:jc w:val="left"/>
        <w:tblInd w:w="364" w:type="dxa"/>
        <w:tblLayout w:type="fixed"/>
        <w:tblCellMar>
          <w:top w:w="0" w:type="dxa"/>
          <w:left w:w="0" w:type="dxa"/>
          <w:bottom w:w="0" w:type="dxa"/>
          <w:right w:w="0" w:type="dxa"/>
        </w:tblCellMar>
        <w:tblLook w:val="01E0"/>
      </w:tblPr>
      <w:tblGrid>
        <w:gridCol w:w="2826"/>
        <w:gridCol w:w="1094"/>
        <w:gridCol w:w="1953"/>
        <w:gridCol w:w="135"/>
        <w:gridCol w:w="1627"/>
        <w:gridCol w:w="127"/>
        <w:gridCol w:w="1854"/>
      </w:tblGrid>
      <w:tr>
        <w:trPr>
          <w:trHeight w:val="238" w:hRule="exact"/>
        </w:trPr>
        <w:tc>
          <w:tcPr>
            <w:tcW w:w="2826" w:type="dxa"/>
            <w:tcBorders>
              <w:top w:val="nil" w:sz="6" w:space="0" w:color="auto"/>
              <w:left w:val="nil" w:sz="6" w:space="0" w:color="auto"/>
              <w:bottom w:val="nil" w:sz="6" w:space="0" w:color="auto"/>
              <w:right w:val="nil" w:sz="6" w:space="0" w:color="auto"/>
            </w:tcBorders>
          </w:tcPr>
          <w:p>
            <w:pPr/>
          </w:p>
        </w:tc>
        <w:tc>
          <w:tcPr>
            <w:tcW w:w="1094" w:type="dxa"/>
            <w:tcBorders>
              <w:top w:val="nil" w:sz="6" w:space="0" w:color="auto"/>
              <w:left w:val="nil" w:sz="6" w:space="0" w:color="auto"/>
              <w:bottom w:val="nil" w:sz="6" w:space="0" w:color="auto"/>
              <w:right w:val="nil" w:sz="6" w:space="0" w:color="auto"/>
            </w:tcBorders>
          </w:tcPr>
          <w:p>
            <w:pPr>
              <w:pStyle w:val="TableParagraph"/>
              <w:spacing w:line="201" w:lineRule="exact"/>
              <w:ind w:right="45"/>
              <w:jc w:val="center"/>
              <w:rPr>
                <w:rFonts w:ascii="宋体" w:hAnsi="宋体" w:cs="宋体" w:eastAsia="宋体" w:hint="default"/>
                <w:sz w:val="20"/>
                <w:szCs w:val="20"/>
              </w:rPr>
            </w:pPr>
            <w:r>
              <w:rPr>
                <w:rFonts w:ascii="宋体" w:hAnsi="宋体" w:cs="宋体" w:eastAsia="宋体" w:hint="default"/>
                <w:w w:val="100"/>
                <w:sz w:val="20"/>
                <w:szCs w:val="20"/>
              </w:rPr>
              <w:t>注</w:t>
            </w:r>
          </w:p>
        </w:tc>
        <w:tc>
          <w:tcPr>
            <w:tcW w:w="1953" w:type="dxa"/>
            <w:tcBorders>
              <w:top w:val="nil" w:sz="6" w:space="0" w:color="auto"/>
              <w:left w:val="nil" w:sz="6" w:space="0" w:color="auto"/>
              <w:bottom w:val="single" w:sz="6" w:space="0" w:color="000000"/>
              <w:right w:val="nil" w:sz="6" w:space="0" w:color="auto"/>
            </w:tcBorders>
          </w:tcPr>
          <w:p>
            <w:pPr>
              <w:pStyle w:val="TableParagraph"/>
              <w:spacing w:line="216" w:lineRule="exact"/>
              <w:ind w:left="52" w:right="0"/>
              <w:jc w:val="left"/>
              <w:rPr>
                <w:rFonts w:ascii="宋体" w:hAnsi="宋体" w:cs="宋体" w:eastAsia="宋体" w:hint="default"/>
                <w:sz w:val="20"/>
                <w:szCs w:val="20"/>
              </w:rPr>
            </w:pPr>
            <w:r>
              <w:rPr>
                <w:rFonts w:ascii="Arial" w:hAnsi="Arial" w:cs="Arial" w:eastAsia="Arial" w:hint="default"/>
                <w:sz w:val="20"/>
                <w:szCs w:val="20"/>
              </w:rPr>
              <w:t>2019</w:t>
            </w:r>
            <w:r>
              <w:rPr>
                <w:rFonts w:ascii="Arial" w:hAnsi="Arial" w:cs="Arial" w:eastAsia="Arial" w:hint="default"/>
                <w:spacing w:val="-8"/>
                <w:sz w:val="20"/>
                <w:szCs w:val="20"/>
              </w:rPr>
              <w:t> </w:t>
            </w:r>
            <w:r>
              <w:rPr>
                <w:rFonts w:ascii="宋体" w:hAnsi="宋体" w:cs="宋体" w:eastAsia="宋体" w:hint="default"/>
                <w:sz w:val="20"/>
                <w:szCs w:val="20"/>
              </w:rPr>
              <w:t>年</w:t>
            </w:r>
            <w:r>
              <w:rPr>
                <w:rFonts w:ascii="宋体" w:hAnsi="宋体" w:cs="宋体" w:eastAsia="宋体" w:hint="default"/>
                <w:spacing w:val="-50"/>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宋体" w:hAnsi="宋体" w:cs="宋体" w:eastAsia="宋体" w:hint="default"/>
                <w:sz w:val="20"/>
                <w:szCs w:val="20"/>
              </w:rPr>
              <w:t>日</w:t>
            </w:r>
          </w:p>
        </w:tc>
        <w:tc>
          <w:tcPr>
            <w:tcW w:w="135"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single" w:sz="6" w:space="0" w:color="000000"/>
              <w:right w:val="nil" w:sz="6" w:space="0" w:color="auto"/>
            </w:tcBorders>
          </w:tcPr>
          <w:p>
            <w:pPr>
              <w:pStyle w:val="TableParagraph"/>
              <w:spacing w:line="216" w:lineRule="exact"/>
              <w:ind w:left="23" w:right="0"/>
              <w:jc w:val="left"/>
              <w:rPr>
                <w:rFonts w:ascii="宋体" w:hAnsi="宋体" w:cs="宋体" w:eastAsia="宋体" w:hint="default"/>
                <w:sz w:val="20"/>
                <w:szCs w:val="20"/>
              </w:rPr>
            </w:pPr>
            <w:r>
              <w:rPr>
                <w:rFonts w:ascii="Arial" w:hAnsi="Arial" w:cs="Arial" w:eastAsia="Arial" w:hint="default"/>
                <w:sz w:val="20"/>
                <w:szCs w:val="20"/>
              </w:rPr>
              <w:t>2019</w:t>
            </w:r>
            <w:r>
              <w:rPr>
                <w:rFonts w:ascii="Arial" w:hAnsi="Arial" w:cs="Arial" w:eastAsia="Arial" w:hint="default"/>
                <w:spacing w:val="-10"/>
                <w:sz w:val="20"/>
                <w:szCs w:val="20"/>
              </w:rPr>
              <w:t> </w:t>
            </w:r>
            <w:r>
              <w:rPr>
                <w:rFonts w:ascii="宋体" w:hAnsi="宋体" w:cs="宋体" w:eastAsia="宋体" w:hint="default"/>
                <w:sz w:val="20"/>
                <w:szCs w:val="20"/>
              </w:rPr>
              <w:t>年</w:t>
            </w:r>
            <w:r>
              <w:rPr>
                <w:rFonts w:ascii="宋体" w:hAnsi="宋体" w:cs="宋体" w:eastAsia="宋体" w:hint="default"/>
                <w:spacing w:val="-48"/>
                <w:sz w:val="20"/>
                <w:szCs w:val="20"/>
              </w:rPr>
              <w:t> </w:t>
            </w:r>
            <w:r>
              <w:rPr>
                <w:rFonts w:ascii="Arial" w:hAnsi="Arial" w:cs="Arial" w:eastAsia="Arial" w:hint="default"/>
                <w:sz w:val="20"/>
                <w:szCs w:val="20"/>
              </w:rPr>
              <w:t>1</w:t>
            </w:r>
            <w:r>
              <w:rPr>
                <w:rFonts w:ascii="Arial" w:hAnsi="Arial" w:cs="Arial" w:eastAsia="Arial" w:hint="default"/>
                <w:spacing w:val="-10"/>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Arial" w:hAnsi="Arial" w:cs="Arial" w:eastAsia="Arial" w:hint="default"/>
                <w:sz w:val="20"/>
                <w:szCs w:val="20"/>
              </w:rPr>
              <w:t>1</w:t>
            </w:r>
            <w:r>
              <w:rPr>
                <w:rFonts w:ascii="Arial" w:hAnsi="Arial" w:cs="Arial" w:eastAsia="Arial" w:hint="default"/>
                <w:spacing w:val="-10"/>
                <w:sz w:val="20"/>
                <w:szCs w:val="20"/>
              </w:rPr>
              <w:t> </w:t>
            </w:r>
            <w:r>
              <w:rPr>
                <w:rFonts w:ascii="宋体" w:hAnsi="宋体" w:cs="宋体" w:eastAsia="宋体" w:hint="default"/>
                <w:sz w:val="20"/>
                <w:szCs w:val="20"/>
              </w:rPr>
              <w:t>日</w:t>
            </w:r>
          </w:p>
        </w:tc>
        <w:tc>
          <w:tcPr>
            <w:tcW w:w="127" w:type="dxa"/>
            <w:tcBorders>
              <w:top w:val="nil" w:sz="6" w:space="0" w:color="auto"/>
              <w:left w:val="nil" w:sz="6" w:space="0" w:color="auto"/>
              <w:bottom w:val="nil" w:sz="6" w:space="0" w:color="auto"/>
              <w:right w:val="nil" w:sz="6" w:space="0" w:color="auto"/>
            </w:tcBorders>
          </w:tcPr>
          <w:p>
            <w:pPr/>
          </w:p>
        </w:tc>
        <w:tc>
          <w:tcPr>
            <w:tcW w:w="1854" w:type="dxa"/>
            <w:tcBorders>
              <w:top w:val="nil" w:sz="6" w:space="0" w:color="auto"/>
              <w:left w:val="nil" w:sz="6" w:space="0" w:color="auto"/>
              <w:bottom w:val="single" w:sz="6" w:space="0" w:color="000000"/>
              <w:right w:val="nil" w:sz="6" w:space="0" w:color="auto"/>
            </w:tcBorders>
          </w:tcPr>
          <w:p>
            <w:pPr>
              <w:pStyle w:val="TableParagraph"/>
              <w:spacing w:line="216" w:lineRule="exact"/>
              <w:ind w:left="26" w:right="0"/>
              <w:jc w:val="left"/>
              <w:rPr>
                <w:rFonts w:ascii="宋体" w:hAnsi="宋体" w:cs="宋体" w:eastAsia="宋体" w:hint="default"/>
                <w:sz w:val="20"/>
                <w:szCs w:val="20"/>
              </w:rPr>
            </w:pPr>
            <w:r>
              <w:rPr>
                <w:rFonts w:ascii="Arial" w:hAnsi="Arial" w:cs="Arial" w:eastAsia="Arial" w:hint="default"/>
                <w:sz w:val="20"/>
                <w:szCs w:val="20"/>
              </w:rPr>
              <w:t>2018</w:t>
            </w:r>
            <w:r>
              <w:rPr>
                <w:rFonts w:ascii="Arial" w:hAnsi="Arial" w:cs="Arial" w:eastAsia="Arial" w:hint="default"/>
                <w:spacing w:val="-8"/>
                <w:sz w:val="20"/>
                <w:szCs w:val="20"/>
              </w:rPr>
              <w:t> </w:t>
            </w:r>
            <w:r>
              <w:rPr>
                <w:rFonts w:ascii="宋体" w:hAnsi="宋体" w:cs="宋体" w:eastAsia="宋体" w:hint="default"/>
                <w:sz w:val="20"/>
                <w:szCs w:val="20"/>
              </w:rPr>
              <w:t>年</w:t>
            </w:r>
            <w:r>
              <w:rPr>
                <w:rFonts w:ascii="宋体" w:hAnsi="宋体" w:cs="宋体" w:eastAsia="宋体" w:hint="default"/>
                <w:spacing w:val="-50"/>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宋体" w:hAnsi="宋体" w:cs="宋体" w:eastAsia="宋体" w:hint="default"/>
                <w:sz w:val="20"/>
                <w:szCs w:val="20"/>
              </w:rPr>
              <w:t>日</w:t>
            </w:r>
          </w:p>
        </w:tc>
      </w:tr>
      <w:tr>
        <w:trPr>
          <w:trHeight w:val="537" w:hRule="exact"/>
        </w:trPr>
        <w:tc>
          <w:tcPr>
            <w:tcW w:w="282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0"/>
                <w:szCs w:val="20"/>
              </w:rPr>
            </w:pPr>
            <w:r>
              <w:rPr>
                <w:rFonts w:ascii="宋体" w:hAnsi="宋体" w:cs="宋体" w:eastAsia="宋体" w:hint="default"/>
                <w:sz w:val="20"/>
                <w:szCs w:val="20"/>
              </w:rPr>
              <w:t>限制性股票回购义务</w:t>
            </w:r>
            <w:r>
              <w:rPr>
                <w:rFonts w:ascii="宋体" w:hAnsi="宋体" w:cs="宋体" w:eastAsia="宋体" w:hint="default"/>
                <w:sz w:val="20"/>
                <w:szCs w:val="20"/>
              </w:rPr>
              <w:t> </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94"/>
              <w:jc w:val="center"/>
              <w:rPr>
                <w:rFonts w:ascii="Arial" w:hAnsi="Arial" w:cs="Arial" w:eastAsia="Arial" w:hint="default"/>
                <w:sz w:val="20"/>
                <w:szCs w:val="20"/>
              </w:rPr>
            </w:pPr>
            <w:r>
              <w:rPr>
                <w:rFonts w:ascii="宋体" w:hAnsi="宋体" w:cs="宋体" w:eastAsia="宋体" w:hint="default"/>
                <w:sz w:val="20"/>
                <w:szCs w:val="20"/>
              </w:rPr>
              <w:t>附注五</w:t>
            </w:r>
            <w:r>
              <w:rPr>
                <w:rFonts w:ascii="Arial" w:hAnsi="Arial" w:cs="Arial" w:eastAsia="Arial" w:hint="default"/>
                <w:sz w:val="20"/>
                <w:szCs w:val="20"/>
              </w:rPr>
              <w:t>(33)</w:t>
            </w:r>
          </w:p>
        </w:tc>
        <w:tc>
          <w:tcPr>
            <w:tcW w:w="1953" w:type="dxa"/>
            <w:tcBorders>
              <w:top w:val="single" w:sz="6"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70"/>
              <w:jc w:val="right"/>
              <w:rPr>
                <w:rFonts w:ascii="Arial" w:hAnsi="Arial" w:cs="Arial" w:eastAsia="Arial" w:hint="default"/>
                <w:sz w:val="20"/>
                <w:szCs w:val="20"/>
              </w:rPr>
            </w:pPr>
            <w:r>
              <w:rPr>
                <w:rFonts w:ascii="Arial"/>
                <w:w w:val="100"/>
                <w:sz w:val="20"/>
              </w:rPr>
              <w:t>-</w:t>
            </w:r>
          </w:p>
        </w:tc>
        <w:tc>
          <w:tcPr>
            <w:tcW w:w="135" w:type="dxa"/>
            <w:tcBorders>
              <w:top w:val="nil" w:sz="6" w:space="0" w:color="auto"/>
              <w:left w:val="nil" w:sz="6" w:space="0" w:color="auto"/>
              <w:bottom w:val="nil" w:sz="6" w:space="0" w:color="auto"/>
              <w:right w:val="nil" w:sz="6" w:space="0" w:color="auto"/>
            </w:tcBorders>
          </w:tcPr>
          <w:p>
            <w:pPr/>
          </w:p>
        </w:tc>
        <w:tc>
          <w:tcPr>
            <w:tcW w:w="1627" w:type="dxa"/>
            <w:tcBorders>
              <w:top w:val="single" w:sz="6"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278" w:right="0"/>
              <w:jc w:val="left"/>
              <w:rPr>
                <w:rFonts w:ascii="Arial" w:hAnsi="Arial" w:cs="Arial" w:eastAsia="Arial" w:hint="default"/>
                <w:sz w:val="20"/>
                <w:szCs w:val="20"/>
              </w:rPr>
            </w:pPr>
            <w:r>
              <w:rPr>
                <w:rFonts w:ascii="Arial"/>
                <w:sz w:val="20"/>
              </w:rPr>
              <w:t>2,993,014,742</w:t>
            </w:r>
          </w:p>
        </w:tc>
        <w:tc>
          <w:tcPr>
            <w:tcW w:w="127" w:type="dxa"/>
            <w:tcBorders>
              <w:top w:val="nil" w:sz="6" w:space="0" w:color="auto"/>
              <w:left w:val="nil" w:sz="6" w:space="0" w:color="auto"/>
              <w:bottom w:val="nil" w:sz="6" w:space="0" w:color="auto"/>
              <w:right w:val="nil" w:sz="6" w:space="0" w:color="auto"/>
            </w:tcBorders>
          </w:tcPr>
          <w:p>
            <w:pPr/>
          </w:p>
        </w:tc>
        <w:tc>
          <w:tcPr>
            <w:tcW w:w="1854" w:type="dxa"/>
            <w:tcBorders>
              <w:top w:val="single" w:sz="6"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68"/>
              <w:jc w:val="right"/>
              <w:rPr>
                <w:rFonts w:ascii="Arial" w:hAnsi="Arial" w:cs="Arial" w:eastAsia="Arial" w:hint="default"/>
                <w:sz w:val="20"/>
                <w:szCs w:val="20"/>
              </w:rPr>
            </w:pPr>
            <w:r>
              <w:rPr>
                <w:rFonts w:ascii="Arial"/>
                <w:spacing w:val="-2"/>
                <w:sz w:val="20"/>
              </w:rPr>
              <w:t>2,993,014,742</w:t>
            </w:r>
            <w:r>
              <w:rPr>
                <w:rFonts w:ascii="Arial"/>
                <w:sz w:val="20"/>
              </w:rPr>
            </w:r>
          </w:p>
        </w:tc>
      </w:tr>
      <w:tr>
        <w:trPr>
          <w:trHeight w:val="259" w:hRule="exact"/>
        </w:trPr>
        <w:tc>
          <w:tcPr>
            <w:tcW w:w="2826"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应付融资租赁款</w:t>
            </w:r>
          </w:p>
        </w:tc>
        <w:tc>
          <w:tcPr>
            <w:tcW w:w="1094" w:type="dxa"/>
            <w:tcBorders>
              <w:top w:val="nil" w:sz="6" w:space="0" w:color="auto"/>
              <w:left w:val="nil" w:sz="6" w:space="0" w:color="auto"/>
              <w:bottom w:val="nil" w:sz="6" w:space="0" w:color="auto"/>
              <w:right w:val="nil" w:sz="6" w:space="0" w:color="auto"/>
            </w:tcBorders>
          </w:tcPr>
          <w:p>
            <w:pPr/>
          </w:p>
        </w:tc>
        <w:tc>
          <w:tcPr>
            <w:tcW w:w="1953" w:type="dxa"/>
            <w:tcBorders>
              <w:top w:val="nil" w:sz="6" w:space="0" w:color="auto"/>
              <w:left w:val="nil" w:sz="6" w:space="0" w:color="auto"/>
              <w:bottom w:val="nil" w:sz="6" w:space="0" w:color="auto"/>
              <w:right w:val="nil" w:sz="6" w:space="0" w:color="auto"/>
            </w:tcBorders>
          </w:tcPr>
          <w:p>
            <w:pPr>
              <w:pStyle w:val="TableParagraph"/>
              <w:spacing w:line="218" w:lineRule="exact"/>
              <w:ind w:right="64"/>
              <w:jc w:val="right"/>
              <w:rPr>
                <w:rFonts w:ascii="宋体" w:hAnsi="宋体" w:cs="宋体" w:eastAsia="宋体" w:hint="default"/>
                <w:sz w:val="20"/>
                <w:szCs w:val="20"/>
              </w:rPr>
            </w:pPr>
            <w:r>
              <w:rPr>
                <w:rFonts w:ascii="宋体" w:hAnsi="宋体" w:cs="宋体" w:eastAsia="宋体" w:hint="default"/>
                <w:sz w:val="20"/>
                <w:szCs w:val="20"/>
              </w:rPr>
              <w:t>不适用</w:t>
            </w:r>
          </w:p>
        </w:tc>
        <w:tc>
          <w:tcPr>
            <w:tcW w:w="135"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spacing w:line="218" w:lineRule="exact"/>
              <w:ind w:left="955" w:right="0"/>
              <w:jc w:val="left"/>
              <w:rPr>
                <w:rFonts w:ascii="宋体" w:hAnsi="宋体" w:cs="宋体" w:eastAsia="宋体" w:hint="default"/>
                <w:sz w:val="20"/>
                <w:szCs w:val="20"/>
              </w:rPr>
            </w:pPr>
            <w:r>
              <w:rPr>
                <w:rFonts w:ascii="宋体" w:hAnsi="宋体" w:cs="宋体" w:eastAsia="宋体" w:hint="default"/>
                <w:sz w:val="20"/>
                <w:szCs w:val="20"/>
              </w:rPr>
              <w:t>不适用</w:t>
            </w:r>
          </w:p>
        </w:tc>
        <w:tc>
          <w:tcPr>
            <w:tcW w:w="127" w:type="dxa"/>
            <w:tcBorders>
              <w:top w:val="nil" w:sz="6" w:space="0" w:color="auto"/>
              <w:left w:val="nil" w:sz="6" w:space="0" w:color="auto"/>
              <w:bottom w:val="nil" w:sz="6" w:space="0" w:color="auto"/>
              <w:right w:val="nil" w:sz="6" w:space="0" w:color="auto"/>
            </w:tcBorders>
          </w:tcPr>
          <w:p>
            <w:pP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73"/>
              <w:jc w:val="right"/>
              <w:rPr>
                <w:rFonts w:ascii="Arial" w:hAnsi="Arial" w:cs="Arial" w:eastAsia="Arial" w:hint="default"/>
                <w:sz w:val="20"/>
                <w:szCs w:val="20"/>
              </w:rPr>
            </w:pPr>
            <w:r>
              <w:rPr>
                <w:rFonts w:ascii="Arial"/>
                <w:spacing w:val="-2"/>
                <w:sz w:val="20"/>
              </w:rPr>
              <w:t>240,033,088</w:t>
            </w:r>
            <w:r>
              <w:rPr>
                <w:rFonts w:ascii="Arial"/>
                <w:sz w:val="20"/>
              </w:rPr>
            </w:r>
          </w:p>
        </w:tc>
      </w:tr>
      <w:tr>
        <w:trPr>
          <w:trHeight w:val="266" w:hRule="exact"/>
        </w:trPr>
        <w:tc>
          <w:tcPr>
            <w:tcW w:w="2826"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094" w:type="dxa"/>
            <w:tcBorders>
              <w:top w:val="nil" w:sz="6" w:space="0" w:color="auto"/>
              <w:left w:val="nil" w:sz="6" w:space="0" w:color="auto"/>
              <w:bottom w:val="nil" w:sz="6" w:space="0" w:color="auto"/>
              <w:right w:val="nil" w:sz="6" w:space="0" w:color="auto"/>
            </w:tcBorders>
          </w:tcPr>
          <w:p>
            <w:pPr/>
          </w:p>
        </w:tc>
        <w:tc>
          <w:tcPr>
            <w:tcW w:w="1953" w:type="dxa"/>
            <w:tcBorders>
              <w:top w:val="nil" w:sz="6" w:space="0" w:color="auto"/>
              <w:left w:val="nil" w:sz="6" w:space="0" w:color="auto"/>
              <w:bottom w:val="nil" w:sz="6" w:space="0" w:color="auto"/>
              <w:right w:val="nil" w:sz="6" w:space="0" w:color="auto"/>
            </w:tcBorders>
          </w:tcPr>
          <w:p>
            <w:pPr>
              <w:pStyle w:val="TableParagraph"/>
              <w:tabs>
                <w:tab w:pos="878" w:val="left" w:leader="none"/>
                <w:tab w:pos="1948" w:val="left" w:leader="none"/>
              </w:tabs>
              <w:spacing w:line="240" w:lineRule="auto" w:before="16"/>
              <w:ind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67,216,404</w:t>
              <w:tab/>
            </w:r>
            <w:r>
              <w:rPr>
                <w:rFonts w:ascii="Arial"/>
                <w:sz w:val="20"/>
              </w:rPr>
            </w:r>
          </w:p>
        </w:tc>
        <w:tc>
          <w:tcPr>
            <w:tcW w:w="135"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tabs>
                <w:tab w:pos="551" w:val="left" w:leader="none"/>
                <w:tab w:pos="1627" w:val="left" w:leader="none"/>
              </w:tabs>
              <w:spacing w:line="240" w:lineRule="auto" w:before="16"/>
              <w:ind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72,837,650</w:t>
              <w:tab/>
            </w:r>
            <w:r>
              <w:rPr>
                <w:rFonts w:ascii="Arial"/>
                <w:sz w:val="20"/>
              </w:rPr>
            </w:r>
          </w:p>
        </w:tc>
        <w:tc>
          <w:tcPr>
            <w:tcW w:w="127" w:type="dxa"/>
            <w:tcBorders>
              <w:top w:val="nil" w:sz="6" w:space="0" w:color="auto"/>
              <w:left w:val="nil" w:sz="6" w:space="0" w:color="auto"/>
              <w:bottom w:val="nil" w:sz="6" w:space="0" w:color="auto"/>
              <w:right w:val="nil" w:sz="6" w:space="0" w:color="auto"/>
            </w:tcBorders>
          </w:tcPr>
          <w:p>
            <w:pPr/>
          </w:p>
        </w:tc>
        <w:tc>
          <w:tcPr>
            <w:tcW w:w="1854" w:type="dxa"/>
            <w:tcBorders>
              <w:top w:val="nil" w:sz="6" w:space="0" w:color="auto"/>
              <w:left w:val="nil" w:sz="6" w:space="0" w:color="auto"/>
              <w:bottom w:val="nil" w:sz="6" w:space="0" w:color="auto"/>
              <w:right w:val="nil" w:sz="6" w:space="0" w:color="auto"/>
            </w:tcBorders>
          </w:tcPr>
          <w:p>
            <w:pPr>
              <w:pStyle w:val="TableParagraph"/>
              <w:tabs>
                <w:tab w:pos="779" w:val="left" w:leader="none"/>
                <w:tab w:pos="1850" w:val="left" w:leader="none"/>
              </w:tabs>
              <w:spacing w:line="240" w:lineRule="auto" w:before="16"/>
              <w:ind w:left="7"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72,837,650</w:t>
              <w:tab/>
            </w:r>
            <w:r>
              <w:rPr>
                <w:rFonts w:ascii="Arial"/>
                <w:sz w:val="20"/>
              </w:rPr>
            </w:r>
          </w:p>
        </w:tc>
      </w:tr>
      <w:tr>
        <w:trPr>
          <w:trHeight w:val="382" w:hRule="exact"/>
        </w:trPr>
        <w:tc>
          <w:tcPr>
            <w:tcW w:w="2826" w:type="dxa"/>
            <w:tcBorders>
              <w:top w:val="nil" w:sz="6" w:space="0" w:color="auto"/>
              <w:left w:val="nil" w:sz="6" w:space="0" w:color="auto"/>
              <w:bottom w:val="nil" w:sz="6" w:space="0" w:color="auto"/>
              <w:right w:val="nil" w:sz="6" w:space="0" w:color="auto"/>
            </w:tcBorders>
          </w:tcPr>
          <w:p>
            <w:pPr>
              <w:pStyle w:val="TableParagraph"/>
              <w:spacing w:line="225" w:lineRule="exact"/>
              <w:ind w:left="200" w:right="0"/>
              <w:jc w:val="left"/>
              <w:rPr>
                <w:rFonts w:ascii="宋体" w:hAnsi="宋体" w:cs="宋体" w:eastAsia="宋体" w:hint="default"/>
                <w:sz w:val="20"/>
                <w:szCs w:val="20"/>
              </w:rPr>
            </w:pPr>
            <w:r>
              <w:rPr>
                <w:rFonts w:ascii="宋体" w:hAnsi="宋体" w:cs="宋体" w:eastAsia="宋体" w:hint="default"/>
                <w:sz w:val="20"/>
                <w:szCs w:val="20"/>
              </w:rPr>
              <w:t>小计</w:t>
            </w:r>
          </w:p>
        </w:tc>
        <w:tc>
          <w:tcPr>
            <w:tcW w:w="1094" w:type="dxa"/>
            <w:tcBorders>
              <w:top w:val="nil" w:sz="6" w:space="0" w:color="auto"/>
              <w:left w:val="nil" w:sz="6" w:space="0" w:color="auto"/>
              <w:bottom w:val="nil" w:sz="6" w:space="0" w:color="auto"/>
              <w:right w:val="nil" w:sz="6" w:space="0" w:color="auto"/>
            </w:tcBorders>
          </w:tcPr>
          <w:p>
            <w:pPr/>
          </w:p>
        </w:tc>
        <w:tc>
          <w:tcPr>
            <w:tcW w:w="195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73"/>
              <w:jc w:val="right"/>
              <w:rPr>
                <w:rFonts w:ascii="Arial" w:hAnsi="Arial" w:cs="Arial" w:eastAsia="Arial" w:hint="default"/>
                <w:sz w:val="20"/>
                <w:szCs w:val="20"/>
              </w:rPr>
            </w:pPr>
            <w:r>
              <w:rPr>
                <w:rFonts w:ascii="Arial"/>
                <w:spacing w:val="-2"/>
                <w:sz w:val="20"/>
              </w:rPr>
              <w:t>67,216,404</w:t>
            </w:r>
            <w:r>
              <w:rPr>
                <w:rFonts w:ascii="Arial"/>
                <w:sz w:val="20"/>
              </w:rPr>
            </w:r>
          </w:p>
        </w:tc>
        <w:tc>
          <w:tcPr>
            <w:tcW w:w="135"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78" w:right="0"/>
              <w:jc w:val="left"/>
              <w:rPr>
                <w:rFonts w:ascii="Arial" w:hAnsi="Arial" w:cs="Arial" w:eastAsia="Arial" w:hint="default"/>
                <w:sz w:val="20"/>
                <w:szCs w:val="20"/>
              </w:rPr>
            </w:pPr>
            <w:r>
              <w:rPr>
                <w:rFonts w:ascii="Arial"/>
                <w:sz w:val="20"/>
              </w:rPr>
              <w:t>3,065,852,392</w:t>
            </w:r>
          </w:p>
        </w:tc>
        <w:tc>
          <w:tcPr>
            <w:tcW w:w="127" w:type="dxa"/>
            <w:tcBorders>
              <w:top w:val="nil" w:sz="6" w:space="0" w:color="auto"/>
              <w:left w:val="nil" w:sz="6" w:space="0" w:color="auto"/>
              <w:bottom w:val="nil" w:sz="6" w:space="0" w:color="auto"/>
              <w:right w:val="nil" w:sz="6" w:space="0" w:color="auto"/>
            </w:tcBorders>
          </w:tcPr>
          <w:p>
            <w:pP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68"/>
              <w:jc w:val="right"/>
              <w:rPr>
                <w:rFonts w:ascii="Arial" w:hAnsi="Arial" w:cs="Arial" w:eastAsia="Arial" w:hint="default"/>
                <w:sz w:val="20"/>
                <w:szCs w:val="20"/>
              </w:rPr>
            </w:pPr>
            <w:r>
              <w:rPr>
                <w:rFonts w:ascii="Arial"/>
                <w:spacing w:val="-2"/>
                <w:sz w:val="20"/>
              </w:rPr>
              <w:t>3,305,885,480</w:t>
            </w:r>
            <w:r>
              <w:rPr>
                <w:rFonts w:ascii="Arial"/>
                <w:sz w:val="20"/>
              </w:rPr>
            </w:r>
          </w:p>
        </w:tc>
      </w:tr>
      <w:tr>
        <w:trPr>
          <w:trHeight w:val="497" w:hRule="exact"/>
        </w:trPr>
        <w:tc>
          <w:tcPr>
            <w:tcW w:w="282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00" w:right="0"/>
              <w:jc w:val="left"/>
              <w:rPr>
                <w:rFonts w:ascii="宋体" w:hAnsi="宋体" w:cs="宋体" w:eastAsia="宋体" w:hint="default"/>
                <w:sz w:val="20"/>
                <w:szCs w:val="20"/>
              </w:rPr>
            </w:pPr>
            <w:r>
              <w:rPr>
                <w:rFonts w:ascii="宋体" w:hAnsi="宋体" w:cs="宋体" w:eastAsia="宋体" w:hint="default"/>
                <w:spacing w:val="-2"/>
                <w:sz w:val="20"/>
                <w:szCs w:val="20"/>
              </w:rPr>
              <w:t>减：一年内到期的长期应付款</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4"/>
              <w:jc w:val="center"/>
              <w:rPr>
                <w:rFonts w:ascii="Arial" w:hAnsi="Arial" w:cs="Arial" w:eastAsia="Arial" w:hint="default"/>
                <w:sz w:val="20"/>
                <w:szCs w:val="20"/>
              </w:rPr>
            </w:pPr>
            <w:r>
              <w:rPr>
                <w:rFonts w:ascii="宋体" w:hAnsi="宋体" w:cs="宋体" w:eastAsia="宋体" w:hint="default"/>
                <w:sz w:val="20"/>
                <w:szCs w:val="20"/>
              </w:rPr>
              <w:t>附注五</w:t>
            </w:r>
            <w:r>
              <w:rPr>
                <w:rFonts w:ascii="Arial" w:hAnsi="Arial" w:cs="Arial" w:eastAsia="Arial" w:hint="default"/>
                <w:sz w:val="20"/>
                <w:szCs w:val="20"/>
              </w:rPr>
              <w:t>(24)</w:t>
            </w:r>
          </w:p>
        </w:tc>
        <w:tc>
          <w:tcPr>
            <w:tcW w:w="1953" w:type="dxa"/>
            <w:tcBorders>
              <w:top w:val="nil" w:sz="6" w:space="0" w:color="auto"/>
              <w:left w:val="nil" w:sz="6" w:space="0" w:color="auto"/>
              <w:bottom w:val="nil" w:sz="6" w:space="0" w:color="auto"/>
              <w:right w:val="nil" w:sz="6" w:space="0" w:color="auto"/>
            </w:tcBorders>
          </w:tcPr>
          <w:p>
            <w:pPr>
              <w:pStyle w:val="TableParagraph"/>
              <w:tabs>
                <w:tab w:pos="820" w:val="left" w:leader="none"/>
              </w:tabs>
              <w:spacing w:line="240" w:lineRule="auto" w:before="132"/>
              <w:ind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(11,147,600)</w:t>
            </w:r>
            <w:r>
              <w:rPr>
                <w:rFonts w:ascii="Arial"/>
                <w:spacing w:val="-2"/>
                <w:sz w:val="20"/>
              </w:rPr>
            </w:r>
            <w:r>
              <w:rPr>
                <w:rFonts w:ascii="Arial"/>
                <w:sz w:val="20"/>
              </w:rPr>
            </w:r>
          </w:p>
        </w:tc>
        <w:tc>
          <w:tcPr>
            <w:tcW w:w="135"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tabs>
                <w:tab w:pos="489" w:val="left" w:leader="none"/>
              </w:tabs>
              <w:spacing w:line="240" w:lineRule="auto" w:before="132"/>
              <w:ind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(16,595,302)</w:t>
            </w:r>
            <w:r>
              <w:rPr>
                <w:rFonts w:ascii="Arial"/>
                <w:spacing w:val="-2"/>
                <w:sz w:val="20"/>
              </w:rPr>
            </w:r>
            <w:r>
              <w:rPr>
                <w:rFonts w:ascii="Arial"/>
                <w:sz w:val="20"/>
              </w:rPr>
            </w:r>
          </w:p>
        </w:tc>
        <w:tc>
          <w:tcPr>
            <w:tcW w:w="127" w:type="dxa"/>
            <w:tcBorders>
              <w:top w:val="nil" w:sz="6" w:space="0" w:color="auto"/>
              <w:left w:val="nil" w:sz="6" w:space="0" w:color="auto"/>
              <w:bottom w:val="nil" w:sz="6" w:space="0" w:color="auto"/>
              <w:right w:val="nil" w:sz="6" w:space="0" w:color="auto"/>
            </w:tcBorders>
          </w:tcPr>
          <w:p>
            <w:pPr/>
          </w:p>
        </w:tc>
        <w:tc>
          <w:tcPr>
            <w:tcW w:w="1854" w:type="dxa"/>
            <w:tcBorders>
              <w:top w:val="nil" w:sz="6" w:space="0" w:color="auto"/>
              <w:left w:val="nil" w:sz="6" w:space="0" w:color="auto"/>
              <w:bottom w:val="nil" w:sz="6" w:space="0" w:color="auto"/>
              <w:right w:val="nil" w:sz="6" w:space="0" w:color="auto"/>
            </w:tcBorders>
          </w:tcPr>
          <w:p>
            <w:pPr>
              <w:pStyle w:val="TableParagraph"/>
              <w:tabs>
                <w:tab w:pos="611" w:val="left" w:leader="none"/>
              </w:tabs>
              <w:spacing w:line="240" w:lineRule="auto" w:before="132"/>
              <w:ind w:left="7"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(250,394,349)</w:t>
            </w:r>
            <w:r>
              <w:rPr>
                <w:rFonts w:ascii="Arial"/>
                <w:spacing w:val="-2"/>
                <w:sz w:val="20"/>
              </w:rPr>
            </w:r>
            <w:r>
              <w:rPr>
                <w:rFonts w:ascii="Arial"/>
                <w:sz w:val="20"/>
              </w:rPr>
            </w:r>
          </w:p>
        </w:tc>
      </w:tr>
      <w:tr>
        <w:trPr>
          <w:trHeight w:val="396" w:hRule="exact"/>
        </w:trPr>
        <w:tc>
          <w:tcPr>
            <w:tcW w:w="2826" w:type="dxa"/>
            <w:tcBorders>
              <w:top w:val="nil" w:sz="6" w:space="0" w:color="auto"/>
              <w:left w:val="nil" w:sz="6" w:space="0" w:color="auto"/>
              <w:bottom w:val="nil" w:sz="6" w:space="0" w:color="auto"/>
              <w:right w:val="nil" w:sz="6" w:space="0" w:color="auto"/>
            </w:tcBorders>
          </w:tcPr>
          <w:p>
            <w:pPr>
              <w:pStyle w:val="TableParagraph"/>
              <w:spacing w:line="240" w:lineRule="auto" w:before="78"/>
              <w:ind w:left="200"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094" w:type="dxa"/>
            <w:tcBorders>
              <w:top w:val="nil" w:sz="6" w:space="0" w:color="auto"/>
              <w:left w:val="nil" w:sz="6" w:space="0" w:color="auto"/>
              <w:bottom w:val="nil" w:sz="6" w:space="0" w:color="auto"/>
              <w:right w:val="nil" w:sz="6" w:space="0" w:color="auto"/>
            </w:tcBorders>
          </w:tcPr>
          <w:p>
            <w:pPr/>
          </w:p>
        </w:tc>
        <w:tc>
          <w:tcPr>
            <w:tcW w:w="1953"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right="73"/>
              <w:jc w:val="right"/>
              <w:rPr>
                <w:rFonts w:ascii="Arial" w:hAnsi="Arial" w:cs="Arial" w:eastAsia="Arial" w:hint="default"/>
                <w:sz w:val="20"/>
                <w:szCs w:val="20"/>
              </w:rPr>
            </w:pPr>
            <w:r>
              <w:rPr>
                <w:rFonts w:ascii="Arial"/>
                <w:spacing w:val="-2"/>
                <w:sz w:val="20"/>
              </w:rPr>
              <w:t>56,068,804</w:t>
            </w:r>
            <w:r>
              <w:rPr>
                <w:rFonts w:ascii="Arial"/>
                <w:sz w:val="20"/>
              </w:rPr>
            </w:r>
          </w:p>
        </w:tc>
        <w:tc>
          <w:tcPr>
            <w:tcW w:w="135"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left="278" w:right="0"/>
              <w:jc w:val="left"/>
              <w:rPr>
                <w:rFonts w:ascii="Arial" w:hAnsi="Arial" w:cs="Arial" w:eastAsia="Arial" w:hint="default"/>
                <w:sz w:val="20"/>
                <w:szCs w:val="20"/>
              </w:rPr>
            </w:pPr>
            <w:r>
              <w:rPr>
                <w:rFonts w:ascii="Arial"/>
                <w:sz w:val="20"/>
              </w:rPr>
              <w:t>3,049,257,090</w:t>
            </w:r>
          </w:p>
        </w:tc>
        <w:tc>
          <w:tcPr>
            <w:tcW w:w="127" w:type="dxa"/>
            <w:tcBorders>
              <w:top w:val="nil" w:sz="6" w:space="0" w:color="auto"/>
              <w:left w:val="nil" w:sz="6" w:space="0" w:color="auto"/>
              <w:bottom w:val="nil" w:sz="6" w:space="0" w:color="auto"/>
              <w:right w:val="nil" w:sz="6" w:space="0" w:color="auto"/>
            </w:tcBorders>
          </w:tcPr>
          <w:p>
            <w:pPr/>
          </w:p>
        </w:tc>
        <w:tc>
          <w:tcPr>
            <w:tcW w:w="1854"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right="68"/>
              <w:jc w:val="right"/>
              <w:rPr>
                <w:rFonts w:ascii="Arial" w:hAnsi="Arial" w:cs="Arial" w:eastAsia="Arial" w:hint="default"/>
                <w:sz w:val="20"/>
                <w:szCs w:val="20"/>
              </w:rPr>
            </w:pPr>
            <w:r>
              <w:rPr>
                <w:rFonts w:ascii="Arial"/>
                <w:spacing w:val="-2"/>
                <w:sz w:val="20"/>
              </w:rPr>
              <w:t>3,055,491,131</w:t>
            </w:r>
            <w:r>
              <w:rPr>
                <w:rFonts w:ascii="Arial"/>
                <w:sz w:val="20"/>
              </w:rPr>
            </w:r>
          </w:p>
        </w:tc>
      </w:tr>
    </w:tbl>
    <w:p>
      <w:pPr>
        <w:spacing w:line="240" w:lineRule="auto" w:before="10"/>
        <w:rPr>
          <w:rFonts w:ascii="宋体" w:hAnsi="宋体" w:cs="宋体" w:eastAsia="宋体" w:hint="default"/>
          <w:sz w:val="13"/>
          <w:szCs w:val="13"/>
        </w:rPr>
      </w:pPr>
    </w:p>
    <w:p>
      <w:pPr>
        <w:pStyle w:val="BodyText"/>
        <w:spacing w:line="240" w:lineRule="auto" w:before="32"/>
        <w:ind w:left="112" w:right="0"/>
        <w:jc w:val="left"/>
      </w:pPr>
      <w:r>
        <w:rPr>
          <w:rFonts w:ascii="Arial" w:hAnsi="Arial" w:cs="Arial" w:eastAsia="Arial" w:hint="default"/>
        </w:rPr>
        <w:t>29</w:t>
      </w:r>
      <w:r>
        <w:rPr/>
        <w:t>、长期应付职工薪酬</w:t>
      </w:r>
    </w:p>
    <w:p>
      <w:pPr>
        <w:spacing w:line="240" w:lineRule="auto" w:before="5"/>
        <w:rPr>
          <w:rFonts w:ascii="宋体" w:hAnsi="宋体" w:cs="宋体" w:eastAsia="宋体" w:hint="default"/>
          <w:sz w:val="23"/>
          <w:szCs w:val="23"/>
        </w:rPr>
      </w:pPr>
    </w:p>
    <w:tbl>
      <w:tblPr>
        <w:tblW w:w="0" w:type="auto"/>
        <w:jc w:val="left"/>
        <w:tblInd w:w="364" w:type="dxa"/>
        <w:tblLayout w:type="fixed"/>
        <w:tblCellMar>
          <w:top w:w="0" w:type="dxa"/>
          <w:left w:w="0" w:type="dxa"/>
          <w:bottom w:w="0" w:type="dxa"/>
          <w:right w:w="0" w:type="dxa"/>
        </w:tblCellMar>
        <w:tblLook w:val="01E0"/>
      </w:tblPr>
      <w:tblGrid>
        <w:gridCol w:w="3973"/>
        <w:gridCol w:w="1267"/>
        <w:gridCol w:w="2021"/>
        <w:gridCol w:w="2270"/>
      </w:tblGrid>
      <w:tr>
        <w:trPr>
          <w:trHeight w:val="259" w:hRule="exact"/>
        </w:trPr>
        <w:tc>
          <w:tcPr>
            <w:tcW w:w="3973"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21" w:lineRule="exact"/>
              <w:ind w:right="74"/>
              <w:jc w:val="center"/>
              <w:rPr>
                <w:rFonts w:ascii="宋体" w:hAnsi="宋体" w:cs="宋体" w:eastAsia="宋体" w:hint="default"/>
                <w:sz w:val="22"/>
                <w:szCs w:val="22"/>
              </w:rPr>
            </w:pPr>
            <w:r>
              <w:rPr>
                <w:rFonts w:ascii="宋体" w:hAnsi="宋体" w:cs="宋体" w:eastAsia="宋体" w:hint="default"/>
                <w:w w:val="100"/>
                <w:sz w:val="22"/>
                <w:szCs w:val="22"/>
              </w:rPr>
              <w:t>注</w:t>
            </w:r>
          </w:p>
        </w:tc>
        <w:tc>
          <w:tcPr>
            <w:tcW w:w="2021" w:type="dxa"/>
            <w:tcBorders>
              <w:top w:val="nil" w:sz="6" w:space="0" w:color="auto"/>
              <w:left w:val="nil" w:sz="6" w:space="0" w:color="auto"/>
              <w:bottom w:val="single" w:sz="6" w:space="0" w:color="000000"/>
              <w:right w:val="nil" w:sz="6" w:space="0" w:color="auto"/>
            </w:tcBorders>
          </w:tcPr>
          <w:p>
            <w:pPr>
              <w:pStyle w:val="TableParagraph"/>
              <w:spacing w:line="236" w:lineRule="exact"/>
              <w:ind w:left="38"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2270" w:type="dxa"/>
            <w:tcBorders>
              <w:top w:val="nil" w:sz="6" w:space="0" w:color="auto"/>
              <w:left w:val="nil" w:sz="6" w:space="0" w:color="auto"/>
              <w:bottom w:val="single" w:sz="6" w:space="0" w:color="000000"/>
              <w:right w:val="nil" w:sz="6" w:space="0" w:color="auto"/>
            </w:tcBorders>
          </w:tcPr>
          <w:p>
            <w:pPr>
              <w:pStyle w:val="TableParagraph"/>
              <w:spacing w:line="236" w:lineRule="exact"/>
              <w:ind w:left="216"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591" w:hRule="exact"/>
        </w:trPr>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应付内退员工补偿费</w:t>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50"/>
              <w:jc w:val="center"/>
              <w:rPr>
                <w:rFonts w:ascii="Arial" w:hAnsi="Arial" w:cs="Arial" w:eastAsia="Arial" w:hint="default"/>
                <w:sz w:val="22"/>
                <w:szCs w:val="22"/>
              </w:rPr>
            </w:pPr>
            <w:r>
              <w:rPr>
                <w:rFonts w:ascii="宋体" w:hAnsi="宋体" w:cs="宋体" w:eastAsia="宋体" w:hint="default"/>
                <w:sz w:val="22"/>
                <w:szCs w:val="22"/>
              </w:rPr>
              <w:t>附注五</w:t>
            </w:r>
            <w:r>
              <w:rPr>
                <w:rFonts w:ascii="Arial" w:hAnsi="Arial" w:cs="Arial" w:eastAsia="Arial" w:hint="default"/>
                <w:sz w:val="22"/>
                <w:szCs w:val="22"/>
              </w:rPr>
              <w:t>(21)</w:t>
            </w:r>
          </w:p>
        </w:tc>
        <w:tc>
          <w:tcPr>
            <w:tcW w:w="2021" w:type="dxa"/>
            <w:tcBorders>
              <w:top w:val="single" w:sz="6"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100"/>
              <w:jc w:val="right"/>
              <w:rPr>
                <w:rFonts w:ascii="Arial" w:hAnsi="Arial" w:cs="Arial" w:eastAsia="Arial" w:hint="default"/>
                <w:sz w:val="22"/>
                <w:szCs w:val="22"/>
              </w:rPr>
            </w:pPr>
            <w:r>
              <w:rPr>
                <w:rFonts w:ascii="Arial"/>
                <w:sz w:val="22"/>
              </w:rPr>
              <w:t>2,362,387</w:t>
            </w:r>
          </w:p>
        </w:tc>
        <w:tc>
          <w:tcPr>
            <w:tcW w:w="2270" w:type="dxa"/>
            <w:tcBorders>
              <w:top w:val="single" w:sz="6"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1012" w:right="0"/>
              <w:jc w:val="left"/>
              <w:rPr>
                <w:rFonts w:ascii="Arial" w:hAnsi="Arial" w:cs="Arial" w:eastAsia="Arial" w:hint="default"/>
                <w:sz w:val="22"/>
                <w:szCs w:val="22"/>
              </w:rPr>
            </w:pPr>
            <w:r>
              <w:rPr>
                <w:rFonts w:ascii="Arial"/>
                <w:sz w:val="22"/>
              </w:rPr>
              <w:t>3,141,931</w:t>
            </w:r>
          </w:p>
        </w:tc>
      </w:tr>
      <w:tr>
        <w:trPr>
          <w:trHeight w:val="293" w:hRule="exact"/>
        </w:trPr>
        <w:tc>
          <w:tcPr>
            <w:tcW w:w="3973"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应付离退休后补充福利</w:t>
            </w:r>
          </w:p>
        </w:tc>
        <w:tc>
          <w:tcPr>
            <w:tcW w:w="1267" w:type="dxa"/>
            <w:tcBorders>
              <w:top w:val="nil" w:sz="6" w:space="0" w:color="auto"/>
              <w:left w:val="nil" w:sz="6" w:space="0" w:color="auto"/>
              <w:bottom w:val="nil" w:sz="6" w:space="0" w:color="auto"/>
              <w:right w:val="nil" w:sz="6" w:space="0" w:color="auto"/>
            </w:tcBorders>
          </w:tcPr>
          <w:p>
            <w:pPr>
              <w:pStyle w:val="TableParagraph"/>
              <w:spacing w:line="255" w:lineRule="exact"/>
              <w:ind w:right="150"/>
              <w:jc w:val="center"/>
              <w:rPr>
                <w:rFonts w:ascii="Arial" w:hAnsi="Arial" w:cs="Arial" w:eastAsia="Arial" w:hint="default"/>
                <w:sz w:val="22"/>
                <w:szCs w:val="22"/>
              </w:rPr>
            </w:pPr>
            <w:r>
              <w:rPr>
                <w:rFonts w:ascii="宋体" w:hAnsi="宋体" w:cs="宋体" w:eastAsia="宋体" w:hint="default"/>
                <w:sz w:val="22"/>
                <w:szCs w:val="22"/>
              </w:rPr>
              <w:t>附注五</w:t>
            </w:r>
            <w:r>
              <w:rPr>
                <w:rFonts w:ascii="Arial" w:hAnsi="Arial" w:cs="Arial" w:eastAsia="Arial" w:hint="default"/>
                <w:sz w:val="22"/>
                <w:szCs w:val="22"/>
              </w:rPr>
              <w:t>(21)</w:t>
            </w:r>
          </w:p>
        </w:tc>
        <w:tc>
          <w:tcPr>
            <w:tcW w:w="2021" w:type="dxa"/>
            <w:tcBorders>
              <w:top w:val="nil" w:sz="6" w:space="0" w:color="auto"/>
              <w:left w:val="nil" w:sz="6" w:space="0" w:color="auto"/>
              <w:bottom w:val="nil" w:sz="6" w:space="0" w:color="auto"/>
              <w:right w:val="nil" w:sz="6" w:space="0" w:color="auto"/>
            </w:tcBorders>
          </w:tcPr>
          <w:p>
            <w:pPr>
              <w:pStyle w:val="TableParagraph"/>
              <w:tabs>
                <w:tab w:pos="815" w:val="left" w:leader="none"/>
                <w:tab w:pos="2020" w:val="left" w:leader="none"/>
              </w:tabs>
              <w:spacing w:line="240" w:lineRule="auto" w:before="16"/>
              <w:ind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67,968,142</w:t>
              <w:tab/>
            </w:r>
            <w:r>
              <w:rPr>
                <w:rFonts w:ascii="Arial"/>
                <w:sz w:val="22"/>
              </w:rPr>
            </w:r>
          </w:p>
        </w:tc>
        <w:tc>
          <w:tcPr>
            <w:tcW w:w="2270" w:type="dxa"/>
            <w:tcBorders>
              <w:top w:val="nil" w:sz="6" w:space="0" w:color="auto"/>
              <w:left w:val="nil" w:sz="6" w:space="0" w:color="auto"/>
              <w:bottom w:val="nil" w:sz="6" w:space="0" w:color="auto"/>
              <w:right w:val="nil" w:sz="6" w:space="0" w:color="auto"/>
            </w:tcBorders>
          </w:tcPr>
          <w:p>
            <w:pPr>
              <w:pStyle w:val="TableParagraph"/>
              <w:tabs>
                <w:tab w:pos="820" w:val="left" w:leader="none"/>
                <w:tab w:pos="2198" w:val="left" w:leader="none"/>
              </w:tabs>
              <w:spacing w:line="240" w:lineRule="auto" w:before="16"/>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67,758,283</w:t>
              <w:tab/>
            </w:r>
            <w:r>
              <w:rPr>
                <w:rFonts w:ascii="Arial"/>
                <w:spacing w:val="-1"/>
                <w:sz w:val="22"/>
              </w:rPr>
            </w:r>
          </w:p>
        </w:tc>
      </w:tr>
      <w:tr>
        <w:trPr>
          <w:trHeight w:val="420" w:hRule="exact"/>
        </w:trPr>
        <w:tc>
          <w:tcPr>
            <w:tcW w:w="3973" w:type="dxa"/>
            <w:tcBorders>
              <w:top w:val="nil" w:sz="6" w:space="0" w:color="auto"/>
              <w:left w:val="nil" w:sz="6" w:space="0" w:color="auto"/>
              <w:bottom w:val="nil" w:sz="6" w:space="0" w:color="auto"/>
              <w:right w:val="nil" w:sz="6" w:space="0" w:color="auto"/>
            </w:tcBorders>
          </w:tcPr>
          <w:p>
            <w:pPr>
              <w:pStyle w:val="TableParagraph"/>
              <w:spacing w:line="249" w:lineRule="exact"/>
              <w:ind w:left="200" w:right="0"/>
              <w:jc w:val="left"/>
              <w:rPr>
                <w:rFonts w:ascii="宋体" w:hAnsi="宋体" w:cs="宋体" w:eastAsia="宋体" w:hint="default"/>
                <w:sz w:val="22"/>
                <w:szCs w:val="22"/>
              </w:rPr>
            </w:pPr>
            <w:r>
              <w:rPr>
                <w:rFonts w:ascii="宋体" w:hAnsi="宋体" w:cs="宋体" w:eastAsia="宋体" w:hint="default"/>
                <w:sz w:val="22"/>
                <w:szCs w:val="22"/>
              </w:rPr>
              <w:t>小计</w:t>
            </w:r>
          </w:p>
        </w:tc>
        <w:tc>
          <w:tcPr>
            <w:tcW w:w="1267" w:type="dxa"/>
            <w:tcBorders>
              <w:top w:val="nil" w:sz="6" w:space="0" w:color="auto"/>
              <w:left w:val="nil" w:sz="6" w:space="0" w:color="auto"/>
              <w:bottom w:val="nil" w:sz="6" w:space="0" w:color="auto"/>
              <w:right w:val="nil" w:sz="6" w:space="0" w:color="auto"/>
            </w:tcBorders>
          </w:tcPr>
          <w:p>
            <w:pPr/>
          </w:p>
        </w:tc>
        <w:tc>
          <w:tcPr>
            <w:tcW w:w="202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1"/>
              <w:jc w:val="right"/>
              <w:rPr>
                <w:rFonts w:ascii="Arial" w:hAnsi="Arial" w:cs="Arial" w:eastAsia="Arial" w:hint="default"/>
                <w:sz w:val="22"/>
                <w:szCs w:val="22"/>
              </w:rPr>
            </w:pPr>
            <w:r>
              <w:rPr>
                <w:rFonts w:ascii="Arial"/>
                <w:spacing w:val="-1"/>
                <w:sz w:val="22"/>
              </w:rPr>
              <w:t>70,330,529</w:t>
            </w:r>
          </w:p>
        </w:tc>
        <w:tc>
          <w:tcPr>
            <w:tcW w:w="2270" w:type="dxa"/>
            <w:tcBorders>
              <w:top w:val="nil" w:sz="6" w:space="0" w:color="auto"/>
              <w:left w:val="nil" w:sz="6" w:space="0" w:color="auto"/>
              <w:bottom w:val="nil" w:sz="6" w:space="0" w:color="auto"/>
              <w:right w:val="nil" w:sz="6" w:space="0" w:color="auto"/>
            </w:tcBorders>
          </w:tcPr>
          <w:p>
            <w:pPr>
              <w:pStyle w:val="TableParagraph"/>
              <w:spacing w:line="240" w:lineRule="auto" w:before="26"/>
              <w:ind w:left="892" w:right="0"/>
              <w:jc w:val="left"/>
              <w:rPr>
                <w:rFonts w:ascii="Arial" w:hAnsi="Arial" w:cs="Arial" w:eastAsia="Arial" w:hint="default"/>
                <w:sz w:val="22"/>
                <w:szCs w:val="22"/>
              </w:rPr>
            </w:pPr>
            <w:r>
              <w:rPr>
                <w:rFonts w:ascii="Arial"/>
                <w:sz w:val="22"/>
              </w:rPr>
              <w:t>70,900,214</w:t>
            </w:r>
          </w:p>
        </w:tc>
      </w:tr>
      <w:tr>
        <w:trPr>
          <w:trHeight w:val="410" w:hRule="exact"/>
        </w:trPr>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6"/>
              <w:jc w:val="right"/>
              <w:rPr>
                <w:rFonts w:ascii="宋体" w:hAnsi="宋体" w:cs="宋体" w:eastAsia="宋体" w:hint="default"/>
                <w:sz w:val="22"/>
                <w:szCs w:val="22"/>
              </w:rPr>
            </w:pPr>
            <w:r>
              <w:rPr>
                <w:rFonts w:ascii="宋体" w:hAnsi="宋体" w:cs="宋体" w:eastAsia="宋体" w:hint="default"/>
                <w:spacing w:val="-1"/>
                <w:sz w:val="22"/>
                <w:szCs w:val="22"/>
              </w:rPr>
              <w:t>减：应付内退员工补偿费（流动部分）</w:t>
            </w:r>
          </w:p>
        </w:tc>
        <w:tc>
          <w:tcPr>
            <w:tcW w:w="1267" w:type="dxa"/>
            <w:tcBorders>
              <w:top w:val="nil" w:sz="6" w:space="0" w:color="auto"/>
              <w:left w:val="nil" w:sz="6" w:space="0" w:color="auto"/>
              <w:bottom w:val="nil" w:sz="6" w:space="0" w:color="auto"/>
              <w:right w:val="nil" w:sz="6" w:space="0" w:color="auto"/>
            </w:tcBorders>
          </w:tcPr>
          <w:p>
            <w:pPr/>
          </w:p>
        </w:tc>
        <w:tc>
          <w:tcPr>
            <w:tcW w:w="2021"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33"/>
              <w:jc w:val="right"/>
              <w:rPr>
                <w:rFonts w:ascii="Arial" w:hAnsi="Arial" w:cs="Arial" w:eastAsia="Arial" w:hint="default"/>
                <w:sz w:val="22"/>
                <w:szCs w:val="22"/>
              </w:rPr>
            </w:pPr>
            <w:r>
              <w:rPr>
                <w:rFonts w:ascii="Arial"/>
                <w:sz w:val="22"/>
              </w:rPr>
              <w:t>(815,685)</w:t>
            </w:r>
          </w:p>
        </w:tc>
        <w:tc>
          <w:tcPr>
            <w:tcW w:w="2270" w:type="dxa"/>
            <w:tcBorders>
              <w:top w:val="nil" w:sz="6" w:space="0" w:color="auto"/>
              <w:left w:val="nil" w:sz="6" w:space="0" w:color="auto"/>
              <w:bottom w:val="nil" w:sz="6" w:space="0" w:color="auto"/>
              <w:right w:val="nil" w:sz="6" w:space="0" w:color="auto"/>
            </w:tcBorders>
          </w:tcPr>
          <w:p>
            <w:pPr>
              <w:pStyle w:val="TableParagraph"/>
              <w:spacing w:line="240" w:lineRule="auto" w:before="143"/>
              <w:ind w:left="1123" w:right="0"/>
              <w:jc w:val="left"/>
              <w:rPr>
                <w:rFonts w:ascii="Arial" w:hAnsi="Arial" w:cs="Arial" w:eastAsia="Arial" w:hint="default"/>
                <w:sz w:val="22"/>
                <w:szCs w:val="22"/>
              </w:rPr>
            </w:pPr>
            <w:r>
              <w:rPr>
                <w:rFonts w:ascii="Arial"/>
                <w:sz w:val="22"/>
              </w:rPr>
              <w:t>(760,708)</w:t>
            </w:r>
          </w:p>
        </w:tc>
      </w:tr>
      <w:tr>
        <w:trPr>
          <w:trHeight w:val="295" w:hRule="exact"/>
        </w:trPr>
        <w:tc>
          <w:tcPr>
            <w:tcW w:w="3973" w:type="dxa"/>
            <w:tcBorders>
              <w:top w:val="nil" w:sz="6" w:space="0" w:color="auto"/>
              <w:left w:val="nil" w:sz="6" w:space="0" w:color="auto"/>
              <w:bottom w:val="nil" w:sz="6" w:space="0" w:color="auto"/>
              <w:right w:val="nil" w:sz="6" w:space="0" w:color="auto"/>
            </w:tcBorders>
          </w:tcPr>
          <w:p>
            <w:pPr>
              <w:pStyle w:val="TableParagraph"/>
              <w:spacing w:line="239" w:lineRule="exact"/>
              <w:ind w:right="74"/>
              <w:jc w:val="right"/>
              <w:rPr>
                <w:rFonts w:ascii="宋体" w:hAnsi="宋体" w:cs="宋体" w:eastAsia="宋体" w:hint="default"/>
                <w:sz w:val="22"/>
                <w:szCs w:val="22"/>
              </w:rPr>
            </w:pPr>
            <w:r>
              <w:rPr>
                <w:rFonts w:ascii="宋体" w:hAnsi="宋体" w:cs="宋体" w:eastAsia="宋体" w:hint="default"/>
                <w:spacing w:val="-4"/>
                <w:sz w:val="22"/>
                <w:szCs w:val="22"/>
              </w:rPr>
              <w:t>应付离退休后补充福利（流动部分</w:t>
            </w:r>
          </w:p>
        </w:tc>
        <w:tc>
          <w:tcPr>
            <w:tcW w:w="1267" w:type="dxa"/>
            <w:tcBorders>
              <w:top w:val="nil" w:sz="6" w:space="0" w:color="auto"/>
              <w:left w:val="nil" w:sz="6" w:space="0" w:color="auto"/>
              <w:bottom w:val="nil" w:sz="6" w:space="0" w:color="auto"/>
              <w:right w:val="nil" w:sz="6" w:space="0" w:color="auto"/>
            </w:tcBorders>
          </w:tcPr>
          <w:p>
            <w:pPr/>
          </w:p>
        </w:tc>
        <w:tc>
          <w:tcPr>
            <w:tcW w:w="2021" w:type="dxa"/>
            <w:tcBorders>
              <w:top w:val="nil" w:sz="6" w:space="0" w:color="auto"/>
              <w:left w:val="nil" w:sz="6" w:space="0" w:color="auto"/>
              <w:bottom w:val="nil" w:sz="6" w:space="0" w:color="auto"/>
              <w:right w:val="nil" w:sz="6" w:space="0" w:color="auto"/>
            </w:tcBorders>
          </w:tcPr>
          <w:p>
            <w:pPr>
              <w:pStyle w:val="TableParagraph"/>
              <w:tabs>
                <w:tab w:pos="854" w:val="left" w:leader="none"/>
              </w:tabs>
              <w:spacing w:line="240" w:lineRule="auto" w:before="21"/>
              <w:ind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(3,782,186)</w:t>
            </w:r>
            <w:r>
              <w:rPr>
                <w:rFonts w:ascii="Arial"/>
                <w:sz w:val="22"/>
              </w:rPr>
            </w:r>
          </w:p>
        </w:tc>
        <w:tc>
          <w:tcPr>
            <w:tcW w:w="2270" w:type="dxa"/>
            <w:tcBorders>
              <w:top w:val="nil" w:sz="6" w:space="0" w:color="auto"/>
              <w:left w:val="nil" w:sz="6" w:space="0" w:color="auto"/>
              <w:bottom w:val="nil" w:sz="6" w:space="0" w:color="auto"/>
              <w:right w:val="nil" w:sz="6" w:space="0" w:color="auto"/>
            </w:tcBorders>
          </w:tcPr>
          <w:p>
            <w:pPr>
              <w:pStyle w:val="TableParagraph"/>
              <w:tabs>
                <w:tab w:pos="868" w:val="left" w:leader="none"/>
                <w:tab w:pos="2198"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(4,404,340)</w:t>
              <w:tab/>
            </w:r>
            <w:r>
              <w:rPr>
                <w:rFonts w:ascii="Arial"/>
                <w:spacing w:val="-1"/>
                <w:sz w:val="22"/>
              </w:rPr>
            </w:r>
          </w:p>
        </w:tc>
      </w:tr>
      <w:tr>
        <w:trPr>
          <w:trHeight w:val="537" w:hRule="exact"/>
        </w:trPr>
        <w:tc>
          <w:tcPr>
            <w:tcW w:w="3973" w:type="dxa"/>
            <w:tcBorders>
              <w:top w:val="nil" w:sz="6" w:space="0" w:color="auto"/>
              <w:left w:val="nil" w:sz="6" w:space="0" w:color="auto"/>
              <w:bottom w:val="nil" w:sz="6" w:space="0" w:color="auto"/>
              <w:right w:val="nil" w:sz="6" w:space="0" w:color="auto"/>
            </w:tcBorders>
          </w:tcPr>
          <w:p>
            <w:pPr>
              <w:pStyle w:val="TableParagraph"/>
              <w:spacing w:line="246" w:lineRule="exact"/>
              <w:ind w:left="200" w:right="0"/>
              <w:jc w:val="left"/>
              <w:rPr>
                <w:rFonts w:ascii="宋体" w:hAnsi="宋体" w:cs="宋体" w:eastAsia="宋体" w:hint="default"/>
                <w:sz w:val="22"/>
                <w:szCs w:val="22"/>
              </w:rPr>
            </w:pPr>
            <w:r>
              <w:rPr>
                <w:rFonts w:ascii="宋体" w:hAnsi="宋体" w:cs="宋体" w:eastAsia="宋体" w:hint="default"/>
                <w:sz w:val="22"/>
                <w:szCs w:val="22"/>
              </w:rPr>
              <w:t>小计</w:t>
            </w:r>
          </w:p>
        </w:tc>
        <w:tc>
          <w:tcPr>
            <w:tcW w:w="1267" w:type="dxa"/>
            <w:tcBorders>
              <w:top w:val="nil" w:sz="6" w:space="0" w:color="auto"/>
              <w:left w:val="nil" w:sz="6" w:space="0" w:color="auto"/>
              <w:bottom w:val="nil" w:sz="6" w:space="0" w:color="auto"/>
              <w:right w:val="nil" w:sz="6" w:space="0" w:color="auto"/>
            </w:tcBorders>
          </w:tcPr>
          <w:p>
            <w:pPr/>
          </w:p>
        </w:tc>
        <w:tc>
          <w:tcPr>
            <w:tcW w:w="2021" w:type="dxa"/>
            <w:tcBorders>
              <w:top w:val="nil" w:sz="6" w:space="0" w:color="auto"/>
              <w:left w:val="nil" w:sz="6" w:space="0" w:color="auto"/>
              <w:bottom w:val="single" w:sz="4" w:space="0" w:color="000000"/>
              <w:right w:val="nil" w:sz="6" w:space="0" w:color="auto"/>
            </w:tcBorders>
          </w:tcPr>
          <w:p>
            <w:pPr>
              <w:pStyle w:val="TableParagraph"/>
              <w:spacing w:line="240" w:lineRule="auto" w:before="23"/>
              <w:ind w:right="33"/>
              <w:jc w:val="right"/>
              <w:rPr>
                <w:rFonts w:ascii="Arial" w:hAnsi="Arial" w:cs="Arial" w:eastAsia="Arial" w:hint="default"/>
                <w:sz w:val="22"/>
                <w:szCs w:val="22"/>
              </w:rPr>
            </w:pPr>
            <w:r>
              <w:rPr>
                <w:rFonts w:ascii="Arial"/>
                <w:sz w:val="22"/>
              </w:rPr>
              <w:t>(4,597,871)</w:t>
            </w:r>
          </w:p>
        </w:tc>
        <w:tc>
          <w:tcPr>
            <w:tcW w:w="2270" w:type="dxa"/>
            <w:tcBorders>
              <w:top w:val="nil" w:sz="6" w:space="0" w:color="auto"/>
              <w:left w:val="nil" w:sz="6" w:space="0" w:color="auto"/>
              <w:bottom w:val="single" w:sz="4" w:space="0" w:color="000000"/>
              <w:right w:val="nil" w:sz="6" w:space="0" w:color="auto"/>
            </w:tcBorders>
          </w:tcPr>
          <w:p>
            <w:pPr>
              <w:pStyle w:val="TableParagraph"/>
              <w:spacing w:line="240" w:lineRule="auto" w:before="23"/>
              <w:ind w:left="940" w:right="0"/>
              <w:jc w:val="left"/>
              <w:rPr>
                <w:rFonts w:ascii="Arial" w:hAnsi="Arial" w:cs="Arial" w:eastAsia="Arial" w:hint="default"/>
                <w:sz w:val="22"/>
                <w:szCs w:val="22"/>
              </w:rPr>
            </w:pPr>
            <w:r>
              <w:rPr>
                <w:rFonts w:ascii="Arial"/>
                <w:sz w:val="22"/>
              </w:rPr>
              <w:t>(5,165,048)</w:t>
            </w:r>
          </w:p>
        </w:tc>
      </w:tr>
      <w:tr>
        <w:trPr>
          <w:trHeight w:val="314" w:hRule="exact"/>
        </w:trPr>
        <w:tc>
          <w:tcPr>
            <w:tcW w:w="3973" w:type="dxa"/>
            <w:tcBorders>
              <w:top w:val="nil" w:sz="6" w:space="0" w:color="auto"/>
              <w:left w:val="nil" w:sz="6" w:space="0" w:color="auto"/>
              <w:bottom w:val="nil" w:sz="6" w:space="0" w:color="auto"/>
              <w:right w:val="nil" w:sz="6" w:space="0" w:color="auto"/>
            </w:tcBorders>
          </w:tcPr>
          <w:p>
            <w:pPr>
              <w:pStyle w:val="TableParagraph"/>
              <w:spacing w:line="257" w:lineRule="exact"/>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1267" w:type="dxa"/>
            <w:tcBorders>
              <w:top w:val="nil" w:sz="6" w:space="0" w:color="auto"/>
              <w:left w:val="nil" w:sz="6" w:space="0" w:color="auto"/>
              <w:bottom w:val="nil" w:sz="6" w:space="0" w:color="auto"/>
              <w:right w:val="nil" w:sz="6" w:space="0" w:color="auto"/>
            </w:tcBorders>
          </w:tcPr>
          <w:p>
            <w:pPr/>
          </w:p>
        </w:tc>
        <w:tc>
          <w:tcPr>
            <w:tcW w:w="2021" w:type="dxa"/>
            <w:tcBorders>
              <w:top w:val="single" w:sz="4" w:space="0" w:color="000000"/>
              <w:left w:val="nil" w:sz="6" w:space="0" w:color="auto"/>
              <w:bottom w:val="single" w:sz="17" w:space="0" w:color="000000"/>
              <w:right w:val="nil" w:sz="6" w:space="0" w:color="auto"/>
            </w:tcBorders>
          </w:tcPr>
          <w:p>
            <w:pPr>
              <w:pStyle w:val="TableParagraph"/>
              <w:spacing w:line="240" w:lineRule="auto" w:before="29"/>
              <w:ind w:right="101"/>
              <w:jc w:val="right"/>
              <w:rPr>
                <w:rFonts w:ascii="Arial" w:hAnsi="Arial" w:cs="Arial" w:eastAsia="Arial" w:hint="default"/>
                <w:sz w:val="22"/>
                <w:szCs w:val="22"/>
              </w:rPr>
            </w:pPr>
            <w:r>
              <w:rPr>
                <w:rFonts w:ascii="Arial"/>
                <w:spacing w:val="-1"/>
                <w:sz w:val="22"/>
              </w:rPr>
              <w:t>65,732,658</w:t>
            </w:r>
          </w:p>
        </w:tc>
        <w:tc>
          <w:tcPr>
            <w:tcW w:w="2270" w:type="dxa"/>
            <w:tcBorders>
              <w:top w:val="single" w:sz="4" w:space="0" w:color="000000"/>
              <w:left w:val="nil" w:sz="6" w:space="0" w:color="auto"/>
              <w:bottom w:val="single" w:sz="17" w:space="0" w:color="000000"/>
              <w:right w:val="nil" w:sz="6" w:space="0" w:color="auto"/>
            </w:tcBorders>
          </w:tcPr>
          <w:p>
            <w:pPr>
              <w:pStyle w:val="TableParagraph"/>
              <w:spacing w:line="240" w:lineRule="auto" w:before="29"/>
              <w:ind w:left="892" w:right="0"/>
              <w:jc w:val="left"/>
              <w:rPr>
                <w:rFonts w:ascii="Arial" w:hAnsi="Arial" w:cs="Arial" w:eastAsia="Arial" w:hint="default"/>
                <w:sz w:val="22"/>
                <w:szCs w:val="22"/>
              </w:rPr>
            </w:pPr>
            <w:r>
              <w:rPr>
                <w:rFonts w:ascii="Arial"/>
                <w:sz w:val="22"/>
              </w:rPr>
              <w:t>65,735,166</w:t>
            </w:r>
          </w:p>
        </w:tc>
      </w:tr>
    </w:tbl>
    <w:p>
      <w:pPr>
        <w:spacing w:after="0" w:line="240" w:lineRule="auto"/>
        <w:jc w:val="left"/>
        <w:rPr>
          <w:rFonts w:ascii="Arial" w:hAnsi="Arial" w:cs="Arial" w:eastAsia="Arial" w:hint="default"/>
          <w:sz w:val="22"/>
          <w:szCs w:val="22"/>
        </w:rPr>
        <w:sectPr>
          <w:footerReference w:type="default" r:id="rId185"/>
          <w:pgSz w:w="11910" w:h="16840"/>
          <w:pgMar w:footer="502" w:header="0" w:top="3040" w:bottom="700" w:left="1020" w:right="800"/>
          <w:pgNumType w:start="156"/>
        </w:sectPr>
      </w:pPr>
    </w:p>
    <w:p>
      <w:pPr>
        <w:spacing w:line="240" w:lineRule="auto" w:before="3"/>
        <w:rPr>
          <w:rFonts w:ascii="宋体" w:hAnsi="宋体" w:cs="宋体" w:eastAsia="宋体" w:hint="default"/>
          <w:sz w:val="23"/>
          <w:szCs w:val="23"/>
        </w:rPr>
      </w:pPr>
    </w:p>
    <w:tbl>
      <w:tblPr>
        <w:tblW w:w="0" w:type="auto"/>
        <w:jc w:val="left"/>
        <w:tblInd w:w="472" w:type="dxa"/>
        <w:tblLayout w:type="fixed"/>
        <w:tblCellMar>
          <w:top w:w="0" w:type="dxa"/>
          <w:left w:w="0" w:type="dxa"/>
          <w:bottom w:w="0" w:type="dxa"/>
          <w:right w:w="0" w:type="dxa"/>
        </w:tblCellMar>
        <w:tblLook w:val="01E0"/>
      </w:tblPr>
      <w:tblGrid>
        <w:gridCol w:w="1982"/>
        <w:gridCol w:w="178"/>
        <w:gridCol w:w="629"/>
        <w:gridCol w:w="101"/>
        <w:gridCol w:w="1683"/>
        <w:gridCol w:w="1469"/>
        <w:gridCol w:w="1494"/>
        <w:gridCol w:w="1431"/>
      </w:tblGrid>
      <w:tr>
        <w:trPr>
          <w:trHeight w:val="243" w:hRule="exact"/>
        </w:trPr>
        <w:tc>
          <w:tcPr>
            <w:tcW w:w="1982" w:type="dxa"/>
            <w:tcBorders>
              <w:top w:val="nil" w:sz="6" w:space="0" w:color="auto"/>
              <w:left w:val="nil" w:sz="6" w:space="0" w:color="auto"/>
              <w:bottom w:val="single" w:sz="4" w:space="0" w:color="000000"/>
              <w:right w:val="nil" w:sz="6" w:space="0" w:color="auto"/>
            </w:tcBorders>
          </w:tcPr>
          <w:p>
            <w:pPr>
              <w:pStyle w:val="TableParagraph"/>
              <w:spacing w:line="201" w:lineRule="exact"/>
              <w:ind w:left="71"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178" w:type="dxa"/>
            <w:tcBorders>
              <w:top w:val="nil" w:sz="6" w:space="0" w:color="auto"/>
              <w:left w:val="nil" w:sz="6" w:space="0" w:color="auto"/>
              <w:bottom w:val="nil" w:sz="6" w:space="0" w:color="auto"/>
              <w:right w:val="nil" w:sz="6" w:space="0" w:color="auto"/>
            </w:tcBorders>
          </w:tcPr>
          <w:p>
            <w:pPr/>
          </w:p>
        </w:tc>
        <w:tc>
          <w:tcPr>
            <w:tcW w:w="629" w:type="dxa"/>
            <w:tcBorders>
              <w:top w:val="nil" w:sz="6" w:space="0" w:color="auto"/>
              <w:left w:val="nil" w:sz="6" w:space="0" w:color="auto"/>
              <w:bottom w:val="single" w:sz="4" w:space="0" w:color="000000"/>
              <w:right w:val="nil" w:sz="6" w:space="0" w:color="auto"/>
            </w:tcBorders>
          </w:tcPr>
          <w:p>
            <w:pPr>
              <w:pStyle w:val="TableParagraph"/>
              <w:spacing w:line="201" w:lineRule="exact"/>
              <w:ind w:left="211" w:right="0"/>
              <w:jc w:val="left"/>
              <w:rPr>
                <w:rFonts w:ascii="宋体" w:hAnsi="宋体" w:cs="宋体" w:eastAsia="宋体" w:hint="default"/>
                <w:sz w:val="20"/>
                <w:szCs w:val="20"/>
              </w:rPr>
            </w:pPr>
            <w:r>
              <w:rPr>
                <w:rFonts w:ascii="宋体" w:hAnsi="宋体" w:cs="宋体" w:eastAsia="宋体" w:hint="default"/>
                <w:w w:val="100"/>
                <w:sz w:val="20"/>
                <w:szCs w:val="20"/>
              </w:rPr>
              <w:t>注</w:t>
            </w:r>
          </w:p>
        </w:tc>
        <w:tc>
          <w:tcPr>
            <w:tcW w:w="101" w:type="dxa"/>
            <w:tcBorders>
              <w:top w:val="nil" w:sz="6" w:space="0" w:color="auto"/>
              <w:left w:val="nil" w:sz="6" w:space="0" w:color="auto"/>
              <w:bottom w:val="nil" w:sz="6" w:space="0" w:color="auto"/>
              <w:right w:val="nil" w:sz="6" w:space="0" w:color="auto"/>
            </w:tcBorders>
          </w:tcPr>
          <w:p>
            <w:pPr/>
          </w:p>
        </w:tc>
        <w:tc>
          <w:tcPr>
            <w:tcW w:w="1683" w:type="dxa"/>
            <w:tcBorders>
              <w:top w:val="nil" w:sz="6" w:space="0" w:color="auto"/>
              <w:left w:val="nil" w:sz="6" w:space="0" w:color="auto"/>
              <w:bottom w:val="single" w:sz="6" w:space="0" w:color="000000"/>
              <w:right w:val="nil" w:sz="6" w:space="0" w:color="auto"/>
            </w:tcBorders>
          </w:tcPr>
          <w:p>
            <w:pPr>
              <w:pStyle w:val="TableParagraph"/>
              <w:spacing w:line="201" w:lineRule="exact"/>
              <w:ind w:left="360" w:right="0"/>
              <w:jc w:val="left"/>
              <w:rPr>
                <w:rFonts w:ascii="宋体" w:hAnsi="宋体" w:cs="宋体" w:eastAsia="宋体" w:hint="default"/>
                <w:sz w:val="20"/>
                <w:szCs w:val="20"/>
              </w:rPr>
            </w:pPr>
            <w:r>
              <w:rPr>
                <w:rFonts w:ascii="宋体" w:hAnsi="宋体" w:cs="宋体" w:eastAsia="宋体" w:hint="default"/>
                <w:sz w:val="20"/>
                <w:szCs w:val="20"/>
              </w:rPr>
              <w:t>年初余额</w:t>
            </w:r>
          </w:p>
        </w:tc>
        <w:tc>
          <w:tcPr>
            <w:tcW w:w="1469" w:type="dxa"/>
            <w:tcBorders>
              <w:top w:val="nil" w:sz="6" w:space="0" w:color="auto"/>
              <w:left w:val="nil" w:sz="6" w:space="0" w:color="auto"/>
              <w:bottom w:val="single" w:sz="6" w:space="0" w:color="000000"/>
              <w:right w:val="nil" w:sz="6" w:space="0" w:color="auto"/>
            </w:tcBorders>
          </w:tcPr>
          <w:p>
            <w:pPr>
              <w:pStyle w:val="TableParagraph"/>
              <w:spacing w:line="201" w:lineRule="exact"/>
              <w:ind w:left="227" w:right="0"/>
              <w:jc w:val="left"/>
              <w:rPr>
                <w:rFonts w:ascii="宋体" w:hAnsi="宋体" w:cs="宋体" w:eastAsia="宋体" w:hint="default"/>
                <w:sz w:val="20"/>
                <w:szCs w:val="20"/>
              </w:rPr>
            </w:pPr>
            <w:r>
              <w:rPr>
                <w:rFonts w:ascii="宋体" w:hAnsi="宋体" w:cs="宋体" w:eastAsia="宋体" w:hint="default"/>
                <w:sz w:val="20"/>
                <w:szCs w:val="20"/>
              </w:rPr>
              <w:t>本年增加</w:t>
            </w:r>
          </w:p>
        </w:tc>
        <w:tc>
          <w:tcPr>
            <w:tcW w:w="1494" w:type="dxa"/>
            <w:tcBorders>
              <w:top w:val="nil" w:sz="6" w:space="0" w:color="auto"/>
              <w:left w:val="nil" w:sz="6" w:space="0" w:color="auto"/>
              <w:bottom w:val="single" w:sz="6" w:space="0" w:color="000000"/>
              <w:right w:val="nil" w:sz="6" w:space="0" w:color="auto"/>
            </w:tcBorders>
          </w:tcPr>
          <w:p>
            <w:pPr>
              <w:pStyle w:val="TableParagraph"/>
              <w:spacing w:line="201" w:lineRule="exact"/>
              <w:ind w:left="203" w:right="0"/>
              <w:jc w:val="left"/>
              <w:rPr>
                <w:rFonts w:ascii="宋体" w:hAnsi="宋体" w:cs="宋体" w:eastAsia="宋体" w:hint="default"/>
                <w:sz w:val="20"/>
                <w:szCs w:val="20"/>
              </w:rPr>
            </w:pPr>
            <w:r>
              <w:rPr>
                <w:rFonts w:ascii="宋体" w:hAnsi="宋体" w:cs="宋体" w:eastAsia="宋体" w:hint="default"/>
                <w:sz w:val="20"/>
                <w:szCs w:val="20"/>
              </w:rPr>
              <w:t>本年减少</w:t>
            </w:r>
          </w:p>
        </w:tc>
        <w:tc>
          <w:tcPr>
            <w:tcW w:w="1431" w:type="dxa"/>
            <w:tcBorders>
              <w:top w:val="nil" w:sz="6" w:space="0" w:color="auto"/>
              <w:left w:val="nil" w:sz="6" w:space="0" w:color="auto"/>
              <w:bottom w:val="single" w:sz="6" w:space="0" w:color="000000"/>
              <w:right w:val="nil" w:sz="6" w:space="0" w:color="auto"/>
            </w:tcBorders>
          </w:tcPr>
          <w:p>
            <w:pPr>
              <w:pStyle w:val="TableParagraph"/>
              <w:spacing w:line="201" w:lineRule="exact"/>
              <w:ind w:left="221" w:right="0"/>
              <w:jc w:val="left"/>
              <w:rPr>
                <w:rFonts w:ascii="宋体" w:hAnsi="宋体" w:cs="宋体" w:eastAsia="宋体" w:hint="default"/>
                <w:sz w:val="20"/>
                <w:szCs w:val="20"/>
              </w:rPr>
            </w:pPr>
            <w:r>
              <w:rPr>
                <w:rFonts w:ascii="宋体" w:hAnsi="宋体" w:cs="宋体" w:eastAsia="宋体" w:hint="default"/>
                <w:sz w:val="20"/>
                <w:szCs w:val="20"/>
              </w:rPr>
              <w:t>年末余额</w:t>
            </w:r>
          </w:p>
        </w:tc>
      </w:tr>
      <w:tr>
        <w:trPr>
          <w:trHeight w:val="591" w:hRule="exact"/>
        </w:trPr>
        <w:tc>
          <w:tcPr>
            <w:tcW w:w="1982" w:type="dxa"/>
            <w:tcBorders>
              <w:top w:val="single" w:sz="4"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71" w:right="0"/>
              <w:jc w:val="left"/>
              <w:rPr>
                <w:rFonts w:ascii="宋体" w:hAnsi="宋体" w:cs="宋体" w:eastAsia="宋体" w:hint="default"/>
                <w:sz w:val="20"/>
                <w:szCs w:val="20"/>
              </w:rPr>
            </w:pPr>
            <w:r>
              <w:rPr>
                <w:rFonts w:ascii="宋体" w:hAnsi="宋体" w:cs="宋体" w:eastAsia="宋体" w:hint="default"/>
                <w:sz w:val="20"/>
                <w:szCs w:val="20"/>
              </w:rPr>
              <w:t>政府补助（注）</w:t>
            </w:r>
          </w:p>
        </w:tc>
        <w:tc>
          <w:tcPr>
            <w:tcW w:w="178" w:type="dxa"/>
            <w:tcBorders>
              <w:top w:val="nil" w:sz="6" w:space="0" w:color="auto"/>
              <w:left w:val="nil" w:sz="6" w:space="0" w:color="auto"/>
              <w:bottom w:val="nil" w:sz="6" w:space="0" w:color="auto"/>
              <w:right w:val="nil" w:sz="6" w:space="0" w:color="auto"/>
            </w:tcBorders>
          </w:tcPr>
          <w:p>
            <w:pPr/>
          </w:p>
        </w:tc>
        <w:tc>
          <w:tcPr>
            <w:tcW w:w="629"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92" w:right="0"/>
              <w:jc w:val="left"/>
              <w:rPr>
                <w:rFonts w:ascii="Arial" w:hAnsi="Arial" w:cs="Arial" w:eastAsia="Arial" w:hint="default"/>
                <w:sz w:val="20"/>
                <w:szCs w:val="20"/>
              </w:rPr>
            </w:pPr>
            <w:r>
              <w:rPr>
                <w:rFonts w:ascii="Arial"/>
                <w:sz w:val="20"/>
              </w:rPr>
              <w:t>(a)</w:t>
            </w:r>
          </w:p>
        </w:tc>
        <w:tc>
          <w:tcPr>
            <w:tcW w:w="101" w:type="dxa"/>
            <w:tcBorders>
              <w:top w:val="nil" w:sz="6" w:space="0" w:color="auto"/>
              <w:left w:val="nil" w:sz="6" w:space="0" w:color="auto"/>
              <w:bottom w:val="nil" w:sz="6" w:space="0" w:color="auto"/>
              <w:right w:val="nil" w:sz="6" w:space="0" w:color="auto"/>
            </w:tcBorders>
          </w:tcPr>
          <w:p>
            <w:pPr/>
          </w:p>
        </w:tc>
        <w:tc>
          <w:tcPr>
            <w:tcW w:w="1683"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64" w:right="0"/>
              <w:jc w:val="left"/>
              <w:rPr>
                <w:rFonts w:ascii="Arial" w:hAnsi="Arial" w:cs="Arial" w:eastAsia="Arial" w:hint="default"/>
                <w:sz w:val="18"/>
                <w:szCs w:val="18"/>
              </w:rPr>
            </w:pPr>
            <w:r>
              <w:rPr>
                <w:rFonts w:ascii="Arial"/>
                <w:sz w:val="18"/>
              </w:rPr>
              <w:t>2,868,925,402</w:t>
            </w:r>
          </w:p>
        </w:tc>
        <w:tc>
          <w:tcPr>
            <w:tcW w:w="1469"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0" w:right="0"/>
              <w:jc w:val="left"/>
              <w:rPr>
                <w:rFonts w:ascii="Arial" w:hAnsi="Arial" w:cs="Arial" w:eastAsia="Arial" w:hint="default"/>
                <w:sz w:val="18"/>
                <w:szCs w:val="18"/>
              </w:rPr>
            </w:pPr>
            <w:r>
              <w:rPr>
                <w:rFonts w:ascii="Arial"/>
                <w:sz w:val="18"/>
              </w:rPr>
              <w:t>1,017,196,198</w:t>
            </w:r>
          </w:p>
        </w:tc>
        <w:tc>
          <w:tcPr>
            <w:tcW w:w="1494"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46" w:right="0"/>
              <w:jc w:val="left"/>
              <w:rPr>
                <w:rFonts w:ascii="Arial" w:hAnsi="Arial" w:cs="Arial" w:eastAsia="Arial" w:hint="default"/>
                <w:sz w:val="18"/>
                <w:szCs w:val="18"/>
              </w:rPr>
            </w:pPr>
            <w:r>
              <w:rPr>
                <w:rFonts w:ascii="Arial"/>
                <w:sz w:val="18"/>
              </w:rPr>
              <w:t>(469,227,726)</w:t>
            </w:r>
          </w:p>
        </w:tc>
        <w:tc>
          <w:tcPr>
            <w:tcW w:w="1431"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50"/>
              <w:jc w:val="right"/>
              <w:rPr>
                <w:rFonts w:ascii="Arial" w:hAnsi="Arial" w:cs="Arial" w:eastAsia="Arial" w:hint="default"/>
                <w:sz w:val="18"/>
                <w:szCs w:val="18"/>
              </w:rPr>
            </w:pPr>
            <w:r>
              <w:rPr>
                <w:rFonts w:ascii="Arial"/>
                <w:spacing w:val="-2"/>
                <w:sz w:val="18"/>
              </w:rPr>
              <w:t>3,416,893,874</w:t>
            </w:r>
            <w:r>
              <w:rPr>
                <w:rFonts w:ascii="Arial"/>
                <w:sz w:val="18"/>
              </w:rPr>
            </w:r>
          </w:p>
        </w:tc>
      </w:tr>
      <w:tr>
        <w:trPr>
          <w:trHeight w:val="259" w:hRule="exact"/>
        </w:trPr>
        <w:tc>
          <w:tcPr>
            <w:tcW w:w="1982" w:type="dxa"/>
            <w:tcBorders>
              <w:top w:val="nil" w:sz="6" w:space="0" w:color="auto"/>
              <w:left w:val="nil" w:sz="6" w:space="0" w:color="auto"/>
              <w:bottom w:val="nil" w:sz="6" w:space="0" w:color="auto"/>
              <w:right w:val="nil" w:sz="6" w:space="0" w:color="auto"/>
            </w:tcBorders>
          </w:tcPr>
          <w:p>
            <w:pPr>
              <w:pStyle w:val="TableParagraph"/>
              <w:spacing w:line="217" w:lineRule="exact"/>
              <w:ind w:right="502"/>
              <w:jc w:val="right"/>
              <w:rPr>
                <w:rFonts w:ascii="宋体" w:hAnsi="宋体" w:cs="宋体" w:eastAsia="宋体" w:hint="default"/>
                <w:sz w:val="20"/>
                <w:szCs w:val="20"/>
              </w:rPr>
            </w:pPr>
            <w:r>
              <w:rPr>
                <w:rFonts w:ascii="宋体" w:hAnsi="宋体" w:cs="宋体" w:eastAsia="宋体" w:hint="default"/>
                <w:spacing w:val="-1"/>
                <w:sz w:val="20"/>
                <w:szCs w:val="20"/>
              </w:rPr>
              <w:t>—</w:t>
            </w:r>
            <w:r>
              <w:rPr>
                <w:rFonts w:ascii="宋体" w:hAnsi="宋体" w:cs="宋体" w:eastAsia="宋体" w:hint="default"/>
                <w:spacing w:val="-1"/>
                <w:sz w:val="20"/>
                <w:szCs w:val="20"/>
              </w:rPr>
              <w:t>与资产相关</w:t>
            </w:r>
          </w:p>
        </w:tc>
        <w:tc>
          <w:tcPr>
            <w:tcW w:w="178" w:type="dxa"/>
            <w:tcBorders>
              <w:top w:val="nil" w:sz="6" w:space="0" w:color="auto"/>
              <w:left w:val="nil" w:sz="6" w:space="0" w:color="auto"/>
              <w:bottom w:val="nil" w:sz="6" w:space="0" w:color="auto"/>
              <w:right w:val="nil" w:sz="6" w:space="0" w:color="auto"/>
            </w:tcBorders>
          </w:tcPr>
          <w:p>
            <w:pPr/>
          </w:p>
        </w:tc>
        <w:tc>
          <w:tcPr>
            <w:tcW w:w="629" w:type="dxa"/>
            <w:tcBorders>
              <w:top w:val="nil" w:sz="6" w:space="0" w:color="auto"/>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168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60" w:right="0"/>
              <w:jc w:val="left"/>
              <w:rPr>
                <w:rFonts w:ascii="Arial" w:hAnsi="Arial" w:cs="Arial" w:eastAsia="Arial" w:hint="default"/>
                <w:sz w:val="18"/>
                <w:szCs w:val="18"/>
              </w:rPr>
            </w:pPr>
            <w:r>
              <w:rPr>
                <w:rFonts w:ascii="Arial"/>
                <w:sz w:val="18"/>
              </w:rPr>
              <w:t>2,680,197,352</w:t>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14" w:right="0"/>
              <w:jc w:val="left"/>
              <w:rPr>
                <w:rFonts w:ascii="Arial" w:hAnsi="Arial" w:cs="Arial" w:eastAsia="Arial" w:hint="default"/>
                <w:sz w:val="18"/>
                <w:szCs w:val="18"/>
              </w:rPr>
            </w:pPr>
            <w:r>
              <w:rPr>
                <w:rFonts w:ascii="Arial"/>
                <w:sz w:val="18"/>
              </w:rPr>
              <w:t>681,419,935</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50" w:right="0"/>
              <w:jc w:val="left"/>
              <w:rPr>
                <w:rFonts w:ascii="Arial" w:hAnsi="Arial" w:cs="Arial" w:eastAsia="Arial" w:hint="default"/>
                <w:sz w:val="18"/>
                <w:szCs w:val="18"/>
              </w:rPr>
            </w:pPr>
            <w:r>
              <w:rPr>
                <w:rFonts w:ascii="Arial"/>
                <w:sz w:val="18"/>
              </w:rPr>
              <w:t>(272,686,311)</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0"/>
              <w:jc w:val="right"/>
              <w:rPr>
                <w:rFonts w:ascii="Arial" w:hAnsi="Arial" w:cs="Arial" w:eastAsia="Arial" w:hint="default"/>
                <w:sz w:val="18"/>
                <w:szCs w:val="18"/>
              </w:rPr>
            </w:pPr>
            <w:r>
              <w:rPr>
                <w:rFonts w:ascii="Arial"/>
                <w:spacing w:val="-2"/>
                <w:sz w:val="18"/>
              </w:rPr>
              <w:t>3,088,930,976</w:t>
            </w:r>
            <w:r>
              <w:rPr>
                <w:rFonts w:ascii="Arial"/>
                <w:sz w:val="18"/>
              </w:rPr>
            </w:r>
          </w:p>
        </w:tc>
      </w:tr>
      <w:tr>
        <w:trPr>
          <w:trHeight w:val="259" w:hRule="exact"/>
        </w:trPr>
        <w:tc>
          <w:tcPr>
            <w:tcW w:w="1982" w:type="dxa"/>
            <w:tcBorders>
              <w:top w:val="nil" w:sz="6" w:space="0" w:color="auto"/>
              <w:left w:val="nil" w:sz="6" w:space="0" w:color="auto"/>
              <w:bottom w:val="nil" w:sz="6" w:space="0" w:color="auto"/>
              <w:right w:val="nil" w:sz="6" w:space="0" w:color="auto"/>
            </w:tcBorders>
          </w:tcPr>
          <w:p>
            <w:pPr>
              <w:pStyle w:val="TableParagraph"/>
              <w:spacing w:line="217" w:lineRule="exact"/>
              <w:ind w:right="502"/>
              <w:jc w:val="right"/>
              <w:rPr>
                <w:rFonts w:ascii="宋体" w:hAnsi="宋体" w:cs="宋体" w:eastAsia="宋体" w:hint="default"/>
                <w:sz w:val="20"/>
                <w:szCs w:val="20"/>
              </w:rPr>
            </w:pPr>
            <w:r>
              <w:rPr>
                <w:rFonts w:ascii="宋体" w:hAnsi="宋体" w:cs="宋体" w:eastAsia="宋体" w:hint="default"/>
                <w:spacing w:val="-1"/>
                <w:sz w:val="20"/>
                <w:szCs w:val="20"/>
              </w:rPr>
              <w:t>—</w:t>
            </w:r>
            <w:r>
              <w:rPr>
                <w:rFonts w:ascii="宋体" w:hAnsi="宋体" w:cs="宋体" w:eastAsia="宋体" w:hint="default"/>
                <w:spacing w:val="-1"/>
                <w:sz w:val="20"/>
                <w:szCs w:val="20"/>
              </w:rPr>
              <w:t>与收益相关</w:t>
            </w:r>
          </w:p>
        </w:tc>
        <w:tc>
          <w:tcPr>
            <w:tcW w:w="178" w:type="dxa"/>
            <w:tcBorders>
              <w:top w:val="nil" w:sz="6" w:space="0" w:color="auto"/>
              <w:left w:val="nil" w:sz="6" w:space="0" w:color="auto"/>
              <w:bottom w:val="nil" w:sz="6" w:space="0" w:color="auto"/>
              <w:right w:val="nil" w:sz="6" w:space="0" w:color="auto"/>
            </w:tcBorders>
          </w:tcPr>
          <w:p>
            <w:pPr/>
          </w:p>
        </w:tc>
        <w:tc>
          <w:tcPr>
            <w:tcW w:w="629" w:type="dxa"/>
            <w:tcBorders>
              <w:top w:val="nil" w:sz="6" w:space="0" w:color="auto"/>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168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513" w:right="0"/>
              <w:jc w:val="left"/>
              <w:rPr>
                <w:rFonts w:ascii="Arial" w:hAnsi="Arial" w:cs="Arial" w:eastAsia="Arial" w:hint="default"/>
                <w:sz w:val="18"/>
                <w:szCs w:val="18"/>
              </w:rPr>
            </w:pPr>
            <w:r>
              <w:rPr>
                <w:rFonts w:ascii="Arial"/>
                <w:sz w:val="18"/>
              </w:rPr>
              <w:t>188,728,050</w:t>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14" w:right="0"/>
              <w:jc w:val="left"/>
              <w:rPr>
                <w:rFonts w:ascii="Arial" w:hAnsi="Arial" w:cs="Arial" w:eastAsia="Arial" w:hint="default"/>
                <w:sz w:val="18"/>
                <w:szCs w:val="18"/>
              </w:rPr>
            </w:pPr>
            <w:r>
              <w:rPr>
                <w:rFonts w:ascii="Arial"/>
                <w:sz w:val="18"/>
              </w:rPr>
              <w:t>335,776,263</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50" w:right="0"/>
              <w:jc w:val="left"/>
              <w:rPr>
                <w:rFonts w:ascii="Arial" w:hAnsi="Arial" w:cs="Arial" w:eastAsia="Arial" w:hint="default"/>
                <w:sz w:val="18"/>
                <w:szCs w:val="18"/>
              </w:rPr>
            </w:pPr>
            <w:r>
              <w:rPr>
                <w:rFonts w:ascii="Arial"/>
                <w:sz w:val="18"/>
              </w:rPr>
              <w:t>(196,541,415)</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0"/>
              <w:jc w:val="right"/>
              <w:rPr>
                <w:rFonts w:ascii="Arial" w:hAnsi="Arial" w:cs="Arial" w:eastAsia="Arial" w:hint="default"/>
                <w:sz w:val="18"/>
                <w:szCs w:val="18"/>
              </w:rPr>
            </w:pPr>
            <w:r>
              <w:rPr>
                <w:rFonts w:ascii="Arial"/>
                <w:spacing w:val="-1"/>
                <w:sz w:val="18"/>
              </w:rPr>
              <w:t>327,962,898</w:t>
            </w:r>
            <w:r>
              <w:rPr>
                <w:rFonts w:ascii="Arial"/>
                <w:sz w:val="18"/>
              </w:rPr>
            </w:r>
          </w:p>
        </w:tc>
      </w:tr>
      <w:tr>
        <w:trPr>
          <w:trHeight w:val="379" w:hRule="exact"/>
        </w:trPr>
        <w:tc>
          <w:tcPr>
            <w:tcW w:w="1982" w:type="dxa"/>
            <w:tcBorders>
              <w:top w:val="nil" w:sz="6" w:space="0" w:color="auto"/>
              <w:left w:val="nil" w:sz="6" w:space="0" w:color="auto"/>
              <w:bottom w:val="nil" w:sz="6" w:space="0" w:color="auto"/>
              <w:right w:val="nil" w:sz="6" w:space="0" w:color="auto"/>
            </w:tcBorders>
          </w:tcPr>
          <w:p>
            <w:pPr>
              <w:pStyle w:val="TableParagraph"/>
              <w:spacing w:line="217" w:lineRule="exact"/>
              <w:ind w:left="71"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78" w:type="dxa"/>
            <w:tcBorders>
              <w:top w:val="nil" w:sz="6" w:space="0" w:color="auto"/>
              <w:left w:val="nil" w:sz="6" w:space="0" w:color="auto"/>
              <w:bottom w:val="nil" w:sz="6" w:space="0" w:color="auto"/>
              <w:right w:val="nil" w:sz="6" w:space="0" w:color="auto"/>
            </w:tcBorders>
          </w:tcPr>
          <w:p>
            <w:pPr/>
          </w:p>
        </w:tc>
        <w:tc>
          <w:tcPr>
            <w:tcW w:w="629" w:type="dxa"/>
            <w:tcBorders>
              <w:top w:val="nil" w:sz="6" w:space="0" w:color="auto"/>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1683" w:type="dxa"/>
            <w:tcBorders>
              <w:top w:val="nil" w:sz="6" w:space="0" w:color="auto"/>
              <w:left w:val="nil" w:sz="6" w:space="0" w:color="auto"/>
              <w:bottom w:val="nil" w:sz="6" w:space="0" w:color="auto"/>
              <w:right w:val="nil" w:sz="6" w:space="0" w:color="auto"/>
            </w:tcBorders>
          </w:tcPr>
          <w:p>
            <w:pPr>
              <w:pStyle w:val="TableParagraph"/>
              <w:tabs>
                <w:tab w:pos="513" w:val="left" w:leader="none"/>
                <w:tab w:pos="1996" w:val="left" w:leader="none"/>
              </w:tabs>
              <w:spacing w:line="240" w:lineRule="auto" w:before="39"/>
              <w:ind w:right="-315"/>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t>818,492,985</w:t>
            </w:r>
            <w:r>
              <w:rPr>
                <w:rFonts w:ascii="Arial"/>
                <w:spacing w:val="1"/>
                <w:sz w:val="18"/>
                <w:u w:val="single" w:color="000000"/>
              </w:rPr>
              <w:t> </w:t>
            </w:r>
            <w:r>
              <w:rPr>
                <w:rFonts w:ascii="Arial"/>
                <w:spacing w:val="1"/>
                <w:sz w:val="18"/>
              </w:rPr>
            </w:r>
            <w:r>
              <w:rPr>
                <w:rFonts w:ascii="Arial"/>
                <w:spacing w:val="2"/>
                <w:sz w:val="18"/>
              </w:rPr>
              <w:t> </w:t>
            </w:r>
            <w:r>
              <w:rPr>
                <w:rFonts w:ascii="Arial"/>
                <w:spacing w:val="2"/>
                <w:w w:val="101"/>
                <w:sz w:val="18"/>
              </w:rPr>
            </w:r>
            <w:r>
              <w:rPr>
                <w:rFonts w:ascii="Arial"/>
                <w:w w:val="101"/>
                <w:sz w:val="18"/>
                <w:u w:val="single" w:color="000000"/>
              </w:rPr>
              <w:t> </w:t>
            </w:r>
            <w:r>
              <w:rPr>
                <w:rFonts w:ascii="Arial"/>
                <w:sz w:val="18"/>
                <w:u w:val="single" w:color="000000"/>
              </w:rPr>
              <w:tab/>
            </w:r>
            <w:r>
              <w:rPr>
                <w:rFonts w:ascii="Arial"/>
                <w:sz w:val="18"/>
              </w:rPr>
            </w:r>
          </w:p>
        </w:tc>
        <w:tc>
          <w:tcPr>
            <w:tcW w:w="1469" w:type="dxa"/>
            <w:tcBorders>
              <w:top w:val="nil" w:sz="6" w:space="0" w:color="auto"/>
              <w:left w:val="nil" w:sz="6" w:space="0" w:color="auto"/>
              <w:bottom w:val="nil" w:sz="6" w:space="0" w:color="auto"/>
              <w:right w:val="nil" w:sz="6" w:space="0" w:color="auto"/>
            </w:tcBorders>
          </w:tcPr>
          <w:p>
            <w:pPr>
              <w:pStyle w:val="TableParagraph"/>
              <w:tabs>
                <w:tab w:pos="1619" w:val="left" w:leader="none"/>
              </w:tabs>
              <w:spacing w:line="240" w:lineRule="auto" w:before="39"/>
              <w:ind w:left="314" w:right="-151"/>
              <w:jc w:val="left"/>
              <w:rPr>
                <w:rFonts w:ascii="Arial" w:hAnsi="Arial" w:cs="Arial" w:eastAsia="Arial" w:hint="default"/>
                <w:sz w:val="18"/>
                <w:szCs w:val="18"/>
              </w:rPr>
            </w:pPr>
            <w:r>
              <w:rPr>
                <w:rFonts w:ascii="Arial"/>
                <w:w w:val="101"/>
                <w:sz w:val="18"/>
              </w:rPr>
            </w:r>
            <w:r>
              <w:rPr>
                <w:rFonts w:ascii="Arial"/>
                <w:sz w:val="18"/>
                <w:u w:val="single" w:color="000000"/>
              </w:rPr>
              <w:t>984,799,015</w:t>
              <w:tab/>
            </w:r>
            <w:r>
              <w:rPr>
                <w:rFonts w:ascii="Arial"/>
                <w:sz w:val="18"/>
              </w:rPr>
            </w:r>
          </w:p>
        </w:tc>
        <w:tc>
          <w:tcPr>
            <w:tcW w:w="1494" w:type="dxa"/>
            <w:tcBorders>
              <w:top w:val="nil" w:sz="6" w:space="0" w:color="auto"/>
              <w:left w:val="nil" w:sz="6" w:space="0" w:color="auto"/>
              <w:bottom w:val="nil" w:sz="6" w:space="0" w:color="auto"/>
              <w:right w:val="nil" w:sz="6" w:space="0" w:color="auto"/>
            </w:tcBorders>
          </w:tcPr>
          <w:p>
            <w:pPr>
              <w:pStyle w:val="TableParagraph"/>
              <w:tabs>
                <w:tab w:pos="1715" w:val="left" w:leader="none"/>
              </w:tabs>
              <w:spacing w:line="240" w:lineRule="auto" w:before="39"/>
              <w:ind w:left="150" w:right="-222"/>
              <w:jc w:val="left"/>
              <w:rPr>
                <w:rFonts w:ascii="Arial" w:hAnsi="Arial" w:cs="Arial" w:eastAsia="Arial" w:hint="default"/>
                <w:sz w:val="18"/>
                <w:szCs w:val="18"/>
              </w:rPr>
            </w:pPr>
            <w:r>
              <w:rPr>
                <w:rFonts w:ascii="Arial"/>
                <w:w w:val="101"/>
                <w:sz w:val="18"/>
              </w:rPr>
            </w:r>
            <w:r>
              <w:rPr>
                <w:rFonts w:ascii="Arial"/>
                <w:sz w:val="18"/>
                <w:u w:val="single" w:color="000000"/>
              </w:rPr>
              <w:t>(368,962,065)</w:t>
              <w:tab/>
            </w:r>
            <w:r>
              <w:rPr>
                <w:rFonts w:ascii="Arial"/>
                <w:sz w:val="18"/>
              </w:rPr>
            </w:r>
          </w:p>
        </w:tc>
        <w:tc>
          <w:tcPr>
            <w:tcW w:w="1431" w:type="dxa"/>
            <w:tcBorders>
              <w:top w:val="nil" w:sz="6" w:space="0" w:color="auto"/>
              <w:left w:val="nil" w:sz="6" w:space="0" w:color="auto"/>
              <w:bottom w:val="nil" w:sz="6" w:space="0" w:color="auto"/>
              <w:right w:val="nil" w:sz="6" w:space="0" w:color="auto"/>
            </w:tcBorders>
          </w:tcPr>
          <w:p>
            <w:pPr>
              <w:pStyle w:val="TableParagraph"/>
              <w:tabs>
                <w:tab w:pos="1209" w:val="left" w:leader="none"/>
              </w:tabs>
              <w:spacing w:line="240" w:lineRule="auto" w:before="39"/>
              <w:ind w:right="0"/>
              <w:jc w:val="right"/>
              <w:rPr>
                <w:rFonts w:ascii="Arial" w:hAnsi="Arial" w:cs="Arial" w:eastAsia="Arial" w:hint="default"/>
                <w:sz w:val="18"/>
                <w:szCs w:val="18"/>
              </w:rPr>
            </w:pPr>
            <w:r>
              <w:rPr>
                <w:rFonts w:ascii="Arial"/>
                <w:w w:val="101"/>
                <w:sz w:val="18"/>
              </w:rPr>
            </w:r>
            <w:r>
              <w:rPr>
                <w:rFonts w:ascii="Arial"/>
                <w:spacing w:val="-1"/>
                <w:sz w:val="18"/>
                <w:u w:val="single" w:color="000000"/>
              </w:rPr>
              <w:t>1,434,329,935</w:t>
              <w:tab/>
            </w:r>
            <w:r>
              <w:rPr>
                <w:rFonts w:ascii="Arial"/>
                <w:spacing w:val="-1"/>
                <w:sz w:val="18"/>
              </w:rPr>
            </w:r>
          </w:p>
        </w:tc>
      </w:tr>
      <w:tr>
        <w:trPr>
          <w:trHeight w:val="381" w:hRule="exact"/>
        </w:trPr>
        <w:tc>
          <w:tcPr>
            <w:tcW w:w="1982" w:type="dxa"/>
            <w:tcBorders>
              <w:top w:val="nil" w:sz="6" w:space="0" w:color="auto"/>
              <w:left w:val="nil" w:sz="6" w:space="0" w:color="auto"/>
              <w:bottom w:val="nil" w:sz="6" w:space="0" w:color="auto"/>
              <w:right w:val="nil" w:sz="6" w:space="0" w:color="auto"/>
            </w:tcBorders>
          </w:tcPr>
          <w:p>
            <w:pPr>
              <w:pStyle w:val="TableParagraph"/>
              <w:spacing w:line="240" w:lineRule="auto" w:before="75"/>
              <w:ind w:left="71"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78" w:type="dxa"/>
            <w:tcBorders>
              <w:top w:val="nil" w:sz="6" w:space="0" w:color="auto"/>
              <w:left w:val="nil" w:sz="6" w:space="0" w:color="auto"/>
              <w:bottom w:val="nil" w:sz="6" w:space="0" w:color="auto"/>
              <w:right w:val="nil" w:sz="6" w:space="0" w:color="auto"/>
            </w:tcBorders>
          </w:tcPr>
          <w:p>
            <w:pPr/>
          </w:p>
        </w:tc>
        <w:tc>
          <w:tcPr>
            <w:tcW w:w="629" w:type="dxa"/>
            <w:tcBorders>
              <w:top w:val="nil" w:sz="6" w:space="0" w:color="auto"/>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1683" w:type="dxa"/>
            <w:tcBorders>
              <w:top w:val="nil" w:sz="6" w:space="0" w:color="auto"/>
              <w:left w:val="nil" w:sz="6" w:space="0" w:color="auto"/>
              <w:bottom w:val="single" w:sz="12" w:space="0" w:color="000000"/>
              <w:right w:val="nil" w:sz="6" w:space="0" w:color="auto"/>
            </w:tcBorders>
          </w:tcPr>
          <w:p>
            <w:pPr>
              <w:pStyle w:val="TableParagraph"/>
              <w:spacing w:line="240" w:lineRule="auto" w:before="159"/>
              <w:ind w:left="364" w:right="0"/>
              <w:jc w:val="left"/>
              <w:rPr>
                <w:rFonts w:ascii="Arial" w:hAnsi="Arial" w:cs="Arial" w:eastAsia="Arial" w:hint="default"/>
                <w:sz w:val="18"/>
                <w:szCs w:val="18"/>
              </w:rPr>
            </w:pPr>
            <w:r>
              <w:rPr>
                <w:rFonts w:ascii="Arial"/>
                <w:sz w:val="18"/>
              </w:rPr>
              <w:t>3,687,418,387</w:t>
            </w:r>
          </w:p>
        </w:tc>
        <w:tc>
          <w:tcPr>
            <w:tcW w:w="1469" w:type="dxa"/>
            <w:tcBorders>
              <w:top w:val="nil" w:sz="6" w:space="0" w:color="auto"/>
              <w:left w:val="nil" w:sz="6" w:space="0" w:color="auto"/>
              <w:bottom w:val="single" w:sz="12" w:space="0" w:color="000000"/>
              <w:right w:val="nil" w:sz="6" w:space="0" w:color="auto"/>
            </w:tcBorders>
          </w:tcPr>
          <w:p>
            <w:pPr>
              <w:pStyle w:val="TableParagraph"/>
              <w:spacing w:line="240" w:lineRule="auto" w:before="159"/>
              <w:ind w:left="160" w:right="0"/>
              <w:jc w:val="left"/>
              <w:rPr>
                <w:rFonts w:ascii="Arial" w:hAnsi="Arial" w:cs="Arial" w:eastAsia="Arial" w:hint="default"/>
                <w:sz w:val="18"/>
                <w:szCs w:val="18"/>
              </w:rPr>
            </w:pPr>
            <w:r>
              <w:rPr>
                <w:rFonts w:ascii="Arial"/>
                <w:sz w:val="18"/>
              </w:rPr>
              <w:t>2,001,995,213</w:t>
            </w:r>
          </w:p>
        </w:tc>
        <w:tc>
          <w:tcPr>
            <w:tcW w:w="1494" w:type="dxa"/>
            <w:tcBorders>
              <w:top w:val="nil" w:sz="6" w:space="0" w:color="auto"/>
              <w:left w:val="nil" w:sz="6" w:space="0" w:color="auto"/>
              <w:bottom w:val="single" w:sz="12" w:space="0" w:color="000000"/>
              <w:right w:val="nil" w:sz="6" w:space="0" w:color="auto"/>
            </w:tcBorders>
          </w:tcPr>
          <w:p>
            <w:pPr>
              <w:pStyle w:val="TableParagraph"/>
              <w:spacing w:line="240" w:lineRule="auto" w:before="159"/>
              <w:ind w:left="146" w:right="0"/>
              <w:jc w:val="left"/>
              <w:rPr>
                <w:rFonts w:ascii="Arial" w:hAnsi="Arial" w:cs="Arial" w:eastAsia="Arial" w:hint="default"/>
                <w:sz w:val="18"/>
                <w:szCs w:val="18"/>
              </w:rPr>
            </w:pPr>
            <w:r>
              <w:rPr>
                <w:rFonts w:ascii="Arial"/>
                <w:sz w:val="18"/>
              </w:rPr>
              <w:t>(838,189,791)</w:t>
            </w:r>
          </w:p>
        </w:tc>
        <w:tc>
          <w:tcPr>
            <w:tcW w:w="1431" w:type="dxa"/>
            <w:tcBorders>
              <w:top w:val="nil" w:sz="6" w:space="0" w:color="auto"/>
              <w:left w:val="nil" w:sz="6" w:space="0" w:color="auto"/>
              <w:bottom w:val="single" w:sz="12" w:space="0" w:color="000000"/>
              <w:right w:val="nil" w:sz="6" w:space="0" w:color="auto"/>
            </w:tcBorders>
          </w:tcPr>
          <w:p>
            <w:pPr>
              <w:pStyle w:val="TableParagraph"/>
              <w:spacing w:line="240" w:lineRule="auto" w:before="159"/>
              <w:ind w:right="50"/>
              <w:jc w:val="right"/>
              <w:rPr>
                <w:rFonts w:ascii="Arial" w:hAnsi="Arial" w:cs="Arial" w:eastAsia="Arial" w:hint="default"/>
                <w:sz w:val="18"/>
                <w:szCs w:val="18"/>
              </w:rPr>
            </w:pPr>
            <w:r>
              <w:rPr>
                <w:rFonts w:ascii="Arial"/>
                <w:spacing w:val="-2"/>
                <w:sz w:val="18"/>
              </w:rPr>
              <w:t>4,851,223,809</w:t>
            </w:r>
            <w:r>
              <w:rPr>
                <w:rFonts w:ascii="Arial"/>
                <w:sz w:val="18"/>
              </w:rPr>
            </w:r>
          </w:p>
        </w:tc>
      </w:tr>
    </w:tbl>
    <w:p>
      <w:pPr>
        <w:spacing w:line="240" w:lineRule="auto" w:before="2"/>
        <w:rPr>
          <w:rFonts w:ascii="宋体" w:hAnsi="宋体" w:cs="宋体" w:eastAsia="宋体" w:hint="default"/>
          <w:sz w:val="14"/>
          <w:szCs w:val="14"/>
        </w:rPr>
      </w:pPr>
    </w:p>
    <w:p>
      <w:pPr>
        <w:pStyle w:val="BodyText"/>
        <w:spacing w:line="240" w:lineRule="auto" w:before="32"/>
        <w:ind w:left="112" w:right="0"/>
        <w:jc w:val="left"/>
      </w:pPr>
      <w:r>
        <w:rPr>
          <w:rFonts w:ascii="Arial" w:hAnsi="Arial" w:cs="Arial" w:eastAsia="Arial" w:hint="default"/>
        </w:rPr>
        <w:t>(a) </w:t>
      </w:r>
      <w:r>
        <w:rPr>
          <w:rFonts w:ascii="Arial" w:hAnsi="Arial" w:cs="Arial" w:eastAsia="Arial" w:hint="default"/>
          <w:spacing w:val="19"/>
        </w:rPr>
        <w:t> </w:t>
      </w:r>
      <w:r>
        <w:rPr/>
        <w:t>政府补助</w:t>
      </w:r>
    </w:p>
    <w:p>
      <w:pPr>
        <w:spacing w:line="240" w:lineRule="auto" w:before="11"/>
        <w:rPr>
          <w:rFonts w:ascii="宋体" w:hAnsi="宋体" w:cs="宋体" w:eastAsia="宋体" w:hint="default"/>
          <w:sz w:val="17"/>
          <w:szCs w:val="17"/>
        </w:rPr>
      </w:pPr>
    </w:p>
    <w:p>
      <w:pPr>
        <w:pStyle w:val="BodyText"/>
        <w:spacing w:line="240" w:lineRule="auto"/>
        <w:ind w:left="112" w:right="0"/>
        <w:jc w:val="left"/>
      </w:pPr>
      <w:r>
        <w:rPr>
          <w:rFonts w:ascii="Arial" w:hAnsi="Arial" w:cs="Arial" w:eastAsia="Arial" w:hint="default"/>
        </w:rPr>
        <w:t>(1)</w:t>
      </w:r>
      <w:r>
        <w:rPr>
          <w:rFonts w:ascii="Arial" w:hAnsi="Arial" w:cs="Arial" w:eastAsia="Arial" w:hint="default"/>
          <w:spacing w:val="51"/>
        </w:rPr>
        <w:t> </w:t>
      </w:r>
      <w:r>
        <w:rPr/>
        <w:t>与资产相关的政府补助</w:t>
      </w:r>
    </w:p>
    <w:p>
      <w:pPr>
        <w:spacing w:line="240" w:lineRule="auto" w:before="5"/>
        <w:rPr>
          <w:rFonts w:ascii="宋体" w:hAnsi="宋体" w:cs="宋体" w:eastAsia="宋体" w:hint="default"/>
          <w:sz w:val="27"/>
          <w:szCs w:val="27"/>
        </w:rPr>
      </w:pPr>
    </w:p>
    <w:tbl>
      <w:tblPr>
        <w:tblW w:w="0" w:type="auto"/>
        <w:jc w:val="left"/>
        <w:tblInd w:w="277" w:type="dxa"/>
        <w:tblLayout w:type="fixed"/>
        <w:tblCellMar>
          <w:top w:w="0" w:type="dxa"/>
          <w:left w:w="0" w:type="dxa"/>
          <w:bottom w:w="0" w:type="dxa"/>
          <w:right w:w="0" w:type="dxa"/>
        </w:tblCellMar>
        <w:tblLook w:val="01E0"/>
      </w:tblPr>
      <w:tblGrid>
        <w:gridCol w:w="3483"/>
        <w:gridCol w:w="1219"/>
        <w:gridCol w:w="1094"/>
        <w:gridCol w:w="1123"/>
        <w:gridCol w:w="1219"/>
        <w:gridCol w:w="1201"/>
      </w:tblGrid>
      <w:tr>
        <w:trPr>
          <w:trHeight w:val="450"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214" w:right="0"/>
              <w:jc w:val="left"/>
              <w:rPr>
                <w:rFonts w:ascii="宋体" w:hAnsi="宋体" w:cs="宋体" w:eastAsia="宋体" w:hint="default"/>
                <w:sz w:val="18"/>
                <w:szCs w:val="18"/>
              </w:rPr>
            </w:pPr>
            <w:r>
              <w:rPr>
                <w:rFonts w:ascii="宋体" w:hAnsi="宋体" w:cs="宋体" w:eastAsia="宋体" w:hint="default"/>
                <w:sz w:val="18"/>
                <w:szCs w:val="18"/>
              </w:rPr>
              <w:t>补助项目</w:t>
            </w:r>
          </w:p>
        </w:tc>
        <w:tc>
          <w:tcPr>
            <w:tcW w:w="1219" w:type="dxa"/>
            <w:tcBorders>
              <w:top w:val="nil" w:sz="6" w:space="0" w:color="auto"/>
              <w:left w:val="nil" w:sz="6" w:space="0" w:color="auto"/>
              <w:bottom w:val="single" w:sz="4" w:space="0" w:color="000000"/>
              <w:right w:val="nil" w:sz="6" w:space="0" w:color="auto"/>
            </w:tcBorders>
          </w:tcPr>
          <w:p>
            <w:pPr>
              <w:pStyle w:val="TableParagraph"/>
              <w:spacing w:line="182" w:lineRule="exact"/>
              <w:ind w:left="451" w:right="0"/>
              <w:jc w:val="left"/>
              <w:rPr>
                <w:rFonts w:ascii="宋体" w:hAnsi="宋体" w:cs="宋体" w:eastAsia="宋体" w:hint="default"/>
                <w:sz w:val="18"/>
                <w:szCs w:val="18"/>
              </w:rPr>
            </w:pPr>
            <w:r>
              <w:rPr>
                <w:rFonts w:ascii="宋体" w:hAnsi="宋体" w:cs="宋体" w:eastAsia="宋体" w:hint="default"/>
                <w:sz w:val="18"/>
                <w:szCs w:val="18"/>
              </w:rPr>
              <w:t>递延收益</w:t>
            </w:r>
          </w:p>
          <w:p>
            <w:pPr>
              <w:pStyle w:val="TableParagraph"/>
              <w:spacing w:line="240" w:lineRule="auto"/>
              <w:ind w:left="451"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094" w:type="dxa"/>
            <w:tcBorders>
              <w:top w:val="nil" w:sz="6" w:space="0" w:color="auto"/>
              <w:left w:val="nil" w:sz="6" w:space="0" w:color="auto"/>
              <w:bottom w:val="single" w:sz="4" w:space="0" w:color="000000"/>
              <w:right w:val="nil" w:sz="6" w:space="0" w:color="auto"/>
            </w:tcBorders>
          </w:tcPr>
          <w:p>
            <w:pPr>
              <w:pStyle w:val="TableParagraph"/>
              <w:spacing w:line="182" w:lineRule="exact"/>
              <w:ind w:left="326" w:right="0"/>
              <w:jc w:val="left"/>
              <w:rPr>
                <w:rFonts w:ascii="宋体" w:hAnsi="宋体" w:cs="宋体" w:eastAsia="宋体" w:hint="default"/>
                <w:sz w:val="18"/>
                <w:szCs w:val="18"/>
              </w:rPr>
            </w:pPr>
            <w:r>
              <w:rPr>
                <w:rFonts w:ascii="宋体" w:hAnsi="宋体" w:cs="宋体" w:eastAsia="宋体" w:hint="default"/>
                <w:sz w:val="18"/>
                <w:szCs w:val="18"/>
              </w:rPr>
              <w:t>本年新增</w:t>
            </w:r>
          </w:p>
          <w:p>
            <w:pPr>
              <w:pStyle w:val="TableParagraph"/>
              <w:spacing w:line="240" w:lineRule="auto"/>
              <w:ind w:left="326" w:right="0"/>
              <w:jc w:val="left"/>
              <w:rPr>
                <w:rFonts w:ascii="宋体" w:hAnsi="宋体" w:cs="宋体" w:eastAsia="宋体" w:hint="default"/>
                <w:sz w:val="18"/>
                <w:szCs w:val="18"/>
              </w:rPr>
            </w:pPr>
            <w:r>
              <w:rPr>
                <w:rFonts w:ascii="宋体" w:hAnsi="宋体" w:cs="宋体" w:eastAsia="宋体" w:hint="default"/>
                <w:sz w:val="18"/>
                <w:szCs w:val="18"/>
              </w:rPr>
              <w:t>补助金额</w:t>
            </w:r>
          </w:p>
        </w:tc>
        <w:tc>
          <w:tcPr>
            <w:tcW w:w="1123" w:type="dxa"/>
            <w:tcBorders>
              <w:top w:val="nil" w:sz="6" w:space="0" w:color="auto"/>
              <w:left w:val="nil" w:sz="6" w:space="0" w:color="auto"/>
              <w:bottom w:val="single" w:sz="4" w:space="0" w:color="000000"/>
              <w:right w:val="nil" w:sz="6" w:space="0" w:color="auto"/>
            </w:tcBorders>
          </w:tcPr>
          <w:p>
            <w:pPr>
              <w:pStyle w:val="TableParagraph"/>
              <w:spacing w:line="182" w:lineRule="exact"/>
              <w:ind w:left="345" w:right="0" w:firstLine="360"/>
              <w:jc w:val="left"/>
              <w:rPr>
                <w:rFonts w:ascii="宋体" w:hAnsi="宋体" w:cs="宋体" w:eastAsia="宋体" w:hint="default"/>
                <w:sz w:val="18"/>
                <w:szCs w:val="18"/>
              </w:rPr>
            </w:pPr>
            <w:r>
              <w:rPr>
                <w:rFonts w:ascii="宋体" w:hAnsi="宋体" w:cs="宋体" w:eastAsia="宋体" w:hint="default"/>
                <w:sz w:val="18"/>
                <w:szCs w:val="18"/>
              </w:rPr>
              <w:t>冲减</w:t>
            </w: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219" w:type="dxa"/>
            <w:tcBorders>
              <w:top w:val="nil" w:sz="6" w:space="0" w:color="auto"/>
              <w:left w:val="nil" w:sz="6" w:space="0" w:color="auto"/>
              <w:bottom w:val="single" w:sz="4" w:space="0" w:color="000000"/>
              <w:right w:val="nil" w:sz="6" w:space="0" w:color="auto"/>
            </w:tcBorders>
          </w:tcPr>
          <w:p>
            <w:pPr>
              <w:pStyle w:val="TableParagraph"/>
              <w:spacing w:line="182" w:lineRule="exact"/>
              <w:ind w:left="455" w:right="0" w:firstLine="360"/>
              <w:jc w:val="left"/>
              <w:rPr>
                <w:rFonts w:ascii="宋体" w:hAnsi="宋体" w:cs="宋体" w:eastAsia="宋体" w:hint="default"/>
                <w:sz w:val="18"/>
                <w:szCs w:val="18"/>
              </w:rPr>
            </w:pPr>
            <w:r>
              <w:rPr>
                <w:rFonts w:ascii="宋体" w:hAnsi="宋体" w:cs="宋体" w:eastAsia="宋体" w:hint="default"/>
                <w:sz w:val="18"/>
                <w:szCs w:val="18"/>
              </w:rPr>
              <w:t>计入</w:t>
            </w:r>
          </w:p>
          <w:p>
            <w:pPr>
              <w:pStyle w:val="TableParagraph"/>
              <w:spacing w:line="240" w:lineRule="auto"/>
              <w:ind w:left="455"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201" w:type="dxa"/>
            <w:tcBorders>
              <w:top w:val="nil" w:sz="6" w:space="0" w:color="auto"/>
              <w:left w:val="nil" w:sz="6" w:space="0" w:color="auto"/>
              <w:bottom w:val="single" w:sz="4" w:space="0" w:color="000000"/>
              <w:right w:val="nil" w:sz="6" w:space="0" w:color="auto"/>
            </w:tcBorders>
          </w:tcPr>
          <w:p>
            <w:pPr>
              <w:pStyle w:val="TableParagraph"/>
              <w:spacing w:line="182" w:lineRule="exact"/>
              <w:ind w:left="475" w:right="0"/>
              <w:jc w:val="left"/>
              <w:rPr>
                <w:rFonts w:ascii="宋体" w:hAnsi="宋体" w:cs="宋体" w:eastAsia="宋体" w:hint="default"/>
                <w:sz w:val="18"/>
                <w:szCs w:val="18"/>
              </w:rPr>
            </w:pPr>
            <w:r>
              <w:rPr>
                <w:rFonts w:ascii="宋体" w:hAnsi="宋体" w:cs="宋体" w:eastAsia="宋体" w:hint="default"/>
                <w:spacing w:val="-2"/>
                <w:sz w:val="18"/>
                <w:szCs w:val="18"/>
              </w:rPr>
              <w:t>递延收益</w:t>
            </w:r>
          </w:p>
          <w:p>
            <w:pPr>
              <w:pStyle w:val="TableParagraph"/>
              <w:spacing w:line="240" w:lineRule="auto"/>
              <w:ind w:left="475" w:right="0"/>
              <w:jc w:val="left"/>
              <w:rPr>
                <w:rFonts w:ascii="宋体" w:hAnsi="宋体" w:cs="宋体" w:eastAsia="宋体" w:hint="default"/>
                <w:sz w:val="18"/>
                <w:szCs w:val="18"/>
              </w:rPr>
            </w:pPr>
            <w:r>
              <w:rPr>
                <w:rFonts w:ascii="宋体" w:hAnsi="宋体" w:cs="宋体" w:eastAsia="宋体" w:hint="default"/>
                <w:spacing w:val="-2"/>
                <w:sz w:val="18"/>
                <w:szCs w:val="18"/>
              </w:rPr>
              <w:t>年末余额</w:t>
            </w:r>
          </w:p>
        </w:tc>
      </w:tr>
      <w:tr>
        <w:trPr>
          <w:trHeight w:val="455"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left="214" w:right="0"/>
              <w:jc w:val="left"/>
              <w:rPr>
                <w:rFonts w:ascii="宋体" w:hAnsi="宋体" w:cs="宋体" w:eastAsia="宋体" w:hint="default"/>
                <w:sz w:val="18"/>
                <w:szCs w:val="18"/>
              </w:rPr>
            </w:pPr>
            <w:r>
              <w:rPr>
                <w:rFonts w:ascii="宋体" w:hAnsi="宋体" w:cs="宋体" w:eastAsia="宋体" w:hint="default"/>
                <w:spacing w:val="-3"/>
                <w:sz w:val="18"/>
                <w:szCs w:val="18"/>
              </w:rPr>
              <w:t>政策性优惠贷款贴息</w:t>
            </w:r>
            <w:r>
              <w:rPr>
                <w:rFonts w:ascii="宋体" w:hAnsi="宋体" w:cs="宋体" w:eastAsia="宋体" w:hint="default"/>
                <w:sz w:val="18"/>
                <w:szCs w:val="18"/>
              </w:rPr>
              <w:t> </w:t>
            </w:r>
          </w:p>
        </w:tc>
        <w:tc>
          <w:tcPr>
            <w:tcW w:w="1219"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40"/>
              <w:jc w:val="right"/>
              <w:rPr>
                <w:rFonts w:ascii="Arial" w:hAnsi="Arial" w:cs="Arial" w:eastAsia="Arial" w:hint="default"/>
                <w:sz w:val="18"/>
                <w:szCs w:val="18"/>
              </w:rPr>
            </w:pPr>
            <w:r>
              <w:rPr>
                <w:rFonts w:ascii="Arial"/>
                <w:spacing w:val="-1"/>
                <w:sz w:val="18"/>
              </w:rPr>
              <w:t>774,670,680</w:t>
            </w:r>
            <w:r>
              <w:rPr>
                <w:rFonts w:ascii="Arial"/>
                <w:sz w:val="18"/>
              </w:rPr>
            </w:r>
          </w:p>
        </w:tc>
        <w:tc>
          <w:tcPr>
            <w:tcW w:w="1094"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43"/>
              <w:jc w:val="right"/>
              <w:rPr>
                <w:rFonts w:ascii="Arial" w:hAnsi="Arial" w:cs="Arial" w:eastAsia="Arial" w:hint="default"/>
                <w:sz w:val="18"/>
                <w:szCs w:val="18"/>
              </w:rPr>
            </w:pPr>
            <w:r>
              <w:rPr>
                <w:rFonts w:ascii="Arial"/>
                <w:w w:val="101"/>
                <w:sz w:val="18"/>
              </w:rPr>
              <w:t>-</w:t>
            </w:r>
            <w:r>
              <w:rPr>
                <w:rFonts w:ascii="Arial"/>
                <w:sz w:val="18"/>
              </w:rPr>
            </w:r>
          </w:p>
        </w:tc>
        <w:tc>
          <w:tcPr>
            <w:tcW w:w="1123"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52"/>
              <w:jc w:val="right"/>
              <w:rPr>
                <w:rFonts w:ascii="Arial" w:hAnsi="Arial" w:cs="Arial" w:eastAsia="Arial" w:hint="default"/>
                <w:sz w:val="18"/>
                <w:szCs w:val="18"/>
              </w:rPr>
            </w:pPr>
            <w:r>
              <w:rPr>
                <w:rFonts w:ascii="Arial"/>
                <w:spacing w:val="-2"/>
                <w:sz w:val="18"/>
              </w:rPr>
              <w:t>(84,074,238)</w:t>
            </w:r>
            <w:r>
              <w:rPr>
                <w:rFonts w:ascii="Arial"/>
                <w:sz w:val="18"/>
              </w:rPr>
            </w:r>
          </w:p>
        </w:tc>
        <w:tc>
          <w:tcPr>
            <w:tcW w:w="1219"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95"/>
              <w:jc w:val="right"/>
              <w:rPr>
                <w:rFonts w:ascii="Arial" w:hAnsi="Arial" w:cs="Arial" w:eastAsia="Arial" w:hint="default"/>
                <w:sz w:val="18"/>
                <w:szCs w:val="18"/>
              </w:rPr>
            </w:pPr>
            <w:r>
              <w:rPr>
                <w:rFonts w:ascii="Arial"/>
                <w:w w:val="101"/>
                <w:sz w:val="18"/>
              </w:rPr>
              <w:t>-</w:t>
            </w:r>
            <w:r>
              <w:rPr>
                <w:rFonts w:ascii="Arial"/>
                <w:sz w:val="18"/>
              </w:rPr>
            </w:r>
          </w:p>
        </w:tc>
        <w:tc>
          <w:tcPr>
            <w:tcW w:w="1201"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0"/>
              <w:jc w:val="right"/>
              <w:rPr>
                <w:rFonts w:ascii="Arial" w:hAnsi="Arial" w:cs="Arial" w:eastAsia="Arial" w:hint="default"/>
                <w:sz w:val="18"/>
                <w:szCs w:val="18"/>
              </w:rPr>
            </w:pPr>
            <w:r>
              <w:rPr>
                <w:rFonts w:ascii="Arial"/>
                <w:spacing w:val="-1"/>
                <w:sz w:val="18"/>
              </w:rPr>
              <w:t>690,596,442</w:t>
            </w:r>
            <w:r>
              <w:rPr>
                <w:rFonts w:ascii="Arial"/>
                <w:sz w:val="18"/>
              </w:rPr>
            </w:r>
          </w:p>
        </w:tc>
      </w:tr>
      <w:tr>
        <w:trPr>
          <w:trHeight w:val="233"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194" w:lineRule="exact"/>
              <w:ind w:left="200" w:right="0"/>
              <w:jc w:val="left"/>
              <w:rPr>
                <w:rFonts w:ascii="宋体" w:hAnsi="宋体" w:cs="宋体" w:eastAsia="宋体" w:hint="default"/>
                <w:sz w:val="18"/>
                <w:szCs w:val="18"/>
              </w:rPr>
            </w:pPr>
            <w:r>
              <w:rPr>
                <w:rFonts w:ascii="宋体" w:hAnsi="宋体" w:cs="宋体" w:eastAsia="宋体" w:hint="default"/>
                <w:sz w:val="18"/>
                <w:szCs w:val="18"/>
              </w:rPr>
              <w:t>5G</w:t>
            </w:r>
            <w:r>
              <w:rPr>
                <w:rFonts w:ascii="宋体" w:hAnsi="宋体" w:cs="宋体" w:eastAsia="宋体" w:hint="default"/>
                <w:spacing w:val="-4"/>
                <w:sz w:val="18"/>
                <w:szCs w:val="18"/>
              </w:rPr>
              <w:t> </w:t>
            </w:r>
            <w:r>
              <w:rPr>
                <w:rFonts w:ascii="宋体" w:hAnsi="宋体" w:cs="宋体" w:eastAsia="宋体" w:hint="default"/>
                <w:spacing w:val="-3"/>
                <w:sz w:val="18"/>
                <w:szCs w:val="18"/>
              </w:rPr>
              <w:t>规模组网建设及应用示范工程项目</w:t>
            </w:r>
            <w:r>
              <w:rPr>
                <w:rFonts w:ascii="宋体" w:hAnsi="宋体" w:cs="宋体" w:eastAsia="宋体" w:hint="default"/>
                <w:sz w:val="18"/>
                <w:szCs w:val="18"/>
              </w:rPr>
              <w:t> </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3"/>
              <w:jc w:val="right"/>
              <w:rPr>
                <w:rFonts w:ascii="Arial" w:hAnsi="Arial" w:cs="Arial" w:eastAsia="Arial" w:hint="default"/>
                <w:sz w:val="18"/>
                <w:szCs w:val="18"/>
              </w:rPr>
            </w:pPr>
            <w:r>
              <w:rPr>
                <w:rFonts w:ascii="Arial"/>
                <w:w w:val="101"/>
                <w:sz w:val="18"/>
              </w:rPr>
              <w:t>-</w:t>
            </w:r>
            <w:r>
              <w:rPr>
                <w:rFonts w:ascii="Arial"/>
                <w:sz w:val="18"/>
              </w:rPr>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0"/>
              <w:jc w:val="right"/>
              <w:rPr>
                <w:rFonts w:ascii="Arial" w:hAnsi="Arial" w:cs="Arial" w:eastAsia="Arial" w:hint="default"/>
                <w:sz w:val="18"/>
                <w:szCs w:val="18"/>
              </w:rPr>
            </w:pPr>
            <w:r>
              <w:rPr>
                <w:rFonts w:ascii="Arial"/>
                <w:spacing w:val="-1"/>
                <w:sz w:val="18"/>
              </w:rPr>
              <w:t>150,000,000</w:t>
            </w:r>
            <w:r>
              <w:rPr>
                <w:rFonts w:ascii="Arial"/>
                <w:sz w:val="18"/>
              </w:rPr>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29"/>
              <w:jc w:val="right"/>
              <w:rPr>
                <w:rFonts w:ascii="Arial" w:hAnsi="Arial" w:cs="Arial" w:eastAsia="Arial" w:hint="default"/>
                <w:sz w:val="18"/>
                <w:szCs w:val="18"/>
              </w:rPr>
            </w:pPr>
            <w:r>
              <w:rPr>
                <w:rFonts w:ascii="Arial"/>
                <w:w w:val="101"/>
                <w:sz w:val="18"/>
              </w:rPr>
              <w:t>-</w:t>
            </w:r>
            <w:r>
              <w:rPr>
                <w:rFonts w:ascii="Arial"/>
                <w:sz w:val="18"/>
              </w:rPr>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8"/>
              <w:jc w:val="right"/>
              <w:rPr>
                <w:rFonts w:ascii="Arial" w:hAnsi="Arial" w:cs="Arial" w:eastAsia="Arial" w:hint="default"/>
                <w:sz w:val="18"/>
                <w:szCs w:val="18"/>
              </w:rPr>
            </w:pPr>
            <w:r>
              <w:rPr>
                <w:rFonts w:ascii="Arial"/>
                <w:spacing w:val="-1"/>
                <w:sz w:val="18"/>
              </w:rPr>
              <w:t>(773,250)</w:t>
            </w:r>
            <w:r>
              <w:rPr>
                <w:rFonts w:ascii="Arial"/>
                <w:sz w:val="18"/>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18"/>
                <w:szCs w:val="18"/>
              </w:rPr>
            </w:pPr>
            <w:r>
              <w:rPr>
                <w:rFonts w:ascii="Arial"/>
                <w:spacing w:val="-1"/>
                <w:sz w:val="18"/>
              </w:rPr>
              <w:t>149,226,750</w:t>
            </w:r>
            <w:r>
              <w:rPr>
                <w:rFonts w:ascii="Arial"/>
                <w:sz w:val="18"/>
              </w:rPr>
            </w:r>
          </w:p>
        </w:tc>
      </w:tr>
      <w:tr>
        <w:trPr>
          <w:trHeight w:val="245"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197" w:lineRule="exact"/>
              <w:ind w:left="200" w:right="0"/>
              <w:jc w:val="left"/>
              <w:rPr>
                <w:rFonts w:ascii="宋体" w:hAnsi="宋体" w:cs="宋体" w:eastAsia="宋体" w:hint="default"/>
                <w:sz w:val="18"/>
                <w:szCs w:val="18"/>
              </w:rPr>
            </w:pPr>
            <w:r>
              <w:rPr>
                <w:rFonts w:ascii="宋体" w:hAnsi="宋体" w:cs="宋体" w:eastAsia="宋体" w:hint="default"/>
                <w:spacing w:val="-3"/>
                <w:sz w:val="18"/>
                <w:szCs w:val="18"/>
              </w:rPr>
              <w:t>电信普遍服务项目建设补助</w:t>
            </w:r>
            <w:r>
              <w:rPr>
                <w:rFonts w:ascii="宋体" w:hAnsi="宋体" w:cs="宋体" w:eastAsia="宋体" w:hint="default"/>
                <w:sz w:val="18"/>
                <w:szCs w:val="18"/>
              </w:rPr>
              <w:t> </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0"/>
              <w:jc w:val="right"/>
              <w:rPr>
                <w:rFonts w:ascii="Arial" w:hAnsi="Arial" w:cs="Arial" w:eastAsia="Arial" w:hint="default"/>
                <w:sz w:val="18"/>
                <w:szCs w:val="18"/>
              </w:rPr>
            </w:pPr>
            <w:r>
              <w:rPr>
                <w:rFonts w:ascii="Arial"/>
                <w:spacing w:val="-2"/>
                <w:sz w:val="18"/>
              </w:rPr>
              <w:t>1,210,134,061</w:t>
            </w:r>
            <w:r>
              <w:rPr>
                <w:rFonts w:ascii="Arial"/>
                <w:sz w:val="18"/>
              </w:rPr>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0"/>
              <w:jc w:val="right"/>
              <w:rPr>
                <w:rFonts w:ascii="Arial" w:hAnsi="Arial" w:cs="Arial" w:eastAsia="Arial" w:hint="default"/>
                <w:sz w:val="18"/>
                <w:szCs w:val="18"/>
              </w:rPr>
            </w:pPr>
            <w:r>
              <w:rPr>
                <w:rFonts w:ascii="Arial"/>
                <w:spacing w:val="-1"/>
                <w:sz w:val="18"/>
              </w:rPr>
              <w:t>463,313,493</w:t>
            </w:r>
            <w:r>
              <w:rPr>
                <w:rFonts w:ascii="Arial"/>
                <w:sz w:val="18"/>
              </w:rPr>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10"/>
              <w:jc w:val="right"/>
              <w:rPr>
                <w:rFonts w:ascii="Arial" w:hAnsi="Arial" w:cs="Arial" w:eastAsia="Arial" w:hint="default"/>
                <w:sz w:val="18"/>
                <w:szCs w:val="18"/>
              </w:rPr>
            </w:pPr>
            <w:r>
              <w:rPr>
                <w:rFonts w:ascii="Arial"/>
                <w:w w:val="101"/>
                <w:sz w:val="18"/>
              </w:rPr>
              <w:t>-</w:t>
            </w:r>
            <w:r>
              <w:rPr>
                <w:rFonts w:ascii="Arial"/>
                <w:sz w:val="18"/>
              </w:rPr>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2"/>
              <w:jc w:val="right"/>
              <w:rPr>
                <w:rFonts w:ascii="Arial" w:hAnsi="Arial" w:cs="Arial" w:eastAsia="Arial" w:hint="default"/>
                <w:sz w:val="18"/>
                <w:szCs w:val="18"/>
              </w:rPr>
            </w:pPr>
            <w:r>
              <w:rPr>
                <w:rFonts w:ascii="Arial"/>
                <w:spacing w:val="-2"/>
                <w:sz w:val="18"/>
              </w:rPr>
              <w:t>(115,472,308)</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
              <w:jc w:val="right"/>
              <w:rPr>
                <w:rFonts w:ascii="Arial" w:hAnsi="Arial" w:cs="Arial" w:eastAsia="Arial" w:hint="default"/>
                <w:sz w:val="18"/>
                <w:szCs w:val="18"/>
              </w:rPr>
            </w:pPr>
            <w:r>
              <w:rPr>
                <w:rFonts w:ascii="Arial"/>
                <w:spacing w:val="-2"/>
                <w:sz w:val="18"/>
              </w:rPr>
              <w:t>1,557,975,246</w:t>
            </w:r>
            <w:r>
              <w:rPr>
                <w:rFonts w:ascii="Arial"/>
                <w:sz w:val="18"/>
              </w:rPr>
            </w:r>
          </w:p>
        </w:tc>
      </w:tr>
      <w:tr>
        <w:trPr>
          <w:trHeight w:val="254"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06" w:lineRule="exact"/>
              <w:ind w:left="214" w:right="0"/>
              <w:jc w:val="left"/>
              <w:rPr>
                <w:rFonts w:ascii="宋体" w:hAnsi="宋体" w:cs="宋体" w:eastAsia="宋体" w:hint="default"/>
                <w:sz w:val="18"/>
                <w:szCs w:val="18"/>
              </w:rPr>
            </w:pPr>
            <w:r>
              <w:rPr>
                <w:rFonts w:ascii="宋体" w:hAnsi="宋体" w:cs="宋体" w:eastAsia="宋体" w:hint="default"/>
                <w:spacing w:val="-3"/>
                <w:sz w:val="18"/>
                <w:szCs w:val="18"/>
              </w:rPr>
              <w:t>骨干直联点项目政府补贴</w:t>
            </w:r>
            <w:r>
              <w:rPr>
                <w:rFonts w:ascii="宋体" w:hAnsi="宋体" w:cs="宋体" w:eastAsia="宋体" w:hint="default"/>
                <w:sz w:val="18"/>
                <w:szCs w:val="18"/>
              </w:rPr>
              <w:t> </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0"/>
              <w:jc w:val="right"/>
              <w:rPr>
                <w:rFonts w:ascii="Arial" w:hAnsi="Arial" w:cs="Arial" w:eastAsia="Arial" w:hint="default"/>
                <w:sz w:val="18"/>
                <w:szCs w:val="18"/>
              </w:rPr>
            </w:pPr>
            <w:r>
              <w:rPr>
                <w:rFonts w:ascii="Arial"/>
                <w:spacing w:val="-1"/>
                <w:sz w:val="18"/>
              </w:rPr>
              <w:t>150,830,355</w:t>
            </w:r>
            <w:r>
              <w:rPr>
                <w:rFonts w:ascii="Arial"/>
                <w:sz w:val="18"/>
              </w:rPr>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3"/>
              <w:jc w:val="right"/>
              <w:rPr>
                <w:rFonts w:ascii="Arial" w:hAnsi="Arial" w:cs="Arial" w:eastAsia="Arial" w:hint="default"/>
                <w:sz w:val="18"/>
                <w:szCs w:val="18"/>
              </w:rPr>
            </w:pPr>
            <w:r>
              <w:rPr>
                <w:rFonts w:ascii="Arial"/>
                <w:w w:val="101"/>
                <w:sz w:val="18"/>
              </w:rPr>
              <w:t>-</w:t>
            </w:r>
            <w:r>
              <w:rPr>
                <w:rFonts w:ascii="Arial"/>
                <w:sz w:val="18"/>
              </w:rPr>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10"/>
              <w:jc w:val="right"/>
              <w:rPr>
                <w:rFonts w:ascii="Arial" w:hAnsi="Arial" w:cs="Arial" w:eastAsia="Arial" w:hint="default"/>
                <w:sz w:val="18"/>
                <w:szCs w:val="18"/>
              </w:rPr>
            </w:pPr>
            <w:r>
              <w:rPr>
                <w:rFonts w:ascii="Arial"/>
                <w:w w:val="101"/>
                <w:sz w:val="18"/>
              </w:rPr>
              <w:t>-</w:t>
            </w:r>
            <w:r>
              <w:rPr>
                <w:rFonts w:ascii="Arial"/>
                <w:sz w:val="18"/>
              </w:rPr>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8"/>
              <w:jc w:val="right"/>
              <w:rPr>
                <w:rFonts w:ascii="Arial" w:hAnsi="Arial" w:cs="Arial" w:eastAsia="Arial" w:hint="default"/>
                <w:sz w:val="18"/>
                <w:szCs w:val="18"/>
              </w:rPr>
            </w:pPr>
            <w:r>
              <w:rPr>
                <w:rFonts w:ascii="Arial"/>
                <w:spacing w:val="-2"/>
                <w:sz w:val="18"/>
              </w:rPr>
              <w:t>(26,558,992)</w:t>
            </w:r>
            <w:r>
              <w:rPr>
                <w:rFonts w:ascii="Arial"/>
                <w:sz w:val="18"/>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0"/>
              <w:jc w:val="right"/>
              <w:rPr>
                <w:rFonts w:ascii="Arial" w:hAnsi="Arial" w:cs="Arial" w:eastAsia="Arial" w:hint="default"/>
                <w:sz w:val="18"/>
                <w:szCs w:val="18"/>
              </w:rPr>
            </w:pPr>
            <w:r>
              <w:rPr>
                <w:rFonts w:ascii="Arial"/>
                <w:spacing w:val="-1"/>
                <w:sz w:val="18"/>
              </w:rPr>
              <w:t>124,271,363</w:t>
            </w:r>
            <w:r>
              <w:rPr>
                <w:rFonts w:ascii="Arial"/>
                <w:sz w:val="18"/>
              </w:rPr>
            </w:r>
          </w:p>
        </w:tc>
      </w:tr>
      <w:tr>
        <w:trPr>
          <w:trHeight w:val="245"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06" w:lineRule="exact"/>
              <w:ind w:left="214" w:right="0"/>
              <w:jc w:val="left"/>
              <w:rPr>
                <w:rFonts w:ascii="宋体" w:hAnsi="宋体" w:cs="宋体" w:eastAsia="宋体" w:hint="default"/>
                <w:sz w:val="18"/>
                <w:szCs w:val="18"/>
              </w:rPr>
            </w:pPr>
            <w:r>
              <w:rPr>
                <w:rFonts w:ascii="宋体" w:hAnsi="宋体" w:cs="宋体" w:eastAsia="宋体" w:hint="default"/>
                <w:spacing w:val="-3"/>
                <w:sz w:val="18"/>
                <w:szCs w:val="18"/>
              </w:rPr>
              <w:t>下一代互联网试商用专项网络改造工程</w:t>
            </w:r>
            <w:r>
              <w:rPr>
                <w:rFonts w:ascii="宋体" w:hAnsi="宋体" w:cs="宋体" w:eastAsia="宋体" w:hint="default"/>
                <w:sz w:val="18"/>
                <w:szCs w:val="18"/>
              </w:rPr>
              <w:t> </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2"/>
              <w:jc w:val="right"/>
              <w:rPr>
                <w:rFonts w:ascii="Arial" w:hAnsi="Arial" w:cs="Arial" w:eastAsia="Arial" w:hint="default"/>
                <w:sz w:val="18"/>
                <w:szCs w:val="18"/>
              </w:rPr>
            </w:pPr>
            <w:r>
              <w:rPr>
                <w:rFonts w:ascii="Arial"/>
                <w:spacing w:val="-1"/>
                <w:sz w:val="18"/>
              </w:rPr>
              <w:t>89,050,726</w:t>
            </w:r>
            <w:r>
              <w:rPr>
                <w:rFonts w:ascii="Arial"/>
                <w:sz w:val="18"/>
              </w:rPr>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3"/>
              <w:jc w:val="right"/>
              <w:rPr>
                <w:rFonts w:ascii="Arial" w:hAnsi="Arial" w:cs="Arial" w:eastAsia="Arial" w:hint="default"/>
                <w:sz w:val="18"/>
                <w:szCs w:val="18"/>
              </w:rPr>
            </w:pPr>
            <w:r>
              <w:rPr>
                <w:rFonts w:ascii="Arial"/>
                <w:w w:val="101"/>
                <w:sz w:val="18"/>
              </w:rPr>
              <w:t>-</w:t>
            </w:r>
            <w:r>
              <w:rPr>
                <w:rFonts w:ascii="Arial"/>
                <w:sz w:val="18"/>
              </w:rPr>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10"/>
              <w:jc w:val="right"/>
              <w:rPr>
                <w:rFonts w:ascii="Arial" w:hAnsi="Arial" w:cs="Arial" w:eastAsia="Arial" w:hint="default"/>
                <w:sz w:val="18"/>
                <w:szCs w:val="18"/>
              </w:rPr>
            </w:pPr>
            <w:r>
              <w:rPr>
                <w:rFonts w:ascii="Arial"/>
                <w:w w:val="101"/>
                <w:sz w:val="18"/>
              </w:rPr>
              <w:t>-</w:t>
            </w:r>
            <w:r>
              <w:rPr>
                <w:rFonts w:ascii="Arial"/>
                <w:sz w:val="18"/>
              </w:rPr>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8"/>
              <w:jc w:val="right"/>
              <w:rPr>
                <w:rFonts w:ascii="Arial" w:hAnsi="Arial" w:cs="Arial" w:eastAsia="Arial" w:hint="default"/>
                <w:sz w:val="18"/>
                <w:szCs w:val="18"/>
              </w:rPr>
            </w:pPr>
            <w:r>
              <w:rPr>
                <w:rFonts w:ascii="Arial"/>
                <w:spacing w:val="-2"/>
                <w:sz w:val="18"/>
              </w:rPr>
              <w:t>(19,050,726)</w:t>
            </w:r>
            <w:r>
              <w:rPr>
                <w:rFonts w:ascii="Arial"/>
                <w:sz w:val="18"/>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0"/>
              <w:jc w:val="right"/>
              <w:rPr>
                <w:rFonts w:ascii="Arial" w:hAnsi="Arial" w:cs="Arial" w:eastAsia="Arial" w:hint="default"/>
                <w:sz w:val="18"/>
                <w:szCs w:val="18"/>
              </w:rPr>
            </w:pPr>
            <w:r>
              <w:rPr>
                <w:rFonts w:ascii="Arial"/>
                <w:spacing w:val="-1"/>
                <w:sz w:val="18"/>
              </w:rPr>
              <w:t>70,000,000</w:t>
            </w:r>
            <w:r>
              <w:rPr>
                <w:rFonts w:ascii="Arial"/>
                <w:sz w:val="18"/>
              </w:rPr>
            </w:r>
          </w:p>
        </w:tc>
      </w:tr>
      <w:tr>
        <w:trPr>
          <w:trHeight w:val="235"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197" w:lineRule="exact"/>
              <w:ind w:left="200" w:right="0"/>
              <w:jc w:val="left"/>
              <w:rPr>
                <w:rFonts w:ascii="宋体" w:hAnsi="宋体" w:cs="宋体" w:eastAsia="宋体" w:hint="default"/>
                <w:sz w:val="18"/>
                <w:szCs w:val="18"/>
              </w:rPr>
            </w:pPr>
            <w:r>
              <w:rPr>
                <w:rFonts w:ascii="宋体" w:hAnsi="宋体" w:cs="宋体" w:eastAsia="宋体" w:hint="default"/>
                <w:spacing w:val="-3"/>
                <w:sz w:val="18"/>
                <w:szCs w:val="18"/>
              </w:rPr>
              <w:t>西咸新区沣西新城联通数据中心</w:t>
            </w:r>
            <w:r>
              <w:rPr>
                <w:rFonts w:ascii="宋体" w:hAnsi="宋体" w:cs="宋体" w:eastAsia="宋体" w:hint="default"/>
                <w:sz w:val="18"/>
                <w:szCs w:val="18"/>
              </w:rPr>
              <w:t> </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2"/>
              <w:jc w:val="right"/>
              <w:rPr>
                <w:rFonts w:ascii="Arial" w:hAnsi="Arial" w:cs="Arial" w:eastAsia="Arial" w:hint="default"/>
                <w:sz w:val="18"/>
                <w:szCs w:val="18"/>
              </w:rPr>
            </w:pPr>
            <w:r>
              <w:rPr>
                <w:rFonts w:ascii="Arial"/>
                <w:spacing w:val="-1"/>
                <w:sz w:val="18"/>
              </w:rPr>
              <w:t>38,917,820</w:t>
            </w:r>
            <w:r>
              <w:rPr>
                <w:rFonts w:ascii="Arial"/>
                <w:sz w:val="18"/>
              </w:rPr>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3"/>
              <w:jc w:val="right"/>
              <w:rPr>
                <w:rFonts w:ascii="Arial" w:hAnsi="Arial" w:cs="Arial" w:eastAsia="Arial" w:hint="default"/>
                <w:sz w:val="18"/>
                <w:szCs w:val="18"/>
              </w:rPr>
            </w:pPr>
            <w:r>
              <w:rPr>
                <w:rFonts w:ascii="Arial"/>
                <w:w w:val="101"/>
                <w:sz w:val="18"/>
              </w:rPr>
              <w:t>-</w:t>
            </w:r>
            <w:r>
              <w:rPr>
                <w:rFonts w:ascii="Arial"/>
                <w:sz w:val="18"/>
              </w:rPr>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10"/>
              <w:jc w:val="right"/>
              <w:rPr>
                <w:rFonts w:ascii="Arial" w:hAnsi="Arial" w:cs="Arial" w:eastAsia="Arial" w:hint="default"/>
                <w:sz w:val="18"/>
                <w:szCs w:val="18"/>
              </w:rPr>
            </w:pPr>
            <w:r>
              <w:rPr>
                <w:rFonts w:ascii="Arial"/>
                <w:w w:val="101"/>
                <w:sz w:val="18"/>
              </w:rPr>
              <w:t>-</w:t>
            </w:r>
            <w:r>
              <w:rPr>
                <w:rFonts w:ascii="Arial"/>
                <w:sz w:val="18"/>
              </w:rPr>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95"/>
              <w:jc w:val="right"/>
              <w:rPr>
                <w:rFonts w:ascii="Arial" w:hAnsi="Arial" w:cs="Arial" w:eastAsia="Arial" w:hint="default"/>
                <w:sz w:val="18"/>
                <w:szCs w:val="18"/>
              </w:rPr>
            </w:pPr>
            <w:r>
              <w:rPr>
                <w:rFonts w:ascii="Arial"/>
                <w:w w:val="101"/>
                <w:sz w:val="18"/>
              </w:rPr>
              <w:t>-</w:t>
            </w:r>
            <w:r>
              <w:rPr>
                <w:rFonts w:ascii="Arial"/>
                <w:sz w:val="18"/>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0"/>
              <w:jc w:val="right"/>
              <w:rPr>
                <w:rFonts w:ascii="Arial" w:hAnsi="Arial" w:cs="Arial" w:eastAsia="Arial" w:hint="default"/>
                <w:sz w:val="18"/>
                <w:szCs w:val="18"/>
              </w:rPr>
            </w:pPr>
            <w:r>
              <w:rPr>
                <w:rFonts w:ascii="Arial"/>
                <w:spacing w:val="-1"/>
                <w:sz w:val="18"/>
              </w:rPr>
              <w:t>38,917,820</w:t>
            </w:r>
            <w:r>
              <w:rPr>
                <w:rFonts w:ascii="Arial"/>
                <w:sz w:val="18"/>
              </w:rPr>
            </w:r>
          </w:p>
        </w:tc>
      </w:tr>
      <w:tr>
        <w:trPr>
          <w:trHeight w:val="230"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197" w:lineRule="exact"/>
              <w:ind w:left="200" w:right="0"/>
              <w:jc w:val="left"/>
              <w:rPr>
                <w:rFonts w:ascii="宋体" w:hAnsi="宋体" w:cs="宋体" w:eastAsia="宋体" w:hint="default"/>
                <w:sz w:val="18"/>
                <w:szCs w:val="18"/>
              </w:rPr>
            </w:pPr>
            <w:r>
              <w:rPr>
                <w:rFonts w:ascii="宋体" w:hAnsi="宋体" w:cs="宋体" w:eastAsia="宋体" w:hint="default"/>
                <w:sz w:val="18"/>
                <w:szCs w:val="18"/>
              </w:rPr>
              <w:t>海南省各市县政府补助 </w:t>
            </w:r>
            <w:r>
              <w:rPr>
                <w:rFonts w:ascii="宋体" w:hAnsi="宋体" w:cs="宋体" w:eastAsia="宋体" w:hint="default"/>
                <w:sz w:val="18"/>
                <w:szCs w:val="18"/>
              </w:rPr>
              <w:t>4G</w:t>
            </w:r>
            <w:r>
              <w:rPr>
                <w:rFonts w:ascii="宋体" w:hAnsi="宋体" w:cs="宋体" w:eastAsia="宋体" w:hint="default"/>
                <w:spacing w:val="-70"/>
                <w:sz w:val="18"/>
                <w:szCs w:val="18"/>
              </w:rPr>
              <w:t> </w:t>
            </w:r>
            <w:r>
              <w:rPr>
                <w:rFonts w:ascii="宋体" w:hAnsi="宋体" w:cs="宋体" w:eastAsia="宋体" w:hint="default"/>
                <w:spacing w:val="-4"/>
                <w:sz w:val="18"/>
                <w:szCs w:val="18"/>
              </w:rPr>
              <w:t>移动通信项目</w:t>
            </w:r>
            <w:r>
              <w:rPr>
                <w:rFonts w:ascii="宋体" w:hAnsi="宋体" w:cs="宋体" w:eastAsia="宋体" w:hint="default"/>
                <w:sz w:val="18"/>
                <w:szCs w:val="18"/>
              </w:rPr>
              <w:t> </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2"/>
              <w:jc w:val="right"/>
              <w:rPr>
                <w:rFonts w:ascii="Arial" w:hAnsi="Arial" w:cs="Arial" w:eastAsia="Arial" w:hint="default"/>
                <w:sz w:val="18"/>
                <w:szCs w:val="18"/>
              </w:rPr>
            </w:pPr>
            <w:r>
              <w:rPr>
                <w:rFonts w:ascii="Arial"/>
                <w:spacing w:val="-1"/>
                <w:sz w:val="18"/>
              </w:rPr>
              <w:t>24,681,181</w:t>
            </w:r>
            <w:r>
              <w:rPr>
                <w:rFonts w:ascii="Arial"/>
                <w:sz w:val="18"/>
              </w:rPr>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1"/>
              <w:jc w:val="right"/>
              <w:rPr>
                <w:rFonts w:ascii="Arial" w:hAnsi="Arial" w:cs="Arial" w:eastAsia="Arial" w:hint="default"/>
                <w:sz w:val="18"/>
                <w:szCs w:val="18"/>
              </w:rPr>
            </w:pPr>
            <w:r>
              <w:rPr>
                <w:rFonts w:ascii="Arial"/>
                <w:spacing w:val="-1"/>
                <w:sz w:val="18"/>
              </w:rPr>
              <w:t>1,327,097</w:t>
            </w:r>
            <w:r>
              <w:rPr>
                <w:rFonts w:ascii="Arial"/>
                <w:sz w:val="18"/>
              </w:rPr>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10"/>
              <w:jc w:val="right"/>
              <w:rPr>
                <w:rFonts w:ascii="Arial" w:hAnsi="Arial" w:cs="Arial" w:eastAsia="Arial" w:hint="default"/>
                <w:sz w:val="18"/>
                <w:szCs w:val="18"/>
              </w:rPr>
            </w:pPr>
            <w:r>
              <w:rPr>
                <w:rFonts w:ascii="Arial"/>
                <w:w w:val="101"/>
                <w:sz w:val="18"/>
              </w:rPr>
              <w:t>-</w:t>
            </w:r>
            <w:r>
              <w:rPr>
                <w:rFonts w:ascii="Arial"/>
                <w:sz w:val="18"/>
              </w:rPr>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8"/>
              <w:jc w:val="right"/>
              <w:rPr>
                <w:rFonts w:ascii="Arial" w:hAnsi="Arial" w:cs="Arial" w:eastAsia="Arial" w:hint="default"/>
                <w:sz w:val="18"/>
                <w:szCs w:val="18"/>
              </w:rPr>
            </w:pPr>
            <w:r>
              <w:rPr>
                <w:rFonts w:ascii="Arial"/>
                <w:spacing w:val="-2"/>
                <w:sz w:val="18"/>
              </w:rPr>
              <w:t>(3,532,442)</w:t>
            </w:r>
            <w:r>
              <w:rPr>
                <w:rFonts w:ascii="Arial"/>
                <w:sz w:val="18"/>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right"/>
              <w:rPr>
                <w:rFonts w:ascii="Arial" w:hAnsi="Arial" w:cs="Arial" w:eastAsia="Arial" w:hint="default"/>
                <w:sz w:val="18"/>
                <w:szCs w:val="18"/>
              </w:rPr>
            </w:pPr>
            <w:r>
              <w:rPr>
                <w:rFonts w:ascii="Arial"/>
                <w:spacing w:val="-1"/>
                <w:sz w:val="18"/>
              </w:rPr>
              <w:t>22,475,836</w:t>
            </w:r>
            <w:r>
              <w:rPr>
                <w:rFonts w:ascii="Arial"/>
                <w:sz w:val="18"/>
              </w:rPr>
            </w:r>
          </w:p>
        </w:tc>
      </w:tr>
      <w:tr>
        <w:trPr>
          <w:trHeight w:val="235"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197" w:lineRule="exact"/>
              <w:ind w:left="200" w:right="0"/>
              <w:jc w:val="left"/>
              <w:rPr>
                <w:rFonts w:ascii="宋体" w:hAnsi="宋体" w:cs="宋体" w:eastAsia="宋体" w:hint="default"/>
                <w:sz w:val="18"/>
                <w:szCs w:val="18"/>
              </w:rPr>
            </w:pPr>
            <w:r>
              <w:rPr>
                <w:rFonts w:ascii="宋体" w:hAnsi="宋体" w:cs="宋体" w:eastAsia="宋体" w:hint="default"/>
                <w:spacing w:val="-3"/>
                <w:sz w:val="18"/>
                <w:szCs w:val="18"/>
              </w:rPr>
              <w:t>河南省网络基础设施建设奖励</w:t>
            </w:r>
            <w:r>
              <w:rPr>
                <w:rFonts w:ascii="宋体" w:hAnsi="宋体" w:cs="宋体" w:eastAsia="宋体" w:hint="default"/>
                <w:sz w:val="18"/>
                <w:szCs w:val="18"/>
              </w:rPr>
              <w:t> </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2"/>
              <w:jc w:val="right"/>
              <w:rPr>
                <w:rFonts w:ascii="Arial" w:hAnsi="Arial" w:cs="Arial" w:eastAsia="Arial" w:hint="default"/>
                <w:sz w:val="18"/>
                <w:szCs w:val="18"/>
              </w:rPr>
            </w:pPr>
            <w:r>
              <w:rPr>
                <w:rFonts w:ascii="Arial"/>
                <w:spacing w:val="-1"/>
                <w:sz w:val="18"/>
              </w:rPr>
              <w:t>21,134,330</w:t>
            </w:r>
            <w:r>
              <w:rPr>
                <w:rFonts w:ascii="Arial"/>
                <w:sz w:val="18"/>
              </w:rPr>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1"/>
              <w:jc w:val="right"/>
              <w:rPr>
                <w:rFonts w:ascii="Arial" w:hAnsi="Arial" w:cs="Arial" w:eastAsia="Arial" w:hint="default"/>
                <w:sz w:val="18"/>
                <w:szCs w:val="18"/>
              </w:rPr>
            </w:pPr>
            <w:r>
              <w:rPr>
                <w:rFonts w:ascii="Arial"/>
                <w:spacing w:val="-1"/>
                <w:sz w:val="18"/>
              </w:rPr>
              <w:t>2,150,000</w:t>
            </w:r>
            <w:r>
              <w:rPr>
                <w:rFonts w:ascii="Arial"/>
                <w:sz w:val="18"/>
              </w:rPr>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10"/>
              <w:jc w:val="right"/>
              <w:rPr>
                <w:rFonts w:ascii="Arial" w:hAnsi="Arial" w:cs="Arial" w:eastAsia="Arial" w:hint="default"/>
                <w:sz w:val="18"/>
                <w:szCs w:val="18"/>
              </w:rPr>
            </w:pPr>
            <w:r>
              <w:rPr>
                <w:rFonts w:ascii="Arial"/>
                <w:w w:val="101"/>
                <w:sz w:val="18"/>
              </w:rPr>
              <w:t>-</w:t>
            </w:r>
            <w:r>
              <w:rPr>
                <w:rFonts w:ascii="Arial"/>
                <w:sz w:val="18"/>
              </w:rPr>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38"/>
              <w:jc w:val="right"/>
              <w:rPr>
                <w:rFonts w:ascii="Arial" w:hAnsi="Arial" w:cs="Arial" w:eastAsia="Arial" w:hint="default"/>
                <w:sz w:val="18"/>
                <w:szCs w:val="18"/>
              </w:rPr>
            </w:pPr>
            <w:r>
              <w:rPr>
                <w:rFonts w:ascii="Arial"/>
                <w:spacing w:val="-2"/>
                <w:sz w:val="18"/>
              </w:rPr>
              <w:t>(4,571,370)</w:t>
            </w:r>
            <w:r>
              <w:rPr>
                <w:rFonts w:ascii="Arial"/>
                <w:sz w:val="18"/>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0"/>
              <w:jc w:val="right"/>
              <w:rPr>
                <w:rFonts w:ascii="Arial" w:hAnsi="Arial" w:cs="Arial" w:eastAsia="Arial" w:hint="default"/>
                <w:sz w:val="18"/>
                <w:szCs w:val="18"/>
              </w:rPr>
            </w:pPr>
            <w:r>
              <w:rPr>
                <w:rFonts w:ascii="Arial"/>
                <w:spacing w:val="-1"/>
                <w:sz w:val="18"/>
              </w:rPr>
              <w:t>18,712,960</w:t>
            </w:r>
            <w:r>
              <w:rPr>
                <w:rFonts w:ascii="Arial"/>
                <w:sz w:val="18"/>
              </w:rPr>
            </w:r>
          </w:p>
        </w:tc>
      </w:tr>
      <w:tr>
        <w:trPr>
          <w:trHeight w:val="233"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197" w:lineRule="exact"/>
              <w:ind w:left="200" w:right="0"/>
              <w:jc w:val="left"/>
              <w:rPr>
                <w:rFonts w:ascii="宋体" w:hAnsi="宋体" w:cs="宋体" w:eastAsia="宋体" w:hint="default"/>
                <w:sz w:val="18"/>
                <w:szCs w:val="18"/>
              </w:rPr>
            </w:pPr>
            <w:r>
              <w:rPr>
                <w:rFonts w:ascii="宋体" w:hAnsi="宋体" w:cs="宋体" w:eastAsia="宋体" w:hint="default"/>
                <w:spacing w:val="-3"/>
                <w:sz w:val="18"/>
                <w:szCs w:val="18"/>
              </w:rPr>
              <w:t>四川省信息通信扶贫攻坚建设补贴</w:t>
            </w:r>
            <w:r>
              <w:rPr>
                <w:rFonts w:ascii="宋体" w:hAnsi="宋体" w:cs="宋体" w:eastAsia="宋体" w:hint="default"/>
                <w:sz w:val="18"/>
                <w:szCs w:val="18"/>
              </w:rPr>
              <w:t> </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2"/>
              <w:jc w:val="right"/>
              <w:rPr>
                <w:rFonts w:ascii="Arial" w:hAnsi="Arial" w:cs="Arial" w:eastAsia="Arial" w:hint="default"/>
                <w:sz w:val="18"/>
                <w:szCs w:val="18"/>
              </w:rPr>
            </w:pPr>
            <w:r>
              <w:rPr>
                <w:rFonts w:ascii="Arial"/>
                <w:spacing w:val="-1"/>
                <w:sz w:val="18"/>
              </w:rPr>
              <w:t>20,012,642</w:t>
            </w:r>
            <w:r>
              <w:rPr>
                <w:rFonts w:ascii="Arial"/>
                <w:sz w:val="18"/>
              </w:rPr>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1"/>
              <w:jc w:val="right"/>
              <w:rPr>
                <w:rFonts w:ascii="Arial" w:hAnsi="Arial" w:cs="Arial" w:eastAsia="Arial" w:hint="default"/>
                <w:sz w:val="18"/>
                <w:szCs w:val="18"/>
              </w:rPr>
            </w:pPr>
            <w:r>
              <w:rPr>
                <w:rFonts w:ascii="Arial"/>
                <w:spacing w:val="-1"/>
                <w:sz w:val="18"/>
              </w:rPr>
              <w:t>3,905,210</w:t>
            </w:r>
            <w:r>
              <w:rPr>
                <w:rFonts w:ascii="Arial"/>
                <w:sz w:val="18"/>
              </w:rPr>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10"/>
              <w:jc w:val="right"/>
              <w:rPr>
                <w:rFonts w:ascii="Arial" w:hAnsi="Arial" w:cs="Arial" w:eastAsia="Arial" w:hint="default"/>
                <w:sz w:val="18"/>
                <w:szCs w:val="18"/>
              </w:rPr>
            </w:pPr>
            <w:r>
              <w:rPr>
                <w:rFonts w:ascii="Arial"/>
                <w:w w:val="101"/>
                <w:sz w:val="18"/>
              </w:rPr>
              <w:t>-</w:t>
            </w:r>
            <w:r>
              <w:rPr>
                <w:rFonts w:ascii="Arial"/>
                <w:sz w:val="18"/>
              </w:rPr>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95"/>
              <w:jc w:val="right"/>
              <w:rPr>
                <w:rFonts w:ascii="Arial" w:hAnsi="Arial" w:cs="Arial" w:eastAsia="Arial" w:hint="default"/>
                <w:sz w:val="18"/>
                <w:szCs w:val="18"/>
              </w:rPr>
            </w:pPr>
            <w:r>
              <w:rPr>
                <w:rFonts w:ascii="Arial"/>
                <w:w w:val="101"/>
                <w:sz w:val="18"/>
              </w:rPr>
              <w:t>-</w:t>
            </w:r>
            <w:r>
              <w:rPr>
                <w:rFonts w:ascii="Arial"/>
                <w:sz w:val="18"/>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0"/>
              <w:jc w:val="right"/>
              <w:rPr>
                <w:rFonts w:ascii="Arial" w:hAnsi="Arial" w:cs="Arial" w:eastAsia="Arial" w:hint="default"/>
                <w:sz w:val="18"/>
                <w:szCs w:val="18"/>
              </w:rPr>
            </w:pPr>
            <w:r>
              <w:rPr>
                <w:rFonts w:ascii="Arial"/>
                <w:spacing w:val="-1"/>
                <w:sz w:val="18"/>
              </w:rPr>
              <w:t>23,917,852</w:t>
            </w:r>
            <w:r>
              <w:rPr>
                <w:rFonts w:ascii="Arial"/>
                <w:sz w:val="18"/>
              </w:rPr>
            </w:r>
          </w:p>
        </w:tc>
      </w:tr>
      <w:tr>
        <w:trPr>
          <w:trHeight w:val="245"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194" w:lineRule="exact"/>
              <w:ind w:left="200" w:right="0"/>
              <w:jc w:val="left"/>
              <w:rPr>
                <w:rFonts w:ascii="宋体" w:hAnsi="宋体" w:cs="宋体" w:eastAsia="宋体" w:hint="default"/>
                <w:sz w:val="18"/>
                <w:szCs w:val="18"/>
              </w:rPr>
            </w:pPr>
            <w:r>
              <w:rPr>
                <w:rFonts w:ascii="宋体" w:hAnsi="宋体" w:cs="宋体" w:eastAsia="宋体" w:hint="default"/>
                <w:spacing w:val="-3"/>
                <w:sz w:val="18"/>
                <w:szCs w:val="18"/>
              </w:rPr>
              <w:t>深圳市大众创业万众创新示范基地</w:t>
            </w:r>
            <w:r>
              <w:rPr>
                <w:rFonts w:ascii="宋体" w:hAnsi="宋体" w:cs="宋体" w:eastAsia="宋体" w:hint="default"/>
                <w:sz w:val="18"/>
                <w:szCs w:val="18"/>
              </w:rPr>
              <w:t> </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2"/>
              <w:jc w:val="right"/>
              <w:rPr>
                <w:rFonts w:ascii="Arial" w:hAnsi="Arial" w:cs="Arial" w:eastAsia="Arial" w:hint="default"/>
                <w:sz w:val="18"/>
                <w:szCs w:val="18"/>
              </w:rPr>
            </w:pPr>
            <w:r>
              <w:rPr>
                <w:rFonts w:ascii="Arial"/>
                <w:spacing w:val="-1"/>
                <w:sz w:val="18"/>
              </w:rPr>
              <w:t>15,820,613</w:t>
            </w:r>
            <w:r>
              <w:rPr>
                <w:rFonts w:ascii="Arial"/>
                <w:sz w:val="18"/>
              </w:rPr>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1"/>
              <w:jc w:val="right"/>
              <w:rPr>
                <w:rFonts w:ascii="Arial" w:hAnsi="Arial" w:cs="Arial" w:eastAsia="Arial" w:hint="default"/>
                <w:sz w:val="18"/>
                <w:szCs w:val="18"/>
              </w:rPr>
            </w:pPr>
            <w:r>
              <w:rPr>
                <w:rFonts w:ascii="Arial"/>
                <w:spacing w:val="-1"/>
                <w:sz w:val="18"/>
              </w:rPr>
              <w:t>49,917</w:t>
            </w:r>
            <w:r>
              <w:rPr>
                <w:rFonts w:ascii="Arial"/>
                <w:sz w:val="18"/>
              </w:rPr>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10"/>
              <w:jc w:val="right"/>
              <w:rPr>
                <w:rFonts w:ascii="Arial" w:hAnsi="Arial" w:cs="Arial" w:eastAsia="Arial" w:hint="default"/>
                <w:sz w:val="18"/>
                <w:szCs w:val="18"/>
              </w:rPr>
            </w:pPr>
            <w:r>
              <w:rPr>
                <w:rFonts w:ascii="Arial"/>
                <w:w w:val="101"/>
                <w:sz w:val="18"/>
              </w:rPr>
              <w:t>-</w:t>
            </w:r>
            <w:r>
              <w:rPr>
                <w:rFonts w:ascii="Arial"/>
                <w:sz w:val="18"/>
              </w:rPr>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8"/>
              <w:jc w:val="right"/>
              <w:rPr>
                <w:rFonts w:ascii="Arial" w:hAnsi="Arial" w:cs="Arial" w:eastAsia="Arial" w:hint="default"/>
                <w:sz w:val="18"/>
                <w:szCs w:val="18"/>
              </w:rPr>
            </w:pPr>
            <w:r>
              <w:rPr>
                <w:rFonts w:ascii="Arial"/>
                <w:spacing w:val="-1"/>
                <w:sz w:val="18"/>
              </w:rPr>
              <w:t>(205,860)</w:t>
            </w:r>
            <w:r>
              <w:rPr>
                <w:rFonts w:ascii="Arial"/>
                <w:sz w:val="18"/>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18"/>
                <w:szCs w:val="18"/>
              </w:rPr>
            </w:pPr>
            <w:r>
              <w:rPr>
                <w:rFonts w:ascii="Arial"/>
                <w:spacing w:val="-1"/>
                <w:sz w:val="18"/>
              </w:rPr>
              <w:t>15,664,670</w:t>
            </w:r>
            <w:r>
              <w:rPr>
                <w:rFonts w:ascii="Arial"/>
                <w:sz w:val="18"/>
              </w:rPr>
            </w:r>
          </w:p>
        </w:tc>
      </w:tr>
      <w:tr>
        <w:trPr>
          <w:trHeight w:val="254"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09" w:lineRule="exact"/>
              <w:ind w:left="200" w:right="0"/>
              <w:jc w:val="left"/>
              <w:rPr>
                <w:rFonts w:ascii="宋体" w:hAnsi="宋体" w:cs="宋体" w:eastAsia="宋体" w:hint="default"/>
                <w:sz w:val="18"/>
                <w:szCs w:val="18"/>
              </w:rPr>
            </w:pPr>
            <w:r>
              <w:rPr>
                <w:rFonts w:ascii="宋体" w:hAnsi="宋体" w:cs="宋体" w:eastAsia="宋体" w:hint="default"/>
                <w:spacing w:val="-3"/>
                <w:sz w:val="18"/>
                <w:szCs w:val="18"/>
              </w:rPr>
              <w:t>大数据赋能平台项目建设补贴</w:t>
            </w:r>
            <w:r>
              <w:rPr>
                <w:rFonts w:ascii="宋体" w:hAnsi="宋体" w:cs="宋体" w:eastAsia="宋体" w:hint="default"/>
                <w:sz w:val="18"/>
                <w:szCs w:val="18"/>
              </w:rPr>
              <w:t> </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2"/>
              <w:jc w:val="right"/>
              <w:rPr>
                <w:rFonts w:ascii="Arial" w:hAnsi="Arial" w:cs="Arial" w:eastAsia="Arial" w:hint="default"/>
                <w:sz w:val="18"/>
                <w:szCs w:val="18"/>
              </w:rPr>
            </w:pPr>
            <w:r>
              <w:rPr>
                <w:rFonts w:ascii="Arial"/>
                <w:spacing w:val="-1"/>
                <w:sz w:val="18"/>
              </w:rPr>
              <w:t>20,000,000</w:t>
            </w:r>
            <w:r>
              <w:rPr>
                <w:rFonts w:ascii="Arial"/>
                <w:sz w:val="18"/>
              </w:rPr>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3"/>
              <w:jc w:val="right"/>
              <w:rPr>
                <w:rFonts w:ascii="Arial" w:hAnsi="Arial" w:cs="Arial" w:eastAsia="Arial" w:hint="default"/>
                <w:sz w:val="18"/>
                <w:szCs w:val="18"/>
              </w:rPr>
            </w:pPr>
            <w:r>
              <w:rPr>
                <w:rFonts w:ascii="Arial"/>
                <w:w w:val="101"/>
                <w:sz w:val="18"/>
              </w:rPr>
              <w:t>-</w:t>
            </w:r>
            <w:r>
              <w:rPr>
                <w:rFonts w:ascii="Arial"/>
                <w:sz w:val="18"/>
              </w:rPr>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0"/>
              <w:jc w:val="right"/>
              <w:rPr>
                <w:rFonts w:ascii="Arial" w:hAnsi="Arial" w:cs="Arial" w:eastAsia="Arial" w:hint="default"/>
                <w:sz w:val="18"/>
                <w:szCs w:val="18"/>
              </w:rPr>
            </w:pPr>
            <w:r>
              <w:rPr>
                <w:rFonts w:ascii="Arial"/>
                <w:w w:val="101"/>
                <w:sz w:val="18"/>
              </w:rPr>
              <w:t>-</w:t>
            </w:r>
            <w:r>
              <w:rPr>
                <w:rFonts w:ascii="Arial"/>
                <w:sz w:val="18"/>
              </w:rPr>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8"/>
              <w:jc w:val="right"/>
              <w:rPr>
                <w:rFonts w:ascii="Arial" w:hAnsi="Arial" w:cs="Arial" w:eastAsia="Arial" w:hint="default"/>
                <w:sz w:val="18"/>
                <w:szCs w:val="18"/>
              </w:rPr>
            </w:pPr>
            <w:r>
              <w:rPr>
                <w:rFonts w:ascii="Arial"/>
                <w:spacing w:val="-2"/>
                <w:sz w:val="18"/>
              </w:rPr>
              <w:t>(2,100,664)</w:t>
            </w:r>
            <w:r>
              <w:rPr>
                <w:rFonts w:ascii="Arial"/>
                <w:sz w:val="18"/>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0"/>
              <w:jc w:val="right"/>
              <w:rPr>
                <w:rFonts w:ascii="Arial" w:hAnsi="Arial" w:cs="Arial" w:eastAsia="Arial" w:hint="default"/>
                <w:sz w:val="18"/>
                <w:szCs w:val="18"/>
              </w:rPr>
            </w:pPr>
            <w:r>
              <w:rPr>
                <w:rFonts w:ascii="Arial"/>
                <w:spacing w:val="-1"/>
                <w:sz w:val="18"/>
              </w:rPr>
              <w:t>17,899,336</w:t>
            </w:r>
            <w:r>
              <w:rPr>
                <w:rFonts w:ascii="Arial"/>
                <w:sz w:val="18"/>
              </w:rPr>
            </w:r>
          </w:p>
        </w:tc>
      </w:tr>
      <w:tr>
        <w:trPr>
          <w:trHeight w:val="245"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09" w:lineRule="exact"/>
              <w:ind w:left="200" w:right="0"/>
              <w:jc w:val="left"/>
              <w:rPr>
                <w:rFonts w:ascii="宋体" w:hAnsi="宋体" w:cs="宋体" w:eastAsia="宋体" w:hint="default"/>
                <w:sz w:val="18"/>
                <w:szCs w:val="18"/>
              </w:rPr>
            </w:pPr>
            <w:r>
              <w:rPr>
                <w:rFonts w:ascii="宋体" w:hAnsi="宋体" w:cs="宋体" w:eastAsia="宋体" w:hint="default"/>
                <w:spacing w:val="-3"/>
                <w:sz w:val="18"/>
                <w:szCs w:val="18"/>
              </w:rPr>
              <w:t>中国联通广东光纤宽带网络电商化系统</w:t>
            </w:r>
            <w:r>
              <w:rPr>
                <w:rFonts w:ascii="宋体" w:hAnsi="宋体" w:cs="宋体" w:eastAsia="宋体" w:hint="default"/>
                <w:sz w:val="18"/>
                <w:szCs w:val="18"/>
              </w:rPr>
              <w:t> </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42"/>
              <w:jc w:val="right"/>
              <w:rPr>
                <w:rFonts w:ascii="Arial" w:hAnsi="Arial" w:cs="Arial" w:eastAsia="Arial" w:hint="default"/>
                <w:sz w:val="18"/>
                <w:szCs w:val="18"/>
              </w:rPr>
            </w:pPr>
            <w:r>
              <w:rPr>
                <w:rFonts w:ascii="Arial"/>
                <w:spacing w:val="-1"/>
                <w:sz w:val="18"/>
              </w:rPr>
              <w:t>15,000,000</w:t>
            </w:r>
            <w:r>
              <w:rPr>
                <w:rFonts w:ascii="Arial"/>
                <w:sz w:val="18"/>
              </w:rPr>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43"/>
              <w:jc w:val="right"/>
              <w:rPr>
                <w:rFonts w:ascii="Arial" w:hAnsi="Arial" w:cs="Arial" w:eastAsia="Arial" w:hint="default"/>
                <w:sz w:val="18"/>
                <w:szCs w:val="18"/>
              </w:rPr>
            </w:pPr>
            <w:r>
              <w:rPr>
                <w:rFonts w:ascii="Arial"/>
                <w:w w:val="101"/>
                <w:sz w:val="18"/>
              </w:rPr>
              <w:t>-</w:t>
            </w:r>
            <w:r>
              <w:rPr>
                <w:rFonts w:ascii="Arial"/>
                <w:sz w:val="18"/>
              </w:rPr>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0"/>
              <w:jc w:val="right"/>
              <w:rPr>
                <w:rFonts w:ascii="Arial" w:hAnsi="Arial" w:cs="Arial" w:eastAsia="Arial" w:hint="default"/>
                <w:sz w:val="18"/>
                <w:szCs w:val="18"/>
              </w:rPr>
            </w:pPr>
            <w:r>
              <w:rPr>
                <w:rFonts w:ascii="Arial"/>
                <w:w w:val="101"/>
                <w:sz w:val="18"/>
              </w:rPr>
              <w:t>-</w:t>
            </w:r>
            <w:r>
              <w:rPr>
                <w:rFonts w:ascii="Arial"/>
                <w:sz w:val="18"/>
              </w:rPr>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8"/>
              <w:jc w:val="right"/>
              <w:rPr>
                <w:rFonts w:ascii="Arial" w:hAnsi="Arial" w:cs="Arial" w:eastAsia="Arial" w:hint="default"/>
                <w:sz w:val="18"/>
                <w:szCs w:val="18"/>
              </w:rPr>
            </w:pPr>
            <w:r>
              <w:rPr>
                <w:rFonts w:ascii="Arial"/>
                <w:spacing w:val="-2"/>
                <w:sz w:val="18"/>
              </w:rPr>
              <w:t>(1,750,000)</w:t>
            </w:r>
            <w:r>
              <w:rPr>
                <w:rFonts w:ascii="Arial"/>
                <w:sz w:val="18"/>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0"/>
              <w:jc w:val="right"/>
              <w:rPr>
                <w:rFonts w:ascii="Arial" w:hAnsi="Arial" w:cs="Arial" w:eastAsia="Arial" w:hint="default"/>
                <w:sz w:val="18"/>
                <w:szCs w:val="18"/>
              </w:rPr>
            </w:pPr>
            <w:r>
              <w:rPr>
                <w:rFonts w:ascii="Arial"/>
                <w:spacing w:val="-1"/>
                <w:sz w:val="18"/>
              </w:rPr>
              <w:t>13,250,000</w:t>
            </w:r>
            <w:r>
              <w:rPr>
                <w:rFonts w:ascii="Arial"/>
                <w:sz w:val="18"/>
              </w:rPr>
            </w:r>
          </w:p>
        </w:tc>
      </w:tr>
      <w:tr>
        <w:trPr>
          <w:trHeight w:val="233"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194" w:lineRule="exact"/>
              <w:ind w:left="200" w:right="0"/>
              <w:jc w:val="left"/>
              <w:rPr>
                <w:rFonts w:ascii="宋体" w:hAnsi="宋体" w:cs="宋体" w:eastAsia="宋体" w:hint="default"/>
                <w:sz w:val="18"/>
                <w:szCs w:val="18"/>
              </w:rPr>
            </w:pPr>
            <w:r>
              <w:rPr>
                <w:rFonts w:ascii="宋体" w:hAnsi="宋体" w:cs="宋体" w:eastAsia="宋体" w:hint="default"/>
                <w:spacing w:val="-3"/>
                <w:sz w:val="18"/>
                <w:szCs w:val="18"/>
              </w:rPr>
              <w:t>数字阅读基地项目建设</w:t>
            </w:r>
            <w:r>
              <w:rPr>
                <w:rFonts w:ascii="宋体" w:hAnsi="宋体" w:cs="宋体" w:eastAsia="宋体" w:hint="default"/>
                <w:sz w:val="18"/>
                <w:szCs w:val="18"/>
              </w:rPr>
              <w:t> </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2"/>
              <w:jc w:val="right"/>
              <w:rPr>
                <w:rFonts w:ascii="Arial" w:hAnsi="Arial" w:cs="Arial" w:eastAsia="Arial" w:hint="default"/>
                <w:sz w:val="18"/>
                <w:szCs w:val="18"/>
              </w:rPr>
            </w:pPr>
            <w:r>
              <w:rPr>
                <w:rFonts w:ascii="Arial"/>
                <w:spacing w:val="-1"/>
                <w:sz w:val="18"/>
              </w:rPr>
              <w:t>12,083,336</w:t>
            </w:r>
            <w:r>
              <w:rPr>
                <w:rFonts w:ascii="Arial"/>
                <w:sz w:val="18"/>
              </w:rPr>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3"/>
              <w:jc w:val="right"/>
              <w:rPr>
                <w:rFonts w:ascii="Arial" w:hAnsi="Arial" w:cs="Arial" w:eastAsia="Arial" w:hint="default"/>
                <w:sz w:val="18"/>
                <w:szCs w:val="18"/>
              </w:rPr>
            </w:pPr>
            <w:r>
              <w:rPr>
                <w:rFonts w:ascii="Arial"/>
                <w:w w:val="101"/>
                <w:sz w:val="18"/>
              </w:rPr>
              <w:t>-</w:t>
            </w:r>
            <w:r>
              <w:rPr>
                <w:rFonts w:ascii="Arial"/>
                <w:sz w:val="18"/>
              </w:rPr>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10"/>
              <w:jc w:val="right"/>
              <w:rPr>
                <w:rFonts w:ascii="Arial" w:hAnsi="Arial" w:cs="Arial" w:eastAsia="Arial" w:hint="default"/>
                <w:sz w:val="18"/>
                <w:szCs w:val="18"/>
              </w:rPr>
            </w:pPr>
            <w:r>
              <w:rPr>
                <w:rFonts w:ascii="Arial"/>
                <w:w w:val="101"/>
                <w:sz w:val="18"/>
              </w:rPr>
              <w:t>-</w:t>
            </w:r>
            <w:r>
              <w:rPr>
                <w:rFonts w:ascii="Arial"/>
                <w:sz w:val="18"/>
              </w:rPr>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8"/>
              <w:jc w:val="right"/>
              <w:rPr>
                <w:rFonts w:ascii="Arial" w:hAnsi="Arial" w:cs="Arial" w:eastAsia="Arial" w:hint="default"/>
                <w:sz w:val="18"/>
                <w:szCs w:val="18"/>
              </w:rPr>
            </w:pPr>
            <w:r>
              <w:rPr>
                <w:rFonts w:ascii="Arial"/>
                <w:spacing w:val="-1"/>
                <w:sz w:val="18"/>
              </w:rPr>
              <w:t>(416,664)</w:t>
            </w:r>
            <w:r>
              <w:rPr>
                <w:rFonts w:ascii="Arial"/>
                <w:sz w:val="18"/>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18"/>
                <w:szCs w:val="18"/>
              </w:rPr>
            </w:pPr>
            <w:r>
              <w:rPr>
                <w:rFonts w:ascii="Arial"/>
                <w:spacing w:val="-1"/>
                <w:sz w:val="18"/>
              </w:rPr>
              <w:t>11,666,672</w:t>
            </w:r>
            <w:r>
              <w:rPr>
                <w:rFonts w:ascii="Arial"/>
                <w:sz w:val="18"/>
              </w:rPr>
            </w:r>
          </w:p>
        </w:tc>
      </w:tr>
      <w:tr>
        <w:trPr>
          <w:trHeight w:val="245"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197" w:lineRule="exact"/>
              <w:ind w:left="200" w:right="0"/>
              <w:jc w:val="left"/>
              <w:rPr>
                <w:rFonts w:ascii="宋体" w:hAnsi="宋体" w:cs="宋体" w:eastAsia="宋体" w:hint="default"/>
                <w:sz w:val="18"/>
                <w:szCs w:val="18"/>
              </w:rPr>
            </w:pPr>
            <w:r>
              <w:rPr>
                <w:rFonts w:ascii="宋体" w:hAnsi="宋体" w:cs="宋体" w:eastAsia="宋体" w:hint="default"/>
                <w:spacing w:val="-3"/>
                <w:sz w:val="18"/>
                <w:szCs w:val="18"/>
              </w:rPr>
              <w:t>中国联通贵州省内干线传输系统新建工程</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2"/>
              <w:jc w:val="right"/>
              <w:rPr>
                <w:rFonts w:ascii="Arial" w:hAnsi="Arial" w:cs="Arial" w:eastAsia="Arial" w:hint="default"/>
                <w:sz w:val="18"/>
                <w:szCs w:val="18"/>
              </w:rPr>
            </w:pPr>
            <w:r>
              <w:rPr>
                <w:rFonts w:ascii="Arial"/>
                <w:spacing w:val="-1"/>
                <w:sz w:val="18"/>
              </w:rPr>
              <w:t>11,000,000</w:t>
            </w:r>
            <w:r>
              <w:rPr>
                <w:rFonts w:ascii="Arial"/>
                <w:sz w:val="18"/>
              </w:rPr>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3"/>
              <w:jc w:val="right"/>
              <w:rPr>
                <w:rFonts w:ascii="Arial" w:hAnsi="Arial" w:cs="Arial" w:eastAsia="Arial" w:hint="default"/>
                <w:sz w:val="18"/>
                <w:szCs w:val="18"/>
              </w:rPr>
            </w:pPr>
            <w:r>
              <w:rPr>
                <w:rFonts w:ascii="Arial"/>
                <w:w w:val="101"/>
                <w:sz w:val="18"/>
              </w:rPr>
              <w:t>-</w:t>
            </w:r>
            <w:r>
              <w:rPr>
                <w:rFonts w:ascii="Arial"/>
                <w:sz w:val="18"/>
              </w:rPr>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10"/>
              <w:jc w:val="right"/>
              <w:rPr>
                <w:rFonts w:ascii="Arial" w:hAnsi="Arial" w:cs="Arial" w:eastAsia="Arial" w:hint="default"/>
                <w:sz w:val="18"/>
                <w:szCs w:val="18"/>
              </w:rPr>
            </w:pPr>
            <w:r>
              <w:rPr>
                <w:rFonts w:ascii="Arial"/>
                <w:w w:val="101"/>
                <w:sz w:val="18"/>
              </w:rPr>
              <w:t>-</w:t>
            </w:r>
            <w:r>
              <w:rPr>
                <w:rFonts w:ascii="Arial"/>
                <w:sz w:val="18"/>
              </w:rPr>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38"/>
              <w:jc w:val="right"/>
              <w:rPr>
                <w:rFonts w:ascii="Arial" w:hAnsi="Arial" w:cs="Arial" w:eastAsia="Arial" w:hint="default"/>
                <w:sz w:val="18"/>
                <w:szCs w:val="18"/>
              </w:rPr>
            </w:pPr>
            <w:r>
              <w:rPr>
                <w:rFonts w:ascii="Arial"/>
                <w:spacing w:val="-1"/>
                <w:sz w:val="18"/>
              </w:rPr>
              <w:t>(546,263)</w:t>
            </w:r>
            <w:r>
              <w:rPr>
                <w:rFonts w:ascii="Arial"/>
                <w:sz w:val="18"/>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0"/>
              <w:jc w:val="right"/>
              <w:rPr>
                <w:rFonts w:ascii="Arial" w:hAnsi="Arial" w:cs="Arial" w:eastAsia="Arial" w:hint="default"/>
                <w:sz w:val="18"/>
                <w:szCs w:val="18"/>
              </w:rPr>
            </w:pPr>
            <w:r>
              <w:rPr>
                <w:rFonts w:ascii="Arial"/>
                <w:spacing w:val="-1"/>
                <w:sz w:val="18"/>
              </w:rPr>
              <w:t>10,453,737</w:t>
            </w:r>
            <w:r>
              <w:rPr>
                <w:rFonts w:ascii="Arial"/>
                <w:sz w:val="18"/>
              </w:rPr>
            </w:r>
          </w:p>
        </w:tc>
      </w:tr>
      <w:tr>
        <w:trPr>
          <w:trHeight w:val="250"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06" w:lineRule="exact"/>
              <w:ind w:left="214" w:right="0"/>
              <w:jc w:val="left"/>
              <w:rPr>
                <w:rFonts w:ascii="宋体" w:hAnsi="宋体" w:cs="宋体" w:eastAsia="宋体" w:hint="default"/>
                <w:sz w:val="18"/>
                <w:szCs w:val="18"/>
              </w:rPr>
            </w:pPr>
            <w:r>
              <w:rPr>
                <w:rFonts w:ascii="宋体" w:hAnsi="宋体" w:cs="宋体" w:eastAsia="宋体" w:hint="default"/>
                <w:spacing w:val="-3"/>
                <w:sz w:val="18"/>
                <w:szCs w:val="18"/>
              </w:rPr>
              <w:t>其他</w:t>
            </w:r>
            <w:r>
              <w:rPr>
                <w:rFonts w:ascii="宋体" w:hAnsi="宋体" w:cs="宋体" w:eastAsia="宋体" w:hint="default"/>
                <w:sz w:val="18"/>
                <w:szCs w:val="18"/>
              </w:rPr>
              <w:t> </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0"/>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 </w:t>
            </w:r>
            <w:r>
              <w:rPr>
                <w:rFonts w:ascii="Arial"/>
                <w:spacing w:val="17"/>
                <w:sz w:val="18"/>
                <w:u w:val="single" w:color="000000"/>
              </w:rPr>
              <w:t> </w:t>
            </w:r>
            <w:r>
              <w:rPr>
                <w:rFonts w:ascii="Arial"/>
                <w:spacing w:val="-1"/>
                <w:sz w:val="18"/>
                <w:u w:val="single" w:color="000000"/>
              </w:rPr>
              <w:t>276,861,608</w:t>
            </w:r>
            <w:r>
              <w:rPr>
                <w:rFonts w:ascii="Arial"/>
                <w:spacing w:val="-1"/>
                <w:sz w:val="18"/>
              </w:rPr>
            </w:r>
            <w:r>
              <w:rPr>
                <w:rFonts w:ascii="Arial"/>
                <w:sz w:val="18"/>
              </w:rPr>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2"/>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 </w:t>
            </w:r>
            <w:r>
              <w:rPr>
                <w:rFonts w:ascii="Arial"/>
                <w:spacing w:val="-22"/>
                <w:sz w:val="18"/>
                <w:u w:val="single" w:color="000000"/>
              </w:rPr>
              <w:t> </w:t>
            </w:r>
            <w:r>
              <w:rPr>
                <w:rFonts w:ascii="Arial"/>
                <w:spacing w:val="-1"/>
                <w:sz w:val="18"/>
                <w:u w:val="single" w:color="000000"/>
              </w:rPr>
              <w:t>60,674,218</w:t>
            </w:r>
            <w:r>
              <w:rPr>
                <w:rFonts w:ascii="Arial"/>
                <w:spacing w:val="-1"/>
                <w:sz w:val="18"/>
              </w:rPr>
            </w:r>
            <w:r>
              <w:rPr>
                <w:rFonts w:ascii="Arial"/>
                <w:sz w:val="18"/>
              </w:rPr>
            </w:r>
          </w:p>
        </w:tc>
        <w:tc>
          <w:tcPr>
            <w:tcW w:w="1123" w:type="dxa"/>
            <w:tcBorders>
              <w:top w:val="nil" w:sz="6" w:space="0" w:color="auto"/>
              <w:left w:val="nil" w:sz="6" w:space="0" w:color="auto"/>
              <w:bottom w:val="nil" w:sz="6" w:space="0" w:color="auto"/>
              <w:right w:val="nil" w:sz="6" w:space="0" w:color="auto"/>
            </w:tcBorders>
          </w:tcPr>
          <w:p>
            <w:pPr>
              <w:pStyle w:val="TableParagraph"/>
              <w:tabs>
                <w:tab w:pos="940" w:val="left" w:leader="none"/>
                <w:tab w:pos="1060" w:val="left" w:leader="none"/>
              </w:tabs>
              <w:spacing w:line="240" w:lineRule="auto" w:before="26"/>
              <w:ind w:right="50"/>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t>-</w:t>
              <w:tab/>
            </w:r>
            <w:r>
              <w:rPr>
                <w:rFonts w:ascii="Arial"/>
                <w:sz w:val="18"/>
              </w:rPr>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8"/>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 </w:t>
            </w:r>
            <w:r>
              <w:rPr>
                <w:rFonts w:ascii="Arial"/>
                <w:spacing w:val="-7"/>
                <w:sz w:val="18"/>
                <w:u w:val="single" w:color="000000"/>
              </w:rPr>
              <w:t> </w:t>
            </w:r>
            <w:r>
              <w:rPr>
                <w:rFonts w:ascii="Arial"/>
                <w:spacing w:val="-2"/>
                <w:sz w:val="18"/>
                <w:u w:val="single" w:color="000000"/>
              </w:rPr>
              <w:t>(13,633,534)</w:t>
            </w:r>
            <w:r>
              <w:rPr>
                <w:rFonts w:ascii="Arial"/>
                <w:spacing w:val="-2"/>
                <w:sz w:val="18"/>
              </w:rPr>
            </w:r>
            <w:r>
              <w:rPr>
                <w:rFonts w:ascii="Arial"/>
                <w:sz w:val="18"/>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0"/>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  </w:t>
            </w:r>
            <w:r>
              <w:rPr>
                <w:rFonts w:ascii="Arial"/>
                <w:spacing w:val="-19"/>
                <w:sz w:val="18"/>
                <w:u w:val="single" w:color="000000"/>
              </w:rPr>
              <w:t> </w:t>
            </w:r>
            <w:r>
              <w:rPr>
                <w:rFonts w:ascii="Arial"/>
                <w:spacing w:val="-1"/>
                <w:sz w:val="18"/>
                <w:u w:val="single" w:color="000000"/>
              </w:rPr>
              <w:t>323,902,292</w:t>
            </w:r>
            <w:r>
              <w:rPr>
                <w:rFonts w:ascii="Arial"/>
                <w:spacing w:val="-1"/>
                <w:sz w:val="18"/>
              </w:rPr>
            </w:r>
            <w:r>
              <w:rPr>
                <w:rFonts w:ascii="Arial"/>
                <w:sz w:val="18"/>
              </w:rPr>
            </w:r>
          </w:p>
        </w:tc>
      </w:tr>
      <w:tr>
        <w:trPr>
          <w:trHeight w:val="238"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02" w:lineRule="exact"/>
              <w:ind w:right="1058"/>
              <w:jc w:val="right"/>
              <w:rPr>
                <w:rFonts w:ascii="宋体" w:hAnsi="宋体" w:cs="宋体" w:eastAsia="宋体" w:hint="default"/>
                <w:sz w:val="18"/>
                <w:szCs w:val="18"/>
              </w:rPr>
            </w:pPr>
            <w:r>
              <w:rPr>
                <w:rFonts w:ascii="宋体"/>
                <w:w w:val="101"/>
                <w:sz w:val="18"/>
              </w:rPr>
              <w:t> </w:t>
            </w:r>
            <w:r>
              <w:rPr>
                <w:rFonts w:ascii="宋体"/>
                <w:sz w:val="18"/>
              </w:rPr>
            </w:r>
          </w:p>
        </w:tc>
        <w:tc>
          <w:tcPr>
            <w:tcW w:w="1219" w:type="dxa"/>
            <w:tcBorders>
              <w:top w:val="nil" w:sz="6" w:space="0" w:color="auto"/>
              <w:left w:val="nil" w:sz="6" w:space="0" w:color="auto"/>
              <w:bottom w:val="nil" w:sz="6" w:space="0" w:color="auto"/>
              <w:right w:val="nil" w:sz="6" w:space="0" w:color="auto"/>
            </w:tcBorders>
          </w:tcPr>
          <w:p>
            <w:pPr/>
          </w:p>
        </w:tc>
        <w:tc>
          <w:tcPr>
            <w:tcW w:w="1094" w:type="dxa"/>
            <w:tcBorders>
              <w:top w:val="nil" w:sz="6" w:space="0" w:color="auto"/>
              <w:left w:val="nil" w:sz="6" w:space="0" w:color="auto"/>
              <w:bottom w:val="nil" w:sz="6" w:space="0" w:color="auto"/>
              <w:right w:val="nil" w:sz="6" w:space="0" w:color="auto"/>
            </w:tcBorders>
          </w:tcPr>
          <w:p>
            <w:pPr/>
          </w:p>
        </w:tc>
        <w:tc>
          <w:tcPr>
            <w:tcW w:w="1123"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r>
      <w:tr>
        <w:trPr>
          <w:trHeight w:val="267"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18" w:lineRule="exact"/>
              <w:ind w:left="21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19" w:type="dxa"/>
            <w:tcBorders>
              <w:top w:val="nil" w:sz="6" w:space="0" w:color="auto"/>
              <w:left w:val="nil" w:sz="6" w:space="0" w:color="auto"/>
              <w:bottom w:val="single" w:sz="17" w:space="0" w:color="000000"/>
              <w:right w:val="nil" w:sz="6" w:space="0" w:color="auto"/>
            </w:tcBorders>
          </w:tcPr>
          <w:p>
            <w:pPr>
              <w:pStyle w:val="TableParagraph"/>
              <w:spacing w:line="240" w:lineRule="auto" w:before="38"/>
              <w:ind w:right="40"/>
              <w:jc w:val="right"/>
              <w:rPr>
                <w:rFonts w:ascii="Arial" w:hAnsi="Arial" w:cs="Arial" w:eastAsia="Arial" w:hint="default"/>
                <w:sz w:val="18"/>
                <w:szCs w:val="18"/>
              </w:rPr>
            </w:pPr>
            <w:r>
              <w:rPr>
                <w:rFonts w:ascii="Arial"/>
                <w:spacing w:val="-2"/>
                <w:sz w:val="18"/>
              </w:rPr>
              <w:t>2,680,197,352</w:t>
            </w:r>
            <w:r>
              <w:rPr>
                <w:rFonts w:ascii="Arial"/>
                <w:sz w:val="18"/>
              </w:rPr>
            </w:r>
          </w:p>
        </w:tc>
        <w:tc>
          <w:tcPr>
            <w:tcW w:w="1094" w:type="dxa"/>
            <w:tcBorders>
              <w:top w:val="nil" w:sz="6" w:space="0" w:color="auto"/>
              <w:left w:val="nil" w:sz="6" w:space="0" w:color="auto"/>
              <w:bottom w:val="single" w:sz="17" w:space="0" w:color="000000"/>
              <w:right w:val="nil" w:sz="6" w:space="0" w:color="auto"/>
            </w:tcBorders>
          </w:tcPr>
          <w:p>
            <w:pPr>
              <w:pStyle w:val="TableParagraph"/>
              <w:spacing w:line="240" w:lineRule="auto" w:before="38"/>
              <w:ind w:right="40"/>
              <w:jc w:val="right"/>
              <w:rPr>
                <w:rFonts w:ascii="Arial" w:hAnsi="Arial" w:cs="Arial" w:eastAsia="Arial" w:hint="default"/>
                <w:sz w:val="18"/>
                <w:szCs w:val="18"/>
              </w:rPr>
            </w:pPr>
            <w:r>
              <w:rPr>
                <w:rFonts w:ascii="Arial"/>
                <w:spacing w:val="-1"/>
                <w:sz w:val="18"/>
              </w:rPr>
              <w:t>681,419,935</w:t>
            </w:r>
            <w:r>
              <w:rPr>
                <w:rFonts w:ascii="Arial"/>
                <w:sz w:val="18"/>
              </w:rPr>
            </w:r>
          </w:p>
        </w:tc>
        <w:tc>
          <w:tcPr>
            <w:tcW w:w="1123" w:type="dxa"/>
            <w:tcBorders>
              <w:top w:val="nil" w:sz="6" w:space="0" w:color="auto"/>
              <w:left w:val="nil" w:sz="6" w:space="0" w:color="auto"/>
              <w:bottom w:val="single" w:sz="17" w:space="0" w:color="000000"/>
              <w:right w:val="nil" w:sz="6" w:space="0" w:color="auto"/>
            </w:tcBorders>
          </w:tcPr>
          <w:p>
            <w:pPr>
              <w:pStyle w:val="TableParagraph"/>
              <w:spacing w:line="240" w:lineRule="auto" w:before="38"/>
              <w:ind w:right="52"/>
              <w:jc w:val="right"/>
              <w:rPr>
                <w:rFonts w:ascii="Arial" w:hAnsi="Arial" w:cs="Arial" w:eastAsia="Arial" w:hint="default"/>
                <w:sz w:val="18"/>
                <w:szCs w:val="18"/>
              </w:rPr>
            </w:pPr>
            <w:r>
              <w:rPr>
                <w:rFonts w:ascii="Arial"/>
                <w:spacing w:val="-2"/>
                <w:sz w:val="18"/>
              </w:rPr>
              <w:t>(84,074,238)</w:t>
            </w:r>
            <w:r>
              <w:rPr>
                <w:rFonts w:ascii="Arial"/>
                <w:sz w:val="18"/>
              </w:rPr>
            </w:r>
          </w:p>
        </w:tc>
        <w:tc>
          <w:tcPr>
            <w:tcW w:w="1219" w:type="dxa"/>
            <w:tcBorders>
              <w:top w:val="nil" w:sz="6" w:space="0" w:color="auto"/>
              <w:left w:val="nil" w:sz="6" w:space="0" w:color="auto"/>
              <w:bottom w:val="single" w:sz="17" w:space="0" w:color="000000"/>
              <w:right w:val="nil" w:sz="6" w:space="0" w:color="auto"/>
            </w:tcBorders>
          </w:tcPr>
          <w:p>
            <w:pPr>
              <w:pStyle w:val="TableParagraph"/>
              <w:spacing w:line="240" w:lineRule="auto" w:before="38"/>
              <w:ind w:right="37"/>
              <w:jc w:val="right"/>
              <w:rPr>
                <w:rFonts w:ascii="Arial" w:hAnsi="Arial" w:cs="Arial" w:eastAsia="Arial" w:hint="default"/>
                <w:sz w:val="18"/>
                <w:szCs w:val="18"/>
              </w:rPr>
            </w:pPr>
            <w:r>
              <w:rPr>
                <w:rFonts w:ascii="Arial"/>
                <w:spacing w:val="-2"/>
                <w:sz w:val="18"/>
              </w:rPr>
              <w:t>(188,612,073)</w:t>
            </w:r>
          </w:p>
        </w:tc>
        <w:tc>
          <w:tcPr>
            <w:tcW w:w="1201" w:type="dxa"/>
            <w:tcBorders>
              <w:top w:val="nil" w:sz="6" w:space="0" w:color="auto"/>
              <w:left w:val="nil" w:sz="6" w:space="0" w:color="auto"/>
              <w:bottom w:val="single" w:sz="17" w:space="0" w:color="000000"/>
              <w:right w:val="nil" w:sz="6" w:space="0" w:color="auto"/>
            </w:tcBorders>
          </w:tcPr>
          <w:p>
            <w:pPr>
              <w:pStyle w:val="TableParagraph"/>
              <w:spacing w:line="240" w:lineRule="auto" w:before="38"/>
              <w:ind w:right="0"/>
              <w:jc w:val="right"/>
              <w:rPr>
                <w:rFonts w:ascii="Arial" w:hAnsi="Arial" w:cs="Arial" w:eastAsia="Arial" w:hint="default"/>
                <w:sz w:val="18"/>
                <w:szCs w:val="18"/>
              </w:rPr>
            </w:pPr>
            <w:r>
              <w:rPr>
                <w:rFonts w:ascii="Arial"/>
                <w:spacing w:val="-2"/>
                <w:sz w:val="18"/>
              </w:rPr>
              <w:t>3,088,930,976</w:t>
            </w:r>
            <w:r>
              <w:rPr>
                <w:rFonts w:ascii="Arial"/>
                <w:sz w:val="18"/>
              </w:rPr>
            </w:r>
          </w:p>
        </w:tc>
      </w:tr>
    </w:tbl>
    <w:p>
      <w:pPr>
        <w:spacing w:after="0" w:line="240" w:lineRule="auto"/>
        <w:jc w:val="right"/>
        <w:rPr>
          <w:rFonts w:ascii="Arial" w:hAnsi="Arial" w:cs="Arial" w:eastAsia="Arial" w:hint="default"/>
          <w:sz w:val="18"/>
          <w:szCs w:val="18"/>
        </w:rPr>
        <w:sectPr>
          <w:headerReference w:type="default" r:id="rId186"/>
          <w:pgSz w:w="11910" w:h="16840"/>
          <w:pgMar w:header="1188" w:footer="502" w:top="3600" w:bottom="700" w:left="1020" w:right="1160"/>
        </w:sectPr>
      </w:pPr>
    </w:p>
    <w:p>
      <w:pPr>
        <w:spacing w:line="240" w:lineRule="auto" w:before="7"/>
        <w:rPr>
          <w:rFonts w:ascii="宋体" w:hAnsi="宋体" w:cs="宋体" w:eastAsia="宋体" w:hint="default"/>
          <w:sz w:val="16"/>
          <w:szCs w:val="16"/>
        </w:rPr>
      </w:pPr>
    </w:p>
    <w:p>
      <w:pPr>
        <w:pStyle w:val="BodyText"/>
        <w:spacing w:line="424" w:lineRule="auto" w:before="32"/>
        <w:ind w:left="112" w:right="7572"/>
        <w:jc w:val="left"/>
      </w:pPr>
      <w:r>
        <w:rPr>
          <w:rFonts w:ascii="Arial" w:hAnsi="Arial" w:cs="Arial" w:eastAsia="Arial" w:hint="default"/>
        </w:rPr>
        <w:t>30</w:t>
      </w:r>
      <w:r>
        <w:rPr/>
        <w:t>、递延收益（续）</w:t>
      </w:r>
      <w:r>
        <w:rPr>
          <w:spacing w:val="-104"/>
        </w:rPr>
        <w:t> </w:t>
      </w:r>
      <w:r>
        <w:rPr>
          <w:spacing w:val="-104"/>
        </w:rPr>
      </w:r>
      <w:r>
        <w:rPr>
          <w:rFonts w:ascii="Arial" w:hAnsi="Arial" w:cs="Arial" w:eastAsia="Arial" w:hint="default"/>
        </w:rPr>
        <w:t>(a)</w:t>
      </w:r>
      <w:r>
        <w:rPr>
          <w:rFonts w:ascii="Arial" w:hAnsi="Arial" w:cs="Arial" w:eastAsia="Arial" w:hint="default"/>
          <w:spacing w:val="53"/>
        </w:rPr>
        <w:t> </w:t>
      </w:r>
      <w:r>
        <w:rPr/>
        <w:t>政府补助（续）</w:t>
      </w:r>
    </w:p>
    <w:p>
      <w:pPr>
        <w:pStyle w:val="BodyText"/>
        <w:spacing w:line="240" w:lineRule="auto" w:before="49"/>
        <w:ind w:left="112" w:right="0"/>
        <w:jc w:val="left"/>
      </w:pPr>
      <w:r>
        <w:rPr>
          <w:rFonts w:ascii="Arial" w:hAnsi="Arial" w:cs="Arial" w:eastAsia="Arial" w:hint="default"/>
        </w:rPr>
        <w:t>(2)</w:t>
      </w:r>
      <w:r>
        <w:rPr>
          <w:rFonts w:ascii="Arial" w:hAnsi="Arial" w:cs="Arial" w:eastAsia="Arial" w:hint="default"/>
          <w:spacing w:val="51"/>
        </w:rPr>
        <w:t> </w:t>
      </w:r>
      <w:r>
        <w:rPr/>
        <w:t>与收益相关的政府补助</w:t>
      </w:r>
    </w:p>
    <w:p>
      <w:pPr>
        <w:spacing w:line="240" w:lineRule="auto" w:before="4"/>
        <w:rPr>
          <w:rFonts w:ascii="宋体" w:hAnsi="宋体" w:cs="宋体" w:eastAsia="宋体" w:hint="default"/>
          <w:sz w:val="22"/>
          <w:szCs w:val="22"/>
        </w:rPr>
      </w:pPr>
    </w:p>
    <w:tbl>
      <w:tblPr>
        <w:tblW w:w="0" w:type="auto"/>
        <w:jc w:val="left"/>
        <w:tblInd w:w="320" w:type="dxa"/>
        <w:tblLayout w:type="fixed"/>
        <w:tblCellMar>
          <w:top w:w="0" w:type="dxa"/>
          <w:left w:w="0" w:type="dxa"/>
          <w:bottom w:w="0" w:type="dxa"/>
          <w:right w:w="0" w:type="dxa"/>
        </w:tblCellMar>
        <w:tblLook w:val="01E0"/>
      </w:tblPr>
      <w:tblGrid>
        <w:gridCol w:w="3301"/>
        <w:gridCol w:w="1210"/>
        <w:gridCol w:w="1181"/>
        <w:gridCol w:w="1153"/>
        <w:gridCol w:w="1267"/>
        <w:gridCol w:w="1165"/>
      </w:tblGrid>
      <w:tr>
        <w:trPr>
          <w:trHeight w:val="450" w:hRule="exact"/>
        </w:trPr>
        <w:tc>
          <w:tcPr>
            <w:tcW w:w="330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200" w:right="0"/>
              <w:jc w:val="left"/>
              <w:rPr>
                <w:rFonts w:ascii="宋体" w:hAnsi="宋体" w:cs="宋体" w:eastAsia="宋体" w:hint="default"/>
                <w:sz w:val="18"/>
                <w:szCs w:val="18"/>
              </w:rPr>
            </w:pPr>
            <w:r>
              <w:rPr>
                <w:rFonts w:ascii="宋体" w:hAnsi="宋体" w:cs="宋体" w:eastAsia="宋体" w:hint="default"/>
                <w:sz w:val="18"/>
                <w:szCs w:val="18"/>
              </w:rPr>
              <w:t>补助项目</w:t>
            </w:r>
          </w:p>
        </w:tc>
        <w:tc>
          <w:tcPr>
            <w:tcW w:w="1210" w:type="dxa"/>
            <w:tcBorders>
              <w:top w:val="nil" w:sz="6" w:space="0" w:color="auto"/>
              <w:left w:val="nil" w:sz="6" w:space="0" w:color="auto"/>
              <w:bottom w:val="single" w:sz="4" w:space="0" w:color="000000"/>
              <w:right w:val="nil" w:sz="6" w:space="0" w:color="auto"/>
            </w:tcBorders>
          </w:tcPr>
          <w:p>
            <w:pPr>
              <w:pStyle w:val="TableParagraph"/>
              <w:spacing w:line="182" w:lineRule="exact"/>
              <w:ind w:left="14" w:right="0"/>
              <w:jc w:val="left"/>
              <w:rPr>
                <w:rFonts w:ascii="宋体" w:hAnsi="宋体" w:cs="宋体" w:eastAsia="宋体" w:hint="default"/>
                <w:sz w:val="18"/>
                <w:szCs w:val="18"/>
              </w:rPr>
            </w:pPr>
            <w:r>
              <w:rPr>
                <w:rFonts w:ascii="宋体" w:hAnsi="宋体" w:cs="宋体" w:eastAsia="宋体" w:hint="default"/>
                <w:sz w:val="18"/>
                <w:szCs w:val="18"/>
              </w:rPr>
              <w:t>递延收益</w:t>
            </w: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181" w:type="dxa"/>
            <w:tcBorders>
              <w:top w:val="nil" w:sz="6" w:space="0" w:color="auto"/>
              <w:left w:val="nil" w:sz="6" w:space="0" w:color="auto"/>
              <w:bottom w:val="single" w:sz="4" w:space="0" w:color="000000"/>
              <w:right w:val="nil" w:sz="6" w:space="0" w:color="auto"/>
            </w:tcBorders>
          </w:tcPr>
          <w:p>
            <w:pPr>
              <w:pStyle w:val="TableParagraph"/>
              <w:spacing w:line="182" w:lineRule="exact"/>
              <w:ind w:left="81" w:right="0"/>
              <w:jc w:val="left"/>
              <w:rPr>
                <w:rFonts w:ascii="宋体" w:hAnsi="宋体" w:cs="宋体" w:eastAsia="宋体" w:hint="default"/>
                <w:sz w:val="18"/>
                <w:szCs w:val="18"/>
              </w:rPr>
            </w:pPr>
            <w:r>
              <w:rPr>
                <w:rFonts w:ascii="宋体" w:hAnsi="宋体" w:cs="宋体" w:eastAsia="宋体" w:hint="default"/>
                <w:sz w:val="18"/>
                <w:szCs w:val="18"/>
              </w:rPr>
              <w:t>本年新增</w:t>
            </w:r>
          </w:p>
          <w:p>
            <w:pPr>
              <w:pStyle w:val="TableParagraph"/>
              <w:spacing w:line="240" w:lineRule="auto"/>
              <w:ind w:left="81" w:right="0"/>
              <w:jc w:val="left"/>
              <w:rPr>
                <w:rFonts w:ascii="宋体" w:hAnsi="宋体" w:cs="宋体" w:eastAsia="宋体" w:hint="default"/>
                <w:sz w:val="18"/>
                <w:szCs w:val="18"/>
              </w:rPr>
            </w:pPr>
            <w:r>
              <w:rPr>
                <w:rFonts w:ascii="宋体" w:hAnsi="宋体" w:cs="宋体" w:eastAsia="宋体" w:hint="default"/>
                <w:sz w:val="18"/>
                <w:szCs w:val="18"/>
              </w:rPr>
              <w:t>补助金额</w:t>
            </w:r>
          </w:p>
        </w:tc>
        <w:tc>
          <w:tcPr>
            <w:tcW w:w="1153" w:type="dxa"/>
            <w:tcBorders>
              <w:top w:val="nil" w:sz="6" w:space="0" w:color="auto"/>
              <w:left w:val="nil" w:sz="6" w:space="0" w:color="auto"/>
              <w:bottom w:val="single" w:sz="4" w:space="0" w:color="000000"/>
              <w:right w:val="nil" w:sz="6" w:space="0" w:color="auto"/>
            </w:tcBorders>
          </w:tcPr>
          <w:p>
            <w:pPr>
              <w:pStyle w:val="TableParagraph"/>
              <w:spacing w:line="182" w:lineRule="exact"/>
              <w:ind w:left="42" w:right="0"/>
              <w:jc w:val="left"/>
              <w:rPr>
                <w:rFonts w:ascii="宋体" w:hAnsi="宋体" w:cs="宋体" w:eastAsia="宋体" w:hint="default"/>
                <w:sz w:val="18"/>
                <w:szCs w:val="18"/>
              </w:rPr>
            </w:pPr>
            <w:r>
              <w:rPr>
                <w:rFonts w:ascii="宋体" w:hAnsi="宋体" w:cs="宋体" w:eastAsia="宋体" w:hint="default"/>
                <w:sz w:val="18"/>
                <w:szCs w:val="18"/>
              </w:rPr>
              <w:t>计入</w:t>
            </w:r>
          </w:p>
          <w:p>
            <w:pPr>
              <w:pStyle w:val="TableParagraph"/>
              <w:spacing w:line="240" w:lineRule="auto"/>
              <w:ind w:left="42" w:right="0"/>
              <w:jc w:val="left"/>
              <w:rPr>
                <w:rFonts w:ascii="宋体" w:hAnsi="宋体" w:cs="宋体" w:eastAsia="宋体" w:hint="default"/>
                <w:sz w:val="18"/>
                <w:szCs w:val="18"/>
              </w:rPr>
            </w:pPr>
            <w:r>
              <w:rPr>
                <w:rFonts w:ascii="宋体" w:hAnsi="宋体" w:cs="宋体" w:eastAsia="宋体" w:hint="default"/>
                <w:spacing w:val="-3"/>
                <w:sz w:val="18"/>
                <w:szCs w:val="18"/>
              </w:rPr>
              <w:t>营业外收入</w:t>
            </w:r>
            <w:r>
              <w:rPr>
                <w:rFonts w:ascii="宋体" w:hAnsi="宋体" w:cs="宋体" w:eastAsia="宋体" w:hint="default"/>
                <w:sz w:val="18"/>
                <w:szCs w:val="18"/>
              </w:rPr>
            </w:r>
          </w:p>
        </w:tc>
        <w:tc>
          <w:tcPr>
            <w:tcW w:w="1267" w:type="dxa"/>
            <w:tcBorders>
              <w:top w:val="nil" w:sz="6" w:space="0" w:color="auto"/>
              <w:left w:val="nil" w:sz="6" w:space="0" w:color="auto"/>
              <w:bottom w:val="single" w:sz="4" w:space="0" w:color="000000"/>
              <w:right w:val="nil" w:sz="6" w:space="0" w:color="auto"/>
            </w:tcBorders>
          </w:tcPr>
          <w:p>
            <w:pPr>
              <w:pStyle w:val="TableParagraph"/>
              <w:spacing w:line="182" w:lineRule="exact"/>
              <w:ind w:left="22" w:right="0"/>
              <w:jc w:val="left"/>
              <w:rPr>
                <w:rFonts w:ascii="宋体" w:hAnsi="宋体" w:cs="宋体" w:eastAsia="宋体" w:hint="default"/>
                <w:sz w:val="18"/>
                <w:szCs w:val="18"/>
              </w:rPr>
            </w:pPr>
            <w:r>
              <w:rPr>
                <w:rFonts w:ascii="宋体" w:hAnsi="宋体" w:cs="宋体" w:eastAsia="宋体" w:hint="default"/>
                <w:sz w:val="18"/>
                <w:szCs w:val="18"/>
              </w:rPr>
              <w:t>计入</w:t>
            </w: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165" w:type="dxa"/>
            <w:tcBorders>
              <w:top w:val="nil" w:sz="6" w:space="0" w:color="auto"/>
              <w:left w:val="nil" w:sz="6" w:space="0" w:color="auto"/>
              <w:bottom w:val="single" w:sz="4" w:space="0" w:color="000000"/>
              <w:right w:val="nil" w:sz="6" w:space="0" w:color="auto"/>
            </w:tcBorders>
          </w:tcPr>
          <w:p>
            <w:pPr>
              <w:pStyle w:val="TableParagraph"/>
              <w:spacing w:line="182" w:lineRule="exact"/>
              <w:ind w:left="31" w:right="0"/>
              <w:jc w:val="left"/>
              <w:rPr>
                <w:rFonts w:ascii="宋体" w:hAnsi="宋体" w:cs="宋体" w:eastAsia="宋体" w:hint="default"/>
                <w:sz w:val="18"/>
                <w:szCs w:val="18"/>
              </w:rPr>
            </w:pPr>
            <w:r>
              <w:rPr>
                <w:rFonts w:ascii="宋体" w:hAnsi="宋体" w:cs="宋体" w:eastAsia="宋体" w:hint="default"/>
                <w:sz w:val="18"/>
                <w:szCs w:val="18"/>
              </w:rPr>
              <w:t>递延收益</w:t>
            </w:r>
          </w:p>
          <w:p>
            <w:pPr>
              <w:pStyle w:val="TableParagraph"/>
              <w:spacing w:line="240" w:lineRule="auto"/>
              <w:ind w:left="31" w:right="0"/>
              <w:jc w:val="left"/>
              <w:rPr>
                <w:rFonts w:ascii="宋体" w:hAnsi="宋体" w:cs="宋体" w:eastAsia="宋体" w:hint="default"/>
                <w:sz w:val="18"/>
                <w:szCs w:val="18"/>
              </w:rPr>
            </w:pPr>
            <w:r>
              <w:rPr>
                <w:rFonts w:ascii="宋体" w:hAnsi="宋体" w:cs="宋体" w:eastAsia="宋体" w:hint="default"/>
                <w:sz w:val="18"/>
                <w:szCs w:val="18"/>
              </w:rPr>
              <w:t>年末余额</w:t>
            </w:r>
          </w:p>
        </w:tc>
      </w:tr>
      <w:tr>
        <w:trPr>
          <w:trHeight w:val="510" w:hRule="exact"/>
        </w:trPr>
        <w:tc>
          <w:tcPr>
            <w:tcW w:w="330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00" w:right="0"/>
              <w:jc w:val="left"/>
              <w:rPr>
                <w:rFonts w:ascii="宋体" w:hAnsi="宋体" w:cs="宋体" w:eastAsia="宋体" w:hint="default"/>
                <w:sz w:val="18"/>
                <w:szCs w:val="18"/>
              </w:rPr>
            </w:pPr>
            <w:r>
              <w:rPr>
                <w:rFonts w:ascii="宋体" w:hAnsi="宋体" w:cs="宋体" w:eastAsia="宋体" w:hint="default"/>
                <w:sz w:val="18"/>
                <w:szCs w:val="18"/>
              </w:rPr>
              <w:t>稳岗补贴</w:t>
            </w:r>
          </w:p>
        </w:tc>
        <w:tc>
          <w:tcPr>
            <w:tcW w:w="1210"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220" w:right="0"/>
              <w:jc w:val="left"/>
              <w:rPr>
                <w:rFonts w:ascii="Arial" w:hAnsi="Arial" w:cs="Arial" w:eastAsia="Arial" w:hint="default"/>
                <w:sz w:val="18"/>
                <w:szCs w:val="18"/>
              </w:rPr>
            </w:pPr>
            <w:r>
              <w:rPr>
                <w:rFonts w:ascii="Arial"/>
                <w:sz w:val="18"/>
              </w:rPr>
              <w:t>18,856,131</w:t>
            </w:r>
          </w:p>
        </w:tc>
        <w:tc>
          <w:tcPr>
            <w:tcW w:w="1181"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230" w:right="0"/>
              <w:jc w:val="left"/>
              <w:rPr>
                <w:rFonts w:ascii="Arial" w:hAnsi="Arial" w:cs="Arial" w:eastAsia="Arial" w:hint="default"/>
                <w:sz w:val="18"/>
                <w:szCs w:val="18"/>
              </w:rPr>
            </w:pPr>
            <w:r>
              <w:rPr>
                <w:rFonts w:ascii="Arial"/>
                <w:sz w:val="18"/>
              </w:rPr>
              <w:t>12,229,069</w:t>
            </w:r>
          </w:p>
        </w:tc>
        <w:tc>
          <w:tcPr>
            <w:tcW w:w="1153"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63"/>
              <w:jc w:val="right"/>
              <w:rPr>
                <w:rFonts w:ascii="Arial" w:hAnsi="Arial" w:cs="Arial" w:eastAsia="Arial" w:hint="default"/>
                <w:sz w:val="18"/>
                <w:szCs w:val="18"/>
              </w:rPr>
            </w:pPr>
            <w:r>
              <w:rPr>
                <w:rFonts w:ascii="Arial"/>
                <w:w w:val="101"/>
                <w:sz w:val="18"/>
              </w:rPr>
              <w:t>-</w:t>
            </w:r>
            <w:r>
              <w:rPr>
                <w:rFonts w:ascii="Arial"/>
                <w:sz w:val="18"/>
              </w:rPr>
            </w:r>
          </w:p>
        </w:tc>
        <w:tc>
          <w:tcPr>
            <w:tcW w:w="1267"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310" w:right="0"/>
              <w:jc w:val="left"/>
              <w:rPr>
                <w:rFonts w:ascii="Arial" w:hAnsi="Arial" w:cs="Arial" w:eastAsia="Arial" w:hint="default"/>
                <w:sz w:val="18"/>
                <w:szCs w:val="18"/>
              </w:rPr>
            </w:pPr>
            <w:r>
              <w:rPr>
                <w:rFonts w:ascii="Arial"/>
                <w:sz w:val="18"/>
              </w:rPr>
              <w:t>(8,150,129)</w:t>
            </w:r>
          </w:p>
        </w:tc>
        <w:tc>
          <w:tcPr>
            <w:tcW w:w="1165"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31"/>
              <w:jc w:val="right"/>
              <w:rPr>
                <w:rFonts w:ascii="Arial" w:hAnsi="Arial" w:cs="Arial" w:eastAsia="Arial" w:hint="default"/>
                <w:sz w:val="18"/>
                <w:szCs w:val="18"/>
              </w:rPr>
            </w:pPr>
            <w:r>
              <w:rPr>
                <w:rFonts w:ascii="Arial"/>
                <w:spacing w:val="-1"/>
                <w:sz w:val="18"/>
              </w:rPr>
              <w:t>22,935,071</w:t>
            </w:r>
            <w:r>
              <w:rPr>
                <w:rFonts w:ascii="Arial"/>
                <w:sz w:val="18"/>
              </w:rPr>
            </w:r>
          </w:p>
        </w:tc>
      </w:tr>
      <w:tr>
        <w:trPr>
          <w:trHeight w:val="466" w:hRule="exact"/>
        </w:trPr>
        <w:tc>
          <w:tcPr>
            <w:tcW w:w="3301" w:type="dxa"/>
            <w:tcBorders>
              <w:top w:val="nil" w:sz="6" w:space="0" w:color="auto"/>
              <w:left w:val="nil" w:sz="6" w:space="0" w:color="auto"/>
              <w:bottom w:val="nil" w:sz="6" w:space="0" w:color="auto"/>
              <w:right w:val="nil" w:sz="6" w:space="0" w:color="auto"/>
            </w:tcBorders>
          </w:tcPr>
          <w:p>
            <w:pPr>
              <w:pStyle w:val="TableParagraph"/>
              <w:spacing w:line="201" w:lineRule="exact"/>
              <w:ind w:left="200" w:right="0"/>
              <w:jc w:val="left"/>
              <w:rPr>
                <w:rFonts w:ascii="宋体" w:hAnsi="宋体" w:cs="宋体" w:eastAsia="宋体" w:hint="default"/>
                <w:sz w:val="18"/>
                <w:szCs w:val="18"/>
              </w:rPr>
            </w:pPr>
            <w:r>
              <w:rPr>
                <w:rFonts w:ascii="宋体" w:hAnsi="宋体" w:cs="宋体" w:eastAsia="宋体" w:hint="default"/>
                <w:spacing w:val="-2"/>
                <w:sz w:val="18"/>
                <w:szCs w:val="18"/>
              </w:rPr>
              <w:t>国家重大专项课题《</w:t>
            </w:r>
            <w:r>
              <w:rPr>
                <w:rFonts w:ascii="Arial" w:hAnsi="Arial" w:cs="Arial" w:eastAsia="Arial" w:hint="default"/>
                <w:spacing w:val="-2"/>
                <w:sz w:val="18"/>
                <w:szCs w:val="18"/>
              </w:rPr>
              <w:t>LTE </w:t>
            </w:r>
            <w:r>
              <w:rPr>
                <w:rFonts w:ascii="Arial" w:hAnsi="Arial" w:cs="Arial" w:eastAsia="Arial" w:hint="default"/>
                <w:spacing w:val="16"/>
                <w:sz w:val="18"/>
                <w:szCs w:val="18"/>
              </w:rPr>
              <w:t> </w:t>
            </w:r>
            <w:r>
              <w:rPr>
                <w:rFonts w:ascii="宋体" w:hAnsi="宋体" w:cs="宋体" w:eastAsia="宋体" w:hint="default"/>
                <w:sz w:val="18"/>
                <w:szCs w:val="18"/>
              </w:rPr>
              <w:t>网络接口</w:t>
            </w:r>
          </w:p>
          <w:p>
            <w:pPr>
              <w:pStyle w:val="TableParagraph"/>
              <w:spacing w:line="239" w:lineRule="exact"/>
              <w:ind w:left="200" w:right="0"/>
              <w:jc w:val="left"/>
              <w:rPr>
                <w:rFonts w:ascii="宋体" w:hAnsi="宋体" w:cs="宋体" w:eastAsia="宋体" w:hint="default"/>
                <w:sz w:val="18"/>
                <w:szCs w:val="18"/>
              </w:rPr>
            </w:pPr>
            <w:r>
              <w:rPr>
                <w:rFonts w:ascii="宋体" w:hAnsi="宋体" w:cs="宋体" w:eastAsia="宋体" w:hint="default"/>
                <w:sz w:val="18"/>
                <w:szCs w:val="18"/>
              </w:rPr>
              <w:t>（</w:t>
            </w:r>
            <w:r>
              <w:rPr>
                <w:rFonts w:ascii="Arial" w:hAnsi="Arial" w:cs="Arial" w:eastAsia="Arial" w:hint="default"/>
                <w:sz w:val="18"/>
                <w:szCs w:val="18"/>
              </w:rPr>
              <w:t>S1/X2</w:t>
            </w:r>
            <w:r>
              <w:rPr>
                <w:rFonts w:ascii="Arial" w:hAnsi="Arial" w:cs="Arial" w:eastAsia="Arial" w:hint="default"/>
                <w:spacing w:val="32"/>
                <w:sz w:val="18"/>
                <w:szCs w:val="18"/>
              </w:rPr>
              <w:t> </w:t>
            </w:r>
            <w:r>
              <w:rPr>
                <w:rFonts w:ascii="宋体" w:hAnsi="宋体" w:cs="宋体" w:eastAsia="宋体" w:hint="default"/>
                <w:spacing w:val="-3"/>
                <w:sz w:val="18"/>
                <w:szCs w:val="18"/>
              </w:rPr>
              <w:t>接口）一致性协议分析仪》</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21" w:right="0"/>
              <w:jc w:val="left"/>
              <w:rPr>
                <w:rFonts w:ascii="Arial" w:hAnsi="Arial" w:cs="Arial" w:eastAsia="Arial" w:hint="default"/>
                <w:sz w:val="18"/>
                <w:szCs w:val="18"/>
              </w:rPr>
            </w:pPr>
            <w:r>
              <w:rPr>
                <w:rFonts w:ascii="Arial"/>
                <w:sz w:val="18"/>
              </w:rPr>
              <w:t>1,620,000</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43"/>
              <w:jc w:val="right"/>
              <w:rPr>
                <w:rFonts w:ascii="Arial" w:hAnsi="Arial" w:cs="Arial" w:eastAsia="Arial" w:hint="default"/>
                <w:sz w:val="18"/>
                <w:szCs w:val="18"/>
              </w:rPr>
            </w:pPr>
            <w:r>
              <w:rPr>
                <w:rFonts w:ascii="Arial"/>
                <w:w w:val="101"/>
                <w:sz w:val="18"/>
              </w:rPr>
              <w:t>-</w:t>
            </w:r>
            <w:r>
              <w:rPr>
                <w:rFonts w:ascii="Arial"/>
                <w:sz w:val="18"/>
              </w:rPr>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58"/>
              <w:jc w:val="right"/>
              <w:rPr>
                <w:rFonts w:ascii="Arial" w:hAnsi="Arial" w:cs="Arial" w:eastAsia="Arial" w:hint="default"/>
                <w:sz w:val="18"/>
                <w:szCs w:val="18"/>
              </w:rPr>
            </w:pPr>
            <w:r>
              <w:rPr>
                <w:rFonts w:ascii="Arial"/>
                <w:w w:val="101"/>
                <w:sz w:val="18"/>
              </w:rPr>
              <w:t>-</w:t>
            </w:r>
            <w:r>
              <w:rPr>
                <w:rFonts w:ascii="Arial"/>
                <w:sz w:val="18"/>
              </w:rPr>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9" w:right="0"/>
              <w:jc w:val="left"/>
              <w:rPr>
                <w:rFonts w:ascii="Arial" w:hAnsi="Arial" w:cs="Arial" w:eastAsia="Arial" w:hint="default"/>
                <w:sz w:val="18"/>
                <w:szCs w:val="18"/>
              </w:rPr>
            </w:pPr>
            <w:r>
              <w:rPr>
                <w:rFonts w:ascii="Arial"/>
                <w:sz w:val="18"/>
              </w:rPr>
              <w:t>(736,300)</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31"/>
              <w:jc w:val="right"/>
              <w:rPr>
                <w:rFonts w:ascii="Arial" w:hAnsi="Arial" w:cs="Arial" w:eastAsia="Arial" w:hint="default"/>
                <w:sz w:val="18"/>
                <w:szCs w:val="18"/>
              </w:rPr>
            </w:pPr>
            <w:r>
              <w:rPr>
                <w:rFonts w:ascii="Arial"/>
                <w:spacing w:val="-1"/>
                <w:sz w:val="18"/>
              </w:rPr>
              <w:t>883,700</w:t>
            </w:r>
            <w:r>
              <w:rPr>
                <w:rFonts w:ascii="Arial"/>
                <w:sz w:val="18"/>
              </w:rPr>
            </w:r>
          </w:p>
        </w:tc>
      </w:tr>
      <w:tr>
        <w:trPr>
          <w:trHeight w:val="466" w:hRule="exact"/>
        </w:trPr>
        <w:tc>
          <w:tcPr>
            <w:tcW w:w="3301" w:type="dxa"/>
            <w:tcBorders>
              <w:top w:val="nil" w:sz="6" w:space="0" w:color="auto"/>
              <w:left w:val="nil" w:sz="6" w:space="0" w:color="auto"/>
              <w:bottom w:val="nil" w:sz="6" w:space="0" w:color="auto"/>
              <w:right w:val="nil" w:sz="6" w:space="0" w:color="auto"/>
            </w:tcBorders>
          </w:tcPr>
          <w:p>
            <w:pPr>
              <w:pStyle w:val="TableParagraph"/>
              <w:spacing w:line="203" w:lineRule="exact"/>
              <w:ind w:left="200" w:right="0"/>
              <w:jc w:val="left"/>
              <w:rPr>
                <w:rFonts w:ascii="宋体" w:hAnsi="宋体" w:cs="宋体" w:eastAsia="宋体" w:hint="default"/>
                <w:sz w:val="18"/>
                <w:szCs w:val="18"/>
              </w:rPr>
            </w:pPr>
            <w:r>
              <w:rPr>
                <w:rFonts w:ascii="宋体" w:hAnsi="宋体" w:cs="宋体" w:eastAsia="宋体" w:hint="default"/>
                <w:sz w:val="18"/>
                <w:szCs w:val="18"/>
              </w:rPr>
              <w:t>面向 </w:t>
            </w:r>
            <w:r>
              <w:rPr>
                <w:rFonts w:ascii="Arial" w:hAnsi="Arial" w:cs="Arial" w:eastAsia="Arial" w:hint="default"/>
                <w:spacing w:val="-2"/>
                <w:sz w:val="18"/>
                <w:szCs w:val="18"/>
              </w:rPr>
              <w:t>IMT-Advanced</w:t>
            </w:r>
            <w:r>
              <w:rPr>
                <w:rFonts w:ascii="Arial" w:hAnsi="Arial" w:cs="Arial" w:eastAsia="Arial" w:hint="default"/>
                <w:spacing w:val="-30"/>
                <w:sz w:val="18"/>
                <w:szCs w:val="18"/>
              </w:rPr>
              <w:t> </w:t>
            </w:r>
            <w:r>
              <w:rPr>
                <w:rFonts w:ascii="宋体" w:hAnsi="宋体" w:cs="宋体" w:eastAsia="宋体" w:hint="default"/>
                <w:sz w:val="18"/>
                <w:szCs w:val="18"/>
              </w:rPr>
              <w:t>的新型基带共性处</w:t>
            </w:r>
          </w:p>
          <w:p>
            <w:pPr>
              <w:pStyle w:val="TableParagraph"/>
              <w:spacing w:line="229" w:lineRule="exact"/>
              <w:ind w:left="382" w:right="0"/>
              <w:jc w:val="left"/>
              <w:rPr>
                <w:rFonts w:ascii="宋体" w:hAnsi="宋体" w:cs="宋体" w:eastAsia="宋体" w:hint="default"/>
                <w:sz w:val="18"/>
                <w:szCs w:val="18"/>
              </w:rPr>
            </w:pPr>
            <w:r>
              <w:rPr>
                <w:rFonts w:ascii="宋体" w:hAnsi="宋体" w:cs="宋体" w:eastAsia="宋体" w:hint="default"/>
                <w:spacing w:val="-4"/>
                <w:sz w:val="18"/>
                <w:szCs w:val="18"/>
              </w:rPr>
              <w:t>理技术</w:t>
            </w:r>
            <w:r>
              <w:rPr>
                <w:rFonts w:ascii="宋体" w:hAnsi="宋体" w:cs="宋体" w:eastAsia="宋体" w:hint="default"/>
                <w:sz w:val="18"/>
                <w:szCs w:val="18"/>
              </w:rPr>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0" w:right="0"/>
              <w:jc w:val="left"/>
              <w:rPr>
                <w:rFonts w:ascii="Arial" w:hAnsi="Arial" w:cs="Arial" w:eastAsia="Arial" w:hint="default"/>
                <w:sz w:val="18"/>
                <w:szCs w:val="18"/>
              </w:rPr>
            </w:pPr>
            <w:r>
              <w:rPr>
                <w:rFonts w:ascii="Arial"/>
                <w:sz w:val="18"/>
              </w:rPr>
              <w:t>397,386</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43"/>
              <w:jc w:val="right"/>
              <w:rPr>
                <w:rFonts w:ascii="Arial" w:hAnsi="Arial" w:cs="Arial" w:eastAsia="Arial" w:hint="default"/>
                <w:sz w:val="18"/>
                <w:szCs w:val="18"/>
              </w:rPr>
            </w:pPr>
            <w:r>
              <w:rPr>
                <w:rFonts w:ascii="Arial"/>
                <w:w w:val="101"/>
                <w:sz w:val="18"/>
              </w:rPr>
              <w:t>-</w:t>
            </w:r>
            <w:r>
              <w:rPr>
                <w:rFonts w:ascii="Arial"/>
                <w:sz w:val="18"/>
              </w:rPr>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58"/>
              <w:jc w:val="right"/>
              <w:rPr>
                <w:rFonts w:ascii="Arial" w:hAnsi="Arial" w:cs="Arial" w:eastAsia="Arial" w:hint="default"/>
                <w:sz w:val="18"/>
                <w:szCs w:val="18"/>
              </w:rPr>
            </w:pPr>
            <w:r>
              <w:rPr>
                <w:rFonts w:ascii="Arial"/>
                <w:w w:val="101"/>
                <w:sz w:val="18"/>
              </w:rPr>
              <w:t>-</w:t>
            </w:r>
            <w:r>
              <w:rPr>
                <w:rFonts w:ascii="Arial"/>
                <w:sz w:val="18"/>
              </w:rPr>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60" w:right="0"/>
              <w:jc w:val="left"/>
              <w:rPr>
                <w:rFonts w:ascii="Arial" w:hAnsi="Arial" w:cs="Arial" w:eastAsia="Arial" w:hint="default"/>
                <w:sz w:val="18"/>
                <w:szCs w:val="18"/>
              </w:rPr>
            </w:pPr>
            <w:r>
              <w:rPr>
                <w:rFonts w:ascii="Arial"/>
                <w:sz w:val="18"/>
              </w:rPr>
              <w:t>(34,786)</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31"/>
              <w:jc w:val="right"/>
              <w:rPr>
                <w:rFonts w:ascii="Arial" w:hAnsi="Arial" w:cs="Arial" w:eastAsia="Arial" w:hint="default"/>
                <w:sz w:val="18"/>
                <w:szCs w:val="18"/>
              </w:rPr>
            </w:pPr>
            <w:r>
              <w:rPr>
                <w:rFonts w:ascii="Arial"/>
                <w:spacing w:val="-1"/>
                <w:sz w:val="18"/>
              </w:rPr>
              <w:t>362,600</w:t>
            </w:r>
            <w:r>
              <w:rPr>
                <w:rFonts w:ascii="Arial"/>
                <w:sz w:val="18"/>
              </w:rPr>
            </w:r>
          </w:p>
        </w:tc>
      </w:tr>
      <w:tr>
        <w:trPr>
          <w:trHeight w:val="475" w:hRule="exact"/>
        </w:trPr>
        <w:tc>
          <w:tcPr>
            <w:tcW w:w="3301" w:type="dxa"/>
            <w:tcBorders>
              <w:top w:val="nil" w:sz="6" w:space="0" w:color="auto"/>
              <w:left w:val="nil" w:sz="6" w:space="0" w:color="auto"/>
              <w:bottom w:val="nil" w:sz="6" w:space="0" w:color="auto"/>
              <w:right w:val="nil" w:sz="6" w:space="0" w:color="auto"/>
            </w:tcBorders>
          </w:tcPr>
          <w:p>
            <w:pPr>
              <w:pStyle w:val="TableParagraph"/>
              <w:spacing w:line="197" w:lineRule="exact"/>
              <w:ind w:left="200" w:right="0"/>
              <w:jc w:val="left"/>
              <w:rPr>
                <w:rFonts w:ascii="宋体" w:hAnsi="宋体" w:cs="宋体" w:eastAsia="宋体" w:hint="default"/>
                <w:sz w:val="18"/>
                <w:szCs w:val="18"/>
              </w:rPr>
            </w:pPr>
            <w:r>
              <w:rPr>
                <w:rFonts w:ascii="宋体" w:hAnsi="宋体" w:cs="宋体" w:eastAsia="宋体" w:hint="default"/>
                <w:spacing w:val="-3"/>
                <w:sz w:val="18"/>
                <w:szCs w:val="18"/>
              </w:rPr>
              <w:t>科技文献移动阅读关键技术研究与移动</w:t>
            </w:r>
            <w:r>
              <w:rPr>
                <w:rFonts w:ascii="宋体" w:hAnsi="宋体" w:cs="宋体" w:eastAsia="宋体" w:hint="default"/>
                <w:sz w:val="18"/>
                <w:szCs w:val="18"/>
              </w:rPr>
            </w:r>
          </w:p>
          <w:p>
            <w:pPr>
              <w:pStyle w:val="TableParagraph"/>
              <w:spacing w:line="240" w:lineRule="auto"/>
              <w:ind w:left="382" w:right="0"/>
              <w:jc w:val="left"/>
              <w:rPr>
                <w:rFonts w:ascii="宋体" w:hAnsi="宋体" w:cs="宋体" w:eastAsia="宋体" w:hint="default"/>
                <w:sz w:val="18"/>
                <w:szCs w:val="18"/>
              </w:rPr>
            </w:pPr>
            <w:r>
              <w:rPr>
                <w:rFonts w:ascii="宋体" w:hAnsi="宋体" w:cs="宋体" w:eastAsia="宋体" w:hint="default"/>
                <w:sz w:val="18"/>
                <w:szCs w:val="18"/>
              </w:rPr>
              <w:t>阅读系统研发</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70" w:right="0"/>
              <w:jc w:val="left"/>
              <w:rPr>
                <w:rFonts w:ascii="Arial" w:hAnsi="Arial" w:cs="Arial" w:eastAsia="Arial" w:hint="default"/>
                <w:sz w:val="18"/>
                <w:szCs w:val="18"/>
              </w:rPr>
            </w:pPr>
            <w:r>
              <w:rPr>
                <w:rFonts w:ascii="Arial"/>
                <w:sz w:val="18"/>
              </w:rPr>
              <w:t>936,478</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43"/>
              <w:jc w:val="right"/>
              <w:rPr>
                <w:rFonts w:ascii="Arial" w:hAnsi="Arial" w:cs="Arial" w:eastAsia="Arial" w:hint="default"/>
                <w:sz w:val="18"/>
                <w:szCs w:val="18"/>
              </w:rPr>
            </w:pPr>
            <w:r>
              <w:rPr>
                <w:rFonts w:ascii="Arial"/>
                <w:w w:val="101"/>
                <w:sz w:val="18"/>
              </w:rPr>
              <w:t>-</w:t>
            </w:r>
            <w:r>
              <w:rPr>
                <w:rFonts w:ascii="Arial"/>
                <w:sz w:val="18"/>
              </w:rPr>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58"/>
              <w:jc w:val="right"/>
              <w:rPr>
                <w:rFonts w:ascii="Arial" w:hAnsi="Arial" w:cs="Arial" w:eastAsia="Arial" w:hint="default"/>
                <w:sz w:val="18"/>
                <w:szCs w:val="18"/>
              </w:rPr>
            </w:pPr>
            <w:r>
              <w:rPr>
                <w:rFonts w:ascii="Arial"/>
                <w:w w:val="101"/>
                <w:sz w:val="18"/>
              </w:rPr>
              <w:t>-</w:t>
            </w:r>
            <w:r>
              <w:rPr>
                <w:rFonts w:ascii="Arial"/>
                <w:sz w:val="18"/>
              </w:rPr>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59" w:right="0"/>
              <w:jc w:val="left"/>
              <w:rPr>
                <w:rFonts w:ascii="Arial" w:hAnsi="Arial" w:cs="Arial" w:eastAsia="Arial" w:hint="default"/>
                <w:sz w:val="18"/>
                <w:szCs w:val="18"/>
              </w:rPr>
            </w:pPr>
            <w:r>
              <w:rPr>
                <w:rFonts w:ascii="Arial"/>
                <w:sz w:val="18"/>
              </w:rPr>
              <w:t>(936,478)</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33"/>
              <w:jc w:val="right"/>
              <w:rPr>
                <w:rFonts w:ascii="Arial" w:hAnsi="Arial" w:cs="Arial" w:eastAsia="Arial" w:hint="default"/>
                <w:sz w:val="18"/>
                <w:szCs w:val="18"/>
              </w:rPr>
            </w:pPr>
            <w:r>
              <w:rPr>
                <w:rFonts w:ascii="Arial"/>
                <w:w w:val="101"/>
                <w:sz w:val="18"/>
              </w:rPr>
              <w:t>-</w:t>
            </w:r>
            <w:r>
              <w:rPr>
                <w:rFonts w:ascii="Arial"/>
                <w:sz w:val="18"/>
              </w:rPr>
            </w:r>
          </w:p>
        </w:tc>
      </w:tr>
      <w:tr>
        <w:trPr>
          <w:trHeight w:val="374" w:hRule="exact"/>
        </w:trPr>
        <w:tc>
          <w:tcPr>
            <w:tcW w:w="3301" w:type="dxa"/>
            <w:tcBorders>
              <w:top w:val="nil" w:sz="6" w:space="0" w:color="auto"/>
              <w:left w:val="nil" w:sz="6" w:space="0" w:color="auto"/>
              <w:bottom w:val="nil" w:sz="6" w:space="0" w:color="auto"/>
              <w:right w:val="nil" w:sz="6" w:space="0" w:color="auto"/>
            </w:tcBorders>
          </w:tcPr>
          <w:p>
            <w:pPr>
              <w:pStyle w:val="TableParagraph"/>
              <w:spacing w:line="202" w:lineRule="exact"/>
              <w:ind w:left="2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210" w:type="dxa"/>
            <w:tcBorders>
              <w:top w:val="nil" w:sz="6" w:space="0" w:color="auto"/>
              <w:left w:val="nil" w:sz="6" w:space="0" w:color="auto"/>
              <w:bottom w:val="nil" w:sz="6" w:space="0" w:color="auto"/>
              <w:right w:val="nil" w:sz="6" w:space="0" w:color="auto"/>
            </w:tcBorders>
          </w:tcPr>
          <w:p>
            <w:pPr>
              <w:pStyle w:val="TableParagraph"/>
              <w:tabs>
                <w:tab w:pos="1339" w:val="left" w:leader="none"/>
              </w:tabs>
              <w:spacing w:line="240" w:lineRule="auto" w:before="22"/>
              <w:ind w:left="14" w:right="-130"/>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pacing w:val="4"/>
                <w:sz w:val="18"/>
                <w:u w:val="single" w:color="000000"/>
              </w:rPr>
              <w:t> </w:t>
            </w:r>
            <w:r>
              <w:rPr>
                <w:rFonts w:ascii="Arial"/>
                <w:sz w:val="18"/>
                <w:u w:val="single" w:color="000000"/>
              </w:rPr>
              <w:t>166,918,055</w:t>
              <w:tab/>
            </w:r>
            <w:r>
              <w:rPr>
                <w:rFonts w:ascii="Arial"/>
                <w:sz w:val="18"/>
              </w:rPr>
            </w:r>
          </w:p>
        </w:tc>
        <w:tc>
          <w:tcPr>
            <w:tcW w:w="1181" w:type="dxa"/>
            <w:tcBorders>
              <w:top w:val="nil" w:sz="6" w:space="0" w:color="auto"/>
              <w:left w:val="nil" w:sz="6" w:space="0" w:color="auto"/>
              <w:bottom w:val="nil" w:sz="6" w:space="0" w:color="auto"/>
              <w:right w:val="nil" w:sz="6" w:space="0" w:color="auto"/>
            </w:tcBorders>
          </w:tcPr>
          <w:p>
            <w:pPr>
              <w:pStyle w:val="TableParagraph"/>
              <w:tabs>
                <w:tab w:pos="1286" w:val="left" w:leader="none"/>
              </w:tabs>
              <w:spacing w:line="240" w:lineRule="auto" w:before="22"/>
              <w:ind w:left="129" w:right="-106"/>
              <w:jc w:val="left"/>
              <w:rPr>
                <w:rFonts w:ascii="Arial" w:hAnsi="Arial" w:cs="Arial" w:eastAsia="Arial" w:hint="default"/>
                <w:sz w:val="18"/>
                <w:szCs w:val="18"/>
              </w:rPr>
            </w:pPr>
            <w:r>
              <w:rPr>
                <w:rFonts w:ascii="Arial"/>
                <w:w w:val="101"/>
                <w:sz w:val="18"/>
              </w:rPr>
            </w:r>
            <w:r>
              <w:rPr>
                <w:rFonts w:ascii="Arial"/>
                <w:sz w:val="18"/>
                <w:u w:val="single" w:color="000000"/>
              </w:rPr>
              <w:t>323,547,194</w:t>
              <w:tab/>
            </w:r>
            <w:r>
              <w:rPr>
                <w:rFonts w:ascii="Arial"/>
                <w:sz w:val="18"/>
              </w:rPr>
            </w:r>
          </w:p>
        </w:tc>
        <w:tc>
          <w:tcPr>
            <w:tcW w:w="1153" w:type="dxa"/>
            <w:tcBorders>
              <w:top w:val="nil" w:sz="6" w:space="0" w:color="auto"/>
              <w:left w:val="nil" w:sz="6" w:space="0" w:color="auto"/>
              <w:bottom w:val="nil" w:sz="6" w:space="0" w:color="auto"/>
              <w:right w:val="nil" w:sz="6" w:space="0" w:color="auto"/>
            </w:tcBorders>
          </w:tcPr>
          <w:p>
            <w:pPr>
              <w:pStyle w:val="TableParagraph"/>
              <w:tabs>
                <w:tab w:pos="1262" w:val="left" w:leader="none"/>
              </w:tabs>
              <w:spacing w:line="240" w:lineRule="auto" w:before="22"/>
              <w:ind w:left="105" w:right="-109"/>
              <w:jc w:val="left"/>
              <w:rPr>
                <w:rFonts w:ascii="Arial" w:hAnsi="Arial" w:cs="Arial" w:eastAsia="Arial" w:hint="default"/>
                <w:sz w:val="18"/>
                <w:szCs w:val="18"/>
              </w:rPr>
            </w:pPr>
            <w:r>
              <w:rPr>
                <w:rFonts w:ascii="Arial"/>
                <w:w w:val="101"/>
                <w:sz w:val="18"/>
              </w:rPr>
            </w:r>
            <w:r>
              <w:rPr>
                <w:rFonts w:ascii="Arial"/>
                <w:sz w:val="18"/>
                <w:u w:val="single" w:color="000000"/>
              </w:rPr>
              <w:t>(30,998,022)</w:t>
              <w:tab/>
            </w:r>
            <w:r>
              <w:rPr>
                <w:rFonts w:ascii="Arial"/>
                <w:sz w:val="18"/>
              </w:rPr>
            </w:r>
          </w:p>
        </w:tc>
        <w:tc>
          <w:tcPr>
            <w:tcW w:w="1267" w:type="dxa"/>
            <w:tcBorders>
              <w:top w:val="nil" w:sz="6" w:space="0" w:color="auto"/>
              <w:left w:val="nil" w:sz="6" w:space="0" w:color="auto"/>
              <w:bottom w:val="nil" w:sz="6" w:space="0" w:color="auto"/>
              <w:right w:val="nil" w:sz="6" w:space="0" w:color="auto"/>
            </w:tcBorders>
          </w:tcPr>
          <w:p>
            <w:pPr>
              <w:pStyle w:val="TableParagraph"/>
              <w:tabs>
                <w:tab w:pos="1390" w:val="left" w:leader="none"/>
              </w:tabs>
              <w:spacing w:line="240" w:lineRule="auto" w:before="22"/>
              <w:ind w:left="108" w:right="-124"/>
              <w:jc w:val="left"/>
              <w:rPr>
                <w:rFonts w:ascii="Arial" w:hAnsi="Arial" w:cs="Arial" w:eastAsia="Arial" w:hint="default"/>
                <w:sz w:val="18"/>
                <w:szCs w:val="18"/>
              </w:rPr>
            </w:pPr>
            <w:r>
              <w:rPr>
                <w:rFonts w:ascii="Arial"/>
                <w:w w:val="101"/>
                <w:sz w:val="18"/>
              </w:rPr>
            </w:r>
            <w:r>
              <w:rPr>
                <w:rFonts w:ascii="Arial"/>
                <w:sz w:val="18"/>
                <w:u w:val="single" w:color="000000"/>
              </w:rPr>
              <w:t>(155,685,700)</w:t>
              <w:tab/>
            </w:r>
            <w:r>
              <w:rPr>
                <w:rFonts w:ascii="Arial"/>
                <w:sz w:val="18"/>
              </w:rPr>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1"/>
              <w:jc w:val="right"/>
              <w:rPr>
                <w:rFonts w:ascii="Arial" w:hAnsi="Arial" w:cs="Arial" w:eastAsia="Arial" w:hint="default"/>
                <w:sz w:val="18"/>
                <w:szCs w:val="18"/>
              </w:rPr>
            </w:pPr>
            <w:r>
              <w:rPr>
                <w:rFonts w:ascii="Arial"/>
                <w:w w:val="101"/>
                <w:sz w:val="18"/>
              </w:rPr>
            </w:r>
            <w:r>
              <w:rPr>
                <w:rFonts w:ascii="Arial"/>
                <w:spacing w:val="-1"/>
                <w:sz w:val="18"/>
                <w:u w:val="single" w:color="000000"/>
              </w:rPr>
              <w:t>303,781,527</w:t>
            </w:r>
            <w:r>
              <w:rPr>
                <w:rFonts w:ascii="Arial"/>
                <w:spacing w:val="-1"/>
                <w:sz w:val="18"/>
              </w:rPr>
            </w:r>
            <w:r>
              <w:rPr>
                <w:rFonts w:ascii="Arial"/>
                <w:sz w:val="18"/>
              </w:rPr>
            </w:r>
          </w:p>
        </w:tc>
      </w:tr>
      <w:tr>
        <w:trPr>
          <w:trHeight w:val="385" w:hRule="exact"/>
        </w:trPr>
        <w:tc>
          <w:tcPr>
            <w:tcW w:w="3301" w:type="dxa"/>
            <w:tcBorders>
              <w:top w:val="nil" w:sz="6" w:space="0" w:color="auto"/>
              <w:left w:val="nil" w:sz="6" w:space="0" w:color="auto"/>
              <w:bottom w:val="nil" w:sz="6" w:space="0" w:color="auto"/>
              <w:right w:val="nil" w:sz="6" w:space="0" w:color="auto"/>
            </w:tcBorders>
          </w:tcPr>
          <w:p>
            <w:pPr>
              <w:pStyle w:val="TableParagraph"/>
              <w:spacing w:line="240" w:lineRule="auto" w:before="95"/>
              <w:ind w:left="20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10"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left="120" w:right="0"/>
              <w:jc w:val="left"/>
              <w:rPr>
                <w:rFonts w:ascii="Arial" w:hAnsi="Arial" w:cs="Arial" w:eastAsia="Arial" w:hint="default"/>
                <w:sz w:val="18"/>
                <w:szCs w:val="18"/>
              </w:rPr>
            </w:pPr>
            <w:r>
              <w:rPr>
                <w:rFonts w:ascii="Arial"/>
                <w:sz w:val="18"/>
              </w:rPr>
              <w:t>188,728,050</w:t>
            </w:r>
          </w:p>
        </w:tc>
        <w:tc>
          <w:tcPr>
            <w:tcW w:w="1181"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left="129" w:right="0"/>
              <w:jc w:val="left"/>
              <w:rPr>
                <w:rFonts w:ascii="Arial" w:hAnsi="Arial" w:cs="Arial" w:eastAsia="Arial" w:hint="default"/>
                <w:sz w:val="18"/>
                <w:szCs w:val="18"/>
              </w:rPr>
            </w:pPr>
            <w:r>
              <w:rPr>
                <w:rFonts w:ascii="Arial"/>
                <w:sz w:val="18"/>
              </w:rPr>
              <w:t>335,776,263</w:t>
            </w:r>
          </w:p>
        </w:tc>
        <w:tc>
          <w:tcPr>
            <w:tcW w:w="1153"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left="105" w:right="0"/>
              <w:jc w:val="left"/>
              <w:rPr>
                <w:rFonts w:ascii="Arial" w:hAnsi="Arial" w:cs="Arial" w:eastAsia="Arial" w:hint="default"/>
                <w:sz w:val="18"/>
                <w:szCs w:val="18"/>
              </w:rPr>
            </w:pPr>
            <w:r>
              <w:rPr>
                <w:rFonts w:ascii="Arial"/>
                <w:sz w:val="18"/>
              </w:rPr>
              <w:t>(30,998,022)</w:t>
            </w:r>
          </w:p>
        </w:tc>
        <w:tc>
          <w:tcPr>
            <w:tcW w:w="1267"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left="113" w:right="0"/>
              <w:jc w:val="left"/>
              <w:rPr>
                <w:rFonts w:ascii="Arial" w:hAnsi="Arial" w:cs="Arial" w:eastAsia="Arial" w:hint="default"/>
                <w:sz w:val="18"/>
                <w:szCs w:val="18"/>
              </w:rPr>
            </w:pPr>
            <w:r>
              <w:rPr>
                <w:rFonts w:ascii="Arial"/>
                <w:sz w:val="18"/>
              </w:rPr>
              <w:t>(165,543,393)</w:t>
            </w:r>
          </w:p>
        </w:tc>
        <w:tc>
          <w:tcPr>
            <w:tcW w:w="1165"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31"/>
              <w:jc w:val="right"/>
              <w:rPr>
                <w:rFonts w:ascii="Arial" w:hAnsi="Arial" w:cs="Arial" w:eastAsia="Arial" w:hint="default"/>
                <w:sz w:val="18"/>
                <w:szCs w:val="18"/>
              </w:rPr>
            </w:pPr>
            <w:r>
              <w:rPr>
                <w:rFonts w:ascii="Arial"/>
                <w:spacing w:val="-1"/>
                <w:sz w:val="18"/>
              </w:rPr>
              <w:t>327,962,898</w:t>
            </w:r>
            <w:r>
              <w:rPr>
                <w:rFonts w:ascii="Arial"/>
                <w:sz w:val="18"/>
              </w:rPr>
            </w:r>
          </w:p>
        </w:tc>
      </w:tr>
    </w:tbl>
    <w:p>
      <w:pPr>
        <w:spacing w:line="240" w:lineRule="auto" w:before="10"/>
        <w:rPr>
          <w:rFonts w:ascii="宋体" w:hAnsi="宋体" w:cs="宋体" w:eastAsia="宋体" w:hint="default"/>
          <w:sz w:val="13"/>
          <w:szCs w:val="13"/>
        </w:rPr>
      </w:pPr>
    </w:p>
    <w:p>
      <w:pPr>
        <w:pStyle w:val="BodyText"/>
        <w:spacing w:line="240" w:lineRule="auto" w:before="32"/>
        <w:ind w:left="112" w:right="0"/>
        <w:jc w:val="left"/>
      </w:pPr>
      <w:r>
        <w:rPr>
          <w:rFonts w:ascii="Arial" w:hAnsi="Arial" w:cs="Arial" w:eastAsia="Arial" w:hint="default"/>
        </w:rPr>
        <w:t>31</w:t>
      </w:r>
      <w:r>
        <w:rPr/>
        <w:t>、股本</w:t>
      </w:r>
    </w:p>
    <w:p>
      <w:pPr>
        <w:spacing w:line="240" w:lineRule="auto" w:before="3"/>
        <w:rPr>
          <w:rFonts w:ascii="宋体" w:hAnsi="宋体" w:cs="宋体" w:eastAsia="宋体" w:hint="default"/>
          <w:sz w:val="18"/>
          <w:szCs w:val="18"/>
        </w:rPr>
      </w:pPr>
    </w:p>
    <w:p>
      <w:pPr>
        <w:pStyle w:val="BodyText"/>
        <w:spacing w:line="240" w:lineRule="auto"/>
        <w:ind w:left="559" w:right="0"/>
        <w:jc w:val="left"/>
      </w:pPr>
      <w:r>
        <w:rPr/>
        <w:t>于</w:t>
      </w:r>
      <w:r>
        <w:rPr>
          <w:spacing w:val="-55"/>
        </w:rPr>
        <w:t> </w:t>
      </w:r>
      <w:r>
        <w:rPr>
          <w:rFonts w:ascii="Arial" w:hAnsi="Arial" w:cs="Arial" w:eastAsia="Arial" w:hint="default"/>
        </w:rPr>
        <w:t>2019</w:t>
      </w:r>
      <w:r>
        <w:rPr>
          <w:rFonts w:ascii="Arial" w:hAnsi="Arial" w:cs="Arial" w:eastAsia="Arial" w:hint="default"/>
          <w:spacing w:val="-4"/>
        </w:rPr>
        <w:t> </w:t>
      </w:r>
      <w:r>
        <w:rPr/>
        <w:t>年度，本公司股本变化情况列示如下：</w:t>
      </w:r>
    </w:p>
    <w:p>
      <w:pPr>
        <w:spacing w:line="240" w:lineRule="auto" w:before="11"/>
        <w:rPr>
          <w:rFonts w:ascii="宋体" w:hAnsi="宋体" w:cs="宋体" w:eastAsia="宋体" w:hint="default"/>
          <w:sz w:val="22"/>
          <w:szCs w:val="22"/>
        </w:rPr>
      </w:pPr>
    </w:p>
    <w:tbl>
      <w:tblPr>
        <w:tblW w:w="0" w:type="auto"/>
        <w:jc w:val="left"/>
        <w:tblInd w:w="392" w:type="dxa"/>
        <w:tblLayout w:type="fixed"/>
        <w:tblCellMar>
          <w:top w:w="0" w:type="dxa"/>
          <w:left w:w="0" w:type="dxa"/>
          <w:bottom w:w="0" w:type="dxa"/>
          <w:right w:w="0" w:type="dxa"/>
        </w:tblCellMar>
        <w:tblLook w:val="01E0"/>
      </w:tblPr>
      <w:tblGrid>
        <w:gridCol w:w="3061"/>
        <w:gridCol w:w="1613"/>
        <w:gridCol w:w="1354"/>
        <w:gridCol w:w="1363"/>
        <w:gridCol w:w="166"/>
        <w:gridCol w:w="1606"/>
      </w:tblGrid>
      <w:tr>
        <w:trPr>
          <w:trHeight w:val="238" w:hRule="exact"/>
        </w:trPr>
        <w:tc>
          <w:tcPr>
            <w:tcW w:w="3061" w:type="dxa"/>
            <w:vMerge w:val="restart"/>
            <w:tcBorders>
              <w:top w:val="nil" w:sz="6" w:space="0" w:color="auto"/>
              <w:left w:val="nil" w:sz="6" w:space="0" w:color="auto"/>
              <w:right w:val="nil" w:sz="6" w:space="0" w:color="auto"/>
            </w:tcBorders>
          </w:tcPr>
          <w:p>
            <w:pPr/>
          </w:p>
        </w:tc>
        <w:tc>
          <w:tcPr>
            <w:tcW w:w="1613" w:type="dxa"/>
            <w:vMerge w:val="restart"/>
            <w:tcBorders>
              <w:top w:val="nil" w:sz="6" w:space="0" w:color="auto"/>
              <w:left w:val="nil" w:sz="6" w:space="0" w:color="auto"/>
              <w:right w:val="nil" w:sz="6" w:space="0" w:color="auto"/>
            </w:tcBorders>
          </w:tcPr>
          <w:p>
            <w:pPr>
              <w:pStyle w:val="TableParagraph"/>
              <w:spacing w:line="222" w:lineRule="exact"/>
              <w:ind w:left="801" w:right="0"/>
              <w:jc w:val="left"/>
              <w:rPr>
                <w:rFonts w:ascii="宋体" w:hAnsi="宋体" w:cs="宋体" w:eastAsia="宋体" w:hint="default"/>
                <w:sz w:val="20"/>
                <w:szCs w:val="20"/>
              </w:rPr>
            </w:pPr>
            <w:r>
              <w:rPr>
                <w:rFonts w:ascii="Arial" w:hAnsi="Arial" w:cs="Arial" w:eastAsia="Arial" w:hint="default"/>
                <w:sz w:val="20"/>
                <w:szCs w:val="20"/>
              </w:rPr>
              <w:t>2018</w:t>
            </w:r>
            <w:r>
              <w:rPr>
                <w:rFonts w:ascii="Arial" w:hAnsi="Arial" w:cs="Arial" w:eastAsia="Arial" w:hint="default"/>
                <w:spacing w:val="-11"/>
                <w:sz w:val="20"/>
                <w:szCs w:val="20"/>
              </w:rPr>
              <w:t> </w:t>
            </w:r>
            <w:r>
              <w:rPr>
                <w:rFonts w:ascii="宋体" w:hAnsi="宋体" w:cs="宋体" w:eastAsia="宋体" w:hint="default"/>
                <w:sz w:val="20"/>
                <w:szCs w:val="20"/>
              </w:rPr>
              <w:t>年</w:t>
            </w:r>
          </w:p>
          <w:p>
            <w:pPr>
              <w:pStyle w:val="TableParagraph"/>
              <w:spacing w:line="268" w:lineRule="exact"/>
              <w:ind w:left="503" w:right="0"/>
              <w:jc w:val="left"/>
              <w:rPr>
                <w:rFonts w:ascii="宋体" w:hAnsi="宋体" w:cs="宋体" w:eastAsia="宋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宋体" w:hAnsi="宋体" w:cs="宋体" w:eastAsia="宋体" w:hint="default"/>
                <w:sz w:val="20"/>
                <w:szCs w:val="20"/>
              </w:rPr>
              <w:t>日</w:t>
            </w:r>
          </w:p>
        </w:tc>
        <w:tc>
          <w:tcPr>
            <w:tcW w:w="2717" w:type="dxa"/>
            <w:gridSpan w:val="2"/>
            <w:tcBorders>
              <w:top w:val="nil" w:sz="6" w:space="0" w:color="auto"/>
              <w:left w:val="nil" w:sz="6" w:space="0" w:color="auto"/>
              <w:bottom w:val="single" w:sz="6" w:space="0" w:color="000000"/>
              <w:right w:val="nil" w:sz="6" w:space="0" w:color="auto"/>
            </w:tcBorders>
          </w:tcPr>
          <w:p>
            <w:pPr>
              <w:pStyle w:val="TableParagraph"/>
              <w:spacing w:line="201" w:lineRule="exact"/>
              <w:ind w:left="753" w:right="0"/>
              <w:jc w:val="left"/>
              <w:rPr>
                <w:rFonts w:ascii="宋体" w:hAnsi="宋体" w:cs="宋体" w:eastAsia="宋体" w:hint="default"/>
                <w:sz w:val="20"/>
                <w:szCs w:val="20"/>
              </w:rPr>
            </w:pPr>
            <w:r>
              <w:rPr>
                <w:rFonts w:ascii="宋体" w:hAnsi="宋体" w:cs="宋体" w:eastAsia="宋体" w:hint="default"/>
                <w:sz w:val="20"/>
                <w:szCs w:val="20"/>
              </w:rPr>
              <w:t>本年增减变动</w:t>
            </w:r>
          </w:p>
        </w:tc>
        <w:tc>
          <w:tcPr>
            <w:tcW w:w="166" w:type="dxa"/>
            <w:vMerge w:val="restart"/>
            <w:tcBorders>
              <w:top w:val="nil" w:sz="6" w:space="0" w:color="auto"/>
              <w:left w:val="nil" w:sz="6" w:space="0" w:color="auto"/>
              <w:right w:val="nil" w:sz="6" w:space="0" w:color="auto"/>
            </w:tcBorders>
          </w:tcPr>
          <w:p>
            <w:pPr/>
          </w:p>
        </w:tc>
        <w:tc>
          <w:tcPr>
            <w:tcW w:w="1606" w:type="dxa"/>
            <w:vMerge w:val="restart"/>
            <w:tcBorders>
              <w:top w:val="nil" w:sz="6" w:space="0" w:color="auto"/>
              <w:left w:val="nil" w:sz="6" w:space="0" w:color="auto"/>
              <w:right w:val="nil" w:sz="6" w:space="0" w:color="auto"/>
            </w:tcBorders>
          </w:tcPr>
          <w:p>
            <w:pPr>
              <w:pStyle w:val="TableParagraph"/>
              <w:spacing w:line="222" w:lineRule="exact"/>
              <w:ind w:left="876" w:right="0"/>
              <w:jc w:val="left"/>
              <w:rPr>
                <w:rFonts w:ascii="宋体" w:hAnsi="宋体" w:cs="宋体" w:eastAsia="宋体" w:hint="default"/>
                <w:sz w:val="20"/>
                <w:szCs w:val="20"/>
              </w:rPr>
            </w:pPr>
            <w:r>
              <w:rPr>
                <w:rFonts w:ascii="Arial" w:hAnsi="Arial" w:cs="Arial" w:eastAsia="Arial" w:hint="default"/>
                <w:sz w:val="20"/>
                <w:szCs w:val="20"/>
              </w:rPr>
              <w:t>2019</w:t>
            </w:r>
            <w:r>
              <w:rPr>
                <w:rFonts w:ascii="Arial" w:hAnsi="Arial" w:cs="Arial" w:eastAsia="Arial" w:hint="default"/>
                <w:spacing w:val="-11"/>
                <w:sz w:val="20"/>
                <w:szCs w:val="20"/>
              </w:rPr>
              <w:t> </w:t>
            </w:r>
            <w:r>
              <w:rPr>
                <w:rFonts w:ascii="宋体" w:hAnsi="宋体" w:cs="宋体" w:eastAsia="宋体" w:hint="default"/>
                <w:sz w:val="20"/>
                <w:szCs w:val="20"/>
              </w:rPr>
              <w:t>年</w:t>
            </w:r>
          </w:p>
          <w:p>
            <w:pPr>
              <w:pStyle w:val="TableParagraph"/>
              <w:spacing w:line="268" w:lineRule="exact"/>
              <w:ind w:left="578" w:right="0"/>
              <w:jc w:val="left"/>
              <w:rPr>
                <w:rFonts w:ascii="宋体" w:hAnsi="宋体" w:cs="宋体" w:eastAsia="宋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宋体" w:hAnsi="宋体" w:cs="宋体" w:eastAsia="宋体" w:hint="default"/>
                <w:sz w:val="20"/>
                <w:szCs w:val="20"/>
              </w:rPr>
              <w:t>日</w:t>
            </w:r>
          </w:p>
        </w:tc>
      </w:tr>
      <w:tr>
        <w:trPr>
          <w:trHeight w:val="274" w:hRule="exact"/>
        </w:trPr>
        <w:tc>
          <w:tcPr>
            <w:tcW w:w="3061" w:type="dxa"/>
            <w:vMerge/>
            <w:tcBorders>
              <w:left w:val="nil" w:sz="6" w:space="0" w:color="auto"/>
              <w:bottom w:val="nil" w:sz="6" w:space="0" w:color="auto"/>
              <w:right w:val="nil" w:sz="6" w:space="0" w:color="auto"/>
            </w:tcBorders>
          </w:tcPr>
          <w:p>
            <w:pPr/>
          </w:p>
        </w:tc>
        <w:tc>
          <w:tcPr>
            <w:tcW w:w="1613" w:type="dxa"/>
            <w:vMerge/>
            <w:tcBorders>
              <w:left w:val="nil" w:sz="6" w:space="0" w:color="auto"/>
              <w:bottom w:val="single" w:sz="4" w:space="0" w:color="000000"/>
              <w:right w:val="nil" w:sz="6" w:space="0" w:color="auto"/>
            </w:tcBorders>
          </w:tcPr>
          <w:p>
            <w:pPr/>
          </w:p>
        </w:tc>
        <w:tc>
          <w:tcPr>
            <w:tcW w:w="1354" w:type="dxa"/>
            <w:tcBorders>
              <w:top w:val="single" w:sz="6" w:space="0" w:color="000000"/>
              <w:left w:val="nil" w:sz="6" w:space="0" w:color="auto"/>
              <w:bottom w:val="single" w:sz="6" w:space="0" w:color="000000"/>
              <w:right w:val="nil" w:sz="6" w:space="0" w:color="auto"/>
            </w:tcBorders>
          </w:tcPr>
          <w:p>
            <w:pPr>
              <w:pStyle w:val="TableParagraph"/>
              <w:spacing w:line="230" w:lineRule="exact"/>
              <w:ind w:left="273" w:right="0"/>
              <w:jc w:val="left"/>
              <w:rPr>
                <w:rFonts w:ascii="宋体" w:hAnsi="宋体" w:cs="宋体" w:eastAsia="宋体" w:hint="default"/>
                <w:sz w:val="20"/>
                <w:szCs w:val="20"/>
              </w:rPr>
            </w:pPr>
            <w:r>
              <w:rPr>
                <w:rFonts w:ascii="宋体" w:hAnsi="宋体" w:cs="宋体" w:eastAsia="宋体" w:hint="default"/>
                <w:sz w:val="20"/>
                <w:szCs w:val="20"/>
              </w:rPr>
              <w:t>发行新股</w:t>
            </w:r>
          </w:p>
        </w:tc>
        <w:tc>
          <w:tcPr>
            <w:tcW w:w="1363" w:type="dxa"/>
            <w:tcBorders>
              <w:top w:val="single" w:sz="6" w:space="0" w:color="000000"/>
              <w:left w:val="nil" w:sz="6" w:space="0" w:color="auto"/>
              <w:bottom w:val="single" w:sz="6" w:space="0" w:color="000000"/>
              <w:right w:val="nil" w:sz="6" w:space="0" w:color="auto"/>
            </w:tcBorders>
          </w:tcPr>
          <w:p>
            <w:pPr>
              <w:pStyle w:val="TableParagraph"/>
              <w:spacing w:line="230" w:lineRule="exact"/>
              <w:ind w:left="76" w:right="0"/>
              <w:jc w:val="center"/>
              <w:rPr>
                <w:rFonts w:ascii="宋体" w:hAnsi="宋体" w:cs="宋体" w:eastAsia="宋体" w:hint="default"/>
                <w:sz w:val="20"/>
                <w:szCs w:val="20"/>
              </w:rPr>
            </w:pPr>
            <w:r>
              <w:rPr>
                <w:rFonts w:ascii="宋体" w:hAnsi="宋体" w:cs="宋体" w:eastAsia="宋体" w:hint="default"/>
                <w:sz w:val="20"/>
                <w:szCs w:val="20"/>
              </w:rPr>
              <w:t>其他</w:t>
            </w:r>
          </w:p>
        </w:tc>
        <w:tc>
          <w:tcPr>
            <w:tcW w:w="166" w:type="dxa"/>
            <w:vMerge/>
            <w:tcBorders>
              <w:left w:val="nil" w:sz="6" w:space="0" w:color="auto"/>
              <w:bottom w:val="nil" w:sz="6" w:space="0" w:color="auto"/>
              <w:right w:val="nil" w:sz="6" w:space="0" w:color="auto"/>
            </w:tcBorders>
          </w:tcPr>
          <w:p>
            <w:pPr/>
          </w:p>
        </w:tc>
        <w:tc>
          <w:tcPr>
            <w:tcW w:w="1606" w:type="dxa"/>
            <w:vMerge/>
            <w:tcBorders>
              <w:left w:val="nil" w:sz="6" w:space="0" w:color="auto"/>
              <w:bottom w:val="single" w:sz="6" w:space="0" w:color="000000"/>
              <w:right w:val="nil" w:sz="6" w:space="0" w:color="auto"/>
            </w:tcBorders>
          </w:tcPr>
          <w:p>
            <w:pPr/>
          </w:p>
        </w:tc>
      </w:tr>
      <w:tr>
        <w:trPr>
          <w:trHeight w:val="518" w:hRule="exact"/>
        </w:trPr>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0" w:right="0"/>
              <w:jc w:val="left"/>
              <w:rPr>
                <w:rFonts w:ascii="宋体" w:hAnsi="宋体" w:cs="宋体" w:eastAsia="宋体" w:hint="default"/>
                <w:sz w:val="20"/>
                <w:szCs w:val="20"/>
              </w:rPr>
            </w:pPr>
            <w:r>
              <w:rPr>
                <w:rFonts w:ascii="宋体" w:hAnsi="宋体" w:cs="宋体" w:eastAsia="宋体" w:hint="default"/>
                <w:sz w:val="20"/>
                <w:szCs w:val="20"/>
              </w:rPr>
              <w:t>股份总数</w:t>
            </w:r>
          </w:p>
        </w:tc>
        <w:tc>
          <w:tcPr>
            <w:tcW w:w="1613"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110" w:right="0"/>
              <w:jc w:val="left"/>
              <w:rPr>
                <w:rFonts w:ascii="Arial" w:hAnsi="Arial" w:cs="Arial" w:eastAsia="Arial" w:hint="default"/>
                <w:sz w:val="20"/>
                <w:szCs w:val="20"/>
              </w:rPr>
            </w:pPr>
            <w:r>
              <w:rPr>
                <w:rFonts w:ascii="Arial"/>
                <w:sz w:val="20"/>
              </w:rPr>
              <w:t>31,027,811,687</w:t>
            </w:r>
          </w:p>
        </w:tc>
        <w:tc>
          <w:tcPr>
            <w:tcW w:w="1354" w:type="dxa"/>
            <w:tcBorders>
              <w:top w:val="single" w:sz="6" w:space="0" w:color="000000"/>
              <w:left w:val="nil" w:sz="6" w:space="0" w:color="auto"/>
              <w:bottom w:val="single" w:sz="17" w:space="0" w:color="000000"/>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321" w:right="0"/>
              <w:jc w:val="left"/>
              <w:rPr>
                <w:rFonts w:ascii="Arial" w:hAnsi="Arial" w:cs="Arial" w:eastAsia="Arial" w:hint="default"/>
                <w:sz w:val="20"/>
                <w:szCs w:val="20"/>
              </w:rPr>
            </w:pPr>
            <w:r>
              <w:rPr>
                <w:rFonts w:ascii="Arial"/>
                <w:sz w:val="20"/>
              </w:rPr>
              <w:t>13,156,000</w:t>
            </w:r>
          </w:p>
        </w:tc>
        <w:tc>
          <w:tcPr>
            <w:tcW w:w="1363" w:type="dxa"/>
            <w:tcBorders>
              <w:top w:val="single" w:sz="6" w:space="0" w:color="000000"/>
              <w:left w:val="nil" w:sz="6" w:space="0" w:color="auto"/>
              <w:bottom w:val="single" w:sz="17" w:space="0" w:color="000000"/>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14" w:right="0"/>
              <w:jc w:val="center"/>
              <w:rPr>
                <w:rFonts w:ascii="Arial" w:hAnsi="Arial" w:cs="Arial" w:eastAsia="Arial" w:hint="default"/>
                <w:sz w:val="20"/>
                <w:szCs w:val="20"/>
              </w:rPr>
            </w:pPr>
            <w:r>
              <w:rPr>
                <w:rFonts w:ascii="Arial"/>
                <w:sz w:val="20"/>
              </w:rPr>
              <w:t>(7,262,000)</w:t>
            </w:r>
          </w:p>
        </w:tc>
        <w:tc>
          <w:tcPr>
            <w:tcW w:w="166" w:type="dxa"/>
            <w:tcBorders>
              <w:top w:val="nil" w:sz="6" w:space="0" w:color="auto"/>
              <w:left w:val="nil" w:sz="6" w:space="0" w:color="auto"/>
              <w:bottom w:val="nil" w:sz="6" w:space="0" w:color="auto"/>
              <w:right w:val="nil" w:sz="6" w:space="0" w:color="auto"/>
            </w:tcBorders>
          </w:tcPr>
          <w:p>
            <w:pPr/>
          </w:p>
        </w:tc>
        <w:tc>
          <w:tcPr>
            <w:tcW w:w="1606" w:type="dxa"/>
            <w:tcBorders>
              <w:top w:val="single" w:sz="6" w:space="0" w:color="000000"/>
              <w:left w:val="nil" w:sz="6" w:space="0" w:color="auto"/>
              <w:bottom w:val="single" w:sz="17" w:space="0" w:color="000000"/>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189" w:right="0"/>
              <w:jc w:val="left"/>
              <w:rPr>
                <w:rFonts w:ascii="Arial" w:hAnsi="Arial" w:cs="Arial" w:eastAsia="Arial" w:hint="default"/>
                <w:sz w:val="20"/>
                <w:szCs w:val="20"/>
              </w:rPr>
            </w:pPr>
            <w:r>
              <w:rPr>
                <w:rFonts w:ascii="Arial"/>
                <w:sz w:val="20"/>
              </w:rPr>
              <w:t>31,033,705,687</w:t>
            </w:r>
          </w:p>
        </w:tc>
      </w:tr>
    </w:tbl>
    <w:p>
      <w:pPr>
        <w:spacing w:line="240" w:lineRule="auto" w:before="2"/>
        <w:rPr>
          <w:rFonts w:ascii="宋体" w:hAnsi="宋体" w:cs="宋体" w:eastAsia="宋体" w:hint="default"/>
          <w:sz w:val="14"/>
          <w:szCs w:val="14"/>
        </w:rPr>
      </w:pPr>
    </w:p>
    <w:p>
      <w:pPr>
        <w:pStyle w:val="BodyText"/>
        <w:spacing w:line="293" w:lineRule="exact" w:before="32"/>
        <w:ind w:left="544" w:right="0"/>
        <w:jc w:val="left"/>
      </w:pPr>
      <w:r>
        <w:rPr/>
        <w:t>如附注十二所述，本公司于 </w:t>
      </w:r>
      <w:r>
        <w:rPr>
          <w:rFonts w:ascii="Arial" w:hAnsi="Arial" w:cs="Arial" w:eastAsia="Arial" w:hint="default"/>
        </w:rPr>
        <w:t>2019</w:t>
      </w:r>
      <w:r>
        <w:rPr>
          <w:rFonts w:ascii="Arial" w:hAnsi="Arial" w:cs="Arial" w:eastAsia="Arial" w:hint="default"/>
          <w:spacing w:val="6"/>
        </w:rPr>
        <w:t> </w:t>
      </w:r>
      <w:r>
        <w:rPr/>
        <w:t>年向限制性股票激励计划激励对象预留授予人民币普通股股</w:t>
      </w:r>
    </w:p>
    <w:p>
      <w:pPr>
        <w:pStyle w:val="BodyText"/>
        <w:spacing w:line="293" w:lineRule="exact"/>
        <w:ind w:left="540" w:right="0"/>
        <w:jc w:val="left"/>
      </w:pPr>
      <w:r>
        <w:rPr/>
        <w:t>票</w:t>
      </w:r>
      <w:r>
        <w:rPr>
          <w:spacing w:val="-56"/>
        </w:rPr>
        <w:t> </w:t>
      </w:r>
      <w:r>
        <w:rPr>
          <w:rFonts w:ascii="Arial" w:hAnsi="Arial" w:cs="Arial" w:eastAsia="Arial" w:hint="default"/>
        </w:rPr>
        <w:t>13,156,000</w:t>
      </w:r>
      <w:r>
        <w:rPr>
          <w:rFonts w:ascii="Arial" w:hAnsi="Arial" w:cs="Arial" w:eastAsia="Arial" w:hint="default"/>
          <w:spacing w:val="-5"/>
        </w:rPr>
        <w:t> </w:t>
      </w:r>
      <w:r>
        <w:rPr/>
        <w:t>股，回购注销人民币普通股股票</w:t>
      </w:r>
      <w:r>
        <w:rPr>
          <w:spacing w:val="-56"/>
        </w:rPr>
        <w:t> </w:t>
      </w:r>
      <w:r>
        <w:rPr>
          <w:rFonts w:ascii="Arial" w:hAnsi="Arial" w:cs="Arial" w:eastAsia="Arial" w:hint="default"/>
        </w:rPr>
        <w:t>7,262,000</w:t>
      </w:r>
      <w:r>
        <w:rPr>
          <w:rFonts w:ascii="Arial" w:hAnsi="Arial" w:cs="Arial" w:eastAsia="Arial" w:hint="default"/>
          <w:spacing w:val="-9"/>
        </w:rPr>
        <w:t> </w:t>
      </w:r>
      <w:r>
        <w:rPr/>
        <w:t>股。</w:t>
      </w:r>
    </w:p>
    <w:p>
      <w:pPr>
        <w:spacing w:after="0" w:line="293" w:lineRule="exact"/>
        <w:jc w:val="left"/>
        <w:sectPr>
          <w:headerReference w:type="default" r:id="rId187"/>
          <w:pgSz w:w="11910" w:h="16840"/>
          <w:pgMar w:header="1188" w:footer="502" w:top="3040" w:bottom="700" w:left="1020" w:right="1180"/>
        </w:sectPr>
      </w:pPr>
    </w:p>
    <w:p>
      <w:pPr>
        <w:spacing w:line="240" w:lineRule="auto" w:before="7"/>
        <w:rPr>
          <w:rFonts w:ascii="宋体" w:hAnsi="宋体" w:cs="宋体" w:eastAsia="宋体" w:hint="default"/>
          <w:sz w:val="16"/>
          <w:szCs w:val="16"/>
        </w:rPr>
      </w:pPr>
    </w:p>
    <w:p>
      <w:pPr>
        <w:pStyle w:val="BodyText"/>
        <w:spacing w:line="240" w:lineRule="auto" w:before="32"/>
        <w:ind w:left="112" w:right="0"/>
        <w:jc w:val="left"/>
      </w:pPr>
      <w:r>
        <w:rPr>
          <w:rFonts w:ascii="Arial" w:hAnsi="Arial" w:cs="Arial" w:eastAsia="Arial" w:hint="default"/>
        </w:rPr>
        <w:t>32</w:t>
      </w:r>
      <w:r>
        <w:rPr/>
        <w:t>、资本公积</w:t>
      </w:r>
    </w:p>
    <w:p>
      <w:pPr>
        <w:spacing w:line="240" w:lineRule="auto" w:before="1"/>
        <w:rPr>
          <w:rFonts w:ascii="宋体" w:hAnsi="宋体" w:cs="宋体" w:eastAsia="宋体" w:hint="default"/>
          <w:sz w:val="19"/>
          <w:szCs w:val="19"/>
        </w:rPr>
      </w:pPr>
    </w:p>
    <w:tbl>
      <w:tblPr>
        <w:tblW w:w="0" w:type="auto"/>
        <w:jc w:val="left"/>
        <w:tblInd w:w="559" w:type="dxa"/>
        <w:tblLayout w:type="fixed"/>
        <w:tblCellMar>
          <w:top w:w="0" w:type="dxa"/>
          <w:left w:w="0" w:type="dxa"/>
          <w:bottom w:w="0" w:type="dxa"/>
          <w:right w:w="0" w:type="dxa"/>
        </w:tblCellMar>
        <w:tblLook w:val="01E0"/>
      </w:tblPr>
      <w:tblGrid>
        <w:gridCol w:w="3610"/>
        <w:gridCol w:w="451"/>
        <w:gridCol w:w="1374"/>
        <w:gridCol w:w="1067"/>
        <w:gridCol w:w="1214"/>
        <w:gridCol w:w="1366"/>
      </w:tblGrid>
      <w:tr>
        <w:trPr>
          <w:trHeight w:val="398" w:hRule="exact"/>
        </w:trPr>
        <w:tc>
          <w:tcPr>
            <w:tcW w:w="3610" w:type="dxa"/>
            <w:tcBorders>
              <w:top w:val="nil" w:sz="6" w:space="0" w:color="auto"/>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6"/>
                <w:szCs w:val="16"/>
              </w:rPr>
            </w:pPr>
            <w:r>
              <w:rPr>
                <w:rFonts w:ascii="宋体" w:hAnsi="宋体" w:cs="宋体" w:eastAsia="宋体" w:hint="default"/>
                <w:sz w:val="16"/>
                <w:szCs w:val="16"/>
              </w:rPr>
              <w:t>项目</w:t>
            </w:r>
          </w:p>
        </w:tc>
        <w:tc>
          <w:tcPr>
            <w:tcW w:w="451" w:type="dxa"/>
            <w:tcBorders>
              <w:top w:val="nil" w:sz="6" w:space="0" w:color="auto"/>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28" w:right="0"/>
              <w:jc w:val="center"/>
              <w:rPr>
                <w:rFonts w:ascii="宋体" w:hAnsi="宋体" w:cs="宋体" w:eastAsia="宋体" w:hint="default"/>
                <w:sz w:val="16"/>
                <w:szCs w:val="16"/>
              </w:rPr>
            </w:pPr>
            <w:r>
              <w:rPr>
                <w:rFonts w:ascii="宋体" w:hAnsi="宋体" w:cs="宋体" w:eastAsia="宋体" w:hint="default"/>
                <w:sz w:val="16"/>
                <w:szCs w:val="16"/>
              </w:rPr>
              <w:t>注释</w:t>
            </w:r>
          </w:p>
        </w:tc>
        <w:tc>
          <w:tcPr>
            <w:tcW w:w="1374" w:type="dxa"/>
            <w:tcBorders>
              <w:top w:val="nil" w:sz="6" w:space="0" w:color="auto"/>
              <w:left w:val="nil" w:sz="6" w:space="0" w:color="auto"/>
              <w:bottom w:val="single" w:sz="6" w:space="0" w:color="000000"/>
              <w:right w:val="nil" w:sz="6" w:space="0" w:color="auto"/>
            </w:tcBorders>
          </w:tcPr>
          <w:p>
            <w:pPr>
              <w:pStyle w:val="TableParagraph"/>
              <w:spacing w:line="163" w:lineRule="exact"/>
              <w:ind w:left="681" w:right="0"/>
              <w:jc w:val="left"/>
              <w:rPr>
                <w:rFonts w:ascii="宋体" w:hAnsi="宋体" w:cs="宋体" w:eastAsia="宋体" w:hint="default"/>
                <w:sz w:val="16"/>
                <w:szCs w:val="16"/>
              </w:rPr>
            </w:pPr>
            <w:r>
              <w:rPr>
                <w:rFonts w:ascii="Arial" w:hAnsi="Arial" w:cs="Arial" w:eastAsia="Arial" w:hint="default"/>
                <w:sz w:val="16"/>
                <w:szCs w:val="16"/>
              </w:rPr>
              <w:t>2018</w:t>
            </w:r>
            <w:r>
              <w:rPr>
                <w:rFonts w:ascii="Arial" w:hAnsi="Arial" w:cs="Arial" w:eastAsia="Arial" w:hint="default"/>
                <w:spacing w:val="-10"/>
                <w:sz w:val="16"/>
                <w:szCs w:val="16"/>
              </w:rPr>
              <w:t> </w:t>
            </w:r>
            <w:r>
              <w:rPr>
                <w:rFonts w:ascii="宋体" w:hAnsi="宋体" w:cs="宋体" w:eastAsia="宋体" w:hint="default"/>
                <w:sz w:val="16"/>
                <w:szCs w:val="16"/>
              </w:rPr>
              <w:t>年</w:t>
            </w:r>
          </w:p>
          <w:p>
            <w:pPr>
              <w:pStyle w:val="TableParagraph"/>
              <w:spacing w:line="214" w:lineRule="exact"/>
              <w:ind w:left="441" w:right="0"/>
              <w:jc w:val="left"/>
              <w:rPr>
                <w:rFonts w:ascii="宋体" w:hAnsi="宋体" w:cs="宋体" w:eastAsia="宋体" w:hint="default"/>
                <w:sz w:val="16"/>
                <w:szCs w:val="16"/>
              </w:rPr>
            </w:pPr>
            <w:r>
              <w:rPr>
                <w:rFonts w:ascii="Arial" w:hAnsi="Arial" w:cs="Arial" w:eastAsia="Arial" w:hint="default"/>
                <w:sz w:val="16"/>
                <w:szCs w:val="16"/>
              </w:rPr>
              <w:t>12</w:t>
            </w:r>
            <w:r>
              <w:rPr>
                <w:rFonts w:ascii="Arial" w:hAnsi="Arial" w:cs="Arial" w:eastAsia="Arial" w:hint="default"/>
                <w:spacing w:val="-7"/>
                <w:sz w:val="16"/>
                <w:szCs w:val="16"/>
              </w:rPr>
              <w:t> </w:t>
            </w:r>
            <w:r>
              <w:rPr>
                <w:rFonts w:ascii="宋体" w:hAnsi="宋体" w:cs="宋体" w:eastAsia="宋体" w:hint="default"/>
                <w:sz w:val="16"/>
                <w:szCs w:val="16"/>
              </w:rPr>
              <w:t>月</w:t>
            </w:r>
            <w:r>
              <w:rPr>
                <w:rFonts w:ascii="宋体" w:hAnsi="宋体" w:cs="宋体" w:eastAsia="宋体" w:hint="default"/>
                <w:spacing w:val="-41"/>
                <w:sz w:val="16"/>
                <w:szCs w:val="16"/>
              </w:rPr>
              <w:t> </w:t>
            </w:r>
            <w:r>
              <w:rPr>
                <w:rFonts w:ascii="Arial" w:hAnsi="Arial" w:cs="Arial" w:eastAsia="Arial" w:hint="default"/>
                <w:sz w:val="16"/>
                <w:szCs w:val="16"/>
              </w:rPr>
              <w:t>31</w:t>
            </w:r>
            <w:r>
              <w:rPr>
                <w:rFonts w:ascii="Arial" w:hAnsi="Arial" w:cs="Arial" w:eastAsia="Arial" w:hint="default"/>
                <w:spacing w:val="-7"/>
                <w:sz w:val="16"/>
                <w:szCs w:val="16"/>
              </w:rPr>
              <w:t> </w:t>
            </w:r>
            <w:r>
              <w:rPr>
                <w:rFonts w:ascii="宋体" w:hAnsi="宋体" w:cs="宋体" w:eastAsia="宋体" w:hint="default"/>
                <w:sz w:val="16"/>
                <w:szCs w:val="16"/>
              </w:rPr>
              <w:t>日</w:t>
            </w:r>
          </w:p>
        </w:tc>
        <w:tc>
          <w:tcPr>
            <w:tcW w:w="1067" w:type="dxa"/>
            <w:tcBorders>
              <w:top w:val="nil" w:sz="6" w:space="0" w:color="auto"/>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86"/>
              <w:jc w:val="right"/>
              <w:rPr>
                <w:rFonts w:ascii="宋体" w:hAnsi="宋体" w:cs="宋体" w:eastAsia="宋体" w:hint="default"/>
                <w:sz w:val="16"/>
                <w:szCs w:val="16"/>
              </w:rPr>
            </w:pPr>
            <w:r>
              <w:rPr>
                <w:rFonts w:ascii="宋体" w:hAnsi="宋体" w:cs="宋体" w:eastAsia="宋体" w:hint="default"/>
                <w:w w:val="95"/>
                <w:sz w:val="16"/>
                <w:szCs w:val="16"/>
              </w:rPr>
              <w:t>本年增加</w:t>
            </w:r>
            <w:r>
              <w:rPr>
                <w:rFonts w:ascii="宋体" w:hAnsi="宋体" w:cs="宋体" w:eastAsia="宋体" w:hint="default"/>
                <w:sz w:val="16"/>
                <w:szCs w:val="16"/>
              </w:rPr>
            </w:r>
          </w:p>
        </w:tc>
        <w:tc>
          <w:tcPr>
            <w:tcW w:w="1214" w:type="dxa"/>
            <w:tcBorders>
              <w:top w:val="nil" w:sz="6" w:space="0" w:color="auto"/>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381" w:right="0"/>
              <w:jc w:val="left"/>
              <w:rPr>
                <w:rFonts w:ascii="宋体" w:hAnsi="宋体" w:cs="宋体" w:eastAsia="宋体" w:hint="default"/>
                <w:sz w:val="16"/>
                <w:szCs w:val="16"/>
              </w:rPr>
            </w:pPr>
            <w:r>
              <w:rPr>
                <w:rFonts w:ascii="宋体" w:hAnsi="宋体" w:cs="宋体" w:eastAsia="宋体" w:hint="default"/>
                <w:sz w:val="16"/>
                <w:szCs w:val="16"/>
              </w:rPr>
              <w:t>本年减少</w:t>
            </w:r>
          </w:p>
        </w:tc>
        <w:tc>
          <w:tcPr>
            <w:tcW w:w="1366" w:type="dxa"/>
            <w:tcBorders>
              <w:top w:val="nil" w:sz="6" w:space="0" w:color="auto"/>
              <w:left w:val="nil" w:sz="6" w:space="0" w:color="auto"/>
              <w:bottom w:val="single" w:sz="6" w:space="0" w:color="000000"/>
              <w:right w:val="nil" w:sz="6" w:space="0" w:color="auto"/>
            </w:tcBorders>
          </w:tcPr>
          <w:p>
            <w:pPr>
              <w:pStyle w:val="TableParagraph"/>
              <w:spacing w:line="163" w:lineRule="exact"/>
              <w:ind w:left="741" w:right="0"/>
              <w:jc w:val="left"/>
              <w:rPr>
                <w:rFonts w:ascii="宋体" w:hAnsi="宋体" w:cs="宋体" w:eastAsia="宋体" w:hint="default"/>
                <w:sz w:val="16"/>
                <w:szCs w:val="16"/>
              </w:rPr>
            </w:pPr>
            <w:r>
              <w:rPr>
                <w:rFonts w:ascii="Arial" w:hAnsi="Arial" w:cs="Arial" w:eastAsia="Arial" w:hint="default"/>
                <w:sz w:val="16"/>
                <w:szCs w:val="16"/>
              </w:rPr>
              <w:t>2019</w:t>
            </w:r>
            <w:r>
              <w:rPr>
                <w:rFonts w:ascii="Arial" w:hAnsi="Arial" w:cs="Arial" w:eastAsia="Arial" w:hint="default"/>
                <w:spacing w:val="-10"/>
                <w:sz w:val="16"/>
                <w:szCs w:val="16"/>
              </w:rPr>
              <w:t> </w:t>
            </w:r>
            <w:r>
              <w:rPr>
                <w:rFonts w:ascii="宋体" w:hAnsi="宋体" w:cs="宋体" w:eastAsia="宋体" w:hint="default"/>
                <w:sz w:val="16"/>
                <w:szCs w:val="16"/>
              </w:rPr>
              <w:t>年</w:t>
            </w:r>
          </w:p>
          <w:p>
            <w:pPr>
              <w:pStyle w:val="TableParagraph"/>
              <w:spacing w:line="214" w:lineRule="exact"/>
              <w:ind w:left="501" w:right="0"/>
              <w:jc w:val="left"/>
              <w:rPr>
                <w:rFonts w:ascii="宋体" w:hAnsi="宋体" w:cs="宋体" w:eastAsia="宋体" w:hint="default"/>
                <w:sz w:val="16"/>
                <w:szCs w:val="16"/>
              </w:rPr>
            </w:pPr>
            <w:r>
              <w:rPr>
                <w:rFonts w:ascii="Arial" w:hAnsi="Arial" w:cs="Arial" w:eastAsia="Arial" w:hint="default"/>
                <w:sz w:val="16"/>
                <w:szCs w:val="16"/>
              </w:rPr>
              <w:t>12</w:t>
            </w:r>
            <w:r>
              <w:rPr>
                <w:rFonts w:ascii="Arial" w:hAnsi="Arial" w:cs="Arial" w:eastAsia="Arial" w:hint="default"/>
                <w:spacing w:val="-7"/>
                <w:sz w:val="16"/>
                <w:szCs w:val="16"/>
              </w:rPr>
              <w:t> </w:t>
            </w:r>
            <w:r>
              <w:rPr>
                <w:rFonts w:ascii="宋体" w:hAnsi="宋体" w:cs="宋体" w:eastAsia="宋体" w:hint="default"/>
                <w:sz w:val="16"/>
                <w:szCs w:val="16"/>
              </w:rPr>
              <w:t>月</w:t>
            </w:r>
            <w:r>
              <w:rPr>
                <w:rFonts w:ascii="宋体" w:hAnsi="宋体" w:cs="宋体" w:eastAsia="宋体" w:hint="default"/>
                <w:spacing w:val="-41"/>
                <w:sz w:val="16"/>
                <w:szCs w:val="16"/>
              </w:rPr>
              <w:t> </w:t>
            </w:r>
            <w:r>
              <w:rPr>
                <w:rFonts w:ascii="Arial" w:hAnsi="Arial" w:cs="Arial" w:eastAsia="Arial" w:hint="default"/>
                <w:sz w:val="16"/>
                <w:szCs w:val="16"/>
              </w:rPr>
              <w:t>31</w:t>
            </w:r>
            <w:r>
              <w:rPr>
                <w:rFonts w:ascii="Arial" w:hAnsi="Arial" w:cs="Arial" w:eastAsia="Arial" w:hint="default"/>
                <w:spacing w:val="-7"/>
                <w:sz w:val="16"/>
                <w:szCs w:val="16"/>
              </w:rPr>
              <w:t> </w:t>
            </w:r>
            <w:r>
              <w:rPr>
                <w:rFonts w:ascii="宋体" w:hAnsi="宋体" w:cs="宋体" w:eastAsia="宋体" w:hint="default"/>
                <w:sz w:val="16"/>
                <w:szCs w:val="16"/>
              </w:rPr>
              <w:t>日</w:t>
            </w:r>
          </w:p>
        </w:tc>
      </w:tr>
      <w:tr>
        <w:trPr>
          <w:trHeight w:val="410" w:hRule="exact"/>
        </w:trPr>
        <w:tc>
          <w:tcPr>
            <w:tcW w:w="3610" w:type="dxa"/>
            <w:tcBorders>
              <w:top w:val="single" w:sz="6"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2"/>
                <w:szCs w:val="12"/>
              </w:rPr>
            </w:pPr>
          </w:p>
          <w:p>
            <w:pPr>
              <w:pStyle w:val="TableParagraph"/>
              <w:spacing w:line="240" w:lineRule="auto"/>
              <w:ind w:left="14" w:right="0"/>
              <w:jc w:val="left"/>
              <w:rPr>
                <w:rFonts w:ascii="宋体" w:hAnsi="宋体" w:cs="宋体" w:eastAsia="宋体" w:hint="default"/>
                <w:sz w:val="16"/>
                <w:szCs w:val="16"/>
              </w:rPr>
            </w:pPr>
            <w:r>
              <w:rPr>
                <w:rFonts w:ascii="宋体" w:hAnsi="宋体" w:cs="宋体" w:eastAsia="宋体" w:hint="default"/>
                <w:sz w:val="16"/>
                <w:szCs w:val="16"/>
              </w:rPr>
              <w:t>发起人出资溢价</w:t>
            </w:r>
          </w:p>
        </w:tc>
        <w:tc>
          <w:tcPr>
            <w:tcW w:w="451" w:type="dxa"/>
            <w:tcBorders>
              <w:top w:val="single" w:sz="6"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2" w:right="0"/>
              <w:jc w:val="center"/>
              <w:rPr>
                <w:rFonts w:ascii="Arial" w:hAnsi="Arial" w:cs="Arial" w:eastAsia="Arial" w:hint="default"/>
                <w:sz w:val="16"/>
                <w:szCs w:val="16"/>
              </w:rPr>
            </w:pPr>
            <w:r>
              <w:rPr>
                <w:rFonts w:ascii="Arial"/>
                <w:spacing w:val="-4"/>
                <w:sz w:val="16"/>
              </w:rPr>
              <w:t>(a)</w:t>
            </w:r>
            <w:r>
              <w:rPr>
                <w:rFonts w:ascii="Arial"/>
                <w:sz w:val="16"/>
              </w:rPr>
            </w:r>
          </w:p>
        </w:tc>
        <w:tc>
          <w:tcPr>
            <w:tcW w:w="1374" w:type="dxa"/>
            <w:tcBorders>
              <w:top w:val="single" w:sz="6"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55"/>
              <w:jc w:val="right"/>
              <w:rPr>
                <w:rFonts w:ascii="Arial" w:hAnsi="Arial" w:cs="Arial" w:eastAsia="Arial" w:hint="default"/>
                <w:sz w:val="16"/>
                <w:szCs w:val="16"/>
              </w:rPr>
            </w:pPr>
            <w:r>
              <w:rPr>
                <w:rFonts w:ascii="Arial"/>
                <w:w w:val="95"/>
                <w:sz w:val="16"/>
              </w:rPr>
              <w:t>7,913,551,905</w:t>
            </w:r>
            <w:r>
              <w:rPr>
                <w:rFonts w:ascii="Arial"/>
                <w:sz w:val="16"/>
              </w:rPr>
            </w:r>
          </w:p>
        </w:tc>
        <w:tc>
          <w:tcPr>
            <w:tcW w:w="1067" w:type="dxa"/>
            <w:tcBorders>
              <w:top w:val="single" w:sz="6"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77"/>
              <w:jc w:val="right"/>
              <w:rPr>
                <w:rFonts w:ascii="Arial" w:hAnsi="Arial" w:cs="Arial" w:eastAsia="Arial" w:hint="default"/>
                <w:sz w:val="16"/>
                <w:szCs w:val="16"/>
              </w:rPr>
            </w:pPr>
            <w:r>
              <w:rPr>
                <w:rFonts w:ascii="Arial"/>
                <w:w w:val="98"/>
                <w:sz w:val="16"/>
              </w:rPr>
              <w:t>-</w:t>
            </w:r>
            <w:r>
              <w:rPr>
                <w:rFonts w:ascii="Arial"/>
                <w:sz w:val="16"/>
              </w:rPr>
            </w:r>
          </w:p>
        </w:tc>
        <w:tc>
          <w:tcPr>
            <w:tcW w:w="1214" w:type="dxa"/>
            <w:tcBorders>
              <w:top w:val="single" w:sz="6"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97"/>
              <w:jc w:val="right"/>
              <w:rPr>
                <w:rFonts w:ascii="Arial" w:hAnsi="Arial" w:cs="Arial" w:eastAsia="Arial" w:hint="default"/>
                <w:sz w:val="16"/>
                <w:szCs w:val="16"/>
              </w:rPr>
            </w:pPr>
            <w:r>
              <w:rPr>
                <w:rFonts w:ascii="Arial"/>
                <w:w w:val="98"/>
                <w:sz w:val="16"/>
              </w:rPr>
              <w:t>-</w:t>
            </w:r>
            <w:r>
              <w:rPr>
                <w:rFonts w:ascii="Arial"/>
                <w:sz w:val="16"/>
              </w:rPr>
            </w:r>
          </w:p>
        </w:tc>
        <w:tc>
          <w:tcPr>
            <w:tcW w:w="1366" w:type="dxa"/>
            <w:tcBorders>
              <w:top w:val="single" w:sz="6"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271" w:right="0"/>
              <w:jc w:val="left"/>
              <w:rPr>
                <w:rFonts w:ascii="Arial" w:hAnsi="Arial" w:cs="Arial" w:eastAsia="Arial" w:hint="default"/>
                <w:sz w:val="16"/>
                <w:szCs w:val="16"/>
              </w:rPr>
            </w:pPr>
            <w:r>
              <w:rPr>
                <w:rFonts w:ascii="Arial"/>
                <w:sz w:val="16"/>
              </w:rPr>
              <w:t>7,913,551,905</w:t>
            </w:r>
          </w:p>
        </w:tc>
      </w:tr>
      <w:tr>
        <w:trPr>
          <w:trHeight w:val="206"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172" w:lineRule="exact"/>
              <w:ind w:left="14" w:right="0"/>
              <w:jc w:val="left"/>
              <w:rPr>
                <w:rFonts w:ascii="宋体" w:hAnsi="宋体" w:cs="宋体" w:eastAsia="宋体" w:hint="default"/>
                <w:sz w:val="16"/>
                <w:szCs w:val="16"/>
              </w:rPr>
            </w:pPr>
            <w:r>
              <w:rPr>
                <w:rFonts w:ascii="宋体" w:hAnsi="宋体" w:cs="宋体" w:eastAsia="宋体" w:hint="default"/>
                <w:sz w:val="16"/>
                <w:szCs w:val="16"/>
              </w:rPr>
              <w:t>人民币普通股发行溢价</w:t>
            </w:r>
          </w:p>
        </w:tc>
        <w:tc>
          <w:tcPr>
            <w:tcW w:w="4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 w:right="0"/>
              <w:jc w:val="center"/>
              <w:rPr>
                <w:rFonts w:ascii="Arial" w:hAnsi="Arial" w:cs="Arial" w:eastAsia="Arial" w:hint="default"/>
                <w:sz w:val="16"/>
                <w:szCs w:val="16"/>
              </w:rPr>
            </w:pPr>
            <w:r>
              <w:rPr>
                <w:rFonts w:ascii="Arial"/>
                <w:spacing w:val="-4"/>
                <w:sz w:val="16"/>
              </w:rPr>
              <w:t>(a)</w:t>
            </w:r>
            <w:r>
              <w:rPr>
                <w:rFonts w:ascii="Arial"/>
                <w:sz w:val="16"/>
              </w:rPr>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6"/>
              <w:jc w:val="right"/>
              <w:rPr>
                <w:rFonts w:ascii="Arial" w:hAnsi="Arial" w:cs="Arial" w:eastAsia="Arial" w:hint="default"/>
                <w:sz w:val="16"/>
                <w:szCs w:val="16"/>
              </w:rPr>
            </w:pPr>
            <w:r>
              <w:rPr>
                <w:rFonts w:ascii="Arial"/>
                <w:w w:val="95"/>
                <w:sz w:val="16"/>
              </w:rPr>
              <w:t>63,921,138,788</w:t>
            </w:r>
            <w:r>
              <w:rPr>
                <w:rFonts w:ascii="Arial"/>
                <w:sz w:val="16"/>
              </w:rPr>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0"/>
              <w:jc w:val="right"/>
              <w:rPr>
                <w:rFonts w:ascii="Arial" w:hAnsi="Arial" w:cs="Arial" w:eastAsia="Arial" w:hint="default"/>
                <w:sz w:val="16"/>
                <w:szCs w:val="16"/>
              </w:rPr>
            </w:pPr>
            <w:r>
              <w:rPr>
                <w:rFonts w:ascii="Arial"/>
                <w:w w:val="95"/>
                <w:sz w:val="16"/>
              </w:rPr>
              <w:t>36,705,240</w:t>
            </w:r>
            <w:r>
              <w:rPr>
                <w:rFonts w:ascii="Arial"/>
                <w:sz w:val="16"/>
              </w:rPr>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70" w:right="0"/>
              <w:jc w:val="left"/>
              <w:rPr>
                <w:rFonts w:ascii="Arial" w:hAnsi="Arial" w:cs="Arial" w:eastAsia="Arial" w:hint="default"/>
                <w:sz w:val="16"/>
                <w:szCs w:val="16"/>
              </w:rPr>
            </w:pPr>
            <w:r>
              <w:rPr>
                <w:rFonts w:ascii="Arial"/>
                <w:sz w:val="16"/>
              </w:rPr>
              <w:t>(20,260,980)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80" w:right="0"/>
              <w:jc w:val="left"/>
              <w:rPr>
                <w:rFonts w:ascii="Arial" w:hAnsi="Arial" w:cs="Arial" w:eastAsia="Arial" w:hint="default"/>
                <w:sz w:val="16"/>
                <w:szCs w:val="16"/>
              </w:rPr>
            </w:pPr>
            <w:r>
              <w:rPr>
                <w:rFonts w:ascii="Arial"/>
                <w:sz w:val="16"/>
              </w:rPr>
              <w:t>63,937,583,048</w:t>
            </w:r>
          </w:p>
        </w:tc>
      </w:tr>
      <w:tr>
        <w:trPr>
          <w:trHeight w:val="209"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172" w:lineRule="exact"/>
              <w:ind w:left="14" w:right="0"/>
              <w:jc w:val="left"/>
              <w:rPr>
                <w:rFonts w:ascii="宋体" w:hAnsi="宋体" w:cs="宋体" w:eastAsia="宋体" w:hint="default"/>
                <w:sz w:val="16"/>
                <w:szCs w:val="16"/>
              </w:rPr>
            </w:pPr>
            <w:r>
              <w:rPr>
                <w:rFonts w:ascii="宋体" w:hAnsi="宋体" w:cs="宋体" w:eastAsia="宋体" w:hint="default"/>
                <w:sz w:val="16"/>
                <w:szCs w:val="16"/>
              </w:rPr>
              <w:t>联通运营公司同一控制下收购相关电信业务的影响</w:t>
            </w:r>
          </w:p>
        </w:tc>
        <w:tc>
          <w:tcPr>
            <w:tcW w:w="4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7" w:right="0"/>
              <w:jc w:val="center"/>
              <w:rPr>
                <w:rFonts w:ascii="Arial" w:hAnsi="Arial" w:cs="Arial" w:eastAsia="Arial" w:hint="default"/>
                <w:sz w:val="16"/>
                <w:szCs w:val="16"/>
              </w:rPr>
            </w:pPr>
            <w:r>
              <w:rPr>
                <w:rFonts w:ascii="Arial"/>
                <w:sz w:val="16"/>
              </w:rPr>
              <w:t>(b)</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7"/>
              <w:jc w:val="right"/>
              <w:rPr>
                <w:rFonts w:ascii="Arial" w:hAnsi="Arial" w:cs="Arial" w:eastAsia="Arial" w:hint="default"/>
                <w:sz w:val="16"/>
                <w:szCs w:val="16"/>
              </w:rPr>
            </w:pPr>
            <w:r>
              <w:rPr>
                <w:rFonts w:ascii="Arial"/>
                <w:w w:val="95"/>
                <w:sz w:val="16"/>
              </w:rPr>
              <w:t>306,029,961</w:t>
            </w:r>
            <w:r>
              <w:rPr>
                <w:rFonts w:ascii="Arial"/>
                <w:sz w:val="16"/>
              </w:rPr>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7"/>
              <w:jc w:val="right"/>
              <w:rPr>
                <w:rFonts w:ascii="Arial" w:hAnsi="Arial" w:cs="Arial" w:eastAsia="Arial" w:hint="default"/>
                <w:sz w:val="16"/>
                <w:szCs w:val="16"/>
              </w:rPr>
            </w:pPr>
            <w:r>
              <w:rPr>
                <w:rFonts w:ascii="Arial"/>
                <w:w w:val="98"/>
                <w:sz w:val="16"/>
              </w:rPr>
              <w:t>-</w:t>
            </w:r>
            <w:r>
              <w:rPr>
                <w:rFonts w:ascii="Arial"/>
                <w:sz w:val="16"/>
              </w:rPr>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7"/>
              <w:jc w:val="right"/>
              <w:rPr>
                <w:rFonts w:ascii="Arial" w:hAnsi="Arial" w:cs="Arial" w:eastAsia="Arial" w:hint="default"/>
                <w:sz w:val="16"/>
                <w:szCs w:val="16"/>
              </w:rPr>
            </w:pPr>
            <w:r>
              <w:rPr>
                <w:rFonts w:ascii="Arial"/>
                <w:w w:val="98"/>
                <w:sz w:val="16"/>
              </w:rPr>
              <w:t>-</w:t>
            </w:r>
            <w:r>
              <w:rPr>
                <w:rFonts w:ascii="Arial"/>
                <w:sz w:val="16"/>
              </w:rPr>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5"/>
              <w:jc w:val="right"/>
              <w:rPr>
                <w:rFonts w:ascii="Arial" w:hAnsi="Arial" w:cs="Arial" w:eastAsia="Arial" w:hint="default"/>
                <w:sz w:val="16"/>
                <w:szCs w:val="16"/>
              </w:rPr>
            </w:pPr>
            <w:r>
              <w:rPr>
                <w:rFonts w:ascii="Arial"/>
                <w:w w:val="95"/>
                <w:sz w:val="16"/>
              </w:rPr>
              <w:t>306,029,961</w:t>
            </w:r>
            <w:r>
              <w:rPr>
                <w:rFonts w:ascii="Arial"/>
                <w:sz w:val="16"/>
              </w:rPr>
            </w:r>
          </w:p>
        </w:tc>
      </w:tr>
      <w:tr>
        <w:trPr>
          <w:trHeight w:val="206"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174" w:lineRule="exact"/>
              <w:ind w:left="14" w:right="0"/>
              <w:jc w:val="left"/>
              <w:rPr>
                <w:rFonts w:ascii="宋体" w:hAnsi="宋体" w:cs="宋体" w:eastAsia="宋体" w:hint="default"/>
                <w:sz w:val="16"/>
                <w:szCs w:val="16"/>
              </w:rPr>
            </w:pPr>
            <w:r>
              <w:rPr>
                <w:rFonts w:ascii="宋体" w:hAnsi="宋体" w:cs="宋体" w:eastAsia="宋体" w:hint="default"/>
                <w:sz w:val="16"/>
                <w:szCs w:val="16"/>
              </w:rPr>
              <w:t>子公司企业改制评估增值的影响</w:t>
            </w:r>
          </w:p>
        </w:tc>
        <w:tc>
          <w:tcPr>
            <w:tcW w:w="45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3" w:right="0"/>
              <w:jc w:val="center"/>
              <w:rPr>
                <w:rFonts w:ascii="Arial" w:hAnsi="Arial" w:cs="Arial" w:eastAsia="Arial" w:hint="default"/>
                <w:sz w:val="16"/>
                <w:szCs w:val="16"/>
              </w:rPr>
            </w:pPr>
            <w:r>
              <w:rPr>
                <w:rFonts w:ascii="Arial"/>
                <w:sz w:val="16"/>
              </w:rPr>
              <w:t>(c)</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56"/>
              <w:jc w:val="right"/>
              <w:rPr>
                <w:rFonts w:ascii="Arial" w:hAnsi="Arial" w:cs="Arial" w:eastAsia="Arial" w:hint="default"/>
                <w:sz w:val="16"/>
                <w:szCs w:val="16"/>
              </w:rPr>
            </w:pPr>
            <w:r>
              <w:rPr>
                <w:rFonts w:ascii="Arial"/>
                <w:w w:val="95"/>
                <w:sz w:val="16"/>
              </w:rPr>
              <w:t>29,996,252</w:t>
            </w:r>
            <w:r>
              <w:rPr>
                <w:rFonts w:ascii="Arial"/>
                <w:sz w:val="16"/>
              </w:rPr>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77"/>
              <w:jc w:val="right"/>
              <w:rPr>
                <w:rFonts w:ascii="Arial" w:hAnsi="Arial" w:cs="Arial" w:eastAsia="Arial" w:hint="default"/>
                <w:sz w:val="16"/>
                <w:szCs w:val="16"/>
              </w:rPr>
            </w:pPr>
            <w:r>
              <w:rPr>
                <w:rFonts w:ascii="Arial"/>
                <w:w w:val="98"/>
                <w:sz w:val="16"/>
              </w:rPr>
              <w:t>-</w:t>
            </w:r>
            <w:r>
              <w:rPr>
                <w:rFonts w:ascii="Arial"/>
                <w:sz w:val="16"/>
              </w:rPr>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97"/>
              <w:jc w:val="right"/>
              <w:rPr>
                <w:rFonts w:ascii="Arial" w:hAnsi="Arial" w:cs="Arial" w:eastAsia="Arial" w:hint="default"/>
                <w:sz w:val="16"/>
                <w:szCs w:val="16"/>
              </w:rPr>
            </w:pPr>
            <w:r>
              <w:rPr>
                <w:rFonts w:ascii="Arial"/>
                <w:w w:val="98"/>
                <w:sz w:val="16"/>
              </w:rPr>
              <w:t>-</w:t>
            </w:r>
            <w:r>
              <w:rPr>
                <w:rFonts w:ascii="Arial"/>
                <w:sz w:val="16"/>
              </w:rPr>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73"/>
              <w:jc w:val="right"/>
              <w:rPr>
                <w:rFonts w:ascii="Arial" w:hAnsi="Arial" w:cs="Arial" w:eastAsia="Arial" w:hint="default"/>
                <w:sz w:val="16"/>
                <w:szCs w:val="16"/>
              </w:rPr>
            </w:pPr>
            <w:r>
              <w:rPr>
                <w:rFonts w:ascii="Arial"/>
                <w:w w:val="95"/>
                <w:sz w:val="16"/>
              </w:rPr>
              <w:t>29,996,252</w:t>
            </w:r>
            <w:r>
              <w:rPr>
                <w:rFonts w:ascii="Arial"/>
                <w:sz w:val="16"/>
              </w:rPr>
            </w:r>
          </w:p>
        </w:tc>
      </w:tr>
      <w:tr>
        <w:trPr>
          <w:trHeight w:val="209"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174" w:lineRule="exact"/>
              <w:ind w:left="14" w:right="0"/>
              <w:jc w:val="left"/>
              <w:rPr>
                <w:rFonts w:ascii="宋体" w:hAnsi="宋体" w:cs="宋体" w:eastAsia="宋体" w:hint="default"/>
                <w:sz w:val="16"/>
                <w:szCs w:val="16"/>
              </w:rPr>
            </w:pPr>
            <w:r>
              <w:rPr>
                <w:rFonts w:ascii="宋体" w:hAnsi="宋体" w:cs="宋体" w:eastAsia="宋体" w:hint="default"/>
                <w:sz w:val="16"/>
                <w:szCs w:val="16"/>
              </w:rPr>
              <w:t>与股份期权相关的员工薪酬所确认金额的影响</w:t>
            </w:r>
          </w:p>
        </w:tc>
        <w:tc>
          <w:tcPr>
            <w:tcW w:w="45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7" w:right="0"/>
              <w:jc w:val="center"/>
              <w:rPr>
                <w:rFonts w:ascii="Arial" w:hAnsi="Arial" w:cs="Arial" w:eastAsia="Arial" w:hint="default"/>
                <w:sz w:val="16"/>
                <w:szCs w:val="16"/>
              </w:rPr>
            </w:pPr>
            <w:r>
              <w:rPr>
                <w:rFonts w:ascii="Arial"/>
                <w:sz w:val="16"/>
              </w:rPr>
              <w:t>(d)</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7"/>
              <w:jc w:val="right"/>
              <w:rPr>
                <w:rFonts w:ascii="Arial" w:hAnsi="Arial" w:cs="Arial" w:eastAsia="Arial" w:hint="default"/>
                <w:sz w:val="16"/>
                <w:szCs w:val="16"/>
              </w:rPr>
            </w:pPr>
            <w:r>
              <w:rPr>
                <w:rFonts w:ascii="Arial"/>
                <w:w w:val="95"/>
                <w:sz w:val="16"/>
              </w:rPr>
              <w:t>300,864,206</w:t>
            </w:r>
            <w:r>
              <w:rPr>
                <w:rFonts w:ascii="Arial"/>
                <w:sz w:val="16"/>
              </w:rPr>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77"/>
              <w:jc w:val="right"/>
              <w:rPr>
                <w:rFonts w:ascii="Arial" w:hAnsi="Arial" w:cs="Arial" w:eastAsia="Arial" w:hint="default"/>
                <w:sz w:val="16"/>
                <w:szCs w:val="16"/>
              </w:rPr>
            </w:pPr>
            <w:r>
              <w:rPr>
                <w:rFonts w:ascii="Arial"/>
                <w:w w:val="98"/>
                <w:sz w:val="16"/>
              </w:rPr>
              <w:t>-</w:t>
            </w:r>
            <w:r>
              <w:rPr>
                <w:rFonts w:ascii="Arial"/>
                <w:sz w:val="16"/>
              </w:rPr>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7"/>
              <w:jc w:val="right"/>
              <w:rPr>
                <w:rFonts w:ascii="Arial" w:hAnsi="Arial" w:cs="Arial" w:eastAsia="Arial" w:hint="default"/>
                <w:sz w:val="16"/>
                <w:szCs w:val="16"/>
              </w:rPr>
            </w:pPr>
            <w:r>
              <w:rPr>
                <w:rFonts w:ascii="Arial"/>
                <w:w w:val="98"/>
                <w:sz w:val="16"/>
              </w:rPr>
              <w:t>-</w:t>
            </w:r>
            <w:r>
              <w:rPr>
                <w:rFonts w:ascii="Arial"/>
                <w:sz w:val="16"/>
              </w:rPr>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75"/>
              <w:jc w:val="right"/>
              <w:rPr>
                <w:rFonts w:ascii="Arial" w:hAnsi="Arial" w:cs="Arial" w:eastAsia="Arial" w:hint="default"/>
                <w:sz w:val="16"/>
                <w:szCs w:val="16"/>
              </w:rPr>
            </w:pPr>
            <w:r>
              <w:rPr>
                <w:rFonts w:ascii="Arial"/>
                <w:w w:val="95"/>
                <w:sz w:val="16"/>
              </w:rPr>
              <w:t>300,864,206</w:t>
            </w:r>
            <w:r>
              <w:rPr>
                <w:rFonts w:ascii="Arial"/>
                <w:sz w:val="16"/>
              </w:rPr>
            </w:r>
          </w:p>
        </w:tc>
      </w:tr>
      <w:tr>
        <w:trPr>
          <w:trHeight w:val="206"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172" w:lineRule="exact"/>
              <w:ind w:left="14" w:right="0"/>
              <w:jc w:val="left"/>
              <w:rPr>
                <w:rFonts w:ascii="宋体" w:hAnsi="宋体" w:cs="宋体" w:eastAsia="宋体" w:hint="default"/>
                <w:sz w:val="16"/>
                <w:szCs w:val="16"/>
              </w:rPr>
            </w:pPr>
            <w:r>
              <w:rPr>
                <w:rFonts w:ascii="宋体" w:hAnsi="宋体" w:cs="宋体" w:eastAsia="宋体" w:hint="default"/>
                <w:sz w:val="16"/>
                <w:szCs w:val="16"/>
              </w:rPr>
              <w:t>联通红筹公司为投资西班牙电信而增发的股份</w:t>
            </w:r>
          </w:p>
        </w:tc>
        <w:tc>
          <w:tcPr>
            <w:tcW w:w="4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 w:right="0"/>
              <w:jc w:val="center"/>
              <w:rPr>
                <w:rFonts w:ascii="Arial" w:hAnsi="Arial" w:cs="Arial" w:eastAsia="Arial" w:hint="default"/>
                <w:sz w:val="16"/>
                <w:szCs w:val="16"/>
              </w:rPr>
            </w:pPr>
            <w:r>
              <w:rPr>
                <w:rFonts w:ascii="Arial"/>
                <w:spacing w:val="-4"/>
                <w:sz w:val="16"/>
              </w:rPr>
              <w:t>(e)</w:t>
            </w:r>
            <w:r>
              <w:rPr>
                <w:rFonts w:ascii="Arial"/>
                <w:sz w:val="16"/>
              </w:rPr>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5"/>
              <w:jc w:val="right"/>
              <w:rPr>
                <w:rFonts w:ascii="Arial" w:hAnsi="Arial" w:cs="Arial" w:eastAsia="Arial" w:hint="default"/>
                <w:sz w:val="16"/>
                <w:szCs w:val="16"/>
              </w:rPr>
            </w:pPr>
            <w:r>
              <w:rPr>
                <w:rFonts w:ascii="Arial"/>
                <w:w w:val="95"/>
                <w:sz w:val="16"/>
              </w:rPr>
              <w:t>2,274,479,484</w:t>
            </w:r>
            <w:r>
              <w:rPr>
                <w:rFonts w:ascii="Arial"/>
                <w:sz w:val="16"/>
              </w:rPr>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7"/>
              <w:jc w:val="right"/>
              <w:rPr>
                <w:rFonts w:ascii="Arial" w:hAnsi="Arial" w:cs="Arial" w:eastAsia="Arial" w:hint="default"/>
                <w:sz w:val="16"/>
                <w:szCs w:val="16"/>
              </w:rPr>
            </w:pPr>
            <w:r>
              <w:rPr>
                <w:rFonts w:ascii="Arial"/>
                <w:w w:val="98"/>
                <w:sz w:val="16"/>
              </w:rPr>
              <w:t>-</w:t>
            </w:r>
            <w:r>
              <w:rPr>
                <w:rFonts w:ascii="Arial"/>
                <w:sz w:val="16"/>
              </w:rPr>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7"/>
              <w:jc w:val="right"/>
              <w:rPr>
                <w:rFonts w:ascii="Arial" w:hAnsi="Arial" w:cs="Arial" w:eastAsia="Arial" w:hint="default"/>
                <w:sz w:val="16"/>
                <w:szCs w:val="16"/>
              </w:rPr>
            </w:pPr>
            <w:r>
              <w:rPr>
                <w:rFonts w:ascii="Arial"/>
                <w:w w:val="98"/>
                <w:sz w:val="16"/>
              </w:rPr>
              <w:t>-</w:t>
            </w:r>
            <w:r>
              <w:rPr>
                <w:rFonts w:ascii="Arial"/>
                <w:sz w:val="16"/>
              </w:rPr>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71" w:right="0"/>
              <w:jc w:val="left"/>
              <w:rPr>
                <w:rFonts w:ascii="Arial" w:hAnsi="Arial" w:cs="Arial" w:eastAsia="Arial" w:hint="default"/>
                <w:sz w:val="16"/>
                <w:szCs w:val="16"/>
              </w:rPr>
            </w:pPr>
            <w:r>
              <w:rPr>
                <w:rFonts w:ascii="Arial"/>
                <w:sz w:val="16"/>
              </w:rPr>
              <w:t>2,274,479,484</w:t>
            </w:r>
          </w:p>
        </w:tc>
      </w:tr>
      <w:tr>
        <w:trPr>
          <w:trHeight w:val="415"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170" w:lineRule="exact"/>
              <w:ind w:left="14" w:right="0"/>
              <w:jc w:val="left"/>
              <w:rPr>
                <w:rFonts w:ascii="宋体" w:hAnsi="宋体" w:cs="宋体" w:eastAsia="宋体" w:hint="default"/>
                <w:sz w:val="16"/>
                <w:szCs w:val="16"/>
              </w:rPr>
            </w:pPr>
            <w:r>
              <w:rPr>
                <w:rFonts w:ascii="宋体" w:hAnsi="宋体" w:cs="宋体" w:eastAsia="宋体" w:hint="default"/>
                <w:sz w:val="16"/>
                <w:szCs w:val="16"/>
              </w:rPr>
              <w:t>确认子公司员工行使股份期权所增加的子公司权益</w:t>
            </w:r>
          </w:p>
          <w:p>
            <w:pPr>
              <w:pStyle w:val="TableParagraph"/>
              <w:spacing w:line="208" w:lineRule="exact"/>
              <w:ind w:left="172" w:right="0"/>
              <w:jc w:val="left"/>
              <w:rPr>
                <w:rFonts w:ascii="宋体" w:hAnsi="宋体" w:cs="宋体" w:eastAsia="宋体" w:hint="default"/>
                <w:sz w:val="16"/>
                <w:szCs w:val="16"/>
              </w:rPr>
            </w:pPr>
            <w:r>
              <w:rPr>
                <w:rFonts w:ascii="宋体" w:hAnsi="宋体" w:cs="宋体" w:eastAsia="宋体" w:hint="default"/>
                <w:sz w:val="16"/>
                <w:szCs w:val="16"/>
              </w:rPr>
              <w:t>的影响</w:t>
            </w:r>
          </w:p>
        </w:tc>
        <w:tc>
          <w:tcPr>
            <w:tcW w:w="45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28" w:right="0"/>
              <w:jc w:val="center"/>
              <w:rPr>
                <w:rFonts w:ascii="Arial" w:hAnsi="Arial" w:cs="Arial" w:eastAsia="Arial" w:hint="default"/>
                <w:sz w:val="16"/>
                <w:szCs w:val="16"/>
              </w:rPr>
            </w:pPr>
            <w:r>
              <w:rPr>
                <w:rFonts w:ascii="Arial"/>
                <w:sz w:val="16"/>
              </w:rPr>
              <w:t>(f)</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57"/>
              <w:jc w:val="right"/>
              <w:rPr>
                <w:rFonts w:ascii="Arial" w:hAnsi="Arial" w:cs="Arial" w:eastAsia="Arial" w:hint="default"/>
                <w:sz w:val="16"/>
                <w:szCs w:val="16"/>
              </w:rPr>
            </w:pPr>
            <w:r>
              <w:rPr>
                <w:rFonts w:ascii="Arial"/>
                <w:w w:val="95"/>
                <w:sz w:val="16"/>
              </w:rPr>
              <w:t>686,078,232</w:t>
            </w:r>
            <w:r>
              <w:rPr>
                <w:rFonts w:ascii="Arial"/>
                <w:sz w:val="16"/>
              </w:rPr>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77"/>
              <w:jc w:val="right"/>
              <w:rPr>
                <w:rFonts w:ascii="Arial" w:hAnsi="Arial" w:cs="Arial" w:eastAsia="Arial" w:hint="default"/>
                <w:sz w:val="16"/>
                <w:szCs w:val="16"/>
              </w:rPr>
            </w:pPr>
            <w:r>
              <w:rPr>
                <w:rFonts w:ascii="Arial"/>
                <w:w w:val="98"/>
                <w:sz w:val="16"/>
              </w:rPr>
              <w:t>-</w:t>
            </w:r>
            <w:r>
              <w:rPr>
                <w:rFonts w:ascii="Arial"/>
                <w:sz w:val="16"/>
              </w:rPr>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97"/>
              <w:jc w:val="right"/>
              <w:rPr>
                <w:rFonts w:ascii="Arial" w:hAnsi="Arial" w:cs="Arial" w:eastAsia="Arial" w:hint="default"/>
                <w:sz w:val="16"/>
                <w:szCs w:val="16"/>
              </w:rPr>
            </w:pPr>
            <w:r>
              <w:rPr>
                <w:rFonts w:ascii="Arial"/>
                <w:w w:val="98"/>
                <w:sz w:val="16"/>
              </w:rPr>
              <w:t>-</w:t>
            </w:r>
            <w:r>
              <w:rPr>
                <w:rFonts w:ascii="Arial"/>
                <w:sz w:val="16"/>
              </w:rPr>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75"/>
              <w:jc w:val="right"/>
              <w:rPr>
                <w:rFonts w:ascii="Arial" w:hAnsi="Arial" w:cs="Arial" w:eastAsia="Arial" w:hint="default"/>
                <w:sz w:val="16"/>
                <w:szCs w:val="16"/>
              </w:rPr>
            </w:pPr>
            <w:r>
              <w:rPr>
                <w:rFonts w:ascii="Arial"/>
                <w:w w:val="95"/>
                <w:sz w:val="16"/>
              </w:rPr>
              <w:t>686,078,232</w:t>
            </w:r>
            <w:r>
              <w:rPr>
                <w:rFonts w:ascii="Arial"/>
                <w:sz w:val="16"/>
              </w:rPr>
            </w:r>
          </w:p>
        </w:tc>
      </w:tr>
      <w:tr>
        <w:trPr>
          <w:trHeight w:val="209"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174" w:lineRule="exact"/>
              <w:ind w:left="14" w:right="0"/>
              <w:jc w:val="left"/>
              <w:rPr>
                <w:rFonts w:ascii="宋体" w:hAnsi="宋体" w:cs="宋体" w:eastAsia="宋体" w:hint="default"/>
                <w:sz w:val="16"/>
                <w:szCs w:val="16"/>
              </w:rPr>
            </w:pPr>
            <w:r>
              <w:rPr>
                <w:rFonts w:ascii="宋体" w:hAnsi="宋体" w:cs="宋体" w:eastAsia="宋体" w:hint="default"/>
                <w:sz w:val="16"/>
                <w:szCs w:val="16"/>
              </w:rPr>
              <w:t>子公司未分配利润转增资本的影响</w:t>
            </w:r>
          </w:p>
        </w:tc>
        <w:tc>
          <w:tcPr>
            <w:tcW w:w="45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7" w:right="0"/>
              <w:jc w:val="center"/>
              <w:rPr>
                <w:rFonts w:ascii="Arial" w:hAnsi="Arial" w:cs="Arial" w:eastAsia="Arial" w:hint="default"/>
                <w:sz w:val="16"/>
                <w:szCs w:val="16"/>
              </w:rPr>
            </w:pPr>
            <w:r>
              <w:rPr>
                <w:rFonts w:ascii="Arial"/>
                <w:sz w:val="16"/>
              </w:rPr>
              <w:t>(g)</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6"/>
              <w:jc w:val="right"/>
              <w:rPr>
                <w:rFonts w:ascii="Arial" w:hAnsi="Arial" w:cs="Arial" w:eastAsia="Arial" w:hint="default"/>
                <w:sz w:val="16"/>
                <w:szCs w:val="16"/>
              </w:rPr>
            </w:pPr>
            <w:r>
              <w:rPr>
                <w:rFonts w:ascii="Arial"/>
                <w:w w:val="95"/>
                <w:sz w:val="16"/>
              </w:rPr>
              <w:t>10,414,323,266</w:t>
            </w:r>
            <w:r>
              <w:rPr>
                <w:rFonts w:ascii="Arial"/>
                <w:sz w:val="16"/>
              </w:rPr>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77"/>
              <w:jc w:val="right"/>
              <w:rPr>
                <w:rFonts w:ascii="Arial" w:hAnsi="Arial" w:cs="Arial" w:eastAsia="Arial" w:hint="default"/>
                <w:sz w:val="16"/>
                <w:szCs w:val="16"/>
              </w:rPr>
            </w:pPr>
            <w:r>
              <w:rPr>
                <w:rFonts w:ascii="Arial"/>
                <w:w w:val="98"/>
                <w:sz w:val="16"/>
              </w:rPr>
              <w:t>-</w:t>
            </w:r>
            <w:r>
              <w:rPr>
                <w:rFonts w:ascii="Arial"/>
                <w:sz w:val="16"/>
              </w:rPr>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7"/>
              <w:jc w:val="right"/>
              <w:rPr>
                <w:rFonts w:ascii="Arial" w:hAnsi="Arial" w:cs="Arial" w:eastAsia="Arial" w:hint="default"/>
                <w:sz w:val="16"/>
                <w:szCs w:val="16"/>
              </w:rPr>
            </w:pPr>
            <w:r>
              <w:rPr>
                <w:rFonts w:ascii="Arial"/>
                <w:w w:val="98"/>
                <w:sz w:val="16"/>
              </w:rPr>
              <w:t>-</w:t>
            </w:r>
            <w:r>
              <w:rPr>
                <w:rFonts w:ascii="Arial"/>
                <w:sz w:val="16"/>
              </w:rPr>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80" w:right="0"/>
              <w:jc w:val="left"/>
              <w:rPr>
                <w:rFonts w:ascii="Arial" w:hAnsi="Arial" w:cs="Arial" w:eastAsia="Arial" w:hint="default"/>
                <w:sz w:val="16"/>
                <w:szCs w:val="16"/>
              </w:rPr>
            </w:pPr>
            <w:r>
              <w:rPr>
                <w:rFonts w:ascii="Arial"/>
                <w:sz w:val="16"/>
              </w:rPr>
              <w:t>10,414,323,266</w:t>
            </w:r>
          </w:p>
        </w:tc>
      </w:tr>
      <w:tr>
        <w:trPr>
          <w:trHeight w:val="206"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172" w:lineRule="exact"/>
              <w:ind w:left="14" w:right="0"/>
              <w:jc w:val="left"/>
              <w:rPr>
                <w:rFonts w:ascii="宋体" w:hAnsi="宋体" w:cs="宋体" w:eastAsia="宋体" w:hint="default"/>
                <w:sz w:val="16"/>
                <w:szCs w:val="16"/>
              </w:rPr>
            </w:pPr>
            <w:r>
              <w:rPr>
                <w:rFonts w:ascii="宋体" w:hAnsi="宋体" w:cs="宋体" w:eastAsia="宋体" w:hint="default"/>
                <w:sz w:val="16"/>
                <w:szCs w:val="16"/>
              </w:rPr>
              <w:t>因所持子公司股份变化对资本公积的影响</w:t>
            </w:r>
          </w:p>
        </w:tc>
        <w:tc>
          <w:tcPr>
            <w:tcW w:w="4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7" w:right="0"/>
              <w:jc w:val="center"/>
              <w:rPr>
                <w:rFonts w:ascii="Arial" w:hAnsi="Arial" w:cs="Arial" w:eastAsia="Arial" w:hint="default"/>
                <w:sz w:val="16"/>
                <w:szCs w:val="16"/>
              </w:rPr>
            </w:pPr>
            <w:r>
              <w:rPr>
                <w:rFonts w:ascii="Arial"/>
                <w:sz w:val="16"/>
              </w:rPr>
              <w:t>(h)</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7"/>
              <w:jc w:val="right"/>
              <w:rPr>
                <w:rFonts w:ascii="Arial" w:hAnsi="Arial" w:cs="Arial" w:eastAsia="Arial" w:hint="default"/>
                <w:sz w:val="16"/>
                <w:szCs w:val="16"/>
              </w:rPr>
            </w:pPr>
            <w:r>
              <w:rPr>
                <w:rFonts w:ascii="Arial"/>
                <w:w w:val="95"/>
                <w:sz w:val="16"/>
              </w:rPr>
              <w:t>(10,669,121,620)</w:t>
            </w:r>
            <w:r>
              <w:rPr>
                <w:rFonts w:ascii="Arial"/>
                <w:sz w:val="16"/>
              </w:rPr>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0"/>
              <w:jc w:val="right"/>
              <w:rPr>
                <w:rFonts w:ascii="Arial" w:hAnsi="Arial" w:cs="Arial" w:eastAsia="Arial" w:hint="default"/>
                <w:sz w:val="16"/>
                <w:szCs w:val="16"/>
              </w:rPr>
            </w:pPr>
            <w:r>
              <w:rPr>
                <w:rFonts w:ascii="Arial"/>
                <w:w w:val="95"/>
                <w:sz w:val="16"/>
              </w:rPr>
              <w:t>90,228,534</w:t>
            </w:r>
            <w:r>
              <w:rPr>
                <w:rFonts w:ascii="Arial"/>
                <w:sz w:val="16"/>
              </w:rPr>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7"/>
              <w:jc w:val="right"/>
              <w:rPr>
                <w:rFonts w:ascii="Arial" w:hAnsi="Arial" w:cs="Arial" w:eastAsia="Arial" w:hint="default"/>
                <w:sz w:val="16"/>
                <w:szCs w:val="16"/>
              </w:rPr>
            </w:pPr>
            <w:r>
              <w:rPr>
                <w:rFonts w:ascii="Arial"/>
                <w:w w:val="98"/>
                <w:sz w:val="16"/>
              </w:rPr>
              <w:t>-</w:t>
            </w:r>
            <w:r>
              <w:rPr>
                <w:rFonts w:ascii="Arial"/>
                <w:sz w:val="16"/>
              </w:rPr>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
              <w:jc w:val="right"/>
              <w:rPr>
                <w:rFonts w:ascii="Arial" w:hAnsi="Arial" w:cs="Arial" w:eastAsia="Arial" w:hint="default"/>
                <w:sz w:val="16"/>
                <w:szCs w:val="16"/>
              </w:rPr>
            </w:pPr>
            <w:r>
              <w:rPr>
                <w:rFonts w:ascii="Arial"/>
                <w:w w:val="95"/>
                <w:sz w:val="16"/>
              </w:rPr>
              <w:t>(10,578,893,086)</w:t>
            </w:r>
            <w:r>
              <w:rPr>
                <w:rFonts w:ascii="Arial"/>
                <w:sz w:val="16"/>
              </w:rPr>
            </w:r>
          </w:p>
        </w:tc>
      </w:tr>
      <w:tr>
        <w:trPr>
          <w:trHeight w:val="206"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172" w:lineRule="exact"/>
              <w:ind w:left="14" w:right="0"/>
              <w:jc w:val="left"/>
              <w:rPr>
                <w:rFonts w:ascii="宋体" w:hAnsi="宋体" w:cs="宋体" w:eastAsia="宋体" w:hint="default"/>
                <w:sz w:val="16"/>
                <w:szCs w:val="16"/>
              </w:rPr>
            </w:pPr>
            <w:r>
              <w:rPr>
                <w:rFonts w:ascii="宋体" w:hAnsi="宋体" w:cs="宋体" w:eastAsia="宋体" w:hint="default"/>
                <w:sz w:val="16"/>
                <w:szCs w:val="16"/>
              </w:rPr>
              <w:t>子公司发行可转换债券的影响</w:t>
            </w:r>
          </w:p>
        </w:tc>
        <w:tc>
          <w:tcPr>
            <w:tcW w:w="4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2" w:right="0"/>
              <w:jc w:val="center"/>
              <w:rPr>
                <w:rFonts w:ascii="Arial" w:hAnsi="Arial" w:cs="Arial" w:eastAsia="Arial" w:hint="default"/>
                <w:sz w:val="16"/>
                <w:szCs w:val="16"/>
              </w:rPr>
            </w:pPr>
            <w:r>
              <w:rPr>
                <w:rFonts w:ascii="Arial"/>
                <w:sz w:val="16"/>
              </w:rPr>
              <w:t>(i)</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5"/>
              <w:jc w:val="right"/>
              <w:rPr>
                <w:rFonts w:ascii="Arial" w:hAnsi="Arial" w:cs="Arial" w:eastAsia="Arial" w:hint="default"/>
                <w:sz w:val="16"/>
                <w:szCs w:val="16"/>
              </w:rPr>
            </w:pPr>
            <w:r>
              <w:rPr>
                <w:rFonts w:ascii="Arial"/>
                <w:w w:val="95"/>
                <w:sz w:val="16"/>
              </w:rPr>
              <w:t>3,310,271,931</w:t>
            </w:r>
            <w:r>
              <w:rPr>
                <w:rFonts w:ascii="Arial"/>
                <w:sz w:val="16"/>
              </w:rPr>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7"/>
              <w:jc w:val="right"/>
              <w:rPr>
                <w:rFonts w:ascii="Arial" w:hAnsi="Arial" w:cs="Arial" w:eastAsia="Arial" w:hint="default"/>
                <w:sz w:val="16"/>
                <w:szCs w:val="16"/>
              </w:rPr>
            </w:pPr>
            <w:r>
              <w:rPr>
                <w:rFonts w:ascii="Arial"/>
                <w:w w:val="98"/>
                <w:sz w:val="16"/>
              </w:rPr>
              <w:t>-</w:t>
            </w:r>
            <w:r>
              <w:rPr>
                <w:rFonts w:ascii="Arial"/>
                <w:sz w:val="16"/>
              </w:rPr>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7"/>
              <w:jc w:val="right"/>
              <w:rPr>
                <w:rFonts w:ascii="Arial" w:hAnsi="Arial" w:cs="Arial" w:eastAsia="Arial" w:hint="default"/>
                <w:sz w:val="16"/>
                <w:szCs w:val="16"/>
              </w:rPr>
            </w:pPr>
            <w:r>
              <w:rPr>
                <w:rFonts w:ascii="Arial"/>
                <w:w w:val="98"/>
                <w:sz w:val="16"/>
              </w:rPr>
              <w:t>-</w:t>
            </w:r>
            <w:r>
              <w:rPr>
                <w:rFonts w:ascii="Arial"/>
                <w:sz w:val="16"/>
              </w:rPr>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71" w:right="0"/>
              <w:jc w:val="left"/>
              <w:rPr>
                <w:rFonts w:ascii="Arial" w:hAnsi="Arial" w:cs="Arial" w:eastAsia="Arial" w:hint="default"/>
                <w:sz w:val="16"/>
                <w:szCs w:val="16"/>
              </w:rPr>
            </w:pPr>
            <w:r>
              <w:rPr>
                <w:rFonts w:ascii="Arial"/>
                <w:sz w:val="16"/>
              </w:rPr>
              <w:t>3,310,271,931</w:t>
            </w:r>
          </w:p>
        </w:tc>
      </w:tr>
      <w:tr>
        <w:trPr>
          <w:trHeight w:val="209"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172" w:lineRule="exact"/>
              <w:ind w:left="14" w:right="0"/>
              <w:jc w:val="left"/>
              <w:rPr>
                <w:rFonts w:ascii="宋体" w:hAnsi="宋体" w:cs="宋体" w:eastAsia="宋体" w:hint="default"/>
                <w:sz w:val="16"/>
                <w:szCs w:val="16"/>
              </w:rPr>
            </w:pPr>
            <w:r>
              <w:rPr>
                <w:rFonts w:ascii="宋体" w:hAnsi="宋体" w:cs="宋体" w:eastAsia="宋体" w:hint="default"/>
                <w:sz w:val="16"/>
                <w:szCs w:val="16"/>
              </w:rPr>
              <w:t>股份支付</w:t>
            </w:r>
          </w:p>
        </w:tc>
        <w:tc>
          <w:tcPr>
            <w:tcW w:w="4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2" w:right="0"/>
              <w:jc w:val="center"/>
              <w:rPr>
                <w:rFonts w:ascii="Arial" w:hAnsi="Arial" w:cs="Arial" w:eastAsia="Arial" w:hint="default"/>
                <w:sz w:val="16"/>
                <w:szCs w:val="16"/>
              </w:rPr>
            </w:pPr>
            <w:r>
              <w:rPr>
                <w:rFonts w:ascii="Arial"/>
                <w:sz w:val="16"/>
              </w:rPr>
              <w:t>(j)</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7"/>
              <w:jc w:val="right"/>
              <w:rPr>
                <w:rFonts w:ascii="Arial" w:hAnsi="Arial" w:cs="Arial" w:eastAsia="Arial" w:hint="default"/>
                <w:sz w:val="16"/>
                <w:szCs w:val="16"/>
              </w:rPr>
            </w:pPr>
            <w:r>
              <w:rPr>
                <w:rFonts w:ascii="Arial"/>
                <w:w w:val="95"/>
                <w:sz w:val="16"/>
              </w:rPr>
              <w:t>613,920,000</w:t>
            </w:r>
            <w:r>
              <w:rPr>
                <w:rFonts w:ascii="Arial"/>
                <w:sz w:val="16"/>
              </w:rPr>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
              <w:jc w:val="right"/>
              <w:rPr>
                <w:rFonts w:ascii="Arial" w:hAnsi="Arial" w:cs="Arial" w:eastAsia="Arial" w:hint="default"/>
                <w:sz w:val="16"/>
                <w:szCs w:val="16"/>
              </w:rPr>
            </w:pPr>
            <w:r>
              <w:rPr>
                <w:rFonts w:ascii="Arial"/>
                <w:w w:val="95"/>
                <w:sz w:val="16"/>
              </w:rPr>
              <w:t>570,670,000</w:t>
            </w:r>
            <w:r>
              <w:rPr>
                <w:rFonts w:ascii="Arial"/>
                <w:sz w:val="16"/>
              </w:rPr>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7"/>
              <w:jc w:val="right"/>
              <w:rPr>
                <w:rFonts w:ascii="Arial" w:hAnsi="Arial" w:cs="Arial" w:eastAsia="Arial" w:hint="default"/>
                <w:sz w:val="16"/>
                <w:szCs w:val="16"/>
              </w:rPr>
            </w:pPr>
            <w:r>
              <w:rPr>
                <w:rFonts w:ascii="Arial"/>
                <w:w w:val="98"/>
                <w:sz w:val="16"/>
              </w:rPr>
              <w:t>-</w:t>
            </w:r>
            <w:r>
              <w:rPr>
                <w:rFonts w:ascii="Arial"/>
                <w:sz w:val="16"/>
              </w:rPr>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71" w:right="0"/>
              <w:jc w:val="left"/>
              <w:rPr>
                <w:rFonts w:ascii="Arial" w:hAnsi="Arial" w:cs="Arial" w:eastAsia="Arial" w:hint="default"/>
                <w:sz w:val="16"/>
                <w:szCs w:val="16"/>
              </w:rPr>
            </w:pPr>
            <w:r>
              <w:rPr>
                <w:rFonts w:ascii="Arial"/>
                <w:sz w:val="16"/>
              </w:rPr>
              <w:t>1,184,590,000</w:t>
            </w:r>
          </w:p>
        </w:tc>
      </w:tr>
      <w:tr>
        <w:trPr>
          <w:trHeight w:val="305"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174" w:lineRule="exact"/>
              <w:ind w:left="14"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45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 w:right="0"/>
              <w:jc w:val="center"/>
              <w:rPr>
                <w:rFonts w:ascii="Arial" w:hAnsi="Arial" w:cs="Arial" w:eastAsia="Arial" w:hint="default"/>
                <w:sz w:val="16"/>
                <w:szCs w:val="16"/>
              </w:rPr>
            </w:pPr>
            <w:r>
              <w:rPr>
                <w:rFonts w:ascii="Arial"/>
                <w:sz w:val="16"/>
              </w:rPr>
              <w:t>(k)</w:t>
            </w:r>
          </w:p>
        </w:tc>
        <w:tc>
          <w:tcPr>
            <w:tcW w:w="1374" w:type="dxa"/>
            <w:tcBorders>
              <w:top w:val="nil" w:sz="6" w:space="0" w:color="auto"/>
              <w:left w:val="nil" w:sz="6" w:space="0" w:color="auto"/>
              <w:bottom w:val="nil" w:sz="6" w:space="0" w:color="auto"/>
              <w:right w:val="nil" w:sz="6" w:space="0" w:color="auto"/>
            </w:tcBorders>
          </w:tcPr>
          <w:p>
            <w:pPr>
              <w:pStyle w:val="TableParagraph"/>
              <w:tabs>
                <w:tab w:pos="316" w:val="left" w:leader="none"/>
                <w:tab w:pos="1281" w:val="left" w:leader="none"/>
              </w:tabs>
              <w:spacing w:line="240" w:lineRule="auto" w:before="11"/>
              <w:ind w:right="76"/>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ab/>
            </w:r>
            <w:r>
              <w:rPr>
                <w:rFonts w:ascii="Arial"/>
                <w:w w:val="95"/>
                <w:sz w:val="16"/>
                <w:u w:val="single" w:color="000000"/>
              </w:rPr>
              <w:t>442,036,218</w:t>
            </w:r>
            <w:r>
              <w:rPr>
                <w:rFonts w:ascii="Arial"/>
                <w:sz w:val="16"/>
                <w:u w:val="single" w:color="000000"/>
              </w:rPr>
              <w:tab/>
            </w:r>
            <w:r>
              <w:rPr>
                <w:rFonts w:ascii="Arial"/>
                <w:sz w:val="16"/>
              </w:rPr>
            </w:r>
          </w:p>
        </w:tc>
        <w:tc>
          <w:tcPr>
            <w:tcW w:w="1067" w:type="dxa"/>
            <w:tcBorders>
              <w:top w:val="nil" w:sz="6" w:space="0" w:color="auto"/>
              <w:left w:val="nil" w:sz="6" w:space="0" w:color="auto"/>
              <w:bottom w:val="nil" w:sz="6" w:space="0" w:color="auto"/>
              <w:right w:val="nil" w:sz="6" w:space="0" w:color="auto"/>
            </w:tcBorders>
          </w:tcPr>
          <w:p>
            <w:pPr>
              <w:pStyle w:val="TableParagraph"/>
              <w:tabs>
                <w:tab w:pos="1059" w:val="left" w:leader="none"/>
              </w:tabs>
              <w:spacing w:line="240" w:lineRule="auto" w:before="11"/>
              <w:ind w:left="-31" w:right="5"/>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   </w:t>
            </w:r>
            <w:r>
              <w:rPr>
                <w:rFonts w:ascii="Arial"/>
                <w:spacing w:val="-6"/>
                <w:sz w:val="16"/>
                <w:u w:val="single" w:color="000000"/>
              </w:rPr>
              <w:t> </w:t>
            </w:r>
            <w:r>
              <w:rPr>
                <w:rFonts w:ascii="Arial"/>
                <w:w w:val="95"/>
                <w:sz w:val="16"/>
                <w:u w:val="single" w:color="000000"/>
              </w:rPr>
              <w:t>21,717,385</w:t>
            </w:r>
            <w:r>
              <w:rPr>
                <w:rFonts w:ascii="Arial"/>
                <w:sz w:val="16"/>
                <w:u w:val="single" w:color="000000"/>
              </w:rPr>
              <w:tab/>
            </w:r>
            <w:r>
              <w:rPr>
                <w:rFonts w:ascii="Arial"/>
                <w:sz w:val="16"/>
              </w:rPr>
            </w:r>
          </w:p>
        </w:tc>
        <w:tc>
          <w:tcPr>
            <w:tcW w:w="1214" w:type="dxa"/>
            <w:tcBorders>
              <w:top w:val="nil" w:sz="6" w:space="0" w:color="auto"/>
              <w:left w:val="nil" w:sz="6" w:space="0" w:color="auto"/>
              <w:bottom w:val="nil" w:sz="6" w:space="0" w:color="auto"/>
              <w:right w:val="nil" w:sz="6" w:space="0" w:color="auto"/>
            </w:tcBorders>
          </w:tcPr>
          <w:p>
            <w:pPr>
              <w:pStyle w:val="TableParagraph"/>
              <w:tabs>
                <w:tab w:pos="1619" w:val="left" w:leader="none"/>
              </w:tabs>
              <w:spacing w:line="240" w:lineRule="auto" w:before="11"/>
              <w:ind w:left="50" w:right="-406"/>
              <w:jc w:val="left"/>
              <w:rPr>
                <w:rFonts w:ascii="Arial" w:hAnsi="Arial" w:cs="Arial" w:eastAsia="Arial" w:hint="default"/>
                <w:sz w:val="16"/>
                <w:szCs w:val="16"/>
              </w:rPr>
            </w:pPr>
            <w:r>
              <w:rPr>
                <w:rFonts w:ascii="Arial"/>
                <w:w w:val="99"/>
                <w:sz w:val="16"/>
              </w:rPr>
            </w:r>
            <w:r>
              <w:rPr>
                <w:rFonts w:ascii="Arial"/>
                <w:spacing w:val="-16"/>
                <w:w w:val="99"/>
                <w:sz w:val="16"/>
                <w:u w:val="single" w:color="000000"/>
              </w:rPr>
              <w:t> </w:t>
            </w:r>
            <w:r>
              <w:rPr>
                <w:rFonts w:ascii="Arial"/>
                <w:sz w:val="16"/>
                <w:u w:val="single" w:color="000000"/>
              </w:rPr>
              <w:t>(135,087,237)</w:t>
            </w:r>
            <w:r>
              <w:rPr>
                <w:rFonts w:ascii="Arial"/>
                <w:sz w:val="16"/>
              </w:rPr>
            </w:r>
            <w:r>
              <w:rPr>
                <w:rFonts w:ascii="Arial"/>
                <w:spacing w:val="18"/>
                <w:sz w:val="16"/>
              </w:rPr>
              <w:t> </w:t>
            </w:r>
            <w:r>
              <w:rPr>
                <w:rFonts w:ascii="Arial"/>
                <w:spacing w:val="18"/>
                <w:w w:val="99"/>
                <w:sz w:val="16"/>
              </w:rPr>
            </w:r>
            <w:r>
              <w:rPr>
                <w:rFonts w:ascii="Arial"/>
                <w:w w:val="99"/>
                <w:sz w:val="16"/>
                <w:u w:val="single" w:color="000000"/>
              </w:rPr>
              <w:t> </w:t>
            </w:r>
            <w:r>
              <w:rPr>
                <w:rFonts w:ascii="Arial"/>
                <w:sz w:val="16"/>
                <w:u w:val="single" w:color="000000"/>
              </w:rPr>
              <w:tab/>
            </w:r>
            <w:r>
              <w:rPr>
                <w:rFonts w:ascii="Arial"/>
                <w:sz w:val="16"/>
              </w:rPr>
            </w:r>
          </w:p>
        </w:tc>
        <w:tc>
          <w:tcPr>
            <w:tcW w:w="1366" w:type="dxa"/>
            <w:tcBorders>
              <w:top w:val="nil" w:sz="6" w:space="0" w:color="auto"/>
              <w:left w:val="nil" w:sz="6" w:space="0" w:color="auto"/>
              <w:bottom w:val="nil" w:sz="6" w:space="0" w:color="auto"/>
              <w:right w:val="nil" w:sz="6" w:space="0" w:color="auto"/>
            </w:tcBorders>
          </w:tcPr>
          <w:p>
            <w:pPr>
              <w:pStyle w:val="TableParagraph"/>
              <w:tabs>
                <w:tab w:pos="959" w:val="left" w:leader="none"/>
              </w:tabs>
              <w:spacing w:line="240" w:lineRule="auto" w:before="11"/>
              <w:ind w:right="0"/>
              <w:jc w:val="right"/>
              <w:rPr>
                <w:rFonts w:ascii="Arial" w:hAnsi="Arial" w:cs="Arial" w:eastAsia="Arial" w:hint="default"/>
                <w:sz w:val="16"/>
                <w:szCs w:val="16"/>
              </w:rPr>
            </w:pPr>
            <w:r>
              <w:rPr>
                <w:rFonts w:ascii="Arial"/>
                <w:w w:val="98"/>
                <w:sz w:val="16"/>
              </w:rPr>
            </w:r>
            <w:r>
              <w:rPr>
                <w:rFonts w:ascii="Arial"/>
                <w:w w:val="95"/>
                <w:sz w:val="16"/>
                <w:u w:val="single" w:color="000000"/>
              </w:rPr>
              <w:t>328,666,366</w:t>
            </w:r>
            <w:r>
              <w:rPr>
                <w:rFonts w:ascii="Arial"/>
                <w:sz w:val="16"/>
                <w:u w:val="single" w:color="000000"/>
              </w:rPr>
              <w:tab/>
            </w:r>
            <w:r>
              <w:rPr>
                <w:rFonts w:ascii="Arial"/>
                <w:sz w:val="16"/>
              </w:rPr>
            </w:r>
          </w:p>
        </w:tc>
      </w:tr>
      <w:tr>
        <w:trPr>
          <w:trHeight w:val="324" w:hRule="exact"/>
        </w:trPr>
        <w:tc>
          <w:tcPr>
            <w:tcW w:w="3610"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4"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451" w:type="dxa"/>
            <w:tcBorders>
              <w:top w:val="nil" w:sz="6" w:space="0" w:color="auto"/>
              <w:left w:val="nil" w:sz="6" w:space="0" w:color="auto"/>
              <w:bottom w:val="nil" w:sz="6" w:space="0" w:color="auto"/>
              <w:right w:val="nil" w:sz="6" w:space="0" w:color="auto"/>
            </w:tcBorders>
          </w:tcPr>
          <w:p>
            <w:pPr/>
          </w:p>
        </w:tc>
        <w:tc>
          <w:tcPr>
            <w:tcW w:w="1374" w:type="dxa"/>
            <w:tcBorders>
              <w:top w:val="nil" w:sz="6" w:space="0" w:color="auto"/>
              <w:left w:val="nil" w:sz="6" w:space="0" w:color="auto"/>
              <w:bottom w:val="single" w:sz="17" w:space="0" w:color="000000"/>
              <w:right w:val="nil" w:sz="6" w:space="0" w:color="auto"/>
            </w:tcBorders>
          </w:tcPr>
          <w:p>
            <w:pPr>
              <w:pStyle w:val="TableParagraph"/>
              <w:spacing w:line="240" w:lineRule="auto" w:before="114"/>
              <w:ind w:right="156"/>
              <w:jc w:val="right"/>
              <w:rPr>
                <w:rFonts w:ascii="Arial" w:hAnsi="Arial" w:cs="Arial" w:eastAsia="Arial" w:hint="default"/>
                <w:sz w:val="16"/>
                <w:szCs w:val="16"/>
              </w:rPr>
            </w:pPr>
            <w:r>
              <w:rPr>
                <w:rFonts w:ascii="Arial"/>
                <w:w w:val="95"/>
                <w:sz w:val="16"/>
              </w:rPr>
              <w:t>79,543,568,623</w:t>
            </w:r>
            <w:r>
              <w:rPr>
                <w:rFonts w:ascii="Arial"/>
                <w:sz w:val="16"/>
              </w:rPr>
            </w:r>
          </w:p>
        </w:tc>
        <w:tc>
          <w:tcPr>
            <w:tcW w:w="1067" w:type="dxa"/>
            <w:tcBorders>
              <w:top w:val="nil" w:sz="6" w:space="0" w:color="auto"/>
              <w:left w:val="nil" w:sz="6" w:space="0" w:color="auto"/>
              <w:bottom w:val="single" w:sz="17" w:space="0" w:color="000000"/>
              <w:right w:val="nil" w:sz="6" w:space="0" w:color="auto"/>
            </w:tcBorders>
          </w:tcPr>
          <w:p>
            <w:pPr>
              <w:pStyle w:val="TableParagraph"/>
              <w:spacing w:line="240" w:lineRule="auto" w:before="114"/>
              <w:ind w:right="80"/>
              <w:jc w:val="right"/>
              <w:rPr>
                <w:rFonts w:ascii="Arial" w:hAnsi="Arial" w:cs="Arial" w:eastAsia="Arial" w:hint="default"/>
                <w:sz w:val="16"/>
                <w:szCs w:val="16"/>
              </w:rPr>
            </w:pPr>
            <w:r>
              <w:rPr>
                <w:rFonts w:ascii="Arial"/>
                <w:w w:val="95"/>
                <w:sz w:val="16"/>
              </w:rPr>
              <w:t>719,321,159</w:t>
            </w:r>
            <w:r>
              <w:rPr>
                <w:rFonts w:ascii="Arial"/>
                <w:sz w:val="16"/>
              </w:rPr>
            </w:r>
          </w:p>
        </w:tc>
        <w:tc>
          <w:tcPr>
            <w:tcW w:w="1214" w:type="dxa"/>
            <w:tcBorders>
              <w:top w:val="nil" w:sz="6" w:space="0" w:color="auto"/>
              <w:left w:val="nil" w:sz="6" w:space="0" w:color="auto"/>
              <w:bottom w:val="single" w:sz="17" w:space="0" w:color="000000"/>
              <w:right w:val="nil" w:sz="6" w:space="0" w:color="auto"/>
            </w:tcBorders>
          </w:tcPr>
          <w:p>
            <w:pPr>
              <w:pStyle w:val="TableParagraph"/>
              <w:spacing w:line="240" w:lineRule="auto" w:before="114"/>
              <w:ind w:left="84" w:right="0"/>
              <w:jc w:val="left"/>
              <w:rPr>
                <w:rFonts w:ascii="Arial" w:hAnsi="Arial" w:cs="Arial" w:eastAsia="Arial" w:hint="default"/>
                <w:sz w:val="16"/>
                <w:szCs w:val="16"/>
              </w:rPr>
            </w:pPr>
            <w:r>
              <w:rPr>
                <w:rFonts w:ascii="Arial"/>
                <w:sz w:val="16"/>
              </w:rPr>
              <w:t>(155,348,217)</w:t>
            </w:r>
          </w:p>
        </w:tc>
        <w:tc>
          <w:tcPr>
            <w:tcW w:w="1366" w:type="dxa"/>
            <w:tcBorders>
              <w:top w:val="nil" w:sz="6" w:space="0" w:color="auto"/>
              <w:left w:val="nil" w:sz="6" w:space="0" w:color="auto"/>
              <w:bottom w:val="single" w:sz="17" w:space="0" w:color="000000"/>
              <w:right w:val="nil" w:sz="6" w:space="0" w:color="auto"/>
            </w:tcBorders>
          </w:tcPr>
          <w:p>
            <w:pPr>
              <w:pStyle w:val="TableParagraph"/>
              <w:spacing w:line="240" w:lineRule="auto" w:before="114"/>
              <w:ind w:left="185" w:right="0"/>
              <w:jc w:val="left"/>
              <w:rPr>
                <w:rFonts w:ascii="Arial" w:hAnsi="Arial" w:cs="Arial" w:eastAsia="Arial" w:hint="default"/>
                <w:sz w:val="16"/>
                <w:szCs w:val="16"/>
              </w:rPr>
            </w:pPr>
            <w:r>
              <w:rPr>
                <w:rFonts w:ascii="Arial"/>
                <w:sz w:val="16"/>
              </w:rPr>
              <w:t>80,107,541,565</w:t>
            </w:r>
          </w:p>
        </w:tc>
      </w:tr>
    </w:tbl>
    <w:p>
      <w:pPr>
        <w:spacing w:line="240" w:lineRule="auto" w:before="7"/>
        <w:rPr>
          <w:rFonts w:ascii="宋体" w:hAnsi="宋体" w:cs="宋体" w:eastAsia="宋体" w:hint="default"/>
          <w:sz w:val="10"/>
          <w:szCs w:val="10"/>
        </w:rPr>
      </w:pPr>
    </w:p>
    <w:p>
      <w:pPr>
        <w:pStyle w:val="BodyText"/>
        <w:spacing w:line="240" w:lineRule="auto" w:before="32"/>
        <w:ind w:left="559" w:right="0"/>
        <w:jc w:val="left"/>
      </w:pPr>
      <w:r>
        <w:rPr/>
        <w:t>注释：</w:t>
      </w:r>
    </w:p>
    <w:p>
      <w:pPr>
        <w:spacing w:line="240" w:lineRule="auto" w:before="3"/>
        <w:rPr>
          <w:rFonts w:ascii="宋体" w:hAnsi="宋体" w:cs="宋体" w:eastAsia="宋体" w:hint="default"/>
          <w:sz w:val="20"/>
          <w:szCs w:val="20"/>
        </w:rPr>
      </w:pPr>
    </w:p>
    <w:p>
      <w:pPr>
        <w:pStyle w:val="BodyText"/>
        <w:spacing w:line="225" w:lineRule="auto"/>
        <w:ind w:left="1024" w:right="125" w:hanging="466"/>
        <w:jc w:val="both"/>
      </w:pPr>
      <w:r>
        <w:rPr>
          <w:rFonts w:ascii="Arial" w:hAnsi="Arial" w:cs="Arial" w:eastAsia="Arial" w:hint="default"/>
        </w:rPr>
        <w:t>(a) </w:t>
      </w:r>
      <w:r>
        <w:rPr>
          <w:spacing w:val="-3"/>
        </w:rPr>
        <w:t>本公司成立之初发起人各方实际出资额超过其按《公司章程》规定的</w:t>
      </w:r>
      <w:r>
        <w:rPr>
          <w:spacing w:val="-58"/>
        </w:rPr>
        <w:t> </w:t>
      </w:r>
      <w:r>
        <w:rPr>
          <w:rFonts w:ascii="Arial" w:hAnsi="Arial" w:cs="Arial" w:eastAsia="Arial" w:hint="default"/>
        </w:rPr>
        <w:t>65%</w:t>
      </w:r>
      <w:r>
        <w:rPr/>
        <w:t>折股比例计算之</w:t>
      </w:r>
      <w:r>
        <w:rPr>
          <w:w w:val="100"/>
        </w:rPr>
        <w:t> </w:t>
      </w:r>
      <w:r>
        <w:rPr/>
        <w:t>实缴注册资本的差额，以及</w:t>
      </w:r>
      <w:r>
        <w:rPr>
          <w:spacing w:val="-66"/>
        </w:rPr>
        <w:t> </w:t>
      </w:r>
      <w:r>
        <w:rPr>
          <w:rFonts w:ascii="Arial" w:hAnsi="Arial" w:cs="Arial" w:eastAsia="Arial" w:hint="default"/>
        </w:rPr>
        <w:t>2002</w:t>
      </w:r>
      <w:r>
        <w:rPr>
          <w:rFonts w:ascii="Arial" w:hAnsi="Arial" w:cs="Arial" w:eastAsia="Arial" w:hint="default"/>
          <w:spacing w:val="-18"/>
        </w:rPr>
        <w:t> </w:t>
      </w:r>
      <w:r>
        <w:rPr/>
        <w:t>年因发行境内上市的人民币普通股、</w:t>
      </w:r>
      <w:r>
        <w:rPr>
          <w:rFonts w:ascii="Arial" w:hAnsi="Arial" w:cs="Arial" w:eastAsia="Arial" w:hint="default"/>
        </w:rPr>
        <w:t>2004</w:t>
      </w:r>
      <w:r>
        <w:rPr>
          <w:rFonts w:ascii="Arial" w:hAnsi="Arial" w:cs="Arial" w:eastAsia="Arial" w:hint="default"/>
          <w:spacing w:val="-15"/>
        </w:rPr>
        <w:t> </w:t>
      </w:r>
      <w:r>
        <w:rPr/>
        <w:t>年配售人民币</w:t>
      </w:r>
      <w:r>
        <w:rPr>
          <w:w w:val="100"/>
        </w:rPr>
        <w:t> </w:t>
      </w:r>
      <w:r>
        <w:rPr/>
        <w:t>普通股、</w:t>
      </w:r>
      <w:r>
        <w:rPr>
          <w:rFonts w:ascii="Arial" w:hAnsi="Arial" w:cs="Arial" w:eastAsia="Arial" w:hint="default"/>
        </w:rPr>
        <w:t>2017 </w:t>
      </w:r>
      <w:r>
        <w:rPr/>
        <w:t>年非公开发行人民币普通股股票、</w:t>
      </w:r>
      <w:r>
        <w:rPr>
          <w:rFonts w:ascii="Arial" w:hAnsi="Arial" w:cs="Arial" w:eastAsia="Arial" w:hint="default"/>
        </w:rPr>
        <w:t>2018 </w:t>
      </w:r>
      <w:r>
        <w:rPr/>
        <w:t>年及 </w:t>
      </w:r>
      <w:r>
        <w:rPr>
          <w:rFonts w:ascii="Arial" w:hAnsi="Arial" w:cs="Arial" w:eastAsia="Arial" w:hint="default"/>
        </w:rPr>
        <w:t>2019</w:t>
      </w:r>
      <w:r>
        <w:rPr>
          <w:rFonts w:ascii="Arial" w:hAnsi="Arial" w:cs="Arial" w:eastAsia="Arial" w:hint="default"/>
          <w:spacing w:val="10"/>
        </w:rPr>
        <w:t> </w:t>
      </w:r>
      <w:r>
        <w:rPr/>
        <w:t>年向限制性股票激励计</w:t>
      </w:r>
      <w:r>
        <w:rPr>
          <w:w w:val="100"/>
        </w:rPr>
        <w:t> </w:t>
      </w:r>
      <w:r>
        <w:rPr>
          <w:spacing w:val="-1"/>
        </w:rPr>
        <w:t>划激励对象首次授予、预留授予及回购注销人民币普通股股票的溢价被记录于资本公积。</w:t>
      </w:r>
    </w:p>
    <w:p>
      <w:pPr>
        <w:spacing w:line="240" w:lineRule="auto" w:before="11"/>
        <w:rPr>
          <w:rFonts w:ascii="宋体" w:hAnsi="宋体" w:cs="宋体" w:eastAsia="宋体" w:hint="default"/>
          <w:sz w:val="21"/>
          <w:szCs w:val="21"/>
        </w:rPr>
      </w:pPr>
    </w:p>
    <w:p>
      <w:pPr>
        <w:pStyle w:val="BodyText"/>
        <w:spacing w:line="284" w:lineRule="exact"/>
        <w:ind w:left="1024" w:right="125" w:hanging="466"/>
        <w:jc w:val="both"/>
      </w:pPr>
      <w:r>
        <w:rPr>
          <w:rFonts w:ascii="Arial" w:hAnsi="Arial" w:cs="Arial" w:eastAsia="Arial" w:hint="default"/>
        </w:rPr>
        <w:t>(b)</w:t>
      </w:r>
      <w:r>
        <w:rPr>
          <w:rFonts w:ascii="Arial" w:hAnsi="Arial" w:cs="Arial" w:eastAsia="Arial" w:hint="default"/>
          <w:spacing w:val="10"/>
        </w:rPr>
        <w:t> </w:t>
      </w:r>
      <w:r>
        <w:rPr/>
        <w:t>于</w:t>
      </w:r>
      <w:r>
        <w:rPr>
          <w:spacing w:val="-39"/>
        </w:rPr>
        <w:t> </w:t>
      </w:r>
      <w:r>
        <w:rPr>
          <w:rFonts w:ascii="Arial" w:hAnsi="Arial" w:cs="Arial" w:eastAsia="Arial" w:hint="default"/>
        </w:rPr>
        <w:t>2009</w:t>
      </w:r>
      <w:r>
        <w:rPr>
          <w:rFonts w:ascii="Arial" w:hAnsi="Arial" w:cs="Arial" w:eastAsia="Arial" w:hint="default"/>
          <w:spacing w:val="12"/>
        </w:rPr>
        <w:t> </w:t>
      </w:r>
      <w:r>
        <w:rPr/>
        <w:t>年</w:t>
      </w:r>
      <w:r>
        <w:rPr>
          <w:spacing w:val="-44"/>
        </w:rPr>
        <w:t> </w:t>
      </w:r>
      <w:r>
        <w:rPr>
          <w:rFonts w:ascii="Arial" w:hAnsi="Arial" w:cs="Arial" w:eastAsia="Arial" w:hint="default"/>
        </w:rPr>
        <w:t>1</w:t>
      </w:r>
      <w:r>
        <w:rPr>
          <w:rFonts w:ascii="Arial" w:hAnsi="Arial" w:cs="Arial" w:eastAsia="Arial" w:hint="default"/>
          <w:spacing w:val="11"/>
        </w:rPr>
        <w:t> </w:t>
      </w:r>
      <w:r>
        <w:rPr/>
        <w:t>月，联通运营公司根据转让协议完成了向联通集团和网通集团收购相关电信</w:t>
      </w:r>
      <w:r>
        <w:rPr>
          <w:w w:val="100"/>
        </w:rPr>
        <w:t> </w:t>
      </w:r>
      <w:r>
        <w:rPr>
          <w:spacing w:val="-1"/>
        </w:rPr>
        <w:t>业务和资产的交易。本公司根据持股比例计算了在同一控制下该等收购对本集团资本公积</w:t>
      </w:r>
      <w:r>
        <w:rPr>
          <w:w w:val="100"/>
        </w:rPr>
        <w:t> </w:t>
      </w:r>
      <w:r>
        <w:rPr/>
        <w:t>的影响。</w:t>
      </w:r>
    </w:p>
    <w:p>
      <w:pPr>
        <w:spacing w:line="240" w:lineRule="auto" w:before="10"/>
        <w:rPr>
          <w:rFonts w:ascii="宋体" w:hAnsi="宋体" w:cs="宋体" w:eastAsia="宋体" w:hint="default"/>
          <w:sz w:val="19"/>
          <w:szCs w:val="19"/>
        </w:rPr>
      </w:pPr>
    </w:p>
    <w:p>
      <w:pPr>
        <w:pStyle w:val="BodyText"/>
        <w:spacing w:line="284" w:lineRule="exact"/>
        <w:ind w:left="1024" w:right="149"/>
        <w:jc w:val="both"/>
      </w:pPr>
      <w:r>
        <w:rPr/>
        <w:t>由于本公司所属联通运营公司于</w:t>
      </w:r>
      <w:r>
        <w:rPr>
          <w:spacing w:val="-56"/>
        </w:rPr>
        <w:t> </w:t>
      </w:r>
      <w:r>
        <w:rPr>
          <w:rFonts w:ascii="Arial" w:hAnsi="Arial" w:cs="Arial" w:eastAsia="Arial" w:hint="default"/>
        </w:rPr>
        <w:t>2007</w:t>
      </w:r>
      <w:r>
        <w:rPr>
          <w:rFonts w:ascii="Arial" w:hAnsi="Arial" w:cs="Arial" w:eastAsia="Arial" w:hint="default"/>
          <w:spacing w:val="-4"/>
        </w:rPr>
        <w:t> </w:t>
      </w:r>
      <w:r>
        <w:rPr/>
        <w:t>年</w:t>
      </w:r>
      <w:r>
        <w:rPr>
          <w:spacing w:val="-56"/>
        </w:rPr>
        <w:t> </w:t>
      </w:r>
      <w:r>
        <w:rPr>
          <w:rFonts w:ascii="Arial" w:hAnsi="Arial" w:cs="Arial" w:eastAsia="Arial" w:hint="default"/>
        </w:rPr>
        <w:t>12</w:t>
      </w:r>
      <w:r>
        <w:rPr>
          <w:rFonts w:ascii="Arial" w:hAnsi="Arial" w:cs="Arial" w:eastAsia="Arial" w:hint="default"/>
          <w:spacing w:val="-5"/>
        </w:rPr>
        <w:t> </w:t>
      </w:r>
      <w:r>
        <w:rPr/>
        <w:t>月</w:t>
      </w:r>
      <w:r>
        <w:rPr>
          <w:spacing w:val="-56"/>
        </w:rPr>
        <w:t> </w:t>
      </w:r>
      <w:r>
        <w:rPr>
          <w:rFonts w:ascii="Arial" w:hAnsi="Arial" w:cs="Arial" w:eastAsia="Arial" w:hint="default"/>
        </w:rPr>
        <w:t>31</w:t>
      </w:r>
      <w:r>
        <w:rPr>
          <w:rFonts w:ascii="Arial" w:hAnsi="Arial" w:cs="Arial" w:eastAsia="Arial" w:hint="default"/>
          <w:spacing w:val="-9"/>
        </w:rPr>
        <w:t> </w:t>
      </w:r>
      <w:r>
        <w:rPr/>
        <w:t>日完成了对贵州业务的收购，本公司根</w:t>
      </w:r>
      <w:r>
        <w:rPr>
          <w:w w:val="100"/>
        </w:rPr>
        <w:t> </w:t>
      </w:r>
      <w:r>
        <w:rPr/>
        <w:t>据持股比例计算了在同一控制下收购贵州业务对本集团资本公积的影响。</w:t>
      </w:r>
    </w:p>
    <w:p>
      <w:pPr>
        <w:spacing w:line="240" w:lineRule="auto" w:before="9"/>
        <w:rPr>
          <w:rFonts w:ascii="宋体" w:hAnsi="宋体" w:cs="宋体" w:eastAsia="宋体" w:hint="default"/>
          <w:sz w:val="17"/>
          <w:szCs w:val="17"/>
        </w:rPr>
      </w:pPr>
    </w:p>
    <w:p>
      <w:pPr>
        <w:pStyle w:val="BodyText"/>
        <w:spacing w:line="232" w:lineRule="auto"/>
        <w:ind w:left="1025" w:right="153" w:hanging="466"/>
        <w:jc w:val="both"/>
      </w:pPr>
      <w:r>
        <w:rPr>
          <w:rFonts w:ascii="Arial" w:hAnsi="Arial" w:cs="Arial" w:eastAsia="Arial" w:hint="default"/>
        </w:rPr>
        <w:t>(c)</w:t>
      </w:r>
      <w:r>
        <w:rPr>
          <w:rFonts w:ascii="Arial" w:hAnsi="Arial" w:cs="Arial" w:eastAsia="Arial" w:hint="default"/>
          <w:spacing w:val="24"/>
        </w:rPr>
        <w:t> </w:t>
      </w:r>
      <w:r>
        <w:rPr/>
        <w:t>本集团的子公司中讯设计院是一家于</w:t>
      </w:r>
      <w:r>
        <w:rPr>
          <w:spacing w:val="-39"/>
        </w:rPr>
        <w:t> </w:t>
      </w:r>
      <w:r>
        <w:rPr>
          <w:rFonts w:ascii="Arial" w:hAnsi="Arial" w:cs="Arial" w:eastAsia="Arial" w:hint="default"/>
        </w:rPr>
        <w:t>2008</w:t>
      </w:r>
      <w:r>
        <w:rPr>
          <w:rFonts w:ascii="Arial" w:hAnsi="Arial" w:cs="Arial" w:eastAsia="Arial" w:hint="default"/>
          <w:spacing w:val="16"/>
        </w:rPr>
        <w:t> </w:t>
      </w:r>
      <w:r>
        <w:rPr/>
        <w:t>年</w:t>
      </w:r>
      <w:r>
        <w:rPr>
          <w:spacing w:val="-39"/>
        </w:rPr>
        <w:t> </w:t>
      </w:r>
      <w:r>
        <w:rPr>
          <w:rFonts w:ascii="Arial" w:hAnsi="Arial" w:cs="Arial" w:eastAsia="Arial" w:hint="default"/>
        </w:rPr>
        <w:t>9</w:t>
      </w:r>
      <w:r>
        <w:rPr>
          <w:rFonts w:ascii="Arial" w:hAnsi="Arial" w:cs="Arial" w:eastAsia="Arial" w:hint="default"/>
          <w:spacing w:val="11"/>
        </w:rPr>
        <w:t> </w:t>
      </w:r>
      <w:r>
        <w:rPr/>
        <w:t>月</w:t>
      </w:r>
      <w:r>
        <w:rPr>
          <w:spacing w:val="-35"/>
        </w:rPr>
        <w:t> </w:t>
      </w:r>
      <w:r>
        <w:rPr>
          <w:rFonts w:ascii="Arial" w:hAnsi="Arial" w:cs="Arial" w:eastAsia="Arial" w:hint="default"/>
        </w:rPr>
        <w:t>27</w:t>
      </w:r>
      <w:r>
        <w:rPr>
          <w:rFonts w:ascii="Arial" w:hAnsi="Arial" w:cs="Arial" w:eastAsia="Arial" w:hint="default"/>
          <w:spacing w:val="16"/>
        </w:rPr>
        <w:t> </w:t>
      </w:r>
      <w:r>
        <w:rPr/>
        <w:t>日完成公司制改制后设立的企业，</w:t>
      </w:r>
      <w:r>
        <w:rPr>
          <w:w w:val="100"/>
        </w:rPr>
        <w:t> </w:t>
      </w:r>
      <w:r>
        <w:rPr>
          <w:spacing w:val="-2"/>
        </w:rPr>
        <w:t>根据企业改制的相关规定，中讯设计院在改制过程中的资产评估增值被计入其改制后公司</w:t>
      </w:r>
      <w:r>
        <w:rPr>
          <w:w w:val="100"/>
        </w:rPr>
        <w:t> </w:t>
      </w:r>
      <w:r>
        <w:rPr/>
        <w:t>的所有者权益。本公司根据持股比例计算了该资产评估增值对本集团资本公积的影响。</w:t>
      </w:r>
    </w:p>
    <w:p>
      <w:pPr>
        <w:spacing w:line="240" w:lineRule="auto" w:before="2"/>
        <w:rPr>
          <w:rFonts w:ascii="宋体" w:hAnsi="宋体" w:cs="宋体" w:eastAsia="宋体" w:hint="default"/>
          <w:sz w:val="21"/>
          <w:szCs w:val="21"/>
        </w:rPr>
      </w:pPr>
    </w:p>
    <w:p>
      <w:pPr>
        <w:pStyle w:val="BodyText"/>
        <w:spacing w:line="288" w:lineRule="exact"/>
        <w:ind w:left="1024" w:right="163" w:hanging="466"/>
        <w:jc w:val="both"/>
      </w:pPr>
      <w:r>
        <w:rPr>
          <w:rFonts w:ascii="Arial" w:hAnsi="Arial" w:cs="Arial" w:eastAsia="Arial" w:hint="default"/>
        </w:rPr>
        <w:t>(d)</w:t>
      </w:r>
      <w:r>
        <w:rPr>
          <w:rFonts w:ascii="Arial" w:hAnsi="Arial" w:cs="Arial" w:eastAsia="Arial" w:hint="default"/>
          <w:spacing w:val="12"/>
        </w:rPr>
        <w:t> </w:t>
      </w:r>
      <w:r>
        <w:rPr/>
        <w:t>联通红筹公司及其子公司网通红筹公司授予员工的可行权日在</w:t>
      </w:r>
      <w:r>
        <w:rPr>
          <w:spacing w:val="-53"/>
        </w:rPr>
        <w:t> </w:t>
      </w:r>
      <w:r>
        <w:rPr>
          <w:rFonts w:ascii="Arial" w:hAnsi="Arial" w:cs="Arial" w:eastAsia="Arial" w:hint="default"/>
        </w:rPr>
        <w:t>2007</w:t>
      </w:r>
      <w:r>
        <w:rPr>
          <w:rFonts w:ascii="Arial" w:hAnsi="Arial" w:cs="Arial" w:eastAsia="Arial" w:hint="default"/>
          <w:spacing w:val="-2"/>
        </w:rPr>
        <w:t> </w:t>
      </w:r>
      <w:r>
        <w:rPr/>
        <w:t>年</w:t>
      </w:r>
      <w:r>
        <w:rPr>
          <w:spacing w:val="-58"/>
        </w:rPr>
        <w:t> </w:t>
      </w:r>
      <w:r>
        <w:rPr>
          <w:rFonts w:ascii="Arial" w:hAnsi="Arial" w:cs="Arial" w:eastAsia="Arial" w:hint="default"/>
        </w:rPr>
        <w:t>1</w:t>
      </w:r>
      <w:r>
        <w:rPr>
          <w:rFonts w:ascii="Arial" w:hAnsi="Arial" w:cs="Arial" w:eastAsia="Arial" w:hint="default"/>
          <w:spacing w:val="-2"/>
        </w:rPr>
        <w:t> </w:t>
      </w:r>
      <w:r>
        <w:rPr/>
        <w:t>月</w:t>
      </w:r>
      <w:r>
        <w:rPr>
          <w:spacing w:val="-58"/>
        </w:rPr>
        <w:t> </w:t>
      </w:r>
      <w:r>
        <w:rPr>
          <w:rFonts w:ascii="Arial" w:hAnsi="Arial" w:cs="Arial" w:eastAsia="Arial" w:hint="default"/>
        </w:rPr>
        <w:t>1</w:t>
      </w:r>
      <w:r>
        <w:rPr>
          <w:rFonts w:ascii="Arial" w:hAnsi="Arial" w:cs="Arial" w:eastAsia="Arial" w:hint="default"/>
          <w:spacing w:val="-2"/>
        </w:rPr>
        <w:t> </w:t>
      </w:r>
      <w:r>
        <w:rPr/>
        <w:t>日后的股份</w:t>
      </w:r>
      <w:r>
        <w:rPr>
          <w:w w:val="100"/>
        </w:rPr>
        <w:t> </w:t>
      </w:r>
      <w:r>
        <w:rPr/>
        <w:t>期权的公允价值于等待期内确认相应的费用。</w:t>
      </w:r>
    </w:p>
    <w:p>
      <w:pPr>
        <w:spacing w:line="240" w:lineRule="auto" w:before="0"/>
        <w:rPr>
          <w:rFonts w:ascii="宋体" w:hAnsi="宋体" w:cs="宋体" w:eastAsia="宋体" w:hint="default"/>
          <w:sz w:val="17"/>
          <w:szCs w:val="17"/>
        </w:rPr>
      </w:pPr>
    </w:p>
    <w:p>
      <w:pPr>
        <w:pStyle w:val="BodyText"/>
        <w:spacing w:line="293" w:lineRule="exact"/>
        <w:ind w:left="559" w:right="0"/>
        <w:jc w:val="left"/>
        <w:rPr>
          <w:rFonts w:ascii="Arial" w:hAnsi="Arial" w:cs="Arial" w:eastAsia="Arial" w:hint="default"/>
        </w:rPr>
      </w:pPr>
      <w:r>
        <w:rPr>
          <w:rFonts w:ascii="Arial" w:hAnsi="Arial" w:cs="Arial" w:eastAsia="Arial" w:hint="default"/>
        </w:rPr>
        <w:t>(e)  </w:t>
      </w:r>
      <w:r>
        <w:rPr>
          <w:rFonts w:ascii="Arial" w:hAnsi="Arial" w:cs="Arial" w:eastAsia="Arial" w:hint="default"/>
          <w:spacing w:val="29"/>
        </w:rPr>
        <w:t> </w:t>
      </w:r>
      <w:r>
        <w:rPr/>
        <w:t>于</w:t>
      </w:r>
      <w:r>
        <w:rPr>
          <w:spacing w:val="-54"/>
        </w:rPr>
        <w:t> </w:t>
      </w:r>
      <w:r>
        <w:rPr>
          <w:rFonts w:ascii="Arial" w:hAnsi="Arial" w:cs="Arial" w:eastAsia="Arial" w:hint="default"/>
        </w:rPr>
        <w:t>2009</w:t>
      </w:r>
      <w:r>
        <w:rPr>
          <w:rFonts w:ascii="Arial" w:hAnsi="Arial" w:cs="Arial" w:eastAsia="Arial" w:hint="default"/>
          <w:spacing w:val="-3"/>
        </w:rPr>
        <w:t> </w:t>
      </w:r>
      <w:r>
        <w:rPr/>
        <w:t>年</w:t>
      </w:r>
      <w:r>
        <w:rPr>
          <w:spacing w:val="-59"/>
        </w:rPr>
        <w:t> </w:t>
      </w:r>
      <w:r>
        <w:rPr>
          <w:rFonts w:ascii="Arial" w:hAnsi="Arial" w:cs="Arial" w:eastAsia="Arial" w:hint="default"/>
        </w:rPr>
        <w:t>10</w:t>
      </w:r>
      <w:r>
        <w:rPr>
          <w:rFonts w:ascii="Arial" w:hAnsi="Arial" w:cs="Arial" w:eastAsia="Arial" w:hint="default"/>
          <w:spacing w:val="-3"/>
        </w:rPr>
        <w:t> </w:t>
      </w:r>
      <w:r>
        <w:rPr/>
        <w:t>月</w:t>
      </w:r>
      <w:r>
        <w:rPr>
          <w:spacing w:val="-54"/>
        </w:rPr>
        <w:t> </w:t>
      </w:r>
      <w:r>
        <w:rPr>
          <w:rFonts w:ascii="Arial" w:hAnsi="Arial" w:cs="Arial" w:eastAsia="Arial" w:hint="default"/>
        </w:rPr>
        <w:t>21</w:t>
      </w:r>
      <w:r>
        <w:rPr>
          <w:rFonts w:ascii="Arial" w:hAnsi="Arial" w:cs="Arial" w:eastAsia="Arial" w:hint="default"/>
          <w:spacing w:val="-3"/>
        </w:rPr>
        <w:t> </w:t>
      </w:r>
      <w:r>
        <w:rPr>
          <w:spacing w:val="-3"/>
        </w:rPr>
        <w:t>日，本公司所属子公司联通红筹公司通过向西班牙电信新发行约</w:t>
      </w:r>
      <w:r>
        <w:rPr>
          <w:spacing w:val="-59"/>
        </w:rPr>
        <w:t> </w:t>
      </w:r>
      <w:r>
        <w:rPr>
          <w:rFonts w:ascii="Arial" w:hAnsi="Arial" w:cs="Arial" w:eastAsia="Arial" w:hint="default"/>
        </w:rPr>
        <w:t>6.94</w:t>
      </w:r>
    </w:p>
    <w:p>
      <w:pPr>
        <w:pStyle w:val="BodyText"/>
        <w:spacing w:line="286" w:lineRule="exact"/>
        <w:ind w:left="1025" w:right="0"/>
        <w:jc w:val="both"/>
      </w:pPr>
      <w:r>
        <w:rPr/>
        <w:t>亿股股份并购买西班牙电信的约 </w:t>
      </w:r>
      <w:r>
        <w:rPr>
          <w:rFonts w:ascii="Arial" w:hAnsi="Arial" w:cs="Arial" w:eastAsia="Arial" w:hint="default"/>
        </w:rPr>
        <w:t>0.41</w:t>
      </w:r>
      <w:r>
        <w:rPr>
          <w:rFonts w:ascii="Arial" w:hAnsi="Arial" w:cs="Arial" w:eastAsia="Arial" w:hint="default"/>
          <w:spacing w:val="41"/>
        </w:rPr>
        <w:t> </w:t>
      </w:r>
      <w:r>
        <w:rPr/>
        <w:t>亿股股份完成了与西班牙电信的相互投资。为完成</w:t>
      </w:r>
    </w:p>
    <w:p>
      <w:pPr>
        <w:pStyle w:val="BodyText"/>
        <w:spacing w:line="232" w:lineRule="auto"/>
        <w:ind w:left="1025" w:right="158"/>
        <w:jc w:val="both"/>
      </w:pPr>
      <w:r>
        <w:rPr/>
        <w:t>该交易联通红筹公司所新发行股份的公允价值约人民币</w:t>
      </w:r>
      <w:r>
        <w:rPr>
          <w:spacing w:val="-52"/>
        </w:rPr>
        <w:t> </w:t>
      </w:r>
      <w:r>
        <w:rPr>
          <w:rFonts w:ascii="Arial" w:hAnsi="Arial" w:cs="Arial" w:eastAsia="Arial" w:hint="default"/>
        </w:rPr>
        <w:t>67.12</w:t>
      </w:r>
      <w:r>
        <w:rPr>
          <w:rFonts w:ascii="Arial" w:hAnsi="Arial" w:cs="Arial" w:eastAsia="Arial" w:hint="default"/>
          <w:spacing w:val="-1"/>
        </w:rPr>
        <w:t> </w:t>
      </w:r>
      <w:r>
        <w:rPr>
          <w:spacing w:val="-3"/>
        </w:rPr>
        <w:t>亿元，分别增加了联通红筹</w:t>
      </w:r>
      <w:r>
        <w:rPr>
          <w:w w:val="100"/>
        </w:rPr>
        <w:t> </w:t>
      </w:r>
      <w:r>
        <w:rPr>
          <w:spacing w:val="-2"/>
        </w:rPr>
        <w:t>公司的股本和资本溢价。本公司根据持股比例计算了该子公司发行股份对本集团资本公积</w:t>
      </w:r>
      <w:r>
        <w:rPr>
          <w:spacing w:val="-50"/>
        </w:rPr>
        <w:t> </w:t>
      </w:r>
      <w:r>
        <w:rPr>
          <w:spacing w:val="-50"/>
        </w:rPr>
      </w:r>
      <w:r>
        <w:rPr/>
        <w:t>的影响。</w:t>
      </w:r>
    </w:p>
    <w:p>
      <w:pPr>
        <w:spacing w:after="0" w:line="232" w:lineRule="auto"/>
        <w:jc w:val="both"/>
        <w:sectPr>
          <w:headerReference w:type="default" r:id="rId188"/>
          <w:pgSz w:w="11910" w:h="16840"/>
          <w:pgMar w:header="1188" w:footer="502" w:top="3040" w:bottom="700" w:left="1020" w:right="1140"/>
        </w:sectPr>
      </w:pPr>
    </w:p>
    <w:p>
      <w:pPr>
        <w:spacing w:line="240" w:lineRule="auto" w:before="7"/>
        <w:rPr>
          <w:rFonts w:ascii="宋体" w:hAnsi="宋体" w:cs="宋体" w:eastAsia="宋体" w:hint="default"/>
          <w:sz w:val="16"/>
          <w:szCs w:val="16"/>
        </w:rPr>
      </w:pPr>
    </w:p>
    <w:p>
      <w:pPr>
        <w:pStyle w:val="BodyText"/>
        <w:spacing w:line="424" w:lineRule="auto" w:before="32"/>
        <w:ind w:left="559" w:right="7912" w:hanging="447"/>
        <w:jc w:val="left"/>
      </w:pPr>
      <w:r>
        <w:rPr>
          <w:rFonts w:ascii="Arial" w:hAnsi="Arial" w:cs="Arial" w:eastAsia="Arial" w:hint="default"/>
        </w:rPr>
        <w:t>32</w:t>
      </w:r>
      <w:r>
        <w:rPr/>
        <w:t>、资本公积（续）</w:t>
      </w:r>
      <w:r>
        <w:rPr>
          <w:spacing w:val="-104"/>
        </w:rPr>
        <w:t> </w:t>
      </w:r>
      <w:r>
        <w:rPr>
          <w:spacing w:val="-104"/>
        </w:rPr>
      </w:r>
      <w:r>
        <w:rPr/>
        <w:t>注释（续）：</w:t>
      </w:r>
    </w:p>
    <w:p>
      <w:pPr>
        <w:pStyle w:val="BodyText"/>
        <w:spacing w:line="284" w:lineRule="exact" w:before="114"/>
        <w:ind w:left="1025" w:right="204" w:hanging="466"/>
        <w:jc w:val="both"/>
      </w:pPr>
      <w:r>
        <w:rPr>
          <w:rFonts w:ascii="Arial" w:hAnsi="Arial" w:cs="Arial" w:eastAsia="Arial" w:hint="default"/>
        </w:rPr>
        <w:t>(f)</w:t>
      </w:r>
      <w:r>
        <w:rPr>
          <w:rFonts w:ascii="Arial" w:hAnsi="Arial" w:cs="Arial" w:eastAsia="Arial" w:hint="default"/>
          <w:spacing w:val="28"/>
        </w:rPr>
        <w:t> </w:t>
      </w:r>
      <w:r>
        <w:rPr/>
        <w:t>联通红筹公司的部分被授予股份期权的员工行使股份期权，从而增加联通红筹公司的股本及</w:t>
      </w:r>
      <w:r>
        <w:rPr>
          <w:w w:val="100"/>
        </w:rPr>
        <w:t> </w:t>
      </w:r>
      <w:r>
        <w:rPr/>
        <w:t>股本溢价，本公司根据对联通红筹公司的持股比例计算了对本集团资本公积的影响。</w:t>
      </w:r>
    </w:p>
    <w:p>
      <w:pPr>
        <w:spacing w:line="240" w:lineRule="auto" w:before="1"/>
        <w:rPr>
          <w:rFonts w:ascii="宋体" w:hAnsi="宋体" w:cs="宋体" w:eastAsia="宋体" w:hint="default"/>
          <w:sz w:val="17"/>
          <w:szCs w:val="17"/>
        </w:rPr>
      </w:pPr>
    </w:p>
    <w:p>
      <w:pPr>
        <w:pStyle w:val="BodyText"/>
        <w:spacing w:line="296" w:lineRule="exact"/>
        <w:ind w:left="559" w:right="90"/>
        <w:jc w:val="left"/>
      </w:pPr>
      <w:r>
        <w:rPr>
          <w:rFonts w:ascii="Arial" w:hAnsi="Arial" w:cs="Arial" w:eastAsia="Arial" w:hint="default"/>
        </w:rPr>
        <w:t>(g)  </w:t>
      </w:r>
      <w:r>
        <w:rPr>
          <w:rFonts w:ascii="Arial" w:hAnsi="Arial" w:cs="Arial" w:eastAsia="Arial" w:hint="default"/>
          <w:spacing w:val="8"/>
        </w:rPr>
        <w:t> </w:t>
      </w:r>
      <w:r>
        <w:rPr/>
        <w:t>于</w:t>
      </w:r>
      <w:r>
        <w:rPr>
          <w:spacing w:val="-45"/>
        </w:rPr>
        <w:t> </w:t>
      </w:r>
      <w:r>
        <w:rPr>
          <w:rFonts w:ascii="Arial" w:hAnsi="Arial" w:cs="Arial" w:eastAsia="Arial" w:hint="default"/>
        </w:rPr>
        <w:t>2007</w:t>
      </w:r>
      <w:r>
        <w:rPr>
          <w:rFonts w:ascii="Arial" w:hAnsi="Arial" w:cs="Arial" w:eastAsia="Arial" w:hint="default"/>
          <w:spacing w:val="6"/>
        </w:rPr>
        <w:t> </w:t>
      </w:r>
      <w:r>
        <w:rPr/>
        <w:t>年度，联通运营公司根据董事会决议，以其累计未分配利润中的约人民币</w:t>
      </w:r>
      <w:r>
        <w:rPr>
          <w:spacing w:val="-45"/>
        </w:rPr>
        <w:t> </w:t>
      </w:r>
      <w:r>
        <w:rPr>
          <w:rFonts w:ascii="Arial" w:hAnsi="Arial" w:cs="Arial" w:eastAsia="Arial" w:hint="default"/>
        </w:rPr>
        <w:t>173</w:t>
      </w:r>
      <w:r>
        <w:rPr>
          <w:rFonts w:ascii="Arial" w:hAnsi="Arial" w:cs="Arial" w:eastAsia="Arial" w:hint="default"/>
          <w:spacing w:val="6"/>
        </w:rPr>
        <w:t> </w:t>
      </w:r>
      <w:r>
        <w:rPr/>
        <w:t>亿元</w:t>
      </w:r>
    </w:p>
    <w:p>
      <w:pPr>
        <w:pStyle w:val="BodyText"/>
        <w:spacing w:line="232" w:lineRule="auto"/>
        <w:ind w:left="1025" w:right="204"/>
        <w:jc w:val="both"/>
      </w:pPr>
      <w:r>
        <w:rPr>
          <w:spacing w:val="-3"/>
        </w:rPr>
        <w:t>未分配利润转增注册资本。此外，本公司的子公司中讯设计院是一家于</w:t>
      </w:r>
      <w:r>
        <w:rPr>
          <w:spacing w:val="-59"/>
        </w:rPr>
        <w:t> </w:t>
      </w:r>
      <w:r>
        <w:rPr>
          <w:rFonts w:ascii="Arial" w:hAnsi="Arial" w:cs="Arial" w:eastAsia="Arial" w:hint="default"/>
        </w:rPr>
        <w:t>2008</w:t>
      </w:r>
      <w:r>
        <w:rPr>
          <w:rFonts w:ascii="Arial" w:hAnsi="Arial" w:cs="Arial" w:eastAsia="Arial" w:hint="default"/>
          <w:spacing w:val="-2"/>
        </w:rPr>
        <w:t> </w:t>
      </w:r>
      <w:r>
        <w:rPr/>
        <w:t>年</w:t>
      </w:r>
      <w:r>
        <w:rPr>
          <w:spacing w:val="-53"/>
        </w:rPr>
        <w:t> </w:t>
      </w:r>
      <w:r>
        <w:rPr>
          <w:rFonts w:ascii="Arial" w:hAnsi="Arial" w:cs="Arial" w:eastAsia="Arial" w:hint="default"/>
        </w:rPr>
        <w:t>9</w:t>
      </w:r>
      <w:r>
        <w:rPr>
          <w:rFonts w:ascii="Arial" w:hAnsi="Arial" w:cs="Arial" w:eastAsia="Arial" w:hint="default"/>
          <w:spacing w:val="-2"/>
        </w:rPr>
        <w:t> </w:t>
      </w:r>
      <w:r>
        <w:rPr/>
        <w:t>月</w:t>
      </w:r>
      <w:r>
        <w:rPr>
          <w:spacing w:val="-53"/>
        </w:rPr>
        <w:t> </w:t>
      </w:r>
      <w:r>
        <w:rPr>
          <w:rFonts w:ascii="Arial" w:hAnsi="Arial" w:cs="Arial" w:eastAsia="Arial" w:hint="default"/>
        </w:rPr>
        <w:t>27</w:t>
      </w:r>
      <w:r>
        <w:rPr>
          <w:rFonts w:ascii="Arial" w:hAnsi="Arial" w:cs="Arial" w:eastAsia="Arial" w:hint="default"/>
          <w:spacing w:val="-2"/>
        </w:rPr>
        <w:t> </w:t>
      </w:r>
      <w:r>
        <w:rPr/>
        <w:t>日完</w:t>
      </w:r>
      <w:r>
        <w:rPr>
          <w:w w:val="100"/>
        </w:rPr>
        <w:t> </w:t>
      </w:r>
      <w:r>
        <w:rPr>
          <w:spacing w:val="-1"/>
        </w:rPr>
        <w:t>成公司制改制后设立的企业，根据相关企业改制的规定，中讯设计院截至改制日止的未分配</w:t>
      </w:r>
      <w:r>
        <w:rPr>
          <w:spacing w:val="-54"/>
        </w:rPr>
        <w:t> </w:t>
      </w:r>
      <w:r>
        <w:rPr>
          <w:spacing w:val="-54"/>
        </w:rPr>
      </w:r>
      <w:r>
        <w:rPr>
          <w:spacing w:val="-1"/>
        </w:rPr>
        <w:t>利润被全部转入资本公积项下。本公司根据持股比例计算了上述事项对本集团资本公积的影</w:t>
      </w:r>
      <w:r>
        <w:rPr>
          <w:spacing w:val="-54"/>
        </w:rPr>
        <w:t> </w:t>
      </w:r>
      <w:r>
        <w:rPr>
          <w:spacing w:val="-54"/>
        </w:rPr>
      </w:r>
      <w:r>
        <w:rPr/>
        <w:t>响。</w:t>
      </w:r>
    </w:p>
    <w:p>
      <w:pPr>
        <w:spacing w:line="240" w:lineRule="auto" w:before="12"/>
        <w:rPr>
          <w:rFonts w:ascii="宋体" w:hAnsi="宋体" w:cs="宋体" w:eastAsia="宋体" w:hint="default"/>
          <w:sz w:val="19"/>
          <w:szCs w:val="19"/>
        </w:rPr>
      </w:pPr>
    </w:p>
    <w:p>
      <w:pPr>
        <w:pStyle w:val="BodyText"/>
        <w:spacing w:line="230" w:lineRule="auto"/>
        <w:ind w:left="1025" w:right="199" w:hanging="466"/>
        <w:jc w:val="both"/>
      </w:pPr>
      <w:r>
        <w:rPr>
          <w:rFonts w:ascii="Arial" w:hAnsi="Arial" w:cs="Arial" w:eastAsia="Arial" w:hint="default"/>
        </w:rPr>
        <w:t>(h)</w:t>
      </w:r>
      <w:r>
        <w:rPr>
          <w:rFonts w:ascii="Arial" w:hAnsi="Arial" w:cs="Arial" w:eastAsia="Arial" w:hint="default"/>
          <w:spacing w:val="11"/>
        </w:rPr>
        <w:t> </w:t>
      </w:r>
      <w:r>
        <w:rPr/>
        <w:t>如附注二</w:t>
      </w:r>
      <w:r>
        <w:rPr>
          <w:rFonts w:ascii="Arial" w:hAnsi="Arial" w:cs="Arial" w:eastAsia="Arial" w:hint="default"/>
        </w:rPr>
        <w:t>(1)</w:t>
      </w:r>
      <w:r>
        <w:rPr/>
        <w:t>所述，于</w:t>
      </w:r>
      <w:r>
        <w:rPr>
          <w:spacing w:val="-64"/>
        </w:rPr>
        <w:t> </w:t>
      </w:r>
      <w:r>
        <w:rPr>
          <w:rFonts w:ascii="Arial" w:hAnsi="Arial" w:cs="Arial" w:eastAsia="Arial" w:hint="default"/>
        </w:rPr>
        <w:t>2008</w:t>
      </w:r>
      <w:r>
        <w:rPr>
          <w:rFonts w:ascii="Arial" w:hAnsi="Arial" w:cs="Arial" w:eastAsia="Arial" w:hint="default"/>
          <w:spacing w:val="-8"/>
        </w:rPr>
        <w:t> </w:t>
      </w:r>
      <w:r>
        <w:rPr/>
        <w:t>年</w:t>
      </w:r>
      <w:r>
        <w:rPr>
          <w:spacing w:val="-59"/>
        </w:rPr>
        <w:t> </w:t>
      </w:r>
      <w:r>
        <w:rPr>
          <w:rFonts w:ascii="Arial" w:hAnsi="Arial" w:cs="Arial" w:eastAsia="Arial" w:hint="default"/>
        </w:rPr>
        <w:t>10</w:t>
      </w:r>
      <w:r>
        <w:rPr>
          <w:rFonts w:ascii="Arial" w:hAnsi="Arial" w:cs="Arial" w:eastAsia="Arial" w:hint="default"/>
          <w:spacing w:val="-8"/>
        </w:rPr>
        <w:t> </w:t>
      </w:r>
      <w:r>
        <w:rPr/>
        <w:t>月</w:t>
      </w:r>
      <w:r>
        <w:rPr>
          <w:spacing w:val="-59"/>
        </w:rPr>
        <w:t> </w:t>
      </w:r>
      <w:r>
        <w:rPr>
          <w:rFonts w:ascii="Arial" w:hAnsi="Arial" w:cs="Arial" w:eastAsia="Arial" w:hint="default"/>
        </w:rPr>
        <w:t>15</w:t>
      </w:r>
      <w:r>
        <w:rPr>
          <w:rFonts w:ascii="Arial" w:hAnsi="Arial" w:cs="Arial" w:eastAsia="Arial" w:hint="default"/>
          <w:spacing w:val="-12"/>
        </w:rPr>
        <w:t> </w:t>
      </w:r>
      <w:r>
        <w:rPr/>
        <w:t>日，联通红筹公司与网通红筹公司通过换股方式完成</w:t>
      </w:r>
      <w:r>
        <w:rPr>
          <w:w w:val="100"/>
        </w:rPr>
        <w:t> </w:t>
      </w:r>
      <w:r>
        <w:rPr/>
        <w:t>了两家公司的合并，从而导致本公司通过联通</w:t>
      </w:r>
      <w:r>
        <w:rPr>
          <w:spacing w:val="-59"/>
        </w:rPr>
        <w:t> </w:t>
      </w:r>
      <w:r>
        <w:rPr>
          <w:rFonts w:ascii="Arial" w:hAnsi="Arial" w:cs="Arial" w:eastAsia="Arial" w:hint="default"/>
        </w:rPr>
        <w:t>BVI</w:t>
      </w:r>
      <w:r>
        <w:rPr>
          <w:rFonts w:ascii="Arial" w:hAnsi="Arial" w:cs="Arial" w:eastAsia="Arial" w:hint="default"/>
          <w:spacing w:val="-14"/>
        </w:rPr>
        <w:t> </w:t>
      </w:r>
      <w:r>
        <w:rPr/>
        <w:t>公司对联通红筹公司的持股比例下降。该</w:t>
      </w:r>
      <w:r>
        <w:rPr>
          <w:w w:val="100"/>
        </w:rPr>
        <w:t> </w:t>
      </w:r>
      <w:r>
        <w:rPr>
          <w:spacing w:val="-1"/>
        </w:rPr>
        <w:t>同一控制下企业合并增加的本集团资本公积与本公司对联通红筹公司持股比例下降的因素互</w:t>
      </w:r>
      <w:r>
        <w:rPr>
          <w:w w:val="100"/>
        </w:rPr>
        <w:t> </w:t>
      </w:r>
      <w:r>
        <w:rPr/>
        <w:t>抵后减少本集团资本公积约人民币</w:t>
      </w:r>
      <w:r>
        <w:rPr>
          <w:spacing w:val="-55"/>
        </w:rPr>
        <w:t> </w:t>
      </w:r>
      <w:r>
        <w:rPr>
          <w:rFonts w:ascii="Arial" w:hAnsi="Arial" w:cs="Arial" w:eastAsia="Arial" w:hint="default"/>
        </w:rPr>
        <w:t>61.18</w:t>
      </w:r>
      <w:r>
        <w:rPr>
          <w:rFonts w:ascii="Arial" w:hAnsi="Arial" w:cs="Arial" w:eastAsia="Arial" w:hint="default"/>
          <w:spacing w:val="1"/>
        </w:rPr>
        <w:t> </w:t>
      </w:r>
      <w:r>
        <w:rPr>
          <w:spacing w:val="-4"/>
        </w:rPr>
        <w:t>亿元。</w:t>
      </w:r>
      <w:r>
        <w:rPr/>
      </w:r>
    </w:p>
    <w:p>
      <w:pPr>
        <w:spacing w:line="240" w:lineRule="auto" w:before="9"/>
        <w:rPr>
          <w:rFonts w:ascii="宋体" w:hAnsi="宋体" w:cs="宋体" w:eastAsia="宋体" w:hint="default"/>
          <w:sz w:val="20"/>
          <w:szCs w:val="20"/>
        </w:rPr>
      </w:pPr>
    </w:p>
    <w:p>
      <w:pPr>
        <w:pStyle w:val="BodyText"/>
        <w:spacing w:line="284" w:lineRule="exact"/>
        <w:ind w:left="1010" w:right="204"/>
        <w:jc w:val="both"/>
      </w:pPr>
      <w:r>
        <w:rPr/>
        <w:t>由于本公司子公司联通红筹公司分别于</w:t>
      </w:r>
      <w:r>
        <w:rPr>
          <w:spacing w:val="-63"/>
        </w:rPr>
        <w:t> </w:t>
      </w:r>
      <w:r>
        <w:rPr>
          <w:rFonts w:ascii="Arial" w:hAnsi="Arial" w:cs="Arial" w:eastAsia="Arial" w:hint="default"/>
        </w:rPr>
        <w:t>2009</w:t>
      </w:r>
      <w:r>
        <w:rPr>
          <w:rFonts w:ascii="Arial" w:hAnsi="Arial" w:cs="Arial" w:eastAsia="Arial" w:hint="default"/>
          <w:spacing w:val="-7"/>
        </w:rPr>
        <w:t> </w:t>
      </w:r>
      <w:r>
        <w:rPr/>
        <w:t>年</w:t>
      </w:r>
      <w:r>
        <w:rPr>
          <w:spacing w:val="-64"/>
        </w:rPr>
        <w:t> </w:t>
      </w:r>
      <w:r>
        <w:rPr>
          <w:rFonts w:ascii="Arial" w:hAnsi="Arial" w:cs="Arial" w:eastAsia="Arial" w:hint="default"/>
        </w:rPr>
        <w:t>10</w:t>
      </w:r>
      <w:r>
        <w:rPr>
          <w:rFonts w:ascii="Arial" w:hAnsi="Arial" w:cs="Arial" w:eastAsia="Arial" w:hint="default"/>
          <w:spacing w:val="-12"/>
        </w:rPr>
        <w:t> </w:t>
      </w:r>
      <w:r>
        <w:rPr/>
        <w:t>月</w:t>
      </w:r>
      <w:r>
        <w:rPr>
          <w:spacing w:val="-59"/>
        </w:rPr>
        <w:t> </w:t>
      </w:r>
      <w:r>
        <w:rPr>
          <w:rFonts w:ascii="Arial" w:hAnsi="Arial" w:cs="Arial" w:eastAsia="Arial" w:hint="default"/>
        </w:rPr>
        <w:t>21</w:t>
      </w:r>
      <w:r>
        <w:rPr>
          <w:rFonts w:ascii="Arial" w:hAnsi="Arial" w:cs="Arial" w:eastAsia="Arial" w:hint="default"/>
          <w:spacing w:val="-8"/>
        </w:rPr>
        <w:t> </w:t>
      </w:r>
      <w:r>
        <w:rPr>
          <w:spacing w:val="-3"/>
        </w:rPr>
        <w:t>日和</w:t>
      </w:r>
      <w:r>
        <w:rPr>
          <w:spacing w:val="-59"/>
        </w:rPr>
        <w:t> </w:t>
      </w:r>
      <w:r>
        <w:rPr>
          <w:rFonts w:ascii="Arial" w:hAnsi="Arial" w:cs="Arial" w:eastAsia="Arial" w:hint="default"/>
        </w:rPr>
        <w:t>2009</w:t>
      </w:r>
      <w:r>
        <w:rPr>
          <w:rFonts w:ascii="Arial" w:hAnsi="Arial" w:cs="Arial" w:eastAsia="Arial" w:hint="default"/>
          <w:spacing w:val="-7"/>
        </w:rPr>
        <w:t> </w:t>
      </w:r>
      <w:r>
        <w:rPr/>
        <w:t>年</w:t>
      </w:r>
      <w:r>
        <w:rPr>
          <w:spacing w:val="-64"/>
        </w:rPr>
        <w:t> </w:t>
      </w:r>
      <w:r>
        <w:rPr>
          <w:rFonts w:ascii="Arial" w:hAnsi="Arial" w:cs="Arial" w:eastAsia="Arial" w:hint="default"/>
        </w:rPr>
        <w:t>11</w:t>
      </w:r>
      <w:r>
        <w:rPr>
          <w:rFonts w:ascii="Arial" w:hAnsi="Arial" w:cs="Arial" w:eastAsia="Arial" w:hint="default"/>
          <w:spacing w:val="-8"/>
        </w:rPr>
        <w:t> </w:t>
      </w:r>
      <w:r>
        <w:rPr/>
        <w:t>月</w:t>
      </w:r>
      <w:r>
        <w:rPr>
          <w:spacing w:val="-64"/>
        </w:rPr>
        <w:t> </w:t>
      </w:r>
      <w:r>
        <w:rPr>
          <w:rFonts w:ascii="Arial" w:hAnsi="Arial" w:cs="Arial" w:eastAsia="Arial" w:hint="default"/>
        </w:rPr>
        <w:t>5</w:t>
      </w:r>
      <w:r>
        <w:rPr>
          <w:rFonts w:ascii="Arial" w:hAnsi="Arial" w:cs="Arial" w:eastAsia="Arial" w:hint="default"/>
          <w:spacing w:val="-8"/>
        </w:rPr>
        <w:t> </w:t>
      </w:r>
      <w:r>
        <w:rPr/>
        <w:t>日完成了与西</w:t>
      </w:r>
      <w:r>
        <w:rPr>
          <w:w w:val="100"/>
        </w:rPr>
        <w:t> </w:t>
      </w:r>
      <w:r>
        <w:rPr/>
        <w:t>班牙电信相互投资和回购 </w:t>
      </w:r>
      <w:r>
        <w:rPr>
          <w:rFonts w:ascii="Arial" w:hAnsi="Arial" w:cs="Arial" w:eastAsia="Arial" w:hint="default"/>
        </w:rPr>
        <w:t>SKT </w:t>
      </w:r>
      <w:r>
        <w:rPr/>
        <w:t>持有的联通红筹公司股份的交易导致联通 </w:t>
      </w:r>
      <w:r>
        <w:rPr>
          <w:rFonts w:ascii="Arial" w:hAnsi="Arial" w:cs="Arial" w:eastAsia="Arial" w:hint="default"/>
        </w:rPr>
        <w:t>BVI</w:t>
      </w:r>
      <w:r>
        <w:rPr>
          <w:rFonts w:ascii="Arial" w:hAnsi="Arial" w:cs="Arial" w:eastAsia="Arial" w:hint="default"/>
          <w:spacing w:val="1"/>
        </w:rPr>
        <w:t> </w:t>
      </w:r>
      <w:r>
        <w:rPr/>
        <w:t>公司对联通红</w:t>
      </w:r>
      <w:r>
        <w:rPr>
          <w:w w:val="100"/>
        </w:rPr>
        <w:t> </w:t>
      </w:r>
      <w:r>
        <w:rPr/>
        <w:t>筹公司的持股比例增加，使本集团资本公积增加约人民币</w:t>
      </w:r>
      <w:r>
        <w:rPr>
          <w:spacing w:val="-54"/>
        </w:rPr>
        <w:t> </w:t>
      </w:r>
      <w:r>
        <w:rPr>
          <w:rFonts w:ascii="Arial" w:hAnsi="Arial" w:cs="Arial" w:eastAsia="Arial" w:hint="default"/>
        </w:rPr>
        <w:t>6.22</w:t>
      </w:r>
      <w:r>
        <w:rPr>
          <w:rFonts w:ascii="Arial" w:hAnsi="Arial" w:cs="Arial" w:eastAsia="Arial" w:hint="default"/>
          <w:spacing w:val="-7"/>
        </w:rPr>
        <w:t> </w:t>
      </w:r>
      <w:r>
        <w:rPr/>
        <w:t>亿元。</w:t>
      </w:r>
    </w:p>
    <w:p>
      <w:pPr>
        <w:spacing w:line="240" w:lineRule="auto" w:before="10"/>
        <w:rPr>
          <w:rFonts w:ascii="宋体" w:hAnsi="宋体" w:cs="宋体" w:eastAsia="宋体" w:hint="default"/>
          <w:sz w:val="19"/>
          <w:szCs w:val="19"/>
        </w:rPr>
      </w:pPr>
    </w:p>
    <w:p>
      <w:pPr>
        <w:pStyle w:val="BodyText"/>
        <w:spacing w:line="284" w:lineRule="exact"/>
        <w:ind w:left="1025" w:right="204" w:hanging="5"/>
        <w:jc w:val="both"/>
      </w:pPr>
      <w:r>
        <w:rPr/>
        <w:t>此外，联通红筹公司的部分被授予股份期权的员工行使股份期权导致联通</w:t>
      </w:r>
      <w:r>
        <w:rPr>
          <w:spacing w:val="-57"/>
        </w:rPr>
        <w:t> </w:t>
      </w:r>
      <w:r>
        <w:rPr>
          <w:rFonts w:ascii="Arial" w:hAnsi="Arial" w:cs="Arial" w:eastAsia="Arial" w:hint="default"/>
        </w:rPr>
        <w:t>BVI</w:t>
      </w:r>
      <w:r>
        <w:rPr>
          <w:rFonts w:ascii="Arial" w:hAnsi="Arial" w:cs="Arial" w:eastAsia="Arial" w:hint="default"/>
          <w:spacing w:val="-12"/>
        </w:rPr>
        <w:t> </w:t>
      </w:r>
      <w:r>
        <w:rPr/>
        <w:t>公司对联通红</w:t>
      </w:r>
      <w:r>
        <w:rPr>
          <w:w w:val="100"/>
        </w:rPr>
        <w:t> </w:t>
      </w:r>
      <w:r>
        <w:rPr/>
        <w:t>筹公司持股比例下降。</w:t>
      </w:r>
    </w:p>
    <w:p>
      <w:pPr>
        <w:spacing w:line="240" w:lineRule="auto" w:before="2"/>
        <w:rPr>
          <w:rFonts w:ascii="宋体" w:hAnsi="宋体" w:cs="宋体" w:eastAsia="宋体" w:hint="default"/>
          <w:sz w:val="19"/>
          <w:szCs w:val="19"/>
        </w:rPr>
      </w:pPr>
    </w:p>
    <w:p>
      <w:pPr>
        <w:pStyle w:val="BodyText"/>
        <w:spacing w:line="288" w:lineRule="exact"/>
        <w:ind w:left="1025" w:right="90" w:hanging="5"/>
        <w:jc w:val="left"/>
      </w:pPr>
      <w:r>
        <w:rPr>
          <w:rFonts w:ascii="Arial" w:hAnsi="Arial" w:cs="Arial" w:eastAsia="Arial" w:hint="default"/>
          <w:w w:val="100"/>
        </w:rPr>
        <w:t>2017</w:t>
      </w:r>
      <w:r>
        <w:rPr>
          <w:rFonts w:ascii="Arial" w:hAnsi="Arial" w:cs="Arial" w:eastAsia="Arial" w:hint="default"/>
          <w:spacing w:val="-18"/>
          <w:w w:val="100"/>
        </w:rPr>
        <w:t> </w:t>
      </w:r>
      <w:r>
        <w:rPr>
          <w:w w:val="100"/>
        </w:rPr>
        <w:t>年</w:t>
      </w:r>
      <w:r>
        <w:rPr>
          <w:spacing w:val="-64"/>
          <w:w w:val="100"/>
        </w:rPr>
        <w:t> </w:t>
      </w:r>
      <w:r>
        <w:rPr>
          <w:rFonts w:ascii="Arial" w:hAnsi="Arial" w:cs="Arial" w:eastAsia="Arial" w:hint="default"/>
          <w:spacing w:val="-2"/>
          <w:w w:val="100"/>
        </w:rPr>
        <w:t>11</w:t>
      </w:r>
      <w:r>
        <w:rPr>
          <w:rFonts w:ascii="Arial" w:hAnsi="Arial" w:cs="Arial" w:eastAsia="Arial" w:hint="default"/>
          <w:spacing w:val="-13"/>
          <w:w w:val="100"/>
        </w:rPr>
        <w:t> </w:t>
      </w:r>
      <w:r>
        <w:rPr>
          <w:spacing w:val="-14"/>
          <w:w w:val="100"/>
        </w:rPr>
        <w:t>月，本公司通过联通</w:t>
      </w:r>
      <w:r>
        <w:rPr>
          <w:spacing w:val="-64"/>
          <w:w w:val="100"/>
        </w:rPr>
        <w:t> </w:t>
      </w:r>
      <w:r>
        <w:rPr>
          <w:rFonts w:ascii="Arial" w:hAnsi="Arial" w:cs="Arial" w:eastAsia="Arial" w:hint="default"/>
          <w:w w:val="100"/>
        </w:rPr>
        <w:t>BVI</w:t>
      </w:r>
      <w:r>
        <w:rPr>
          <w:rFonts w:ascii="Arial" w:hAnsi="Arial" w:cs="Arial" w:eastAsia="Arial" w:hint="default"/>
          <w:spacing w:val="-19"/>
          <w:w w:val="100"/>
        </w:rPr>
        <w:t> </w:t>
      </w:r>
      <w:r>
        <w:rPr>
          <w:spacing w:val="-2"/>
          <w:w w:val="100"/>
        </w:rPr>
        <w:t>公司间接增持联通红筹公司股份</w:t>
      </w:r>
      <w:r>
        <w:rPr>
          <w:spacing w:val="-64"/>
          <w:w w:val="100"/>
        </w:rPr>
        <w:t> </w:t>
      </w:r>
      <w:r>
        <w:rPr>
          <w:rFonts w:ascii="Arial" w:hAnsi="Arial" w:cs="Arial" w:eastAsia="Arial" w:hint="default"/>
          <w:spacing w:val="-1"/>
          <w:w w:val="100"/>
        </w:rPr>
        <w:t>10.60%</w:t>
      </w:r>
      <w:r>
        <w:rPr>
          <w:spacing w:val="-1"/>
          <w:w w:val="100"/>
        </w:rPr>
        <w:t>至持股</w:t>
      </w:r>
      <w:r>
        <w:rPr>
          <w:spacing w:val="-64"/>
          <w:w w:val="100"/>
        </w:rPr>
        <w:t> </w:t>
      </w:r>
      <w:r>
        <w:rPr>
          <w:rFonts w:ascii="Arial" w:hAnsi="Arial" w:cs="Arial" w:eastAsia="Arial" w:hint="default"/>
          <w:spacing w:val="-1"/>
          <w:w w:val="100"/>
        </w:rPr>
        <w:t>43.94%</w:t>
      </w:r>
      <w:r>
        <w:rPr>
          <w:spacing w:val="-1"/>
          <w:w w:val="100"/>
        </w:rPr>
        <w:t>，</w:t>
      </w:r>
      <w:r>
        <w:rPr>
          <w:w w:val="100"/>
        </w:rPr>
        <w:t> </w:t>
      </w:r>
      <w:r>
        <w:rPr/>
        <w:t>出资额与联通红筹公司对应持股比例之差人民币</w:t>
      </w:r>
      <w:r>
        <w:rPr>
          <w:spacing w:val="-59"/>
        </w:rPr>
        <w:t> </w:t>
      </w:r>
      <w:r>
        <w:rPr>
          <w:rFonts w:ascii="Arial" w:hAnsi="Arial" w:cs="Arial" w:eastAsia="Arial" w:hint="default"/>
        </w:rPr>
        <w:t>4,013,152,167</w:t>
      </w:r>
      <w:r>
        <w:rPr>
          <w:rFonts w:ascii="Arial" w:hAnsi="Arial" w:cs="Arial" w:eastAsia="Arial" w:hint="default"/>
          <w:spacing w:val="-4"/>
        </w:rPr>
        <w:t> </w:t>
      </w:r>
      <w:r>
        <w:rPr/>
        <w:t>元，计入本集团资本公积。</w:t>
      </w:r>
    </w:p>
    <w:p>
      <w:pPr>
        <w:spacing w:line="240" w:lineRule="auto" w:before="4"/>
        <w:rPr>
          <w:rFonts w:ascii="宋体" w:hAnsi="宋体" w:cs="宋体" w:eastAsia="宋体" w:hint="default"/>
          <w:sz w:val="19"/>
          <w:szCs w:val="19"/>
        </w:rPr>
      </w:pPr>
    </w:p>
    <w:p>
      <w:pPr>
        <w:pStyle w:val="BodyText"/>
        <w:spacing w:line="284" w:lineRule="exact"/>
        <w:ind w:left="1025" w:right="204" w:hanging="5"/>
        <w:jc w:val="both"/>
      </w:pPr>
      <w:r>
        <w:rPr>
          <w:rFonts w:ascii="Arial" w:hAnsi="Arial" w:cs="Arial" w:eastAsia="Arial" w:hint="default"/>
        </w:rPr>
        <w:t>2019 </w:t>
      </w:r>
      <w:r>
        <w:rPr/>
        <w:t>年 </w:t>
      </w:r>
      <w:r>
        <w:rPr>
          <w:rFonts w:ascii="Arial" w:hAnsi="Arial" w:cs="Arial" w:eastAsia="Arial" w:hint="default"/>
        </w:rPr>
        <w:t>4</w:t>
      </w:r>
      <w:r>
        <w:rPr>
          <w:rFonts w:ascii="Arial" w:hAnsi="Arial" w:cs="Arial" w:eastAsia="Arial" w:hint="default"/>
          <w:spacing w:val="-6"/>
        </w:rPr>
        <w:t> </w:t>
      </w:r>
      <w:r>
        <w:rPr/>
        <w:t>月，本公司所属子公司智网科技引入战略投资者而导致的所有者权益变动计入资</w:t>
      </w:r>
      <w:r>
        <w:rPr>
          <w:w w:val="100"/>
        </w:rPr>
        <w:t> </w:t>
      </w:r>
      <w:r>
        <w:rPr/>
        <w:t>本公积项下，本公司根据持股比例计算了上述事项对本集团资本公积的影响。</w:t>
      </w:r>
    </w:p>
    <w:p>
      <w:pPr>
        <w:spacing w:line="240" w:lineRule="auto" w:before="2"/>
        <w:rPr>
          <w:rFonts w:ascii="宋体" w:hAnsi="宋体" w:cs="宋体" w:eastAsia="宋体" w:hint="default"/>
          <w:sz w:val="19"/>
          <w:szCs w:val="19"/>
        </w:rPr>
      </w:pPr>
    </w:p>
    <w:p>
      <w:pPr>
        <w:pStyle w:val="BodyText"/>
        <w:spacing w:line="288" w:lineRule="exact"/>
        <w:ind w:left="1025" w:right="204" w:hanging="466"/>
        <w:jc w:val="both"/>
      </w:pPr>
      <w:r>
        <w:rPr>
          <w:rFonts w:ascii="Arial" w:hAnsi="Arial" w:cs="Arial" w:eastAsia="Arial" w:hint="default"/>
        </w:rPr>
        <w:t>(i)</w:t>
      </w:r>
      <w:r>
        <w:rPr>
          <w:rFonts w:ascii="Arial" w:hAnsi="Arial" w:cs="Arial" w:eastAsia="Arial" w:hint="default"/>
          <w:spacing w:val="29"/>
        </w:rPr>
        <w:t> </w:t>
      </w:r>
      <w:r>
        <w:rPr/>
        <w:t>于</w:t>
      </w:r>
      <w:r>
        <w:rPr>
          <w:spacing w:val="-58"/>
        </w:rPr>
        <w:t> </w:t>
      </w:r>
      <w:r>
        <w:rPr>
          <w:rFonts w:ascii="Arial" w:hAnsi="Arial" w:cs="Arial" w:eastAsia="Arial" w:hint="default"/>
        </w:rPr>
        <w:t>2007</w:t>
      </w:r>
      <w:r>
        <w:rPr>
          <w:rFonts w:ascii="Arial" w:hAnsi="Arial" w:cs="Arial" w:eastAsia="Arial" w:hint="default"/>
          <w:spacing w:val="-7"/>
        </w:rPr>
        <w:t> </w:t>
      </w:r>
      <w:r>
        <w:rPr>
          <w:spacing w:val="-3"/>
        </w:rPr>
        <w:t>年，联通红筹公司向</w:t>
      </w:r>
      <w:r>
        <w:rPr>
          <w:spacing w:val="-58"/>
        </w:rPr>
        <w:t> </w:t>
      </w:r>
      <w:r>
        <w:rPr>
          <w:rFonts w:ascii="Arial" w:hAnsi="Arial" w:cs="Arial" w:eastAsia="Arial" w:hint="default"/>
        </w:rPr>
        <w:t>SKT</w:t>
      </w:r>
      <w:r>
        <w:rPr>
          <w:rFonts w:ascii="Arial" w:hAnsi="Arial" w:cs="Arial" w:eastAsia="Arial" w:hint="default"/>
          <w:spacing w:val="-9"/>
        </w:rPr>
        <w:t> </w:t>
      </w:r>
      <w:r>
        <w:rPr/>
        <w:t>发行的可转换债券已全部转换为联通红筹公司股份，根据</w:t>
      </w:r>
      <w:r>
        <w:rPr>
          <w:w w:val="100"/>
        </w:rPr>
        <w:t> </w:t>
      </w:r>
      <w:r>
        <w:rPr/>
        <w:t>换股后本公司对联通红筹公司的持股比例计算，增加本集团资本公积约人民币</w:t>
      </w:r>
      <w:r>
        <w:rPr>
          <w:spacing w:val="-52"/>
        </w:rPr>
        <w:t> </w:t>
      </w:r>
      <w:r>
        <w:rPr>
          <w:rFonts w:ascii="Arial" w:hAnsi="Arial" w:cs="Arial" w:eastAsia="Arial" w:hint="default"/>
        </w:rPr>
        <w:t>31.17</w:t>
      </w:r>
      <w:r>
        <w:rPr>
          <w:rFonts w:ascii="Arial" w:hAnsi="Arial" w:cs="Arial" w:eastAsia="Arial" w:hint="default"/>
          <w:spacing w:val="4"/>
        </w:rPr>
        <w:t> </w:t>
      </w:r>
      <w:r>
        <w:rPr/>
        <w:t>亿元。</w:t>
      </w:r>
    </w:p>
    <w:p>
      <w:pPr>
        <w:pStyle w:val="BodyText"/>
        <w:spacing w:line="264" w:lineRule="exact"/>
        <w:ind w:left="1025" w:right="0"/>
        <w:jc w:val="both"/>
      </w:pPr>
      <w:r>
        <w:rPr/>
        <w:t>此外，本公司所属子公司亿迅投资有限公司（发行人，已注销）于</w:t>
      </w:r>
      <w:r>
        <w:rPr>
          <w:spacing w:val="-52"/>
        </w:rPr>
        <w:t> </w:t>
      </w:r>
      <w:r>
        <w:rPr>
          <w:rFonts w:ascii="Arial" w:hAnsi="Arial" w:cs="Arial" w:eastAsia="Arial" w:hint="default"/>
        </w:rPr>
        <w:t>2010</w:t>
      </w:r>
      <w:r>
        <w:rPr>
          <w:rFonts w:ascii="Arial" w:hAnsi="Arial" w:cs="Arial" w:eastAsia="Arial" w:hint="default"/>
          <w:spacing w:val="-1"/>
        </w:rPr>
        <w:t> </w:t>
      </w:r>
      <w:r>
        <w:rPr/>
        <w:t>年</w:t>
      </w:r>
      <w:r>
        <w:rPr>
          <w:spacing w:val="-52"/>
        </w:rPr>
        <w:t> </w:t>
      </w:r>
      <w:r>
        <w:rPr>
          <w:rFonts w:ascii="Arial" w:hAnsi="Arial" w:cs="Arial" w:eastAsia="Arial" w:hint="default"/>
        </w:rPr>
        <w:t>10</w:t>
      </w:r>
      <w:r>
        <w:rPr>
          <w:rFonts w:ascii="Arial" w:hAnsi="Arial" w:cs="Arial" w:eastAsia="Arial" w:hint="default"/>
          <w:spacing w:val="-1"/>
        </w:rPr>
        <w:t> </w:t>
      </w:r>
      <w:r>
        <w:rPr/>
        <w:t>月</w:t>
      </w:r>
      <w:r>
        <w:rPr>
          <w:spacing w:val="-57"/>
        </w:rPr>
        <w:t> </w:t>
      </w:r>
      <w:r>
        <w:rPr>
          <w:rFonts w:ascii="Arial" w:hAnsi="Arial" w:cs="Arial" w:eastAsia="Arial" w:hint="default"/>
        </w:rPr>
        <w:t>18</w:t>
      </w:r>
      <w:r>
        <w:rPr>
          <w:rFonts w:ascii="Arial" w:hAnsi="Arial" w:cs="Arial" w:eastAsia="Arial" w:hint="default"/>
          <w:spacing w:val="-1"/>
        </w:rPr>
        <w:t> </w:t>
      </w:r>
      <w:r>
        <w:rPr/>
        <w:t>日完成</w:t>
      </w:r>
    </w:p>
    <w:p>
      <w:pPr>
        <w:pStyle w:val="BodyText"/>
        <w:spacing w:line="286" w:lineRule="exact"/>
        <w:ind w:left="1024" w:right="0"/>
        <w:jc w:val="both"/>
      </w:pPr>
      <w:r>
        <w:rPr>
          <w:spacing w:val="-4"/>
        </w:rPr>
        <w:t>了联通红筹公司可转换债券的发行，该可转换债券权益部分约人民币 </w:t>
      </w:r>
      <w:r>
        <w:rPr>
          <w:rFonts w:ascii="Arial" w:hAnsi="Arial" w:cs="Arial" w:eastAsia="Arial" w:hint="default"/>
        </w:rPr>
        <w:t>5.72</w:t>
      </w:r>
      <w:r>
        <w:rPr>
          <w:rFonts w:ascii="Arial" w:hAnsi="Arial" w:cs="Arial" w:eastAsia="Arial" w:hint="default"/>
          <w:spacing w:val="-27"/>
        </w:rPr>
        <w:t> </w:t>
      </w:r>
      <w:r>
        <w:rPr/>
        <w:t>亿元根据本公司的</w:t>
      </w:r>
    </w:p>
    <w:p>
      <w:pPr>
        <w:pStyle w:val="BodyText"/>
        <w:spacing w:line="293" w:lineRule="exact"/>
        <w:ind w:left="1024" w:right="0"/>
        <w:jc w:val="both"/>
      </w:pPr>
      <w:r>
        <w:rPr/>
        <w:t>持股比例计算约人民币</w:t>
      </w:r>
      <w:r>
        <w:rPr>
          <w:spacing w:val="-55"/>
        </w:rPr>
        <w:t> </w:t>
      </w:r>
      <w:r>
        <w:rPr>
          <w:rFonts w:ascii="Arial" w:hAnsi="Arial" w:cs="Arial" w:eastAsia="Arial" w:hint="default"/>
        </w:rPr>
        <w:t>1.94</w:t>
      </w:r>
      <w:r>
        <w:rPr>
          <w:rFonts w:ascii="Arial" w:hAnsi="Arial" w:cs="Arial" w:eastAsia="Arial" w:hint="default"/>
          <w:spacing w:val="-4"/>
        </w:rPr>
        <w:t> </w:t>
      </w:r>
      <w:r>
        <w:rPr/>
        <w:t>亿元被反映在本集团资本公积项下。</w:t>
      </w:r>
    </w:p>
    <w:p>
      <w:pPr>
        <w:spacing w:line="240" w:lineRule="auto" w:before="11"/>
        <w:rPr>
          <w:rFonts w:ascii="宋体" w:hAnsi="宋体" w:cs="宋体" w:eastAsia="宋体" w:hint="default"/>
          <w:sz w:val="17"/>
          <w:szCs w:val="17"/>
        </w:rPr>
      </w:pPr>
    </w:p>
    <w:p>
      <w:pPr>
        <w:pStyle w:val="BodyText"/>
        <w:tabs>
          <w:tab w:pos="1024" w:val="left" w:leader="none"/>
        </w:tabs>
        <w:spacing w:line="296" w:lineRule="exact"/>
        <w:ind w:left="559" w:right="90"/>
        <w:jc w:val="left"/>
      </w:pPr>
      <w:r>
        <w:rPr>
          <w:rFonts w:ascii="Arial" w:hAnsi="Arial" w:cs="Arial" w:eastAsia="Arial" w:hint="default"/>
          <w:spacing w:val="-1"/>
        </w:rPr>
        <w:t>(j)</w:t>
        <w:tab/>
      </w:r>
      <w:r>
        <w:rPr>
          <w:rFonts w:ascii="Arial" w:hAnsi="Arial" w:cs="Arial" w:eastAsia="Arial" w:hint="default"/>
        </w:rPr>
        <w:t>2018 </w:t>
      </w:r>
      <w:r>
        <w:rPr>
          <w:spacing w:val="-2"/>
        </w:rPr>
        <w:t>年起，本公司实施了限制性股票激励计划。于</w:t>
      </w:r>
      <w:r>
        <w:rPr/>
        <w:t> </w:t>
      </w:r>
      <w:r>
        <w:rPr>
          <w:rFonts w:ascii="Arial" w:hAnsi="Arial" w:cs="Arial" w:eastAsia="Arial" w:hint="default"/>
          <w:spacing w:val="1"/>
        </w:rPr>
        <w:t>2019</w:t>
      </w:r>
      <w:r>
        <w:rPr>
          <w:rFonts w:ascii="Arial" w:hAnsi="Arial" w:cs="Arial" w:eastAsia="Arial" w:hint="default"/>
          <w:spacing w:val="-33"/>
        </w:rPr>
        <w:t> </w:t>
      </w:r>
      <w:r>
        <w:rPr>
          <w:spacing w:val="-2"/>
        </w:rPr>
        <w:t>年度，将当年通过股份支付获取的</w:t>
      </w:r>
    </w:p>
    <w:p>
      <w:pPr>
        <w:pStyle w:val="BodyText"/>
        <w:spacing w:line="296" w:lineRule="exact"/>
        <w:ind w:left="1024" w:right="0"/>
        <w:jc w:val="both"/>
      </w:pPr>
      <w:r>
        <w:rPr/>
        <w:t>服务人民币</w:t>
      </w:r>
      <w:r>
        <w:rPr>
          <w:spacing w:val="-55"/>
        </w:rPr>
        <w:t> </w:t>
      </w:r>
      <w:r>
        <w:rPr>
          <w:rFonts w:ascii="Arial" w:hAnsi="Arial" w:cs="Arial" w:eastAsia="Arial" w:hint="default"/>
        </w:rPr>
        <w:t>5.71</w:t>
      </w:r>
      <w:r>
        <w:rPr>
          <w:rFonts w:ascii="Arial" w:hAnsi="Arial" w:cs="Arial" w:eastAsia="Arial" w:hint="default"/>
          <w:spacing w:val="-4"/>
        </w:rPr>
        <w:t> </w:t>
      </w:r>
      <w:r>
        <w:rPr/>
        <w:t>亿元计入资本公积。</w:t>
      </w:r>
    </w:p>
    <w:p>
      <w:pPr>
        <w:spacing w:line="240" w:lineRule="auto" w:before="3"/>
        <w:rPr>
          <w:rFonts w:ascii="宋体" w:hAnsi="宋体" w:cs="宋体" w:eastAsia="宋体" w:hint="default"/>
          <w:sz w:val="20"/>
          <w:szCs w:val="20"/>
        </w:rPr>
      </w:pPr>
    </w:p>
    <w:p>
      <w:pPr>
        <w:pStyle w:val="BodyText"/>
        <w:spacing w:line="284" w:lineRule="exact"/>
        <w:ind w:left="1024" w:right="204" w:hanging="466"/>
        <w:jc w:val="both"/>
      </w:pPr>
      <w:r>
        <w:rPr>
          <w:rFonts w:ascii="Arial" w:hAnsi="Arial" w:cs="Arial" w:eastAsia="Arial" w:hint="default"/>
          <w:spacing w:val="-1"/>
          <w:w w:val="100"/>
        </w:rPr>
        <w:t>(k)</w:t>
      </w:r>
      <w:r>
        <w:rPr>
          <w:rFonts w:ascii="Arial" w:hAnsi="Arial" w:cs="Arial" w:eastAsia="Arial" w:hint="default"/>
          <w:w w:val="100"/>
        </w:rPr>
        <w:t> </w:t>
      </w:r>
      <w:r>
        <w:rPr>
          <w:rFonts w:ascii="Arial" w:hAnsi="Arial" w:cs="Arial" w:eastAsia="Arial" w:hint="default"/>
          <w:w w:val="100"/>
        </w:rPr>
        <w:t>2019</w:t>
      </w:r>
      <w:r>
        <w:rPr>
          <w:rFonts w:ascii="Arial" w:hAnsi="Arial" w:cs="Arial" w:eastAsia="Arial" w:hint="default"/>
          <w:spacing w:val="-13"/>
          <w:w w:val="100"/>
        </w:rPr>
        <w:t> </w:t>
      </w:r>
      <w:r>
        <w:rPr>
          <w:spacing w:val="-4"/>
          <w:w w:val="100"/>
        </w:rPr>
        <w:t>年，本集团的若干联营企业将因其他股东增资或发行限制性股票而导致的所有者权益变</w:t>
      </w:r>
      <w:r>
        <w:rPr>
          <w:w w:val="100"/>
        </w:rPr>
        <w:t> </w:t>
      </w:r>
      <w:r>
        <w:rPr/>
        <w:t>动计入资本公积项下，本公司根据持股比例计算了上述事项对本集团资本公积的影响。</w:t>
      </w:r>
    </w:p>
    <w:p>
      <w:pPr>
        <w:spacing w:after="0" w:line="284" w:lineRule="exact"/>
        <w:jc w:val="both"/>
        <w:sectPr>
          <w:headerReference w:type="default" r:id="rId189"/>
          <w:pgSz w:w="11910" w:h="16840"/>
          <w:pgMar w:header="1188" w:footer="502" w:top="3040" w:bottom="700" w:left="1020" w:right="840"/>
        </w:sectPr>
      </w:pPr>
    </w:p>
    <w:p>
      <w:pPr>
        <w:spacing w:line="240" w:lineRule="auto" w:before="7"/>
        <w:rPr>
          <w:rFonts w:ascii="宋体" w:hAnsi="宋体" w:cs="宋体" w:eastAsia="宋体" w:hint="default"/>
          <w:sz w:val="16"/>
          <w:szCs w:val="16"/>
        </w:rPr>
      </w:pPr>
    </w:p>
    <w:p>
      <w:pPr>
        <w:pStyle w:val="BodyText"/>
        <w:spacing w:line="240" w:lineRule="auto" w:before="32"/>
        <w:ind w:left="112" w:right="0"/>
        <w:jc w:val="left"/>
      </w:pPr>
      <w:r>
        <w:rPr>
          <w:rFonts w:ascii="Arial" w:hAnsi="Arial" w:cs="Arial" w:eastAsia="Arial" w:hint="default"/>
        </w:rPr>
        <w:t>33</w:t>
      </w:r>
      <w:r>
        <w:rPr/>
        <w:t>、库存股</w:t>
      </w:r>
    </w:p>
    <w:p>
      <w:pPr>
        <w:spacing w:line="240" w:lineRule="auto" w:before="13"/>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headerReference w:type="default" r:id="rId190"/>
          <w:pgSz w:w="11910" w:h="16840"/>
          <w:pgMar w:header="1188" w:footer="502" w:top="3040" w:bottom="700" w:left="1020" w:right="1020"/>
        </w:sectPr>
      </w:pPr>
    </w:p>
    <w:p>
      <w:pPr>
        <w:pStyle w:val="BodyText"/>
        <w:spacing w:line="296" w:lineRule="exact" w:before="38"/>
        <w:ind w:left="0" w:right="89"/>
        <w:jc w:val="right"/>
      </w:pPr>
      <w:r>
        <w:rPr>
          <w:rFonts w:ascii="Arial" w:hAnsi="Arial" w:cs="Arial" w:eastAsia="Arial" w:hint="default"/>
        </w:rPr>
        <w:t>2018</w:t>
      </w:r>
      <w:r>
        <w:rPr>
          <w:rFonts w:ascii="Arial" w:hAnsi="Arial" w:cs="Arial" w:eastAsia="Arial" w:hint="default"/>
          <w:spacing w:val="-4"/>
        </w:rPr>
        <w:t> </w:t>
      </w:r>
      <w:r>
        <w:rPr/>
        <w:t>年</w:t>
      </w:r>
    </w:p>
    <w:p>
      <w:pPr>
        <w:pStyle w:val="BodyText"/>
        <w:spacing w:line="296" w:lineRule="exact"/>
        <w:ind w:left="0" w:right="0"/>
        <w:jc w:val="right"/>
        <w:rPr>
          <w:rFonts w:ascii="宋体" w:hAnsi="宋体" w:cs="宋体" w:eastAsia="宋体" w:hint="default"/>
          <w:sz w:val="18"/>
          <w:szCs w:val="18"/>
        </w:rPr>
      </w:pPr>
      <w:r>
        <w:rPr/>
        <w:pict>
          <v:group style="position:absolute;margin-left:186pt;margin-top:15.81829pt;width:85.2pt;height:.1pt;mso-position-horizontal-relative:page;mso-position-vertical-relative:paragraph;z-index:-1024552" coordorigin="3720,316" coordsize="1704,2">
            <v:shape style="position:absolute;left:3720;top:316;width:1704;height:2" coordorigin="3720,316" coordsize="1704,0" path="m3720,316l5424,316e" filled="false" stroked="true" strokeweight=".48pt" strokecolor="#000000">
              <v:path arrowok="t"/>
            </v:shape>
            <w10:wrap type="none"/>
          </v:group>
        </w:pict>
      </w:r>
      <w:r>
        <w:rPr>
          <w:rFonts w:ascii="Arial" w:hAnsi="Arial" w:cs="Arial" w:eastAsia="Arial" w:hint="default"/>
        </w:rPr>
        <w:t>12</w:t>
      </w:r>
      <w:r>
        <w:rPr>
          <w:rFonts w:ascii="Arial" w:hAnsi="Arial" w:cs="Arial" w:eastAsia="Arial" w:hint="default"/>
          <w:spacing w:val="-5"/>
        </w:rPr>
        <w:t> </w:t>
      </w:r>
      <w:r>
        <w:rPr/>
        <w:t>月</w:t>
      </w:r>
      <w:r>
        <w:rPr>
          <w:spacing w:val="-56"/>
        </w:rPr>
        <w:t> </w:t>
      </w:r>
      <w:r>
        <w:rPr>
          <w:rFonts w:ascii="Arial" w:hAnsi="Arial" w:cs="Arial" w:eastAsia="Arial" w:hint="default"/>
        </w:rPr>
        <w:t>31</w:t>
      </w:r>
      <w:r>
        <w:rPr>
          <w:rFonts w:ascii="Arial" w:hAnsi="Arial" w:cs="Arial" w:eastAsia="Arial" w:hint="default"/>
          <w:spacing w:val="-5"/>
        </w:rPr>
        <w:t> </w:t>
      </w:r>
      <w:r>
        <w:rPr>
          <w:spacing w:val="-5"/>
        </w:rPr>
        <w:t>日</w:t>
      </w:r>
      <w:r>
        <w:rPr>
          <w:rFonts w:ascii="宋体" w:hAnsi="宋体" w:cs="宋体" w:eastAsia="宋体" w:hint="default"/>
          <w:w w:val="101"/>
          <w:sz w:val="18"/>
          <w:szCs w:val="18"/>
        </w:rPr>
        <w:t> </w:t>
      </w:r>
      <w:r>
        <w:rPr>
          <w:rFonts w:ascii="宋体" w:hAnsi="宋体" w:cs="宋体" w:eastAsia="宋体" w:hint="default"/>
          <w:sz w:val="18"/>
          <w:szCs w:val="18"/>
        </w:rPr>
      </w:r>
    </w:p>
    <w:p>
      <w:pPr>
        <w:spacing w:line="240" w:lineRule="auto" w:before="12"/>
        <w:rPr>
          <w:rFonts w:ascii="宋体" w:hAnsi="宋体" w:cs="宋体" w:eastAsia="宋体" w:hint="default"/>
          <w:sz w:val="24"/>
          <w:szCs w:val="24"/>
        </w:rPr>
      </w:pPr>
      <w:r>
        <w:rPr/>
        <w:br w:type="column"/>
      </w:r>
      <w:r>
        <w:rPr>
          <w:rFonts w:ascii="宋体"/>
          <w:sz w:val="24"/>
        </w:rPr>
      </w:r>
    </w:p>
    <w:p>
      <w:pPr>
        <w:pStyle w:val="BodyText"/>
        <w:spacing w:line="240" w:lineRule="auto"/>
        <w:ind w:left="771" w:right="0"/>
        <w:jc w:val="left"/>
        <w:rPr>
          <w:rFonts w:ascii="宋体" w:hAnsi="宋体" w:cs="宋体" w:eastAsia="宋体" w:hint="default"/>
        </w:rPr>
      </w:pPr>
      <w:r>
        <w:rPr/>
        <w:pict>
          <v:group style="position:absolute;margin-left:277.679993pt;margin-top:16.207664pt;width:82.8pt;height:.1pt;mso-position-horizontal-relative:page;mso-position-vertical-relative:paragraph;z-index:-1024528" coordorigin="5554,324" coordsize="1656,2">
            <v:shape style="position:absolute;left:5554;top:324;width:1656;height:2" coordorigin="5554,324" coordsize="1656,0" path="m5554,324l7210,324e" filled="false" stroked="true" strokeweight=".48pt" strokecolor="#000000">
              <v:path arrowok="t"/>
            </v:shape>
            <w10:wrap type="none"/>
          </v:group>
        </w:pict>
      </w:r>
      <w:r>
        <w:rPr/>
        <w:t>本年增加</w:t>
      </w:r>
      <w:r>
        <w:rPr>
          <w:rFonts w:ascii="宋体" w:hAnsi="宋体" w:cs="宋体" w:eastAsia="宋体" w:hint="default"/>
        </w:rPr>
        <w:t> </w:t>
      </w:r>
    </w:p>
    <w:p>
      <w:pPr>
        <w:spacing w:line="240" w:lineRule="auto" w:before="12"/>
        <w:rPr>
          <w:rFonts w:ascii="宋体" w:hAnsi="宋体" w:cs="宋体" w:eastAsia="宋体" w:hint="default"/>
          <w:sz w:val="24"/>
          <w:szCs w:val="24"/>
        </w:rPr>
      </w:pPr>
      <w:r>
        <w:rPr/>
        <w:br w:type="column"/>
      </w:r>
      <w:r>
        <w:rPr>
          <w:rFonts w:ascii="宋体"/>
          <w:sz w:val="24"/>
        </w:rPr>
      </w:r>
    </w:p>
    <w:p>
      <w:pPr>
        <w:pStyle w:val="BodyText"/>
        <w:spacing w:line="240" w:lineRule="auto"/>
        <w:ind w:left="708" w:right="0"/>
        <w:jc w:val="left"/>
        <w:rPr>
          <w:rFonts w:ascii="宋体" w:hAnsi="宋体" w:cs="宋体" w:eastAsia="宋体" w:hint="default"/>
        </w:rPr>
      </w:pPr>
      <w:r>
        <w:rPr/>
        <w:pict>
          <v:group style="position:absolute;margin-left:367.920013pt;margin-top:16.207664pt;width:79.45pt;height:.1pt;mso-position-horizontal-relative:page;mso-position-vertical-relative:paragraph;z-index:-1024504" coordorigin="7358,324" coordsize="1589,2">
            <v:shape style="position:absolute;left:7358;top:324;width:1589;height:2" coordorigin="7358,324" coordsize="1589,0" path="m7358,324l8947,324e" filled="false" stroked="true" strokeweight=".48pt" strokecolor="#000000">
              <v:path arrowok="t"/>
            </v:shape>
            <w10:wrap type="none"/>
          </v:group>
        </w:pict>
      </w:r>
      <w:r>
        <w:rPr/>
        <w:t>本年减少</w:t>
      </w:r>
      <w:r>
        <w:rPr>
          <w:rFonts w:ascii="宋体" w:hAnsi="宋体" w:cs="宋体" w:eastAsia="宋体" w:hint="default"/>
        </w:rPr>
        <w:t> </w:t>
      </w:r>
    </w:p>
    <w:p>
      <w:pPr>
        <w:tabs>
          <w:tab w:pos="900" w:val="left" w:leader="none"/>
        </w:tabs>
        <w:spacing w:line="296" w:lineRule="exact" w:before="38"/>
        <w:ind w:left="-17" w:right="0" w:firstLine="0"/>
        <w:jc w:val="left"/>
        <w:rPr>
          <w:rFonts w:ascii="宋体" w:hAnsi="宋体" w:cs="宋体" w:eastAsia="宋体" w:hint="default"/>
          <w:sz w:val="22"/>
          <w:szCs w:val="22"/>
        </w:rPr>
      </w:pPr>
      <w:r>
        <w:rPr/>
        <w:br w:type="column"/>
      </w:r>
      <w:r>
        <w:rPr>
          <w:rFonts w:ascii="宋体" w:hAnsi="宋体" w:cs="宋体" w:eastAsia="宋体" w:hint="default"/>
          <w:w w:val="101"/>
          <w:position w:val="4"/>
          <w:sz w:val="18"/>
          <w:szCs w:val="18"/>
        </w:rPr>
        <w:t> </w:t>
      </w:r>
      <w:r>
        <w:rPr>
          <w:rFonts w:ascii="宋体" w:hAnsi="宋体" w:cs="宋体" w:eastAsia="宋体" w:hint="default"/>
          <w:position w:val="4"/>
          <w:sz w:val="18"/>
          <w:szCs w:val="18"/>
        </w:rPr>
        <w:tab/>
      </w:r>
      <w:r>
        <w:rPr>
          <w:rFonts w:ascii="Arial" w:hAnsi="Arial" w:cs="Arial" w:eastAsia="Arial" w:hint="default"/>
          <w:spacing w:val="2"/>
          <w:w w:val="100"/>
          <w:sz w:val="22"/>
          <w:szCs w:val="22"/>
        </w:rPr>
        <w:t>2</w:t>
      </w:r>
      <w:r>
        <w:rPr>
          <w:rFonts w:ascii="Arial" w:hAnsi="Arial" w:cs="Arial" w:eastAsia="Arial" w:hint="default"/>
          <w:spacing w:val="-3"/>
          <w:w w:val="100"/>
          <w:sz w:val="22"/>
          <w:szCs w:val="22"/>
        </w:rPr>
        <w:t>0</w:t>
      </w:r>
      <w:r>
        <w:rPr>
          <w:rFonts w:ascii="Arial" w:hAnsi="Arial" w:cs="Arial" w:eastAsia="Arial" w:hint="default"/>
          <w:spacing w:val="2"/>
          <w:w w:val="100"/>
          <w:sz w:val="22"/>
          <w:szCs w:val="22"/>
        </w:rPr>
        <w:t>1</w:t>
      </w:r>
      <w:r>
        <w:rPr>
          <w:rFonts w:ascii="Arial" w:hAnsi="Arial" w:cs="Arial" w:eastAsia="Arial" w:hint="default"/>
          <w:w w:val="100"/>
          <w:sz w:val="22"/>
          <w:szCs w:val="22"/>
        </w:rPr>
        <w:t>9</w:t>
      </w:r>
      <w:r>
        <w:rPr>
          <w:rFonts w:ascii="Arial" w:hAnsi="Arial" w:cs="Arial" w:eastAsia="Arial" w:hint="default"/>
          <w:spacing w:val="-7"/>
          <w:sz w:val="22"/>
          <w:szCs w:val="22"/>
        </w:rPr>
        <w:t> </w:t>
      </w:r>
      <w:r>
        <w:rPr>
          <w:rFonts w:ascii="宋体" w:hAnsi="宋体" w:cs="宋体" w:eastAsia="宋体" w:hint="default"/>
          <w:w w:val="100"/>
          <w:sz w:val="22"/>
          <w:szCs w:val="22"/>
        </w:rPr>
        <w:t>年</w:t>
      </w:r>
    </w:p>
    <w:p>
      <w:pPr>
        <w:pStyle w:val="BodyText"/>
        <w:spacing w:line="296" w:lineRule="exact"/>
        <w:ind w:left="574" w:right="0"/>
        <w:jc w:val="left"/>
        <w:rPr>
          <w:rFonts w:ascii="宋体" w:hAnsi="宋体" w:cs="宋体" w:eastAsia="宋体" w:hint="default"/>
          <w:sz w:val="18"/>
          <w:szCs w:val="18"/>
        </w:rPr>
      </w:pPr>
      <w:r>
        <w:rPr/>
        <w:pict>
          <v:group style="position:absolute;margin-left:454.079987pt;margin-top:15.81829pt;width:84.05pt;height:.1pt;mso-position-horizontal-relative:page;mso-position-vertical-relative:paragraph;z-index:-1024480" coordorigin="9082,316" coordsize="1681,2">
            <v:shape style="position:absolute;left:9082;top:316;width:1681;height:2" coordorigin="9082,316" coordsize="1681,0" path="m9082,316l10762,316e" filled="false" stroked="true" strokeweight=".48pt" strokecolor="#000000">
              <v:path arrowok="t"/>
            </v:shape>
            <w10:wrap type="none"/>
          </v:group>
        </w:pict>
      </w:r>
      <w:r>
        <w:rPr>
          <w:rFonts w:ascii="Arial" w:hAnsi="Arial" w:cs="Arial" w:eastAsia="Arial" w:hint="default"/>
        </w:rPr>
        <w:t>12</w:t>
      </w:r>
      <w:r>
        <w:rPr>
          <w:rFonts w:ascii="Arial" w:hAnsi="Arial" w:cs="Arial" w:eastAsia="Arial" w:hint="default"/>
          <w:spacing w:val="-5"/>
        </w:rPr>
        <w:t> </w:t>
      </w:r>
      <w:r>
        <w:rPr/>
        <w:t>月</w:t>
      </w:r>
      <w:r>
        <w:rPr>
          <w:spacing w:val="-56"/>
        </w:rPr>
        <w:t> </w:t>
      </w:r>
      <w:r>
        <w:rPr>
          <w:rFonts w:ascii="Arial" w:hAnsi="Arial" w:cs="Arial" w:eastAsia="Arial" w:hint="default"/>
        </w:rPr>
        <w:t>31</w:t>
      </w:r>
      <w:r>
        <w:rPr>
          <w:rFonts w:ascii="Arial" w:hAnsi="Arial" w:cs="Arial" w:eastAsia="Arial" w:hint="default"/>
          <w:spacing w:val="-5"/>
        </w:rPr>
        <w:t> </w:t>
      </w:r>
      <w:r>
        <w:rPr>
          <w:spacing w:val="-5"/>
        </w:rPr>
        <w:t>日</w:t>
      </w:r>
      <w:r>
        <w:rPr>
          <w:rFonts w:ascii="宋体" w:hAnsi="宋体" w:cs="宋体" w:eastAsia="宋体" w:hint="default"/>
          <w:w w:val="101"/>
          <w:sz w:val="18"/>
          <w:szCs w:val="18"/>
        </w:rPr>
        <w:t> </w:t>
      </w:r>
      <w:r>
        <w:rPr>
          <w:rFonts w:ascii="宋体" w:hAnsi="宋体" w:cs="宋体" w:eastAsia="宋体" w:hint="default"/>
          <w:sz w:val="18"/>
          <w:szCs w:val="18"/>
        </w:rPr>
      </w:r>
    </w:p>
    <w:p>
      <w:pPr>
        <w:spacing w:after="0" w:line="296" w:lineRule="exact"/>
        <w:jc w:val="left"/>
        <w:rPr>
          <w:rFonts w:ascii="宋体" w:hAnsi="宋体" w:cs="宋体" w:eastAsia="宋体" w:hint="default"/>
          <w:sz w:val="18"/>
          <w:szCs w:val="18"/>
        </w:rPr>
        <w:sectPr>
          <w:type w:val="continuous"/>
          <w:pgSz w:w="11910" w:h="16840"/>
          <w:pgMar w:top="1360" w:bottom="700" w:left="1020" w:right="1020"/>
          <w:cols w:num="4" w:equalWidth="0">
            <w:col w:w="4390" w:space="40"/>
            <w:col w:w="1761" w:space="40"/>
            <w:col w:w="1698" w:space="40"/>
            <w:col w:w="1901"/>
          </w:cols>
        </w:sectPr>
      </w:pPr>
    </w:p>
    <w:p>
      <w:pPr>
        <w:tabs>
          <w:tab w:pos="3813" w:val="left" w:leader="none"/>
          <w:tab w:pos="5647" w:val="left" w:leader="none"/>
          <w:tab w:pos="7447" w:val="left" w:leader="none"/>
          <w:tab w:pos="9170" w:val="left" w:leader="none"/>
        </w:tabs>
        <w:spacing w:line="228" w:lineRule="exact" w:before="0"/>
        <w:ind w:left="583" w:right="0" w:firstLine="0"/>
        <w:jc w:val="left"/>
        <w:rPr>
          <w:rFonts w:ascii="宋体" w:hAnsi="宋体" w:cs="宋体" w:eastAsia="宋体" w:hint="default"/>
          <w:sz w:val="18"/>
          <w:szCs w:val="18"/>
        </w:rPr>
      </w:pPr>
      <w:r>
        <w:rPr>
          <w:rFonts w:ascii="宋体"/>
          <w:w w:val="101"/>
          <w:sz w:val="18"/>
        </w:rPr>
        <w:t> </w:t>
      </w:r>
      <w:r>
        <w:rPr>
          <w:rFonts w:ascii="宋体"/>
          <w:sz w:val="18"/>
        </w:rPr>
        <w:tab/>
      </w:r>
      <w:r>
        <w:rPr>
          <w:rFonts w:ascii="宋体"/>
          <w:w w:val="101"/>
          <w:sz w:val="18"/>
        </w:rPr>
        <w:t> </w:t>
      </w:r>
      <w:r>
        <w:rPr>
          <w:rFonts w:ascii="宋体"/>
          <w:sz w:val="18"/>
        </w:rPr>
        <w:tab/>
      </w:r>
      <w:r>
        <w:rPr>
          <w:rFonts w:ascii="宋体"/>
          <w:w w:val="101"/>
          <w:sz w:val="18"/>
        </w:rPr>
        <w:t> </w:t>
      </w:r>
      <w:r>
        <w:rPr>
          <w:rFonts w:ascii="宋体"/>
          <w:sz w:val="18"/>
        </w:rPr>
        <w:tab/>
      </w:r>
      <w:r>
        <w:rPr>
          <w:rFonts w:ascii="宋体"/>
          <w:w w:val="101"/>
          <w:sz w:val="18"/>
        </w:rPr>
        <w:t> </w:t>
      </w:r>
      <w:r>
        <w:rPr>
          <w:rFonts w:ascii="宋体"/>
          <w:sz w:val="18"/>
        </w:rPr>
        <w:tab/>
      </w:r>
      <w:r>
        <w:rPr>
          <w:rFonts w:ascii="宋体"/>
          <w:w w:val="101"/>
          <w:sz w:val="18"/>
        </w:rPr>
        <w:t> </w:t>
      </w:r>
      <w:r>
        <w:rPr>
          <w:rFonts w:ascii="宋体"/>
          <w:sz w:val="18"/>
        </w:rPr>
      </w:r>
    </w:p>
    <w:p>
      <w:pPr>
        <w:pStyle w:val="BodyText"/>
        <w:tabs>
          <w:tab w:pos="2853" w:val="left" w:leader="none"/>
          <w:tab w:pos="4965" w:val="left" w:leader="none"/>
          <w:tab w:pos="6621" w:val="left" w:leader="none"/>
          <w:tab w:pos="8200" w:val="left" w:leader="none"/>
        </w:tabs>
        <w:spacing w:line="319" w:lineRule="exact"/>
        <w:ind w:left="583" w:right="0"/>
        <w:jc w:val="left"/>
        <w:rPr>
          <w:rFonts w:ascii="Arial" w:hAnsi="Arial" w:cs="Arial" w:eastAsia="Arial" w:hint="default"/>
        </w:rPr>
      </w:pPr>
      <w:r>
        <w:rPr>
          <w:spacing w:val="-2"/>
          <w:position w:val="2"/>
        </w:rPr>
        <w:t>限制性股票回购义务</w:t>
      </w:r>
      <w:r>
        <w:rPr>
          <w:rFonts w:ascii="宋体" w:hAnsi="宋体" w:cs="宋体" w:eastAsia="宋体" w:hint="default"/>
          <w:spacing w:val="-2"/>
          <w:position w:val="2"/>
          <w:sz w:val="18"/>
          <w:szCs w:val="18"/>
        </w:rPr>
        <w:tab/>
      </w:r>
      <w:r>
        <w:rPr>
          <w:rFonts w:ascii="Arial" w:hAnsi="Arial" w:cs="Arial" w:eastAsia="Arial" w:hint="default"/>
          <w:spacing w:val="-1"/>
        </w:rPr>
        <w:t>2,993,014,742</w:t>
        <w:tab/>
        <w:t>49,861,240</w:t>
        <w:tab/>
      </w:r>
      <w:r>
        <w:rPr>
          <w:rFonts w:ascii="Arial" w:hAnsi="Arial" w:cs="Arial" w:eastAsia="Arial" w:hint="default"/>
        </w:rPr>
        <w:t>(27,522,980)</w:t>
        <w:tab/>
      </w:r>
      <w:r>
        <w:rPr>
          <w:rFonts w:ascii="Arial" w:hAnsi="Arial" w:cs="Arial" w:eastAsia="Arial" w:hint="default"/>
          <w:spacing w:val="-1"/>
        </w:rPr>
        <w:t>3,015,353,002</w:t>
      </w:r>
    </w:p>
    <w:p>
      <w:pPr>
        <w:spacing w:line="43" w:lineRule="exact"/>
        <w:ind w:left="2678" w:right="0" w:firstLine="0"/>
        <w:rPr>
          <w:rFonts w:ascii="Arial" w:hAnsi="Arial" w:cs="Arial" w:eastAsia="Arial" w:hint="default"/>
          <w:sz w:val="4"/>
          <w:szCs w:val="4"/>
        </w:rPr>
      </w:pPr>
      <w:r>
        <w:rPr>
          <w:rFonts w:ascii="Arial"/>
          <w:position w:val="0"/>
          <w:sz w:val="4"/>
        </w:rPr>
        <w:pict>
          <v:group style="width:86.65pt;height:2.2pt;mso-position-horizontal-relative:char;mso-position-vertical-relative:line" coordorigin="0,0" coordsize="1733,44">
            <v:group style="position:absolute;left:7;top:36;width:1719;height:2" coordorigin="7,36" coordsize="1719,2">
              <v:shape style="position:absolute;left:7;top:36;width:1719;height:2" coordorigin="7,36" coordsize="1719,0" path="m7,36l1726,36e" filled="false" stroked="true" strokeweight=".72pt" strokecolor="#000000">
                <v:path arrowok="t"/>
              </v:shape>
            </v:group>
            <v:group style="position:absolute;left:7;top:7;width:1719;height:2" coordorigin="7,7" coordsize="1719,2">
              <v:shape style="position:absolute;left:7;top:7;width:1719;height:2" coordorigin="7,7" coordsize="1719,0" path="m7,7l1726,7e" filled="false" stroked="true" strokeweight=".72pt" strokecolor="#000000">
                <v:path arrowok="t"/>
              </v:shape>
            </v:group>
          </v:group>
        </w:pict>
      </w:r>
      <w:r>
        <w:rPr>
          <w:rFonts w:ascii="Arial"/>
          <w:position w:val="0"/>
          <w:sz w:val="4"/>
        </w:rPr>
      </w:r>
      <w:r>
        <w:rPr>
          <w:rFonts w:ascii="Times New Roman"/>
          <w:spacing w:val="85"/>
          <w:position w:val="0"/>
          <w:sz w:val="4"/>
        </w:rPr>
        <w:t> </w:t>
      </w:r>
      <w:r>
        <w:rPr>
          <w:rFonts w:ascii="Arial"/>
          <w:spacing w:val="85"/>
          <w:position w:val="0"/>
          <w:sz w:val="4"/>
        </w:rPr>
        <w:pict>
          <v:group style="width:84.25pt;height:2.2pt;mso-position-horizontal-relative:char;mso-position-vertical-relative:line" coordorigin="0,0" coordsize="1685,44">
            <v:group style="position:absolute;left:7;top:36;width:1671;height:2" coordorigin="7,36" coordsize="1671,2">
              <v:shape style="position:absolute;left:7;top:36;width:1671;height:2" coordorigin="7,36" coordsize="1671,0" path="m7,36l1678,36e" filled="false" stroked="true" strokeweight=".72pt" strokecolor="#000000">
                <v:path arrowok="t"/>
              </v:shape>
            </v:group>
            <v:group style="position:absolute;left:7;top:7;width:1671;height:2" coordorigin="7,7" coordsize="1671,2">
              <v:shape style="position:absolute;left:7;top:7;width:1671;height:2" coordorigin="7,7" coordsize="1671,0" path="m7,7l1678,7e" filled="false" stroked="true" strokeweight=".72pt" strokecolor="#000000">
                <v:path arrowok="t"/>
              </v:shape>
            </v:group>
          </v:group>
        </w:pict>
      </w:r>
      <w:r>
        <w:rPr>
          <w:rFonts w:ascii="Arial"/>
          <w:spacing w:val="85"/>
          <w:position w:val="0"/>
          <w:sz w:val="4"/>
        </w:rPr>
      </w:r>
      <w:r>
        <w:rPr>
          <w:rFonts w:ascii="Times New Roman"/>
          <w:spacing w:val="104"/>
          <w:position w:val="0"/>
          <w:sz w:val="4"/>
        </w:rPr>
        <w:t> </w:t>
      </w:r>
      <w:r>
        <w:rPr>
          <w:rFonts w:ascii="Arial"/>
          <w:spacing w:val="104"/>
          <w:position w:val="0"/>
          <w:sz w:val="4"/>
        </w:rPr>
        <w:pict>
          <v:group style="width:80.9pt;height:2.2pt;mso-position-horizontal-relative:char;mso-position-vertical-relative:line" coordorigin="0,0" coordsize="1618,44">
            <v:group style="position:absolute;left:7;top:36;width:1604;height:2" coordorigin="7,36" coordsize="1604,2">
              <v:shape style="position:absolute;left:7;top:36;width:1604;height:2" coordorigin="7,36" coordsize="1604,0" path="m7,36l1610,36e" filled="false" stroked="true" strokeweight=".72pt" strokecolor="#000000">
                <v:path arrowok="t"/>
              </v:shape>
            </v:group>
            <v:group style="position:absolute;left:7;top:7;width:1604;height:2" coordorigin="7,7" coordsize="1604,2">
              <v:shape style="position:absolute;left:7;top:7;width:1604;height:2" coordorigin="7,7" coordsize="1604,0" path="m7,7l1610,7e" filled="false" stroked="true" strokeweight=".72pt" strokecolor="#000000">
                <v:path arrowok="t"/>
              </v:shape>
            </v:group>
          </v:group>
        </w:pict>
      </w:r>
      <w:r>
        <w:rPr>
          <w:rFonts w:ascii="Arial"/>
          <w:spacing w:val="104"/>
          <w:position w:val="0"/>
          <w:sz w:val="4"/>
        </w:rPr>
      </w:r>
      <w:r>
        <w:rPr>
          <w:rFonts w:ascii="Times New Roman"/>
          <w:spacing w:val="90"/>
          <w:position w:val="0"/>
          <w:sz w:val="4"/>
        </w:rPr>
        <w:t> </w:t>
      </w:r>
      <w:r>
        <w:rPr>
          <w:rFonts w:ascii="Arial"/>
          <w:spacing w:val="90"/>
          <w:position w:val="0"/>
          <w:sz w:val="4"/>
        </w:rPr>
        <w:pict>
          <v:group style="width:85.45pt;height:2.2pt;mso-position-horizontal-relative:char;mso-position-vertical-relative:line" coordorigin="0,0" coordsize="1709,44">
            <v:group style="position:absolute;left:7;top:36;width:1695;height:2" coordorigin="7,36" coordsize="1695,2">
              <v:shape style="position:absolute;left:7;top:36;width:1695;height:2" coordorigin="7,36" coordsize="1695,0" path="m7,36l1702,36e" filled="false" stroked="true" strokeweight=".72pt" strokecolor="#000000">
                <v:path arrowok="t"/>
              </v:shape>
            </v:group>
            <v:group style="position:absolute;left:7;top:7;width:1695;height:2" coordorigin="7,7" coordsize="1695,2">
              <v:shape style="position:absolute;left:7;top:7;width:1695;height:2" coordorigin="7,7" coordsize="1695,0" path="m7,7l1702,7e" filled="false" stroked="true" strokeweight=".72pt" strokecolor="#000000">
                <v:path arrowok="t"/>
              </v:shape>
            </v:group>
          </v:group>
        </w:pict>
      </w:r>
      <w:r>
        <w:rPr>
          <w:rFonts w:ascii="Arial"/>
          <w:spacing w:val="90"/>
          <w:position w:val="0"/>
          <w:sz w:val="4"/>
        </w:rPr>
      </w:r>
    </w:p>
    <w:p>
      <w:pPr>
        <w:spacing w:line="240" w:lineRule="auto" w:before="2"/>
        <w:rPr>
          <w:rFonts w:ascii="Arial" w:hAnsi="Arial" w:cs="Arial" w:eastAsia="Arial" w:hint="default"/>
          <w:sz w:val="16"/>
          <w:szCs w:val="16"/>
        </w:rPr>
      </w:pPr>
    </w:p>
    <w:p>
      <w:pPr>
        <w:pStyle w:val="BodyText"/>
        <w:spacing w:line="293" w:lineRule="exact" w:before="32"/>
        <w:ind w:left="559" w:right="0"/>
        <w:jc w:val="left"/>
      </w:pPr>
      <w:r>
        <w:rPr>
          <w:spacing w:val="-4"/>
        </w:rPr>
        <w:t>如附注五</w:t>
      </w:r>
      <w:r>
        <w:rPr>
          <w:rFonts w:ascii="Arial" w:hAnsi="Arial" w:cs="Arial" w:eastAsia="Arial" w:hint="default"/>
          <w:spacing w:val="-4"/>
        </w:rPr>
        <w:t>(31)</w:t>
      </w:r>
      <w:r>
        <w:rPr>
          <w:spacing w:val="-4"/>
        </w:rPr>
        <w:t>及附注十二所述，本公司于 </w:t>
      </w:r>
      <w:r>
        <w:rPr>
          <w:rFonts w:ascii="Arial" w:hAnsi="Arial" w:cs="Arial" w:eastAsia="Arial" w:hint="default"/>
        </w:rPr>
        <w:t>2018</w:t>
      </w:r>
      <w:r>
        <w:rPr>
          <w:rFonts w:ascii="Arial" w:hAnsi="Arial" w:cs="Arial" w:eastAsia="Arial" w:hint="default"/>
          <w:spacing w:val="-15"/>
        </w:rPr>
        <w:t> </w:t>
      </w:r>
      <w:r>
        <w:rPr>
          <w:spacing w:val="-4"/>
        </w:rPr>
        <w:t>年实施限制性股票激励计划，授予方案实施为首</w:t>
      </w:r>
    </w:p>
    <w:p>
      <w:pPr>
        <w:pStyle w:val="BodyText"/>
        <w:spacing w:line="283" w:lineRule="exact"/>
        <w:ind w:left="559" w:right="0"/>
        <w:jc w:val="left"/>
        <w:rPr>
          <w:rFonts w:ascii="Arial" w:hAnsi="Arial" w:cs="Arial" w:eastAsia="Arial" w:hint="default"/>
        </w:rPr>
      </w:pPr>
      <w:r>
        <w:rPr>
          <w:w w:val="100"/>
        </w:rPr>
        <w:t>次授予及预留授予</w:t>
      </w:r>
      <w:r>
        <w:rPr>
          <w:spacing w:val="-116"/>
          <w:w w:val="100"/>
        </w:rPr>
        <w:t>。</w:t>
      </w:r>
      <w:r>
        <w:rPr>
          <w:w w:val="100"/>
        </w:rPr>
        <w:t>本公司于</w:t>
      </w:r>
      <w:r>
        <w:rPr>
          <w:spacing w:val="-63"/>
        </w:rPr>
        <w:t> </w:t>
      </w:r>
      <w:r>
        <w:rPr>
          <w:rFonts w:ascii="Arial" w:hAnsi="Arial" w:cs="Arial" w:eastAsia="Arial" w:hint="default"/>
          <w:spacing w:val="2"/>
          <w:w w:val="100"/>
        </w:rPr>
        <w:t>2</w:t>
      </w:r>
      <w:r>
        <w:rPr>
          <w:rFonts w:ascii="Arial" w:hAnsi="Arial" w:cs="Arial" w:eastAsia="Arial" w:hint="default"/>
          <w:spacing w:val="-3"/>
          <w:w w:val="100"/>
        </w:rPr>
        <w:t>0</w:t>
      </w:r>
      <w:r>
        <w:rPr>
          <w:rFonts w:ascii="Arial" w:hAnsi="Arial" w:cs="Arial" w:eastAsia="Arial" w:hint="default"/>
          <w:spacing w:val="2"/>
          <w:w w:val="100"/>
        </w:rPr>
        <w:t>1</w:t>
      </w:r>
      <w:r>
        <w:rPr>
          <w:rFonts w:ascii="Arial" w:hAnsi="Arial" w:cs="Arial" w:eastAsia="Arial" w:hint="default"/>
          <w:w w:val="100"/>
        </w:rPr>
        <w:t>9</w:t>
      </w:r>
      <w:r>
        <w:rPr>
          <w:rFonts w:ascii="Arial" w:hAnsi="Arial" w:cs="Arial" w:eastAsia="Arial" w:hint="default"/>
          <w:spacing w:val="-7"/>
        </w:rPr>
        <w:t> </w:t>
      </w:r>
      <w:r>
        <w:rPr>
          <w:w w:val="100"/>
        </w:rPr>
        <w:t>年向</w:t>
      </w:r>
      <w:r>
        <w:rPr>
          <w:spacing w:val="-5"/>
          <w:w w:val="100"/>
        </w:rPr>
        <w:t>激</w:t>
      </w:r>
      <w:r>
        <w:rPr>
          <w:w w:val="100"/>
        </w:rPr>
        <w:t>励对象</w:t>
      </w:r>
      <w:r>
        <w:rPr>
          <w:spacing w:val="-5"/>
          <w:w w:val="100"/>
        </w:rPr>
        <w:t>预</w:t>
      </w:r>
      <w:r>
        <w:rPr>
          <w:w w:val="100"/>
        </w:rPr>
        <w:t>留授予限制性股票</w:t>
      </w:r>
      <w:r>
        <w:rPr>
          <w:spacing w:val="-116"/>
          <w:w w:val="100"/>
        </w:rPr>
        <w:t>，</w:t>
      </w:r>
      <w:r>
        <w:rPr>
          <w:w w:val="100"/>
        </w:rPr>
        <w:t>授予数量为</w:t>
      </w:r>
      <w:r>
        <w:rPr>
          <w:spacing w:val="-63"/>
        </w:rPr>
        <w:t> </w:t>
      </w:r>
      <w:r>
        <w:rPr>
          <w:rFonts w:ascii="Arial" w:hAnsi="Arial" w:cs="Arial" w:eastAsia="Arial" w:hint="default"/>
          <w:spacing w:val="2"/>
          <w:w w:val="100"/>
        </w:rPr>
        <w:t>13</w:t>
      </w:r>
      <w:r>
        <w:rPr>
          <w:rFonts w:ascii="Arial" w:hAnsi="Arial" w:cs="Arial" w:eastAsia="Arial" w:hint="default"/>
          <w:spacing w:val="-4"/>
          <w:w w:val="100"/>
        </w:rPr>
        <w:t>,</w:t>
      </w:r>
      <w:r>
        <w:rPr>
          <w:rFonts w:ascii="Arial" w:hAnsi="Arial" w:cs="Arial" w:eastAsia="Arial" w:hint="default"/>
          <w:spacing w:val="-3"/>
          <w:w w:val="100"/>
        </w:rPr>
        <w:t>1</w:t>
      </w:r>
      <w:r>
        <w:rPr>
          <w:rFonts w:ascii="Arial" w:hAnsi="Arial" w:cs="Arial" w:eastAsia="Arial" w:hint="default"/>
          <w:spacing w:val="2"/>
          <w:w w:val="100"/>
        </w:rPr>
        <w:t>56</w:t>
      </w:r>
      <w:r>
        <w:rPr>
          <w:rFonts w:ascii="Arial" w:hAnsi="Arial" w:cs="Arial" w:eastAsia="Arial" w:hint="default"/>
          <w:spacing w:val="-4"/>
          <w:w w:val="100"/>
        </w:rPr>
        <w:t>,</w:t>
      </w:r>
      <w:r>
        <w:rPr>
          <w:rFonts w:ascii="Arial" w:hAnsi="Arial" w:cs="Arial" w:eastAsia="Arial" w:hint="default"/>
          <w:spacing w:val="2"/>
          <w:w w:val="100"/>
        </w:rPr>
        <w:t>0</w:t>
      </w:r>
      <w:r>
        <w:rPr>
          <w:rFonts w:ascii="Arial" w:hAnsi="Arial" w:cs="Arial" w:eastAsia="Arial" w:hint="default"/>
          <w:spacing w:val="-3"/>
          <w:w w:val="100"/>
        </w:rPr>
        <w:t>0</w:t>
      </w:r>
      <w:r>
        <w:rPr>
          <w:rFonts w:ascii="Arial" w:hAnsi="Arial" w:cs="Arial" w:eastAsia="Arial" w:hint="default"/>
          <w:w w:val="100"/>
        </w:rPr>
        <w:t>0</w:t>
      </w:r>
    </w:p>
    <w:p>
      <w:pPr>
        <w:pStyle w:val="BodyText"/>
        <w:spacing w:line="286" w:lineRule="exact"/>
        <w:ind w:left="558" w:right="0"/>
        <w:jc w:val="left"/>
        <w:rPr>
          <w:rFonts w:ascii="Arial" w:hAnsi="Arial" w:cs="Arial" w:eastAsia="Arial" w:hint="default"/>
        </w:rPr>
      </w:pPr>
      <w:r>
        <w:rPr/>
        <w:t>股，授予价格为每股人民币</w:t>
      </w:r>
      <w:r>
        <w:rPr>
          <w:spacing w:val="-59"/>
        </w:rPr>
        <w:t> </w:t>
      </w:r>
      <w:r>
        <w:rPr>
          <w:rFonts w:ascii="Arial" w:hAnsi="Arial" w:cs="Arial" w:eastAsia="Arial" w:hint="default"/>
        </w:rPr>
        <w:t>3.79</w:t>
      </w:r>
      <w:r>
        <w:rPr>
          <w:rFonts w:ascii="Arial" w:hAnsi="Arial" w:cs="Arial" w:eastAsia="Arial" w:hint="default"/>
          <w:spacing w:val="-3"/>
        </w:rPr>
        <w:t> </w:t>
      </w:r>
      <w:r>
        <w:rPr/>
        <w:t>元。于</w:t>
      </w:r>
      <w:r>
        <w:rPr>
          <w:spacing w:val="-59"/>
        </w:rPr>
        <w:t> </w:t>
      </w:r>
      <w:r>
        <w:rPr>
          <w:rFonts w:ascii="Arial" w:hAnsi="Arial" w:cs="Arial" w:eastAsia="Arial" w:hint="default"/>
        </w:rPr>
        <w:t>2019</w:t>
      </w:r>
      <w:r>
        <w:rPr>
          <w:rFonts w:ascii="Arial" w:hAnsi="Arial" w:cs="Arial" w:eastAsia="Arial" w:hint="default"/>
          <w:spacing w:val="-3"/>
        </w:rPr>
        <w:t> </w:t>
      </w:r>
      <w:r>
        <w:rPr/>
        <w:t>年</w:t>
      </w:r>
      <w:r>
        <w:rPr>
          <w:spacing w:val="-59"/>
        </w:rPr>
        <w:t> </w:t>
      </w:r>
      <w:r>
        <w:rPr>
          <w:rFonts w:ascii="Arial" w:hAnsi="Arial" w:cs="Arial" w:eastAsia="Arial" w:hint="default"/>
        </w:rPr>
        <w:t>9</w:t>
      </w:r>
      <w:r>
        <w:rPr>
          <w:rFonts w:ascii="Arial" w:hAnsi="Arial" w:cs="Arial" w:eastAsia="Arial" w:hint="default"/>
          <w:spacing w:val="-8"/>
        </w:rPr>
        <w:t> </w:t>
      </w:r>
      <w:r>
        <w:rPr/>
        <w:t>月，本公司回购注销限制性股票</w:t>
      </w:r>
      <w:r>
        <w:rPr>
          <w:spacing w:val="-54"/>
        </w:rPr>
        <w:t> </w:t>
      </w:r>
      <w:r>
        <w:rPr>
          <w:rFonts w:ascii="Arial" w:hAnsi="Arial" w:cs="Arial" w:eastAsia="Arial" w:hint="default"/>
        </w:rPr>
        <w:t>7,262,000</w:t>
      </w:r>
    </w:p>
    <w:p>
      <w:pPr>
        <w:pStyle w:val="BodyText"/>
        <w:spacing w:line="296" w:lineRule="exact"/>
        <w:ind w:left="558" w:right="0"/>
        <w:jc w:val="left"/>
      </w:pPr>
      <w:r>
        <w:rPr/>
        <w:t>股，相应减少负债和库存股人民币</w:t>
      </w:r>
      <w:r>
        <w:rPr>
          <w:spacing w:val="-58"/>
        </w:rPr>
        <w:t> </w:t>
      </w:r>
      <w:r>
        <w:rPr>
          <w:rFonts w:ascii="Arial" w:hAnsi="Arial" w:cs="Arial" w:eastAsia="Arial" w:hint="default"/>
        </w:rPr>
        <w:t>0.28</w:t>
      </w:r>
      <w:r>
        <w:rPr>
          <w:rFonts w:ascii="Arial" w:hAnsi="Arial" w:cs="Arial" w:eastAsia="Arial" w:hint="default"/>
          <w:spacing w:val="-2"/>
        </w:rPr>
        <w:t> </w:t>
      </w:r>
      <w:r>
        <w:rPr/>
        <w:t>亿元。</w:t>
      </w:r>
    </w:p>
    <w:p>
      <w:pPr>
        <w:spacing w:after="0" w:line="296" w:lineRule="exact"/>
        <w:jc w:val="left"/>
        <w:sectPr>
          <w:type w:val="continuous"/>
          <w:pgSz w:w="11910" w:h="16840"/>
          <w:pgMar w:top="1360" w:bottom="700" w:left="1020" w:right="1020"/>
        </w:sectPr>
      </w:pPr>
    </w:p>
    <w:p>
      <w:pPr>
        <w:pStyle w:val="BodyText"/>
        <w:spacing w:line="240" w:lineRule="auto" w:before="12"/>
        <w:ind w:left="127" w:right="10385"/>
        <w:jc w:val="left"/>
        <w:rPr>
          <w:rFonts w:ascii="黑体" w:hAnsi="黑体" w:cs="黑体" w:eastAsia="黑体" w:hint="default"/>
        </w:rPr>
      </w:pPr>
      <w:r>
        <w:rPr>
          <w:rFonts w:ascii="黑体" w:hAnsi="黑体" w:cs="黑体" w:eastAsia="黑体" w:hint="default"/>
        </w:rPr>
        <w:t>中国联合网络通信股份有限公司</w:t>
      </w:r>
    </w:p>
    <w:p>
      <w:pPr>
        <w:spacing w:line="240" w:lineRule="auto" w:before="1"/>
        <w:rPr>
          <w:rFonts w:ascii="黑体" w:hAnsi="黑体" w:cs="黑体" w:eastAsia="黑体" w:hint="default"/>
          <w:sz w:val="19"/>
          <w:szCs w:val="19"/>
        </w:rPr>
      </w:pPr>
    </w:p>
    <w:p>
      <w:pPr>
        <w:pStyle w:val="BodyText"/>
        <w:spacing w:line="240" w:lineRule="auto"/>
        <w:ind w:left="127" w:right="10385"/>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left="127" w:right="10385"/>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448" w:lineRule="auto"/>
        <w:ind w:left="117" w:right="10385" w:firstLine="9"/>
        <w:jc w:val="left"/>
      </w:pPr>
      <w:r>
        <w:rPr>
          <w:rFonts w:ascii="黑体" w:hAnsi="黑体" w:cs="黑体" w:eastAsia="黑体" w:hint="default"/>
          <w:spacing w:val="-1"/>
        </w:rPr>
        <w:t>（除特别注明外，金额单位为人民币元）</w:t>
      </w:r>
      <w:r>
        <w:rPr>
          <w:rFonts w:ascii="黑体" w:hAnsi="黑体" w:cs="黑体" w:eastAsia="黑体" w:hint="default"/>
          <w:spacing w:val="-97"/>
        </w:rPr>
        <w:t> </w:t>
      </w:r>
      <w:r>
        <w:rPr>
          <w:rFonts w:ascii="黑体" w:hAnsi="黑体" w:cs="黑体" w:eastAsia="黑体" w:hint="default"/>
          <w:spacing w:val="-97"/>
        </w:rPr>
      </w:r>
      <w:r>
        <w:rPr>
          <w:rFonts w:ascii="黑体" w:hAnsi="黑体" w:cs="黑体" w:eastAsia="黑体" w:hint="default"/>
        </w:rPr>
        <w:t>五</w:t>
      </w:r>
      <w:r>
        <w:rPr>
          <w:rFonts w:ascii="黑体" w:hAnsi="黑体" w:cs="黑体" w:eastAsia="黑体" w:hint="default"/>
          <w:spacing w:val="54"/>
        </w:rPr>
        <w:t> </w:t>
      </w:r>
      <w:r>
        <w:rPr>
          <w:rFonts w:ascii="黑体" w:hAnsi="黑体" w:cs="黑体" w:eastAsia="黑体" w:hint="default"/>
        </w:rPr>
        <w:t>合并财务报表项目附注（续）</w:t>
      </w:r>
      <w:r>
        <w:rPr>
          <w:rFonts w:ascii="黑体" w:hAnsi="黑体" w:cs="黑体" w:eastAsia="黑体" w:hint="default"/>
          <w:spacing w:val="-105"/>
        </w:rPr>
        <w:t> </w:t>
      </w:r>
      <w:r>
        <w:rPr>
          <w:rFonts w:ascii="黑体" w:hAnsi="黑体" w:cs="黑体" w:eastAsia="黑体" w:hint="default"/>
          <w:spacing w:val="-105"/>
        </w:rPr>
      </w:r>
      <w:r>
        <w:rPr>
          <w:rFonts w:ascii="Arial" w:hAnsi="Arial" w:cs="Arial" w:eastAsia="Arial" w:hint="default"/>
        </w:rPr>
        <w:t>34</w:t>
      </w:r>
      <w:r>
        <w:rPr/>
        <w:t>、其他综合收益</w:t>
      </w:r>
    </w:p>
    <w:p>
      <w:pPr>
        <w:spacing w:line="240" w:lineRule="auto" w:before="1"/>
        <w:rPr>
          <w:rFonts w:ascii="宋体" w:hAnsi="宋体" w:cs="宋体" w:eastAsia="宋体" w:hint="default"/>
          <w:sz w:val="26"/>
          <w:szCs w:val="26"/>
        </w:rPr>
      </w:pPr>
    </w:p>
    <w:tbl>
      <w:tblPr>
        <w:tblW w:w="0" w:type="auto"/>
        <w:jc w:val="left"/>
        <w:tblInd w:w="232" w:type="dxa"/>
        <w:tblLayout w:type="fixed"/>
        <w:tblCellMar>
          <w:top w:w="0" w:type="dxa"/>
          <w:left w:w="0" w:type="dxa"/>
          <w:bottom w:w="0" w:type="dxa"/>
          <w:right w:w="0" w:type="dxa"/>
        </w:tblCellMar>
        <w:tblLook w:val="01E0"/>
      </w:tblPr>
      <w:tblGrid>
        <w:gridCol w:w="3187"/>
        <w:gridCol w:w="1930"/>
        <w:gridCol w:w="1293"/>
        <w:gridCol w:w="1493"/>
        <w:gridCol w:w="1481"/>
        <w:gridCol w:w="101"/>
        <w:gridCol w:w="1696"/>
        <w:gridCol w:w="1361"/>
        <w:gridCol w:w="1776"/>
      </w:tblGrid>
      <w:tr>
        <w:trPr>
          <w:trHeight w:val="214" w:hRule="exact"/>
        </w:trPr>
        <w:tc>
          <w:tcPr>
            <w:tcW w:w="3187" w:type="dxa"/>
            <w:tcBorders>
              <w:top w:val="nil" w:sz="6" w:space="0" w:color="auto"/>
              <w:left w:val="nil" w:sz="6" w:space="0" w:color="auto"/>
              <w:bottom w:val="nil" w:sz="6" w:space="0" w:color="auto"/>
              <w:right w:val="nil" w:sz="6" w:space="0" w:color="auto"/>
            </w:tcBorders>
          </w:tcPr>
          <w:p>
            <w:pPr/>
          </w:p>
        </w:tc>
        <w:tc>
          <w:tcPr>
            <w:tcW w:w="1930" w:type="dxa"/>
            <w:tcBorders>
              <w:top w:val="nil" w:sz="6" w:space="0" w:color="auto"/>
              <w:left w:val="nil" w:sz="6" w:space="0" w:color="auto"/>
              <w:bottom w:val="nil" w:sz="6" w:space="0" w:color="auto"/>
              <w:right w:val="nil" w:sz="6" w:space="0" w:color="auto"/>
            </w:tcBorders>
          </w:tcPr>
          <w:p>
            <w:pPr/>
          </w:p>
        </w:tc>
        <w:tc>
          <w:tcPr>
            <w:tcW w:w="1293" w:type="dxa"/>
            <w:tcBorders>
              <w:top w:val="nil" w:sz="6" w:space="0" w:color="auto"/>
              <w:left w:val="nil" w:sz="6" w:space="0" w:color="auto"/>
              <w:bottom w:val="single" w:sz="4" w:space="0" w:color="000000"/>
              <w:right w:val="nil" w:sz="6" w:space="0" w:color="auto"/>
            </w:tcBorders>
          </w:tcPr>
          <w:p>
            <w:pPr/>
          </w:p>
        </w:tc>
        <w:tc>
          <w:tcPr>
            <w:tcW w:w="1493" w:type="dxa"/>
            <w:tcBorders>
              <w:top w:val="nil" w:sz="6" w:space="0" w:color="auto"/>
              <w:left w:val="nil" w:sz="6" w:space="0" w:color="auto"/>
              <w:bottom w:val="single" w:sz="4" w:space="0" w:color="000000"/>
              <w:right w:val="nil" w:sz="6" w:space="0" w:color="auto"/>
            </w:tcBorders>
          </w:tcPr>
          <w:p>
            <w:pPr/>
          </w:p>
        </w:tc>
        <w:tc>
          <w:tcPr>
            <w:tcW w:w="1481" w:type="dxa"/>
            <w:tcBorders>
              <w:top w:val="nil" w:sz="6" w:space="0" w:color="auto"/>
              <w:left w:val="nil" w:sz="6" w:space="0" w:color="auto"/>
              <w:bottom w:val="single" w:sz="4" w:space="0" w:color="000000"/>
              <w:right w:val="nil" w:sz="6" w:space="0" w:color="auto"/>
            </w:tcBorders>
          </w:tcPr>
          <w:p>
            <w:pPr>
              <w:pStyle w:val="TableParagraph"/>
              <w:spacing w:line="182" w:lineRule="exact"/>
              <w:ind w:left="424" w:right="0"/>
              <w:jc w:val="left"/>
              <w:rPr>
                <w:rFonts w:ascii="宋体" w:hAnsi="宋体" w:cs="宋体" w:eastAsia="宋体" w:hint="default"/>
                <w:sz w:val="18"/>
                <w:szCs w:val="18"/>
              </w:rPr>
            </w:pPr>
            <w:r>
              <w:rPr>
                <w:rFonts w:ascii="宋体" w:hAnsi="宋体" w:cs="宋体" w:eastAsia="宋体" w:hint="default"/>
                <w:spacing w:val="-3"/>
                <w:sz w:val="18"/>
                <w:szCs w:val="18"/>
              </w:rPr>
              <w:t>本年发生额</w:t>
            </w:r>
            <w:r>
              <w:rPr>
                <w:rFonts w:ascii="宋体" w:hAnsi="宋体" w:cs="宋体" w:eastAsia="宋体" w:hint="default"/>
                <w:sz w:val="18"/>
                <w:szCs w:val="18"/>
              </w:rPr>
            </w:r>
          </w:p>
        </w:tc>
        <w:tc>
          <w:tcPr>
            <w:tcW w:w="101" w:type="dxa"/>
            <w:tcBorders>
              <w:top w:val="nil" w:sz="6" w:space="0" w:color="auto"/>
              <w:left w:val="nil" w:sz="6" w:space="0" w:color="auto"/>
              <w:bottom w:val="single" w:sz="4" w:space="0" w:color="000000"/>
              <w:right w:val="nil" w:sz="6" w:space="0" w:color="auto"/>
            </w:tcBorders>
          </w:tcPr>
          <w:p>
            <w:pPr/>
          </w:p>
        </w:tc>
        <w:tc>
          <w:tcPr>
            <w:tcW w:w="1696" w:type="dxa"/>
            <w:tcBorders>
              <w:top w:val="nil" w:sz="6" w:space="0" w:color="auto"/>
              <w:left w:val="nil" w:sz="6" w:space="0" w:color="auto"/>
              <w:bottom w:val="single" w:sz="4" w:space="0" w:color="000000"/>
              <w:right w:val="nil" w:sz="6" w:space="0" w:color="auto"/>
            </w:tcBorders>
          </w:tcPr>
          <w:p>
            <w:pPr/>
          </w:p>
        </w:tc>
        <w:tc>
          <w:tcPr>
            <w:tcW w:w="1361" w:type="dxa"/>
            <w:tcBorders>
              <w:top w:val="nil" w:sz="6" w:space="0" w:color="auto"/>
              <w:left w:val="nil" w:sz="6" w:space="0" w:color="auto"/>
              <w:bottom w:val="single" w:sz="4" w:space="0" w:color="000000"/>
              <w:right w:val="nil" w:sz="6" w:space="0" w:color="auto"/>
            </w:tcBorders>
          </w:tcPr>
          <w:p>
            <w:pPr/>
          </w:p>
        </w:tc>
        <w:tc>
          <w:tcPr>
            <w:tcW w:w="1776" w:type="dxa"/>
            <w:tcBorders>
              <w:top w:val="nil" w:sz="6" w:space="0" w:color="auto"/>
              <w:left w:val="nil" w:sz="6" w:space="0" w:color="auto"/>
              <w:bottom w:val="nil" w:sz="6" w:space="0" w:color="auto"/>
              <w:right w:val="nil" w:sz="6" w:space="0" w:color="auto"/>
            </w:tcBorders>
          </w:tcPr>
          <w:p>
            <w:pPr/>
          </w:p>
        </w:tc>
      </w:tr>
      <w:tr>
        <w:trPr>
          <w:trHeight w:val="710" w:hRule="exact"/>
        </w:trPr>
        <w:tc>
          <w:tcPr>
            <w:tcW w:w="3187"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6"/>
              <w:jc w:val="center"/>
              <w:rPr>
                <w:rFonts w:ascii="宋体" w:hAnsi="宋体" w:cs="宋体" w:eastAsia="宋体" w:hint="default"/>
                <w:sz w:val="18"/>
                <w:szCs w:val="18"/>
              </w:rPr>
            </w:pPr>
            <w:r>
              <w:rPr>
                <w:rFonts w:ascii="宋体" w:hAnsi="宋体" w:cs="宋体" w:eastAsia="宋体" w:hint="default"/>
                <w:sz w:val="18"/>
                <w:szCs w:val="18"/>
              </w:rPr>
              <w:t>项目</w:t>
            </w:r>
          </w:p>
        </w:tc>
        <w:tc>
          <w:tcPr>
            <w:tcW w:w="1930" w:type="dxa"/>
            <w:tcBorders>
              <w:top w:val="nil" w:sz="6" w:space="0" w:color="auto"/>
              <w:left w:val="nil" w:sz="6" w:space="0" w:color="auto"/>
              <w:bottom w:val="single" w:sz="4" w:space="0" w:color="000000"/>
              <w:right w:val="nil" w:sz="6" w:space="0" w:color="auto"/>
            </w:tcBorders>
          </w:tcPr>
          <w:p>
            <w:pPr>
              <w:pStyle w:val="TableParagraph"/>
              <w:spacing w:line="212" w:lineRule="exact"/>
              <w:ind w:left="595" w:right="0" w:hanging="183"/>
              <w:jc w:val="left"/>
              <w:rPr>
                <w:rFonts w:ascii="宋体" w:hAnsi="宋体" w:cs="宋体" w:eastAsia="宋体" w:hint="default"/>
                <w:sz w:val="18"/>
                <w:szCs w:val="18"/>
              </w:rPr>
            </w:pPr>
            <w:r>
              <w:rPr>
                <w:rFonts w:ascii="宋体" w:hAnsi="宋体" w:cs="宋体" w:eastAsia="宋体" w:hint="default"/>
                <w:sz w:val="18"/>
                <w:szCs w:val="18"/>
              </w:rPr>
              <w:t>归属于母公司股东</w:t>
            </w:r>
          </w:p>
          <w:p>
            <w:pPr>
              <w:pStyle w:val="TableParagraph"/>
              <w:spacing w:line="233" w:lineRule="exact"/>
              <w:ind w:left="595" w:right="0"/>
              <w:jc w:val="left"/>
              <w:rPr>
                <w:rFonts w:ascii="宋体" w:hAnsi="宋体" w:cs="宋体" w:eastAsia="宋体" w:hint="default"/>
                <w:sz w:val="18"/>
                <w:szCs w:val="18"/>
              </w:rPr>
            </w:pPr>
            <w:r>
              <w:rPr>
                <w:rFonts w:ascii="宋体" w:hAnsi="宋体" w:cs="宋体" w:eastAsia="宋体" w:hint="default"/>
                <w:spacing w:val="-3"/>
                <w:sz w:val="18"/>
                <w:szCs w:val="18"/>
              </w:rPr>
              <w:t>的其他综合收益</w:t>
            </w:r>
            <w:r>
              <w:rPr>
                <w:rFonts w:ascii="宋体" w:hAnsi="宋体" w:cs="宋体" w:eastAsia="宋体" w:hint="default"/>
                <w:sz w:val="18"/>
                <w:szCs w:val="18"/>
              </w:rPr>
            </w:r>
          </w:p>
          <w:p>
            <w:pPr>
              <w:pStyle w:val="TableParagraph"/>
              <w:spacing w:line="233" w:lineRule="exact"/>
              <w:ind w:left="1132"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293"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33" w:lineRule="exact"/>
              <w:ind w:left="110" w:right="0"/>
              <w:jc w:val="left"/>
              <w:rPr>
                <w:rFonts w:ascii="宋体" w:hAnsi="宋体" w:cs="宋体" w:eastAsia="宋体" w:hint="default"/>
                <w:sz w:val="18"/>
                <w:szCs w:val="18"/>
              </w:rPr>
            </w:pPr>
            <w:r>
              <w:rPr>
                <w:rFonts w:ascii="宋体" w:hAnsi="宋体" w:cs="宋体" w:eastAsia="宋体" w:hint="default"/>
                <w:sz w:val="18"/>
                <w:szCs w:val="18"/>
              </w:rPr>
              <w:t>本年所得税前</w:t>
            </w:r>
          </w:p>
          <w:p>
            <w:pPr>
              <w:pStyle w:val="TableParagraph"/>
              <w:spacing w:line="233" w:lineRule="exact"/>
              <w:ind w:left="652" w:right="0"/>
              <w:jc w:val="left"/>
              <w:rPr>
                <w:rFonts w:ascii="宋体" w:hAnsi="宋体" w:cs="宋体" w:eastAsia="宋体" w:hint="default"/>
                <w:sz w:val="18"/>
                <w:szCs w:val="18"/>
              </w:rPr>
            </w:pPr>
            <w:r>
              <w:rPr>
                <w:rFonts w:ascii="宋体" w:hAnsi="宋体" w:cs="宋体" w:eastAsia="宋体" w:hint="default"/>
                <w:spacing w:val="-4"/>
                <w:sz w:val="18"/>
                <w:szCs w:val="18"/>
              </w:rPr>
              <w:t>发生额</w:t>
            </w:r>
            <w:r>
              <w:rPr>
                <w:rFonts w:ascii="宋体" w:hAnsi="宋体" w:cs="宋体" w:eastAsia="宋体" w:hint="default"/>
                <w:sz w:val="18"/>
                <w:szCs w:val="18"/>
              </w:rPr>
            </w:r>
          </w:p>
        </w:tc>
        <w:tc>
          <w:tcPr>
            <w:tcW w:w="1493" w:type="dxa"/>
            <w:tcBorders>
              <w:top w:val="single" w:sz="4" w:space="0" w:color="000000"/>
              <w:left w:val="nil" w:sz="6" w:space="0" w:color="auto"/>
              <w:bottom w:val="single" w:sz="4" w:space="0" w:color="000000"/>
              <w:right w:val="nil" w:sz="6" w:space="0" w:color="auto"/>
            </w:tcBorders>
          </w:tcPr>
          <w:p>
            <w:pPr>
              <w:pStyle w:val="TableParagraph"/>
              <w:spacing w:line="207" w:lineRule="exact"/>
              <w:ind w:left="60" w:right="0"/>
              <w:jc w:val="left"/>
              <w:rPr>
                <w:rFonts w:ascii="宋体" w:hAnsi="宋体" w:cs="宋体" w:eastAsia="宋体" w:hint="default"/>
                <w:sz w:val="18"/>
                <w:szCs w:val="18"/>
              </w:rPr>
            </w:pPr>
            <w:r>
              <w:rPr>
                <w:rFonts w:ascii="宋体" w:hAnsi="宋体" w:cs="宋体" w:eastAsia="宋体" w:hint="default"/>
                <w:spacing w:val="-3"/>
                <w:sz w:val="18"/>
                <w:szCs w:val="18"/>
              </w:rPr>
              <w:t>减：前期计入其</w:t>
            </w:r>
            <w:r>
              <w:rPr>
                <w:rFonts w:ascii="宋体" w:hAnsi="宋体" w:cs="宋体" w:eastAsia="宋体" w:hint="default"/>
                <w:sz w:val="18"/>
                <w:szCs w:val="18"/>
              </w:rPr>
            </w:r>
          </w:p>
          <w:p>
            <w:pPr>
              <w:pStyle w:val="TableParagraph"/>
              <w:spacing w:line="233" w:lineRule="exact"/>
              <w:ind w:left="60" w:right="0"/>
              <w:jc w:val="left"/>
              <w:rPr>
                <w:rFonts w:ascii="宋体" w:hAnsi="宋体" w:cs="宋体" w:eastAsia="宋体" w:hint="default"/>
                <w:sz w:val="18"/>
                <w:szCs w:val="18"/>
              </w:rPr>
            </w:pPr>
            <w:r>
              <w:rPr>
                <w:rFonts w:ascii="宋体" w:hAnsi="宋体" w:cs="宋体" w:eastAsia="宋体" w:hint="default"/>
                <w:spacing w:val="-3"/>
                <w:sz w:val="18"/>
                <w:szCs w:val="18"/>
              </w:rPr>
              <w:t>他综合收益当期</w:t>
            </w:r>
            <w:r>
              <w:rPr>
                <w:rFonts w:ascii="宋体" w:hAnsi="宋体" w:cs="宋体" w:eastAsia="宋体" w:hint="default"/>
                <w:sz w:val="18"/>
                <w:szCs w:val="18"/>
              </w:rPr>
            </w:r>
          </w:p>
          <w:p>
            <w:pPr>
              <w:pStyle w:val="TableParagraph"/>
              <w:spacing w:line="233" w:lineRule="exact"/>
              <w:ind w:left="598" w:right="0"/>
              <w:jc w:val="left"/>
              <w:rPr>
                <w:rFonts w:ascii="宋体" w:hAnsi="宋体" w:cs="宋体" w:eastAsia="宋体" w:hint="default"/>
                <w:sz w:val="18"/>
                <w:szCs w:val="18"/>
              </w:rPr>
            </w:pPr>
            <w:r>
              <w:rPr>
                <w:rFonts w:ascii="宋体" w:hAnsi="宋体" w:cs="宋体" w:eastAsia="宋体" w:hint="default"/>
                <w:sz w:val="18"/>
                <w:szCs w:val="18"/>
              </w:rPr>
              <w:t>转入损益</w:t>
            </w:r>
          </w:p>
        </w:tc>
        <w:tc>
          <w:tcPr>
            <w:tcW w:w="1481"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50"/>
              <w:jc w:val="right"/>
              <w:rPr>
                <w:rFonts w:ascii="宋体" w:hAnsi="宋体" w:cs="宋体" w:eastAsia="宋体" w:hint="default"/>
                <w:sz w:val="18"/>
                <w:szCs w:val="18"/>
              </w:rPr>
            </w:pPr>
            <w:r>
              <w:rPr>
                <w:rFonts w:ascii="宋体" w:hAnsi="宋体" w:cs="宋体" w:eastAsia="宋体" w:hint="default"/>
                <w:spacing w:val="-3"/>
                <w:sz w:val="18"/>
                <w:szCs w:val="18"/>
              </w:rPr>
              <w:t>减：所得税费用</w:t>
            </w:r>
            <w:r>
              <w:rPr>
                <w:rFonts w:ascii="宋体" w:hAnsi="宋体" w:cs="宋体" w:eastAsia="宋体" w:hint="default"/>
                <w:sz w:val="18"/>
                <w:szCs w:val="18"/>
              </w:rPr>
            </w:r>
          </w:p>
        </w:tc>
        <w:tc>
          <w:tcPr>
            <w:tcW w:w="101" w:type="dxa"/>
            <w:tcBorders>
              <w:top w:val="single" w:sz="4" w:space="0" w:color="000000"/>
              <w:left w:val="nil" w:sz="6" w:space="0" w:color="auto"/>
              <w:bottom w:val="nil" w:sz="6" w:space="0" w:color="auto"/>
              <w:right w:val="nil" w:sz="6" w:space="0" w:color="auto"/>
            </w:tcBorders>
          </w:tcPr>
          <w:p>
            <w:pPr/>
          </w:p>
        </w:tc>
        <w:tc>
          <w:tcPr>
            <w:tcW w:w="1696"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33" w:lineRule="exact"/>
              <w:ind w:left="566" w:right="0"/>
              <w:jc w:val="left"/>
              <w:rPr>
                <w:rFonts w:ascii="宋体" w:hAnsi="宋体" w:cs="宋体" w:eastAsia="宋体" w:hint="default"/>
                <w:sz w:val="18"/>
                <w:szCs w:val="18"/>
              </w:rPr>
            </w:pPr>
            <w:r>
              <w:rPr>
                <w:rFonts w:ascii="宋体" w:hAnsi="宋体" w:cs="宋体" w:eastAsia="宋体" w:hint="default"/>
                <w:spacing w:val="-3"/>
                <w:sz w:val="18"/>
                <w:szCs w:val="18"/>
              </w:rPr>
              <w:t>税后归属于</w:t>
            </w:r>
            <w:r>
              <w:rPr>
                <w:rFonts w:ascii="宋体" w:hAnsi="宋体" w:cs="宋体" w:eastAsia="宋体" w:hint="default"/>
                <w:sz w:val="18"/>
                <w:szCs w:val="18"/>
              </w:rPr>
            </w:r>
          </w:p>
          <w:p>
            <w:pPr>
              <w:pStyle w:val="TableParagraph"/>
              <w:spacing w:line="233" w:lineRule="exact"/>
              <w:ind w:left="926" w:right="0"/>
              <w:jc w:val="left"/>
              <w:rPr>
                <w:rFonts w:ascii="宋体" w:hAnsi="宋体" w:cs="宋体" w:eastAsia="宋体" w:hint="default"/>
                <w:sz w:val="18"/>
                <w:szCs w:val="18"/>
              </w:rPr>
            </w:pPr>
            <w:r>
              <w:rPr>
                <w:rFonts w:ascii="宋体" w:hAnsi="宋体" w:cs="宋体" w:eastAsia="宋体" w:hint="default"/>
                <w:spacing w:val="-4"/>
                <w:sz w:val="18"/>
                <w:szCs w:val="18"/>
              </w:rPr>
              <w:t>母公司</w:t>
            </w:r>
            <w:r>
              <w:rPr>
                <w:rFonts w:ascii="宋体" w:hAnsi="宋体" w:cs="宋体" w:eastAsia="宋体" w:hint="default"/>
                <w:sz w:val="18"/>
                <w:szCs w:val="18"/>
              </w:rPr>
            </w:r>
          </w:p>
        </w:tc>
        <w:tc>
          <w:tcPr>
            <w:tcW w:w="1361"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30" w:lineRule="exact"/>
              <w:ind w:left="627" w:right="7" w:hanging="178"/>
              <w:jc w:val="left"/>
              <w:rPr>
                <w:rFonts w:ascii="宋体" w:hAnsi="宋体" w:cs="宋体" w:eastAsia="宋体" w:hint="default"/>
                <w:sz w:val="18"/>
                <w:szCs w:val="18"/>
              </w:rPr>
            </w:pPr>
            <w:r>
              <w:rPr>
                <w:rFonts w:ascii="宋体" w:hAnsi="宋体" w:cs="宋体" w:eastAsia="宋体" w:hint="default"/>
                <w:spacing w:val="-3"/>
                <w:sz w:val="18"/>
                <w:szCs w:val="18"/>
              </w:rPr>
              <w:t>税后归属于</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少数股东</w:t>
            </w:r>
          </w:p>
        </w:tc>
        <w:tc>
          <w:tcPr>
            <w:tcW w:w="1776" w:type="dxa"/>
            <w:tcBorders>
              <w:top w:val="nil" w:sz="6" w:space="0" w:color="auto"/>
              <w:left w:val="nil" w:sz="6" w:space="0" w:color="auto"/>
              <w:bottom w:val="single" w:sz="4" w:space="0" w:color="000000"/>
              <w:right w:val="nil" w:sz="6" w:space="0" w:color="auto"/>
            </w:tcBorders>
          </w:tcPr>
          <w:p>
            <w:pPr>
              <w:pStyle w:val="TableParagraph"/>
              <w:spacing w:line="212" w:lineRule="exact"/>
              <w:ind w:left="144" w:right="0"/>
              <w:jc w:val="left"/>
              <w:rPr>
                <w:rFonts w:ascii="宋体" w:hAnsi="宋体" w:cs="宋体" w:eastAsia="宋体" w:hint="default"/>
                <w:sz w:val="18"/>
                <w:szCs w:val="18"/>
              </w:rPr>
            </w:pPr>
            <w:r>
              <w:rPr>
                <w:rFonts w:ascii="宋体" w:hAnsi="宋体" w:cs="宋体" w:eastAsia="宋体" w:hint="default"/>
                <w:spacing w:val="-3"/>
                <w:sz w:val="18"/>
                <w:szCs w:val="18"/>
              </w:rPr>
              <w:t>归属于母公司股东的</w:t>
            </w:r>
            <w:r>
              <w:rPr>
                <w:rFonts w:ascii="宋体" w:hAnsi="宋体" w:cs="宋体" w:eastAsia="宋体" w:hint="default"/>
                <w:sz w:val="18"/>
                <w:szCs w:val="18"/>
              </w:rPr>
            </w:r>
          </w:p>
          <w:p>
            <w:pPr>
              <w:pStyle w:val="TableParagraph"/>
              <w:spacing w:line="233" w:lineRule="exact"/>
              <w:ind w:left="681" w:right="0"/>
              <w:jc w:val="left"/>
              <w:rPr>
                <w:rFonts w:ascii="宋体" w:hAnsi="宋体" w:cs="宋体" w:eastAsia="宋体" w:hint="default"/>
                <w:sz w:val="18"/>
                <w:szCs w:val="18"/>
              </w:rPr>
            </w:pPr>
            <w:r>
              <w:rPr>
                <w:rFonts w:ascii="宋体" w:hAnsi="宋体" w:cs="宋体" w:eastAsia="宋体" w:hint="default"/>
                <w:spacing w:val="-2"/>
                <w:sz w:val="18"/>
                <w:szCs w:val="18"/>
              </w:rPr>
              <w:t>其他综合收益</w:t>
            </w:r>
          </w:p>
          <w:p>
            <w:pPr>
              <w:pStyle w:val="TableParagraph"/>
              <w:spacing w:line="233" w:lineRule="exact"/>
              <w:ind w:left="1041" w:right="0"/>
              <w:jc w:val="left"/>
              <w:rPr>
                <w:rFonts w:ascii="宋体" w:hAnsi="宋体" w:cs="宋体" w:eastAsia="宋体" w:hint="default"/>
                <w:sz w:val="18"/>
                <w:szCs w:val="18"/>
              </w:rPr>
            </w:pPr>
            <w:r>
              <w:rPr>
                <w:rFonts w:ascii="宋体" w:hAnsi="宋体" w:cs="宋体" w:eastAsia="宋体" w:hint="default"/>
                <w:sz w:val="18"/>
                <w:szCs w:val="18"/>
              </w:rPr>
              <w:t>年末余额</w:t>
            </w:r>
          </w:p>
        </w:tc>
      </w:tr>
      <w:tr>
        <w:trPr>
          <w:trHeight w:val="501" w:hRule="exact"/>
        </w:trPr>
        <w:tc>
          <w:tcPr>
            <w:tcW w:w="3187"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38" w:right="0"/>
              <w:jc w:val="left"/>
              <w:rPr>
                <w:rFonts w:ascii="宋体" w:hAnsi="宋体" w:cs="宋体" w:eastAsia="宋体" w:hint="default"/>
                <w:sz w:val="18"/>
                <w:szCs w:val="18"/>
              </w:rPr>
            </w:pPr>
            <w:r>
              <w:rPr>
                <w:rFonts w:ascii="宋体" w:hAnsi="宋体" w:cs="宋体" w:eastAsia="宋体" w:hint="default"/>
                <w:spacing w:val="-3"/>
                <w:sz w:val="18"/>
                <w:szCs w:val="18"/>
              </w:rPr>
              <w:t>不能重分类进损益的其他综合收益</w:t>
            </w:r>
            <w:r>
              <w:rPr>
                <w:rFonts w:ascii="宋体" w:hAnsi="宋体" w:cs="宋体" w:eastAsia="宋体" w:hint="default"/>
                <w:sz w:val="18"/>
                <w:szCs w:val="18"/>
              </w:rPr>
            </w:r>
          </w:p>
        </w:tc>
        <w:tc>
          <w:tcPr>
            <w:tcW w:w="1930"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76"/>
              <w:jc w:val="right"/>
              <w:rPr>
                <w:rFonts w:ascii="Arial" w:hAnsi="Arial" w:cs="Arial" w:eastAsia="Arial" w:hint="default"/>
                <w:sz w:val="18"/>
                <w:szCs w:val="18"/>
              </w:rPr>
            </w:pPr>
            <w:r>
              <w:rPr>
                <w:rFonts w:ascii="Arial"/>
                <w:spacing w:val="-2"/>
                <w:sz w:val="18"/>
              </w:rPr>
              <w:t>(2,540,353,720)</w:t>
            </w:r>
            <w:r>
              <w:rPr>
                <w:rFonts w:ascii="Arial"/>
                <w:sz w:val="18"/>
              </w:rPr>
            </w:r>
          </w:p>
        </w:tc>
        <w:tc>
          <w:tcPr>
            <w:tcW w:w="1293"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58"/>
              <w:jc w:val="right"/>
              <w:rPr>
                <w:rFonts w:ascii="Arial" w:hAnsi="Arial" w:cs="Arial" w:eastAsia="Arial" w:hint="default"/>
                <w:sz w:val="18"/>
                <w:szCs w:val="18"/>
              </w:rPr>
            </w:pPr>
            <w:r>
              <w:rPr>
                <w:rFonts w:ascii="Arial"/>
                <w:spacing w:val="-2"/>
                <w:sz w:val="18"/>
              </w:rPr>
              <w:t>(583,269,098)</w:t>
            </w:r>
          </w:p>
        </w:tc>
        <w:tc>
          <w:tcPr>
            <w:tcW w:w="1493"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98"/>
              <w:jc w:val="right"/>
              <w:rPr>
                <w:rFonts w:ascii="Arial" w:hAnsi="Arial" w:cs="Arial" w:eastAsia="Arial" w:hint="default"/>
                <w:sz w:val="18"/>
                <w:szCs w:val="18"/>
              </w:rPr>
            </w:pPr>
            <w:r>
              <w:rPr>
                <w:rFonts w:ascii="Arial"/>
                <w:w w:val="101"/>
                <w:sz w:val="18"/>
              </w:rPr>
              <w:t>-</w:t>
            </w:r>
            <w:r>
              <w:rPr>
                <w:rFonts w:ascii="Arial"/>
                <w:sz w:val="18"/>
              </w:rPr>
            </w:r>
          </w:p>
        </w:tc>
        <w:tc>
          <w:tcPr>
            <w:tcW w:w="1481"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69"/>
              <w:jc w:val="right"/>
              <w:rPr>
                <w:rFonts w:ascii="Arial" w:hAnsi="Arial" w:cs="Arial" w:eastAsia="Arial" w:hint="default"/>
                <w:sz w:val="18"/>
                <w:szCs w:val="18"/>
              </w:rPr>
            </w:pPr>
            <w:r>
              <w:rPr>
                <w:rFonts w:ascii="Arial"/>
                <w:spacing w:val="-1"/>
                <w:sz w:val="18"/>
              </w:rPr>
              <w:t>1,347,551</w:t>
            </w:r>
            <w:r>
              <w:rPr>
                <w:rFonts w:ascii="Arial"/>
                <w:sz w:val="18"/>
              </w:rPr>
            </w:r>
          </w:p>
        </w:tc>
        <w:tc>
          <w:tcPr>
            <w:tcW w:w="101" w:type="dxa"/>
            <w:tcBorders>
              <w:top w:val="nil" w:sz="6" w:space="0" w:color="auto"/>
              <w:left w:val="nil" w:sz="6" w:space="0" w:color="auto"/>
              <w:bottom w:val="nil" w:sz="6" w:space="0" w:color="auto"/>
              <w:right w:val="nil" w:sz="6" w:space="0" w:color="auto"/>
            </w:tcBorders>
          </w:tcPr>
          <w:p>
            <w:pPr/>
          </w:p>
        </w:tc>
        <w:tc>
          <w:tcPr>
            <w:tcW w:w="1696"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345" w:right="0"/>
              <w:jc w:val="left"/>
              <w:rPr>
                <w:rFonts w:ascii="Arial" w:hAnsi="Arial" w:cs="Arial" w:eastAsia="Arial" w:hint="default"/>
                <w:sz w:val="18"/>
                <w:szCs w:val="18"/>
              </w:rPr>
            </w:pPr>
            <w:r>
              <w:rPr>
                <w:rFonts w:ascii="Arial"/>
                <w:sz w:val="18"/>
              </w:rPr>
              <w:t>(255,683,127)</w:t>
            </w:r>
          </w:p>
        </w:tc>
        <w:tc>
          <w:tcPr>
            <w:tcW w:w="1361"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8"/>
              <w:jc w:val="right"/>
              <w:rPr>
                <w:rFonts w:ascii="Arial" w:hAnsi="Arial" w:cs="Arial" w:eastAsia="Arial" w:hint="default"/>
                <w:sz w:val="18"/>
                <w:szCs w:val="18"/>
              </w:rPr>
            </w:pPr>
            <w:r>
              <w:rPr>
                <w:rFonts w:ascii="Arial"/>
                <w:spacing w:val="-2"/>
                <w:sz w:val="18"/>
              </w:rPr>
              <w:t>(326,238,420)</w:t>
            </w:r>
          </w:p>
        </w:tc>
        <w:tc>
          <w:tcPr>
            <w:tcW w:w="1776"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9"/>
              <w:jc w:val="right"/>
              <w:rPr>
                <w:rFonts w:ascii="Arial" w:hAnsi="Arial" w:cs="Arial" w:eastAsia="Arial" w:hint="default"/>
                <w:sz w:val="18"/>
                <w:szCs w:val="18"/>
              </w:rPr>
            </w:pPr>
            <w:r>
              <w:rPr>
                <w:rFonts w:ascii="Arial"/>
                <w:spacing w:val="-2"/>
                <w:sz w:val="18"/>
              </w:rPr>
              <w:t>(2,796,036,847)</w:t>
            </w:r>
            <w:r>
              <w:rPr>
                <w:rFonts w:ascii="Arial"/>
                <w:sz w:val="18"/>
              </w:rPr>
            </w:r>
          </w:p>
        </w:tc>
      </w:tr>
      <w:tr>
        <w:trPr>
          <w:trHeight w:val="466"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194" w:lineRule="exact"/>
              <w:ind w:left="374" w:right="0"/>
              <w:jc w:val="left"/>
              <w:rPr>
                <w:rFonts w:ascii="宋体" w:hAnsi="宋体" w:cs="宋体" w:eastAsia="宋体" w:hint="default"/>
                <w:sz w:val="18"/>
                <w:szCs w:val="18"/>
              </w:rPr>
            </w:pPr>
            <w:r>
              <w:rPr>
                <w:rFonts w:ascii="宋体" w:hAnsi="宋体" w:cs="宋体" w:eastAsia="宋体" w:hint="default"/>
                <w:spacing w:val="-3"/>
                <w:sz w:val="18"/>
                <w:szCs w:val="18"/>
              </w:rPr>
              <w:t>其中：重新计量设定受益计划</w:t>
            </w:r>
            <w:r>
              <w:rPr>
                <w:rFonts w:ascii="宋体" w:hAnsi="宋体" w:cs="宋体" w:eastAsia="宋体" w:hint="default"/>
                <w:sz w:val="18"/>
                <w:szCs w:val="18"/>
              </w:rPr>
            </w:r>
          </w:p>
          <w:p>
            <w:pPr>
              <w:pStyle w:val="TableParagraph"/>
              <w:spacing w:line="246" w:lineRule="exact"/>
              <w:ind w:left="1118" w:right="0"/>
              <w:jc w:val="left"/>
              <w:rPr>
                <w:rFonts w:ascii="宋体" w:hAnsi="宋体" w:cs="宋体" w:eastAsia="宋体" w:hint="default"/>
                <w:sz w:val="18"/>
                <w:szCs w:val="18"/>
              </w:rPr>
            </w:pPr>
            <w:r>
              <w:rPr>
                <w:rFonts w:ascii="宋体" w:hAnsi="宋体" w:cs="宋体" w:eastAsia="宋体" w:hint="default"/>
                <w:sz w:val="18"/>
                <w:szCs w:val="18"/>
              </w:rPr>
              <w:t>的变动额（注</w:t>
            </w:r>
            <w:r>
              <w:rPr>
                <w:rFonts w:ascii="宋体" w:hAnsi="宋体" w:cs="宋体" w:eastAsia="宋体" w:hint="default"/>
                <w:spacing w:val="-40"/>
                <w:sz w:val="18"/>
                <w:szCs w:val="18"/>
              </w:rPr>
              <w:t> </w:t>
            </w:r>
            <w:r>
              <w:rPr>
                <w:rFonts w:ascii="Arial" w:hAnsi="Arial" w:cs="Arial" w:eastAsia="Arial" w:hint="default"/>
                <w:sz w:val="18"/>
                <w:szCs w:val="18"/>
              </w:rPr>
              <w:t>1</w:t>
            </w:r>
            <w:r>
              <w:rPr>
                <w:rFonts w:ascii="宋体" w:hAnsi="宋体" w:cs="宋体" w:eastAsia="宋体" w:hint="default"/>
                <w:sz w:val="18"/>
                <w:szCs w:val="18"/>
              </w:rPr>
              <w:t>）</w:t>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33"/>
              <w:jc w:val="right"/>
              <w:rPr>
                <w:rFonts w:ascii="Arial" w:hAnsi="Arial" w:cs="Arial" w:eastAsia="Arial" w:hint="default"/>
                <w:sz w:val="18"/>
                <w:szCs w:val="18"/>
              </w:rPr>
            </w:pPr>
            <w:r>
              <w:rPr>
                <w:rFonts w:ascii="Arial"/>
                <w:spacing w:val="-1"/>
                <w:sz w:val="18"/>
              </w:rPr>
              <w:t>8,632,357</w:t>
            </w:r>
            <w:r>
              <w:rPr>
                <w:rFonts w:ascii="Arial"/>
                <w:sz w:val="18"/>
              </w:rPr>
            </w:r>
          </w:p>
        </w:tc>
        <w:tc>
          <w:tcPr>
            <w:tcW w:w="12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59"/>
              <w:jc w:val="right"/>
              <w:rPr>
                <w:rFonts w:ascii="Arial" w:hAnsi="Arial" w:cs="Arial" w:eastAsia="Arial" w:hint="default"/>
                <w:sz w:val="18"/>
                <w:szCs w:val="18"/>
              </w:rPr>
            </w:pPr>
            <w:r>
              <w:rPr>
                <w:rFonts w:ascii="Arial"/>
                <w:spacing w:val="-1"/>
                <w:sz w:val="18"/>
              </w:rPr>
              <w:t>(504,803)</w:t>
            </w:r>
            <w:r>
              <w:rPr>
                <w:rFonts w:ascii="Arial"/>
                <w:sz w:val="18"/>
              </w:rPr>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8"/>
              <w:jc w:val="right"/>
              <w:rPr>
                <w:rFonts w:ascii="Arial" w:hAnsi="Arial" w:cs="Arial" w:eastAsia="Arial" w:hint="default"/>
                <w:sz w:val="18"/>
                <w:szCs w:val="18"/>
              </w:rPr>
            </w:pPr>
            <w:r>
              <w:rPr>
                <w:rFonts w:ascii="Arial"/>
                <w:w w:val="101"/>
                <w:sz w:val="18"/>
              </w:rPr>
              <w:t>-</w:t>
            </w:r>
            <w:r>
              <w:rPr>
                <w:rFonts w:ascii="Arial"/>
                <w:sz w:val="18"/>
              </w:rPr>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
              <w:jc w:val="right"/>
              <w:rPr>
                <w:rFonts w:ascii="Arial" w:hAnsi="Arial" w:cs="Arial" w:eastAsia="Arial" w:hint="default"/>
                <w:sz w:val="18"/>
                <w:szCs w:val="18"/>
              </w:rPr>
            </w:pPr>
            <w:r>
              <w:rPr>
                <w:rFonts w:ascii="Arial"/>
                <w:spacing w:val="-1"/>
                <w:sz w:val="18"/>
              </w:rPr>
              <w:t>(107,664)</w:t>
            </w:r>
            <w:r>
              <w:rPr>
                <w:rFonts w:ascii="Arial"/>
                <w:sz w:val="18"/>
              </w:rPr>
            </w:r>
          </w:p>
        </w:tc>
        <w:tc>
          <w:tcPr>
            <w:tcW w:w="101" w:type="dxa"/>
            <w:tcBorders>
              <w:top w:val="nil" w:sz="6" w:space="0" w:color="auto"/>
              <w:left w:val="nil" w:sz="6" w:space="0" w:color="auto"/>
              <w:bottom w:val="nil" w:sz="6" w:space="0" w:color="auto"/>
              <w:right w:val="nil" w:sz="6" w:space="0" w:color="auto"/>
            </w:tcBorders>
          </w:tcPr>
          <w:p>
            <w:pP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1" w:right="0"/>
              <w:jc w:val="left"/>
              <w:rPr>
                <w:rFonts w:ascii="Arial" w:hAnsi="Arial" w:cs="Arial" w:eastAsia="Arial" w:hint="default"/>
                <w:sz w:val="18"/>
                <w:szCs w:val="18"/>
              </w:rPr>
            </w:pPr>
            <w:r>
              <w:rPr>
                <w:rFonts w:ascii="Arial"/>
                <w:sz w:val="18"/>
              </w:rPr>
              <w:t>(269,104)</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
              <w:jc w:val="right"/>
              <w:rPr>
                <w:rFonts w:ascii="Arial" w:hAnsi="Arial" w:cs="Arial" w:eastAsia="Arial" w:hint="default"/>
                <w:sz w:val="18"/>
                <w:szCs w:val="18"/>
              </w:rPr>
            </w:pPr>
            <w:r>
              <w:rPr>
                <w:rFonts w:ascii="Arial"/>
                <w:spacing w:val="-1"/>
                <w:sz w:val="18"/>
              </w:rPr>
              <w:t>(343,363)</w:t>
            </w:r>
            <w:r>
              <w:rPr>
                <w:rFonts w:ascii="Arial"/>
                <w:sz w:val="18"/>
              </w:rPr>
            </w: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69"/>
              <w:jc w:val="right"/>
              <w:rPr>
                <w:rFonts w:ascii="Arial" w:hAnsi="Arial" w:cs="Arial" w:eastAsia="Arial" w:hint="default"/>
                <w:sz w:val="18"/>
                <w:szCs w:val="18"/>
              </w:rPr>
            </w:pPr>
            <w:r>
              <w:rPr>
                <w:rFonts w:ascii="Arial"/>
                <w:spacing w:val="-1"/>
                <w:sz w:val="18"/>
              </w:rPr>
              <w:t>8,363,253</w:t>
            </w:r>
            <w:r>
              <w:rPr>
                <w:rFonts w:ascii="Arial"/>
                <w:sz w:val="18"/>
              </w:rPr>
            </w:r>
          </w:p>
        </w:tc>
      </w:tr>
      <w:tr>
        <w:trPr>
          <w:trHeight w:val="605"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197" w:lineRule="exact"/>
              <w:ind w:left="575" w:right="0"/>
              <w:jc w:val="center"/>
              <w:rPr>
                <w:rFonts w:ascii="宋体" w:hAnsi="宋体" w:cs="宋体" w:eastAsia="宋体" w:hint="default"/>
                <w:sz w:val="18"/>
                <w:szCs w:val="18"/>
              </w:rPr>
            </w:pPr>
            <w:r>
              <w:rPr>
                <w:rFonts w:ascii="宋体" w:hAnsi="宋体" w:cs="宋体" w:eastAsia="宋体" w:hint="default"/>
                <w:sz w:val="18"/>
                <w:szCs w:val="18"/>
              </w:rPr>
              <w:t>其他权益工具投资公允</w:t>
            </w:r>
          </w:p>
          <w:p>
            <w:pPr>
              <w:pStyle w:val="TableParagraph"/>
              <w:spacing w:line="240" w:lineRule="auto"/>
              <w:ind w:left="460" w:right="0"/>
              <w:jc w:val="center"/>
              <w:rPr>
                <w:rFonts w:ascii="宋体" w:hAnsi="宋体" w:cs="宋体" w:eastAsia="宋体" w:hint="default"/>
                <w:sz w:val="18"/>
                <w:szCs w:val="18"/>
              </w:rPr>
            </w:pPr>
            <w:r>
              <w:rPr>
                <w:rFonts w:ascii="宋体" w:hAnsi="宋体" w:cs="宋体" w:eastAsia="宋体" w:hint="default"/>
                <w:sz w:val="18"/>
                <w:szCs w:val="18"/>
              </w:rPr>
              <w:t>价值变动（注</w:t>
            </w:r>
            <w:r>
              <w:rPr>
                <w:rFonts w:ascii="宋体" w:hAnsi="宋体" w:cs="宋体" w:eastAsia="宋体" w:hint="default"/>
                <w:spacing w:val="-40"/>
                <w:sz w:val="18"/>
                <w:szCs w:val="18"/>
              </w:rPr>
              <w:t> </w:t>
            </w:r>
            <w:r>
              <w:rPr>
                <w:rFonts w:ascii="Arial" w:hAnsi="Arial" w:cs="Arial" w:eastAsia="Arial" w:hint="default"/>
                <w:sz w:val="18"/>
                <w:szCs w:val="18"/>
              </w:rPr>
              <w:t>2</w:t>
            </w:r>
            <w:r>
              <w:rPr>
                <w:rFonts w:ascii="宋体" w:hAnsi="宋体" w:cs="宋体" w:eastAsia="宋体" w:hint="default"/>
                <w:sz w:val="18"/>
                <w:szCs w:val="18"/>
              </w:rPr>
              <w:t>）</w:t>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76"/>
              <w:jc w:val="right"/>
              <w:rPr>
                <w:rFonts w:ascii="Arial" w:hAnsi="Arial" w:cs="Arial" w:eastAsia="Arial" w:hint="default"/>
                <w:sz w:val="18"/>
                <w:szCs w:val="18"/>
              </w:rPr>
            </w:pPr>
            <w:r>
              <w:rPr>
                <w:rFonts w:ascii="Arial"/>
                <w:spacing w:val="-2"/>
                <w:sz w:val="18"/>
              </w:rPr>
              <w:t>(2,548,986,077)</w:t>
            </w:r>
            <w:r>
              <w:rPr>
                <w:rFonts w:ascii="Arial"/>
                <w:sz w:val="18"/>
              </w:rPr>
            </w:r>
          </w:p>
        </w:tc>
        <w:tc>
          <w:tcPr>
            <w:tcW w:w="129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58"/>
              <w:jc w:val="right"/>
              <w:rPr>
                <w:rFonts w:ascii="Arial" w:hAnsi="Arial" w:cs="Arial" w:eastAsia="Arial" w:hint="default"/>
                <w:sz w:val="18"/>
                <w:szCs w:val="18"/>
              </w:rPr>
            </w:pPr>
            <w:r>
              <w:rPr>
                <w:rFonts w:ascii="Arial"/>
                <w:spacing w:val="-2"/>
                <w:sz w:val="18"/>
              </w:rPr>
              <w:t>(582,764,295)</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8"/>
              <w:jc w:val="right"/>
              <w:rPr>
                <w:rFonts w:ascii="Arial" w:hAnsi="Arial" w:cs="Arial" w:eastAsia="Arial" w:hint="default"/>
                <w:sz w:val="18"/>
                <w:szCs w:val="18"/>
              </w:rPr>
            </w:pPr>
            <w:r>
              <w:rPr>
                <w:rFonts w:ascii="Arial"/>
                <w:w w:val="101"/>
                <w:sz w:val="18"/>
              </w:rPr>
              <w:t>-</w:t>
            </w:r>
            <w:r>
              <w:rPr>
                <w:rFonts w:ascii="Arial"/>
                <w:sz w:val="18"/>
              </w:rPr>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69"/>
              <w:jc w:val="right"/>
              <w:rPr>
                <w:rFonts w:ascii="Arial" w:hAnsi="Arial" w:cs="Arial" w:eastAsia="Arial" w:hint="default"/>
                <w:sz w:val="18"/>
                <w:szCs w:val="18"/>
              </w:rPr>
            </w:pPr>
            <w:r>
              <w:rPr>
                <w:rFonts w:ascii="Arial"/>
                <w:spacing w:val="-1"/>
                <w:sz w:val="18"/>
              </w:rPr>
              <w:t>1,455,215</w:t>
            </w:r>
            <w:r>
              <w:rPr>
                <w:rFonts w:ascii="Arial"/>
                <w:sz w:val="18"/>
              </w:rPr>
            </w:r>
          </w:p>
        </w:tc>
        <w:tc>
          <w:tcPr>
            <w:tcW w:w="101" w:type="dxa"/>
            <w:tcBorders>
              <w:top w:val="nil" w:sz="6" w:space="0" w:color="auto"/>
              <w:left w:val="nil" w:sz="6" w:space="0" w:color="auto"/>
              <w:bottom w:val="nil" w:sz="6" w:space="0" w:color="auto"/>
              <w:right w:val="nil" w:sz="6" w:space="0" w:color="auto"/>
            </w:tcBorders>
          </w:tcPr>
          <w:p>
            <w:pP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45" w:right="0"/>
              <w:jc w:val="left"/>
              <w:rPr>
                <w:rFonts w:ascii="Arial" w:hAnsi="Arial" w:cs="Arial" w:eastAsia="Arial" w:hint="default"/>
                <w:sz w:val="18"/>
                <w:szCs w:val="18"/>
              </w:rPr>
            </w:pPr>
            <w:r>
              <w:rPr>
                <w:rFonts w:ascii="Arial"/>
                <w:sz w:val="18"/>
              </w:rPr>
              <w:t>(255,414,023)</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8"/>
              <w:jc w:val="right"/>
              <w:rPr>
                <w:rFonts w:ascii="Arial" w:hAnsi="Arial" w:cs="Arial" w:eastAsia="Arial" w:hint="default"/>
                <w:sz w:val="18"/>
                <w:szCs w:val="18"/>
              </w:rPr>
            </w:pPr>
            <w:r>
              <w:rPr>
                <w:rFonts w:ascii="Arial"/>
                <w:spacing w:val="-2"/>
                <w:sz w:val="18"/>
              </w:rPr>
              <w:t>(325,895,057)</w:t>
            </w: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
              <w:jc w:val="right"/>
              <w:rPr>
                <w:rFonts w:ascii="Arial" w:hAnsi="Arial" w:cs="Arial" w:eastAsia="Arial" w:hint="default"/>
                <w:sz w:val="18"/>
                <w:szCs w:val="18"/>
              </w:rPr>
            </w:pPr>
            <w:r>
              <w:rPr>
                <w:rFonts w:ascii="Arial"/>
                <w:spacing w:val="-2"/>
                <w:sz w:val="18"/>
              </w:rPr>
              <w:t>(2,804,400,100)</w:t>
            </w:r>
            <w:r>
              <w:rPr>
                <w:rFonts w:ascii="Arial"/>
                <w:sz w:val="18"/>
              </w:rPr>
            </w:r>
          </w:p>
        </w:tc>
      </w:tr>
      <w:tr>
        <w:trPr>
          <w:trHeight w:val="379"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0" w:lineRule="auto" w:before="95"/>
              <w:ind w:left="28" w:right="0"/>
              <w:jc w:val="left"/>
              <w:rPr>
                <w:rFonts w:ascii="宋体" w:hAnsi="宋体" w:cs="宋体" w:eastAsia="宋体" w:hint="default"/>
                <w:sz w:val="18"/>
                <w:szCs w:val="18"/>
              </w:rPr>
            </w:pPr>
            <w:r>
              <w:rPr>
                <w:rFonts w:ascii="宋体" w:hAnsi="宋体" w:cs="宋体" w:eastAsia="宋体" w:hint="default"/>
                <w:spacing w:val="-3"/>
                <w:sz w:val="18"/>
                <w:szCs w:val="18"/>
              </w:rPr>
              <w:t>将重分类进损益的其他综合收益</w:t>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31"/>
              <w:jc w:val="right"/>
              <w:rPr>
                <w:rFonts w:ascii="Arial" w:hAnsi="Arial" w:cs="Arial" w:eastAsia="Arial" w:hint="default"/>
                <w:sz w:val="18"/>
                <w:szCs w:val="18"/>
              </w:rPr>
            </w:pPr>
            <w:r>
              <w:rPr>
                <w:rFonts w:ascii="Arial"/>
                <w:spacing w:val="-1"/>
                <w:sz w:val="18"/>
              </w:rPr>
              <w:t>36,802,866</w:t>
            </w:r>
            <w:r>
              <w:rPr>
                <w:rFonts w:ascii="Arial"/>
                <w:sz w:val="18"/>
              </w:rPr>
            </w:r>
          </w:p>
        </w:tc>
        <w:tc>
          <w:tcPr>
            <w:tcW w:w="1293"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263" w:right="0"/>
              <w:jc w:val="left"/>
              <w:rPr>
                <w:rFonts w:ascii="Arial" w:hAnsi="Arial" w:cs="Arial" w:eastAsia="Arial" w:hint="default"/>
                <w:sz w:val="18"/>
                <w:szCs w:val="18"/>
              </w:rPr>
            </w:pPr>
            <w:r>
              <w:rPr>
                <w:rFonts w:ascii="Arial"/>
                <w:sz w:val="18"/>
              </w:rPr>
              <w:t>80,654,502</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98"/>
              <w:jc w:val="right"/>
              <w:rPr>
                <w:rFonts w:ascii="Arial" w:hAnsi="Arial" w:cs="Arial" w:eastAsia="Arial" w:hint="default"/>
                <w:sz w:val="18"/>
                <w:szCs w:val="18"/>
              </w:rPr>
            </w:pPr>
            <w:r>
              <w:rPr>
                <w:rFonts w:ascii="Arial"/>
                <w:w w:val="101"/>
                <w:sz w:val="18"/>
              </w:rPr>
              <w:t>-</w:t>
            </w:r>
            <w:r>
              <w:rPr>
                <w:rFonts w:ascii="Arial"/>
                <w:sz w:val="18"/>
              </w:rPr>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76"/>
              <w:jc w:val="right"/>
              <w:rPr>
                <w:rFonts w:ascii="Arial" w:hAnsi="Arial" w:cs="Arial" w:eastAsia="Arial" w:hint="default"/>
                <w:sz w:val="18"/>
                <w:szCs w:val="18"/>
              </w:rPr>
            </w:pPr>
            <w:r>
              <w:rPr>
                <w:rFonts w:ascii="Arial"/>
                <w:w w:val="101"/>
                <w:sz w:val="18"/>
              </w:rPr>
              <w:t>-</w:t>
            </w:r>
            <w:r>
              <w:rPr>
                <w:rFonts w:ascii="Arial"/>
                <w:sz w:val="18"/>
              </w:rPr>
            </w:r>
          </w:p>
        </w:tc>
        <w:tc>
          <w:tcPr>
            <w:tcW w:w="101" w:type="dxa"/>
            <w:tcBorders>
              <w:top w:val="nil" w:sz="6" w:space="0" w:color="auto"/>
              <w:left w:val="nil" w:sz="6" w:space="0" w:color="auto"/>
              <w:bottom w:val="nil" w:sz="6" w:space="0" w:color="auto"/>
              <w:right w:val="nil" w:sz="6" w:space="0" w:color="auto"/>
            </w:tcBorders>
          </w:tcPr>
          <w:p>
            <w:pP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499" w:right="0"/>
              <w:jc w:val="left"/>
              <w:rPr>
                <w:rFonts w:ascii="Arial" w:hAnsi="Arial" w:cs="Arial" w:eastAsia="Arial" w:hint="default"/>
                <w:sz w:val="18"/>
                <w:szCs w:val="18"/>
              </w:rPr>
            </w:pPr>
            <w:r>
              <w:rPr>
                <w:rFonts w:ascii="Arial"/>
                <w:sz w:val="18"/>
              </w:rPr>
              <w:t>35,437,759</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69"/>
              <w:jc w:val="right"/>
              <w:rPr>
                <w:rFonts w:ascii="Arial" w:hAnsi="Arial" w:cs="Arial" w:eastAsia="Arial" w:hint="default"/>
                <w:sz w:val="18"/>
                <w:szCs w:val="18"/>
              </w:rPr>
            </w:pPr>
            <w:r>
              <w:rPr>
                <w:rFonts w:ascii="Arial"/>
                <w:spacing w:val="-1"/>
                <w:sz w:val="18"/>
              </w:rPr>
              <w:t>45,216,743</w:t>
            </w:r>
            <w:r>
              <w:rPr>
                <w:rFonts w:ascii="Arial"/>
                <w:sz w:val="18"/>
              </w:rPr>
            </w: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69"/>
              <w:jc w:val="right"/>
              <w:rPr>
                <w:rFonts w:ascii="Arial" w:hAnsi="Arial" w:cs="Arial" w:eastAsia="Arial" w:hint="default"/>
                <w:sz w:val="18"/>
                <w:szCs w:val="18"/>
              </w:rPr>
            </w:pPr>
            <w:r>
              <w:rPr>
                <w:rFonts w:ascii="Arial"/>
                <w:spacing w:val="-1"/>
                <w:sz w:val="18"/>
              </w:rPr>
              <w:t>72,240,625</w:t>
            </w:r>
            <w:r>
              <w:rPr>
                <w:rFonts w:ascii="Arial"/>
                <w:sz w:val="18"/>
              </w:rPr>
            </w:r>
          </w:p>
        </w:tc>
      </w:tr>
      <w:tr>
        <w:trPr>
          <w:trHeight w:val="384"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06" w:lineRule="exact"/>
              <w:ind w:left="374" w:right="0"/>
              <w:jc w:val="left"/>
              <w:rPr>
                <w:rFonts w:ascii="宋体" w:hAnsi="宋体" w:cs="宋体" w:eastAsia="宋体" w:hint="default"/>
                <w:sz w:val="18"/>
                <w:szCs w:val="18"/>
              </w:rPr>
            </w:pPr>
            <w:r>
              <w:rPr>
                <w:rFonts w:ascii="宋体" w:hAnsi="宋体" w:cs="宋体" w:eastAsia="宋体" w:hint="default"/>
                <w:spacing w:val="-3"/>
                <w:sz w:val="18"/>
                <w:szCs w:val="18"/>
              </w:rPr>
              <w:t>其中：外币财务报表折算差额</w:t>
            </w:r>
            <w:r>
              <w:rPr>
                <w:rFonts w:ascii="宋体" w:hAnsi="宋体" w:cs="宋体" w:eastAsia="宋体" w:hint="default"/>
                <w:sz w:val="18"/>
                <w:szCs w:val="18"/>
              </w:rPr>
            </w:r>
          </w:p>
        </w:tc>
        <w:tc>
          <w:tcPr>
            <w:tcW w:w="1930" w:type="dxa"/>
            <w:tcBorders>
              <w:top w:val="nil" w:sz="6" w:space="0" w:color="auto"/>
              <w:left w:val="nil" w:sz="6" w:space="0" w:color="auto"/>
              <w:bottom w:val="nil" w:sz="6" w:space="0" w:color="auto"/>
              <w:right w:val="nil" w:sz="6" w:space="0" w:color="auto"/>
            </w:tcBorders>
          </w:tcPr>
          <w:p>
            <w:pPr>
              <w:pStyle w:val="TableParagraph"/>
              <w:tabs>
                <w:tab w:pos="873" w:val="left" w:leader="none"/>
                <w:tab w:pos="1852" w:val="left" w:leader="none"/>
              </w:tabs>
              <w:spacing w:line="240" w:lineRule="auto" w:before="26"/>
              <w:ind w:right="60"/>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r>
            <w:r>
              <w:rPr>
                <w:rFonts w:ascii="Arial"/>
                <w:spacing w:val="-1"/>
                <w:sz w:val="18"/>
                <w:u w:val="single" w:color="000000"/>
              </w:rPr>
              <w:t>36,802,866</w:t>
              <w:tab/>
            </w:r>
            <w:r>
              <w:rPr>
                <w:rFonts w:ascii="Arial"/>
                <w:spacing w:val="-1"/>
                <w:sz w:val="18"/>
              </w:rPr>
            </w:r>
          </w:p>
        </w:tc>
        <w:tc>
          <w:tcPr>
            <w:tcW w:w="1293" w:type="dxa"/>
            <w:tcBorders>
              <w:top w:val="nil" w:sz="6" w:space="0" w:color="auto"/>
              <w:left w:val="nil" w:sz="6" w:space="0" w:color="auto"/>
              <w:bottom w:val="nil" w:sz="6" w:space="0" w:color="auto"/>
              <w:right w:val="nil" w:sz="6" w:space="0" w:color="auto"/>
            </w:tcBorders>
          </w:tcPr>
          <w:p>
            <w:pPr>
              <w:pStyle w:val="TableParagraph"/>
              <w:tabs>
                <w:tab w:pos="263" w:val="left" w:leader="none"/>
                <w:tab w:pos="1243" w:val="left" w:leader="none"/>
              </w:tabs>
              <w:spacing w:line="240" w:lineRule="auto" w:before="26"/>
              <w:ind w:right="47"/>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r>
            <w:r>
              <w:rPr>
                <w:rFonts w:ascii="Arial"/>
                <w:spacing w:val="-1"/>
                <w:sz w:val="18"/>
                <w:u w:val="single" w:color="000000"/>
              </w:rPr>
              <w:t>80,654,502</w:t>
              <w:tab/>
            </w:r>
            <w:r>
              <w:rPr>
                <w:rFonts w:ascii="Arial"/>
                <w:spacing w:val="-1"/>
                <w:sz w:val="18"/>
              </w:rPr>
            </w:r>
          </w:p>
        </w:tc>
        <w:tc>
          <w:tcPr>
            <w:tcW w:w="1493" w:type="dxa"/>
            <w:tcBorders>
              <w:top w:val="nil" w:sz="6" w:space="0" w:color="auto"/>
              <w:left w:val="nil" w:sz="6" w:space="0" w:color="auto"/>
              <w:bottom w:val="nil" w:sz="6" w:space="0" w:color="auto"/>
              <w:right w:val="nil" w:sz="6" w:space="0" w:color="auto"/>
            </w:tcBorders>
          </w:tcPr>
          <w:p>
            <w:pPr>
              <w:pStyle w:val="TableParagraph"/>
              <w:tabs>
                <w:tab w:pos="1231" w:val="left" w:leader="none"/>
                <w:tab w:pos="2834" w:val="left" w:leader="none"/>
              </w:tabs>
              <w:spacing w:line="240" w:lineRule="auto" w:before="26"/>
              <w:ind w:left="7" w:right="-1342"/>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t>- </w:t>
            </w:r>
            <w:r>
              <w:rPr>
                <w:rFonts w:ascii="Arial"/>
                <w:spacing w:val="-22"/>
                <w:sz w:val="18"/>
                <w:u w:val="single" w:color="000000"/>
              </w:rPr>
              <w:t> </w:t>
            </w:r>
            <w:r>
              <w:rPr>
                <w:rFonts w:ascii="Arial"/>
                <w:spacing w:val="-22"/>
                <w:sz w:val="18"/>
              </w:rPr>
            </w:r>
            <w:r>
              <w:rPr>
                <w:rFonts w:ascii="Arial"/>
                <w:spacing w:val="7"/>
                <w:sz w:val="18"/>
              </w:rPr>
              <w:t> </w:t>
            </w:r>
            <w:r>
              <w:rPr>
                <w:rFonts w:ascii="Arial"/>
                <w:spacing w:val="7"/>
                <w:w w:val="101"/>
                <w:sz w:val="18"/>
              </w:rPr>
            </w:r>
            <w:r>
              <w:rPr>
                <w:rFonts w:ascii="Arial"/>
                <w:w w:val="101"/>
                <w:sz w:val="18"/>
                <w:u w:val="single" w:color="000000"/>
              </w:rPr>
              <w:t> </w:t>
            </w:r>
            <w:r>
              <w:rPr>
                <w:rFonts w:ascii="Arial"/>
                <w:sz w:val="18"/>
                <w:u w:val="single" w:color="000000"/>
              </w:rPr>
              <w:tab/>
            </w:r>
            <w:r>
              <w:rPr>
                <w:rFonts w:ascii="Arial"/>
                <w:sz w:val="18"/>
              </w:rPr>
            </w:r>
          </w:p>
        </w:tc>
        <w:tc>
          <w:tcPr>
            <w:tcW w:w="1481" w:type="dxa"/>
            <w:tcBorders>
              <w:top w:val="nil" w:sz="6" w:space="0" w:color="auto"/>
              <w:left w:val="nil" w:sz="6" w:space="0" w:color="auto"/>
              <w:bottom w:val="nil" w:sz="6" w:space="0" w:color="auto"/>
              <w:right w:val="nil" w:sz="6" w:space="0" w:color="auto"/>
            </w:tcBorders>
          </w:tcPr>
          <w:p>
            <w:pPr>
              <w:pStyle w:val="TableParagraph"/>
              <w:tabs>
                <w:tab w:pos="139" w:val="left" w:leader="none"/>
              </w:tabs>
              <w:spacing w:line="240" w:lineRule="auto" w:before="26"/>
              <w:ind w:right="0"/>
              <w:jc w:val="right"/>
              <w:rPr>
                <w:rFonts w:ascii="Arial" w:hAnsi="Arial" w:cs="Arial" w:eastAsia="Arial" w:hint="default"/>
                <w:sz w:val="18"/>
                <w:szCs w:val="18"/>
              </w:rPr>
            </w:pPr>
            <w:r>
              <w:rPr>
                <w:rFonts w:ascii="Arial"/>
                <w:w w:val="101"/>
                <w:sz w:val="18"/>
              </w:rPr>
            </w:r>
            <w:r>
              <w:rPr>
                <w:rFonts w:ascii="Arial"/>
                <w:sz w:val="18"/>
                <w:u w:val="single" w:color="000000"/>
              </w:rPr>
              <w:t>-</w:t>
              <w:tab/>
            </w:r>
            <w:r>
              <w:rPr>
                <w:rFonts w:ascii="Arial"/>
                <w:sz w:val="18"/>
              </w:rPr>
            </w:r>
          </w:p>
        </w:tc>
        <w:tc>
          <w:tcPr>
            <w:tcW w:w="101" w:type="dxa"/>
            <w:tcBorders>
              <w:top w:val="nil" w:sz="6" w:space="0" w:color="auto"/>
              <w:left w:val="nil" w:sz="6" w:space="0" w:color="auto"/>
              <w:bottom w:val="nil" w:sz="6" w:space="0" w:color="auto"/>
              <w:right w:val="nil" w:sz="6" w:space="0" w:color="auto"/>
            </w:tcBorders>
          </w:tcPr>
          <w:p>
            <w:pPr/>
          </w:p>
        </w:tc>
        <w:tc>
          <w:tcPr>
            <w:tcW w:w="1696" w:type="dxa"/>
            <w:tcBorders>
              <w:top w:val="nil" w:sz="6" w:space="0" w:color="auto"/>
              <w:left w:val="nil" w:sz="6" w:space="0" w:color="auto"/>
              <w:bottom w:val="nil" w:sz="6" w:space="0" w:color="auto"/>
              <w:right w:val="nil" w:sz="6" w:space="0" w:color="auto"/>
            </w:tcBorders>
          </w:tcPr>
          <w:p>
            <w:pPr>
              <w:pStyle w:val="TableParagraph"/>
              <w:tabs>
                <w:tab w:pos="499" w:val="left" w:leader="none"/>
                <w:tab w:pos="2078" w:val="left" w:leader="none"/>
              </w:tabs>
              <w:spacing w:line="240" w:lineRule="auto" w:before="26"/>
              <w:ind w:right="-383"/>
              <w:jc w:val="lef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t>35,437,759</w:t>
            </w:r>
            <w:r>
              <w:rPr>
                <w:rFonts w:ascii="Arial"/>
                <w:spacing w:val="20"/>
                <w:sz w:val="18"/>
                <w:u w:val="single" w:color="000000"/>
              </w:rPr>
              <w:t> </w:t>
            </w:r>
            <w:r>
              <w:rPr>
                <w:rFonts w:ascii="Arial"/>
                <w:spacing w:val="20"/>
                <w:sz w:val="18"/>
              </w:rPr>
            </w:r>
            <w:r>
              <w:rPr>
                <w:rFonts w:ascii="Arial"/>
                <w:spacing w:val="2"/>
                <w:sz w:val="18"/>
              </w:rPr>
              <w:t> </w:t>
            </w:r>
            <w:r>
              <w:rPr>
                <w:rFonts w:ascii="Arial"/>
                <w:spacing w:val="2"/>
                <w:w w:val="101"/>
                <w:sz w:val="18"/>
              </w:rPr>
            </w:r>
            <w:r>
              <w:rPr>
                <w:rFonts w:ascii="Arial"/>
                <w:w w:val="101"/>
                <w:sz w:val="18"/>
                <w:u w:val="single" w:color="000000"/>
              </w:rPr>
              <w:t> </w:t>
            </w:r>
            <w:r>
              <w:rPr>
                <w:rFonts w:ascii="Arial"/>
                <w:sz w:val="18"/>
                <w:u w:val="single" w:color="000000"/>
              </w:rPr>
              <w:tab/>
            </w:r>
            <w:r>
              <w:rPr>
                <w:rFonts w:ascii="Arial"/>
                <w:sz w:val="18"/>
              </w:rPr>
            </w:r>
          </w:p>
        </w:tc>
        <w:tc>
          <w:tcPr>
            <w:tcW w:w="1361" w:type="dxa"/>
            <w:tcBorders>
              <w:top w:val="nil" w:sz="6" w:space="0" w:color="auto"/>
              <w:left w:val="nil" w:sz="6" w:space="0" w:color="auto"/>
              <w:bottom w:val="nil" w:sz="6" w:space="0" w:color="auto"/>
              <w:right w:val="nil" w:sz="6" w:space="0" w:color="auto"/>
            </w:tcBorders>
          </w:tcPr>
          <w:p>
            <w:pPr>
              <w:pStyle w:val="TableParagraph"/>
              <w:tabs>
                <w:tab w:pos="979" w:val="left" w:leader="none"/>
              </w:tabs>
              <w:spacing w:line="240" w:lineRule="auto" w:before="26"/>
              <w:ind w:right="-1"/>
              <w:jc w:val="right"/>
              <w:rPr>
                <w:rFonts w:ascii="Arial" w:hAnsi="Arial" w:cs="Arial" w:eastAsia="Arial" w:hint="default"/>
                <w:sz w:val="18"/>
                <w:szCs w:val="18"/>
              </w:rPr>
            </w:pPr>
            <w:r>
              <w:rPr>
                <w:rFonts w:ascii="Arial"/>
                <w:w w:val="101"/>
                <w:sz w:val="18"/>
              </w:rPr>
            </w:r>
            <w:r>
              <w:rPr>
                <w:rFonts w:ascii="Arial"/>
                <w:spacing w:val="-1"/>
                <w:sz w:val="18"/>
                <w:u w:val="single" w:color="000000"/>
              </w:rPr>
              <w:t>45,216,743</w:t>
              <w:tab/>
            </w:r>
            <w:r>
              <w:rPr>
                <w:rFonts w:ascii="Arial"/>
                <w:spacing w:val="-1"/>
                <w:sz w:val="18"/>
              </w:rPr>
            </w:r>
          </w:p>
        </w:tc>
        <w:tc>
          <w:tcPr>
            <w:tcW w:w="1776" w:type="dxa"/>
            <w:tcBorders>
              <w:top w:val="nil" w:sz="6" w:space="0" w:color="auto"/>
              <w:left w:val="nil" w:sz="6" w:space="0" w:color="auto"/>
              <w:bottom w:val="nil" w:sz="6" w:space="0" w:color="auto"/>
              <w:right w:val="nil" w:sz="6" w:space="0" w:color="auto"/>
            </w:tcBorders>
          </w:tcPr>
          <w:p>
            <w:pPr>
              <w:pStyle w:val="TableParagraph"/>
              <w:tabs>
                <w:tab w:pos="739" w:val="left" w:leader="none"/>
                <w:tab w:pos="1718" w:val="left" w:leader="none"/>
              </w:tabs>
              <w:spacing w:line="240" w:lineRule="auto" w:before="26"/>
              <w:ind w:right="0"/>
              <w:jc w:val="right"/>
              <w:rPr>
                <w:rFonts w:ascii="Arial" w:hAnsi="Arial" w:cs="Arial" w:eastAsia="Arial" w:hint="default"/>
                <w:sz w:val="18"/>
                <w:szCs w:val="18"/>
              </w:rPr>
            </w:pPr>
            <w:r>
              <w:rPr>
                <w:rFonts w:ascii="Arial"/>
                <w:w w:val="101"/>
                <w:sz w:val="18"/>
              </w:rPr>
            </w:r>
            <w:r>
              <w:rPr>
                <w:rFonts w:ascii="Arial"/>
                <w:w w:val="101"/>
                <w:sz w:val="18"/>
                <w:u w:val="single" w:color="000000"/>
              </w:rPr>
              <w:t> </w:t>
            </w:r>
            <w:r>
              <w:rPr>
                <w:rFonts w:ascii="Arial"/>
                <w:sz w:val="18"/>
                <w:u w:val="single" w:color="000000"/>
              </w:rPr>
              <w:tab/>
            </w:r>
            <w:r>
              <w:rPr>
                <w:rFonts w:ascii="Arial"/>
                <w:spacing w:val="-1"/>
                <w:sz w:val="18"/>
                <w:u w:val="single" w:color="000000"/>
              </w:rPr>
              <w:t>72,240,625</w:t>
              <w:tab/>
            </w:r>
            <w:r>
              <w:rPr>
                <w:rFonts w:ascii="Arial"/>
                <w:spacing w:val="-1"/>
                <w:sz w:val="18"/>
              </w:rPr>
            </w:r>
          </w:p>
        </w:tc>
      </w:tr>
      <w:tr>
        <w:trPr>
          <w:trHeight w:val="390"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6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30" w:type="dxa"/>
            <w:tcBorders>
              <w:top w:val="nil" w:sz="6" w:space="0" w:color="auto"/>
              <w:left w:val="nil" w:sz="6" w:space="0" w:color="auto"/>
              <w:bottom w:val="single" w:sz="17" w:space="0" w:color="000000"/>
              <w:right w:val="nil" w:sz="6" w:space="0" w:color="auto"/>
            </w:tcBorders>
          </w:tcPr>
          <w:p>
            <w:pPr>
              <w:pStyle w:val="TableParagraph"/>
              <w:spacing w:line="240" w:lineRule="auto" w:before="156"/>
              <w:ind w:right="76"/>
              <w:jc w:val="right"/>
              <w:rPr>
                <w:rFonts w:ascii="Arial" w:hAnsi="Arial" w:cs="Arial" w:eastAsia="Arial" w:hint="default"/>
                <w:sz w:val="18"/>
                <w:szCs w:val="18"/>
              </w:rPr>
            </w:pPr>
            <w:r>
              <w:rPr>
                <w:rFonts w:ascii="Arial"/>
                <w:spacing w:val="-2"/>
                <w:sz w:val="18"/>
              </w:rPr>
              <w:t>(2,503,550,854)</w:t>
            </w:r>
            <w:r>
              <w:rPr>
                <w:rFonts w:ascii="Arial"/>
                <w:sz w:val="18"/>
              </w:rPr>
            </w:r>
          </w:p>
        </w:tc>
        <w:tc>
          <w:tcPr>
            <w:tcW w:w="1293" w:type="dxa"/>
            <w:tcBorders>
              <w:top w:val="nil" w:sz="6" w:space="0" w:color="auto"/>
              <w:left w:val="nil" w:sz="6" w:space="0" w:color="auto"/>
              <w:bottom w:val="single" w:sz="17" w:space="0" w:color="000000"/>
              <w:right w:val="nil" w:sz="6" w:space="0" w:color="auto"/>
            </w:tcBorders>
          </w:tcPr>
          <w:p>
            <w:pPr>
              <w:pStyle w:val="TableParagraph"/>
              <w:spacing w:line="240" w:lineRule="auto" w:before="156"/>
              <w:ind w:right="58"/>
              <w:jc w:val="right"/>
              <w:rPr>
                <w:rFonts w:ascii="Arial" w:hAnsi="Arial" w:cs="Arial" w:eastAsia="Arial" w:hint="default"/>
                <w:sz w:val="18"/>
                <w:szCs w:val="18"/>
              </w:rPr>
            </w:pPr>
            <w:r>
              <w:rPr>
                <w:rFonts w:ascii="Arial"/>
                <w:spacing w:val="-2"/>
                <w:sz w:val="18"/>
              </w:rPr>
              <w:t>(502,614,596)</w:t>
            </w:r>
          </w:p>
        </w:tc>
        <w:tc>
          <w:tcPr>
            <w:tcW w:w="1493" w:type="dxa"/>
            <w:tcBorders>
              <w:top w:val="nil" w:sz="6" w:space="0" w:color="auto"/>
              <w:left w:val="nil" w:sz="6" w:space="0" w:color="auto"/>
              <w:bottom w:val="single" w:sz="17" w:space="0" w:color="000000"/>
              <w:right w:val="nil" w:sz="6" w:space="0" w:color="auto"/>
            </w:tcBorders>
          </w:tcPr>
          <w:p>
            <w:pPr>
              <w:pStyle w:val="TableParagraph"/>
              <w:spacing w:line="240" w:lineRule="auto" w:before="156"/>
              <w:ind w:right="198"/>
              <w:jc w:val="right"/>
              <w:rPr>
                <w:rFonts w:ascii="Arial" w:hAnsi="Arial" w:cs="Arial" w:eastAsia="Arial" w:hint="default"/>
                <w:sz w:val="18"/>
                <w:szCs w:val="18"/>
              </w:rPr>
            </w:pPr>
            <w:r>
              <w:rPr>
                <w:rFonts w:ascii="Arial"/>
                <w:w w:val="101"/>
                <w:sz w:val="18"/>
              </w:rPr>
              <w:t>-</w:t>
            </w:r>
            <w:r>
              <w:rPr>
                <w:rFonts w:ascii="Arial"/>
                <w:sz w:val="18"/>
              </w:rPr>
            </w:r>
          </w:p>
        </w:tc>
        <w:tc>
          <w:tcPr>
            <w:tcW w:w="1481" w:type="dxa"/>
            <w:tcBorders>
              <w:top w:val="nil" w:sz="6" w:space="0" w:color="auto"/>
              <w:left w:val="nil" w:sz="6" w:space="0" w:color="auto"/>
              <w:bottom w:val="single" w:sz="17" w:space="0" w:color="000000"/>
              <w:right w:val="nil" w:sz="6" w:space="0" w:color="auto"/>
            </w:tcBorders>
          </w:tcPr>
          <w:p>
            <w:pPr>
              <w:pStyle w:val="TableParagraph"/>
              <w:spacing w:line="240" w:lineRule="auto" w:before="156"/>
              <w:ind w:right="69"/>
              <w:jc w:val="right"/>
              <w:rPr>
                <w:rFonts w:ascii="Arial" w:hAnsi="Arial" w:cs="Arial" w:eastAsia="Arial" w:hint="default"/>
                <w:sz w:val="18"/>
                <w:szCs w:val="18"/>
              </w:rPr>
            </w:pPr>
            <w:r>
              <w:rPr>
                <w:rFonts w:ascii="Arial"/>
                <w:spacing w:val="-1"/>
                <w:sz w:val="18"/>
              </w:rPr>
              <w:t>1,347,551</w:t>
            </w:r>
            <w:r>
              <w:rPr>
                <w:rFonts w:ascii="Arial"/>
                <w:sz w:val="18"/>
              </w:rPr>
            </w:r>
          </w:p>
        </w:tc>
        <w:tc>
          <w:tcPr>
            <w:tcW w:w="101" w:type="dxa"/>
            <w:tcBorders>
              <w:top w:val="nil" w:sz="6" w:space="0" w:color="auto"/>
              <w:left w:val="nil" w:sz="6" w:space="0" w:color="auto"/>
              <w:bottom w:val="nil" w:sz="6" w:space="0" w:color="auto"/>
              <w:right w:val="nil" w:sz="6" w:space="0" w:color="auto"/>
            </w:tcBorders>
          </w:tcPr>
          <w:p>
            <w:pPr/>
          </w:p>
        </w:tc>
        <w:tc>
          <w:tcPr>
            <w:tcW w:w="1696" w:type="dxa"/>
            <w:tcBorders>
              <w:top w:val="nil" w:sz="6" w:space="0" w:color="auto"/>
              <w:left w:val="nil" w:sz="6" w:space="0" w:color="auto"/>
              <w:bottom w:val="single" w:sz="17" w:space="0" w:color="000000"/>
              <w:right w:val="nil" w:sz="6" w:space="0" w:color="auto"/>
            </w:tcBorders>
          </w:tcPr>
          <w:p>
            <w:pPr>
              <w:pStyle w:val="TableParagraph"/>
              <w:spacing w:line="240" w:lineRule="auto" w:before="156"/>
              <w:ind w:left="345" w:right="0"/>
              <w:jc w:val="left"/>
              <w:rPr>
                <w:rFonts w:ascii="Arial" w:hAnsi="Arial" w:cs="Arial" w:eastAsia="Arial" w:hint="default"/>
                <w:sz w:val="18"/>
                <w:szCs w:val="18"/>
              </w:rPr>
            </w:pPr>
            <w:r>
              <w:rPr>
                <w:rFonts w:ascii="Arial"/>
                <w:sz w:val="18"/>
              </w:rPr>
              <w:t>(220,245,368)</w:t>
            </w:r>
          </w:p>
        </w:tc>
        <w:tc>
          <w:tcPr>
            <w:tcW w:w="1361" w:type="dxa"/>
            <w:tcBorders>
              <w:top w:val="nil" w:sz="6" w:space="0" w:color="auto"/>
              <w:left w:val="nil" w:sz="6" w:space="0" w:color="auto"/>
              <w:bottom w:val="single" w:sz="17" w:space="0" w:color="000000"/>
              <w:right w:val="nil" w:sz="6" w:space="0" w:color="auto"/>
            </w:tcBorders>
          </w:tcPr>
          <w:p>
            <w:pPr>
              <w:pStyle w:val="TableParagraph"/>
              <w:spacing w:line="240" w:lineRule="auto" w:before="156"/>
              <w:ind w:right="8"/>
              <w:jc w:val="right"/>
              <w:rPr>
                <w:rFonts w:ascii="Arial" w:hAnsi="Arial" w:cs="Arial" w:eastAsia="Arial" w:hint="default"/>
                <w:sz w:val="18"/>
                <w:szCs w:val="18"/>
              </w:rPr>
            </w:pPr>
            <w:r>
              <w:rPr>
                <w:rFonts w:ascii="Arial"/>
                <w:spacing w:val="-2"/>
                <w:sz w:val="18"/>
              </w:rPr>
              <w:t>(281,021,677)</w:t>
            </w:r>
          </w:p>
        </w:tc>
        <w:tc>
          <w:tcPr>
            <w:tcW w:w="1776" w:type="dxa"/>
            <w:tcBorders>
              <w:top w:val="nil" w:sz="6" w:space="0" w:color="auto"/>
              <w:left w:val="nil" w:sz="6" w:space="0" w:color="auto"/>
              <w:bottom w:val="single" w:sz="17" w:space="0" w:color="000000"/>
              <w:right w:val="nil" w:sz="6" w:space="0" w:color="auto"/>
            </w:tcBorders>
          </w:tcPr>
          <w:p>
            <w:pPr>
              <w:pStyle w:val="TableParagraph"/>
              <w:spacing w:line="240" w:lineRule="auto" w:before="156"/>
              <w:ind w:right="9"/>
              <w:jc w:val="right"/>
              <w:rPr>
                <w:rFonts w:ascii="Arial" w:hAnsi="Arial" w:cs="Arial" w:eastAsia="Arial" w:hint="default"/>
                <w:sz w:val="18"/>
                <w:szCs w:val="18"/>
              </w:rPr>
            </w:pPr>
            <w:r>
              <w:rPr>
                <w:rFonts w:ascii="Arial"/>
                <w:spacing w:val="-2"/>
                <w:sz w:val="18"/>
              </w:rPr>
              <w:t>(2,723,796,222)</w:t>
            </w:r>
            <w:r>
              <w:rPr>
                <w:rFonts w:ascii="Arial"/>
                <w:sz w:val="18"/>
              </w:rPr>
            </w:r>
          </w:p>
        </w:tc>
      </w:tr>
    </w:tbl>
    <w:p>
      <w:pPr>
        <w:spacing w:line="240" w:lineRule="auto" w:before="10"/>
        <w:rPr>
          <w:rFonts w:ascii="宋体" w:hAnsi="宋体" w:cs="宋体" w:eastAsia="宋体" w:hint="default"/>
          <w:sz w:val="13"/>
          <w:szCs w:val="13"/>
        </w:rPr>
      </w:pPr>
    </w:p>
    <w:p>
      <w:pPr>
        <w:pStyle w:val="BodyText"/>
        <w:spacing w:line="288" w:lineRule="exact" w:before="59"/>
        <w:ind w:left="885" w:right="130" w:hanging="605"/>
        <w:jc w:val="left"/>
      </w:pPr>
      <w:r>
        <w:rPr/>
        <w:t>注</w:t>
      </w:r>
      <w:r>
        <w:rPr>
          <w:spacing w:val="-40"/>
        </w:rPr>
        <w:t> </w:t>
      </w:r>
      <w:r>
        <w:rPr>
          <w:rFonts w:ascii="Arial" w:hAnsi="Arial" w:cs="Arial" w:eastAsia="Arial" w:hint="default"/>
        </w:rPr>
        <w:t>1</w:t>
      </w:r>
      <w:r>
        <w:rPr/>
        <w:t>：如附注三</w:t>
      </w:r>
      <w:r>
        <w:rPr>
          <w:rFonts w:ascii="Arial" w:hAnsi="Arial" w:cs="Arial" w:eastAsia="Arial" w:hint="default"/>
        </w:rPr>
        <w:t>(18)</w:t>
      </w:r>
      <w:r>
        <w:rPr/>
        <w:t>所述，本集团的个别子公司向职工提供其他离退休后补充福利，该福利被视为设定受益计划。重新计量设定受益计划净负债所产</w:t>
      </w:r>
      <w:r>
        <w:rPr>
          <w:w w:val="100"/>
        </w:rPr>
        <w:t> </w:t>
      </w:r>
      <w:r>
        <w:rPr/>
        <w:t>生的变动使归属于母公司其他综合收益减少约人民币</w:t>
      </w:r>
      <w:r>
        <w:rPr>
          <w:spacing w:val="-55"/>
        </w:rPr>
        <w:t> </w:t>
      </w:r>
      <w:r>
        <w:rPr>
          <w:rFonts w:ascii="Arial" w:hAnsi="Arial" w:cs="Arial" w:eastAsia="Arial" w:hint="default"/>
        </w:rPr>
        <w:t>27</w:t>
      </w:r>
      <w:r>
        <w:rPr>
          <w:rFonts w:ascii="Arial" w:hAnsi="Arial" w:cs="Arial" w:eastAsia="Arial" w:hint="default"/>
          <w:spacing w:val="-4"/>
        </w:rPr>
        <w:t> </w:t>
      </w:r>
      <w:r>
        <w:rPr/>
        <w:t>万元（</w:t>
      </w:r>
      <w:r>
        <w:rPr>
          <w:rFonts w:ascii="Arial" w:hAnsi="Arial" w:cs="Arial" w:eastAsia="Arial" w:hint="default"/>
        </w:rPr>
        <w:t>2018</w:t>
      </w:r>
      <w:r>
        <w:rPr>
          <w:rFonts w:ascii="Arial" w:hAnsi="Arial" w:cs="Arial" w:eastAsia="Arial" w:hint="default"/>
          <w:spacing w:val="-8"/>
        </w:rPr>
        <w:t> </w:t>
      </w:r>
      <w:r>
        <w:rPr/>
        <w:t>年：减少约人民币</w:t>
      </w:r>
      <w:r>
        <w:rPr>
          <w:spacing w:val="-55"/>
        </w:rPr>
        <w:t> </w:t>
      </w:r>
      <w:r>
        <w:rPr>
          <w:rFonts w:ascii="Arial" w:hAnsi="Arial" w:cs="Arial" w:eastAsia="Arial" w:hint="default"/>
        </w:rPr>
        <w:t>363</w:t>
      </w:r>
      <w:r>
        <w:rPr>
          <w:rFonts w:ascii="Arial" w:hAnsi="Arial" w:cs="Arial" w:eastAsia="Arial" w:hint="default"/>
          <w:spacing w:val="-8"/>
        </w:rPr>
        <w:t> </w:t>
      </w:r>
      <w:r>
        <w:rPr/>
        <w:t>万元）。</w:t>
      </w:r>
    </w:p>
    <w:p>
      <w:pPr>
        <w:spacing w:line="240" w:lineRule="auto" w:before="0"/>
        <w:rPr>
          <w:rFonts w:ascii="宋体" w:hAnsi="宋体" w:cs="宋体" w:eastAsia="宋体" w:hint="default"/>
          <w:sz w:val="17"/>
          <w:szCs w:val="17"/>
        </w:rPr>
      </w:pPr>
    </w:p>
    <w:p>
      <w:pPr>
        <w:pStyle w:val="BodyText"/>
        <w:spacing w:line="293" w:lineRule="exact"/>
        <w:ind w:left="280" w:right="0"/>
        <w:jc w:val="left"/>
      </w:pPr>
      <w:r>
        <w:rPr/>
        <w:t>注 </w:t>
      </w:r>
      <w:r>
        <w:rPr>
          <w:rFonts w:ascii="Arial" w:hAnsi="Arial" w:cs="Arial" w:eastAsia="Arial" w:hint="default"/>
          <w:spacing w:val="-4"/>
        </w:rPr>
        <w:t>2</w:t>
      </w:r>
      <w:r>
        <w:rPr>
          <w:spacing w:val="-4"/>
        </w:rPr>
        <w:t>：如附注五</w:t>
      </w:r>
      <w:r>
        <w:rPr>
          <w:rFonts w:ascii="Arial" w:hAnsi="Arial" w:cs="Arial" w:eastAsia="Arial" w:hint="default"/>
          <w:spacing w:val="-4"/>
        </w:rPr>
        <w:t>(11)</w:t>
      </w:r>
      <w:r>
        <w:rPr>
          <w:spacing w:val="-4"/>
        </w:rPr>
        <w:t>所述，本公司所属子公司持有的其他权益工具产生的公允价值变动计入其他综合收益项下。根据本公司的持股比例，截至 </w:t>
      </w:r>
      <w:r>
        <w:rPr>
          <w:rFonts w:ascii="Arial" w:hAnsi="Arial" w:cs="Arial" w:eastAsia="Arial" w:hint="default"/>
        </w:rPr>
        <w:t>2019</w:t>
      </w:r>
      <w:r>
        <w:rPr>
          <w:rFonts w:ascii="Arial" w:hAnsi="Arial" w:cs="Arial" w:eastAsia="Arial" w:hint="default"/>
          <w:spacing w:val="-9"/>
        </w:rPr>
        <w:t> </w:t>
      </w:r>
      <w:r>
        <w:rPr/>
        <w:t>年</w:t>
      </w:r>
    </w:p>
    <w:p>
      <w:pPr>
        <w:pStyle w:val="BodyText"/>
        <w:spacing w:line="293" w:lineRule="exact"/>
        <w:ind w:left="938" w:right="0"/>
        <w:jc w:val="left"/>
      </w:pPr>
      <w:r>
        <w:rPr>
          <w:rFonts w:ascii="Arial" w:hAnsi="Arial" w:cs="Arial" w:eastAsia="Arial" w:hint="default"/>
        </w:rPr>
        <w:t>12</w:t>
      </w:r>
      <w:r>
        <w:rPr>
          <w:rFonts w:ascii="Arial" w:hAnsi="Arial" w:cs="Arial" w:eastAsia="Arial" w:hint="default"/>
          <w:spacing w:val="-8"/>
        </w:rPr>
        <w:t> </w:t>
      </w:r>
      <w:r>
        <w:rPr/>
        <w:t>月</w:t>
      </w:r>
      <w:r>
        <w:rPr>
          <w:spacing w:val="-59"/>
        </w:rPr>
        <w:t> </w:t>
      </w:r>
      <w:r>
        <w:rPr>
          <w:rFonts w:ascii="Arial" w:hAnsi="Arial" w:cs="Arial" w:eastAsia="Arial" w:hint="default"/>
        </w:rPr>
        <w:t>31</w:t>
      </w:r>
      <w:r>
        <w:rPr>
          <w:rFonts w:ascii="Arial" w:hAnsi="Arial" w:cs="Arial" w:eastAsia="Arial" w:hint="default"/>
          <w:spacing w:val="-8"/>
        </w:rPr>
        <w:t> </w:t>
      </w:r>
      <w:r>
        <w:rPr/>
        <w:t>日止期间，该其他权益工具公允价值变动减少归属于母公司其他综合收益约人民币</w:t>
      </w:r>
      <w:r>
        <w:rPr>
          <w:spacing w:val="-59"/>
        </w:rPr>
        <w:t> </w:t>
      </w:r>
      <w:r>
        <w:rPr>
          <w:rFonts w:ascii="Arial" w:hAnsi="Arial" w:cs="Arial" w:eastAsia="Arial" w:hint="default"/>
        </w:rPr>
        <w:t>2.55</w:t>
      </w:r>
      <w:r>
        <w:rPr>
          <w:rFonts w:ascii="Arial" w:hAnsi="Arial" w:cs="Arial" w:eastAsia="Arial" w:hint="default"/>
          <w:spacing w:val="-8"/>
        </w:rPr>
        <w:t> </w:t>
      </w:r>
      <w:r>
        <w:rPr>
          <w:spacing w:val="-7"/>
        </w:rPr>
        <w:t>亿元（</w:t>
      </w:r>
      <w:r>
        <w:rPr>
          <w:rFonts w:ascii="Arial" w:hAnsi="Arial" w:cs="Arial" w:eastAsia="Arial" w:hint="default"/>
          <w:spacing w:val="-7"/>
        </w:rPr>
        <w:t>2018</w:t>
      </w:r>
      <w:r>
        <w:rPr>
          <w:rFonts w:ascii="Arial" w:hAnsi="Arial" w:cs="Arial" w:eastAsia="Arial" w:hint="default"/>
          <w:spacing w:val="-8"/>
        </w:rPr>
        <w:t> </w:t>
      </w:r>
      <w:r>
        <w:rPr>
          <w:spacing w:val="-6"/>
        </w:rPr>
        <w:t>年：减少约人民币</w:t>
      </w:r>
      <w:r>
        <w:rPr>
          <w:spacing w:val="-59"/>
        </w:rPr>
        <w:t> </w:t>
      </w:r>
      <w:r>
        <w:rPr>
          <w:rFonts w:ascii="Arial" w:hAnsi="Arial" w:cs="Arial" w:eastAsia="Arial" w:hint="default"/>
        </w:rPr>
        <w:t>1.68</w:t>
      </w:r>
      <w:r>
        <w:rPr>
          <w:rFonts w:ascii="Arial" w:hAnsi="Arial" w:cs="Arial" w:eastAsia="Arial" w:hint="default"/>
          <w:spacing w:val="-8"/>
        </w:rPr>
        <w:t> </w:t>
      </w:r>
      <w:r>
        <w:rPr>
          <w:spacing w:val="-10"/>
        </w:rPr>
        <w:t>亿元）。</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0"/>
        <w:rPr>
          <w:rFonts w:ascii="宋体" w:hAnsi="宋体" w:cs="宋体" w:eastAsia="宋体" w:hint="default"/>
          <w:sz w:val="19"/>
          <w:szCs w:val="19"/>
        </w:rPr>
      </w:pPr>
    </w:p>
    <w:p>
      <w:pPr>
        <w:spacing w:before="0"/>
        <w:ind w:left="7176" w:right="6796" w:firstLine="0"/>
        <w:jc w:val="center"/>
        <w:rPr>
          <w:rFonts w:ascii="宋体" w:hAnsi="宋体" w:cs="宋体" w:eastAsia="宋体" w:hint="default"/>
          <w:sz w:val="16"/>
          <w:szCs w:val="16"/>
        </w:rPr>
      </w:pPr>
      <w:r>
        <w:rPr>
          <w:rFonts w:ascii="宋体" w:hAnsi="宋体" w:cs="宋体" w:eastAsia="宋体" w:hint="default"/>
          <w:sz w:val="16"/>
          <w:szCs w:val="16"/>
        </w:rPr>
        <w:t>162／220</w:t>
      </w:r>
    </w:p>
    <w:p>
      <w:pPr>
        <w:spacing w:after="0"/>
        <w:jc w:val="center"/>
        <w:rPr>
          <w:rFonts w:ascii="宋体" w:hAnsi="宋体" w:cs="宋体" w:eastAsia="宋体" w:hint="default"/>
          <w:sz w:val="16"/>
          <w:szCs w:val="16"/>
        </w:rPr>
        <w:sectPr>
          <w:headerReference w:type="default" r:id="rId191"/>
          <w:footerReference w:type="default" r:id="rId192"/>
          <w:pgSz w:w="16840" w:h="11910" w:orient="landscape"/>
          <w:pgMar w:header="0" w:footer="0" w:top="1100" w:bottom="280" w:left="900" w:right="1280"/>
        </w:sectPr>
      </w:pPr>
    </w:p>
    <w:p>
      <w:pPr>
        <w:spacing w:line="240" w:lineRule="auto" w:before="7"/>
        <w:rPr>
          <w:rFonts w:ascii="宋体" w:hAnsi="宋体" w:cs="宋体" w:eastAsia="宋体" w:hint="default"/>
          <w:sz w:val="16"/>
          <w:szCs w:val="16"/>
        </w:rPr>
      </w:pPr>
    </w:p>
    <w:p>
      <w:pPr>
        <w:pStyle w:val="BodyText"/>
        <w:spacing w:line="296" w:lineRule="exact" w:before="32"/>
        <w:ind w:left="112" w:right="0"/>
        <w:jc w:val="left"/>
      </w:pPr>
      <w:r>
        <w:rPr>
          <w:rFonts w:ascii="Arial" w:hAnsi="Arial" w:cs="Arial" w:eastAsia="Arial" w:hint="default"/>
        </w:rPr>
        <w:t>35</w:t>
      </w:r>
      <w:r>
        <w:rPr/>
        <w:t>、盈余公积</w:t>
      </w:r>
    </w:p>
    <w:p>
      <w:pPr>
        <w:pStyle w:val="BodyText"/>
        <w:spacing w:line="280" w:lineRule="exact"/>
        <w:ind w:left="559" w:right="0"/>
        <w:jc w:val="left"/>
        <w:rPr>
          <w:rFonts w:ascii="宋体" w:hAnsi="宋体" w:cs="宋体" w:eastAsia="宋体" w:hint="default"/>
        </w:rPr>
      </w:pPr>
      <w:r>
        <w:rPr>
          <w:rFonts w:ascii="宋体"/>
          <w:w w:val="100"/>
        </w:rPr>
        <w:t> </w:t>
      </w:r>
    </w:p>
    <w:p>
      <w:pPr>
        <w:spacing w:line="240" w:lineRule="auto" w:before="11"/>
        <w:rPr>
          <w:rFonts w:ascii="宋体" w:hAnsi="宋体" w:cs="宋体" w:eastAsia="宋体" w:hint="default"/>
          <w:sz w:val="4"/>
          <w:szCs w:val="4"/>
        </w:rPr>
      </w:pPr>
    </w:p>
    <w:tbl>
      <w:tblPr>
        <w:tblW w:w="0" w:type="auto"/>
        <w:jc w:val="left"/>
        <w:tblInd w:w="535" w:type="dxa"/>
        <w:tblLayout w:type="fixed"/>
        <w:tblCellMar>
          <w:top w:w="0" w:type="dxa"/>
          <w:left w:w="0" w:type="dxa"/>
          <w:bottom w:w="0" w:type="dxa"/>
          <w:right w:w="0" w:type="dxa"/>
        </w:tblCellMar>
        <w:tblLook w:val="01E0"/>
      </w:tblPr>
      <w:tblGrid>
        <w:gridCol w:w="1934"/>
        <w:gridCol w:w="1966"/>
        <w:gridCol w:w="1906"/>
        <w:gridCol w:w="1514"/>
        <w:gridCol w:w="1579"/>
      </w:tblGrid>
      <w:tr>
        <w:trPr>
          <w:trHeight w:val="547" w:hRule="exact"/>
        </w:trPr>
        <w:tc>
          <w:tcPr>
            <w:tcW w:w="1934" w:type="dxa"/>
            <w:tcBorders>
              <w:top w:val="nil" w:sz="6" w:space="0" w:color="auto"/>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31"/>
              <w:jc w:val="center"/>
              <w:rPr>
                <w:rFonts w:ascii="宋体" w:hAnsi="宋体" w:cs="宋体" w:eastAsia="宋体" w:hint="default"/>
                <w:sz w:val="22"/>
                <w:szCs w:val="22"/>
              </w:rPr>
            </w:pPr>
            <w:r>
              <w:rPr>
                <w:rFonts w:ascii="宋体" w:hAnsi="宋体" w:cs="宋体" w:eastAsia="宋体" w:hint="default"/>
                <w:sz w:val="22"/>
                <w:szCs w:val="22"/>
              </w:rPr>
              <w:t>项目</w:t>
            </w:r>
          </w:p>
        </w:tc>
        <w:tc>
          <w:tcPr>
            <w:tcW w:w="1966" w:type="dxa"/>
            <w:tcBorders>
              <w:top w:val="nil" w:sz="6" w:space="0" w:color="auto"/>
              <w:left w:val="nil" w:sz="6" w:space="0" w:color="auto"/>
              <w:bottom w:val="single" w:sz="6" w:space="0" w:color="000000"/>
              <w:right w:val="nil" w:sz="6" w:space="0" w:color="auto"/>
            </w:tcBorders>
          </w:tcPr>
          <w:p>
            <w:pPr>
              <w:pStyle w:val="TableParagraph"/>
              <w:spacing w:line="229" w:lineRule="exact"/>
              <w:ind w:left="936"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p>
            <w:pPr>
              <w:pStyle w:val="TableParagraph"/>
              <w:spacing w:line="296" w:lineRule="exact"/>
              <w:ind w:left="604" w:right="0"/>
              <w:jc w:val="left"/>
              <w:rPr>
                <w:rFonts w:ascii="宋体" w:hAnsi="宋体" w:cs="宋体" w:eastAsia="宋体" w:hint="default"/>
                <w:sz w:val="22"/>
                <w:szCs w:val="22"/>
              </w:rPr>
            </w:pP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1906" w:type="dxa"/>
            <w:tcBorders>
              <w:top w:val="nil" w:sz="6" w:space="0" w:color="auto"/>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456"/>
              <w:jc w:val="right"/>
              <w:rPr>
                <w:rFonts w:ascii="宋体" w:hAnsi="宋体" w:cs="宋体" w:eastAsia="宋体" w:hint="default"/>
                <w:sz w:val="22"/>
                <w:szCs w:val="22"/>
              </w:rPr>
            </w:pPr>
            <w:r>
              <w:rPr>
                <w:rFonts w:ascii="宋体" w:hAnsi="宋体" w:cs="宋体" w:eastAsia="宋体" w:hint="default"/>
                <w:sz w:val="22"/>
                <w:szCs w:val="22"/>
              </w:rPr>
              <w:t>本年增加</w:t>
            </w:r>
          </w:p>
        </w:tc>
        <w:tc>
          <w:tcPr>
            <w:tcW w:w="1514" w:type="dxa"/>
            <w:tcBorders>
              <w:top w:val="nil" w:sz="6" w:space="0" w:color="auto"/>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70"/>
              <w:jc w:val="right"/>
              <w:rPr>
                <w:rFonts w:ascii="宋体" w:hAnsi="宋体" w:cs="宋体" w:eastAsia="宋体" w:hint="default"/>
                <w:sz w:val="22"/>
                <w:szCs w:val="22"/>
              </w:rPr>
            </w:pPr>
            <w:r>
              <w:rPr>
                <w:rFonts w:ascii="宋体" w:hAnsi="宋体" w:cs="宋体" w:eastAsia="宋体" w:hint="default"/>
                <w:sz w:val="22"/>
                <w:szCs w:val="22"/>
              </w:rPr>
              <w:t>本年减少</w:t>
            </w:r>
          </w:p>
        </w:tc>
        <w:tc>
          <w:tcPr>
            <w:tcW w:w="1579" w:type="dxa"/>
            <w:tcBorders>
              <w:top w:val="nil" w:sz="6" w:space="0" w:color="auto"/>
              <w:left w:val="nil" w:sz="6" w:space="0" w:color="auto"/>
              <w:bottom w:val="single" w:sz="6" w:space="0" w:color="000000"/>
              <w:right w:val="nil" w:sz="6" w:space="0" w:color="auto"/>
            </w:tcBorders>
          </w:tcPr>
          <w:p>
            <w:pPr>
              <w:pStyle w:val="TableParagraph"/>
              <w:spacing w:line="229" w:lineRule="exact"/>
              <w:ind w:left="796"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p>
            <w:pPr>
              <w:pStyle w:val="TableParagraph"/>
              <w:spacing w:line="296" w:lineRule="exact"/>
              <w:ind w:left="465" w:right="0"/>
              <w:jc w:val="left"/>
              <w:rPr>
                <w:rFonts w:ascii="宋体" w:hAnsi="宋体" w:cs="宋体" w:eastAsia="宋体" w:hint="default"/>
                <w:sz w:val="22"/>
                <w:szCs w:val="22"/>
              </w:rPr>
            </w:pP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540" w:hRule="exact"/>
        </w:trPr>
        <w:tc>
          <w:tcPr>
            <w:tcW w:w="1934" w:type="dxa"/>
            <w:tcBorders>
              <w:top w:val="single" w:sz="6" w:space="0" w:color="000000"/>
              <w:left w:val="nil" w:sz="6" w:space="0" w:color="auto"/>
              <w:bottom w:val="nil" w:sz="6" w:space="0" w:color="auto"/>
              <w:right w:val="nil" w:sz="6" w:space="0" w:color="auto"/>
            </w:tcBorders>
          </w:tcPr>
          <w:p>
            <w:pPr>
              <w:pStyle w:val="TableParagraph"/>
              <w:spacing w:line="240" w:lineRule="auto" w:before="194"/>
              <w:ind w:left="14" w:right="0"/>
              <w:jc w:val="left"/>
              <w:rPr>
                <w:rFonts w:ascii="宋体" w:hAnsi="宋体" w:cs="宋体" w:eastAsia="宋体" w:hint="default"/>
                <w:sz w:val="22"/>
                <w:szCs w:val="22"/>
              </w:rPr>
            </w:pPr>
            <w:r>
              <w:rPr>
                <w:rFonts w:ascii="宋体" w:hAnsi="宋体" w:cs="宋体" w:eastAsia="宋体" w:hint="default"/>
                <w:sz w:val="22"/>
                <w:szCs w:val="22"/>
              </w:rPr>
              <w:t>法定盈余公积</w:t>
            </w:r>
          </w:p>
        </w:tc>
        <w:tc>
          <w:tcPr>
            <w:tcW w:w="1966" w:type="dxa"/>
            <w:tcBorders>
              <w:top w:val="single" w:sz="6" w:space="0" w:color="000000"/>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283" w:right="0"/>
              <w:jc w:val="left"/>
              <w:rPr>
                <w:rFonts w:ascii="Arial" w:hAnsi="Arial" w:cs="Arial" w:eastAsia="Arial" w:hint="default"/>
                <w:sz w:val="21"/>
                <w:szCs w:val="21"/>
              </w:rPr>
            </w:pPr>
            <w:r>
              <w:rPr>
                <w:rFonts w:ascii="Arial"/>
                <w:sz w:val="21"/>
              </w:rPr>
              <w:t>1,412,023,687</w:t>
            </w:r>
          </w:p>
        </w:tc>
        <w:tc>
          <w:tcPr>
            <w:tcW w:w="1906" w:type="dxa"/>
            <w:tcBorders>
              <w:top w:val="single" w:sz="6" w:space="0" w:color="000000"/>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481"/>
              <w:jc w:val="right"/>
              <w:rPr>
                <w:rFonts w:ascii="Arial" w:hAnsi="Arial" w:cs="Arial" w:eastAsia="Arial" w:hint="default"/>
                <w:sz w:val="21"/>
                <w:szCs w:val="21"/>
              </w:rPr>
            </w:pPr>
            <w:r>
              <w:rPr>
                <w:rFonts w:ascii="Arial"/>
                <w:spacing w:val="-2"/>
                <w:sz w:val="21"/>
              </w:rPr>
              <w:t>189,337,019</w:t>
            </w:r>
            <w:r>
              <w:rPr>
                <w:rFonts w:ascii="Arial"/>
                <w:sz w:val="21"/>
              </w:rPr>
            </w:r>
          </w:p>
        </w:tc>
        <w:tc>
          <w:tcPr>
            <w:tcW w:w="1514" w:type="dxa"/>
            <w:tcBorders>
              <w:top w:val="single" w:sz="6" w:space="0" w:color="000000"/>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206"/>
              <w:jc w:val="right"/>
              <w:rPr>
                <w:rFonts w:ascii="Arial" w:hAnsi="Arial" w:cs="Arial" w:eastAsia="Arial" w:hint="default"/>
                <w:sz w:val="21"/>
                <w:szCs w:val="21"/>
              </w:rPr>
            </w:pPr>
            <w:r>
              <w:rPr>
                <w:rFonts w:ascii="Arial"/>
                <w:w w:val="100"/>
                <w:sz w:val="21"/>
              </w:rPr>
              <w:t>-</w:t>
            </w:r>
          </w:p>
        </w:tc>
        <w:tc>
          <w:tcPr>
            <w:tcW w:w="1579" w:type="dxa"/>
            <w:tcBorders>
              <w:top w:val="single" w:sz="6" w:space="0" w:color="000000"/>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172" w:right="0"/>
              <w:jc w:val="left"/>
              <w:rPr>
                <w:rFonts w:ascii="Arial" w:hAnsi="Arial" w:cs="Arial" w:eastAsia="Arial" w:hint="default"/>
                <w:sz w:val="21"/>
                <w:szCs w:val="21"/>
              </w:rPr>
            </w:pPr>
            <w:r>
              <w:rPr>
                <w:rFonts w:ascii="Arial"/>
                <w:sz w:val="21"/>
              </w:rPr>
              <w:t>1,601,360,706</w:t>
            </w:r>
          </w:p>
        </w:tc>
      </w:tr>
    </w:tbl>
    <w:p>
      <w:pPr>
        <w:pStyle w:val="BodyText"/>
        <w:spacing w:line="249" w:lineRule="exact"/>
        <w:ind w:left="559" w:right="0"/>
        <w:jc w:val="both"/>
        <w:rPr>
          <w:rFonts w:ascii="宋体" w:hAnsi="宋体" w:cs="宋体" w:eastAsia="宋体" w:hint="default"/>
        </w:rPr>
      </w:pPr>
      <w:r>
        <w:rPr>
          <w:rFonts w:ascii="宋体"/>
          <w:w w:val="100"/>
        </w:rPr>
        <w:t> </w:t>
      </w:r>
    </w:p>
    <w:p>
      <w:pPr>
        <w:pStyle w:val="BodyText"/>
        <w:spacing w:line="232" w:lineRule="auto" w:before="5"/>
        <w:ind w:left="559" w:right="129"/>
        <w:jc w:val="both"/>
      </w:pPr>
      <w:r>
        <w:rPr>
          <w:spacing w:val="-4"/>
        </w:rPr>
        <w:t>根据《中华人民共和国公司法》及本公司《公司章程》，本公司于年度决算时按年度净利润的</w:t>
      </w:r>
      <w:r>
        <w:rPr>
          <w:spacing w:val="-51"/>
        </w:rPr>
        <w:t> </w:t>
      </w:r>
      <w:r>
        <w:rPr>
          <w:spacing w:val="-51"/>
        </w:rPr>
      </w:r>
      <w:r>
        <w:rPr>
          <w:rFonts w:ascii="Arial" w:hAnsi="Arial" w:cs="Arial" w:eastAsia="Arial" w:hint="default"/>
        </w:rPr>
        <w:t>10%</w:t>
      </w:r>
      <w:r>
        <w:rPr/>
        <w:t>提取法定盈余公积金。当法定盈余公积金累计额达到股本的</w:t>
      </w:r>
      <w:r>
        <w:rPr>
          <w:spacing w:val="-1"/>
        </w:rPr>
        <w:t> </w:t>
      </w:r>
      <w:r>
        <w:rPr>
          <w:rFonts w:ascii="Arial" w:hAnsi="Arial" w:cs="Arial" w:eastAsia="Arial" w:hint="default"/>
        </w:rPr>
        <w:t>50%</w:t>
      </w:r>
      <w:r>
        <w:rPr/>
        <w:t>以上时，可不再提取。</w:t>
      </w:r>
      <w:r>
        <w:rPr>
          <w:w w:val="100"/>
        </w:rPr>
        <w:t> </w:t>
      </w:r>
      <w:r>
        <w:rPr/>
        <w:t>法定盈余公积金经批准后可用于弥补亏损，或者增加股本。</w:t>
      </w:r>
    </w:p>
    <w:p>
      <w:pPr>
        <w:spacing w:line="240" w:lineRule="auto" w:before="2"/>
        <w:rPr>
          <w:rFonts w:ascii="宋体" w:hAnsi="宋体" w:cs="宋体" w:eastAsia="宋体" w:hint="default"/>
          <w:sz w:val="19"/>
          <w:szCs w:val="19"/>
        </w:rPr>
      </w:pPr>
    </w:p>
    <w:p>
      <w:pPr>
        <w:pStyle w:val="BodyText"/>
        <w:spacing w:line="240" w:lineRule="auto"/>
        <w:ind w:left="112" w:right="0"/>
        <w:jc w:val="left"/>
      </w:pPr>
      <w:r>
        <w:rPr>
          <w:rFonts w:ascii="Arial" w:hAnsi="Arial" w:cs="Arial" w:eastAsia="Arial" w:hint="default"/>
        </w:rPr>
        <w:t>36</w:t>
      </w:r>
      <w:r>
        <w:rPr/>
        <w:t>、未分配利润</w:t>
      </w:r>
    </w:p>
    <w:p>
      <w:pPr>
        <w:spacing w:line="240" w:lineRule="auto" w:before="12"/>
        <w:rPr>
          <w:rFonts w:ascii="宋体" w:hAnsi="宋体" w:cs="宋体" w:eastAsia="宋体" w:hint="default"/>
          <w:sz w:val="22"/>
          <w:szCs w:val="22"/>
        </w:rPr>
      </w:pPr>
    </w:p>
    <w:tbl>
      <w:tblPr>
        <w:tblW w:w="0" w:type="auto"/>
        <w:jc w:val="left"/>
        <w:tblInd w:w="387" w:type="dxa"/>
        <w:tblLayout w:type="fixed"/>
        <w:tblCellMar>
          <w:top w:w="0" w:type="dxa"/>
          <w:left w:w="0" w:type="dxa"/>
          <w:bottom w:w="0" w:type="dxa"/>
          <w:right w:w="0" w:type="dxa"/>
        </w:tblCellMar>
        <w:tblLook w:val="01E0"/>
      </w:tblPr>
      <w:tblGrid>
        <w:gridCol w:w="4832"/>
        <w:gridCol w:w="2126"/>
        <w:gridCol w:w="110"/>
        <w:gridCol w:w="2016"/>
      </w:tblGrid>
      <w:tr>
        <w:trPr>
          <w:trHeight w:val="249" w:hRule="exact"/>
        </w:trPr>
        <w:tc>
          <w:tcPr>
            <w:tcW w:w="4832" w:type="dxa"/>
            <w:tcBorders>
              <w:top w:val="nil" w:sz="6" w:space="0" w:color="auto"/>
              <w:left w:val="nil" w:sz="6" w:space="0" w:color="auto"/>
              <w:bottom w:val="nil" w:sz="6" w:space="0" w:color="auto"/>
              <w:right w:val="nil" w:sz="6" w:space="0" w:color="auto"/>
            </w:tcBorders>
          </w:tcPr>
          <w:p>
            <w:pPr/>
          </w:p>
        </w:tc>
        <w:tc>
          <w:tcPr>
            <w:tcW w:w="2126" w:type="dxa"/>
            <w:tcBorders>
              <w:top w:val="nil" w:sz="6" w:space="0" w:color="auto"/>
              <w:left w:val="nil" w:sz="6" w:space="0" w:color="auto"/>
              <w:bottom w:val="single" w:sz="4" w:space="0" w:color="000000"/>
              <w:right w:val="nil" w:sz="6" w:space="0" w:color="auto"/>
            </w:tcBorders>
          </w:tcPr>
          <w:p>
            <w:pPr>
              <w:pStyle w:val="TableParagraph"/>
              <w:spacing w:line="226" w:lineRule="exact"/>
              <w:ind w:left="196" w:right="0"/>
              <w:jc w:val="left"/>
              <w:rPr>
                <w:rFonts w:ascii="宋体" w:hAnsi="宋体" w:cs="宋体" w:eastAsia="宋体" w:hint="default"/>
                <w:sz w:val="21"/>
                <w:szCs w:val="21"/>
              </w:rPr>
            </w:pPr>
            <w:r>
              <w:rPr>
                <w:rFonts w:ascii="Arial" w:hAnsi="Arial" w:cs="Arial" w:eastAsia="Arial" w:hint="default"/>
                <w:spacing w:val="-3"/>
                <w:sz w:val="21"/>
                <w:szCs w:val="21"/>
              </w:rPr>
              <w:t>2019</w:t>
            </w:r>
            <w:r>
              <w:rPr>
                <w:rFonts w:ascii="Arial" w:hAnsi="Arial" w:cs="Arial" w:eastAsia="Arial"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Arial" w:hAnsi="Arial" w:cs="Arial" w:eastAsia="Arial" w:hint="default"/>
                <w:sz w:val="21"/>
                <w:szCs w:val="21"/>
              </w:rPr>
              <w:t>12</w:t>
            </w:r>
            <w:r>
              <w:rPr>
                <w:rFonts w:ascii="Arial" w:hAnsi="Arial" w:cs="Arial" w:eastAsia="Arial"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Arial" w:hAnsi="Arial" w:cs="Arial" w:eastAsia="Arial" w:hint="default"/>
                <w:sz w:val="21"/>
                <w:szCs w:val="21"/>
              </w:rPr>
              <w:t>31</w:t>
            </w:r>
            <w:r>
              <w:rPr>
                <w:rFonts w:ascii="Arial" w:hAnsi="Arial" w:cs="Arial" w:eastAsia="Arial" w:hint="default"/>
                <w:spacing w:val="-6"/>
                <w:sz w:val="21"/>
                <w:szCs w:val="21"/>
              </w:rPr>
              <w:t> </w:t>
            </w:r>
            <w:r>
              <w:rPr>
                <w:rFonts w:ascii="宋体" w:hAnsi="宋体" w:cs="宋体" w:eastAsia="宋体" w:hint="default"/>
                <w:sz w:val="21"/>
                <w:szCs w:val="21"/>
              </w:rPr>
              <w:t>日</w:t>
            </w:r>
          </w:p>
        </w:tc>
        <w:tc>
          <w:tcPr>
            <w:tcW w:w="110" w:type="dxa"/>
            <w:tcBorders>
              <w:top w:val="nil" w:sz="6" w:space="0" w:color="auto"/>
              <w:left w:val="nil" w:sz="6" w:space="0" w:color="auto"/>
              <w:bottom w:val="nil" w:sz="6" w:space="0" w:color="auto"/>
              <w:right w:val="nil" w:sz="6" w:space="0" w:color="auto"/>
            </w:tcBorders>
          </w:tcPr>
          <w:p>
            <w:pPr/>
          </w:p>
        </w:tc>
        <w:tc>
          <w:tcPr>
            <w:tcW w:w="2016" w:type="dxa"/>
            <w:tcBorders>
              <w:top w:val="nil" w:sz="6" w:space="0" w:color="auto"/>
              <w:left w:val="nil" w:sz="6" w:space="0" w:color="auto"/>
              <w:bottom w:val="single" w:sz="4" w:space="0" w:color="000000"/>
              <w:right w:val="nil" w:sz="6" w:space="0" w:color="auto"/>
            </w:tcBorders>
          </w:tcPr>
          <w:p>
            <w:pPr>
              <w:pStyle w:val="TableParagraph"/>
              <w:spacing w:line="226" w:lineRule="exact"/>
              <w:ind w:left="43" w:right="0"/>
              <w:jc w:val="left"/>
              <w:rPr>
                <w:rFonts w:ascii="宋体" w:hAnsi="宋体" w:cs="宋体" w:eastAsia="宋体" w:hint="default"/>
                <w:sz w:val="21"/>
                <w:szCs w:val="21"/>
              </w:rPr>
            </w:pPr>
            <w:r>
              <w:rPr>
                <w:rFonts w:ascii="Arial" w:hAnsi="Arial" w:cs="Arial" w:eastAsia="Arial" w:hint="default"/>
                <w:spacing w:val="-3"/>
                <w:sz w:val="21"/>
                <w:szCs w:val="21"/>
              </w:rPr>
              <w:t>2018</w:t>
            </w:r>
            <w:r>
              <w:rPr>
                <w:rFonts w:ascii="Arial" w:hAnsi="Arial" w:cs="Arial" w:eastAsia="Arial"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Arial" w:hAnsi="Arial" w:cs="Arial" w:eastAsia="Arial" w:hint="default"/>
                <w:sz w:val="21"/>
                <w:szCs w:val="21"/>
              </w:rPr>
              <w:t>12</w:t>
            </w:r>
            <w:r>
              <w:rPr>
                <w:rFonts w:ascii="Arial" w:hAnsi="Arial" w:cs="Arial" w:eastAsia="Arial"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Arial" w:hAnsi="Arial" w:cs="Arial" w:eastAsia="Arial" w:hint="default"/>
                <w:sz w:val="21"/>
                <w:szCs w:val="21"/>
              </w:rPr>
              <w:t>31</w:t>
            </w:r>
            <w:r>
              <w:rPr>
                <w:rFonts w:ascii="Arial" w:hAnsi="Arial" w:cs="Arial" w:eastAsia="Arial" w:hint="default"/>
                <w:spacing w:val="-6"/>
                <w:sz w:val="21"/>
                <w:szCs w:val="21"/>
              </w:rPr>
              <w:t> </w:t>
            </w:r>
            <w:r>
              <w:rPr>
                <w:rFonts w:ascii="宋体" w:hAnsi="宋体" w:cs="宋体" w:eastAsia="宋体" w:hint="default"/>
                <w:sz w:val="21"/>
                <w:szCs w:val="21"/>
              </w:rPr>
              <w:t>日</w:t>
            </w:r>
          </w:p>
        </w:tc>
      </w:tr>
      <w:tr>
        <w:trPr>
          <w:trHeight w:val="544" w:hRule="exact"/>
        </w:trPr>
        <w:tc>
          <w:tcPr>
            <w:tcW w:w="483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214" w:right="0"/>
              <w:jc w:val="left"/>
              <w:rPr>
                <w:rFonts w:ascii="宋体" w:hAnsi="宋体" w:cs="宋体" w:eastAsia="宋体" w:hint="default"/>
                <w:sz w:val="21"/>
                <w:szCs w:val="21"/>
              </w:rPr>
            </w:pPr>
            <w:r>
              <w:rPr>
                <w:rFonts w:ascii="宋体" w:hAnsi="宋体" w:cs="宋体" w:eastAsia="宋体" w:hint="default"/>
                <w:sz w:val="21"/>
                <w:szCs w:val="21"/>
              </w:rPr>
              <w:t>调整前年初未分配利润</w:t>
            </w:r>
          </w:p>
        </w:tc>
        <w:tc>
          <w:tcPr>
            <w:tcW w:w="2126"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75"/>
              <w:jc w:val="right"/>
              <w:rPr>
                <w:rFonts w:ascii="Arial" w:hAnsi="Arial" w:cs="Arial" w:eastAsia="Arial" w:hint="default"/>
                <w:sz w:val="21"/>
                <w:szCs w:val="21"/>
              </w:rPr>
            </w:pPr>
            <w:r>
              <w:rPr>
                <w:rFonts w:ascii="Arial"/>
                <w:spacing w:val="-2"/>
                <w:sz w:val="21"/>
              </w:rPr>
              <w:t>33,452,065,245</w:t>
            </w:r>
            <w:r>
              <w:rPr>
                <w:rFonts w:ascii="Arial"/>
                <w:sz w:val="21"/>
              </w:rPr>
            </w:r>
          </w:p>
        </w:tc>
        <w:tc>
          <w:tcPr>
            <w:tcW w:w="110" w:type="dxa"/>
            <w:tcBorders>
              <w:top w:val="nil" w:sz="6" w:space="0" w:color="auto"/>
              <w:left w:val="nil" w:sz="6" w:space="0" w:color="auto"/>
              <w:bottom w:val="nil" w:sz="6" w:space="0" w:color="auto"/>
              <w:right w:val="nil" w:sz="6" w:space="0" w:color="auto"/>
            </w:tcBorders>
          </w:tcPr>
          <w:p>
            <w:pPr/>
          </w:p>
        </w:tc>
        <w:tc>
          <w:tcPr>
            <w:tcW w:w="2016"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80"/>
              <w:jc w:val="right"/>
              <w:rPr>
                <w:rFonts w:ascii="Arial" w:hAnsi="Arial" w:cs="Arial" w:eastAsia="Arial" w:hint="default"/>
                <w:sz w:val="21"/>
                <w:szCs w:val="21"/>
              </w:rPr>
            </w:pPr>
            <w:r>
              <w:rPr>
                <w:rFonts w:ascii="Arial"/>
                <w:spacing w:val="-2"/>
                <w:sz w:val="21"/>
              </w:rPr>
              <w:t>29,773,369,882</w:t>
            </w:r>
            <w:r>
              <w:rPr>
                <w:rFonts w:ascii="Arial"/>
                <w:sz w:val="21"/>
              </w:rPr>
            </w:r>
          </w:p>
        </w:tc>
      </w:tr>
      <w:tr>
        <w:trPr>
          <w:trHeight w:val="427" w:hRule="exact"/>
        </w:trPr>
        <w:tc>
          <w:tcPr>
            <w:tcW w:w="4832" w:type="dxa"/>
            <w:tcBorders>
              <w:top w:val="nil" w:sz="6" w:space="0" w:color="auto"/>
              <w:left w:val="nil" w:sz="6" w:space="0" w:color="auto"/>
              <w:bottom w:val="nil" w:sz="6" w:space="0" w:color="auto"/>
              <w:right w:val="nil" w:sz="6" w:space="0" w:color="auto"/>
            </w:tcBorders>
          </w:tcPr>
          <w:p>
            <w:pPr>
              <w:pStyle w:val="TableParagraph"/>
              <w:spacing w:line="230" w:lineRule="exact"/>
              <w:ind w:left="214" w:right="0"/>
              <w:jc w:val="left"/>
              <w:rPr>
                <w:rFonts w:ascii="宋体" w:hAnsi="宋体" w:cs="宋体" w:eastAsia="宋体" w:hint="default"/>
                <w:sz w:val="21"/>
                <w:szCs w:val="21"/>
              </w:rPr>
            </w:pPr>
            <w:r>
              <w:rPr>
                <w:rFonts w:ascii="宋体" w:hAnsi="宋体" w:cs="宋体" w:eastAsia="宋体" w:hint="default"/>
                <w:sz w:val="21"/>
                <w:szCs w:val="21"/>
              </w:rPr>
              <w:t>调整年初未分配利润合计数</w:t>
            </w:r>
          </w:p>
        </w:tc>
        <w:tc>
          <w:tcPr>
            <w:tcW w:w="2126" w:type="dxa"/>
            <w:tcBorders>
              <w:top w:val="nil" w:sz="6" w:space="0" w:color="auto"/>
              <w:left w:val="nil" w:sz="6" w:space="0" w:color="auto"/>
              <w:bottom w:val="nil" w:sz="6" w:space="0" w:color="auto"/>
              <w:right w:val="nil" w:sz="6" w:space="0" w:color="auto"/>
            </w:tcBorders>
          </w:tcPr>
          <w:p>
            <w:pPr>
              <w:pStyle w:val="TableParagraph"/>
              <w:tabs>
                <w:tab w:pos="815" w:val="left" w:leader="none"/>
              </w:tabs>
              <w:spacing w:line="240" w:lineRule="auto" w:before="22"/>
              <w:ind w:right="7"/>
              <w:jc w:val="right"/>
              <w:rPr>
                <w:rFonts w:ascii="Arial" w:hAnsi="Arial" w:cs="Arial" w:eastAsia="Arial" w:hint="default"/>
                <w:sz w:val="21"/>
                <w:szCs w:val="21"/>
              </w:rPr>
            </w:pPr>
            <w:r>
              <w:rPr>
                <w:rFonts w:ascii="Arial"/>
                <w:w w:val="100"/>
                <w:sz w:val="21"/>
              </w:rPr>
            </w:r>
            <w:r>
              <w:rPr>
                <w:rFonts w:ascii="Arial"/>
                <w:w w:val="100"/>
                <w:sz w:val="21"/>
                <w:u w:val="single" w:color="000000"/>
              </w:rPr>
              <w:t> </w:t>
            </w:r>
            <w:r>
              <w:rPr>
                <w:rFonts w:ascii="Arial"/>
                <w:sz w:val="21"/>
                <w:u w:val="single" w:color="000000"/>
              </w:rPr>
              <w:tab/>
            </w:r>
            <w:r>
              <w:rPr>
                <w:rFonts w:ascii="Arial"/>
                <w:spacing w:val="-2"/>
                <w:sz w:val="21"/>
                <w:u w:val="single" w:color="000000"/>
              </w:rPr>
              <w:t>(471,942,962)</w:t>
            </w:r>
            <w:r>
              <w:rPr>
                <w:rFonts w:ascii="Arial"/>
                <w:spacing w:val="-2"/>
                <w:sz w:val="21"/>
              </w:rPr>
            </w:r>
            <w:r>
              <w:rPr>
                <w:rFonts w:ascii="Arial"/>
                <w:sz w:val="21"/>
              </w:rPr>
            </w:r>
          </w:p>
        </w:tc>
        <w:tc>
          <w:tcPr>
            <w:tcW w:w="110" w:type="dxa"/>
            <w:tcBorders>
              <w:top w:val="nil" w:sz="6" w:space="0" w:color="auto"/>
              <w:left w:val="nil" w:sz="6" w:space="0" w:color="auto"/>
              <w:bottom w:val="nil" w:sz="6" w:space="0" w:color="auto"/>
              <w:right w:val="nil" w:sz="6" w:space="0" w:color="auto"/>
            </w:tcBorders>
          </w:tcPr>
          <w:p>
            <w:pPr/>
          </w:p>
        </w:tc>
        <w:tc>
          <w:tcPr>
            <w:tcW w:w="2016" w:type="dxa"/>
            <w:tcBorders>
              <w:top w:val="nil" w:sz="6" w:space="0" w:color="auto"/>
              <w:left w:val="nil" w:sz="6" w:space="0" w:color="auto"/>
              <w:bottom w:val="nil" w:sz="6" w:space="0" w:color="auto"/>
              <w:right w:val="nil" w:sz="6" w:space="0" w:color="auto"/>
            </w:tcBorders>
          </w:tcPr>
          <w:p>
            <w:pPr>
              <w:pStyle w:val="TableParagraph"/>
              <w:tabs>
                <w:tab w:pos="772" w:val="left" w:leader="none"/>
                <w:tab w:pos="2015" w:val="left" w:leader="none"/>
              </w:tabs>
              <w:spacing w:line="240" w:lineRule="auto" w:before="22"/>
              <w:ind w:right="0"/>
              <w:jc w:val="right"/>
              <w:rPr>
                <w:rFonts w:ascii="Arial" w:hAnsi="Arial" w:cs="Arial" w:eastAsia="Arial" w:hint="default"/>
                <w:sz w:val="21"/>
                <w:szCs w:val="21"/>
              </w:rPr>
            </w:pPr>
            <w:r>
              <w:rPr>
                <w:rFonts w:ascii="Arial"/>
                <w:w w:val="100"/>
                <w:sz w:val="21"/>
              </w:rPr>
            </w:r>
            <w:r>
              <w:rPr>
                <w:rFonts w:ascii="Arial"/>
                <w:w w:val="100"/>
                <w:sz w:val="21"/>
                <w:u w:val="single" w:color="000000"/>
              </w:rPr>
              <w:t> </w:t>
            </w:r>
            <w:r>
              <w:rPr>
                <w:rFonts w:ascii="Arial"/>
                <w:sz w:val="21"/>
                <w:u w:val="single" w:color="000000"/>
              </w:rPr>
              <w:tab/>
            </w:r>
            <w:r>
              <w:rPr>
                <w:rFonts w:ascii="Arial"/>
                <w:spacing w:val="-2"/>
                <w:sz w:val="21"/>
                <w:u w:val="single" w:color="000000"/>
              </w:rPr>
              <w:t>394,216,131</w:t>
              <w:tab/>
            </w:r>
            <w:r>
              <w:rPr>
                <w:rFonts w:ascii="Arial"/>
                <w:spacing w:val="-2"/>
                <w:sz w:val="21"/>
              </w:rPr>
            </w:r>
          </w:p>
        </w:tc>
      </w:tr>
      <w:tr>
        <w:trPr>
          <w:trHeight w:val="427" w:hRule="exact"/>
        </w:trPr>
        <w:tc>
          <w:tcPr>
            <w:tcW w:w="4832"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200" w:right="0"/>
              <w:jc w:val="left"/>
              <w:rPr>
                <w:rFonts w:ascii="宋体" w:hAnsi="宋体" w:cs="宋体" w:eastAsia="宋体" w:hint="default"/>
                <w:sz w:val="21"/>
                <w:szCs w:val="21"/>
              </w:rPr>
            </w:pPr>
            <w:r>
              <w:rPr>
                <w:rFonts w:ascii="宋体" w:hAnsi="宋体" w:cs="宋体" w:eastAsia="宋体" w:hint="default"/>
                <w:sz w:val="21"/>
                <w:szCs w:val="21"/>
              </w:rPr>
              <w:t>调整后年初未分配利润</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171"/>
              <w:ind w:right="75"/>
              <w:jc w:val="right"/>
              <w:rPr>
                <w:rFonts w:ascii="Arial" w:hAnsi="Arial" w:cs="Arial" w:eastAsia="Arial" w:hint="default"/>
                <w:sz w:val="21"/>
                <w:szCs w:val="21"/>
              </w:rPr>
            </w:pPr>
            <w:r>
              <w:rPr>
                <w:rFonts w:ascii="Arial"/>
                <w:spacing w:val="-2"/>
                <w:sz w:val="21"/>
              </w:rPr>
              <w:t>32,980,122,283</w:t>
            </w:r>
            <w:r>
              <w:rPr>
                <w:rFonts w:ascii="Arial"/>
                <w:sz w:val="21"/>
              </w:rPr>
            </w:r>
          </w:p>
        </w:tc>
        <w:tc>
          <w:tcPr>
            <w:tcW w:w="110" w:type="dxa"/>
            <w:tcBorders>
              <w:top w:val="nil" w:sz="6" w:space="0" w:color="auto"/>
              <w:left w:val="nil" w:sz="6" w:space="0" w:color="auto"/>
              <w:bottom w:val="nil" w:sz="6" w:space="0" w:color="auto"/>
              <w:right w:val="nil" w:sz="6" w:space="0" w:color="auto"/>
            </w:tcBorders>
          </w:tcPr>
          <w:p>
            <w:pP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71"/>
              <w:ind w:right="80"/>
              <w:jc w:val="right"/>
              <w:rPr>
                <w:rFonts w:ascii="Arial" w:hAnsi="Arial" w:cs="Arial" w:eastAsia="Arial" w:hint="default"/>
                <w:sz w:val="21"/>
                <w:szCs w:val="21"/>
              </w:rPr>
            </w:pPr>
            <w:r>
              <w:rPr>
                <w:rFonts w:ascii="Arial"/>
                <w:spacing w:val="-2"/>
                <w:sz w:val="21"/>
              </w:rPr>
              <w:t>30,167,586,013</w:t>
            </w:r>
            <w:r>
              <w:rPr>
                <w:rFonts w:ascii="Arial"/>
                <w:sz w:val="21"/>
              </w:rPr>
            </w:r>
          </w:p>
        </w:tc>
      </w:tr>
      <w:tr>
        <w:trPr>
          <w:trHeight w:val="276" w:hRule="exact"/>
        </w:trPr>
        <w:tc>
          <w:tcPr>
            <w:tcW w:w="4832" w:type="dxa"/>
            <w:tcBorders>
              <w:top w:val="nil" w:sz="6" w:space="0" w:color="auto"/>
              <w:left w:val="nil" w:sz="6" w:space="0" w:color="auto"/>
              <w:bottom w:val="nil" w:sz="6" w:space="0" w:color="auto"/>
              <w:right w:val="nil" w:sz="6" w:space="0" w:color="auto"/>
            </w:tcBorders>
          </w:tcPr>
          <w:p>
            <w:pPr>
              <w:pStyle w:val="TableParagraph"/>
              <w:spacing w:line="230" w:lineRule="exact"/>
              <w:ind w:left="200" w:right="0"/>
              <w:jc w:val="left"/>
              <w:rPr>
                <w:rFonts w:ascii="宋体" w:hAnsi="宋体" w:cs="宋体" w:eastAsia="宋体" w:hint="default"/>
                <w:sz w:val="21"/>
                <w:szCs w:val="21"/>
              </w:rPr>
            </w:pPr>
            <w:r>
              <w:rPr>
                <w:rFonts w:ascii="宋体" w:hAnsi="宋体" w:cs="宋体" w:eastAsia="宋体" w:hint="default"/>
                <w:sz w:val="21"/>
                <w:szCs w:val="21"/>
              </w:rPr>
              <w:t>加：本年归属于母公司股东的净利润</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right"/>
              <w:rPr>
                <w:rFonts w:ascii="Arial" w:hAnsi="Arial" w:cs="Arial" w:eastAsia="Arial" w:hint="default"/>
                <w:sz w:val="21"/>
                <w:szCs w:val="21"/>
              </w:rPr>
            </w:pPr>
            <w:r>
              <w:rPr>
                <w:rFonts w:ascii="Arial"/>
                <w:spacing w:val="-2"/>
                <w:sz w:val="21"/>
              </w:rPr>
              <w:t>4,982,083,711</w:t>
            </w:r>
          </w:p>
        </w:tc>
        <w:tc>
          <w:tcPr>
            <w:tcW w:w="110" w:type="dxa"/>
            <w:tcBorders>
              <w:top w:val="nil" w:sz="6" w:space="0" w:color="auto"/>
              <w:left w:val="nil" w:sz="6" w:space="0" w:color="auto"/>
              <w:bottom w:val="nil" w:sz="6" w:space="0" w:color="auto"/>
              <w:right w:val="nil" w:sz="6" w:space="0" w:color="auto"/>
            </w:tcBorders>
          </w:tcPr>
          <w:p>
            <w:pP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right"/>
              <w:rPr>
                <w:rFonts w:ascii="Arial" w:hAnsi="Arial" w:cs="Arial" w:eastAsia="Arial" w:hint="default"/>
                <w:sz w:val="21"/>
                <w:szCs w:val="21"/>
              </w:rPr>
            </w:pPr>
            <w:r>
              <w:rPr>
                <w:rFonts w:ascii="Arial"/>
                <w:spacing w:val="-2"/>
                <w:sz w:val="21"/>
              </w:rPr>
              <w:t>4,080,771,727</w:t>
            </w:r>
          </w:p>
        </w:tc>
      </w:tr>
      <w:tr>
        <w:trPr>
          <w:trHeight w:val="274" w:hRule="exact"/>
        </w:trPr>
        <w:tc>
          <w:tcPr>
            <w:tcW w:w="4832" w:type="dxa"/>
            <w:tcBorders>
              <w:top w:val="nil" w:sz="6" w:space="0" w:color="auto"/>
              <w:left w:val="nil" w:sz="6" w:space="0" w:color="auto"/>
              <w:bottom w:val="nil" w:sz="6" w:space="0" w:color="auto"/>
              <w:right w:val="nil" w:sz="6" w:space="0" w:color="auto"/>
            </w:tcBorders>
          </w:tcPr>
          <w:p>
            <w:pPr>
              <w:pStyle w:val="TableParagraph"/>
              <w:spacing w:line="227" w:lineRule="exact"/>
              <w:ind w:left="200"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7"/>
              <w:jc w:val="right"/>
              <w:rPr>
                <w:rFonts w:ascii="Arial" w:hAnsi="Arial" w:cs="Arial" w:eastAsia="Arial" w:hint="default"/>
                <w:sz w:val="21"/>
                <w:szCs w:val="21"/>
              </w:rPr>
            </w:pPr>
            <w:r>
              <w:rPr>
                <w:rFonts w:ascii="Arial"/>
                <w:spacing w:val="-2"/>
                <w:sz w:val="21"/>
              </w:rPr>
              <w:t>(189,337,019)</w:t>
            </w:r>
            <w:r>
              <w:rPr>
                <w:rFonts w:ascii="Arial"/>
                <w:sz w:val="21"/>
              </w:rPr>
            </w:r>
          </w:p>
        </w:tc>
        <w:tc>
          <w:tcPr>
            <w:tcW w:w="110" w:type="dxa"/>
            <w:tcBorders>
              <w:top w:val="nil" w:sz="6" w:space="0" w:color="auto"/>
              <w:left w:val="nil" w:sz="6" w:space="0" w:color="auto"/>
              <w:bottom w:val="nil" w:sz="6" w:space="0" w:color="auto"/>
              <w:right w:val="nil" w:sz="6" w:space="0" w:color="auto"/>
            </w:tcBorders>
          </w:tcPr>
          <w:p>
            <w:pP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2"/>
              <w:jc w:val="right"/>
              <w:rPr>
                <w:rFonts w:ascii="Arial" w:hAnsi="Arial" w:cs="Arial" w:eastAsia="Arial" w:hint="default"/>
                <w:sz w:val="21"/>
                <w:szCs w:val="21"/>
              </w:rPr>
            </w:pPr>
            <w:r>
              <w:rPr>
                <w:rFonts w:ascii="Arial"/>
                <w:spacing w:val="-3"/>
                <w:sz w:val="21"/>
              </w:rPr>
              <w:t>(73,539,493)</w:t>
            </w:r>
            <w:r>
              <w:rPr>
                <w:rFonts w:ascii="Arial"/>
                <w:sz w:val="21"/>
              </w:rPr>
            </w:r>
          </w:p>
        </w:tc>
      </w:tr>
      <w:tr>
        <w:trPr>
          <w:trHeight w:val="274" w:hRule="exact"/>
        </w:trPr>
        <w:tc>
          <w:tcPr>
            <w:tcW w:w="4832" w:type="dxa"/>
            <w:tcBorders>
              <w:top w:val="nil" w:sz="6" w:space="0" w:color="auto"/>
              <w:left w:val="nil" w:sz="6" w:space="0" w:color="auto"/>
              <w:bottom w:val="nil" w:sz="6" w:space="0" w:color="auto"/>
              <w:right w:val="nil" w:sz="6" w:space="0" w:color="auto"/>
            </w:tcBorders>
          </w:tcPr>
          <w:p>
            <w:pPr>
              <w:pStyle w:val="TableParagraph"/>
              <w:spacing w:line="227" w:lineRule="exact"/>
              <w:ind w:left="636" w:right="0"/>
              <w:jc w:val="left"/>
              <w:rPr>
                <w:rFonts w:ascii="宋体" w:hAnsi="宋体" w:cs="宋体" w:eastAsia="宋体" w:hint="default"/>
                <w:sz w:val="21"/>
                <w:szCs w:val="21"/>
              </w:rPr>
            </w:pPr>
            <w:r>
              <w:rPr>
                <w:rFonts w:ascii="宋体" w:hAnsi="宋体" w:cs="宋体" w:eastAsia="宋体" w:hint="default"/>
                <w:sz w:val="21"/>
                <w:szCs w:val="21"/>
              </w:rPr>
              <w:t>提取一般风险准备</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2"/>
              <w:jc w:val="right"/>
              <w:rPr>
                <w:rFonts w:ascii="Arial" w:hAnsi="Arial" w:cs="Arial" w:eastAsia="Arial" w:hint="default"/>
                <w:sz w:val="21"/>
                <w:szCs w:val="21"/>
              </w:rPr>
            </w:pPr>
            <w:r>
              <w:rPr>
                <w:rFonts w:ascii="Arial"/>
                <w:spacing w:val="-3"/>
                <w:sz w:val="21"/>
              </w:rPr>
              <w:t>(94,980,072)</w:t>
            </w:r>
            <w:r>
              <w:rPr>
                <w:rFonts w:ascii="Arial"/>
                <w:sz w:val="21"/>
              </w:rPr>
            </w:r>
          </w:p>
        </w:tc>
        <w:tc>
          <w:tcPr>
            <w:tcW w:w="110" w:type="dxa"/>
            <w:tcBorders>
              <w:top w:val="nil" w:sz="6" w:space="0" w:color="auto"/>
              <w:left w:val="nil" w:sz="6" w:space="0" w:color="auto"/>
              <w:bottom w:val="nil" w:sz="6" w:space="0" w:color="auto"/>
              <w:right w:val="nil" w:sz="6" w:space="0" w:color="auto"/>
            </w:tcBorders>
          </w:tcPr>
          <w:p>
            <w:pP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7"/>
              <w:jc w:val="right"/>
              <w:rPr>
                <w:rFonts w:ascii="Arial" w:hAnsi="Arial" w:cs="Arial" w:eastAsia="Arial" w:hint="default"/>
                <w:sz w:val="21"/>
                <w:szCs w:val="21"/>
              </w:rPr>
            </w:pPr>
            <w:r>
              <w:rPr>
                <w:rFonts w:ascii="Arial"/>
                <w:spacing w:val="-2"/>
                <w:sz w:val="21"/>
              </w:rPr>
              <w:t>(108,402,331)</w:t>
            </w:r>
            <w:r>
              <w:rPr>
                <w:rFonts w:ascii="Arial"/>
                <w:sz w:val="21"/>
              </w:rPr>
            </w:r>
          </w:p>
        </w:tc>
      </w:tr>
      <w:tr>
        <w:trPr>
          <w:trHeight w:val="281" w:hRule="exact"/>
        </w:trPr>
        <w:tc>
          <w:tcPr>
            <w:tcW w:w="4832" w:type="dxa"/>
            <w:tcBorders>
              <w:top w:val="nil" w:sz="6" w:space="0" w:color="auto"/>
              <w:left w:val="nil" w:sz="6" w:space="0" w:color="auto"/>
              <w:bottom w:val="nil" w:sz="6" w:space="0" w:color="auto"/>
              <w:right w:val="nil" w:sz="6" w:space="0" w:color="auto"/>
            </w:tcBorders>
          </w:tcPr>
          <w:p>
            <w:pPr>
              <w:pStyle w:val="TableParagraph"/>
              <w:spacing w:line="227" w:lineRule="exact"/>
              <w:ind w:left="636"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2126" w:type="dxa"/>
            <w:tcBorders>
              <w:top w:val="nil" w:sz="6" w:space="0" w:color="auto"/>
              <w:left w:val="nil" w:sz="6" w:space="0" w:color="auto"/>
              <w:bottom w:val="nil" w:sz="6" w:space="0" w:color="auto"/>
              <w:right w:val="nil" w:sz="6" w:space="0" w:color="auto"/>
            </w:tcBorders>
          </w:tcPr>
          <w:p>
            <w:pPr>
              <w:pStyle w:val="TableParagraph"/>
              <w:tabs>
                <w:tab w:pos="643" w:val="left" w:leader="none"/>
              </w:tabs>
              <w:spacing w:line="240" w:lineRule="auto" w:before="15"/>
              <w:ind w:right="7"/>
              <w:jc w:val="right"/>
              <w:rPr>
                <w:rFonts w:ascii="Arial" w:hAnsi="Arial" w:cs="Arial" w:eastAsia="Arial" w:hint="default"/>
                <w:sz w:val="21"/>
                <w:szCs w:val="21"/>
              </w:rPr>
            </w:pPr>
            <w:r>
              <w:rPr>
                <w:rFonts w:ascii="Arial"/>
                <w:w w:val="100"/>
                <w:sz w:val="21"/>
              </w:rPr>
            </w:r>
            <w:r>
              <w:rPr>
                <w:rFonts w:ascii="Arial"/>
                <w:w w:val="100"/>
                <w:sz w:val="21"/>
                <w:u w:val="single" w:color="000000"/>
              </w:rPr>
              <w:t> </w:t>
            </w:r>
            <w:r>
              <w:rPr>
                <w:rFonts w:ascii="Arial"/>
                <w:sz w:val="21"/>
                <w:u w:val="single" w:color="000000"/>
              </w:rPr>
              <w:tab/>
            </w:r>
            <w:r>
              <w:rPr>
                <w:rFonts w:ascii="Arial"/>
                <w:spacing w:val="-2"/>
                <w:sz w:val="21"/>
                <w:u w:val="single" w:color="000000"/>
              </w:rPr>
              <w:t>(1,654,483,578)</w:t>
            </w:r>
            <w:r>
              <w:rPr>
                <w:rFonts w:ascii="Arial"/>
                <w:spacing w:val="-2"/>
                <w:sz w:val="21"/>
              </w:rPr>
            </w:r>
            <w:r>
              <w:rPr>
                <w:rFonts w:ascii="Arial"/>
                <w:sz w:val="21"/>
              </w:rPr>
            </w:r>
          </w:p>
        </w:tc>
        <w:tc>
          <w:tcPr>
            <w:tcW w:w="110" w:type="dxa"/>
            <w:tcBorders>
              <w:top w:val="nil" w:sz="6" w:space="0" w:color="auto"/>
              <w:left w:val="nil" w:sz="6" w:space="0" w:color="auto"/>
              <w:bottom w:val="nil" w:sz="6" w:space="0" w:color="auto"/>
              <w:right w:val="nil" w:sz="6" w:space="0" w:color="auto"/>
            </w:tcBorders>
          </w:tcPr>
          <w:p>
            <w:pPr/>
          </w:p>
        </w:tc>
        <w:tc>
          <w:tcPr>
            <w:tcW w:w="2016" w:type="dxa"/>
            <w:tcBorders>
              <w:top w:val="nil" w:sz="6" w:space="0" w:color="auto"/>
              <w:left w:val="nil" w:sz="6" w:space="0" w:color="auto"/>
              <w:bottom w:val="nil" w:sz="6" w:space="0" w:color="auto"/>
              <w:right w:val="nil" w:sz="6" w:space="0" w:color="auto"/>
            </w:tcBorders>
          </w:tcPr>
          <w:p>
            <w:pPr>
              <w:pStyle w:val="TableParagraph"/>
              <w:tabs>
                <w:tab w:pos="705" w:val="left" w:leader="none"/>
              </w:tabs>
              <w:spacing w:line="240" w:lineRule="auto" w:before="15"/>
              <w:ind w:right="7"/>
              <w:jc w:val="right"/>
              <w:rPr>
                <w:rFonts w:ascii="Arial" w:hAnsi="Arial" w:cs="Arial" w:eastAsia="Arial" w:hint="default"/>
                <w:sz w:val="21"/>
                <w:szCs w:val="21"/>
              </w:rPr>
            </w:pPr>
            <w:r>
              <w:rPr>
                <w:rFonts w:ascii="Arial"/>
                <w:w w:val="100"/>
                <w:sz w:val="21"/>
              </w:rPr>
            </w:r>
            <w:r>
              <w:rPr>
                <w:rFonts w:ascii="Arial"/>
                <w:w w:val="100"/>
                <w:sz w:val="21"/>
                <w:u w:val="single" w:color="000000"/>
              </w:rPr>
              <w:t> </w:t>
            </w:r>
            <w:r>
              <w:rPr>
                <w:rFonts w:ascii="Arial"/>
                <w:sz w:val="21"/>
                <w:u w:val="single" w:color="000000"/>
              </w:rPr>
              <w:tab/>
            </w:r>
            <w:r>
              <w:rPr>
                <w:rFonts w:ascii="Arial"/>
                <w:spacing w:val="-2"/>
                <w:sz w:val="21"/>
                <w:u w:val="single" w:color="000000"/>
              </w:rPr>
              <w:t>(614,350,671)</w:t>
            </w:r>
            <w:r>
              <w:rPr>
                <w:rFonts w:ascii="Arial"/>
                <w:spacing w:val="-2"/>
                <w:sz w:val="21"/>
              </w:rPr>
            </w:r>
            <w:r>
              <w:rPr>
                <w:rFonts w:ascii="Arial"/>
                <w:sz w:val="21"/>
              </w:rPr>
            </w:r>
          </w:p>
        </w:tc>
      </w:tr>
      <w:tr>
        <w:trPr>
          <w:trHeight w:val="294" w:hRule="exact"/>
        </w:trPr>
        <w:tc>
          <w:tcPr>
            <w:tcW w:w="4832"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1"/>
                <w:szCs w:val="21"/>
              </w:rPr>
            </w:pPr>
            <w:r>
              <w:rPr>
                <w:rFonts w:ascii="宋体" w:hAnsi="宋体" w:cs="宋体" w:eastAsia="宋体" w:hint="default"/>
                <w:sz w:val="21"/>
                <w:szCs w:val="21"/>
              </w:rPr>
              <w:t>年末未分配利润</w:t>
            </w:r>
          </w:p>
        </w:tc>
        <w:tc>
          <w:tcPr>
            <w:tcW w:w="2126"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75"/>
              <w:jc w:val="right"/>
              <w:rPr>
                <w:rFonts w:ascii="Arial" w:hAnsi="Arial" w:cs="Arial" w:eastAsia="Arial" w:hint="default"/>
                <w:sz w:val="21"/>
                <w:szCs w:val="21"/>
              </w:rPr>
            </w:pPr>
            <w:r>
              <w:rPr>
                <w:rFonts w:ascii="Arial"/>
                <w:spacing w:val="-2"/>
                <w:sz w:val="21"/>
              </w:rPr>
              <w:t>36,023,405,325</w:t>
            </w:r>
            <w:r>
              <w:rPr>
                <w:rFonts w:ascii="Arial"/>
                <w:sz w:val="21"/>
              </w:rPr>
            </w:r>
          </w:p>
        </w:tc>
        <w:tc>
          <w:tcPr>
            <w:tcW w:w="110" w:type="dxa"/>
            <w:tcBorders>
              <w:top w:val="nil" w:sz="6" w:space="0" w:color="auto"/>
              <w:left w:val="nil" w:sz="6" w:space="0" w:color="auto"/>
              <w:bottom w:val="nil" w:sz="6" w:space="0" w:color="auto"/>
              <w:right w:val="nil" w:sz="6" w:space="0" w:color="auto"/>
            </w:tcBorders>
          </w:tcPr>
          <w:p>
            <w:pPr/>
          </w:p>
        </w:tc>
        <w:tc>
          <w:tcPr>
            <w:tcW w:w="2016"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75"/>
              <w:jc w:val="right"/>
              <w:rPr>
                <w:rFonts w:ascii="Arial" w:hAnsi="Arial" w:cs="Arial" w:eastAsia="Arial" w:hint="default"/>
                <w:sz w:val="21"/>
                <w:szCs w:val="21"/>
              </w:rPr>
            </w:pPr>
            <w:r>
              <w:rPr>
                <w:rFonts w:ascii="Arial"/>
                <w:spacing w:val="-2"/>
                <w:sz w:val="21"/>
              </w:rPr>
              <w:t>33,452,065,245</w:t>
            </w:r>
            <w:r>
              <w:rPr>
                <w:rFonts w:ascii="Arial"/>
                <w:sz w:val="21"/>
              </w:rPr>
            </w:r>
          </w:p>
        </w:tc>
      </w:tr>
    </w:tbl>
    <w:p>
      <w:pPr>
        <w:spacing w:line="240" w:lineRule="auto" w:before="2"/>
        <w:rPr>
          <w:rFonts w:ascii="宋体" w:hAnsi="宋体" w:cs="宋体" w:eastAsia="宋体" w:hint="default"/>
          <w:sz w:val="14"/>
          <w:szCs w:val="14"/>
        </w:rPr>
      </w:pPr>
    </w:p>
    <w:p>
      <w:pPr>
        <w:pStyle w:val="BodyText"/>
        <w:spacing w:line="296" w:lineRule="exact" w:before="32"/>
        <w:ind w:left="573" w:right="0"/>
        <w:jc w:val="left"/>
      </w:pPr>
      <w:r>
        <w:rPr/>
        <w:t>于</w:t>
      </w:r>
      <w:r>
        <w:rPr>
          <w:spacing w:val="-47"/>
        </w:rPr>
        <w:t> </w:t>
      </w:r>
      <w:r>
        <w:rPr>
          <w:rFonts w:ascii="Arial" w:hAnsi="Arial" w:cs="Arial" w:eastAsia="Arial" w:hint="default"/>
        </w:rPr>
        <w:t>2019</w:t>
      </w:r>
      <w:r>
        <w:rPr>
          <w:rFonts w:ascii="Arial" w:hAnsi="Arial" w:cs="Arial" w:eastAsia="Arial" w:hint="default"/>
          <w:spacing w:val="4"/>
        </w:rPr>
        <w:t> </w:t>
      </w:r>
      <w:r>
        <w:rPr/>
        <w:t>年</w:t>
      </w:r>
      <w:r>
        <w:rPr>
          <w:spacing w:val="-47"/>
        </w:rPr>
        <w:t> </w:t>
      </w:r>
      <w:r>
        <w:rPr>
          <w:rFonts w:ascii="Arial" w:hAnsi="Arial" w:cs="Arial" w:eastAsia="Arial" w:hint="default"/>
        </w:rPr>
        <w:t>5</w:t>
      </w:r>
      <w:r>
        <w:rPr>
          <w:rFonts w:ascii="Arial" w:hAnsi="Arial" w:cs="Arial" w:eastAsia="Arial" w:hint="default"/>
          <w:spacing w:val="4"/>
        </w:rPr>
        <w:t> </w:t>
      </w:r>
      <w:r>
        <w:rPr/>
        <w:t>月</w:t>
      </w:r>
      <w:r>
        <w:rPr>
          <w:spacing w:val="-47"/>
        </w:rPr>
        <w:t> </w:t>
      </w:r>
      <w:r>
        <w:rPr>
          <w:rFonts w:ascii="Arial" w:hAnsi="Arial" w:cs="Arial" w:eastAsia="Arial" w:hint="default"/>
        </w:rPr>
        <w:t>8</w:t>
      </w:r>
      <w:r>
        <w:rPr>
          <w:rFonts w:ascii="Arial" w:hAnsi="Arial" w:cs="Arial" w:eastAsia="Arial" w:hint="default"/>
          <w:spacing w:val="4"/>
        </w:rPr>
        <w:t> </w:t>
      </w:r>
      <w:r>
        <w:rPr>
          <w:spacing w:val="-4"/>
        </w:rPr>
        <w:t>日，本公司股东大会批准根据本公司对现金红利实施公告中确定的股权登记</w:t>
      </w:r>
    </w:p>
    <w:p>
      <w:pPr>
        <w:pStyle w:val="BodyText"/>
        <w:spacing w:line="286" w:lineRule="exact"/>
        <w:ind w:left="573" w:right="0"/>
        <w:jc w:val="left"/>
      </w:pPr>
      <w:r>
        <w:rPr/>
        <w:t>日收市后在册的股份数为基数向全体股东派发每股现金股利人民币</w:t>
      </w:r>
      <w:r>
        <w:rPr>
          <w:spacing w:val="-51"/>
        </w:rPr>
        <w:t> </w:t>
      </w:r>
      <w:r>
        <w:rPr>
          <w:rFonts w:ascii="Arial" w:hAnsi="Arial" w:cs="Arial" w:eastAsia="Arial" w:hint="default"/>
        </w:rPr>
        <w:t>0.0533 </w:t>
      </w:r>
      <w:r>
        <w:rPr>
          <w:spacing w:val="-3"/>
        </w:rPr>
        <w:t>元（含税）的《公</w:t>
      </w:r>
    </w:p>
    <w:p>
      <w:pPr>
        <w:pStyle w:val="BodyText"/>
        <w:spacing w:line="284" w:lineRule="exact" w:before="19"/>
        <w:ind w:left="573" w:right="112" w:hanging="1"/>
        <w:jc w:val="left"/>
      </w:pPr>
      <w:r>
        <w:rPr/>
        <w:t>司</w:t>
      </w:r>
      <w:r>
        <w:rPr>
          <w:spacing w:val="-62"/>
        </w:rPr>
        <w:t> </w:t>
      </w:r>
      <w:r>
        <w:rPr>
          <w:rFonts w:ascii="Arial" w:hAnsi="Arial" w:cs="Arial" w:eastAsia="Arial" w:hint="default"/>
        </w:rPr>
        <w:t>2018</w:t>
      </w:r>
      <w:r>
        <w:rPr>
          <w:rFonts w:ascii="Arial" w:hAnsi="Arial" w:cs="Arial" w:eastAsia="Arial" w:hint="default"/>
          <w:spacing w:val="-11"/>
        </w:rPr>
        <w:t> </w:t>
      </w:r>
      <w:r>
        <w:rPr/>
        <w:t>年度利润分配议案》，共计约人民币</w:t>
      </w:r>
      <w:r>
        <w:rPr>
          <w:spacing w:val="-62"/>
        </w:rPr>
        <w:t> </w:t>
      </w:r>
      <w:r>
        <w:rPr>
          <w:rFonts w:ascii="Arial" w:hAnsi="Arial" w:cs="Arial" w:eastAsia="Arial" w:hint="default"/>
        </w:rPr>
        <w:t>16.54</w:t>
      </w:r>
      <w:r>
        <w:rPr>
          <w:rFonts w:ascii="Arial" w:hAnsi="Arial" w:cs="Arial" w:eastAsia="Arial" w:hint="default"/>
          <w:spacing w:val="-11"/>
        </w:rPr>
        <w:t> </w:t>
      </w:r>
      <w:r>
        <w:rPr/>
        <w:t>亿元（</w:t>
      </w:r>
      <w:r>
        <w:rPr>
          <w:rFonts w:ascii="Arial" w:hAnsi="Arial" w:cs="Arial" w:eastAsia="Arial" w:hint="default"/>
        </w:rPr>
        <w:t>2018</w:t>
      </w:r>
      <w:r>
        <w:rPr>
          <w:rFonts w:ascii="Arial" w:hAnsi="Arial" w:cs="Arial" w:eastAsia="Arial" w:hint="default"/>
          <w:spacing w:val="-10"/>
        </w:rPr>
        <w:t> </w:t>
      </w:r>
      <w:r>
        <w:rPr/>
        <w:t>年：人民币</w:t>
      </w:r>
      <w:r>
        <w:rPr>
          <w:spacing w:val="-61"/>
        </w:rPr>
        <w:t> </w:t>
      </w:r>
      <w:r>
        <w:rPr>
          <w:rFonts w:ascii="Arial" w:hAnsi="Arial" w:cs="Arial" w:eastAsia="Arial" w:hint="default"/>
        </w:rPr>
        <w:t>6.14</w:t>
      </w:r>
      <w:r>
        <w:rPr>
          <w:rFonts w:ascii="Arial" w:hAnsi="Arial" w:cs="Arial" w:eastAsia="Arial" w:hint="default"/>
          <w:spacing w:val="-11"/>
        </w:rPr>
        <w:t> </w:t>
      </w:r>
      <w:r>
        <w:rPr/>
        <w:t>亿元）的股</w:t>
      </w:r>
      <w:r>
        <w:rPr>
          <w:w w:val="100"/>
        </w:rPr>
        <w:t> </w:t>
      </w:r>
      <w:r>
        <w:rPr/>
        <w:t>利自未分配利润转出。</w:t>
      </w:r>
    </w:p>
    <w:p>
      <w:pPr>
        <w:spacing w:line="240" w:lineRule="auto" w:before="6"/>
        <w:rPr>
          <w:rFonts w:ascii="宋体" w:hAnsi="宋体" w:cs="宋体" w:eastAsia="宋体" w:hint="default"/>
          <w:sz w:val="17"/>
          <w:szCs w:val="17"/>
        </w:rPr>
      </w:pPr>
    </w:p>
    <w:p>
      <w:pPr>
        <w:pStyle w:val="BodyText"/>
        <w:spacing w:line="293" w:lineRule="exact"/>
        <w:ind w:left="559" w:right="0"/>
        <w:jc w:val="left"/>
      </w:pPr>
      <w:r>
        <w:rPr/>
        <w:t>于</w:t>
      </w:r>
      <w:r>
        <w:rPr>
          <w:spacing w:val="-48"/>
        </w:rPr>
        <w:t> </w:t>
      </w:r>
      <w:r>
        <w:rPr>
          <w:rFonts w:ascii="Arial" w:hAnsi="Arial" w:cs="Arial" w:eastAsia="Arial" w:hint="default"/>
        </w:rPr>
        <w:t>2019</w:t>
      </w:r>
      <w:r>
        <w:rPr>
          <w:rFonts w:ascii="Arial" w:hAnsi="Arial" w:cs="Arial" w:eastAsia="Arial" w:hint="default"/>
          <w:spacing w:val="3"/>
        </w:rPr>
        <w:t> </w:t>
      </w:r>
      <w:r>
        <w:rPr/>
        <w:t>年</w:t>
      </w:r>
      <w:r>
        <w:rPr>
          <w:spacing w:val="-54"/>
        </w:rPr>
        <w:t> </w:t>
      </w:r>
      <w:r>
        <w:rPr>
          <w:rFonts w:ascii="Arial" w:hAnsi="Arial" w:cs="Arial" w:eastAsia="Arial" w:hint="default"/>
        </w:rPr>
        <w:t>12</w:t>
      </w:r>
      <w:r>
        <w:rPr>
          <w:rFonts w:ascii="Arial" w:hAnsi="Arial" w:cs="Arial" w:eastAsia="Arial" w:hint="default"/>
          <w:spacing w:val="3"/>
        </w:rPr>
        <w:t> </w:t>
      </w:r>
      <w:r>
        <w:rPr/>
        <w:t>月</w:t>
      </w:r>
      <w:r>
        <w:rPr>
          <w:spacing w:val="-48"/>
        </w:rPr>
        <w:t> </w:t>
      </w:r>
      <w:r>
        <w:rPr>
          <w:rFonts w:ascii="Arial" w:hAnsi="Arial" w:cs="Arial" w:eastAsia="Arial" w:hint="default"/>
        </w:rPr>
        <w:t>31</w:t>
      </w:r>
      <w:r>
        <w:rPr>
          <w:rFonts w:ascii="Arial" w:hAnsi="Arial" w:cs="Arial" w:eastAsia="Arial" w:hint="default"/>
          <w:spacing w:val="3"/>
        </w:rPr>
        <w:t> </w:t>
      </w:r>
      <w:r>
        <w:rPr>
          <w:spacing w:val="-4"/>
        </w:rPr>
        <w:t>日，本集团归属于母公司的未分配利润中包含了本公司的子公司提取的盈</w:t>
      </w:r>
    </w:p>
    <w:p>
      <w:pPr>
        <w:pStyle w:val="BodyText"/>
        <w:spacing w:line="293" w:lineRule="exact"/>
        <w:ind w:left="558" w:right="0"/>
        <w:jc w:val="left"/>
      </w:pPr>
      <w:r>
        <w:rPr/>
        <w:t>余公积约人民币</w:t>
      </w:r>
      <w:r>
        <w:rPr>
          <w:spacing w:val="-54"/>
        </w:rPr>
        <w:t> </w:t>
      </w:r>
      <w:r>
        <w:rPr>
          <w:rFonts w:ascii="Arial" w:hAnsi="Arial" w:cs="Arial" w:eastAsia="Arial" w:hint="default"/>
          <w:spacing w:val="-3"/>
          <w:sz w:val="21"/>
          <w:szCs w:val="21"/>
        </w:rPr>
        <w:t>103.56</w:t>
      </w:r>
      <w:r>
        <w:rPr>
          <w:rFonts w:ascii="Arial" w:hAnsi="Arial" w:cs="Arial" w:eastAsia="Arial" w:hint="default"/>
          <w:spacing w:val="-5"/>
          <w:sz w:val="21"/>
          <w:szCs w:val="21"/>
        </w:rPr>
        <w:t> </w:t>
      </w:r>
      <w:r>
        <w:rPr/>
        <w:t>亿元（</w:t>
      </w:r>
      <w:r>
        <w:rPr>
          <w:rFonts w:ascii="Arial" w:hAnsi="Arial" w:cs="Arial" w:eastAsia="Arial" w:hint="default"/>
        </w:rPr>
        <w:t>2018</w:t>
      </w:r>
      <w:r>
        <w:rPr>
          <w:rFonts w:ascii="Arial" w:hAnsi="Arial" w:cs="Arial" w:eastAsia="Arial" w:hint="default"/>
          <w:spacing w:val="-4"/>
        </w:rPr>
        <w:t> </w:t>
      </w:r>
      <w:r>
        <w:rPr/>
        <w:t>年</w:t>
      </w:r>
      <w:r>
        <w:rPr>
          <w:spacing w:val="-55"/>
        </w:rPr>
        <w:t> </w:t>
      </w:r>
      <w:r>
        <w:rPr>
          <w:rFonts w:ascii="Arial" w:hAnsi="Arial" w:cs="Arial" w:eastAsia="Arial" w:hint="default"/>
        </w:rPr>
        <w:t>12</w:t>
      </w:r>
      <w:r>
        <w:rPr>
          <w:rFonts w:ascii="Arial" w:hAnsi="Arial" w:cs="Arial" w:eastAsia="Arial" w:hint="default"/>
          <w:spacing w:val="-4"/>
        </w:rPr>
        <w:t> </w:t>
      </w:r>
      <w:r>
        <w:rPr/>
        <w:t>月</w:t>
      </w:r>
      <w:r>
        <w:rPr>
          <w:spacing w:val="-60"/>
        </w:rPr>
        <w:t> </w:t>
      </w:r>
      <w:r>
        <w:rPr>
          <w:rFonts w:ascii="Arial" w:hAnsi="Arial" w:cs="Arial" w:eastAsia="Arial" w:hint="default"/>
        </w:rPr>
        <w:t>31</w:t>
      </w:r>
      <w:r>
        <w:rPr>
          <w:rFonts w:ascii="Arial" w:hAnsi="Arial" w:cs="Arial" w:eastAsia="Arial" w:hint="default"/>
          <w:spacing w:val="-4"/>
        </w:rPr>
        <w:t> </w:t>
      </w:r>
      <w:r>
        <w:rPr/>
        <w:t>日：约人民币</w:t>
      </w:r>
      <w:r>
        <w:rPr>
          <w:spacing w:val="-55"/>
        </w:rPr>
        <w:t> </w:t>
      </w:r>
      <w:r>
        <w:rPr>
          <w:rFonts w:ascii="Arial" w:hAnsi="Arial" w:cs="Arial" w:eastAsia="Arial" w:hint="default"/>
        </w:rPr>
        <w:t>99.20</w:t>
      </w:r>
      <w:r>
        <w:rPr>
          <w:rFonts w:ascii="Arial" w:hAnsi="Arial" w:cs="Arial" w:eastAsia="Arial" w:hint="default"/>
          <w:spacing w:val="-4"/>
        </w:rPr>
        <w:t> </w:t>
      </w:r>
      <w:r>
        <w:rPr/>
        <w:t>亿元）。</w:t>
      </w:r>
    </w:p>
    <w:p>
      <w:pPr>
        <w:spacing w:after="0" w:line="293" w:lineRule="exact"/>
        <w:jc w:val="left"/>
        <w:sectPr>
          <w:footerReference w:type="default" r:id="rId193"/>
          <w:pgSz w:w="11910" w:h="16840"/>
          <w:pgMar w:footer="502" w:header="0" w:top="3040" w:bottom="700" w:left="1020" w:right="1280"/>
          <w:pgNumType w:start="163"/>
        </w:sectPr>
      </w:pPr>
    </w:p>
    <w:p>
      <w:pPr>
        <w:spacing w:line="240" w:lineRule="auto" w:before="7"/>
        <w:rPr>
          <w:rFonts w:ascii="宋体" w:hAnsi="宋体" w:cs="宋体" w:eastAsia="宋体" w:hint="default"/>
          <w:sz w:val="16"/>
          <w:szCs w:val="16"/>
        </w:rPr>
      </w:pPr>
    </w:p>
    <w:p>
      <w:pPr>
        <w:pStyle w:val="BodyText"/>
        <w:spacing w:line="240" w:lineRule="auto" w:before="32"/>
        <w:ind w:left="112" w:right="94"/>
        <w:jc w:val="left"/>
      </w:pPr>
      <w:r>
        <w:rPr>
          <w:rFonts w:ascii="Arial" w:hAnsi="Arial" w:cs="Arial" w:eastAsia="Arial" w:hint="default"/>
        </w:rPr>
        <w:t>37</w:t>
      </w:r>
      <w:r>
        <w:rPr/>
        <w:t>、营业收入和营业成本</w:t>
      </w:r>
    </w:p>
    <w:p>
      <w:pPr>
        <w:spacing w:line="240" w:lineRule="auto" w:before="1"/>
        <w:rPr>
          <w:rFonts w:ascii="宋体" w:hAnsi="宋体" w:cs="宋体" w:eastAsia="宋体" w:hint="default"/>
          <w:sz w:val="23"/>
          <w:szCs w:val="23"/>
        </w:rPr>
      </w:pPr>
    </w:p>
    <w:tbl>
      <w:tblPr>
        <w:tblW w:w="0" w:type="auto"/>
        <w:jc w:val="left"/>
        <w:tblInd w:w="387" w:type="dxa"/>
        <w:tblLayout w:type="fixed"/>
        <w:tblCellMar>
          <w:top w:w="0" w:type="dxa"/>
          <w:left w:w="0" w:type="dxa"/>
          <w:bottom w:w="0" w:type="dxa"/>
          <w:right w:w="0" w:type="dxa"/>
        </w:tblCellMar>
        <w:tblLook w:val="01E0"/>
      </w:tblPr>
      <w:tblGrid>
        <w:gridCol w:w="4352"/>
        <w:gridCol w:w="2280"/>
        <w:gridCol w:w="240"/>
        <w:gridCol w:w="2299"/>
      </w:tblGrid>
      <w:tr>
        <w:trPr>
          <w:trHeight w:val="264" w:hRule="exact"/>
        </w:trPr>
        <w:tc>
          <w:tcPr>
            <w:tcW w:w="4352" w:type="dxa"/>
            <w:tcBorders>
              <w:top w:val="nil" w:sz="6" w:space="0" w:color="auto"/>
              <w:left w:val="nil" w:sz="6" w:space="0" w:color="auto"/>
              <w:bottom w:val="nil" w:sz="6" w:space="0" w:color="auto"/>
              <w:right w:val="nil" w:sz="6" w:space="0" w:color="auto"/>
            </w:tcBorders>
          </w:tcPr>
          <w:p>
            <w:pPr/>
          </w:p>
        </w:tc>
        <w:tc>
          <w:tcPr>
            <w:tcW w:w="2280" w:type="dxa"/>
            <w:tcBorders>
              <w:top w:val="nil" w:sz="6" w:space="0" w:color="auto"/>
              <w:left w:val="nil" w:sz="6" w:space="0" w:color="auto"/>
              <w:bottom w:val="single" w:sz="6" w:space="0" w:color="000000"/>
              <w:right w:val="nil" w:sz="6" w:space="0" w:color="auto"/>
            </w:tcBorders>
          </w:tcPr>
          <w:p>
            <w:pPr>
              <w:pStyle w:val="TableParagraph"/>
              <w:spacing w:line="236" w:lineRule="exact"/>
              <w:ind w:right="156"/>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240" w:type="dxa"/>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single" w:sz="6" w:space="0" w:color="000000"/>
              <w:right w:val="nil" w:sz="6" w:space="0" w:color="auto"/>
            </w:tcBorders>
          </w:tcPr>
          <w:p>
            <w:pPr>
              <w:pStyle w:val="TableParagraph"/>
              <w:spacing w:line="236" w:lineRule="exact"/>
              <w:ind w:left="1367"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tc>
      </w:tr>
      <w:tr>
        <w:trPr>
          <w:trHeight w:val="650"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主营业务收入：</w:t>
            </w:r>
          </w:p>
        </w:tc>
        <w:tc>
          <w:tcPr>
            <w:tcW w:w="2280" w:type="dxa"/>
            <w:tcBorders>
              <w:top w:val="single" w:sz="6" w:space="0" w:color="000000"/>
              <w:left w:val="nil" w:sz="6" w:space="0" w:color="auto"/>
              <w:bottom w:val="nil" w:sz="6" w:space="0" w:color="auto"/>
              <w:right w:val="nil" w:sz="6" w:space="0" w:color="auto"/>
            </w:tcBorders>
          </w:tcPr>
          <w:p>
            <w:pPr/>
          </w:p>
        </w:tc>
        <w:tc>
          <w:tcPr>
            <w:tcW w:w="240" w:type="dxa"/>
            <w:tcBorders>
              <w:top w:val="nil" w:sz="6" w:space="0" w:color="auto"/>
              <w:left w:val="nil" w:sz="6" w:space="0" w:color="auto"/>
              <w:bottom w:val="nil" w:sz="6" w:space="0" w:color="auto"/>
              <w:right w:val="nil" w:sz="6" w:space="0" w:color="auto"/>
            </w:tcBorders>
          </w:tcPr>
          <w:p>
            <w:pPr/>
          </w:p>
        </w:tc>
        <w:tc>
          <w:tcPr>
            <w:tcW w:w="2299" w:type="dxa"/>
            <w:tcBorders>
              <w:top w:val="single" w:sz="6" w:space="0" w:color="000000"/>
              <w:left w:val="nil" w:sz="6" w:space="0" w:color="auto"/>
              <w:bottom w:val="nil" w:sz="6" w:space="0" w:color="auto"/>
              <w:right w:val="nil" w:sz="6" w:space="0" w:color="auto"/>
            </w:tcBorders>
          </w:tcPr>
          <w:p>
            <w:pPr/>
          </w:p>
        </w:tc>
      </w:tr>
      <w:tr>
        <w:trPr>
          <w:trHeight w:val="329"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66" w:lineRule="exact"/>
              <w:ind w:left="406" w:right="0"/>
              <w:jc w:val="left"/>
              <w:rPr>
                <w:rFonts w:ascii="宋体" w:hAnsi="宋体" w:cs="宋体" w:eastAsia="宋体" w:hint="default"/>
                <w:sz w:val="22"/>
                <w:szCs w:val="22"/>
              </w:rPr>
            </w:pPr>
            <w:r>
              <w:rPr>
                <w:rFonts w:ascii="宋体" w:hAnsi="宋体" w:cs="宋体" w:eastAsia="宋体" w:hint="default"/>
                <w:sz w:val="22"/>
                <w:szCs w:val="22"/>
              </w:rPr>
              <w:t>语音通话及月租费</w:t>
            </w:r>
          </w:p>
        </w:tc>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3"/>
              <w:jc w:val="right"/>
              <w:rPr>
                <w:rFonts w:ascii="Arial" w:hAnsi="Arial" w:cs="Arial" w:eastAsia="Arial" w:hint="default"/>
                <w:sz w:val="22"/>
                <w:szCs w:val="22"/>
              </w:rPr>
            </w:pPr>
            <w:r>
              <w:rPr>
                <w:rFonts w:ascii="Arial"/>
                <w:sz w:val="22"/>
              </w:rPr>
              <w:t>26,440,052,667</w:t>
            </w:r>
          </w:p>
        </w:tc>
        <w:tc>
          <w:tcPr>
            <w:tcW w:w="240" w:type="dxa"/>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48"/>
              <w:ind w:left="657" w:right="0"/>
              <w:jc w:val="left"/>
              <w:rPr>
                <w:rFonts w:ascii="Arial" w:hAnsi="Arial" w:cs="Arial" w:eastAsia="Arial" w:hint="default"/>
                <w:sz w:val="22"/>
                <w:szCs w:val="22"/>
              </w:rPr>
            </w:pPr>
            <w:r>
              <w:rPr>
                <w:rFonts w:ascii="Arial"/>
                <w:sz w:val="22"/>
              </w:rPr>
              <w:t>32,486,191,534</w:t>
            </w:r>
          </w:p>
        </w:tc>
      </w:tr>
      <w:tr>
        <w:trPr>
          <w:trHeight w:val="314"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54" w:lineRule="exact"/>
              <w:ind w:left="406" w:right="0"/>
              <w:jc w:val="left"/>
              <w:rPr>
                <w:rFonts w:ascii="宋体" w:hAnsi="宋体" w:cs="宋体" w:eastAsia="宋体" w:hint="default"/>
                <w:sz w:val="22"/>
                <w:szCs w:val="22"/>
              </w:rPr>
            </w:pPr>
            <w:r>
              <w:rPr>
                <w:rFonts w:ascii="宋体" w:hAnsi="宋体" w:cs="宋体" w:eastAsia="宋体" w:hint="default"/>
                <w:sz w:val="22"/>
                <w:szCs w:val="22"/>
              </w:rPr>
              <w:t>增值服务</w:t>
            </w:r>
          </w:p>
        </w:tc>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03"/>
              <w:jc w:val="right"/>
              <w:rPr>
                <w:rFonts w:ascii="Arial" w:hAnsi="Arial" w:cs="Arial" w:eastAsia="Arial" w:hint="default"/>
                <w:sz w:val="22"/>
                <w:szCs w:val="22"/>
              </w:rPr>
            </w:pPr>
            <w:r>
              <w:rPr>
                <w:rFonts w:ascii="Arial"/>
                <w:sz w:val="22"/>
              </w:rPr>
              <w:t>21,250,614,299</w:t>
            </w:r>
          </w:p>
        </w:tc>
        <w:tc>
          <w:tcPr>
            <w:tcW w:w="240" w:type="dxa"/>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30"/>
              <w:ind w:left="657" w:right="0"/>
              <w:jc w:val="left"/>
              <w:rPr>
                <w:rFonts w:ascii="Arial" w:hAnsi="Arial" w:cs="Arial" w:eastAsia="Arial" w:hint="default"/>
                <w:sz w:val="22"/>
                <w:szCs w:val="22"/>
              </w:rPr>
            </w:pPr>
            <w:r>
              <w:rPr>
                <w:rFonts w:ascii="Arial"/>
                <w:sz w:val="22"/>
              </w:rPr>
              <w:t>24,606,164,947</w:t>
            </w:r>
          </w:p>
        </w:tc>
      </w:tr>
      <w:tr>
        <w:trPr>
          <w:trHeight w:val="300"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56" w:lineRule="exact"/>
              <w:ind w:left="406" w:right="0"/>
              <w:jc w:val="left"/>
              <w:rPr>
                <w:rFonts w:ascii="宋体" w:hAnsi="宋体" w:cs="宋体" w:eastAsia="宋体" w:hint="default"/>
                <w:sz w:val="22"/>
                <w:szCs w:val="22"/>
              </w:rPr>
            </w:pPr>
            <w:r>
              <w:rPr>
                <w:rFonts w:ascii="宋体" w:hAnsi="宋体" w:cs="宋体" w:eastAsia="宋体" w:hint="default"/>
                <w:sz w:val="22"/>
                <w:szCs w:val="22"/>
              </w:rPr>
              <w:t>宽带及移动数据服务</w:t>
            </w:r>
          </w:p>
        </w:tc>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Arial" w:hAnsi="Arial" w:cs="Arial" w:eastAsia="Arial" w:hint="default"/>
                <w:sz w:val="22"/>
                <w:szCs w:val="22"/>
              </w:rPr>
            </w:pPr>
            <w:r>
              <w:rPr>
                <w:rFonts w:ascii="Arial"/>
                <w:spacing w:val="-1"/>
                <w:sz w:val="22"/>
              </w:rPr>
              <w:t>146,533,579,910</w:t>
            </w:r>
          </w:p>
        </w:tc>
        <w:tc>
          <w:tcPr>
            <w:tcW w:w="240" w:type="dxa"/>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537" w:right="0"/>
              <w:jc w:val="left"/>
              <w:rPr>
                <w:rFonts w:ascii="Arial" w:hAnsi="Arial" w:cs="Arial" w:eastAsia="Arial" w:hint="default"/>
                <w:sz w:val="22"/>
                <w:szCs w:val="22"/>
              </w:rPr>
            </w:pPr>
            <w:r>
              <w:rPr>
                <w:rFonts w:ascii="Arial"/>
                <w:sz w:val="22"/>
              </w:rPr>
              <w:t>148,431,028,466</w:t>
            </w:r>
          </w:p>
        </w:tc>
      </w:tr>
      <w:tr>
        <w:trPr>
          <w:trHeight w:val="300"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39" w:lineRule="exact"/>
              <w:ind w:left="406" w:right="0"/>
              <w:jc w:val="left"/>
              <w:rPr>
                <w:rFonts w:ascii="宋体" w:hAnsi="宋体" w:cs="宋体" w:eastAsia="宋体" w:hint="default"/>
                <w:sz w:val="22"/>
                <w:szCs w:val="22"/>
              </w:rPr>
            </w:pPr>
            <w:r>
              <w:rPr>
                <w:rFonts w:ascii="宋体" w:hAnsi="宋体" w:cs="宋体" w:eastAsia="宋体" w:hint="default"/>
                <w:sz w:val="22"/>
                <w:szCs w:val="22"/>
              </w:rPr>
              <w:t>数据及其他互联网应用收入</w:t>
            </w:r>
          </w:p>
        </w:tc>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3"/>
              <w:jc w:val="right"/>
              <w:rPr>
                <w:rFonts w:ascii="Arial" w:hAnsi="Arial" w:cs="Arial" w:eastAsia="Arial" w:hint="default"/>
                <w:sz w:val="22"/>
                <w:szCs w:val="22"/>
              </w:rPr>
            </w:pPr>
            <w:r>
              <w:rPr>
                <w:rFonts w:ascii="Arial"/>
                <w:sz w:val="22"/>
              </w:rPr>
              <w:t>37,217,724,952</w:t>
            </w:r>
          </w:p>
        </w:tc>
        <w:tc>
          <w:tcPr>
            <w:tcW w:w="240" w:type="dxa"/>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657" w:right="0"/>
              <w:jc w:val="left"/>
              <w:rPr>
                <w:rFonts w:ascii="Arial" w:hAnsi="Arial" w:cs="Arial" w:eastAsia="Arial" w:hint="default"/>
                <w:sz w:val="22"/>
                <w:szCs w:val="22"/>
              </w:rPr>
            </w:pPr>
            <w:r>
              <w:rPr>
                <w:rFonts w:ascii="Arial"/>
                <w:sz w:val="22"/>
              </w:rPr>
              <w:t>26,489,326,698</w:t>
            </w:r>
          </w:p>
        </w:tc>
      </w:tr>
      <w:tr>
        <w:trPr>
          <w:trHeight w:val="310"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56" w:lineRule="exact"/>
              <w:ind w:left="406" w:right="0"/>
              <w:jc w:val="left"/>
              <w:rPr>
                <w:rFonts w:ascii="宋体" w:hAnsi="宋体" w:cs="宋体" w:eastAsia="宋体" w:hint="default"/>
                <w:sz w:val="22"/>
                <w:szCs w:val="22"/>
              </w:rPr>
            </w:pPr>
            <w:r>
              <w:rPr>
                <w:rFonts w:ascii="宋体" w:hAnsi="宋体" w:cs="宋体" w:eastAsia="宋体" w:hint="default"/>
                <w:sz w:val="22"/>
                <w:szCs w:val="22"/>
              </w:rPr>
              <w:t>网间结算收入</w:t>
            </w:r>
          </w:p>
        </w:tc>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3"/>
              <w:jc w:val="right"/>
              <w:rPr>
                <w:rFonts w:ascii="Arial" w:hAnsi="Arial" w:cs="Arial" w:eastAsia="Arial" w:hint="default"/>
                <w:sz w:val="22"/>
                <w:szCs w:val="22"/>
              </w:rPr>
            </w:pPr>
            <w:r>
              <w:rPr>
                <w:rFonts w:ascii="Arial"/>
                <w:sz w:val="22"/>
              </w:rPr>
              <w:t>12,892,665,644</w:t>
            </w:r>
          </w:p>
        </w:tc>
        <w:tc>
          <w:tcPr>
            <w:tcW w:w="240" w:type="dxa"/>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657" w:right="0"/>
              <w:jc w:val="left"/>
              <w:rPr>
                <w:rFonts w:ascii="Arial" w:hAnsi="Arial" w:cs="Arial" w:eastAsia="Arial" w:hint="default"/>
                <w:sz w:val="22"/>
                <w:szCs w:val="22"/>
              </w:rPr>
            </w:pPr>
            <w:r>
              <w:rPr>
                <w:rFonts w:ascii="Arial"/>
                <w:sz w:val="22"/>
              </w:rPr>
              <w:t>13,707,834,149</w:t>
            </w:r>
          </w:p>
        </w:tc>
      </w:tr>
      <w:tr>
        <w:trPr>
          <w:trHeight w:val="310"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49" w:lineRule="exact"/>
              <w:ind w:left="406" w:right="0"/>
              <w:jc w:val="left"/>
              <w:rPr>
                <w:rFonts w:ascii="宋体" w:hAnsi="宋体" w:cs="宋体" w:eastAsia="宋体" w:hint="default"/>
                <w:sz w:val="22"/>
                <w:szCs w:val="22"/>
              </w:rPr>
            </w:pPr>
            <w:r>
              <w:rPr>
                <w:rFonts w:ascii="宋体" w:hAnsi="宋体" w:cs="宋体" w:eastAsia="宋体" w:hint="default"/>
                <w:sz w:val="22"/>
                <w:szCs w:val="22"/>
              </w:rPr>
              <w:t>电路及网元服务</w:t>
            </w:r>
          </w:p>
        </w:tc>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3"/>
              <w:jc w:val="right"/>
              <w:rPr>
                <w:rFonts w:ascii="Arial" w:hAnsi="Arial" w:cs="Arial" w:eastAsia="Arial" w:hint="default"/>
                <w:sz w:val="22"/>
                <w:szCs w:val="22"/>
              </w:rPr>
            </w:pPr>
            <w:r>
              <w:rPr>
                <w:rFonts w:ascii="Arial"/>
                <w:sz w:val="22"/>
              </w:rPr>
              <w:t>15,594,846,821</w:t>
            </w:r>
          </w:p>
        </w:tc>
        <w:tc>
          <w:tcPr>
            <w:tcW w:w="240" w:type="dxa"/>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26"/>
              <w:ind w:left="657" w:right="0"/>
              <w:jc w:val="left"/>
              <w:rPr>
                <w:rFonts w:ascii="Arial" w:hAnsi="Arial" w:cs="Arial" w:eastAsia="Arial" w:hint="default"/>
                <w:sz w:val="22"/>
                <w:szCs w:val="22"/>
              </w:rPr>
            </w:pPr>
            <w:r>
              <w:rPr>
                <w:rFonts w:ascii="Arial"/>
                <w:sz w:val="22"/>
              </w:rPr>
              <w:t>14,178,374,088</w:t>
            </w:r>
          </w:p>
        </w:tc>
      </w:tr>
      <w:tr>
        <w:trPr>
          <w:trHeight w:val="310"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56" w:lineRule="exact"/>
              <w:ind w:left="406"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280" w:type="dxa"/>
            <w:tcBorders>
              <w:top w:val="nil" w:sz="6" w:space="0" w:color="auto"/>
              <w:left w:val="nil" w:sz="6" w:space="0" w:color="auto"/>
              <w:bottom w:val="nil" w:sz="6" w:space="0" w:color="auto"/>
              <w:right w:val="nil" w:sz="6" w:space="0" w:color="auto"/>
            </w:tcBorders>
          </w:tcPr>
          <w:p>
            <w:pPr>
              <w:pStyle w:val="TableParagraph"/>
              <w:tabs>
                <w:tab w:pos="758" w:val="left" w:leader="none"/>
                <w:tab w:pos="2279" w:val="left" w:leader="none"/>
              </w:tabs>
              <w:spacing w:line="240" w:lineRule="auto" w:before="33"/>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4,456,935,433</w:t>
              <w:tab/>
            </w:r>
            <w:r>
              <w:rPr>
                <w:rFonts w:ascii="Arial"/>
                <w:spacing w:val="-1"/>
                <w:sz w:val="22"/>
              </w:rPr>
            </w:r>
          </w:p>
        </w:tc>
        <w:tc>
          <w:tcPr>
            <w:tcW w:w="240" w:type="dxa"/>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nil" w:sz="6" w:space="0" w:color="auto"/>
              <w:right w:val="nil" w:sz="6" w:space="0" w:color="auto"/>
            </w:tcBorders>
          </w:tcPr>
          <w:p>
            <w:pPr>
              <w:pStyle w:val="TableParagraph"/>
              <w:tabs>
                <w:tab w:pos="777" w:val="left" w:leader="none"/>
                <w:tab w:pos="2299" w:val="left" w:leader="none"/>
              </w:tabs>
              <w:spacing w:line="240" w:lineRule="auto" w:before="33"/>
              <w:ind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3,783,668,234</w:t>
              <w:tab/>
            </w:r>
            <w:r>
              <w:rPr>
                <w:rFonts w:ascii="Arial"/>
                <w:sz w:val="22"/>
              </w:rPr>
            </w:r>
          </w:p>
        </w:tc>
      </w:tr>
      <w:tr>
        <w:trPr>
          <w:trHeight w:val="449"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49" w:lineRule="exact"/>
              <w:ind w:left="200" w:right="0"/>
              <w:jc w:val="left"/>
              <w:rPr>
                <w:rFonts w:ascii="宋体" w:hAnsi="宋体" w:cs="宋体" w:eastAsia="宋体" w:hint="default"/>
                <w:sz w:val="22"/>
                <w:szCs w:val="22"/>
              </w:rPr>
            </w:pPr>
            <w:r>
              <w:rPr>
                <w:rFonts w:ascii="宋体" w:hAnsi="宋体" w:cs="宋体" w:eastAsia="宋体" w:hint="default"/>
                <w:sz w:val="22"/>
                <w:szCs w:val="22"/>
              </w:rPr>
              <w:t>小计</w:t>
            </w:r>
          </w:p>
        </w:tc>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10"/>
              <w:jc w:val="right"/>
              <w:rPr>
                <w:rFonts w:ascii="Arial" w:hAnsi="Arial" w:cs="Arial" w:eastAsia="Arial" w:hint="default"/>
                <w:sz w:val="22"/>
                <w:szCs w:val="22"/>
              </w:rPr>
            </w:pPr>
            <w:r>
              <w:rPr>
                <w:rFonts w:ascii="Arial"/>
                <w:spacing w:val="-1"/>
                <w:sz w:val="22"/>
              </w:rPr>
              <w:t>264,386,419,726</w:t>
            </w:r>
          </w:p>
        </w:tc>
        <w:tc>
          <w:tcPr>
            <w:tcW w:w="240" w:type="dxa"/>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26"/>
              <w:ind w:left="532" w:right="0"/>
              <w:jc w:val="left"/>
              <w:rPr>
                <w:rFonts w:ascii="Arial" w:hAnsi="Arial" w:cs="Arial" w:eastAsia="Arial" w:hint="default"/>
                <w:sz w:val="22"/>
                <w:szCs w:val="22"/>
              </w:rPr>
            </w:pPr>
            <w:r>
              <w:rPr>
                <w:rFonts w:ascii="Arial"/>
                <w:sz w:val="22"/>
              </w:rPr>
              <w:t>263,682,588,116</w:t>
            </w:r>
          </w:p>
        </w:tc>
      </w:tr>
      <w:tr>
        <w:trPr>
          <w:trHeight w:val="427"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00" w:right="0"/>
              <w:jc w:val="left"/>
              <w:rPr>
                <w:rFonts w:ascii="宋体" w:hAnsi="宋体" w:cs="宋体" w:eastAsia="宋体" w:hint="default"/>
                <w:sz w:val="22"/>
                <w:szCs w:val="22"/>
              </w:rPr>
            </w:pPr>
            <w:r>
              <w:rPr>
                <w:rFonts w:ascii="宋体" w:hAnsi="宋体" w:cs="宋体" w:eastAsia="宋体" w:hint="default"/>
                <w:sz w:val="22"/>
                <w:szCs w:val="22"/>
              </w:rPr>
              <w:t>其他业务收入：</w:t>
            </w:r>
          </w:p>
        </w:tc>
        <w:tc>
          <w:tcPr>
            <w:tcW w:w="2280" w:type="dxa"/>
            <w:tcBorders>
              <w:top w:val="nil" w:sz="6" w:space="0" w:color="auto"/>
              <w:left w:val="nil" w:sz="6" w:space="0" w:color="auto"/>
              <w:bottom w:val="nil" w:sz="6" w:space="0" w:color="auto"/>
              <w:right w:val="nil" w:sz="6" w:space="0" w:color="auto"/>
            </w:tcBorders>
          </w:tcPr>
          <w:p>
            <w:pPr/>
          </w:p>
        </w:tc>
        <w:tc>
          <w:tcPr>
            <w:tcW w:w="240" w:type="dxa"/>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nil" w:sz="6" w:space="0" w:color="auto"/>
              <w:right w:val="nil" w:sz="6" w:space="0" w:color="auto"/>
            </w:tcBorders>
          </w:tcPr>
          <w:p>
            <w:pPr/>
          </w:p>
        </w:tc>
      </w:tr>
      <w:tr>
        <w:trPr>
          <w:trHeight w:val="445"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52" w:lineRule="exact"/>
              <w:ind w:left="406" w:right="0"/>
              <w:jc w:val="left"/>
              <w:rPr>
                <w:rFonts w:ascii="宋体" w:hAnsi="宋体" w:cs="宋体" w:eastAsia="宋体" w:hint="default"/>
                <w:sz w:val="22"/>
                <w:szCs w:val="22"/>
              </w:rPr>
            </w:pPr>
            <w:r>
              <w:rPr>
                <w:rFonts w:ascii="宋体" w:hAnsi="宋体" w:cs="宋体" w:eastAsia="宋体" w:hint="default"/>
                <w:sz w:val="22"/>
                <w:szCs w:val="22"/>
              </w:rPr>
              <w:t>销售通信产品</w:t>
            </w:r>
          </w:p>
        </w:tc>
        <w:tc>
          <w:tcPr>
            <w:tcW w:w="2280" w:type="dxa"/>
            <w:tcBorders>
              <w:top w:val="nil" w:sz="6" w:space="0" w:color="auto"/>
              <w:left w:val="nil" w:sz="6" w:space="0" w:color="auto"/>
              <w:bottom w:val="nil" w:sz="6" w:space="0" w:color="auto"/>
              <w:right w:val="nil" w:sz="6" w:space="0" w:color="auto"/>
            </w:tcBorders>
          </w:tcPr>
          <w:p>
            <w:pPr>
              <w:pStyle w:val="TableParagraph"/>
              <w:tabs>
                <w:tab w:pos="638" w:val="left" w:leader="none"/>
                <w:tab w:pos="2279" w:val="left" w:leader="none"/>
              </w:tabs>
              <w:spacing w:line="240" w:lineRule="auto" w:before="29"/>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26,128,134,827</w:t>
              <w:tab/>
            </w:r>
            <w:r>
              <w:rPr>
                <w:rFonts w:ascii="Arial"/>
                <w:spacing w:val="-1"/>
                <w:sz w:val="22"/>
              </w:rPr>
            </w:r>
          </w:p>
        </w:tc>
        <w:tc>
          <w:tcPr>
            <w:tcW w:w="240" w:type="dxa"/>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nil" w:sz="6" w:space="0" w:color="auto"/>
              <w:right w:val="nil" w:sz="6" w:space="0" w:color="auto"/>
            </w:tcBorders>
          </w:tcPr>
          <w:p>
            <w:pPr>
              <w:pStyle w:val="TableParagraph"/>
              <w:tabs>
                <w:tab w:pos="657" w:val="left" w:leader="none"/>
                <w:tab w:pos="2299" w:val="left" w:leader="none"/>
              </w:tabs>
              <w:spacing w:line="240" w:lineRule="auto" w:before="29"/>
              <w:ind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27,194,188,750</w:t>
              <w:tab/>
            </w:r>
            <w:r>
              <w:rPr>
                <w:rFonts w:ascii="Arial"/>
                <w:sz w:val="22"/>
              </w:rPr>
            </w:r>
          </w:p>
        </w:tc>
      </w:tr>
      <w:tr>
        <w:trPr>
          <w:trHeight w:val="444"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280" w:type="dxa"/>
            <w:tcBorders>
              <w:top w:val="nil" w:sz="6" w:space="0" w:color="auto"/>
              <w:left w:val="nil" w:sz="6" w:space="0" w:color="auto"/>
              <w:bottom w:val="single" w:sz="6" w:space="0" w:color="000000"/>
              <w:right w:val="nil" w:sz="6" w:space="0" w:color="auto"/>
            </w:tcBorders>
          </w:tcPr>
          <w:p>
            <w:pPr>
              <w:pStyle w:val="TableParagraph"/>
              <w:tabs>
                <w:tab w:pos="513" w:val="left" w:leader="none"/>
                <w:tab w:pos="2279" w:val="left" w:leader="none"/>
              </w:tabs>
              <w:spacing w:line="240" w:lineRule="auto" w:before="165"/>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290,514,554,553</w:t>
              <w:tab/>
            </w:r>
            <w:r>
              <w:rPr>
                <w:rFonts w:ascii="Arial"/>
                <w:spacing w:val="-1"/>
                <w:sz w:val="22"/>
              </w:rPr>
            </w:r>
          </w:p>
        </w:tc>
        <w:tc>
          <w:tcPr>
            <w:tcW w:w="240" w:type="dxa"/>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single" w:sz="4" w:space="0" w:color="000000"/>
              <w:right w:val="nil" w:sz="6" w:space="0" w:color="auto"/>
            </w:tcBorders>
          </w:tcPr>
          <w:p>
            <w:pPr>
              <w:pStyle w:val="TableParagraph"/>
              <w:tabs>
                <w:tab w:pos="532" w:val="left" w:leader="none"/>
                <w:tab w:pos="2299" w:val="left" w:leader="none"/>
              </w:tabs>
              <w:spacing w:line="240" w:lineRule="auto" w:before="165"/>
              <w:ind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290,876,776,866</w:t>
              <w:tab/>
            </w:r>
            <w:r>
              <w:rPr>
                <w:rFonts w:ascii="Arial"/>
                <w:sz w:val="22"/>
              </w:rPr>
            </w:r>
          </w:p>
        </w:tc>
      </w:tr>
      <w:tr>
        <w:trPr>
          <w:trHeight w:val="603"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其中：合同产生的收入</w:t>
            </w:r>
          </w:p>
        </w:tc>
        <w:tc>
          <w:tcPr>
            <w:tcW w:w="2280" w:type="dxa"/>
            <w:tcBorders>
              <w:top w:val="single" w:sz="6"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110"/>
              <w:jc w:val="right"/>
              <w:rPr>
                <w:rFonts w:ascii="Arial" w:hAnsi="Arial" w:cs="Arial" w:eastAsia="Arial" w:hint="default"/>
                <w:sz w:val="22"/>
                <w:szCs w:val="22"/>
              </w:rPr>
            </w:pPr>
            <w:r>
              <w:rPr>
                <w:rFonts w:ascii="Arial"/>
                <w:spacing w:val="-1"/>
                <w:sz w:val="22"/>
              </w:rPr>
              <w:t>289,331,687,291</w:t>
            </w:r>
          </w:p>
        </w:tc>
        <w:tc>
          <w:tcPr>
            <w:tcW w:w="240" w:type="dxa"/>
            <w:tcBorders>
              <w:top w:val="nil" w:sz="6" w:space="0" w:color="auto"/>
              <w:left w:val="nil" w:sz="6" w:space="0" w:color="auto"/>
              <w:bottom w:val="nil" w:sz="6" w:space="0" w:color="auto"/>
              <w:right w:val="nil" w:sz="6" w:space="0" w:color="auto"/>
            </w:tcBorders>
          </w:tcPr>
          <w:p>
            <w:pPr/>
          </w:p>
        </w:tc>
        <w:tc>
          <w:tcPr>
            <w:tcW w:w="2299"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532" w:right="0"/>
              <w:jc w:val="left"/>
              <w:rPr>
                <w:rFonts w:ascii="Arial" w:hAnsi="Arial" w:cs="Arial" w:eastAsia="Arial" w:hint="default"/>
                <w:sz w:val="22"/>
                <w:szCs w:val="22"/>
              </w:rPr>
            </w:pPr>
            <w:r>
              <w:rPr>
                <w:rFonts w:ascii="Arial"/>
                <w:sz w:val="22"/>
              </w:rPr>
              <w:t>289,810,151,689</w:t>
            </w:r>
          </w:p>
        </w:tc>
      </w:tr>
      <w:tr>
        <w:trPr>
          <w:trHeight w:val="265"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39" w:lineRule="exact"/>
              <w:ind w:left="867" w:right="0"/>
              <w:jc w:val="left"/>
              <w:rPr>
                <w:rFonts w:ascii="宋体" w:hAnsi="宋体" w:cs="宋体" w:eastAsia="宋体" w:hint="default"/>
                <w:sz w:val="22"/>
                <w:szCs w:val="22"/>
              </w:rPr>
            </w:pPr>
            <w:r>
              <w:rPr>
                <w:rFonts w:ascii="宋体" w:hAnsi="宋体" w:cs="宋体" w:eastAsia="宋体" w:hint="default"/>
                <w:sz w:val="22"/>
                <w:szCs w:val="22"/>
              </w:rPr>
              <w:t>其他收入</w:t>
            </w:r>
          </w:p>
        </w:tc>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0"/>
              <w:jc w:val="right"/>
              <w:rPr>
                <w:rFonts w:ascii="Arial" w:hAnsi="Arial" w:cs="Arial" w:eastAsia="Arial" w:hint="default"/>
                <w:sz w:val="22"/>
                <w:szCs w:val="22"/>
              </w:rPr>
            </w:pPr>
            <w:r>
              <w:rPr>
                <w:rFonts w:ascii="Arial"/>
                <w:spacing w:val="-1"/>
                <w:sz w:val="22"/>
              </w:rPr>
              <w:t>1,182,867,262</w:t>
            </w:r>
          </w:p>
        </w:tc>
        <w:tc>
          <w:tcPr>
            <w:tcW w:w="240" w:type="dxa"/>
            <w:tcBorders>
              <w:top w:val="nil" w:sz="6" w:space="0" w:color="auto"/>
              <w:left w:val="nil" w:sz="6" w:space="0" w:color="auto"/>
              <w:bottom w:val="nil" w:sz="6" w:space="0" w:color="auto"/>
              <w:right w:val="nil" w:sz="6" w:space="0" w:color="auto"/>
            </w:tcBorders>
          </w:tcPr>
          <w:p>
            <w:pP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777" w:right="0"/>
              <w:jc w:val="left"/>
              <w:rPr>
                <w:rFonts w:ascii="Arial" w:hAnsi="Arial" w:cs="Arial" w:eastAsia="Arial" w:hint="default"/>
                <w:sz w:val="22"/>
                <w:szCs w:val="22"/>
              </w:rPr>
            </w:pPr>
            <w:r>
              <w:rPr>
                <w:rFonts w:ascii="Arial"/>
                <w:sz w:val="22"/>
              </w:rPr>
              <w:t>1,066,625,177</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pStyle w:val="BodyText"/>
        <w:spacing w:line="235" w:lineRule="auto" w:before="38"/>
        <w:ind w:left="587" w:right="114"/>
        <w:jc w:val="both"/>
      </w:pPr>
      <w:r>
        <w:rPr>
          <w:spacing w:val="-1"/>
        </w:rPr>
        <w:t>本集团的收入主要来自于向用户提供包括语音、数据接入、电信增值服务、互联网应用等电信服</w:t>
      </w:r>
      <w:r>
        <w:rPr>
          <w:spacing w:val="-65"/>
        </w:rPr>
        <w:t> </w:t>
      </w:r>
      <w:r>
        <w:rPr>
          <w:spacing w:val="-65"/>
        </w:rPr>
      </w:r>
      <w:r>
        <w:rPr>
          <w:spacing w:val="-1"/>
        </w:rPr>
        <w:t>务，以及销售或捆绑销售包括终端在内的通信产品。一般情况下，与个人用户签订的电信服务合</w:t>
      </w:r>
      <w:r>
        <w:rPr>
          <w:spacing w:val="-65"/>
        </w:rPr>
        <w:t> </w:t>
      </w:r>
      <w:r>
        <w:rPr>
          <w:spacing w:val="-65"/>
        </w:rPr>
      </w:r>
      <w:r>
        <w:rPr>
          <w:spacing w:val="-1"/>
        </w:rPr>
        <w:t>同都是月度合同或者预计期限在一年以内的合同，与商务用户或政企客户签订的电信服务合同是</w:t>
      </w:r>
      <w:r>
        <w:rPr>
          <w:spacing w:val="-65"/>
        </w:rPr>
        <w:t> </w:t>
      </w:r>
      <w:r>
        <w:rPr>
          <w:spacing w:val="-65"/>
        </w:rPr>
      </w:r>
      <w:r>
        <w:rPr>
          <w:rFonts w:ascii="Arial" w:hAnsi="Arial" w:cs="Arial" w:eastAsia="Arial" w:hint="default"/>
        </w:rPr>
        <w:t>1</w:t>
      </w:r>
      <w:r>
        <w:rPr>
          <w:rFonts w:ascii="Arial" w:hAnsi="Arial" w:cs="Arial" w:eastAsia="Arial" w:hint="default"/>
          <w:spacing w:val="-5"/>
        </w:rPr>
        <w:t> </w:t>
      </w:r>
      <w:r>
        <w:rPr/>
        <w:t>至</w:t>
      </w:r>
      <w:r>
        <w:rPr>
          <w:spacing w:val="-56"/>
        </w:rPr>
        <w:t> </w:t>
      </w:r>
      <w:r>
        <w:rPr>
          <w:rFonts w:ascii="Arial" w:hAnsi="Arial" w:cs="Arial" w:eastAsia="Arial" w:hint="default"/>
        </w:rPr>
        <w:t>5</w:t>
      </w:r>
      <w:r>
        <w:rPr>
          <w:rFonts w:ascii="Arial" w:hAnsi="Arial" w:cs="Arial" w:eastAsia="Arial" w:hint="default"/>
          <w:spacing w:val="-5"/>
        </w:rPr>
        <w:t> </w:t>
      </w:r>
      <w:r>
        <w:rPr/>
        <w:t>年的固定期限合同。本集团每月按照固定的单价和实际服务量向大部分用户发出账单，并</w:t>
      </w:r>
      <w:r>
        <w:rPr>
          <w:w w:val="100"/>
        </w:rPr>
        <w:t> </w:t>
      </w:r>
      <w:r>
        <w:rPr>
          <w:spacing w:val="-1"/>
        </w:rPr>
        <w:t>获得收款权。本集团对于预计期限在一年或更短期限的合同，以及对于按履约义务完成进度即可</w:t>
      </w:r>
      <w:r>
        <w:rPr>
          <w:spacing w:val="-65"/>
        </w:rPr>
        <w:t> </w:t>
      </w:r>
      <w:r>
        <w:rPr>
          <w:spacing w:val="-65"/>
        </w:rPr>
      </w:r>
      <w:r>
        <w:rPr>
          <w:spacing w:val="-1"/>
        </w:rPr>
        <w:t>直接发出账单确认收入和收款权的合同，采用新收入准则允许的实际操作简化处理方法，因此，</w:t>
      </w:r>
      <w:r>
        <w:rPr>
          <w:spacing w:val="-65"/>
        </w:rPr>
        <w:t> </w:t>
      </w:r>
      <w:r>
        <w:rPr>
          <w:spacing w:val="-65"/>
        </w:rPr>
      </w:r>
      <w:r>
        <w:rPr/>
        <w:t>相关剩余履约义务的信息未予披露。</w:t>
      </w:r>
    </w:p>
    <w:p>
      <w:pPr>
        <w:spacing w:after="0" w:line="235" w:lineRule="auto"/>
        <w:jc w:val="both"/>
        <w:sectPr>
          <w:pgSz w:w="11910" w:h="16840"/>
          <w:pgMar w:header="0" w:footer="502" w:top="3040" w:bottom="700" w:left="1020" w:right="940"/>
        </w:sectPr>
      </w:pPr>
    </w:p>
    <w:p>
      <w:pPr>
        <w:spacing w:line="240" w:lineRule="auto" w:before="5"/>
        <w:rPr>
          <w:rFonts w:ascii="宋体" w:hAnsi="宋体" w:cs="宋体" w:eastAsia="宋体" w:hint="default"/>
          <w:sz w:val="23"/>
          <w:szCs w:val="23"/>
        </w:rPr>
      </w:pPr>
    </w:p>
    <w:tbl>
      <w:tblPr>
        <w:tblW w:w="0" w:type="auto"/>
        <w:jc w:val="left"/>
        <w:tblInd w:w="392" w:type="dxa"/>
        <w:tblLayout w:type="fixed"/>
        <w:tblCellMar>
          <w:top w:w="0" w:type="dxa"/>
          <w:left w:w="0" w:type="dxa"/>
          <w:bottom w:w="0" w:type="dxa"/>
          <w:right w:w="0" w:type="dxa"/>
        </w:tblCellMar>
        <w:tblLook w:val="01E0"/>
      </w:tblPr>
      <w:tblGrid>
        <w:gridCol w:w="4453"/>
        <w:gridCol w:w="2290"/>
        <w:gridCol w:w="166"/>
        <w:gridCol w:w="2191"/>
      </w:tblGrid>
      <w:tr>
        <w:trPr>
          <w:trHeight w:val="264" w:hRule="exact"/>
        </w:trPr>
        <w:tc>
          <w:tcPr>
            <w:tcW w:w="4453" w:type="dxa"/>
            <w:tcBorders>
              <w:top w:val="nil" w:sz="6" w:space="0" w:color="auto"/>
              <w:left w:val="nil" w:sz="6" w:space="0" w:color="auto"/>
              <w:bottom w:val="nil" w:sz="6" w:space="0" w:color="auto"/>
              <w:right w:val="nil" w:sz="6" w:space="0" w:color="auto"/>
            </w:tcBorders>
          </w:tcPr>
          <w:p>
            <w:pPr/>
          </w:p>
        </w:tc>
        <w:tc>
          <w:tcPr>
            <w:tcW w:w="2290" w:type="dxa"/>
            <w:tcBorders>
              <w:top w:val="nil" w:sz="6" w:space="0" w:color="auto"/>
              <w:left w:val="nil" w:sz="6" w:space="0" w:color="auto"/>
              <w:bottom w:val="single" w:sz="6" w:space="0" w:color="000000"/>
              <w:right w:val="nil" w:sz="6" w:space="0" w:color="auto"/>
            </w:tcBorders>
          </w:tcPr>
          <w:p>
            <w:pPr>
              <w:pStyle w:val="TableParagraph"/>
              <w:spacing w:line="236" w:lineRule="exact"/>
              <w:ind w:right="113"/>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166" w:type="dxa"/>
            <w:tcBorders>
              <w:top w:val="nil" w:sz="6" w:space="0" w:color="auto"/>
              <w:left w:val="nil" w:sz="6" w:space="0" w:color="auto"/>
              <w:bottom w:val="nil" w:sz="6" w:space="0" w:color="auto"/>
              <w:right w:val="nil" w:sz="6" w:space="0" w:color="auto"/>
            </w:tcBorders>
          </w:tcPr>
          <w:p>
            <w:pPr/>
          </w:p>
        </w:tc>
        <w:tc>
          <w:tcPr>
            <w:tcW w:w="2191" w:type="dxa"/>
            <w:tcBorders>
              <w:top w:val="nil" w:sz="6" w:space="0" w:color="auto"/>
              <w:left w:val="nil" w:sz="6" w:space="0" w:color="auto"/>
              <w:bottom w:val="single" w:sz="6" w:space="0" w:color="000000"/>
              <w:right w:val="nil" w:sz="6" w:space="0" w:color="auto"/>
            </w:tcBorders>
          </w:tcPr>
          <w:p>
            <w:pPr>
              <w:pStyle w:val="TableParagraph"/>
              <w:spacing w:line="236" w:lineRule="exact"/>
              <w:ind w:right="113"/>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tc>
      </w:tr>
      <w:tr>
        <w:trPr>
          <w:trHeight w:val="545"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主营业务成本：</w:t>
            </w:r>
          </w:p>
        </w:tc>
        <w:tc>
          <w:tcPr>
            <w:tcW w:w="2290" w:type="dxa"/>
            <w:tcBorders>
              <w:top w:val="single" w:sz="6" w:space="0" w:color="000000"/>
              <w:left w:val="nil" w:sz="6" w:space="0" w:color="auto"/>
              <w:bottom w:val="nil" w:sz="6" w:space="0" w:color="auto"/>
              <w:right w:val="nil" w:sz="6" w:space="0" w:color="auto"/>
            </w:tcBorders>
          </w:tcPr>
          <w:p>
            <w:pPr/>
          </w:p>
        </w:tc>
        <w:tc>
          <w:tcPr>
            <w:tcW w:w="166" w:type="dxa"/>
            <w:tcBorders>
              <w:top w:val="nil" w:sz="6" w:space="0" w:color="auto"/>
              <w:left w:val="nil" w:sz="6" w:space="0" w:color="auto"/>
              <w:bottom w:val="nil" w:sz="6" w:space="0" w:color="auto"/>
              <w:right w:val="nil" w:sz="6" w:space="0" w:color="auto"/>
            </w:tcBorders>
          </w:tcPr>
          <w:p>
            <w:pPr/>
          </w:p>
        </w:tc>
        <w:tc>
          <w:tcPr>
            <w:tcW w:w="2191" w:type="dxa"/>
            <w:tcBorders>
              <w:top w:val="single" w:sz="6" w:space="0" w:color="000000"/>
              <w:left w:val="nil" w:sz="6" w:space="0" w:color="auto"/>
              <w:bottom w:val="nil" w:sz="6" w:space="0" w:color="auto"/>
              <w:right w:val="nil" w:sz="6" w:space="0" w:color="auto"/>
            </w:tcBorders>
          </w:tcPr>
          <w:p>
            <w:pPr/>
          </w:p>
        </w:tc>
      </w:tr>
      <w:tr>
        <w:trPr>
          <w:trHeight w:val="301"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52" w:lineRule="exact"/>
              <w:ind w:left="406" w:right="0"/>
              <w:jc w:val="left"/>
              <w:rPr>
                <w:rFonts w:ascii="宋体" w:hAnsi="宋体" w:cs="宋体" w:eastAsia="宋体" w:hint="default"/>
                <w:sz w:val="22"/>
                <w:szCs w:val="22"/>
              </w:rPr>
            </w:pPr>
            <w:r>
              <w:rPr>
                <w:rFonts w:ascii="宋体" w:hAnsi="宋体" w:cs="宋体" w:eastAsia="宋体" w:hint="default"/>
                <w:sz w:val="22"/>
                <w:szCs w:val="22"/>
              </w:rPr>
              <w:t>折旧及摊销</w:t>
            </w: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67"/>
              <w:jc w:val="right"/>
              <w:rPr>
                <w:rFonts w:ascii="Arial" w:hAnsi="Arial" w:cs="Arial" w:eastAsia="Arial" w:hint="default"/>
                <w:sz w:val="22"/>
                <w:szCs w:val="22"/>
              </w:rPr>
            </w:pPr>
            <w:r>
              <w:rPr>
                <w:rFonts w:ascii="Arial"/>
                <w:spacing w:val="-1"/>
                <w:sz w:val="22"/>
              </w:rPr>
              <w:t>79,093,194,078</w:t>
            </w:r>
          </w:p>
        </w:tc>
        <w:tc>
          <w:tcPr>
            <w:tcW w:w="166" w:type="dxa"/>
            <w:tcBorders>
              <w:top w:val="nil" w:sz="6" w:space="0" w:color="auto"/>
              <w:left w:val="nil" w:sz="6" w:space="0" w:color="auto"/>
              <w:bottom w:val="nil" w:sz="6" w:space="0" w:color="auto"/>
              <w:right w:val="nil" w:sz="6" w:space="0" w:color="auto"/>
            </w:tcBorders>
          </w:tcPr>
          <w:p>
            <w:pP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60"/>
              <w:jc w:val="right"/>
              <w:rPr>
                <w:rFonts w:ascii="Arial" w:hAnsi="Arial" w:cs="Arial" w:eastAsia="Arial" w:hint="default"/>
                <w:sz w:val="22"/>
                <w:szCs w:val="22"/>
              </w:rPr>
            </w:pPr>
            <w:r>
              <w:rPr>
                <w:rFonts w:ascii="Arial"/>
                <w:sz w:val="22"/>
              </w:rPr>
              <w:t>71,565,352,182</w:t>
            </w:r>
          </w:p>
        </w:tc>
      </w:tr>
      <w:tr>
        <w:trPr>
          <w:trHeight w:val="283"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39" w:lineRule="exact"/>
              <w:ind w:left="406" w:right="0"/>
              <w:jc w:val="left"/>
              <w:rPr>
                <w:rFonts w:ascii="宋体" w:hAnsi="宋体" w:cs="宋体" w:eastAsia="宋体" w:hint="default"/>
                <w:sz w:val="22"/>
                <w:szCs w:val="22"/>
              </w:rPr>
            </w:pPr>
            <w:r>
              <w:rPr>
                <w:rFonts w:ascii="宋体" w:hAnsi="宋体" w:cs="宋体" w:eastAsia="宋体" w:hint="default"/>
                <w:sz w:val="22"/>
                <w:szCs w:val="22"/>
              </w:rPr>
              <w:t>网间结算支出</w:t>
            </w: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5"/>
              <w:jc w:val="right"/>
              <w:rPr>
                <w:rFonts w:ascii="Arial" w:hAnsi="Arial" w:cs="Arial" w:eastAsia="Arial" w:hint="default"/>
                <w:sz w:val="22"/>
                <w:szCs w:val="22"/>
              </w:rPr>
            </w:pPr>
            <w:r>
              <w:rPr>
                <w:rFonts w:ascii="Arial"/>
                <w:sz w:val="22"/>
              </w:rPr>
              <w:t>11,512,876,268</w:t>
            </w:r>
          </w:p>
        </w:tc>
        <w:tc>
          <w:tcPr>
            <w:tcW w:w="166" w:type="dxa"/>
            <w:tcBorders>
              <w:top w:val="nil" w:sz="6" w:space="0" w:color="auto"/>
              <w:left w:val="nil" w:sz="6" w:space="0" w:color="auto"/>
              <w:bottom w:val="nil" w:sz="6" w:space="0" w:color="auto"/>
              <w:right w:val="nil" w:sz="6" w:space="0" w:color="auto"/>
            </w:tcBorders>
          </w:tcPr>
          <w:p>
            <w:pP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0"/>
              <w:jc w:val="right"/>
              <w:rPr>
                <w:rFonts w:ascii="Arial" w:hAnsi="Arial" w:cs="Arial" w:eastAsia="Arial" w:hint="default"/>
                <w:sz w:val="22"/>
                <w:szCs w:val="22"/>
              </w:rPr>
            </w:pPr>
            <w:r>
              <w:rPr>
                <w:rFonts w:ascii="Arial"/>
                <w:sz w:val="22"/>
              </w:rPr>
              <w:t>12,579,380,472</w:t>
            </w:r>
          </w:p>
        </w:tc>
      </w:tr>
      <w:tr>
        <w:trPr>
          <w:trHeight w:val="288"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39" w:lineRule="exact"/>
              <w:ind w:left="406" w:right="0"/>
              <w:jc w:val="left"/>
              <w:rPr>
                <w:rFonts w:ascii="宋体" w:hAnsi="宋体" w:cs="宋体" w:eastAsia="宋体" w:hint="default"/>
                <w:sz w:val="22"/>
                <w:szCs w:val="22"/>
              </w:rPr>
            </w:pPr>
            <w:r>
              <w:rPr>
                <w:rFonts w:ascii="宋体" w:hAnsi="宋体" w:cs="宋体" w:eastAsia="宋体" w:hint="default"/>
                <w:sz w:val="22"/>
                <w:szCs w:val="22"/>
              </w:rPr>
              <w:t>人工成本</w:t>
            </w: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65"/>
              <w:jc w:val="right"/>
              <w:rPr>
                <w:rFonts w:ascii="Arial" w:hAnsi="Arial" w:cs="Arial" w:eastAsia="Arial" w:hint="default"/>
                <w:sz w:val="22"/>
                <w:szCs w:val="22"/>
              </w:rPr>
            </w:pPr>
            <w:r>
              <w:rPr>
                <w:rFonts w:ascii="Arial"/>
                <w:sz w:val="22"/>
              </w:rPr>
              <w:t>35,980,056,689</w:t>
            </w:r>
          </w:p>
        </w:tc>
        <w:tc>
          <w:tcPr>
            <w:tcW w:w="166" w:type="dxa"/>
            <w:tcBorders>
              <w:top w:val="nil" w:sz="6" w:space="0" w:color="auto"/>
              <w:left w:val="nil" w:sz="6" w:space="0" w:color="auto"/>
              <w:bottom w:val="nil" w:sz="6" w:space="0" w:color="auto"/>
              <w:right w:val="nil" w:sz="6" w:space="0" w:color="auto"/>
            </w:tcBorders>
          </w:tcPr>
          <w:p>
            <w:pP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60"/>
              <w:jc w:val="right"/>
              <w:rPr>
                <w:rFonts w:ascii="Arial" w:hAnsi="Arial" w:cs="Arial" w:eastAsia="Arial" w:hint="default"/>
                <w:sz w:val="22"/>
                <w:szCs w:val="22"/>
              </w:rPr>
            </w:pPr>
            <w:r>
              <w:rPr>
                <w:rFonts w:ascii="Arial"/>
                <w:sz w:val="22"/>
              </w:rPr>
              <w:t>34,815,398,472</w:t>
            </w:r>
          </w:p>
        </w:tc>
      </w:tr>
      <w:tr>
        <w:trPr>
          <w:trHeight w:val="283"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39" w:lineRule="exact"/>
              <w:ind w:left="406" w:right="0"/>
              <w:jc w:val="left"/>
              <w:rPr>
                <w:rFonts w:ascii="宋体" w:hAnsi="宋体" w:cs="宋体" w:eastAsia="宋体" w:hint="default"/>
                <w:sz w:val="22"/>
                <w:szCs w:val="22"/>
              </w:rPr>
            </w:pPr>
            <w:r>
              <w:rPr>
                <w:rFonts w:ascii="宋体" w:hAnsi="宋体" w:cs="宋体" w:eastAsia="宋体" w:hint="default"/>
                <w:sz w:val="22"/>
                <w:szCs w:val="22"/>
              </w:rPr>
              <w:t>网络运行及支撑成本</w:t>
            </w: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5"/>
              <w:jc w:val="right"/>
              <w:rPr>
                <w:rFonts w:ascii="Arial" w:hAnsi="Arial" w:cs="Arial" w:eastAsia="Arial" w:hint="default"/>
                <w:sz w:val="22"/>
                <w:szCs w:val="22"/>
              </w:rPr>
            </w:pPr>
            <w:r>
              <w:rPr>
                <w:rFonts w:ascii="Arial"/>
                <w:sz w:val="22"/>
              </w:rPr>
              <w:t>43,236,311,023</w:t>
            </w:r>
          </w:p>
        </w:tc>
        <w:tc>
          <w:tcPr>
            <w:tcW w:w="166" w:type="dxa"/>
            <w:tcBorders>
              <w:top w:val="nil" w:sz="6" w:space="0" w:color="auto"/>
              <w:left w:val="nil" w:sz="6" w:space="0" w:color="auto"/>
              <w:bottom w:val="nil" w:sz="6" w:space="0" w:color="auto"/>
              <w:right w:val="nil" w:sz="6" w:space="0" w:color="auto"/>
            </w:tcBorders>
          </w:tcPr>
          <w:p>
            <w:pP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0"/>
              <w:jc w:val="right"/>
              <w:rPr>
                <w:rFonts w:ascii="Arial" w:hAnsi="Arial" w:cs="Arial" w:eastAsia="Arial" w:hint="default"/>
                <w:sz w:val="22"/>
                <w:szCs w:val="22"/>
              </w:rPr>
            </w:pPr>
            <w:r>
              <w:rPr>
                <w:rFonts w:ascii="Arial"/>
                <w:sz w:val="22"/>
              </w:rPr>
              <w:t>55,076,898,324</w:t>
            </w:r>
          </w:p>
        </w:tc>
      </w:tr>
      <w:tr>
        <w:trPr>
          <w:trHeight w:val="283"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39" w:lineRule="exact"/>
              <w:ind w:left="406" w:right="0"/>
              <w:jc w:val="left"/>
              <w:rPr>
                <w:rFonts w:ascii="宋体" w:hAnsi="宋体" w:cs="宋体" w:eastAsia="宋体" w:hint="default"/>
                <w:sz w:val="22"/>
                <w:szCs w:val="22"/>
              </w:rPr>
            </w:pPr>
            <w:r>
              <w:rPr>
                <w:rFonts w:ascii="宋体" w:hAnsi="宋体" w:cs="宋体" w:eastAsia="宋体" w:hint="default"/>
                <w:sz w:val="22"/>
                <w:szCs w:val="22"/>
              </w:rPr>
              <w:t>技术服务成本</w:t>
            </w: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72"/>
              <w:jc w:val="right"/>
              <w:rPr>
                <w:rFonts w:ascii="Arial" w:hAnsi="Arial" w:cs="Arial" w:eastAsia="Arial" w:hint="default"/>
                <w:sz w:val="22"/>
                <w:szCs w:val="22"/>
              </w:rPr>
            </w:pPr>
            <w:r>
              <w:rPr>
                <w:rFonts w:ascii="Arial"/>
                <w:spacing w:val="-1"/>
                <w:sz w:val="22"/>
              </w:rPr>
              <w:t>8,217,473,598</w:t>
            </w:r>
          </w:p>
        </w:tc>
        <w:tc>
          <w:tcPr>
            <w:tcW w:w="166" w:type="dxa"/>
            <w:tcBorders>
              <w:top w:val="nil" w:sz="6" w:space="0" w:color="auto"/>
              <w:left w:val="nil" w:sz="6" w:space="0" w:color="auto"/>
              <w:bottom w:val="nil" w:sz="6" w:space="0" w:color="auto"/>
              <w:right w:val="nil" w:sz="6" w:space="0" w:color="auto"/>
            </w:tcBorders>
          </w:tcPr>
          <w:p>
            <w:pP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7"/>
              <w:jc w:val="right"/>
              <w:rPr>
                <w:rFonts w:ascii="Arial" w:hAnsi="Arial" w:cs="Arial" w:eastAsia="Arial" w:hint="default"/>
                <w:sz w:val="22"/>
                <w:szCs w:val="22"/>
              </w:rPr>
            </w:pPr>
            <w:r>
              <w:rPr>
                <w:rFonts w:ascii="Arial"/>
                <w:spacing w:val="-1"/>
                <w:sz w:val="22"/>
              </w:rPr>
              <w:t>4,580,963,320</w:t>
            </w:r>
          </w:p>
        </w:tc>
      </w:tr>
      <w:tr>
        <w:trPr>
          <w:trHeight w:val="295"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39" w:lineRule="exact"/>
              <w:ind w:left="406"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290" w:type="dxa"/>
            <w:tcBorders>
              <w:top w:val="nil" w:sz="6" w:space="0" w:color="auto"/>
              <w:left w:val="nil" w:sz="6" w:space="0" w:color="auto"/>
              <w:bottom w:val="nil" w:sz="6" w:space="0" w:color="auto"/>
              <w:right w:val="nil" w:sz="6" w:space="0" w:color="auto"/>
            </w:tcBorders>
          </w:tcPr>
          <w:p>
            <w:pPr>
              <w:pStyle w:val="TableParagraph"/>
              <w:tabs>
                <w:tab w:pos="806" w:val="left" w:leader="none"/>
                <w:tab w:pos="2275" w:val="left" w:leader="none"/>
              </w:tabs>
              <w:spacing w:line="240" w:lineRule="auto" w:before="21"/>
              <w:ind w:right="12"/>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9,681,316,684</w:t>
              <w:tab/>
            </w:r>
            <w:r>
              <w:rPr>
                <w:rFonts w:ascii="Arial"/>
                <w:spacing w:val="-1"/>
                <w:sz w:val="22"/>
              </w:rPr>
            </w:r>
          </w:p>
        </w:tc>
        <w:tc>
          <w:tcPr>
            <w:tcW w:w="166" w:type="dxa"/>
            <w:tcBorders>
              <w:top w:val="nil" w:sz="6" w:space="0" w:color="auto"/>
              <w:left w:val="nil" w:sz="6" w:space="0" w:color="auto"/>
              <w:bottom w:val="nil" w:sz="6" w:space="0" w:color="auto"/>
              <w:right w:val="nil" w:sz="6" w:space="0" w:color="auto"/>
            </w:tcBorders>
          </w:tcPr>
          <w:p>
            <w:pPr/>
          </w:p>
        </w:tc>
        <w:tc>
          <w:tcPr>
            <w:tcW w:w="2191" w:type="dxa"/>
            <w:tcBorders>
              <w:top w:val="nil" w:sz="6" w:space="0" w:color="auto"/>
              <w:left w:val="nil" w:sz="6" w:space="0" w:color="auto"/>
              <w:bottom w:val="nil" w:sz="6" w:space="0" w:color="auto"/>
              <w:right w:val="nil" w:sz="6" w:space="0" w:color="auto"/>
            </w:tcBorders>
          </w:tcPr>
          <w:p>
            <w:pPr>
              <w:pStyle w:val="TableParagraph"/>
              <w:tabs>
                <w:tab w:pos="705" w:val="left" w:leader="none"/>
              </w:tabs>
              <w:spacing w:line="240" w:lineRule="auto" w:before="21"/>
              <w:ind w:right="67"/>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7,363,628,826</w:t>
            </w:r>
            <w:r>
              <w:rPr>
                <w:rFonts w:ascii="Arial"/>
                <w:spacing w:val="-1"/>
                <w:sz w:val="22"/>
              </w:rPr>
            </w:r>
          </w:p>
        </w:tc>
      </w:tr>
      <w:tr>
        <w:trPr>
          <w:trHeight w:val="418"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46" w:lineRule="exact"/>
              <w:ind w:left="200" w:right="0"/>
              <w:jc w:val="left"/>
              <w:rPr>
                <w:rFonts w:ascii="宋体" w:hAnsi="宋体" w:cs="宋体" w:eastAsia="宋体" w:hint="default"/>
                <w:sz w:val="22"/>
                <w:szCs w:val="22"/>
              </w:rPr>
            </w:pPr>
            <w:r>
              <w:rPr>
                <w:rFonts w:ascii="宋体" w:hAnsi="宋体" w:cs="宋体" w:eastAsia="宋体" w:hint="default"/>
                <w:sz w:val="22"/>
                <w:szCs w:val="22"/>
              </w:rPr>
              <w:t>小计</w:t>
            </w: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72"/>
              <w:jc w:val="right"/>
              <w:rPr>
                <w:rFonts w:ascii="Arial" w:hAnsi="Arial" w:cs="Arial" w:eastAsia="Arial" w:hint="default"/>
                <w:sz w:val="22"/>
                <w:szCs w:val="22"/>
              </w:rPr>
            </w:pPr>
            <w:r>
              <w:rPr>
                <w:rFonts w:ascii="Arial"/>
                <w:spacing w:val="-1"/>
                <w:sz w:val="22"/>
              </w:rPr>
              <w:t>187,721,228,340</w:t>
            </w:r>
          </w:p>
        </w:tc>
        <w:tc>
          <w:tcPr>
            <w:tcW w:w="166" w:type="dxa"/>
            <w:tcBorders>
              <w:top w:val="nil" w:sz="6" w:space="0" w:color="auto"/>
              <w:left w:val="nil" w:sz="6" w:space="0" w:color="auto"/>
              <w:bottom w:val="nil" w:sz="6" w:space="0" w:color="auto"/>
              <w:right w:val="nil" w:sz="6" w:space="0" w:color="auto"/>
            </w:tcBorders>
          </w:tcPr>
          <w:p>
            <w:pP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7"/>
              <w:jc w:val="right"/>
              <w:rPr>
                <w:rFonts w:ascii="Arial" w:hAnsi="Arial" w:cs="Arial" w:eastAsia="Arial" w:hint="default"/>
                <w:sz w:val="22"/>
                <w:szCs w:val="22"/>
              </w:rPr>
            </w:pPr>
            <w:r>
              <w:rPr>
                <w:rFonts w:ascii="Arial"/>
                <w:spacing w:val="-1"/>
                <w:sz w:val="22"/>
              </w:rPr>
              <w:t>185,981,621,596</w:t>
            </w:r>
          </w:p>
        </w:tc>
      </w:tr>
      <w:tr>
        <w:trPr>
          <w:trHeight w:val="400"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40" w:lineRule="auto" w:before="78"/>
              <w:ind w:left="200" w:right="0"/>
              <w:jc w:val="left"/>
              <w:rPr>
                <w:rFonts w:ascii="宋体" w:hAnsi="宋体" w:cs="宋体" w:eastAsia="宋体" w:hint="default"/>
                <w:sz w:val="22"/>
                <w:szCs w:val="22"/>
              </w:rPr>
            </w:pPr>
            <w:r>
              <w:rPr>
                <w:rFonts w:ascii="宋体" w:hAnsi="宋体" w:cs="宋体" w:eastAsia="宋体" w:hint="default"/>
                <w:sz w:val="22"/>
                <w:szCs w:val="22"/>
              </w:rPr>
              <w:t>其他业务成本：</w:t>
            </w:r>
          </w:p>
        </w:tc>
        <w:tc>
          <w:tcPr>
            <w:tcW w:w="2290" w:type="dxa"/>
            <w:tcBorders>
              <w:top w:val="nil" w:sz="6" w:space="0" w:color="auto"/>
              <w:left w:val="nil" w:sz="6" w:space="0" w:color="auto"/>
              <w:bottom w:val="nil" w:sz="6" w:space="0" w:color="auto"/>
              <w:right w:val="nil" w:sz="6" w:space="0" w:color="auto"/>
            </w:tcBorders>
          </w:tcPr>
          <w:p>
            <w:pPr/>
          </w:p>
        </w:tc>
        <w:tc>
          <w:tcPr>
            <w:tcW w:w="166" w:type="dxa"/>
            <w:tcBorders>
              <w:top w:val="nil" w:sz="6" w:space="0" w:color="auto"/>
              <w:left w:val="nil" w:sz="6" w:space="0" w:color="auto"/>
              <w:bottom w:val="nil" w:sz="6" w:space="0" w:color="auto"/>
              <w:right w:val="nil" w:sz="6" w:space="0" w:color="auto"/>
            </w:tcBorders>
          </w:tcPr>
          <w:p>
            <w:pPr/>
          </w:p>
        </w:tc>
        <w:tc>
          <w:tcPr>
            <w:tcW w:w="2191" w:type="dxa"/>
            <w:tcBorders>
              <w:top w:val="nil" w:sz="6" w:space="0" w:color="auto"/>
              <w:left w:val="nil" w:sz="6" w:space="0" w:color="auto"/>
              <w:bottom w:val="nil" w:sz="6" w:space="0" w:color="auto"/>
              <w:right w:val="nil" w:sz="6" w:space="0" w:color="auto"/>
            </w:tcBorders>
          </w:tcPr>
          <w:p>
            <w:pPr/>
          </w:p>
        </w:tc>
      </w:tr>
      <w:tr>
        <w:trPr>
          <w:trHeight w:val="433"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54" w:lineRule="exact"/>
              <w:ind w:left="406" w:right="0"/>
              <w:jc w:val="left"/>
              <w:rPr>
                <w:rFonts w:ascii="宋体" w:hAnsi="宋体" w:cs="宋体" w:eastAsia="宋体" w:hint="default"/>
                <w:sz w:val="22"/>
                <w:szCs w:val="22"/>
              </w:rPr>
            </w:pPr>
            <w:r>
              <w:rPr>
                <w:rFonts w:ascii="宋体" w:hAnsi="宋体" w:cs="宋体" w:eastAsia="宋体" w:hint="default"/>
                <w:sz w:val="22"/>
                <w:szCs w:val="22"/>
              </w:rPr>
              <w:t>销售通信产品成本</w:t>
            </w:r>
          </w:p>
        </w:tc>
        <w:tc>
          <w:tcPr>
            <w:tcW w:w="2290" w:type="dxa"/>
            <w:tcBorders>
              <w:top w:val="nil" w:sz="6" w:space="0" w:color="auto"/>
              <w:left w:val="nil" w:sz="6" w:space="0" w:color="auto"/>
              <w:bottom w:val="nil" w:sz="6" w:space="0" w:color="auto"/>
              <w:right w:val="nil" w:sz="6" w:space="0" w:color="auto"/>
            </w:tcBorders>
          </w:tcPr>
          <w:p>
            <w:pPr>
              <w:pStyle w:val="TableParagraph"/>
              <w:tabs>
                <w:tab w:pos="686" w:val="left" w:leader="none"/>
              </w:tabs>
              <w:spacing w:line="240" w:lineRule="auto" w:before="31"/>
              <w:ind w:right="65"/>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26,411,828,676</w:t>
            </w:r>
            <w:r>
              <w:rPr>
                <w:rFonts w:ascii="Arial"/>
                <w:sz w:val="22"/>
              </w:rPr>
            </w:r>
          </w:p>
        </w:tc>
        <w:tc>
          <w:tcPr>
            <w:tcW w:w="166" w:type="dxa"/>
            <w:tcBorders>
              <w:top w:val="nil" w:sz="6" w:space="0" w:color="auto"/>
              <w:left w:val="nil" w:sz="6" w:space="0" w:color="auto"/>
              <w:bottom w:val="nil" w:sz="6" w:space="0" w:color="auto"/>
              <w:right w:val="nil" w:sz="6" w:space="0" w:color="auto"/>
            </w:tcBorders>
          </w:tcPr>
          <w:p>
            <w:pPr/>
          </w:p>
        </w:tc>
        <w:tc>
          <w:tcPr>
            <w:tcW w:w="2191" w:type="dxa"/>
            <w:tcBorders>
              <w:top w:val="nil" w:sz="6" w:space="0" w:color="auto"/>
              <w:left w:val="nil" w:sz="6" w:space="0" w:color="auto"/>
              <w:bottom w:val="nil" w:sz="6" w:space="0" w:color="auto"/>
              <w:right w:val="nil" w:sz="6" w:space="0" w:color="auto"/>
            </w:tcBorders>
          </w:tcPr>
          <w:p>
            <w:pPr>
              <w:pStyle w:val="TableParagraph"/>
              <w:tabs>
                <w:tab w:pos="585" w:val="left" w:leader="none"/>
              </w:tabs>
              <w:spacing w:line="240" w:lineRule="auto" w:before="31"/>
              <w:ind w:right="6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27,604,015,917</w:t>
            </w:r>
            <w:r>
              <w:rPr>
                <w:rFonts w:ascii="Arial"/>
                <w:sz w:val="22"/>
              </w:rPr>
            </w:r>
          </w:p>
        </w:tc>
      </w:tr>
      <w:tr>
        <w:trPr>
          <w:trHeight w:val="432" w:hRule="exact"/>
        </w:trPr>
        <w:tc>
          <w:tcPr>
            <w:tcW w:w="4453" w:type="dxa"/>
            <w:tcBorders>
              <w:top w:val="nil" w:sz="6" w:space="0" w:color="auto"/>
              <w:left w:val="nil" w:sz="6" w:space="0" w:color="auto"/>
              <w:bottom w:val="nil" w:sz="6" w:space="0" w:color="auto"/>
              <w:right w:val="nil" w:sz="6" w:space="0" w:color="auto"/>
            </w:tcBorders>
          </w:tcPr>
          <w:p>
            <w:pPr>
              <w:pStyle w:val="TableParagraph"/>
              <w:spacing w:line="240" w:lineRule="auto" w:before="85"/>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290"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right="67"/>
              <w:jc w:val="right"/>
              <w:rPr>
                <w:rFonts w:ascii="Arial" w:hAnsi="Arial" w:cs="Arial" w:eastAsia="Arial" w:hint="default"/>
                <w:sz w:val="22"/>
                <w:szCs w:val="22"/>
              </w:rPr>
            </w:pPr>
            <w:r>
              <w:rPr>
                <w:rFonts w:ascii="Arial"/>
                <w:spacing w:val="-1"/>
                <w:sz w:val="22"/>
              </w:rPr>
              <w:t>214,133,057,016</w:t>
            </w:r>
          </w:p>
        </w:tc>
        <w:tc>
          <w:tcPr>
            <w:tcW w:w="166" w:type="dxa"/>
            <w:tcBorders>
              <w:top w:val="nil" w:sz="6" w:space="0" w:color="auto"/>
              <w:left w:val="nil" w:sz="6" w:space="0" w:color="auto"/>
              <w:bottom w:val="nil" w:sz="6" w:space="0" w:color="auto"/>
              <w:right w:val="nil" w:sz="6" w:space="0" w:color="auto"/>
            </w:tcBorders>
          </w:tcPr>
          <w:p>
            <w:pPr/>
          </w:p>
        </w:tc>
        <w:tc>
          <w:tcPr>
            <w:tcW w:w="2191"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right="67"/>
              <w:jc w:val="right"/>
              <w:rPr>
                <w:rFonts w:ascii="Arial" w:hAnsi="Arial" w:cs="Arial" w:eastAsia="Arial" w:hint="default"/>
                <w:sz w:val="22"/>
                <w:szCs w:val="22"/>
              </w:rPr>
            </w:pPr>
            <w:r>
              <w:rPr>
                <w:rFonts w:ascii="Arial"/>
                <w:spacing w:val="-1"/>
                <w:sz w:val="22"/>
              </w:rPr>
              <w:t>213,585,637,513</w:t>
            </w:r>
          </w:p>
        </w:tc>
      </w:tr>
    </w:tbl>
    <w:p>
      <w:pPr>
        <w:spacing w:line="240" w:lineRule="auto" w:before="10"/>
        <w:rPr>
          <w:rFonts w:ascii="宋体" w:hAnsi="宋体" w:cs="宋体" w:eastAsia="宋体" w:hint="default"/>
          <w:sz w:val="13"/>
          <w:szCs w:val="13"/>
        </w:rPr>
      </w:pPr>
    </w:p>
    <w:p>
      <w:pPr>
        <w:pStyle w:val="BodyText"/>
        <w:spacing w:line="240" w:lineRule="auto" w:before="32"/>
        <w:ind w:left="112" w:right="0"/>
        <w:jc w:val="left"/>
      </w:pPr>
      <w:r>
        <w:rPr>
          <w:rFonts w:ascii="Arial" w:hAnsi="Arial" w:cs="Arial" w:eastAsia="Arial" w:hint="default"/>
        </w:rPr>
        <w:t>38</w:t>
      </w:r>
      <w:r>
        <w:rPr/>
        <w:t>、税金及附加</w:t>
      </w:r>
    </w:p>
    <w:p>
      <w:pPr>
        <w:spacing w:line="240" w:lineRule="auto" w:before="7"/>
        <w:rPr>
          <w:rFonts w:ascii="宋体" w:hAnsi="宋体" w:cs="宋体" w:eastAsia="宋体" w:hint="default"/>
          <w:sz w:val="21"/>
          <w:szCs w:val="21"/>
        </w:rPr>
      </w:pPr>
    </w:p>
    <w:tbl>
      <w:tblPr>
        <w:tblW w:w="0" w:type="auto"/>
        <w:jc w:val="left"/>
        <w:tblInd w:w="364" w:type="dxa"/>
        <w:tblLayout w:type="fixed"/>
        <w:tblCellMar>
          <w:top w:w="0" w:type="dxa"/>
          <w:left w:w="0" w:type="dxa"/>
          <w:bottom w:w="0" w:type="dxa"/>
          <w:right w:w="0" w:type="dxa"/>
        </w:tblCellMar>
        <w:tblLook w:val="01E0"/>
      </w:tblPr>
      <w:tblGrid>
        <w:gridCol w:w="4573"/>
        <w:gridCol w:w="2275"/>
        <w:gridCol w:w="118"/>
        <w:gridCol w:w="2244"/>
      </w:tblGrid>
      <w:tr>
        <w:trPr>
          <w:trHeight w:val="259" w:hRule="exact"/>
        </w:trPr>
        <w:tc>
          <w:tcPr>
            <w:tcW w:w="4573" w:type="dxa"/>
            <w:tcBorders>
              <w:top w:val="nil" w:sz="6" w:space="0" w:color="auto"/>
              <w:left w:val="nil" w:sz="6" w:space="0" w:color="auto"/>
              <w:bottom w:val="nil" w:sz="6" w:space="0" w:color="auto"/>
              <w:right w:val="nil" w:sz="6" w:space="0" w:color="auto"/>
            </w:tcBorders>
          </w:tcPr>
          <w:p>
            <w:pPr/>
          </w:p>
        </w:tc>
        <w:tc>
          <w:tcPr>
            <w:tcW w:w="2275" w:type="dxa"/>
            <w:tcBorders>
              <w:top w:val="nil" w:sz="6" w:space="0" w:color="auto"/>
              <w:left w:val="nil" w:sz="6" w:space="0" w:color="auto"/>
              <w:bottom w:val="single" w:sz="6" w:space="0" w:color="000000"/>
              <w:right w:val="nil" w:sz="6" w:space="0" w:color="auto"/>
            </w:tcBorders>
          </w:tcPr>
          <w:p>
            <w:pPr>
              <w:pStyle w:val="TableParagraph"/>
              <w:spacing w:line="236" w:lineRule="exact"/>
              <w:ind w:right="7"/>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118" w:type="dxa"/>
            <w:tcBorders>
              <w:top w:val="nil" w:sz="6" w:space="0" w:color="auto"/>
              <w:left w:val="nil" w:sz="6" w:space="0" w:color="auto"/>
              <w:bottom w:val="nil" w:sz="6" w:space="0" w:color="auto"/>
              <w:right w:val="nil" w:sz="6" w:space="0" w:color="auto"/>
            </w:tcBorders>
          </w:tcPr>
          <w:p>
            <w:pPr/>
          </w:p>
        </w:tc>
        <w:tc>
          <w:tcPr>
            <w:tcW w:w="2244" w:type="dxa"/>
            <w:tcBorders>
              <w:top w:val="nil" w:sz="6" w:space="0" w:color="auto"/>
              <w:left w:val="nil" w:sz="6" w:space="0" w:color="auto"/>
              <w:bottom w:val="single" w:sz="6" w:space="0" w:color="000000"/>
              <w:right w:val="nil" w:sz="6" w:space="0" w:color="auto"/>
            </w:tcBorders>
          </w:tcPr>
          <w:p>
            <w:pPr>
              <w:pStyle w:val="TableParagraph"/>
              <w:spacing w:line="236" w:lineRule="exact"/>
              <w:ind w:right="7"/>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tc>
      </w:tr>
      <w:tr>
        <w:trPr>
          <w:trHeight w:val="557" w:hRule="exact"/>
        </w:trPr>
        <w:tc>
          <w:tcPr>
            <w:tcW w:w="457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城市维护建设税及教育费附加等</w:t>
            </w:r>
          </w:p>
        </w:tc>
        <w:tc>
          <w:tcPr>
            <w:tcW w:w="2275"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51"/>
              <w:jc w:val="right"/>
              <w:rPr>
                <w:rFonts w:ascii="Arial" w:hAnsi="Arial" w:cs="Arial" w:eastAsia="Arial" w:hint="default"/>
                <w:sz w:val="22"/>
                <w:szCs w:val="22"/>
              </w:rPr>
            </w:pPr>
            <w:r>
              <w:rPr>
                <w:rFonts w:ascii="Arial"/>
                <w:sz w:val="22"/>
              </w:rPr>
              <w:t>179,667,716</w:t>
            </w:r>
          </w:p>
        </w:tc>
        <w:tc>
          <w:tcPr>
            <w:tcW w:w="118" w:type="dxa"/>
            <w:tcBorders>
              <w:top w:val="nil" w:sz="6" w:space="0" w:color="auto"/>
              <w:left w:val="nil" w:sz="6" w:space="0" w:color="auto"/>
              <w:bottom w:val="nil" w:sz="6" w:space="0" w:color="auto"/>
              <w:right w:val="nil" w:sz="6" w:space="0" w:color="auto"/>
            </w:tcBorders>
          </w:tcPr>
          <w:p>
            <w:pPr/>
          </w:p>
        </w:tc>
        <w:tc>
          <w:tcPr>
            <w:tcW w:w="2244"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48"/>
              <w:jc w:val="right"/>
              <w:rPr>
                <w:rFonts w:ascii="Arial" w:hAnsi="Arial" w:cs="Arial" w:eastAsia="Arial" w:hint="default"/>
                <w:sz w:val="22"/>
                <w:szCs w:val="22"/>
              </w:rPr>
            </w:pPr>
            <w:r>
              <w:rPr>
                <w:rFonts w:ascii="Arial"/>
                <w:spacing w:val="-1"/>
                <w:sz w:val="22"/>
              </w:rPr>
              <w:t>295,994,293</w:t>
            </w:r>
          </w:p>
        </w:tc>
      </w:tr>
      <w:tr>
        <w:trPr>
          <w:trHeight w:val="288" w:hRule="exact"/>
        </w:trPr>
        <w:tc>
          <w:tcPr>
            <w:tcW w:w="4573"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房产税</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
              <w:jc w:val="right"/>
              <w:rPr>
                <w:rFonts w:ascii="Arial" w:hAnsi="Arial" w:cs="Arial" w:eastAsia="Arial" w:hint="default"/>
                <w:sz w:val="22"/>
                <w:szCs w:val="22"/>
              </w:rPr>
            </w:pPr>
            <w:r>
              <w:rPr>
                <w:rFonts w:ascii="Arial"/>
                <w:sz w:val="22"/>
              </w:rPr>
              <w:t>772,106,867</w:t>
            </w:r>
          </w:p>
        </w:tc>
        <w:tc>
          <w:tcPr>
            <w:tcW w:w="118" w:type="dxa"/>
            <w:tcBorders>
              <w:top w:val="nil" w:sz="6" w:space="0" w:color="auto"/>
              <w:left w:val="nil" w:sz="6" w:space="0" w:color="auto"/>
              <w:bottom w:val="nil" w:sz="6" w:space="0" w:color="auto"/>
              <w:right w:val="nil" w:sz="6" w:space="0" w:color="auto"/>
            </w:tcBorders>
          </w:tcPr>
          <w:p>
            <w:pPr/>
          </w:p>
        </w:tc>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8"/>
              <w:jc w:val="right"/>
              <w:rPr>
                <w:rFonts w:ascii="Arial" w:hAnsi="Arial" w:cs="Arial" w:eastAsia="Arial" w:hint="default"/>
                <w:sz w:val="22"/>
                <w:szCs w:val="22"/>
              </w:rPr>
            </w:pPr>
            <w:r>
              <w:rPr>
                <w:rFonts w:ascii="Arial"/>
                <w:spacing w:val="-1"/>
                <w:sz w:val="22"/>
              </w:rPr>
              <w:t>774,748,413</w:t>
            </w:r>
          </w:p>
        </w:tc>
      </w:tr>
      <w:tr>
        <w:trPr>
          <w:trHeight w:val="418" w:hRule="exact"/>
        </w:trPr>
        <w:tc>
          <w:tcPr>
            <w:tcW w:w="4573"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275" w:type="dxa"/>
            <w:tcBorders>
              <w:top w:val="nil" w:sz="6" w:space="0" w:color="auto"/>
              <w:left w:val="nil" w:sz="6" w:space="0" w:color="auto"/>
              <w:bottom w:val="nil" w:sz="6" w:space="0" w:color="auto"/>
              <w:right w:val="nil" w:sz="6" w:space="0" w:color="auto"/>
            </w:tcBorders>
          </w:tcPr>
          <w:p>
            <w:pPr>
              <w:pStyle w:val="TableParagraph"/>
              <w:tabs>
                <w:tab w:pos="993" w:val="left" w:leader="none"/>
              </w:tabs>
              <w:spacing w:line="240" w:lineRule="auto" w:before="16"/>
              <w:ind w:right="51"/>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284,490,521</w:t>
            </w:r>
            <w:r>
              <w:rPr>
                <w:rFonts w:ascii="Arial"/>
                <w:sz w:val="22"/>
              </w:rPr>
            </w:r>
          </w:p>
        </w:tc>
        <w:tc>
          <w:tcPr>
            <w:tcW w:w="118" w:type="dxa"/>
            <w:tcBorders>
              <w:top w:val="nil" w:sz="6" w:space="0" w:color="auto"/>
              <w:left w:val="nil" w:sz="6" w:space="0" w:color="auto"/>
              <w:bottom w:val="nil" w:sz="6" w:space="0" w:color="auto"/>
              <w:right w:val="nil" w:sz="6" w:space="0" w:color="auto"/>
            </w:tcBorders>
          </w:tcPr>
          <w:p>
            <w:pPr/>
          </w:p>
        </w:tc>
        <w:tc>
          <w:tcPr>
            <w:tcW w:w="2244" w:type="dxa"/>
            <w:tcBorders>
              <w:top w:val="nil" w:sz="6" w:space="0" w:color="auto"/>
              <w:left w:val="nil" w:sz="6" w:space="0" w:color="auto"/>
              <w:bottom w:val="nil" w:sz="6" w:space="0" w:color="auto"/>
              <w:right w:val="nil" w:sz="6" w:space="0" w:color="auto"/>
            </w:tcBorders>
          </w:tcPr>
          <w:p>
            <w:pPr>
              <w:pStyle w:val="TableParagraph"/>
              <w:tabs>
                <w:tab w:pos="955" w:val="left" w:leader="none"/>
              </w:tabs>
              <w:spacing w:line="240" w:lineRule="auto" w:before="16"/>
              <w:ind w:right="51"/>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318,728,278</w:t>
            </w:r>
            <w:r>
              <w:rPr>
                <w:rFonts w:ascii="Arial"/>
                <w:sz w:val="22"/>
              </w:rPr>
            </w:r>
          </w:p>
        </w:tc>
      </w:tr>
      <w:tr>
        <w:trPr>
          <w:trHeight w:val="432" w:hRule="exact"/>
        </w:trPr>
        <w:tc>
          <w:tcPr>
            <w:tcW w:w="4573" w:type="dxa"/>
            <w:tcBorders>
              <w:top w:val="nil" w:sz="6" w:space="0" w:color="auto"/>
              <w:left w:val="nil" w:sz="6" w:space="0" w:color="auto"/>
              <w:bottom w:val="nil" w:sz="6" w:space="0" w:color="auto"/>
              <w:right w:val="nil" w:sz="6" w:space="0" w:color="auto"/>
            </w:tcBorders>
          </w:tcPr>
          <w:p>
            <w:pPr>
              <w:pStyle w:val="TableParagraph"/>
              <w:spacing w:line="240" w:lineRule="auto" w:before="85"/>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275" w:type="dxa"/>
            <w:tcBorders>
              <w:top w:val="nil" w:sz="6" w:space="0" w:color="auto"/>
              <w:left w:val="nil" w:sz="6" w:space="0" w:color="auto"/>
              <w:bottom w:val="single" w:sz="17" w:space="0" w:color="000000"/>
              <w:right w:val="nil" w:sz="6" w:space="0" w:color="auto"/>
            </w:tcBorders>
          </w:tcPr>
          <w:p>
            <w:pPr>
              <w:pStyle w:val="TableParagraph"/>
              <w:spacing w:line="240" w:lineRule="auto" w:before="155"/>
              <w:ind w:right="48"/>
              <w:jc w:val="right"/>
              <w:rPr>
                <w:rFonts w:ascii="Arial" w:hAnsi="Arial" w:cs="Arial" w:eastAsia="Arial" w:hint="default"/>
                <w:sz w:val="22"/>
                <w:szCs w:val="22"/>
              </w:rPr>
            </w:pPr>
            <w:r>
              <w:rPr>
                <w:rFonts w:ascii="Arial"/>
                <w:spacing w:val="-1"/>
                <w:sz w:val="22"/>
              </w:rPr>
              <w:t>1,236,265,104</w:t>
            </w:r>
          </w:p>
        </w:tc>
        <w:tc>
          <w:tcPr>
            <w:tcW w:w="118" w:type="dxa"/>
            <w:tcBorders>
              <w:top w:val="nil" w:sz="6" w:space="0" w:color="auto"/>
              <w:left w:val="nil" w:sz="6" w:space="0" w:color="auto"/>
              <w:bottom w:val="nil" w:sz="6" w:space="0" w:color="auto"/>
              <w:right w:val="nil" w:sz="6" w:space="0" w:color="auto"/>
            </w:tcBorders>
          </w:tcPr>
          <w:p>
            <w:pPr/>
          </w:p>
        </w:tc>
        <w:tc>
          <w:tcPr>
            <w:tcW w:w="2244" w:type="dxa"/>
            <w:tcBorders>
              <w:top w:val="nil" w:sz="6" w:space="0" w:color="auto"/>
              <w:left w:val="nil" w:sz="6" w:space="0" w:color="auto"/>
              <w:bottom w:val="single" w:sz="17" w:space="0" w:color="000000"/>
              <w:right w:val="nil" w:sz="6" w:space="0" w:color="auto"/>
            </w:tcBorders>
          </w:tcPr>
          <w:p>
            <w:pPr>
              <w:pStyle w:val="TableParagraph"/>
              <w:spacing w:line="240" w:lineRule="auto" w:before="155"/>
              <w:ind w:right="48"/>
              <w:jc w:val="right"/>
              <w:rPr>
                <w:rFonts w:ascii="Arial" w:hAnsi="Arial" w:cs="Arial" w:eastAsia="Arial" w:hint="default"/>
                <w:sz w:val="22"/>
                <w:szCs w:val="22"/>
              </w:rPr>
            </w:pPr>
            <w:r>
              <w:rPr>
                <w:rFonts w:ascii="Arial"/>
                <w:spacing w:val="-1"/>
                <w:sz w:val="22"/>
              </w:rPr>
              <w:t>1,389,470,984</w:t>
            </w:r>
          </w:p>
        </w:tc>
      </w:tr>
    </w:tbl>
    <w:p>
      <w:pPr>
        <w:spacing w:line="240" w:lineRule="auto" w:before="4"/>
        <w:rPr>
          <w:rFonts w:ascii="宋体" w:hAnsi="宋体" w:cs="宋体" w:eastAsia="宋体" w:hint="default"/>
          <w:sz w:val="12"/>
          <w:szCs w:val="12"/>
        </w:rPr>
      </w:pPr>
    </w:p>
    <w:p>
      <w:pPr>
        <w:pStyle w:val="BodyText"/>
        <w:spacing w:line="240" w:lineRule="auto" w:before="32"/>
        <w:ind w:left="112" w:right="0"/>
        <w:jc w:val="left"/>
      </w:pPr>
      <w:r>
        <w:rPr>
          <w:rFonts w:ascii="Arial" w:hAnsi="Arial" w:cs="Arial" w:eastAsia="Arial" w:hint="default"/>
        </w:rPr>
        <w:t>39</w:t>
      </w:r>
      <w:r>
        <w:rPr/>
        <w:t>、销售费用</w:t>
      </w:r>
    </w:p>
    <w:p>
      <w:pPr>
        <w:spacing w:line="240" w:lineRule="auto" w:before="0"/>
        <w:rPr>
          <w:rFonts w:ascii="宋体" w:hAnsi="宋体" w:cs="宋体" w:eastAsia="宋体" w:hint="default"/>
          <w:sz w:val="23"/>
          <w:szCs w:val="23"/>
        </w:rPr>
      </w:pPr>
    </w:p>
    <w:tbl>
      <w:tblPr>
        <w:tblW w:w="0" w:type="auto"/>
        <w:jc w:val="left"/>
        <w:tblInd w:w="383" w:type="dxa"/>
        <w:tblLayout w:type="fixed"/>
        <w:tblCellMar>
          <w:top w:w="0" w:type="dxa"/>
          <w:left w:w="0" w:type="dxa"/>
          <w:bottom w:w="0" w:type="dxa"/>
          <w:right w:w="0" w:type="dxa"/>
        </w:tblCellMar>
        <w:tblLook w:val="01E0"/>
      </w:tblPr>
      <w:tblGrid>
        <w:gridCol w:w="4530"/>
        <w:gridCol w:w="2285"/>
        <w:gridCol w:w="156"/>
        <w:gridCol w:w="2220"/>
      </w:tblGrid>
      <w:tr>
        <w:trPr>
          <w:trHeight w:val="257" w:hRule="exact"/>
        </w:trPr>
        <w:tc>
          <w:tcPr>
            <w:tcW w:w="4530" w:type="dxa"/>
            <w:tcBorders>
              <w:top w:val="nil" w:sz="6" w:space="0" w:color="auto"/>
              <w:left w:val="nil" w:sz="6" w:space="0" w:color="auto"/>
              <w:bottom w:val="nil" w:sz="6" w:space="0" w:color="auto"/>
              <w:right w:val="nil" w:sz="6" w:space="0" w:color="auto"/>
            </w:tcBorders>
          </w:tcPr>
          <w:p>
            <w:pPr/>
          </w:p>
        </w:tc>
        <w:tc>
          <w:tcPr>
            <w:tcW w:w="2285" w:type="dxa"/>
            <w:tcBorders>
              <w:top w:val="nil" w:sz="6" w:space="0" w:color="auto"/>
              <w:left w:val="nil" w:sz="6" w:space="0" w:color="auto"/>
              <w:bottom w:val="single" w:sz="4" w:space="0" w:color="000000"/>
              <w:right w:val="nil" w:sz="6" w:space="0" w:color="auto"/>
            </w:tcBorders>
          </w:tcPr>
          <w:p>
            <w:pPr>
              <w:pStyle w:val="TableParagraph"/>
              <w:spacing w:line="236" w:lineRule="exact"/>
              <w:ind w:right="7"/>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156"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single" w:sz="4" w:space="0" w:color="000000"/>
              <w:right w:val="nil" w:sz="6" w:space="0" w:color="auto"/>
            </w:tcBorders>
          </w:tcPr>
          <w:p>
            <w:pPr>
              <w:pStyle w:val="TableParagraph"/>
              <w:spacing w:line="236" w:lineRule="exact"/>
              <w:ind w:right="7"/>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tc>
      </w:tr>
      <w:tr>
        <w:trPr>
          <w:trHeight w:val="560" w:hRule="exact"/>
        </w:trPr>
        <w:tc>
          <w:tcPr>
            <w:tcW w:w="453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销售渠道费用</w:t>
            </w:r>
          </w:p>
        </w:tc>
        <w:tc>
          <w:tcPr>
            <w:tcW w:w="2285"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7"/>
              <w:jc w:val="right"/>
              <w:rPr>
                <w:rFonts w:ascii="Arial" w:hAnsi="Arial" w:cs="Arial" w:eastAsia="Arial" w:hint="default"/>
                <w:sz w:val="22"/>
                <w:szCs w:val="22"/>
              </w:rPr>
            </w:pPr>
            <w:r>
              <w:rPr>
                <w:rFonts w:ascii="Arial"/>
                <w:sz w:val="22"/>
              </w:rPr>
              <w:t>23,010,307,366</w:t>
            </w:r>
          </w:p>
        </w:tc>
        <w:tc>
          <w:tcPr>
            <w:tcW w:w="156" w:type="dxa"/>
            <w:tcBorders>
              <w:top w:val="nil" w:sz="6" w:space="0" w:color="auto"/>
              <w:left w:val="nil" w:sz="6" w:space="0" w:color="auto"/>
              <w:bottom w:val="nil" w:sz="6" w:space="0" w:color="auto"/>
              <w:right w:val="nil" w:sz="6" w:space="0" w:color="auto"/>
            </w:tcBorders>
          </w:tcPr>
          <w:p>
            <w:pPr/>
          </w:p>
        </w:tc>
        <w:tc>
          <w:tcPr>
            <w:tcW w:w="2220"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7"/>
              <w:jc w:val="right"/>
              <w:rPr>
                <w:rFonts w:ascii="Arial" w:hAnsi="Arial" w:cs="Arial" w:eastAsia="Arial" w:hint="default"/>
                <w:sz w:val="22"/>
                <w:szCs w:val="22"/>
              </w:rPr>
            </w:pPr>
            <w:r>
              <w:rPr>
                <w:rFonts w:ascii="Arial"/>
                <w:sz w:val="22"/>
              </w:rPr>
              <w:t>23,151,022,969</w:t>
            </w:r>
          </w:p>
        </w:tc>
      </w:tr>
      <w:tr>
        <w:trPr>
          <w:trHeight w:val="283" w:hRule="exact"/>
        </w:trPr>
        <w:tc>
          <w:tcPr>
            <w:tcW w:w="453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广告及业务宣传费</w:t>
            </w: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3"/>
              <w:jc w:val="right"/>
              <w:rPr>
                <w:rFonts w:ascii="Arial" w:hAnsi="Arial" w:cs="Arial" w:eastAsia="Arial" w:hint="default"/>
                <w:sz w:val="22"/>
                <w:szCs w:val="22"/>
              </w:rPr>
            </w:pPr>
            <w:r>
              <w:rPr>
                <w:rFonts w:ascii="Arial"/>
                <w:spacing w:val="-1"/>
                <w:sz w:val="22"/>
              </w:rPr>
              <w:t>2,563,092,590</w:t>
            </w:r>
          </w:p>
        </w:tc>
        <w:tc>
          <w:tcPr>
            <w:tcW w:w="156"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9"/>
              <w:jc w:val="right"/>
              <w:rPr>
                <w:rFonts w:ascii="Arial" w:hAnsi="Arial" w:cs="Arial" w:eastAsia="Arial" w:hint="default"/>
                <w:sz w:val="22"/>
                <w:szCs w:val="22"/>
              </w:rPr>
            </w:pPr>
            <w:r>
              <w:rPr>
                <w:rFonts w:ascii="Arial"/>
                <w:spacing w:val="-1"/>
                <w:sz w:val="22"/>
              </w:rPr>
              <w:t>2,881,637,115</w:t>
            </w:r>
          </w:p>
        </w:tc>
      </w:tr>
      <w:tr>
        <w:trPr>
          <w:trHeight w:val="288" w:hRule="exact"/>
        </w:trPr>
        <w:tc>
          <w:tcPr>
            <w:tcW w:w="453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用户服务及维系成本</w:t>
            </w: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33"/>
              <w:jc w:val="right"/>
              <w:rPr>
                <w:rFonts w:ascii="Arial" w:hAnsi="Arial" w:cs="Arial" w:eastAsia="Arial" w:hint="default"/>
                <w:sz w:val="22"/>
                <w:szCs w:val="22"/>
              </w:rPr>
            </w:pPr>
            <w:r>
              <w:rPr>
                <w:rFonts w:ascii="Arial"/>
                <w:spacing w:val="-1"/>
                <w:sz w:val="22"/>
              </w:rPr>
              <w:t>3,600,769,601</w:t>
            </w:r>
          </w:p>
        </w:tc>
        <w:tc>
          <w:tcPr>
            <w:tcW w:w="156"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9"/>
              <w:jc w:val="right"/>
              <w:rPr>
                <w:rFonts w:ascii="Arial" w:hAnsi="Arial" w:cs="Arial" w:eastAsia="Arial" w:hint="default"/>
                <w:sz w:val="22"/>
                <w:szCs w:val="22"/>
              </w:rPr>
            </w:pPr>
            <w:r>
              <w:rPr>
                <w:rFonts w:ascii="Arial"/>
                <w:spacing w:val="-1"/>
                <w:sz w:val="22"/>
              </w:rPr>
              <w:t>4,085,515,651</w:t>
            </w:r>
          </w:p>
        </w:tc>
      </w:tr>
      <w:tr>
        <w:trPr>
          <w:trHeight w:val="283" w:hRule="exact"/>
        </w:trPr>
        <w:tc>
          <w:tcPr>
            <w:tcW w:w="453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用户终端接入及维护成本</w:t>
            </w:r>
          </w:p>
        </w:tc>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3"/>
              <w:jc w:val="right"/>
              <w:rPr>
                <w:rFonts w:ascii="Arial" w:hAnsi="Arial" w:cs="Arial" w:eastAsia="Arial" w:hint="default"/>
                <w:sz w:val="22"/>
                <w:szCs w:val="22"/>
              </w:rPr>
            </w:pPr>
            <w:r>
              <w:rPr>
                <w:rFonts w:ascii="Arial"/>
                <w:spacing w:val="-1"/>
                <w:sz w:val="22"/>
              </w:rPr>
              <w:t>2,937,234,667</w:t>
            </w:r>
          </w:p>
        </w:tc>
        <w:tc>
          <w:tcPr>
            <w:tcW w:w="156"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9"/>
              <w:jc w:val="right"/>
              <w:rPr>
                <w:rFonts w:ascii="Arial" w:hAnsi="Arial" w:cs="Arial" w:eastAsia="Arial" w:hint="default"/>
                <w:sz w:val="22"/>
                <w:szCs w:val="22"/>
              </w:rPr>
            </w:pPr>
            <w:r>
              <w:rPr>
                <w:rFonts w:ascii="Arial"/>
                <w:spacing w:val="-1"/>
                <w:sz w:val="22"/>
              </w:rPr>
              <w:t>3,357,873,031</w:t>
            </w:r>
          </w:p>
        </w:tc>
      </w:tr>
      <w:tr>
        <w:trPr>
          <w:trHeight w:val="415" w:hRule="exact"/>
        </w:trPr>
        <w:tc>
          <w:tcPr>
            <w:tcW w:w="453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285" w:type="dxa"/>
            <w:tcBorders>
              <w:top w:val="nil" w:sz="6" w:space="0" w:color="auto"/>
              <w:left w:val="nil" w:sz="6" w:space="0" w:color="auto"/>
              <w:bottom w:val="nil" w:sz="6" w:space="0" w:color="auto"/>
              <w:right w:val="nil" w:sz="6" w:space="0" w:color="auto"/>
            </w:tcBorders>
          </w:tcPr>
          <w:p>
            <w:pPr>
              <w:pStyle w:val="TableParagraph"/>
              <w:tabs>
                <w:tab w:pos="839" w:val="left" w:leader="none"/>
              </w:tabs>
              <w:spacing w:line="240" w:lineRule="auto" w:before="16"/>
              <w:ind w:right="3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1,433,582,506</w:t>
            </w:r>
            <w:r>
              <w:rPr>
                <w:rFonts w:ascii="Arial"/>
                <w:spacing w:val="-1"/>
                <w:sz w:val="22"/>
              </w:rPr>
            </w:r>
          </w:p>
        </w:tc>
        <w:tc>
          <w:tcPr>
            <w:tcW w:w="156"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tabs>
                <w:tab w:pos="772" w:val="left" w:leader="none"/>
              </w:tabs>
              <w:spacing w:line="240" w:lineRule="auto" w:before="16"/>
              <w:ind w:right="29"/>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1,693,666,694</w:t>
            </w:r>
            <w:r>
              <w:rPr>
                <w:rFonts w:ascii="Arial"/>
                <w:spacing w:val="-1"/>
                <w:sz w:val="22"/>
              </w:rPr>
            </w:r>
          </w:p>
        </w:tc>
      </w:tr>
      <w:tr>
        <w:trPr>
          <w:trHeight w:val="429" w:hRule="exact"/>
        </w:trPr>
        <w:tc>
          <w:tcPr>
            <w:tcW w:w="453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285" w:type="dxa"/>
            <w:tcBorders>
              <w:top w:val="nil" w:sz="6" w:space="0" w:color="auto"/>
              <w:left w:val="nil" w:sz="6" w:space="0" w:color="auto"/>
              <w:bottom w:val="single" w:sz="17" w:space="0" w:color="000000"/>
              <w:right w:val="nil" w:sz="6" w:space="0" w:color="auto"/>
            </w:tcBorders>
          </w:tcPr>
          <w:p>
            <w:pPr>
              <w:pStyle w:val="TableParagraph"/>
              <w:spacing w:line="240" w:lineRule="auto" w:before="153"/>
              <w:ind w:right="27"/>
              <w:jc w:val="right"/>
              <w:rPr>
                <w:rFonts w:ascii="Arial" w:hAnsi="Arial" w:cs="Arial" w:eastAsia="Arial" w:hint="default"/>
                <w:sz w:val="22"/>
                <w:szCs w:val="22"/>
              </w:rPr>
            </w:pPr>
            <w:r>
              <w:rPr>
                <w:rFonts w:ascii="Arial"/>
                <w:sz w:val="22"/>
              </w:rPr>
              <w:t>33,544,986,730</w:t>
            </w:r>
          </w:p>
        </w:tc>
        <w:tc>
          <w:tcPr>
            <w:tcW w:w="156"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single" w:sz="17" w:space="0" w:color="000000"/>
              <w:right w:val="nil" w:sz="6" w:space="0" w:color="auto"/>
            </w:tcBorders>
          </w:tcPr>
          <w:p>
            <w:pPr>
              <w:pStyle w:val="TableParagraph"/>
              <w:spacing w:line="240" w:lineRule="auto" w:before="153"/>
              <w:ind w:right="27"/>
              <w:jc w:val="right"/>
              <w:rPr>
                <w:rFonts w:ascii="Arial" w:hAnsi="Arial" w:cs="Arial" w:eastAsia="Arial" w:hint="default"/>
                <w:sz w:val="22"/>
                <w:szCs w:val="22"/>
              </w:rPr>
            </w:pPr>
            <w:r>
              <w:rPr>
                <w:rFonts w:ascii="Arial"/>
                <w:sz w:val="22"/>
              </w:rPr>
              <w:t>35,169,715,460</w:t>
            </w:r>
          </w:p>
        </w:tc>
      </w:tr>
    </w:tbl>
    <w:p>
      <w:pPr>
        <w:spacing w:after="0" w:line="240" w:lineRule="auto"/>
        <w:jc w:val="right"/>
        <w:rPr>
          <w:rFonts w:ascii="Arial" w:hAnsi="Arial" w:cs="Arial" w:eastAsia="Arial" w:hint="default"/>
          <w:sz w:val="22"/>
          <w:szCs w:val="22"/>
        </w:rPr>
        <w:sectPr>
          <w:headerReference w:type="default" r:id="rId194"/>
          <w:pgSz w:w="11910" w:h="16840"/>
          <w:pgMar w:header="1188" w:footer="502" w:top="3600" w:bottom="700" w:left="1020" w:right="1200"/>
        </w:sectPr>
      </w:pPr>
    </w:p>
    <w:p>
      <w:pPr>
        <w:spacing w:line="240" w:lineRule="auto" w:before="5"/>
        <w:rPr>
          <w:rFonts w:ascii="宋体" w:hAnsi="宋体" w:cs="宋体" w:eastAsia="宋体" w:hint="default"/>
          <w:sz w:val="23"/>
          <w:szCs w:val="23"/>
        </w:rPr>
      </w:pPr>
    </w:p>
    <w:tbl>
      <w:tblPr>
        <w:tblW w:w="0" w:type="auto"/>
        <w:jc w:val="left"/>
        <w:tblInd w:w="383" w:type="dxa"/>
        <w:tblLayout w:type="fixed"/>
        <w:tblCellMar>
          <w:top w:w="0" w:type="dxa"/>
          <w:left w:w="0" w:type="dxa"/>
          <w:bottom w:w="0" w:type="dxa"/>
          <w:right w:w="0" w:type="dxa"/>
        </w:tblCellMar>
        <w:tblLook w:val="01E0"/>
      </w:tblPr>
      <w:tblGrid>
        <w:gridCol w:w="4530"/>
        <w:gridCol w:w="2242"/>
        <w:gridCol w:w="199"/>
        <w:gridCol w:w="2220"/>
      </w:tblGrid>
      <w:tr>
        <w:trPr>
          <w:trHeight w:val="264" w:hRule="exact"/>
        </w:trPr>
        <w:tc>
          <w:tcPr>
            <w:tcW w:w="4530" w:type="dxa"/>
            <w:tcBorders>
              <w:top w:val="nil" w:sz="6" w:space="0" w:color="auto"/>
              <w:left w:val="nil" w:sz="6" w:space="0" w:color="auto"/>
              <w:bottom w:val="nil" w:sz="6" w:space="0" w:color="auto"/>
              <w:right w:val="nil" w:sz="6" w:space="0" w:color="auto"/>
            </w:tcBorders>
          </w:tcPr>
          <w:p>
            <w:pPr/>
          </w:p>
        </w:tc>
        <w:tc>
          <w:tcPr>
            <w:tcW w:w="2242" w:type="dxa"/>
            <w:tcBorders>
              <w:top w:val="nil" w:sz="6" w:space="0" w:color="auto"/>
              <w:left w:val="nil" w:sz="6" w:space="0" w:color="auto"/>
              <w:bottom w:val="single" w:sz="6" w:space="0" w:color="000000"/>
              <w:right w:val="nil" w:sz="6" w:space="0" w:color="auto"/>
            </w:tcBorders>
          </w:tcPr>
          <w:p>
            <w:pPr>
              <w:pStyle w:val="TableParagraph"/>
              <w:spacing w:line="236" w:lineRule="exact"/>
              <w:ind w:right="7"/>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199"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single" w:sz="6" w:space="0" w:color="000000"/>
              <w:right w:val="nil" w:sz="6" w:space="0" w:color="auto"/>
            </w:tcBorders>
          </w:tcPr>
          <w:p>
            <w:pPr>
              <w:pStyle w:val="TableParagraph"/>
              <w:spacing w:line="236" w:lineRule="exact"/>
              <w:ind w:right="7"/>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tc>
      </w:tr>
      <w:tr>
        <w:trPr>
          <w:trHeight w:val="557" w:hRule="exact"/>
        </w:trPr>
        <w:tc>
          <w:tcPr>
            <w:tcW w:w="453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人工成本</w:t>
            </w:r>
          </w:p>
        </w:tc>
        <w:tc>
          <w:tcPr>
            <w:tcW w:w="2242"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2"/>
              <w:jc w:val="right"/>
              <w:rPr>
                <w:rFonts w:ascii="Arial" w:hAnsi="Arial" w:cs="Arial" w:eastAsia="Arial" w:hint="default"/>
                <w:sz w:val="22"/>
                <w:szCs w:val="22"/>
              </w:rPr>
            </w:pPr>
            <w:r>
              <w:rPr>
                <w:rFonts w:ascii="Arial"/>
                <w:sz w:val="22"/>
              </w:rPr>
              <w:t>13,516,126,538</w:t>
            </w:r>
          </w:p>
        </w:tc>
        <w:tc>
          <w:tcPr>
            <w:tcW w:w="199" w:type="dxa"/>
            <w:tcBorders>
              <w:top w:val="nil" w:sz="6" w:space="0" w:color="auto"/>
              <w:left w:val="nil" w:sz="6" w:space="0" w:color="auto"/>
              <w:bottom w:val="nil" w:sz="6" w:space="0" w:color="auto"/>
              <w:right w:val="nil" w:sz="6" w:space="0" w:color="auto"/>
            </w:tcBorders>
          </w:tcPr>
          <w:p>
            <w:pPr/>
          </w:p>
        </w:tc>
        <w:tc>
          <w:tcPr>
            <w:tcW w:w="2220"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2"/>
              <w:jc w:val="right"/>
              <w:rPr>
                <w:rFonts w:ascii="Arial" w:hAnsi="Arial" w:cs="Arial" w:eastAsia="Arial" w:hint="default"/>
                <w:sz w:val="22"/>
                <w:szCs w:val="22"/>
              </w:rPr>
            </w:pPr>
            <w:r>
              <w:rPr>
                <w:rFonts w:ascii="Arial"/>
                <w:sz w:val="22"/>
              </w:rPr>
              <w:t>13,327,244,437</w:t>
            </w:r>
          </w:p>
        </w:tc>
      </w:tr>
      <w:tr>
        <w:trPr>
          <w:trHeight w:val="288" w:hRule="exact"/>
        </w:trPr>
        <w:tc>
          <w:tcPr>
            <w:tcW w:w="453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办公及交通费</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9"/>
              <w:jc w:val="right"/>
              <w:rPr>
                <w:rFonts w:ascii="Arial" w:hAnsi="Arial" w:cs="Arial" w:eastAsia="Arial" w:hint="default"/>
                <w:sz w:val="22"/>
                <w:szCs w:val="22"/>
              </w:rPr>
            </w:pPr>
            <w:r>
              <w:rPr>
                <w:rFonts w:ascii="Arial"/>
                <w:spacing w:val="-1"/>
                <w:sz w:val="22"/>
              </w:rPr>
              <w:t>1,329,406,913</w:t>
            </w:r>
          </w:p>
        </w:tc>
        <w:tc>
          <w:tcPr>
            <w:tcW w:w="199"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4"/>
              <w:jc w:val="right"/>
              <w:rPr>
                <w:rFonts w:ascii="Arial" w:hAnsi="Arial" w:cs="Arial" w:eastAsia="Arial" w:hint="default"/>
                <w:sz w:val="22"/>
                <w:szCs w:val="22"/>
              </w:rPr>
            </w:pPr>
            <w:r>
              <w:rPr>
                <w:rFonts w:ascii="Arial"/>
                <w:spacing w:val="-1"/>
                <w:sz w:val="22"/>
              </w:rPr>
              <w:t>1,433,616,853</w:t>
            </w:r>
          </w:p>
        </w:tc>
      </w:tr>
      <w:tr>
        <w:trPr>
          <w:trHeight w:val="283" w:hRule="exact"/>
        </w:trPr>
        <w:tc>
          <w:tcPr>
            <w:tcW w:w="453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折旧及摊销</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9"/>
              <w:jc w:val="right"/>
              <w:rPr>
                <w:rFonts w:ascii="Arial" w:hAnsi="Arial" w:cs="Arial" w:eastAsia="Arial" w:hint="default"/>
                <w:sz w:val="22"/>
                <w:szCs w:val="22"/>
              </w:rPr>
            </w:pPr>
            <w:r>
              <w:rPr>
                <w:rFonts w:ascii="Arial"/>
                <w:spacing w:val="-1"/>
                <w:sz w:val="22"/>
              </w:rPr>
              <w:t>4,387,914,018</w:t>
            </w:r>
          </w:p>
        </w:tc>
        <w:tc>
          <w:tcPr>
            <w:tcW w:w="199"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4"/>
              <w:jc w:val="right"/>
              <w:rPr>
                <w:rFonts w:ascii="Arial" w:hAnsi="Arial" w:cs="Arial" w:eastAsia="Arial" w:hint="default"/>
                <w:sz w:val="22"/>
                <w:szCs w:val="22"/>
              </w:rPr>
            </w:pPr>
            <w:r>
              <w:rPr>
                <w:rFonts w:ascii="Arial"/>
                <w:spacing w:val="-1"/>
                <w:sz w:val="22"/>
              </w:rPr>
              <w:t>4,725,200,661</w:t>
            </w:r>
          </w:p>
        </w:tc>
      </w:tr>
      <w:tr>
        <w:trPr>
          <w:trHeight w:val="288" w:hRule="exact"/>
        </w:trPr>
        <w:tc>
          <w:tcPr>
            <w:tcW w:w="453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差旅费</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7"/>
              <w:jc w:val="right"/>
              <w:rPr>
                <w:rFonts w:ascii="Arial" w:hAnsi="Arial" w:cs="Arial" w:eastAsia="Arial" w:hint="default"/>
                <w:sz w:val="22"/>
                <w:szCs w:val="22"/>
              </w:rPr>
            </w:pPr>
            <w:r>
              <w:rPr>
                <w:rFonts w:ascii="Arial"/>
                <w:sz w:val="22"/>
              </w:rPr>
              <w:t>293,297,345</w:t>
            </w:r>
          </w:p>
        </w:tc>
        <w:tc>
          <w:tcPr>
            <w:tcW w:w="199"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4"/>
              <w:jc w:val="right"/>
              <w:rPr>
                <w:rFonts w:ascii="Arial" w:hAnsi="Arial" w:cs="Arial" w:eastAsia="Arial" w:hint="default"/>
                <w:sz w:val="22"/>
                <w:szCs w:val="22"/>
              </w:rPr>
            </w:pPr>
            <w:r>
              <w:rPr>
                <w:rFonts w:ascii="Arial"/>
                <w:spacing w:val="-1"/>
                <w:sz w:val="22"/>
              </w:rPr>
              <w:t>355,232,023</w:t>
            </w:r>
          </w:p>
        </w:tc>
      </w:tr>
      <w:tr>
        <w:trPr>
          <w:trHeight w:val="283" w:hRule="exact"/>
        </w:trPr>
        <w:tc>
          <w:tcPr>
            <w:tcW w:w="453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水电取暖费</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7"/>
              <w:jc w:val="right"/>
              <w:rPr>
                <w:rFonts w:ascii="Arial" w:hAnsi="Arial" w:cs="Arial" w:eastAsia="Arial" w:hint="default"/>
                <w:sz w:val="22"/>
                <w:szCs w:val="22"/>
              </w:rPr>
            </w:pPr>
            <w:r>
              <w:rPr>
                <w:rFonts w:ascii="Arial"/>
                <w:sz w:val="22"/>
              </w:rPr>
              <w:t>681,482,631</w:t>
            </w:r>
          </w:p>
        </w:tc>
        <w:tc>
          <w:tcPr>
            <w:tcW w:w="199"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4"/>
              <w:jc w:val="right"/>
              <w:rPr>
                <w:rFonts w:ascii="Arial" w:hAnsi="Arial" w:cs="Arial" w:eastAsia="Arial" w:hint="default"/>
                <w:sz w:val="22"/>
                <w:szCs w:val="22"/>
              </w:rPr>
            </w:pPr>
            <w:r>
              <w:rPr>
                <w:rFonts w:ascii="Arial"/>
                <w:spacing w:val="-1"/>
                <w:sz w:val="22"/>
              </w:rPr>
              <w:t>696,044,843</w:t>
            </w:r>
          </w:p>
        </w:tc>
      </w:tr>
      <w:tr>
        <w:trPr>
          <w:trHeight w:val="283" w:hRule="exact"/>
        </w:trPr>
        <w:tc>
          <w:tcPr>
            <w:tcW w:w="453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房屋租赁费用</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9"/>
              <w:jc w:val="right"/>
              <w:rPr>
                <w:rFonts w:ascii="Arial" w:hAnsi="Arial" w:cs="Arial" w:eastAsia="Arial" w:hint="default"/>
                <w:sz w:val="22"/>
                <w:szCs w:val="22"/>
              </w:rPr>
            </w:pPr>
            <w:r>
              <w:rPr>
                <w:rFonts w:ascii="Arial"/>
                <w:spacing w:val="-1"/>
                <w:sz w:val="22"/>
              </w:rPr>
              <w:t>1,210,195,197</w:t>
            </w:r>
          </w:p>
        </w:tc>
        <w:tc>
          <w:tcPr>
            <w:tcW w:w="199"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4"/>
              <w:jc w:val="right"/>
              <w:rPr>
                <w:rFonts w:ascii="Arial" w:hAnsi="Arial" w:cs="Arial" w:eastAsia="Arial" w:hint="default"/>
                <w:sz w:val="22"/>
                <w:szCs w:val="22"/>
              </w:rPr>
            </w:pPr>
            <w:r>
              <w:rPr>
                <w:rFonts w:ascii="Arial"/>
                <w:spacing w:val="-1"/>
                <w:sz w:val="22"/>
              </w:rPr>
              <w:t>1,414,932,515</w:t>
            </w:r>
          </w:p>
        </w:tc>
      </w:tr>
      <w:tr>
        <w:trPr>
          <w:trHeight w:val="288" w:hRule="exact"/>
        </w:trPr>
        <w:tc>
          <w:tcPr>
            <w:tcW w:w="453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规费</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7"/>
              <w:jc w:val="right"/>
              <w:rPr>
                <w:rFonts w:ascii="Arial" w:hAnsi="Arial" w:cs="Arial" w:eastAsia="Arial" w:hint="default"/>
                <w:sz w:val="22"/>
                <w:szCs w:val="22"/>
              </w:rPr>
            </w:pPr>
            <w:r>
              <w:rPr>
                <w:rFonts w:ascii="Arial"/>
                <w:sz w:val="22"/>
              </w:rPr>
              <w:t>258,183,912</w:t>
            </w:r>
          </w:p>
        </w:tc>
        <w:tc>
          <w:tcPr>
            <w:tcW w:w="199"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4"/>
              <w:jc w:val="right"/>
              <w:rPr>
                <w:rFonts w:ascii="Arial" w:hAnsi="Arial" w:cs="Arial" w:eastAsia="Arial" w:hint="default"/>
                <w:sz w:val="22"/>
                <w:szCs w:val="22"/>
              </w:rPr>
            </w:pPr>
            <w:r>
              <w:rPr>
                <w:rFonts w:ascii="Arial"/>
                <w:spacing w:val="-1"/>
                <w:sz w:val="22"/>
              </w:rPr>
              <w:t>273,826,292</w:t>
            </w:r>
          </w:p>
        </w:tc>
      </w:tr>
      <w:tr>
        <w:trPr>
          <w:trHeight w:val="283" w:hRule="exact"/>
        </w:trPr>
        <w:tc>
          <w:tcPr>
            <w:tcW w:w="453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专业服务及咨询费</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7"/>
              <w:jc w:val="right"/>
              <w:rPr>
                <w:rFonts w:ascii="Arial" w:hAnsi="Arial" w:cs="Arial" w:eastAsia="Arial" w:hint="default"/>
                <w:sz w:val="22"/>
                <w:szCs w:val="22"/>
              </w:rPr>
            </w:pPr>
            <w:r>
              <w:rPr>
                <w:rFonts w:ascii="Arial"/>
                <w:sz w:val="22"/>
              </w:rPr>
              <w:t>254,921,199</w:t>
            </w:r>
          </w:p>
        </w:tc>
        <w:tc>
          <w:tcPr>
            <w:tcW w:w="199"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4"/>
              <w:jc w:val="right"/>
              <w:rPr>
                <w:rFonts w:ascii="Arial" w:hAnsi="Arial" w:cs="Arial" w:eastAsia="Arial" w:hint="default"/>
                <w:sz w:val="22"/>
                <w:szCs w:val="22"/>
              </w:rPr>
            </w:pPr>
            <w:r>
              <w:rPr>
                <w:rFonts w:ascii="Arial"/>
                <w:spacing w:val="-1"/>
                <w:sz w:val="22"/>
              </w:rPr>
              <w:t>211,179,740</w:t>
            </w:r>
          </w:p>
        </w:tc>
      </w:tr>
      <w:tr>
        <w:trPr>
          <w:trHeight w:val="422" w:hRule="exact"/>
        </w:trPr>
        <w:tc>
          <w:tcPr>
            <w:tcW w:w="453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242" w:type="dxa"/>
            <w:tcBorders>
              <w:top w:val="nil" w:sz="6" w:space="0" w:color="auto"/>
              <w:left w:val="nil" w:sz="6" w:space="0" w:color="auto"/>
              <w:bottom w:val="nil" w:sz="6" w:space="0" w:color="auto"/>
              <w:right w:val="nil" w:sz="6" w:space="0" w:color="auto"/>
            </w:tcBorders>
          </w:tcPr>
          <w:p>
            <w:pPr>
              <w:pStyle w:val="TableParagraph"/>
              <w:tabs>
                <w:tab w:pos="801" w:val="left" w:leader="none"/>
              </w:tabs>
              <w:spacing w:line="240" w:lineRule="auto" w:before="21"/>
              <w:ind w:right="29"/>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1,045,486,075</w:t>
            </w:r>
            <w:r>
              <w:rPr>
                <w:rFonts w:ascii="Arial"/>
                <w:spacing w:val="-1"/>
                <w:sz w:val="22"/>
              </w:rPr>
            </w:r>
          </w:p>
        </w:tc>
        <w:tc>
          <w:tcPr>
            <w:tcW w:w="199"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tabs>
                <w:tab w:pos="955" w:val="left" w:leader="none"/>
              </w:tabs>
              <w:spacing w:line="240" w:lineRule="auto" w:before="21"/>
              <w:ind w:right="27"/>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487,842,301</w:t>
            </w:r>
            <w:r>
              <w:rPr>
                <w:rFonts w:ascii="Arial"/>
                <w:sz w:val="22"/>
              </w:rPr>
            </w:r>
          </w:p>
        </w:tc>
      </w:tr>
      <w:tr>
        <w:trPr>
          <w:trHeight w:val="427" w:hRule="exact"/>
        </w:trPr>
        <w:tc>
          <w:tcPr>
            <w:tcW w:w="4530" w:type="dxa"/>
            <w:tcBorders>
              <w:top w:val="nil" w:sz="6" w:space="0" w:color="auto"/>
              <w:left w:val="nil" w:sz="6" w:space="0" w:color="auto"/>
              <w:bottom w:val="nil" w:sz="6" w:space="0" w:color="auto"/>
              <w:right w:val="nil" w:sz="6" w:space="0" w:color="auto"/>
            </w:tcBorders>
          </w:tcPr>
          <w:p>
            <w:pPr>
              <w:pStyle w:val="TableParagraph"/>
              <w:spacing w:line="240" w:lineRule="auto" w:before="85"/>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242"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right="22"/>
              <w:jc w:val="right"/>
              <w:rPr>
                <w:rFonts w:ascii="Arial" w:hAnsi="Arial" w:cs="Arial" w:eastAsia="Arial" w:hint="default"/>
                <w:sz w:val="22"/>
                <w:szCs w:val="22"/>
              </w:rPr>
            </w:pPr>
            <w:r>
              <w:rPr>
                <w:rFonts w:ascii="Arial"/>
                <w:sz w:val="22"/>
              </w:rPr>
              <w:t>22,977,013,828</w:t>
            </w:r>
          </w:p>
        </w:tc>
        <w:tc>
          <w:tcPr>
            <w:tcW w:w="199"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right="22"/>
              <w:jc w:val="right"/>
              <w:rPr>
                <w:rFonts w:ascii="Arial" w:hAnsi="Arial" w:cs="Arial" w:eastAsia="Arial" w:hint="default"/>
                <w:sz w:val="22"/>
                <w:szCs w:val="22"/>
              </w:rPr>
            </w:pPr>
            <w:r>
              <w:rPr>
                <w:rFonts w:ascii="Arial"/>
                <w:sz w:val="22"/>
              </w:rPr>
              <w:t>22,925,119,665</w:t>
            </w:r>
          </w:p>
        </w:tc>
      </w:tr>
    </w:tbl>
    <w:p>
      <w:pPr>
        <w:spacing w:line="240" w:lineRule="auto" w:before="2"/>
        <w:rPr>
          <w:rFonts w:ascii="宋体" w:hAnsi="宋体" w:cs="宋体" w:eastAsia="宋体" w:hint="default"/>
          <w:sz w:val="14"/>
          <w:szCs w:val="14"/>
        </w:rPr>
      </w:pPr>
    </w:p>
    <w:p>
      <w:pPr>
        <w:pStyle w:val="BodyText"/>
        <w:spacing w:line="240" w:lineRule="auto" w:before="32"/>
        <w:ind w:left="112" w:right="0"/>
        <w:jc w:val="left"/>
      </w:pPr>
      <w:r>
        <w:rPr>
          <w:rFonts w:ascii="Arial" w:hAnsi="Arial" w:cs="Arial" w:eastAsia="Arial" w:hint="default"/>
        </w:rPr>
        <w:t>41</w:t>
      </w:r>
      <w:r>
        <w:rPr/>
        <w:t>、研发费用</w:t>
      </w:r>
    </w:p>
    <w:p>
      <w:pPr>
        <w:spacing w:line="240" w:lineRule="auto" w:before="0"/>
        <w:rPr>
          <w:rFonts w:ascii="宋体" w:hAnsi="宋体" w:cs="宋体" w:eastAsia="宋体" w:hint="default"/>
          <w:sz w:val="23"/>
          <w:szCs w:val="23"/>
        </w:rPr>
      </w:pPr>
    </w:p>
    <w:tbl>
      <w:tblPr>
        <w:tblW w:w="0" w:type="auto"/>
        <w:jc w:val="left"/>
        <w:tblInd w:w="383" w:type="dxa"/>
        <w:tblLayout w:type="fixed"/>
        <w:tblCellMar>
          <w:top w:w="0" w:type="dxa"/>
          <w:left w:w="0" w:type="dxa"/>
          <w:bottom w:w="0" w:type="dxa"/>
          <w:right w:w="0" w:type="dxa"/>
        </w:tblCellMar>
        <w:tblLook w:val="01E0"/>
      </w:tblPr>
      <w:tblGrid>
        <w:gridCol w:w="4530"/>
        <w:gridCol w:w="2242"/>
        <w:gridCol w:w="199"/>
        <w:gridCol w:w="2201"/>
      </w:tblGrid>
      <w:tr>
        <w:trPr>
          <w:trHeight w:val="264" w:hRule="exact"/>
        </w:trPr>
        <w:tc>
          <w:tcPr>
            <w:tcW w:w="4530" w:type="dxa"/>
            <w:tcBorders>
              <w:top w:val="nil" w:sz="6" w:space="0" w:color="auto"/>
              <w:left w:val="nil" w:sz="6" w:space="0" w:color="auto"/>
              <w:bottom w:val="nil" w:sz="6" w:space="0" w:color="auto"/>
              <w:right w:val="nil" w:sz="6" w:space="0" w:color="auto"/>
            </w:tcBorders>
          </w:tcPr>
          <w:p>
            <w:pPr/>
          </w:p>
        </w:tc>
        <w:tc>
          <w:tcPr>
            <w:tcW w:w="2242" w:type="dxa"/>
            <w:tcBorders>
              <w:top w:val="nil" w:sz="6" w:space="0" w:color="auto"/>
              <w:left w:val="nil" w:sz="6" w:space="0" w:color="auto"/>
              <w:bottom w:val="single" w:sz="6" w:space="0" w:color="000000"/>
              <w:right w:val="nil" w:sz="6" w:space="0" w:color="auto"/>
            </w:tcBorders>
          </w:tcPr>
          <w:p>
            <w:pPr>
              <w:pStyle w:val="TableParagraph"/>
              <w:spacing w:line="236" w:lineRule="exact"/>
              <w:ind w:right="7"/>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199"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single" w:sz="6" w:space="0" w:color="000000"/>
              <w:right w:val="nil" w:sz="6" w:space="0" w:color="auto"/>
            </w:tcBorders>
          </w:tcPr>
          <w:p>
            <w:pPr>
              <w:pStyle w:val="TableParagraph"/>
              <w:spacing w:line="236" w:lineRule="exact"/>
              <w:ind w:right="7"/>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tc>
      </w:tr>
      <w:tr>
        <w:trPr>
          <w:trHeight w:val="303" w:hRule="exact"/>
        </w:trPr>
        <w:tc>
          <w:tcPr>
            <w:tcW w:w="4530" w:type="dxa"/>
            <w:tcBorders>
              <w:top w:val="nil" w:sz="6" w:space="0" w:color="auto"/>
              <w:left w:val="nil" w:sz="6" w:space="0" w:color="auto"/>
              <w:bottom w:val="nil" w:sz="6" w:space="0" w:color="auto"/>
              <w:right w:val="nil" w:sz="6" w:space="0" w:color="auto"/>
            </w:tcBorders>
          </w:tcPr>
          <w:p>
            <w:pPr>
              <w:pStyle w:val="TableParagraph"/>
              <w:spacing w:line="259" w:lineRule="exact"/>
              <w:ind w:left="200" w:right="0"/>
              <w:jc w:val="left"/>
              <w:rPr>
                <w:rFonts w:ascii="宋体" w:hAnsi="宋体" w:cs="宋体" w:eastAsia="宋体" w:hint="default"/>
                <w:sz w:val="22"/>
                <w:szCs w:val="22"/>
              </w:rPr>
            </w:pPr>
            <w:r>
              <w:rPr>
                <w:rFonts w:ascii="宋体" w:hAnsi="宋体" w:cs="宋体" w:eastAsia="宋体" w:hint="default"/>
                <w:sz w:val="22"/>
                <w:szCs w:val="22"/>
              </w:rPr>
              <w:t>直接职工薪酬</w:t>
            </w:r>
          </w:p>
        </w:tc>
        <w:tc>
          <w:tcPr>
            <w:tcW w:w="2242" w:type="dxa"/>
            <w:tcBorders>
              <w:top w:val="single" w:sz="6" w:space="0" w:color="000000"/>
              <w:left w:val="nil" w:sz="6" w:space="0" w:color="auto"/>
              <w:bottom w:val="nil" w:sz="6" w:space="0" w:color="auto"/>
              <w:right w:val="nil" w:sz="6" w:space="0" w:color="auto"/>
            </w:tcBorders>
          </w:tcPr>
          <w:p>
            <w:pPr>
              <w:pStyle w:val="TableParagraph"/>
              <w:spacing w:line="240" w:lineRule="auto" w:before="29"/>
              <w:ind w:right="29"/>
              <w:jc w:val="right"/>
              <w:rPr>
                <w:rFonts w:ascii="Arial" w:hAnsi="Arial" w:cs="Arial" w:eastAsia="Arial" w:hint="default"/>
                <w:sz w:val="22"/>
                <w:szCs w:val="22"/>
              </w:rPr>
            </w:pPr>
            <w:r>
              <w:rPr>
                <w:rFonts w:ascii="Arial"/>
                <w:spacing w:val="-1"/>
                <w:sz w:val="22"/>
              </w:rPr>
              <w:t>1,020,242,390</w:t>
            </w:r>
          </w:p>
        </w:tc>
        <w:tc>
          <w:tcPr>
            <w:tcW w:w="199" w:type="dxa"/>
            <w:tcBorders>
              <w:top w:val="nil" w:sz="6" w:space="0" w:color="auto"/>
              <w:left w:val="nil" w:sz="6" w:space="0" w:color="auto"/>
              <w:bottom w:val="nil" w:sz="6" w:space="0" w:color="auto"/>
              <w:right w:val="nil" w:sz="6" w:space="0" w:color="auto"/>
            </w:tcBorders>
          </w:tcPr>
          <w:p>
            <w:pPr/>
          </w:p>
        </w:tc>
        <w:tc>
          <w:tcPr>
            <w:tcW w:w="2201" w:type="dxa"/>
            <w:tcBorders>
              <w:top w:val="single" w:sz="6" w:space="0" w:color="000000"/>
              <w:left w:val="nil" w:sz="6" w:space="0" w:color="auto"/>
              <w:bottom w:val="nil" w:sz="6" w:space="0" w:color="auto"/>
              <w:right w:val="nil" w:sz="6" w:space="0" w:color="auto"/>
            </w:tcBorders>
          </w:tcPr>
          <w:p>
            <w:pPr>
              <w:pStyle w:val="TableParagraph"/>
              <w:spacing w:line="240" w:lineRule="auto" w:before="29"/>
              <w:ind w:right="29"/>
              <w:jc w:val="right"/>
              <w:rPr>
                <w:rFonts w:ascii="Arial" w:hAnsi="Arial" w:cs="Arial" w:eastAsia="Arial" w:hint="default"/>
                <w:sz w:val="22"/>
                <w:szCs w:val="22"/>
              </w:rPr>
            </w:pPr>
            <w:r>
              <w:rPr>
                <w:rFonts w:ascii="Arial"/>
                <w:spacing w:val="-1"/>
                <w:sz w:val="22"/>
              </w:rPr>
              <w:t>502,872,217</w:t>
            </w:r>
          </w:p>
        </w:tc>
      </w:tr>
      <w:tr>
        <w:trPr>
          <w:trHeight w:val="288" w:hRule="exact"/>
        </w:trPr>
        <w:tc>
          <w:tcPr>
            <w:tcW w:w="453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折旧摊销费用</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4"/>
              <w:jc w:val="right"/>
              <w:rPr>
                <w:rFonts w:ascii="Arial" w:hAnsi="Arial" w:cs="Arial" w:eastAsia="Arial" w:hint="default"/>
                <w:sz w:val="22"/>
                <w:szCs w:val="22"/>
              </w:rPr>
            </w:pPr>
            <w:r>
              <w:rPr>
                <w:rFonts w:ascii="Arial"/>
                <w:spacing w:val="-1"/>
                <w:sz w:val="22"/>
              </w:rPr>
              <w:t>133,845,961</w:t>
            </w:r>
          </w:p>
        </w:tc>
        <w:tc>
          <w:tcPr>
            <w:tcW w:w="199"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9"/>
              <w:jc w:val="right"/>
              <w:rPr>
                <w:rFonts w:ascii="Arial" w:hAnsi="Arial" w:cs="Arial" w:eastAsia="Arial" w:hint="default"/>
                <w:sz w:val="22"/>
                <w:szCs w:val="22"/>
              </w:rPr>
            </w:pPr>
            <w:r>
              <w:rPr>
                <w:rFonts w:ascii="Arial"/>
                <w:spacing w:val="-1"/>
                <w:sz w:val="22"/>
              </w:rPr>
              <w:t>54,829,484</w:t>
            </w:r>
          </w:p>
        </w:tc>
      </w:tr>
      <w:tr>
        <w:trPr>
          <w:trHeight w:val="283" w:hRule="exact"/>
        </w:trPr>
        <w:tc>
          <w:tcPr>
            <w:tcW w:w="453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委托外部研发费用</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7"/>
              <w:jc w:val="right"/>
              <w:rPr>
                <w:rFonts w:ascii="Arial" w:hAnsi="Arial" w:cs="Arial" w:eastAsia="Arial" w:hint="default"/>
                <w:sz w:val="22"/>
                <w:szCs w:val="22"/>
              </w:rPr>
            </w:pPr>
            <w:r>
              <w:rPr>
                <w:rFonts w:ascii="Arial"/>
                <w:sz w:val="22"/>
              </w:rPr>
              <w:t>244,751,693</w:t>
            </w:r>
          </w:p>
        </w:tc>
        <w:tc>
          <w:tcPr>
            <w:tcW w:w="199"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9"/>
              <w:jc w:val="right"/>
              <w:rPr>
                <w:rFonts w:ascii="Arial" w:hAnsi="Arial" w:cs="Arial" w:eastAsia="Arial" w:hint="default"/>
                <w:sz w:val="22"/>
                <w:szCs w:val="22"/>
              </w:rPr>
            </w:pPr>
            <w:r>
              <w:rPr>
                <w:rFonts w:ascii="Arial"/>
                <w:spacing w:val="-1"/>
                <w:sz w:val="22"/>
              </w:rPr>
              <w:t>58,880,972</w:t>
            </w:r>
          </w:p>
        </w:tc>
      </w:tr>
      <w:tr>
        <w:trPr>
          <w:trHeight w:val="288" w:hRule="exact"/>
        </w:trPr>
        <w:tc>
          <w:tcPr>
            <w:tcW w:w="453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直接材料费用</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9"/>
              <w:jc w:val="right"/>
              <w:rPr>
                <w:rFonts w:ascii="Arial" w:hAnsi="Arial" w:cs="Arial" w:eastAsia="Arial" w:hint="default"/>
                <w:sz w:val="22"/>
                <w:szCs w:val="22"/>
              </w:rPr>
            </w:pPr>
            <w:r>
              <w:rPr>
                <w:rFonts w:ascii="Arial"/>
                <w:spacing w:val="-1"/>
                <w:sz w:val="22"/>
              </w:rPr>
              <w:t>10,331,949</w:t>
            </w:r>
          </w:p>
        </w:tc>
        <w:tc>
          <w:tcPr>
            <w:tcW w:w="199"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9"/>
              <w:jc w:val="right"/>
              <w:rPr>
                <w:rFonts w:ascii="Arial" w:hAnsi="Arial" w:cs="Arial" w:eastAsia="Arial" w:hint="default"/>
                <w:sz w:val="22"/>
                <w:szCs w:val="22"/>
              </w:rPr>
            </w:pPr>
            <w:r>
              <w:rPr>
                <w:rFonts w:ascii="Arial"/>
                <w:spacing w:val="-1"/>
                <w:sz w:val="22"/>
              </w:rPr>
              <w:t>6,893,315</w:t>
            </w:r>
          </w:p>
        </w:tc>
      </w:tr>
      <w:tr>
        <w:trPr>
          <w:trHeight w:val="418" w:hRule="exact"/>
        </w:trPr>
        <w:tc>
          <w:tcPr>
            <w:tcW w:w="453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242" w:type="dxa"/>
            <w:tcBorders>
              <w:top w:val="nil" w:sz="6" w:space="0" w:color="auto"/>
              <w:left w:val="nil" w:sz="6" w:space="0" w:color="auto"/>
              <w:bottom w:val="nil" w:sz="6" w:space="0" w:color="auto"/>
              <w:right w:val="nil" w:sz="6" w:space="0" w:color="auto"/>
            </w:tcBorders>
          </w:tcPr>
          <w:p>
            <w:pPr>
              <w:pStyle w:val="TableParagraph"/>
              <w:tabs>
                <w:tab w:pos="988" w:val="left" w:leader="none"/>
              </w:tabs>
              <w:spacing w:line="240" w:lineRule="auto" w:before="16"/>
              <w:ind w:right="24"/>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299,797,835</w:t>
            </w:r>
            <w:r>
              <w:rPr>
                <w:rFonts w:ascii="Arial"/>
                <w:spacing w:val="-1"/>
                <w:sz w:val="22"/>
              </w:rPr>
            </w:r>
          </w:p>
        </w:tc>
        <w:tc>
          <w:tcPr>
            <w:tcW w:w="199"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nil" w:sz="6" w:space="0" w:color="auto"/>
            </w:tcBorders>
          </w:tcPr>
          <w:p>
            <w:pPr>
              <w:pStyle w:val="TableParagraph"/>
              <w:tabs>
                <w:tab w:pos="935" w:val="left" w:leader="none"/>
              </w:tabs>
              <w:spacing w:line="240" w:lineRule="auto" w:before="16"/>
              <w:ind w:right="29"/>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248,749,782</w:t>
            </w:r>
            <w:r>
              <w:rPr>
                <w:rFonts w:ascii="Arial"/>
                <w:spacing w:val="-1"/>
                <w:sz w:val="22"/>
              </w:rPr>
            </w:r>
          </w:p>
        </w:tc>
      </w:tr>
      <w:tr>
        <w:trPr>
          <w:trHeight w:val="432" w:hRule="exact"/>
        </w:trPr>
        <w:tc>
          <w:tcPr>
            <w:tcW w:w="4530" w:type="dxa"/>
            <w:tcBorders>
              <w:top w:val="nil" w:sz="6" w:space="0" w:color="auto"/>
              <w:left w:val="nil" w:sz="6" w:space="0" w:color="auto"/>
              <w:bottom w:val="nil" w:sz="6" w:space="0" w:color="auto"/>
              <w:right w:val="nil" w:sz="6" w:space="0" w:color="auto"/>
            </w:tcBorders>
          </w:tcPr>
          <w:p>
            <w:pPr>
              <w:pStyle w:val="TableParagraph"/>
              <w:spacing w:line="240" w:lineRule="auto" w:before="85"/>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242"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right="29"/>
              <w:jc w:val="right"/>
              <w:rPr>
                <w:rFonts w:ascii="Arial" w:hAnsi="Arial" w:cs="Arial" w:eastAsia="Arial" w:hint="default"/>
                <w:sz w:val="22"/>
                <w:szCs w:val="22"/>
              </w:rPr>
            </w:pPr>
            <w:r>
              <w:rPr>
                <w:rFonts w:ascii="Arial"/>
                <w:spacing w:val="-1"/>
                <w:sz w:val="22"/>
              </w:rPr>
              <w:t>1,708,969,828</w:t>
            </w:r>
          </w:p>
        </w:tc>
        <w:tc>
          <w:tcPr>
            <w:tcW w:w="199"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right="29"/>
              <w:jc w:val="right"/>
              <w:rPr>
                <w:rFonts w:ascii="Arial" w:hAnsi="Arial" w:cs="Arial" w:eastAsia="Arial" w:hint="default"/>
                <w:sz w:val="22"/>
                <w:szCs w:val="22"/>
              </w:rPr>
            </w:pPr>
            <w:r>
              <w:rPr>
                <w:rFonts w:ascii="Arial"/>
                <w:spacing w:val="-1"/>
                <w:sz w:val="22"/>
              </w:rPr>
              <w:t>872,225,770</w:t>
            </w:r>
          </w:p>
        </w:tc>
      </w:tr>
    </w:tbl>
    <w:p>
      <w:pPr>
        <w:spacing w:after="0" w:line="240" w:lineRule="auto"/>
        <w:jc w:val="right"/>
        <w:rPr>
          <w:rFonts w:ascii="Arial" w:hAnsi="Arial" w:cs="Arial" w:eastAsia="Arial" w:hint="default"/>
          <w:sz w:val="22"/>
          <w:szCs w:val="22"/>
        </w:rPr>
        <w:sectPr>
          <w:headerReference w:type="default" r:id="rId195"/>
          <w:pgSz w:w="11910" w:h="16840"/>
          <w:pgMar w:header="1188" w:footer="502" w:top="3600" w:bottom="700" w:left="1020" w:right="1200"/>
        </w:sectPr>
      </w:pPr>
    </w:p>
    <w:p>
      <w:pPr>
        <w:spacing w:line="240" w:lineRule="auto" w:before="5"/>
        <w:rPr>
          <w:rFonts w:ascii="宋体" w:hAnsi="宋体" w:cs="宋体" w:eastAsia="宋体" w:hint="default"/>
          <w:sz w:val="23"/>
          <w:szCs w:val="23"/>
        </w:rPr>
      </w:pPr>
    </w:p>
    <w:tbl>
      <w:tblPr>
        <w:tblW w:w="0" w:type="auto"/>
        <w:jc w:val="left"/>
        <w:tblInd w:w="364" w:type="dxa"/>
        <w:tblLayout w:type="fixed"/>
        <w:tblCellMar>
          <w:top w:w="0" w:type="dxa"/>
          <w:left w:w="0" w:type="dxa"/>
          <w:bottom w:w="0" w:type="dxa"/>
          <w:right w:w="0" w:type="dxa"/>
        </w:tblCellMar>
        <w:tblLook w:val="01E0"/>
      </w:tblPr>
      <w:tblGrid>
        <w:gridCol w:w="4837"/>
        <w:gridCol w:w="2242"/>
        <w:gridCol w:w="199"/>
        <w:gridCol w:w="2220"/>
      </w:tblGrid>
      <w:tr>
        <w:trPr>
          <w:trHeight w:val="264" w:hRule="exact"/>
        </w:trPr>
        <w:tc>
          <w:tcPr>
            <w:tcW w:w="4837" w:type="dxa"/>
            <w:tcBorders>
              <w:top w:val="nil" w:sz="6" w:space="0" w:color="auto"/>
              <w:left w:val="nil" w:sz="6" w:space="0" w:color="auto"/>
              <w:bottom w:val="nil" w:sz="6" w:space="0" w:color="auto"/>
              <w:right w:val="nil" w:sz="6" w:space="0" w:color="auto"/>
            </w:tcBorders>
          </w:tcPr>
          <w:p>
            <w:pPr/>
          </w:p>
        </w:tc>
        <w:tc>
          <w:tcPr>
            <w:tcW w:w="2242" w:type="dxa"/>
            <w:tcBorders>
              <w:top w:val="nil" w:sz="6" w:space="0" w:color="auto"/>
              <w:left w:val="nil" w:sz="6" w:space="0" w:color="auto"/>
              <w:bottom w:val="single" w:sz="6" w:space="0" w:color="000000"/>
              <w:right w:val="nil" w:sz="6" w:space="0" w:color="auto"/>
            </w:tcBorders>
          </w:tcPr>
          <w:p>
            <w:pPr>
              <w:pStyle w:val="TableParagraph"/>
              <w:spacing w:line="236" w:lineRule="exact"/>
              <w:ind w:right="7"/>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199"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single" w:sz="6" w:space="0" w:color="000000"/>
              <w:right w:val="nil" w:sz="6" w:space="0" w:color="auto"/>
            </w:tcBorders>
          </w:tcPr>
          <w:p>
            <w:pPr>
              <w:pStyle w:val="TableParagraph"/>
              <w:spacing w:line="236" w:lineRule="exact"/>
              <w:ind w:right="7"/>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tc>
      </w:tr>
      <w:tr>
        <w:trPr>
          <w:trHeight w:val="557" w:hRule="exact"/>
        </w:trPr>
        <w:tc>
          <w:tcPr>
            <w:tcW w:w="483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租赁负债的利息支出</w:t>
            </w:r>
          </w:p>
        </w:tc>
        <w:tc>
          <w:tcPr>
            <w:tcW w:w="2242"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77"/>
              <w:jc w:val="right"/>
              <w:rPr>
                <w:rFonts w:ascii="Arial" w:hAnsi="Arial" w:cs="Arial" w:eastAsia="Arial" w:hint="default"/>
                <w:sz w:val="22"/>
                <w:szCs w:val="22"/>
              </w:rPr>
            </w:pPr>
            <w:r>
              <w:rPr>
                <w:rFonts w:ascii="Arial"/>
                <w:spacing w:val="-1"/>
                <w:sz w:val="22"/>
              </w:rPr>
              <w:t>1,349,021,296</w:t>
            </w:r>
          </w:p>
        </w:tc>
        <w:tc>
          <w:tcPr>
            <w:tcW w:w="199" w:type="dxa"/>
            <w:tcBorders>
              <w:top w:val="nil" w:sz="6" w:space="0" w:color="auto"/>
              <w:left w:val="nil" w:sz="6" w:space="0" w:color="auto"/>
              <w:bottom w:val="nil" w:sz="6" w:space="0" w:color="auto"/>
              <w:right w:val="nil" w:sz="6" w:space="0" w:color="auto"/>
            </w:tcBorders>
          </w:tcPr>
          <w:p>
            <w:pPr/>
          </w:p>
        </w:tc>
        <w:tc>
          <w:tcPr>
            <w:tcW w:w="2220" w:type="dxa"/>
            <w:tcBorders>
              <w:top w:val="single" w:sz="6"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2"/>
              <w:jc w:val="right"/>
              <w:rPr>
                <w:rFonts w:ascii="宋体" w:hAnsi="宋体" w:cs="宋体" w:eastAsia="宋体" w:hint="default"/>
                <w:sz w:val="22"/>
                <w:szCs w:val="22"/>
              </w:rPr>
            </w:pPr>
            <w:r>
              <w:rPr>
                <w:rFonts w:ascii="宋体" w:hAnsi="宋体" w:cs="宋体" w:eastAsia="宋体" w:hint="default"/>
                <w:sz w:val="22"/>
                <w:szCs w:val="22"/>
              </w:rPr>
              <w:t>不适用</w:t>
            </w:r>
          </w:p>
        </w:tc>
      </w:tr>
      <w:tr>
        <w:trPr>
          <w:trHeight w:val="288" w:hRule="exact"/>
        </w:trPr>
        <w:tc>
          <w:tcPr>
            <w:tcW w:w="4837"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贷款及应付款项的利息支出</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79"/>
              <w:jc w:val="right"/>
              <w:rPr>
                <w:rFonts w:ascii="Arial" w:hAnsi="Arial" w:cs="Arial" w:eastAsia="Arial" w:hint="default"/>
                <w:sz w:val="22"/>
                <w:szCs w:val="22"/>
              </w:rPr>
            </w:pPr>
            <w:r>
              <w:rPr>
                <w:rFonts w:ascii="Arial"/>
                <w:sz w:val="22"/>
              </w:rPr>
              <w:t>915,542,732</w:t>
            </w:r>
          </w:p>
        </w:tc>
        <w:tc>
          <w:tcPr>
            <w:tcW w:w="199"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77"/>
              <w:jc w:val="right"/>
              <w:rPr>
                <w:rFonts w:ascii="Arial" w:hAnsi="Arial" w:cs="Arial" w:eastAsia="Arial" w:hint="default"/>
                <w:sz w:val="22"/>
                <w:szCs w:val="22"/>
              </w:rPr>
            </w:pPr>
            <w:r>
              <w:rPr>
                <w:rFonts w:ascii="Arial"/>
                <w:spacing w:val="-1"/>
                <w:sz w:val="22"/>
              </w:rPr>
              <w:t>2,073,019,955</w:t>
            </w:r>
          </w:p>
        </w:tc>
      </w:tr>
      <w:tr>
        <w:trPr>
          <w:trHeight w:val="418" w:hRule="exact"/>
        </w:trPr>
        <w:tc>
          <w:tcPr>
            <w:tcW w:w="4837"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减：资本化利息</w:t>
            </w:r>
          </w:p>
        </w:tc>
        <w:tc>
          <w:tcPr>
            <w:tcW w:w="2242" w:type="dxa"/>
            <w:tcBorders>
              <w:top w:val="nil" w:sz="6" w:space="0" w:color="auto"/>
              <w:left w:val="nil" w:sz="6" w:space="0" w:color="auto"/>
              <w:bottom w:val="nil" w:sz="6" w:space="0" w:color="auto"/>
              <w:right w:val="nil" w:sz="6" w:space="0" w:color="auto"/>
            </w:tcBorders>
          </w:tcPr>
          <w:p>
            <w:pPr>
              <w:pStyle w:val="TableParagraph"/>
              <w:tabs>
                <w:tab w:pos="859" w:val="left" w:leader="none"/>
              </w:tabs>
              <w:spacing w:line="240" w:lineRule="auto" w:before="16"/>
              <w:ind w:right="4"/>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(386,941,222)</w:t>
            </w:r>
            <w:r>
              <w:rPr>
                <w:rFonts w:ascii="Arial"/>
                <w:sz w:val="22"/>
              </w:rPr>
            </w:r>
          </w:p>
        </w:tc>
        <w:tc>
          <w:tcPr>
            <w:tcW w:w="199"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tabs>
                <w:tab w:pos="835" w:val="left" w:leader="none"/>
              </w:tabs>
              <w:spacing w:line="240" w:lineRule="auto" w:before="16"/>
              <w:ind w:right="1"/>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(533,652,880)</w:t>
            </w:r>
            <w:r>
              <w:rPr>
                <w:rFonts w:ascii="Arial"/>
                <w:sz w:val="22"/>
              </w:rPr>
            </w:r>
          </w:p>
        </w:tc>
      </w:tr>
      <w:tr>
        <w:trPr>
          <w:trHeight w:val="418" w:hRule="exact"/>
        </w:trPr>
        <w:tc>
          <w:tcPr>
            <w:tcW w:w="4837" w:type="dxa"/>
            <w:tcBorders>
              <w:top w:val="nil" w:sz="6" w:space="0" w:color="auto"/>
              <w:left w:val="nil" w:sz="6" w:space="0" w:color="auto"/>
              <w:bottom w:val="nil" w:sz="6" w:space="0" w:color="auto"/>
              <w:right w:val="nil" w:sz="6" w:space="0" w:color="auto"/>
            </w:tcBorders>
          </w:tcPr>
          <w:p>
            <w:pPr>
              <w:pStyle w:val="TableParagraph"/>
              <w:spacing w:line="240" w:lineRule="auto" w:before="85"/>
              <w:ind w:left="200" w:right="0"/>
              <w:jc w:val="left"/>
              <w:rPr>
                <w:rFonts w:ascii="宋体" w:hAnsi="宋体" w:cs="宋体" w:eastAsia="宋体" w:hint="default"/>
                <w:sz w:val="22"/>
                <w:szCs w:val="22"/>
              </w:rPr>
            </w:pPr>
            <w:r>
              <w:rPr>
                <w:rFonts w:ascii="宋体" w:hAnsi="宋体" w:cs="宋体" w:eastAsia="宋体" w:hint="default"/>
                <w:sz w:val="22"/>
                <w:szCs w:val="22"/>
              </w:rPr>
              <w:t>净利息支出</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81"/>
              <w:jc w:val="right"/>
              <w:rPr>
                <w:rFonts w:ascii="Arial" w:hAnsi="Arial" w:cs="Arial" w:eastAsia="Arial" w:hint="default"/>
                <w:sz w:val="22"/>
                <w:szCs w:val="22"/>
              </w:rPr>
            </w:pPr>
            <w:r>
              <w:rPr>
                <w:rFonts w:ascii="Arial"/>
                <w:spacing w:val="-1"/>
                <w:sz w:val="22"/>
              </w:rPr>
              <w:t>1,877,622,806</w:t>
            </w:r>
          </w:p>
        </w:tc>
        <w:tc>
          <w:tcPr>
            <w:tcW w:w="199"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77"/>
              <w:jc w:val="right"/>
              <w:rPr>
                <w:rFonts w:ascii="Arial" w:hAnsi="Arial" w:cs="Arial" w:eastAsia="Arial" w:hint="default"/>
                <w:sz w:val="22"/>
                <w:szCs w:val="22"/>
              </w:rPr>
            </w:pPr>
            <w:r>
              <w:rPr>
                <w:rFonts w:ascii="Arial"/>
                <w:spacing w:val="-1"/>
                <w:sz w:val="22"/>
              </w:rPr>
              <w:t>1,539,367,075</w:t>
            </w:r>
          </w:p>
        </w:tc>
      </w:tr>
      <w:tr>
        <w:trPr>
          <w:trHeight w:val="288" w:hRule="exact"/>
        </w:trPr>
        <w:tc>
          <w:tcPr>
            <w:tcW w:w="4837"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减：利息收入</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9"/>
              <w:jc w:val="right"/>
              <w:rPr>
                <w:rFonts w:ascii="Arial" w:hAnsi="Arial" w:cs="Arial" w:eastAsia="Arial" w:hint="default"/>
                <w:sz w:val="22"/>
                <w:szCs w:val="22"/>
              </w:rPr>
            </w:pPr>
            <w:r>
              <w:rPr>
                <w:rFonts w:ascii="Arial"/>
                <w:spacing w:val="-1"/>
                <w:sz w:val="22"/>
              </w:rPr>
              <w:t>(1,269,259,729)</w:t>
            </w:r>
            <w:r>
              <w:rPr>
                <w:rFonts w:ascii="Arial"/>
                <w:sz w:val="22"/>
              </w:rPr>
            </w:r>
          </w:p>
        </w:tc>
        <w:tc>
          <w:tcPr>
            <w:tcW w:w="199"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
              <w:jc w:val="right"/>
              <w:rPr>
                <w:rFonts w:ascii="Arial" w:hAnsi="Arial" w:cs="Arial" w:eastAsia="Arial" w:hint="default"/>
                <w:sz w:val="22"/>
                <w:szCs w:val="22"/>
              </w:rPr>
            </w:pPr>
            <w:r>
              <w:rPr>
                <w:rFonts w:ascii="Arial"/>
                <w:spacing w:val="-1"/>
                <w:sz w:val="22"/>
              </w:rPr>
              <w:t>(1,735,244,249)</w:t>
            </w:r>
            <w:r>
              <w:rPr>
                <w:rFonts w:ascii="Arial"/>
                <w:sz w:val="22"/>
              </w:rPr>
            </w:r>
          </w:p>
        </w:tc>
      </w:tr>
      <w:tr>
        <w:trPr>
          <w:trHeight w:val="283" w:hRule="exact"/>
        </w:trPr>
        <w:tc>
          <w:tcPr>
            <w:tcW w:w="4837"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宋体" w:hAnsi="宋体" w:cs="宋体" w:eastAsia="宋体" w:hint="default"/>
                <w:sz w:val="22"/>
                <w:szCs w:val="22"/>
              </w:rPr>
              <w:t>净汇兑亏损</w:t>
            </w:r>
            <w:r>
              <w:rPr>
                <w:rFonts w:ascii="Arial" w:hAnsi="Arial" w:cs="Arial" w:eastAsia="Arial" w:hint="default"/>
                <w:sz w:val="22"/>
                <w:szCs w:val="22"/>
              </w:rPr>
              <w:t>/</w:t>
            </w:r>
            <w:r>
              <w:rPr>
                <w:rFonts w:ascii="宋体" w:hAnsi="宋体" w:cs="宋体" w:eastAsia="宋体" w:hint="default"/>
                <w:sz w:val="22"/>
                <w:szCs w:val="22"/>
              </w:rPr>
              <w:t>（收益）</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81"/>
              <w:jc w:val="right"/>
              <w:rPr>
                <w:rFonts w:ascii="Arial" w:hAnsi="Arial" w:cs="Arial" w:eastAsia="Arial" w:hint="default"/>
                <w:sz w:val="22"/>
                <w:szCs w:val="22"/>
              </w:rPr>
            </w:pPr>
            <w:r>
              <w:rPr>
                <w:rFonts w:ascii="Arial"/>
                <w:spacing w:val="-1"/>
                <w:sz w:val="22"/>
              </w:rPr>
              <w:t>39,241,639</w:t>
            </w:r>
          </w:p>
        </w:tc>
        <w:tc>
          <w:tcPr>
            <w:tcW w:w="199"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
              <w:jc w:val="right"/>
              <w:rPr>
                <w:rFonts w:ascii="Arial" w:hAnsi="Arial" w:cs="Arial" w:eastAsia="Arial" w:hint="default"/>
                <w:sz w:val="22"/>
                <w:szCs w:val="22"/>
              </w:rPr>
            </w:pPr>
            <w:r>
              <w:rPr>
                <w:rFonts w:ascii="Arial"/>
                <w:sz w:val="22"/>
              </w:rPr>
              <w:t>(80,450,209)</w:t>
            </w:r>
          </w:p>
        </w:tc>
      </w:tr>
      <w:tr>
        <w:trPr>
          <w:trHeight w:val="422" w:hRule="exact"/>
        </w:trPr>
        <w:tc>
          <w:tcPr>
            <w:tcW w:w="4837"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金融机构手续费及其他</w:t>
            </w:r>
          </w:p>
        </w:tc>
        <w:tc>
          <w:tcPr>
            <w:tcW w:w="2242" w:type="dxa"/>
            <w:tcBorders>
              <w:top w:val="nil" w:sz="6" w:space="0" w:color="auto"/>
              <w:left w:val="nil" w:sz="6" w:space="0" w:color="auto"/>
              <w:bottom w:val="nil" w:sz="6" w:space="0" w:color="auto"/>
              <w:right w:val="nil" w:sz="6" w:space="0" w:color="auto"/>
            </w:tcBorders>
          </w:tcPr>
          <w:p>
            <w:pPr>
              <w:pStyle w:val="TableParagraph"/>
              <w:tabs>
                <w:tab w:pos="1055" w:val="left" w:leader="none"/>
                <w:tab w:pos="2241"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69,825,591</w:t>
              <w:tab/>
            </w:r>
            <w:r>
              <w:rPr>
                <w:rFonts w:ascii="Arial"/>
                <w:spacing w:val="-1"/>
                <w:sz w:val="22"/>
              </w:rPr>
            </w:r>
          </w:p>
        </w:tc>
        <w:tc>
          <w:tcPr>
            <w:tcW w:w="199"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tabs>
                <w:tab w:pos="907" w:val="left" w:leader="none"/>
                <w:tab w:pos="2212"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138,547,592</w:t>
              <w:tab/>
            </w:r>
            <w:r>
              <w:rPr>
                <w:rFonts w:ascii="Arial"/>
                <w:spacing w:val="-1"/>
                <w:sz w:val="22"/>
              </w:rPr>
            </w:r>
          </w:p>
        </w:tc>
      </w:tr>
      <w:tr>
        <w:trPr>
          <w:trHeight w:val="427" w:hRule="exact"/>
        </w:trPr>
        <w:tc>
          <w:tcPr>
            <w:tcW w:w="4837" w:type="dxa"/>
            <w:tcBorders>
              <w:top w:val="nil" w:sz="6" w:space="0" w:color="auto"/>
              <w:left w:val="nil" w:sz="6" w:space="0" w:color="auto"/>
              <w:bottom w:val="nil" w:sz="6" w:space="0" w:color="auto"/>
              <w:right w:val="nil" w:sz="6" w:space="0" w:color="auto"/>
            </w:tcBorders>
          </w:tcPr>
          <w:p>
            <w:pPr>
              <w:pStyle w:val="TableParagraph"/>
              <w:spacing w:line="240" w:lineRule="auto" w:before="85"/>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242"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right="79"/>
              <w:jc w:val="right"/>
              <w:rPr>
                <w:rFonts w:ascii="Arial" w:hAnsi="Arial" w:cs="Arial" w:eastAsia="Arial" w:hint="default"/>
                <w:sz w:val="22"/>
                <w:szCs w:val="22"/>
              </w:rPr>
            </w:pPr>
            <w:r>
              <w:rPr>
                <w:rFonts w:ascii="Arial"/>
                <w:sz w:val="22"/>
              </w:rPr>
              <w:t>717,430,307</w:t>
            </w:r>
          </w:p>
        </w:tc>
        <w:tc>
          <w:tcPr>
            <w:tcW w:w="199"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right="1"/>
              <w:jc w:val="right"/>
              <w:rPr>
                <w:rFonts w:ascii="Arial" w:hAnsi="Arial" w:cs="Arial" w:eastAsia="Arial" w:hint="default"/>
                <w:sz w:val="22"/>
                <w:szCs w:val="22"/>
              </w:rPr>
            </w:pPr>
            <w:r>
              <w:rPr>
                <w:rFonts w:ascii="Arial"/>
                <w:sz w:val="22"/>
              </w:rPr>
              <w:t>(137,779,791)</w:t>
            </w:r>
          </w:p>
        </w:tc>
      </w:tr>
    </w:tbl>
    <w:p>
      <w:pPr>
        <w:spacing w:line="240" w:lineRule="auto" w:before="2"/>
        <w:rPr>
          <w:rFonts w:ascii="宋体" w:hAnsi="宋体" w:cs="宋体" w:eastAsia="宋体" w:hint="default"/>
          <w:sz w:val="14"/>
          <w:szCs w:val="14"/>
        </w:rPr>
      </w:pPr>
    </w:p>
    <w:p>
      <w:pPr>
        <w:pStyle w:val="BodyText"/>
        <w:spacing w:line="293" w:lineRule="exact" w:before="32"/>
        <w:ind w:left="564" w:right="0"/>
        <w:jc w:val="left"/>
        <w:rPr>
          <w:rFonts w:ascii="Arial" w:hAnsi="Arial" w:cs="Arial" w:eastAsia="Arial" w:hint="default"/>
        </w:rPr>
      </w:pPr>
      <w:r>
        <w:rPr/>
        <w:t>于</w:t>
      </w:r>
      <w:r>
        <w:rPr>
          <w:spacing w:val="-54"/>
        </w:rPr>
        <w:t> </w:t>
      </w:r>
      <w:r>
        <w:rPr>
          <w:rFonts w:ascii="Arial" w:hAnsi="Arial" w:cs="Arial" w:eastAsia="Arial" w:hint="default"/>
        </w:rPr>
        <w:t>2019</w:t>
      </w:r>
      <w:r>
        <w:rPr>
          <w:rFonts w:ascii="Arial" w:hAnsi="Arial" w:cs="Arial" w:eastAsia="Arial" w:hint="default"/>
          <w:spacing w:val="-3"/>
        </w:rPr>
        <w:t> </w:t>
      </w:r>
      <w:r>
        <w:rPr/>
        <w:t>年</w:t>
      </w:r>
      <w:r>
        <w:rPr>
          <w:spacing w:val="-59"/>
        </w:rPr>
        <w:t> </w:t>
      </w:r>
      <w:r>
        <w:rPr>
          <w:rFonts w:ascii="Arial" w:hAnsi="Arial" w:cs="Arial" w:eastAsia="Arial" w:hint="default"/>
        </w:rPr>
        <w:t>12</w:t>
      </w:r>
      <w:r>
        <w:rPr>
          <w:rFonts w:ascii="Arial" w:hAnsi="Arial" w:cs="Arial" w:eastAsia="Arial" w:hint="default"/>
          <w:spacing w:val="-3"/>
        </w:rPr>
        <w:t> </w:t>
      </w:r>
      <w:r>
        <w:rPr/>
        <w:t>月</w:t>
      </w:r>
      <w:r>
        <w:rPr>
          <w:spacing w:val="-54"/>
        </w:rPr>
        <w:t> </w:t>
      </w:r>
      <w:r>
        <w:rPr>
          <w:rFonts w:ascii="Arial" w:hAnsi="Arial" w:cs="Arial" w:eastAsia="Arial" w:hint="default"/>
        </w:rPr>
        <w:t>31</w:t>
      </w:r>
      <w:r>
        <w:rPr>
          <w:rFonts w:ascii="Arial" w:hAnsi="Arial" w:cs="Arial" w:eastAsia="Arial" w:hint="default"/>
          <w:spacing w:val="-3"/>
        </w:rPr>
        <w:t> </w:t>
      </w:r>
      <w:r>
        <w:rPr>
          <w:spacing w:val="-3"/>
        </w:rPr>
        <w:t>日，应收利息款项约人民币</w:t>
      </w:r>
      <w:r>
        <w:rPr>
          <w:spacing w:val="-54"/>
        </w:rPr>
        <w:t> </w:t>
      </w:r>
      <w:r>
        <w:rPr>
          <w:rFonts w:ascii="Arial" w:hAnsi="Arial" w:cs="Arial" w:eastAsia="Arial" w:hint="default"/>
        </w:rPr>
        <w:t>0.64</w:t>
      </w:r>
      <w:r>
        <w:rPr>
          <w:rFonts w:ascii="Arial" w:hAnsi="Arial" w:cs="Arial" w:eastAsia="Arial" w:hint="default"/>
          <w:spacing w:val="-3"/>
        </w:rPr>
        <w:t> </w:t>
      </w:r>
      <w:r>
        <w:rPr>
          <w:spacing w:val="-3"/>
        </w:rPr>
        <w:t>亿元（</w:t>
      </w:r>
      <w:r>
        <w:rPr>
          <w:rFonts w:ascii="Arial" w:hAnsi="Arial" w:cs="Arial" w:eastAsia="Arial" w:hint="default"/>
          <w:spacing w:val="-3"/>
        </w:rPr>
        <w:t>2018 </w:t>
      </w:r>
      <w:r>
        <w:rPr/>
        <w:t>年</w:t>
      </w:r>
      <w:r>
        <w:rPr>
          <w:spacing w:val="-54"/>
        </w:rPr>
        <w:t> </w:t>
      </w:r>
      <w:r>
        <w:rPr>
          <w:rFonts w:ascii="Arial" w:hAnsi="Arial" w:cs="Arial" w:eastAsia="Arial" w:hint="default"/>
        </w:rPr>
        <w:t>12</w:t>
      </w:r>
      <w:r>
        <w:rPr>
          <w:rFonts w:ascii="Arial" w:hAnsi="Arial" w:cs="Arial" w:eastAsia="Arial" w:hint="default"/>
          <w:spacing w:val="-3"/>
        </w:rPr>
        <w:t> </w:t>
      </w:r>
      <w:r>
        <w:rPr/>
        <w:t>月</w:t>
      </w:r>
      <w:r>
        <w:rPr>
          <w:spacing w:val="-54"/>
        </w:rPr>
        <w:t> </w:t>
      </w:r>
      <w:r>
        <w:rPr>
          <w:rFonts w:ascii="Arial" w:hAnsi="Arial" w:cs="Arial" w:eastAsia="Arial" w:hint="default"/>
        </w:rPr>
        <w:t>31</w:t>
      </w:r>
      <w:r>
        <w:rPr>
          <w:rFonts w:ascii="Arial" w:hAnsi="Arial" w:cs="Arial" w:eastAsia="Arial" w:hint="default"/>
          <w:spacing w:val="-3"/>
        </w:rPr>
        <w:t> </w:t>
      </w:r>
      <w:r>
        <w:rPr>
          <w:spacing w:val="-4"/>
        </w:rPr>
        <w:t>日：约人民币</w:t>
      </w:r>
      <w:r>
        <w:rPr>
          <w:spacing w:val="-54"/>
        </w:rPr>
        <w:t> </w:t>
      </w:r>
      <w:r>
        <w:rPr>
          <w:rFonts w:ascii="Arial" w:hAnsi="Arial" w:cs="Arial" w:eastAsia="Arial" w:hint="default"/>
        </w:rPr>
        <w:t>3.42</w:t>
      </w:r>
    </w:p>
    <w:p>
      <w:pPr>
        <w:pStyle w:val="BodyText"/>
        <w:spacing w:line="278" w:lineRule="exact"/>
        <w:ind w:left="563" w:right="0"/>
        <w:jc w:val="left"/>
      </w:pPr>
      <w:r>
        <w:rPr/>
        <w:t>亿元）。</w:t>
      </w:r>
    </w:p>
    <w:p>
      <w:pPr>
        <w:spacing w:line="240" w:lineRule="auto" w:before="0"/>
        <w:rPr>
          <w:rFonts w:ascii="宋体" w:hAnsi="宋体" w:cs="宋体" w:eastAsia="宋体" w:hint="default"/>
          <w:sz w:val="22"/>
          <w:szCs w:val="22"/>
        </w:rPr>
      </w:pPr>
    </w:p>
    <w:p>
      <w:pPr>
        <w:spacing w:line="240" w:lineRule="auto" w:before="7"/>
        <w:rPr>
          <w:rFonts w:ascii="宋体" w:hAnsi="宋体" w:cs="宋体" w:eastAsia="宋体" w:hint="default"/>
          <w:sz w:val="16"/>
          <w:szCs w:val="16"/>
        </w:rPr>
      </w:pPr>
    </w:p>
    <w:p>
      <w:pPr>
        <w:pStyle w:val="BodyText"/>
        <w:spacing w:line="240" w:lineRule="auto"/>
        <w:ind w:left="96" w:right="8107"/>
        <w:jc w:val="center"/>
      </w:pPr>
      <w:r>
        <w:rPr>
          <w:rFonts w:ascii="Arial" w:hAnsi="Arial" w:cs="Arial" w:eastAsia="Arial" w:hint="default"/>
        </w:rPr>
        <w:t>43</w:t>
      </w:r>
      <w:r>
        <w:rPr/>
        <w:t>、信用减值损失</w:t>
      </w:r>
    </w:p>
    <w:p>
      <w:pPr>
        <w:spacing w:line="240" w:lineRule="auto" w:before="0"/>
        <w:rPr>
          <w:rFonts w:ascii="宋体" w:hAnsi="宋体" w:cs="宋体" w:eastAsia="宋体" w:hint="default"/>
          <w:sz w:val="23"/>
          <w:szCs w:val="23"/>
        </w:rPr>
      </w:pPr>
    </w:p>
    <w:tbl>
      <w:tblPr>
        <w:tblW w:w="0" w:type="auto"/>
        <w:jc w:val="left"/>
        <w:tblInd w:w="402" w:type="dxa"/>
        <w:tblLayout w:type="fixed"/>
        <w:tblCellMar>
          <w:top w:w="0" w:type="dxa"/>
          <w:left w:w="0" w:type="dxa"/>
          <w:bottom w:w="0" w:type="dxa"/>
          <w:right w:w="0" w:type="dxa"/>
        </w:tblCellMar>
        <w:tblLook w:val="01E0"/>
      </w:tblPr>
      <w:tblGrid>
        <w:gridCol w:w="4851"/>
        <w:gridCol w:w="2242"/>
        <w:gridCol w:w="199"/>
        <w:gridCol w:w="2225"/>
      </w:tblGrid>
      <w:tr>
        <w:trPr>
          <w:trHeight w:val="264" w:hRule="exact"/>
        </w:trPr>
        <w:tc>
          <w:tcPr>
            <w:tcW w:w="4851" w:type="dxa"/>
            <w:tcBorders>
              <w:top w:val="nil" w:sz="6" w:space="0" w:color="auto"/>
              <w:left w:val="nil" w:sz="6" w:space="0" w:color="auto"/>
              <w:bottom w:val="nil" w:sz="6" w:space="0" w:color="auto"/>
              <w:right w:val="nil" w:sz="6" w:space="0" w:color="auto"/>
            </w:tcBorders>
          </w:tcPr>
          <w:p>
            <w:pPr/>
          </w:p>
        </w:tc>
        <w:tc>
          <w:tcPr>
            <w:tcW w:w="2242" w:type="dxa"/>
            <w:tcBorders>
              <w:top w:val="nil" w:sz="6" w:space="0" w:color="auto"/>
              <w:left w:val="nil" w:sz="6" w:space="0" w:color="auto"/>
              <w:bottom w:val="single" w:sz="4" w:space="0" w:color="000000"/>
              <w:right w:val="nil" w:sz="6" w:space="0" w:color="auto"/>
            </w:tcBorders>
          </w:tcPr>
          <w:p>
            <w:pPr>
              <w:pStyle w:val="TableParagraph"/>
              <w:spacing w:line="236" w:lineRule="exact"/>
              <w:ind w:right="7"/>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199" w:type="dxa"/>
            <w:tcBorders>
              <w:top w:val="nil" w:sz="6" w:space="0" w:color="auto"/>
              <w:left w:val="nil" w:sz="6" w:space="0" w:color="auto"/>
              <w:bottom w:val="nil" w:sz="6" w:space="0" w:color="auto"/>
              <w:right w:val="nil" w:sz="6" w:space="0" w:color="auto"/>
            </w:tcBorders>
          </w:tcPr>
          <w:p>
            <w:pPr/>
          </w:p>
        </w:tc>
        <w:tc>
          <w:tcPr>
            <w:tcW w:w="2225" w:type="dxa"/>
            <w:tcBorders>
              <w:top w:val="nil" w:sz="6" w:space="0" w:color="auto"/>
              <w:left w:val="nil" w:sz="6" w:space="0" w:color="auto"/>
              <w:bottom w:val="single" w:sz="6" w:space="0" w:color="000000"/>
              <w:right w:val="nil" w:sz="6" w:space="0" w:color="auto"/>
            </w:tcBorders>
          </w:tcPr>
          <w:p>
            <w:pPr>
              <w:pStyle w:val="TableParagraph"/>
              <w:spacing w:line="236" w:lineRule="exact"/>
              <w:ind w:right="12"/>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tc>
      </w:tr>
      <w:tr>
        <w:trPr>
          <w:trHeight w:val="557" w:hRule="exact"/>
        </w:trPr>
        <w:tc>
          <w:tcPr>
            <w:tcW w:w="485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应收账款</w:t>
            </w:r>
          </w:p>
        </w:tc>
        <w:tc>
          <w:tcPr>
            <w:tcW w:w="2242"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57"/>
              <w:jc w:val="right"/>
              <w:rPr>
                <w:rFonts w:ascii="Arial" w:hAnsi="Arial" w:cs="Arial" w:eastAsia="Arial" w:hint="default"/>
                <w:sz w:val="22"/>
                <w:szCs w:val="22"/>
              </w:rPr>
            </w:pPr>
            <w:r>
              <w:rPr>
                <w:rFonts w:ascii="Arial"/>
                <w:spacing w:val="-1"/>
                <w:sz w:val="22"/>
              </w:rPr>
              <w:t>3,127,844,263</w:t>
            </w:r>
          </w:p>
        </w:tc>
        <w:tc>
          <w:tcPr>
            <w:tcW w:w="199" w:type="dxa"/>
            <w:tcBorders>
              <w:top w:val="nil" w:sz="6" w:space="0" w:color="auto"/>
              <w:left w:val="nil" w:sz="6" w:space="0" w:color="auto"/>
              <w:bottom w:val="nil" w:sz="6" w:space="0" w:color="auto"/>
              <w:right w:val="nil" w:sz="6" w:space="0" w:color="auto"/>
            </w:tcBorders>
          </w:tcPr>
          <w:p>
            <w:pPr/>
          </w:p>
        </w:tc>
        <w:tc>
          <w:tcPr>
            <w:tcW w:w="2225"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48"/>
              <w:jc w:val="right"/>
              <w:rPr>
                <w:rFonts w:ascii="Arial" w:hAnsi="Arial" w:cs="Arial" w:eastAsia="Arial" w:hint="default"/>
                <w:sz w:val="22"/>
                <w:szCs w:val="22"/>
              </w:rPr>
            </w:pPr>
            <w:r>
              <w:rPr>
                <w:rFonts w:ascii="Arial"/>
                <w:spacing w:val="-1"/>
                <w:sz w:val="22"/>
              </w:rPr>
              <w:t>3,299,981,450</w:t>
            </w:r>
          </w:p>
        </w:tc>
      </w:tr>
      <w:tr>
        <w:trPr>
          <w:trHeight w:val="288" w:hRule="exact"/>
        </w:trPr>
        <w:tc>
          <w:tcPr>
            <w:tcW w:w="4851"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其他应收款</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7"/>
              <w:jc w:val="right"/>
              <w:rPr>
                <w:rFonts w:ascii="Arial" w:hAnsi="Arial" w:cs="Arial" w:eastAsia="Arial" w:hint="default"/>
                <w:sz w:val="22"/>
                <w:szCs w:val="22"/>
              </w:rPr>
            </w:pPr>
            <w:r>
              <w:rPr>
                <w:rFonts w:ascii="Arial"/>
                <w:spacing w:val="-1"/>
                <w:sz w:val="22"/>
              </w:rPr>
              <w:t>87,382,054</w:t>
            </w:r>
          </w:p>
        </w:tc>
        <w:tc>
          <w:tcPr>
            <w:tcW w:w="199" w:type="dxa"/>
            <w:tcBorders>
              <w:top w:val="nil" w:sz="6" w:space="0" w:color="auto"/>
              <w:left w:val="nil" w:sz="6" w:space="0" w:color="auto"/>
              <w:bottom w:val="nil" w:sz="6" w:space="0" w:color="auto"/>
              <w:right w:val="nil" w:sz="6" w:space="0" w:color="auto"/>
            </w:tcBorders>
          </w:tcPr>
          <w:p>
            <w:pPr/>
          </w:p>
        </w:tc>
        <w:tc>
          <w:tcPr>
            <w:tcW w:w="2225"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8"/>
              <w:jc w:val="right"/>
              <w:rPr>
                <w:rFonts w:ascii="Arial" w:hAnsi="Arial" w:cs="Arial" w:eastAsia="Arial" w:hint="default"/>
                <w:sz w:val="22"/>
                <w:szCs w:val="22"/>
              </w:rPr>
            </w:pPr>
            <w:r>
              <w:rPr>
                <w:rFonts w:ascii="Arial"/>
                <w:spacing w:val="-1"/>
                <w:sz w:val="22"/>
              </w:rPr>
              <w:t>13,602,821</w:t>
            </w:r>
          </w:p>
        </w:tc>
      </w:tr>
      <w:tr>
        <w:trPr>
          <w:trHeight w:val="283" w:hRule="exact"/>
        </w:trPr>
        <w:tc>
          <w:tcPr>
            <w:tcW w:w="4851"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合同资产</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7"/>
              <w:jc w:val="right"/>
              <w:rPr>
                <w:rFonts w:ascii="Arial" w:hAnsi="Arial" w:cs="Arial" w:eastAsia="Arial" w:hint="default"/>
                <w:sz w:val="22"/>
                <w:szCs w:val="22"/>
              </w:rPr>
            </w:pPr>
            <w:r>
              <w:rPr>
                <w:rFonts w:ascii="Arial"/>
                <w:spacing w:val="-1"/>
                <w:sz w:val="22"/>
              </w:rPr>
              <w:t>43,865,737</w:t>
            </w:r>
          </w:p>
        </w:tc>
        <w:tc>
          <w:tcPr>
            <w:tcW w:w="199" w:type="dxa"/>
            <w:tcBorders>
              <w:top w:val="nil" w:sz="6" w:space="0" w:color="auto"/>
              <w:left w:val="nil" w:sz="6" w:space="0" w:color="auto"/>
              <w:bottom w:val="nil" w:sz="6" w:space="0" w:color="auto"/>
              <w:right w:val="nil" w:sz="6" w:space="0" w:color="auto"/>
            </w:tcBorders>
          </w:tcPr>
          <w:p>
            <w:pPr/>
          </w:p>
        </w:tc>
        <w:tc>
          <w:tcPr>
            <w:tcW w:w="222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8"/>
              <w:jc w:val="right"/>
              <w:rPr>
                <w:rFonts w:ascii="Arial" w:hAnsi="Arial" w:cs="Arial" w:eastAsia="Arial" w:hint="default"/>
                <w:sz w:val="22"/>
                <w:szCs w:val="22"/>
              </w:rPr>
            </w:pPr>
            <w:r>
              <w:rPr>
                <w:rFonts w:ascii="Arial"/>
                <w:spacing w:val="-1"/>
                <w:sz w:val="22"/>
              </w:rPr>
              <w:t>230,553,517</w:t>
            </w:r>
          </w:p>
        </w:tc>
      </w:tr>
      <w:tr>
        <w:trPr>
          <w:trHeight w:val="415" w:hRule="exact"/>
        </w:trPr>
        <w:tc>
          <w:tcPr>
            <w:tcW w:w="4851"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242" w:type="dxa"/>
            <w:tcBorders>
              <w:top w:val="nil" w:sz="6" w:space="0" w:color="auto"/>
              <w:left w:val="nil" w:sz="6" w:space="0" w:color="auto"/>
              <w:bottom w:val="nil" w:sz="6" w:space="0" w:color="auto"/>
              <w:right w:val="nil" w:sz="6" w:space="0" w:color="auto"/>
            </w:tcBorders>
          </w:tcPr>
          <w:p>
            <w:pPr>
              <w:pStyle w:val="TableParagraph"/>
              <w:tabs>
                <w:tab w:pos="1079" w:val="left" w:leader="none"/>
                <w:tab w:pos="2241" w:val="left" w:leader="none"/>
              </w:tabs>
              <w:spacing w:line="240" w:lineRule="auto" w:before="16"/>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39,700,916</w:t>
              <w:tab/>
            </w:r>
            <w:r>
              <w:rPr>
                <w:rFonts w:ascii="Arial"/>
                <w:spacing w:val="-1"/>
                <w:sz w:val="22"/>
              </w:rPr>
            </w:r>
          </w:p>
        </w:tc>
        <w:tc>
          <w:tcPr>
            <w:tcW w:w="199" w:type="dxa"/>
            <w:tcBorders>
              <w:top w:val="nil" w:sz="6" w:space="0" w:color="auto"/>
              <w:left w:val="nil" w:sz="6" w:space="0" w:color="auto"/>
              <w:bottom w:val="nil" w:sz="6" w:space="0" w:color="auto"/>
              <w:right w:val="nil" w:sz="6" w:space="0" w:color="auto"/>
            </w:tcBorders>
          </w:tcPr>
          <w:p>
            <w:pPr/>
          </w:p>
        </w:tc>
        <w:tc>
          <w:tcPr>
            <w:tcW w:w="2225" w:type="dxa"/>
            <w:tcBorders>
              <w:top w:val="nil" w:sz="6" w:space="0" w:color="auto"/>
              <w:left w:val="nil" w:sz="6" w:space="0" w:color="auto"/>
              <w:bottom w:val="nil" w:sz="6" w:space="0" w:color="auto"/>
              <w:right w:val="nil" w:sz="6" w:space="0" w:color="auto"/>
            </w:tcBorders>
          </w:tcPr>
          <w:p>
            <w:pPr>
              <w:pStyle w:val="TableParagraph"/>
              <w:tabs>
                <w:tab w:pos="1060" w:val="left" w:leader="none"/>
              </w:tabs>
              <w:spacing w:line="240" w:lineRule="auto" w:before="16"/>
              <w:ind w:right="5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65,397,272</w:t>
            </w:r>
            <w:r>
              <w:rPr>
                <w:rFonts w:ascii="Arial"/>
                <w:spacing w:val="-1"/>
                <w:sz w:val="22"/>
              </w:rPr>
            </w:r>
          </w:p>
        </w:tc>
      </w:tr>
      <w:tr>
        <w:trPr>
          <w:trHeight w:val="429" w:hRule="exact"/>
        </w:trPr>
        <w:tc>
          <w:tcPr>
            <w:tcW w:w="485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242" w:type="dxa"/>
            <w:tcBorders>
              <w:top w:val="nil" w:sz="6" w:space="0" w:color="auto"/>
              <w:left w:val="nil" w:sz="6" w:space="0" w:color="auto"/>
              <w:bottom w:val="nil" w:sz="6" w:space="0" w:color="auto"/>
              <w:right w:val="nil" w:sz="6" w:space="0" w:color="auto"/>
            </w:tcBorders>
          </w:tcPr>
          <w:p>
            <w:pPr>
              <w:pStyle w:val="TableParagraph"/>
              <w:tabs>
                <w:tab w:pos="772" w:val="left" w:leader="none"/>
                <w:tab w:pos="2241" w:val="left" w:leader="none"/>
              </w:tabs>
              <w:spacing w:line="240" w:lineRule="auto" w:before="153"/>
              <w:ind w:left="-15" w:right="0"/>
              <w:jc w:val="right"/>
              <w:rPr>
                <w:rFonts w:ascii="Arial" w:hAnsi="Arial" w:cs="Arial" w:eastAsia="Arial" w:hint="default"/>
                <w:sz w:val="22"/>
                <w:szCs w:val="22"/>
              </w:rPr>
            </w:pPr>
            <w:r>
              <w:rPr>
                <w:rFonts w:ascii="Arial"/>
                <w:w w:val="100"/>
                <w:sz w:val="22"/>
              </w:rPr>
            </w:r>
            <w:r>
              <w:rPr>
                <w:rFonts w:ascii="Arial"/>
                <w:w w:val="100"/>
                <w:sz w:val="22"/>
                <w:u w:val="thick" w:color="000000"/>
              </w:rPr>
              <w:t> </w:t>
            </w:r>
            <w:r>
              <w:rPr>
                <w:rFonts w:ascii="Arial"/>
                <w:sz w:val="22"/>
                <w:u w:val="thick" w:color="000000"/>
              </w:rPr>
              <w:tab/>
            </w:r>
            <w:r>
              <w:rPr>
                <w:rFonts w:ascii="Arial"/>
                <w:spacing w:val="-1"/>
                <w:sz w:val="22"/>
                <w:u w:val="thick" w:color="000000"/>
              </w:rPr>
              <w:t>3,298,792,970</w:t>
              <w:tab/>
            </w:r>
            <w:r>
              <w:rPr>
                <w:rFonts w:ascii="Arial"/>
                <w:spacing w:val="-1"/>
                <w:sz w:val="22"/>
              </w:rPr>
            </w:r>
          </w:p>
        </w:tc>
        <w:tc>
          <w:tcPr>
            <w:tcW w:w="199" w:type="dxa"/>
            <w:tcBorders>
              <w:top w:val="nil" w:sz="6" w:space="0" w:color="auto"/>
              <w:left w:val="nil" w:sz="6" w:space="0" w:color="auto"/>
              <w:bottom w:val="nil" w:sz="6" w:space="0" w:color="auto"/>
              <w:right w:val="nil" w:sz="6" w:space="0" w:color="auto"/>
            </w:tcBorders>
          </w:tcPr>
          <w:p>
            <w:pPr/>
          </w:p>
        </w:tc>
        <w:tc>
          <w:tcPr>
            <w:tcW w:w="2225" w:type="dxa"/>
            <w:tcBorders>
              <w:top w:val="nil" w:sz="6" w:space="0" w:color="auto"/>
              <w:left w:val="nil" w:sz="6" w:space="0" w:color="auto"/>
              <w:bottom w:val="single" w:sz="17" w:space="0" w:color="000000"/>
              <w:right w:val="nil" w:sz="6" w:space="0" w:color="auto"/>
            </w:tcBorders>
          </w:tcPr>
          <w:p>
            <w:pPr>
              <w:pStyle w:val="TableParagraph"/>
              <w:spacing w:line="240" w:lineRule="auto" w:before="153"/>
              <w:ind w:right="53"/>
              <w:jc w:val="right"/>
              <w:rPr>
                <w:rFonts w:ascii="Arial" w:hAnsi="Arial" w:cs="Arial" w:eastAsia="Arial" w:hint="default"/>
                <w:sz w:val="22"/>
                <w:szCs w:val="22"/>
              </w:rPr>
            </w:pPr>
            <w:r>
              <w:rPr>
                <w:rFonts w:ascii="Arial"/>
                <w:spacing w:val="-1"/>
                <w:sz w:val="22"/>
              </w:rPr>
              <w:t>3,609,535,060</w:t>
            </w:r>
          </w:p>
        </w:tc>
      </w:tr>
    </w:tbl>
    <w:p>
      <w:pPr>
        <w:spacing w:line="240" w:lineRule="auto" w:before="2"/>
        <w:rPr>
          <w:rFonts w:ascii="宋体" w:hAnsi="宋体" w:cs="宋体" w:eastAsia="宋体" w:hint="default"/>
          <w:sz w:val="14"/>
          <w:szCs w:val="14"/>
        </w:rPr>
      </w:pPr>
    </w:p>
    <w:p>
      <w:pPr>
        <w:pStyle w:val="BodyText"/>
        <w:spacing w:line="240" w:lineRule="auto" w:before="32"/>
        <w:ind w:left="112" w:right="0"/>
        <w:jc w:val="left"/>
      </w:pPr>
      <w:r>
        <w:rPr>
          <w:rFonts w:ascii="Arial" w:hAnsi="Arial" w:cs="Arial" w:eastAsia="Arial" w:hint="default"/>
        </w:rPr>
        <w:t>44</w:t>
      </w:r>
      <w:r>
        <w:rPr/>
        <w:t>、资产减值损失</w:t>
      </w:r>
    </w:p>
    <w:p>
      <w:pPr>
        <w:spacing w:line="240" w:lineRule="auto" w:before="0"/>
        <w:rPr>
          <w:rFonts w:ascii="宋体" w:hAnsi="宋体" w:cs="宋体" w:eastAsia="宋体" w:hint="default"/>
          <w:sz w:val="23"/>
          <w:szCs w:val="23"/>
        </w:rPr>
      </w:pPr>
    </w:p>
    <w:tbl>
      <w:tblPr>
        <w:tblW w:w="0" w:type="auto"/>
        <w:jc w:val="left"/>
        <w:tblInd w:w="402" w:type="dxa"/>
        <w:tblLayout w:type="fixed"/>
        <w:tblCellMar>
          <w:top w:w="0" w:type="dxa"/>
          <w:left w:w="0" w:type="dxa"/>
          <w:bottom w:w="0" w:type="dxa"/>
          <w:right w:w="0" w:type="dxa"/>
        </w:tblCellMar>
        <w:tblLook w:val="01E0"/>
      </w:tblPr>
      <w:tblGrid>
        <w:gridCol w:w="4851"/>
        <w:gridCol w:w="2242"/>
        <w:gridCol w:w="199"/>
        <w:gridCol w:w="2225"/>
      </w:tblGrid>
      <w:tr>
        <w:trPr>
          <w:trHeight w:val="259" w:hRule="exact"/>
        </w:trPr>
        <w:tc>
          <w:tcPr>
            <w:tcW w:w="4851" w:type="dxa"/>
            <w:tcBorders>
              <w:top w:val="nil" w:sz="6" w:space="0" w:color="auto"/>
              <w:left w:val="nil" w:sz="6" w:space="0" w:color="auto"/>
              <w:bottom w:val="nil" w:sz="6" w:space="0" w:color="auto"/>
              <w:right w:val="nil" w:sz="6" w:space="0" w:color="auto"/>
            </w:tcBorders>
          </w:tcPr>
          <w:p>
            <w:pPr/>
          </w:p>
        </w:tc>
        <w:tc>
          <w:tcPr>
            <w:tcW w:w="2242" w:type="dxa"/>
            <w:tcBorders>
              <w:top w:val="nil" w:sz="6" w:space="0" w:color="auto"/>
              <w:left w:val="nil" w:sz="6" w:space="0" w:color="auto"/>
              <w:bottom w:val="single" w:sz="6" w:space="0" w:color="000000"/>
              <w:right w:val="nil" w:sz="6" w:space="0" w:color="auto"/>
            </w:tcBorders>
          </w:tcPr>
          <w:p>
            <w:pPr>
              <w:pStyle w:val="TableParagraph"/>
              <w:spacing w:line="236" w:lineRule="exact"/>
              <w:ind w:right="7"/>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199" w:type="dxa"/>
            <w:tcBorders>
              <w:top w:val="nil" w:sz="6" w:space="0" w:color="auto"/>
              <w:left w:val="nil" w:sz="6" w:space="0" w:color="auto"/>
              <w:bottom w:val="nil" w:sz="6" w:space="0" w:color="auto"/>
              <w:right w:val="nil" w:sz="6" w:space="0" w:color="auto"/>
            </w:tcBorders>
          </w:tcPr>
          <w:p>
            <w:pPr/>
          </w:p>
        </w:tc>
        <w:tc>
          <w:tcPr>
            <w:tcW w:w="2225" w:type="dxa"/>
            <w:tcBorders>
              <w:top w:val="nil" w:sz="6" w:space="0" w:color="auto"/>
              <w:left w:val="nil" w:sz="6" w:space="0" w:color="auto"/>
              <w:bottom w:val="single" w:sz="6" w:space="0" w:color="000000"/>
              <w:right w:val="nil" w:sz="6" w:space="0" w:color="auto"/>
            </w:tcBorders>
          </w:tcPr>
          <w:p>
            <w:pPr>
              <w:pStyle w:val="TableParagraph"/>
              <w:spacing w:line="236" w:lineRule="exact"/>
              <w:ind w:right="12"/>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tc>
      </w:tr>
      <w:tr>
        <w:trPr>
          <w:trHeight w:val="562" w:hRule="exact"/>
        </w:trPr>
        <w:tc>
          <w:tcPr>
            <w:tcW w:w="485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存货跌价准备</w:t>
            </w:r>
          </w:p>
        </w:tc>
        <w:tc>
          <w:tcPr>
            <w:tcW w:w="2242"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58"/>
              <w:jc w:val="right"/>
              <w:rPr>
                <w:rFonts w:ascii="Arial" w:hAnsi="Arial" w:cs="Arial" w:eastAsia="Arial" w:hint="default"/>
                <w:sz w:val="22"/>
                <w:szCs w:val="22"/>
              </w:rPr>
            </w:pPr>
            <w:r>
              <w:rPr>
                <w:rFonts w:ascii="Arial"/>
                <w:spacing w:val="-1"/>
                <w:sz w:val="22"/>
              </w:rPr>
              <w:t>364,055,031</w:t>
            </w:r>
          </w:p>
        </w:tc>
        <w:tc>
          <w:tcPr>
            <w:tcW w:w="199" w:type="dxa"/>
            <w:tcBorders>
              <w:top w:val="nil" w:sz="6" w:space="0" w:color="auto"/>
              <w:left w:val="nil" w:sz="6" w:space="0" w:color="auto"/>
              <w:bottom w:val="nil" w:sz="6" w:space="0" w:color="auto"/>
              <w:right w:val="nil" w:sz="6" w:space="0" w:color="auto"/>
            </w:tcBorders>
          </w:tcPr>
          <w:p>
            <w:pPr/>
          </w:p>
        </w:tc>
        <w:tc>
          <w:tcPr>
            <w:tcW w:w="2225"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48"/>
              <w:jc w:val="right"/>
              <w:rPr>
                <w:rFonts w:ascii="Arial" w:hAnsi="Arial" w:cs="Arial" w:eastAsia="Arial" w:hint="default"/>
                <w:sz w:val="22"/>
                <w:szCs w:val="22"/>
              </w:rPr>
            </w:pPr>
            <w:r>
              <w:rPr>
                <w:rFonts w:ascii="Arial"/>
                <w:spacing w:val="-1"/>
                <w:sz w:val="22"/>
              </w:rPr>
              <w:t>236,273,460</w:t>
            </w:r>
          </w:p>
        </w:tc>
      </w:tr>
      <w:tr>
        <w:trPr>
          <w:trHeight w:val="415" w:hRule="exact"/>
        </w:trPr>
        <w:tc>
          <w:tcPr>
            <w:tcW w:w="4851"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242" w:type="dxa"/>
            <w:tcBorders>
              <w:top w:val="nil" w:sz="6" w:space="0" w:color="auto"/>
              <w:left w:val="nil" w:sz="6" w:space="0" w:color="auto"/>
              <w:bottom w:val="nil" w:sz="6" w:space="0" w:color="auto"/>
              <w:right w:val="nil" w:sz="6" w:space="0" w:color="auto"/>
            </w:tcBorders>
          </w:tcPr>
          <w:p>
            <w:pPr>
              <w:pStyle w:val="TableParagraph"/>
              <w:tabs>
                <w:tab w:pos="1079" w:val="left" w:leader="none"/>
                <w:tab w:pos="2241" w:val="left" w:leader="none"/>
              </w:tabs>
              <w:spacing w:line="240" w:lineRule="auto" w:before="16"/>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10,862,372</w:t>
              <w:tab/>
            </w:r>
            <w:r>
              <w:rPr>
                <w:rFonts w:ascii="Arial"/>
                <w:spacing w:val="-1"/>
                <w:sz w:val="22"/>
              </w:rPr>
            </w:r>
          </w:p>
        </w:tc>
        <w:tc>
          <w:tcPr>
            <w:tcW w:w="199" w:type="dxa"/>
            <w:tcBorders>
              <w:top w:val="nil" w:sz="6" w:space="0" w:color="auto"/>
              <w:left w:val="nil" w:sz="6" w:space="0" w:color="auto"/>
              <w:bottom w:val="nil" w:sz="6" w:space="0" w:color="auto"/>
              <w:right w:val="nil" w:sz="6" w:space="0" w:color="auto"/>
            </w:tcBorders>
          </w:tcPr>
          <w:p>
            <w:pPr/>
          </w:p>
        </w:tc>
        <w:tc>
          <w:tcPr>
            <w:tcW w:w="2225" w:type="dxa"/>
            <w:tcBorders>
              <w:top w:val="nil" w:sz="6" w:space="0" w:color="auto"/>
              <w:left w:val="nil" w:sz="6" w:space="0" w:color="auto"/>
              <w:bottom w:val="nil" w:sz="6" w:space="0" w:color="auto"/>
              <w:right w:val="nil" w:sz="6" w:space="0" w:color="auto"/>
            </w:tcBorders>
          </w:tcPr>
          <w:p>
            <w:pPr>
              <w:pStyle w:val="TableParagraph"/>
              <w:tabs>
                <w:tab w:pos="1065" w:val="left" w:leader="none"/>
              </w:tabs>
              <w:spacing w:line="240" w:lineRule="auto" w:before="16"/>
              <w:ind w:right="48"/>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18,900,989</w:t>
            </w:r>
            <w:r>
              <w:rPr>
                <w:rFonts w:ascii="Arial"/>
                <w:spacing w:val="-1"/>
                <w:sz w:val="22"/>
              </w:rPr>
            </w:r>
          </w:p>
        </w:tc>
      </w:tr>
      <w:tr>
        <w:trPr>
          <w:trHeight w:val="429" w:hRule="exact"/>
        </w:trPr>
        <w:tc>
          <w:tcPr>
            <w:tcW w:w="485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242"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58"/>
              <w:jc w:val="right"/>
              <w:rPr>
                <w:rFonts w:ascii="Arial" w:hAnsi="Arial" w:cs="Arial" w:eastAsia="Arial" w:hint="default"/>
                <w:sz w:val="22"/>
                <w:szCs w:val="22"/>
              </w:rPr>
            </w:pPr>
            <w:r>
              <w:rPr>
                <w:rFonts w:ascii="Arial"/>
                <w:spacing w:val="-1"/>
                <w:sz w:val="22"/>
              </w:rPr>
              <w:t>374,917,403</w:t>
            </w:r>
          </w:p>
        </w:tc>
        <w:tc>
          <w:tcPr>
            <w:tcW w:w="199" w:type="dxa"/>
            <w:tcBorders>
              <w:top w:val="nil" w:sz="6" w:space="0" w:color="auto"/>
              <w:left w:val="nil" w:sz="6" w:space="0" w:color="auto"/>
              <w:bottom w:val="nil" w:sz="6" w:space="0" w:color="auto"/>
              <w:right w:val="nil" w:sz="6" w:space="0" w:color="auto"/>
            </w:tcBorders>
          </w:tcPr>
          <w:p>
            <w:pPr/>
          </w:p>
        </w:tc>
        <w:tc>
          <w:tcPr>
            <w:tcW w:w="2225"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48"/>
              <w:jc w:val="right"/>
              <w:rPr>
                <w:rFonts w:ascii="Arial" w:hAnsi="Arial" w:cs="Arial" w:eastAsia="Arial" w:hint="default"/>
                <w:sz w:val="22"/>
                <w:szCs w:val="22"/>
              </w:rPr>
            </w:pPr>
            <w:r>
              <w:rPr>
                <w:rFonts w:ascii="Arial"/>
                <w:spacing w:val="-1"/>
                <w:sz w:val="22"/>
              </w:rPr>
              <w:t>255,174,449</w:t>
            </w:r>
          </w:p>
        </w:tc>
      </w:tr>
    </w:tbl>
    <w:p>
      <w:pPr>
        <w:spacing w:after="0" w:line="240" w:lineRule="auto"/>
        <w:jc w:val="right"/>
        <w:rPr>
          <w:rFonts w:ascii="Arial" w:hAnsi="Arial" w:cs="Arial" w:eastAsia="Arial" w:hint="default"/>
          <w:sz w:val="22"/>
          <w:szCs w:val="22"/>
        </w:rPr>
        <w:sectPr>
          <w:headerReference w:type="default" r:id="rId196"/>
          <w:pgSz w:w="11910" w:h="16840"/>
          <w:pgMar w:header="1188" w:footer="502" w:top="3600" w:bottom="700" w:left="1020" w:right="860"/>
        </w:sectPr>
      </w:pPr>
    </w:p>
    <w:p>
      <w:pPr>
        <w:spacing w:line="240" w:lineRule="auto" w:before="5"/>
        <w:rPr>
          <w:rFonts w:ascii="宋体" w:hAnsi="宋体" w:cs="宋体" w:eastAsia="宋体" w:hint="default"/>
          <w:sz w:val="23"/>
          <w:szCs w:val="23"/>
        </w:rPr>
      </w:pPr>
    </w:p>
    <w:tbl>
      <w:tblPr>
        <w:tblW w:w="0" w:type="auto"/>
        <w:jc w:val="left"/>
        <w:tblInd w:w="364" w:type="dxa"/>
        <w:tblLayout w:type="fixed"/>
        <w:tblCellMar>
          <w:top w:w="0" w:type="dxa"/>
          <w:left w:w="0" w:type="dxa"/>
          <w:bottom w:w="0" w:type="dxa"/>
          <w:right w:w="0" w:type="dxa"/>
        </w:tblCellMar>
        <w:tblLook w:val="01E0"/>
      </w:tblPr>
      <w:tblGrid>
        <w:gridCol w:w="4880"/>
        <w:gridCol w:w="2122"/>
        <w:gridCol w:w="247"/>
        <w:gridCol w:w="2182"/>
      </w:tblGrid>
      <w:tr>
        <w:trPr>
          <w:trHeight w:val="262" w:hRule="exact"/>
        </w:trPr>
        <w:tc>
          <w:tcPr>
            <w:tcW w:w="4880" w:type="dxa"/>
            <w:tcBorders>
              <w:top w:val="nil" w:sz="6" w:space="0" w:color="auto"/>
              <w:left w:val="nil" w:sz="6" w:space="0" w:color="auto"/>
              <w:bottom w:val="nil" w:sz="6" w:space="0" w:color="auto"/>
              <w:right w:val="nil" w:sz="6" w:space="0" w:color="auto"/>
            </w:tcBorders>
          </w:tcPr>
          <w:p>
            <w:pPr/>
          </w:p>
        </w:tc>
        <w:tc>
          <w:tcPr>
            <w:tcW w:w="2122" w:type="dxa"/>
            <w:tcBorders>
              <w:top w:val="nil" w:sz="6" w:space="0" w:color="auto"/>
              <w:left w:val="nil" w:sz="6" w:space="0" w:color="auto"/>
              <w:bottom w:val="single" w:sz="4" w:space="0" w:color="000000"/>
              <w:right w:val="nil" w:sz="6" w:space="0" w:color="auto"/>
            </w:tcBorders>
          </w:tcPr>
          <w:p>
            <w:pPr>
              <w:pStyle w:val="TableParagraph"/>
              <w:spacing w:line="236" w:lineRule="exact"/>
              <w:ind w:left="1195"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247" w:type="dxa"/>
            <w:tcBorders>
              <w:top w:val="nil" w:sz="6" w:space="0" w:color="auto"/>
              <w:left w:val="nil" w:sz="6" w:space="0" w:color="auto"/>
              <w:bottom w:val="nil" w:sz="6" w:space="0" w:color="auto"/>
              <w:right w:val="nil" w:sz="6" w:space="0" w:color="auto"/>
            </w:tcBorders>
          </w:tcPr>
          <w:p>
            <w:pPr/>
          </w:p>
        </w:tc>
        <w:tc>
          <w:tcPr>
            <w:tcW w:w="2182" w:type="dxa"/>
            <w:tcBorders>
              <w:top w:val="nil" w:sz="6" w:space="0" w:color="auto"/>
              <w:left w:val="nil" w:sz="6" w:space="0" w:color="auto"/>
              <w:bottom w:val="single" w:sz="4" w:space="0" w:color="000000"/>
              <w:right w:val="nil" w:sz="6" w:space="0" w:color="auto"/>
            </w:tcBorders>
          </w:tcPr>
          <w:p>
            <w:pPr>
              <w:pStyle w:val="TableParagraph"/>
              <w:spacing w:line="236" w:lineRule="exact"/>
              <w:ind w:left="1255"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tc>
      </w:tr>
      <w:tr>
        <w:trPr>
          <w:trHeight w:val="555" w:hRule="exact"/>
        </w:trPr>
        <w:tc>
          <w:tcPr>
            <w:tcW w:w="488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w w:val="100"/>
                <w:sz w:val="22"/>
                <w:szCs w:val="22"/>
              </w:rPr>
              <w:t>其他权益工具投</w:t>
            </w:r>
            <w:r>
              <w:rPr>
                <w:rFonts w:ascii="宋体" w:hAnsi="宋体" w:cs="宋体" w:eastAsia="宋体" w:hint="default"/>
                <w:spacing w:val="-5"/>
                <w:w w:val="100"/>
                <w:sz w:val="22"/>
                <w:szCs w:val="22"/>
              </w:rPr>
              <w:t>资</w:t>
            </w:r>
            <w:r>
              <w:rPr>
                <w:rFonts w:ascii="宋体" w:hAnsi="宋体" w:cs="宋体" w:eastAsia="宋体" w:hint="default"/>
                <w:w w:val="100"/>
                <w:sz w:val="22"/>
                <w:szCs w:val="22"/>
              </w:rPr>
              <w:t>在持有期间</w:t>
            </w:r>
            <w:r>
              <w:rPr>
                <w:rFonts w:ascii="宋体" w:hAnsi="宋体" w:cs="宋体" w:eastAsia="宋体" w:hint="default"/>
                <w:spacing w:val="-5"/>
                <w:w w:val="100"/>
                <w:sz w:val="22"/>
                <w:szCs w:val="22"/>
              </w:rPr>
              <w:t>的</w:t>
            </w:r>
            <w:r>
              <w:rPr>
                <w:rFonts w:ascii="宋体" w:hAnsi="宋体" w:cs="宋体" w:eastAsia="宋体" w:hint="default"/>
                <w:w w:val="100"/>
                <w:sz w:val="22"/>
                <w:szCs w:val="22"/>
              </w:rPr>
              <w:t>股利收</w:t>
            </w:r>
            <w:r>
              <w:rPr>
                <w:rFonts w:ascii="宋体" w:hAnsi="宋体" w:cs="宋体" w:eastAsia="宋体" w:hint="default"/>
                <w:spacing w:val="-111"/>
                <w:w w:val="100"/>
                <w:sz w:val="22"/>
                <w:szCs w:val="22"/>
              </w:rPr>
              <w:t>益</w:t>
            </w:r>
            <w:r>
              <w:rPr>
                <w:rFonts w:ascii="宋体" w:hAnsi="宋体" w:cs="宋体" w:eastAsia="宋体" w:hint="default"/>
                <w:w w:val="100"/>
                <w:sz w:val="22"/>
                <w:szCs w:val="22"/>
              </w:rPr>
              <w:t>（注</w:t>
            </w:r>
            <w:r>
              <w:rPr>
                <w:rFonts w:ascii="宋体" w:hAnsi="宋体" w:cs="宋体" w:eastAsia="宋体" w:hint="default"/>
                <w:spacing w:val="-72"/>
                <w:sz w:val="22"/>
                <w:szCs w:val="22"/>
              </w:rPr>
              <w:t> </w:t>
            </w:r>
            <w:r>
              <w:rPr>
                <w:rFonts w:ascii="Arial" w:hAnsi="Arial" w:cs="Arial" w:eastAsia="Arial" w:hint="default"/>
                <w:spacing w:val="2"/>
                <w:w w:val="100"/>
                <w:sz w:val="22"/>
                <w:szCs w:val="22"/>
              </w:rPr>
              <w:t>1</w:t>
            </w:r>
            <w:r>
              <w:rPr>
                <w:rFonts w:ascii="宋体" w:hAnsi="宋体" w:cs="宋体" w:eastAsia="宋体" w:hint="default"/>
                <w:w w:val="100"/>
                <w:sz w:val="22"/>
                <w:szCs w:val="22"/>
              </w:rPr>
              <w:t>）</w:t>
            </w:r>
          </w:p>
        </w:tc>
        <w:tc>
          <w:tcPr>
            <w:tcW w:w="2122"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787" w:right="0"/>
              <w:jc w:val="left"/>
              <w:rPr>
                <w:rFonts w:ascii="Arial" w:hAnsi="Arial" w:cs="Arial" w:eastAsia="Arial" w:hint="default"/>
                <w:sz w:val="22"/>
                <w:szCs w:val="22"/>
              </w:rPr>
            </w:pPr>
            <w:r>
              <w:rPr>
                <w:rFonts w:ascii="Arial"/>
                <w:sz w:val="22"/>
              </w:rPr>
              <w:t>205,048,600</w:t>
            </w:r>
          </w:p>
        </w:tc>
        <w:tc>
          <w:tcPr>
            <w:tcW w:w="247" w:type="dxa"/>
            <w:tcBorders>
              <w:top w:val="nil" w:sz="6" w:space="0" w:color="auto"/>
              <w:left w:val="nil" w:sz="6" w:space="0" w:color="auto"/>
              <w:bottom w:val="nil" w:sz="6" w:space="0" w:color="auto"/>
              <w:right w:val="nil" w:sz="6" w:space="0" w:color="auto"/>
            </w:tcBorders>
          </w:tcPr>
          <w:p>
            <w:pPr/>
          </w:p>
        </w:tc>
        <w:tc>
          <w:tcPr>
            <w:tcW w:w="2182"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852" w:right="0"/>
              <w:jc w:val="left"/>
              <w:rPr>
                <w:rFonts w:ascii="Arial" w:hAnsi="Arial" w:cs="Arial" w:eastAsia="Arial" w:hint="default"/>
                <w:sz w:val="22"/>
                <w:szCs w:val="22"/>
              </w:rPr>
            </w:pPr>
            <w:r>
              <w:rPr>
                <w:rFonts w:ascii="Arial"/>
                <w:sz w:val="22"/>
              </w:rPr>
              <w:t>202,813,360</w:t>
            </w:r>
          </w:p>
        </w:tc>
      </w:tr>
      <w:tr>
        <w:trPr>
          <w:trHeight w:val="288" w:hRule="exact"/>
        </w:trPr>
        <w:tc>
          <w:tcPr>
            <w:tcW w:w="488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权益法核算的长期股权投资收益</w:t>
            </w: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21"/>
              <w:ind w:left="604" w:right="0"/>
              <w:jc w:val="left"/>
              <w:rPr>
                <w:rFonts w:ascii="Arial" w:hAnsi="Arial" w:cs="Arial" w:eastAsia="Arial" w:hint="default"/>
                <w:sz w:val="22"/>
                <w:szCs w:val="22"/>
              </w:rPr>
            </w:pPr>
            <w:r>
              <w:rPr>
                <w:rFonts w:ascii="Arial"/>
                <w:sz w:val="22"/>
              </w:rPr>
              <w:t>1,957,008,332</w:t>
            </w:r>
          </w:p>
        </w:tc>
        <w:tc>
          <w:tcPr>
            <w:tcW w:w="247" w:type="dxa"/>
            <w:tcBorders>
              <w:top w:val="nil" w:sz="6" w:space="0" w:color="auto"/>
              <w:left w:val="nil" w:sz="6" w:space="0" w:color="auto"/>
              <w:bottom w:val="nil" w:sz="6" w:space="0" w:color="auto"/>
              <w:right w:val="nil" w:sz="6" w:space="0" w:color="auto"/>
            </w:tcBorders>
          </w:tcPr>
          <w:p>
            <w:pPr/>
          </w:p>
        </w:tc>
        <w:tc>
          <w:tcPr>
            <w:tcW w:w="2182" w:type="dxa"/>
            <w:tcBorders>
              <w:top w:val="nil" w:sz="6" w:space="0" w:color="auto"/>
              <w:left w:val="nil" w:sz="6" w:space="0" w:color="auto"/>
              <w:bottom w:val="nil" w:sz="6" w:space="0" w:color="auto"/>
              <w:right w:val="nil" w:sz="6" w:space="0" w:color="auto"/>
            </w:tcBorders>
          </w:tcPr>
          <w:p>
            <w:pPr>
              <w:pStyle w:val="TableParagraph"/>
              <w:spacing w:line="240" w:lineRule="auto" w:before="21"/>
              <w:ind w:left="669" w:right="0"/>
              <w:jc w:val="left"/>
              <w:rPr>
                <w:rFonts w:ascii="Arial" w:hAnsi="Arial" w:cs="Arial" w:eastAsia="Arial" w:hint="default"/>
                <w:sz w:val="22"/>
                <w:szCs w:val="22"/>
              </w:rPr>
            </w:pPr>
            <w:r>
              <w:rPr>
                <w:rFonts w:ascii="Arial"/>
                <w:sz w:val="22"/>
              </w:rPr>
              <w:t>2,236,077,532</w:t>
            </w:r>
          </w:p>
        </w:tc>
      </w:tr>
      <w:tr>
        <w:trPr>
          <w:trHeight w:val="415" w:hRule="exact"/>
        </w:trPr>
        <w:tc>
          <w:tcPr>
            <w:tcW w:w="488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122" w:type="dxa"/>
            <w:tcBorders>
              <w:top w:val="nil" w:sz="6" w:space="0" w:color="auto"/>
              <w:left w:val="nil" w:sz="6" w:space="0" w:color="auto"/>
              <w:bottom w:val="nil" w:sz="6" w:space="0" w:color="auto"/>
              <w:right w:val="nil" w:sz="6" w:space="0" w:color="auto"/>
            </w:tcBorders>
          </w:tcPr>
          <w:p>
            <w:pPr>
              <w:pStyle w:val="TableParagraph"/>
              <w:tabs>
                <w:tab w:pos="916" w:val="left" w:leader="none"/>
                <w:tab w:pos="2121" w:val="left" w:leader="none"/>
              </w:tabs>
              <w:spacing w:line="240" w:lineRule="auto" w:before="16"/>
              <w:ind w:left="-5"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12,447,158</w:t>
              <w:tab/>
            </w:r>
            <w:r>
              <w:rPr>
                <w:rFonts w:ascii="Arial"/>
                <w:sz w:val="22"/>
              </w:rPr>
            </w:r>
          </w:p>
        </w:tc>
        <w:tc>
          <w:tcPr>
            <w:tcW w:w="247" w:type="dxa"/>
            <w:tcBorders>
              <w:top w:val="nil" w:sz="6" w:space="0" w:color="auto"/>
              <w:left w:val="nil" w:sz="6" w:space="0" w:color="auto"/>
              <w:bottom w:val="nil" w:sz="6" w:space="0" w:color="auto"/>
              <w:right w:val="nil" w:sz="6" w:space="0" w:color="auto"/>
            </w:tcBorders>
          </w:tcPr>
          <w:p>
            <w:pPr/>
          </w:p>
        </w:tc>
        <w:tc>
          <w:tcPr>
            <w:tcW w:w="2182" w:type="dxa"/>
            <w:tcBorders>
              <w:top w:val="nil" w:sz="6" w:space="0" w:color="auto"/>
              <w:left w:val="nil" w:sz="6" w:space="0" w:color="auto"/>
              <w:bottom w:val="nil" w:sz="6" w:space="0" w:color="auto"/>
              <w:right w:val="nil" w:sz="6" w:space="0" w:color="auto"/>
            </w:tcBorders>
          </w:tcPr>
          <w:p>
            <w:pPr>
              <w:pStyle w:val="TableParagraph"/>
              <w:tabs>
                <w:tab w:pos="976" w:val="left" w:leader="none"/>
                <w:tab w:pos="2181" w:val="left" w:leader="none"/>
              </w:tabs>
              <w:spacing w:line="240" w:lineRule="auto" w:before="16"/>
              <w:ind w:left="7"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36,676,602</w:t>
              <w:tab/>
            </w:r>
            <w:r>
              <w:rPr>
                <w:rFonts w:ascii="Arial"/>
                <w:sz w:val="22"/>
              </w:rPr>
            </w:r>
          </w:p>
        </w:tc>
      </w:tr>
      <w:tr>
        <w:trPr>
          <w:trHeight w:val="429" w:hRule="exact"/>
        </w:trPr>
        <w:tc>
          <w:tcPr>
            <w:tcW w:w="488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122"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left="604" w:right="0"/>
              <w:jc w:val="left"/>
              <w:rPr>
                <w:rFonts w:ascii="Arial" w:hAnsi="Arial" w:cs="Arial" w:eastAsia="Arial" w:hint="default"/>
                <w:sz w:val="22"/>
                <w:szCs w:val="22"/>
              </w:rPr>
            </w:pPr>
            <w:r>
              <w:rPr>
                <w:rFonts w:ascii="Arial"/>
                <w:sz w:val="22"/>
              </w:rPr>
              <w:t>2,174,504,090</w:t>
            </w:r>
          </w:p>
        </w:tc>
        <w:tc>
          <w:tcPr>
            <w:tcW w:w="247" w:type="dxa"/>
            <w:tcBorders>
              <w:top w:val="nil" w:sz="6" w:space="0" w:color="auto"/>
              <w:left w:val="nil" w:sz="6" w:space="0" w:color="auto"/>
              <w:bottom w:val="nil" w:sz="6" w:space="0" w:color="auto"/>
              <w:right w:val="nil" w:sz="6" w:space="0" w:color="auto"/>
            </w:tcBorders>
          </w:tcPr>
          <w:p>
            <w:pPr/>
          </w:p>
        </w:tc>
        <w:tc>
          <w:tcPr>
            <w:tcW w:w="2182"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left="669" w:right="0"/>
              <w:jc w:val="left"/>
              <w:rPr>
                <w:rFonts w:ascii="Arial" w:hAnsi="Arial" w:cs="Arial" w:eastAsia="Arial" w:hint="default"/>
                <w:sz w:val="22"/>
                <w:szCs w:val="22"/>
              </w:rPr>
            </w:pPr>
            <w:r>
              <w:rPr>
                <w:rFonts w:ascii="Arial"/>
                <w:sz w:val="22"/>
              </w:rPr>
              <w:t>2,475,567,494</w:t>
            </w:r>
          </w:p>
        </w:tc>
      </w:tr>
    </w:tbl>
    <w:p>
      <w:pPr>
        <w:spacing w:line="240" w:lineRule="auto" w:before="10"/>
        <w:rPr>
          <w:rFonts w:ascii="宋体" w:hAnsi="宋体" w:cs="宋体" w:eastAsia="宋体" w:hint="default"/>
          <w:sz w:val="13"/>
          <w:szCs w:val="13"/>
        </w:rPr>
      </w:pPr>
    </w:p>
    <w:p>
      <w:pPr>
        <w:pStyle w:val="BodyText"/>
        <w:spacing w:line="296" w:lineRule="exact" w:before="32"/>
        <w:ind w:left="559" w:right="0"/>
        <w:jc w:val="left"/>
      </w:pPr>
      <w:r>
        <w:rPr/>
        <w:t>注</w:t>
      </w:r>
      <w:r>
        <w:rPr>
          <w:spacing w:val="-70"/>
        </w:rPr>
        <w:t> </w:t>
      </w:r>
      <w:r>
        <w:rPr>
          <w:rFonts w:ascii="Arial" w:hAnsi="Arial" w:cs="Arial" w:eastAsia="Arial" w:hint="default"/>
          <w:spacing w:val="-14"/>
        </w:rPr>
        <w:t>1</w:t>
      </w:r>
      <w:r>
        <w:rPr>
          <w:spacing w:val="-14"/>
        </w:rPr>
        <w:t>：于</w:t>
      </w:r>
      <w:r>
        <w:rPr>
          <w:spacing w:val="-70"/>
        </w:rPr>
        <w:t> </w:t>
      </w:r>
      <w:r>
        <w:rPr>
          <w:rFonts w:ascii="Arial" w:hAnsi="Arial" w:cs="Arial" w:eastAsia="Arial" w:hint="default"/>
        </w:rPr>
        <w:t>2019</w:t>
      </w:r>
      <w:r>
        <w:rPr>
          <w:rFonts w:ascii="Arial" w:hAnsi="Arial" w:cs="Arial" w:eastAsia="Arial" w:hint="default"/>
          <w:spacing w:val="-19"/>
        </w:rPr>
        <w:t> </w:t>
      </w:r>
      <w:r>
        <w:rPr/>
        <w:t>年度，本集团所属子公司联通红筹公司收到西班牙电信宣布派发的现金股利人民币</w:t>
      </w:r>
    </w:p>
    <w:p>
      <w:pPr>
        <w:pStyle w:val="BodyText"/>
        <w:spacing w:line="296" w:lineRule="exact"/>
        <w:ind w:left="1163" w:right="94"/>
        <w:jc w:val="left"/>
      </w:pPr>
      <w:r>
        <w:rPr>
          <w:rFonts w:ascii="Arial" w:hAnsi="Arial" w:cs="Arial" w:eastAsia="Arial" w:hint="default"/>
        </w:rPr>
        <w:t>1.97</w:t>
      </w:r>
      <w:r>
        <w:rPr>
          <w:rFonts w:ascii="Arial" w:hAnsi="Arial" w:cs="Arial" w:eastAsia="Arial" w:hint="default"/>
          <w:spacing w:val="-8"/>
        </w:rPr>
        <w:t> </w:t>
      </w:r>
      <w:r>
        <w:rPr/>
        <w:t>亿元（</w:t>
      </w:r>
      <w:r>
        <w:rPr>
          <w:rFonts w:ascii="Arial" w:hAnsi="Arial" w:cs="Arial" w:eastAsia="Arial" w:hint="default"/>
        </w:rPr>
        <w:t>2018</w:t>
      </w:r>
      <w:r>
        <w:rPr>
          <w:rFonts w:ascii="Arial" w:hAnsi="Arial" w:cs="Arial" w:eastAsia="Arial" w:hint="default"/>
          <w:spacing w:val="-8"/>
        </w:rPr>
        <w:t> </w:t>
      </w:r>
      <w:r>
        <w:rPr/>
        <w:t>年：人民币</w:t>
      </w:r>
      <w:r>
        <w:rPr>
          <w:spacing w:val="-55"/>
        </w:rPr>
        <w:t> </w:t>
      </w:r>
      <w:r>
        <w:rPr>
          <w:rFonts w:ascii="Arial" w:hAnsi="Arial" w:cs="Arial" w:eastAsia="Arial" w:hint="default"/>
        </w:rPr>
        <w:t>1.96</w:t>
      </w:r>
      <w:r>
        <w:rPr>
          <w:rFonts w:ascii="Arial" w:hAnsi="Arial" w:cs="Arial" w:eastAsia="Arial" w:hint="default"/>
          <w:spacing w:val="-3"/>
        </w:rPr>
        <w:t> </w:t>
      </w:r>
      <w:r>
        <w:rPr/>
        <w:t>亿元）。</w:t>
      </w:r>
    </w:p>
    <w:p>
      <w:pPr>
        <w:spacing w:line="240" w:lineRule="auto" w:before="11"/>
        <w:rPr>
          <w:rFonts w:ascii="宋体" w:hAnsi="宋体" w:cs="宋体" w:eastAsia="宋体" w:hint="default"/>
          <w:sz w:val="17"/>
          <w:szCs w:val="17"/>
        </w:rPr>
      </w:pPr>
    </w:p>
    <w:p>
      <w:pPr>
        <w:pStyle w:val="BodyText"/>
        <w:spacing w:line="240" w:lineRule="auto"/>
        <w:ind w:left="112" w:right="94"/>
        <w:jc w:val="left"/>
      </w:pPr>
      <w:r>
        <w:rPr>
          <w:rFonts w:ascii="Arial" w:hAnsi="Arial" w:cs="Arial" w:eastAsia="Arial" w:hint="default"/>
        </w:rPr>
        <w:t>46</w:t>
      </w:r>
      <w:r>
        <w:rPr/>
        <w:t>、资产处置损失</w:t>
      </w:r>
    </w:p>
    <w:p>
      <w:pPr>
        <w:spacing w:line="240" w:lineRule="auto" w:before="1"/>
        <w:rPr>
          <w:rFonts w:ascii="宋体" w:hAnsi="宋体" w:cs="宋体" w:eastAsia="宋体" w:hint="default"/>
          <w:sz w:val="23"/>
          <w:szCs w:val="23"/>
        </w:rPr>
      </w:pPr>
    </w:p>
    <w:tbl>
      <w:tblPr>
        <w:tblW w:w="0" w:type="auto"/>
        <w:jc w:val="left"/>
        <w:tblInd w:w="344" w:type="dxa"/>
        <w:tblLayout w:type="fixed"/>
        <w:tblCellMar>
          <w:top w:w="0" w:type="dxa"/>
          <w:left w:w="0" w:type="dxa"/>
          <w:bottom w:w="0" w:type="dxa"/>
          <w:right w:w="0" w:type="dxa"/>
        </w:tblCellMar>
        <w:tblLook w:val="01E0"/>
      </w:tblPr>
      <w:tblGrid>
        <w:gridCol w:w="3354"/>
        <w:gridCol w:w="1805"/>
        <w:gridCol w:w="127"/>
        <w:gridCol w:w="1831"/>
        <w:gridCol w:w="132"/>
        <w:gridCol w:w="2254"/>
      </w:tblGrid>
      <w:tr>
        <w:trPr>
          <w:trHeight w:val="545" w:hRule="exact"/>
        </w:trPr>
        <w:tc>
          <w:tcPr>
            <w:tcW w:w="335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项目</w:t>
            </w:r>
            <w:r>
              <w:rPr>
                <w:rFonts w:ascii="宋体" w:hAnsi="宋体" w:cs="宋体" w:eastAsia="宋体" w:hint="default"/>
                <w:sz w:val="22"/>
                <w:szCs w:val="22"/>
              </w:rPr>
              <w:t> </w:t>
            </w:r>
          </w:p>
        </w:tc>
        <w:tc>
          <w:tcPr>
            <w:tcW w:w="1805"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56"/>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127" w:type="dxa"/>
            <w:tcBorders>
              <w:top w:val="nil" w:sz="6" w:space="0" w:color="auto"/>
              <w:left w:val="nil" w:sz="6" w:space="0" w:color="auto"/>
              <w:bottom w:val="nil" w:sz="6" w:space="0" w:color="auto"/>
              <w:right w:val="nil" w:sz="6" w:space="0" w:color="auto"/>
            </w:tcBorders>
          </w:tcPr>
          <w:p>
            <w:pPr/>
          </w:p>
        </w:tc>
        <w:tc>
          <w:tcPr>
            <w:tcW w:w="1831"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904"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132" w:type="dxa"/>
            <w:tcBorders>
              <w:top w:val="nil" w:sz="6" w:space="0" w:color="auto"/>
              <w:left w:val="nil" w:sz="6" w:space="0" w:color="auto"/>
              <w:bottom w:val="nil" w:sz="6" w:space="0" w:color="auto"/>
              <w:right w:val="nil" w:sz="6" w:space="0" w:color="auto"/>
            </w:tcBorders>
          </w:tcPr>
          <w:p>
            <w:pPr/>
          </w:p>
        </w:tc>
        <w:tc>
          <w:tcPr>
            <w:tcW w:w="2254" w:type="dxa"/>
            <w:tcBorders>
              <w:top w:val="nil" w:sz="6" w:space="0" w:color="auto"/>
              <w:left w:val="nil" w:sz="6" w:space="0" w:color="auto"/>
              <w:bottom w:val="single" w:sz="4" w:space="0" w:color="000000"/>
              <w:right w:val="nil" w:sz="6" w:space="0" w:color="auto"/>
            </w:tcBorders>
          </w:tcPr>
          <w:p>
            <w:pPr>
              <w:pStyle w:val="TableParagraph"/>
              <w:spacing w:line="229" w:lineRule="exact"/>
              <w:ind w:left="50"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年计入非经常性</w:t>
            </w:r>
          </w:p>
          <w:p>
            <w:pPr>
              <w:pStyle w:val="TableParagraph"/>
              <w:spacing w:line="280" w:lineRule="exact"/>
              <w:ind w:left="1034" w:right="0"/>
              <w:jc w:val="left"/>
              <w:rPr>
                <w:rFonts w:ascii="宋体" w:hAnsi="宋体" w:cs="宋体" w:eastAsia="宋体" w:hint="default"/>
                <w:sz w:val="22"/>
                <w:szCs w:val="22"/>
              </w:rPr>
            </w:pPr>
            <w:r>
              <w:rPr>
                <w:rFonts w:ascii="宋体" w:hAnsi="宋体" w:cs="宋体" w:eastAsia="宋体" w:hint="default"/>
                <w:sz w:val="22"/>
                <w:szCs w:val="22"/>
              </w:rPr>
              <w:t>损益的金额</w:t>
            </w:r>
          </w:p>
        </w:tc>
      </w:tr>
      <w:tr>
        <w:trPr>
          <w:trHeight w:val="317" w:hRule="exact"/>
        </w:trPr>
        <w:tc>
          <w:tcPr>
            <w:tcW w:w="3354" w:type="dxa"/>
            <w:tcBorders>
              <w:top w:val="nil" w:sz="6" w:space="0" w:color="auto"/>
              <w:left w:val="nil" w:sz="6" w:space="0" w:color="auto"/>
              <w:bottom w:val="nil" w:sz="6" w:space="0" w:color="auto"/>
              <w:right w:val="nil" w:sz="6" w:space="0" w:color="auto"/>
            </w:tcBorders>
          </w:tcPr>
          <w:p>
            <w:pPr>
              <w:pStyle w:val="TableParagraph"/>
              <w:spacing w:line="257" w:lineRule="exact"/>
              <w:ind w:left="200" w:right="0"/>
              <w:jc w:val="left"/>
              <w:rPr>
                <w:rFonts w:ascii="宋体" w:hAnsi="宋体" w:cs="宋体" w:eastAsia="宋体" w:hint="default"/>
                <w:sz w:val="22"/>
                <w:szCs w:val="22"/>
              </w:rPr>
            </w:pPr>
            <w:r>
              <w:rPr>
                <w:rFonts w:ascii="宋体"/>
                <w:w w:val="100"/>
                <w:sz w:val="22"/>
              </w:rPr>
              <w:t> </w:t>
            </w:r>
          </w:p>
        </w:tc>
        <w:tc>
          <w:tcPr>
            <w:tcW w:w="1805" w:type="dxa"/>
            <w:tcBorders>
              <w:top w:val="single" w:sz="4" w:space="0" w:color="000000"/>
              <w:left w:val="nil" w:sz="6" w:space="0" w:color="auto"/>
              <w:bottom w:val="nil" w:sz="6" w:space="0" w:color="auto"/>
              <w:right w:val="nil" w:sz="6" w:space="0" w:color="auto"/>
            </w:tcBorders>
          </w:tcPr>
          <w:p>
            <w:pPr>
              <w:pStyle w:val="TableParagraph"/>
              <w:spacing w:line="252" w:lineRule="exact"/>
              <w:ind w:right="122"/>
              <w:jc w:val="right"/>
              <w:rPr>
                <w:rFonts w:ascii="宋体" w:hAnsi="宋体" w:cs="宋体" w:eastAsia="宋体" w:hint="default"/>
                <w:sz w:val="22"/>
                <w:szCs w:val="22"/>
              </w:rPr>
            </w:pPr>
            <w:r>
              <w:rPr>
                <w:rFonts w:ascii="宋体"/>
                <w:w w:val="100"/>
                <w:sz w:val="22"/>
              </w:rPr>
              <w:t> </w:t>
            </w:r>
          </w:p>
        </w:tc>
        <w:tc>
          <w:tcPr>
            <w:tcW w:w="127" w:type="dxa"/>
            <w:tcBorders>
              <w:top w:val="nil" w:sz="6" w:space="0" w:color="auto"/>
              <w:left w:val="nil" w:sz="6" w:space="0" w:color="auto"/>
              <w:bottom w:val="nil" w:sz="6" w:space="0" w:color="auto"/>
              <w:right w:val="nil" w:sz="6" w:space="0" w:color="auto"/>
            </w:tcBorders>
          </w:tcPr>
          <w:p>
            <w:pPr/>
          </w:p>
        </w:tc>
        <w:tc>
          <w:tcPr>
            <w:tcW w:w="1831" w:type="dxa"/>
            <w:tcBorders>
              <w:top w:val="single" w:sz="4" w:space="0" w:color="000000"/>
              <w:left w:val="nil" w:sz="6" w:space="0" w:color="auto"/>
              <w:bottom w:val="nil" w:sz="6" w:space="0" w:color="auto"/>
              <w:right w:val="nil" w:sz="6" w:space="0" w:color="auto"/>
            </w:tcBorders>
          </w:tcPr>
          <w:p>
            <w:pPr/>
          </w:p>
        </w:tc>
        <w:tc>
          <w:tcPr>
            <w:tcW w:w="132" w:type="dxa"/>
            <w:tcBorders>
              <w:top w:val="nil" w:sz="6" w:space="0" w:color="auto"/>
              <w:left w:val="nil" w:sz="6" w:space="0" w:color="auto"/>
              <w:bottom w:val="nil" w:sz="6" w:space="0" w:color="auto"/>
              <w:right w:val="nil" w:sz="6" w:space="0" w:color="auto"/>
            </w:tcBorders>
          </w:tcPr>
          <w:p>
            <w:pPr/>
          </w:p>
        </w:tc>
        <w:tc>
          <w:tcPr>
            <w:tcW w:w="2254" w:type="dxa"/>
            <w:tcBorders>
              <w:top w:val="single" w:sz="4" w:space="0" w:color="000000"/>
              <w:left w:val="nil" w:sz="6" w:space="0" w:color="auto"/>
              <w:bottom w:val="nil" w:sz="6" w:space="0" w:color="auto"/>
              <w:right w:val="nil" w:sz="6" w:space="0" w:color="auto"/>
            </w:tcBorders>
          </w:tcPr>
          <w:p>
            <w:pPr/>
          </w:p>
        </w:tc>
      </w:tr>
      <w:tr>
        <w:trPr>
          <w:trHeight w:val="325" w:hRule="exact"/>
        </w:trPr>
        <w:tc>
          <w:tcPr>
            <w:tcW w:w="3354" w:type="dxa"/>
            <w:tcBorders>
              <w:top w:val="nil" w:sz="6" w:space="0" w:color="auto"/>
              <w:left w:val="nil" w:sz="6" w:space="0" w:color="auto"/>
              <w:bottom w:val="nil" w:sz="6" w:space="0" w:color="auto"/>
              <w:right w:val="nil" w:sz="6" w:space="0" w:color="auto"/>
            </w:tcBorders>
          </w:tcPr>
          <w:p>
            <w:pPr>
              <w:pStyle w:val="TableParagraph"/>
              <w:spacing w:line="281" w:lineRule="exact"/>
              <w:ind w:left="200" w:right="0"/>
              <w:jc w:val="left"/>
              <w:rPr>
                <w:rFonts w:ascii="宋体" w:hAnsi="宋体" w:cs="宋体" w:eastAsia="宋体" w:hint="default"/>
                <w:sz w:val="22"/>
                <w:szCs w:val="22"/>
              </w:rPr>
            </w:pPr>
            <w:r>
              <w:rPr>
                <w:rFonts w:ascii="宋体" w:hAnsi="宋体" w:cs="宋体" w:eastAsia="宋体" w:hint="default"/>
                <w:sz w:val="22"/>
                <w:szCs w:val="22"/>
              </w:rPr>
              <w:t>固定资产处置损失</w:t>
            </w:r>
            <w:r>
              <w:rPr>
                <w:rFonts w:ascii="宋体" w:hAnsi="宋体" w:cs="宋体" w:eastAsia="宋体" w:hint="default"/>
                <w:sz w:val="22"/>
                <w:szCs w:val="22"/>
              </w:rPr>
              <w:t> </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88" w:right="0"/>
              <w:jc w:val="left"/>
              <w:rPr>
                <w:rFonts w:ascii="Arial" w:hAnsi="Arial" w:cs="Arial" w:eastAsia="Arial" w:hint="default"/>
                <w:sz w:val="22"/>
                <w:szCs w:val="22"/>
              </w:rPr>
            </w:pPr>
            <w:r>
              <w:rPr>
                <w:rFonts w:ascii="Arial"/>
                <w:sz w:val="22"/>
              </w:rPr>
              <w:t>2,128,843,738</w:t>
            </w:r>
          </w:p>
        </w:tc>
        <w:tc>
          <w:tcPr>
            <w:tcW w:w="127" w:type="dxa"/>
            <w:tcBorders>
              <w:top w:val="nil" w:sz="6" w:space="0" w:color="auto"/>
              <w:left w:val="nil" w:sz="6" w:space="0" w:color="auto"/>
              <w:bottom w:val="nil" w:sz="6" w:space="0" w:color="auto"/>
              <w:right w:val="nil" w:sz="6" w:space="0" w:color="auto"/>
            </w:tcBorders>
          </w:tcPr>
          <w:p>
            <w:pPr/>
          </w:p>
        </w:tc>
        <w:tc>
          <w:tcPr>
            <w:tcW w:w="1831"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14" w:right="0"/>
              <w:jc w:val="left"/>
              <w:rPr>
                <w:rFonts w:ascii="Arial" w:hAnsi="Arial" w:cs="Arial" w:eastAsia="Arial" w:hint="default"/>
                <w:sz w:val="22"/>
                <w:szCs w:val="22"/>
              </w:rPr>
            </w:pPr>
            <w:r>
              <w:rPr>
                <w:rFonts w:ascii="Arial"/>
                <w:sz w:val="22"/>
              </w:rPr>
              <w:t>3,944,013,514</w:t>
            </w:r>
          </w:p>
        </w:tc>
        <w:tc>
          <w:tcPr>
            <w:tcW w:w="132" w:type="dxa"/>
            <w:tcBorders>
              <w:top w:val="nil" w:sz="6" w:space="0" w:color="auto"/>
              <w:left w:val="nil" w:sz="6" w:space="0" w:color="auto"/>
              <w:bottom w:val="nil" w:sz="6" w:space="0" w:color="auto"/>
              <w:right w:val="nil" w:sz="6" w:space="0" w:color="auto"/>
            </w:tcBorders>
          </w:tcPr>
          <w:p>
            <w:pPr/>
          </w:p>
        </w:tc>
        <w:tc>
          <w:tcPr>
            <w:tcW w:w="2254"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5"/>
              <w:jc w:val="right"/>
              <w:rPr>
                <w:rFonts w:ascii="Arial" w:hAnsi="Arial" w:cs="Arial" w:eastAsia="Arial" w:hint="default"/>
                <w:sz w:val="22"/>
                <w:szCs w:val="22"/>
              </w:rPr>
            </w:pPr>
            <w:r>
              <w:rPr>
                <w:rFonts w:ascii="Arial"/>
                <w:spacing w:val="-1"/>
                <w:sz w:val="22"/>
              </w:rPr>
              <w:t>2,128,843,738</w:t>
            </w:r>
          </w:p>
        </w:tc>
      </w:tr>
      <w:tr>
        <w:trPr>
          <w:trHeight w:val="288" w:hRule="exact"/>
        </w:trPr>
        <w:tc>
          <w:tcPr>
            <w:tcW w:w="3354"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在建工程处置损失</w:t>
            </w:r>
            <w:r>
              <w:rPr>
                <w:rFonts w:ascii="宋体" w:hAnsi="宋体" w:cs="宋体" w:eastAsia="宋体" w:hint="default"/>
                <w:sz w:val="22"/>
                <w:szCs w:val="22"/>
              </w:rPr>
              <w:t> </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3"/>
              <w:jc w:val="right"/>
              <w:rPr>
                <w:rFonts w:ascii="Arial" w:hAnsi="Arial" w:cs="Arial" w:eastAsia="Arial" w:hint="default"/>
                <w:sz w:val="22"/>
                <w:szCs w:val="22"/>
              </w:rPr>
            </w:pPr>
            <w:r>
              <w:rPr>
                <w:rFonts w:ascii="Arial"/>
                <w:sz w:val="22"/>
              </w:rPr>
              <w:t>2,724,862</w:t>
            </w:r>
          </w:p>
        </w:tc>
        <w:tc>
          <w:tcPr>
            <w:tcW w:w="127" w:type="dxa"/>
            <w:tcBorders>
              <w:top w:val="nil" w:sz="6" w:space="0" w:color="auto"/>
              <w:left w:val="nil" w:sz="6" w:space="0" w:color="auto"/>
              <w:bottom w:val="nil" w:sz="6" w:space="0" w:color="auto"/>
              <w:right w:val="nil" w:sz="6" w:space="0" w:color="auto"/>
            </w:tcBorders>
          </w:tcPr>
          <w:p>
            <w:pPr/>
          </w:p>
        </w:tc>
        <w:tc>
          <w:tcPr>
            <w:tcW w:w="1831" w:type="dxa"/>
            <w:tcBorders>
              <w:top w:val="nil" w:sz="6" w:space="0" w:color="auto"/>
              <w:left w:val="nil" w:sz="6" w:space="0" w:color="auto"/>
              <w:bottom w:val="nil" w:sz="6" w:space="0" w:color="auto"/>
              <w:right w:val="nil" w:sz="6" w:space="0" w:color="auto"/>
            </w:tcBorders>
          </w:tcPr>
          <w:p>
            <w:pPr>
              <w:pStyle w:val="TableParagraph"/>
              <w:spacing w:line="240" w:lineRule="auto" w:before="21"/>
              <w:ind w:left="616" w:right="0"/>
              <w:jc w:val="left"/>
              <w:rPr>
                <w:rFonts w:ascii="Arial" w:hAnsi="Arial" w:cs="Arial" w:eastAsia="Arial" w:hint="default"/>
                <w:sz w:val="22"/>
                <w:szCs w:val="22"/>
              </w:rPr>
            </w:pPr>
            <w:r>
              <w:rPr>
                <w:rFonts w:ascii="Arial"/>
                <w:sz w:val="22"/>
              </w:rPr>
              <w:t>12,855,215</w:t>
            </w:r>
          </w:p>
        </w:tc>
        <w:tc>
          <w:tcPr>
            <w:tcW w:w="132" w:type="dxa"/>
            <w:tcBorders>
              <w:top w:val="nil" w:sz="6" w:space="0" w:color="auto"/>
              <w:left w:val="nil" w:sz="6" w:space="0" w:color="auto"/>
              <w:bottom w:val="nil" w:sz="6" w:space="0" w:color="auto"/>
              <w:right w:val="nil" w:sz="6" w:space="0" w:color="auto"/>
            </w:tcBorders>
          </w:tcPr>
          <w:p>
            <w:pPr/>
          </w:p>
        </w:tc>
        <w:tc>
          <w:tcPr>
            <w:tcW w:w="225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89"/>
              <w:jc w:val="right"/>
              <w:rPr>
                <w:rFonts w:ascii="Arial" w:hAnsi="Arial" w:cs="Arial" w:eastAsia="Arial" w:hint="default"/>
                <w:sz w:val="22"/>
                <w:szCs w:val="22"/>
              </w:rPr>
            </w:pPr>
            <w:r>
              <w:rPr>
                <w:rFonts w:ascii="Arial"/>
                <w:sz w:val="22"/>
              </w:rPr>
              <w:t>2,724,862</w:t>
            </w:r>
          </w:p>
        </w:tc>
      </w:tr>
      <w:tr>
        <w:trPr>
          <w:trHeight w:val="283" w:hRule="exact"/>
        </w:trPr>
        <w:tc>
          <w:tcPr>
            <w:tcW w:w="3354"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无形资产处置损失</w:t>
            </w:r>
            <w:r>
              <w:rPr>
                <w:rFonts w:ascii="宋体" w:hAnsi="宋体" w:cs="宋体" w:eastAsia="宋体" w:hint="default"/>
                <w:spacing w:val="-5"/>
                <w:sz w:val="22"/>
                <w:szCs w:val="22"/>
              </w:rPr>
              <w:t> </w:t>
            </w:r>
            <w:r>
              <w:rPr>
                <w:rFonts w:ascii="宋体" w:hAnsi="宋体" w:cs="宋体" w:eastAsia="宋体" w:hint="default"/>
                <w:sz w:val="22"/>
                <w:szCs w:val="22"/>
              </w:rPr>
              <w:t> </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3"/>
              <w:jc w:val="right"/>
              <w:rPr>
                <w:rFonts w:ascii="Arial" w:hAnsi="Arial" w:cs="Arial" w:eastAsia="Arial" w:hint="default"/>
                <w:sz w:val="22"/>
                <w:szCs w:val="22"/>
              </w:rPr>
            </w:pPr>
            <w:r>
              <w:rPr>
                <w:rFonts w:ascii="Arial"/>
                <w:sz w:val="22"/>
              </w:rPr>
              <w:t>1,290,319</w:t>
            </w:r>
          </w:p>
        </w:tc>
        <w:tc>
          <w:tcPr>
            <w:tcW w:w="127" w:type="dxa"/>
            <w:tcBorders>
              <w:top w:val="nil" w:sz="6" w:space="0" w:color="auto"/>
              <w:left w:val="nil" w:sz="6" w:space="0" w:color="auto"/>
              <w:bottom w:val="nil" w:sz="6" w:space="0" w:color="auto"/>
              <w:right w:val="nil" w:sz="6" w:space="0" w:color="auto"/>
            </w:tcBorders>
          </w:tcPr>
          <w:p>
            <w:pPr/>
          </w:p>
        </w:tc>
        <w:tc>
          <w:tcPr>
            <w:tcW w:w="1831" w:type="dxa"/>
            <w:tcBorders>
              <w:top w:val="nil" w:sz="6" w:space="0" w:color="auto"/>
              <w:left w:val="nil" w:sz="6" w:space="0" w:color="auto"/>
              <w:bottom w:val="nil" w:sz="6" w:space="0" w:color="auto"/>
              <w:right w:val="nil" w:sz="6" w:space="0" w:color="auto"/>
            </w:tcBorders>
          </w:tcPr>
          <w:p>
            <w:pPr>
              <w:pStyle w:val="TableParagraph"/>
              <w:spacing w:line="240" w:lineRule="auto" w:before="16"/>
              <w:ind w:left="616" w:right="0"/>
              <w:jc w:val="left"/>
              <w:rPr>
                <w:rFonts w:ascii="Arial" w:hAnsi="Arial" w:cs="Arial" w:eastAsia="Arial" w:hint="default"/>
                <w:sz w:val="22"/>
                <w:szCs w:val="22"/>
              </w:rPr>
            </w:pPr>
            <w:r>
              <w:rPr>
                <w:rFonts w:ascii="Arial"/>
                <w:sz w:val="22"/>
              </w:rPr>
              <w:t>19,787,523</w:t>
            </w:r>
          </w:p>
        </w:tc>
        <w:tc>
          <w:tcPr>
            <w:tcW w:w="132" w:type="dxa"/>
            <w:tcBorders>
              <w:top w:val="nil" w:sz="6" w:space="0" w:color="auto"/>
              <w:left w:val="nil" w:sz="6" w:space="0" w:color="auto"/>
              <w:bottom w:val="nil" w:sz="6" w:space="0" w:color="auto"/>
              <w:right w:val="nil" w:sz="6" w:space="0" w:color="auto"/>
            </w:tcBorders>
          </w:tcPr>
          <w:p>
            <w:pPr/>
          </w:p>
        </w:tc>
        <w:tc>
          <w:tcPr>
            <w:tcW w:w="225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3"/>
              <w:jc w:val="right"/>
              <w:rPr>
                <w:rFonts w:ascii="Arial" w:hAnsi="Arial" w:cs="Arial" w:eastAsia="Arial" w:hint="default"/>
                <w:sz w:val="22"/>
                <w:szCs w:val="22"/>
              </w:rPr>
            </w:pPr>
            <w:r>
              <w:rPr>
                <w:rFonts w:ascii="Arial"/>
                <w:sz w:val="22"/>
              </w:rPr>
              <w:t>1,290,319</w:t>
            </w:r>
          </w:p>
        </w:tc>
      </w:tr>
      <w:tr>
        <w:trPr>
          <w:trHeight w:val="293" w:hRule="exact"/>
        </w:trPr>
        <w:tc>
          <w:tcPr>
            <w:tcW w:w="3354"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w:t>
            </w:r>
            <w:r>
              <w:rPr>
                <w:rFonts w:ascii="宋体" w:hAnsi="宋体" w:cs="宋体" w:eastAsia="宋体" w:hint="default"/>
                <w:sz w:val="22"/>
                <w:szCs w:val="22"/>
              </w:rPr>
              <w:t> </w:t>
            </w:r>
          </w:p>
        </w:tc>
        <w:tc>
          <w:tcPr>
            <w:tcW w:w="1805" w:type="dxa"/>
            <w:tcBorders>
              <w:top w:val="nil" w:sz="6" w:space="0" w:color="auto"/>
              <w:left w:val="nil" w:sz="6" w:space="0" w:color="auto"/>
              <w:bottom w:val="nil" w:sz="6" w:space="0" w:color="auto"/>
              <w:right w:val="nil" w:sz="6" w:space="0" w:color="auto"/>
            </w:tcBorders>
          </w:tcPr>
          <w:p>
            <w:pPr>
              <w:pStyle w:val="TableParagraph"/>
              <w:tabs>
                <w:tab w:pos="633" w:val="left" w:leader="none"/>
              </w:tabs>
              <w:spacing w:line="240" w:lineRule="auto" w:before="21"/>
              <w:ind w:right="37"/>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(5,955,466)</w:t>
            </w:r>
            <w:r>
              <w:rPr>
                <w:rFonts w:ascii="Arial"/>
                <w:sz w:val="22"/>
              </w:rPr>
            </w:r>
          </w:p>
        </w:tc>
        <w:tc>
          <w:tcPr>
            <w:tcW w:w="127" w:type="dxa"/>
            <w:tcBorders>
              <w:top w:val="nil" w:sz="6" w:space="0" w:color="auto"/>
              <w:left w:val="nil" w:sz="6" w:space="0" w:color="auto"/>
              <w:bottom w:val="nil" w:sz="6" w:space="0" w:color="auto"/>
              <w:right w:val="nil" w:sz="6" w:space="0" w:color="auto"/>
            </w:tcBorders>
          </w:tcPr>
          <w:p>
            <w:pPr/>
          </w:p>
        </w:tc>
        <w:tc>
          <w:tcPr>
            <w:tcW w:w="1831" w:type="dxa"/>
            <w:tcBorders>
              <w:top w:val="nil" w:sz="6" w:space="0" w:color="auto"/>
              <w:left w:val="nil" w:sz="6" w:space="0" w:color="auto"/>
              <w:bottom w:val="nil" w:sz="6" w:space="0" w:color="auto"/>
              <w:right w:val="nil" w:sz="6" w:space="0" w:color="auto"/>
            </w:tcBorders>
          </w:tcPr>
          <w:p>
            <w:pPr>
              <w:pStyle w:val="TableParagraph"/>
              <w:tabs>
                <w:tab w:pos="659" w:val="left" w:leader="none"/>
              </w:tabs>
              <w:spacing w:line="240" w:lineRule="auto" w:before="21"/>
              <w:ind w:left="7"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(4,853,103)</w:t>
            </w:r>
            <w:r>
              <w:rPr>
                <w:rFonts w:ascii="Arial"/>
                <w:sz w:val="22"/>
              </w:rPr>
            </w:r>
          </w:p>
        </w:tc>
        <w:tc>
          <w:tcPr>
            <w:tcW w:w="132" w:type="dxa"/>
            <w:tcBorders>
              <w:top w:val="nil" w:sz="6" w:space="0" w:color="auto"/>
              <w:left w:val="nil" w:sz="6" w:space="0" w:color="auto"/>
              <w:bottom w:val="nil" w:sz="6" w:space="0" w:color="auto"/>
              <w:right w:val="nil" w:sz="6" w:space="0" w:color="auto"/>
            </w:tcBorders>
          </w:tcPr>
          <w:p>
            <w:pPr/>
          </w:p>
        </w:tc>
        <w:tc>
          <w:tcPr>
            <w:tcW w:w="2254" w:type="dxa"/>
            <w:tcBorders>
              <w:top w:val="nil" w:sz="6" w:space="0" w:color="auto"/>
              <w:left w:val="nil" w:sz="6" w:space="0" w:color="auto"/>
              <w:bottom w:val="nil" w:sz="6" w:space="0" w:color="auto"/>
              <w:right w:val="nil" w:sz="6" w:space="0" w:color="auto"/>
            </w:tcBorders>
          </w:tcPr>
          <w:p>
            <w:pPr>
              <w:pStyle w:val="TableParagraph"/>
              <w:tabs>
                <w:tab w:pos="1079" w:val="left" w:leader="none"/>
              </w:tabs>
              <w:spacing w:line="240" w:lineRule="auto" w:before="21"/>
              <w:ind w:right="3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(5,955,466)</w:t>
            </w:r>
            <w:r>
              <w:rPr>
                <w:rFonts w:ascii="Arial"/>
                <w:sz w:val="22"/>
              </w:rPr>
            </w:r>
          </w:p>
        </w:tc>
      </w:tr>
      <w:tr>
        <w:trPr>
          <w:trHeight w:val="275" w:hRule="exact"/>
        </w:trPr>
        <w:tc>
          <w:tcPr>
            <w:tcW w:w="3354" w:type="dxa"/>
            <w:tcBorders>
              <w:top w:val="nil" w:sz="6" w:space="0" w:color="auto"/>
              <w:left w:val="nil" w:sz="6" w:space="0" w:color="auto"/>
              <w:bottom w:val="nil" w:sz="6" w:space="0" w:color="auto"/>
              <w:right w:val="nil" w:sz="6" w:space="0" w:color="auto"/>
            </w:tcBorders>
          </w:tcPr>
          <w:p>
            <w:pPr>
              <w:pStyle w:val="TableParagraph"/>
              <w:spacing w:line="244" w:lineRule="exact"/>
              <w:ind w:left="200" w:right="0"/>
              <w:jc w:val="left"/>
              <w:rPr>
                <w:rFonts w:ascii="宋体" w:hAnsi="宋体" w:cs="宋体" w:eastAsia="宋体" w:hint="default"/>
                <w:sz w:val="22"/>
                <w:szCs w:val="22"/>
              </w:rPr>
            </w:pPr>
            <w:r>
              <w:rPr>
                <w:rFonts w:ascii="宋体"/>
                <w:w w:val="100"/>
                <w:sz w:val="22"/>
              </w:rPr>
              <w:t> </w:t>
            </w:r>
          </w:p>
        </w:tc>
        <w:tc>
          <w:tcPr>
            <w:tcW w:w="3763" w:type="dxa"/>
            <w:gridSpan w:val="3"/>
            <w:tcBorders>
              <w:top w:val="nil" w:sz="6" w:space="0" w:color="auto"/>
              <w:left w:val="nil" w:sz="6" w:space="0" w:color="auto"/>
              <w:bottom w:val="nil" w:sz="6" w:space="0" w:color="auto"/>
              <w:right w:val="nil" w:sz="6" w:space="0" w:color="auto"/>
            </w:tcBorders>
          </w:tcPr>
          <w:p>
            <w:pPr/>
          </w:p>
        </w:tc>
        <w:tc>
          <w:tcPr>
            <w:tcW w:w="132" w:type="dxa"/>
            <w:tcBorders>
              <w:top w:val="nil" w:sz="6" w:space="0" w:color="auto"/>
              <w:left w:val="nil" w:sz="6" w:space="0" w:color="auto"/>
              <w:bottom w:val="nil" w:sz="6" w:space="0" w:color="auto"/>
              <w:right w:val="nil" w:sz="6" w:space="0" w:color="auto"/>
            </w:tcBorders>
          </w:tcPr>
          <w:p>
            <w:pPr/>
          </w:p>
        </w:tc>
        <w:tc>
          <w:tcPr>
            <w:tcW w:w="2254" w:type="dxa"/>
            <w:tcBorders>
              <w:top w:val="nil" w:sz="6" w:space="0" w:color="auto"/>
              <w:left w:val="nil" w:sz="6" w:space="0" w:color="auto"/>
              <w:bottom w:val="nil" w:sz="6" w:space="0" w:color="auto"/>
              <w:right w:val="nil" w:sz="6" w:space="0" w:color="auto"/>
            </w:tcBorders>
          </w:tcPr>
          <w:p>
            <w:pPr/>
          </w:p>
        </w:tc>
      </w:tr>
      <w:tr>
        <w:trPr>
          <w:trHeight w:val="310" w:hRule="exact"/>
        </w:trPr>
        <w:tc>
          <w:tcPr>
            <w:tcW w:w="3354" w:type="dxa"/>
            <w:tcBorders>
              <w:top w:val="nil" w:sz="6" w:space="0" w:color="auto"/>
              <w:left w:val="nil" w:sz="6" w:space="0" w:color="auto"/>
              <w:bottom w:val="nil" w:sz="6" w:space="0" w:color="auto"/>
              <w:right w:val="nil" w:sz="6" w:space="0" w:color="auto"/>
            </w:tcBorders>
          </w:tcPr>
          <w:p>
            <w:pPr>
              <w:pStyle w:val="TableParagraph"/>
              <w:spacing w:line="252" w:lineRule="exact"/>
              <w:ind w:left="200" w:right="0"/>
              <w:jc w:val="left"/>
              <w:rPr>
                <w:rFonts w:ascii="宋体" w:hAnsi="宋体" w:cs="宋体" w:eastAsia="宋体" w:hint="default"/>
                <w:sz w:val="22"/>
                <w:szCs w:val="22"/>
              </w:rPr>
            </w:pPr>
            <w:r>
              <w:rPr>
                <w:rFonts w:ascii="宋体" w:hAnsi="宋体" w:cs="宋体" w:eastAsia="宋体" w:hint="default"/>
                <w:sz w:val="22"/>
                <w:szCs w:val="22"/>
              </w:rPr>
              <w:t>合计</w:t>
            </w:r>
            <w:r>
              <w:rPr>
                <w:rFonts w:ascii="宋体" w:hAnsi="宋体" w:cs="宋体" w:eastAsia="宋体" w:hint="default"/>
                <w:sz w:val="22"/>
                <w:szCs w:val="22"/>
              </w:rPr>
              <w:t> </w:t>
            </w:r>
          </w:p>
        </w:tc>
        <w:tc>
          <w:tcPr>
            <w:tcW w:w="1805"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left="288" w:right="0"/>
              <w:jc w:val="left"/>
              <w:rPr>
                <w:rFonts w:ascii="Arial" w:hAnsi="Arial" w:cs="Arial" w:eastAsia="Arial" w:hint="default"/>
                <w:sz w:val="22"/>
                <w:szCs w:val="22"/>
              </w:rPr>
            </w:pPr>
            <w:r>
              <w:rPr>
                <w:rFonts w:ascii="Arial"/>
                <w:sz w:val="22"/>
              </w:rPr>
              <w:t>2,126,903,453</w:t>
            </w:r>
          </w:p>
        </w:tc>
        <w:tc>
          <w:tcPr>
            <w:tcW w:w="127" w:type="dxa"/>
            <w:tcBorders>
              <w:top w:val="nil" w:sz="6" w:space="0" w:color="auto"/>
              <w:left w:val="nil" w:sz="6" w:space="0" w:color="auto"/>
              <w:bottom w:val="nil" w:sz="6" w:space="0" w:color="auto"/>
              <w:right w:val="nil" w:sz="6" w:space="0" w:color="auto"/>
            </w:tcBorders>
          </w:tcPr>
          <w:p>
            <w:pPr/>
          </w:p>
        </w:tc>
        <w:tc>
          <w:tcPr>
            <w:tcW w:w="1831"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left="309" w:right="0"/>
              <w:jc w:val="left"/>
              <w:rPr>
                <w:rFonts w:ascii="Arial" w:hAnsi="Arial" w:cs="Arial" w:eastAsia="Arial" w:hint="default"/>
                <w:sz w:val="22"/>
                <w:szCs w:val="22"/>
              </w:rPr>
            </w:pPr>
            <w:r>
              <w:rPr>
                <w:rFonts w:ascii="Arial"/>
                <w:sz w:val="22"/>
              </w:rPr>
              <w:t>3,971,803,149</w:t>
            </w:r>
          </w:p>
        </w:tc>
        <w:tc>
          <w:tcPr>
            <w:tcW w:w="132" w:type="dxa"/>
            <w:tcBorders>
              <w:top w:val="nil" w:sz="6" w:space="0" w:color="auto"/>
              <w:left w:val="nil" w:sz="6" w:space="0" w:color="auto"/>
              <w:bottom w:val="nil" w:sz="6" w:space="0" w:color="auto"/>
              <w:right w:val="nil" w:sz="6" w:space="0" w:color="auto"/>
            </w:tcBorders>
          </w:tcPr>
          <w:p>
            <w:pPr/>
          </w:p>
        </w:tc>
        <w:tc>
          <w:tcPr>
            <w:tcW w:w="2254"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105"/>
              <w:jc w:val="right"/>
              <w:rPr>
                <w:rFonts w:ascii="Arial" w:hAnsi="Arial" w:cs="Arial" w:eastAsia="Arial" w:hint="default"/>
                <w:sz w:val="22"/>
                <w:szCs w:val="22"/>
              </w:rPr>
            </w:pPr>
            <w:r>
              <w:rPr>
                <w:rFonts w:ascii="Arial"/>
                <w:spacing w:val="-1"/>
                <w:sz w:val="22"/>
              </w:rPr>
              <w:t>2,126,903,453</w:t>
            </w:r>
          </w:p>
        </w:tc>
      </w:tr>
    </w:tbl>
    <w:p>
      <w:pPr>
        <w:spacing w:after="0" w:line="240" w:lineRule="auto"/>
        <w:jc w:val="right"/>
        <w:rPr>
          <w:rFonts w:ascii="Arial" w:hAnsi="Arial" w:cs="Arial" w:eastAsia="Arial" w:hint="default"/>
          <w:sz w:val="22"/>
          <w:szCs w:val="22"/>
        </w:rPr>
        <w:sectPr>
          <w:headerReference w:type="default" r:id="rId197"/>
          <w:pgSz w:w="11910" w:h="16840"/>
          <w:pgMar w:header="1188" w:footer="502" w:top="3600" w:bottom="700" w:left="1020" w:right="940"/>
        </w:sectPr>
      </w:pPr>
    </w:p>
    <w:p>
      <w:pPr>
        <w:spacing w:line="240" w:lineRule="auto" w:before="7"/>
        <w:rPr>
          <w:rFonts w:ascii="宋体" w:hAnsi="宋体" w:cs="宋体" w:eastAsia="宋体" w:hint="default"/>
          <w:sz w:val="16"/>
          <w:szCs w:val="16"/>
        </w:rPr>
      </w:pPr>
    </w:p>
    <w:p>
      <w:pPr>
        <w:pStyle w:val="BodyText"/>
        <w:spacing w:line="296" w:lineRule="exact" w:before="32"/>
        <w:ind w:left="112" w:right="0"/>
        <w:jc w:val="left"/>
        <w:rPr>
          <w:rFonts w:ascii="宋体" w:hAnsi="宋体" w:cs="宋体" w:eastAsia="宋体" w:hint="default"/>
        </w:rPr>
      </w:pPr>
      <w:r>
        <w:rPr>
          <w:rFonts w:ascii="Arial" w:hAnsi="Arial" w:cs="Arial" w:eastAsia="Arial" w:hint="default"/>
        </w:rPr>
        <w:t>47</w:t>
      </w:r>
      <w:r>
        <w:rPr/>
        <w:t>、其他收益</w:t>
      </w:r>
      <w:r>
        <w:rPr>
          <w:rFonts w:ascii="宋体" w:hAnsi="宋体" w:cs="宋体" w:eastAsia="宋体" w:hint="default"/>
        </w:rPr>
        <w:t> </w:t>
      </w:r>
    </w:p>
    <w:p>
      <w:pPr>
        <w:pStyle w:val="BodyText"/>
        <w:spacing w:line="280" w:lineRule="exact"/>
        <w:ind w:left="962" w:right="0"/>
        <w:jc w:val="left"/>
        <w:rPr>
          <w:rFonts w:ascii="宋体" w:hAnsi="宋体" w:cs="宋体" w:eastAsia="宋体" w:hint="default"/>
        </w:rPr>
      </w:pPr>
      <w:r>
        <w:rPr>
          <w:rFonts w:ascii="宋体"/>
          <w:w w:val="100"/>
        </w:rPr>
        <w:t> </w:t>
      </w:r>
    </w:p>
    <w:p>
      <w:pPr>
        <w:spacing w:line="240" w:lineRule="auto" w:before="10"/>
        <w:rPr>
          <w:rFonts w:ascii="宋体" w:hAnsi="宋体" w:cs="宋体" w:eastAsia="宋体" w:hint="default"/>
          <w:sz w:val="4"/>
          <w:szCs w:val="4"/>
        </w:rPr>
      </w:pPr>
    </w:p>
    <w:tbl>
      <w:tblPr>
        <w:tblW w:w="0" w:type="auto"/>
        <w:jc w:val="left"/>
        <w:tblInd w:w="339" w:type="dxa"/>
        <w:tblLayout w:type="fixed"/>
        <w:tblCellMar>
          <w:top w:w="0" w:type="dxa"/>
          <w:left w:w="0" w:type="dxa"/>
          <w:bottom w:w="0" w:type="dxa"/>
          <w:right w:w="0" w:type="dxa"/>
        </w:tblCellMar>
        <w:tblLook w:val="01E0"/>
      </w:tblPr>
      <w:tblGrid>
        <w:gridCol w:w="2600"/>
        <w:gridCol w:w="1440"/>
        <w:gridCol w:w="2357"/>
        <w:gridCol w:w="14"/>
        <w:gridCol w:w="110"/>
        <w:gridCol w:w="2549"/>
      </w:tblGrid>
      <w:tr>
        <w:trPr>
          <w:trHeight w:val="264" w:hRule="exact"/>
        </w:trPr>
        <w:tc>
          <w:tcPr>
            <w:tcW w:w="2600" w:type="dxa"/>
            <w:tcBorders>
              <w:top w:val="nil" w:sz="6" w:space="0" w:color="auto"/>
              <w:left w:val="nil" w:sz="6" w:space="0" w:color="auto"/>
              <w:bottom w:val="nil" w:sz="6" w:space="0" w:color="auto"/>
              <w:right w:val="nil" w:sz="6" w:space="0" w:color="auto"/>
            </w:tcBorders>
          </w:tcPr>
          <w:p>
            <w:pPr>
              <w:pStyle w:val="TableParagraph"/>
              <w:spacing w:line="221" w:lineRule="exact"/>
              <w:ind w:left="200" w:right="0"/>
              <w:jc w:val="left"/>
              <w:rPr>
                <w:rFonts w:ascii="宋体" w:hAnsi="宋体" w:cs="宋体" w:eastAsia="宋体" w:hint="default"/>
                <w:sz w:val="22"/>
                <w:szCs w:val="22"/>
              </w:rPr>
            </w:pPr>
            <w:r>
              <w:rPr>
                <w:rFonts w:ascii="宋体"/>
                <w:w w:val="100"/>
                <w:sz w:val="22"/>
              </w:rPr>
              <w:t> </w:t>
            </w:r>
          </w:p>
        </w:tc>
        <w:tc>
          <w:tcPr>
            <w:tcW w:w="1440" w:type="dxa"/>
            <w:tcBorders>
              <w:top w:val="nil" w:sz="6" w:space="0" w:color="auto"/>
              <w:left w:val="nil" w:sz="6" w:space="0" w:color="auto"/>
              <w:bottom w:val="nil" w:sz="6" w:space="0" w:color="auto"/>
              <w:right w:val="nil" w:sz="6" w:space="0" w:color="auto"/>
            </w:tcBorders>
          </w:tcPr>
          <w:p>
            <w:pPr>
              <w:pStyle w:val="TableParagraph"/>
              <w:spacing w:line="221" w:lineRule="exact"/>
              <w:ind w:right="180"/>
              <w:jc w:val="center"/>
              <w:rPr>
                <w:rFonts w:ascii="宋体" w:hAnsi="宋体" w:cs="宋体" w:eastAsia="宋体" w:hint="default"/>
                <w:sz w:val="22"/>
                <w:szCs w:val="22"/>
              </w:rPr>
            </w:pPr>
            <w:r>
              <w:rPr>
                <w:rFonts w:ascii="宋体" w:hAnsi="宋体" w:cs="宋体" w:eastAsia="宋体" w:hint="default"/>
                <w:w w:val="100"/>
                <w:sz w:val="22"/>
                <w:szCs w:val="22"/>
              </w:rPr>
              <w:t>注</w:t>
            </w:r>
          </w:p>
        </w:tc>
        <w:tc>
          <w:tcPr>
            <w:tcW w:w="2357" w:type="dxa"/>
            <w:tcBorders>
              <w:top w:val="nil" w:sz="6" w:space="0" w:color="auto"/>
              <w:left w:val="nil" w:sz="6" w:space="0" w:color="auto"/>
              <w:bottom w:val="single" w:sz="6" w:space="0" w:color="000000"/>
              <w:right w:val="nil" w:sz="6" w:space="0" w:color="auto"/>
            </w:tcBorders>
          </w:tcPr>
          <w:p>
            <w:pPr>
              <w:pStyle w:val="TableParagraph"/>
              <w:spacing w:line="237" w:lineRule="exact"/>
              <w:ind w:right="70"/>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pacing w:val="-5"/>
                <w:sz w:val="22"/>
                <w:szCs w:val="22"/>
              </w:rPr>
              <w:t>年</w:t>
            </w:r>
            <w:r>
              <w:rPr>
                <w:rFonts w:ascii="宋体" w:hAnsi="宋体" w:cs="宋体" w:eastAsia="宋体" w:hint="default"/>
                <w:sz w:val="22"/>
                <w:szCs w:val="22"/>
              </w:rPr>
              <w:t> </w:t>
            </w:r>
          </w:p>
        </w:tc>
        <w:tc>
          <w:tcPr>
            <w:tcW w:w="14" w:type="dxa"/>
            <w:tcBorders>
              <w:top w:val="nil" w:sz="6" w:space="0" w:color="auto"/>
              <w:left w:val="nil" w:sz="6" w:space="0" w:color="auto"/>
              <w:bottom w:val="nil" w:sz="6" w:space="0" w:color="auto"/>
              <w:right w:val="nil" w:sz="6" w:space="0" w:color="auto"/>
            </w:tcBorders>
          </w:tcPr>
          <w:p>
            <w:pPr/>
          </w:p>
        </w:tc>
        <w:tc>
          <w:tcPr>
            <w:tcW w:w="110" w:type="dxa"/>
            <w:tcBorders>
              <w:top w:val="nil" w:sz="6" w:space="0" w:color="auto"/>
              <w:left w:val="nil" w:sz="6" w:space="0" w:color="auto"/>
              <w:bottom w:val="nil" w:sz="6" w:space="0" w:color="auto"/>
              <w:right w:val="nil" w:sz="6" w:space="0" w:color="auto"/>
            </w:tcBorders>
          </w:tcPr>
          <w:p>
            <w:pPr>
              <w:pStyle w:val="TableParagraph"/>
              <w:spacing w:line="221" w:lineRule="exact"/>
              <w:ind w:right="0"/>
              <w:jc w:val="left"/>
              <w:rPr>
                <w:rFonts w:ascii="宋体" w:hAnsi="宋体" w:cs="宋体" w:eastAsia="宋体" w:hint="default"/>
                <w:sz w:val="22"/>
                <w:szCs w:val="22"/>
              </w:rPr>
            </w:pPr>
            <w:r>
              <w:rPr>
                <w:rFonts w:ascii="宋体"/>
                <w:w w:val="100"/>
                <w:sz w:val="22"/>
              </w:rPr>
              <w:t> </w:t>
            </w:r>
          </w:p>
        </w:tc>
        <w:tc>
          <w:tcPr>
            <w:tcW w:w="2549" w:type="dxa"/>
            <w:tcBorders>
              <w:top w:val="nil" w:sz="6" w:space="0" w:color="auto"/>
              <w:left w:val="nil" w:sz="6" w:space="0" w:color="auto"/>
              <w:bottom w:val="single" w:sz="6" w:space="0" w:color="000000"/>
              <w:right w:val="nil" w:sz="6" w:space="0" w:color="auto"/>
            </w:tcBorders>
          </w:tcPr>
          <w:p>
            <w:pPr>
              <w:pStyle w:val="TableParagraph"/>
              <w:spacing w:line="237" w:lineRule="exact"/>
              <w:ind w:right="50"/>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pacing w:val="-5"/>
                <w:sz w:val="22"/>
                <w:szCs w:val="22"/>
              </w:rPr>
              <w:t>年</w:t>
            </w:r>
            <w:r>
              <w:rPr>
                <w:rFonts w:ascii="宋体" w:hAnsi="宋体" w:cs="宋体" w:eastAsia="宋体" w:hint="default"/>
                <w:sz w:val="22"/>
                <w:szCs w:val="22"/>
              </w:rPr>
              <w:t> </w:t>
            </w:r>
          </w:p>
        </w:tc>
      </w:tr>
      <w:tr>
        <w:trPr>
          <w:trHeight w:val="290" w:hRule="exact"/>
        </w:trPr>
        <w:tc>
          <w:tcPr>
            <w:tcW w:w="2600" w:type="dxa"/>
            <w:tcBorders>
              <w:top w:val="nil" w:sz="6" w:space="0" w:color="auto"/>
              <w:left w:val="nil" w:sz="6" w:space="0" w:color="auto"/>
              <w:bottom w:val="nil" w:sz="6" w:space="0" w:color="auto"/>
              <w:right w:val="nil" w:sz="6" w:space="0" w:color="auto"/>
            </w:tcBorders>
          </w:tcPr>
          <w:p>
            <w:pPr>
              <w:pStyle w:val="TableParagraph"/>
              <w:spacing w:line="259" w:lineRule="exact"/>
              <w:ind w:left="200" w:right="0"/>
              <w:jc w:val="left"/>
              <w:rPr>
                <w:rFonts w:ascii="宋体" w:hAnsi="宋体" w:cs="宋体" w:eastAsia="宋体" w:hint="default"/>
                <w:sz w:val="22"/>
                <w:szCs w:val="22"/>
              </w:rPr>
            </w:pPr>
            <w:r>
              <w:rPr>
                <w:rFonts w:ascii="宋体"/>
                <w:w w:val="100"/>
                <w:sz w:val="22"/>
              </w:rPr>
              <w:t> </w:t>
            </w:r>
          </w:p>
        </w:tc>
        <w:tc>
          <w:tcPr>
            <w:tcW w:w="1440" w:type="dxa"/>
            <w:tcBorders>
              <w:top w:val="nil" w:sz="6" w:space="0" w:color="auto"/>
              <w:left w:val="nil" w:sz="6" w:space="0" w:color="auto"/>
              <w:bottom w:val="nil" w:sz="6" w:space="0" w:color="auto"/>
              <w:right w:val="nil" w:sz="6" w:space="0" w:color="auto"/>
            </w:tcBorders>
          </w:tcPr>
          <w:p>
            <w:pPr>
              <w:pStyle w:val="TableParagraph"/>
              <w:spacing w:line="259" w:lineRule="exact"/>
              <w:ind w:right="0"/>
              <w:jc w:val="right"/>
              <w:rPr>
                <w:rFonts w:ascii="宋体" w:hAnsi="宋体" w:cs="宋体" w:eastAsia="宋体" w:hint="default"/>
                <w:sz w:val="22"/>
                <w:szCs w:val="22"/>
              </w:rPr>
            </w:pPr>
            <w:r>
              <w:rPr>
                <w:rFonts w:ascii="宋体"/>
                <w:w w:val="100"/>
                <w:sz w:val="22"/>
              </w:rPr>
              <w:t> </w:t>
            </w:r>
          </w:p>
        </w:tc>
        <w:tc>
          <w:tcPr>
            <w:tcW w:w="2357" w:type="dxa"/>
            <w:tcBorders>
              <w:top w:val="single" w:sz="6" w:space="0" w:color="000000"/>
              <w:left w:val="nil" w:sz="6" w:space="0" w:color="auto"/>
              <w:bottom w:val="nil" w:sz="6" w:space="0" w:color="auto"/>
              <w:right w:val="nil" w:sz="6" w:space="0" w:color="auto"/>
            </w:tcBorders>
          </w:tcPr>
          <w:p>
            <w:pPr>
              <w:pStyle w:val="TableParagraph"/>
              <w:spacing w:line="252" w:lineRule="exact"/>
              <w:ind w:right="12"/>
              <w:jc w:val="right"/>
              <w:rPr>
                <w:rFonts w:ascii="宋体" w:hAnsi="宋体" w:cs="宋体" w:eastAsia="宋体" w:hint="default"/>
                <w:sz w:val="22"/>
                <w:szCs w:val="22"/>
              </w:rPr>
            </w:pPr>
            <w:r>
              <w:rPr>
                <w:rFonts w:ascii="宋体"/>
                <w:w w:val="100"/>
                <w:sz w:val="22"/>
              </w:rPr>
              <w:t> </w:t>
            </w:r>
          </w:p>
        </w:tc>
        <w:tc>
          <w:tcPr>
            <w:tcW w:w="14" w:type="dxa"/>
            <w:tcBorders>
              <w:top w:val="nil" w:sz="6" w:space="0" w:color="auto"/>
              <w:left w:val="nil" w:sz="6" w:space="0" w:color="auto"/>
              <w:bottom w:val="nil" w:sz="6" w:space="0" w:color="auto"/>
              <w:right w:val="nil" w:sz="6" w:space="0" w:color="auto"/>
            </w:tcBorders>
          </w:tcPr>
          <w:p>
            <w:pPr/>
          </w:p>
        </w:tc>
        <w:tc>
          <w:tcPr>
            <w:tcW w:w="110" w:type="dxa"/>
            <w:tcBorders>
              <w:top w:val="nil" w:sz="6" w:space="0" w:color="auto"/>
              <w:left w:val="nil" w:sz="6" w:space="0" w:color="auto"/>
              <w:bottom w:val="nil" w:sz="6" w:space="0" w:color="auto"/>
              <w:right w:val="nil" w:sz="6" w:space="0" w:color="auto"/>
            </w:tcBorders>
          </w:tcPr>
          <w:p>
            <w:pPr/>
          </w:p>
        </w:tc>
        <w:tc>
          <w:tcPr>
            <w:tcW w:w="2549" w:type="dxa"/>
            <w:tcBorders>
              <w:top w:val="single" w:sz="6" w:space="0" w:color="000000"/>
              <w:left w:val="nil" w:sz="6" w:space="0" w:color="auto"/>
              <w:bottom w:val="nil" w:sz="6" w:space="0" w:color="auto"/>
              <w:right w:val="nil" w:sz="6" w:space="0" w:color="auto"/>
            </w:tcBorders>
          </w:tcPr>
          <w:p>
            <w:pPr>
              <w:pStyle w:val="TableParagraph"/>
              <w:spacing w:line="252" w:lineRule="exact"/>
              <w:ind w:left="700" w:right="0"/>
              <w:jc w:val="center"/>
              <w:rPr>
                <w:rFonts w:ascii="宋体" w:hAnsi="宋体" w:cs="宋体" w:eastAsia="宋体" w:hint="default"/>
                <w:sz w:val="22"/>
                <w:szCs w:val="22"/>
              </w:rPr>
            </w:pPr>
            <w:r>
              <w:rPr>
                <w:rFonts w:ascii="宋体"/>
                <w:w w:val="100"/>
                <w:sz w:val="22"/>
              </w:rPr>
              <w:t> </w:t>
            </w:r>
          </w:p>
        </w:tc>
      </w:tr>
      <w:tr>
        <w:trPr>
          <w:trHeight w:val="301" w:hRule="exact"/>
        </w:trPr>
        <w:tc>
          <w:tcPr>
            <w:tcW w:w="2600" w:type="dxa"/>
            <w:tcBorders>
              <w:top w:val="nil" w:sz="6" w:space="0" w:color="auto"/>
              <w:left w:val="nil" w:sz="6" w:space="0" w:color="auto"/>
              <w:bottom w:val="nil" w:sz="6" w:space="0" w:color="auto"/>
              <w:right w:val="nil" w:sz="6" w:space="0" w:color="auto"/>
            </w:tcBorders>
          </w:tcPr>
          <w:p>
            <w:pPr>
              <w:pStyle w:val="TableParagraph"/>
              <w:spacing w:line="252" w:lineRule="exact"/>
              <w:ind w:left="200" w:right="0"/>
              <w:jc w:val="left"/>
              <w:rPr>
                <w:rFonts w:ascii="宋体" w:hAnsi="宋体" w:cs="宋体" w:eastAsia="宋体" w:hint="default"/>
                <w:sz w:val="22"/>
                <w:szCs w:val="22"/>
              </w:rPr>
            </w:pPr>
            <w:r>
              <w:rPr>
                <w:rFonts w:ascii="宋体" w:hAnsi="宋体" w:cs="宋体" w:eastAsia="宋体" w:hint="default"/>
                <w:sz w:val="22"/>
                <w:szCs w:val="22"/>
              </w:rPr>
              <w:t>与资产相关的政府补助</w:t>
            </w:r>
            <w:r>
              <w:rPr>
                <w:rFonts w:ascii="宋体" w:hAnsi="宋体" w:cs="宋体" w:eastAsia="宋体" w:hint="default"/>
                <w:sz w:val="22"/>
                <w:szCs w:val="22"/>
              </w:rPr>
              <w:t> </w:t>
            </w:r>
          </w:p>
        </w:tc>
        <w:tc>
          <w:tcPr>
            <w:tcW w:w="1440" w:type="dxa"/>
            <w:tcBorders>
              <w:top w:val="nil" w:sz="6" w:space="0" w:color="auto"/>
              <w:left w:val="nil" w:sz="6" w:space="0" w:color="auto"/>
              <w:bottom w:val="nil" w:sz="6" w:space="0" w:color="auto"/>
              <w:right w:val="nil" w:sz="6" w:space="0" w:color="auto"/>
            </w:tcBorders>
          </w:tcPr>
          <w:p>
            <w:pPr>
              <w:pStyle w:val="TableParagraph"/>
              <w:spacing w:line="268" w:lineRule="exact"/>
              <w:ind w:right="20"/>
              <w:jc w:val="right"/>
              <w:rPr>
                <w:rFonts w:ascii="Arial" w:hAnsi="Arial" w:cs="Arial" w:eastAsia="Arial" w:hint="default"/>
                <w:sz w:val="22"/>
                <w:szCs w:val="22"/>
              </w:rPr>
            </w:pPr>
            <w:r>
              <w:rPr>
                <w:rFonts w:ascii="宋体" w:hAnsi="宋体" w:cs="宋体" w:eastAsia="宋体" w:hint="default"/>
                <w:spacing w:val="-1"/>
                <w:sz w:val="22"/>
                <w:szCs w:val="22"/>
              </w:rPr>
              <w:t>附注五</w:t>
            </w:r>
            <w:r>
              <w:rPr>
                <w:rFonts w:ascii="Arial" w:hAnsi="Arial" w:cs="Arial" w:eastAsia="Arial" w:hint="default"/>
                <w:spacing w:val="-1"/>
                <w:sz w:val="22"/>
                <w:szCs w:val="22"/>
              </w:rPr>
              <w:t>(30)(a)</w:t>
            </w:r>
          </w:p>
        </w:tc>
        <w:tc>
          <w:tcPr>
            <w:tcW w:w="235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46"/>
              <w:jc w:val="right"/>
              <w:rPr>
                <w:rFonts w:ascii="Arial" w:hAnsi="Arial" w:cs="Arial" w:eastAsia="Arial" w:hint="default"/>
                <w:sz w:val="22"/>
                <w:szCs w:val="22"/>
              </w:rPr>
            </w:pPr>
            <w:r>
              <w:rPr>
                <w:rFonts w:ascii="Arial"/>
                <w:sz w:val="22"/>
              </w:rPr>
              <w:t>188,612,073</w:t>
            </w:r>
          </w:p>
        </w:tc>
        <w:tc>
          <w:tcPr>
            <w:tcW w:w="14" w:type="dxa"/>
            <w:tcBorders>
              <w:top w:val="nil" w:sz="6" w:space="0" w:color="auto"/>
              <w:left w:val="nil" w:sz="6" w:space="0" w:color="auto"/>
              <w:bottom w:val="nil" w:sz="6" w:space="0" w:color="auto"/>
              <w:right w:val="nil" w:sz="6" w:space="0" w:color="auto"/>
            </w:tcBorders>
          </w:tcPr>
          <w:p>
            <w:pPr/>
          </w:p>
        </w:tc>
        <w:tc>
          <w:tcPr>
            <w:tcW w:w="110" w:type="dxa"/>
            <w:tcBorders>
              <w:top w:val="nil" w:sz="6" w:space="0" w:color="auto"/>
              <w:left w:val="nil" w:sz="6" w:space="0" w:color="auto"/>
              <w:bottom w:val="nil" w:sz="6" w:space="0" w:color="auto"/>
              <w:right w:val="nil" w:sz="6" w:space="0" w:color="auto"/>
            </w:tcBorders>
          </w:tcPr>
          <w:p>
            <w:pPr/>
          </w:p>
        </w:tc>
        <w:tc>
          <w:tcPr>
            <w:tcW w:w="2549"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4"/>
              <w:jc w:val="right"/>
              <w:rPr>
                <w:rFonts w:ascii="Arial" w:hAnsi="Arial" w:cs="Arial" w:eastAsia="Arial" w:hint="default"/>
                <w:sz w:val="22"/>
                <w:szCs w:val="22"/>
              </w:rPr>
            </w:pPr>
            <w:r>
              <w:rPr>
                <w:rFonts w:ascii="Arial"/>
                <w:spacing w:val="-1"/>
                <w:sz w:val="22"/>
              </w:rPr>
              <w:t>113,062,783</w:t>
            </w:r>
          </w:p>
        </w:tc>
      </w:tr>
      <w:tr>
        <w:trPr>
          <w:trHeight w:val="283" w:hRule="exact"/>
        </w:trPr>
        <w:tc>
          <w:tcPr>
            <w:tcW w:w="260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与收益相关的政府补助</w:t>
            </w:r>
            <w:r>
              <w:rPr>
                <w:rFonts w:ascii="宋体" w:hAnsi="宋体" w:cs="宋体" w:eastAsia="宋体" w:hint="default"/>
                <w:sz w:val="22"/>
                <w:szCs w:val="22"/>
              </w:rPr>
              <w:t> </w:t>
            </w:r>
          </w:p>
        </w:tc>
        <w:tc>
          <w:tcPr>
            <w:tcW w:w="1440" w:type="dxa"/>
            <w:tcBorders>
              <w:top w:val="nil" w:sz="6" w:space="0" w:color="auto"/>
              <w:left w:val="nil" w:sz="6" w:space="0" w:color="auto"/>
              <w:bottom w:val="nil" w:sz="6" w:space="0" w:color="auto"/>
              <w:right w:val="nil" w:sz="6" w:space="0" w:color="auto"/>
            </w:tcBorders>
          </w:tcPr>
          <w:p>
            <w:pPr>
              <w:pStyle w:val="TableParagraph"/>
              <w:spacing w:line="255" w:lineRule="exact"/>
              <w:ind w:right="20"/>
              <w:jc w:val="right"/>
              <w:rPr>
                <w:rFonts w:ascii="Arial" w:hAnsi="Arial" w:cs="Arial" w:eastAsia="Arial" w:hint="default"/>
                <w:sz w:val="22"/>
                <w:szCs w:val="22"/>
              </w:rPr>
            </w:pPr>
            <w:r>
              <w:rPr>
                <w:rFonts w:ascii="宋体" w:hAnsi="宋体" w:cs="宋体" w:eastAsia="宋体" w:hint="default"/>
                <w:spacing w:val="-1"/>
                <w:sz w:val="22"/>
                <w:szCs w:val="22"/>
              </w:rPr>
              <w:t>附注五</w:t>
            </w:r>
            <w:r>
              <w:rPr>
                <w:rFonts w:ascii="Arial" w:hAnsi="Arial" w:cs="Arial" w:eastAsia="Arial" w:hint="default"/>
                <w:spacing w:val="-1"/>
                <w:sz w:val="22"/>
                <w:szCs w:val="22"/>
              </w:rPr>
              <w:t>(30)(a)</w:t>
            </w:r>
          </w:p>
        </w:tc>
        <w:tc>
          <w:tcPr>
            <w:tcW w:w="235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6"/>
              <w:jc w:val="right"/>
              <w:rPr>
                <w:rFonts w:ascii="Arial" w:hAnsi="Arial" w:cs="Arial" w:eastAsia="Arial" w:hint="default"/>
                <w:sz w:val="22"/>
                <w:szCs w:val="22"/>
              </w:rPr>
            </w:pPr>
            <w:r>
              <w:rPr>
                <w:rFonts w:ascii="Arial"/>
                <w:sz w:val="22"/>
              </w:rPr>
              <w:t>165,543,393</w:t>
            </w:r>
          </w:p>
        </w:tc>
        <w:tc>
          <w:tcPr>
            <w:tcW w:w="14" w:type="dxa"/>
            <w:tcBorders>
              <w:top w:val="nil" w:sz="6" w:space="0" w:color="auto"/>
              <w:left w:val="nil" w:sz="6" w:space="0" w:color="auto"/>
              <w:bottom w:val="nil" w:sz="6" w:space="0" w:color="auto"/>
              <w:right w:val="nil" w:sz="6" w:space="0" w:color="auto"/>
            </w:tcBorders>
          </w:tcPr>
          <w:p>
            <w:pPr/>
          </w:p>
        </w:tc>
        <w:tc>
          <w:tcPr>
            <w:tcW w:w="110" w:type="dxa"/>
            <w:tcBorders>
              <w:top w:val="nil" w:sz="6" w:space="0" w:color="auto"/>
              <w:left w:val="nil" w:sz="6" w:space="0" w:color="auto"/>
              <w:bottom w:val="nil" w:sz="6" w:space="0" w:color="auto"/>
              <w:right w:val="nil" w:sz="6" w:space="0" w:color="auto"/>
            </w:tcBorders>
          </w:tcPr>
          <w:p>
            <w:pPr/>
          </w:p>
        </w:tc>
        <w:tc>
          <w:tcPr>
            <w:tcW w:w="254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4"/>
              <w:jc w:val="right"/>
              <w:rPr>
                <w:rFonts w:ascii="Arial" w:hAnsi="Arial" w:cs="Arial" w:eastAsia="Arial" w:hint="default"/>
                <w:sz w:val="22"/>
                <w:szCs w:val="22"/>
              </w:rPr>
            </w:pPr>
            <w:r>
              <w:rPr>
                <w:rFonts w:ascii="Arial"/>
                <w:spacing w:val="-1"/>
                <w:sz w:val="22"/>
              </w:rPr>
              <w:t>72,150,975</w:t>
            </w:r>
          </w:p>
        </w:tc>
      </w:tr>
      <w:tr>
        <w:trPr>
          <w:trHeight w:val="283" w:hRule="exact"/>
        </w:trPr>
        <w:tc>
          <w:tcPr>
            <w:tcW w:w="260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增值税加计抵减</w:t>
            </w:r>
            <w:r>
              <w:rPr>
                <w:rFonts w:ascii="宋体" w:hAnsi="宋体" w:cs="宋体" w:eastAsia="宋体" w:hint="default"/>
                <w:sz w:val="22"/>
                <w:szCs w:val="22"/>
              </w:rPr>
              <w:t> </w:t>
            </w:r>
          </w:p>
        </w:tc>
        <w:tc>
          <w:tcPr>
            <w:tcW w:w="1440" w:type="dxa"/>
            <w:tcBorders>
              <w:top w:val="nil" w:sz="6" w:space="0" w:color="auto"/>
              <w:left w:val="nil" w:sz="6" w:space="0" w:color="auto"/>
              <w:bottom w:val="nil" w:sz="6" w:space="0" w:color="auto"/>
              <w:right w:val="nil" w:sz="6" w:space="0" w:color="auto"/>
            </w:tcBorders>
          </w:tcPr>
          <w:p>
            <w:pPr/>
          </w:p>
        </w:tc>
        <w:tc>
          <w:tcPr>
            <w:tcW w:w="2357" w:type="dxa"/>
            <w:tcBorders>
              <w:top w:val="nil" w:sz="6" w:space="0" w:color="auto"/>
              <w:left w:val="nil" w:sz="6" w:space="0" w:color="auto"/>
              <w:bottom w:val="nil" w:sz="6" w:space="0" w:color="auto"/>
              <w:right w:val="nil" w:sz="6" w:space="0" w:color="auto"/>
            </w:tcBorders>
          </w:tcPr>
          <w:p>
            <w:pPr>
              <w:pStyle w:val="TableParagraph"/>
              <w:tabs>
                <w:tab w:pos="1079" w:val="left" w:leader="none"/>
              </w:tabs>
              <w:spacing w:line="240" w:lineRule="auto" w:before="21"/>
              <w:ind w:left="-5" w:right="48"/>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422,204,569</w:t>
            </w:r>
            <w:r>
              <w:rPr>
                <w:rFonts w:ascii="Arial"/>
                <w:spacing w:val="-1"/>
                <w:sz w:val="22"/>
              </w:rPr>
            </w:r>
          </w:p>
        </w:tc>
        <w:tc>
          <w:tcPr>
            <w:tcW w:w="14" w:type="dxa"/>
            <w:tcBorders>
              <w:top w:val="nil" w:sz="6" w:space="0" w:color="auto"/>
              <w:left w:val="nil" w:sz="6" w:space="0" w:color="auto"/>
              <w:bottom w:val="nil" w:sz="6" w:space="0" w:color="auto"/>
              <w:right w:val="nil" w:sz="6" w:space="0" w:color="auto"/>
            </w:tcBorders>
          </w:tcPr>
          <w:p>
            <w:pPr/>
          </w:p>
        </w:tc>
        <w:tc>
          <w:tcPr>
            <w:tcW w:w="110" w:type="dxa"/>
            <w:tcBorders>
              <w:top w:val="nil" w:sz="6" w:space="0" w:color="auto"/>
              <w:left w:val="nil" w:sz="6" w:space="0" w:color="auto"/>
              <w:bottom w:val="nil" w:sz="6" w:space="0" w:color="auto"/>
              <w:right w:val="nil" w:sz="6" w:space="0" w:color="auto"/>
            </w:tcBorders>
          </w:tcPr>
          <w:p>
            <w:pPr/>
          </w:p>
        </w:tc>
        <w:tc>
          <w:tcPr>
            <w:tcW w:w="2549" w:type="dxa"/>
            <w:tcBorders>
              <w:top w:val="nil" w:sz="6" w:space="0" w:color="auto"/>
              <w:left w:val="nil" w:sz="6" w:space="0" w:color="auto"/>
              <w:bottom w:val="single" w:sz="6" w:space="0" w:color="000000"/>
              <w:right w:val="nil" w:sz="6" w:space="0" w:color="auto"/>
            </w:tcBorders>
          </w:tcPr>
          <w:p>
            <w:pPr>
              <w:pStyle w:val="TableParagraph"/>
              <w:spacing w:line="239" w:lineRule="exact"/>
              <w:ind w:right="23"/>
              <w:jc w:val="right"/>
              <w:rPr>
                <w:rFonts w:ascii="宋体" w:hAnsi="宋体" w:cs="宋体" w:eastAsia="宋体" w:hint="default"/>
                <w:sz w:val="22"/>
                <w:szCs w:val="22"/>
              </w:rPr>
            </w:pPr>
            <w:r>
              <w:rPr>
                <w:rFonts w:ascii="宋体" w:hAnsi="宋体" w:cs="宋体" w:eastAsia="宋体" w:hint="default"/>
                <w:sz w:val="22"/>
                <w:szCs w:val="22"/>
              </w:rPr>
              <w:t>不适用</w:t>
            </w:r>
          </w:p>
        </w:tc>
      </w:tr>
      <w:tr>
        <w:trPr>
          <w:trHeight w:val="290" w:hRule="exact"/>
        </w:trPr>
        <w:tc>
          <w:tcPr>
            <w:tcW w:w="2600" w:type="dxa"/>
            <w:tcBorders>
              <w:top w:val="nil" w:sz="6" w:space="0" w:color="auto"/>
              <w:left w:val="nil" w:sz="6" w:space="0" w:color="auto"/>
              <w:bottom w:val="nil" w:sz="6" w:space="0" w:color="auto"/>
              <w:right w:val="nil" w:sz="6" w:space="0" w:color="auto"/>
            </w:tcBorders>
          </w:tcPr>
          <w:p>
            <w:pPr>
              <w:pStyle w:val="TableParagraph"/>
              <w:spacing w:line="259" w:lineRule="exact"/>
              <w:ind w:left="200" w:right="0"/>
              <w:jc w:val="left"/>
              <w:rPr>
                <w:rFonts w:ascii="宋体" w:hAnsi="宋体" w:cs="宋体" w:eastAsia="宋体" w:hint="default"/>
                <w:sz w:val="22"/>
                <w:szCs w:val="22"/>
              </w:rPr>
            </w:pPr>
            <w:r>
              <w:rPr>
                <w:rFonts w:ascii="宋体"/>
                <w:w w:val="100"/>
                <w:sz w:val="22"/>
              </w:rPr>
              <w:t> </w:t>
            </w:r>
          </w:p>
        </w:tc>
        <w:tc>
          <w:tcPr>
            <w:tcW w:w="1440" w:type="dxa"/>
            <w:tcBorders>
              <w:top w:val="nil" w:sz="6" w:space="0" w:color="auto"/>
              <w:left w:val="nil" w:sz="6" w:space="0" w:color="auto"/>
              <w:bottom w:val="nil" w:sz="6" w:space="0" w:color="auto"/>
              <w:right w:val="nil" w:sz="6" w:space="0" w:color="auto"/>
            </w:tcBorders>
          </w:tcPr>
          <w:p>
            <w:pPr/>
          </w:p>
        </w:tc>
        <w:tc>
          <w:tcPr>
            <w:tcW w:w="2357" w:type="dxa"/>
            <w:tcBorders>
              <w:top w:val="nil" w:sz="6" w:space="0" w:color="auto"/>
              <w:left w:val="nil" w:sz="6" w:space="0" w:color="auto"/>
              <w:bottom w:val="nil" w:sz="6" w:space="0" w:color="auto"/>
              <w:right w:val="nil" w:sz="6" w:space="0" w:color="auto"/>
            </w:tcBorders>
          </w:tcPr>
          <w:p>
            <w:pPr/>
          </w:p>
        </w:tc>
        <w:tc>
          <w:tcPr>
            <w:tcW w:w="14" w:type="dxa"/>
            <w:tcBorders>
              <w:top w:val="nil" w:sz="6" w:space="0" w:color="auto"/>
              <w:left w:val="nil" w:sz="6" w:space="0" w:color="auto"/>
              <w:bottom w:val="nil" w:sz="6" w:space="0" w:color="auto"/>
              <w:right w:val="nil" w:sz="6" w:space="0" w:color="auto"/>
            </w:tcBorders>
          </w:tcPr>
          <w:p>
            <w:pPr/>
          </w:p>
        </w:tc>
        <w:tc>
          <w:tcPr>
            <w:tcW w:w="110" w:type="dxa"/>
            <w:tcBorders>
              <w:top w:val="nil" w:sz="6" w:space="0" w:color="auto"/>
              <w:left w:val="nil" w:sz="6" w:space="0" w:color="auto"/>
              <w:bottom w:val="nil" w:sz="6" w:space="0" w:color="auto"/>
              <w:right w:val="nil" w:sz="6" w:space="0" w:color="auto"/>
            </w:tcBorders>
          </w:tcPr>
          <w:p>
            <w:pPr/>
          </w:p>
        </w:tc>
        <w:tc>
          <w:tcPr>
            <w:tcW w:w="2549" w:type="dxa"/>
            <w:tcBorders>
              <w:top w:val="single" w:sz="6" w:space="0" w:color="000000"/>
              <w:left w:val="nil" w:sz="6" w:space="0" w:color="auto"/>
              <w:bottom w:val="nil" w:sz="6" w:space="0" w:color="auto"/>
              <w:right w:val="nil" w:sz="6" w:space="0" w:color="auto"/>
            </w:tcBorders>
          </w:tcPr>
          <w:p>
            <w:pPr/>
          </w:p>
        </w:tc>
      </w:tr>
      <w:tr>
        <w:trPr>
          <w:trHeight w:val="310" w:hRule="exact"/>
        </w:trPr>
        <w:tc>
          <w:tcPr>
            <w:tcW w:w="2600" w:type="dxa"/>
            <w:tcBorders>
              <w:top w:val="nil" w:sz="6" w:space="0" w:color="auto"/>
              <w:left w:val="nil" w:sz="6" w:space="0" w:color="auto"/>
              <w:bottom w:val="nil" w:sz="6" w:space="0" w:color="auto"/>
              <w:right w:val="nil" w:sz="6" w:space="0" w:color="auto"/>
            </w:tcBorders>
          </w:tcPr>
          <w:p>
            <w:pPr>
              <w:pStyle w:val="TableParagraph"/>
              <w:spacing w:line="252" w:lineRule="exact"/>
              <w:ind w:left="200" w:right="0"/>
              <w:jc w:val="left"/>
              <w:rPr>
                <w:rFonts w:ascii="宋体" w:hAnsi="宋体" w:cs="宋体" w:eastAsia="宋体" w:hint="default"/>
                <w:sz w:val="22"/>
                <w:szCs w:val="22"/>
              </w:rPr>
            </w:pPr>
            <w:r>
              <w:rPr>
                <w:rFonts w:ascii="宋体" w:hAnsi="宋体" w:cs="宋体" w:eastAsia="宋体" w:hint="default"/>
                <w:sz w:val="22"/>
                <w:szCs w:val="22"/>
              </w:rPr>
              <w:t>合计</w:t>
            </w:r>
            <w:r>
              <w:rPr>
                <w:rFonts w:ascii="宋体" w:hAnsi="宋体" w:cs="宋体" w:eastAsia="宋体" w:hint="default"/>
                <w:sz w:val="22"/>
                <w:szCs w:val="22"/>
              </w:rPr>
              <w:t> </w:t>
            </w:r>
          </w:p>
        </w:tc>
        <w:tc>
          <w:tcPr>
            <w:tcW w:w="1440" w:type="dxa"/>
            <w:tcBorders>
              <w:top w:val="nil" w:sz="6" w:space="0" w:color="auto"/>
              <w:left w:val="nil" w:sz="6" w:space="0" w:color="auto"/>
              <w:bottom w:val="nil" w:sz="6" w:space="0" w:color="auto"/>
              <w:right w:val="nil" w:sz="6" w:space="0" w:color="auto"/>
            </w:tcBorders>
          </w:tcPr>
          <w:p>
            <w:pPr/>
          </w:p>
        </w:tc>
        <w:tc>
          <w:tcPr>
            <w:tcW w:w="2357"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46"/>
              <w:jc w:val="right"/>
              <w:rPr>
                <w:rFonts w:ascii="Arial" w:hAnsi="Arial" w:cs="Arial" w:eastAsia="Arial" w:hint="default"/>
                <w:sz w:val="22"/>
                <w:szCs w:val="22"/>
              </w:rPr>
            </w:pPr>
            <w:r>
              <w:rPr>
                <w:rFonts w:ascii="Arial"/>
                <w:sz w:val="22"/>
              </w:rPr>
              <w:t>776,360,035</w:t>
            </w:r>
          </w:p>
        </w:tc>
        <w:tc>
          <w:tcPr>
            <w:tcW w:w="14" w:type="dxa"/>
            <w:tcBorders>
              <w:top w:val="nil" w:sz="6" w:space="0" w:color="auto"/>
              <w:left w:val="nil" w:sz="6" w:space="0" w:color="auto"/>
              <w:bottom w:val="nil" w:sz="6" w:space="0" w:color="auto"/>
              <w:right w:val="nil" w:sz="6" w:space="0" w:color="auto"/>
            </w:tcBorders>
          </w:tcPr>
          <w:p>
            <w:pPr/>
          </w:p>
        </w:tc>
        <w:tc>
          <w:tcPr>
            <w:tcW w:w="110" w:type="dxa"/>
            <w:tcBorders>
              <w:top w:val="nil" w:sz="6" w:space="0" w:color="auto"/>
              <w:left w:val="nil" w:sz="6" w:space="0" w:color="auto"/>
              <w:bottom w:val="nil" w:sz="6" w:space="0" w:color="auto"/>
              <w:right w:val="nil" w:sz="6" w:space="0" w:color="auto"/>
            </w:tcBorders>
          </w:tcPr>
          <w:p>
            <w:pPr/>
          </w:p>
        </w:tc>
        <w:tc>
          <w:tcPr>
            <w:tcW w:w="2549"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24"/>
              <w:jc w:val="right"/>
              <w:rPr>
                <w:rFonts w:ascii="Arial" w:hAnsi="Arial" w:cs="Arial" w:eastAsia="Arial" w:hint="default"/>
                <w:sz w:val="22"/>
                <w:szCs w:val="22"/>
              </w:rPr>
            </w:pPr>
            <w:r>
              <w:rPr>
                <w:rFonts w:ascii="Arial"/>
                <w:spacing w:val="-1"/>
                <w:sz w:val="22"/>
              </w:rPr>
              <w:t>185,213,758</w:t>
            </w:r>
          </w:p>
        </w:tc>
      </w:tr>
    </w:tbl>
    <w:p>
      <w:pPr>
        <w:pStyle w:val="BodyText"/>
        <w:spacing w:line="249" w:lineRule="exact"/>
        <w:ind w:left="962" w:right="0"/>
        <w:jc w:val="left"/>
        <w:rPr>
          <w:rFonts w:ascii="宋体" w:hAnsi="宋体" w:cs="宋体" w:eastAsia="宋体" w:hint="default"/>
        </w:rPr>
      </w:pPr>
      <w:r>
        <w:rPr>
          <w:rFonts w:ascii="宋体"/>
          <w:w w:val="100"/>
        </w:rPr>
        <w:t> </w:t>
      </w:r>
    </w:p>
    <w:p>
      <w:pPr>
        <w:pStyle w:val="BodyText"/>
        <w:spacing w:line="429" w:lineRule="auto"/>
        <w:ind w:left="156" w:right="7892" w:hanging="44"/>
        <w:jc w:val="left"/>
      </w:pPr>
      <w:r>
        <w:rPr>
          <w:rFonts w:ascii="Arial" w:hAnsi="Arial" w:cs="Arial" w:eastAsia="Arial" w:hint="default"/>
        </w:rPr>
        <w:t>48</w:t>
      </w:r>
      <w:r>
        <w:rPr/>
        <w:t>、营业外收支</w:t>
      </w:r>
      <w:r>
        <w:rPr>
          <w:spacing w:val="-106"/>
        </w:rPr>
        <w:t> </w:t>
      </w:r>
      <w:r>
        <w:rPr>
          <w:spacing w:val="-106"/>
        </w:rPr>
      </w:r>
      <w:r>
        <w:rPr>
          <w:rFonts w:ascii="Arial" w:hAnsi="Arial" w:cs="Arial" w:eastAsia="Arial" w:hint="default"/>
        </w:rPr>
        <w:t>(a) </w:t>
      </w:r>
      <w:r>
        <w:rPr>
          <w:rFonts w:ascii="Arial" w:hAnsi="Arial" w:cs="Arial" w:eastAsia="Arial" w:hint="default"/>
          <w:spacing w:val="29"/>
        </w:rPr>
        <w:t> </w:t>
      </w:r>
      <w:r>
        <w:rPr/>
        <w:t>营业外收入</w:t>
      </w:r>
    </w:p>
    <w:p>
      <w:pPr>
        <w:spacing w:line="240" w:lineRule="auto" w:before="2"/>
        <w:rPr>
          <w:rFonts w:ascii="宋体" w:hAnsi="宋体" w:cs="宋体" w:eastAsia="宋体" w:hint="default"/>
          <w:sz w:val="8"/>
          <w:szCs w:val="8"/>
        </w:rPr>
      </w:pPr>
    </w:p>
    <w:tbl>
      <w:tblPr>
        <w:tblW w:w="0" w:type="auto"/>
        <w:jc w:val="left"/>
        <w:tblInd w:w="387" w:type="dxa"/>
        <w:tblLayout w:type="fixed"/>
        <w:tblCellMar>
          <w:top w:w="0" w:type="dxa"/>
          <w:left w:w="0" w:type="dxa"/>
          <w:bottom w:w="0" w:type="dxa"/>
          <w:right w:w="0" w:type="dxa"/>
        </w:tblCellMar>
        <w:tblLook w:val="01E0"/>
      </w:tblPr>
      <w:tblGrid>
        <w:gridCol w:w="1570"/>
        <w:gridCol w:w="1433"/>
        <w:gridCol w:w="2246"/>
        <w:gridCol w:w="1697"/>
        <w:gridCol w:w="2134"/>
      </w:tblGrid>
      <w:tr>
        <w:trPr>
          <w:trHeight w:val="547" w:hRule="exact"/>
        </w:trPr>
        <w:tc>
          <w:tcPr>
            <w:tcW w:w="1570" w:type="dxa"/>
            <w:tcBorders>
              <w:top w:val="nil" w:sz="6" w:space="0" w:color="auto"/>
              <w:left w:val="nil" w:sz="6" w:space="0" w:color="auto"/>
              <w:bottom w:val="nil" w:sz="6" w:space="0" w:color="auto"/>
              <w:right w:val="nil" w:sz="6" w:space="0" w:color="auto"/>
            </w:tcBorders>
          </w:tcPr>
          <w:p>
            <w:pP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4"/>
              <w:jc w:val="center"/>
              <w:rPr>
                <w:rFonts w:ascii="宋体" w:hAnsi="宋体" w:cs="宋体" w:eastAsia="宋体" w:hint="default"/>
                <w:sz w:val="22"/>
                <w:szCs w:val="22"/>
              </w:rPr>
            </w:pPr>
            <w:r>
              <w:rPr>
                <w:rFonts w:ascii="宋体" w:hAnsi="宋体" w:cs="宋体" w:eastAsia="宋体" w:hint="default"/>
                <w:w w:val="100"/>
                <w:sz w:val="22"/>
                <w:szCs w:val="22"/>
              </w:rPr>
              <w:t>注</w:t>
            </w:r>
          </w:p>
        </w:tc>
        <w:tc>
          <w:tcPr>
            <w:tcW w:w="2246" w:type="dxa"/>
            <w:tcBorders>
              <w:top w:val="nil" w:sz="6" w:space="0" w:color="auto"/>
              <w:left w:val="nil" w:sz="6" w:space="0" w:color="auto"/>
              <w:bottom w:val="single" w:sz="6"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71"/>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1697" w:type="dxa"/>
            <w:tcBorders>
              <w:top w:val="nil" w:sz="6" w:space="0" w:color="auto"/>
              <w:left w:val="nil" w:sz="6" w:space="0" w:color="auto"/>
              <w:bottom w:val="single" w:sz="6"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796"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2134" w:type="dxa"/>
            <w:tcBorders>
              <w:top w:val="nil" w:sz="6" w:space="0" w:color="auto"/>
              <w:left w:val="nil" w:sz="6" w:space="0" w:color="auto"/>
              <w:bottom w:val="single" w:sz="6" w:space="0" w:color="000000"/>
              <w:right w:val="nil" w:sz="6" w:space="0" w:color="auto"/>
            </w:tcBorders>
          </w:tcPr>
          <w:p>
            <w:pPr>
              <w:pStyle w:val="TableParagraph"/>
              <w:spacing w:line="226" w:lineRule="exact"/>
              <w:ind w:left="131" w:right="0" w:firstLine="782"/>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2"/>
                <w:sz w:val="22"/>
                <w:szCs w:val="22"/>
              </w:rPr>
              <w:t> </w:t>
            </w:r>
            <w:r>
              <w:rPr>
                <w:rFonts w:ascii="宋体" w:hAnsi="宋体" w:cs="宋体" w:eastAsia="宋体" w:hint="default"/>
                <w:sz w:val="22"/>
                <w:szCs w:val="22"/>
              </w:rPr>
              <w:t>年计入</w:t>
            </w:r>
          </w:p>
          <w:p>
            <w:pPr>
              <w:pStyle w:val="TableParagraph"/>
              <w:spacing w:line="278" w:lineRule="exact"/>
              <w:ind w:left="131" w:right="0"/>
              <w:jc w:val="left"/>
              <w:rPr>
                <w:rFonts w:ascii="宋体" w:hAnsi="宋体" w:cs="宋体" w:eastAsia="宋体" w:hint="default"/>
                <w:sz w:val="22"/>
                <w:szCs w:val="22"/>
              </w:rPr>
            </w:pPr>
            <w:r>
              <w:rPr>
                <w:rFonts w:ascii="宋体" w:hAnsi="宋体" w:cs="宋体" w:eastAsia="宋体" w:hint="default"/>
                <w:sz w:val="22"/>
                <w:szCs w:val="22"/>
              </w:rPr>
              <w:t>非经常性损益的金额</w:t>
            </w:r>
          </w:p>
        </w:tc>
      </w:tr>
      <w:tr>
        <w:trPr>
          <w:trHeight w:val="557" w:hRule="exact"/>
        </w:trPr>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违约赔款收入</w:t>
            </w:r>
          </w:p>
        </w:tc>
        <w:tc>
          <w:tcPr>
            <w:tcW w:w="1433" w:type="dxa"/>
            <w:tcBorders>
              <w:top w:val="nil" w:sz="6" w:space="0" w:color="auto"/>
              <w:left w:val="nil" w:sz="6" w:space="0" w:color="auto"/>
              <w:bottom w:val="nil" w:sz="6" w:space="0" w:color="auto"/>
              <w:right w:val="nil" w:sz="6" w:space="0" w:color="auto"/>
            </w:tcBorders>
          </w:tcPr>
          <w:p>
            <w:pPr/>
          </w:p>
        </w:tc>
        <w:tc>
          <w:tcPr>
            <w:tcW w:w="2246"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372"/>
              <w:jc w:val="right"/>
              <w:rPr>
                <w:rFonts w:ascii="Arial" w:hAnsi="Arial" w:cs="Arial" w:eastAsia="Arial" w:hint="default"/>
                <w:sz w:val="22"/>
                <w:szCs w:val="22"/>
              </w:rPr>
            </w:pPr>
            <w:r>
              <w:rPr>
                <w:rFonts w:ascii="Arial"/>
                <w:sz w:val="22"/>
              </w:rPr>
              <w:t>226,611,265</w:t>
            </w:r>
          </w:p>
        </w:tc>
        <w:tc>
          <w:tcPr>
            <w:tcW w:w="1697"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273" w:right="0"/>
              <w:jc w:val="left"/>
              <w:rPr>
                <w:rFonts w:ascii="Arial" w:hAnsi="Arial" w:cs="Arial" w:eastAsia="Arial" w:hint="default"/>
                <w:sz w:val="22"/>
                <w:szCs w:val="22"/>
              </w:rPr>
            </w:pPr>
            <w:r>
              <w:rPr>
                <w:rFonts w:ascii="Arial"/>
                <w:sz w:val="22"/>
              </w:rPr>
              <w:t>271,789,492</w:t>
            </w:r>
          </w:p>
        </w:tc>
        <w:tc>
          <w:tcPr>
            <w:tcW w:w="2134"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8"/>
              <w:jc w:val="right"/>
              <w:rPr>
                <w:rFonts w:ascii="Arial" w:hAnsi="Arial" w:cs="Arial" w:eastAsia="Arial" w:hint="default"/>
                <w:sz w:val="22"/>
                <w:szCs w:val="22"/>
              </w:rPr>
            </w:pPr>
            <w:r>
              <w:rPr>
                <w:rFonts w:ascii="Arial"/>
                <w:sz w:val="22"/>
              </w:rPr>
              <w:t>226,611,265</w:t>
            </w:r>
          </w:p>
        </w:tc>
      </w:tr>
      <w:tr>
        <w:trPr>
          <w:trHeight w:val="283" w:hRule="exact"/>
        </w:trPr>
        <w:tc>
          <w:tcPr>
            <w:tcW w:w="157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政府补助</w:t>
            </w:r>
          </w:p>
        </w:tc>
        <w:tc>
          <w:tcPr>
            <w:tcW w:w="1433" w:type="dxa"/>
            <w:tcBorders>
              <w:top w:val="nil" w:sz="6" w:space="0" w:color="auto"/>
              <w:left w:val="nil" w:sz="6" w:space="0" w:color="auto"/>
              <w:bottom w:val="nil" w:sz="6" w:space="0" w:color="auto"/>
              <w:right w:val="nil" w:sz="6" w:space="0" w:color="auto"/>
            </w:tcBorders>
          </w:tcPr>
          <w:p>
            <w:pPr>
              <w:pStyle w:val="TableParagraph"/>
              <w:spacing w:line="255" w:lineRule="exact"/>
              <w:ind w:right="13"/>
              <w:jc w:val="center"/>
              <w:rPr>
                <w:rFonts w:ascii="Arial" w:hAnsi="Arial" w:cs="Arial" w:eastAsia="Arial" w:hint="default"/>
                <w:sz w:val="22"/>
                <w:szCs w:val="22"/>
              </w:rPr>
            </w:pPr>
            <w:r>
              <w:rPr>
                <w:rFonts w:ascii="宋体" w:hAnsi="宋体" w:cs="宋体" w:eastAsia="宋体" w:hint="default"/>
                <w:sz w:val="22"/>
                <w:szCs w:val="22"/>
              </w:rPr>
              <w:t>附注五</w:t>
            </w:r>
            <w:r>
              <w:rPr>
                <w:rFonts w:ascii="Arial" w:hAnsi="Arial" w:cs="Arial" w:eastAsia="Arial" w:hint="default"/>
                <w:sz w:val="22"/>
                <w:szCs w:val="22"/>
              </w:rPr>
              <w:t>(30)(a)</w:t>
            </w:r>
          </w:p>
        </w:tc>
        <w:tc>
          <w:tcPr>
            <w:tcW w:w="224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74"/>
              <w:jc w:val="right"/>
              <w:rPr>
                <w:rFonts w:ascii="Arial" w:hAnsi="Arial" w:cs="Arial" w:eastAsia="Arial" w:hint="default"/>
                <w:sz w:val="22"/>
                <w:szCs w:val="22"/>
              </w:rPr>
            </w:pPr>
            <w:r>
              <w:rPr>
                <w:rFonts w:ascii="Arial"/>
                <w:spacing w:val="-1"/>
                <w:sz w:val="22"/>
              </w:rPr>
              <w:t>30,998,022</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98" w:right="0"/>
              <w:jc w:val="left"/>
              <w:rPr>
                <w:rFonts w:ascii="Arial" w:hAnsi="Arial" w:cs="Arial" w:eastAsia="Arial" w:hint="default"/>
                <w:sz w:val="22"/>
                <w:szCs w:val="22"/>
              </w:rPr>
            </w:pPr>
            <w:r>
              <w:rPr>
                <w:rFonts w:ascii="Arial"/>
                <w:sz w:val="22"/>
              </w:rPr>
              <w:t>71,936,625</w:t>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0"/>
              <w:jc w:val="right"/>
              <w:rPr>
                <w:rFonts w:ascii="Arial" w:hAnsi="Arial" w:cs="Arial" w:eastAsia="Arial" w:hint="default"/>
                <w:sz w:val="22"/>
                <w:szCs w:val="22"/>
              </w:rPr>
            </w:pPr>
            <w:r>
              <w:rPr>
                <w:rFonts w:ascii="Arial"/>
                <w:spacing w:val="-1"/>
                <w:sz w:val="22"/>
              </w:rPr>
              <w:t>30,998,022</w:t>
            </w:r>
          </w:p>
        </w:tc>
      </w:tr>
      <w:tr>
        <w:trPr>
          <w:trHeight w:val="571" w:hRule="exact"/>
        </w:trPr>
        <w:tc>
          <w:tcPr>
            <w:tcW w:w="1570" w:type="dxa"/>
            <w:tcBorders>
              <w:top w:val="nil" w:sz="6" w:space="0" w:color="auto"/>
              <w:left w:val="nil" w:sz="6" w:space="0" w:color="auto"/>
              <w:bottom w:val="nil" w:sz="6" w:space="0" w:color="auto"/>
              <w:right w:val="nil" w:sz="6" w:space="0" w:color="auto"/>
            </w:tcBorders>
          </w:tcPr>
          <w:p>
            <w:pPr>
              <w:pStyle w:val="TableParagraph"/>
              <w:spacing w:line="239" w:lineRule="exact"/>
              <w:ind w:left="420" w:right="0" w:hanging="221"/>
              <w:jc w:val="left"/>
              <w:rPr>
                <w:rFonts w:ascii="宋体" w:hAnsi="宋体" w:cs="宋体" w:eastAsia="宋体" w:hint="default"/>
                <w:sz w:val="22"/>
                <w:szCs w:val="22"/>
              </w:rPr>
            </w:pPr>
            <w:r>
              <w:rPr>
                <w:rFonts w:ascii="宋体" w:hAnsi="宋体" w:cs="宋体" w:eastAsia="宋体" w:hint="default"/>
                <w:sz w:val="22"/>
                <w:szCs w:val="22"/>
              </w:rPr>
              <w:t>无法支付的</w:t>
            </w:r>
          </w:p>
          <w:p>
            <w:pPr>
              <w:pStyle w:val="TableParagraph"/>
              <w:spacing w:line="240" w:lineRule="auto"/>
              <w:ind w:left="420" w:right="0"/>
              <w:jc w:val="left"/>
              <w:rPr>
                <w:rFonts w:ascii="宋体" w:hAnsi="宋体" w:cs="宋体" w:eastAsia="宋体" w:hint="default"/>
                <w:sz w:val="22"/>
                <w:szCs w:val="22"/>
              </w:rPr>
            </w:pPr>
            <w:r>
              <w:rPr>
                <w:rFonts w:ascii="宋体" w:hAnsi="宋体" w:cs="宋体" w:eastAsia="宋体" w:hint="default"/>
                <w:sz w:val="22"/>
                <w:szCs w:val="22"/>
              </w:rPr>
              <w:t>应付账款</w:t>
            </w:r>
          </w:p>
        </w:tc>
        <w:tc>
          <w:tcPr>
            <w:tcW w:w="1433" w:type="dxa"/>
            <w:tcBorders>
              <w:top w:val="nil" w:sz="6" w:space="0" w:color="auto"/>
              <w:left w:val="nil" w:sz="6" w:space="0" w:color="auto"/>
              <w:bottom w:val="nil" w:sz="6" w:space="0" w:color="auto"/>
              <w:right w:val="nil" w:sz="6" w:space="0" w:color="auto"/>
            </w:tcBorders>
          </w:tcPr>
          <w:p>
            <w:pPr/>
          </w:p>
        </w:tc>
        <w:tc>
          <w:tcPr>
            <w:tcW w:w="224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372"/>
              <w:jc w:val="right"/>
              <w:rPr>
                <w:rFonts w:ascii="Arial" w:hAnsi="Arial" w:cs="Arial" w:eastAsia="Arial" w:hint="default"/>
                <w:sz w:val="22"/>
                <w:szCs w:val="22"/>
              </w:rPr>
            </w:pPr>
            <w:r>
              <w:rPr>
                <w:rFonts w:ascii="Arial"/>
                <w:sz w:val="22"/>
              </w:rPr>
              <w:t>208,004,545</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398" w:right="0"/>
              <w:jc w:val="left"/>
              <w:rPr>
                <w:rFonts w:ascii="Arial" w:hAnsi="Arial" w:cs="Arial" w:eastAsia="Arial" w:hint="default"/>
                <w:sz w:val="22"/>
                <w:szCs w:val="22"/>
              </w:rPr>
            </w:pPr>
            <w:r>
              <w:rPr>
                <w:rFonts w:ascii="Arial"/>
                <w:sz w:val="22"/>
              </w:rPr>
              <w:t>22,169,828</w:t>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108"/>
              <w:jc w:val="right"/>
              <w:rPr>
                <w:rFonts w:ascii="Arial" w:hAnsi="Arial" w:cs="Arial" w:eastAsia="Arial" w:hint="default"/>
                <w:sz w:val="22"/>
                <w:szCs w:val="22"/>
              </w:rPr>
            </w:pPr>
            <w:r>
              <w:rPr>
                <w:rFonts w:ascii="Arial"/>
                <w:sz w:val="22"/>
              </w:rPr>
              <w:t>208,004,545</w:t>
            </w:r>
          </w:p>
        </w:tc>
      </w:tr>
      <w:tr>
        <w:trPr>
          <w:trHeight w:val="283" w:hRule="exact"/>
        </w:trPr>
        <w:tc>
          <w:tcPr>
            <w:tcW w:w="1570"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1433" w:type="dxa"/>
            <w:tcBorders>
              <w:top w:val="nil" w:sz="6" w:space="0" w:color="auto"/>
              <w:left w:val="nil" w:sz="6" w:space="0" w:color="auto"/>
              <w:bottom w:val="nil" w:sz="6" w:space="0" w:color="auto"/>
              <w:right w:val="nil" w:sz="6" w:space="0" w:color="auto"/>
            </w:tcBorders>
          </w:tcPr>
          <w:p>
            <w:pPr/>
          </w:p>
        </w:tc>
        <w:tc>
          <w:tcPr>
            <w:tcW w:w="2246" w:type="dxa"/>
            <w:tcBorders>
              <w:top w:val="nil" w:sz="6" w:space="0" w:color="auto"/>
              <w:left w:val="nil" w:sz="6" w:space="0" w:color="auto"/>
              <w:bottom w:val="single" w:sz="6" w:space="0" w:color="000000"/>
              <w:right w:val="nil" w:sz="6" w:space="0" w:color="auto"/>
            </w:tcBorders>
          </w:tcPr>
          <w:p>
            <w:pPr>
              <w:pStyle w:val="TableParagraph"/>
              <w:spacing w:line="240" w:lineRule="auto" w:before="21"/>
              <w:ind w:right="372"/>
              <w:jc w:val="right"/>
              <w:rPr>
                <w:rFonts w:ascii="Arial" w:hAnsi="Arial" w:cs="Arial" w:eastAsia="Arial" w:hint="default"/>
                <w:sz w:val="22"/>
                <w:szCs w:val="22"/>
              </w:rPr>
            </w:pPr>
            <w:r>
              <w:rPr>
                <w:rFonts w:ascii="Arial"/>
                <w:sz w:val="22"/>
              </w:rPr>
              <w:t>352,935,807</w:t>
            </w:r>
          </w:p>
        </w:tc>
        <w:tc>
          <w:tcPr>
            <w:tcW w:w="1697" w:type="dxa"/>
            <w:tcBorders>
              <w:top w:val="nil" w:sz="6" w:space="0" w:color="auto"/>
              <w:left w:val="nil" w:sz="6" w:space="0" w:color="auto"/>
              <w:bottom w:val="single" w:sz="6" w:space="0" w:color="000000"/>
              <w:right w:val="nil" w:sz="6" w:space="0" w:color="auto"/>
            </w:tcBorders>
          </w:tcPr>
          <w:p>
            <w:pPr>
              <w:pStyle w:val="TableParagraph"/>
              <w:spacing w:line="240" w:lineRule="auto" w:before="21"/>
              <w:ind w:left="273" w:right="0"/>
              <w:jc w:val="left"/>
              <w:rPr>
                <w:rFonts w:ascii="Arial" w:hAnsi="Arial" w:cs="Arial" w:eastAsia="Arial" w:hint="default"/>
                <w:sz w:val="22"/>
                <w:szCs w:val="22"/>
              </w:rPr>
            </w:pPr>
            <w:r>
              <w:rPr>
                <w:rFonts w:ascii="Arial"/>
                <w:sz w:val="22"/>
              </w:rPr>
              <w:t>380,209,172</w:t>
            </w:r>
          </w:p>
        </w:tc>
        <w:tc>
          <w:tcPr>
            <w:tcW w:w="2134" w:type="dxa"/>
            <w:tcBorders>
              <w:top w:val="nil" w:sz="6" w:space="0" w:color="auto"/>
              <w:left w:val="nil" w:sz="6" w:space="0" w:color="auto"/>
              <w:bottom w:val="single" w:sz="6" w:space="0" w:color="000000"/>
              <w:right w:val="nil" w:sz="6" w:space="0" w:color="auto"/>
            </w:tcBorders>
          </w:tcPr>
          <w:p>
            <w:pPr>
              <w:pStyle w:val="TableParagraph"/>
              <w:spacing w:line="240" w:lineRule="auto" w:before="21"/>
              <w:ind w:right="108"/>
              <w:jc w:val="right"/>
              <w:rPr>
                <w:rFonts w:ascii="Arial" w:hAnsi="Arial" w:cs="Arial" w:eastAsia="Arial" w:hint="default"/>
                <w:sz w:val="22"/>
                <w:szCs w:val="22"/>
              </w:rPr>
            </w:pPr>
            <w:r>
              <w:rPr>
                <w:rFonts w:ascii="Arial"/>
                <w:sz w:val="22"/>
              </w:rPr>
              <w:t>352,935,807</w:t>
            </w:r>
          </w:p>
        </w:tc>
      </w:tr>
      <w:tr>
        <w:trPr>
          <w:trHeight w:val="566" w:hRule="exact"/>
        </w:trPr>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1433" w:type="dxa"/>
            <w:tcBorders>
              <w:top w:val="nil" w:sz="6" w:space="0" w:color="auto"/>
              <w:left w:val="nil" w:sz="6" w:space="0" w:color="auto"/>
              <w:bottom w:val="nil" w:sz="6" w:space="0" w:color="auto"/>
              <w:right w:val="nil" w:sz="6" w:space="0" w:color="auto"/>
            </w:tcBorders>
          </w:tcPr>
          <w:p>
            <w:pPr/>
          </w:p>
        </w:tc>
        <w:tc>
          <w:tcPr>
            <w:tcW w:w="2246" w:type="dxa"/>
            <w:tcBorders>
              <w:top w:val="single" w:sz="6" w:space="0" w:color="000000"/>
              <w:left w:val="nil" w:sz="6" w:space="0" w:color="auto"/>
              <w:bottom w:val="single" w:sz="17"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372"/>
              <w:jc w:val="right"/>
              <w:rPr>
                <w:rFonts w:ascii="Arial" w:hAnsi="Arial" w:cs="Arial" w:eastAsia="Arial" w:hint="default"/>
                <w:sz w:val="22"/>
                <w:szCs w:val="22"/>
              </w:rPr>
            </w:pPr>
            <w:r>
              <w:rPr>
                <w:rFonts w:ascii="Arial"/>
                <w:sz w:val="22"/>
              </w:rPr>
              <w:t>818,549,639</w:t>
            </w:r>
          </w:p>
        </w:tc>
        <w:tc>
          <w:tcPr>
            <w:tcW w:w="1697" w:type="dxa"/>
            <w:tcBorders>
              <w:top w:val="single" w:sz="6" w:space="0" w:color="000000"/>
              <w:left w:val="nil" w:sz="6" w:space="0" w:color="auto"/>
              <w:bottom w:val="single" w:sz="17"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273" w:right="0"/>
              <w:jc w:val="left"/>
              <w:rPr>
                <w:rFonts w:ascii="Arial" w:hAnsi="Arial" w:cs="Arial" w:eastAsia="Arial" w:hint="default"/>
                <w:sz w:val="22"/>
                <w:szCs w:val="22"/>
              </w:rPr>
            </w:pPr>
            <w:r>
              <w:rPr>
                <w:rFonts w:ascii="Arial"/>
                <w:sz w:val="22"/>
              </w:rPr>
              <w:t>746,105,117</w:t>
            </w:r>
          </w:p>
        </w:tc>
        <w:tc>
          <w:tcPr>
            <w:tcW w:w="2134" w:type="dxa"/>
            <w:tcBorders>
              <w:top w:val="single" w:sz="6" w:space="0" w:color="000000"/>
              <w:left w:val="nil" w:sz="6" w:space="0" w:color="auto"/>
              <w:bottom w:val="single" w:sz="17"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8"/>
              <w:jc w:val="right"/>
              <w:rPr>
                <w:rFonts w:ascii="Arial" w:hAnsi="Arial" w:cs="Arial" w:eastAsia="Arial" w:hint="default"/>
                <w:sz w:val="22"/>
                <w:szCs w:val="22"/>
              </w:rPr>
            </w:pPr>
            <w:r>
              <w:rPr>
                <w:rFonts w:ascii="Arial"/>
                <w:sz w:val="22"/>
              </w:rPr>
              <w:t>818,549,639</w:t>
            </w:r>
          </w:p>
        </w:tc>
      </w:tr>
    </w:tbl>
    <w:p>
      <w:pPr>
        <w:spacing w:line="240" w:lineRule="auto" w:before="2"/>
        <w:rPr>
          <w:rFonts w:ascii="宋体" w:hAnsi="宋体" w:cs="宋体" w:eastAsia="宋体" w:hint="default"/>
          <w:sz w:val="14"/>
          <w:szCs w:val="14"/>
        </w:rPr>
      </w:pPr>
    </w:p>
    <w:p>
      <w:pPr>
        <w:pStyle w:val="BodyText"/>
        <w:spacing w:line="240" w:lineRule="auto" w:before="32"/>
        <w:ind w:left="141" w:right="0"/>
        <w:jc w:val="left"/>
      </w:pPr>
      <w:r>
        <w:rPr>
          <w:rFonts w:ascii="Arial" w:hAnsi="Arial" w:cs="Arial" w:eastAsia="Arial" w:hint="default"/>
        </w:rPr>
        <w:t>(b) </w:t>
      </w:r>
      <w:r>
        <w:rPr>
          <w:rFonts w:ascii="Arial" w:hAnsi="Arial" w:cs="Arial" w:eastAsia="Arial" w:hint="default"/>
          <w:spacing w:val="58"/>
        </w:rPr>
        <w:t> </w:t>
      </w:r>
      <w:r>
        <w:rPr/>
        <w:t>营业外支出</w:t>
      </w:r>
    </w:p>
    <w:p>
      <w:pPr>
        <w:spacing w:line="240" w:lineRule="auto" w:before="0"/>
        <w:rPr>
          <w:rFonts w:ascii="宋体" w:hAnsi="宋体" w:cs="宋体" w:eastAsia="宋体" w:hint="default"/>
          <w:sz w:val="23"/>
          <w:szCs w:val="23"/>
        </w:rPr>
      </w:pPr>
    </w:p>
    <w:tbl>
      <w:tblPr>
        <w:tblW w:w="0" w:type="auto"/>
        <w:jc w:val="left"/>
        <w:tblInd w:w="364" w:type="dxa"/>
        <w:tblLayout w:type="fixed"/>
        <w:tblCellMar>
          <w:top w:w="0" w:type="dxa"/>
          <w:left w:w="0" w:type="dxa"/>
          <w:bottom w:w="0" w:type="dxa"/>
          <w:right w:w="0" w:type="dxa"/>
        </w:tblCellMar>
        <w:tblLook w:val="01E0"/>
      </w:tblPr>
      <w:tblGrid>
        <w:gridCol w:w="2955"/>
        <w:gridCol w:w="2213"/>
        <w:gridCol w:w="1798"/>
        <w:gridCol w:w="2148"/>
      </w:tblGrid>
      <w:tr>
        <w:trPr>
          <w:trHeight w:val="547" w:hRule="exact"/>
        </w:trPr>
        <w:tc>
          <w:tcPr>
            <w:tcW w:w="2955"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1257"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1798" w:type="dxa"/>
            <w:tcBorders>
              <w:top w:val="nil" w:sz="6" w:space="0" w:color="auto"/>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887"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2148" w:type="dxa"/>
            <w:tcBorders>
              <w:top w:val="nil" w:sz="6" w:space="0" w:color="auto"/>
              <w:left w:val="nil" w:sz="6" w:space="0" w:color="auto"/>
              <w:bottom w:val="single" w:sz="6" w:space="0" w:color="000000"/>
              <w:right w:val="nil" w:sz="6" w:space="0" w:color="auto"/>
            </w:tcBorders>
          </w:tcPr>
          <w:p>
            <w:pPr>
              <w:pStyle w:val="TableParagraph"/>
              <w:spacing w:line="229" w:lineRule="exact"/>
              <w:ind w:left="141" w:right="0" w:firstLine="787"/>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2"/>
                <w:sz w:val="22"/>
                <w:szCs w:val="22"/>
              </w:rPr>
              <w:t> </w:t>
            </w:r>
            <w:r>
              <w:rPr>
                <w:rFonts w:ascii="宋体" w:hAnsi="宋体" w:cs="宋体" w:eastAsia="宋体" w:hint="default"/>
                <w:sz w:val="22"/>
                <w:szCs w:val="22"/>
              </w:rPr>
              <w:t>年计入</w:t>
            </w:r>
          </w:p>
          <w:p>
            <w:pPr>
              <w:pStyle w:val="TableParagraph"/>
              <w:spacing w:line="280" w:lineRule="exact"/>
              <w:ind w:left="141" w:right="0"/>
              <w:jc w:val="left"/>
              <w:rPr>
                <w:rFonts w:ascii="宋体" w:hAnsi="宋体" w:cs="宋体" w:eastAsia="宋体" w:hint="default"/>
                <w:sz w:val="22"/>
                <w:szCs w:val="22"/>
              </w:rPr>
            </w:pPr>
            <w:r>
              <w:rPr>
                <w:rFonts w:ascii="宋体" w:hAnsi="宋体" w:cs="宋体" w:eastAsia="宋体" w:hint="default"/>
                <w:sz w:val="22"/>
                <w:szCs w:val="22"/>
              </w:rPr>
              <w:t>非经常性损益的金额</w:t>
            </w:r>
          </w:p>
        </w:tc>
      </w:tr>
      <w:tr>
        <w:trPr>
          <w:trHeight w:val="557" w:hRule="exact"/>
        </w:trPr>
        <w:tc>
          <w:tcPr>
            <w:tcW w:w="295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违约赔偿支出</w:t>
            </w:r>
          </w:p>
        </w:tc>
        <w:tc>
          <w:tcPr>
            <w:tcW w:w="2213"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671" w:right="0"/>
              <w:jc w:val="left"/>
              <w:rPr>
                <w:rFonts w:ascii="Arial" w:hAnsi="Arial" w:cs="Arial" w:eastAsia="Arial" w:hint="default"/>
                <w:sz w:val="22"/>
                <w:szCs w:val="22"/>
              </w:rPr>
            </w:pPr>
            <w:r>
              <w:rPr>
                <w:rFonts w:ascii="Arial"/>
                <w:sz w:val="22"/>
              </w:rPr>
              <w:t>(34,809,941)</w:t>
            </w:r>
          </w:p>
        </w:tc>
        <w:tc>
          <w:tcPr>
            <w:tcW w:w="1798"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87" w:right="0"/>
              <w:jc w:val="left"/>
              <w:rPr>
                <w:rFonts w:ascii="Arial" w:hAnsi="Arial" w:cs="Arial" w:eastAsia="Arial" w:hint="default"/>
                <w:sz w:val="22"/>
                <w:szCs w:val="22"/>
              </w:rPr>
            </w:pPr>
            <w:r>
              <w:rPr>
                <w:rFonts w:ascii="Arial"/>
                <w:sz w:val="22"/>
              </w:rPr>
              <w:t>(111,217,592)</w:t>
            </w:r>
          </w:p>
        </w:tc>
        <w:tc>
          <w:tcPr>
            <w:tcW w:w="2148"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6"/>
              <w:jc w:val="right"/>
              <w:rPr>
                <w:rFonts w:ascii="Arial" w:hAnsi="Arial" w:cs="Arial" w:eastAsia="Arial" w:hint="default"/>
                <w:sz w:val="22"/>
                <w:szCs w:val="22"/>
              </w:rPr>
            </w:pPr>
            <w:r>
              <w:rPr>
                <w:rFonts w:ascii="Arial"/>
                <w:sz w:val="22"/>
              </w:rPr>
              <w:t>(34,809,941)</w:t>
            </w:r>
          </w:p>
        </w:tc>
      </w:tr>
      <w:tr>
        <w:trPr>
          <w:trHeight w:val="288" w:hRule="exact"/>
        </w:trPr>
        <w:tc>
          <w:tcPr>
            <w:tcW w:w="2955"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捐赠支出</w:t>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21"/>
              <w:ind w:left="796" w:right="0"/>
              <w:jc w:val="left"/>
              <w:rPr>
                <w:rFonts w:ascii="Arial" w:hAnsi="Arial" w:cs="Arial" w:eastAsia="Arial" w:hint="default"/>
                <w:sz w:val="22"/>
                <w:szCs w:val="22"/>
              </w:rPr>
            </w:pPr>
            <w:r>
              <w:rPr>
                <w:rFonts w:ascii="Arial"/>
                <w:sz w:val="22"/>
              </w:rPr>
              <w:t>(1,756,844)</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431" w:right="0"/>
              <w:jc w:val="left"/>
              <w:rPr>
                <w:rFonts w:ascii="Arial" w:hAnsi="Arial" w:cs="Arial" w:eastAsia="Arial" w:hint="default"/>
                <w:sz w:val="22"/>
                <w:szCs w:val="22"/>
              </w:rPr>
            </w:pPr>
            <w:r>
              <w:rPr>
                <w:rFonts w:ascii="Arial"/>
                <w:sz w:val="22"/>
              </w:rPr>
              <w:t>(1,621,530)</w:t>
            </w:r>
          </w:p>
        </w:tc>
        <w:tc>
          <w:tcPr>
            <w:tcW w:w="214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Arial" w:hAnsi="Arial" w:cs="Arial" w:eastAsia="Arial" w:hint="default"/>
                <w:sz w:val="22"/>
                <w:szCs w:val="22"/>
              </w:rPr>
            </w:pPr>
            <w:r>
              <w:rPr>
                <w:rFonts w:ascii="Arial"/>
                <w:spacing w:val="-1"/>
                <w:sz w:val="22"/>
              </w:rPr>
              <w:t>(1,756,844)</w:t>
            </w:r>
          </w:p>
        </w:tc>
      </w:tr>
      <w:tr>
        <w:trPr>
          <w:trHeight w:val="283" w:hRule="exact"/>
        </w:trPr>
        <w:tc>
          <w:tcPr>
            <w:tcW w:w="2955"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非流动资产毁损报废</w:t>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671" w:right="0"/>
              <w:jc w:val="left"/>
              <w:rPr>
                <w:rFonts w:ascii="Arial" w:hAnsi="Arial" w:cs="Arial" w:eastAsia="Arial" w:hint="default"/>
                <w:sz w:val="22"/>
                <w:szCs w:val="22"/>
              </w:rPr>
            </w:pPr>
            <w:r>
              <w:rPr>
                <w:rFonts w:ascii="Arial"/>
                <w:sz w:val="22"/>
              </w:rPr>
              <w:t>(61,124,202)</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87" w:right="0"/>
              <w:jc w:val="left"/>
              <w:rPr>
                <w:rFonts w:ascii="Arial" w:hAnsi="Arial" w:cs="Arial" w:eastAsia="Arial" w:hint="default"/>
                <w:sz w:val="22"/>
                <w:szCs w:val="22"/>
              </w:rPr>
            </w:pPr>
            <w:r>
              <w:rPr>
                <w:rFonts w:ascii="Arial"/>
                <w:sz w:val="22"/>
              </w:rPr>
              <w:t>(224,552,456)</w:t>
            </w:r>
          </w:p>
        </w:tc>
        <w:tc>
          <w:tcPr>
            <w:tcW w:w="214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6"/>
              <w:jc w:val="right"/>
              <w:rPr>
                <w:rFonts w:ascii="Arial" w:hAnsi="Arial" w:cs="Arial" w:eastAsia="Arial" w:hint="default"/>
                <w:sz w:val="22"/>
                <w:szCs w:val="22"/>
              </w:rPr>
            </w:pPr>
            <w:r>
              <w:rPr>
                <w:rFonts w:ascii="Arial"/>
                <w:sz w:val="22"/>
              </w:rPr>
              <w:t>(61,124,202)</w:t>
            </w:r>
          </w:p>
        </w:tc>
      </w:tr>
      <w:tr>
        <w:trPr>
          <w:trHeight w:val="420" w:hRule="exact"/>
        </w:trPr>
        <w:tc>
          <w:tcPr>
            <w:tcW w:w="2955"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213" w:type="dxa"/>
            <w:tcBorders>
              <w:top w:val="nil" w:sz="6" w:space="0" w:color="auto"/>
              <w:left w:val="nil" w:sz="6" w:space="0" w:color="auto"/>
              <w:bottom w:val="nil" w:sz="6" w:space="0" w:color="auto"/>
              <w:right w:val="nil" w:sz="6" w:space="0" w:color="auto"/>
            </w:tcBorders>
          </w:tcPr>
          <w:p>
            <w:pPr>
              <w:pStyle w:val="TableParagraph"/>
              <w:tabs>
                <w:tab w:pos="551" w:val="left" w:leader="none"/>
                <w:tab w:pos="2399" w:val="left" w:leader="none"/>
              </w:tabs>
              <w:spacing w:line="240" w:lineRule="auto" w:before="21"/>
              <w:ind w:right="-188"/>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(128,828,061) </w:t>
            </w:r>
            <w:r>
              <w:rPr>
                <w:rFonts w:ascii="Arial"/>
                <w:spacing w:val="-9"/>
                <w:sz w:val="22"/>
                <w:u w:val="single" w:color="000000"/>
              </w:rPr>
              <w:t> </w:t>
            </w:r>
            <w:r>
              <w:rPr>
                <w:rFonts w:ascii="Arial"/>
                <w:spacing w:val="-9"/>
                <w:sz w:val="22"/>
              </w:rPr>
            </w:r>
            <w:r>
              <w:rPr>
                <w:rFonts w:ascii="Arial"/>
                <w:spacing w:val="6"/>
                <w:sz w:val="22"/>
              </w:rPr>
              <w:t> </w:t>
            </w:r>
            <w:r>
              <w:rPr>
                <w:rFonts w:ascii="Arial"/>
                <w:spacing w:val="6"/>
                <w:w w:val="100"/>
                <w:sz w:val="22"/>
              </w:rPr>
            </w:r>
            <w:r>
              <w:rPr>
                <w:rFonts w:ascii="Arial"/>
                <w:w w:val="100"/>
                <w:sz w:val="22"/>
                <w:u w:val="single" w:color="000000"/>
              </w:rPr>
              <w:t> </w:t>
            </w:r>
            <w:r>
              <w:rPr>
                <w:rFonts w:ascii="Arial"/>
                <w:sz w:val="22"/>
                <w:u w:val="single" w:color="000000"/>
              </w:rPr>
              <w:tab/>
            </w:r>
            <w:r>
              <w:rPr>
                <w:rFonts w:ascii="Arial"/>
                <w:sz w:val="22"/>
              </w:rPr>
            </w:r>
          </w:p>
        </w:tc>
        <w:tc>
          <w:tcPr>
            <w:tcW w:w="1798" w:type="dxa"/>
            <w:tcBorders>
              <w:top w:val="nil" w:sz="6" w:space="0" w:color="auto"/>
              <w:left w:val="nil" w:sz="6" w:space="0" w:color="auto"/>
              <w:bottom w:val="nil" w:sz="6" w:space="0" w:color="auto"/>
              <w:right w:val="nil" w:sz="6" w:space="0" w:color="auto"/>
            </w:tcBorders>
          </w:tcPr>
          <w:p>
            <w:pPr>
              <w:pStyle w:val="TableParagraph"/>
              <w:tabs>
                <w:tab w:pos="2462" w:val="left" w:leader="none"/>
              </w:tabs>
              <w:spacing w:line="240" w:lineRule="auto" w:before="21"/>
              <w:ind w:left="187" w:right="-665"/>
              <w:jc w:val="left"/>
              <w:rPr>
                <w:rFonts w:ascii="Arial" w:hAnsi="Arial" w:cs="Arial" w:eastAsia="Arial" w:hint="default"/>
                <w:sz w:val="22"/>
                <w:szCs w:val="22"/>
              </w:rPr>
            </w:pPr>
            <w:r>
              <w:rPr>
                <w:rFonts w:ascii="Arial"/>
                <w:w w:val="100"/>
                <w:sz w:val="22"/>
              </w:rPr>
            </w:r>
            <w:r>
              <w:rPr>
                <w:rFonts w:ascii="Arial"/>
                <w:sz w:val="22"/>
                <w:u w:val="single" w:color="000000"/>
              </w:rPr>
              <w:t>(254,701,511)</w:t>
              <w:tab/>
            </w:r>
            <w:r>
              <w:rPr>
                <w:rFonts w:ascii="Arial"/>
                <w:sz w:val="22"/>
              </w:rPr>
            </w:r>
          </w:p>
        </w:tc>
        <w:tc>
          <w:tcPr>
            <w:tcW w:w="2148" w:type="dxa"/>
            <w:tcBorders>
              <w:top w:val="nil" w:sz="6" w:space="0" w:color="auto"/>
              <w:left w:val="nil" w:sz="6" w:space="0" w:color="auto"/>
              <w:bottom w:val="nil" w:sz="6" w:space="0" w:color="auto"/>
              <w:right w:val="nil" w:sz="6" w:space="0" w:color="auto"/>
            </w:tcBorders>
          </w:tcPr>
          <w:p>
            <w:pPr>
              <w:pStyle w:val="TableParagraph"/>
              <w:tabs>
                <w:tab w:pos="1483"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spacing w:val="-1"/>
                <w:sz w:val="22"/>
                <w:u w:val="single" w:color="000000"/>
              </w:rPr>
              <w:t>(128,828,061)</w:t>
              <w:tab/>
            </w:r>
            <w:r>
              <w:rPr>
                <w:rFonts w:ascii="Arial"/>
                <w:spacing w:val="-1"/>
                <w:sz w:val="22"/>
              </w:rPr>
            </w:r>
          </w:p>
        </w:tc>
      </w:tr>
      <w:tr>
        <w:trPr>
          <w:trHeight w:val="429" w:hRule="exact"/>
        </w:trPr>
        <w:tc>
          <w:tcPr>
            <w:tcW w:w="295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213" w:type="dxa"/>
            <w:tcBorders>
              <w:top w:val="nil" w:sz="6" w:space="0" w:color="auto"/>
              <w:left w:val="nil" w:sz="6" w:space="0" w:color="auto"/>
              <w:bottom w:val="single" w:sz="17" w:space="0" w:color="000000"/>
              <w:right w:val="nil" w:sz="6" w:space="0" w:color="auto"/>
            </w:tcBorders>
          </w:tcPr>
          <w:p>
            <w:pPr>
              <w:pStyle w:val="TableParagraph"/>
              <w:spacing w:line="240" w:lineRule="auto" w:before="153"/>
              <w:ind w:left="551" w:right="0"/>
              <w:jc w:val="left"/>
              <w:rPr>
                <w:rFonts w:ascii="Arial" w:hAnsi="Arial" w:cs="Arial" w:eastAsia="Arial" w:hint="default"/>
                <w:sz w:val="22"/>
                <w:szCs w:val="22"/>
              </w:rPr>
            </w:pPr>
            <w:r>
              <w:rPr>
                <w:rFonts w:ascii="Arial"/>
                <w:sz w:val="22"/>
              </w:rPr>
              <w:t>(226,519,048)</w:t>
            </w:r>
          </w:p>
        </w:tc>
        <w:tc>
          <w:tcPr>
            <w:tcW w:w="1798" w:type="dxa"/>
            <w:tcBorders>
              <w:top w:val="nil" w:sz="6" w:space="0" w:color="auto"/>
              <w:left w:val="nil" w:sz="6" w:space="0" w:color="auto"/>
              <w:bottom w:val="single" w:sz="17" w:space="0" w:color="000000"/>
              <w:right w:val="nil" w:sz="6" w:space="0" w:color="auto"/>
            </w:tcBorders>
          </w:tcPr>
          <w:p>
            <w:pPr>
              <w:pStyle w:val="TableParagraph"/>
              <w:spacing w:line="240" w:lineRule="auto" w:before="153"/>
              <w:ind w:left="187" w:right="0"/>
              <w:jc w:val="left"/>
              <w:rPr>
                <w:rFonts w:ascii="Arial" w:hAnsi="Arial" w:cs="Arial" w:eastAsia="Arial" w:hint="default"/>
                <w:sz w:val="22"/>
                <w:szCs w:val="22"/>
              </w:rPr>
            </w:pPr>
            <w:r>
              <w:rPr>
                <w:rFonts w:ascii="Arial"/>
                <w:sz w:val="22"/>
              </w:rPr>
              <w:t>(592,093,089)</w:t>
            </w:r>
          </w:p>
        </w:tc>
        <w:tc>
          <w:tcPr>
            <w:tcW w:w="2148" w:type="dxa"/>
            <w:tcBorders>
              <w:top w:val="nil" w:sz="6" w:space="0" w:color="auto"/>
              <w:left w:val="nil" w:sz="6" w:space="0" w:color="auto"/>
              <w:bottom w:val="single" w:sz="17" w:space="0" w:color="000000"/>
              <w:right w:val="nil" w:sz="6" w:space="0" w:color="auto"/>
            </w:tcBorders>
          </w:tcPr>
          <w:p>
            <w:pPr>
              <w:pStyle w:val="TableParagraph"/>
              <w:spacing w:line="240" w:lineRule="auto" w:before="153"/>
              <w:ind w:right="106"/>
              <w:jc w:val="right"/>
              <w:rPr>
                <w:rFonts w:ascii="Arial" w:hAnsi="Arial" w:cs="Arial" w:eastAsia="Arial" w:hint="default"/>
                <w:sz w:val="22"/>
                <w:szCs w:val="22"/>
              </w:rPr>
            </w:pPr>
            <w:r>
              <w:rPr>
                <w:rFonts w:ascii="Arial"/>
                <w:spacing w:val="-1"/>
                <w:sz w:val="22"/>
              </w:rPr>
              <w:t>(226,519,048)</w:t>
            </w:r>
          </w:p>
        </w:tc>
      </w:tr>
    </w:tbl>
    <w:p>
      <w:pPr>
        <w:spacing w:after="0" w:line="240" w:lineRule="auto"/>
        <w:jc w:val="right"/>
        <w:rPr>
          <w:rFonts w:ascii="Arial" w:hAnsi="Arial" w:cs="Arial" w:eastAsia="Arial" w:hint="default"/>
          <w:sz w:val="22"/>
          <w:szCs w:val="22"/>
        </w:rPr>
        <w:sectPr>
          <w:headerReference w:type="default" r:id="rId198"/>
          <w:pgSz w:w="11910" w:h="16840"/>
          <w:pgMar w:header="1188" w:footer="502" w:top="3040" w:bottom="700" w:left="1020" w:right="1300"/>
        </w:sectPr>
      </w:pPr>
    </w:p>
    <w:p>
      <w:pPr>
        <w:spacing w:line="240" w:lineRule="auto" w:before="7"/>
        <w:rPr>
          <w:rFonts w:ascii="宋体" w:hAnsi="宋体" w:cs="宋体" w:eastAsia="宋体" w:hint="default"/>
          <w:sz w:val="16"/>
          <w:szCs w:val="16"/>
        </w:rPr>
      </w:pPr>
    </w:p>
    <w:p>
      <w:pPr>
        <w:pStyle w:val="BodyText"/>
        <w:spacing w:line="240" w:lineRule="auto" w:before="32"/>
        <w:ind w:left="112" w:right="102"/>
        <w:jc w:val="left"/>
      </w:pPr>
      <w:r>
        <w:rPr>
          <w:rFonts w:ascii="Arial" w:hAnsi="Arial" w:cs="Arial" w:eastAsia="Arial" w:hint="default"/>
        </w:rPr>
        <w:t>49</w:t>
      </w:r>
      <w:r>
        <w:rPr/>
        <w:t>、所得税</w:t>
      </w:r>
    </w:p>
    <w:p>
      <w:pPr>
        <w:spacing w:line="240" w:lineRule="auto" w:before="8"/>
        <w:rPr>
          <w:rFonts w:ascii="宋体" w:hAnsi="宋体" w:cs="宋体" w:eastAsia="宋体" w:hint="default"/>
          <w:sz w:val="21"/>
          <w:szCs w:val="21"/>
        </w:rPr>
      </w:pPr>
    </w:p>
    <w:tbl>
      <w:tblPr>
        <w:tblW w:w="0" w:type="auto"/>
        <w:jc w:val="left"/>
        <w:tblInd w:w="253" w:type="dxa"/>
        <w:tblLayout w:type="fixed"/>
        <w:tblCellMar>
          <w:top w:w="0" w:type="dxa"/>
          <w:left w:w="0" w:type="dxa"/>
          <w:bottom w:w="0" w:type="dxa"/>
          <w:right w:w="0" w:type="dxa"/>
        </w:tblCellMar>
        <w:tblLook w:val="01E0"/>
      </w:tblPr>
      <w:tblGrid>
        <w:gridCol w:w="3222"/>
        <w:gridCol w:w="1534"/>
        <w:gridCol w:w="2496"/>
        <w:gridCol w:w="134"/>
        <w:gridCol w:w="1997"/>
      </w:tblGrid>
      <w:tr>
        <w:trPr>
          <w:trHeight w:val="257" w:hRule="exact"/>
        </w:trPr>
        <w:tc>
          <w:tcPr>
            <w:tcW w:w="3222"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nil" w:sz="6" w:space="0" w:color="auto"/>
            </w:tcBorders>
          </w:tcPr>
          <w:p>
            <w:pPr/>
          </w:p>
        </w:tc>
        <w:tc>
          <w:tcPr>
            <w:tcW w:w="2496" w:type="dxa"/>
            <w:tcBorders>
              <w:top w:val="nil" w:sz="6" w:space="0" w:color="auto"/>
              <w:left w:val="nil" w:sz="6" w:space="0" w:color="auto"/>
              <w:bottom w:val="single" w:sz="4" w:space="0" w:color="000000"/>
              <w:right w:val="nil" w:sz="6" w:space="0" w:color="auto"/>
            </w:tcBorders>
          </w:tcPr>
          <w:p>
            <w:pPr>
              <w:pStyle w:val="TableParagraph"/>
              <w:spacing w:line="236" w:lineRule="exact"/>
              <w:ind w:right="50"/>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134" w:type="dxa"/>
            <w:tcBorders>
              <w:top w:val="nil" w:sz="6" w:space="0" w:color="auto"/>
              <w:left w:val="nil" w:sz="6" w:space="0" w:color="auto"/>
              <w:bottom w:val="nil" w:sz="6" w:space="0" w:color="auto"/>
              <w:right w:val="nil" w:sz="6" w:space="0" w:color="auto"/>
            </w:tcBorders>
          </w:tcPr>
          <w:p>
            <w:pPr/>
          </w:p>
        </w:tc>
        <w:tc>
          <w:tcPr>
            <w:tcW w:w="1997" w:type="dxa"/>
            <w:tcBorders>
              <w:top w:val="nil" w:sz="6" w:space="0" w:color="auto"/>
              <w:left w:val="nil" w:sz="6" w:space="0" w:color="auto"/>
              <w:bottom w:val="single" w:sz="4" w:space="0" w:color="000000"/>
              <w:right w:val="nil" w:sz="6" w:space="0" w:color="auto"/>
            </w:tcBorders>
          </w:tcPr>
          <w:p>
            <w:pPr>
              <w:pStyle w:val="TableParagraph"/>
              <w:spacing w:line="236" w:lineRule="exact"/>
              <w:ind w:right="0"/>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pacing w:val="-5"/>
                <w:sz w:val="22"/>
                <w:szCs w:val="22"/>
              </w:rPr>
              <w:t>年</w:t>
            </w:r>
            <w:r>
              <w:rPr>
                <w:rFonts w:ascii="宋体" w:hAnsi="宋体" w:cs="宋体" w:eastAsia="宋体" w:hint="default"/>
                <w:sz w:val="22"/>
                <w:szCs w:val="22"/>
              </w:rPr>
              <w:t> </w:t>
            </w:r>
          </w:p>
        </w:tc>
      </w:tr>
      <w:tr>
        <w:trPr>
          <w:trHeight w:val="573" w:hRule="exact"/>
        </w:trPr>
        <w:tc>
          <w:tcPr>
            <w:tcW w:w="322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当期所得税</w:t>
            </w:r>
            <w:r>
              <w:rPr>
                <w:rFonts w:ascii="宋体" w:hAnsi="宋体" w:cs="宋体" w:eastAsia="宋体" w:hint="default"/>
                <w:spacing w:val="-5"/>
                <w:sz w:val="22"/>
                <w:szCs w:val="22"/>
              </w:rPr>
              <w:t> </w:t>
            </w:r>
            <w:r>
              <w:rPr>
                <w:rFonts w:ascii="宋体" w:hAnsi="宋体" w:cs="宋体" w:eastAsia="宋体" w:hint="default"/>
                <w:sz w:val="22"/>
                <w:szCs w:val="22"/>
              </w:rPr>
              <w:t> </w:t>
            </w:r>
          </w:p>
        </w:tc>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271"/>
              <w:jc w:val="right"/>
              <w:rPr>
                <w:rFonts w:ascii="宋体" w:hAnsi="宋体" w:cs="宋体" w:eastAsia="宋体" w:hint="default"/>
                <w:sz w:val="22"/>
                <w:szCs w:val="22"/>
              </w:rPr>
            </w:pPr>
            <w:r>
              <w:rPr>
                <w:rFonts w:ascii="宋体"/>
                <w:w w:val="100"/>
                <w:sz w:val="22"/>
              </w:rPr>
              <w:t> </w:t>
            </w:r>
          </w:p>
        </w:tc>
        <w:tc>
          <w:tcPr>
            <w:tcW w:w="2496"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53"/>
              <w:jc w:val="right"/>
              <w:rPr>
                <w:rFonts w:ascii="Arial" w:hAnsi="Arial" w:cs="Arial" w:eastAsia="Arial" w:hint="default"/>
                <w:sz w:val="22"/>
                <w:szCs w:val="22"/>
              </w:rPr>
            </w:pPr>
            <w:r>
              <w:rPr>
                <w:rFonts w:ascii="Arial"/>
                <w:spacing w:val="-1"/>
                <w:sz w:val="22"/>
              </w:rPr>
              <w:t>396,118,890</w:t>
            </w:r>
          </w:p>
        </w:tc>
        <w:tc>
          <w:tcPr>
            <w:tcW w:w="134" w:type="dxa"/>
            <w:tcBorders>
              <w:top w:val="nil" w:sz="6" w:space="0" w:color="auto"/>
              <w:left w:val="nil" w:sz="6" w:space="0" w:color="auto"/>
              <w:bottom w:val="nil" w:sz="6" w:space="0" w:color="auto"/>
              <w:right w:val="nil" w:sz="6" w:space="0" w:color="auto"/>
            </w:tcBorders>
          </w:tcPr>
          <w:p>
            <w:pPr/>
          </w:p>
        </w:tc>
        <w:tc>
          <w:tcPr>
            <w:tcW w:w="1997"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8"/>
              <w:jc w:val="right"/>
              <w:rPr>
                <w:rFonts w:ascii="Arial" w:hAnsi="Arial" w:cs="Arial" w:eastAsia="Arial" w:hint="default"/>
                <w:sz w:val="22"/>
                <w:szCs w:val="22"/>
              </w:rPr>
            </w:pPr>
            <w:r>
              <w:rPr>
                <w:rFonts w:ascii="Arial"/>
                <w:sz w:val="22"/>
              </w:rPr>
              <w:t>565,280,100</w:t>
            </w:r>
          </w:p>
        </w:tc>
      </w:tr>
      <w:tr>
        <w:trPr>
          <w:trHeight w:val="420" w:hRule="exact"/>
        </w:trPr>
        <w:tc>
          <w:tcPr>
            <w:tcW w:w="3222" w:type="dxa"/>
            <w:tcBorders>
              <w:top w:val="nil" w:sz="6" w:space="0" w:color="auto"/>
              <w:left w:val="nil" w:sz="6" w:space="0" w:color="auto"/>
              <w:bottom w:val="nil" w:sz="6" w:space="0" w:color="auto"/>
              <w:right w:val="nil" w:sz="6" w:space="0" w:color="auto"/>
            </w:tcBorders>
          </w:tcPr>
          <w:p>
            <w:pPr>
              <w:pStyle w:val="TableParagraph"/>
              <w:spacing w:line="221" w:lineRule="exact"/>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加：递延所得税</w:t>
            </w:r>
            <w:r>
              <w:rPr>
                <w:rFonts w:ascii="宋体" w:hAnsi="宋体" w:cs="宋体" w:eastAsia="宋体" w:hint="default"/>
                <w:spacing w:val="-5"/>
                <w:sz w:val="22"/>
                <w:szCs w:val="22"/>
              </w:rPr>
              <w:t> </w:t>
            </w:r>
            <w:r>
              <w:rPr>
                <w:rFonts w:ascii="宋体" w:hAnsi="宋体" w:cs="宋体" w:eastAsia="宋体" w:hint="default"/>
                <w:sz w:val="22"/>
                <w:szCs w:val="22"/>
              </w:rPr>
              <w:t> </w:t>
            </w:r>
          </w:p>
        </w:tc>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ind w:right="271"/>
              <w:jc w:val="right"/>
              <w:rPr>
                <w:rFonts w:ascii="宋体" w:hAnsi="宋体" w:cs="宋体" w:eastAsia="宋体" w:hint="default"/>
                <w:sz w:val="22"/>
                <w:szCs w:val="22"/>
              </w:rPr>
            </w:pPr>
            <w:r>
              <w:rPr>
                <w:rFonts w:ascii="宋体"/>
                <w:w w:val="100"/>
                <w:sz w:val="22"/>
              </w:rPr>
              <w:t> </w:t>
            </w:r>
          </w:p>
        </w:tc>
        <w:tc>
          <w:tcPr>
            <w:tcW w:w="2496" w:type="dxa"/>
            <w:tcBorders>
              <w:top w:val="nil" w:sz="6" w:space="0" w:color="auto"/>
              <w:left w:val="nil" w:sz="6" w:space="0" w:color="auto"/>
              <w:bottom w:val="nil" w:sz="6" w:space="0" w:color="auto"/>
              <w:right w:val="nil" w:sz="6" w:space="0" w:color="auto"/>
            </w:tcBorders>
          </w:tcPr>
          <w:p>
            <w:pPr>
              <w:pStyle w:val="TableParagraph"/>
              <w:tabs>
                <w:tab w:pos="1027" w:val="left" w:leader="none"/>
                <w:tab w:pos="2495" w:val="left" w:leader="none"/>
              </w:tabs>
              <w:spacing w:line="240" w:lineRule="auto" w:before="2"/>
              <w:ind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2,374,943,193</w:t>
              <w:tab/>
            </w:r>
            <w:r>
              <w:rPr>
                <w:rFonts w:ascii="Arial"/>
                <w:sz w:val="22"/>
              </w:rPr>
            </w:r>
          </w:p>
        </w:tc>
        <w:tc>
          <w:tcPr>
            <w:tcW w:w="134" w:type="dxa"/>
            <w:tcBorders>
              <w:top w:val="nil" w:sz="6" w:space="0" w:color="auto"/>
              <w:left w:val="nil" w:sz="6" w:space="0" w:color="auto"/>
              <w:bottom w:val="nil" w:sz="6" w:space="0" w:color="auto"/>
              <w:right w:val="nil" w:sz="6" w:space="0" w:color="auto"/>
            </w:tcBorders>
          </w:tcPr>
          <w:p>
            <w:pPr/>
          </w:p>
        </w:tc>
        <w:tc>
          <w:tcPr>
            <w:tcW w:w="1997" w:type="dxa"/>
            <w:tcBorders>
              <w:top w:val="nil" w:sz="6" w:space="0" w:color="auto"/>
              <w:left w:val="nil" w:sz="6" w:space="0" w:color="auto"/>
              <w:bottom w:val="nil" w:sz="6" w:space="0" w:color="auto"/>
              <w:right w:val="nil" w:sz="6" w:space="0" w:color="auto"/>
            </w:tcBorders>
          </w:tcPr>
          <w:p>
            <w:pPr>
              <w:pStyle w:val="TableParagraph"/>
              <w:tabs>
                <w:tab w:pos="475" w:val="left" w:leader="none"/>
                <w:tab w:pos="1943" w:val="left" w:leader="none"/>
              </w:tabs>
              <w:spacing w:line="240" w:lineRule="auto" w:before="2"/>
              <w:ind w:right="5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2,209,418,972</w:t>
              <w:tab/>
            </w:r>
            <w:r>
              <w:rPr>
                <w:rFonts w:ascii="Arial"/>
                <w:spacing w:val="-1"/>
                <w:sz w:val="22"/>
              </w:rPr>
            </w:r>
          </w:p>
        </w:tc>
      </w:tr>
      <w:tr>
        <w:trPr>
          <w:trHeight w:val="415" w:hRule="exact"/>
        </w:trPr>
        <w:tc>
          <w:tcPr>
            <w:tcW w:w="3222" w:type="dxa"/>
            <w:tcBorders>
              <w:top w:val="nil" w:sz="6" w:space="0" w:color="auto"/>
              <w:left w:val="nil" w:sz="6" w:space="0" w:color="auto"/>
              <w:bottom w:val="nil" w:sz="6" w:space="0" w:color="auto"/>
              <w:right w:val="nil" w:sz="6" w:space="0" w:color="auto"/>
            </w:tcBorders>
          </w:tcPr>
          <w:p>
            <w:pPr>
              <w:pStyle w:val="TableParagraph"/>
              <w:spacing w:line="240" w:lineRule="auto" w:before="64"/>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合计</w:t>
            </w:r>
            <w:r>
              <w:rPr>
                <w:rFonts w:ascii="宋体" w:hAnsi="宋体" w:cs="宋体" w:eastAsia="宋体" w:hint="default"/>
                <w:spacing w:val="-5"/>
                <w:sz w:val="22"/>
                <w:szCs w:val="22"/>
              </w:rPr>
              <w:t> </w:t>
            </w:r>
            <w:r>
              <w:rPr>
                <w:rFonts w:ascii="宋体" w:hAnsi="宋体" w:cs="宋体" w:eastAsia="宋体" w:hint="default"/>
                <w:sz w:val="22"/>
                <w:szCs w:val="22"/>
              </w:rPr>
              <w:t> </w:t>
            </w:r>
          </w:p>
        </w:tc>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271"/>
              <w:jc w:val="right"/>
              <w:rPr>
                <w:rFonts w:ascii="宋体" w:hAnsi="宋体" w:cs="宋体" w:eastAsia="宋体" w:hint="default"/>
                <w:sz w:val="22"/>
                <w:szCs w:val="22"/>
              </w:rPr>
            </w:pPr>
            <w:r>
              <w:rPr>
                <w:rFonts w:ascii="宋体"/>
                <w:w w:val="100"/>
                <w:sz w:val="22"/>
              </w:rPr>
              <w:t> </w:t>
            </w:r>
          </w:p>
        </w:tc>
        <w:tc>
          <w:tcPr>
            <w:tcW w:w="2496" w:type="dxa"/>
            <w:tcBorders>
              <w:top w:val="nil" w:sz="6" w:space="0" w:color="auto"/>
              <w:left w:val="nil" w:sz="6" w:space="0" w:color="auto"/>
              <w:bottom w:val="nil" w:sz="6" w:space="0" w:color="auto"/>
              <w:right w:val="nil" w:sz="6" w:space="0" w:color="auto"/>
            </w:tcBorders>
          </w:tcPr>
          <w:p>
            <w:pPr>
              <w:pStyle w:val="TableParagraph"/>
              <w:tabs>
                <w:tab w:pos="1031" w:val="left" w:leader="none"/>
              </w:tabs>
              <w:spacing w:line="240" w:lineRule="auto" w:before="129"/>
              <w:ind w:left="-15" w:right="0"/>
              <w:jc w:val="left"/>
              <w:rPr>
                <w:rFonts w:ascii="Arial" w:hAnsi="Arial" w:cs="Arial" w:eastAsia="Arial" w:hint="default"/>
                <w:sz w:val="22"/>
                <w:szCs w:val="22"/>
              </w:rPr>
            </w:pPr>
            <w:r>
              <w:rPr>
                <w:rFonts w:ascii="Arial"/>
                <w:w w:val="100"/>
                <w:sz w:val="22"/>
              </w:rPr>
            </w:r>
            <w:r>
              <w:rPr>
                <w:rFonts w:ascii="Arial"/>
                <w:w w:val="100"/>
                <w:sz w:val="22"/>
                <w:u w:val="thick" w:color="000000"/>
              </w:rPr>
              <w:t> </w:t>
            </w:r>
            <w:r>
              <w:rPr>
                <w:rFonts w:ascii="Arial"/>
                <w:sz w:val="22"/>
                <w:u w:val="thick" w:color="000000"/>
              </w:rPr>
              <w:tab/>
              <w:t>2,771,062,083</w:t>
            </w:r>
            <w:r>
              <w:rPr>
                <w:rFonts w:ascii="Arial"/>
                <w:sz w:val="22"/>
              </w:rPr>
            </w:r>
          </w:p>
        </w:tc>
        <w:tc>
          <w:tcPr>
            <w:tcW w:w="134" w:type="dxa"/>
            <w:tcBorders>
              <w:top w:val="nil" w:sz="6" w:space="0" w:color="auto"/>
              <w:left w:val="nil" w:sz="6" w:space="0" w:color="auto"/>
              <w:bottom w:val="nil" w:sz="6" w:space="0" w:color="auto"/>
              <w:right w:val="nil" w:sz="6" w:space="0" w:color="auto"/>
            </w:tcBorders>
          </w:tcPr>
          <w:p>
            <w:pPr/>
          </w:p>
        </w:tc>
        <w:tc>
          <w:tcPr>
            <w:tcW w:w="1997" w:type="dxa"/>
            <w:tcBorders>
              <w:top w:val="nil" w:sz="6" w:space="0" w:color="auto"/>
              <w:left w:val="nil" w:sz="6" w:space="0" w:color="auto"/>
              <w:bottom w:val="nil" w:sz="6" w:space="0" w:color="auto"/>
              <w:right w:val="nil" w:sz="6" w:space="0" w:color="auto"/>
            </w:tcBorders>
          </w:tcPr>
          <w:p>
            <w:pPr>
              <w:pStyle w:val="TableParagraph"/>
              <w:tabs>
                <w:tab w:pos="475" w:val="left" w:leader="none"/>
                <w:tab w:pos="1943" w:val="left" w:leader="none"/>
              </w:tabs>
              <w:spacing w:line="240" w:lineRule="auto" w:before="129"/>
              <w:ind w:left="-15" w:right="50"/>
              <w:jc w:val="right"/>
              <w:rPr>
                <w:rFonts w:ascii="Arial" w:hAnsi="Arial" w:cs="Arial" w:eastAsia="Arial" w:hint="default"/>
                <w:sz w:val="22"/>
                <w:szCs w:val="22"/>
              </w:rPr>
            </w:pPr>
            <w:r>
              <w:rPr>
                <w:rFonts w:ascii="Arial"/>
                <w:w w:val="100"/>
                <w:sz w:val="22"/>
              </w:rPr>
            </w:r>
            <w:r>
              <w:rPr>
                <w:rFonts w:ascii="Arial"/>
                <w:w w:val="100"/>
                <w:sz w:val="22"/>
                <w:u w:val="thick" w:color="000000"/>
              </w:rPr>
              <w:t> </w:t>
            </w:r>
            <w:r>
              <w:rPr>
                <w:rFonts w:ascii="Arial"/>
                <w:sz w:val="22"/>
                <w:u w:val="thick" w:color="000000"/>
              </w:rPr>
              <w:tab/>
            </w:r>
            <w:r>
              <w:rPr>
                <w:rFonts w:ascii="Arial"/>
                <w:spacing w:val="-1"/>
                <w:sz w:val="22"/>
                <w:u w:val="thick" w:color="000000"/>
              </w:rPr>
              <w:t>2,774,699,072</w:t>
              <w:tab/>
            </w:r>
            <w:r>
              <w:rPr>
                <w:rFonts w:ascii="Arial"/>
                <w:spacing w:val="-1"/>
                <w:sz w:val="22"/>
              </w:rPr>
            </w:r>
          </w:p>
        </w:tc>
      </w:tr>
    </w:tbl>
    <w:p>
      <w:pPr>
        <w:spacing w:line="240" w:lineRule="auto" w:before="1"/>
        <w:rPr>
          <w:rFonts w:ascii="宋体" w:hAnsi="宋体" w:cs="宋体" w:eastAsia="宋体" w:hint="default"/>
          <w:sz w:val="15"/>
          <w:szCs w:val="15"/>
        </w:rPr>
      </w:pPr>
    </w:p>
    <w:p>
      <w:pPr>
        <w:pStyle w:val="BodyText"/>
        <w:spacing w:line="240" w:lineRule="auto" w:before="32"/>
        <w:ind w:left="112" w:right="102"/>
        <w:jc w:val="left"/>
      </w:pPr>
      <w:r>
        <w:rPr>
          <w:rFonts w:ascii="Arial" w:hAnsi="Arial" w:cs="Arial" w:eastAsia="Arial" w:hint="default"/>
        </w:rPr>
        <w:t>(a) </w:t>
      </w:r>
      <w:r>
        <w:rPr>
          <w:rFonts w:ascii="Arial" w:hAnsi="Arial" w:cs="Arial" w:eastAsia="Arial" w:hint="default"/>
          <w:spacing w:val="58"/>
        </w:rPr>
        <w:t> </w:t>
      </w:r>
      <w:r>
        <w:rPr/>
        <w:t>按法定税率计算之所得税与实际所得税费用调整如下：</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0"/>
          <w:szCs w:val="20"/>
        </w:rPr>
      </w:pPr>
    </w:p>
    <w:tbl>
      <w:tblPr>
        <w:tblW w:w="0" w:type="auto"/>
        <w:jc w:val="left"/>
        <w:tblInd w:w="330" w:type="dxa"/>
        <w:tblLayout w:type="fixed"/>
        <w:tblCellMar>
          <w:top w:w="0" w:type="dxa"/>
          <w:left w:w="0" w:type="dxa"/>
          <w:bottom w:w="0" w:type="dxa"/>
          <w:right w:w="0" w:type="dxa"/>
        </w:tblCellMar>
        <w:tblLook w:val="01E0"/>
      </w:tblPr>
      <w:tblGrid>
        <w:gridCol w:w="4014"/>
        <w:gridCol w:w="679"/>
        <w:gridCol w:w="2462"/>
        <w:gridCol w:w="132"/>
        <w:gridCol w:w="2047"/>
      </w:tblGrid>
      <w:tr>
        <w:trPr>
          <w:trHeight w:val="262" w:hRule="exact"/>
        </w:trPr>
        <w:tc>
          <w:tcPr>
            <w:tcW w:w="4014" w:type="dxa"/>
            <w:tcBorders>
              <w:top w:val="nil" w:sz="6" w:space="0" w:color="auto"/>
              <w:left w:val="nil" w:sz="6" w:space="0" w:color="auto"/>
              <w:bottom w:val="nil" w:sz="6" w:space="0" w:color="auto"/>
              <w:right w:val="nil" w:sz="6" w:space="0" w:color="auto"/>
            </w:tcBorders>
          </w:tcPr>
          <w:p>
            <w:pPr/>
          </w:p>
        </w:tc>
        <w:tc>
          <w:tcPr>
            <w:tcW w:w="679" w:type="dxa"/>
            <w:tcBorders>
              <w:top w:val="nil" w:sz="6" w:space="0" w:color="auto"/>
              <w:left w:val="nil" w:sz="6" w:space="0" w:color="auto"/>
              <w:bottom w:val="nil" w:sz="6" w:space="0" w:color="auto"/>
              <w:right w:val="nil" w:sz="6" w:space="0" w:color="auto"/>
            </w:tcBorders>
          </w:tcPr>
          <w:p>
            <w:pPr>
              <w:pStyle w:val="TableParagraph"/>
              <w:spacing w:line="221" w:lineRule="exact"/>
              <w:ind w:left="11" w:right="0"/>
              <w:jc w:val="center"/>
              <w:rPr>
                <w:rFonts w:ascii="宋体" w:hAnsi="宋体" w:cs="宋体" w:eastAsia="宋体" w:hint="default"/>
                <w:sz w:val="22"/>
                <w:szCs w:val="22"/>
              </w:rPr>
            </w:pPr>
            <w:r>
              <w:rPr>
                <w:rFonts w:ascii="宋体" w:hAnsi="宋体" w:cs="宋体" w:eastAsia="宋体" w:hint="default"/>
                <w:sz w:val="22"/>
                <w:szCs w:val="22"/>
              </w:rPr>
              <w:t>注释</w:t>
            </w:r>
            <w:r>
              <w:rPr>
                <w:rFonts w:ascii="宋体" w:hAnsi="宋体" w:cs="宋体" w:eastAsia="宋体" w:hint="default"/>
                <w:sz w:val="22"/>
                <w:szCs w:val="22"/>
              </w:rPr>
              <w:t> </w:t>
            </w:r>
          </w:p>
        </w:tc>
        <w:tc>
          <w:tcPr>
            <w:tcW w:w="2462" w:type="dxa"/>
            <w:tcBorders>
              <w:top w:val="nil" w:sz="6" w:space="0" w:color="auto"/>
              <w:left w:val="nil" w:sz="6" w:space="0" w:color="auto"/>
              <w:bottom w:val="single" w:sz="4" w:space="0" w:color="000000"/>
              <w:right w:val="nil" w:sz="6" w:space="0" w:color="auto"/>
            </w:tcBorders>
          </w:tcPr>
          <w:p>
            <w:pPr>
              <w:pStyle w:val="TableParagraph"/>
              <w:spacing w:line="236" w:lineRule="exact"/>
              <w:ind w:right="50"/>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132" w:type="dxa"/>
            <w:tcBorders>
              <w:top w:val="nil" w:sz="6" w:space="0" w:color="auto"/>
              <w:left w:val="nil" w:sz="6" w:space="0" w:color="auto"/>
              <w:bottom w:val="nil" w:sz="6" w:space="0" w:color="auto"/>
              <w:right w:val="nil" w:sz="6" w:space="0" w:color="auto"/>
            </w:tcBorders>
          </w:tcPr>
          <w:p>
            <w:pPr/>
          </w:p>
        </w:tc>
        <w:tc>
          <w:tcPr>
            <w:tcW w:w="2047" w:type="dxa"/>
            <w:tcBorders>
              <w:top w:val="nil" w:sz="6" w:space="0" w:color="auto"/>
              <w:left w:val="nil" w:sz="6" w:space="0" w:color="auto"/>
              <w:bottom w:val="single" w:sz="4" w:space="0" w:color="000000"/>
              <w:right w:val="nil" w:sz="6" w:space="0" w:color="auto"/>
            </w:tcBorders>
          </w:tcPr>
          <w:p>
            <w:pPr>
              <w:pStyle w:val="TableParagraph"/>
              <w:spacing w:line="236" w:lineRule="exact"/>
              <w:ind w:left="1173"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pacing w:val="-5"/>
                <w:sz w:val="22"/>
                <w:szCs w:val="22"/>
              </w:rPr>
              <w:t>年</w:t>
            </w:r>
            <w:r>
              <w:rPr>
                <w:rFonts w:ascii="宋体" w:hAnsi="宋体" w:cs="宋体" w:eastAsia="宋体" w:hint="default"/>
                <w:sz w:val="22"/>
                <w:szCs w:val="22"/>
              </w:rPr>
              <w:t> </w:t>
            </w:r>
          </w:p>
        </w:tc>
      </w:tr>
      <w:tr>
        <w:trPr>
          <w:trHeight w:val="573" w:hRule="exact"/>
        </w:trPr>
        <w:tc>
          <w:tcPr>
            <w:tcW w:w="401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利润总额</w:t>
            </w:r>
            <w:r>
              <w:rPr>
                <w:rFonts w:ascii="宋体" w:hAnsi="宋体" w:cs="宋体" w:eastAsia="宋体" w:hint="default"/>
                <w:sz w:val="22"/>
                <w:szCs w:val="22"/>
              </w:rPr>
              <w:t> </w:t>
            </w:r>
          </w:p>
        </w:tc>
        <w:tc>
          <w:tcPr>
            <w:tcW w:w="67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11" w:right="0"/>
              <w:jc w:val="center"/>
              <w:rPr>
                <w:rFonts w:ascii="宋体" w:hAnsi="宋体" w:cs="宋体" w:eastAsia="宋体" w:hint="default"/>
                <w:sz w:val="22"/>
                <w:szCs w:val="22"/>
              </w:rPr>
            </w:pPr>
            <w:r>
              <w:rPr>
                <w:rFonts w:ascii="宋体"/>
                <w:w w:val="100"/>
                <w:sz w:val="22"/>
              </w:rPr>
              <w:t> </w:t>
            </w:r>
          </w:p>
        </w:tc>
        <w:tc>
          <w:tcPr>
            <w:tcW w:w="2462"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8"/>
              <w:jc w:val="right"/>
              <w:rPr>
                <w:rFonts w:ascii="Arial" w:hAnsi="Arial" w:cs="Arial" w:eastAsia="Arial" w:hint="default"/>
                <w:sz w:val="22"/>
                <w:szCs w:val="22"/>
              </w:rPr>
            </w:pPr>
            <w:r>
              <w:rPr>
                <w:rFonts w:ascii="Arial"/>
                <w:sz w:val="22"/>
              </w:rPr>
              <w:t>14,035,186,382</w:t>
            </w:r>
          </w:p>
        </w:tc>
        <w:tc>
          <w:tcPr>
            <w:tcW w:w="132" w:type="dxa"/>
            <w:tcBorders>
              <w:top w:val="nil" w:sz="6" w:space="0" w:color="auto"/>
              <w:left w:val="nil" w:sz="6" w:space="0" w:color="auto"/>
              <w:bottom w:val="nil" w:sz="6" w:space="0" w:color="auto"/>
              <w:right w:val="nil" w:sz="6" w:space="0" w:color="auto"/>
            </w:tcBorders>
          </w:tcPr>
          <w:p>
            <w:pPr/>
          </w:p>
        </w:tc>
        <w:tc>
          <w:tcPr>
            <w:tcW w:w="2047"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347" w:right="0"/>
              <w:jc w:val="left"/>
              <w:rPr>
                <w:rFonts w:ascii="Arial" w:hAnsi="Arial" w:cs="Arial" w:eastAsia="Arial" w:hint="default"/>
                <w:sz w:val="22"/>
                <w:szCs w:val="22"/>
              </w:rPr>
            </w:pPr>
            <w:r>
              <w:rPr>
                <w:rFonts w:ascii="Arial"/>
                <w:sz w:val="22"/>
              </w:rPr>
              <w:t>12,075,362,887</w:t>
            </w:r>
          </w:p>
        </w:tc>
      </w:tr>
      <w:tr>
        <w:trPr>
          <w:trHeight w:val="283" w:hRule="exact"/>
        </w:trPr>
        <w:tc>
          <w:tcPr>
            <w:tcW w:w="4014" w:type="dxa"/>
            <w:tcBorders>
              <w:top w:val="nil" w:sz="6" w:space="0" w:color="auto"/>
              <w:left w:val="nil" w:sz="6" w:space="0" w:color="auto"/>
              <w:bottom w:val="nil" w:sz="6" w:space="0" w:color="auto"/>
              <w:right w:val="nil" w:sz="6" w:space="0" w:color="auto"/>
            </w:tcBorders>
          </w:tcPr>
          <w:p>
            <w:pPr>
              <w:pStyle w:val="TableParagraph"/>
              <w:spacing w:line="236" w:lineRule="exact"/>
              <w:ind w:left="200" w:right="0"/>
              <w:jc w:val="left"/>
              <w:rPr>
                <w:rFonts w:ascii="宋体" w:hAnsi="宋体" w:cs="宋体" w:eastAsia="宋体" w:hint="default"/>
                <w:sz w:val="22"/>
                <w:szCs w:val="22"/>
              </w:rPr>
            </w:pPr>
            <w:r>
              <w:rPr>
                <w:rFonts w:ascii="宋体" w:hAnsi="宋体" w:cs="宋体" w:eastAsia="宋体" w:hint="default"/>
                <w:sz w:val="22"/>
                <w:szCs w:val="22"/>
              </w:rPr>
              <w:t>按</w:t>
            </w:r>
            <w:r>
              <w:rPr>
                <w:rFonts w:ascii="宋体" w:hAnsi="宋体" w:cs="宋体" w:eastAsia="宋体" w:hint="default"/>
                <w:spacing w:val="-56"/>
                <w:sz w:val="22"/>
                <w:szCs w:val="22"/>
              </w:rPr>
              <w:t> </w:t>
            </w:r>
            <w:r>
              <w:rPr>
                <w:rFonts w:ascii="Arial" w:hAnsi="Arial" w:cs="Arial" w:eastAsia="Arial" w:hint="default"/>
                <w:sz w:val="22"/>
                <w:szCs w:val="22"/>
              </w:rPr>
              <w:t>25%</w:t>
            </w:r>
            <w:r>
              <w:rPr>
                <w:rFonts w:ascii="宋体" w:hAnsi="宋体" w:cs="宋体" w:eastAsia="宋体" w:hint="default"/>
                <w:sz w:val="22"/>
                <w:szCs w:val="22"/>
              </w:rPr>
              <w:t>计算的预期所得税</w:t>
            </w:r>
            <w:r>
              <w:rPr>
                <w:rFonts w:ascii="宋体" w:hAnsi="宋体" w:cs="宋体" w:eastAsia="宋体" w:hint="default"/>
                <w:sz w:val="22"/>
                <w:szCs w:val="22"/>
              </w:rPr>
              <w:t> </w:t>
            </w:r>
          </w:p>
        </w:tc>
        <w:tc>
          <w:tcPr>
            <w:tcW w:w="679" w:type="dxa"/>
            <w:tcBorders>
              <w:top w:val="nil" w:sz="6" w:space="0" w:color="auto"/>
              <w:left w:val="nil" w:sz="6" w:space="0" w:color="auto"/>
              <w:bottom w:val="nil" w:sz="6" w:space="0" w:color="auto"/>
              <w:right w:val="nil" w:sz="6" w:space="0" w:color="auto"/>
            </w:tcBorders>
          </w:tcPr>
          <w:p>
            <w:pPr>
              <w:pStyle w:val="TableParagraph"/>
              <w:spacing w:line="283" w:lineRule="exact"/>
              <w:ind w:left="11" w:right="0"/>
              <w:jc w:val="center"/>
              <w:rPr>
                <w:rFonts w:ascii="宋体" w:hAnsi="宋体" w:cs="宋体" w:eastAsia="宋体" w:hint="default"/>
                <w:sz w:val="22"/>
                <w:szCs w:val="22"/>
              </w:rPr>
            </w:pPr>
            <w:r>
              <w:rPr>
                <w:rFonts w:ascii="宋体"/>
                <w:w w:val="100"/>
                <w:sz w:val="22"/>
              </w:rPr>
              <w:t> </w:t>
            </w:r>
          </w:p>
        </w:tc>
        <w:tc>
          <w:tcPr>
            <w:tcW w:w="2462" w:type="dxa"/>
            <w:tcBorders>
              <w:top w:val="nil" w:sz="6" w:space="0" w:color="auto"/>
              <w:left w:val="nil" w:sz="6" w:space="0" w:color="auto"/>
              <w:bottom w:val="nil" w:sz="6" w:space="0" w:color="auto"/>
              <w:right w:val="nil" w:sz="6" w:space="0" w:color="auto"/>
            </w:tcBorders>
          </w:tcPr>
          <w:p>
            <w:pPr>
              <w:pStyle w:val="TableParagraph"/>
              <w:spacing w:line="251" w:lineRule="exact"/>
              <w:ind w:right="115"/>
              <w:jc w:val="right"/>
              <w:rPr>
                <w:rFonts w:ascii="Arial" w:hAnsi="Arial" w:cs="Arial" w:eastAsia="Arial" w:hint="default"/>
                <w:sz w:val="22"/>
                <w:szCs w:val="22"/>
              </w:rPr>
            </w:pPr>
            <w:r>
              <w:rPr>
                <w:rFonts w:ascii="Arial"/>
                <w:spacing w:val="-1"/>
                <w:sz w:val="22"/>
              </w:rPr>
              <w:t>3,508,796,596</w:t>
            </w:r>
          </w:p>
        </w:tc>
        <w:tc>
          <w:tcPr>
            <w:tcW w:w="132" w:type="dxa"/>
            <w:tcBorders>
              <w:top w:val="nil" w:sz="6" w:space="0" w:color="auto"/>
              <w:left w:val="nil" w:sz="6" w:space="0" w:color="auto"/>
              <w:bottom w:val="nil" w:sz="6" w:space="0" w:color="auto"/>
              <w:right w:val="nil" w:sz="6" w:space="0" w:color="auto"/>
            </w:tcBorders>
          </w:tcPr>
          <w:p>
            <w:pPr/>
          </w:p>
        </w:tc>
        <w:tc>
          <w:tcPr>
            <w:tcW w:w="2047" w:type="dxa"/>
            <w:tcBorders>
              <w:top w:val="nil" w:sz="6" w:space="0" w:color="auto"/>
              <w:left w:val="nil" w:sz="6" w:space="0" w:color="auto"/>
              <w:bottom w:val="nil" w:sz="6" w:space="0" w:color="auto"/>
              <w:right w:val="nil" w:sz="6" w:space="0" w:color="auto"/>
            </w:tcBorders>
          </w:tcPr>
          <w:p>
            <w:pPr>
              <w:pStyle w:val="TableParagraph"/>
              <w:spacing w:line="251" w:lineRule="exact"/>
              <w:ind w:left="467" w:right="0"/>
              <w:jc w:val="left"/>
              <w:rPr>
                <w:rFonts w:ascii="Arial" w:hAnsi="Arial" w:cs="Arial" w:eastAsia="Arial" w:hint="default"/>
                <w:sz w:val="22"/>
                <w:szCs w:val="22"/>
              </w:rPr>
            </w:pPr>
            <w:r>
              <w:rPr>
                <w:rFonts w:ascii="Arial"/>
                <w:sz w:val="22"/>
              </w:rPr>
              <w:t>3,018,840,722</w:t>
            </w:r>
          </w:p>
        </w:tc>
      </w:tr>
      <w:tr>
        <w:trPr>
          <w:trHeight w:val="254" w:hRule="exact"/>
        </w:trPr>
        <w:tc>
          <w:tcPr>
            <w:tcW w:w="4014" w:type="dxa"/>
            <w:tcBorders>
              <w:top w:val="nil" w:sz="6" w:space="0" w:color="auto"/>
              <w:left w:val="nil" w:sz="6" w:space="0" w:color="auto"/>
              <w:bottom w:val="nil" w:sz="6" w:space="0" w:color="auto"/>
              <w:right w:val="nil" w:sz="6" w:space="0" w:color="auto"/>
            </w:tcBorders>
          </w:tcPr>
          <w:p>
            <w:pPr>
              <w:pStyle w:val="TableParagraph"/>
              <w:spacing w:line="221" w:lineRule="exact"/>
              <w:ind w:left="200" w:right="0"/>
              <w:jc w:val="left"/>
              <w:rPr>
                <w:rFonts w:ascii="宋体" w:hAnsi="宋体" w:cs="宋体" w:eastAsia="宋体" w:hint="default"/>
                <w:sz w:val="22"/>
                <w:szCs w:val="22"/>
              </w:rPr>
            </w:pPr>
            <w:r>
              <w:rPr>
                <w:rFonts w:ascii="宋体"/>
                <w:w w:val="100"/>
                <w:sz w:val="22"/>
              </w:rPr>
              <w:t> </w:t>
            </w:r>
          </w:p>
        </w:tc>
        <w:tc>
          <w:tcPr>
            <w:tcW w:w="679" w:type="dxa"/>
            <w:tcBorders>
              <w:top w:val="nil" w:sz="6" w:space="0" w:color="auto"/>
              <w:left w:val="nil" w:sz="6" w:space="0" w:color="auto"/>
              <w:bottom w:val="nil" w:sz="6" w:space="0" w:color="auto"/>
              <w:right w:val="nil" w:sz="6" w:space="0" w:color="auto"/>
            </w:tcBorders>
          </w:tcPr>
          <w:p>
            <w:pPr/>
          </w:p>
        </w:tc>
        <w:tc>
          <w:tcPr>
            <w:tcW w:w="2462" w:type="dxa"/>
            <w:tcBorders>
              <w:top w:val="nil" w:sz="6" w:space="0" w:color="auto"/>
              <w:left w:val="nil" w:sz="6" w:space="0" w:color="auto"/>
              <w:bottom w:val="nil" w:sz="6" w:space="0" w:color="auto"/>
              <w:right w:val="nil" w:sz="6" w:space="0" w:color="auto"/>
            </w:tcBorders>
          </w:tcPr>
          <w:p>
            <w:pPr/>
          </w:p>
        </w:tc>
        <w:tc>
          <w:tcPr>
            <w:tcW w:w="132" w:type="dxa"/>
            <w:tcBorders>
              <w:top w:val="nil" w:sz="6" w:space="0" w:color="auto"/>
              <w:left w:val="nil" w:sz="6" w:space="0" w:color="auto"/>
              <w:bottom w:val="nil" w:sz="6" w:space="0" w:color="auto"/>
              <w:right w:val="nil" w:sz="6" w:space="0" w:color="auto"/>
            </w:tcBorders>
          </w:tcPr>
          <w:p>
            <w:pPr/>
          </w:p>
        </w:tc>
        <w:tc>
          <w:tcPr>
            <w:tcW w:w="2047" w:type="dxa"/>
            <w:tcBorders>
              <w:top w:val="nil" w:sz="6" w:space="0" w:color="auto"/>
              <w:left w:val="nil" w:sz="6" w:space="0" w:color="auto"/>
              <w:bottom w:val="nil" w:sz="6" w:space="0" w:color="auto"/>
              <w:right w:val="nil" w:sz="6" w:space="0" w:color="auto"/>
            </w:tcBorders>
          </w:tcPr>
          <w:p>
            <w:pPr/>
          </w:p>
        </w:tc>
      </w:tr>
      <w:tr>
        <w:trPr>
          <w:trHeight w:val="286" w:hRule="exact"/>
        </w:trPr>
        <w:tc>
          <w:tcPr>
            <w:tcW w:w="4014" w:type="dxa"/>
            <w:tcBorders>
              <w:top w:val="nil" w:sz="6" w:space="0" w:color="auto"/>
              <w:left w:val="nil" w:sz="6" w:space="0" w:color="auto"/>
              <w:bottom w:val="nil" w:sz="6" w:space="0" w:color="auto"/>
              <w:right w:val="nil" w:sz="6" w:space="0" w:color="auto"/>
            </w:tcBorders>
          </w:tcPr>
          <w:p>
            <w:pPr>
              <w:pStyle w:val="TableParagraph"/>
              <w:spacing w:line="254" w:lineRule="exact"/>
              <w:ind w:left="200" w:right="0"/>
              <w:jc w:val="left"/>
              <w:rPr>
                <w:rFonts w:ascii="宋体" w:hAnsi="宋体" w:cs="宋体" w:eastAsia="宋体" w:hint="default"/>
                <w:sz w:val="22"/>
                <w:szCs w:val="22"/>
              </w:rPr>
            </w:pPr>
            <w:r>
              <w:rPr>
                <w:rFonts w:ascii="宋体" w:hAnsi="宋体" w:cs="宋体" w:eastAsia="宋体" w:hint="default"/>
                <w:sz w:val="22"/>
                <w:szCs w:val="22"/>
              </w:rPr>
              <w:t>所得税影响调整：</w:t>
            </w:r>
          </w:p>
        </w:tc>
        <w:tc>
          <w:tcPr>
            <w:tcW w:w="679" w:type="dxa"/>
            <w:tcBorders>
              <w:top w:val="nil" w:sz="6" w:space="0" w:color="auto"/>
              <w:left w:val="nil" w:sz="6" w:space="0" w:color="auto"/>
              <w:bottom w:val="nil" w:sz="6" w:space="0" w:color="auto"/>
              <w:right w:val="nil" w:sz="6" w:space="0" w:color="auto"/>
            </w:tcBorders>
          </w:tcPr>
          <w:p>
            <w:pPr/>
          </w:p>
        </w:tc>
        <w:tc>
          <w:tcPr>
            <w:tcW w:w="2462" w:type="dxa"/>
            <w:tcBorders>
              <w:top w:val="nil" w:sz="6" w:space="0" w:color="auto"/>
              <w:left w:val="nil" w:sz="6" w:space="0" w:color="auto"/>
              <w:bottom w:val="nil" w:sz="6" w:space="0" w:color="auto"/>
              <w:right w:val="nil" w:sz="6" w:space="0" w:color="auto"/>
            </w:tcBorders>
          </w:tcPr>
          <w:p>
            <w:pPr/>
          </w:p>
        </w:tc>
        <w:tc>
          <w:tcPr>
            <w:tcW w:w="132" w:type="dxa"/>
            <w:tcBorders>
              <w:top w:val="nil" w:sz="6" w:space="0" w:color="auto"/>
              <w:left w:val="nil" w:sz="6" w:space="0" w:color="auto"/>
              <w:bottom w:val="nil" w:sz="6" w:space="0" w:color="auto"/>
              <w:right w:val="nil" w:sz="6" w:space="0" w:color="auto"/>
            </w:tcBorders>
          </w:tcPr>
          <w:p>
            <w:pPr/>
          </w:p>
        </w:tc>
        <w:tc>
          <w:tcPr>
            <w:tcW w:w="2047" w:type="dxa"/>
            <w:tcBorders>
              <w:top w:val="nil" w:sz="6" w:space="0" w:color="auto"/>
              <w:left w:val="nil" w:sz="6" w:space="0" w:color="auto"/>
              <w:bottom w:val="nil" w:sz="6" w:space="0" w:color="auto"/>
              <w:right w:val="nil" w:sz="6" w:space="0" w:color="auto"/>
            </w:tcBorders>
          </w:tcPr>
          <w:p>
            <w:pPr/>
          </w:p>
        </w:tc>
      </w:tr>
      <w:tr>
        <w:trPr>
          <w:trHeight w:val="286" w:hRule="exact"/>
        </w:trPr>
        <w:tc>
          <w:tcPr>
            <w:tcW w:w="4014" w:type="dxa"/>
            <w:tcBorders>
              <w:top w:val="nil" w:sz="6" w:space="0" w:color="auto"/>
              <w:left w:val="nil" w:sz="6" w:space="0" w:color="auto"/>
              <w:bottom w:val="nil" w:sz="6" w:space="0" w:color="auto"/>
              <w:right w:val="nil" w:sz="6" w:space="0" w:color="auto"/>
            </w:tcBorders>
          </w:tcPr>
          <w:p>
            <w:pPr>
              <w:pStyle w:val="TableParagraph"/>
              <w:spacing w:line="252" w:lineRule="exact"/>
              <w:ind w:left="200" w:right="0"/>
              <w:jc w:val="left"/>
              <w:rPr>
                <w:rFonts w:ascii="宋体" w:hAnsi="宋体" w:cs="宋体" w:eastAsia="宋体" w:hint="default"/>
                <w:sz w:val="22"/>
                <w:szCs w:val="22"/>
              </w:rPr>
            </w:pPr>
            <w:r>
              <w:rPr>
                <w:rFonts w:ascii="宋体"/>
                <w:w w:val="100"/>
                <w:sz w:val="22"/>
              </w:rPr>
              <w:t> </w:t>
            </w:r>
          </w:p>
        </w:tc>
        <w:tc>
          <w:tcPr>
            <w:tcW w:w="679" w:type="dxa"/>
            <w:tcBorders>
              <w:top w:val="nil" w:sz="6" w:space="0" w:color="auto"/>
              <w:left w:val="nil" w:sz="6" w:space="0" w:color="auto"/>
              <w:bottom w:val="nil" w:sz="6" w:space="0" w:color="auto"/>
              <w:right w:val="nil" w:sz="6" w:space="0" w:color="auto"/>
            </w:tcBorders>
          </w:tcPr>
          <w:p>
            <w:pPr/>
          </w:p>
        </w:tc>
        <w:tc>
          <w:tcPr>
            <w:tcW w:w="2462" w:type="dxa"/>
            <w:tcBorders>
              <w:top w:val="nil" w:sz="6" w:space="0" w:color="auto"/>
              <w:left w:val="nil" w:sz="6" w:space="0" w:color="auto"/>
              <w:bottom w:val="nil" w:sz="6" w:space="0" w:color="auto"/>
              <w:right w:val="nil" w:sz="6" w:space="0" w:color="auto"/>
            </w:tcBorders>
          </w:tcPr>
          <w:p>
            <w:pPr/>
          </w:p>
        </w:tc>
        <w:tc>
          <w:tcPr>
            <w:tcW w:w="132" w:type="dxa"/>
            <w:tcBorders>
              <w:top w:val="nil" w:sz="6" w:space="0" w:color="auto"/>
              <w:left w:val="nil" w:sz="6" w:space="0" w:color="auto"/>
              <w:bottom w:val="nil" w:sz="6" w:space="0" w:color="auto"/>
              <w:right w:val="nil" w:sz="6" w:space="0" w:color="auto"/>
            </w:tcBorders>
          </w:tcPr>
          <w:p>
            <w:pPr/>
          </w:p>
        </w:tc>
        <w:tc>
          <w:tcPr>
            <w:tcW w:w="2047" w:type="dxa"/>
            <w:tcBorders>
              <w:top w:val="nil" w:sz="6" w:space="0" w:color="auto"/>
              <w:left w:val="nil" w:sz="6" w:space="0" w:color="auto"/>
              <w:bottom w:val="nil" w:sz="6" w:space="0" w:color="auto"/>
              <w:right w:val="nil" w:sz="6" w:space="0" w:color="auto"/>
            </w:tcBorders>
          </w:tcPr>
          <w:p>
            <w:pPr/>
          </w:p>
        </w:tc>
      </w:tr>
      <w:tr>
        <w:trPr>
          <w:trHeight w:val="298" w:hRule="exact"/>
        </w:trPr>
        <w:tc>
          <w:tcPr>
            <w:tcW w:w="4014" w:type="dxa"/>
            <w:tcBorders>
              <w:top w:val="nil" w:sz="6" w:space="0" w:color="auto"/>
              <w:left w:val="nil" w:sz="6" w:space="0" w:color="auto"/>
              <w:bottom w:val="nil" w:sz="6" w:space="0" w:color="auto"/>
              <w:right w:val="nil" w:sz="6" w:space="0" w:color="auto"/>
            </w:tcBorders>
          </w:tcPr>
          <w:p>
            <w:pPr>
              <w:pStyle w:val="TableParagraph"/>
              <w:spacing w:line="254" w:lineRule="exact"/>
              <w:ind w:left="200" w:right="0"/>
              <w:jc w:val="left"/>
              <w:rPr>
                <w:rFonts w:ascii="宋体" w:hAnsi="宋体" w:cs="宋体" w:eastAsia="宋体" w:hint="default"/>
                <w:sz w:val="22"/>
                <w:szCs w:val="22"/>
              </w:rPr>
            </w:pPr>
            <w:r>
              <w:rPr>
                <w:rFonts w:ascii="宋体" w:hAnsi="宋体" w:cs="宋体" w:eastAsia="宋体" w:hint="default"/>
                <w:sz w:val="22"/>
                <w:szCs w:val="22"/>
              </w:rPr>
              <w:t>加：不得扣除的成本、费用和损失</w:t>
            </w:r>
            <w:r>
              <w:rPr>
                <w:rFonts w:ascii="宋体" w:hAnsi="宋体" w:cs="宋体" w:eastAsia="宋体" w:hint="default"/>
                <w:sz w:val="22"/>
                <w:szCs w:val="22"/>
              </w:rPr>
              <w:t> </w:t>
            </w:r>
          </w:p>
        </w:tc>
        <w:tc>
          <w:tcPr>
            <w:tcW w:w="679" w:type="dxa"/>
            <w:tcBorders>
              <w:top w:val="nil" w:sz="6" w:space="0" w:color="auto"/>
              <w:left w:val="nil" w:sz="6" w:space="0" w:color="auto"/>
              <w:bottom w:val="nil" w:sz="6" w:space="0" w:color="auto"/>
              <w:right w:val="nil" w:sz="6" w:space="0" w:color="auto"/>
            </w:tcBorders>
          </w:tcPr>
          <w:p>
            <w:pP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15"/>
              <w:jc w:val="right"/>
              <w:rPr>
                <w:rFonts w:ascii="Arial" w:hAnsi="Arial" w:cs="Arial" w:eastAsia="Arial" w:hint="default"/>
                <w:sz w:val="22"/>
                <w:szCs w:val="22"/>
              </w:rPr>
            </w:pPr>
            <w:r>
              <w:rPr>
                <w:rFonts w:ascii="Arial"/>
                <w:spacing w:val="-1"/>
                <w:sz w:val="22"/>
              </w:rPr>
              <w:t>228,726,015</w:t>
            </w:r>
          </w:p>
        </w:tc>
        <w:tc>
          <w:tcPr>
            <w:tcW w:w="132" w:type="dxa"/>
            <w:tcBorders>
              <w:top w:val="nil" w:sz="6" w:space="0" w:color="auto"/>
              <w:left w:val="nil" w:sz="6" w:space="0" w:color="auto"/>
              <w:bottom w:val="nil" w:sz="6" w:space="0" w:color="auto"/>
              <w:right w:val="nil" w:sz="6" w:space="0" w:color="auto"/>
            </w:tcBorders>
          </w:tcPr>
          <w:p>
            <w:pP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31"/>
              <w:ind w:left="650" w:right="0"/>
              <w:jc w:val="left"/>
              <w:rPr>
                <w:rFonts w:ascii="Arial" w:hAnsi="Arial" w:cs="Arial" w:eastAsia="Arial" w:hint="default"/>
                <w:sz w:val="22"/>
                <w:szCs w:val="22"/>
              </w:rPr>
            </w:pPr>
            <w:r>
              <w:rPr>
                <w:rFonts w:ascii="Arial"/>
                <w:sz w:val="22"/>
              </w:rPr>
              <w:t>420,841,285</w:t>
            </w:r>
          </w:p>
        </w:tc>
      </w:tr>
      <w:tr>
        <w:trPr>
          <w:trHeight w:val="571" w:hRule="exact"/>
        </w:trPr>
        <w:tc>
          <w:tcPr>
            <w:tcW w:w="4014" w:type="dxa"/>
            <w:tcBorders>
              <w:top w:val="nil" w:sz="6" w:space="0" w:color="auto"/>
              <w:left w:val="nil" w:sz="6" w:space="0" w:color="auto"/>
              <w:bottom w:val="nil" w:sz="6" w:space="0" w:color="auto"/>
              <w:right w:val="nil" w:sz="6" w:space="0" w:color="auto"/>
            </w:tcBorders>
          </w:tcPr>
          <w:p>
            <w:pPr>
              <w:pStyle w:val="TableParagraph"/>
              <w:spacing w:line="237" w:lineRule="exact"/>
              <w:ind w:left="665" w:right="0"/>
              <w:jc w:val="left"/>
              <w:rPr>
                <w:rFonts w:ascii="宋体" w:hAnsi="宋体" w:cs="宋体" w:eastAsia="宋体" w:hint="default"/>
                <w:sz w:val="22"/>
                <w:szCs w:val="22"/>
              </w:rPr>
            </w:pPr>
            <w:r>
              <w:rPr>
                <w:rFonts w:ascii="宋体" w:hAnsi="宋体" w:cs="宋体" w:eastAsia="宋体" w:hint="default"/>
                <w:sz w:val="22"/>
                <w:szCs w:val="22"/>
              </w:rPr>
              <w:t>权益法核算的长期股权投资持有</w:t>
            </w:r>
            <w:r>
              <w:rPr>
                <w:rFonts w:ascii="宋体" w:hAnsi="宋体" w:cs="宋体" w:eastAsia="宋体" w:hint="default"/>
                <w:sz w:val="22"/>
                <w:szCs w:val="22"/>
              </w:rPr>
              <w:t> </w:t>
            </w:r>
          </w:p>
          <w:p>
            <w:pPr>
              <w:pStyle w:val="TableParagraph"/>
              <w:spacing w:line="286" w:lineRule="exact"/>
              <w:ind w:left="891" w:right="0"/>
              <w:jc w:val="left"/>
              <w:rPr>
                <w:rFonts w:ascii="宋体" w:hAnsi="宋体" w:cs="宋体" w:eastAsia="宋体" w:hint="default"/>
                <w:sz w:val="22"/>
                <w:szCs w:val="22"/>
              </w:rPr>
            </w:pPr>
            <w:r>
              <w:rPr>
                <w:rFonts w:ascii="宋体" w:hAnsi="宋体" w:cs="宋体" w:eastAsia="宋体" w:hint="default"/>
                <w:sz w:val="22"/>
                <w:szCs w:val="22"/>
              </w:rPr>
              <w:t>期间投资收益</w:t>
            </w:r>
            <w:r>
              <w:rPr>
                <w:rFonts w:ascii="宋体" w:hAnsi="宋体" w:cs="宋体" w:eastAsia="宋体" w:hint="default"/>
                <w:sz w:val="22"/>
                <w:szCs w:val="22"/>
              </w:rPr>
              <w:t> </w:t>
            </w:r>
          </w:p>
        </w:tc>
        <w:tc>
          <w:tcPr>
            <w:tcW w:w="679" w:type="dxa"/>
            <w:tcBorders>
              <w:top w:val="nil" w:sz="6" w:space="0" w:color="auto"/>
              <w:left w:val="nil" w:sz="6" w:space="0" w:color="auto"/>
              <w:bottom w:val="nil" w:sz="6" w:space="0" w:color="auto"/>
              <w:right w:val="nil" w:sz="6" w:space="0" w:color="auto"/>
            </w:tcBorders>
          </w:tcPr>
          <w:p>
            <w:pP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52"/>
              <w:jc w:val="right"/>
              <w:rPr>
                <w:rFonts w:ascii="Arial" w:hAnsi="Arial" w:cs="Arial" w:eastAsia="Arial" w:hint="default"/>
                <w:sz w:val="22"/>
                <w:szCs w:val="22"/>
              </w:rPr>
            </w:pPr>
            <w:r>
              <w:rPr>
                <w:rFonts w:ascii="Arial"/>
                <w:sz w:val="22"/>
              </w:rPr>
              <w:t>(424,561,319)</w:t>
            </w:r>
          </w:p>
        </w:tc>
        <w:tc>
          <w:tcPr>
            <w:tcW w:w="132" w:type="dxa"/>
            <w:tcBorders>
              <w:top w:val="nil" w:sz="6" w:space="0" w:color="auto"/>
              <w:left w:val="nil" w:sz="6" w:space="0" w:color="auto"/>
              <w:bottom w:val="nil" w:sz="6" w:space="0" w:color="auto"/>
              <w:right w:val="nil" w:sz="6" w:space="0" w:color="auto"/>
            </w:tcBorders>
          </w:tcPr>
          <w:p>
            <w:pP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568" w:right="0"/>
              <w:jc w:val="left"/>
              <w:rPr>
                <w:rFonts w:ascii="Arial" w:hAnsi="Arial" w:cs="Arial" w:eastAsia="Arial" w:hint="default"/>
                <w:sz w:val="22"/>
                <w:szCs w:val="22"/>
              </w:rPr>
            </w:pPr>
            <w:r>
              <w:rPr>
                <w:rFonts w:ascii="Arial"/>
                <w:sz w:val="22"/>
              </w:rPr>
              <w:t>(308,146,501)</w:t>
            </w:r>
          </w:p>
        </w:tc>
      </w:tr>
      <w:tr>
        <w:trPr>
          <w:trHeight w:val="283" w:hRule="exact"/>
        </w:trPr>
        <w:tc>
          <w:tcPr>
            <w:tcW w:w="4014" w:type="dxa"/>
            <w:tcBorders>
              <w:top w:val="nil" w:sz="6" w:space="0" w:color="auto"/>
              <w:left w:val="nil" w:sz="6" w:space="0" w:color="auto"/>
              <w:bottom w:val="nil" w:sz="6" w:space="0" w:color="auto"/>
              <w:right w:val="nil" w:sz="6" w:space="0" w:color="auto"/>
            </w:tcBorders>
          </w:tcPr>
          <w:p>
            <w:pPr>
              <w:pStyle w:val="TableParagraph"/>
              <w:spacing w:line="239" w:lineRule="exact"/>
              <w:ind w:left="651" w:right="0"/>
              <w:jc w:val="left"/>
              <w:rPr>
                <w:rFonts w:ascii="宋体" w:hAnsi="宋体" w:cs="宋体" w:eastAsia="宋体" w:hint="default"/>
                <w:sz w:val="22"/>
                <w:szCs w:val="22"/>
              </w:rPr>
            </w:pPr>
            <w:r>
              <w:rPr>
                <w:rFonts w:ascii="宋体" w:hAnsi="宋体" w:cs="宋体" w:eastAsia="宋体" w:hint="default"/>
                <w:sz w:val="22"/>
                <w:szCs w:val="22"/>
              </w:rPr>
              <w:t>当期汇算清缴差异</w:t>
            </w:r>
            <w:r>
              <w:rPr>
                <w:rFonts w:ascii="宋体" w:hAnsi="宋体" w:cs="宋体" w:eastAsia="宋体" w:hint="default"/>
                <w:sz w:val="22"/>
                <w:szCs w:val="22"/>
              </w:rPr>
              <w:t> </w:t>
            </w:r>
          </w:p>
        </w:tc>
        <w:tc>
          <w:tcPr>
            <w:tcW w:w="67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94"/>
              <w:jc w:val="center"/>
              <w:rPr>
                <w:rFonts w:ascii="Arial" w:hAnsi="Arial" w:cs="Arial" w:eastAsia="Arial" w:hint="default"/>
                <w:sz w:val="22"/>
                <w:szCs w:val="22"/>
              </w:rPr>
            </w:pPr>
            <w:r>
              <w:rPr>
                <w:rFonts w:ascii="Arial"/>
                <w:sz w:val="22"/>
              </w:rPr>
              <w:t>(1)</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4"/>
              <w:jc w:val="right"/>
              <w:rPr>
                <w:rFonts w:ascii="Arial" w:hAnsi="Arial" w:cs="Arial" w:eastAsia="Arial" w:hint="default"/>
                <w:sz w:val="22"/>
                <w:szCs w:val="22"/>
              </w:rPr>
            </w:pPr>
            <w:r>
              <w:rPr>
                <w:rFonts w:ascii="Arial"/>
                <w:spacing w:val="-1"/>
                <w:sz w:val="22"/>
              </w:rPr>
              <w:t>(249,876,987)</w:t>
            </w:r>
          </w:p>
        </w:tc>
        <w:tc>
          <w:tcPr>
            <w:tcW w:w="132" w:type="dxa"/>
            <w:tcBorders>
              <w:top w:val="nil" w:sz="6" w:space="0" w:color="auto"/>
              <w:left w:val="nil" w:sz="6" w:space="0" w:color="auto"/>
              <w:bottom w:val="nil" w:sz="6" w:space="0" w:color="auto"/>
              <w:right w:val="nil" w:sz="6" w:space="0" w:color="auto"/>
            </w:tcBorders>
          </w:tcPr>
          <w:p>
            <w:pP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775" w:right="0"/>
              <w:jc w:val="left"/>
              <w:rPr>
                <w:rFonts w:ascii="Arial" w:hAnsi="Arial" w:cs="Arial" w:eastAsia="Arial" w:hint="default"/>
                <w:sz w:val="22"/>
                <w:szCs w:val="22"/>
              </w:rPr>
            </w:pPr>
            <w:r>
              <w:rPr>
                <w:rFonts w:ascii="Arial"/>
                <w:sz w:val="22"/>
              </w:rPr>
              <w:t>18,134,196</w:t>
            </w:r>
          </w:p>
        </w:tc>
      </w:tr>
      <w:tr>
        <w:trPr>
          <w:trHeight w:val="571" w:hRule="exact"/>
        </w:trPr>
        <w:tc>
          <w:tcPr>
            <w:tcW w:w="4014" w:type="dxa"/>
            <w:tcBorders>
              <w:top w:val="nil" w:sz="6" w:space="0" w:color="auto"/>
              <w:left w:val="nil" w:sz="6" w:space="0" w:color="auto"/>
              <w:bottom w:val="nil" w:sz="6" w:space="0" w:color="auto"/>
              <w:right w:val="nil" w:sz="6" w:space="0" w:color="auto"/>
            </w:tcBorders>
          </w:tcPr>
          <w:p>
            <w:pPr>
              <w:pStyle w:val="TableParagraph"/>
              <w:spacing w:line="239" w:lineRule="exact"/>
              <w:ind w:left="651" w:right="0"/>
              <w:jc w:val="left"/>
              <w:rPr>
                <w:rFonts w:ascii="宋体" w:hAnsi="宋体" w:cs="宋体" w:eastAsia="宋体" w:hint="default"/>
                <w:sz w:val="22"/>
                <w:szCs w:val="22"/>
              </w:rPr>
            </w:pPr>
            <w:r>
              <w:rPr>
                <w:rFonts w:ascii="宋体" w:hAnsi="宋体" w:cs="宋体" w:eastAsia="宋体" w:hint="default"/>
                <w:sz w:val="22"/>
                <w:szCs w:val="22"/>
              </w:rPr>
              <w:t>使用前期未确认递延所得税资产</w:t>
            </w:r>
            <w:r>
              <w:rPr>
                <w:rFonts w:ascii="宋体" w:hAnsi="宋体" w:cs="宋体" w:eastAsia="宋体" w:hint="default"/>
                <w:sz w:val="22"/>
                <w:szCs w:val="22"/>
              </w:rPr>
              <w:t> </w:t>
            </w:r>
          </w:p>
          <w:p>
            <w:pPr>
              <w:pStyle w:val="TableParagraph"/>
              <w:spacing w:line="240" w:lineRule="auto"/>
              <w:ind w:left="867" w:right="0"/>
              <w:jc w:val="left"/>
              <w:rPr>
                <w:rFonts w:ascii="宋体" w:hAnsi="宋体" w:cs="宋体" w:eastAsia="宋体" w:hint="default"/>
                <w:sz w:val="22"/>
                <w:szCs w:val="22"/>
              </w:rPr>
            </w:pPr>
            <w:r>
              <w:rPr>
                <w:rFonts w:ascii="宋体" w:hAnsi="宋体" w:cs="宋体" w:eastAsia="宋体" w:hint="default"/>
                <w:sz w:val="22"/>
                <w:szCs w:val="22"/>
              </w:rPr>
              <w:t>的可抵扣亏损的影响</w:t>
            </w:r>
            <w:r>
              <w:rPr>
                <w:rFonts w:ascii="宋体" w:hAnsi="宋体" w:cs="宋体" w:eastAsia="宋体" w:hint="default"/>
                <w:sz w:val="22"/>
                <w:szCs w:val="22"/>
              </w:rPr>
              <w:t> </w:t>
            </w:r>
          </w:p>
        </w:tc>
        <w:tc>
          <w:tcPr>
            <w:tcW w:w="67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94"/>
              <w:jc w:val="center"/>
              <w:rPr>
                <w:rFonts w:ascii="Arial" w:hAnsi="Arial" w:cs="Arial" w:eastAsia="Arial" w:hint="default"/>
                <w:sz w:val="22"/>
                <w:szCs w:val="22"/>
              </w:rPr>
            </w:pPr>
            <w:r>
              <w:rPr>
                <w:rFonts w:ascii="Arial"/>
                <w:sz w:val="22"/>
              </w:rPr>
              <w:t>(2)</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54"/>
              <w:jc w:val="right"/>
              <w:rPr>
                <w:rFonts w:ascii="Arial" w:hAnsi="Arial" w:cs="Arial" w:eastAsia="Arial" w:hint="default"/>
                <w:sz w:val="22"/>
                <w:szCs w:val="22"/>
              </w:rPr>
            </w:pPr>
            <w:r>
              <w:rPr>
                <w:rFonts w:ascii="Arial"/>
                <w:spacing w:val="-1"/>
                <w:sz w:val="22"/>
              </w:rPr>
              <w:t>(138,071,292)</w:t>
            </w:r>
          </w:p>
        </w:tc>
        <w:tc>
          <w:tcPr>
            <w:tcW w:w="132" w:type="dxa"/>
            <w:tcBorders>
              <w:top w:val="nil" w:sz="6" w:space="0" w:color="auto"/>
              <w:left w:val="nil" w:sz="6" w:space="0" w:color="auto"/>
              <w:bottom w:val="nil" w:sz="6" w:space="0" w:color="auto"/>
              <w:right w:val="nil" w:sz="6" w:space="0" w:color="auto"/>
            </w:tcBorders>
          </w:tcPr>
          <w:p>
            <w:pP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568" w:right="0"/>
              <w:jc w:val="left"/>
              <w:rPr>
                <w:rFonts w:ascii="Arial" w:hAnsi="Arial" w:cs="Arial" w:eastAsia="Arial" w:hint="default"/>
                <w:sz w:val="22"/>
                <w:szCs w:val="22"/>
              </w:rPr>
            </w:pPr>
            <w:r>
              <w:rPr>
                <w:rFonts w:ascii="Arial"/>
                <w:sz w:val="22"/>
              </w:rPr>
              <w:t>(197,204,565)</w:t>
            </w:r>
          </w:p>
        </w:tc>
      </w:tr>
      <w:tr>
        <w:trPr>
          <w:trHeight w:val="571" w:hRule="exact"/>
        </w:trPr>
        <w:tc>
          <w:tcPr>
            <w:tcW w:w="4014" w:type="dxa"/>
            <w:tcBorders>
              <w:top w:val="nil" w:sz="6" w:space="0" w:color="auto"/>
              <w:left w:val="nil" w:sz="6" w:space="0" w:color="auto"/>
              <w:bottom w:val="nil" w:sz="6" w:space="0" w:color="auto"/>
              <w:right w:val="nil" w:sz="6" w:space="0" w:color="auto"/>
            </w:tcBorders>
          </w:tcPr>
          <w:p>
            <w:pPr>
              <w:pStyle w:val="TableParagraph"/>
              <w:spacing w:line="239" w:lineRule="exact"/>
              <w:ind w:left="651" w:right="0"/>
              <w:jc w:val="left"/>
              <w:rPr>
                <w:rFonts w:ascii="宋体" w:hAnsi="宋体" w:cs="宋体" w:eastAsia="宋体" w:hint="default"/>
                <w:sz w:val="22"/>
                <w:szCs w:val="22"/>
              </w:rPr>
            </w:pPr>
            <w:r>
              <w:rPr>
                <w:rFonts w:ascii="宋体" w:hAnsi="宋体" w:cs="宋体" w:eastAsia="宋体" w:hint="default"/>
                <w:sz w:val="22"/>
                <w:szCs w:val="22"/>
              </w:rPr>
              <w:t>本年未确认递延所得税资产的</w:t>
            </w:r>
            <w:r>
              <w:rPr>
                <w:rFonts w:ascii="宋体" w:hAnsi="宋体" w:cs="宋体" w:eastAsia="宋体" w:hint="default"/>
                <w:sz w:val="22"/>
                <w:szCs w:val="22"/>
              </w:rPr>
              <w:t> </w:t>
            </w:r>
          </w:p>
          <w:p>
            <w:pPr>
              <w:pStyle w:val="TableParagraph"/>
              <w:spacing w:line="240" w:lineRule="auto"/>
              <w:ind w:left="853" w:right="0"/>
              <w:jc w:val="left"/>
              <w:rPr>
                <w:rFonts w:ascii="宋体" w:hAnsi="宋体" w:cs="宋体" w:eastAsia="宋体" w:hint="default"/>
                <w:sz w:val="22"/>
                <w:szCs w:val="22"/>
              </w:rPr>
            </w:pPr>
            <w:r>
              <w:rPr>
                <w:rFonts w:ascii="宋体" w:hAnsi="宋体" w:cs="宋体" w:eastAsia="宋体" w:hint="default"/>
                <w:sz w:val="22"/>
                <w:szCs w:val="22"/>
              </w:rPr>
              <w:t>可抵扣亏损影响</w:t>
            </w:r>
            <w:r>
              <w:rPr>
                <w:rFonts w:ascii="宋体" w:hAnsi="宋体" w:cs="宋体" w:eastAsia="宋体" w:hint="default"/>
                <w:sz w:val="22"/>
                <w:szCs w:val="22"/>
              </w:rPr>
              <w:t> </w:t>
            </w:r>
          </w:p>
        </w:tc>
        <w:tc>
          <w:tcPr>
            <w:tcW w:w="67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94"/>
              <w:jc w:val="center"/>
              <w:rPr>
                <w:rFonts w:ascii="Arial" w:hAnsi="Arial" w:cs="Arial" w:eastAsia="Arial" w:hint="default"/>
                <w:sz w:val="22"/>
                <w:szCs w:val="22"/>
              </w:rPr>
            </w:pPr>
            <w:r>
              <w:rPr>
                <w:rFonts w:ascii="Arial"/>
                <w:sz w:val="22"/>
              </w:rPr>
              <w:t>(3)</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118"/>
              <w:jc w:val="right"/>
              <w:rPr>
                <w:rFonts w:ascii="Arial" w:hAnsi="Arial" w:cs="Arial" w:eastAsia="Arial" w:hint="default"/>
                <w:sz w:val="22"/>
                <w:szCs w:val="22"/>
              </w:rPr>
            </w:pPr>
            <w:r>
              <w:rPr>
                <w:rFonts w:ascii="Arial"/>
                <w:spacing w:val="-1"/>
                <w:sz w:val="22"/>
              </w:rPr>
              <w:t>55,290,297</w:t>
            </w:r>
            <w:r>
              <w:rPr>
                <w:rFonts w:ascii="Arial"/>
                <w:sz w:val="22"/>
              </w:rPr>
            </w:r>
          </w:p>
        </w:tc>
        <w:tc>
          <w:tcPr>
            <w:tcW w:w="132" w:type="dxa"/>
            <w:tcBorders>
              <w:top w:val="nil" w:sz="6" w:space="0" w:color="auto"/>
              <w:left w:val="nil" w:sz="6" w:space="0" w:color="auto"/>
              <w:bottom w:val="nil" w:sz="6" w:space="0" w:color="auto"/>
              <w:right w:val="nil" w:sz="6" w:space="0" w:color="auto"/>
            </w:tcBorders>
          </w:tcPr>
          <w:p>
            <w:pP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775" w:right="0"/>
              <w:jc w:val="left"/>
              <w:rPr>
                <w:rFonts w:ascii="Arial" w:hAnsi="Arial" w:cs="Arial" w:eastAsia="Arial" w:hint="default"/>
                <w:sz w:val="22"/>
                <w:szCs w:val="22"/>
              </w:rPr>
            </w:pPr>
            <w:r>
              <w:rPr>
                <w:rFonts w:ascii="Arial"/>
                <w:sz w:val="22"/>
              </w:rPr>
              <w:t>26,146,481</w:t>
            </w:r>
          </w:p>
        </w:tc>
      </w:tr>
      <w:tr>
        <w:trPr>
          <w:trHeight w:val="288" w:hRule="exact"/>
        </w:trPr>
        <w:tc>
          <w:tcPr>
            <w:tcW w:w="4014" w:type="dxa"/>
            <w:tcBorders>
              <w:top w:val="nil" w:sz="6" w:space="0" w:color="auto"/>
              <w:left w:val="nil" w:sz="6" w:space="0" w:color="auto"/>
              <w:bottom w:val="nil" w:sz="6" w:space="0" w:color="auto"/>
              <w:right w:val="nil" w:sz="6" w:space="0" w:color="auto"/>
            </w:tcBorders>
          </w:tcPr>
          <w:p>
            <w:pPr>
              <w:pStyle w:val="TableParagraph"/>
              <w:spacing w:line="239" w:lineRule="exact"/>
              <w:ind w:left="651" w:right="0"/>
              <w:jc w:val="left"/>
              <w:rPr>
                <w:rFonts w:ascii="宋体" w:hAnsi="宋体" w:cs="宋体" w:eastAsia="宋体" w:hint="default"/>
                <w:sz w:val="22"/>
                <w:szCs w:val="22"/>
              </w:rPr>
            </w:pPr>
            <w:r>
              <w:rPr>
                <w:rFonts w:ascii="宋体" w:hAnsi="宋体" w:cs="宋体" w:eastAsia="宋体" w:hint="default"/>
                <w:sz w:val="22"/>
                <w:szCs w:val="22"/>
              </w:rPr>
              <w:t>子公司适用不同税率的影响</w:t>
            </w:r>
            <w:r>
              <w:rPr>
                <w:rFonts w:ascii="宋体" w:hAnsi="宋体" w:cs="宋体" w:eastAsia="宋体" w:hint="default"/>
                <w:sz w:val="22"/>
                <w:szCs w:val="22"/>
              </w:rPr>
              <w:t> </w:t>
            </w:r>
          </w:p>
        </w:tc>
        <w:tc>
          <w:tcPr>
            <w:tcW w:w="679"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 w:right="0"/>
              <w:jc w:val="center"/>
              <w:rPr>
                <w:rFonts w:ascii="宋体" w:hAnsi="宋体" w:cs="宋体" w:eastAsia="宋体" w:hint="default"/>
                <w:sz w:val="22"/>
                <w:szCs w:val="22"/>
              </w:rPr>
            </w:pPr>
            <w:r>
              <w:rPr>
                <w:rFonts w:ascii="Arial"/>
                <w:sz w:val="22"/>
              </w:rPr>
              <w:t>(4)</w:t>
            </w:r>
            <w:r>
              <w:rPr>
                <w:rFonts w:ascii="宋体"/>
                <w:sz w:val="22"/>
              </w:rPr>
              <w:t> </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2"/>
              <w:jc w:val="right"/>
              <w:rPr>
                <w:rFonts w:ascii="Arial" w:hAnsi="Arial" w:cs="Arial" w:eastAsia="Arial" w:hint="default"/>
                <w:sz w:val="22"/>
                <w:szCs w:val="22"/>
              </w:rPr>
            </w:pPr>
            <w:r>
              <w:rPr>
                <w:rFonts w:ascii="Arial"/>
                <w:sz w:val="22"/>
              </w:rPr>
              <w:t>(142,987,541)</w:t>
            </w:r>
          </w:p>
        </w:tc>
        <w:tc>
          <w:tcPr>
            <w:tcW w:w="132" w:type="dxa"/>
            <w:tcBorders>
              <w:top w:val="nil" w:sz="6" w:space="0" w:color="auto"/>
              <w:left w:val="nil" w:sz="6" w:space="0" w:color="auto"/>
              <w:bottom w:val="nil" w:sz="6" w:space="0" w:color="auto"/>
              <w:right w:val="nil" w:sz="6" w:space="0" w:color="auto"/>
            </w:tcBorders>
          </w:tcPr>
          <w:p>
            <w:pP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21"/>
              <w:ind w:left="568" w:right="0"/>
              <w:jc w:val="left"/>
              <w:rPr>
                <w:rFonts w:ascii="Arial" w:hAnsi="Arial" w:cs="Arial" w:eastAsia="Arial" w:hint="default"/>
                <w:sz w:val="22"/>
                <w:szCs w:val="22"/>
              </w:rPr>
            </w:pPr>
            <w:r>
              <w:rPr>
                <w:rFonts w:ascii="Arial"/>
                <w:sz w:val="22"/>
              </w:rPr>
              <w:t>(137,658,860)</w:t>
            </w:r>
          </w:p>
        </w:tc>
      </w:tr>
      <w:tr>
        <w:trPr>
          <w:trHeight w:val="415" w:hRule="exact"/>
        </w:trPr>
        <w:tc>
          <w:tcPr>
            <w:tcW w:w="4014" w:type="dxa"/>
            <w:tcBorders>
              <w:top w:val="nil" w:sz="6" w:space="0" w:color="auto"/>
              <w:left w:val="nil" w:sz="6" w:space="0" w:color="auto"/>
              <w:bottom w:val="nil" w:sz="6" w:space="0" w:color="auto"/>
              <w:right w:val="nil" w:sz="6" w:space="0" w:color="auto"/>
            </w:tcBorders>
          </w:tcPr>
          <w:p>
            <w:pPr>
              <w:pStyle w:val="TableParagraph"/>
              <w:spacing w:line="239" w:lineRule="exact"/>
              <w:ind w:left="651" w:right="0"/>
              <w:jc w:val="left"/>
              <w:rPr>
                <w:rFonts w:ascii="宋体" w:hAnsi="宋体" w:cs="宋体" w:eastAsia="宋体" w:hint="default"/>
                <w:sz w:val="22"/>
                <w:szCs w:val="22"/>
              </w:rPr>
            </w:pPr>
            <w:r>
              <w:rPr>
                <w:rFonts w:ascii="宋体" w:hAnsi="宋体" w:cs="宋体" w:eastAsia="宋体" w:hint="default"/>
                <w:sz w:val="22"/>
                <w:szCs w:val="22"/>
              </w:rPr>
              <w:t>其他</w:t>
            </w:r>
            <w:r>
              <w:rPr>
                <w:rFonts w:ascii="宋体" w:hAnsi="宋体" w:cs="宋体" w:eastAsia="宋体" w:hint="default"/>
                <w:sz w:val="22"/>
                <w:szCs w:val="22"/>
              </w:rPr>
              <w:t> </w:t>
            </w:r>
          </w:p>
        </w:tc>
        <w:tc>
          <w:tcPr>
            <w:tcW w:w="3142" w:type="dxa"/>
            <w:gridSpan w:val="2"/>
            <w:tcBorders>
              <w:top w:val="nil" w:sz="6" w:space="0" w:color="auto"/>
              <w:left w:val="nil" w:sz="6" w:space="0" w:color="auto"/>
              <w:bottom w:val="nil" w:sz="6" w:space="0" w:color="auto"/>
              <w:right w:val="nil" w:sz="6" w:space="0" w:color="auto"/>
            </w:tcBorders>
          </w:tcPr>
          <w:p>
            <w:pPr>
              <w:pStyle w:val="TableParagraph"/>
              <w:tabs>
                <w:tab w:pos="1831" w:val="left" w:leader="none"/>
              </w:tabs>
              <w:spacing w:line="240" w:lineRule="auto" w:before="16"/>
              <w:ind w:left="679"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(66,253,686)</w:t>
            </w:r>
            <w:r>
              <w:rPr>
                <w:rFonts w:ascii="Arial"/>
                <w:sz w:val="22"/>
              </w:rPr>
            </w:r>
          </w:p>
        </w:tc>
        <w:tc>
          <w:tcPr>
            <w:tcW w:w="132" w:type="dxa"/>
            <w:tcBorders>
              <w:top w:val="nil" w:sz="6" w:space="0" w:color="auto"/>
              <w:left w:val="nil" w:sz="6" w:space="0" w:color="auto"/>
              <w:bottom w:val="nil" w:sz="6" w:space="0" w:color="auto"/>
              <w:right w:val="nil" w:sz="6" w:space="0" w:color="auto"/>
            </w:tcBorders>
          </w:tcPr>
          <w:p>
            <w:pPr/>
          </w:p>
        </w:tc>
        <w:tc>
          <w:tcPr>
            <w:tcW w:w="2047" w:type="dxa"/>
            <w:tcBorders>
              <w:top w:val="nil" w:sz="6" w:space="0" w:color="auto"/>
              <w:left w:val="nil" w:sz="6" w:space="0" w:color="auto"/>
              <w:bottom w:val="nil" w:sz="6" w:space="0" w:color="auto"/>
              <w:right w:val="nil" w:sz="6" w:space="0" w:color="auto"/>
            </w:tcBorders>
          </w:tcPr>
          <w:p>
            <w:pPr>
              <w:pStyle w:val="TableParagraph"/>
              <w:tabs>
                <w:tab w:pos="688" w:val="left" w:leader="none"/>
              </w:tabs>
              <w:spacing w:line="240" w:lineRule="auto" w:before="16"/>
              <w:ind w:left="7"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(66,253,686)</w:t>
            </w:r>
            <w:r>
              <w:rPr>
                <w:rFonts w:ascii="Arial"/>
                <w:sz w:val="22"/>
              </w:rPr>
            </w:r>
          </w:p>
        </w:tc>
      </w:tr>
      <w:tr>
        <w:trPr>
          <w:trHeight w:val="429" w:hRule="exact"/>
        </w:trPr>
        <w:tc>
          <w:tcPr>
            <w:tcW w:w="401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所得税费用</w:t>
            </w:r>
            <w:r>
              <w:rPr>
                <w:rFonts w:ascii="宋体" w:hAnsi="宋体" w:cs="宋体" w:eastAsia="宋体" w:hint="default"/>
                <w:sz w:val="22"/>
                <w:szCs w:val="22"/>
              </w:rPr>
              <w:t> </w:t>
            </w:r>
          </w:p>
        </w:tc>
        <w:tc>
          <w:tcPr>
            <w:tcW w:w="679"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11" w:right="0"/>
              <w:jc w:val="center"/>
              <w:rPr>
                <w:rFonts w:ascii="宋体" w:hAnsi="宋体" w:cs="宋体" w:eastAsia="宋体" w:hint="default"/>
                <w:sz w:val="22"/>
                <w:szCs w:val="22"/>
              </w:rPr>
            </w:pPr>
            <w:r>
              <w:rPr>
                <w:rFonts w:ascii="宋体"/>
                <w:w w:val="100"/>
                <w:sz w:val="22"/>
              </w:rPr>
              <w:t> </w:t>
            </w:r>
          </w:p>
        </w:tc>
        <w:tc>
          <w:tcPr>
            <w:tcW w:w="2462"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110"/>
              <w:jc w:val="right"/>
              <w:rPr>
                <w:rFonts w:ascii="Arial" w:hAnsi="Arial" w:cs="Arial" w:eastAsia="Arial" w:hint="default"/>
                <w:sz w:val="22"/>
                <w:szCs w:val="22"/>
              </w:rPr>
            </w:pPr>
            <w:r>
              <w:rPr>
                <w:rFonts w:ascii="Arial"/>
                <w:spacing w:val="-1"/>
                <w:sz w:val="22"/>
              </w:rPr>
              <w:t>2,771,062,083</w:t>
            </w:r>
          </w:p>
        </w:tc>
        <w:tc>
          <w:tcPr>
            <w:tcW w:w="132" w:type="dxa"/>
            <w:tcBorders>
              <w:top w:val="nil" w:sz="6" w:space="0" w:color="auto"/>
              <w:left w:val="nil" w:sz="6" w:space="0" w:color="auto"/>
              <w:bottom w:val="nil" w:sz="6" w:space="0" w:color="auto"/>
              <w:right w:val="nil" w:sz="6" w:space="0" w:color="auto"/>
            </w:tcBorders>
          </w:tcPr>
          <w:p>
            <w:pPr/>
          </w:p>
        </w:tc>
        <w:tc>
          <w:tcPr>
            <w:tcW w:w="2047"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left="467" w:right="0"/>
              <w:jc w:val="left"/>
              <w:rPr>
                <w:rFonts w:ascii="Arial" w:hAnsi="Arial" w:cs="Arial" w:eastAsia="Arial" w:hint="default"/>
                <w:sz w:val="22"/>
                <w:szCs w:val="22"/>
              </w:rPr>
            </w:pPr>
            <w:r>
              <w:rPr>
                <w:rFonts w:ascii="Arial"/>
                <w:sz w:val="22"/>
              </w:rPr>
              <w:t>2,774,699,072</w:t>
            </w:r>
          </w:p>
        </w:tc>
      </w:tr>
    </w:tbl>
    <w:p>
      <w:pPr>
        <w:spacing w:line="240" w:lineRule="auto" w:before="10"/>
        <w:rPr>
          <w:rFonts w:ascii="宋体" w:hAnsi="宋体" w:cs="宋体" w:eastAsia="宋体" w:hint="default"/>
          <w:sz w:val="13"/>
          <w:szCs w:val="13"/>
        </w:rPr>
      </w:pPr>
    </w:p>
    <w:p>
      <w:pPr>
        <w:pStyle w:val="BodyText"/>
        <w:spacing w:line="288" w:lineRule="exact" w:before="59"/>
        <w:ind w:left="535" w:right="102" w:hanging="423"/>
        <w:jc w:val="left"/>
      </w:pPr>
      <w:r>
        <w:rPr>
          <w:rFonts w:ascii="Arial" w:hAnsi="Arial" w:cs="Arial" w:eastAsia="Arial" w:hint="default"/>
        </w:rPr>
        <w:t>(1)</w:t>
      </w:r>
      <w:r>
        <w:rPr>
          <w:rFonts w:ascii="Arial" w:hAnsi="Arial" w:cs="Arial" w:eastAsia="Arial" w:hint="default"/>
          <w:spacing w:val="32"/>
        </w:rPr>
        <w:t> </w:t>
      </w:r>
      <w:r>
        <w:rPr/>
        <w:t>本集团在年度企业所得税汇算清缴时，因前期与税务机关就部分税前可抵扣项目的认定存在差</w:t>
      </w:r>
      <w:r>
        <w:rPr>
          <w:w w:val="100"/>
        </w:rPr>
        <w:t> </w:t>
      </w:r>
      <w:r>
        <w:rPr/>
        <w:t>异，经与主管税务机关确认后退回</w:t>
      </w:r>
      <w:r>
        <w:rPr>
          <w:rFonts w:ascii="Arial" w:hAnsi="Arial" w:cs="Arial" w:eastAsia="Arial" w:hint="default"/>
        </w:rPr>
        <w:t>/</w:t>
      </w:r>
      <w:r>
        <w:rPr/>
        <w:t>补缴企业所得税。</w:t>
      </w:r>
    </w:p>
    <w:p>
      <w:pPr>
        <w:spacing w:line="240" w:lineRule="auto" w:before="0"/>
        <w:rPr>
          <w:rFonts w:ascii="宋体" w:hAnsi="宋体" w:cs="宋体" w:eastAsia="宋体" w:hint="default"/>
          <w:sz w:val="17"/>
          <w:szCs w:val="17"/>
        </w:rPr>
      </w:pPr>
    </w:p>
    <w:p>
      <w:pPr>
        <w:pStyle w:val="BodyText"/>
        <w:spacing w:line="240" w:lineRule="auto"/>
        <w:ind w:left="112" w:right="102"/>
        <w:jc w:val="left"/>
      </w:pPr>
      <w:r>
        <w:rPr>
          <w:rFonts w:ascii="Arial" w:hAnsi="Arial" w:cs="Arial" w:eastAsia="Arial" w:hint="default"/>
        </w:rPr>
        <w:t>(2) </w:t>
      </w:r>
      <w:r>
        <w:rPr>
          <w:rFonts w:ascii="Arial" w:hAnsi="Arial" w:cs="Arial" w:eastAsia="Arial" w:hint="default"/>
          <w:spacing w:val="31"/>
        </w:rPr>
        <w:t> </w:t>
      </w:r>
      <w:r>
        <w:rPr/>
        <w:t>本公司的个别子公司运营状况改善实现盈利，因而使用前期未确认递延所得税资产的亏损。</w:t>
      </w:r>
    </w:p>
    <w:p>
      <w:pPr>
        <w:spacing w:line="240" w:lineRule="auto" w:before="2"/>
        <w:rPr>
          <w:rFonts w:ascii="宋体" w:hAnsi="宋体" w:cs="宋体" w:eastAsia="宋体" w:hint="default"/>
          <w:sz w:val="20"/>
          <w:szCs w:val="20"/>
        </w:rPr>
      </w:pPr>
    </w:p>
    <w:p>
      <w:pPr>
        <w:pStyle w:val="BodyText"/>
        <w:spacing w:line="284" w:lineRule="exact"/>
        <w:ind w:left="534" w:right="102" w:hanging="423"/>
        <w:jc w:val="left"/>
      </w:pPr>
      <w:r>
        <w:rPr>
          <w:rFonts w:ascii="Arial" w:hAnsi="Arial" w:cs="Arial" w:eastAsia="Arial" w:hint="default"/>
        </w:rPr>
        <w:t>(3) </w:t>
      </w:r>
      <w:r>
        <w:rPr/>
        <w:t>本集团的个别子公司于 </w:t>
      </w:r>
      <w:r>
        <w:rPr>
          <w:rFonts w:ascii="Arial" w:hAnsi="Arial" w:cs="Arial" w:eastAsia="Arial" w:hint="default"/>
        </w:rPr>
        <w:t>2019</w:t>
      </w:r>
      <w:r>
        <w:rPr>
          <w:rFonts w:ascii="Arial" w:hAnsi="Arial" w:cs="Arial" w:eastAsia="Arial" w:hint="default"/>
          <w:spacing w:val="41"/>
        </w:rPr>
        <w:t> </w:t>
      </w:r>
      <w:r>
        <w:rPr/>
        <w:t>年产生亏损，管理层预计在税务亏损到期前很难获取足够的应税</w:t>
      </w:r>
      <w:r>
        <w:rPr>
          <w:w w:val="100"/>
        </w:rPr>
        <w:t> </w:t>
      </w:r>
      <w:r>
        <w:rPr/>
        <w:t>利润用于弥补亏损，因此本年未确认递延所得税资产。</w:t>
      </w:r>
    </w:p>
    <w:p>
      <w:pPr>
        <w:spacing w:line="240" w:lineRule="auto" w:before="10"/>
        <w:rPr>
          <w:rFonts w:ascii="宋体" w:hAnsi="宋体" w:cs="宋体" w:eastAsia="宋体" w:hint="default"/>
          <w:sz w:val="19"/>
          <w:szCs w:val="19"/>
        </w:rPr>
      </w:pPr>
    </w:p>
    <w:p>
      <w:pPr>
        <w:pStyle w:val="BodyText"/>
        <w:spacing w:line="284" w:lineRule="exact"/>
        <w:ind w:left="534" w:right="102" w:hanging="423"/>
        <w:jc w:val="left"/>
      </w:pPr>
      <w:r>
        <w:rPr>
          <w:rFonts w:ascii="Arial" w:hAnsi="Arial" w:cs="Arial" w:eastAsia="Arial" w:hint="default"/>
        </w:rPr>
        <w:t>(4)</w:t>
      </w:r>
      <w:r>
        <w:rPr>
          <w:rFonts w:ascii="Arial" w:hAnsi="Arial" w:cs="Arial" w:eastAsia="Arial" w:hint="default"/>
          <w:spacing w:val="42"/>
        </w:rPr>
        <w:t> </w:t>
      </w:r>
      <w:r>
        <w:rPr/>
        <w:t>子公司适用不同税率的影响包括本集团中的若干子公司及分公司享受的优惠税率及境外子公司</w:t>
      </w:r>
      <w:r>
        <w:rPr>
          <w:w w:val="100"/>
        </w:rPr>
        <w:t> </w:t>
      </w:r>
      <w:r>
        <w:rPr/>
        <w:t>不同税率的影响，参见附注四</w:t>
      </w:r>
      <w:r>
        <w:rPr>
          <w:rFonts w:ascii="Arial" w:hAnsi="Arial" w:cs="Arial" w:eastAsia="Arial" w:hint="default"/>
        </w:rPr>
        <w:t>(2)(b)</w:t>
      </w:r>
      <w:r>
        <w:rPr/>
        <w:t>、附注四</w:t>
      </w:r>
      <w:r>
        <w:rPr>
          <w:rFonts w:ascii="Arial" w:hAnsi="Arial" w:cs="Arial" w:eastAsia="Arial" w:hint="default"/>
        </w:rPr>
        <w:t>(2)(c)</w:t>
      </w:r>
      <w:r>
        <w:rPr/>
        <w:t>及附注四</w:t>
      </w:r>
      <w:r>
        <w:rPr>
          <w:rFonts w:ascii="Arial" w:hAnsi="Arial" w:cs="Arial" w:eastAsia="Arial" w:hint="default"/>
        </w:rPr>
        <w:t>(2)(d)</w:t>
      </w:r>
      <w:r>
        <w:rPr/>
        <w:t>。</w:t>
      </w:r>
    </w:p>
    <w:p>
      <w:pPr>
        <w:spacing w:after="0" w:line="284" w:lineRule="exact"/>
        <w:jc w:val="left"/>
        <w:sectPr>
          <w:pgSz w:w="11910" w:h="16840"/>
          <w:pgMar w:header="1188" w:footer="502" w:top="3040" w:bottom="700" w:left="1020" w:right="1120"/>
        </w:sectPr>
      </w:pPr>
    </w:p>
    <w:p>
      <w:pPr>
        <w:spacing w:line="240" w:lineRule="auto" w:before="1"/>
        <w:rPr>
          <w:rFonts w:ascii="Times New Roman" w:hAnsi="Times New Roman" w:cs="Times New Roman" w:eastAsia="Times New Roman" w:hint="default"/>
          <w:sz w:val="27"/>
          <w:szCs w:val="27"/>
        </w:rPr>
      </w:pPr>
    </w:p>
    <w:tbl>
      <w:tblPr>
        <w:tblW w:w="0" w:type="auto"/>
        <w:jc w:val="left"/>
        <w:tblInd w:w="253" w:type="dxa"/>
        <w:tblLayout w:type="fixed"/>
        <w:tblCellMar>
          <w:top w:w="0" w:type="dxa"/>
          <w:left w:w="0" w:type="dxa"/>
          <w:bottom w:w="0" w:type="dxa"/>
          <w:right w:w="0" w:type="dxa"/>
        </w:tblCellMar>
        <w:tblLook w:val="01E0"/>
      </w:tblPr>
      <w:tblGrid>
        <w:gridCol w:w="4263"/>
        <w:gridCol w:w="1152"/>
        <w:gridCol w:w="2018"/>
        <w:gridCol w:w="110"/>
        <w:gridCol w:w="2006"/>
      </w:tblGrid>
      <w:tr>
        <w:trPr>
          <w:trHeight w:val="257" w:hRule="exact"/>
        </w:trPr>
        <w:tc>
          <w:tcPr>
            <w:tcW w:w="4263" w:type="dxa"/>
            <w:tcBorders>
              <w:top w:val="nil" w:sz="6" w:space="0" w:color="auto"/>
              <w:left w:val="nil" w:sz="6" w:space="0" w:color="auto"/>
              <w:bottom w:val="nil" w:sz="6" w:space="0" w:color="auto"/>
              <w:right w:val="nil" w:sz="6" w:space="0" w:color="auto"/>
            </w:tcBorders>
          </w:tcPr>
          <w:p>
            <w:pPr/>
          </w:p>
        </w:tc>
        <w:tc>
          <w:tcPr>
            <w:tcW w:w="3170" w:type="dxa"/>
            <w:gridSpan w:val="2"/>
            <w:tcBorders>
              <w:top w:val="nil" w:sz="6" w:space="0" w:color="auto"/>
              <w:left w:val="nil" w:sz="6" w:space="0" w:color="auto"/>
              <w:bottom w:val="nil" w:sz="6" w:space="0" w:color="auto"/>
              <w:right w:val="nil" w:sz="6" w:space="0" w:color="auto"/>
            </w:tcBorders>
          </w:tcPr>
          <w:p>
            <w:pPr>
              <w:pStyle w:val="TableParagraph"/>
              <w:tabs>
                <w:tab w:pos="2291" w:val="left" w:leader="none"/>
              </w:tabs>
              <w:spacing w:line="236" w:lineRule="exact"/>
              <w:ind w:left="943" w:right="0"/>
              <w:jc w:val="left"/>
              <w:rPr>
                <w:rFonts w:ascii="宋体" w:hAnsi="宋体" w:cs="宋体" w:eastAsia="宋体" w:hint="default"/>
                <w:sz w:val="22"/>
                <w:szCs w:val="22"/>
              </w:rPr>
            </w:pPr>
            <w:r>
              <w:rPr>
                <w:rFonts w:ascii="Arial" w:hAnsi="Arial" w:cs="Arial" w:eastAsia="Arial" w:hint="default"/>
                <w:w w:val="100"/>
                <w:sz w:val="22"/>
                <w:szCs w:val="22"/>
              </w:rPr>
            </w:r>
            <w:r>
              <w:rPr>
                <w:rFonts w:ascii="Arial" w:hAnsi="Arial" w:cs="Arial" w:eastAsia="Arial" w:hint="default"/>
                <w:w w:val="100"/>
                <w:sz w:val="22"/>
                <w:szCs w:val="22"/>
                <w:u w:val="single" w:color="000000"/>
              </w:rPr>
              <w:t> </w:t>
            </w:r>
            <w:r>
              <w:rPr>
                <w:rFonts w:ascii="Arial" w:hAnsi="Arial" w:cs="Arial" w:eastAsia="Arial" w:hint="default"/>
                <w:sz w:val="22"/>
                <w:szCs w:val="22"/>
                <w:u w:val="single" w:color="000000"/>
              </w:rPr>
              <w:tab/>
              <w:t>2019</w:t>
            </w:r>
            <w:r>
              <w:rPr>
                <w:rFonts w:ascii="Arial" w:hAnsi="Arial" w:cs="Arial" w:eastAsia="Arial" w:hint="default"/>
                <w:spacing w:val="-4"/>
                <w:sz w:val="22"/>
                <w:szCs w:val="22"/>
                <w:u w:val="single" w:color="000000"/>
              </w:rPr>
              <w:t> </w:t>
            </w:r>
            <w:r>
              <w:rPr>
                <w:rFonts w:ascii="宋体" w:hAnsi="宋体" w:cs="宋体" w:eastAsia="宋体" w:hint="default"/>
                <w:sz w:val="22"/>
                <w:szCs w:val="22"/>
                <w:u w:val="single" w:color="000000"/>
              </w:rPr>
              <w:t>年</w:t>
            </w:r>
            <w:r>
              <w:rPr>
                <w:rFonts w:ascii="宋体" w:hAnsi="宋体" w:cs="宋体" w:eastAsia="宋体" w:hint="default"/>
                <w:sz w:val="22"/>
                <w:szCs w:val="22"/>
              </w:rPr>
            </w:r>
          </w:p>
        </w:tc>
        <w:tc>
          <w:tcPr>
            <w:tcW w:w="110" w:type="dxa"/>
            <w:tcBorders>
              <w:top w:val="nil" w:sz="6" w:space="0" w:color="auto"/>
              <w:left w:val="nil" w:sz="6" w:space="0" w:color="auto"/>
              <w:bottom w:val="single" w:sz="4" w:space="0" w:color="000000"/>
              <w:right w:val="nil" w:sz="6" w:space="0" w:color="auto"/>
            </w:tcBorders>
          </w:tcPr>
          <w:p>
            <w:pPr>
              <w:pStyle w:val="TableParagraph"/>
              <w:spacing w:line="283" w:lineRule="exact"/>
              <w:ind w:right="0"/>
              <w:jc w:val="left"/>
              <w:rPr>
                <w:rFonts w:ascii="宋体" w:hAnsi="宋体" w:cs="宋体" w:eastAsia="宋体" w:hint="default"/>
                <w:sz w:val="22"/>
                <w:szCs w:val="22"/>
              </w:rPr>
            </w:pPr>
            <w:r>
              <w:rPr>
                <w:rFonts w:ascii="宋体"/>
                <w:w w:val="100"/>
                <w:sz w:val="22"/>
              </w:rPr>
              <w:t> </w:t>
            </w:r>
          </w:p>
        </w:tc>
        <w:tc>
          <w:tcPr>
            <w:tcW w:w="2006" w:type="dxa"/>
            <w:tcBorders>
              <w:top w:val="nil" w:sz="6" w:space="0" w:color="auto"/>
              <w:left w:val="nil" w:sz="6" w:space="0" w:color="auto"/>
              <w:bottom w:val="single" w:sz="4" w:space="0" w:color="000000"/>
              <w:right w:val="nil" w:sz="6" w:space="0" w:color="auto"/>
            </w:tcBorders>
          </w:tcPr>
          <w:p>
            <w:pPr>
              <w:pStyle w:val="TableParagraph"/>
              <w:spacing w:line="236" w:lineRule="exact"/>
              <w:ind w:left="1132"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pacing w:val="-5"/>
                <w:sz w:val="22"/>
                <w:szCs w:val="22"/>
              </w:rPr>
              <w:t>年</w:t>
            </w:r>
            <w:r>
              <w:rPr>
                <w:rFonts w:ascii="宋体" w:hAnsi="宋体" w:cs="宋体" w:eastAsia="宋体" w:hint="default"/>
                <w:sz w:val="22"/>
                <w:szCs w:val="22"/>
              </w:rPr>
              <w:t> </w:t>
            </w:r>
          </w:p>
        </w:tc>
      </w:tr>
      <w:tr>
        <w:trPr>
          <w:trHeight w:val="324"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57" w:lineRule="exact"/>
              <w:ind w:left="281" w:right="0"/>
              <w:jc w:val="left"/>
              <w:rPr>
                <w:rFonts w:ascii="宋体" w:hAnsi="宋体" w:cs="宋体" w:eastAsia="宋体" w:hint="default"/>
                <w:sz w:val="22"/>
                <w:szCs w:val="22"/>
              </w:rPr>
            </w:pPr>
            <w:r>
              <w:rPr>
                <w:rFonts w:ascii="宋体" w:hAnsi="宋体" w:cs="宋体" w:eastAsia="宋体" w:hint="default"/>
                <w:sz w:val="22"/>
                <w:szCs w:val="22"/>
              </w:rPr>
              <w:t>递延所得税资产：</w:t>
            </w:r>
            <w:r>
              <w:rPr>
                <w:rFonts w:ascii="宋体" w:hAnsi="宋体" w:cs="宋体" w:eastAsia="宋体" w:hint="default"/>
                <w:spacing w:val="-5"/>
                <w:sz w:val="22"/>
                <w:szCs w:val="22"/>
              </w:rPr>
              <w:t> </w:t>
            </w:r>
            <w:r>
              <w:rPr>
                <w:rFonts w:ascii="宋体" w:hAnsi="宋体" w:cs="宋体" w:eastAsia="宋体" w:hint="default"/>
                <w:sz w:val="22"/>
                <w:szCs w:val="22"/>
              </w:rPr>
              <w:t> </w:t>
            </w:r>
          </w:p>
        </w:tc>
        <w:tc>
          <w:tcPr>
            <w:tcW w:w="317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6"/>
              <w:ind w:left="539" w:right="0"/>
              <w:jc w:val="left"/>
              <w:rPr>
                <w:rFonts w:ascii="宋体" w:hAnsi="宋体" w:cs="宋体" w:eastAsia="宋体" w:hint="default"/>
                <w:sz w:val="22"/>
                <w:szCs w:val="22"/>
              </w:rPr>
            </w:pPr>
            <w:r>
              <w:rPr>
                <w:rFonts w:ascii="宋体"/>
                <w:w w:val="100"/>
                <w:sz w:val="22"/>
              </w:rPr>
              <w:t> </w:t>
            </w:r>
          </w:p>
        </w:tc>
        <w:tc>
          <w:tcPr>
            <w:tcW w:w="110" w:type="dxa"/>
            <w:tcBorders>
              <w:top w:val="single" w:sz="4" w:space="0" w:color="000000"/>
              <w:left w:val="nil" w:sz="6" w:space="0" w:color="auto"/>
              <w:bottom w:val="nil" w:sz="6" w:space="0" w:color="auto"/>
              <w:right w:val="nil" w:sz="6" w:space="0" w:color="auto"/>
            </w:tcBorders>
          </w:tcPr>
          <w:p>
            <w:pPr/>
          </w:p>
        </w:tc>
        <w:tc>
          <w:tcPr>
            <w:tcW w:w="2006" w:type="dxa"/>
            <w:tcBorders>
              <w:top w:val="single" w:sz="4" w:space="0" w:color="000000"/>
              <w:left w:val="nil" w:sz="6" w:space="0" w:color="auto"/>
              <w:bottom w:val="nil" w:sz="6" w:space="0" w:color="auto"/>
              <w:right w:val="nil" w:sz="6" w:space="0" w:color="auto"/>
            </w:tcBorders>
          </w:tcPr>
          <w:p>
            <w:pPr/>
          </w:p>
        </w:tc>
      </w:tr>
      <w:tr>
        <w:trPr>
          <w:trHeight w:val="283"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21" w:lineRule="exact"/>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原准则下的年初余额</w:t>
            </w:r>
            <w:r>
              <w:rPr>
                <w:rFonts w:ascii="宋体" w:hAnsi="宋体" w:cs="宋体" w:eastAsia="宋体" w:hint="default"/>
                <w:spacing w:val="-5"/>
                <w:sz w:val="22"/>
                <w:szCs w:val="22"/>
              </w:rPr>
              <w:t> </w:t>
            </w:r>
            <w:r>
              <w:rPr>
                <w:rFonts w:ascii="宋体" w:hAnsi="宋体" w:cs="宋体" w:eastAsia="宋体" w:hint="default"/>
                <w:sz w:val="22"/>
                <w:szCs w:val="22"/>
              </w:rPr>
              <w:t> </w:t>
            </w:r>
          </w:p>
        </w:tc>
        <w:tc>
          <w:tcPr>
            <w:tcW w:w="1152" w:type="dxa"/>
            <w:tcBorders>
              <w:top w:val="nil" w:sz="6" w:space="0" w:color="auto"/>
              <w:left w:val="nil" w:sz="6" w:space="0" w:color="auto"/>
              <w:bottom w:val="nil" w:sz="6" w:space="0" w:color="auto"/>
              <w:right w:val="nil" w:sz="6" w:space="0" w:color="auto"/>
            </w:tcBorders>
          </w:tcPr>
          <w:p>
            <w:pPr>
              <w:pStyle w:val="TableParagraph"/>
              <w:spacing w:line="283" w:lineRule="exact"/>
              <w:ind w:left="650" w:right="0"/>
              <w:jc w:val="left"/>
              <w:rPr>
                <w:rFonts w:ascii="宋体" w:hAnsi="宋体" w:cs="宋体" w:eastAsia="宋体" w:hint="default"/>
                <w:sz w:val="22"/>
                <w:szCs w:val="22"/>
              </w:rPr>
            </w:pPr>
            <w:r>
              <w:rPr>
                <w:rFonts w:ascii="宋体"/>
                <w:w w:val="100"/>
                <w:sz w:val="22"/>
              </w:rPr>
              <w:t> </w:t>
            </w:r>
          </w:p>
        </w:tc>
        <w:tc>
          <w:tcPr>
            <w:tcW w:w="2018" w:type="dxa"/>
            <w:tcBorders>
              <w:top w:val="nil" w:sz="6" w:space="0" w:color="auto"/>
              <w:left w:val="nil" w:sz="6" w:space="0" w:color="auto"/>
              <w:bottom w:val="nil" w:sz="6" w:space="0" w:color="auto"/>
              <w:right w:val="nil" w:sz="6" w:space="0" w:color="auto"/>
            </w:tcBorders>
          </w:tcPr>
          <w:p>
            <w:pPr>
              <w:pStyle w:val="TableParagraph"/>
              <w:spacing w:line="251" w:lineRule="exact"/>
              <w:ind w:left="453" w:right="0"/>
              <w:jc w:val="left"/>
              <w:rPr>
                <w:rFonts w:ascii="Arial" w:hAnsi="Arial" w:cs="Arial" w:eastAsia="Arial" w:hint="default"/>
                <w:sz w:val="22"/>
                <w:szCs w:val="22"/>
              </w:rPr>
            </w:pPr>
            <w:r>
              <w:rPr>
                <w:rFonts w:ascii="Arial"/>
                <w:sz w:val="22"/>
              </w:rPr>
              <w:t>2,048,586,266</w:t>
            </w:r>
          </w:p>
        </w:tc>
        <w:tc>
          <w:tcPr>
            <w:tcW w:w="2117" w:type="dxa"/>
            <w:gridSpan w:val="2"/>
            <w:tcBorders>
              <w:top w:val="nil" w:sz="6" w:space="0" w:color="auto"/>
              <w:left w:val="nil" w:sz="6" w:space="0" w:color="auto"/>
              <w:bottom w:val="nil" w:sz="6" w:space="0" w:color="auto"/>
              <w:right w:val="nil" w:sz="6" w:space="0" w:color="auto"/>
            </w:tcBorders>
          </w:tcPr>
          <w:p>
            <w:pPr>
              <w:pStyle w:val="TableParagraph"/>
              <w:spacing w:line="251" w:lineRule="exact"/>
              <w:ind w:left="532" w:right="0"/>
              <w:jc w:val="left"/>
              <w:rPr>
                <w:rFonts w:ascii="Arial" w:hAnsi="Arial" w:cs="Arial" w:eastAsia="Arial" w:hint="default"/>
                <w:sz w:val="22"/>
                <w:szCs w:val="22"/>
              </w:rPr>
            </w:pPr>
            <w:r>
              <w:rPr>
                <w:rFonts w:ascii="Arial"/>
                <w:sz w:val="22"/>
              </w:rPr>
              <w:t>4,573,333,656</w:t>
            </w:r>
          </w:p>
        </w:tc>
      </w:tr>
      <w:tr>
        <w:trPr>
          <w:trHeight w:val="29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21" w:lineRule="exact"/>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首次执行新准则的调整金额</w:t>
            </w:r>
            <w:r>
              <w:rPr>
                <w:rFonts w:ascii="宋体" w:hAnsi="宋体" w:cs="宋体" w:eastAsia="宋体" w:hint="default"/>
                <w:spacing w:val="-5"/>
                <w:sz w:val="22"/>
                <w:szCs w:val="22"/>
              </w:rPr>
              <w:t> </w:t>
            </w:r>
            <w:r>
              <w:rPr>
                <w:rFonts w:ascii="宋体" w:hAnsi="宋体" w:cs="宋体" w:eastAsia="宋体" w:hint="default"/>
                <w:sz w:val="22"/>
                <w:szCs w:val="22"/>
              </w:rPr>
              <w:t> </w:t>
            </w:r>
          </w:p>
        </w:tc>
        <w:tc>
          <w:tcPr>
            <w:tcW w:w="1152" w:type="dxa"/>
            <w:tcBorders>
              <w:top w:val="nil" w:sz="6" w:space="0" w:color="auto"/>
              <w:left w:val="nil" w:sz="6" w:space="0" w:color="auto"/>
              <w:bottom w:val="nil" w:sz="6" w:space="0" w:color="auto"/>
              <w:right w:val="nil" w:sz="6" w:space="0" w:color="auto"/>
            </w:tcBorders>
          </w:tcPr>
          <w:p>
            <w:pPr>
              <w:pStyle w:val="TableParagraph"/>
              <w:tabs>
                <w:tab w:pos="1787" w:val="left" w:leader="none"/>
              </w:tabs>
              <w:spacing w:line="251" w:lineRule="exact"/>
              <w:ind w:left="650" w:right="-636"/>
              <w:jc w:val="left"/>
              <w:rPr>
                <w:rFonts w:ascii="Arial" w:hAnsi="Arial" w:cs="Arial" w:eastAsia="Arial" w:hint="default"/>
                <w:sz w:val="22"/>
                <w:szCs w:val="22"/>
              </w:rPr>
            </w:pPr>
            <w:r>
              <w:rPr>
                <w:rFonts w:ascii="宋体"/>
                <w:w w:val="100"/>
                <w:position w:val="-4"/>
                <w:sz w:val="22"/>
              </w:rPr>
              <w:t> </w:t>
            </w:r>
            <w:r>
              <w:rPr>
                <w:rFonts w:ascii="宋体"/>
                <w:position w:val="-4"/>
                <w:sz w:val="22"/>
              </w:rPr>
              <w:t> </w:t>
            </w:r>
            <w:r>
              <w:rPr>
                <w:rFonts w:ascii="宋体"/>
                <w:spacing w:val="-38"/>
                <w:position w:val="-4"/>
                <w:sz w:val="22"/>
              </w:rPr>
              <w:t> </w:t>
            </w:r>
            <w:r>
              <w:rPr>
                <w:rFonts w:ascii="Arial"/>
                <w:spacing w:val="-38"/>
                <w:w w:val="100"/>
                <w:sz w:val="22"/>
              </w:rPr>
            </w:r>
            <w:r>
              <w:rPr>
                <w:rFonts w:ascii="Arial"/>
                <w:w w:val="100"/>
                <w:sz w:val="22"/>
                <w:u w:val="single" w:color="000000"/>
              </w:rPr>
              <w:t> </w:t>
            </w:r>
            <w:r>
              <w:rPr>
                <w:rFonts w:ascii="Arial"/>
                <w:sz w:val="22"/>
                <w:u w:val="single" w:color="000000"/>
              </w:rPr>
              <w:tab/>
            </w:r>
            <w:r>
              <w:rPr>
                <w:rFonts w:ascii="Arial"/>
                <w:sz w:val="22"/>
              </w:rPr>
            </w:r>
          </w:p>
        </w:tc>
        <w:tc>
          <w:tcPr>
            <w:tcW w:w="2018" w:type="dxa"/>
            <w:tcBorders>
              <w:top w:val="nil" w:sz="6" w:space="0" w:color="auto"/>
              <w:left w:val="nil" w:sz="6" w:space="0" w:color="auto"/>
              <w:bottom w:val="nil" w:sz="6" w:space="0" w:color="auto"/>
              <w:right w:val="nil" w:sz="6" w:space="0" w:color="auto"/>
            </w:tcBorders>
          </w:tcPr>
          <w:p>
            <w:pPr>
              <w:pStyle w:val="TableParagraph"/>
              <w:tabs>
                <w:tab w:pos="1319" w:val="left" w:leader="none"/>
              </w:tabs>
              <w:spacing w:line="251" w:lineRule="exact"/>
              <w:ind w:right="60"/>
              <w:jc w:val="right"/>
              <w:rPr>
                <w:rFonts w:ascii="Arial" w:hAnsi="Arial" w:cs="Arial" w:eastAsia="Arial" w:hint="default"/>
                <w:sz w:val="22"/>
                <w:szCs w:val="22"/>
              </w:rPr>
            </w:pPr>
            <w:r>
              <w:rPr>
                <w:rFonts w:ascii="Arial"/>
                <w:w w:val="100"/>
                <w:sz w:val="22"/>
              </w:rPr>
            </w:r>
            <w:r>
              <w:rPr>
                <w:rFonts w:ascii="Arial"/>
                <w:spacing w:val="-1"/>
                <w:sz w:val="22"/>
                <w:u w:val="single" w:color="000000"/>
              </w:rPr>
              <w:t>271,457,283</w:t>
              <w:tab/>
            </w:r>
            <w:r>
              <w:rPr>
                <w:rFonts w:ascii="Arial"/>
                <w:spacing w:val="-1"/>
                <w:sz w:val="22"/>
              </w:rPr>
            </w:r>
          </w:p>
        </w:tc>
        <w:tc>
          <w:tcPr>
            <w:tcW w:w="110" w:type="dxa"/>
            <w:tcBorders>
              <w:top w:val="nil" w:sz="6" w:space="0" w:color="auto"/>
              <w:left w:val="nil" w:sz="6" w:space="0" w:color="auto"/>
              <w:bottom w:val="nil" w:sz="6" w:space="0" w:color="auto"/>
              <w:right w:val="nil" w:sz="6" w:space="0" w:color="auto"/>
            </w:tcBorders>
          </w:tcPr>
          <w:p>
            <w:pPr/>
          </w:p>
        </w:tc>
        <w:tc>
          <w:tcPr>
            <w:tcW w:w="2006" w:type="dxa"/>
            <w:tcBorders>
              <w:top w:val="nil" w:sz="6" w:space="0" w:color="auto"/>
              <w:left w:val="nil" w:sz="6" w:space="0" w:color="auto"/>
              <w:bottom w:val="nil" w:sz="6" w:space="0" w:color="auto"/>
              <w:right w:val="nil" w:sz="6" w:space="0" w:color="auto"/>
            </w:tcBorders>
          </w:tcPr>
          <w:p>
            <w:pPr>
              <w:pStyle w:val="TableParagraph"/>
              <w:tabs>
                <w:tab w:pos="527" w:val="left" w:leader="none"/>
              </w:tabs>
              <w:spacing w:line="251" w:lineRule="exact"/>
              <w:ind w:left="-34"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(318,711,076)</w:t>
            </w:r>
            <w:r>
              <w:rPr>
                <w:rFonts w:ascii="Arial"/>
                <w:sz w:val="22"/>
              </w:rPr>
            </w:r>
          </w:p>
        </w:tc>
      </w:tr>
      <w:tr>
        <w:trPr>
          <w:trHeight w:val="418"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28" w:lineRule="exact"/>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调整后的年初余额</w:t>
            </w:r>
            <w:r>
              <w:rPr>
                <w:rFonts w:ascii="宋体" w:hAnsi="宋体" w:cs="宋体" w:eastAsia="宋体" w:hint="default"/>
                <w:spacing w:val="-5"/>
                <w:sz w:val="22"/>
                <w:szCs w:val="22"/>
              </w:rPr>
              <w:t> </w:t>
            </w:r>
            <w:r>
              <w:rPr>
                <w:rFonts w:ascii="宋体" w:hAnsi="宋体" w:cs="宋体" w:eastAsia="宋体" w:hint="default"/>
                <w:sz w:val="22"/>
                <w:szCs w:val="22"/>
              </w:rPr>
              <w:t> </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2"/>
              <w:ind w:left="650" w:right="0"/>
              <w:jc w:val="left"/>
              <w:rPr>
                <w:rFonts w:ascii="宋体" w:hAnsi="宋体" w:cs="宋体" w:eastAsia="宋体" w:hint="default"/>
                <w:sz w:val="22"/>
                <w:szCs w:val="22"/>
              </w:rPr>
            </w:pPr>
            <w:r>
              <w:rPr>
                <w:rFonts w:ascii="宋体"/>
                <w:w w:val="100"/>
                <w:sz w:val="22"/>
              </w:rPr>
              <w:t> </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5"/>
              <w:ind w:left="453" w:right="0"/>
              <w:jc w:val="left"/>
              <w:rPr>
                <w:rFonts w:ascii="Arial" w:hAnsi="Arial" w:cs="Arial" w:eastAsia="Arial" w:hint="default"/>
                <w:sz w:val="22"/>
                <w:szCs w:val="22"/>
              </w:rPr>
            </w:pPr>
            <w:r>
              <w:rPr>
                <w:rFonts w:ascii="Arial"/>
                <w:sz w:val="22"/>
              </w:rPr>
              <w:t>2,320,043,549</w:t>
            </w:r>
          </w:p>
        </w:tc>
        <w:tc>
          <w:tcPr>
            <w:tcW w:w="211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left="532" w:right="0"/>
              <w:jc w:val="left"/>
              <w:rPr>
                <w:rFonts w:ascii="Arial" w:hAnsi="Arial" w:cs="Arial" w:eastAsia="Arial" w:hint="default"/>
                <w:sz w:val="22"/>
                <w:szCs w:val="22"/>
              </w:rPr>
            </w:pPr>
            <w:r>
              <w:rPr>
                <w:rFonts w:ascii="Arial"/>
                <w:sz w:val="22"/>
              </w:rPr>
              <w:t>4,254,622,580</w:t>
            </w:r>
          </w:p>
        </w:tc>
      </w:tr>
      <w:tr>
        <w:trPr>
          <w:trHeight w:val="41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计入利润表的递延所得税</w:t>
            </w:r>
            <w:r>
              <w:rPr>
                <w:rFonts w:ascii="宋体" w:hAnsi="宋体" w:cs="宋体" w:eastAsia="宋体" w:hint="default"/>
                <w:spacing w:val="-5"/>
                <w:sz w:val="22"/>
                <w:szCs w:val="22"/>
              </w:rPr>
              <w:t> </w:t>
            </w:r>
            <w:r>
              <w:rPr>
                <w:rFonts w:ascii="宋体" w:hAnsi="宋体" w:cs="宋体" w:eastAsia="宋体" w:hint="default"/>
                <w:sz w:val="22"/>
                <w:szCs w:val="22"/>
              </w:rPr>
              <w:t> </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650" w:right="0"/>
              <w:jc w:val="left"/>
              <w:rPr>
                <w:rFonts w:ascii="宋体" w:hAnsi="宋体" w:cs="宋体" w:eastAsia="宋体" w:hint="default"/>
                <w:sz w:val="22"/>
                <w:szCs w:val="22"/>
              </w:rPr>
            </w:pPr>
            <w:r>
              <w:rPr>
                <w:rFonts w:ascii="宋体"/>
                <w:w w:val="100"/>
                <w:sz w:val="22"/>
              </w:rPr>
              <w:t> </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66"/>
              <w:jc w:val="right"/>
              <w:rPr>
                <w:rFonts w:ascii="Arial" w:hAnsi="Arial" w:cs="Arial" w:eastAsia="Arial" w:hint="default"/>
                <w:sz w:val="22"/>
                <w:szCs w:val="22"/>
              </w:rPr>
            </w:pPr>
            <w:r>
              <w:rPr>
                <w:rFonts w:ascii="Arial"/>
                <w:spacing w:val="-1"/>
                <w:sz w:val="22"/>
              </w:rPr>
              <w:t>(1,950,909,811)</w:t>
            </w:r>
            <w:r>
              <w:rPr>
                <w:rFonts w:ascii="Arial"/>
                <w:sz w:val="22"/>
              </w:rPr>
            </w:r>
          </w:p>
        </w:tc>
        <w:tc>
          <w:tcPr>
            <w:tcW w:w="211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5"/>
              <w:ind w:left="412" w:right="0"/>
              <w:jc w:val="left"/>
              <w:rPr>
                <w:rFonts w:ascii="Arial" w:hAnsi="Arial" w:cs="Arial" w:eastAsia="Arial" w:hint="default"/>
                <w:sz w:val="22"/>
                <w:szCs w:val="22"/>
              </w:rPr>
            </w:pPr>
            <w:r>
              <w:rPr>
                <w:rFonts w:ascii="Arial"/>
                <w:sz w:val="22"/>
              </w:rPr>
              <w:t>(2,206,036,314)</w:t>
            </w:r>
          </w:p>
        </w:tc>
      </w:tr>
      <w:tr>
        <w:trPr>
          <w:trHeight w:val="399"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21" w:lineRule="exact"/>
              <w:ind w:left="531" w:right="0"/>
              <w:jc w:val="left"/>
              <w:rPr>
                <w:rFonts w:ascii="宋体" w:hAnsi="宋体" w:cs="宋体" w:eastAsia="宋体" w:hint="default"/>
                <w:sz w:val="22"/>
                <w:szCs w:val="22"/>
              </w:rPr>
            </w:pPr>
            <w:r>
              <w:rPr>
                <w:rFonts w:ascii="宋体" w:hAnsi="宋体" w:cs="宋体" w:eastAsia="宋体" w:hint="default"/>
                <w:sz w:val="22"/>
                <w:szCs w:val="22"/>
              </w:rPr>
              <w:t>计入其他综合收益的递延所得税</w:t>
            </w:r>
            <w:r>
              <w:rPr>
                <w:rFonts w:ascii="宋体" w:hAnsi="宋体" w:cs="宋体" w:eastAsia="宋体" w:hint="default"/>
                <w:sz w:val="22"/>
                <w:szCs w:val="22"/>
              </w:rPr>
              <w:t> </w:t>
            </w:r>
          </w:p>
        </w:tc>
        <w:tc>
          <w:tcPr>
            <w:tcW w:w="1152" w:type="dxa"/>
            <w:tcBorders>
              <w:top w:val="nil" w:sz="6" w:space="0" w:color="auto"/>
              <w:left w:val="nil" w:sz="6" w:space="0" w:color="auto"/>
              <w:bottom w:val="nil" w:sz="6" w:space="0" w:color="auto"/>
              <w:right w:val="nil" w:sz="6" w:space="0" w:color="auto"/>
            </w:tcBorders>
          </w:tcPr>
          <w:p>
            <w:pPr>
              <w:pStyle w:val="TableParagraph"/>
              <w:tabs>
                <w:tab w:pos="2215" w:val="left" w:leader="none"/>
              </w:tabs>
              <w:spacing w:line="240" w:lineRule="auto" w:before="2"/>
              <w:ind w:left="650" w:right="-1064"/>
              <w:jc w:val="left"/>
              <w:rPr>
                <w:rFonts w:ascii="Arial" w:hAnsi="Arial" w:cs="Arial" w:eastAsia="Arial" w:hint="default"/>
                <w:sz w:val="22"/>
                <w:szCs w:val="22"/>
              </w:rPr>
            </w:pPr>
            <w:r>
              <w:rPr>
                <w:rFonts w:ascii="宋体"/>
                <w:w w:val="100"/>
                <w:position w:val="2"/>
                <w:sz w:val="22"/>
              </w:rPr>
              <w:t> </w:t>
            </w:r>
            <w:r>
              <w:rPr>
                <w:rFonts w:ascii="宋体"/>
                <w:position w:val="2"/>
                <w:sz w:val="22"/>
              </w:rPr>
              <w:t> </w:t>
            </w:r>
            <w:r>
              <w:rPr>
                <w:rFonts w:ascii="宋体"/>
                <w:spacing w:val="-38"/>
                <w:position w:val="2"/>
                <w:sz w:val="22"/>
              </w:rPr>
              <w:t> </w:t>
            </w:r>
            <w:r>
              <w:rPr>
                <w:rFonts w:ascii="Arial"/>
                <w:spacing w:val="-38"/>
                <w:w w:val="100"/>
                <w:sz w:val="22"/>
              </w:rPr>
            </w:r>
            <w:r>
              <w:rPr>
                <w:rFonts w:ascii="Arial"/>
                <w:w w:val="100"/>
                <w:sz w:val="22"/>
                <w:u w:val="single" w:color="000000"/>
              </w:rPr>
              <w:t> </w:t>
            </w:r>
            <w:r>
              <w:rPr>
                <w:rFonts w:ascii="Arial"/>
                <w:sz w:val="22"/>
                <w:u w:val="single" w:color="000000"/>
              </w:rPr>
              <w:tab/>
            </w:r>
            <w:r>
              <w:rPr>
                <w:rFonts w:ascii="Arial"/>
                <w:sz w:val="22"/>
              </w:rPr>
            </w:r>
          </w:p>
        </w:tc>
        <w:tc>
          <w:tcPr>
            <w:tcW w:w="2018" w:type="dxa"/>
            <w:tcBorders>
              <w:top w:val="nil" w:sz="6" w:space="0" w:color="auto"/>
              <w:left w:val="nil" w:sz="6" w:space="0" w:color="auto"/>
              <w:bottom w:val="nil" w:sz="6" w:space="0" w:color="auto"/>
              <w:right w:val="nil" w:sz="6" w:space="0" w:color="auto"/>
            </w:tcBorders>
          </w:tcPr>
          <w:p>
            <w:pPr>
              <w:pStyle w:val="TableParagraph"/>
              <w:tabs>
                <w:tab w:pos="892" w:val="left" w:leader="none"/>
              </w:tabs>
              <w:spacing w:line="240" w:lineRule="auto" w:before="2"/>
              <w:ind w:right="60"/>
              <w:jc w:val="right"/>
              <w:rPr>
                <w:rFonts w:ascii="Arial" w:hAnsi="Arial" w:cs="Arial" w:eastAsia="Arial" w:hint="default"/>
                <w:sz w:val="22"/>
                <w:szCs w:val="22"/>
              </w:rPr>
            </w:pPr>
            <w:r>
              <w:rPr>
                <w:rFonts w:ascii="Arial"/>
                <w:w w:val="100"/>
                <w:sz w:val="22"/>
              </w:rPr>
            </w:r>
            <w:r>
              <w:rPr>
                <w:rFonts w:ascii="Arial"/>
                <w:sz w:val="22"/>
                <w:u w:val="single" w:color="000000"/>
              </w:rPr>
              <w:t>845,991</w:t>
              <w:tab/>
            </w:r>
            <w:r>
              <w:rPr>
                <w:rFonts w:ascii="Arial"/>
                <w:sz w:val="22"/>
              </w:rPr>
            </w:r>
          </w:p>
        </w:tc>
        <w:tc>
          <w:tcPr>
            <w:tcW w:w="2117" w:type="dxa"/>
            <w:gridSpan w:val="2"/>
            <w:tcBorders>
              <w:top w:val="nil" w:sz="6" w:space="0" w:color="auto"/>
              <w:left w:val="nil" w:sz="6" w:space="0" w:color="auto"/>
              <w:bottom w:val="nil" w:sz="6" w:space="0" w:color="auto"/>
              <w:right w:val="nil" w:sz="6" w:space="0" w:color="auto"/>
            </w:tcBorders>
          </w:tcPr>
          <w:p>
            <w:pPr>
              <w:pStyle w:val="TableParagraph"/>
              <w:tabs>
                <w:tab w:pos="1895" w:val="left" w:leader="none"/>
                <w:tab w:pos="2063" w:val="left" w:leader="none"/>
              </w:tabs>
              <w:spacing w:line="240" w:lineRule="auto" w:before="2"/>
              <w:ind w:left="76"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tab/>
            </w:r>
            <w:r>
              <w:rPr>
                <w:rFonts w:ascii="Arial"/>
                <w:sz w:val="22"/>
              </w:rPr>
            </w:r>
          </w:p>
        </w:tc>
      </w:tr>
      <w:tr>
        <w:trPr>
          <w:trHeight w:val="436"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年末余额</w:t>
            </w:r>
            <w:r>
              <w:rPr>
                <w:rFonts w:ascii="宋体" w:hAnsi="宋体" w:cs="宋体" w:eastAsia="宋体" w:hint="default"/>
                <w:spacing w:val="-5"/>
                <w:sz w:val="22"/>
                <w:szCs w:val="22"/>
              </w:rPr>
              <w:t> </w:t>
            </w:r>
            <w:r>
              <w:rPr>
                <w:rFonts w:ascii="宋体" w:hAnsi="宋体" w:cs="宋体" w:eastAsia="宋体" w:hint="default"/>
                <w:sz w:val="22"/>
                <w:szCs w:val="22"/>
              </w:rPr>
              <w:t> </w:t>
            </w:r>
          </w:p>
        </w:tc>
        <w:tc>
          <w:tcPr>
            <w:tcW w:w="1152" w:type="dxa"/>
            <w:tcBorders>
              <w:top w:val="nil" w:sz="6" w:space="0" w:color="auto"/>
              <w:left w:val="nil" w:sz="6" w:space="0" w:color="auto"/>
              <w:bottom w:val="nil" w:sz="6" w:space="0" w:color="auto"/>
              <w:right w:val="nil" w:sz="6" w:space="0" w:color="auto"/>
            </w:tcBorders>
          </w:tcPr>
          <w:p>
            <w:pPr>
              <w:pStyle w:val="TableParagraph"/>
              <w:tabs>
                <w:tab w:pos="1783" w:val="left" w:leader="none"/>
              </w:tabs>
              <w:spacing w:line="240" w:lineRule="auto" w:before="150"/>
              <w:ind w:left="650" w:right="-632"/>
              <w:jc w:val="left"/>
              <w:rPr>
                <w:rFonts w:ascii="Arial" w:hAnsi="Arial" w:cs="Arial" w:eastAsia="Arial" w:hint="default"/>
                <w:sz w:val="22"/>
                <w:szCs w:val="22"/>
              </w:rPr>
            </w:pPr>
            <w:r>
              <w:rPr>
                <w:rFonts w:ascii="宋体"/>
                <w:w w:val="100"/>
                <w:position w:val="-4"/>
                <w:sz w:val="22"/>
              </w:rPr>
              <w:t> </w:t>
            </w:r>
            <w:r>
              <w:rPr>
                <w:rFonts w:ascii="宋体"/>
                <w:position w:val="-4"/>
                <w:sz w:val="22"/>
              </w:rPr>
              <w:t> </w:t>
            </w:r>
            <w:r>
              <w:rPr>
                <w:rFonts w:ascii="宋体"/>
                <w:spacing w:val="-52"/>
                <w:position w:val="-4"/>
                <w:sz w:val="22"/>
              </w:rPr>
              <w:t> </w:t>
            </w:r>
            <w:r>
              <w:rPr>
                <w:rFonts w:ascii="Arial"/>
                <w:spacing w:val="-52"/>
                <w:w w:val="100"/>
                <w:sz w:val="22"/>
              </w:rPr>
            </w:r>
            <w:r>
              <w:rPr>
                <w:rFonts w:ascii="Arial"/>
                <w:w w:val="100"/>
                <w:sz w:val="22"/>
                <w:u w:val="thick" w:color="000000"/>
              </w:rPr>
              <w:t> </w:t>
            </w:r>
            <w:r>
              <w:rPr>
                <w:rFonts w:ascii="Arial"/>
                <w:sz w:val="22"/>
                <w:u w:val="thick" w:color="000000"/>
              </w:rPr>
              <w:tab/>
            </w:r>
            <w:r>
              <w:rPr>
                <w:rFonts w:ascii="Arial"/>
                <w:sz w:val="22"/>
              </w:rPr>
            </w:r>
          </w:p>
        </w:tc>
        <w:tc>
          <w:tcPr>
            <w:tcW w:w="2018" w:type="dxa"/>
            <w:tcBorders>
              <w:top w:val="nil" w:sz="6" w:space="0" w:color="auto"/>
              <w:left w:val="nil" w:sz="6" w:space="0" w:color="auto"/>
              <w:bottom w:val="nil" w:sz="6" w:space="0" w:color="auto"/>
              <w:right w:val="nil" w:sz="6" w:space="0" w:color="auto"/>
            </w:tcBorders>
          </w:tcPr>
          <w:p>
            <w:pPr>
              <w:pStyle w:val="TableParagraph"/>
              <w:tabs>
                <w:tab w:pos="1324" w:val="left" w:leader="none"/>
              </w:tabs>
              <w:spacing w:line="240" w:lineRule="auto" w:before="150"/>
              <w:ind w:right="60"/>
              <w:jc w:val="right"/>
              <w:rPr>
                <w:rFonts w:ascii="Arial" w:hAnsi="Arial" w:cs="Arial" w:eastAsia="Arial" w:hint="default"/>
                <w:sz w:val="22"/>
                <w:szCs w:val="22"/>
              </w:rPr>
            </w:pPr>
            <w:r>
              <w:rPr>
                <w:rFonts w:ascii="Arial"/>
                <w:w w:val="100"/>
                <w:sz w:val="22"/>
              </w:rPr>
            </w:r>
            <w:r>
              <w:rPr>
                <w:rFonts w:ascii="Arial"/>
                <w:spacing w:val="-1"/>
                <w:sz w:val="22"/>
                <w:u w:val="thick" w:color="000000"/>
              </w:rPr>
              <w:t>369,979,729</w:t>
              <w:tab/>
            </w:r>
            <w:r>
              <w:rPr>
                <w:rFonts w:ascii="Arial"/>
                <w:spacing w:val="-1"/>
                <w:sz w:val="22"/>
              </w:rPr>
            </w:r>
          </w:p>
        </w:tc>
        <w:tc>
          <w:tcPr>
            <w:tcW w:w="2117" w:type="dxa"/>
            <w:gridSpan w:val="2"/>
            <w:tcBorders>
              <w:top w:val="nil" w:sz="6" w:space="0" w:color="auto"/>
              <w:left w:val="nil" w:sz="6" w:space="0" w:color="auto"/>
              <w:bottom w:val="nil" w:sz="6" w:space="0" w:color="auto"/>
              <w:right w:val="nil" w:sz="6" w:space="0" w:color="auto"/>
            </w:tcBorders>
          </w:tcPr>
          <w:p>
            <w:pPr>
              <w:pStyle w:val="TableParagraph"/>
              <w:tabs>
                <w:tab w:pos="532" w:val="left" w:leader="none"/>
                <w:tab w:pos="2063" w:val="left" w:leader="none"/>
              </w:tabs>
              <w:spacing w:line="240" w:lineRule="auto" w:before="150"/>
              <w:ind w:left="62" w:right="0"/>
              <w:jc w:val="left"/>
              <w:rPr>
                <w:rFonts w:ascii="Arial" w:hAnsi="Arial" w:cs="Arial" w:eastAsia="Arial" w:hint="default"/>
                <w:sz w:val="22"/>
                <w:szCs w:val="22"/>
              </w:rPr>
            </w:pPr>
            <w:r>
              <w:rPr>
                <w:rFonts w:ascii="Arial"/>
                <w:w w:val="100"/>
                <w:sz w:val="22"/>
              </w:rPr>
            </w:r>
            <w:r>
              <w:rPr>
                <w:rFonts w:ascii="Arial"/>
                <w:w w:val="100"/>
                <w:sz w:val="22"/>
                <w:u w:val="thick" w:color="000000"/>
              </w:rPr>
              <w:t> </w:t>
            </w:r>
            <w:r>
              <w:rPr>
                <w:rFonts w:ascii="Arial"/>
                <w:sz w:val="22"/>
                <w:u w:val="thick" w:color="000000"/>
              </w:rPr>
              <w:tab/>
              <w:t>2,048,586,266</w:t>
              <w:tab/>
            </w:r>
            <w:r>
              <w:rPr>
                <w:rFonts w:ascii="Arial"/>
                <w:sz w:val="22"/>
              </w:rPr>
            </w:r>
          </w:p>
        </w:tc>
      </w:tr>
    </w:tbl>
    <w:p>
      <w:pPr>
        <w:spacing w:line="240" w:lineRule="auto" w:before="10"/>
        <w:rPr>
          <w:rFonts w:ascii="Times New Roman" w:hAnsi="Times New Roman" w:cs="Times New Roman" w:eastAsia="Times New Roman" w:hint="default"/>
          <w:sz w:val="25"/>
          <w:szCs w:val="25"/>
        </w:rPr>
      </w:pPr>
    </w:p>
    <w:tbl>
      <w:tblPr>
        <w:tblW w:w="0" w:type="auto"/>
        <w:jc w:val="left"/>
        <w:tblInd w:w="335" w:type="dxa"/>
        <w:tblLayout w:type="fixed"/>
        <w:tblCellMar>
          <w:top w:w="0" w:type="dxa"/>
          <w:left w:w="0" w:type="dxa"/>
          <w:bottom w:w="0" w:type="dxa"/>
          <w:right w:w="0" w:type="dxa"/>
        </w:tblCellMar>
        <w:tblLook w:val="01E0"/>
      </w:tblPr>
      <w:tblGrid>
        <w:gridCol w:w="5120"/>
        <w:gridCol w:w="2198"/>
        <w:gridCol w:w="132"/>
        <w:gridCol w:w="1966"/>
      </w:tblGrid>
      <w:tr>
        <w:trPr>
          <w:trHeight w:val="257" w:hRule="exact"/>
        </w:trPr>
        <w:tc>
          <w:tcPr>
            <w:tcW w:w="5120" w:type="dxa"/>
            <w:tcBorders>
              <w:top w:val="nil" w:sz="6" w:space="0" w:color="auto"/>
              <w:left w:val="nil" w:sz="6" w:space="0" w:color="auto"/>
              <w:bottom w:val="nil" w:sz="6" w:space="0" w:color="auto"/>
              <w:right w:val="nil" w:sz="6" w:space="0" w:color="auto"/>
            </w:tcBorders>
          </w:tcPr>
          <w:p>
            <w:pPr/>
          </w:p>
        </w:tc>
        <w:tc>
          <w:tcPr>
            <w:tcW w:w="2198" w:type="dxa"/>
            <w:tcBorders>
              <w:top w:val="nil" w:sz="6" w:space="0" w:color="auto"/>
              <w:left w:val="nil" w:sz="6" w:space="0" w:color="auto"/>
              <w:bottom w:val="single" w:sz="4" w:space="0" w:color="000000"/>
              <w:right w:val="nil" w:sz="6" w:space="0" w:color="auto"/>
            </w:tcBorders>
          </w:tcPr>
          <w:p>
            <w:pPr>
              <w:pStyle w:val="TableParagraph"/>
              <w:spacing w:line="236" w:lineRule="exact"/>
              <w:ind w:right="46"/>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13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single" w:sz="4" w:space="0" w:color="000000"/>
              <w:right w:val="nil" w:sz="6" w:space="0" w:color="auto"/>
            </w:tcBorders>
          </w:tcPr>
          <w:p>
            <w:pPr>
              <w:pStyle w:val="TableParagraph"/>
              <w:spacing w:line="236" w:lineRule="exact"/>
              <w:ind w:right="47"/>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tc>
      </w:tr>
      <w:tr>
        <w:trPr>
          <w:trHeight w:val="290" w:hRule="exact"/>
        </w:trPr>
        <w:tc>
          <w:tcPr>
            <w:tcW w:w="5120" w:type="dxa"/>
            <w:tcBorders>
              <w:top w:val="nil" w:sz="6" w:space="0" w:color="auto"/>
              <w:left w:val="nil" w:sz="6" w:space="0" w:color="auto"/>
              <w:bottom w:val="nil" w:sz="6" w:space="0" w:color="auto"/>
              <w:right w:val="nil" w:sz="6" w:space="0" w:color="auto"/>
            </w:tcBorders>
          </w:tcPr>
          <w:p>
            <w:pPr>
              <w:pStyle w:val="TableParagraph"/>
              <w:spacing w:line="257" w:lineRule="exact"/>
              <w:ind w:left="200" w:right="0"/>
              <w:jc w:val="left"/>
              <w:rPr>
                <w:rFonts w:ascii="宋体" w:hAnsi="宋体" w:cs="宋体" w:eastAsia="宋体" w:hint="default"/>
                <w:sz w:val="22"/>
                <w:szCs w:val="22"/>
              </w:rPr>
            </w:pPr>
            <w:r>
              <w:rPr>
                <w:rFonts w:ascii="宋体" w:hAnsi="宋体" w:cs="宋体" w:eastAsia="宋体" w:hint="default"/>
                <w:sz w:val="22"/>
                <w:szCs w:val="22"/>
              </w:rPr>
              <w:t>递延所得税负债：</w:t>
            </w:r>
            <w:r>
              <w:rPr>
                <w:rFonts w:ascii="宋体" w:hAnsi="宋体" w:cs="宋体" w:eastAsia="宋体" w:hint="default"/>
                <w:sz w:val="22"/>
                <w:szCs w:val="22"/>
              </w:rPr>
              <w:t> </w:t>
            </w:r>
          </w:p>
        </w:tc>
        <w:tc>
          <w:tcPr>
            <w:tcW w:w="2198" w:type="dxa"/>
            <w:tcBorders>
              <w:top w:val="single" w:sz="4" w:space="0" w:color="000000"/>
              <w:left w:val="nil" w:sz="6" w:space="0" w:color="auto"/>
              <w:bottom w:val="nil" w:sz="6" w:space="0" w:color="auto"/>
              <w:right w:val="nil" w:sz="6" w:space="0" w:color="auto"/>
            </w:tcBorders>
          </w:tcPr>
          <w:p>
            <w:pPr/>
          </w:p>
        </w:tc>
        <w:tc>
          <w:tcPr>
            <w:tcW w:w="132" w:type="dxa"/>
            <w:tcBorders>
              <w:top w:val="nil" w:sz="6" w:space="0" w:color="auto"/>
              <w:left w:val="nil" w:sz="6" w:space="0" w:color="auto"/>
              <w:bottom w:val="nil" w:sz="6" w:space="0" w:color="auto"/>
              <w:right w:val="nil" w:sz="6" w:space="0" w:color="auto"/>
            </w:tcBorders>
          </w:tcPr>
          <w:p>
            <w:pPr/>
          </w:p>
        </w:tc>
        <w:tc>
          <w:tcPr>
            <w:tcW w:w="1966" w:type="dxa"/>
            <w:tcBorders>
              <w:top w:val="single" w:sz="4" w:space="0" w:color="000000"/>
              <w:left w:val="nil" w:sz="6" w:space="0" w:color="auto"/>
              <w:bottom w:val="nil" w:sz="6" w:space="0" w:color="auto"/>
              <w:right w:val="nil" w:sz="6" w:space="0" w:color="auto"/>
            </w:tcBorders>
          </w:tcPr>
          <w:p>
            <w:pPr/>
          </w:p>
        </w:tc>
      </w:tr>
      <w:tr>
        <w:trPr>
          <w:trHeight w:val="298" w:hRule="exact"/>
        </w:trPr>
        <w:tc>
          <w:tcPr>
            <w:tcW w:w="5120" w:type="dxa"/>
            <w:tcBorders>
              <w:top w:val="nil" w:sz="6" w:space="0" w:color="auto"/>
              <w:left w:val="nil" w:sz="6" w:space="0" w:color="auto"/>
              <w:bottom w:val="nil" w:sz="6" w:space="0" w:color="auto"/>
              <w:right w:val="nil" w:sz="6" w:space="0" w:color="auto"/>
            </w:tcBorders>
          </w:tcPr>
          <w:p>
            <w:pPr>
              <w:pStyle w:val="TableParagraph"/>
              <w:spacing w:line="254" w:lineRule="exact"/>
              <w:ind w:left="420" w:right="0"/>
              <w:jc w:val="left"/>
              <w:rPr>
                <w:rFonts w:ascii="宋体" w:hAnsi="宋体" w:cs="宋体" w:eastAsia="宋体" w:hint="default"/>
                <w:sz w:val="22"/>
                <w:szCs w:val="22"/>
              </w:rPr>
            </w:pPr>
            <w:r>
              <w:rPr>
                <w:rFonts w:ascii="宋体" w:hAnsi="宋体" w:cs="宋体" w:eastAsia="宋体" w:hint="default"/>
                <w:sz w:val="22"/>
                <w:szCs w:val="22"/>
              </w:rPr>
              <w:t>原准则下的年初余额</w:t>
            </w:r>
            <w:r>
              <w:rPr>
                <w:rFonts w:ascii="宋体" w:hAnsi="宋体" w:cs="宋体" w:eastAsia="宋体" w:hint="default"/>
                <w:sz w:val="22"/>
                <w:szCs w:val="22"/>
              </w:rPr>
              <w:t> </w:t>
            </w: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9"/>
              <w:jc w:val="right"/>
              <w:rPr>
                <w:rFonts w:ascii="Arial" w:hAnsi="Arial" w:cs="Arial" w:eastAsia="Arial" w:hint="default"/>
                <w:sz w:val="22"/>
                <w:szCs w:val="22"/>
              </w:rPr>
            </w:pPr>
            <w:r>
              <w:rPr>
                <w:rFonts w:ascii="Arial"/>
                <w:sz w:val="22"/>
              </w:rPr>
              <w:t>(125,457,945)</w:t>
            </w:r>
          </w:p>
        </w:tc>
        <w:tc>
          <w:tcPr>
            <w:tcW w:w="13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42"/>
              <w:jc w:val="right"/>
              <w:rPr>
                <w:rFonts w:ascii="Arial" w:hAnsi="Arial" w:cs="Arial" w:eastAsia="Arial" w:hint="default"/>
                <w:sz w:val="22"/>
                <w:szCs w:val="22"/>
              </w:rPr>
            </w:pPr>
            <w:r>
              <w:rPr>
                <w:rFonts w:ascii="Arial"/>
                <w:sz w:val="22"/>
              </w:rPr>
              <w:t>(124,585,795)</w:t>
            </w:r>
          </w:p>
        </w:tc>
      </w:tr>
      <w:tr>
        <w:trPr>
          <w:trHeight w:val="293" w:hRule="exact"/>
        </w:trPr>
        <w:tc>
          <w:tcPr>
            <w:tcW w:w="5120" w:type="dxa"/>
            <w:tcBorders>
              <w:top w:val="nil" w:sz="6" w:space="0" w:color="auto"/>
              <w:left w:val="nil" w:sz="6" w:space="0" w:color="auto"/>
              <w:bottom w:val="nil" w:sz="6" w:space="0" w:color="auto"/>
              <w:right w:val="nil" w:sz="6" w:space="0" w:color="auto"/>
            </w:tcBorders>
          </w:tcPr>
          <w:p>
            <w:pPr>
              <w:pStyle w:val="TableParagraph"/>
              <w:spacing w:line="239" w:lineRule="exact"/>
              <w:ind w:left="420" w:right="0"/>
              <w:jc w:val="left"/>
              <w:rPr>
                <w:rFonts w:ascii="宋体" w:hAnsi="宋体" w:cs="宋体" w:eastAsia="宋体" w:hint="default"/>
                <w:sz w:val="22"/>
                <w:szCs w:val="22"/>
              </w:rPr>
            </w:pPr>
            <w:r>
              <w:rPr>
                <w:rFonts w:ascii="宋体" w:hAnsi="宋体" w:cs="宋体" w:eastAsia="宋体" w:hint="default"/>
                <w:sz w:val="22"/>
                <w:szCs w:val="22"/>
              </w:rPr>
              <w:t>首次执行新准则的调整金额</w:t>
            </w:r>
            <w:r>
              <w:rPr>
                <w:rFonts w:ascii="宋体" w:hAnsi="宋体" w:cs="宋体" w:eastAsia="宋体" w:hint="default"/>
                <w:spacing w:val="-5"/>
                <w:sz w:val="22"/>
                <w:szCs w:val="22"/>
              </w:rPr>
              <w:t> </w:t>
            </w:r>
            <w:r>
              <w:rPr>
                <w:rFonts w:ascii="宋体" w:hAnsi="宋体" w:cs="宋体" w:eastAsia="宋体" w:hint="default"/>
                <w:sz w:val="22"/>
                <w:szCs w:val="22"/>
              </w:rPr>
              <w:t> </w:t>
            </w:r>
          </w:p>
        </w:tc>
        <w:tc>
          <w:tcPr>
            <w:tcW w:w="2198" w:type="dxa"/>
            <w:tcBorders>
              <w:top w:val="nil" w:sz="6" w:space="0" w:color="auto"/>
              <w:left w:val="nil" w:sz="6" w:space="0" w:color="auto"/>
              <w:bottom w:val="nil" w:sz="6" w:space="0" w:color="auto"/>
              <w:right w:val="nil" w:sz="6" w:space="0" w:color="auto"/>
            </w:tcBorders>
          </w:tcPr>
          <w:p>
            <w:pPr>
              <w:pStyle w:val="TableParagraph"/>
              <w:tabs>
                <w:tab w:pos="2030"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tab/>
            </w:r>
            <w:r>
              <w:rPr>
                <w:rFonts w:ascii="Arial"/>
                <w:sz w:val="22"/>
              </w:rPr>
            </w:r>
          </w:p>
        </w:tc>
        <w:tc>
          <w:tcPr>
            <w:tcW w:w="13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tabs>
                <w:tab w:pos="1771" w:val="left" w:leader="none"/>
                <w:tab w:pos="1958"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tab/>
            </w:r>
            <w:r>
              <w:rPr>
                <w:rFonts w:ascii="Arial"/>
                <w:sz w:val="22"/>
              </w:rPr>
            </w:r>
          </w:p>
        </w:tc>
      </w:tr>
      <w:tr>
        <w:trPr>
          <w:trHeight w:val="288" w:hRule="exact"/>
        </w:trPr>
        <w:tc>
          <w:tcPr>
            <w:tcW w:w="5120" w:type="dxa"/>
            <w:tcBorders>
              <w:top w:val="nil" w:sz="6" w:space="0" w:color="auto"/>
              <w:left w:val="nil" w:sz="6" w:space="0" w:color="auto"/>
              <w:bottom w:val="nil" w:sz="6" w:space="0" w:color="auto"/>
              <w:right w:val="nil" w:sz="6" w:space="0" w:color="auto"/>
            </w:tcBorders>
          </w:tcPr>
          <w:p>
            <w:pPr>
              <w:pStyle w:val="TableParagraph"/>
              <w:spacing w:line="244" w:lineRule="exact"/>
              <w:ind w:left="420" w:right="0"/>
              <w:jc w:val="left"/>
              <w:rPr>
                <w:rFonts w:ascii="宋体" w:hAnsi="宋体" w:cs="宋体" w:eastAsia="宋体" w:hint="default"/>
                <w:sz w:val="22"/>
                <w:szCs w:val="22"/>
              </w:rPr>
            </w:pPr>
            <w:r>
              <w:rPr>
                <w:rFonts w:ascii="宋体" w:hAnsi="宋体" w:cs="宋体" w:eastAsia="宋体" w:hint="default"/>
                <w:sz w:val="22"/>
                <w:szCs w:val="22"/>
              </w:rPr>
              <w:t>调整后的年初余额</w:t>
            </w:r>
            <w:r>
              <w:rPr>
                <w:rFonts w:ascii="宋体" w:hAnsi="宋体" w:cs="宋体" w:eastAsia="宋体" w:hint="default"/>
                <w:spacing w:val="-5"/>
                <w:sz w:val="22"/>
                <w:szCs w:val="22"/>
              </w:rPr>
              <w:t> </w:t>
            </w:r>
            <w:r>
              <w:rPr>
                <w:rFonts w:ascii="宋体" w:hAnsi="宋体" w:cs="宋体" w:eastAsia="宋体" w:hint="default"/>
                <w:sz w:val="22"/>
                <w:szCs w:val="22"/>
              </w:rPr>
              <w:t> </w:t>
            </w: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9"/>
              <w:jc w:val="right"/>
              <w:rPr>
                <w:rFonts w:ascii="Arial" w:hAnsi="Arial" w:cs="Arial" w:eastAsia="Arial" w:hint="default"/>
                <w:sz w:val="22"/>
                <w:szCs w:val="22"/>
              </w:rPr>
            </w:pPr>
            <w:r>
              <w:rPr>
                <w:rFonts w:ascii="Arial"/>
                <w:sz w:val="22"/>
              </w:rPr>
              <w:t>(125,457,945)</w:t>
            </w:r>
          </w:p>
        </w:tc>
        <w:tc>
          <w:tcPr>
            <w:tcW w:w="13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2"/>
              <w:jc w:val="right"/>
              <w:rPr>
                <w:rFonts w:ascii="Arial" w:hAnsi="Arial" w:cs="Arial" w:eastAsia="Arial" w:hint="default"/>
                <w:sz w:val="22"/>
                <w:szCs w:val="22"/>
              </w:rPr>
            </w:pPr>
            <w:r>
              <w:rPr>
                <w:rFonts w:ascii="Arial"/>
                <w:sz w:val="22"/>
              </w:rPr>
              <w:t>(124,585,795)</w:t>
            </w:r>
          </w:p>
        </w:tc>
      </w:tr>
      <w:tr>
        <w:trPr>
          <w:trHeight w:val="273" w:hRule="exact"/>
        </w:trPr>
        <w:tc>
          <w:tcPr>
            <w:tcW w:w="5120" w:type="dxa"/>
            <w:tcBorders>
              <w:top w:val="nil" w:sz="6" w:space="0" w:color="auto"/>
              <w:left w:val="nil" w:sz="6" w:space="0" w:color="auto"/>
              <w:bottom w:val="nil" w:sz="6" w:space="0" w:color="auto"/>
              <w:right w:val="nil" w:sz="6" w:space="0" w:color="auto"/>
            </w:tcBorders>
          </w:tcPr>
          <w:p>
            <w:pPr>
              <w:pStyle w:val="TableParagraph"/>
              <w:spacing w:line="239" w:lineRule="exact"/>
              <w:ind w:left="339" w:right="0"/>
              <w:jc w:val="left"/>
              <w:rPr>
                <w:rFonts w:ascii="宋体" w:hAnsi="宋体" w:cs="宋体" w:eastAsia="宋体" w:hint="default"/>
                <w:sz w:val="22"/>
                <w:szCs w:val="22"/>
              </w:rPr>
            </w:pPr>
            <w:r>
              <w:rPr>
                <w:rFonts w:ascii="宋体"/>
                <w:w w:val="100"/>
                <w:sz w:val="22"/>
              </w:rPr>
              <w:t> </w:t>
            </w:r>
          </w:p>
        </w:tc>
        <w:tc>
          <w:tcPr>
            <w:tcW w:w="2198" w:type="dxa"/>
            <w:tcBorders>
              <w:top w:val="nil" w:sz="6" w:space="0" w:color="auto"/>
              <w:left w:val="nil" w:sz="6" w:space="0" w:color="auto"/>
              <w:bottom w:val="nil" w:sz="6" w:space="0" w:color="auto"/>
              <w:right w:val="nil" w:sz="6" w:space="0" w:color="auto"/>
            </w:tcBorders>
          </w:tcPr>
          <w:p>
            <w:pPr/>
          </w:p>
        </w:tc>
        <w:tc>
          <w:tcPr>
            <w:tcW w:w="13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
        </w:tc>
      </w:tr>
      <w:tr>
        <w:trPr>
          <w:trHeight w:val="298" w:hRule="exact"/>
        </w:trPr>
        <w:tc>
          <w:tcPr>
            <w:tcW w:w="5120" w:type="dxa"/>
            <w:tcBorders>
              <w:top w:val="nil" w:sz="6" w:space="0" w:color="auto"/>
              <w:left w:val="nil" w:sz="6" w:space="0" w:color="auto"/>
              <w:bottom w:val="nil" w:sz="6" w:space="0" w:color="auto"/>
              <w:right w:val="nil" w:sz="6" w:space="0" w:color="auto"/>
            </w:tcBorders>
          </w:tcPr>
          <w:p>
            <w:pPr>
              <w:pStyle w:val="TableParagraph"/>
              <w:spacing w:line="254" w:lineRule="exact"/>
              <w:ind w:left="420" w:right="0"/>
              <w:jc w:val="left"/>
              <w:rPr>
                <w:rFonts w:ascii="宋体" w:hAnsi="宋体" w:cs="宋体" w:eastAsia="宋体" w:hint="default"/>
                <w:sz w:val="22"/>
                <w:szCs w:val="22"/>
              </w:rPr>
            </w:pPr>
            <w:r>
              <w:rPr>
                <w:rFonts w:ascii="宋体" w:hAnsi="宋体" w:cs="宋体" w:eastAsia="宋体" w:hint="default"/>
                <w:sz w:val="22"/>
                <w:szCs w:val="22"/>
              </w:rPr>
              <w:t>计入利润表的递延所得税</w:t>
            </w:r>
            <w:r>
              <w:rPr>
                <w:rFonts w:ascii="宋体" w:hAnsi="宋体" w:cs="宋体" w:eastAsia="宋体" w:hint="default"/>
                <w:sz w:val="22"/>
                <w:szCs w:val="22"/>
              </w:rPr>
              <w:t> </w:t>
            </w: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3"/>
              <w:jc w:val="right"/>
              <w:rPr>
                <w:rFonts w:ascii="Arial" w:hAnsi="Arial" w:cs="Arial" w:eastAsia="Arial" w:hint="default"/>
                <w:sz w:val="22"/>
                <w:szCs w:val="22"/>
              </w:rPr>
            </w:pPr>
            <w:r>
              <w:rPr>
                <w:rFonts w:ascii="Arial"/>
                <w:sz w:val="22"/>
              </w:rPr>
              <w:t>(424,033,382)</w:t>
            </w:r>
          </w:p>
        </w:tc>
        <w:tc>
          <w:tcPr>
            <w:tcW w:w="13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42"/>
              <w:jc w:val="right"/>
              <w:rPr>
                <w:rFonts w:ascii="Arial" w:hAnsi="Arial" w:cs="Arial" w:eastAsia="Arial" w:hint="default"/>
                <w:sz w:val="22"/>
                <w:szCs w:val="22"/>
              </w:rPr>
            </w:pPr>
            <w:r>
              <w:rPr>
                <w:rFonts w:ascii="Arial"/>
                <w:sz w:val="22"/>
              </w:rPr>
              <w:t>(3,382,658)</w:t>
            </w:r>
          </w:p>
        </w:tc>
      </w:tr>
      <w:tr>
        <w:trPr>
          <w:trHeight w:val="418" w:hRule="exact"/>
        </w:trPr>
        <w:tc>
          <w:tcPr>
            <w:tcW w:w="5120" w:type="dxa"/>
            <w:tcBorders>
              <w:top w:val="nil" w:sz="6" w:space="0" w:color="auto"/>
              <w:left w:val="nil" w:sz="6" w:space="0" w:color="auto"/>
              <w:bottom w:val="nil" w:sz="6" w:space="0" w:color="auto"/>
              <w:right w:val="nil" w:sz="6" w:space="0" w:color="auto"/>
            </w:tcBorders>
          </w:tcPr>
          <w:p>
            <w:pPr>
              <w:pStyle w:val="TableParagraph"/>
              <w:spacing w:line="239" w:lineRule="exact"/>
              <w:ind w:left="420" w:right="0"/>
              <w:jc w:val="left"/>
              <w:rPr>
                <w:rFonts w:ascii="宋体" w:hAnsi="宋体" w:cs="宋体" w:eastAsia="宋体" w:hint="default"/>
                <w:sz w:val="22"/>
                <w:szCs w:val="22"/>
              </w:rPr>
            </w:pPr>
            <w:r>
              <w:rPr>
                <w:rFonts w:ascii="宋体" w:hAnsi="宋体" w:cs="宋体" w:eastAsia="宋体" w:hint="default"/>
                <w:sz w:val="22"/>
                <w:szCs w:val="22"/>
              </w:rPr>
              <w:t>计入其他综合收益的递延所得税</w:t>
            </w:r>
            <w:r>
              <w:rPr>
                <w:rFonts w:ascii="宋体" w:hAnsi="宋体" w:cs="宋体" w:eastAsia="宋体" w:hint="default"/>
                <w:sz w:val="22"/>
                <w:szCs w:val="22"/>
              </w:rPr>
              <w:t> </w:t>
            </w:r>
          </w:p>
        </w:tc>
        <w:tc>
          <w:tcPr>
            <w:tcW w:w="2198" w:type="dxa"/>
            <w:tcBorders>
              <w:top w:val="nil" w:sz="6" w:space="0" w:color="auto"/>
              <w:left w:val="nil" w:sz="6" w:space="0" w:color="auto"/>
              <w:bottom w:val="nil" w:sz="6" w:space="0" w:color="auto"/>
              <w:right w:val="nil" w:sz="6" w:space="0" w:color="auto"/>
            </w:tcBorders>
          </w:tcPr>
          <w:p>
            <w:pPr>
              <w:pStyle w:val="TableParagraph"/>
              <w:tabs>
                <w:tab w:pos="1305" w:val="left" w:leader="none"/>
                <w:tab w:pos="2198"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501,560</w:t>
              <w:tab/>
            </w:r>
            <w:r>
              <w:rPr>
                <w:rFonts w:ascii="Arial"/>
                <w:sz w:val="22"/>
              </w:rPr>
            </w:r>
          </w:p>
        </w:tc>
        <w:tc>
          <w:tcPr>
            <w:tcW w:w="13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tabs>
                <w:tab w:pos="859" w:val="left" w:leader="none"/>
                <w:tab w:pos="1958"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2,510,508</w:t>
              <w:tab/>
            </w:r>
            <w:r>
              <w:rPr>
                <w:rFonts w:ascii="Arial"/>
                <w:spacing w:val="-1"/>
                <w:sz w:val="22"/>
              </w:rPr>
            </w:r>
          </w:p>
        </w:tc>
      </w:tr>
      <w:tr>
        <w:trPr>
          <w:trHeight w:val="427" w:hRule="exact"/>
        </w:trPr>
        <w:tc>
          <w:tcPr>
            <w:tcW w:w="512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420" w:right="0"/>
              <w:jc w:val="left"/>
              <w:rPr>
                <w:rFonts w:ascii="宋体" w:hAnsi="宋体" w:cs="宋体" w:eastAsia="宋体" w:hint="default"/>
                <w:sz w:val="22"/>
                <w:szCs w:val="22"/>
              </w:rPr>
            </w:pPr>
            <w:r>
              <w:rPr>
                <w:rFonts w:ascii="宋体" w:hAnsi="宋体" w:cs="宋体" w:eastAsia="宋体" w:hint="default"/>
                <w:sz w:val="22"/>
                <w:szCs w:val="22"/>
              </w:rPr>
              <w:t>年末余额</w:t>
            </w:r>
            <w:r>
              <w:rPr>
                <w:rFonts w:ascii="宋体" w:hAnsi="宋体" w:cs="宋体" w:eastAsia="宋体" w:hint="default"/>
                <w:sz w:val="22"/>
                <w:szCs w:val="22"/>
              </w:rPr>
              <w:t> </w:t>
            </w:r>
          </w:p>
        </w:tc>
        <w:tc>
          <w:tcPr>
            <w:tcW w:w="2198"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right="9"/>
              <w:jc w:val="right"/>
              <w:rPr>
                <w:rFonts w:ascii="Arial" w:hAnsi="Arial" w:cs="Arial" w:eastAsia="Arial" w:hint="default"/>
                <w:sz w:val="22"/>
                <w:szCs w:val="22"/>
              </w:rPr>
            </w:pPr>
            <w:r>
              <w:rPr>
                <w:rFonts w:ascii="Arial"/>
                <w:sz w:val="22"/>
              </w:rPr>
              <w:t>(548,989,767)</w:t>
            </w:r>
          </w:p>
        </w:tc>
        <w:tc>
          <w:tcPr>
            <w:tcW w:w="13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right="42"/>
              <w:jc w:val="right"/>
              <w:rPr>
                <w:rFonts w:ascii="Arial" w:hAnsi="Arial" w:cs="Arial" w:eastAsia="Arial" w:hint="default"/>
                <w:sz w:val="22"/>
                <w:szCs w:val="22"/>
              </w:rPr>
            </w:pPr>
            <w:r>
              <w:rPr>
                <w:rFonts w:ascii="Arial"/>
                <w:sz w:val="22"/>
              </w:rPr>
              <w:t>(125,457,945)</w:t>
            </w:r>
          </w:p>
        </w:tc>
      </w:tr>
    </w:tbl>
    <w:p>
      <w:pPr>
        <w:spacing w:after="0" w:line="240" w:lineRule="auto"/>
        <w:jc w:val="right"/>
        <w:rPr>
          <w:rFonts w:ascii="Arial" w:hAnsi="Arial" w:cs="Arial" w:eastAsia="Arial" w:hint="default"/>
          <w:sz w:val="22"/>
          <w:szCs w:val="22"/>
        </w:rPr>
        <w:sectPr>
          <w:headerReference w:type="default" r:id="rId199"/>
          <w:pgSz w:w="11910" w:h="16840"/>
          <w:pgMar w:header="1188" w:footer="502" w:top="4140" w:bottom="700" w:left="1020" w:right="980"/>
        </w:sectPr>
      </w:pPr>
    </w:p>
    <w:p>
      <w:pPr>
        <w:pStyle w:val="BodyText"/>
        <w:tabs>
          <w:tab w:pos="530" w:val="left" w:leader="none"/>
        </w:tabs>
        <w:spacing w:line="240" w:lineRule="auto" w:before="100"/>
        <w:ind w:left="112" w:right="2012"/>
        <w:jc w:val="left"/>
      </w:pPr>
      <w:r>
        <w:rPr>
          <w:rFonts w:ascii="Arial" w:hAnsi="Arial" w:cs="Arial" w:eastAsia="Arial" w:hint="default"/>
          <w:spacing w:val="-1"/>
        </w:rPr>
        <w:t>(i)</w:t>
        <w:tab/>
      </w:r>
      <w:r>
        <w:rPr>
          <w:spacing w:val="-1"/>
        </w:rPr>
        <w:t>递延所得税资产与递延所得税负债：</w:t>
      </w:r>
    </w:p>
    <w:p>
      <w:pPr>
        <w:spacing w:line="240" w:lineRule="auto" w:before="10"/>
        <w:rPr>
          <w:rFonts w:ascii="宋体" w:hAnsi="宋体" w:cs="宋体" w:eastAsia="宋体" w:hint="default"/>
          <w:sz w:val="18"/>
          <w:szCs w:val="18"/>
        </w:rPr>
      </w:pPr>
    </w:p>
    <w:tbl>
      <w:tblPr>
        <w:tblW w:w="0" w:type="auto"/>
        <w:jc w:val="left"/>
        <w:tblInd w:w="463" w:type="dxa"/>
        <w:tblLayout w:type="fixed"/>
        <w:tblCellMar>
          <w:top w:w="0" w:type="dxa"/>
          <w:left w:w="0" w:type="dxa"/>
          <w:bottom w:w="0" w:type="dxa"/>
          <w:right w:w="0" w:type="dxa"/>
        </w:tblCellMar>
        <w:tblLook w:val="01E0"/>
      </w:tblPr>
      <w:tblGrid>
        <w:gridCol w:w="2431"/>
        <w:gridCol w:w="492"/>
        <w:gridCol w:w="1656"/>
        <w:gridCol w:w="199"/>
        <w:gridCol w:w="1337"/>
        <w:gridCol w:w="194"/>
        <w:gridCol w:w="1634"/>
        <w:gridCol w:w="137"/>
        <w:gridCol w:w="1332"/>
      </w:tblGrid>
      <w:tr>
        <w:trPr>
          <w:trHeight w:val="197" w:hRule="exact"/>
        </w:trPr>
        <w:tc>
          <w:tcPr>
            <w:tcW w:w="6115" w:type="dxa"/>
            <w:gridSpan w:val="5"/>
            <w:tcBorders>
              <w:top w:val="nil" w:sz="6" w:space="0" w:color="auto"/>
              <w:left w:val="nil" w:sz="6" w:space="0" w:color="auto"/>
              <w:bottom w:val="nil" w:sz="6" w:space="0" w:color="auto"/>
              <w:right w:val="nil" w:sz="6" w:space="0" w:color="auto"/>
            </w:tcBorders>
          </w:tcPr>
          <w:p>
            <w:pPr>
              <w:pStyle w:val="TableParagraph"/>
              <w:spacing w:line="178" w:lineRule="exact"/>
              <w:ind w:left="3777" w:right="0"/>
              <w:jc w:val="left"/>
              <w:rPr>
                <w:rFonts w:ascii="宋体" w:hAnsi="宋体" w:cs="宋体" w:eastAsia="宋体" w:hint="default"/>
                <w:sz w:val="16"/>
                <w:szCs w:val="16"/>
              </w:rPr>
            </w:pPr>
            <w:r>
              <w:rPr>
                <w:rFonts w:ascii="Arial" w:hAnsi="Arial" w:cs="Arial" w:eastAsia="Arial" w:hint="default"/>
                <w:w w:val="105"/>
                <w:sz w:val="16"/>
                <w:szCs w:val="16"/>
              </w:rPr>
              <w:t>2019</w:t>
            </w:r>
            <w:r>
              <w:rPr>
                <w:rFonts w:ascii="Arial" w:hAnsi="Arial" w:cs="Arial" w:eastAsia="Arial" w:hint="default"/>
                <w:spacing w:val="-7"/>
                <w:w w:val="105"/>
                <w:sz w:val="16"/>
                <w:szCs w:val="16"/>
              </w:rPr>
              <w:t> </w:t>
            </w:r>
            <w:r>
              <w:rPr>
                <w:rFonts w:ascii="宋体" w:hAnsi="宋体" w:cs="宋体" w:eastAsia="宋体" w:hint="default"/>
                <w:w w:val="105"/>
                <w:sz w:val="16"/>
                <w:szCs w:val="16"/>
              </w:rPr>
              <w:t>年</w:t>
            </w:r>
            <w:r>
              <w:rPr>
                <w:rFonts w:ascii="宋体" w:hAnsi="宋体" w:cs="宋体" w:eastAsia="宋体" w:hint="default"/>
                <w:spacing w:val="-37"/>
                <w:w w:val="105"/>
                <w:sz w:val="16"/>
                <w:szCs w:val="16"/>
              </w:rPr>
              <w:t> </w:t>
            </w:r>
            <w:r>
              <w:rPr>
                <w:rFonts w:ascii="Arial" w:hAnsi="Arial" w:cs="Arial" w:eastAsia="Arial" w:hint="default"/>
                <w:w w:val="105"/>
                <w:sz w:val="16"/>
                <w:szCs w:val="16"/>
              </w:rPr>
              <w:t>12</w:t>
            </w:r>
            <w:r>
              <w:rPr>
                <w:rFonts w:ascii="Arial" w:hAnsi="Arial" w:cs="Arial" w:eastAsia="Arial" w:hint="default"/>
                <w:spacing w:val="-7"/>
                <w:w w:val="105"/>
                <w:sz w:val="16"/>
                <w:szCs w:val="16"/>
              </w:rPr>
              <w:t> </w:t>
            </w:r>
            <w:r>
              <w:rPr>
                <w:rFonts w:ascii="宋体" w:hAnsi="宋体" w:cs="宋体" w:eastAsia="宋体" w:hint="default"/>
                <w:w w:val="105"/>
                <w:sz w:val="16"/>
                <w:szCs w:val="16"/>
              </w:rPr>
              <w:t>月</w:t>
            </w:r>
            <w:r>
              <w:rPr>
                <w:rFonts w:ascii="宋体" w:hAnsi="宋体" w:cs="宋体" w:eastAsia="宋体" w:hint="default"/>
                <w:spacing w:val="-37"/>
                <w:w w:val="105"/>
                <w:sz w:val="16"/>
                <w:szCs w:val="16"/>
              </w:rPr>
              <w:t> </w:t>
            </w:r>
            <w:r>
              <w:rPr>
                <w:rFonts w:ascii="Arial" w:hAnsi="Arial" w:cs="Arial" w:eastAsia="Arial" w:hint="default"/>
                <w:w w:val="105"/>
                <w:sz w:val="16"/>
                <w:szCs w:val="16"/>
              </w:rPr>
              <w:t>31</w:t>
            </w:r>
            <w:r>
              <w:rPr>
                <w:rFonts w:ascii="Arial" w:hAnsi="Arial" w:cs="Arial" w:eastAsia="Arial" w:hint="default"/>
                <w:spacing w:val="-7"/>
                <w:w w:val="105"/>
                <w:sz w:val="16"/>
                <w:szCs w:val="16"/>
              </w:rPr>
              <w:t> </w:t>
            </w:r>
            <w:r>
              <w:rPr>
                <w:rFonts w:ascii="宋体" w:hAnsi="宋体" w:cs="宋体" w:eastAsia="宋体" w:hint="default"/>
                <w:w w:val="105"/>
                <w:sz w:val="16"/>
                <w:szCs w:val="16"/>
              </w:rPr>
              <w:t>日</w:t>
            </w:r>
            <w:r>
              <w:rPr>
                <w:rFonts w:ascii="宋体" w:hAnsi="宋体" w:cs="宋体" w:eastAsia="宋体" w:hint="default"/>
                <w:sz w:val="16"/>
                <w:szCs w:val="16"/>
              </w:rPr>
            </w:r>
          </w:p>
        </w:tc>
        <w:tc>
          <w:tcPr>
            <w:tcW w:w="3298" w:type="dxa"/>
            <w:gridSpan w:val="4"/>
            <w:tcBorders>
              <w:top w:val="nil" w:sz="6" w:space="0" w:color="auto"/>
              <w:left w:val="nil" w:sz="6" w:space="0" w:color="auto"/>
              <w:bottom w:val="nil" w:sz="6" w:space="0" w:color="auto"/>
              <w:right w:val="nil" w:sz="6" w:space="0" w:color="auto"/>
            </w:tcBorders>
          </w:tcPr>
          <w:p>
            <w:pPr>
              <w:pStyle w:val="TableParagraph"/>
              <w:spacing w:line="178" w:lineRule="exact"/>
              <w:ind w:left="1012" w:right="0"/>
              <w:jc w:val="left"/>
              <w:rPr>
                <w:rFonts w:ascii="宋体" w:hAnsi="宋体" w:cs="宋体" w:eastAsia="宋体" w:hint="default"/>
                <w:sz w:val="16"/>
                <w:szCs w:val="16"/>
              </w:rPr>
            </w:pPr>
            <w:r>
              <w:rPr>
                <w:rFonts w:ascii="Arial" w:hAnsi="Arial" w:cs="Arial" w:eastAsia="Arial" w:hint="default"/>
                <w:w w:val="105"/>
                <w:sz w:val="16"/>
                <w:szCs w:val="16"/>
              </w:rPr>
              <w:t>2018</w:t>
            </w:r>
            <w:r>
              <w:rPr>
                <w:rFonts w:ascii="Arial" w:hAnsi="Arial" w:cs="Arial" w:eastAsia="Arial" w:hint="default"/>
                <w:spacing w:val="-7"/>
                <w:w w:val="105"/>
                <w:sz w:val="16"/>
                <w:szCs w:val="16"/>
              </w:rPr>
              <w:t> </w:t>
            </w:r>
            <w:r>
              <w:rPr>
                <w:rFonts w:ascii="宋体" w:hAnsi="宋体" w:cs="宋体" w:eastAsia="宋体" w:hint="default"/>
                <w:w w:val="105"/>
                <w:sz w:val="16"/>
                <w:szCs w:val="16"/>
              </w:rPr>
              <w:t>年</w:t>
            </w:r>
            <w:r>
              <w:rPr>
                <w:rFonts w:ascii="宋体" w:hAnsi="宋体" w:cs="宋体" w:eastAsia="宋体" w:hint="default"/>
                <w:spacing w:val="-37"/>
                <w:w w:val="105"/>
                <w:sz w:val="16"/>
                <w:szCs w:val="16"/>
              </w:rPr>
              <w:t> </w:t>
            </w:r>
            <w:r>
              <w:rPr>
                <w:rFonts w:ascii="Arial" w:hAnsi="Arial" w:cs="Arial" w:eastAsia="Arial" w:hint="default"/>
                <w:w w:val="105"/>
                <w:sz w:val="16"/>
                <w:szCs w:val="16"/>
              </w:rPr>
              <w:t>12</w:t>
            </w:r>
            <w:r>
              <w:rPr>
                <w:rFonts w:ascii="Arial" w:hAnsi="Arial" w:cs="Arial" w:eastAsia="Arial" w:hint="default"/>
                <w:spacing w:val="-7"/>
                <w:w w:val="105"/>
                <w:sz w:val="16"/>
                <w:szCs w:val="16"/>
              </w:rPr>
              <w:t> </w:t>
            </w:r>
            <w:r>
              <w:rPr>
                <w:rFonts w:ascii="宋体" w:hAnsi="宋体" w:cs="宋体" w:eastAsia="宋体" w:hint="default"/>
                <w:w w:val="105"/>
                <w:sz w:val="16"/>
                <w:szCs w:val="16"/>
              </w:rPr>
              <w:t>月</w:t>
            </w:r>
            <w:r>
              <w:rPr>
                <w:rFonts w:ascii="宋体" w:hAnsi="宋体" w:cs="宋体" w:eastAsia="宋体" w:hint="default"/>
                <w:spacing w:val="-37"/>
                <w:w w:val="105"/>
                <w:sz w:val="16"/>
                <w:szCs w:val="16"/>
              </w:rPr>
              <w:t> </w:t>
            </w:r>
            <w:r>
              <w:rPr>
                <w:rFonts w:ascii="Arial" w:hAnsi="Arial" w:cs="Arial" w:eastAsia="Arial" w:hint="default"/>
                <w:w w:val="105"/>
                <w:sz w:val="16"/>
                <w:szCs w:val="16"/>
              </w:rPr>
              <w:t>31</w:t>
            </w:r>
            <w:r>
              <w:rPr>
                <w:rFonts w:ascii="Arial" w:hAnsi="Arial" w:cs="Arial" w:eastAsia="Arial" w:hint="default"/>
                <w:spacing w:val="-7"/>
                <w:w w:val="105"/>
                <w:sz w:val="16"/>
                <w:szCs w:val="16"/>
              </w:rPr>
              <w:t> </w:t>
            </w:r>
            <w:r>
              <w:rPr>
                <w:rFonts w:ascii="宋体" w:hAnsi="宋体" w:cs="宋体" w:eastAsia="宋体" w:hint="default"/>
                <w:w w:val="105"/>
                <w:sz w:val="16"/>
                <w:szCs w:val="16"/>
              </w:rPr>
              <w:t>日</w:t>
            </w:r>
            <w:r>
              <w:rPr>
                <w:rFonts w:ascii="宋体" w:hAnsi="宋体" w:cs="宋体" w:eastAsia="宋体" w:hint="default"/>
                <w:sz w:val="16"/>
                <w:szCs w:val="16"/>
              </w:rPr>
            </w:r>
          </w:p>
        </w:tc>
      </w:tr>
      <w:tr>
        <w:trPr>
          <w:trHeight w:val="893" w:hRule="exact"/>
        </w:trPr>
        <w:tc>
          <w:tcPr>
            <w:tcW w:w="2431"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2"/>
              <w:ind w:left="7" w:right="0"/>
              <w:jc w:val="center"/>
              <w:rPr>
                <w:rFonts w:ascii="宋体" w:hAnsi="宋体" w:cs="宋体" w:eastAsia="宋体" w:hint="default"/>
                <w:sz w:val="16"/>
                <w:szCs w:val="16"/>
              </w:rPr>
            </w:pPr>
            <w:r>
              <w:rPr>
                <w:rFonts w:ascii="宋体" w:hAnsi="宋体" w:cs="宋体" w:eastAsia="宋体" w:hint="default"/>
                <w:w w:val="105"/>
                <w:sz w:val="16"/>
                <w:szCs w:val="16"/>
              </w:rPr>
              <w:t>项目</w:t>
            </w:r>
            <w:r>
              <w:rPr>
                <w:rFonts w:ascii="宋体" w:hAnsi="宋体" w:cs="宋体" w:eastAsia="宋体" w:hint="default"/>
                <w:sz w:val="16"/>
                <w:szCs w:val="16"/>
              </w:rPr>
            </w:r>
          </w:p>
        </w:tc>
        <w:tc>
          <w:tcPr>
            <w:tcW w:w="492"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2"/>
              <w:ind w:right="43"/>
              <w:jc w:val="center"/>
              <w:rPr>
                <w:rFonts w:ascii="宋体" w:hAnsi="宋体" w:cs="宋体" w:eastAsia="宋体" w:hint="default"/>
                <w:sz w:val="16"/>
                <w:szCs w:val="16"/>
              </w:rPr>
            </w:pPr>
            <w:r>
              <w:rPr>
                <w:rFonts w:ascii="宋体" w:hAnsi="宋体" w:cs="宋体" w:eastAsia="宋体" w:hint="default"/>
                <w:w w:val="105"/>
                <w:sz w:val="16"/>
                <w:szCs w:val="16"/>
              </w:rPr>
              <w:t>注释</w:t>
            </w:r>
            <w:r>
              <w:rPr>
                <w:rFonts w:ascii="宋体" w:hAnsi="宋体" w:cs="宋体" w:eastAsia="宋体" w:hint="default"/>
                <w:sz w:val="16"/>
                <w:szCs w:val="16"/>
              </w:rPr>
            </w:r>
          </w:p>
        </w:tc>
        <w:tc>
          <w:tcPr>
            <w:tcW w:w="1656" w:type="dxa"/>
            <w:tcBorders>
              <w:top w:val="single" w:sz="4" w:space="0" w:color="000000"/>
              <w:left w:val="nil" w:sz="6" w:space="0" w:color="auto"/>
              <w:bottom w:val="single" w:sz="4" w:space="0" w:color="000000"/>
              <w:right w:val="nil" w:sz="6" w:space="0" w:color="auto"/>
            </w:tcBorders>
          </w:tcPr>
          <w:p>
            <w:pPr>
              <w:pStyle w:val="TableParagraph"/>
              <w:spacing w:line="195" w:lineRule="exact"/>
              <w:ind w:right="0"/>
              <w:jc w:val="center"/>
              <w:rPr>
                <w:rFonts w:ascii="宋体" w:hAnsi="宋体" w:cs="宋体" w:eastAsia="宋体" w:hint="default"/>
                <w:sz w:val="16"/>
                <w:szCs w:val="16"/>
              </w:rPr>
            </w:pPr>
            <w:r>
              <w:rPr>
                <w:rFonts w:ascii="宋体" w:hAnsi="宋体" w:cs="宋体" w:eastAsia="宋体" w:hint="default"/>
                <w:w w:val="105"/>
                <w:sz w:val="16"/>
                <w:szCs w:val="16"/>
              </w:rPr>
              <w:t>可抵扣或应纳税</w:t>
            </w:r>
            <w:r>
              <w:rPr>
                <w:rFonts w:ascii="宋体" w:hAnsi="宋体" w:cs="宋体" w:eastAsia="宋体" w:hint="default"/>
                <w:sz w:val="16"/>
                <w:szCs w:val="16"/>
              </w:rPr>
            </w:r>
          </w:p>
          <w:p>
            <w:pPr>
              <w:pStyle w:val="TableParagraph"/>
              <w:spacing w:line="247" w:lineRule="auto" w:before="11"/>
              <w:ind w:left="206" w:right="206" w:firstLine="1"/>
              <w:jc w:val="center"/>
              <w:rPr>
                <w:rFonts w:ascii="Arial" w:hAnsi="Arial" w:cs="Arial" w:eastAsia="Arial" w:hint="default"/>
                <w:sz w:val="16"/>
                <w:szCs w:val="16"/>
              </w:rPr>
            </w:pPr>
            <w:r>
              <w:rPr>
                <w:rFonts w:ascii="宋体" w:hAnsi="宋体" w:cs="宋体" w:eastAsia="宋体" w:hint="default"/>
                <w:w w:val="105"/>
                <w:sz w:val="16"/>
                <w:szCs w:val="16"/>
              </w:rPr>
              <w:t>暂时性差异</w:t>
            </w:r>
            <w:r>
              <w:rPr>
                <w:rFonts w:ascii="Arial" w:hAnsi="Arial" w:cs="Arial" w:eastAsia="Arial" w:hint="default"/>
                <w:w w:val="105"/>
                <w:sz w:val="16"/>
                <w:szCs w:val="16"/>
              </w:rPr>
              <w:t>(</w:t>
            </w:r>
            <w:r>
              <w:rPr>
                <w:rFonts w:ascii="宋体" w:hAnsi="宋体" w:cs="宋体" w:eastAsia="宋体" w:hint="default"/>
                <w:w w:val="105"/>
                <w:sz w:val="16"/>
                <w:szCs w:val="16"/>
              </w:rPr>
              <w:t>应</w:t>
            </w:r>
            <w:r>
              <w:rPr>
                <w:rFonts w:ascii="宋体" w:hAnsi="宋体" w:cs="宋体" w:eastAsia="宋体" w:hint="default"/>
                <w:w w:val="104"/>
                <w:sz w:val="16"/>
                <w:szCs w:val="16"/>
              </w:rPr>
              <w:t> </w:t>
            </w:r>
            <w:r>
              <w:rPr>
                <w:rFonts w:ascii="宋体" w:hAnsi="宋体" w:cs="宋体" w:eastAsia="宋体" w:hint="default"/>
                <w:w w:val="105"/>
                <w:sz w:val="16"/>
                <w:szCs w:val="16"/>
              </w:rPr>
              <w:t>纳税暂时性差异</w:t>
            </w:r>
            <w:r>
              <w:rPr>
                <w:rFonts w:ascii="宋体" w:hAnsi="宋体" w:cs="宋体" w:eastAsia="宋体" w:hint="default"/>
                <w:w w:val="104"/>
                <w:sz w:val="16"/>
                <w:szCs w:val="16"/>
              </w:rPr>
              <w:t> </w:t>
            </w:r>
            <w:r>
              <w:rPr>
                <w:rFonts w:ascii="宋体" w:hAnsi="宋体" w:cs="宋体" w:eastAsia="宋体" w:hint="default"/>
                <w:w w:val="105"/>
                <w:sz w:val="16"/>
                <w:szCs w:val="16"/>
              </w:rPr>
              <w:t>以“－”号填列</w:t>
            </w:r>
            <w:r>
              <w:rPr>
                <w:rFonts w:ascii="Arial" w:hAnsi="Arial" w:cs="Arial" w:eastAsia="Arial" w:hint="default"/>
                <w:w w:val="105"/>
                <w:sz w:val="16"/>
                <w:szCs w:val="16"/>
              </w:rPr>
              <w:t>)</w:t>
            </w:r>
            <w:r>
              <w:rPr>
                <w:rFonts w:ascii="Arial" w:hAnsi="Arial" w:cs="Arial" w:eastAsia="Arial" w:hint="default"/>
                <w:sz w:val="16"/>
                <w:szCs w:val="16"/>
              </w:rPr>
            </w:r>
          </w:p>
        </w:tc>
        <w:tc>
          <w:tcPr>
            <w:tcW w:w="199" w:type="dxa"/>
            <w:tcBorders>
              <w:top w:val="single" w:sz="4" w:space="0" w:color="000000"/>
              <w:left w:val="nil" w:sz="6" w:space="0" w:color="auto"/>
              <w:bottom w:val="nil" w:sz="6" w:space="0" w:color="auto"/>
              <w:right w:val="nil" w:sz="6" w:space="0" w:color="auto"/>
            </w:tcBorders>
          </w:tcPr>
          <w:p>
            <w:pPr/>
          </w:p>
        </w:tc>
        <w:tc>
          <w:tcPr>
            <w:tcW w:w="1337" w:type="dxa"/>
            <w:tcBorders>
              <w:top w:val="single" w:sz="4" w:space="0" w:color="000000"/>
              <w:left w:val="nil" w:sz="6" w:space="0" w:color="auto"/>
              <w:bottom w:val="single" w:sz="4" w:space="0" w:color="000000"/>
              <w:right w:val="nil" w:sz="6" w:space="0" w:color="auto"/>
            </w:tcBorders>
          </w:tcPr>
          <w:p>
            <w:pPr>
              <w:pStyle w:val="TableParagraph"/>
              <w:spacing w:line="195" w:lineRule="exact"/>
              <w:ind w:left="2" w:right="0"/>
              <w:jc w:val="center"/>
              <w:rPr>
                <w:rFonts w:ascii="宋体" w:hAnsi="宋体" w:cs="宋体" w:eastAsia="宋体" w:hint="default"/>
                <w:sz w:val="16"/>
                <w:szCs w:val="16"/>
              </w:rPr>
            </w:pPr>
            <w:r>
              <w:rPr>
                <w:rFonts w:ascii="宋体" w:hAnsi="宋体" w:cs="宋体" w:eastAsia="宋体" w:hint="default"/>
                <w:w w:val="105"/>
                <w:sz w:val="16"/>
                <w:szCs w:val="16"/>
              </w:rPr>
              <w:t>递延所得税</w:t>
            </w:r>
            <w:r>
              <w:rPr>
                <w:rFonts w:ascii="宋体" w:hAnsi="宋体" w:cs="宋体" w:eastAsia="宋体" w:hint="default"/>
                <w:sz w:val="16"/>
                <w:szCs w:val="16"/>
              </w:rPr>
            </w:r>
          </w:p>
          <w:p>
            <w:pPr>
              <w:pStyle w:val="TableParagraph"/>
              <w:spacing w:line="240" w:lineRule="auto" w:before="11"/>
              <w:ind w:left="45" w:right="45" w:firstLine="4"/>
              <w:jc w:val="center"/>
              <w:rPr>
                <w:rFonts w:ascii="Arial" w:hAnsi="Arial" w:cs="Arial" w:eastAsia="Arial" w:hint="default"/>
                <w:sz w:val="16"/>
                <w:szCs w:val="16"/>
              </w:rPr>
            </w:pPr>
            <w:r>
              <w:rPr>
                <w:rFonts w:ascii="宋体" w:hAnsi="宋体" w:cs="宋体" w:eastAsia="宋体" w:hint="default"/>
                <w:w w:val="105"/>
                <w:sz w:val="16"/>
                <w:szCs w:val="16"/>
              </w:rPr>
              <w:t>资产</w:t>
            </w:r>
            <w:r>
              <w:rPr>
                <w:rFonts w:ascii="Arial" w:hAnsi="Arial" w:cs="Arial" w:eastAsia="Arial" w:hint="default"/>
                <w:w w:val="105"/>
                <w:sz w:val="16"/>
                <w:szCs w:val="16"/>
              </w:rPr>
              <w:t>/</w:t>
            </w:r>
            <w:r>
              <w:rPr>
                <w:rFonts w:ascii="宋体" w:hAnsi="宋体" w:cs="宋体" w:eastAsia="宋体" w:hint="default"/>
                <w:w w:val="105"/>
                <w:sz w:val="16"/>
                <w:szCs w:val="16"/>
              </w:rPr>
              <w:t>负债</w:t>
            </w:r>
            <w:r>
              <w:rPr>
                <w:rFonts w:ascii="宋体" w:hAnsi="宋体" w:cs="宋体" w:eastAsia="宋体" w:hint="default"/>
                <w:w w:val="104"/>
                <w:sz w:val="16"/>
                <w:szCs w:val="16"/>
              </w:rPr>
              <w:t> </w:t>
            </w:r>
            <w:r>
              <w:rPr>
                <w:rFonts w:ascii="Arial" w:hAnsi="Arial" w:cs="Arial" w:eastAsia="Arial" w:hint="default"/>
                <w:w w:val="105"/>
                <w:sz w:val="16"/>
                <w:szCs w:val="16"/>
              </w:rPr>
              <w:t>(</w:t>
            </w:r>
            <w:r>
              <w:rPr>
                <w:rFonts w:ascii="宋体" w:hAnsi="宋体" w:cs="宋体" w:eastAsia="宋体" w:hint="default"/>
                <w:w w:val="105"/>
                <w:sz w:val="16"/>
                <w:szCs w:val="16"/>
              </w:rPr>
              <w:t>负债以“－”号</w:t>
            </w:r>
            <w:r>
              <w:rPr>
                <w:rFonts w:ascii="宋体" w:hAnsi="宋体" w:cs="宋体" w:eastAsia="宋体" w:hint="default"/>
                <w:spacing w:val="-78"/>
                <w:w w:val="105"/>
                <w:sz w:val="16"/>
                <w:szCs w:val="16"/>
              </w:rPr>
              <w:t> </w:t>
            </w:r>
            <w:r>
              <w:rPr>
                <w:rFonts w:ascii="宋体" w:hAnsi="宋体" w:cs="宋体" w:eastAsia="宋体" w:hint="default"/>
                <w:spacing w:val="-78"/>
                <w:w w:val="105"/>
                <w:sz w:val="16"/>
                <w:szCs w:val="16"/>
              </w:rPr>
            </w:r>
            <w:r>
              <w:rPr>
                <w:rFonts w:ascii="宋体" w:hAnsi="宋体" w:cs="宋体" w:eastAsia="宋体" w:hint="default"/>
                <w:w w:val="105"/>
                <w:sz w:val="16"/>
                <w:szCs w:val="16"/>
              </w:rPr>
              <w:t>填列</w:t>
            </w:r>
            <w:r>
              <w:rPr>
                <w:rFonts w:ascii="Arial" w:hAnsi="Arial" w:cs="Arial" w:eastAsia="Arial" w:hint="default"/>
                <w:w w:val="105"/>
                <w:sz w:val="16"/>
                <w:szCs w:val="16"/>
              </w:rPr>
              <w:t>)</w:t>
            </w:r>
            <w:r>
              <w:rPr>
                <w:rFonts w:ascii="Arial" w:hAnsi="Arial" w:cs="Arial" w:eastAsia="Arial" w:hint="default"/>
                <w:sz w:val="16"/>
                <w:szCs w:val="16"/>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single" w:sz="4" w:space="0" w:color="000000"/>
              <w:left w:val="nil" w:sz="6" w:space="0" w:color="auto"/>
              <w:bottom w:val="single" w:sz="4" w:space="0" w:color="000000"/>
              <w:right w:val="nil" w:sz="6" w:space="0" w:color="auto"/>
            </w:tcBorders>
          </w:tcPr>
          <w:p>
            <w:pPr>
              <w:pStyle w:val="TableParagraph"/>
              <w:spacing w:line="195" w:lineRule="exact"/>
              <w:ind w:right="0"/>
              <w:jc w:val="center"/>
              <w:rPr>
                <w:rFonts w:ascii="宋体" w:hAnsi="宋体" w:cs="宋体" w:eastAsia="宋体" w:hint="default"/>
                <w:sz w:val="16"/>
                <w:szCs w:val="16"/>
              </w:rPr>
            </w:pPr>
            <w:r>
              <w:rPr>
                <w:rFonts w:ascii="宋体" w:hAnsi="宋体" w:cs="宋体" w:eastAsia="宋体" w:hint="default"/>
                <w:w w:val="105"/>
                <w:sz w:val="16"/>
                <w:szCs w:val="16"/>
              </w:rPr>
              <w:t>可抵扣或应纳税</w:t>
            </w:r>
            <w:r>
              <w:rPr>
                <w:rFonts w:ascii="宋体" w:hAnsi="宋体" w:cs="宋体" w:eastAsia="宋体" w:hint="default"/>
                <w:sz w:val="16"/>
                <w:szCs w:val="16"/>
              </w:rPr>
            </w:r>
          </w:p>
          <w:p>
            <w:pPr>
              <w:pStyle w:val="TableParagraph"/>
              <w:spacing w:line="247" w:lineRule="auto" w:before="11"/>
              <w:ind w:left="194" w:right="196" w:firstLine="1"/>
              <w:jc w:val="center"/>
              <w:rPr>
                <w:rFonts w:ascii="Arial" w:hAnsi="Arial" w:cs="Arial" w:eastAsia="Arial" w:hint="default"/>
                <w:sz w:val="16"/>
                <w:szCs w:val="16"/>
              </w:rPr>
            </w:pPr>
            <w:r>
              <w:rPr>
                <w:rFonts w:ascii="宋体" w:hAnsi="宋体" w:cs="宋体" w:eastAsia="宋体" w:hint="default"/>
                <w:w w:val="105"/>
                <w:sz w:val="16"/>
                <w:szCs w:val="16"/>
              </w:rPr>
              <w:t>暂时性差异</w:t>
            </w:r>
            <w:r>
              <w:rPr>
                <w:rFonts w:ascii="Arial" w:hAnsi="Arial" w:cs="Arial" w:eastAsia="Arial" w:hint="default"/>
                <w:w w:val="105"/>
                <w:sz w:val="16"/>
                <w:szCs w:val="16"/>
              </w:rPr>
              <w:t>(</w:t>
            </w:r>
            <w:r>
              <w:rPr>
                <w:rFonts w:ascii="宋体" w:hAnsi="宋体" w:cs="宋体" w:eastAsia="宋体" w:hint="default"/>
                <w:w w:val="105"/>
                <w:sz w:val="16"/>
                <w:szCs w:val="16"/>
              </w:rPr>
              <w:t>应</w:t>
            </w:r>
            <w:r>
              <w:rPr>
                <w:rFonts w:ascii="宋体" w:hAnsi="宋体" w:cs="宋体" w:eastAsia="宋体" w:hint="default"/>
                <w:w w:val="104"/>
                <w:sz w:val="16"/>
                <w:szCs w:val="16"/>
              </w:rPr>
              <w:t> </w:t>
            </w:r>
            <w:r>
              <w:rPr>
                <w:rFonts w:ascii="宋体" w:hAnsi="宋体" w:cs="宋体" w:eastAsia="宋体" w:hint="default"/>
                <w:w w:val="105"/>
                <w:sz w:val="16"/>
                <w:szCs w:val="16"/>
              </w:rPr>
              <w:t>纳税暂时性差异</w:t>
            </w:r>
            <w:r>
              <w:rPr>
                <w:rFonts w:ascii="宋体" w:hAnsi="宋体" w:cs="宋体" w:eastAsia="宋体" w:hint="default"/>
                <w:w w:val="104"/>
                <w:sz w:val="16"/>
                <w:szCs w:val="16"/>
              </w:rPr>
              <w:t> </w:t>
            </w:r>
            <w:r>
              <w:rPr>
                <w:rFonts w:ascii="宋体" w:hAnsi="宋体" w:cs="宋体" w:eastAsia="宋体" w:hint="default"/>
                <w:w w:val="105"/>
                <w:sz w:val="16"/>
                <w:szCs w:val="16"/>
              </w:rPr>
              <w:t>以“－”号填列</w:t>
            </w:r>
            <w:r>
              <w:rPr>
                <w:rFonts w:ascii="Arial" w:hAnsi="Arial" w:cs="Arial" w:eastAsia="Arial" w:hint="default"/>
                <w:w w:val="105"/>
                <w:sz w:val="16"/>
                <w:szCs w:val="16"/>
              </w:rPr>
              <w:t>)</w:t>
            </w:r>
            <w:r>
              <w:rPr>
                <w:rFonts w:ascii="Arial" w:hAnsi="Arial" w:cs="Arial" w:eastAsia="Arial" w:hint="default"/>
                <w:sz w:val="16"/>
                <w:szCs w:val="16"/>
              </w:rPr>
            </w:r>
          </w:p>
        </w:tc>
        <w:tc>
          <w:tcPr>
            <w:tcW w:w="137" w:type="dxa"/>
            <w:tcBorders>
              <w:top w:val="single" w:sz="4" w:space="0" w:color="000000"/>
              <w:left w:val="nil" w:sz="6" w:space="0" w:color="auto"/>
              <w:bottom w:val="nil" w:sz="6" w:space="0" w:color="auto"/>
              <w:right w:val="nil" w:sz="6" w:space="0" w:color="auto"/>
            </w:tcBorders>
          </w:tcPr>
          <w:p>
            <w:pPr/>
          </w:p>
        </w:tc>
        <w:tc>
          <w:tcPr>
            <w:tcW w:w="1332" w:type="dxa"/>
            <w:tcBorders>
              <w:top w:val="single" w:sz="4" w:space="0" w:color="000000"/>
              <w:left w:val="nil" w:sz="6" w:space="0" w:color="auto"/>
              <w:bottom w:val="single" w:sz="4" w:space="0" w:color="000000"/>
              <w:right w:val="nil" w:sz="6" w:space="0" w:color="auto"/>
            </w:tcBorders>
          </w:tcPr>
          <w:p>
            <w:pPr>
              <w:pStyle w:val="TableParagraph"/>
              <w:spacing w:line="195" w:lineRule="exact"/>
              <w:ind w:left="7" w:right="0"/>
              <w:jc w:val="center"/>
              <w:rPr>
                <w:rFonts w:ascii="宋体" w:hAnsi="宋体" w:cs="宋体" w:eastAsia="宋体" w:hint="default"/>
                <w:sz w:val="16"/>
                <w:szCs w:val="16"/>
              </w:rPr>
            </w:pPr>
            <w:r>
              <w:rPr>
                <w:rFonts w:ascii="宋体" w:hAnsi="宋体" w:cs="宋体" w:eastAsia="宋体" w:hint="default"/>
                <w:w w:val="105"/>
                <w:sz w:val="16"/>
                <w:szCs w:val="16"/>
              </w:rPr>
              <w:t>递延所得税</w:t>
            </w:r>
            <w:r>
              <w:rPr>
                <w:rFonts w:ascii="宋体" w:hAnsi="宋体" w:cs="宋体" w:eastAsia="宋体" w:hint="default"/>
                <w:sz w:val="16"/>
                <w:szCs w:val="16"/>
              </w:rPr>
            </w:r>
          </w:p>
          <w:p>
            <w:pPr>
              <w:pStyle w:val="TableParagraph"/>
              <w:spacing w:line="240" w:lineRule="auto" w:before="11"/>
              <w:ind w:left="45" w:right="41" w:firstLine="4"/>
              <w:jc w:val="center"/>
              <w:rPr>
                <w:rFonts w:ascii="Arial" w:hAnsi="Arial" w:cs="Arial" w:eastAsia="Arial" w:hint="default"/>
                <w:sz w:val="16"/>
                <w:szCs w:val="16"/>
              </w:rPr>
            </w:pPr>
            <w:r>
              <w:rPr>
                <w:rFonts w:ascii="宋体" w:hAnsi="宋体" w:cs="宋体" w:eastAsia="宋体" w:hint="default"/>
                <w:w w:val="105"/>
                <w:sz w:val="16"/>
                <w:szCs w:val="16"/>
              </w:rPr>
              <w:t>资产</w:t>
            </w:r>
            <w:r>
              <w:rPr>
                <w:rFonts w:ascii="Arial" w:hAnsi="Arial" w:cs="Arial" w:eastAsia="Arial" w:hint="default"/>
                <w:w w:val="105"/>
                <w:sz w:val="16"/>
                <w:szCs w:val="16"/>
              </w:rPr>
              <w:t>/</w:t>
            </w:r>
            <w:r>
              <w:rPr>
                <w:rFonts w:ascii="宋体" w:hAnsi="宋体" w:cs="宋体" w:eastAsia="宋体" w:hint="default"/>
                <w:w w:val="105"/>
                <w:sz w:val="16"/>
                <w:szCs w:val="16"/>
              </w:rPr>
              <w:t>负债</w:t>
            </w:r>
            <w:r>
              <w:rPr>
                <w:rFonts w:ascii="宋体" w:hAnsi="宋体" w:cs="宋体" w:eastAsia="宋体" w:hint="default"/>
                <w:w w:val="104"/>
                <w:sz w:val="16"/>
                <w:szCs w:val="16"/>
              </w:rPr>
              <w:t> </w:t>
            </w:r>
            <w:r>
              <w:rPr>
                <w:rFonts w:ascii="Arial" w:hAnsi="Arial" w:cs="Arial" w:eastAsia="Arial" w:hint="default"/>
                <w:w w:val="105"/>
                <w:sz w:val="16"/>
                <w:szCs w:val="16"/>
              </w:rPr>
              <w:t>(</w:t>
            </w:r>
            <w:r>
              <w:rPr>
                <w:rFonts w:ascii="宋体" w:hAnsi="宋体" w:cs="宋体" w:eastAsia="宋体" w:hint="default"/>
                <w:w w:val="105"/>
                <w:sz w:val="16"/>
                <w:szCs w:val="16"/>
              </w:rPr>
              <w:t>负债以“－”号</w:t>
            </w:r>
            <w:r>
              <w:rPr>
                <w:rFonts w:ascii="宋体" w:hAnsi="宋体" w:cs="宋体" w:eastAsia="宋体" w:hint="default"/>
                <w:spacing w:val="-78"/>
                <w:w w:val="105"/>
                <w:sz w:val="16"/>
                <w:szCs w:val="16"/>
              </w:rPr>
              <w:t> </w:t>
            </w:r>
            <w:r>
              <w:rPr>
                <w:rFonts w:ascii="宋体" w:hAnsi="宋体" w:cs="宋体" w:eastAsia="宋体" w:hint="default"/>
                <w:spacing w:val="-78"/>
                <w:w w:val="105"/>
                <w:sz w:val="16"/>
                <w:szCs w:val="16"/>
              </w:rPr>
            </w:r>
            <w:r>
              <w:rPr>
                <w:rFonts w:ascii="宋体" w:hAnsi="宋体" w:cs="宋体" w:eastAsia="宋体" w:hint="default"/>
                <w:w w:val="105"/>
                <w:sz w:val="16"/>
                <w:szCs w:val="16"/>
              </w:rPr>
              <w:t>填列</w:t>
            </w:r>
            <w:r>
              <w:rPr>
                <w:rFonts w:ascii="Arial" w:hAnsi="Arial" w:cs="Arial" w:eastAsia="Arial" w:hint="default"/>
                <w:w w:val="105"/>
                <w:sz w:val="16"/>
                <w:szCs w:val="16"/>
              </w:rPr>
              <w:t>)</w:t>
            </w:r>
            <w:r>
              <w:rPr>
                <w:rFonts w:ascii="Arial" w:hAnsi="Arial" w:cs="Arial" w:eastAsia="Arial" w:hint="default"/>
                <w:sz w:val="16"/>
                <w:szCs w:val="16"/>
              </w:rPr>
            </w:r>
          </w:p>
        </w:tc>
      </w:tr>
      <w:tr>
        <w:trPr>
          <w:trHeight w:val="228" w:hRule="exact"/>
        </w:trPr>
        <w:tc>
          <w:tcPr>
            <w:tcW w:w="2431" w:type="dxa"/>
            <w:tcBorders>
              <w:top w:val="single" w:sz="4" w:space="0" w:color="000000"/>
              <w:left w:val="nil" w:sz="6" w:space="0" w:color="auto"/>
              <w:bottom w:val="nil" w:sz="6" w:space="0" w:color="auto"/>
              <w:right w:val="nil" w:sz="6" w:space="0" w:color="auto"/>
            </w:tcBorders>
          </w:tcPr>
          <w:p>
            <w:pPr>
              <w:pStyle w:val="TableParagraph"/>
              <w:spacing w:line="197" w:lineRule="exact"/>
              <w:ind w:right="0"/>
              <w:jc w:val="left"/>
              <w:rPr>
                <w:rFonts w:ascii="宋体" w:hAnsi="宋体" w:cs="宋体" w:eastAsia="宋体" w:hint="default"/>
                <w:sz w:val="17"/>
                <w:szCs w:val="17"/>
              </w:rPr>
            </w:pPr>
            <w:r>
              <w:rPr>
                <w:rFonts w:ascii="宋体" w:hAnsi="宋体" w:cs="宋体" w:eastAsia="宋体" w:hint="default"/>
                <w:sz w:val="17"/>
                <w:szCs w:val="17"/>
              </w:rPr>
              <w:t>递延所得税资产：</w:t>
            </w:r>
          </w:p>
        </w:tc>
        <w:tc>
          <w:tcPr>
            <w:tcW w:w="492" w:type="dxa"/>
            <w:tcBorders>
              <w:top w:val="single" w:sz="4" w:space="0" w:color="000000"/>
              <w:left w:val="nil" w:sz="6" w:space="0" w:color="auto"/>
              <w:bottom w:val="nil" w:sz="6" w:space="0" w:color="auto"/>
              <w:right w:val="nil" w:sz="6" w:space="0" w:color="auto"/>
            </w:tcBorders>
          </w:tcPr>
          <w:p>
            <w:pPr/>
          </w:p>
        </w:tc>
        <w:tc>
          <w:tcPr>
            <w:tcW w:w="1656" w:type="dxa"/>
            <w:tcBorders>
              <w:top w:val="single" w:sz="4" w:space="0" w:color="000000"/>
              <w:left w:val="nil" w:sz="6" w:space="0" w:color="auto"/>
              <w:bottom w:val="nil" w:sz="6" w:space="0" w:color="auto"/>
              <w:right w:val="nil" w:sz="6" w:space="0" w:color="auto"/>
            </w:tcBorders>
          </w:tcPr>
          <w:p>
            <w:pP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single" w:sz="4" w:space="0" w:color="000000"/>
              <w:left w:val="nil" w:sz="6" w:space="0" w:color="auto"/>
              <w:bottom w:val="nil" w:sz="6" w:space="0" w:color="auto"/>
              <w:right w:val="nil" w:sz="6" w:space="0" w:color="auto"/>
            </w:tcBorders>
          </w:tcPr>
          <w:p>
            <w:pP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single" w:sz="4" w:space="0" w:color="000000"/>
              <w:left w:val="nil" w:sz="6" w:space="0" w:color="auto"/>
              <w:bottom w:val="nil" w:sz="6" w:space="0" w:color="auto"/>
              <w:right w:val="nil" w:sz="6" w:space="0" w:color="auto"/>
            </w:tcBorders>
          </w:tcPr>
          <w:p>
            <w:pP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single" w:sz="4" w:space="0" w:color="000000"/>
              <w:left w:val="nil" w:sz="6" w:space="0" w:color="auto"/>
              <w:bottom w:val="nil" w:sz="6" w:space="0" w:color="auto"/>
              <w:right w:val="nil" w:sz="6" w:space="0" w:color="auto"/>
            </w:tcBorders>
          </w:tcPr>
          <w:p>
            <w:pPr/>
          </w:p>
        </w:tc>
      </w:tr>
      <w:tr>
        <w:trPr>
          <w:trHeight w:val="230"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93" w:lineRule="exact"/>
              <w:ind w:right="0"/>
              <w:jc w:val="left"/>
              <w:rPr>
                <w:rFonts w:ascii="宋体" w:hAnsi="宋体" w:cs="宋体" w:eastAsia="宋体" w:hint="default"/>
                <w:sz w:val="16"/>
                <w:szCs w:val="16"/>
              </w:rPr>
            </w:pPr>
            <w:r>
              <w:rPr>
                <w:rFonts w:ascii="宋体" w:hAnsi="宋体" w:cs="宋体" w:eastAsia="宋体" w:hint="default"/>
                <w:w w:val="105"/>
                <w:sz w:val="16"/>
                <w:szCs w:val="16"/>
              </w:rPr>
              <w:t>固定资产及在建工程减值准备</w:t>
            </w:r>
            <w:r>
              <w:rPr>
                <w:rFonts w:ascii="宋体" w:hAnsi="宋体" w:cs="宋体" w:eastAsia="宋体" w:hint="default"/>
                <w:sz w:val="16"/>
                <w:szCs w:val="16"/>
              </w:rPr>
            </w: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42"/>
              <w:jc w:val="center"/>
              <w:rPr>
                <w:rFonts w:ascii="Arial" w:hAnsi="Arial" w:cs="Arial" w:eastAsia="Arial" w:hint="default"/>
                <w:sz w:val="16"/>
                <w:szCs w:val="16"/>
              </w:rPr>
            </w:pPr>
            <w:r>
              <w:rPr>
                <w:rFonts w:ascii="Arial"/>
                <w:w w:val="105"/>
                <w:sz w:val="16"/>
              </w:rPr>
              <w:t>(2)</w:t>
            </w:r>
            <w:r>
              <w:rPr>
                <w:rFonts w:ascii="Arial"/>
                <w:sz w:val="16"/>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74"/>
              <w:jc w:val="right"/>
              <w:rPr>
                <w:rFonts w:ascii="Arial" w:hAnsi="Arial" w:cs="Arial" w:eastAsia="Arial" w:hint="default"/>
                <w:sz w:val="16"/>
                <w:szCs w:val="16"/>
              </w:rPr>
            </w:pPr>
            <w:r>
              <w:rPr>
                <w:rFonts w:ascii="Arial"/>
                <w:spacing w:val="-1"/>
                <w:w w:val="105"/>
                <w:sz w:val="16"/>
              </w:rPr>
              <w:t>80,320,120</w:t>
            </w:r>
            <w:r>
              <w:rPr>
                <w:rFonts w:ascii="Arial"/>
                <w:sz w:val="16"/>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79"/>
              <w:jc w:val="right"/>
              <w:rPr>
                <w:rFonts w:ascii="Arial" w:hAnsi="Arial" w:cs="Arial" w:eastAsia="Arial" w:hint="default"/>
                <w:sz w:val="16"/>
                <w:szCs w:val="16"/>
              </w:rPr>
            </w:pPr>
            <w:r>
              <w:rPr>
                <w:rFonts w:ascii="Arial"/>
                <w:spacing w:val="-1"/>
                <w:w w:val="105"/>
                <w:sz w:val="16"/>
              </w:rPr>
              <w:t>20,080,030</w:t>
            </w:r>
            <w:r>
              <w:rPr>
                <w:rFonts w:ascii="Arial"/>
                <w:sz w:val="16"/>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84"/>
              <w:jc w:val="right"/>
              <w:rPr>
                <w:rFonts w:ascii="Arial" w:hAnsi="Arial" w:cs="Arial" w:eastAsia="Arial" w:hint="default"/>
                <w:sz w:val="16"/>
                <w:szCs w:val="16"/>
              </w:rPr>
            </w:pPr>
            <w:r>
              <w:rPr>
                <w:rFonts w:ascii="Arial"/>
                <w:spacing w:val="-1"/>
                <w:w w:val="105"/>
                <w:sz w:val="16"/>
              </w:rPr>
              <w:t>85,166,105</w:t>
            </w:r>
            <w:r>
              <w:rPr>
                <w:rFonts w:ascii="Arial"/>
                <w:sz w:val="16"/>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79"/>
              <w:jc w:val="right"/>
              <w:rPr>
                <w:rFonts w:ascii="Arial" w:hAnsi="Arial" w:cs="Arial" w:eastAsia="Arial" w:hint="default"/>
                <w:sz w:val="16"/>
                <w:szCs w:val="16"/>
              </w:rPr>
            </w:pPr>
            <w:r>
              <w:rPr>
                <w:rFonts w:ascii="Arial"/>
                <w:spacing w:val="-1"/>
                <w:w w:val="105"/>
                <w:sz w:val="16"/>
              </w:rPr>
              <w:t>20,293,953</w:t>
            </w:r>
            <w:r>
              <w:rPr>
                <w:rFonts w:ascii="Arial"/>
                <w:sz w:val="16"/>
              </w:rPr>
            </w:r>
          </w:p>
        </w:tc>
      </w:tr>
      <w:tr>
        <w:trPr>
          <w:trHeight w:val="221"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6" w:lineRule="exact"/>
              <w:ind w:right="0"/>
              <w:jc w:val="left"/>
              <w:rPr>
                <w:rFonts w:ascii="宋体" w:hAnsi="宋体" w:cs="宋体" w:eastAsia="宋体" w:hint="default"/>
                <w:sz w:val="17"/>
                <w:szCs w:val="17"/>
              </w:rPr>
            </w:pPr>
            <w:r>
              <w:rPr>
                <w:rFonts w:ascii="宋体" w:hAnsi="宋体" w:cs="宋体" w:eastAsia="宋体" w:hint="default"/>
                <w:sz w:val="17"/>
                <w:szCs w:val="17"/>
              </w:rPr>
              <w:t>存货跌价准备</w:t>
            </w: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2"/>
              <w:jc w:val="center"/>
              <w:rPr>
                <w:rFonts w:ascii="Arial" w:hAnsi="Arial" w:cs="Arial" w:eastAsia="Arial" w:hint="default"/>
                <w:sz w:val="17"/>
                <w:szCs w:val="17"/>
              </w:rPr>
            </w:pPr>
            <w:r>
              <w:rPr>
                <w:rFonts w:ascii="Arial"/>
                <w:spacing w:val="-3"/>
                <w:sz w:val="17"/>
              </w:rPr>
              <w:t>(2)</w:t>
            </w:r>
            <w:r>
              <w:rPr>
                <w:rFonts w:ascii="Arial"/>
                <w:sz w:val="17"/>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4"/>
              <w:jc w:val="right"/>
              <w:rPr>
                <w:rFonts w:ascii="Arial" w:hAnsi="Arial" w:cs="Arial" w:eastAsia="Arial" w:hint="default"/>
                <w:sz w:val="17"/>
                <w:szCs w:val="17"/>
              </w:rPr>
            </w:pPr>
            <w:r>
              <w:rPr>
                <w:rFonts w:ascii="Arial"/>
                <w:spacing w:val="-1"/>
                <w:w w:val="95"/>
                <w:sz w:val="17"/>
              </w:rPr>
              <w:t>12,244,764</w:t>
            </w:r>
            <w:r>
              <w:rPr>
                <w:rFonts w:ascii="Arial"/>
                <w:sz w:val="17"/>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5"/>
              <w:jc w:val="right"/>
              <w:rPr>
                <w:rFonts w:ascii="Arial" w:hAnsi="Arial" w:cs="Arial" w:eastAsia="Arial" w:hint="default"/>
                <w:sz w:val="17"/>
                <w:szCs w:val="17"/>
              </w:rPr>
            </w:pPr>
            <w:r>
              <w:rPr>
                <w:rFonts w:ascii="Arial"/>
                <w:w w:val="95"/>
                <w:sz w:val="17"/>
              </w:rPr>
              <w:t>3,061,191</w:t>
            </w:r>
            <w:r>
              <w:rPr>
                <w:rFonts w:ascii="Arial"/>
                <w:sz w:val="17"/>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84"/>
              <w:jc w:val="right"/>
              <w:rPr>
                <w:rFonts w:ascii="Arial" w:hAnsi="Arial" w:cs="Arial" w:eastAsia="Arial" w:hint="default"/>
                <w:sz w:val="17"/>
                <w:szCs w:val="17"/>
              </w:rPr>
            </w:pPr>
            <w:r>
              <w:rPr>
                <w:rFonts w:ascii="Arial"/>
                <w:spacing w:val="-1"/>
                <w:w w:val="95"/>
                <w:sz w:val="17"/>
              </w:rPr>
              <w:t>20,336,312</w:t>
            </w:r>
            <w:r>
              <w:rPr>
                <w:rFonts w:ascii="Arial"/>
                <w:sz w:val="17"/>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5"/>
              <w:jc w:val="right"/>
              <w:rPr>
                <w:rFonts w:ascii="Arial" w:hAnsi="Arial" w:cs="Arial" w:eastAsia="Arial" w:hint="default"/>
                <w:sz w:val="17"/>
                <w:szCs w:val="17"/>
              </w:rPr>
            </w:pPr>
            <w:r>
              <w:rPr>
                <w:rFonts w:ascii="Arial"/>
                <w:w w:val="95"/>
                <w:sz w:val="17"/>
              </w:rPr>
              <w:t>4,744,859</w:t>
            </w:r>
            <w:r>
              <w:rPr>
                <w:rFonts w:ascii="Arial"/>
                <w:sz w:val="17"/>
              </w:rPr>
            </w:r>
          </w:p>
        </w:tc>
      </w:tr>
      <w:tr>
        <w:trPr>
          <w:trHeight w:val="221"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6" w:lineRule="exact"/>
              <w:ind w:right="0"/>
              <w:jc w:val="left"/>
              <w:rPr>
                <w:rFonts w:ascii="宋体" w:hAnsi="宋体" w:cs="宋体" w:eastAsia="宋体" w:hint="default"/>
                <w:sz w:val="17"/>
                <w:szCs w:val="17"/>
              </w:rPr>
            </w:pPr>
            <w:r>
              <w:rPr>
                <w:rFonts w:ascii="宋体" w:hAnsi="宋体" w:cs="宋体" w:eastAsia="宋体" w:hint="default"/>
                <w:sz w:val="17"/>
                <w:szCs w:val="17"/>
              </w:rPr>
              <w:t>应收款项坏账准备</w:t>
            </w: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2"/>
              <w:jc w:val="center"/>
              <w:rPr>
                <w:rFonts w:ascii="Arial" w:hAnsi="Arial" w:cs="Arial" w:eastAsia="Arial" w:hint="default"/>
                <w:sz w:val="16"/>
                <w:szCs w:val="16"/>
              </w:rPr>
            </w:pPr>
            <w:r>
              <w:rPr>
                <w:rFonts w:ascii="Arial"/>
                <w:w w:val="105"/>
                <w:sz w:val="16"/>
              </w:rPr>
              <w:t>(3)</w:t>
            </w:r>
            <w:r>
              <w:rPr>
                <w:rFonts w:ascii="Arial"/>
                <w:sz w:val="16"/>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72"/>
              <w:jc w:val="right"/>
              <w:rPr>
                <w:rFonts w:ascii="Arial" w:hAnsi="Arial" w:cs="Arial" w:eastAsia="Arial" w:hint="default"/>
                <w:sz w:val="16"/>
                <w:szCs w:val="16"/>
              </w:rPr>
            </w:pPr>
            <w:r>
              <w:rPr>
                <w:rFonts w:ascii="Arial"/>
                <w:sz w:val="16"/>
              </w:rPr>
              <w:t>7,868,517,413</w:t>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74"/>
              <w:jc w:val="right"/>
              <w:rPr>
                <w:rFonts w:ascii="Arial" w:hAnsi="Arial" w:cs="Arial" w:eastAsia="Arial" w:hint="default"/>
                <w:sz w:val="16"/>
                <w:szCs w:val="16"/>
              </w:rPr>
            </w:pPr>
            <w:r>
              <w:rPr>
                <w:rFonts w:ascii="Arial"/>
                <w:spacing w:val="-1"/>
                <w:w w:val="105"/>
                <w:sz w:val="16"/>
              </w:rPr>
              <w:t>1,919,251,360</w:t>
            </w:r>
            <w:r>
              <w:rPr>
                <w:rFonts w:ascii="Arial"/>
                <w:sz w:val="16"/>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86"/>
              <w:jc w:val="right"/>
              <w:rPr>
                <w:rFonts w:ascii="Arial" w:hAnsi="Arial" w:cs="Arial" w:eastAsia="Arial" w:hint="default"/>
                <w:sz w:val="16"/>
                <w:szCs w:val="16"/>
              </w:rPr>
            </w:pPr>
            <w:r>
              <w:rPr>
                <w:rFonts w:ascii="Arial"/>
                <w:sz w:val="16"/>
              </w:rPr>
              <w:t>7,039,716,440</w:t>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65" w:right="0"/>
              <w:jc w:val="left"/>
              <w:rPr>
                <w:rFonts w:ascii="Arial" w:hAnsi="Arial" w:cs="Arial" w:eastAsia="Arial" w:hint="default"/>
                <w:sz w:val="16"/>
                <w:szCs w:val="16"/>
              </w:rPr>
            </w:pPr>
            <w:r>
              <w:rPr>
                <w:rFonts w:ascii="Arial"/>
                <w:w w:val="105"/>
                <w:sz w:val="16"/>
              </w:rPr>
              <w:t>1,714,918,284</w:t>
            </w:r>
            <w:r>
              <w:rPr>
                <w:rFonts w:ascii="Arial"/>
                <w:sz w:val="16"/>
              </w:rPr>
            </w:r>
          </w:p>
        </w:tc>
      </w:tr>
      <w:tr>
        <w:trPr>
          <w:trHeight w:val="221"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4" w:lineRule="exact"/>
              <w:ind w:right="0"/>
              <w:jc w:val="left"/>
              <w:rPr>
                <w:rFonts w:ascii="宋体" w:hAnsi="宋体" w:cs="宋体" w:eastAsia="宋体" w:hint="default"/>
                <w:sz w:val="16"/>
                <w:szCs w:val="16"/>
              </w:rPr>
            </w:pPr>
            <w:r>
              <w:rPr>
                <w:rFonts w:ascii="宋体" w:hAnsi="宋体" w:cs="宋体" w:eastAsia="宋体" w:hint="default"/>
                <w:w w:val="105"/>
                <w:sz w:val="16"/>
                <w:szCs w:val="16"/>
              </w:rPr>
              <w:t>尚未抵扣的预提费用</w:t>
            </w:r>
            <w:r>
              <w:rPr>
                <w:rFonts w:ascii="宋体" w:hAnsi="宋体" w:cs="宋体" w:eastAsia="宋体" w:hint="default"/>
                <w:sz w:val="16"/>
                <w:szCs w:val="16"/>
              </w:rPr>
            </w: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2"/>
              <w:jc w:val="center"/>
              <w:rPr>
                <w:rFonts w:ascii="Arial" w:hAnsi="Arial" w:cs="Arial" w:eastAsia="Arial" w:hint="default"/>
                <w:sz w:val="16"/>
                <w:szCs w:val="16"/>
              </w:rPr>
            </w:pPr>
            <w:r>
              <w:rPr>
                <w:rFonts w:ascii="Arial"/>
                <w:w w:val="105"/>
                <w:sz w:val="16"/>
              </w:rPr>
              <w:t>(4)</w:t>
            </w:r>
            <w:r>
              <w:rPr>
                <w:rFonts w:ascii="Arial"/>
                <w:sz w:val="16"/>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72"/>
              <w:jc w:val="right"/>
              <w:rPr>
                <w:rFonts w:ascii="Arial" w:hAnsi="Arial" w:cs="Arial" w:eastAsia="Arial" w:hint="default"/>
                <w:sz w:val="16"/>
                <w:szCs w:val="16"/>
              </w:rPr>
            </w:pPr>
            <w:r>
              <w:rPr>
                <w:rFonts w:ascii="Arial"/>
                <w:w w:val="105"/>
                <w:sz w:val="16"/>
              </w:rPr>
              <w:t>13,257,609,571</w:t>
            </w:r>
            <w:r>
              <w:rPr>
                <w:rFonts w:ascii="Arial"/>
                <w:sz w:val="16"/>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77"/>
              <w:jc w:val="right"/>
              <w:rPr>
                <w:rFonts w:ascii="Arial" w:hAnsi="Arial" w:cs="Arial" w:eastAsia="Arial" w:hint="default"/>
                <w:sz w:val="16"/>
                <w:szCs w:val="16"/>
              </w:rPr>
            </w:pPr>
            <w:r>
              <w:rPr>
                <w:rFonts w:ascii="Arial"/>
                <w:sz w:val="16"/>
              </w:rPr>
              <w:t>3,302,399,647</w:t>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86"/>
              <w:jc w:val="right"/>
              <w:rPr>
                <w:rFonts w:ascii="Arial" w:hAnsi="Arial" w:cs="Arial" w:eastAsia="Arial" w:hint="default"/>
                <w:sz w:val="16"/>
                <w:szCs w:val="16"/>
              </w:rPr>
            </w:pPr>
            <w:r>
              <w:rPr>
                <w:rFonts w:ascii="Arial"/>
                <w:w w:val="105"/>
                <w:sz w:val="16"/>
              </w:rPr>
              <w:t>12,548,578,545</w:t>
            </w:r>
            <w:r>
              <w:rPr>
                <w:rFonts w:ascii="Arial"/>
                <w:sz w:val="16"/>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65" w:right="0"/>
              <w:jc w:val="left"/>
              <w:rPr>
                <w:rFonts w:ascii="Arial" w:hAnsi="Arial" w:cs="Arial" w:eastAsia="Arial" w:hint="default"/>
                <w:sz w:val="16"/>
                <w:szCs w:val="16"/>
              </w:rPr>
            </w:pPr>
            <w:r>
              <w:rPr>
                <w:rFonts w:ascii="Arial"/>
                <w:w w:val="105"/>
                <w:sz w:val="16"/>
              </w:rPr>
              <w:t>3,135,550,178</w:t>
            </w:r>
            <w:r>
              <w:rPr>
                <w:rFonts w:ascii="Arial"/>
                <w:sz w:val="16"/>
              </w:rPr>
            </w:r>
          </w:p>
        </w:tc>
      </w:tr>
      <w:tr>
        <w:trPr>
          <w:trHeight w:val="221"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96" w:lineRule="exact"/>
              <w:ind w:right="0"/>
              <w:jc w:val="left"/>
              <w:rPr>
                <w:rFonts w:ascii="宋体" w:hAnsi="宋体" w:cs="宋体" w:eastAsia="宋体" w:hint="default"/>
                <w:sz w:val="16"/>
                <w:szCs w:val="16"/>
              </w:rPr>
            </w:pPr>
            <w:r>
              <w:rPr>
                <w:rFonts w:ascii="宋体" w:hAnsi="宋体" w:cs="宋体" w:eastAsia="宋体" w:hint="default"/>
                <w:w w:val="105"/>
                <w:sz w:val="16"/>
                <w:szCs w:val="16"/>
              </w:rPr>
              <w:t>递延收益</w:t>
            </w:r>
            <w:r>
              <w:rPr>
                <w:rFonts w:ascii="Arial" w:hAnsi="Arial" w:cs="Arial" w:eastAsia="Arial" w:hint="default"/>
                <w:w w:val="105"/>
                <w:sz w:val="16"/>
                <w:szCs w:val="16"/>
              </w:rPr>
              <w:t>/</w:t>
            </w:r>
            <w:r>
              <w:rPr>
                <w:rFonts w:ascii="宋体" w:hAnsi="宋体" w:cs="宋体" w:eastAsia="宋体" w:hint="default"/>
                <w:w w:val="105"/>
                <w:sz w:val="16"/>
                <w:szCs w:val="16"/>
              </w:rPr>
              <w:t>合同负债</w:t>
            </w:r>
            <w:r>
              <w:rPr>
                <w:rFonts w:ascii="宋体" w:hAnsi="宋体" w:cs="宋体" w:eastAsia="宋体" w:hint="default"/>
                <w:sz w:val="16"/>
                <w:szCs w:val="16"/>
              </w:rPr>
            </w: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2"/>
              <w:jc w:val="center"/>
              <w:rPr>
                <w:rFonts w:ascii="Arial" w:hAnsi="Arial" w:cs="Arial" w:eastAsia="Arial" w:hint="default"/>
                <w:sz w:val="17"/>
                <w:szCs w:val="17"/>
              </w:rPr>
            </w:pPr>
            <w:r>
              <w:rPr>
                <w:rFonts w:ascii="Arial"/>
                <w:spacing w:val="-3"/>
                <w:sz w:val="17"/>
              </w:rPr>
              <w:t>(5)</w:t>
            </w:r>
            <w:r>
              <w:rPr>
                <w:rFonts w:ascii="Arial"/>
                <w:sz w:val="17"/>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9"/>
              <w:jc w:val="right"/>
              <w:rPr>
                <w:rFonts w:ascii="Arial" w:hAnsi="Arial" w:cs="Arial" w:eastAsia="Arial" w:hint="default"/>
                <w:sz w:val="17"/>
                <w:szCs w:val="17"/>
              </w:rPr>
            </w:pPr>
            <w:r>
              <w:rPr>
                <w:rFonts w:ascii="Arial"/>
                <w:spacing w:val="-1"/>
                <w:w w:val="95"/>
                <w:sz w:val="17"/>
              </w:rPr>
              <w:t>3,724,855,604</w:t>
            </w:r>
            <w:r>
              <w:rPr>
                <w:rFonts w:ascii="Arial"/>
                <w:sz w:val="17"/>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5"/>
              <w:jc w:val="right"/>
              <w:rPr>
                <w:rFonts w:ascii="Arial" w:hAnsi="Arial" w:cs="Arial" w:eastAsia="Arial" w:hint="default"/>
                <w:sz w:val="17"/>
                <w:szCs w:val="17"/>
              </w:rPr>
            </w:pPr>
            <w:r>
              <w:rPr>
                <w:rFonts w:ascii="Arial"/>
                <w:w w:val="95"/>
                <w:sz w:val="17"/>
              </w:rPr>
              <w:t>931,213,901</w:t>
            </w:r>
            <w:r>
              <w:rPr>
                <w:rFonts w:ascii="Arial"/>
                <w:sz w:val="17"/>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86"/>
              <w:jc w:val="right"/>
              <w:rPr>
                <w:rFonts w:ascii="Arial" w:hAnsi="Arial" w:cs="Arial" w:eastAsia="Arial" w:hint="default"/>
                <w:sz w:val="17"/>
                <w:szCs w:val="17"/>
              </w:rPr>
            </w:pPr>
            <w:r>
              <w:rPr>
                <w:rFonts w:ascii="Arial"/>
                <w:w w:val="95"/>
                <w:sz w:val="17"/>
              </w:rPr>
              <w:t>3,017,300,427</w:t>
            </w:r>
            <w:r>
              <w:rPr>
                <w:rFonts w:ascii="Arial"/>
                <w:sz w:val="17"/>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04" w:right="0"/>
              <w:jc w:val="left"/>
              <w:rPr>
                <w:rFonts w:ascii="Arial" w:hAnsi="Arial" w:cs="Arial" w:eastAsia="Arial" w:hint="default"/>
                <w:sz w:val="17"/>
                <w:szCs w:val="17"/>
              </w:rPr>
            </w:pPr>
            <w:r>
              <w:rPr>
                <w:rFonts w:ascii="Arial"/>
                <w:sz w:val="17"/>
              </w:rPr>
              <w:t>751,596,339</w:t>
            </w:r>
          </w:p>
        </w:tc>
      </w:tr>
      <w:tr>
        <w:trPr>
          <w:trHeight w:val="218"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6" w:lineRule="exact"/>
              <w:ind w:right="0"/>
              <w:jc w:val="left"/>
              <w:rPr>
                <w:rFonts w:ascii="宋体" w:hAnsi="宋体" w:cs="宋体" w:eastAsia="宋体" w:hint="default"/>
                <w:sz w:val="17"/>
                <w:szCs w:val="17"/>
              </w:rPr>
            </w:pPr>
            <w:r>
              <w:rPr>
                <w:rFonts w:ascii="宋体" w:hAnsi="宋体" w:cs="宋体" w:eastAsia="宋体" w:hint="default"/>
                <w:sz w:val="17"/>
                <w:szCs w:val="17"/>
              </w:rPr>
              <w:t>已计提尚未发放的职工薪酬</w:t>
            </w: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2"/>
              <w:jc w:val="center"/>
              <w:rPr>
                <w:rFonts w:ascii="Arial" w:hAnsi="Arial" w:cs="Arial" w:eastAsia="Arial" w:hint="default"/>
                <w:sz w:val="17"/>
                <w:szCs w:val="17"/>
              </w:rPr>
            </w:pPr>
            <w:r>
              <w:rPr>
                <w:rFonts w:ascii="Arial"/>
                <w:spacing w:val="-3"/>
                <w:sz w:val="17"/>
              </w:rPr>
              <w:t>(6)</w:t>
            </w:r>
            <w:r>
              <w:rPr>
                <w:rFonts w:ascii="Arial"/>
                <w:sz w:val="17"/>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9"/>
              <w:jc w:val="right"/>
              <w:rPr>
                <w:rFonts w:ascii="Arial" w:hAnsi="Arial" w:cs="Arial" w:eastAsia="Arial" w:hint="default"/>
                <w:sz w:val="17"/>
                <w:szCs w:val="17"/>
              </w:rPr>
            </w:pPr>
            <w:r>
              <w:rPr>
                <w:rFonts w:ascii="Arial"/>
                <w:spacing w:val="-1"/>
                <w:w w:val="95"/>
                <w:sz w:val="17"/>
              </w:rPr>
              <w:t>70,298,948</w:t>
            </w:r>
            <w:r>
              <w:rPr>
                <w:rFonts w:ascii="Arial"/>
                <w:sz w:val="17"/>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4"/>
              <w:jc w:val="right"/>
              <w:rPr>
                <w:rFonts w:ascii="Arial" w:hAnsi="Arial" w:cs="Arial" w:eastAsia="Arial" w:hint="default"/>
                <w:sz w:val="17"/>
                <w:szCs w:val="17"/>
              </w:rPr>
            </w:pPr>
            <w:r>
              <w:rPr>
                <w:rFonts w:ascii="Arial"/>
                <w:spacing w:val="-1"/>
                <w:w w:val="95"/>
                <w:sz w:val="17"/>
              </w:rPr>
              <w:t>14,768,685</w:t>
            </w:r>
            <w:r>
              <w:rPr>
                <w:rFonts w:ascii="Arial"/>
                <w:sz w:val="17"/>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84"/>
              <w:jc w:val="right"/>
              <w:rPr>
                <w:rFonts w:ascii="Arial" w:hAnsi="Arial" w:cs="Arial" w:eastAsia="Arial" w:hint="default"/>
                <w:sz w:val="17"/>
                <w:szCs w:val="17"/>
              </w:rPr>
            </w:pPr>
            <w:r>
              <w:rPr>
                <w:rFonts w:ascii="Arial"/>
                <w:w w:val="95"/>
                <w:sz w:val="17"/>
              </w:rPr>
              <w:t>980,014,331</w:t>
            </w:r>
            <w:r>
              <w:rPr>
                <w:rFonts w:ascii="Arial"/>
                <w:sz w:val="17"/>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04" w:right="0"/>
              <w:jc w:val="left"/>
              <w:rPr>
                <w:rFonts w:ascii="Arial" w:hAnsi="Arial" w:cs="Arial" w:eastAsia="Arial" w:hint="default"/>
                <w:sz w:val="17"/>
                <w:szCs w:val="17"/>
              </w:rPr>
            </w:pPr>
            <w:r>
              <w:rPr>
                <w:rFonts w:ascii="Arial"/>
                <w:sz w:val="17"/>
              </w:rPr>
              <w:t>239,990,835</w:t>
            </w:r>
          </w:p>
        </w:tc>
      </w:tr>
      <w:tr>
        <w:trPr>
          <w:trHeight w:val="218"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2" w:lineRule="exact"/>
              <w:ind w:right="0"/>
              <w:jc w:val="left"/>
              <w:rPr>
                <w:rFonts w:ascii="宋体" w:hAnsi="宋体" w:cs="宋体" w:eastAsia="宋体" w:hint="default"/>
                <w:sz w:val="16"/>
                <w:szCs w:val="16"/>
              </w:rPr>
            </w:pPr>
            <w:r>
              <w:rPr>
                <w:rFonts w:ascii="宋体" w:hAnsi="宋体" w:cs="宋体" w:eastAsia="宋体" w:hint="default"/>
                <w:w w:val="105"/>
                <w:sz w:val="16"/>
                <w:szCs w:val="16"/>
              </w:rPr>
              <w:t>集团内部购销业务未实现净利润</w:t>
            </w:r>
            <w:r>
              <w:rPr>
                <w:rFonts w:ascii="宋体" w:hAnsi="宋体" w:cs="宋体" w:eastAsia="宋体" w:hint="default"/>
                <w:sz w:val="16"/>
                <w:szCs w:val="16"/>
              </w:rPr>
            </w: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2"/>
              <w:jc w:val="center"/>
              <w:rPr>
                <w:rFonts w:ascii="Arial" w:hAnsi="Arial" w:cs="Arial" w:eastAsia="Arial" w:hint="default"/>
                <w:sz w:val="17"/>
                <w:szCs w:val="17"/>
              </w:rPr>
            </w:pPr>
            <w:r>
              <w:rPr>
                <w:rFonts w:ascii="Arial"/>
                <w:spacing w:val="-3"/>
                <w:sz w:val="17"/>
              </w:rPr>
              <w:t>(7)</w:t>
            </w:r>
            <w:r>
              <w:rPr>
                <w:rFonts w:ascii="Arial"/>
                <w:sz w:val="17"/>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67"/>
              <w:jc w:val="right"/>
              <w:rPr>
                <w:rFonts w:ascii="Arial" w:hAnsi="Arial" w:cs="Arial" w:eastAsia="Arial" w:hint="default"/>
                <w:sz w:val="17"/>
                <w:szCs w:val="17"/>
              </w:rPr>
            </w:pPr>
            <w:r>
              <w:rPr>
                <w:rFonts w:ascii="Arial"/>
                <w:w w:val="95"/>
                <w:sz w:val="17"/>
              </w:rPr>
              <w:t>907,353,136</w:t>
            </w:r>
            <w:r>
              <w:rPr>
                <w:rFonts w:ascii="Arial"/>
                <w:sz w:val="17"/>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72"/>
              <w:jc w:val="right"/>
              <w:rPr>
                <w:rFonts w:ascii="Arial" w:hAnsi="Arial" w:cs="Arial" w:eastAsia="Arial" w:hint="default"/>
                <w:sz w:val="17"/>
                <w:szCs w:val="17"/>
              </w:rPr>
            </w:pPr>
            <w:r>
              <w:rPr>
                <w:rFonts w:ascii="Arial"/>
                <w:w w:val="95"/>
                <w:sz w:val="17"/>
              </w:rPr>
              <w:t>226,838,284</w:t>
            </w:r>
            <w:r>
              <w:rPr>
                <w:rFonts w:ascii="Arial"/>
                <w:sz w:val="17"/>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84"/>
              <w:jc w:val="right"/>
              <w:rPr>
                <w:rFonts w:ascii="Arial" w:hAnsi="Arial" w:cs="Arial" w:eastAsia="Arial" w:hint="default"/>
                <w:sz w:val="17"/>
                <w:szCs w:val="17"/>
              </w:rPr>
            </w:pPr>
            <w:r>
              <w:rPr>
                <w:rFonts w:ascii="Arial"/>
                <w:w w:val="95"/>
                <w:sz w:val="17"/>
              </w:rPr>
              <w:t>613,963,083</w:t>
            </w:r>
            <w:r>
              <w:rPr>
                <w:rFonts w:ascii="Arial"/>
                <w:sz w:val="17"/>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9"/>
              <w:ind w:left="304" w:right="0"/>
              <w:jc w:val="left"/>
              <w:rPr>
                <w:rFonts w:ascii="Arial" w:hAnsi="Arial" w:cs="Arial" w:eastAsia="Arial" w:hint="default"/>
                <w:sz w:val="17"/>
                <w:szCs w:val="17"/>
              </w:rPr>
            </w:pPr>
            <w:r>
              <w:rPr>
                <w:rFonts w:ascii="Arial"/>
                <w:sz w:val="17"/>
              </w:rPr>
              <w:t>153,384,611</w:t>
            </w:r>
          </w:p>
        </w:tc>
      </w:tr>
      <w:tr>
        <w:trPr>
          <w:trHeight w:val="221"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4" w:lineRule="exact"/>
              <w:ind w:right="0"/>
              <w:jc w:val="left"/>
              <w:rPr>
                <w:rFonts w:ascii="宋体" w:hAnsi="宋体" w:cs="宋体" w:eastAsia="宋体" w:hint="default"/>
                <w:sz w:val="16"/>
                <w:szCs w:val="16"/>
              </w:rPr>
            </w:pPr>
            <w:r>
              <w:rPr>
                <w:rFonts w:ascii="宋体" w:hAnsi="宋体" w:cs="宋体" w:eastAsia="宋体" w:hint="default"/>
                <w:w w:val="105"/>
                <w:sz w:val="16"/>
                <w:szCs w:val="16"/>
              </w:rPr>
              <w:t>与联营企业交易未实现净利润</w:t>
            </w:r>
            <w:r>
              <w:rPr>
                <w:rFonts w:ascii="宋体" w:hAnsi="宋体" w:cs="宋体" w:eastAsia="宋体" w:hint="default"/>
                <w:sz w:val="16"/>
                <w:szCs w:val="16"/>
              </w:rPr>
            </w: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7"/>
              <w:jc w:val="center"/>
              <w:rPr>
                <w:rFonts w:ascii="Arial" w:hAnsi="Arial" w:cs="Arial" w:eastAsia="Arial" w:hint="default"/>
                <w:sz w:val="17"/>
                <w:szCs w:val="17"/>
              </w:rPr>
            </w:pPr>
            <w:r>
              <w:rPr>
                <w:rFonts w:ascii="Arial"/>
                <w:spacing w:val="-3"/>
                <w:sz w:val="17"/>
              </w:rPr>
              <w:t>(11)</w:t>
            </w:r>
            <w:r>
              <w:rPr>
                <w:rFonts w:ascii="Arial"/>
                <w:sz w:val="17"/>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7"/>
              <w:jc w:val="right"/>
              <w:rPr>
                <w:rFonts w:ascii="Arial" w:hAnsi="Arial" w:cs="Arial" w:eastAsia="Arial" w:hint="default"/>
                <w:sz w:val="17"/>
                <w:szCs w:val="17"/>
              </w:rPr>
            </w:pPr>
            <w:r>
              <w:rPr>
                <w:rFonts w:ascii="Arial"/>
                <w:w w:val="95"/>
                <w:sz w:val="17"/>
              </w:rPr>
              <w:t>1,521,109,600</w:t>
            </w:r>
            <w:r>
              <w:rPr>
                <w:rFonts w:ascii="Arial"/>
                <w:sz w:val="17"/>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2"/>
              <w:jc w:val="right"/>
              <w:rPr>
                <w:rFonts w:ascii="Arial" w:hAnsi="Arial" w:cs="Arial" w:eastAsia="Arial" w:hint="default"/>
                <w:sz w:val="17"/>
                <w:szCs w:val="17"/>
              </w:rPr>
            </w:pPr>
            <w:r>
              <w:rPr>
                <w:rFonts w:ascii="Arial"/>
                <w:w w:val="95"/>
                <w:sz w:val="17"/>
              </w:rPr>
              <w:t>380,277,401</w:t>
            </w:r>
            <w:r>
              <w:rPr>
                <w:rFonts w:ascii="Arial"/>
                <w:sz w:val="17"/>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86"/>
              <w:jc w:val="right"/>
              <w:rPr>
                <w:rFonts w:ascii="Arial" w:hAnsi="Arial" w:cs="Arial" w:eastAsia="Arial" w:hint="default"/>
                <w:sz w:val="17"/>
                <w:szCs w:val="17"/>
              </w:rPr>
            </w:pPr>
            <w:r>
              <w:rPr>
                <w:rFonts w:ascii="Arial"/>
                <w:w w:val="95"/>
                <w:sz w:val="17"/>
              </w:rPr>
              <w:t>1,779,872,656</w:t>
            </w:r>
            <w:r>
              <w:rPr>
                <w:rFonts w:ascii="Arial"/>
                <w:sz w:val="17"/>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04" w:right="0"/>
              <w:jc w:val="left"/>
              <w:rPr>
                <w:rFonts w:ascii="Arial" w:hAnsi="Arial" w:cs="Arial" w:eastAsia="Arial" w:hint="default"/>
                <w:sz w:val="17"/>
                <w:szCs w:val="17"/>
              </w:rPr>
            </w:pPr>
            <w:r>
              <w:rPr>
                <w:rFonts w:ascii="Arial"/>
                <w:sz w:val="17"/>
              </w:rPr>
              <w:t>444,968,164</w:t>
            </w:r>
          </w:p>
        </w:tc>
      </w:tr>
      <w:tr>
        <w:trPr>
          <w:trHeight w:val="221"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6" w:lineRule="exact"/>
              <w:ind w:right="0"/>
              <w:jc w:val="left"/>
              <w:rPr>
                <w:rFonts w:ascii="宋体" w:hAnsi="宋体" w:cs="宋体" w:eastAsia="宋体" w:hint="default"/>
                <w:sz w:val="17"/>
                <w:szCs w:val="17"/>
              </w:rPr>
            </w:pPr>
            <w:r>
              <w:rPr>
                <w:rFonts w:ascii="宋体" w:hAnsi="宋体" w:cs="宋体" w:eastAsia="宋体" w:hint="default"/>
                <w:sz w:val="17"/>
                <w:szCs w:val="17"/>
              </w:rPr>
              <w:t>无形资产摊销差异</w:t>
            </w: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7"/>
              <w:jc w:val="center"/>
              <w:rPr>
                <w:rFonts w:ascii="Arial" w:hAnsi="Arial" w:cs="Arial" w:eastAsia="Arial" w:hint="default"/>
                <w:sz w:val="16"/>
                <w:szCs w:val="16"/>
              </w:rPr>
            </w:pPr>
            <w:r>
              <w:rPr>
                <w:rFonts w:ascii="Arial"/>
                <w:spacing w:val="-3"/>
                <w:w w:val="105"/>
                <w:sz w:val="16"/>
              </w:rPr>
              <w:t>(12)</w:t>
            </w:r>
            <w:r>
              <w:rPr>
                <w:rFonts w:ascii="Arial"/>
                <w:sz w:val="16"/>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69"/>
              <w:jc w:val="right"/>
              <w:rPr>
                <w:rFonts w:ascii="Arial" w:hAnsi="Arial" w:cs="Arial" w:eastAsia="Arial" w:hint="default"/>
                <w:sz w:val="16"/>
                <w:szCs w:val="16"/>
              </w:rPr>
            </w:pPr>
            <w:r>
              <w:rPr>
                <w:rFonts w:ascii="Arial"/>
                <w:spacing w:val="-1"/>
                <w:w w:val="105"/>
                <w:sz w:val="16"/>
              </w:rPr>
              <w:t>1,874,169,880</w:t>
            </w:r>
            <w:r>
              <w:rPr>
                <w:rFonts w:ascii="Arial"/>
                <w:sz w:val="16"/>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72"/>
              <w:jc w:val="right"/>
              <w:rPr>
                <w:rFonts w:ascii="Arial" w:hAnsi="Arial" w:cs="Arial" w:eastAsia="Arial" w:hint="default"/>
                <w:sz w:val="16"/>
                <w:szCs w:val="16"/>
              </w:rPr>
            </w:pPr>
            <w:r>
              <w:rPr>
                <w:rFonts w:ascii="Arial"/>
                <w:w w:val="105"/>
                <w:sz w:val="16"/>
              </w:rPr>
              <w:t>463,072,368</w:t>
            </w:r>
            <w:r>
              <w:rPr>
                <w:rFonts w:ascii="Arial"/>
                <w:sz w:val="16"/>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86"/>
              <w:jc w:val="right"/>
              <w:rPr>
                <w:rFonts w:ascii="Arial" w:hAnsi="Arial" w:cs="Arial" w:eastAsia="Arial" w:hint="default"/>
                <w:sz w:val="16"/>
                <w:szCs w:val="16"/>
              </w:rPr>
            </w:pPr>
            <w:r>
              <w:rPr>
                <w:rFonts w:ascii="Arial"/>
                <w:sz w:val="16"/>
              </w:rPr>
              <w:t>1,684,502,575</w:t>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04" w:right="0"/>
              <w:jc w:val="left"/>
              <w:rPr>
                <w:rFonts w:ascii="Arial" w:hAnsi="Arial" w:cs="Arial" w:eastAsia="Arial" w:hint="default"/>
                <w:sz w:val="16"/>
                <w:szCs w:val="16"/>
              </w:rPr>
            </w:pPr>
            <w:r>
              <w:rPr>
                <w:rFonts w:ascii="Arial"/>
                <w:w w:val="105"/>
                <w:sz w:val="16"/>
              </w:rPr>
              <w:t>416,387,505</w:t>
            </w:r>
            <w:r>
              <w:rPr>
                <w:rFonts w:ascii="Arial"/>
                <w:sz w:val="16"/>
              </w:rPr>
            </w:r>
          </w:p>
        </w:tc>
      </w:tr>
      <w:tr>
        <w:trPr>
          <w:trHeight w:val="221"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4" w:lineRule="exact"/>
              <w:ind w:right="0"/>
              <w:jc w:val="left"/>
              <w:rPr>
                <w:rFonts w:ascii="宋体" w:hAnsi="宋体" w:cs="宋体" w:eastAsia="宋体" w:hint="default"/>
                <w:sz w:val="16"/>
                <w:szCs w:val="16"/>
              </w:rPr>
            </w:pPr>
            <w:r>
              <w:rPr>
                <w:rFonts w:ascii="宋体" w:hAnsi="宋体" w:cs="宋体" w:eastAsia="宋体" w:hint="default"/>
                <w:w w:val="105"/>
                <w:sz w:val="16"/>
                <w:szCs w:val="16"/>
              </w:rPr>
              <w:t>可抵扣亏损</w:t>
            </w:r>
            <w:r>
              <w:rPr>
                <w:rFonts w:ascii="宋体" w:hAnsi="宋体" w:cs="宋体" w:eastAsia="宋体" w:hint="default"/>
                <w:sz w:val="16"/>
                <w:szCs w:val="16"/>
              </w:rPr>
            </w: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7"/>
              <w:jc w:val="center"/>
              <w:rPr>
                <w:rFonts w:ascii="Arial" w:hAnsi="Arial" w:cs="Arial" w:eastAsia="Arial" w:hint="default"/>
                <w:sz w:val="16"/>
                <w:szCs w:val="16"/>
              </w:rPr>
            </w:pPr>
            <w:r>
              <w:rPr>
                <w:rFonts w:ascii="Arial"/>
                <w:spacing w:val="-3"/>
                <w:w w:val="105"/>
                <w:sz w:val="16"/>
              </w:rPr>
              <w:t>(15)</w:t>
            </w:r>
            <w:r>
              <w:rPr>
                <w:rFonts w:ascii="Arial"/>
                <w:sz w:val="16"/>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69"/>
              <w:jc w:val="right"/>
              <w:rPr>
                <w:rFonts w:ascii="Arial" w:hAnsi="Arial" w:cs="Arial" w:eastAsia="Arial" w:hint="default"/>
                <w:sz w:val="16"/>
                <w:szCs w:val="16"/>
              </w:rPr>
            </w:pPr>
            <w:r>
              <w:rPr>
                <w:rFonts w:ascii="Arial"/>
                <w:spacing w:val="-1"/>
                <w:w w:val="105"/>
                <w:sz w:val="16"/>
              </w:rPr>
              <w:t>1,478,868,744</w:t>
            </w:r>
            <w:r>
              <w:rPr>
                <w:rFonts w:ascii="Arial"/>
                <w:sz w:val="16"/>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72"/>
              <w:jc w:val="right"/>
              <w:rPr>
                <w:rFonts w:ascii="Arial" w:hAnsi="Arial" w:cs="Arial" w:eastAsia="Arial" w:hint="default"/>
                <w:sz w:val="16"/>
                <w:szCs w:val="16"/>
              </w:rPr>
            </w:pPr>
            <w:r>
              <w:rPr>
                <w:rFonts w:ascii="Arial"/>
                <w:w w:val="105"/>
                <w:sz w:val="16"/>
              </w:rPr>
              <w:t>369,717,186</w:t>
            </w:r>
            <w:r>
              <w:rPr>
                <w:rFonts w:ascii="Arial"/>
                <w:sz w:val="16"/>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86"/>
              <w:jc w:val="right"/>
              <w:rPr>
                <w:rFonts w:ascii="Arial" w:hAnsi="Arial" w:cs="Arial" w:eastAsia="Arial" w:hint="default"/>
                <w:sz w:val="16"/>
                <w:szCs w:val="16"/>
              </w:rPr>
            </w:pPr>
            <w:r>
              <w:rPr>
                <w:rFonts w:ascii="Arial"/>
                <w:sz w:val="16"/>
              </w:rPr>
              <w:t>5,216,016,472</w:t>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65" w:right="0"/>
              <w:jc w:val="left"/>
              <w:rPr>
                <w:rFonts w:ascii="Arial" w:hAnsi="Arial" w:cs="Arial" w:eastAsia="Arial" w:hint="default"/>
                <w:sz w:val="16"/>
                <w:szCs w:val="16"/>
              </w:rPr>
            </w:pPr>
            <w:r>
              <w:rPr>
                <w:rFonts w:ascii="Arial"/>
                <w:w w:val="105"/>
                <w:sz w:val="16"/>
              </w:rPr>
              <w:t>1,304,004,118</w:t>
            </w:r>
            <w:r>
              <w:rPr>
                <w:rFonts w:ascii="Arial"/>
                <w:sz w:val="16"/>
              </w:rPr>
            </w:r>
          </w:p>
        </w:tc>
      </w:tr>
      <w:tr>
        <w:trPr>
          <w:trHeight w:val="442"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4" w:lineRule="exact"/>
              <w:ind w:right="0"/>
              <w:jc w:val="left"/>
              <w:rPr>
                <w:rFonts w:ascii="宋体" w:hAnsi="宋体" w:cs="宋体" w:eastAsia="宋体" w:hint="default"/>
                <w:sz w:val="16"/>
                <w:szCs w:val="16"/>
              </w:rPr>
            </w:pPr>
            <w:r>
              <w:rPr>
                <w:rFonts w:ascii="宋体" w:hAnsi="宋体" w:cs="宋体" w:eastAsia="宋体" w:hint="default"/>
                <w:w w:val="105"/>
                <w:sz w:val="16"/>
                <w:szCs w:val="16"/>
              </w:rPr>
              <w:t>非流动资产计提折旧及</w:t>
            </w:r>
            <w:r>
              <w:rPr>
                <w:rFonts w:ascii="宋体" w:hAnsi="宋体" w:cs="宋体" w:eastAsia="宋体" w:hint="default"/>
                <w:sz w:val="16"/>
                <w:szCs w:val="16"/>
              </w:rPr>
            </w:r>
          </w:p>
          <w:p>
            <w:pPr>
              <w:pStyle w:val="TableParagraph"/>
              <w:spacing w:line="240" w:lineRule="auto"/>
              <w:ind w:left="168" w:right="0"/>
              <w:jc w:val="left"/>
              <w:rPr>
                <w:rFonts w:ascii="宋体" w:hAnsi="宋体" w:cs="宋体" w:eastAsia="宋体" w:hint="default"/>
                <w:sz w:val="17"/>
                <w:szCs w:val="17"/>
              </w:rPr>
            </w:pPr>
            <w:r>
              <w:rPr>
                <w:rFonts w:ascii="宋体" w:hAnsi="宋体" w:cs="宋体" w:eastAsia="宋体" w:hint="default"/>
                <w:sz w:val="17"/>
                <w:szCs w:val="17"/>
              </w:rPr>
              <w:t>摊销的核算差异</w:t>
            </w:r>
          </w:p>
        </w:tc>
        <w:tc>
          <w:tcPr>
            <w:tcW w:w="492"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74"/>
              <w:jc w:val="right"/>
              <w:rPr>
                <w:rFonts w:ascii="Arial" w:hAnsi="Arial" w:cs="Arial" w:eastAsia="Arial" w:hint="default"/>
                <w:sz w:val="17"/>
                <w:szCs w:val="17"/>
              </w:rPr>
            </w:pPr>
            <w:r>
              <w:rPr>
                <w:rFonts w:ascii="Arial"/>
                <w:spacing w:val="-1"/>
                <w:w w:val="95"/>
                <w:sz w:val="17"/>
              </w:rPr>
              <w:t>15,012,233</w:t>
            </w:r>
            <w:r>
              <w:rPr>
                <w:rFonts w:ascii="Arial"/>
                <w:sz w:val="17"/>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75"/>
              <w:jc w:val="right"/>
              <w:rPr>
                <w:rFonts w:ascii="Arial" w:hAnsi="Arial" w:cs="Arial" w:eastAsia="Arial" w:hint="default"/>
                <w:sz w:val="17"/>
                <w:szCs w:val="17"/>
              </w:rPr>
            </w:pPr>
            <w:r>
              <w:rPr>
                <w:rFonts w:ascii="Arial"/>
                <w:w w:val="95"/>
                <w:sz w:val="17"/>
              </w:rPr>
              <w:t>2,251,835</w:t>
            </w:r>
            <w:r>
              <w:rPr>
                <w:rFonts w:ascii="Arial"/>
                <w:sz w:val="17"/>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89"/>
              <w:jc w:val="right"/>
              <w:rPr>
                <w:rFonts w:ascii="Arial" w:hAnsi="Arial" w:cs="Arial" w:eastAsia="Arial" w:hint="default"/>
                <w:sz w:val="17"/>
                <w:szCs w:val="17"/>
              </w:rPr>
            </w:pPr>
            <w:r>
              <w:rPr>
                <w:rFonts w:ascii="Arial"/>
                <w:spacing w:val="-1"/>
                <w:w w:val="95"/>
                <w:sz w:val="17"/>
              </w:rPr>
              <w:t>15,910,153</w:t>
            </w:r>
            <w:r>
              <w:rPr>
                <w:rFonts w:ascii="Arial"/>
                <w:sz w:val="17"/>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79"/>
              <w:jc w:val="right"/>
              <w:rPr>
                <w:rFonts w:ascii="Arial" w:hAnsi="Arial" w:cs="Arial" w:eastAsia="Arial" w:hint="default"/>
                <w:sz w:val="17"/>
                <w:szCs w:val="17"/>
              </w:rPr>
            </w:pPr>
            <w:r>
              <w:rPr>
                <w:rFonts w:ascii="Arial"/>
                <w:w w:val="95"/>
                <w:sz w:val="17"/>
              </w:rPr>
              <w:t>2,386,523</w:t>
            </w:r>
            <w:r>
              <w:rPr>
                <w:rFonts w:ascii="Arial"/>
                <w:sz w:val="17"/>
              </w:rPr>
            </w:r>
          </w:p>
        </w:tc>
      </w:tr>
      <w:tr>
        <w:trPr>
          <w:trHeight w:val="221"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6" w:lineRule="exact"/>
              <w:ind w:right="0"/>
              <w:jc w:val="left"/>
              <w:rPr>
                <w:rFonts w:ascii="宋体" w:hAnsi="宋体" w:cs="宋体" w:eastAsia="宋体" w:hint="default"/>
                <w:sz w:val="17"/>
                <w:szCs w:val="17"/>
              </w:rPr>
            </w:pPr>
            <w:r>
              <w:rPr>
                <w:rFonts w:ascii="宋体" w:hAnsi="宋体" w:cs="宋体" w:eastAsia="宋体" w:hint="default"/>
                <w:sz w:val="17"/>
                <w:szCs w:val="17"/>
              </w:rPr>
              <w:t>新租赁准则影响</w:t>
            </w: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5"/>
              <w:jc w:val="center"/>
              <w:rPr>
                <w:rFonts w:ascii="Arial" w:hAnsi="Arial" w:cs="Arial" w:eastAsia="Arial" w:hint="default"/>
                <w:sz w:val="16"/>
                <w:szCs w:val="16"/>
              </w:rPr>
            </w:pPr>
            <w:r>
              <w:rPr>
                <w:rFonts w:ascii="Arial"/>
                <w:w w:val="105"/>
                <w:sz w:val="16"/>
              </w:rPr>
              <w:t>(17)</w:t>
            </w:r>
            <w:r>
              <w:rPr>
                <w:rFonts w:ascii="Arial"/>
                <w:sz w:val="16"/>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69"/>
              <w:jc w:val="right"/>
              <w:rPr>
                <w:rFonts w:ascii="Arial" w:hAnsi="Arial" w:cs="Arial" w:eastAsia="Arial" w:hint="default"/>
                <w:sz w:val="16"/>
                <w:szCs w:val="16"/>
              </w:rPr>
            </w:pPr>
            <w:r>
              <w:rPr>
                <w:rFonts w:ascii="Arial"/>
                <w:spacing w:val="-1"/>
                <w:w w:val="105"/>
                <w:sz w:val="16"/>
              </w:rPr>
              <w:t>1,490,329,216</w:t>
            </w:r>
            <w:r>
              <w:rPr>
                <w:rFonts w:ascii="Arial"/>
                <w:sz w:val="16"/>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72"/>
              <w:jc w:val="right"/>
              <w:rPr>
                <w:rFonts w:ascii="Arial" w:hAnsi="Arial" w:cs="Arial" w:eastAsia="Arial" w:hint="default"/>
                <w:sz w:val="16"/>
                <w:szCs w:val="16"/>
              </w:rPr>
            </w:pPr>
            <w:r>
              <w:rPr>
                <w:rFonts w:ascii="Arial"/>
                <w:w w:val="105"/>
                <w:sz w:val="16"/>
              </w:rPr>
              <w:t>370,906,654</w:t>
            </w:r>
            <w:r>
              <w:rPr>
                <w:rFonts w:ascii="Arial"/>
                <w:sz w:val="16"/>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186" w:lineRule="exact"/>
              <w:ind w:right="74"/>
              <w:jc w:val="right"/>
              <w:rPr>
                <w:rFonts w:ascii="宋体" w:hAnsi="宋体" w:cs="宋体" w:eastAsia="宋体" w:hint="default"/>
                <w:sz w:val="17"/>
                <w:szCs w:val="17"/>
              </w:rPr>
            </w:pPr>
            <w:r>
              <w:rPr>
                <w:rFonts w:ascii="宋体" w:hAnsi="宋体" w:cs="宋体" w:eastAsia="宋体" w:hint="default"/>
                <w:w w:val="95"/>
                <w:sz w:val="17"/>
                <w:szCs w:val="17"/>
              </w:rPr>
              <w:t>不适用</w:t>
            </w:r>
            <w:r>
              <w:rPr>
                <w:rFonts w:ascii="宋体" w:hAnsi="宋体" w:cs="宋体" w:eastAsia="宋体" w:hint="default"/>
                <w:sz w:val="17"/>
                <w:szCs w:val="17"/>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186" w:lineRule="exact"/>
              <w:ind w:right="71"/>
              <w:jc w:val="right"/>
              <w:rPr>
                <w:rFonts w:ascii="宋体" w:hAnsi="宋体" w:cs="宋体" w:eastAsia="宋体" w:hint="default"/>
                <w:sz w:val="17"/>
                <w:szCs w:val="17"/>
              </w:rPr>
            </w:pPr>
            <w:r>
              <w:rPr>
                <w:rFonts w:ascii="宋体" w:hAnsi="宋体" w:cs="宋体" w:eastAsia="宋体" w:hint="default"/>
                <w:w w:val="95"/>
                <w:sz w:val="17"/>
                <w:szCs w:val="17"/>
              </w:rPr>
              <w:t>不适用</w:t>
            </w:r>
            <w:r>
              <w:rPr>
                <w:rFonts w:ascii="宋体" w:hAnsi="宋体" w:cs="宋体" w:eastAsia="宋体" w:hint="default"/>
                <w:sz w:val="17"/>
                <w:szCs w:val="17"/>
              </w:rPr>
            </w:r>
          </w:p>
        </w:tc>
      </w:tr>
      <w:tr>
        <w:trPr>
          <w:trHeight w:val="442"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4" w:lineRule="exact"/>
              <w:ind w:right="1075"/>
              <w:jc w:val="center"/>
              <w:rPr>
                <w:rFonts w:ascii="宋体" w:hAnsi="宋体" w:cs="宋体" w:eastAsia="宋体" w:hint="default"/>
                <w:sz w:val="16"/>
                <w:szCs w:val="16"/>
              </w:rPr>
            </w:pPr>
            <w:r>
              <w:rPr>
                <w:rFonts w:ascii="宋体" w:hAnsi="宋体" w:cs="宋体" w:eastAsia="宋体" w:hint="default"/>
                <w:w w:val="105"/>
                <w:sz w:val="16"/>
                <w:szCs w:val="16"/>
              </w:rPr>
              <w:t>其他权益工具投资</w:t>
            </w:r>
            <w:r>
              <w:rPr>
                <w:rFonts w:ascii="宋体" w:hAnsi="宋体" w:cs="宋体" w:eastAsia="宋体" w:hint="default"/>
                <w:sz w:val="16"/>
                <w:szCs w:val="16"/>
              </w:rPr>
            </w:r>
          </w:p>
          <w:p>
            <w:pPr>
              <w:pStyle w:val="TableParagraph"/>
              <w:spacing w:line="240" w:lineRule="auto" w:before="11"/>
              <w:ind w:right="1070"/>
              <w:jc w:val="center"/>
              <w:rPr>
                <w:rFonts w:ascii="宋体" w:hAnsi="宋体" w:cs="宋体" w:eastAsia="宋体" w:hint="default"/>
                <w:sz w:val="16"/>
                <w:szCs w:val="16"/>
              </w:rPr>
            </w:pPr>
            <w:r>
              <w:rPr>
                <w:rFonts w:ascii="宋体" w:hAnsi="宋体" w:cs="宋体" w:eastAsia="宋体" w:hint="default"/>
                <w:w w:val="105"/>
                <w:sz w:val="16"/>
                <w:szCs w:val="16"/>
              </w:rPr>
              <w:t>公允价值变动</w:t>
            </w:r>
            <w:r>
              <w:rPr>
                <w:rFonts w:ascii="宋体" w:hAnsi="宋体" w:cs="宋体" w:eastAsia="宋体" w:hint="default"/>
                <w:sz w:val="16"/>
                <w:szCs w:val="16"/>
              </w:rPr>
            </w: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47"/>
              <w:jc w:val="center"/>
              <w:rPr>
                <w:rFonts w:ascii="Arial" w:hAnsi="Arial" w:cs="Arial" w:eastAsia="Arial" w:hint="default"/>
                <w:sz w:val="17"/>
                <w:szCs w:val="17"/>
              </w:rPr>
            </w:pPr>
            <w:r>
              <w:rPr>
                <w:rFonts w:ascii="Arial"/>
                <w:spacing w:val="-3"/>
                <w:sz w:val="17"/>
              </w:rPr>
              <w:t>(10)</w:t>
            </w:r>
            <w:r>
              <w:rPr>
                <w:rFonts w:ascii="Arial"/>
                <w:sz w:val="17"/>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70"/>
              <w:jc w:val="right"/>
              <w:rPr>
                <w:rFonts w:ascii="Arial" w:hAnsi="Arial" w:cs="Arial" w:eastAsia="Arial" w:hint="default"/>
                <w:sz w:val="17"/>
                <w:szCs w:val="17"/>
              </w:rPr>
            </w:pPr>
            <w:r>
              <w:rPr>
                <w:rFonts w:ascii="Arial"/>
                <w:w w:val="95"/>
                <w:sz w:val="17"/>
              </w:rPr>
              <w:t>5,639,940</w:t>
            </w:r>
            <w:r>
              <w:rPr>
                <w:rFonts w:ascii="Arial"/>
                <w:sz w:val="17"/>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77"/>
              <w:jc w:val="right"/>
              <w:rPr>
                <w:rFonts w:ascii="Arial" w:hAnsi="Arial" w:cs="Arial" w:eastAsia="Arial" w:hint="default"/>
                <w:sz w:val="17"/>
                <w:szCs w:val="17"/>
              </w:rPr>
            </w:pPr>
            <w:r>
              <w:rPr>
                <w:rFonts w:ascii="Arial"/>
                <w:w w:val="95"/>
                <w:sz w:val="17"/>
              </w:rPr>
              <w:t>845,991</w:t>
            </w:r>
            <w:r>
              <w:rPr>
                <w:rFonts w:ascii="Arial"/>
                <w:sz w:val="17"/>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86"/>
              <w:jc w:val="right"/>
              <w:rPr>
                <w:rFonts w:ascii="Arial" w:hAnsi="Arial" w:cs="Arial" w:eastAsia="Arial" w:hint="default"/>
                <w:sz w:val="17"/>
                <w:szCs w:val="17"/>
              </w:rPr>
            </w:pPr>
            <w:r>
              <w:rPr>
                <w:rFonts w:ascii="Arial"/>
                <w:w w:val="98"/>
                <w:sz w:val="17"/>
              </w:rPr>
              <w:t>-</w:t>
            </w:r>
            <w:r>
              <w:rPr>
                <w:rFonts w:ascii="Arial"/>
                <w:sz w:val="17"/>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81"/>
              <w:jc w:val="right"/>
              <w:rPr>
                <w:rFonts w:ascii="Arial" w:hAnsi="Arial" w:cs="Arial" w:eastAsia="Arial" w:hint="default"/>
                <w:sz w:val="17"/>
                <w:szCs w:val="17"/>
              </w:rPr>
            </w:pPr>
            <w:r>
              <w:rPr>
                <w:rFonts w:ascii="Arial"/>
                <w:w w:val="98"/>
                <w:sz w:val="17"/>
              </w:rPr>
              <w:t>-</w:t>
            </w:r>
            <w:r>
              <w:rPr>
                <w:rFonts w:ascii="Arial"/>
                <w:sz w:val="17"/>
              </w:rPr>
            </w:r>
          </w:p>
        </w:tc>
      </w:tr>
      <w:tr>
        <w:trPr>
          <w:trHeight w:val="226"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6" w:lineRule="exact"/>
              <w:ind w:right="0"/>
              <w:jc w:val="left"/>
              <w:rPr>
                <w:rFonts w:ascii="宋体" w:hAnsi="宋体" w:cs="宋体" w:eastAsia="宋体" w:hint="default"/>
                <w:sz w:val="17"/>
                <w:szCs w:val="17"/>
              </w:rPr>
            </w:pPr>
            <w:r>
              <w:rPr>
                <w:rFonts w:ascii="宋体" w:hAnsi="宋体" w:cs="宋体" w:eastAsia="宋体" w:hint="default"/>
                <w:sz w:val="17"/>
                <w:szCs w:val="17"/>
              </w:rPr>
              <w:t>其他</w:t>
            </w:r>
          </w:p>
        </w:tc>
        <w:tc>
          <w:tcPr>
            <w:tcW w:w="2148" w:type="dxa"/>
            <w:gridSpan w:val="2"/>
            <w:tcBorders>
              <w:top w:val="nil" w:sz="6" w:space="0" w:color="auto"/>
              <w:left w:val="nil" w:sz="6" w:space="0" w:color="auto"/>
              <w:bottom w:val="nil" w:sz="6" w:space="0" w:color="auto"/>
              <w:right w:val="nil" w:sz="6" w:space="0" w:color="auto"/>
            </w:tcBorders>
          </w:tcPr>
          <w:p>
            <w:pPr>
              <w:pStyle w:val="TableParagraph"/>
              <w:tabs>
                <w:tab w:pos="995" w:val="left" w:leader="none"/>
                <w:tab w:pos="2147" w:val="left" w:leader="none"/>
              </w:tabs>
              <w:spacing w:line="240" w:lineRule="auto" w:before="21"/>
              <w:ind w:left="491" w:right="0"/>
              <w:jc w:val="lef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ab/>
            </w:r>
            <w:r>
              <w:rPr>
                <w:rFonts w:ascii="Arial"/>
                <w:w w:val="105"/>
                <w:sz w:val="16"/>
                <w:u w:val="single" w:color="000000"/>
              </w:rPr>
              <w:t>2,316,625,520</w:t>
            </w:r>
            <w:r>
              <w:rPr>
                <w:rFonts w:ascii="Arial"/>
                <w:sz w:val="16"/>
                <w:u w:val="single" w:color="000000"/>
              </w:rPr>
              <w:tab/>
            </w:r>
            <w:r>
              <w:rPr>
                <w:rFonts w:ascii="Arial"/>
                <w:sz w:val="16"/>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tabs>
                <w:tab w:pos="311" w:val="left" w:leader="none"/>
                <w:tab w:pos="1329" w:val="left" w:leader="none"/>
              </w:tabs>
              <w:spacing w:line="240" w:lineRule="auto" w:before="21"/>
              <w:ind w:right="0"/>
              <w:jc w:val="righ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ab/>
            </w:r>
            <w:r>
              <w:rPr>
                <w:rFonts w:ascii="Arial"/>
                <w:w w:val="105"/>
                <w:sz w:val="16"/>
                <w:u w:val="single" w:color="000000"/>
              </w:rPr>
              <w:t>572,153,242</w:t>
            </w:r>
            <w:r>
              <w:rPr>
                <w:rFonts w:ascii="Arial"/>
                <w:sz w:val="16"/>
                <w:u w:val="single" w:color="000000"/>
              </w:rPr>
              <w:tab/>
            </w:r>
            <w:r>
              <w:rPr>
                <w:rFonts w:ascii="Arial"/>
                <w:sz w:val="16"/>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tabs>
                <w:tab w:pos="460" w:val="left" w:leader="none"/>
                <w:tab w:pos="1627" w:val="left" w:leader="none"/>
              </w:tabs>
              <w:spacing w:line="240" w:lineRule="auto" w:before="21"/>
              <w:ind w:right="0"/>
              <w:jc w:val="righ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ab/>
              <w:t>1,594,220,501</w:t>
              <w:tab/>
            </w:r>
            <w:r>
              <w:rPr>
                <w:rFonts w:ascii="Arial"/>
                <w:sz w:val="16"/>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tabs>
                <w:tab w:pos="302" w:val="left" w:leader="none"/>
                <w:tab w:pos="1324" w:val="left" w:leader="none"/>
              </w:tabs>
              <w:spacing w:line="240" w:lineRule="auto" w:before="21"/>
              <w:ind w:right="0"/>
              <w:jc w:val="righ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ab/>
            </w:r>
            <w:r>
              <w:rPr>
                <w:rFonts w:ascii="Arial"/>
                <w:w w:val="105"/>
                <w:sz w:val="16"/>
                <w:u w:val="single" w:color="000000"/>
              </w:rPr>
              <w:t>394,658,782</w:t>
            </w:r>
            <w:r>
              <w:rPr>
                <w:rFonts w:ascii="Arial"/>
                <w:sz w:val="16"/>
                <w:u w:val="single" w:color="000000"/>
              </w:rPr>
              <w:tab/>
            </w:r>
            <w:r>
              <w:rPr>
                <w:rFonts w:ascii="Arial"/>
                <w:sz w:val="16"/>
              </w:rPr>
            </w:r>
          </w:p>
        </w:tc>
      </w:tr>
      <w:tr>
        <w:trPr>
          <w:trHeight w:val="226"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9" w:lineRule="exact"/>
              <w:ind w:right="0"/>
              <w:jc w:val="left"/>
              <w:rPr>
                <w:rFonts w:ascii="宋体" w:hAnsi="宋体" w:cs="宋体" w:eastAsia="宋体" w:hint="default"/>
                <w:sz w:val="16"/>
                <w:szCs w:val="16"/>
              </w:rPr>
            </w:pPr>
            <w:r>
              <w:rPr>
                <w:rFonts w:ascii="宋体" w:hAnsi="宋体" w:cs="宋体" w:eastAsia="宋体" w:hint="default"/>
                <w:w w:val="105"/>
                <w:sz w:val="16"/>
                <w:szCs w:val="16"/>
              </w:rPr>
              <w:t>小计</w:t>
            </w:r>
            <w:r>
              <w:rPr>
                <w:rFonts w:ascii="宋体" w:hAnsi="宋体" w:cs="宋体" w:eastAsia="宋体" w:hint="default"/>
                <w:sz w:val="16"/>
                <w:szCs w:val="16"/>
              </w:rPr>
            </w:r>
          </w:p>
        </w:tc>
        <w:tc>
          <w:tcPr>
            <w:tcW w:w="214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6"/>
              <w:ind w:left="895" w:right="0"/>
              <w:jc w:val="left"/>
              <w:rPr>
                <w:rFonts w:ascii="Arial" w:hAnsi="Arial" w:cs="Arial" w:eastAsia="Arial" w:hint="default"/>
                <w:sz w:val="17"/>
                <w:szCs w:val="17"/>
              </w:rPr>
            </w:pPr>
            <w:r>
              <w:rPr>
                <w:rFonts w:ascii="Arial"/>
                <w:sz w:val="17"/>
              </w:rPr>
              <w:t>34,622,954,689</w:t>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74"/>
              <w:jc w:val="right"/>
              <w:rPr>
                <w:rFonts w:ascii="Arial" w:hAnsi="Arial" w:cs="Arial" w:eastAsia="Arial" w:hint="default"/>
                <w:sz w:val="17"/>
                <w:szCs w:val="17"/>
              </w:rPr>
            </w:pPr>
            <w:r>
              <w:rPr>
                <w:rFonts w:ascii="Arial"/>
                <w:spacing w:val="-1"/>
                <w:w w:val="95"/>
                <w:sz w:val="17"/>
              </w:rPr>
              <w:t>8,576,837,775</w:t>
            </w:r>
            <w:r>
              <w:rPr>
                <w:rFonts w:ascii="Arial"/>
                <w:sz w:val="17"/>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83"/>
              <w:jc w:val="right"/>
              <w:rPr>
                <w:rFonts w:ascii="Arial" w:hAnsi="Arial" w:cs="Arial" w:eastAsia="Arial" w:hint="default"/>
                <w:sz w:val="17"/>
                <w:szCs w:val="17"/>
              </w:rPr>
            </w:pPr>
            <w:r>
              <w:rPr>
                <w:rFonts w:ascii="Arial"/>
                <w:w w:val="95"/>
                <w:sz w:val="17"/>
              </w:rPr>
              <w:t>34,595,597,600</w:t>
            </w:r>
            <w:r>
              <w:rPr>
                <w:rFonts w:ascii="Arial"/>
                <w:sz w:val="17"/>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70" w:right="0"/>
              <w:jc w:val="left"/>
              <w:rPr>
                <w:rFonts w:ascii="Arial" w:hAnsi="Arial" w:cs="Arial" w:eastAsia="Arial" w:hint="default"/>
                <w:sz w:val="17"/>
                <w:szCs w:val="17"/>
              </w:rPr>
            </w:pPr>
            <w:r>
              <w:rPr>
                <w:rFonts w:ascii="Arial"/>
                <w:sz w:val="17"/>
              </w:rPr>
              <w:t>8,582,884,151</w:t>
            </w:r>
          </w:p>
        </w:tc>
      </w:tr>
      <w:tr>
        <w:trPr>
          <w:trHeight w:val="221"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6" w:lineRule="exact"/>
              <w:ind w:right="0"/>
              <w:jc w:val="left"/>
              <w:rPr>
                <w:rFonts w:ascii="宋体" w:hAnsi="宋体" w:cs="宋体" w:eastAsia="宋体" w:hint="default"/>
                <w:sz w:val="17"/>
                <w:szCs w:val="17"/>
              </w:rPr>
            </w:pPr>
            <w:r>
              <w:rPr>
                <w:rFonts w:ascii="宋体" w:hAnsi="宋体" w:cs="宋体" w:eastAsia="宋体" w:hint="default"/>
                <w:sz w:val="17"/>
                <w:szCs w:val="17"/>
              </w:rPr>
              <w:t>互抵金额</w:t>
            </w:r>
          </w:p>
        </w:tc>
        <w:tc>
          <w:tcPr>
            <w:tcW w:w="492"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
              <w:jc w:val="right"/>
              <w:rPr>
                <w:rFonts w:ascii="Arial" w:hAnsi="Arial" w:cs="Arial" w:eastAsia="Arial" w:hint="default"/>
                <w:sz w:val="17"/>
                <w:szCs w:val="17"/>
              </w:rPr>
            </w:pPr>
            <w:r>
              <w:rPr>
                <w:rFonts w:ascii="Arial"/>
                <w:spacing w:val="-1"/>
                <w:w w:val="95"/>
                <w:sz w:val="17"/>
              </w:rPr>
              <w:t>(32,865,256,077)</w:t>
            </w:r>
            <w:r>
              <w:rPr>
                <w:rFonts w:ascii="Arial"/>
                <w:sz w:val="17"/>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1"/>
              <w:jc w:val="right"/>
              <w:rPr>
                <w:rFonts w:ascii="Arial" w:hAnsi="Arial" w:cs="Arial" w:eastAsia="Arial" w:hint="default"/>
                <w:sz w:val="17"/>
                <w:szCs w:val="17"/>
              </w:rPr>
            </w:pPr>
            <w:r>
              <w:rPr>
                <w:rFonts w:ascii="Arial"/>
                <w:spacing w:val="-1"/>
                <w:w w:val="95"/>
                <w:sz w:val="17"/>
              </w:rPr>
              <w:t>(8,206,858,046)</w:t>
            </w:r>
            <w:r>
              <w:rPr>
                <w:rFonts w:ascii="Arial"/>
                <w:sz w:val="17"/>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0"/>
              <w:jc w:val="right"/>
              <w:rPr>
                <w:rFonts w:ascii="Arial" w:hAnsi="Arial" w:cs="Arial" w:eastAsia="Arial" w:hint="default"/>
                <w:sz w:val="17"/>
                <w:szCs w:val="17"/>
              </w:rPr>
            </w:pPr>
            <w:r>
              <w:rPr>
                <w:rFonts w:ascii="Arial"/>
                <w:spacing w:val="-1"/>
                <w:w w:val="95"/>
                <w:sz w:val="17"/>
              </w:rPr>
              <w:t>(26,170,905,249)</w:t>
            </w:r>
            <w:r>
              <w:rPr>
                <w:rFonts w:ascii="Arial"/>
                <w:sz w:val="17"/>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Arial" w:hAnsi="Arial" w:cs="Arial" w:eastAsia="Arial" w:hint="default"/>
                <w:sz w:val="17"/>
                <w:szCs w:val="17"/>
              </w:rPr>
            </w:pPr>
            <w:r>
              <w:rPr>
                <w:rFonts w:ascii="Arial"/>
                <w:w w:val="95"/>
                <w:sz w:val="17"/>
              </w:rPr>
              <w:t>(6,534,297,885)</w:t>
            </w:r>
            <w:r>
              <w:rPr>
                <w:rFonts w:ascii="Arial"/>
                <w:sz w:val="17"/>
              </w:rPr>
            </w:r>
          </w:p>
        </w:tc>
      </w:tr>
      <w:tr>
        <w:trPr>
          <w:trHeight w:val="224"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6" w:lineRule="exact"/>
              <w:ind w:right="0"/>
              <w:jc w:val="left"/>
              <w:rPr>
                <w:rFonts w:ascii="宋体" w:hAnsi="宋体" w:cs="宋体" w:eastAsia="宋体" w:hint="default"/>
                <w:sz w:val="17"/>
                <w:szCs w:val="17"/>
              </w:rPr>
            </w:pPr>
            <w:r>
              <w:rPr>
                <w:rFonts w:ascii="宋体" w:hAnsi="宋体" w:cs="宋体" w:eastAsia="宋体" w:hint="default"/>
                <w:sz w:val="17"/>
                <w:szCs w:val="17"/>
              </w:rPr>
              <w:t>互抵后的金额</w:t>
            </w:r>
          </w:p>
        </w:tc>
        <w:tc>
          <w:tcPr>
            <w:tcW w:w="492"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69"/>
              <w:jc w:val="right"/>
              <w:rPr>
                <w:rFonts w:ascii="Arial" w:hAnsi="Arial" w:cs="Arial" w:eastAsia="Arial" w:hint="default"/>
                <w:sz w:val="16"/>
                <w:szCs w:val="16"/>
              </w:rPr>
            </w:pPr>
            <w:r>
              <w:rPr>
                <w:rFonts w:ascii="Arial"/>
                <w:spacing w:val="-1"/>
                <w:w w:val="105"/>
                <w:sz w:val="16"/>
              </w:rPr>
              <w:t>1,757,698,612</w:t>
            </w:r>
            <w:r>
              <w:rPr>
                <w:rFonts w:ascii="Arial"/>
                <w:sz w:val="16"/>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72"/>
              <w:jc w:val="right"/>
              <w:rPr>
                <w:rFonts w:ascii="Arial" w:hAnsi="Arial" w:cs="Arial" w:eastAsia="Arial" w:hint="default"/>
                <w:sz w:val="16"/>
                <w:szCs w:val="16"/>
              </w:rPr>
            </w:pPr>
            <w:r>
              <w:rPr>
                <w:rFonts w:ascii="Arial"/>
                <w:w w:val="105"/>
                <w:sz w:val="16"/>
              </w:rPr>
              <w:t>369,979,729</w:t>
            </w:r>
            <w:r>
              <w:rPr>
                <w:rFonts w:ascii="Arial"/>
                <w:sz w:val="16"/>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74"/>
              <w:jc w:val="right"/>
              <w:rPr>
                <w:rFonts w:ascii="Arial" w:hAnsi="Arial" w:cs="Arial" w:eastAsia="Arial" w:hint="default"/>
                <w:sz w:val="16"/>
                <w:szCs w:val="16"/>
              </w:rPr>
            </w:pPr>
            <w:r>
              <w:rPr>
                <w:rFonts w:ascii="Arial"/>
                <w:spacing w:val="-1"/>
                <w:w w:val="105"/>
                <w:sz w:val="16"/>
              </w:rPr>
              <w:t>8,424,692,351</w:t>
            </w:r>
            <w:r>
              <w:rPr>
                <w:rFonts w:ascii="Arial"/>
                <w:sz w:val="16"/>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left="170" w:right="0"/>
              <w:jc w:val="left"/>
              <w:rPr>
                <w:rFonts w:ascii="Arial" w:hAnsi="Arial" w:cs="Arial" w:eastAsia="Arial" w:hint="default"/>
                <w:sz w:val="16"/>
                <w:szCs w:val="16"/>
              </w:rPr>
            </w:pPr>
            <w:r>
              <w:rPr>
                <w:rFonts w:ascii="Arial"/>
                <w:w w:val="105"/>
                <w:sz w:val="16"/>
              </w:rPr>
              <w:t>2,048,586,266</w:t>
            </w:r>
            <w:r>
              <w:rPr>
                <w:rFonts w:ascii="Arial"/>
                <w:sz w:val="16"/>
              </w:rPr>
            </w:r>
          </w:p>
        </w:tc>
      </w:tr>
      <w:tr>
        <w:trPr>
          <w:trHeight w:val="237"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r>
              <w:rPr>
                <w:rFonts w:ascii="宋体" w:hAnsi="宋体" w:cs="宋体" w:eastAsia="宋体" w:hint="default"/>
                <w:w w:val="105"/>
                <w:sz w:val="16"/>
                <w:szCs w:val="16"/>
              </w:rPr>
              <w:t>递延所得税负债：</w:t>
            </w:r>
            <w:r>
              <w:rPr>
                <w:rFonts w:ascii="宋体" w:hAnsi="宋体" w:cs="宋体" w:eastAsia="宋体" w:hint="default"/>
                <w:sz w:val="16"/>
                <w:szCs w:val="16"/>
              </w:rPr>
            </w:r>
          </w:p>
        </w:tc>
        <w:tc>
          <w:tcPr>
            <w:tcW w:w="492" w:type="dxa"/>
            <w:tcBorders>
              <w:top w:val="nil" w:sz="6" w:space="0" w:color="auto"/>
              <w:left w:val="nil" w:sz="6" w:space="0" w:color="auto"/>
              <w:bottom w:val="nil" w:sz="6" w:space="0" w:color="auto"/>
              <w:right w:val="nil" w:sz="6" w:space="0" w:color="auto"/>
            </w:tcBorders>
          </w:tcPr>
          <w:p>
            <w:pPr/>
          </w:p>
        </w:tc>
        <w:tc>
          <w:tcPr>
            <w:tcW w:w="1656" w:type="dxa"/>
            <w:tcBorders>
              <w:top w:val="single" w:sz="12" w:space="0" w:color="000000"/>
              <w:left w:val="nil" w:sz="6" w:space="0" w:color="auto"/>
              <w:bottom w:val="nil" w:sz="6" w:space="0" w:color="auto"/>
              <w:right w:val="nil" w:sz="6" w:space="0" w:color="auto"/>
            </w:tcBorders>
          </w:tcPr>
          <w:p>
            <w:pP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single" w:sz="12" w:space="0" w:color="000000"/>
              <w:left w:val="nil" w:sz="6" w:space="0" w:color="auto"/>
              <w:bottom w:val="nil" w:sz="6" w:space="0" w:color="auto"/>
              <w:right w:val="nil" w:sz="6" w:space="0" w:color="auto"/>
            </w:tcBorders>
          </w:tcPr>
          <w:p>
            <w:pP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single" w:sz="12" w:space="0" w:color="000000"/>
              <w:left w:val="nil" w:sz="6" w:space="0" w:color="auto"/>
              <w:bottom w:val="nil" w:sz="6" w:space="0" w:color="auto"/>
              <w:right w:val="nil" w:sz="6" w:space="0" w:color="auto"/>
            </w:tcBorders>
          </w:tcPr>
          <w:p>
            <w:pP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single" w:sz="12" w:space="0" w:color="000000"/>
              <w:left w:val="nil" w:sz="6" w:space="0" w:color="auto"/>
              <w:bottom w:val="nil" w:sz="6" w:space="0" w:color="auto"/>
              <w:right w:val="nil" w:sz="6" w:space="0" w:color="auto"/>
            </w:tcBorders>
          </w:tcPr>
          <w:p>
            <w:pPr/>
          </w:p>
        </w:tc>
      </w:tr>
      <w:tr>
        <w:trPr>
          <w:trHeight w:val="230"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95" w:lineRule="exact"/>
              <w:ind w:right="0"/>
              <w:jc w:val="left"/>
              <w:rPr>
                <w:rFonts w:ascii="宋体" w:hAnsi="宋体" w:cs="宋体" w:eastAsia="宋体" w:hint="default"/>
                <w:sz w:val="17"/>
                <w:szCs w:val="17"/>
              </w:rPr>
            </w:pPr>
            <w:r>
              <w:rPr>
                <w:rFonts w:ascii="宋体" w:hAnsi="宋体" w:cs="宋体" w:eastAsia="宋体" w:hint="default"/>
                <w:sz w:val="17"/>
                <w:szCs w:val="17"/>
              </w:rPr>
              <w:t>增量佣金支出</w:t>
            </w: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7"/>
              <w:jc w:val="center"/>
              <w:rPr>
                <w:rFonts w:ascii="Arial" w:hAnsi="Arial" w:cs="Arial" w:eastAsia="Arial" w:hint="default"/>
                <w:sz w:val="17"/>
                <w:szCs w:val="17"/>
              </w:rPr>
            </w:pPr>
            <w:r>
              <w:rPr>
                <w:rFonts w:ascii="Arial"/>
                <w:spacing w:val="-3"/>
                <w:sz w:val="17"/>
              </w:rPr>
              <w:t>(16)</w:t>
            </w:r>
            <w:r>
              <w:rPr>
                <w:rFonts w:ascii="Arial"/>
                <w:sz w:val="17"/>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9"/>
              <w:jc w:val="right"/>
              <w:rPr>
                <w:rFonts w:ascii="Arial" w:hAnsi="Arial" w:cs="Arial" w:eastAsia="Arial" w:hint="default"/>
                <w:sz w:val="17"/>
                <w:szCs w:val="17"/>
              </w:rPr>
            </w:pPr>
            <w:r>
              <w:rPr>
                <w:rFonts w:ascii="Arial"/>
                <w:w w:val="95"/>
                <w:sz w:val="17"/>
              </w:rPr>
              <w:t>(157,177,816)</w:t>
            </w:r>
            <w:r>
              <w:rPr>
                <w:rFonts w:ascii="Arial"/>
                <w:sz w:val="17"/>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6"/>
              <w:jc w:val="right"/>
              <w:rPr>
                <w:rFonts w:ascii="Arial" w:hAnsi="Arial" w:cs="Arial" w:eastAsia="Arial" w:hint="default"/>
                <w:sz w:val="17"/>
                <w:szCs w:val="17"/>
              </w:rPr>
            </w:pPr>
            <w:r>
              <w:rPr>
                <w:rFonts w:ascii="Arial"/>
                <w:spacing w:val="-1"/>
                <w:w w:val="95"/>
                <w:sz w:val="17"/>
              </w:rPr>
              <w:t>(39,294,454)</w:t>
            </w:r>
            <w:r>
              <w:rPr>
                <w:rFonts w:ascii="Arial"/>
                <w:sz w:val="17"/>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3"/>
              <w:jc w:val="right"/>
              <w:rPr>
                <w:rFonts w:ascii="Arial" w:hAnsi="Arial" w:cs="Arial" w:eastAsia="Arial" w:hint="default"/>
                <w:sz w:val="17"/>
                <w:szCs w:val="17"/>
              </w:rPr>
            </w:pPr>
            <w:r>
              <w:rPr>
                <w:rFonts w:ascii="Arial"/>
                <w:w w:val="95"/>
                <w:sz w:val="17"/>
              </w:rPr>
              <w:t>(914,332,880)</w:t>
            </w:r>
            <w:r>
              <w:rPr>
                <w:rFonts w:ascii="Arial"/>
                <w:sz w:val="17"/>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21"/>
              <w:ind w:left="237" w:right="0"/>
              <w:jc w:val="left"/>
              <w:rPr>
                <w:rFonts w:ascii="Arial" w:hAnsi="Arial" w:cs="Arial" w:eastAsia="Arial" w:hint="default"/>
                <w:sz w:val="17"/>
                <w:szCs w:val="17"/>
              </w:rPr>
            </w:pPr>
            <w:r>
              <w:rPr>
                <w:rFonts w:ascii="Arial"/>
                <w:sz w:val="17"/>
              </w:rPr>
              <w:t>(228,583,220)</w:t>
            </w:r>
          </w:p>
        </w:tc>
      </w:tr>
      <w:tr>
        <w:trPr>
          <w:trHeight w:val="221"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6" w:lineRule="exact"/>
              <w:ind w:right="0"/>
              <w:jc w:val="left"/>
              <w:rPr>
                <w:rFonts w:ascii="宋体" w:hAnsi="宋体" w:cs="宋体" w:eastAsia="宋体" w:hint="default"/>
                <w:sz w:val="17"/>
                <w:szCs w:val="17"/>
              </w:rPr>
            </w:pPr>
            <w:r>
              <w:rPr>
                <w:rFonts w:ascii="宋体" w:hAnsi="宋体" w:cs="宋体" w:eastAsia="宋体" w:hint="default"/>
                <w:sz w:val="17"/>
                <w:szCs w:val="17"/>
              </w:rPr>
              <w:t>固定资产加速折旧</w:t>
            </w: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7"/>
              <w:jc w:val="center"/>
              <w:rPr>
                <w:rFonts w:ascii="Arial" w:hAnsi="Arial" w:cs="Arial" w:eastAsia="Arial" w:hint="default"/>
                <w:sz w:val="16"/>
                <w:szCs w:val="16"/>
              </w:rPr>
            </w:pPr>
            <w:r>
              <w:rPr>
                <w:rFonts w:ascii="Arial"/>
                <w:spacing w:val="-3"/>
                <w:w w:val="105"/>
                <w:sz w:val="16"/>
              </w:rPr>
              <w:t>(13)</w:t>
            </w:r>
            <w:r>
              <w:rPr>
                <w:rFonts w:ascii="Arial"/>
                <w:sz w:val="16"/>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6"/>
              <w:jc w:val="right"/>
              <w:rPr>
                <w:rFonts w:ascii="Arial" w:hAnsi="Arial" w:cs="Arial" w:eastAsia="Arial" w:hint="default"/>
                <w:sz w:val="16"/>
                <w:szCs w:val="16"/>
              </w:rPr>
            </w:pPr>
            <w:r>
              <w:rPr>
                <w:rFonts w:ascii="Arial"/>
                <w:spacing w:val="-1"/>
                <w:w w:val="105"/>
                <w:sz w:val="16"/>
              </w:rPr>
              <w:t>(34,289,703,988)</w:t>
            </w:r>
            <w:r>
              <w:rPr>
                <w:rFonts w:ascii="Arial"/>
                <w:sz w:val="16"/>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6"/>
              <w:jc w:val="right"/>
              <w:rPr>
                <w:rFonts w:ascii="Arial" w:hAnsi="Arial" w:cs="Arial" w:eastAsia="Arial" w:hint="default"/>
                <w:sz w:val="16"/>
                <w:szCs w:val="16"/>
              </w:rPr>
            </w:pPr>
            <w:r>
              <w:rPr>
                <w:rFonts w:ascii="Arial"/>
                <w:spacing w:val="-1"/>
                <w:w w:val="105"/>
                <w:sz w:val="16"/>
              </w:rPr>
              <w:t>(8,572,425,997)</w:t>
            </w:r>
            <w:r>
              <w:rPr>
                <w:rFonts w:ascii="Arial"/>
                <w:sz w:val="16"/>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4"/>
              <w:jc w:val="right"/>
              <w:rPr>
                <w:rFonts w:ascii="Arial" w:hAnsi="Arial" w:cs="Arial" w:eastAsia="Arial" w:hint="default"/>
                <w:sz w:val="16"/>
                <w:szCs w:val="16"/>
              </w:rPr>
            </w:pPr>
            <w:r>
              <w:rPr>
                <w:rFonts w:ascii="Arial"/>
                <w:spacing w:val="-1"/>
                <w:w w:val="105"/>
                <w:sz w:val="16"/>
              </w:rPr>
              <w:t>(23,681,673,148)</w:t>
            </w:r>
            <w:r>
              <w:rPr>
                <w:rFonts w:ascii="Arial"/>
                <w:sz w:val="16"/>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21"/>
              <w:ind w:left="98" w:right="0"/>
              <w:jc w:val="left"/>
              <w:rPr>
                <w:rFonts w:ascii="Arial" w:hAnsi="Arial" w:cs="Arial" w:eastAsia="Arial" w:hint="default"/>
                <w:sz w:val="16"/>
                <w:szCs w:val="16"/>
              </w:rPr>
            </w:pPr>
            <w:r>
              <w:rPr>
                <w:rFonts w:ascii="Arial"/>
                <w:w w:val="105"/>
                <w:sz w:val="16"/>
              </w:rPr>
              <w:t>(5,920,418,287)</w:t>
            </w:r>
            <w:r>
              <w:rPr>
                <w:rFonts w:ascii="Arial"/>
                <w:sz w:val="16"/>
              </w:rPr>
            </w:r>
          </w:p>
        </w:tc>
      </w:tr>
      <w:tr>
        <w:trPr>
          <w:trHeight w:val="221"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4" w:lineRule="exact"/>
              <w:ind w:right="0"/>
              <w:jc w:val="left"/>
              <w:rPr>
                <w:rFonts w:ascii="宋体" w:hAnsi="宋体" w:cs="宋体" w:eastAsia="宋体" w:hint="default"/>
                <w:sz w:val="16"/>
                <w:szCs w:val="16"/>
              </w:rPr>
            </w:pPr>
            <w:r>
              <w:rPr>
                <w:rFonts w:ascii="宋体" w:hAnsi="宋体" w:cs="宋体" w:eastAsia="宋体" w:hint="default"/>
                <w:w w:val="105"/>
                <w:sz w:val="16"/>
                <w:szCs w:val="16"/>
              </w:rPr>
              <w:t>固定资产计提折旧的核算差异</w:t>
            </w:r>
            <w:r>
              <w:rPr>
                <w:rFonts w:ascii="宋体" w:hAnsi="宋体" w:cs="宋体" w:eastAsia="宋体" w:hint="default"/>
                <w:sz w:val="16"/>
                <w:szCs w:val="16"/>
              </w:rPr>
            </w: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2"/>
              <w:jc w:val="center"/>
              <w:rPr>
                <w:rFonts w:ascii="Arial" w:hAnsi="Arial" w:cs="Arial" w:eastAsia="Arial" w:hint="default"/>
                <w:sz w:val="16"/>
                <w:szCs w:val="16"/>
              </w:rPr>
            </w:pPr>
            <w:r>
              <w:rPr>
                <w:rFonts w:ascii="Arial"/>
                <w:w w:val="105"/>
                <w:sz w:val="16"/>
              </w:rPr>
              <w:t>(8)</w:t>
            </w:r>
            <w:r>
              <w:rPr>
                <w:rFonts w:ascii="Arial"/>
                <w:sz w:val="16"/>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1"/>
              <w:jc w:val="right"/>
              <w:rPr>
                <w:rFonts w:ascii="Arial" w:hAnsi="Arial" w:cs="Arial" w:eastAsia="Arial" w:hint="default"/>
                <w:sz w:val="16"/>
                <w:szCs w:val="16"/>
              </w:rPr>
            </w:pPr>
            <w:r>
              <w:rPr>
                <w:rFonts w:ascii="Arial"/>
                <w:spacing w:val="-1"/>
                <w:w w:val="105"/>
                <w:sz w:val="16"/>
              </w:rPr>
              <w:t>(528,788,364)</w:t>
            </w:r>
            <w:r>
              <w:rPr>
                <w:rFonts w:ascii="Arial"/>
                <w:sz w:val="16"/>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6"/>
              <w:jc w:val="right"/>
              <w:rPr>
                <w:rFonts w:ascii="Arial" w:hAnsi="Arial" w:cs="Arial" w:eastAsia="Arial" w:hint="default"/>
                <w:sz w:val="16"/>
                <w:szCs w:val="16"/>
              </w:rPr>
            </w:pPr>
            <w:r>
              <w:rPr>
                <w:rFonts w:ascii="Arial"/>
                <w:spacing w:val="-1"/>
                <w:w w:val="105"/>
                <w:sz w:val="16"/>
              </w:rPr>
              <w:t>(87,250,080)</w:t>
            </w:r>
            <w:r>
              <w:rPr>
                <w:rFonts w:ascii="Arial"/>
                <w:sz w:val="16"/>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4"/>
              <w:jc w:val="right"/>
              <w:rPr>
                <w:rFonts w:ascii="Arial" w:hAnsi="Arial" w:cs="Arial" w:eastAsia="Arial" w:hint="default"/>
                <w:sz w:val="16"/>
                <w:szCs w:val="16"/>
              </w:rPr>
            </w:pPr>
            <w:r>
              <w:rPr>
                <w:rFonts w:ascii="Arial"/>
                <w:spacing w:val="-1"/>
                <w:w w:val="105"/>
                <w:sz w:val="16"/>
              </w:rPr>
              <w:t>(674,132,085)</w:t>
            </w:r>
            <w:r>
              <w:rPr>
                <w:rFonts w:ascii="Arial"/>
                <w:sz w:val="16"/>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21"/>
              <w:ind w:left="242" w:right="0"/>
              <w:jc w:val="left"/>
              <w:rPr>
                <w:rFonts w:ascii="Arial" w:hAnsi="Arial" w:cs="Arial" w:eastAsia="Arial" w:hint="default"/>
                <w:sz w:val="16"/>
                <w:szCs w:val="16"/>
              </w:rPr>
            </w:pPr>
            <w:r>
              <w:rPr>
                <w:rFonts w:ascii="Arial"/>
                <w:w w:val="105"/>
                <w:sz w:val="16"/>
              </w:rPr>
              <w:t>(111,231,794)</w:t>
            </w:r>
            <w:r>
              <w:rPr>
                <w:rFonts w:ascii="Arial"/>
                <w:sz w:val="16"/>
              </w:rPr>
            </w:r>
          </w:p>
        </w:tc>
      </w:tr>
      <w:tr>
        <w:trPr>
          <w:trHeight w:val="221"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4" w:lineRule="exact"/>
              <w:ind w:right="0"/>
              <w:jc w:val="left"/>
              <w:rPr>
                <w:rFonts w:ascii="宋体" w:hAnsi="宋体" w:cs="宋体" w:eastAsia="宋体" w:hint="default"/>
                <w:sz w:val="16"/>
                <w:szCs w:val="16"/>
              </w:rPr>
            </w:pPr>
            <w:r>
              <w:rPr>
                <w:rFonts w:ascii="宋体" w:hAnsi="宋体" w:cs="宋体" w:eastAsia="宋体" w:hint="default"/>
                <w:w w:val="105"/>
                <w:sz w:val="16"/>
                <w:szCs w:val="16"/>
              </w:rPr>
              <w:t>改制评估增值</w:t>
            </w:r>
            <w:r>
              <w:rPr>
                <w:rFonts w:ascii="宋体" w:hAnsi="宋体" w:cs="宋体" w:eastAsia="宋体" w:hint="default"/>
                <w:sz w:val="16"/>
                <w:szCs w:val="16"/>
              </w:rPr>
            </w: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2"/>
              <w:jc w:val="center"/>
              <w:rPr>
                <w:rFonts w:ascii="Arial" w:hAnsi="Arial" w:cs="Arial" w:eastAsia="Arial" w:hint="default"/>
                <w:sz w:val="17"/>
                <w:szCs w:val="17"/>
              </w:rPr>
            </w:pPr>
            <w:r>
              <w:rPr>
                <w:rFonts w:ascii="Arial"/>
                <w:spacing w:val="-3"/>
                <w:sz w:val="17"/>
              </w:rPr>
              <w:t>(9)</w:t>
            </w:r>
            <w:r>
              <w:rPr>
                <w:rFonts w:ascii="Arial"/>
                <w:sz w:val="17"/>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1"/>
              <w:jc w:val="right"/>
              <w:rPr>
                <w:rFonts w:ascii="Arial" w:hAnsi="Arial" w:cs="Arial" w:eastAsia="Arial" w:hint="default"/>
                <w:sz w:val="17"/>
                <w:szCs w:val="17"/>
              </w:rPr>
            </w:pPr>
            <w:r>
              <w:rPr>
                <w:rFonts w:ascii="Arial"/>
                <w:spacing w:val="-1"/>
                <w:w w:val="95"/>
                <w:sz w:val="17"/>
              </w:rPr>
              <w:t>(110,818,413)</w:t>
            </w:r>
            <w:r>
              <w:rPr>
                <w:rFonts w:ascii="Arial"/>
                <w:sz w:val="17"/>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
              <w:jc w:val="right"/>
              <w:rPr>
                <w:rFonts w:ascii="Arial" w:hAnsi="Arial" w:cs="Arial" w:eastAsia="Arial" w:hint="default"/>
                <w:sz w:val="17"/>
                <w:szCs w:val="17"/>
              </w:rPr>
            </w:pPr>
            <w:r>
              <w:rPr>
                <w:rFonts w:ascii="Arial"/>
                <w:spacing w:val="-1"/>
                <w:w w:val="95"/>
                <w:sz w:val="17"/>
              </w:rPr>
              <w:t>(16,622,762)</w:t>
            </w:r>
            <w:r>
              <w:rPr>
                <w:rFonts w:ascii="Arial"/>
                <w:sz w:val="17"/>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4"/>
              <w:jc w:val="right"/>
              <w:rPr>
                <w:rFonts w:ascii="Arial" w:hAnsi="Arial" w:cs="Arial" w:eastAsia="Arial" w:hint="default"/>
                <w:sz w:val="17"/>
                <w:szCs w:val="17"/>
              </w:rPr>
            </w:pPr>
            <w:r>
              <w:rPr>
                <w:rFonts w:ascii="Arial"/>
                <w:spacing w:val="-1"/>
                <w:w w:val="95"/>
                <w:sz w:val="17"/>
              </w:rPr>
              <w:t>(82,327,000)</w:t>
            </w:r>
            <w:r>
              <w:rPr>
                <w:rFonts w:ascii="Arial"/>
                <w:sz w:val="17"/>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33" w:right="0"/>
              <w:jc w:val="left"/>
              <w:rPr>
                <w:rFonts w:ascii="Arial" w:hAnsi="Arial" w:cs="Arial" w:eastAsia="Arial" w:hint="default"/>
                <w:sz w:val="17"/>
                <w:szCs w:val="17"/>
              </w:rPr>
            </w:pPr>
            <w:r>
              <w:rPr>
                <w:rFonts w:ascii="Arial"/>
                <w:sz w:val="17"/>
              </w:rPr>
              <w:t>(12,349,050)</w:t>
            </w:r>
          </w:p>
        </w:tc>
      </w:tr>
      <w:tr>
        <w:trPr>
          <w:trHeight w:val="437"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6" w:lineRule="exact"/>
              <w:ind w:right="1075"/>
              <w:jc w:val="center"/>
              <w:rPr>
                <w:rFonts w:ascii="宋体" w:hAnsi="宋体" w:cs="宋体" w:eastAsia="宋体" w:hint="default"/>
                <w:sz w:val="17"/>
                <w:szCs w:val="17"/>
              </w:rPr>
            </w:pPr>
            <w:r>
              <w:rPr>
                <w:rFonts w:ascii="宋体" w:hAnsi="宋体" w:cs="宋体" w:eastAsia="宋体" w:hint="default"/>
                <w:w w:val="95"/>
                <w:sz w:val="17"/>
                <w:szCs w:val="17"/>
              </w:rPr>
              <w:t>其他权益工具投资</w:t>
            </w:r>
            <w:r>
              <w:rPr>
                <w:rFonts w:ascii="宋体" w:hAnsi="宋体" w:cs="宋体" w:eastAsia="宋体" w:hint="default"/>
                <w:sz w:val="17"/>
                <w:szCs w:val="17"/>
              </w:rPr>
            </w:r>
          </w:p>
          <w:p>
            <w:pPr>
              <w:pStyle w:val="TableParagraph"/>
              <w:spacing w:line="240" w:lineRule="auto" w:before="5"/>
              <w:ind w:right="1070"/>
              <w:jc w:val="center"/>
              <w:rPr>
                <w:rFonts w:ascii="宋体" w:hAnsi="宋体" w:cs="宋体" w:eastAsia="宋体" w:hint="default"/>
                <w:sz w:val="16"/>
                <w:szCs w:val="16"/>
              </w:rPr>
            </w:pPr>
            <w:r>
              <w:rPr>
                <w:rFonts w:ascii="宋体" w:hAnsi="宋体" w:cs="宋体" w:eastAsia="宋体" w:hint="default"/>
                <w:w w:val="105"/>
                <w:sz w:val="16"/>
                <w:szCs w:val="16"/>
              </w:rPr>
              <w:t>公允价值变动</w:t>
            </w:r>
            <w:r>
              <w:rPr>
                <w:rFonts w:ascii="宋体" w:hAnsi="宋体" w:cs="宋体" w:eastAsia="宋体" w:hint="default"/>
                <w:sz w:val="16"/>
                <w:szCs w:val="16"/>
              </w:rPr>
            </w: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47"/>
              <w:jc w:val="center"/>
              <w:rPr>
                <w:rFonts w:ascii="Arial" w:hAnsi="Arial" w:cs="Arial" w:eastAsia="Arial" w:hint="default"/>
                <w:sz w:val="17"/>
                <w:szCs w:val="17"/>
              </w:rPr>
            </w:pPr>
            <w:r>
              <w:rPr>
                <w:rFonts w:ascii="Arial"/>
                <w:spacing w:val="-3"/>
                <w:sz w:val="17"/>
              </w:rPr>
              <w:t>(10)</w:t>
            </w:r>
            <w:r>
              <w:rPr>
                <w:rFonts w:ascii="Arial"/>
                <w:sz w:val="17"/>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6"/>
              <w:jc w:val="right"/>
              <w:rPr>
                <w:rFonts w:ascii="Arial" w:hAnsi="Arial" w:cs="Arial" w:eastAsia="Arial" w:hint="default"/>
                <w:sz w:val="17"/>
                <w:szCs w:val="17"/>
              </w:rPr>
            </w:pPr>
            <w:r>
              <w:rPr>
                <w:rFonts w:ascii="Arial"/>
                <w:spacing w:val="-1"/>
                <w:w w:val="95"/>
                <w:sz w:val="17"/>
              </w:rPr>
              <w:t>(92,736,787)</w:t>
            </w:r>
            <w:r>
              <w:rPr>
                <w:rFonts w:ascii="Arial"/>
                <w:sz w:val="17"/>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6"/>
              <w:jc w:val="right"/>
              <w:rPr>
                <w:rFonts w:ascii="Arial" w:hAnsi="Arial" w:cs="Arial" w:eastAsia="Arial" w:hint="default"/>
                <w:sz w:val="17"/>
                <w:szCs w:val="17"/>
              </w:rPr>
            </w:pPr>
            <w:r>
              <w:rPr>
                <w:rFonts w:ascii="Arial"/>
                <w:spacing w:val="-1"/>
                <w:w w:val="95"/>
                <w:sz w:val="17"/>
              </w:rPr>
              <w:t>(13,910,518)</w:t>
            </w:r>
            <w:r>
              <w:rPr>
                <w:rFonts w:ascii="Arial"/>
                <w:sz w:val="17"/>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44"/>
              <w:jc w:val="right"/>
              <w:rPr>
                <w:rFonts w:ascii="Arial" w:hAnsi="Arial" w:cs="Arial" w:eastAsia="Arial" w:hint="default"/>
                <w:sz w:val="17"/>
                <w:szCs w:val="17"/>
              </w:rPr>
            </w:pPr>
            <w:r>
              <w:rPr>
                <w:rFonts w:ascii="Arial"/>
                <w:spacing w:val="-1"/>
                <w:w w:val="95"/>
                <w:sz w:val="17"/>
              </w:rPr>
              <w:t>(96,798,280)</w:t>
            </w:r>
            <w:r>
              <w:rPr>
                <w:rFonts w:ascii="Arial"/>
                <w:sz w:val="17"/>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333" w:right="0"/>
              <w:jc w:val="left"/>
              <w:rPr>
                <w:rFonts w:ascii="Arial" w:hAnsi="Arial" w:cs="Arial" w:eastAsia="Arial" w:hint="default"/>
                <w:sz w:val="17"/>
                <w:szCs w:val="17"/>
              </w:rPr>
            </w:pPr>
            <w:r>
              <w:rPr>
                <w:rFonts w:ascii="Arial"/>
                <w:sz w:val="17"/>
              </w:rPr>
              <w:t>(14,519,742)</w:t>
            </w:r>
          </w:p>
        </w:tc>
      </w:tr>
      <w:tr>
        <w:trPr>
          <w:trHeight w:val="221"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6" w:lineRule="exact"/>
              <w:ind w:right="0"/>
              <w:jc w:val="left"/>
              <w:rPr>
                <w:rFonts w:ascii="宋体" w:hAnsi="宋体" w:cs="宋体" w:eastAsia="宋体" w:hint="default"/>
                <w:sz w:val="17"/>
                <w:szCs w:val="17"/>
              </w:rPr>
            </w:pPr>
            <w:r>
              <w:rPr>
                <w:rFonts w:ascii="宋体" w:hAnsi="宋体" w:cs="宋体" w:eastAsia="宋体" w:hint="default"/>
                <w:sz w:val="17"/>
                <w:szCs w:val="17"/>
              </w:rPr>
              <w:t>铁塔资产转让所得</w:t>
            </w: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5"/>
              <w:jc w:val="center"/>
              <w:rPr>
                <w:rFonts w:ascii="Arial" w:hAnsi="Arial" w:cs="Arial" w:eastAsia="Arial" w:hint="default"/>
                <w:sz w:val="16"/>
                <w:szCs w:val="16"/>
              </w:rPr>
            </w:pPr>
            <w:r>
              <w:rPr>
                <w:rFonts w:ascii="Arial"/>
                <w:w w:val="105"/>
                <w:sz w:val="16"/>
              </w:rPr>
              <w:t>(14)</w:t>
            </w:r>
            <w:r>
              <w:rPr>
                <w:rFonts w:ascii="Arial"/>
                <w:sz w:val="16"/>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81"/>
              <w:jc w:val="right"/>
              <w:rPr>
                <w:rFonts w:ascii="Arial" w:hAnsi="Arial" w:cs="Arial" w:eastAsia="Arial" w:hint="default"/>
                <w:sz w:val="16"/>
                <w:szCs w:val="16"/>
              </w:rPr>
            </w:pPr>
            <w:r>
              <w:rPr>
                <w:rFonts w:ascii="Arial"/>
                <w:w w:val="104"/>
                <w:sz w:val="16"/>
              </w:rPr>
              <w:t>-</w:t>
            </w:r>
            <w:r>
              <w:rPr>
                <w:rFonts w:ascii="Arial"/>
                <w:sz w:val="16"/>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86"/>
              <w:jc w:val="right"/>
              <w:rPr>
                <w:rFonts w:ascii="Arial" w:hAnsi="Arial" w:cs="Arial" w:eastAsia="Arial" w:hint="default"/>
                <w:sz w:val="16"/>
                <w:szCs w:val="16"/>
              </w:rPr>
            </w:pPr>
            <w:r>
              <w:rPr>
                <w:rFonts w:ascii="Arial"/>
                <w:w w:val="104"/>
                <w:sz w:val="16"/>
              </w:rPr>
              <w:t>-</w:t>
            </w:r>
            <w:r>
              <w:rPr>
                <w:rFonts w:ascii="Arial"/>
                <w:sz w:val="16"/>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4"/>
              <w:jc w:val="right"/>
              <w:rPr>
                <w:rFonts w:ascii="Arial" w:hAnsi="Arial" w:cs="Arial" w:eastAsia="Arial" w:hint="default"/>
                <w:sz w:val="16"/>
                <w:szCs w:val="16"/>
              </w:rPr>
            </w:pPr>
            <w:r>
              <w:rPr>
                <w:rFonts w:ascii="Arial"/>
                <w:spacing w:val="-1"/>
                <w:w w:val="105"/>
                <w:sz w:val="16"/>
              </w:rPr>
              <w:t>(1,490,614,948)</w:t>
            </w:r>
            <w:r>
              <w:rPr>
                <w:rFonts w:ascii="Arial"/>
                <w:sz w:val="16"/>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21"/>
              <w:ind w:left="237" w:right="0"/>
              <w:jc w:val="left"/>
              <w:rPr>
                <w:rFonts w:ascii="Arial" w:hAnsi="Arial" w:cs="Arial" w:eastAsia="Arial" w:hint="default"/>
                <w:sz w:val="16"/>
                <w:szCs w:val="16"/>
              </w:rPr>
            </w:pPr>
            <w:r>
              <w:rPr>
                <w:rFonts w:ascii="Arial"/>
                <w:w w:val="105"/>
                <w:sz w:val="16"/>
              </w:rPr>
              <w:t>(372,653,737)</w:t>
            </w:r>
            <w:r>
              <w:rPr>
                <w:rFonts w:ascii="Arial"/>
                <w:sz w:val="16"/>
              </w:rPr>
            </w:r>
          </w:p>
        </w:tc>
      </w:tr>
      <w:tr>
        <w:trPr>
          <w:trHeight w:val="226"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4" w:lineRule="exact"/>
              <w:ind w:right="0"/>
              <w:jc w:val="left"/>
              <w:rPr>
                <w:rFonts w:ascii="宋体" w:hAnsi="宋体" w:cs="宋体" w:eastAsia="宋体" w:hint="default"/>
                <w:sz w:val="16"/>
                <w:szCs w:val="16"/>
              </w:rPr>
            </w:pPr>
            <w:r>
              <w:rPr>
                <w:rFonts w:ascii="宋体" w:hAnsi="宋体" w:cs="宋体" w:eastAsia="宋体" w:hint="default"/>
                <w:w w:val="105"/>
                <w:sz w:val="16"/>
                <w:szCs w:val="16"/>
              </w:rPr>
              <w:t>其他</w:t>
            </w:r>
            <w:r>
              <w:rPr>
                <w:rFonts w:ascii="宋体" w:hAnsi="宋体" w:cs="宋体" w:eastAsia="宋体" w:hint="default"/>
                <w:sz w:val="16"/>
                <w:szCs w:val="16"/>
              </w:rPr>
            </w:r>
          </w:p>
        </w:tc>
        <w:tc>
          <w:tcPr>
            <w:tcW w:w="492"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Style w:val="TableParagraph"/>
              <w:tabs>
                <w:tab w:pos="590" w:val="left" w:leader="none"/>
              </w:tabs>
              <w:spacing w:line="240" w:lineRule="auto" w:before="12"/>
              <w:ind w:right="9"/>
              <w:jc w:val="right"/>
              <w:rPr>
                <w:rFonts w:ascii="Arial" w:hAnsi="Arial" w:cs="Arial" w:eastAsia="Arial" w:hint="default"/>
                <w:sz w:val="17"/>
                <w:szCs w:val="17"/>
              </w:rPr>
            </w:pPr>
            <w:r>
              <w:rPr>
                <w:rFonts w:ascii="Arial"/>
                <w:w w:val="98"/>
                <w:sz w:val="17"/>
              </w:rPr>
            </w:r>
            <w:r>
              <w:rPr>
                <w:rFonts w:ascii="Arial"/>
                <w:w w:val="98"/>
                <w:sz w:val="17"/>
                <w:u w:val="single" w:color="000000"/>
              </w:rPr>
              <w:t> </w:t>
            </w:r>
            <w:r>
              <w:rPr>
                <w:rFonts w:ascii="Arial"/>
                <w:sz w:val="17"/>
                <w:u w:val="single" w:color="000000"/>
              </w:rPr>
              <w:tab/>
            </w:r>
            <w:r>
              <w:rPr>
                <w:rFonts w:ascii="Arial"/>
                <w:w w:val="95"/>
                <w:sz w:val="17"/>
                <w:u w:val="single" w:color="000000"/>
              </w:rPr>
              <w:t>(105,376,010)</w:t>
            </w:r>
            <w:r>
              <w:rPr>
                <w:rFonts w:ascii="Arial"/>
                <w:w w:val="95"/>
                <w:sz w:val="17"/>
              </w:rPr>
            </w:r>
            <w:r>
              <w:rPr>
                <w:rFonts w:ascii="Arial"/>
                <w:sz w:val="17"/>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tabs>
                <w:tab w:pos="355" w:val="left" w:leader="none"/>
              </w:tabs>
              <w:spacing w:line="240" w:lineRule="auto" w:before="12"/>
              <w:ind w:right="16"/>
              <w:jc w:val="right"/>
              <w:rPr>
                <w:rFonts w:ascii="Arial" w:hAnsi="Arial" w:cs="Arial" w:eastAsia="Arial" w:hint="default"/>
                <w:sz w:val="17"/>
                <w:szCs w:val="17"/>
              </w:rPr>
            </w:pPr>
            <w:r>
              <w:rPr>
                <w:rFonts w:ascii="Arial"/>
                <w:w w:val="98"/>
                <w:sz w:val="17"/>
              </w:rPr>
            </w:r>
            <w:r>
              <w:rPr>
                <w:rFonts w:ascii="Arial"/>
                <w:w w:val="98"/>
                <w:sz w:val="17"/>
                <w:u w:val="single" w:color="000000"/>
              </w:rPr>
              <w:t> </w:t>
            </w:r>
            <w:r>
              <w:rPr>
                <w:rFonts w:ascii="Arial"/>
                <w:sz w:val="17"/>
                <w:u w:val="single" w:color="000000"/>
              </w:rPr>
              <w:tab/>
            </w:r>
            <w:r>
              <w:rPr>
                <w:rFonts w:ascii="Arial"/>
                <w:spacing w:val="-1"/>
                <w:w w:val="95"/>
                <w:sz w:val="17"/>
                <w:u w:val="single" w:color="000000"/>
              </w:rPr>
              <w:t>(26,344,002)</w:t>
            </w:r>
            <w:r>
              <w:rPr>
                <w:rFonts w:ascii="Arial"/>
                <w:spacing w:val="-1"/>
                <w:w w:val="95"/>
                <w:sz w:val="17"/>
              </w:rPr>
            </w:r>
            <w:r>
              <w:rPr>
                <w:rFonts w:ascii="Arial"/>
                <w:sz w:val="17"/>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tabs>
                <w:tab w:pos="1483" w:val="left" w:leader="none"/>
                <w:tab w:pos="1627" w:val="left" w:leader="none"/>
              </w:tabs>
              <w:spacing w:line="240" w:lineRule="auto" w:before="12"/>
              <w:ind w:right="0"/>
              <w:jc w:val="right"/>
              <w:rPr>
                <w:rFonts w:ascii="Arial" w:hAnsi="Arial" w:cs="Arial" w:eastAsia="Arial" w:hint="default"/>
                <w:sz w:val="17"/>
                <w:szCs w:val="17"/>
              </w:rPr>
            </w:pPr>
            <w:r>
              <w:rPr>
                <w:rFonts w:ascii="Arial"/>
                <w:w w:val="98"/>
                <w:sz w:val="17"/>
              </w:rPr>
            </w:r>
            <w:r>
              <w:rPr>
                <w:rFonts w:ascii="Arial"/>
                <w:w w:val="98"/>
                <w:sz w:val="17"/>
                <w:u w:val="single" w:color="000000"/>
              </w:rPr>
              <w:t> </w:t>
            </w:r>
            <w:r>
              <w:rPr>
                <w:rFonts w:ascii="Arial"/>
                <w:sz w:val="17"/>
                <w:u w:val="single" w:color="000000"/>
              </w:rPr>
              <w:tab/>
            </w:r>
            <w:r>
              <w:rPr>
                <w:rFonts w:ascii="Arial"/>
                <w:w w:val="95"/>
                <w:sz w:val="17"/>
                <w:u w:val="single" w:color="000000"/>
              </w:rPr>
              <w:t>-</w:t>
            </w:r>
            <w:r>
              <w:rPr>
                <w:rFonts w:ascii="Arial"/>
                <w:sz w:val="17"/>
                <w:u w:val="single" w:color="000000"/>
              </w:rPr>
              <w:tab/>
            </w:r>
            <w:r>
              <w:rPr>
                <w:rFonts w:ascii="Arial"/>
                <w:sz w:val="17"/>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tabs>
                <w:tab w:pos="1156" w:val="left" w:leader="none"/>
                <w:tab w:pos="1324" w:val="left" w:leader="none"/>
              </w:tabs>
              <w:spacing w:line="240" w:lineRule="auto" w:before="12"/>
              <w:ind w:right="0"/>
              <w:jc w:val="right"/>
              <w:rPr>
                <w:rFonts w:ascii="Arial" w:hAnsi="Arial" w:cs="Arial" w:eastAsia="Arial" w:hint="default"/>
                <w:sz w:val="17"/>
                <w:szCs w:val="17"/>
              </w:rPr>
            </w:pPr>
            <w:r>
              <w:rPr>
                <w:rFonts w:ascii="Arial"/>
                <w:w w:val="98"/>
                <w:sz w:val="17"/>
              </w:rPr>
            </w:r>
            <w:r>
              <w:rPr>
                <w:rFonts w:ascii="Arial"/>
                <w:w w:val="98"/>
                <w:sz w:val="17"/>
                <w:u w:val="single" w:color="000000"/>
              </w:rPr>
              <w:t> </w:t>
            </w:r>
            <w:r>
              <w:rPr>
                <w:rFonts w:ascii="Arial"/>
                <w:sz w:val="17"/>
                <w:u w:val="single" w:color="000000"/>
              </w:rPr>
              <w:tab/>
            </w:r>
            <w:r>
              <w:rPr>
                <w:rFonts w:ascii="Arial"/>
                <w:w w:val="95"/>
                <w:sz w:val="17"/>
                <w:u w:val="single" w:color="000000"/>
              </w:rPr>
              <w:t>-</w:t>
            </w:r>
            <w:r>
              <w:rPr>
                <w:rFonts w:ascii="Arial"/>
                <w:sz w:val="17"/>
                <w:u w:val="single" w:color="000000"/>
              </w:rPr>
              <w:tab/>
            </w:r>
            <w:r>
              <w:rPr>
                <w:rFonts w:ascii="Arial"/>
                <w:sz w:val="17"/>
              </w:rPr>
            </w:r>
          </w:p>
        </w:tc>
      </w:tr>
      <w:tr>
        <w:trPr>
          <w:trHeight w:val="226"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9" w:lineRule="exact"/>
              <w:ind w:right="0"/>
              <w:jc w:val="left"/>
              <w:rPr>
                <w:rFonts w:ascii="宋体" w:hAnsi="宋体" w:cs="宋体" w:eastAsia="宋体" w:hint="default"/>
                <w:sz w:val="16"/>
                <w:szCs w:val="16"/>
              </w:rPr>
            </w:pPr>
            <w:r>
              <w:rPr>
                <w:rFonts w:ascii="宋体" w:hAnsi="宋体" w:cs="宋体" w:eastAsia="宋体" w:hint="default"/>
                <w:w w:val="105"/>
                <w:sz w:val="16"/>
                <w:szCs w:val="16"/>
              </w:rPr>
              <w:t>小计</w:t>
            </w:r>
            <w:r>
              <w:rPr>
                <w:rFonts w:ascii="宋体" w:hAnsi="宋体" w:cs="宋体" w:eastAsia="宋体" w:hint="default"/>
                <w:sz w:val="16"/>
                <w:szCs w:val="16"/>
              </w:rPr>
            </w:r>
          </w:p>
        </w:tc>
        <w:tc>
          <w:tcPr>
            <w:tcW w:w="492"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6"/>
              <w:jc w:val="right"/>
              <w:rPr>
                <w:rFonts w:ascii="Arial" w:hAnsi="Arial" w:cs="Arial" w:eastAsia="Arial" w:hint="default"/>
                <w:sz w:val="16"/>
                <w:szCs w:val="16"/>
              </w:rPr>
            </w:pPr>
            <w:r>
              <w:rPr>
                <w:rFonts w:ascii="Arial"/>
                <w:spacing w:val="-1"/>
                <w:w w:val="105"/>
                <w:sz w:val="16"/>
              </w:rPr>
              <w:t>(35,284,601,378)</w:t>
            </w:r>
            <w:r>
              <w:rPr>
                <w:rFonts w:ascii="Arial"/>
                <w:sz w:val="16"/>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1"/>
              <w:jc w:val="right"/>
              <w:rPr>
                <w:rFonts w:ascii="Arial" w:hAnsi="Arial" w:cs="Arial" w:eastAsia="Arial" w:hint="default"/>
                <w:sz w:val="16"/>
                <w:szCs w:val="16"/>
              </w:rPr>
            </w:pPr>
            <w:r>
              <w:rPr>
                <w:rFonts w:ascii="Arial"/>
                <w:spacing w:val="-1"/>
                <w:w w:val="105"/>
                <w:sz w:val="16"/>
              </w:rPr>
              <w:t>(8,755,847,813)</w:t>
            </w:r>
            <w:r>
              <w:rPr>
                <w:rFonts w:ascii="Arial"/>
                <w:sz w:val="16"/>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4"/>
              <w:jc w:val="right"/>
              <w:rPr>
                <w:rFonts w:ascii="Arial" w:hAnsi="Arial" w:cs="Arial" w:eastAsia="Arial" w:hint="default"/>
                <w:sz w:val="16"/>
                <w:szCs w:val="16"/>
              </w:rPr>
            </w:pPr>
            <w:r>
              <w:rPr>
                <w:rFonts w:ascii="Arial"/>
                <w:spacing w:val="-1"/>
                <w:w w:val="105"/>
                <w:sz w:val="16"/>
              </w:rPr>
              <w:t>(26,939,878,341)</w:t>
            </w:r>
            <w:r>
              <w:rPr>
                <w:rFonts w:ascii="Arial"/>
                <w:sz w:val="16"/>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98" w:right="0"/>
              <w:jc w:val="left"/>
              <w:rPr>
                <w:rFonts w:ascii="Arial" w:hAnsi="Arial" w:cs="Arial" w:eastAsia="Arial" w:hint="default"/>
                <w:sz w:val="16"/>
                <w:szCs w:val="16"/>
              </w:rPr>
            </w:pPr>
            <w:r>
              <w:rPr>
                <w:rFonts w:ascii="Arial"/>
                <w:w w:val="105"/>
                <w:sz w:val="16"/>
              </w:rPr>
              <w:t>(6,659,755,830)</w:t>
            </w:r>
            <w:r>
              <w:rPr>
                <w:rFonts w:ascii="Arial"/>
                <w:sz w:val="16"/>
              </w:rPr>
            </w:r>
          </w:p>
        </w:tc>
      </w:tr>
      <w:tr>
        <w:trPr>
          <w:trHeight w:val="221"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6" w:lineRule="exact"/>
              <w:ind w:right="0"/>
              <w:jc w:val="left"/>
              <w:rPr>
                <w:rFonts w:ascii="宋体" w:hAnsi="宋体" w:cs="宋体" w:eastAsia="宋体" w:hint="default"/>
                <w:sz w:val="17"/>
                <w:szCs w:val="17"/>
              </w:rPr>
            </w:pPr>
            <w:r>
              <w:rPr>
                <w:rFonts w:ascii="宋体" w:hAnsi="宋体" w:cs="宋体" w:eastAsia="宋体" w:hint="default"/>
                <w:sz w:val="17"/>
                <w:szCs w:val="17"/>
              </w:rPr>
              <w:t>互抵金额</w:t>
            </w:r>
          </w:p>
        </w:tc>
        <w:tc>
          <w:tcPr>
            <w:tcW w:w="492"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7"/>
              <w:jc w:val="right"/>
              <w:rPr>
                <w:rFonts w:ascii="Arial" w:hAnsi="Arial" w:cs="Arial" w:eastAsia="Arial" w:hint="default"/>
                <w:sz w:val="17"/>
                <w:szCs w:val="17"/>
              </w:rPr>
            </w:pPr>
            <w:r>
              <w:rPr>
                <w:rFonts w:ascii="Arial"/>
                <w:w w:val="95"/>
                <w:sz w:val="17"/>
              </w:rPr>
              <w:t>32,865,256,077</w:t>
            </w:r>
            <w:r>
              <w:rPr>
                <w:rFonts w:ascii="Arial"/>
                <w:sz w:val="17"/>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4"/>
              <w:jc w:val="right"/>
              <w:rPr>
                <w:rFonts w:ascii="Arial" w:hAnsi="Arial" w:cs="Arial" w:eastAsia="Arial" w:hint="default"/>
                <w:sz w:val="17"/>
                <w:szCs w:val="17"/>
              </w:rPr>
            </w:pPr>
            <w:r>
              <w:rPr>
                <w:rFonts w:ascii="Arial"/>
                <w:spacing w:val="-1"/>
                <w:w w:val="95"/>
                <w:sz w:val="17"/>
              </w:rPr>
              <w:t>8,206,858,046</w:t>
            </w:r>
            <w:r>
              <w:rPr>
                <w:rFonts w:ascii="Arial"/>
                <w:sz w:val="17"/>
              </w:rPr>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83"/>
              <w:jc w:val="right"/>
              <w:rPr>
                <w:rFonts w:ascii="Arial" w:hAnsi="Arial" w:cs="Arial" w:eastAsia="Arial" w:hint="default"/>
                <w:sz w:val="17"/>
                <w:szCs w:val="17"/>
              </w:rPr>
            </w:pPr>
            <w:r>
              <w:rPr>
                <w:rFonts w:ascii="Arial"/>
                <w:w w:val="95"/>
                <w:sz w:val="17"/>
              </w:rPr>
              <w:t>26,170,905,249</w:t>
            </w:r>
            <w:r>
              <w:rPr>
                <w:rFonts w:ascii="Arial"/>
                <w:sz w:val="17"/>
              </w:rPr>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70" w:right="0"/>
              <w:jc w:val="left"/>
              <w:rPr>
                <w:rFonts w:ascii="Arial" w:hAnsi="Arial" w:cs="Arial" w:eastAsia="Arial" w:hint="default"/>
                <w:sz w:val="17"/>
                <w:szCs w:val="17"/>
              </w:rPr>
            </w:pPr>
            <w:r>
              <w:rPr>
                <w:rFonts w:ascii="Arial"/>
                <w:sz w:val="17"/>
              </w:rPr>
              <w:t>6,534,297,885</w:t>
            </w:r>
          </w:p>
        </w:tc>
      </w:tr>
      <w:tr>
        <w:trPr>
          <w:trHeight w:val="224"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6" w:lineRule="exact"/>
              <w:ind w:right="0"/>
              <w:jc w:val="left"/>
              <w:rPr>
                <w:rFonts w:ascii="宋体" w:hAnsi="宋体" w:cs="宋体" w:eastAsia="宋体" w:hint="default"/>
                <w:sz w:val="17"/>
                <w:szCs w:val="17"/>
              </w:rPr>
            </w:pPr>
            <w:r>
              <w:rPr>
                <w:rFonts w:ascii="宋体" w:hAnsi="宋体" w:cs="宋体" w:eastAsia="宋体" w:hint="default"/>
                <w:sz w:val="17"/>
                <w:szCs w:val="17"/>
              </w:rPr>
              <w:t>互抵后的金额</w:t>
            </w:r>
          </w:p>
        </w:tc>
        <w:tc>
          <w:tcPr>
            <w:tcW w:w="492"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6"/>
              <w:jc w:val="right"/>
              <w:rPr>
                <w:rFonts w:ascii="Arial" w:hAnsi="Arial" w:cs="Arial" w:eastAsia="Arial" w:hint="default"/>
                <w:sz w:val="16"/>
                <w:szCs w:val="16"/>
              </w:rPr>
            </w:pPr>
            <w:r>
              <w:rPr>
                <w:rFonts w:ascii="Arial"/>
                <w:spacing w:val="-1"/>
                <w:w w:val="105"/>
                <w:sz w:val="16"/>
              </w:rPr>
              <w:t>(2,419,345,301)</w:t>
            </w:r>
            <w:r>
              <w:rPr>
                <w:rFonts w:ascii="Arial"/>
                <w:sz w:val="16"/>
              </w:rPr>
            </w:r>
          </w:p>
        </w:tc>
        <w:tc>
          <w:tcPr>
            <w:tcW w:w="199"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9"/>
              <w:jc w:val="right"/>
              <w:rPr>
                <w:rFonts w:ascii="Arial" w:hAnsi="Arial" w:cs="Arial" w:eastAsia="Arial" w:hint="default"/>
                <w:sz w:val="16"/>
                <w:szCs w:val="16"/>
              </w:rPr>
            </w:pPr>
            <w:r>
              <w:rPr>
                <w:rFonts w:ascii="Arial"/>
                <w:sz w:val="16"/>
              </w:rPr>
              <w:t>(548,989,767)</w:t>
            </w:r>
          </w:p>
        </w:tc>
        <w:tc>
          <w:tcPr>
            <w:tcW w:w="194"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38"/>
              <w:jc w:val="right"/>
              <w:rPr>
                <w:rFonts w:ascii="Arial" w:hAnsi="Arial" w:cs="Arial" w:eastAsia="Arial" w:hint="default"/>
                <w:sz w:val="16"/>
                <w:szCs w:val="16"/>
              </w:rPr>
            </w:pPr>
            <w:r>
              <w:rPr>
                <w:rFonts w:ascii="Arial"/>
                <w:sz w:val="16"/>
              </w:rPr>
              <w:t>(768,973,092)</w:t>
            </w:r>
          </w:p>
        </w:tc>
        <w:tc>
          <w:tcPr>
            <w:tcW w:w="13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left="242" w:right="0"/>
              <w:jc w:val="left"/>
              <w:rPr>
                <w:rFonts w:ascii="Arial" w:hAnsi="Arial" w:cs="Arial" w:eastAsia="Arial" w:hint="default"/>
                <w:sz w:val="16"/>
                <w:szCs w:val="16"/>
              </w:rPr>
            </w:pPr>
            <w:r>
              <w:rPr>
                <w:rFonts w:ascii="Arial"/>
                <w:w w:val="105"/>
                <w:sz w:val="16"/>
              </w:rPr>
              <w:t>(125,457,945)</w:t>
            </w:r>
            <w:r>
              <w:rPr>
                <w:rFonts w:ascii="Arial"/>
                <w:sz w:val="16"/>
              </w:rPr>
            </w:r>
          </w:p>
        </w:tc>
      </w:tr>
    </w:tbl>
    <w:p>
      <w:pPr>
        <w:spacing w:after="0" w:line="240" w:lineRule="auto"/>
        <w:jc w:val="left"/>
        <w:rPr>
          <w:rFonts w:ascii="Arial" w:hAnsi="Arial" w:cs="Arial" w:eastAsia="Arial" w:hint="default"/>
          <w:sz w:val="16"/>
          <w:szCs w:val="16"/>
        </w:rPr>
        <w:sectPr>
          <w:headerReference w:type="default" r:id="rId200"/>
          <w:pgSz w:w="11910" w:h="16840"/>
          <w:pgMar w:header="1188" w:footer="502" w:top="4140" w:bottom="700" w:left="1020" w:right="900"/>
        </w:sectPr>
      </w:pPr>
    </w:p>
    <w:p>
      <w:pPr>
        <w:spacing w:line="240" w:lineRule="auto" w:before="9"/>
        <w:rPr>
          <w:rFonts w:ascii="宋体" w:hAnsi="宋体" w:cs="宋体" w:eastAsia="宋体" w:hint="default"/>
          <w:sz w:val="11"/>
          <w:szCs w:val="11"/>
        </w:rPr>
      </w:pPr>
    </w:p>
    <w:p>
      <w:pPr>
        <w:pStyle w:val="BodyText"/>
        <w:spacing w:line="240" w:lineRule="auto" w:before="32"/>
        <w:ind w:left="112" w:right="104"/>
        <w:jc w:val="left"/>
      </w:pPr>
      <w:r>
        <w:rPr>
          <w:rFonts w:ascii="Arial" w:hAnsi="Arial" w:cs="Arial" w:eastAsia="Arial" w:hint="default"/>
        </w:rPr>
        <w:t>(ii) </w:t>
      </w:r>
      <w:r>
        <w:rPr>
          <w:rFonts w:ascii="Arial" w:hAnsi="Arial" w:cs="Arial" w:eastAsia="Arial" w:hint="default"/>
          <w:spacing w:val="50"/>
        </w:rPr>
        <w:t> </w:t>
      </w:r>
      <w:r>
        <w:rPr/>
        <w:t>注释</w:t>
      </w:r>
    </w:p>
    <w:p>
      <w:pPr>
        <w:pStyle w:val="BodyText"/>
        <w:spacing w:line="237" w:lineRule="auto" w:before="184"/>
        <w:ind w:left="559" w:right="104"/>
        <w:jc w:val="left"/>
        <w:rPr>
          <w:rFonts w:ascii="宋体" w:hAnsi="宋体" w:cs="宋体" w:eastAsia="宋体" w:hint="default"/>
        </w:rPr>
      </w:pPr>
      <w:r>
        <w:rPr>
          <w:spacing w:val="-1"/>
        </w:rPr>
        <w:t>以上递延所得税资产及负债是根据本集团在各期间因暂时性差异对所得税影响金额计算。在资产</w:t>
      </w:r>
      <w:r>
        <w:rPr>
          <w:spacing w:val="-65"/>
        </w:rPr>
        <w:t> </w:t>
      </w:r>
      <w:r>
        <w:rPr>
          <w:spacing w:val="-65"/>
        </w:rPr>
      </w:r>
      <w:r>
        <w:rPr/>
        <w:t>负债表债务法下，暂时性差异对所得税的影响金额，在考虑了当时有关税务法规及市场发展情</w:t>
      </w:r>
      <w:r>
        <w:rPr>
          <w:spacing w:val="-108"/>
        </w:rPr>
        <w:t> </w:t>
      </w:r>
      <w:r>
        <w:rPr>
          <w:spacing w:val="-108"/>
        </w:rPr>
      </w:r>
      <w:r>
        <w:rPr/>
        <w:t>况，可以递延和分配到以后各期。这些暂时性差异的详细说明如下：</w:t>
      </w:r>
      <w:r>
        <w:rPr>
          <w:rFonts w:ascii="宋体" w:hAnsi="宋体" w:cs="宋体" w:eastAsia="宋体" w:hint="default"/>
        </w:rPr>
        <w:t> </w:t>
      </w:r>
    </w:p>
    <w:p>
      <w:pPr>
        <w:spacing w:line="240" w:lineRule="auto" w:before="6"/>
        <w:rPr>
          <w:rFonts w:ascii="宋体" w:hAnsi="宋体" w:cs="宋体" w:eastAsia="宋体" w:hint="default"/>
          <w:sz w:val="15"/>
          <w:szCs w:val="15"/>
        </w:rPr>
      </w:pPr>
    </w:p>
    <w:p>
      <w:pPr>
        <w:pStyle w:val="BodyText"/>
        <w:spacing w:line="235" w:lineRule="auto"/>
        <w:ind w:left="559" w:right="117" w:hanging="447"/>
        <w:jc w:val="both"/>
      </w:pPr>
      <w:r>
        <w:rPr>
          <w:rFonts w:ascii="Arial" w:hAnsi="Arial" w:cs="Arial" w:eastAsia="Arial" w:hint="default"/>
        </w:rPr>
        <w:t>(1)</w:t>
      </w:r>
      <w:r>
        <w:rPr>
          <w:rFonts w:ascii="Arial" w:hAnsi="Arial" w:cs="Arial" w:eastAsia="Arial" w:hint="default"/>
          <w:spacing w:val="1"/>
        </w:rPr>
        <w:t> </w:t>
      </w:r>
      <w:r>
        <w:rPr/>
        <w:t>本公司于资产负债表日对集团内受同一纳税征管部门管理的同一纳税实体的递延所得税资产和递</w:t>
      </w:r>
      <w:r>
        <w:rPr>
          <w:w w:val="100"/>
        </w:rPr>
        <w:t> </w:t>
      </w:r>
      <w:r>
        <w:rPr>
          <w:spacing w:val="-1"/>
        </w:rPr>
        <w:t>延所得税负债的余额进行分析，如果递延所得税资产的余额大于递延所得税负债的余额，则将递</w:t>
      </w:r>
      <w:r>
        <w:rPr>
          <w:w w:val="100"/>
        </w:rPr>
        <w:t> </w:t>
      </w:r>
      <w:r>
        <w:rPr>
          <w:spacing w:val="-1"/>
        </w:rPr>
        <w:t>延所得税资产与递延所得税负债抵销后的净额列示于资产负债表的“递延所得税资产”项下；如</w:t>
      </w:r>
      <w:r>
        <w:rPr>
          <w:w w:val="100"/>
        </w:rPr>
        <w:t> </w:t>
      </w:r>
      <w:r>
        <w:rPr>
          <w:spacing w:val="-1"/>
        </w:rPr>
        <w:t>果递延所得税资产的余额小于递延所得税负债的余额，则将递延所得税资产与递延所得税负债抵</w:t>
      </w:r>
      <w:r>
        <w:rPr>
          <w:w w:val="100"/>
        </w:rPr>
        <w:t> </w:t>
      </w:r>
      <w:r>
        <w:rPr/>
        <w:t>销后的净额列示于资产负债表的“递延所得税负债”项下。</w:t>
      </w:r>
    </w:p>
    <w:p>
      <w:pPr>
        <w:spacing w:line="240" w:lineRule="auto" w:before="7"/>
        <w:rPr>
          <w:rFonts w:ascii="宋体" w:hAnsi="宋体" w:cs="宋体" w:eastAsia="宋体" w:hint="default"/>
          <w:sz w:val="19"/>
          <w:szCs w:val="19"/>
        </w:rPr>
      </w:pPr>
    </w:p>
    <w:p>
      <w:pPr>
        <w:pStyle w:val="BodyText"/>
        <w:spacing w:line="235" w:lineRule="auto"/>
        <w:ind w:left="559" w:right="117" w:hanging="447"/>
        <w:jc w:val="both"/>
      </w:pPr>
      <w:r>
        <w:rPr>
          <w:rFonts w:ascii="Arial" w:hAnsi="Arial" w:cs="Arial" w:eastAsia="Arial" w:hint="default"/>
        </w:rPr>
        <w:t>(2)</w:t>
      </w:r>
      <w:r>
        <w:rPr>
          <w:rFonts w:ascii="Arial" w:hAnsi="Arial" w:cs="Arial" w:eastAsia="Arial" w:hint="default"/>
          <w:spacing w:val="1"/>
        </w:rPr>
        <w:t> </w:t>
      </w:r>
      <w:r>
        <w:rPr/>
        <w:t>本集团于资产负债表日，对有关资产减值准备是否能在未来为本集团抵扣以后年度的所得税进行</w:t>
      </w:r>
      <w:r>
        <w:rPr>
          <w:w w:val="100"/>
        </w:rPr>
        <w:t> </w:t>
      </w:r>
      <w:r>
        <w:rPr>
          <w:spacing w:val="-1"/>
        </w:rPr>
        <w:t>评估。按税务法规的有关规定，当期计提的各项资产减值准备虽然不得在当期税前列支，但期后</w:t>
      </w:r>
      <w:r>
        <w:rPr>
          <w:w w:val="100"/>
        </w:rPr>
        <w:t> </w:t>
      </w:r>
      <w:r>
        <w:rPr>
          <w:spacing w:val="-1"/>
        </w:rPr>
        <w:t>可于相关资产的减值损失实现时在税前列支。这些已减值的资产按纳税的需要根据减值前的金额</w:t>
      </w:r>
      <w:r>
        <w:rPr>
          <w:w w:val="100"/>
        </w:rPr>
        <w:t> </w:t>
      </w:r>
      <w:r>
        <w:rPr>
          <w:spacing w:val="-1"/>
        </w:rPr>
        <w:t>通过折旧和摊销在以后年度抵减应纳税所得额。因此本集团对确信可于未来期间实现的资产减值</w:t>
      </w:r>
      <w:r>
        <w:rPr>
          <w:w w:val="100"/>
        </w:rPr>
        <w:t> </w:t>
      </w:r>
      <w:r>
        <w:rPr/>
        <w:t>准备对所得税的影响，确认递延所得税资产。</w:t>
      </w:r>
    </w:p>
    <w:p>
      <w:pPr>
        <w:spacing w:line="240" w:lineRule="auto" w:before="7"/>
        <w:rPr>
          <w:rFonts w:ascii="宋体" w:hAnsi="宋体" w:cs="宋体" w:eastAsia="宋体" w:hint="default"/>
          <w:sz w:val="19"/>
          <w:szCs w:val="19"/>
        </w:rPr>
      </w:pPr>
    </w:p>
    <w:p>
      <w:pPr>
        <w:pStyle w:val="BodyText"/>
        <w:spacing w:line="235" w:lineRule="auto"/>
        <w:ind w:left="559" w:right="117" w:hanging="447"/>
        <w:jc w:val="both"/>
      </w:pPr>
      <w:r>
        <w:rPr>
          <w:rFonts w:ascii="Arial" w:hAnsi="Arial" w:cs="Arial" w:eastAsia="Arial" w:hint="default"/>
        </w:rPr>
        <w:t>(3)</w:t>
      </w:r>
      <w:r>
        <w:rPr>
          <w:rFonts w:ascii="Arial" w:hAnsi="Arial" w:cs="Arial" w:eastAsia="Arial" w:hint="default"/>
          <w:spacing w:val="56"/>
        </w:rPr>
        <w:t> </w:t>
      </w:r>
      <w:r>
        <w:rPr/>
        <w:t>应收款项坏账准备所对应的递延所得税资产主要由本集团计提的应收账款、合同资产及其他应收</w:t>
      </w:r>
      <w:r>
        <w:rPr>
          <w:spacing w:val="-5"/>
          <w:w w:val="100"/>
        </w:rPr>
        <w:t> </w:t>
      </w:r>
      <w:r>
        <w:rPr>
          <w:spacing w:val="-1"/>
        </w:rPr>
        <w:t>款坏账准备产生。根据税收相关法规，实际坏账损失经向主管税务机关报备后可作为税前扣除项</w:t>
      </w:r>
      <w:r>
        <w:rPr>
          <w:w w:val="100"/>
        </w:rPr>
        <w:t> </w:t>
      </w:r>
      <w:r>
        <w:rPr>
          <w:spacing w:val="-1"/>
        </w:rPr>
        <w:t>目。因此，本集团将尚未形成实际坏账损失的坏账准备所对应的所得税的影响确认为递延所得税</w:t>
      </w:r>
      <w:r>
        <w:rPr>
          <w:w w:val="100"/>
        </w:rPr>
        <w:t> </w:t>
      </w:r>
      <w:r>
        <w:rPr>
          <w:spacing w:val="-1"/>
        </w:rPr>
        <w:t>资产，而将形成坏账损失的坏账准备向主管税务机关报备后于所得税前扣除，同时转回相应的递</w:t>
      </w:r>
      <w:r>
        <w:rPr>
          <w:w w:val="100"/>
        </w:rPr>
        <w:t> </w:t>
      </w:r>
      <w:r>
        <w:rPr/>
        <w:t>延所得税资产。</w:t>
      </w:r>
    </w:p>
    <w:p>
      <w:pPr>
        <w:spacing w:line="240" w:lineRule="auto" w:before="9"/>
        <w:rPr>
          <w:rFonts w:ascii="宋体" w:hAnsi="宋体" w:cs="宋体" w:eastAsia="宋体" w:hint="default"/>
          <w:sz w:val="19"/>
          <w:szCs w:val="19"/>
        </w:rPr>
      </w:pPr>
    </w:p>
    <w:p>
      <w:pPr>
        <w:pStyle w:val="BodyText"/>
        <w:spacing w:line="232" w:lineRule="auto"/>
        <w:ind w:left="559" w:right="117" w:hanging="447"/>
        <w:jc w:val="both"/>
      </w:pPr>
      <w:r>
        <w:rPr>
          <w:rFonts w:ascii="Arial" w:hAnsi="Arial" w:cs="Arial" w:eastAsia="Arial" w:hint="default"/>
        </w:rPr>
        <w:t>(4)</w:t>
      </w:r>
      <w:r>
        <w:rPr>
          <w:rFonts w:ascii="Arial" w:hAnsi="Arial" w:cs="Arial" w:eastAsia="Arial" w:hint="default"/>
          <w:spacing w:val="1"/>
        </w:rPr>
        <w:t> </w:t>
      </w:r>
      <w:r>
        <w:rPr/>
        <w:t>本集团对本年已经发生但尚未支付的成本费用在合理估计的基础上进行预提。而根据中国税收法</w:t>
      </w:r>
      <w:r>
        <w:rPr>
          <w:w w:val="100"/>
        </w:rPr>
        <w:t> </w:t>
      </w:r>
      <w:r>
        <w:rPr>
          <w:spacing w:val="-1"/>
        </w:rPr>
        <w:t>规的有关规定，成本费用应该按照实际发生额在税前列支，对于没有明确证据的预提费用不得在</w:t>
      </w:r>
      <w:r>
        <w:rPr>
          <w:w w:val="100"/>
        </w:rPr>
        <w:t> </w:t>
      </w:r>
      <w:r>
        <w:rPr>
          <w:spacing w:val="-1"/>
        </w:rPr>
        <w:t>税前列支，因此本集团对估计预提的成本费用确认了相应的递延所得税资产，并在该等估计预提</w:t>
      </w:r>
      <w:r>
        <w:rPr>
          <w:w w:val="100"/>
        </w:rPr>
        <w:t> </w:t>
      </w:r>
      <w:r>
        <w:rPr/>
        <w:t>成本费用实际支付时，将有关递延所得税资产予以转回。</w:t>
      </w:r>
    </w:p>
    <w:p>
      <w:pPr>
        <w:spacing w:after="0" w:line="232" w:lineRule="auto"/>
        <w:jc w:val="both"/>
        <w:sectPr>
          <w:headerReference w:type="default" r:id="rId201"/>
          <w:pgSz w:w="11910" w:h="16840"/>
          <w:pgMar w:header="1188" w:footer="502" w:top="4060" w:bottom="700" w:left="1020" w:right="960"/>
        </w:sectPr>
      </w:pPr>
    </w:p>
    <w:p>
      <w:pPr>
        <w:spacing w:line="240" w:lineRule="auto" w:before="7"/>
        <w:rPr>
          <w:rFonts w:ascii="宋体" w:hAnsi="宋体" w:cs="宋体" w:eastAsia="宋体" w:hint="default"/>
          <w:sz w:val="16"/>
          <w:szCs w:val="16"/>
        </w:rPr>
      </w:pPr>
    </w:p>
    <w:p>
      <w:pPr>
        <w:pStyle w:val="BodyText"/>
        <w:spacing w:line="240" w:lineRule="auto" w:before="32"/>
        <w:ind w:left="112" w:right="0"/>
        <w:jc w:val="left"/>
      </w:pPr>
      <w:r>
        <w:rPr>
          <w:rFonts w:ascii="Arial" w:hAnsi="Arial" w:cs="Arial" w:eastAsia="Arial" w:hint="default"/>
        </w:rPr>
        <w:t>49</w:t>
      </w:r>
      <w:r>
        <w:rPr/>
        <w:t>、所得税（续）</w:t>
      </w:r>
    </w:p>
    <w:p>
      <w:pPr>
        <w:pStyle w:val="BodyText"/>
        <w:spacing w:line="240" w:lineRule="auto" w:before="167"/>
        <w:ind w:left="112" w:right="0"/>
        <w:jc w:val="left"/>
      </w:pPr>
      <w:r>
        <w:rPr>
          <w:rFonts w:ascii="Arial" w:hAnsi="Arial" w:cs="Arial" w:eastAsia="Arial" w:hint="default"/>
        </w:rPr>
        <w:t>(c) </w:t>
      </w:r>
      <w:r>
        <w:rPr>
          <w:rFonts w:ascii="Arial" w:hAnsi="Arial" w:cs="Arial" w:eastAsia="Arial" w:hint="default"/>
          <w:spacing w:val="42"/>
        </w:rPr>
        <w:t> </w:t>
      </w:r>
      <w:r>
        <w:rPr/>
        <w:t>递延所得税资产及负债包括以下暂时性差异对所得税的影响（续）：</w:t>
      </w:r>
    </w:p>
    <w:p>
      <w:pPr>
        <w:pStyle w:val="BodyText"/>
        <w:spacing w:line="240" w:lineRule="auto" w:before="181"/>
        <w:ind w:left="112" w:right="0"/>
        <w:jc w:val="left"/>
      </w:pPr>
      <w:r>
        <w:rPr>
          <w:rFonts w:ascii="Arial" w:hAnsi="Arial" w:cs="Arial" w:eastAsia="Arial" w:hint="default"/>
        </w:rPr>
        <w:t>(ii) </w:t>
      </w:r>
      <w:r>
        <w:rPr>
          <w:rFonts w:ascii="Arial" w:hAnsi="Arial" w:cs="Arial" w:eastAsia="Arial" w:hint="default"/>
          <w:spacing w:val="52"/>
        </w:rPr>
        <w:t> </w:t>
      </w:r>
      <w:r>
        <w:rPr/>
        <w:t>注释（续）</w:t>
      </w:r>
    </w:p>
    <w:p>
      <w:pPr>
        <w:spacing w:line="240" w:lineRule="auto" w:before="9"/>
        <w:rPr>
          <w:rFonts w:ascii="宋体" w:hAnsi="宋体" w:cs="宋体" w:eastAsia="宋体" w:hint="default"/>
          <w:sz w:val="18"/>
          <w:szCs w:val="18"/>
        </w:rPr>
      </w:pPr>
    </w:p>
    <w:p>
      <w:pPr>
        <w:pStyle w:val="BodyText"/>
        <w:spacing w:line="230" w:lineRule="auto"/>
        <w:ind w:left="602" w:right="328" w:hanging="475"/>
        <w:jc w:val="both"/>
      </w:pPr>
      <w:r>
        <w:rPr>
          <w:rFonts w:ascii="Arial" w:hAnsi="Arial" w:cs="Arial" w:eastAsia="Arial" w:hint="default"/>
        </w:rPr>
        <w:t>(5)</w:t>
      </w:r>
      <w:r>
        <w:rPr>
          <w:rFonts w:ascii="Arial" w:hAnsi="Arial" w:cs="Arial" w:eastAsia="Arial" w:hint="default"/>
          <w:spacing w:val="38"/>
        </w:rPr>
        <w:t> </w:t>
      </w:r>
      <w:r>
        <w:rPr/>
        <w:t>本集团于</w:t>
      </w:r>
      <w:r>
        <w:rPr>
          <w:spacing w:val="-54"/>
        </w:rPr>
        <w:t> </w:t>
      </w:r>
      <w:r>
        <w:rPr>
          <w:rFonts w:ascii="Arial" w:hAnsi="Arial" w:cs="Arial" w:eastAsia="Arial" w:hint="default"/>
        </w:rPr>
        <w:t>2008</w:t>
      </w:r>
      <w:r>
        <w:rPr>
          <w:rFonts w:ascii="Arial" w:hAnsi="Arial" w:cs="Arial" w:eastAsia="Arial" w:hint="default"/>
          <w:spacing w:val="-3"/>
        </w:rPr>
        <w:t> </w:t>
      </w:r>
      <w:r>
        <w:rPr/>
        <w:t>年度出售</w:t>
      </w:r>
      <w:r>
        <w:rPr>
          <w:spacing w:val="-54"/>
        </w:rPr>
        <w:t> </w:t>
      </w:r>
      <w:r>
        <w:rPr>
          <w:rFonts w:ascii="Arial" w:hAnsi="Arial" w:cs="Arial" w:eastAsia="Arial" w:hint="default"/>
          <w:spacing w:val="-3"/>
        </w:rPr>
        <w:t>CDMA </w:t>
      </w:r>
      <w:r>
        <w:rPr>
          <w:spacing w:val="-3"/>
        </w:rPr>
        <w:t>业务时，因承诺未来一段时间内向中国电信提供若干服务而确认</w:t>
      </w:r>
      <w:r>
        <w:rPr>
          <w:w w:val="100"/>
        </w:rPr>
        <w:t> </w:t>
      </w:r>
      <w:r>
        <w:rPr/>
        <w:t>了递延收益。因在税法下该收益于 </w:t>
      </w:r>
      <w:r>
        <w:rPr>
          <w:rFonts w:ascii="Arial" w:hAnsi="Arial" w:cs="Arial" w:eastAsia="Arial" w:hint="default"/>
          <w:spacing w:val="-3"/>
        </w:rPr>
        <w:t>CDMA</w:t>
      </w:r>
      <w:r>
        <w:rPr>
          <w:rFonts w:ascii="Arial" w:hAnsi="Arial" w:cs="Arial" w:eastAsia="Arial" w:hint="default"/>
          <w:spacing w:val="44"/>
        </w:rPr>
        <w:t> </w:t>
      </w:r>
      <w:r>
        <w:rPr/>
        <w:t>业务出售期间计入当期应税收入并缴纳所得税，而在</w:t>
      </w:r>
      <w:r>
        <w:rPr>
          <w:w w:val="100"/>
        </w:rPr>
        <w:t> </w:t>
      </w:r>
      <w:r>
        <w:rPr>
          <w:spacing w:val="-2"/>
        </w:rPr>
        <w:t>会计上该收益将在以后服务提供期间确认收入，由此产生的暂时性差异被确认了相关的递延所得</w:t>
      </w:r>
      <w:r>
        <w:rPr>
          <w:w w:val="100"/>
        </w:rPr>
        <w:t> </w:t>
      </w:r>
      <w:r>
        <w:rPr/>
        <w:t>税资产。</w:t>
      </w:r>
    </w:p>
    <w:p>
      <w:pPr>
        <w:pStyle w:val="BodyText"/>
        <w:spacing w:line="237" w:lineRule="auto" w:before="181"/>
        <w:ind w:left="602" w:right="328"/>
        <w:jc w:val="both"/>
      </w:pPr>
      <w:r>
        <w:rPr>
          <w:spacing w:val="-2"/>
        </w:rPr>
        <w:t>另外，本集团实施积分奖励计划，将部分交易价格分摊至用户在未来购买本集团商品或服务时可</w:t>
      </w:r>
      <w:r>
        <w:rPr>
          <w:spacing w:val="-53"/>
        </w:rPr>
        <w:t> </w:t>
      </w:r>
      <w:r>
        <w:rPr>
          <w:spacing w:val="-53"/>
        </w:rPr>
      </w:r>
      <w:r>
        <w:rPr>
          <w:spacing w:val="-2"/>
        </w:rPr>
        <w:t>兑换抵扣的奖励积分。分摊比例按照奖励积分和相关商品或服务单独售价的相对比例确定。本集</w:t>
      </w:r>
      <w:r>
        <w:rPr>
          <w:spacing w:val="-58"/>
        </w:rPr>
        <w:t> </w:t>
      </w:r>
      <w:r>
        <w:rPr>
          <w:spacing w:val="-58"/>
        </w:rPr>
      </w:r>
      <w:r>
        <w:rPr>
          <w:spacing w:val="-2"/>
        </w:rPr>
        <w:t>团将分摊至奖励积分的金额予以递延并在积分兑换或到期时确认为收入。但是根据税法要求，当</w:t>
      </w:r>
      <w:r>
        <w:rPr>
          <w:spacing w:val="-58"/>
        </w:rPr>
        <w:t> </w:t>
      </w:r>
      <w:r>
        <w:rPr>
          <w:spacing w:val="-58"/>
        </w:rPr>
      </w:r>
      <w:r>
        <w:rPr>
          <w:spacing w:val="-2"/>
        </w:rPr>
        <w:t>本集团就向用户收取或应收现金时即已产生纳税义务，而非在积分兑换当期。因此，年末未兑换</w:t>
      </w:r>
      <w:r>
        <w:rPr>
          <w:spacing w:val="-58"/>
        </w:rPr>
        <w:t> </w:t>
      </w:r>
      <w:r>
        <w:rPr>
          <w:spacing w:val="-58"/>
        </w:rPr>
      </w:r>
      <w:r>
        <w:rPr/>
        <w:t>的积分奖励计划的递延收益对应的所得税影响被确认为递延所得税资产。</w:t>
      </w:r>
    </w:p>
    <w:p>
      <w:pPr>
        <w:spacing w:line="240" w:lineRule="auto" w:before="1"/>
        <w:rPr>
          <w:rFonts w:ascii="宋体" w:hAnsi="宋体" w:cs="宋体" w:eastAsia="宋体" w:hint="default"/>
          <w:sz w:val="19"/>
          <w:szCs w:val="19"/>
        </w:rPr>
      </w:pPr>
    </w:p>
    <w:p>
      <w:pPr>
        <w:pStyle w:val="BodyText"/>
        <w:spacing w:line="240" w:lineRule="auto"/>
        <w:ind w:left="602" w:right="0"/>
        <w:jc w:val="left"/>
      </w:pPr>
      <w:r>
        <w:rPr/>
        <w:t>在税法下与资产相关以及与收益相关的政府补助于收到当期计入应税收入并缴纳所得税，而在会</w:t>
      </w:r>
      <w:r>
        <w:rPr>
          <w:w w:val="100"/>
        </w:rPr>
        <w:t> </w:t>
      </w:r>
      <w:r>
        <w:rPr>
          <w:spacing w:val="-2"/>
        </w:rPr>
        <w:t>计上将在以后递延收益摊销期间确认收入，由此产生的暂时性差异确认为相关的递延所得税资产。</w:t>
      </w:r>
    </w:p>
    <w:p>
      <w:pPr>
        <w:spacing w:line="240" w:lineRule="auto" w:before="11"/>
        <w:rPr>
          <w:rFonts w:ascii="宋体" w:hAnsi="宋体" w:cs="宋体" w:eastAsia="宋体" w:hint="default"/>
          <w:sz w:val="19"/>
          <w:szCs w:val="19"/>
        </w:rPr>
      </w:pPr>
    </w:p>
    <w:p>
      <w:pPr>
        <w:pStyle w:val="BodyText"/>
        <w:spacing w:line="230" w:lineRule="auto"/>
        <w:ind w:left="602" w:right="327" w:hanging="447"/>
        <w:jc w:val="both"/>
      </w:pPr>
      <w:r>
        <w:rPr>
          <w:rFonts w:ascii="Arial" w:hAnsi="Arial" w:cs="Arial" w:eastAsia="Arial" w:hint="default"/>
        </w:rPr>
        <w:t>(6)</w:t>
      </w:r>
      <w:r>
        <w:rPr>
          <w:rFonts w:ascii="Arial" w:hAnsi="Arial" w:cs="Arial" w:eastAsia="Arial" w:hint="default"/>
          <w:spacing w:val="24"/>
        </w:rPr>
        <w:t> </w:t>
      </w:r>
      <w:r>
        <w:rPr/>
        <w:t>本集团位于中国境内的若干子公司年末有未支付的工资。根据中国税收法规的有关规定，年末未</w:t>
      </w:r>
      <w:r>
        <w:rPr>
          <w:w w:val="100"/>
        </w:rPr>
        <w:t> </w:t>
      </w:r>
      <w:r>
        <w:rPr>
          <w:spacing w:val="-2"/>
        </w:rPr>
        <w:t>发放的工资薪金在以后期间实际发放时或一定比例内计提的企业年金在缴纳时，经主管税务机关</w:t>
      </w:r>
      <w:r>
        <w:rPr>
          <w:w w:val="100"/>
        </w:rPr>
        <w:t> </w:t>
      </w:r>
      <w:r>
        <w:rPr>
          <w:spacing w:val="-3"/>
        </w:rPr>
        <w:t>审核，可在实际发放</w:t>
      </w:r>
      <w:r>
        <w:rPr>
          <w:rFonts w:ascii="Arial" w:hAnsi="Arial" w:cs="Arial" w:eastAsia="Arial" w:hint="default"/>
          <w:spacing w:val="-3"/>
        </w:rPr>
        <w:t>/</w:t>
      </w:r>
      <w:r>
        <w:rPr>
          <w:spacing w:val="-3"/>
        </w:rPr>
        <w:t>缴纳期间企业所得税前扣除，由此产生的暂时性差异被确认为递延所得税资</w:t>
      </w:r>
      <w:r>
        <w:rPr>
          <w:w w:val="100"/>
        </w:rPr>
        <w:t> </w:t>
      </w:r>
      <w:r>
        <w:rPr/>
        <w:t>产。</w:t>
      </w:r>
    </w:p>
    <w:p>
      <w:pPr>
        <w:spacing w:line="240" w:lineRule="auto" w:before="2"/>
        <w:rPr>
          <w:rFonts w:ascii="宋体" w:hAnsi="宋体" w:cs="宋体" w:eastAsia="宋体" w:hint="default"/>
          <w:sz w:val="18"/>
          <w:szCs w:val="18"/>
        </w:rPr>
      </w:pPr>
    </w:p>
    <w:p>
      <w:pPr>
        <w:pStyle w:val="BodyText"/>
        <w:spacing w:line="284" w:lineRule="exact"/>
        <w:ind w:left="631" w:right="333" w:hanging="447"/>
        <w:jc w:val="both"/>
      </w:pPr>
      <w:r>
        <w:rPr>
          <w:rFonts w:ascii="Arial" w:hAnsi="Arial" w:cs="Arial" w:eastAsia="Arial" w:hint="default"/>
        </w:rPr>
        <w:t>(7)</w:t>
      </w:r>
      <w:r>
        <w:rPr>
          <w:rFonts w:ascii="Arial" w:hAnsi="Arial" w:cs="Arial" w:eastAsia="Arial" w:hint="default"/>
          <w:spacing w:val="56"/>
        </w:rPr>
        <w:t> </w:t>
      </w:r>
      <w:r>
        <w:rPr>
          <w:spacing w:val="-3"/>
        </w:rPr>
        <w:t>本集团子公司之间的内部交易产生的未实现利润抵销构成会计与税务上的暂时性差异，其所得税</w:t>
      </w:r>
      <w:r>
        <w:rPr>
          <w:spacing w:val="-108"/>
        </w:rPr>
        <w:t> </w:t>
      </w:r>
      <w:r>
        <w:rPr>
          <w:spacing w:val="-108"/>
        </w:rPr>
      </w:r>
      <w:r>
        <w:rPr/>
        <w:t>影响确认递延所得税资产。</w:t>
      </w:r>
    </w:p>
    <w:p>
      <w:pPr>
        <w:spacing w:line="240" w:lineRule="auto" w:before="2"/>
        <w:rPr>
          <w:rFonts w:ascii="宋体" w:hAnsi="宋体" w:cs="宋体" w:eastAsia="宋体" w:hint="default"/>
          <w:sz w:val="19"/>
          <w:szCs w:val="19"/>
        </w:rPr>
      </w:pPr>
    </w:p>
    <w:p>
      <w:pPr>
        <w:pStyle w:val="BodyText"/>
        <w:spacing w:line="288" w:lineRule="exact"/>
        <w:ind w:left="631" w:right="333" w:hanging="447"/>
        <w:jc w:val="both"/>
      </w:pPr>
      <w:r>
        <w:rPr>
          <w:rFonts w:ascii="Arial" w:hAnsi="Arial" w:cs="Arial" w:eastAsia="Arial" w:hint="default"/>
        </w:rPr>
        <w:t>(8)</w:t>
      </w:r>
      <w:r>
        <w:rPr>
          <w:rFonts w:ascii="Arial" w:hAnsi="Arial" w:cs="Arial" w:eastAsia="Arial" w:hint="default"/>
          <w:spacing w:val="56"/>
        </w:rPr>
        <w:t> </w:t>
      </w:r>
      <w:r>
        <w:rPr>
          <w:spacing w:val="-3"/>
        </w:rPr>
        <w:t>中讯设计院、联通香港运营等子公司部分固定资产的折旧年限在会计与税务上存在差异，此暂时</w:t>
      </w:r>
      <w:r>
        <w:rPr>
          <w:spacing w:val="-108"/>
        </w:rPr>
        <w:t> </w:t>
      </w:r>
      <w:r>
        <w:rPr>
          <w:spacing w:val="-108"/>
        </w:rPr>
      </w:r>
      <w:r>
        <w:rPr/>
        <w:t>性差异的所得税影响确认递延所得税资产或负债。</w:t>
      </w:r>
    </w:p>
    <w:p>
      <w:pPr>
        <w:pStyle w:val="BodyText"/>
        <w:spacing w:line="235" w:lineRule="auto" w:before="180"/>
        <w:ind w:left="645" w:right="333" w:hanging="447"/>
        <w:jc w:val="both"/>
      </w:pPr>
      <w:r>
        <w:rPr>
          <w:rFonts w:ascii="Arial" w:hAnsi="Arial" w:cs="Arial" w:eastAsia="Arial" w:hint="default"/>
        </w:rPr>
        <w:t>(9)</w:t>
      </w:r>
      <w:r>
        <w:rPr>
          <w:rFonts w:ascii="Arial" w:hAnsi="Arial" w:cs="Arial" w:eastAsia="Arial" w:hint="default"/>
          <w:spacing w:val="43"/>
        </w:rPr>
        <w:t> </w:t>
      </w:r>
      <w:r>
        <w:rPr>
          <w:spacing w:val="-3"/>
        </w:rPr>
        <w:t>中讯设计院和规划设计院进行公司制改建时确认了相关资产的评估增值，并按评估值作为基础计</w:t>
      </w:r>
      <w:r>
        <w:rPr>
          <w:spacing w:val="-108"/>
        </w:rPr>
        <w:t> </w:t>
      </w:r>
      <w:r>
        <w:rPr>
          <w:spacing w:val="-108"/>
        </w:rPr>
      </w:r>
      <w:r>
        <w:rPr>
          <w:spacing w:val="-3"/>
        </w:rPr>
        <w:t>提折旧及摊销；而根据所得税法规定，中讯设计院和规划设计院仍按原计税基础，即资产以历史</w:t>
      </w:r>
      <w:r>
        <w:rPr>
          <w:w w:val="100"/>
        </w:rPr>
        <w:t> </w:t>
      </w:r>
      <w:r>
        <w:rPr>
          <w:spacing w:val="-3"/>
        </w:rPr>
        <w:t>成本为计税基础并按历史成本计提折旧和摊销并计算应交所得税，因此资产评估增值的所得税影</w:t>
      </w:r>
      <w:r>
        <w:rPr>
          <w:w w:val="100"/>
        </w:rPr>
        <w:t> </w:t>
      </w:r>
      <w:r>
        <w:rPr/>
        <w:t>响被确认为递延所得税负债。</w:t>
      </w:r>
    </w:p>
    <w:p>
      <w:pPr>
        <w:spacing w:line="240" w:lineRule="auto" w:before="9"/>
        <w:rPr>
          <w:rFonts w:ascii="宋体" w:hAnsi="宋体" w:cs="宋体" w:eastAsia="宋体" w:hint="default"/>
          <w:sz w:val="19"/>
          <w:szCs w:val="19"/>
        </w:rPr>
      </w:pPr>
    </w:p>
    <w:p>
      <w:pPr>
        <w:pStyle w:val="BodyText"/>
        <w:spacing w:line="232" w:lineRule="auto"/>
        <w:ind w:left="645" w:right="227" w:hanging="447"/>
        <w:jc w:val="both"/>
      </w:pPr>
      <w:r>
        <w:rPr>
          <w:rFonts w:ascii="Arial" w:hAnsi="Arial" w:cs="Arial" w:eastAsia="Arial" w:hint="default"/>
        </w:rPr>
        <w:t>(10) </w:t>
      </w:r>
      <w:r>
        <w:rPr>
          <w:spacing w:val="-3"/>
        </w:rPr>
        <w:t>按照企业会计准则要求，本集团每一会计期间会确认本集团持有的其他权益工具投资的公允价值</w:t>
      </w:r>
      <w:r>
        <w:rPr>
          <w:spacing w:val="-60"/>
        </w:rPr>
        <w:t> </w:t>
      </w:r>
      <w:r>
        <w:rPr>
          <w:spacing w:val="-60"/>
        </w:rPr>
      </w:r>
      <w:r>
        <w:rPr>
          <w:spacing w:val="-3"/>
        </w:rPr>
        <w:t>的变动并计入其他综合收益。在本集团持有该等其他权益工具投资期间不计入应纳税所得额，而</w:t>
      </w:r>
      <w:r>
        <w:rPr>
          <w:w w:val="100"/>
        </w:rPr>
        <w:t> </w:t>
      </w:r>
      <w:r>
        <w:rPr>
          <w:spacing w:val="-3"/>
        </w:rPr>
        <w:t>实际处置或出售该等其他权益工具投资时产生的收益或损失将计入当期应纳税所得额，由此产生</w:t>
      </w:r>
      <w:r>
        <w:rPr>
          <w:w w:val="100"/>
        </w:rPr>
        <w:t> </w:t>
      </w:r>
      <w:r>
        <w:rPr/>
        <w:t>的暂时性差异的所得税影响被确认为递延所得税负债（对收益）或递延所得税资产（对损失）。</w:t>
      </w:r>
    </w:p>
    <w:p>
      <w:pPr>
        <w:spacing w:line="240" w:lineRule="auto" w:before="2"/>
        <w:rPr>
          <w:rFonts w:ascii="宋体" w:hAnsi="宋体" w:cs="宋体" w:eastAsia="宋体" w:hint="default"/>
          <w:sz w:val="21"/>
          <w:szCs w:val="21"/>
        </w:rPr>
      </w:pPr>
    </w:p>
    <w:p>
      <w:pPr>
        <w:pStyle w:val="BodyText"/>
        <w:spacing w:line="288" w:lineRule="exact"/>
        <w:ind w:left="660" w:right="332" w:hanging="452"/>
        <w:jc w:val="both"/>
      </w:pPr>
      <w:r>
        <w:rPr>
          <w:rFonts w:ascii="Arial" w:hAnsi="Arial" w:cs="Arial" w:eastAsia="Arial" w:hint="default"/>
        </w:rPr>
        <w:t>(11)</w:t>
      </w:r>
      <w:r>
        <w:rPr>
          <w:rFonts w:ascii="Arial" w:hAnsi="Arial" w:cs="Arial" w:eastAsia="Arial" w:hint="default"/>
          <w:spacing w:val="30"/>
        </w:rPr>
        <w:t> </w:t>
      </w:r>
      <w:r>
        <w:rPr>
          <w:spacing w:val="-3"/>
        </w:rPr>
        <w:t>由于出售铁塔资产未实现利润中按持股比例占有部分构成会计与税务上的暂时性差异，其所得税</w:t>
      </w:r>
      <w:r>
        <w:rPr>
          <w:spacing w:val="-106"/>
        </w:rPr>
        <w:t> </w:t>
      </w:r>
      <w:r>
        <w:rPr>
          <w:spacing w:val="-106"/>
        </w:rPr>
      </w:r>
      <w:r>
        <w:rPr/>
        <w:t>影响确认递延所得税资产。</w:t>
      </w:r>
    </w:p>
    <w:p>
      <w:pPr>
        <w:spacing w:after="0" w:line="288" w:lineRule="exact"/>
        <w:jc w:val="both"/>
        <w:sectPr>
          <w:headerReference w:type="default" r:id="rId202"/>
          <w:pgSz w:w="11910" w:h="16840"/>
          <w:pgMar w:header="1188" w:footer="502" w:top="3040" w:bottom="700" w:left="1020" w:right="740"/>
        </w:sectPr>
      </w:pPr>
    </w:p>
    <w:p>
      <w:pPr>
        <w:spacing w:line="240" w:lineRule="auto" w:before="7"/>
        <w:rPr>
          <w:rFonts w:ascii="宋体" w:hAnsi="宋体" w:cs="宋体" w:eastAsia="宋体" w:hint="default"/>
          <w:sz w:val="16"/>
          <w:szCs w:val="16"/>
        </w:rPr>
      </w:pPr>
    </w:p>
    <w:p>
      <w:pPr>
        <w:pStyle w:val="BodyText"/>
        <w:spacing w:line="240" w:lineRule="auto" w:before="32"/>
        <w:ind w:left="112" w:right="104"/>
        <w:jc w:val="left"/>
      </w:pPr>
      <w:r>
        <w:rPr>
          <w:rFonts w:ascii="Arial" w:hAnsi="Arial" w:cs="Arial" w:eastAsia="Arial" w:hint="default"/>
        </w:rPr>
        <w:t>49</w:t>
      </w:r>
      <w:r>
        <w:rPr/>
        <w:t>、所得税（续）</w:t>
      </w:r>
    </w:p>
    <w:p>
      <w:pPr>
        <w:spacing w:line="240" w:lineRule="auto" w:before="11"/>
        <w:rPr>
          <w:rFonts w:ascii="宋体" w:hAnsi="宋体" w:cs="宋体" w:eastAsia="宋体" w:hint="default"/>
          <w:sz w:val="17"/>
          <w:szCs w:val="17"/>
        </w:rPr>
      </w:pPr>
    </w:p>
    <w:p>
      <w:pPr>
        <w:pStyle w:val="BodyText"/>
        <w:spacing w:line="240" w:lineRule="auto"/>
        <w:ind w:left="112" w:right="104"/>
        <w:jc w:val="left"/>
      </w:pPr>
      <w:r>
        <w:rPr>
          <w:rFonts w:ascii="Arial" w:hAnsi="Arial" w:cs="Arial" w:eastAsia="Arial" w:hint="default"/>
        </w:rPr>
        <w:t>(c) </w:t>
      </w:r>
      <w:r>
        <w:rPr>
          <w:rFonts w:ascii="Arial" w:hAnsi="Arial" w:cs="Arial" w:eastAsia="Arial" w:hint="default"/>
          <w:spacing w:val="42"/>
        </w:rPr>
        <w:t> </w:t>
      </w:r>
      <w:r>
        <w:rPr/>
        <w:t>递延所得税资产及负债包括以下暂时性差异对所得税的影响（续）：</w:t>
      </w:r>
    </w:p>
    <w:p>
      <w:pPr>
        <w:spacing w:line="240" w:lineRule="auto" w:before="3"/>
        <w:rPr>
          <w:rFonts w:ascii="宋体" w:hAnsi="宋体" w:cs="宋体" w:eastAsia="宋体" w:hint="default"/>
          <w:sz w:val="18"/>
          <w:szCs w:val="18"/>
        </w:rPr>
      </w:pPr>
    </w:p>
    <w:p>
      <w:pPr>
        <w:pStyle w:val="BodyText"/>
        <w:spacing w:line="240" w:lineRule="auto"/>
        <w:ind w:left="112" w:right="104"/>
        <w:jc w:val="left"/>
      </w:pPr>
      <w:r>
        <w:rPr>
          <w:rFonts w:ascii="Arial" w:hAnsi="Arial" w:cs="Arial" w:eastAsia="Arial" w:hint="default"/>
        </w:rPr>
        <w:t>(ii) </w:t>
      </w:r>
      <w:r>
        <w:rPr>
          <w:rFonts w:ascii="Arial" w:hAnsi="Arial" w:cs="Arial" w:eastAsia="Arial" w:hint="default"/>
          <w:spacing w:val="52"/>
        </w:rPr>
        <w:t> </w:t>
      </w:r>
      <w:r>
        <w:rPr/>
        <w:t>注释（续）</w:t>
      </w:r>
    </w:p>
    <w:p>
      <w:pPr>
        <w:spacing w:line="240" w:lineRule="auto" w:before="2"/>
        <w:rPr>
          <w:rFonts w:ascii="宋体" w:hAnsi="宋体" w:cs="宋体" w:eastAsia="宋体" w:hint="default"/>
          <w:sz w:val="20"/>
          <w:szCs w:val="20"/>
        </w:rPr>
      </w:pPr>
    </w:p>
    <w:p>
      <w:pPr>
        <w:pStyle w:val="BodyText"/>
        <w:spacing w:line="284" w:lineRule="exact"/>
        <w:ind w:left="573" w:right="113" w:hanging="447"/>
        <w:jc w:val="both"/>
      </w:pPr>
      <w:r>
        <w:rPr>
          <w:rFonts w:ascii="Arial" w:hAnsi="Arial" w:cs="Arial" w:eastAsia="Arial" w:hint="default"/>
        </w:rPr>
        <w:t>(12)</w:t>
      </w:r>
      <w:r>
        <w:rPr>
          <w:rFonts w:ascii="Arial" w:hAnsi="Arial" w:cs="Arial" w:eastAsia="Arial" w:hint="default"/>
          <w:spacing w:val="-9"/>
        </w:rPr>
        <w:t> </w:t>
      </w:r>
      <w:r>
        <w:rPr/>
        <w:t>本集团部分软件的摊销年限在会计与税务上存在差异，此暂时性差异的所得税影响确认递延所得</w:t>
      </w:r>
      <w:r>
        <w:rPr>
          <w:w w:val="100"/>
        </w:rPr>
        <w:t> </w:t>
      </w:r>
      <w:r>
        <w:rPr/>
        <w:t>税资产。</w:t>
      </w:r>
    </w:p>
    <w:p>
      <w:pPr>
        <w:spacing w:line="240" w:lineRule="auto" w:before="11"/>
        <w:rPr>
          <w:rFonts w:ascii="宋体" w:hAnsi="宋体" w:cs="宋体" w:eastAsia="宋体" w:hint="default"/>
          <w:sz w:val="17"/>
          <w:szCs w:val="17"/>
        </w:rPr>
      </w:pPr>
    </w:p>
    <w:p>
      <w:pPr>
        <w:pStyle w:val="BodyText"/>
        <w:spacing w:line="230" w:lineRule="auto"/>
        <w:ind w:left="573" w:right="113" w:hanging="447"/>
        <w:jc w:val="both"/>
      </w:pPr>
      <w:r>
        <w:rPr>
          <w:rFonts w:ascii="Arial" w:hAnsi="Arial" w:cs="Arial" w:eastAsia="Arial" w:hint="default"/>
        </w:rPr>
        <w:t>(13) </w:t>
      </w:r>
      <w:r>
        <w:rPr/>
        <w:t>本集团于 </w:t>
      </w:r>
      <w:r>
        <w:rPr>
          <w:rFonts w:ascii="Arial" w:hAnsi="Arial" w:cs="Arial" w:eastAsia="Arial" w:hint="default"/>
        </w:rPr>
        <w:t>2014</w:t>
      </w:r>
      <w:r>
        <w:rPr>
          <w:rFonts w:ascii="Arial" w:hAnsi="Arial" w:cs="Arial" w:eastAsia="Arial" w:hint="default"/>
          <w:spacing w:val="-11"/>
        </w:rPr>
        <w:t> </w:t>
      </w:r>
      <w:r>
        <w:rPr/>
        <w:t>年起，根据财政部、国家税务总局《关于完善固定资产加速折旧企业所得税政策</w:t>
      </w:r>
      <w:r>
        <w:rPr>
          <w:w w:val="100"/>
        </w:rPr>
        <w:t> </w:t>
      </w:r>
      <w:r>
        <w:rPr>
          <w:spacing w:val="-2"/>
        </w:rPr>
        <w:t>的通知》（“财税</w:t>
      </w:r>
      <w:r>
        <w:rPr>
          <w:rFonts w:ascii="Arial" w:hAnsi="Arial" w:cs="Arial" w:eastAsia="Arial" w:hint="default"/>
          <w:spacing w:val="-2"/>
        </w:rPr>
        <w:t>[2014]75</w:t>
      </w:r>
      <w:r>
        <w:rPr>
          <w:rFonts w:ascii="Arial" w:hAnsi="Arial" w:cs="Arial" w:eastAsia="Arial" w:hint="default"/>
          <w:spacing w:val="42"/>
        </w:rPr>
        <w:t> </w:t>
      </w:r>
      <w:r>
        <w:rPr>
          <w:spacing w:val="-2"/>
        </w:rPr>
        <w:t>号”）文件规定，对符合规定的固定资产按照缩短折旧年限方法计算</w:t>
      </w:r>
      <w:r>
        <w:rPr>
          <w:w w:val="100"/>
        </w:rPr>
        <w:t> </w:t>
      </w:r>
      <w:r>
        <w:rPr>
          <w:spacing w:val="-1"/>
        </w:rPr>
        <w:t>折旧或一次性计入当期成本费用，在计算应纳税所得额时扣除，税法与会计上折旧年限区别构成</w:t>
      </w:r>
      <w:r>
        <w:rPr>
          <w:w w:val="100"/>
        </w:rPr>
        <w:t> </w:t>
      </w:r>
      <w:r>
        <w:rPr/>
        <w:t>暂时性差异，其所得税影响确认为递延所得税负债。</w:t>
      </w:r>
    </w:p>
    <w:p>
      <w:pPr>
        <w:spacing w:line="240" w:lineRule="auto" w:before="6"/>
        <w:rPr>
          <w:rFonts w:ascii="宋体" w:hAnsi="宋体" w:cs="宋体" w:eastAsia="宋体" w:hint="default"/>
          <w:sz w:val="21"/>
          <w:szCs w:val="21"/>
        </w:rPr>
      </w:pPr>
    </w:p>
    <w:p>
      <w:pPr>
        <w:pStyle w:val="BodyText"/>
        <w:spacing w:line="284" w:lineRule="exact"/>
        <w:ind w:left="602" w:right="108" w:hanging="461"/>
        <w:jc w:val="both"/>
      </w:pPr>
      <w:r>
        <w:rPr>
          <w:rFonts w:ascii="Arial" w:hAnsi="Arial" w:cs="Arial" w:eastAsia="Arial" w:hint="default"/>
        </w:rPr>
        <w:t>(14) </w:t>
      </w:r>
      <w:r>
        <w:rPr/>
        <w:t>于 </w:t>
      </w:r>
      <w:r>
        <w:rPr>
          <w:rFonts w:ascii="Arial" w:hAnsi="Arial" w:cs="Arial" w:eastAsia="Arial" w:hint="default"/>
        </w:rPr>
        <w:t>2015 </w:t>
      </w:r>
      <w:r>
        <w:rPr/>
        <w:t>年 </w:t>
      </w:r>
      <w:r>
        <w:rPr>
          <w:rFonts w:ascii="Arial" w:hAnsi="Arial" w:cs="Arial" w:eastAsia="Arial" w:hint="default"/>
        </w:rPr>
        <w:t>10 </w:t>
      </w:r>
      <w:r>
        <w:rPr/>
        <w:t>月 </w:t>
      </w:r>
      <w:r>
        <w:rPr>
          <w:rFonts w:ascii="Arial" w:hAnsi="Arial" w:cs="Arial" w:eastAsia="Arial" w:hint="default"/>
        </w:rPr>
        <w:t>14</w:t>
      </w:r>
      <w:r>
        <w:rPr>
          <w:rFonts w:ascii="Arial" w:hAnsi="Arial" w:cs="Arial" w:eastAsia="Arial" w:hint="default"/>
          <w:spacing w:val="27"/>
        </w:rPr>
        <w:t> </w:t>
      </w:r>
      <w:r>
        <w:rPr/>
        <w:t>日，本集团向铁塔公司出售铁塔资产以换取铁塔公司发行的股份及现金对</w:t>
      </w:r>
      <w:r>
        <w:rPr>
          <w:w w:val="100"/>
        </w:rPr>
        <w:t> </w:t>
      </w:r>
      <w:r>
        <w:rPr>
          <w:spacing w:val="-2"/>
        </w:rPr>
        <w:t>价。根据国家税务总局相关规定，通过出售铁塔资产向铁塔公司投资而确认的铁塔资产转让所得</w:t>
      </w:r>
    </w:p>
    <w:p>
      <w:pPr>
        <w:pStyle w:val="BodyText"/>
        <w:spacing w:line="284" w:lineRule="exact" w:before="4"/>
        <w:ind w:left="602" w:right="104"/>
        <w:jc w:val="left"/>
      </w:pPr>
      <w:r>
        <w:rPr>
          <w:spacing w:val="-3"/>
        </w:rPr>
        <w:t>（“转让所得”），在向主管税务局完成申报后，可在不超过</w:t>
      </w:r>
      <w:r>
        <w:rPr>
          <w:spacing w:val="-41"/>
        </w:rPr>
        <w:t> </w:t>
      </w:r>
      <w:r>
        <w:rPr>
          <w:rFonts w:ascii="Arial" w:hAnsi="Arial" w:cs="Arial" w:eastAsia="Arial" w:hint="default"/>
        </w:rPr>
        <w:t>5</w:t>
      </w:r>
      <w:r>
        <w:rPr>
          <w:rFonts w:ascii="Arial" w:hAnsi="Arial" w:cs="Arial" w:eastAsia="Arial" w:hint="default"/>
          <w:spacing w:val="11"/>
        </w:rPr>
        <w:t> </w:t>
      </w:r>
      <w:r>
        <w:rPr/>
        <w:t>年期限内，分期均匀计入相应年</w:t>
      </w:r>
      <w:r>
        <w:rPr>
          <w:spacing w:val="-108"/>
        </w:rPr>
        <w:t> </w:t>
      </w:r>
      <w:r>
        <w:rPr>
          <w:spacing w:val="-108"/>
        </w:rPr>
      </w:r>
      <w:r>
        <w:rPr>
          <w:spacing w:val="-2"/>
        </w:rPr>
        <w:t>度的应纳税所得额，按规定计算缴纳企业所得税。在完成申报以前，本集团就全部转让所得计提</w:t>
      </w:r>
    </w:p>
    <w:p>
      <w:pPr>
        <w:pStyle w:val="BodyText"/>
        <w:spacing w:line="268" w:lineRule="exact"/>
        <w:ind w:left="602" w:right="0"/>
        <w:jc w:val="left"/>
      </w:pPr>
      <w:r>
        <w:rPr/>
        <w:t>了应交所得税。于</w:t>
      </w:r>
      <w:r>
        <w:rPr>
          <w:spacing w:val="-61"/>
        </w:rPr>
        <w:t> </w:t>
      </w:r>
      <w:r>
        <w:rPr>
          <w:rFonts w:ascii="Arial" w:hAnsi="Arial" w:cs="Arial" w:eastAsia="Arial" w:hint="default"/>
        </w:rPr>
        <w:t>2016</w:t>
      </w:r>
      <w:r>
        <w:rPr>
          <w:rFonts w:ascii="Arial" w:hAnsi="Arial" w:cs="Arial" w:eastAsia="Arial" w:hint="default"/>
          <w:spacing w:val="-10"/>
        </w:rPr>
        <w:t> </w:t>
      </w:r>
      <w:r>
        <w:rPr/>
        <w:t>年</w:t>
      </w:r>
      <w:r>
        <w:rPr>
          <w:spacing w:val="-61"/>
        </w:rPr>
        <w:t> </w:t>
      </w:r>
      <w:r>
        <w:rPr>
          <w:rFonts w:ascii="Arial" w:hAnsi="Arial" w:cs="Arial" w:eastAsia="Arial" w:hint="default"/>
        </w:rPr>
        <w:t>12</w:t>
      </w:r>
      <w:r>
        <w:rPr>
          <w:rFonts w:ascii="Arial" w:hAnsi="Arial" w:cs="Arial" w:eastAsia="Arial" w:hint="default"/>
          <w:spacing w:val="-10"/>
        </w:rPr>
        <w:t> </w:t>
      </w:r>
      <w:r>
        <w:rPr/>
        <w:t>月</w:t>
      </w:r>
      <w:r>
        <w:rPr>
          <w:spacing w:val="-61"/>
        </w:rPr>
        <w:t> </w:t>
      </w:r>
      <w:r>
        <w:rPr>
          <w:rFonts w:ascii="Arial" w:hAnsi="Arial" w:cs="Arial" w:eastAsia="Arial" w:hint="default"/>
        </w:rPr>
        <w:t>31</w:t>
      </w:r>
      <w:r>
        <w:rPr>
          <w:rFonts w:ascii="Arial" w:hAnsi="Arial" w:cs="Arial" w:eastAsia="Arial" w:hint="default"/>
          <w:spacing w:val="-10"/>
        </w:rPr>
        <w:t> </w:t>
      </w:r>
      <w:r>
        <w:rPr/>
        <w:t>日前，本集团在主管税务局完成了转让所得的申报，并将应</w:t>
      </w:r>
    </w:p>
    <w:p>
      <w:pPr>
        <w:pStyle w:val="BodyText"/>
        <w:spacing w:line="293" w:lineRule="exact"/>
        <w:ind w:left="602" w:right="104"/>
        <w:jc w:val="left"/>
      </w:pPr>
      <w:r>
        <w:rPr/>
        <w:t>交所得税剩余部分予以递延，在</w:t>
      </w:r>
      <w:r>
        <w:rPr>
          <w:spacing w:val="-55"/>
        </w:rPr>
        <w:t> </w:t>
      </w:r>
      <w:r>
        <w:rPr>
          <w:rFonts w:ascii="Arial" w:hAnsi="Arial" w:cs="Arial" w:eastAsia="Arial" w:hint="default"/>
        </w:rPr>
        <w:t>2016</w:t>
      </w:r>
      <w:r>
        <w:rPr>
          <w:rFonts w:ascii="Arial" w:hAnsi="Arial" w:cs="Arial" w:eastAsia="Arial" w:hint="default"/>
          <w:spacing w:val="-3"/>
        </w:rPr>
        <w:t> </w:t>
      </w:r>
      <w:r>
        <w:rPr/>
        <w:t>年至</w:t>
      </w:r>
      <w:r>
        <w:rPr>
          <w:spacing w:val="-55"/>
        </w:rPr>
        <w:t> </w:t>
      </w:r>
      <w:r>
        <w:rPr>
          <w:rFonts w:ascii="Arial" w:hAnsi="Arial" w:cs="Arial" w:eastAsia="Arial" w:hint="default"/>
        </w:rPr>
        <w:t>2019</w:t>
      </w:r>
      <w:r>
        <w:rPr>
          <w:rFonts w:ascii="Arial" w:hAnsi="Arial" w:cs="Arial" w:eastAsia="Arial" w:hint="default"/>
          <w:spacing w:val="-8"/>
        </w:rPr>
        <w:t> </w:t>
      </w:r>
      <w:r>
        <w:rPr/>
        <w:t>年内均匀转回。</w:t>
      </w:r>
    </w:p>
    <w:p>
      <w:pPr>
        <w:spacing w:line="240" w:lineRule="auto" w:before="12"/>
        <w:rPr>
          <w:rFonts w:ascii="宋体" w:hAnsi="宋体" w:cs="宋体" w:eastAsia="宋体" w:hint="default"/>
          <w:sz w:val="19"/>
          <w:szCs w:val="19"/>
        </w:rPr>
      </w:pPr>
    </w:p>
    <w:p>
      <w:pPr>
        <w:pStyle w:val="BodyText"/>
        <w:spacing w:line="288" w:lineRule="exact"/>
        <w:ind w:left="631" w:right="113" w:hanging="461"/>
        <w:jc w:val="both"/>
      </w:pPr>
      <w:r>
        <w:rPr>
          <w:rFonts w:ascii="Arial" w:hAnsi="Arial" w:cs="Arial" w:eastAsia="Arial" w:hint="default"/>
        </w:rPr>
        <w:t>(15) </w:t>
      </w:r>
      <w:r>
        <w:rPr>
          <w:spacing w:val="-3"/>
        </w:rPr>
        <w:t>指联通运营公司发生税务亏损而形成的可抵扣暂时性差异。本集团预计，联通运营公司在未来期</w:t>
      </w:r>
      <w:r>
        <w:rPr>
          <w:spacing w:val="-98"/>
        </w:rPr>
        <w:t> </w:t>
      </w:r>
      <w:r>
        <w:rPr>
          <w:spacing w:val="-98"/>
        </w:rPr>
      </w:r>
      <w:r>
        <w:rPr/>
        <w:t>间能够获得足够的应纳税所得额用以抵扣递延所得税资产的利益，由此确认递延所得税资产。</w:t>
      </w:r>
    </w:p>
    <w:p>
      <w:pPr>
        <w:spacing w:line="240" w:lineRule="auto" w:before="8"/>
        <w:rPr>
          <w:rFonts w:ascii="宋体" w:hAnsi="宋体" w:cs="宋体" w:eastAsia="宋体" w:hint="default"/>
          <w:sz w:val="17"/>
          <w:szCs w:val="17"/>
        </w:rPr>
      </w:pPr>
    </w:p>
    <w:p>
      <w:pPr>
        <w:pStyle w:val="BodyText"/>
        <w:spacing w:line="232" w:lineRule="auto"/>
        <w:ind w:left="645" w:right="108" w:hanging="423"/>
        <w:jc w:val="both"/>
      </w:pPr>
      <w:r>
        <w:rPr>
          <w:rFonts w:ascii="Arial" w:hAnsi="Arial" w:cs="Arial" w:eastAsia="Arial" w:hint="default"/>
        </w:rPr>
        <w:t>(16)</w:t>
      </w:r>
      <w:r>
        <w:rPr>
          <w:rFonts w:ascii="Arial" w:hAnsi="Arial" w:cs="Arial" w:eastAsia="Arial" w:hint="default"/>
          <w:spacing w:val="-33"/>
        </w:rPr>
        <w:t> </w:t>
      </w:r>
      <w:r>
        <w:rPr/>
        <w:t>如附注五</w:t>
      </w:r>
      <w:r>
        <w:rPr>
          <w:spacing w:val="-51"/>
        </w:rPr>
        <w:t> </w:t>
      </w:r>
      <w:r>
        <w:rPr>
          <w:rFonts w:ascii="Arial" w:hAnsi="Arial" w:cs="Arial" w:eastAsia="Arial" w:hint="default"/>
        </w:rPr>
        <w:t>16(a)</w:t>
      </w:r>
      <w:r>
        <w:rPr/>
        <w:t>所述，本集团将摊销期在</w:t>
      </w:r>
      <w:r>
        <w:rPr>
          <w:spacing w:val="-56"/>
        </w:rPr>
        <w:t> </w:t>
      </w:r>
      <w:r>
        <w:rPr>
          <w:rFonts w:ascii="Arial" w:hAnsi="Arial" w:cs="Arial" w:eastAsia="Arial" w:hint="default"/>
        </w:rPr>
        <w:t>1 </w:t>
      </w:r>
      <w:r>
        <w:rPr/>
        <w:t>年以上的支付给渠道商的增量佣金支出资本化，在对</w:t>
      </w:r>
      <w:r>
        <w:rPr>
          <w:w w:val="100"/>
        </w:rPr>
        <w:t> </w:t>
      </w:r>
      <w:r>
        <w:rPr>
          <w:spacing w:val="-3"/>
        </w:rPr>
        <w:t>应收入确认期摊销计入损益，而在税法上按支出时进行税务抵扣。该暂时性差异对于所得税的影</w:t>
      </w:r>
      <w:r>
        <w:rPr>
          <w:w w:val="100"/>
        </w:rPr>
        <w:t> </w:t>
      </w:r>
      <w:r>
        <w:rPr/>
        <w:t>响确认为递延所得税负债。</w:t>
      </w:r>
    </w:p>
    <w:p>
      <w:pPr>
        <w:spacing w:line="240" w:lineRule="auto" w:before="5"/>
        <w:rPr>
          <w:rFonts w:ascii="宋体" w:hAnsi="宋体" w:cs="宋体" w:eastAsia="宋体" w:hint="default"/>
          <w:sz w:val="21"/>
          <w:szCs w:val="21"/>
        </w:rPr>
      </w:pPr>
    </w:p>
    <w:p>
      <w:pPr>
        <w:pStyle w:val="BodyText"/>
        <w:spacing w:line="284" w:lineRule="exact"/>
        <w:ind w:left="659" w:right="104" w:hanging="466"/>
        <w:jc w:val="left"/>
      </w:pPr>
      <w:r>
        <w:rPr>
          <w:rFonts w:ascii="Arial" w:hAnsi="Arial" w:cs="Arial" w:eastAsia="Arial" w:hint="default"/>
        </w:rPr>
        <w:t>(17) </w:t>
      </w:r>
      <w:r>
        <w:rPr>
          <w:spacing w:val="-2"/>
        </w:rPr>
        <w:t>由于适用新租赁准则，本集团确认的使用权资产及租赁负债的账面价值与所得税法认可的计税</w:t>
      </w:r>
      <w:r>
        <w:rPr>
          <w:spacing w:val="-108"/>
        </w:rPr>
        <w:t> </w:t>
      </w:r>
      <w:r>
        <w:rPr>
          <w:spacing w:val="-108"/>
        </w:rPr>
      </w:r>
      <w:r>
        <w:rPr/>
        <w:t>基础存在差异，确认相关递延税影响。</w:t>
      </w:r>
    </w:p>
    <w:p>
      <w:pPr>
        <w:spacing w:line="240" w:lineRule="auto" w:before="1"/>
        <w:rPr>
          <w:rFonts w:ascii="宋体" w:hAnsi="宋体" w:cs="宋体" w:eastAsia="宋体" w:hint="default"/>
          <w:sz w:val="17"/>
          <w:szCs w:val="17"/>
        </w:rPr>
      </w:pPr>
    </w:p>
    <w:p>
      <w:pPr>
        <w:pStyle w:val="BodyText"/>
        <w:spacing w:line="240" w:lineRule="auto"/>
        <w:ind w:left="223" w:right="104"/>
        <w:jc w:val="left"/>
      </w:pPr>
      <w:r>
        <w:rPr>
          <w:rFonts w:ascii="Arial" w:hAnsi="Arial" w:cs="Arial" w:eastAsia="Arial" w:hint="default"/>
        </w:rPr>
        <w:t>(d) </w:t>
      </w:r>
      <w:r>
        <w:rPr>
          <w:rFonts w:ascii="Arial" w:hAnsi="Arial" w:cs="Arial" w:eastAsia="Arial" w:hint="default"/>
          <w:spacing w:val="60"/>
        </w:rPr>
        <w:t> </w:t>
      </w:r>
      <w:r>
        <w:rPr/>
        <w:t>本集团未确认递延所得税资产的可抵扣暂时性差异及可抵扣亏损分析如下：</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1"/>
          <w:szCs w:val="21"/>
        </w:rPr>
      </w:pPr>
    </w:p>
    <w:tbl>
      <w:tblPr>
        <w:tblW w:w="0" w:type="auto"/>
        <w:jc w:val="left"/>
        <w:tblInd w:w="469" w:type="dxa"/>
        <w:tblLayout w:type="fixed"/>
        <w:tblCellMar>
          <w:top w:w="0" w:type="dxa"/>
          <w:left w:w="0" w:type="dxa"/>
          <w:bottom w:w="0" w:type="dxa"/>
          <w:right w:w="0" w:type="dxa"/>
        </w:tblCellMar>
        <w:tblLook w:val="01E0"/>
      </w:tblPr>
      <w:tblGrid>
        <w:gridCol w:w="3320"/>
        <w:gridCol w:w="1378"/>
        <w:gridCol w:w="2002"/>
        <w:gridCol w:w="254"/>
        <w:gridCol w:w="2266"/>
      </w:tblGrid>
      <w:tr>
        <w:trPr>
          <w:trHeight w:val="262" w:hRule="exact"/>
        </w:trPr>
        <w:tc>
          <w:tcPr>
            <w:tcW w:w="6699" w:type="dxa"/>
            <w:gridSpan w:val="3"/>
            <w:tcBorders>
              <w:top w:val="nil" w:sz="6" w:space="0" w:color="auto"/>
              <w:left w:val="nil" w:sz="6" w:space="0" w:color="auto"/>
              <w:bottom w:val="nil" w:sz="6" w:space="0" w:color="auto"/>
              <w:right w:val="nil" w:sz="6" w:space="0" w:color="auto"/>
            </w:tcBorders>
          </w:tcPr>
          <w:p>
            <w:pPr>
              <w:pStyle w:val="TableParagraph"/>
              <w:spacing w:line="236" w:lineRule="exact"/>
              <w:ind w:right="41"/>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10"/>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Arial" w:hAnsi="Arial" w:cs="Arial" w:eastAsia="Arial" w:hint="default"/>
                <w:sz w:val="22"/>
                <w:szCs w:val="22"/>
              </w:rPr>
              <w:t>12</w:t>
            </w:r>
            <w:r>
              <w:rPr>
                <w:rFonts w:ascii="Arial" w:hAnsi="Arial" w:cs="Arial" w:eastAsia="Arial" w:hint="default"/>
                <w:spacing w:val="-10"/>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Arial" w:hAnsi="Arial" w:cs="Arial" w:eastAsia="Arial" w:hint="default"/>
                <w:sz w:val="22"/>
                <w:szCs w:val="22"/>
              </w:rPr>
              <w:t>31</w:t>
            </w:r>
            <w:r>
              <w:rPr>
                <w:rFonts w:ascii="Arial" w:hAnsi="Arial" w:cs="Arial" w:eastAsia="Arial" w:hint="default"/>
                <w:spacing w:val="-11"/>
                <w:sz w:val="22"/>
                <w:szCs w:val="22"/>
              </w:rPr>
              <w:t> </w:t>
            </w:r>
            <w:r>
              <w:rPr>
                <w:rFonts w:ascii="宋体" w:hAnsi="宋体" w:cs="宋体" w:eastAsia="宋体" w:hint="default"/>
                <w:sz w:val="22"/>
                <w:szCs w:val="22"/>
              </w:rPr>
              <w:t>日</w:t>
            </w:r>
          </w:p>
        </w:tc>
        <w:tc>
          <w:tcPr>
            <w:tcW w:w="254" w:type="dxa"/>
            <w:tcBorders>
              <w:top w:val="nil" w:sz="6" w:space="0" w:color="auto"/>
              <w:left w:val="nil" w:sz="6" w:space="0" w:color="auto"/>
              <w:bottom w:val="nil" w:sz="6" w:space="0" w:color="auto"/>
              <w:right w:val="nil" w:sz="6" w:space="0" w:color="auto"/>
            </w:tcBorders>
          </w:tcPr>
          <w:p>
            <w:pPr/>
          </w:p>
        </w:tc>
        <w:tc>
          <w:tcPr>
            <w:tcW w:w="2266" w:type="dxa"/>
            <w:tcBorders>
              <w:top w:val="nil" w:sz="6" w:space="0" w:color="auto"/>
              <w:left w:val="nil" w:sz="6" w:space="0" w:color="auto"/>
              <w:bottom w:val="single" w:sz="4" w:space="0" w:color="000000"/>
              <w:right w:val="nil" w:sz="6" w:space="0" w:color="auto"/>
            </w:tcBorders>
          </w:tcPr>
          <w:p>
            <w:pPr>
              <w:pStyle w:val="TableParagraph"/>
              <w:spacing w:line="236" w:lineRule="exact"/>
              <w:ind w:left="158"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11"/>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Arial" w:hAnsi="Arial" w:cs="Arial" w:eastAsia="Arial" w:hint="default"/>
                <w:sz w:val="22"/>
                <w:szCs w:val="22"/>
              </w:rPr>
              <w:t>12</w:t>
            </w:r>
            <w:r>
              <w:rPr>
                <w:rFonts w:ascii="Arial" w:hAnsi="Arial" w:cs="Arial" w:eastAsia="Arial" w:hint="default"/>
                <w:spacing w:val="-10"/>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Arial" w:hAnsi="Arial" w:cs="Arial" w:eastAsia="Arial" w:hint="default"/>
                <w:sz w:val="22"/>
                <w:szCs w:val="22"/>
              </w:rPr>
              <w:t>31</w:t>
            </w:r>
            <w:r>
              <w:rPr>
                <w:rFonts w:ascii="Arial" w:hAnsi="Arial" w:cs="Arial" w:eastAsia="Arial" w:hint="default"/>
                <w:spacing w:val="-11"/>
                <w:sz w:val="22"/>
                <w:szCs w:val="22"/>
              </w:rPr>
              <w:t> </w:t>
            </w:r>
            <w:r>
              <w:rPr>
                <w:rFonts w:ascii="宋体" w:hAnsi="宋体" w:cs="宋体" w:eastAsia="宋体" w:hint="default"/>
                <w:sz w:val="22"/>
                <w:szCs w:val="22"/>
              </w:rPr>
              <w:t>日</w:t>
            </w:r>
          </w:p>
        </w:tc>
      </w:tr>
      <w:tr>
        <w:trPr>
          <w:trHeight w:val="326"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61" w:lineRule="exact"/>
              <w:ind w:left="200" w:right="0"/>
              <w:jc w:val="left"/>
              <w:rPr>
                <w:rFonts w:ascii="宋体" w:hAnsi="宋体" w:cs="宋体" w:eastAsia="宋体" w:hint="default"/>
                <w:sz w:val="22"/>
                <w:szCs w:val="22"/>
              </w:rPr>
            </w:pPr>
            <w:r>
              <w:rPr>
                <w:rFonts w:ascii="宋体" w:hAnsi="宋体" w:cs="宋体" w:eastAsia="宋体" w:hint="default"/>
                <w:sz w:val="22"/>
                <w:szCs w:val="22"/>
              </w:rPr>
              <w:t>可抵扣暂时性差异</w:t>
            </w:r>
            <w:r>
              <w:rPr>
                <w:rFonts w:ascii="宋体" w:hAnsi="宋体" w:cs="宋体" w:eastAsia="宋体" w:hint="default"/>
                <w:sz w:val="22"/>
                <w:szCs w:val="22"/>
              </w:rPr>
              <w:t> </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7"/>
              <w:jc w:val="right"/>
              <w:rPr>
                <w:rFonts w:ascii="宋体" w:hAnsi="宋体" w:cs="宋体" w:eastAsia="宋体" w:hint="default"/>
                <w:sz w:val="22"/>
                <w:szCs w:val="22"/>
              </w:rPr>
            </w:pPr>
            <w:r>
              <w:rPr>
                <w:rFonts w:ascii="宋体"/>
                <w:w w:val="100"/>
                <w:sz w:val="22"/>
              </w:rPr>
              <w:t> </w:t>
            </w:r>
          </w:p>
        </w:tc>
        <w:tc>
          <w:tcPr>
            <w:tcW w:w="2002" w:type="dxa"/>
            <w:tcBorders>
              <w:top w:val="single" w:sz="4" w:space="0" w:color="000000"/>
              <w:left w:val="nil" w:sz="6" w:space="0" w:color="auto"/>
              <w:bottom w:val="nil" w:sz="6" w:space="0" w:color="auto"/>
              <w:right w:val="nil" w:sz="6" w:space="0" w:color="auto"/>
            </w:tcBorders>
          </w:tcPr>
          <w:p>
            <w:pPr>
              <w:pStyle w:val="TableParagraph"/>
              <w:spacing w:line="240" w:lineRule="auto" w:before="33"/>
              <w:ind w:right="105"/>
              <w:jc w:val="right"/>
              <w:rPr>
                <w:rFonts w:ascii="Arial" w:hAnsi="Arial" w:cs="Arial" w:eastAsia="Arial" w:hint="default"/>
                <w:sz w:val="22"/>
                <w:szCs w:val="22"/>
              </w:rPr>
            </w:pPr>
            <w:r>
              <w:rPr>
                <w:rFonts w:ascii="Arial"/>
                <w:spacing w:val="-1"/>
                <w:sz w:val="22"/>
              </w:rPr>
              <w:t>8,340,060,490</w:t>
            </w:r>
          </w:p>
        </w:tc>
        <w:tc>
          <w:tcPr>
            <w:tcW w:w="254" w:type="dxa"/>
            <w:tcBorders>
              <w:top w:val="nil" w:sz="6" w:space="0" w:color="auto"/>
              <w:left w:val="nil" w:sz="6" w:space="0" w:color="auto"/>
              <w:bottom w:val="nil" w:sz="6" w:space="0" w:color="auto"/>
              <w:right w:val="nil" w:sz="6" w:space="0" w:color="auto"/>
            </w:tcBorders>
          </w:tcPr>
          <w:p>
            <w:pPr/>
          </w:p>
        </w:tc>
        <w:tc>
          <w:tcPr>
            <w:tcW w:w="2266" w:type="dxa"/>
            <w:tcBorders>
              <w:top w:val="single" w:sz="4" w:space="0" w:color="000000"/>
              <w:left w:val="nil" w:sz="6" w:space="0" w:color="auto"/>
              <w:bottom w:val="nil" w:sz="6" w:space="0" w:color="auto"/>
              <w:right w:val="nil" w:sz="6" w:space="0" w:color="auto"/>
            </w:tcBorders>
          </w:tcPr>
          <w:p>
            <w:pPr>
              <w:pStyle w:val="TableParagraph"/>
              <w:spacing w:line="240" w:lineRule="auto" w:before="33"/>
              <w:ind w:right="105"/>
              <w:jc w:val="right"/>
              <w:rPr>
                <w:rFonts w:ascii="Arial" w:hAnsi="Arial" w:cs="Arial" w:eastAsia="Arial" w:hint="default"/>
                <w:sz w:val="22"/>
                <w:szCs w:val="22"/>
              </w:rPr>
            </w:pPr>
            <w:r>
              <w:rPr>
                <w:rFonts w:ascii="Arial"/>
                <w:spacing w:val="-1"/>
                <w:sz w:val="22"/>
              </w:rPr>
              <w:t>7,767,067,885</w:t>
            </w:r>
          </w:p>
        </w:tc>
      </w:tr>
      <w:tr>
        <w:trPr>
          <w:trHeight w:val="290"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23" w:lineRule="exact"/>
              <w:ind w:left="200" w:right="0"/>
              <w:jc w:val="left"/>
              <w:rPr>
                <w:rFonts w:ascii="宋体" w:hAnsi="宋体" w:cs="宋体" w:eastAsia="宋体" w:hint="default"/>
                <w:sz w:val="22"/>
                <w:szCs w:val="22"/>
              </w:rPr>
            </w:pPr>
            <w:r>
              <w:rPr>
                <w:rFonts w:ascii="宋体" w:hAnsi="宋体" w:cs="宋体" w:eastAsia="宋体" w:hint="default"/>
                <w:sz w:val="22"/>
                <w:szCs w:val="22"/>
              </w:rPr>
              <w:t>可抵扣亏损</w:t>
            </w:r>
            <w:r>
              <w:rPr>
                <w:rFonts w:ascii="宋体" w:hAnsi="宋体" w:cs="宋体" w:eastAsia="宋体" w:hint="default"/>
                <w:sz w:val="22"/>
                <w:szCs w:val="22"/>
              </w:rPr>
              <w:t> </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7"/>
              <w:jc w:val="right"/>
              <w:rPr>
                <w:rFonts w:ascii="宋体" w:hAnsi="宋体" w:cs="宋体" w:eastAsia="宋体" w:hint="default"/>
                <w:sz w:val="22"/>
                <w:szCs w:val="22"/>
              </w:rPr>
            </w:pPr>
            <w:r>
              <w:rPr>
                <w:rFonts w:ascii="宋体"/>
                <w:w w:val="100"/>
                <w:sz w:val="22"/>
              </w:rPr>
              <w:t> </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3"/>
              <w:jc w:val="right"/>
              <w:rPr>
                <w:rFonts w:ascii="Arial" w:hAnsi="Arial" w:cs="Arial" w:eastAsia="Arial" w:hint="default"/>
                <w:sz w:val="22"/>
                <w:szCs w:val="22"/>
              </w:rPr>
            </w:pPr>
            <w:r>
              <w:rPr>
                <w:rFonts w:ascii="Arial"/>
                <w:sz w:val="22"/>
              </w:rPr>
              <w:t>997,032,455</w:t>
            </w:r>
          </w:p>
        </w:tc>
        <w:tc>
          <w:tcPr>
            <w:tcW w:w="254" w:type="dxa"/>
            <w:tcBorders>
              <w:top w:val="nil" w:sz="6" w:space="0" w:color="auto"/>
              <w:left w:val="nil" w:sz="6" w:space="0" w:color="auto"/>
              <w:bottom w:val="nil" w:sz="6" w:space="0" w:color="auto"/>
              <w:right w:val="nil" w:sz="6" w:space="0" w:color="auto"/>
            </w:tcBorders>
          </w:tcPr>
          <w:p>
            <w:pP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5"/>
              <w:jc w:val="right"/>
              <w:rPr>
                <w:rFonts w:ascii="Arial" w:hAnsi="Arial" w:cs="Arial" w:eastAsia="Arial" w:hint="default"/>
                <w:sz w:val="22"/>
                <w:szCs w:val="22"/>
              </w:rPr>
            </w:pPr>
            <w:r>
              <w:rPr>
                <w:rFonts w:ascii="Arial"/>
                <w:spacing w:val="-1"/>
                <w:sz w:val="22"/>
              </w:rPr>
              <w:t>1,328,156,435</w:t>
            </w:r>
          </w:p>
        </w:tc>
      </w:tr>
    </w:tbl>
    <w:p>
      <w:pPr>
        <w:spacing w:after="0" w:line="240" w:lineRule="auto"/>
        <w:jc w:val="right"/>
        <w:rPr>
          <w:rFonts w:ascii="Arial" w:hAnsi="Arial" w:cs="Arial" w:eastAsia="Arial" w:hint="default"/>
          <w:sz w:val="22"/>
          <w:szCs w:val="22"/>
        </w:rPr>
        <w:sectPr>
          <w:pgSz w:w="11910" w:h="16840"/>
          <w:pgMar w:header="1188" w:footer="502" w:top="3040" w:bottom="700" w:left="1020" w:right="960"/>
        </w:sectPr>
      </w:pPr>
    </w:p>
    <w:p>
      <w:pPr>
        <w:spacing w:line="240" w:lineRule="auto" w:before="10"/>
        <w:rPr>
          <w:rFonts w:ascii="宋体" w:hAnsi="宋体" w:cs="宋体" w:eastAsia="宋体" w:hint="default"/>
          <w:sz w:val="15"/>
          <w:szCs w:val="15"/>
        </w:rPr>
      </w:pPr>
    </w:p>
    <w:p>
      <w:pPr>
        <w:pStyle w:val="BodyText"/>
        <w:spacing w:line="240" w:lineRule="auto" w:before="32"/>
        <w:ind w:left="127" w:right="0"/>
        <w:jc w:val="left"/>
      </w:pPr>
      <w:r>
        <w:rPr>
          <w:rFonts w:ascii="Arial" w:hAnsi="Arial" w:cs="Arial" w:eastAsia="Arial" w:hint="default"/>
        </w:rPr>
        <w:t>(e) </w:t>
      </w:r>
      <w:r>
        <w:rPr>
          <w:rFonts w:ascii="Arial" w:hAnsi="Arial" w:cs="Arial" w:eastAsia="Arial" w:hint="default"/>
          <w:spacing w:val="54"/>
        </w:rPr>
        <w:t> </w:t>
      </w:r>
      <w:r>
        <w:rPr/>
        <w:t>未确认递延所得税资产的可抵扣亏损将于以下年度到期：</w:t>
      </w:r>
    </w:p>
    <w:p>
      <w:pPr>
        <w:spacing w:line="240" w:lineRule="auto" w:before="6"/>
        <w:rPr>
          <w:rFonts w:ascii="宋体" w:hAnsi="宋体" w:cs="宋体" w:eastAsia="宋体" w:hint="default"/>
          <w:sz w:val="23"/>
          <w:szCs w:val="23"/>
        </w:rPr>
      </w:pPr>
    </w:p>
    <w:tbl>
      <w:tblPr>
        <w:tblW w:w="0" w:type="auto"/>
        <w:jc w:val="left"/>
        <w:tblInd w:w="349" w:type="dxa"/>
        <w:tblLayout w:type="fixed"/>
        <w:tblCellMar>
          <w:top w:w="0" w:type="dxa"/>
          <w:left w:w="0" w:type="dxa"/>
          <w:bottom w:w="0" w:type="dxa"/>
          <w:right w:w="0" w:type="dxa"/>
        </w:tblCellMar>
        <w:tblLook w:val="01E0"/>
      </w:tblPr>
      <w:tblGrid>
        <w:gridCol w:w="4957"/>
        <w:gridCol w:w="2069"/>
        <w:gridCol w:w="185"/>
        <w:gridCol w:w="2076"/>
      </w:tblGrid>
      <w:tr>
        <w:trPr>
          <w:trHeight w:val="259" w:hRule="exact"/>
        </w:trPr>
        <w:tc>
          <w:tcPr>
            <w:tcW w:w="4957" w:type="dxa"/>
            <w:tcBorders>
              <w:top w:val="nil" w:sz="6" w:space="0" w:color="auto"/>
              <w:left w:val="nil" w:sz="6" w:space="0" w:color="auto"/>
              <w:bottom w:val="nil" w:sz="6" w:space="0" w:color="auto"/>
              <w:right w:val="nil" w:sz="6" w:space="0" w:color="auto"/>
            </w:tcBorders>
          </w:tcPr>
          <w:p>
            <w:pPr/>
          </w:p>
        </w:tc>
        <w:tc>
          <w:tcPr>
            <w:tcW w:w="2069" w:type="dxa"/>
            <w:tcBorders>
              <w:top w:val="nil" w:sz="6" w:space="0" w:color="auto"/>
              <w:left w:val="nil" w:sz="6" w:space="0" w:color="auto"/>
              <w:bottom w:val="single" w:sz="6" w:space="0" w:color="000000"/>
              <w:right w:val="nil" w:sz="6" w:space="0" w:color="auto"/>
            </w:tcBorders>
          </w:tcPr>
          <w:p>
            <w:pPr>
              <w:pStyle w:val="TableParagraph"/>
              <w:spacing w:line="236" w:lineRule="exact"/>
              <w:ind w:left="72"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185" w:type="dxa"/>
            <w:tcBorders>
              <w:top w:val="nil" w:sz="6" w:space="0" w:color="auto"/>
              <w:left w:val="nil" w:sz="6" w:space="0" w:color="auto"/>
              <w:bottom w:val="nil" w:sz="6" w:space="0" w:color="auto"/>
              <w:right w:val="nil" w:sz="6" w:space="0" w:color="auto"/>
            </w:tcBorders>
          </w:tcPr>
          <w:p>
            <w:pPr/>
          </w:p>
        </w:tc>
        <w:tc>
          <w:tcPr>
            <w:tcW w:w="2076" w:type="dxa"/>
            <w:tcBorders>
              <w:top w:val="nil" w:sz="6" w:space="0" w:color="auto"/>
              <w:left w:val="nil" w:sz="6" w:space="0" w:color="auto"/>
              <w:bottom w:val="single" w:sz="6" w:space="0" w:color="000000"/>
              <w:right w:val="nil" w:sz="6" w:space="0" w:color="auto"/>
            </w:tcBorders>
          </w:tcPr>
          <w:p>
            <w:pPr>
              <w:pStyle w:val="TableParagraph"/>
              <w:spacing w:line="236" w:lineRule="exact"/>
              <w:ind w:left="69"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557" w:hRule="exact"/>
        </w:trPr>
        <w:tc>
          <w:tcPr>
            <w:tcW w:w="495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43"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3"/>
                <w:sz w:val="22"/>
                <w:szCs w:val="22"/>
              </w:rPr>
              <w:t> </w:t>
            </w:r>
            <w:r>
              <w:rPr>
                <w:rFonts w:ascii="宋体" w:hAnsi="宋体" w:cs="宋体" w:eastAsia="宋体" w:hint="default"/>
                <w:sz w:val="22"/>
                <w:szCs w:val="22"/>
              </w:rPr>
              <w:t>年度</w:t>
            </w:r>
          </w:p>
        </w:tc>
        <w:tc>
          <w:tcPr>
            <w:tcW w:w="2069"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21"/>
              <w:jc w:val="right"/>
              <w:rPr>
                <w:rFonts w:ascii="Arial" w:hAnsi="Arial" w:cs="Arial" w:eastAsia="Arial" w:hint="default"/>
                <w:sz w:val="22"/>
                <w:szCs w:val="22"/>
              </w:rPr>
            </w:pPr>
            <w:r>
              <w:rPr>
                <w:rFonts w:ascii="Arial"/>
                <w:w w:val="100"/>
                <w:sz w:val="22"/>
              </w:rPr>
              <w:t>-</w:t>
            </w:r>
          </w:p>
        </w:tc>
        <w:tc>
          <w:tcPr>
            <w:tcW w:w="185" w:type="dxa"/>
            <w:tcBorders>
              <w:top w:val="nil" w:sz="6" w:space="0" w:color="auto"/>
              <w:left w:val="nil" w:sz="6" w:space="0" w:color="auto"/>
              <w:bottom w:val="nil" w:sz="6" w:space="0" w:color="auto"/>
              <w:right w:val="nil" w:sz="6" w:space="0" w:color="auto"/>
            </w:tcBorders>
          </w:tcPr>
          <w:p>
            <w:pPr/>
          </w:p>
        </w:tc>
        <w:tc>
          <w:tcPr>
            <w:tcW w:w="2076"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20"/>
              <w:jc w:val="right"/>
              <w:rPr>
                <w:rFonts w:ascii="Arial" w:hAnsi="Arial" w:cs="Arial" w:eastAsia="Arial" w:hint="default"/>
                <w:sz w:val="22"/>
                <w:szCs w:val="22"/>
              </w:rPr>
            </w:pPr>
            <w:r>
              <w:rPr>
                <w:rFonts w:ascii="Arial"/>
                <w:spacing w:val="-1"/>
                <w:sz w:val="22"/>
              </w:rPr>
              <w:t>16,687,320</w:t>
            </w:r>
          </w:p>
        </w:tc>
      </w:tr>
      <w:tr>
        <w:trPr>
          <w:trHeight w:val="288" w:hRule="exact"/>
        </w:trPr>
        <w:tc>
          <w:tcPr>
            <w:tcW w:w="4957" w:type="dxa"/>
            <w:tcBorders>
              <w:top w:val="nil" w:sz="6" w:space="0" w:color="auto"/>
              <w:left w:val="nil" w:sz="6" w:space="0" w:color="auto"/>
              <w:bottom w:val="nil" w:sz="6" w:space="0" w:color="auto"/>
              <w:right w:val="nil" w:sz="6" w:space="0" w:color="auto"/>
            </w:tcBorders>
          </w:tcPr>
          <w:p>
            <w:pPr>
              <w:pStyle w:val="TableParagraph"/>
              <w:spacing w:line="255" w:lineRule="exact"/>
              <w:ind w:left="243" w:right="0"/>
              <w:jc w:val="left"/>
              <w:rPr>
                <w:rFonts w:ascii="宋体" w:hAnsi="宋体" w:cs="宋体" w:eastAsia="宋体" w:hint="default"/>
                <w:sz w:val="22"/>
                <w:szCs w:val="22"/>
              </w:rPr>
            </w:pPr>
            <w:r>
              <w:rPr>
                <w:rFonts w:ascii="Arial" w:hAnsi="Arial" w:cs="Arial" w:eastAsia="Arial" w:hint="default"/>
                <w:sz w:val="22"/>
                <w:szCs w:val="22"/>
              </w:rPr>
              <w:t>2020</w:t>
            </w:r>
            <w:r>
              <w:rPr>
                <w:rFonts w:ascii="Arial" w:hAnsi="Arial" w:cs="Arial" w:eastAsia="Arial" w:hint="default"/>
                <w:spacing w:val="-3"/>
                <w:sz w:val="22"/>
                <w:szCs w:val="22"/>
              </w:rPr>
              <w:t> </w:t>
            </w:r>
            <w:r>
              <w:rPr>
                <w:rFonts w:ascii="宋体" w:hAnsi="宋体" w:cs="宋体" w:eastAsia="宋体" w:hint="default"/>
                <w:sz w:val="22"/>
                <w:szCs w:val="22"/>
              </w:rPr>
              <w:t>年度</w:t>
            </w:r>
          </w:p>
        </w:tc>
        <w:tc>
          <w:tcPr>
            <w:tcW w:w="2069" w:type="dxa"/>
            <w:tcBorders>
              <w:top w:val="nil" w:sz="6" w:space="0" w:color="auto"/>
              <w:left w:val="nil" w:sz="6" w:space="0" w:color="auto"/>
              <w:bottom w:val="nil" w:sz="6" w:space="0" w:color="auto"/>
              <w:right w:val="nil" w:sz="6" w:space="0" w:color="auto"/>
            </w:tcBorders>
          </w:tcPr>
          <w:p>
            <w:pPr>
              <w:pStyle w:val="TableParagraph"/>
              <w:spacing w:line="240" w:lineRule="auto" w:before="21"/>
              <w:ind w:left="715" w:right="0"/>
              <w:jc w:val="left"/>
              <w:rPr>
                <w:rFonts w:ascii="Arial" w:hAnsi="Arial" w:cs="Arial" w:eastAsia="Arial" w:hint="default"/>
                <w:sz w:val="22"/>
                <w:szCs w:val="22"/>
              </w:rPr>
            </w:pPr>
            <w:r>
              <w:rPr>
                <w:rFonts w:ascii="Arial"/>
                <w:sz w:val="22"/>
              </w:rPr>
              <w:t>183,731,751</w:t>
            </w:r>
          </w:p>
        </w:tc>
        <w:tc>
          <w:tcPr>
            <w:tcW w:w="185" w:type="dxa"/>
            <w:tcBorders>
              <w:top w:val="nil" w:sz="6" w:space="0" w:color="auto"/>
              <w:left w:val="nil" w:sz="6" w:space="0" w:color="auto"/>
              <w:bottom w:val="nil" w:sz="6" w:space="0" w:color="auto"/>
              <w:right w:val="nil" w:sz="6" w:space="0" w:color="auto"/>
            </w:tcBorders>
          </w:tcPr>
          <w:p>
            <w:pP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23"/>
              <w:jc w:val="right"/>
              <w:rPr>
                <w:rFonts w:ascii="Arial" w:hAnsi="Arial" w:cs="Arial" w:eastAsia="Arial" w:hint="default"/>
                <w:sz w:val="22"/>
                <w:szCs w:val="22"/>
              </w:rPr>
            </w:pPr>
            <w:r>
              <w:rPr>
                <w:rFonts w:ascii="Arial"/>
                <w:sz w:val="22"/>
              </w:rPr>
              <w:t>357,197,239</w:t>
            </w:r>
          </w:p>
        </w:tc>
      </w:tr>
      <w:tr>
        <w:trPr>
          <w:trHeight w:val="283" w:hRule="exact"/>
        </w:trPr>
        <w:tc>
          <w:tcPr>
            <w:tcW w:w="4957" w:type="dxa"/>
            <w:tcBorders>
              <w:top w:val="nil" w:sz="6" w:space="0" w:color="auto"/>
              <w:left w:val="nil" w:sz="6" w:space="0" w:color="auto"/>
              <w:bottom w:val="nil" w:sz="6" w:space="0" w:color="auto"/>
              <w:right w:val="nil" w:sz="6" w:space="0" w:color="auto"/>
            </w:tcBorders>
          </w:tcPr>
          <w:p>
            <w:pPr>
              <w:pStyle w:val="TableParagraph"/>
              <w:spacing w:line="255" w:lineRule="exact"/>
              <w:ind w:left="243" w:right="0"/>
              <w:jc w:val="left"/>
              <w:rPr>
                <w:rFonts w:ascii="宋体" w:hAnsi="宋体" w:cs="宋体" w:eastAsia="宋体" w:hint="default"/>
                <w:sz w:val="22"/>
                <w:szCs w:val="22"/>
              </w:rPr>
            </w:pPr>
            <w:r>
              <w:rPr>
                <w:rFonts w:ascii="Arial" w:hAnsi="Arial" w:cs="Arial" w:eastAsia="Arial" w:hint="default"/>
                <w:sz w:val="22"/>
                <w:szCs w:val="22"/>
              </w:rPr>
              <w:t>2021</w:t>
            </w:r>
            <w:r>
              <w:rPr>
                <w:rFonts w:ascii="Arial" w:hAnsi="Arial" w:cs="Arial" w:eastAsia="Arial" w:hint="default"/>
                <w:spacing w:val="-3"/>
                <w:sz w:val="22"/>
                <w:szCs w:val="22"/>
              </w:rPr>
              <w:t> </w:t>
            </w:r>
            <w:r>
              <w:rPr>
                <w:rFonts w:ascii="宋体" w:hAnsi="宋体" w:cs="宋体" w:eastAsia="宋体" w:hint="default"/>
                <w:sz w:val="22"/>
                <w:szCs w:val="22"/>
              </w:rPr>
              <w:t>年度</w:t>
            </w:r>
          </w:p>
        </w:tc>
        <w:tc>
          <w:tcPr>
            <w:tcW w:w="206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715" w:right="0"/>
              <w:jc w:val="left"/>
              <w:rPr>
                <w:rFonts w:ascii="Arial" w:hAnsi="Arial" w:cs="Arial" w:eastAsia="Arial" w:hint="default"/>
                <w:sz w:val="22"/>
                <w:szCs w:val="22"/>
              </w:rPr>
            </w:pPr>
            <w:r>
              <w:rPr>
                <w:rFonts w:ascii="Arial"/>
                <w:sz w:val="22"/>
              </w:rPr>
              <w:t>514,757,239</w:t>
            </w:r>
          </w:p>
        </w:tc>
        <w:tc>
          <w:tcPr>
            <w:tcW w:w="185" w:type="dxa"/>
            <w:tcBorders>
              <w:top w:val="nil" w:sz="6" w:space="0" w:color="auto"/>
              <w:left w:val="nil" w:sz="6" w:space="0" w:color="auto"/>
              <w:bottom w:val="nil" w:sz="6" w:space="0" w:color="auto"/>
              <w:right w:val="nil" w:sz="6" w:space="0" w:color="auto"/>
            </w:tcBorders>
          </w:tcPr>
          <w:p>
            <w:pP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32"/>
              <w:jc w:val="right"/>
              <w:rPr>
                <w:rFonts w:ascii="Arial" w:hAnsi="Arial" w:cs="Arial" w:eastAsia="Arial" w:hint="default"/>
                <w:sz w:val="22"/>
                <w:szCs w:val="22"/>
              </w:rPr>
            </w:pPr>
            <w:r>
              <w:rPr>
                <w:rFonts w:ascii="Arial"/>
                <w:sz w:val="22"/>
              </w:rPr>
              <w:t>519,024,065</w:t>
            </w:r>
          </w:p>
        </w:tc>
      </w:tr>
      <w:tr>
        <w:trPr>
          <w:trHeight w:val="288" w:hRule="exact"/>
        </w:trPr>
        <w:tc>
          <w:tcPr>
            <w:tcW w:w="4957" w:type="dxa"/>
            <w:tcBorders>
              <w:top w:val="nil" w:sz="6" w:space="0" w:color="auto"/>
              <w:left w:val="nil" w:sz="6" w:space="0" w:color="auto"/>
              <w:bottom w:val="nil" w:sz="6" w:space="0" w:color="auto"/>
              <w:right w:val="nil" w:sz="6" w:space="0" w:color="auto"/>
            </w:tcBorders>
          </w:tcPr>
          <w:p>
            <w:pPr>
              <w:pStyle w:val="TableParagraph"/>
              <w:spacing w:line="255" w:lineRule="exact"/>
              <w:ind w:left="243" w:right="0"/>
              <w:jc w:val="left"/>
              <w:rPr>
                <w:rFonts w:ascii="宋体" w:hAnsi="宋体" w:cs="宋体" w:eastAsia="宋体" w:hint="default"/>
                <w:sz w:val="22"/>
                <w:szCs w:val="22"/>
              </w:rPr>
            </w:pPr>
            <w:r>
              <w:rPr>
                <w:rFonts w:ascii="Arial" w:hAnsi="Arial" w:cs="Arial" w:eastAsia="Arial" w:hint="default"/>
                <w:sz w:val="22"/>
                <w:szCs w:val="22"/>
              </w:rPr>
              <w:t>2022</w:t>
            </w:r>
            <w:r>
              <w:rPr>
                <w:rFonts w:ascii="Arial" w:hAnsi="Arial" w:cs="Arial" w:eastAsia="Arial" w:hint="default"/>
                <w:spacing w:val="-3"/>
                <w:sz w:val="22"/>
                <w:szCs w:val="22"/>
              </w:rPr>
              <w:t> </w:t>
            </w:r>
            <w:r>
              <w:rPr>
                <w:rFonts w:ascii="宋体" w:hAnsi="宋体" w:cs="宋体" w:eastAsia="宋体" w:hint="default"/>
                <w:sz w:val="22"/>
                <w:szCs w:val="22"/>
              </w:rPr>
              <w:t>年度</w:t>
            </w:r>
          </w:p>
        </w:tc>
        <w:tc>
          <w:tcPr>
            <w:tcW w:w="2069" w:type="dxa"/>
            <w:tcBorders>
              <w:top w:val="nil" w:sz="6" w:space="0" w:color="auto"/>
              <w:left w:val="nil" w:sz="6" w:space="0" w:color="auto"/>
              <w:bottom w:val="nil" w:sz="6" w:space="0" w:color="auto"/>
              <w:right w:val="nil" w:sz="6" w:space="0" w:color="auto"/>
            </w:tcBorders>
          </w:tcPr>
          <w:p>
            <w:pPr>
              <w:pStyle w:val="TableParagraph"/>
              <w:spacing w:line="240" w:lineRule="auto" w:before="21"/>
              <w:ind w:left="840" w:right="0"/>
              <w:jc w:val="left"/>
              <w:rPr>
                <w:rFonts w:ascii="Arial" w:hAnsi="Arial" w:cs="Arial" w:eastAsia="Arial" w:hint="default"/>
                <w:sz w:val="22"/>
                <w:szCs w:val="22"/>
              </w:rPr>
            </w:pPr>
            <w:r>
              <w:rPr>
                <w:rFonts w:ascii="Arial"/>
                <w:sz w:val="22"/>
              </w:rPr>
              <w:t>75,960,765</w:t>
            </w:r>
          </w:p>
        </w:tc>
        <w:tc>
          <w:tcPr>
            <w:tcW w:w="185" w:type="dxa"/>
            <w:tcBorders>
              <w:top w:val="nil" w:sz="6" w:space="0" w:color="auto"/>
              <w:left w:val="nil" w:sz="6" w:space="0" w:color="auto"/>
              <w:bottom w:val="nil" w:sz="6" w:space="0" w:color="auto"/>
              <w:right w:val="nil" w:sz="6" w:space="0" w:color="auto"/>
            </w:tcBorders>
          </w:tcPr>
          <w:p>
            <w:pP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32"/>
              <w:jc w:val="right"/>
              <w:rPr>
                <w:rFonts w:ascii="Arial" w:hAnsi="Arial" w:cs="Arial" w:eastAsia="Arial" w:hint="default"/>
                <w:sz w:val="22"/>
                <w:szCs w:val="22"/>
              </w:rPr>
            </w:pPr>
            <w:r>
              <w:rPr>
                <w:rFonts w:ascii="Arial"/>
                <w:sz w:val="22"/>
              </w:rPr>
              <w:t>330,661,885</w:t>
            </w:r>
          </w:p>
        </w:tc>
      </w:tr>
      <w:tr>
        <w:trPr>
          <w:trHeight w:val="283" w:hRule="exact"/>
        </w:trPr>
        <w:tc>
          <w:tcPr>
            <w:tcW w:w="4957" w:type="dxa"/>
            <w:tcBorders>
              <w:top w:val="nil" w:sz="6" w:space="0" w:color="auto"/>
              <w:left w:val="nil" w:sz="6" w:space="0" w:color="auto"/>
              <w:bottom w:val="nil" w:sz="6" w:space="0" w:color="auto"/>
              <w:right w:val="nil" w:sz="6" w:space="0" w:color="auto"/>
            </w:tcBorders>
          </w:tcPr>
          <w:p>
            <w:pPr>
              <w:pStyle w:val="TableParagraph"/>
              <w:spacing w:line="255" w:lineRule="exact"/>
              <w:ind w:left="243" w:right="0"/>
              <w:jc w:val="left"/>
              <w:rPr>
                <w:rFonts w:ascii="宋体" w:hAnsi="宋体" w:cs="宋体" w:eastAsia="宋体" w:hint="default"/>
                <w:sz w:val="22"/>
                <w:szCs w:val="22"/>
              </w:rPr>
            </w:pPr>
            <w:r>
              <w:rPr>
                <w:rFonts w:ascii="Arial" w:hAnsi="Arial" w:cs="Arial" w:eastAsia="Arial" w:hint="default"/>
                <w:sz w:val="22"/>
                <w:szCs w:val="22"/>
              </w:rPr>
              <w:t>2023</w:t>
            </w:r>
            <w:r>
              <w:rPr>
                <w:rFonts w:ascii="Arial" w:hAnsi="Arial" w:cs="Arial" w:eastAsia="Arial" w:hint="default"/>
                <w:spacing w:val="-3"/>
                <w:sz w:val="22"/>
                <w:szCs w:val="22"/>
              </w:rPr>
              <w:t> </w:t>
            </w:r>
            <w:r>
              <w:rPr>
                <w:rFonts w:ascii="宋体" w:hAnsi="宋体" w:cs="宋体" w:eastAsia="宋体" w:hint="default"/>
                <w:sz w:val="22"/>
                <w:szCs w:val="22"/>
              </w:rPr>
              <w:t>年度</w:t>
            </w:r>
          </w:p>
        </w:tc>
        <w:tc>
          <w:tcPr>
            <w:tcW w:w="206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840" w:right="0"/>
              <w:jc w:val="left"/>
              <w:rPr>
                <w:rFonts w:ascii="Arial" w:hAnsi="Arial" w:cs="Arial" w:eastAsia="Arial" w:hint="default"/>
                <w:sz w:val="22"/>
                <w:szCs w:val="22"/>
              </w:rPr>
            </w:pPr>
            <w:r>
              <w:rPr>
                <w:rFonts w:ascii="Arial"/>
                <w:sz w:val="22"/>
              </w:rPr>
              <w:t>34,096,506</w:t>
            </w:r>
          </w:p>
        </w:tc>
        <w:tc>
          <w:tcPr>
            <w:tcW w:w="185" w:type="dxa"/>
            <w:tcBorders>
              <w:top w:val="nil" w:sz="6" w:space="0" w:color="auto"/>
              <w:left w:val="nil" w:sz="6" w:space="0" w:color="auto"/>
              <w:bottom w:val="nil" w:sz="6" w:space="0" w:color="auto"/>
              <w:right w:val="nil" w:sz="6" w:space="0" w:color="auto"/>
            </w:tcBorders>
          </w:tcPr>
          <w:p>
            <w:pP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32"/>
              <w:jc w:val="right"/>
              <w:rPr>
                <w:rFonts w:ascii="Arial" w:hAnsi="Arial" w:cs="Arial" w:eastAsia="Arial" w:hint="default"/>
                <w:sz w:val="22"/>
                <w:szCs w:val="22"/>
              </w:rPr>
            </w:pPr>
            <w:r>
              <w:rPr>
                <w:rFonts w:ascii="Arial"/>
                <w:sz w:val="22"/>
              </w:rPr>
              <w:t>104,585,926</w:t>
            </w:r>
          </w:p>
        </w:tc>
      </w:tr>
      <w:tr>
        <w:trPr>
          <w:trHeight w:val="420" w:hRule="exact"/>
        </w:trPr>
        <w:tc>
          <w:tcPr>
            <w:tcW w:w="4957" w:type="dxa"/>
            <w:tcBorders>
              <w:top w:val="nil" w:sz="6" w:space="0" w:color="auto"/>
              <w:left w:val="nil" w:sz="6" w:space="0" w:color="auto"/>
              <w:bottom w:val="nil" w:sz="6" w:space="0" w:color="auto"/>
              <w:right w:val="nil" w:sz="6" w:space="0" w:color="auto"/>
            </w:tcBorders>
          </w:tcPr>
          <w:p>
            <w:pPr>
              <w:pStyle w:val="TableParagraph"/>
              <w:spacing w:line="255" w:lineRule="exact"/>
              <w:ind w:left="243" w:right="0"/>
              <w:jc w:val="left"/>
              <w:rPr>
                <w:rFonts w:ascii="宋体" w:hAnsi="宋体" w:cs="宋体" w:eastAsia="宋体" w:hint="default"/>
                <w:sz w:val="22"/>
                <w:szCs w:val="22"/>
              </w:rPr>
            </w:pPr>
            <w:r>
              <w:rPr>
                <w:rFonts w:ascii="Arial" w:hAnsi="Arial" w:cs="Arial" w:eastAsia="Arial" w:hint="default"/>
                <w:sz w:val="22"/>
                <w:szCs w:val="22"/>
              </w:rPr>
              <w:t>2024</w:t>
            </w:r>
            <w:r>
              <w:rPr>
                <w:rFonts w:ascii="Arial" w:hAnsi="Arial" w:cs="Arial" w:eastAsia="Arial" w:hint="default"/>
                <w:spacing w:val="-3"/>
                <w:sz w:val="22"/>
                <w:szCs w:val="22"/>
              </w:rPr>
              <w:t> </w:t>
            </w:r>
            <w:r>
              <w:rPr>
                <w:rFonts w:ascii="宋体" w:hAnsi="宋体" w:cs="宋体" w:eastAsia="宋体" w:hint="default"/>
                <w:sz w:val="22"/>
                <w:szCs w:val="22"/>
              </w:rPr>
              <w:t>年度</w:t>
            </w:r>
          </w:p>
        </w:tc>
        <w:tc>
          <w:tcPr>
            <w:tcW w:w="2069" w:type="dxa"/>
            <w:tcBorders>
              <w:top w:val="nil" w:sz="6" w:space="0" w:color="auto"/>
              <w:left w:val="nil" w:sz="6" w:space="0" w:color="auto"/>
              <w:bottom w:val="nil" w:sz="6" w:space="0" w:color="auto"/>
              <w:right w:val="nil" w:sz="6" w:space="0" w:color="auto"/>
            </w:tcBorders>
          </w:tcPr>
          <w:p>
            <w:pPr>
              <w:pStyle w:val="TableParagraph"/>
              <w:tabs>
                <w:tab w:pos="715" w:val="left" w:leader="none"/>
                <w:tab w:pos="2068" w:val="left" w:leader="none"/>
              </w:tabs>
              <w:spacing w:line="240" w:lineRule="auto" w:before="21"/>
              <w:ind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188,486,194</w:t>
              <w:tab/>
            </w:r>
            <w:r>
              <w:rPr>
                <w:rFonts w:ascii="Arial"/>
                <w:sz w:val="22"/>
              </w:rPr>
            </w:r>
          </w:p>
        </w:tc>
        <w:tc>
          <w:tcPr>
            <w:tcW w:w="185" w:type="dxa"/>
            <w:tcBorders>
              <w:top w:val="nil" w:sz="6" w:space="0" w:color="auto"/>
              <w:left w:val="nil" w:sz="6" w:space="0" w:color="auto"/>
              <w:bottom w:val="nil" w:sz="6" w:space="0" w:color="auto"/>
              <w:right w:val="nil" w:sz="6" w:space="0" w:color="auto"/>
            </w:tcBorders>
          </w:tcPr>
          <w:p>
            <w:pPr/>
          </w:p>
        </w:tc>
        <w:tc>
          <w:tcPr>
            <w:tcW w:w="2076" w:type="dxa"/>
            <w:tcBorders>
              <w:top w:val="nil" w:sz="6" w:space="0" w:color="auto"/>
              <w:left w:val="nil" w:sz="6" w:space="0" w:color="auto"/>
              <w:bottom w:val="nil" w:sz="6" w:space="0" w:color="auto"/>
              <w:right w:val="nil" w:sz="6" w:space="0" w:color="auto"/>
            </w:tcBorders>
          </w:tcPr>
          <w:p>
            <w:pPr>
              <w:pStyle w:val="TableParagraph"/>
              <w:tabs>
                <w:tab w:pos="1862" w:val="left" w:leader="none"/>
                <w:tab w:pos="2068"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tab/>
            </w:r>
            <w:r>
              <w:rPr>
                <w:rFonts w:ascii="Arial"/>
                <w:sz w:val="22"/>
              </w:rPr>
            </w:r>
          </w:p>
        </w:tc>
      </w:tr>
      <w:tr>
        <w:trPr>
          <w:trHeight w:val="429" w:hRule="exact"/>
        </w:trPr>
        <w:tc>
          <w:tcPr>
            <w:tcW w:w="4957"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069" w:type="dxa"/>
            <w:tcBorders>
              <w:top w:val="nil" w:sz="6" w:space="0" w:color="auto"/>
              <w:left w:val="nil" w:sz="6" w:space="0" w:color="auto"/>
              <w:bottom w:val="single" w:sz="17" w:space="0" w:color="000000"/>
              <w:right w:val="nil" w:sz="6" w:space="0" w:color="auto"/>
            </w:tcBorders>
          </w:tcPr>
          <w:p>
            <w:pPr>
              <w:pStyle w:val="TableParagraph"/>
              <w:spacing w:line="240" w:lineRule="auto" w:before="153"/>
              <w:ind w:left="715" w:right="0"/>
              <w:jc w:val="left"/>
              <w:rPr>
                <w:rFonts w:ascii="Arial" w:hAnsi="Arial" w:cs="Arial" w:eastAsia="Arial" w:hint="default"/>
                <w:sz w:val="22"/>
                <w:szCs w:val="22"/>
              </w:rPr>
            </w:pPr>
            <w:r>
              <w:rPr>
                <w:rFonts w:ascii="Arial"/>
                <w:sz w:val="22"/>
              </w:rPr>
              <w:t>997,032,455</w:t>
            </w:r>
          </w:p>
        </w:tc>
        <w:tc>
          <w:tcPr>
            <w:tcW w:w="185" w:type="dxa"/>
            <w:tcBorders>
              <w:top w:val="nil" w:sz="6" w:space="0" w:color="auto"/>
              <w:left w:val="nil" w:sz="6" w:space="0" w:color="auto"/>
              <w:bottom w:val="nil" w:sz="6" w:space="0" w:color="auto"/>
              <w:right w:val="nil" w:sz="6" w:space="0" w:color="auto"/>
            </w:tcBorders>
          </w:tcPr>
          <w:p>
            <w:pPr/>
          </w:p>
        </w:tc>
        <w:tc>
          <w:tcPr>
            <w:tcW w:w="2076" w:type="dxa"/>
            <w:tcBorders>
              <w:top w:val="nil" w:sz="6" w:space="0" w:color="auto"/>
              <w:left w:val="nil" w:sz="6" w:space="0" w:color="auto"/>
              <w:bottom w:val="single" w:sz="17" w:space="0" w:color="000000"/>
              <w:right w:val="nil" w:sz="6" w:space="0" w:color="auto"/>
            </w:tcBorders>
          </w:tcPr>
          <w:p>
            <w:pPr>
              <w:pStyle w:val="TableParagraph"/>
              <w:spacing w:line="240" w:lineRule="auto" w:before="153"/>
              <w:ind w:left="530" w:right="0"/>
              <w:jc w:val="left"/>
              <w:rPr>
                <w:rFonts w:ascii="Arial" w:hAnsi="Arial" w:cs="Arial" w:eastAsia="Arial" w:hint="default"/>
                <w:sz w:val="22"/>
                <w:szCs w:val="22"/>
              </w:rPr>
            </w:pPr>
            <w:r>
              <w:rPr>
                <w:rFonts w:ascii="Arial"/>
                <w:sz w:val="22"/>
              </w:rPr>
              <w:t>1,328,156,435</w:t>
            </w:r>
          </w:p>
        </w:tc>
      </w:tr>
    </w:tbl>
    <w:p>
      <w:pPr>
        <w:spacing w:line="240" w:lineRule="auto" w:before="2"/>
        <w:rPr>
          <w:rFonts w:ascii="宋体" w:hAnsi="宋体" w:cs="宋体" w:eastAsia="宋体" w:hint="default"/>
          <w:sz w:val="14"/>
          <w:szCs w:val="14"/>
        </w:rPr>
      </w:pPr>
    </w:p>
    <w:p>
      <w:pPr>
        <w:pStyle w:val="BodyText"/>
        <w:tabs>
          <w:tab w:pos="587" w:val="left" w:leader="none"/>
        </w:tabs>
        <w:spacing w:line="240" w:lineRule="auto" w:before="32"/>
        <w:ind w:left="141" w:right="0"/>
        <w:jc w:val="left"/>
      </w:pPr>
      <w:r>
        <w:rPr>
          <w:rFonts w:ascii="Arial" w:hAnsi="Arial" w:cs="Arial" w:eastAsia="Arial" w:hint="default"/>
        </w:rPr>
        <w:t>(f)</w:t>
        <w:tab/>
      </w:r>
      <w:r>
        <w:rPr/>
        <w:t>未确认的递延所得税负债</w:t>
      </w:r>
    </w:p>
    <w:p>
      <w:pPr>
        <w:spacing w:line="240" w:lineRule="auto" w:before="6"/>
        <w:rPr>
          <w:rFonts w:ascii="宋体" w:hAnsi="宋体" w:cs="宋体" w:eastAsia="宋体" w:hint="default"/>
          <w:sz w:val="18"/>
          <w:szCs w:val="18"/>
        </w:rPr>
      </w:pPr>
    </w:p>
    <w:p>
      <w:pPr>
        <w:pStyle w:val="BodyText"/>
        <w:spacing w:line="232" w:lineRule="auto"/>
        <w:ind w:left="530" w:right="130"/>
        <w:jc w:val="both"/>
      </w:pPr>
      <w:r>
        <w:rPr/>
        <w:t>于 </w:t>
      </w:r>
      <w:r>
        <w:rPr>
          <w:rFonts w:ascii="Arial" w:hAnsi="Arial" w:cs="Arial" w:eastAsia="Arial" w:hint="default"/>
        </w:rPr>
        <w:t>2019</w:t>
      </w:r>
      <w:r>
        <w:rPr>
          <w:rFonts w:ascii="Arial" w:hAnsi="Arial" w:cs="Arial" w:eastAsia="Arial" w:hint="default"/>
          <w:spacing w:val="2"/>
        </w:rPr>
        <w:t> </w:t>
      </w:r>
      <w:r>
        <w:rPr/>
        <w:t>年，本集团个别子公司及联营企业由于接受投资导致相关投资主体股份稀释而使其长</w:t>
      </w:r>
      <w:r>
        <w:rPr>
          <w:w w:val="100"/>
        </w:rPr>
        <w:t> </w:t>
      </w:r>
      <w:r>
        <w:rPr/>
        <w:t>期股权投资的账面价值与计税基础产生暂时性差异，由于本集团拟长期持有相关投资，且本集</w:t>
      </w:r>
      <w:r>
        <w:rPr>
          <w:spacing w:val="-58"/>
        </w:rPr>
        <w:t> </w:t>
      </w:r>
      <w:r>
        <w:rPr>
          <w:spacing w:val="-58"/>
        </w:rPr>
      </w:r>
      <w:r>
        <w:rPr/>
        <w:t>团能够控制暂时性差异的转回时间或相关暂时性差异在可预见的将来很可能不会实现，故本集</w:t>
      </w:r>
      <w:r>
        <w:rPr>
          <w:spacing w:val="-58"/>
        </w:rPr>
        <w:t> </w:t>
      </w:r>
      <w:r>
        <w:rPr>
          <w:spacing w:val="-58"/>
        </w:rPr>
      </w:r>
      <w:r>
        <w:rPr/>
        <w:t>团未就相关暂时性差异确认递延所得税负债。</w:t>
      </w:r>
    </w:p>
    <w:p>
      <w:pPr>
        <w:spacing w:after="0" w:line="232" w:lineRule="auto"/>
        <w:jc w:val="both"/>
        <w:sectPr>
          <w:headerReference w:type="default" r:id="rId203"/>
          <w:pgSz w:w="11910" w:h="16840"/>
          <w:pgMar w:header="1188" w:footer="502" w:top="3600" w:bottom="700" w:left="1020" w:right="1140"/>
        </w:sectPr>
      </w:pPr>
    </w:p>
    <w:p>
      <w:pPr>
        <w:spacing w:line="240" w:lineRule="auto" w:before="7"/>
        <w:rPr>
          <w:rFonts w:ascii="宋体" w:hAnsi="宋体" w:cs="宋体" w:eastAsia="宋体" w:hint="default"/>
          <w:sz w:val="16"/>
          <w:szCs w:val="16"/>
        </w:rPr>
      </w:pPr>
    </w:p>
    <w:p>
      <w:pPr>
        <w:pStyle w:val="BodyText"/>
        <w:spacing w:line="424" w:lineRule="auto" w:before="32"/>
        <w:ind w:left="112" w:right="7795" w:firstLine="417"/>
        <w:jc w:val="left"/>
      </w:pPr>
      <w:r>
        <w:rPr>
          <w:rFonts w:ascii="Arial" w:hAnsi="Arial" w:cs="Arial" w:eastAsia="Arial" w:hint="default"/>
        </w:rPr>
        <w:t>50</w:t>
      </w:r>
      <w:r>
        <w:rPr/>
        <w:t>、每股收益</w:t>
      </w:r>
      <w:r>
        <w:rPr>
          <w:w w:val="100"/>
        </w:rPr>
        <w:t> </w:t>
      </w:r>
      <w:r>
        <w:rPr>
          <w:rFonts w:ascii="Arial" w:hAnsi="Arial" w:cs="Arial" w:eastAsia="Arial" w:hint="default"/>
        </w:rPr>
        <w:t>(a) </w:t>
      </w:r>
      <w:r>
        <w:rPr>
          <w:rFonts w:ascii="Arial" w:hAnsi="Arial" w:cs="Arial" w:eastAsia="Arial" w:hint="default"/>
          <w:spacing w:val="30"/>
        </w:rPr>
        <w:t> </w:t>
      </w:r>
      <w:r>
        <w:rPr/>
        <w:t>基本每股收益</w:t>
      </w:r>
    </w:p>
    <w:p>
      <w:pPr>
        <w:pStyle w:val="BodyText"/>
        <w:spacing w:line="284" w:lineRule="exact" w:before="79"/>
        <w:ind w:left="535" w:right="0"/>
        <w:jc w:val="left"/>
      </w:pPr>
      <w:r>
        <w:rPr/>
        <w:t>基本每股收益以归属于母公司普通股股东的合并净利润除以母公司发行在外普通股的加权平均</w:t>
      </w:r>
      <w:r>
        <w:rPr>
          <w:spacing w:val="-78"/>
        </w:rPr>
        <w:t> </w:t>
      </w:r>
      <w:r>
        <w:rPr/>
        <w:t>数计算：</w:t>
      </w:r>
    </w:p>
    <w:p>
      <w:pPr>
        <w:spacing w:line="240" w:lineRule="auto" w:before="4"/>
        <w:rPr>
          <w:rFonts w:ascii="宋体" w:hAnsi="宋体" w:cs="宋体" w:eastAsia="宋体" w:hint="default"/>
          <w:sz w:val="22"/>
          <w:szCs w:val="22"/>
        </w:rPr>
      </w:pPr>
    </w:p>
    <w:tbl>
      <w:tblPr>
        <w:tblW w:w="0" w:type="auto"/>
        <w:jc w:val="left"/>
        <w:tblInd w:w="349" w:type="dxa"/>
        <w:tblLayout w:type="fixed"/>
        <w:tblCellMar>
          <w:top w:w="0" w:type="dxa"/>
          <w:left w:w="0" w:type="dxa"/>
          <w:bottom w:w="0" w:type="dxa"/>
          <w:right w:w="0" w:type="dxa"/>
        </w:tblCellMar>
        <w:tblLook w:val="01E0"/>
      </w:tblPr>
      <w:tblGrid>
        <w:gridCol w:w="4765"/>
        <w:gridCol w:w="2147"/>
        <w:gridCol w:w="124"/>
        <w:gridCol w:w="2126"/>
      </w:tblGrid>
      <w:tr>
        <w:trPr>
          <w:trHeight w:val="264" w:hRule="exact"/>
        </w:trPr>
        <w:tc>
          <w:tcPr>
            <w:tcW w:w="4765" w:type="dxa"/>
            <w:tcBorders>
              <w:top w:val="nil" w:sz="6" w:space="0" w:color="auto"/>
              <w:left w:val="nil" w:sz="6" w:space="0" w:color="auto"/>
              <w:bottom w:val="nil" w:sz="6" w:space="0" w:color="auto"/>
              <w:right w:val="nil" w:sz="6" w:space="0" w:color="auto"/>
            </w:tcBorders>
          </w:tcPr>
          <w:p>
            <w:pPr/>
          </w:p>
        </w:tc>
        <w:tc>
          <w:tcPr>
            <w:tcW w:w="2147" w:type="dxa"/>
            <w:tcBorders>
              <w:top w:val="nil" w:sz="6" w:space="0" w:color="auto"/>
              <w:left w:val="nil" w:sz="6" w:space="0" w:color="auto"/>
              <w:bottom w:val="single" w:sz="6" w:space="0" w:color="000000"/>
              <w:right w:val="nil" w:sz="6" w:space="0" w:color="auto"/>
            </w:tcBorders>
          </w:tcPr>
          <w:p>
            <w:pPr>
              <w:pStyle w:val="TableParagraph"/>
              <w:spacing w:line="236" w:lineRule="exact"/>
              <w:ind w:left="1324"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124" w:type="dxa"/>
            <w:tcBorders>
              <w:top w:val="nil" w:sz="6" w:space="0" w:color="auto"/>
              <w:left w:val="nil" w:sz="6" w:space="0" w:color="auto"/>
              <w:bottom w:val="nil" w:sz="6" w:space="0" w:color="auto"/>
              <w:right w:val="nil" w:sz="6" w:space="0" w:color="auto"/>
            </w:tcBorders>
          </w:tcPr>
          <w:p>
            <w:pPr/>
          </w:p>
        </w:tc>
        <w:tc>
          <w:tcPr>
            <w:tcW w:w="2126" w:type="dxa"/>
            <w:tcBorders>
              <w:top w:val="nil" w:sz="6" w:space="0" w:color="auto"/>
              <w:left w:val="nil" w:sz="6" w:space="0" w:color="auto"/>
              <w:bottom w:val="single" w:sz="6" w:space="0" w:color="000000"/>
              <w:right w:val="nil" w:sz="6" w:space="0" w:color="auto"/>
            </w:tcBorders>
          </w:tcPr>
          <w:p>
            <w:pPr>
              <w:pStyle w:val="TableParagraph"/>
              <w:spacing w:line="236" w:lineRule="exact"/>
              <w:ind w:right="36"/>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tc>
      </w:tr>
      <w:tr>
        <w:trPr>
          <w:trHeight w:val="644" w:hRule="exact"/>
        </w:trPr>
        <w:tc>
          <w:tcPr>
            <w:tcW w:w="476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归属于母公司股东的合并净利润</w:t>
            </w:r>
          </w:p>
        </w:tc>
        <w:tc>
          <w:tcPr>
            <w:tcW w:w="2147" w:type="dxa"/>
            <w:tcBorders>
              <w:top w:val="single" w:sz="6"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left="643" w:right="0"/>
              <w:jc w:val="left"/>
              <w:rPr>
                <w:rFonts w:ascii="Arial" w:hAnsi="Arial" w:cs="Arial" w:eastAsia="Arial" w:hint="default"/>
                <w:sz w:val="22"/>
                <w:szCs w:val="22"/>
              </w:rPr>
            </w:pPr>
            <w:r>
              <w:rPr>
                <w:rFonts w:ascii="Arial"/>
                <w:sz w:val="22"/>
              </w:rPr>
              <w:t>4,982,083,711</w:t>
            </w:r>
          </w:p>
        </w:tc>
        <w:tc>
          <w:tcPr>
            <w:tcW w:w="124" w:type="dxa"/>
            <w:tcBorders>
              <w:top w:val="nil" w:sz="6" w:space="0" w:color="auto"/>
              <w:left w:val="nil" w:sz="6" w:space="0" w:color="auto"/>
              <w:bottom w:val="nil" w:sz="6" w:space="0" w:color="auto"/>
              <w:right w:val="nil" w:sz="6" w:space="0" w:color="auto"/>
            </w:tcBorders>
          </w:tcPr>
          <w:p>
            <w:pPr/>
          </w:p>
        </w:tc>
        <w:tc>
          <w:tcPr>
            <w:tcW w:w="2126" w:type="dxa"/>
            <w:tcBorders>
              <w:top w:val="single" w:sz="6"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right="77"/>
              <w:jc w:val="right"/>
              <w:rPr>
                <w:rFonts w:ascii="Arial" w:hAnsi="Arial" w:cs="Arial" w:eastAsia="Arial" w:hint="default"/>
                <w:sz w:val="22"/>
                <w:szCs w:val="22"/>
              </w:rPr>
            </w:pPr>
            <w:r>
              <w:rPr>
                <w:rFonts w:ascii="Arial"/>
                <w:spacing w:val="-1"/>
                <w:sz w:val="22"/>
              </w:rPr>
              <w:t>4,080,771,727</w:t>
            </w:r>
          </w:p>
        </w:tc>
      </w:tr>
      <w:tr>
        <w:trPr>
          <w:trHeight w:val="434" w:hRule="exact"/>
        </w:trPr>
        <w:tc>
          <w:tcPr>
            <w:tcW w:w="4765" w:type="dxa"/>
            <w:tcBorders>
              <w:top w:val="nil" w:sz="6" w:space="0" w:color="auto"/>
              <w:left w:val="nil" w:sz="6" w:space="0" w:color="auto"/>
              <w:bottom w:val="nil" w:sz="6" w:space="0" w:color="auto"/>
              <w:right w:val="nil" w:sz="6" w:space="0" w:color="auto"/>
            </w:tcBorders>
          </w:tcPr>
          <w:p>
            <w:pPr>
              <w:pStyle w:val="TableParagraph"/>
              <w:spacing w:line="268" w:lineRule="exact"/>
              <w:ind w:left="200" w:right="0"/>
              <w:jc w:val="left"/>
              <w:rPr>
                <w:rFonts w:ascii="宋体" w:hAnsi="宋体" w:cs="宋体" w:eastAsia="宋体" w:hint="default"/>
                <w:sz w:val="22"/>
                <w:szCs w:val="22"/>
              </w:rPr>
            </w:pPr>
            <w:r>
              <w:rPr>
                <w:rFonts w:ascii="宋体" w:hAnsi="宋体" w:cs="宋体" w:eastAsia="宋体" w:hint="default"/>
                <w:sz w:val="22"/>
                <w:szCs w:val="22"/>
              </w:rPr>
              <w:t>减：限制性股票影响</w:t>
            </w:r>
          </w:p>
        </w:tc>
        <w:tc>
          <w:tcPr>
            <w:tcW w:w="2147" w:type="dxa"/>
            <w:tcBorders>
              <w:top w:val="nil" w:sz="6" w:space="0" w:color="auto"/>
              <w:left w:val="nil" w:sz="6" w:space="0" w:color="auto"/>
              <w:bottom w:val="nil" w:sz="6" w:space="0" w:color="auto"/>
              <w:right w:val="nil" w:sz="6" w:space="0" w:color="auto"/>
            </w:tcBorders>
          </w:tcPr>
          <w:p>
            <w:pPr>
              <w:pStyle w:val="TableParagraph"/>
              <w:tabs>
                <w:tab w:pos="772" w:val="left" w:leader="none"/>
              </w:tabs>
              <w:spacing w:line="240" w:lineRule="auto" w:before="45"/>
              <w:ind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(123,057,468)</w:t>
            </w:r>
            <w:r>
              <w:rPr>
                <w:rFonts w:ascii="Arial"/>
                <w:spacing w:val="-1"/>
                <w:sz w:val="22"/>
              </w:rPr>
            </w:r>
          </w:p>
        </w:tc>
        <w:tc>
          <w:tcPr>
            <w:tcW w:w="124" w:type="dxa"/>
            <w:tcBorders>
              <w:top w:val="nil" w:sz="6" w:space="0" w:color="auto"/>
              <w:left w:val="nil" w:sz="6" w:space="0" w:color="auto"/>
              <w:bottom w:val="nil" w:sz="6" w:space="0" w:color="auto"/>
              <w:right w:val="nil" w:sz="6" w:space="0" w:color="auto"/>
            </w:tcBorders>
          </w:tcPr>
          <w:p>
            <w:pPr/>
          </w:p>
        </w:tc>
        <w:tc>
          <w:tcPr>
            <w:tcW w:w="2126" w:type="dxa"/>
            <w:tcBorders>
              <w:top w:val="nil" w:sz="6" w:space="0" w:color="auto"/>
              <w:left w:val="nil" w:sz="6" w:space="0" w:color="auto"/>
              <w:bottom w:val="nil" w:sz="6" w:space="0" w:color="auto"/>
              <w:right w:val="nil" w:sz="6" w:space="0" w:color="auto"/>
            </w:tcBorders>
          </w:tcPr>
          <w:p>
            <w:pPr>
              <w:pStyle w:val="TableParagraph"/>
              <w:tabs>
                <w:tab w:pos="868" w:val="left" w:leader="none"/>
              </w:tabs>
              <w:spacing w:line="240" w:lineRule="auto" w:before="45"/>
              <w:ind w:right="1"/>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(85,696,206)</w:t>
            </w:r>
            <w:r>
              <w:rPr>
                <w:rFonts w:ascii="Arial"/>
                <w:sz w:val="22"/>
              </w:rPr>
            </w:r>
          </w:p>
        </w:tc>
      </w:tr>
      <w:tr>
        <w:trPr>
          <w:trHeight w:val="415" w:hRule="exact"/>
        </w:trPr>
        <w:tc>
          <w:tcPr>
            <w:tcW w:w="4765" w:type="dxa"/>
            <w:tcBorders>
              <w:top w:val="nil" w:sz="6" w:space="0" w:color="auto"/>
              <w:left w:val="nil" w:sz="6" w:space="0" w:color="auto"/>
              <w:bottom w:val="nil" w:sz="6" w:space="0" w:color="auto"/>
              <w:right w:val="nil" w:sz="6" w:space="0" w:color="auto"/>
            </w:tcBorders>
          </w:tcPr>
          <w:p>
            <w:pPr>
              <w:pStyle w:val="TableParagraph"/>
              <w:spacing w:line="240" w:lineRule="auto" w:before="73"/>
              <w:ind w:left="209" w:right="0"/>
              <w:jc w:val="left"/>
              <w:rPr>
                <w:rFonts w:ascii="宋体" w:hAnsi="宋体" w:cs="宋体" w:eastAsia="宋体" w:hint="default"/>
                <w:sz w:val="22"/>
                <w:szCs w:val="22"/>
              </w:rPr>
            </w:pPr>
            <w:r>
              <w:rPr>
                <w:rFonts w:ascii="宋体" w:hAnsi="宋体" w:cs="宋体" w:eastAsia="宋体" w:hint="default"/>
                <w:sz w:val="22"/>
                <w:szCs w:val="22"/>
              </w:rPr>
              <w:t>调整后归属于母公司股东的合并净利润</w:t>
            </w:r>
          </w:p>
        </w:tc>
        <w:tc>
          <w:tcPr>
            <w:tcW w:w="2147" w:type="dxa"/>
            <w:tcBorders>
              <w:top w:val="nil" w:sz="6" w:space="0" w:color="auto"/>
              <w:left w:val="nil" w:sz="6" w:space="0" w:color="auto"/>
              <w:bottom w:val="single" w:sz="17" w:space="0" w:color="000000"/>
              <w:right w:val="nil" w:sz="6" w:space="0" w:color="auto"/>
            </w:tcBorders>
          </w:tcPr>
          <w:p>
            <w:pPr>
              <w:pStyle w:val="TableParagraph"/>
              <w:spacing w:line="240" w:lineRule="auto" w:before="134"/>
              <w:ind w:left="643" w:right="0"/>
              <w:jc w:val="left"/>
              <w:rPr>
                <w:rFonts w:ascii="Arial" w:hAnsi="Arial" w:cs="Arial" w:eastAsia="Arial" w:hint="default"/>
                <w:sz w:val="22"/>
                <w:szCs w:val="22"/>
              </w:rPr>
            </w:pPr>
            <w:r>
              <w:rPr>
                <w:rFonts w:ascii="Arial"/>
                <w:sz w:val="22"/>
              </w:rPr>
              <w:t>4,859,026,243</w:t>
            </w:r>
          </w:p>
        </w:tc>
        <w:tc>
          <w:tcPr>
            <w:tcW w:w="124" w:type="dxa"/>
            <w:tcBorders>
              <w:top w:val="nil" w:sz="6" w:space="0" w:color="auto"/>
              <w:left w:val="nil" w:sz="6" w:space="0" w:color="auto"/>
              <w:bottom w:val="nil" w:sz="6" w:space="0" w:color="auto"/>
              <w:right w:val="nil" w:sz="6" w:space="0" w:color="auto"/>
            </w:tcBorders>
          </w:tcPr>
          <w:p>
            <w:pPr/>
          </w:p>
        </w:tc>
        <w:tc>
          <w:tcPr>
            <w:tcW w:w="2126" w:type="dxa"/>
            <w:tcBorders>
              <w:top w:val="nil" w:sz="6" w:space="0" w:color="auto"/>
              <w:left w:val="nil" w:sz="6" w:space="0" w:color="auto"/>
              <w:bottom w:val="single" w:sz="17" w:space="0" w:color="000000"/>
              <w:right w:val="nil" w:sz="6" w:space="0" w:color="auto"/>
            </w:tcBorders>
          </w:tcPr>
          <w:p>
            <w:pPr>
              <w:pStyle w:val="TableParagraph"/>
              <w:spacing w:line="240" w:lineRule="auto" w:before="134"/>
              <w:ind w:right="72"/>
              <w:jc w:val="right"/>
              <w:rPr>
                <w:rFonts w:ascii="Arial" w:hAnsi="Arial" w:cs="Arial" w:eastAsia="Arial" w:hint="default"/>
                <w:sz w:val="22"/>
                <w:szCs w:val="22"/>
              </w:rPr>
            </w:pPr>
            <w:r>
              <w:rPr>
                <w:rFonts w:ascii="Arial"/>
                <w:spacing w:val="-1"/>
                <w:sz w:val="22"/>
              </w:rPr>
              <w:t>3,995,075,521</w:t>
            </w:r>
          </w:p>
        </w:tc>
      </w:tr>
      <w:tr>
        <w:trPr>
          <w:trHeight w:val="1109" w:hRule="exact"/>
        </w:trPr>
        <w:tc>
          <w:tcPr>
            <w:tcW w:w="47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left="209" w:right="0"/>
              <w:jc w:val="left"/>
              <w:rPr>
                <w:rFonts w:ascii="宋体" w:hAnsi="宋体" w:cs="宋体" w:eastAsia="宋体" w:hint="default"/>
                <w:sz w:val="22"/>
                <w:szCs w:val="22"/>
              </w:rPr>
            </w:pPr>
            <w:r>
              <w:rPr>
                <w:rFonts w:ascii="宋体" w:hAnsi="宋体" w:cs="宋体" w:eastAsia="宋体" w:hint="default"/>
                <w:sz w:val="22"/>
                <w:szCs w:val="22"/>
              </w:rPr>
              <w:t>本公司发行在外普通股的加权平均数</w:t>
            </w:r>
          </w:p>
        </w:tc>
        <w:tc>
          <w:tcPr>
            <w:tcW w:w="2147" w:type="dxa"/>
            <w:tcBorders>
              <w:top w:val="single" w:sz="17"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523" w:right="0"/>
              <w:jc w:val="left"/>
              <w:rPr>
                <w:rFonts w:ascii="Arial" w:hAnsi="Arial" w:cs="Arial" w:eastAsia="Arial" w:hint="default"/>
                <w:sz w:val="22"/>
                <w:szCs w:val="22"/>
              </w:rPr>
            </w:pPr>
            <w:r>
              <w:rPr>
                <w:rFonts w:ascii="Arial"/>
                <w:sz w:val="22"/>
              </w:rPr>
              <w:t>30,233,950,687</w:t>
            </w:r>
          </w:p>
        </w:tc>
        <w:tc>
          <w:tcPr>
            <w:tcW w:w="124" w:type="dxa"/>
            <w:tcBorders>
              <w:top w:val="nil" w:sz="6" w:space="0" w:color="auto"/>
              <w:left w:val="nil" w:sz="6" w:space="0" w:color="auto"/>
              <w:bottom w:val="nil" w:sz="6" w:space="0" w:color="auto"/>
              <w:right w:val="nil" w:sz="6" w:space="0" w:color="auto"/>
            </w:tcBorders>
          </w:tcPr>
          <w:p>
            <w:pPr/>
          </w:p>
        </w:tc>
        <w:tc>
          <w:tcPr>
            <w:tcW w:w="2126" w:type="dxa"/>
            <w:tcBorders>
              <w:top w:val="single" w:sz="17"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70"/>
              <w:jc w:val="right"/>
              <w:rPr>
                <w:rFonts w:ascii="Arial" w:hAnsi="Arial" w:cs="Arial" w:eastAsia="Arial" w:hint="default"/>
                <w:sz w:val="22"/>
                <w:szCs w:val="22"/>
              </w:rPr>
            </w:pPr>
            <w:r>
              <w:rPr>
                <w:rFonts w:ascii="Arial"/>
                <w:sz w:val="22"/>
              </w:rPr>
              <w:t>30,233,950,687</w:t>
            </w:r>
          </w:p>
        </w:tc>
      </w:tr>
      <w:tr>
        <w:trPr>
          <w:trHeight w:val="446" w:hRule="exact"/>
        </w:trPr>
        <w:tc>
          <w:tcPr>
            <w:tcW w:w="4765"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224" w:right="0"/>
              <w:jc w:val="left"/>
              <w:rPr>
                <w:rFonts w:ascii="宋体" w:hAnsi="宋体" w:cs="宋体" w:eastAsia="宋体" w:hint="default"/>
                <w:sz w:val="22"/>
                <w:szCs w:val="22"/>
              </w:rPr>
            </w:pPr>
            <w:r>
              <w:rPr>
                <w:rFonts w:ascii="宋体" w:hAnsi="宋体" w:cs="宋体" w:eastAsia="宋体" w:hint="default"/>
                <w:sz w:val="22"/>
                <w:szCs w:val="22"/>
              </w:rPr>
              <w:t>基本每股收益</w:t>
            </w:r>
          </w:p>
        </w:tc>
        <w:tc>
          <w:tcPr>
            <w:tcW w:w="2147" w:type="dxa"/>
            <w:tcBorders>
              <w:top w:val="nil" w:sz="6" w:space="0" w:color="auto"/>
              <w:left w:val="nil" w:sz="6" w:space="0" w:color="auto"/>
              <w:bottom w:val="single" w:sz="17" w:space="0" w:color="000000"/>
              <w:right w:val="nil" w:sz="6" w:space="0" w:color="auto"/>
            </w:tcBorders>
          </w:tcPr>
          <w:p>
            <w:pPr>
              <w:pStyle w:val="TableParagraph"/>
              <w:spacing w:line="240" w:lineRule="auto" w:before="170"/>
              <w:ind w:right="87"/>
              <w:jc w:val="right"/>
              <w:rPr>
                <w:rFonts w:ascii="Arial" w:hAnsi="Arial" w:cs="Arial" w:eastAsia="Arial" w:hint="default"/>
                <w:sz w:val="22"/>
                <w:szCs w:val="22"/>
              </w:rPr>
            </w:pPr>
            <w:r>
              <w:rPr>
                <w:rFonts w:ascii="Arial"/>
                <w:sz w:val="22"/>
              </w:rPr>
              <w:t>0.161</w:t>
            </w:r>
          </w:p>
        </w:tc>
        <w:tc>
          <w:tcPr>
            <w:tcW w:w="124" w:type="dxa"/>
            <w:tcBorders>
              <w:top w:val="nil" w:sz="6" w:space="0" w:color="auto"/>
              <w:left w:val="nil" w:sz="6" w:space="0" w:color="auto"/>
              <w:bottom w:val="nil" w:sz="6" w:space="0" w:color="auto"/>
              <w:right w:val="nil" w:sz="6" w:space="0" w:color="auto"/>
            </w:tcBorders>
          </w:tcPr>
          <w:p>
            <w:pPr/>
          </w:p>
        </w:tc>
        <w:tc>
          <w:tcPr>
            <w:tcW w:w="2126" w:type="dxa"/>
            <w:tcBorders>
              <w:top w:val="nil" w:sz="6" w:space="0" w:color="auto"/>
              <w:left w:val="nil" w:sz="6" w:space="0" w:color="auto"/>
              <w:bottom w:val="single" w:sz="17" w:space="0" w:color="000000"/>
              <w:right w:val="nil" w:sz="6" w:space="0" w:color="auto"/>
            </w:tcBorders>
          </w:tcPr>
          <w:p>
            <w:pPr>
              <w:pStyle w:val="TableParagraph"/>
              <w:spacing w:line="240" w:lineRule="auto" w:before="170"/>
              <w:ind w:right="74"/>
              <w:jc w:val="right"/>
              <w:rPr>
                <w:rFonts w:ascii="Arial" w:hAnsi="Arial" w:cs="Arial" w:eastAsia="Arial" w:hint="default"/>
                <w:sz w:val="22"/>
                <w:szCs w:val="22"/>
              </w:rPr>
            </w:pPr>
            <w:r>
              <w:rPr>
                <w:rFonts w:ascii="Arial"/>
                <w:sz w:val="22"/>
              </w:rPr>
              <w:t>0.132</w:t>
            </w:r>
          </w:p>
        </w:tc>
      </w:tr>
    </w:tbl>
    <w:p>
      <w:pPr>
        <w:spacing w:line="240" w:lineRule="auto" w:before="2"/>
        <w:rPr>
          <w:rFonts w:ascii="宋体" w:hAnsi="宋体" w:cs="宋体" w:eastAsia="宋体" w:hint="default"/>
          <w:sz w:val="14"/>
          <w:szCs w:val="14"/>
        </w:rPr>
      </w:pPr>
    </w:p>
    <w:p>
      <w:pPr>
        <w:pStyle w:val="BodyText"/>
        <w:spacing w:line="240" w:lineRule="auto" w:before="32"/>
        <w:ind w:left="127" w:right="0"/>
        <w:jc w:val="left"/>
      </w:pPr>
      <w:r>
        <w:rPr>
          <w:rFonts w:ascii="Arial" w:hAnsi="Arial" w:cs="Arial" w:eastAsia="Arial" w:hint="default"/>
        </w:rPr>
        <w:t>(b) </w:t>
      </w:r>
      <w:r>
        <w:rPr>
          <w:rFonts w:ascii="Arial" w:hAnsi="Arial" w:cs="Arial" w:eastAsia="Arial" w:hint="default"/>
          <w:spacing w:val="15"/>
        </w:rPr>
        <w:t> </w:t>
      </w:r>
      <w:r>
        <w:rPr/>
        <w:t>稀释每股收益</w:t>
      </w:r>
    </w:p>
    <w:p>
      <w:pPr>
        <w:spacing w:line="240" w:lineRule="auto" w:before="11"/>
        <w:rPr>
          <w:rFonts w:ascii="宋体" w:hAnsi="宋体" w:cs="宋体" w:eastAsia="宋体" w:hint="default"/>
          <w:sz w:val="17"/>
          <w:szCs w:val="17"/>
        </w:rPr>
      </w:pPr>
    </w:p>
    <w:p>
      <w:pPr>
        <w:pStyle w:val="BodyText"/>
        <w:spacing w:line="240" w:lineRule="auto"/>
        <w:ind w:left="539" w:right="0"/>
        <w:jc w:val="left"/>
      </w:pPr>
      <w:r>
        <w:rPr/>
        <w:t>于</w:t>
      </w:r>
      <w:r>
        <w:rPr>
          <w:spacing w:val="-56"/>
        </w:rPr>
        <w:t> </w:t>
      </w:r>
      <w:r>
        <w:rPr>
          <w:rFonts w:ascii="Arial" w:hAnsi="Arial" w:cs="Arial" w:eastAsia="Arial" w:hint="default"/>
        </w:rPr>
        <w:t>2019</w:t>
      </w:r>
      <w:r>
        <w:rPr>
          <w:rFonts w:ascii="Arial" w:hAnsi="Arial" w:cs="Arial" w:eastAsia="Arial" w:hint="default"/>
          <w:spacing w:val="-5"/>
        </w:rPr>
        <w:t> </w:t>
      </w:r>
      <w:r>
        <w:rPr/>
        <w:t>年度，本公司发行在外的限制性股票对每股收益无稀释性影响。</w:t>
      </w:r>
    </w:p>
    <w:p>
      <w:pPr>
        <w:spacing w:after="0" w:line="240" w:lineRule="auto"/>
        <w:jc w:val="left"/>
        <w:sectPr>
          <w:headerReference w:type="default" r:id="rId204"/>
          <w:pgSz w:w="11910" w:h="16840"/>
          <w:pgMar w:header="1188" w:footer="502" w:top="3040" w:bottom="700" w:left="1020" w:right="1200"/>
        </w:sectPr>
      </w:pPr>
    </w:p>
    <w:p>
      <w:pPr>
        <w:spacing w:line="240" w:lineRule="auto" w:before="7"/>
        <w:rPr>
          <w:rFonts w:ascii="宋体" w:hAnsi="宋体" w:cs="宋体" w:eastAsia="宋体" w:hint="default"/>
          <w:sz w:val="16"/>
          <w:szCs w:val="16"/>
        </w:rPr>
      </w:pPr>
    </w:p>
    <w:p>
      <w:pPr>
        <w:pStyle w:val="BodyText"/>
        <w:spacing w:line="240" w:lineRule="auto" w:before="32"/>
        <w:ind w:left="112" w:right="0"/>
        <w:jc w:val="left"/>
      </w:pPr>
      <w:r>
        <w:rPr>
          <w:rFonts w:ascii="Arial" w:hAnsi="Arial" w:cs="Arial" w:eastAsia="Arial" w:hint="default"/>
        </w:rPr>
        <w:t>51</w:t>
      </w:r>
      <w:r>
        <w:rPr/>
        <w:t>、现金流量表项目注释</w:t>
      </w:r>
    </w:p>
    <w:p>
      <w:pPr>
        <w:spacing w:line="240" w:lineRule="auto" w:before="11"/>
        <w:rPr>
          <w:rFonts w:ascii="宋体" w:hAnsi="宋体" w:cs="宋体" w:eastAsia="宋体" w:hint="default"/>
          <w:sz w:val="17"/>
          <w:szCs w:val="17"/>
        </w:rPr>
      </w:pPr>
    </w:p>
    <w:p>
      <w:pPr>
        <w:pStyle w:val="BodyText"/>
        <w:spacing w:line="240" w:lineRule="auto"/>
        <w:ind w:left="112" w:right="0"/>
        <w:jc w:val="left"/>
      </w:pPr>
      <w:r>
        <w:rPr>
          <w:rFonts w:ascii="Arial" w:hAnsi="Arial" w:cs="Arial" w:eastAsia="Arial" w:hint="default"/>
        </w:rPr>
        <w:t>(a) </w:t>
      </w:r>
      <w:r>
        <w:rPr>
          <w:rFonts w:ascii="Arial" w:hAnsi="Arial" w:cs="Arial" w:eastAsia="Arial" w:hint="default"/>
          <w:spacing w:val="32"/>
        </w:rPr>
        <w:t> </w:t>
      </w:r>
      <w:r>
        <w:rPr/>
        <w:t>收到其他与经营活动有关的现金</w:t>
      </w:r>
    </w:p>
    <w:p>
      <w:pPr>
        <w:spacing w:line="240" w:lineRule="auto" w:before="8"/>
        <w:rPr>
          <w:rFonts w:ascii="宋体" w:hAnsi="宋体" w:cs="宋体" w:eastAsia="宋体" w:hint="default"/>
          <w:sz w:val="21"/>
          <w:szCs w:val="21"/>
        </w:rPr>
      </w:pPr>
    </w:p>
    <w:tbl>
      <w:tblPr>
        <w:tblW w:w="0" w:type="auto"/>
        <w:jc w:val="left"/>
        <w:tblInd w:w="301" w:type="dxa"/>
        <w:tblLayout w:type="fixed"/>
        <w:tblCellMar>
          <w:top w:w="0" w:type="dxa"/>
          <w:left w:w="0" w:type="dxa"/>
          <w:bottom w:w="0" w:type="dxa"/>
          <w:right w:w="0" w:type="dxa"/>
        </w:tblCellMar>
        <w:tblLook w:val="01E0"/>
      </w:tblPr>
      <w:tblGrid>
        <w:gridCol w:w="4640"/>
        <w:gridCol w:w="2112"/>
        <w:gridCol w:w="127"/>
        <w:gridCol w:w="2143"/>
      </w:tblGrid>
      <w:tr>
        <w:trPr>
          <w:trHeight w:val="257" w:hRule="exact"/>
        </w:trPr>
        <w:tc>
          <w:tcPr>
            <w:tcW w:w="4640" w:type="dxa"/>
            <w:tcBorders>
              <w:top w:val="nil" w:sz="6" w:space="0" w:color="auto"/>
              <w:left w:val="nil" w:sz="6" w:space="0" w:color="auto"/>
              <w:bottom w:val="nil" w:sz="6" w:space="0" w:color="auto"/>
              <w:right w:val="nil" w:sz="6" w:space="0" w:color="auto"/>
            </w:tcBorders>
          </w:tcPr>
          <w:p>
            <w:pPr/>
          </w:p>
        </w:tc>
        <w:tc>
          <w:tcPr>
            <w:tcW w:w="2112" w:type="dxa"/>
            <w:tcBorders>
              <w:top w:val="nil" w:sz="6" w:space="0" w:color="auto"/>
              <w:left w:val="nil" w:sz="6" w:space="0" w:color="auto"/>
              <w:bottom w:val="single" w:sz="4" w:space="0" w:color="000000"/>
              <w:right w:val="nil" w:sz="6" w:space="0" w:color="auto"/>
            </w:tcBorders>
          </w:tcPr>
          <w:p>
            <w:pPr>
              <w:pStyle w:val="TableParagraph"/>
              <w:spacing w:line="236" w:lineRule="exact"/>
              <w:ind w:right="50"/>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9"/>
                <w:sz w:val="22"/>
                <w:szCs w:val="22"/>
              </w:rPr>
              <w:t> </w:t>
            </w:r>
            <w:r>
              <w:rPr>
                <w:rFonts w:ascii="宋体" w:hAnsi="宋体" w:cs="宋体" w:eastAsia="宋体" w:hint="default"/>
                <w:sz w:val="22"/>
                <w:szCs w:val="22"/>
              </w:rPr>
              <w:t>年</w:t>
            </w:r>
          </w:p>
        </w:tc>
        <w:tc>
          <w:tcPr>
            <w:tcW w:w="127" w:type="dxa"/>
            <w:tcBorders>
              <w:top w:val="nil" w:sz="6" w:space="0" w:color="auto"/>
              <w:left w:val="nil" w:sz="6" w:space="0" w:color="auto"/>
              <w:bottom w:val="nil" w:sz="6" w:space="0" w:color="auto"/>
              <w:right w:val="nil" w:sz="6" w:space="0" w:color="auto"/>
            </w:tcBorders>
          </w:tcPr>
          <w:p>
            <w:pPr/>
          </w:p>
        </w:tc>
        <w:tc>
          <w:tcPr>
            <w:tcW w:w="2143" w:type="dxa"/>
            <w:tcBorders>
              <w:top w:val="nil" w:sz="6" w:space="0" w:color="auto"/>
              <w:left w:val="nil" w:sz="6" w:space="0" w:color="auto"/>
              <w:bottom w:val="single" w:sz="4" w:space="0" w:color="000000"/>
              <w:right w:val="nil" w:sz="6" w:space="0" w:color="auto"/>
            </w:tcBorders>
          </w:tcPr>
          <w:p>
            <w:pPr>
              <w:pStyle w:val="TableParagraph"/>
              <w:spacing w:line="236" w:lineRule="exact"/>
              <w:ind w:right="47"/>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8"/>
                <w:sz w:val="22"/>
                <w:szCs w:val="22"/>
              </w:rPr>
              <w:t> </w:t>
            </w:r>
            <w:r>
              <w:rPr>
                <w:rFonts w:ascii="宋体" w:hAnsi="宋体" w:cs="宋体" w:eastAsia="宋体" w:hint="default"/>
                <w:sz w:val="22"/>
                <w:szCs w:val="22"/>
              </w:rPr>
              <w:t>年</w:t>
            </w:r>
          </w:p>
        </w:tc>
      </w:tr>
      <w:tr>
        <w:trPr>
          <w:trHeight w:val="536" w:hRule="exact"/>
        </w:trPr>
        <w:tc>
          <w:tcPr>
            <w:tcW w:w="464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违约赔款收入</w:t>
            </w:r>
            <w:r>
              <w:rPr>
                <w:rFonts w:ascii="宋体" w:hAnsi="宋体" w:cs="宋体" w:eastAsia="宋体" w:hint="default"/>
                <w:sz w:val="22"/>
                <w:szCs w:val="22"/>
              </w:rPr>
              <w:t> </w:t>
            </w:r>
          </w:p>
        </w:tc>
        <w:tc>
          <w:tcPr>
            <w:tcW w:w="2112"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53"/>
              <w:jc w:val="right"/>
              <w:rPr>
                <w:rFonts w:ascii="Arial" w:hAnsi="Arial" w:cs="Arial" w:eastAsia="Arial" w:hint="default"/>
                <w:sz w:val="22"/>
                <w:szCs w:val="22"/>
              </w:rPr>
            </w:pPr>
            <w:r>
              <w:rPr>
                <w:rFonts w:ascii="Arial"/>
                <w:spacing w:val="-1"/>
                <w:sz w:val="22"/>
              </w:rPr>
              <w:t>61,822,171</w:t>
            </w:r>
          </w:p>
        </w:tc>
        <w:tc>
          <w:tcPr>
            <w:tcW w:w="127" w:type="dxa"/>
            <w:tcBorders>
              <w:top w:val="nil" w:sz="6" w:space="0" w:color="auto"/>
              <w:left w:val="nil" w:sz="6" w:space="0" w:color="auto"/>
              <w:bottom w:val="nil" w:sz="6" w:space="0" w:color="auto"/>
              <w:right w:val="nil" w:sz="6" w:space="0" w:color="auto"/>
            </w:tcBorders>
          </w:tcPr>
          <w:p>
            <w:pPr/>
          </w:p>
        </w:tc>
        <w:tc>
          <w:tcPr>
            <w:tcW w:w="2143"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53"/>
              <w:jc w:val="right"/>
              <w:rPr>
                <w:rFonts w:ascii="Arial" w:hAnsi="Arial" w:cs="Arial" w:eastAsia="Arial" w:hint="default"/>
                <w:sz w:val="22"/>
                <w:szCs w:val="22"/>
              </w:rPr>
            </w:pPr>
            <w:r>
              <w:rPr>
                <w:rFonts w:ascii="Arial"/>
                <w:spacing w:val="-1"/>
                <w:sz w:val="22"/>
              </w:rPr>
              <w:t>99,001,665</w:t>
            </w:r>
          </w:p>
        </w:tc>
      </w:tr>
      <w:tr>
        <w:trPr>
          <w:trHeight w:val="283" w:hRule="exact"/>
        </w:trPr>
        <w:tc>
          <w:tcPr>
            <w:tcW w:w="4640" w:type="dxa"/>
            <w:tcBorders>
              <w:top w:val="nil" w:sz="6" w:space="0" w:color="auto"/>
              <w:left w:val="nil" w:sz="6" w:space="0" w:color="auto"/>
              <w:bottom w:val="nil" w:sz="6" w:space="0" w:color="auto"/>
              <w:right w:val="nil" w:sz="6" w:space="0" w:color="auto"/>
            </w:tcBorders>
          </w:tcPr>
          <w:p>
            <w:pPr>
              <w:pStyle w:val="TableParagraph"/>
              <w:spacing w:line="239" w:lineRule="exact"/>
              <w:ind w:left="214" w:right="0"/>
              <w:jc w:val="left"/>
              <w:rPr>
                <w:rFonts w:ascii="宋体" w:hAnsi="宋体" w:cs="宋体" w:eastAsia="宋体" w:hint="default"/>
                <w:sz w:val="22"/>
                <w:szCs w:val="22"/>
              </w:rPr>
            </w:pPr>
            <w:r>
              <w:rPr>
                <w:rFonts w:ascii="宋体" w:hAnsi="宋体" w:cs="宋体" w:eastAsia="宋体" w:hint="default"/>
                <w:sz w:val="22"/>
                <w:szCs w:val="22"/>
              </w:rPr>
              <w:t>政府补助</w:t>
            </w:r>
            <w:r>
              <w:rPr>
                <w:rFonts w:ascii="宋体" w:hAnsi="宋体" w:cs="宋体" w:eastAsia="宋体" w:hint="default"/>
                <w:sz w:val="22"/>
                <w:szCs w:val="22"/>
              </w:rPr>
              <w:t> </w:t>
            </w: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53"/>
              <w:jc w:val="right"/>
              <w:rPr>
                <w:rFonts w:ascii="Arial" w:hAnsi="Arial" w:cs="Arial" w:eastAsia="Arial" w:hint="default"/>
                <w:sz w:val="22"/>
                <w:szCs w:val="22"/>
              </w:rPr>
            </w:pPr>
            <w:r>
              <w:rPr>
                <w:rFonts w:ascii="Arial"/>
                <w:spacing w:val="-1"/>
                <w:sz w:val="22"/>
              </w:rPr>
              <w:t>986,198,176</w:t>
            </w:r>
          </w:p>
        </w:tc>
        <w:tc>
          <w:tcPr>
            <w:tcW w:w="127" w:type="dxa"/>
            <w:tcBorders>
              <w:top w:val="nil" w:sz="6" w:space="0" w:color="auto"/>
              <w:left w:val="nil" w:sz="6" w:space="0" w:color="auto"/>
              <w:bottom w:val="nil" w:sz="6" w:space="0" w:color="auto"/>
              <w:right w:val="nil" w:sz="6" w:space="0" w:color="auto"/>
            </w:tcBorders>
          </w:tcPr>
          <w:p>
            <w:pPr/>
          </w:p>
        </w:tc>
        <w:tc>
          <w:tcPr>
            <w:tcW w:w="2143"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1"/>
              <w:jc w:val="right"/>
              <w:rPr>
                <w:rFonts w:ascii="Arial" w:hAnsi="Arial" w:cs="Arial" w:eastAsia="Arial" w:hint="default"/>
                <w:sz w:val="22"/>
                <w:szCs w:val="22"/>
              </w:rPr>
            </w:pPr>
            <w:r>
              <w:rPr>
                <w:rFonts w:ascii="Arial"/>
                <w:sz w:val="22"/>
              </w:rPr>
              <w:t>900,245,198</w:t>
            </w:r>
          </w:p>
        </w:tc>
      </w:tr>
      <w:tr>
        <w:trPr>
          <w:trHeight w:val="280" w:hRule="exact"/>
        </w:trPr>
        <w:tc>
          <w:tcPr>
            <w:tcW w:w="4640" w:type="dxa"/>
            <w:tcBorders>
              <w:top w:val="nil" w:sz="6" w:space="0" w:color="auto"/>
              <w:left w:val="nil" w:sz="6" w:space="0" w:color="auto"/>
              <w:bottom w:val="nil" w:sz="6" w:space="0" w:color="auto"/>
              <w:right w:val="nil" w:sz="6" w:space="0" w:color="auto"/>
            </w:tcBorders>
          </w:tcPr>
          <w:p>
            <w:pPr>
              <w:pStyle w:val="TableParagraph"/>
              <w:spacing w:line="239" w:lineRule="exact"/>
              <w:ind w:left="214" w:right="0"/>
              <w:jc w:val="left"/>
              <w:rPr>
                <w:rFonts w:ascii="宋体" w:hAnsi="宋体" w:cs="宋体" w:eastAsia="宋体" w:hint="default"/>
                <w:sz w:val="22"/>
                <w:szCs w:val="22"/>
              </w:rPr>
            </w:pPr>
            <w:r>
              <w:rPr>
                <w:rFonts w:ascii="宋体" w:hAnsi="宋体" w:cs="宋体" w:eastAsia="宋体" w:hint="default"/>
                <w:sz w:val="22"/>
                <w:szCs w:val="22"/>
              </w:rPr>
              <w:t>其他</w:t>
            </w:r>
            <w:r>
              <w:rPr>
                <w:rFonts w:ascii="宋体" w:hAnsi="宋体" w:cs="宋体" w:eastAsia="宋体" w:hint="default"/>
                <w:sz w:val="22"/>
                <w:szCs w:val="22"/>
              </w:rPr>
              <w:t> </w:t>
            </w:r>
          </w:p>
        </w:tc>
        <w:tc>
          <w:tcPr>
            <w:tcW w:w="2112"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53"/>
              <w:jc w:val="right"/>
              <w:rPr>
                <w:rFonts w:ascii="Arial" w:hAnsi="Arial" w:cs="Arial" w:eastAsia="Arial" w:hint="default"/>
                <w:sz w:val="22"/>
                <w:szCs w:val="22"/>
              </w:rPr>
            </w:pPr>
            <w:r>
              <w:rPr>
                <w:rFonts w:ascii="Arial"/>
                <w:spacing w:val="-1"/>
                <w:sz w:val="22"/>
              </w:rPr>
              <w:t>1,920,798,857</w:t>
            </w:r>
          </w:p>
        </w:tc>
        <w:tc>
          <w:tcPr>
            <w:tcW w:w="127" w:type="dxa"/>
            <w:tcBorders>
              <w:top w:val="nil" w:sz="6" w:space="0" w:color="auto"/>
              <w:left w:val="nil" w:sz="6" w:space="0" w:color="auto"/>
              <w:bottom w:val="nil" w:sz="6" w:space="0" w:color="auto"/>
              <w:right w:val="nil" w:sz="6" w:space="0" w:color="auto"/>
            </w:tcBorders>
          </w:tcPr>
          <w:p>
            <w:pPr/>
          </w:p>
        </w:tc>
        <w:tc>
          <w:tcPr>
            <w:tcW w:w="2143"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53"/>
              <w:jc w:val="right"/>
              <w:rPr>
                <w:rFonts w:ascii="Arial" w:hAnsi="Arial" w:cs="Arial" w:eastAsia="Arial" w:hint="default"/>
                <w:sz w:val="22"/>
                <w:szCs w:val="22"/>
              </w:rPr>
            </w:pPr>
            <w:r>
              <w:rPr>
                <w:rFonts w:ascii="Arial"/>
                <w:spacing w:val="-1"/>
                <w:sz w:val="22"/>
              </w:rPr>
              <w:t>2,170,627,812</w:t>
            </w:r>
          </w:p>
        </w:tc>
      </w:tr>
      <w:tr>
        <w:trPr>
          <w:trHeight w:val="564" w:hRule="exact"/>
        </w:trPr>
        <w:tc>
          <w:tcPr>
            <w:tcW w:w="46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214" w:right="0"/>
              <w:jc w:val="left"/>
              <w:rPr>
                <w:rFonts w:ascii="宋体" w:hAnsi="宋体" w:cs="宋体" w:eastAsia="宋体" w:hint="default"/>
                <w:sz w:val="22"/>
                <w:szCs w:val="22"/>
              </w:rPr>
            </w:pPr>
            <w:r>
              <w:rPr>
                <w:rFonts w:ascii="宋体" w:hAnsi="宋体" w:cs="宋体" w:eastAsia="宋体" w:hint="default"/>
                <w:sz w:val="22"/>
                <w:szCs w:val="22"/>
              </w:rPr>
              <w:t>合计</w:t>
            </w:r>
            <w:r>
              <w:rPr>
                <w:rFonts w:ascii="宋体" w:hAnsi="宋体" w:cs="宋体" w:eastAsia="宋体" w:hint="default"/>
                <w:sz w:val="22"/>
                <w:szCs w:val="22"/>
              </w:rPr>
              <w:t> </w:t>
            </w:r>
          </w:p>
        </w:tc>
        <w:tc>
          <w:tcPr>
            <w:tcW w:w="2112" w:type="dxa"/>
            <w:tcBorders>
              <w:top w:val="single" w:sz="4" w:space="0" w:color="000000"/>
              <w:left w:val="nil" w:sz="6" w:space="0" w:color="auto"/>
              <w:bottom w:val="single" w:sz="17"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57"/>
              <w:jc w:val="right"/>
              <w:rPr>
                <w:rFonts w:ascii="Arial" w:hAnsi="Arial" w:cs="Arial" w:eastAsia="Arial" w:hint="default"/>
                <w:sz w:val="22"/>
                <w:szCs w:val="22"/>
              </w:rPr>
            </w:pPr>
            <w:r>
              <w:rPr>
                <w:rFonts w:ascii="Arial"/>
                <w:spacing w:val="-1"/>
                <w:sz w:val="22"/>
              </w:rPr>
              <w:t>2,968,819,204</w:t>
            </w:r>
          </w:p>
        </w:tc>
        <w:tc>
          <w:tcPr>
            <w:tcW w:w="127" w:type="dxa"/>
            <w:tcBorders>
              <w:top w:val="nil" w:sz="6" w:space="0" w:color="auto"/>
              <w:left w:val="nil" w:sz="6" w:space="0" w:color="auto"/>
              <w:bottom w:val="nil" w:sz="6" w:space="0" w:color="auto"/>
              <w:right w:val="nil" w:sz="6" w:space="0" w:color="auto"/>
            </w:tcBorders>
          </w:tcPr>
          <w:p>
            <w:pPr/>
          </w:p>
        </w:tc>
        <w:tc>
          <w:tcPr>
            <w:tcW w:w="2143" w:type="dxa"/>
            <w:tcBorders>
              <w:top w:val="single" w:sz="4" w:space="0" w:color="000000"/>
              <w:left w:val="nil" w:sz="6" w:space="0" w:color="auto"/>
              <w:bottom w:val="single" w:sz="17"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53"/>
              <w:jc w:val="right"/>
              <w:rPr>
                <w:rFonts w:ascii="Arial" w:hAnsi="Arial" w:cs="Arial" w:eastAsia="Arial" w:hint="default"/>
                <w:sz w:val="22"/>
                <w:szCs w:val="22"/>
              </w:rPr>
            </w:pPr>
            <w:r>
              <w:rPr>
                <w:rFonts w:ascii="Arial"/>
                <w:spacing w:val="-1"/>
                <w:sz w:val="22"/>
              </w:rPr>
              <w:t>3,169,874,675</w:t>
            </w:r>
          </w:p>
        </w:tc>
      </w:tr>
    </w:tbl>
    <w:p>
      <w:pPr>
        <w:spacing w:line="240" w:lineRule="auto" w:before="4"/>
        <w:rPr>
          <w:rFonts w:ascii="宋体" w:hAnsi="宋体" w:cs="宋体" w:eastAsia="宋体" w:hint="default"/>
          <w:sz w:val="12"/>
          <w:szCs w:val="12"/>
        </w:rPr>
      </w:pPr>
    </w:p>
    <w:p>
      <w:pPr>
        <w:pStyle w:val="BodyText"/>
        <w:spacing w:line="240" w:lineRule="auto" w:before="32"/>
        <w:ind w:left="112" w:right="0"/>
        <w:jc w:val="left"/>
      </w:pPr>
      <w:r>
        <w:rPr>
          <w:rFonts w:ascii="Arial" w:hAnsi="Arial" w:cs="Arial" w:eastAsia="Arial" w:hint="default"/>
        </w:rPr>
        <w:t>(b) </w:t>
      </w:r>
      <w:r>
        <w:rPr>
          <w:rFonts w:ascii="Arial" w:hAnsi="Arial" w:cs="Arial" w:eastAsia="Arial" w:hint="default"/>
          <w:spacing w:val="32"/>
        </w:rPr>
        <w:t> </w:t>
      </w:r>
      <w:r>
        <w:rPr/>
        <w:t>支付其他与经营活动有关的现金</w:t>
      </w:r>
    </w:p>
    <w:p>
      <w:pPr>
        <w:spacing w:line="240" w:lineRule="auto" w:before="11"/>
        <w:rPr>
          <w:rFonts w:ascii="宋体" w:hAnsi="宋体" w:cs="宋体" w:eastAsia="宋体" w:hint="default"/>
          <w:sz w:val="20"/>
          <w:szCs w:val="20"/>
        </w:rPr>
      </w:pPr>
    </w:p>
    <w:tbl>
      <w:tblPr>
        <w:tblW w:w="0" w:type="auto"/>
        <w:jc w:val="left"/>
        <w:tblInd w:w="316" w:type="dxa"/>
        <w:tblLayout w:type="fixed"/>
        <w:tblCellMar>
          <w:top w:w="0" w:type="dxa"/>
          <w:left w:w="0" w:type="dxa"/>
          <w:bottom w:w="0" w:type="dxa"/>
          <w:right w:w="0" w:type="dxa"/>
        </w:tblCellMar>
        <w:tblLook w:val="01E0"/>
      </w:tblPr>
      <w:tblGrid>
        <w:gridCol w:w="4578"/>
        <w:gridCol w:w="2126"/>
        <w:gridCol w:w="127"/>
        <w:gridCol w:w="2071"/>
      </w:tblGrid>
      <w:tr>
        <w:trPr>
          <w:trHeight w:val="262" w:hRule="exact"/>
        </w:trPr>
        <w:tc>
          <w:tcPr>
            <w:tcW w:w="4578" w:type="dxa"/>
            <w:tcBorders>
              <w:top w:val="nil" w:sz="6" w:space="0" w:color="auto"/>
              <w:left w:val="nil" w:sz="6" w:space="0" w:color="auto"/>
              <w:bottom w:val="nil" w:sz="6" w:space="0" w:color="auto"/>
              <w:right w:val="nil" w:sz="6" w:space="0" w:color="auto"/>
            </w:tcBorders>
          </w:tcPr>
          <w:p>
            <w:pPr/>
          </w:p>
        </w:tc>
        <w:tc>
          <w:tcPr>
            <w:tcW w:w="2126" w:type="dxa"/>
            <w:tcBorders>
              <w:top w:val="nil" w:sz="6" w:space="0" w:color="auto"/>
              <w:left w:val="nil" w:sz="6" w:space="0" w:color="auto"/>
              <w:bottom w:val="single" w:sz="4" w:space="0" w:color="000000"/>
              <w:right w:val="nil" w:sz="6" w:space="0" w:color="auto"/>
            </w:tcBorders>
          </w:tcPr>
          <w:p>
            <w:pPr>
              <w:pStyle w:val="TableParagraph"/>
              <w:spacing w:line="236" w:lineRule="exact"/>
              <w:ind w:right="50"/>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9"/>
                <w:sz w:val="22"/>
                <w:szCs w:val="22"/>
              </w:rPr>
              <w:t> </w:t>
            </w:r>
            <w:r>
              <w:rPr>
                <w:rFonts w:ascii="宋体" w:hAnsi="宋体" w:cs="宋体" w:eastAsia="宋体" w:hint="default"/>
                <w:sz w:val="22"/>
                <w:szCs w:val="22"/>
              </w:rPr>
              <w:t>年</w:t>
            </w:r>
          </w:p>
        </w:tc>
        <w:tc>
          <w:tcPr>
            <w:tcW w:w="127" w:type="dxa"/>
            <w:tcBorders>
              <w:top w:val="nil" w:sz="6" w:space="0" w:color="auto"/>
              <w:left w:val="nil" w:sz="6" w:space="0" w:color="auto"/>
              <w:bottom w:val="nil" w:sz="6" w:space="0" w:color="auto"/>
              <w:right w:val="nil" w:sz="6" w:space="0" w:color="auto"/>
            </w:tcBorders>
          </w:tcPr>
          <w:p>
            <w:pPr/>
          </w:p>
        </w:tc>
        <w:tc>
          <w:tcPr>
            <w:tcW w:w="2071" w:type="dxa"/>
            <w:tcBorders>
              <w:top w:val="nil" w:sz="6" w:space="0" w:color="auto"/>
              <w:left w:val="nil" w:sz="6" w:space="0" w:color="auto"/>
              <w:bottom w:val="single" w:sz="4" w:space="0" w:color="000000"/>
              <w:right w:val="nil" w:sz="6" w:space="0" w:color="auto"/>
            </w:tcBorders>
          </w:tcPr>
          <w:p>
            <w:pPr>
              <w:pStyle w:val="TableParagraph"/>
              <w:spacing w:line="236" w:lineRule="exact"/>
              <w:ind w:right="47"/>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8"/>
                <w:sz w:val="22"/>
                <w:szCs w:val="22"/>
              </w:rPr>
              <w:t> </w:t>
            </w:r>
            <w:r>
              <w:rPr>
                <w:rFonts w:ascii="宋体" w:hAnsi="宋体" w:cs="宋体" w:eastAsia="宋体" w:hint="default"/>
                <w:sz w:val="22"/>
                <w:szCs w:val="22"/>
              </w:rPr>
              <w:t>年</w:t>
            </w:r>
          </w:p>
        </w:tc>
      </w:tr>
      <w:tr>
        <w:trPr>
          <w:trHeight w:val="531" w:hRule="exact"/>
        </w:trPr>
        <w:tc>
          <w:tcPr>
            <w:tcW w:w="457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办公及交通费</w:t>
            </w:r>
            <w:r>
              <w:rPr>
                <w:rFonts w:ascii="宋体" w:hAnsi="宋体" w:cs="宋体" w:eastAsia="宋体" w:hint="default"/>
                <w:sz w:val="22"/>
                <w:szCs w:val="22"/>
              </w:rPr>
              <w:t> </w:t>
            </w:r>
          </w:p>
        </w:tc>
        <w:tc>
          <w:tcPr>
            <w:tcW w:w="2126"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53"/>
              <w:jc w:val="right"/>
              <w:rPr>
                <w:rFonts w:ascii="Arial" w:hAnsi="Arial" w:cs="Arial" w:eastAsia="Arial" w:hint="default"/>
                <w:sz w:val="22"/>
                <w:szCs w:val="22"/>
              </w:rPr>
            </w:pPr>
            <w:r>
              <w:rPr>
                <w:rFonts w:ascii="Arial"/>
                <w:spacing w:val="-1"/>
                <w:sz w:val="22"/>
              </w:rPr>
              <w:t>1,329,275,256</w:t>
            </w:r>
          </w:p>
        </w:tc>
        <w:tc>
          <w:tcPr>
            <w:tcW w:w="127" w:type="dxa"/>
            <w:tcBorders>
              <w:top w:val="nil" w:sz="6" w:space="0" w:color="auto"/>
              <w:left w:val="nil" w:sz="6" w:space="0" w:color="auto"/>
              <w:bottom w:val="nil" w:sz="6" w:space="0" w:color="auto"/>
              <w:right w:val="nil" w:sz="6" w:space="0" w:color="auto"/>
            </w:tcBorders>
          </w:tcPr>
          <w:p>
            <w:pPr/>
          </w:p>
        </w:tc>
        <w:tc>
          <w:tcPr>
            <w:tcW w:w="2071"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53"/>
              <w:jc w:val="right"/>
              <w:rPr>
                <w:rFonts w:ascii="Arial" w:hAnsi="Arial" w:cs="Arial" w:eastAsia="Arial" w:hint="default"/>
                <w:sz w:val="22"/>
                <w:szCs w:val="22"/>
              </w:rPr>
            </w:pPr>
            <w:r>
              <w:rPr>
                <w:rFonts w:ascii="Arial"/>
                <w:spacing w:val="-1"/>
                <w:sz w:val="22"/>
              </w:rPr>
              <w:t>1,433,616,853</w:t>
            </w:r>
          </w:p>
        </w:tc>
      </w:tr>
      <w:tr>
        <w:trPr>
          <w:trHeight w:val="288" w:hRule="exact"/>
        </w:trPr>
        <w:tc>
          <w:tcPr>
            <w:tcW w:w="4578"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水电及取暖费</w:t>
            </w:r>
            <w:r>
              <w:rPr>
                <w:rFonts w:ascii="宋体" w:hAnsi="宋体" w:cs="宋体" w:eastAsia="宋体" w:hint="default"/>
                <w:sz w:val="22"/>
                <w:szCs w:val="22"/>
              </w:rPr>
              <w:t> </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3"/>
              <w:jc w:val="right"/>
              <w:rPr>
                <w:rFonts w:ascii="Arial" w:hAnsi="Arial" w:cs="Arial" w:eastAsia="Arial" w:hint="default"/>
                <w:sz w:val="22"/>
                <w:szCs w:val="22"/>
              </w:rPr>
            </w:pPr>
            <w:r>
              <w:rPr>
                <w:rFonts w:ascii="Arial"/>
                <w:spacing w:val="-1"/>
                <w:sz w:val="22"/>
              </w:rPr>
              <w:t>681,482,631</w:t>
            </w:r>
          </w:p>
        </w:tc>
        <w:tc>
          <w:tcPr>
            <w:tcW w:w="127" w:type="dxa"/>
            <w:tcBorders>
              <w:top w:val="nil" w:sz="6" w:space="0" w:color="auto"/>
              <w:left w:val="nil" w:sz="6" w:space="0" w:color="auto"/>
              <w:bottom w:val="nil" w:sz="6" w:space="0" w:color="auto"/>
              <w:right w:val="nil" w:sz="6" w:space="0" w:color="auto"/>
            </w:tcBorders>
          </w:tcPr>
          <w:p>
            <w:pPr/>
          </w:p>
        </w:tc>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
              <w:jc w:val="right"/>
              <w:rPr>
                <w:rFonts w:ascii="Arial" w:hAnsi="Arial" w:cs="Arial" w:eastAsia="Arial" w:hint="default"/>
                <w:sz w:val="22"/>
                <w:szCs w:val="22"/>
              </w:rPr>
            </w:pPr>
            <w:r>
              <w:rPr>
                <w:rFonts w:ascii="Arial"/>
                <w:sz w:val="22"/>
              </w:rPr>
              <w:t>696,044,843</w:t>
            </w:r>
          </w:p>
        </w:tc>
      </w:tr>
      <w:tr>
        <w:trPr>
          <w:trHeight w:val="283" w:hRule="exact"/>
        </w:trPr>
        <w:tc>
          <w:tcPr>
            <w:tcW w:w="4578"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差旅费</w:t>
            </w:r>
            <w:r>
              <w:rPr>
                <w:rFonts w:ascii="宋体" w:hAnsi="宋体" w:cs="宋体" w:eastAsia="宋体" w:hint="default"/>
                <w:sz w:val="22"/>
                <w:szCs w:val="22"/>
              </w:rPr>
              <w:t> </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3"/>
              <w:jc w:val="right"/>
              <w:rPr>
                <w:rFonts w:ascii="Arial" w:hAnsi="Arial" w:cs="Arial" w:eastAsia="Arial" w:hint="default"/>
                <w:sz w:val="22"/>
                <w:szCs w:val="22"/>
              </w:rPr>
            </w:pPr>
            <w:r>
              <w:rPr>
                <w:rFonts w:ascii="Arial"/>
                <w:spacing w:val="-1"/>
                <w:sz w:val="22"/>
              </w:rPr>
              <w:t>293,297,345</w:t>
            </w:r>
          </w:p>
        </w:tc>
        <w:tc>
          <w:tcPr>
            <w:tcW w:w="127" w:type="dxa"/>
            <w:tcBorders>
              <w:top w:val="nil" w:sz="6" w:space="0" w:color="auto"/>
              <w:left w:val="nil" w:sz="6" w:space="0" w:color="auto"/>
              <w:bottom w:val="nil" w:sz="6" w:space="0" w:color="auto"/>
              <w:right w:val="nil" w:sz="6" w:space="0" w:color="auto"/>
            </w:tcBorders>
          </w:tcPr>
          <w:p>
            <w:pPr/>
          </w:p>
        </w:tc>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1"/>
              <w:jc w:val="right"/>
              <w:rPr>
                <w:rFonts w:ascii="Arial" w:hAnsi="Arial" w:cs="Arial" w:eastAsia="Arial" w:hint="default"/>
                <w:sz w:val="22"/>
                <w:szCs w:val="22"/>
              </w:rPr>
            </w:pPr>
            <w:r>
              <w:rPr>
                <w:rFonts w:ascii="Arial"/>
                <w:sz w:val="22"/>
              </w:rPr>
              <w:t>355,232,023</w:t>
            </w:r>
          </w:p>
        </w:tc>
      </w:tr>
      <w:tr>
        <w:trPr>
          <w:trHeight w:val="288" w:hRule="exact"/>
        </w:trPr>
        <w:tc>
          <w:tcPr>
            <w:tcW w:w="4578"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违约赔偿支出</w:t>
            </w:r>
            <w:r>
              <w:rPr>
                <w:rFonts w:ascii="宋体" w:hAnsi="宋体" w:cs="宋体" w:eastAsia="宋体" w:hint="default"/>
                <w:sz w:val="22"/>
                <w:szCs w:val="22"/>
              </w:rPr>
              <w:t> </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3"/>
              <w:jc w:val="right"/>
              <w:rPr>
                <w:rFonts w:ascii="Arial" w:hAnsi="Arial" w:cs="Arial" w:eastAsia="Arial" w:hint="default"/>
                <w:sz w:val="22"/>
                <w:szCs w:val="22"/>
              </w:rPr>
            </w:pPr>
            <w:r>
              <w:rPr>
                <w:rFonts w:ascii="Arial"/>
                <w:spacing w:val="-1"/>
                <w:sz w:val="22"/>
              </w:rPr>
              <w:t>35,232,103</w:t>
            </w:r>
          </w:p>
        </w:tc>
        <w:tc>
          <w:tcPr>
            <w:tcW w:w="127" w:type="dxa"/>
            <w:tcBorders>
              <w:top w:val="nil" w:sz="6" w:space="0" w:color="auto"/>
              <w:left w:val="nil" w:sz="6" w:space="0" w:color="auto"/>
              <w:bottom w:val="nil" w:sz="6" w:space="0" w:color="auto"/>
              <w:right w:val="nil" w:sz="6" w:space="0" w:color="auto"/>
            </w:tcBorders>
          </w:tcPr>
          <w:p>
            <w:pPr/>
          </w:p>
        </w:tc>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
              <w:jc w:val="right"/>
              <w:rPr>
                <w:rFonts w:ascii="Arial" w:hAnsi="Arial" w:cs="Arial" w:eastAsia="Arial" w:hint="default"/>
                <w:sz w:val="22"/>
                <w:szCs w:val="22"/>
              </w:rPr>
            </w:pPr>
            <w:r>
              <w:rPr>
                <w:rFonts w:ascii="Arial"/>
                <w:sz w:val="22"/>
              </w:rPr>
              <w:t>119,217,592</w:t>
            </w:r>
          </w:p>
        </w:tc>
      </w:tr>
      <w:tr>
        <w:trPr>
          <w:trHeight w:val="415" w:hRule="exact"/>
        </w:trPr>
        <w:tc>
          <w:tcPr>
            <w:tcW w:w="4578"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w:t>
            </w:r>
            <w:r>
              <w:rPr>
                <w:rFonts w:ascii="宋体" w:hAnsi="宋体" w:cs="宋体" w:eastAsia="宋体" w:hint="default"/>
                <w:sz w:val="22"/>
                <w:szCs w:val="22"/>
              </w:rPr>
              <w:t> </w:t>
            </w:r>
          </w:p>
        </w:tc>
        <w:tc>
          <w:tcPr>
            <w:tcW w:w="2126" w:type="dxa"/>
            <w:tcBorders>
              <w:top w:val="nil" w:sz="6" w:space="0" w:color="auto"/>
              <w:left w:val="nil" w:sz="6" w:space="0" w:color="auto"/>
              <w:bottom w:val="nil" w:sz="6" w:space="0" w:color="auto"/>
              <w:right w:val="nil" w:sz="6" w:space="0" w:color="auto"/>
            </w:tcBorders>
          </w:tcPr>
          <w:p>
            <w:pPr>
              <w:pStyle w:val="TableParagraph"/>
              <w:tabs>
                <w:tab w:pos="662" w:val="left" w:leader="none"/>
              </w:tabs>
              <w:spacing w:line="240" w:lineRule="auto" w:before="16"/>
              <w:ind w:right="5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3,480,363,630</w:t>
            </w:r>
            <w:r>
              <w:rPr>
                <w:rFonts w:ascii="Arial"/>
                <w:spacing w:val="-1"/>
                <w:sz w:val="22"/>
              </w:rPr>
            </w:r>
          </w:p>
        </w:tc>
        <w:tc>
          <w:tcPr>
            <w:tcW w:w="127" w:type="dxa"/>
            <w:tcBorders>
              <w:top w:val="nil" w:sz="6" w:space="0" w:color="auto"/>
              <w:left w:val="nil" w:sz="6" w:space="0" w:color="auto"/>
              <w:bottom w:val="nil" w:sz="6" w:space="0" w:color="auto"/>
              <w:right w:val="nil" w:sz="6" w:space="0" w:color="auto"/>
            </w:tcBorders>
          </w:tcPr>
          <w:p>
            <w:pPr/>
          </w:p>
        </w:tc>
        <w:tc>
          <w:tcPr>
            <w:tcW w:w="2071" w:type="dxa"/>
            <w:tcBorders>
              <w:top w:val="nil" w:sz="6" w:space="0" w:color="auto"/>
              <w:left w:val="nil" w:sz="6" w:space="0" w:color="auto"/>
              <w:bottom w:val="nil" w:sz="6" w:space="0" w:color="auto"/>
              <w:right w:val="nil" w:sz="6" w:space="0" w:color="auto"/>
            </w:tcBorders>
          </w:tcPr>
          <w:p>
            <w:pPr>
              <w:pStyle w:val="TableParagraph"/>
              <w:tabs>
                <w:tab w:pos="599" w:val="left" w:leader="none"/>
              </w:tabs>
              <w:spacing w:line="240" w:lineRule="auto" w:before="16"/>
              <w:ind w:right="5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2,209,786,638</w:t>
            </w:r>
            <w:r>
              <w:rPr>
                <w:rFonts w:ascii="Arial"/>
                <w:spacing w:val="-1"/>
                <w:sz w:val="22"/>
              </w:rPr>
            </w:r>
          </w:p>
        </w:tc>
      </w:tr>
      <w:tr>
        <w:trPr>
          <w:trHeight w:val="429" w:hRule="exact"/>
        </w:trPr>
        <w:tc>
          <w:tcPr>
            <w:tcW w:w="457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合计</w:t>
            </w:r>
            <w:r>
              <w:rPr>
                <w:rFonts w:ascii="宋体" w:hAnsi="宋体" w:cs="宋体" w:eastAsia="宋体" w:hint="default"/>
                <w:sz w:val="22"/>
                <w:szCs w:val="22"/>
              </w:rPr>
              <w:t> </w:t>
            </w:r>
          </w:p>
        </w:tc>
        <w:tc>
          <w:tcPr>
            <w:tcW w:w="2126"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53"/>
              <w:jc w:val="right"/>
              <w:rPr>
                <w:rFonts w:ascii="Arial" w:hAnsi="Arial" w:cs="Arial" w:eastAsia="Arial" w:hint="default"/>
                <w:sz w:val="22"/>
                <w:szCs w:val="22"/>
              </w:rPr>
            </w:pPr>
            <w:r>
              <w:rPr>
                <w:rFonts w:ascii="Arial"/>
                <w:spacing w:val="-1"/>
                <w:sz w:val="22"/>
              </w:rPr>
              <w:t>5,819,650,965</w:t>
            </w:r>
          </w:p>
        </w:tc>
        <w:tc>
          <w:tcPr>
            <w:tcW w:w="127" w:type="dxa"/>
            <w:tcBorders>
              <w:top w:val="nil" w:sz="6" w:space="0" w:color="auto"/>
              <w:left w:val="nil" w:sz="6" w:space="0" w:color="auto"/>
              <w:bottom w:val="nil" w:sz="6" w:space="0" w:color="auto"/>
              <w:right w:val="nil" w:sz="6" w:space="0" w:color="auto"/>
            </w:tcBorders>
          </w:tcPr>
          <w:p>
            <w:pPr/>
          </w:p>
        </w:tc>
        <w:tc>
          <w:tcPr>
            <w:tcW w:w="2071"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53"/>
              <w:jc w:val="right"/>
              <w:rPr>
                <w:rFonts w:ascii="Arial" w:hAnsi="Arial" w:cs="Arial" w:eastAsia="Arial" w:hint="default"/>
                <w:sz w:val="22"/>
                <w:szCs w:val="22"/>
              </w:rPr>
            </w:pPr>
            <w:r>
              <w:rPr>
                <w:rFonts w:ascii="Arial"/>
                <w:spacing w:val="-1"/>
                <w:sz w:val="22"/>
              </w:rPr>
              <w:t>4,813,897,949</w:t>
            </w:r>
          </w:p>
        </w:tc>
      </w:tr>
    </w:tbl>
    <w:p>
      <w:pPr>
        <w:spacing w:after="0" w:line="240" w:lineRule="auto"/>
        <w:jc w:val="right"/>
        <w:rPr>
          <w:rFonts w:ascii="Arial" w:hAnsi="Arial" w:cs="Arial" w:eastAsia="Arial" w:hint="default"/>
          <w:sz w:val="22"/>
          <w:szCs w:val="22"/>
        </w:rPr>
        <w:sectPr>
          <w:pgSz w:w="11910" w:h="16840"/>
          <w:pgMar w:header="1188" w:footer="502" w:top="3040" w:bottom="700" w:left="1020" w:right="1460"/>
        </w:sectPr>
      </w:pPr>
    </w:p>
    <w:p>
      <w:pPr>
        <w:spacing w:line="240" w:lineRule="auto" w:before="7"/>
        <w:rPr>
          <w:rFonts w:ascii="宋体" w:hAnsi="宋体" w:cs="宋体" w:eastAsia="宋体" w:hint="default"/>
          <w:sz w:val="16"/>
          <w:szCs w:val="16"/>
        </w:rPr>
      </w:pPr>
    </w:p>
    <w:p>
      <w:pPr>
        <w:pStyle w:val="BodyText"/>
        <w:spacing w:line="240" w:lineRule="auto" w:before="32"/>
        <w:ind w:left="112" w:right="0"/>
        <w:jc w:val="left"/>
      </w:pPr>
      <w:r>
        <w:rPr>
          <w:rFonts w:ascii="Arial" w:hAnsi="Arial" w:cs="Arial" w:eastAsia="Arial" w:hint="default"/>
        </w:rPr>
        <w:t>51</w:t>
      </w:r>
      <w:r>
        <w:rPr/>
        <w:t>、现金流量表项目注释（续）</w:t>
      </w:r>
    </w:p>
    <w:p>
      <w:pPr>
        <w:spacing w:line="240" w:lineRule="auto" w:before="11"/>
        <w:rPr>
          <w:rFonts w:ascii="宋体" w:hAnsi="宋体" w:cs="宋体" w:eastAsia="宋体" w:hint="default"/>
          <w:sz w:val="17"/>
          <w:szCs w:val="17"/>
        </w:rPr>
      </w:pPr>
    </w:p>
    <w:p>
      <w:pPr>
        <w:pStyle w:val="BodyText"/>
        <w:spacing w:line="240" w:lineRule="auto"/>
        <w:ind w:left="112" w:right="0"/>
        <w:jc w:val="left"/>
      </w:pPr>
      <w:r>
        <w:rPr>
          <w:rFonts w:ascii="Arial" w:hAnsi="Arial" w:cs="Arial" w:eastAsia="Arial" w:hint="default"/>
        </w:rPr>
        <w:t>(c) </w:t>
      </w:r>
      <w:r>
        <w:rPr>
          <w:rFonts w:ascii="Arial" w:hAnsi="Arial" w:cs="Arial" w:eastAsia="Arial" w:hint="default"/>
          <w:spacing w:val="44"/>
        </w:rPr>
        <w:t> </w:t>
      </w:r>
      <w:r>
        <w:rPr/>
        <w:t>收到其他与投资活动有关的现金</w:t>
      </w:r>
    </w:p>
    <w:p>
      <w:pPr>
        <w:spacing w:line="240" w:lineRule="auto" w:before="8"/>
        <w:rPr>
          <w:rFonts w:ascii="宋体" w:hAnsi="宋体" w:cs="宋体" w:eastAsia="宋体" w:hint="default"/>
          <w:sz w:val="21"/>
          <w:szCs w:val="21"/>
        </w:rPr>
      </w:pPr>
    </w:p>
    <w:tbl>
      <w:tblPr>
        <w:tblW w:w="0" w:type="auto"/>
        <w:jc w:val="left"/>
        <w:tblInd w:w="354" w:type="dxa"/>
        <w:tblLayout w:type="fixed"/>
        <w:tblCellMar>
          <w:top w:w="0" w:type="dxa"/>
          <w:left w:w="0" w:type="dxa"/>
          <w:bottom w:w="0" w:type="dxa"/>
          <w:right w:w="0" w:type="dxa"/>
        </w:tblCellMar>
        <w:tblLook w:val="01E0"/>
      </w:tblPr>
      <w:tblGrid>
        <w:gridCol w:w="4693"/>
        <w:gridCol w:w="2170"/>
        <w:gridCol w:w="127"/>
        <w:gridCol w:w="2110"/>
      </w:tblGrid>
      <w:tr>
        <w:trPr>
          <w:trHeight w:val="257" w:hRule="exact"/>
        </w:trPr>
        <w:tc>
          <w:tcPr>
            <w:tcW w:w="4693" w:type="dxa"/>
            <w:tcBorders>
              <w:top w:val="nil" w:sz="6" w:space="0" w:color="auto"/>
              <w:left w:val="nil" w:sz="6" w:space="0" w:color="auto"/>
              <w:bottom w:val="nil" w:sz="6" w:space="0" w:color="auto"/>
              <w:right w:val="nil" w:sz="6" w:space="0" w:color="auto"/>
            </w:tcBorders>
          </w:tcPr>
          <w:p>
            <w:pPr/>
          </w:p>
        </w:tc>
        <w:tc>
          <w:tcPr>
            <w:tcW w:w="2170" w:type="dxa"/>
            <w:tcBorders>
              <w:top w:val="nil" w:sz="6" w:space="0" w:color="auto"/>
              <w:left w:val="nil" w:sz="6" w:space="0" w:color="auto"/>
              <w:bottom w:val="single" w:sz="4" w:space="0" w:color="000000"/>
              <w:right w:val="nil" w:sz="6" w:space="0" w:color="auto"/>
            </w:tcBorders>
          </w:tcPr>
          <w:p>
            <w:pPr>
              <w:pStyle w:val="TableParagraph"/>
              <w:spacing w:line="236" w:lineRule="exact"/>
              <w:ind w:right="50"/>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8"/>
                <w:sz w:val="22"/>
                <w:szCs w:val="22"/>
              </w:rPr>
              <w:t> </w:t>
            </w:r>
            <w:r>
              <w:rPr>
                <w:rFonts w:ascii="宋体" w:hAnsi="宋体" w:cs="宋体" w:eastAsia="宋体" w:hint="default"/>
                <w:sz w:val="22"/>
                <w:szCs w:val="22"/>
              </w:rPr>
              <w:t>年</w:t>
            </w:r>
          </w:p>
        </w:tc>
        <w:tc>
          <w:tcPr>
            <w:tcW w:w="127" w:type="dxa"/>
            <w:tcBorders>
              <w:top w:val="nil" w:sz="6" w:space="0" w:color="auto"/>
              <w:left w:val="nil" w:sz="6" w:space="0" w:color="auto"/>
              <w:bottom w:val="nil" w:sz="6" w:space="0" w:color="auto"/>
              <w:right w:val="nil" w:sz="6" w:space="0" w:color="auto"/>
            </w:tcBorders>
          </w:tcPr>
          <w:p>
            <w:pPr/>
          </w:p>
        </w:tc>
        <w:tc>
          <w:tcPr>
            <w:tcW w:w="2110" w:type="dxa"/>
            <w:tcBorders>
              <w:top w:val="nil" w:sz="6" w:space="0" w:color="auto"/>
              <w:left w:val="nil" w:sz="6" w:space="0" w:color="auto"/>
              <w:bottom w:val="single" w:sz="4" w:space="0" w:color="000000"/>
              <w:right w:val="nil" w:sz="6" w:space="0" w:color="auto"/>
            </w:tcBorders>
          </w:tcPr>
          <w:p>
            <w:pPr>
              <w:pStyle w:val="TableParagraph"/>
              <w:spacing w:line="236" w:lineRule="exact"/>
              <w:ind w:right="47"/>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8"/>
                <w:sz w:val="22"/>
                <w:szCs w:val="22"/>
              </w:rPr>
              <w:t> </w:t>
            </w:r>
            <w:r>
              <w:rPr>
                <w:rFonts w:ascii="宋体" w:hAnsi="宋体" w:cs="宋体" w:eastAsia="宋体" w:hint="default"/>
                <w:sz w:val="22"/>
                <w:szCs w:val="22"/>
              </w:rPr>
              <w:t>年</w:t>
            </w:r>
          </w:p>
        </w:tc>
      </w:tr>
      <w:tr>
        <w:trPr>
          <w:trHeight w:val="536" w:hRule="exact"/>
        </w:trPr>
        <w:tc>
          <w:tcPr>
            <w:tcW w:w="469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00" w:right="0"/>
              <w:jc w:val="left"/>
              <w:rPr>
                <w:rFonts w:ascii="宋体" w:hAnsi="宋体" w:cs="宋体" w:eastAsia="宋体" w:hint="default"/>
                <w:sz w:val="22"/>
                <w:szCs w:val="22"/>
              </w:rPr>
            </w:pPr>
            <w:r>
              <w:rPr>
                <w:rFonts w:ascii="Arial" w:hAnsi="Arial" w:cs="Arial" w:eastAsia="Arial" w:hint="default"/>
                <w:sz w:val="22"/>
                <w:szCs w:val="22"/>
              </w:rPr>
              <w:t>3</w:t>
            </w:r>
            <w:r>
              <w:rPr>
                <w:rFonts w:ascii="Arial" w:hAnsi="Arial" w:cs="Arial" w:eastAsia="Arial" w:hint="default"/>
                <w:spacing w:val="-8"/>
                <w:sz w:val="22"/>
                <w:szCs w:val="22"/>
              </w:rPr>
              <w:t> </w:t>
            </w:r>
            <w:r>
              <w:rPr>
                <w:rFonts w:ascii="宋体" w:hAnsi="宋体" w:cs="宋体" w:eastAsia="宋体" w:hint="default"/>
                <w:sz w:val="22"/>
                <w:szCs w:val="22"/>
              </w:rPr>
              <w:t>个月以上银行存款及限制性存款的减少</w:t>
            </w:r>
            <w:r>
              <w:rPr>
                <w:rFonts w:ascii="宋体" w:hAnsi="宋体" w:cs="宋体" w:eastAsia="宋体" w:hint="default"/>
                <w:sz w:val="22"/>
                <w:szCs w:val="22"/>
              </w:rPr>
              <w:t> </w:t>
            </w:r>
          </w:p>
        </w:tc>
        <w:tc>
          <w:tcPr>
            <w:tcW w:w="2170"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52"/>
              <w:jc w:val="right"/>
              <w:rPr>
                <w:rFonts w:ascii="Arial" w:hAnsi="Arial" w:cs="Arial" w:eastAsia="Arial" w:hint="default"/>
                <w:sz w:val="22"/>
                <w:szCs w:val="22"/>
              </w:rPr>
            </w:pPr>
            <w:r>
              <w:rPr>
                <w:rFonts w:ascii="Arial"/>
                <w:spacing w:val="-1"/>
                <w:sz w:val="22"/>
              </w:rPr>
              <w:t>34,022,050</w:t>
            </w:r>
          </w:p>
        </w:tc>
        <w:tc>
          <w:tcPr>
            <w:tcW w:w="127" w:type="dxa"/>
            <w:tcBorders>
              <w:top w:val="nil" w:sz="6" w:space="0" w:color="auto"/>
              <w:left w:val="nil" w:sz="6" w:space="0" w:color="auto"/>
              <w:bottom w:val="nil" w:sz="6" w:space="0" w:color="auto"/>
              <w:right w:val="nil" w:sz="6" w:space="0" w:color="auto"/>
            </w:tcBorders>
          </w:tcPr>
          <w:p>
            <w:pPr/>
          </w:p>
        </w:tc>
        <w:tc>
          <w:tcPr>
            <w:tcW w:w="2110"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53"/>
              <w:jc w:val="right"/>
              <w:rPr>
                <w:rFonts w:ascii="Arial" w:hAnsi="Arial" w:cs="Arial" w:eastAsia="Arial" w:hint="default"/>
                <w:sz w:val="22"/>
                <w:szCs w:val="22"/>
              </w:rPr>
            </w:pPr>
            <w:r>
              <w:rPr>
                <w:rFonts w:ascii="Arial"/>
                <w:spacing w:val="-1"/>
                <w:sz w:val="22"/>
              </w:rPr>
              <w:t>3,097,686,844</w:t>
            </w:r>
          </w:p>
        </w:tc>
      </w:tr>
      <w:tr>
        <w:trPr>
          <w:trHeight w:val="415" w:hRule="exact"/>
        </w:trPr>
        <w:tc>
          <w:tcPr>
            <w:tcW w:w="4693"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财务公司收回贷款</w:t>
            </w:r>
            <w:r>
              <w:rPr>
                <w:rFonts w:ascii="宋体" w:hAnsi="宋体" w:cs="宋体" w:eastAsia="宋体" w:hint="default"/>
                <w:sz w:val="22"/>
                <w:szCs w:val="22"/>
              </w:rPr>
              <w:t> </w:t>
            </w:r>
          </w:p>
        </w:tc>
        <w:tc>
          <w:tcPr>
            <w:tcW w:w="2170" w:type="dxa"/>
            <w:tcBorders>
              <w:top w:val="nil" w:sz="6" w:space="0" w:color="auto"/>
              <w:left w:val="nil" w:sz="6" w:space="0" w:color="auto"/>
              <w:bottom w:val="nil" w:sz="6" w:space="0" w:color="auto"/>
              <w:right w:val="nil" w:sz="6" w:space="0" w:color="auto"/>
            </w:tcBorders>
          </w:tcPr>
          <w:p>
            <w:pPr>
              <w:pStyle w:val="TableParagraph"/>
              <w:tabs>
                <w:tab w:pos="580" w:val="left" w:leader="none"/>
              </w:tabs>
              <w:spacing w:line="240" w:lineRule="auto" w:before="16"/>
              <w:ind w:right="51"/>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11,134,000,000</w:t>
            </w:r>
            <w:r>
              <w:rPr>
                <w:rFonts w:ascii="Arial"/>
                <w:sz w:val="22"/>
              </w:rPr>
            </w:r>
          </w:p>
        </w:tc>
        <w:tc>
          <w:tcPr>
            <w:tcW w:w="127" w:type="dxa"/>
            <w:tcBorders>
              <w:top w:val="nil" w:sz="6" w:space="0" w:color="auto"/>
              <w:left w:val="nil" w:sz="6" w:space="0" w:color="auto"/>
              <w:bottom w:val="nil" w:sz="6" w:space="0" w:color="auto"/>
              <w:right w:val="nil" w:sz="6" w:space="0" w:color="auto"/>
            </w:tcBorders>
          </w:tcPr>
          <w:p>
            <w:pPr/>
          </w:p>
        </w:tc>
        <w:tc>
          <w:tcPr>
            <w:tcW w:w="2110" w:type="dxa"/>
            <w:tcBorders>
              <w:top w:val="nil" w:sz="6" w:space="0" w:color="auto"/>
              <w:left w:val="nil" w:sz="6" w:space="0" w:color="auto"/>
              <w:bottom w:val="nil" w:sz="6" w:space="0" w:color="auto"/>
              <w:right w:val="nil" w:sz="6" w:space="0" w:color="auto"/>
            </w:tcBorders>
          </w:tcPr>
          <w:p>
            <w:pPr>
              <w:pStyle w:val="TableParagraph"/>
              <w:tabs>
                <w:tab w:pos="638" w:val="left" w:leader="none"/>
              </w:tabs>
              <w:spacing w:line="240" w:lineRule="auto" w:before="16"/>
              <w:ind w:right="5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6,354,000,000</w:t>
            </w:r>
            <w:r>
              <w:rPr>
                <w:rFonts w:ascii="Arial"/>
                <w:spacing w:val="-1"/>
                <w:sz w:val="22"/>
              </w:rPr>
            </w:r>
          </w:p>
        </w:tc>
      </w:tr>
      <w:tr>
        <w:trPr>
          <w:trHeight w:val="429" w:hRule="exact"/>
        </w:trPr>
        <w:tc>
          <w:tcPr>
            <w:tcW w:w="4693"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合计</w:t>
            </w:r>
            <w:r>
              <w:rPr>
                <w:rFonts w:ascii="宋体" w:hAnsi="宋体" w:cs="宋体" w:eastAsia="宋体" w:hint="default"/>
                <w:sz w:val="22"/>
                <w:szCs w:val="22"/>
              </w:rPr>
              <w:t> </w:t>
            </w:r>
          </w:p>
        </w:tc>
        <w:tc>
          <w:tcPr>
            <w:tcW w:w="2170"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52"/>
              <w:jc w:val="right"/>
              <w:rPr>
                <w:rFonts w:ascii="Arial" w:hAnsi="Arial" w:cs="Arial" w:eastAsia="Arial" w:hint="default"/>
                <w:sz w:val="22"/>
                <w:szCs w:val="22"/>
              </w:rPr>
            </w:pPr>
            <w:r>
              <w:rPr>
                <w:rFonts w:ascii="Arial"/>
                <w:spacing w:val="-1"/>
                <w:sz w:val="22"/>
              </w:rPr>
              <w:t>11,168,022,050</w:t>
            </w:r>
          </w:p>
        </w:tc>
        <w:tc>
          <w:tcPr>
            <w:tcW w:w="127" w:type="dxa"/>
            <w:tcBorders>
              <w:top w:val="nil" w:sz="6" w:space="0" w:color="auto"/>
              <w:left w:val="nil" w:sz="6" w:space="0" w:color="auto"/>
              <w:bottom w:val="nil" w:sz="6" w:space="0" w:color="auto"/>
              <w:right w:val="nil" w:sz="6" w:space="0" w:color="auto"/>
            </w:tcBorders>
          </w:tcPr>
          <w:p>
            <w:pPr/>
          </w:p>
        </w:tc>
        <w:tc>
          <w:tcPr>
            <w:tcW w:w="2110"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53"/>
              <w:jc w:val="right"/>
              <w:rPr>
                <w:rFonts w:ascii="Arial" w:hAnsi="Arial" w:cs="Arial" w:eastAsia="Arial" w:hint="default"/>
                <w:sz w:val="22"/>
                <w:szCs w:val="22"/>
              </w:rPr>
            </w:pPr>
            <w:r>
              <w:rPr>
                <w:rFonts w:ascii="Arial"/>
                <w:spacing w:val="-1"/>
                <w:sz w:val="22"/>
              </w:rPr>
              <w:t>9,451,686,844</w:t>
            </w:r>
          </w:p>
        </w:tc>
      </w:tr>
    </w:tbl>
    <w:p>
      <w:pPr>
        <w:spacing w:line="240" w:lineRule="auto" w:before="10"/>
        <w:rPr>
          <w:rFonts w:ascii="宋体" w:hAnsi="宋体" w:cs="宋体" w:eastAsia="宋体" w:hint="default"/>
          <w:sz w:val="13"/>
          <w:szCs w:val="13"/>
        </w:rPr>
      </w:pPr>
    </w:p>
    <w:p>
      <w:pPr>
        <w:pStyle w:val="BodyText"/>
        <w:spacing w:line="240" w:lineRule="auto" w:before="32"/>
        <w:ind w:left="127" w:right="0"/>
        <w:jc w:val="left"/>
      </w:pPr>
      <w:r>
        <w:rPr>
          <w:rFonts w:ascii="Arial" w:hAnsi="Arial" w:cs="Arial" w:eastAsia="Arial" w:hint="default"/>
        </w:rPr>
        <w:t>(d) </w:t>
      </w:r>
      <w:r>
        <w:rPr>
          <w:rFonts w:ascii="Arial" w:hAnsi="Arial" w:cs="Arial" w:eastAsia="Arial" w:hint="default"/>
          <w:spacing w:val="17"/>
        </w:rPr>
        <w:t> </w:t>
      </w:r>
      <w:r>
        <w:rPr/>
        <w:t>支付其他与投资活动有关的现金</w:t>
      </w:r>
    </w:p>
    <w:p>
      <w:pPr>
        <w:spacing w:line="240" w:lineRule="auto" w:before="7"/>
        <w:rPr>
          <w:rFonts w:ascii="宋体" w:hAnsi="宋体" w:cs="宋体" w:eastAsia="宋体" w:hint="default"/>
          <w:sz w:val="21"/>
          <w:szCs w:val="21"/>
        </w:rPr>
      </w:pPr>
    </w:p>
    <w:tbl>
      <w:tblPr>
        <w:tblW w:w="0" w:type="auto"/>
        <w:jc w:val="left"/>
        <w:tblInd w:w="368" w:type="dxa"/>
        <w:tblLayout w:type="fixed"/>
        <w:tblCellMar>
          <w:top w:w="0" w:type="dxa"/>
          <w:left w:w="0" w:type="dxa"/>
          <w:bottom w:w="0" w:type="dxa"/>
          <w:right w:w="0" w:type="dxa"/>
        </w:tblCellMar>
        <w:tblLook w:val="01E0"/>
      </w:tblPr>
      <w:tblGrid>
        <w:gridCol w:w="4741"/>
        <w:gridCol w:w="2093"/>
        <w:gridCol w:w="127"/>
        <w:gridCol w:w="2090"/>
      </w:tblGrid>
      <w:tr>
        <w:trPr>
          <w:trHeight w:val="257" w:hRule="exact"/>
        </w:trPr>
        <w:tc>
          <w:tcPr>
            <w:tcW w:w="4741" w:type="dxa"/>
            <w:tcBorders>
              <w:top w:val="nil" w:sz="6" w:space="0" w:color="auto"/>
              <w:left w:val="nil" w:sz="6" w:space="0" w:color="auto"/>
              <w:bottom w:val="nil" w:sz="6" w:space="0" w:color="auto"/>
              <w:right w:val="nil" w:sz="6" w:space="0" w:color="auto"/>
            </w:tcBorders>
          </w:tcPr>
          <w:p>
            <w:pPr/>
          </w:p>
        </w:tc>
        <w:tc>
          <w:tcPr>
            <w:tcW w:w="2093" w:type="dxa"/>
            <w:tcBorders>
              <w:top w:val="nil" w:sz="6" w:space="0" w:color="auto"/>
              <w:left w:val="nil" w:sz="6" w:space="0" w:color="auto"/>
              <w:bottom w:val="single" w:sz="4" w:space="0" w:color="000000"/>
              <w:right w:val="nil" w:sz="6" w:space="0" w:color="auto"/>
            </w:tcBorders>
          </w:tcPr>
          <w:p>
            <w:pPr>
              <w:pStyle w:val="TableParagraph"/>
              <w:spacing w:line="236" w:lineRule="exact"/>
              <w:ind w:right="50"/>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8"/>
                <w:sz w:val="22"/>
                <w:szCs w:val="22"/>
              </w:rPr>
              <w:t> </w:t>
            </w:r>
            <w:r>
              <w:rPr>
                <w:rFonts w:ascii="宋体" w:hAnsi="宋体" w:cs="宋体" w:eastAsia="宋体" w:hint="default"/>
                <w:sz w:val="22"/>
                <w:szCs w:val="22"/>
              </w:rPr>
              <w:t>年</w:t>
            </w:r>
          </w:p>
        </w:tc>
        <w:tc>
          <w:tcPr>
            <w:tcW w:w="127" w:type="dxa"/>
            <w:tcBorders>
              <w:top w:val="nil" w:sz="6" w:space="0" w:color="auto"/>
              <w:left w:val="nil" w:sz="6" w:space="0" w:color="auto"/>
              <w:bottom w:val="nil" w:sz="6" w:space="0" w:color="auto"/>
              <w:right w:val="nil" w:sz="6" w:space="0" w:color="auto"/>
            </w:tcBorders>
          </w:tcPr>
          <w:p>
            <w:pPr/>
          </w:p>
        </w:tc>
        <w:tc>
          <w:tcPr>
            <w:tcW w:w="2090" w:type="dxa"/>
            <w:tcBorders>
              <w:top w:val="nil" w:sz="6" w:space="0" w:color="auto"/>
              <w:left w:val="nil" w:sz="6" w:space="0" w:color="auto"/>
              <w:bottom w:val="single" w:sz="4" w:space="0" w:color="000000"/>
              <w:right w:val="nil" w:sz="6" w:space="0" w:color="auto"/>
            </w:tcBorders>
          </w:tcPr>
          <w:p>
            <w:pPr>
              <w:pStyle w:val="TableParagraph"/>
              <w:spacing w:line="236" w:lineRule="exact"/>
              <w:ind w:right="50"/>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8"/>
                <w:sz w:val="22"/>
                <w:szCs w:val="22"/>
              </w:rPr>
              <w:t> </w:t>
            </w:r>
            <w:r>
              <w:rPr>
                <w:rFonts w:ascii="宋体" w:hAnsi="宋体" w:cs="宋体" w:eastAsia="宋体" w:hint="default"/>
                <w:sz w:val="22"/>
                <w:szCs w:val="22"/>
              </w:rPr>
              <w:t>年</w:t>
            </w:r>
          </w:p>
        </w:tc>
      </w:tr>
      <w:tr>
        <w:trPr>
          <w:trHeight w:val="536" w:hRule="exact"/>
        </w:trPr>
        <w:tc>
          <w:tcPr>
            <w:tcW w:w="474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00" w:right="0"/>
              <w:jc w:val="left"/>
              <w:rPr>
                <w:rFonts w:ascii="宋体" w:hAnsi="宋体" w:cs="宋体" w:eastAsia="宋体" w:hint="default"/>
                <w:sz w:val="22"/>
                <w:szCs w:val="22"/>
              </w:rPr>
            </w:pPr>
            <w:r>
              <w:rPr>
                <w:rFonts w:ascii="Arial" w:hAnsi="Arial" w:cs="Arial" w:eastAsia="Arial" w:hint="default"/>
                <w:sz w:val="22"/>
                <w:szCs w:val="22"/>
              </w:rPr>
              <w:t>3</w:t>
            </w:r>
            <w:r>
              <w:rPr>
                <w:rFonts w:ascii="Arial" w:hAnsi="Arial" w:cs="Arial" w:eastAsia="Arial" w:hint="default"/>
                <w:spacing w:val="-8"/>
                <w:sz w:val="22"/>
                <w:szCs w:val="22"/>
              </w:rPr>
              <w:t> </w:t>
            </w:r>
            <w:r>
              <w:rPr>
                <w:rFonts w:ascii="宋体" w:hAnsi="宋体" w:cs="宋体" w:eastAsia="宋体" w:hint="default"/>
                <w:sz w:val="22"/>
                <w:szCs w:val="22"/>
              </w:rPr>
              <w:t>个月以上银行存款及限制性存款的增加</w:t>
            </w:r>
            <w:r>
              <w:rPr>
                <w:rFonts w:ascii="宋体" w:hAnsi="宋体" w:cs="宋体" w:eastAsia="宋体" w:hint="default"/>
                <w:sz w:val="22"/>
                <w:szCs w:val="22"/>
              </w:rPr>
              <w:t> </w:t>
            </w:r>
          </w:p>
        </w:tc>
        <w:tc>
          <w:tcPr>
            <w:tcW w:w="2093"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54"/>
              <w:jc w:val="right"/>
              <w:rPr>
                <w:rFonts w:ascii="Arial" w:hAnsi="Arial" w:cs="Arial" w:eastAsia="Arial" w:hint="default"/>
                <w:sz w:val="22"/>
                <w:szCs w:val="22"/>
              </w:rPr>
            </w:pPr>
            <w:r>
              <w:rPr>
                <w:rFonts w:ascii="Arial"/>
                <w:w w:val="100"/>
                <w:sz w:val="22"/>
              </w:rPr>
              <w:t>-</w:t>
            </w:r>
          </w:p>
        </w:tc>
        <w:tc>
          <w:tcPr>
            <w:tcW w:w="127" w:type="dxa"/>
            <w:tcBorders>
              <w:top w:val="nil" w:sz="6" w:space="0" w:color="auto"/>
              <w:left w:val="nil" w:sz="6" w:space="0" w:color="auto"/>
              <w:bottom w:val="nil" w:sz="6" w:space="0" w:color="auto"/>
              <w:right w:val="nil" w:sz="6" w:space="0" w:color="auto"/>
            </w:tcBorders>
          </w:tcPr>
          <w:p>
            <w:pPr/>
          </w:p>
        </w:tc>
        <w:tc>
          <w:tcPr>
            <w:tcW w:w="2090"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57"/>
              <w:jc w:val="right"/>
              <w:rPr>
                <w:rFonts w:ascii="Arial" w:hAnsi="Arial" w:cs="Arial" w:eastAsia="Arial" w:hint="default"/>
                <w:sz w:val="22"/>
                <w:szCs w:val="22"/>
              </w:rPr>
            </w:pPr>
            <w:r>
              <w:rPr>
                <w:rFonts w:ascii="Arial"/>
                <w:spacing w:val="-1"/>
                <w:sz w:val="22"/>
              </w:rPr>
              <w:t>30,500,146</w:t>
            </w:r>
          </w:p>
        </w:tc>
      </w:tr>
      <w:tr>
        <w:trPr>
          <w:trHeight w:val="415" w:hRule="exact"/>
        </w:trPr>
        <w:tc>
          <w:tcPr>
            <w:tcW w:w="4741"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财务公司发放贷款</w:t>
            </w:r>
            <w:r>
              <w:rPr>
                <w:rFonts w:ascii="宋体" w:hAnsi="宋体" w:cs="宋体" w:eastAsia="宋体" w:hint="default"/>
                <w:sz w:val="22"/>
                <w:szCs w:val="22"/>
              </w:rPr>
              <w:t> </w:t>
            </w:r>
          </w:p>
        </w:tc>
        <w:tc>
          <w:tcPr>
            <w:tcW w:w="2093" w:type="dxa"/>
            <w:tcBorders>
              <w:top w:val="nil" w:sz="6" w:space="0" w:color="auto"/>
              <w:left w:val="nil" w:sz="6" w:space="0" w:color="auto"/>
              <w:bottom w:val="nil" w:sz="6" w:space="0" w:color="auto"/>
              <w:right w:val="nil" w:sz="6" w:space="0" w:color="auto"/>
            </w:tcBorders>
          </w:tcPr>
          <w:p>
            <w:pPr>
              <w:pStyle w:val="TableParagraph"/>
              <w:tabs>
                <w:tab w:pos="503" w:val="left" w:leader="none"/>
              </w:tabs>
              <w:spacing w:line="240" w:lineRule="auto" w:before="16"/>
              <w:ind w:right="5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11,434,000,000</w:t>
            </w:r>
            <w:r>
              <w:rPr>
                <w:rFonts w:ascii="Arial"/>
                <w:sz w:val="22"/>
              </w:rPr>
            </w:r>
          </w:p>
        </w:tc>
        <w:tc>
          <w:tcPr>
            <w:tcW w:w="127" w:type="dxa"/>
            <w:tcBorders>
              <w:top w:val="nil" w:sz="6" w:space="0" w:color="auto"/>
              <w:left w:val="nil" w:sz="6" w:space="0" w:color="auto"/>
              <w:bottom w:val="nil" w:sz="6" w:space="0" w:color="auto"/>
              <w:right w:val="nil" w:sz="6" w:space="0" w:color="auto"/>
            </w:tcBorders>
          </w:tcPr>
          <w:p>
            <w:pPr/>
          </w:p>
        </w:tc>
        <w:tc>
          <w:tcPr>
            <w:tcW w:w="2090" w:type="dxa"/>
            <w:tcBorders>
              <w:top w:val="nil" w:sz="6" w:space="0" w:color="auto"/>
              <w:left w:val="nil" w:sz="6" w:space="0" w:color="auto"/>
              <w:bottom w:val="nil" w:sz="6" w:space="0" w:color="auto"/>
              <w:right w:val="nil" w:sz="6" w:space="0" w:color="auto"/>
            </w:tcBorders>
          </w:tcPr>
          <w:p>
            <w:pPr>
              <w:pStyle w:val="TableParagraph"/>
              <w:tabs>
                <w:tab w:pos="489" w:val="left" w:leader="none"/>
              </w:tabs>
              <w:spacing w:line="240" w:lineRule="auto" w:before="16"/>
              <w:ind w:right="55"/>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13,558,000,000</w:t>
            </w:r>
            <w:r>
              <w:rPr>
                <w:rFonts w:ascii="Arial"/>
                <w:sz w:val="22"/>
              </w:rPr>
            </w:r>
          </w:p>
        </w:tc>
      </w:tr>
      <w:tr>
        <w:trPr>
          <w:trHeight w:val="429" w:hRule="exact"/>
        </w:trPr>
        <w:tc>
          <w:tcPr>
            <w:tcW w:w="474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合计</w:t>
            </w:r>
            <w:r>
              <w:rPr>
                <w:rFonts w:ascii="宋体" w:hAnsi="宋体" w:cs="宋体" w:eastAsia="宋体" w:hint="default"/>
                <w:sz w:val="22"/>
                <w:szCs w:val="22"/>
              </w:rPr>
              <w:t> </w:t>
            </w:r>
          </w:p>
        </w:tc>
        <w:tc>
          <w:tcPr>
            <w:tcW w:w="2093"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50"/>
              <w:jc w:val="right"/>
              <w:rPr>
                <w:rFonts w:ascii="Arial" w:hAnsi="Arial" w:cs="Arial" w:eastAsia="Arial" w:hint="default"/>
                <w:sz w:val="22"/>
                <w:szCs w:val="22"/>
              </w:rPr>
            </w:pPr>
            <w:r>
              <w:rPr>
                <w:rFonts w:ascii="Arial"/>
                <w:sz w:val="22"/>
              </w:rPr>
              <w:t>11,434,000,000</w:t>
            </w:r>
          </w:p>
        </w:tc>
        <w:tc>
          <w:tcPr>
            <w:tcW w:w="127" w:type="dxa"/>
            <w:tcBorders>
              <w:top w:val="nil" w:sz="6" w:space="0" w:color="auto"/>
              <w:left w:val="nil" w:sz="6" w:space="0" w:color="auto"/>
              <w:bottom w:val="nil" w:sz="6" w:space="0" w:color="auto"/>
              <w:right w:val="nil" w:sz="6" w:space="0" w:color="auto"/>
            </w:tcBorders>
          </w:tcPr>
          <w:p>
            <w:pPr/>
          </w:p>
        </w:tc>
        <w:tc>
          <w:tcPr>
            <w:tcW w:w="2090"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55"/>
              <w:jc w:val="right"/>
              <w:rPr>
                <w:rFonts w:ascii="Arial" w:hAnsi="Arial" w:cs="Arial" w:eastAsia="Arial" w:hint="default"/>
                <w:sz w:val="22"/>
                <w:szCs w:val="22"/>
              </w:rPr>
            </w:pPr>
            <w:r>
              <w:rPr>
                <w:rFonts w:ascii="Arial"/>
                <w:sz w:val="22"/>
              </w:rPr>
              <w:t>13,588,500,146</w:t>
            </w:r>
          </w:p>
        </w:tc>
      </w:tr>
    </w:tbl>
    <w:p>
      <w:pPr>
        <w:spacing w:line="240" w:lineRule="auto" w:before="10"/>
        <w:rPr>
          <w:rFonts w:ascii="宋体" w:hAnsi="宋体" w:cs="宋体" w:eastAsia="宋体" w:hint="default"/>
          <w:sz w:val="13"/>
          <w:szCs w:val="13"/>
        </w:rPr>
      </w:pPr>
    </w:p>
    <w:p>
      <w:pPr>
        <w:pStyle w:val="BodyText"/>
        <w:spacing w:line="240" w:lineRule="auto" w:before="32"/>
        <w:ind w:left="127" w:right="0"/>
        <w:jc w:val="left"/>
      </w:pPr>
      <w:r>
        <w:rPr>
          <w:rFonts w:ascii="Arial" w:hAnsi="Arial" w:cs="Arial" w:eastAsia="Arial" w:hint="default"/>
        </w:rPr>
        <w:t>(e) </w:t>
      </w:r>
      <w:r>
        <w:rPr>
          <w:rFonts w:ascii="Arial" w:hAnsi="Arial" w:cs="Arial" w:eastAsia="Arial" w:hint="default"/>
          <w:spacing w:val="17"/>
        </w:rPr>
        <w:t> </w:t>
      </w:r>
      <w:r>
        <w:rPr/>
        <w:t>收到其他与筹资活动有关的现金</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0"/>
          <w:szCs w:val="20"/>
        </w:rPr>
      </w:pPr>
    </w:p>
    <w:tbl>
      <w:tblPr>
        <w:tblW w:w="0" w:type="auto"/>
        <w:jc w:val="left"/>
        <w:tblInd w:w="364" w:type="dxa"/>
        <w:tblLayout w:type="fixed"/>
        <w:tblCellMar>
          <w:top w:w="0" w:type="dxa"/>
          <w:left w:w="0" w:type="dxa"/>
          <w:bottom w:w="0" w:type="dxa"/>
          <w:right w:w="0" w:type="dxa"/>
        </w:tblCellMar>
        <w:tblLook w:val="01E0"/>
      </w:tblPr>
      <w:tblGrid>
        <w:gridCol w:w="4818"/>
        <w:gridCol w:w="2050"/>
        <w:gridCol w:w="122"/>
        <w:gridCol w:w="2071"/>
      </w:tblGrid>
      <w:tr>
        <w:trPr>
          <w:trHeight w:val="257" w:hRule="exact"/>
        </w:trPr>
        <w:tc>
          <w:tcPr>
            <w:tcW w:w="4818" w:type="dxa"/>
            <w:tcBorders>
              <w:top w:val="nil" w:sz="6" w:space="0" w:color="auto"/>
              <w:left w:val="nil" w:sz="6" w:space="0" w:color="auto"/>
              <w:bottom w:val="nil" w:sz="6" w:space="0" w:color="auto"/>
              <w:right w:val="nil" w:sz="6" w:space="0" w:color="auto"/>
            </w:tcBorders>
          </w:tcPr>
          <w:p>
            <w:pPr/>
          </w:p>
        </w:tc>
        <w:tc>
          <w:tcPr>
            <w:tcW w:w="2050" w:type="dxa"/>
            <w:tcBorders>
              <w:top w:val="nil" w:sz="6" w:space="0" w:color="auto"/>
              <w:left w:val="nil" w:sz="6" w:space="0" w:color="auto"/>
              <w:bottom w:val="single" w:sz="4" w:space="0" w:color="000000"/>
              <w:right w:val="nil" w:sz="6" w:space="0" w:color="auto"/>
            </w:tcBorders>
          </w:tcPr>
          <w:p>
            <w:pPr>
              <w:pStyle w:val="TableParagraph"/>
              <w:spacing w:line="236" w:lineRule="exact"/>
              <w:ind w:right="50"/>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8"/>
                <w:sz w:val="22"/>
                <w:szCs w:val="22"/>
              </w:rPr>
              <w:t> </w:t>
            </w:r>
            <w:r>
              <w:rPr>
                <w:rFonts w:ascii="宋体" w:hAnsi="宋体" w:cs="宋体" w:eastAsia="宋体" w:hint="default"/>
                <w:sz w:val="22"/>
                <w:szCs w:val="22"/>
              </w:rPr>
              <w:t>年</w:t>
            </w:r>
          </w:p>
        </w:tc>
        <w:tc>
          <w:tcPr>
            <w:tcW w:w="122" w:type="dxa"/>
            <w:tcBorders>
              <w:top w:val="nil" w:sz="6" w:space="0" w:color="auto"/>
              <w:left w:val="nil" w:sz="6" w:space="0" w:color="auto"/>
              <w:bottom w:val="nil" w:sz="6" w:space="0" w:color="auto"/>
              <w:right w:val="nil" w:sz="6" w:space="0" w:color="auto"/>
            </w:tcBorders>
          </w:tcPr>
          <w:p>
            <w:pPr/>
          </w:p>
        </w:tc>
        <w:tc>
          <w:tcPr>
            <w:tcW w:w="2071" w:type="dxa"/>
            <w:tcBorders>
              <w:top w:val="nil" w:sz="6" w:space="0" w:color="auto"/>
              <w:left w:val="nil" w:sz="6" w:space="0" w:color="auto"/>
              <w:bottom w:val="single" w:sz="4" w:space="0" w:color="000000"/>
              <w:right w:val="nil" w:sz="6" w:space="0" w:color="auto"/>
            </w:tcBorders>
          </w:tcPr>
          <w:p>
            <w:pPr>
              <w:pStyle w:val="TableParagraph"/>
              <w:spacing w:line="236" w:lineRule="exact"/>
              <w:ind w:right="47"/>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8"/>
                <w:sz w:val="22"/>
                <w:szCs w:val="22"/>
              </w:rPr>
              <w:t> </w:t>
            </w:r>
            <w:r>
              <w:rPr>
                <w:rFonts w:ascii="宋体" w:hAnsi="宋体" w:cs="宋体" w:eastAsia="宋体" w:hint="default"/>
                <w:sz w:val="22"/>
                <w:szCs w:val="22"/>
              </w:rPr>
              <w:t>年</w:t>
            </w:r>
          </w:p>
        </w:tc>
      </w:tr>
      <w:tr>
        <w:trPr>
          <w:trHeight w:val="334" w:hRule="exact"/>
        </w:trPr>
        <w:tc>
          <w:tcPr>
            <w:tcW w:w="4818" w:type="dxa"/>
            <w:tcBorders>
              <w:top w:val="nil" w:sz="6" w:space="0" w:color="auto"/>
              <w:left w:val="nil" w:sz="6" w:space="0" w:color="auto"/>
              <w:bottom w:val="nil" w:sz="6" w:space="0" w:color="auto"/>
              <w:right w:val="nil" w:sz="6" w:space="0" w:color="auto"/>
            </w:tcBorders>
          </w:tcPr>
          <w:p>
            <w:pPr>
              <w:pStyle w:val="TableParagraph"/>
              <w:spacing w:line="276" w:lineRule="exact"/>
              <w:ind w:left="200" w:right="0"/>
              <w:jc w:val="left"/>
              <w:rPr>
                <w:rFonts w:ascii="宋体" w:hAnsi="宋体" w:cs="宋体" w:eastAsia="宋体" w:hint="default"/>
                <w:sz w:val="22"/>
                <w:szCs w:val="22"/>
              </w:rPr>
            </w:pPr>
            <w:r>
              <w:rPr>
                <w:rFonts w:ascii="宋体" w:hAnsi="宋体" w:cs="宋体" w:eastAsia="宋体" w:hint="default"/>
                <w:sz w:val="22"/>
                <w:szCs w:val="22"/>
              </w:rPr>
              <w:t>财务公司净吸收存款增加</w:t>
            </w:r>
            <w:r>
              <w:rPr>
                <w:rFonts w:ascii="宋体" w:hAnsi="宋体" w:cs="宋体" w:eastAsia="宋体" w:hint="default"/>
                <w:sz w:val="22"/>
                <w:szCs w:val="22"/>
              </w:rPr>
              <w:t> </w:t>
            </w:r>
          </w:p>
        </w:tc>
        <w:tc>
          <w:tcPr>
            <w:tcW w:w="2050" w:type="dxa"/>
            <w:tcBorders>
              <w:top w:val="single" w:sz="4" w:space="0" w:color="000000"/>
              <w:left w:val="nil" w:sz="6" w:space="0" w:color="auto"/>
              <w:bottom w:val="single" w:sz="17" w:space="0" w:color="000000"/>
              <w:right w:val="nil" w:sz="6" w:space="0" w:color="auto"/>
            </w:tcBorders>
          </w:tcPr>
          <w:p>
            <w:pPr>
              <w:pStyle w:val="TableParagraph"/>
              <w:spacing w:line="240" w:lineRule="auto" w:before="53"/>
              <w:ind w:right="54"/>
              <w:jc w:val="right"/>
              <w:rPr>
                <w:rFonts w:ascii="Arial" w:hAnsi="Arial" w:cs="Arial" w:eastAsia="Arial" w:hint="default"/>
                <w:sz w:val="22"/>
                <w:szCs w:val="22"/>
              </w:rPr>
            </w:pPr>
            <w:r>
              <w:rPr>
                <w:rFonts w:ascii="Arial"/>
                <w:w w:val="100"/>
                <w:sz w:val="22"/>
              </w:rPr>
              <w:t>-</w:t>
            </w:r>
          </w:p>
        </w:tc>
        <w:tc>
          <w:tcPr>
            <w:tcW w:w="122" w:type="dxa"/>
            <w:tcBorders>
              <w:top w:val="nil" w:sz="6" w:space="0" w:color="auto"/>
              <w:left w:val="nil" w:sz="6" w:space="0" w:color="auto"/>
              <w:bottom w:val="nil" w:sz="6" w:space="0" w:color="auto"/>
              <w:right w:val="nil" w:sz="6" w:space="0" w:color="auto"/>
            </w:tcBorders>
          </w:tcPr>
          <w:p>
            <w:pPr/>
          </w:p>
        </w:tc>
        <w:tc>
          <w:tcPr>
            <w:tcW w:w="2071" w:type="dxa"/>
            <w:tcBorders>
              <w:top w:val="single" w:sz="4" w:space="0" w:color="000000"/>
              <w:left w:val="nil" w:sz="6" w:space="0" w:color="auto"/>
              <w:bottom w:val="single" w:sz="17" w:space="0" w:color="000000"/>
              <w:right w:val="nil" w:sz="6" w:space="0" w:color="auto"/>
            </w:tcBorders>
          </w:tcPr>
          <w:p>
            <w:pPr>
              <w:pStyle w:val="TableParagraph"/>
              <w:spacing w:line="240" w:lineRule="auto" w:before="53"/>
              <w:ind w:right="53"/>
              <w:jc w:val="right"/>
              <w:rPr>
                <w:rFonts w:ascii="Arial" w:hAnsi="Arial" w:cs="Arial" w:eastAsia="Arial" w:hint="default"/>
                <w:sz w:val="22"/>
                <w:szCs w:val="22"/>
              </w:rPr>
            </w:pPr>
            <w:r>
              <w:rPr>
                <w:rFonts w:ascii="Arial"/>
                <w:spacing w:val="-1"/>
                <w:sz w:val="22"/>
              </w:rPr>
              <w:t>2,233,338,088</w:t>
            </w:r>
          </w:p>
        </w:tc>
      </w:tr>
    </w:tbl>
    <w:p>
      <w:pPr>
        <w:spacing w:line="240" w:lineRule="auto" w:before="2"/>
        <w:rPr>
          <w:rFonts w:ascii="宋体" w:hAnsi="宋体" w:cs="宋体" w:eastAsia="宋体" w:hint="default"/>
          <w:sz w:val="14"/>
          <w:szCs w:val="14"/>
        </w:rPr>
      </w:pPr>
    </w:p>
    <w:p>
      <w:pPr>
        <w:pStyle w:val="BodyText"/>
        <w:spacing w:line="240" w:lineRule="auto" w:before="32"/>
        <w:ind w:left="127" w:right="0"/>
        <w:jc w:val="left"/>
      </w:pPr>
      <w:r>
        <w:rPr>
          <w:rFonts w:ascii="Arial" w:hAnsi="Arial" w:cs="Arial" w:eastAsia="Arial" w:hint="default"/>
        </w:rPr>
        <w:t>(f)  </w:t>
      </w:r>
      <w:r>
        <w:rPr>
          <w:rFonts w:ascii="Arial" w:hAnsi="Arial" w:cs="Arial" w:eastAsia="Arial" w:hint="default"/>
          <w:spacing w:val="16"/>
        </w:rPr>
        <w:t> </w:t>
      </w:r>
      <w:r>
        <w:rPr/>
        <w:t>支付其他与筹资活动有关的现金</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0"/>
          <w:szCs w:val="20"/>
        </w:rPr>
      </w:pPr>
    </w:p>
    <w:tbl>
      <w:tblPr>
        <w:tblW w:w="0" w:type="auto"/>
        <w:jc w:val="left"/>
        <w:tblInd w:w="335" w:type="dxa"/>
        <w:tblLayout w:type="fixed"/>
        <w:tblCellMar>
          <w:top w:w="0" w:type="dxa"/>
          <w:left w:w="0" w:type="dxa"/>
          <w:bottom w:w="0" w:type="dxa"/>
          <w:right w:w="0" w:type="dxa"/>
        </w:tblCellMar>
        <w:tblLook w:val="01E0"/>
      </w:tblPr>
      <w:tblGrid>
        <w:gridCol w:w="4832"/>
        <w:gridCol w:w="2064"/>
        <w:gridCol w:w="156"/>
        <w:gridCol w:w="2052"/>
      </w:tblGrid>
      <w:tr>
        <w:trPr>
          <w:trHeight w:val="257" w:hRule="exact"/>
        </w:trPr>
        <w:tc>
          <w:tcPr>
            <w:tcW w:w="4832" w:type="dxa"/>
            <w:tcBorders>
              <w:top w:val="nil" w:sz="6" w:space="0" w:color="auto"/>
              <w:left w:val="nil" w:sz="6" w:space="0" w:color="auto"/>
              <w:bottom w:val="nil" w:sz="6" w:space="0" w:color="auto"/>
              <w:right w:val="nil" w:sz="6" w:space="0" w:color="auto"/>
            </w:tcBorders>
          </w:tcPr>
          <w:p>
            <w:pPr/>
          </w:p>
        </w:tc>
        <w:tc>
          <w:tcPr>
            <w:tcW w:w="2064" w:type="dxa"/>
            <w:tcBorders>
              <w:top w:val="nil" w:sz="6" w:space="0" w:color="auto"/>
              <w:left w:val="nil" w:sz="6" w:space="0" w:color="auto"/>
              <w:bottom w:val="single" w:sz="4" w:space="0" w:color="000000"/>
              <w:right w:val="nil" w:sz="6" w:space="0" w:color="auto"/>
            </w:tcBorders>
          </w:tcPr>
          <w:p>
            <w:pPr>
              <w:pStyle w:val="TableParagraph"/>
              <w:spacing w:line="236" w:lineRule="exact"/>
              <w:ind w:right="50"/>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8"/>
                <w:sz w:val="22"/>
                <w:szCs w:val="22"/>
              </w:rPr>
              <w:t> </w:t>
            </w:r>
            <w:r>
              <w:rPr>
                <w:rFonts w:ascii="宋体" w:hAnsi="宋体" w:cs="宋体" w:eastAsia="宋体" w:hint="default"/>
                <w:sz w:val="22"/>
                <w:szCs w:val="22"/>
              </w:rPr>
              <w:t>年</w:t>
            </w:r>
          </w:p>
        </w:tc>
        <w:tc>
          <w:tcPr>
            <w:tcW w:w="156"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single" w:sz="4" w:space="0" w:color="000000"/>
              <w:right w:val="nil" w:sz="6" w:space="0" w:color="auto"/>
            </w:tcBorders>
          </w:tcPr>
          <w:p>
            <w:pPr>
              <w:pStyle w:val="TableParagraph"/>
              <w:spacing w:line="236" w:lineRule="exact"/>
              <w:ind w:right="50"/>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8"/>
                <w:sz w:val="22"/>
                <w:szCs w:val="22"/>
              </w:rPr>
              <w:t> </w:t>
            </w:r>
            <w:r>
              <w:rPr>
                <w:rFonts w:ascii="宋体" w:hAnsi="宋体" w:cs="宋体" w:eastAsia="宋体" w:hint="default"/>
                <w:sz w:val="22"/>
                <w:szCs w:val="22"/>
              </w:rPr>
              <w:t>年</w:t>
            </w:r>
          </w:p>
        </w:tc>
      </w:tr>
      <w:tr>
        <w:trPr>
          <w:trHeight w:val="651" w:hRule="exact"/>
        </w:trPr>
        <w:tc>
          <w:tcPr>
            <w:tcW w:w="483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财务公司法定存款准备金增加</w:t>
            </w:r>
            <w:r>
              <w:rPr>
                <w:rFonts w:ascii="宋体" w:hAnsi="宋体" w:cs="宋体" w:eastAsia="宋体" w:hint="default"/>
                <w:sz w:val="22"/>
                <w:szCs w:val="22"/>
              </w:rPr>
              <w:t> </w:t>
            </w:r>
          </w:p>
        </w:tc>
        <w:tc>
          <w:tcPr>
            <w:tcW w:w="2064"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7"/>
                <w:szCs w:val="27"/>
              </w:rPr>
            </w:pPr>
          </w:p>
          <w:p>
            <w:pPr>
              <w:pStyle w:val="TableParagraph"/>
              <w:spacing w:line="240" w:lineRule="auto"/>
              <w:ind w:right="52"/>
              <w:jc w:val="right"/>
              <w:rPr>
                <w:rFonts w:ascii="Arial" w:hAnsi="Arial" w:cs="Arial" w:eastAsia="Arial" w:hint="default"/>
                <w:sz w:val="22"/>
                <w:szCs w:val="22"/>
              </w:rPr>
            </w:pPr>
            <w:r>
              <w:rPr>
                <w:rFonts w:ascii="Arial"/>
                <w:spacing w:val="-1"/>
                <w:sz w:val="22"/>
              </w:rPr>
              <w:t>350,534,533</w:t>
            </w:r>
          </w:p>
        </w:tc>
        <w:tc>
          <w:tcPr>
            <w:tcW w:w="156" w:type="dxa"/>
            <w:tcBorders>
              <w:top w:val="nil" w:sz="6" w:space="0" w:color="auto"/>
              <w:left w:val="nil" w:sz="6" w:space="0" w:color="auto"/>
              <w:bottom w:val="nil" w:sz="6" w:space="0" w:color="auto"/>
              <w:right w:val="nil" w:sz="6" w:space="0" w:color="auto"/>
            </w:tcBorders>
          </w:tcPr>
          <w:p>
            <w:pPr/>
          </w:p>
        </w:tc>
        <w:tc>
          <w:tcPr>
            <w:tcW w:w="2052"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7"/>
                <w:szCs w:val="27"/>
              </w:rPr>
            </w:pPr>
          </w:p>
          <w:p>
            <w:pPr>
              <w:pStyle w:val="TableParagraph"/>
              <w:spacing w:line="240" w:lineRule="auto"/>
              <w:ind w:right="55"/>
              <w:jc w:val="right"/>
              <w:rPr>
                <w:rFonts w:ascii="Arial" w:hAnsi="Arial" w:cs="Arial" w:eastAsia="Arial" w:hint="default"/>
                <w:sz w:val="22"/>
                <w:szCs w:val="22"/>
              </w:rPr>
            </w:pPr>
            <w:r>
              <w:rPr>
                <w:rFonts w:ascii="Arial"/>
                <w:sz w:val="22"/>
              </w:rPr>
              <w:t>679,820,599</w:t>
            </w:r>
          </w:p>
        </w:tc>
      </w:tr>
      <w:tr>
        <w:trPr>
          <w:trHeight w:val="329" w:hRule="exact"/>
        </w:trPr>
        <w:tc>
          <w:tcPr>
            <w:tcW w:w="4832" w:type="dxa"/>
            <w:tcBorders>
              <w:top w:val="nil" w:sz="6" w:space="0" w:color="auto"/>
              <w:left w:val="nil" w:sz="6" w:space="0" w:color="auto"/>
              <w:bottom w:val="nil" w:sz="6" w:space="0" w:color="auto"/>
              <w:right w:val="nil" w:sz="6" w:space="0" w:color="auto"/>
            </w:tcBorders>
          </w:tcPr>
          <w:p>
            <w:pPr>
              <w:pStyle w:val="TableParagraph"/>
              <w:spacing w:line="263" w:lineRule="exact"/>
              <w:ind w:left="200" w:right="0"/>
              <w:jc w:val="left"/>
              <w:rPr>
                <w:rFonts w:ascii="宋体" w:hAnsi="宋体" w:cs="宋体" w:eastAsia="宋体" w:hint="default"/>
                <w:sz w:val="22"/>
                <w:szCs w:val="22"/>
              </w:rPr>
            </w:pPr>
            <w:r>
              <w:rPr>
                <w:rFonts w:ascii="宋体" w:hAnsi="宋体" w:cs="宋体" w:eastAsia="宋体" w:hint="default"/>
                <w:sz w:val="22"/>
                <w:szCs w:val="22"/>
              </w:rPr>
              <w:t>财务公司净吸收存款减少</w:t>
            </w:r>
            <w:r>
              <w:rPr>
                <w:rFonts w:ascii="宋体" w:hAnsi="宋体" w:cs="宋体" w:eastAsia="宋体" w:hint="default"/>
                <w:sz w:val="22"/>
                <w:szCs w:val="22"/>
              </w:rPr>
              <w:t> </w:t>
            </w:r>
          </w:p>
        </w:tc>
        <w:tc>
          <w:tcPr>
            <w:tcW w:w="206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53"/>
              <w:jc w:val="right"/>
              <w:rPr>
                <w:rFonts w:ascii="Arial" w:hAnsi="Arial" w:cs="Arial" w:eastAsia="Arial" w:hint="default"/>
                <w:sz w:val="22"/>
                <w:szCs w:val="22"/>
              </w:rPr>
            </w:pPr>
            <w:r>
              <w:rPr>
                <w:rFonts w:ascii="Arial"/>
                <w:spacing w:val="-1"/>
                <w:sz w:val="22"/>
              </w:rPr>
              <w:t>4,628,574</w:t>
            </w:r>
          </w:p>
        </w:tc>
        <w:tc>
          <w:tcPr>
            <w:tcW w:w="156"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54"/>
              <w:jc w:val="right"/>
              <w:rPr>
                <w:rFonts w:ascii="Arial" w:hAnsi="Arial" w:cs="Arial" w:eastAsia="Arial" w:hint="default"/>
                <w:sz w:val="22"/>
                <w:szCs w:val="22"/>
              </w:rPr>
            </w:pPr>
            <w:r>
              <w:rPr>
                <w:rFonts w:ascii="Arial"/>
                <w:w w:val="100"/>
                <w:sz w:val="22"/>
              </w:rPr>
              <w:t>-</w:t>
            </w:r>
          </w:p>
        </w:tc>
      </w:tr>
      <w:tr>
        <w:trPr>
          <w:trHeight w:val="336" w:hRule="exact"/>
        </w:trPr>
        <w:tc>
          <w:tcPr>
            <w:tcW w:w="4832" w:type="dxa"/>
            <w:tcBorders>
              <w:top w:val="nil" w:sz="6" w:space="0" w:color="auto"/>
              <w:left w:val="nil" w:sz="6" w:space="0" w:color="auto"/>
              <w:bottom w:val="nil" w:sz="6" w:space="0" w:color="auto"/>
              <w:right w:val="nil" w:sz="6" w:space="0" w:color="auto"/>
            </w:tcBorders>
          </w:tcPr>
          <w:p>
            <w:pPr>
              <w:pStyle w:val="TableParagraph"/>
              <w:spacing w:line="261" w:lineRule="exact"/>
              <w:ind w:left="200" w:right="0"/>
              <w:jc w:val="left"/>
              <w:rPr>
                <w:rFonts w:ascii="宋体" w:hAnsi="宋体" w:cs="宋体" w:eastAsia="宋体" w:hint="default"/>
                <w:sz w:val="22"/>
                <w:szCs w:val="22"/>
              </w:rPr>
            </w:pPr>
            <w:r>
              <w:rPr>
                <w:rFonts w:ascii="宋体" w:hAnsi="宋体" w:cs="宋体" w:eastAsia="宋体" w:hint="default"/>
                <w:sz w:val="22"/>
                <w:szCs w:val="22"/>
              </w:rPr>
              <w:t>回购限制性股票支付的现金</w:t>
            </w:r>
            <w:r>
              <w:rPr>
                <w:rFonts w:ascii="宋体" w:hAnsi="宋体" w:cs="宋体" w:eastAsia="宋体" w:hint="default"/>
                <w:sz w:val="22"/>
                <w:szCs w:val="22"/>
              </w:rPr>
              <w:t> </w:t>
            </w:r>
          </w:p>
        </w:tc>
        <w:tc>
          <w:tcPr>
            <w:tcW w:w="2064" w:type="dxa"/>
            <w:tcBorders>
              <w:top w:val="nil" w:sz="6" w:space="0" w:color="auto"/>
              <w:left w:val="nil" w:sz="6" w:space="0" w:color="auto"/>
              <w:bottom w:val="nil" w:sz="6" w:space="0" w:color="auto"/>
              <w:right w:val="nil" w:sz="6" w:space="0" w:color="auto"/>
            </w:tcBorders>
          </w:tcPr>
          <w:p>
            <w:pPr>
              <w:pStyle w:val="TableParagraph"/>
              <w:tabs>
                <w:tab w:pos="907" w:val="left" w:leader="none"/>
              </w:tabs>
              <w:spacing w:line="240" w:lineRule="auto" w:before="42"/>
              <w:ind w:right="5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58,593,400</w:t>
            </w:r>
            <w:r>
              <w:rPr>
                <w:rFonts w:ascii="Arial"/>
                <w:spacing w:val="-1"/>
                <w:sz w:val="22"/>
              </w:rPr>
            </w:r>
          </w:p>
        </w:tc>
        <w:tc>
          <w:tcPr>
            <w:tcW w:w="156"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nil" w:sz="6" w:space="0" w:color="auto"/>
            </w:tcBorders>
          </w:tcPr>
          <w:p>
            <w:pPr>
              <w:pStyle w:val="TableParagraph"/>
              <w:tabs>
                <w:tab w:pos="1915" w:val="left" w:leader="none"/>
              </w:tabs>
              <w:spacing w:line="240" w:lineRule="auto" w:before="42"/>
              <w:ind w:right="54"/>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r>
            <w:r>
              <w:rPr>
                <w:rFonts w:ascii="Arial"/>
                <w:sz w:val="22"/>
              </w:rPr>
            </w:r>
          </w:p>
        </w:tc>
      </w:tr>
      <w:tr>
        <w:trPr>
          <w:trHeight w:val="321" w:hRule="exact"/>
        </w:trPr>
        <w:tc>
          <w:tcPr>
            <w:tcW w:w="4832" w:type="dxa"/>
            <w:tcBorders>
              <w:top w:val="nil" w:sz="6" w:space="0" w:color="auto"/>
              <w:left w:val="nil" w:sz="6" w:space="0" w:color="auto"/>
              <w:bottom w:val="nil" w:sz="6" w:space="0" w:color="auto"/>
              <w:right w:val="nil" w:sz="6" w:space="0" w:color="auto"/>
            </w:tcBorders>
          </w:tcPr>
          <w:p>
            <w:pPr>
              <w:pStyle w:val="TableParagraph"/>
              <w:spacing w:line="266" w:lineRule="exact"/>
              <w:ind w:left="200" w:right="0"/>
              <w:jc w:val="left"/>
              <w:rPr>
                <w:rFonts w:ascii="宋体" w:hAnsi="宋体" w:cs="宋体" w:eastAsia="宋体" w:hint="default"/>
                <w:sz w:val="22"/>
                <w:szCs w:val="22"/>
              </w:rPr>
            </w:pPr>
            <w:r>
              <w:rPr>
                <w:rFonts w:ascii="宋体"/>
                <w:w w:val="100"/>
                <w:sz w:val="22"/>
              </w:rPr>
              <w:t> </w:t>
            </w:r>
          </w:p>
        </w:tc>
        <w:tc>
          <w:tcPr>
            <w:tcW w:w="4272" w:type="dxa"/>
            <w:gridSpan w:val="3"/>
            <w:tcBorders>
              <w:top w:val="nil" w:sz="6" w:space="0" w:color="auto"/>
              <w:left w:val="nil" w:sz="6" w:space="0" w:color="auto"/>
              <w:bottom w:val="nil" w:sz="6" w:space="0" w:color="auto"/>
              <w:right w:val="nil" w:sz="6" w:space="0" w:color="auto"/>
            </w:tcBorders>
          </w:tcPr>
          <w:p>
            <w:pPr/>
          </w:p>
        </w:tc>
      </w:tr>
      <w:tr>
        <w:trPr>
          <w:trHeight w:val="334" w:hRule="exact"/>
        </w:trPr>
        <w:tc>
          <w:tcPr>
            <w:tcW w:w="4832" w:type="dxa"/>
            <w:tcBorders>
              <w:top w:val="nil" w:sz="6" w:space="0" w:color="auto"/>
              <w:left w:val="nil" w:sz="6" w:space="0" w:color="auto"/>
              <w:bottom w:val="nil" w:sz="6" w:space="0" w:color="auto"/>
              <w:right w:val="nil" w:sz="6" w:space="0" w:color="auto"/>
            </w:tcBorders>
          </w:tcPr>
          <w:p>
            <w:pPr>
              <w:pStyle w:val="TableParagraph"/>
              <w:spacing w:line="276" w:lineRule="exact"/>
              <w:ind w:left="200" w:right="0"/>
              <w:jc w:val="left"/>
              <w:rPr>
                <w:rFonts w:ascii="宋体" w:hAnsi="宋体" w:cs="宋体" w:eastAsia="宋体" w:hint="default"/>
                <w:sz w:val="22"/>
                <w:szCs w:val="22"/>
              </w:rPr>
            </w:pPr>
            <w:r>
              <w:rPr>
                <w:rFonts w:ascii="宋体" w:hAnsi="宋体" w:cs="宋体" w:eastAsia="宋体" w:hint="default"/>
                <w:sz w:val="22"/>
                <w:szCs w:val="22"/>
              </w:rPr>
              <w:t>合计</w:t>
            </w:r>
            <w:r>
              <w:rPr>
                <w:rFonts w:ascii="宋体" w:hAnsi="宋体" w:cs="宋体" w:eastAsia="宋体" w:hint="default"/>
                <w:sz w:val="22"/>
                <w:szCs w:val="22"/>
              </w:rPr>
              <w:t> </w:t>
            </w:r>
          </w:p>
        </w:tc>
        <w:tc>
          <w:tcPr>
            <w:tcW w:w="2064" w:type="dxa"/>
            <w:tcBorders>
              <w:top w:val="nil" w:sz="6" w:space="0" w:color="auto"/>
              <w:left w:val="nil" w:sz="6" w:space="0" w:color="auto"/>
              <w:bottom w:val="single" w:sz="17" w:space="0" w:color="000000"/>
              <w:right w:val="nil" w:sz="6" w:space="0" w:color="auto"/>
            </w:tcBorders>
          </w:tcPr>
          <w:p>
            <w:pPr>
              <w:pStyle w:val="TableParagraph"/>
              <w:spacing w:line="240" w:lineRule="auto" w:before="53"/>
              <w:ind w:right="53"/>
              <w:jc w:val="right"/>
              <w:rPr>
                <w:rFonts w:ascii="Arial" w:hAnsi="Arial" w:cs="Arial" w:eastAsia="Arial" w:hint="default"/>
                <w:sz w:val="22"/>
                <w:szCs w:val="22"/>
              </w:rPr>
            </w:pPr>
            <w:r>
              <w:rPr>
                <w:rFonts w:ascii="Arial"/>
                <w:spacing w:val="-1"/>
                <w:sz w:val="22"/>
              </w:rPr>
              <w:t>413,756,507</w:t>
            </w:r>
          </w:p>
        </w:tc>
        <w:tc>
          <w:tcPr>
            <w:tcW w:w="156"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single" w:sz="17" w:space="0" w:color="000000"/>
              <w:right w:val="nil" w:sz="6" w:space="0" w:color="auto"/>
            </w:tcBorders>
          </w:tcPr>
          <w:p>
            <w:pPr>
              <w:pStyle w:val="TableParagraph"/>
              <w:spacing w:line="240" w:lineRule="auto" w:before="53"/>
              <w:ind w:right="53"/>
              <w:jc w:val="right"/>
              <w:rPr>
                <w:rFonts w:ascii="Arial" w:hAnsi="Arial" w:cs="Arial" w:eastAsia="Arial" w:hint="default"/>
                <w:sz w:val="22"/>
                <w:szCs w:val="22"/>
              </w:rPr>
            </w:pPr>
            <w:r>
              <w:rPr>
                <w:rFonts w:ascii="Arial"/>
                <w:spacing w:val="-1"/>
                <w:sz w:val="22"/>
              </w:rPr>
              <w:t>679,820,599</w:t>
            </w:r>
          </w:p>
        </w:tc>
      </w:tr>
    </w:tbl>
    <w:p>
      <w:pPr>
        <w:spacing w:after="0" w:line="240" w:lineRule="auto"/>
        <w:jc w:val="right"/>
        <w:rPr>
          <w:rFonts w:ascii="Arial" w:hAnsi="Arial" w:cs="Arial" w:eastAsia="Arial" w:hint="default"/>
          <w:sz w:val="22"/>
          <w:szCs w:val="22"/>
        </w:rPr>
        <w:sectPr>
          <w:headerReference w:type="default" r:id="rId205"/>
          <w:pgSz w:w="11910" w:h="16840"/>
          <w:pgMar w:header="1188" w:footer="502" w:top="3040" w:bottom="700" w:left="1020" w:right="1320"/>
        </w:sectPr>
      </w:pPr>
    </w:p>
    <w:p>
      <w:pPr>
        <w:spacing w:line="240" w:lineRule="auto" w:before="7"/>
        <w:rPr>
          <w:rFonts w:ascii="宋体" w:hAnsi="宋体" w:cs="宋体" w:eastAsia="宋体" w:hint="default"/>
          <w:sz w:val="16"/>
          <w:szCs w:val="16"/>
        </w:rPr>
      </w:pPr>
    </w:p>
    <w:p>
      <w:pPr>
        <w:pStyle w:val="BodyText"/>
        <w:spacing w:line="424" w:lineRule="auto" w:before="32"/>
        <w:ind w:left="112" w:right="6734"/>
        <w:jc w:val="left"/>
      </w:pPr>
      <w:r>
        <w:rPr>
          <w:rFonts w:ascii="Arial" w:hAnsi="Arial" w:cs="Arial" w:eastAsia="Arial" w:hint="default"/>
          <w:spacing w:val="-1"/>
        </w:rPr>
        <w:t>52</w:t>
      </w:r>
      <w:r>
        <w:rPr>
          <w:spacing w:val="-1"/>
        </w:rPr>
        <w:t>、现金流量表补充资料</w:t>
      </w:r>
      <w:r>
        <w:rPr>
          <w:spacing w:val="-96"/>
        </w:rPr>
        <w:t> </w:t>
      </w:r>
      <w:r>
        <w:rPr>
          <w:spacing w:val="-96"/>
        </w:rPr>
      </w:r>
      <w:r>
        <w:rPr>
          <w:rFonts w:ascii="Arial" w:hAnsi="Arial" w:cs="Arial" w:eastAsia="Arial" w:hint="default"/>
        </w:rPr>
        <w:t>(a)  </w:t>
      </w:r>
      <w:r>
        <w:rPr>
          <w:rFonts w:ascii="Arial" w:hAnsi="Arial" w:cs="Arial" w:eastAsia="Arial" w:hint="default"/>
          <w:spacing w:val="10"/>
        </w:rPr>
        <w:t> </w:t>
      </w:r>
      <w:r>
        <w:rPr/>
        <w:t>现金流量表补充资料</w:t>
      </w:r>
    </w:p>
    <w:p>
      <w:pPr>
        <w:pStyle w:val="BodyText"/>
        <w:spacing w:line="261" w:lineRule="exact"/>
        <w:ind w:left="530" w:right="0"/>
        <w:jc w:val="left"/>
      </w:pPr>
      <w:r>
        <w:rPr/>
        <w:t>将合并净利润调节为经营活动现金流量：</w:t>
      </w:r>
    </w:p>
    <w:p>
      <w:pPr>
        <w:spacing w:line="240" w:lineRule="auto" w:before="12"/>
        <w:rPr>
          <w:rFonts w:ascii="宋体" w:hAnsi="宋体" w:cs="宋体" w:eastAsia="宋体" w:hint="default"/>
          <w:sz w:val="24"/>
          <w:szCs w:val="24"/>
        </w:rPr>
      </w:pPr>
    </w:p>
    <w:tbl>
      <w:tblPr>
        <w:tblW w:w="0" w:type="auto"/>
        <w:jc w:val="left"/>
        <w:tblInd w:w="344" w:type="dxa"/>
        <w:tblLayout w:type="fixed"/>
        <w:tblCellMar>
          <w:top w:w="0" w:type="dxa"/>
          <w:left w:w="0" w:type="dxa"/>
          <w:bottom w:w="0" w:type="dxa"/>
          <w:right w:w="0" w:type="dxa"/>
        </w:tblCellMar>
        <w:tblLook w:val="01E0"/>
      </w:tblPr>
      <w:tblGrid>
        <w:gridCol w:w="4352"/>
        <w:gridCol w:w="1949"/>
        <w:gridCol w:w="228"/>
        <w:gridCol w:w="2316"/>
      </w:tblGrid>
      <w:tr>
        <w:trPr>
          <w:trHeight w:val="257"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21" w:lineRule="exact"/>
              <w:ind w:left="200" w:right="0"/>
              <w:jc w:val="left"/>
              <w:rPr>
                <w:rFonts w:ascii="宋体" w:hAnsi="宋体" w:cs="宋体" w:eastAsia="宋体" w:hint="default"/>
                <w:sz w:val="22"/>
                <w:szCs w:val="22"/>
              </w:rPr>
            </w:pPr>
            <w:r>
              <w:rPr>
                <w:rFonts w:ascii="宋体"/>
                <w:w w:val="100"/>
                <w:sz w:val="22"/>
              </w:rPr>
              <w:t> </w:t>
            </w:r>
          </w:p>
        </w:tc>
        <w:tc>
          <w:tcPr>
            <w:tcW w:w="1949" w:type="dxa"/>
            <w:tcBorders>
              <w:top w:val="nil" w:sz="6" w:space="0" w:color="auto"/>
              <w:left w:val="nil" w:sz="6" w:space="0" w:color="auto"/>
              <w:bottom w:val="single" w:sz="4" w:space="0" w:color="000000"/>
              <w:right w:val="nil" w:sz="6" w:space="0" w:color="auto"/>
            </w:tcBorders>
          </w:tcPr>
          <w:p>
            <w:pPr>
              <w:pStyle w:val="TableParagraph"/>
              <w:spacing w:line="236" w:lineRule="exact"/>
              <w:ind w:left="1017"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228"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single" w:sz="4" w:space="0" w:color="000000"/>
              <w:right w:val="nil" w:sz="6" w:space="0" w:color="auto"/>
            </w:tcBorders>
          </w:tcPr>
          <w:p>
            <w:pPr>
              <w:pStyle w:val="TableParagraph"/>
              <w:spacing w:line="236" w:lineRule="exact"/>
              <w:ind w:left="1389"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tc>
      </w:tr>
      <w:tr>
        <w:trPr>
          <w:trHeight w:val="336"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40" w:lineRule="auto" w:before="2"/>
              <w:ind w:left="200" w:right="0"/>
              <w:jc w:val="left"/>
              <w:rPr>
                <w:rFonts w:ascii="宋体" w:hAnsi="宋体" w:cs="宋体" w:eastAsia="宋体" w:hint="default"/>
                <w:sz w:val="22"/>
                <w:szCs w:val="22"/>
              </w:rPr>
            </w:pPr>
            <w:r>
              <w:rPr>
                <w:rFonts w:ascii="宋体"/>
                <w:w w:val="100"/>
                <w:sz w:val="22"/>
              </w:rPr>
              <w:t> </w:t>
            </w:r>
          </w:p>
        </w:tc>
        <w:tc>
          <w:tcPr>
            <w:tcW w:w="1949" w:type="dxa"/>
            <w:tcBorders>
              <w:top w:val="single" w:sz="4" w:space="0" w:color="000000"/>
              <w:left w:val="nil" w:sz="6" w:space="0" w:color="auto"/>
              <w:bottom w:val="nil" w:sz="6" w:space="0" w:color="auto"/>
              <w:right w:val="nil" w:sz="6" w:space="0" w:color="auto"/>
            </w:tcBorders>
          </w:tcPr>
          <w:p>
            <w:pPr/>
          </w:p>
        </w:tc>
        <w:tc>
          <w:tcPr>
            <w:tcW w:w="228" w:type="dxa"/>
            <w:tcBorders>
              <w:top w:val="nil" w:sz="6" w:space="0" w:color="auto"/>
              <w:left w:val="nil" w:sz="6" w:space="0" w:color="auto"/>
              <w:bottom w:val="nil" w:sz="6" w:space="0" w:color="auto"/>
              <w:right w:val="nil" w:sz="6" w:space="0" w:color="auto"/>
            </w:tcBorders>
          </w:tcPr>
          <w:p>
            <w:pPr/>
          </w:p>
        </w:tc>
        <w:tc>
          <w:tcPr>
            <w:tcW w:w="2316" w:type="dxa"/>
            <w:tcBorders>
              <w:top w:val="single" w:sz="4" w:space="0" w:color="000000"/>
              <w:left w:val="nil" w:sz="6" w:space="0" w:color="auto"/>
              <w:bottom w:val="nil" w:sz="6" w:space="0" w:color="auto"/>
              <w:right w:val="nil" w:sz="6" w:space="0" w:color="auto"/>
            </w:tcBorders>
          </w:tcPr>
          <w:p>
            <w:pPr/>
          </w:p>
        </w:tc>
      </w:tr>
      <w:tr>
        <w:trPr>
          <w:trHeight w:val="346"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66" w:lineRule="exact"/>
              <w:ind w:left="200" w:right="0"/>
              <w:jc w:val="left"/>
              <w:rPr>
                <w:rFonts w:ascii="宋体" w:hAnsi="宋体" w:cs="宋体" w:eastAsia="宋体" w:hint="default"/>
                <w:sz w:val="22"/>
                <w:szCs w:val="22"/>
              </w:rPr>
            </w:pPr>
            <w:r>
              <w:rPr>
                <w:rFonts w:ascii="宋体" w:hAnsi="宋体" w:cs="宋体" w:eastAsia="宋体" w:hint="default"/>
                <w:sz w:val="22"/>
                <w:szCs w:val="22"/>
              </w:rPr>
              <w:t>合并净利润</w:t>
            </w:r>
            <w:r>
              <w:rPr>
                <w:rFonts w:ascii="宋体" w:hAnsi="宋体" w:cs="宋体" w:eastAsia="宋体" w:hint="default"/>
                <w:sz w:val="22"/>
                <w:szCs w:val="22"/>
              </w:rPr>
              <w:t> </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48"/>
              <w:ind w:left="249" w:right="0"/>
              <w:jc w:val="left"/>
              <w:rPr>
                <w:rFonts w:ascii="Arial" w:hAnsi="Arial" w:cs="Arial" w:eastAsia="Arial" w:hint="default"/>
                <w:sz w:val="22"/>
                <w:szCs w:val="22"/>
              </w:rPr>
            </w:pPr>
            <w:r>
              <w:rPr>
                <w:rFonts w:ascii="Arial"/>
                <w:sz w:val="22"/>
              </w:rPr>
              <w:t>11,264,124,299</w:t>
            </w:r>
          </w:p>
        </w:tc>
        <w:tc>
          <w:tcPr>
            <w:tcW w:w="228"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48"/>
              <w:ind w:left="741" w:right="0"/>
              <w:jc w:val="left"/>
              <w:rPr>
                <w:rFonts w:ascii="Arial" w:hAnsi="Arial" w:cs="Arial" w:eastAsia="Arial" w:hint="default"/>
                <w:sz w:val="22"/>
                <w:szCs w:val="22"/>
              </w:rPr>
            </w:pPr>
            <w:r>
              <w:rPr>
                <w:rFonts w:ascii="Arial"/>
                <w:sz w:val="22"/>
              </w:rPr>
              <w:t>9,300,663,815</w:t>
            </w:r>
          </w:p>
        </w:tc>
      </w:tr>
      <w:tr>
        <w:trPr>
          <w:trHeight w:val="346"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70" w:lineRule="exact"/>
              <w:ind w:left="200" w:right="0"/>
              <w:jc w:val="left"/>
              <w:rPr>
                <w:rFonts w:ascii="宋体" w:hAnsi="宋体" w:cs="宋体" w:eastAsia="宋体" w:hint="default"/>
                <w:sz w:val="22"/>
                <w:szCs w:val="22"/>
              </w:rPr>
            </w:pPr>
            <w:r>
              <w:rPr>
                <w:rFonts w:ascii="宋体" w:hAnsi="宋体" w:cs="宋体" w:eastAsia="宋体" w:hint="default"/>
                <w:sz w:val="22"/>
                <w:szCs w:val="22"/>
              </w:rPr>
              <w:t>加：资产减值损失</w:t>
            </w:r>
            <w:r>
              <w:rPr>
                <w:rFonts w:ascii="宋体" w:hAnsi="宋体" w:cs="宋体" w:eastAsia="宋体" w:hint="default"/>
                <w:sz w:val="22"/>
                <w:szCs w:val="22"/>
              </w:rPr>
              <w:t> </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556" w:right="0"/>
              <w:jc w:val="left"/>
              <w:rPr>
                <w:rFonts w:ascii="Arial" w:hAnsi="Arial" w:cs="Arial" w:eastAsia="Arial" w:hint="default"/>
                <w:sz w:val="22"/>
                <w:szCs w:val="22"/>
              </w:rPr>
            </w:pPr>
            <w:r>
              <w:rPr>
                <w:rFonts w:ascii="Arial"/>
                <w:sz w:val="22"/>
              </w:rPr>
              <w:t>374,917,403</w:t>
            </w:r>
          </w:p>
        </w:tc>
        <w:tc>
          <w:tcPr>
            <w:tcW w:w="228"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923" w:right="0"/>
              <w:jc w:val="left"/>
              <w:rPr>
                <w:rFonts w:ascii="Arial" w:hAnsi="Arial" w:cs="Arial" w:eastAsia="Arial" w:hint="default"/>
                <w:sz w:val="22"/>
                <w:szCs w:val="22"/>
              </w:rPr>
            </w:pPr>
            <w:r>
              <w:rPr>
                <w:rFonts w:ascii="Arial"/>
                <w:sz w:val="22"/>
              </w:rPr>
              <w:t>255,174,449</w:t>
            </w:r>
          </w:p>
        </w:tc>
      </w:tr>
      <w:tr>
        <w:trPr>
          <w:trHeight w:val="350"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70" w:lineRule="exact"/>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信用减值损失</w:t>
            </w:r>
            <w:r>
              <w:rPr>
                <w:rFonts w:ascii="宋体" w:hAnsi="宋体" w:cs="宋体" w:eastAsia="宋体" w:hint="default"/>
                <w:sz w:val="22"/>
                <w:szCs w:val="22"/>
              </w:rPr>
              <w:t> </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74" w:right="0"/>
              <w:jc w:val="left"/>
              <w:rPr>
                <w:rFonts w:ascii="Arial" w:hAnsi="Arial" w:cs="Arial" w:eastAsia="Arial" w:hint="default"/>
                <w:sz w:val="22"/>
                <w:szCs w:val="22"/>
              </w:rPr>
            </w:pPr>
            <w:r>
              <w:rPr>
                <w:rFonts w:ascii="Arial"/>
                <w:sz w:val="22"/>
              </w:rPr>
              <w:t>3,298,792,970</w:t>
            </w:r>
          </w:p>
        </w:tc>
        <w:tc>
          <w:tcPr>
            <w:tcW w:w="228"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52"/>
              <w:ind w:left="741" w:right="0"/>
              <w:jc w:val="left"/>
              <w:rPr>
                <w:rFonts w:ascii="Arial" w:hAnsi="Arial" w:cs="Arial" w:eastAsia="Arial" w:hint="default"/>
                <w:sz w:val="22"/>
                <w:szCs w:val="22"/>
              </w:rPr>
            </w:pPr>
            <w:r>
              <w:rPr>
                <w:rFonts w:ascii="Arial"/>
                <w:sz w:val="22"/>
              </w:rPr>
              <w:t>3,609,535,060</w:t>
            </w:r>
          </w:p>
        </w:tc>
      </w:tr>
      <w:tr>
        <w:trPr>
          <w:trHeight w:val="346"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70" w:lineRule="exact"/>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固定资产折旧</w:t>
            </w:r>
            <w:r>
              <w:rPr>
                <w:rFonts w:ascii="宋体" w:hAnsi="宋体" w:cs="宋体" w:eastAsia="宋体" w:hint="default"/>
                <w:sz w:val="22"/>
                <w:szCs w:val="22"/>
              </w:rPr>
              <w:t> </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244" w:right="0"/>
              <w:jc w:val="left"/>
              <w:rPr>
                <w:rFonts w:ascii="Arial" w:hAnsi="Arial" w:cs="Arial" w:eastAsia="Arial" w:hint="default"/>
                <w:sz w:val="22"/>
                <w:szCs w:val="22"/>
              </w:rPr>
            </w:pPr>
            <w:r>
              <w:rPr>
                <w:rFonts w:ascii="Arial"/>
                <w:sz w:val="22"/>
              </w:rPr>
              <w:t>64,579,136,024</w:t>
            </w:r>
          </w:p>
        </w:tc>
        <w:tc>
          <w:tcPr>
            <w:tcW w:w="228"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616" w:right="0"/>
              <w:jc w:val="left"/>
              <w:rPr>
                <w:rFonts w:ascii="Arial" w:hAnsi="Arial" w:cs="Arial" w:eastAsia="Arial" w:hint="default"/>
                <w:sz w:val="22"/>
                <w:szCs w:val="22"/>
              </w:rPr>
            </w:pPr>
            <w:r>
              <w:rPr>
                <w:rFonts w:ascii="Arial"/>
                <w:sz w:val="22"/>
              </w:rPr>
              <w:t>66,305,636,396</w:t>
            </w:r>
          </w:p>
        </w:tc>
      </w:tr>
      <w:tr>
        <w:trPr>
          <w:trHeight w:val="350"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70" w:lineRule="exact"/>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使用权资产折旧</w:t>
            </w:r>
            <w:r>
              <w:rPr>
                <w:rFonts w:ascii="宋体" w:hAnsi="宋体" w:cs="宋体" w:eastAsia="宋体" w:hint="default"/>
                <w:sz w:val="22"/>
                <w:szCs w:val="22"/>
              </w:rPr>
              <w:t> </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49" w:right="0"/>
              <w:jc w:val="left"/>
              <w:rPr>
                <w:rFonts w:ascii="Arial" w:hAnsi="Arial" w:cs="Arial" w:eastAsia="Arial" w:hint="default"/>
                <w:sz w:val="22"/>
                <w:szCs w:val="22"/>
              </w:rPr>
            </w:pPr>
            <w:r>
              <w:rPr>
                <w:rFonts w:ascii="Arial"/>
                <w:sz w:val="22"/>
              </w:rPr>
              <w:t>10,897,214,509</w:t>
            </w:r>
          </w:p>
        </w:tc>
        <w:tc>
          <w:tcPr>
            <w:tcW w:w="228"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70" w:lineRule="exact"/>
              <w:ind w:left="1495" w:right="0"/>
              <w:jc w:val="left"/>
              <w:rPr>
                <w:rFonts w:ascii="宋体" w:hAnsi="宋体" w:cs="宋体" w:eastAsia="宋体" w:hint="default"/>
                <w:sz w:val="22"/>
                <w:szCs w:val="22"/>
              </w:rPr>
            </w:pPr>
            <w:r>
              <w:rPr>
                <w:rFonts w:ascii="宋体" w:hAnsi="宋体" w:cs="宋体" w:eastAsia="宋体" w:hint="default"/>
                <w:sz w:val="22"/>
                <w:szCs w:val="22"/>
              </w:rPr>
              <w:t>不适用</w:t>
            </w:r>
          </w:p>
        </w:tc>
      </w:tr>
      <w:tr>
        <w:trPr>
          <w:trHeight w:val="346"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70" w:lineRule="exact"/>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无形资产摊销</w:t>
            </w:r>
            <w:r>
              <w:rPr>
                <w:rFonts w:ascii="宋体" w:hAnsi="宋体" w:cs="宋体" w:eastAsia="宋体" w:hint="default"/>
                <w:sz w:val="22"/>
                <w:szCs w:val="22"/>
              </w:rPr>
              <w:t> </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74" w:right="0"/>
              <w:jc w:val="left"/>
              <w:rPr>
                <w:rFonts w:ascii="Arial" w:hAnsi="Arial" w:cs="Arial" w:eastAsia="Arial" w:hint="default"/>
                <w:sz w:val="22"/>
                <w:szCs w:val="22"/>
              </w:rPr>
            </w:pPr>
            <w:r>
              <w:rPr>
                <w:rFonts w:ascii="Arial"/>
                <w:sz w:val="22"/>
              </w:rPr>
              <w:t>4,647,512,760</w:t>
            </w:r>
          </w:p>
        </w:tc>
        <w:tc>
          <w:tcPr>
            <w:tcW w:w="228"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41" w:right="0"/>
              <w:jc w:val="left"/>
              <w:rPr>
                <w:rFonts w:ascii="Arial" w:hAnsi="Arial" w:cs="Arial" w:eastAsia="Arial" w:hint="default"/>
                <w:sz w:val="22"/>
                <w:szCs w:val="22"/>
              </w:rPr>
            </w:pPr>
            <w:r>
              <w:rPr>
                <w:rFonts w:ascii="Arial"/>
                <w:sz w:val="22"/>
              </w:rPr>
              <w:t>5,132,967,570</w:t>
            </w:r>
          </w:p>
        </w:tc>
      </w:tr>
      <w:tr>
        <w:trPr>
          <w:trHeight w:val="350"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70" w:lineRule="exact"/>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长期待摊费用摊销</w:t>
            </w:r>
            <w:r>
              <w:rPr>
                <w:rFonts w:ascii="宋体" w:hAnsi="宋体" w:cs="宋体" w:eastAsia="宋体" w:hint="default"/>
                <w:sz w:val="22"/>
                <w:szCs w:val="22"/>
              </w:rPr>
              <w:t> </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74" w:right="0"/>
              <w:jc w:val="left"/>
              <w:rPr>
                <w:rFonts w:ascii="Arial" w:hAnsi="Arial" w:cs="Arial" w:eastAsia="Arial" w:hint="default"/>
                <w:sz w:val="22"/>
                <w:szCs w:val="22"/>
              </w:rPr>
            </w:pPr>
            <w:r>
              <w:rPr>
                <w:rFonts w:ascii="Arial"/>
                <w:sz w:val="22"/>
              </w:rPr>
              <w:t>1,116,148,078</w:t>
            </w:r>
          </w:p>
        </w:tc>
        <w:tc>
          <w:tcPr>
            <w:tcW w:w="228"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52"/>
              <w:ind w:left="741" w:right="0"/>
              <w:jc w:val="left"/>
              <w:rPr>
                <w:rFonts w:ascii="Arial" w:hAnsi="Arial" w:cs="Arial" w:eastAsia="Arial" w:hint="default"/>
                <w:sz w:val="22"/>
                <w:szCs w:val="22"/>
              </w:rPr>
            </w:pPr>
            <w:r>
              <w:rPr>
                <w:rFonts w:ascii="Arial"/>
                <w:sz w:val="22"/>
              </w:rPr>
              <w:t>2,136,416,482</w:t>
            </w:r>
          </w:p>
        </w:tc>
      </w:tr>
      <w:tr>
        <w:trPr>
          <w:trHeight w:val="346"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70" w:lineRule="exact"/>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长期待摊费用增加</w:t>
            </w:r>
            <w:r>
              <w:rPr>
                <w:rFonts w:ascii="宋体" w:hAnsi="宋体" w:cs="宋体" w:eastAsia="宋体" w:hint="default"/>
                <w:sz w:val="22"/>
                <w:szCs w:val="22"/>
              </w:rPr>
              <w:t> </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288" w:right="0"/>
              <w:jc w:val="left"/>
              <w:rPr>
                <w:rFonts w:ascii="Arial" w:hAnsi="Arial" w:cs="Arial" w:eastAsia="Arial" w:hint="default"/>
                <w:sz w:val="22"/>
                <w:szCs w:val="22"/>
              </w:rPr>
            </w:pPr>
            <w:r>
              <w:rPr>
                <w:rFonts w:ascii="Arial"/>
                <w:sz w:val="22"/>
              </w:rPr>
              <w:t>(1,010,479,107)</w:t>
            </w:r>
          </w:p>
        </w:tc>
        <w:tc>
          <w:tcPr>
            <w:tcW w:w="228"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842" w:right="0"/>
              <w:jc w:val="left"/>
              <w:rPr>
                <w:rFonts w:ascii="Arial" w:hAnsi="Arial" w:cs="Arial" w:eastAsia="Arial" w:hint="default"/>
                <w:sz w:val="22"/>
                <w:szCs w:val="22"/>
              </w:rPr>
            </w:pPr>
            <w:r>
              <w:rPr>
                <w:rFonts w:ascii="Arial"/>
                <w:sz w:val="22"/>
              </w:rPr>
              <w:t>(698,151,119)</w:t>
            </w:r>
          </w:p>
        </w:tc>
      </w:tr>
      <w:tr>
        <w:trPr>
          <w:trHeight w:val="319"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70" w:lineRule="exact"/>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处置固定资产、无形资产的净损失</w:t>
            </w:r>
            <w:r>
              <w:rPr>
                <w:rFonts w:ascii="宋体" w:hAnsi="宋体" w:cs="宋体" w:eastAsia="宋体" w:hint="default"/>
                <w:sz w:val="22"/>
                <w:szCs w:val="22"/>
              </w:rPr>
              <w:t> </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69" w:right="0"/>
              <w:jc w:val="left"/>
              <w:rPr>
                <w:rFonts w:ascii="Arial" w:hAnsi="Arial" w:cs="Arial" w:eastAsia="Arial" w:hint="default"/>
                <w:sz w:val="22"/>
                <w:szCs w:val="22"/>
              </w:rPr>
            </w:pPr>
            <w:r>
              <w:rPr>
                <w:rFonts w:ascii="Arial"/>
                <w:sz w:val="22"/>
              </w:rPr>
              <w:t>2,177,138,474</w:t>
            </w:r>
          </w:p>
        </w:tc>
        <w:tc>
          <w:tcPr>
            <w:tcW w:w="228"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52"/>
              <w:ind w:left="741" w:right="0"/>
              <w:jc w:val="left"/>
              <w:rPr>
                <w:rFonts w:ascii="Arial" w:hAnsi="Arial" w:cs="Arial" w:eastAsia="Arial" w:hint="default"/>
                <w:sz w:val="22"/>
                <w:szCs w:val="22"/>
              </w:rPr>
            </w:pPr>
            <w:r>
              <w:rPr>
                <w:rFonts w:ascii="Arial"/>
                <w:sz w:val="22"/>
              </w:rPr>
              <w:t>4,147,761,206</w:t>
            </w:r>
          </w:p>
        </w:tc>
      </w:tr>
      <w:tr>
        <w:trPr>
          <w:trHeight w:val="319"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以股份为基础支付的员工薪酬</w:t>
            </w:r>
            <w:r>
              <w:rPr>
                <w:rFonts w:ascii="宋体" w:hAnsi="宋体" w:cs="宋体" w:eastAsia="宋体" w:hint="default"/>
                <w:sz w:val="22"/>
                <w:szCs w:val="22"/>
              </w:rPr>
              <w:t> </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21"/>
              <w:ind w:left="552" w:right="0"/>
              <w:jc w:val="left"/>
              <w:rPr>
                <w:rFonts w:ascii="Arial" w:hAnsi="Arial" w:cs="Arial" w:eastAsia="Arial" w:hint="default"/>
                <w:sz w:val="22"/>
                <w:szCs w:val="22"/>
              </w:rPr>
            </w:pPr>
            <w:r>
              <w:rPr>
                <w:rFonts w:ascii="Arial"/>
                <w:sz w:val="22"/>
              </w:rPr>
              <w:t>570,670,000</w:t>
            </w:r>
          </w:p>
        </w:tc>
        <w:tc>
          <w:tcPr>
            <w:tcW w:w="228"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21"/>
              <w:ind w:left="923" w:right="0"/>
              <w:jc w:val="left"/>
              <w:rPr>
                <w:rFonts w:ascii="Arial" w:hAnsi="Arial" w:cs="Arial" w:eastAsia="Arial" w:hint="default"/>
                <w:sz w:val="22"/>
                <w:szCs w:val="22"/>
              </w:rPr>
            </w:pPr>
            <w:r>
              <w:rPr>
                <w:rFonts w:ascii="Arial"/>
                <w:sz w:val="22"/>
              </w:rPr>
              <w:t>613,920,000</w:t>
            </w:r>
          </w:p>
        </w:tc>
      </w:tr>
      <w:tr>
        <w:trPr>
          <w:trHeight w:val="346"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70" w:lineRule="exact"/>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公允价值变动收益</w:t>
            </w:r>
            <w:r>
              <w:rPr>
                <w:rFonts w:ascii="宋体" w:hAnsi="宋体" w:cs="宋体" w:eastAsia="宋体" w:hint="default"/>
                <w:sz w:val="22"/>
                <w:szCs w:val="22"/>
              </w:rPr>
              <w:t> </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95"/>
              <w:jc w:val="right"/>
              <w:rPr>
                <w:rFonts w:ascii="Arial" w:hAnsi="Arial" w:cs="Arial" w:eastAsia="Arial" w:hint="default"/>
                <w:sz w:val="22"/>
                <w:szCs w:val="22"/>
              </w:rPr>
            </w:pPr>
            <w:r>
              <w:rPr>
                <w:rFonts w:ascii="Arial"/>
                <w:sz w:val="22"/>
              </w:rPr>
              <w:t>(96,073,752)</w:t>
            </w:r>
          </w:p>
        </w:tc>
        <w:tc>
          <w:tcPr>
            <w:tcW w:w="228"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962" w:right="0"/>
              <w:jc w:val="left"/>
              <w:rPr>
                <w:rFonts w:ascii="Arial" w:hAnsi="Arial" w:cs="Arial" w:eastAsia="Arial" w:hint="default"/>
                <w:sz w:val="22"/>
                <w:szCs w:val="22"/>
              </w:rPr>
            </w:pPr>
            <w:r>
              <w:rPr>
                <w:rFonts w:ascii="Arial"/>
                <w:sz w:val="22"/>
              </w:rPr>
              <w:t>(24,695,000)</w:t>
            </w:r>
          </w:p>
        </w:tc>
      </w:tr>
      <w:tr>
        <w:trPr>
          <w:trHeight w:val="350"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70" w:lineRule="exact"/>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财务费用</w:t>
            </w:r>
            <w:r>
              <w:rPr>
                <w:rFonts w:ascii="宋体" w:hAnsi="宋体" w:cs="宋体" w:eastAsia="宋体" w:hint="default"/>
                <w:sz w:val="22"/>
                <w:szCs w:val="22"/>
              </w:rPr>
              <w:t> </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69" w:right="0"/>
              <w:jc w:val="left"/>
              <w:rPr>
                <w:rFonts w:ascii="Arial" w:hAnsi="Arial" w:cs="Arial" w:eastAsia="Arial" w:hint="default"/>
                <w:sz w:val="22"/>
                <w:szCs w:val="22"/>
              </w:rPr>
            </w:pPr>
            <w:r>
              <w:rPr>
                <w:rFonts w:ascii="Arial"/>
                <w:sz w:val="22"/>
              </w:rPr>
              <w:t>1,890,668,989</w:t>
            </w:r>
          </w:p>
        </w:tc>
        <w:tc>
          <w:tcPr>
            <w:tcW w:w="228"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52"/>
              <w:ind w:left="741" w:right="0"/>
              <w:jc w:val="left"/>
              <w:rPr>
                <w:rFonts w:ascii="Arial" w:hAnsi="Arial" w:cs="Arial" w:eastAsia="Arial" w:hint="default"/>
                <w:sz w:val="22"/>
                <w:szCs w:val="22"/>
              </w:rPr>
            </w:pPr>
            <w:r>
              <w:rPr>
                <w:rFonts w:ascii="Arial"/>
                <w:sz w:val="22"/>
              </w:rPr>
              <w:t>1,639,706,406</w:t>
            </w:r>
          </w:p>
        </w:tc>
      </w:tr>
      <w:tr>
        <w:trPr>
          <w:trHeight w:val="346"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70" w:lineRule="exact"/>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投资收益</w:t>
            </w:r>
            <w:r>
              <w:rPr>
                <w:rFonts w:ascii="宋体" w:hAnsi="宋体" w:cs="宋体" w:eastAsia="宋体" w:hint="default"/>
                <w:sz w:val="22"/>
                <w:szCs w:val="22"/>
              </w:rPr>
              <w:t> </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288" w:right="0"/>
              <w:jc w:val="left"/>
              <w:rPr>
                <w:rFonts w:ascii="Arial" w:hAnsi="Arial" w:cs="Arial" w:eastAsia="Arial" w:hint="default"/>
                <w:sz w:val="22"/>
                <w:szCs w:val="22"/>
              </w:rPr>
            </w:pPr>
            <w:r>
              <w:rPr>
                <w:rFonts w:ascii="Arial"/>
                <w:sz w:val="22"/>
              </w:rPr>
              <w:t>(2,174,504,090)</w:t>
            </w:r>
          </w:p>
        </w:tc>
        <w:tc>
          <w:tcPr>
            <w:tcW w:w="228"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660" w:right="0"/>
              <w:jc w:val="left"/>
              <w:rPr>
                <w:rFonts w:ascii="Arial" w:hAnsi="Arial" w:cs="Arial" w:eastAsia="Arial" w:hint="default"/>
                <w:sz w:val="22"/>
                <w:szCs w:val="22"/>
              </w:rPr>
            </w:pPr>
            <w:r>
              <w:rPr>
                <w:rFonts w:ascii="Arial"/>
                <w:sz w:val="22"/>
              </w:rPr>
              <w:t>(2,475,567,494)</w:t>
            </w:r>
          </w:p>
        </w:tc>
      </w:tr>
      <w:tr>
        <w:trPr>
          <w:trHeight w:val="350"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70" w:lineRule="exact"/>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递延所得税资产减少</w:t>
            </w:r>
            <w:r>
              <w:rPr>
                <w:rFonts w:ascii="宋体" w:hAnsi="宋体" w:cs="宋体" w:eastAsia="宋体" w:hint="default"/>
                <w:sz w:val="22"/>
                <w:szCs w:val="22"/>
              </w:rPr>
              <w:t> </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69" w:right="0"/>
              <w:jc w:val="left"/>
              <w:rPr>
                <w:rFonts w:ascii="Arial" w:hAnsi="Arial" w:cs="Arial" w:eastAsia="Arial" w:hint="default"/>
                <w:sz w:val="22"/>
                <w:szCs w:val="22"/>
              </w:rPr>
            </w:pPr>
            <w:r>
              <w:rPr>
                <w:rFonts w:ascii="Arial"/>
                <w:sz w:val="22"/>
              </w:rPr>
              <w:t>1,950,909,809</w:t>
            </w:r>
          </w:p>
        </w:tc>
        <w:tc>
          <w:tcPr>
            <w:tcW w:w="228"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52"/>
              <w:ind w:left="741" w:right="0"/>
              <w:jc w:val="left"/>
              <w:rPr>
                <w:rFonts w:ascii="Arial" w:hAnsi="Arial" w:cs="Arial" w:eastAsia="Arial" w:hint="default"/>
                <w:sz w:val="22"/>
                <w:szCs w:val="22"/>
              </w:rPr>
            </w:pPr>
            <w:r>
              <w:rPr>
                <w:rFonts w:ascii="Arial"/>
                <w:sz w:val="22"/>
              </w:rPr>
              <w:t>2,206,036,314</w:t>
            </w:r>
          </w:p>
        </w:tc>
      </w:tr>
      <w:tr>
        <w:trPr>
          <w:trHeight w:val="346"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70" w:lineRule="exact"/>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递延所得税负债增加</w:t>
            </w:r>
            <w:r>
              <w:rPr>
                <w:rFonts w:ascii="宋体" w:hAnsi="宋体" w:cs="宋体" w:eastAsia="宋体" w:hint="default"/>
                <w:sz w:val="22"/>
                <w:szCs w:val="22"/>
              </w:rPr>
              <w:t> </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556" w:right="0"/>
              <w:jc w:val="left"/>
              <w:rPr>
                <w:rFonts w:ascii="Arial" w:hAnsi="Arial" w:cs="Arial" w:eastAsia="Arial" w:hint="default"/>
                <w:sz w:val="22"/>
                <w:szCs w:val="22"/>
              </w:rPr>
            </w:pPr>
            <w:r>
              <w:rPr>
                <w:rFonts w:ascii="Arial"/>
                <w:sz w:val="22"/>
              </w:rPr>
              <w:t>424,033,382</w:t>
            </w:r>
          </w:p>
        </w:tc>
        <w:tc>
          <w:tcPr>
            <w:tcW w:w="228"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168" w:right="0"/>
              <w:jc w:val="left"/>
              <w:rPr>
                <w:rFonts w:ascii="Arial" w:hAnsi="Arial" w:cs="Arial" w:eastAsia="Arial" w:hint="default"/>
                <w:sz w:val="22"/>
                <w:szCs w:val="22"/>
              </w:rPr>
            </w:pPr>
            <w:r>
              <w:rPr>
                <w:rFonts w:ascii="Arial"/>
                <w:sz w:val="22"/>
              </w:rPr>
              <w:t>3,382,658</w:t>
            </w:r>
          </w:p>
        </w:tc>
      </w:tr>
      <w:tr>
        <w:trPr>
          <w:trHeight w:val="350"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70" w:lineRule="exact"/>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存货的增加</w:t>
            </w:r>
            <w:r>
              <w:rPr>
                <w:rFonts w:ascii="宋体" w:hAnsi="宋体" w:cs="宋体" w:eastAsia="宋体" w:hint="default"/>
                <w:sz w:val="22"/>
                <w:szCs w:val="22"/>
              </w:rPr>
              <w:t> </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2"/>
              <w:jc w:val="right"/>
              <w:rPr>
                <w:rFonts w:ascii="Arial" w:hAnsi="Arial" w:cs="Arial" w:eastAsia="Arial" w:hint="default"/>
                <w:sz w:val="22"/>
                <w:szCs w:val="22"/>
              </w:rPr>
            </w:pPr>
            <w:r>
              <w:rPr>
                <w:rFonts w:ascii="Arial"/>
                <w:spacing w:val="-1"/>
                <w:sz w:val="22"/>
              </w:rPr>
              <w:t>(334,875,875)</w:t>
            </w:r>
          </w:p>
        </w:tc>
        <w:tc>
          <w:tcPr>
            <w:tcW w:w="228"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52"/>
              <w:ind w:left="842" w:right="0"/>
              <w:jc w:val="left"/>
              <w:rPr>
                <w:rFonts w:ascii="Arial" w:hAnsi="Arial" w:cs="Arial" w:eastAsia="Arial" w:hint="default"/>
                <w:sz w:val="22"/>
                <w:szCs w:val="22"/>
              </w:rPr>
            </w:pPr>
            <w:r>
              <w:rPr>
                <w:rFonts w:ascii="Arial"/>
                <w:sz w:val="22"/>
              </w:rPr>
              <w:t>(386,035,338)</w:t>
            </w:r>
          </w:p>
        </w:tc>
      </w:tr>
      <w:tr>
        <w:trPr>
          <w:trHeight w:val="346"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70" w:lineRule="exact"/>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经营性应收项目的增加</w:t>
            </w:r>
            <w:r>
              <w:rPr>
                <w:rFonts w:ascii="宋体" w:hAnsi="宋体" w:cs="宋体" w:eastAsia="宋体" w:hint="default"/>
                <w:sz w:val="22"/>
                <w:szCs w:val="22"/>
              </w:rPr>
              <w:t> </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288" w:right="0"/>
              <w:jc w:val="left"/>
              <w:rPr>
                <w:rFonts w:ascii="Arial" w:hAnsi="Arial" w:cs="Arial" w:eastAsia="Arial" w:hint="default"/>
                <w:sz w:val="22"/>
                <w:szCs w:val="22"/>
              </w:rPr>
            </w:pPr>
            <w:r>
              <w:rPr>
                <w:rFonts w:ascii="Arial"/>
                <w:sz w:val="22"/>
              </w:rPr>
              <w:t>(6,197,783,272)</w:t>
            </w:r>
          </w:p>
        </w:tc>
        <w:tc>
          <w:tcPr>
            <w:tcW w:w="228"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923" w:right="0"/>
              <w:jc w:val="left"/>
              <w:rPr>
                <w:rFonts w:ascii="Arial" w:hAnsi="Arial" w:cs="Arial" w:eastAsia="Arial" w:hint="default"/>
                <w:sz w:val="22"/>
                <w:szCs w:val="22"/>
              </w:rPr>
            </w:pPr>
            <w:r>
              <w:rPr>
                <w:rFonts w:ascii="Arial"/>
                <w:sz w:val="22"/>
              </w:rPr>
              <w:t>520,594,703</w:t>
            </w:r>
          </w:p>
        </w:tc>
      </w:tr>
      <w:tr>
        <w:trPr>
          <w:trHeight w:val="360"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70" w:lineRule="exact"/>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经营性应付项目的增加</w:t>
            </w:r>
            <w:r>
              <w:rPr>
                <w:rFonts w:ascii="宋体" w:hAnsi="宋体" w:cs="宋体" w:eastAsia="宋体" w:hint="default"/>
                <w:sz w:val="22"/>
                <w:szCs w:val="22"/>
              </w:rPr>
              <w:t> </w:t>
            </w:r>
          </w:p>
        </w:tc>
        <w:tc>
          <w:tcPr>
            <w:tcW w:w="1949" w:type="dxa"/>
            <w:tcBorders>
              <w:top w:val="nil" w:sz="6" w:space="0" w:color="auto"/>
              <w:left w:val="nil" w:sz="6" w:space="0" w:color="auto"/>
              <w:bottom w:val="nil" w:sz="6" w:space="0" w:color="auto"/>
              <w:right w:val="nil" w:sz="6" w:space="0" w:color="auto"/>
            </w:tcBorders>
          </w:tcPr>
          <w:p>
            <w:pPr>
              <w:pStyle w:val="TableParagraph"/>
              <w:tabs>
                <w:tab w:pos="374" w:val="left" w:leader="none"/>
                <w:tab w:pos="1948" w:val="left" w:leader="none"/>
              </w:tabs>
              <w:spacing w:line="240" w:lineRule="auto" w:before="52"/>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2,830,685,198</w:t>
              <w:tab/>
            </w:r>
            <w:r>
              <w:rPr>
                <w:rFonts w:ascii="Arial"/>
                <w:spacing w:val="-1"/>
                <w:sz w:val="22"/>
              </w:rPr>
            </w:r>
          </w:p>
        </w:tc>
        <w:tc>
          <w:tcPr>
            <w:tcW w:w="228"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tabs>
                <w:tab w:pos="741" w:val="left" w:leader="none"/>
                <w:tab w:pos="2315" w:val="left" w:leader="none"/>
              </w:tabs>
              <w:spacing w:line="240" w:lineRule="auto" w:before="52"/>
              <w:ind w:left="7"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2,542,379,239</w:t>
              <w:tab/>
            </w:r>
            <w:r>
              <w:rPr>
                <w:rFonts w:ascii="Arial"/>
                <w:sz w:val="22"/>
              </w:rPr>
            </w:r>
          </w:p>
        </w:tc>
      </w:tr>
      <w:tr>
        <w:trPr>
          <w:trHeight w:val="338"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80" w:lineRule="exact"/>
              <w:ind w:left="200" w:right="0"/>
              <w:jc w:val="left"/>
              <w:rPr>
                <w:rFonts w:ascii="宋体" w:hAnsi="宋体" w:cs="宋体" w:eastAsia="宋体" w:hint="default"/>
                <w:sz w:val="22"/>
                <w:szCs w:val="22"/>
              </w:rPr>
            </w:pPr>
            <w:r>
              <w:rPr>
                <w:rFonts w:ascii="宋体" w:hAnsi="宋体" w:cs="宋体" w:eastAsia="宋体" w:hint="default"/>
                <w:sz w:val="22"/>
                <w:szCs w:val="22"/>
              </w:rPr>
              <w:t>经营活动产生的现金流量净额</w:t>
            </w:r>
            <w:r>
              <w:rPr>
                <w:rFonts w:ascii="宋体" w:hAnsi="宋体" w:cs="宋体" w:eastAsia="宋体" w:hint="default"/>
                <w:sz w:val="22"/>
                <w:szCs w:val="22"/>
              </w:rPr>
              <w:t> </w:t>
            </w:r>
          </w:p>
        </w:tc>
        <w:tc>
          <w:tcPr>
            <w:tcW w:w="1949" w:type="dxa"/>
            <w:tcBorders>
              <w:top w:val="nil" w:sz="6" w:space="0" w:color="auto"/>
              <w:left w:val="nil" w:sz="6" w:space="0" w:color="auto"/>
              <w:bottom w:val="single" w:sz="17" w:space="0" w:color="000000"/>
              <w:right w:val="nil" w:sz="6" w:space="0" w:color="auto"/>
            </w:tcBorders>
          </w:tcPr>
          <w:p>
            <w:pPr>
              <w:pStyle w:val="TableParagraph"/>
              <w:spacing w:line="240" w:lineRule="auto" w:before="62"/>
              <w:ind w:left="249" w:right="0"/>
              <w:jc w:val="left"/>
              <w:rPr>
                <w:rFonts w:ascii="Arial" w:hAnsi="Arial" w:cs="Arial" w:eastAsia="Arial" w:hint="default"/>
                <w:sz w:val="22"/>
                <w:szCs w:val="22"/>
              </w:rPr>
            </w:pPr>
            <w:r>
              <w:rPr>
                <w:rFonts w:ascii="Arial"/>
                <w:sz w:val="22"/>
              </w:rPr>
              <w:t>96,208,235,799</w:t>
            </w:r>
          </w:p>
        </w:tc>
        <w:tc>
          <w:tcPr>
            <w:tcW w:w="228"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single" w:sz="17" w:space="0" w:color="000000"/>
              <w:right w:val="nil" w:sz="6" w:space="0" w:color="auto"/>
            </w:tcBorders>
          </w:tcPr>
          <w:p>
            <w:pPr>
              <w:pStyle w:val="TableParagraph"/>
              <w:spacing w:line="240" w:lineRule="auto" w:before="62"/>
              <w:ind w:left="616" w:right="0"/>
              <w:jc w:val="left"/>
              <w:rPr>
                <w:rFonts w:ascii="Arial" w:hAnsi="Arial" w:cs="Arial" w:eastAsia="Arial" w:hint="default"/>
                <w:sz w:val="22"/>
                <w:szCs w:val="22"/>
              </w:rPr>
            </w:pPr>
            <w:r>
              <w:rPr>
                <w:rFonts w:ascii="Arial"/>
                <w:sz w:val="22"/>
              </w:rPr>
              <w:t>94,829,725,347</w:t>
            </w:r>
          </w:p>
        </w:tc>
      </w:tr>
    </w:tbl>
    <w:p>
      <w:pPr>
        <w:spacing w:after="0" w:line="240" w:lineRule="auto"/>
        <w:jc w:val="left"/>
        <w:rPr>
          <w:rFonts w:ascii="Arial" w:hAnsi="Arial" w:cs="Arial" w:eastAsia="Arial" w:hint="default"/>
          <w:sz w:val="22"/>
          <w:szCs w:val="22"/>
        </w:rPr>
        <w:sectPr>
          <w:headerReference w:type="default" r:id="rId206"/>
          <w:pgSz w:w="11910" w:h="16840"/>
          <w:pgMar w:header="1188" w:footer="502" w:top="3040" w:bottom="700" w:left="1020" w:right="1580"/>
        </w:sectPr>
      </w:pPr>
    </w:p>
    <w:p>
      <w:pPr>
        <w:spacing w:line="240" w:lineRule="auto" w:before="7"/>
        <w:rPr>
          <w:rFonts w:ascii="宋体" w:hAnsi="宋体" w:cs="宋体" w:eastAsia="宋体" w:hint="default"/>
          <w:sz w:val="16"/>
          <w:szCs w:val="16"/>
        </w:rPr>
      </w:pPr>
    </w:p>
    <w:p>
      <w:pPr>
        <w:pStyle w:val="BodyText"/>
        <w:spacing w:line="424" w:lineRule="auto" w:before="32"/>
        <w:ind w:left="112" w:right="6044" w:firstLine="14"/>
        <w:jc w:val="left"/>
      </w:pPr>
      <w:r>
        <w:rPr>
          <w:rFonts w:ascii="Arial" w:hAnsi="Arial" w:cs="Arial" w:eastAsia="Arial" w:hint="default"/>
          <w:spacing w:val="-1"/>
        </w:rPr>
        <w:t>52</w:t>
      </w:r>
      <w:r>
        <w:rPr>
          <w:spacing w:val="-1"/>
        </w:rPr>
        <w:t>、现金流量表补充资料（续）</w:t>
      </w:r>
      <w:r>
        <w:rPr>
          <w:spacing w:val="-104"/>
        </w:rPr>
        <w:t> </w:t>
      </w:r>
      <w:r>
        <w:rPr>
          <w:spacing w:val="-104"/>
        </w:rPr>
      </w:r>
      <w:r>
        <w:rPr>
          <w:rFonts w:ascii="Arial" w:hAnsi="Arial" w:cs="Arial" w:eastAsia="Arial" w:hint="default"/>
        </w:rPr>
        <w:t>(a)  </w:t>
      </w:r>
      <w:r>
        <w:rPr>
          <w:rFonts w:ascii="Arial" w:hAnsi="Arial" w:cs="Arial" w:eastAsia="Arial" w:hint="default"/>
          <w:spacing w:val="12"/>
        </w:rPr>
        <w:t> </w:t>
      </w:r>
      <w:r>
        <w:rPr/>
        <w:t>现金流量表补充资料（续）</w:t>
      </w:r>
    </w:p>
    <w:p>
      <w:pPr>
        <w:pStyle w:val="BodyText"/>
        <w:spacing w:line="240" w:lineRule="auto" w:before="49"/>
        <w:ind w:left="573" w:right="0"/>
        <w:jc w:val="left"/>
      </w:pPr>
      <w:r>
        <w:rPr/>
        <w:t>现金及现金等价物净变动情况：</w:t>
      </w:r>
    </w:p>
    <w:p>
      <w:pPr>
        <w:spacing w:line="240" w:lineRule="auto" w:before="6"/>
        <w:rPr>
          <w:rFonts w:ascii="宋体" w:hAnsi="宋体" w:cs="宋体" w:eastAsia="宋体" w:hint="default"/>
          <w:sz w:val="22"/>
          <w:szCs w:val="22"/>
        </w:rPr>
      </w:pPr>
    </w:p>
    <w:tbl>
      <w:tblPr>
        <w:tblW w:w="0" w:type="auto"/>
        <w:jc w:val="left"/>
        <w:tblInd w:w="407" w:type="dxa"/>
        <w:tblLayout w:type="fixed"/>
        <w:tblCellMar>
          <w:top w:w="0" w:type="dxa"/>
          <w:left w:w="0" w:type="dxa"/>
          <w:bottom w:w="0" w:type="dxa"/>
          <w:right w:w="0" w:type="dxa"/>
        </w:tblCellMar>
        <w:tblLook w:val="01E0"/>
      </w:tblPr>
      <w:tblGrid>
        <w:gridCol w:w="4467"/>
        <w:gridCol w:w="2251"/>
        <w:gridCol w:w="132"/>
        <w:gridCol w:w="2129"/>
      </w:tblGrid>
      <w:tr>
        <w:trPr>
          <w:trHeight w:val="257" w:hRule="exact"/>
        </w:trPr>
        <w:tc>
          <w:tcPr>
            <w:tcW w:w="4467" w:type="dxa"/>
            <w:tcBorders>
              <w:top w:val="nil" w:sz="6" w:space="0" w:color="auto"/>
              <w:left w:val="nil" w:sz="6" w:space="0" w:color="auto"/>
              <w:bottom w:val="nil" w:sz="6" w:space="0" w:color="auto"/>
              <w:right w:val="nil" w:sz="6" w:space="0" w:color="auto"/>
            </w:tcBorders>
          </w:tcPr>
          <w:p>
            <w:pPr>
              <w:pStyle w:val="TableParagraph"/>
              <w:spacing w:line="221" w:lineRule="exact"/>
              <w:ind w:left="200" w:right="0"/>
              <w:jc w:val="left"/>
              <w:rPr>
                <w:rFonts w:ascii="宋体" w:hAnsi="宋体" w:cs="宋体" w:eastAsia="宋体" w:hint="default"/>
                <w:sz w:val="22"/>
                <w:szCs w:val="22"/>
              </w:rPr>
            </w:pPr>
            <w:r>
              <w:rPr>
                <w:rFonts w:ascii="宋体"/>
                <w:w w:val="100"/>
                <w:sz w:val="22"/>
              </w:rPr>
              <w:t> </w:t>
            </w:r>
          </w:p>
        </w:tc>
        <w:tc>
          <w:tcPr>
            <w:tcW w:w="2251" w:type="dxa"/>
            <w:tcBorders>
              <w:top w:val="nil" w:sz="6" w:space="0" w:color="auto"/>
              <w:left w:val="nil" w:sz="6" w:space="0" w:color="auto"/>
              <w:bottom w:val="single" w:sz="4" w:space="0" w:color="000000"/>
              <w:right w:val="nil" w:sz="6" w:space="0" w:color="auto"/>
            </w:tcBorders>
          </w:tcPr>
          <w:p>
            <w:pPr>
              <w:pStyle w:val="TableParagraph"/>
              <w:spacing w:line="236" w:lineRule="exact"/>
              <w:ind w:right="108"/>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132" w:type="dxa"/>
            <w:tcBorders>
              <w:top w:val="nil" w:sz="6" w:space="0" w:color="auto"/>
              <w:left w:val="nil" w:sz="6" w:space="0" w:color="auto"/>
              <w:bottom w:val="nil" w:sz="6" w:space="0" w:color="auto"/>
              <w:right w:val="nil" w:sz="6" w:space="0" w:color="auto"/>
            </w:tcBorders>
          </w:tcPr>
          <w:p>
            <w:pPr/>
          </w:p>
        </w:tc>
        <w:tc>
          <w:tcPr>
            <w:tcW w:w="2129" w:type="dxa"/>
            <w:tcBorders>
              <w:top w:val="nil" w:sz="6" w:space="0" w:color="auto"/>
              <w:left w:val="nil" w:sz="6" w:space="0" w:color="auto"/>
              <w:bottom w:val="single" w:sz="4" w:space="0" w:color="000000"/>
              <w:right w:val="nil" w:sz="6" w:space="0" w:color="auto"/>
            </w:tcBorders>
          </w:tcPr>
          <w:p>
            <w:pPr>
              <w:pStyle w:val="TableParagraph"/>
              <w:spacing w:line="236" w:lineRule="exact"/>
              <w:ind w:right="108"/>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tc>
      </w:tr>
      <w:tr>
        <w:trPr>
          <w:trHeight w:val="293" w:hRule="exact"/>
        </w:trPr>
        <w:tc>
          <w:tcPr>
            <w:tcW w:w="4467" w:type="dxa"/>
            <w:tcBorders>
              <w:top w:val="nil" w:sz="6" w:space="0" w:color="auto"/>
              <w:left w:val="nil" w:sz="6" w:space="0" w:color="auto"/>
              <w:bottom w:val="nil" w:sz="6" w:space="0" w:color="auto"/>
              <w:right w:val="nil" w:sz="6" w:space="0" w:color="auto"/>
            </w:tcBorders>
          </w:tcPr>
          <w:p>
            <w:pPr>
              <w:pStyle w:val="TableParagraph"/>
              <w:spacing w:line="261" w:lineRule="exact"/>
              <w:ind w:left="200" w:right="0"/>
              <w:jc w:val="left"/>
              <w:rPr>
                <w:rFonts w:ascii="宋体" w:hAnsi="宋体" w:cs="宋体" w:eastAsia="宋体" w:hint="default"/>
                <w:sz w:val="22"/>
                <w:szCs w:val="22"/>
              </w:rPr>
            </w:pPr>
            <w:r>
              <w:rPr>
                <w:rFonts w:ascii="宋体"/>
                <w:w w:val="100"/>
                <w:sz w:val="22"/>
              </w:rPr>
              <w:t> </w:t>
            </w:r>
          </w:p>
        </w:tc>
        <w:tc>
          <w:tcPr>
            <w:tcW w:w="2251" w:type="dxa"/>
            <w:tcBorders>
              <w:top w:val="single" w:sz="4" w:space="0" w:color="000000"/>
              <w:left w:val="nil" w:sz="6" w:space="0" w:color="auto"/>
              <w:bottom w:val="nil" w:sz="6" w:space="0" w:color="auto"/>
              <w:right w:val="nil" w:sz="6" w:space="0" w:color="auto"/>
            </w:tcBorders>
          </w:tcPr>
          <w:p>
            <w:pPr/>
          </w:p>
        </w:tc>
        <w:tc>
          <w:tcPr>
            <w:tcW w:w="132" w:type="dxa"/>
            <w:tcBorders>
              <w:top w:val="nil" w:sz="6" w:space="0" w:color="auto"/>
              <w:left w:val="nil" w:sz="6" w:space="0" w:color="auto"/>
              <w:bottom w:val="nil" w:sz="6" w:space="0" w:color="auto"/>
              <w:right w:val="nil" w:sz="6" w:space="0" w:color="auto"/>
            </w:tcBorders>
          </w:tcPr>
          <w:p>
            <w:pPr/>
          </w:p>
        </w:tc>
        <w:tc>
          <w:tcPr>
            <w:tcW w:w="2129" w:type="dxa"/>
            <w:tcBorders>
              <w:top w:val="single" w:sz="4" w:space="0" w:color="000000"/>
              <w:left w:val="nil" w:sz="6" w:space="0" w:color="auto"/>
              <w:bottom w:val="nil" w:sz="6" w:space="0" w:color="auto"/>
              <w:right w:val="nil" w:sz="6" w:space="0" w:color="auto"/>
            </w:tcBorders>
          </w:tcPr>
          <w:p>
            <w:pPr/>
          </w:p>
        </w:tc>
      </w:tr>
      <w:tr>
        <w:trPr>
          <w:trHeight w:val="296" w:hRule="exact"/>
        </w:trPr>
        <w:tc>
          <w:tcPr>
            <w:tcW w:w="4467" w:type="dxa"/>
            <w:tcBorders>
              <w:top w:val="nil" w:sz="6" w:space="0" w:color="auto"/>
              <w:left w:val="nil" w:sz="6" w:space="0" w:color="auto"/>
              <w:bottom w:val="nil" w:sz="6" w:space="0" w:color="auto"/>
              <w:right w:val="nil" w:sz="6" w:space="0" w:color="auto"/>
            </w:tcBorders>
          </w:tcPr>
          <w:p>
            <w:pPr>
              <w:pStyle w:val="TableParagraph"/>
              <w:spacing w:line="252" w:lineRule="exact"/>
              <w:ind w:left="200" w:right="0"/>
              <w:jc w:val="left"/>
              <w:rPr>
                <w:rFonts w:ascii="宋体" w:hAnsi="宋体" w:cs="宋体" w:eastAsia="宋体" w:hint="default"/>
                <w:sz w:val="22"/>
                <w:szCs w:val="22"/>
              </w:rPr>
            </w:pPr>
            <w:r>
              <w:rPr>
                <w:rFonts w:ascii="宋体" w:hAnsi="宋体" w:cs="宋体" w:eastAsia="宋体" w:hint="default"/>
                <w:sz w:val="22"/>
                <w:szCs w:val="22"/>
              </w:rPr>
              <w:t>现金的年末余额</w:t>
            </w:r>
            <w:r>
              <w:rPr>
                <w:rFonts w:ascii="宋体" w:hAnsi="宋体" w:cs="宋体" w:eastAsia="宋体" w:hint="default"/>
                <w:sz w:val="22"/>
                <w:szCs w:val="22"/>
              </w:rPr>
              <w:t> </w:t>
            </w: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3"/>
              <w:jc w:val="right"/>
              <w:rPr>
                <w:rFonts w:ascii="Arial" w:hAnsi="Arial" w:cs="Arial" w:eastAsia="Arial" w:hint="default"/>
                <w:sz w:val="22"/>
                <w:szCs w:val="22"/>
              </w:rPr>
            </w:pPr>
            <w:r>
              <w:rPr>
                <w:rFonts w:ascii="Arial"/>
                <w:sz w:val="22"/>
              </w:rPr>
              <w:t>34,824,654,765</w:t>
            </w:r>
          </w:p>
        </w:tc>
        <w:tc>
          <w:tcPr>
            <w:tcW w:w="132" w:type="dxa"/>
            <w:tcBorders>
              <w:top w:val="nil" w:sz="6" w:space="0" w:color="auto"/>
              <w:left w:val="nil" w:sz="6" w:space="0" w:color="auto"/>
              <w:bottom w:val="nil" w:sz="6" w:space="0" w:color="auto"/>
              <w:right w:val="nil" w:sz="6" w:space="0" w:color="auto"/>
            </w:tcBorders>
          </w:tcPr>
          <w:p>
            <w:pP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3"/>
              <w:jc w:val="right"/>
              <w:rPr>
                <w:rFonts w:ascii="Arial" w:hAnsi="Arial" w:cs="Arial" w:eastAsia="Arial" w:hint="default"/>
                <w:sz w:val="22"/>
                <w:szCs w:val="22"/>
              </w:rPr>
            </w:pPr>
            <w:r>
              <w:rPr>
                <w:rFonts w:ascii="Arial"/>
                <w:sz w:val="22"/>
              </w:rPr>
              <w:t>29,707,259,073</w:t>
            </w:r>
          </w:p>
        </w:tc>
      </w:tr>
      <w:tr>
        <w:trPr>
          <w:trHeight w:val="288" w:hRule="exact"/>
        </w:trPr>
        <w:tc>
          <w:tcPr>
            <w:tcW w:w="4467"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减：现金的年初余额</w:t>
            </w:r>
            <w:r>
              <w:rPr>
                <w:rFonts w:ascii="宋体" w:hAnsi="宋体" w:cs="宋体" w:eastAsia="宋体" w:hint="default"/>
                <w:sz w:val="22"/>
                <w:szCs w:val="22"/>
              </w:rPr>
              <w:t> </w:t>
            </w: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2"/>
              <w:jc w:val="right"/>
              <w:rPr>
                <w:rFonts w:ascii="Arial" w:hAnsi="Arial" w:cs="Arial" w:eastAsia="Arial" w:hint="default"/>
                <w:sz w:val="22"/>
                <w:szCs w:val="22"/>
              </w:rPr>
            </w:pPr>
            <w:r>
              <w:rPr>
                <w:rFonts w:ascii="Arial"/>
                <w:sz w:val="22"/>
              </w:rPr>
              <w:t>(29,707,259,073)</w:t>
            </w:r>
          </w:p>
        </w:tc>
        <w:tc>
          <w:tcPr>
            <w:tcW w:w="132" w:type="dxa"/>
            <w:tcBorders>
              <w:top w:val="nil" w:sz="6" w:space="0" w:color="auto"/>
              <w:left w:val="nil" w:sz="6" w:space="0" w:color="auto"/>
              <w:bottom w:val="nil" w:sz="6" w:space="0" w:color="auto"/>
              <w:right w:val="nil" w:sz="6" w:space="0" w:color="auto"/>
            </w:tcBorders>
          </w:tcPr>
          <w:p>
            <w:pP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7"/>
              <w:jc w:val="right"/>
              <w:rPr>
                <w:rFonts w:ascii="Arial" w:hAnsi="Arial" w:cs="Arial" w:eastAsia="Arial" w:hint="default"/>
                <w:sz w:val="22"/>
                <w:szCs w:val="22"/>
              </w:rPr>
            </w:pPr>
            <w:r>
              <w:rPr>
                <w:rFonts w:ascii="Arial"/>
                <w:sz w:val="22"/>
              </w:rPr>
              <w:t>(32,590,478,235)</w:t>
            </w:r>
          </w:p>
        </w:tc>
      </w:tr>
      <w:tr>
        <w:trPr>
          <w:trHeight w:val="283" w:hRule="exact"/>
        </w:trPr>
        <w:tc>
          <w:tcPr>
            <w:tcW w:w="4467"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加：现金等价物的年末余额</w:t>
            </w:r>
            <w:r>
              <w:rPr>
                <w:rFonts w:ascii="宋体" w:hAnsi="宋体" w:cs="宋体" w:eastAsia="宋体" w:hint="default"/>
                <w:sz w:val="22"/>
                <w:szCs w:val="22"/>
              </w:rPr>
              <w:t> </w:t>
            </w: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3"/>
              <w:jc w:val="right"/>
              <w:rPr>
                <w:rFonts w:ascii="Arial" w:hAnsi="Arial" w:cs="Arial" w:eastAsia="Arial" w:hint="default"/>
                <w:sz w:val="22"/>
                <w:szCs w:val="22"/>
              </w:rPr>
            </w:pPr>
            <w:r>
              <w:rPr>
                <w:rFonts w:ascii="Arial"/>
                <w:sz w:val="22"/>
              </w:rPr>
              <w:t>125,131,226</w:t>
            </w:r>
          </w:p>
        </w:tc>
        <w:tc>
          <w:tcPr>
            <w:tcW w:w="132" w:type="dxa"/>
            <w:tcBorders>
              <w:top w:val="nil" w:sz="6" w:space="0" w:color="auto"/>
              <w:left w:val="nil" w:sz="6" w:space="0" w:color="auto"/>
              <w:bottom w:val="nil" w:sz="6" w:space="0" w:color="auto"/>
              <w:right w:val="nil" w:sz="6" w:space="0" w:color="auto"/>
            </w:tcBorders>
          </w:tcPr>
          <w:p>
            <w:pP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3"/>
              <w:jc w:val="right"/>
              <w:rPr>
                <w:rFonts w:ascii="Arial" w:hAnsi="Arial" w:cs="Arial" w:eastAsia="Arial" w:hint="default"/>
                <w:sz w:val="22"/>
                <w:szCs w:val="22"/>
              </w:rPr>
            </w:pPr>
            <w:r>
              <w:rPr>
                <w:rFonts w:ascii="Arial"/>
                <w:sz w:val="22"/>
              </w:rPr>
              <w:t>355,647,409</w:t>
            </w:r>
          </w:p>
        </w:tc>
      </w:tr>
      <w:tr>
        <w:trPr>
          <w:trHeight w:val="293" w:hRule="exact"/>
        </w:trPr>
        <w:tc>
          <w:tcPr>
            <w:tcW w:w="4467"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减：现金等价物的年初余额</w:t>
            </w:r>
            <w:r>
              <w:rPr>
                <w:rFonts w:ascii="宋体" w:hAnsi="宋体" w:cs="宋体" w:eastAsia="宋体" w:hint="default"/>
                <w:sz w:val="22"/>
                <w:szCs w:val="22"/>
              </w:rPr>
              <w:t> </w:t>
            </w:r>
          </w:p>
        </w:tc>
        <w:tc>
          <w:tcPr>
            <w:tcW w:w="2251" w:type="dxa"/>
            <w:tcBorders>
              <w:top w:val="nil" w:sz="6" w:space="0" w:color="auto"/>
              <w:left w:val="nil" w:sz="6" w:space="0" w:color="auto"/>
              <w:bottom w:val="nil" w:sz="6" w:space="0" w:color="auto"/>
              <w:right w:val="nil" w:sz="6" w:space="0" w:color="auto"/>
            </w:tcBorders>
          </w:tcPr>
          <w:p>
            <w:pPr>
              <w:pStyle w:val="TableParagraph"/>
              <w:tabs>
                <w:tab w:pos="825" w:val="left" w:leader="none"/>
              </w:tabs>
              <w:spacing w:line="240" w:lineRule="auto" w:before="21"/>
              <w:ind w:right="47"/>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(355,647,409)</w:t>
            </w:r>
            <w:r>
              <w:rPr>
                <w:rFonts w:ascii="Arial"/>
                <w:sz w:val="22"/>
              </w:rPr>
            </w:r>
          </w:p>
        </w:tc>
        <w:tc>
          <w:tcPr>
            <w:tcW w:w="132" w:type="dxa"/>
            <w:tcBorders>
              <w:top w:val="nil" w:sz="6" w:space="0" w:color="auto"/>
              <w:left w:val="nil" w:sz="6" w:space="0" w:color="auto"/>
              <w:bottom w:val="nil" w:sz="6" w:space="0" w:color="auto"/>
              <w:right w:val="nil" w:sz="6" w:space="0" w:color="auto"/>
            </w:tcBorders>
          </w:tcPr>
          <w:p>
            <w:pPr/>
          </w:p>
        </w:tc>
        <w:tc>
          <w:tcPr>
            <w:tcW w:w="2129" w:type="dxa"/>
            <w:tcBorders>
              <w:top w:val="nil" w:sz="6" w:space="0" w:color="auto"/>
              <w:left w:val="nil" w:sz="6" w:space="0" w:color="auto"/>
              <w:bottom w:val="nil" w:sz="6" w:space="0" w:color="auto"/>
              <w:right w:val="nil" w:sz="6" w:space="0" w:color="auto"/>
            </w:tcBorders>
          </w:tcPr>
          <w:p>
            <w:pPr>
              <w:pStyle w:val="TableParagraph"/>
              <w:tabs>
                <w:tab w:pos="691" w:val="left" w:leader="none"/>
              </w:tabs>
              <w:spacing w:line="240" w:lineRule="auto" w:before="21"/>
              <w:ind w:right="52"/>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(285,347,184)</w:t>
            </w:r>
            <w:r>
              <w:rPr>
                <w:rFonts w:ascii="Arial"/>
                <w:sz w:val="22"/>
              </w:rPr>
            </w:r>
          </w:p>
        </w:tc>
      </w:tr>
      <w:tr>
        <w:trPr>
          <w:trHeight w:val="302" w:hRule="exact"/>
        </w:trPr>
        <w:tc>
          <w:tcPr>
            <w:tcW w:w="4467" w:type="dxa"/>
            <w:tcBorders>
              <w:top w:val="nil" w:sz="6" w:space="0" w:color="auto"/>
              <w:left w:val="nil" w:sz="6" w:space="0" w:color="auto"/>
              <w:bottom w:val="nil" w:sz="6" w:space="0" w:color="auto"/>
              <w:right w:val="nil" w:sz="6" w:space="0" w:color="auto"/>
            </w:tcBorders>
          </w:tcPr>
          <w:p>
            <w:pPr>
              <w:pStyle w:val="TableParagraph"/>
              <w:spacing w:line="244" w:lineRule="exact"/>
              <w:ind w:left="200" w:right="0"/>
              <w:jc w:val="left"/>
              <w:rPr>
                <w:rFonts w:ascii="宋体" w:hAnsi="宋体" w:cs="宋体" w:eastAsia="宋体" w:hint="default"/>
                <w:sz w:val="22"/>
                <w:szCs w:val="22"/>
              </w:rPr>
            </w:pPr>
            <w:r>
              <w:rPr>
                <w:rFonts w:ascii="宋体" w:hAnsi="宋体" w:cs="宋体" w:eastAsia="宋体" w:hint="default"/>
                <w:sz w:val="22"/>
                <w:szCs w:val="22"/>
              </w:rPr>
              <w:t>现金及现金等价物净增加额</w:t>
            </w:r>
            <w:r>
              <w:rPr>
                <w:rFonts w:ascii="宋体" w:hAnsi="宋体" w:cs="宋体" w:eastAsia="宋体" w:hint="default"/>
                <w:sz w:val="22"/>
                <w:szCs w:val="22"/>
              </w:rPr>
              <w:t> </w:t>
            </w:r>
          </w:p>
        </w:tc>
        <w:tc>
          <w:tcPr>
            <w:tcW w:w="2251" w:type="dxa"/>
            <w:tcBorders>
              <w:top w:val="nil" w:sz="6" w:space="0" w:color="auto"/>
              <w:left w:val="nil" w:sz="6" w:space="0" w:color="auto"/>
              <w:bottom w:val="single" w:sz="17" w:space="0" w:color="000000"/>
              <w:right w:val="nil" w:sz="6" w:space="0" w:color="auto"/>
            </w:tcBorders>
          </w:tcPr>
          <w:p>
            <w:pPr>
              <w:pStyle w:val="TableParagraph"/>
              <w:spacing w:line="240" w:lineRule="auto" w:before="21"/>
              <w:ind w:right="115"/>
              <w:jc w:val="right"/>
              <w:rPr>
                <w:rFonts w:ascii="Arial" w:hAnsi="Arial" w:cs="Arial" w:eastAsia="Arial" w:hint="default"/>
                <w:sz w:val="22"/>
                <w:szCs w:val="22"/>
              </w:rPr>
            </w:pPr>
            <w:r>
              <w:rPr>
                <w:rFonts w:ascii="Arial"/>
                <w:spacing w:val="-1"/>
                <w:sz w:val="22"/>
              </w:rPr>
              <w:t>4,886,879,509</w:t>
            </w:r>
          </w:p>
        </w:tc>
        <w:tc>
          <w:tcPr>
            <w:tcW w:w="132" w:type="dxa"/>
            <w:tcBorders>
              <w:top w:val="nil" w:sz="6" w:space="0" w:color="auto"/>
              <w:left w:val="nil" w:sz="6" w:space="0" w:color="auto"/>
              <w:bottom w:val="nil" w:sz="6" w:space="0" w:color="auto"/>
              <w:right w:val="nil" w:sz="6" w:space="0" w:color="auto"/>
            </w:tcBorders>
          </w:tcPr>
          <w:p>
            <w:pPr/>
          </w:p>
        </w:tc>
        <w:tc>
          <w:tcPr>
            <w:tcW w:w="2129" w:type="dxa"/>
            <w:tcBorders>
              <w:top w:val="nil" w:sz="6" w:space="0" w:color="auto"/>
              <w:left w:val="nil" w:sz="6" w:space="0" w:color="auto"/>
              <w:bottom w:val="single" w:sz="17" w:space="0" w:color="000000"/>
              <w:right w:val="nil" w:sz="6" w:space="0" w:color="auto"/>
            </w:tcBorders>
          </w:tcPr>
          <w:p>
            <w:pPr>
              <w:pStyle w:val="TableParagraph"/>
              <w:spacing w:line="240" w:lineRule="auto" w:before="21"/>
              <w:ind w:right="47"/>
              <w:jc w:val="right"/>
              <w:rPr>
                <w:rFonts w:ascii="Arial" w:hAnsi="Arial" w:cs="Arial" w:eastAsia="Arial" w:hint="default"/>
                <w:sz w:val="22"/>
                <w:szCs w:val="22"/>
              </w:rPr>
            </w:pPr>
            <w:r>
              <w:rPr>
                <w:rFonts w:ascii="Arial"/>
                <w:sz w:val="22"/>
              </w:rPr>
              <w:t>(2,812,918,937)</w:t>
            </w:r>
          </w:p>
        </w:tc>
      </w:tr>
    </w:tbl>
    <w:p>
      <w:pPr>
        <w:spacing w:line="240" w:lineRule="auto" w:before="10"/>
        <w:rPr>
          <w:rFonts w:ascii="宋体" w:hAnsi="宋体" w:cs="宋体" w:eastAsia="宋体" w:hint="default"/>
          <w:sz w:val="13"/>
          <w:szCs w:val="13"/>
        </w:rPr>
      </w:pPr>
    </w:p>
    <w:p>
      <w:pPr>
        <w:pStyle w:val="BodyText"/>
        <w:spacing w:line="240" w:lineRule="auto" w:before="32"/>
        <w:ind w:left="112" w:right="6044"/>
        <w:jc w:val="left"/>
      </w:pPr>
      <w:r>
        <w:rPr>
          <w:rFonts w:ascii="Arial" w:hAnsi="Arial" w:cs="Arial" w:eastAsia="Arial" w:hint="default"/>
        </w:rPr>
        <w:t>(b)  </w:t>
      </w:r>
      <w:r>
        <w:rPr>
          <w:rFonts w:ascii="Arial" w:hAnsi="Arial" w:cs="Arial" w:eastAsia="Arial" w:hint="default"/>
          <w:spacing w:val="14"/>
        </w:rPr>
        <w:t> </w:t>
      </w:r>
      <w:r>
        <w:rPr/>
        <w:t>现金及现金等价物</w:t>
      </w:r>
    </w:p>
    <w:p>
      <w:pPr>
        <w:spacing w:line="240" w:lineRule="auto" w:before="7"/>
        <w:rPr>
          <w:rFonts w:ascii="宋体" w:hAnsi="宋体" w:cs="宋体" w:eastAsia="宋体" w:hint="default"/>
          <w:sz w:val="21"/>
          <w:szCs w:val="21"/>
        </w:rPr>
      </w:pPr>
    </w:p>
    <w:tbl>
      <w:tblPr>
        <w:tblW w:w="0" w:type="auto"/>
        <w:jc w:val="left"/>
        <w:tblInd w:w="407" w:type="dxa"/>
        <w:tblLayout w:type="fixed"/>
        <w:tblCellMar>
          <w:top w:w="0" w:type="dxa"/>
          <w:left w:w="0" w:type="dxa"/>
          <w:bottom w:w="0" w:type="dxa"/>
          <w:right w:w="0" w:type="dxa"/>
        </w:tblCellMar>
        <w:tblLook w:val="01E0"/>
      </w:tblPr>
      <w:tblGrid>
        <w:gridCol w:w="4400"/>
        <w:gridCol w:w="2318"/>
        <w:gridCol w:w="161"/>
        <w:gridCol w:w="2110"/>
      </w:tblGrid>
      <w:tr>
        <w:trPr>
          <w:trHeight w:val="262" w:hRule="exact"/>
        </w:trPr>
        <w:tc>
          <w:tcPr>
            <w:tcW w:w="4400" w:type="dxa"/>
            <w:tcBorders>
              <w:top w:val="nil" w:sz="6" w:space="0" w:color="auto"/>
              <w:left w:val="nil" w:sz="6" w:space="0" w:color="auto"/>
              <w:bottom w:val="nil" w:sz="6" w:space="0" w:color="auto"/>
              <w:right w:val="nil" w:sz="6" w:space="0" w:color="auto"/>
            </w:tcBorders>
          </w:tcPr>
          <w:p>
            <w:pPr/>
          </w:p>
        </w:tc>
        <w:tc>
          <w:tcPr>
            <w:tcW w:w="2318" w:type="dxa"/>
            <w:tcBorders>
              <w:top w:val="nil" w:sz="6" w:space="0" w:color="auto"/>
              <w:left w:val="nil" w:sz="6" w:space="0" w:color="auto"/>
              <w:bottom w:val="single" w:sz="8" w:space="0" w:color="000000"/>
              <w:right w:val="nil" w:sz="6" w:space="0" w:color="auto"/>
            </w:tcBorders>
          </w:tcPr>
          <w:p>
            <w:pPr>
              <w:pStyle w:val="TableParagraph"/>
              <w:spacing w:line="236" w:lineRule="exact"/>
              <w:ind w:right="47"/>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10"/>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Arial" w:hAnsi="Arial" w:cs="Arial" w:eastAsia="Arial" w:hint="default"/>
                <w:sz w:val="22"/>
                <w:szCs w:val="22"/>
              </w:rPr>
              <w:t>12</w:t>
            </w:r>
            <w:r>
              <w:rPr>
                <w:rFonts w:ascii="Arial" w:hAnsi="Arial" w:cs="Arial" w:eastAsia="Arial" w:hint="default"/>
                <w:spacing w:val="-10"/>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Arial" w:hAnsi="Arial" w:cs="Arial" w:eastAsia="Arial" w:hint="default"/>
                <w:sz w:val="22"/>
                <w:szCs w:val="22"/>
              </w:rPr>
              <w:t>31</w:t>
            </w:r>
            <w:r>
              <w:rPr>
                <w:rFonts w:ascii="Arial" w:hAnsi="Arial" w:cs="Arial" w:eastAsia="Arial" w:hint="default"/>
                <w:spacing w:val="-11"/>
                <w:sz w:val="22"/>
                <w:szCs w:val="22"/>
              </w:rPr>
              <w:t> </w:t>
            </w:r>
            <w:r>
              <w:rPr>
                <w:rFonts w:ascii="宋体" w:hAnsi="宋体" w:cs="宋体" w:eastAsia="宋体" w:hint="default"/>
                <w:sz w:val="22"/>
                <w:szCs w:val="22"/>
              </w:rPr>
              <w:t>日</w:t>
            </w:r>
          </w:p>
        </w:tc>
        <w:tc>
          <w:tcPr>
            <w:tcW w:w="161" w:type="dxa"/>
            <w:tcBorders>
              <w:top w:val="nil" w:sz="6" w:space="0" w:color="auto"/>
              <w:left w:val="nil" w:sz="6" w:space="0" w:color="auto"/>
              <w:bottom w:val="nil" w:sz="6" w:space="0" w:color="auto"/>
              <w:right w:val="nil" w:sz="6" w:space="0" w:color="auto"/>
            </w:tcBorders>
          </w:tcPr>
          <w:p>
            <w:pPr/>
          </w:p>
        </w:tc>
        <w:tc>
          <w:tcPr>
            <w:tcW w:w="2110" w:type="dxa"/>
            <w:tcBorders>
              <w:top w:val="nil" w:sz="6" w:space="0" w:color="auto"/>
              <w:left w:val="nil" w:sz="6" w:space="0" w:color="auto"/>
              <w:bottom w:val="single" w:sz="8" w:space="0" w:color="000000"/>
              <w:right w:val="nil" w:sz="6" w:space="0" w:color="auto"/>
            </w:tcBorders>
          </w:tcPr>
          <w:p>
            <w:pPr>
              <w:pStyle w:val="TableParagraph"/>
              <w:spacing w:line="236" w:lineRule="exact"/>
              <w:ind w:right="50"/>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10"/>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Arial" w:hAnsi="Arial" w:cs="Arial" w:eastAsia="Arial" w:hint="default"/>
                <w:sz w:val="22"/>
                <w:szCs w:val="22"/>
              </w:rPr>
              <w:t>12</w:t>
            </w:r>
            <w:r>
              <w:rPr>
                <w:rFonts w:ascii="Arial" w:hAnsi="Arial" w:cs="Arial" w:eastAsia="Arial" w:hint="default"/>
                <w:spacing w:val="-10"/>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Arial" w:hAnsi="Arial" w:cs="Arial" w:eastAsia="Arial" w:hint="default"/>
                <w:sz w:val="22"/>
                <w:szCs w:val="22"/>
              </w:rPr>
              <w:t>31</w:t>
            </w:r>
            <w:r>
              <w:rPr>
                <w:rFonts w:ascii="Arial" w:hAnsi="Arial" w:cs="Arial" w:eastAsia="Arial" w:hint="default"/>
                <w:spacing w:val="-11"/>
                <w:sz w:val="22"/>
                <w:szCs w:val="22"/>
              </w:rPr>
              <w:t> </w:t>
            </w:r>
            <w:r>
              <w:rPr>
                <w:rFonts w:ascii="宋体" w:hAnsi="宋体" w:cs="宋体" w:eastAsia="宋体" w:hint="default"/>
                <w:sz w:val="22"/>
                <w:szCs w:val="22"/>
              </w:rPr>
              <w:t>日</w:t>
            </w:r>
          </w:p>
        </w:tc>
      </w:tr>
      <w:tr>
        <w:trPr>
          <w:trHeight w:val="533" w:hRule="exact"/>
        </w:trPr>
        <w:tc>
          <w:tcPr>
            <w:tcW w:w="440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现金</w:t>
            </w:r>
            <w:r>
              <w:rPr>
                <w:rFonts w:ascii="宋体" w:hAnsi="宋体" w:cs="宋体" w:eastAsia="宋体" w:hint="default"/>
                <w:sz w:val="22"/>
                <w:szCs w:val="22"/>
              </w:rPr>
              <w:t> </w:t>
            </w:r>
          </w:p>
        </w:tc>
        <w:tc>
          <w:tcPr>
            <w:tcW w:w="2318" w:type="dxa"/>
            <w:tcBorders>
              <w:top w:val="single" w:sz="8"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113"/>
              <w:jc w:val="right"/>
              <w:rPr>
                <w:rFonts w:ascii="Arial" w:hAnsi="Arial" w:cs="Arial" w:eastAsia="Arial" w:hint="default"/>
                <w:sz w:val="22"/>
                <w:szCs w:val="22"/>
              </w:rPr>
            </w:pPr>
            <w:r>
              <w:rPr>
                <w:rFonts w:ascii="Arial"/>
                <w:sz w:val="22"/>
              </w:rPr>
              <w:t>34,824,654,765</w:t>
            </w:r>
          </w:p>
        </w:tc>
        <w:tc>
          <w:tcPr>
            <w:tcW w:w="161" w:type="dxa"/>
            <w:tcBorders>
              <w:top w:val="nil" w:sz="6" w:space="0" w:color="auto"/>
              <w:left w:val="nil" w:sz="6" w:space="0" w:color="auto"/>
              <w:bottom w:val="single" w:sz="4" w:space="0" w:color="000000"/>
              <w:right w:val="nil" w:sz="6" w:space="0" w:color="auto"/>
            </w:tcBorders>
          </w:tcPr>
          <w:p>
            <w:pPr/>
          </w:p>
        </w:tc>
        <w:tc>
          <w:tcPr>
            <w:tcW w:w="2110" w:type="dxa"/>
            <w:tcBorders>
              <w:top w:val="single" w:sz="8"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113"/>
              <w:jc w:val="right"/>
              <w:rPr>
                <w:rFonts w:ascii="Arial" w:hAnsi="Arial" w:cs="Arial" w:eastAsia="Arial" w:hint="default"/>
                <w:sz w:val="22"/>
                <w:szCs w:val="22"/>
              </w:rPr>
            </w:pPr>
            <w:r>
              <w:rPr>
                <w:rFonts w:ascii="Arial"/>
                <w:sz w:val="22"/>
              </w:rPr>
              <w:t>29,707,259,073</w:t>
            </w:r>
          </w:p>
        </w:tc>
      </w:tr>
      <w:tr>
        <w:trPr>
          <w:trHeight w:val="300" w:hRule="exact"/>
        </w:trPr>
        <w:tc>
          <w:tcPr>
            <w:tcW w:w="4400" w:type="dxa"/>
            <w:tcBorders>
              <w:top w:val="nil" w:sz="6" w:space="0" w:color="auto"/>
              <w:left w:val="nil" w:sz="6" w:space="0" w:color="auto"/>
              <w:bottom w:val="nil" w:sz="6" w:space="0" w:color="auto"/>
              <w:right w:val="single" w:sz="4" w:space="0" w:color="000000"/>
            </w:tcBorders>
          </w:tcPr>
          <w:p>
            <w:pPr>
              <w:pStyle w:val="TableParagraph"/>
              <w:spacing w:line="257" w:lineRule="exact"/>
              <w:ind w:left="200" w:right="0"/>
              <w:jc w:val="left"/>
              <w:rPr>
                <w:rFonts w:ascii="宋体" w:hAnsi="宋体" w:cs="宋体" w:eastAsia="宋体" w:hint="default"/>
                <w:sz w:val="22"/>
                <w:szCs w:val="22"/>
              </w:rPr>
            </w:pPr>
            <w:r>
              <w:rPr>
                <w:rFonts w:ascii="宋体" w:hAnsi="宋体" w:cs="宋体" w:eastAsia="宋体" w:hint="default"/>
                <w:sz w:val="22"/>
                <w:szCs w:val="22"/>
              </w:rPr>
              <w:t>其中：库存现金</w:t>
            </w:r>
            <w:r>
              <w:rPr>
                <w:rFonts w:ascii="宋体" w:hAnsi="宋体" w:cs="宋体" w:eastAsia="宋体" w:hint="default"/>
                <w:sz w:val="22"/>
                <w:szCs w:val="22"/>
              </w:rPr>
              <w:t> </w:t>
            </w:r>
          </w:p>
        </w:tc>
        <w:tc>
          <w:tcPr>
            <w:tcW w:w="2318" w:type="dxa"/>
            <w:tcBorders>
              <w:top w:val="single" w:sz="4" w:space="0" w:color="000000"/>
              <w:left w:val="single" w:sz="4" w:space="0" w:color="000000"/>
              <w:bottom w:val="nil" w:sz="6" w:space="0" w:color="auto"/>
              <w:right w:val="nil" w:sz="6" w:space="0" w:color="auto"/>
            </w:tcBorders>
          </w:tcPr>
          <w:p>
            <w:pPr>
              <w:pStyle w:val="TableParagraph"/>
              <w:spacing w:line="240" w:lineRule="auto" w:before="29"/>
              <w:ind w:right="113"/>
              <w:jc w:val="right"/>
              <w:rPr>
                <w:rFonts w:ascii="Arial" w:hAnsi="Arial" w:cs="Arial" w:eastAsia="Arial" w:hint="default"/>
                <w:sz w:val="22"/>
                <w:szCs w:val="22"/>
              </w:rPr>
            </w:pPr>
            <w:r>
              <w:rPr>
                <w:rFonts w:ascii="Arial"/>
                <w:sz w:val="22"/>
              </w:rPr>
              <w:t>1,390,149</w:t>
            </w:r>
          </w:p>
        </w:tc>
        <w:tc>
          <w:tcPr>
            <w:tcW w:w="161" w:type="dxa"/>
            <w:tcBorders>
              <w:top w:val="single" w:sz="4" w:space="0" w:color="000000"/>
              <w:left w:val="nil" w:sz="6" w:space="0" w:color="auto"/>
              <w:bottom w:val="nil" w:sz="6" w:space="0" w:color="auto"/>
              <w:right w:val="nil" w:sz="6" w:space="0" w:color="auto"/>
            </w:tcBorders>
          </w:tcPr>
          <w:p>
            <w:pPr/>
          </w:p>
        </w:tc>
        <w:tc>
          <w:tcPr>
            <w:tcW w:w="2110" w:type="dxa"/>
            <w:tcBorders>
              <w:top w:val="single" w:sz="4" w:space="0" w:color="000000"/>
              <w:left w:val="nil" w:sz="6" w:space="0" w:color="auto"/>
              <w:bottom w:val="nil" w:sz="6" w:space="0" w:color="auto"/>
              <w:right w:val="single" w:sz="4" w:space="0" w:color="000000"/>
            </w:tcBorders>
          </w:tcPr>
          <w:p>
            <w:pPr>
              <w:pStyle w:val="TableParagraph"/>
              <w:spacing w:line="240" w:lineRule="auto" w:before="29"/>
              <w:ind w:right="108"/>
              <w:jc w:val="right"/>
              <w:rPr>
                <w:rFonts w:ascii="Arial" w:hAnsi="Arial" w:cs="Arial" w:eastAsia="Arial" w:hint="default"/>
                <w:sz w:val="22"/>
                <w:szCs w:val="22"/>
              </w:rPr>
            </w:pPr>
            <w:r>
              <w:rPr>
                <w:rFonts w:ascii="Arial"/>
                <w:sz w:val="22"/>
              </w:rPr>
              <w:t>522,543</w:t>
            </w:r>
          </w:p>
        </w:tc>
      </w:tr>
      <w:tr>
        <w:trPr>
          <w:trHeight w:val="280" w:hRule="exact"/>
        </w:trPr>
        <w:tc>
          <w:tcPr>
            <w:tcW w:w="4400" w:type="dxa"/>
            <w:tcBorders>
              <w:top w:val="nil" w:sz="6" w:space="0" w:color="auto"/>
              <w:left w:val="nil" w:sz="6" w:space="0" w:color="auto"/>
              <w:bottom w:val="nil" w:sz="6" w:space="0" w:color="auto"/>
              <w:right w:val="single" w:sz="4" w:space="0" w:color="000000"/>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w w:val="100"/>
                <w:sz w:val="22"/>
                <w:szCs w:val="22"/>
              </w:rPr>
              <w:t>      </w:t>
            </w:r>
            <w:r>
              <w:rPr>
                <w:rFonts w:ascii="宋体" w:hAnsi="宋体" w:cs="宋体" w:eastAsia="宋体" w:hint="default"/>
                <w:sz w:val="22"/>
                <w:szCs w:val="22"/>
              </w:rPr>
              <w:t>可随时用于支付的银行存款</w:t>
            </w:r>
            <w:r>
              <w:rPr>
                <w:rFonts w:ascii="宋体" w:hAnsi="宋体" w:cs="宋体" w:eastAsia="宋体" w:hint="default"/>
                <w:sz w:val="22"/>
                <w:szCs w:val="22"/>
              </w:rPr>
              <w:t> </w:t>
            </w:r>
          </w:p>
        </w:tc>
        <w:tc>
          <w:tcPr>
            <w:tcW w:w="2318" w:type="dxa"/>
            <w:tcBorders>
              <w:top w:val="nil" w:sz="6" w:space="0" w:color="auto"/>
              <w:left w:val="single" w:sz="4" w:space="0" w:color="000000"/>
              <w:bottom w:val="single" w:sz="4" w:space="0" w:color="000000"/>
              <w:right w:val="nil" w:sz="6" w:space="0" w:color="auto"/>
            </w:tcBorders>
          </w:tcPr>
          <w:p>
            <w:pPr>
              <w:pStyle w:val="TableParagraph"/>
              <w:spacing w:line="240" w:lineRule="auto" w:before="21"/>
              <w:ind w:right="113"/>
              <w:jc w:val="right"/>
              <w:rPr>
                <w:rFonts w:ascii="Arial" w:hAnsi="Arial" w:cs="Arial" w:eastAsia="Arial" w:hint="default"/>
                <w:sz w:val="22"/>
                <w:szCs w:val="22"/>
              </w:rPr>
            </w:pPr>
            <w:r>
              <w:rPr>
                <w:rFonts w:ascii="Arial"/>
                <w:sz w:val="22"/>
              </w:rPr>
              <w:t>34,823,264,616</w:t>
            </w:r>
          </w:p>
        </w:tc>
        <w:tc>
          <w:tcPr>
            <w:tcW w:w="161" w:type="dxa"/>
            <w:tcBorders>
              <w:top w:val="nil" w:sz="6" w:space="0" w:color="auto"/>
              <w:left w:val="nil" w:sz="6" w:space="0" w:color="auto"/>
              <w:bottom w:val="single" w:sz="4" w:space="0" w:color="000000"/>
              <w:right w:val="nil" w:sz="6" w:space="0" w:color="auto"/>
            </w:tcBorders>
          </w:tcPr>
          <w:p>
            <w:pPr/>
          </w:p>
        </w:tc>
        <w:tc>
          <w:tcPr>
            <w:tcW w:w="2110" w:type="dxa"/>
            <w:tcBorders>
              <w:top w:val="nil" w:sz="6" w:space="0" w:color="auto"/>
              <w:left w:val="nil" w:sz="6" w:space="0" w:color="auto"/>
              <w:bottom w:val="single" w:sz="4" w:space="0" w:color="000000"/>
              <w:right w:val="single" w:sz="4" w:space="0" w:color="000000"/>
            </w:tcBorders>
          </w:tcPr>
          <w:p>
            <w:pPr>
              <w:pStyle w:val="TableParagraph"/>
              <w:spacing w:line="240" w:lineRule="auto" w:before="21"/>
              <w:ind w:right="108"/>
              <w:jc w:val="right"/>
              <w:rPr>
                <w:rFonts w:ascii="Arial" w:hAnsi="Arial" w:cs="Arial" w:eastAsia="Arial" w:hint="default"/>
                <w:sz w:val="22"/>
                <w:szCs w:val="22"/>
              </w:rPr>
            </w:pPr>
            <w:r>
              <w:rPr>
                <w:rFonts w:ascii="Arial"/>
                <w:sz w:val="22"/>
              </w:rPr>
              <w:t>29,706,736,530</w:t>
            </w:r>
          </w:p>
        </w:tc>
      </w:tr>
      <w:tr>
        <w:trPr>
          <w:trHeight w:val="687" w:hRule="exact"/>
        </w:trPr>
        <w:tc>
          <w:tcPr>
            <w:tcW w:w="440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其他货币资金</w:t>
            </w:r>
            <w:r>
              <w:rPr>
                <w:rFonts w:ascii="宋体" w:hAnsi="宋体" w:cs="宋体" w:eastAsia="宋体" w:hint="default"/>
                <w:sz w:val="22"/>
                <w:szCs w:val="22"/>
              </w:rPr>
              <w:t> </w:t>
            </w:r>
          </w:p>
        </w:tc>
        <w:tc>
          <w:tcPr>
            <w:tcW w:w="2318"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tabs>
                <w:tab w:pos="974" w:val="left" w:leader="none"/>
                <w:tab w:pos="2318" w:val="left" w:leader="none"/>
              </w:tabs>
              <w:spacing w:line="240" w:lineRule="auto"/>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125,131,226</w:t>
              <w:tab/>
            </w:r>
            <w:r>
              <w:rPr>
                <w:rFonts w:ascii="Arial"/>
                <w:spacing w:val="-1"/>
                <w:sz w:val="22"/>
              </w:rPr>
            </w:r>
          </w:p>
        </w:tc>
        <w:tc>
          <w:tcPr>
            <w:tcW w:w="161" w:type="dxa"/>
            <w:tcBorders>
              <w:top w:val="single" w:sz="4" w:space="0" w:color="000000"/>
              <w:left w:val="nil" w:sz="6" w:space="0" w:color="auto"/>
              <w:bottom w:val="nil" w:sz="6" w:space="0" w:color="auto"/>
              <w:right w:val="nil" w:sz="6" w:space="0" w:color="auto"/>
            </w:tcBorders>
          </w:tcPr>
          <w:p>
            <w:pPr/>
          </w:p>
        </w:tc>
        <w:tc>
          <w:tcPr>
            <w:tcW w:w="2110"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tabs>
                <w:tab w:pos="758" w:val="left" w:leader="none"/>
                <w:tab w:pos="2102" w:val="left" w:leader="none"/>
              </w:tabs>
              <w:spacing w:line="240" w:lineRule="auto"/>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355,647,409</w:t>
              <w:tab/>
            </w:r>
            <w:r>
              <w:rPr>
                <w:rFonts w:ascii="Arial"/>
                <w:spacing w:val="-1"/>
                <w:sz w:val="22"/>
              </w:rPr>
            </w:r>
          </w:p>
        </w:tc>
      </w:tr>
      <w:tr>
        <w:trPr>
          <w:trHeight w:val="424" w:hRule="exact"/>
        </w:trPr>
        <w:tc>
          <w:tcPr>
            <w:tcW w:w="440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年末现金及现金等价物余额</w:t>
            </w:r>
            <w:r>
              <w:rPr>
                <w:rFonts w:ascii="宋体" w:hAnsi="宋体" w:cs="宋体" w:eastAsia="宋体" w:hint="default"/>
                <w:sz w:val="22"/>
                <w:szCs w:val="22"/>
              </w:rPr>
              <w:t> </w:t>
            </w:r>
          </w:p>
        </w:tc>
        <w:tc>
          <w:tcPr>
            <w:tcW w:w="2318"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113"/>
              <w:jc w:val="right"/>
              <w:rPr>
                <w:rFonts w:ascii="Arial" w:hAnsi="Arial" w:cs="Arial" w:eastAsia="Arial" w:hint="default"/>
                <w:sz w:val="22"/>
                <w:szCs w:val="22"/>
              </w:rPr>
            </w:pPr>
            <w:r>
              <w:rPr>
                <w:rFonts w:ascii="Arial"/>
                <w:sz w:val="22"/>
              </w:rPr>
              <w:t>34,949,785,991</w:t>
            </w:r>
          </w:p>
        </w:tc>
        <w:tc>
          <w:tcPr>
            <w:tcW w:w="161" w:type="dxa"/>
            <w:tcBorders>
              <w:top w:val="nil" w:sz="6" w:space="0" w:color="auto"/>
              <w:left w:val="nil" w:sz="6" w:space="0" w:color="auto"/>
              <w:bottom w:val="nil" w:sz="6" w:space="0" w:color="auto"/>
              <w:right w:val="nil" w:sz="6" w:space="0" w:color="auto"/>
            </w:tcBorders>
          </w:tcPr>
          <w:p>
            <w:pPr/>
          </w:p>
        </w:tc>
        <w:tc>
          <w:tcPr>
            <w:tcW w:w="2110"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113"/>
              <w:jc w:val="right"/>
              <w:rPr>
                <w:rFonts w:ascii="Arial" w:hAnsi="Arial" w:cs="Arial" w:eastAsia="Arial" w:hint="default"/>
                <w:sz w:val="22"/>
                <w:szCs w:val="22"/>
              </w:rPr>
            </w:pPr>
            <w:r>
              <w:rPr>
                <w:rFonts w:ascii="Arial"/>
                <w:sz w:val="22"/>
              </w:rPr>
              <w:t>30,062,906,482</w:t>
            </w:r>
          </w:p>
        </w:tc>
      </w:tr>
    </w:tbl>
    <w:p>
      <w:pPr>
        <w:spacing w:after="0" w:line="240" w:lineRule="auto"/>
        <w:jc w:val="right"/>
        <w:rPr>
          <w:rFonts w:ascii="Arial" w:hAnsi="Arial" w:cs="Arial" w:eastAsia="Arial" w:hint="default"/>
          <w:sz w:val="22"/>
          <w:szCs w:val="22"/>
        </w:rPr>
        <w:sectPr>
          <w:headerReference w:type="default" r:id="rId207"/>
          <w:pgSz w:w="11910" w:h="16840"/>
          <w:pgMar w:header="1188" w:footer="502" w:top="3040" w:bottom="700" w:left="1020" w:right="1380"/>
        </w:sectPr>
      </w:pPr>
    </w:p>
    <w:p>
      <w:pPr>
        <w:spacing w:line="240" w:lineRule="auto" w:before="7"/>
        <w:rPr>
          <w:rFonts w:ascii="宋体" w:hAnsi="宋体" w:cs="宋体" w:eastAsia="宋体" w:hint="default"/>
          <w:sz w:val="16"/>
          <w:szCs w:val="16"/>
        </w:rPr>
      </w:pPr>
    </w:p>
    <w:p>
      <w:pPr>
        <w:pStyle w:val="BodyText"/>
        <w:spacing w:line="240" w:lineRule="auto" w:before="32"/>
        <w:ind w:left="112" w:right="94"/>
        <w:jc w:val="left"/>
      </w:pPr>
      <w:r>
        <w:rPr>
          <w:rFonts w:ascii="Arial" w:hAnsi="Arial" w:cs="Arial" w:eastAsia="Arial" w:hint="default"/>
        </w:rPr>
        <w:t>53</w:t>
      </w:r>
      <w:r>
        <w:rPr/>
        <w:t>、租赁</w:t>
      </w:r>
    </w:p>
    <w:p>
      <w:pPr>
        <w:spacing w:line="240" w:lineRule="auto" w:before="11"/>
        <w:rPr>
          <w:rFonts w:ascii="宋体" w:hAnsi="宋体" w:cs="宋体" w:eastAsia="宋体" w:hint="default"/>
          <w:sz w:val="17"/>
          <w:szCs w:val="17"/>
        </w:rPr>
      </w:pPr>
    </w:p>
    <w:p>
      <w:pPr>
        <w:pStyle w:val="BodyText"/>
        <w:spacing w:line="451" w:lineRule="auto"/>
        <w:ind w:left="554" w:right="5482" w:hanging="15"/>
        <w:jc w:val="left"/>
      </w:pPr>
      <w:r>
        <w:rPr>
          <w:spacing w:val="-1"/>
        </w:rPr>
        <w:t>本集团作为承租人的租赁情况</w:t>
      </w:r>
      <w:r>
        <w:rPr>
          <w:spacing w:val="-92"/>
        </w:rPr>
        <w:t> </w:t>
      </w:r>
      <w:r>
        <w:rPr>
          <w:spacing w:val="-92"/>
        </w:rPr>
      </w:r>
      <w:r>
        <w:rPr/>
        <w:t>使用权资产</w:t>
      </w:r>
    </w:p>
    <w:p>
      <w:pPr>
        <w:spacing w:line="240" w:lineRule="auto" w:before="3"/>
        <w:rPr>
          <w:rFonts w:ascii="宋体" w:hAnsi="宋体" w:cs="宋体" w:eastAsia="宋体" w:hint="default"/>
          <w:sz w:val="9"/>
          <w:szCs w:val="9"/>
        </w:rPr>
      </w:pPr>
    </w:p>
    <w:tbl>
      <w:tblPr>
        <w:tblW w:w="0" w:type="auto"/>
        <w:jc w:val="left"/>
        <w:tblInd w:w="359" w:type="dxa"/>
        <w:tblLayout w:type="fixed"/>
        <w:tblCellMar>
          <w:top w:w="0" w:type="dxa"/>
          <w:left w:w="0" w:type="dxa"/>
          <w:bottom w:w="0" w:type="dxa"/>
          <w:right w:w="0" w:type="dxa"/>
        </w:tblCellMar>
        <w:tblLook w:val="01E0"/>
      </w:tblPr>
      <w:tblGrid>
        <w:gridCol w:w="2120"/>
        <w:gridCol w:w="1627"/>
        <w:gridCol w:w="228"/>
        <w:gridCol w:w="1774"/>
        <w:gridCol w:w="228"/>
        <w:gridCol w:w="1471"/>
        <w:gridCol w:w="276"/>
        <w:gridCol w:w="1750"/>
      </w:tblGrid>
      <w:tr>
        <w:trPr>
          <w:trHeight w:val="236" w:hRule="exact"/>
        </w:trPr>
        <w:tc>
          <w:tcPr>
            <w:tcW w:w="2120"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single" w:sz="4" w:space="0" w:color="000000"/>
              <w:right w:val="nil" w:sz="6" w:space="0" w:color="auto"/>
            </w:tcBorders>
          </w:tcPr>
          <w:p>
            <w:pPr>
              <w:pStyle w:val="TableParagraph"/>
              <w:spacing w:line="201" w:lineRule="exact"/>
              <w:ind w:left="316" w:right="0"/>
              <w:jc w:val="left"/>
              <w:rPr>
                <w:rFonts w:ascii="宋体" w:hAnsi="宋体" w:cs="宋体" w:eastAsia="宋体" w:hint="default"/>
                <w:sz w:val="20"/>
                <w:szCs w:val="20"/>
              </w:rPr>
            </w:pPr>
            <w:r>
              <w:rPr>
                <w:rFonts w:ascii="宋体" w:hAnsi="宋体" w:cs="宋体" w:eastAsia="宋体" w:hint="default"/>
                <w:sz w:val="20"/>
                <w:szCs w:val="20"/>
              </w:rPr>
              <w:t>房屋建筑物</w:t>
            </w:r>
          </w:p>
        </w:tc>
        <w:tc>
          <w:tcPr>
            <w:tcW w:w="228"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single" w:sz="4" w:space="0" w:color="000000"/>
              <w:right w:val="nil" w:sz="6" w:space="0" w:color="auto"/>
            </w:tcBorders>
          </w:tcPr>
          <w:p>
            <w:pPr>
              <w:pStyle w:val="TableParagraph"/>
              <w:spacing w:line="201" w:lineRule="exact"/>
              <w:ind w:left="487" w:right="0"/>
              <w:jc w:val="left"/>
              <w:rPr>
                <w:rFonts w:ascii="宋体" w:hAnsi="宋体" w:cs="宋体" w:eastAsia="宋体" w:hint="default"/>
                <w:sz w:val="20"/>
                <w:szCs w:val="20"/>
              </w:rPr>
            </w:pPr>
            <w:r>
              <w:rPr>
                <w:rFonts w:ascii="宋体" w:hAnsi="宋体" w:cs="宋体" w:eastAsia="宋体" w:hint="default"/>
                <w:sz w:val="20"/>
                <w:szCs w:val="20"/>
              </w:rPr>
              <w:t>通信设备</w:t>
            </w:r>
          </w:p>
        </w:tc>
        <w:tc>
          <w:tcPr>
            <w:tcW w:w="228"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single" w:sz="4" w:space="0" w:color="000000"/>
              <w:right w:val="nil" w:sz="6" w:space="0" w:color="auto"/>
            </w:tcBorders>
          </w:tcPr>
          <w:p>
            <w:pPr>
              <w:pStyle w:val="TableParagraph"/>
              <w:spacing w:line="201" w:lineRule="exact"/>
              <w:ind w:left="12" w:right="0"/>
              <w:jc w:val="center"/>
              <w:rPr>
                <w:rFonts w:ascii="宋体" w:hAnsi="宋体" w:cs="宋体" w:eastAsia="宋体" w:hint="default"/>
                <w:sz w:val="20"/>
                <w:szCs w:val="20"/>
              </w:rPr>
            </w:pPr>
            <w:r>
              <w:rPr>
                <w:rFonts w:ascii="宋体" w:hAnsi="宋体" w:cs="宋体" w:eastAsia="宋体" w:hint="default"/>
                <w:sz w:val="20"/>
                <w:szCs w:val="20"/>
              </w:rPr>
              <w:t>其他</w:t>
            </w:r>
          </w:p>
        </w:tc>
        <w:tc>
          <w:tcPr>
            <w:tcW w:w="276"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single" w:sz="4" w:space="0" w:color="000000"/>
              <w:right w:val="nil" w:sz="6" w:space="0" w:color="auto"/>
            </w:tcBorders>
          </w:tcPr>
          <w:p>
            <w:pPr>
              <w:pStyle w:val="TableParagraph"/>
              <w:spacing w:line="201" w:lineRule="exact"/>
              <w:ind w:right="101"/>
              <w:jc w:val="center"/>
              <w:rPr>
                <w:rFonts w:ascii="宋体" w:hAnsi="宋体" w:cs="宋体" w:eastAsia="宋体" w:hint="default"/>
                <w:sz w:val="20"/>
                <w:szCs w:val="20"/>
              </w:rPr>
            </w:pPr>
            <w:r>
              <w:rPr>
                <w:rFonts w:ascii="宋体" w:hAnsi="宋体" w:cs="宋体" w:eastAsia="宋体" w:hint="default"/>
                <w:sz w:val="20"/>
                <w:szCs w:val="20"/>
              </w:rPr>
              <w:t>合计</w:t>
            </w:r>
          </w:p>
        </w:tc>
      </w:tr>
      <w:tr>
        <w:trPr>
          <w:trHeight w:val="470"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169"/>
              <w:ind w:left="200" w:right="0"/>
              <w:jc w:val="left"/>
              <w:rPr>
                <w:rFonts w:ascii="宋体" w:hAnsi="宋体" w:cs="宋体" w:eastAsia="宋体" w:hint="default"/>
                <w:sz w:val="20"/>
                <w:szCs w:val="20"/>
              </w:rPr>
            </w:pPr>
            <w:r>
              <w:rPr>
                <w:rFonts w:ascii="宋体" w:hAnsi="宋体" w:cs="宋体" w:eastAsia="宋体" w:hint="default"/>
                <w:sz w:val="20"/>
                <w:szCs w:val="20"/>
              </w:rPr>
              <w:t>原值</w:t>
            </w:r>
          </w:p>
        </w:tc>
        <w:tc>
          <w:tcPr>
            <w:tcW w:w="1627" w:type="dxa"/>
            <w:tcBorders>
              <w:top w:val="single" w:sz="4" w:space="0" w:color="000000"/>
              <w:left w:val="nil" w:sz="6" w:space="0" w:color="auto"/>
              <w:bottom w:val="nil" w:sz="6" w:space="0" w:color="auto"/>
              <w:right w:val="nil" w:sz="6" w:space="0" w:color="auto"/>
            </w:tcBorders>
          </w:tcPr>
          <w:p>
            <w:pPr/>
          </w:p>
        </w:tc>
        <w:tc>
          <w:tcPr>
            <w:tcW w:w="228" w:type="dxa"/>
            <w:tcBorders>
              <w:top w:val="nil" w:sz="6" w:space="0" w:color="auto"/>
              <w:left w:val="nil" w:sz="6" w:space="0" w:color="auto"/>
              <w:bottom w:val="nil" w:sz="6" w:space="0" w:color="auto"/>
              <w:right w:val="nil" w:sz="6" w:space="0" w:color="auto"/>
            </w:tcBorders>
          </w:tcPr>
          <w:p>
            <w:pPr/>
          </w:p>
        </w:tc>
        <w:tc>
          <w:tcPr>
            <w:tcW w:w="1774" w:type="dxa"/>
            <w:tcBorders>
              <w:top w:val="single" w:sz="4" w:space="0" w:color="000000"/>
              <w:left w:val="nil" w:sz="6" w:space="0" w:color="auto"/>
              <w:bottom w:val="nil" w:sz="6" w:space="0" w:color="auto"/>
              <w:right w:val="nil" w:sz="6" w:space="0" w:color="auto"/>
            </w:tcBorders>
          </w:tcPr>
          <w:p>
            <w:pPr/>
          </w:p>
        </w:tc>
        <w:tc>
          <w:tcPr>
            <w:tcW w:w="228" w:type="dxa"/>
            <w:tcBorders>
              <w:top w:val="nil" w:sz="6" w:space="0" w:color="auto"/>
              <w:left w:val="nil" w:sz="6" w:space="0" w:color="auto"/>
              <w:bottom w:val="nil" w:sz="6" w:space="0" w:color="auto"/>
              <w:right w:val="nil" w:sz="6" w:space="0" w:color="auto"/>
            </w:tcBorders>
          </w:tcPr>
          <w:p>
            <w:pPr/>
          </w:p>
        </w:tc>
        <w:tc>
          <w:tcPr>
            <w:tcW w:w="1471" w:type="dxa"/>
            <w:tcBorders>
              <w:top w:val="single" w:sz="4" w:space="0" w:color="000000"/>
              <w:left w:val="nil" w:sz="6" w:space="0" w:color="auto"/>
              <w:bottom w:val="nil" w:sz="6" w:space="0" w:color="auto"/>
              <w:right w:val="nil" w:sz="6" w:space="0" w:color="auto"/>
            </w:tcBorders>
          </w:tcPr>
          <w:p>
            <w:pPr/>
          </w:p>
        </w:tc>
        <w:tc>
          <w:tcPr>
            <w:tcW w:w="276" w:type="dxa"/>
            <w:tcBorders>
              <w:top w:val="nil" w:sz="6" w:space="0" w:color="auto"/>
              <w:left w:val="nil" w:sz="6" w:space="0" w:color="auto"/>
              <w:bottom w:val="nil" w:sz="6" w:space="0" w:color="auto"/>
              <w:right w:val="nil" w:sz="6" w:space="0" w:color="auto"/>
            </w:tcBorders>
          </w:tcPr>
          <w:p>
            <w:pPr/>
          </w:p>
        </w:tc>
        <w:tc>
          <w:tcPr>
            <w:tcW w:w="1750" w:type="dxa"/>
            <w:tcBorders>
              <w:top w:val="single" w:sz="4" w:space="0" w:color="000000"/>
              <w:left w:val="nil" w:sz="6" w:space="0" w:color="auto"/>
              <w:bottom w:val="nil" w:sz="6" w:space="0" w:color="auto"/>
              <w:right w:val="nil" w:sz="6" w:space="0" w:color="auto"/>
            </w:tcBorders>
          </w:tcPr>
          <w:p>
            <w:pPr/>
          </w:p>
        </w:tc>
      </w:tr>
      <w:tr>
        <w:trPr>
          <w:trHeight w:val="273"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44" w:lineRule="exact"/>
              <w:ind w:left="401" w:right="0"/>
              <w:jc w:val="left"/>
              <w:rPr>
                <w:rFonts w:ascii="宋体" w:hAnsi="宋体" w:cs="宋体" w:eastAsia="宋体" w:hint="default"/>
                <w:sz w:val="20"/>
                <w:szCs w:val="20"/>
              </w:rPr>
            </w:pPr>
            <w:r>
              <w:rPr>
                <w:rFonts w:ascii="宋体" w:hAnsi="宋体" w:cs="宋体" w:eastAsia="宋体" w:hint="default"/>
                <w:sz w:val="20"/>
                <w:szCs w:val="20"/>
              </w:rPr>
              <w:t>年初余额</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3"/>
              <w:jc w:val="right"/>
              <w:rPr>
                <w:rFonts w:ascii="Arial" w:hAnsi="Arial" w:cs="Arial" w:eastAsia="Arial" w:hint="default"/>
                <w:sz w:val="20"/>
                <w:szCs w:val="20"/>
              </w:rPr>
            </w:pPr>
            <w:r>
              <w:rPr>
                <w:rFonts w:ascii="Arial"/>
                <w:w w:val="100"/>
                <w:sz w:val="20"/>
              </w:rPr>
              <w:t>-</w:t>
            </w:r>
          </w:p>
        </w:tc>
        <w:tc>
          <w:tcPr>
            <w:tcW w:w="228"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8"/>
              <w:jc w:val="right"/>
              <w:rPr>
                <w:rFonts w:ascii="Arial" w:hAnsi="Arial" w:cs="Arial" w:eastAsia="Arial" w:hint="default"/>
                <w:sz w:val="20"/>
                <w:szCs w:val="20"/>
              </w:rPr>
            </w:pPr>
            <w:r>
              <w:rPr>
                <w:rFonts w:ascii="Arial"/>
                <w:w w:val="100"/>
                <w:sz w:val="20"/>
              </w:rPr>
              <w:t>-</w:t>
            </w:r>
          </w:p>
        </w:tc>
        <w:tc>
          <w:tcPr>
            <w:tcW w:w="228"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3"/>
              <w:jc w:val="right"/>
              <w:rPr>
                <w:rFonts w:ascii="Arial" w:hAnsi="Arial" w:cs="Arial" w:eastAsia="Arial" w:hint="default"/>
                <w:sz w:val="20"/>
                <w:szCs w:val="20"/>
              </w:rPr>
            </w:pPr>
            <w:r>
              <w:rPr>
                <w:rFonts w:ascii="Arial"/>
                <w:w w:val="100"/>
                <w:sz w:val="20"/>
              </w:rPr>
              <w:t>-</w:t>
            </w:r>
          </w:p>
        </w:tc>
        <w:tc>
          <w:tcPr>
            <w:tcW w:w="276"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8"/>
              <w:jc w:val="right"/>
              <w:rPr>
                <w:rFonts w:ascii="Arial" w:hAnsi="Arial" w:cs="Arial" w:eastAsia="Arial" w:hint="default"/>
                <w:sz w:val="20"/>
                <w:szCs w:val="20"/>
              </w:rPr>
            </w:pPr>
            <w:r>
              <w:rPr>
                <w:rFonts w:ascii="Arial"/>
                <w:w w:val="100"/>
                <w:sz w:val="20"/>
              </w:rPr>
              <w:t>-</w:t>
            </w:r>
          </w:p>
        </w:tc>
      </w:tr>
      <w:tr>
        <w:trPr>
          <w:trHeight w:val="531"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29" w:lineRule="exact"/>
              <w:ind w:left="137" w:right="0"/>
              <w:jc w:val="center"/>
              <w:rPr>
                <w:rFonts w:ascii="宋体" w:hAnsi="宋体" w:cs="宋体" w:eastAsia="宋体" w:hint="default"/>
                <w:sz w:val="20"/>
                <w:szCs w:val="20"/>
              </w:rPr>
            </w:pPr>
            <w:r>
              <w:rPr>
                <w:rFonts w:ascii="宋体" w:hAnsi="宋体" w:cs="宋体" w:eastAsia="宋体" w:hint="default"/>
                <w:sz w:val="20"/>
                <w:szCs w:val="20"/>
              </w:rPr>
              <w:t>首次执行新准则</w:t>
            </w:r>
          </w:p>
          <w:p>
            <w:pPr>
              <w:pStyle w:val="TableParagraph"/>
              <w:spacing w:line="260" w:lineRule="exact"/>
              <w:ind w:left="147" w:right="0"/>
              <w:jc w:val="center"/>
              <w:rPr>
                <w:rFonts w:ascii="宋体" w:hAnsi="宋体" w:cs="宋体" w:eastAsia="宋体" w:hint="default"/>
                <w:sz w:val="20"/>
                <w:szCs w:val="20"/>
              </w:rPr>
            </w:pPr>
            <w:r>
              <w:rPr>
                <w:rFonts w:ascii="宋体" w:hAnsi="宋体" w:cs="宋体" w:eastAsia="宋体" w:hint="default"/>
                <w:sz w:val="20"/>
                <w:szCs w:val="20"/>
              </w:rPr>
              <w:t>的调整金额</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134" w:right="0"/>
              <w:jc w:val="left"/>
              <w:rPr>
                <w:rFonts w:ascii="Arial" w:hAnsi="Arial" w:cs="Arial" w:eastAsia="Arial" w:hint="default"/>
                <w:sz w:val="20"/>
                <w:szCs w:val="20"/>
              </w:rPr>
            </w:pPr>
            <w:r>
              <w:rPr>
                <w:rFonts w:ascii="Arial"/>
                <w:sz w:val="20"/>
              </w:rPr>
              <w:t>14,109,609,388</w:t>
            </w:r>
          </w:p>
        </w:tc>
        <w:tc>
          <w:tcPr>
            <w:tcW w:w="228"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75" w:right="0"/>
              <w:jc w:val="left"/>
              <w:rPr>
                <w:rFonts w:ascii="Arial" w:hAnsi="Arial" w:cs="Arial" w:eastAsia="Arial" w:hint="default"/>
                <w:sz w:val="20"/>
                <w:szCs w:val="20"/>
              </w:rPr>
            </w:pPr>
            <w:r>
              <w:rPr>
                <w:rFonts w:ascii="Arial"/>
                <w:sz w:val="20"/>
              </w:rPr>
              <w:t>35,631,507,351</w:t>
            </w:r>
          </w:p>
        </w:tc>
        <w:tc>
          <w:tcPr>
            <w:tcW w:w="228"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56" w:right="0"/>
              <w:jc w:val="left"/>
              <w:rPr>
                <w:rFonts w:ascii="Arial" w:hAnsi="Arial" w:cs="Arial" w:eastAsia="Arial" w:hint="default"/>
                <w:sz w:val="20"/>
                <w:szCs w:val="20"/>
              </w:rPr>
            </w:pPr>
            <w:r>
              <w:rPr>
                <w:rFonts w:ascii="Arial"/>
                <w:sz w:val="20"/>
              </w:rPr>
              <w:t>642,022,578</w:t>
            </w:r>
          </w:p>
        </w:tc>
        <w:tc>
          <w:tcPr>
            <w:tcW w:w="276"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52" w:right="0"/>
              <w:jc w:val="left"/>
              <w:rPr>
                <w:rFonts w:ascii="Arial" w:hAnsi="Arial" w:cs="Arial" w:eastAsia="Arial" w:hint="default"/>
                <w:sz w:val="20"/>
                <w:szCs w:val="20"/>
              </w:rPr>
            </w:pPr>
            <w:r>
              <w:rPr>
                <w:rFonts w:ascii="Arial"/>
                <w:sz w:val="20"/>
              </w:rPr>
              <w:t>50,383,139,317</w:t>
            </w:r>
          </w:p>
        </w:tc>
      </w:tr>
      <w:tr>
        <w:trPr>
          <w:trHeight w:val="266"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18" w:lineRule="exact"/>
              <w:ind w:right="113"/>
              <w:jc w:val="right"/>
              <w:rPr>
                <w:rFonts w:ascii="宋体" w:hAnsi="宋体" w:cs="宋体" w:eastAsia="宋体" w:hint="default"/>
                <w:sz w:val="20"/>
                <w:szCs w:val="20"/>
              </w:rPr>
            </w:pPr>
            <w:r>
              <w:rPr>
                <w:rFonts w:ascii="宋体" w:hAnsi="宋体" w:cs="宋体" w:eastAsia="宋体" w:hint="default"/>
                <w:spacing w:val="-2"/>
                <w:sz w:val="20"/>
                <w:szCs w:val="20"/>
              </w:rPr>
              <w:t>调整后的年初余额</w:t>
            </w:r>
          </w:p>
        </w:tc>
        <w:tc>
          <w:tcPr>
            <w:tcW w:w="1627" w:type="dxa"/>
            <w:tcBorders>
              <w:top w:val="nil" w:sz="6" w:space="0" w:color="auto"/>
              <w:left w:val="nil" w:sz="6" w:space="0" w:color="auto"/>
              <w:bottom w:val="nil" w:sz="6" w:space="0" w:color="auto"/>
              <w:right w:val="nil" w:sz="6" w:space="0" w:color="auto"/>
            </w:tcBorders>
          </w:tcPr>
          <w:p>
            <w:pPr>
              <w:pStyle w:val="TableParagraph"/>
              <w:tabs>
                <w:tab w:pos="1627" w:val="left" w:leader="none"/>
              </w:tabs>
              <w:spacing w:line="240" w:lineRule="auto" w:before="16"/>
              <w:ind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8"/>
                <w:sz w:val="20"/>
                <w:u w:val="single" w:color="000000"/>
              </w:rPr>
              <w:t> </w:t>
            </w:r>
            <w:r>
              <w:rPr>
                <w:rFonts w:ascii="Arial"/>
                <w:sz w:val="20"/>
                <w:u w:val="single" w:color="000000"/>
              </w:rPr>
              <w:t>14,109,609,388</w:t>
              <w:tab/>
            </w:r>
            <w:r>
              <w:rPr>
                <w:rFonts w:ascii="Arial"/>
                <w:sz w:val="20"/>
              </w:rPr>
            </w:r>
          </w:p>
        </w:tc>
        <w:tc>
          <w:tcPr>
            <w:tcW w:w="228"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nil" w:sz="6" w:space="0" w:color="auto"/>
            </w:tcBorders>
          </w:tcPr>
          <w:p>
            <w:pPr>
              <w:pStyle w:val="TableParagraph"/>
              <w:tabs>
                <w:tab w:pos="271" w:val="left" w:leader="none"/>
                <w:tab w:pos="1773" w:val="left" w:leader="none"/>
              </w:tabs>
              <w:spacing w:line="240" w:lineRule="auto" w:before="16"/>
              <w:ind w:left="7"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35,631,507,351</w:t>
              <w:tab/>
            </w:r>
            <w:r>
              <w:rPr>
                <w:rFonts w:ascii="Arial"/>
                <w:sz w:val="20"/>
              </w:rPr>
            </w:r>
          </w:p>
        </w:tc>
        <w:tc>
          <w:tcPr>
            <w:tcW w:w="228"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tabs>
                <w:tab w:pos="1463" w:val="left" w:leader="none"/>
              </w:tabs>
              <w:spacing w:line="240" w:lineRule="auto" w:before="16"/>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2"/>
                <w:sz w:val="20"/>
                <w:u w:val="single" w:color="000000"/>
              </w:rPr>
              <w:t> </w:t>
            </w:r>
            <w:r>
              <w:rPr>
                <w:rFonts w:ascii="Arial"/>
                <w:spacing w:val="-2"/>
                <w:sz w:val="20"/>
                <w:u w:val="single" w:color="000000"/>
              </w:rPr>
              <w:t>642,022,578</w:t>
              <w:tab/>
            </w:r>
            <w:r>
              <w:rPr>
                <w:rFonts w:ascii="Arial"/>
                <w:spacing w:val="-2"/>
                <w:sz w:val="20"/>
              </w:rPr>
            </w:r>
          </w:p>
        </w:tc>
        <w:tc>
          <w:tcPr>
            <w:tcW w:w="276"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Style w:val="TableParagraph"/>
              <w:tabs>
                <w:tab w:pos="1742" w:val="left" w:leader="none"/>
              </w:tabs>
              <w:spacing w:line="240" w:lineRule="auto" w:before="16"/>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17"/>
                <w:sz w:val="20"/>
                <w:u w:val="single" w:color="000000"/>
              </w:rPr>
              <w:t> </w:t>
            </w:r>
            <w:r>
              <w:rPr>
                <w:rFonts w:ascii="Arial"/>
                <w:spacing w:val="-2"/>
                <w:sz w:val="20"/>
                <w:u w:val="single" w:color="000000"/>
              </w:rPr>
              <w:t>50,383,139,317</w:t>
              <w:tab/>
            </w:r>
            <w:r>
              <w:rPr>
                <w:rFonts w:ascii="Arial"/>
                <w:spacing w:val="-2"/>
                <w:sz w:val="20"/>
              </w:rPr>
            </w:r>
          </w:p>
        </w:tc>
      </w:tr>
      <w:tr>
        <w:trPr>
          <w:trHeight w:val="266"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25" w:lineRule="exact"/>
              <w:ind w:left="401" w:right="0"/>
              <w:jc w:val="left"/>
              <w:rPr>
                <w:rFonts w:ascii="宋体" w:hAnsi="宋体" w:cs="宋体" w:eastAsia="宋体" w:hint="default"/>
                <w:sz w:val="20"/>
                <w:szCs w:val="20"/>
              </w:rPr>
            </w:pPr>
            <w:r>
              <w:rPr>
                <w:rFonts w:ascii="宋体" w:hAnsi="宋体" w:cs="宋体" w:eastAsia="宋体" w:hint="default"/>
                <w:sz w:val="20"/>
                <w:szCs w:val="20"/>
              </w:rPr>
              <w:t>本年增加</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44" w:right="0"/>
              <w:jc w:val="left"/>
              <w:rPr>
                <w:rFonts w:ascii="Arial" w:hAnsi="Arial" w:cs="Arial" w:eastAsia="Arial" w:hint="default"/>
                <w:sz w:val="20"/>
                <w:szCs w:val="20"/>
              </w:rPr>
            </w:pPr>
            <w:r>
              <w:rPr>
                <w:rFonts w:ascii="Arial"/>
                <w:sz w:val="20"/>
              </w:rPr>
              <w:t>3,620,101,562</w:t>
            </w:r>
          </w:p>
        </w:tc>
        <w:tc>
          <w:tcPr>
            <w:tcW w:w="228"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Arial" w:hAnsi="Arial" w:cs="Arial" w:eastAsia="Arial" w:hint="default"/>
                <w:sz w:val="20"/>
                <w:szCs w:val="20"/>
              </w:rPr>
            </w:pPr>
            <w:r>
              <w:rPr>
                <w:rFonts w:ascii="Arial"/>
                <w:spacing w:val="-2"/>
                <w:sz w:val="20"/>
              </w:rPr>
              <w:t>2,813,230,501</w:t>
            </w:r>
            <w:r>
              <w:rPr>
                <w:rFonts w:ascii="Arial"/>
                <w:sz w:val="20"/>
              </w:rPr>
            </w:r>
          </w:p>
        </w:tc>
        <w:tc>
          <w:tcPr>
            <w:tcW w:w="228"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56" w:right="0"/>
              <w:jc w:val="left"/>
              <w:rPr>
                <w:rFonts w:ascii="Arial" w:hAnsi="Arial" w:cs="Arial" w:eastAsia="Arial" w:hint="default"/>
                <w:sz w:val="20"/>
                <w:szCs w:val="20"/>
              </w:rPr>
            </w:pPr>
            <w:r>
              <w:rPr>
                <w:rFonts w:ascii="Arial"/>
                <w:sz w:val="20"/>
              </w:rPr>
              <w:t>295,463,295</w:t>
            </w:r>
          </w:p>
        </w:tc>
        <w:tc>
          <w:tcPr>
            <w:tcW w:w="276"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62" w:right="0"/>
              <w:jc w:val="left"/>
              <w:rPr>
                <w:rFonts w:ascii="Arial" w:hAnsi="Arial" w:cs="Arial" w:eastAsia="Arial" w:hint="default"/>
                <w:sz w:val="20"/>
                <w:szCs w:val="20"/>
              </w:rPr>
            </w:pPr>
            <w:r>
              <w:rPr>
                <w:rFonts w:ascii="Arial"/>
                <w:sz w:val="20"/>
              </w:rPr>
              <w:t>6,728,795,358</w:t>
            </w:r>
          </w:p>
        </w:tc>
      </w:tr>
      <w:tr>
        <w:trPr>
          <w:trHeight w:val="264"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18" w:lineRule="exact"/>
              <w:ind w:left="401" w:right="0"/>
              <w:jc w:val="left"/>
              <w:rPr>
                <w:rFonts w:ascii="宋体" w:hAnsi="宋体" w:cs="宋体" w:eastAsia="宋体" w:hint="default"/>
                <w:sz w:val="20"/>
                <w:szCs w:val="20"/>
              </w:rPr>
            </w:pPr>
            <w:r>
              <w:rPr>
                <w:rFonts w:ascii="宋体" w:hAnsi="宋体" w:cs="宋体" w:eastAsia="宋体" w:hint="default"/>
                <w:sz w:val="20"/>
                <w:szCs w:val="20"/>
              </w:rPr>
              <w:t>本年减少</w:t>
            </w:r>
          </w:p>
        </w:tc>
        <w:tc>
          <w:tcPr>
            <w:tcW w:w="1627" w:type="dxa"/>
            <w:tcBorders>
              <w:top w:val="nil" w:sz="6" w:space="0" w:color="auto"/>
              <w:left w:val="nil" w:sz="6" w:space="0" w:color="auto"/>
              <w:bottom w:val="nil" w:sz="6" w:space="0" w:color="auto"/>
              <w:right w:val="nil" w:sz="6" w:space="0" w:color="auto"/>
            </w:tcBorders>
          </w:tcPr>
          <w:p>
            <w:pPr>
              <w:pStyle w:val="TableParagraph"/>
              <w:tabs>
                <w:tab w:pos="1454" w:val="left" w:leader="none"/>
                <w:tab w:pos="1627" w:val="left" w:leader="none"/>
              </w:tabs>
              <w:spacing w:line="240" w:lineRule="auto" w:before="16"/>
              <w:ind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tab/>
            </w:r>
            <w:r>
              <w:rPr>
                <w:rFonts w:ascii="Arial"/>
                <w:sz w:val="20"/>
              </w:rPr>
            </w:r>
          </w:p>
        </w:tc>
        <w:tc>
          <w:tcPr>
            <w:tcW w:w="228"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nil" w:sz="6" w:space="0" w:color="auto"/>
            </w:tcBorders>
          </w:tcPr>
          <w:p>
            <w:pPr>
              <w:pStyle w:val="TableParagraph"/>
              <w:tabs>
                <w:tab w:pos="482" w:val="left" w:leader="none"/>
              </w:tabs>
              <w:spacing w:line="240" w:lineRule="auto" w:before="16"/>
              <w:ind w:left="7"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(461,204,057)</w:t>
            </w:r>
            <w:r>
              <w:rPr>
                <w:rFonts w:ascii="Arial"/>
                <w:sz w:val="20"/>
              </w:rPr>
            </w:r>
          </w:p>
        </w:tc>
        <w:tc>
          <w:tcPr>
            <w:tcW w:w="228"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tabs>
                <w:tab w:pos="1291" w:val="left" w:leader="none"/>
                <w:tab w:pos="1463" w:val="left" w:leader="none"/>
              </w:tabs>
              <w:spacing w:line="240" w:lineRule="auto" w:before="16"/>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tab/>
            </w:r>
            <w:r>
              <w:rPr>
                <w:rFonts w:ascii="Arial"/>
                <w:sz w:val="20"/>
              </w:rPr>
            </w:r>
          </w:p>
        </w:tc>
        <w:tc>
          <w:tcPr>
            <w:tcW w:w="276"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Style w:val="TableParagraph"/>
              <w:tabs>
                <w:tab w:pos="451" w:val="left" w:leader="none"/>
              </w:tabs>
              <w:spacing w:line="240" w:lineRule="auto" w:before="16"/>
              <w:ind w:right="4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(461,204,057)</w:t>
            </w:r>
            <w:r>
              <w:rPr>
                <w:rFonts w:ascii="Arial"/>
                <w:spacing w:val="-2"/>
                <w:sz w:val="20"/>
              </w:rPr>
            </w:r>
            <w:r>
              <w:rPr>
                <w:rFonts w:ascii="Arial"/>
                <w:sz w:val="20"/>
              </w:rPr>
            </w:r>
          </w:p>
        </w:tc>
      </w:tr>
      <w:tr>
        <w:trPr>
          <w:trHeight w:val="367"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23" w:lineRule="exact"/>
              <w:ind w:left="401" w:right="0"/>
              <w:jc w:val="left"/>
              <w:rPr>
                <w:rFonts w:ascii="宋体" w:hAnsi="宋体" w:cs="宋体" w:eastAsia="宋体" w:hint="default"/>
                <w:sz w:val="20"/>
                <w:szCs w:val="20"/>
              </w:rPr>
            </w:pPr>
            <w:r>
              <w:rPr>
                <w:rFonts w:ascii="宋体" w:hAnsi="宋体" w:cs="宋体" w:eastAsia="宋体" w:hint="default"/>
                <w:sz w:val="20"/>
                <w:szCs w:val="20"/>
              </w:rPr>
              <w:t>年末余额</w:t>
            </w:r>
          </w:p>
        </w:tc>
        <w:tc>
          <w:tcPr>
            <w:tcW w:w="1627" w:type="dxa"/>
            <w:tcBorders>
              <w:top w:val="nil" w:sz="6" w:space="0" w:color="auto"/>
              <w:left w:val="nil" w:sz="6" w:space="0" w:color="auto"/>
              <w:bottom w:val="nil" w:sz="6" w:space="0" w:color="auto"/>
              <w:right w:val="nil" w:sz="6" w:space="0" w:color="auto"/>
            </w:tcBorders>
          </w:tcPr>
          <w:p>
            <w:pPr>
              <w:pStyle w:val="TableParagraph"/>
              <w:tabs>
                <w:tab w:pos="1627" w:val="left" w:leader="none"/>
              </w:tabs>
              <w:spacing w:line="240" w:lineRule="auto" w:before="21"/>
              <w:ind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22"/>
                <w:sz w:val="20"/>
                <w:u w:val="single" w:color="000000"/>
              </w:rPr>
              <w:t> </w:t>
            </w:r>
            <w:r>
              <w:rPr>
                <w:rFonts w:ascii="Arial"/>
                <w:sz w:val="20"/>
                <w:u w:val="single" w:color="000000"/>
              </w:rPr>
              <w:t>17,729,710,950</w:t>
              <w:tab/>
            </w:r>
            <w:r>
              <w:rPr>
                <w:rFonts w:ascii="Arial"/>
                <w:sz w:val="20"/>
              </w:rPr>
            </w:r>
          </w:p>
        </w:tc>
        <w:tc>
          <w:tcPr>
            <w:tcW w:w="228"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nil" w:sz="6" w:space="0" w:color="auto"/>
            </w:tcBorders>
          </w:tcPr>
          <w:p>
            <w:pPr>
              <w:pStyle w:val="TableParagraph"/>
              <w:tabs>
                <w:tab w:pos="275" w:val="left" w:leader="none"/>
                <w:tab w:pos="1773" w:val="left" w:leader="none"/>
              </w:tabs>
              <w:spacing w:line="240" w:lineRule="auto" w:before="21"/>
              <w:ind w:left="7"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37,983,533,795</w:t>
              <w:tab/>
            </w:r>
            <w:r>
              <w:rPr>
                <w:rFonts w:ascii="Arial"/>
                <w:sz w:val="20"/>
              </w:rPr>
            </w:r>
          </w:p>
        </w:tc>
        <w:tc>
          <w:tcPr>
            <w:tcW w:w="228"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tabs>
                <w:tab w:pos="1463" w:val="left" w:leader="none"/>
              </w:tabs>
              <w:spacing w:line="240" w:lineRule="auto" w:before="21"/>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6"/>
                <w:sz w:val="20"/>
                <w:u w:val="single" w:color="000000"/>
              </w:rPr>
              <w:t> </w:t>
            </w:r>
            <w:r>
              <w:rPr>
                <w:rFonts w:ascii="Arial"/>
                <w:spacing w:val="-2"/>
                <w:sz w:val="20"/>
                <w:u w:val="single" w:color="000000"/>
              </w:rPr>
              <w:t>937,485,873</w:t>
              <w:tab/>
            </w:r>
            <w:r>
              <w:rPr>
                <w:rFonts w:ascii="Arial"/>
                <w:spacing w:val="-2"/>
                <w:sz w:val="20"/>
              </w:rPr>
            </w:r>
          </w:p>
        </w:tc>
        <w:tc>
          <w:tcPr>
            <w:tcW w:w="276"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Style w:val="TableParagraph"/>
              <w:tabs>
                <w:tab w:pos="1742" w:val="left" w:leader="none"/>
              </w:tabs>
              <w:spacing w:line="240" w:lineRule="auto" w:before="21"/>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2"/>
                <w:sz w:val="20"/>
                <w:u w:val="single" w:color="000000"/>
              </w:rPr>
              <w:t> </w:t>
            </w:r>
            <w:r>
              <w:rPr>
                <w:rFonts w:ascii="Arial"/>
                <w:spacing w:val="-2"/>
                <w:sz w:val="20"/>
                <w:u w:val="single" w:color="000000"/>
              </w:rPr>
              <w:t>56,650,730,618</w:t>
              <w:tab/>
            </w:r>
            <w:r>
              <w:rPr>
                <w:rFonts w:ascii="Arial"/>
                <w:spacing w:val="-2"/>
                <w:sz w:val="20"/>
              </w:rPr>
            </w:r>
          </w:p>
        </w:tc>
      </w:tr>
      <w:tr>
        <w:trPr>
          <w:trHeight w:val="360"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00" w:right="0"/>
              <w:jc w:val="left"/>
              <w:rPr>
                <w:rFonts w:ascii="宋体" w:hAnsi="宋体" w:cs="宋体" w:eastAsia="宋体" w:hint="default"/>
                <w:sz w:val="20"/>
                <w:szCs w:val="20"/>
              </w:rPr>
            </w:pPr>
            <w:r>
              <w:rPr>
                <w:rFonts w:ascii="宋体" w:hAnsi="宋体" w:cs="宋体" w:eastAsia="宋体" w:hint="default"/>
                <w:sz w:val="20"/>
                <w:szCs w:val="20"/>
              </w:rPr>
              <w:t>累计折旧</w:t>
            </w:r>
          </w:p>
        </w:tc>
        <w:tc>
          <w:tcPr>
            <w:tcW w:w="1627" w:type="dxa"/>
            <w:tcBorders>
              <w:top w:val="nil" w:sz="6" w:space="0" w:color="auto"/>
              <w:left w:val="nil" w:sz="6" w:space="0" w:color="auto"/>
              <w:bottom w:val="nil" w:sz="6" w:space="0" w:color="auto"/>
              <w:right w:val="nil" w:sz="6" w:space="0" w:color="auto"/>
            </w:tcBorders>
          </w:tcPr>
          <w:p>
            <w:pPr/>
          </w:p>
        </w:tc>
        <w:tc>
          <w:tcPr>
            <w:tcW w:w="228"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nil" w:sz="6" w:space="0" w:color="auto"/>
            </w:tcBorders>
          </w:tcPr>
          <w:p>
            <w:pPr/>
          </w:p>
        </w:tc>
        <w:tc>
          <w:tcPr>
            <w:tcW w:w="228"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
        </w:tc>
        <w:tc>
          <w:tcPr>
            <w:tcW w:w="276"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
        </w:tc>
      </w:tr>
      <w:tr>
        <w:trPr>
          <w:trHeight w:val="273"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44" w:lineRule="exact"/>
              <w:ind w:left="401" w:right="0"/>
              <w:jc w:val="left"/>
              <w:rPr>
                <w:rFonts w:ascii="宋体" w:hAnsi="宋体" w:cs="宋体" w:eastAsia="宋体" w:hint="default"/>
                <w:sz w:val="20"/>
                <w:szCs w:val="20"/>
              </w:rPr>
            </w:pPr>
            <w:r>
              <w:rPr>
                <w:rFonts w:ascii="宋体" w:hAnsi="宋体" w:cs="宋体" w:eastAsia="宋体" w:hint="default"/>
                <w:sz w:val="20"/>
                <w:szCs w:val="20"/>
              </w:rPr>
              <w:t>年初余额</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3"/>
              <w:jc w:val="right"/>
              <w:rPr>
                <w:rFonts w:ascii="Arial" w:hAnsi="Arial" w:cs="Arial" w:eastAsia="Arial" w:hint="default"/>
                <w:sz w:val="20"/>
                <w:szCs w:val="20"/>
              </w:rPr>
            </w:pPr>
            <w:r>
              <w:rPr>
                <w:rFonts w:ascii="Arial"/>
                <w:w w:val="100"/>
                <w:sz w:val="20"/>
              </w:rPr>
              <w:t>-</w:t>
            </w:r>
          </w:p>
        </w:tc>
        <w:tc>
          <w:tcPr>
            <w:tcW w:w="228"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8"/>
              <w:jc w:val="right"/>
              <w:rPr>
                <w:rFonts w:ascii="Arial" w:hAnsi="Arial" w:cs="Arial" w:eastAsia="Arial" w:hint="default"/>
                <w:sz w:val="20"/>
                <w:szCs w:val="20"/>
              </w:rPr>
            </w:pPr>
            <w:r>
              <w:rPr>
                <w:rFonts w:ascii="Arial"/>
                <w:w w:val="100"/>
                <w:sz w:val="20"/>
              </w:rPr>
              <w:t>-</w:t>
            </w:r>
          </w:p>
        </w:tc>
        <w:tc>
          <w:tcPr>
            <w:tcW w:w="228"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3"/>
              <w:jc w:val="right"/>
              <w:rPr>
                <w:rFonts w:ascii="Arial" w:hAnsi="Arial" w:cs="Arial" w:eastAsia="Arial" w:hint="default"/>
                <w:sz w:val="20"/>
                <w:szCs w:val="20"/>
              </w:rPr>
            </w:pPr>
            <w:r>
              <w:rPr>
                <w:rFonts w:ascii="Arial"/>
                <w:w w:val="100"/>
                <w:sz w:val="20"/>
              </w:rPr>
              <w:t>-</w:t>
            </w:r>
          </w:p>
        </w:tc>
        <w:tc>
          <w:tcPr>
            <w:tcW w:w="276"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8"/>
              <w:jc w:val="right"/>
              <w:rPr>
                <w:rFonts w:ascii="Arial" w:hAnsi="Arial" w:cs="Arial" w:eastAsia="Arial" w:hint="default"/>
                <w:sz w:val="20"/>
                <w:szCs w:val="20"/>
              </w:rPr>
            </w:pPr>
            <w:r>
              <w:rPr>
                <w:rFonts w:ascii="Arial"/>
                <w:w w:val="100"/>
                <w:sz w:val="20"/>
              </w:rPr>
              <w:t>-</w:t>
            </w:r>
          </w:p>
        </w:tc>
      </w:tr>
      <w:tr>
        <w:trPr>
          <w:trHeight w:val="555"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29" w:lineRule="exact"/>
              <w:ind w:left="137" w:right="0"/>
              <w:jc w:val="center"/>
              <w:rPr>
                <w:rFonts w:ascii="宋体" w:hAnsi="宋体" w:cs="宋体" w:eastAsia="宋体" w:hint="default"/>
                <w:sz w:val="20"/>
                <w:szCs w:val="20"/>
              </w:rPr>
            </w:pPr>
            <w:r>
              <w:rPr>
                <w:rFonts w:ascii="宋体" w:hAnsi="宋体" w:cs="宋体" w:eastAsia="宋体" w:hint="default"/>
                <w:sz w:val="20"/>
                <w:szCs w:val="20"/>
              </w:rPr>
              <w:t>首次执行新准则</w:t>
            </w:r>
          </w:p>
          <w:p>
            <w:pPr>
              <w:pStyle w:val="TableParagraph"/>
              <w:spacing w:line="260" w:lineRule="exact"/>
              <w:ind w:left="147" w:right="0"/>
              <w:jc w:val="center"/>
              <w:rPr>
                <w:rFonts w:ascii="宋体" w:hAnsi="宋体" w:cs="宋体" w:eastAsia="宋体" w:hint="default"/>
                <w:sz w:val="20"/>
                <w:szCs w:val="20"/>
              </w:rPr>
            </w:pPr>
            <w:r>
              <w:rPr>
                <w:rFonts w:ascii="宋体" w:hAnsi="宋体" w:cs="宋体" w:eastAsia="宋体" w:hint="default"/>
                <w:sz w:val="20"/>
                <w:szCs w:val="20"/>
              </w:rPr>
              <w:t>的调整金额</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163" w:right="0"/>
              <w:jc w:val="left"/>
              <w:rPr>
                <w:rFonts w:ascii="Arial" w:hAnsi="Arial" w:cs="Arial" w:eastAsia="Arial" w:hint="default"/>
                <w:sz w:val="20"/>
                <w:szCs w:val="20"/>
              </w:rPr>
            </w:pPr>
            <w:r>
              <w:rPr>
                <w:rFonts w:ascii="Arial"/>
                <w:sz w:val="20"/>
              </w:rPr>
              <w:t>(4,961,510,005)</w:t>
            </w:r>
          </w:p>
        </w:tc>
        <w:tc>
          <w:tcPr>
            <w:tcW w:w="228"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304" w:right="0"/>
              <w:jc w:val="left"/>
              <w:rPr>
                <w:rFonts w:ascii="Arial" w:hAnsi="Arial" w:cs="Arial" w:eastAsia="Arial" w:hint="default"/>
                <w:sz w:val="20"/>
                <w:szCs w:val="20"/>
              </w:rPr>
            </w:pPr>
            <w:r>
              <w:rPr>
                <w:rFonts w:ascii="Arial"/>
                <w:sz w:val="20"/>
              </w:rPr>
              <w:t>(7,215,120,537)</w:t>
            </w:r>
          </w:p>
        </w:tc>
        <w:tc>
          <w:tcPr>
            <w:tcW w:w="228"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55"/>
              <w:jc w:val="right"/>
              <w:rPr>
                <w:rFonts w:ascii="Arial" w:hAnsi="Arial" w:cs="Arial" w:eastAsia="Arial" w:hint="default"/>
                <w:sz w:val="20"/>
                <w:szCs w:val="20"/>
              </w:rPr>
            </w:pPr>
            <w:r>
              <w:rPr>
                <w:rFonts w:ascii="Arial"/>
                <w:spacing w:val="-2"/>
                <w:sz w:val="20"/>
              </w:rPr>
              <w:t>(137,534,669)</w:t>
            </w:r>
          </w:p>
        </w:tc>
        <w:tc>
          <w:tcPr>
            <w:tcW w:w="276"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170" w:right="0"/>
              <w:jc w:val="left"/>
              <w:rPr>
                <w:rFonts w:ascii="Arial" w:hAnsi="Arial" w:cs="Arial" w:eastAsia="Arial" w:hint="default"/>
                <w:sz w:val="20"/>
                <w:szCs w:val="20"/>
              </w:rPr>
            </w:pPr>
            <w:r>
              <w:rPr>
                <w:rFonts w:ascii="Arial"/>
                <w:sz w:val="20"/>
              </w:rPr>
              <w:t>(12,314,165,211)</w:t>
            </w:r>
          </w:p>
        </w:tc>
      </w:tr>
      <w:tr>
        <w:trPr>
          <w:trHeight w:val="264"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18" w:lineRule="exact"/>
              <w:ind w:right="113"/>
              <w:jc w:val="right"/>
              <w:rPr>
                <w:rFonts w:ascii="宋体" w:hAnsi="宋体" w:cs="宋体" w:eastAsia="宋体" w:hint="default"/>
                <w:sz w:val="20"/>
                <w:szCs w:val="20"/>
              </w:rPr>
            </w:pPr>
            <w:r>
              <w:rPr>
                <w:rFonts w:ascii="宋体" w:hAnsi="宋体" w:cs="宋体" w:eastAsia="宋体" w:hint="default"/>
                <w:spacing w:val="-2"/>
                <w:sz w:val="20"/>
                <w:szCs w:val="20"/>
              </w:rPr>
              <w:t>调整后的年初余额</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4"/>
                <w:sz w:val="20"/>
                <w:u w:val="single" w:color="000000"/>
              </w:rPr>
              <w:t> </w:t>
            </w:r>
            <w:r>
              <w:rPr>
                <w:rFonts w:ascii="Arial"/>
                <w:sz w:val="20"/>
                <w:u w:val="single" w:color="000000"/>
              </w:rPr>
              <w:t>(4,961,510,005)</w:t>
            </w:r>
            <w:r>
              <w:rPr>
                <w:rFonts w:ascii="Arial"/>
                <w:sz w:val="20"/>
              </w:rPr>
            </w:r>
          </w:p>
        </w:tc>
        <w:tc>
          <w:tcPr>
            <w:tcW w:w="228"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nil" w:sz="6" w:space="0" w:color="auto"/>
            </w:tcBorders>
          </w:tcPr>
          <w:p>
            <w:pPr>
              <w:pStyle w:val="TableParagraph"/>
              <w:tabs>
                <w:tab w:pos="304" w:val="left" w:leader="none"/>
                <w:tab w:pos="1773" w:val="left" w:leader="none"/>
              </w:tabs>
              <w:spacing w:line="240" w:lineRule="auto" w:before="16"/>
              <w:ind w:left="7"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(7,215,120,537)</w:t>
              <w:tab/>
            </w:r>
            <w:r>
              <w:rPr>
                <w:rFonts w:ascii="Arial"/>
                <w:sz w:val="20"/>
              </w:rPr>
            </w:r>
          </w:p>
        </w:tc>
        <w:tc>
          <w:tcPr>
            <w:tcW w:w="228"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tabs>
                <w:tab w:pos="1463" w:val="left" w:leader="none"/>
              </w:tabs>
              <w:spacing w:line="240" w:lineRule="auto" w:before="16"/>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4"/>
                <w:sz w:val="20"/>
                <w:u w:val="single" w:color="000000"/>
              </w:rPr>
              <w:t> </w:t>
            </w:r>
            <w:r>
              <w:rPr>
                <w:rFonts w:ascii="Arial"/>
                <w:spacing w:val="-2"/>
                <w:sz w:val="20"/>
                <w:u w:val="single" w:color="000000"/>
              </w:rPr>
              <w:t>(137,534,669)</w:t>
              <w:tab/>
            </w:r>
            <w:r>
              <w:rPr>
                <w:rFonts w:ascii="Arial"/>
                <w:spacing w:val="-2"/>
                <w:sz w:val="20"/>
              </w:rPr>
            </w:r>
          </w:p>
        </w:tc>
        <w:tc>
          <w:tcPr>
            <w:tcW w:w="276"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Style w:val="TableParagraph"/>
              <w:tabs>
                <w:tab w:pos="1742" w:val="left" w:leader="none"/>
              </w:tabs>
              <w:spacing w:line="240" w:lineRule="auto" w:before="16"/>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4"/>
                <w:sz w:val="20"/>
                <w:u w:val="single" w:color="000000"/>
              </w:rPr>
              <w:t> </w:t>
            </w:r>
            <w:r>
              <w:rPr>
                <w:rFonts w:ascii="Arial"/>
                <w:spacing w:val="-2"/>
                <w:sz w:val="20"/>
                <w:u w:val="single" w:color="000000"/>
              </w:rPr>
              <w:t>(12,314,165,211)</w:t>
              <w:tab/>
            </w:r>
            <w:r>
              <w:rPr>
                <w:rFonts w:ascii="Arial"/>
                <w:spacing w:val="-2"/>
                <w:sz w:val="20"/>
              </w:rPr>
            </w:r>
          </w:p>
        </w:tc>
      </w:tr>
      <w:tr>
        <w:trPr>
          <w:trHeight w:val="264"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23" w:lineRule="exact"/>
              <w:ind w:left="401" w:right="0"/>
              <w:jc w:val="left"/>
              <w:rPr>
                <w:rFonts w:ascii="宋体" w:hAnsi="宋体" w:cs="宋体" w:eastAsia="宋体" w:hint="default"/>
                <w:sz w:val="20"/>
                <w:szCs w:val="20"/>
              </w:rPr>
            </w:pPr>
            <w:r>
              <w:rPr>
                <w:rFonts w:ascii="宋体" w:hAnsi="宋体" w:cs="宋体" w:eastAsia="宋体" w:hint="default"/>
                <w:sz w:val="20"/>
                <w:szCs w:val="20"/>
              </w:rPr>
              <w:t>本年增加</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63" w:right="0"/>
              <w:jc w:val="left"/>
              <w:rPr>
                <w:rFonts w:ascii="Arial" w:hAnsi="Arial" w:cs="Arial" w:eastAsia="Arial" w:hint="default"/>
                <w:sz w:val="20"/>
                <w:szCs w:val="20"/>
              </w:rPr>
            </w:pPr>
            <w:r>
              <w:rPr>
                <w:rFonts w:ascii="Arial"/>
                <w:sz w:val="20"/>
              </w:rPr>
              <w:t>(3,443,292,083)</w:t>
            </w:r>
          </w:p>
        </w:tc>
        <w:tc>
          <w:tcPr>
            <w:tcW w:w="228"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04" w:right="0"/>
              <w:jc w:val="left"/>
              <w:rPr>
                <w:rFonts w:ascii="Arial" w:hAnsi="Arial" w:cs="Arial" w:eastAsia="Arial" w:hint="default"/>
                <w:sz w:val="20"/>
                <w:szCs w:val="20"/>
              </w:rPr>
            </w:pPr>
            <w:r>
              <w:rPr>
                <w:rFonts w:ascii="Arial"/>
                <w:sz w:val="20"/>
              </w:rPr>
              <w:t>(7,307,541,526)</w:t>
            </w:r>
          </w:p>
        </w:tc>
        <w:tc>
          <w:tcPr>
            <w:tcW w:w="228"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5"/>
              <w:jc w:val="right"/>
              <w:rPr>
                <w:rFonts w:ascii="Arial" w:hAnsi="Arial" w:cs="Arial" w:eastAsia="Arial" w:hint="default"/>
                <w:sz w:val="20"/>
                <w:szCs w:val="20"/>
              </w:rPr>
            </w:pPr>
            <w:r>
              <w:rPr>
                <w:rFonts w:ascii="Arial"/>
                <w:spacing w:val="-2"/>
                <w:sz w:val="20"/>
              </w:rPr>
              <w:t>(146,380,900)</w:t>
            </w:r>
          </w:p>
        </w:tc>
        <w:tc>
          <w:tcPr>
            <w:tcW w:w="276"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70" w:right="0"/>
              <w:jc w:val="left"/>
              <w:rPr>
                <w:rFonts w:ascii="Arial" w:hAnsi="Arial" w:cs="Arial" w:eastAsia="Arial" w:hint="default"/>
                <w:sz w:val="20"/>
                <w:szCs w:val="20"/>
              </w:rPr>
            </w:pPr>
            <w:r>
              <w:rPr>
                <w:rFonts w:ascii="Arial"/>
                <w:sz w:val="20"/>
              </w:rPr>
              <w:t>(10,897,214,509)</w:t>
            </w:r>
          </w:p>
        </w:tc>
      </w:tr>
      <w:tr>
        <w:trPr>
          <w:trHeight w:val="264"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18" w:lineRule="exact"/>
              <w:ind w:left="401" w:right="0"/>
              <w:jc w:val="left"/>
              <w:rPr>
                <w:rFonts w:ascii="宋体" w:hAnsi="宋体" w:cs="宋体" w:eastAsia="宋体" w:hint="default"/>
                <w:sz w:val="20"/>
                <w:szCs w:val="20"/>
              </w:rPr>
            </w:pPr>
            <w:r>
              <w:rPr>
                <w:rFonts w:ascii="宋体" w:hAnsi="宋体" w:cs="宋体" w:eastAsia="宋体" w:hint="default"/>
                <w:sz w:val="20"/>
                <w:szCs w:val="20"/>
              </w:rPr>
              <w:t>本年减少</w:t>
            </w:r>
          </w:p>
        </w:tc>
        <w:tc>
          <w:tcPr>
            <w:tcW w:w="1627" w:type="dxa"/>
            <w:tcBorders>
              <w:top w:val="nil" w:sz="6" w:space="0" w:color="auto"/>
              <w:left w:val="nil" w:sz="6" w:space="0" w:color="auto"/>
              <w:bottom w:val="nil" w:sz="6" w:space="0" w:color="auto"/>
              <w:right w:val="nil" w:sz="6" w:space="0" w:color="auto"/>
            </w:tcBorders>
          </w:tcPr>
          <w:p>
            <w:pPr>
              <w:pStyle w:val="TableParagraph"/>
              <w:tabs>
                <w:tab w:pos="1449" w:val="left" w:leader="none"/>
                <w:tab w:pos="1627" w:val="left" w:leader="none"/>
              </w:tabs>
              <w:spacing w:line="240" w:lineRule="auto" w:before="16"/>
              <w:ind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tab/>
            </w:r>
            <w:r>
              <w:rPr>
                <w:rFonts w:ascii="Arial"/>
                <w:sz w:val="20"/>
              </w:rPr>
            </w:r>
          </w:p>
        </w:tc>
        <w:tc>
          <w:tcPr>
            <w:tcW w:w="228"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nil" w:sz="6" w:space="0" w:color="auto"/>
            </w:tcBorders>
          </w:tcPr>
          <w:p>
            <w:pPr>
              <w:pStyle w:val="TableParagraph"/>
              <w:tabs>
                <w:tab w:pos="549" w:val="left" w:leader="none"/>
                <w:tab w:pos="1773" w:val="left" w:leader="none"/>
              </w:tabs>
              <w:spacing w:line="240" w:lineRule="auto" w:before="16"/>
              <w:ind w:left="7"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461,204,057</w:t>
              <w:tab/>
            </w:r>
            <w:r>
              <w:rPr>
                <w:rFonts w:ascii="Arial"/>
                <w:sz w:val="20"/>
              </w:rPr>
            </w:r>
          </w:p>
        </w:tc>
        <w:tc>
          <w:tcPr>
            <w:tcW w:w="228"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tabs>
                <w:tab w:pos="1271" w:val="left" w:leader="none"/>
                <w:tab w:pos="1463" w:val="left" w:leader="none"/>
              </w:tabs>
              <w:spacing w:line="240" w:lineRule="auto" w:before="16"/>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tab/>
            </w:r>
            <w:r>
              <w:rPr>
                <w:rFonts w:ascii="Arial"/>
                <w:sz w:val="20"/>
              </w:rPr>
            </w:r>
          </w:p>
        </w:tc>
        <w:tc>
          <w:tcPr>
            <w:tcW w:w="276"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Style w:val="TableParagraph"/>
              <w:tabs>
                <w:tab w:pos="518" w:val="left" w:leader="none"/>
                <w:tab w:pos="1742" w:val="left" w:leader="none"/>
              </w:tabs>
              <w:spacing w:line="240" w:lineRule="auto" w:before="16"/>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461,204,057</w:t>
              <w:tab/>
            </w:r>
            <w:r>
              <w:rPr>
                <w:rFonts w:ascii="Arial"/>
                <w:spacing w:val="-2"/>
                <w:sz w:val="20"/>
              </w:rPr>
            </w:r>
          </w:p>
        </w:tc>
      </w:tr>
      <w:tr>
        <w:trPr>
          <w:trHeight w:val="358"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23" w:lineRule="exact"/>
              <w:ind w:left="401" w:right="0"/>
              <w:jc w:val="left"/>
              <w:rPr>
                <w:rFonts w:ascii="宋体" w:hAnsi="宋体" w:cs="宋体" w:eastAsia="宋体" w:hint="default"/>
                <w:sz w:val="20"/>
                <w:szCs w:val="20"/>
              </w:rPr>
            </w:pPr>
            <w:r>
              <w:rPr>
                <w:rFonts w:ascii="宋体" w:hAnsi="宋体" w:cs="宋体" w:eastAsia="宋体" w:hint="default"/>
                <w:sz w:val="20"/>
                <w:szCs w:val="20"/>
              </w:rPr>
              <w:t>年末余额</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4"/>
                <w:sz w:val="20"/>
                <w:u w:val="single" w:color="000000"/>
              </w:rPr>
              <w:t> </w:t>
            </w:r>
            <w:r>
              <w:rPr>
                <w:rFonts w:ascii="Arial"/>
                <w:sz w:val="20"/>
                <w:u w:val="single" w:color="000000"/>
              </w:rPr>
              <w:t>(8,404,802,088)</w:t>
            </w:r>
            <w:r>
              <w:rPr>
                <w:rFonts w:ascii="Arial"/>
                <w:sz w:val="20"/>
              </w:rPr>
            </w:r>
          </w:p>
        </w:tc>
        <w:tc>
          <w:tcPr>
            <w:tcW w:w="228"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nil" w:sz="6" w:space="0" w:color="auto"/>
            </w:tcBorders>
          </w:tcPr>
          <w:p>
            <w:pPr>
              <w:pStyle w:val="TableParagraph"/>
              <w:tabs>
                <w:tab w:pos="1773" w:val="left" w:leader="none"/>
              </w:tabs>
              <w:spacing w:line="240" w:lineRule="auto" w:before="26"/>
              <w:ind w:left="7"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0"/>
                <w:sz w:val="20"/>
                <w:u w:val="single" w:color="000000"/>
              </w:rPr>
              <w:t> </w:t>
            </w:r>
            <w:r>
              <w:rPr>
                <w:rFonts w:ascii="Arial"/>
                <w:sz w:val="20"/>
                <w:u w:val="single" w:color="000000"/>
              </w:rPr>
              <w:t>(14,061,458,006)</w:t>
              <w:tab/>
            </w:r>
            <w:r>
              <w:rPr>
                <w:rFonts w:ascii="Arial"/>
                <w:sz w:val="20"/>
              </w:rPr>
            </w:r>
          </w:p>
        </w:tc>
        <w:tc>
          <w:tcPr>
            <w:tcW w:w="228"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tabs>
                <w:tab w:pos="1463" w:val="left" w:leader="none"/>
              </w:tabs>
              <w:spacing w:line="240" w:lineRule="auto" w:before="26"/>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4"/>
                <w:sz w:val="20"/>
                <w:u w:val="single" w:color="000000"/>
              </w:rPr>
              <w:t> </w:t>
            </w:r>
            <w:r>
              <w:rPr>
                <w:rFonts w:ascii="Arial"/>
                <w:spacing w:val="-2"/>
                <w:sz w:val="20"/>
                <w:u w:val="single" w:color="000000"/>
              </w:rPr>
              <w:t>(283,915,569)</w:t>
              <w:tab/>
            </w:r>
            <w:r>
              <w:rPr>
                <w:rFonts w:ascii="Arial"/>
                <w:spacing w:val="-2"/>
                <w:sz w:val="20"/>
              </w:rPr>
            </w:r>
          </w:p>
        </w:tc>
        <w:tc>
          <w:tcPr>
            <w:tcW w:w="276"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Style w:val="TableParagraph"/>
              <w:tabs>
                <w:tab w:pos="1742" w:val="left" w:leader="none"/>
              </w:tabs>
              <w:spacing w:line="240" w:lineRule="auto" w:before="26"/>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4"/>
                <w:sz w:val="20"/>
                <w:u w:val="single" w:color="000000"/>
              </w:rPr>
              <w:t> </w:t>
            </w:r>
            <w:r>
              <w:rPr>
                <w:rFonts w:ascii="Arial"/>
                <w:spacing w:val="-2"/>
                <w:sz w:val="20"/>
                <w:u w:val="single" w:color="000000"/>
              </w:rPr>
              <w:t>(22,750,175,663)</w:t>
              <w:tab/>
            </w:r>
            <w:r>
              <w:rPr>
                <w:rFonts w:ascii="Arial"/>
                <w:spacing w:val="-2"/>
                <w:sz w:val="20"/>
              </w:rPr>
            </w:r>
          </w:p>
        </w:tc>
      </w:tr>
      <w:tr>
        <w:trPr>
          <w:trHeight w:val="336"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45"/>
              <w:ind w:left="228" w:right="0"/>
              <w:jc w:val="left"/>
              <w:rPr>
                <w:rFonts w:ascii="宋体" w:hAnsi="宋体" w:cs="宋体" w:eastAsia="宋体" w:hint="default"/>
                <w:sz w:val="20"/>
                <w:szCs w:val="20"/>
              </w:rPr>
            </w:pPr>
            <w:r>
              <w:rPr>
                <w:rFonts w:ascii="宋体" w:hAnsi="宋体" w:cs="宋体" w:eastAsia="宋体" w:hint="default"/>
                <w:sz w:val="20"/>
                <w:szCs w:val="20"/>
              </w:rPr>
              <w:t>账面价值</w:t>
            </w:r>
          </w:p>
        </w:tc>
        <w:tc>
          <w:tcPr>
            <w:tcW w:w="1627" w:type="dxa"/>
            <w:tcBorders>
              <w:top w:val="nil" w:sz="6" w:space="0" w:color="auto"/>
              <w:left w:val="nil" w:sz="6" w:space="0" w:color="auto"/>
              <w:bottom w:val="nil" w:sz="6" w:space="0" w:color="auto"/>
              <w:right w:val="nil" w:sz="6" w:space="0" w:color="auto"/>
            </w:tcBorders>
          </w:tcPr>
          <w:p>
            <w:pPr/>
          </w:p>
        </w:tc>
        <w:tc>
          <w:tcPr>
            <w:tcW w:w="228"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nil" w:sz="6" w:space="0" w:color="auto"/>
            </w:tcBorders>
          </w:tcPr>
          <w:p>
            <w:pPr/>
          </w:p>
        </w:tc>
        <w:tc>
          <w:tcPr>
            <w:tcW w:w="228"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
        </w:tc>
        <w:tc>
          <w:tcPr>
            <w:tcW w:w="276"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
        </w:tc>
      </w:tr>
      <w:tr>
        <w:trPr>
          <w:trHeight w:val="281"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30" w:lineRule="exact"/>
              <w:ind w:left="382" w:right="0"/>
              <w:jc w:val="left"/>
              <w:rPr>
                <w:rFonts w:ascii="宋体" w:hAnsi="宋体" w:cs="宋体" w:eastAsia="宋体" w:hint="default"/>
                <w:sz w:val="20"/>
                <w:szCs w:val="20"/>
              </w:rPr>
            </w:pPr>
            <w:r>
              <w:rPr>
                <w:rFonts w:ascii="宋体" w:hAnsi="宋体" w:cs="宋体" w:eastAsia="宋体" w:hint="default"/>
                <w:sz w:val="20"/>
                <w:szCs w:val="20"/>
              </w:rPr>
              <w:t>年初余额</w:t>
            </w:r>
          </w:p>
        </w:tc>
        <w:tc>
          <w:tcPr>
            <w:tcW w:w="1627" w:type="dxa"/>
            <w:tcBorders>
              <w:top w:val="nil" w:sz="6" w:space="0" w:color="auto"/>
              <w:left w:val="nil" w:sz="6" w:space="0" w:color="auto"/>
              <w:bottom w:val="single" w:sz="17" w:space="0" w:color="000000"/>
              <w:right w:val="nil" w:sz="6" w:space="0" w:color="auto"/>
            </w:tcBorders>
          </w:tcPr>
          <w:p>
            <w:pPr>
              <w:pStyle w:val="TableParagraph"/>
              <w:spacing w:line="240" w:lineRule="auto" w:before="29"/>
              <w:ind w:left="244" w:right="0"/>
              <w:jc w:val="left"/>
              <w:rPr>
                <w:rFonts w:ascii="Arial" w:hAnsi="Arial" w:cs="Arial" w:eastAsia="Arial" w:hint="default"/>
                <w:sz w:val="20"/>
                <w:szCs w:val="20"/>
              </w:rPr>
            </w:pPr>
            <w:r>
              <w:rPr>
                <w:rFonts w:ascii="Arial"/>
                <w:sz w:val="20"/>
              </w:rPr>
              <w:t>9,148,099,383</w:t>
            </w:r>
          </w:p>
        </w:tc>
        <w:tc>
          <w:tcPr>
            <w:tcW w:w="228"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single" w:sz="17" w:space="0" w:color="000000"/>
              <w:right w:val="nil" w:sz="6" w:space="0" w:color="auto"/>
            </w:tcBorders>
          </w:tcPr>
          <w:p>
            <w:pPr>
              <w:pStyle w:val="TableParagraph"/>
              <w:spacing w:line="240" w:lineRule="auto" w:before="29"/>
              <w:ind w:left="275" w:right="0"/>
              <w:jc w:val="left"/>
              <w:rPr>
                <w:rFonts w:ascii="Arial" w:hAnsi="Arial" w:cs="Arial" w:eastAsia="Arial" w:hint="default"/>
                <w:sz w:val="20"/>
                <w:szCs w:val="20"/>
              </w:rPr>
            </w:pPr>
            <w:r>
              <w:rPr>
                <w:rFonts w:ascii="Arial"/>
                <w:sz w:val="20"/>
              </w:rPr>
              <w:t>28,416,386,814</w:t>
            </w:r>
          </w:p>
        </w:tc>
        <w:tc>
          <w:tcPr>
            <w:tcW w:w="228"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single" w:sz="17" w:space="0" w:color="000000"/>
              <w:right w:val="nil" w:sz="6" w:space="0" w:color="auto"/>
            </w:tcBorders>
          </w:tcPr>
          <w:p>
            <w:pPr>
              <w:pStyle w:val="TableParagraph"/>
              <w:spacing w:line="240" w:lineRule="auto" w:before="29"/>
              <w:ind w:left="256" w:right="0"/>
              <w:jc w:val="left"/>
              <w:rPr>
                <w:rFonts w:ascii="Arial" w:hAnsi="Arial" w:cs="Arial" w:eastAsia="Arial" w:hint="default"/>
                <w:sz w:val="20"/>
                <w:szCs w:val="20"/>
              </w:rPr>
            </w:pPr>
            <w:r>
              <w:rPr>
                <w:rFonts w:ascii="Arial"/>
                <w:sz w:val="20"/>
              </w:rPr>
              <w:t>504,487,909</w:t>
            </w:r>
          </w:p>
        </w:tc>
        <w:tc>
          <w:tcPr>
            <w:tcW w:w="276"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single" w:sz="17" w:space="0" w:color="000000"/>
              <w:right w:val="nil" w:sz="6" w:space="0" w:color="auto"/>
            </w:tcBorders>
          </w:tcPr>
          <w:p>
            <w:pPr>
              <w:pStyle w:val="TableParagraph"/>
              <w:spacing w:line="240" w:lineRule="auto" w:before="29"/>
              <w:ind w:left="252" w:right="0"/>
              <w:jc w:val="left"/>
              <w:rPr>
                <w:rFonts w:ascii="Arial" w:hAnsi="Arial" w:cs="Arial" w:eastAsia="Arial" w:hint="default"/>
                <w:sz w:val="20"/>
                <w:szCs w:val="20"/>
              </w:rPr>
            </w:pPr>
            <w:r>
              <w:rPr>
                <w:rFonts w:ascii="Arial"/>
                <w:sz w:val="20"/>
              </w:rPr>
              <w:t>38,068,974,106</w:t>
            </w:r>
          </w:p>
        </w:tc>
      </w:tr>
      <w:tr>
        <w:trPr>
          <w:trHeight w:val="538"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372" w:right="0"/>
              <w:jc w:val="left"/>
              <w:rPr>
                <w:rFonts w:ascii="宋体" w:hAnsi="宋体" w:cs="宋体" w:eastAsia="宋体" w:hint="default"/>
                <w:sz w:val="20"/>
                <w:szCs w:val="20"/>
              </w:rPr>
            </w:pPr>
            <w:r>
              <w:rPr>
                <w:rFonts w:ascii="宋体" w:hAnsi="宋体" w:cs="宋体" w:eastAsia="宋体" w:hint="default"/>
                <w:sz w:val="20"/>
                <w:szCs w:val="20"/>
              </w:rPr>
              <w:t>年末余额</w:t>
            </w:r>
          </w:p>
        </w:tc>
        <w:tc>
          <w:tcPr>
            <w:tcW w:w="1627" w:type="dxa"/>
            <w:tcBorders>
              <w:top w:val="single" w:sz="17" w:space="0" w:color="000000"/>
              <w:left w:val="nil" w:sz="6" w:space="0" w:color="auto"/>
              <w:bottom w:val="single" w:sz="17" w:space="0" w:color="000000"/>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44" w:right="0"/>
              <w:jc w:val="left"/>
              <w:rPr>
                <w:rFonts w:ascii="Arial" w:hAnsi="Arial" w:cs="Arial" w:eastAsia="Arial" w:hint="default"/>
                <w:sz w:val="20"/>
                <w:szCs w:val="20"/>
              </w:rPr>
            </w:pPr>
            <w:r>
              <w:rPr>
                <w:rFonts w:ascii="Arial"/>
                <w:sz w:val="20"/>
              </w:rPr>
              <w:t>9,324,908,862</w:t>
            </w:r>
          </w:p>
        </w:tc>
        <w:tc>
          <w:tcPr>
            <w:tcW w:w="228" w:type="dxa"/>
            <w:tcBorders>
              <w:top w:val="nil" w:sz="6" w:space="0" w:color="auto"/>
              <w:left w:val="nil" w:sz="6" w:space="0" w:color="auto"/>
              <w:bottom w:val="nil" w:sz="6" w:space="0" w:color="auto"/>
              <w:right w:val="nil" w:sz="6" w:space="0" w:color="auto"/>
            </w:tcBorders>
          </w:tcPr>
          <w:p>
            <w:pPr/>
          </w:p>
        </w:tc>
        <w:tc>
          <w:tcPr>
            <w:tcW w:w="1774" w:type="dxa"/>
            <w:tcBorders>
              <w:top w:val="single" w:sz="17" w:space="0" w:color="000000"/>
              <w:left w:val="nil" w:sz="6" w:space="0" w:color="auto"/>
              <w:bottom w:val="single" w:sz="17" w:space="0" w:color="000000"/>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75" w:right="0"/>
              <w:jc w:val="left"/>
              <w:rPr>
                <w:rFonts w:ascii="Arial" w:hAnsi="Arial" w:cs="Arial" w:eastAsia="Arial" w:hint="default"/>
                <w:sz w:val="20"/>
                <w:szCs w:val="20"/>
              </w:rPr>
            </w:pPr>
            <w:r>
              <w:rPr>
                <w:rFonts w:ascii="Arial"/>
                <w:sz w:val="20"/>
              </w:rPr>
              <w:t>23,922,075,789</w:t>
            </w:r>
          </w:p>
        </w:tc>
        <w:tc>
          <w:tcPr>
            <w:tcW w:w="228" w:type="dxa"/>
            <w:tcBorders>
              <w:top w:val="nil" w:sz="6" w:space="0" w:color="auto"/>
              <w:left w:val="nil" w:sz="6" w:space="0" w:color="auto"/>
              <w:bottom w:val="nil" w:sz="6" w:space="0" w:color="auto"/>
              <w:right w:val="nil" w:sz="6" w:space="0" w:color="auto"/>
            </w:tcBorders>
          </w:tcPr>
          <w:p>
            <w:pPr/>
          </w:p>
        </w:tc>
        <w:tc>
          <w:tcPr>
            <w:tcW w:w="1471" w:type="dxa"/>
            <w:tcBorders>
              <w:top w:val="single" w:sz="17" w:space="0" w:color="000000"/>
              <w:left w:val="nil" w:sz="6" w:space="0" w:color="auto"/>
              <w:bottom w:val="single" w:sz="17" w:space="0" w:color="000000"/>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56" w:right="0"/>
              <w:jc w:val="left"/>
              <w:rPr>
                <w:rFonts w:ascii="Arial" w:hAnsi="Arial" w:cs="Arial" w:eastAsia="Arial" w:hint="default"/>
                <w:sz w:val="20"/>
                <w:szCs w:val="20"/>
              </w:rPr>
            </w:pPr>
            <w:r>
              <w:rPr>
                <w:rFonts w:ascii="Arial"/>
                <w:sz w:val="20"/>
              </w:rPr>
              <w:t>653,570,304</w:t>
            </w:r>
          </w:p>
        </w:tc>
        <w:tc>
          <w:tcPr>
            <w:tcW w:w="276" w:type="dxa"/>
            <w:tcBorders>
              <w:top w:val="nil" w:sz="6" w:space="0" w:color="auto"/>
              <w:left w:val="nil" w:sz="6" w:space="0" w:color="auto"/>
              <w:bottom w:val="nil" w:sz="6" w:space="0" w:color="auto"/>
              <w:right w:val="nil" w:sz="6" w:space="0" w:color="auto"/>
            </w:tcBorders>
          </w:tcPr>
          <w:p>
            <w:pPr/>
          </w:p>
        </w:tc>
        <w:tc>
          <w:tcPr>
            <w:tcW w:w="1750" w:type="dxa"/>
            <w:tcBorders>
              <w:top w:val="single" w:sz="17" w:space="0" w:color="000000"/>
              <w:left w:val="nil" w:sz="6" w:space="0" w:color="auto"/>
              <w:bottom w:val="single" w:sz="17" w:space="0" w:color="000000"/>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52" w:right="0"/>
              <w:jc w:val="left"/>
              <w:rPr>
                <w:rFonts w:ascii="Arial" w:hAnsi="Arial" w:cs="Arial" w:eastAsia="Arial" w:hint="default"/>
                <w:sz w:val="20"/>
                <w:szCs w:val="20"/>
              </w:rPr>
            </w:pPr>
            <w:r>
              <w:rPr>
                <w:rFonts w:ascii="Arial"/>
                <w:sz w:val="20"/>
              </w:rPr>
              <w:t>33,900,554,955</w:t>
            </w:r>
          </w:p>
        </w:tc>
      </w:tr>
    </w:tbl>
    <w:p>
      <w:pPr>
        <w:spacing w:after="0" w:line="240" w:lineRule="auto"/>
        <w:jc w:val="left"/>
        <w:rPr>
          <w:rFonts w:ascii="Arial" w:hAnsi="Arial" w:cs="Arial" w:eastAsia="Arial" w:hint="default"/>
          <w:sz w:val="20"/>
          <w:szCs w:val="20"/>
        </w:rPr>
        <w:sectPr>
          <w:headerReference w:type="default" r:id="rId208"/>
          <w:pgSz w:w="11910" w:h="16840"/>
          <w:pgMar w:header="1188" w:footer="502" w:top="3040" w:bottom="700" w:left="1020" w:right="940"/>
        </w:sectPr>
      </w:pPr>
    </w:p>
    <w:p>
      <w:pPr>
        <w:spacing w:line="240" w:lineRule="auto" w:before="7"/>
        <w:rPr>
          <w:rFonts w:ascii="宋体" w:hAnsi="宋体" w:cs="宋体" w:eastAsia="宋体" w:hint="default"/>
          <w:sz w:val="16"/>
          <w:szCs w:val="16"/>
        </w:rPr>
      </w:pPr>
    </w:p>
    <w:p>
      <w:pPr>
        <w:pStyle w:val="BodyText"/>
        <w:spacing w:line="448" w:lineRule="auto" w:before="32"/>
        <w:ind w:left="559" w:right="4665" w:hanging="447"/>
        <w:jc w:val="left"/>
      </w:pPr>
      <w:r>
        <w:rPr>
          <w:rFonts w:ascii="Arial" w:hAnsi="Arial" w:cs="Arial" w:eastAsia="Arial" w:hint="default"/>
        </w:rPr>
        <w:t>53</w:t>
      </w:r>
      <w:r>
        <w:rPr/>
        <w:t>、租赁（续）</w:t>
      </w:r>
      <w:r>
        <w:rPr>
          <w:spacing w:val="-106"/>
        </w:rPr>
        <w:t> </w:t>
      </w:r>
      <w:r>
        <w:rPr>
          <w:spacing w:val="-106"/>
        </w:rPr>
      </w:r>
      <w:r>
        <w:rPr>
          <w:spacing w:val="-1"/>
        </w:rPr>
        <w:t>本集团作为承租人的租赁情况（续）</w:t>
      </w:r>
      <w:r>
        <w:rPr>
          <w:w w:val="100"/>
        </w:rPr>
        <w:t> </w:t>
      </w:r>
      <w:r>
        <w:rPr/>
        <w:t>租赁负债</w:t>
      </w:r>
    </w:p>
    <w:p>
      <w:pPr>
        <w:spacing w:line="240" w:lineRule="auto" w:before="2"/>
        <w:rPr>
          <w:rFonts w:ascii="宋体" w:hAnsi="宋体" w:cs="宋体" w:eastAsia="宋体" w:hint="default"/>
          <w:sz w:val="12"/>
          <w:szCs w:val="12"/>
        </w:rPr>
      </w:pPr>
    </w:p>
    <w:tbl>
      <w:tblPr>
        <w:tblW w:w="0" w:type="auto"/>
        <w:jc w:val="left"/>
        <w:tblInd w:w="373" w:type="dxa"/>
        <w:tblLayout w:type="fixed"/>
        <w:tblCellMar>
          <w:top w:w="0" w:type="dxa"/>
          <w:left w:w="0" w:type="dxa"/>
          <w:bottom w:w="0" w:type="dxa"/>
          <w:right w:w="0" w:type="dxa"/>
        </w:tblCellMar>
        <w:tblLook w:val="01E0"/>
      </w:tblPr>
      <w:tblGrid>
        <w:gridCol w:w="3099"/>
        <w:gridCol w:w="1666"/>
        <w:gridCol w:w="2093"/>
        <w:gridCol w:w="233"/>
        <w:gridCol w:w="1937"/>
      </w:tblGrid>
      <w:tr>
        <w:trPr>
          <w:trHeight w:val="260" w:hRule="exact"/>
        </w:trPr>
        <w:tc>
          <w:tcPr>
            <w:tcW w:w="3099" w:type="dxa"/>
            <w:tcBorders>
              <w:top w:val="nil" w:sz="6" w:space="0" w:color="auto"/>
              <w:left w:val="nil" w:sz="6" w:space="0" w:color="auto"/>
              <w:bottom w:val="nil" w:sz="6" w:space="0" w:color="auto"/>
              <w:right w:val="nil" w:sz="6" w:space="0" w:color="auto"/>
            </w:tcBorders>
          </w:tcPr>
          <w:p>
            <w:pPr>
              <w:pStyle w:val="TableParagraph"/>
              <w:spacing w:line="221" w:lineRule="exact"/>
              <w:ind w:left="200" w:right="0"/>
              <w:jc w:val="left"/>
              <w:rPr>
                <w:rFonts w:ascii="宋体" w:hAnsi="宋体" w:cs="宋体" w:eastAsia="宋体" w:hint="default"/>
                <w:sz w:val="22"/>
                <w:szCs w:val="22"/>
              </w:rPr>
            </w:pPr>
            <w:r>
              <w:rPr>
                <w:rFonts w:ascii="宋体" w:hAnsi="宋体" w:cs="宋体" w:eastAsia="宋体" w:hint="default"/>
                <w:sz w:val="22"/>
                <w:szCs w:val="22"/>
              </w:rPr>
              <w:t>项目</w:t>
            </w:r>
          </w:p>
        </w:tc>
        <w:tc>
          <w:tcPr>
            <w:tcW w:w="1666" w:type="dxa"/>
            <w:tcBorders>
              <w:top w:val="nil" w:sz="6" w:space="0" w:color="auto"/>
              <w:left w:val="nil" w:sz="6" w:space="0" w:color="auto"/>
              <w:bottom w:val="nil" w:sz="6" w:space="0" w:color="auto"/>
              <w:right w:val="nil" w:sz="6" w:space="0" w:color="auto"/>
            </w:tcBorders>
          </w:tcPr>
          <w:p>
            <w:pPr>
              <w:pStyle w:val="TableParagraph"/>
              <w:spacing w:line="221" w:lineRule="exact"/>
              <w:ind w:right="79"/>
              <w:jc w:val="center"/>
              <w:rPr>
                <w:rFonts w:ascii="宋体" w:hAnsi="宋体" w:cs="宋体" w:eastAsia="宋体" w:hint="default"/>
                <w:sz w:val="22"/>
                <w:szCs w:val="22"/>
              </w:rPr>
            </w:pPr>
            <w:r>
              <w:rPr>
                <w:rFonts w:ascii="宋体" w:hAnsi="宋体" w:cs="宋体" w:eastAsia="宋体" w:hint="default"/>
                <w:sz w:val="22"/>
                <w:szCs w:val="22"/>
              </w:rPr>
              <w:t>附注</w:t>
            </w:r>
          </w:p>
        </w:tc>
        <w:tc>
          <w:tcPr>
            <w:tcW w:w="2093" w:type="dxa"/>
            <w:tcBorders>
              <w:top w:val="nil" w:sz="6" w:space="0" w:color="auto"/>
              <w:left w:val="nil" w:sz="6" w:space="0" w:color="auto"/>
              <w:bottom w:val="single" w:sz="6" w:space="0" w:color="000000"/>
              <w:right w:val="nil" w:sz="6" w:space="0" w:color="auto"/>
            </w:tcBorders>
          </w:tcPr>
          <w:p>
            <w:pPr>
              <w:pStyle w:val="TableParagraph"/>
              <w:spacing w:line="237" w:lineRule="exact"/>
              <w:ind w:right="26"/>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233" w:type="dxa"/>
            <w:tcBorders>
              <w:top w:val="nil" w:sz="6" w:space="0" w:color="auto"/>
              <w:left w:val="nil" w:sz="6" w:space="0" w:color="auto"/>
              <w:bottom w:val="nil" w:sz="6" w:space="0" w:color="auto"/>
              <w:right w:val="nil" w:sz="6" w:space="0" w:color="auto"/>
            </w:tcBorders>
          </w:tcPr>
          <w:p>
            <w:pPr/>
          </w:p>
        </w:tc>
        <w:tc>
          <w:tcPr>
            <w:tcW w:w="1937" w:type="dxa"/>
            <w:tcBorders>
              <w:top w:val="nil" w:sz="6" w:space="0" w:color="auto"/>
              <w:left w:val="nil" w:sz="6" w:space="0" w:color="auto"/>
              <w:bottom w:val="single" w:sz="6" w:space="0" w:color="000000"/>
              <w:right w:val="nil" w:sz="6" w:space="0" w:color="auto"/>
            </w:tcBorders>
          </w:tcPr>
          <w:p>
            <w:pPr>
              <w:pStyle w:val="TableParagraph"/>
              <w:spacing w:line="237" w:lineRule="exact"/>
              <w:ind w:right="79"/>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6"/>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Arial" w:hAnsi="Arial" w:cs="Arial" w:eastAsia="Arial" w:hint="default"/>
                <w:sz w:val="22"/>
                <w:szCs w:val="22"/>
              </w:rPr>
              <w:t>1</w:t>
            </w:r>
            <w:r>
              <w:rPr>
                <w:rFonts w:ascii="Arial" w:hAnsi="Arial" w:cs="Arial" w:eastAsia="Arial" w:hint="default"/>
                <w:spacing w:val="-6"/>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Arial" w:hAnsi="Arial" w:cs="Arial" w:eastAsia="Arial" w:hint="default"/>
                <w:sz w:val="22"/>
                <w:szCs w:val="22"/>
              </w:rPr>
              <w:t>1</w:t>
            </w:r>
            <w:r>
              <w:rPr>
                <w:rFonts w:ascii="Arial" w:hAnsi="Arial" w:cs="Arial" w:eastAsia="Arial" w:hint="default"/>
                <w:spacing w:val="-6"/>
                <w:sz w:val="22"/>
                <w:szCs w:val="22"/>
              </w:rPr>
              <w:t> </w:t>
            </w:r>
            <w:r>
              <w:rPr>
                <w:rFonts w:ascii="宋体" w:hAnsi="宋体" w:cs="宋体" w:eastAsia="宋体" w:hint="default"/>
                <w:sz w:val="22"/>
                <w:szCs w:val="22"/>
              </w:rPr>
              <w:t>日</w:t>
            </w:r>
          </w:p>
        </w:tc>
      </w:tr>
      <w:tr>
        <w:trPr>
          <w:trHeight w:val="603" w:hRule="exact"/>
        </w:trPr>
        <w:tc>
          <w:tcPr>
            <w:tcW w:w="309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长期租赁负债</w:t>
            </w:r>
          </w:p>
        </w:tc>
        <w:tc>
          <w:tcPr>
            <w:tcW w:w="1666" w:type="dxa"/>
            <w:tcBorders>
              <w:top w:val="nil" w:sz="6" w:space="0" w:color="auto"/>
              <w:left w:val="nil" w:sz="6" w:space="0" w:color="auto"/>
              <w:bottom w:val="nil" w:sz="6" w:space="0" w:color="auto"/>
              <w:right w:val="nil" w:sz="6" w:space="0" w:color="auto"/>
            </w:tcBorders>
          </w:tcPr>
          <w:p>
            <w:pPr/>
          </w:p>
        </w:tc>
        <w:tc>
          <w:tcPr>
            <w:tcW w:w="2093" w:type="dxa"/>
            <w:tcBorders>
              <w:top w:val="single" w:sz="6"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7"/>
              <w:jc w:val="right"/>
              <w:rPr>
                <w:rFonts w:ascii="Arial" w:hAnsi="Arial" w:cs="Arial" w:eastAsia="Arial" w:hint="default"/>
                <w:sz w:val="22"/>
                <w:szCs w:val="22"/>
              </w:rPr>
            </w:pPr>
            <w:r>
              <w:rPr>
                <w:rFonts w:ascii="Arial"/>
                <w:sz w:val="22"/>
              </w:rPr>
              <w:t>32,325,414,447</w:t>
            </w:r>
          </w:p>
        </w:tc>
        <w:tc>
          <w:tcPr>
            <w:tcW w:w="233" w:type="dxa"/>
            <w:tcBorders>
              <w:top w:val="nil" w:sz="6" w:space="0" w:color="auto"/>
              <w:left w:val="nil" w:sz="6" w:space="0" w:color="auto"/>
              <w:bottom w:val="nil" w:sz="6" w:space="0" w:color="auto"/>
              <w:right w:val="nil" w:sz="6" w:space="0" w:color="auto"/>
            </w:tcBorders>
          </w:tcPr>
          <w:p>
            <w:pPr/>
          </w:p>
        </w:tc>
        <w:tc>
          <w:tcPr>
            <w:tcW w:w="1937" w:type="dxa"/>
            <w:tcBorders>
              <w:top w:val="single" w:sz="6"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31"/>
              <w:jc w:val="right"/>
              <w:rPr>
                <w:rFonts w:ascii="Arial" w:hAnsi="Arial" w:cs="Arial" w:eastAsia="Arial" w:hint="default"/>
                <w:sz w:val="22"/>
                <w:szCs w:val="22"/>
              </w:rPr>
            </w:pPr>
            <w:r>
              <w:rPr>
                <w:rFonts w:ascii="Arial"/>
                <w:sz w:val="22"/>
              </w:rPr>
              <w:t>36,719,946,552</w:t>
            </w:r>
          </w:p>
        </w:tc>
      </w:tr>
      <w:tr>
        <w:trPr>
          <w:trHeight w:val="442" w:hRule="exact"/>
        </w:trPr>
        <w:tc>
          <w:tcPr>
            <w:tcW w:w="3099" w:type="dxa"/>
            <w:tcBorders>
              <w:top w:val="nil" w:sz="6" w:space="0" w:color="auto"/>
              <w:left w:val="nil" w:sz="6" w:space="0" w:color="auto"/>
              <w:bottom w:val="nil" w:sz="6" w:space="0" w:color="auto"/>
              <w:right w:val="nil" w:sz="6" w:space="0" w:color="auto"/>
            </w:tcBorders>
          </w:tcPr>
          <w:p>
            <w:pPr>
              <w:pStyle w:val="TableParagraph"/>
              <w:spacing w:line="242" w:lineRule="exact"/>
              <w:ind w:left="200" w:right="0"/>
              <w:jc w:val="left"/>
              <w:rPr>
                <w:rFonts w:ascii="宋体" w:hAnsi="宋体" w:cs="宋体" w:eastAsia="宋体" w:hint="default"/>
                <w:sz w:val="22"/>
                <w:szCs w:val="22"/>
              </w:rPr>
            </w:pPr>
            <w:r>
              <w:rPr>
                <w:rFonts w:ascii="宋体" w:hAnsi="宋体" w:cs="宋体" w:eastAsia="宋体" w:hint="default"/>
                <w:sz w:val="22"/>
                <w:szCs w:val="22"/>
              </w:rPr>
              <w:t>减：一年内到期的租赁负债</w:t>
            </w:r>
          </w:p>
        </w:tc>
        <w:tc>
          <w:tcPr>
            <w:tcW w:w="1666" w:type="dxa"/>
            <w:tcBorders>
              <w:top w:val="nil" w:sz="6" w:space="0" w:color="auto"/>
              <w:left w:val="nil" w:sz="6" w:space="0" w:color="auto"/>
              <w:bottom w:val="nil" w:sz="6" w:space="0" w:color="auto"/>
              <w:right w:val="nil" w:sz="6" w:space="0" w:color="auto"/>
            </w:tcBorders>
          </w:tcPr>
          <w:p>
            <w:pPr>
              <w:pStyle w:val="TableParagraph"/>
              <w:spacing w:line="257" w:lineRule="exact"/>
              <w:ind w:right="97"/>
              <w:jc w:val="center"/>
              <w:rPr>
                <w:rFonts w:ascii="Arial" w:hAnsi="Arial" w:cs="Arial" w:eastAsia="Arial" w:hint="default"/>
                <w:sz w:val="22"/>
                <w:szCs w:val="22"/>
              </w:rPr>
            </w:pPr>
            <w:r>
              <w:rPr>
                <w:rFonts w:ascii="宋体" w:hAnsi="宋体" w:cs="宋体" w:eastAsia="宋体" w:hint="default"/>
                <w:sz w:val="22"/>
                <w:szCs w:val="22"/>
              </w:rPr>
              <w:t>附注五</w:t>
            </w:r>
            <w:r>
              <w:rPr>
                <w:rFonts w:ascii="Arial" w:hAnsi="Arial" w:cs="Arial" w:eastAsia="Arial" w:hint="default"/>
                <w:sz w:val="22"/>
                <w:szCs w:val="22"/>
              </w:rPr>
              <w:t>(24)</w:t>
            </w:r>
          </w:p>
        </w:tc>
        <w:tc>
          <w:tcPr>
            <w:tcW w:w="2093" w:type="dxa"/>
            <w:tcBorders>
              <w:top w:val="nil" w:sz="6" w:space="0" w:color="auto"/>
              <w:left w:val="nil" w:sz="6" w:space="0" w:color="auto"/>
              <w:bottom w:val="nil" w:sz="6" w:space="0" w:color="auto"/>
              <w:right w:val="nil" w:sz="6" w:space="0" w:color="auto"/>
            </w:tcBorders>
          </w:tcPr>
          <w:p>
            <w:pPr>
              <w:pStyle w:val="TableParagraph"/>
              <w:tabs>
                <w:tab w:pos="527" w:val="left" w:leader="none"/>
              </w:tabs>
              <w:spacing w:line="240" w:lineRule="auto" w:before="18"/>
              <w:ind w:right="27"/>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10,790,131,111</w:t>
            </w:r>
            <w:r>
              <w:rPr>
                <w:rFonts w:ascii="Arial"/>
                <w:sz w:val="22"/>
              </w:rPr>
            </w:r>
          </w:p>
        </w:tc>
        <w:tc>
          <w:tcPr>
            <w:tcW w:w="233" w:type="dxa"/>
            <w:tcBorders>
              <w:top w:val="nil" w:sz="6" w:space="0" w:color="auto"/>
              <w:left w:val="nil" w:sz="6" w:space="0" w:color="auto"/>
              <w:bottom w:val="nil" w:sz="6" w:space="0" w:color="auto"/>
              <w:right w:val="nil" w:sz="6" w:space="0" w:color="auto"/>
            </w:tcBorders>
          </w:tcPr>
          <w:p>
            <w:pPr/>
          </w:p>
        </w:tc>
        <w:tc>
          <w:tcPr>
            <w:tcW w:w="1937" w:type="dxa"/>
            <w:tcBorders>
              <w:top w:val="nil" w:sz="6" w:space="0" w:color="auto"/>
              <w:left w:val="nil" w:sz="6" w:space="0" w:color="auto"/>
              <w:bottom w:val="nil" w:sz="6" w:space="0" w:color="auto"/>
              <w:right w:val="nil" w:sz="6" w:space="0" w:color="auto"/>
            </w:tcBorders>
          </w:tcPr>
          <w:p>
            <w:pPr>
              <w:pStyle w:val="TableParagraph"/>
              <w:tabs>
                <w:tab w:pos="484" w:val="left" w:leader="none"/>
              </w:tabs>
              <w:spacing w:line="240" w:lineRule="auto" w:before="18"/>
              <w:ind w:right="3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9,144,163,395</w:t>
            </w:r>
            <w:r>
              <w:rPr>
                <w:rFonts w:ascii="Arial"/>
                <w:spacing w:val="-1"/>
                <w:sz w:val="22"/>
              </w:rPr>
            </w:r>
          </w:p>
        </w:tc>
      </w:tr>
      <w:tr>
        <w:trPr>
          <w:trHeight w:val="453" w:hRule="exact"/>
        </w:trPr>
        <w:tc>
          <w:tcPr>
            <w:tcW w:w="3099"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1666" w:type="dxa"/>
            <w:tcBorders>
              <w:top w:val="nil" w:sz="6" w:space="0" w:color="auto"/>
              <w:left w:val="nil" w:sz="6" w:space="0" w:color="auto"/>
              <w:bottom w:val="nil" w:sz="6" w:space="0" w:color="auto"/>
              <w:right w:val="nil" w:sz="6" w:space="0" w:color="auto"/>
            </w:tcBorders>
          </w:tcPr>
          <w:p>
            <w:pPr/>
          </w:p>
        </w:tc>
        <w:tc>
          <w:tcPr>
            <w:tcW w:w="2093" w:type="dxa"/>
            <w:tcBorders>
              <w:top w:val="nil" w:sz="6" w:space="0" w:color="auto"/>
              <w:left w:val="nil" w:sz="6" w:space="0" w:color="auto"/>
              <w:bottom w:val="single" w:sz="17" w:space="0" w:color="000000"/>
              <w:right w:val="nil" w:sz="6" w:space="0" w:color="auto"/>
            </w:tcBorders>
          </w:tcPr>
          <w:p>
            <w:pPr>
              <w:pStyle w:val="TableParagraph"/>
              <w:spacing w:line="240" w:lineRule="auto" w:before="172"/>
              <w:ind w:right="27"/>
              <w:jc w:val="right"/>
              <w:rPr>
                <w:rFonts w:ascii="Arial" w:hAnsi="Arial" w:cs="Arial" w:eastAsia="Arial" w:hint="default"/>
                <w:sz w:val="22"/>
                <w:szCs w:val="22"/>
              </w:rPr>
            </w:pPr>
            <w:r>
              <w:rPr>
                <w:rFonts w:ascii="Arial"/>
                <w:sz w:val="22"/>
              </w:rPr>
              <w:t>21,535,283,336</w:t>
            </w:r>
          </w:p>
        </w:tc>
        <w:tc>
          <w:tcPr>
            <w:tcW w:w="233" w:type="dxa"/>
            <w:tcBorders>
              <w:top w:val="nil" w:sz="6" w:space="0" w:color="auto"/>
              <w:left w:val="nil" w:sz="6" w:space="0" w:color="auto"/>
              <w:bottom w:val="nil" w:sz="6" w:space="0" w:color="auto"/>
              <w:right w:val="nil" w:sz="6" w:space="0" w:color="auto"/>
            </w:tcBorders>
          </w:tcPr>
          <w:p>
            <w:pPr/>
          </w:p>
        </w:tc>
        <w:tc>
          <w:tcPr>
            <w:tcW w:w="1937" w:type="dxa"/>
            <w:tcBorders>
              <w:top w:val="nil" w:sz="6" w:space="0" w:color="auto"/>
              <w:left w:val="nil" w:sz="6" w:space="0" w:color="auto"/>
              <w:bottom w:val="single" w:sz="17" w:space="0" w:color="000000"/>
              <w:right w:val="nil" w:sz="6" w:space="0" w:color="auto"/>
            </w:tcBorders>
          </w:tcPr>
          <w:p>
            <w:pPr>
              <w:pStyle w:val="TableParagraph"/>
              <w:spacing w:line="240" w:lineRule="auto" w:before="172"/>
              <w:ind w:right="31"/>
              <w:jc w:val="right"/>
              <w:rPr>
                <w:rFonts w:ascii="Arial" w:hAnsi="Arial" w:cs="Arial" w:eastAsia="Arial" w:hint="default"/>
                <w:sz w:val="22"/>
                <w:szCs w:val="22"/>
              </w:rPr>
            </w:pPr>
            <w:r>
              <w:rPr>
                <w:rFonts w:ascii="Arial"/>
                <w:sz w:val="22"/>
              </w:rPr>
              <w:t>27,575,783,157</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2"/>
          <w:szCs w:val="22"/>
        </w:rPr>
      </w:pPr>
    </w:p>
    <w:tbl>
      <w:tblPr>
        <w:tblW w:w="0" w:type="auto"/>
        <w:jc w:val="left"/>
        <w:tblInd w:w="397" w:type="dxa"/>
        <w:tblLayout w:type="fixed"/>
        <w:tblCellMar>
          <w:top w:w="0" w:type="dxa"/>
          <w:left w:w="0" w:type="dxa"/>
          <w:bottom w:w="0" w:type="dxa"/>
          <w:right w:w="0" w:type="dxa"/>
        </w:tblCellMar>
        <w:tblLook w:val="01E0"/>
      </w:tblPr>
      <w:tblGrid>
        <w:gridCol w:w="5228"/>
        <w:gridCol w:w="1342"/>
        <w:gridCol w:w="2462"/>
      </w:tblGrid>
      <w:tr>
        <w:trPr>
          <w:trHeight w:val="259" w:hRule="exact"/>
        </w:trPr>
        <w:tc>
          <w:tcPr>
            <w:tcW w:w="5228" w:type="dxa"/>
            <w:tcBorders>
              <w:top w:val="nil" w:sz="6" w:space="0" w:color="auto"/>
              <w:left w:val="nil" w:sz="6" w:space="0" w:color="auto"/>
              <w:bottom w:val="nil" w:sz="6" w:space="0" w:color="auto"/>
              <w:right w:val="nil" w:sz="6" w:space="0" w:color="auto"/>
            </w:tcBorders>
          </w:tcPr>
          <w:p>
            <w:pPr>
              <w:pStyle w:val="TableParagraph"/>
              <w:spacing w:line="221" w:lineRule="exact"/>
              <w:ind w:left="200" w:right="0"/>
              <w:jc w:val="left"/>
              <w:rPr>
                <w:rFonts w:ascii="宋体" w:hAnsi="宋体" w:cs="宋体" w:eastAsia="宋体" w:hint="default"/>
                <w:sz w:val="22"/>
                <w:szCs w:val="22"/>
              </w:rPr>
            </w:pPr>
            <w:r>
              <w:rPr>
                <w:rFonts w:ascii="宋体" w:hAnsi="宋体" w:cs="宋体" w:eastAsia="宋体" w:hint="default"/>
                <w:sz w:val="22"/>
                <w:szCs w:val="22"/>
              </w:rPr>
              <w:t>项目</w:t>
            </w:r>
          </w:p>
        </w:tc>
        <w:tc>
          <w:tcPr>
            <w:tcW w:w="1342" w:type="dxa"/>
            <w:tcBorders>
              <w:top w:val="nil" w:sz="6" w:space="0" w:color="auto"/>
              <w:left w:val="nil" w:sz="6" w:space="0" w:color="auto"/>
              <w:bottom w:val="nil" w:sz="6" w:space="0" w:color="auto"/>
              <w:right w:val="nil" w:sz="6" w:space="0" w:color="auto"/>
            </w:tcBorders>
          </w:tcPr>
          <w:p>
            <w:pPr>
              <w:pStyle w:val="TableParagraph"/>
              <w:spacing w:line="221" w:lineRule="exact"/>
              <w:ind w:right="263"/>
              <w:jc w:val="right"/>
              <w:rPr>
                <w:rFonts w:ascii="宋体" w:hAnsi="宋体" w:cs="宋体" w:eastAsia="宋体" w:hint="default"/>
                <w:sz w:val="22"/>
                <w:szCs w:val="22"/>
              </w:rPr>
            </w:pPr>
            <w:r>
              <w:rPr>
                <w:rFonts w:ascii="宋体" w:hAnsi="宋体" w:cs="宋体" w:eastAsia="宋体" w:hint="default"/>
                <w:w w:val="100"/>
                <w:sz w:val="22"/>
                <w:szCs w:val="22"/>
              </w:rPr>
              <w:t>注</w:t>
            </w:r>
          </w:p>
        </w:tc>
        <w:tc>
          <w:tcPr>
            <w:tcW w:w="2462" w:type="dxa"/>
            <w:tcBorders>
              <w:top w:val="nil" w:sz="6" w:space="0" w:color="auto"/>
              <w:left w:val="nil" w:sz="6" w:space="0" w:color="auto"/>
              <w:bottom w:val="single" w:sz="6" w:space="0" w:color="000000"/>
              <w:right w:val="nil" w:sz="6" w:space="0" w:color="auto"/>
            </w:tcBorders>
          </w:tcPr>
          <w:p>
            <w:pPr>
              <w:pStyle w:val="TableParagraph"/>
              <w:spacing w:line="236" w:lineRule="exact"/>
              <w:ind w:left="897"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r>
      <w:tr>
        <w:trPr>
          <w:trHeight w:val="893" w:hRule="exact"/>
        </w:trPr>
        <w:tc>
          <w:tcPr>
            <w:tcW w:w="522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416" w:right="840" w:hanging="216"/>
              <w:jc w:val="left"/>
              <w:rPr>
                <w:rFonts w:ascii="宋体" w:hAnsi="宋体" w:cs="宋体" w:eastAsia="宋体" w:hint="default"/>
                <w:sz w:val="22"/>
                <w:szCs w:val="22"/>
              </w:rPr>
            </w:pPr>
            <w:r>
              <w:rPr>
                <w:rFonts w:ascii="宋体" w:hAnsi="宋体" w:cs="宋体" w:eastAsia="宋体" w:hint="default"/>
                <w:spacing w:val="-1"/>
                <w:sz w:val="22"/>
                <w:szCs w:val="22"/>
              </w:rPr>
              <w:t>选择简化处理方法的短期租赁及首次执行日</w:t>
            </w:r>
            <w:r>
              <w:rPr>
                <w:rFonts w:ascii="宋体" w:hAnsi="宋体" w:cs="宋体" w:eastAsia="宋体" w:hint="default"/>
                <w:spacing w:val="-86"/>
                <w:sz w:val="22"/>
                <w:szCs w:val="22"/>
              </w:rPr>
              <w:t> </w:t>
            </w:r>
            <w:r>
              <w:rPr>
                <w:rFonts w:ascii="宋体" w:hAnsi="宋体" w:cs="宋体" w:eastAsia="宋体" w:hint="default"/>
                <w:spacing w:val="-86"/>
                <w:sz w:val="22"/>
                <w:szCs w:val="22"/>
              </w:rPr>
            </w:r>
            <w:r>
              <w:rPr>
                <w:rFonts w:ascii="宋体" w:hAnsi="宋体" w:cs="宋体" w:eastAsia="宋体" w:hint="default"/>
                <w:sz w:val="22"/>
                <w:szCs w:val="22"/>
              </w:rPr>
              <w:t>后</w:t>
            </w:r>
            <w:r>
              <w:rPr>
                <w:rFonts w:ascii="宋体" w:hAnsi="宋体" w:cs="宋体" w:eastAsia="宋体" w:hint="default"/>
                <w:spacing w:val="-54"/>
                <w:sz w:val="22"/>
                <w:szCs w:val="22"/>
              </w:rPr>
              <w:t> </w:t>
            </w:r>
            <w:r>
              <w:rPr>
                <w:rFonts w:ascii="Arial" w:hAnsi="Arial" w:cs="Arial" w:eastAsia="Arial" w:hint="default"/>
                <w:sz w:val="22"/>
                <w:szCs w:val="22"/>
              </w:rPr>
              <w:t>12</w:t>
            </w:r>
            <w:r>
              <w:rPr>
                <w:rFonts w:ascii="Arial" w:hAnsi="Arial" w:cs="Arial" w:eastAsia="Arial" w:hint="default"/>
                <w:spacing w:val="-3"/>
                <w:sz w:val="22"/>
                <w:szCs w:val="22"/>
              </w:rPr>
              <w:t> </w:t>
            </w:r>
            <w:r>
              <w:rPr>
                <w:rFonts w:ascii="宋体" w:hAnsi="宋体" w:cs="宋体" w:eastAsia="宋体" w:hint="default"/>
                <w:sz w:val="22"/>
                <w:szCs w:val="22"/>
              </w:rPr>
              <w:t>个月内结束租赁的相关费用</w:t>
            </w:r>
          </w:p>
        </w:tc>
        <w:tc>
          <w:tcPr>
            <w:tcW w:w="1342" w:type="dxa"/>
            <w:tcBorders>
              <w:top w:val="nil" w:sz="6" w:space="0" w:color="auto"/>
              <w:left w:val="nil" w:sz="6" w:space="0" w:color="auto"/>
              <w:bottom w:val="nil" w:sz="6" w:space="0" w:color="auto"/>
              <w:right w:val="nil" w:sz="6" w:space="0" w:color="auto"/>
            </w:tcBorders>
          </w:tcPr>
          <w:p>
            <w:pPr/>
          </w:p>
        </w:tc>
        <w:tc>
          <w:tcPr>
            <w:tcW w:w="2462"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9"/>
              <w:jc w:val="right"/>
              <w:rPr>
                <w:rFonts w:ascii="Arial" w:hAnsi="Arial" w:cs="Arial" w:eastAsia="Arial" w:hint="default"/>
                <w:sz w:val="22"/>
                <w:szCs w:val="22"/>
              </w:rPr>
            </w:pPr>
            <w:r>
              <w:rPr>
                <w:rFonts w:ascii="Arial"/>
                <w:spacing w:val="-1"/>
                <w:sz w:val="22"/>
              </w:rPr>
              <w:t>1,928,377,758</w:t>
            </w:r>
          </w:p>
        </w:tc>
      </w:tr>
      <w:tr>
        <w:trPr>
          <w:trHeight w:val="290" w:hRule="exact"/>
        </w:trPr>
        <w:tc>
          <w:tcPr>
            <w:tcW w:w="5228" w:type="dxa"/>
            <w:tcBorders>
              <w:top w:val="nil" w:sz="6" w:space="0" w:color="auto"/>
              <w:left w:val="nil" w:sz="6" w:space="0" w:color="auto"/>
              <w:bottom w:val="nil" w:sz="6" w:space="0" w:color="auto"/>
              <w:right w:val="nil" w:sz="6" w:space="0" w:color="auto"/>
            </w:tcBorders>
          </w:tcPr>
          <w:p>
            <w:pPr>
              <w:pStyle w:val="TableParagraph"/>
              <w:spacing w:line="244" w:lineRule="exact"/>
              <w:ind w:left="200" w:right="0"/>
              <w:jc w:val="left"/>
              <w:rPr>
                <w:rFonts w:ascii="宋体" w:hAnsi="宋体" w:cs="宋体" w:eastAsia="宋体" w:hint="default"/>
                <w:sz w:val="22"/>
                <w:szCs w:val="22"/>
              </w:rPr>
            </w:pPr>
            <w:r>
              <w:rPr>
                <w:rFonts w:ascii="宋体" w:hAnsi="宋体" w:cs="宋体" w:eastAsia="宋体" w:hint="default"/>
                <w:sz w:val="22"/>
                <w:szCs w:val="22"/>
              </w:rPr>
              <w:t>未纳入租赁负债计量的可变租赁付款额</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26"/>
              <w:jc w:val="right"/>
              <w:rPr>
                <w:rFonts w:ascii="Arial" w:hAnsi="Arial" w:cs="Arial" w:eastAsia="Arial" w:hint="default"/>
                <w:sz w:val="22"/>
                <w:szCs w:val="22"/>
              </w:rPr>
            </w:pPr>
            <w:r>
              <w:rPr>
                <w:rFonts w:ascii="Arial"/>
                <w:sz w:val="22"/>
              </w:rPr>
              <w:t>(1)</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
              <w:jc w:val="right"/>
              <w:rPr>
                <w:rFonts w:ascii="Arial" w:hAnsi="Arial" w:cs="Arial" w:eastAsia="Arial" w:hint="default"/>
                <w:sz w:val="22"/>
                <w:szCs w:val="22"/>
              </w:rPr>
            </w:pPr>
            <w:r>
              <w:rPr>
                <w:rFonts w:ascii="Arial"/>
                <w:spacing w:val="-1"/>
                <w:sz w:val="22"/>
              </w:rPr>
              <w:t>4,478,613,812</w:t>
            </w:r>
          </w:p>
        </w:tc>
      </w:tr>
      <w:tr>
        <w:trPr>
          <w:trHeight w:val="267" w:hRule="exact"/>
        </w:trPr>
        <w:tc>
          <w:tcPr>
            <w:tcW w:w="5228" w:type="dxa"/>
            <w:tcBorders>
              <w:top w:val="nil" w:sz="6" w:space="0" w:color="auto"/>
              <w:left w:val="nil" w:sz="6" w:space="0" w:color="auto"/>
              <w:bottom w:val="nil" w:sz="6" w:space="0" w:color="auto"/>
              <w:right w:val="nil" w:sz="6" w:space="0" w:color="auto"/>
            </w:tcBorders>
          </w:tcPr>
          <w:p>
            <w:pPr>
              <w:pStyle w:val="TableParagraph"/>
              <w:spacing w:line="242" w:lineRule="exact"/>
              <w:ind w:left="200" w:right="0"/>
              <w:jc w:val="left"/>
              <w:rPr>
                <w:rFonts w:ascii="宋体" w:hAnsi="宋体" w:cs="宋体" w:eastAsia="宋体" w:hint="default"/>
                <w:sz w:val="22"/>
                <w:szCs w:val="22"/>
              </w:rPr>
            </w:pPr>
            <w:r>
              <w:rPr>
                <w:rFonts w:ascii="宋体" w:hAnsi="宋体" w:cs="宋体" w:eastAsia="宋体" w:hint="default"/>
                <w:sz w:val="22"/>
                <w:szCs w:val="22"/>
              </w:rPr>
              <w:t>与租赁相关的总现金流出</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26"/>
              <w:jc w:val="right"/>
              <w:rPr>
                <w:rFonts w:ascii="Arial" w:hAnsi="Arial" w:cs="Arial" w:eastAsia="Arial" w:hint="default"/>
                <w:sz w:val="22"/>
                <w:szCs w:val="22"/>
              </w:rPr>
            </w:pPr>
            <w:r>
              <w:rPr>
                <w:rFonts w:ascii="Arial"/>
                <w:sz w:val="22"/>
              </w:rPr>
              <w:t>(2)</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
              <w:jc w:val="right"/>
              <w:rPr>
                <w:rFonts w:ascii="Arial" w:hAnsi="Arial" w:cs="Arial" w:eastAsia="Arial" w:hint="default"/>
                <w:sz w:val="22"/>
                <w:szCs w:val="22"/>
              </w:rPr>
            </w:pPr>
            <w:r>
              <w:rPr>
                <w:rFonts w:ascii="Arial"/>
                <w:sz w:val="22"/>
              </w:rPr>
              <w:t>18,921,366,318</w:t>
            </w:r>
          </w:p>
        </w:tc>
      </w:tr>
    </w:tbl>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8"/>
          <w:szCs w:val="18"/>
        </w:rPr>
      </w:pPr>
    </w:p>
    <w:p>
      <w:pPr>
        <w:pStyle w:val="BodyText"/>
        <w:spacing w:line="284" w:lineRule="exact" w:before="62"/>
        <w:ind w:left="545" w:right="104" w:hanging="433"/>
        <w:jc w:val="both"/>
      </w:pPr>
      <w:r>
        <w:rPr>
          <w:rFonts w:ascii="Arial" w:hAnsi="Arial" w:cs="Arial" w:eastAsia="Arial" w:hint="default"/>
        </w:rPr>
        <w:t>(1)</w:t>
      </w:r>
      <w:r>
        <w:rPr>
          <w:rFonts w:ascii="Arial" w:hAnsi="Arial" w:cs="Arial" w:eastAsia="Arial" w:hint="default"/>
          <w:spacing w:val="60"/>
        </w:rPr>
        <w:t> </w:t>
      </w:r>
      <w:r>
        <w:rPr/>
        <w:t>截至</w:t>
      </w:r>
      <w:r>
        <w:rPr>
          <w:spacing w:val="-52"/>
        </w:rPr>
        <w:t> </w:t>
      </w:r>
      <w:r>
        <w:rPr>
          <w:rFonts w:ascii="Arial" w:hAnsi="Arial" w:cs="Arial" w:eastAsia="Arial" w:hint="default"/>
        </w:rPr>
        <w:t>2019 </w:t>
      </w:r>
      <w:r>
        <w:rPr/>
        <w:t>年</w:t>
      </w:r>
      <w:r>
        <w:rPr>
          <w:spacing w:val="-57"/>
        </w:rPr>
        <w:t> </w:t>
      </w:r>
      <w:r>
        <w:rPr>
          <w:rFonts w:ascii="Arial" w:hAnsi="Arial" w:cs="Arial" w:eastAsia="Arial" w:hint="default"/>
        </w:rPr>
        <w:t>12 </w:t>
      </w:r>
      <w:r>
        <w:rPr/>
        <w:t>月</w:t>
      </w:r>
      <w:r>
        <w:rPr>
          <w:spacing w:val="-52"/>
        </w:rPr>
        <w:t> </w:t>
      </w:r>
      <w:r>
        <w:rPr>
          <w:rFonts w:ascii="Arial" w:hAnsi="Arial" w:cs="Arial" w:eastAsia="Arial" w:hint="default"/>
        </w:rPr>
        <w:t>31 </w:t>
      </w:r>
      <w:r>
        <w:rPr>
          <w:spacing w:val="-4"/>
        </w:rPr>
        <w:t>日止年度，未纳入租赁负债计量的可变租赁付款额主要包括为获取铁塔</w:t>
      </w:r>
      <w:r>
        <w:rPr>
          <w:w w:val="100"/>
        </w:rPr>
        <w:t> </w:t>
      </w:r>
      <w:r>
        <w:rPr>
          <w:spacing w:val="-3"/>
        </w:rPr>
        <w:t>资产、通信设备及相关资产使用权利而支付的相关款项，该等款项以使用量或销售额为基础进</w:t>
      </w:r>
      <w:r>
        <w:rPr>
          <w:w w:val="100"/>
        </w:rPr>
        <w:t> </w:t>
      </w:r>
      <w:r>
        <w:rPr/>
        <w:t>行计量，在实际发生时计入当期损益。</w:t>
      </w:r>
    </w:p>
    <w:p>
      <w:pPr>
        <w:spacing w:line="240" w:lineRule="auto" w:before="2"/>
        <w:rPr>
          <w:rFonts w:ascii="宋体" w:hAnsi="宋体" w:cs="宋体" w:eastAsia="宋体" w:hint="default"/>
          <w:sz w:val="19"/>
          <w:szCs w:val="19"/>
        </w:rPr>
      </w:pPr>
    </w:p>
    <w:p>
      <w:pPr>
        <w:pStyle w:val="BodyText"/>
        <w:spacing w:line="232" w:lineRule="auto"/>
        <w:ind w:left="544" w:right="99" w:hanging="418"/>
        <w:jc w:val="both"/>
      </w:pPr>
      <w:r>
        <w:rPr>
          <w:rFonts w:ascii="Arial" w:hAnsi="Arial" w:cs="Arial" w:eastAsia="Arial" w:hint="default"/>
        </w:rPr>
        <w:t>(2)</w:t>
      </w:r>
      <w:r>
        <w:rPr>
          <w:rFonts w:ascii="Arial" w:hAnsi="Arial" w:cs="Arial" w:eastAsia="Arial" w:hint="default"/>
          <w:spacing w:val="42"/>
        </w:rPr>
        <w:t> </w:t>
      </w:r>
      <w:r>
        <w:rPr/>
        <w:t>本集团自</w:t>
      </w:r>
      <w:r>
        <w:rPr>
          <w:spacing w:val="-52"/>
        </w:rPr>
        <w:t> </w:t>
      </w:r>
      <w:r>
        <w:rPr>
          <w:rFonts w:ascii="Arial" w:hAnsi="Arial" w:cs="Arial" w:eastAsia="Arial" w:hint="default"/>
        </w:rPr>
        <w:t>2019</w:t>
      </w:r>
      <w:r>
        <w:rPr>
          <w:rFonts w:ascii="Arial" w:hAnsi="Arial" w:cs="Arial" w:eastAsia="Arial" w:hint="default"/>
          <w:spacing w:val="-1"/>
        </w:rPr>
        <w:t> </w:t>
      </w:r>
      <w:r>
        <w:rPr/>
        <w:t>年</w:t>
      </w:r>
      <w:r>
        <w:rPr>
          <w:spacing w:val="-52"/>
        </w:rPr>
        <w:t> </w:t>
      </w:r>
      <w:r>
        <w:rPr>
          <w:rFonts w:ascii="Arial" w:hAnsi="Arial" w:cs="Arial" w:eastAsia="Arial" w:hint="default"/>
        </w:rPr>
        <w:t>1</w:t>
      </w:r>
      <w:r>
        <w:rPr>
          <w:rFonts w:ascii="Arial" w:hAnsi="Arial" w:cs="Arial" w:eastAsia="Arial" w:hint="default"/>
          <w:spacing w:val="-1"/>
        </w:rPr>
        <w:t> </w:t>
      </w:r>
      <w:r>
        <w:rPr/>
        <w:t>月</w:t>
      </w:r>
      <w:r>
        <w:rPr>
          <w:spacing w:val="-52"/>
        </w:rPr>
        <w:t> </w:t>
      </w:r>
      <w:r>
        <w:rPr>
          <w:rFonts w:ascii="Arial" w:hAnsi="Arial" w:cs="Arial" w:eastAsia="Arial" w:hint="default"/>
        </w:rPr>
        <w:t>1</w:t>
      </w:r>
      <w:r>
        <w:rPr>
          <w:rFonts w:ascii="Arial" w:hAnsi="Arial" w:cs="Arial" w:eastAsia="Arial" w:hint="default"/>
          <w:spacing w:val="-1"/>
        </w:rPr>
        <w:t> </w:t>
      </w:r>
      <w:r>
        <w:rPr>
          <w:spacing w:val="-3"/>
        </w:rPr>
        <w:t>日起执行新租赁准则。首次执行日之前，本集团作为承租人经营租赁</w:t>
      </w:r>
      <w:r>
        <w:rPr>
          <w:w w:val="100"/>
        </w:rPr>
        <w:t> </w:t>
      </w:r>
      <w:r>
        <w:rPr>
          <w:spacing w:val="-3"/>
        </w:rPr>
        <w:t>下的租赁付款额在合并现金流量表中被归类为经营活动。在新租赁准则下，偿还租赁负债本金</w:t>
      </w:r>
      <w:r>
        <w:rPr>
          <w:w w:val="100"/>
        </w:rPr>
        <w:t> </w:t>
      </w:r>
      <w:r>
        <w:rPr>
          <w:spacing w:val="-3"/>
        </w:rPr>
        <w:t>和利息所支付的现金应当计入筹资活动现金流出，选择简化处理方法的短期租赁付款额、低价</w:t>
      </w:r>
      <w:r>
        <w:rPr>
          <w:w w:val="100"/>
        </w:rPr>
        <w:t> </w:t>
      </w:r>
      <w:r>
        <w:rPr/>
        <w:t>值资产租赁付款额以及未纳入租赁负债计量的可变租赁付款额仍计入经营活动现金流出。</w:t>
      </w:r>
    </w:p>
    <w:p>
      <w:pPr>
        <w:spacing w:line="240" w:lineRule="auto" w:before="6"/>
        <w:rPr>
          <w:rFonts w:ascii="宋体" w:hAnsi="宋体" w:cs="宋体" w:eastAsia="宋体" w:hint="default"/>
          <w:sz w:val="22"/>
          <w:szCs w:val="22"/>
        </w:rPr>
      </w:pPr>
    </w:p>
    <w:p>
      <w:pPr>
        <w:pStyle w:val="BodyText"/>
        <w:spacing w:line="240" w:lineRule="auto"/>
        <w:ind w:left="112" w:right="0"/>
        <w:jc w:val="left"/>
        <w:rPr>
          <w:rFonts w:ascii="黑体" w:hAnsi="黑体" w:cs="黑体" w:eastAsia="黑体" w:hint="default"/>
        </w:rPr>
      </w:pPr>
      <w:r>
        <w:rPr>
          <w:rFonts w:ascii="黑体" w:hAnsi="黑体" w:cs="黑体" w:eastAsia="黑体" w:hint="default"/>
        </w:rPr>
        <w:t>六</w:t>
      </w:r>
      <w:r>
        <w:rPr>
          <w:rFonts w:ascii="黑体" w:hAnsi="黑体" w:cs="黑体" w:eastAsia="黑体" w:hint="default"/>
          <w:spacing w:val="92"/>
        </w:rPr>
        <w:t> </w:t>
      </w:r>
      <w:r>
        <w:rPr>
          <w:rFonts w:ascii="黑体" w:hAnsi="黑体" w:cs="黑体" w:eastAsia="黑体" w:hint="default"/>
        </w:rPr>
        <w:t>合并范围的变更</w:t>
      </w:r>
    </w:p>
    <w:p>
      <w:pPr>
        <w:spacing w:line="240" w:lineRule="auto" w:before="1"/>
        <w:rPr>
          <w:rFonts w:ascii="黑体" w:hAnsi="黑体" w:cs="黑体" w:eastAsia="黑体" w:hint="default"/>
          <w:sz w:val="19"/>
          <w:szCs w:val="19"/>
        </w:rPr>
      </w:pPr>
    </w:p>
    <w:p>
      <w:pPr>
        <w:pStyle w:val="BodyText"/>
        <w:spacing w:line="240" w:lineRule="auto"/>
        <w:ind w:left="539" w:right="0"/>
        <w:jc w:val="left"/>
      </w:pPr>
      <w:r>
        <w:rPr/>
        <w:t>除新设若干子公司（附注七</w:t>
      </w:r>
      <w:r>
        <w:rPr>
          <w:rFonts w:ascii="Arial" w:hAnsi="Arial" w:cs="Arial" w:eastAsia="Arial" w:hint="default"/>
        </w:rPr>
        <w:t>(1)(a)</w:t>
      </w:r>
      <w:r>
        <w:rPr/>
        <w:t>）外，</w:t>
      </w:r>
      <w:r>
        <w:rPr>
          <w:rFonts w:ascii="Arial" w:hAnsi="Arial" w:cs="Arial" w:eastAsia="Arial" w:hint="default"/>
        </w:rPr>
        <w:t>2019</w:t>
      </w:r>
      <w:r>
        <w:rPr>
          <w:rFonts w:ascii="Arial" w:hAnsi="Arial" w:cs="Arial" w:eastAsia="Arial" w:hint="default"/>
          <w:spacing w:val="-9"/>
        </w:rPr>
        <w:t> </w:t>
      </w:r>
      <w:r>
        <w:rPr/>
        <w:t>年本集团合并范围未发生变更。</w:t>
      </w:r>
    </w:p>
    <w:p>
      <w:pPr>
        <w:spacing w:after="0" w:line="240" w:lineRule="auto"/>
        <w:jc w:val="left"/>
        <w:sectPr>
          <w:headerReference w:type="default" r:id="rId209"/>
          <w:pgSz w:w="11910" w:h="16840"/>
          <w:pgMar w:header="1188" w:footer="502" w:top="3040" w:bottom="700" w:left="1020" w:right="1300"/>
        </w:sectPr>
      </w:pPr>
    </w:p>
    <w:p>
      <w:pPr>
        <w:spacing w:line="240" w:lineRule="auto" w:before="7"/>
        <w:rPr>
          <w:rFonts w:ascii="宋体" w:hAnsi="宋体" w:cs="宋体" w:eastAsia="宋体" w:hint="default"/>
          <w:sz w:val="16"/>
          <w:szCs w:val="16"/>
        </w:rPr>
      </w:pPr>
    </w:p>
    <w:p>
      <w:pPr>
        <w:pStyle w:val="BodyText"/>
        <w:spacing w:line="240" w:lineRule="auto" w:before="32"/>
        <w:ind w:left="112" w:right="0"/>
        <w:jc w:val="left"/>
        <w:rPr>
          <w:rFonts w:ascii="黑体" w:hAnsi="黑体" w:cs="黑体" w:eastAsia="黑体" w:hint="default"/>
        </w:rPr>
      </w:pPr>
      <w:r>
        <w:rPr>
          <w:rFonts w:ascii="黑体" w:hAnsi="黑体" w:cs="黑体" w:eastAsia="黑体" w:hint="default"/>
        </w:rPr>
        <w:t>七</w:t>
      </w:r>
      <w:r>
        <w:rPr>
          <w:rFonts w:ascii="黑体" w:hAnsi="黑体" w:cs="黑体" w:eastAsia="黑体" w:hint="default"/>
          <w:spacing w:val="89"/>
        </w:rPr>
        <w:t> </w:t>
      </w:r>
      <w:r>
        <w:rPr>
          <w:rFonts w:ascii="黑体" w:hAnsi="黑体" w:cs="黑体" w:eastAsia="黑体" w:hint="default"/>
        </w:rPr>
        <w:t>在其他主体中的权益</w:t>
      </w:r>
    </w:p>
    <w:p>
      <w:pPr>
        <w:spacing w:line="240" w:lineRule="auto" w:before="1"/>
        <w:rPr>
          <w:rFonts w:ascii="黑体" w:hAnsi="黑体" w:cs="黑体" w:eastAsia="黑体" w:hint="default"/>
          <w:sz w:val="19"/>
          <w:szCs w:val="19"/>
        </w:rPr>
      </w:pPr>
    </w:p>
    <w:p>
      <w:pPr>
        <w:pStyle w:val="BodyText"/>
        <w:spacing w:line="240" w:lineRule="auto"/>
        <w:ind w:left="141" w:right="0"/>
        <w:jc w:val="left"/>
      </w:pPr>
      <w:r>
        <w:rPr>
          <w:rFonts w:ascii="Arial" w:hAnsi="Arial" w:cs="Arial" w:eastAsia="Arial" w:hint="default"/>
        </w:rPr>
        <w:t>1</w:t>
      </w:r>
      <w:r>
        <w:rPr/>
        <w:t>、</w:t>
      </w:r>
      <w:r>
        <w:rPr>
          <w:spacing w:val="-58"/>
        </w:rPr>
        <w:t> </w:t>
      </w:r>
      <w:r>
        <w:rPr/>
        <w:t>在子公司中的权益</w:t>
      </w:r>
    </w:p>
    <w:p>
      <w:pPr>
        <w:pStyle w:val="BodyText"/>
        <w:spacing w:line="240" w:lineRule="auto" w:before="167"/>
        <w:ind w:left="112" w:right="0"/>
        <w:jc w:val="left"/>
      </w:pPr>
      <w:r>
        <w:rPr>
          <w:rFonts w:ascii="Arial" w:hAnsi="Arial" w:cs="Arial" w:eastAsia="Arial" w:hint="default"/>
        </w:rPr>
        <w:t>(a) </w:t>
      </w:r>
      <w:r>
        <w:rPr>
          <w:rFonts w:ascii="Arial" w:hAnsi="Arial" w:cs="Arial" w:eastAsia="Arial" w:hint="default"/>
          <w:spacing w:val="31"/>
        </w:rPr>
        <w:t> </w:t>
      </w:r>
      <w:r>
        <w:rPr/>
        <w:t>企业集团的构成</w:t>
      </w:r>
    </w:p>
    <w:p>
      <w:pPr>
        <w:pStyle w:val="BodyText"/>
        <w:spacing w:line="240" w:lineRule="auto" w:before="167"/>
        <w:ind w:left="112" w:right="0"/>
        <w:jc w:val="left"/>
      </w:pPr>
      <w:r>
        <w:rPr>
          <w:rFonts w:ascii="Arial" w:hAnsi="Arial" w:cs="Arial" w:eastAsia="Arial" w:hint="default"/>
        </w:rPr>
        <w:t>(1) </w:t>
      </w:r>
      <w:r>
        <w:rPr>
          <w:rFonts w:ascii="Arial" w:hAnsi="Arial" w:cs="Arial" w:eastAsia="Arial" w:hint="default"/>
          <w:spacing w:val="27"/>
        </w:rPr>
        <w:t> </w:t>
      </w:r>
      <w:r>
        <w:rPr/>
        <w:t>通过设立或投资方式取得的子公司</w:t>
      </w:r>
    </w:p>
    <w:p>
      <w:pPr>
        <w:spacing w:line="240" w:lineRule="auto" w:before="13"/>
        <w:rPr>
          <w:rFonts w:ascii="宋体" w:hAnsi="宋体" w:cs="宋体" w:eastAsia="宋体" w:hint="default"/>
          <w:sz w:val="21"/>
          <w:szCs w:val="21"/>
        </w:rPr>
      </w:pPr>
    </w:p>
    <w:tbl>
      <w:tblPr>
        <w:tblW w:w="0" w:type="auto"/>
        <w:jc w:val="left"/>
        <w:tblInd w:w="131" w:type="dxa"/>
        <w:tblLayout w:type="fixed"/>
        <w:tblCellMar>
          <w:top w:w="0" w:type="dxa"/>
          <w:left w:w="0" w:type="dxa"/>
          <w:bottom w:w="0" w:type="dxa"/>
          <w:right w:w="0" w:type="dxa"/>
        </w:tblCellMar>
        <w:tblLook w:val="01E0"/>
      </w:tblPr>
      <w:tblGrid>
        <w:gridCol w:w="2957"/>
        <w:gridCol w:w="1171"/>
        <w:gridCol w:w="1166"/>
        <w:gridCol w:w="1296"/>
        <w:gridCol w:w="1483"/>
        <w:gridCol w:w="110"/>
        <w:gridCol w:w="393"/>
        <w:gridCol w:w="293"/>
        <w:gridCol w:w="518"/>
      </w:tblGrid>
      <w:tr>
        <w:trPr>
          <w:trHeight w:val="194" w:hRule="exact"/>
        </w:trPr>
        <w:tc>
          <w:tcPr>
            <w:tcW w:w="2957" w:type="dxa"/>
            <w:tcBorders>
              <w:top w:val="nil" w:sz="6" w:space="0" w:color="auto"/>
              <w:left w:val="nil" w:sz="6" w:space="0" w:color="auto"/>
              <w:bottom w:val="single" w:sz="4" w:space="0" w:color="000000"/>
              <w:right w:val="nil" w:sz="6" w:space="0" w:color="auto"/>
            </w:tcBorders>
          </w:tcPr>
          <w:p>
            <w:pPr>
              <w:pStyle w:val="TableParagraph"/>
              <w:spacing w:line="159" w:lineRule="exact"/>
              <w:ind w:left="76" w:right="0"/>
              <w:jc w:val="left"/>
              <w:rPr>
                <w:rFonts w:ascii="宋体" w:hAnsi="宋体" w:cs="宋体" w:eastAsia="宋体" w:hint="default"/>
                <w:sz w:val="16"/>
                <w:szCs w:val="16"/>
              </w:rPr>
            </w:pPr>
            <w:r>
              <w:rPr>
                <w:rFonts w:ascii="宋体" w:hAnsi="宋体" w:cs="宋体" w:eastAsia="宋体" w:hint="default"/>
                <w:sz w:val="16"/>
                <w:szCs w:val="16"/>
              </w:rPr>
              <w:t>子公司名称</w:t>
            </w:r>
          </w:p>
        </w:tc>
        <w:tc>
          <w:tcPr>
            <w:tcW w:w="1171" w:type="dxa"/>
            <w:tcBorders>
              <w:top w:val="nil" w:sz="6" w:space="0" w:color="auto"/>
              <w:left w:val="nil" w:sz="6" w:space="0" w:color="auto"/>
              <w:bottom w:val="single" w:sz="4" w:space="0" w:color="000000"/>
              <w:right w:val="nil" w:sz="6" w:space="0" w:color="auto"/>
            </w:tcBorders>
          </w:tcPr>
          <w:p>
            <w:pPr>
              <w:pStyle w:val="TableParagraph"/>
              <w:spacing w:line="159" w:lineRule="exact"/>
              <w:ind w:left="9" w:right="0"/>
              <w:jc w:val="center"/>
              <w:rPr>
                <w:rFonts w:ascii="宋体" w:hAnsi="宋体" w:cs="宋体" w:eastAsia="宋体" w:hint="default"/>
                <w:sz w:val="16"/>
                <w:szCs w:val="16"/>
              </w:rPr>
            </w:pPr>
            <w:r>
              <w:rPr>
                <w:rFonts w:ascii="宋体" w:hAnsi="宋体" w:cs="宋体" w:eastAsia="宋体" w:hint="default"/>
                <w:sz w:val="16"/>
                <w:szCs w:val="16"/>
              </w:rPr>
              <w:t>主要经营地</w:t>
            </w:r>
          </w:p>
        </w:tc>
        <w:tc>
          <w:tcPr>
            <w:tcW w:w="1166" w:type="dxa"/>
            <w:tcBorders>
              <w:top w:val="nil" w:sz="6" w:space="0" w:color="auto"/>
              <w:left w:val="nil" w:sz="6" w:space="0" w:color="auto"/>
              <w:bottom w:val="single" w:sz="4" w:space="0" w:color="000000"/>
              <w:right w:val="nil" w:sz="6" w:space="0" w:color="auto"/>
            </w:tcBorders>
          </w:tcPr>
          <w:p>
            <w:pPr>
              <w:pStyle w:val="TableParagraph"/>
              <w:spacing w:line="159" w:lineRule="exact"/>
              <w:ind w:left="432" w:right="0"/>
              <w:jc w:val="left"/>
              <w:rPr>
                <w:rFonts w:ascii="宋体" w:hAnsi="宋体" w:cs="宋体" w:eastAsia="宋体" w:hint="default"/>
                <w:sz w:val="16"/>
                <w:szCs w:val="16"/>
              </w:rPr>
            </w:pPr>
            <w:r>
              <w:rPr>
                <w:rFonts w:ascii="宋体" w:hAnsi="宋体" w:cs="宋体" w:eastAsia="宋体" w:hint="default"/>
                <w:sz w:val="16"/>
                <w:szCs w:val="16"/>
              </w:rPr>
              <w:t>注册地</w:t>
            </w:r>
          </w:p>
        </w:tc>
        <w:tc>
          <w:tcPr>
            <w:tcW w:w="1296" w:type="dxa"/>
            <w:tcBorders>
              <w:top w:val="nil" w:sz="6" w:space="0" w:color="auto"/>
              <w:left w:val="nil" w:sz="6" w:space="0" w:color="auto"/>
              <w:bottom w:val="single" w:sz="4" w:space="0" w:color="000000"/>
              <w:right w:val="nil" w:sz="6" w:space="0" w:color="auto"/>
            </w:tcBorders>
          </w:tcPr>
          <w:p>
            <w:pPr>
              <w:pStyle w:val="TableParagraph"/>
              <w:spacing w:line="159" w:lineRule="exact"/>
              <w:ind w:left="398" w:right="0"/>
              <w:jc w:val="left"/>
              <w:rPr>
                <w:rFonts w:ascii="宋体" w:hAnsi="宋体" w:cs="宋体" w:eastAsia="宋体" w:hint="default"/>
                <w:sz w:val="16"/>
                <w:szCs w:val="16"/>
              </w:rPr>
            </w:pPr>
            <w:r>
              <w:rPr>
                <w:rFonts w:ascii="宋体" w:hAnsi="宋体" w:cs="宋体" w:eastAsia="宋体" w:hint="default"/>
                <w:sz w:val="16"/>
                <w:szCs w:val="16"/>
              </w:rPr>
              <w:t>业务性质</w:t>
            </w:r>
          </w:p>
        </w:tc>
        <w:tc>
          <w:tcPr>
            <w:tcW w:w="1483" w:type="dxa"/>
            <w:tcBorders>
              <w:top w:val="nil" w:sz="6" w:space="0" w:color="auto"/>
              <w:left w:val="nil" w:sz="6" w:space="0" w:color="auto"/>
              <w:bottom w:val="single" w:sz="4" w:space="0" w:color="000000"/>
              <w:right w:val="nil" w:sz="6" w:space="0" w:color="auto"/>
            </w:tcBorders>
          </w:tcPr>
          <w:p>
            <w:pPr>
              <w:pStyle w:val="TableParagraph"/>
              <w:spacing w:line="159" w:lineRule="exact"/>
              <w:ind w:left="163" w:right="0"/>
              <w:jc w:val="left"/>
              <w:rPr>
                <w:rFonts w:ascii="宋体" w:hAnsi="宋体" w:cs="宋体" w:eastAsia="宋体" w:hint="default"/>
                <w:sz w:val="16"/>
                <w:szCs w:val="16"/>
              </w:rPr>
            </w:pPr>
            <w:r>
              <w:rPr>
                <w:rFonts w:ascii="宋体" w:hAnsi="宋体" w:cs="宋体" w:eastAsia="宋体" w:hint="default"/>
                <w:sz w:val="16"/>
                <w:szCs w:val="16"/>
              </w:rPr>
              <w:t>注册资本（千元）</w:t>
            </w:r>
          </w:p>
        </w:tc>
        <w:tc>
          <w:tcPr>
            <w:tcW w:w="1315" w:type="dxa"/>
            <w:gridSpan w:val="4"/>
            <w:tcBorders>
              <w:top w:val="nil" w:sz="6" w:space="0" w:color="auto"/>
              <w:left w:val="nil" w:sz="6" w:space="0" w:color="auto"/>
              <w:bottom w:val="single" w:sz="4" w:space="0" w:color="000000"/>
              <w:right w:val="nil" w:sz="6" w:space="0" w:color="auto"/>
            </w:tcBorders>
          </w:tcPr>
          <w:p>
            <w:pPr>
              <w:pStyle w:val="TableParagraph"/>
              <w:spacing w:line="170" w:lineRule="exact"/>
              <w:ind w:left="216" w:right="0"/>
              <w:jc w:val="left"/>
              <w:rPr>
                <w:rFonts w:ascii="Arial" w:hAnsi="Arial" w:cs="Arial" w:eastAsia="Arial" w:hint="default"/>
                <w:sz w:val="16"/>
                <w:szCs w:val="16"/>
              </w:rPr>
            </w:pPr>
            <w:r>
              <w:rPr>
                <w:rFonts w:ascii="宋体" w:hAnsi="宋体" w:cs="宋体" w:eastAsia="宋体" w:hint="default"/>
                <w:sz w:val="16"/>
                <w:szCs w:val="16"/>
              </w:rPr>
              <w:t>持股比例</w:t>
            </w:r>
            <w:r>
              <w:rPr>
                <w:rFonts w:ascii="Arial" w:hAnsi="Arial" w:cs="Arial" w:eastAsia="Arial" w:hint="default"/>
                <w:sz w:val="16"/>
                <w:szCs w:val="16"/>
              </w:rPr>
              <w:t>(%)</w:t>
            </w:r>
          </w:p>
        </w:tc>
      </w:tr>
      <w:tr>
        <w:trPr>
          <w:trHeight w:val="197" w:hRule="exact"/>
        </w:trPr>
        <w:tc>
          <w:tcPr>
            <w:tcW w:w="2957" w:type="dxa"/>
            <w:tcBorders>
              <w:top w:val="single" w:sz="4" w:space="0" w:color="000000"/>
              <w:left w:val="nil" w:sz="6" w:space="0" w:color="auto"/>
              <w:bottom w:val="nil" w:sz="6" w:space="0" w:color="auto"/>
              <w:right w:val="nil" w:sz="6" w:space="0" w:color="auto"/>
            </w:tcBorders>
          </w:tcPr>
          <w:p>
            <w:pPr/>
          </w:p>
        </w:tc>
        <w:tc>
          <w:tcPr>
            <w:tcW w:w="1171" w:type="dxa"/>
            <w:tcBorders>
              <w:top w:val="single" w:sz="4" w:space="0" w:color="000000"/>
              <w:left w:val="nil" w:sz="6" w:space="0" w:color="auto"/>
              <w:bottom w:val="nil" w:sz="6" w:space="0" w:color="auto"/>
              <w:right w:val="nil" w:sz="6" w:space="0" w:color="auto"/>
            </w:tcBorders>
          </w:tcPr>
          <w:p>
            <w:pPr/>
          </w:p>
        </w:tc>
        <w:tc>
          <w:tcPr>
            <w:tcW w:w="1166" w:type="dxa"/>
            <w:tcBorders>
              <w:top w:val="single" w:sz="4" w:space="0" w:color="000000"/>
              <w:left w:val="nil" w:sz="6" w:space="0" w:color="auto"/>
              <w:bottom w:val="nil" w:sz="6" w:space="0" w:color="auto"/>
              <w:right w:val="nil" w:sz="6" w:space="0" w:color="auto"/>
            </w:tcBorders>
          </w:tcPr>
          <w:p>
            <w:pPr/>
          </w:p>
        </w:tc>
        <w:tc>
          <w:tcPr>
            <w:tcW w:w="1296" w:type="dxa"/>
            <w:tcBorders>
              <w:top w:val="single" w:sz="4" w:space="0" w:color="000000"/>
              <w:left w:val="nil" w:sz="6" w:space="0" w:color="auto"/>
              <w:bottom w:val="nil" w:sz="6" w:space="0" w:color="auto"/>
              <w:right w:val="nil" w:sz="6" w:space="0" w:color="auto"/>
            </w:tcBorders>
          </w:tcPr>
          <w:p>
            <w:pPr/>
          </w:p>
        </w:tc>
        <w:tc>
          <w:tcPr>
            <w:tcW w:w="1483" w:type="dxa"/>
            <w:tcBorders>
              <w:top w:val="single" w:sz="4" w:space="0" w:color="000000"/>
              <w:left w:val="nil" w:sz="6" w:space="0" w:color="auto"/>
              <w:bottom w:val="nil" w:sz="6" w:space="0" w:color="auto"/>
              <w:right w:val="nil" w:sz="6" w:space="0" w:color="auto"/>
            </w:tcBorders>
          </w:tcPr>
          <w:p>
            <w:pPr/>
          </w:p>
        </w:tc>
        <w:tc>
          <w:tcPr>
            <w:tcW w:w="110" w:type="dxa"/>
            <w:tcBorders>
              <w:top w:val="single" w:sz="4" w:space="0" w:color="000000"/>
              <w:left w:val="nil" w:sz="6" w:space="0" w:color="auto"/>
              <w:bottom w:val="nil" w:sz="6" w:space="0" w:color="auto"/>
              <w:right w:val="nil" w:sz="6" w:space="0" w:color="auto"/>
            </w:tcBorders>
          </w:tcPr>
          <w:p>
            <w:pPr/>
          </w:p>
        </w:tc>
        <w:tc>
          <w:tcPr>
            <w:tcW w:w="393" w:type="dxa"/>
            <w:tcBorders>
              <w:top w:val="single" w:sz="4" w:space="0" w:color="000000"/>
              <w:left w:val="nil" w:sz="6" w:space="0" w:color="auto"/>
              <w:bottom w:val="single" w:sz="4" w:space="0" w:color="000000"/>
              <w:right w:val="nil" w:sz="6" w:space="0" w:color="auto"/>
            </w:tcBorders>
          </w:tcPr>
          <w:p>
            <w:pPr>
              <w:pStyle w:val="TableParagraph"/>
              <w:spacing w:line="181" w:lineRule="exact"/>
              <w:ind w:right="0"/>
              <w:jc w:val="center"/>
              <w:rPr>
                <w:rFonts w:ascii="宋体" w:hAnsi="宋体" w:cs="宋体" w:eastAsia="宋体" w:hint="default"/>
                <w:sz w:val="16"/>
                <w:szCs w:val="16"/>
              </w:rPr>
            </w:pPr>
            <w:r>
              <w:rPr>
                <w:rFonts w:ascii="宋体" w:hAnsi="宋体" w:cs="宋体" w:eastAsia="宋体" w:hint="default"/>
                <w:sz w:val="16"/>
                <w:szCs w:val="16"/>
              </w:rPr>
              <w:t>直接</w:t>
            </w:r>
          </w:p>
        </w:tc>
        <w:tc>
          <w:tcPr>
            <w:tcW w:w="293" w:type="dxa"/>
            <w:tcBorders>
              <w:top w:val="single" w:sz="4" w:space="0" w:color="000000"/>
              <w:left w:val="nil" w:sz="6" w:space="0" w:color="auto"/>
              <w:bottom w:val="nil" w:sz="6" w:space="0" w:color="auto"/>
              <w:right w:val="nil" w:sz="6" w:space="0" w:color="auto"/>
            </w:tcBorders>
          </w:tcPr>
          <w:p>
            <w:pPr/>
          </w:p>
        </w:tc>
        <w:tc>
          <w:tcPr>
            <w:tcW w:w="518" w:type="dxa"/>
            <w:tcBorders>
              <w:top w:val="single" w:sz="4" w:space="0" w:color="000000"/>
              <w:left w:val="nil" w:sz="6" w:space="0" w:color="auto"/>
              <w:bottom w:val="single" w:sz="4" w:space="0" w:color="000000"/>
              <w:right w:val="nil" w:sz="6" w:space="0" w:color="auto"/>
            </w:tcBorders>
          </w:tcPr>
          <w:p>
            <w:pPr>
              <w:pStyle w:val="TableParagraph"/>
              <w:spacing w:line="181" w:lineRule="exact"/>
              <w:ind w:right="95"/>
              <w:jc w:val="center"/>
              <w:rPr>
                <w:rFonts w:ascii="宋体" w:hAnsi="宋体" w:cs="宋体" w:eastAsia="宋体" w:hint="default"/>
                <w:sz w:val="16"/>
                <w:szCs w:val="16"/>
              </w:rPr>
            </w:pPr>
            <w:r>
              <w:rPr>
                <w:rFonts w:ascii="宋体" w:hAnsi="宋体" w:cs="宋体" w:eastAsia="宋体" w:hint="default"/>
                <w:sz w:val="16"/>
                <w:szCs w:val="16"/>
              </w:rPr>
              <w:t>间接</w:t>
            </w:r>
          </w:p>
        </w:tc>
      </w:tr>
      <w:tr>
        <w:trPr>
          <w:trHeight w:val="461"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200" w:lineRule="exact"/>
              <w:ind w:left="76" w:right="0"/>
              <w:jc w:val="left"/>
              <w:rPr>
                <w:rFonts w:ascii="宋体" w:hAnsi="宋体" w:cs="宋体" w:eastAsia="宋体" w:hint="default"/>
                <w:sz w:val="16"/>
                <w:szCs w:val="16"/>
              </w:rPr>
            </w:pPr>
            <w:r>
              <w:rPr>
                <w:rFonts w:ascii="宋体" w:hAnsi="宋体" w:cs="宋体" w:eastAsia="宋体" w:hint="default"/>
                <w:sz w:val="16"/>
                <w:szCs w:val="16"/>
              </w:rPr>
              <w:t>中国联通</w:t>
            </w:r>
            <w:r>
              <w:rPr>
                <w:rFonts w:ascii="宋体" w:hAnsi="宋体" w:cs="宋体" w:eastAsia="宋体" w:hint="default"/>
                <w:spacing w:val="-44"/>
                <w:sz w:val="16"/>
                <w:szCs w:val="16"/>
              </w:rPr>
              <w:t> </w:t>
            </w:r>
            <w:r>
              <w:rPr>
                <w:rFonts w:ascii="Arial" w:hAnsi="Arial" w:cs="Arial" w:eastAsia="Arial" w:hint="default"/>
                <w:sz w:val="16"/>
                <w:szCs w:val="16"/>
              </w:rPr>
              <w:t>BVI</w:t>
            </w:r>
            <w:r>
              <w:rPr>
                <w:rFonts w:ascii="Arial" w:hAnsi="Arial" w:cs="Arial" w:eastAsia="Arial" w:hint="default"/>
                <w:spacing w:val="-9"/>
                <w:sz w:val="16"/>
                <w:szCs w:val="16"/>
              </w:rPr>
              <w:t> </w:t>
            </w:r>
            <w:r>
              <w:rPr>
                <w:rFonts w:ascii="宋体" w:hAnsi="宋体" w:cs="宋体" w:eastAsia="宋体" w:hint="default"/>
                <w:sz w:val="16"/>
                <w:szCs w:val="16"/>
              </w:rPr>
              <w:t>有限公司</w:t>
            </w:r>
          </w:p>
          <w:p>
            <w:pPr>
              <w:pStyle w:val="TableParagraph"/>
              <w:spacing w:line="214"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w:t>
            </w:r>
            <w:r>
              <w:rPr>
                <w:rFonts w:ascii="宋体" w:hAnsi="宋体" w:cs="宋体" w:eastAsia="宋体" w:hint="default"/>
                <w:spacing w:val="-44"/>
                <w:sz w:val="16"/>
                <w:szCs w:val="16"/>
              </w:rPr>
              <w:t> </w:t>
            </w:r>
            <w:r>
              <w:rPr>
                <w:rFonts w:ascii="Arial" w:hAnsi="Arial" w:cs="Arial" w:eastAsia="Arial" w:hint="default"/>
                <w:sz w:val="16"/>
                <w:szCs w:val="16"/>
              </w:rPr>
              <w:t>BVI</w:t>
            </w:r>
            <w:r>
              <w:rPr>
                <w:rFonts w:ascii="Arial" w:hAnsi="Arial" w:cs="Arial" w:eastAsia="Arial" w:hint="default"/>
                <w:spacing w:val="-9"/>
                <w:sz w:val="16"/>
                <w:szCs w:val="16"/>
              </w:rPr>
              <w:t> </w:t>
            </w:r>
            <w:r>
              <w:rPr>
                <w:rFonts w:ascii="宋体" w:hAnsi="宋体" w:cs="宋体" w:eastAsia="宋体" w:hint="default"/>
                <w:sz w:val="16"/>
                <w:szCs w:val="16"/>
              </w:rPr>
              <w:t>公司”）</w:t>
            </w:r>
          </w:p>
        </w:tc>
        <w:tc>
          <w:tcPr>
            <w:tcW w:w="1171" w:type="dxa"/>
            <w:tcBorders>
              <w:top w:val="nil" w:sz="6" w:space="0" w:color="auto"/>
              <w:left w:val="nil" w:sz="6" w:space="0" w:color="auto"/>
              <w:bottom w:val="nil" w:sz="6" w:space="0" w:color="auto"/>
              <w:right w:val="nil" w:sz="6" w:space="0" w:color="auto"/>
            </w:tcBorders>
          </w:tcPr>
          <w:p>
            <w:pPr>
              <w:pStyle w:val="TableParagraph"/>
              <w:spacing w:line="206" w:lineRule="exact" w:before="8"/>
              <w:ind w:left="172" w:right="199" w:firstLine="81"/>
              <w:jc w:val="left"/>
              <w:rPr>
                <w:rFonts w:ascii="宋体" w:hAnsi="宋体" w:cs="宋体" w:eastAsia="宋体" w:hint="default"/>
                <w:sz w:val="16"/>
                <w:szCs w:val="16"/>
              </w:rPr>
            </w:pPr>
            <w:r>
              <w:rPr>
                <w:rFonts w:ascii="宋体" w:hAnsi="宋体" w:cs="宋体" w:eastAsia="宋体" w:hint="default"/>
                <w:sz w:val="16"/>
                <w:szCs w:val="16"/>
              </w:rPr>
              <w:t>（英属）</w:t>
            </w:r>
            <w:r>
              <w:rPr>
                <w:rFonts w:ascii="宋体" w:hAnsi="宋体" w:cs="宋体" w:eastAsia="宋体" w:hint="default"/>
                <w:w w:val="99"/>
                <w:sz w:val="16"/>
                <w:szCs w:val="16"/>
              </w:rPr>
              <w:t> </w:t>
            </w:r>
            <w:r>
              <w:rPr>
                <w:rFonts w:ascii="宋体" w:hAnsi="宋体" w:cs="宋体" w:eastAsia="宋体" w:hint="default"/>
                <w:w w:val="95"/>
                <w:sz w:val="16"/>
                <w:szCs w:val="16"/>
              </w:rPr>
              <w:t>维尔京群岛</w:t>
            </w:r>
            <w:r>
              <w:rPr>
                <w:rFonts w:ascii="宋体" w:hAnsi="宋体" w:cs="宋体" w:eastAsia="宋体" w:hint="default"/>
                <w:sz w:val="16"/>
                <w:szCs w:val="16"/>
              </w:rPr>
            </w:r>
          </w:p>
        </w:tc>
        <w:tc>
          <w:tcPr>
            <w:tcW w:w="1166" w:type="dxa"/>
            <w:tcBorders>
              <w:top w:val="nil" w:sz="6" w:space="0" w:color="auto"/>
              <w:left w:val="nil" w:sz="6" w:space="0" w:color="auto"/>
              <w:bottom w:val="nil" w:sz="6" w:space="0" w:color="auto"/>
              <w:right w:val="nil" w:sz="6" w:space="0" w:color="auto"/>
            </w:tcBorders>
          </w:tcPr>
          <w:p>
            <w:pPr>
              <w:pStyle w:val="TableParagraph"/>
              <w:spacing w:line="206" w:lineRule="exact" w:before="8"/>
              <w:ind w:left="187" w:right="180" w:firstLine="81"/>
              <w:jc w:val="left"/>
              <w:rPr>
                <w:rFonts w:ascii="宋体" w:hAnsi="宋体" w:cs="宋体" w:eastAsia="宋体" w:hint="default"/>
                <w:sz w:val="16"/>
                <w:szCs w:val="16"/>
              </w:rPr>
            </w:pPr>
            <w:r>
              <w:rPr>
                <w:rFonts w:ascii="宋体" w:hAnsi="宋体" w:cs="宋体" w:eastAsia="宋体" w:hint="default"/>
                <w:sz w:val="16"/>
                <w:szCs w:val="16"/>
              </w:rPr>
              <w:t>（英属）</w:t>
            </w:r>
            <w:r>
              <w:rPr>
                <w:rFonts w:ascii="宋体" w:hAnsi="宋体" w:cs="宋体" w:eastAsia="宋体" w:hint="default"/>
                <w:w w:val="99"/>
                <w:sz w:val="16"/>
                <w:szCs w:val="16"/>
              </w:rPr>
              <w:t> </w:t>
            </w:r>
            <w:r>
              <w:rPr>
                <w:rFonts w:ascii="宋体" w:hAnsi="宋体" w:cs="宋体" w:eastAsia="宋体" w:hint="default"/>
                <w:w w:val="95"/>
                <w:sz w:val="16"/>
                <w:szCs w:val="16"/>
              </w:rPr>
              <w:t>维尔京群岛</w:t>
            </w:r>
            <w:r>
              <w:rPr>
                <w:rFonts w:ascii="宋体" w:hAnsi="宋体" w:cs="宋体" w:eastAsia="宋体" w:hint="default"/>
                <w:sz w:val="16"/>
                <w:szCs w:val="16"/>
              </w:rPr>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45" w:right="0"/>
              <w:jc w:val="left"/>
              <w:rPr>
                <w:rFonts w:ascii="宋体" w:hAnsi="宋体" w:cs="宋体" w:eastAsia="宋体" w:hint="default"/>
                <w:sz w:val="16"/>
                <w:szCs w:val="16"/>
              </w:rPr>
            </w:pPr>
            <w:r>
              <w:rPr>
                <w:rFonts w:ascii="宋体" w:hAnsi="宋体" w:cs="宋体" w:eastAsia="宋体" w:hint="default"/>
                <w:sz w:val="16"/>
                <w:szCs w:val="16"/>
              </w:rPr>
              <w:t>投资控股</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417" w:right="0"/>
              <w:jc w:val="left"/>
              <w:rPr>
                <w:rFonts w:ascii="Arial" w:hAnsi="Arial" w:cs="Arial" w:eastAsia="Arial" w:hint="default"/>
                <w:sz w:val="16"/>
                <w:szCs w:val="16"/>
              </w:rPr>
            </w:pPr>
            <w:r>
              <w:rPr>
                <w:rFonts w:ascii="宋体" w:hAnsi="宋体" w:cs="宋体" w:eastAsia="宋体" w:hint="default"/>
                <w:sz w:val="16"/>
                <w:szCs w:val="16"/>
              </w:rPr>
              <w:t>美元</w:t>
            </w:r>
            <w:r>
              <w:rPr>
                <w:rFonts w:ascii="宋体" w:hAnsi="宋体" w:cs="宋体" w:eastAsia="宋体" w:hint="default"/>
                <w:spacing w:val="-39"/>
                <w:sz w:val="16"/>
                <w:szCs w:val="16"/>
              </w:rPr>
              <w:t> </w:t>
            </w:r>
            <w:r>
              <w:rPr>
                <w:rFonts w:ascii="Arial" w:hAnsi="Arial" w:cs="Arial" w:eastAsia="Arial" w:hint="default"/>
                <w:sz w:val="16"/>
                <w:szCs w:val="16"/>
              </w:rPr>
              <w:t>150</w:t>
            </w:r>
          </w:p>
        </w:tc>
        <w:tc>
          <w:tcPr>
            <w:tcW w:w="110" w:type="dxa"/>
            <w:tcBorders>
              <w:top w:val="nil" w:sz="6" w:space="0" w:color="auto"/>
              <w:left w:val="nil" w:sz="6" w:space="0" w:color="auto"/>
              <w:bottom w:val="nil" w:sz="6" w:space="0" w:color="auto"/>
              <w:right w:val="nil" w:sz="6" w:space="0" w:color="auto"/>
            </w:tcBorders>
          </w:tcPr>
          <w:p>
            <w:pPr/>
          </w:p>
        </w:tc>
        <w:tc>
          <w:tcPr>
            <w:tcW w:w="393"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0"/>
              <w:jc w:val="center"/>
              <w:rPr>
                <w:rFonts w:ascii="Arial" w:hAnsi="Arial" w:cs="Arial" w:eastAsia="Arial" w:hint="default"/>
                <w:sz w:val="16"/>
                <w:szCs w:val="16"/>
              </w:rPr>
            </w:pPr>
            <w:r>
              <w:rPr>
                <w:rFonts w:ascii="Arial"/>
                <w:spacing w:val="-1"/>
                <w:w w:val="95"/>
                <w:sz w:val="16"/>
              </w:rPr>
              <w:t>82.10</w:t>
            </w:r>
            <w:r>
              <w:rPr>
                <w:rFonts w:ascii="Arial"/>
                <w:sz w:val="16"/>
              </w:rPr>
            </w:r>
          </w:p>
        </w:tc>
        <w:tc>
          <w:tcPr>
            <w:tcW w:w="293" w:type="dxa"/>
            <w:tcBorders>
              <w:top w:val="nil" w:sz="6" w:space="0" w:color="auto"/>
              <w:left w:val="nil" w:sz="6" w:space="0" w:color="auto"/>
              <w:bottom w:val="nil" w:sz="6" w:space="0" w:color="auto"/>
              <w:right w:val="nil" w:sz="6" w:space="0" w:color="auto"/>
            </w:tcBorders>
          </w:tcPr>
          <w:p>
            <w:pPr/>
          </w:p>
        </w:tc>
        <w:tc>
          <w:tcPr>
            <w:tcW w:w="518"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89"/>
              <w:jc w:val="center"/>
              <w:rPr>
                <w:rFonts w:ascii="Arial" w:hAnsi="Arial" w:cs="Arial" w:eastAsia="Arial" w:hint="default"/>
                <w:sz w:val="16"/>
                <w:szCs w:val="16"/>
              </w:rPr>
            </w:pPr>
            <w:r>
              <w:rPr>
                <w:rFonts w:ascii="Arial"/>
                <w:w w:val="98"/>
                <w:sz w:val="16"/>
              </w:rPr>
              <w:t>-</w:t>
            </w:r>
            <w:r>
              <w:rPr>
                <w:rFonts w:ascii="Arial"/>
                <w:sz w:val="16"/>
              </w:rPr>
            </w:r>
          </w:p>
        </w:tc>
      </w:tr>
      <w:tr>
        <w:trPr>
          <w:trHeight w:val="475"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194" w:lineRule="exact"/>
              <w:ind w:left="76" w:right="0"/>
              <w:jc w:val="left"/>
              <w:rPr>
                <w:rFonts w:ascii="宋体" w:hAnsi="宋体" w:cs="宋体" w:eastAsia="宋体" w:hint="default"/>
                <w:sz w:val="16"/>
                <w:szCs w:val="16"/>
              </w:rPr>
            </w:pPr>
            <w:r>
              <w:rPr>
                <w:rFonts w:ascii="宋体" w:hAnsi="宋体" w:cs="宋体" w:eastAsia="宋体" w:hint="default"/>
                <w:w w:val="95"/>
                <w:sz w:val="16"/>
                <w:szCs w:val="16"/>
              </w:rPr>
              <w:t>中国联合网络通信（香港）股份有限公司</w:t>
            </w:r>
            <w:r>
              <w:rPr>
                <w:rFonts w:ascii="宋体" w:hAnsi="宋体" w:cs="宋体" w:eastAsia="宋体" w:hint="default"/>
                <w:sz w:val="16"/>
                <w:szCs w:val="16"/>
              </w:rPr>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（“联通红筹公司”）</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87" w:right="0"/>
              <w:jc w:val="left"/>
              <w:rPr>
                <w:rFonts w:ascii="宋体" w:hAnsi="宋体" w:cs="宋体" w:eastAsia="宋体" w:hint="default"/>
                <w:sz w:val="16"/>
                <w:szCs w:val="16"/>
              </w:rPr>
            </w:pPr>
            <w:r>
              <w:rPr>
                <w:rFonts w:ascii="宋体" w:hAnsi="宋体" w:cs="宋体" w:eastAsia="宋体" w:hint="default"/>
                <w:sz w:val="16"/>
                <w:szCs w:val="16"/>
              </w:rPr>
              <w:t>中国，香港</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45" w:right="0"/>
              <w:jc w:val="left"/>
              <w:rPr>
                <w:rFonts w:ascii="宋体" w:hAnsi="宋体" w:cs="宋体" w:eastAsia="宋体" w:hint="default"/>
                <w:sz w:val="16"/>
                <w:szCs w:val="16"/>
              </w:rPr>
            </w:pPr>
            <w:r>
              <w:rPr>
                <w:rFonts w:ascii="宋体" w:hAnsi="宋体" w:cs="宋体" w:eastAsia="宋体" w:hint="default"/>
                <w:sz w:val="16"/>
                <w:szCs w:val="16"/>
              </w:rPr>
              <w:t>投资控股</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494" w:right="0"/>
              <w:jc w:val="left"/>
              <w:rPr>
                <w:rFonts w:ascii="宋体" w:hAnsi="宋体" w:cs="宋体" w:eastAsia="宋体" w:hint="default"/>
                <w:sz w:val="16"/>
                <w:szCs w:val="16"/>
              </w:rPr>
            </w:pPr>
            <w:r>
              <w:rPr>
                <w:rFonts w:ascii="宋体" w:hAnsi="宋体" w:cs="宋体" w:eastAsia="宋体" w:hint="default"/>
                <w:sz w:val="16"/>
                <w:szCs w:val="16"/>
              </w:rPr>
              <w:t>不适用</w:t>
            </w:r>
          </w:p>
        </w:tc>
        <w:tc>
          <w:tcPr>
            <w:tcW w:w="110" w:type="dxa"/>
            <w:tcBorders>
              <w:top w:val="nil" w:sz="6" w:space="0" w:color="auto"/>
              <w:left w:val="nil" w:sz="6" w:space="0" w:color="auto"/>
              <w:bottom w:val="nil" w:sz="6" w:space="0" w:color="auto"/>
              <w:right w:val="nil" w:sz="6" w:space="0" w:color="auto"/>
            </w:tcBorders>
          </w:tcPr>
          <w:p>
            <w:pPr/>
          </w:p>
        </w:tc>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5" w:right="0"/>
              <w:jc w:val="center"/>
              <w:rPr>
                <w:rFonts w:ascii="Arial" w:hAnsi="Arial" w:cs="Arial" w:eastAsia="Arial" w:hint="default"/>
                <w:sz w:val="16"/>
                <w:szCs w:val="16"/>
              </w:rPr>
            </w:pPr>
            <w:r>
              <w:rPr>
                <w:rFonts w:ascii="Arial"/>
                <w:w w:val="98"/>
                <w:sz w:val="16"/>
              </w:rPr>
              <w:t>-</w:t>
            </w:r>
            <w:r>
              <w:rPr>
                <w:rFonts w:ascii="Arial"/>
                <w:sz w:val="16"/>
              </w:rPr>
            </w:r>
          </w:p>
        </w:tc>
        <w:tc>
          <w:tcPr>
            <w:tcW w:w="293" w:type="dxa"/>
            <w:tcBorders>
              <w:top w:val="nil" w:sz="6" w:space="0" w:color="auto"/>
              <w:left w:val="nil" w:sz="6" w:space="0" w:color="auto"/>
              <w:bottom w:val="nil" w:sz="6" w:space="0" w:color="auto"/>
              <w:right w:val="nil" w:sz="6" w:space="0" w:color="auto"/>
            </w:tcBorders>
          </w:tcPr>
          <w:p>
            <w:pP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23"/>
              <w:jc w:val="center"/>
              <w:rPr>
                <w:rFonts w:ascii="Arial" w:hAnsi="Arial" w:cs="Arial" w:eastAsia="Arial" w:hint="default"/>
                <w:sz w:val="16"/>
                <w:szCs w:val="16"/>
              </w:rPr>
            </w:pPr>
            <w:r>
              <w:rPr>
                <w:rFonts w:ascii="Arial"/>
                <w:spacing w:val="-1"/>
                <w:w w:val="95"/>
                <w:sz w:val="16"/>
              </w:rPr>
              <w:t>43.94</w:t>
            </w:r>
            <w:r>
              <w:rPr>
                <w:rFonts w:ascii="Arial"/>
                <w:sz w:val="16"/>
              </w:rPr>
            </w:r>
          </w:p>
        </w:tc>
      </w:tr>
      <w:tr>
        <w:trPr>
          <w:trHeight w:val="475"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中国联合网络通信有限公司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（“联通运营公司”）</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45" w:right="0"/>
              <w:jc w:val="left"/>
              <w:rPr>
                <w:rFonts w:ascii="宋体" w:hAnsi="宋体" w:cs="宋体" w:eastAsia="宋体" w:hint="default"/>
                <w:sz w:val="16"/>
                <w:szCs w:val="16"/>
              </w:rPr>
            </w:pPr>
            <w:r>
              <w:rPr>
                <w:rFonts w:ascii="宋体" w:hAnsi="宋体" w:cs="宋体" w:eastAsia="宋体" w:hint="default"/>
                <w:sz w:val="16"/>
                <w:szCs w:val="16"/>
              </w:rPr>
              <w:t>电信业务</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87" w:right="0"/>
              <w:jc w:val="left"/>
              <w:rPr>
                <w:rFonts w:ascii="Arial" w:hAnsi="Arial" w:cs="Arial" w:eastAsia="Arial" w:hint="default"/>
                <w:sz w:val="16"/>
                <w:szCs w:val="16"/>
              </w:rPr>
            </w:pPr>
            <w:r>
              <w:rPr>
                <w:rFonts w:ascii="Arial"/>
                <w:sz w:val="16"/>
              </w:rPr>
              <w:t>213,044,798</w:t>
            </w:r>
          </w:p>
        </w:tc>
        <w:tc>
          <w:tcPr>
            <w:tcW w:w="110" w:type="dxa"/>
            <w:tcBorders>
              <w:top w:val="nil" w:sz="6" w:space="0" w:color="auto"/>
              <w:left w:val="nil" w:sz="6" w:space="0" w:color="auto"/>
              <w:bottom w:val="nil" w:sz="6" w:space="0" w:color="auto"/>
              <w:right w:val="nil" w:sz="6" w:space="0" w:color="auto"/>
            </w:tcBorders>
          </w:tcPr>
          <w:p>
            <w:pPr/>
          </w:p>
        </w:tc>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5" w:right="0"/>
              <w:jc w:val="center"/>
              <w:rPr>
                <w:rFonts w:ascii="Arial" w:hAnsi="Arial" w:cs="Arial" w:eastAsia="Arial" w:hint="default"/>
                <w:sz w:val="16"/>
                <w:szCs w:val="16"/>
              </w:rPr>
            </w:pPr>
            <w:r>
              <w:rPr>
                <w:rFonts w:ascii="Arial"/>
                <w:w w:val="98"/>
                <w:sz w:val="16"/>
              </w:rPr>
              <w:t>-</w:t>
            </w:r>
            <w:r>
              <w:rPr>
                <w:rFonts w:ascii="Arial"/>
                <w:sz w:val="16"/>
              </w:rPr>
            </w:r>
          </w:p>
        </w:tc>
        <w:tc>
          <w:tcPr>
            <w:tcW w:w="293" w:type="dxa"/>
            <w:tcBorders>
              <w:top w:val="nil" w:sz="6" w:space="0" w:color="auto"/>
              <w:left w:val="nil" w:sz="6" w:space="0" w:color="auto"/>
              <w:bottom w:val="nil" w:sz="6" w:space="0" w:color="auto"/>
              <w:right w:val="nil" w:sz="6" w:space="0" w:color="auto"/>
            </w:tcBorders>
          </w:tcPr>
          <w:p>
            <w:pP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4"/>
              <w:jc w:val="center"/>
              <w:rPr>
                <w:rFonts w:ascii="Arial" w:hAnsi="Arial" w:cs="Arial" w:eastAsia="Arial" w:hint="default"/>
                <w:sz w:val="16"/>
                <w:szCs w:val="16"/>
              </w:rPr>
            </w:pPr>
            <w:r>
              <w:rPr>
                <w:rFonts w:ascii="Arial"/>
                <w:sz w:val="16"/>
              </w:rPr>
              <w:t>43.94</w:t>
            </w:r>
          </w:p>
        </w:tc>
      </w:tr>
      <w:tr>
        <w:trPr>
          <w:trHeight w:val="461"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194"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联通华盛通信有限公司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（“联通华盛”）</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05"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82" w:right="0"/>
              <w:jc w:val="left"/>
              <w:rPr>
                <w:rFonts w:ascii="宋体" w:hAnsi="宋体" w:cs="宋体" w:eastAsia="宋体" w:hint="default"/>
                <w:sz w:val="16"/>
                <w:szCs w:val="16"/>
              </w:rPr>
            </w:pPr>
            <w:r>
              <w:rPr>
                <w:rFonts w:ascii="宋体" w:hAnsi="宋体" w:cs="宋体" w:eastAsia="宋体" w:hint="default"/>
                <w:sz w:val="16"/>
                <w:szCs w:val="16"/>
              </w:rPr>
              <w:t>通信终端销售</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446" w:right="0"/>
              <w:jc w:val="left"/>
              <w:rPr>
                <w:rFonts w:ascii="Arial" w:hAnsi="Arial" w:cs="Arial" w:eastAsia="Arial" w:hint="default"/>
                <w:sz w:val="16"/>
                <w:szCs w:val="16"/>
              </w:rPr>
            </w:pPr>
            <w:r>
              <w:rPr>
                <w:rFonts w:ascii="Arial"/>
                <w:sz w:val="16"/>
              </w:rPr>
              <w:t>610,527</w:t>
            </w:r>
          </w:p>
        </w:tc>
        <w:tc>
          <w:tcPr>
            <w:tcW w:w="110" w:type="dxa"/>
            <w:tcBorders>
              <w:top w:val="nil" w:sz="6" w:space="0" w:color="auto"/>
              <w:left w:val="nil" w:sz="6" w:space="0" w:color="auto"/>
              <w:bottom w:val="nil" w:sz="6" w:space="0" w:color="auto"/>
              <w:right w:val="nil" w:sz="6" w:space="0" w:color="auto"/>
            </w:tcBorders>
          </w:tcPr>
          <w:p>
            <w:pPr/>
          </w:p>
        </w:tc>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5" w:right="0"/>
              <w:jc w:val="center"/>
              <w:rPr>
                <w:rFonts w:ascii="Arial" w:hAnsi="Arial" w:cs="Arial" w:eastAsia="Arial" w:hint="default"/>
                <w:sz w:val="16"/>
                <w:szCs w:val="16"/>
              </w:rPr>
            </w:pPr>
            <w:r>
              <w:rPr>
                <w:rFonts w:ascii="Arial"/>
                <w:w w:val="98"/>
                <w:sz w:val="16"/>
              </w:rPr>
              <w:t>-</w:t>
            </w:r>
            <w:r>
              <w:rPr>
                <w:rFonts w:ascii="Arial"/>
                <w:sz w:val="16"/>
              </w:rPr>
            </w:r>
          </w:p>
        </w:tc>
        <w:tc>
          <w:tcPr>
            <w:tcW w:w="293" w:type="dxa"/>
            <w:tcBorders>
              <w:top w:val="nil" w:sz="6" w:space="0" w:color="auto"/>
              <w:left w:val="nil" w:sz="6" w:space="0" w:color="auto"/>
              <w:bottom w:val="nil" w:sz="6" w:space="0" w:color="auto"/>
              <w:right w:val="nil" w:sz="6" w:space="0" w:color="auto"/>
            </w:tcBorders>
          </w:tcPr>
          <w:p>
            <w:pP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4"/>
              <w:jc w:val="center"/>
              <w:rPr>
                <w:rFonts w:ascii="Arial" w:hAnsi="Arial" w:cs="Arial" w:eastAsia="Arial" w:hint="default"/>
                <w:sz w:val="16"/>
                <w:szCs w:val="16"/>
              </w:rPr>
            </w:pPr>
            <w:r>
              <w:rPr>
                <w:rFonts w:ascii="Arial"/>
                <w:sz w:val="16"/>
              </w:rPr>
              <w:t>43.94</w:t>
            </w:r>
          </w:p>
        </w:tc>
      </w:tr>
      <w:tr>
        <w:trPr>
          <w:trHeight w:val="463"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194"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联通支付有限公司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（“联通支付”）</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05"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05" w:right="0"/>
              <w:jc w:val="left"/>
              <w:rPr>
                <w:rFonts w:ascii="宋体" w:hAnsi="宋体" w:cs="宋体" w:eastAsia="宋体" w:hint="default"/>
                <w:sz w:val="16"/>
                <w:szCs w:val="16"/>
              </w:rPr>
            </w:pPr>
            <w:r>
              <w:rPr>
                <w:rFonts w:ascii="宋体" w:hAnsi="宋体" w:cs="宋体" w:eastAsia="宋体" w:hint="default"/>
                <w:sz w:val="16"/>
                <w:szCs w:val="16"/>
              </w:rPr>
              <w:t>第三方移动支付</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446" w:right="0"/>
              <w:jc w:val="left"/>
              <w:rPr>
                <w:rFonts w:ascii="Arial" w:hAnsi="Arial" w:cs="Arial" w:eastAsia="Arial" w:hint="default"/>
                <w:sz w:val="16"/>
                <w:szCs w:val="16"/>
              </w:rPr>
            </w:pPr>
            <w:r>
              <w:rPr>
                <w:rFonts w:ascii="Arial"/>
                <w:sz w:val="16"/>
              </w:rPr>
              <w:t>250,000</w:t>
            </w:r>
          </w:p>
        </w:tc>
        <w:tc>
          <w:tcPr>
            <w:tcW w:w="110" w:type="dxa"/>
            <w:tcBorders>
              <w:top w:val="nil" w:sz="6" w:space="0" w:color="auto"/>
              <w:left w:val="nil" w:sz="6" w:space="0" w:color="auto"/>
              <w:bottom w:val="nil" w:sz="6" w:space="0" w:color="auto"/>
              <w:right w:val="nil" w:sz="6" w:space="0" w:color="auto"/>
            </w:tcBorders>
          </w:tcPr>
          <w:p>
            <w:pPr/>
          </w:p>
        </w:tc>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5" w:right="0"/>
              <w:jc w:val="center"/>
              <w:rPr>
                <w:rFonts w:ascii="Arial" w:hAnsi="Arial" w:cs="Arial" w:eastAsia="Arial" w:hint="default"/>
                <w:sz w:val="16"/>
                <w:szCs w:val="16"/>
              </w:rPr>
            </w:pPr>
            <w:r>
              <w:rPr>
                <w:rFonts w:ascii="Arial"/>
                <w:w w:val="98"/>
                <w:sz w:val="16"/>
              </w:rPr>
              <w:t>-</w:t>
            </w:r>
            <w:r>
              <w:rPr>
                <w:rFonts w:ascii="Arial"/>
                <w:sz w:val="16"/>
              </w:rPr>
            </w:r>
          </w:p>
        </w:tc>
        <w:tc>
          <w:tcPr>
            <w:tcW w:w="293" w:type="dxa"/>
            <w:tcBorders>
              <w:top w:val="nil" w:sz="6" w:space="0" w:color="auto"/>
              <w:left w:val="nil" w:sz="6" w:space="0" w:color="auto"/>
              <w:bottom w:val="nil" w:sz="6" w:space="0" w:color="auto"/>
              <w:right w:val="nil" w:sz="6" w:space="0" w:color="auto"/>
            </w:tcBorders>
          </w:tcPr>
          <w:p>
            <w:pP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4"/>
              <w:jc w:val="center"/>
              <w:rPr>
                <w:rFonts w:ascii="Arial" w:hAnsi="Arial" w:cs="Arial" w:eastAsia="Arial" w:hint="default"/>
                <w:sz w:val="16"/>
                <w:szCs w:val="16"/>
              </w:rPr>
            </w:pPr>
            <w:r>
              <w:rPr>
                <w:rFonts w:ascii="Arial"/>
                <w:sz w:val="16"/>
              </w:rPr>
              <w:t>43.94</w:t>
            </w:r>
          </w:p>
        </w:tc>
      </w:tr>
      <w:tr>
        <w:trPr>
          <w:trHeight w:val="468"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19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联通云数据有限公司</w:t>
            </w:r>
          </w:p>
          <w:p>
            <w:pPr>
              <w:pStyle w:val="TableParagraph"/>
              <w:spacing w:line="240" w:lineRule="auto" w:before="2"/>
              <w:ind w:left="76" w:right="0"/>
              <w:jc w:val="left"/>
              <w:rPr>
                <w:rFonts w:ascii="宋体" w:hAnsi="宋体" w:cs="宋体" w:eastAsia="宋体" w:hint="default"/>
                <w:sz w:val="16"/>
                <w:szCs w:val="16"/>
              </w:rPr>
            </w:pPr>
            <w:r>
              <w:rPr>
                <w:rFonts w:ascii="宋体" w:hAnsi="宋体" w:cs="宋体" w:eastAsia="宋体" w:hint="default"/>
                <w:sz w:val="16"/>
                <w:szCs w:val="16"/>
              </w:rPr>
              <w:t>（“联通云数据”）</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23"/>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1296" w:type="dxa"/>
            <w:tcBorders>
              <w:top w:val="nil" w:sz="6" w:space="0" w:color="auto"/>
              <w:left w:val="nil" w:sz="6" w:space="0" w:color="auto"/>
              <w:bottom w:val="nil" w:sz="6" w:space="0" w:color="auto"/>
              <w:right w:val="nil" w:sz="6" w:space="0" w:color="auto"/>
            </w:tcBorders>
          </w:tcPr>
          <w:p>
            <w:pPr>
              <w:pStyle w:val="TableParagraph"/>
              <w:spacing w:line="212" w:lineRule="exact" w:before="6"/>
              <w:ind w:left="264" w:right="74" w:hanging="159"/>
              <w:jc w:val="left"/>
              <w:rPr>
                <w:rFonts w:ascii="宋体" w:hAnsi="宋体" w:cs="宋体" w:eastAsia="宋体" w:hint="default"/>
                <w:sz w:val="16"/>
                <w:szCs w:val="16"/>
              </w:rPr>
            </w:pPr>
            <w:r>
              <w:rPr>
                <w:rFonts w:ascii="宋体" w:hAnsi="宋体" w:cs="宋体" w:eastAsia="宋体" w:hint="default"/>
                <w:w w:val="95"/>
                <w:sz w:val="16"/>
                <w:szCs w:val="16"/>
              </w:rPr>
              <w:t>技术开发、转让</w:t>
            </w:r>
            <w:r>
              <w:rPr>
                <w:rFonts w:ascii="宋体" w:hAnsi="宋体" w:cs="宋体" w:eastAsia="宋体" w:hint="default"/>
                <w:spacing w:val="-28"/>
                <w:w w:val="95"/>
                <w:sz w:val="16"/>
                <w:szCs w:val="16"/>
              </w:rPr>
              <w:t> </w:t>
            </w:r>
            <w:r>
              <w:rPr>
                <w:rFonts w:ascii="宋体" w:hAnsi="宋体" w:cs="宋体" w:eastAsia="宋体" w:hint="default"/>
                <w:spacing w:val="-28"/>
                <w:w w:val="95"/>
                <w:sz w:val="16"/>
                <w:szCs w:val="16"/>
              </w:rPr>
            </w:r>
            <w:r>
              <w:rPr>
                <w:rFonts w:ascii="宋体" w:hAnsi="宋体" w:cs="宋体" w:eastAsia="宋体" w:hint="default"/>
                <w:sz w:val="16"/>
                <w:szCs w:val="16"/>
              </w:rPr>
              <w:t>及咨询服务</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379" w:right="0"/>
              <w:jc w:val="left"/>
              <w:rPr>
                <w:rFonts w:ascii="Arial" w:hAnsi="Arial" w:cs="Arial" w:eastAsia="Arial" w:hint="default"/>
                <w:sz w:val="16"/>
                <w:szCs w:val="16"/>
              </w:rPr>
            </w:pPr>
            <w:r>
              <w:rPr>
                <w:rFonts w:ascii="Arial"/>
                <w:sz w:val="16"/>
              </w:rPr>
              <w:t>2,854,851</w:t>
            </w:r>
          </w:p>
        </w:tc>
        <w:tc>
          <w:tcPr>
            <w:tcW w:w="110" w:type="dxa"/>
            <w:tcBorders>
              <w:top w:val="nil" w:sz="6" w:space="0" w:color="auto"/>
              <w:left w:val="nil" w:sz="6" w:space="0" w:color="auto"/>
              <w:bottom w:val="nil" w:sz="6" w:space="0" w:color="auto"/>
              <w:right w:val="nil" w:sz="6" w:space="0" w:color="auto"/>
            </w:tcBorders>
          </w:tcPr>
          <w:p>
            <w:pPr/>
          </w:p>
        </w:tc>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5" w:right="0"/>
              <w:jc w:val="center"/>
              <w:rPr>
                <w:rFonts w:ascii="Arial" w:hAnsi="Arial" w:cs="Arial" w:eastAsia="Arial" w:hint="default"/>
                <w:sz w:val="16"/>
                <w:szCs w:val="16"/>
              </w:rPr>
            </w:pPr>
            <w:r>
              <w:rPr>
                <w:rFonts w:ascii="Arial"/>
                <w:w w:val="98"/>
                <w:sz w:val="16"/>
              </w:rPr>
              <w:t>-</w:t>
            </w:r>
            <w:r>
              <w:rPr>
                <w:rFonts w:ascii="Arial"/>
                <w:sz w:val="16"/>
              </w:rPr>
            </w:r>
          </w:p>
        </w:tc>
        <w:tc>
          <w:tcPr>
            <w:tcW w:w="293" w:type="dxa"/>
            <w:tcBorders>
              <w:top w:val="nil" w:sz="6" w:space="0" w:color="auto"/>
              <w:left w:val="nil" w:sz="6" w:space="0" w:color="auto"/>
              <w:bottom w:val="nil" w:sz="6" w:space="0" w:color="auto"/>
              <w:right w:val="nil" w:sz="6" w:space="0" w:color="auto"/>
            </w:tcBorders>
          </w:tcPr>
          <w:p>
            <w:pP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4"/>
              <w:jc w:val="center"/>
              <w:rPr>
                <w:rFonts w:ascii="Arial" w:hAnsi="Arial" w:cs="Arial" w:eastAsia="Arial" w:hint="default"/>
                <w:sz w:val="16"/>
                <w:szCs w:val="16"/>
              </w:rPr>
            </w:pPr>
            <w:r>
              <w:rPr>
                <w:rFonts w:ascii="Arial"/>
                <w:sz w:val="16"/>
              </w:rPr>
              <w:t>43.94</w:t>
            </w:r>
          </w:p>
        </w:tc>
      </w:tr>
      <w:tr>
        <w:trPr>
          <w:trHeight w:val="466"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199" w:lineRule="exact"/>
              <w:ind w:left="76" w:right="0"/>
              <w:jc w:val="left"/>
              <w:rPr>
                <w:rFonts w:ascii="宋体" w:hAnsi="宋体" w:cs="宋体" w:eastAsia="宋体" w:hint="default"/>
                <w:sz w:val="16"/>
                <w:szCs w:val="16"/>
              </w:rPr>
            </w:pPr>
            <w:r>
              <w:rPr>
                <w:rFonts w:ascii="宋体" w:hAnsi="宋体" w:cs="宋体" w:eastAsia="宋体" w:hint="default"/>
                <w:sz w:val="16"/>
                <w:szCs w:val="16"/>
              </w:rPr>
              <w:t>中国联通（缅甸）运营有限公司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（“联通缅甸运营”）</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26"/>
              <w:jc w:val="center"/>
              <w:rPr>
                <w:rFonts w:ascii="宋体" w:hAnsi="宋体" w:cs="宋体" w:eastAsia="宋体" w:hint="default"/>
                <w:sz w:val="16"/>
                <w:szCs w:val="16"/>
              </w:rPr>
            </w:pPr>
            <w:r>
              <w:rPr>
                <w:rFonts w:ascii="宋体" w:hAnsi="宋体" w:cs="宋体" w:eastAsia="宋体" w:hint="default"/>
                <w:sz w:val="16"/>
                <w:szCs w:val="16"/>
              </w:rPr>
              <w:t>缅甸</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6"/>
                <w:szCs w:val="16"/>
              </w:rPr>
            </w:pPr>
            <w:r>
              <w:rPr>
                <w:rFonts w:ascii="宋体" w:hAnsi="宋体" w:cs="宋体" w:eastAsia="宋体" w:hint="default"/>
                <w:sz w:val="16"/>
                <w:szCs w:val="16"/>
              </w:rPr>
              <w:t>缅甸</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182" w:right="0"/>
              <w:jc w:val="left"/>
              <w:rPr>
                <w:rFonts w:ascii="宋体" w:hAnsi="宋体" w:cs="宋体" w:eastAsia="宋体" w:hint="default"/>
                <w:sz w:val="16"/>
                <w:szCs w:val="16"/>
              </w:rPr>
            </w:pPr>
            <w:r>
              <w:rPr>
                <w:rFonts w:ascii="宋体" w:hAnsi="宋体" w:cs="宋体" w:eastAsia="宋体" w:hint="default"/>
                <w:sz w:val="16"/>
                <w:szCs w:val="16"/>
              </w:rPr>
              <w:t>通信技术培训</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355" w:right="0"/>
              <w:jc w:val="left"/>
              <w:rPr>
                <w:rFonts w:ascii="Arial" w:hAnsi="Arial" w:cs="Arial" w:eastAsia="Arial" w:hint="default"/>
                <w:sz w:val="16"/>
                <w:szCs w:val="16"/>
              </w:rPr>
            </w:pPr>
            <w:r>
              <w:rPr>
                <w:rFonts w:ascii="宋体" w:hAnsi="宋体" w:cs="宋体" w:eastAsia="宋体" w:hint="default"/>
                <w:sz w:val="16"/>
                <w:szCs w:val="16"/>
              </w:rPr>
              <w:t>美元</w:t>
            </w:r>
            <w:r>
              <w:rPr>
                <w:rFonts w:ascii="宋体" w:hAnsi="宋体" w:cs="宋体" w:eastAsia="宋体" w:hint="default"/>
                <w:spacing w:val="-49"/>
                <w:sz w:val="16"/>
                <w:szCs w:val="16"/>
              </w:rPr>
              <w:t> </w:t>
            </w:r>
            <w:r>
              <w:rPr>
                <w:rFonts w:ascii="Arial" w:hAnsi="Arial" w:cs="Arial" w:eastAsia="Arial" w:hint="default"/>
                <w:sz w:val="16"/>
                <w:szCs w:val="16"/>
              </w:rPr>
              <w:t>2,150</w:t>
            </w:r>
          </w:p>
        </w:tc>
        <w:tc>
          <w:tcPr>
            <w:tcW w:w="110" w:type="dxa"/>
            <w:tcBorders>
              <w:top w:val="nil" w:sz="6" w:space="0" w:color="auto"/>
              <w:left w:val="nil" w:sz="6" w:space="0" w:color="auto"/>
              <w:bottom w:val="nil" w:sz="6" w:space="0" w:color="auto"/>
              <w:right w:val="nil" w:sz="6" w:space="0" w:color="auto"/>
            </w:tcBorders>
          </w:tcPr>
          <w:p>
            <w:pPr/>
          </w:p>
        </w:tc>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 w:right="0"/>
              <w:jc w:val="center"/>
              <w:rPr>
                <w:rFonts w:ascii="Arial" w:hAnsi="Arial" w:cs="Arial" w:eastAsia="Arial" w:hint="default"/>
                <w:sz w:val="16"/>
                <w:szCs w:val="16"/>
              </w:rPr>
            </w:pPr>
            <w:r>
              <w:rPr>
                <w:rFonts w:ascii="Arial"/>
                <w:w w:val="98"/>
                <w:sz w:val="16"/>
              </w:rPr>
              <w:t>-</w:t>
            </w:r>
            <w:r>
              <w:rPr>
                <w:rFonts w:ascii="Arial"/>
                <w:sz w:val="16"/>
              </w:rPr>
            </w:r>
          </w:p>
        </w:tc>
        <w:tc>
          <w:tcPr>
            <w:tcW w:w="293" w:type="dxa"/>
            <w:tcBorders>
              <w:top w:val="nil" w:sz="6" w:space="0" w:color="auto"/>
              <w:left w:val="nil" w:sz="6" w:space="0" w:color="auto"/>
              <w:bottom w:val="nil" w:sz="6" w:space="0" w:color="auto"/>
              <w:right w:val="nil" w:sz="6" w:space="0" w:color="auto"/>
            </w:tcBorders>
          </w:tcPr>
          <w:p>
            <w:pP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4"/>
              <w:jc w:val="center"/>
              <w:rPr>
                <w:rFonts w:ascii="Arial" w:hAnsi="Arial" w:cs="Arial" w:eastAsia="Arial" w:hint="default"/>
                <w:sz w:val="16"/>
                <w:szCs w:val="16"/>
              </w:rPr>
            </w:pPr>
            <w:r>
              <w:rPr>
                <w:rFonts w:ascii="Arial"/>
                <w:sz w:val="16"/>
              </w:rPr>
              <w:t>43.94</w:t>
            </w:r>
          </w:p>
        </w:tc>
      </w:tr>
      <w:tr>
        <w:trPr>
          <w:trHeight w:val="461"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194" w:lineRule="exact"/>
              <w:ind w:left="76" w:right="0"/>
              <w:jc w:val="left"/>
              <w:rPr>
                <w:rFonts w:ascii="宋体" w:hAnsi="宋体" w:cs="宋体" w:eastAsia="宋体" w:hint="default"/>
                <w:sz w:val="16"/>
                <w:szCs w:val="16"/>
              </w:rPr>
            </w:pPr>
            <w:r>
              <w:rPr>
                <w:rFonts w:ascii="宋体" w:hAnsi="宋体" w:cs="宋体" w:eastAsia="宋体" w:hint="default"/>
                <w:sz w:val="16"/>
                <w:szCs w:val="16"/>
              </w:rPr>
              <w:t>中国联通（新加坡）运营有限公司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（“联通新加坡运营”）</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center"/>
              <w:rPr>
                <w:rFonts w:ascii="宋体" w:hAnsi="宋体" w:cs="宋体" w:eastAsia="宋体" w:hint="default"/>
                <w:sz w:val="16"/>
                <w:szCs w:val="16"/>
              </w:rPr>
            </w:pPr>
            <w:r>
              <w:rPr>
                <w:rFonts w:ascii="宋体" w:hAnsi="宋体" w:cs="宋体" w:eastAsia="宋体" w:hint="default"/>
                <w:sz w:val="16"/>
                <w:szCs w:val="16"/>
              </w:rPr>
              <w:t>新加坡</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45" w:right="0"/>
              <w:jc w:val="left"/>
              <w:rPr>
                <w:rFonts w:ascii="宋体" w:hAnsi="宋体" w:cs="宋体" w:eastAsia="宋体" w:hint="default"/>
                <w:sz w:val="16"/>
                <w:szCs w:val="16"/>
              </w:rPr>
            </w:pPr>
            <w:r>
              <w:rPr>
                <w:rFonts w:ascii="宋体" w:hAnsi="宋体" w:cs="宋体" w:eastAsia="宋体" w:hint="default"/>
                <w:sz w:val="16"/>
                <w:szCs w:val="16"/>
              </w:rPr>
              <w:t>新加坡</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45" w:right="0"/>
              <w:jc w:val="left"/>
              <w:rPr>
                <w:rFonts w:ascii="宋体" w:hAnsi="宋体" w:cs="宋体" w:eastAsia="宋体" w:hint="default"/>
                <w:sz w:val="16"/>
                <w:szCs w:val="16"/>
              </w:rPr>
            </w:pPr>
            <w:r>
              <w:rPr>
                <w:rFonts w:ascii="宋体" w:hAnsi="宋体" w:cs="宋体" w:eastAsia="宋体" w:hint="default"/>
                <w:sz w:val="16"/>
                <w:szCs w:val="16"/>
              </w:rPr>
              <w:t>电信业务</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55" w:right="0"/>
              <w:jc w:val="left"/>
              <w:rPr>
                <w:rFonts w:ascii="Arial" w:hAnsi="Arial" w:cs="Arial" w:eastAsia="Arial" w:hint="default"/>
                <w:sz w:val="16"/>
                <w:szCs w:val="16"/>
              </w:rPr>
            </w:pPr>
            <w:r>
              <w:rPr>
                <w:rFonts w:ascii="宋体" w:hAnsi="宋体" w:cs="宋体" w:eastAsia="宋体" w:hint="default"/>
                <w:sz w:val="16"/>
                <w:szCs w:val="16"/>
              </w:rPr>
              <w:t>美元</w:t>
            </w:r>
            <w:r>
              <w:rPr>
                <w:rFonts w:ascii="宋体" w:hAnsi="宋体" w:cs="宋体" w:eastAsia="宋体" w:hint="default"/>
                <w:spacing w:val="-49"/>
                <w:sz w:val="16"/>
                <w:szCs w:val="16"/>
              </w:rPr>
              <w:t> </w:t>
            </w:r>
            <w:r>
              <w:rPr>
                <w:rFonts w:ascii="Arial" w:hAnsi="Arial" w:cs="Arial" w:eastAsia="Arial" w:hint="default"/>
                <w:sz w:val="16"/>
                <w:szCs w:val="16"/>
              </w:rPr>
              <w:t>4,651</w:t>
            </w:r>
          </w:p>
        </w:tc>
        <w:tc>
          <w:tcPr>
            <w:tcW w:w="110" w:type="dxa"/>
            <w:tcBorders>
              <w:top w:val="nil" w:sz="6" w:space="0" w:color="auto"/>
              <w:left w:val="nil" w:sz="6" w:space="0" w:color="auto"/>
              <w:bottom w:val="nil" w:sz="6" w:space="0" w:color="auto"/>
              <w:right w:val="nil" w:sz="6" w:space="0" w:color="auto"/>
            </w:tcBorders>
          </w:tcPr>
          <w:p>
            <w:pPr/>
          </w:p>
        </w:tc>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5" w:right="0"/>
              <w:jc w:val="center"/>
              <w:rPr>
                <w:rFonts w:ascii="Arial" w:hAnsi="Arial" w:cs="Arial" w:eastAsia="Arial" w:hint="default"/>
                <w:sz w:val="16"/>
                <w:szCs w:val="16"/>
              </w:rPr>
            </w:pPr>
            <w:r>
              <w:rPr>
                <w:rFonts w:ascii="Arial"/>
                <w:w w:val="98"/>
                <w:sz w:val="16"/>
              </w:rPr>
              <w:t>-</w:t>
            </w:r>
            <w:r>
              <w:rPr>
                <w:rFonts w:ascii="Arial"/>
                <w:sz w:val="16"/>
              </w:rPr>
            </w:r>
          </w:p>
        </w:tc>
        <w:tc>
          <w:tcPr>
            <w:tcW w:w="293" w:type="dxa"/>
            <w:tcBorders>
              <w:top w:val="nil" w:sz="6" w:space="0" w:color="auto"/>
              <w:left w:val="nil" w:sz="6" w:space="0" w:color="auto"/>
              <w:bottom w:val="nil" w:sz="6" w:space="0" w:color="auto"/>
              <w:right w:val="nil" w:sz="6" w:space="0" w:color="auto"/>
            </w:tcBorders>
          </w:tcPr>
          <w:p>
            <w:pP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4"/>
              <w:jc w:val="center"/>
              <w:rPr>
                <w:rFonts w:ascii="Arial" w:hAnsi="Arial" w:cs="Arial" w:eastAsia="Arial" w:hint="default"/>
                <w:sz w:val="16"/>
                <w:szCs w:val="16"/>
              </w:rPr>
            </w:pPr>
            <w:r>
              <w:rPr>
                <w:rFonts w:ascii="Arial"/>
                <w:sz w:val="16"/>
              </w:rPr>
              <w:t>43.94</w:t>
            </w:r>
          </w:p>
        </w:tc>
      </w:tr>
      <w:tr>
        <w:trPr>
          <w:trHeight w:val="461"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194" w:lineRule="exact"/>
              <w:ind w:left="76" w:right="0"/>
              <w:jc w:val="left"/>
              <w:rPr>
                <w:rFonts w:ascii="宋体" w:hAnsi="宋体" w:cs="宋体" w:eastAsia="宋体" w:hint="default"/>
                <w:sz w:val="16"/>
                <w:szCs w:val="16"/>
              </w:rPr>
            </w:pPr>
            <w:r>
              <w:rPr>
                <w:rFonts w:ascii="宋体" w:hAnsi="宋体" w:cs="宋体" w:eastAsia="宋体" w:hint="default"/>
                <w:sz w:val="16"/>
                <w:szCs w:val="16"/>
              </w:rPr>
              <w:t>中国联通（南非）运营有限公司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（“联通南非运营”）</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center"/>
              <w:rPr>
                <w:rFonts w:ascii="宋体" w:hAnsi="宋体" w:cs="宋体" w:eastAsia="宋体" w:hint="default"/>
                <w:sz w:val="16"/>
                <w:szCs w:val="16"/>
              </w:rPr>
            </w:pPr>
            <w:r>
              <w:rPr>
                <w:rFonts w:ascii="宋体" w:hAnsi="宋体" w:cs="宋体" w:eastAsia="宋体" w:hint="default"/>
                <w:sz w:val="16"/>
                <w:szCs w:val="16"/>
              </w:rPr>
              <w:t>南非</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16"/>
                <w:szCs w:val="16"/>
              </w:rPr>
            </w:pPr>
            <w:r>
              <w:rPr>
                <w:rFonts w:ascii="宋体" w:hAnsi="宋体" w:cs="宋体" w:eastAsia="宋体" w:hint="default"/>
                <w:sz w:val="16"/>
                <w:szCs w:val="16"/>
              </w:rPr>
              <w:t>南非</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45" w:right="0"/>
              <w:jc w:val="left"/>
              <w:rPr>
                <w:rFonts w:ascii="宋体" w:hAnsi="宋体" w:cs="宋体" w:eastAsia="宋体" w:hint="default"/>
                <w:sz w:val="16"/>
                <w:szCs w:val="16"/>
              </w:rPr>
            </w:pPr>
            <w:r>
              <w:rPr>
                <w:rFonts w:ascii="宋体" w:hAnsi="宋体" w:cs="宋体" w:eastAsia="宋体" w:hint="default"/>
                <w:sz w:val="16"/>
                <w:szCs w:val="16"/>
              </w:rPr>
              <w:t>电信业务</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494" w:right="0"/>
              <w:jc w:val="left"/>
              <w:rPr>
                <w:rFonts w:ascii="宋体" w:hAnsi="宋体" w:cs="宋体" w:eastAsia="宋体" w:hint="default"/>
                <w:sz w:val="16"/>
                <w:szCs w:val="16"/>
              </w:rPr>
            </w:pPr>
            <w:r>
              <w:rPr>
                <w:rFonts w:ascii="宋体" w:hAnsi="宋体" w:cs="宋体" w:eastAsia="宋体" w:hint="default"/>
                <w:sz w:val="16"/>
                <w:szCs w:val="16"/>
              </w:rPr>
              <w:t>不适用</w:t>
            </w:r>
          </w:p>
        </w:tc>
        <w:tc>
          <w:tcPr>
            <w:tcW w:w="110" w:type="dxa"/>
            <w:tcBorders>
              <w:top w:val="nil" w:sz="6" w:space="0" w:color="auto"/>
              <w:left w:val="nil" w:sz="6" w:space="0" w:color="auto"/>
              <w:bottom w:val="nil" w:sz="6" w:space="0" w:color="auto"/>
              <w:right w:val="nil" w:sz="6" w:space="0" w:color="auto"/>
            </w:tcBorders>
          </w:tcPr>
          <w:p>
            <w:pPr/>
          </w:p>
        </w:tc>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5" w:right="0"/>
              <w:jc w:val="center"/>
              <w:rPr>
                <w:rFonts w:ascii="Arial" w:hAnsi="Arial" w:cs="Arial" w:eastAsia="Arial" w:hint="default"/>
                <w:sz w:val="16"/>
                <w:szCs w:val="16"/>
              </w:rPr>
            </w:pPr>
            <w:r>
              <w:rPr>
                <w:rFonts w:ascii="Arial"/>
                <w:w w:val="98"/>
                <w:sz w:val="16"/>
              </w:rPr>
              <w:t>-</w:t>
            </w:r>
            <w:r>
              <w:rPr>
                <w:rFonts w:ascii="Arial"/>
                <w:sz w:val="16"/>
              </w:rPr>
            </w:r>
          </w:p>
        </w:tc>
        <w:tc>
          <w:tcPr>
            <w:tcW w:w="293" w:type="dxa"/>
            <w:tcBorders>
              <w:top w:val="nil" w:sz="6" w:space="0" w:color="auto"/>
              <w:left w:val="nil" w:sz="6" w:space="0" w:color="auto"/>
              <w:bottom w:val="nil" w:sz="6" w:space="0" w:color="auto"/>
              <w:right w:val="nil" w:sz="6" w:space="0" w:color="auto"/>
            </w:tcBorders>
          </w:tcPr>
          <w:p>
            <w:pP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4"/>
              <w:jc w:val="center"/>
              <w:rPr>
                <w:rFonts w:ascii="Arial" w:hAnsi="Arial" w:cs="Arial" w:eastAsia="Arial" w:hint="default"/>
                <w:sz w:val="16"/>
                <w:szCs w:val="16"/>
              </w:rPr>
            </w:pPr>
            <w:r>
              <w:rPr>
                <w:rFonts w:ascii="Arial"/>
                <w:sz w:val="16"/>
              </w:rPr>
              <w:t>43.94</w:t>
            </w:r>
          </w:p>
        </w:tc>
      </w:tr>
      <w:tr>
        <w:trPr>
          <w:trHeight w:val="473"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194" w:lineRule="exact"/>
              <w:ind w:left="76" w:right="0"/>
              <w:jc w:val="left"/>
              <w:rPr>
                <w:rFonts w:ascii="宋体" w:hAnsi="宋体" w:cs="宋体" w:eastAsia="宋体" w:hint="default"/>
                <w:sz w:val="16"/>
                <w:szCs w:val="16"/>
              </w:rPr>
            </w:pPr>
            <w:r>
              <w:rPr>
                <w:rFonts w:ascii="宋体" w:hAnsi="宋体" w:cs="宋体" w:eastAsia="宋体" w:hint="default"/>
                <w:sz w:val="16"/>
                <w:szCs w:val="16"/>
              </w:rPr>
              <w:t>中国联通（澳大利亚）运营有限公司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（“联通澳大利亚运营”）</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center"/>
              <w:rPr>
                <w:rFonts w:ascii="宋体" w:hAnsi="宋体" w:cs="宋体" w:eastAsia="宋体" w:hint="default"/>
                <w:sz w:val="16"/>
                <w:szCs w:val="16"/>
              </w:rPr>
            </w:pPr>
            <w:r>
              <w:rPr>
                <w:rFonts w:ascii="宋体" w:hAnsi="宋体" w:cs="宋体" w:eastAsia="宋体" w:hint="default"/>
                <w:sz w:val="16"/>
                <w:szCs w:val="16"/>
              </w:rPr>
              <w:t>新南威尔士</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87" w:right="0"/>
              <w:jc w:val="left"/>
              <w:rPr>
                <w:rFonts w:ascii="宋体" w:hAnsi="宋体" w:cs="宋体" w:eastAsia="宋体" w:hint="default"/>
                <w:sz w:val="16"/>
                <w:szCs w:val="16"/>
              </w:rPr>
            </w:pPr>
            <w:r>
              <w:rPr>
                <w:rFonts w:ascii="宋体" w:hAnsi="宋体" w:cs="宋体" w:eastAsia="宋体" w:hint="default"/>
                <w:sz w:val="16"/>
                <w:szCs w:val="16"/>
              </w:rPr>
              <w:t>新南威尔士</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45" w:right="0"/>
              <w:jc w:val="left"/>
              <w:rPr>
                <w:rFonts w:ascii="宋体" w:hAnsi="宋体" w:cs="宋体" w:eastAsia="宋体" w:hint="default"/>
                <w:sz w:val="16"/>
                <w:szCs w:val="16"/>
              </w:rPr>
            </w:pPr>
            <w:r>
              <w:rPr>
                <w:rFonts w:ascii="宋体" w:hAnsi="宋体" w:cs="宋体" w:eastAsia="宋体" w:hint="default"/>
                <w:sz w:val="16"/>
                <w:szCs w:val="16"/>
              </w:rPr>
              <w:t>电信业务</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55" w:right="0"/>
              <w:jc w:val="left"/>
              <w:rPr>
                <w:rFonts w:ascii="Arial" w:hAnsi="Arial" w:cs="Arial" w:eastAsia="Arial" w:hint="default"/>
                <w:sz w:val="16"/>
                <w:szCs w:val="16"/>
              </w:rPr>
            </w:pPr>
            <w:r>
              <w:rPr>
                <w:rFonts w:ascii="宋体" w:hAnsi="宋体" w:cs="宋体" w:eastAsia="宋体" w:hint="default"/>
                <w:sz w:val="16"/>
                <w:szCs w:val="16"/>
              </w:rPr>
              <w:t>澳元</w:t>
            </w:r>
            <w:r>
              <w:rPr>
                <w:rFonts w:ascii="宋体" w:hAnsi="宋体" w:cs="宋体" w:eastAsia="宋体" w:hint="default"/>
                <w:spacing w:val="-49"/>
                <w:sz w:val="16"/>
                <w:szCs w:val="16"/>
              </w:rPr>
              <w:t> </w:t>
            </w:r>
            <w:r>
              <w:rPr>
                <w:rFonts w:ascii="Arial" w:hAnsi="Arial" w:cs="Arial" w:eastAsia="Arial" w:hint="default"/>
                <w:sz w:val="16"/>
                <w:szCs w:val="16"/>
              </w:rPr>
              <w:t>4,350</w:t>
            </w:r>
          </w:p>
        </w:tc>
        <w:tc>
          <w:tcPr>
            <w:tcW w:w="110" w:type="dxa"/>
            <w:tcBorders>
              <w:top w:val="nil" w:sz="6" w:space="0" w:color="auto"/>
              <w:left w:val="nil" w:sz="6" w:space="0" w:color="auto"/>
              <w:bottom w:val="nil" w:sz="6" w:space="0" w:color="auto"/>
              <w:right w:val="nil" w:sz="6" w:space="0" w:color="auto"/>
            </w:tcBorders>
          </w:tcPr>
          <w:p>
            <w:pPr/>
          </w:p>
        </w:tc>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5" w:right="0"/>
              <w:jc w:val="center"/>
              <w:rPr>
                <w:rFonts w:ascii="Arial" w:hAnsi="Arial" w:cs="Arial" w:eastAsia="Arial" w:hint="default"/>
                <w:sz w:val="16"/>
                <w:szCs w:val="16"/>
              </w:rPr>
            </w:pPr>
            <w:r>
              <w:rPr>
                <w:rFonts w:ascii="Arial"/>
                <w:w w:val="98"/>
                <w:sz w:val="16"/>
              </w:rPr>
              <w:t>-</w:t>
            </w:r>
            <w:r>
              <w:rPr>
                <w:rFonts w:ascii="Arial"/>
                <w:sz w:val="16"/>
              </w:rPr>
            </w:r>
          </w:p>
        </w:tc>
        <w:tc>
          <w:tcPr>
            <w:tcW w:w="293" w:type="dxa"/>
            <w:tcBorders>
              <w:top w:val="nil" w:sz="6" w:space="0" w:color="auto"/>
              <w:left w:val="nil" w:sz="6" w:space="0" w:color="auto"/>
              <w:bottom w:val="nil" w:sz="6" w:space="0" w:color="auto"/>
              <w:right w:val="nil" w:sz="6" w:space="0" w:color="auto"/>
            </w:tcBorders>
          </w:tcPr>
          <w:p>
            <w:pP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4"/>
              <w:jc w:val="center"/>
              <w:rPr>
                <w:rFonts w:ascii="Arial" w:hAnsi="Arial" w:cs="Arial" w:eastAsia="Arial" w:hint="default"/>
                <w:sz w:val="16"/>
                <w:szCs w:val="16"/>
              </w:rPr>
            </w:pPr>
            <w:r>
              <w:rPr>
                <w:rFonts w:ascii="Arial"/>
                <w:sz w:val="16"/>
              </w:rPr>
              <w:t>43.94</w:t>
            </w:r>
          </w:p>
        </w:tc>
      </w:tr>
      <w:tr>
        <w:trPr>
          <w:trHeight w:val="485"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206" w:lineRule="exact"/>
              <w:ind w:left="76" w:right="0"/>
              <w:jc w:val="left"/>
              <w:rPr>
                <w:rFonts w:ascii="宋体" w:hAnsi="宋体" w:cs="宋体" w:eastAsia="宋体" w:hint="default"/>
                <w:sz w:val="16"/>
                <w:szCs w:val="16"/>
              </w:rPr>
            </w:pPr>
            <w:r>
              <w:rPr>
                <w:rFonts w:ascii="宋体" w:hAnsi="宋体" w:cs="宋体" w:eastAsia="宋体" w:hint="default"/>
                <w:sz w:val="16"/>
                <w:szCs w:val="16"/>
              </w:rPr>
              <w:t>中国联通（俄罗斯）运营有限公司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（“联通俄罗斯运营”）</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1"/>
              <w:jc w:val="center"/>
              <w:rPr>
                <w:rFonts w:ascii="宋体" w:hAnsi="宋体" w:cs="宋体" w:eastAsia="宋体" w:hint="default"/>
                <w:sz w:val="16"/>
                <w:szCs w:val="16"/>
              </w:rPr>
            </w:pPr>
            <w:r>
              <w:rPr>
                <w:rFonts w:ascii="宋体" w:hAnsi="宋体" w:cs="宋体" w:eastAsia="宋体" w:hint="default"/>
                <w:sz w:val="16"/>
                <w:szCs w:val="16"/>
              </w:rPr>
              <w:t>俄罗斯</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345" w:right="0"/>
              <w:jc w:val="left"/>
              <w:rPr>
                <w:rFonts w:ascii="宋体" w:hAnsi="宋体" w:cs="宋体" w:eastAsia="宋体" w:hint="default"/>
                <w:sz w:val="16"/>
                <w:szCs w:val="16"/>
              </w:rPr>
            </w:pPr>
            <w:r>
              <w:rPr>
                <w:rFonts w:ascii="宋体" w:hAnsi="宋体" w:cs="宋体" w:eastAsia="宋体" w:hint="default"/>
                <w:sz w:val="16"/>
                <w:szCs w:val="16"/>
              </w:rPr>
              <w:t>俄罗斯</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345" w:right="0"/>
              <w:jc w:val="left"/>
              <w:rPr>
                <w:rFonts w:ascii="宋体" w:hAnsi="宋体" w:cs="宋体" w:eastAsia="宋体" w:hint="default"/>
                <w:sz w:val="16"/>
                <w:szCs w:val="16"/>
              </w:rPr>
            </w:pPr>
            <w:r>
              <w:rPr>
                <w:rFonts w:ascii="宋体" w:hAnsi="宋体" w:cs="宋体" w:eastAsia="宋体" w:hint="default"/>
                <w:sz w:val="16"/>
                <w:szCs w:val="16"/>
              </w:rPr>
              <w:t>电信业务</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465" w:right="0"/>
              <w:jc w:val="left"/>
              <w:rPr>
                <w:rFonts w:ascii="Arial" w:hAnsi="Arial" w:cs="Arial" w:eastAsia="Arial" w:hint="default"/>
                <w:sz w:val="16"/>
                <w:szCs w:val="16"/>
              </w:rPr>
            </w:pPr>
            <w:r>
              <w:rPr>
                <w:rFonts w:ascii="宋体" w:hAnsi="宋体" w:cs="宋体" w:eastAsia="宋体" w:hint="default"/>
                <w:sz w:val="16"/>
                <w:szCs w:val="16"/>
              </w:rPr>
              <w:t>卢布</w:t>
            </w:r>
            <w:r>
              <w:rPr>
                <w:rFonts w:ascii="宋体" w:hAnsi="宋体" w:cs="宋体" w:eastAsia="宋体" w:hint="default"/>
                <w:spacing w:val="-46"/>
                <w:sz w:val="16"/>
                <w:szCs w:val="16"/>
              </w:rPr>
              <w:t> </w:t>
            </w:r>
            <w:r>
              <w:rPr>
                <w:rFonts w:ascii="Arial" w:hAnsi="Arial" w:cs="Arial" w:eastAsia="Arial" w:hint="default"/>
                <w:sz w:val="16"/>
                <w:szCs w:val="16"/>
              </w:rPr>
              <w:t>10</w:t>
            </w:r>
          </w:p>
        </w:tc>
        <w:tc>
          <w:tcPr>
            <w:tcW w:w="110" w:type="dxa"/>
            <w:tcBorders>
              <w:top w:val="nil" w:sz="6" w:space="0" w:color="auto"/>
              <w:left w:val="nil" w:sz="6" w:space="0" w:color="auto"/>
              <w:bottom w:val="nil" w:sz="6" w:space="0" w:color="auto"/>
              <w:right w:val="nil" w:sz="6" w:space="0" w:color="auto"/>
            </w:tcBorders>
          </w:tcPr>
          <w:p>
            <w:pPr/>
          </w:p>
        </w:tc>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5" w:right="0"/>
              <w:jc w:val="center"/>
              <w:rPr>
                <w:rFonts w:ascii="Arial" w:hAnsi="Arial" w:cs="Arial" w:eastAsia="Arial" w:hint="default"/>
                <w:sz w:val="16"/>
                <w:szCs w:val="16"/>
              </w:rPr>
            </w:pPr>
            <w:r>
              <w:rPr>
                <w:rFonts w:ascii="Arial"/>
                <w:w w:val="98"/>
                <w:sz w:val="16"/>
              </w:rPr>
              <w:t>-</w:t>
            </w:r>
            <w:r>
              <w:rPr>
                <w:rFonts w:ascii="Arial"/>
                <w:sz w:val="16"/>
              </w:rPr>
            </w:r>
          </w:p>
        </w:tc>
        <w:tc>
          <w:tcPr>
            <w:tcW w:w="293" w:type="dxa"/>
            <w:tcBorders>
              <w:top w:val="nil" w:sz="6" w:space="0" w:color="auto"/>
              <w:left w:val="nil" w:sz="6" w:space="0" w:color="auto"/>
              <w:bottom w:val="nil" w:sz="6" w:space="0" w:color="auto"/>
              <w:right w:val="nil" w:sz="6" w:space="0" w:color="auto"/>
            </w:tcBorders>
          </w:tcPr>
          <w:p>
            <w:pP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4"/>
              <w:jc w:val="center"/>
              <w:rPr>
                <w:rFonts w:ascii="Arial" w:hAnsi="Arial" w:cs="Arial" w:eastAsia="Arial" w:hint="default"/>
                <w:sz w:val="16"/>
                <w:szCs w:val="16"/>
              </w:rPr>
            </w:pPr>
            <w:r>
              <w:rPr>
                <w:rFonts w:ascii="Arial"/>
                <w:sz w:val="16"/>
              </w:rPr>
              <w:t>43.94</w:t>
            </w:r>
          </w:p>
        </w:tc>
      </w:tr>
      <w:tr>
        <w:trPr>
          <w:trHeight w:val="482"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206" w:lineRule="exact"/>
              <w:ind w:left="76" w:right="0"/>
              <w:jc w:val="left"/>
              <w:rPr>
                <w:rFonts w:ascii="宋体" w:hAnsi="宋体" w:cs="宋体" w:eastAsia="宋体" w:hint="default"/>
                <w:sz w:val="16"/>
                <w:szCs w:val="16"/>
              </w:rPr>
            </w:pPr>
            <w:r>
              <w:rPr>
                <w:rFonts w:ascii="宋体" w:hAnsi="宋体" w:cs="宋体" w:eastAsia="宋体" w:hint="default"/>
                <w:sz w:val="16"/>
                <w:szCs w:val="16"/>
              </w:rPr>
              <w:t>中国联通（马来西亚）运营有限公司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（“联通马来西亚运营”）</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6"/>
              <w:jc w:val="center"/>
              <w:rPr>
                <w:rFonts w:ascii="宋体" w:hAnsi="宋体" w:cs="宋体" w:eastAsia="宋体" w:hint="default"/>
                <w:sz w:val="16"/>
                <w:szCs w:val="16"/>
              </w:rPr>
            </w:pPr>
            <w:r>
              <w:rPr>
                <w:rFonts w:ascii="宋体" w:hAnsi="宋体" w:cs="宋体" w:eastAsia="宋体" w:hint="default"/>
                <w:sz w:val="16"/>
                <w:szCs w:val="16"/>
              </w:rPr>
              <w:t>马来西亚</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68" w:right="0"/>
              <w:jc w:val="left"/>
              <w:rPr>
                <w:rFonts w:ascii="宋体" w:hAnsi="宋体" w:cs="宋体" w:eastAsia="宋体" w:hint="default"/>
                <w:sz w:val="16"/>
                <w:szCs w:val="16"/>
              </w:rPr>
            </w:pPr>
            <w:r>
              <w:rPr>
                <w:rFonts w:ascii="宋体" w:hAnsi="宋体" w:cs="宋体" w:eastAsia="宋体" w:hint="default"/>
                <w:sz w:val="16"/>
                <w:szCs w:val="16"/>
              </w:rPr>
              <w:t>马来西亚</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345" w:right="0"/>
              <w:jc w:val="left"/>
              <w:rPr>
                <w:rFonts w:ascii="宋体" w:hAnsi="宋体" w:cs="宋体" w:eastAsia="宋体" w:hint="default"/>
                <w:sz w:val="16"/>
                <w:szCs w:val="16"/>
              </w:rPr>
            </w:pPr>
            <w:r>
              <w:rPr>
                <w:rFonts w:ascii="宋体" w:hAnsi="宋体" w:cs="宋体" w:eastAsia="宋体" w:hint="default"/>
                <w:sz w:val="16"/>
                <w:szCs w:val="16"/>
              </w:rPr>
              <w:t>电信业务</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383" w:right="0"/>
              <w:jc w:val="left"/>
              <w:rPr>
                <w:rFonts w:ascii="Arial" w:hAnsi="Arial" w:cs="Arial" w:eastAsia="Arial" w:hint="default"/>
                <w:sz w:val="16"/>
                <w:szCs w:val="16"/>
              </w:rPr>
            </w:pPr>
            <w:r>
              <w:rPr>
                <w:rFonts w:ascii="宋体" w:hAnsi="宋体" w:cs="宋体" w:eastAsia="宋体" w:hint="default"/>
                <w:sz w:val="16"/>
                <w:szCs w:val="16"/>
              </w:rPr>
              <w:t>令吉特</w:t>
            </w:r>
            <w:r>
              <w:rPr>
                <w:rFonts w:ascii="宋体" w:hAnsi="宋体" w:cs="宋体" w:eastAsia="宋体" w:hint="default"/>
                <w:spacing w:val="-48"/>
                <w:sz w:val="16"/>
                <w:szCs w:val="16"/>
              </w:rPr>
              <w:t> </w:t>
            </w:r>
            <w:r>
              <w:rPr>
                <w:rFonts w:ascii="Arial" w:hAnsi="Arial" w:cs="Arial" w:eastAsia="Arial" w:hint="default"/>
                <w:sz w:val="16"/>
                <w:szCs w:val="16"/>
              </w:rPr>
              <w:t>10</w:t>
            </w:r>
          </w:p>
        </w:tc>
        <w:tc>
          <w:tcPr>
            <w:tcW w:w="110" w:type="dxa"/>
            <w:tcBorders>
              <w:top w:val="nil" w:sz="6" w:space="0" w:color="auto"/>
              <w:left w:val="nil" w:sz="6" w:space="0" w:color="auto"/>
              <w:bottom w:val="nil" w:sz="6" w:space="0" w:color="auto"/>
              <w:right w:val="nil" w:sz="6" w:space="0" w:color="auto"/>
            </w:tcBorders>
          </w:tcPr>
          <w:p>
            <w:pPr/>
          </w:p>
        </w:tc>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5" w:right="0"/>
              <w:jc w:val="center"/>
              <w:rPr>
                <w:rFonts w:ascii="Arial" w:hAnsi="Arial" w:cs="Arial" w:eastAsia="Arial" w:hint="default"/>
                <w:sz w:val="16"/>
                <w:szCs w:val="16"/>
              </w:rPr>
            </w:pPr>
            <w:r>
              <w:rPr>
                <w:rFonts w:ascii="Arial"/>
                <w:w w:val="98"/>
                <w:sz w:val="16"/>
              </w:rPr>
              <w:t>-</w:t>
            </w:r>
            <w:r>
              <w:rPr>
                <w:rFonts w:ascii="Arial"/>
                <w:sz w:val="16"/>
              </w:rPr>
            </w:r>
          </w:p>
        </w:tc>
        <w:tc>
          <w:tcPr>
            <w:tcW w:w="293" w:type="dxa"/>
            <w:tcBorders>
              <w:top w:val="nil" w:sz="6" w:space="0" w:color="auto"/>
              <w:left w:val="nil" w:sz="6" w:space="0" w:color="auto"/>
              <w:bottom w:val="nil" w:sz="6" w:space="0" w:color="auto"/>
              <w:right w:val="nil" w:sz="6" w:space="0" w:color="auto"/>
            </w:tcBorders>
          </w:tcPr>
          <w:p>
            <w:pP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4"/>
              <w:jc w:val="center"/>
              <w:rPr>
                <w:rFonts w:ascii="Arial" w:hAnsi="Arial" w:cs="Arial" w:eastAsia="Arial" w:hint="default"/>
                <w:sz w:val="16"/>
                <w:szCs w:val="16"/>
              </w:rPr>
            </w:pPr>
            <w:r>
              <w:rPr>
                <w:rFonts w:ascii="Arial"/>
                <w:sz w:val="16"/>
              </w:rPr>
              <w:t>43.94</w:t>
            </w:r>
          </w:p>
        </w:tc>
      </w:tr>
      <w:tr>
        <w:trPr>
          <w:trHeight w:val="485"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205" w:lineRule="exact"/>
              <w:ind w:left="76" w:right="0"/>
              <w:jc w:val="left"/>
              <w:rPr>
                <w:rFonts w:ascii="宋体" w:hAnsi="宋体" w:cs="宋体" w:eastAsia="宋体" w:hint="default"/>
                <w:sz w:val="16"/>
                <w:szCs w:val="16"/>
              </w:rPr>
            </w:pPr>
            <w:r>
              <w:rPr>
                <w:rFonts w:ascii="宋体" w:hAnsi="宋体" w:cs="宋体" w:eastAsia="宋体" w:hint="default"/>
                <w:sz w:val="16"/>
                <w:szCs w:val="16"/>
              </w:rPr>
              <w:t>中国联通（泰国）运营有限公司</w:t>
            </w:r>
          </w:p>
          <w:p>
            <w:pPr>
              <w:pStyle w:val="TableParagraph"/>
              <w:spacing w:line="240" w:lineRule="auto" w:before="1"/>
              <w:ind w:left="76" w:right="0"/>
              <w:jc w:val="left"/>
              <w:rPr>
                <w:rFonts w:ascii="宋体" w:hAnsi="宋体" w:cs="宋体" w:eastAsia="宋体" w:hint="default"/>
                <w:sz w:val="16"/>
                <w:szCs w:val="16"/>
              </w:rPr>
            </w:pPr>
            <w:r>
              <w:rPr>
                <w:rFonts w:ascii="宋体" w:hAnsi="宋体" w:cs="宋体" w:eastAsia="宋体" w:hint="default"/>
                <w:sz w:val="16"/>
                <w:szCs w:val="16"/>
              </w:rPr>
              <w:t>（“联通泰国运营”）</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6"/>
              <w:jc w:val="center"/>
              <w:rPr>
                <w:rFonts w:ascii="宋体" w:hAnsi="宋体" w:cs="宋体" w:eastAsia="宋体" w:hint="default"/>
                <w:sz w:val="16"/>
                <w:szCs w:val="16"/>
              </w:rPr>
            </w:pPr>
            <w:r>
              <w:rPr>
                <w:rFonts w:ascii="宋体" w:hAnsi="宋体" w:cs="宋体" w:eastAsia="宋体" w:hint="default"/>
                <w:sz w:val="16"/>
                <w:szCs w:val="16"/>
              </w:rPr>
              <w:t>泰国</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6"/>
                <w:szCs w:val="16"/>
              </w:rPr>
            </w:pPr>
            <w:r>
              <w:rPr>
                <w:rFonts w:ascii="宋体" w:hAnsi="宋体" w:cs="宋体" w:eastAsia="宋体" w:hint="default"/>
                <w:sz w:val="16"/>
                <w:szCs w:val="16"/>
              </w:rPr>
              <w:t>泰国</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45" w:right="0"/>
              <w:jc w:val="left"/>
              <w:rPr>
                <w:rFonts w:ascii="宋体" w:hAnsi="宋体" w:cs="宋体" w:eastAsia="宋体" w:hint="default"/>
                <w:sz w:val="16"/>
                <w:szCs w:val="16"/>
              </w:rPr>
            </w:pPr>
            <w:r>
              <w:rPr>
                <w:rFonts w:ascii="宋体" w:hAnsi="宋体" w:cs="宋体" w:eastAsia="宋体" w:hint="default"/>
                <w:sz w:val="16"/>
                <w:szCs w:val="16"/>
              </w:rPr>
              <w:t>电信业务</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55" w:right="0"/>
              <w:jc w:val="left"/>
              <w:rPr>
                <w:rFonts w:ascii="Arial" w:hAnsi="Arial" w:cs="Arial" w:eastAsia="Arial" w:hint="default"/>
                <w:sz w:val="16"/>
                <w:szCs w:val="16"/>
              </w:rPr>
            </w:pPr>
            <w:r>
              <w:rPr>
                <w:rFonts w:ascii="宋体" w:hAnsi="宋体" w:cs="宋体" w:eastAsia="宋体" w:hint="default"/>
                <w:sz w:val="16"/>
                <w:szCs w:val="16"/>
              </w:rPr>
              <w:t>泰铢</w:t>
            </w:r>
            <w:r>
              <w:rPr>
                <w:rFonts w:ascii="宋体" w:hAnsi="宋体" w:cs="宋体" w:eastAsia="宋体" w:hint="default"/>
                <w:spacing w:val="-49"/>
                <w:sz w:val="16"/>
                <w:szCs w:val="16"/>
              </w:rPr>
              <w:t> </w:t>
            </w:r>
            <w:r>
              <w:rPr>
                <w:rFonts w:ascii="Arial" w:hAnsi="Arial" w:cs="Arial" w:eastAsia="Arial" w:hint="default"/>
                <w:sz w:val="16"/>
                <w:szCs w:val="16"/>
              </w:rPr>
              <w:t>2,000</w:t>
            </w:r>
          </w:p>
        </w:tc>
        <w:tc>
          <w:tcPr>
            <w:tcW w:w="110" w:type="dxa"/>
            <w:tcBorders>
              <w:top w:val="nil" w:sz="6" w:space="0" w:color="auto"/>
              <w:left w:val="nil" w:sz="6" w:space="0" w:color="auto"/>
              <w:bottom w:val="nil" w:sz="6" w:space="0" w:color="auto"/>
              <w:right w:val="nil" w:sz="6" w:space="0" w:color="auto"/>
            </w:tcBorders>
          </w:tcPr>
          <w:p>
            <w:pPr/>
          </w:p>
        </w:tc>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5" w:right="0"/>
              <w:jc w:val="center"/>
              <w:rPr>
                <w:rFonts w:ascii="Arial" w:hAnsi="Arial" w:cs="Arial" w:eastAsia="Arial" w:hint="default"/>
                <w:sz w:val="16"/>
                <w:szCs w:val="16"/>
              </w:rPr>
            </w:pPr>
            <w:r>
              <w:rPr>
                <w:rFonts w:ascii="Arial"/>
                <w:w w:val="98"/>
                <w:sz w:val="16"/>
              </w:rPr>
              <w:t>-</w:t>
            </w:r>
            <w:r>
              <w:rPr>
                <w:rFonts w:ascii="Arial"/>
                <w:sz w:val="16"/>
              </w:rPr>
            </w:r>
          </w:p>
        </w:tc>
        <w:tc>
          <w:tcPr>
            <w:tcW w:w="293" w:type="dxa"/>
            <w:tcBorders>
              <w:top w:val="nil" w:sz="6" w:space="0" w:color="auto"/>
              <w:left w:val="nil" w:sz="6" w:space="0" w:color="auto"/>
              <w:bottom w:val="nil" w:sz="6" w:space="0" w:color="auto"/>
              <w:right w:val="nil" w:sz="6" w:space="0" w:color="auto"/>
            </w:tcBorders>
          </w:tcPr>
          <w:p>
            <w:pP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4"/>
              <w:jc w:val="center"/>
              <w:rPr>
                <w:rFonts w:ascii="Arial" w:hAnsi="Arial" w:cs="Arial" w:eastAsia="Arial" w:hint="default"/>
                <w:sz w:val="16"/>
                <w:szCs w:val="16"/>
              </w:rPr>
            </w:pPr>
            <w:r>
              <w:rPr>
                <w:rFonts w:ascii="Arial"/>
                <w:sz w:val="16"/>
              </w:rPr>
              <w:t>43.94</w:t>
            </w:r>
          </w:p>
        </w:tc>
      </w:tr>
      <w:tr>
        <w:trPr>
          <w:trHeight w:val="482"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205" w:lineRule="exact"/>
              <w:ind w:left="76" w:right="0"/>
              <w:jc w:val="left"/>
              <w:rPr>
                <w:rFonts w:ascii="宋体" w:hAnsi="宋体" w:cs="宋体" w:eastAsia="宋体" w:hint="default"/>
                <w:sz w:val="16"/>
                <w:szCs w:val="16"/>
              </w:rPr>
            </w:pPr>
            <w:r>
              <w:rPr>
                <w:rFonts w:ascii="宋体" w:hAnsi="宋体" w:cs="宋体" w:eastAsia="宋体" w:hint="default"/>
                <w:sz w:val="16"/>
                <w:szCs w:val="16"/>
              </w:rPr>
              <w:t>中国联通（韩国）运营有限公司</w:t>
            </w:r>
          </w:p>
          <w:p>
            <w:pPr>
              <w:pStyle w:val="TableParagraph"/>
              <w:spacing w:line="240" w:lineRule="auto" w:before="1"/>
              <w:ind w:left="76" w:right="0"/>
              <w:jc w:val="left"/>
              <w:rPr>
                <w:rFonts w:ascii="宋体" w:hAnsi="宋体" w:cs="宋体" w:eastAsia="宋体" w:hint="default"/>
                <w:sz w:val="16"/>
                <w:szCs w:val="16"/>
              </w:rPr>
            </w:pPr>
            <w:r>
              <w:rPr>
                <w:rFonts w:ascii="宋体" w:hAnsi="宋体" w:cs="宋体" w:eastAsia="宋体" w:hint="default"/>
                <w:sz w:val="16"/>
                <w:szCs w:val="16"/>
              </w:rPr>
              <w:t>（“联通韩国运营”）</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6"/>
              <w:jc w:val="center"/>
              <w:rPr>
                <w:rFonts w:ascii="宋体" w:hAnsi="宋体" w:cs="宋体" w:eastAsia="宋体" w:hint="default"/>
                <w:sz w:val="16"/>
                <w:szCs w:val="16"/>
              </w:rPr>
            </w:pPr>
            <w:r>
              <w:rPr>
                <w:rFonts w:ascii="宋体" w:hAnsi="宋体" w:cs="宋体" w:eastAsia="宋体" w:hint="default"/>
                <w:sz w:val="16"/>
                <w:szCs w:val="16"/>
              </w:rPr>
              <w:t>韩国</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6"/>
                <w:szCs w:val="16"/>
              </w:rPr>
            </w:pPr>
            <w:r>
              <w:rPr>
                <w:rFonts w:ascii="宋体" w:hAnsi="宋体" w:cs="宋体" w:eastAsia="宋体" w:hint="default"/>
                <w:sz w:val="16"/>
                <w:szCs w:val="16"/>
              </w:rPr>
              <w:t>韩国</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45" w:right="0"/>
              <w:jc w:val="left"/>
              <w:rPr>
                <w:rFonts w:ascii="宋体" w:hAnsi="宋体" w:cs="宋体" w:eastAsia="宋体" w:hint="default"/>
                <w:sz w:val="16"/>
                <w:szCs w:val="16"/>
              </w:rPr>
            </w:pPr>
            <w:r>
              <w:rPr>
                <w:rFonts w:ascii="宋体" w:hAnsi="宋体" w:cs="宋体" w:eastAsia="宋体" w:hint="default"/>
                <w:sz w:val="16"/>
                <w:szCs w:val="16"/>
              </w:rPr>
              <w:t>电信业务</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3" w:right="0"/>
              <w:jc w:val="left"/>
              <w:rPr>
                <w:rFonts w:ascii="Arial" w:hAnsi="Arial" w:cs="Arial" w:eastAsia="Arial" w:hint="default"/>
                <w:sz w:val="16"/>
                <w:szCs w:val="16"/>
              </w:rPr>
            </w:pPr>
            <w:r>
              <w:rPr>
                <w:rFonts w:ascii="宋体" w:hAnsi="宋体" w:cs="宋体" w:eastAsia="宋体" w:hint="default"/>
                <w:sz w:val="16"/>
                <w:szCs w:val="16"/>
              </w:rPr>
              <w:t>韩元</w:t>
            </w:r>
            <w:r>
              <w:rPr>
                <w:rFonts w:ascii="宋体" w:hAnsi="宋体" w:cs="宋体" w:eastAsia="宋体" w:hint="default"/>
                <w:spacing w:val="-50"/>
                <w:sz w:val="16"/>
                <w:szCs w:val="16"/>
              </w:rPr>
              <w:t> </w:t>
            </w:r>
            <w:r>
              <w:rPr>
                <w:rFonts w:ascii="Arial" w:hAnsi="Arial" w:cs="Arial" w:eastAsia="Arial" w:hint="default"/>
                <w:sz w:val="16"/>
                <w:szCs w:val="16"/>
              </w:rPr>
              <w:t>300,000</w:t>
            </w:r>
          </w:p>
        </w:tc>
        <w:tc>
          <w:tcPr>
            <w:tcW w:w="110" w:type="dxa"/>
            <w:tcBorders>
              <w:top w:val="nil" w:sz="6" w:space="0" w:color="auto"/>
              <w:left w:val="nil" w:sz="6" w:space="0" w:color="auto"/>
              <w:bottom w:val="nil" w:sz="6" w:space="0" w:color="auto"/>
              <w:right w:val="nil" w:sz="6" w:space="0" w:color="auto"/>
            </w:tcBorders>
          </w:tcPr>
          <w:p>
            <w:pPr/>
          </w:p>
        </w:tc>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5" w:right="0"/>
              <w:jc w:val="center"/>
              <w:rPr>
                <w:rFonts w:ascii="Arial" w:hAnsi="Arial" w:cs="Arial" w:eastAsia="Arial" w:hint="default"/>
                <w:sz w:val="16"/>
                <w:szCs w:val="16"/>
              </w:rPr>
            </w:pPr>
            <w:r>
              <w:rPr>
                <w:rFonts w:ascii="Arial"/>
                <w:w w:val="98"/>
                <w:sz w:val="16"/>
              </w:rPr>
              <w:t>-</w:t>
            </w:r>
            <w:r>
              <w:rPr>
                <w:rFonts w:ascii="Arial"/>
                <w:sz w:val="16"/>
              </w:rPr>
            </w:r>
          </w:p>
        </w:tc>
        <w:tc>
          <w:tcPr>
            <w:tcW w:w="293" w:type="dxa"/>
            <w:tcBorders>
              <w:top w:val="nil" w:sz="6" w:space="0" w:color="auto"/>
              <w:left w:val="nil" w:sz="6" w:space="0" w:color="auto"/>
              <w:bottom w:val="nil" w:sz="6" w:space="0" w:color="auto"/>
              <w:right w:val="nil" w:sz="6" w:space="0" w:color="auto"/>
            </w:tcBorders>
          </w:tcPr>
          <w:p>
            <w:pP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4"/>
              <w:jc w:val="center"/>
              <w:rPr>
                <w:rFonts w:ascii="Arial" w:hAnsi="Arial" w:cs="Arial" w:eastAsia="Arial" w:hint="default"/>
                <w:sz w:val="16"/>
                <w:szCs w:val="16"/>
              </w:rPr>
            </w:pPr>
            <w:r>
              <w:rPr>
                <w:rFonts w:ascii="Arial"/>
                <w:sz w:val="16"/>
              </w:rPr>
              <w:t>43.94</w:t>
            </w:r>
          </w:p>
        </w:tc>
      </w:tr>
      <w:tr>
        <w:trPr>
          <w:trHeight w:val="485"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206" w:lineRule="exact"/>
              <w:ind w:left="76" w:right="0"/>
              <w:jc w:val="left"/>
              <w:rPr>
                <w:rFonts w:ascii="宋体" w:hAnsi="宋体" w:cs="宋体" w:eastAsia="宋体" w:hint="default"/>
                <w:sz w:val="16"/>
                <w:szCs w:val="16"/>
              </w:rPr>
            </w:pPr>
            <w:r>
              <w:rPr>
                <w:rFonts w:ascii="宋体" w:hAnsi="宋体" w:cs="宋体" w:eastAsia="宋体" w:hint="default"/>
                <w:sz w:val="16"/>
                <w:szCs w:val="16"/>
              </w:rPr>
              <w:t>中国联通（越南）运营有限公司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（“联通越南运营”）</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6"/>
              <w:jc w:val="center"/>
              <w:rPr>
                <w:rFonts w:ascii="宋体" w:hAnsi="宋体" w:cs="宋体" w:eastAsia="宋体" w:hint="default"/>
                <w:sz w:val="16"/>
                <w:szCs w:val="16"/>
              </w:rPr>
            </w:pPr>
            <w:r>
              <w:rPr>
                <w:rFonts w:ascii="宋体" w:hAnsi="宋体" w:cs="宋体" w:eastAsia="宋体" w:hint="default"/>
                <w:sz w:val="16"/>
                <w:szCs w:val="16"/>
              </w:rPr>
              <w:t>越南</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6"/>
                <w:szCs w:val="16"/>
              </w:rPr>
            </w:pPr>
            <w:r>
              <w:rPr>
                <w:rFonts w:ascii="宋体" w:hAnsi="宋体" w:cs="宋体" w:eastAsia="宋体" w:hint="default"/>
                <w:sz w:val="16"/>
                <w:szCs w:val="16"/>
              </w:rPr>
              <w:t>越南</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345" w:right="0"/>
              <w:jc w:val="left"/>
              <w:rPr>
                <w:rFonts w:ascii="宋体" w:hAnsi="宋体" w:cs="宋体" w:eastAsia="宋体" w:hint="default"/>
                <w:sz w:val="16"/>
                <w:szCs w:val="16"/>
              </w:rPr>
            </w:pPr>
            <w:r>
              <w:rPr>
                <w:rFonts w:ascii="宋体" w:hAnsi="宋体" w:cs="宋体" w:eastAsia="宋体" w:hint="default"/>
                <w:sz w:val="16"/>
                <w:szCs w:val="16"/>
              </w:rPr>
              <w:t>电信业务</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494" w:right="0"/>
              <w:jc w:val="left"/>
              <w:rPr>
                <w:rFonts w:ascii="宋体" w:hAnsi="宋体" w:cs="宋体" w:eastAsia="宋体" w:hint="default"/>
                <w:sz w:val="16"/>
                <w:szCs w:val="16"/>
              </w:rPr>
            </w:pPr>
            <w:r>
              <w:rPr>
                <w:rFonts w:ascii="宋体" w:hAnsi="宋体" w:cs="宋体" w:eastAsia="宋体" w:hint="default"/>
                <w:sz w:val="16"/>
                <w:szCs w:val="16"/>
              </w:rPr>
              <w:t>不适用</w:t>
            </w:r>
          </w:p>
        </w:tc>
        <w:tc>
          <w:tcPr>
            <w:tcW w:w="110" w:type="dxa"/>
            <w:tcBorders>
              <w:top w:val="nil" w:sz="6" w:space="0" w:color="auto"/>
              <w:left w:val="nil" w:sz="6" w:space="0" w:color="auto"/>
              <w:bottom w:val="nil" w:sz="6" w:space="0" w:color="auto"/>
              <w:right w:val="nil" w:sz="6" w:space="0" w:color="auto"/>
            </w:tcBorders>
          </w:tcPr>
          <w:p>
            <w:pPr/>
          </w:p>
        </w:tc>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5" w:right="0"/>
              <w:jc w:val="center"/>
              <w:rPr>
                <w:rFonts w:ascii="Arial" w:hAnsi="Arial" w:cs="Arial" w:eastAsia="Arial" w:hint="default"/>
                <w:sz w:val="16"/>
                <w:szCs w:val="16"/>
              </w:rPr>
            </w:pPr>
            <w:r>
              <w:rPr>
                <w:rFonts w:ascii="Arial"/>
                <w:w w:val="98"/>
                <w:sz w:val="16"/>
              </w:rPr>
              <w:t>-</w:t>
            </w:r>
            <w:r>
              <w:rPr>
                <w:rFonts w:ascii="Arial"/>
                <w:sz w:val="16"/>
              </w:rPr>
            </w:r>
          </w:p>
        </w:tc>
        <w:tc>
          <w:tcPr>
            <w:tcW w:w="293" w:type="dxa"/>
            <w:tcBorders>
              <w:top w:val="nil" w:sz="6" w:space="0" w:color="auto"/>
              <w:left w:val="nil" w:sz="6" w:space="0" w:color="auto"/>
              <w:bottom w:val="nil" w:sz="6" w:space="0" w:color="auto"/>
              <w:right w:val="nil" w:sz="6" w:space="0" w:color="auto"/>
            </w:tcBorders>
          </w:tcPr>
          <w:p>
            <w:pP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4"/>
              <w:jc w:val="center"/>
              <w:rPr>
                <w:rFonts w:ascii="Arial" w:hAnsi="Arial" w:cs="Arial" w:eastAsia="Arial" w:hint="default"/>
                <w:sz w:val="16"/>
                <w:szCs w:val="16"/>
              </w:rPr>
            </w:pPr>
            <w:r>
              <w:rPr>
                <w:rFonts w:ascii="Arial"/>
                <w:sz w:val="16"/>
              </w:rPr>
              <w:t>43.94</w:t>
            </w:r>
          </w:p>
        </w:tc>
      </w:tr>
      <w:tr>
        <w:trPr>
          <w:trHeight w:val="485"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206" w:lineRule="exact"/>
              <w:ind w:left="76" w:right="0"/>
              <w:jc w:val="left"/>
              <w:rPr>
                <w:rFonts w:ascii="宋体" w:hAnsi="宋体" w:cs="宋体" w:eastAsia="宋体" w:hint="default"/>
                <w:sz w:val="16"/>
                <w:szCs w:val="16"/>
              </w:rPr>
            </w:pPr>
            <w:r>
              <w:rPr>
                <w:rFonts w:ascii="宋体" w:hAnsi="宋体" w:cs="宋体" w:eastAsia="宋体" w:hint="default"/>
                <w:sz w:val="16"/>
                <w:szCs w:val="16"/>
              </w:rPr>
              <w:t>中国联通（柬埔寨）运营有限公司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（“联通柬埔寨运营”）</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1"/>
              <w:jc w:val="center"/>
              <w:rPr>
                <w:rFonts w:ascii="宋体" w:hAnsi="宋体" w:cs="宋体" w:eastAsia="宋体" w:hint="default"/>
                <w:sz w:val="16"/>
                <w:szCs w:val="16"/>
              </w:rPr>
            </w:pPr>
            <w:r>
              <w:rPr>
                <w:rFonts w:ascii="宋体" w:hAnsi="宋体" w:cs="宋体" w:eastAsia="宋体" w:hint="default"/>
                <w:sz w:val="16"/>
                <w:szCs w:val="16"/>
              </w:rPr>
              <w:t>柬埔寨</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345" w:right="0"/>
              <w:jc w:val="left"/>
              <w:rPr>
                <w:rFonts w:ascii="宋体" w:hAnsi="宋体" w:cs="宋体" w:eastAsia="宋体" w:hint="default"/>
                <w:sz w:val="16"/>
                <w:szCs w:val="16"/>
              </w:rPr>
            </w:pPr>
            <w:r>
              <w:rPr>
                <w:rFonts w:ascii="宋体" w:hAnsi="宋体" w:cs="宋体" w:eastAsia="宋体" w:hint="default"/>
                <w:sz w:val="16"/>
                <w:szCs w:val="16"/>
              </w:rPr>
              <w:t>柬埔寨</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345" w:right="0"/>
              <w:jc w:val="left"/>
              <w:rPr>
                <w:rFonts w:ascii="宋体" w:hAnsi="宋体" w:cs="宋体" w:eastAsia="宋体" w:hint="default"/>
                <w:sz w:val="16"/>
                <w:szCs w:val="16"/>
              </w:rPr>
            </w:pPr>
            <w:r>
              <w:rPr>
                <w:rFonts w:ascii="宋体" w:hAnsi="宋体" w:cs="宋体" w:eastAsia="宋体" w:hint="default"/>
                <w:sz w:val="16"/>
                <w:szCs w:val="16"/>
              </w:rPr>
              <w:t>电信业务</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494" w:right="0"/>
              <w:jc w:val="left"/>
              <w:rPr>
                <w:rFonts w:ascii="宋体" w:hAnsi="宋体" w:cs="宋体" w:eastAsia="宋体" w:hint="default"/>
                <w:sz w:val="16"/>
                <w:szCs w:val="16"/>
              </w:rPr>
            </w:pPr>
            <w:r>
              <w:rPr>
                <w:rFonts w:ascii="宋体" w:hAnsi="宋体" w:cs="宋体" w:eastAsia="宋体" w:hint="default"/>
                <w:sz w:val="16"/>
                <w:szCs w:val="16"/>
              </w:rPr>
              <w:t>不适用</w:t>
            </w:r>
          </w:p>
        </w:tc>
        <w:tc>
          <w:tcPr>
            <w:tcW w:w="110" w:type="dxa"/>
            <w:tcBorders>
              <w:top w:val="nil" w:sz="6" w:space="0" w:color="auto"/>
              <w:left w:val="nil" w:sz="6" w:space="0" w:color="auto"/>
              <w:bottom w:val="nil" w:sz="6" w:space="0" w:color="auto"/>
              <w:right w:val="nil" w:sz="6" w:space="0" w:color="auto"/>
            </w:tcBorders>
          </w:tcPr>
          <w:p>
            <w:pPr/>
          </w:p>
        </w:tc>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5" w:right="0"/>
              <w:jc w:val="center"/>
              <w:rPr>
                <w:rFonts w:ascii="Arial" w:hAnsi="Arial" w:cs="Arial" w:eastAsia="Arial" w:hint="default"/>
                <w:sz w:val="16"/>
                <w:szCs w:val="16"/>
              </w:rPr>
            </w:pPr>
            <w:r>
              <w:rPr>
                <w:rFonts w:ascii="Arial"/>
                <w:w w:val="98"/>
                <w:sz w:val="16"/>
              </w:rPr>
              <w:t>-</w:t>
            </w:r>
            <w:r>
              <w:rPr>
                <w:rFonts w:ascii="Arial"/>
                <w:sz w:val="16"/>
              </w:rPr>
            </w:r>
          </w:p>
        </w:tc>
        <w:tc>
          <w:tcPr>
            <w:tcW w:w="293" w:type="dxa"/>
            <w:tcBorders>
              <w:top w:val="nil" w:sz="6" w:space="0" w:color="auto"/>
              <w:left w:val="nil" w:sz="6" w:space="0" w:color="auto"/>
              <w:bottom w:val="nil" w:sz="6" w:space="0" w:color="auto"/>
              <w:right w:val="nil" w:sz="6" w:space="0" w:color="auto"/>
            </w:tcBorders>
          </w:tcPr>
          <w:p>
            <w:pP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4"/>
              <w:jc w:val="center"/>
              <w:rPr>
                <w:rFonts w:ascii="Arial" w:hAnsi="Arial" w:cs="Arial" w:eastAsia="Arial" w:hint="default"/>
                <w:sz w:val="16"/>
                <w:szCs w:val="16"/>
              </w:rPr>
            </w:pPr>
            <w:r>
              <w:rPr>
                <w:rFonts w:ascii="Arial"/>
                <w:sz w:val="16"/>
              </w:rPr>
              <w:t>43.94</w:t>
            </w:r>
          </w:p>
        </w:tc>
      </w:tr>
      <w:tr>
        <w:trPr>
          <w:trHeight w:val="485"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206" w:lineRule="exact"/>
              <w:ind w:left="76" w:right="0"/>
              <w:jc w:val="left"/>
              <w:rPr>
                <w:rFonts w:ascii="宋体" w:hAnsi="宋体" w:cs="宋体" w:eastAsia="宋体" w:hint="default"/>
                <w:sz w:val="16"/>
                <w:szCs w:val="16"/>
              </w:rPr>
            </w:pPr>
            <w:r>
              <w:rPr>
                <w:rFonts w:ascii="宋体" w:hAnsi="宋体" w:cs="宋体" w:eastAsia="宋体" w:hint="default"/>
                <w:sz w:val="16"/>
                <w:szCs w:val="16"/>
              </w:rPr>
              <w:t>中国联通（巴西）运营有限公司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（“联通巴西运营”）</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6"/>
              <w:jc w:val="center"/>
              <w:rPr>
                <w:rFonts w:ascii="宋体" w:hAnsi="宋体" w:cs="宋体" w:eastAsia="宋体" w:hint="default"/>
                <w:sz w:val="16"/>
                <w:szCs w:val="16"/>
              </w:rPr>
            </w:pPr>
            <w:r>
              <w:rPr>
                <w:rFonts w:ascii="宋体" w:hAnsi="宋体" w:cs="宋体" w:eastAsia="宋体" w:hint="default"/>
                <w:sz w:val="16"/>
                <w:szCs w:val="16"/>
              </w:rPr>
              <w:t>巴西</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6"/>
                <w:szCs w:val="16"/>
              </w:rPr>
            </w:pPr>
            <w:r>
              <w:rPr>
                <w:rFonts w:ascii="宋体" w:hAnsi="宋体" w:cs="宋体" w:eastAsia="宋体" w:hint="default"/>
                <w:sz w:val="16"/>
                <w:szCs w:val="16"/>
              </w:rPr>
              <w:t>巴西</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345" w:right="0"/>
              <w:jc w:val="left"/>
              <w:rPr>
                <w:rFonts w:ascii="宋体" w:hAnsi="宋体" w:cs="宋体" w:eastAsia="宋体" w:hint="default"/>
                <w:sz w:val="16"/>
                <w:szCs w:val="16"/>
              </w:rPr>
            </w:pPr>
            <w:r>
              <w:rPr>
                <w:rFonts w:ascii="宋体" w:hAnsi="宋体" w:cs="宋体" w:eastAsia="宋体" w:hint="default"/>
                <w:sz w:val="16"/>
                <w:szCs w:val="16"/>
              </w:rPr>
              <w:t>电信业务</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494" w:right="0"/>
              <w:jc w:val="left"/>
              <w:rPr>
                <w:rFonts w:ascii="宋体" w:hAnsi="宋体" w:cs="宋体" w:eastAsia="宋体" w:hint="default"/>
                <w:sz w:val="16"/>
                <w:szCs w:val="16"/>
              </w:rPr>
            </w:pPr>
            <w:r>
              <w:rPr>
                <w:rFonts w:ascii="宋体" w:hAnsi="宋体" w:cs="宋体" w:eastAsia="宋体" w:hint="default"/>
                <w:sz w:val="16"/>
                <w:szCs w:val="16"/>
              </w:rPr>
              <w:t>不适用</w:t>
            </w:r>
          </w:p>
        </w:tc>
        <w:tc>
          <w:tcPr>
            <w:tcW w:w="110" w:type="dxa"/>
            <w:tcBorders>
              <w:top w:val="nil" w:sz="6" w:space="0" w:color="auto"/>
              <w:left w:val="nil" w:sz="6" w:space="0" w:color="auto"/>
              <w:bottom w:val="nil" w:sz="6" w:space="0" w:color="auto"/>
              <w:right w:val="nil" w:sz="6" w:space="0" w:color="auto"/>
            </w:tcBorders>
          </w:tcPr>
          <w:p>
            <w:pPr/>
          </w:p>
        </w:tc>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5" w:right="0"/>
              <w:jc w:val="center"/>
              <w:rPr>
                <w:rFonts w:ascii="Arial" w:hAnsi="Arial" w:cs="Arial" w:eastAsia="Arial" w:hint="default"/>
                <w:sz w:val="16"/>
                <w:szCs w:val="16"/>
              </w:rPr>
            </w:pPr>
            <w:r>
              <w:rPr>
                <w:rFonts w:ascii="Arial"/>
                <w:w w:val="98"/>
                <w:sz w:val="16"/>
              </w:rPr>
              <w:t>-</w:t>
            </w:r>
            <w:r>
              <w:rPr>
                <w:rFonts w:ascii="Arial"/>
                <w:sz w:val="16"/>
              </w:rPr>
            </w:r>
          </w:p>
        </w:tc>
        <w:tc>
          <w:tcPr>
            <w:tcW w:w="293" w:type="dxa"/>
            <w:tcBorders>
              <w:top w:val="nil" w:sz="6" w:space="0" w:color="auto"/>
              <w:left w:val="nil" w:sz="6" w:space="0" w:color="auto"/>
              <w:bottom w:val="nil" w:sz="6" w:space="0" w:color="auto"/>
              <w:right w:val="nil" w:sz="6" w:space="0" w:color="auto"/>
            </w:tcBorders>
          </w:tcPr>
          <w:p>
            <w:pP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4"/>
              <w:jc w:val="center"/>
              <w:rPr>
                <w:rFonts w:ascii="Arial" w:hAnsi="Arial" w:cs="Arial" w:eastAsia="Arial" w:hint="default"/>
                <w:sz w:val="16"/>
                <w:szCs w:val="16"/>
              </w:rPr>
            </w:pPr>
            <w:r>
              <w:rPr>
                <w:rFonts w:ascii="Arial"/>
                <w:sz w:val="16"/>
              </w:rPr>
              <w:t>43.94</w:t>
            </w:r>
          </w:p>
        </w:tc>
      </w:tr>
      <w:tr>
        <w:trPr>
          <w:trHeight w:val="473"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206" w:lineRule="exact"/>
              <w:ind w:left="76" w:right="0"/>
              <w:jc w:val="left"/>
              <w:rPr>
                <w:rFonts w:ascii="宋体" w:hAnsi="宋体" w:cs="宋体" w:eastAsia="宋体" w:hint="default"/>
                <w:sz w:val="16"/>
                <w:szCs w:val="16"/>
              </w:rPr>
            </w:pPr>
            <w:r>
              <w:rPr>
                <w:rFonts w:ascii="宋体" w:hAnsi="宋体" w:cs="宋体" w:eastAsia="宋体" w:hint="default"/>
                <w:sz w:val="16"/>
                <w:szCs w:val="16"/>
              </w:rPr>
              <w:t>中国联通（巴西）控股有限公司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（“联通巴西控股”）</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6"/>
              <w:jc w:val="center"/>
              <w:rPr>
                <w:rFonts w:ascii="宋体" w:hAnsi="宋体" w:cs="宋体" w:eastAsia="宋体" w:hint="default"/>
                <w:sz w:val="16"/>
                <w:szCs w:val="16"/>
              </w:rPr>
            </w:pPr>
            <w:r>
              <w:rPr>
                <w:rFonts w:ascii="宋体" w:hAnsi="宋体" w:cs="宋体" w:eastAsia="宋体" w:hint="default"/>
                <w:sz w:val="16"/>
                <w:szCs w:val="16"/>
              </w:rPr>
              <w:t>巴西</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6"/>
                <w:szCs w:val="16"/>
              </w:rPr>
            </w:pPr>
            <w:r>
              <w:rPr>
                <w:rFonts w:ascii="宋体" w:hAnsi="宋体" w:cs="宋体" w:eastAsia="宋体" w:hint="default"/>
                <w:sz w:val="16"/>
                <w:szCs w:val="16"/>
              </w:rPr>
              <w:t>巴西</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345" w:right="0"/>
              <w:jc w:val="left"/>
              <w:rPr>
                <w:rFonts w:ascii="宋体" w:hAnsi="宋体" w:cs="宋体" w:eastAsia="宋体" w:hint="default"/>
                <w:sz w:val="16"/>
                <w:szCs w:val="16"/>
              </w:rPr>
            </w:pPr>
            <w:r>
              <w:rPr>
                <w:rFonts w:ascii="宋体" w:hAnsi="宋体" w:cs="宋体" w:eastAsia="宋体" w:hint="default"/>
                <w:sz w:val="16"/>
                <w:szCs w:val="16"/>
              </w:rPr>
              <w:t>投资控股</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494" w:right="0"/>
              <w:jc w:val="left"/>
              <w:rPr>
                <w:rFonts w:ascii="宋体" w:hAnsi="宋体" w:cs="宋体" w:eastAsia="宋体" w:hint="default"/>
                <w:sz w:val="16"/>
                <w:szCs w:val="16"/>
              </w:rPr>
            </w:pPr>
            <w:r>
              <w:rPr>
                <w:rFonts w:ascii="宋体" w:hAnsi="宋体" w:cs="宋体" w:eastAsia="宋体" w:hint="default"/>
                <w:sz w:val="16"/>
                <w:szCs w:val="16"/>
              </w:rPr>
              <w:t>不适用</w:t>
            </w:r>
          </w:p>
        </w:tc>
        <w:tc>
          <w:tcPr>
            <w:tcW w:w="110" w:type="dxa"/>
            <w:tcBorders>
              <w:top w:val="nil" w:sz="6" w:space="0" w:color="auto"/>
              <w:left w:val="nil" w:sz="6" w:space="0" w:color="auto"/>
              <w:bottom w:val="nil" w:sz="6" w:space="0" w:color="auto"/>
              <w:right w:val="nil" w:sz="6" w:space="0" w:color="auto"/>
            </w:tcBorders>
          </w:tcPr>
          <w:p>
            <w:pPr/>
          </w:p>
        </w:tc>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5" w:right="0"/>
              <w:jc w:val="center"/>
              <w:rPr>
                <w:rFonts w:ascii="Arial" w:hAnsi="Arial" w:cs="Arial" w:eastAsia="Arial" w:hint="default"/>
                <w:sz w:val="16"/>
                <w:szCs w:val="16"/>
              </w:rPr>
            </w:pPr>
            <w:r>
              <w:rPr>
                <w:rFonts w:ascii="Arial"/>
                <w:w w:val="98"/>
                <w:sz w:val="16"/>
              </w:rPr>
              <w:t>-</w:t>
            </w:r>
            <w:r>
              <w:rPr>
                <w:rFonts w:ascii="Arial"/>
                <w:sz w:val="16"/>
              </w:rPr>
            </w:r>
          </w:p>
        </w:tc>
        <w:tc>
          <w:tcPr>
            <w:tcW w:w="293" w:type="dxa"/>
            <w:tcBorders>
              <w:top w:val="nil" w:sz="6" w:space="0" w:color="auto"/>
              <w:left w:val="nil" w:sz="6" w:space="0" w:color="auto"/>
              <w:bottom w:val="nil" w:sz="6" w:space="0" w:color="auto"/>
              <w:right w:val="nil" w:sz="6" w:space="0" w:color="auto"/>
            </w:tcBorders>
          </w:tcPr>
          <w:p>
            <w:pP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4"/>
              <w:jc w:val="center"/>
              <w:rPr>
                <w:rFonts w:ascii="Arial" w:hAnsi="Arial" w:cs="Arial" w:eastAsia="Arial" w:hint="default"/>
                <w:sz w:val="16"/>
                <w:szCs w:val="16"/>
              </w:rPr>
            </w:pPr>
            <w:r>
              <w:rPr>
                <w:rFonts w:ascii="Arial"/>
                <w:sz w:val="16"/>
              </w:rPr>
              <w:t>43.94</w:t>
            </w:r>
          </w:p>
        </w:tc>
      </w:tr>
      <w:tr>
        <w:trPr>
          <w:trHeight w:val="461"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194"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联通创新创业投资有限公司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（“联通创投”）</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05"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82" w:right="0"/>
              <w:jc w:val="left"/>
              <w:rPr>
                <w:rFonts w:ascii="宋体" w:hAnsi="宋体" w:cs="宋体" w:eastAsia="宋体" w:hint="default"/>
                <w:sz w:val="16"/>
                <w:szCs w:val="16"/>
              </w:rPr>
            </w:pPr>
            <w:r>
              <w:rPr>
                <w:rFonts w:ascii="宋体" w:hAnsi="宋体" w:cs="宋体" w:eastAsia="宋体" w:hint="default"/>
                <w:sz w:val="16"/>
                <w:szCs w:val="16"/>
              </w:rPr>
              <w:t>创业投资业务</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379" w:right="0"/>
              <w:jc w:val="left"/>
              <w:rPr>
                <w:rFonts w:ascii="Arial" w:hAnsi="Arial" w:cs="Arial" w:eastAsia="Arial" w:hint="default"/>
                <w:sz w:val="16"/>
                <w:szCs w:val="16"/>
              </w:rPr>
            </w:pPr>
            <w:r>
              <w:rPr>
                <w:rFonts w:ascii="Arial"/>
                <w:sz w:val="16"/>
              </w:rPr>
              <w:t>5,000,000</w:t>
            </w:r>
          </w:p>
        </w:tc>
        <w:tc>
          <w:tcPr>
            <w:tcW w:w="110" w:type="dxa"/>
            <w:tcBorders>
              <w:top w:val="nil" w:sz="6" w:space="0" w:color="auto"/>
              <w:left w:val="nil" w:sz="6" w:space="0" w:color="auto"/>
              <w:bottom w:val="nil" w:sz="6" w:space="0" w:color="auto"/>
              <w:right w:val="nil" w:sz="6" w:space="0" w:color="auto"/>
            </w:tcBorders>
          </w:tcPr>
          <w:p>
            <w:pPr/>
          </w:p>
        </w:tc>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5" w:right="0"/>
              <w:jc w:val="center"/>
              <w:rPr>
                <w:rFonts w:ascii="Arial" w:hAnsi="Arial" w:cs="Arial" w:eastAsia="Arial" w:hint="default"/>
                <w:sz w:val="16"/>
                <w:szCs w:val="16"/>
              </w:rPr>
            </w:pPr>
            <w:r>
              <w:rPr>
                <w:rFonts w:ascii="Arial"/>
                <w:w w:val="98"/>
                <w:sz w:val="16"/>
              </w:rPr>
              <w:t>-</w:t>
            </w:r>
            <w:r>
              <w:rPr>
                <w:rFonts w:ascii="Arial"/>
                <w:sz w:val="16"/>
              </w:rPr>
            </w:r>
          </w:p>
        </w:tc>
        <w:tc>
          <w:tcPr>
            <w:tcW w:w="293" w:type="dxa"/>
            <w:tcBorders>
              <w:top w:val="nil" w:sz="6" w:space="0" w:color="auto"/>
              <w:left w:val="nil" w:sz="6" w:space="0" w:color="auto"/>
              <w:bottom w:val="nil" w:sz="6" w:space="0" w:color="auto"/>
              <w:right w:val="nil" w:sz="6" w:space="0" w:color="auto"/>
            </w:tcBorders>
          </w:tcPr>
          <w:p>
            <w:pP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4"/>
              <w:jc w:val="center"/>
              <w:rPr>
                <w:rFonts w:ascii="Arial" w:hAnsi="Arial" w:cs="Arial" w:eastAsia="Arial" w:hint="default"/>
                <w:sz w:val="16"/>
                <w:szCs w:val="16"/>
              </w:rPr>
            </w:pPr>
            <w:r>
              <w:rPr>
                <w:rFonts w:ascii="Arial"/>
                <w:sz w:val="16"/>
              </w:rPr>
              <w:t>43.94</w:t>
            </w:r>
          </w:p>
        </w:tc>
      </w:tr>
      <w:tr>
        <w:trPr>
          <w:trHeight w:val="424"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194" w:lineRule="exact"/>
              <w:ind w:left="76" w:right="0"/>
              <w:jc w:val="left"/>
              <w:rPr>
                <w:rFonts w:ascii="宋体" w:hAnsi="宋体" w:cs="宋体" w:eastAsia="宋体" w:hint="default"/>
                <w:sz w:val="16"/>
                <w:szCs w:val="16"/>
              </w:rPr>
            </w:pPr>
            <w:r>
              <w:rPr>
                <w:rFonts w:ascii="宋体" w:hAnsi="宋体" w:cs="宋体" w:eastAsia="宋体" w:hint="default"/>
                <w:sz w:val="16"/>
                <w:szCs w:val="16"/>
              </w:rPr>
              <w:t>小沃科技有限公司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（“小沃科技”）</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center"/>
              <w:rPr>
                <w:rFonts w:ascii="宋体" w:hAnsi="宋体" w:cs="宋体" w:eastAsia="宋体" w:hint="default"/>
                <w:sz w:val="16"/>
                <w:szCs w:val="16"/>
              </w:rPr>
            </w:pPr>
            <w:r>
              <w:rPr>
                <w:rFonts w:ascii="宋体" w:hAnsi="宋体" w:cs="宋体" w:eastAsia="宋体" w:hint="default"/>
                <w:sz w:val="16"/>
                <w:szCs w:val="16"/>
              </w:rPr>
              <w:t>中国，上海市</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05" w:right="0"/>
              <w:jc w:val="left"/>
              <w:rPr>
                <w:rFonts w:ascii="宋体" w:hAnsi="宋体" w:cs="宋体" w:eastAsia="宋体" w:hint="default"/>
                <w:sz w:val="16"/>
                <w:szCs w:val="16"/>
              </w:rPr>
            </w:pPr>
            <w:r>
              <w:rPr>
                <w:rFonts w:ascii="宋体" w:hAnsi="宋体" w:cs="宋体" w:eastAsia="宋体" w:hint="default"/>
                <w:sz w:val="16"/>
                <w:szCs w:val="16"/>
              </w:rPr>
              <w:t>中国，上海市</w:t>
            </w:r>
          </w:p>
        </w:tc>
        <w:tc>
          <w:tcPr>
            <w:tcW w:w="1296" w:type="dxa"/>
            <w:tcBorders>
              <w:top w:val="nil" w:sz="6" w:space="0" w:color="auto"/>
              <w:left w:val="nil" w:sz="6" w:space="0" w:color="auto"/>
              <w:bottom w:val="nil" w:sz="6" w:space="0" w:color="auto"/>
              <w:right w:val="nil" w:sz="6" w:space="0" w:color="auto"/>
            </w:tcBorders>
          </w:tcPr>
          <w:p>
            <w:pPr>
              <w:pStyle w:val="TableParagraph"/>
              <w:spacing w:line="206" w:lineRule="exact" w:before="8"/>
              <w:ind w:left="422" w:right="314" w:hanging="77"/>
              <w:jc w:val="left"/>
              <w:rPr>
                <w:rFonts w:ascii="宋体" w:hAnsi="宋体" w:cs="宋体" w:eastAsia="宋体" w:hint="default"/>
                <w:sz w:val="16"/>
                <w:szCs w:val="16"/>
              </w:rPr>
            </w:pPr>
            <w:r>
              <w:rPr>
                <w:rFonts w:ascii="宋体" w:hAnsi="宋体" w:cs="宋体" w:eastAsia="宋体" w:hint="default"/>
                <w:w w:val="95"/>
                <w:sz w:val="16"/>
                <w:szCs w:val="16"/>
              </w:rPr>
              <w:t>技术开发</w:t>
            </w:r>
            <w:r>
              <w:rPr>
                <w:rFonts w:ascii="宋体" w:hAnsi="宋体" w:cs="宋体" w:eastAsia="宋体" w:hint="default"/>
                <w:spacing w:val="-51"/>
                <w:w w:val="95"/>
                <w:sz w:val="16"/>
                <w:szCs w:val="16"/>
              </w:rPr>
              <w:t> </w:t>
            </w:r>
            <w:r>
              <w:rPr>
                <w:rFonts w:ascii="宋体" w:hAnsi="宋体" w:cs="宋体" w:eastAsia="宋体" w:hint="default"/>
                <w:sz w:val="16"/>
                <w:szCs w:val="16"/>
              </w:rPr>
              <w:t>和推广</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446" w:right="0"/>
              <w:jc w:val="left"/>
              <w:rPr>
                <w:rFonts w:ascii="Arial" w:hAnsi="Arial" w:cs="Arial" w:eastAsia="Arial" w:hint="default"/>
                <w:sz w:val="16"/>
                <w:szCs w:val="16"/>
              </w:rPr>
            </w:pPr>
            <w:r>
              <w:rPr>
                <w:rFonts w:ascii="Arial"/>
                <w:sz w:val="16"/>
              </w:rPr>
              <w:t>200,000</w:t>
            </w:r>
          </w:p>
        </w:tc>
        <w:tc>
          <w:tcPr>
            <w:tcW w:w="110" w:type="dxa"/>
            <w:tcBorders>
              <w:top w:val="nil" w:sz="6" w:space="0" w:color="auto"/>
              <w:left w:val="nil" w:sz="6" w:space="0" w:color="auto"/>
              <w:bottom w:val="nil" w:sz="6" w:space="0" w:color="auto"/>
              <w:right w:val="nil" w:sz="6" w:space="0" w:color="auto"/>
            </w:tcBorders>
          </w:tcPr>
          <w:p>
            <w:pPr/>
          </w:p>
        </w:tc>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5" w:right="0"/>
              <w:jc w:val="center"/>
              <w:rPr>
                <w:rFonts w:ascii="Arial" w:hAnsi="Arial" w:cs="Arial" w:eastAsia="Arial" w:hint="default"/>
                <w:sz w:val="16"/>
                <w:szCs w:val="16"/>
              </w:rPr>
            </w:pPr>
            <w:r>
              <w:rPr>
                <w:rFonts w:ascii="Arial"/>
                <w:w w:val="98"/>
                <w:sz w:val="16"/>
              </w:rPr>
              <w:t>-</w:t>
            </w:r>
            <w:r>
              <w:rPr>
                <w:rFonts w:ascii="Arial"/>
                <w:sz w:val="16"/>
              </w:rPr>
            </w:r>
          </w:p>
        </w:tc>
        <w:tc>
          <w:tcPr>
            <w:tcW w:w="293" w:type="dxa"/>
            <w:tcBorders>
              <w:top w:val="nil" w:sz="6" w:space="0" w:color="auto"/>
              <w:left w:val="nil" w:sz="6" w:space="0" w:color="auto"/>
              <w:bottom w:val="nil" w:sz="6" w:space="0" w:color="auto"/>
              <w:right w:val="nil" w:sz="6" w:space="0" w:color="auto"/>
            </w:tcBorders>
          </w:tcPr>
          <w:p>
            <w:pP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4"/>
              <w:jc w:val="center"/>
              <w:rPr>
                <w:rFonts w:ascii="Arial" w:hAnsi="Arial" w:cs="Arial" w:eastAsia="Arial" w:hint="default"/>
                <w:sz w:val="16"/>
                <w:szCs w:val="16"/>
              </w:rPr>
            </w:pPr>
            <w:r>
              <w:rPr>
                <w:rFonts w:ascii="Arial"/>
                <w:sz w:val="16"/>
              </w:rPr>
              <w:t>43.94</w:t>
            </w:r>
          </w:p>
        </w:tc>
      </w:tr>
    </w:tbl>
    <w:p>
      <w:pPr>
        <w:spacing w:after="0" w:line="240" w:lineRule="auto"/>
        <w:jc w:val="center"/>
        <w:rPr>
          <w:rFonts w:ascii="Arial" w:hAnsi="Arial" w:cs="Arial" w:eastAsia="Arial" w:hint="default"/>
          <w:sz w:val="16"/>
          <w:szCs w:val="16"/>
        </w:rPr>
        <w:sectPr>
          <w:headerReference w:type="default" r:id="rId210"/>
          <w:pgSz w:w="11910" w:h="16840"/>
          <w:pgMar w:header="1188" w:footer="502" w:top="2500" w:bottom="700" w:left="1020" w:right="1260"/>
        </w:sectPr>
      </w:pPr>
    </w:p>
    <w:p>
      <w:pPr>
        <w:spacing w:line="240" w:lineRule="auto" w:before="7"/>
        <w:rPr>
          <w:rFonts w:ascii="Times New Roman" w:hAnsi="Times New Roman" w:cs="Times New Roman" w:eastAsia="Times New Roman" w:hint="default"/>
          <w:sz w:val="29"/>
          <w:szCs w:val="29"/>
        </w:rPr>
      </w:pPr>
    </w:p>
    <w:tbl>
      <w:tblPr>
        <w:tblW w:w="0" w:type="auto"/>
        <w:jc w:val="left"/>
        <w:tblInd w:w="131" w:type="dxa"/>
        <w:tblLayout w:type="fixed"/>
        <w:tblCellMar>
          <w:top w:w="0" w:type="dxa"/>
          <w:left w:w="0" w:type="dxa"/>
          <w:bottom w:w="0" w:type="dxa"/>
          <w:right w:w="0" w:type="dxa"/>
        </w:tblCellMar>
        <w:tblLook w:val="01E0"/>
      </w:tblPr>
      <w:tblGrid>
        <w:gridCol w:w="2818"/>
        <w:gridCol w:w="1258"/>
        <w:gridCol w:w="1176"/>
        <w:gridCol w:w="101"/>
        <w:gridCol w:w="1267"/>
        <w:gridCol w:w="1570"/>
        <w:gridCol w:w="322"/>
        <w:gridCol w:w="365"/>
        <w:gridCol w:w="523"/>
      </w:tblGrid>
      <w:tr>
        <w:trPr>
          <w:trHeight w:val="189" w:hRule="exact"/>
        </w:trPr>
        <w:tc>
          <w:tcPr>
            <w:tcW w:w="2818" w:type="dxa"/>
            <w:tcBorders>
              <w:top w:val="nil" w:sz="6" w:space="0" w:color="auto"/>
              <w:left w:val="nil" w:sz="6" w:space="0" w:color="auto"/>
              <w:bottom w:val="single" w:sz="4" w:space="0" w:color="000000"/>
              <w:right w:val="nil" w:sz="6" w:space="0" w:color="auto"/>
            </w:tcBorders>
          </w:tcPr>
          <w:p>
            <w:pPr>
              <w:pStyle w:val="TableParagraph"/>
              <w:spacing w:line="159" w:lineRule="exact"/>
              <w:ind w:left="14" w:right="0"/>
              <w:jc w:val="left"/>
              <w:rPr>
                <w:rFonts w:ascii="宋体" w:hAnsi="宋体" w:cs="宋体" w:eastAsia="宋体" w:hint="default"/>
                <w:sz w:val="16"/>
                <w:szCs w:val="16"/>
              </w:rPr>
            </w:pPr>
            <w:r>
              <w:rPr>
                <w:rFonts w:ascii="宋体" w:hAnsi="宋体" w:cs="宋体" w:eastAsia="宋体" w:hint="default"/>
                <w:sz w:val="16"/>
                <w:szCs w:val="16"/>
              </w:rPr>
              <w:t>子公司名称</w:t>
            </w:r>
          </w:p>
        </w:tc>
        <w:tc>
          <w:tcPr>
            <w:tcW w:w="1258" w:type="dxa"/>
            <w:tcBorders>
              <w:top w:val="nil" w:sz="6" w:space="0" w:color="auto"/>
              <w:left w:val="nil" w:sz="6" w:space="0" w:color="auto"/>
              <w:bottom w:val="single" w:sz="4" w:space="0" w:color="000000"/>
              <w:right w:val="nil" w:sz="6" w:space="0" w:color="auto"/>
            </w:tcBorders>
          </w:tcPr>
          <w:p>
            <w:pPr>
              <w:pStyle w:val="TableParagraph"/>
              <w:spacing w:line="159" w:lineRule="exact"/>
              <w:ind w:left="259" w:right="0"/>
              <w:jc w:val="left"/>
              <w:rPr>
                <w:rFonts w:ascii="宋体" w:hAnsi="宋体" w:cs="宋体" w:eastAsia="宋体" w:hint="default"/>
                <w:sz w:val="16"/>
                <w:szCs w:val="16"/>
              </w:rPr>
            </w:pPr>
            <w:r>
              <w:rPr>
                <w:rFonts w:ascii="宋体" w:hAnsi="宋体" w:cs="宋体" w:eastAsia="宋体" w:hint="default"/>
                <w:sz w:val="16"/>
                <w:szCs w:val="16"/>
              </w:rPr>
              <w:t>主要经营地</w:t>
            </w:r>
          </w:p>
        </w:tc>
        <w:tc>
          <w:tcPr>
            <w:tcW w:w="1176" w:type="dxa"/>
            <w:tcBorders>
              <w:top w:val="nil" w:sz="6" w:space="0" w:color="auto"/>
              <w:left w:val="nil" w:sz="6" w:space="0" w:color="auto"/>
              <w:bottom w:val="single" w:sz="4" w:space="0" w:color="000000"/>
              <w:right w:val="nil" w:sz="6" w:space="0" w:color="auto"/>
            </w:tcBorders>
          </w:tcPr>
          <w:p>
            <w:pPr>
              <w:pStyle w:val="TableParagraph"/>
              <w:spacing w:line="159" w:lineRule="exact"/>
              <w:ind w:left="383" w:right="0"/>
              <w:jc w:val="left"/>
              <w:rPr>
                <w:rFonts w:ascii="宋体" w:hAnsi="宋体" w:cs="宋体" w:eastAsia="宋体" w:hint="default"/>
                <w:sz w:val="16"/>
                <w:szCs w:val="16"/>
              </w:rPr>
            </w:pPr>
            <w:r>
              <w:rPr>
                <w:rFonts w:ascii="宋体" w:hAnsi="宋体" w:cs="宋体" w:eastAsia="宋体" w:hint="default"/>
                <w:sz w:val="16"/>
                <w:szCs w:val="16"/>
              </w:rPr>
              <w:t>注册地</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single" w:sz="4" w:space="0" w:color="000000"/>
              <w:right w:val="nil" w:sz="6" w:space="0" w:color="auto"/>
            </w:tcBorders>
          </w:tcPr>
          <w:p>
            <w:pPr>
              <w:pStyle w:val="TableParagraph"/>
              <w:spacing w:line="159" w:lineRule="exact"/>
              <w:ind w:left="38" w:right="0"/>
              <w:jc w:val="center"/>
              <w:rPr>
                <w:rFonts w:ascii="宋体" w:hAnsi="宋体" w:cs="宋体" w:eastAsia="宋体" w:hint="default"/>
                <w:sz w:val="16"/>
                <w:szCs w:val="16"/>
              </w:rPr>
            </w:pPr>
            <w:r>
              <w:rPr>
                <w:rFonts w:ascii="宋体" w:hAnsi="宋体" w:cs="宋体" w:eastAsia="宋体" w:hint="default"/>
                <w:sz w:val="16"/>
                <w:szCs w:val="16"/>
              </w:rPr>
              <w:t>业务性质</w:t>
            </w:r>
          </w:p>
        </w:tc>
        <w:tc>
          <w:tcPr>
            <w:tcW w:w="1570" w:type="dxa"/>
            <w:tcBorders>
              <w:top w:val="nil" w:sz="6" w:space="0" w:color="auto"/>
              <w:left w:val="nil" w:sz="6" w:space="0" w:color="auto"/>
              <w:bottom w:val="single" w:sz="4" w:space="0" w:color="000000"/>
              <w:right w:val="nil" w:sz="6" w:space="0" w:color="auto"/>
            </w:tcBorders>
          </w:tcPr>
          <w:p>
            <w:pPr>
              <w:pStyle w:val="TableParagraph"/>
              <w:spacing w:line="159" w:lineRule="exact"/>
              <w:ind w:right="12"/>
              <w:jc w:val="center"/>
              <w:rPr>
                <w:rFonts w:ascii="宋体" w:hAnsi="宋体" w:cs="宋体" w:eastAsia="宋体" w:hint="default"/>
                <w:sz w:val="16"/>
                <w:szCs w:val="16"/>
              </w:rPr>
            </w:pPr>
            <w:r>
              <w:rPr>
                <w:rFonts w:ascii="宋体" w:hAnsi="宋体" w:cs="宋体" w:eastAsia="宋体" w:hint="default"/>
                <w:sz w:val="16"/>
                <w:szCs w:val="16"/>
              </w:rPr>
              <w:t>注册资本（千元）</w:t>
            </w:r>
          </w:p>
        </w:tc>
        <w:tc>
          <w:tcPr>
            <w:tcW w:w="1210" w:type="dxa"/>
            <w:gridSpan w:val="3"/>
            <w:tcBorders>
              <w:top w:val="nil" w:sz="6" w:space="0" w:color="auto"/>
              <w:left w:val="nil" w:sz="6" w:space="0" w:color="auto"/>
              <w:bottom w:val="single" w:sz="4" w:space="0" w:color="000000"/>
              <w:right w:val="nil" w:sz="6" w:space="0" w:color="auto"/>
            </w:tcBorders>
          </w:tcPr>
          <w:p>
            <w:pPr>
              <w:pStyle w:val="TableParagraph"/>
              <w:spacing w:line="170" w:lineRule="exact"/>
              <w:ind w:left="81" w:right="0"/>
              <w:jc w:val="left"/>
              <w:rPr>
                <w:rFonts w:ascii="Arial" w:hAnsi="Arial" w:cs="Arial" w:eastAsia="Arial" w:hint="default"/>
                <w:sz w:val="16"/>
                <w:szCs w:val="16"/>
              </w:rPr>
            </w:pPr>
            <w:r>
              <w:rPr>
                <w:rFonts w:ascii="宋体" w:hAnsi="宋体" w:cs="宋体" w:eastAsia="宋体" w:hint="default"/>
                <w:sz w:val="16"/>
                <w:szCs w:val="16"/>
              </w:rPr>
              <w:t>持股比例</w:t>
            </w:r>
            <w:r>
              <w:rPr>
                <w:rFonts w:ascii="Arial" w:hAnsi="Arial" w:cs="Arial" w:eastAsia="Arial" w:hint="default"/>
                <w:sz w:val="16"/>
                <w:szCs w:val="16"/>
              </w:rPr>
              <w:t>(%)</w:t>
            </w:r>
          </w:p>
        </w:tc>
      </w:tr>
      <w:tr>
        <w:trPr>
          <w:trHeight w:val="336" w:hRule="exact"/>
        </w:trPr>
        <w:tc>
          <w:tcPr>
            <w:tcW w:w="2818" w:type="dxa"/>
            <w:tcBorders>
              <w:top w:val="single" w:sz="4" w:space="0" w:color="000000"/>
              <w:left w:val="nil" w:sz="6" w:space="0" w:color="auto"/>
              <w:bottom w:val="nil" w:sz="6" w:space="0" w:color="auto"/>
              <w:right w:val="nil" w:sz="6" w:space="0" w:color="auto"/>
            </w:tcBorders>
          </w:tcPr>
          <w:p>
            <w:pPr/>
          </w:p>
        </w:tc>
        <w:tc>
          <w:tcPr>
            <w:tcW w:w="1258" w:type="dxa"/>
            <w:tcBorders>
              <w:top w:val="single" w:sz="4" w:space="0" w:color="000000"/>
              <w:left w:val="nil" w:sz="6" w:space="0" w:color="auto"/>
              <w:bottom w:val="nil" w:sz="6" w:space="0" w:color="auto"/>
              <w:right w:val="nil" w:sz="6" w:space="0" w:color="auto"/>
            </w:tcBorders>
          </w:tcPr>
          <w:p>
            <w:pPr/>
          </w:p>
        </w:tc>
        <w:tc>
          <w:tcPr>
            <w:tcW w:w="1176" w:type="dxa"/>
            <w:tcBorders>
              <w:top w:val="single" w:sz="4" w:space="0" w:color="000000"/>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single" w:sz="4" w:space="0" w:color="000000"/>
              <w:left w:val="nil" w:sz="6" w:space="0" w:color="auto"/>
              <w:bottom w:val="nil" w:sz="6" w:space="0" w:color="auto"/>
              <w:right w:val="nil" w:sz="6" w:space="0" w:color="auto"/>
            </w:tcBorders>
          </w:tcPr>
          <w:p>
            <w:pPr/>
          </w:p>
        </w:tc>
        <w:tc>
          <w:tcPr>
            <w:tcW w:w="1570" w:type="dxa"/>
            <w:tcBorders>
              <w:top w:val="single" w:sz="4" w:space="0" w:color="000000"/>
              <w:left w:val="nil" w:sz="6" w:space="0" w:color="auto"/>
              <w:bottom w:val="nil" w:sz="6" w:space="0" w:color="auto"/>
              <w:right w:val="nil" w:sz="6" w:space="0" w:color="auto"/>
            </w:tcBorders>
          </w:tcPr>
          <w:p>
            <w:pPr/>
          </w:p>
        </w:tc>
        <w:tc>
          <w:tcPr>
            <w:tcW w:w="322" w:type="dxa"/>
            <w:tcBorders>
              <w:top w:val="single" w:sz="4" w:space="0" w:color="000000"/>
              <w:left w:val="nil" w:sz="6" w:space="0" w:color="auto"/>
              <w:bottom w:val="single" w:sz="4" w:space="0" w:color="000000"/>
              <w:right w:val="nil" w:sz="6" w:space="0" w:color="auto"/>
            </w:tcBorders>
          </w:tcPr>
          <w:p>
            <w:pPr>
              <w:pStyle w:val="TableParagraph"/>
              <w:spacing w:line="240" w:lineRule="auto" w:before="110"/>
              <w:ind w:left="-1" w:right="2"/>
              <w:jc w:val="center"/>
              <w:rPr>
                <w:rFonts w:ascii="宋体" w:hAnsi="宋体" w:cs="宋体" w:eastAsia="宋体" w:hint="default"/>
                <w:sz w:val="16"/>
                <w:szCs w:val="16"/>
              </w:rPr>
            </w:pPr>
            <w:r>
              <w:rPr>
                <w:rFonts w:ascii="宋体" w:hAnsi="宋体" w:cs="宋体" w:eastAsia="宋体" w:hint="default"/>
                <w:w w:val="95"/>
                <w:sz w:val="16"/>
                <w:szCs w:val="16"/>
              </w:rPr>
              <w:t>直接</w:t>
            </w:r>
            <w:r>
              <w:rPr>
                <w:rFonts w:ascii="宋体" w:hAnsi="宋体" w:cs="宋体" w:eastAsia="宋体" w:hint="default"/>
                <w:sz w:val="16"/>
                <w:szCs w:val="16"/>
              </w:rPr>
            </w:r>
          </w:p>
        </w:tc>
        <w:tc>
          <w:tcPr>
            <w:tcW w:w="365" w:type="dxa"/>
            <w:tcBorders>
              <w:top w:val="single" w:sz="4" w:space="0" w:color="000000"/>
              <w:left w:val="nil" w:sz="6" w:space="0" w:color="auto"/>
              <w:bottom w:val="nil" w:sz="6" w:space="0" w:color="auto"/>
              <w:right w:val="nil" w:sz="6" w:space="0" w:color="auto"/>
            </w:tcBorders>
          </w:tcPr>
          <w:p>
            <w:pPr/>
          </w:p>
        </w:tc>
        <w:tc>
          <w:tcPr>
            <w:tcW w:w="523" w:type="dxa"/>
            <w:tcBorders>
              <w:top w:val="single" w:sz="4" w:space="0" w:color="000000"/>
              <w:left w:val="nil" w:sz="6" w:space="0" w:color="auto"/>
              <w:bottom w:val="single" w:sz="4" w:space="0" w:color="000000"/>
              <w:right w:val="nil" w:sz="6" w:space="0" w:color="auto"/>
            </w:tcBorders>
          </w:tcPr>
          <w:p>
            <w:pPr>
              <w:pStyle w:val="TableParagraph"/>
              <w:spacing w:line="240" w:lineRule="auto" w:before="110"/>
              <w:ind w:left="38" w:right="0"/>
              <w:jc w:val="left"/>
              <w:rPr>
                <w:rFonts w:ascii="宋体" w:hAnsi="宋体" w:cs="宋体" w:eastAsia="宋体" w:hint="default"/>
                <w:sz w:val="16"/>
                <w:szCs w:val="16"/>
              </w:rPr>
            </w:pPr>
            <w:r>
              <w:rPr>
                <w:rFonts w:ascii="宋体" w:hAnsi="宋体" w:cs="宋体" w:eastAsia="宋体" w:hint="default"/>
                <w:sz w:val="16"/>
                <w:szCs w:val="16"/>
              </w:rPr>
              <w:t>间接</w:t>
            </w:r>
          </w:p>
        </w:tc>
      </w:tr>
      <w:tr>
        <w:trPr>
          <w:trHeight w:val="473"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194"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联通智网科技有限公司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（“智网科技”）</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left="148"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left="57"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74"/>
              <w:jc w:val="center"/>
              <w:rPr>
                <w:rFonts w:ascii="宋体" w:hAnsi="宋体" w:cs="宋体" w:eastAsia="宋体" w:hint="default"/>
                <w:sz w:val="16"/>
                <w:szCs w:val="16"/>
              </w:rPr>
            </w:pPr>
            <w:r>
              <w:rPr>
                <w:rFonts w:ascii="宋体" w:hAnsi="宋体" w:cs="宋体" w:eastAsia="宋体" w:hint="default"/>
                <w:sz w:val="16"/>
                <w:szCs w:val="16"/>
              </w:rPr>
              <w:t>汽车信息化服务</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right="123"/>
              <w:jc w:val="center"/>
              <w:rPr>
                <w:rFonts w:ascii="Arial" w:hAnsi="Arial" w:cs="Arial" w:eastAsia="Arial" w:hint="default"/>
                <w:sz w:val="16"/>
                <w:szCs w:val="16"/>
              </w:rPr>
            </w:pPr>
            <w:r>
              <w:rPr>
                <w:rFonts w:ascii="Arial"/>
                <w:sz w:val="16"/>
              </w:rPr>
              <w:t>246,796</w:t>
            </w:r>
          </w:p>
        </w:tc>
        <w:tc>
          <w:tcPr>
            <w:tcW w:w="322"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Arial" w:hAnsi="Arial" w:cs="Arial" w:eastAsia="Arial" w:hint="default"/>
                <w:sz w:val="16"/>
                <w:szCs w:val="16"/>
              </w:rPr>
            </w:pPr>
            <w:r>
              <w:rPr>
                <w:rFonts w:ascii="Arial"/>
                <w:sz w:val="16"/>
              </w:rPr>
              <w:t>30.27</w:t>
            </w:r>
          </w:p>
        </w:tc>
      </w:tr>
      <w:tr>
        <w:trPr>
          <w:trHeight w:val="482"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6" w:lineRule="exact"/>
              <w:ind w:left="76" w:right="0"/>
              <w:jc w:val="left"/>
              <w:rPr>
                <w:rFonts w:ascii="宋体" w:hAnsi="宋体" w:cs="宋体" w:eastAsia="宋体" w:hint="default"/>
                <w:sz w:val="16"/>
                <w:szCs w:val="16"/>
              </w:rPr>
            </w:pPr>
            <w:r>
              <w:rPr>
                <w:rFonts w:ascii="宋体" w:hAnsi="宋体" w:cs="宋体" w:eastAsia="宋体" w:hint="default"/>
                <w:sz w:val="16"/>
                <w:szCs w:val="16"/>
              </w:rPr>
              <w:t>中国联通国际有限公司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（“国际公司”）</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5" w:right="0"/>
              <w:jc w:val="left"/>
              <w:rPr>
                <w:rFonts w:ascii="宋体" w:hAnsi="宋体" w:cs="宋体" w:eastAsia="宋体" w:hint="default"/>
                <w:sz w:val="16"/>
                <w:szCs w:val="16"/>
              </w:rPr>
            </w:pPr>
            <w:r>
              <w:rPr>
                <w:rFonts w:ascii="宋体" w:hAnsi="宋体" w:cs="宋体" w:eastAsia="宋体" w:hint="default"/>
                <w:sz w:val="16"/>
                <w:szCs w:val="16"/>
              </w:rPr>
              <w:t>中国，香港</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139" w:right="0"/>
              <w:jc w:val="left"/>
              <w:rPr>
                <w:rFonts w:ascii="宋体" w:hAnsi="宋体" w:cs="宋体" w:eastAsia="宋体" w:hint="default"/>
                <w:sz w:val="16"/>
                <w:szCs w:val="16"/>
              </w:rPr>
            </w:pPr>
            <w:r>
              <w:rPr>
                <w:rFonts w:ascii="宋体" w:hAnsi="宋体" w:cs="宋体" w:eastAsia="宋体" w:hint="default"/>
                <w:sz w:val="16"/>
                <w:szCs w:val="16"/>
              </w:rPr>
              <w:t>中国，香港</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74"/>
              <w:jc w:val="center"/>
              <w:rPr>
                <w:rFonts w:ascii="宋体" w:hAnsi="宋体" w:cs="宋体" w:eastAsia="宋体" w:hint="default"/>
                <w:sz w:val="16"/>
                <w:szCs w:val="16"/>
              </w:rPr>
            </w:pPr>
            <w:r>
              <w:rPr>
                <w:rFonts w:ascii="宋体" w:hAnsi="宋体" w:cs="宋体" w:eastAsia="宋体" w:hint="default"/>
                <w:sz w:val="16"/>
                <w:szCs w:val="16"/>
              </w:rPr>
              <w:t>投资控股</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22"/>
              <w:jc w:val="center"/>
              <w:rPr>
                <w:rFonts w:ascii="宋体" w:hAnsi="宋体" w:cs="宋体" w:eastAsia="宋体" w:hint="default"/>
                <w:sz w:val="16"/>
                <w:szCs w:val="16"/>
              </w:rPr>
            </w:pPr>
            <w:r>
              <w:rPr>
                <w:rFonts w:ascii="宋体" w:hAnsi="宋体" w:cs="宋体" w:eastAsia="宋体" w:hint="default"/>
                <w:sz w:val="16"/>
                <w:szCs w:val="16"/>
              </w:rPr>
              <w:t>不适用</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492"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5"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联通集团财务有限公司</w:t>
            </w:r>
          </w:p>
          <w:p>
            <w:pPr>
              <w:pStyle w:val="TableParagraph"/>
              <w:spacing w:line="240" w:lineRule="auto" w:before="2"/>
              <w:ind w:left="76" w:right="0"/>
              <w:jc w:val="left"/>
              <w:rPr>
                <w:rFonts w:ascii="宋体" w:hAnsi="宋体" w:cs="宋体" w:eastAsia="宋体" w:hint="default"/>
                <w:sz w:val="16"/>
                <w:szCs w:val="16"/>
              </w:rPr>
            </w:pPr>
            <w:r>
              <w:rPr>
                <w:rFonts w:ascii="宋体" w:hAnsi="宋体" w:cs="宋体" w:eastAsia="宋体" w:hint="default"/>
                <w:sz w:val="16"/>
                <w:szCs w:val="16"/>
              </w:rPr>
              <w:t>（“财务公司”）</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48"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57"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74"/>
              <w:jc w:val="center"/>
              <w:rPr>
                <w:rFonts w:ascii="宋体" w:hAnsi="宋体" w:cs="宋体" w:eastAsia="宋体" w:hint="default"/>
                <w:sz w:val="16"/>
                <w:szCs w:val="16"/>
              </w:rPr>
            </w:pPr>
            <w:r>
              <w:rPr>
                <w:rFonts w:ascii="宋体" w:hAnsi="宋体" w:cs="宋体" w:eastAsia="宋体" w:hint="default"/>
                <w:sz w:val="16"/>
                <w:szCs w:val="16"/>
              </w:rPr>
              <w:t>金融服务</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123"/>
              <w:jc w:val="center"/>
              <w:rPr>
                <w:rFonts w:ascii="Arial" w:hAnsi="Arial" w:cs="Arial" w:eastAsia="Arial" w:hint="default"/>
                <w:sz w:val="16"/>
                <w:szCs w:val="16"/>
              </w:rPr>
            </w:pPr>
            <w:r>
              <w:rPr>
                <w:rFonts w:ascii="Arial"/>
                <w:sz w:val="16"/>
              </w:rPr>
              <w:t>3,000,000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Arial" w:hAnsi="Arial" w:cs="Arial" w:eastAsia="Arial" w:hint="default"/>
                <w:sz w:val="16"/>
                <w:szCs w:val="16"/>
              </w:rPr>
            </w:pPr>
            <w:r>
              <w:rPr>
                <w:rFonts w:ascii="Arial"/>
                <w:sz w:val="16"/>
              </w:rPr>
              <w:t>39.99</w:t>
            </w:r>
          </w:p>
        </w:tc>
      </w:tr>
      <w:tr>
        <w:trPr>
          <w:trHeight w:val="494"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6" w:lineRule="exact" w:before="30"/>
              <w:ind w:left="76" w:right="502"/>
              <w:jc w:val="left"/>
              <w:rPr>
                <w:rFonts w:ascii="宋体" w:hAnsi="宋体" w:cs="宋体" w:eastAsia="宋体" w:hint="default"/>
                <w:sz w:val="16"/>
                <w:szCs w:val="16"/>
              </w:rPr>
            </w:pPr>
            <w:r>
              <w:rPr>
                <w:rFonts w:ascii="宋体" w:hAnsi="宋体" w:cs="宋体" w:eastAsia="宋体" w:hint="default"/>
                <w:w w:val="95"/>
                <w:sz w:val="16"/>
                <w:szCs w:val="16"/>
              </w:rPr>
              <w:t>联通创新创业投资管理（深圳）</w:t>
            </w:r>
            <w:r>
              <w:rPr>
                <w:rFonts w:ascii="宋体" w:hAnsi="宋体" w:cs="宋体" w:eastAsia="宋体" w:hint="default"/>
                <w:spacing w:val="29"/>
                <w:w w:val="95"/>
                <w:sz w:val="16"/>
                <w:szCs w:val="16"/>
              </w:rPr>
              <w:t> </w:t>
            </w:r>
            <w:r>
              <w:rPr>
                <w:rFonts w:ascii="宋体" w:hAnsi="宋体" w:cs="宋体" w:eastAsia="宋体" w:hint="default"/>
                <w:spacing w:val="29"/>
                <w:w w:val="95"/>
                <w:sz w:val="16"/>
                <w:szCs w:val="16"/>
              </w:rPr>
            </w:r>
            <w:r>
              <w:rPr>
                <w:rFonts w:ascii="宋体" w:hAnsi="宋体" w:cs="宋体" w:eastAsia="宋体" w:hint="default"/>
                <w:w w:val="95"/>
                <w:sz w:val="16"/>
                <w:szCs w:val="16"/>
              </w:rPr>
              <w:t>有限责任公司（“创投深圳”）</w:t>
            </w:r>
            <w:r>
              <w:rPr>
                <w:rFonts w:ascii="宋体" w:hAnsi="宋体" w:cs="宋体" w:eastAsia="宋体" w:hint="default"/>
                <w:sz w:val="16"/>
                <w:szCs w:val="16"/>
              </w:rPr>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148" w:right="0"/>
              <w:jc w:val="left"/>
              <w:rPr>
                <w:rFonts w:ascii="宋体" w:hAnsi="宋体" w:cs="宋体" w:eastAsia="宋体" w:hint="default"/>
                <w:sz w:val="16"/>
                <w:szCs w:val="16"/>
              </w:rPr>
            </w:pPr>
            <w:r>
              <w:rPr>
                <w:rFonts w:ascii="宋体" w:hAnsi="宋体" w:cs="宋体" w:eastAsia="宋体" w:hint="default"/>
                <w:sz w:val="16"/>
                <w:szCs w:val="16"/>
              </w:rPr>
              <w:t>中国，深圳市</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57" w:right="0"/>
              <w:jc w:val="left"/>
              <w:rPr>
                <w:rFonts w:ascii="宋体" w:hAnsi="宋体" w:cs="宋体" w:eastAsia="宋体" w:hint="default"/>
                <w:sz w:val="16"/>
                <w:szCs w:val="16"/>
              </w:rPr>
            </w:pPr>
            <w:r>
              <w:rPr>
                <w:rFonts w:ascii="宋体" w:hAnsi="宋体" w:cs="宋体" w:eastAsia="宋体" w:hint="default"/>
                <w:sz w:val="16"/>
                <w:szCs w:val="16"/>
              </w:rPr>
              <w:t>中国，深圳市</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right="70"/>
              <w:jc w:val="center"/>
              <w:rPr>
                <w:rFonts w:ascii="宋体" w:hAnsi="宋体" w:cs="宋体" w:eastAsia="宋体" w:hint="default"/>
                <w:sz w:val="16"/>
                <w:szCs w:val="16"/>
              </w:rPr>
            </w:pPr>
            <w:r>
              <w:rPr>
                <w:rFonts w:ascii="宋体" w:hAnsi="宋体" w:cs="宋体" w:eastAsia="宋体" w:hint="default"/>
                <w:sz w:val="16"/>
                <w:szCs w:val="16"/>
              </w:rPr>
              <w:t>创业投资业务</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127"/>
              <w:jc w:val="center"/>
              <w:rPr>
                <w:rFonts w:ascii="Arial" w:hAnsi="Arial" w:cs="Arial" w:eastAsia="Arial" w:hint="default"/>
                <w:sz w:val="16"/>
                <w:szCs w:val="16"/>
              </w:rPr>
            </w:pPr>
            <w:r>
              <w:rPr>
                <w:rFonts w:ascii="Arial"/>
                <w:sz w:val="16"/>
              </w:rPr>
              <w:t>5,000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482"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6"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联通创新创业投资（贵州）有限公司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（“创投贵州”）</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148" w:right="0"/>
              <w:jc w:val="left"/>
              <w:rPr>
                <w:rFonts w:ascii="宋体" w:hAnsi="宋体" w:cs="宋体" w:eastAsia="宋体" w:hint="default"/>
                <w:sz w:val="16"/>
                <w:szCs w:val="16"/>
              </w:rPr>
            </w:pPr>
            <w:r>
              <w:rPr>
                <w:rFonts w:ascii="宋体" w:hAnsi="宋体" w:cs="宋体" w:eastAsia="宋体" w:hint="default"/>
                <w:sz w:val="16"/>
                <w:szCs w:val="16"/>
              </w:rPr>
              <w:t>中国，贵州省</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57" w:right="0"/>
              <w:jc w:val="left"/>
              <w:rPr>
                <w:rFonts w:ascii="宋体" w:hAnsi="宋体" w:cs="宋体" w:eastAsia="宋体" w:hint="default"/>
                <w:sz w:val="16"/>
                <w:szCs w:val="16"/>
              </w:rPr>
            </w:pPr>
            <w:r>
              <w:rPr>
                <w:rFonts w:ascii="宋体" w:hAnsi="宋体" w:cs="宋体" w:eastAsia="宋体" w:hint="default"/>
                <w:sz w:val="16"/>
                <w:szCs w:val="16"/>
              </w:rPr>
              <w:t>中国，贵州省</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70"/>
              <w:jc w:val="center"/>
              <w:rPr>
                <w:rFonts w:ascii="宋体" w:hAnsi="宋体" w:cs="宋体" w:eastAsia="宋体" w:hint="default"/>
                <w:sz w:val="16"/>
                <w:szCs w:val="16"/>
              </w:rPr>
            </w:pPr>
            <w:r>
              <w:rPr>
                <w:rFonts w:ascii="宋体" w:hAnsi="宋体" w:cs="宋体" w:eastAsia="宋体" w:hint="default"/>
                <w:sz w:val="16"/>
                <w:szCs w:val="16"/>
              </w:rPr>
              <w:t>创业投资业务</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right="121"/>
              <w:jc w:val="center"/>
              <w:rPr>
                <w:rFonts w:ascii="Arial" w:hAnsi="Arial" w:cs="Arial" w:eastAsia="Arial" w:hint="default"/>
                <w:sz w:val="16"/>
                <w:szCs w:val="16"/>
              </w:rPr>
            </w:pPr>
            <w:r>
              <w:rPr>
                <w:rFonts w:ascii="Arial"/>
                <w:sz w:val="16"/>
              </w:rPr>
              <w:t>10,000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Arial" w:hAnsi="Arial" w:cs="Arial" w:eastAsia="Arial" w:hint="default"/>
                <w:sz w:val="16"/>
                <w:szCs w:val="16"/>
              </w:rPr>
            </w:pPr>
            <w:r>
              <w:rPr>
                <w:rFonts w:ascii="Arial"/>
                <w:sz w:val="16"/>
              </w:rPr>
              <w:t>26.36</w:t>
            </w:r>
          </w:p>
        </w:tc>
      </w:tr>
      <w:tr>
        <w:trPr>
          <w:trHeight w:val="497"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5"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联通创新创业（深圳）投资中心</w:t>
            </w:r>
          </w:p>
          <w:p>
            <w:pPr>
              <w:pStyle w:val="TableParagraph"/>
              <w:spacing w:line="240" w:lineRule="auto" w:before="2"/>
              <w:ind w:left="76" w:right="0"/>
              <w:jc w:val="left"/>
              <w:rPr>
                <w:rFonts w:ascii="宋体" w:hAnsi="宋体" w:cs="宋体" w:eastAsia="宋体" w:hint="default"/>
                <w:sz w:val="16"/>
                <w:szCs w:val="16"/>
              </w:rPr>
            </w:pPr>
            <w:r>
              <w:rPr>
                <w:rFonts w:ascii="宋体" w:hAnsi="宋体" w:cs="宋体" w:eastAsia="宋体" w:hint="default"/>
                <w:sz w:val="16"/>
                <w:szCs w:val="16"/>
              </w:rPr>
              <w:t>（有限合伙）（“深圳投资中心”）</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48" w:right="0"/>
              <w:jc w:val="left"/>
              <w:rPr>
                <w:rFonts w:ascii="宋体" w:hAnsi="宋体" w:cs="宋体" w:eastAsia="宋体" w:hint="default"/>
                <w:sz w:val="16"/>
                <w:szCs w:val="16"/>
              </w:rPr>
            </w:pPr>
            <w:r>
              <w:rPr>
                <w:rFonts w:ascii="宋体" w:hAnsi="宋体" w:cs="宋体" w:eastAsia="宋体" w:hint="default"/>
                <w:sz w:val="16"/>
                <w:szCs w:val="16"/>
              </w:rPr>
              <w:t>中国，深圳市</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57" w:right="0"/>
              <w:jc w:val="left"/>
              <w:rPr>
                <w:rFonts w:ascii="宋体" w:hAnsi="宋体" w:cs="宋体" w:eastAsia="宋体" w:hint="default"/>
                <w:sz w:val="16"/>
                <w:szCs w:val="16"/>
              </w:rPr>
            </w:pPr>
            <w:r>
              <w:rPr>
                <w:rFonts w:ascii="宋体" w:hAnsi="宋体" w:cs="宋体" w:eastAsia="宋体" w:hint="default"/>
                <w:sz w:val="16"/>
                <w:szCs w:val="16"/>
              </w:rPr>
              <w:t>中国，深圳市</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70"/>
              <w:jc w:val="center"/>
              <w:rPr>
                <w:rFonts w:ascii="宋体" w:hAnsi="宋体" w:cs="宋体" w:eastAsia="宋体" w:hint="default"/>
                <w:sz w:val="16"/>
                <w:szCs w:val="16"/>
              </w:rPr>
            </w:pPr>
            <w:r>
              <w:rPr>
                <w:rFonts w:ascii="宋体" w:hAnsi="宋体" w:cs="宋体" w:eastAsia="宋体" w:hint="default"/>
                <w:sz w:val="16"/>
                <w:szCs w:val="16"/>
              </w:rPr>
              <w:t>创业投资业务</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123"/>
              <w:jc w:val="center"/>
              <w:rPr>
                <w:rFonts w:ascii="Arial" w:hAnsi="Arial" w:cs="Arial" w:eastAsia="Arial" w:hint="default"/>
                <w:sz w:val="16"/>
                <w:szCs w:val="16"/>
              </w:rPr>
            </w:pPr>
            <w:r>
              <w:rPr>
                <w:rFonts w:ascii="Arial"/>
                <w:sz w:val="16"/>
              </w:rPr>
              <w:t>200,000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504"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76" w:right="0"/>
              <w:jc w:val="left"/>
              <w:rPr>
                <w:rFonts w:ascii="宋体" w:hAnsi="宋体" w:cs="宋体" w:eastAsia="宋体" w:hint="default"/>
                <w:sz w:val="16"/>
                <w:szCs w:val="16"/>
              </w:rPr>
            </w:pPr>
            <w:r>
              <w:rPr>
                <w:rFonts w:ascii="宋体" w:hAnsi="宋体" w:cs="宋体" w:eastAsia="宋体" w:hint="default"/>
                <w:sz w:val="16"/>
                <w:szCs w:val="16"/>
              </w:rPr>
              <w:t>联通（山东）产业互联网有限公司</w:t>
            </w:r>
          </w:p>
          <w:p>
            <w:pPr>
              <w:pStyle w:val="TableParagraph"/>
              <w:spacing w:line="240" w:lineRule="auto" w:before="1"/>
              <w:ind w:left="76" w:right="0"/>
              <w:jc w:val="left"/>
              <w:rPr>
                <w:rFonts w:ascii="宋体" w:hAnsi="宋体" w:cs="宋体" w:eastAsia="宋体" w:hint="default"/>
                <w:sz w:val="16"/>
                <w:szCs w:val="16"/>
              </w:rPr>
            </w:pPr>
            <w:r>
              <w:rPr>
                <w:rFonts w:ascii="宋体" w:hAnsi="宋体" w:cs="宋体" w:eastAsia="宋体" w:hint="default"/>
                <w:sz w:val="16"/>
                <w:szCs w:val="16"/>
              </w:rPr>
              <w:t>（“互联网山东”）</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left="163" w:right="0"/>
              <w:jc w:val="left"/>
              <w:rPr>
                <w:rFonts w:ascii="宋体" w:hAnsi="宋体" w:cs="宋体" w:eastAsia="宋体" w:hint="default"/>
                <w:sz w:val="16"/>
                <w:szCs w:val="16"/>
              </w:rPr>
            </w:pPr>
            <w:r>
              <w:rPr>
                <w:rFonts w:ascii="宋体" w:hAnsi="宋体" w:cs="宋体" w:eastAsia="宋体" w:hint="default"/>
                <w:sz w:val="16"/>
                <w:szCs w:val="16"/>
              </w:rPr>
              <w:t>中国，济南市</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left="81" w:right="0"/>
              <w:jc w:val="left"/>
              <w:rPr>
                <w:rFonts w:ascii="宋体" w:hAnsi="宋体" w:cs="宋体" w:eastAsia="宋体" w:hint="default"/>
                <w:sz w:val="16"/>
                <w:szCs w:val="16"/>
              </w:rPr>
            </w:pPr>
            <w:r>
              <w:rPr>
                <w:rFonts w:ascii="宋体" w:hAnsi="宋体" w:cs="宋体" w:eastAsia="宋体" w:hint="default"/>
                <w:sz w:val="16"/>
                <w:szCs w:val="16"/>
              </w:rPr>
              <w:t>中国，济南市</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58" w:right="151" w:firstLine="239"/>
              <w:jc w:val="left"/>
              <w:rPr>
                <w:rFonts w:ascii="宋体" w:hAnsi="宋体" w:cs="宋体" w:eastAsia="宋体" w:hint="default"/>
                <w:sz w:val="16"/>
                <w:szCs w:val="16"/>
              </w:rPr>
            </w:pPr>
            <w:r>
              <w:rPr>
                <w:rFonts w:ascii="宋体" w:hAnsi="宋体" w:cs="宋体" w:eastAsia="宋体" w:hint="default"/>
                <w:sz w:val="16"/>
                <w:szCs w:val="16"/>
              </w:rPr>
              <w:t>信息及</w:t>
            </w:r>
            <w:r>
              <w:rPr>
                <w:rFonts w:ascii="宋体" w:hAnsi="宋体" w:cs="宋体" w:eastAsia="宋体" w:hint="default"/>
                <w:w w:val="99"/>
                <w:sz w:val="16"/>
                <w:szCs w:val="16"/>
              </w:rPr>
              <w:t> </w:t>
            </w:r>
            <w:r>
              <w:rPr>
                <w:rFonts w:ascii="宋体" w:hAnsi="宋体" w:cs="宋体" w:eastAsia="宋体" w:hint="default"/>
                <w:w w:val="95"/>
                <w:sz w:val="16"/>
                <w:szCs w:val="16"/>
              </w:rPr>
              <w:t>系统集成业务</w:t>
            </w:r>
            <w:r>
              <w:rPr>
                <w:rFonts w:ascii="宋体" w:hAnsi="宋体" w:cs="宋体" w:eastAsia="宋体" w:hint="default"/>
                <w:sz w:val="16"/>
                <w:szCs w:val="16"/>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right="63"/>
              <w:jc w:val="center"/>
              <w:rPr>
                <w:rFonts w:ascii="Arial" w:hAnsi="Arial" w:cs="Arial" w:eastAsia="Arial" w:hint="default"/>
                <w:sz w:val="16"/>
                <w:szCs w:val="16"/>
              </w:rPr>
            </w:pPr>
            <w:r>
              <w:rPr>
                <w:rFonts w:ascii="Arial"/>
                <w:sz w:val="16"/>
              </w:rPr>
              <w:t>50,000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487"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联通（广东）产业互联网有限公司</w:t>
            </w:r>
          </w:p>
          <w:p>
            <w:pPr>
              <w:pStyle w:val="TableParagraph"/>
              <w:spacing w:line="240" w:lineRule="auto" w:before="2"/>
              <w:ind w:left="76" w:right="0"/>
              <w:jc w:val="left"/>
              <w:rPr>
                <w:rFonts w:ascii="宋体" w:hAnsi="宋体" w:cs="宋体" w:eastAsia="宋体" w:hint="default"/>
                <w:sz w:val="16"/>
                <w:szCs w:val="16"/>
              </w:rPr>
            </w:pPr>
            <w:r>
              <w:rPr>
                <w:rFonts w:ascii="宋体" w:hAnsi="宋体" w:cs="宋体" w:eastAsia="宋体" w:hint="default"/>
                <w:sz w:val="16"/>
                <w:szCs w:val="16"/>
              </w:rPr>
              <w:t>（“互联网广东”）</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63" w:right="0"/>
              <w:jc w:val="left"/>
              <w:rPr>
                <w:rFonts w:ascii="宋体" w:hAnsi="宋体" w:cs="宋体" w:eastAsia="宋体" w:hint="default"/>
                <w:sz w:val="16"/>
                <w:szCs w:val="16"/>
              </w:rPr>
            </w:pPr>
            <w:r>
              <w:rPr>
                <w:rFonts w:ascii="宋体" w:hAnsi="宋体" w:cs="宋体" w:eastAsia="宋体" w:hint="default"/>
                <w:sz w:val="16"/>
                <w:szCs w:val="16"/>
              </w:rPr>
              <w:t>中国，广州市</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81" w:right="0"/>
              <w:jc w:val="left"/>
              <w:rPr>
                <w:rFonts w:ascii="宋体" w:hAnsi="宋体" w:cs="宋体" w:eastAsia="宋体" w:hint="default"/>
                <w:sz w:val="16"/>
                <w:szCs w:val="16"/>
              </w:rPr>
            </w:pPr>
            <w:r>
              <w:rPr>
                <w:rFonts w:ascii="宋体" w:hAnsi="宋体" w:cs="宋体" w:eastAsia="宋体" w:hint="default"/>
                <w:sz w:val="16"/>
                <w:szCs w:val="16"/>
              </w:rPr>
              <w:t>中国，广州市</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ind w:left="158" w:right="151" w:firstLine="240"/>
              <w:jc w:val="left"/>
              <w:rPr>
                <w:rFonts w:ascii="宋体" w:hAnsi="宋体" w:cs="宋体" w:eastAsia="宋体" w:hint="default"/>
                <w:sz w:val="16"/>
                <w:szCs w:val="16"/>
              </w:rPr>
            </w:pPr>
            <w:r>
              <w:rPr>
                <w:rFonts w:ascii="宋体" w:hAnsi="宋体" w:cs="宋体" w:eastAsia="宋体" w:hint="default"/>
                <w:sz w:val="16"/>
                <w:szCs w:val="16"/>
              </w:rPr>
              <w:t>信息及</w:t>
            </w:r>
            <w:r>
              <w:rPr>
                <w:rFonts w:ascii="宋体" w:hAnsi="宋体" w:cs="宋体" w:eastAsia="宋体" w:hint="default"/>
                <w:w w:val="99"/>
                <w:sz w:val="16"/>
                <w:szCs w:val="16"/>
              </w:rPr>
              <w:t> </w:t>
            </w:r>
            <w:r>
              <w:rPr>
                <w:rFonts w:ascii="宋体" w:hAnsi="宋体" w:cs="宋体" w:eastAsia="宋体" w:hint="default"/>
                <w:w w:val="95"/>
                <w:sz w:val="16"/>
                <w:szCs w:val="16"/>
              </w:rPr>
              <w:t>系统集成业务</w:t>
            </w:r>
            <w:r>
              <w:rPr>
                <w:rFonts w:ascii="宋体" w:hAnsi="宋体" w:cs="宋体" w:eastAsia="宋体" w:hint="default"/>
                <w:sz w:val="16"/>
                <w:szCs w:val="16"/>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right="65"/>
              <w:jc w:val="center"/>
              <w:rPr>
                <w:rFonts w:ascii="Arial" w:hAnsi="Arial" w:cs="Arial" w:eastAsia="Arial" w:hint="default"/>
                <w:sz w:val="16"/>
                <w:szCs w:val="16"/>
              </w:rPr>
            </w:pPr>
            <w:r>
              <w:rPr>
                <w:rFonts w:ascii="Arial"/>
                <w:sz w:val="16"/>
              </w:rPr>
              <w:t>100,000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490"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联通（浙江）产业互联网有限公司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（“互联网浙江”）</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63" w:right="0"/>
              <w:jc w:val="left"/>
              <w:rPr>
                <w:rFonts w:ascii="宋体" w:hAnsi="宋体" w:cs="宋体" w:eastAsia="宋体" w:hint="default"/>
                <w:sz w:val="16"/>
                <w:szCs w:val="16"/>
              </w:rPr>
            </w:pPr>
            <w:r>
              <w:rPr>
                <w:rFonts w:ascii="宋体" w:hAnsi="宋体" w:cs="宋体" w:eastAsia="宋体" w:hint="default"/>
                <w:sz w:val="16"/>
                <w:szCs w:val="16"/>
              </w:rPr>
              <w:t>中国，杭州市</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81" w:right="0"/>
              <w:jc w:val="left"/>
              <w:rPr>
                <w:rFonts w:ascii="宋体" w:hAnsi="宋体" w:cs="宋体" w:eastAsia="宋体" w:hint="default"/>
                <w:sz w:val="16"/>
                <w:szCs w:val="16"/>
              </w:rPr>
            </w:pPr>
            <w:r>
              <w:rPr>
                <w:rFonts w:ascii="宋体" w:hAnsi="宋体" w:cs="宋体" w:eastAsia="宋体" w:hint="default"/>
                <w:sz w:val="16"/>
                <w:szCs w:val="16"/>
              </w:rPr>
              <w:t>中国，杭州市</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06" w:lineRule="exact" w:before="22"/>
              <w:ind w:left="158" w:right="151" w:firstLine="240"/>
              <w:jc w:val="left"/>
              <w:rPr>
                <w:rFonts w:ascii="宋体" w:hAnsi="宋体" w:cs="宋体" w:eastAsia="宋体" w:hint="default"/>
                <w:sz w:val="16"/>
                <w:szCs w:val="16"/>
              </w:rPr>
            </w:pPr>
            <w:r>
              <w:rPr>
                <w:rFonts w:ascii="宋体" w:hAnsi="宋体" w:cs="宋体" w:eastAsia="宋体" w:hint="default"/>
                <w:sz w:val="16"/>
                <w:szCs w:val="16"/>
              </w:rPr>
              <w:t>信息及</w:t>
            </w:r>
            <w:r>
              <w:rPr>
                <w:rFonts w:ascii="宋体" w:hAnsi="宋体" w:cs="宋体" w:eastAsia="宋体" w:hint="default"/>
                <w:w w:val="98"/>
                <w:sz w:val="16"/>
                <w:szCs w:val="16"/>
              </w:rPr>
              <w:t> </w:t>
            </w:r>
            <w:r>
              <w:rPr>
                <w:rFonts w:ascii="宋体" w:hAnsi="宋体" w:cs="宋体" w:eastAsia="宋体" w:hint="default"/>
                <w:w w:val="95"/>
                <w:sz w:val="16"/>
                <w:szCs w:val="16"/>
              </w:rPr>
              <w:t>系统集成业务</w:t>
            </w:r>
            <w:r>
              <w:rPr>
                <w:rFonts w:ascii="宋体" w:hAnsi="宋体" w:cs="宋体" w:eastAsia="宋体" w:hint="default"/>
                <w:sz w:val="16"/>
                <w:szCs w:val="16"/>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63"/>
              <w:jc w:val="center"/>
              <w:rPr>
                <w:rFonts w:ascii="Arial" w:hAnsi="Arial" w:cs="Arial" w:eastAsia="Arial" w:hint="default"/>
                <w:sz w:val="16"/>
                <w:szCs w:val="16"/>
              </w:rPr>
            </w:pPr>
            <w:r>
              <w:rPr>
                <w:rFonts w:ascii="Arial"/>
                <w:sz w:val="16"/>
              </w:rPr>
              <w:t>50,000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490"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联通（福建）产业互联网有限公司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（“互联网福建”）</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63" w:right="0"/>
              <w:jc w:val="left"/>
              <w:rPr>
                <w:rFonts w:ascii="宋体" w:hAnsi="宋体" w:cs="宋体" w:eastAsia="宋体" w:hint="default"/>
                <w:sz w:val="16"/>
                <w:szCs w:val="16"/>
              </w:rPr>
            </w:pPr>
            <w:r>
              <w:rPr>
                <w:rFonts w:ascii="宋体" w:hAnsi="宋体" w:cs="宋体" w:eastAsia="宋体" w:hint="default"/>
                <w:sz w:val="16"/>
                <w:szCs w:val="16"/>
              </w:rPr>
              <w:t>中国，福建省</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81" w:right="0"/>
              <w:jc w:val="left"/>
              <w:rPr>
                <w:rFonts w:ascii="宋体" w:hAnsi="宋体" w:cs="宋体" w:eastAsia="宋体" w:hint="default"/>
                <w:sz w:val="16"/>
                <w:szCs w:val="16"/>
              </w:rPr>
            </w:pPr>
            <w:r>
              <w:rPr>
                <w:rFonts w:ascii="宋体" w:hAnsi="宋体" w:cs="宋体" w:eastAsia="宋体" w:hint="default"/>
                <w:sz w:val="16"/>
                <w:szCs w:val="16"/>
              </w:rPr>
              <w:t>中国，福建省</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06" w:lineRule="exact" w:before="22"/>
              <w:ind w:left="158" w:right="151" w:firstLine="240"/>
              <w:jc w:val="left"/>
              <w:rPr>
                <w:rFonts w:ascii="宋体" w:hAnsi="宋体" w:cs="宋体" w:eastAsia="宋体" w:hint="default"/>
                <w:sz w:val="16"/>
                <w:szCs w:val="16"/>
              </w:rPr>
            </w:pPr>
            <w:r>
              <w:rPr>
                <w:rFonts w:ascii="宋体" w:hAnsi="宋体" w:cs="宋体" w:eastAsia="宋体" w:hint="default"/>
                <w:sz w:val="16"/>
                <w:szCs w:val="16"/>
              </w:rPr>
              <w:t>信息及</w:t>
            </w:r>
            <w:r>
              <w:rPr>
                <w:rFonts w:ascii="宋体" w:hAnsi="宋体" w:cs="宋体" w:eastAsia="宋体" w:hint="default"/>
                <w:w w:val="99"/>
                <w:sz w:val="16"/>
                <w:szCs w:val="16"/>
              </w:rPr>
              <w:t> </w:t>
            </w:r>
            <w:r>
              <w:rPr>
                <w:rFonts w:ascii="宋体" w:hAnsi="宋体" w:cs="宋体" w:eastAsia="宋体" w:hint="default"/>
                <w:w w:val="95"/>
                <w:sz w:val="16"/>
                <w:szCs w:val="16"/>
              </w:rPr>
              <w:t>系统集成业务</w:t>
            </w:r>
            <w:r>
              <w:rPr>
                <w:rFonts w:ascii="宋体" w:hAnsi="宋体" w:cs="宋体" w:eastAsia="宋体" w:hint="default"/>
                <w:sz w:val="16"/>
                <w:szCs w:val="16"/>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63"/>
              <w:jc w:val="center"/>
              <w:rPr>
                <w:rFonts w:ascii="Arial" w:hAnsi="Arial" w:cs="Arial" w:eastAsia="Arial" w:hint="default"/>
                <w:sz w:val="16"/>
                <w:szCs w:val="16"/>
              </w:rPr>
            </w:pPr>
            <w:r>
              <w:rPr>
                <w:rFonts w:ascii="Arial"/>
                <w:sz w:val="16"/>
              </w:rPr>
              <w:t>50,000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504"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联通（山西）产业互联网有限公司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（“互联网山西”）</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63" w:right="0"/>
              <w:jc w:val="left"/>
              <w:rPr>
                <w:rFonts w:ascii="宋体" w:hAnsi="宋体" w:cs="宋体" w:eastAsia="宋体" w:hint="default"/>
                <w:sz w:val="16"/>
                <w:szCs w:val="16"/>
              </w:rPr>
            </w:pPr>
            <w:r>
              <w:rPr>
                <w:rFonts w:ascii="宋体" w:hAnsi="宋体" w:cs="宋体" w:eastAsia="宋体" w:hint="default"/>
                <w:sz w:val="16"/>
                <w:szCs w:val="16"/>
              </w:rPr>
              <w:t>中国，山西省</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81" w:right="0"/>
              <w:jc w:val="left"/>
              <w:rPr>
                <w:rFonts w:ascii="宋体" w:hAnsi="宋体" w:cs="宋体" w:eastAsia="宋体" w:hint="default"/>
                <w:sz w:val="16"/>
                <w:szCs w:val="16"/>
              </w:rPr>
            </w:pPr>
            <w:r>
              <w:rPr>
                <w:rFonts w:ascii="宋体" w:hAnsi="宋体" w:cs="宋体" w:eastAsia="宋体" w:hint="default"/>
                <w:sz w:val="16"/>
                <w:szCs w:val="16"/>
              </w:rPr>
              <w:t>中国，山西省</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06" w:lineRule="exact" w:before="22"/>
              <w:ind w:left="158" w:right="151" w:firstLine="240"/>
              <w:jc w:val="left"/>
              <w:rPr>
                <w:rFonts w:ascii="宋体" w:hAnsi="宋体" w:cs="宋体" w:eastAsia="宋体" w:hint="default"/>
                <w:sz w:val="16"/>
                <w:szCs w:val="16"/>
              </w:rPr>
            </w:pPr>
            <w:r>
              <w:rPr>
                <w:rFonts w:ascii="宋体" w:hAnsi="宋体" w:cs="宋体" w:eastAsia="宋体" w:hint="default"/>
                <w:sz w:val="16"/>
                <w:szCs w:val="16"/>
              </w:rPr>
              <w:t>信息及</w:t>
            </w:r>
            <w:r>
              <w:rPr>
                <w:rFonts w:ascii="宋体" w:hAnsi="宋体" w:cs="宋体" w:eastAsia="宋体" w:hint="default"/>
                <w:w w:val="98"/>
                <w:sz w:val="16"/>
                <w:szCs w:val="16"/>
              </w:rPr>
              <w:t> </w:t>
            </w:r>
            <w:r>
              <w:rPr>
                <w:rFonts w:ascii="宋体" w:hAnsi="宋体" w:cs="宋体" w:eastAsia="宋体" w:hint="default"/>
                <w:w w:val="95"/>
                <w:sz w:val="16"/>
                <w:szCs w:val="16"/>
              </w:rPr>
              <w:t>系统集成业务</w:t>
            </w:r>
            <w:r>
              <w:rPr>
                <w:rFonts w:ascii="宋体" w:hAnsi="宋体" w:cs="宋体" w:eastAsia="宋体" w:hint="default"/>
                <w:sz w:val="16"/>
                <w:szCs w:val="16"/>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63"/>
              <w:jc w:val="center"/>
              <w:rPr>
                <w:rFonts w:ascii="Arial" w:hAnsi="Arial" w:cs="Arial" w:eastAsia="Arial" w:hint="default"/>
                <w:sz w:val="16"/>
                <w:szCs w:val="16"/>
              </w:rPr>
            </w:pPr>
            <w:r>
              <w:rPr>
                <w:rFonts w:ascii="Arial"/>
                <w:sz w:val="16"/>
              </w:rPr>
              <w:t>50,000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504"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8" w:lineRule="exact" w:before="15"/>
              <w:ind w:left="76" w:right="0"/>
              <w:jc w:val="left"/>
              <w:rPr>
                <w:rFonts w:ascii="宋体" w:hAnsi="宋体" w:cs="宋体" w:eastAsia="宋体" w:hint="default"/>
                <w:sz w:val="16"/>
                <w:szCs w:val="16"/>
              </w:rPr>
            </w:pPr>
            <w:r>
              <w:rPr>
                <w:rFonts w:ascii="宋体" w:hAnsi="宋体" w:cs="宋体" w:eastAsia="宋体" w:hint="default"/>
                <w:sz w:val="16"/>
                <w:szCs w:val="16"/>
              </w:rPr>
              <w:t>联通雄安产业互联网有限公司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（“互联网雄安”）</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163" w:right="0"/>
              <w:jc w:val="left"/>
              <w:rPr>
                <w:rFonts w:ascii="宋体" w:hAnsi="宋体" w:cs="宋体" w:eastAsia="宋体" w:hint="default"/>
                <w:sz w:val="16"/>
                <w:szCs w:val="16"/>
              </w:rPr>
            </w:pPr>
            <w:r>
              <w:rPr>
                <w:rFonts w:ascii="宋体" w:hAnsi="宋体" w:cs="宋体" w:eastAsia="宋体" w:hint="default"/>
                <w:sz w:val="16"/>
                <w:szCs w:val="16"/>
              </w:rPr>
              <w:t>中国，河北省</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81" w:right="0"/>
              <w:jc w:val="left"/>
              <w:rPr>
                <w:rFonts w:ascii="宋体" w:hAnsi="宋体" w:cs="宋体" w:eastAsia="宋体" w:hint="default"/>
                <w:sz w:val="16"/>
                <w:szCs w:val="16"/>
              </w:rPr>
            </w:pPr>
            <w:r>
              <w:rPr>
                <w:rFonts w:ascii="宋体" w:hAnsi="宋体" w:cs="宋体" w:eastAsia="宋体" w:hint="default"/>
                <w:sz w:val="16"/>
                <w:szCs w:val="16"/>
              </w:rPr>
              <w:t>中国，河北省</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06" w:lineRule="exact" w:before="37"/>
              <w:ind w:left="158" w:right="151" w:firstLine="239"/>
              <w:jc w:val="left"/>
              <w:rPr>
                <w:rFonts w:ascii="宋体" w:hAnsi="宋体" w:cs="宋体" w:eastAsia="宋体" w:hint="default"/>
                <w:sz w:val="16"/>
                <w:szCs w:val="16"/>
              </w:rPr>
            </w:pPr>
            <w:r>
              <w:rPr>
                <w:rFonts w:ascii="宋体" w:hAnsi="宋体" w:cs="宋体" w:eastAsia="宋体" w:hint="default"/>
                <w:sz w:val="16"/>
                <w:szCs w:val="16"/>
              </w:rPr>
              <w:t>信息及</w:t>
            </w:r>
            <w:r>
              <w:rPr>
                <w:rFonts w:ascii="宋体" w:hAnsi="宋体" w:cs="宋体" w:eastAsia="宋体" w:hint="default"/>
                <w:w w:val="99"/>
                <w:sz w:val="16"/>
                <w:szCs w:val="16"/>
              </w:rPr>
              <w:t> </w:t>
            </w:r>
            <w:r>
              <w:rPr>
                <w:rFonts w:ascii="宋体" w:hAnsi="宋体" w:cs="宋体" w:eastAsia="宋体" w:hint="default"/>
                <w:w w:val="95"/>
                <w:sz w:val="16"/>
                <w:szCs w:val="16"/>
              </w:rPr>
              <w:t>系统集成业务</w:t>
            </w:r>
            <w:r>
              <w:rPr>
                <w:rFonts w:ascii="宋体" w:hAnsi="宋体" w:cs="宋体" w:eastAsia="宋体" w:hint="default"/>
                <w:sz w:val="16"/>
                <w:szCs w:val="16"/>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63"/>
              <w:jc w:val="center"/>
              <w:rPr>
                <w:rFonts w:ascii="Arial" w:hAnsi="Arial" w:cs="Arial" w:eastAsia="Arial" w:hint="default"/>
                <w:sz w:val="16"/>
                <w:szCs w:val="16"/>
              </w:rPr>
            </w:pPr>
            <w:r>
              <w:rPr>
                <w:rFonts w:ascii="Arial"/>
                <w:sz w:val="16"/>
              </w:rPr>
              <w:t>50,000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490"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联通（四川）产业互联网有限公司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（“互联网四川”）</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63" w:right="0"/>
              <w:jc w:val="left"/>
              <w:rPr>
                <w:rFonts w:ascii="宋体" w:hAnsi="宋体" w:cs="宋体" w:eastAsia="宋体" w:hint="default"/>
                <w:sz w:val="16"/>
                <w:szCs w:val="16"/>
              </w:rPr>
            </w:pPr>
            <w:r>
              <w:rPr>
                <w:rFonts w:ascii="宋体" w:hAnsi="宋体" w:cs="宋体" w:eastAsia="宋体" w:hint="default"/>
                <w:sz w:val="16"/>
                <w:szCs w:val="16"/>
              </w:rPr>
              <w:t>中国，四川省</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81" w:right="0"/>
              <w:jc w:val="left"/>
              <w:rPr>
                <w:rFonts w:ascii="宋体" w:hAnsi="宋体" w:cs="宋体" w:eastAsia="宋体" w:hint="default"/>
                <w:sz w:val="16"/>
                <w:szCs w:val="16"/>
              </w:rPr>
            </w:pPr>
            <w:r>
              <w:rPr>
                <w:rFonts w:ascii="宋体" w:hAnsi="宋体" w:cs="宋体" w:eastAsia="宋体" w:hint="default"/>
                <w:sz w:val="16"/>
                <w:szCs w:val="16"/>
              </w:rPr>
              <w:t>中国，四川省</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06" w:lineRule="exact" w:before="22"/>
              <w:ind w:left="158" w:right="151" w:firstLine="240"/>
              <w:jc w:val="left"/>
              <w:rPr>
                <w:rFonts w:ascii="宋体" w:hAnsi="宋体" w:cs="宋体" w:eastAsia="宋体" w:hint="default"/>
                <w:sz w:val="16"/>
                <w:szCs w:val="16"/>
              </w:rPr>
            </w:pPr>
            <w:r>
              <w:rPr>
                <w:rFonts w:ascii="宋体" w:hAnsi="宋体" w:cs="宋体" w:eastAsia="宋体" w:hint="default"/>
                <w:sz w:val="16"/>
                <w:szCs w:val="16"/>
              </w:rPr>
              <w:t>信息及</w:t>
            </w:r>
            <w:r>
              <w:rPr>
                <w:rFonts w:ascii="宋体" w:hAnsi="宋体" w:cs="宋体" w:eastAsia="宋体" w:hint="default"/>
                <w:w w:val="99"/>
                <w:sz w:val="16"/>
                <w:szCs w:val="16"/>
              </w:rPr>
              <w:t> </w:t>
            </w:r>
            <w:r>
              <w:rPr>
                <w:rFonts w:ascii="宋体" w:hAnsi="宋体" w:cs="宋体" w:eastAsia="宋体" w:hint="default"/>
                <w:w w:val="95"/>
                <w:sz w:val="16"/>
                <w:szCs w:val="16"/>
              </w:rPr>
              <w:t>系统集成业务</w:t>
            </w:r>
            <w:r>
              <w:rPr>
                <w:rFonts w:ascii="宋体" w:hAnsi="宋体" w:cs="宋体" w:eastAsia="宋体" w:hint="default"/>
                <w:sz w:val="16"/>
                <w:szCs w:val="16"/>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63"/>
              <w:jc w:val="center"/>
              <w:rPr>
                <w:rFonts w:ascii="Arial" w:hAnsi="Arial" w:cs="Arial" w:eastAsia="Arial" w:hint="default"/>
                <w:sz w:val="16"/>
                <w:szCs w:val="16"/>
              </w:rPr>
            </w:pPr>
            <w:r>
              <w:rPr>
                <w:rFonts w:ascii="Arial"/>
                <w:sz w:val="16"/>
              </w:rPr>
              <w:t>50,000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504"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联通（辽宁）产业互联网有限公司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（“互联网辽宁”）</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63" w:right="0"/>
              <w:jc w:val="left"/>
              <w:rPr>
                <w:rFonts w:ascii="宋体" w:hAnsi="宋体" w:cs="宋体" w:eastAsia="宋体" w:hint="default"/>
                <w:sz w:val="16"/>
                <w:szCs w:val="16"/>
              </w:rPr>
            </w:pPr>
            <w:r>
              <w:rPr>
                <w:rFonts w:ascii="宋体" w:hAnsi="宋体" w:cs="宋体" w:eastAsia="宋体" w:hint="default"/>
                <w:sz w:val="16"/>
                <w:szCs w:val="16"/>
              </w:rPr>
              <w:t>中国，辽宁省</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81" w:right="0"/>
              <w:jc w:val="left"/>
              <w:rPr>
                <w:rFonts w:ascii="宋体" w:hAnsi="宋体" w:cs="宋体" w:eastAsia="宋体" w:hint="default"/>
                <w:sz w:val="16"/>
                <w:szCs w:val="16"/>
              </w:rPr>
            </w:pPr>
            <w:r>
              <w:rPr>
                <w:rFonts w:ascii="宋体" w:hAnsi="宋体" w:cs="宋体" w:eastAsia="宋体" w:hint="default"/>
                <w:sz w:val="16"/>
                <w:szCs w:val="16"/>
              </w:rPr>
              <w:t>中国，辽宁省</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06" w:lineRule="exact" w:before="22"/>
              <w:ind w:left="158" w:right="151" w:firstLine="240"/>
              <w:jc w:val="left"/>
              <w:rPr>
                <w:rFonts w:ascii="宋体" w:hAnsi="宋体" w:cs="宋体" w:eastAsia="宋体" w:hint="default"/>
                <w:sz w:val="16"/>
                <w:szCs w:val="16"/>
              </w:rPr>
            </w:pPr>
            <w:r>
              <w:rPr>
                <w:rFonts w:ascii="宋体" w:hAnsi="宋体" w:cs="宋体" w:eastAsia="宋体" w:hint="default"/>
                <w:sz w:val="16"/>
                <w:szCs w:val="16"/>
              </w:rPr>
              <w:t>信息及</w:t>
            </w:r>
            <w:r>
              <w:rPr>
                <w:rFonts w:ascii="宋体" w:hAnsi="宋体" w:cs="宋体" w:eastAsia="宋体" w:hint="default"/>
                <w:w w:val="99"/>
                <w:sz w:val="16"/>
                <w:szCs w:val="16"/>
              </w:rPr>
              <w:t> </w:t>
            </w:r>
            <w:r>
              <w:rPr>
                <w:rFonts w:ascii="宋体" w:hAnsi="宋体" w:cs="宋体" w:eastAsia="宋体" w:hint="default"/>
                <w:w w:val="95"/>
                <w:sz w:val="16"/>
                <w:szCs w:val="16"/>
              </w:rPr>
              <w:t>系统集成业务</w:t>
            </w:r>
            <w:r>
              <w:rPr>
                <w:rFonts w:ascii="宋体" w:hAnsi="宋体" w:cs="宋体" w:eastAsia="宋体" w:hint="default"/>
                <w:sz w:val="16"/>
                <w:szCs w:val="16"/>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63"/>
              <w:jc w:val="center"/>
              <w:rPr>
                <w:rFonts w:ascii="Arial" w:hAnsi="Arial" w:cs="Arial" w:eastAsia="Arial" w:hint="default"/>
                <w:sz w:val="16"/>
                <w:szCs w:val="16"/>
              </w:rPr>
            </w:pPr>
            <w:r>
              <w:rPr>
                <w:rFonts w:ascii="Arial"/>
                <w:sz w:val="16"/>
              </w:rPr>
              <w:t>50,000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504"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6" w:right="0"/>
              <w:jc w:val="left"/>
              <w:rPr>
                <w:rFonts w:ascii="宋体" w:hAnsi="宋体" w:cs="宋体" w:eastAsia="宋体" w:hint="default"/>
                <w:sz w:val="16"/>
                <w:szCs w:val="16"/>
              </w:rPr>
            </w:pPr>
            <w:r>
              <w:rPr>
                <w:rFonts w:ascii="宋体" w:hAnsi="宋体" w:cs="宋体" w:eastAsia="宋体" w:hint="default"/>
                <w:sz w:val="16"/>
                <w:szCs w:val="16"/>
              </w:rPr>
              <w:t>联通（上海）产业互联网有限公司</w:t>
            </w:r>
          </w:p>
          <w:p>
            <w:pPr>
              <w:pStyle w:val="TableParagraph"/>
              <w:spacing w:line="240" w:lineRule="auto" w:before="1"/>
              <w:ind w:left="76" w:right="0"/>
              <w:jc w:val="left"/>
              <w:rPr>
                <w:rFonts w:ascii="宋体" w:hAnsi="宋体" w:cs="宋体" w:eastAsia="宋体" w:hint="default"/>
                <w:sz w:val="16"/>
                <w:szCs w:val="16"/>
              </w:rPr>
            </w:pPr>
            <w:r>
              <w:rPr>
                <w:rFonts w:ascii="宋体" w:hAnsi="宋体" w:cs="宋体" w:eastAsia="宋体" w:hint="default"/>
                <w:sz w:val="16"/>
                <w:szCs w:val="16"/>
              </w:rPr>
              <w:t>（“互联网上海”）</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left="163" w:right="0"/>
              <w:jc w:val="left"/>
              <w:rPr>
                <w:rFonts w:ascii="宋体" w:hAnsi="宋体" w:cs="宋体" w:eastAsia="宋体" w:hint="default"/>
                <w:sz w:val="16"/>
                <w:szCs w:val="16"/>
              </w:rPr>
            </w:pPr>
            <w:r>
              <w:rPr>
                <w:rFonts w:ascii="宋体" w:hAnsi="宋体" w:cs="宋体" w:eastAsia="宋体" w:hint="default"/>
                <w:sz w:val="16"/>
                <w:szCs w:val="16"/>
              </w:rPr>
              <w:t>中国，上海市</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left="81" w:right="0"/>
              <w:jc w:val="left"/>
              <w:rPr>
                <w:rFonts w:ascii="宋体" w:hAnsi="宋体" w:cs="宋体" w:eastAsia="宋体" w:hint="default"/>
                <w:sz w:val="16"/>
                <w:szCs w:val="16"/>
              </w:rPr>
            </w:pPr>
            <w:r>
              <w:rPr>
                <w:rFonts w:ascii="宋体" w:hAnsi="宋体" w:cs="宋体" w:eastAsia="宋体" w:hint="default"/>
                <w:sz w:val="16"/>
                <w:szCs w:val="16"/>
              </w:rPr>
              <w:t>中国，上海市</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58" w:right="151" w:firstLine="239"/>
              <w:jc w:val="left"/>
              <w:rPr>
                <w:rFonts w:ascii="宋体" w:hAnsi="宋体" w:cs="宋体" w:eastAsia="宋体" w:hint="default"/>
                <w:sz w:val="16"/>
                <w:szCs w:val="16"/>
              </w:rPr>
            </w:pPr>
            <w:r>
              <w:rPr>
                <w:rFonts w:ascii="宋体" w:hAnsi="宋体" w:cs="宋体" w:eastAsia="宋体" w:hint="default"/>
                <w:sz w:val="16"/>
                <w:szCs w:val="16"/>
              </w:rPr>
              <w:t>信息及</w:t>
            </w:r>
            <w:r>
              <w:rPr>
                <w:rFonts w:ascii="宋体" w:hAnsi="宋体" w:cs="宋体" w:eastAsia="宋体" w:hint="default"/>
                <w:w w:val="99"/>
                <w:sz w:val="16"/>
                <w:szCs w:val="16"/>
              </w:rPr>
              <w:t> </w:t>
            </w:r>
            <w:r>
              <w:rPr>
                <w:rFonts w:ascii="宋体" w:hAnsi="宋体" w:cs="宋体" w:eastAsia="宋体" w:hint="default"/>
                <w:w w:val="95"/>
                <w:sz w:val="16"/>
                <w:szCs w:val="16"/>
              </w:rPr>
              <w:t>系统集成业务</w:t>
            </w:r>
            <w:r>
              <w:rPr>
                <w:rFonts w:ascii="宋体" w:hAnsi="宋体" w:cs="宋体" w:eastAsia="宋体" w:hint="default"/>
                <w:sz w:val="16"/>
                <w:szCs w:val="16"/>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63"/>
              <w:jc w:val="center"/>
              <w:rPr>
                <w:rFonts w:ascii="Arial" w:hAnsi="Arial" w:cs="Arial" w:eastAsia="Arial" w:hint="default"/>
                <w:sz w:val="16"/>
                <w:szCs w:val="16"/>
              </w:rPr>
            </w:pPr>
            <w:r>
              <w:rPr>
                <w:rFonts w:ascii="Arial"/>
                <w:sz w:val="16"/>
              </w:rPr>
              <w:t>50,000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490"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联通（江苏）产业互联网有限公司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（“互联网江苏”）</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63" w:right="0"/>
              <w:jc w:val="left"/>
              <w:rPr>
                <w:rFonts w:ascii="宋体" w:hAnsi="宋体" w:cs="宋体" w:eastAsia="宋体" w:hint="default"/>
                <w:sz w:val="16"/>
                <w:szCs w:val="16"/>
              </w:rPr>
            </w:pPr>
            <w:r>
              <w:rPr>
                <w:rFonts w:ascii="宋体" w:hAnsi="宋体" w:cs="宋体" w:eastAsia="宋体" w:hint="default"/>
                <w:sz w:val="16"/>
                <w:szCs w:val="16"/>
              </w:rPr>
              <w:t>中国，江苏省</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81" w:right="0"/>
              <w:jc w:val="left"/>
              <w:rPr>
                <w:rFonts w:ascii="宋体" w:hAnsi="宋体" w:cs="宋体" w:eastAsia="宋体" w:hint="default"/>
                <w:sz w:val="16"/>
                <w:szCs w:val="16"/>
              </w:rPr>
            </w:pPr>
            <w:r>
              <w:rPr>
                <w:rFonts w:ascii="宋体" w:hAnsi="宋体" w:cs="宋体" w:eastAsia="宋体" w:hint="default"/>
                <w:sz w:val="16"/>
                <w:szCs w:val="16"/>
              </w:rPr>
              <w:t>中国，江苏省</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06" w:lineRule="exact" w:before="22"/>
              <w:ind w:left="158" w:right="151" w:firstLine="240"/>
              <w:jc w:val="left"/>
              <w:rPr>
                <w:rFonts w:ascii="宋体" w:hAnsi="宋体" w:cs="宋体" w:eastAsia="宋体" w:hint="default"/>
                <w:sz w:val="16"/>
                <w:szCs w:val="16"/>
              </w:rPr>
            </w:pPr>
            <w:r>
              <w:rPr>
                <w:rFonts w:ascii="宋体" w:hAnsi="宋体" w:cs="宋体" w:eastAsia="宋体" w:hint="default"/>
                <w:sz w:val="16"/>
                <w:szCs w:val="16"/>
              </w:rPr>
              <w:t>信息及</w:t>
            </w:r>
            <w:r>
              <w:rPr>
                <w:rFonts w:ascii="宋体" w:hAnsi="宋体" w:cs="宋体" w:eastAsia="宋体" w:hint="default"/>
                <w:w w:val="99"/>
                <w:sz w:val="16"/>
                <w:szCs w:val="16"/>
              </w:rPr>
              <w:t> </w:t>
            </w:r>
            <w:r>
              <w:rPr>
                <w:rFonts w:ascii="宋体" w:hAnsi="宋体" w:cs="宋体" w:eastAsia="宋体" w:hint="default"/>
                <w:w w:val="95"/>
                <w:sz w:val="16"/>
                <w:szCs w:val="16"/>
              </w:rPr>
              <w:t>系统集成业务</w:t>
            </w:r>
            <w:r>
              <w:rPr>
                <w:rFonts w:ascii="宋体" w:hAnsi="宋体" w:cs="宋体" w:eastAsia="宋体" w:hint="default"/>
                <w:sz w:val="16"/>
                <w:szCs w:val="16"/>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65"/>
              <w:jc w:val="center"/>
              <w:rPr>
                <w:rFonts w:ascii="Arial" w:hAnsi="Arial" w:cs="Arial" w:eastAsia="Arial" w:hint="default"/>
                <w:sz w:val="16"/>
                <w:szCs w:val="16"/>
              </w:rPr>
            </w:pPr>
            <w:r>
              <w:rPr>
                <w:rFonts w:ascii="Arial"/>
                <w:sz w:val="16"/>
              </w:rPr>
              <w:t>100,000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487"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联通（黑龙江）产业互联网有限公司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（“互联网黑龙江”）</w:t>
            </w:r>
          </w:p>
        </w:tc>
        <w:tc>
          <w:tcPr>
            <w:tcW w:w="1258" w:type="dxa"/>
            <w:tcBorders>
              <w:top w:val="nil" w:sz="6" w:space="0" w:color="auto"/>
              <w:left w:val="nil" w:sz="6" w:space="0" w:color="auto"/>
              <w:bottom w:val="nil" w:sz="6" w:space="0" w:color="auto"/>
              <w:right w:val="nil" w:sz="6" w:space="0" w:color="auto"/>
            </w:tcBorders>
          </w:tcPr>
          <w:p>
            <w:pPr>
              <w:pStyle w:val="TableParagraph"/>
              <w:spacing w:line="206" w:lineRule="exact" w:before="22"/>
              <w:ind w:left="369" w:right="252" w:firstLine="81"/>
              <w:jc w:val="left"/>
              <w:rPr>
                <w:rFonts w:ascii="宋体" w:hAnsi="宋体" w:cs="宋体" w:eastAsia="宋体" w:hint="default"/>
                <w:sz w:val="16"/>
                <w:szCs w:val="16"/>
              </w:rPr>
            </w:pPr>
            <w:r>
              <w:rPr>
                <w:rFonts w:ascii="宋体" w:hAnsi="宋体" w:cs="宋体" w:eastAsia="宋体" w:hint="default"/>
                <w:sz w:val="16"/>
                <w:szCs w:val="16"/>
              </w:rPr>
              <w:t>中国，</w:t>
            </w:r>
            <w:r>
              <w:rPr>
                <w:rFonts w:ascii="宋体" w:hAnsi="宋体" w:cs="宋体" w:eastAsia="宋体" w:hint="default"/>
                <w:w w:val="98"/>
                <w:sz w:val="16"/>
                <w:szCs w:val="16"/>
              </w:rPr>
              <w:t> </w:t>
            </w:r>
            <w:r>
              <w:rPr>
                <w:rFonts w:ascii="宋体" w:hAnsi="宋体" w:cs="宋体" w:eastAsia="宋体" w:hint="default"/>
                <w:w w:val="95"/>
                <w:sz w:val="16"/>
                <w:szCs w:val="16"/>
              </w:rPr>
              <w:t>黑龙江省</w:t>
            </w:r>
            <w:r>
              <w:rPr>
                <w:rFonts w:ascii="宋体" w:hAnsi="宋体" w:cs="宋体" w:eastAsia="宋体" w:hint="default"/>
                <w:sz w:val="16"/>
                <w:szCs w:val="16"/>
              </w:rPr>
            </w:r>
          </w:p>
        </w:tc>
        <w:tc>
          <w:tcPr>
            <w:tcW w:w="1176" w:type="dxa"/>
            <w:tcBorders>
              <w:top w:val="nil" w:sz="6" w:space="0" w:color="auto"/>
              <w:left w:val="nil" w:sz="6" w:space="0" w:color="auto"/>
              <w:bottom w:val="nil" w:sz="6" w:space="0" w:color="auto"/>
              <w:right w:val="nil" w:sz="6" w:space="0" w:color="auto"/>
            </w:tcBorders>
          </w:tcPr>
          <w:p>
            <w:pPr>
              <w:pStyle w:val="TableParagraph"/>
              <w:spacing w:line="206" w:lineRule="exact" w:before="22"/>
              <w:ind w:left="297" w:right="242" w:firstLine="81"/>
              <w:jc w:val="left"/>
              <w:rPr>
                <w:rFonts w:ascii="宋体" w:hAnsi="宋体" w:cs="宋体" w:eastAsia="宋体" w:hint="default"/>
                <w:sz w:val="16"/>
                <w:szCs w:val="16"/>
              </w:rPr>
            </w:pPr>
            <w:r>
              <w:rPr>
                <w:rFonts w:ascii="宋体" w:hAnsi="宋体" w:cs="宋体" w:eastAsia="宋体" w:hint="default"/>
                <w:sz w:val="16"/>
                <w:szCs w:val="16"/>
              </w:rPr>
              <w:t>中国，</w:t>
            </w:r>
            <w:r>
              <w:rPr>
                <w:rFonts w:ascii="宋体" w:hAnsi="宋体" w:cs="宋体" w:eastAsia="宋体" w:hint="default"/>
                <w:w w:val="98"/>
                <w:sz w:val="16"/>
                <w:szCs w:val="16"/>
              </w:rPr>
              <w:t> </w:t>
            </w:r>
            <w:r>
              <w:rPr>
                <w:rFonts w:ascii="宋体" w:hAnsi="宋体" w:cs="宋体" w:eastAsia="宋体" w:hint="default"/>
                <w:w w:val="95"/>
                <w:sz w:val="16"/>
                <w:szCs w:val="16"/>
              </w:rPr>
              <w:t>黑龙江省</w:t>
            </w:r>
            <w:r>
              <w:rPr>
                <w:rFonts w:ascii="宋体" w:hAnsi="宋体" w:cs="宋体" w:eastAsia="宋体" w:hint="default"/>
                <w:sz w:val="16"/>
                <w:szCs w:val="16"/>
              </w:rPr>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06" w:lineRule="exact" w:before="22"/>
              <w:ind w:left="158" w:right="151" w:firstLine="240"/>
              <w:jc w:val="left"/>
              <w:rPr>
                <w:rFonts w:ascii="宋体" w:hAnsi="宋体" w:cs="宋体" w:eastAsia="宋体" w:hint="default"/>
                <w:sz w:val="16"/>
                <w:szCs w:val="16"/>
              </w:rPr>
            </w:pPr>
            <w:r>
              <w:rPr>
                <w:rFonts w:ascii="宋体" w:hAnsi="宋体" w:cs="宋体" w:eastAsia="宋体" w:hint="default"/>
                <w:sz w:val="16"/>
                <w:szCs w:val="16"/>
              </w:rPr>
              <w:t>信息及</w:t>
            </w:r>
            <w:r>
              <w:rPr>
                <w:rFonts w:ascii="宋体" w:hAnsi="宋体" w:cs="宋体" w:eastAsia="宋体" w:hint="default"/>
                <w:w w:val="98"/>
                <w:sz w:val="16"/>
                <w:szCs w:val="16"/>
              </w:rPr>
              <w:t> </w:t>
            </w:r>
            <w:r>
              <w:rPr>
                <w:rFonts w:ascii="宋体" w:hAnsi="宋体" w:cs="宋体" w:eastAsia="宋体" w:hint="default"/>
                <w:w w:val="95"/>
                <w:sz w:val="16"/>
                <w:szCs w:val="16"/>
              </w:rPr>
              <w:t>系统集成业务</w:t>
            </w:r>
            <w:r>
              <w:rPr>
                <w:rFonts w:ascii="宋体" w:hAnsi="宋体" w:cs="宋体" w:eastAsia="宋体" w:hint="default"/>
                <w:sz w:val="16"/>
                <w:szCs w:val="16"/>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63"/>
              <w:jc w:val="center"/>
              <w:rPr>
                <w:rFonts w:ascii="Arial" w:hAnsi="Arial" w:cs="Arial" w:eastAsia="Arial" w:hint="default"/>
                <w:sz w:val="16"/>
                <w:szCs w:val="16"/>
              </w:rPr>
            </w:pPr>
            <w:r>
              <w:rPr>
                <w:rFonts w:ascii="Arial"/>
                <w:sz w:val="16"/>
              </w:rPr>
              <w:t>50,000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487"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6" w:lineRule="exact"/>
              <w:ind w:left="14" w:right="0"/>
              <w:jc w:val="left"/>
              <w:rPr>
                <w:rFonts w:ascii="宋体" w:hAnsi="宋体" w:cs="宋体" w:eastAsia="宋体" w:hint="default"/>
                <w:sz w:val="16"/>
                <w:szCs w:val="16"/>
              </w:rPr>
            </w:pPr>
            <w:r>
              <w:rPr>
                <w:rFonts w:ascii="宋体" w:hAnsi="宋体" w:cs="宋体" w:eastAsia="宋体" w:hint="default"/>
                <w:spacing w:val="2"/>
                <w:w w:val="99"/>
                <w:sz w:val="16"/>
                <w:szCs w:val="16"/>
              </w:rPr>
              <w:t> </w:t>
            </w:r>
            <w:r>
              <w:rPr>
                <w:rFonts w:ascii="宋体" w:hAnsi="宋体" w:cs="宋体" w:eastAsia="宋体" w:hint="default"/>
                <w:sz w:val="16"/>
                <w:szCs w:val="16"/>
              </w:rPr>
              <w:t>联通（陕西）产业互联网有限公司</w:t>
            </w:r>
          </w:p>
          <w:p>
            <w:pPr>
              <w:pStyle w:val="TableParagraph"/>
              <w:spacing w:line="208" w:lineRule="exact"/>
              <w:ind w:left="14" w:right="0"/>
              <w:jc w:val="left"/>
              <w:rPr>
                <w:rFonts w:ascii="宋体" w:hAnsi="宋体" w:cs="宋体" w:eastAsia="宋体" w:hint="default"/>
                <w:sz w:val="16"/>
                <w:szCs w:val="16"/>
              </w:rPr>
            </w:pPr>
            <w:r>
              <w:rPr>
                <w:rFonts w:ascii="宋体" w:hAnsi="宋体" w:cs="宋体" w:eastAsia="宋体" w:hint="default"/>
                <w:sz w:val="16"/>
                <w:szCs w:val="16"/>
              </w:rPr>
              <w:t>（“互联网陕西”）</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16"/>
                <w:szCs w:val="16"/>
              </w:rPr>
            </w:pPr>
            <w:r>
              <w:rPr>
                <w:rFonts w:ascii="宋体" w:hAnsi="宋体" w:cs="宋体" w:eastAsia="宋体" w:hint="default"/>
                <w:sz w:val="16"/>
                <w:szCs w:val="16"/>
              </w:rPr>
              <w:t>中国，陕西省</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177" w:right="0"/>
              <w:jc w:val="left"/>
              <w:rPr>
                <w:rFonts w:ascii="宋体" w:hAnsi="宋体" w:cs="宋体" w:eastAsia="宋体" w:hint="default"/>
                <w:sz w:val="16"/>
                <w:szCs w:val="16"/>
              </w:rPr>
            </w:pPr>
            <w:r>
              <w:rPr>
                <w:rFonts w:ascii="宋体" w:hAnsi="宋体" w:cs="宋体" w:eastAsia="宋体" w:hint="default"/>
                <w:sz w:val="16"/>
                <w:szCs w:val="16"/>
              </w:rPr>
              <w:t>中国，陕西省</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06" w:lineRule="exact" w:before="20"/>
              <w:ind w:left="148" w:right="77" w:firstLine="239"/>
              <w:jc w:val="left"/>
              <w:rPr>
                <w:rFonts w:ascii="宋体" w:hAnsi="宋体" w:cs="宋体" w:eastAsia="宋体" w:hint="default"/>
                <w:sz w:val="16"/>
                <w:szCs w:val="16"/>
              </w:rPr>
            </w:pPr>
            <w:r>
              <w:rPr>
                <w:rFonts w:ascii="宋体" w:hAnsi="宋体" w:cs="宋体" w:eastAsia="宋体" w:hint="default"/>
                <w:sz w:val="16"/>
                <w:szCs w:val="16"/>
              </w:rPr>
              <w:t>软件和</w:t>
            </w:r>
            <w:r>
              <w:rPr>
                <w:rFonts w:ascii="宋体" w:hAnsi="宋体" w:cs="宋体" w:eastAsia="宋体" w:hint="default"/>
                <w:w w:val="99"/>
                <w:sz w:val="16"/>
                <w:szCs w:val="16"/>
              </w:rPr>
              <w:t> </w:t>
            </w:r>
            <w:r>
              <w:rPr>
                <w:rFonts w:ascii="宋体" w:hAnsi="宋体" w:cs="宋体" w:eastAsia="宋体" w:hint="default"/>
                <w:sz w:val="16"/>
                <w:szCs w:val="16"/>
              </w:rPr>
              <w:t>信息技术服务</w:t>
            </w:r>
            <w:r>
              <w:rPr>
                <w:rFonts w:ascii="宋体" w:hAnsi="宋体" w:cs="宋体" w:eastAsia="宋体" w:hint="default"/>
                <w:sz w:val="16"/>
                <w:szCs w:val="16"/>
              </w:rPr>
              <w:t> </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right="121"/>
              <w:jc w:val="center"/>
              <w:rPr>
                <w:rFonts w:ascii="Arial" w:hAnsi="Arial" w:cs="Arial" w:eastAsia="Arial" w:hint="default"/>
                <w:sz w:val="16"/>
                <w:szCs w:val="16"/>
              </w:rPr>
            </w:pPr>
            <w:r>
              <w:rPr>
                <w:rFonts w:ascii="Arial"/>
                <w:sz w:val="16"/>
              </w:rPr>
              <w:t>50,000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487"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联通大数据有限公司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（“联通大数据”）</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63"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81"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6"/>
                <w:szCs w:val="16"/>
              </w:rPr>
            </w:pPr>
            <w:r>
              <w:rPr>
                <w:rFonts w:ascii="宋体" w:hAnsi="宋体" w:cs="宋体" w:eastAsia="宋体" w:hint="default"/>
                <w:sz w:val="16"/>
                <w:szCs w:val="16"/>
              </w:rPr>
              <w:t>数据处理</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65"/>
              <w:jc w:val="center"/>
              <w:rPr>
                <w:rFonts w:ascii="Arial" w:hAnsi="Arial" w:cs="Arial" w:eastAsia="Arial" w:hint="default"/>
                <w:sz w:val="16"/>
                <w:szCs w:val="16"/>
              </w:rPr>
            </w:pPr>
            <w:r>
              <w:rPr>
                <w:rFonts w:ascii="Arial"/>
                <w:sz w:val="16"/>
              </w:rPr>
              <w:t>500,000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436"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6"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联通旅游（北京）有限公司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（“联通旅游”）</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177"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96"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6"/>
                <w:szCs w:val="16"/>
              </w:rPr>
            </w:pPr>
            <w:r>
              <w:rPr>
                <w:rFonts w:ascii="宋体" w:hAnsi="宋体" w:cs="宋体" w:eastAsia="宋体" w:hint="default"/>
                <w:sz w:val="16"/>
                <w:szCs w:val="16"/>
              </w:rPr>
              <w:t>旅游业务</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right="121"/>
              <w:jc w:val="center"/>
              <w:rPr>
                <w:rFonts w:ascii="Arial" w:hAnsi="Arial" w:cs="Arial" w:eastAsia="Arial" w:hint="default"/>
                <w:sz w:val="16"/>
                <w:szCs w:val="16"/>
              </w:rPr>
            </w:pPr>
            <w:r>
              <w:rPr>
                <w:rFonts w:ascii="Arial"/>
                <w:sz w:val="16"/>
              </w:rPr>
              <w:t>30,000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bl>
    <w:p>
      <w:pPr>
        <w:spacing w:after="0" w:line="240" w:lineRule="auto"/>
        <w:jc w:val="left"/>
        <w:rPr>
          <w:rFonts w:ascii="Arial" w:hAnsi="Arial" w:cs="Arial" w:eastAsia="Arial" w:hint="default"/>
          <w:sz w:val="16"/>
          <w:szCs w:val="16"/>
        </w:rPr>
        <w:sectPr>
          <w:headerReference w:type="default" r:id="rId211"/>
          <w:pgSz w:w="11910" w:h="16840"/>
          <w:pgMar w:header="1188" w:footer="502" w:top="4600" w:bottom="700" w:left="1020" w:right="1240"/>
        </w:sect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1"/>
          <w:szCs w:val="11"/>
        </w:rPr>
      </w:pPr>
    </w:p>
    <w:tbl>
      <w:tblPr>
        <w:tblW w:w="0" w:type="auto"/>
        <w:jc w:val="left"/>
        <w:tblInd w:w="131" w:type="dxa"/>
        <w:tblLayout w:type="fixed"/>
        <w:tblCellMar>
          <w:top w:w="0" w:type="dxa"/>
          <w:left w:w="0" w:type="dxa"/>
          <w:bottom w:w="0" w:type="dxa"/>
          <w:right w:w="0" w:type="dxa"/>
        </w:tblCellMar>
        <w:tblLook w:val="01E0"/>
      </w:tblPr>
      <w:tblGrid>
        <w:gridCol w:w="2818"/>
        <w:gridCol w:w="1162"/>
        <w:gridCol w:w="1272"/>
        <w:gridCol w:w="101"/>
        <w:gridCol w:w="1267"/>
        <w:gridCol w:w="1570"/>
        <w:gridCol w:w="322"/>
        <w:gridCol w:w="403"/>
        <w:gridCol w:w="485"/>
      </w:tblGrid>
      <w:tr>
        <w:trPr>
          <w:trHeight w:val="189" w:hRule="exact"/>
        </w:trPr>
        <w:tc>
          <w:tcPr>
            <w:tcW w:w="2818" w:type="dxa"/>
            <w:tcBorders>
              <w:top w:val="nil" w:sz="6" w:space="0" w:color="auto"/>
              <w:left w:val="nil" w:sz="6" w:space="0" w:color="auto"/>
              <w:bottom w:val="single" w:sz="4" w:space="0" w:color="000000"/>
              <w:right w:val="nil" w:sz="6" w:space="0" w:color="auto"/>
            </w:tcBorders>
          </w:tcPr>
          <w:p>
            <w:pPr>
              <w:pStyle w:val="TableParagraph"/>
              <w:spacing w:line="159" w:lineRule="exact"/>
              <w:ind w:left="14" w:right="0"/>
              <w:jc w:val="left"/>
              <w:rPr>
                <w:rFonts w:ascii="宋体" w:hAnsi="宋体" w:cs="宋体" w:eastAsia="宋体" w:hint="default"/>
                <w:sz w:val="16"/>
                <w:szCs w:val="16"/>
              </w:rPr>
            </w:pPr>
            <w:r>
              <w:rPr>
                <w:rFonts w:ascii="宋体" w:hAnsi="宋体" w:cs="宋体" w:eastAsia="宋体" w:hint="default"/>
                <w:sz w:val="16"/>
                <w:szCs w:val="16"/>
              </w:rPr>
              <w:t>子公司名称</w:t>
            </w:r>
          </w:p>
        </w:tc>
        <w:tc>
          <w:tcPr>
            <w:tcW w:w="1162" w:type="dxa"/>
            <w:tcBorders>
              <w:top w:val="nil" w:sz="6" w:space="0" w:color="auto"/>
              <w:left w:val="nil" w:sz="6" w:space="0" w:color="auto"/>
              <w:bottom w:val="single" w:sz="4" w:space="0" w:color="000000"/>
              <w:right w:val="nil" w:sz="6" w:space="0" w:color="auto"/>
            </w:tcBorders>
          </w:tcPr>
          <w:p>
            <w:pPr>
              <w:pStyle w:val="TableParagraph"/>
              <w:spacing w:line="159" w:lineRule="exact"/>
              <w:ind w:left="259" w:right="0"/>
              <w:jc w:val="left"/>
              <w:rPr>
                <w:rFonts w:ascii="宋体" w:hAnsi="宋体" w:cs="宋体" w:eastAsia="宋体" w:hint="default"/>
                <w:sz w:val="16"/>
                <w:szCs w:val="16"/>
              </w:rPr>
            </w:pPr>
            <w:r>
              <w:rPr>
                <w:rFonts w:ascii="宋体" w:hAnsi="宋体" w:cs="宋体" w:eastAsia="宋体" w:hint="default"/>
                <w:sz w:val="16"/>
                <w:szCs w:val="16"/>
              </w:rPr>
              <w:t>主要经营地</w:t>
            </w:r>
          </w:p>
        </w:tc>
        <w:tc>
          <w:tcPr>
            <w:tcW w:w="1272" w:type="dxa"/>
            <w:tcBorders>
              <w:top w:val="nil" w:sz="6" w:space="0" w:color="auto"/>
              <w:left w:val="nil" w:sz="6" w:space="0" w:color="auto"/>
              <w:bottom w:val="single" w:sz="4" w:space="0" w:color="000000"/>
              <w:right w:val="nil" w:sz="6" w:space="0" w:color="auto"/>
            </w:tcBorders>
          </w:tcPr>
          <w:p>
            <w:pPr>
              <w:pStyle w:val="TableParagraph"/>
              <w:spacing w:line="159" w:lineRule="exact"/>
              <w:ind w:left="480" w:right="0"/>
              <w:jc w:val="left"/>
              <w:rPr>
                <w:rFonts w:ascii="宋体" w:hAnsi="宋体" w:cs="宋体" w:eastAsia="宋体" w:hint="default"/>
                <w:sz w:val="16"/>
                <w:szCs w:val="16"/>
              </w:rPr>
            </w:pPr>
            <w:r>
              <w:rPr>
                <w:rFonts w:ascii="宋体" w:hAnsi="宋体" w:cs="宋体" w:eastAsia="宋体" w:hint="default"/>
                <w:sz w:val="16"/>
                <w:szCs w:val="16"/>
              </w:rPr>
              <w:t>注册地</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single" w:sz="4" w:space="0" w:color="000000"/>
              <w:right w:val="nil" w:sz="6" w:space="0" w:color="auto"/>
            </w:tcBorders>
          </w:tcPr>
          <w:p>
            <w:pPr>
              <w:pStyle w:val="TableParagraph"/>
              <w:spacing w:line="159" w:lineRule="exact"/>
              <w:ind w:left="38" w:right="0"/>
              <w:jc w:val="center"/>
              <w:rPr>
                <w:rFonts w:ascii="宋体" w:hAnsi="宋体" w:cs="宋体" w:eastAsia="宋体" w:hint="default"/>
                <w:sz w:val="16"/>
                <w:szCs w:val="16"/>
              </w:rPr>
            </w:pPr>
            <w:r>
              <w:rPr>
                <w:rFonts w:ascii="宋体" w:hAnsi="宋体" w:cs="宋体" w:eastAsia="宋体" w:hint="default"/>
                <w:sz w:val="16"/>
                <w:szCs w:val="16"/>
              </w:rPr>
              <w:t>业务性质</w:t>
            </w:r>
          </w:p>
        </w:tc>
        <w:tc>
          <w:tcPr>
            <w:tcW w:w="1570" w:type="dxa"/>
            <w:tcBorders>
              <w:top w:val="nil" w:sz="6" w:space="0" w:color="auto"/>
              <w:left w:val="nil" w:sz="6" w:space="0" w:color="auto"/>
              <w:bottom w:val="single" w:sz="4" w:space="0" w:color="000000"/>
              <w:right w:val="nil" w:sz="6" w:space="0" w:color="auto"/>
            </w:tcBorders>
          </w:tcPr>
          <w:p>
            <w:pPr>
              <w:pStyle w:val="TableParagraph"/>
              <w:spacing w:line="159" w:lineRule="exact"/>
              <w:ind w:right="12"/>
              <w:jc w:val="center"/>
              <w:rPr>
                <w:rFonts w:ascii="宋体" w:hAnsi="宋体" w:cs="宋体" w:eastAsia="宋体" w:hint="default"/>
                <w:sz w:val="16"/>
                <w:szCs w:val="16"/>
              </w:rPr>
            </w:pPr>
            <w:r>
              <w:rPr>
                <w:rFonts w:ascii="宋体" w:hAnsi="宋体" w:cs="宋体" w:eastAsia="宋体" w:hint="default"/>
                <w:sz w:val="16"/>
                <w:szCs w:val="16"/>
              </w:rPr>
              <w:t>注册资本（千元）</w:t>
            </w:r>
          </w:p>
        </w:tc>
        <w:tc>
          <w:tcPr>
            <w:tcW w:w="1210" w:type="dxa"/>
            <w:gridSpan w:val="3"/>
            <w:tcBorders>
              <w:top w:val="nil" w:sz="6" w:space="0" w:color="auto"/>
              <w:left w:val="nil" w:sz="6" w:space="0" w:color="auto"/>
              <w:bottom w:val="single" w:sz="4" w:space="0" w:color="000000"/>
              <w:right w:val="nil" w:sz="6" w:space="0" w:color="auto"/>
            </w:tcBorders>
          </w:tcPr>
          <w:p>
            <w:pPr>
              <w:pStyle w:val="TableParagraph"/>
              <w:spacing w:line="170" w:lineRule="exact"/>
              <w:ind w:left="81" w:right="0"/>
              <w:jc w:val="left"/>
              <w:rPr>
                <w:rFonts w:ascii="Arial" w:hAnsi="Arial" w:cs="Arial" w:eastAsia="Arial" w:hint="default"/>
                <w:sz w:val="16"/>
                <w:szCs w:val="16"/>
              </w:rPr>
            </w:pPr>
            <w:r>
              <w:rPr>
                <w:rFonts w:ascii="宋体" w:hAnsi="宋体" w:cs="宋体" w:eastAsia="宋体" w:hint="default"/>
                <w:sz w:val="16"/>
                <w:szCs w:val="16"/>
              </w:rPr>
              <w:t>持股比例</w:t>
            </w:r>
            <w:r>
              <w:rPr>
                <w:rFonts w:ascii="Arial" w:hAnsi="Arial" w:cs="Arial" w:eastAsia="Arial" w:hint="default"/>
                <w:sz w:val="16"/>
                <w:szCs w:val="16"/>
              </w:rPr>
              <w:t>(%)</w:t>
            </w:r>
          </w:p>
        </w:tc>
      </w:tr>
      <w:tr>
        <w:trPr>
          <w:trHeight w:val="336" w:hRule="exact"/>
        </w:trPr>
        <w:tc>
          <w:tcPr>
            <w:tcW w:w="2818" w:type="dxa"/>
            <w:tcBorders>
              <w:top w:val="single" w:sz="4" w:space="0" w:color="000000"/>
              <w:left w:val="nil" w:sz="6" w:space="0" w:color="auto"/>
              <w:bottom w:val="nil" w:sz="6" w:space="0" w:color="auto"/>
              <w:right w:val="nil" w:sz="6" w:space="0" w:color="auto"/>
            </w:tcBorders>
          </w:tcPr>
          <w:p>
            <w:pPr/>
          </w:p>
        </w:tc>
        <w:tc>
          <w:tcPr>
            <w:tcW w:w="1162" w:type="dxa"/>
            <w:tcBorders>
              <w:top w:val="single" w:sz="4" w:space="0" w:color="000000"/>
              <w:left w:val="nil" w:sz="6" w:space="0" w:color="auto"/>
              <w:bottom w:val="nil" w:sz="6" w:space="0" w:color="auto"/>
              <w:right w:val="nil" w:sz="6" w:space="0" w:color="auto"/>
            </w:tcBorders>
          </w:tcPr>
          <w:p>
            <w:pPr/>
          </w:p>
        </w:tc>
        <w:tc>
          <w:tcPr>
            <w:tcW w:w="1272" w:type="dxa"/>
            <w:tcBorders>
              <w:top w:val="single" w:sz="4" w:space="0" w:color="000000"/>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single" w:sz="4" w:space="0" w:color="000000"/>
              <w:left w:val="nil" w:sz="6" w:space="0" w:color="auto"/>
              <w:bottom w:val="nil" w:sz="6" w:space="0" w:color="auto"/>
              <w:right w:val="nil" w:sz="6" w:space="0" w:color="auto"/>
            </w:tcBorders>
          </w:tcPr>
          <w:p>
            <w:pPr/>
          </w:p>
        </w:tc>
        <w:tc>
          <w:tcPr>
            <w:tcW w:w="1570" w:type="dxa"/>
            <w:tcBorders>
              <w:top w:val="single" w:sz="4" w:space="0" w:color="000000"/>
              <w:left w:val="nil" w:sz="6" w:space="0" w:color="auto"/>
              <w:bottom w:val="nil" w:sz="6" w:space="0" w:color="auto"/>
              <w:right w:val="nil" w:sz="6" w:space="0" w:color="auto"/>
            </w:tcBorders>
          </w:tcPr>
          <w:p>
            <w:pPr/>
          </w:p>
        </w:tc>
        <w:tc>
          <w:tcPr>
            <w:tcW w:w="322" w:type="dxa"/>
            <w:tcBorders>
              <w:top w:val="single" w:sz="4" w:space="0" w:color="000000"/>
              <w:left w:val="nil" w:sz="6" w:space="0" w:color="auto"/>
              <w:bottom w:val="single" w:sz="4" w:space="0" w:color="000000"/>
              <w:right w:val="nil" w:sz="6" w:space="0" w:color="auto"/>
            </w:tcBorders>
          </w:tcPr>
          <w:p>
            <w:pPr>
              <w:pStyle w:val="TableParagraph"/>
              <w:spacing w:line="240" w:lineRule="auto" w:before="110"/>
              <w:ind w:left="-1" w:right="2"/>
              <w:jc w:val="center"/>
              <w:rPr>
                <w:rFonts w:ascii="宋体" w:hAnsi="宋体" w:cs="宋体" w:eastAsia="宋体" w:hint="default"/>
                <w:sz w:val="16"/>
                <w:szCs w:val="16"/>
              </w:rPr>
            </w:pPr>
            <w:r>
              <w:rPr>
                <w:rFonts w:ascii="宋体" w:hAnsi="宋体" w:cs="宋体" w:eastAsia="宋体" w:hint="default"/>
                <w:w w:val="95"/>
                <w:sz w:val="16"/>
                <w:szCs w:val="16"/>
              </w:rPr>
              <w:t>直接</w:t>
            </w:r>
            <w:r>
              <w:rPr>
                <w:rFonts w:ascii="宋体" w:hAnsi="宋体" w:cs="宋体" w:eastAsia="宋体" w:hint="default"/>
                <w:sz w:val="16"/>
                <w:szCs w:val="16"/>
              </w:rPr>
            </w:r>
          </w:p>
        </w:tc>
        <w:tc>
          <w:tcPr>
            <w:tcW w:w="403" w:type="dxa"/>
            <w:tcBorders>
              <w:top w:val="single" w:sz="4" w:space="0" w:color="000000"/>
              <w:left w:val="nil" w:sz="6" w:space="0" w:color="auto"/>
              <w:bottom w:val="nil" w:sz="6" w:space="0" w:color="auto"/>
              <w:right w:val="nil" w:sz="6" w:space="0" w:color="auto"/>
            </w:tcBorders>
          </w:tcPr>
          <w:p>
            <w:pPr/>
          </w:p>
        </w:tc>
        <w:tc>
          <w:tcPr>
            <w:tcW w:w="485" w:type="dxa"/>
            <w:tcBorders>
              <w:top w:val="single" w:sz="4" w:space="0" w:color="000000"/>
              <w:left w:val="nil" w:sz="6" w:space="0" w:color="auto"/>
              <w:bottom w:val="single" w:sz="4" w:space="0" w:color="000000"/>
              <w:right w:val="nil" w:sz="6" w:space="0" w:color="auto"/>
            </w:tcBorders>
          </w:tcPr>
          <w:p>
            <w:pPr>
              <w:pStyle w:val="TableParagraph"/>
              <w:spacing w:line="240" w:lineRule="auto" w:before="110"/>
              <w:ind w:right="0"/>
              <w:jc w:val="left"/>
              <w:rPr>
                <w:rFonts w:ascii="宋体" w:hAnsi="宋体" w:cs="宋体" w:eastAsia="宋体" w:hint="default"/>
                <w:sz w:val="16"/>
                <w:szCs w:val="16"/>
              </w:rPr>
            </w:pPr>
            <w:r>
              <w:rPr>
                <w:rFonts w:ascii="宋体" w:hAnsi="宋体" w:cs="宋体" w:eastAsia="宋体" w:hint="default"/>
                <w:sz w:val="16"/>
                <w:szCs w:val="16"/>
              </w:rPr>
              <w:t>间接</w:t>
            </w:r>
          </w:p>
        </w:tc>
      </w:tr>
      <w:tr>
        <w:trPr>
          <w:trHeight w:val="437"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194"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联通视频科技有限公司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（“联通视频”）</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41"/>
              <w:jc w:val="right"/>
              <w:rPr>
                <w:rFonts w:ascii="宋体" w:hAnsi="宋体" w:cs="宋体" w:eastAsia="宋体" w:hint="default"/>
                <w:sz w:val="16"/>
                <w:szCs w:val="16"/>
              </w:rPr>
            </w:pPr>
            <w:r>
              <w:rPr>
                <w:rFonts w:ascii="宋体" w:hAnsi="宋体" w:cs="宋体" w:eastAsia="宋体" w:hint="default"/>
                <w:w w:val="95"/>
                <w:sz w:val="16"/>
                <w:szCs w:val="16"/>
              </w:rPr>
              <w:t>中国，北京市</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left="177" w:right="0"/>
              <w:jc w:val="left"/>
              <w:rPr>
                <w:rFonts w:ascii="宋体" w:hAnsi="宋体" w:cs="宋体" w:eastAsia="宋体" w:hint="default"/>
                <w:sz w:val="16"/>
                <w:szCs w:val="16"/>
              </w:rPr>
            </w:pPr>
            <w:r>
              <w:rPr>
                <w:rFonts w:ascii="宋体" w:hAnsi="宋体" w:cs="宋体" w:eastAsia="宋体" w:hint="default"/>
                <w:sz w:val="16"/>
                <w:szCs w:val="16"/>
              </w:rPr>
              <w:t>中国，天津市</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宋体" w:hAnsi="宋体" w:cs="宋体" w:eastAsia="宋体" w:hint="default"/>
                <w:sz w:val="16"/>
                <w:szCs w:val="16"/>
              </w:rPr>
            </w:pPr>
            <w:r>
              <w:rPr>
                <w:rFonts w:ascii="宋体" w:hAnsi="宋体" w:cs="宋体" w:eastAsia="宋体" w:hint="default"/>
                <w:sz w:val="16"/>
                <w:szCs w:val="16"/>
              </w:rPr>
              <w:t>视频科技</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right="123"/>
              <w:jc w:val="center"/>
              <w:rPr>
                <w:rFonts w:ascii="Arial" w:hAnsi="Arial" w:cs="Arial" w:eastAsia="Arial" w:hint="default"/>
                <w:sz w:val="16"/>
                <w:szCs w:val="16"/>
              </w:rPr>
            </w:pPr>
            <w:r>
              <w:rPr>
                <w:rFonts w:ascii="Arial"/>
                <w:sz w:val="16"/>
              </w:rPr>
              <w:t>100,000</w:t>
            </w:r>
          </w:p>
        </w:tc>
        <w:tc>
          <w:tcPr>
            <w:tcW w:w="322"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403" w:type="dxa"/>
            <w:tcBorders>
              <w:top w:val="nil" w:sz="6" w:space="0" w:color="auto"/>
              <w:left w:val="nil" w:sz="6" w:space="0" w:color="auto"/>
              <w:bottom w:val="nil" w:sz="6" w:space="0" w:color="auto"/>
              <w:right w:val="nil" w:sz="6" w:space="0" w:color="auto"/>
            </w:tcBorders>
          </w:tcPr>
          <w:p>
            <w:pPr/>
          </w:p>
        </w:tc>
        <w:tc>
          <w:tcPr>
            <w:tcW w:w="485"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20"/>
                <w:szCs w:val="20"/>
              </w:rPr>
            </w:pPr>
          </w:p>
          <w:p>
            <w:pPr>
              <w:pStyle w:val="TableParagraph"/>
              <w:spacing w:line="240" w:lineRule="auto"/>
              <w:ind w:right="17"/>
              <w:jc w:val="right"/>
              <w:rPr>
                <w:rFonts w:ascii="Arial" w:hAnsi="Arial" w:cs="Arial" w:eastAsia="Arial" w:hint="default"/>
                <w:sz w:val="16"/>
                <w:szCs w:val="16"/>
              </w:rPr>
            </w:pPr>
            <w:r>
              <w:rPr>
                <w:rFonts w:ascii="Arial"/>
                <w:spacing w:val="-1"/>
                <w:w w:val="95"/>
                <w:sz w:val="16"/>
              </w:rPr>
              <w:t>43.94</w:t>
            </w:r>
            <w:r>
              <w:rPr>
                <w:rFonts w:ascii="Arial"/>
                <w:sz w:val="16"/>
              </w:rPr>
            </w:r>
          </w:p>
        </w:tc>
      </w:tr>
      <w:tr>
        <w:trPr>
          <w:trHeight w:val="461"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172"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联通融资租赁有限公司</w:t>
            </w:r>
          </w:p>
          <w:p>
            <w:pPr>
              <w:pStyle w:val="TableParagraph"/>
              <w:spacing w:line="240" w:lineRule="auto" w:before="2"/>
              <w:ind w:left="76" w:right="0"/>
              <w:jc w:val="left"/>
              <w:rPr>
                <w:rFonts w:ascii="宋体" w:hAnsi="宋体" w:cs="宋体" w:eastAsia="宋体" w:hint="default"/>
                <w:sz w:val="16"/>
                <w:szCs w:val="16"/>
              </w:rPr>
            </w:pPr>
            <w:r>
              <w:rPr>
                <w:rFonts w:ascii="宋体" w:hAnsi="宋体" w:cs="宋体" w:eastAsia="宋体" w:hint="default"/>
                <w:sz w:val="16"/>
                <w:szCs w:val="16"/>
              </w:rPr>
              <w:t>（“联通融资租赁”）</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right="41"/>
              <w:jc w:val="right"/>
              <w:rPr>
                <w:rFonts w:ascii="宋体" w:hAnsi="宋体" w:cs="宋体" w:eastAsia="宋体" w:hint="default"/>
                <w:sz w:val="16"/>
                <w:szCs w:val="16"/>
              </w:rPr>
            </w:pPr>
            <w:r>
              <w:rPr>
                <w:rFonts w:ascii="宋体" w:hAnsi="宋体" w:cs="宋体" w:eastAsia="宋体" w:hint="default"/>
                <w:w w:val="95"/>
                <w:sz w:val="16"/>
                <w:szCs w:val="16"/>
              </w:rPr>
              <w:t>中国，北京市</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left="177"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left="4" w:right="0"/>
              <w:jc w:val="center"/>
              <w:rPr>
                <w:rFonts w:ascii="宋体" w:hAnsi="宋体" w:cs="宋体" w:eastAsia="宋体" w:hint="default"/>
                <w:sz w:val="16"/>
                <w:szCs w:val="16"/>
              </w:rPr>
            </w:pPr>
            <w:r>
              <w:rPr>
                <w:rFonts w:ascii="宋体" w:hAnsi="宋体" w:cs="宋体" w:eastAsia="宋体" w:hint="default"/>
                <w:sz w:val="16"/>
                <w:szCs w:val="16"/>
              </w:rPr>
              <w:t>融资租赁业务</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23"/>
              <w:jc w:val="center"/>
              <w:rPr>
                <w:rFonts w:ascii="Arial" w:hAnsi="Arial" w:cs="Arial" w:eastAsia="Arial" w:hint="default"/>
                <w:sz w:val="16"/>
                <w:szCs w:val="16"/>
              </w:rPr>
            </w:pPr>
            <w:r>
              <w:rPr>
                <w:rFonts w:ascii="Arial"/>
                <w:sz w:val="16"/>
              </w:rPr>
              <w:t>5,000,000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403" w:type="dxa"/>
            <w:tcBorders>
              <w:top w:val="nil" w:sz="6" w:space="0" w:color="auto"/>
              <w:left w:val="nil" w:sz="6" w:space="0" w:color="auto"/>
              <w:bottom w:val="nil" w:sz="6" w:space="0" w:color="auto"/>
              <w:right w:val="nil" w:sz="6" w:space="0" w:color="auto"/>
            </w:tcBorders>
          </w:tcPr>
          <w:p>
            <w:pPr/>
          </w:p>
        </w:tc>
        <w:tc>
          <w:tcPr>
            <w:tcW w:w="48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22"/>
              <w:jc w:val="right"/>
              <w:rPr>
                <w:rFonts w:ascii="Arial" w:hAnsi="Arial" w:cs="Arial" w:eastAsia="Arial" w:hint="default"/>
                <w:sz w:val="16"/>
                <w:szCs w:val="16"/>
              </w:rPr>
            </w:pPr>
            <w:r>
              <w:rPr>
                <w:rFonts w:ascii="Arial"/>
                <w:spacing w:val="-1"/>
                <w:w w:val="95"/>
                <w:sz w:val="16"/>
              </w:rPr>
              <w:t>43.94</w:t>
            </w:r>
            <w:r>
              <w:rPr>
                <w:rFonts w:ascii="Arial"/>
                <w:sz w:val="16"/>
              </w:rPr>
            </w:r>
          </w:p>
        </w:tc>
      </w:tr>
      <w:tr>
        <w:trPr>
          <w:trHeight w:val="509"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8" w:lineRule="exact" w:before="10"/>
              <w:ind w:left="76" w:right="0"/>
              <w:jc w:val="left"/>
              <w:rPr>
                <w:rFonts w:ascii="宋体" w:hAnsi="宋体" w:cs="宋体" w:eastAsia="宋体" w:hint="default"/>
                <w:sz w:val="16"/>
                <w:szCs w:val="16"/>
              </w:rPr>
            </w:pPr>
            <w:r>
              <w:rPr>
                <w:rFonts w:ascii="宋体" w:hAnsi="宋体" w:cs="宋体" w:eastAsia="宋体" w:hint="default"/>
                <w:sz w:val="16"/>
                <w:szCs w:val="16"/>
              </w:rPr>
              <w:t>联通物联网有限责任公司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（“联通物联网”）</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41"/>
              <w:jc w:val="right"/>
              <w:rPr>
                <w:rFonts w:ascii="宋体" w:hAnsi="宋体" w:cs="宋体" w:eastAsia="宋体" w:hint="default"/>
                <w:sz w:val="16"/>
                <w:szCs w:val="16"/>
              </w:rPr>
            </w:pPr>
            <w:r>
              <w:rPr>
                <w:rFonts w:ascii="宋体" w:hAnsi="宋体" w:cs="宋体" w:eastAsia="宋体" w:hint="default"/>
                <w:w w:val="95"/>
                <w:sz w:val="16"/>
                <w:szCs w:val="16"/>
              </w:rPr>
              <w:t>中国，北京市</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77" w:right="0"/>
              <w:jc w:val="left"/>
              <w:rPr>
                <w:rFonts w:ascii="宋体" w:hAnsi="宋体" w:cs="宋体" w:eastAsia="宋体" w:hint="default"/>
                <w:sz w:val="16"/>
                <w:szCs w:val="16"/>
              </w:rPr>
            </w:pPr>
            <w:r>
              <w:rPr>
                <w:rFonts w:ascii="宋体" w:hAnsi="宋体" w:cs="宋体" w:eastAsia="宋体" w:hint="default"/>
                <w:sz w:val="16"/>
                <w:szCs w:val="16"/>
              </w:rPr>
              <w:t>中国，南京市</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6"/>
                <w:szCs w:val="16"/>
              </w:rPr>
            </w:pPr>
            <w:r>
              <w:rPr>
                <w:rFonts w:ascii="宋体" w:hAnsi="宋体" w:cs="宋体" w:eastAsia="宋体" w:hint="default"/>
                <w:sz w:val="16"/>
                <w:szCs w:val="16"/>
              </w:rPr>
              <w:t>物联网业务</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23"/>
              <w:jc w:val="center"/>
              <w:rPr>
                <w:rFonts w:ascii="Arial" w:hAnsi="Arial" w:cs="Arial" w:eastAsia="Arial" w:hint="default"/>
                <w:sz w:val="16"/>
                <w:szCs w:val="16"/>
              </w:rPr>
            </w:pPr>
            <w:r>
              <w:rPr>
                <w:rFonts w:ascii="Arial"/>
                <w:sz w:val="16"/>
              </w:rPr>
              <w:t>1,000,000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403" w:type="dxa"/>
            <w:tcBorders>
              <w:top w:val="nil" w:sz="6" w:space="0" w:color="auto"/>
              <w:left w:val="nil" w:sz="6" w:space="0" w:color="auto"/>
              <w:bottom w:val="nil" w:sz="6" w:space="0" w:color="auto"/>
              <w:right w:val="nil" w:sz="6" w:space="0" w:color="auto"/>
            </w:tcBorders>
          </w:tcPr>
          <w:p>
            <w:pPr/>
          </w:p>
        </w:tc>
        <w:tc>
          <w:tcPr>
            <w:tcW w:w="48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22"/>
              <w:jc w:val="right"/>
              <w:rPr>
                <w:rFonts w:ascii="Arial" w:hAnsi="Arial" w:cs="Arial" w:eastAsia="Arial" w:hint="default"/>
                <w:sz w:val="16"/>
                <w:szCs w:val="16"/>
              </w:rPr>
            </w:pPr>
            <w:r>
              <w:rPr>
                <w:rFonts w:ascii="Arial"/>
                <w:spacing w:val="-1"/>
                <w:w w:val="95"/>
                <w:sz w:val="16"/>
              </w:rPr>
              <w:t>43.94</w:t>
            </w:r>
            <w:r>
              <w:rPr>
                <w:rFonts w:ascii="Arial"/>
                <w:sz w:val="16"/>
              </w:rPr>
            </w:r>
          </w:p>
        </w:tc>
      </w:tr>
      <w:tr>
        <w:trPr>
          <w:trHeight w:val="506"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6" w:lineRule="exact" w:before="32"/>
              <w:ind w:left="249" w:right="22" w:hanging="173"/>
              <w:jc w:val="left"/>
              <w:rPr>
                <w:rFonts w:ascii="宋体" w:hAnsi="宋体" w:cs="宋体" w:eastAsia="宋体" w:hint="default"/>
                <w:sz w:val="16"/>
                <w:szCs w:val="16"/>
              </w:rPr>
            </w:pPr>
            <w:r>
              <w:rPr>
                <w:rFonts w:ascii="宋体" w:hAnsi="宋体" w:cs="宋体" w:eastAsia="宋体" w:hint="default"/>
                <w:w w:val="95"/>
                <w:sz w:val="16"/>
                <w:szCs w:val="16"/>
              </w:rPr>
              <w:t>联通高新大数据人工智能科技（成都）</w:t>
            </w:r>
            <w:r>
              <w:rPr>
                <w:rFonts w:ascii="宋体" w:hAnsi="宋体" w:cs="宋体" w:eastAsia="宋体" w:hint="default"/>
                <w:spacing w:val="52"/>
                <w:w w:val="95"/>
                <w:sz w:val="16"/>
                <w:szCs w:val="16"/>
              </w:rPr>
              <w:t> </w:t>
            </w:r>
            <w:r>
              <w:rPr>
                <w:rFonts w:ascii="宋体" w:hAnsi="宋体" w:cs="宋体" w:eastAsia="宋体" w:hint="default"/>
                <w:spacing w:val="52"/>
                <w:w w:val="95"/>
                <w:sz w:val="16"/>
                <w:szCs w:val="16"/>
              </w:rPr>
            </w:r>
            <w:r>
              <w:rPr>
                <w:rFonts w:ascii="宋体" w:hAnsi="宋体" w:cs="宋体" w:eastAsia="宋体" w:hint="default"/>
                <w:sz w:val="16"/>
                <w:szCs w:val="16"/>
              </w:rPr>
              <w:t>有限公司（“大数据成都”）</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41"/>
              <w:jc w:val="right"/>
              <w:rPr>
                <w:rFonts w:ascii="宋体" w:hAnsi="宋体" w:cs="宋体" w:eastAsia="宋体" w:hint="default"/>
                <w:sz w:val="16"/>
                <w:szCs w:val="16"/>
              </w:rPr>
            </w:pPr>
            <w:r>
              <w:rPr>
                <w:rFonts w:ascii="宋体" w:hAnsi="宋体" w:cs="宋体" w:eastAsia="宋体" w:hint="default"/>
                <w:w w:val="95"/>
                <w:sz w:val="16"/>
                <w:szCs w:val="16"/>
              </w:rPr>
              <w:t>中国，四川省</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77" w:right="0"/>
              <w:jc w:val="left"/>
              <w:rPr>
                <w:rFonts w:ascii="宋体" w:hAnsi="宋体" w:cs="宋体" w:eastAsia="宋体" w:hint="default"/>
                <w:sz w:val="16"/>
                <w:szCs w:val="16"/>
              </w:rPr>
            </w:pPr>
            <w:r>
              <w:rPr>
                <w:rFonts w:ascii="宋体" w:hAnsi="宋体" w:cs="宋体" w:eastAsia="宋体" w:hint="default"/>
                <w:sz w:val="16"/>
                <w:szCs w:val="16"/>
              </w:rPr>
              <w:t>中国，四川省</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6"/>
                <w:szCs w:val="16"/>
              </w:rPr>
            </w:pPr>
            <w:r>
              <w:rPr>
                <w:rFonts w:ascii="宋体" w:hAnsi="宋体" w:cs="宋体" w:eastAsia="宋体" w:hint="default"/>
                <w:sz w:val="16"/>
                <w:szCs w:val="16"/>
              </w:rPr>
              <w:t>数据处理</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23"/>
              <w:jc w:val="center"/>
              <w:rPr>
                <w:rFonts w:ascii="Arial" w:hAnsi="Arial" w:cs="Arial" w:eastAsia="Arial" w:hint="default"/>
                <w:sz w:val="16"/>
                <w:szCs w:val="16"/>
              </w:rPr>
            </w:pPr>
            <w:r>
              <w:rPr>
                <w:rFonts w:ascii="Arial"/>
                <w:sz w:val="16"/>
              </w:rPr>
              <w:t>100,000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403" w:type="dxa"/>
            <w:tcBorders>
              <w:top w:val="nil" w:sz="6" w:space="0" w:color="auto"/>
              <w:left w:val="nil" w:sz="6" w:space="0" w:color="auto"/>
              <w:bottom w:val="nil" w:sz="6" w:space="0" w:color="auto"/>
              <w:right w:val="nil" w:sz="6" w:space="0" w:color="auto"/>
            </w:tcBorders>
          </w:tcPr>
          <w:p>
            <w:pPr/>
          </w:p>
        </w:tc>
        <w:tc>
          <w:tcPr>
            <w:tcW w:w="48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22"/>
              <w:jc w:val="right"/>
              <w:rPr>
                <w:rFonts w:ascii="Arial" w:hAnsi="Arial" w:cs="Arial" w:eastAsia="Arial" w:hint="default"/>
                <w:sz w:val="16"/>
                <w:szCs w:val="16"/>
              </w:rPr>
            </w:pPr>
            <w:r>
              <w:rPr>
                <w:rFonts w:ascii="Arial"/>
                <w:spacing w:val="-1"/>
                <w:w w:val="95"/>
                <w:sz w:val="16"/>
              </w:rPr>
              <w:t>21.41</w:t>
            </w:r>
            <w:r>
              <w:rPr>
                <w:rFonts w:ascii="Arial"/>
                <w:sz w:val="16"/>
              </w:rPr>
            </w:r>
          </w:p>
        </w:tc>
      </w:tr>
      <w:tr>
        <w:trPr>
          <w:trHeight w:val="506"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8" w:lineRule="exact" w:before="7"/>
              <w:ind w:left="76" w:right="0"/>
              <w:jc w:val="left"/>
              <w:rPr>
                <w:rFonts w:ascii="宋体" w:hAnsi="宋体" w:cs="宋体" w:eastAsia="宋体" w:hint="default"/>
                <w:sz w:val="16"/>
                <w:szCs w:val="16"/>
              </w:rPr>
            </w:pPr>
            <w:r>
              <w:rPr>
                <w:rFonts w:ascii="宋体" w:hAnsi="宋体" w:cs="宋体" w:eastAsia="宋体" w:hint="default"/>
                <w:sz w:val="16"/>
                <w:szCs w:val="16"/>
              </w:rPr>
              <w:t>联通沃悦读科技文化有限公司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（“联通沃悦读”）</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right="41"/>
              <w:jc w:val="right"/>
              <w:rPr>
                <w:rFonts w:ascii="宋体" w:hAnsi="宋体" w:cs="宋体" w:eastAsia="宋体" w:hint="default"/>
                <w:sz w:val="16"/>
                <w:szCs w:val="16"/>
              </w:rPr>
            </w:pPr>
            <w:r>
              <w:rPr>
                <w:rFonts w:ascii="宋体" w:hAnsi="宋体" w:cs="宋体" w:eastAsia="宋体" w:hint="default"/>
                <w:w w:val="95"/>
                <w:sz w:val="16"/>
                <w:szCs w:val="16"/>
              </w:rPr>
              <w:t>中国，湖南省</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177" w:right="0"/>
              <w:jc w:val="left"/>
              <w:rPr>
                <w:rFonts w:ascii="宋体" w:hAnsi="宋体" w:cs="宋体" w:eastAsia="宋体" w:hint="default"/>
                <w:sz w:val="16"/>
                <w:szCs w:val="16"/>
              </w:rPr>
            </w:pPr>
            <w:r>
              <w:rPr>
                <w:rFonts w:ascii="宋体" w:hAnsi="宋体" w:cs="宋体" w:eastAsia="宋体" w:hint="default"/>
                <w:sz w:val="16"/>
                <w:szCs w:val="16"/>
              </w:rPr>
              <w:t>中国，湖南省</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6"/>
                <w:szCs w:val="16"/>
              </w:rPr>
            </w:pPr>
            <w:r>
              <w:rPr>
                <w:rFonts w:ascii="宋体" w:hAnsi="宋体" w:cs="宋体" w:eastAsia="宋体" w:hint="default"/>
                <w:sz w:val="16"/>
                <w:szCs w:val="16"/>
              </w:rPr>
              <w:t>软件和信息技术</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121"/>
              <w:jc w:val="center"/>
              <w:rPr>
                <w:rFonts w:ascii="Arial" w:hAnsi="Arial" w:cs="Arial" w:eastAsia="Arial" w:hint="default"/>
                <w:sz w:val="16"/>
                <w:szCs w:val="16"/>
              </w:rPr>
            </w:pPr>
            <w:r>
              <w:rPr>
                <w:rFonts w:ascii="Arial"/>
                <w:sz w:val="16"/>
              </w:rPr>
              <w:t>51,000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403" w:type="dxa"/>
            <w:tcBorders>
              <w:top w:val="nil" w:sz="6" w:space="0" w:color="auto"/>
              <w:left w:val="nil" w:sz="6" w:space="0" w:color="auto"/>
              <w:bottom w:val="nil" w:sz="6" w:space="0" w:color="auto"/>
              <w:right w:val="nil" w:sz="6" w:space="0" w:color="auto"/>
            </w:tcBorders>
          </w:tcPr>
          <w:p>
            <w:pPr/>
          </w:p>
        </w:tc>
        <w:tc>
          <w:tcPr>
            <w:tcW w:w="48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22"/>
              <w:jc w:val="right"/>
              <w:rPr>
                <w:rFonts w:ascii="Arial" w:hAnsi="Arial" w:cs="Arial" w:eastAsia="Arial" w:hint="default"/>
                <w:sz w:val="16"/>
                <w:szCs w:val="16"/>
              </w:rPr>
            </w:pPr>
            <w:r>
              <w:rPr>
                <w:rFonts w:ascii="Arial"/>
                <w:spacing w:val="-1"/>
                <w:w w:val="95"/>
                <w:sz w:val="16"/>
              </w:rPr>
              <w:t>43.94</w:t>
            </w:r>
            <w:r>
              <w:rPr>
                <w:rFonts w:ascii="Arial"/>
                <w:sz w:val="16"/>
              </w:rPr>
            </w:r>
          </w:p>
        </w:tc>
      </w:tr>
      <w:tr>
        <w:trPr>
          <w:trHeight w:val="506"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8" w:lineRule="exact" w:before="10"/>
              <w:ind w:left="76" w:right="0"/>
              <w:jc w:val="left"/>
              <w:rPr>
                <w:rFonts w:ascii="宋体" w:hAnsi="宋体" w:cs="宋体" w:eastAsia="宋体" w:hint="default"/>
                <w:sz w:val="16"/>
                <w:szCs w:val="16"/>
              </w:rPr>
            </w:pPr>
            <w:r>
              <w:rPr>
                <w:rFonts w:ascii="宋体" w:hAnsi="宋体" w:cs="宋体" w:eastAsia="宋体" w:hint="default"/>
                <w:sz w:val="16"/>
                <w:szCs w:val="16"/>
              </w:rPr>
              <w:t>联通沃音乐文化有限公司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（“联通沃文化”）</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41"/>
              <w:jc w:val="right"/>
              <w:rPr>
                <w:rFonts w:ascii="宋体" w:hAnsi="宋体" w:cs="宋体" w:eastAsia="宋体" w:hint="default"/>
                <w:sz w:val="16"/>
                <w:szCs w:val="16"/>
              </w:rPr>
            </w:pPr>
            <w:r>
              <w:rPr>
                <w:rFonts w:ascii="宋体" w:hAnsi="宋体" w:cs="宋体" w:eastAsia="宋体" w:hint="default"/>
                <w:w w:val="95"/>
                <w:sz w:val="16"/>
                <w:szCs w:val="16"/>
              </w:rPr>
              <w:t>中国，广东省</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77" w:right="0"/>
              <w:jc w:val="left"/>
              <w:rPr>
                <w:rFonts w:ascii="宋体" w:hAnsi="宋体" w:cs="宋体" w:eastAsia="宋体" w:hint="default"/>
                <w:sz w:val="16"/>
                <w:szCs w:val="16"/>
              </w:rPr>
            </w:pPr>
            <w:r>
              <w:rPr>
                <w:rFonts w:ascii="宋体" w:hAnsi="宋体" w:cs="宋体" w:eastAsia="宋体" w:hint="default"/>
                <w:sz w:val="16"/>
                <w:szCs w:val="16"/>
              </w:rPr>
              <w:t>中国，广东省</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6"/>
                <w:szCs w:val="16"/>
              </w:rPr>
            </w:pPr>
            <w:r>
              <w:rPr>
                <w:rFonts w:ascii="宋体" w:hAnsi="宋体" w:cs="宋体" w:eastAsia="宋体" w:hint="default"/>
                <w:sz w:val="16"/>
                <w:szCs w:val="16"/>
              </w:rPr>
              <w:t>文化艺术</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23"/>
              <w:jc w:val="center"/>
              <w:rPr>
                <w:rFonts w:ascii="Arial" w:hAnsi="Arial" w:cs="Arial" w:eastAsia="Arial" w:hint="default"/>
                <w:sz w:val="16"/>
                <w:szCs w:val="16"/>
              </w:rPr>
            </w:pPr>
            <w:r>
              <w:rPr>
                <w:rFonts w:ascii="Arial"/>
                <w:sz w:val="16"/>
              </w:rPr>
              <w:t>100,000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403" w:type="dxa"/>
            <w:tcBorders>
              <w:top w:val="nil" w:sz="6" w:space="0" w:color="auto"/>
              <w:left w:val="nil" w:sz="6" w:space="0" w:color="auto"/>
              <w:bottom w:val="nil" w:sz="6" w:space="0" w:color="auto"/>
              <w:right w:val="nil" w:sz="6" w:space="0" w:color="auto"/>
            </w:tcBorders>
          </w:tcPr>
          <w:p>
            <w:pPr/>
          </w:p>
        </w:tc>
        <w:tc>
          <w:tcPr>
            <w:tcW w:w="48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22"/>
              <w:jc w:val="right"/>
              <w:rPr>
                <w:rFonts w:ascii="Arial" w:hAnsi="Arial" w:cs="Arial" w:eastAsia="Arial" w:hint="default"/>
                <w:sz w:val="16"/>
                <w:szCs w:val="16"/>
              </w:rPr>
            </w:pPr>
            <w:r>
              <w:rPr>
                <w:rFonts w:ascii="Arial"/>
                <w:spacing w:val="-1"/>
                <w:w w:val="95"/>
                <w:sz w:val="16"/>
              </w:rPr>
              <w:t>43.94</w:t>
            </w:r>
            <w:r>
              <w:rPr>
                <w:rFonts w:ascii="Arial"/>
                <w:sz w:val="16"/>
              </w:rPr>
            </w:r>
          </w:p>
        </w:tc>
      </w:tr>
      <w:tr>
        <w:trPr>
          <w:trHeight w:val="509"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40" w:lineRule="auto" w:before="7"/>
              <w:ind w:left="14" w:right="0"/>
              <w:jc w:val="left"/>
              <w:rPr>
                <w:rFonts w:ascii="宋体" w:hAnsi="宋体" w:cs="宋体" w:eastAsia="宋体" w:hint="default"/>
                <w:sz w:val="16"/>
                <w:szCs w:val="16"/>
              </w:rPr>
            </w:pPr>
            <w:r>
              <w:rPr>
                <w:rFonts w:ascii="宋体" w:hAnsi="宋体" w:cs="宋体" w:eastAsia="宋体" w:hint="default"/>
                <w:sz w:val="16"/>
                <w:szCs w:val="16"/>
              </w:rPr>
              <w:t>联通智能车联科技（上海）有限公司</w:t>
            </w:r>
          </w:p>
          <w:p>
            <w:pPr>
              <w:pStyle w:val="TableParagraph"/>
              <w:spacing w:line="240" w:lineRule="auto" w:before="2"/>
              <w:ind w:left="14" w:right="0"/>
              <w:jc w:val="left"/>
              <w:rPr>
                <w:rFonts w:ascii="宋体" w:hAnsi="宋体" w:cs="宋体" w:eastAsia="宋体" w:hint="default"/>
                <w:sz w:val="16"/>
                <w:szCs w:val="16"/>
              </w:rPr>
            </w:pPr>
            <w:r>
              <w:rPr>
                <w:rFonts w:ascii="宋体" w:hAnsi="宋体" w:cs="宋体" w:eastAsia="宋体" w:hint="default"/>
                <w:sz w:val="16"/>
                <w:szCs w:val="16"/>
              </w:rPr>
              <w:t>（“智能车联”）</w:t>
            </w:r>
            <w:r>
              <w:rPr>
                <w:rFonts w:ascii="Arial" w:hAnsi="Arial" w:cs="Arial" w:eastAsia="Arial" w:hint="default"/>
                <w:sz w:val="16"/>
                <w:szCs w:val="16"/>
              </w:rPr>
              <w:t>*</w:t>
            </w:r>
            <w:r>
              <w:rPr>
                <w:rFonts w:ascii="宋体" w:hAnsi="宋体" w:cs="宋体" w:eastAsia="宋体" w:hint="default"/>
                <w:w w:val="99"/>
                <w:sz w:val="16"/>
                <w:szCs w:val="16"/>
              </w:rPr>
              <w:t> </w:t>
            </w:r>
            <w:r>
              <w:rPr>
                <w:rFonts w:ascii="宋体" w:hAnsi="宋体" w:cs="宋体" w:eastAsia="宋体" w:hint="default"/>
                <w:sz w:val="16"/>
                <w:szCs w:val="16"/>
              </w:rPr>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19"/>
                <w:szCs w:val="19"/>
              </w:rPr>
            </w:pPr>
          </w:p>
          <w:p>
            <w:pPr>
              <w:pStyle w:val="TableParagraph"/>
              <w:spacing w:line="240" w:lineRule="auto"/>
              <w:ind w:right="41"/>
              <w:jc w:val="right"/>
              <w:rPr>
                <w:rFonts w:ascii="宋体" w:hAnsi="宋体" w:cs="宋体" w:eastAsia="宋体" w:hint="default"/>
                <w:sz w:val="16"/>
                <w:szCs w:val="16"/>
              </w:rPr>
            </w:pPr>
            <w:r>
              <w:rPr>
                <w:rFonts w:ascii="宋体" w:hAnsi="宋体" w:cs="宋体" w:eastAsia="宋体" w:hint="default"/>
                <w:w w:val="95"/>
                <w:sz w:val="16"/>
                <w:szCs w:val="16"/>
              </w:rPr>
              <w:t>中国，上海市</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19"/>
                <w:szCs w:val="19"/>
              </w:rPr>
            </w:pPr>
          </w:p>
          <w:p>
            <w:pPr>
              <w:pStyle w:val="TableParagraph"/>
              <w:spacing w:line="240" w:lineRule="auto"/>
              <w:ind w:left="177" w:right="0"/>
              <w:jc w:val="left"/>
              <w:rPr>
                <w:rFonts w:ascii="宋体" w:hAnsi="宋体" w:cs="宋体" w:eastAsia="宋体" w:hint="default"/>
                <w:sz w:val="16"/>
                <w:szCs w:val="16"/>
              </w:rPr>
            </w:pPr>
            <w:r>
              <w:rPr>
                <w:rFonts w:ascii="宋体" w:hAnsi="宋体" w:cs="宋体" w:eastAsia="宋体" w:hint="default"/>
                <w:sz w:val="16"/>
                <w:szCs w:val="16"/>
              </w:rPr>
              <w:t>中国，上海市</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7"/>
              <w:ind w:left="148" w:right="77" w:firstLine="239"/>
              <w:jc w:val="left"/>
              <w:rPr>
                <w:rFonts w:ascii="宋体" w:hAnsi="宋体" w:cs="宋体" w:eastAsia="宋体" w:hint="default"/>
                <w:sz w:val="16"/>
                <w:szCs w:val="16"/>
              </w:rPr>
            </w:pPr>
            <w:r>
              <w:rPr>
                <w:rFonts w:ascii="宋体" w:hAnsi="宋体" w:cs="宋体" w:eastAsia="宋体" w:hint="default"/>
                <w:sz w:val="16"/>
                <w:szCs w:val="16"/>
              </w:rPr>
              <w:t>软件和</w:t>
            </w:r>
            <w:r>
              <w:rPr>
                <w:rFonts w:ascii="宋体" w:hAnsi="宋体" w:cs="宋体" w:eastAsia="宋体" w:hint="default"/>
                <w:w w:val="98"/>
                <w:sz w:val="16"/>
                <w:szCs w:val="16"/>
              </w:rPr>
              <w:t> </w:t>
            </w:r>
            <w:r>
              <w:rPr>
                <w:rFonts w:ascii="宋体" w:hAnsi="宋体" w:cs="宋体" w:eastAsia="宋体" w:hint="default"/>
                <w:sz w:val="16"/>
                <w:szCs w:val="16"/>
              </w:rPr>
              <w:t>信息技术服务</w:t>
            </w:r>
            <w:r>
              <w:rPr>
                <w:rFonts w:ascii="宋体" w:hAnsi="宋体" w:cs="宋体" w:eastAsia="宋体" w:hint="default"/>
                <w:sz w:val="16"/>
                <w:szCs w:val="16"/>
              </w:rPr>
              <w:t> </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121"/>
              <w:jc w:val="center"/>
              <w:rPr>
                <w:rFonts w:ascii="Arial" w:hAnsi="Arial" w:cs="Arial" w:eastAsia="Arial" w:hint="default"/>
                <w:sz w:val="16"/>
                <w:szCs w:val="16"/>
              </w:rPr>
            </w:pPr>
            <w:r>
              <w:rPr>
                <w:rFonts w:ascii="Arial"/>
                <w:sz w:val="16"/>
              </w:rPr>
              <w:t>10,000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403" w:type="dxa"/>
            <w:tcBorders>
              <w:top w:val="nil" w:sz="6" w:space="0" w:color="auto"/>
              <w:left w:val="nil" w:sz="6" w:space="0" w:color="auto"/>
              <w:bottom w:val="nil" w:sz="6" w:space="0" w:color="auto"/>
              <w:right w:val="nil" w:sz="6" w:space="0" w:color="auto"/>
            </w:tcBorders>
          </w:tcPr>
          <w:p>
            <w:pPr/>
          </w:p>
        </w:tc>
        <w:tc>
          <w:tcPr>
            <w:tcW w:w="48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2"/>
              <w:jc w:val="right"/>
              <w:rPr>
                <w:rFonts w:ascii="Arial" w:hAnsi="Arial" w:cs="Arial" w:eastAsia="Arial" w:hint="default"/>
                <w:sz w:val="16"/>
                <w:szCs w:val="16"/>
              </w:rPr>
            </w:pPr>
            <w:r>
              <w:rPr>
                <w:rFonts w:ascii="Arial"/>
                <w:spacing w:val="-1"/>
                <w:w w:val="95"/>
                <w:sz w:val="16"/>
              </w:rPr>
              <w:t>43.94</w:t>
            </w:r>
            <w:r>
              <w:rPr>
                <w:rFonts w:ascii="Arial"/>
                <w:sz w:val="16"/>
              </w:rPr>
            </w:r>
          </w:p>
        </w:tc>
      </w:tr>
      <w:tr>
        <w:trPr>
          <w:trHeight w:val="506"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8" w:lineRule="exact" w:before="7"/>
              <w:ind w:left="14" w:right="0"/>
              <w:jc w:val="left"/>
              <w:rPr>
                <w:rFonts w:ascii="宋体" w:hAnsi="宋体" w:cs="宋体" w:eastAsia="宋体" w:hint="default"/>
                <w:sz w:val="16"/>
                <w:szCs w:val="16"/>
              </w:rPr>
            </w:pPr>
            <w:r>
              <w:rPr>
                <w:rFonts w:ascii="宋体" w:hAnsi="宋体" w:cs="宋体" w:eastAsia="宋体" w:hint="default"/>
                <w:sz w:val="16"/>
                <w:szCs w:val="16"/>
              </w:rPr>
              <w:t>联通智网睿行科技（北京）有限公司</w:t>
            </w:r>
          </w:p>
          <w:p>
            <w:pPr>
              <w:pStyle w:val="TableParagraph"/>
              <w:spacing w:line="219" w:lineRule="exact"/>
              <w:ind w:left="14" w:right="0"/>
              <w:jc w:val="left"/>
              <w:rPr>
                <w:rFonts w:ascii="宋体" w:hAnsi="宋体" w:cs="宋体" w:eastAsia="宋体" w:hint="default"/>
                <w:sz w:val="16"/>
                <w:szCs w:val="16"/>
              </w:rPr>
            </w:pPr>
            <w:r>
              <w:rPr>
                <w:rFonts w:ascii="宋体" w:hAnsi="宋体" w:cs="宋体" w:eastAsia="宋体" w:hint="default"/>
                <w:sz w:val="16"/>
                <w:szCs w:val="16"/>
              </w:rPr>
              <w:t>（“智网睿行”）</w:t>
            </w:r>
            <w:r>
              <w:rPr>
                <w:rFonts w:ascii="Arial" w:hAnsi="Arial" w:cs="Arial" w:eastAsia="Arial" w:hint="default"/>
                <w:sz w:val="16"/>
                <w:szCs w:val="16"/>
              </w:rPr>
              <w:t>*</w:t>
            </w:r>
            <w:r>
              <w:rPr>
                <w:rFonts w:ascii="宋体" w:hAnsi="宋体" w:cs="宋体" w:eastAsia="宋体" w:hint="default"/>
                <w:w w:val="98"/>
                <w:sz w:val="16"/>
                <w:szCs w:val="16"/>
              </w:rPr>
              <w:t> </w:t>
            </w:r>
            <w:r>
              <w:rPr>
                <w:rFonts w:ascii="宋体" w:hAnsi="宋体" w:cs="宋体" w:eastAsia="宋体" w:hint="default"/>
                <w:sz w:val="16"/>
                <w:szCs w:val="16"/>
              </w:rPr>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right="19"/>
              <w:jc w:val="right"/>
              <w:rPr>
                <w:rFonts w:ascii="宋体" w:hAnsi="宋体" w:cs="宋体" w:eastAsia="宋体" w:hint="default"/>
                <w:sz w:val="16"/>
                <w:szCs w:val="16"/>
              </w:rPr>
            </w:pPr>
            <w:r>
              <w:rPr>
                <w:rFonts w:ascii="宋体" w:hAnsi="宋体" w:cs="宋体" w:eastAsia="宋体" w:hint="default"/>
                <w:w w:val="95"/>
                <w:sz w:val="16"/>
                <w:szCs w:val="16"/>
              </w:rPr>
              <w:t>中国，北京市</w:t>
            </w:r>
            <w:r>
              <w:rPr>
                <w:rFonts w:ascii="宋体" w:hAnsi="宋体" w:cs="宋体" w:eastAsia="宋体" w:hint="default"/>
                <w:w w:val="95"/>
                <w:sz w:val="16"/>
                <w:szCs w:val="16"/>
              </w:rPr>
              <w:t> </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115" w:right="0"/>
              <w:jc w:val="left"/>
              <w:rPr>
                <w:rFonts w:ascii="宋体" w:hAnsi="宋体" w:cs="宋体" w:eastAsia="宋体" w:hint="default"/>
                <w:sz w:val="16"/>
                <w:szCs w:val="16"/>
              </w:rPr>
            </w:pPr>
            <w:r>
              <w:rPr>
                <w:rFonts w:ascii="宋体" w:hAnsi="宋体" w:cs="宋体" w:eastAsia="宋体" w:hint="default"/>
                <w:sz w:val="16"/>
                <w:szCs w:val="16"/>
              </w:rPr>
              <w:t>中国，北京市</w:t>
            </w:r>
            <w:r>
              <w:rPr>
                <w:rFonts w:ascii="宋体" w:hAnsi="宋体" w:cs="宋体" w:eastAsia="宋体" w:hint="default"/>
                <w:sz w:val="16"/>
                <w:szCs w:val="16"/>
              </w:rPr>
              <w:t> </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06" w:lineRule="exact" w:before="30"/>
              <w:ind w:left="230" w:right="153" w:firstLine="81"/>
              <w:jc w:val="left"/>
              <w:rPr>
                <w:rFonts w:ascii="宋体" w:hAnsi="宋体" w:cs="宋体" w:eastAsia="宋体" w:hint="default"/>
                <w:sz w:val="16"/>
                <w:szCs w:val="16"/>
              </w:rPr>
            </w:pPr>
            <w:r>
              <w:rPr>
                <w:rFonts w:ascii="宋体" w:hAnsi="宋体" w:cs="宋体" w:eastAsia="宋体" w:hint="default"/>
                <w:sz w:val="16"/>
                <w:szCs w:val="16"/>
              </w:rPr>
              <w:t>科技推广</w:t>
            </w:r>
            <w:r>
              <w:rPr>
                <w:rFonts w:ascii="宋体" w:hAnsi="宋体" w:cs="宋体" w:eastAsia="宋体" w:hint="default"/>
                <w:w w:val="98"/>
                <w:sz w:val="16"/>
                <w:szCs w:val="16"/>
              </w:rPr>
              <w:t> </w:t>
            </w:r>
            <w:r>
              <w:rPr>
                <w:rFonts w:ascii="宋体" w:hAnsi="宋体" w:cs="宋体" w:eastAsia="宋体" w:hint="default"/>
                <w:sz w:val="16"/>
                <w:szCs w:val="16"/>
              </w:rPr>
              <w:t>和应用服务</w:t>
            </w:r>
            <w:r>
              <w:rPr>
                <w:rFonts w:ascii="宋体" w:hAnsi="宋体" w:cs="宋体" w:eastAsia="宋体" w:hint="default"/>
                <w:sz w:val="16"/>
                <w:szCs w:val="16"/>
              </w:rPr>
              <w:t> </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121"/>
              <w:jc w:val="center"/>
              <w:rPr>
                <w:rFonts w:ascii="Arial" w:hAnsi="Arial" w:cs="Arial" w:eastAsia="Arial" w:hint="default"/>
                <w:sz w:val="16"/>
                <w:szCs w:val="16"/>
              </w:rPr>
            </w:pPr>
            <w:r>
              <w:rPr>
                <w:rFonts w:ascii="Arial"/>
                <w:sz w:val="16"/>
              </w:rPr>
              <w:t>10,000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403" w:type="dxa"/>
            <w:tcBorders>
              <w:top w:val="nil" w:sz="6" w:space="0" w:color="auto"/>
              <w:left w:val="nil" w:sz="6" w:space="0" w:color="auto"/>
              <w:bottom w:val="nil" w:sz="6" w:space="0" w:color="auto"/>
              <w:right w:val="nil" w:sz="6" w:space="0" w:color="auto"/>
            </w:tcBorders>
          </w:tcPr>
          <w:p>
            <w:pPr/>
          </w:p>
        </w:tc>
        <w:tc>
          <w:tcPr>
            <w:tcW w:w="48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22"/>
              <w:jc w:val="right"/>
              <w:rPr>
                <w:rFonts w:ascii="Arial" w:hAnsi="Arial" w:cs="Arial" w:eastAsia="Arial" w:hint="default"/>
                <w:sz w:val="16"/>
                <w:szCs w:val="16"/>
              </w:rPr>
            </w:pPr>
            <w:r>
              <w:rPr>
                <w:rFonts w:ascii="Arial"/>
                <w:spacing w:val="-1"/>
                <w:w w:val="95"/>
                <w:sz w:val="16"/>
              </w:rPr>
              <w:t>35.15</w:t>
            </w:r>
            <w:r>
              <w:rPr>
                <w:rFonts w:ascii="Arial"/>
                <w:sz w:val="16"/>
              </w:rPr>
            </w:r>
          </w:p>
        </w:tc>
      </w:tr>
      <w:tr>
        <w:trPr>
          <w:trHeight w:val="516"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8" w:lineRule="exact" w:before="25"/>
              <w:ind w:left="14" w:right="0"/>
              <w:jc w:val="left"/>
              <w:rPr>
                <w:rFonts w:ascii="宋体" w:hAnsi="宋体" w:cs="宋体" w:eastAsia="宋体" w:hint="default"/>
                <w:sz w:val="16"/>
                <w:szCs w:val="16"/>
              </w:rPr>
            </w:pPr>
            <w:r>
              <w:rPr>
                <w:rFonts w:ascii="宋体" w:hAnsi="宋体" w:cs="宋体" w:eastAsia="宋体" w:hint="default"/>
                <w:sz w:val="16"/>
                <w:szCs w:val="16"/>
              </w:rPr>
              <w:t>云景文旅科技有限公司</w:t>
            </w:r>
            <w:r>
              <w:rPr>
                <w:rFonts w:ascii="宋体" w:hAnsi="宋体" w:cs="宋体" w:eastAsia="宋体" w:hint="default"/>
                <w:position w:val="8"/>
                <w:sz w:val="8"/>
                <w:szCs w:val="8"/>
              </w:rPr>
              <w:t>*</w:t>
            </w:r>
            <w:r>
              <w:rPr>
                <w:rFonts w:ascii="宋体" w:hAnsi="宋体" w:cs="宋体" w:eastAsia="宋体" w:hint="default"/>
                <w:spacing w:val="-33"/>
                <w:position w:val="8"/>
                <w:sz w:val="8"/>
                <w:szCs w:val="8"/>
              </w:rPr>
              <w:t> </w:t>
            </w:r>
            <w:r>
              <w:rPr>
                <w:rFonts w:ascii="宋体" w:hAnsi="宋体" w:cs="宋体" w:eastAsia="宋体" w:hint="default"/>
                <w:w w:val="98"/>
                <w:sz w:val="16"/>
                <w:szCs w:val="16"/>
              </w:rPr>
              <w:t> </w:t>
            </w:r>
            <w:r>
              <w:rPr>
                <w:rFonts w:ascii="宋体" w:hAnsi="宋体" w:cs="宋体" w:eastAsia="宋体" w:hint="default"/>
                <w:sz w:val="16"/>
                <w:szCs w:val="16"/>
              </w:rPr>
            </w:r>
          </w:p>
          <w:p>
            <w:pPr>
              <w:pStyle w:val="TableParagraph"/>
              <w:spacing w:line="219" w:lineRule="exact"/>
              <w:ind w:left="14" w:right="0"/>
              <w:jc w:val="left"/>
              <w:rPr>
                <w:rFonts w:ascii="宋体" w:hAnsi="宋体" w:cs="宋体" w:eastAsia="宋体" w:hint="default"/>
                <w:sz w:val="16"/>
                <w:szCs w:val="16"/>
              </w:rPr>
            </w:pPr>
            <w:r>
              <w:rPr>
                <w:rFonts w:ascii="宋体" w:hAnsi="宋体" w:cs="宋体" w:eastAsia="宋体" w:hint="default"/>
                <w:sz w:val="16"/>
                <w:szCs w:val="16"/>
              </w:rPr>
              <w:t>（“云景文旅”）</w:t>
            </w:r>
            <w:r>
              <w:rPr>
                <w:rFonts w:ascii="Arial" w:hAnsi="Arial" w:cs="Arial" w:eastAsia="Arial" w:hint="default"/>
                <w:sz w:val="16"/>
                <w:szCs w:val="16"/>
              </w:rPr>
              <w:t>*</w:t>
            </w:r>
            <w:r>
              <w:rPr>
                <w:rFonts w:ascii="宋体" w:hAnsi="宋体" w:cs="宋体" w:eastAsia="宋体" w:hint="default"/>
                <w:w w:val="98"/>
                <w:sz w:val="16"/>
                <w:szCs w:val="16"/>
              </w:rPr>
              <w:t> </w:t>
            </w:r>
            <w:r>
              <w:rPr>
                <w:rFonts w:ascii="宋体" w:hAnsi="宋体" w:cs="宋体" w:eastAsia="宋体" w:hint="default"/>
                <w:sz w:val="16"/>
                <w:szCs w:val="16"/>
              </w:rPr>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19"/>
              <w:jc w:val="right"/>
              <w:rPr>
                <w:rFonts w:ascii="宋体" w:hAnsi="宋体" w:cs="宋体" w:eastAsia="宋体" w:hint="default"/>
                <w:sz w:val="16"/>
                <w:szCs w:val="16"/>
              </w:rPr>
            </w:pPr>
            <w:r>
              <w:rPr>
                <w:rFonts w:ascii="宋体" w:hAnsi="宋体" w:cs="宋体" w:eastAsia="宋体" w:hint="default"/>
                <w:w w:val="95"/>
                <w:sz w:val="16"/>
                <w:szCs w:val="16"/>
              </w:rPr>
              <w:t>中国，贵州省</w:t>
            </w:r>
            <w:r>
              <w:rPr>
                <w:rFonts w:ascii="宋体" w:hAnsi="宋体" w:cs="宋体" w:eastAsia="宋体" w:hint="default"/>
                <w:w w:val="95"/>
                <w:sz w:val="16"/>
                <w:szCs w:val="16"/>
              </w:rPr>
              <w:t> </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left="115" w:right="0"/>
              <w:jc w:val="left"/>
              <w:rPr>
                <w:rFonts w:ascii="宋体" w:hAnsi="宋体" w:cs="宋体" w:eastAsia="宋体" w:hint="default"/>
                <w:sz w:val="16"/>
                <w:szCs w:val="16"/>
              </w:rPr>
            </w:pPr>
            <w:r>
              <w:rPr>
                <w:rFonts w:ascii="宋体" w:hAnsi="宋体" w:cs="宋体" w:eastAsia="宋体" w:hint="default"/>
                <w:sz w:val="16"/>
                <w:szCs w:val="16"/>
              </w:rPr>
              <w:t>贵州省，贵阳市</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06" w:lineRule="exact" w:before="47"/>
              <w:ind w:left="230" w:right="153" w:firstLine="158"/>
              <w:jc w:val="left"/>
              <w:rPr>
                <w:rFonts w:ascii="宋体" w:hAnsi="宋体" w:cs="宋体" w:eastAsia="宋体" w:hint="default"/>
                <w:sz w:val="16"/>
                <w:szCs w:val="16"/>
              </w:rPr>
            </w:pPr>
            <w:r>
              <w:rPr>
                <w:rFonts w:ascii="宋体" w:hAnsi="宋体" w:cs="宋体" w:eastAsia="宋体" w:hint="default"/>
                <w:sz w:val="16"/>
                <w:szCs w:val="16"/>
              </w:rPr>
              <w:t>旅游和</w:t>
            </w:r>
            <w:r>
              <w:rPr>
                <w:rFonts w:ascii="宋体" w:hAnsi="宋体" w:cs="宋体" w:eastAsia="宋体" w:hint="default"/>
                <w:w w:val="98"/>
                <w:sz w:val="16"/>
                <w:szCs w:val="16"/>
              </w:rPr>
              <w:t> </w:t>
            </w:r>
            <w:r>
              <w:rPr>
                <w:rFonts w:ascii="宋体" w:hAnsi="宋体" w:cs="宋体" w:eastAsia="宋体" w:hint="default"/>
                <w:sz w:val="16"/>
                <w:szCs w:val="16"/>
              </w:rPr>
              <w:t>大数据业务</w:t>
            </w:r>
            <w:r>
              <w:rPr>
                <w:rFonts w:ascii="宋体" w:hAnsi="宋体" w:cs="宋体" w:eastAsia="宋体" w:hint="default"/>
                <w:sz w:val="16"/>
                <w:szCs w:val="16"/>
              </w:rPr>
              <w:t> </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98"/>
              <w:ind w:right="121"/>
              <w:jc w:val="center"/>
              <w:rPr>
                <w:rFonts w:ascii="Arial" w:hAnsi="Arial" w:cs="Arial" w:eastAsia="Arial" w:hint="default"/>
                <w:sz w:val="16"/>
                <w:szCs w:val="16"/>
              </w:rPr>
            </w:pPr>
            <w:r>
              <w:rPr>
                <w:rFonts w:ascii="Arial"/>
                <w:sz w:val="16"/>
              </w:rPr>
              <w:t>25,000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98"/>
              <w:ind w:right="0"/>
              <w:jc w:val="center"/>
              <w:rPr>
                <w:rFonts w:ascii="Arial" w:hAnsi="Arial" w:cs="Arial" w:eastAsia="Arial" w:hint="default"/>
                <w:sz w:val="16"/>
                <w:szCs w:val="16"/>
              </w:rPr>
            </w:pPr>
            <w:r>
              <w:rPr>
                <w:rFonts w:ascii="Arial"/>
                <w:w w:val="98"/>
                <w:sz w:val="16"/>
              </w:rPr>
              <w:t>-</w:t>
            </w:r>
            <w:r>
              <w:rPr>
                <w:rFonts w:ascii="Arial"/>
                <w:sz w:val="16"/>
              </w:rPr>
            </w:r>
          </w:p>
        </w:tc>
        <w:tc>
          <w:tcPr>
            <w:tcW w:w="403" w:type="dxa"/>
            <w:tcBorders>
              <w:top w:val="nil" w:sz="6" w:space="0" w:color="auto"/>
              <w:left w:val="nil" w:sz="6" w:space="0" w:color="auto"/>
              <w:bottom w:val="nil" w:sz="6" w:space="0" w:color="auto"/>
              <w:right w:val="nil" w:sz="6" w:space="0" w:color="auto"/>
            </w:tcBorders>
          </w:tcPr>
          <w:p>
            <w:pPr/>
          </w:p>
        </w:tc>
        <w:tc>
          <w:tcPr>
            <w:tcW w:w="48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98"/>
              <w:ind w:right="22"/>
              <w:jc w:val="right"/>
              <w:rPr>
                <w:rFonts w:ascii="Arial" w:hAnsi="Arial" w:cs="Arial" w:eastAsia="Arial" w:hint="default"/>
                <w:sz w:val="16"/>
                <w:szCs w:val="16"/>
              </w:rPr>
            </w:pPr>
            <w:r>
              <w:rPr>
                <w:rFonts w:ascii="Arial"/>
                <w:spacing w:val="-1"/>
                <w:w w:val="95"/>
                <w:sz w:val="16"/>
              </w:rPr>
              <w:t>26.36</w:t>
            </w:r>
            <w:r>
              <w:rPr>
                <w:rFonts w:ascii="Arial"/>
                <w:sz w:val="16"/>
              </w:rPr>
            </w:r>
          </w:p>
        </w:tc>
      </w:tr>
      <w:tr>
        <w:trPr>
          <w:trHeight w:val="469"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08" w:lineRule="exact" w:before="18"/>
              <w:ind w:left="14" w:right="0"/>
              <w:jc w:val="left"/>
              <w:rPr>
                <w:rFonts w:ascii="宋体" w:hAnsi="宋体" w:cs="宋体" w:eastAsia="宋体" w:hint="default"/>
                <w:sz w:val="8"/>
                <w:szCs w:val="8"/>
              </w:rPr>
            </w:pPr>
            <w:r>
              <w:rPr>
                <w:rFonts w:ascii="宋体" w:hAnsi="宋体" w:cs="宋体" w:eastAsia="宋体" w:hint="default"/>
                <w:sz w:val="16"/>
                <w:szCs w:val="16"/>
              </w:rPr>
              <w:t>河南产业互联网联合发展有限公司</w:t>
            </w:r>
            <w:r>
              <w:rPr>
                <w:rFonts w:ascii="宋体" w:hAnsi="宋体" w:cs="宋体" w:eastAsia="宋体" w:hint="default"/>
                <w:position w:val="8"/>
                <w:sz w:val="8"/>
                <w:szCs w:val="8"/>
              </w:rPr>
              <w:t>* </w:t>
            </w:r>
            <w:r>
              <w:rPr>
                <w:rFonts w:ascii="宋体" w:hAnsi="宋体" w:cs="宋体" w:eastAsia="宋体" w:hint="default"/>
                <w:sz w:val="8"/>
                <w:szCs w:val="8"/>
              </w:rPr>
            </w:r>
          </w:p>
          <w:p>
            <w:pPr>
              <w:pStyle w:val="TableParagraph"/>
              <w:spacing w:line="219" w:lineRule="exact"/>
              <w:ind w:left="14" w:right="0"/>
              <w:jc w:val="left"/>
              <w:rPr>
                <w:rFonts w:ascii="宋体" w:hAnsi="宋体" w:cs="宋体" w:eastAsia="宋体" w:hint="default"/>
                <w:sz w:val="16"/>
                <w:szCs w:val="16"/>
              </w:rPr>
            </w:pPr>
            <w:r>
              <w:rPr>
                <w:rFonts w:ascii="宋体" w:hAnsi="宋体" w:cs="宋体" w:eastAsia="宋体" w:hint="default"/>
                <w:sz w:val="16"/>
                <w:szCs w:val="16"/>
              </w:rPr>
              <w:t>（“互联网河南”）</w:t>
            </w:r>
            <w:r>
              <w:rPr>
                <w:rFonts w:ascii="Arial" w:hAnsi="Arial" w:cs="Arial" w:eastAsia="Arial" w:hint="default"/>
                <w:sz w:val="16"/>
                <w:szCs w:val="16"/>
              </w:rPr>
              <w:t>*</w:t>
            </w:r>
            <w:r>
              <w:rPr>
                <w:rFonts w:ascii="宋体" w:hAnsi="宋体" w:cs="宋体" w:eastAsia="宋体" w:hint="default"/>
                <w:w w:val="99"/>
                <w:sz w:val="16"/>
                <w:szCs w:val="16"/>
              </w:rPr>
              <w:t> </w:t>
            </w:r>
            <w:r>
              <w:rPr>
                <w:rFonts w:ascii="宋体" w:hAnsi="宋体" w:cs="宋体" w:eastAsia="宋体" w:hint="default"/>
                <w:sz w:val="16"/>
                <w:szCs w:val="16"/>
              </w:rPr>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right="19"/>
              <w:jc w:val="right"/>
              <w:rPr>
                <w:rFonts w:ascii="宋体" w:hAnsi="宋体" w:cs="宋体" w:eastAsia="宋体" w:hint="default"/>
                <w:sz w:val="16"/>
                <w:szCs w:val="16"/>
              </w:rPr>
            </w:pPr>
            <w:r>
              <w:rPr>
                <w:rFonts w:ascii="宋体" w:hAnsi="宋体" w:cs="宋体" w:eastAsia="宋体" w:hint="default"/>
                <w:w w:val="95"/>
                <w:sz w:val="16"/>
                <w:szCs w:val="16"/>
              </w:rPr>
              <w:t>中国，河南省</w:t>
            </w:r>
            <w:r>
              <w:rPr>
                <w:rFonts w:ascii="宋体" w:hAnsi="宋体" w:cs="宋体" w:eastAsia="宋体" w:hint="default"/>
                <w:w w:val="95"/>
                <w:sz w:val="16"/>
                <w:szCs w:val="16"/>
              </w:rPr>
              <w:t> </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left="115" w:right="0"/>
              <w:jc w:val="left"/>
              <w:rPr>
                <w:rFonts w:ascii="宋体" w:hAnsi="宋体" w:cs="宋体" w:eastAsia="宋体" w:hint="default"/>
                <w:sz w:val="16"/>
                <w:szCs w:val="16"/>
              </w:rPr>
            </w:pPr>
            <w:r>
              <w:rPr>
                <w:rFonts w:ascii="宋体" w:hAnsi="宋体" w:cs="宋体" w:eastAsia="宋体" w:hint="default"/>
                <w:sz w:val="16"/>
                <w:szCs w:val="16"/>
              </w:rPr>
              <w:t>中国，郑州市</w:t>
            </w:r>
            <w:r>
              <w:rPr>
                <w:rFonts w:ascii="宋体" w:hAnsi="宋体" w:cs="宋体" w:eastAsia="宋体" w:hint="default"/>
                <w:sz w:val="16"/>
                <w:szCs w:val="16"/>
              </w:rPr>
              <w:t> </w:t>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06" w:lineRule="exact" w:before="40"/>
              <w:ind w:left="148" w:right="77" w:firstLine="239"/>
              <w:jc w:val="left"/>
              <w:rPr>
                <w:rFonts w:ascii="宋体" w:hAnsi="宋体" w:cs="宋体" w:eastAsia="宋体" w:hint="default"/>
                <w:sz w:val="16"/>
                <w:szCs w:val="16"/>
              </w:rPr>
            </w:pPr>
            <w:r>
              <w:rPr>
                <w:rFonts w:ascii="宋体" w:hAnsi="宋体" w:cs="宋体" w:eastAsia="宋体" w:hint="default"/>
                <w:sz w:val="16"/>
                <w:szCs w:val="16"/>
              </w:rPr>
              <w:t>信息和</w:t>
            </w:r>
            <w:r>
              <w:rPr>
                <w:rFonts w:ascii="宋体" w:hAnsi="宋体" w:cs="宋体" w:eastAsia="宋体" w:hint="default"/>
                <w:w w:val="98"/>
                <w:sz w:val="16"/>
                <w:szCs w:val="16"/>
              </w:rPr>
              <w:t> </w:t>
            </w:r>
            <w:r>
              <w:rPr>
                <w:rFonts w:ascii="宋体" w:hAnsi="宋体" w:cs="宋体" w:eastAsia="宋体" w:hint="default"/>
                <w:sz w:val="16"/>
                <w:szCs w:val="16"/>
              </w:rPr>
              <w:t>系统集成业务</w:t>
            </w:r>
            <w:r>
              <w:rPr>
                <w:rFonts w:ascii="宋体" w:hAnsi="宋体" w:cs="宋体" w:eastAsia="宋体" w:hint="default"/>
                <w:sz w:val="16"/>
                <w:szCs w:val="16"/>
              </w:rPr>
              <w:t> </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right="123"/>
              <w:jc w:val="center"/>
              <w:rPr>
                <w:rFonts w:ascii="Arial" w:hAnsi="Arial" w:cs="Arial" w:eastAsia="Arial" w:hint="default"/>
                <w:sz w:val="16"/>
                <w:szCs w:val="16"/>
              </w:rPr>
            </w:pPr>
            <w:r>
              <w:rPr>
                <w:rFonts w:ascii="Arial"/>
                <w:sz w:val="16"/>
              </w:rPr>
              <w:t>100,000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403" w:type="dxa"/>
            <w:tcBorders>
              <w:top w:val="nil" w:sz="6" w:space="0" w:color="auto"/>
              <w:left w:val="nil" w:sz="6" w:space="0" w:color="auto"/>
              <w:bottom w:val="nil" w:sz="6" w:space="0" w:color="auto"/>
              <w:right w:val="nil" w:sz="6" w:space="0" w:color="auto"/>
            </w:tcBorders>
          </w:tcPr>
          <w:p>
            <w:pPr/>
          </w:p>
        </w:tc>
        <w:tc>
          <w:tcPr>
            <w:tcW w:w="48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right="22"/>
              <w:jc w:val="right"/>
              <w:rPr>
                <w:rFonts w:ascii="Arial" w:hAnsi="Arial" w:cs="Arial" w:eastAsia="Arial" w:hint="default"/>
                <w:sz w:val="16"/>
                <w:szCs w:val="16"/>
              </w:rPr>
            </w:pPr>
            <w:r>
              <w:rPr>
                <w:rFonts w:ascii="Arial"/>
                <w:spacing w:val="-1"/>
                <w:w w:val="95"/>
                <w:sz w:val="16"/>
              </w:rPr>
              <w:t>43.94</w:t>
            </w:r>
            <w:r>
              <w:rPr>
                <w:rFonts w:ascii="Arial"/>
                <w:sz w:val="16"/>
              </w:rPr>
            </w:r>
          </w:p>
        </w:tc>
      </w:tr>
      <w:tr>
        <w:trPr>
          <w:trHeight w:val="171"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172" w:lineRule="exact"/>
              <w:ind w:left="14" w:right="0"/>
              <w:jc w:val="left"/>
              <w:rPr>
                <w:rFonts w:ascii="宋体" w:hAnsi="宋体" w:cs="宋体" w:eastAsia="宋体" w:hint="default"/>
                <w:sz w:val="16"/>
                <w:szCs w:val="16"/>
              </w:rPr>
            </w:pPr>
            <w:r>
              <w:rPr>
                <w:rFonts w:ascii="宋体"/>
                <w:w w:val="99"/>
                <w:sz w:val="16"/>
              </w:rPr>
              <w:t> </w:t>
            </w:r>
            <w:r>
              <w:rPr>
                <w:rFonts w:ascii="宋体"/>
                <w:sz w:val="16"/>
              </w:rPr>
            </w:r>
          </w:p>
        </w:tc>
        <w:tc>
          <w:tcPr>
            <w:tcW w:w="1162" w:type="dxa"/>
            <w:tcBorders>
              <w:top w:val="nil" w:sz="6" w:space="0" w:color="auto"/>
              <w:left w:val="nil" w:sz="6" w:space="0" w:color="auto"/>
              <w:bottom w:val="nil" w:sz="6" w:space="0" w:color="auto"/>
              <w:right w:val="nil" w:sz="6" w:space="0" w:color="auto"/>
            </w:tcBorders>
          </w:tcPr>
          <w:p>
            <w:pPr>
              <w:pStyle w:val="TableParagraph"/>
              <w:spacing w:line="172" w:lineRule="exact"/>
              <w:ind w:left="100" w:right="0"/>
              <w:jc w:val="left"/>
              <w:rPr>
                <w:rFonts w:ascii="宋体" w:hAnsi="宋体" w:cs="宋体" w:eastAsia="宋体" w:hint="default"/>
                <w:sz w:val="16"/>
                <w:szCs w:val="16"/>
              </w:rPr>
            </w:pPr>
            <w:r>
              <w:rPr>
                <w:rFonts w:ascii="宋体"/>
                <w:w w:val="99"/>
                <w:sz w:val="16"/>
              </w:rPr>
              <w:t> </w:t>
            </w:r>
            <w:r>
              <w:rPr>
                <w:rFonts w:ascii="宋体"/>
                <w:sz w:val="16"/>
              </w:rPr>
            </w:r>
          </w:p>
        </w:tc>
        <w:tc>
          <w:tcPr>
            <w:tcW w:w="1272" w:type="dxa"/>
            <w:tcBorders>
              <w:top w:val="nil" w:sz="6" w:space="0" w:color="auto"/>
              <w:left w:val="nil" w:sz="6" w:space="0" w:color="auto"/>
              <w:bottom w:val="nil" w:sz="6" w:space="0" w:color="auto"/>
              <w:right w:val="nil" w:sz="6" w:space="0" w:color="auto"/>
            </w:tcBorders>
          </w:tcPr>
          <w:p>
            <w:pPr>
              <w:pStyle w:val="TableParagraph"/>
              <w:spacing w:line="172" w:lineRule="exact"/>
              <w:ind w:left="115" w:right="0"/>
              <w:jc w:val="left"/>
              <w:rPr>
                <w:rFonts w:ascii="宋体" w:hAnsi="宋体" w:cs="宋体" w:eastAsia="宋体" w:hint="default"/>
                <w:sz w:val="16"/>
                <w:szCs w:val="16"/>
              </w:rPr>
            </w:pPr>
            <w:r>
              <w:rPr>
                <w:rFonts w:ascii="宋体"/>
                <w:w w:val="99"/>
                <w:sz w:val="16"/>
              </w:rPr>
              <w:t> </w:t>
            </w:r>
            <w:r>
              <w:rPr>
                <w:rFonts w:ascii="宋体"/>
                <w:sz w:val="16"/>
              </w:rPr>
            </w:r>
          </w:p>
        </w:tc>
        <w:tc>
          <w:tcPr>
            <w:tcW w:w="101"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172" w:lineRule="exact"/>
              <w:ind w:left="69" w:right="0"/>
              <w:jc w:val="center"/>
              <w:rPr>
                <w:rFonts w:ascii="宋体" w:hAnsi="宋体" w:cs="宋体" w:eastAsia="宋体" w:hint="default"/>
                <w:sz w:val="16"/>
                <w:szCs w:val="16"/>
              </w:rPr>
            </w:pPr>
            <w:r>
              <w:rPr>
                <w:rFonts w:ascii="宋体"/>
                <w:w w:val="99"/>
                <w:sz w:val="16"/>
              </w:rPr>
              <w:t> </w:t>
            </w:r>
            <w:r>
              <w:rPr>
                <w:rFonts w:ascii="宋体"/>
                <w:sz w:val="16"/>
              </w:rPr>
            </w:r>
          </w:p>
        </w:tc>
        <w:tc>
          <w:tcPr>
            <w:tcW w:w="1570" w:type="dxa"/>
            <w:tcBorders>
              <w:top w:val="nil" w:sz="6" w:space="0" w:color="auto"/>
              <w:left w:val="nil" w:sz="6" w:space="0" w:color="auto"/>
              <w:bottom w:val="nil" w:sz="6" w:space="0" w:color="auto"/>
              <w:right w:val="nil" w:sz="6" w:space="0" w:color="auto"/>
            </w:tcBorders>
          </w:tcPr>
          <w:p>
            <w:pPr/>
          </w:p>
        </w:tc>
        <w:tc>
          <w:tcPr>
            <w:tcW w:w="322" w:type="dxa"/>
            <w:tcBorders>
              <w:top w:val="nil" w:sz="6" w:space="0" w:color="auto"/>
              <w:left w:val="nil" w:sz="6" w:space="0" w:color="auto"/>
              <w:bottom w:val="nil" w:sz="6" w:space="0" w:color="auto"/>
              <w:right w:val="nil" w:sz="6" w:space="0" w:color="auto"/>
            </w:tcBorders>
          </w:tcPr>
          <w:p>
            <w:pPr/>
          </w:p>
        </w:tc>
        <w:tc>
          <w:tcPr>
            <w:tcW w:w="403" w:type="dxa"/>
            <w:tcBorders>
              <w:top w:val="nil" w:sz="6" w:space="0" w:color="auto"/>
              <w:left w:val="nil" w:sz="6" w:space="0" w:color="auto"/>
              <w:bottom w:val="nil" w:sz="6" w:space="0" w:color="auto"/>
              <w:right w:val="nil" w:sz="6" w:space="0" w:color="auto"/>
            </w:tcBorders>
          </w:tcPr>
          <w:p>
            <w:pPr/>
          </w:p>
        </w:tc>
        <w:tc>
          <w:tcPr>
            <w:tcW w:w="485"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Times New Roman" w:hAnsi="Times New Roman" w:cs="Times New Roman" w:eastAsia="Times New Roman" w:hint="default"/>
          <w:sz w:val="16"/>
          <w:szCs w:val="16"/>
        </w:rPr>
      </w:pPr>
    </w:p>
    <w:p>
      <w:pPr>
        <w:spacing w:before="39"/>
        <w:ind w:left="112" w:right="7522" w:firstLine="0"/>
        <w:jc w:val="left"/>
        <w:rPr>
          <w:rFonts w:ascii="宋体" w:hAnsi="宋体" w:cs="宋体" w:eastAsia="宋体"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为</w:t>
      </w:r>
      <w:r>
        <w:rPr>
          <w:rFonts w:ascii="宋体" w:hAnsi="宋体" w:cs="宋体" w:eastAsia="宋体" w:hint="default"/>
          <w:spacing w:val="-50"/>
          <w:sz w:val="20"/>
          <w:szCs w:val="20"/>
        </w:rPr>
        <w:t> </w:t>
      </w:r>
      <w:r>
        <w:rPr>
          <w:rFonts w:ascii="Arial" w:hAnsi="Arial" w:cs="Arial" w:eastAsia="Arial" w:hint="default"/>
          <w:sz w:val="20"/>
          <w:szCs w:val="20"/>
        </w:rPr>
        <w:t>2019</w:t>
      </w:r>
      <w:r>
        <w:rPr>
          <w:rFonts w:ascii="Arial" w:hAnsi="Arial" w:cs="Arial" w:eastAsia="Arial" w:hint="default"/>
          <w:spacing w:val="-8"/>
          <w:sz w:val="20"/>
          <w:szCs w:val="20"/>
        </w:rPr>
        <w:t> </w:t>
      </w:r>
      <w:r>
        <w:rPr>
          <w:rFonts w:ascii="宋体" w:hAnsi="宋体" w:cs="宋体" w:eastAsia="宋体" w:hint="default"/>
          <w:sz w:val="20"/>
          <w:szCs w:val="20"/>
        </w:rPr>
        <w:t>年新设</w:t>
      </w:r>
    </w:p>
    <w:p>
      <w:pPr>
        <w:spacing w:after="0"/>
        <w:jc w:val="left"/>
        <w:rPr>
          <w:rFonts w:ascii="宋体" w:hAnsi="宋体" w:cs="宋体" w:eastAsia="宋体" w:hint="default"/>
          <w:sz w:val="20"/>
          <w:szCs w:val="20"/>
        </w:rPr>
        <w:sectPr>
          <w:pgSz w:w="11910" w:h="16840"/>
          <w:pgMar w:header="1188" w:footer="502" w:top="4600" w:bottom="700" w:left="1020" w:right="1240"/>
        </w:sectPr>
      </w:pPr>
    </w:p>
    <w:p>
      <w:pPr>
        <w:spacing w:line="240" w:lineRule="auto" w:before="7"/>
        <w:rPr>
          <w:rFonts w:ascii="Times New Roman" w:hAnsi="Times New Roman" w:cs="Times New Roman" w:eastAsia="Times New Roman" w:hint="default"/>
          <w:sz w:val="29"/>
          <w:szCs w:val="29"/>
        </w:rPr>
      </w:pPr>
    </w:p>
    <w:tbl>
      <w:tblPr>
        <w:tblW w:w="0" w:type="auto"/>
        <w:jc w:val="left"/>
        <w:tblInd w:w="131" w:type="dxa"/>
        <w:tblLayout w:type="fixed"/>
        <w:tblCellMar>
          <w:top w:w="0" w:type="dxa"/>
          <w:left w:w="0" w:type="dxa"/>
          <w:bottom w:w="0" w:type="dxa"/>
          <w:right w:w="0" w:type="dxa"/>
        </w:tblCellMar>
        <w:tblLook w:val="01E0"/>
      </w:tblPr>
      <w:tblGrid>
        <w:gridCol w:w="2554"/>
        <w:gridCol w:w="1193"/>
        <w:gridCol w:w="74"/>
        <w:gridCol w:w="1176"/>
        <w:gridCol w:w="1363"/>
        <w:gridCol w:w="1570"/>
        <w:gridCol w:w="322"/>
        <w:gridCol w:w="365"/>
        <w:gridCol w:w="523"/>
      </w:tblGrid>
      <w:tr>
        <w:trPr>
          <w:trHeight w:val="189" w:hRule="exact"/>
        </w:trPr>
        <w:tc>
          <w:tcPr>
            <w:tcW w:w="2554" w:type="dxa"/>
            <w:tcBorders>
              <w:top w:val="nil" w:sz="6" w:space="0" w:color="auto"/>
              <w:left w:val="nil" w:sz="6" w:space="0" w:color="auto"/>
              <w:bottom w:val="single" w:sz="4" w:space="0" w:color="000000"/>
              <w:right w:val="nil" w:sz="6" w:space="0" w:color="auto"/>
            </w:tcBorders>
          </w:tcPr>
          <w:p>
            <w:pPr>
              <w:pStyle w:val="TableParagraph"/>
              <w:spacing w:line="159" w:lineRule="exact"/>
              <w:ind w:left="14" w:right="0"/>
              <w:jc w:val="left"/>
              <w:rPr>
                <w:rFonts w:ascii="宋体" w:hAnsi="宋体" w:cs="宋体" w:eastAsia="宋体" w:hint="default"/>
                <w:sz w:val="16"/>
                <w:szCs w:val="16"/>
              </w:rPr>
            </w:pPr>
            <w:r>
              <w:rPr>
                <w:rFonts w:ascii="宋体" w:hAnsi="宋体" w:cs="宋体" w:eastAsia="宋体" w:hint="default"/>
                <w:sz w:val="16"/>
                <w:szCs w:val="16"/>
              </w:rPr>
              <w:t>子公司名称</w:t>
            </w:r>
          </w:p>
        </w:tc>
        <w:tc>
          <w:tcPr>
            <w:tcW w:w="1193" w:type="dxa"/>
            <w:tcBorders>
              <w:top w:val="nil" w:sz="6" w:space="0" w:color="auto"/>
              <w:left w:val="nil" w:sz="6" w:space="0" w:color="auto"/>
              <w:bottom w:val="single" w:sz="4" w:space="0" w:color="000000"/>
              <w:right w:val="nil" w:sz="6" w:space="0" w:color="auto"/>
            </w:tcBorders>
          </w:tcPr>
          <w:p>
            <w:pPr>
              <w:pStyle w:val="TableParagraph"/>
              <w:spacing w:line="159" w:lineRule="exact"/>
              <w:ind w:left="263" w:right="0"/>
              <w:jc w:val="left"/>
              <w:rPr>
                <w:rFonts w:ascii="宋体" w:hAnsi="宋体" w:cs="宋体" w:eastAsia="宋体" w:hint="default"/>
                <w:sz w:val="16"/>
                <w:szCs w:val="16"/>
              </w:rPr>
            </w:pPr>
            <w:r>
              <w:rPr>
                <w:rFonts w:ascii="宋体" w:hAnsi="宋体" w:cs="宋体" w:eastAsia="宋体" w:hint="default"/>
                <w:sz w:val="16"/>
                <w:szCs w:val="16"/>
              </w:rPr>
              <w:t>主要经营地</w:t>
            </w:r>
          </w:p>
        </w:tc>
        <w:tc>
          <w:tcPr>
            <w:tcW w:w="74"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single" w:sz="4" w:space="0" w:color="000000"/>
              <w:right w:val="nil" w:sz="6" w:space="0" w:color="auto"/>
            </w:tcBorders>
          </w:tcPr>
          <w:p>
            <w:pPr>
              <w:pStyle w:val="TableParagraph"/>
              <w:spacing w:line="159" w:lineRule="exact"/>
              <w:ind w:left="67" w:right="0"/>
              <w:jc w:val="center"/>
              <w:rPr>
                <w:rFonts w:ascii="宋体" w:hAnsi="宋体" w:cs="宋体" w:eastAsia="宋体" w:hint="default"/>
                <w:sz w:val="16"/>
                <w:szCs w:val="16"/>
              </w:rPr>
            </w:pPr>
            <w:r>
              <w:rPr>
                <w:rFonts w:ascii="宋体" w:hAnsi="宋体" w:cs="宋体" w:eastAsia="宋体" w:hint="default"/>
                <w:sz w:val="16"/>
                <w:szCs w:val="16"/>
              </w:rPr>
              <w:t>注册地</w:t>
            </w:r>
          </w:p>
        </w:tc>
        <w:tc>
          <w:tcPr>
            <w:tcW w:w="1363" w:type="dxa"/>
            <w:tcBorders>
              <w:top w:val="nil" w:sz="6" w:space="0" w:color="auto"/>
              <w:left w:val="nil" w:sz="6" w:space="0" w:color="auto"/>
              <w:bottom w:val="single" w:sz="4" w:space="0" w:color="000000"/>
              <w:right w:val="nil" w:sz="6" w:space="0" w:color="auto"/>
            </w:tcBorders>
          </w:tcPr>
          <w:p>
            <w:pPr>
              <w:pStyle w:val="TableParagraph"/>
              <w:spacing w:line="159" w:lineRule="exact"/>
              <w:ind w:left="436" w:right="0"/>
              <w:jc w:val="left"/>
              <w:rPr>
                <w:rFonts w:ascii="宋体" w:hAnsi="宋体" w:cs="宋体" w:eastAsia="宋体" w:hint="default"/>
                <w:sz w:val="16"/>
                <w:szCs w:val="16"/>
              </w:rPr>
            </w:pPr>
            <w:r>
              <w:rPr>
                <w:rFonts w:ascii="宋体" w:hAnsi="宋体" w:cs="宋体" w:eastAsia="宋体" w:hint="default"/>
                <w:sz w:val="16"/>
                <w:szCs w:val="16"/>
              </w:rPr>
              <w:t>业务性质</w:t>
            </w:r>
          </w:p>
        </w:tc>
        <w:tc>
          <w:tcPr>
            <w:tcW w:w="1570" w:type="dxa"/>
            <w:tcBorders>
              <w:top w:val="nil" w:sz="6" w:space="0" w:color="auto"/>
              <w:left w:val="nil" w:sz="6" w:space="0" w:color="auto"/>
              <w:bottom w:val="single" w:sz="4" w:space="0" w:color="000000"/>
              <w:right w:val="nil" w:sz="6" w:space="0" w:color="auto"/>
            </w:tcBorders>
          </w:tcPr>
          <w:p>
            <w:pPr>
              <w:pStyle w:val="TableParagraph"/>
              <w:spacing w:line="159" w:lineRule="exact"/>
              <w:ind w:right="12"/>
              <w:jc w:val="center"/>
              <w:rPr>
                <w:rFonts w:ascii="宋体" w:hAnsi="宋体" w:cs="宋体" w:eastAsia="宋体" w:hint="default"/>
                <w:sz w:val="16"/>
                <w:szCs w:val="16"/>
              </w:rPr>
            </w:pPr>
            <w:r>
              <w:rPr>
                <w:rFonts w:ascii="宋体" w:hAnsi="宋体" w:cs="宋体" w:eastAsia="宋体" w:hint="default"/>
                <w:sz w:val="16"/>
                <w:szCs w:val="16"/>
              </w:rPr>
              <w:t>注册资本（千元）</w:t>
            </w:r>
          </w:p>
        </w:tc>
        <w:tc>
          <w:tcPr>
            <w:tcW w:w="1210" w:type="dxa"/>
            <w:gridSpan w:val="3"/>
            <w:tcBorders>
              <w:top w:val="nil" w:sz="6" w:space="0" w:color="auto"/>
              <w:left w:val="nil" w:sz="6" w:space="0" w:color="auto"/>
              <w:bottom w:val="single" w:sz="4" w:space="0" w:color="000000"/>
              <w:right w:val="nil" w:sz="6" w:space="0" w:color="auto"/>
            </w:tcBorders>
          </w:tcPr>
          <w:p>
            <w:pPr>
              <w:pStyle w:val="TableParagraph"/>
              <w:spacing w:line="170" w:lineRule="exact"/>
              <w:ind w:left="81" w:right="0"/>
              <w:jc w:val="left"/>
              <w:rPr>
                <w:rFonts w:ascii="Arial" w:hAnsi="Arial" w:cs="Arial" w:eastAsia="Arial" w:hint="default"/>
                <w:sz w:val="16"/>
                <w:szCs w:val="16"/>
              </w:rPr>
            </w:pPr>
            <w:r>
              <w:rPr>
                <w:rFonts w:ascii="宋体" w:hAnsi="宋体" w:cs="宋体" w:eastAsia="宋体" w:hint="default"/>
                <w:sz w:val="16"/>
                <w:szCs w:val="16"/>
              </w:rPr>
              <w:t>持股比例</w:t>
            </w:r>
            <w:r>
              <w:rPr>
                <w:rFonts w:ascii="Arial" w:hAnsi="Arial" w:cs="Arial" w:eastAsia="Arial" w:hint="default"/>
                <w:sz w:val="16"/>
                <w:szCs w:val="16"/>
              </w:rPr>
              <w:t>(%)</w:t>
            </w:r>
          </w:p>
        </w:tc>
      </w:tr>
      <w:tr>
        <w:trPr>
          <w:trHeight w:val="336" w:hRule="exact"/>
        </w:trPr>
        <w:tc>
          <w:tcPr>
            <w:tcW w:w="2554" w:type="dxa"/>
            <w:tcBorders>
              <w:top w:val="single" w:sz="4" w:space="0" w:color="000000"/>
              <w:left w:val="nil" w:sz="6" w:space="0" w:color="auto"/>
              <w:bottom w:val="nil" w:sz="6" w:space="0" w:color="auto"/>
              <w:right w:val="nil" w:sz="6" w:space="0" w:color="auto"/>
            </w:tcBorders>
          </w:tcPr>
          <w:p>
            <w:pPr/>
          </w:p>
        </w:tc>
        <w:tc>
          <w:tcPr>
            <w:tcW w:w="1193" w:type="dxa"/>
            <w:tcBorders>
              <w:top w:val="single" w:sz="4" w:space="0" w:color="000000"/>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176" w:type="dxa"/>
            <w:tcBorders>
              <w:top w:val="single" w:sz="4" w:space="0" w:color="000000"/>
              <w:left w:val="nil" w:sz="6" w:space="0" w:color="auto"/>
              <w:bottom w:val="nil" w:sz="6" w:space="0" w:color="auto"/>
              <w:right w:val="nil" w:sz="6" w:space="0" w:color="auto"/>
            </w:tcBorders>
          </w:tcPr>
          <w:p>
            <w:pPr/>
          </w:p>
        </w:tc>
        <w:tc>
          <w:tcPr>
            <w:tcW w:w="1363" w:type="dxa"/>
            <w:tcBorders>
              <w:top w:val="single" w:sz="4" w:space="0" w:color="000000"/>
              <w:left w:val="nil" w:sz="6" w:space="0" w:color="auto"/>
              <w:bottom w:val="nil" w:sz="6" w:space="0" w:color="auto"/>
              <w:right w:val="nil" w:sz="6" w:space="0" w:color="auto"/>
            </w:tcBorders>
          </w:tcPr>
          <w:p>
            <w:pPr/>
          </w:p>
        </w:tc>
        <w:tc>
          <w:tcPr>
            <w:tcW w:w="1570" w:type="dxa"/>
            <w:tcBorders>
              <w:top w:val="single" w:sz="4" w:space="0" w:color="000000"/>
              <w:left w:val="nil" w:sz="6" w:space="0" w:color="auto"/>
              <w:bottom w:val="nil" w:sz="6" w:space="0" w:color="auto"/>
              <w:right w:val="nil" w:sz="6" w:space="0" w:color="auto"/>
            </w:tcBorders>
          </w:tcPr>
          <w:p>
            <w:pPr/>
          </w:p>
        </w:tc>
        <w:tc>
          <w:tcPr>
            <w:tcW w:w="322" w:type="dxa"/>
            <w:tcBorders>
              <w:top w:val="single" w:sz="4" w:space="0" w:color="000000"/>
              <w:left w:val="nil" w:sz="6" w:space="0" w:color="auto"/>
              <w:bottom w:val="single" w:sz="4" w:space="0" w:color="000000"/>
              <w:right w:val="nil" w:sz="6" w:space="0" w:color="auto"/>
            </w:tcBorders>
          </w:tcPr>
          <w:p>
            <w:pPr>
              <w:pStyle w:val="TableParagraph"/>
              <w:spacing w:line="240" w:lineRule="auto" w:before="110"/>
              <w:ind w:left="-1" w:right="2"/>
              <w:jc w:val="center"/>
              <w:rPr>
                <w:rFonts w:ascii="宋体" w:hAnsi="宋体" w:cs="宋体" w:eastAsia="宋体" w:hint="default"/>
                <w:sz w:val="16"/>
                <w:szCs w:val="16"/>
              </w:rPr>
            </w:pPr>
            <w:r>
              <w:rPr>
                <w:rFonts w:ascii="宋体" w:hAnsi="宋体" w:cs="宋体" w:eastAsia="宋体" w:hint="default"/>
                <w:w w:val="95"/>
                <w:sz w:val="16"/>
                <w:szCs w:val="16"/>
              </w:rPr>
              <w:t>直接</w:t>
            </w:r>
            <w:r>
              <w:rPr>
                <w:rFonts w:ascii="宋体" w:hAnsi="宋体" w:cs="宋体" w:eastAsia="宋体" w:hint="default"/>
                <w:sz w:val="16"/>
                <w:szCs w:val="16"/>
              </w:rPr>
            </w:r>
          </w:p>
        </w:tc>
        <w:tc>
          <w:tcPr>
            <w:tcW w:w="365" w:type="dxa"/>
            <w:tcBorders>
              <w:top w:val="single" w:sz="4" w:space="0" w:color="000000"/>
              <w:left w:val="nil" w:sz="6" w:space="0" w:color="auto"/>
              <w:bottom w:val="nil" w:sz="6" w:space="0" w:color="auto"/>
              <w:right w:val="nil" w:sz="6" w:space="0" w:color="auto"/>
            </w:tcBorders>
          </w:tcPr>
          <w:p>
            <w:pPr/>
          </w:p>
        </w:tc>
        <w:tc>
          <w:tcPr>
            <w:tcW w:w="523" w:type="dxa"/>
            <w:tcBorders>
              <w:top w:val="single" w:sz="4" w:space="0" w:color="000000"/>
              <w:left w:val="nil" w:sz="6" w:space="0" w:color="auto"/>
              <w:bottom w:val="single" w:sz="4" w:space="0" w:color="000000"/>
              <w:right w:val="nil" w:sz="6" w:space="0" w:color="auto"/>
            </w:tcBorders>
          </w:tcPr>
          <w:p>
            <w:pPr>
              <w:pStyle w:val="TableParagraph"/>
              <w:spacing w:line="240" w:lineRule="auto" w:before="110"/>
              <w:ind w:left="38" w:right="0"/>
              <w:jc w:val="left"/>
              <w:rPr>
                <w:rFonts w:ascii="宋体" w:hAnsi="宋体" w:cs="宋体" w:eastAsia="宋体" w:hint="default"/>
                <w:sz w:val="16"/>
                <w:szCs w:val="16"/>
              </w:rPr>
            </w:pPr>
            <w:r>
              <w:rPr>
                <w:rFonts w:ascii="宋体" w:hAnsi="宋体" w:cs="宋体" w:eastAsia="宋体" w:hint="default"/>
                <w:sz w:val="16"/>
                <w:szCs w:val="16"/>
              </w:rPr>
              <w:t>间接</w:t>
            </w:r>
          </w:p>
        </w:tc>
      </w:tr>
      <w:tr>
        <w:trPr>
          <w:trHeight w:val="485"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194"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联通系统集成有限公司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（“系统集成公司”）</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left="153"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74"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65"/>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363" w:type="dxa"/>
            <w:tcBorders>
              <w:top w:val="nil" w:sz="6" w:space="0" w:color="auto"/>
              <w:left w:val="nil" w:sz="6" w:space="0" w:color="auto"/>
              <w:bottom w:val="nil" w:sz="6" w:space="0" w:color="auto"/>
              <w:right w:val="nil" w:sz="6" w:space="0" w:color="auto"/>
            </w:tcBorders>
          </w:tcPr>
          <w:p>
            <w:pPr>
              <w:pStyle w:val="TableParagraph"/>
              <w:spacing w:line="206" w:lineRule="exact" w:before="8"/>
              <w:ind w:left="259" w:right="146" w:firstLine="240"/>
              <w:jc w:val="left"/>
              <w:rPr>
                <w:rFonts w:ascii="宋体" w:hAnsi="宋体" w:cs="宋体" w:eastAsia="宋体" w:hint="default"/>
                <w:sz w:val="16"/>
                <w:szCs w:val="16"/>
              </w:rPr>
            </w:pPr>
            <w:r>
              <w:rPr>
                <w:rFonts w:ascii="宋体" w:hAnsi="宋体" w:cs="宋体" w:eastAsia="宋体" w:hint="default"/>
                <w:sz w:val="16"/>
                <w:szCs w:val="16"/>
              </w:rPr>
              <w:t>信息及</w:t>
            </w:r>
            <w:r>
              <w:rPr>
                <w:rFonts w:ascii="宋体" w:hAnsi="宋体" w:cs="宋体" w:eastAsia="宋体" w:hint="default"/>
                <w:w w:val="98"/>
                <w:sz w:val="16"/>
                <w:szCs w:val="16"/>
              </w:rPr>
              <w:t> </w:t>
            </w:r>
            <w:r>
              <w:rPr>
                <w:rFonts w:ascii="宋体" w:hAnsi="宋体" w:cs="宋体" w:eastAsia="宋体" w:hint="default"/>
                <w:w w:val="95"/>
                <w:sz w:val="16"/>
                <w:szCs w:val="16"/>
              </w:rPr>
              <w:t>系统集成业务</w:t>
            </w:r>
            <w:r>
              <w:rPr>
                <w:rFonts w:ascii="宋体" w:hAnsi="宋体" w:cs="宋体" w:eastAsia="宋体" w:hint="default"/>
                <w:sz w:val="16"/>
                <w:szCs w:val="16"/>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right="123"/>
              <w:jc w:val="center"/>
              <w:rPr>
                <w:rFonts w:ascii="Arial" w:hAnsi="Arial" w:cs="Arial" w:eastAsia="Arial" w:hint="default"/>
                <w:sz w:val="16"/>
                <w:szCs w:val="16"/>
              </w:rPr>
            </w:pPr>
            <w:r>
              <w:rPr>
                <w:rFonts w:ascii="Arial"/>
                <w:sz w:val="16"/>
              </w:rPr>
              <w:t>1,250,000</w:t>
            </w:r>
          </w:p>
        </w:tc>
        <w:tc>
          <w:tcPr>
            <w:tcW w:w="322"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506"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08" w:lineRule="exact" w:before="10"/>
              <w:ind w:left="76" w:right="0"/>
              <w:jc w:val="left"/>
              <w:rPr>
                <w:rFonts w:ascii="宋体" w:hAnsi="宋体" w:cs="宋体" w:eastAsia="宋体" w:hint="default"/>
                <w:sz w:val="16"/>
                <w:szCs w:val="16"/>
              </w:rPr>
            </w:pPr>
            <w:r>
              <w:rPr>
                <w:rFonts w:ascii="宋体" w:hAnsi="宋体" w:cs="宋体" w:eastAsia="宋体" w:hint="default"/>
                <w:sz w:val="16"/>
                <w:szCs w:val="16"/>
              </w:rPr>
              <w:t>联通在线信息科技有限公司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（“联通在线”）</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53"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74"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65"/>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363" w:type="dxa"/>
            <w:tcBorders>
              <w:top w:val="nil" w:sz="6" w:space="0" w:color="auto"/>
              <w:left w:val="nil" w:sz="6" w:space="0" w:color="auto"/>
              <w:bottom w:val="nil" w:sz="6" w:space="0" w:color="auto"/>
              <w:right w:val="nil" w:sz="6" w:space="0" w:color="auto"/>
            </w:tcBorders>
          </w:tcPr>
          <w:p>
            <w:pPr>
              <w:pStyle w:val="TableParagraph"/>
              <w:spacing w:line="206" w:lineRule="exact" w:before="32"/>
              <w:ind w:left="259" w:right="146" w:firstLine="220"/>
              <w:jc w:val="left"/>
              <w:rPr>
                <w:rFonts w:ascii="宋体" w:hAnsi="宋体" w:cs="宋体" w:eastAsia="宋体" w:hint="default"/>
                <w:sz w:val="16"/>
                <w:szCs w:val="16"/>
              </w:rPr>
            </w:pPr>
            <w:r>
              <w:rPr>
                <w:rFonts w:ascii="宋体" w:hAnsi="宋体" w:cs="宋体" w:eastAsia="宋体" w:hint="default"/>
                <w:sz w:val="16"/>
                <w:szCs w:val="16"/>
              </w:rPr>
              <w:t>互联网及</w:t>
            </w:r>
            <w:r>
              <w:rPr>
                <w:rFonts w:ascii="宋体" w:hAnsi="宋体" w:cs="宋体" w:eastAsia="宋体" w:hint="default"/>
                <w:w w:val="98"/>
                <w:sz w:val="16"/>
                <w:szCs w:val="16"/>
              </w:rPr>
              <w:t> </w:t>
            </w:r>
            <w:r>
              <w:rPr>
                <w:rFonts w:ascii="宋体" w:hAnsi="宋体" w:cs="宋体" w:eastAsia="宋体" w:hint="default"/>
                <w:w w:val="95"/>
                <w:sz w:val="16"/>
                <w:szCs w:val="16"/>
              </w:rPr>
              <w:t>电信增值业务</w:t>
            </w:r>
            <w:r>
              <w:rPr>
                <w:rFonts w:ascii="宋体" w:hAnsi="宋体" w:cs="宋体" w:eastAsia="宋体" w:hint="default"/>
                <w:sz w:val="16"/>
                <w:szCs w:val="16"/>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65"/>
              <w:jc w:val="center"/>
              <w:rPr>
                <w:rFonts w:ascii="Arial" w:hAnsi="Arial" w:cs="Arial" w:eastAsia="Arial" w:hint="default"/>
                <w:sz w:val="16"/>
                <w:szCs w:val="16"/>
              </w:rPr>
            </w:pPr>
            <w:r>
              <w:rPr>
                <w:rFonts w:ascii="Arial"/>
                <w:sz w:val="16"/>
              </w:rPr>
              <w:t>400,000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506"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7"/>
              <w:ind w:left="14" w:right="0"/>
              <w:jc w:val="left"/>
              <w:rPr>
                <w:rFonts w:ascii="宋体" w:hAnsi="宋体" w:cs="宋体" w:eastAsia="宋体" w:hint="default"/>
                <w:sz w:val="16"/>
                <w:szCs w:val="16"/>
              </w:rPr>
            </w:pPr>
            <w:r>
              <w:rPr>
                <w:rFonts w:ascii="宋体" w:hAnsi="宋体" w:cs="宋体" w:eastAsia="宋体" w:hint="default"/>
                <w:sz w:val="16"/>
                <w:szCs w:val="16"/>
              </w:rPr>
              <w:t>北京沃数媒广告有限公司</w:t>
            </w:r>
          </w:p>
          <w:p>
            <w:pPr>
              <w:pStyle w:val="TableParagraph"/>
              <w:spacing w:line="240" w:lineRule="auto" w:before="2"/>
              <w:ind w:left="14" w:right="0"/>
              <w:jc w:val="left"/>
              <w:rPr>
                <w:rFonts w:ascii="宋体" w:hAnsi="宋体" w:cs="宋体" w:eastAsia="宋体" w:hint="default"/>
                <w:sz w:val="16"/>
                <w:szCs w:val="16"/>
              </w:rPr>
            </w:pPr>
            <w:r>
              <w:rPr>
                <w:rFonts w:ascii="宋体" w:hAnsi="宋体" w:cs="宋体" w:eastAsia="宋体" w:hint="default"/>
                <w:sz w:val="16"/>
                <w:szCs w:val="16"/>
              </w:rPr>
              <w:t>（“沃数媒”）</w:t>
            </w:r>
            <w:r>
              <w:rPr>
                <w:rFonts w:ascii="宋体" w:hAnsi="宋体" w:cs="宋体" w:eastAsia="宋体" w:hint="default"/>
                <w:sz w:val="16"/>
                <w:szCs w:val="16"/>
              </w:rPr>
              <w:t> </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19"/>
                <w:szCs w:val="19"/>
              </w:rPr>
            </w:pPr>
          </w:p>
          <w:p>
            <w:pPr>
              <w:pStyle w:val="TableParagraph"/>
              <w:spacing w:line="240" w:lineRule="auto"/>
              <w:ind w:left="153" w:right="0"/>
              <w:jc w:val="left"/>
              <w:rPr>
                <w:rFonts w:ascii="宋体" w:hAnsi="宋体" w:cs="宋体" w:eastAsia="宋体" w:hint="default"/>
                <w:sz w:val="16"/>
                <w:szCs w:val="16"/>
              </w:rPr>
            </w:pPr>
            <w:r>
              <w:rPr>
                <w:rFonts w:ascii="宋体" w:hAnsi="宋体" w:cs="宋体" w:eastAsia="宋体" w:hint="default"/>
                <w:sz w:val="16"/>
                <w:szCs w:val="16"/>
              </w:rPr>
              <w:t>中国，北京市</w:t>
            </w:r>
            <w:r>
              <w:rPr>
                <w:rFonts w:ascii="宋体" w:hAnsi="宋体" w:cs="宋体" w:eastAsia="宋体" w:hint="default"/>
                <w:sz w:val="16"/>
                <w:szCs w:val="16"/>
              </w:rPr>
              <w:t> </w:t>
            </w:r>
          </w:p>
        </w:tc>
        <w:tc>
          <w:tcPr>
            <w:tcW w:w="74"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19"/>
                <w:szCs w:val="19"/>
              </w:rPr>
            </w:pPr>
          </w:p>
          <w:p>
            <w:pPr>
              <w:pStyle w:val="TableParagraph"/>
              <w:spacing w:line="240" w:lineRule="auto"/>
              <w:ind w:left="16" w:right="0"/>
              <w:jc w:val="center"/>
              <w:rPr>
                <w:rFonts w:ascii="宋体" w:hAnsi="宋体" w:cs="宋体" w:eastAsia="宋体" w:hint="default"/>
                <w:sz w:val="16"/>
                <w:szCs w:val="16"/>
              </w:rPr>
            </w:pPr>
            <w:r>
              <w:rPr>
                <w:rFonts w:ascii="宋体" w:hAnsi="宋体" w:cs="宋体" w:eastAsia="宋体" w:hint="default"/>
                <w:sz w:val="16"/>
                <w:szCs w:val="16"/>
              </w:rPr>
              <w:t>中国，北京市</w:t>
            </w:r>
            <w:r>
              <w:rPr>
                <w:rFonts w:ascii="宋体" w:hAnsi="宋体" w:cs="宋体" w:eastAsia="宋体" w:hint="default"/>
                <w:sz w:val="16"/>
                <w:szCs w:val="16"/>
              </w:rPr>
              <w:t> </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19"/>
                <w:szCs w:val="19"/>
              </w:rPr>
            </w:pPr>
          </w:p>
          <w:p>
            <w:pPr>
              <w:pStyle w:val="TableParagraph"/>
              <w:spacing w:line="240" w:lineRule="auto"/>
              <w:ind w:left="412" w:right="0"/>
              <w:jc w:val="left"/>
              <w:rPr>
                <w:rFonts w:ascii="宋体" w:hAnsi="宋体" w:cs="宋体" w:eastAsia="宋体" w:hint="default"/>
                <w:sz w:val="16"/>
                <w:szCs w:val="16"/>
              </w:rPr>
            </w:pPr>
            <w:r>
              <w:rPr>
                <w:rFonts w:ascii="宋体" w:hAnsi="宋体" w:cs="宋体" w:eastAsia="宋体" w:hint="default"/>
                <w:sz w:val="16"/>
                <w:szCs w:val="16"/>
              </w:rPr>
              <w:t>商务服务</w:t>
            </w:r>
            <w:r>
              <w:rPr>
                <w:rFonts w:ascii="宋体" w:hAnsi="宋体" w:cs="宋体" w:eastAsia="宋体" w:hint="default"/>
                <w:sz w:val="16"/>
                <w:szCs w:val="16"/>
              </w:rPr>
              <w:t> </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63"/>
              <w:jc w:val="center"/>
              <w:rPr>
                <w:rFonts w:ascii="Arial" w:hAnsi="Arial" w:cs="Arial" w:eastAsia="Arial" w:hint="default"/>
                <w:sz w:val="16"/>
                <w:szCs w:val="16"/>
              </w:rPr>
            </w:pPr>
            <w:r>
              <w:rPr>
                <w:rFonts w:ascii="Arial"/>
                <w:sz w:val="16"/>
              </w:rPr>
              <w:t>20,000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509"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08" w:lineRule="exact" w:before="10"/>
              <w:ind w:left="76" w:right="0"/>
              <w:jc w:val="left"/>
              <w:rPr>
                <w:rFonts w:ascii="宋体" w:hAnsi="宋体" w:cs="宋体" w:eastAsia="宋体" w:hint="default"/>
                <w:sz w:val="16"/>
                <w:szCs w:val="16"/>
              </w:rPr>
            </w:pPr>
            <w:r>
              <w:rPr>
                <w:rFonts w:ascii="宋体" w:hAnsi="宋体" w:cs="宋体" w:eastAsia="宋体" w:hint="default"/>
                <w:sz w:val="16"/>
                <w:szCs w:val="16"/>
              </w:rPr>
              <w:t>北京电信规划设计院有限公司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（“规划设计院”）</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53"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74"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65"/>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363" w:type="dxa"/>
            <w:tcBorders>
              <w:top w:val="nil" w:sz="6" w:space="0" w:color="auto"/>
              <w:left w:val="nil" w:sz="6" w:space="0" w:color="auto"/>
              <w:bottom w:val="nil" w:sz="6" w:space="0" w:color="auto"/>
              <w:right w:val="nil" w:sz="6" w:space="0" w:color="auto"/>
            </w:tcBorders>
          </w:tcPr>
          <w:p>
            <w:pPr>
              <w:pStyle w:val="TableParagraph"/>
              <w:spacing w:line="206" w:lineRule="exact" w:before="32"/>
              <w:ind w:left="336" w:right="228" w:firstLine="81"/>
              <w:jc w:val="left"/>
              <w:rPr>
                <w:rFonts w:ascii="宋体" w:hAnsi="宋体" w:cs="宋体" w:eastAsia="宋体" w:hint="default"/>
                <w:sz w:val="16"/>
                <w:szCs w:val="16"/>
              </w:rPr>
            </w:pPr>
            <w:r>
              <w:rPr>
                <w:rFonts w:ascii="宋体" w:hAnsi="宋体" w:cs="宋体" w:eastAsia="宋体" w:hint="default"/>
                <w:sz w:val="16"/>
                <w:szCs w:val="16"/>
              </w:rPr>
              <w:t>勘察设计</w:t>
            </w:r>
            <w:r>
              <w:rPr>
                <w:rFonts w:ascii="宋体" w:hAnsi="宋体" w:cs="宋体" w:eastAsia="宋体" w:hint="default"/>
                <w:w w:val="99"/>
                <w:sz w:val="16"/>
                <w:szCs w:val="16"/>
              </w:rPr>
              <w:t> </w:t>
            </w:r>
            <w:r>
              <w:rPr>
                <w:rFonts w:ascii="宋体" w:hAnsi="宋体" w:cs="宋体" w:eastAsia="宋体" w:hint="default"/>
                <w:w w:val="95"/>
                <w:sz w:val="16"/>
                <w:szCs w:val="16"/>
              </w:rPr>
              <w:t>及咨询服务</w:t>
            </w:r>
            <w:r>
              <w:rPr>
                <w:rFonts w:ascii="宋体" w:hAnsi="宋体" w:cs="宋体" w:eastAsia="宋体" w:hint="default"/>
                <w:sz w:val="16"/>
                <w:szCs w:val="16"/>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23"/>
              <w:jc w:val="center"/>
              <w:rPr>
                <w:rFonts w:ascii="Arial" w:hAnsi="Arial" w:cs="Arial" w:eastAsia="Arial" w:hint="default"/>
                <w:sz w:val="16"/>
                <w:szCs w:val="16"/>
              </w:rPr>
            </w:pPr>
            <w:r>
              <w:rPr>
                <w:rFonts w:ascii="Arial"/>
                <w:sz w:val="16"/>
              </w:rPr>
              <w:t>264,227</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506"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08" w:lineRule="exact" w:before="10"/>
              <w:ind w:left="76" w:right="0"/>
              <w:jc w:val="left"/>
              <w:rPr>
                <w:rFonts w:ascii="宋体" w:hAnsi="宋体" w:cs="宋体" w:eastAsia="宋体" w:hint="default"/>
                <w:sz w:val="16"/>
                <w:szCs w:val="16"/>
              </w:rPr>
            </w:pPr>
            <w:r>
              <w:rPr>
                <w:rFonts w:ascii="宋体" w:hAnsi="宋体" w:cs="宋体" w:eastAsia="宋体" w:hint="default"/>
                <w:sz w:val="16"/>
                <w:szCs w:val="16"/>
              </w:rPr>
              <w:t>中国联通（香港）运营有限公司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（“联通香港运营”）</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230" w:right="0"/>
              <w:jc w:val="left"/>
              <w:rPr>
                <w:rFonts w:ascii="宋体" w:hAnsi="宋体" w:cs="宋体" w:eastAsia="宋体" w:hint="default"/>
                <w:sz w:val="16"/>
                <w:szCs w:val="16"/>
              </w:rPr>
            </w:pPr>
            <w:r>
              <w:rPr>
                <w:rFonts w:ascii="宋体" w:hAnsi="宋体" w:cs="宋体" w:eastAsia="宋体" w:hint="default"/>
                <w:sz w:val="16"/>
                <w:szCs w:val="16"/>
              </w:rPr>
              <w:t>中国，香港</w:t>
            </w:r>
          </w:p>
        </w:tc>
        <w:tc>
          <w:tcPr>
            <w:tcW w:w="74"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60"/>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417" w:right="0"/>
              <w:jc w:val="left"/>
              <w:rPr>
                <w:rFonts w:ascii="宋体" w:hAnsi="宋体" w:cs="宋体" w:eastAsia="宋体" w:hint="default"/>
                <w:sz w:val="16"/>
                <w:szCs w:val="16"/>
              </w:rPr>
            </w:pPr>
            <w:r>
              <w:rPr>
                <w:rFonts w:ascii="宋体" w:hAnsi="宋体" w:cs="宋体" w:eastAsia="宋体" w:hint="default"/>
                <w:sz w:val="16"/>
                <w:szCs w:val="16"/>
              </w:rPr>
              <w:t>电信业务</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127"/>
              <w:jc w:val="center"/>
              <w:rPr>
                <w:rFonts w:ascii="Arial" w:hAnsi="Arial" w:cs="Arial" w:eastAsia="Arial" w:hint="default"/>
                <w:sz w:val="16"/>
                <w:szCs w:val="16"/>
              </w:rPr>
            </w:pPr>
            <w:r>
              <w:rPr>
                <w:rFonts w:ascii="宋体" w:hAnsi="宋体" w:cs="宋体" w:eastAsia="宋体" w:hint="default"/>
                <w:sz w:val="16"/>
                <w:szCs w:val="16"/>
              </w:rPr>
              <w:t>港币</w:t>
            </w:r>
            <w:r>
              <w:rPr>
                <w:rFonts w:ascii="宋体" w:hAnsi="宋体" w:cs="宋体" w:eastAsia="宋体" w:hint="default"/>
                <w:spacing w:val="-49"/>
                <w:sz w:val="16"/>
                <w:szCs w:val="16"/>
              </w:rPr>
              <w:t> </w:t>
            </w:r>
            <w:r>
              <w:rPr>
                <w:rFonts w:ascii="Arial" w:hAnsi="Arial" w:cs="Arial" w:eastAsia="Arial" w:hint="default"/>
                <w:sz w:val="16"/>
                <w:szCs w:val="16"/>
              </w:rPr>
              <w:t>1,510,100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506"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08" w:lineRule="exact" w:before="7"/>
              <w:ind w:left="76" w:right="0"/>
              <w:jc w:val="left"/>
              <w:rPr>
                <w:rFonts w:ascii="宋体" w:hAnsi="宋体" w:cs="宋体" w:eastAsia="宋体" w:hint="default"/>
                <w:sz w:val="16"/>
                <w:szCs w:val="16"/>
              </w:rPr>
            </w:pPr>
            <w:r>
              <w:rPr>
                <w:rFonts w:ascii="宋体" w:hAnsi="宋体" w:cs="宋体" w:eastAsia="宋体" w:hint="default"/>
                <w:sz w:val="16"/>
                <w:szCs w:val="16"/>
              </w:rPr>
              <w:t>中国联通（美洲）运营有限公司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（“联通美洲运营”）</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503" w:right="0"/>
              <w:jc w:val="left"/>
              <w:rPr>
                <w:rFonts w:ascii="宋体" w:hAnsi="宋体" w:cs="宋体" w:eastAsia="宋体" w:hint="default"/>
                <w:sz w:val="16"/>
                <w:szCs w:val="16"/>
              </w:rPr>
            </w:pPr>
            <w:r>
              <w:rPr>
                <w:rFonts w:ascii="宋体" w:hAnsi="宋体" w:cs="宋体" w:eastAsia="宋体" w:hint="default"/>
                <w:sz w:val="16"/>
                <w:szCs w:val="16"/>
              </w:rPr>
              <w:t>美国</w:t>
            </w:r>
          </w:p>
        </w:tc>
        <w:tc>
          <w:tcPr>
            <w:tcW w:w="74"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72" w:right="0"/>
              <w:jc w:val="center"/>
              <w:rPr>
                <w:rFonts w:ascii="宋体" w:hAnsi="宋体" w:cs="宋体" w:eastAsia="宋体" w:hint="default"/>
                <w:sz w:val="16"/>
                <w:szCs w:val="16"/>
              </w:rPr>
            </w:pPr>
            <w:r>
              <w:rPr>
                <w:rFonts w:ascii="宋体" w:hAnsi="宋体" w:cs="宋体" w:eastAsia="宋体" w:hint="default"/>
                <w:sz w:val="16"/>
                <w:szCs w:val="16"/>
              </w:rPr>
              <w:t>美国</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417" w:right="0"/>
              <w:jc w:val="left"/>
              <w:rPr>
                <w:rFonts w:ascii="宋体" w:hAnsi="宋体" w:cs="宋体" w:eastAsia="宋体" w:hint="default"/>
                <w:sz w:val="16"/>
                <w:szCs w:val="16"/>
              </w:rPr>
            </w:pPr>
            <w:r>
              <w:rPr>
                <w:rFonts w:ascii="宋体" w:hAnsi="宋体" w:cs="宋体" w:eastAsia="宋体" w:hint="default"/>
                <w:sz w:val="16"/>
                <w:szCs w:val="16"/>
              </w:rPr>
              <w:t>电信业务</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right="126"/>
              <w:jc w:val="center"/>
              <w:rPr>
                <w:rFonts w:ascii="Arial" w:hAnsi="Arial" w:cs="Arial" w:eastAsia="Arial" w:hint="default"/>
                <w:sz w:val="16"/>
                <w:szCs w:val="16"/>
              </w:rPr>
            </w:pPr>
            <w:r>
              <w:rPr>
                <w:rFonts w:ascii="宋体" w:hAnsi="宋体" w:cs="宋体" w:eastAsia="宋体" w:hint="default"/>
                <w:sz w:val="16"/>
                <w:szCs w:val="16"/>
              </w:rPr>
              <w:t>美元</w:t>
            </w:r>
            <w:r>
              <w:rPr>
                <w:rFonts w:ascii="宋体" w:hAnsi="宋体" w:cs="宋体" w:eastAsia="宋体" w:hint="default"/>
                <w:spacing w:val="-42"/>
                <w:sz w:val="16"/>
                <w:szCs w:val="16"/>
              </w:rPr>
              <w:t> </w:t>
            </w:r>
            <w:r>
              <w:rPr>
                <w:rFonts w:ascii="Arial" w:hAnsi="Arial" w:cs="Arial" w:eastAsia="Arial" w:hint="default"/>
                <w:sz w:val="16"/>
                <w:szCs w:val="16"/>
              </w:rPr>
              <w:t>500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506"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08" w:lineRule="exact" w:before="10"/>
              <w:ind w:left="76" w:right="0"/>
              <w:jc w:val="left"/>
              <w:rPr>
                <w:rFonts w:ascii="宋体" w:hAnsi="宋体" w:cs="宋体" w:eastAsia="宋体" w:hint="default"/>
                <w:sz w:val="16"/>
                <w:szCs w:val="16"/>
              </w:rPr>
            </w:pPr>
            <w:r>
              <w:rPr>
                <w:rFonts w:ascii="宋体" w:hAnsi="宋体" w:cs="宋体" w:eastAsia="宋体" w:hint="default"/>
                <w:sz w:val="16"/>
                <w:szCs w:val="16"/>
              </w:rPr>
              <w:t>中国联通（欧洲）运营有限公司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（“联通欧洲运营”）</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503" w:right="0"/>
              <w:jc w:val="left"/>
              <w:rPr>
                <w:rFonts w:ascii="宋体" w:hAnsi="宋体" w:cs="宋体" w:eastAsia="宋体" w:hint="default"/>
                <w:sz w:val="16"/>
                <w:szCs w:val="16"/>
              </w:rPr>
            </w:pPr>
            <w:r>
              <w:rPr>
                <w:rFonts w:ascii="宋体" w:hAnsi="宋体" w:cs="宋体" w:eastAsia="宋体" w:hint="default"/>
                <w:sz w:val="16"/>
                <w:szCs w:val="16"/>
              </w:rPr>
              <w:t>英国</w:t>
            </w:r>
          </w:p>
        </w:tc>
        <w:tc>
          <w:tcPr>
            <w:tcW w:w="74"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72" w:right="0"/>
              <w:jc w:val="center"/>
              <w:rPr>
                <w:rFonts w:ascii="宋体" w:hAnsi="宋体" w:cs="宋体" w:eastAsia="宋体" w:hint="default"/>
                <w:sz w:val="16"/>
                <w:szCs w:val="16"/>
              </w:rPr>
            </w:pPr>
            <w:r>
              <w:rPr>
                <w:rFonts w:ascii="宋体" w:hAnsi="宋体" w:cs="宋体" w:eastAsia="宋体" w:hint="default"/>
                <w:sz w:val="16"/>
                <w:szCs w:val="16"/>
              </w:rPr>
              <w:t>英国</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417" w:right="0"/>
              <w:jc w:val="left"/>
              <w:rPr>
                <w:rFonts w:ascii="宋体" w:hAnsi="宋体" w:cs="宋体" w:eastAsia="宋体" w:hint="default"/>
                <w:sz w:val="16"/>
                <w:szCs w:val="16"/>
              </w:rPr>
            </w:pPr>
            <w:r>
              <w:rPr>
                <w:rFonts w:ascii="宋体" w:hAnsi="宋体" w:cs="宋体" w:eastAsia="宋体" w:hint="default"/>
                <w:sz w:val="16"/>
                <w:szCs w:val="16"/>
              </w:rPr>
              <w:t>电信业务</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123"/>
              <w:jc w:val="center"/>
              <w:rPr>
                <w:rFonts w:ascii="Arial" w:hAnsi="Arial" w:cs="Arial" w:eastAsia="Arial" w:hint="default"/>
                <w:sz w:val="16"/>
                <w:szCs w:val="16"/>
              </w:rPr>
            </w:pPr>
            <w:r>
              <w:rPr>
                <w:rFonts w:ascii="宋体" w:hAnsi="宋体" w:cs="宋体" w:eastAsia="宋体" w:hint="default"/>
                <w:sz w:val="16"/>
                <w:szCs w:val="16"/>
              </w:rPr>
              <w:t>英镑</w:t>
            </w:r>
            <w:r>
              <w:rPr>
                <w:rFonts w:ascii="宋体" w:hAnsi="宋体" w:cs="宋体" w:eastAsia="宋体" w:hint="default"/>
                <w:spacing w:val="-49"/>
                <w:sz w:val="16"/>
                <w:szCs w:val="16"/>
              </w:rPr>
              <w:t> </w:t>
            </w:r>
            <w:r>
              <w:rPr>
                <w:rFonts w:ascii="Arial" w:hAnsi="Arial" w:cs="Arial" w:eastAsia="Arial" w:hint="default"/>
                <w:sz w:val="16"/>
                <w:szCs w:val="16"/>
              </w:rPr>
              <w:t>4,861</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509"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7"/>
              <w:ind w:left="76" w:right="0"/>
              <w:jc w:val="left"/>
              <w:rPr>
                <w:rFonts w:ascii="宋体" w:hAnsi="宋体" w:cs="宋体" w:eastAsia="宋体" w:hint="default"/>
                <w:sz w:val="16"/>
                <w:szCs w:val="16"/>
              </w:rPr>
            </w:pPr>
            <w:r>
              <w:rPr>
                <w:rFonts w:ascii="宋体" w:hAnsi="宋体" w:cs="宋体" w:eastAsia="宋体" w:hint="default"/>
                <w:sz w:val="16"/>
                <w:szCs w:val="16"/>
              </w:rPr>
              <w:t>中国联通（日本）运营有限公司</w:t>
            </w:r>
          </w:p>
          <w:p>
            <w:pPr>
              <w:pStyle w:val="TableParagraph"/>
              <w:spacing w:line="240" w:lineRule="auto" w:before="2"/>
              <w:ind w:left="76" w:right="0"/>
              <w:jc w:val="left"/>
              <w:rPr>
                <w:rFonts w:ascii="宋体" w:hAnsi="宋体" w:cs="宋体" w:eastAsia="宋体" w:hint="default"/>
                <w:sz w:val="16"/>
                <w:szCs w:val="16"/>
              </w:rPr>
            </w:pPr>
            <w:r>
              <w:rPr>
                <w:rFonts w:ascii="宋体" w:hAnsi="宋体" w:cs="宋体" w:eastAsia="宋体" w:hint="default"/>
                <w:sz w:val="16"/>
                <w:szCs w:val="16"/>
              </w:rPr>
              <w:t>（“联通日本运营”）</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19"/>
                <w:szCs w:val="19"/>
              </w:rPr>
            </w:pPr>
          </w:p>
          <w:p>
            <w:pPr>
              <w:pStyle w:val="TableParagraph"/>
              <w:spacing w:line="240" w:lineRule="auto"/>
              <w:ind w:left="503" w:right="0"/>
              <w:jc w:val="left"/>
              <w:rPr>
                <w:rFonts w:ascii="宋体" w:hAnsi="宋体" w:cs="宋体" w:eastAsia="宋体" w:hint="default"/>
                <w:sz w:val="16"/>
                <w:szCs w:val="16"/>
              </w:rPr>
            </w:pPr>
            <w:r>
              <w:rPr>
                <w:rFonts w:ascii="宋体" w:hAnsi="宋体" w:cs="宋体" w:eastAsia="宋体" w:hint="default"/>
                <w:sz w:val="16"/>
                <w:szCs w:val="16"/>
              </w:rPr>
              <w:t>日本</w:t>
            </w:r>
          </w:p>
        </w:tc>
        <w:tc>
          <w:tcPr>
            <w:tcW w:w="74"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19"/>
                <w:szCs w:val="19"/>
              </w:rPr>
            </w:pPr>
          </w:p>
          <w:p>
            <w:pPr>
              <w:pStyle w:val="TableParagraph"/>
              <w:spacing w:line="240" w:lineRule="auto"/>
              <w:ind w:left="72" w:right="0"/>
              <w:jc w:val="center"/>
              <w:rPr>
                <w:rFonts w:ascii="宋体" w:hAnsi="宋体" w:cs="宋体" w:eastAsia="宋体" w:hint="default"/>
                <w:sz w:val="16"/>
                <w:szCs w:val="16"/>
              </w:rPr>
            </w:pPr>
            <w:r>
              <w:rPr>
                <w:rFonts w:ascii="宋体" w:hAnsi="宋体" w:cs="宋体" w:eastAsia="宋体" w:hint="default"/>
                <w:sz w:val="16"/>
                <w:szCs w:val="16"/>
              </w:rPr>
              <w:t>日本</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19"/>
                <w:szCs w:val="19"/>
              </w:rPr>
            </w:pPr>
          </w:p>
          <w:p>
            <w:pPr>
              <w:pStyle w:val="TableParagraph"/>
              <w:spacing w:line="240" w:lineRule="auto"/>
              <w:ind w:left="417" w:right="0"/>
              <w:jc w:val="left"/>
              <w:rPr>
                <w:rFonts w:ascii="宋体" w:hAnsi="宋体" w:cs="宋体" w:eastAsia="宋体" w:hint="default"/>
                <w:sz w:val="16"/>
                <w:szCs w:val="16"/>
              </w:rPr>
            </w:pPr>
            <w:r>
              <w:rPr>
                <w:rFonts w:ascii="宋体" w:hAnsi="宋体" w:cs="宋体" w:eastAsia="宋体" w:hint="default"/>
                <w:sz w:val="16"/>
                <w:szCs w:val="16"/>
              </w:rPr>
              <w:t>电信业务</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19"/>
                <w:szCs w:val="19"/>
              </w:rPr>
            </w:pPr>
          </w:p>
          <w:p>
            <w:pPr>
              <w:pStyle w:val="TableParagraph"/>
              <w:spacing w:line="240" w:lineRule="auto"/>
              <w:ind w:right="127"/>
              <w:jc w:val="center"/>
              <w:rPr>
                <w:rFonts w:ascii="Arial" w:hAnsi="Arial" w:cs="Arial" w:eastAsia="Arial" w:hint="default"/>
                <w:sz w:val="16"/>
                <w:szCs w:val="16"/>
              </w:rPr>
            </w:pPr>
            <w:r>
              <w:rPr>
                <w:rFonts w:ascii="宋体" w:hAnsi="宋体" w:cs="宋体" w:eastAsia="宋体" w:hint="default"/>
                <w:sz w:val="16"/>
                <w:szCs w:val="16"/>
              </w:rPr>
              <w:t>日元</w:t>
            </w:r>
            <w:r>
              <w:rPr>
                <w:rFonts w:ascii="宋体" w:hAnsi="宋体" w:cs="宋体" w:eastAsia="宋体" w:hint="default"/>
                <w:spacing w:val="-50"/>
                <w:sz w:val="16"/>
                <w:szCs w:val="16"/>
              </w:rPr>
              <w:t> </w:t>
            </w:r>
            <w:r>
              <w:rPr>
                <w:rFonts w:ascii="Arial" w:hAnsi="Arial" w:cs="Arial" w:eastAsia="Arial" w:hint="default"/>
                <w:sz w:val="16"/>
                <w:szCs w:val="16"/>
              </w:rPr>
              <w:t>366,000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506"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08" w:lineRule="exact" w:before="7"/>
              <w:ind w:left="76" w:right="0"/>
              <w:jc w:val="left"/>
              <w:rPr>
                <w:rFonts w:ascii="宋体" w:hAnsi="宋体" w:cs="宋体" w:eastAsia="宋体" w:hint="default"/>
                <w:sz w:val="16"/>
                <w:szCs w:val="16"/>
              </w:rPr>
            </w:pPr>
            <w:r>
              <w:rPr>
                <w:rFonts w:ascii="宋体" w:hAnsi="宋体" w:cs="宋体" w:eastAsia="宋体" w:hint="default"/>
                <w:sz w:val="16"/>
                <w:szCs w:val="16"/>
              </w:rPr>
              <w:t>中讯邮电咨询设计院有限公司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（“中讯设计院”）</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182"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74"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right="26"/>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363" w:type="dxa"/>
            <w:tcBorders>
              <w:top w:val="nil" w:sz="6" w:space="0" w:color="auto"/>
              <w:left w:val="nil" w:sz="6" w:space="0" w:color="auto"/>
              <w:bottom w:val="nil" w:sz="6" w:space="0" w:color="auto"/>
              <w:right w:val="nil" w:sz="6" w:space="0" w:color="auto"/>
            </w:tcBorders>
          </w:tcPr>
          <w:p>
            <w:pPr>
              <w:pStyle w:val="TableParagraph"/>
              <w:spacing w:line="206" w:lineRule="exact" w:before="30"/>
              <w:ind w:left="336" w:right="228" w:firstLine="81"/>
              <w:jc w:val="left"/>
              <w:rPr>
                <w:rFonts w:ascii="宋体" w:hAnsi="宋体" w:cs="宋体" w:eastAsia="宋体" w:hint="default"/>
                <w:sz w:val="16"/>
                <w:szCs w:val="16"/>
              </w:rPr>
            </w:pPr>
            <w:r>
              <w:rPr>
                <w:rFonts w:ascii="宋体" w:hAnsi="宋体" w:cs="宋体" w:eastAsia="宋体" w:hint="default"/>
                <w:sz w:val="16"/>
                <w:szCs w:val="16"/>
              </w:rPr>
              <w:t>勘察设计</w:t>
            </w:r>
            <w:r>
              <w:rPr>
                <w:rFonts w:ascii="宋体" w:hAnsi="宋体" w:cs="宋体" w:eastAsia="宋体" w:hint="default"/>
                <w:w w:val="99"/>
                <w:sz w:val="16"/>
                <w:szCs w:val="16"/>
              </w:rPr>
              <w:t> </w:t>
            </w:r>
            <w:r>
              <w:rPr>
                <w:rFonts w:ascii="宋体" w:hAnsi="宋体" w:cs="宋体" w:eastAsia="宋体" w:hint="default"/>
                <w:w w:val="95"/>
                <w:sz w:val="16"/>
                <w:szCs w:val="16"/>
              </w:rPr>
              <w:t>及咨询服务</w:t>
            </w:r>
            <w:r>
              <w:rPr>
                <w:rFonts w:ascii="宋体" w:hAnsi="宋体" w:cs="宋体" w:eastAsia="宋体" w:hint="default"/>
                <w:sz w:val="16"/>
                <w:szCs w:val="16"/>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123"/>
              <w:jc w:val="center"/>
              <w:rPr>
                <w:rFonts w:ascii="Arial" w:hAnsi="Arial" w:cs="Arial" w:eastAsia="Arial" w:hint="default"/>
                <w:sz w:val="16"/>
                <w:szCs w:val="16"/>
              </w:rPr>
            </w:pPr>
            <w:r>
              <w:rPr>
                <w:rFonts w:ascii="Arial"/>
                <w:sz w:val="16"/>
              </w:rPr>
              <w:t>430,000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506"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08" w:lineRule="exact" w:before="10"/>
              <w:ind w:left="76" w:right="0"/>
              <w:jc w:val="left"/>
              <w:rPr>
                <w:rFonts w:ascii="宋体" w:hAnsi="宋体" w:cs="宋体" w:eastAsia="宋体" w:hint="default"/>
                <w:sz w:val="16"/>
                <w:szCs w:val="16"/>
              </w:rPr>
            </w:pPr>
            <w:r>
              <w:rPr>
                <w:rFonts w:ascii="宋体" w:hAnsi="宋体" w:cs="宋体" w:eastAsia="宋体" w:hint="default"/>
                <w:sz w:val="16"/>
                <w:szCs w:val="16"/>
              </w:rPr>
              <w:t>联通信息导航有限公司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（“联通信息导航”）</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82"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74"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26"/>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259" w:right="0"/>
              <w:jc w:val="left"/>
              <w:rPr>
                <w:rFonts w:ascii="宋体" w:hAnsi="宋体" w:cs="宋体" w:eastAsia="宋体" w:hint="default"/>
                <w:sz w:val="16"/>
                <w:szCs w:val="16"/>
              </w:rPr>
            </w:pPr>
            <w:r>
              <w:rPr>
                <w:rFonts w:ascii="宋体" w:hAnsi="宋体" w:cs="宋体" w:eastAsia="宋体" w:hint="default"/>
                <w:sz w:val="16"/>
                <w:szCs w:val="16"/>
              </w:rPr>
              <w:t>电信客户服务</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23"/>
              <w:jc w:val="center"/>
              <w:rPr>
                <w:rFonts w:ascii="Arial" w:hAnsi="Arial" w:cs="Arial" w:eastAsia="Arial" w:hint="default"/>
                <w:sz w:val="16"/>
                <w:szCs w:val="16"/>
              </w:rPr>
            </w:pPr>
            <w:r>
              <w:rPr>
                <w:rFonts w:ascii="Arial"/>
                <w:sz w:val="16"/>
              </w:rPr>
              <w:t>6,825,088</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506"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7"/>
              <w:ind w:left="76" w:right="0"/>
              <w:jc w:val="left"/>
              <w:rPr>
                <w:rFonts w:ascii="宋体" w:hAnsi="宋体" w:cs="宋体" w:eastAsia="宋体" w:hint="default"/>
                <w:sz w:val="16"/>
                <w:szCs w:val="16"/>
              </w:rPr>
            </w:pPr>
            <w:r>
              <w:rPr>
                <w:rFonts w:ascii="宋体" w:hAnsi="宋体" w:cs="宋体" w:eastAsia="宋体" w:hint="default"/>
                <w:sz w:val="16"/>
                <w:szCs w:val="16"/>
              </w:rPr>
              <w:t>华夏邮电咨询监理有限公司</w:t>
            </w:r>
          </w:p>
          <w:p>
            <w:pPr>
              <w:pStyle w:val="TableParagraph"/>
              <w:spacing w:line="240" w:lineRule="auto" w:before="2"/>
              <w:ind w:left="76" w:right="0"/>
              <w:jc w:val="left"/>
              <w:rPr>
                <w:rFonts w:ascii="宋体" w:hAnsi="宋体" w:cs="宋体" w:eastAsia="宋体" w:hint="default"/>
                <w:sz w:val="16"/>
                <w:szCs w:val="16"/>
              </w:rPr>
            </w:pPr>
            <w:r>
              <w:rPr>
                <w:rFonts w:ascii="宋体" w:hAnsi="宋体" w:cs="宋体" w:eastAsia="宋体" w:hint="default"/>
                <w:sz w:val="16"/>
                <w:szCs w:val="16"/>
              </w:rPr>
              <w:t>（“华夏邮电”）</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19"/>
                <w:szCs w:val="19"/>
              </w:rPr>
            </w:pPr>
          </w:p>
          <w:p>
            <w:pPr>
              <w:pStyle w:val="TableParagraph"/>
              <w:spacing w:line="240" w:lineRule="auto"/>
              <w:ind w:left="163" w:right="0"/>
              <w:jc w:val="left"/>
              <w:rPr>
                <w:rFonts w:ascii="宋体" w:hAnsi="宋体" w:cs="宋体" w:eastAsia="宋体" w:hint="default"/>
                <w:sz w:val="16"/>
                <w:szCs w:val="16"/>
              </w:rPr>
            </w:pPr>
            <w:r>
              <w:rPr>
                <w:rFonts w:ascii="宋体" w:hAnsi="宋体" w:cs="宋体" w:eastAsia="宋体" w:hint="default"/>
                <w:sz w:val="16"/>
                <w:szCs w:val="16"/>
              </w:rPr>
              <w:t>中国，郑州市</w:t>
            </w:r>
          </w:p>
        </w:tc>
        <w:tc>
          <w:tcPr>
            <w:tcW w:w="74"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19"/>
                <w:szCs w:val="19"/>
              </w:rPr>
            </w:pPr>
          </w:p>
          <w:p>
            <w:pPr>
              <w:pStyle w:val="TableParagraph"/>
              <w:spacing w:line="240" w:lineRule="auto"/>
              <w:ind w:right="55"/>
              <w:jc w:val="center"/>
              <w:rPr>
                <w:rFonts w:ascii="宋体" w:hAnsi="宋体" w:cs="宋体" w:eastAsia="宋体" w:hint="default"/>
                <w:sz w:val="16"/>
                <w:szCs w:val="16"/>
              </w:rPr>
            </w:pPr>
            <w:r>
              <w:rPr>
                <w:rFonts w:ascii="宋体" w:hAnsi="宋体" w:cs="宋体" w:eastAsia="宋体" w:hint="default"/>
                <w:sz w:val="16"/>
                <w:szCs w:val="16"/>
              </w:rPr>
              <w:t>中国，郑州市</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19"/>
                <w:szCs w:val="19"/>
              </w:rPr>
            </w:pPr>
          </w:p>
          <w:p>
            <w:pPr>
              <w:pStyle w:val="TableParagraph"/>
              <w:spacing w:line="240" w:lineRule="auto"/>
              <w:ind w:left="240" w:right="0"/>
              <w:jc w:val="left"/>
              <w:rPr>
                <w:rFonts w:ascii="宋体" w:hAnsi="宋体" w:cs="宋体" w:eastAsia="宋体" w:hint="default"/>
                <w:sz w:val="16"/>
                <w:szCs w:val="16"/>
              </w:rPr>
            </w:pPr>
            <w:r>
              <w:rPr>
                <w:rFonts w:ascii="宋体" w:hAnsi="宋体" w:cs="宋体" w:eastAsia="宋体" w:hint="default"/>
                <w:w w:val="95"/>
                <w:sz w:val="16"/>
                <w:szCs w:val="16"/>
              </w:rPr>
              <w:t>工程咨询及监理</w:t>
            </w:r>
            <w:r>
              <w:rPr>
                <w:rFonts w:ascii="宋体" w:hAnsi="宋体" w:cs="宋体" w:eastAsia="宋体" w:hint="default"/>
                <w:sz w:val="16"/>
                <w:szCs w:val="16"/>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121"/>
              <w:jc w:val="center"/>
              <w:rPr>
                <w:rFonts w:ascii="Arial" w:hAnsi="Arial" w:cs="Arial" w:eastAsia="Arial" w:hint="default"/>
                <w:sz w:val="16"/>
                <w:szCs w:val="16"/>
              </w:rPr>
            </w:pPr>
            <w:r>
              <w:rPr>
                <w:rFonts w:ascii="Arial"/>
                <w:sz w:val="16"/>
              </w:rPr>
              <w:t>50,100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509"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08" w:lineRule="exact" w:before="10"/>
              <w:ind w:left="76" w:right="0"/>
              <w:jc w:val="left"/>
              <w:rPr>
                <w:rFonts w:ascii="宋体" w:hAnsi="宋体" w:cs="宋体" w:eastAsia="宋体" w:hint="default"/>
                <w:sz w:val="16"/>
                <w:szCs w:val="16"/>
              </w:rPr>
            </w:pPr>
            <w:r>
              <w:rPr>
                <w:rFonts w:ascii="宋体" w:hAnsi="宋体" w:cs="宋体" w:eastAsia="宋体" w:hint="default"/>
                <w:sz w:val="16"/>
                <w:szCs w:val="16"/>
              </w:rPr>
              <w:t>郑州凯成实业有限公司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（“郑州凯成”）</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63" w:right="0"/>
              <w:jc w:val="left"/>
              <w:rPr>
                <w:rFonts w:ascii="宋体" w:hAnsi="宋体" w:cs="宋体" w:eastAsia="宋体" w:hint="default"/>
                <w:sz w:val="16"/>
                <w:szCs w:val="16"/>
              </w:rPr>
            </w:pPr>
            <w:r>
              <w:rPr>
                <w:rFonts w:ascii="宋体" w:hAnsi="宋体" w:cs="宋体" w:eastAsia="宋体" w:hint="default"/>
                <w:sz w:val="16"/>
                <w:szCs w:val="16"/>
              </w:rPr>
              <w:t>中国，郑州市</w:t>
            </w:r>
          </w:p>
        </w:tc>
        <w:tc>
          <w:tcPr>
            <w:tcW w:w="74"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55"/>
              <w:jc w:val="center"/>
              <w:rPr>
                <w:rFonts w:ascii="宋体" w:hAnsi="宋体" w:cs="宋体" w:eastAsia="宋体" w:hint="default"/>
                <w:sz w:val="16"/>
                <w:szCs w:val="16"/>
              </w:rPr>
            </w:pPr>
            <w:r>
              <w:rPr>
                <w:rFonts w:ascii="宋体" w:hAnsi="宋体" w:cs="宋体" w:eastAsia="宋体" w:hint="default"/>
                <w:sz w:val="16"/>
                <w:szCs w:val="16"/>
              </w:rPr>
              <w:t>中国，郑州市</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480" w:right="0"/>
              <w:jc w:val="left"/>
              <w:rPr>
                <w:rFonts w:ascii="宋体" w:hAnsi="宋体" w:cs="宋体" w:eastAsia="宋体" w:hint="default"/>
                <w:sz w:val="16"/>
                <w:szCs w:val="16"/>
              </w:rPr>
            </w:pPr>
            <w:r>
              <w:rPr>
                <w:rFonts w:ascii="宋体" w:hAnsi="宋体" w:cs="宋体" w:eastAsia="宋体" w:hint="default"/>
                <w:sz w:val="16"/>
                <w:szCs w:val="16"/>
              </w:rPr>
              <w:t>物业管理</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27"/>
              <w:jc w:val="center"/>
              <w:rPr>
                <w:rFonts w:ascii="Arial" w:hAnsi="Arial" w:cs="Arial" w:eastAsia="Arial" w:hint="default"/>
                <w:sz w:val="16"/>
                <w:szCs w:val="16"/>
              </w:rPr>
            </w:pPr>
            <w:r>
              <w:rPr>
                <w:rFonts w:ascii="Arial"/>
                <w:sz w:val="16"/>
              </w:rPr>
              <w:t>2,200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506"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08" w:lineRule="exact" w:before="10"/>
              <w:ind w:left="76" w:right="0"/>
              <w:jc w:val="left"/>
              <w:rPr>
                <w:rFonts w:ascii="宋体" w:hAnsi="宋体" w:cs="宋体" w:eastAsia="宋体" w:hint="default"/>
                <w:sz w:val="16"/>
                <w:szCs w:val="16"/>
              </w:rPr>
            </w:pPr>
            <w:r>
              <w:rPr>
                <w:rFonts w:ascii="宋体" w:hAnsi="宋体" w:cs="宋体" w:eastAsia="宋体" w:hint="default"/>
                <w:sz w:val="16"/>
                <w:szCs w:val="16"/>
              </w:rPr>
              <w:t>《邮电设计技术》杂志社有限公司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（“邮电杂志社”）</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63"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74"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55"/>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321" w:right="0"/>
              <w:jc w:val="left"/>
              <w:rPr>
                <w:rFonts w:ascii="宋体" w:hAnsi="宋体" w:cs="宋体" w:eastAsia="宋体" w:hint="default"/>
                <w:sz w:val="16"/>
                <w:szCs w:val="16"/>
              </w:rPr>
            </w:pPr>
            <w:r>
              <w:rPr>
                <w:rFonts w:ascii="宋体" w:hAnsi="宋体" w:cs="宋体" w:eastAsia="宋体" w:hint="default"/>
                <w:sz w:val="16"/>
                <w:szCs w:val="16"/>
              </w:rPr>
              <w:t>杂志出版发行</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21"/>
              <w:jc w:val="center"/>
              <w:rPr>
                <w:rFonts w:ascii="Arial" w:hAnsi="Arial" w:cs="Arial" w:eastAsia="Arial" w:hint="default"/>
                <w:sz w:val="16"/>
                <w:szCs w:val="16"/>
              </w:rPr>
            </w:pPr>
            <w:r>
              <w:rPr>
                <w:rFonts w:ascii="Arial"/>
                <w:sz w:val="16"/>
              </w:rPr>
              <w:t>300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506"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08" w:lineRule="exact" w:before="7"/>
              <w:ind w:left="76" w:right="0"/>
              <w:jc w:val="left"/>
              <w:rPr>
                <w:rFonts w:ascii="宋体" w:hAnsi="宋体" w:cs="宋体" w:eastAsia="宋体" w:hint="default"/>
                <w:sz w:val="16"/>
                <w:szCs w:val="16"/>
              </w:rPr>
            </w:pPr>
            <w:r>
              <w:rPr>
                <w:rFonts w:ascii="宋体" w:hAnsi="宋体" w:cs="宋体" w:eastAsia="宋体" w:hint="default"/>
                <w:sz w:val="16"/>
                <w:szCs w:val="16"/>
              </w:rPr>
              <w:t>联通智慧安全科技有限公司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（“智慧安全”）</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163"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74"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right="55"/>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363" w:type="dxa"/>
            <w:tcBorders>
              <w:top w:val="nil" w:sz="6" w:space="0" w:color="auto"/>
              <w:left w:val="nil" w:sz="6" w:space="0" w:color="auto"/>
              <w:bottom w:val="nil" w:sz="6" w:space="0" w:color="auto"/>
              <w:right w:val="nil" w:sz="6" w:space="0" w:color="auto"/>
            </w:tcBorders>
          </w:tcPr>
          <w:p>
            <w:pPr>
              <w:pStyle w:val="TableParagraph"/>
              <w:spacing w:line="206" w:lineRule="exact" w:before="30"/>
              <w:ind w:left="240" w:right="7" w:firstLine="158"/>
              <w:jc w:val="left"/>
              <w:rPr>
                <w:rFonts w:ascii="宋体" w:hAnsi="宋体" w:cs="宋体" w:eastAsia="宋体" w:hint="default"/>
                <w:sz w:val="16"/>
                <w:szCs w:val="16"/>
              </w:rPr>
            </w:pPr>
            <w:r>
              <w:rPr>
                <w:rFonts w:ascii="宋体" w:hAnsi="宋体" w:cs="宋体" w:eastAsia="宋体" w:hint="default"/>
                <w:sz w:val="16"/>
                <w:szCs w:val="16"/>
              </w:rPr>
              <w:t>技术开发及</w:t>
            </w:r>
            <w:r>
              <w:rPr>
                <w:rFonts w:ascii="宋体" w:hAnsi="宋体" w:cs="宋体" w:eastAsia="宋体" w:hint="default"/>
                <w:w w:val="99"/>
                <w:sz w:val="16"/>
                <w:szCs w:val="16"/>
              </w:rPr>
              <w:t> </w:t>
            </w:r>
            <w:r>
              <w:rPr>
                <w:rFonts w:ascii="宋体" w:hAnsi="宋体" w:cs="宋体" w:eastAsia="宋体" w:hint="default"/>
                <w:w w:val="95"/>
                <w:sz w:val="16"/>
                <w:szCs w:val="16"/>
              </w:rPr>
              <w:t>互联网信息服务</w:t>
            </w:r>
            <w:r>
              <w:rPr>
                <w:rFonts w:ascii="宋体" w:hAnsi="宋体" w:cs="宋体" w:eastAsia="宋体" w:hint="default"/>
                <w:sz w:val="16"/>
                <w:szCs w:val="16"/>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122"/>
              <w:jc w:val="center"/>
              <w:rPr>
                <w:rFonts w:ascii="Arial" w:hAnsi="Arial" w:cs="Arial" w:eastAsia="Arial" w:hint="default"/>
                <w:sz w:val="16"/>
                <w:szCs w:val="16"/>
              </w:rPr>
            </w:pPr>
            <w:r>
              <w:rPr>
                <w:rFonts w:ascii="Arial"/>
                <w:sz w:val="16"/>
              </w:rPr>
              <w:t>1,000,000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514"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08" w:lineRule="exact" w:before="10"/>
              <w:ind w:left="76" w:right="0"/>
              <w:jc w:val="left"/>
              <w:rPr>
                <w:rFonts w:ascii="宋体" w:hAnsi="宋体" w:cs="宋体" w:eastAsia="宋体" w:hint="default"/>
                <w:sz w:val="16"/>
                <w:szCs w:val="16"/>
              </w:rPr>
            </w:pPr>
            <w:r>
              <w:rPr>
                <w:rFonts w:ascii="宋体" w:hAnsi="宋体" w:cs="宋体" w:eastAsia="宋体" w:hint="default"/>
                <w:sz w:val="16"/>
                <w:szCs w:val="16"/>
              </w:rPr>
              <w:t>广东联通通信建设有限公司</w:t>
            </w:r>
          </w:p>
          <w:p>
            <w:pPr>
              <w:pStyle w:val="TableParagraph"/>
              <w:spacing w:line="208" w:lineRule="exact"/>
              <w:ind w:left="76" w:right="0"/>
              <w:jc w:val="left"/>
              <w:rPr>
                <w:rFonts w:ascii="宋体" w:hAnsi="宋体" w:cs="宋体" w:eastAsia="宋体" w:hint="default"/>
                <w:sz w:val="16"/>
                <w:szCs w:val="16"/>
              </w:rPr>
            </w:pPr>
            <w:r>
              <w:rPr>
                <w:rFonts w:ascii="宋体" w:hAnsi="宋体" w:cs="宋体" w:eastAsia="宋体" w:hint="default"/>
                <w:sz w:val="16"/>
                <w:szCs w:val="16"/>
              </w:rPr>
              <w:t>（“广东通建”）</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63" w:right="0"/>
              <w:jc w:val="left"/>
              <w:rPr>
                <w:rFonts w:ascii="宋体" w:hAnsi="宋体" w:cs="宋体" w:eastAsia="宋体" w:hint="default"/>
                <w:sz w:val="16"/>
                <w:szCs w:val="16"/>
              </w:rPr>
            </w:pPr>
            <w:r>
              <w:rPr>
                <w:rFonts w:ascii="宋体" w:hAnsi="宋体" w:cs="宋体" w:eastAsia="宋体" w:hint="default"/>
                <w:sz w:val="16"/>
                <w:szCs w:val="16"/>
              </w:rPr>
              <w:t>中国，广东省</w:t>
            </w:r>
          </w:p>
        </w:tc>
        <w:tc>
          <w:tcPr>
            <w:tcW w:w="74"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55"/>
              <w:jc w:val="center"/>
              <w:rPr>
                <w:rFonts w:ascii="宋体" w:hAnsi="宋体" w:cs="宋体" w:eastAsia="宋体" w:hint="default"/>
                <w:sz w:val="16"/>
                <w:szCs w:val="16"/>
              </w:rPr>
            </w:pPr>
            <w:r>
              <w:rPr>
                <w:rFonts w:ascii="宋体" w:hAnsi="宋体" w:cs="宋体" w:eastAsia="宋体" w:hint="default"/>
                <w:sz w:val="16"/>
                <w:szCs w:val="16"/>
              </w:rPr>
              <w:t>中国，广州市</w:t>
            </w:r>
          </w:p>
        </w:tc>
        <w:tc>
          <w:tcPr>
            <w:tcW w:w="1363" w:type="dxa"/>
            <w:tcBorders>
              <w:top w:val="nil" w:sz="6" w:space="0" w:color="auto"/>
              <w:left w:val="nil" w:sz="6" w:space="0" w:color="auto"/>
              <w:bottom w:val="nil" w:sz="6" w:space="0" w:color="auto"/>
              <w:right w:val="nil" w:sz="6" w:space="0" w:color="auto"/>
            </w:tcBorders>
          </w:tcPr>
          <w:p>
            <w:pPr>
              <w:pStyle w:val="TableParagraph"/>
              <w:spacing w:line="206" w:lineRule="exact" w:before="32"/>
              <w:ind w:left="398" w:right="166"/>
              <w:jc w:val="left"/>
              <w:rPr>
                <w:rFonts w:ascii="宋体" w:hAnsi="宋体" w:cs="宋体" w:eastAsia="宋体" w:hint="default"/>
                <w:sz w:val="16"/>
                <w:szCs w:val="16"/>
              </w:rPr>
            </w:pPr>
            <w:r>
              <w:rPr>
                <w:rFonts w:ascii="宋体" w:hAnsi="宋体" w:cs="宋体" w:eastAsia="宋体" w:hint="default"/>
                <w:w w:val="95"/>
                <w:sz w:val="16"/>
                <w:szCs w:val="16"/>
              </w:rPr>
              <w:t>信息技术及</w:t>
            </w:r>
            <w:r>
              <w:rPr>
                <w:rFonts w:ascii="宋体" w:hAnsi="宋体" w:cs="宋体" w:eastAsia="宋体" w:hint="default"/>
                <w:spacing w:val="-41"/>
                <w:w w:val="95"/>
                <w:sz w:val="16"/>
                <w:szCs w:val="16"/>
              </w:rPr>
              <w:t> </w:t>
            </w:r>
            <w:r>
              <w:rPr>
                <w:rFonts w:ascii="宋体" w:hAnsi="宋体" w:cs="宋体" w:eastAsia="宋体" w:hint="default"/>
                <w:spacing w:val="-41"/>
                <w:w w:val="95"/>
                <w:sz w:val="16"/>
                <w:szCs w:val="16"/>
              </w:rPr>
            </w:r>
            <w:r>
              <w:rPr>
                <w:rFonts w:ascii="宋体" w:hAnsi="宋体" w:cs="宋体" w:eastAsia="宋体" w:hint="default"/>
                <w:w w:val="95"/>
                <w:sz w:val="16"/>
                <w:szCs w:val="16"/>
              </w:rPr>
              <w:t>第三方服务</w:t>
            </w:r>
            <w:r>
              <w:rPr>
                <w:rFonts w:ascii="宋体" w:hAnsi="宋体" w:cs="宋体" w:eastAsia="宋体" w:hint="default"/>
                <w:sz w:val="16"/>
                <w:szCs w:val="16"/>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21"/>
              <w:jc w:val="center"/>
              <w:rPr>
                <w:rFonts w:ascii="Arial" w:hAnsi="Arial" w:cs="Arial" w:eastAsia="Arial" w:hint="default"/>
                <w:sz w:val="16"/>
                <w:szCs w:val="16"/>
              </w:rPr>
            </w:pPr>
            <w:r>
              <w:rPr>
                <w:rFonts w:ascii="Arial"/>
                <w:sz w:val="16"/>
              </w:rPr>
              <w:t>30,000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r>
        <w:trPr>
          <w:trHeight w:val="453"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4" w:right="0"/>
              <w:jc w:val="left"/>
              <w:rPr>
                <w:rFonts w:ascii="宋体" w:hAnsi="宋体" w:cs="宋体" w:eastAsia="宋体" w:hint="default"/>
                <w:sz w:val="16"/>
                <w:szCs w:val="16"/>
              </w:rPr>
            </w:pPr>
            <w:r>
              <w:rPr>
                <w:rFonts w:ascii="宋体" w:hAnsi="宋体" w:cs="宋体" w:eastAsia="宋体" w:hint="default"/>
                <w:sz w:val="16"/>
                <w:szCs w:val="16"/>
              </w:rPr>
              <w:t>云盾智慧安全科技有限公司</w:t>
            </w:r>
          </w:p>
          <w:p>
            <w:pPr>
              <w:pStyle w:val="TableParagraph"/>
              <w:spacing w:line="240" w:lineRule="auto" w:before="2"/>
              <w:ind w:left="76" w:right="0"/>
              <w:jc w:val="left"/>
              <w:rPr>
                <w:rFonts w:ascii="宋体" w:hAnsi="宋体" w:cs="宋体" w:eastAsia="宋体" w:hint="default"/>
                <w:sz w:val="16"/>
                <w:szCs w:val="16"/>
              </w:rPr>
            </w:pPr>
            <w:r>
              <w:rPr>
                <w:rFonts w:ascii="宋体" w:hAnsi="宋体" w:cs="宋体" w:eastAsia="宋体" w:hint="default"/>
                <w:sz w:val="16"/>
                <w:szCs w:val="16"/>
              </w:rPr>
              <w:t>（“云盾智慧”）</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left="163"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74"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right="55"/>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80" w:right="166" w:hanging="82"/>
              <w:jc w:val="left"/>
              <w:rPr>
                <w:rFonts w:ascii="宋体" w:hAnsi="宋体" w:cs="宋体" w:eastAsia="宋体" w:hint="default"/>
                <w:sz w:val="16"/>
                <w:szCs w:val="16"/>
              </w:rPr>
            </w:pPr>
            <w:r>
              <w:rPr>
                <w:rFonts w:ascii="宋体" w:hAnsi="宋体" w:cs="宋体" w:eastAsia="宋体" w:hint="default"/>
                <w:w w:val="95"/>
                <w:sz w:val="16"/>
                <w:szCs w:val="16"/>
              </w:rPr>
              <w:t>软件开发及</w:t>
            </w:r>
            <w:r>
              <w:rPr>
                <w:rFonts w:ascii="宋体" w:hAnsi="宋体" w:cs="宋体" w:eastAsia="宋体" w:hint="default"/>
                <w:spacing w:val="-41"/>
                <w:w w:val="95"/>
                <w:sz w:val="16"/>
                <w:szCs w:val="16"/>
              </w:rPr>
              <w:t> </w:t>
            </w:r>
            <w:r>
              <w:rPr>
                <w:rFonts w:ascii="宋体" w:hAnsi="宋体" w:cs="宋体" w:eastAsia="宋体" w:hint="default"/>
                <w:spacing w:val="-41"/>
                <w:w w:val="95"/>
                <w:sz w:val="16"/>
                <w:szCs w:val="16"/>
              </w:rPr>
            </w:r>
            <w:r>
              <w:rPr>
                <w:rFonts w:ascii="宋体" w:hAnsi="宋体" w:cs="宋体" w:eastAsia="宋体" w:hint="default"/>
                <w:sz w:val="16"/>
                <w:szCs w:val="16"/>
              </w:rPr>
              <w:t>技术开发</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122"/>
              <w:jc w:val="center"/>
              <w:rPr>
                <w:rFonts w:ascii="Arial" w:hAnsi="Arial" w:cs="Arial" w:eastAsia="Arial" w:hint="default"/>
                <w:sz w:val="16"/>
                <w:szCs w:val="16"/>
              </w:rPr>
            </w:pPr>
            <w:r>
              <w:rPr>
                <w:rFonts w:ascii="Arial"/>
                <w:sz w:val="16"/>
              </w:rPr>
              <w:t>100,000</w:t>
            </w:r>
          </w:p>
        </w:tc>
        <w:tc>
          <w:tcPr>
            <w:tcW w:w="3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Arial" w:hAnsi="Arial" w:cs="Arial" w:eastAsia="Arial" w:hint="default"/>
                <w:sz w:val="16"/>
                <w:szCs w:val="16"/>
              </w:rPr>
            </w:pPr>
            <w:r>
              <w:rPr>
                <w:rFonts w:ascii="Arial"/>
                <w:w w:val="98"/>
                <w:sz w:val="16"/>
              </w:rPr>
              <w:t>-</w:t>
            </w:r>
            <w:r>
              <w:rPr>
                <w:rFonts w:ascii="Arial"/>
                <w:sz w:val="16"/>
              </w:rPr>
            </w:r>
          </w:p>
        </w:tc>
        <w:tc>
          <w:tcPr>
            <w:tcW w:w="365" w:type="dxa"/>
            <w:tcBorders>
              <w:top w:val="nil" w:sz="6" w:space="0" w:color="auto"/>
              <w:left w:val="nil" w:sz="6" w:space="0" w:color="auto"/>
              <w:bottom w:val="nil" w:sz="6" w:space="0" w:color="auto"/>
              <w:right w:val="nil" w:sz="6" w:space="0" w:color="auto"/>
            </w:tcBorders>
          </w:tcPr>
          <w:p>
            <w:pP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left"/>
              <w:rPr>
                <w:rFonts w:ascii="Arial" w:hAnsi="Arial" w:cs="Arial" w:eastAsia="Arial" w:hint="default"/>
                <w:sz w:val="16"/>
                <w:szCs w:val="16"/>
              </w:rPr>
            </w:pPr>
            <w:r>
              <w:rPr>
                <w:rFonts w:ascii="Arial"/>
                <w:sz w:val="16"/>
              </w:rPr>
              <w:t>43.94</w:t>
            </w:r>
          </w:p>
        </w:tc>
      </w:tr>
    </w:tbl>
    <w:p>
      <w:pPr>
        <w:spacing w:after="0" w:line="240" w:lineRule="auto"/>
        <w:jc w:val="left"/>
        <w:rPr>
          <w:rFonts w:ascii="Arial" w:hAnsi="Arial" w:cs="Arial" w:eastAsia="Arial" w:hint="default"/>
          <w:sz w:val="16"/>
          <w:szCs w:val="16"/>
        </w:rPr>
        <w:sectPr>
          <w:headerReference w:type="default" r:id="rId212"/>
          <w:pgSz w:w="11910" w:h="16840"/>
          <w:pgMar w:header="1188" w:footer="502" w:top="4600" w:bottom="700" w:left="1020" w:right="1500"/>
        </w:sectPr>
      </w:pPr>
    </w:p>
    <w:p>
      <w:pPr>
        <w:spacing w:line="240" w:lineRule="auto" w:before="10"/>
        <w:rPr>
          <w:rFonts w:ascii="Times New Roman" w:hAnsi="Times New Roman" w:cs="Times New Roman" w:eastAsia="Times New Roman" w:hint="default"/>
          <w:sz w:val="17"/>
          <w:szCs w:val="17"/>
        </w:rPr>
      </w:pPr>
    </w:p>
    <w:p>
      <w:pPr>
        <w:pStyle w:val="BodyText"/>
        <w:spacing w:line="240" w:lineRule="auto" w:before="32"/>
        <w:ind w:left="112" w:right="0"/>
        <w:jc w:val="left"/>
      </w:pPr>
      <w:r>
        <w:rPr>
          <w:rFonts w:ascii="Arial" w:hAnsi="Arial" w:cs="Arial" w:eastAsia="Arial" w:hint="default"/>
        </w:rPr>
        <w:t>(b) </w:t>
      </w:r>
      <w:r>
        <w:rPr>
          <w:rFonts w:ascii="Arial" w:hAnsi="Arial" w:cs="Arial" w:eastAsia="Arial" w:hint="default"/>
          <w:spacing w:val="26"/>
        </w:rPr>
        <w:t> </w:t>
      </w:r>
      <w:r>
        <w:rPr/>
        <w:t>重要的非全资子公司</w:t>
      </w:r>
    </w:p>
    <w:p>
      <w:pPr>
        <w:spacing w:line="240" w:lineRule="auto" w:before="7"/>
        <w:rPr>
          <w:rFonts w:ascii="宋体" w:hAnsi="宋体" w:cs="宋体" w:eastAsia="宋体" w:hint="default"/>
          <w:sz w:val="26"/>
          <w:szCs w:val="26"/>
        </w:rPr>
      </w:pPr>
    </w:p>
    <w:tbl>
      <w:tblPr>
        <w:tblW w:w="0" w:type="auto"/>
        <w:jc w:val="left"/>
        <w:tblInd w:w="463" w:type="dxa"/>
        <w:tblLayout w:type="fixed"/>
        <w:tblCellMar>
          <w:top w:w="0" w:type="dxa"/>
          <w:left w:w="0" w:type="dxa"/>
          <w:bottom w:w="0" w:type="dxa"/>
          <w:right w:w="0" w:type="dxa"/>
        </w:tblCellMar>
        <w:tblLook w:val="01E0"/>
      </w:tblPr>
      <w:tblGrid>
        <w:gridCol w:w="1934"/>
        <w:gridCol w:w="125"/>
        <w:gridCol w:w="1226"/>
        <w:gridCol w:w="1829"/>
        <w:gridCol w:w="1582"/>
        <w:gridCol w:w="130"/>
        <w:gridCol w:w="2261"/>
      </w:tblGrid>
      <w:tr>
        <w:trPr>
          <w:trHeight w:val="497" w:hRule="exact"/>
        </w:trPr>
        <w:tc>
          <w:tcPr>
            <w:tcW w:w="1934"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81" w:right="0"/>
              <w:jc w:val="left"/>
              <w:rPr>
                <w:rFonts w:ascii="宋体" w:hAnsi="宋体" w:cs="宋体" w:eastAsia="宋体" w:hint="default"/>
                <w:sz w:val="20"/>
                <w:szCs w:val="20"/>
              </w:rPr>
            </w:pPr>
            <w:r>
              <w:rPr>
                <w:rFonts w:ascii="宋体" w:hAnsi="宋体" w:cs="宋体" w:eastAsia="宋体" w:hint="default"/>
                <w:sz w:val="20"/>
                <w:szCs w:val="20"/>
              </w:rPr>
              <w:t>子公司名称</w:t>
            </w:r>
          </w:p>
        </w:tc>
        <w:tc>
          <w:tcPr>
            <w:tcW w:w="125"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single" w:sz="6" w:space="0" w:color="000000"/>
              <w:right w:val="nil" w:sz="6" w:space="0" w:color="auto"/>
            </w:tcBorders>
          </w:tcPr>
          <w:p>
            <w:pPr>
              <w:pStyle w:val="TableParagraph"/>
              <w:spacing w:line="200" w:lineRule="exact"/>
              <w:ind w:left="311" w:right="0" w:hanging="197"/>
              <w:jc w:val="left"/>
              <w:rPr>
                <w:rFonts w:ascii="宋体" w:hAnsi="宋体" w:cs="宋体" w:eastAsia="宋体" w:hint="default"/>
                <w:sz w:val="20"/>
                <w:szCs w:val="20"/>
              </w:rPr>
            </w:pPr>
            <w:r>
              <w:rPr>
                <w:rFonts w:ascii="宋体" w:hAnsi="宋体" w:cs="宋体" w:eastAsia="宋体" w:hint="default"/>
                <w:sz w:val="20"/>
                <w:szCs w:val="20"/>
              </w:rPr>
              <w:t>少数股东的</w:t>
            </w:r>
          </w:p>
          <w:p>
            <w:pPr>
              <w:pStyle w:val="TableParagraph"/>
              <w:spacing w:line="260" w:lineRule="exact"/>
              <w:ind w:left="311" w:right="0"/>
              <w:jc w:val="left"/>
              <w:rPr>
                <w:rFonts w:ascii="宋体" w:hAnsi="宋体" w:cs="宋体" w:eastAsia="宋体" w:hint="default"/>
                <w:sz w:val="20"/>
                <w:szCs w:val="20"/>
              </w:rPr>
            </w:pPr>
            <w:r>
              <w:rPr>
                <w:rFonts w:ascii="宋体" w:hAnsi="宋体" w:cs="宋体" w:eastAsia="宋体" w:hint="default"/>
                <w:sz w:val="20"/>
                <w:szCs w:val="20"/>
              </w:rPr>
              <w:t>持股比例</w:t>
            </w:r>
          </w:p>
        </w:tc>
        <w:tc>
          <w:tcPr>
            <w:tcW w:w="1829" w:type="dxa"/>
            <w:tcBorders>
              <w:top w:val="nil" w:sz="6" w:space="0" w:color="auto"/>
              <w:left w:val="nil" w:sz="6" w:space="0" w:color="auto"/>
              <w:bottom w:val="single" w:sz="6" w:space="0" w:color="000000"/>
              <w:right w:val="nil" w:sz="6" w:space="0" w:color="auto"/>
            </w:tcBorders>
          </w:tcPr>
          <w:p>
            <w:pPr>
              <w:pStyle w:val="TableParagraph"/>
              <w:spacing w:line="200" w:lineRule="exact"/>
              <w:ind w:left="107" w:right="0"/>
              <w:jc w:val="left"/>
              <w:rPr>
                <w:rFonts w:ascii="宋体" w:hAnsi="宋体" w:cs="宋体" w:eastAsia="宋体" w:hint="default"/>
                <w:sz w:val="20"/>
                <w:szCs w:val="20"/>
              </w:rPr>
            </w:pPr>
            <w:r>
              <w:rPr>
                <w:rFonts w:ascii="宋体" w:hAnsi="宋体" w:cs="宋体" w:eastAsia="宋体" w:hint="default"/>
                <w:sz w:val="20"/>
                <w:szCs w:val="20"/>
              </w:rPr>
              <w:t>本年归属于少数股</w:t>
            </w:r>
          </w:p>
          <w:p>
            <w:pPr>
              <w:pStyle w:val="TableParagraph"/>
              <w:spacing w:line="260" w:lineRule="exact"/>
              <w:ind w:left="904" w:right="0"/>
              <w:jc w:val="left"/>
              <w:rPr>
                <w:rFonts w:ascii="宋体" w:hAnsi="宋体" w:cs="宋体" w:eastAsia="宋体" w:hint="default"/>
                <w:sz w:val="20"/>
                <w:szCs w:val="20"/>
              </w:rPr>
            </w:pPr>
            <w:r>
              <w:rPr>
                <w:rFonts w:ascii="宋体" w:hAnsi="宋体" w:cs="宋体" w:eastAsia="宋体" w:hint="default"/>
                <w:sz w:val="20"/>
                <w:szCs w:val="20"/>
              </w:rPr>
              <w:t>东的损益</w:t>
            </w:r>
          </w:p>
        </w:tc>
        <w:tc>
          <w:tcPr>
            <w:tcW w:w="1582" w:type="dxa"/>
            <w:tcBorders>
              <w:top w:val="nil" w:sz="6" w:space="0" w:color="auto"/>
              <w:left w:val="nil" w:sz="6" w:space="0" w:color="auto"/>
              <w:bottom w:val="single" w:sz="6" w:space="0" w:color="000000"/>
              <w:right w:val="nil" w:sz="6" w:space="0" w:color="auto"/>
            </w:tcBorders>
          </w:tcPr>
          <w:p>
            <w:pPr>
              <w:pStyle w:val="TableParagraph"/>
              <w:spacing w:line="200" w:lineRule="exact"/>
              <w:ind w:left="117" w:right="0"/>
              <w:jc w:val="left"/>
              <w:rPr>
                <w:rFonts w:ascii="宋体" w:hAnsi="宋体" w:cs="宋体" w:eastAsia="宋体" w:hint="default"/>
                <w:sz w:val="20"/>
                <w:szCs w:val="20"/>
              </w:rPr>
            </w:pPr>
            <w:r>
              <w:rPr>
                <w:rFonts w:ascii="宋体" w:hAnsi="宋体" w:cs="宋体" w:eastAsia="宋体" w:hint="default"/>
                <w:sz w:val="20"/>
                <w:szCs w:val="20"/>
              </w:rPr>
              <w:t>本年向少数股东</w:t>
            </w:r>
          </w:p>
          <w:p>
            <w:pPr>
              <w:pStyle w:val="TableParagraph"/>
              <w:spacing w:line="260" w:lineRule="exact"/>
              <w:ind w:left="117" w:right="0"/>
              <w:jc w:val="left"/>
              <w:rPr>
                <w:rFonts w:ascii="宋体" w:hAnsi="宋体" w:cs="宋体" w:eastAsia="宋体" w:hint="default"/>
                <w:sz w:val="20"/>
                <w:szCs w:val="20"/>
              </w:rPr>
            </w:pPr>
            <w:r>
              <w:rPr>
                <w:rFonts w:ascii="宋体" w:hAnsi="宋体" w:cs="宋体" w:eastAsia="宋体" w:hint="default"/>
                <w:sz w:val="20"/>
                <w:szCs w:val="20"/>
              </w:rPr>
              <w:t>宣告分派的股利</w:t>
            </w:r>
          </w:p>
        </w:tc>
        <w:tc>
          <w:tcPr>
            <w:tcW w:w="130" w:type="dxa"/>
            <w:tcBorders>
              <w:top w:val="nil" w:sz="6" w:space="0" w:color="auto"/>
              <w:left w:val="nil" w:sz="6" w:space="0" w:color="auto"/>
              <w:bottom w:val="nil" w:sz="6" w:space="0" w:color="auto"/>
              <w:right w:val="nil" w:sz="6" w:space="0" w:color="auto"/>
            </w:tcBorders>
          </w:tcPr>
          <w:p>
            <w:pPr/>
          </w:p>
        </w:tc>
        <w:tc>
          <w:tcPr>
            <w:tcW w:w="2261"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65"/>
              <w:jc w:val="right"/>
              <w:rPr>
                <w:rFonts w:ascii="宋体" w:hAnsi="宋体" w:cs="宋体" w:eastAsia="宋体" w:hint="default"/>
                <w:sz w:val="20"/>
                <w:szCs w:val="20"/>
              </w:rPr>
            </w:pPr>
            <w:r>
              <w:rPr>
                <w:rFonts w:ascii="宋体" w:hAnsi="宋体" w:cs="宋体" w:eastAsia="宋体" w:hint="default"/>
                <w:spacing w:val="-1"/>
                <w:sz w:val="20"/>
                <w:szCs w:val="20"/>
              </w:rPr>
              <w:t>年末少数股东权益余额</w:t>
            </w:r>
          </w:p>
        </w:tc>
      </w:tr>
      <w:tr>
        <w:trPr>
          <w:trHeight w:val="640" w:hRule="exact"/>
        </w:trPr>
        <w:tc>
          <w:tcPr>
            <w:tcW w:w="1934" w:type="dxa"/>
            <w:tcBorders>
              <w:top w:val="single" w:sz="6"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81" w:right="0"/>
              <w:jc w:val="left"/>
              <w:rPr>
                <w:rFonts w:ascii="宋体" w:hAnsi="宋体" w:cs="宋体" w:eastAsia="宋体" w:hint="default"/>
                <w:sz w:val="20"/>
                <w:szCs w:val="20"/>
              </w:rPr>
            </w:pPr>
            <w:r>
              <w:rPr>
                <w:rFonts w:ascii="宋体" w:hAnsi="宋体" w:cs="宋体" w:eastAsia="宋体" w:hint="default"/>
                <w:sz w:val="20"/>
                <w:szCs w:val="20"/>
              </w:rPr>
              <w:t>联通红筹公司</w:t>
            </w:r>
          </w:p>
        </w:tc>
        <w:tc>
          <w:tcPr>
            <w:tcW w:w="125" w:type="dxa"/>
            <w:tcBorders>
              <w:top w:val="nil" w:sz="6" w:space="0" w:color="auto"/>
              <w:left w:val="nil" w:sz="6" w:space="0" w:color="auto"/>
              <w:bottom w:val="nil" w:sz="6" w:space="0" w:color="auto"/>
              <w:right w:val="nil" w:sz="6" w:space="0" w:color="auto"/>
            </w:tcBorders>
          </w:tcPr>
          <w:p>
            <w:pPr/>
          </w:p>
        </w:tc>
        <w:tc>
          <w:tcPr>
            <w:tcW w:w="1226" w:type="dxa"/>
            <w:tcBorders>
              <w:top w:val="single" w:sz="6"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10"/>
              <w:jc w:val="right"/>
              <w:rPr>
                <w:rFonts w:ascii="Arial" w:hAnsi="Arial" w:cs="Arial" w:eastAsia="Arial" w:hint="default"/>
                <w:sz w:val="20"/>
                <w:szCs w:val="20"/>
              </w:rPr>
            </w:pPr>
            <w:r>
              <w:rPr>
                <w:rFonts w:ascii="Arial"/>
                <w:spacing w:val="-2"/>
                <w:sz w:val="20"/>
              </w:rPr>
              <w:t>56.06%</w:t>
            </w:r>
            <w:r>
              <w:rPr>
                <w:rFonts w:ascii="Arial"/>
                <w:sz w:val="20"/>
              </w:rPr>
            </w:r>
          </w:p>
        </w:tc>
        <w:tc>
          <w:tcPr>
            <w:tcW w:w="1829" w:type="dxa"/>
            <w:tcBorders>
              <w:top w:val="single" w:sz="6"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43"/>
              <w:jc w:val="right"/>
              <w:rPr>
                <w:rFonts w:ascii="Arial" w:hAnsi="Arial" w:cs="Arial" w:eastAsia="Arial" w:hint="default"/>
                <w:sz w:val="20"/>
                <w:szCs w:val="20"/>
              </w:rPr>
            </w:pPr>
            <w:r>
              <w:rPr>
                <w:rFonts w:ascii="Arial"/>
                <w:spacing w:val="-2"/>
                <w:sz w:val="20"/>
              </w:rPr>
              <w:t>6,282,042,082</w:t>
            </w:r>
            <w:r>
              <w:rPr>
                <w:rFonts w:ascii="Arial"/>
                <w:sz w:val="20"/>
              </w:rPr>
            </w:r>
          </w:p>
        </w:tc>
        <w:tc>
          <w:tcPr>
            <w:tcW w:w="1582" w:type="dxa"/>
            <w:tcBorders>
              <w:top w:val="single" w:sz="6"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59"/>
              <w:jc w:val="right"/>
              <w:rPr>
                <w:rFonts w:ascii="Arial" w:hAnsi="Arial" w:cs="Arial" w:eastAsia="Arial" w:hint="default"/>
                <w:sz w:val="20"/>
                <w:szCs w:val="20"/>
              </w:rPr>
            </w:pPr>
            <w:r>
              <w:rPr>
                <w:rFonts w:ascii="Arial"/>
                <w:spacing w:val="-2"/>
                <w:sz w:val="20"/>
              </w:rPr>
              <w:t>2,298,642,412</w:t>
            </w:r>
            <w:r>
              <w:rPr>
                <w:rFonts w:ascii="Arial"/>
                <w:sz w:val="20"/>
              </w:rPr>
            </w:r>
          </w:p>
        </w:tc>
        <w:tc>
          <w:tcPr>
            <w:tcW w:w="130" w:type="dxa"/>
            <w:tcBorders>
              <w:top w:val="nil" w:sz="6" w:space="0" w:color="auto"/>
              <w:left w:val="nil" w:sz="6" w:space="0" w:color="auto"/>
              <w:bottom w:val="nil" w:sz="6" w:space="0" w:color="auto"/>
              <w:right w:val="nil" w:sz="6" w:space="0" w:color="auto"/>
            </w:tcBorders>
          </w:tcPr>
          <w:p>
            <w:pPr/>
          </w:p>
        </w:tc>
        <w:tc>
          <w:tcPr>
            <w:tcW w:w="2261" w:type="dxa"/>
            <w:tcBorders>
              <w:top w:val="single" w:sz="6"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88"/>
              <w:jc w:val="right"/>
              <w:rPr>
                <w:rFonts w:ascii="Arial" w:hAnsi="Arial" w:cs="Arial" w:eastAsia="Arial" w:hint="default"/>
                <w:sz w:val="20"/>
                <w:szCs w:val="20"/>
              </w:rPr>
            </w:pPr>
            <w:r>
              <w:rPr>
                <w:rFonts w:ascii="Arial"/>
                <w:spacing w:val="-2"/>
                <w:sz w:val="20"/>
              </w:rPr>
              <w:t>180,168,617,111</w:t>
            </w:r>
            <w:r>
              <w:rPr>
                <w:rFonts w:ascii="Arial"/>
                <w:sz w:val="20"/>
              </w:rPr>
            </w:r>
          </w:p>
        </w:tc>
      </w:tr>
      <w:tr>
        <w:trPr>
          <w:trHeight w:val="250" w:hRule="exact"/>
        </w:trPr>
        <w:tc>
          <w:tcPr>
            <w:tcW w:w="1934" w:type="dxa"/>
            <w:tcBorders>
              <w:top w:val="nil" w:sz="6" w:space="0" w:color="auto"/>
              <w:left w:val="nil" w:sz="6" w:space="0" w:color="auto"/>
              <w:bottom w:val="nil" w:sz="6" w:space="0" w:color="auto"/>
              <w:right w:val="nil" w:sz="6" w:space="0" w:color="auto"/>
            </w:tcBorders>
          </w:tcPr>
          <w:p>
            <w:pPr>
              <w:pStyle w:val="TableParagraph"/>
              <w:spacing w:line="239" w:lineRule="exact"/>
              <w:ind w:left="81" w:right="0"/>
              <w:jc w:val="left"/>
              <w:rPr>
                <w:rFonts w:ascii="宋体" w:hAnsi="宋体" w:cs="宋体" w:eastAsia="宋体" w:hint="default"/>
                <w:sz w:val="20"/>
                <w:szCs w:val="20"/>
              </w:rPr>
            </w:pPr>
            <w:r>
              <w:rPr>
                <w:rFonts w:ascii="宋体" w:hAnsi="宋体" w:cs="宋体" w:eastAsia="宋体" w:hint="default"/>
                <w:sz w:val="20"/>
                <w:szCs w:val="20"/>
              </w:rPr>
              <w:t>联通</w:t>
            </w:r>
            <w:r>
              <w:rPr>
                <w:rFonts w:ascii="宋体" w:hAnsi="宋体" w:cs="宋体" w:eastAsia="宋体" w:hint="default"/>
                <w:spacing w:val="-48"/>
                <w:sz w:val="20"/>
                <w:szCs w:val="20"/>
              </w:rPr>
              <w:t> </w:t>
            </w:r>
            <w:r>
              <w:rPr>
                <w:rFonts w:ascii="Arial" w:hAnsi="Arial" w:cs="Arial" w:eastAsia="Arial" w:hint="default"/>
                <w:sz w:val="20"/>
                <w:szCs w:val="20"/>
              </w:rPr>
              <w:t>BVI</w:t>
            </w:r>
            <w:r>
              <w:rPr>
                <w:rFonts w:ascii="Arial" w:hAnsi="Arial" w:cs="Arial" w:eastAsia="Arial" w:hint="default"/>
                <w:spacing w:val="-3"/>
                <w:sz w:val="20"/>
                <w:szCs w:val="20"/>
              </w:rPr>
              <w:t> </w:t>
            </w:r>
            <w:r>
              <w:rPr>
                <w:rFonts w:ascii="宋体" w:hAnsi="宋体" w:cs="宋体" w:eastAsia="宋体" w:hint="default"/>
                <w:sz w:val="20"/>
                <w:szCs w:val="20"/>
              </w:rPr>
              <w:t>公司</w:t>
            </w:r>
          </w:p>
        </w:tc>
        <w:tc>
          <w:tcPr>
            <w:tcW w:w="125"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0"/>
              <w:jc w:val="right"/>
              <w:rPr>
                <w:rFonts w:ascii="Arial" w:hAnsi="Arial" w:cs="Arial" w:eastAsia="Arial" w:hint="default"/>
                <w:sz w:val="20"/>
                <w:szCs w:val="20"/>
              </w:rPr>
            </w:pPr>
            <w:r>
              <w:rPr>
                <w:rFonts w:ascii="Arial"/>
                <w:spacing w:val="-2"/>
                <w:sz w:val="20"/>
              </w:rPr>
              <w:t>17.90%</w:t>
            </w:r>
            <w:r>
              <w:rPr>
                <w:rFonts w:ascii="Arial"/>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43"/>
              <w:jc w:val="right"/>
              <w:rPr>
                <w:rFonts w:ascii="Arial" w:hAnsi="Arial" w:cs="Arial" w:eastAsia="Arial" w:hint="default"/>
                <w:sz w:val="20"/>
                <w:szCs w:val="20"/>
              </w:rPr>
            </w:pPr>
            <w:r>
              <w:rPr>
                <w:rFonts w:ascii="Arial"/>
                <w:spacing w:val="-2"/>
                <w:sz w:val="20"/>
              </w:rPr>
              <w:t>6,282,040,588</w:t>
            </w:r>
            <w:r>
              <w:rPr>
                <w:rFonts w:ascii="Arial"/>
                <w:sz w:val="20"/>
              </w:rPr>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9"/>
              <w:jc w:val="right"/>
              <w:rPr>
                <w:rFonts w:ascii="Arial" w:hAnsi="Arial" w:cs="Arial" w:eastAsia="Arial" w:hint="default"/>
                <w:sz w:val="20"/>
                <w:szCs w:val="20"/>
              </w:rPr>
            </w:pPr>
            <w:r>
              <w:rPr>
                <w:rFonts w:ascii="Arial"/>
                <w:spacing w:val="-2"/>
                <w:sz w:val="20"/>
              </w:rPr>
              <w:t>2,298,642,412</w:t>
            </w:r>
            <w:r>
              <w:rPr>
                <w:rFonts w:ascii="Arial"/>
                <w:sz w:val="20"/>
              </w:rPr>
            </w:r>
          </w:p>
        </w:tc>
        <w:tc>
          <w:tcPr>
            <w:tcW w:w="130" w:type="dxa"/>
            <w:tcBorders>
              <w:top w:val="nil" w:sz="6" w:space="0" w:color="auto"/>
              <w:left w:val="nil" w:sz="6" w:space="0" w:color="auto"/>
              <w:bottom w:val="nil" w:sz="6" w:space="0" w:color="auto"/>
              <w:right w:val="nil" w:sz="6" w:space="0" w:color="auto"/>
            </w:tcBorders>
          </w:tcPr>
          <w:p>
            <w:pP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2"/>
              <w:jc w:val="right"/>
              <w:rPr>
                <w:rFonts w:ascii="Arial" w:hAnsi="Arial" w:cs="Arial" w:eastAsia="Arial" w:hint="default"/>
                <w:sz w:val="20"/>
                <w:szCs w:val="20"/>
              </w:rPr>
            </w:pPr>
            <w:r>
              <w:rPr>
                <w:rFonts w:ascii="Arial"/>
                <w:spacing w:val="-2"/>
                <w:sz w:val="20"/>
              </w:rPr>
              <w:t>180,168,616,732</w:t>
            </w:r>
          </w:p>
        </w:tc>
      </w:tr>
    </w:tbl>
    <w:p>
      <w:pPr>
        <w:spacing w:line="240" w:lineRule="auto" w:before="12"/>
        <w:rPr>
          <w:rFonts w:ascii="宋体" w:hAnsi="宋体" w:cs="宋体" w:eastAsia="宋体" w:hint="default"/>
          <w:sz w:val="14"/>
          <w:szCs w:val="14"/>
        </w:rPr>
      </w:pPr>
    </w:p>
    <w:p>
      <w:pPr>
        <w:pStyle w:val="BodyText"/>
        <w:spacing w:line="225" w:lineRule="auto" w:before="48"/>
        <w:ind w:left="961" w:right="115" w:hanging="422"/>
        <w:jc w:val="both"/>
      </w:pPr>
      <w:r>
        <w:rPr/>
        <w:t>注：本公司直接持有联通</w:t>
      </w:r>
      <w:r>
        <w:rPr>
          <w:spacing w:val="-56"/>
        </w:rPr>
        <w:t> </w:t>
      </w:r>
      <w:r>
        <w:rPr>
          <w:rFonts w:ascii="Arial" w:hAnsi="Arial" w:cs="Arial" w:eastAsia="Arial" w:hint="default"/>
        </w:rPr>
        <w:t>BVI</w:t>
      </w:r>
      <w:r>
        <w:rPr>
          <w:rFonts w:ascii="Arial" w:hAnsi="Arial" w:cs="Arial" w:eastAsia="Arial" w:hint="default"/>
          <w:spacing w:val="-15"/>
        </w:rPr>
        <w:t> </w:t>
      </w:r>
      <w:r>
        <w:rPr>
          <w:rFonts w:ascii="Arial" w:hAnsi="Arial" w:cs="Arial" w:eastAsia="Arial" w:hint="default"/>
        </w:rPr>
        <w:t>82.10%</w:t>
      </w:r>
      <w:r>
        <w:rPr/>
        <w:t>的股份。同时，如附注二</w:t>
      </w:r>
      <w:r>
        <w:rPr>
          <w:rFonts w:ascii="Arial" w:hAnsi="Arial" w:cs="Arial" w:eastAsia="Arial" w:hint="default"/>
        </w:rPr>
        <w:t>(1)</w:t>
      </w:r>
      <w:r>
        <w:rPr>
          <w:rFonts w:ascii="Arial" w:hAnsi="Arial" w:cs="Arial" w:eastAsia="Arial" w:hint="default"/>
          <w:spacing w:val="52"/>
        </w:rPr>
        <w:t> </w:t>
      </w:r>
      <w:r>
        <w:rPr/>
        <w:t>所述，联通</w:t>
      </w:r>
      <w:r>
        <w:rPr>
          <w:spacing w:val="-56"/>
        </w:rPr>
        <w:t> </w:t>
      </w:r>
      <w:r>
        <w:rPr>
          <w:rFonts w:ascii="Arial" w:hAnsi="Arial" w:cs="Arial" w:eastAsia="Arial" w:hint="default"/>
        </w:rPr>
        <w:t>BVI</w:t>
      </w:r>
      <w:r>
        <w:rPr>
          <w:rFonts w:ascii="Arial" w:hAnsi="Arial" w:cs="Arial" w:eastAsia="Arial" w:hint="default"/>
          <w:spacing w:val="-11"/>
        </w:rPr>
        <w:t> </w:t>
      </w:r>
      <w:r>
        <w:rPr/>
        <w:t>直接持有联</w:t>
      </w:r>
      <w:r>
        <w:rPr>
          <w:w w:val="100"/>
        </w:rPr>
        <w:t> </w:t>
      </w:r>
      <w:r>
        <w:rPr/>
        <w:t>通红筹公司</w:t>
      </w:r>
      <w:r>
        <w:rPr>
          <w:spacing w:val="-42"/>
        </w:rPr>
        <w:t> </w:t>
      </w:r>
      <w:r>
        <w:rPr>
          <w:rFonts w:ascii="Arial" w:hAnsi="Arial" w:cs="Arial" w:eastAsia="Arial" w:hint="default"/>
          <w:spacing w:val="-3"/>
        </w:rPr>
        <w:t>53.52%</w:t>
      </w:r>
      <w:r>
        <w:rPr>
          <w:spacing w:val="-3"/>
        </w:rPr>
        <w:t>的股份，并通过与联通集团</w:t>
      </w:r>
      <w:r>
        <w:rPr>
          <w:spacing w:val="-42"/>
        </w:rPr>
        <w:t> </w:t>
      </w:r>
      <w:r>
        <w:rPr>
          <w:rFonts w:ascii="Arial" w:hAnsi="Arial" w:cs="Arial" w:eastAsia="Arial" w:hint="default"/>
        </w:rPr>
        <w:t>BVI</w:t>
      </w:r>
      <w:r>
        <w:rPr>
          <w:rFonts w:ascii="Arial" w:hAnsi="Arial" w:cs="Arial" w:eastAsia="Arial" w:hint="default"/>
          <w:spacing w:val="2"/>
        </w:rPr>
        <w:t> </w:t>
      </w:r>
      <w:r>
        <w:rPr>
          <w:spacing w:val="-4"/>
        </w:rPr>
        <w:t>签署《一致行动方协议》控制联通红筹</w:t>
      </w:r>
      <w:r>
        <w:rPr>
          <w:w w:val="100"/>
        </w:rPr>
        <w:t> </w:t>
      </w:r>
      <w:r>
        <w:rPr/>
        <w:t>公司。</w:t>
      </w:r>
    </w:p>
    <w:p>
      <w:pPr>
        <w:spacing w:line="240" w:lineRule="auto" w:before="8"/>
        <w:rPr>
          <w:rFonts w:ascii="宋体" w:hAnsi="宋体" w:cs="宋体" w:eastAsia="宋体" w:hint="default"/>
          <w:sz w:val="19"/>
          <w:szCs w:val="19"/>
        </w:rPr>
      </w:pPr>
    </w:p>
    <w:p>
      <w:pPr>
        <w:pStyle w:val="BodyText"/>
        <w:spacing w:line="240" w:lineRule="auto"/>
        <w:ind w:left="112" w:right="0"/>
        <w:jc w:val="left"/>
      </w:pPr>
      <w:r>
        <w:rPr>
          <w:rFonts w:ascii="Arial" w:hAnsi="Arial" w:cs="Arial" w:eastAsia="Arial" w:hint="default"/>
        </w:rPr>
        <w:t>(c) </w:t>
      </w:r>
      <w:r>
        <w:rPr>
          <w:rFonts w:ascii="Arial" w:hAnsi="Arial" w:cs="Arial" w:eastAsia="Arial" w:hint="default"/>
          <w:spacing w:val="40"/>
        </w:rPr>
        <w:t> </w:t>
      </w:r>
      <w:r>
        <w:rPr/>
        <w:t>重要非全资子公司的主要财务信息</w:t>
      </w:r>
    </w:p>
    <w:p>
      <w:pPr>
        <w:spacing w:line="240" w:lineRule="auto" w:before="11"/>
        <w:rPr>
          <w:rFonts w:ascii="宋体" w:hAnsi="宋体" w:cs="宋体" w:eastAsia="宋体" w:hint="default"/>
          <w:sz w:val="17"/>
          <w:szCs w:val="17"/>
        </w:rPr>
      </w:pPr>
    </w:p>
    <w:p>
      <w:pPr>
        <w:pStyle w:val="BodyText"/>
        <w:spacing w:line="240" w:lineRule="auto"/>
        <w:ind w:left="535" w:right="0"/>
        <w:jc w:val="left"/>
      </w:pPr>
      <w:r>
        <w:rPr/>
        <w:t>下表列示了上述子公司的主要财务信息，这些子公司的主要财务信息是集团内部交易抵销前的</w:t>
      </w:r>
      <w:r>
        <w:rPr>
          <w:spacing w:val="-46"/>
        </w:rPr>
        <w:t> </w:t>
      </w:r>
      <w:r>
        <w:rPr>
          <w:spacing w:val="-46"/>
        </w:rPr>
      </w:r>
      <w:r>
        <w:rPr/>
        <w:t>金额，但是经过了合并日公允价值以及统一会计政策的调整：</w:t>
      </w:r>
    </w:p>
    <w:p>
      <w:pPr>
        <w:spacing w:line="240" w:lineRule="auto" w:before="10"/>
        <w:rPr>
          <w:rFonts w:ascii="宋体" w:hAnsi="宋体" w:cs="宋体" w:eastAsia="宋体" w:hint="default"/>
          <w:sz w:val="22"/>
          <w:szCs w:val="22"/>
        </w:rPr>
      </w:pPr>
    </w:p>
    <w:tbl>
      <w:tblPr>
        <w:tblW w:w="0" w:type="auto"/>
        <w:jc w:val="left"/>
        <w:tblInd w:w="364" w:type="dxa"/>
        <w:tblLayout w:type="fixed"/>
        <w:tblCellMar>
          <w:top w:w="0" w:type="dxa"/>
          <w:left w:w="0" w:type="dxa"/>
          <w:bottom w:w="0" w:type="dxa"/>
          <w:right w:w="0" w:type="dxa"/>
        </w:tblCellMar>
        <w:tblLook w:val="01E0"/>
      </w:tblPr>
      <w:tblGrid>
        <w:gridCol w:w="3382"/>
        <w:gridCol w:w="2870"/>
        <w:gridCol w:w="302"/>
        <w:gridCol w:w="2616"/>
      </w:tblGrid>
      <w:tr>
        <w:trPr>
          <w:trHeight w:val="259" w:hRule="exact"/>
        </w:trPr>
        <w:tc>
          <w:tcPr>
            <w:tcW w:w="9171" w:type="dxa"/>
            <w:gridSpan w:val="4"/>
            <w:tcBorders>
              <w:top w:val="nil" w:sz="6" w:space="0" w:color="auto"/>
              <w:left w:val="nil" w:sz="6" w:space="0" w:color="auto"/>
              <w:bottom w:val="nil" w:sz="6" w:space="0" w:color="auto"/>
              <w:right w:val="nil" w:sz="6" w:space="0" w:color="auto"/>
            </w:tcBorders>
          </w:tcPr>
          <w:p>
            <w:pPr>
              <w:pStyle w:val="TableParagraph"/>
              <w:spacing w:line="221" w:lineRule="exact"/>
              <w:ind w:left="5288" w:right="0"/>
              <w:jc w:val="left"/>
              <w:rPr>
                <w:rFonts w:ascii="宋体" w:hAnsi="宋体" w:cs="宋体" w:eastAsia="宋体" w:hint="default"/>
                <w:sz w:val="22"/>
                <w:szCs w:val="22"/>
              </w:rPr>
            </w:pPr>
            <w:r>
              <w:rPr>
                <w:rFonts w:ascii="宋体" w:hAnsi="宋体" w:cs="宋体" w:eastAsia="宋体" w:hint="default"/>
                <w:sz w:val="22"/>
                <w:szCs w:val="22"/>
              </w:rPr>
              <w:t>联通红筹公司（注）</w:t>
            </w:r>
          </w:p>
        </w:tc>
      </w:tr>
      <w:tr>
        <w:trPr>
          <w:trHeight w:val="307" w:hRule="exact"/>
        </w:trPr>
        <w:tc>
          <w:tcPr>
            <w:tcW w:w="3382" w:type="dxa"/>
            <w:tcBorders>
              <w:top w:val="nil" w:sz="6" w:space="0" w:color="auto"/>
              <w:left w:val="nil" w:sz="6" w:space="0" w:color="auto"/>
              <w:bottom w:val="nil" w:sz="6" w:space="0" w:color="auto"/>
              <w:right w:val="nil" w:sz="6" w:space="0" w:color="auto"/>
            </w:tcBorders>
          </w:tcPr>
          <w:p>
            <w:pPr/>
          </w:p>
        </w:tc>
        <w:tc>
          <w:tcPr>
            <w:tcW w:w="2870" w:type="dxa"/>
            <w:tcBorders>
              <w:top w:val="single" w:sz="6" w:space="0" w:color="000000"/>
              <w:left w:val="nil" w:sz="6" w:space="0" w:color="auto"/>
              <w:bottom w:val="single" w:sz="6" w:space="0" w:color="000000"/>
              <w:right w:val="nil" w:sz="6" w:space="0" w:color="auto"/>
            </w:tcBorders>
          </w:tcPr>
          <w:p>
            <w:pPr>
              <w:pStyle w:val="TableParagraph"/>
              <w:spacing w:line="277" w:lineRule="exact"/>
              <w:ind w:right="50"/>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302" w:type="dxa"/>
            <w:tcBorders>
              <w:top w:val="single" w:sz="6" w:space="0" w:color="000000"/>
              <w:left w:val="nil" w:sz="6" w:space="0" w:color="auto"/>
              <w:bottom w:val="nil" w:sz="6" w:space="0" w:color="auto"/>
              <w:right w:val="nil" w:sz="6" w:space="0" w:color="auto"/>
            </w:tcBorders>
          </w:tcPr>
          <w:p>
            <w:pPr/>
          </w:p>
        </w:tc>
        <w:tc>
          <w:tcPr>
            <w:tcW w:w="2616" w:type="dxa"/>
            <w:tcBorders>
              <w:top w:val="single" w:sz="6" w:space="0" w:color="000000"/>
              <w:left w:val="nil" w:sz="6" w:space="0" w:color="auto"/>
              <w:bottom w:val="single" w:sz="6" w:space="0" w:color="000000"/>
              <w:right w:val="nil" w:sz="6" w:space="0" w:color="auto"/>
            </w:tcBorders>
          </w:tcPr>
          <w:p>
            <w:pPr>
              <w:pStyle w:val="TableParagraph"/>
              <w:spacing w:line="277" w:lineRule="exact"/>
              <w:ind w:right="55"/>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489" w:hRule="exact"/>
        </w:trPr>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172"/>
              <w:ind w:left="200" w:right="0"/>
              <w:jc w:val="left"/>
              <w:rPr>
                <w:rFonts w:ascii="宋体" w:hAnsi="宋体" w:cs="宋体" w:eastAsia="宋体" w:hint="default"/>
                <w:sz w:val="20"/>
                <w:szCs w:val="20"/>
              </w:rPr>
            </w:pPr>
            <w:r>
              <w:rPr>
                <w:rFonts w:ascii="宋体" w:hAnsi="宋体" w:cs="宋体" w:eastAsia="宋体" w:hint="default"/>
                <w:sz w:val="20"/>
                <w:szCs w:val="20"/>
              </w:rPr>
              <w:t>流动资产</w:t>
            </w:r>
          </w:p>
        </w:tc>
        <w:tc>
          <w:tcPr>
            <w:tcW w:w="2870" w:type="dxa"/>
            <w:tcBorders>
              <w:top w:val="single" w:sz="6"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54"/>
              <w:jc w:val="right"/>
              <w:rPr>
                <w:rFonts w:ascii="Arial" w:hAnsi="Arial" w:cs="Arial" w:eastAsia="Arial" w:hint="default"/>
                <w:sz w:val="20"/>
                <w:szCs w:val="20"/>
              </w:rPr>
            </w:pPr>
            <w:r>
              <w:rPr>
                <w:rFonts w:ascii="Arial"/>
                <w:spacing w:val="-2"/>
                <w:sz w:val="20"/>
              </w:rPr>
              <w:t>83,594,348,261</w:t>
            </w:r>
            <w:r>
              <w:rPr>
                <w:rFonts w:ascii="Arial"/>
                <w:sz w:val="20"/>
              </w:rPr>
            </w:r>
          </w:p>
        </w:tc>
        <w:tc>
          <w:tcPr>
            <w:tcW w:w="302" w:type="dxa"/>
            <w:tcBorders>
              <w:top w:val="nil" w:sz="6" w:space="0" w:color="auto"/>
              <w:left w:val="nil" w:sz="6" w:space="0" w:color="auto"/>
              <w:bottom w:val="nil" w:sz="6" w:space="0" w:color="auto"/>
              <w:right w:val="nil" w:sz="6" w:space="0" w:color="auto"/>
            </w:tcBorders>
          </w:tcPr>
          <w:p>
            <w:pPr/>
          </w:p>
        </w:tc>
        <w:tc>
          <w:tcPr>
            <w:tcW w:w="2616" w:type="dxa"/>
            <w:tcBorders>
              <w:top w:val="single" w:sz="6"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59"/>
              <w:jc w:val="right"/>
              <w:rPr>
                <w:rFonts w:ascii="Arial" w:hAnsi="Arial" w:cs="Arial" w:eastAsia="Arial" w:hint="default"/>
                <w:sz w:val="20"/>
                <w:szCs w:val="20"/>
              </w:rPr>
            </w:pPr>
            <w:r>
              <w:rPr>
                <w:rFonts w:ascii="Arial"/>
                <w:spacing w:val="-2"/>
                <w:sz w:val="20"/>
              </w:rPr>
              <w:t>75,910,606,104</w:t>
            </w:r>
            <w:r>
              <w:rPr>
                <w:rFonts w:ascii="Arial"/>
                <w:sz w:val="20"/>
              </w:rPr>
            </w:r>
          </w:p>
        </w:tc>
      </w:tr>
      <w:tr>
        <w:trPr>
          <w:trHeight w:val="295" w:hRule="exact"/>
        </w:trPr>
        <w:tc>
          <w:tcPr>
            <w:tcW w:w="3382" w:type="dxa"/>
            <w:tcBorders>
              <w:top w:val="nil" w:sz="6" w:space="0" w:color="auto"/>
              <w:left w:val="nil" w:sz="6" w:space="0" w:color="auto"/>
              <w:bottom w:val="nil" w:sz="6" w:space="0" w:color="auto"/>
              <w:right w:val="nil" w:sz="6" w:space="0" w:color="auto"/>
            </w:tcBorders>
          </w:tcPr>
          <w:p>
            <w:pPr>
              <w:pStyle w:val="TableParagraph"/>
              <w:spacing w:line="232" w:lineRule="exact"/>
              <w:ind w:left="200" w:right="0"/>
              <w:jc w:val="left"/>
              <w:rPr>
                <w:rFonts w:ascii="宋体" w:hAnsi="宋体" w:cs="宋体" w:eastAsia="宋体" w:hint="default"/>
                <w:sz w:val="20"/>
                <w:szCs w:val="20"/>
              </w:rPr>
            </w:pPr>
            <w:r>
              <w:rPr>
                <w:rFonts w:ascii="宋体" w:hAnsi="宋体" w:cs="宋体" w:eastAsia="宋体" w:hint="default"/>
                <w:sz w:val="20"/>
                <w:szCs w:val="20"/>
              </w:rPr>
              <w:t>非流动资产</w:t>
            </w:r>
          </w:p>
        </w:tc>
        <w:tc>
          <w:tcPr>
            <w:tcW w:w="2870" w:type="dxa"/>
            <w:tcBorders>
              <w:top w:val="nil" w:sz="6" w:space="0" w:color="auto"/>
              <w:left w:val="nil" w:sz="6" w:space="0" w:color="auto"/>
              <w:bottom w:val="nil" w:sz="6" w:space="0" w:color="auto"/>
              <w:right w:val="nil" w:sz="6" w:space="0" w:color="auto"/>
            </w:tcBorders>
          </w:tcPr>
          <w:p>
            <w:pPr>
              <w:pStyle w:val="TableParagraph"/>
              <w:tabs>
                <w:tab w:pos="1315" w:val="left" w:leader="none"/>
                <w:tab w:pos="2870" w:val="left" w:leader="none"/>
              </w:tabs>
              <w:spacing w:line="240" w:lineRule="auto" w:before="31"/>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480,614,202,055</w:t>
              <w:tab/>
            </w:r>
            <w:r>
              <w:rPr>
                <w:rFonts w:ascii="Arial"/>
                <w:spacing w:val="-2"/>
                <w:sz w:val="20"/>
              </w:rPr>
            </w:r>
          </w:p>
        </w:tc>
        <w:tc>
          <w:tcPr>
            <w:tcW w:w="302" w:type="dxa"/>
            <w:tcBorders>
              <w:top w:val="nil" w:sz="6" w:space="0" w:color="auto"/>
              <w:left w:val="nil" w:sz="6" w:space="0" w:color="auto"/>
              <w:bottom w:val="nil" w:sz="6" w:space="0" w:color="auto"/>
              <w:right w:val="nil" w:sz="6" w:space="0" w:color="auto"/>
            </w:tcBorders>
          </w:tcPr>
          <w:p>
            <w:pPr/>
          </w:p>
        </w:tc>
        <w:tc>
          <w:tcPr>
            <w:tcW w:w="2616" w:type="dxa"/>
            <w:tcBorders>
              <w:top w:val="nil" w:sz="6" w:space="0" w:color="auto"/>
              <w:left w:val="nil" w:sz="6" w:space="0" w:color="auto"/>
              <w:bottom w:val="nil" w:sz="6" w:space="0" w:color="auto"/>
              <w:right w:val="nil" w:sz="6" w:space="0" w:color="auto"/>
            </w:tcBorders>
          </w:tcPr>
          <w:p>
            <w:pPr>
              <w:pStyle w:val="TableParagraph"/>
              <w:tabs>
                <w:tab w:pos="1055" w:val="left" w:leader="none"/>
                <w:tab w:pos="2615" w:val="left" w:leader="none"/>
              </w:tabs>
              <w:spacing w:line="240" w:lineRule="auto" w:before="31"/>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465,824,691,423</w:t>
              <w:tab/>
            </w:r>
            <w:r>
              <w:rPr>
                <w:rFonts w:ascii="Arial"/>
                <w:spacing w:val="-2"/>
                <w:sz w:val="20"/>
              </w:rPr>
            </w:r>
          </w:p>
        </w:tc>
      </w:tr>
      <w:tr>
        <w:trPr>
          <w:trHeight w:val="439" w:hRule="exact"/>
        </w:trPr>
        <w:tc>
          <w:tcPr>
            <w:tcW w:w="3382" w:type="dxa"/>
            <w:tcBorders>
              <w:top w:val="nil" w:sz="6" w:space="0" w:color="auto"/>
              <w:left w:val="nil" w:sz="6" w:space="0" w:color="auto"/>
              <w:bottom w:val="nil" w:sz="6" w:space="0" w:color="auto"/>
              <w:right w:val="nil" w:sz="6" w:space="0" w:color="auto"/>
            </w:tcBorders>
          </w:tcPr>
          <w:p>
            <w:pPr>
              <w:pStyle w:val="TableParagraph"/>
              <w:spacing w:line="240" w:lineRule="exact"/>
              <w:ind w:left="200" w:right="0"/>
              <w:jc w:val="left"/>
              <w:rPr>
                <w:rFonts w:ascii="宋体" w:hAnsi="宋体" w:cs="宋体" w:eastAsia="宋体" w:hint="default"/>
                <w:sz w:val="20"/>
                <w:szCs w:val="20"/>
              </w:rPr>
            </w:pPr>
            <w:r>
              <w:rPr>
                <w:rFonts w:ascii="宋体" w:hAnsi="宋体" w:cs="宋体" w:eastAsia="宋体" w:hint="default"/>
                <w:sz w:val="20"/>
                <w:szCs w:val="20"/>
              </w:rPr>
              <w:t>资产合计</w:t>
            </w:r>
          </w:p>
        </w:tc>
        <w:tc>
          <w:tcPr>
            <w:tcW w:w="287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4"/>
              <w:jc w:val="right"/>
              <w:rPr>
                <w:rFonts w:ascii="Arial" w:hAnsi="Arial" w:cs="Arial" w:eastAsia="Arial" w:hint="default"/>
                <w:sz w:val="20"/>
                <w:szCs w:val="20"/>
              </w:rPr>
            </w:pPr>
            <w:r>
              <w:rPr>
                <w:rFonts w:ascii="Arial"/>
                <w:spacing w:val="-2"/>
                <w:sz w:val="20"/>
              </w:rPr>
              <w:t>564,208,550,316</w:t>
            </w:r>
            <w:r>
              <w:rPr>
                <w:rFonts w:ascii="Arial"/>
                <w:sz w:val="20"/>
              </w:rPr>
            </w:r>
          </w:p>
        </w:tc>
        <w:tc>
          <w:tcPr>
            <w:tcW w:w="302" w:type="dxa"/>
            <w:tcBorders>
              <w:top w:val="nil" w:sz="6" w:space="0" w:color="auto"/>
              <w:left w:val="nil" w:sz="6" w:space="0" w:color="auto"/>
              <w:bottom w:val="nil" w:sz="6" w:space="0" w:color="auto"/>
              <w:right w:val="nil" w:sz="6" w:space="0" w:color="auto"/>
            </w:tcBorders>
          </w:tcPr>
          <w:p>
            <w:pPr/>
          </w:p>
        </w:tc>
        <w:tc>
          <w:tcPr>
            <w:tcW w:w="261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9"/>
              <w:jc w:val="right"/>
              <w:rPr>
                <w:rFonts w:ascii="Arial" w:hAnsi="Arial" w:cs="Arial" w:eastAsia="Arial" w:hint="default"/>
                <w:sz w:val="20"/>
                <w:szCs w:val="20"/>
              </w:rPr>
            </w:pPr>
            <w:r>
              <w:rPr>
                <w:rFonts w:ascii="Arial"/>
                <w:spacing w:val="-2"/>
                <w:sz w:val="20"/>
              </w:rPr>
              <w:t>541,735,297,527</w:t>
            </w:r>
            <w:r>
              <w:rPr>
                <w:rFonts w:ascii="Arial"/>
                <w:sz w:val="20"/>
              </w:rPr>
            </w:r>
          </w:p>
        </w:tc>
      </w:tr>
      <w:tr>
        <w:trPr>
          <w:trHeight w:val="434" w:hRule="exact"/>
        </w:trPr>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200" w:right="0"/>
              <w:jc w:val="left"/>
              <w:rPr>
                <w:rFonts w:ascii="宋体" w:hAnsi="宋体" w:cs="宋体" w:eastAsia="宋体" w:hint="default"/>
                <w:sz w:val="20"/>
                <w:szCs w:val="20"/>
              </w:rPr>
            </w:pPr>
            <w:r>
              <w:rPr>
                <w:rFonts w:ascii="宋体" w:hAnsi="宋体" w:cs="宋体" w:eastAsia="宋体" w:hint="default"/>
                <w:sz w:val="20"/>
                <w:szCs w:val="20"/>
              </w:rPr>
              <w:t>流动负债</w:t>
            </w:r>
          </w:p>
        </w:tc>
        <w:tc>
          <w:tcPr>
            <w:tcW w:w="2870" w:type="dxa"/>
            <w:tcBorders>
              <w:top w:val="nil" w:sz="6" w:space="0" w:color="auto"/>
              <w:left w:val="nil" w:sz="6" w:space="0" w:color="auto"/>
              <w:bottom w:val="nil" w:sz="6" w:space="0" w:color="auto"/>
              <w:right w:val="nil" w:sz="6" w:space="0" w:color="auto"/>
            </w:tcBorders>
          </w:tcPr>
          <w:p>
            <w:pPr>
              <w:pStyle w:val="TableParagraph"/>
              <w:spacing w:line="240" w:lineRule="auto" w:before="175"/>
              <w:ind w:right="54"/>
              <w:jc w:val="right"/>
              <w:rPr>
                <w:rFonts w:ascii="Arial" w:hAnsi="Arial" w:cs="Arial" w:eastAsia="Arial" w:hint="default"/>
                <w:sz w:val="20"/>
                <w:szCs w:val="20"/>
              </w:rPr>
            </w:pPr>
            <w:r>
              <w:rPr>
                <w:rFonts w:ascii="Arial"/>
                <w:spacing w:val="-2"/>
                <w:sz w:val="20"/>
              </w:rPr>
              <w:t>205,241,355,240</w:t>
            </w:r>
            <w:r>
              <w:rPr>
                <w:rFonts w:ascii="Arial"/>
                <w:sz w:val="20"/>
              </w:rPr>
            </w:r>
          </w:p>
        </w:tc>
        <w:tc>
          <w:tcPr>
            <w:tcW w:w="302" w:type="dxa"/>
            <w:tcBorders>
              <w:top w:val="nil" w:sz="6" w:space="0" w:color="auto"/>
              <w:left w:val="nil" w:sz="6" w:space="0" w:color="auto"/>
              <w:bottom w:val="nil" w:sz="6" w:space="0" w:color="auto"/>
              <w:right w:val="nil" w:sz="6" w:space="0" w:color="auto"/>
            </w:tcBorders>
          </w:tcPr>
          <w:p>
            <w:pPr/>
          </w:p>
        </w:tc>
        <w:tc>
          <w:tcPr>
            <w:tcW w:w="2616" w:type="dxa"/>
            <w:tcBorders>
              <w:top w:val="nil" w:sz="6" w:space="0" w:color="auto"/>
              <w:left w:val="nil" w:sz="6" w:space="0" w:color="auto"/>
              <w:bottom w:val="nil" w:sz="6" w:space="0" w:color="auto"/>
              <w:right w:val="nil" w:sz="6" w:space="0" w:color="auto"/>
            </w:tcBorders>
          </w:tcPr>
          <w:p>
            <w:pPr>
              <w:pStyle w:val="TableParagraph"/>
              <w:spacing w:line="240" w:lineRule="auto" w:before="175"/>
              <w:ind w:right="59"/>
              <w:jc w:val="right"/>
              <w:rPr>
                <w:rFonts w:ascii="Arial" w:hAnsi="Arial" w:cs="Arial" w:eastAsia="Arial" w:hint="default"/>
                <w:sz w:val="20"/>
                <w:szCs w:val="20"/>
              </w:rPr>
            </w:pPr>
            <w:r>
              <w:rPr>
                <w:rFonts w:ascii="Arial"/>
                <w:spacing w:val="-2"/>
                <w:sz w:val="20"/>
              </w:rPr>
              <w:t>214,971,866,987</w:t>
            </w:r>
            <w:r>
              <w:rPr>
                <w:rFonts w:ascii="Arial"/>
                <w:sz w:val="20"/>
              </w:rPr>
            </w:r>
          </w:p>
        </w:tc>
      </w:tr>
      <w:tr>
        <w:trPr>
          <w:trHeight w:val="295" w:hRule="exact"/>
        </w:trPr>
        <w:tc>
          <w:tcPr>
            <w:tcW w:w="3382" w:type="dxa"/>
            <w:tcBorders>
              <w:top w:val="nil" w:sz="6" w:space="0" w:color="auto"/>
              <w:left w:val="nil" w:sz="6" w:space="0" w:color="auto"/>
              <w:bottom w:val="nil" w:sz="6" w:space="0" w:color="auto"/>
              <w:right w:val="nil" w:sz="6" w:space="0" w:color="auto"/>
            </w:tcBorders>
          </w:tcPr>
          <w:p>
            <w:pPr>
              <w:pStyle w:val="TableParagraph"/>
              <w:spacing w:line="235" w:lineRule="exact"/>
              <w:ind w:left="200" w:right="0"/>
              <w:jc w:val="left"/>
              <w:rPr>
                <w:rFonts w:ascii="宋体" w:hAnsi="宋体" w:cs="宋体" w:eastAsia="宋体" w:hint="default"/>
                <w:sz w:val="20"/>
                <w:szCs w:val="20"/>
              </w:rPr>
            </w:pPr>
            <w:r>
              <w:rPr>
                <w:rFonts w:ascii="宋体" w:hAnsi="宋体" w:cs="宋体" w:eastAsia="宋体" w:hint="default"/>
                <w:sz w:val="20"/>
                <w:szCs w:val="20"/>
              </w:rPr>
              <w:t>非流动负债</w:t>
            </w:r>
          </w:p>
        </w:tc>
        <w:tc>
          <w:tcPr>
            <w:tcW w:w="2870" w:type="dxa"/>
            <w:tcBorders>
              <w:top w:val="nil" w:sz="6" w:space="0" w:color="auto"/>
              <w:left w:val="nil" w:sz="6" w:space="0" w:color="auto"/>
              <w:bottom w:val="nil" w:sz="6" w:space="0" w:color="auto"/>
              <w:right w:val="nil" w:sz="6" w:space="0" w:color="auto"/>
            </w:tcBorders>
          </w:tcPr>
          <w:p>
            <w:pPr>
              <w:pStyle w:val="TableParagraph"/>
              <w:tabs>
                <w:tab w:pos="1425" w:val="left" w:leader="none"/>
                <w:tab w:pos="2870" w:val="left" w:leader="none"/>
              </w:tabs>
              <w:spacing w:line="240" w:lineRule="auto" w:before="33"/>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36,964,112,725</w:t>
              <w:tab/>
            </w:r>
            <w:r>
              <w:rPr>
                <w:rFonts w:ascii="Arial"/>
                <w:spacing w:val="-2"/>
                <w:sz w:val="20"/>
              </w:rPr>
            </w:r>
          </w:p>
        </w:tc>
        <w:tc>
          <w:tcPr>
            <w:tcW w:w="302" w:type="dxa"/>
            <w:tcBorders>
              <w:top w:val="nil" w:sz="6" w:space="0" w:color="auto"/>
              <w:left w:val="nil" w:sz="6" w:space="0" w:color="auto"/>
              <w:bottom w:val="nil" w:sz="6" w:space="0" w:color="auto"/>
              <w:right w:val="nil" w:sz="6" w:space="0" w:color="auto"/>
            </w:tcBorders>
          </w:tcPr>
          <w:p>
            <w:pPr/>
          </w:p>
        </w:tc>
        <w:tc>
          <w:tcPr>
            <w:tcW w:w="2616" w:type="dxa"/>
            <w:tcBorders>
              <w:top w:val="nil" w:sz="6" w:space="0" w:color="auto"/>
              <w:left w:val="nil" w:sz="6" w:space="0" w:color="auto"/>
              <w:bottom w:val="nil" w:sz="6" w:space="0" w:color="auto"/>
              <w:right w:val="nil" w:sz="6" w:space="0" w:color="auto"/>
            </w:tcBorders>
          </w:tcPr>
          <w:p>
            <w:pPr>
              <w:pStyle w:val="TableParagraph"/>
              <w:tabs>
                <w:tab w:pos="1166" w:val="left" w:leader="none"/>
                <w:tab w:pos="2615" w:val="left" w:leader="none"/>
              </w:tabs>
              <w:spacing w:line="240" w:lineRule="auto" w:before="33"/>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11,077,089,554</w:t>
              <w:tab/>
            </w:r>
            <w:r>
              <w:rPr>
                <w:rFonts w:ascii="Arial"/>
                <w:spacing w:val="-2"/>
                <w:sz w:val="20"/>
              </w:rPr>
            </w:r>
          </w:p>
        </w:tc>
      </w:tr>
      <w:tr>
        <w:trPr>
          <w:trHeight w:val="429" w:hRule="exact"/>
        </w:trPr>
        <w:tc>
          <w:tcPr>
            <w:tcW w:w="3382" w:type="dxa"/>
            <w:tcBorders>
              <w:top w:val="nil" w:sz="6" w:space="0" w:color="auto"/>
              <w:left w:val="nil" w:sz="6" w:space="0" w:color="auto"/>
              <w:bottom w:val="nil" w:sz="6" w:space="0" w:color="auto"/>
              <w:right w:val="nil" w:sz="6" w:space="0" w:color="auto"/>
            </w:tcBorders>
          </w:tcPr>
          <w:p>
            <w:pPr>
              <w:pStyle w:val="TableParagraph"/>
              <w:spacing w:line="237" w:lineRule="exact"/>
              <w:ind w:left="200" w:right="0"/>
              <w:jc w:val="left"/>
              <w:rPr>
                <w:rFonts w:ascii="宋体" w:hAnsi="宋体" w:cs="宋体" w:eastAsia="宋体" w:hint="default"/>
                <w:sz w:val="20"/>
                <w:szCs w:val="20"/>
              </w:rPr>
            </w:pPr>
            <w:r>
              <w:rPr>
                <w:rFonts w:ascii="宋体" w:hAnsi="宋体" w:cs="宋体" w:eastAsia="宋体" w:hint="default"/>
                <w:sz w:val="20"/>
                <w:szCs w:val="20"/>
              </w:rPr>
              <w:t>负债合计</w:t>
            </w:r>
          </w:p>
        </w:tc>
        <w:tc>
          <w:tcPr>
            <w:tcW w:w="2870"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54"/>
              <w:jc w:val="right"/>
              <w:rPr>
                <w:rFonts w:ascii="Arial" w:hAnsi="Arial" w:cs="Arial" w:eastAsia="Arial" w:hint="default"/>
                <w:sz w:val="20"/>
                <w:szCs w:val="20"/>
              </w:rPr>
            </w:pPr>
            <w:r>
              <w:rPr>
                <w:rFonts w:ascii="Arial"/>
                <w:spacing w:val="-2"/>
                <w:sz w:val="20"/>
              </w:rPr>
              <w:t>242,205,467,965</w:t>
            </w:r>
            <w:r>
              <w:rPr>
                <w:rFonts w:ascii="Arial"/>
                <w:sz w:val="20"/>
              </w:rPr>
            </w:r>
          </w:p>
        </w:tc>
        <w:tc>
          <w:tcPr>
            <w:tcW w:w="302" w:type="dxa"/>
            <w:tcBorders>
              <w:top w:val="nil" w:sz="6" w:space="0" w:color="auto"/>
              <w:left w:val="nil" w:sz="6" w:space="0" w:color="auto"/>
              <w:bottom w:val="nil" w:sz="6" w:space="0" w:color="auto"/>
              <w:right w:val="nil" w:sz="6" w:space="0" w:color="auto"/>
            </w:tcBorders>
          </w:tcPr>
          <w:p>
            <w:pPr/>
          </w:p>
        </w:tc>
        <w:tc>
          <w:tcPr>
            <w:tcW w:w="2616"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59"/>
              <w:jc w:val="right"/>
              <w:rPr>
                <w:rFonts w:ascii="Arial" w:hAnsi="Arial" w:cs="Arial" w:eastAsia="Arial" w:hint="default"/>
                <w:sz w:val="20"/>
                <w:szCs w:val="20"/>
              </w:rPr>
            </w:pPr>
            <w:r>
              <w:rPr>
                <w:rFonts w:ascii="Arial"/>
                <w:spacing w:val="-2"/>
                <w:sz w:val="20"/>
              </w:rPr>
              <w:t>226,048,956,541</w:t>
            </w:r>
            <w:r>
              <w:rPr>
                <w:rFonts w:ascii="Arial"/>
                <w:sz w:val="20"/>
              </w:rPr>
            </w:r>
          </w:p>
        </w:tc>
      </w:tr>
      <w:tr>
        <w:trPr>
          <w:trHeight w:val="429" w:hRule="exact"/>
        </w:trPr>
        <w:tc>
          <w:tcPr>
            <w:tcW w:w="3382" w:type="dxa"/>
            <w:tcBorders>
              <w:top w:val="nil" w:sz="6" w:space="0" w:color="auto"/>
              <w:left w:val="nil" w:sz="6" w:space="0" w:color="auto"/>
              <w:bottom w:val="nil" w:sz="6" w:space="0" w:color="auto"/>
              <w:right w:val="nil" w:sz="6" w:space="0" w:color="auto"/>
            </w:tcBorders>
          </w:tcPr>
          <w:p>
            <w:pPr/>
          </w:p>
        </w:tc>
        <w:tc>
          <w:tcPr>
            <w:tcW w:w="2870" w:type="dxa"/>
            <w:tcBorders>
              <w:top w:val="nil" w:sz="6" w:space="0" w:color="auto"/>
              <w:left w:val="nil" w:sz="6" w:space="0" w:color="auto"/>
              <w:bottom w:val="single" w:sz="4" w:space="0" w:color="000000"/>
              <w:right w:val="nil" w:sz="6" w:space="0" w:color="auto"/>
            </w:tcBorders>
          </w:tcPr>
          <w:p>
            <w:pPr>
              <w:pStyle w:val="TableParagraph"/>
              <w:spacing w:line="240" w:lineRule="auto" w:before="99"/>
              <w:ind w:right="50"/>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tc>
        <w:tc>
          <w:tcPr>
            <w:tcW w:w="302" w:type="dxa"/>
            <w:tcBorders>
              <w:top w:val="nil" w:sz="6" w:space="0" w:color="auto"/>
              <w:left w:val="nil" w:sz="6" w:space="0" w:color="auto"/>
              <w:bottom w:val="nil" w:sz="6" w:space="0" w:color="auto"/>
              <w:right w:val="nil" w:sz="6" w:space="0" w:color="auto"/>
            </w:tcBorders>
          </w:tcPr>
          <w:p>
            <w:pPr/>
          </w:p>
        </w:tc>
        <w:tc>
          <w:tcPr>
            <w:tcW w:w="2616" w:type="dxa"/>
            <w:tcBorders>
              <w:top w:val="nil" w:sz="6" w:space="0" w:color="auto"/>
              <w:left w:val="nil" w:sz="6" w:space="0" w:color="auto"/>
              <w:bottom w:val="single" w:sz="4" w:space="0" w:color="000000"/>
              <w:right w:val="nil" w:sz="6" w:space="0" w:color="auto"/>
            </w:tcBorders>
          </w:tcPr>
          <w:p>
            <w:pPr>
              <w:pStyle w:val="TableParagraph"/>
              <w:spacing w:line="240" w:lineRule="auto" w:before="99"/>
              <w:ind w:right="55"/>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tc>
      </w:tr>
      <w:tr>
        <w:trPr>
          <w:trHeight w:val="319" w:hRule="exact"/>
        </w:trPr>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1"/>
              <w:ind w:left="200" w:right="0"/>
              <w:jc w:val="left"/>
              <w:rPr>
                <w:rFonts w:ascii="宋体" w:hAnsi="宋体" w:cs="宋体" w:eastAsia="宋体" w:hint="default"/>
                <w:sz w:val="20"/>
                <w:szCs w:val="20"/>
              </w:rPr>
            </w:pPr>
            <w:r>
              <w:rPr>
                <w:rFonts w:ascii="宋体" w:hAnsi="宋体" w:cs="宋体" w:eastAsia="宋体" w:hint="default"/>
                <w:sz w:val="20"/>
                <w:szCs w:val="20"/>
              </w:rPr>
              <w:t>营业收入</w:t>
            </w:r>
          </w:p>
        </w:tc>
        <w:tc>
          <w:tcPr>
            <w:tcW w:w="2870" w:type="dxa"/>
            <w:tcBorders>
              <w:top w:val="single" w:sz="4" w:space="0" w:color="000000"/>
              <w:left w:val="nil" w:sz="6" w:space="0" w:color="auto"/>
              <w:bottom w:val="nil" w:sz="6" w:space="0" w:color="auto"/>
              <w:right w:val="nil" w:sz="6" w:space="0" w:color="auto"/>
            </w:tcBorders>
          </w:tcPr>
          <w:p>
            <w:pPr>
              <w:pStyle w:val="TableParagraph"/>
              <w:spacing w:line="240" w:lineRule="auto" w:before="57"/>
              <w:ind w:right="54"/>
              <w:jc w:val="right"/>
              <w:rPr>
                <w:rFonts w:ascii="Arial" w:hAnsi="Arial" w:cs="Arial" w:eastAsia="Arial" w:hint="default"/>
                <w:sz w:val="20"/>
                <w:szCs w:val="20"/>
              </w:rPr>
            </w:pPr>
            <w:r>
              <w:rPr>
                <w:rFonts w:ascii="Arial"/>
                <w:spacing w:val="-2"/>
                <w:sz w:val="20"/>
              </w:rPr>
              <w:t>290,514,554,553</w:t>
            </w:r>
            <w:r>
              <w:rPr>
                <w:rFonts w:ascii="Arial"/>
                <w:sz w:val="20"/>
              </w:rPr>
            </w:r>
          </w:p>
        </w:tc>
        <w:tc>
          <w:tcPr>
            <w:tcW w:w="302" w:type="dxa"/>
            <w:tcBorders>
              <w:top w:val="nil" w:sz="6" w:space="0" w:color="auto"/>
              <w:left w:val="nil" w:sz="6" w:space="0" w:color="auto"/>
              <w:bottom w:val="nil" w:sz="6" w:space="0" w:color="auto"/>
              <w:right w:val="nil" w:sz="6" w:space="0" w:color="auto"/>
            </w:tcBorders>
          </w:tcPr>
          <w:p>
            <w:pPr/>
          </w:p>
        </w:tc>
        <w:tc>
          <w:tcPr>
            <w:tcW w:w="2616" w:type="dxa"/>
            <w:tcBorders>
              <w:top w:val="single" w:sz="4" w:space="0" w:color="000000"/>
              <w:left w:val="nil" w:sz="6" w:space="0" w:color="auto"/>
              <w:bottom w:val="nil" w:sz="6" w:space="0" w:color="auto"/>
              <w:right w:val="nil" w:sz="6" w:space="0" w:color="auto"/>
            </w:tcBorders>
          </w:tcPr>
          <w:p>
            <w:pPr>
              <w:pStyle w:val="TableParagraph"/>
              <w:spacing w:line="240" w:lineRule="auto" w:before="57"/>
              <w:ind w:right="64"/>
              <w:jc w:val="right"/>
              <w:rPr>
                <w:rFonts w:ascii="Arial" w:hAnsi="Arial" w:cs="Arial" w:eastAsia="Arial" w:hint="default"/>
                <w:sz w:val="20"/>
                <w:szCs w:val="20"/>
              </w:rPr>
            </w:pPr>
            <w:r>
              <w:rPr>
                <w:rFonts w:ascii="Arial"/>
                <w:spacing w:val="-2"/>
                <w:sz w:val="20"/>
              </w:rPr>
              <w:t>290,876,776,866</w:t>
            </w:r>
            <w:r>
              <w:rPr>
                <w:rFonts w:ascii="Arial"/>
                <w:sz w:val="20"/>
              </w:rPr>
            </w:r>
          </w:p>
        </w:tc>
      </w:tr>
      <w:tr>
        <w:trPr>
          <w:trHeight w:val="290" w:hRule="exact"/>
        </w:trPr>
        <w:tc>
          <w:tcPr>
            <w:tcW w:w="3382" w:type="dxa"/>
            <w:tcBorders>
              <w:top w:val="nil" w:sz="6" w:space="0" w:color="auto"/>
              <w:left w:val="nil" w:sz="6" w:space="0" w:color="auto"/>
              <w:bottom w:val="nil" w:sz="6" w:space="0" w:color="auto"/>
              <w:right w:val="nil" w:sz="6" w:space="0" w:color="auto"/>
            </w:tcBorders>
          </w:tcPr>
          <w:p>
            <w:pPr>
              <w:pStyle w:val="TableParagraph"/>
              <w:spacing w:line="232" w:lineRule="exact"/>
              <w:ind w:left="200" w:right="0"/>
              <w:jc w:val="left"/>
              <w:rPr>
                <w:rFonts w:ascii="宋体" w:hAnsi="宋体" w:cs="宋体" w:eastAsia="宋体" w:hint="default"/>
                <w:sz w:val="20"/>
                <w:szCs w:val="20"/>
              </w:rPr>
            </w:pPr>
            <w:r>
              <w:rPr>
                <w:rFonts w:ascii="宋体" w:hAnsi="宋体" w:cs="宋体" w:eastAsia="宋体" w:hint="default"/>
                <w:sz w:val="20"/>
                <w:szCs w:val="20"/>
              </w:rPr>
              <w:t>净利润</w:t>
            </w:r>
          </w:p>
        </w:tc>
        <w:tc>
          <w:tcPr>
            <w:tcW w:w="287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59"/>
              <w:jc w:val="right"/>
              <w:rPr>
                <w:rFonts w:ascii="Arial" w:hAnsi="Arial" w:cs="Arial" w:eastAsia="Arial" w:hint="default"/>
                <w:sz w:val="20"/>
                <w:szCs w:val="20"/>
              </w:rPr>
            </w:pPr>
            <w:r>
              <w:rPr>
                <w:rFonts w:ascii="Arial"/>
                <w:spacing w:val="-2"/>
                <w:sz w:val="20"/>
              </w:rPr>
              <w:t>11,172,268,707</w:t>
            </w:r>
            <w:r>
              <w:rPr>
                <w:rFonts w:ascii="Arial"/>
                <w:sz w:val="20"/>
              </w:rPr>
            </w:r>
          </w:p>
        </w:tc>
        <w:tc>
          <w:tcPr>
            <w:tcW w:w="302" w:type="dxa"/>
            <w:tcBorders>
              <w:top w:val="nil" w:sz="6" w:space="0" w:color="auto"/>
              <w:left w:val="nil" w:sz="6" w:space="0" w:color="auto"/>
              <w:bottom w:val="nil" w:sz="6" w:space="0" w:color="auto"/>
              <w:right w:val="nil" w:sz="6" w:space="0" w:color="auto"/>
            </w:tcBorders>
          </w:tcPr>
          <w:p>
            <w:pPr/>
          </w:p>
        </w:tc>
        <w:tc>
          <w:tcPr>
            <w:tcW w:w="2616"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59"/>
              <w:jc w:val="right"/>
              <w:rPr>
                <w:rFonts w:ascii="Arial" w:hAnsi="Arial" w:cs="Arial" w:eastAsia="Arial" w:hint="default"/>
                <w:sz w:val="20"/>
                <w:szCs w:val="20"/>
              </w:rPr>
            </w:pPr>
            <w:r>
              <w:rPr>
                <w:rFonts w:ascii="Arial"/>
                <w:spacing w:val="-2"/>
                <w:sz w:val="20"/>
              </w:rPr>
              <w:t>9,264,345,879</w:t>
            </w:r>
            <w:r>
              <w:rPr>
                <w:rFonts w:ascii="Arial"/>
                <w:sz w:val="20"/>
              </w:rPr>
            </w:r>
          </w:p>
        </w:tc>
      </w:tr>
      <w:tr>
        <w:trPr>
          <w:trHeight w:val="290" w:hRule="exact"/>
        </w:trPr>
        <w:tc>
          <w:tcPr>
            <w:tcW w:w="3382" w:type="dxa"/>
            <w:tcBorders>
              <w:top w:val="nil" w:sz="6" w:space="0" w:color="auto"/>
              <w:left w:val="nil" w:sz="6" w:space="0" w:color="auto"/>
              <w:bottom w:val="nil" w:sz="6" w:space="0" w:color="auto"/>
              <w:right w:val="nil" w:sz="6" w:space="0" w:color="auto"/>
            </w:tcBorders>
          </w:tcPr>
          <w:p>
            <w:pPr>
              <w:pStyle w:val="TableParagraph"/>
              <w:spacing w:line="235" w:lineRule="exact"/>
              <w:ind w:left="200" w:right="0"/>
              <w:jc w:val="left"/>
              <w:rPr>
                <w:rFonts w:ascii="宋体" w:hAnsi="宋体" w:cs="宋体" w:eastAsia="宋体" w:hint="default"/>
                <w:sz w:val="20"/>
                <w:szCs w:val="20"/>
              </w:rPr>
            </w:pPr>
            <w:r>
              <w:rPr>
                <w:rFonts w:ascii="宋体" w:hAnsi="宋体" w:cs="宋体" w:eastAsia="宋体" w:hint="default"/>
                <w:sz w:val="20"/>
                <w:szCs w:val="20"/>
              </w:rPr>
              <w:t>其他综合收益</w:t>
            </w:r>
          </w:p>
        </w:tc>
        <w:tc>
          <w:tcPr>
            <w:tcW w:w="28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
              <w:jc w:val="right"/>
              <w:rPr>
                <w:rFonts w:ascii="Arial" w:hAnsi="Arial" w:cs="Arial" w:eastAsia="Arial" w:hint="default"/>
                <w:sz w:val="20"/>
                <w:szCs w:val="20"/>
              </w:rPr>
            </w:pPr>
            <w:r>
              <w:rPr>
                <w:rFonts w:ascii="Arial"/>
                <w:spacing w:val="-2"/>
                <w:sz w:val="20"/>
              </w:rPr>
              <w:t>(501,267,045)</w:t>
            </w:r>
            <w:r>
              <w:rPr>
                <w:rFonts w:ascii="Arial"/>
                <w:sz w:val="20"/>
              </w:rPr>
            </w:r>
          </w:p>
        </w:tc>
        <w:tc>
          <w:tcPr>
            <w:tcW w:w="302" w:type="dxa"/>
            <w:tcBorders>
              <w:top w:val="nil" w:sz="6" w:space="0" w:color="auto"/>
              <w:left w:val="nil" w:sz="6" w:space="0" w:color="auto"/>
              <w:bottom w:val="nil" w:sz="6" w:space="0" w:color="auto"/>
              <w:right w:val="nil" w:sz="6" w:space="0" w:color="auto"/>
            </w:tcBorders>
          </w:tcPr>
          <w:p>
            <w:pPr/>
          </w:p>
        </w:tc>
        <w:tc>
          <w:tcPr>
            <w:tcW w:w="261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
              <w:jc w:val="right"/>
              <w:rPr>
                <w:rFonts w:ascii="Arial" w:hAnsi="Arial" w:cs="Arial" w:eastAsia="Arial" w:hint="default"/>
                <w:sz w:val="20"/>
                <w:szCs w:val="20"/>
              </w:rPr>
            </w:pPr>
            <w:r>
              <w:rPr>
                <w:rFonts w:ascii="Arial"/>
                <w:spacing w:val="-2"/>
                <w:sz w:val="20"/>
              </w:rPr>
              <w:t>(245,092,538)</w:t>
            </w:r>
            <w:r>
              <w:rPr>
                <w:rFonts w:ascii="Arial"/>
                <w:sz w:val="20"/>
              </w:rPr>
            </w:r>
          </w:p>
        </w:tc>
      </w:tr>
      <w:tr>
        <w:trPr>
          <w:trHeight w:val="288" w:hRule="exact"/>
        </w:trPr>
        <w:tc>
          <w:tcPr>
            <w:tcW w:w="3382" w:type="dxa"/>
            <w:tcBorders>
              <w:top w:val="nil" w:sz="6" w:space="0" w:color="auto"/>
              <w:left w:val="nil" w:sz="6" w:space="0" w:color="auto"/>
              <w:bottom w:val="nil" w:sz="6" w:space="0" w:color="auto"/>
              <w:right w:val="nil" w:sz="6" w:space="0" w:color="auto"/>
            </w:tcBorders>
          </w:tcPr>
          <w:p>
            <w:pPr>
              <w:pStyle w:val="TableParagraph"/>
              <w:spacing w:line="232" w:lineRule="exact"/>
              <w:ind w:left="200" w:right="0"/>
              <w:jc w:val="left"/>
              <w:rPr>
                <w:rFonts w:ascii="宋体" w:hAnsi="宋体" w:cs="宋体" w:eastAsia="宋体" w:hint="default"/>
                <w:sz w:val="20"/>
                <w:szCs w:val="20"/>
              </w:rPr>
            </w:pPr>
            <w:r>
              <w:rPr>
                <w:rFonts w:ascii="宋体" w:hAnsi="宋体" w:cs="宋体" w:eastAsia="宋体" w:hint="default"/>
                <w:sz w:val="20"/>
                <w:szCs w:val="20"/>
              </w:rPr>
              <w:t>综合收益总额</w:t>
            </w:r>
          </w:p>
        </w:tc>
        <w:tc>
          <w:tcPr>
            <w:tcW w:w="287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54"/>
              <w:jc w:val="right"/>
              <w:rPr>
                <w:rFonts w:ascii="Arial" w:hAnsi="Arial" w:cs="Arial" w:eastAsia="Arial" w:hint="default"/>
                <w:sz w:val="20"/>
                <w:szCs w:val="20"/>
              </w:rPr>
            </w:pPr>
            <w:r>
              <w:rPr>
                <w:rFonts w:ascii="Arial"/>
                <w:spacing w:val="-2"/>
                <w:sz w:val="20"/>
              </w:rPr>
              <w:t>10,671,001,662</w:t>
            </w:r>
            <w:r>
              <w:rPr>
                <w:rFonts w:ascii="Arial"/>
                <w:sz w:val="20"/>
              </w:rPr>
            </w:r>
          </w:p>
        </w:tc>
        <w:tc>
          <w:tcPr>
            <w:tcW w:w="302" w:type="dxa"/>
            <w:tcBorders>
              <w:top w:val="nil" w:sz="6" w:space="0" w:color="auto"/>
              <w:left w:val="nil" w:sz="6" w:space="0" w:color="auto"/>
              <w:bottom w:val="nil" w:sz="6" w:space="0" w:color="auto"/>
              <w:right w:val="nil" w:sz="6" w:space="0" w:color="auto"/>
            </w:tcBorders>
          </w:tcPr>
          <w:p>
            <w:pPr/>
          </w:p>
        </w:tc>
        <w:tc>
          <w:tcPr>
            <w:tcW w:w="2616"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59"/>
              <w:jc w:val="right"/>
              <w:rPr>
                <w:rFonts w:ascii="Arial" w:hAnsi="Arial" w:cs="Arial" w:eastAsia="Arial" w:hint="default"/>
                <w:sz w:val="20"/>
                <w:szCs w:val="20"/>
              </w:rPr>
            </w:pPr>
            <w:r>
              <w:rPr>
                <w:rFonts w:ascii="Arial"/>
                <w:spacing w:val="-2"/>
                <w:sz w:val="20"/>
              </w:rPr>
              <w:t>9,019,253,341</w:t>
            </w:r>
            <w:r>
              <w:rPr>
                <w:rFonts w:ascii="Arial"/>
                <w:sz w:val="20"/>
              </w:rPr>
            </w:r>
          </w:p>
        </w:tc>
      </w:tr>
      <w:tr>
        <w:trPr>
          <w:trHeight w:val="257" w:hRule="exact"/>
        </w:trPr>
        <w:tc>
          <w:tcPr>
            <w:tcW w:w="3382" w:type="dxa"/>
            <w:tcBorders>
              <w:top w:val="nil" w:sz="6" w:space="0" w:color="auto"/>
              <w:left w:val="nil" w:sz="6" w:space="0" w:color="auto"/>
              <w:bottom w:val="nil" w:sz="6" w:space="0" w:color="auto"/>
              <w:right w:val="nil" w:sz="6" w:space="0" w:color="auto"/>
            </w:tcBorders>
          </w:tcPr>
          <w:p>
            <w:pPr>
              <w:pStyle w:val="TableParagraph"/>
              <w:spacing w:line="232" w:lineRule="exact"/>
              <w:ind w:left="200" w:right="0"/>
              <w:jc w:val="left"/>
              <w:rPr>
                <w:rFonts w:ascii="宋体" w:hAnsi="宋体" w:cs="宋体" w:eastAsia="宋体" w:hint="default"/>
                <w:sz w:val="20"/>
                <w:szCs w:val="20"/>
              </w:rPr>
            </w:pPr>
            <w:r>
              <w:rPr>
                <w:rFonts w:ascii="宋体" w:hAnsi="宋体" w:cs="宋体" w:eastAsia="宋体" w:hint="default"/>
                <w:sz w:val="20"/>
                <w:szCs w:val="20"/>
              </w:rPr>
              <w:t>经营活动现金流量</w:t>
            </w:r>
          </w:p>
        </w:tc>
        <w:tc>
          <w:tcPr>
            <w:tcW w:w="287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59"/>
              <w:jc w:val="right"/>
              <w:rPr>
                <w:rFonts w:ascii="Arial" w:hAnsi="Arial" w:cs="Arial" w:eastAsia="Arial" w:hint="default"/>
                <w:sz w:val="20"/>
                <w:szCs w:val="20"/>
              </w:rPr>
            </w:pPr>
            <w:r>
              <w:rPr>
                <w:rFonts w:ascii="Arial"/>
                <w:spacing w:val="-2"/>
                <w:sz w:val="20"/>
              </w:rPr>
              <w:t>95,937,409,249</w:t>
            </w:r>
            <w:r>
              <w:rPr>
                <w:rFonts w:ascii="Arial"/>
                <w:sz w:val="20"/>
              </w:rPr>
            </w:r>
          </w:p>
        </w:tc>
        <w:tc>
          <w:tcPr>
            <w:tcW w:w="302" w:type="dxa"/>
            <w:tcBorders>
              <w:top w:val="nil" w:sz="6" w:space="0" w:color="auto"/>
              <w:left w:val="nil" w:sz="6" w:space="0" w:color="auto"/>
              <w:bottom w:val="nil" w:sz="6" w:space="0" w:color="auto"/>
              <w:right w:val="nil" w:sz="6" w:space="0" w:color="auto"/>
            </w:tcBorders>
          </w:tcPr>
          <w:p>
            <w:pPr/>
          </w:p>
        </w:tc>
        <w:tc>
          <w:tcPr>
            <w:tcW w:w="2616"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64"/>
              <w:jc w:val="right"/>
              <w:rPr>
                <w:rFonts w:ascii="Arial" w:hAnsi="Arial" w:cs="Arial" w:eastAsia="Arial" w:hint="default"/>
                <w:sz w:val="20"/>
                <w:szCs w:val="20"/>
              </w:rPr>
            </w:pPr>
            <w:r>
              <w:rPr>
                <w:rFonts w:ascii="Arial"/>
                <w:spacing w:val="-2"/>
                <w:sz w:val="20"/>
              </w:rPr>
              <w:t>94,842,296,822</w:t>
            </w:r>
            <w:r>
              <w:rPr>
                <w:rFonts w:ascii="Arial"/>
                <w:sz w:val="20"/>
              </w:rPr>
            </w:r>
          </w:p>
        </w:tc>
      </w:tr>
    </w:tbl>
    <w:p>
      <w:pPr>
        <w:spacing w:line="240" w:lineRule="auto" w:before="7"/>
        <w:rPr>
          <w:rFonts w:ascii="宋体" w:hAnsi="宋体" w:cs="宋体" w:eastAsia="宋体" w:hint="default"/>
          <w:sz w:val="14"/>
          <w:szCs w:val="14"/>
        </w:rPr>
      </w:pPr>
    </w:p>
    <w:p>
      <w:pPr>
        <w:pStyle w:val="BodyText"/>
        <w:spacing w:line="240" w:lineRule="auto" w:before="32"/>
        <w:ind w:left="559" w:right="0"/>
        <w:jc w:val="left"/>
      </w:pPr>
      <w:r>
        <w:rPr/>
        <w:t>注：联通</w:t>
      </w:r>
      <w:r>
        <w:rPr>
          <w:spacing w:val="-54"/>
        </w:rPr>
        <w:t> </w:t>
      </w:r>
      <w:r>
        <w:rPr>
          <w:rFonts w:ascii="Arial" w:hAnsi="Arial" w:cs="Arial" w:eastAsia="Arial" w:hint="default"/>
        </w:rPr>
        <w:t>BVI</w:t>
      </w:r>
      <w:r>
        <w:rPr>
          <w:rFonts w:ascii="Arial" w:hAnsi="Arial" w:cs="Arial" w:eastAsia="Arial" w:hint="default"/>
          <w:spacing w:val="-9"/>
        </w:rPr>
        <w:t> </w:t>
      </w:r>
      <w:r>
        <w:rPr/>
        <w:t>公司并未开展实质业务，故此处仅列示联通红筹公司相关信息。</w:t>
      </w:r>
    </w:p>
    <w:p>
      <w:pPr>
        <w:spacing w:after="0" w:line="240" w:lineRule="auto"/>
        <w:jc w:val="left"/>
        <w:sectPr>
          <w:headerReference w:type="default" r:id="rId213"/>
          <w:pgSz w:w="11910" w:h="16840"/>
          <w:pgMar w:header="1188" w:footer="502" w:top="3580" w:bottom="700" w:left="1020" w:right="1140"/>
        </w:sectPr>
      </w:pPr>
    </w:p>
    <w:p>
      <w:pPr>
        <w:spacing w:line="240" w:lineRule="auto" w:before="7"/>
        <w:rPr>
          <w:rFonts w:ascii="宋体" w:hAnsi="宋体" w:cs="宋体" w:eastAsia="宋体" w:hint="default"/>
          <w:sz w:val="10"/>
          <w:szCs w:val="10"/>
        </w:rPr>
      </w:pPr>
    </w:p>
    <w:tbl>
      <w:tblPr>
        <w:tblW w:w="0" w:type="auto"/>
        <w:jc w:val="left"/>
        <w:tblInd w:w="364" w:type="dxa"/>
        <w:tblLayout w:type="fixed"/>
        <w:tblCellMar>
          <w:top w:w="0" w:type="dxa"/>
          <w:left w:w="0" w:type="dxa"/>
          <w:bottom w:w="0" w:type="dxa"/>
          <w:right w:w="0" w:type="dxa"/>
        </w:tblCellMar>
        <w:tblLook w:val="01E0"/>
      </w:tblPr>
      <w:tblGrid>
        <w:gridCol w:w="4074"/>
        <w:gridCol w:w="2688"/>
        <w:gridCol w:w="127"/>
        <w:gridCol w:w="2316"/>
      </w:tblGrid>
      <w:tr>
        <w:trPr>
          <w:trHeight w:val="259" w:hRule="exact"/>
        </w:trPr>
        <w:tc>
          <w:tcPr>
            <w:tcW w:w="4074" w:type="dxa"/>
            <w:tcBorders>
              <w:top w:val="nil" w:sz="6" w:space="0" w:color="auto"/>
              <w:left w:val="nil" w:sz="6" w:space="0" w:color="auto"/>
              <w:bottom w:val="nil" w:sz="6" w:space="0" w:color="auto"/>
              <w:right w:val="nil" w:sz="6" w:space="0" w:color="auto"/>
            </w:tcBorders>
          </w:tcPr>
          <w:p>
            <w:pPr>
              <w:pStyle w:val="TableParagraph"/>
              <w:spacing w:line="221" w:lineRule="exact"/>
              <w:ind w:left="200" w:right="0"/>
              <w:jc w:val="left"/>
              <w:rPr>
                <w:rFonts w:ascii="宋体" w:hAnsi="宋体" w:cs="宋体" w:eastAsia="宋体" w:hint="default"/>
                <w:sz w:val="22"/>
                <w:szCs w:val="22"/>
              </w:rPr>
            </w:pPr>
            <w:r>
              <w:rPr>
                <w:rFonts w:ascii="宋体" w:hAnsi="宋体" w:cs="宋体" w:eastAsia="宋体" w:hint="default"/>
                <w:sz w:val="22"/>
                <w:szCs w:val="22"/>
              </w:rPr>
              <w:t>项目</w:t>
            </w:r>
          </w:p>
        </w:tc>
        <w:tc>
          <w:tcPr>
            <w:tcW w:w="2688" w:type="dxa"/>
            <w:tcBorders>
              <w:top w:val="nil" w:sz="6" w:space="0" w:color="auto"/>
              <w:left w:val="nil" w:sz="6" w:space="0" w:color="auto"/>
              <w:bottom w:val="single" w:sz="6" w:space="0" w:color="000000"/>
              <w:right w:val="nil" w:sz="6" w:space="0" w:color="auto"/>
            </w:tcBorders>
          </w:tcPr>
          <w:p>
            <w:pPr>
              <w:pStyle w:val="TableParagraph"/>
              <w:spacing w:line="236" w:lineRule="exact"/>
              <w:ind w:right="55"/>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127"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single" w:sz="6" w:space="0" w:color="000000"/>
              <w:right w:val="nil" w:sz="6" w:space="0" w:color="auto"/>
            </w:tcBorders>
          </w:tcPr>
          <w:p>
            <w:pPr>
              <w:pStyle w:val="TableParagraph"/>
              <w:spacing w:line="236" w:lineRule="exact"/>
              <w:ind w:right="50"/>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477" w:hRule="exact"/>
        </w:trPr>
        <w:tc>
          <w:tcPr>
            <w:tcW w:w="4074" w:type="dxa"/>
            <w:tcBorders>
              <w:top w:val="nil" w:sz="6" w:space="0" w:color="auto"/>
              <w:left w:val="nil" w:sz="6" w:space="0" w:color="auto"/>
              <w:bottom w:val="nil" w:sz="6" w:space="0" w:color="auto"/>
              <w:right w:val="nil" w:sz="6" w:space="0" w:color="auto"/>
            </w:tcBorders>
          </w:tcPr>
          <w:p>
            <w:pPr>
              <w:pStyle w:val="TableParagraph"/>
              <w:spacing w:line="240" w:lineRule="auto" w:before="172"/>
              <w:ind w:left="200" w:right="0"/>
              <w:jc w:val="left"/>
              <w:rPr>
                <w:rFonts w:ascii="宋体" w:hAnsi="宋体" w:cs="宋体" w:eastAsia="宋体" w:hint="default"/>
                <w:sz w:val="20"/>
                <w:szCs w:val="20"/>
              </w:rPr>
            </w:pPr>
            <w:r>
              <w:rPr>
                <w:rFonts w:ascii="宋体" w:hAnsi="宋体" w:cs="宋体" w:eastAsia="宋体" w:hint="default"/>
                <w:sz w:val="20"/>
                <w:szCs w:val="20"/>
              </w:rPr>
              <w:t>合营企业</w:t>
            </w:r>
          </w:p>
        </w:tc>
        <w:tc>
          <w:tcPr>
            <w:tcW w:w="2688" w:type="dxa"/>
            <w:tcBorders>
              <w:top w:val="single" w:sz="6" w:space="0" w:color="000000"/>
              <w:left w:val="nil" w:sz="6" w:space="0" w:color="auto"/>
              <w:bottom w:val="nil" w:sz="6" w:space="0" w:color="auto"/>
              <w:right w:val="nil" w:sz="6" w:space="0" w:color="auto"/>
            </w:tcBorders>
          </w:tcPr>
          <w:p>
            <w:pPr/>
          </w:p>
        </w:tc>
        <w:tc>
          <w:tcPr>
            <w:tcW w:w="127" w:type="dxa"/>
            <w:tcBorders>
              <w:top w:val="nil" w:sz="6" w:space="0" w:color="auto"/>
              <w:left w:val="nil" w:sz="6" w:space="0" w:color="auto"/>
              <w:bottom w:val="nil" w:sz="6" w:space="0" w:color="auto"/>
              <w:right w:val="nil" w:sz="6" w:space="0" w:color="auto"/>
            </w:tcBorders>
          </w:tcPr>
          <w:p>
            <w:pPr/>
          </w:p>
        </w:tc>
        <w:tc>
          <w:tcPr>
            <w:tcW w:w="2316" w:type="dxa"/>
            <w:tcBorders>
              <w:top w:val="single" w:sz="6" w:space="0" w:color="000000"/>
              <w:left w:val="nil" w:sz="6" w:space="0" w:color="auto"/>
              <w:bottom w:val="nil" w:sz="6" w:space="0" w:color="auto"/>
              <w:right w:val="nil" w:sz="6" w:space="0" w:color="auto"/>
            </w:tcBorders>
          </w:tcPr>
          <w:p>
            <w:pPr/>
          </w:p>
        </w:tc>
      </w:tr>
      <w:tr>
        <w:trPr>
          <w:trHeight w:val="303" w:hRule="exact"/>
        </w:trPr>
        <w:tc>
          <w:tcPr>
            <w:tcW w:w="4074" w:type="dxa"/>
            <w:tcBorders>
              <w:top w:val="nil" w:sz="6" w:space="0" w:color="auto"/>
              <w:left w:val="nil" w:sz="6" w:space="0" w:color="auto"/>
              <w:bottom w:val="nil" w:sz="6" w:space="0" w:color="auto"/>
              <w:right w:val="nil" w:sz="6" w:space="0" w:color="auto"/>
            </w:tcBorders>
          </w:tcPr>
          <w:p>
            <w:pPr>
              <w:pStyle w:val="TableParagraph"/>
              <w:spacing w:line="259" w:lineRule="exact"/>
              <w:ind w:left="440" w:right="0"/>
              <w:jc w:val="left"/>
              <w:rPr>
                <w:rFonts w:ascii="宋体" w:hAnsi="宋体" w:cs="宋体" w:eastAsia="宋体" w:hint="default"/>
                <w:sz w:val="20"/>
                <w:szCs w:val="20"/>
              </w:rPr>
            </w:pPr>
            <w:r>
              <w:rPr>
                <w:rFonts w:ascii="Arial" w:hAnsi="Arial" w:cs="Arial" w:eastAsia="Arial" w:hint="default"/>
                <w:sz w:val="20"/>
                <w:szCs w:val="20"/>
              </w:rPr>
              <w:t>-</w:t>
            </w:r>
            <w:r>
              <w:rPr>
                <w:rFonts w:ascii="宋体" w:hAnsi="宋体" w:cs="宋体" w:eastAsia="宋体" w:hint="default"/>
                <w:sz w:val="20"/>
                <w:szCs w:val="20"/>
              </w:rPr>
              <w:t>重要的合营企业</w:t>
            </w:r>
          </w:p>
        </w:tc>
        <w:tc>
          <w:tcPr>
            <w:tcW w:w="2688"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74"/>
              <w:jc w:val="right"/>
              <w:rPr>
                <w:rFonts w:ascii="Arial" w:hAnsi="Arial" w:cs="Arial" w:eastAsia="Arial" w:hint="default"/>
                <w:sz w:val="20"/>
                <w:szCs w:val="20"/>
              </w:rPr>
            </w:pPr>
            <w:r>
              <w:rPr>
                <w:rFonts w:ascii="Arial"/>
                <w:spacing w:val="-2"/>
                <w:sz w:val="20"/>
              </w:rPr>
              <w:t>4,679,853,157</w:t>
            </w:r>
            <w:r>
              <w:rPr>
                <w:rFonts w:ascii="Arial"/>
                <w:sz w:val="20"/>
              </w:rPr>
            </w:r>
          </w:p>
        </w:tc>
        <w:tc>
          <w:tcPr>
            <w:tcW w:w="127"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69"/>
              <w:jc w:val="right"/>
              <w:rPr>
                <w:rFonts w:ascii="Arial" w:hAnsi="Arial" w:cs="Arial" w:eastAsia="Arial" w:hint="default"/>
                <w:sz w:val="20"/>
                <w:szCs w:val="20"/>
              </w:rPr>
            </w:pPr>
            <w:r>
              <w:rPr>
                <w:rFonts w:ascii="Arial"/>
                <w:spacing w:val="-2"/>
                <w:sz w:val="20"/>
              </w:rPr>
              <w:t>3,946,844,039</w:t>
            </w:r>
            <w:r>
              <w:rPr>
                <w:rFonts w:ascii="Arial"/>
                <w:sz w:val="20"/>
              </w:rPr>
            </w:r>
          </w:p>
        </w:tc>
      </w:tr>
      <w:tr>
        <w:trPr>
          <w:trHeight w:val="290" w:hRule="exact"/>
        </w:trPr>
        <w:tc>
          <w:tcPr>
            <w:tcW w:w="4074" w:type="dxa"/>
            <w:tcBorders>
              <w:top w:val="nil" w:sz="6" w:space="0" w:color="auto"/>
              <w:left w:val="nil" w:sz="6" w:space="0" w:color="auto"/>
              <w:bottom w:val="nil" w:sz="6" w:space="0" w:color="auto"/>
              <w:right w:val="nil" w:sz="6" w:space="0" w:color="auto"/>
            </w:tcBorders>
          </w:tcPr>
          <w:p>
            <w:pPr>
              <w:pStyle w:val="TableParagraph"/>
              <w:spacing w:line="249" w:lineRule="exact"/>
              <w:ind w:right="1951"/>
              <w:jc w:val="right"/>
              <w:rPr>
                <w:rFonts w:ascii="宋体" w:hAnsi="宋体" w:cs="宋体" w:eastAsia="宋体" w:hint="default"/>
                <w:sz w:val="20"/>
                <w:szCs w:val="20"/>
              </w:rPr>
            </w:pPr>
            <w:r>
              <w:rPr>
                <w:rFonts w:ascii="Arial" w:hAnsi="Arial" w:cs="Arial" w:eastAsia="Arial" w:hint="default"/>
                <w:spacing w:val="-2"/>
                <w:sz w:val="20"/>
                <w:szCs w:val="20"/>
              </w:rPr>
              <w:t>-</w:t>
            </w:r>
            <w:r>
              <w:rPr>
                <w:rFonts w:ascii="宋体" w:hAnsi="宋体" w:cs="宋体" w:eastAsia="宋体" w:hint="default"/>
                <w:spacing w:val="-2"/>
                <w:sz w:val="20"/>
                <w:szCs w:val="20"/>
              </w:rPr>
              <w:t>不重要的合营企业</w:t>
            </w:r>
          </w:p>
        </w:tc>
        <w:tc>
          <w:tcPr>
            <w:tcW w:w="268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74"/>
              <w:jc w:val="right"/>
              <w:rPr>
                <w:rFonts w:ascii="Arial" w:hAnsi="Arial" w:cs="Arial" w:eastAsia="Arial" w:hint="default"/>
                <w:sz w:val="20"/>
                <w:szCs w:val="20"/>
              </w:rPr>
            </w:pPr>
            <w:r>
              <w:rPr>
                <w:rFonts w:ascii="Arial"/>
                <w:spacing w:val="-2"/>
                <w:sz w:val="20"/>
              </w:rPr>
              <w:t>99,022,220</w:t>
            </w:r>
            <w:r>
              <w:rPr>
                <w:rFonts w:ascii="Arial"/>
                <w:sz w:val="20"/>
              </w:rPr>
            </w:r>
          </w:p>
        </w:tc>
        <w:tc>
          <w:tcPr>
            <w:tcW w:w="127"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74"/>
              <w:jc w:val="right"/>
              <w:rPr>
                <w:rFonts w:ascii="Arial" w:hAnsi="Arial" w:cs="Arial" w:eastAsia="Arial" w:hint="default"/>
                <w:sz w:val="20"/>
                <w:szCs w:val="20"/>
              </w:rPr>
            </w:pPr>
            <w:r>
              <w:rPr>
                <w:rFonts w:ascii="Arial"/>
                <w:spacing w:val="-2"/>
                <w:sz w:val="20"/>
              </w:rPr>
              <w:t>61,205,901</w:t>
            </w:r>
            <w:r>
              <w:rPr>
                <w:rFonts w:ascii="Arial"/>
                <w:sz w:val="20"/>
              </w:rPr>
            </w:r>
          </w:p>
        </w:tc>
      </w:tr>
      <w:tr>
        <w:trPr>
          <w:trHeight w:val="278" w:hRule="exact"/>
        </w:trPr>
        <w:tc>
          <w:tcPr>
            <w:tcW w:w="4074" w:type="dxa"/>
            <w:tcBorders>
              <w:top w:val="nil" w:sz="6" w:space="0" w:color="auto"/>
              <w:left w:val="nil" w:sz="6" w:space="0" w:color="auto"/>
              <w:bottom w:val="nil" w:sz="6" w:space="0" w:color="auto"/>
              <w:right w:val="nil" w:sz="6" w:space="0" w:color="auto"/>
            </w:tcBorders>
          </w:tcPr>
          <w:p>
            <w:pPr>
              <w:pStyle w:val="TableParagraph"/>
              <w:spacing w:line="232" w:lineRule="exact"/>
              <w:ind w:left="200" w:right="0"/>
              <w:jc w:val="left"/>
              <w:rPr>
                <w:rFonts w:ascii="宋体" w:hAnsi="宋体" w:cs="宋体" w:eastAsia="宋体" w:hint="default"/>
                <w:sz w:val="20"/>
                <w:szCs w:val="20"/>
              </w:rPr>
            </w:pPr>
            <w:r>
              <w:rPr>
                <w:rFonts w:ascii="宋体" w:hAnsi="宋体" w:cs="宋体" w:eastAsia="宋体" w:hint="default"/>
                <w:sz w:val="20"/>
                <w:szCs w:val="20"/>
              </w:rPr>
              <w:t>联营企业</w:t>
            </w:r>
          </w:p>
        </w:tc>
        <w:tc>
          <w:tcPr>
            <w:tcW w:w="2688" w:type="dxa"/>
            <w:tcBorders>
              <w:top w:val="nil" w:sz="6" w:space="0" w:color="auto"/>
              <w:left w:val="nil" w:sz="6" w:space="0" w:color="auto"/>
              <w:bottom w:val="nil" w:sz="6" w:space="0" w:color="auto"/>
              <w:right w:val="nil" w:sz="6" w:space="0" w:color="auto"/>
            </w:tcBorders>
          </w:tcPr>
          <w:p>
            <w:pPr/>
          </w:p>
        </w:tc>
        <w:tc>
          <w:tcPr>
            <w:tcW w:w="127"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
        </w:tc>
      </w:tr>
      <w:tr>
        <w:trPr>
          <w:trHeight w:val="303" w:hRule="exact"/>
        </w:trPr>
        <w:tc>
          <w:tcPr>
            <w:tcW w:w="4074" w:type="dxa"/>
            <w:tcBorders>
              <w:top w:val="nil" w:sz="6" w:space="0" w:color="auto"/>
              <w:left w:val="nil" w:sz="6" w:space="0" w:color="auto"/>
              <w:bottom w:val="nil" w:sz="6" w:space="0" w:color="auto"/>
              <w:right w:val="nil" w:sz="6" w:space="0" w:color="auto"/>
            </w:tcBorders>
          </w:tcPr>
          <w:p>
            <w:pPr>
              <w:pStyle w:val="TableParagraph"/>
              <w:spacing w:line="261" w:lineRule="exact"/>
              <w:ind w:left="449" w:right="0"/>
              <w:jc w:val="left"/>
              <w:rPr>
                <w:rFonts w:ascii="宋体" w:hAnsi="宋体" w:cs="宋体" w:eastAsia="宋体" w:hint="default"/>
                <w:sz w:val="20"/>
                <w:szCs w:val="20"/>
              </w:rPr>
            </w:pPr>
            <w:r>
              <w:rPr>
                <w:rFonts w:ascii="Arial" w:hAnsi="Arial" w:cs="Arial" w:eastAsia="Arial" w:hint="default"/>
                <w:sz w:val="20"/>
                <w:szCs w:val="20"/>
              </w:rPr>
              <w:t>-</w:t>
            </w:r>
            <w:r>
              <w:rPr>
                <w:rFonts w:ascii="宋体" w:hAnsi="宋体" w:cs="宋体" w:eastAsia="宋体" w:hint="default"/>
                <w:sz w:val="20"/>
                <w:szCs w:val="20"/>
              </w:rPr>
              <w:t>重要的联营企业</w:t>
            </w:r>
          </w:p>
        </w:tc>
        <w:tc>
          <w:tcPr>
            <w:tcW w:w="268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73"/>
              <w:jc w:val="right"/>
              <w:rPr>
                <w:rFonts w:ascii="Arial" w:hAnsi="Arial" w:cs="Arial" w:eastAsia="Arial" w:hint="default"/>
                <w:sz w:val="20"/>
                <w:szCs w:val="20"/>
              </w:rPr>
            </w:pPr>
            <w:r>
              <w:rPr>
                <w:rFonts w:ascii="Arial"/>
                <w:spacing w:val="-2"/>
                <w:sz w:val="20"/>
              </w:rPr>
              <w:t>36,176,152,463</w:t>
            </w:r>
            <w:r>
              <w:rPr>
                <w:rFonts w:ascii="Arial"/>
                <w:sz w:val="20"/>
              </w:rPr>
            </w:r>
          </w:p>
        </w:tc>
        <w:tc>
          <w:tcPr>
            <w:tcW w:w="127"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69"/>
              <w:jc w:val="right"/>
              <w:rPr>
                <w:rFonts w:ascii="Arial" w:hAnsi="Arial" w:cs="Arial" w:eastAsia="Arial" w:hint="default"/>
                <w:sz w:val="20"/>
                <w:szCs w:val="20"/>
              </w:rPr>
            </w:pPr>
            <w:r>
              <w:rPr>
                <w:rFonts w:ascii="Arial"/>
                <w:spacing w:val="-2"/>
                <w:sz w:val="20"/>
              </w:rPr>
              <w:t>35,498,034,658</w:t>
            </w:r>
            <w:r>
              <w:rPr>
                <w:rFonts w:ascii="Arial"/>
                <w:sz w:val="20"/>
              </w:rPr>
            </w:r>
          </w:p>
        </w:tc>
      </w:tr>
      <w:tr>
        <w:trPr>
          <w:trHeight w:val="442" w:hRule="exact"/>
        </w:trPr>
        <w:tc>
          <w:tcPr>
            <w:tcW w:w="4074" w:type="dxa"/>
            <w:tcBorders>
              <w:top w:val="nil" w:sz="6" w:space="0" w:color="auto"/>
              <w:left w:val="nil" w:sz="6" w:space="0" w:color="auto"/>
              <w:bottom w:val="nil" w:sz="6" w:space="0" w:color="auto"/>
              <w:right w:val="nil" w:sz="6" w:space="0" w:color="auto"/>
            </w:tcBorders>
          </w:tcPr>
          <w:p>
            <w:pPr>
              <w:pStyle w:val="TableParagraph"/>
              <w:spacing w:line="247" w:lineRule="exact"/>
              <w:ind w:right="1951"/>
              <w:jc w:val="right"/>
              <w:rPr>
                <w:rFonts w:ascii="宋体" w:hAnsi="宋体" w:cs="宋体" w:eastAsia="宋体" w:hint="default"/>
                <w:sz w:val="20"/>
                <w:szCs w:val="20"/>
              </w:rPr>
            </w:pPr>
            <w:r>
              <w:rPr>
                <w:rFonts w:ascii="Arial" w:hAnsi="Arial" w:cs="Arial" w:eastAsia="Arial" w:hint="default"/>
                <w:spacing w:val="-2"/>
                <w:sz w:val="20"/>
                <w:szCs w:val="20"/>
              </w:rPr>
              <w:t>-</w:t>
            </w:r>
            <w:r>
              <w:rPr>
                <w:rFonts w:ascii="宋体" w:hAnsi="宋体" w:cs="宋体" w:eastAsia="宋体" w:hint="default"/>
                <w:spacing w:val="-2"/>
                <w:sz w:val="20"/>
                <w:szCs w:val="20"/>
              </w:rPr>
              <w:t>不重要的联营企业</w:t>
            </w:r>
          </w:p>
        </w:tc>
        <w:tc>
          <w:tcPr>
            <w:tcW w:w="2688"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74"/>
              <w:jc w:val="right"/>
              <w:rPr>
                <w:rFonts w:ascii="Arial" w:hAnsi="Arial" w:cs="Arial" w:eastAsia="Arial" w:hint="default"/>
                <w:sz w:val="20"/>
                <w:szCs w:val="20"/>
              </w:rPr>
            </w:pPr>
            <w:r>
              <w:rPr>
                <w:rFonts w:ascii="Arial"/>
                <w:spacing w:val="-2"/>
                <w:sz w:val="20"/>
              </w:rPr>
              <w:t>275,294,479</w:t>
            </w:r>
            <w:r>
              <w:rPr>
                <w:rFonts w:ascii="Arial"/>
                <w:sz w:val="20"/>
              </w:rPr>
            </w:r>
          </w:p>
        </w:tc>
        <w:tc>
          <w:tcPr>
            <w:tcW w:w="127"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74"/>
              <w:jc w:val="right"/>
              <w:rPr>
                <w:rFonts w:ascii="Arial" w:hAnsi="Arial" w:cs="Arial" w:eastAsia="Arial" w:hint="default"/>
                <w:sz w:val="20"/>
                <w:szCs w:val="20"/>
              </w:rPr>
            </w:pPr>
            <w:r>
              <w:rPr>
                <w:rFonts w:ascii="Arial"/>
                <w:spacing w:val="-2"/>
                <w:sz w:val="20"/>
              </w:rPr>
              <w:t>223,748,717</w:t>
            </w:r>
            <w:r>
              <w:rPr>
                <w:rFonts w:ascii="Arial"/>
                <w:sz w:val="20"/>
              </w:rPr>
            </w:r>
          </w:p>
        </w:tc>
      </w:tr>
      <w:tr>
        <w:trPr>
          <w:trHeight w:val="381" w:hRule="exact"/>
        </w:trPr>
        <w:tc>
          <w:tcPr>
            <w:tcW w:w="4074" w:type="dxa"/>
            <w:tcBorders>
              <w:top w:val="nil" w:sz="6" w:space="0" w:color="auto"/>
              <w:left w:val="nil" w:sz="6" w:space="0" w:color="auto"/>
              <w:bottom w:val="nil" w:sz="6" w:space="0" w:color="auto"/>
              <w:right w:val="nil" w:sz="6" w:space="0" w:color="auto"/>
            </w:tcBorders>
          </w:tcPr>
          <w:p>
            <w:pPr>
              <w:pStyle w:val="TableParagraph"/>
              <w:spacing w:line="240" w:lineRule="auto" w:before="9"/>
              <w:ind w:left="224" w:right="0"/>
              <w:jc w:val="left"/>
              <w:rPr>
                <w:rFonts w:ascii="宋体" w:hAnsi="宋体" w:cs="宋体" w:eastAsia="宋体" w:hint="default"/>
                <w:sz w:val="20"/>
                <w:szCs w:val="20"/>
              </w:rPr>
            </w:pPr>
            <w:r>
              <w:rPr>
                <w:rFonts w:ascii="宋体" w:hAnsi="宋体" w:cs="宋体" w:eastAsia="宋体" w:hint="default"/>
                <w:sz w:val="20"/>
                <w:szCs w:val="20"/>
              </w:rPr>
              <w:t>小计</w:t>
            </w:r>
          </w:p>
        </w:tc>
        <w:tc>
          <w:tcPr>
            <w:tcW w:w="2688" w:type="dxa"/>
            <w:tcBorders>
              <w:top w:val="single" w:sz="6" w:space="0" w:color="000000"/>
              <w:left w:val="nil" w:sz="6" w:space="0" w:color="auto"/>
              <w:bottom w:val="nil" w:sz="6" w:space="0" w:color="auto"/>
              <w:right w:val="nil" w:sz="6" w:space="0" w:color="auto"/>
            </w:tcBorders>
          </w:tcPr>
          <w:p>
            <w:pPr>
              <w:pStyle w:val="TableParagraph"/>
              <w:spacing w:line="240" w:lineRule="auto" w:before="62"/>
              <w:ind w:right="73"/>
              <w:jc w:val="right"/>
              <w:rPr>
                <w:rFonts w:ascii="Arial" w:hAnsi="Arial" w:cs="Arial" w:eastAsia="Arial" w:hint="default"/>
                <w:sz w:val="20"/>
                <w:szCs w:val="20"/>
              </w:rPr>
            </w:pPr>
            <w:r>
              <w:rPr>
                <w:rFonts w:ascii="Arial"/>
                <w:spacing w:val="-2"/>
                <w:sz w:val="20"/>
              </w:rPr>
              <w:t>41,230,322,319</w:t>
            </w:r>
            <w:r>
              <w:rPr>
                <w:rFonts w:ascii="Arial"/>
                <w:sz w:val="20"/>
              </w:rPr>
            </w:r>
          </w:p>
        </w:tc>
        <w:tc>
          <w:tcPr>
            <w:tcW w:w="127" w:type="dxa"/>
            <w:tcBorders>
              <w:top w:val="nil" w:sz="6" w:space="0" w:color="auto"/>
              <w:left w:val="nil" w:sz="6" w:space="0" w:color="auto"/>
              <w:bottom w:val="nil" w:sz="6" w:space="0" w:color="auto"/>
              <w:right w:val="nil" w:sz="6" w:space="0" w:color="auto"/>
            </w:tcBorders>
          </w:tcPr>
          <w:p>
            <w:pPr/>
          </w:p>
        </w:tc>
        <w:tc>
          <w:tcPr>
            <w:tcW w:w="2316" w:type="dxa"/>
            <w:tcBorders>
              <w:top w:val="single" w:sz="6" w:space="0" w:color="000000"/>
              <w:left w:val="nil" w:sz="6" w:space="0" w:color="auto"/>
              <w:bottom w:val="nil" w:sz="6" w:space="0" w:color="auto"/>
              <w:right w:val="nil" w:sz="6" w:space="0" w:color="auto"/>
            </w:tcBorders>
          </w:tcPr>
          <w:p>
            <w:pPr>
              <w:pStyle w:val="TableParagraph"/>
              <w:spacing w:line="240" w:lineRule="auto" w:before="62"/>
              <w:ind w:right="69"/>
              <w:jc w:val="right"/>
              <w:rPr>
                <w:rFonts w:ascii="Arial" w:hAnsi="Arial" w:cs="Arial" w:eastAsia="Arial" w:hint="default"/>
                <w:sz w:val="20"/>
                <w:szCs w:val="20"/>
              </w:rPr>
            </w:pPr>
            <w:r>
              <w:rPr>
                <w:rFonts w:ascii="Arial"/>
                <w:spacing w:val="-2"/>
                <w:sz w:val="20"/>
              </w:rPr>
              <w:t>39,729,833,315</w:t>
            </w:r>
            <w:r>
              <w:rPr>
                <w:rFonts w:ascii="Arial"/>
                <w:sz w:val="20"/>
              </w:rPr>
            </w:r>
          </w:p>
        </w:tc>
      </w:tr>
      <w:tr>
        <w:trPr>
          <w:trHeight w:val="458" w:hRule="exact"/>
        </w:trPr>
        <w:tc>
          <w:tcPr>
            <w:tcW w:w="407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00" w:right="0"/>
              <w:jc w:val="left"/>
              <w:rPr>
                <w:rFonts w:ascii="宋体" w:hAnsi="宋体" w:cs="宋体" w:eastAsia="宋体" w:hint="default"/>
                <w:sz w:val="20"/>
                <w:szCs w:val="20"/>
              </w:rPr>
            </w:pPr>
            <w:r>
              <w:rPr>
                <w:rFonts w:ascii="宋体" w:hAnsi="宋体" w:cs="宋体" w:eastAsia="宋体" w:hint="default"/>
                <w:sz w:val="20"/>
                <w:szCs w:val="20"/>
              </w:rPr>
              <w:t>减：减值准备</w:t>
            </w:r>
          </w:p>
        </w:tc>
        <w:tc>
          <w:tcPr>
            <w:tcW w:w="2688" w:type="dxa"/>
            <w:tcBorders>
              <w:top w:val="nil" w:sz="6" w:space="0" w:color="auto"/>
              <w:left w:val="nil" w:sz="6" w:space="0" w:color="auto"/>
              <w:bottom w:val="nil" w:sz="6" w:space="0" w:color="auto"/>
              <w:right w:val="nil" w:sz="6" w:space="0" w:color="auto"/>
            </w:tcBorders>
          </w:tcPr>
          <w:p>
            <w:pPr>
              <w:pStyle w:val="TableParagraph"/>
              <w:tabs>
                <w:tab w:pos="1535" w:val="left" w:leader="none"/>
              </w:tabs>
              <w:spacing w:line="240" w:lineRule="auto" w:before="86"/>
              <w:ind w:right="1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(13,904,437)</w:t>
            </w:r>
            <w:r>
              <w:rPr>
                <w:rFonts w:ascii="Arial"/>
                <w:spacing w:val="-2"/>
                <w:sz w:val="20"/>
              </w:rPr>
            </w:r>
            <w:r>
              <w:rPr>
                <w:rFonts w:ascii="Arial"/>
                <w:sz w:val="20"/>
              </w:rPr>
            </w:r>
          </w:p>
        </w:tc>
        <w:tc>
          <w:tcPr>
            <w:tcW w:w="127"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tabs>
                <w:tab w:pos="1267" w:val="left" w:leader="none"/>
              </w:tabs>
              <w:spacing w:line="240" w:lineRule="auto" w:before="86"/>
              <w:ind w:right="1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(5,958,090)</w:t>
            </w:r>
            <w:r>
              <w:rPr>
                <w:rFonts w:ascii="Arial"/>
                <w:spacing w:val="-2"/>
                <w:sz w:val="20"/>
              </w:rPr>
            </w:r>
            <w:r>
              <w:rPr>
                <w:rFonts w:ascii="Arial"/>
                <w:sz w:val="20"/>
              </w:rPr>
            </w:r>
          </w:p>
        </w:tc>
      </w:tr>
      <w:tr>
        <w:trPr>
          <w:trHeight w:val="404" w:hRule="exact"/>
        </w:trPr>
        <w:tc>
          <w:tcPr>
            <w:tcW w:w="4074" w:type="dxa"/>
            <w:tcBorders>
              <w:top w:val="nil" w:sz="6" w:space="0" w:color="auto"/>
              <w:left w:val="nil" w:sz="6" w:space="0" w:color="auto"/>
              <w:bottom w:val="nil" w:sz="6" w:space="0" w:color="auto"/>
              <w:right w:val="nil" w:sz="6" w:space="0" w:color="auto"/>
            </w:tcBorders>
          </w:tcPr>
          <w:p>
            <w:pPr>
              <w:pStyle w:val="TableParagraph"/>
              <w:spacing w:line="240" w:lineRule="auto" w:before="86"/>
              <w:ind w:left="224"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2688" w:type="dxa"/>
            <w:tcBorders>
              <w:top w:val="nil" w:sz="6" w:space="0" w:color="auto"/>
              <w:left w:val="nil" w:sz="6" w:space="0" w:color="auto"/>
              <w:bottom w:val="single" w:sz="17" w:space="0" w:color="000000"/>
              <w:right w:val="nil" w:sz="6" w:space="0" w:color="auto"/>
            </w:tcBorders>
          </w:tcPr>
          <w:p>
            <w:pPr>
              <w:pStyle w:val="TableParagraph"/>
              <w:spacing w:line="240" w:lineRule="auto" w:before="146"/>
              <w:ind w:right="59"/>
              <w:jc w:val="right"/>
              <w:rPr>
                <w:rFonts w:ascii="Arial" w:hAnsi="Arial" w:cs="Arial" w:eastAsia="Arial" w:hint="default"/>
                <w:sz w:val="20"/>
                <w:szCs w:val="20"/>
              </w:rPr>
            </w:pPr>
            <w:r>
              <w:rPr>
                <w:rFonts w:ascii="Arial"/>
                <w:spacing w:val="-2"/>
                <w:sz w:val="20"/>
              </w:rPr>
              <w:t>41,216,417,882</w:t>
            </w:r>
            <w:r>
              <w:rPr>
                <w:rFonts w:ascii="Arial"/>
                <w:sz w:val="20"/>
              </w:rPr>
            </w:r>
          </w:p>
        </w:tc>
        <w:tc>
          <w:tcPr>
            <w:tcW w:w="127"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single" w:sz="17" w:space="0" w:color="000000"/>
              <w:right w:val="nil" w:sz="6" w:space="0" w:color="auto"/>
            </w:tcBorders>
          </w:tcPr>
          <w:p>
            <w:pPr>
              <w:pStyle w:val="TableParagraph"/>
              <w:spacing w:line="240" w:lineRule="auto" w:before="146"/>
              <w:ind w:right="69"/>
              <w:jc w:val="right"/>
              <w:rPr>
                <w:rFonts w:ascii="Arial" w:hAnsi="Arial" w:cs="Arial" w:eastAsia="Arial" w:hint="default"/>
                <w:sz w:val="20"/>
                <w:szCs w:val="20"/>
              </w:rPr>
            </w:pPr>
            <w:r>
              <w:rPr>
                <w:rFonts w:ascii="Arial"/>
                <w:spacing w:val="-2"/>
                <w:sz w:val="20"/>
              </w:rPr>
              <w:t>39,723,875,225</w:t>
            </w:r>
            <w:r>
              <w:rPr>
                <w:rFonts w:ascii="Arial"/>
                <w:sz w:val="20"/>
              </w:rPr>
            </w:r>
          </w:p>
        </w:tc>
      </w:tr>
    </w:tbl>
    <w:p>
      <w:pPr>
        <w:spacing w:line="240" w:lineRule="auto" w:before="2"/>
        <w:rPr>
          <w:rFonts w:ascii="宋体" w:hAnsi="宋体" w:cs="宋体" w:eastAsia="宋体" w:hint="default"/>
          <w:sz w:val="14"/>
          <w:szCs w:val="14"/>
        </w:rPr>
      </w:pPr>
    </w:p>
    <w:p>
      <w:pPr>
        <w:pStyle w:val="BodyText"/>
        <w:spacing w:line="240" w:lineRule="auto" w:before="32"/>
        <w:ind w:left="112" w:right="0"/>
        <w:jc w:val="left"/>
      </w:pPr>
      <w:r>
        <w:rPr>
          <w:rFonts w:ascii="Arial" w:hAnsi="Arial" w:cs="Arial" w:eastAsia="Arial" w:hint="default"/>
        </w:rPr>
        <w:t>3</w:t>
      </w:r>
      <w:r>
        <w:rPr/>
        <w:t>、</w:t>
      </w:r>
      <w:r>
        <w:rPr>
          <w:spacing w:val="-29"/>
        </w:rPr>
        <w:t> </w:t>
      </w:r>
      <w:r>
        <w:rPr/>
        <w:t>重要合营企业的主要财务信息：</w:t>
      </w:r>
    </w:p>
    <w:p>
      <w:pPr>
        <w:spacing w:line="240" w:lineRule="auto" w:before="11"/>
        <w:rPr>
          <w:rFonts w:ascii="宋体" w:hAnsi="宋体" w:cs="宋体" w:eastAsia="宋体" w:hint="default"/>
          <w:sz w:val="11"/>
          <w:szCs w:val="11"/>
        </w:rPr>
      </w:pPr>
    </w:p>
    <w:p>
      <w:pPr>
        <w:spacing w:before="39"/>
        <w:ind w:left="0" w:right="2594" w:firstLine="0"/>
        <w:jc w:val="right"/>
        <w:rPr>
          <w:rFonts w:ascii="宋体" w:hAnsi="宋体" w:cs="宋体" w:eastAsia="宋体" w:hint="default"/>
          <w:sz w:val="20"/>
          <w:szCs w:val="20"/>
        </w:rPr>
      </w:pPr>
      <w:r>
        <w:rPr/>
        <w:pict>
          <v:shape style="position:absolute;margin-left:67.760002pt;margin-top:4.967179pt;width:454.25pt;height:220.1pt;mso-position-horizontal-relative:page;mso-position-vertical-relative:paragraph;z-index:15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982"/>
                    <w:gridCol w:w="2722"/>
                    <w:gridCol w:w="235"/>
                    <w:gridCol w:w="2146"/>
                  </w:tblGrid>
                  <w:tr>
                    <w:trPr>
                      <w:trHeight w:val="238" w:hRule="exact"/>
                    </w:trPr>
                    <w:tc>
                      <w:tcPr>
                        <w:tcW w:w="3982" w:type="dxa"/>
                        <w:tcBorders>
                          <w:top w:val="nil" w:sz="6" w:space="0" w:color="auto"/>
                          <w:left w:val="nil" w:sz="6" w:space="0" w:color="auto"/>
                          <w:bottom w:val="nil" w:sz="6" w:space="0" w:color="auto"/>
                          <w:right w:val="nil" w:sz="6" w:space="0" w:color="auto"/>
                        </w:tcBorders>
                      </w:tcPr>
                      <w:p>
                        <w:pPr/>
                      </w:p>
                    </w:tc>
                    <w:tc>
                      <w:tcPr>
                        <w:tcW w:w="2722" w:type="dxa"/>
                        <w:tcBorders>
                          <w:top w:val="nil" w:sz="6" w:space="0" w:color="auto"/>
                          <w:left w:val="nil" w:sz="6" w:space="0" w:color="auto"/>
                          <w:bottom w:val="single" w:sz="6" w:space="0" w:color="000000"/>
                          <w:right w:val="nil" w:sz="6" w:space="0" w:color="auto"/>
                        </w:tcBorders>
                      </w:tcPr>
                      <w:p>
                        <w:pPr>
                          <w:pStyle w:val="TableParagraph"/>
                          <w:spacing w:line="201" w:lineRule="exact"/>
                          <w:ind w:right="167"/>
                          <w:jc w:val="right"/>
                          <w:rPr>
                            <w:rFonts w:ascii="宋体" w:hAnsi="宋体" w:cs="宋体" w:eastAsia="宋体" w:hint="default"/>
                            <w:sz w:val="20"/>
                            <w:szCs w:val="20"/>
                          </w:rPr>
                        </w:pPr>
                        <w:r>
                          <w:rPr>
                            <w:rFonts w:ascii="宋体" w:hAnsi="宋体" w:cs="宋体" w:eastAsia="宋体" w:hint="default"/>
                            <w:sz w:val="20"/>
                            <w:szCs w:val="20"/>
                          </w:rPr>
                          <w:t>合营</w:t>
                        </w:r>
                      </w:p>
                    </w:tc>
                    <w:tc>
                      <w:tcPr>
                        <w:tcW w:w="235" w:type="dxa"/>
                        <w:tcBorders>
                          <w:top w:val="nil" w:sz="6" w:space="0" w:color="auto"/>
                          <w:left w:val="nil" w:sz="6" w:space="0" w:color="auto"/>
                          <w:bottom w:val="single" w:sz="6" w:space="0" w:color="000000"/>
                          <w:right w:val="nil" w:sz="6" w:space="0" w:color="auto"/>
                        </w:tcBorders>
                      </w:tcPr>
                      <w:p>
                        <w:pPr>
                          <w:pStyle w:val="TableParagraph"/>
                          <w:spacing w:line="201" w:lineRule="exact"/>
                          <w:ind w:left="33" w:right="-1"/>
                          <w:jc w:val="left"/>
                          <w:rPr>
                            <w:rFonts w:ascii="宋体" w:hAnsi="宋体" w:cs="宋体" w:eastAsia="宋体" w:hint="default"/>
                            <w:sz w:val="20"/>
                            <w:szCs w:val="20"/>
                          </w:rPr>
                        </w:pPr>
                        <w:r>
                          <w:rPr>
                            <w:rFonts w:ascii="宋体" w:hAnsi="宋体" w:cs="宋体" w:eastAsia="宋体" w:hint="default"/>
                            <w:w w:val="100"/>
                            <w:sz w:val="20"/>
                            <w:szCs w:val="20"/>
                          </w:rPr>
                          <w:t>业</w:t>
                        </w:r>
                      </w:p>
                    </w:tc>
                    <w:tc>
                      <w:tcPr>
                        <w:tcW w:w="2146" w:type="dxa"/>
                        <w:tcBorders>
                          <w:top w:val="nil" w:sz="6" w:space="0" w:color="auto"/>
                          <w:left w:val="nil" w:sz="6" w:space="0" w:color="auto"/>
                          <w:bottom w:val="single" w:sz="6" w:space="0" w:color="000000"/>
                          <w:right w:val="nil" w:sz="6" w:space="0" w:color="auto"/>
                        </w:tcBorders>
                      </w:tcPr>
                      <w:p>
                        <w:pPr/>
                      </w:p>
                    </w:tc>
                  </w:tr>
                  <w:tr>
                    <w:trPr>
                      <w:trHeight w:val="302" w:hRule="exact"/>
                    </w:trPr>
                    <w:tc>
                      <w:tcPr>
                        <w:tcW w:w="9085"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4"/>
                          <w:ind w:left="5532" w:right="0"/>
                          <w:jc w:val="left"/>
                          <w:rPr>
                            <w:rFonts w:ascii="宋体" w:hAnsi="宋体" w:cs="宋体" w:eastAsia="宋体" w:hint="default"/>
                            <w:sz w:val="20"/>
                            <w:szCs w:val="20"/>
                          </w:rPr>
                        </w:pPr>
                        <w:r>
                          <w:rPr>
                            <w:rFonts w:ascii="宋体" w:hAnsi="宋体" w:cs="宋体" w:eastAsia="宋体" w:hint="default"/>
                            <w:sz w:val="20"/>
                            <w:szCs w:val="20"/>
                          </w:rPr>
                          <w:t>招联消费金融有限公司</w:t>
                        </w:r>
                      </w:p>
                    </w:tc>
                  </w:tr>
                  <w:tr>
                    <w:trPr>
                      <w:trHeight w:val="298" w:hRule="exact"/>
                    </w:trPr>
                    <w:tc>
                      <w:tcPr>
                        <w:tcW w:w="3982" w:type="dxa"/>
                        <w:tcBorders>
                          <w:top w:val="nil" w:sz="6" w:space="0" w:color="auto"/>
                          <w:left w:val="nil" w:sz="6" w:space="0" w:color="auto"/>
                          <w:bottom w:val="nil" w:sz="6" w:space="0" w:color="auto"/>
                          <w:right w:val="nil" w:sz="6" w:space="0" w:color="auto"/>
                        </w:tcBorders>
                      </w:tcPr>
                      <w:p>
                        <w:pPr/>
                      </w:p>
                    </w:tc>
                    <w:tc>
                      <w:tcPr>
                        <w:tcW w:w="2722" w:type="dxa"/>
                        <w:tcBorders>
                          <w:top w:val="single" w:sz="6" w:space="0" w:color="000000"/>
                          <w:left w:val="nil" w:sz="6" w:space="0" w:color="auto"/>
                          <w:bottom w:val="single" w:sz="6" w:space="0" w:color="000000"/>
                          <w:right w:val="nil" w:sz="6" w:space="0" w:color="auto"/>
                        </w:tcBorders>
                      </w:tcPr>
                      <w:p>
                        <w:pPr>
                          <w:pStyle w:val="TableParagraph"/>
                          <w:spacing w:line="268" w:lineRule="exact"/>
                          <w:ind w:left="1127" w:right="0"/>
                          <w:jc w:val="left"/>
                          <w:rPr>
                            <w:rFonts w:ascii="宋体" w:hAnsi="宋体" w:cs="宋体" w:eastAsia="宋体" w:hint="default"/>
                            <w:sz w:val="20"/>
                            <w:szCs w:val="20"/>
                          </w:rPr>
                        </w:pPr>
                        <w:r>
                          <w:rPr>
                            <w:rFonts w:ascii="Arial" w:hAnsi="Arial" w:cs="Arial" w:eastAsia="Arial" w:hint="default"/>
                            <w:sz w:val="20"/>
                            <w:szCs w:val="20"/>
                          </w:rPr>
                          <w:t>2019</w:t>
                        </w:r>
                        <w:r>
                          <w:rPr>
                            <w:rFonts w:ascii="宋体" w:hAnsi="宋体" w:cs="宋体" w:eastAsia="宋体" w:hint="default"/>
                            <w:sz w:val="20"/>
                            <w:szCs w:val="20"/>
                          </w:rPr>
                          <w:t>年</w:t>
                        </w:r>
                        <w:r>
                          <w:rPr>
                            <w:rFonts w:ascii="Arial" w:hAnsi="Arial" w:cs="Arial" w:eastAsia="Arial" w:hint="default"/>
                            <w:sz w:val="20"/>
                            <w:szCs w:val="20"/>
                          </w:rPr>
                          <w:t>12</w:t>
                        </w:r>
                        <w:r>
                          <w:rPr>
                            <w:rFonts w:ascii="宋体" w:hAnsi="宋体" w:cs="宋体" w:eastAsia="宋体" w:hint="default"/>
                            <w:sz w:val="20"/>
                            <w:szCs w:val="20"/>
                          </w:rPr>
                          <w:t>月</w:t>
                        </w:r>
                        <w:r>
                          <w:rPr>
                            <w:rFonts w:ascii="Arial" w:hAnsi="Arial" w:cs="Arial" w:eastAsia="Arial" w:hint="default"/>
                            <w:sz w:val="20"/>
                            <w:szCs w:val="20"/>
                          </w:rPr>
                          <w:t>31</w:t>
                        </w:r>
                        <w:r>
                          <w:rPr>
                            <w:rFonts w:ascii="宋体" w:hAnsi="宋体" w:cs="宋体" w:eastAsia="宋体" w:hint="default"/>
                            <w:sz w:val="20"/>
                            <w:szCs w:val="20"/>
                          </w:rPr>
                          <w:t>日</w:t>
                        </w:r>
                      </w:p>
                    </w:tc>
                    <w:tc>
                      <w:tcPr>
                        <w:tcW w:w="235" w:type="dxa"/>
                        <w:tcBorders>
                          <w:top w:val="single" w:sz="6" w:space="0" w:color="000000"/>
                          <w:left w:val="nil" w:sz="6" w:space="0" w:color="auto"/>
                          <w:bottom w:val="nil" w:sz="6" w:space="0" w:color="auto"/>
                          <w:right w:val="nil" w:sz="6" w:space="0" w:color="auto"/>
                        </w:tcBorders>
                      </w:tcPr>
                      <w:p>
                        <w:pPr/>
                      </w:p>
                    </w:tc>
                    <w:tc>
                      <w:tcPr>
                        <w:tcW w:w="2146" w:type="dxa"/>
                        <w:tcBorders>
                          <w:top w:val="single" w:sz="6" w:space="0" w:color="000000"/>
                          <w:left w:val="nil" w:sz="6" w:space="0" w:color="auto"/>
                          <w:bottom w:val="single" w:sz="6" w:space="0" w:color="000000"/>
                          <w:right w:val="nil" w:sz="6" w:space="0" w:color="auto"/>
                        </w:tcBorders>
                      </w:tcPr>
                      <w:p>
                        <w:pPr>
                          <w:pStyle w:val="TableParagraph"/>
                          <w:spacing w:line="268" w:lineRule="exact"/>
                          <w:ind w:right="103"/>
                          <w:jc w:val="right"/>
                          <w:rPr>
                            <w:rFonts w:ascii="宋体" w:hAnsi="宋体" w:cs="宋体" w:eastAsia="宋体" w:hint="default"/>
                            <w:sz w:val="20"/>
                            <w:szCs w:val="20"/>
                          </w:rPr>
                        </w:pPr>
                        <w:r>
                          <w:rPr>
                            <w:rFonts w:ascii="Arial" w:hAnsi="Arial" w:cs="Arial" w:eastAsia="Arial" w:hint="default"/>
                            <w:spacing w:val="-2"/>
                            <w:sz w:val="20"/>
                            <w:szCs w:val="20"/>
                          </w:rPr>
                          <w:t>2018</w:t>
                        </w:r>
                        <w:r>
                          <w:rPr>
                            <w:rFonts w:ascii="宋体" w:hAnsi="宋体" w:cs="宋体" w:eastAsia="宋体" w:hint="default"/>
                            <w:spacing w:val="-2"/>
                            <w:sz w:val="20"/>
                            <w:szCs w:val="20"/>
                          </w:rPr>
                          <w:t>年</w:t>
                        </w:r>
                        <w:r>
                          <w:rPr>
                            <w:rFonts w:ascii="Arial" w:hAnsi="Arial" w:cs="Arial" w:eastAsia="Arial" w:hint="default"/>
                            <w:spacing w:val="-2"/>
                            <w:sz w:val="20"/>
                            <w:szCs w:val="20"/>
                          </w:rPr>
                          <w:t>12</w:t>
                        </w:r>
                        <w:r>
                          <w:rPr>
                            <w:rFonts w:ascii="宋体" w:hAnsi="宋体" w:cs="宋体" w:eastAsia="宋体" w:hint="default"/>
                            <w:spacing w:val="-2"/>
                            <w:sz w:val="20"/>
                            <w:szCs w:val="20"/>
                          </w:rPr>
                          <w:t>月</w:t>
                        </w:r>
                        <w:r>
                          <w:rPr>
                            <w:rFonts w:ascii="Arial" w:hAnsi="Arial" w:cs="Arial" w:eastAsia="Arial" w:hint="default"/>
                            <w:spacing w:val="-2"/>
                            <w:sz w:val="20"/>
                            <w:szCs w:val="20"/>
                          </w:rPr>
                          <w:t>31</w:t>
                        </w:r>
                        <w:r>
                          <w:rPr>
                            <w:rFonts w:ascii="宋体" w:hAnsi="宋体" w:cs="宋体" w:eastAsia="宋体" w:hint="default"/>
                            <w:spacing w:val="-2"/>
                            <w:sz w:val="20"/>
                            <w:szCs w:val="20"/>
                          </w:rPr>
                          <w:t>日</w:t>
                        </w:r>
                      </w:p>
                    </w:tc>
                  </w:tr>
                  <w:tr>
                    <w:trPr>
                      <w:trHeight w:val="451" w:hRule="exact"/>
                    </w:trPr>
                    <w:tc>
                      <w:tcPr>
                        <w:tcW w:w="3982"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200" w:right="0"/>
                          <w:jc w:val="left"/>
                          <w:rPr>
                            <w:rFonts w:ascii="宋体" w:hAnsi="宋体" w:cs="宋体" w:eastAsia="宋体" w:hint="default"/>
                            <w:sz w:val="20"/>
                            <w:szCs w:val="20"/>
                          </w:rPr>
                        </w:pPr>
                        <w:r>
                          <w:rPr>
                            <w:rFonts w:ascii="宋体" w:hAnsi="宋体" w:cs="宋体" w:eastAsia="宋体" w:hint="default"/>
                            <w:sz w:val="20"/>
                            <w:szCs w:val="20"/>
                          </w:rPr>
                          <w:t>资产合计</w:t>
                        </w:r>
                      </w:p>
                    </w:tc>
                    <w:tc>
                      <w:tcPr>
                        <w:tcW w:w="2722" w:type="dxa"/>
                        <w:tcBorders>
                          <w:top w:val="single" w:sz="6"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228" w:right="0"/>
                          <w:jc w:val="left"/>
                          <w:rPr>
                            <w:rFonts w:ascii="Arial" w:hAnsi="Arial" w:cs="Arial" w:eastAsia="Arial" w:hint="default"/>
                            <w:sz w:val="20"/>
                            <w:szCs w:val="20"/>
                          </w:rPr>
                        </w:pPr>
                        <w:r>
                          <w:rPr>
                            <w:rFonts w:ascii="Arial"/>
                            <w:sz w:val="20"/>
                          </w:rPr>
                          <w:t>92,696,560,503</w:t>
                        </w:r>
                      </w:p>
                    </w:tc>
                    <w:tc>
                      <w:tcPr>
                        <w:tcW w:w="235" w:type="dxa"/>
                        <w:tcBorders>
                          <w:top w:val="nil" w:sz="6" w:space="0" w:color="auto"/>
                          <w:left w:val="nil" w:sz="6" w:space="0" w:color="auto"/>
                          <w:bottom w:val="nil" w:sz="6" w:space="0" w:color="auto"/>
                          <w:right w:val="nil" w:sz="6" w:space="0" w:color="auto"/>
                        </w:tcBorders>
                      </w:tcPr>
                      <w:p>
                        <w:pPr/>
                      </w:p>
                    </w:tc>
                    <w:tc>
                      <w:tcPr>
                        <w:tcW w:w="2146" w:type="dxa"/>
                        <w:tcBorders>
                          <w:top w:val="single" w:sz="6"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7"/>
                          <w:jc w:val="right"/>
                          <w:rPr>
                            <w:rFonts w:ascii="Arial" w:hAnsi="Arial" w:cs="Arial" w:eastAsia="Arial" w:hint="default"/>
                            <w:sz w:val="20"/>
                            <w:szCs w:val="20"/>
                          </w:rPr>
                        </w:pPr>
                        <w:r>
                          <w:rPr>
                            <w:rFonts w:ascii="Arial"/>
                            <w:spacing w:val="-2"/>
                            <w:sz w:val="20"/>
                          </w:rPr>
                          <w:t>74,748,342,298</w:t>
                        </w:r>
                        <w:r>
                          <w:rPr>
                            <w:rFonts w:ascii="Arial"/>
                            <w:sz w:val="20"/>
                          </w:rPr>
                        </w:r>
                      </w:p>
                    </w:tc>
                  </w:tr>
                  <w:tr>
                    <w:trPr>
                      <w:trHeight w:val="346" w:hRule="exact"/>
                    </w:trPr>
                    <w:tc>
                      <w:tcPr>
                        <w:tcW w:w="3982" w:type="dxa"/>
                        <w:tcBorders>
                          <w:top w:val="nil" w:sz="6" w:space="0" w:color="auto"/>
                          <w:left w:val="nil" w:sz="6" w:space="0" w:color="auto"/>
                          <w:bottom w:val="nil" w:sz="6" w:space="0" w:color="auto"/>
                          <w:right w:val="nil" w:sz="6" w:space="0" w:color="auto"/>
                        </w:tcBorders>
                      </w:tcPr>
                      <w:p>
                        <w:pPr>
                          <w:pStyle w:val="TableParagraph"/>
                          <w:spacing w:line="232" w:lineRule="exact"/>
                          <w:ind w:left="200" w:right="0"/>
                          <w:jc w:val="left"/>
                          <w:rPr>
                            <w:rFonts w:ascii="宋体" w:hAnsi="宋体" w:cs="宋体" w:eastAsia="宋体" w:hint="default"/>
                            <w:sz w:val="20"/>
                            <w:szCs w:val="20"/>
                          </w:rPr>
                        </w:pPr>
                        <w:r>
                          <w:rPr>
                            <w:rFonts w:ascii="宋体" w:hAnsi="宋体" w:cs="宋体" w:eastAsia="宋体" w:hint="default"/>
                            <w:sz w:val="20"/>
                            <w:szCs w:val="20"/>
                          </w:rPr>
                          <w:t>负债合计</w:t>
                        </w:r>
                      </w:p>
                    </w:tc>
                    <w:tc>
                      <w:tcPr>
                        <w:tcW w:w="2722" w:type="dxa"/>
                        <w:tcBorders>
                          <w:top w:val="nil" w:sz="6" w:space="0" w:color="auto"/>
                          <w:left w:val="nil" w:sz="6" w:space="0" w:color="auto"/>
                          <w:bottom w:val="nil" w:sz="6" w:space="0" w:color="auto"/>
                          <w:right w:val="nil" w:sz="6" w:space="0" w:color="auto"/>
                        </w:tcBorders>
                      </w:tcPr>
                      <w:p>
                        <w:pPr>
                          <w:pStyle w:val="TableParagraph"/>
                          <w:tabs>
                            <w:tab w:pos="1228" w:val="left" w:leader="none"/>
                            <w:tab w:pos="2721" w:val="left" w:leader="none"/>
                          </w:tabs>
                          <w:spacing w:line="240" w:lineRule="auto" w:before="31"/>
                          <w:ind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83,336,854,189</w:t>
                          <w:tab/>
                        </w:r>
                        <w:r>
                          <w:rPr>
                            <w:rFonts w:ascii="Arial"/>
                            <w:sz w:val="20"/>
                          </w:rPr>
                        </w:r>
                      </w:p>
                    </w:tc>
                    <w:tc>
                      <w:tcPr>
                        <w:tcW w:w="235"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Style w:val="TableParagraph"/>
                          <w:tabs>
                            <w:tab w:pos="647" w:val="left" w:leader="none"/>
                            <w:tab w:pos="2145" w:val="left" w:leader="none"/>
                          </w:tabs>
                          <w:spacing w:line="240" w:lineRule="auto" w:before="31"/>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66,854,654,220</w:t>
                          <w:tab/>
                        </w:r>
                        <w:r>
                          <w:rPr>
                            <w:rFonts w:ascii="Arial"/>
                            <w:spacing w:val="-2"/>
                            <w:sz w:val="20"/>
                          </w:rPr>
                        </w:r>
                      </w:p>
                    </w:tc>
                  </w:tr>
                  <w:tr>
                    <w:trPr>
                      <w:trHeight w:val="499" w:hRule="exact"/>
                    </w:trPr>
                    <w:tc>
                      <w:tcPr>
                        <w:tcW w:w="398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00" w:right="0"/>
                          <w:jc w:val="left"/>
                          <w:rPr>
                            <w:rFonts w:ascii="宋体" w:hAnsi="宋体" w:cs="宋体" w:eastAsia="宋体" w:hint="default"/>
                            <w:sz w:val="20"/>
                            <w:szCs w:val="20"/>
                          </w:rPr>
                        </w:pPr>
                        <w:r>
                          <w:rPr>
                            <w:rFonts w:ascii="宋体" w:hAnsi="宋体" w:cs="宋体" w:eastAsia="宋体" w:hint="default"/>
                            <w:sz w:val="20"/>
                            <w:szCs w:val="20"/>
                          </w:rPr>
                          <w:t>净资产</w:t>
                        </w:r>
                      </w:p>
                    </w:tc>
                    <w:tc>
                      <w:tcPr>
                        <w:tcW w:w="2722"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1339" w:right="0"/>
                          <w:jc w:val="left"/>
                          <w:rPr>
                            <w:rFonts w:ascii="Arial" w:hAnsi="Arial" w:cs="Arial" w:eastAsia="Arial" w:hint="default"/>
                            <w:sz w:val="20"/>
                            <w:szCs w:val="20"/>
                          </w:rPr>
                        </w:pPr>
                        <w:r>
                          <w:rPr>
                            <w:rFonts w:ascii="Arial"/>
                            <w:sz w:val="20"/>
                          </w:rPr>
                          <w:t>9,359,706,314</w:t>
                        </w:r>
                      </w:p>
                    </w:tc>
                    <w:tc>
                      <w:tcPr>
                        <w:tcW w:w="235"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02"/>
                          <w:jc w:val="right"/>
                          <w:rPr>
                            <w:rFonts w:ascii="Arial" w:hAnsi="Arial" w:cs="Arial" w:eastAsia="Arial" w:hint="default"/>
                            <w:sz w:val="20"/>
                            <w:szCs w:val="20"/>
                          </w:rPr>
                        </w:pPr>
                        <w:r>
                          <w:rPr>
                            <w:rFonts w:ascii="Arial"/>
                            <w:spacing w:val="-2"/>
                            <w:sz w:val="20"/>
                          </w:rPr>
                          <w:t>7,893,688,078</w:t>
                        </w:r>
                        <w:r>
                          <w:rPr>
                            <w:rFonts w:ascii="Arial"/>
                            <w:sz w:val="20"/>
                          </w:rPr>
                        </w:r>
                      </w:p>
                    </w:tc>
                  </w:tr>
                  <w:tr>
                    <w:trPr>
                      <w:trHeight w:val="413" w:hRule="exact"/>
                    </w:trPr>
                    <w:tc>
                      <w:tcPr>
                        <w:tcW w:w="3982"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200" w:right="0"/>
                          <w:jc w:val="left"/>
                          <w:rPr>
                            <w:rFonts w:ascii="宋体" w:hAnsi="宋体" w:cs="宋体" w:eastAsia="宋体" w:hint="default"/>
                            <w:sz w:val="20"/>
                            <w:szCs w:val="20"/>
                          </w:rPr>
                        </w:pPr>
                        <w:r>
                          <w:rPr>
                            <w:rFonts w:ascii="宋体" w:hAnsi="宋体" w:cs="宋体" w:eastAsia="宋体" w:hint="default"/>
                            <w:sz w:val="20"/>
                            <w:szCs w:val="20"/>
                          </w:rPr>
                          <w:t>对合营企业投资的账面价值</w:t>
                        </w:r>
                      </w:p>
                    </w:tc>
                    <w:tc>
                      <w:tcPr>
                        <w:tcW w:w="2722" w:type="dxa"/>
                        <w:tcBorders>
                          <w:top w:val="nil" w:sz="6" w:space="0" w:color="auto"/>
                          <w:left w:val="nil" w:sz="6" w:space="0" w:color="auto"/>
                          <w:bottom w:val="single" w:sz="17" w:space="0" w:color="000000"/>
                          <w:right w:val="nil" w:sz="6" w:space="0" w:color="auto"/>
                        </w:tcBorders>
                      </w:tcPr>
                      <w:p>
                        <w:pPr>
                          <w:pStyle w:val="TableParagraph"/>
                          <w:spacing w:line="240" w:lineRule="auto" w:before="160"/>
                          <w:ind w:left="1339" w:right="0"/>
                          <w:jc w:val="left"/>
                          <w:rPr>
                            <w:rFonts w:ascii="Arial" w:hAnsi="Arial" w:cs="Arial" w:eastAsia="Arial" w:hint="default"/>
                            <w:sz w:val="20"/>
                            <w:szCs w:val="20"/>
                          </w:rPr>
                        </w:pPr>
                        <w:r>
                          <w:rPr>
                            <w:rFonts w:ascii="Arial"/>
                            <w:sz w:val="20"/>
                          </w:rPr>
                          <w:t>4,679,853,157</w:t>
                        </w:r>
                      </w:p>
                    </w:tc>
                    <w:tc>
                      <w:tcPr>
                        <w:tcW w:w="235"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single" w:sz="17" w:space="0" w:color="000000"/>
                          <w:right w:val="nil" w:sz="6" w:space="0" w:color="auto"/>
                        </w:tcBorders>
                      </w:tcPr>
                      <w:p>
                        <w:pPr>
                          <w:pStyle w:val="TableParagraph"/>
                          <w:spacing w:line="240" w:lineRule="auto" w:before="160"/>
                          <w:ind w:right="102"/>
                          <w:jc w:val="right"/>
                          <w:rPr>
                            <w:rFonts w:ascii="Arial" w:hAnsi="Arial" w:cs="Arial" w:eastAsia="Arial" w:hint="default"/>
                            <w:sz w:val="20"/>
                            <w:szCs w:val="20"/>
                          </w:rPr>
                        </w:pPr>
                        <w:r>
                          <w:rPr>
                            <w:rFonts w:ascii="Arial"/>
                            <w:spacing w:val="-2"/>
                            <w:sz w:val="20"/>
                          </w:rPr>
                          <w:t>3,946,844,039</w:t>
                        </w:r>
                        <w:r>
                          <w:rPr>
                            <w:rFonts w:ascii="Arial"/>
                            <w:sz w:val="20"/>
                          </w:rPr>
                        </w:r>
                      </w:p>
                    </w:tc>
                  </w:tr>
                  <w:tr>
                    <w:trPr>
                      <w:trHeight w:val="557" w:hRule="exact"/>
                    </w:trPr>
                    <w:tc>
                      <w:tcPr>
                        <w:tcW w:w="3982" w:type="dxa"/>
                        <w:tcBorders>
                          <w:top w:val="nil" w:sz="6" w:space="0" w:color="auto"/>
                          <w:left w:val="nil" w:sz="6" w:space="0" w:color="auto"/>
                          <w:bottom w:val="nil" w:sz="6" w:space="0" w:color="auto"/>
                          <w:right w:val="nil" w:sz="6" w:space="0" w:color="auto"/>
                        </w:tcBorders>
                      </w:tcPr>
                      <w:p>
                        <w:pPr/>
                      </w:p>
                    </w:tc>
                    <w:tc>
                      <w:tcPr>
                        <w:tcW w:w="2722" w:type="dxa"/>
                        <w:tcBorders>
                          <w:top w:val="single" w:sz="17" w:space="0" w:color="000000"/>
                          <w:left w:val="nil" w:sz="6" w:space="0" w:color="auto"/>
                          <w:bottom w:val="single" w:sz="6" w:space="0" w:color="000000"/>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22"/>
                            <w:szCs w:val="22"/>
                          </w:rPr>
                        </w:pPr>
                        <w:r>
                          <w:rPr>
                            <w:rFonts w:ascii="Arial" w:hAnsi="Arial" w:cs="Arial" w:eastAsia="Arial" w:hint="default"/>
                            <w:sz w:val="22"/>
                            <w:szCs w:val="22"/>
                          </w:rPr>
                          <w:t>2019</w:t>
                        </w:r>
                        <w:r>
                          <w:rPr>
                            <w:rFonts w:ascii="宋体" w:hAnsi="宋体" w:cs="宋体" w:eastAsia="宋体" w:hint="default"/>
                            <w:sz w:val="22"/>
                            <w:szCs w:val="22"/>
                          </w:rPr>
                          <w:t>年</w:t>
                        </w:r>
                      </w:p>
                    </w:tc>
                    <w:tc>
                      <w:tcPr>
                        <w:tcW w:w="235" w:type="dxa"/>
                        <w:tcBorders>
                          <w:top w:val="nil" w:sz="6" w:space="0" w:color="auto"/>
                          <w:left w:val="nil" w:sz="6" w:space="0" w:color="auto"/>
                          <w:bottom w:val="nil" w:sz="6" w:space="0" w:color="auto"/>
                          <w:right w:val="nil" w:sz="6" w:space="0" w:color="auto"/>
                        </w:tcBorders>
                      </w:tcPr>
                      <w:p>
                        <w:pPr/>
                      </w:p>
                    </w:tc>
                    <w:tc>
                      <w:tcPr>
                        <w:tcW w:w="2146" w:type="dxa"/>
                        <w:tcBorders>
                          <w:top w:val="single" w:sz="17" w:space="0" w:color="000000"/>
                          <w:left w:val="nil" w:sz="6" w:space="0" w:color="auto"/>
                          <w:bottom w:val="single" w:sz="6" w:space="0" w:color="000000"/>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22"/>
                            <w:szCs w:val="22"/>
                          </w:rPr>
                        </w:pPr>
                        <w:r>
                          <w:rPr>
                            <w:rFonts w:ascii="Arial" w:hAnsi="Arial" w:cs="Arial" w:eastAsia="Arial" w:hint="default"/>
                            <w:sz w:val="22"/>
                            <w:szCs w:val="22"/>
                          </w:rPr>
                          <w:t>2018</w:t>
                        </w:r>
                        <w:r>
                          <w:rPr>
                            <w:rFonts w:ascii="宋体" w:hAnsi="宋体" w:cs="宋体" w:eastAsia="宋体" w:hint="default"/>
                            <w:sz w:val="22"/>
                            <w:szCs w:val="22"/>
                          </w:rPr>
                          <w:t>年</w:t>
                        </w:r>
                      </w:p>
                    </w:tc>
                  </w:tr>
                  <w:tr>
                    <w:trPr>
                      <w:trHeight w:val="278" w:hRule="exact"/>
                    </w:trPr>
                    <w:tc>
                      <w:tcPr>
                        <w:tcW w:w="3982" w:type="dxa"/>
                        <w:tcBorders>
                          <w:top w:val="nil" w:sz="6" w:space="0" w:color="auto"/>
                          <w:left w:val="nil" w:sz="6" w:space="0" w:color="auto"/>
                          <w:bottom w:val="nil" w:sz="6" w:space="0" w:color="auto"/>
                          <w:right w:val="nil" w:sz="6" w:space="0" w:color="auto"/>
                        </w:tcBorders>
                      </w:tcPr>
                      <w:p>
                        <w:pPr>
                          <w:pStyle w:val="TableParagraph"/>
                          <w:spacing w:line="237" w:lineRule="exact"/>
                          <w:ind w:left="200" w:right="0"/>
                          <w:jc w:val="left"/>
                          <w:rPr>
                            <w:rFonts w:ascii="宋体" w:hAnsi="宋体" w:cs="宋体" w:eastAsia="宋体" w:hint="default"/>
                            <w:sz w:val="20"/>
                            <w:szCs w:val="20"/>
                          </w:rPr>
                        </w:pPr>
                        <w:r>
                          <w:rPr>
                            <w:rFonts w:ascii="宋体" w:hAnsi="宋体" w:cs="宋体" w:eastAsia="宋体" w:hint="default"/>
                            <w:sz w:val="20"/>
                            <w:szCs w:val="20"/>
                          </w:rPr>
                          <w:t>营业收入</w:t>
                        </w:r>
                      </w:p>
                    </w:tc>
                    <w:tc>
                      <w:tcPr>
                        <w:tcW w:w="2722" w:type="dxa"/>
                        <w:tcBorders>
                          <w:top w:val="single" w:sz="6" w:space="0" w:color="000000"/>
                          <w:left w:val="nil" w:sz="6" w:space="0" w:color="auto"/>
                          <w:bottom w:val="nil" w:sz="6" w:space="0" w:color="auto"/>
                          <w:right w:val="nil" w:sz="6" w:space="0" w:color="auto"/>
                        </w:tcBorders>
                      </w:tcPr>
                      <w:p>
                        <w:pPr>
                          <w:pStyle w:val="TableParagraph"/>
                          <w:spacing w:line="240" w:lineRule="auto" w:before="28"/>
                          <w:ind w:left="1228" w:right="0"/>
                          <w:jc w:val="left"/>
                          <w:rPr>
                            <w:rFonts w:ascii="Arial" w:hAnsi="Arial" w:cs="Arial" w:eastAsia="Arial" w:hint="default"/>
                            <w:sz w:val="20"/>
                            <w:szCs w:val="20"/>
                          </w:rPr>
                        </w:pPr>
                        <w:r>
                          <w:rPr>
                            <w:rFonts w:ascii="Arial"/>
                            <w:sz w:val="20"/>
                          </w:rPr>
                          <w:t>10,740,021,128</w:t>
                        </w:r>
                      </w:p>
                    </w:tc>
                    <w:tc>
                      <w:tcPr>
                        <w:tcW w:w="235" w:type="dxa"/>
                        <w:tcBorders>
                          <w:top w:val="nil" w:sz="6" w:space="0" w:color="auto"/>
                          <w:left w:val="nil" w:sz="6" w:space="0" w:color="auto"/>
                          <w:bottom w:val="nil" w:sz="6" w:space="0" w:color="auto"/>
                          <w:right w:val="nil" w:sz="6" w:space="0" w:color="auto"/>
                        </w:tcBorders>
                      </w:tcPr>
                      <w:p>
                        <w:pPr/>
                      </w:p>
                    </w:tc>
                    <w:tc>
                      <w:tcPr>
                        <w:tcW w:w="2146" w:type="dxa"/>
                        <w:tcBorders>
                          <w:top w:val="single" w:sz="6" w:space="0" w:color="000000"/>
                          <w:left w:val="nil" w:sz="6" w:space="0" w:color="auto"/>
                          <w:bottom w:val="nil" w:sz="6" w:space="0" w:color="auto"/>
                          <w:right w:val="nil" w:sz="6" w:space="0" w:color="auto"/>
                        </w:tcBorders>
                      </w:tcPr>
                      <w:p>
                        <w:pPr>
                          <w:pStyle w:val="TableParagraph"/>
                          <w:spacing w:line="240" w:lineRule="auto" w:before="28"/>
                          <w:ind w:right="102"/>
                          <w:jc w:val="right"/>
                          <w:rPr>
                            <w:rFonts w:ascii="Arial" w:hAnsi="Arial" w:cs="Arial" w:eastAsia="Arial" w:hint="default"/>
                            <w:sz w:val="20"/>
                            <w:szCs w:val="20"/>
                          </w:rPr>
                        </w:pPr>
                        <w:r>
                          <w:rPr>
                            <w:rFonts w:ascii="Arial"/>
                            <w:spacing w:val="-2"/>
                            <w:sz w:val="20"/>
                          </w:rPr>
                          <w:t>6,956,405,568</w:t>
                        </w:r>
                        <w:r>
                          <w:rPr>
                            <w:rFonts w:ascii="Arial"/>
                            <w:sz w:val="20"/>
                          </w:rPr>
                        </w:r>
                      </w:p>
                    </w:tc>
                  </w:tr>
                  <w:tr>
                    <w:trPr>
                      <w:trHeight w:val="259" w:hRule="exact"/>
                    </w:trPr>
                    <w:tc>
                      <w:tcPr>
                        <w:tcW w:w="3982"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净利润</w:t>
                        </w:r>
                      </w:p>
                    </w:tc>
                    <w:tc>
                      <w:tcPr>
                        <w:tcW w:w="272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339" w:right="0"/>
                          <w:jc w:val="left"/>
                          <w:rPr>
                            <w:rFonts w:ascii="Arial" w:hAnsi="Arial" w:cs="Arial" w:eastAsia="Arial" w:hint="default"/>
                            <w:sz w:val="20"/>
                            <w:szCs w:val="20"/>
                          </w:rPr>
                        </w:pPr>
                        <w:r>
                          <w:rPr>
                            <w:rFonts w:ascii="Arial"/>
                            <w:sz w:val="20"/>
                          </w:rPr>
                          <w:t>1,466,018,236</w:t>
                        </w:r>
                      </w:p>
                    </w:tc>
                    <w:tc>
                      <w:tcPr>
                        <w:tcW w:w="235"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2"/>
                          <w:jc w:val="right"/>
                          <w:rPr>
                            <w:rFonts w:ascii="Arial" w:hAnsi="Arial" w:cs="Arial" w:eastAsia="Arial" w:hint="default"/>
                            <w:sz w:val="20"/>
                            <w:szCs w:val="20"/>
                          </w:rPr>
                        </w:pPr>
                        <w:r>
                          <w:rPr>
                            <w:rFonts w:ascii="Arial"/>
                            <w:spacing w:val="-2"/>
                            <w:sz w:val="20"/>
                          </w:rPr>
                          <w:t>1,252,886,668</w:t>
                        </w:r>
                        <w:r>
                          <w:rPr>
                            <w:rFonts w:ascii="Arial"/>
                            <w:sz w:val="20"/>
                          </w:rPr>
                        </w:r>
                      </w:p>
                    </w:tc>
                  </w:tr>
                  <w:tr>
                    <w:trPr>
                      <w:trHeight w:val="259" w:hRule="exact"/>
                    </w:trPr>
                    <w:tc>
                      <w:tcPr>
                        <w:tcW w:w="3982"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其他综合收益</w:t>
                        </w:r>
                      </w:p>
                    </w:tc>
                    <w:tc>
                      <w:tcPr>
                        <w:tcW w:w="272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42"/>
                          <w:jc w:val="right"/>
                          <w:rPr>
                            <w:rFonts w:ascii="Arial" w:hAnsi="Arial" w:cs="Arial" w:eastAsia="Arial" w:hint="default"/>
                            <w:sz w:val="20"/>
                            <w:szCs w:val="20"/>
                          </w:rPr>
                        </w:pPr>
                        <w:r>
                          <w:rPr>
                            <w:rFonts w:ascii="Arial"/>
                            <w:w w:val="100"/>
                            <w:sz w:val="20"/>
                          </w:rPr>
                          <w:t>-</w:t>
                        </w:r>
                      </w:p>
                    </w:tc>
                    <w:tc>
                      <w:tcPr>
                        <w:tcW w:w="235"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3"/>
                          <w:jc w:val="right"/>
                          <w:rPr>
                            <w:rFonts w:ascii="Arial" w:hAnsi="Arial" w:cs="Arial" w:eastAsia="Arial" w:hint="default"/>
                            <w:sz w:val="20"/>
                            <w:szCs w:val="20"/>
                          </w:rPr>
                        </w:pPr>
                        <w:r>
                          <w:rPr>
                            <w:rFonts w:ascii="Arial"/>
                            <w:w w:val="100"/>
                            <w:sz w:val="20"/>
                          </w:rPr>
                          <w:t>-</w:t>
                        </w:r>
                      </w:p>
                    </w:tc>
                  </w:tr>
                  <w:tr>
                    <w:trPr>
                      <w:trHeight w:val="259" w:hRule="exact"/>
                    </w:trPr>
                    <w:tc>
                      <w:tcPr>
                        <w:tcW w:w="3982"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综合收益总额</w:t>
                        </w:r>
                      </w:p>
                    </w:tc>
                    <w:tc>
                      <w:tcPr>
                        <w:tcW w:w="272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339" w:right="0"/>
                          <w:jc w:val="left"/>
                          <w:rPr>
                            <w:rFonts w:ascii="Arial" w:hAnsi="Arial" w:cs="Arial" w:eastAsia="Arial" w:hint="default"/>
                            <w:sz w:val="20"/>
                            <w:szCs w:val="20"/>
                          </w:rPr>
                        </w:pPr>
                        <w:r>
                          <w:rPr>
                            <w:rFonts w:ascii="Arial"/>
                            <w:sz w:val="20"/>
                          </w:rPr>
                          <w:t>1,466,018,236</w:t>
                        </w:r>
                      </w:p>
                    </w:tc>
                    <w:tc>
                      <w:tcPr>
                        <w:tcW w:w="235"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2"/>
                          <w:jc w:val="right"/>
                          <w:rPr>
                            <w:rFonts w:ascii="Arial" w:hAnsi="Arial" w:cs="Arial" w:eastAsia="Arial" w:hint="default"/>
                            <w:sz w:val="20"/>
                            <w:szCs w:val="20"/>
                          </w:rPr>
                        </w:pPr>
                        <w:r>
                          <w:rPr>
                            <w:rFonts w:ascii="Arial"/>
                            <w:spacing w:val="-2"/>
                            <w:sz w:val="20"/>
                          </w:rPr>
                          <w:t>1,252,886,668</w:t>
                        </w:r>
                        <w:r>
                          <w:rPr>
                            <w:rFonts w:ascii="Arial"/>
                            <w:sz w:val="20"/>
                          </w:rPr>
                        </w:r>
                      </w:p>
                    </w:tc>
                  </w:tr>
                  <w:tr>
                    <w:trPr>
                      <w:trHeight w:val="243" w:hRule="exact"/>
                    </w:trPr>
                    <w:tc>
                      <w:tcPr>
                        <w:tcW w:w="3982"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本年收到的来自合营企业的股利</w:t>
                        </w:r>
                      </w:p>
                    </w:tc>
                    <w:tc>
                      <w:tcPr>
                        <w:tcW w:w="272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42"/>
                          <w:jc w:val="right"/>
                          <w:rPr>
                            <w:rFonts w:ascii="Arial" w:hAnsi="Arial" w:cs="Arial" w:eastAsia="Arial" w:hint="default"/>
                            <w:sz w:val="20"/>
                            <w:szCs w:val="20"/>
                          </w:rPr>
                        </w:pPr>
                        <w:r>
                          <w:rPr>
                            <w:rFonts w:ascii="Arial"/>
                            <w:w w:val="100"/>
                            <w:sz w:val="20"/>
                          </w:rPr>
                          <w:t>-</w:t>
                        </w:r>
                      </w:p>
                    </w:tc>
                    <w:tc>
                      <w:tcPr>
                        <w:tcW w:w="235"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3"/>
                          <w:jc w:val="right"/>
                          <w:rPr>
                            <w:rFonts w:ascii="Arial" w:hAnsi="Arial" w:cs="Arial" w:eastAsia="Arial" w:hint="default"/>
                            <w:sz w:val="20"/>
                            <w:szCs w:val="20"/>
                          </w:rPr>
                        </w:pPr>
                        <w:r>
                          <w:rPr>
                            <w:rFonts w:ascii="Arial"/>
                            <w:w w:val="100"/>
                            <w:sz w:val="20"/>
                          </w:rPr>
                          <w:t>-</w:t>
                        </w:r>
                      </w:p>
                    </w:tc>
                  </w:tr>
                </w:tbl>
                <w:p>
                  <w:pPr/>
                </w:p>
              </w:txbxContent>
            </v:textbox>
            <w10:wrap type="none"/>
          </v:shape>
        </w:pict>
      </w:r>
      <w:r>
        <w:rPr>
          <w:rFonts w:ascii="宋体" w:hAnsi="宋体" w:cs="宋体" w:eastAsia="宋体" w:hint="default"/>
          <w:w w:val="100"/>
          <w:sz w:val="20"/>
          <w:szCs w:val="20"/>
        </w:rPr>
        <w:t>企</w:t>
      </w:r>
    </w:p>
    <w:p>
      <w:pPr>
        <w:spacing w:after="0"/>
        <w:jc w:val="right"/>
        <w:rPr>
          <w:rFonts w:ascii="宋体" w:hAnsi="宋体" w:cs="宋体" w:eastAsia="宋体" w:hint="default"/>
          <w:sz w:val="20"/>
          <w:szCs w:val="20"/>
        </w:rPr>
        <w:sectPr>
          <w:headerReference w:type="default" r:id="rId214"/>
          <w:pgSz w:w="11910" w:h="16840"/>
          <w:pgMar w:header="1192" w:footer="502" w:top="3580" w:bottom="700" w:left="1020" w:right="1220"/>
        </w:sectPr>
      </w:pPr>
    </w:p>
    <w:p>
      <w:pPr>
        <w:spacing w:line="240" w:lineRule="auto" w:before="13"/>
        <w:rPr>
          <w:rFonts w:ascii="宋体" w:hAnsi="宋体" w:cs="宋体" w:eastAsia="宋体" w:hint="default"/>
          <w:sz w:val="20"/>
          <w:szCs w:val="20"/>
        </w:rPr>
      </w:pPr>
    </w:p>
    <w:tbl>
      <w:tblPr>
        <w:tblW w:w="0" w:type="auto"/>
        <w:jc w:val="left"/>
        <w:tblInd w:w="364" w:type="dxa"/>
        <w:tblLayout w:type="fixed"/>
        <w:tblCellMar>
          <w:top w:w="0" w:type="dxa"/>
          <w:left w:w="0" w:type="dxa"/>
          <w:bottom w:w="0" w:type="dxa"/>
          <w:right w:w="0" w:type="dxa"/>
        </w:tblCellMar>
        <w:tblLook w:val="01E0"/>
      </w:tblPr>
      <w:tblGrid>
        <w:gridCol w:w="4693"/>
        <w:gridCol w:w="2189"/>
        <w:gridCol w:w="245"/>
        <w:gridCol w:w="2102"/>
      </w:tblGrid>
      <w:tr>
        <w:trPr>
          <w:trHeight w:val="238" w:hRule="exact"/>
        </w:trPr>
        <w:tc>
          <w:tcPr>
            <w:tcW w:w="9229" w:type="dxa"/>
            <w:gridSpan w:val="4"/>
            <w:tcBorders>
              <w:top w:val="nil" w:sz="6" w:space="0" w:color="auto"/>
              <w:left w:val="nil" w:sz="6" w:space="0" w:color="auto"/>
              <w:bottom w:val="nil" w:sz="6" w:space="0" w:color="auto"/>
              <w:right w:val="nil" w:sz="6" w:space="0" w:color="auto"/>
            </w:tcBorders>
          </w:tcPr>
          <w:p>
            <w:pPr>
              <w:pStyle w:val="TableParagraph"/>
              <w:spacing w:line="201" w:lineRule="exact"/>
              <w:ind w:right="1865"/>
              <w:jc w:val="right"/>
              <w:rPr>
                <w:rFonts w:ascii="宋体" w:hAnsi="宋体" w:cs="宋体" w:eastAsia="宋体" w:hint="default"/>
                <w:sz w:val="20"/>
                <w:szCs w:val="20"/>
              </w:rPr>
            </w:pPr>
            <w:r>
              <w:rPr>
                <w:rFonts w:ascii="宋体" w:hAnsi="宋体" w:cs="宋体" w:eastAsia="宋体" w:hint="default"/>
                <w:sz w:val="20"/>
                <w:szCs w:val="20"/>
              </w:rPr>
              <w:t>联营企业</w:t>
            </w:r>
          </w:p>
        </w:tc>
      </w:tr>
      <w:tr>
        <w:trPr>
          <w:trHeight w:val="298" w:hRule="exact"/>
        </w:trPr>
        <w:tc>
          <w:tcPr>
            <w:tcW w:w="9229" w:type="dxa"/>
            <w:gridSpan w:val="4"/>
            <w:tcBorders>
              <w:top w:val="nil" w:sz="6" w:space="0" w:color="auto"/>
              <w:left w:val="nil" w:sz="6" w:space="0" w:color="auto"/>
              <w:bottom w:val="nil" w:sz="6" w:space="0" w:color="auto"/>
              <w:right w:val="nil" w:sz="6" w:space="0" w:color="auto"/>
            </w:tcBorders>
          </w:tcPr>
          <w:p>
            <w:pPr>
              <w:pStyle w:val="TableParagraph"/>
              <w:spacing w:line="261" w:lineRule="exact"/>
              <w:ind w:right="1865"/>
              <w:jc w:val="right"/>
              <w:rPr>
                <w:rFonts w:ascii="宋体" w:hAnsi="宋体" w:cs="宋体" w:eastAsia="宋体" w:hint="default"/>
                <w:sz w:val="20"/>
                <w:szCs w:val="20"/>
              </w:rPr>
            </w:pPr>
            <w:r>
              <w:rPr>
                <w:rFonts w:ascii="宋体" w:hAnsi="宋体" w:cs="宋体" w:eastAsia="宋体" w:hint="default"/>
                <w:sz w:val="20"/>
                <w:szCs w:val="20"/>
              </w:rPr>
              <w:t>铁塔公司</w:t>
            </w:r>
          </w:p>
        </w:tc>
      </w:tr>
      <w:tr>
        <w:trPr>
          <w:trHeight w:val="302" w:hRule="exact"/>
        </w:trPr>
        <w:tc>
          <w:tcPr>
            <w:tcW w:w="4693" w:type="dxa"/>
            <w:tcBorders>
              <w:top w:val="nil" w:sz="6" w:space="0" w:color="auto"/>
              <w:left w:val="nil" w:sz="6" w:space="0" w:color="auto"/>
              <w:bottom w:val="nil" w:sz="6" w:space="0" w:color="auto"/>
              <w:right w:val="nil" w:sz="6" w:space="0" w:color="auto"/>
            </w:tcBorders>
          </w:tcPr>
          <w:p>
            <w:pPr/>
          </w:p>
        </w:tc>
        <w:tc>
          <w:tcPr>
            <w:tcW w:w="2189" w:type="dxa"/>
            <w:tcBorders>
              <w:top w:val="single" w:sz="6" w:space="0" w:color="000000"/>
              <w:left w:val="nil" w:sz="6" w:space="0" w:color="auto"/>
              <w:bottom w:val="single" w:sz="6" w:space="0" w:color="000000"/>
              <w:right w:val="nil" w:sz="6" w:space="0" w:color="auto"/>
            </w:tcBorders>
          </w:tcPr>
          <w:p>
            <w:pPr>
              <w:pStyle w:val="TableParagraph"/>
              <w:spacing w:line="273" w:lineRule="exact"/>
              <w:ind w:right="103"/>
              <w:jc w:val="right"/>
              <w:rPr>
                <w:rFonts w:ascii="宋体" w:hAnsi="宋体" w:cs="宋体" w:eastAsia="宋体" w:hint="default"/>
                <w:sz w:val="20"/>
                <w:szCs w:val="20"/>
              </w:rPr>
            </w:pPr>
            <w:r>
              <w:rPr>
                <w:rFonts w:ascii="Arial" w:hAnsi="Arial" w:cs="Arial" w:eastAsia="Arial" w:hint="default"/>
                <w:spacing w:val="-2"/>
                <w:sz w:val="20"/>
                <w:szCs w:val="20"/>
              </w:rPr>
              <w:t>2019</w:t>
            </w:r>
            <w:r>
              <w:rPr>
                <w:rFonts w:ascii="宋体" w:hAnsi="宋体" w:cs="宋体" w:eastAsia="宋体" w:hint="default"/>
                <w:spacing w:val="-2"/>
                <w:sz w:val="20"/>
                <w:szCs w:val="20"/>
              </w:rPr>
              <w:t>年</w:t>
            </w:r>
            <w:r>
              <w:rPr>
                <w:rFonts w:ascii="Arial" w:hAnsi="Arial" w:cs="Arial" w:eastAsia="Arial" w:hint="default"/>
                <w:spacing w:val="-2"/>
                <w:sz w:val="20"/>
                <w:szCs w:val="20"/>
              </w:rPr>
              <w:t>12</w:t>
            </w:r>
            <w:r>
              <w:rPr>
                <w:rFonts w:ascii="宋体" w:hAnsi="宋体" w:cs="宋体" w:eastAsia="宋体" w:hint="default"/>
                <w:spacing w:val="-2"/>
                <w:sz w:val="20"/>
                <w:szCs w:val="20"/>
              </w:rPr>
              <w:t>月</w:t>
            </w:r>
            <w:r>
              <w:rPr>
                <w:rFonts w:ascii="Arial" w:hAnsi="Arial" w:cs="Arial" w:eastAsia="Arial" w:hint="default"/>
                <w:spacing w:val="-2"/>
                <w:sz w:val="20"/>
                <w:szCs w:val="20"/>
              </w:rPr>
              <w:t>31</w:t>
            </w:r>
            <w:r>
              <w:rPr>
                <w:rFonts w:ascii="宋体" w:hAnsi="宋体" w:cs="宋体" w:eastAsia="宋体" w:hint="default"/>
                <w:spacing w:val="-2"/>
                <w:sz w:val="20"/>
                <w:szCs w:val="20"/>
              </w:rPr>
              <w:t>日</w:t>
            </w:r>
          </w:p>
        </w:tc>
        <w:tc>
          <w:tcPr>
            <w:tcW w:w="245" w:type="dxa"/>
            <w:tcBorders>
              <w:top w:val="single" w:sz="6" w:space="0" w:color="000000"/>
              <w:left w:val="nil" w:sz="6" w:space="0" w:color="auto"/>
              <w:bottom w:val="nil" w:sz="6" w:space="0" w:color="auto"/>
              <w:right w:val="nil" w:sz="6" w:space="0" w:color="auto"/>
            </w:tcBorders>
          </w:tcPr>
          <w:p>
            <w:pPr/>
          </w:p>
        </w:tc>
        <w:tc>
          <w:tcPr>
            <w:tcW w:w="2102" w:type="dxa"/>
            <w:tcBorders>
              <w:top w:val="single" w:sz="6" w:space="0" w:color="000000"/>
              <w:left w:val="nil" w:sz="6" w:space="0" w:color="auto"/>
              <w:bottom w:val="single" w:sz="6" w:space="0" w:color="000000"/>
              <w:right w:val="nil" w:sz="6" w:space="0" w:color="auto"/>
            </w:tcBorders>
          </w:tcPr>
          <w:p>
            <w:pPr>
              <w:pStyle w:val="TableParagraph"/>
              <w:spacing w:line="273" w:lineRule="exact"/>
              <w:ind w:right="108"/>
              <w:jc w:val="right"/>
              <w:rPr>
                <w:rFonts w:ascii="宋体" w:hAnsi="宋体" w:cs="宋体" w:eastAsia="宋体" w:hint="default"/>
                <w:sz w:val="20"/>
                <w:szCs w:val="20"/>
              </w:rPr>
            </w:pPr>
            <w:r>
              <w:rPr>
                <w:rFonts w:ascii="Arial" w:hAnsi="Arial" w:cs="Arial" w:eastAsia="Arial" w:hint="default"/>
                <w:spacing w:val="-2"/>
                <w:sz w:val="20"/>
                <w:szCs w:val="20"/>
              </w:rPr>
              <w:t>2018</w:t>
            </w:r>
            <w:r>
              <w:rPr>
                <w:rFonts w:ascii="宋体" w:hAnsi="宋体" w:cs="宋体" w:eastAsia="宋体" w:hint="default"/>
                <w:spacing w:val="-2"/>
                <w:sz w:val="20"/>
                <w:szCs w:val="20"/>
              </w:rPr>
              <w:t>年</w:t>
            </w:r>
            <w:r>
              <w:rPr>
                <w:rFonts w:ascii="Arial" w:hAnsi="Arial" w:cs="Arial" w:eastAsia="Arial" w:hint="default"/>
                <w:spacing w:val="-2"/>
                <w:sz w:val="20"/>
                <w:szCs w:val="20"/>
              </w:rPr>
              <w:t>12</w:t>
            </w:r>
            <w:r>
              <w:rPr>
                <w:rFonts w:ascii="宋体" w:hAnsi="宋体" w:cs="宋体" w:eastAsia="宋体" w:hint="default"/>
                <w:spacing w:val="-2"/>
                <w:sz w:val="20"/>
                <w:szCs w:val="20"/>
              </w:rPr>
              <w:t>月</w:t>
            </w:r>
            <w:r>
              <w:rPr>
                <w:rFonts w:ascii="Arial" w:hAnsi="Arial" w:cs="Arial" w:eastAsia="Arial" w:hint="default"/>
                <w:spacing w:val="-2"/>
                <w:sz w:val="20"/>
                <w:szCs w:val="20"/>
              </w:rPr>
              <w:t>31</w:t>
            </w:r>
            <w:r>
              <w:rPr>
                <w:rFonts w:ascii="宋体" w:hAnsi="宋体" w:cs="宋体" w:eastAsia="宋体" w:hint="default"/>
                <w:spacing w:val="-2"/>
                <w:sz w:val="20"/>
                <w:szCs w:val="20"/>
              </w:rPr>
              <w:t>日</w:t>
            </w:r>
          </w:p>
        </w:tc>
      </w:tr>
      <w:tr>
        <w:trPr>
          <w:trHeight w:val="448" w:hRule="exact"/>
        </w:trPr>
        <w:tc>
          <w:tcPr>
            <w:tcW w:w="4693"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200" w:right="0"/>
              <w:jc w:val="left"/>
              <w:rPr>
                <w:rFonts w:ascii="宋体" w:hAnsi="宋体" w:cs="宋体" w:eastAsia="宋体" w:hint="default"/>
                <w:sz w:val="20"/>
                <w:szCs w:val="20"/>
              </w:rPr>
            </w:pPr>
            <w:r>
              <w:rPr>
                <w:rFonts w:ascii="宋体" w:hAnsi="宋体" w:cs="宋体" w:eastAsia="宋体" w:hint="default"/>
                <w:sz w:val="20"/>
                <w:szCs w:val="20"/>
              </w:rPr>
              <w:t>流动资产</w:t>
            </w:r>
          </w:p>
        </w:tc>
        <w:tc>
          <w:tcPr>
            <w:tcW w:w="2189" w:type="dxa"/>
            <w:tcBorders>
              <w:top w:val="single" w:sz="6"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2"/>
              <w:jc w:val="right"/>
              <w:rPr>
                <w:rFonts w:ascii="Arial" w:hAnsi="Arial" w:cs="Arial" w:eastAsia="Arial" w:hint="default"/>
                <w:sz w:val="20"/>
                <w:szCs w:val="20"/>
              </w:rPr>
            </w:pPr>
            <w:r>
              <w:rPr>
                <w:rFonts w:ascii="Arial"/>
                <w:spacing w:val="-2"/>
                <w:sz w:val="20"/>
              </w:rPr>
              <w:t>40,994,425,920</w:t>
            </w:r>
            <w:r>
              <w:rPr>
                <w:rFonts w:ascii="Arial"/>
                <w:sz w:val="20"/>
              </w:rPr>
            </w:r>
          </w:p>
        </w:tc>
        <w:tc>
          <w:tcPr>
            <w:tcW w:w="245" w:type="dxa"/>
            <w:tcBorders>
              <w:top w:val="nil" w:sz="6" w:space="0" w:color="auto"/>
              <w:left w:val="nil" w:sz="6" w:space="0" w:color="auto"/>
              <w:bottom w:val="nil" w:sz="6" w:space="0" w:color="auto"/>
              <w:right w:val="nil" w:sz="6" w:space="0" w:color="auto"/>
            </w:tcBorders>
          </w:tcPr>
          <w:p>
            <w:pPr/>
          </w:p>
        </w:tc>
        <w:tc>
          <w:tcPr>
            <w:tcW w:w="2102" w:type="dxa"/>
            <w:tcBorders>
              <w:top w:val="single" w:sz="6"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12"/>
              <w:jc w:val="right"/>
              <w:rPr>
                <w:rFonts w:ascii="Arial" w:hAnsi="Arial" w:cs="Arial" w:eastAsia="Arial" w:hint="default"/>
                <w:sz w:val="20"/>
                <w:szCs w:val="20"/>
              </w:rPr>
            </w:pPr>
            <w:r>
              <w:rPr>
                <w:rFonts w:ascii="Arial"/>
                <w:spacing w:val="-2"/>
                <w:sz w:val="20"/>
              </w:rPr>
              <w:t>31,799,158,777</w:t>
            </w:r>
            <w:r>
              <w:rPr>
                <w:rFonts w:ascii="Arial"/>
                <w:sz w:val="20"/>
              </w:rPr>
            </w:r>
          </w:p>
        </w:tc>
      </w:tr>
      <w:tr>
        <w:trPr>
          <w:trHeight w:val="358" w:hRule="exact"/>
        </w:trPr>
        <w:tc>
          <w:tcPr>
            <w:tcW w:w="4693" w:type="dxa"/>
            <w:tcBorders>
              <w:top w:val="nil" w:sz="6" w:space="0" w:color="auto"/>
              <w:left w:val="nil" w:sz="6" w:space="0" w:color="auto"/>
              <w:bottom w:val="nil" w:sz="6" w:space="0" w:color="auto"/>
              <w:right w:val="nil" w:sz="6" w:space="0" w:color="auto"/>
            </w:tcBorders>
          </w:tcPr>
          <w:p>
            <w:pPr>
              <w:pStyle w:val="TableParagraph"/>
              <w:spacing w:line="230" w:lineRule="exact"/>
              <w:ind w:left="200" w:right="0"/>
              <w:jc w:val="left"/>
              <w:rPr>
                <w:rFonts w:ascii="宋体" w:hAnsi="宋体" w:cs="宋体" w:eastAsia="宋体" w:hint="default"/>
                <w:sz w:val="20"/>
                <w:szCs w:val="20"/>
              </w:rPr>
            </w:pPr>
            <w:r>
              <w:rPr>
                <w:rFonts w:ascii="宋体" w:hAnsi="宋体" w:cs="宋体" w:eastAsia="宋体" w:hint="default"/>
                <w:sz w:val="20"/>
                <w:szCs w:val="20"/>
              </w:rPr>
              <w:t>非流动资产</w:t>
            </w:r>
          </w:p>
        </w:tc>
        <w:tc>
          <w:tcPr>
            <w:tcW w:w="2189" w:type="dxa"/>
            <w:tcBorders>
              <w:top w:val="nil" w:sz="6" w:space="0" w:color="auto"/>
              <w:left w:val="nil" w:sz="6" w:space="0" w:color="auto"/>
              <w:bottom w:val="nil" w:sz="6" w:space="0" w:color="auto"/>
              <w:right w:val="nil" w:sz="6" w:space="0" w:color="auto"/>
            </w:tcBorders>
          </w:tcPr>
          <w:p>
            <w:pPr>
              <w:pStyle w:val="TableParagraph"/>
              <w:tabs>
                <w:tab w:pos="585" w:val="left" w:leader="none"/>
                <w:tab w:pos="2188" w:val="left" w:leader="none"/>
              </w:tabs>
              <w:spacing w:line="240" w:lineRule="auto" w:before="28"/>
              <w:ind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297,072,707,634</w:t>
              <w:tab/>
            </w:r>
            <w:r>
              <w:rPr>
                <w:rFonts w:ascii="Arial"/>
                <w:sz w:val="20"/>
              </w:rPr>
            </w:r>
          </w:p>
        </w:tc>
        <w:tc>
          <w:tcPr>
            <w:tcW w:w="245" w:type="dxa"/>
            <w:tcBorders>
              <w:top w:val="nil" w:sz="6" w:space="0" w:color="auto"/>
              <w:left w:val="nil" w:sz="6" w:space="0" w:color="auto"/>
              <w:bottom w:val="nil" w:sz="6" w:space="0" w:color="auto"/>
              <w:right w:val="nil" w:sz="6" w:space="0" w:color="auto"/>
            </w:tcBorders>
          </w:tcPr>
          <w:p>
            <w:pPr/>
          </w:p>
        </w:tc>
        <w:tc>
          <w:tcPr>
            <w:tcW w:w="2102" w:type="dxa"/>
            <w:tcBorders>
              <w:top w:val="nil" w:sz="6" w:space="0" w:color="auto"/>
              <w:left w:val="nil" w:sz="6" w:space="0" w:color="auto"/>
              <w:bottom w:val="nil" w:sz="6" w:space="0" w:color="auto"/>
              <w:right w:val="nil" w:sz="6" w:space="0" w:color="auto"/>
            </w:tcBorders>
          </w:tcPr>
          <w:p>
            <w:pPr>
              <w:pStyle w:val="TableParagraph"/>
              <w:tabs>
                <w:tab w:pos="489" w:val="left" w:leader="none"/>
                <w:tab w:pos="2102" w:val="left" w:leader="none"/>
              </w:tabs>
              <w:spacing w:line="240" w:lineRule="auto" w:before="28"/>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283,566,049,953</w:t>
              <w:tab/>
            </w:r>
            <w:r>
              <w:rPr>
                <w:rFonts w:ascii="Arial"/>
                <w:spacing w:val="-2"/>
                <w:sz w:val="20"/>
              </w:rPr>
            </w:r>
          </w:p>
        </w:tc>
      </w:tr>
      <w:tr>
        <w:trPr>
          <w:trHeight w:val="356" w:hRule="exact"/>
        </w:trPr>
        <w:tc>
          <w:tcPr>
            <w:tcW w:w="469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00" w:right="0"/>
              <w:jc w:val="left"/>
              <w:rPr>
                <w:rFonts w:ascii="宋体" w:hAnsi="宋体" w:cs="宋体" w:eastAsia="宋体" w:hint="default"/>
                <w:sz w:val="20"/>
                <w:szCs w:val="20"/>
              </w:rPr>
            </w:pPr>
            <w:r>
              <w:rPr>
                <w:rFonts w:ascii="宋体" w:hAnsi="宋体" w:cs="宋体" w:eastAsia="宋体" w:hint="default"/>
                <w:sz w:val="20"/>
                <w:szCs w:val="20"/>
              </w:rPr>
              <w:t>资产合计</w:t>
            </w:r>
          </w:p>
        </w:tc>
        <w:tc>
          <w:tcPr>
            <w:tcW w:w="2189" w:type="dxa"/>
            <w:tcBorders>
              <w:top w:val="nil" w:sz="6" w:space="0" w:color="auto"/>
              <w:left w:val="nil" w:sz="6" w:space="0" w:color="auto"/>
              <w:bottom w:val="single" w:sz="17" w:space="0" w:color="000000"/>
              <w:right w:val="nil" w:sz="6" w:space="0" w:color="auto"/>
            </w:tcBorders>
          </w:tcPr>
          <w:p>
            <w:pPr>
              <w:pStyle w:val="TableParagraph"/>
              <w:spacing w:line="240" w:lineRule="auto" w:before="103"/>
              <w:ind w:right="102"/>
              <w:jc w:val="right"/>
              <w:rPr>
                <w:rFonts w:ascii="Arial" w:hAnsi="Arial" w:cs="Arial" w:eastAsia="Arial" w:hint="default"/>
                <w:sz w:val="20"/>
                <w:szCs w:val="20"/>
              </w:rPr>
            </w:pPr>
            <w:r>
              <w:rPr>
                <w:rFonts w:ascii="Arial"/>
                <w:spacing w:val="-2"/>
                <w:sz w:val="20"/>
              </w:rPr>
              <w:t>338,067,133,554</w:t>
            </w:r>
            <w:r>
              <w:rPr>
                <w:rFonts w:ascii="Arial"/>
                <w:sz w:val="20"/>
              </w:rPr>
            </w:r>
          </w:p>
        </w:tc>
        <w:tc>
          <w:tcPr>
            <w:tcW w:w="245" w:type="dxa"/>
            <w:tcBorders>
              <w:top w:val="nil" w:sz="6" w:space="0" w:color="auto"/>
              <w:left w:val="nil" w:sz="6" w:space="0" w:color="auto"/>
              <w:bottom w:val="nil" w:sz="6" w:space="0" w:color="auto"/>
              <w:right w:val="nil" w:sz="6" w:space="0" w:color="auto"/>
            </w:tcBorders>
          </w:tcPr>
          <w:p>
            <w:pPr/>
          </w:p>
        </w:tc>
        <w:tc>
          <w:tcPr>
            <w:tcW w:w="2102" w:type="dxa"/>
            <w:tcBorders>
              <w:top w:val="nil" w:sz="6" w:space="0" w:color="auto"/>
              <w:left w:val="nil" w:sz="6" w:space="0" w:color="auto"/>
              <w:bottom w:val="single" w:sz="17" w:space="0" w:color="000000"/>
              <w:right w:val="nil" w:sz="6" w:space="0" w:color="auto"/>
            </w:tcBorders>
          </w:tcPr>
          <w:p>
            <w:pPr>
              <w:pStyle w:val="TableParagraph"/>
              <w:spacing w:line="240" w:lineRule="auto" w:before="103"/>
              <w:ind w:right="112"/>
              <w:jc w:val="right"/>
              <w:rPr>
                <w:rFonts w:ascii="Arial" w:hAnsi="Arial" w:cs="Arial" w:eastAsia="Arial" w:hint="default"/>
                <w:sz w:val="20"/>
                <w:szCs w:val="20"/>
              </w:rPr>
            </w:pPr>
            <w:r>
              <w:rPr>
                <w:rFonts w:ascii="Arial"/>
                <w:spacing w:val="-2"/>
                <w:sz w:val="20"/>
              </w:rPr>
              <w:t>315,365,208,730</w:t>
            </w:r>
            <w:r>
              <w:rPr>
                <w:rFonts w:ascii="Arial"/>
                <w:sz w:val="20"/>
              </w:rPr>
            </w:r>
          </w:p>
        </w:tc>
      </w:tr>
      <w:tr>
        <w:trPr>
          <w:trHeight w:val="516" w:hRule="exact"/>
        </w:trPr>
        <w:tc>
          <w:tcPr>
            <w:tcW w:w="469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00" w:right="0"/>
              <w:jc w:val="left"/>
              <w:rPr>
                <w:rFonts w:ascii="宋体" w:hAnsi="宋体" w:cs="宋体" w:eastAsia="宋体" w:hint="default"/>
                <w:sz w:val="20"/>
                <w:szCs w:val="20"/>
              </w:rPr>
            </w:pPr>
            <w:r>
              <w:rPr>
                <w:rFonts w:ascii="宋体" w:hAnsi="宋体" w:cs="宋体" w:eastAsia="宋体" w:hint="default"/>
                <w:sz w:val="20"/>
                <w:szCs w:val="20"/>
              </w:rPr>
              <w:t>流动负债</w:t>
            </w:r>
          </w:p>
        </w:tc>
        <w:tc>
          <w:tcPr>
            <w:tcW w:w="2189" w:type="dxa"/>
            <w:tcBorders>
              <w:top w:val="single" w:sz="17"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02"/>
              <w:jc w:val="right"/>
              <w:rPr>
                <w:rFonts w:ascii="Arial" w:hAnsi="Arial" w:cs="Arial" w:eastAsia="Arial" w:hint="default"/>
                <w:sz w:val="20"/>
                <w:szCs w:val="20"/>
              </w:rPr>
            </w:pPr>
            <w:r>
              <w:rPr>
                <w:rFonts w:ascii="Arial"/>
                <w:spacing w:val="-2"/>
                <w:sz w:val="20"/>
              </w:rPr>
              <w:t>128,363,704,240</w:t>
            </w:r>
            <w:r>
              <w:rPr>
                <w:rFonts w:ascii="Arial"/>
                <w:sz w:val="20"/>
              </w:rPr>
            </w:r>
          </w:p>
        </w:tc>
        <w:tc>
          <w:tcPr>
            <w:tcW w:w="245" w:type="dxa"/>
            <w:tcBorders>
              <w:top w:val="nil" w:sz="6" w:space="0" w:color="auto"/>
              <w:left w:val="nil" w:sz="6" w:space="0" w:color="auto"/>
              <w:bottom w:val="nil" w:sz="6" w:space="0" w:color="auto"/>
              <w:right w:val="nil" w:sz="6" w:space="0" w:color="auto"/>
            </w:tcBorders>
          </w:tcPr>
          <w:p>
            <w:pPr/>
          </w:p>
        </w:tc>
        <w:tc>
          <w:tcPr>
            <w:tcW w:w="2102" w:type="dxa"/>
            <w:tcBorders>
              <w:top w:val="single" w:sz="17"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12"/>
              <w:jc w:val="right"/>
              <w:rPr>
                <w:rFonts w:ascii="Arial" w:hAnsi="Arial" w:cs="Arial" w:eastAsia="Arial" w:hint="default"/>
                <w:sz w:val="20"/>
                <w:szCs w:val="20"/>
              </w:rPr>
            </w:pPr>
            <w:r>
              <w:rPr>
                <w:rFonts w:ascii="Arial"/>
                <w:spacing w:val="-2"/>
                <w:sz w:val="20"/>
              </w:rPr>
              <w:t>114,759,573,436</w:t>
            </w:r>
            <w:r>
              <w:rPr>
                <w:rFonts w:ascii="Arial"/>
                <w:sz w:val="20"/>
              </w:rPr>
            </w:r>
          </w:p>
        </w:tc>
      </w:tr>
      <w:tr>
        <w:trPr>
          <w:trHeight w:val="358" w:hRule="exact"/>
        </w:trPr>
        <w:tc>
          <w:tcPr>
            <w:tcW w:w="4693" w:type="dxa"/>
            <w:tcBorders>
              <w:top w:val="nil" w:sz="6" w:space="0" w:color="auto"/>
              <w:left w:val="nil" w:sz="6" w:space="0" w:color="auto"/>
              <w:bottom w:val="nil" w:sz="6" w:space="0" w:color="auto"/>
              <w:right w:val="nil" w:sz="6" w:space="0" w:color="auto"/>
            </w:tcBorders>
          </w:tcPr>
          <w:p>
            <w:pPr>
              <w:pStyle w:val="TableParagraph"/>
              <w:spacing w:line="230" w:lineRule="exact"/>
              <w:ind w:left="200" w:right="0"/>
              <w:jc w:val="left"/>
              <w:rPr>
                <w:rFonts w:ascii="宋体" w:hAnsi="宋体" w:cs="宋体" w:eastAsia="宋体" w:hint="default"/>
                <w:sz w:val="20"/>
                <w:szCs w:val="20"/>
              </w:rPr>
            </w:pPr>
            <w:r>
              <w:rPr>
                <w:rFonts w:ascii="宋体" w:hAnsi="宋体" w:cs="宋体" w:eastAsia="宋体" w:hint="default"/>
                <w:sz w:val="20"/>
                <w:szCs w:val="20"/>
              </w:rPr>
              <w:t>非流动负债</w:t>
            </w:r>
          </w:p>
        </w:tc>
        <w:tc>
          <w:tcPr>
            <w:tcW w:w="2189" w:type="dxa"/>
            <w:tcBorders>
              <w:top w:val="nil" w:sz="6" w:space="0" w:color="auto"/>
              <w:left w:val="nil" w:sz="6" w:space="0" w:color="auto"/>
              <w:bottom w:val="nil" w:sz="6" w:space="0" w:color="auto"/>
              <w:right w:val="nil" w:sz="6" w:space="0" w:color="auto"/>
            </w:tcBorders>
          </w:tcPr>
          <w:p>
            <w:pPr>
              <w:pStyle w:val="TableParagraph"/>
              <w:tabs>
                <w:tab w:pos="691" w:val="left" w:leader="none"/>
                <w:tab w:pos="2188" w:val="left" w:leader="none"/>
              </w:tabs>
              <w:spacing w:line="240" w:lineRule="auto" w:before="28"/>
              <w:ind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27,141,936,288</w:t>
              <w:tab/>
            </w:r>
            <w:r>
              <w:rPr>
                <w:rFonts w:ascii="Arial"/>
                <w:sz w:val="20"/>
              </w:rPr>
            </w:r>
          </w:p>
        </w:tc>
        <w:tc>
          <w:tcPr>
            <w:tcW w:w="245" w:type="dxa"/>
            <w:tcBorders>
              <w:top w:val="nil" w:sz="6" w:space="0" w:color="auto"/>
              <w:left w:val="nil" w:sz="6" w:space="0" w:color="auto"/>
              <w:bottom w:val="nil" w:sz="6" w:space="0" w:color="auto"/>
              <w:right w:val="nil" w:sz="6" w:space="0" w:color="auto"/>
            </w:tcBorders>
          </w:tcPr>
          <w:p>
            <w:pPr/>
          </w:p>
        </w:tc>
        <w:tc>
          <w:tcPr>
            <w:tcW w:w="2102" w:type="dxa"/>
            <w:tcBorders>
              <w:top w:val="nil" w:sz="6" w:space="0" w:color="auto"/>
              <w:left w:val="nil" w:sz="6" w:space="0" w:color="auto"/>
              <w:bottom w:val="nil" w:sz="6" w:space="0" w:color="auto"/>
              <w:right w:val="nil" w:sz="6" w:space="0" w:color="auto"/>
            </w:tcBorders>
          </w:tcPr>
          <w:p>
            <w:pPr>
              <w:pStyle w:val="TableParagraph"/>
              <w:tabs>
                <w:tab w:pos="599" w:val="left" w:leader="none"/>
                <w:tab w:pos="2102" w:val="left" w:leader="none"/>
              </w:tabs>
              <w:spacing w:line="240" w:lineRule="auto" w:before="28"/>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20,102,298,786</w:t>
              <w:tab/>
            </w:r>
            <w:r>
              <w:rPr>
                <w:rFonts w:ascii="Arial"/>
                <w:spacing w:val="-2"/>
                <w:sz w:val="20"/>
              </w:rPr>
            </w:r>
          </w:p>
        </w:tc>
      </w:tr>
      <w:tr>
        <w:trPr>
          <w:trHeight w:val="356" w:hRule="exact"/>
        </w:trPr>
        <w:tc>
          <w:tcPr>
            <w:tcW w:w="469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00" w:right="0"/>
              <w:jc w:val="left"/>
              <w:rPr>
                <w:rFonts w:ascii="宋体" w:hAnsi="宋体" w:cs="宋体" w:eastAsia="宋体" w:hint="default"/>
                <w:sz w:val="20"/>
                <w:szCs w:val="20"/>
              </w:rPr>
            </w:pPr>
            <w:r>
              <w:rPr>
                <w:rFonts w:ascii="宋体" w:hAnsi="宋体" w:cs="宋体" w:eastAsia="宋体" w:hint="default"/>
                <w:sz w:val="20"/>
                <w:szCs w:val="20"/>
              </w:rPr>
              <w:t>负债合计</w:t>
            </w:r>
          </w:p>
        </w:tc>
        <w:tc>
          <w:tcPr>
            <w:tcW w:w="2189" w:type="dxa"/>
            <w:tcBorders>
              <w:top w:val="nil" w:sz="6" w:space="0" w:color="auto"/>
              <w:left w:val="nil" w:sz="6" w:space="0" w:color="auto"/>
              <w:bottom w:val="single" w:sz="17" w:space="0" w:color="000000"/>
              <w:right w:val="nil" w:sz="6" w:space="0" w:color="auto"/>
            </w:tcBorders>
          </w:tcPr>
          <w:p>
            <w:pPr>
              <w:pStyle w:val="TableParagraph"/>
              <w:spacing w:line="240" w:lineRule="auto" w:before="103"/>
              <w:ind w:right="102"/>
              <w:jc w:val="right"/>
              <w:rPr>
                <w:rFonts w:ascii="Arial" w:hAnsi="Arial" w:cs="Arial" w:eastAsia="Arial" w:hint="default"/>
                <w:sz w:val="20"/>
                <w:szCs w:val="20"/>
              </w:rPr>
            </w:pPr>
            <w:r>
              <w:rPr>
                <w:rFonts w:ascii="Arial"/>
                <w:spacing w:val="-2"/>
                <w:sz w:val="20"/>
              </w:rPr>
              <w:t>155,505,640,528</w:t>
            </w:r>
            <w:r>
              <w:rPr>
                <w:rFonts w:ascii="Arial"/>
                <w:sz w:val="20"/>
              </w:rPr>
            </w:r>
          </w:p>
        </w:tc>
        <w:tc>
          <w:tcPr>
            <w:tcW w:w="245" w:type="dxa"/>
            <w:tcBorders>
              <w:top w:val="nil" w:sz="6" w:space="0" w:color="auto"/>
              <w:left w:val="nil" w:sz="6" w:space="0" w:color="auto"/>
              <w:bottom w:val="nil" w:sz="6" w:space="0" w:color="auto"/>
              <w:right w:val="nil" w:sz="6" w:space="0" w:color="auto"/>
            </w:tcBorders>
          </w:tcPr>
          <w:p>
            <w:pPr/>
          </w:p>
        </w:tc>
        <w:tc>
          <w:tcPr>
            <w:tcW w:w="2102" w:type="dxa"/>
            <w:tcBorders>
              <w:top w:val="nil" w:sz="6" w:space="0" w:color="auto"/>
              <w:left w:val="nil" w:sz="6" w:space="0" w:color="auto"/>
              <w:bottom w:val="single" w:sz="17" w:space="0" w:color="000000"/>
              <w:right w:val="nil" w:sz="6" w:space="0" w:color="auto"/>
            </w:tcBorders>
          </w:tcPr>
          <w:p>
            <w:pPr>
              <w:pStyle w:val="TableParagraph"/>
              <w:spacing w:line="240" w:lineRule="auto" w:before="103"/>
              <w:ind w:right="112"/>
              <w:jc w:val="right"/>
              <w:rPr>
                <w:rFonts w:ascii="Arial" w:hAnsi="Arial" w:cs="Arial" w:eastAsia="Arial" w:hint="default"/>
                <w:sz w:val="20"/>
                <w:szCs w:val="20"/>
              </w:rPr>
            </w:pPr>
            <w:r>
              <w:rPr>
                <w:rFonts w:ascii="Arial"/>
                <w:spacing w:val="-2"/>
                <w:sz w:val="20"/>
              </w:rPr>
              <w:t>134,861,872,222</w:t>
            </w:r>
            <w:r>
              <w:rPr>
                <w:rFonts w:ascii="Arial"/>
                <w:sz w:val="20"/>
              </w:rPr>
            </w:r>
          </w:p>
        </w:tc>
      </w:tr>
      <w:tr>
        <w:trPr>
          <w:trHeight w:val="427" w:hRule="exact"/>
        </w:trPr>
        <w:tc>
          <w:tcPr>
            <w:tcW w:w="4693"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200" w:right="0"/>
              <w:jc w:val="left"/>
              <w:rPr>
                <w:rFonts w:ascii="宋体" w:hAnsi="宋体" w:cs="宋体" w:eastAsia="宋体" w:hint="default"/>
                <w:sz w:val="20"/>
                <w:szCs w:val="20"/>
              </w:rPr>
            </w:pPr>
            <w:r>
              <w:rPr>
                <w:rFonts w:ascii="宋体" w:hAnsi="宋体" w:cs="宋体" w:eastAsia="宋体" w:hint="default"/>
                <w:sz w:val="20"/>
                <w:szCs w:val="20"/>
              </w:rPr>
              <w:t>净资产</w:t>
            </w:r>
          </w:p>
        </w:tc>
        <w:tc>
          <w:tcPr>
            <w:tcW w:w="2189" w:type="dxa"/>
            <w:tcBorders>
              <w:top w:val="single" w:sz="17" w:space="0" w:color="000000"/>
              <w:left w:val="nil" w:sz="6" w:space="0" w:color="auto"/>
              <w:bottom w:val="single" w:sz="17" w:space="0" w:color="000000"/>
              <w:right w:val="nil" w:sz="6" w:space="0" w:color="auto"/>
            </w:tcBorders>
          </w:tcPr>
          <w:p>
            <w:pPr>
              <w:pStyle w:val="TableParagraph"/>
              <w:spacing w:line="240" w:lineRule="auto" w:before="153"/>
              <w:ind w:right="102"/>
              <w:jc w:val="right"/>
              <w:rPr>
                <w:rFonts w:ascii="Arial" w:hAnsi="Arial" w:cs="Arial" w:eastAsia="Arial" w:hint="default"/>
                <w:sz w:val="20"/>
                <w:szCs w:val="20"/>
              </w:rPr>
            </w:pPr>
            <w:r>
              <w:rPr>
                <w:rFonts w:ascii="Arial"/>
                <w:spacing w:val="-2"/>
                <w:sz w:val="20"/>
              </w:rPr>
              <w:t>182,561,493,026</w:t>
            </w:r>
            <w:r>
              <w:rPr>
                <w:rFonts w:ascii="Arial"/>
                <w:sz w:val="20"/>
              </w:rPr>
            </w:r>
          </w:p>
        </w:tc>
        <w:tc>
          <w:tcPr>
            <w:tcW w:w="245" w:type="dxa"/>
            <w:tcBorders>
              <w:top w:val="nil" w:sz="6" w:space="0" w:color="auto"/>
              <w:left w:val="nil" w:sz="6" w:space="0" w:color="auto"/>
              <w:bottom w:val="nil" w:sz="6" w:space="0" w:color="auto"/>
              <w:right w:val="nil" w:sz="6" w:space="0" w:color="auto"/>
            </w:tcBorders>
          </w:tcPr>
          <w:p>
            <w:pPr/>
          </w:p>
        </w:tc>
        <w:tc>
          <w:tcPr>
            <w:tcW w:w="2102" w:type="dxa"/>
            <w:tcBorders>
              <w:top w:val="single" w:sz="17" w:space="0" w:color="000000"/>
              <w:left w:val="nil" w:sz="6" w:space="0" w:color="auto"/>
              <w:bottom w:val="single" w:sz="17" w:space="0" w:color="000000"/>
              <w:right w:val="nil" w:sz="6" w:space="0" w:color="auto"/>
            </w:tcBorders>
          </w:tcPr>
          <w:p>
            <w:pPr>
              <w:pStyle w:val="TableParagraph"/>
              <w:spacing w:line="240" w:lineRule="auto" w:before="153"/>
              <w:ind w:right="112"/>
              <w:jc w:val="right"/>
              <w:rPr>
                <w:rFonts w:ascii="Arial" w:hAnsi="Arial" w:cs="Arial" w:eastAsia="Arial" w:hint="default"/>
                <w:sz w:val="20"/>
                <w:szCs w:val="20"/>
              </w:rPr>
            </w:pPr>
            <w:r>
              <w:rPr>
                <w:rFonts w:ascii="Arial"/>
                <w:spacing w:val="-2"/>
                <w:sz w:val="20"/>
              </w:rPr>
              <w:t>180,503,336,508</w:t>
            </w:r>
            <w:r>
              <w:rPr>
                <w:rFonts w:ascii="Arial"/>
                <w:sz w:val="20"/>
              </w:rPr>
            </w:r>
          </w:p>
        </w:tc>
      </w:tr>
      <w:tr>
        <w:trPr>
          <w:trHeight w:val="393" w:hRule="exact"/>
        </w:trPr>
        <w:tc>
          <w:tcPr>
            <w:tcW w:w="4693" w:type="dxa"/>
            <w:tcBorders>
              <w:top w:val="nil" w:sz="6" w:space="0" w:color="auto"/>
              <w:left w:val="nil" w:sz="6" w:space="0" w:color="auto"/>
              <w:bottom w:val="nil" w:sz="6" w:space="0" w:color="auto"/>
              <w:right w:val="nil" w:sz="6" w:space="0" w:color="auto"/>
            </w:tcBorders>
          </w:tcPr>
          <w:p>
            <w:pPr>
              <w:pStyle w:val="TableParagraph"/>
              <w:spacing w:line="240" w:lineRule="auto" w:before="90"/>
              <w:ind w:left="200" w:right="0"/>
              <w:jc w:val="left"/>
              <w:rPr>
                <w:rFonts w:ascii="宋体" w:hAnsi="宋体" w:cs="宋体" w:eastAsia="宋体" w:hint="default"/>
                <w:sz w:val="20"/>
                <w:szCs w:val="20"/>
              </w:rPr>
            </w:pPr>
            <w:r>
              <w:rPr>
                <w:rFonts w:ascii="宋体" w:hAnsi="宋体" w:cs="宋体" w:eastAsia="宋体" w:hint="default"/>
                <w:sz w:val="20"/>
                <w:szCs w:val="20"/>
              </w:rPr>
              <w:t>调整为本集团对联营企业权益</w:t>
            </w:r>
          </w:p>
        </w:tc>
        <w:tc>
          <w:tcPr>
            <w:tcW w:w="2189" w:type="dxa"/>
            <w:tcBorders>
              <w:top w:val="single" w:sz="17" w:space="0" w:color="000000"/>
              <w:left w:val="nil" w:sz="6" w:space="0" w:color="auto"/>
              <w:bottom w:val="nil" w:sz="6" w:space="0" w:color="auto"/>
              <w:right w:val="nil" w:sz="6" w:space="0" w:color="auto"/>
            </w:tcBorders>
          </w:tcPr>
          <w:p>
            <w:pPr>
              <w:pStyle w:val="TableParagraph"/>
              <w:spacing w:line="240" w:lineRule="auto" w:before="129"/>
              <w:ind w:right="102"/>
              <w:jc w:val="right"/>
              <w:rPr>
                <w:rFonts w:ascii="Arial" w:hAnsi="Arial" w:cs="Arial" w:eastAsia="Arial" w:hint="default"/>
                <w:sz w:val="20"/>
                <w:szCs w:val="20"/>
              </w:rPr>
            </w:pPr>
            <w:r>
              <w:rPr>
                <w:rFonts w:ascii="Arial"/>
                <w:spacing w:val="-2"/>
                <w:sz w:val="20"/>
              </w:rPr>
              <w:t>37,697,262,063</w:t>
            </w:r>
            <w:r>
              <w:rPr>
                <w:rFonts w:ascii="Arial"/>
                <w:sz w:val="20"/>
              </w:rPr>
            </w:r>
          </w:p>
        </w:tc>
        <w:tc>
          <w:tcPr>
            <w:tcW w:w="245" w:type="dxa"/>
            <w:tcBorders>
              <w:top w:val="nil" w:sz="6" w:space="0" w:color="auto"/>
              <w:left w:val="nil" w:sz="6" w:space="0" w:color="auto"/>
              <w:bottom w:val="nil" w:sz="6" w:space="0" w:color="auto"/>
              <w:right w:val="nil" w:sz="6" w:space="0" w:color="auto"/>
            </w:tcBorders>
          </w:tcPr>
          <w:p>
            <w:pPr/>
          </w:p>
        </w:tc>
        <w:tc>
          <w:tcPr>
            <w:tcW w:w="2102" w:type="dxa"/>
            <w:tcBorders>
              <w:top w:val="single" w:sz="17" w:space="0" w:color="000000"/>
              <w:left w:val="nil" w:sz="6" w:space="0" w:color="auto"/>
              <w:bottom w:val="nil" w:sz="6" w:space="0" w:color="auto"/>
              <w:right w:val="nil" w:sz="6" w:space="0" w:color="auto"/>
            </w:tcBorders>
          </w:tcPr>
          <w:p>
            <w:pPr>
              <w:pStyle w:val="TableParagraph"/>
              <w:spacing w:line="240" w:lineRule="auto" w:before="129"/>
              <w:ind w:right="112"/>
              <w:jc w:val="right"/>
              <w:rPr>
                <w:rFonts w:ascii="Arial" w:hAnsi="Arial" w:cs="Arial" w:eastAsia="Arial" w:hint="default"/>
                <w:sz w:val="20"/>
                <w:szCs w:val="20"/>
              </w:rPr>
            </w:pPr>
            <w:r>
              <w:rPr>
                <w:rFonts w:ascii="Arial"/>
                <w:spacing w:val="-2"/>
                <w:sz w:val="20"/>
              </w:rPr>
              <w:t>37,277,907,313</w:t>
            </w:r>
            <w:r>
              <w:rPr>
                <w:rFonts w:ascii="Arial"/>
                <w:sz w:val="20"/>
              </w:rPr>
            </w:r>
          </w:p>
        </w:tc>
      </w:tr>
      <w:tr>
        <w:trPr>
          <w:trHeight w:val="595" w:hRule="exact"/>
        </w:trPr>
        <w:tc>
          <w:tcPr>
            <w:tcW w:w="4693"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递延实现的本集团出售铁塔资产</w:t>
            </w:r>
          </w:p>
          <w:p>
            <w:pPr>
              <w:pStyle w:val="TableParagraph"/>
              <w:spacing w:line="240" w:lineRule="auto" w:before="2"/>
              <w:ind w:left="420" w:right="0"/>
              <w:jc w:val="left"/>
              <w:rPr>
                <w:rFonts w:ascii="宋体" w:hAnsi="宋体" w:cs="宋体" w:eastAsia="宋体" w:hint="default"/>
                <w:sz w:val="20"/>
                <w:szCs w:val="20"/>
              </w:rPr>
            </w:pPr>
            <w:r>
              <w:rPr>
                <w:rFonts w:ascii="宋体" w:hAnsi="宋体" w:cs="宋体" w:eastAsia="宋体" w:hint="default"/>
                <w:sz w:val="20"/>
                <w:szCs w:val="20"/>
              </w:rPr>
              <w:t>收益调整</w:t>
            </w:r>
          </w:p>
        </w:tc>
        <w:tc>
          <w:tcPr>
            <w:tcW w:w="218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1"/>
                <w:szCs w:val="21"/>
              </w:rPr>
            </w:pPr>
          </w:p>
          <w:p>
            <w:pPr>
              <w:pStyle w:val="TableParagraph"/>
              <w:tabs>
                <w:tab w:pos="734" w:val="left" w:leader="none"/>
              </w:tabs>
              <w:spacing w:line="240" w:lineRule="auto"/>
              <w:ind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(1,521,109,600)</w:t>
            </w:r>
            <w:r>
              <w:rPr>
                <w:rFonts w:ascii="Arial"/>
                <w:sz w:val="20"/>
              </w:rPr>
            </w:r>
          </w:p>
        </w:tc>
        <w:tc>
          <w:tcPr>
            <w:tcW w:w="245" w:type="dxa"/>
            <w:tcBorders>
              <w:top w:val="nil" w:sz="6" w:space="0" w:color="auto"/>
              <w:left w:val="nil" w:sz="6" w:space="0" w:color="auto"/>
              <w:bottom w:val="nil" w:sz="6" w:space="0" w:color="auto"/>
              <w:right w:val="nil" w:sz="6" w:space="0" w:color="auto"/>
            </w:tcBorders>
          </w:tcPr>
          <w:p>
            <w:pPr/>
          </w:p>
        </w:tc>
        <w:tc>
          <w:tcPr>
            <w:tcW w:w="210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1"/>
                <w:szCs w:val="21"/>
              </w:rPr>
            </w:pPr>
          </w:p>
          <w:p>
            <w:pPr>
              <w:pStyle w:val="TableParagraph"/>
              <w:tabs>
                <w:tab w:pos="643" w:val="left" w:leader="none"/>
              </w:tabs>
              <w:spacing w:line="240" w:lineRule="auto"/>
              <w:ind w:right="4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(1,779,872,655)</w:t>
            </w:r>
            <w:r>
              <w:rPr>
                <w:rFonts w:ascii="Arial"/>
                <w:spacing w:val="-2"/>
                <w:sz w:val="20"/>
              </w:rPr>
            </w:r>
            <w:r>
              <w:rPr>
                <w:rFonts w:ascii="Arial"/>
                <w:sz w:val="20"/>
              </w:rPr>
            </w:r>
          </w:p>
        </w:tc>
      </w:tr>
      <w:tr>
        <w:trPr>
          <w:trHeight w:val="341" w:hRule="exact"/>
        </w:trPr>
        <w:tc>
          <w:tcPr>
            <w:tcW w:w="469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43" w:right="0"/>
              <w:jc w:val="left"/>
              <w:rPr>
                <w:rFonts w:ascii="宋体" w:hAnsi="宋体" w:cs="宋体" w:eastAsia="宋体" w:hint="default"/>
                <w:sz w:val="20"/>
                <w:szCs w:val="20"/>
              </w:rPr>
            </w:pPr>
            <w:r>
              <w:rPr>
                <w:rFonts w:ascii="宋体" w:hAnsi="宋体" w:cs="宋体" w:eastAsia="宋体" w:hint="default"/>
                <w:sz w:val="20"/>
                <w:szCs w:val="20"/>
              </w:rPr>
              <w:t>对联营企业投资的账面价值</w:t>
            </w:r>
          </w:p>
        </w:tc>
        <w:tc>
          <w:tcPr>
            <w:tcW w:w="2189" w:type="dxa"/>
            <w:tcBorders>
              <w:top w:val="nil" w:sz="6" w:space="0" w:color="auto"/>
              <w:left w:val="nil" w:sz="6" w:space="0" w:color="auto"/>
              <w:bottom w:val="single" w:sz="17" w:space="0" w:color="000000"/>
              <w:right w:val="nil" w:sz="6" w:space="0" w:color="auto"/>
            </w:tcBorders>
          </w:tcPr>
          <w:p>
            <w:pPr>
              <w:pStyle w:val="TableParagraph"/>
              <w:spacing w:line="240" w:lineRule="auto" w:before="88"/>
              <w:ind w:right="102"/>
              <w:jc w:val="right"/>
              <w:rPr>
                <w:rFonts w:ascii="Arial" w:hAnsi="Arial" w:cs="Arial" w:eastAsia="Arial" w:hint="default"/>
                <w:sz w:val="20"/>
                <w:szCs w:val="20"/>
              </w:rPr>
            </w:pPr>
            <w:r>
              <w:rPr>
                <w:rFonts w:ascii="Arial"/>
                <w:spacing w:val="-2"/>
                <w:sz w:val="20"/>
              </w:rPr>
              <w:t>36,176,152,463</w:t>
            </w:r>
            <w:r>
              <w:rPr>
                <w:rFonts w:ascii="Arial"/>
                <w:sz w:val="20"/>
              </w:rPr>
            </w:r>
          </w:p>
        </w:tc>
        <w:tc>
          <w:tcPr>
            <w:tcW w:w="245" w:type="dxa"/>
            <w:tcBorders>
              <w:top w:val="nil" w:sz="6" w:space="0" w:color="auto"/>
              <w:left w:val="nil" w:sz="6" w:space="0" w:color="auto"/>
              <w:bottom w:val="nil" w:sz="6" w:space="0" w:color="auto"/>
              <w:right w:val="nil" w:sz="6" w:space="0" w:color="auto"/>
            </w:tcBorders>
          </w:tcPr>
          <w:p>
            <w:pPr/>
          </w:p>
        </w:tc>
        <w:tc>
          <w:tcPr>
            <w:tcW w:w="2102" w:type="dxa"/>
            <w:tcBorders>
              <w:top w:val="nil" w:sz="6" w:space="0" w:color="auto"/>
              <w:left w:val="nil" w:sz="6" w:space="0" w:color="auto"/>
              <w:bottom w:val="single" w:sz="17" w:space="0" w:color="000000"/>
              <w:right w:val="nil" w:sz="6" w:space="0" w:color="auto"/>
            </w:tcBorders>
          </w:tcPr>
          <w:p>
            <w:pPr>
              <w:pStyle w:val="TableParagraph"/>
              <w:spacing w:line="240" w:lineRule="auto" w:before="88"/>
              <w:ind w:right="112"/>
              <w:jc w:val="right"/>
              <w:rPr>
                <w:rFonts w:ascii="Arial" w:hAnsi="Arial" w:cs="Arial" w:eastAsia="Arial" w:hint="default"/>
                <w:sz w:val="20"/>
                <w:szCs w:val="20"/>
              </w:rPr>
            </w:pPr>
            <w:r>
              <w:rPr>
                <w:rFonts w:ascii="Arial"/>
                <w:spacing w:val="-2"/>
                <w:sz w:val="20"/>
              </w:rPr>
              <w:t>35,498,034,658</w:t>
            </w:r>
            <w:r>
              <w:rPr>
                <w:rFonts w:ascii="Arial"/>
                <w:sz w:val="20"/>
              </w:rPr>
            </w:r>
          </w:p>
        </w:tc>
      </w:tr>
      <w:tr>
        <w:trPr>
          <w:trHeight w:val="552" w:hRule="exact"/>
        </w:trPr>
        <w:tc>
          <w:tcPr>
            <w:tcW w:w="4693" w:type="dxa"/>
            <w:tcBorders>
              <w:top w:val="nil" w:sz="6" w:space="0" w:color="auto"/>
              <w:left w:val="nil" w:sz="6" w:space="0" w:color="auto"/>
              <w:bottom w:val="nil" w:sz="6" w:space="0" w:color="auto"/>
              <w:right w:val="nil" w:sz="6" w:space="0" w:color="auto"/>
            </w:tcBorders>
          </w:tcPr>
          <w:p>
            <w:pPr/>
          </w:p>
        </w:tc>
        <w:tc>
          <w:tcPr>
            <w:tcW w:w="2189" w:type="dxa"/>
            <w:tcBorders>
              <w:top w:val="single" w:sz="17" w:space="0" w:color="000000"/>
              <w:left w:val="nil" w:sz="6" w:space="0" w:color="auto"/>
              <w:bottom w:val="single" w:sz="6" w:space="0" w:color="000000"/>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103"/>
              <w:jc w:val="right"/>
              <w:rPr>
                <w:rFonts w:ascii="宋体" w:hAnsi="宋体" w:cs="宋体" w:eastAsia="宋体" w:hint="default"/>
                <w:sz w:val="20"/>
                <w:szCs w:val="20"/>
              </w:rPr>
            </w:pPr>
            <w:r>
              <w:rPr>
                <w:rFonts w:ascii="Arial" w:hAnsi="Arial" w:cs="Arial" w:eastAsia="Arial" w:hint="default"/>
                <w:spacing w:val="-2"/>
                <w:sz w:val="20"/>
                <w:szCs w:val="20"/>
              </w:rPr>
              <w:t>2019</w:t>
            </w:r>
            <w:r>
              <w:rPr>
                <w:rFonts w:ascii="宋体" w:hAnsi="宋体" w:cs="宋体" w:eastAsia="宋体" w:hint="default"/>
                <w:spacing w:val="-2"/>
                <w:sz w:val="20"/>
                <w:szCs w:val="20"/>
              </w:rPr>
              <w:t>年</w:t>
            </w:r>
          </w:p>
        </w:tc>
        <w:tc>
          <w:tcPr>
            <w:tcW w:w="245" w:type="dxa"/>
            <w:tcBorders>
              <w:top w:val="nil" w:sz="6" w:space="0" w:color="auto"/>
              <w:left w:val="nil" w:sz="6" w:space="0" w:color="auto"/>
              <w:bottom w:val="nil" w:sz="6" w:space="0" w:color="auto"/>
              <w:right w:val="nil" w:sz="6" w:space="0" w:color="auto"/>
            </w:tcBorders>
          </w:tcPr>
          <w:p>
            <w:pPr/>
          </w:p>
        </w:tc>
        <w:tc>
          <w:tcPr>
            <w:tcW w:w="2102" w:type="dxa"/>
            <w:tcBorders>
              <w:top w:val="single" w:sz="17" w:space="0" w:color="000000"/>
              <w:left w:val="nil" w:sz="6" w:space="0" w:color="auto"/>
              <w:bottom w:val="single" w:sz="6" w:space="0" w:color="000000"/>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108"/>
              <w:jc w:val="right"/>
              <w:rPr>
                <w:rFonts w:ascii="宋体" w:hAnsi="宋体" w:cs="宋体" w:eastAsia="宋体" w:hint="default"/>
                <w:sz w:val="20"/>
                <w:szCs w:val="20"/>
              </w:rPr>
            </w:pPr>
            <w:r>
              <w:rPr>
                <w:rFonts w:ascii="Arial" w:hAnsi="Arial" w:cs="Arial" w:eastAsia="Arial" w:hint="default"/>
                <w:spacing w:val="-2"/>
                <w:sz w:val="20"/>
                <w:szCs w:val="20"/>
              </w:rPr>
              <w:t>2018</w:t>
            </w:r>
            <w:r>
              <w:rPr>
                <w:rFonts w:ascii="宋体" w:hAnsi="宋体" w:cs="宋体" w:eastAsia="宋体" w:hint="default"/>
                <w:spacing w:val="-2"/>
                <w:sz w:val="20"/>
                <w:szCs w:val="20"/>
              </w:rPr>
              <w:t>年</w:t>
            </w:r>
          </w:p>
        </w:tc>
      </w:tr>
      <w:tr>
        <w:trPr>
          <w:trHeight w:val="283" w:hRule="exact"/>
        </w:trPr>
        <w:tc>
          <w:tcPr>
            <w:tcW w:w="4693" w:type="dxa"/>
            <w:tcBorders>
              <w:top w:val="nil" w:sz="6" w:space="0" w:color="auto"/>
              <w:left w:val="nil" w:sz="6" w:space="0" w:color="auto"/>
              <w:bottom w:val="nil" w:sz="6" w:space="0" w:color="auto"/>
              <w:right w:val="nil" w:sz="6" w:space="0" w:color="auto"/>
            </w:tcBorders>
          </w:tcPr>
          <w:p>
            <w:pPr>
              <w:pStyle w:val="TableParagraph"/>
              <w:spacing w:line="237" w:lineRule="exact"/>
              <w:ind w:left="200" w:right="0"/>
              <w:jc w:val="left"/>
              <w:rPr>
                <w:rFonts w:ascii="宋体" w:hAnsi="宋体" w:cs="宋体" w:eastAsia="宋体" w:hint="default"/>
                <w:sz w:val="20"/>
                <w:szCs w:val="20"/>
              </w:rPr>
            </w:pPr>
            <w:r>
              <w:rPr>
                <w:rFonts w:ascii="宋体" w:hAnsi="宋体" w:cs="宋体" w:eastAsia="宋体" w:hint="default"/>
                <w:sz w:val="20"/>
                <w:szCs w:val="20"/>
              </w:rPr>
              <w:t>营业收入</w:t>
            </w:r>
          </w:p>
        </w:tc>
        <w:tc>
          <w:tcPr>
            <w:tcW w:w="2189" w:type="dxa"/>
            <w:tcBorders>
              <w:top w:val="single" w:sz="6" w:space="0" w:color="000000"/>
              <w:left w:val="nil" w:sz="6" w:space="0" w:color="auto"/>
              <w:bottom w:val="nil" w:sz="6" w:space="0" w:color="auto"/>
              <w:right w:val="nil" w:sz="6" w:space="0" w:color="auto"/>
            </w:tcBorders>
          </w:tcPr>
          <w:p>
            <w:pPr>
              <w:pStyle w:val="TableParagraph"/>
              <w:spacing w:line="240" w:lineRule="auto" w:before="33"/>
              <w:ind w:right="102"/>
              <w:jc w:val="right"/>
              <w:rPr>
                <w:rFonts w:ascii="Arial" w:hAnsi="Arial" w:cs="Arial" w:eastAsia="Arial" w:hint="default"/>
                <w:sz w:val="20"/>
                <w:szCs w:val="20"/>
              </w:rPr>
            </w:pPr>
            <w:r>
              <w:rPr>
                <w:rFonts w:ascii="Arial"/>
                <w:spacing w:val="-2"/>
                <w:sz w:val="20"/>
              </w:rPr>
              <w:t>76,427,534,040</w:t>
            </w:r>
            <w:r>
              <w:rPr>
                <w:rFonts w:ascii="Arial"/>
                <w:sz w:val="20"/>
              </w:rPr>
            </w:r>
          </w:p>
        </w:tc>
        <w:tc>
          <w:tcPr>
            <w:tcW w:w="245" w:type="dxa"/>
            <w:tcBorders>
              <w:top w:val="nil" w:sz="6" w:space="0" w:color="auto"/>
              <w:left w:val="nil" w:sz="6" w:space="0" w:color="auto"/>
              <w:bottom w:val="nil" w:sz="6" w:space="0" w:color="auto"/>
              <w:right w:val="nil" w:sz="6" w:space="0" w:color="auto"/>
            </w:tcBorders>
          </w:tcPr>
          <w:p>
            <w:pPr/>
          </w:p>
        </w:tc>
        <w:tc>
          <w:tcPr>
            <w:tcW w:w="2102" w:type="dxa"/>
            <w:tcBorders>
              <w:top w:val="single" w:sz="6" w:space="0" w:color="000000"/>
              <w:left w:val="nil" w:sz="6" w:space="0" w:color="auto"/>
              <w:bottom w:val="nil" w:sz="6" w:space="0" w:color="auto"/>
              <w:right w:val="nil" w:sz="6" w:space="0" w:color="auto"/>
            </w:tcBorders>
          </w:tcPr>
          <w:p>
            <w:pPr>
              <w:pStyle w:val="TableParagraph"/>
              <w:spacing w:line="240" w:lineRule="auto" w:before="33"/>
              <w:ind w:right="112"/>
              <w:jc w:val="right"/>
              <w:rPr>
                <w:rFonts w:ascii="Arial" w:hAnsi="Arial" w:cs="Arial" w:eastAsia="Arial" w:hint="default"/>
                <w:sz w:val="20"/>
                <w:szCs w:val="20"/>
              </w:rPr>
            </w:pPr>
            <w:r>
              <w:rPr>
                <w:rFonts w:ascii="Arial"/>
                <w:spacing w:val="-2"/>
                <w:sz w:val="20"/>
              </w:rPr>
              <w:t>71,818,510,385</w:t>
            </w:r>
            <w:r>
              <w:rPr>
                <w:rFonts w:ascii="Arial"/>
                <w:sz w:val="20"/>
              </w:rPr>
            </w:r>
          </w:p>
        </w:tc>
      </w:tr>
      <w:tr>
        <w:trPr>
          <w:trHeight w:val="259" w:hRule="exact"/>
        </w:trPr>
        <w:tc>
          <w:tcPr>
            <w:tcW w:w="4693"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净利润</w:t>
            </w:r>
          </w:p>
        </w:tc>
        <w:tc>
          <w:tcPr>
            <w:tcW w:w="218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2"/>
              <w:jc w:val="right"/>
              <w:rPr>
                <w:rFonts w:ascii="Arial" w:hAnsi="Arial" w:cs="Arial" w:eastAsia="Arial" w:hint="default"/>
                <w:sz w:val="20"/>
                <w:szCs w:val="20"/>
              </w:rPr>
            </w:pPr>
            <w:r>
              <w:rPr>
                <w:rFonts w:ascii="Arial"/>
                <w:spacing w:val="-2"/>
                <w:sz w:val="20"/>
              </w:rPr>
              <w:t>5,220,593,930</w:t>
            </w:r>
            <w:r>
              <w:rPr>
                <w:rFonts w:ascii="Arial"/>
                <w:sz w:val="20"/>
              </w:rPr>
            </w:r>
          </w:p>
        </w:tc>
        <w:tc>
          <w:tcPr>
            <w:tcW w:w="245" w:type="dxa"/>
            <w:tcBorders>
              <w:top w:val="nil" w:sz="6" w:space="0" w:color="auto"/>
              <w:left w:val="nil" w:sz="6" w:space="0" w:color="auto"/>
              <w:bottom w:val="nil" w:sz="6" w:space="0" w:color="auto"/>
              <w:right w:val="nil" w:sz="6" w:space="0" w:color="auto"/>
            </w:tcBorders>
          </w:tcPr>
          <w:p>
            <w:pPr/>
          </w:p>
        </w:tc>
        <w:tc>
          <w:tcPr>
            <w:tcW w:w="210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7"/>
              <w:jc w:val="right"/>
              <w:rPr>
                <w:rFonts w:ascii="Arial" w:hAnsi="Arial" w:cs="Arial" w:eastAsia="Arial" w:hint="default"/>
                <w:sz w:val="20"/>
                <w:szCs w:val="20"/>
              </w:rPr>
            </w:pPr>
            <w:r>
              <w:rPr>
                <w:rFonts w:ascii="Arial"/>
                <w:spacing w:val="-2"/>
                <w:sz w:val="20"/>
              </w:rPr>
              <w:t>2,650,669,225</w:t>
            </w:r>
            <w:r>
              <w:rPr>
                <w:rFonts w:ascii="Arial"/>
                <w:sz w:val="20"/>
              </w:rPr>
            </w:r>
          </w:p>
        </w:tc>
      </w:tr>
      <w:tr>
        <w:trPr>
          <w:trHeight w:val="259" w:hRule="exact"/>
        </w:trPr>
        <w:tc>
          <w:tcPr>
            <w:tcW w:w="4693"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其他综合收益</w:t>
            </w:r>
          </w:p>
        </w:tc>
        <w:tc>
          <w:tcPr>
            <w:tcW w:w="218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3"/>
              <w:jc w:val="right"/>
              <w:rPr>
                <w:rFonts w:ascii="Arial" w:hAnsi="Arial" w:cs="Arial" w:eastAsia="Arial" w:hint="default"/>
                <w:sz w:val="20"/>
                <w:szCs w:val="20"/>
              </w:rPr>
            </w:pPr>
            <w:r>
              <w:rPr>
                <w:rFonts w:ascii="Arial"/>
                <w:w w:val="100"/>
                <w:sz w:val="20"/>
              </w:rPr>
              <w:t>-</w:t>
            </w:r>
          </w:p>
        </w:tc>
        <w:tc>
          <w:tcPr>
            <w:tcW w:w="245" w:type="dxa"/>
            <w:tcBorders>
              <w:top w:val="nil" w:sz="6" w:space="0" w:color="auto"/>
              <w:left w:val="nil" w:sz="6" w:space="0" w:color="auto"/>
              <w:bottom w:val="nil" w:sz="6" w:space="0" w:color="auto"/>
              <w:right w:val="nil" w:sz="6" w:space="0" w:color="auto"/>
            </w:tcBorders>
          </w:tcPr>
          <w:p>
            <w:pPr/>
          </w:p>
        </w:tc>
        <w:tc>
          <w:tcPr>
            <w:tcW w:w="210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8"/>
              <w:jc w:val="right"/>
              <w:rPr>
                <w:rFonts w:ascii="Arial" w:hAnsi="Arial" w:cs="Arial" w:eastAsia="Arial" w:hint="default"/>
                <w:sz w:val="20"/>
                <w:szCs w:val="20"/>
              </w:rPr>
            </w:pPr>
            <w:r>
              <w:rPr>
                <w:rFonts w:ascii="Arial"/>
                <w:w w:val="100"/>
                <w:sz w:val="20"/>
              </w:rPr>
              <w:t>-</w:t>
            </w:r>
          </w:p>
        </w:tc>
      </w:tr>
      <w:tr>
        <w:trPr>
          <w:trHeight w:val="259" w:hRule="exact"/>
        </w:trPr>
        <w:tc>
          <w:tcPr>
            <w:tcW w:w="4693"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综合收益总额</w:t>
            </w:r>
          </w:p>
        </w:tc>
        <w:tc>
          <w:tcPr>
            <w:tcW w:w="218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2"/>
              <w:jc w:val="right"/>
              <w:rPr>
                <w:rFonts w:ascii="Arial" w:hAnsi="Arial" w:cs="Arial" w:eastAsia="Arial" w:hint="default"/>
                <w:sz w:val="20"/>
                <w:szCs w:val="20"/>
              </w:rPr>
            </w:pPr>
            <w:r>
              <w:rPr>
                <w:rFonts w:ascii="Arial"/>
                <w:spacing w:val="-2"/>
                <w:sz w:val="20"/>
              </w:rPr>
              <w:t>5,220,593,930</w:t>
            </w:r>
            <w:r>
              <w:rPr>
                <w:rFonts w:ascii="Arial"/>
                <w:sz w:val="20"/>
              </w:rPr>
            </w:r>
          </w:p>
        </w:tc>
        <w:tc>
          <w:tcPr>
            <w:tcW w:w="245" w:type="dxa"/>
            <w:tcBorders>
              <w:top w:val="nil" w:sz="6" w:space="0" w:color="auto"/>
              <w:left w:val="nil" w:sz="6" w:space="0" w:color="auto"/>
              <w:bottom w:val="nil" w:sz="6" w:space="0" w:color="auto"/>
              <w:right w:val="nil" w:sz="6" w:space="0" w:color="auto"/>
            </w:tcBorders>
          </w:tcPr>
          <w:p>
            <w:pPr/>
          </w:p>
        </w:tc>
        <w:tc>
          <w:tcPr>
            <w:tcW w:w="210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7"/>
              <w:jc w:val="right"/>
              <w:rPr>
                <w:rFonts w:ascii="Arial" w:hAnsi="Arial" w:cs="Arial" w:eastAsia="Arial" w:hint="default"/>
                <w:sz w:val="20"/>
                <w:szCs w:val="20"/>
              </w:rPr>
            </w:pPr>
            <w:r>
              <w:rPr>
                <w:rFonts w:ascii="Arial"/>
                <w:spacing w:val="-2"/>
                <w:sz w:val="20"/>
              </w:rPr>
              <w:t>2,650,669,225</w:t>
            </w:r>
            <w:r>
              <w:rPr>
                <w:rFonts w:ascii="Arial"/>
                <w:sz w:val="20"/>
              </w:rPr>
            </w:r>
          </w:p>
        </w:tc>
      </w:tr>
      <w:tr>
        <w:trPr>
          <w:trHeight w:val="243" w:hRule="exact"/>
        </w:trPr>
        <w:tc>
          <w:tcPr>
            <w:tcW w:w="4693"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宋体" w:hAnsi="宋体" w:cs="宋体" w:eastAsia="宋体" w:hint="default"/>
                <w:sz w:val="20"/>
                <w:szCs w:val="20"/>
              </w:rPr>
            </w:pPr>
            <w:r>
              <w:rPr>
                <w:rFonts w:ascii="宋体" w:hAnsi="宋体" w:cs="宋体" w:eastAsia="宋体" w:hint="default"/>
                <w:sz w:val="20"/>
                <w:szCs w:val="20"/>
              </w:rPr>
              <w:t>本年收到的来自联营企业的股利</w:t>
            </w:r>
          </w:p>
        </w:tc>
        <w:tc>
          <w:tcPr>
            <w:tcW w:w="218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4"/>
              <w:jc w:val="right"/>
              <w:rPr>
                <w:rFonts w:ascii="Arial" w:hAnsi="Arial" w:cs="Arial" w:eastAsia="Arial" w:hint="default"/>
                <w:sz w:val="20"/>
                <w:szCs w:val="20"/>
              </w:rPr>
            </w:pPr>
            <w:r>
              <w:rPr>
                <w:rFonts w:ascii="Arial"/>
                <w:spacing w:val="-2"/>
                <w:sz w:val="20"/>
              </w:rPr>
              <w:t>81,778,133</w:t>
            </w:r>
            <w:r>
              <w:rPr>
                <w:rFonts w:ascii="Arial"/>
                <w:sz w:val="20"/>
              </w:rPr>
            </w:r>
          </w:p>
        </w:tc>
        <w:tc>
          <w:tcPr>
            <w:tcW w:w="245" w:type="dxa"/>
            <w:tcBorders>
              <w:top w:val="nil" w:sz="6" w:space="0" w:color="auto"/>
              <w:left w:val="nil" w:sz="6" w:space="0" w:color="auto"/>
              <w:bottom w:val="nil" w:sz="6" w:space="0" w:color="auto"/>
              <w:right w:val="nil" w:sz="6" w:space="0" w:color="auto"/>
            </w:tcBorders>
          </w:tcPr>
          <w:p>
            <w:pPr/>
          </w:p>
        </w:tc>
        <w:tc>
          <w:tcPr>
            <w:tcW w:w="210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8"/>
              <w:jc w:val="right"/>
              <w:rPr>
                <w:rFonts w:ascii="Arial" w:hAnsi="Arial" w:cs="Arial" w:eastAsia="Arial" w:hint="default"/>
                <w:sz w:val="20"/>
                <w:szCs w:val="20"/>
              </w:rPr>
            </w:pPr>
            <w:r>
              <w:rPr>
                <w:rFonts w:ascii="Arial"/>
                <w:w w:val="100"/>
                <w:sz w:val="20"/>
              </w:rPr>
              <w:t>-</w:t>
            </w:r>
          </w:p>
        </w:tc>
      </w:tr>
    </w:tbl>
    <w:p>
      <w:pPr>
        <w:spacing w:line="240" w:lineRule="auto" w:before="2"/>
        <w:rPr>
          <w:rFonts w:ascii="宋体" w:hAnsi="宋体" w:cs="宋体" w:eastAsia="宋体" w:hint="default"/>
          <w:sz w:val="14"/>
          <w:szCs w:val="14"/>
        </w:rPr>
      </w:pPr>
    </w:p>
    <w:p>
      <w:pPr>
        <w:pStyle w:val="BodyText"/>
        <w:spacing w:line="296" w:lineRule="exact" w:before="32"/>
        <w:ind w:left="559" w:right="0"/>
        <w:jc w:val="left"/>
      </w:pPr>
      <w:r>
        <w:rPr/>
        <w:t>于</w:t>
      </w:r>
      <w:r>
        <w:rPr>
          <w:spacing w:val="-37"/>
        </w:rPr>
        <w:t> </w:t>
      </w:r>
      <w:r>
        <w:rPr>
          <w:rFonts w:ascii="Arial" w:hAnsi="Arial" w:cs="Arial" w:eastAsia="Arial" w:hint="default"/>
        </w:rPr>
        <w:t>2019</w:t>
      </w:r>
      <w:r>
        <w:rPr>
          <w:rFonts w:ascii="Arial" w:hAnsi="Arial" w:cs="Arial" w:eastAsia="Arial" w:hint="default"/>
          <w:spacing w:val="13"/>
        </w:rPr>
        <w:t> </w:t>
      </w:r>
      <w:r>
        <w:rPr/>
        <w:t>年</w:t>
      </w:r>
      <w:r>
        <w:rPr>
          <w:spacing w:val="-42"/>
        </w:rPr>
        <w:t> </w:t>
      </w:r>
      <w:r>
        <w:rPr>
          <w:rFonts w:ascii="Arial" w:hAnsi="Arial" w:cs="Arial" w:eastAsia="Arial" w:hint="default"/>
        </w:rPr>
        <w:t>1</w:t>
      </w:r>
      <w:r>
        <w:rPr>
          <w:rFonts w:ascii="Arial" w:hAnsi="Arial" w:cs="Arial" w:eastAsia="Arial" w:hint="default"/>
          <w:spacing w:val="13"/>
        </w:rPr>
        <w:t> </w:t>
      </w:r>
      <w:r>
        <w:rPr/>
        <w:t>月</w:t>
      </w:r>
      <w:r>
        <w:rPr>
          <w:spacing w:val="-37"/>
        </w:rPr>
        <w:t> </w:t>
      </w:r>
      <w:r>
        <w:rPr>
          <w:rFonts w:ascii="Arial" w:hAnsi="Arial" w:cs="Arial" w:eastAsia="Arial" w:hint="default"/>
        </w:rPr>
        <w:t>1</w:t>
      </w:r>
      <w:r>
        <w:rPr>
          <w:rFonts w:ascii="Arial" w:hAnsi="Arial" w:cs="Arial" w:eastAsia="Arial" w:hint="default"/>
          <w:spacing w:val="9"/>
        </w:rPr>
        <w:t> </w:t>
      </w:r>
      <w:r>
        <w:rPr/>
        <w:t>日，铁塔公司首次适用新租赁准则，根据首次执行新租赁准则的累积影响数，</w:t>
      </w:r>
    </w:p>
    <w:p>
      <w:pPr>
        <w:pStyle w:val="BodyText"/>
        <w:spacing w:line="296" w:lineRule="exact"/>
        <w:ind w:left="559" w:right="0"/>
        <w:jc w:val="left"/>
      </w:pPr>
      <w:r>
        <w:rPr/>
        <w:t>调整首次执行当年年初股东权益的金额为人民币</w:t>
      </w:r>
      <w:r>
        <w:rPr>
          <w:spacing w:val="-58"/>
        </w:rPr>
        <w:t> </w:t>
      </w:r>
      <w:r>
        <w:rPr>
          <w:rFonts w:ascii="Arial" w:hAnsi="Arial" w:cs="Arial" w:eastAsia="Arial" w:hint="default"/>
        </w:rPr>
        <w:t>12.81</w:t>
      </w:r>
      <w:r>
        <w:rPr>
          <w:rFonts w:ascii="Arial" w:hAnsi="Arial" w:cs="Arial" w:eastAsia="Arial" w:hint="default"/>
          <w:spacing w:val="-6"/>
        </w:rPr>
        <w:t> </w:t>
      </w:r>
      <w:r>
        <w:rPr/>
        <w:t>亿元，不调整可比期间信息。</w:t>
      </w:r>
    </w:p>
    <w:p>
      <w:pPr>
        <w:spacing w:after="0" w:line="296" w:lineRule="exact"/>
        <w:jc w:val="left"/>
        <w:sectPr>
          <w:headerReference w:type="default" r:id="rId215"/>
          <w:pgSz w:w="11910" w:h="16840"/>
          <w:pgMar w:header="1192" w:footer="502" w:top="3580" w:bottom="700" w:left="1020" w:right="900"/>
        </w:sectPr>
      </w:pPr>
    </w:p>
    <w:p>
      <w:pPr>
        <w:spacing w:line="240" w:lineRule="auto" w:before="7"/>
        <w:rPr>
          <w:rFonts w:ascii="宋体" w:hAnsi="宋体" w:cs="宋体" w:eastAsia="宋体" w:hint="default"/>
          <w:sz w:val="16"/>
          <w:szCs w:val="16"/>
        </w:rPr>
      </w:pPr>
    </w:p>
    <w:p>
      <w:pPr>
        <w:pStyle w:val="BodyText"/>
        <w:spacing w:line="240" w:lineRule="auto" w:before="32"/>
        <w:ind w:left="112" w:right="0"/>
        <w:jc w:val="left"/>
      </w:pPr>
      <w:bookmarkStart w:name="1、 金融风险因素" w:id="34"/>
      <w:bookmarkEnd w:id="34"/>
      <w:r>
        <w:rPr/>
      </w:r>
      <w:r>
        <w:rPr>
          <w:rFonts w:ascii="Arial" w:hAnsi="Arial" w:cs="Arial" w:eastAsia="Arial" w:hint="default"/>
        </w:rPr>
        <w:t>1</w:t>
      </w:r>
      <w:r>
        <w:rPr/>
        <w:t>、</w:t>
      </w:r>
      <w:r>
        <w:rPr>
          <w:spacing w:val="3"/>
        </w:rPr>
        <w:t> </w:t>
      </w:r>
      <w:r>
        <w:rPr/>
        <w:t>金融风险因素</w:t>
      </w:r>
    </w:p>
    <w:p>
      <w:pPr>
        <w:spacing w:line="240" w:lineRule="auto" w:before="1"/>
        <w:rPr>
          <w:rFonts w:ascii="宋体" w:hAnsi="宋体" w:cs="宋体" w:eastAsia="宋体" w:hint="default"/>
          <w:sz w:val="18"/>
          <w:szCs w:val="18"/>
        </w:rPr>
      </w:pPr>
    </w:p>
    <w:p>
      <w:pPr>
        <w:pStyle w:val="BodyText"/>
        <w:spacing w:line="237" w:lineRule="auto"/>
        <w:ind w:left="587" w:right="110"/>
        <w:jc w:val="both"/>
      </w:pPr>
      <w:r>
        <w:rPr>
          <w:spacing w:val="-1"/>
        </w:rPr>
        <w:t>本集团的经营活动会涉及各种金融风险，包括：市场风险（包括外汇风险、价格风险、现金流</w:t>
      </w:r>
      <w:r>
        <w:rPr>
          <w:spacing w:val="-42"/>
        </w:rPr>
        <w:t> </w:t>
      </w:r>
      <w:r>
        <w:rPr>
          <w:spacing w:val="-42"/>
        </w:rPr>
      </w:r>
      <w:r>
        <w:rPr>
          <w:spacing w:val="-1"/>
        </w:rPr>
        <w:t>量利率风险及公允价值利率风险），信用风险和流动性风险。本集团整体风险管理计划是针对</w:t>
      </w:r>
      <w:r>
        <w:rPr>
          <w:spacing w:val="-42"/>
        </w:rPr>
        <w:t> </w:t>
      </w:r>
      <w:r>
        <w:rPr>
          <w:spacing w:val="-42"/>
        </w:rPr>
      </w:r>
      <w:r>
        <w:rPr/>
        <w:t>金融市场的不可预见性，尽可能减少对本集团财务业绩的潜在不利影响。</w:t>
      </w:r>
    </w:p>
    <w:p>
      <w:pPr>
        <w:spacing w:line="240" w:lineRule="auto" w:before="1"/>
        <w:rPr>
          <w:rFonts w:ascii="宋体" w:hAnsi="宋体" w:cs="宋体" w:eastAsia="宋体" w:hint="default"/>
          <w:sz w:val="19"/>
          <w:szCs w:val="19"/>
        </w:rPr>
      </w:pPr>
    </w:p>
    <w:p>
      <w:pPr>
        <w:pStyle w:val="BodyText"/>
        <w:tabs>
          <w:tab w:pos="588" w:val="left" w:leader="none"/>
        </w:tabs>
        <w:spacing w:line="240" w:lineRule="auto"/>
        <w:ind w:left="113" w:right="0"/>
        <w:jc w:val="left"/>
      </w:pPr>
      <w:bookmarkStart w:name="(a) 市场风险" w:id="35"/>
      <w:bookmarkEnd w:id="35"/>
      <w:r>
        <w:rPr/>
      </w:r>
      <w:r>
        <w:rPr>
          <w:rFonts w:ascii="Arial" w:hAnsi="Arial" w:cs="Arial" w:eastAsia="Arial" w:hint="default"/>
        </w:rPr>
        <w:t>(a)</w:t>
        <w:tab/>
      </w:r>
      <w:r>
        <w:rPr/>
        <w:t>市场风险</w:t>
      </w:r>
    </w:p>
    <w:p>
      <w:pPr>
        <w:spacing w:line="240" w:lineRule="auto" w:before="11"/>
        <w:rPr>
          <w:rFonts w:ascii="宋体" w:hAnsi="宋体" w:cs="宋体" w:eastAsia="宋体" w:hint="default"/>
          <w:sz w:val="17"/>
          <w:szCs w:val="17"/>
        </w:rPr>
      </w:pPr>
    </w:p>
    <w:p>
      <w:pPr>
        <w:pStyle w:val="BodyText"/>
        <w:tabs>
          <w:tab w:pos="588" w:val="left" w:leader="none"/>
        </w:tabs>
        <w:spacing w:line="240" w:lineRule="auto"/>
        <w:ind w:left="113" w:right="0"/>
        <w:jc w:val="left"/>
      </w:pPr>
      <w:bookmarkStart w:name="(1) 汇率风险" w:id="36"/>
      <w:bookmarkEnd w:id="36"/>
      <w:r>
        <w:rPr/>
      </w:r>
      <w:r>
        <w:rPr>
          <w:rFonts w:ascii="Arial" w:hAnsi="Arial" w:cs="Arial" w:eastAsia="Arial" w:hint="default"/>
        </w:rPr>
        <w:t>(1)</w:t>
        <w:tab/>
      </w:r>
      <w:r>
        <w:rPr/>
        <w:t>汇率风险</w:t>
      </w:r>
    </w:p>
    <w:p>
      <w:pPr>
        <w:spacing w:line="240" w:lineRule="auto" w:before="1"/>
        <w:rPr>
          <w:rFonts w:ascii="宋体" w:hAnsi="宋体" w:cs="宋体" w:eastAsia="宋体" w:hint="default"/>
          <w:sz w:val="18"/>
          <w:szCs w:val="18"/>
        </w:rPr>
      </w:pPr>
    </w:p>
    <w:p>
      <w:pPr>
        <w:pStyle w:val="BodyText"/>
        <w:spacing w:line="237" w:lineRule="auto"/>
        <w:ind w:left="588" w:right="105"/>
        <w:jc w:val="both"/>
      </w:pPr>
      <w:r>
        <w:rPr/>
        <w:t>本集团的主要经营位于中国境内，主要业务也以人民币结算。但本集团承受因多种不同货币产</w:t>
      </w:r>
      <w:r>
        <w:rPr>
          <w:spacing w:val="-83"/>
        </w:rPr>
        <w:t> </w:t>
      </w:r>
      <w:r>
        <w:rPr>
          <w:spacing w:val="-83"/>
        </w:rPr>
      </w:r>
      <w:r>
        <w:rPr/>
        <w:t>生的外汇风险，主要涉及美元、港币和欧元等，如以外币支付款项予设备供货商和承办商或贷</w:t>
      </w:r>
      <w:r>
        <w:rPr>
          <w:spacing w:val="-83"/>
        </w:rPr>
        <w:t> </w:t>
      </w:r>
      <w:r>
        <w:rPr>
          <w:spacing w:val="-83"/>
        </w:rPr>
      </w:r>
      <w:r>
        <w:rPr/>
        <w:t>款人等情况下，即存在外汇风险。</w:t>
      </w:r>
    </w:p>
    <w:p>
      <w:pPr>
        <w:spacing w:line="240" w:lineRule="auto" w:before="9"/>
        <w:rPr>
          <w:rFonts w:ascii="宋体" w:hAnsi="宋体" w:cs="宋体" w:eastAsia="宋体" w:hint="default"/>
          <w:sz w:val="19"/>
          <w:szCs w:val="19"/>
        </w:rPr>
      </w:pPr>
    </w:p>
    <w:p>
      <w:pPr>
        <w:pStyle w:val="BodyText"/>
        <w:spacing w:line="232" w:lineRule="auto"/>
        <w:ind w:left="587" w:right="101"/>
        <w:jc w:val="both"/>
      </w:pPr>
      <w:r>
        <w:rPr/>
        <w:t>本集团资金管理中心负责监管集团外币资产及负债规模。本集团可能签署远期外汇合约或货币</w:t>
      </w:r>
      <w:r>
        <w:rPr>
          <w:spacing w:val="-78"/>
        </w:rPr>
        <w:t> </w:t>
      </w:r>
      <w:r>
        <w:rPr>
          <w:spacing w:val="-3"/>
        </w:rPr>
        <w:t>掉期合约以规避外汇风险。于</w:t>
      </w:r>
      <w:r>
        <w:rPr>
          <w:rFonts w:ascii="Arial" w:hAnsi="Arial" w:cs="Arial" w:eastAsia="Arial" w:hint="default"/>
          <w:spacing w:val="-3"/>
        </w:rPr>
        <w:t>2019</w:t>
      </w:r>
      <w:r>
        <w:rPr>
          <w:spacing w:val="-3"/>
        </w:rPr>
        <w:t>年度以及</w:t>
      </w:r>
      <w:r>
        <w:rPr>
          <w:rFonts w:ascii="Arial" w:hAnsi="Arial" w:cs="Arial" w:eastAsia="Arial" w:hint="default"/>
          <w:spacing w:val="-3"/>
        </w:rPr>
        <w:t>2018</w:t>
      </w:r>
      <w:r>
        <w:rPr>
          <w:spacing w:val="-3"/>
        </w:rPr>
        <w:t>年度，本集团未签署任何远期外汇合约或货币</w:t>
      </w:r>
      <w:r>
        <w:rPr>
          <w:spacing w:val="-40"/>
        </w:rPr>
        <w:t> </w:t>
      </w:r>
      <w:r>
        <w:rPr>
          <w:spacing w:val="-40"/>
        </w:rPr>
      </w:r>
      <w:r>
        <w:rPr/>
        <w:t>掉期合约。</w:t>
      </w:r>
    </w:p>
    <w:p>
      <w:pPr>
        <w:spacing w:line="240" w:lineRule="auto" w:before="2"/>
        <w:rPr>
          <w:rFonts w:ascii="宋体" w:hAnsi="宋体" w:cs="宋体" w:eastAsia="宋体" w:hint="default"/>
          <w:sz w:val="19"/>
          <w:szCs w:val="19"/>
        </w:rPr>
      </w:pPr>
    </w:p>
    <w:p>
      <w:pPr>
        <w:pStyle w:val="BodyText"/>
        <w:spacing w:line="240" w:lineRule="auto"/>
        <w:ind w:left="587" w:right="0"/>
        <w:jc w:val="both"/>
      </w:pPr>
      <w:r>
        <w:rPr/>
        <w:t>本集团适用的折算汇率分析如下：</w:t>
      </w:r>
    </w:p>
    <w:p>
      <w:pPr>
        <w:spacing w:line="240" w:lineRule="auto" w:before="8"/>
        <w:rPr>
          <w:rFonts w:ascii="宋体" w:hAnsi="宋体" w:cs="宋体" w:eastAsia="宋体" w:hint="default"/>
          <w:sz w:val="24"/>
          <w:szCs w:val="24"/>
        </w:rPr>
      </w:pPr>
    </w:p>
    <w:tbl>
      <w:tblPr>
        <w:tblW w:w="0" w:type="auto"/>
        <w:jc w:val="left"/>
        <w:tblInd w:w="431" w:type="dxa"/>
        <w:tblLayout w:type="fixed"/>
        <w:tblCellMar>
          <w:top w:w="0" w:type="dxa"/>
          <w:left w:w="0" w:type="dxa"/>
          <w:bottom w:w="0" w:type="dxa"/>
          <w:right w:w="0" w:type="dxa"/>
        </w:tblCellMar>
        <w:tblLook w:val="01E0"/>
      </w:tblPr>
      <w:tblGrid>
        <w:gridCol w:w="3714"/>
        <w:gridCol w:w="2693"/>
        <w:gridCol w:w="134"/>
        <w:gridCol w:w="2664"/>
      </w:tblGrid>
      <w:tr>
        <w:trPr>
          <w:trHeight w:val="263" w:hRule="exact"/>
        </w:trPr>
        <w:tc>
          <w:tcPr>
            <w:tcW w:w="3714" w:type="dxa"/>
            <w:tcBorders>
              <w:top w:val="nil" w:sz="6" w:space="0" w:color="auto"/>
              <w:left w:val="nil" w:sz="6" w:space="0" w:color="auto"/>
              <w:bottom w:val="nil" w:sz="6" w:space="0" w:color="auto"/>
              <w:right w:val="nil" w:sz="6" w:space="0" w:color="auto"/>
            </w:tcBorders>
          </w:tcPr>
          <w:p>
            <w:pPr>
              <w:pStyle w:val="TableParagraph"/>
              <w:spacing w:line="221" w:lineRule="exact"/>
              <w:ind w:left="200" w:right="0"/>
              <w:jc w:val="left"/>
              <w:rPr>
                <w:rFonts w:ascii="宋体" w:hAnsi="宋体" w:cs="宋体" w:eastAsia="宋体" w:hint="default"/>
                <w:sz w:val="22"/>
                <w:szCs w:val="22"/>
              </w:rPr>
            </w:pPr>
            <w:r>
              <w:rPr>
                <w:rFonts w:ascii="宋体" w:hAnsi="宋体" w:cs="宋体" w:eastAsia="宋体" w:hint="default"/>
                <w:sz w:val="22"/>
                <w:szCs w:val="22"/>
              </w:rPr>
              <w:t>币种</w:t>
            </w:r>
          </w:p>
        </w:tc>
        <w:tc>
          <w:tcPr>
            <w:tcW w:w="2693" w:type="dxa"/>
            <w:tcBorders>
              <w:top w:val="nil" w:sz="6" w:space="0" w:color="auto"/>
              <w:left w:val="nil" w:sz="6" w:space="0" w:color="auto"/>
              <w:bottom w:val="single" w:sz="4" w:space="0" w:color="000000"/>
              <w:right w:val="nil" w:sz="6" w:space="0" w:color="auto"/>
            </w:tcBorders>
          </w:tcPr>
          <w:p>
            <w:pPr>
              <w:pStyle w:val="TableParagraph"/>
              <w:spacing w:line="238" w:lineRule="exact"/>
              <w:ind w:right="50"/>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134" w:type="dxa"/>
            <w:tcBorders>
              <w:top w:val="nil" w:sz="6" w:space="0" w:color="auto"/>
              <w:left w:val="nil" w:sz="6" w:space="0" w:color="auto"/>
              <w:bottom w:val="nil" w:sz="6" w:space="0" w:color="auto"/>
              <w:right w:val="nil" w:sz="6" w:space="0" w:color="auto"/>
            </w:tcBorders>
          </w:tcPr>
          <w:p>
            <w:pPr/>
          </w:p>
        </w:tc>
        <w:tc>
          <w:tcPr>
            <w:tcW w:w="2664" w:type="dxa"/>
            <w:tcBorders>
              <w:top w:val="nil" w:sz="6" w:space="0" w:color="auto"/>
              <w:left w:val="nil" w:sz="6" w:space="0" w:color="auto"/>
              <w:bottom w:val="single" w:sz="4" w:space="0" w:color="000000"/>
              <w:right w:val="nil" w:sz="6" w:space="0" w:color="auto"/>
            </w:tcBorders>
          </w:tcPr>
          <w:p>
            <w:pPr>
              <w:pStyle w:val="TableParagraph"/>
              <w:spacing w:line="238" w:lineRule="exact"/>
              <w:ind w:right="50"/>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482" w:hRule="exact"/>
        </w:trPr>
        <w:tc>
          <w:tcPr>
            <w:tcW w:w="3714" w:type="dxa"/>
            <w:tcBorders>
              <w:top w:val="nil" w:sz="6" w:space="0" w:color="auto"/>
              <w:left w:val="nil" w:sz="6" w:space="0" w:color="auto"/>
              <w:bottom w:val="nil" w:sz="6" w:space="0" w:color="auto"/>
              <w:right w:val="nil" w:sz="6" w:space="0" w:color="auto"/>
            </w:tcBorders>
          </w:tcPr>
          <w:p>
            <w:pPr>
              <w:pStyle w:val="TableParagraph"/>
              <w:spacing w:line="240" w:lineRule="auto" w:before="169"/>
              <w:ind w:left="224" w:right="0"/>
              <w:jc w:val="left"/>
              <w:rPr>
                <w:rFonts w:ascii="宋体" w:hAnsi="宋体" w:cs="宋体" w:eastAsia="宋体" w:hint="default"/>
                <w:sz w:val="20"/>
                <w:szCs w:val="20"/>
              </w:rPr>
            </w:pPr>
            <w:r>
              <w:rPr>
                <w:rFonts w:ascii="宋体" w:hAnsi="宋体" w:cs="宋体" w:eastAsia="宋体" w:hint="default"/>
                <w:sz w:val="20"/>
                <w:szCs w:val="20"/>
              </w:rPr>
              <w:t>美元</w:t>
            </w:r>
          </w:p>
        </w:tc>
        <w:tc>
          <w:tcPr>
            <w:tcW w:w="2693" w:type="dxa"/>
            <w:tcBorders>
              <w:top w:val="single" w:sz="4" w:space="0" w:color="000000"/>
              <w:left w:val="nil" w:sz="6" w:space="0" w:color="auto"/>
              <w:bottom w:val="nil" w:sz="6" w:space="0" w:color="auto"/>
              <w:right w:val="nil" w:sz="6" w:space="0" w:color="auto"/>
            </w:tcBorders>
          </w:tcPr>
          <w:p>
            <w:pPr>
              <w:pStyle w:val="TableParagraph"/>
              <w:spacing w:line="240" w:lineRule="auto" w:before="165"/>
              <w:ind w:right="50"/>
              <w:jc w:val="right"/>
              <w:rPr>
                <w:rFonts w:ascii="宋体" w:hAnsi="宋体" w:cs="宋体" w:eastAsia="宋体" w:hint="default"/>
                <w:sz w:val="20"/>
                <w:szCs w:val="20"/>
              </w:rPr>
            </w:pPr>
            <w:r>
              <w:rPr>
                <w:rFonts w:ascii="Arial" w:hAnsi="Arial" w:cs="Arial" w:eastAsia="Arial" w:hint="default"/>
                <w:sz w:val="20"/>
                <w:szCs w:val="20"/>
              </w:rPr>
              <w:t>1 </w:t>
            </w:r>
            <w:r>
              <w:rPr>
                <w:rFonts w:ascii="宋体" w:hAnsi="宋体" w:cs="宋体" w:eastAsia="宋体" w:hint="default"/>
                <w:sz w:val="20"/>
                <w:szCs w:val="20"/>
              </w:rPr>
              <w:t>美元</w:t>
            </w:r>
            <w:r>
              <w:rPr>
                <w:rFonts w:ascii="Arial" w:hAnsi="Arial" w:cs="Arial" w:eastAsia="Arial" w:hint="default"/>
                <w:sz w:val="20"/>
                <w:szCs w:val="20"/>
              </w:rPr>
              <w:t>=6.9762</w:t>
            </w:r>
            <w:r>
              <w:rPr>
                <w:rFonts w:ascii="Arial" w:hAnsi="Arial" w:cs="Arial" w:eastAsia="Arial" w:hint="default"/>
                <w:spacing w:val="-11"/>
                <w:sz w:val="20"/>
                <w:szCs w:val="20"/>
              </w:rPr>
              <w:t> </w:t>
            </w:r>
            <w:r>
              <w:rPr>
                <w:rFonts w:ascii="宋体" w:hAnsi="宋体" w:cs="宋体" w:eastAsia="宋体" w:hint="default"/>
                <w:sz w:val="20"/>
                <w:szCs w:val="20"/>
              </w:rPr>
              <w:t>人民币</w:t>
            </w:r>
          </w:p>
        </w:tc>
        <w:tc>
          <w:tcPr>
            <w:tcW w:w="134" w:type="dxa"/>
            <w:tcBorders>
              <w:top w:val="nil" w:sz="6" w:space="0" w:color="auto"/>
              <w:left w:val="nil" w:sz="6" w:space="0" w:color="auto"/>
              <w:bottom w:val="nil" w:sz="6" w:space="0" w:color="auto"/>
              <w:right w:val="nil" w:sz="6" w:space="0" w:color="auto"/>
            </w:tcBorders>
          </w:tcPr>
          <w:p>
            <w:pPr/>
          </w:p>
        </w:tc>
        <w:tc>
          <w:tcPr>
            <w:tcW w:w="2664" w:type="dxa"/>
            <w:tcBorders>
              <w:top w:val="single" w:sz="4" w:space="0" w:color="000000"/>
              <w:left w:val="nil" w:sz="6" w:space="0" w:color="auto"/>
              <w:bottom w:val="nil" w:sz="6" w:space="0" w:color="auto"/>
              <w:right w:val="nil" w:sz="6" w:space="0" w:color="auto"/>
            </w:tcBorders>
          </w:tcPr>
          <w:p>
            <w:pPr>
              <w:pStyle w:val="TableParagraph"/>
              <w:spacing w:line="240" w:lineRule="auto" w:before="165"/>
              <w:ind w:right="50"/>
              <w:jc w:val="right"/>
              <w:rPr>
                <w:rFonts w:ascii="宋体" w:hAnsi="宋体" w:cs="宋体" w:eastAsia="宋体" w:hint="default"/>
                <w:sz w:val="20"/>
                <w:szCs w:val="20"/>
              </w:rPr>
            </w:pPr>
            <w:r>
              <w:rPr>
                <w:rFonts w:ascii="Arial" w:hAnsi="Arial" w:cs="Arial" w:eastAsia="Arial" w:hint="default"/>
                <w:sz w:val="20"/>
                <w:szCs w:val="20"/>
              </w:rPr>
              <w:t>1 </w:t>
            </w:r>
            <w:r>
              <w:rPr>
                <w:rFonts w:ascii="宋体" w:hAnsi="宋体" w:cs="宋体" w:eastAsia="宋体" w:hint="default"/>
                <w:sz w:val="20"/>
                <w:szCs w:val="20"/>
              </w:rPr>
              <w:t>美元</w:t>
            </w:r>
            <w:r>
              <w:rPr>
                <w:rFonts w:ascii="Arial" w:hAnsi="Arial" w:cs="Arial" w:eastAsia="Arial" w:hint="default"/>
                <w:sz w:val="20"/>
                <w:szCs w:val="20"/>
              </w:rPr>
              <w:t>=6.8632</w:t>
            </w:r>
            <w:r>
              <w:rPr>
                <w:rFonts w:ascii="Arial" w:hAnsi="Arial" w:cs="Arial" w:eastAsia="Arial" w:hint="default"/>
                <w:spacing w:val="-11"/>
                <w:sz w:val="20"/>
                <w:szCs w:val="20"/>
              </w:rPr>
              <w:t> </w:t>
            </w:r>
            <w:r>
              <w:rPr>
                <w:rFonts w:ascii="宋体" w:hAnsi="宋体" w:cs="宋体" w:eastAsia="宋体" w:hint="default"/>
                <w:sz w:val="20"/>
                <w:szCs w:val="20"/>
              </w:rPr>
              <w:t>人民币</w:t>
            </w:r>
          </w:p>
        </w:tc>
      </w:tr>
      <w:tr>
        <w:trPr>
          <w:trHeight w:val="290" w:hRule="exact"/>
        </w:trPr>
        <w:tc>
          <w:tcPr>
            <w:tcW w:w="3714" w:type="dxa"/>
            <w:tcBorders>
              <w:top w:val="nil" w:sz="6" w:space="0" w:color="auto"/>
              <w:left w:val="nil" w:sz="6" w:space="0" w:color="auto"/>
              <w:bottom w:val="nil" w:sz="6" w:space="0" w:color="auto"/>
              <w:right w:val="nil" w:sz="6" w:space="0" w:color="auto"/>
            </w:tcBorders>
          </w:tcPr>
          <w:p>
            <w:pPr>
              <w:pStyle w:val="TableParagraph"/>
              <w:spacing w:line="242" w:lineRule="exact"/>
              <w:ind w:left="224" w:right="0"/>
              <w:jc w:val="left"/>
              <w:rPr>
                <w:rFonts w:ascii="宋体" w:hAnsi="宋体" w:cs="宋体" w:eastAsia="宋体" w:hint="default"/>
                <w:sz w:val="20"/>
                <w:szCs w:val="20"/>
              </w:rPr>
            </w:pPr>
            <w:r>
              <w:rPr>
                <w:rFonts w:ascii="宋体" w:hAnsi="宋体" w:cs="宋体" w:eastAsia="宋体" w:hint="default"/>
                <w:sz w:val="20"/>
                <w:szCs w:val="20"/>
              </w:rPr>
              <w:t>港币</w:t>
            </w:r>
          </w:p>
        </w:tc>
        <w:tc>
          <w:tcPr>
            <w:tcW w:w="2693" w:type="dxa"/>
            <w:tcBorders>
              <w:top w:val="nil" w:sz="6" w:space="0" w:color="auto"/>
              <w:left w:val="nil" w:sz="6" w:space="0" w:color="auto"/>
              <w:bottom w:val="nil" w:sz="6" w:space="0" w:color="auto"/>
              <w:right w:val="nil" w:sz="6" w:space="0" w:color="auto"/>
            </w:tcBorders>
          </w:tcPr>
          <w:p>
            <w:pPr>
              <w:pStyle w:val="TableParagraph"/>
              <w:spacing w:line="256" w:lineRule="exact"/>
              <w:ind w:right="50"/>
              <w:jc w:val="right"/>
              <w:rPr>
                <w:rFonts w:ascii="宋体" w:hAnsi="宋体" w:cs="宋体" w:eastAsia="宋体" w:hint="default"/>
                <w:sz w:val="20"/>
                <w:szCs w:val="20"/>
              </w:rPr>
            </w:pPr>
            <w:r>
              <w:rPr>
                <w:rFonts w:ascii="Arial" w:hAnsi="Arial" w:cs="Arial" w:eastAsia="Arial" w:hint="default"/>
                <w:sz w:val="20"/>
                <w:szCs w:val="20"/>
              </w:rPr>
              <w:t>1 </w:t>
            </w:r>
            <w:r>
              <w:rPr>
                <w:rFonts w:ascii="宋体" w:hAnsi="宋体" w:cs="宋体" w:eastAsia="宋体" w:hint="default"/>
                <w:sz w:val="20"/>
                <w:szCs w:val="20"/>
              </w:rPr>
              <w:t>港币</w:t>
            </w:r>
            <w:r>
              <w:rPr>
                <w:rFonts w:ascii="Arial" w:hAnsi="Arial" w:cs="Arial" w:eastAsia="Arial" w:hint="default"/>
                <w:sz w:val="20"/>
                <w:szCs w:val="20"/>
              </w:rPr>
              <w:t>=0.8958</w:t>
            </w:r>
            <w:r>
              <w:rPr>
                <w:rFonts w:ascii="Arial" w:hAnsi="Arial" w:cs="Arial" w:eastAsia="Arial" w:hint="default"/>
                <w:spacing w:val="-11"/>
                <w:sz w:val="20"/>
                <w:szCs w:val="20"/>
              </w:rPr>
              <w:t> </w:t>
            </w:r>
            <w:r>
              <w:rPr>
                <w:rFonts w:ascii="宋体" w:hAnsi="宋体" w:cs="宋体" w:eastAsia="宋体" w:hint="default"/>
                <w:sz w:val="20"/>
                <w:szCs w:val="20"/>
              </w:rPr>
              <w:t>人民币</w:t>
            </w:r>
          </w:p>
        </w:tc>
        <w:tc>
          <w:tcPr>
            <w:tcW w:w="134" w:type="dxa"/>
            <w:tcBorders>
              <w:top w:val="nil" w:sz="6" w:space="0" w:color="auto"/>
              <w:left w:val="nil" w:sz="6" w:space="0" w:color="auto"/>
              <w:bottom w:val="nil" w:sz="6" w:space="0" w:color="auto"/>
              <w:right w:val="nil" w:sz="6" w:space="0" w:color="auto"/>
            </w:tcBorders>
          </w:tcPr>
          <w:p>
            <w:pPr/>
          </w:p>
        </w:tc>
        <w:tc>
          <w:tcPr>
            <w:tcW w:w="2664" w:type="dxa"/>
            <w:tcBorders>
              <w:top w:val="nil" w:sz="6" w:space="0" w:color="auto"/>
              <w:left w:val="nil" w:sz="6" w:space="0" w:color="auto"/>
              <w:bottom w:val="nil" w:sz="6" w:space="0" w:color="auto"/>
              <w:right w:val="nil" w:sz="6" w:space="0" w:color="auto"/>
            </w:tcBorders>
          </w:tcPr>
          <w:p>
            <w:pPr>
              <w:pStyle w:val="TableParagraph"/>
              <w:spacing w:line="256" w:lineRule="exact"/>
              <w:ind w:right="50"/>
              <w:jc w:val="right"/>
              <w:rPr>
                <w:rFonts w:ascii="宋体" w:hAnsi="宋体" w:cs="宋体" w:eastAsia="宋体" w:hint="default"/>
                <w:sz w:val="20"/>
                <w:szCs w:val="20"/>
              </w:rPr>
            </w:pPr>
            <w:r>
              <w:rPr>
                <w:rFonts w:ascii="Arial" w:hAnsi="Arial" w:cs="Arial" w:eastAsia="Arial" w:hint="default"/>
                <w:sz w:val="20"/>
                <w:szCs w:val="20"/>
              </w:rPr>
              <w:t>1 </w:t>
            </w:r>
            <w:r>
              <w:rPr>
                <w:rFonts w:ascii="宋体" w:hAnsi="宋体" w:cs="宋体" w:eastAsia="宋体" w:hint="default"/>
                <w:sz w:val="20"/>
                <w:szCs w:val="20"/>
              </w:rPr>
              <w:t>港币</w:t>
            </w:r>
            <w:r>
              <w:rPr>
                <w:rFonts w:ascii="Arial" w:hAnsi="Arial" w:cs="Arial" w:eastAsia="Arial" w:hint="default"/>
                <w:sz w:val="20"/>
                <w:szCs w:val="20"/>
              </w:rPr>
              <w:t>=0.8762</w:t>
            </w:r>
            <w:r>
              <w:rPr>
                <w:rFonts w:ascii="Arial" w:hAnsi="Arial" w:cs="Arial" w:eastAsia="Arial" w:hint="default"/>
                <w:spacing w:val="-11"/>
                <w:sz w:val="20"/>
                <w:szCs w:val="20"/>
              </w:rPr>
              <w:t> </w:t>
            </w:r>
            <w:r>
              <w:rPr>
                <w:rFonts w:ascii="宋体" w:hAnsi="宋体" w:cs="宋体" w:eastAsia="宋体" w:hint="default"/>
                <w:sz w:val="20"/>
                <w:szCs w:val="20"/>
              </w:rPr>
              <w:t>人民币</w:t>
            </w:r>
          </w:p>
        </w:tc>
      </w:tr>
      <w:tr>
        <w:trPr>
          <w:trHeight w:val="290" w:hRule="exact"/>
        </w:trPr>
        <w:tc>
          <w:tcPr>
            <w:tcW w:w="3714" w:type="dxa"/>
            <w:tcBorders>
              <w:top w:val="nil" w:sz="6" w:space="0" w:color="auto"/>
              <w:left w:val="nil" w:sz="6" w:space="0" w:color="auto"/>
              <w:bottom w:val="nil" w:sz="6" w:space="0" w:color="auto"/>
              <w:right w:val="nil" w:sz="6" w:space="0" w:color="auto"/>
            </w:tcBorders>
          </w:tcPr>
          <w:p>
            <w:pPr>
              <w:pStyle w:val="TableParagraph"/>
              <w:spacing w:line="240" w:lineRule="exact"/>
              <w:ind w:left="224" w:right="0"/>
              <w:jc w:val="left"/>
              <w:rPr>
                <w:rFonts w:ascii="宋体" w:hAnsi="宋体" w:cs="宋体" w:eastAsia="宋体" w:hint="default"/>
                <w:sz w:val="20"/>
                <w:szCs w:val="20"/>
              </w:rPr>
            </w:pPr>
            <w:r>
              <w:rPr>
                <w:rFonts w:ascii="宋体" w:hAnsi="宋体" w:cs="宋体" w:eastAsia="宋体" w:hint="default"/>
                <w:sz w:val="20"/>
                <w:szCs w:val="20"/>
              </w:rPr>
              <w:t>欧元</w:t>
            </w:r>
          </w:p>
        </w:tc>
        <w:tc>
          <w:tcPr>
            <w:tcW w:w="2693" w:type="dxa"/>
            <w:tcBorders>
              <w:top w:val="nil" w:sz="6" w:space="0" w:color="auto"/>
              <w:left w:val="nil" w:sz="6" w:space="0" w:color="auto"/>
              <w:bottom w:val="nil" w:sz="6" w:space="0" w:color="auto"/>
              <w:right w:val="nil" w:sz="6" w:space="0" w:color="auto"/>
            </w:tcBorders>
          </w:tcPr>
          <w:p>
            <w:pPr>
              <w:pStyle w:val="TableParagraph"/>
              <w:spacing w:line="254" w:lineRule="exact"/>
              <w:ind w:right="50"/>
              <w:jc w:val="right"/>
              <w:rPr>
                <w:rFonts w:ascii="宋体" w:hAnsi="宋体" w:cs="宋体" w:eastAsia="宋体" w:hint="default"/>
                <w:sz w:val="20"/>
                <w:szCs w:val="20"/>
              </w:rPr>
            </w:pPr>
            <w:r>
              <w:rPr>
                <w:rFonts w:ascii="Arial" w:hAnsi="Arial" w:cs="Arial" w:eastAsia="Arial" w:hint="default"/>
                <w:sz w:val="20"/>
                <w:szCs w:val="20"/>
              </w:rPr>
              <w:t>1 </w:t>
            </w:r>
            <w:r>
              <w:rPr>
                <w:rFonts w:ascii="宋体" w:hAnsi="宋体" w:cs="宋体" w:eastAsia="宋体" w:hint="default"/>
                <w:sz w:val="20"/>
                <w:szCs w:val="20"/>
              </w:rPr>
              <w:t>欧元</w:t>
            </w:r>
            <w:r>
              <w:rPr>
                <w:rFonts w:ascii="Arial" w:hAnsi="Arial" w:cs="Arial" w:eastAsia="Arial" w:hint="default"/>
                <w:sz w:val="20"/>
                <w:szCs w:val="20"/>
              </w:rPr>
              <w:t>=7.8155</w:t>
            </w:r>
            <w:r>
              <w:rPr>
                <w:rFonts w:ascii="Arial" w:hAnsi="Arial" w:cs="Arial" w:eastAsia="Arial" w:hint="default"/>
                <w:spacing w:val="-11"/>
                <w:sz w:val="20"/>
                <w:szCs w:val="20"/>
              </w:rPr>
              <w:t> </w:t>
            </w:r>
            <w:r>
              <w:rPr>
                <w:rFonts w:ascii="宋体" w:hAnsi="宋体" w:cs="宋体" w:eastAsia="宋体" w:hint="default"/>
                <w:sz w:val="20"/>
                <w:szCs w:val="20"/>
              </w:rPr>
              <w:t>人民币</w:t>
            </w:r>
          </w:p>
        </w:tc>
        <w:tc>
          <w:tcPr>
            <w:tcW w:w="134" w:type="dxa"/>
            <w:tcBorders>
              <w:top w:val="nil" w:sz="6" w:space="0" w:color="auto"/>
              <w:left w:val="nil" w:sz="6" w:space="0" w:color="auto"/>
              <w:bottom w:val="nil" w:sz="6" w:space="0" w:color="auto"/>
              <w:right w:val="nil" w:sz="6" w:space="0" w:color="auto"/>
            </w:tcBorders>
          </w:tcPr>
          <w:p>
            <w:pPr/>
          </w:p>
        </w:tc>
        <w:tc>
          <w:tcPr>
            <w:tcW w:w="2664" w:type="dxa"/>
            <w:tcBorders>
              <w:top w:val="nil" w:sz="6" w:space="0" w:color="auto"/>
              <w:left w:val="nil" w:sz="6" w:space="0" w:color="auto"/>
              <w:bottom w:val="nil" w:sz="6" w:space="0" w:color="auto"/>
              <w:right w:val="nil" w:sz="6" w:space="0" w:color="auto"/>
            </w:tcBorders>
          </w:tcPr>
          <w:p>
            <w:pPr>
              <w:pStyle w:val="TableParagraph"/>
              <w:spacing w:line="254" w:lineRule="exact"/>
              <w:ind w:right="50"/>
              <w:jc w:val="right"/>
              <w:rPr>
                <w:rFonts w:ascii="宋体" w:hAnsi="宋体" w:cs="宋体" w:eastAsia="宋体" w:hint="default"/>
                <w:sz w:val="20"/>
                <w:szCs w:val="20"/>
              </w:rPr>
            </w:pPr>
            <w:r>
              <w:rPr>
                <w:rFonts w:ascii="Arial" w:hAnsi="Arial" w:cs="Arial" w:eastAsia="Arial" w:hint="default"/>
                <w:sz w:val="20"/>
                <w:szCs w:val="20"/>
              </w:rPr>
              <w:t>1 </w:t>
            </w:r>
            <w:r>
              <w:rPr>
                <w:rFonts w:ascii="宋体" w:hAnsi="宋体" w:cs="宋体" w:eastAsia="宋体" w:hint="default"/>
                <w:sz w:val="20"/>
                <w:szCs w:val="20"/>
              </w:rPr>
              <w:t>欧元</w:t>
            </w:r>
            <w:r>
              <w:rPr>
                <w:rFonts w:ascii="Arial" w:hAnsi="Arial" w:cs="Arial" w:eastAsia="Arial" w:hint="default"/>
                <w:sz w:val="20"/>
                <w:szCs w:val="20"/>
              </w:rPr>
              <w:t>=7.8473</w:t>
            </w:r>
            <w:r>
              <w:rPr>
                <w:rFonts w:ascii="Arial" w:hAnsi="Arial" w:cs="Arial" w:eastAsia="Arial" w:hint="default"/>
                <w:spacing w:val="-11"/>
                <w:sz w:val="20"/>
                <w:szCs w:val="20"/>
              </w:rPr>
              <w:t> </w:t>
            </w:r>
            <w:r>
              <w:rPr>
                <w:rFonts w:ascii="宋体" w:hAnsi="宋体" w:cs="宋体" w:eastAsia="宋体" w:hint="default"/>
                <w:sz w:val="20"/>
                <w:szCs w:val="20"/>
              </w:rPr>
              <w:t>人民币</w:t>
            </w:r>
          </w:p>
        </w:tc>
      </w:tr>
      <w:tr>
        <w:trPr>
          <w:trHeight w:val="290" w:hRule="exact"/>
        </w:trPr>
        <w:tc>
          <w:tcPr>
            <w:tcW w:w="3714" w:type="dxa"/>
            <w:tcBorders>
              <w:top w:val="nil" w:sz="6" w:space="0" w:color="auto"/>
              <w:left w:val="nil" w:sz="6" w:space="0" w:color="auto"/>
              <w:bottom w:val="nil" w:sz="6" w:space="0" w:color="auto"/>
              <w:right w:val="nil" w:sz="6" w:space="0" w:color="auto"/>
            </w:tcBorders>
          </w:tcPr>
          <w:p>
            <w:pPr>
              <w:pStyle w:val="TableParagraph"/>
              <w:spacing w:line="242" w:lineRule="exact"/>
              <w:ind w:left="224" w:right="0"/>
              <w:jc w:val="left"/>
              <w:rPr>
                <w:rFonts w:ascii="宋体" w:hAnsi="宋体" w:cs="宋体" w:eastAsia="宋体" w:hint="default"/>
                <w:sz w:val="20"/>
                <w:szCs w:val="20"/>
              </w:rPr>
            </w:pPr>
            <w:r>
              <w:rPr>
                <w:rFonts w:ascii="宋体" w:hAnsi="宋体" w:cs="宋体" w:eastAsia="宋体" w:hint="default"/>
                <w:sz w:val="20"/>
                <w:szCs w:val="20"/>
              </w:rPr>
              <w:t>日元</w:t>
            </w:r>
          </w:p>
        </w:tc>
        <w:tc>
          <w:tcPr>
            <w:tcW w:w="2693" w:type="dxa"/>
            <w:tcBorders>
              <w:top w:val="nil" w:sz="6" w:space="0" w:color="auto"/>
              <w:left w:val="nil" w:sz="6" w:space="0" w:color="auto"/>
              <w:bottom w:val="nil" w:sz="6" w:space="0" w:color="auto"/>
              <w:right w:val="nil" w:sz="6" w:space="0" w:color="auto"/>
            </w:tcBorders>
          </w:tcPr>
          <w:p>
            <w:pPr>
              <w:pStyle w:val="TableParagraph"/>
              <w:spacing w:line="256" w:lineRule="exact"/>
              <w:ind w:right="50"/>
              <w:jc w:val="right"/>
              <w:rPr>
                <w:rFonts w:ascii="宋体" w:hAnsi="宋体" w:cs="宋体" w:eastAsia="宋体" w:hint="default"/>
                <w:sz w:val="20"/>
                <w:szCs w:val="20"/>
              </w:rPr>
            </w:pPr>
            <w:r>
              <w:rPr>
                <w:rFonts w:ascii="Arial" w:hAnsi="Arial" w:cs="Arial" w:eastAsia="Arial" w:hint="default"/>
                <w:sz w:val="20"/>
                <w:szCs w:val="20"/>
              </w:rPr>
              <w:t>1 </w:t>
            </w:r>
            <w:r>
              <w:rPr>
                <w:rFonts w:ascii="宋体" w:hAnsi="宋体" w:cs="宋体" w:eastAsia="宋体" w:hint="default"/>
                <w:sz w:val="20"/>
                <w:szCs w:val="20"/>
              </w:rPr>
              <w:t>日元</w:t>
            </w:r>
            <w:r>
              <w:rPr>
                <w:rFonts w:ascii="Arial" w:hAnsi="Arial" w:cs="Arial" w:eastAsia="Arial" w:hint="default"/>
                <w:sz w:val="20"/>
                <w:szCs w:val="20"/>
              </w:rPr>
              <w:t>=0.0641</w:t>
            </w:r>
            <w:r>
              <w:rPr>
                <w:rFonts w:ascii="Arial" w:hAnsi="Arial" w:cs="Arial" w:eastAsia="Arial" w:hint="default"/>
                <w:spacing w:val="-11"/>
                <w:sz w:val="20"/>
                <w:szCs w:val="20"/>
              </w:rPr>
              <w:t> </w:t>
            </w:r>
            <w:r>
              <w:rPr>
                <w:rFonts w:ascii="宋体" w:hAnsi="宋体" w:cs="宋体" w:eastAsia="宋体" w:hint="default"/>
                <w:sz w:val="20"/>
                <w:szCs w:val="20"/>
              </w:rPr>
              <w:t>人民币</w:t>
            </w:r>
          </w:p>
        </w:tc>
        <w:tc>
          <w:tcPr>
            <w:tcW w:w="134" w:type="dxa"/>
            <w:tcBorders>
              <w:top w:val="nil" w:sz="6" w:space="0" w:color="auto"/>
              <w:left w:val="nil" w:sz="6" w:space="0" w:color="auto"/>
              <w:bottom w:val="nil" w:sz="6" w:space="0" w:color="auto"/>
              <w:right w:val="nil" w:sz="6" w:space="0" w:color="auto"/>
            </w:tcBorders>
          </w:tcPr>
          <w:p>
            <w:pPr/>
          </w:p>
        </w:tc>
        <w:tc>
          <w:tcPr>
            <w:tcW w:w="2664" w:type="dxa"/>
            <w:tcBorders>
              <w:top w:val="nil" w:sz="6" w:space="0" w:color="auto"/>
              <w:left w:val="nil" w:sz="6" w:space="0" w:color="auto"/>
              <w:bottom w:val="nil" w:sz="6" w:space="0" w:color="auto"/>
              <w:right w:val="nil" w:sz="6" w:space="0" w:color="auto"/>
            </w:tcBorders>
          </w:tcPr>
          <w:p>
            <w:pPr>
              <w:pStyle w:val="TableParagraph"/>
              <w:spacing w:line="256" w:lineRule="exact"/>
              <w:ind w:right="50"/>
              <w:jc w:val="right"/>
              <w:rPr>
                <w:rFonts w:ascii="宋体" w:hAnsi="宋体" w:cs="宋体" w:eastAsia="宋体" w:hint="default"/>
                <w:sz w:val="20"/>
                <w:szCs w:val="20"/>
              </w:rPr>
            </w:pPr>
            <w:r>
              <w:rPr>
                <w:rFonts w:ascii="Arial" w:hAnsi="Arial" w:cs="Arial" w:eastAsia="Arial" w:hint="default"/>
                <w:sz w:val="20"/>
                <w:szCs w:val="20"/>
              </w:rPr>
              <w:t>1 </w:t>
            </w:r>
            <w:r>
              <w:rPr>
                <w:rFonts w:ascii="宋体" w:hAnsi="宋体" w:cs="宋体" w:eastAsia="宋体" w:hint="default"/>
                <w:sz w:val="20"/>
                <w:szCs w:val="20"/>
              </w:rPr>
              <w:t>日元</w:t>
            </w:r>
            <w:r>
              <w:rPr>
                <w:rFonts w:ascii="Arial" w:hAnsi="Arial" w:cs="Arial" w:eastAsia="Arial" w:hint="default"/>
                <w:sz w:val="20"/>
                <w:szCs w:val="20"/>
              </w:rPr>
              <w:t>=0.0618</w:t>
            </w:r>
            <w:r>
              <w:rPr>
                <w:rFonts w:ascii="Arial" w:hAnsi="Arial" w:cs="Arial" w:eastAsia="Arial" w:hint="default"/>
                <w:spacing w:val="-11"/>
                <w:sz w:val="20"/>
                <w:szCs w:val="20"/>
              </w:rPr>
              <w:t> </w:t>
            </w:r>
            <w:r>
              <w:rPr>
                <w:rFonts w:ascii="宋体" w:hAnsi="宋体" w:cs="宋体" w:eastAsia="宋体" w:hint="default"/>
                <w:sz w:val="20"/>
                <w:szCs w:val="20"/>
              </w:rPr>
              <w:t>人民币</w:t>
            </w:r>
          </w:p>
        </w:tc>
      </w:tr>
      <w:tr>
        <w:trPr>
          <w:trHeight w:val="290" w:hRule="exact"/>
        </w:trPr>
        <w:tc>
          <w:tcPr>
            <w:tcW w:w="3714" w:type="dxa"/>
            <w:tcBorders>
              <w:top w:val="nil" w:sz="6" w:space="0" w:color="auto"/>
              <w:left w:val="nil" w:sz="6" w:space="0" w:color="auto"/>
              <w:bottom w:val="nil" w:sz="6" w:space="0" w:color="auto"/>
              <w:right w:val="nil" w:sz="6" w:space="0" w:color="auto"/>
            </w:tcBorders>
          </w:tcPr>
          <w:p>
            <w:pPr>
              <w:pStyle w:val="TableParagraph"/>
              <w:spacing w:line="240" w:lineRule="exact"/>
              <w:ind w:left="224" w:right="0"/>
              <w:jc w:val="left"/>
              <w:rPr>
                <w:rFonts w:ascii="宋体" w:hAnsi="宋体" w:cs="宋体" w:eastAsia="宋体" w:hint="default"/>
                <w:sz w:val="20"/>
                <w:szCs w:val="20"/>
              </w:rPr>
            </w:pPr>
            <w:r>
              <w:rPr>
                <w:rFonts w:ascii="宋体" w:hAnsi="宋体" w:cs="宋体" w:eastAsia="宋体" w:hint="default"/>
                <w:sz w:val="20"/>
                <w:szCs w:val="20"/>
              </w:rPr>
              <w:t>英镑</w:t>
            </w:r>
          </w:p>
        </w:tc>
        <w:tc>
          <w:tcPr>
            <w:tcW w:w="2693" w:type="dxa"/>
            <w:tcBorders>
              <w:top w:val="nil" w:sz="6" w:space="0" w:color="auto"/>
              <w:left w:val="nil" w:sz="6" w:space="0" w:color="auto"/>
              <w:bottom w:val="nil" w:sz="6" w:space="0" w:color="auto"/>
              <w:right w:val="nil" w:sz="6" w:space="0" w:color="auto"/>
            </w:tcBorders>
          </w:tcPr>
          <w:p>
            <w:pPr>
              <w:pStyle w:val="TableParagraph"/>
              <w:spacing w:line="254" w:lineRule="exact"/>
              <w:ind w:right="50"/>
              <w:jc w:val="right"/>
              <w:rPr>
                <w:rFonts w:ascii="宋体" w:hAnsi="宋体" w:cs="宋体" w:eastAsia="宋体" w:hint="default"/>
                <w:sz w:val="20"/>
                <w:szCs w:val="20"/>
              </w:rPr>
            </w:pPr>
            <w:r>
              <w:rPr>
                <w:rFonts w:ascii="Arial" w:hAnsi="Arial" w:cs="Arial" w:eastAsia="Arial" w:hint="default"/>
                <w:sz w:val="20"/>
                <w:szCs w:val="20"/>
              </w:rPr>
              <w:t>1 </w:t>
            </w:r>
            <w:r>
              <w:rPr>
                <w:rFonts w:ascii="宋体" w:hAnsi="宋体" w:cs="宋体" w:eastAsia="宋体" w:hint="default"/>
                <w:sz w:val="20"/>
                <w:szCs w:val="20"/>
              </w:rPr>
              <w:t>英镑</w:t>
            </w:r>
            <w:r>
              <w:rPr>
                <w:rFonts w:ascii="Arial" w:hAnsi="Arial" w:cs="Arial" w:eastAsia="Arial" w:hint="default"/>
                <w:sz w:val="20"/>
                <w:szCs w:val="20"/>
              </w:rPr>
              <w:t>=9.1501</w:t>
            </w:r>
            <w:r>
              <w:rPr>
                <w:rFonts w:ascii="Arial" w:hAnsi="Arial" w:cs="Arial" w:eastAsia="Arial" w:hint="default"/>
                <w:spacing w:val="-11"/>
                <w:sz w:val="20"/>
                <w:szCs w:val="20"/>
              </w:rPr>
              <w:t> </w:t>
            </w:r>
            <w:r>
              <w:rPr>
                <w:rFonts w:ascii="宋体" w:hAnsi="宋体" w:cs="宋体" w:eastAsia="宋体" w:hint="default"/>
                <w:sz w:val="20"/>
                <w:szCs w:val="20"/>
              </w:rPr>
              <w:t>人民币</w:t>
            </w:r>
          </w:p>
        </w:tc>
        <w:tc>
          <w:tcPr>
            <w:tcW w:w="134" w:type="dxa"/>
            <w:tcBorders>
              <w:top w:val="nil" w:sz="6" w:space="0" w:color="auto"/>
              <w:left w:val="nil" w:sz="6" w:space="0" w:color="auto"/>
              <w:bottom w:val="nil" w:sz="6" w:space="0" w:color="auto"/>
              <w:right w:val="nil" w:sz="6" w:space="0" w:color="auto"/>
            </w:tcBorders>
          </w:tcPr>
          <w:p>
            <w:pPr/>
          </w:p>
        </w:tc>
        <w:tc>
          <w:tcPr>
            <w:tcW w:w="2664" w:type="dxa"/>
            <w:tcBorders>
              <w:top w:val="nil" w:sz="6" w:space="0" w:color="auto"/>
              <w:left w:val="nil" w:sz="6" w:space="0" w:color="auto"/>
              <w:bottom w:val="nil" w:sz="6" w:space="0" w:color="auto"/>
              <w:right w:val="nil" w:sz="6" w:space="0" w:color="auto"/>
            </w:tcBorders>
          </w:tcPr>
          <w:p>
            <w:pPr>
              <w:pStyle w:val="TableParagraph"/>
              <w:spacing w:line="254" w:lineRule="exact"/>
              <w:ind w:right="50"/>
              <w:jc w:val="right"/>
              <w:rPr>
                <w:rFonts w:ascii="宋体" w:hAnsi="宋体" w:cs="宋体" w:eastAsia="宋体" w:hint="default"/>
                <w:sz w:val="20"/>
                <w:szCs w:val="20"/>
              </w:rPr>
            </w:pPr>
            <w:r>
              <w:rPr>
                <w:rFonts w:ascii="Arial" w:hAnsi="Arial" w:cs="Arial" w:eastAsia="Arial" w:hint="default"/>
                <w:sz w:val="20"/>
                <w:szCs w:val="20"/>
              </w:rPr>
              <w:t>1 </w:t>
            </w:r>
            <w:r>
              <w:rPr>
                <w:rFonts w:ascii="宋体" w:hAnsi="宋体" w:cs="宋体" w:eastAsia="宋体" w:hint="default"/>
                <w:sz w:val="20"/>
                <w:szCs w:val="20"/>
              </w:rPr>
              <w:t>英镑</w:t>
            </w:r>
            <w:r>
              <w:rPr>
                <w:rFonts w:ascii="Arial" w:hAnsi="Arial" w:cs="Arial" w:eastAsia="Arial" w:hint="default"/>
                <w:sz w:val="20"/>
                <w:szCs w:val="20"/>
              </w:rPr>
              <w:t>=8.6762</w:t>
            </w:r>
            <w:r>
              <w:rPr>
                <w:rFonts w:ascii="Arial" w:hAnsi="Arial" w:cs="Arial" w:eastAsia="Arial" w:hint="default"/>
                <w:spacing w:val="-11"/>
                <w:sz w:val="20"/>
                <w:szCs w:val="20"/>
              </w:rPr>
              <w:t> </w:t>
            </w:r>
            <w:r>
              <w:rPr>
                <w:rFonts w:ascii="宋体" w:hAnsi="宋体" w:cs="宋体" w:eastAsia="宋体" w:hint="default"/>
                <w:sz w:val="20"/>
                <w:szCs w:val="20"/>
              </w:rPr>
              <w:t>人民币</w:t>
            </w:r>
          </w:p>
        </w:tc>
      </w:tr>
      <w:tr>
        <w:trPr>
          <w:trHeight w:val="290" w:hRule="exact"/>
        </w:trPr>
        <w:tc>
          <w:tcPr>
            <w:tcW w:w="3714" w:type="dxa"/>
            <w:tcBorders>
              <w:top w:val="nil" w:sz="6" w:space="0" w:color="auto"/>
              <w:left w:val="nil" w:sz="6" w:space="0" w:color="auto"/>
              <w:bottom w:val="nil" w:sz="6" w:space="0" w:color="auto"/>
              <w:right w:val="nil" w:sz="6" w:space="0" w:color="auto"/>
            </w:tcBorders>
          </w:tcPr>
          <w:p>
            <w:pPr>
              <w:pStyle w:val="TableParagraph"/>
              <w:spacing w:line="242" w:lineRule="exact"/>
              <w:ind w:left="200" w:right="0"/>
              <w:jc w:val="left"/>
              <w:rPr>
                <w:rFonts w:ascii="宋体" w:hAnsi="宋体" w:cs="宋体" w:eastAsia="宋体" w:hint="default"/>
                <w:sz w:val="20"/>
                <w:szCs w:val="20"/>
              </w:rPr>
            </w:pPr>
            <w:r>
              <w:rPr>
                <w:rFonts w:ascii="宋体" w:hAnsi="宋体" w:cs="宋体" w:eastAsia="宋体" w:hint="default"/>
                <w:sz w:val="20"/>
                <w:szCs w:val="20"/>
              </w:rPr>
              <w:t>新加坡元</w:t>
            </w:r>
          </w:p>
        </w:tc>
        <w:tc>
          <w:tcPr>
            <w:tcW w:w="2693" w:type="dxa"/>
            <w:tcBorders>
              <w:top w:val="nil" w:sz="6" w:space="0" w:color="auto"/>
              <w:left w:val="nil" w:sz="6" w:space="0" w:color="auto"/>
              <w:bottom w:val="nil" w:sz="6" w:space="0" w:color="auto"/>
              <w:right w:val="nil" w:sz="6" w:space="0" w:color="auto"/>
            </w:tcBorders>
          </w:tcPr>
          <w:p>
            <w:pPr>
              <w:pStyle w:val="TableParagraph"/>
              <w:spacing w:line="256" w:lineRule="exact"/>
              <w:ind w:right="50"/>
              <w:jc w:val="right"/>
              <w:rPr>
                <w:rFonts w:ascii="宋体" w:hAnsi="宋体" w:cs="宋体" w:eastAsia="宋体" w:hint="default"/>
                <w:sz w:val="20"/>
                <w:szCs w:val="20"/>
              </w:rPr>
            </w:pPr>
            <w:r>
              <w:rPr>
                <w:rFonts w:ascii="Arial" w:hAnsi="Arial" w:cs="Arial" w:eastAsia="Arial" w:hint="default"/>
                <w:sz w:val="20"/>
                <w:szCs w:val="20"/>
              </w:rPr>
              <w:t>1 </w:t>
            </w:r>
            <w:r>
              <w:rPr>
                <w:rFonts w:ascii="宋体" w:hAnsi="宋体" w:cs="宋体" w:eastAsia="宋体" w:hint="default"/>
                <w:sz w:val="20"/>
                <w:szCs w:val="20"/>
              </w:rPr>
              <w:t>新加坡元</w:t>
            </w:r>
            <w:r>
              <w:rPr>
                <w:rFonts w:ascii="Arial" w:hAnsi="Arial" w:cs="Arial" w:eastAsia="Arial" w:hint="default"/>
                <w:sz w:val="20"/>
                <w:szCs w:val="20"/>
              </w:rPr>
              <w:t>=5.1739</w:t>
            </w:r>
            <w:r>
              <w:rPr>
                <w:rFonts w:ascii="Arial" w:hAnsi="Arial" w:cs="Arial" w:eastAsia="Arial" w:hint="default"/>
                <w:spacing w:val="-13"/>
                <w:sz w:val="20"/>
                <w:szCs w:val="20"/>
              </w:rPr>
              <w:t> </w:t>
            </w:r>
            <w:r>
              <w:rPr>
                <w:rFonts w:ascii="宋体" w:hAnsi="宋体" w:cs="宋体" w:eastAsia="宋体" w:hint="default"/>
                <w:sz w:val="20"/>
                <w:szCs w:val="20"/>
              </w:rPr>
              <w:t>人民币</w:t>
            </w:r>
          </w:p>
        </w:tc>
        <w:tc>
          <w:tcPr>
            <w:tcW w:w="134" w:type="dxa"/>
            <w:tcBorders>
              <w:top w:val="nil" w:sz="6" w:space="0" w:color="auto"/>
              <w:left w:val="nil" w:sz="6" w:space="0" w:color="auto"/>
              <w:bottom w:val="nil" w:sz="6" w:space="0" w:color="auto"/>
              <w:right w:val="nil" w:sz="6" w:space="0" w:color="auto"/>
            </w:tcBorders>
          </w:tcPr>
          <w:p>
            <w:pPr/>
          </w:p>
        </w:tc>
        <w:tc>
          <w:tcPr>
            <w:tcW w:w="2664" w:type="dxa"/>
            <w:tcBorders>
              <w:top w:val="nil" w:sz="6" w:space="0" w:color="auto"/>
              <w:left w:val="nil" w:sz="6" w:space="0" w:color="auto"/>
              <w:bottom w:val="nil" w:sz="6" w:space="0" w:color="auto"/>
              <w:right w:val="nil" w:sz="6" w:space="0" w:color="auto"/>
            </w:tcBorders>
          </w:tcPr>
          <w:p>
            <w:pPr>
              <w:pStyle w:val="TableParagraph"/>
              <w:spacing w:line="256" w:lineRule="exact"/>
              <w:ind w:right="50"/>
              <w:jc w:val="right"/>
              <w:rPr>
                <w:rFonts w:ascii="宋体" w:hAnsi="宋体" w:cs="宋体" w:eastAsia="宋体" w:hint="default"/>
                <w:sz w:val="20"/>
                <w:szCs w:val="20"/>
              </w:rPr>
            </w:pPr>
            <w:r>
              <w:rPr>
                <w:rFonts w:ascii="Arial" w:hAnsi="Arial" w:cs="Arial" w:eastAsia="Arial" w:hint="default"/>
                <w:sz w:val="20"/>
                <w:szCs w:val="20"/>
              </w:rPr>
              <w:t>1 </w:t>
            </w:r>
            <w:r>
              <w:rPr>
                <w:rFonts w:ascii="宋体" w:hAnsi="宋体" w:cs="宋体" w:eastAsia="宋体" w:hint="default"/>
                <w:sz w:val="20"/>
                <w:szCs w:val="20"/>
              </w:rPr>
              <w:t>新加坡元</w:t>
            </w:r>
            <w:r>
              <w:rPr>
                <w:rFonts w:ascii="Arial" w:hAnsi="Arial" w:cs="Arial" w:eastAsia="Arial" w:hint="default"/>
                <w:sz w:val="20"/>
                <w:szCs w:val="20"/>
              </w:rPr>
              <w:t>=5.0062</w:t>
            </w:r>
            <w:r>
              <w:rPr>
                <w:rFonts w:ascii="Arial" w:hAnsi="Arial" w:cs="Arial" w:eastAsia="Arial" w:hint="default"/>
                <w:spacing w:val="-13"/>
                <w:sz w:val="20"/>
                <w:szCs w:val="20"/>
              </w:rPr>
              <w:t> </w:t>
            </w:r>
            <w:r>
              <w:rPr>
                <w:rFonts w:ascii="宋体" w:hAnsi="宋体" w:cs="宋体" w:eastAsia="宋体" w:hint="default"/>
                <w:sz w:val="20"/>
                <w:szCs w:val="20"/>
              </w:rPr>
              <w:t>人民币</w:t>
            </w:r>
          </w:p>
        </w:tc>
      </w:tr>
      <w:tr>
        <w:trPr>
          <w:trHeight w:val="250" w:hRule="exact"/>
        </w:trPr>
        <w:tc>
          <w:tcPr>
            <w:tcW w:w="3714" w:type="dxa"/>
            <w:tcBorders>
              <w:top w:val="nil" w:sz="6" w:space="0" w:color="auto"/>
              <w:left w:val="nil" w:sz="6" w:space="0" w:color="auto"/>
              <w:bottom w:val="nil" w:sz="6" w:space="0" w:color="auto"/>
              <w:right w:val="nil" w:sz="6" w:space="0" w:color="auto"/>
            </w:tcBorders>
          </w:tcPr>
          <w:p>
            <w:pPr>
              <w:pStyle w:val="TableParagraph"/>
              <w:spacing w:line="240" w:lineRule="exact"/>
              <w:ind w:left="200" w:right="0"/>
              <w:jc w:val="left"/>
              <w:rPr>
                <w:rFonts w:ascii="宋体" w:hAnsi="宋体" w:cs="宋体" w:eastAsia="宋体" w:hint="default"/>
                <w:sz w:val="20"/>
                <w:szCs w:val="20"/>
              </w:rPr>
            </w:pPr>
            <w:r>
              <w:rPr>
                <w:rFonts w:ascii="宋体" w:hAnsi="宋体" w:cs="宋体" w:eastAsia="宋体" w:hint="default"/>
                <w:sz w:val="20"/>
                <w:szCs w:val="20"/>
              </w:rPr>
              <w:t>澳大利亚元</w:t>
            </w:r>
          </w:p>
        </w:tc>
        <w:tc>
          <w:tcPr>
            <w:tcW w:w="2693" w:type="dxa"/>
            <w:tcBorders>
              <w:top w:val="nil" w:sz="6" w:space="0" w:color="auto"/>
              <w:left w:val="nil" w:sz="6" w:space="0" w:color="auto"/>
              <w:bottom w:val="nil" w:sz="6" w:space="0" w:color="auto"/>
              <w:right w:val="nil" w:sz="6" w:space="0" w:color="auto"/>
            </w:tcBorders>
          </w:tcPr>
          <w:p>
            <w:pPr>
              <w:pStyle w:val="TableParagraph"/>
              <w:spacing w:line="254" w:lineRule="exact"/>
              <w:ind w:right="50"/>
              <w:jc w:val="right"/>
              <w:rPr>
                <w:rFonts w:ascii="宋体" w:hAnsi="宋体" w:cs="宋体" w:eastAsia="宋体" w:hint="default"/>
                <w:sz w:val="20"/>
                <w:szCs w:val="20"/>
              </w:rPr>
            </w:pPr>
            <w:r>
              <w:rPr>
                <w:rFonts w:ascii="Arial" w:hAnsi="Arial" w:cs="Arial" w:eastAsia="Arial" w:hint="default"/>
                <w:sz w:val="20"/>
                <w:szCs w:val="20"/>
              </w:rPr>
              <w:t>1 </w:t>
            </w:r>
            <w:r>
              <w:rPr>
                <w:rFonts w:ascii="宋体" w:hAnsi="宋体" w:cs="宋体" w:eastAsia="宋体" w:hint="default"/>
                <w:sz w:val="20"/>
                <w:szCs w:val="20"/>
              </w:rPr>
              <w:t>澳大利亚元</w:t>
            </w:r>
            <w:r>
              <w:rPr>
                <w:rFonts w:ascii="Arial" w:hAnsi="Arial" w:cs="Arial" w:eastAsia="Arial" w:hint="default"/>
                <w:sz w:val="20"/>
                <w:szCs w:val="20"/>
              </w:rPr>
              <w:t>=4.8843</w:t>
            </w:r>
            <w:r>
              <w:rPr>
                <w:rFonts w:ascii="Arial" w:hAnsi="Arial" w:cs="Arial" w:eastAsia="Arial" w:hint="default"/>
                <w:spacing w:val="-11"/>
                <w:sz w:val="20"/>
                <w:szCs w:val="20"/>
              </w:rPr>
              <w:t> </w:t>
            </w:r>
            <w:r>
              <w:rPr>
                <w:rFonts w:ascii="宋体" w:hAnsi="宋体" w:cs="宋体" w:eastAsia="宋体" w:hint="default"/>
                <w:sz w:val="20"/>
                <w:szCs w:val="20"/>
              </w:rPr>
              <w:t>人民币</w:t>
            </w:r>
          </w:p>
        </w:tc>
        <w:tc>
          <w:tcPr>
            <w:tcW w:w="134" w:type="dxa"/>
            <w:tcBorders>
              <w:top w:val="nil" w:sz="6" w:space="0" w:color="auto"/>
              <w:left w:val="nil" w:sz="6" w:space="0" w:color="auto"/>
              <w:bottom w:val="nil" w:sz="6" w:space="0" w:color="auto"/>
              <w:right w:val="nil" w:sz="6" w:space="0" w:color="auto"/>
            </w:tcBorders>
          </w:tcPr>
          <w:p>
            <w:pPr/>
          </w:p>
        </w:tc>
        <w:tc>
          <w:tcPr>
            <w:tcW w:w="2664" w:type="dxa"/>
            <w:tcBorders>
              <w:top w:val="nil" w:sz="6" w:space="0" w:color="auto"/>
              <w:left w:val="nil" w:sz="6" w:space="0" w:color="auto"/>
              <w:bottom w:val="nil" w:sz="6" w:space="0" w:color="auto"/>
              <w:right w:val="nil" w:sz="6" w:space="0" w:color="auto"/>
            </w:tcBorders>
          </w:tcPr>
          <w:p>
            <w:pPr>
              <w:pStyle w:val="TableParagraph"/>
              <w:spacing w:line="254" w:lineRule="exact"/>
              <w:ind w:right="50"/>
              <w:jc w:val="right"/>
              <w:rPr>
                <w:rFonts w:ascii="宋体" w:hAnsi="宋体" w:cs="宋体" w:eastAsia="宋体" w:hint="default"/>
                <w:sz w:val="20"/>
                <w:szCs w:val="20"/>
              </w:rPr>
            </w:pPr>
            <w:r>
              <w:rPr>
                <w:rFonts w:ascii="Arial" w:hAnsi="Arial" w:cs="Arial" w:eastAsia="Arial" w:hint="default"/>
                <w:sz w:val="20"/>
                <w:szCs w:val="20"/>
              </w:rPr>
              <w:t>1 </w:t>
            </w:r>
            <w:r>
              <w:rPr>
                <w:rFonts w:ascii="宋体" w:hAnsi="宋体" w:cs="宋体" w:eastAsia="宋体" w:hint="default"/>
                <w:sz w:val="20"/>
                <w:szCs w:val="20"/>
              </w:rPr>
              <w:t>澳大利亚元</w:t>
            </w:r>
            <w:r>
              <w:rPr>
                <w:rFonts w:ascii="Arial" w:hAnsi="Arial" w:cs="Arial" w:eastAsia="Arial" w:hint="default"/>
                <w:sz w:val="20"/>
                <w:szCs w:val="20"/>
              </w:rPr>
              <w:t>=4.8250</w:t>
            </w:r>
            <w:r>
              <w:rPr>
                <w:rFonts w:ascii="Arial" w:hAnsi="Arial" w:cs="Arial" w:eastAsia="Arial" w:hint="default"/>
                <w:spacing w:val="-11"/>
                <w:sz w:val="20"/>
                <w:szCs w:val="20"/>
              </w:rPr>
              <w:t> </w:t>
            </w:r>
            <w:r>
              <w:rPr>
                <w:rFonts w:ascii="宋体" w:hAnsi="宋体" w:cs="宋体" w:eastAsia="宋体" w:hint="default"/>
                <w:sz w:val="20"/>
                <w:szCs w:val="20"/>
              </w:rPr>
              <w:t>人民币</w:t>
            </w:r>
          </w:p>
        </w:tc>
      </w:tr>
    </w:tbl>
    <w:p>
      <w:pPr>
        <w:spacing w:after="0" w:line="254" w:lineRule="exact"/>
        <w:jc w:val="right"/>
        <w:rPr>
          <w:rFonts w:ascii="宋体" w:hAnsi="宋体" w:cs="宋体" w:eastAsia="宋体" w:hint="default"/>
          <w:sz w:val="20"/>
          <w:szCs w:val="20"/>
        </w:rPr>
        <w:sectPr>
          <w:headerReference w:type="default" r:id="rId216"/>
          <w:pgSz w:w="11910" w:h="16840"/>
          <w:pgMar w:header="1183" w:footer="502" w:top="3040" w:bottom="700" w:left="1020" w:right="1140"/>
        </w:sectPr>
      </w:pPr>
    </w:p>
    <w:p>
      <w:pPr>
        <w:spacing w:line="240" w:lineRule="auto" w:before="12"/>
        <w:rPr>
          <w:rFonts w:ascii="宋体" w:hAnsi="宋体" w:cs="宋体" w:eastAsia="宋体" w:hint="default"/>
          <w:sz w:val="16"/>
          <w:szCs w:val="16"/>
        </w:rPr>
      </w:pPr>
    </w:p>
    <w:p>
      <w:pPr>
        <w:pStyle w:val="BodyText"/>
        <w:spacing w:line="240" w:lineRule="auto" w:before="32"/>
        <w:ind w:left="112" w:right="0"/>
        <w:jc w:val="left"/>
      </w:pPr>
      <w:bookmarkStart w:name="1、 金融风险因素（续）" w:id="37"/>
      <w:bookmarkEnd w:id="37"/>
      <w:r>
        <w:rPr/>
      </w:r>
      <w:r>
        <w:rPr>
          <w:rFonts w:ascii="Arial" w:hAnsi="Arial" w:cs="Arial" w:eastAsia="Arial" w:hint="default"/>
        </w:rPr>
        <w:t>1</w:t>
      </w:r>
      <w:r>
        <w:rPr/>
        <w:t>、 金融风险因素（续）</w:t>
      </w:r>
    </w:p>
    <w:p>
      <w:pPr>
        <w:spacing w:line="240" w:lineRule="auto" w:before="1"/>
        <w:rPr>
          <w:rFonts w:ascii="宋体" w:hAnsi="宋体" w:cs="宋体" w:eastAsia="宋体" w:hint="default"/>
          <w:sz w:val="16"/>
          <w:szCs w:val="16"/>
        </w:rPr>
      </w:pPr>
    </w:p>
    <w:p>
      <w:pPr>
        <w:pStyle w:val="BodyText"/>
        <w:tabs>
          <w:tab w:pos="587" w:val="left" w:leader="none"/>
        </w:tabs>
        <w:spacing w:line="240" w:lineRule="auto"/>
        <w:ind w:left="112" w:right="0"/>
        <w:jc w:val="left"/>
      </w:pPr>
      <w:bookmarkStart w:name="(a) 市场风险（续）" w:id="38"/>
      <w:bookmarkEnd w:id="38"/>
      <w:r>
        <w:rPr/>
      </w:r>
      <w:r>
        <w:rPr>
          <w:rFonts w:ascii="Arial" w:hAnsi="Arial" w:cs="Arial" w:eastAsia="Arial" w:hint="default"/>
        </w:rPr>
        <w:t>(a)</w:t>
        <w:tab/>
      </w:r>
      <w:r>
        <w:rPr/>
        <w:t>市场风险（续）</w:t>
      </w:r>
    </w:p>
    <w:p>
      <w:pPr>
        <w:pStyle w:val="BodyText"/>
        <w:tabs>
          <w:tab w:pos="592" w:val="left" w:leader="none"/>
        </w:tabs>
        <w:spacing w:line="240" w:lineRule="auto" w:before="176"/>
        <w:ind w:left="112" w:right="0"/>
        <w:jc w:val="left"/>
      </w:pPr>
      <w:bookmarkStart w:name="(1) 汇率风险（续）" w:id="39"/>
      <w:bookmarkEnd w:id="39"/>
      <w:r>
        <w:rPr/>
      </w:r>
      <w:r>
        <w:rPr>
          <w:rFonts w:ascii="Arial" w:hAnsi="Arial" w:cs="Arial" w:eastAsia="Arial" w:hint="default"/>
        </w:rPr>
        <w:t>(1)</w:t>
        <w:tab/>
      </w:r>
      <w:r>
        <w:rPr/>
        <w:t>汇率风险（续）</w:t>
      </w:r>
    </w:p>
    <w:p>
      <w:pPr>
        <w:spacing w:line="240" w:lineRule="auto" w:before="0"/>
        <w:rPr>
          <w:rFonts w:ascii="宋体" w:hAnsi="宋体" w:cs="宋体" w:eastAsia="宋体" w:hint="default"/>
          <w:sz w:val="17"/>
          <w:szCs w:val="17"/>
        </w:rPr>
      </w:pPr>
    </w:p>
    <w:p>
      <w:pPr>
        <w:pStyle w:val="BodyText"/>
        <w:spacing w:line="232" w:lineRule="auto"/>
        <w:ind w:left="602" w:right="105"/>
        <w:jc w:val="both"/>
      </w:pPr>
      <w:r>
        <w:rPr>
          <w:spacing w:val="-1"/>
        </w:rPr>
        <w:t>本集团于</w:t>
      </w:r>
      <w:r>
        <w:rPr>
          <w:rFonts w:ascii="Arial" w:hAnsi="Arial" w:cs="Arial" w:eastAsia="Arial" w:hint="default"/>
          <w:spacing w:val="-1"/>
        </w:rPr>
        <w:t>2019</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日及</w:t>
      </w:r>
      <w:r>
        <w:rPr>
          <w:rFonts w:ascii="Arial" w:hAnsi="Arial" w:cs="Arial" w:eastAsia="Arial" w:hint="default"/>
          <w:spacing w:val="-1"/>
        </w:rPr>
        <w:t>2018</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日的各外币资产负债项目汇率风险敞口如下。出于</w:t>
      </w:r>
      <w:r>
        <w:rPr>
          <w:spacing w:val="-43"/>
        </w:rPr>
        <w:t> </w:t>
      </w:r>
      <w:r>
        <w:rPr>
          <w:spacing w:val="-43"/>
        </w:rPr>
      </w:r>
      <w:r>
        <w:rPr>
          <w:spacing w:val="-1"/>
        </w:rPr>
        <w:t>列报考虑，风险敞口金额以人民币列示，以资产负债表日即期汇率折算。外币报表折算差额未</w:t>
      </w:r>
      <w:r>
        <w:rPr>
          <w:spacing w:val="-72"/>
        </w:rPr>
        <w:t> </w:t>
      </w:r>
      <w:r>
        <w:rPr>
          <w:spacing w:val="-72"/>
        </w:rPr>
      </w:r>
      <w:r>
        <w:rPr/>
        <w:t>包括在内。</w:t>
      </w:r>
    </w:p>
    <w:p>
      <w:pPr>
        <w:spacing w:line="240" w:lineRule="auto" w:before="1"/>
        <w:rPr>
          <w:rFonts w:ascii="宋体" w:hAnsi="宋体" w:cs="宋体" w:eastAsia="宋体" w:hint="default"/>
          <w:sz w:val="24"/>
          <w:szCs w:val="24"/>
        </w:rPr>
      </w:pPr>
    </w:p>
    <w:tbl>
      <w:tblPr>
        <w:tblW w:w="0" w:type="auto"/>
        <w:jc w:val="left"/>
        <w:tblInd w:w="320" w:type="dxa"/>
        <w:tblLayout w:type="fixed"/>
        <w:tblCellMar>
          <w:top w:w="0" w:type="dxa"/>
          <w:left w:w="0" w:type="dxa"/>
          <w:bottom w:w="0" w:type="dxa"/>
          <w:right w:w="0" w:type="dxa"/>
        </w:tblCellMar>
        <w:tblLook w:val="01E0"/>
      </w:tblPr>
      <w:tblGrid>
        <w:gridCol w:w="2965"/>
        <w:gridCol w:w="1272"/>
        <w:gridCol w:w="276"/>
        <w:gridCol w:w="1423"/>
        <w:gridCol w:w="281"/>
        <w:gridCol w:w="1279"/>
        <w:gridCol w:w="276"/>
        <w:gridCol w:w="1428"/>
      </w:tblGrid>
      <w:tr>
        <w:trPr>
          <w:trHeight w:val="200" w:hRule="exact"/>
        </w:trPr>
        <w:tc>
          <w:tcPr>
            <w:tcW w:w="5936" w:type="dxa"/>
            <w:gridSpan w:val="4"/>
            <w:tcBorders>
              <w:top w:val="nil" w:sz="6" w:space="0" w:color="auto"/>
              <w:left w:val="nil" w:sz="6" w:space="0" w:color="auto"/>
              <w:bottom w:val="nil" w:sz="6" w:space="0" w:color="auto"/>
              <w:right w:val="nil" w:sz="6" w:space="0" w:color="auto"/>
            </w:tcBorders>
          </w:tcPr>
          <w:p>
            <w:pPr>
              <w:pStyle w:val="TableParagraph"/>
              <w:spacing w:line="180" w:lineRule="exact"/>
              <w:ind w:left="3838" w:right="0"/>
              <w:jc w:val="left"/>
              <w:rPr>
                <w:rFonts w:ascii="宋体" w:hAnsi="宋体" w:cs="宋体" w:eastAsia="宋体" w:hint="default"/>
                <w:sz w:val="17"/>
                <w:szCs w:val="17"/>
              </w:rPr>
            </w:pPr>
            <w:r>
              <w:rPr>
                <w:rFonts w:ascii="Arial" w:hAnsi="Arial" w:cs="Arial" w:eastAsia="Arial" w:hint="default"/>
                <w:sz w:val="17"/>
                <w:szCs w:val="17"/>
              </w:rPr>
              <w:t>2019</w:t>
            </w:r>
            <w:r>
              <w:rPr>
                <w:rFonts w:ascii="宋体" w:hAnsi="宋体" w:cs="宋体" w:eastAsia="宋体" w:hint="default"/>
                <w:sz w:val="17"/>
                <w:szCs w:val="17"/>
              </w:rPr>
              <w:t>年</w:t>
            </w:r>
            <w:r>
              <w:rPr>
                <w:rFonts w:ascii="Arial" w:hAnsi="Arial" w:cs="Arial" w:eastAsia="Arial" w:hint="default"/>
                <w:sz w:val="17"/>
                <w:szCs w:val="17"/>
              </w:rPr>
              <w:t>12</w:t>
            </w:r>
            <w:r>
              <w:rPr>
                <w:rFonts w:ascii="宋体" w:hAnsi="宋体" w:cs="宋体" w:eastAsia="宋体" w:hint="default"/>
                <w:sz w:val="17"/>
                <w:szCs w:val="17"/>
              </w:rPr>
              <w:t>月</w:t>
            </w:r>
            <w:r>
              <w:rPr>
                <w:rFonts w:ascii="Arial" w:hAnsi="Arial" w:cs="Arial" w:eastAsia="Arial" w:hint="default"/>
                <w:sz w:val="17"/>
                <w:szCs w:val="17"/>
              </w:rPr>
              <w:t>31</w:t>
            </w:r>
            <w:r>
              <w:rPr>
                <w:rFonts w:ascii="宋体" w:hAnsi="宋体" w:cs="宋体" w:eastAsia="宋体" w:hint="default"/>
                <w:sz w:val="17"/>
                <w:szCs w:val="17"/>
              </w:rPr>
              <w:t>日</w:t>
            </w:r>
          </w:p>
        </w:tc>
        <w:tc>
          <w:tcPr>
            <w:tcW w:w="3264" w:type="dxa"/>
            <w:gridSpan w:val="4"/>
            <w:tcBorders>
              <w:top w:val="nil" w:sz="6" w:space="0" w:color="auto"/>
              <w:left w:val="nil" w:sz="6" w:space="0" w:color="auto"/>
              <w:bottom w:val="nil" w:sz="6" w:space="0" w:color="auto"/>
              <w:right w:val="nil" w:sz="6" w:space="0" w:color="auto"/>
            </w:tcBorders>
          </w:tcPr>
          <w:p>
            <w:pPr>
              <w:pStyle w:val="TableParagraph"/>
              <w:spacing w:line="180" w:lineRule="exact"/>
              <w:ind w:left="1137" w:right="0"/>
              <w:jc w:val="left"/>
              <w:rPr>
                <w:rFonts w:ascii="宋体" w:hAnsi="宋体" w:cs="宋体" w:eastAsia="宋体" w:hint="default"/>
                <w:sz w:val="17"/>
                <w:szCs w:val="17"/>
              </w:rPr>
            </w:pPr>
            <w:r>
              <w:rPr>
                <w:rFonts w:ascii="Arial" w:hAnsi="Arial" w:cs="Arial" w:eastAsia="Arial" w:hint="default"/>
                <w:sz w:val="17"/>
                <w:szCs w:val="17"/>
              </w:rPr>
              <w:t>2018</w:t>
            </w:r>
            <w:r>
              <w:rPr>
                <w:rFonts w:ascii="宋体" w:hAnsi="宋体" w:cs="宋体" w:eastAsia="宋体" w:hint="default"/>
                <w:sz w:val="17"/>
                <w:szCs w:val="17"/>
              </w:rPr>
              <w:t>年</w:t>
            </w:r>
            <w:r>
              <w:rPr>
                <w:rFonts w:ascii="Arial" w:hAnsi="Arial" w:cs="Arial" w:eastAsia="Arial" w:hint="default"/>
                <w:sz w:val="17"/>
                <w:szCs w:val="17"/>
              </w:rPr>
              <w:t>12</w:t>
            </w:r>
            <w:r>
              <w:rPr>
                <w:rFonts w:ascii="宋体" w:hAnsi="宋体" w:cs="宋体" w:eastAsia="宋体" w:hint="default"/>
                <w:sz w:val="17"/>
                <w:szCs w:val="17"/>
              </w:rPr>
              <w:t>月</w:t>
            </w:r>
            <w:r>
              <w:rPr>
                <w:rFonts w:ascii="Arial" w:hAnsi="Arial" w:cs="Arial" w:eastAsia="Arial" w:hint="default"/>
                <w:sz w:val="17"/>
                <w:szCs w:val="17"/>
              </w:rPr>
              <w:t>31</w:t>
            </w:r>
            <w:r>
              <w:rPr>
                <w:rFonts w:ascii="宋体" w:hAnsi="宋体" w:cs="宋体" w:eastAsia="宋体" w:hint="default"/>
                <w:sz w:val="17"/>
                <w:szCs w:val="17"/>
              </w:rPr>
              <w:t>日</w:t>
            </w:r>
          </w:p>
        </w:tc>
      </w:tr>
      <w:tr>
        <w:trPr>
          <w:trHeight w:val="456"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00" w:right="0"/>
              <w:jc w:val="left"/>
              <w:rPr>
                <w:rFonts w:ascii="宋体" w:hAnsi="宋体" w:cs="宋体" w:eastAsia="宋体" w:hint="default"/>
                <w:sz w:val="17"/>
                <w:szCs w:val="17"/>
              </w:rPr>
            </w:pPr>
            <w:r>
              <w:rPr>
                <w:rFonts w:ascii="宋体" w:hAnsi="宋体" w:cs="宋体" w:eastAsia="宋体" w:hint="default"/>
                <w:sz w:val="17"/>
                <w:szCs w:val="17"/>
              </w:rPr>
              <w:t>（单位：人民币百万元）</w:t>
            </w:r>
          </w:p>
        </w:tc>
        <w:tc>
          <w:tcPr>
            <w:tcW w:w="1272" w:type="dxa"/>
            <w:tcBorders>
              <w:top w:val="single" w:sz="6" w:space="0" w:color="000000"/>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480" w:right="0"/>
              <w:jc w:val="left"/>
              <w:rPr>
                <w:rFonts w:ascii="宋体" w:hAnsi="宋体" w:cs="宋体" w:eastAsia="宋体" w:hint="default"/>
                <w:sz w:val="17"/>
                <w:szCs w:val="17"/>
              </w:rPr>
            </w:pPr>
            <w:r>
              <w:rPr>
                <w:rFonts w:ascii="宋体" w:hAnsi="宋体" w:cs="宋体" w:eastAsia="宋体" w:hint="default"/>
                <w:sz w:val="17"/>
                <w:szCs w:val="17"/>
              </w:rPr>
              <w:t>外币余额</w:t>
            </w:r>
          </w:p>
        </w:tc>
        <w:tc>
          <w:tcPr>
            <w:tcW w:w="276" w:type="dxa"/>
            <w:tcBorders>
              <w:top w:val="single" w:sz="6" w:space="0" w:color="000000"/>
              <w:left w:val="nil" w:sz="6" w:space="0" w:color="auto"/>
              <w:bottom w:val="nil" w:sz="6" w:space="0" w:color="auto"/>
              <w:right w:val="nil" w:sz="6" w:space="0" w:color="auto"/>
            </w:tcBorders>
          </w:tcPr>
          <w:p>
            <w:pPr/>
          </w:p>
        </w:tc>
        <w:tc>
          <w:tcPr>
            <w:tcW w:w="1423" w:type="dxa"/>
            <w:tcBorders>
              <w:top w:val="single" w:sz="6" w:space="0" w:color="000000"/>
              <w:left w:val="nil" w:sz="6" w:space="0" w:color="auto"/>
              <w:bottom w:val="single" w:sz="6" w:space="0" w:color="000000"/>
              <w:right w:val="nil" w:sz="6" w:space="0" w:color="auto"/>
            </w:tcBorders>
          </w:tcPr>
          <w:p>
            <w:pPr>
              <w:pStyle w:val="TableParagraph"/>
              <w:spacing w:line="196" w:lineRule="exact"/>
              <w:ind w:left="467" w:right="0" w:firstLine="508"/>
              <w:jc w:val="left"/>
              <w:rPr>
                <w:rFonts w:ascii="宋体" w:hAnsi="宋体" w:cs="宋体" w:eastAsia="宋体" w:hint="default"/>
                <w:sz w:val="17"/>
                <w:szCs w:val="17"/>
              </w:rPr>
            </w:pPr>
            <w:r>
              <w:rPr>
                <w:rFonts w:ascii="宋体" w:hAnsi="宋体" w:cs="宋体" w:eastAsia="宋体" w:hint="default"/>
                <w:sz w:val="17"/>
                <w:szCs w:val="17"/>
              </w:rPr>
              <w:t>折算</w:t>
            </w:r>
          </w:p>
          <w:p>
            <w:pPr>
              <w:pStyle w:val="TableParagraph"/>
              <w:spacing w:line="222" w:lineRule="exact"/>
              <w:ind w:left="467" w:right="0"/>
              <w:jc w:val="left"/>
              <w:rPr>
                <w:rFonts w:ascii="宋体" w:hAnsi="宋体" w:cs="宋体" w:eastAsia="宋体" w:hint="default"/>
                <w:sz w:val="17"/>
                <w:szCs w:val="17"/>
              </w:rPr>
            </w:pPr>
            <w:r>
              <w:rPr>
                <w:rFonts w:ascii="宋体" w:hAnsi="宋体" w:cs="宋体" w:eastAsia="宋体" w:hint="default"/>
                <w:sz w:val="17"/>
                <w:szCs w:val="17"/>
              </w:rPr>
              <w:t>人民币余额</w:t>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single" w:sz="6" w:space="0" w:color="000000"/>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60"/>
              <w:jc w:val="right"/>
              <w:rPr>
                <w:rFonts w:ascii="宋体" w:hAnsi="宋体" w:cs="宋体" w:eastAsia="宋体" w:hint="default"/>
                <w:sz w:val="17"/>
                <w:szCs w:val="17"/>
              </w:rPr>
            </w:pPr>
            <w:r>
              <w:rPr>
                <w:rFonts w:ascii="宋体" w:hAnsi="宋体" w:cs="宋体" w:eastAsia="宋体" w:hint="default"/>
                <w:w w:val="95"/>
                <w:sz w:val="17"/>
                <w:szCs w:val="17"/>
              </w:rPr>
              <w:t>外币余额</w:t>
            </w:r>
            <w:r>
              <w:rPr>
                <w:rFonts w:ascii="宋体" w:hAnsi="宋体" w:cs="宋体" w:eastAsia="宋体" w:hint="default"/>
                <w:sz w:val="17"/>
                <w:szCs w:val="17"/>
              </w:rPr>
            </w:r>
          </w:p>
        </w:tc>
        <w:tc>
          <w:tcPr>
            <w:tcW w:w="276" w:type="dxa"/>
            <w:tcBorders>
              <w:top w:val="single" w:sz="6" w:space="0" w:color="000000"/>
              <w:left w:val="nil" w:sz="6" w:space="0" w:color="auto"/>
              <w:bottom w:val="nil" w:sz="6" w:space="0" w:color="auto"/>
              <w:right w:val="nil" w:sz="6" w:space="0" w:color="auto"/>
            </w:tcBorders>
          </w:tcPr>
          <w:p>
            <w:pPr/>
          </w:p>
        </w:tc>
        <w:tc>
          <w:tcPr>
            <w:tcW w:w="1428" w:type="dxa"/>
            <w:tcBorders>
              <w:top w:val="single" w:sz="6" w:space="0" w:color="000000"/>
              <w:left w:val="nil" w:sz="6" w:space="0" w:color="auto"/>
              <w:bottom w:val="single" w:sz="6" w:space="0" w:color="000000"/>
              <w:right w:val="nil" w:sz="6" w:space="0" w:color="auto"/>
            </w:tcBorders>
          </w:tcPr>
          <w:p>
            <w:pPr>
              <w:pStyle w:val="TableParagraph"/>
              <w:spacing w:line="196" w:lineRule="exact"/>
              <w:ind w:left="477" w:right="0" w:firstLine="508"/>
              <w:jc w:val="left"/>
              <w:rPr>
                <w:rFonts w:ascii="宋体" w:hAnsi="宋体" w:cs="宋体" w:eastAsia="宋体" w:hint="default"/>
                <w:sz w:val="17"/>
                <w:szCs w:val="17"/>
              </w:rPr>
            </w:pPr>
            <w:r>
              <w:rPr>
                <w:rFonts w:ascii="宋体" w:hAnsi="宋体" w:cs="宋体" w:eastAsia="宋体" w:hint="default"/>
                <w:sz w:val="17"/>
                <w:szCs w:val="17"/>
              </w:rPr>
              <w:t>折算</w:t>
            </w:r>
          </w:p>
          <w:p>
            <w:pPr>
              <w:pStyle w:val="TableParagraph"/>
              <w:spacing w:line="222" w:lineRule="exact"/>
              <w:ind w:left="477" w:right="0"/>
              <w:jc w:val="left"/>
              <w:rPr>
                <w:rFonts w:ascii="宋体" w:hAnsi="宋体" w:cs="宋体" w:eastAsia="宋体" w:hint="default"/>
                <w:sz w:val="17"/>
                <w:szCs w:val="17"/>
              </w:rPr>
            </w:pPr>
            <w:r>
              <w:rPr>
                <w:rFonts w:ascii="宋体" w:hAnsi="宋体" w:cs="宋体" w:eastAsia="宋体" w:hint="default"/>
                <w:sz w:val="17"/>
                <w:szCs w:val="17"/>
              </w:rPr>
              <w:t>人民币余额</w:t>
            </w:r>
          </w:p>
        </w:tc>
      </w:tr>
      <w:tr>
        <w:trPr>
          <w:trHeight w:val="427"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315" w:right="0"/>
              <w:jc w:val="left"/>
              <w:rPr>
                <w:rFonts w:ascii="宋体" w:hAnsi="宋体" w:cs="宋体" w:eastAsia="宋体" w:hint="default"/>
                <w:sz w:val="17"/>
                <w:szCs w:val="17"/>
              </w:rPr>
            </w:pPr>
            <w:r>
              <w:rPr>
                <w:rFonts w:ascii="宋体" w:hAnsi="宋体" w:cs="宋体" w:eastAsia="宋体" w:hint="default"/>
                <w:sz w:val="17"/>
                <w:szCs w:val="17"/>
              </w:rPr>
              <w:t>货币资金</w:t>
            </w:r>
          </w:p>
        </w:tc>
        <w:tc>
          <w:tcPr>
            <w:tcW w:w="1272" w:type="dxa"/>
            <w:tcBorders>
              <w:top w:val="single" w:sz="6" w:space="0" w:color="000000"/>
              <w:left w:val="nil" w:sz="6" w:space="0" w:color="auto"/>
              <w:bottom w:val="nil" w:sz="6" w:space="0" w:color="auto"/>
              <w:right w:val="nil" w:sz="6" w:space="0" w:color="auto"/>
            </w:tcBorders>
          </w:tcPr>
          <w:p>
            <w:pP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single" w:sz="6" w:space="0" w:color="000000"/>
              <w:left w:val="nil" w:sz="6" w:space="0" w:color="auto"/>
              <w:bottom w:val="nil" w:sz="6" w:space="0" w:color="auto"/>
              <w:right w:val="nil" w:sz="6" w:space="0" w:color="auto"/>
            </w:tcBorders>
          </w:tcPr>
          <w:p>
            <w:pP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single" w:sz="6" w:space="0" w:color="000000"/>
              <w:left w:val="nil" w:sz="6" w:space="0" w:color="auto"/>
              <w:bottom w:val="nil" w:sz="6" w:space="0" w:color="auto"/>
              <w:right w:val="nil" w:sz="6" w:space="0" w:color="auto"/>
            </w:tcBorders>
          </w:tcPr>
          <w:p>
            <w:pP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single" w:sz="6" w:space="0" w:color="000000"/>
              <w:left w:val="nil" w:sz="6" w:space="0" w:color="auto"/>
              <w:bottom w:val="nil" w:sz="6" w:space="0" w:color="auto"/>
              <w:right w:val="nil" w:sz="6" w:space="0" w:color="auto"/>
            </w:tcBorders>
          </w:tcPr>
          <w:p>
            <w:pPr/>
          </w:p>
        </w:tc>
      </w:tr>
      <w:tr>
        <w:trPr>
          <w:trHeight w:val="227"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05" w:lineRule="exact"/>
              <w:ind w:left="555" w:right="0"/>
              <w:jc w:val="left"/>
              <w:rPr>
                <w:rFonts w:ascii="宋体" w:hAnsi="宋体" w:cs="宋体" w:eastAsia="宋体" w:hint="default"/>
                <w:sz w:val="16"/>
                <w:szCs w:val="16"/>
              </w:rPr>
            </w:pPr>
            <w:r>
              <w:rPr>
                <w:rFonts w:ascii="Arial" w:hAnsi="Arial" w:cs="Arial" w:eastAsia="Arial" w:hint="default"/>
                <w:w w:val="105"/>
                <w:sz w:val="16"/>
                <w:szCs w:val="16"/>
              </w:rPr>
              <w:t>-</w:t>
            </w:r>
            <w:r>
              <w:rPr>
                <w:rFonts w:ascii="宋体" w:hAnsi="宋体" w:cs="宋体" w:eastAsia="宋体" w:hint="default"/>
                <w:w w:val="105"/>
                <w:sz w:val="16"/>
                <w:szCs w:val="16"/>
              </w:rPr>
              <w:t>美元</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Arial" w:hAnsi="Arial" w:cs="Arial" w:eastAsia="Arial" w:hint="default"/>
                <w:sz w:val="17"/>
                <w:szCs w:val="17"/>
              </w:rPr>
            </w:pPr>
            <w:r>
              <w:rPr>
                <w:rFonts w:ascii="Arial"/>
                <w:spacing w:val="-1"/>
                <w:w w:val="95"/>
                <w:sz w:val="17"/>
              </w:rPr>
              <w:t>166</w:t>
            </w:r>
            <w:r>
              <w:rPr>
                <w:rFonts w:ascii="Arial"/>
                <w:spacing w:val="-1"/>
                <w:sz w:val="17"/>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1"/>
              <w:jc w:val="right"/>
              <w:rPr>
                <w:rFonts w:ascii="Arial" w:hAnsi="Arial" w:cs="Arial" w:eastAsia="Arial" w:hint="default"/>
                <w:sz w:val="17"/>
                <w:szCs w:val="17"/>
              </w:rPr>
            </w:pPr>
            <w:r>
              <w:rPr>
                <w:rFonts w:ascii="Arial"/>
                <w:w w:val="95"/>
                <w:sz w:val="17"/>
              </w:rPr>
              <w:t>1,160</w:t>
            </w:r>
            <w:r>
              <w:rPr>
                <w:rFonts w:ascii="Arial"/>
                <w:sz w:val="17"/>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Arial" w:hAnsi="Arial" w:cs="Arial" w:eastAsia="Arial" w:hint="default"/>
                <w:sz w:val="17"/>
                <w:szCs w:val="17"/>
              </w:rPr>
            </w:pPr>
            <w:r>
              <w:rPr>
                <w:rFonts w:ascii="Arial"/>
                <w:spacing w:val="-1"/>
                <w:w w:val="95"/>
                <w:sz w:val="17"/>
              </w:rPr>
              <w:t>114</w:t>
            </w:r>
            <w:r>
              <w:rPr>
                <w:rFonts w:ascii="Arial"/>
                <w:spacing w:val="-1"/>
                <w:sz w:val="17"/>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10"/>
              <w:jc w:val="right"/>
              <w:rPr>
                <w:rFonts w:ascii="Arial" w:hAnsi="Arial" w:cs="Arial" w:eastAsia="Arial" w:hint="default"/>
                <w:sz w:val="17"/>
                <w:szCs w:val="17"/>
              </w:rPr>
            </w:pPr>
            <w:r>
              <w:rPr>
                <w:rFonts w:ascii="Arial"/>
                <w:spacing w:val="-1"/>
                <w:w w:val="95"/>
                <w:sz w:val="17"/>
              </w:rPr>
              <w:t>783</w:t>
            </w:r>
            <w:r>
              <w:rPr>
                <w:rFonts w:ascii="Arial"/>
                <w:spacing w:val="-1"/>
                <w:sz w:val="17"/>
              </w:rPr>
            </w:r>
          </w:p>
        </w:tc>
      </w:tr>
      <w:tr>
        <w:trPr>
          <w:trHeight w:val="218"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195" w:lineRule="exact"/>
              <w:ind w:left="555" w:right="0"/>
              <w:jc w:val="left"/>
              <w:rPr>
                <w:rFonts w:ascii="宋体" w:hAnsi="宋体" w:cs="宋体" w:eastAsia="宋体" w:hint="default"/>
                <w:sz w:val="17"/>
                <w:szCs w:val="17"/>
              </w:rPr>
            </w:pPr>
            <w:r>
              <w:rPr>
                <w:rFonts w:ascii="Arial" w:hAnsi="Arial" w:cs="Arial" w:eastAsia="Arial" w:hint="default"/>
                <w:sz w:val="17"/>
                <w:szCs w:val="17"/>
              </w:rPr>
              <w:t>-</w:t>
            </w:r>
            <w:r>
              <w:rPr>
                <w:rFonts w:ascii="宋体" w:hAnsi="宋体" w:cs="宋体" w:eastAsia="宋体" w:hint="default"/>
                <w:sz w:val="17"/>
                <w:szCs w:val="17"/>
              </w:rPr>
              <w:t>港币</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8"/>
              <w:jc w:val="right"/>
              <w:rPr>
                <w:rFonts w:ascii="Arial" w:hAnsi="Arial" w:cs="Arial" w:eastAsia="Arial" w:hint="default"/>
                <w:sz w:val="16"/>
                <w:szCs w:val="16"/>
              </w:rPr>
            </w:pPr>
            <w:r>
              <w:rPr>
                <w:rFonts w:ascii="Arial"/>
                <w:spacing w:val="-3"/>
                <w:sz w:val="16"/>
              </w:rPr>
              <w:t>35</w:t>
            </w:r>
            <w:r>
              <w:rPr>
                <w:rFonts w:ascii="Arial"/>
                <w:sz w:val="16"/>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3"/>
              <w:jc w:val="right"/>
              <w:rPr>
                <w:rFonts w:ascii="Arial" w:hAnsi="Arial" w:cs="Arial" w:eastAsia="Arial" w:hint="default"/>
                <w:sz w:val="16"/>
                <w:szCs w:val="16"/>
              </w:rPr>
            </w:pPr>
            <w:r>
              <w:rPr>
                <w:rFonts w:ascii="Arial"/>
                <w:spacing w:val="-3"/>
                <w:sz w:val="16"/>
              </w:rPr>
              <w:t>31</w:t>
            </w:r>
            <w:r>
              <w:rPr>
                <w:rFonts w:ascii="Arial"/>
                <w:sz w:val="16"/>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8"/>
              <w:jc w:val="right"/>
              <w:rPr>
                <w:rFonts w:ascii="Arial" w:hAnsi="Arial" w:cs="Arial" w:eastAsia="Arial" w:hint="default"/>
                <w:sz w:val="16"/>
                <w:szCs w:val="16"/>
              </w:rPr>
            </w:pPr>
            <w:r>
              <w:rPr>
                <w:rFonts w:ascii="Arial"/>
                <w:spacing w:val="-3"/>
                <w:sz w:val="16"/>
              </w:rPr>
              <w:t>66</w:t>
            </w:r>
            <w:r>
              <w:rPr>
                <w:rFonts w:ascii="Arial"/>
                <w:sz w:val="16"/>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3"/>
              <w:jc w:val="right"/>
              <w:rPr>
                <w:rFonts w:ascii="Arial" w:hAnsi="Arial" w:cs="Arial" w:eastAsia="Arial" w:hint="default"/>
                <w:sz w:val="16"/>
                <w:szCs w:val="16"/>
              </w:rPr>
            </w:pPr>
            <w:r>
              <w:rPr>
                <w:rFonts w:ascii="Arial"/>
                <w:spacing w:val="-3"/>
                <w:sz w:val="16"/>
              </w:rPr>
              <w:t>58</w:t>
            </w:r>
            <w:r>
              <w:rPr>
                <w:rFonts w:ascii="Arial"/>
                <w:sz w:val="16"/>
              </w:rPr>
            </w:r>
          </w:p>
        </w:tc>
      </w:tr>
      <w:tr>
        <w:trPr>
          <w:trHeight w:val="221"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196" w:lineRule="exact"/>
              <w:ind w:left="555" w:right="0"/>
              <w:jc w:val="left"/>
              <w:rPr>
                <w:rFonts w:ascii="宋体" w:hAnsi="宋体" w:cs="宋体" w:eastAsia="宋体" w:hint="default"/>
                <w:sz w:val="16"/>
                <w:szCs w:val="16"/>
              </w:rPr>
            </w:pPr>
            <w:r>
              <w:rPr>
                <w:rFonts w:ascii="Arial" w:hAnsi="Arial" w:cs="Arial" w:eastAsia="Arial" w:hint="default"/>
                <w:w w:val="105"/>
                <w:sz w:val="16"/>
                <w:szCs w:val="16"/>
              </w:rPr>
              <w:t>-</w:t>
            </w:r>
            <w:r>
              <w:rPr>
                <w:rFonts w:ascii="宋体" w:hAnsi="宋体" w:cs="宋体" w:eastAsia="宋体" w:hint="default"/>
                <w:w w:val="105"/>
                <w:sz w:val="16"/>
                <w:szCs w:val="16"/>
              </w:rPr>
              <w:t>欧元</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Arial" w:hAnsi="Arial" w:cs="Arial" w:eastAsia="Arial" w:hint="default"/>
                <w:sz w:val="16"/>
                <w:szCs w:val="16"/>
              </w:rPr>
            </w:pPr>
            <w:r>
              <w:rPr>
                <w:rFonts w:ascii="Arial"/>
                <w:spacing w:val="-3"/>
                <w:sz w:val="16"/>
              </w:rPr>
              <w:t>19</w:t>
            </w:r>
            <w:r>
              <w:rPr>
                <w:rFonts w:ascii="Arial"/>
                <w:sz w:val="16"/>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1"/>
              <w:jc w:val="right"/>
              <w:rPr>
                <w:rFonts w:ascii="Arial" w:hAnsi="Arial" w:cs="Arial" w:eastAsia="Arial" w:hint="default"/>
                <w:sz w:val="16"/>
                <w:szCs w:val="16"/>
              </w:rPr>
            </w:pPr>
            <w:r>
              <w:rPr>
                <w:rFonts w:ascii="Arial"/>
                <w:spacing w:val="-1"/>
                <w:w w:val="105"/>
                <w:sz w:val="16"/>
              </w:rPr>
              <w:t>146</w:t>
            </w:r>
            <w:r>
              <w:rPr>
                <w:rFonts w:ascii="Arial"/>
                <w:spacing w:val="-1"/>
                <w:sz w:val="16"/>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Arial" w:hAnsi="Arial" w:cs="Arial" w:eastAsia="Arial" w:hint="default"/>
                <w:sz w:val="16"/>
                <w:szCs w:val="16"/>
              </w:rPr>
            </w:pPr>
            <w:r>
              <w:rPr>
                <w:rFonts w:ascii="Arial"/>
                <w:spacing w:val="-3"/>
                <w:sz w:val="16"/>
              </w:rPr>
              <w:t>16</w:t>
            </w:r>
            <w:r>
              <w:rPr>
                <w:rFonts w:ascii="Arial"/>
                <w:sz w:val="16"/>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10"/>
              <w:jc w:val="right"/>
              <w:rPr>
                <w:rFonts w:ascii="Arial" w:hAnsi="Arial" w:cs="Arial" w:eastAsia="Arial" w:hint="default"/>
                <w:sz w:val="16"/>
                <w:szCs w:val="16"/>
              </w:rPr>
            </w:pPr>
            <w:r>
              <w:rPr>
                <w:rFonts w:ascii="Arial"/>
                <w:spacing w:val="-1"/>
                <w:w w:val="105"/>
                <w:sz w:val="16"/>
              </w:rPr>
              <w:t>123</w:t>
            </w:r>
            <w:r>
              <w:rPr>
                <w:rFonts w:ascii="Arial"/>
                <w:spacing w:val="-1"/>
                <w:sz w:val="16"/>
              </w:rPr>
            </w:r>
          </w:p>
        </w:tc>
      </w:tr>
      <w:tr>
        <w:trPr>
          <w:trHeight w:val="221"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196" w:lineRule="exact"/>
              <w:ind w:left="555" w:right="0"/>
              <w:jc w:val="left"/>
              <w:rPr>
                <w:rFonts w:ascii="宋体" w:hAnsi="宋体" w:cs="宋体" w:eastAsia="宋体" w:hint="default"/>
                <w:sz w:val="16"/>
                <w:szCs w:val="16"/>
              </w:rPr>
            </w:pPr>
            <w:r>
              <w:rPr>
                <w:rFonts w:ascii="Arial" w:hAnsi="Arial" w:cs="Arial" w:eastAsia="Arial" w:hint="default"/>
                <w:w w:val="105"/>
                <w:sz w:val="16"/>
                <w:szCs w:val="16"/>
              </w:rPr>
              <w:t>-</w:t>
            </w:r>
            <w:r>
              <w:rPr>
                <w:rFonts w:ascii="宋体" w:hAnsi="宋体" w:cs="宋体" w:eastAsia="宋体" w:hint="default"/>
                <w:w w:val="105"/>
                <w:sz w:val="16"/>
                <w:szCs w:val="16"/>
              </w:rPr>
              <w:t>日元</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8"/>
              <w:jc w:val="right"/>
              <w:rPr>
                <w:rFonts w:ascii="Arial" w:hAnsi="Arial" w:cs="Arial" w:eastAsia="Arial" w:hint="default"/>
                <w:sz w:val="17"/>
                <w:szCs w:val="17"/>
              </w:rPr>
            </w:pPr>
            <w:r>
              <w:rPr>
                <w:rFonts w:ascii="Arial"/>
                <w:spacing w:val="-4"/>
                <w:w w:val="95"/>
                <w:sz w:val="17"/>
              </w:rPr>
              <w:t>23</w:t>
            </w:r>
            <w:r>
              <w:rPr>
                <w:rFonts w:ascii="Arial"/>
                <w:sz w:val="17"/>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1"/>
              <w:jc w:val="right"/>
              <w:rPr>
                <w:rFonts w:ascii="Arial" w:hAnsi="Arial" w:cs="Arial" w:eastAsia="Arial" w:hint="default"/>
                <w:sz w:val="17"/>
                <w:szCs w:val="17"/>
              </w:rPr>
            </w:pPr>
            <w:r>
              <w:rPr>
                <w:rFonts w:ascii="Arial"/>
                <w:w w:val="98"/>
                <w:sz w:val="17"/>
              </w:rPr>
              <w:t>2</w:t>
            </w:r>
            <w:r>
              <w:rPr>
                <w:rFonts w:ascii="Arial"/>
                <w:sz w:val="17"/>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8"/>
              <w:jc w:val="right"/>
              <w:rPr>
                <w:rFonts w:ascii="Arial" w:hAnsi="Arial" w:cs="Arial" w:eastAsia="Arial" w:hint="default"/>
                <w:sz w:val="17"/>
                <w:szCs w:val="17"/>
              </w:rPr>
            </w:pPr>
            <w:r>
              <w:rPr>
                <w:rFonts w:ascii="Arial"/>
                <w:spacing w:val="-4"/>
                <w:w w:val="95"/>
                <w:sz w:val="17"/>
              </w:rPr>
              <w:t>23</w:t>
            </w:r>
            <w:r>
              <w:rPr>
                <w:rFonts w:ascii="Arial"/>
                <w:sz w:val="17"/>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12"/>
              <w:jc w:val="right"/>
              <w:rPr>
                <w:rFonts w:ascii="Arial" w:hAnsi="Arial" w:cs="Arial" w:eastAsia="Arial" w:hint="default"/>
                <w:sz w:val="17"/>
                <w:szCs w:val="17"/>
              </w:rPr>
            </w:pPr>
            <w:r>
              <w:rPr>
                <w:rFonts w:ascii="Arial"/>
                <w:w w:val="98"/>
                <w:sz w:val="17"/>
              </w:rPr>
              <w:t>1</w:t>
            </w:r>
            <w:r>
              <w:rPr>
                <w:rFonts w:ascii="Arial"/>
                <w:sz w:val="17"/>
              </w:rPr>
            </w:r>
          </w:p>
        </w:tc>
      </w:tr>
      <w:tr>
        <w:trPr>
          <w:trHeight w:val="221"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198" w:lineRule="exact"/>
              <w:ind w:left="555" w:right="0"/>
              <w:jc w:val="left"/>
              <w:rPr>
                <w:rFonts w:ascii="宋体" w:hAnsi="宋体" w:cs="宋体" w:eastAsia="宋体" w:hint="default"/>
                <w:sz w:val="17"/>
                <w:szCs w:val="17"/>
              </w:rPr>
            </w:pPr>
            <w:r>
              <w:rPr>
                <w:rFonts w:ascii="Arial" w:hAnsi="Arial" w:cs="Arial" w:eastAsia="Arial" w:hint="default"/>
                <w:sz w:val="17"/>
                <w:szCs w:val="17"/>
              </w:rPr>
              <w:t>-</w:t>
            </w:r>
            <w:r>
              <w:rPr>
                <w:rFonts w:ascii="宋体" w:hAnsi="宋体" w:cs="宋体" w:eastAsia="宋体" w:hint="default"/>
                <w:sz w:val="17"/>
                <w:szCs w:val="17"/>
              </w:rPr>
              <w:t>英镑</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10"/>
              <w:jc w:val="right"/>
              <w:rPr>
                <w:rFonts w:ascii="Arial" w:hAnsi="Arial" w:cs="Arial" w:eastAsia="Arial" w:hint="default"/>
                <w:sz w:val="16"/>
                <w:szCs w:val="16"/>
              </w:rPr>
            </w:pPr>
            <w:r>
              <w:rPr>
                <w:rFonts w:ascii="Arial"/>
                <w:w w:val="104"/>
                <w:sz w:val="16"/>
              </w:rPr>
              <w:t>-</w:t>
            </w:r>
            <w:r>
              <w:rPr>
                <w:rFonts w:ascii="Arial"/>
                <w:sz w:val="16"/>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5"/>
              <w:jc w:val="right"/>
              <w:rPr>
                <w:rFonts w:ascii="Arial" w:hAnsi="Arial" w:cs="Arial" w:eastAsia="Arial" w:hint="default"/>
                <w:sz w:val="16"/>
                <w:szCs w:val="16"/>
              </w:rPr>
            </w:pPr>
            <w:r>
              <w:rPr>
                <w:rFonts w:ascii="Arial"/>
                <w:w w:val="104"/>
                <w:sz w:val="16"/>
              </w:rPr>
              <w:t>-</w:t>
            </w:r>
            <w:r>
              <w:rPr>
                <w:rFonts w:ascii="Arial"/>
                <w:sz w:val="16"/>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5"/>
              <w:jc w:val="right"/>
              <w:rPr>
                <w:rFonts w:ascii="Arial" w:hAnsi="Arial" w:cs="Arial" w:eastAsia="Arial" w:hint="default"/>
                <w:sz w:val="16"/>
                <w:szCs w:val="16"/>
              </w:rPr>
            </w:pPr>
            <w:r>
              <w:rPr>
                <w:rFonts w:ascii="Arial"/>
                <w:w w:val="104"/>
                <w:sz w:val="16"/>
              </w:rPr>
              <w:t>-</w:t>
            </w:r>
            <w:r>
              <w:rPr>
                <w:rFonts w:ascii="Arial"/>
                <w:sz w:val="16"/>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12"/>
              <w:jc w:val="right"/>
              <w:rPr>
                <w:rFonts w:ascii="Arial" w:hAnsi="Arial" w:cs="Arial" w:eastAsia="Arial" w:hint="default"/>
                <w:sz w:val="16"/>
                <w:szCs w:val="16"/>
              </w:rPr>
            </w:pPr>
            <w:r>
              <w:rPr>
                <w:rFonts w:ascii="Arial"/>
                <w:w w:val="104"/>
                <w:sz w:val="16"/>
              </w:rPr>
              <w:t>1</w:t>
            </w:r>
            <w:r>
              <w:rPr>
                <w:rFonts w:ascii="Arial"/>
                <w:sz w:val="16"/>
              </w:rPr>
            </w:r>
          </w:p>
        </w:tc>
      </w:tr>
      <w:tr>
        <w:trPr>
          <w:trHeight w:val="221"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198" w:lineRule="exact"/>
              <w:ind w:left="555" w:right="0"/>
              <w:jc w:val="left"/>
              <w:rPr>
                <w:rFonts w:ascii="宋体" w:hAnsi="宋体" w:cs="宋体" w:eastAsia="宋体" w:hint="default"/>
                <w:sz w:val="17"/>
                <w:szCs w:val="17"/>
              </w:rPr>
            </w:pPr>
            <w:r>
              <w:rPr>
                <w:rFonts w:ascii="Arial" w:hAnsi="Arial" w:cs="Arial" w:eastAsia="Arial" w:hint="default"/>
                <w:sz w:val="17"/>
                <w:szCs w:val="17"/>
              </w:rPr>
              <w:t>-</w:t>
            </w:r>
            <w:r>
              <w:rPr>
                <w:rFonts w:ascii="宋体" w:hAnsi="宋体" w:cs="宋体" w:eastAsia="宋体" w:hint="default"/>
                <w:sz w:val="17"/>
                <w:szCs w:val="17"/>
              </w:rPr>
              <w:t>新加坡元</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12"/>
              <w:jc w:val="right"/>
              <w:rPr>
                <w:rFonts w:ascii="Arial" w:hAnsi="Arial" w:cs="Arial" w:eastAsia="Arial" w:hint="default"/>
                <w:sz w:val="16"/>
                <w:szCs w:val="16"/>
              </w:rPr>
            </w:pPr>
            <w:r>
              <w:rPr>
                <w:rFonts w:ascii="Arial"/>
                <w:w w:val="104"/>
                <w:sz w:val="16"/>
              </w:rPr>
              <w:t>1</w:t>
            </w:r>
            <w:r>
              <w:rPr>
                <w:rFonts w:ascii="Arial"/>
                <w:sz w:val="16"/>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Arial" w:hAnsi="Arial" w:cs="Arial" w:eastAsia="Arial" w:hint="default"/>
                <w:sz w:val="16"/>
                <w:szCs w:val="16"/>
              </w:rPr>
            </w:pPr>
            <w:r>
              <w:rPr>
                <w:rFonts w:ascii="Arial"/>
                <w:w w:val="104"/>
                <w:sz w:val="16"/>
              </w:rPr>
              <w:t>6</w:t>
            </w:r>
            <w:r>
              <w:rPr>
                <w:rFonts w:ascii="Arial"/>
                <w:sz w:val="16"/>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5"/>
              <w:jc w:val="right"/>
              <w:rPr>
                <w:rFonts w:ascii="Arial" w:hAnsi="Arial" w:cs="Arial" w:eastAsia="Arial" w:hint="default"/>
                <w:sz w:val="16"/>
                <w:szCs w:val="16"/>
              </w:rPr>
            </w:pPr>
            <w:r>
              <w:rPr>
                <w:rFonts w:ascii="Arial"/>
                <w:w w:val="104"/>
                <w:sz w:val="16"/>
              </w:rPr>
              <w:t>-</w:t>
            </w:r>
            <w:r>
              <w:rPr>
                <w:rFonts w:ascii="Arial"/>
                <w:sz w:val="16"/>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10"/>
              <w:jc w:val="right"/>
              <w:rPr>
                <w:rFonts w:ascii="Arial" w:hAnsi="Arial" w:cs="Arial" w:eastAsia="Arial" w:hint="default"/>
                <w:sz w:val="16"/>
                <w:szCs w:val="16"/>
              </w:rPr>
            </w:pPr>
            <w:r>
              <w:rPr>
                <w:rFonts w:ascii="Arial"/>
                <w:w w:val="104"/>
                <w:sz w:val="16"/>
              </w:rPr>
              <w:t>-</w:t>
            </w:r>
            <w:r>
              <w:rPr>
                <w:rFonts w:ascii="Arial"/>
                <w:sz w:val="16"/>
              </w:rPr>
            </w:r>
          </w:p>
        </w:tc>
      </w:tr>
      <w:tr>
        <w:trPr>
          <w:trHeight w:val="319"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196" w:lineRule="exact"/>
              <w:ind w:left="555" w:right="0"/>
              <w:jc w:val="left"/>
              <w:rPr>
                <w:rFonts w:ascii="宋体" w:hAnsi="宋体" w:cs="宋体" w:eastAsia="宋体" w:hint="default"/>
                <w:sz w:val="16"/>
                <w:szCs w:val="16"/>
              </w:rPr>
            </w:pPr>
            <w:r>
              <w:rPr>
                <w:rFonts w:ascii="Arial" w:hAnsi="Arial" w:cs="Arial" w:eastAsia="Arial" w:hint="default"/>
                <w:w w:val="105"/>
                <w:sz w:val="16"/>
                <w:szCs w:val="16"/>
              </w:rPr>
              <w:t>-</w:t>
            </w:r>
            <w:r>
              <w:rPr>
                <w:rFonts w:ascii="宋体" w:hAnsi="宋体" w:cs="宋体" w:eastAsia="宋体" w:hint="default"/>
                <w:w w:val="105"/>
                <w:sz w:val="16"/>
                <w:szCs w:val="16"/>
              </w:rPr>
              <w:t>澳大利亚元</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12"/>
              <w:jc w:val="right"/>
              <w:rPr>
                <w:rFonts w:ascii="Arial" w:hAnsi="Arial" w:cs="Arial" w:eastAsia="Arial" w:hint="default"/>
                <w:sz w:val="17"/>
                <w:szCs w:val="17"/>
              </w:rPr>
            </w:pPr>
            <w:r>
              <w:rPr>
                <w:rFonts w:ascii="Arial"/>
                <w:w w:val="98"/>
                <w:sz w:val="17"/>
              </w:rPr>
              <w:t>1</w:t>
            </w:r>
            <w:r>
              <w:rPr>
                <w:rFonts w:ascii="Arial"/>
                <w:sz w:val="17"/>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17"/>
                <w:szCs w:val="17"/>
              </w:rPr>
            </w:pPr>
            <w:r>
              <w:rPr>
                <w:rFonts w:ascii="Arial"/>
                <w:w w:val="98"/>
                <w:sz w:val="17"/>
              </w:rPr>
              <w:t>4</w:t>
            </w:r>
            <w:r>
              <w:rPr>
                <w:rFonts w:ascii="Arial"/>
                <w:sz w:val="17"/>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5"/>
              <w:jc w:val="right"/>
              <w:rPr>
                <w:rFonts w:ascii="Arial" w:hAnsi="Arial" w:cs="Arial" w:eastAsia="Arial" w:hint="default"/>
                <w:sz w:val="17"/>
                <w:szCs w:val="17"/>
              </w:rPr>
            </w:pPr>
            <w:r>
              <w:rPr>
                <w:rFonts w:ascii="Arial"/>
                <w:w w:val="98"/>
                <w:sz w:val="17"/>
              </w:rPr>
              <w:t>-</w:t>
            </w:r>
            <w:r>
              <w:rPr>
                <w:rFonts w:ascii="Arial"/>
                <w:sz w:val="17"/>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10"/>
              <w:jc w:val="right"/>
              <w:rPr>
                <w:rFonts w:ascii="Arial" w:hAnsi="Arial" w:cs="Arial" w:eastAsia="Arial" w:hint="default"/>
                <w:sz w:val="17"/>
                <w:szCs w:val="17"/>
              </w:rPr>
            </w:pPr>
            <w:r>
              <w:rPr>
                <w:rFonts w:ascii="Arial"/>
                <w:w w:val="98"/>
                <w:sz w:val="17"/>
              </w:rPr>
              <w:t>-</w:t>
            </w:r>
            <w:r>
              <w:rPr>
                <w:rFonts w:ascii="Arial"/>
                <w:sz w:val="17"/>
              </w:rPr>
            </w:r>
          </w:p>
        </w:tc>
      </w:tr>
      <w:tr>
        <w:trPr>
          <w:trHeight w:val="310"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15" w:right="0"/>
              <w:jc w:val="left"/>
              <w:rPr>
                <w:rFonts w:ascii="宋体" w:hAnsi="宋体" w:cs="宋体" w:eastAsia="宋体" w:hint="default"/>
                <w:sz w:val="16"/>
                <w:szCs w:val="16"/>
              </w:rPr>
            </w:pPr>
            <w:r>
              <w:rPr>
                <w:rFonts w:ascii="宋体" w:hAnsi="宋体" w:cs="宋体" w:eastAsia="宋体" w:hint="default"/>
                <w:w w:val="105"/>
                <w:sz w:val="16"/>
                <w:szCs w:val="16"/>
              </w:rPr>
              <w:t>应收账款</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r>
      <w:tr>
        <w:trPr>
          <w:trHeight w:val="230"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07" w:lineRule="exact"/>
              <w:ind w:left="511" w:right="0"/>
              <w:jc w:val="left"/>
              <w:rPr>
                <w:rFonts w:ascii="宋体" w:hAnsi="宋体" w:cs="宋体" w:eastAsia="宋体" w:hint="default"/>
                <w:sz w:val="17"/>
                <w:szCs w:val="17"/>
              </w:rPr>
            </w:pPr>
            <w:r>
              <w:rPr>
                <w:rFonts w:ascii="Arial" w:hAnsi="Arial" w:cs="Arial" w:eastAsia="Arial" w:hint="default"/>
                <w:sz w:val="17"/>
                <w:szCs w:val="17"/>
              </w:rPr>
              <w:t>-</w:t>
            </w:r>
            <w:r>
              <w:rPr>
                <w:rFonts w:ascii="宋体" w:hAnsi="宋体" w:cs="宋体" w:eastAsia="宋体" w:hint="default"/>
                <w:sz w:val="17"/>
                <w:szCs w:val="17"/>
              </w:rPr>
              <w:t>港币</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06"/>
              <w:jc w:val="right"/>
              <w:rPr>
                <w:rFonts w:ascii="Arial" w:hAnsi="Arial" w:cs="Arial" w:eastAsia="Arial" w:hint="default"/>
                <w:sz w:val="16"/>
                <w:szCs w:val="16"/>
              </w:rPr>
            </w:pPr>
            <w:r>
              <w:rPr>
                <w:rFonts w:ascii="Arial"/>
                <w:w w:val="104"/>
                <w:sz w:val="16"/>
              </w:rPr>
              <w:t>2</w:t>
            </w:r>
            <w:r>
              <w:rPr>
                <w:rFonts w:ascii="Arial"/>
                <w:sz w:val="16"/>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01"/>
              <w:jc w:val="right"/>
              <w:rPr>
                <w:rFonts w:ascii="Arial" w:hAnsi="Arial" w:cs="Arial" w:eastAsia="Arial" w:hint="default"/>
                <w:sz w:val="16"/>
                <w:szCs w:val="16"/>
              </w:rPr>
            </w:pPr>
            <w:r>
              <w:rPr>
                <w:rFonts w:ascii="Arial"/>
                <w:w w:val="104"/>
                <w:sz w:val="16"/>
              </w:rPr>
              <w:t>1</w:t>
            </w:r>
            <w:r>
              <w:rPr>
                <w:rFonts w:ascii="Arial"/>
                <w:sz w:val="16"/>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06"/>
              <w:jc w:val="right"/>
              <w:rPr>
                <w:rFonts w:ascii="Arial" w:hAnsi="Arial" w:cs="Arial" w:eastAsia="Arial" w:hint="default"/>
                <w:sz w:val="16"/>
                <w:szCs w:val="16"/>
              </w:rPr>
            </w:pPr>
            <w:r>
              <w:rPr>
                <w:rFonts w:ascii="Arial"/>
                <w:w w:val="104"/>
                <w:sz w:val="16"/>
              </w:rPr>
              <w:t>1</w:t>
            </w:r>
            <w:r>
              <w:rPr>
                <w:rFonts w:ascii="Arial"/>
                <w:sz w:val="16"/>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12"/>
              <w:jc w:val="right"/>
              <w:rPr>
                <w:rFonts w:ascii="Arial" w:hAnsi="Arial" w:cs="Arial" w:eastAsia="Arial" w:hint="default"/>
                <w:sz w:val="16"/>
                <w:szCs w:val="16"/>
              </w:rPr>
            </w:pPr>
            <w:r>
              <w:rPr>
                <w:rFonts w:ascii="Arial"/>
                <w:w w:val="104"/>
                <w:sz w:val="16"/>
              </w:rPr>
              <w:t>1</w:t>
            </w:r>
            <w:r>
              <w:rPr>
                <w:rFonts w:ascii="Arial"/>
                <w:sz w:val="16"/>
              </w:rPr>
            </w:r>
          </w:p>
        </w:tc>
      </w:tr>
      <w:tr>
        <w:trPr>
          <w:trHeight w:val="221"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198" w:lineRule="exact"/>
              <w:ind w:left="555" w:right="0"/>
              <w:jc w:val="left"/>
              <w:rPr>
                <w:rFonts w:ascii="宋体" w:hAnsi="宋体" w:cs="宋体" w:eastAsia="宋体" w:hint="default"/>
                <w:sz w:val="17"/>
                <w:szCs w:val="17"/>
              </w:rPr>
            </w:pPr>
            <w:r>
              <w:rPr>
                <w:rFonts w:ascii="Arial" w:hAnsi="Arial" w:cs="Arial" w:eastAsia="Arial" w:hint="default"/>
                <w:sz w:val="17"/>
                <w:szCs w:val="17"/>
              </w:rPr>
              <w:t>-</w:t>
            </w:r>
            <w:r>
              <w:rPr>
                <w:rFonts w:ascii="宋体" w:hAnsi="宋体" w:cs="宋体" w:eastAsia="宋体" w:hint="default"/>
                <w:sz w:val="17"/>
                <w:szCs w:val="17"/>
              </w:rPr>
              <w:t>美元</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Arial" w:hAnsi="Arial" w:cs="Arial" w:eastAsia="Arial" w:hint="default"/>
                <w:sz w:val="16"/>
                <w:szCs w:val="16"/>
              </w:rPr>
            </w:pPr>
            <w:r>
              <w:rPr>
                <w:rFonts w:ascii="Arial"/>
                <w:spacing w:val="-1"/>
                <w:w w:val="105"/>
                <w:sz w:val="16"/>
              </w:rPr>
              <w:t>231</w:t>
            </w:r>
            <w:r>
              <w:rPr>
                <w:rFonts w:ascii="Arial"/>
                <w:spacing w:val="-1"/>
                <w:sz w:val="16"/>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1"/>
              <w:jc w:val="right"/>
              <w:rPr>
                <w:rFonts w:ascii="Arial" w:hAnsi="Arial" w:cs="Arial" w:eastAsia="Arial" w:hint="default"/>
                <w:sz w:val="16"/>
                <w:szCs w:val="16"/>
              </w:rPr>
            </w:pPr>
            <w:r>
              <w:rPr>
                <w:rFonts w:ascii="Arial"/>
                <w:w w:val="105"/>
                <w:sz w:val="16"/>
              </w:rPr>
              <w:t>1,612</w:t>
            </w:r>
            <w:r>
              <w:rPr>
                <w:rFonts w:ascii="Arial"/>
                <w:sz w:val="16"/>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Arial" w:hAnsi="Arial" w:cs="Arial" w:eastAsia="Arial" w:hint="default"/>
                <w:sz w:val="16"/>
                <w:szCs w:val="16"/>
              </w:rPr>
            </w:pPr>
            <w:r>
              <w:rPr>
                <w:rFonts w:ascii="Arial"/>
                <w:spacing w:val="-1"/>
                <w:w w:val="105"/>
                <w:sz w:val="16"/>
              </w:rPr>
              <w:t>233</w:t>
            </w:r>
            <w:r>
              <w:rPr>
                <w:rFonts w:ascii="Arial"/>
                <w:spacing w:val="-1"/>
                <w:sz w:val="16"/>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890" w:right="0"/>
              <w:jc w:val="left"/>
              <w:rPr>
                <w:rFonts w:ascii="Arial" w:hAnsi="Arial" w:cs="Arial" w:eastAsia="Arial" w:hint="default"/>
                <w:sz w:val="16"/>
                <w:szCs w:val="16"/>
              </w:rPr>
            </w:pPr>
            <w:r>
              <w:rPr>
                <w:rFonts w:ascii="Arial"/>
                <w:w w:val="105"/>
                <w:sz w:val="16"/>
              </w:rPr>
              <w:t>1,601</w:t>
            </w:r>
            <w:r>
              <w:rPr>
                <w:rFonts w:ascii="Arial"/>
                <w:sz w:val="16"/>
              </w:rPr>
            </w:r>
          </w:p>
        </w:tc>
      </w:tr>
      <w:tr>
        <w:trPr>
          <w:trHeight w:val="322"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196" w:lineRule="exact"/>
              <w:ind w:left="555" w:right="0"/>
              <w:jc w:val="left"/>
              <w:rPr>
                <w:rFonts w:ascii="宋体" w:hAnsi="宋体" w:cs="宋体" w:eastAsia="宋体" w:hint="default"/>
                <w:sz w:val="16"/>
                <w:szCs w:val="16"/>
              </w:rPr>
            </w:pPr>
            <w:r>
              <w:rPr>
                <w:rFonts w:ascii="Arial" w:hAnsi="Arial" w:cs="Arial" w:eastAsia="Arial" w:hint="default"/>
                <w:w w:val="105"/>
                <w:sz w:val="16"/>
                <w:szCs w:val="16"/>
              </w:rPr>
              <w:t>-</w:t>
            </w:r>
            <w:r>
              <w:rPr>
                <w:rFonts w:ascii="宋体" w:hAnsi="宋体" w:cs="宋体" w:eastAsia="宋体" w:hint="default"/>
                <w:w w:val="105"/>
                <w:sz w:val="16"/>
                <w:szCs w:val="16"/>
              </w:rPr>
              <w:t>欧元</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17"/>
                <w:szCs w:val="17"/>
              </w:rPr>
            </w:pPr>
            <w:r>
              <w:rPr>
                <w:rFonts w:ascii="Arial"/>
                <w:w w:val="98"/>
                <w:sz w:val="17"/>
              </w:rPr>
              <w:t>2</w:t>
            </w:r>
            <w:r>
              <w:rPr>
                <w:rFonts w:ascii="Arial"/>
                <w:sz w:val="17"/>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3"/>
              <w:jc w:val="right"/>
              <w:rPr>
                <w:rFonts w:ascii="Arial" w:hAnsi="Arial" w:cs="Arial" w:eastAsia="Arial" w:hint="default"/>
                <w:sz w:val="17"/>
                <w:szCs w:val="17"/>
              </w:rPr>
            </w:pPr>
            <w:r>
              <w:rPr>
                <w:rFonts w:ascii="Arial"/>
                <w:spacing w:val="-4"/>
                <w:w w:val="95"/>
                <w:sz w:val="17"/>
              </w:rPr>
              <w:t>15</w:t>
            </w:r>
            <w:r>
              <w:rPr>
                <w:rFonts w:ascii="Arial"/>
                <w:sz w:val="17"/>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17"/>
                <w:szCs w:val="17"/>
              </w:rPr>
            </w:pPr>
            <w:r>
              <w:rPr>
                <w:rFonts w:ascii="Arial"/>
                <w:w w:val="98"/>
                <w:sz w:val="17"/>
              </w:rPr>
              <w:t>1</w:t>
            </w:r>
            <w:r>
              <w:rPr>
                <w:rFonts w:ascii="Arial"/>
                <w:sz w:val="17"/>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13"/>
              <w:jc w:val="right"/>
              <w:rPr>
                <w:rFonts w:ascii="Arial" w:hAnsi="Arial" w:cs="Arial" w:eastAsia="Arial" w:hint="default"/>
                <w:sz w:val="17"/>
                <w:szCs w:val="17"/>
              </w:rPr>
            </w:pPr>
            <w:r>
              <w:rPr>
                <w:rFonts w:ascii="Arial"/>
                <w:spacing w:val="-4"/>
                <w:w w:val="95"/>
                <w:sz w:val="17"/>
              </w:rPr>
              <w:t>10</w:t>
            </w:r>
            <w:r>
              <w:rPr>
                <w:rFonts w:ascii="Arial"/>
                <w:sz w:val="17"/>
              </w:rPr>
            </w:r>
          </w:p>
        </w:tc>
      </w:tr>
      <w:tr>
        <w:trPr>
          <w:trHeight w:val="313"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20" w:right="0"/>
              <w:jc w:val="left"/>
              <w:rPr>
                <w:rFonts w:ascii="宋体" w:hAnsi="宋体" w:cs="宋体" w:eastAsia="宋体" w:hint="default"/>
                <w:sz w:val="16"/>
                <w:szCs w:val="16"/>
              </w:rPr>
            </w:pPr>
            <w:r>
              <w:rPr>
                <w:rFonts w:ascii="宋体" w:hAnsi="宋体" w:cs="宋体" w:eastAsia="宋体" w:hint="default"/>
                <w:w w:val="105"/>
                <w:sz w:val="16"/>
                <w:szCs w:val="16"/>
              </w:rPr>
              <w:t>其他权益工具投资</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r>
      <w:tr>
        <w:trPr>
          <w:trHeight w:val="328"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05" w:lineRule="exact"/>
              <w:ind w:left="555" w:right="0"/>
              <w:jc w:val="left"/>
              <w:rPr>
                <w:rFonts w:ascii="宋体" w:hAnsi="宋体" w:cs="宋体" w:eastAsia="宋体" w:hint="default"/>
                <w:sz w:val="16"/>
                <w:szCs w:val="16"/>
              </w:rPr>
            </w:pPr>
            <w:r>
              <w:rPr>
                <w:rFonts w:ascii="Arial" w:hAnsi="Arial" w:cs="Arial" w:eastAsia="Arial" w:hint="default"/>
                <w:w w:val="105"/>
                <w:sz w:val="16"/>
                <w:szCs w:val="16"/>
              </w:rPr>
              <w:t>-</w:t>
            </w:r>
            <w:r>
              <w:rPr>
                <w:rFonts w:ascii="宋体" w:hAnsi="宋体" w:cs="宋体" w:eastAsia="宋体" w:hint="default"/>
                <w:w w:val="105"/>
                <w:sz w:val="16"/>
                <w:szCs w:val="16"/>
              </w:rPr>
              <w:t>欧元</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Arial" w:hAnsi="Arial" w:cs="Arial" w:eastAsia="Arial" w:hint="default"/>
                <w:sz w:val="17"/>
                <w:szCs w:val="17"/>
              </w:rPr>
            </w:pPr>
            <w:r>
              <w:rPr>
                <w:rFonts w:ascii="Arial"/>
                <w:spacing w:val="-1"/>
                <w:w w:val="95"/>
                <w:sz w:val="17"/>
              </w:rPr>
              <w:t>400</w:t>
            </w:r>
            <w:r>
              <w:rPr>
                <w:rFonts w:ascii="Arial"/>
                <w:spacing w:val="-1"/>
                <w:sz w:val="17"/>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1"/>
              <w:jc w:val="right"/>
              <w:rPr>
                <w:rFonts w:ascii="Arial" w:hAnsi="Arial" w:cs="Arial" w:eastAsia="Arial" w:hint="default"/>
                <w:sz w:val="17"/>
                <w:szCs w:val="17"/>
              </w:rPr>
            </w:pPr>
            <w:r>
              <w:rPr>
                <w:rFonts w:ascii="Arial"/>
                <w:w w:val="95"/>
                <w:sz w:val="17"/>
              </w:rPr>
              <w:t>3,125</w:t>
            </w:r>
            <w:r>
              <w:rPr>
                <w:rFonts w:ascii="Arial"/>
                <w:sz w:val="17"/>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Arial" w:hAnsi="Arial" w:cs="Arial" w:eastAsia="Arial" w:hint="default"/>
                <w:sz w:val="17"/>
                <w:szCs w:val="17"/>
              </w:rPr>
            </w:pPr>
            <w:r>
              <w:rPr>
                <w:rFonts w:ascii="Arial"/>
                <w:spacing w:val="-1"/>
                <w:w w:val="95"/>
                <w:sz w:val="17"/>
              </w:rPr>
              <w:t>471</w:t>
            </w:r>
            <w:r>
              <w:rPr>
                <w:rFonts w:ascii="Arial"/>
                <w:spacing w:val="-1"/>
                <w:sz w:val="17"/>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890" w:right="0"/>
              <w:jc w:val="left"/>
              <w:rPr>
                <w:rFonts w:ascii="Arial" w:hAnsi="Arial" w:cs="Arial" w:eastAsia="Arial" w:hint="default"/>
                <w:sz w:val="17"/>
                <w:szCs w:val="17"/>
              </w:rPr>
            </w:pPr>
            <w:r>
              <w:rPr>
                <w:rFonts w:ascii="Arial"/>
                <w:sz w:val="17"/>
              </w:rPr>
              <w:t>3,698</w:t>
            </w:r>
          </w:p>
        </w:tc>
      </w:tr>
      <w:tr>
        <w:trPr>
          <w:trHeight w:val="310"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15" w:right="0"/>
              <w:jc w:val="left"/>
              <w:rPr>
                <w:rFonts w:ascii="宋体" w:hAnsi="宋体" w:cs="宋体" w:eastAsia="宋体" w:hint="default"/>
                <w:sz w:val="16"/>
                <w:szCs w:val="16"/>
              </w:rPr>
            </w:pPr>
            <w:r>
              <w:rPr>
                <w:rFonts w:ascii="宋体" w:hAnsi="宋体" w:cs="宋体" w:eastAsia="宋体" w:hint="default"/>
                <w:w w:val="105"/>
                <w:sz w:val="16"/>
                <w:szCs w:val="16"/>
              </w:rPr>
              <w:t>短期借款</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r>
      <w:tr>
        <w:trPr>
          <w:trHeight w:val="326"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07" w:lineRule="exact"/>
              <w:ind w:left="555" w:right="0"/>
              <w:jc w:val="left"/>
              <w:rPr>
                <w:rFonts w:ascii="宋体" w:hAnsi="宋体" w:cs="宋体" w:eastAsia="宋体" w:hint="default"/>
                <w:sz w:val="17"/>
                <w:szCs w:val="17"/>
              </w:rPr>
            </w:pPr>
            <w:r>
              <w:rPr>
                <w:rFonts w:ascii="Arial" w:hAnsi="Arial" w:cs="Arial" w:eastAsia="Arial" w:hint="default"/>
                <w:sz w:val="17"/>
                <w:szCs w:val="17"/>
              </w:rPr>
              <w:t>-</w:t>
            </w:r>
            <w:r>
              <w:rPr>
                <w:rFonts w:ascii="宋体" w:hAnsi="宋体" w:cs="宋体" w:eastAsia="宋体" w:hint="default"/>
                <w:sz w:val="17"/>
                <w:szCs w:val="17"/>
              </w:rPr>
              <w:t>港币</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10"/>
              <w:jc w:val="right"/>
              <w:rPr>
                <w:rFonts w:ascii="Arial" w:hAnsi="Arial" w:cs="Arial" w:eastAsia="Arial" w:hint="default"/>
                <w:sz w:val="16"/>
                <w:szCs w:val="16"/>
              </w:rPr>
            </w:pPr>
            <w:r>
              <w:rPr>
                <w:rFonts w:ascii="Arial"/>
                <w:w w:val="104"/>
                <w:sz w:val="16"/>
              </w:rPr>
              <w:t>-</w:t>
            </w:r>
            <w:r>
              <w:rPr>
                <w:rFonts w:ascii="Arial"/>
                <w:sz w:val="16"/>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05"/>
              <w:jc w:val="right"/>
              <w:rPr>
                <w:rFonts w:ascii="Arial" w:hAnsi="Arial" w:cs="Arial" w:eastAsia="Arial" w:hint="default"/>
                <w:sz w:val="16"/>
                <w:szCs w:val="16"/>
              </w:rPr>
            </w:pPr>
            <w:r>
              <w:rPr>
                <w:rFonts w:ascii="Arial"/>
                <w:w w:val="104"/>
                <w:sz w:val="16"/>
              </w:rPr>
              <w:t>-</w:t>
            </w:r>
            <w:r>
              <w:rPr>
                <w:rFonts w:ascii="Arial"/>
                <w:sz w:val="16"/>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06"/>
              <w:jc w:val="right"/>
              <w:rPr>
                <w:rFonts w:ascii="Arial" w:hAnsi="Arial" w:cs="Arial" w:eastAsia="Arial" w:hint="default"/>
                <w:sz w:val="16"/>
                <w:szCs w:val="16"/>
              </w:rPr>
            </w:pPr>
            <w:r>
              <w:rPr>
                <w:rFonts w:ascii="Arial"/>
                <w:w w:val="104"/>
                <w:sz w:val="16"/>
              </w:rPr>
              <w:t>2</w:t>
            </w:r>
            <w:r>
              <w:rPr>
                <w:rFonts w:ascii="Arial"/>
                <w:sz w:val="16"/>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12"/>
              <w:jc w:val="right"/>
              <w:rPr>
                <w:rFonts w:ascii="Arial" w:hAnsi="Arial" w:cs="Arial" w:eastAsia="Arial" w:hint="default"/>
                <w:sz w:val="16"/>
                <w:szCs w:val="16"/>
              </w:rPr>
            </w:pPr>
            <w:r>
              <w:rPr>
                <w:rFonts w:ascii="Arial"/>
                <w:w w:val="104"/>
                <w:sz w:val="16"/>
              </w:rPr>
              <w:t>2</w:t>
            </w:r>
            <w:r>
              <w:rPr>
                <w:rFonts w:ascii="Arial"/>
                <w:sz w:val="16"/>
              </w:rPr>
            </w:r>
          </w:p>
        </w:tc>
      </w:tr>
      <w:tr>
        <w:trPr>
          <w:trHeight w:val="308"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15" w:right="0"/>
              <w:jc w:val="left"/>
              <w:rPr>
                <w:rFonts w:ascii="宋体" w:hAnsi="宋体" w:cs="宋体" w:eastAsia="宋体" w:hint="default"/>
                <w:sz w:val="16"/>
                <w:szCs w:val="16"/>
              </w:rPr>
            </w:pPr>
            <w:r>
              <w:rPr>
                <w:rFonts w:ascii="宋体" w:hAnsi="宋体" w:cs="宋体" w:eastAsia="宋体" w:hint="default"/>
                <w:w w:val="105"/>
                <w:sz w:val="16"/>
                <w:szCs w:val="16"/>
              </w:rPr>
              <w:t>长期借款</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r>
      <w:tr>
        <w:trPr>
          <w:trHeight w:val="230"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07" w:lineRule="exact"/>
              <w:ind w:left="555" w:right="0"/>
              <w:jc w:val="left"/>
              <w:rPr>
                <w:rFonts w:ascii="宋体" w:hAnsi="宋体" w:cs="宋体" w:eastAsia="宋体" w:hint="default"/>
                <w:sz w:val="17"/>
                <w:szCs w:val="17"/>
              </w:rPr>
            </w:pPr>
            <w:r>
              <w:rPr>
                <w:rFonts w:ascii="Arial" w:hAnsi="Arial" w:cs="Arial" w:eastAsia="Arial" w:hint="default"/>
                <w:sz w:val="17"/>
                <w:szCs w:val="17"/>
              </w:rPr>
              <w:t>-</w:t>
            </w:r>
            <w:r>
              <w:rPr>
                <w:rFonts w:ascii="宋体" w:hAnsi="宋体" w:cs="宋体" w:eastAsia="宋体" w:hint="default"/>
                <w:sz w:val="17"/>
                <w:szCs w:val="17"/>
              </w:rPr>
              <w:t>美元</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Arial" w:hAnsi="Arial" w:cs="Arial" w:eastAsia="Arial" w:hint="default"/>
                <w:sz w:val="17"/>
                <w:szCs w:val="17"/>
              </w:rPr>
            </w:pPr>
            <w:r>
              <w:rPr>
                <w:rFonts w:ascii="Arial"/>
                <w:spacing w:val="-4"/>
                <w:w w:val="95"/>
                <w:sz w:val="17"/>
              </w:rPr>
              <w:t>33</w:t>
            </w:r>
            <w:r>
              <w:rPr>
                <w:rFonts w:ascii="Arial"/>
                <w:sz w:val="17"/>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1"/>
              <w:jc w:val="right"/>
              <w:rPr>
                <w:rFonts w:ascii="Arial" w:hAnsi="Arial" w:cs="Arial" w:eastAsia="Arial" w:hint="default"/>
                <w:sz w:val="17"/>
                <w:szCs w:val="17"/>
              </w:rPr>
            </w:pPr>
            <w:r>
              <w:rPr>
                <w:rFonts w:ascii="Arial"/>
                <w:spacing w:val="-1"/>
                <w:w w:val="95"/>
                <w:sz w:val="17"/>
              </w:rPr>
              <w:t>233</w:t>
            </w:r>
            <w:r>
              <w:rPr>
                <w:rFonts w:ascii="Arial"/>
                <w:spacing w:val="-1"/>
                <w:sz w:val="17"/>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Arial" w:hAnsi="Arial" w:cs="Arial" w:eastAsia="Arial" w:hint="default"/>
                <w:sz w:val="17"/>
                <w:szCs w:val="17"/>
              </w:rPr>
            </w:pPr>
            <w:r>
              <w:rPr>
                <w:rFonts w:ascii="Arial"/>
                <w:spacing w:val="-4"/>
                <w:w w:val="95"/>
                <w:sz w:val="17"/>
              </w:rPr>
              <w:t>37</w:t>
            </w:r>
            <w:r>
              <w:rPr>
                <w:rFonts w:ascii="Arial"/>
                <w:sz w:val="17"/>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10"/>
              <w:jc w:val="right"/>
              <w:rPr>
                <w:rFonts w:ascii="Arial" w:hAnsi="Arial" w:cs="Arial" w:eastAsia="Arial" w:hint="default"/>
                <w:sz w:val="17"/>
                <w:szCs w:val="17"/>
              </w:rPr>
            </w:pPr>
            <w:r>
              <w:rPr>
                <w:rFonts w:ascii="Arial"/>
                <w:spacing w:val="-1"/>
                <w:w w:val="95"/>
                <w:sz w:val="17"/>
              </w:rPr>
              <w:t>253</w:t>
            </w:r>
            <w:r>
              <w:rPr>
                <w:rFonts w:ascii="Arial"/>
                <w:spacing w:val="-1"/>
                <w:sz w:val="17"/>
              </w:rPr>
            </w:r>
          </w:p>
        </w:tc>
      </w:tr>
      <w:tr>
        <w:trPr>
          <w:trHeight w:val="319"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196" w:lineRule="exact"/>
              <w:ind w:left="555" w:right="0"/>
              <w:jc w:val="left"/>
              <w:rPr>
                <w:rFonts w:ascii="宋体" w:hAnsi="宋体" w:cs="宋体" w:eastAsia="宋体" w:hint="default"/>
                <w:sz w:val="16"/>
                <w:szCs w:val="16"/>
              </w:rPr>
            </w:pPr>
            <w:r>
              <w:rPr>
                <w:rFonts w:ascii="Arial" w:hAnsi="Arial" w:cs="Arial" w:eastAsia="Arial" w:hint="default"/>
                <w:w w:val="105"/>
                <w:sz w:val="16"/>
                <w:szCs w:val="16"/>
              </w:rPr>
              <w:t>-</w:t>
            </w:r>
            <w:r>
              <w:rPr>
                <w:rFonts w:ascii="宋体" w:hAnsi="宋体" w:cs="宋体" w:eastAsia="宋体" w:hint="default"/>
                <w:w w:val="105"/>
                <w:sz w:val="16"/>
                <w:szCs w:val="16"/>
              </w:rPr>
              <w:t>欧元</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17"/>
                <w:szCs w:val="17"/>
              </w:rPr>
            </w:pPr>
            <w:r>
              <w:rPr>
                <w:rFonts w:ascii="Arial"/>
                <w:w w:val="98"/>
                <w:sz w:val="17"/>
              </w:rPr>
              <w:t>5</w:t>
            </w:r>
            <w:r>
              <w:rPr>
                <w:rFonts w:ascii="Arial"/>
                <w:sz w:val="17"/>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3"/>
              <w:jc w:val="right"/>
              <w:rPr>
                <w:rFonts w:ascii="Arial" w:hAnsi="Arial" w:cs="Arial" w:eastAsia="Arial" w:hint="default"/>
                <w:sz w:val="17"/>
                <w:szCs w:val="17"/>
              </w:rPr>
            </w:pPr>
            <w:r>
              <w:rPr>
                <w:rFonts w:ascii="Arial"/>
                <w:spacing w:val="-4"/>
                <w:w w:val="95"/>
                <w:sz w:val="17"/>
              </w:rPr>
              <w:t>42</w:t>
            </w:r>
            <w:r>
              <w:rPr>
                <w:rFonts w:ascii="Arial"/>
                <w:sz w:val="17"/>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17"/>
                <w:szCs w:val="17"/>
              </w:rPr>
            </w:pPr>
            <w:r>
              <w:rPr>
                <w:rFonts w:ascii="Arial"/>
                <w:w w:val="98"/>
                <w:sz w:val="17"/>
              </w:rPr>
              <w:t>8</w:t>
            </w:r>
            <w:r>
              <w:rPr>
                <w:rFonts w:ascii="Arial"/>
                <w:sz w:val="17"/>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13"/>
              <w:jc w:val="right"/>
              <w:rPr>
                <w:rFonts w:ascii="Arial" w:hAnsi="Arial" w:cs="Arial" w:eastAsia="Arial" w:hint="default"/>
                <w:sz w:val="17"/>
                <w:szCs w:val="17"/>
              </w:rPr>
            </w:pPr>
            <w:r>
              <w:rPr>
                <w:rFonts w:ascii="Arial"/>
                <w:spacing w:val="-4"/>
                <w:w w:val="95"/>
                <w:sz w:val="17"/>
              </w:rPr>
              <w:t>62</w:t>
            </w:r>
            <w:r>
              <w:rPr>
                <w:rFonts w:ascii="Arial"/>
                <w:sz w:val="17"/>
              </w:rPr>
            </w:r>
          </w:p>
        </w:tc>
      </w:tr>
      <w:tr>
        <w:trPr>
          <w:trHeight w:val="310"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15" w:right="0"/>
              <w:jc w:val="left"/>
              <w:rPr>
                <w:rFonts w:ascii="宋体" w:hAnsi="宋体" w:cs="宋体" w:eastAsia="宋体" w:hint="default"/>
                <w:sz w:val="16"/>
                <w:szCs w:val="16"/>
              </w:rPr>
            </w:pPr>
            <w:r>
              <w:rPr>
                <w:rFonts w:ascii="宋体" w:hAnsi="宋体" w:cs="宋体" w:eastAsia="宋体" w:hint="default"/>
                <w:w w:val="105"/>
                <w:sz w:val="16"/>
                <w:szCs w:val="16"/>
              </w:rPr>
              <w:t>应付账款</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r>
      <w:tr>
        <w:trPr>
          <w:trHeight w:val="230"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05" w:lineRule="exact"/>
              <w:ind w:left="555" w:right="0"/>
              <w:jc w:val="left"/>
              <w:rPr>
                <w:rFonts w:ascii="宋体" w:hAnsi="宋体" w:cs="宋体" w:eastAsia="宋体" w:hint="default"/>
                <w:sz w:val="16"/>
                <w:szCs w:val="16"/>
              </w:rPr>
            </w:pPr>
            <w:r>
              <w:rPr>
                <w:rFonts w:ascii="Arial" w:hAnsi="Arial" w:cs="Arial" w:eastAsia="Arial" w:hint="default"/>
                <w:w w:val="105"/>
                <w:sz w:val="16"/>
                <w:szCs w:val="16"/>
              </w:rPr>
              <w:t>-</w:t>
            </w:r>
            <w:r>
              <w:rPr>
                <w:rFonts w:ascii="宋体" w:hAnsi="宋体" w:cs="宋体" w:eastAsia="宋体" w:hint="default"/>
                <w:w w:val="105"/>
                <w:sz w:val="16"/>
                <w:szCs w:val="16"/>
              </w:rPr>
              <w:t>美元</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Arial" w:hAnsi="Arial" w:cs="Arial" w:eastAsia="Arial" w:hint="default"/>
                <w:sz w:val="17"/>
                <w:szCs w:val="17"/>
              </w:rPr>
            </w:pPr>
            <w:r>
              <w:rPr>
                <w:rFonts w:ascii="Arial"/>
                <w:spacing w:val="-4"/>
                <w:w w:val="95"/>
                <w:sz w:val="17"/>
              </w:rPr>
              <w:t>62</w:t>
            </w:r>
            <w:r>
              <w:rPr>
                <w:rFonts w:ascii="Arial"/>
                <w:sz w:val="17"/>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1"/>
              <w:jc w:val="right"/>
              <w:rPr>
                <w:rFonts w:ascii="Arial" w:hAnsi="Arial" w:cs="Arial" w:eastAsia="Arial" w:hint="default"/>
                <w:sz w:val="17"/>
                <w:szCs w:val="17"/>
              </w:rPr>
            </w:pPr>
            <w:r>
              <w:rPr>
                <w:rFonts w:ascii="Arial"/>
                <w:spacing w:val="-1"/>
                <w:w w:val="95"/>
                <w:sz w:val="17"/>
              </w:rPr>
              <w:t>431</w:t>
            </w:r>
            <w:r>
              <w:rPr>
                <w:rFonts w:ascii="Arial"/>
                <w:spacing w:val="-1"/>
                <w:sz w:val="17"/>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Arial" w:hAnsi="Arial" w:cs="Arial" w:eastAsia="Arial" w:hint="default"/>
                <w:sz w:val="17"/>
                <w:szCs w:val="17"/>
              </w:rPr>
            </w:pPr>
            <w:r>
              <w:rPr>
                <w:rFonts w:ascii="Arial"/>
                <w:spacing w:val="-4"/>
                <w:w w:val="95"/>
                <w:sz w:val="17"/>
              </w:rPr>
              <w:t>73</w:t>
            </w:r>
            <w:r>
              <w:rPr>
                <w:rFonts w:ascii="Arial"/>
                <w:sz w:val="17"/>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10"/>
              <w:jc w:val="right"/>
              <w:rPr>
                <w:rFonts w:ascii="Arial" w:hAnsi="Arial" w:cs="Arial" w:eastAsia="Arial" w:hint="default"/>
                <w:sz w:val="17"/>
                <w:szCs w:val="17"/>
              </w:rPr>
            </w:pPr>
            <w:r>
              <w:rPr>
                <w:rFonts w:ascii="Arial"/>
                <w:spacing w:val="-1"/>
                <w:w w:val="95"/>
                <w:sz w:val="17"/>
              </w:rPr>
              <w:t>500</w:t>
            </w:r>
            <w:r>
              <w:rPr>
                <w:rFonts w:ascii="Arial"/>
                <w:spacing w:val="-1"/>
                <w:sz w:val="17"/>
              </w:rPr>
            </w:r>
          </w:p>
        </w:tc>
      </w:tr>
      <w:tr>
        <w:trPr>
          <w:trHeight w:val="322"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198" w:lineRule="exact"/>
              <w:ind w:left="555" w:right="0"/>
              <w:jc w:val="left"/>
              <w:rPr>
                <w:rFonts w:ascii="宋体" w:hAnsi="宋体" w:cs="宋体" w:eastAsia="宋体" w:hint="default"/>
                <w:sz w:val="17"/>
                <w:szCs w:val="17"/>
              </w:rPr>
            </w:pPr>
            <w:r>
              <w:rPr>
                <w:rFonts w:ascii="Arial" w:hAnsi="Arial" w:cs="Arial" w:eastAsia="Arial" w:hint="default"/>
                <w:sz w:val="17"/>
                <w:szCs w:val="17"/>
              </w:rPr>
              <w:t>-</w:t>
            </w:r>
            <w:r>
              <w:rPr>
                <w:rFonts w:ascii="宋体" w:hAnsi="宋体" w:cs="宋体" w:eastAsia="宋体" w:hint="default"/>
                <w:sz w:val="17"/>
                <w:szCs w:val="17"/>
              </w:rPr>
              <w:t>欧元</w:t>
            </w:r>
          </w:p>
        </w:tc>
        <w:tc>
          <w:tcPr>
            <w:tcW w:w="1272" w:type="dxa"/>
            <w:tcBorders>
              <w:top w:val="nil" w:sz="6" w:space="0" w:color="auto"/>
              <w:left w:val="nil" w:sz="6" w:space="0" w:color="auto"/>
              <w:bottom w:val="nil" w:sz="6" w:space="0" w:color="auto"/>
              <w:right w:val="nil" w:sz="6" w:space="0" w:color="auto"/>
            </w:tcBorders>
          </w:tcPr>
          <w:p>
            <w:pPr>
              <w:pStyle w:val="TableParagraph"/>
              <w:tabs>
                <w:tab w:pos="1070" w:val="left" w:leader="none"/>
                <w:tab w:pos="1271" w:val="left" w:leader="none"/>
              </w:tabs>
              <w:spacing w:line="240" w:lineRule="auto" w:before="21"/>
              <w:ind w:right="0"/>
              <w:jc w:val="lef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ab/>
            </w:r>
            <w:r>
              <w:rPr>
                <w:rFonts w:ascii="Arial"/>
                <w:w w:val="105"/>
                <w:sz w:val="16"/>
                <w:u w:val="single" w:color="000000"/>
              </w:rPr>
              <w:t>1</w:t>
            </w:r>
            <w:r>
              <w:rPr>
                <w:rFonts w:ascii="Arial"/>
                <w:sz w:val="16"/>
                <w:u w:val="single" w:color="000000"/>
              </w:rPr>
              <w:tab/>
            </w:r>
            <w:r>
              <w:rPr>
                <w:rFonts w:ascii="Arial"/>
                <w:sz w:val="16"/>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tabs>
                <w:tab w:pos="1219" w:val="left" w:leader="none"/>
                <w:tab w:pos="1415" w:val="left" w:leader="none"/>
              </w:tabs>
              <w:spacing w:line="240" w:lineRule="auto" w:before="21"/>
              <w:ind w:right="-1"/>
              <w:jc w:val="righ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ab/>
              <w:t>9</w:t>
              <w:tab/>
            </w:r>
            <w:r>
              <w:rPr>
                <w:rFonts w:ascii="Arial"/>
                <w:sz w:val="16"/>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tabs>
                <w:tab w:pos="1070" w:val="left" w:leader="none"/>
                <w:tab w:pos="1271" w:val="left" w:leader="none"/>
              </w:tabs>
              <w:spacing w:line="240" w:lineRule="auto" w:before="21"/>
              <w:ind w:right="0"/>
              <w:jc w:val="righ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ab/>
              <w:t>1</w:t>
              <w:tab/>
            </w:r>
            <w:r>
              <w:rPr>
                <w:rFonts w:ascii="Arial"/>
                <w:sz w:val="16"/>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tabs>
                <w:tab w:pos="1130" w:val="left" w:leader="none"/>
                <w:tab w:pos="1427" w:val="left" w:leader="none"/>
              </w:tabs>
              <w:spacing w:line="240" w:lineRule="auto" w:before="21"/>
              <w:ind w:left="7" w:right="0"/>
              <w:jc w:val="left"/>
              <w:rPr>
                <w:rFonts w:ascii="Arial" w:hAnsi="Arial" w:cs="Arial" w:eastAsia="Arial" w:hint="default"/>
                <w:sz w:val="16"/>
                <w:szCs w:val="16"/>
              </w:rPr>
            </w:pPr>
            <w:r>
              <w:rPr>
                <w:rFonts w:ascii="Arial"/>
                <w:w w:val="105"/>
                <w:sz w:val="16"/>
              </w:rPr>
            </w:r>
            <w:r>
              <w:rPr>
                <w:rFonts w:ascii="Arial"/>
                <w:w w:val="105"/>
                <w:sz w:val="16"/>
                <w:u w:val="single" w:color="000000"/>
              </w:rPr>
              <w:t> </w:t>
            </w:r>
            <w:r>
              <w:rPr>
                <w:rFonts w:ascii="Arial"/>
                <w:sz w:val="16"/>
                <w:u w:val="single" w:color="000000"/>
              </w:rPr>
              <w:tab/>
            </w:r>
            <w:r>
              <w:rPr>
                <w:rFonts w:ascii="Arial"/>
                <w:w w:val="105"/>
                <w:sz w:val="16"/>
                <w:u w:val="single" w:color="000000"/>
              </w:rPr>
              <w:t>12</w:t>
            </w:r>
            <w:r>
              <w:rPr>
                <w:rFonts w:ascii="Arial"/>
                <w:sz w:val="16"/>
                <w:u w:val="single" w:color="000000"/>
              </w:rPr>
              <w:tab/>
            </w:r>
            <w:r>
              <w:rPr>
                <w:rFonts w:ascii="Arial"/>
                <w:sz w:val="16"/>
              </w:rPr>
            </w:r>
          </w:p>
        </w:tc>
      </w:tr>
      <w:tr>
        <w:trPr>
          <w:trHeight w:val="313"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15" w:right="0"/>
              <w:jc w:val="left"/>
              <w:rPr>
                <w:rFonts w:ascii="宋体" w:hAnsi="宋体" w:cs="宋体" w:eastAsia="宋体" w:hint="default"/>
                <w:sz w:val="16"/>
                <w:szCs w:val="16"/>
              </w:rPr>
            </w:pPr>
            <w:r>
              <w:rPr>
                <w:rFonts w:ascii="宋体" w:hAnsi="宋体" w:cs="宋体" w:eastAsia="宋体" w:hint="default"/>
                <w:w w:val="105"/>
                <w:sz w:val="16"/>
                <w:szCs w:val="16"/>
              </w:rPr>
              <w:t>资产负债表敞口总额</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r>
      <w:tr>
        <w:trPr>
          <w:trHeight w:val="230"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207" w:lineRule="exact"/>
              <w:ind w:left="555" w:right="0"/>
              <w:jc w:val="left"/>
              <w:rPr>
                <w:rFonts w:ascii="宋体" w:hAnsi="宋体" w:cs="宋体" w:eastAsia="宋体" w:hint="default"/>
                <w:sz w:val="17"/>
                <w:szCs w:val="17"/>
              </w:rPr>
            </w:pPr>
            <w:r>
              <w:rPr>
                <w:rFonts w:ascii="Arial" w:hAnsi="Arial" w:cs="Arial" w:eastAsia="Arial" w:hint="default"/>
                <w:sz w:val="17"/>
                <w:szCs w:val="17"/>
              </w:rPr>
              <w:t>-</w:t>
            </w:r>
            <w:r>
              <w:rPr>
                <w:rFonts w:ascii="宋体" w:hAnsi="宋体" w:cs="宋体" w:eastAsia="宋体" w:hint="default"/>
                <w:sz w:val="17"/>
                <w:szCs w:val="17"/>
              </w:rPr>
              <w:t>美元</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Arial" w:hAnsi="Arial" w:cs="Arial" w:eastAsia="Arial" w:hint="default"/>
                <w:sz w:val="17"/>
                <w:szCs w:val="17"/>
              </w:rPr>
            </w:pPr>
            <w:r>
              <w:rPr>
                <w:rFonts w:ascii="Arial"/>
                <w:spacing w:val="-1"/>
                <w:w w:val="95"/>
                <w:sz w:val="17"/>
              </w:rPr>
              <w:t>302</w:t>
            </w:r>
            <w:r>
              <w:rPr>
                <w:rFonts w:ascii="Arial"/>
                <w:spacing w:val="-1"/>
                <w:sz w:val="17"/>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3"/>
              <w:jc w:val="right"/>
              <w:rPr>
                <w:rFonts w:ascii="Arial" w:hAnsi="Arial" w:cs="Arial" w:eastAsia="Arial" w:hint="default"/>
                <w:sz w:val="17"/>
                <w:szCs w:val="17"/>
              </w:rPr>
            </w:pPr>
            <w:r>
              <w:rPr>
                <w:rFonts w:ascii="Arial"/>
                <w:w w:val="95"/>
                <w:sz w:val="17"/>
              </w:rPr>
              <w:t>2,108</w:t>
            </w:r>
            <w:r>
              <w:rPr>
                <w:rFonts w:ascii="Arial"/>
                <w:sz w:val="17"/>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Arial" w:hAnsi="Arial" w:cs="Arial" w:eastAsia="Arial" w:hint="default"/>
                <w:sz w:val="17"/>
                <w:szCs w:val="17"/>
              </w:rPr>
            </w:pPr>
            <w:r>
              <w:rPr>
                <w:rFonts w:ascii="Arial"/>
                <w:spacing w:val="-1"/>
                <w:w w:val="95"/>
                <w:sz w:val="17"/>
              </w:rPr>
              <w:t>237</w:t>
            </w:r>
            <w:r>
              <w:rPr>
                <w:rFonts w:ascii="Arial"/>
                <w:spacing w:val="-1"/>
                <w:sz w:val="17"/>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890" w:right="0"/>
              <w:jc w:val="left"/>
              <w:rPr>
                <w:rFonts w:ascii="Arial" w:hAnsi="Arial" w:cs="Arial" w:eastAsia="Arial" w:hint="default"/>
                <w:sz w:val="17"/>
                <w:szCs w:val="17"/>
              </w:rPr>
            </w:pPr>
            <w:r>
              <w:rPr>
                <w:rFonts w:ascii="Arial"/>
                <w:sz w:val="17"/>
              </w:rPr>
              <w:t>1,631</w:t>
            </w:r>
          </w:p>
        </w:tc>
      </w:tr>
      <w:tr>
        <w:trPr>
          <w:trHeight w:val="221"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196" w:lineRule="exact"/>
              <w:ind w:left="555" w:right="0"/>
              <w:jc w:val="left"/>
              <w:rPr>
                <w:rFonts w:ascii="宋体" w:hAnsi="宋体" w:cs="宋体" w:eastAsia="宋体" w:hint="default"/>
                <w:sz w:val="16"/>
                <w:szCs w:val="16"/>
              </w:rPr>
            </w:pPr>
            <w:r>
              <w:rPr>
                <w:rFonts w:ascii="Arial" w:hAnsi="Arial" w:cs="Arial" w:eastAsia="Arial" w:hint="default"/>
                <w:w w:val="105"/>
                <w:sz w:val="16"/>
                <w:szCs w:val="16"/>
              </w:rPr>
              <w:t>-</w:t>
            </w:r>
            <w:r>
              <w:rPr>
                <w:rFonts w:ascii="宋体" w:hAnsi="宋体" w:cs="宋体" w:eastAsia="宋体" w:hint="default"/>
                <w:w w:val="105"/>
                <w:sz w:val="16"/>
                <w:szCs w:val="16"/>
              </w:rPr>
              <w:t>港币</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Arial" w:hAnsi="Arial" w:cs="Arial" w:eastAsia="Arial" w:hint="default"/>
                <w:sz w:val="16"/>
                <w:szCs w:val="16"/>
              </w:rPr>
            </w:pPr>
            <w:r>
              <w:rPr>
                <w:rFonts w:ascii="Arial"/>
                <w:spacing w:val="-3"/>
                <w:sz w:val="16"/>
              </w:rPr>
              <w:t>37</w:t>
            </w:r>
            <w:r>
              <w:rPr>
                <w:rFonts w:ascii="Arial"/>
                <w:sz w:val="16"/>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3"/>
              <w:jc w:val="right"/>
              <w:rPr>
                <w:rFonts w:ascii="Arial" w:hAnsi="Arial" w:cs="Arial" w:eastAsia="Arial" w:hint="default"/>
                <w:sz w:val="16"/>
                <w:szCs w:val="16"/>
              </w:rPr>
            </w:pPr>
            <w:r>
              <w:rPr>
                <w:rFonts w:ascii="Arial"/>
                <w:spacing w:val="-3"/>
                <w:sz w:val="16"/>
              </w:rPr>
              <w:t>32</w:t>
            </w:r>
            <w:r>
              <w:rPr>
                <w:rFonts w:ascii="Arial"/>
                <w:sz w:val="16"/>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Arial" w:hAnsi="Arial" w:cs="Arial" w:eastAsia="Arial" w:hint="default"/>
                <w:sz w:val="16"/>
                <w:szCs w:val="16"/>
              </w:rPr>
            </w:pPr>
            <w:r>
              <w:rPr>
                <w:rFonts w:ascii="Arial"/>
                <w:spacing w:val="-3"/>
                <w:sz w:val="16"/>
              </w:rPr>
              <w:t>65</w:t>
            </w:r>
            <w:r>
              <w:rPr>
                <w:rFonts w:ascii="Arial"/>
                <w:sz w:val="16"/>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13"/>
              <w:jc w:val="right"/>
              <w:rPr>
                <w:rFonts w:ascii="Arial" w:hAnsi="Arial" w:cs="Arial" w:eastAsia="Arial" w:hint="default"/>
                <w:sz w:val="16"/>
                <w:szCs w:val="16"/>
              </w:rPr>
            </w:pPr>
            <w:r>
              <w:rPr>
                <w:rFonts w:ascii="Arial"/>
                <w:spacing w:val="-3"/>
                <w:sz w:val="16"/>
              </w:rPr>
              <w:t>57</w:t>
            </w:r>
            <w:r>
              <w:rPr>
                <w:rFonts w:ascii="Arial"/>
                <w:sz w:val="16"/>
              </w:rPr>
            </w:r>
          </w:p>
        </w:tc>
      </w:tr>
      <w:tr>
        <w:trPr>
          <w:trHeight w:val="221"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198" w:lineRule="exact"/>
              <w:ind w:left="555" w:right="0"/>
              <w:jc w:val="left"/>
              <w:rPr>
                <w:rFonts w:ascii="宋体" w:hAnsi="宋体" w:cs="宋体" w:eastAsia="宋体" w:hint="default"/>
                <w:sz w:val="17"/>
                <w:szCs w:val="17"/>
              </w:rPr>
            </w:pPr>
            <w:r>
              <w:rPr>
                <w:rFonts w:ascii="Arial" w:hAnsi="Arial" w:cs="Arial" w:eastAsia="Arial" w:hint="default"/>
                <w:sz w:val="17"/>
                <w:szCs w:val="17"/>
              </w:rPr>
              <w:t>-</w:t>
            </w:r>
            <w:r>
              <w:rPr>
                <w:rFonts w:ascii="宋体" w:hAnsi="宋体" w:cs="宋体" w:eastAsia="宋体" w:hint="default"/>
                <w:sz w:val="17"/>
                <w:szCs w:val="17"/>
              </w:rPr>
              <w:t>欧元</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17"/>
                <w:szCs w:val="17"/>
              </w:rPr>
            </w:pPr>
            <w:r>
              <w:rPr>
                <w:rFonts w:ascii="Arial"/>
                <w:spacing w:val="-1"/>
                <w:w w:val="95"/>
                <w:sz w:val="17"/>
              </w:rPr>
              <w:t>415</w:t>
            </w:r>
            <w:r>
              <w:rPr>
                <w:rFonts w:ascii="Arial"/>
                <w:spacing w:val="-1"/>
                <w:sz w:val="17"/>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1"/>
              <w:jc w:val="right"/>
              <w:rPr>
                <w:rFonts w:ascii="Arial" w:hAnsi="Arial" w:cs="Arial" w:eastAsia="Arial" w:hint="default"/>
                <w:sz w:val="17"/>
                <w:szCs w:val="17"/>
              </w:rPr>
            </w:pPr>
            <w:r>
              <w:rPr>
                <w:rFonts w:ascii="Arial"/>
                <w:w w:val="95"/>
                <w:sz w:val="17"/>
              </w:rPr>
              <w:t>3,235</w:t>
            </w:r>
            <w:r>
              <w:rPr>
                <w:rFonts w:ascii="Arial"/>
                <w:sz w:val="17"/>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17"/>
                <w:szCs w:val="17"/>
              </w:rPr>
            </w:pPr>
            <w:r>
              <w:rPr>
                <w:rFonts w:ascii="Arial"/>
                <w:spacing w:val="-1"/>
                <w:w w:val="95"/>
                <w:sz w:val="17"/>
              </w:rPr>
              <w:t>479</w:t>
            </w:r>
            <w:r>
              <w:rPr>
                <w:rFonts w:ascii="Arial"/>
                <w:spacing w:val="-1"/>
                <w:sz w:val="17"/>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890" w:right="0"/>
              <w:jc w:val="left"/>
              <w:rPr>
                <w:rFonts w:ascii="Arial" w:hAnsi="Arial" w:cs="Arial" w:eastAsia="Arial" w:hint="default"/>
                <w:sz w:val="17"/>
                <w:szCs w:val="17"/>
              </w:rPr>
            </w:pPr>
            <w:r>
              <w:rPr>
                <w:rFonts w:ascii="Arial"/>
                <w:sz w:val="17"/>
              </w:rPr>
              <w:t>3,757</w:t>
            </w:r>
          </w:p>
        </w:tc>
      </w:tr>
      <w:tr>
        <w:trPr>
          <w:trHeight w:val="221"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196" w:lineRule="exact"/>
              <w:ind w:left="555" w:right="0"/>
              <w:jc w:val="left"/>
              <w:rPr>
                <w:rFonts w:ascii="宋体" w:hAnsi="宋体" w:cs="宋体" w:eastAsia="宋体" w:hint="default"/>
                <w:sz w:val="16"/>
                <w:szCs w:val="16"/>
              </w:rPr>
            </w:pPr>
            <w:r>
              <w:rPr>
                <w:rFonts w:ascii="Arial" w:hAnsi="Arial" w:cs="Arial" w:eastAsia="Arial" w:hint="default"/>
                <w:w w:val="105"/>
                <w:sz w:val="16"/>
                <w:szCs w:val="16"/>
              </w:rPr>
              <w:t>-</w:t>
            </w:r>
            <w:r>
              <w:rPr>
                <w:rFonts w:ascii="宋体" w:hAnsi="宋体" w:cs="宋体" w:eastAsia="宋体" w:hint="default"/>
                <w:w w:val="105"/>
                <w:sz w:val="16"/>
                <w:szCs w:val="16"/>
              </w:rPr>
              <w:t>日元</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Arial" w:hAnsi="Arial" w:cs="Arial" w:eastAsia="Arial" w:hint="default"/>
                <w:sz w:val="16"/>
                <w:szCs w:val="16"/>
              </w:rPr>
            </w:pPr>
            <w:r>
              <w:rPr>
                <w:rFonts w:ascii="Arial"/>
                <w:spacing w:val="-3"/>
                <w:sz w:val="16"/>
              </w:rPr>
              <w:t>23</w:t>
            </w:r>
            <w:r>
              <w:rPr>
                <w:rFonts w:ascii="Arial"/>
                <w:sz w:val="16"/>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1"/>
              <w:jc w:val="right"/>
              <w:rPr>
                <w:rFonts w:ascii="Arial" w:hAnsi="Arial" w:cs="Arial" w:eastAsia="Arial" w:hint="default"/>
                <w:sz w:val="16"/>
                <w:szCs w:val="16"/>
              </w:rPr>
            </w:pPr>
            <w:r>
              <w:rPr>
                <w:rFonts w:ascii="Arial"/>
                <w:w w:val="104"/>
                <w:sz w:val="16"/>
              </w:rPr>
              <w:t>2</w:t>
            </w:r>
            <w:r>
              <w:rPr>
                <w:rFonts w:ascii="Arial"/>
                <w:sz w:val="16"/>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Arial" w:hAnsi="Arial" w:cs="Arial" w:eastAsia="Arial" w:hint="default"/>
                <w:sz w:val="16"/>
                <w:szCs w:val="16"/>
              </w:rPr>
            </w:pPr>
            <w:r>
              <w:rPr>
                <w:rFonts w:ascii="Arial"/>
                <w:spacing w:val="-3"/>
                <w:sz w:val="16"/>
              </w:rPr>
              <w:t>23</w:t>
            </w:r>
            <w:r>
              <w:rPr>
                <w:rFonts w:ascii="Arial"/>
                <w:sz w:val="16"/>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12"/>
              <w:jc w:val="right"/>
              <w:rPr>
                <w:rFonts w:ascii="Arial" w:hAnsi="Arial" w:cs="Arial" w:eastAsia="Arial" w:hint="default"/>
                <w:sz w:val="16"/>
                <w:szCs w:val="16"/>
              </w:rPr>
            </w:pPr>
            <w:r>
              <w:rPr>
                <w:rFonts w:ascii="Arial"/>
                <w:w w:val="104"/>
                <w:sz w:val="16"/>
              </w:rPr>
              <w:t>1</w:t>
            </w:r>
            <w:r>
              <w:rPr>
                <w:rFonts w:ascii="Arial"/>
                <w:sz w:val="16"/>
              </w:rPr>
            </w:r>
          </w:p>
        </w:tc>
      </w:tr>
      <w:tr>
        <w:trPr>
          <w:trHeight w:val="221"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196" w:lineRule="exact"/>
              <w:ind w:left="555" w:right="0"/>
              <w:jc w:val="left"/>
              <w:rPr>
                <w:rFonts w:ascii="宋体" w:hAnsi="宋体" w:cs="宋体" w:eastAsia="宋体" w:hint="default"/>
                <w:sz w:val="16"/>
                <w:szCs w:val="16"/>
              </w:rPr>
            </w:pPr>
            <w:r>
              <w:rPr>
                <w:rFonts w:ascii="Arial" w:hAnsi="Arial" w:cs="Arial" w:eastAsia="Arial" w:hint="default"/>
                <w:w w:val="105"/>
                <w:sz w:val="16"/>
                <w:szCs w:val="16"/>
              </w:rPr>
              <w:t>-</w:t>
            </w:r>
            <w:r>
              <w:rPr>
                <w:rFonts w:ascii="宋体" w:hAnsi="宋体" w:cs="宋体" w:eastAsia="宋体" w:hint="default"/>
                <w:w w:val="105"/>
                <w:sz w:val="16"/>
                <w:szCs w:val="16"/>
              </w:rPr>
              <w:t>英镑</w:t>
            </w:r>
            <w:r>
              <w:rPr>
                <w:rFonts w:ascii="宋体" w:hAnsi="宋体" w:cs="宋体" w:eastAsia="宋体" w:hint="default"/>
                <w:sz w:val="16"/>
                <w:szCs w:val="16"/>
              </w:rPr>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10"/>
              <w:jc w:val="right"/>
              <w:rPr>
                <w:rFonts w:ascii="Arial" w:hAnsi="Arial" w:cs="Arial" w:eastAsia="Arial" w:hint="default"/>
                <w:sz w:val="17"/>
                <w:szCs w:val="17"/>
              </w:rPr>
            </w:pPr>
            <w:r>
              <w:rPr>
                <w:rFonts w:ascii="Arial"/>
                <w:w w:val="98"/>
                <w:sz w:val="17"/>
              </w:rPr>
              <w:t>-</w:t>
            </w:r>
            <w:r>
              <w:rPr>
                <w:rFonts w:ascii="Arial"/>
                <w:sz w:val="17"/>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5"/>
              <w:jc w:val="right"/>
              <w:rPr>
                <w:rFonts w:ascii="Arial" w:hAnsi="Arial" w:cs="Arial" w:eastAsia="Arial" w:hint="default"/>
                <w:sz w:val="17"/>
                <w:szCs w:val="17"/>
              </w:rPr>
            </w:pPr>
            <w:r>
              <w:rPr>
                <w:rFonts w:ascii="Arial"/>
                <w:w w:val="98"/>
                <w:sz w:val="17"/>
              </w:rPr>
              <w:t>-</w:t>
            </w:r>
            <w:r>
              <w:rPr>
                <w:rFonts w:ascii="Arial"/>
                <w:sz w:val="17"/>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5"/>
              <w:jc w:val="right"/>
              <w:rPr>
                <w:rFonts w:ascii="Arial" w:hAnsi="Arial" w:cs="Arial" w:eastAsia="Arial" w:hint="default"/>
                <w:sz w:val="17"/>
                <w:szCs w:val="17"/>
              </w:rPr>
            </w:pPr>
            <w:r>
              <w:rPr>
                <w:rFonts w:ascii="Arial"/>
                <w:w w:val="98"/>
                <w:sz w:val="17"/>
              </w:rPr>
              <w:t>-</w:t>
            </w:r>
            <w:r>
              <w:rPr>
                <w:rFonts w:ascii="Arial"/>
                <w:sz w:val="17"/>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12"/>
              <w:jc w:val="right"/>
              <w:rPr>
                <w:rFonts w:ascii="Arial" w:hAnsi="Arial" w:cs="Arial" w:eastAsia="Arial" w:hint="default"/>
                <w:sz w:val="17"/>
                <w:szCs w:val="17"/>
              </w:rPr>
            </w:pPr>
            <w:r>
              <w:rPr>
                <w:rFonts w:ascii="Arial"/>
                <w:w w:val="98"/>
                <w:sz w:val="17"/>
              </w:rPr>
              <w:t>1</w:t>
            </w:r>
            <w:r>
              <w:rPr>
                <w:rFonts w:ascii="Arial"/>
                <w:sz w:val="17"/>
              </w:rPr>
            </w:r>
          </w:p>
        </w:tc>
      </w:tr>
      <w:tr>
        <w:trPr>
          <w:trHeight w:val="221"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198" w:lineRule="exact"/>
              <w:ind w:left="555" w:right="0"/>
              <w:jc w:val="left"/>
              <w:rPr>
                <w:rFonts w:ascii="宋体" w:hAnsi="宋体" w:cs="宋体" w:eastAsia="宋体" w:hint="default"/>
                <w:sz w:val="17"/>
                <w:szCs w:val="17"/>
              </w:rPr>
            </w:pPr>
            <w:r>
              <w:rPr>
                <w:rFonts w:ascii="Arial" w:hAnsi="Arial" w:cs="Arial" w:eastAsia="Arial" w:hint="default"/>
                <w:sz w:val="17"/>
                <w:szCs w:val="17"/>
              </w:rPr>
              <w:t>-</w:t>
            </w:r>
            <w:r>
              <w:rPr>
                <w:rFonts w:ascii="宋体" w:hAnsi="宋体" w:cs="宋体" w:eastAsia="宋体" w:hint="default"/>
                <w:sz w:val="17"/>
                <w:szCs w:val="17"/>
              </w:rPr>
              <w:t>新加坡元</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12"/>
              <w:jc w:val="right"/>
              <w:rPr>
                <w:rFonts w:ascii="Arial" w:hAnsi="Arial" w:cs="Arial" w:eastAsia="Arial" w:hint="default"/>
                <w:sz w:val="16"/>
                <w:szCs w:val="16"/>
              </w:rPr>
            </w:pPr>
            <w:r>
              <w:rPr>
                <w:rFonts w:ascii="Arial"/>
                <w:w w:val="104"/>
                <w:sz w:val="16"/>
              </w:rPr>
              <w:t>1</w:t>
            </w:r>
            <w:r>
              <w:rPr>
                <w:rFonts w:ascii="Arial"/>
                <w:sz w:val="16"/>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Arial" w:hAnsi="Arial" w:cs="Arial" w:eastAsia="Arial" w:hint="default"/>
                <w:sz w:val="16"/>
                <w:szCs w:val="16"/>
              </w:rPr>
            </w:pPr>
            <w:r>
              <w:rPr>
                <w:rFonts w:ascii="Arial"/>
                <w:w w:val="104"/>
                <w:sz w:val="16"/>
              </w:rPr>
              <w:t>6</w:t>
            </w:r>
            <w:r>
              <w:rPr>
                <w:rFonts w:ascii="Arial"/>
                <w:sz w:val="16"/>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5"/>
              <w:jc w:val="right"/>
              <w:rPr>
                <w:rFonts w:ascii="Arial" w:hAnsi="Arial" w:cs="Arial" w:eastAsia="Arial" w:hint="default"/>
                <w:sz w:val="16"/>
                <w:szCs w:val="16"/>
              </w:rPr>
            </w:pPr>
            <w:r>
              <w:rPr>
                <w:rFonts w:ascii="Arial"/>
                <w:w w:val="104"/>
                <w:sz w:val="16"/>
              </w:rPr>
              <w:t>-</w:t>
            </w:r>
            <w:r>
              <w:rPr>
                <w:rFonts w:ascii="Arial"/>
                <w:sz w:val="16"/>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10"/>
              <w:jc w:val="right"/>
              <w:rPr>
                <w:rFonts w:ascii="Arial" w:hAnsi="Arial" w:cs="Arial" w:eastAsia="Arial" w:hint="default"/>
                <w:sz w:val="16"/>
                <w:szCs w:val="16"/>
              </w:rPr>
            </w:pPr>
            <w:r>
              <w:rPr>
                <w:rFonts w:ascii="Arial"/>
                <w:w w:val="104"/>
                <w:sz w:val="16"/>
              </w:rPr>
              <w:t>-</w:t>
            </w:r>
            <w:r>
              <w:rPr>
                <w:rFonts w:ascii="Arial"/>
                <w:sz w:val="16"/>
              </w:rPr>
            </w:r>
          </w:p>
        </w:tc>
      </w:tr>
      <w:tr>
        <w:trPr>
          <w:trHeight w:val="224" w:hRule="exact"/>
        </w:trPr>
        <w:tc>
          <w:tcPr>
            <w:tcW w:w="2965" w:type="dxa"/>
            <w:tcBorders>
              <w:top w:val="nil" w:sz="6" w:space="0" w:color="auto"/>
              <w:left w:val="nil" w:sz="6" w:space="0" w:color="auto"/>
              <w:bottom w:val="nil" w:sz="6" w:space="0" w:color="auto"/>
              <w:right w:val="nil" w:sz="6" w:space="0" w:color="auto"/>
            </w:tcBorders>
          </w:tcPr>
          <w:p>
            <w:pPr>
              <w:pStyle w:val="TableParagraph"/>
              <w:spacing w:line="198" w:lineRule="exact"/>
              <w:ind w:left="555" w:right="0"/>
              <w:jc w:val="left"/>
              <w:rPr>
                <w:rFonts w:ascii="宋体" w:hAnsi="宋体" w:cs="宋体" w:eastAsia="宋体" w:hint="default"/>
                <w:sz w:val="17"/>
                <w:szCs w:val="17"/>
              </w:rPr>
            </w:pPr>
            <w:r>
              <w:rPr>
                <w:rFonts w:ascii="Arial" w:hAnsi="Arial" w:cs="Arial" w:eastAsia="Arial" w:hint="default"/>
                <w:sz w:val="17"/>
                <w:szCs w:val="17"/>
              </w:rPr>
              <w:t>-</w:t>
            </w:r>
            <w:r>
              <w:rPr>
                <w:rFonts w:ascii="宋体" w:hAnsi="宋体" w:cs="宋体" w:eastAsia="宋体" w:hint="default"/>
                <w:sz w:val="17"/>
                <w:szCs w:val="17"/>
              </w:rPr>
              <w:t>澳大利亚元</w:t>
            </w:r>
          </w:p>
        </w:tc>
        <w:tc>
          <w:tcPr>
            <w:tcW w:w="1272"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112"/>
              <w:jc w:val="right"/>
              <w:rPr>
                <w:rFonts w:ascii="Arial" w:hAnsi="Arial" w:cs="Arial" w:eastAsia="Arial" w:hint="default"/>
                <w:sz w:val="16"/>
                <w:szCs w:val="16"/>
              </w:rPr>
            </w:pPr>
            <w:r>
              <w:rPr>
                <w:rFonts w:ascii="Arial"/>
                <w:w w:val="104"/>
                <w:sz w:val="16"/>
              </w:rPr>
              <w:t>1</w:t>
            </w:r>
            <w:r>
              <w:rPr>
                <w:rFonts w:ascii="Arial"/>
                <w:sz w:val="16"/>
              </w:rPr>
            </w:r>
          </w:p>
        </w:tc>
        <w:tc>
          <w:tcPr>
            <w:tcW w:w="27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106"/>
              <w:jc w:val="right"/>
              <w:rPr>
                <w:rFonts w:ascii="Arial" w:hAnsi="Arial" w:cs="Arial" w:eastAsia="Arial" w:hint="default"/>
                <w:sz w:val="16"/>
                <w:szCs w:val="16"/>
              </w:rPr>
            </w:pPr>
            <w:r>
              <w:rPr>
                <w:rFonts w:ascii="Arial"/>
                <w:w w:val="104"/>
                <w:sz w:val="16"/>
              </w:rPr>
              <w:t>4</w:t>
            </w:r>
            <w:r>
              <w:rPr>
                <w:rFonts w:ascii="Arial"/>
                <w:sz w:val="16"/>
              </w:rPr>
            </w:r>
          </w:p>
        </w:tc>
        <w:tc>
          <w:tcPr>
            <w:tcW w:w="281"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105"/>
              <w:jc w:val="right"/>
              <w:rPr>
                <w:rFonts w:ascii="Arial" w:hAnsi="Arial" w:cs="Arial" w:eastAsia="Arial" w:hint="default"/>
                <w:sz w:val="16"/>
                <w:szCs w:val="16"/>
              </w:rPr>
            </w:pPr>
            <w:r>
              <w:rPr>
                <w:rFonts w:ascii="Arial"/>
                <w:w w:val="104"/>
                <w:sz w:val="16"/>
              </w:rPr>
              <w:t>-</w:t>
            </w:r>
            <w:r>
              <w:rPr>
                <w:rFonts w:ascii="Arial"/>
                <w:sz w:val="16"/>
              </w:rPr>
            </w:r>
          </w:p>
        </w:tc>
        <w:tc>
          <w:tcPr>
            <w:tcW w:w="2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110"/>
              <w:jc w:val="right"/>
              <w:rPr>
                <w:rFonts w:ascii="Arial" w:hAnsi="Arial" w:cs="Arial" w:eastAsia="Arial" w:hint="default"/>
                <w:sz w:val="16"/>
                <w:szCs w:val="16"/>
              </w:rPr>
            </w:pPr>
            <w:r>
              <w:rPr>
                <w:rFonts w:ascii="Arial"/>
                <w:w w:val="104"/>
                <w:sz w:val="16"/>
              </w:rPr>
              <w:t>-</w:t>
            </w:r>
            <w:r>
              <w:rPr>
                <w:rFonts w:ascii="Arial"/>
                <w:sz w:val="16"/>
              </w:rPr>
            </w:r>
          </w:p>
        </w:tc>
      </w:tr>
    </w:tbl>
    <w:p>
      <w:pPr>
        <w:spacing w:after="0" w:line="240" w:lineRule="auto"/>
        <w:jc w:val="right"/>
        <w:rPr>
          <w:rFonts w:ascii="Arial" w:hAnsi="Arial" w:cs="Arial" w:eastAsia="Arial" w:hint="default"/>
          <w:sz w:val="16"/>
          <w:szCs w:val="16"/>
        </w:rPr>
        <w:sectPr>
          <w:headerReference w:type="default" r:id="rId217"/>
          <w:pgSz w:w="11910" w:h="16840"/>
          <w:pgMar w:header="1183" w:footer="502" w:top="3040" w:bottom="700" w:left="1020" w:right="1160"/>
        </w:sectPr>
      </w:pPr>
    </w:p>
    <w:p>
      <w:pPr>
        <w:spacing w:line="240" w:lineRule="auto" w:before="7"/>
        <w:rPr>
          <w:rFonts w:ascii="宋体" w:hAnsi="宋体" w:cs="宋体" w:eastAsia="宋体" w:hint="default"/>
          <w:sz w:val="16"/>
          <w:szCs w:val="16"/>
        </w:rPr>
      </w:pPr>
    </w:p>
    <w:p>
      <w:pPr>
        <w:pStyle w:val="BodyText"/>
        <w:tabs>
          <w:tab w:pos="587" w:val="left" w:leader="none"/>
        </w:tabs>
        <w:spacing w:line="240" w:lineRule="auto" w:before="32"/>
        <w:ind w:left="112" w:right="0"/>
        <w:jc w:val="left"/>
      </w:pPr>
      <w:bookmarkStart w:name="(a) 市场风险（续）" w:id="40"/>
      <w:bookmarkEnd w:id="40"/>
      <w:r>
        <w:rPr/>
      </w:r>
      <w:r>
        <w:rPr>
          <w:rFonts w:ascii="Arial" w:hAnsi="Arial" w:cs="Arial" w:eastAsia="Arial" w:hint="default"/>
        </w:rPr>
        <w:t>(a)</w:t>
        <w:tab/>
      </w:r>
      <w:r>
        <w:rPr/>
        <w:t>市场风险（续）</w:t>
      </w:r>
    </w:p>
    <w:p>
      <w:pPr>
        <w:spacing w:line="240" w:lineRule="auto" w:before="11"/>
        <w:rPr>
          <w:rFonts w:ascii="宋体" w:hAnsi="宋体" w:cs="宋体" w:eastAsia="宋体" w:hint="default"/>
          <w:sz w:val="17"/>
          <w:szCs w:val="17"/>
        </w:rPr>
      </w:pPr>
    </w:p>
    <w:p>
      <w:pPr>
        <w:pStyle w:val="BodyText"/>
        <w:tabs>
          <w:tab w:pos="592" w:val="left" w:leader="none"/>
        </w:tabs>
        <w:spacing w:line="240" w:lineRule="auto"/>
        <w:ind w:left="112" w:right="0"/>
        <w:jc w:val="left"/>
      </w:pPr>
      <w:bookmarkStart w:name="(1) 汇率风险（续）" w:id="41"/>
      <w:bookmarkEnd w:id="41"/>
      <w:r>
        <w:rPr/>
      </w:r>
      <w:r>
        <w:rPr>
          <w:rFonts w:ascii="Arial" w:hAnsi="Arial" w:cs="Arial" w:eastAsia="Arial" w:hint="default"/>
        </w:rPr>
        <w:t>(1)</w:t>
        <w:tab/>
      </w:r>
      <w:r>
        <w:rPr/>
        <w:t>汇率风险（续）</w:t>
      </w:r>
    </w:p>
    <w:p>
      <w:pPr>
        <w:spacing w:line="240" w:lineRule="auto" w:before="1"/>
        <w:rPr>
          <w:rFonts w:ascii="宋体" w:hAnsi="宋体" w:cs="宋体" w:eastAsia="宋体" w:hint="default"/>
          <w:sz w:val="19"/>
          <w:szCs w:val="19"/>
        </w:rPr>
      </w:pPr>
    </w:p>
    <w:p>
      <w:pPr>
        <w:pStyle w:val="BodyText"/>
        <w:spacing w:line="225" w:lineRule="auto"/>
        <w:ind w:left="587" w:right="221"/>
        <w:jc w:val="left"/>
      </w:pPr>
      <w:r>
        <w:rPr/>
        <w:t>于</w:t>
      </w:r>
      <w:r>
        <w:rPr>
          <w:rFonts w:ascii="Arial" w:hAnsi="Arial" w:cs="Arial" w:eastAsia="Arial" w:hint="default"/>
        </w:rPr>
        <w:t>2019</w:t>
      </w:r>
      <w:r>
        <w:rPr/>
        <w:t>年</w:t>
      </w:r>
      <w:r>
        <w:rPr>
          <w:rFonts w:ascii="Arial" w:hAnsi="Arial" w:cs="Arial" w:eastAsia="Arial" w:hint="default"/>
        </w:rPr>
        <w:t>12</w:t>
      </w:r>
      <w:r>
        <w:rPr/>
        <w:t>月</w:t>
      </w:r>
      <w:r>
        <w:rPr>
          <w:rFonts w:ascii="Arial" w:hAnsi="Arial" w:cs="Arial" w:eastAsia="Arial" w:hint="default"/>
        </w:rPr>
        <w:t>31</w:t>
      </w:r>
      <w:r>
        <w:rPr/>
        <w:t>日，对于本集团以外币计价的货币资金、应收账款、银行借款及应付账款，假设</w:t>
      </w:r>
      <w:r>
        <w:rPr>
          <w:w w:val="100"/>
        </w:rPr>
        <w:t> </w:t>
      </w:r>
      <w:r>
        <w:rPr>
          <w:spacing w:val="-5"/>
        </w:rPr>
        <w:t>人民币对外币（主要为对美元、港币和欧元）升值或贬值</w:t>
      </w:r>
      <w:r>
        <w:rPr>
          <w:rFonts w:ascii="Arial" w:hAnsi="Arial" w:cs="Arial" w:eastAsia="Arial" w:hint="default"/>
          <w:spacing w:val="-5"/>
        </w:rPr>
        <w:t>10%</w:t>
      </w:r>
      <w:r>
        <w:rPr>
          <w:spacing w:val="-5"/>
        </w:rPr>
        <w:t>，而其他因素保持不变，则会导致本</w:t>
      </w:r>
      <w:r>
        <w:rPr>
          <w:spacing w:val="-52"/>
        </w:rPr>
        <w:t> </w:t>
      </w:r>
      <w:r>
        <w:rPr>
          <w:spacing w:val="-52"/>
        </w:rPr>
      </w:r>
      <w:r>
        <w:rPr>
          <w:spacing w:val="-7"/>
        </w:rPr>
        <w:t>集团股东权益及净利润均增加或减少约人民币</w:t>
      </w:r>
      <w:r>
        <w:rPr>
          <w:rFonts w:ascii="Arial" w:hAnsi="Arial" w:cs="Arial" w:eastAsia="Arial" w:hint="default"/>
          <w:spacing w:val="-7"/>
        </w:rPr>
        <w:t>1.70</w:t>
      </w:r>
      <w:r>
        <w:rPr>
          <w:spacing w:val="-7"/>
        </w:rPr>
        <w:t>亿元（</w:t>
      </w:r>
      <w:r>
        <w:rPr>
          <w:rFonts w:ascii="Arial" w:hAnsi="Arial" w:cs="Arial" w:eastAsia="Arial" w:hint="default"/>
          <w:spacing w:val="-7"/>
        </w:rPr>
        <w:t>2018</w:t>
      </w:r>
      <w:r>
        <w:rPr>
          <w:spacing w:val="-7"/>
        </w:rPr>
        <w:t>年</w:t>
      </w:r>
      <w:r>
        <w:rPr>
          <w:rFonts w:ascii="Arial" w:hAnsi="Arial" w:cs="Arial" w:eastAsia="Arial" w:hint="default"/>
          <w:spacing w:val="-7"/>
        </w:rPr>
        <w:t>12</w:t>
      </w:r>
      <w:r>
        <w:rPr>
          <w:spacing w:val="-7"/>
        </w:rPr>
        <w:t>月</w:t>
      </w:r>
      <w:r>
        <w:rPr>
          <w:rFonts w:ascii="Arial" w:hAnsi="Arial" w:cs="Arial" w:eastAsia="Arial" w:hint="default"/>
          <w:spacing w:val="-7"/>
        </w:rPr>
        <w:t>31</w:t>
      </w:r>
      <w:r>
        <w:rPr>
          <w:spacing w:val="-7"/>
        </w:rPr>
        <w:t>日：约人民币</w:t>
      </w:r>
      <w:r>
        <w:rPr>
          <w:rFonts w:ascii="Arial" w:hAnsi="Arial" w:cs="Arial" w:eastAsia="Arial" w:hint="default"/>
          <w:spacing w:val="-7"/>
        </w:rPr>
        <w:t>1.31</w:t>
      </w:r>
      <w:r>
        <w:rPr>
          <w:spacing w:val="-7"/>
        </w:rPr>
        <w:t>亿元）。</w:t>
      </w:r>
      <w:r>
        <w:rPr>
          <w:spacing w:val="-67"/>
        </w:rPr>
        <w:t> </w:t>
      </w:r>
      <w:r>
        <w:rPr>
          <w:spacing w:val="-67"/>
        </w:rPr>
      </w:r>
      <w:r>
        <w:rPr>
          <w:spacing w:val="-7"/>
          <w:w w:val="100"/>
        </w:rPr>
        <w:t>对于本集团以外币计价的其他权益工具投资，假设人民币对外币（主要为对欧元）增加或减少</w:t>
      </w:r>
      <w:r>
        <w:rPr>
          <w:rFonts w:ascii="Arial" w:hAnsi="Arial" w:cs="Arial" w:eastAsia="Arial" w:hint="default"/>
          <w:spacing w:val="-7"/>
          <w:w w:val="100"/>
        </w:rPr>
        <w:t>10%</w:t>
      </w:r>
      <w:r>
        <w:rPr>
          <w:spacing w:val="-7"/>
          <w:w w:val="100"/>
        </w:rPr>
        <w:t>，</w:t>
      </w:r>
      <w:r>
        <w:rPr>
          <w:spacing w:val="-102"/>
          <w:w w:val="100"/>
        </w:rPr>
        <w:t> </w:t>
      </w:r>
      <w:r>
        <w:rPr/>
        <w:t>而其他因素保持不变，则会导致本集团股东权益及其他综合收益均减少或增加约人民币</w:t>
      </w:r>
      <w:r>
        <w:rPr>
          <w:rFonts w:ascii="Arial" w:hAnsi="Arial" w:cs="Arial" w:eastAsia="Arial" w:hint="default"/>
        </w:rPr>
        <w:t>3.13</w:t>
      </w:r>
      <w:r>
        <w:rPr/>
        <w:t>亿元</w:t>
      </w:r>
    </w:p>
    <w:p>
      <w:pPr>
        <w:pStyle w:val="BodyText"/>
        <w:spacing w:line="286" w:lineRule="exact"/>
        <w:ind w:left="587" w:right="0"/>
        <w:jc w:val="both"/>
      </w:pPr>
      <w:r>
        <w:rPr/>
        <w:t>（</w:t>
      </w:r>
      <w:r>
        <w:rPr>
          <w:rFonts w:ascii="Arial" w:hAnsi="Arial" w:cs="Arial" w:eastAsia="Arial" w:hint="default"/>
        </w:rPr>
        <w:t>2018</w:t>
      </w:r>
      <w:r>
        <w:rPr/>
        <w:t>年</w:t>
      </w:r>
      <w:r>
        <w:rPr>
          <w:rFonts w:ascii="Arial" w:hAnsi="Arial" w:cs="Arial" w:eastAsia="Arial" w:hint="default"/>
        </w:rPr>
        <w:t>12</w:t>
      </w:r>
      <w:r>
        <w:rPr/>
        <w:t>月</w:t>
      </w:r>
      <w:r>
        <w:rPr>
          <w:rFonts w:ascii="Arial" w:hAnsi="Arial" w:cs="Arial" w:eastAsia="Arial" w:hint="default"/>
        </w:rPr>
        <w:t>31</w:t>
      </w:r>
      <w:r>
        <w:rPr/>
        <w:t>日：约人民币</w:t>
      </w:r>
      <w:r>
        <w:rPr>
          <w:rFonts w:ascii="Arial" w:hAnsi="Arial" w:cs="Arial" w:eastAsia="Arial" w:hint="default"/>
        </w:rPr>
        <w:t>3.70</w:t>
      </w:r>
      <w:r>
        <w:rPr/>
        <w:t>亿元）。</w:t>
      </w:r>
    </w:p>
    <w:p>
      <w:pPr>
        <w:spacing w:line="240" w:lineRule="auto" w:before="1"/>
        <w:rPr>
          <w:rFonts w:ascii="宋体" w:hAnsi="宋体" w:cs="宋体" w:eastAsia="宋体" w:hint="default"/>
          <w:sz w:val="18"/>
          <w:szCs w:val="18"/>
        </w:rPr>
      </w:pPr>
    </w:p>
    <w:p>
      <w:pPr>
        <w:pStyle w:val="BodyText"/>
        <w:spacing w:line="237" w:lineRule="auto"/>
        <w:ind w:left="587" w:right="341"/>
        <w:jc w:val="both"/>
      </w:pPr>
      <w:r>
        <w:rPr/>
        <w:t>上述敏感性分析是假设资产负债表日汇率发生变动，以变动后的汇率对资产负债表日本集团或本</w:t>
      </w:r>
      <w:r>
        <w:rPr>
          <w:spacing w:val="-61"/>
        </w:rPr>
        <w:t> </w:t>
      </w:r>
      <w:r>
        <w:rPr>
          <w:spacing w:val="-61"/>
        </w:rPr>
      </w:r>
      <w:r>
        <w:rPr>
          <w:spacing w:val="-5"/>
        </w:rPr>
        <w:t>公司持有的、面临汇率风险的金融工具进行重新计量得出的。上述分析不包括外币报表折算差异。</w:t>
      </w:r>
      <w:r>
        <w:rPr>
          <w:spacing w:val="-60"/>
        </w:rPr>
        <w:t> </w:t>
      </w:r>
      <w:r>
        <w:rPr>
          <w:spacing w:val="-60"/>
        </w:rPr>
      </w:r>
      <w:r>
        <w:rPr/>
        <w:t>上一年度的分析基于同样的假设和方法。</w:t>
      </w:r>
    </w:p>
    <w:p>
      <w:pPr>
        <w:spacing w:line="240" w:lineRule="auto" w:before="1"/>
        <w:rPr>
          <w:rFonts w:ascii="宋体" w:hAnsi="宋体" w:cs="宋体" w:eastAsia="宋体" w:hint="default"/>
          <w:sz w:val="19"/>
          <w:szCs w:val="19"/>
        </w:rPr>
      </w:pPr>
    </w:p>
    <w:p>
      <w:pPr>
        <w:pStyle w:val="BodyText"/>
        <w:tabs>
          <w:tab w:pos="587" w:val="left" w:leader="none"/>
        </w:tabs>
        <w:spacing w:line="240" w:lineRule="auto"/>
        <w:ind w:left="112" w:right="0"/>
        <w:jc w:val="left"/>
      </w:pPr>
      <w:bookmarkStart w:name="(2) 价格风险" w:id="42"/>
      <w:bookmarkEnd w:id="42"/>
      <w:r>
        <w:rPr/>
      </w:r>
      <w:r>
        <w:rPr>
          <w:rFonts w:ascii="Arial" w:hAnsi="Arial" w:cs="Arial" w:eastAsia="Arial" w:hint="default"/>
        </w:rPr>
        <w:t>(2)</w:t>
        <w:tab/>
      </w:r>
      <w:r>
        <w:rPr/>
        <w:t>价格风险</w:t>
      </w:r>
    </w:p>
    <w:p>
      <w:pPr>
        <w:spacing w:line="240" w:lineRule="auto" w:before="11"/>
        <w:rPr>
          <w:rFonts w:ascii="宋体" w:hAnsi="宋体" w:cs="宋体" w:eastAsia="宋体" w:hint="default"/>
          <w:sz w:val="17"/>
          <w:szCs w:val="17"/>
        </w:rPr>
      </w:pPr>
    </w:p>
    <w:p>
      <w:pPr>
        <w:pStyle w:val="BodyText"/>
        <w:spacing w:line="240" w:lineRule="auto"/>
        <w:ind w:left="587" w:right="336"/>
        <w:jc w:val="both"/>
      </w:pPr>
      <w:r>
        <w:rPr/>
        <w:t>本集团在资产负债表中被分类为其他权益工具投资的股票投资主要为西班牙电信的股票，因此本</w:t>
      </w:r>
      <w:r>
        <w:rPr>
          <w:spacing w:val="-61"/>
        </w:rPr>
        <w:t> </w:t>
      </w:r>
      <w:r>
        <w:rPr>
          <w:spacing w:val="-61"/>
        </w:rPr>
      </w:r>
      <w:r>
        <w:rPr/>
        <w:t>集团承受权益证券的市场价格风险。</w:t>
      </w:r>
    </w:p>
    <w:p>
      <w:pPr>
        <w:spacing w:line="240" w:lineRule="auto" w:before="3"/>
        <w:rPr>
          <w:rFonts w:ascii="宋体" w:hAnsi="宋体" w:cs="宋体" w:eastAsia="宋体" w:hint="default"/>
          <w:sz w:val="20"/>
          <w:szCs w:val="20"/>
        </w:rPr>
      </w:pPr>
    </w:p>
    <w:p>
      <w:pPr>
        <w:pStyle w:val="BodyText"/>
        <w:spacing w:line="225" w:lineRule="auto"/>
        <w:ind w:left="587" w:right="0"/>
        <w:jc w:val="left"/>
      </w:pPr>
      <w:r>
        <w:rPr/>
        <w:t>于</w:t>
      </w:r>
      <w:r>
        <w:rPr>
          <w:rFonts w:ascii="Arial" w:hAnsi="Arial" w:cs="Arial" w:eastAsia="Arial" w:hint="default"/>
        </w:rPr>
        <w:t>2019</w:t>
      </w:r>
      <w:r>
        <w:rPr/>
        <w:t>年</w:t>
      </w:r>
      <w:r>
        <w:rPr>
          <w:rFonts w:ascii="Arial" w:hAnsi="Arial" w:cs="Arial" w:eastAsia="Arial" w:hint="default"/>
        </w:rPr>
        <w:t>12</w:t>
      </w:r>
      <w:r>
        <w:rPr/>
        <w:t>月</w:t>
      </w:r>
      <w:r>
        <w:rPr>
          <w:rFonts w:ascii="Arial" w:hAnsi="Arial" w:cs="Arial" w:eastAsia="Arial" w:hint="default"/>
        </w:rPr>
        <w:t>31</w:t>
      </w:r>
      <w:r>
        <w:rPr/>
        <w:t>日，假设西班牙电信的股票价格上升或下降</w:t>
      </w:r>
      <w:r>
        <w:rPr>
          <w:rFonts w:ascii="Arial" w:hAnsi="Arial" w:cs="Arial" w:eastAsia="Arial" w:hint="default"/>
        </w:rPr>
        <w:t>10%</w:t>
      </w:r>
      <w:r>
        <w:rPr/>
        <w:t>，而其他因素保持不变，则其他</w:t>
      </w:r>
      <w:r>
        <w:rPr>
          <w:w w:val="100"/>
        </w:rPr>
        <w:t> </w:t>
      </w:r>
      <w:r>
        <w:rPr>
          <w:spacing w:val="-2"/>
        </w:rPr>
        <w:t>权益工具投资账面价值会因公允价值变动而额外增加或减少约人民币</w:t>
      </w:r>
      <w:r>
        <w:rPr>
          <w:rFonts w:ascii="Arial" w:hAnsi="Arial" w:cs="Arial" w:eastAsia="Arial" w:hint="default"/>
          <w:spacing w:val="-2"/>
        </w:rPr>
        <w:t>3.13</w:t>
      </w:r>
      <w:r>
        <w:rPr>
          <w:spacing w:val="-2"/>
        </w:rPr>
        <w:t>亿元（</w:t>
      </w:r>
      <w:r>
        <w:rPr>
          <w:rFonts w:ascii="Arial" w:hAnsi="Arial" w:cs="Arial" w:eastAsia="Arial" w:hint="default"/>
          <w:spacing w:val="-2"/>
        </w:rPr>
        <w:t>2018</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spacing w:val="-2"/>
        </w:rPr>
        <w:t>日：</w:t>
      </w:r>
      <w:r>
        <w:rPr>
          <w:spacing w:val="-40"/>
        </w:rPr>
        <w:t> </w:t>
      </w:r>
      <w:r>
        <w:rPr/>
        <w:t>约人民币</w:t>
      </w:r>
      <w:r>
        <w:rPr>
          <w:rFonts w:ascii="Arial" w:hAnsi="Arial" w:cs="Arial" w:eastAsia="Arial" w:hint="default"/>
        </w:rPr>
        <w:t>3.70</w:t>
      </w:r>
      <w:r>
        <w:rPr/>
        <w:t>亿元）。</w:t>
      </w:r>
    </w:p>
    <w:p>
      <w:pPr>
        <w:spacing w:line="240" w:lineRule="auto" w:before="5"/>
        <w:rPr>
          <w:rFonts w:ascii="宋体" w:hAnsi="宋体" w:cs="宋体" w:eastAsia="宋体" w:hint="default"/>
          <w:sz w:val="20"/>
          <w:szCs w:val="20"/>
        </w:rPr>
      </w:pPr>
    </w:p>
    <w:p>
      <w:pPr>
        <w:pStyle w:val="BodyText"/>
        <w:spacing w:line="284" w:lineRule="exact"/>
        <w:ind w:left="587" w:right="346"/>
        <w:jc w:val="both"/>
      </w:pPr>
      <w:r>
        <w:rPr/>
        <w:t>上述敏感性分析是假设资产负债表日西班牙电信股票价格发生变动，以变动后的价格对西班牙电</w:t>
      </w:r>
      <w:r>
        <w:rPr>
          <w:spacing w:val="-61"/>
        </w:rPr>
        <w:t> </w:t>
      </w:r>
      <w:r>
        <w:rPr>
          <w:spacing w:val="-61"/>
        </w:rPr>
      </w:r>
      <w:r>
        <w:rPr/>
        <w:t>信的股票投资进行重新计量得出的。上一年度的分析基于同样的假设和方法。</w:t>
      </w:r>
    </w:p>
    <w:p>
      <w:pPr>
        <w:spacing w:line="240" w:lineRule="auto" w:before="6"/>
        <w:rPr>
          <w:rFonts w:ascii="宋体" w:hAnsi="宋体" w:cs="宋体" w:eastAsia="宋体" w:hint="default"/>
          <w:sz w:val="17"/>
          <w:szCs w:val="17"/>
        </w:rPr>
      </w:pPr>
    </w:p>
    <w:p>
      <w:pPr>
        <w:pStyle w:val="BodyText"/>
        <w:tabs>
          <w:tab w:pos="587" w:val="left" w:leader="none"/>
        </w:tabs>
        <w:spacing w:line="240" w:lineRule="auto"/>
        <w:ind w:left="112" w:right="0"/>
        <w:jc w:val="left"/>
      </w:pPr>
      <w:bookmarkStart w:name="(3) 现金流量和公允价值利率风险" w:id="43"/>
      <w:bookmarkEnd w:id="43"/>
      <w:r>
        <w:rPr/>
      </w:r>
      <w:r>
        <w:rPr>
          <w:rFonts w:ascii="Arial" w:hAnsi="Arial" w:cs="Arial" w:eastAsia="Arial" w:hint="default"/>
        </w:rPr>
        <w:t>(3)</w:t>
        <w:tab/>
      </w:r>
      <w:r>
        <w:rPr/>
        <w:t>现金流量和公允价值利率风险</w:t>
      </w:r>
    </w:p>
    <w:p>
      <w:pPr>
        <w:spacing w:line="240" w:lineRule="auto" w:before="2"/>
        <w:rPr>
          <w:rFonts w:ascii="宋体" w:hAnsi="宋体" w:cs="宋体" w:eastAsia="宋体" w:hint="default"/>
          <w:sz w:val="16"/>
          <w:szCs w:val="16"/>
        </w:rPr>
      </w:pPr>
    </w:p>
    <w:p>
      <w:pPr>
        <w:pStyle w:val="BodyText"/>
        <w:spacing w:line="284" w:lineRule="exact"/>
        <w:ind w:left="587" w:right="346"/>
        <w:jc w:val="both"/>
      </w:pPr>
      <w:r>
        <w:rPr/>
        <w:t>本集团的带息资产主要为银行存款。由于主要的银行存款皆为短期性质并且所涉及的利息金额并</w:t>
      </w:r>
      <w:r>
        <w:rPr>
          <w:spacing w:val="-61"/>
        </w:rPr>
        <w:t> </w:t>
      </w:r>
      <w:r>
        <w:rPr>
          <w:spacing w:val="-61"/>
        </w:rPr>
      </w:r>
      <w:r>
        <w:rPr/>
        <w:t>不重大，管理层认为市场存款利率的波动对财务报表的影响并不重大。</w:t>
      </w:r>
    </w:p>
    <w:p>
      <w:pPr>
        <w:spacing w:line="240" w:lineRule="auto" w:before="4"/>
        <w:rPr>
          <w:rFonts w:ascii="宋体" w:hAnsi="宋体" w:cs="宋体" w:eastAsia="宋体" w:hint="default"/>
          <w:sz w:val="17"/>
          <w:szCs w:val="17"/>
        </w:rPr>
      </w:pPr>
    </w:p>
    <w:p>
      <w:pPr>
        <w:pStyle w:val="BodyText"/>
        <w:spacing w:line="237" w:lineRule="auto"/>
        <w:ind w:left="587" w:right="326"/>
        <w:jc w:val="both"/>
      </w:pPr>
      <w:r>
        <w:rPr/>
        <w:t>本集团的利率风险产生于包括银行借款、长短期债券、吸收存款等在内的计息借款。浮动利率计</w:t>
      </w:r>
      <w:r>
        <w:rPr>
          <w:spacing w:val="-61"/>
        </w:rPr>
        <w:t> </w:t>
      </w:r>
      <w:r>
        <w:rPr>
          <w:spacing w:val="-61"/>
        </w:rPr>
      </w:r>
      <w:r>
        <w:rPr/>
        <w:t>息的借款、循环贷款额度范围内的固定利率短期借款、短期融资券及吸收存款导致本集团产生现</w:t>
      </w:r>
      <w:r>
        <w:rPr>
          <w:spacing w:val="-61"/>
        </w:rPr>
        <w:t> </w:t>
      </w:r>
      <w:r>
        <w:rPr>
          <w:spacing w:val="-61"/>
        </w:rPr>
      </w:r>
      <w:r>
        <w:rPr/>
        <w:t>金流量利率风险，而固定利率计息的长期借款、长期债券及租赁负债导致本集团产生公允价值利</w:t>
      </w:r>
      <w:r>
        <w:rPr>
          <w:spacing w:val="-61"/>
        </w:rPr>
        <w:t> </w:t>
      </w:r>
      <w:r>
        <w:rPr>
          <w:spacing w:val="-61"/>
        </w:rPr>
      </w:r>
      <w:r>
        <w:rPr/>
        <w:t>率风险。本集团主要根据当时的市场环境来决定使用固定利率或浮动利率借款的政策。</w:t>
      </w:r>
    </w:p>
    <w:p>
      <w:pPr>
        <w:spacing w:line="240" w:lineRule="auto" w:before="4"/>
        <w:rPr>
          <w:rFonts w:ascii="宋体" w:hAnsi="宋体" w:cs="宋体" w:eastAsia="宋体" w:hint="default"/>
          <w:sz w:val="19"/>
          <w:szCs w:val="19"/>
        </w:rPr>
      </w:pPr>
    </w:p>
    <w:p>
      <w:pPr>
        <w:pStyle w:val="BodyText"/>
        <w:spacing w:line="237" w:lineRule="auto"/>
        <w:ind w:left="631" w:right="326"/>
        <w:jc w:val="both"/>
      </w:pPr>
      <w:r>
        <w:rPr>
          <w:spacing w:val="-1"/>
        </w:rPr>
        <w:t>如果利率上升会增加新增借款的成本以及本集团尚未偿还的以浮动利率计息的借款的利息支出，</w:t>
      </w:r>
      <w:r>
        <w:rPr>
          <w:spacing w:val="-40"/>
        </w:rPr>
        <w:t> </w:t>
      </w:r>
      <w:r>
        <w:rPr>
          <w:spacing w:val="-40"/>
        </w:rPr>
      </w:r>
      <w:r>
        <w:rPr>
          <w:spacing w:val="-1"/>
        </w:rPr>
        <w:t>对本集团的财务状况产生重大的不利影响。管理层持续监控本集团利率水平并依据最新的市场状</w:t>
      </w:r>
      <w:r>
        <w:rPr>
          <w:spacing w:val="-40"/>
        </w:rPr>
        <w:t> </w:t>
      </w:r>
      <w:r>
        <w:rPr>
          <w:spacing w:val="-40"/>
        </w:rPr>
      </w:r>
      <w:r>
        <w:rPr>
          <w:spacing w:val="-1"/>
        </w:rPr>
        <w:t>况及时做出调整。本集团可能采用利率掉期安排以降低浮动利率计息的借款产生的利率风险，但</w:t>
      </w:r>
      <w:r>
        <w:rPr>
          <w:spacing w:val="-40"/>
        </w:rPr>
        <w:t> </w:t>
      </w:r>
      <w:r>
        <w:rPr>
          <w:spacing w:val="-40"/>
        </w:rPr>
      </w:r>
      <w:r>
        <w:rPr/>
        <w:t>本集团认为</w:t>
      </w:r>
      <w:r>
        <w:rPr>
          <w:spacing w:val="-55"/>
        </w:rPr>
        <w:t> </w:t>
      </w:r>
      <w:r>
        <w:rPr>
          <w:rFonts w:ascii="Arial" w:hAnsi="Arial" w:cs="Arial" w:eastAsia="Arial" w:hint="default"/>
        </w:rPr>
        <w:t>2019</w:t>
      </w:r>
      <w:r>
        <w:rPr>
          <w:rFonts w:ascii="Arial" w:hAnsi="Arial" w:cs="Arial" w:eastAsia="Arial" w:hint="default"/>
          <w:spacing w:val="-4"/>
        </w:rPr>
        <w:t> </w:t>
      </w:r>
      <w:r>
        <w:rPr/>
        <w:t>年度并无该等安排的需要。</w:t>
      </w:r>
    </w:p>
    <w:p>
      <w:pPr>
        <w:spacing w:after="0" w:line="237" w:lineRule="auto"/>
        <w:jc w:val="both"/>
        <w:sectPr>
          <w:headerReference w:type="default" r:id="rId218"/>
          <w:pgSz w:w="11910" w:h="16840"/>
          <w:pgMar w:header="1183" w:footer="502" w:top="3040" w:bottom="700" w:left="1020" w:right="660"/>
        </w:sectPr>
      </w:pPr>
    </w:p>
    <w:p>
      <w:pPr>
        <w:spacing w:line="240" w:lineRule="auto" w:before="1"/>
        <w:rPr>
          <w:rFonts w:ascii="宋体" w:hAnsi="宋体" w:cs="宋体" w:eastAsia="宋体" w:hint="default"/>
          <w:sz w:val="16"/>
          <w:szCs w:val="16"/>
        </w:rPr>
      </w:pPr>
    </w:p>
    <w:p>
      <w:pPr>
        <w:pStyle w:val="BodyText"/>
        <w:tabs>
          <w:tab w:pos="587" w:val="left" w:leader="none"/>
        </w:tabs>
        <w:spacing w:line="240" w:lineRule="auto" w:before="32"/>
        <w:ind w:left="112" w:right="103"/>
        <w:jc w:val="left"/>
      </w:pPr>
      <w:bookmarkStart w:name="1、 金融风险因素（续）" w:id="44"/>
      <w:bookmarkEnd w:id="44"/>
      <w:r>
        <w:rPr/>
      </w:r>
      <w:bookmarkStart w:name="(a) 市场风险（续）" w:id="45"/>
      <w:bookmarkEnd w:id="45"/>
      <w:r>
        <w:rPr/>
      </w:r>
      <w:r>
        <w:rPr>
          <w:rFonts w:ascii="Arial" w:hAnsi="Arial" w:cs="Arial" w:eastAsia="Arial" w:hint="default"/>
        </w:rPr>
        <w:t>(a)</w:t>
        <w:tab/>
      </w:r>
      <w:r>
        <w:rPr/>
        <w:t>市场风险（续）</w:t>
      </w:r>
    </w:p>
    <w:p>
      <w:pPr>
        <w:spacing w:line="240" w:lineRule="auto" w:before="11"/>
        <w:rPr>
          <w:rFonts w:ascii="宋体" w:hAnsi="宋体" w:cs="宋体" w:eastAsia="宋体" w:hint="default"/>
          <w:sz w:val="17"/>
          <w:szCs w:val="17"/>
        </w:rPr>
      </w:pPr>
    </w:p>
    <w:p>
      <w:pPr>
        <w:pStyle w:val="BodyText"/>
        <w:tabs>
          <w:tab w:pos="587" w:val="left" w:leader="none"/>
        </w:tabs>
        <w:spacing w:line="240" w:lineRule="auto"/>
        <w:ind w:left="112" w:right="103"/>
        <w:jc w:val="left"/>
      </w:pPr>
      <w:bookmarkStart w:name="(3) 现金流量和公允价值利率风险（续）" w:id="46"/>
      <w:bookmarkEnd w:id="46"/>
      <w:r>
        <w:rPr/>
      </w:r>
      <w:r>
        <w:rPr>
          <w:rFonts w:ascii="Arial" w:hAnsi="Arial" w:cs="Arial" w:eastAsia="Arial" w:hint="default"/>
        </w:rPr>
        <w:t>(3)</w:t>
        <w:tab/>
      </w:r>
      <w:r>
        <w:rPr/>
        <w:t>现金流量和公允价值利率风险（续）</w:t>
      </w:r>
    </w:p>
    <w:p>
      <w:pPr>
        <w:spacing w:line="240" w:lineRule="auto" w:before="1"/>
        <w:rPr>
          <w:rFonts w:ascii="宋体" w:hAnsi="宋体" w:cs="宋体" w:eastAsia="宋体" w:hint="default"/>
          <w:sz w:val="19"/>
          <w:szCs w:val="19"/>
        </w:rPr>
      </w:pPr>
    </w:p>
    <w:p>
      <w:pPr>
        <w:pStyle w:val="BodyText"/>
        <w:spacing w:line="225" w:lineRule="auto"/>
        <w:ind w:left="587" w:right="116"/>
        <w:jc w:val="both"/>
      </w:pPr>
      <w:r>
        <w:rPr>
          <w:spacing w:val="-2"/>
        </w:rPr>
        <w:t>于</w:t>
      </w:r>
      <w:r>
        <w:rPr>
          <w:rFonts w:ascii="Arial" w:hAnsi="Arial" w:cs="Arial" w:eastAsia="Arial" w:hint="default"/>
          <w:spacing w:val="-2"/>
        </w:rPr>
        <w:t>2019</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spacing w:val="-2"/>
        </w:rPr>
        <w:t>日，本集团循环贷款额度范围内的固定利率短期借款、超短期融资券及吸收存款</w:t>
      </w:r>
      <w:r>
        <w:rPr>
          <w:spacing w:val="-59"/>
        </w:rPr>
        <w:t> </w:t>
      </w:r>
      <w:r>
        <w:rPr>
          <w:spacing w:val="-59"/>
        </w:rPr>
      </w:r>
      <w:r>
        <w:rPr>
          <w:spacing w:val="-7"/>
        </w:rPr>
        <w:t>等约为人民币</w:t>
      </w:r>
      <w:r>
        <w:rPr>
          <w:rFonts w:ascii="Arial" w:hAnsi="Arial" w:cs="Arial" w:eastAsia="Arial" w:hint="default"/>
          <w:spacing w:val="-7"/>
        </w:rPr>
        <w:t>189.91</w:t>
      </w:r>
      <w:r>
        <w:rPr>
          <w:spacing w:val="-7"/>
        </w:rPr>
        <w:t>亿元（</w:t>
      </w:r>
      <w:r>
        <w:rPr>
          <w:rFonts w:ascii="Arial" w:hAnsi="Arial" w:cs="Arial" w:eastAsia="Arial" w:hint="default"/>
          <w:spacing w:val="-7"/>
        </w:rPr>
        <w:t>2018</w:t>
      </w:r>
      <w:r>
        <w:rPr>
          <w:spacing w:val="-7"/>
        </w:rPr>
        <w:t>年</w:t>
      </w:r>
      <w:r>
        <w:rPr>
          <w:rFonts w:ascii="Arial" w:hAnsi="Arial" w:cs="Arial" w:eastAsia="Arial" w:hint="default"/>
          <w:spacing w:val="-7"/>
        </w:rPr>
        <w:t>12</w:t>
      </w:r>
      <w:r>
        <w:rPr>
          <w:spacing w:val="-7"/>
        </w:rPr>
        <w:t>月</w:t>
      </w:r>
      <w:r>
        <w:rPr>
          <w:rFonts w:ascii="Arial" w:hAnsi="Arial" w:cs="Arial" w:eastAsia="Arial" w:hint="default"/>
          <w:spacing w:val="-7"/>
        </w:rPr>
        <w:t>31</w:t>
      </w:r>
      <w:r>
        <w:rPr>
          <w:spacing w:val="-7"/>
        </w:rPr>
        <w:t>日：约人民币</w:t>
      </w:r>
      <w:r>
        <w:rPr>
          <w:rFonts w:ascii="Arial" w:hAnsi="Arial" w:cs="Arial" w:eastAsia="Arial" w:hint="default"/>
          <w:spacing w:val="-7"/>
        </w:rPr>
        <w:t>195.20</w:t>
      </w:r>
      <w:r>
        <w:rPr>
          <w:spacing w:val="-7"/>
        </w:rPr>
        <w:t>亿元），固定利率计息的长期借款、</w:t>
      </w:r>
      <w:r>
        <w:rPr>
          <w:spacing w:val="-25"/>
        </w:rPr>
        <w:t> </w:t>
      </w:r>
      <w:r>
        <w:rPr>
          <w:spacing w:val="-25"/>
        </w:rPr>
      </w:r>
      <w:r>
        <w:rPr/>
        <w:t>长期债券及租赁负债约为人民币</w:t>
      </w:r>
      <w:r>
        <w:rPr>
          <w:rFonts w:ascii="Arial" w:hAnsi="Arial" w:cs="Arial" w:eastAsia="Arial" w:hint="default"/>
        </w:rPr>
        <w:t>396.27</w:t>
      </w:r>
      <w:r>
        <w:rPr/>
        <w:t>亿元（</w:t>
      </w:r>
      <w:r>
        <w:rPr>
          <w:rFonts w:ascii="Arial" w:hAnsi="Arial" w:cs="Arial" w:eastAsia="Arial" w:hint="default"/>
        </w:rPr>
        <w:t>2018</w:t>
      </w:r>
      <w:r>
        <w:rPr/>
        <w:t>年</w:t>
      </w:r>
      <w:r>
        <w:rPr>
          <w:rFonts w:ascii="Arial" w:hAnsi="Arial" w:cs="Arial" w:eastAsia="Arial" w:hint="default"/>
        </w:rPr>
        <w:t>12</w:t>
      </w:r>
      <w:r>
        <w:rPr/>
        <w:t>月</w:t>
      </w:r>
      <w:r>
        <w:rPr>
          <w:rFonts w:ascii="Arial" w:hAnsi="Arial" w:cs="Arial" w:eastAsia="Arial" w:hint="default"/>
        </w:rPr>
        <w:t>31</w:t>
      </w:r>
      <w:r>
        <w:rPr/>
        <w:t>日：约人民币</w:t>
      </w:r>
      <w:r>
        <w:rPr>
          <w:rFonts w:ascii="Arial" w:hAnsi="Arial" w:cs="Arial" w:eastAsia="Arial" w:hint="default"/>
        </w:rPr>
        <w:t>218.47</w:t>
      </w:r>
      <w:r>
        <w:rPr/>
        <w:t>亿元）。</w:t>
      </w:r>
    </w:p>
    <w:p>
      <w:pPr>
        <w:spacing w:line="240" w:lineRule="auto" w:before="3"/>
        <w:rPr>
          <w:rFonts w:ascii="宋体" w:hAnsi="宋体" w:cs="宋体" w:eastAsia="宋体" w:hint="default"/>
          <w:sz w:val="19"/>
          <w:szCs w:val="19"/>
        </w:rPr>
      </w:pPr>
    </w:p>
    <w:p>
      <w:pPr>
        <w:pStyle w:val="BodyText"/>
        <w:spacing w:line="225" w:lineRule="auto"/>
        <w:ind w:left="563" w:right="107" w:firstLine="24"/>
        <w:jc w:val="both"/>
      </w:pPr>
      <w:r>
        <w:rPr>
          <w:spacing w:val="-2"/>
        </w:rPr>
        <w:t>于</w:t>
      </w:r>
      <w:r>
        <w:rPr>
          <w:rFonts w:ascii="Arial" w:hAnsi="Arial" w:cs="Arial" w:eastAsia="Arial" w:hint="default"/>
          <w:spacing w:val="-2"/>
        </w:rPr>
        <w:t>2019</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spacing w:val="-2"/>
        </w:rPr>
        <w:t>日，假设循环贷款额度范围内的固定利率短期借款、超短期融资券及吸收存款利</w:t>
      </w:r>
      <w:r>
        <w:rPr>
          <w:spacing w:val="-84"/>
        </w:rPr>
        <w:t> </w:t>
      </w:r>
      <w:r>
        <w:rPr>
          <w:spacing w:val="-84"/>
        </w:rPr>
      </w:r>
      <w:r>
        <w:rPr/>
        <w:t>率变动</w:t>
      </w:r>
      <w:r>
        <w:rPr>
          <w:rFonts w:ascii="Arial" w:hAnsi="Arial" w:cs="Arial" w:eastAsia="Arial" w:hint="default"/>
        </w:rPr>
        <w:t>50</w:t>
      </w:r>
      <w:r>
        <w:rPr/>
        <w:t>个基点，而其他因素保持不变，则会导致本集团的股东权益及净利润均会增加或减少约</w:t>
      </w:r>
      <w:r>
        <w:rPr>
          <w:spacing w:val="-78"/>
        </w:rPr>
        <w:t> </w:t>
      </w:r>
      <w:r>
        <w:rPr>
          <w:spacing w:val="-78"/>
        </w:rPr>
      </w:r>
      <w:r>
        <w:rPr/>
        <w:t>人民币</w:t>
      </w:r>
      <w:r>
        <w:rPr>
          <w:rFonts w:ascii="Arial" w:hAnsi="Arial" w:cs="Arial" w:eastAsia="Arial" w:hint="default"/>
        </w:rPr>
        <w:t>0.71</w:t>
      </w:r>
      <w:r>
        <w:rPr/>
        <w:t>亿元（</w:t>
      </w:r>
      <w:r>
        <w:rPr>
          <w:rFonts w:ascii="Arial" w:hAnsi="Arial" w:cs="Arial" w:eastAsia="Arial" w:hint="default"/>
        </w:rPr>
        <w:t>2018</w:t>
      </w:r>
      <w:r>
        <w:rPr/>
        <w:t>年</w:t>
      </w:r>
      <w:r>
        <w:rPr>
          <w:rFonts w:ascii="Arial" w:hAnsi="Arial" w:cs="Arial" w:eastAsia="Arial" w:hint="default"/>
        </w:rPr>
        <w:t>12</w:t>
      </w:r>
      <w:r>
        <w:rPr/>
        <w:t>月</w:t>
      </w:r>
      <w:r>
        <w:rPr>
          <w:rFonts w:ascii="Arial" w:hAnsi="Arial" w:cs="Arial" w:eastAsia="Arial" w:hint="default"/>
        </w:rPr>
        <w:t>31</w:t>
      </w:r>
      <w:r>
        <w:rPr/>
        <w:t>日：约人民币</w:t>
      </w:r>
      <w:r>
        <w:rPr>
          <w:rFonts w:ascii="Arial" w:hAnsi="Arial" w:cs="Arial" w:eastAsia="Arial" w:hint="default"/>
        </w:rPr>
        <w:t>0.73</w:t>
      </w:r>
      <w:r>
        <w:rPr/>
        <w:t>亿元）。</w:t>
      </w:r>
    </w:p>
    <w:p>
      <w:pPr>
        <w:spacing w:line="240" w:lineRule="auto" w:before="4"/>
        <w:rPr>
          <w:rFonts w:ascii="宋体" w:hAnsi="宋体" w:cs="宋体" w:eastAsia="宋体" w:hint="default"/>
          <w:sz w:val="18"/>
          <w:szCs w:val="18"/>
        </w:rPr>
      </w:pPr>
    </w:p>
    <w:p>
      <w:pPr>
        <w:pStyle w:val="BodyText"/>
        <w:spacing w:line="237" w:lineRule="auto"/>
        <w:ind w:left="563" w:right="107"/>
        <w:jc w:val="both"/>
      </w:pPr>
      <w:r>
        <w:rPr>
          <w:spacing w:val="-4"/>
        </w:rPr>
        <w:t>对于资产负债表日持有的、使本集团或本公司面临现金流量利率风险的非衍生工具，上述敏感性分</w:t>
      </w:r>
      <w:r>
        <w:rPr>
          <w:spacing w:val="-65"/>
        </w:rPr>
        <w:t> </w:t>
      </w:r>
      <w:r>
        <w:rPr>
          <w:spacing w:val="-65"/>
        </w:rPr>
      </w:r>
      <w:r>
        <w:rPr/>
        <w:t>析中的股东权益及净利润的影响是上述利率变动对按年度估算的利息费用或收入的影响。上一年</w:t>
      </w:r>
      <w:r>
        <w:rPr>
          <w:spacing w:val="-37"/>
        </w:rPr>
        <w:t> </w:t>
      </w:r>
      <w:r>
        <w:rPr>
          <w:spacing w:val="-37"/>
        </w:rPr>
      </w:r>
      <w:r>
        <w:rPr/>
        <w:t>度的分析基于同样的假设和方法。</w:t>
      </w:r>
    </w:p>
    <w:p>
      <w:pPr>
        <w:spacing w:line="240" w:lineRule="auto" w:before="4"/>
        <w:rPr>
          <w:rFonts w:ascii="宋体" w:hAnsi="宋体" w:cs="宋体" w:eastAsia="宋体" w:hint="default"/>
          <w:sz w:val="17"/>
          <w:szCs w:val="17"/>
        </w:rPr>
      </w:pPr>
    </w:p>
    <w:p>
      <w:pPr>
        <w:pStyle w:val="BodyText"/>
        <w:spacing w:line="240" w:lineRule="auto"/>
        <w:ind w:left="112" w:right="103"/>
        <w:jc w:val="left"/>
      </w:pPr>
      <w:bookmarkStart w:name="(b) 信用风险" w:id="47"/>
      <w:bookmarkEnd w:id="47"/>
      <w:r>
        <w:rPr/>
      </w:r>
      <w:r>
        <w:rPr>
          <w:rFonts w:ascii="Arial" w:hAnsi="Arial" w:cs="Arial" w:eastAsia="Arial" w:hint="default"/>
        </w:rPr>
        <w:t>(b)  </w:t>
      </w:r>
      <w:r>
        <w:rPr>
          <w:rFonts w:ascii="Arial" w:hAnsi="Arial" w:cs="Arial" w:eastAsia="Arial" w:hint="default"/>
          <w:spacing w:val="16"/>
        </w:rPr>
        <w:t> </w:t>
      </w:r>
      <w:r>
        <w:rPr/>
        <w:t>信用风险</w:t>
      </w:r>
    </w:p>
    <w:p>
      <w:pPr>
        <w:spacing w:line="240" w:lineRule="auto" w:before="1"/>
        <w:rPr>
          <w:rFonts w:ascii="宋体" w:hAnsi="宋体" w:cs="宋体" w:eastAsia="宋体" w:hint="default"/>
          <w:sz w:val="18"/>
          <w:szCs w:val="18"/>
        </w:rPr>
      </w:pPr>
    </w:p>
    <w:p>
      <w:pPr>
        <w:pStyle w:val="BodyText"/>
        <w:spacing w:line="237" w:lineRule="auto"/>
        <w:ind w:left="563" w:right="106"/>
        <w:jc w:val="both"/>
      </w:pPr>
      <w:r>
        <w:rPr>
          <w:spacing w:val="-4"/>
        </w:rPr>
        <w:t>信用风险，是指金融工具的一方不能履行义务，造成另一方发生财务损失的风险。本集团对信用风</w:t>
      </w:r>
      <w:r>
        <w:rPr>
          <w:spacing w:val="-70"/>
        </w:rPr>
        <w:t> </w:t>
      </w:r>
      <w:r>
        <w:rPr>
          <w:spacing w:val="-70"/>
        </w:rPr>
      </w:r>
      <w:r>
        <w:rPr>
          <w:spacing w:val="-4"/>
        </w:rPr>
        <w:t>险按组合分类进行管理。本集团的货币资金，以及提供给企业用户、个人用户、关联公司及其它电</w:t>
      </w:r>
      <w:r>
        <w:rPr>
          <w:spacing w:val="-65"/>
        </w:rPr>
        <w:t> </w:t>
      </w:r>
      <w:r>
        <w:rPr>
          <w:spacing w:val="-65"/>
        </w:rPr>
      </w:r>
      <w:r>
        <w:rPr/>
        <w:t>信运营商的信用额度均会产生信用风险。</w:t>
      </w:r>
    </w:p>
    <w:p>
      <w:pPr>
        <w:spacing w:line="240" w:lineRule="auto" w:before="1"/>
        <w:rPr>
          <w:rFonts w:ascii="宋体" w:hAnsi="宋体" w:cs="宋体" w:eastAsia="宋体" w:hint="default"/>
          <w:sz w:val="19"/>
          <w:szCs w:val="19"/>
        </w:rPr>
      </w:pPr>
    </w:p>
    <w:p>
      <w:pPr>
        <w:pStyle w:val="BodyText"/>
        <w:spacing w:line="240" w:lineRule="auto"/>
        <w:ind w:left="563" w:right="107"/>
        <w:jc w:val="both"/>
      </w:pPr>
      <w:r>
        <w:rPr/>
        <w:t>本集团除现金以外的货币资金主要存放于信用良好的国有及其他大型银行，管理层认为不存在重</w:t>
      </w:r>
      <w:r>
        <w:rPr>
          <w:spacing w:val="-37"/>
        </w:rPr>
        <w:t> </w:t>
      </w:r>
      <w:r>
        <w:rPr>
          <w:spacing w:val="-37"/>
        </w:rPr>
      </w:r>
      <w:r>
        <w:rPr/>
        <w:t>大的信用风险，预期不会因为对方违约而给本集团造成损失。</w:t>
      </w:r>
    </w:p>
    <w:p>
      <w:pPr>
        <w:spacing w:line="240" w:lineRule="auto" w:before="6"/>
        <w:rPr>
          <w:rFonts w:ascii="宋体" w:hAnsi="宋体" w:cs="宋体" w:eastAsia="宋体" w:hint="default"/>
          <w:sz w:val="19"/>
          <w:szCs w:val="19"/>
        </w:rPr>
      </w:pPr>
    </w:p>
    <w:p>
      <w:pPr>
        <w:pStyle w:val="BodyText"/>
        <w:spacing w:line="235" w:lineRule="auto"/>
        <w:ind w:left="563" w:right="107"/>
        <w:jc w:val="both"/>
      </w:pPr>
      <w:r>
        <w:rPr>
          <w:spacing w:val="-4"/>
        </w:rPr>
        <w:t>此外，本集团于政企客户及个人用户方面并无重大集中性的信用风险。本集团的信用风险敞口主要</w:t>
      </w:r>
      <w:r>
        <w:rPr>
          <w:spacing w:val="-65"/>
        </w:rPr>
        <w:t> </w:t>
      </w:r>
      <w:r>
        <w:rPr>
          <w:spacing w:val="-65"/>
        </w:rPr>
      </w:r>
      <w:r>
        <w:rPr/>
        <w:t>表现为应收服务款项以及应收合约用户通信终端款的公允价值。本集团设定相关政策以限制该信</w:t>
      </w:r>
      <w:r>
        <w:rPr>
          <w:spacing w:val="-37"/>
        </w:rPr>
        <w:t> </w:t>
      </w:r>
      <w:r>
        <w:rPr>
          <w:spacing w:val="-37"/>
        </w:rPr>
      </w:r>
      <w:r>
        <w:rPr>
          <w:spacing w:val="-4"/>
        </w:rPr>
        <w:t>用风险敞口。本集团基于对用户的财务状况、从第三方获取担保的可能性、信用记录及其他因素诸</w:t>
      </w:r>
      <w:r>
        <w:rPr>
          <w:spacing w:val="-70"/>
        </w:rPr>
        <w:t> </w:t>
      </w:r>
      <w:r>
        <w:rPr>
          <w:spacing w:val="-70"/>
        </w:rPr>
      </w:r>
      <w:r>
        <w:rPr/>
        <w:t>如目前市场状况等评估了信用资质并设置信用额度。本集团授予通信服务用户的信用期一般为自</w:t>
      </w:r>
      <w:r>
        <w:rPr>
          <w:spacing w:val="-37"/>
        </w:rPr>
        <w:t> </w:t>
      </w:r>
      <w:r>
        <w:rPr>
          <w:spacing w:val="-37"/>
        </w:rPr>
      </w:r>
      <w:r>
        <w:rPr/>
        <w:t>账单日起平均</w:t>
      </w:r>
      <w:r>
        <w:rPr>
          <w:spacing w:val="-57"/>
        </w:rPr>
        <w:t> </w:t>
      </w:r>
      <w:r>
        <w:rPr>
          <w:rFonts w:ascii="Arial" w:hAnsi="Arial" w:cs="Arial" w:eastAsia="Arial" w:hint="default"/>
        </w:rPr>
        <w:t>30</w:t>
      </w:r>
      <w:r>
        <w:rPr>
          <w:rFonts w:ascii="Arial" w:hAnsi="Arial" w:cs="Arial" w:eastAsia="Arial" w:hint="default"/>
          <w:spacing w:val="-6"/>
        </w:rPr>
        <w:t> </w:t>
      </w:r>
      <w:r>
        <w:rPr/>
        <w:t>天。本集团对政企大客户所授予的信用期基于服务合同约定条款，一般不超过</w:t>
      </w:r>
      <w:r>
        <w:rPr>
          <w:spacing w:val="-61"/>
        </w:rPr>
        <w:t> </w:t>
      </w:r>
      <w:r>
        <w:rPr>
          <w:rFonts w:ascii="Arial" w:hAnsi="Arial" w:cs="Arial" w:eastAsia="Arial" w:hint="default"/>
        </w:rPr>
        <w:t>1</w:t>
      </w:r>
      <w:r>
        <w:rPr>
          <w:rFonts w:ascii="Arial" w:hAnsi="Arial" w:cs="Arial" w:eastAsia="Arial" w:hint="default"/>
          <w:w w:val="100"/>
        </w:rPr>
        <w:t> </w:t>
      </w:r>
      <w:r>
        <w:rPr>
          <w:spacing w:val="-4"/>
        </w:rPr>
        <w:t>年。本集团定期对用户使用其信用额度的状况以及结算惯例进行监控。对于其他应收款项，本集团</w:t>
      </w:r>
      <w:r>
        <w:rPr>
          <w:spacing w:val="-71"/>
        </w:rPr>
        <w:t> </w:t>
      </w:r>
      <w:r>
        <w:rPr>
          <w:spacing w:val="-71"/>
        </w:rPr>
      </w:r>
      <w:r>
        <w:rPr/>
        <w:t>会对超过信用额度一定金额的对方单位单独进行信用评估，关注对方单位支付到期款项的历史记</w:t>
      </w:r>
      <w:r>
        <w:rPr>
          <w:spacing w:val="-37"/>
        </w:rPr>
        <w:t> </w:t>
      </w:r>
      <w:r>
        <w:rPr>
          <w:spacing w:val="-37"/>
        </w:rPr>
      </w:r>
      <w:r>
        <w:rPr/>
        <w:t>录、目前的支付能力及其他在对方单位经营的经济环境下需考虑的特定因素。</w:t>
      </w:r>
    </w:p>
    <w:p>
      <w:pPr>
        <w:spacing w:line="240" w:lineRule="auto" w:before="2"/>
        <w:rPr>
          <w:rFonts w:ascii="宋体" w:hAnsi="宋体" w:cs="宋体" w:eastAsia="宋体" w:hint="default"/>
          <w:sz w:val="19"/>
          <w:szCs w:val="19"/>
        </w:rPr>
      </w:pPr>
    </w:p>
    <w:p>
      <w:pPr>
        <w:pStyle w:val="BodyText"/>
        <w:spacing w:line="240" w:lineRule="auto"/>
        <w:ind w:left="563" w:right="107"/>
        <w:jc w:val="both"/>
      </w:pPr>
      <w:r>
        <w:rPr>
          <w:spacing w:val="-4"/>
        </w:rPr>
        <w:t>由于关联方及其它电信运营商具有良好的信誉，并且应收此等公司的款项均定期结算，相关的信用</w:t>
      </w:r>
      <w:r>
        <w:rPr>
          <w:spacing w:val="-65"/>
        </w:rPr>
        <w:t> </w:t>
      </w:r>
      <w:r>
        <w:rPr>
          <w:spacing w:val="-65"/>
        </w:rPr>
      </w:r>
      <w:r>
        <w:rPr/>
        <w:t>风险并不重大。</w:t>
      </w:r>
    </w:p>
    <w:p>
      <w:pPr>
        <w:spacing w:after="0" w:line="240" w:lineRule="auto"/>
        <w:jc w:val="both"/>
        <w:sectPr>
          <w:headerReference w:type="default" r:id="rId219"/>
          <w:pgSz w:w="11910" w:h="16840"/>
          <w:pgMar w:header="1183" w:footer="502" w:top="3620" w:bottom="700" w:left="1020" w:right="880"/>
        </w:sectPr>
      </w:pPr>
    </w:p>
    <w:p>
      <w:pPr>
        <w:spacing w:line="240" w:lineRule="auto" w:before="1"/>
        <w:rPr>
          <w:rFonts w:ascii="宋体" w:hAnsi="宋体" w:cs="宋体" w:eastAsia="宋体" w:hint="default"/>
          <w:sz w:val="16"/>
          <w:szCs w:val="16"/>
        </w:rPr>
      </w:pPr>
    </w:p>
    <w:p>
      <w:pPr>
        <w:pStyle w:val="BodyText"/>
        <w:tabs>
          <w:tab w:pos="578" w:val="left" w:leader="none"/>
        </w:tabs>
        <w:spacing w:line="240" w:lineRule="auto" w:before="32"/>
        <w:ind w:left="112" w:right="2012"/>
        <w:jc w:val="left"/>
      </w:pPr>
      <w:bookmarkStart w:name="1、 金融风险因素（续）" w:id="48"/>
      <w:bookmarkEnd w:id="48"/>
      <w:r>
        <w:rPr/>
      </w:r>
      <w:bookmarkStart w:name="(c) 流动性风险" w:id="49"/>
      <w:bookmarkEnd w:id="49"/>
      <w:r>
        <w:rPr/>
      </w:r>
      <w:r>
        <w:rPr>
          <w:rFonts w:ascii="Arial" w:hAnsi="Arial" w:cs="Arial" w:eastAsia="Arial" w:hint="default"/>
          <w:spacing w:val="-1"/>
        </w:rPr>
        <w:t>(c)</w:t>
        <w:tab/>
      </w:r>
      <w:r>
        <w:rPr/>
        <w:t>流动性风险</w:t>
      </w:r>
    </w:p>
    <w:p>
      <w:pPr>
        <w:spacing w:line="240" w:lineRule="auto" w:before="1"/>
        <w:rPr>
          <w:rFonts w:ascii="宋体" w:hAnsi="宋体" w:cs="宋体" w:eastAsia="宋体" w:hint="default"/>
          <w:sz w:val="18"/>
          <w:szCs w:val="18"/>
        </w:rPr>
      </w:pPr>
    </w:p>
    <w:p>
      <w:pPr>
        <w:pStyle w:val="BodyText"/>
        <w:spacing w:line="237" w:lineRule="auto"/>
        <w:ind w:left="578" w:right="105"/>
        <w:jc w:val="both"/>
      </w:pPr>
      <w:r>
        <w:rPr/>
        <w:t>谨慎的流动性风险管理指通过不同资金渠道来维持充足的现金和资金获取能力，包括借入银行借</w:t>
      </w:r>
      <w:r>
        <w:rPr>
          <w:spacing w:val="-53"/>
        </w:rPr>
        <w:t> </w:t>
      </w:r>
      <w:r>
        <w:rPr>
          <w:spacing w:val="-53"/>
        </w:rPr>
      </w:r>
      <w:r>
        <w:rPr/>
        <w:t>款及发行债券。由于业务本身的多变性，本集团资金管理中心通过维持充足的现金及现金等价物</w:t>
      </w:r>
      <w:r>
        <w:rPr>
          <w:spacing w:val="-53"/>
        </w:rPr>
        <w:t> </w:t>
      </w:r>
      <w:r>
        <w:rPr>
          <w:spacing w:val="-53"/>
        </w:rPr>
      </w:r>
      <w:r>
        <w:rPr/>
        <w:t>和通过保持不同的融资渠道来保持营运资金的灵活性。本集团以持续经营基准编制其财务报表，</w:t>
      </w:r>
      <w:r>
        <w:rPr>
          <w:spacing w:val="-53"/>
        </w:rPr>
        <w:t> </w:t>
      </w:r>
      <w:r>
        <w:rPr>
          <w:spacing w:val="-53"/>
        </w:rPr>
      </w:r>
      <w:r>
        <w:rPr/>
        <w:t>请详见附注二</w:t>
      </w:r>
      <w:r>
        <w:rPr>
          <w:rFonts w:ascii="Arial" w:hAnsi="Arial" w:cs="Arial" w:eastAsia="Arial" w:hint="default"/>
        </w:rPr>
        <w:t>(2)</w:t>
      </w:r>
      <w:r>
        <w:rPr/>
        <w:t>说明。</w:t>
      </w:r>
    </w:p>
    <w:p>
      <w:pPr>
        <w:spacing w:line="240" w:lineRule="auto" w:before="12"/>
        <w:rPr>
          <w:rFonts w:ascii="宋体" w:hAnsi="宋体" w:cs="宋体" w:eastAsia="宋体" w:hint="default"/>
          <w:sz w:val="17"/>
          <w:szCs w:val="17"/>
        </w:rPr>
      </w:pPr>
    </w:p>
    <w:p>
      <w:pPr>
        <w:pStyle w:val="BodyText"/>
        <w:spacing w:line="240" w:lineRule="auto"/>
        <w:ind w:left="578" w:right="0"/>
        <w:jc w:val="both"/>
      </w:pPr>
      <w:r>
        <w:rPr/>
        <w:t>本集团于资产负债日的金融负债（含利息费用）以未折现金额按合约规定的到期日列示如下：</w:t>
      </w:r>
    </w:p>
    <w:p>
      <w:pPr>
        <w:spacing w:line="240" w:lineRule="auto" w:before="3"/>
        <w:rPr>
          <w:rFonts w:ascii="宋体" w:hAnsi="宋体" w:cs="宋体" w:eastAsia="宋体" w:hint="default"/>
          <w:sz w:val="24"/>
          <w:szCs w:val="24"/>
        </w:rPr>
      </w:pPr>
    </w:p>
    <w:tbl>
      <w:tblPr>
        <w:tblW w:w="0" w:type="auto"/>
        <w:jc w:val="left"/>
        <w:tblInd w:w="292" w:type="dxa"/>
        <w:tblLayout w:type="fixed"/>
        <w:tblCellMar>
          <w:top w:w="0" w:type="dxa"/>
          <w:left w:w="0" w:type="dxa"/>
          <w:bottom w:w="0" w:type="dxa"/>
          <w:right w:w="0" w:type="dxa"/>
        </w:tblCellMar>
        <w:tblLook w:val="01E0"/>
      </w:tblPr>
      <w:tblGrid>
        <w:gridCol w:w="2926"/>
        <w:gridCol w:w="1133"/>
        <w:gridCol w:w="238"/>
        <w:gridCol w:w="1087"/>
        <w:gridCol w:w="238"/>
        <w:gridCol w:w="1049"/>
        <w:gridCol w:w="238"/>
        <w:gridCol w:w="1025"/>
        <w:gridCol w:w="233"/>
        <w:gridCol w:w="1260"/>
      </w:tblGrid>
      <w:tr>
        <w:trPr>
          <w:trHeight w:val="264" w:hRule="exact"/>
        </w:trPr>
        <w:tc>
          <w:tcPr>
            <w:tcW w:w="9426" w:type="dxa"/>
            <w:gridSpan w:val="10"/>
            <w:tcBorders>
              <w:top w:val="nil" w:sz="6" w:space="0" w:color="auto"/>
              <w:left w:val="nil" w:sz="6" w:space="0" w:color="auto"/>
              <w:bottom w:val="nil" w:sz="6" w:space="0" w:color="auto"/>
              <w:right w:val="nil" w:sz="6" w:space="0" w:color="auto"/>
            </w:tcBorders>
          </w:tcPr>
          <w:p>
            <w:pPr>
              <w:pStyle w:val="TableParagraph"/>
              <w:spacing w:line="236" w:lineRule="exact"/>
              <w:ind w:left="5384" w:right="0"/>
              <w:jc w:val="left"/>
              <w:rPr>
                <w:rFonts w:ascii="宋体" w:hAnsi="宋体" w:cs="宋体" w:eastAsia="宋体" w:hint="default"/>
                <w:sz w:val="22"/>
                <w:szCs w:val="22"/>
              </w:rPr>
            </w:pPr>
            <w:r>
              <w:rPr>
                <w:rFonts w:ascii="Arial" w:hAnsi="Arial" w:cs="Arial" w:eastAsia="Arial" w:hint="default"/>
                <w:sz w:val="22"/>
                <w:szCs w:val="22"/>
              </w:rPr>
              <w:t>2019</w:t>
            </w:r>
            <w:r>
              <w:rPr>
                <w:rFonts w:ascii="宋体" w:hAnsi="宋体" w:cs="宋体" w:eastAsia="宋体" w:hint="default"/>
                <w:sz w:val="22"/>
                <w:szCs w:val="22"/>
              </w:rPr>
              <w:t>年</w:t>
            </w:r>
            <w:r>
              <w:rPr>
                <w:rFonts w:ascii="Arial" w:hAnsi="Arial" w:cs="Arial" w:eastAsia="Arial" w:hint="default"/>
                <w:sz w:val="22"/>
                <w:szCs w:val="22"/>
              </w:rPr>
              <w:t>12</w:t>
            </w:r>
            <w:r>
              <w:rPr>
                <w:rFonts w:ascii="宋体" w:hAnsi="宋体" w:cs="宋体" w:eastAsia="宋体" w:hint="default"/>
                <w:sz w:val="22"/>
                <w:szCs w:val="22"/>
              </w:rPr>
              <w:t>月</w:t>
            </w:r>
            <w:r>
              <w:rPr>
                <w:rFonts w:ascii="Arial" w:hAnsi="Arial" w:cs="Arial" w:eastAsia="Arial" w:hint="default"/>
                <w:sz w:val="22"/>
                <w:szCs w:val="22"/>
              </w:rPr>
              <w:t>31</w:t>
            </w:r>
            <w:r>
              <w:rPr>
                <w:rFonts w:ascii="宋体" w:hAnsi="宋体" w:cs="宋体" w:eastAsia="宋体" w:hint="default"/>
                <w:sz w:val="22"/>
                <w:szCs w:val="22"/>
              </w:rPr>
              <w:t>日</w:t>
            </w:r>
          </w:p>
        </w:tc>
      </w:tr>
      <w:tr>
        <w:trPr>
          <w:trHeight w:val="298" w:hRule="exact"/>
        </w:trPr>
        <w:tc>
          <w:tcPr>
            <w:tcW w:w="2926" w:type="dxa"/>
            <w:tcBorders>
              <w:top w:val="nil" w:sz="6" w:space="0" w:color="auto"/>
              <w:left w:val="nil" w:sz="6" w:space="0" w:color="auto"/>
              <w:bottom w:val="nil" w:sz="6" w:space="0" w:color="auto"/>
              <w:right w:val="nil" w:sz="6" w:space="0" w:color="auto"/>
            </w:tcBorders>
          </w:tcPr>
          <w:p>
            <w:pPr>
              <w:pStyle w:val="TableParagraph"/>
              <w:spacing w:line="259" w:lineRule="exact"/>
              <w:ind w:left="200" w:right="0"/>
              <w:jc w:val="left"/>
              <w:rPr>
                <w:rFonts w:ascii="宋体" w:hAnsi="宋体" w:cs="宋体" w:eastAsia="宋体" w:hint="default"/>
                <w:sz w:val="22"/>
                <w:szCs w:val="22"/>
              </w:rPr>
            </w:pPr>
            <w:r>
              <w:rPr>
                <w:rFonts w:ascii="宋体" w:hAnsi="宋体" w:cs="宋体" w:eastAsia="宋体" w:hint="default"/>
                <w:sz w:val="22"/>
                <w:szCs w:val="22"/>
              </w:rPr>
              <w:t>（单位：人民币百万元）</w:t>
            </w:r>
          </w:p>
        </w:tc>
        <w:tc>
          <w:tcPr>
            <w:tcW w:w="1133" w:type="dxa"/>
            <w:tcBorders>
              <w:top w:val="single" w:sz="6" w:space="0" w:color="000000"/>
              <w:left w:val="nil" w:sz="6" w:space="0" w:color="auto"/>
              <w:bottom w:val="single" w:sz="6" w:space="0" w:color="000000"/>
              <w:right w:val="nil" w:sz="6" w:space="0" w:color="auto"/>
            </w:tcBorders>
          </w:tcPr>
          <w:p>
            <w:pPr>
              <w:pStyle w:val="TableParagraph"/>
              <w:spacing w:line="267" w:lineRule="exact"/>
              <w:ind w:left="244" w:right="0"/>
              <w:jc w:val="left"/>
              <w:rPr>
                <w:rFonts w:ascii="宋体" w:hAnsi="宋体" w:cs="宋体" w:eastAsia="宋体" w:hint="default"/>
                <w:sz w:val="22"/>
                <w:szCs w:val="22"/>
              </w:rPr>
            </w:pPr>
            <w:r>
              <w:rPr>
                <w:rFonts w:ascii="Arial" w:hAnsi="Arial" w:cs="Arial" w:eastAsia="Arial" w:hint="default"/>
                <w:sz w:val="22"/>
                <w:szCs w:val="22"/>
              </w:rPr>
              <w:t>1</w:t>
            </w:r>
            <w:r>
              <w:rPr>
                <w:rFonts w:ascii="宋体" w:hAnsi="宋体" w:cs="宋体" w:eastAsia="宋体" w:hint="default"/>
                <w:sz w:val="22"/>
                <w:szCs w:val="22"/>
              </w:rPr>
              <w:t>年以内</w:t>
            </w:r>
          </w:p>
        </w:tc>
        <w:tc>
          <w:tcPr>
            <w:tcW w:w="238" w:type="dxa"/>
            <w:tcBorders>
              <w:top w:val="single" w:sz="6" w:space="0" w:color="000000"/>
              <w:left w:val="nil" w:sz="6" w:space="0" w:color="auto"/>
              <w:bottom w:val="nil" w:sz="6" w:space="0" w:color="auto"/>
              <w:right w:val="nil" w:sz="6" w:space="0" w:color="auto"/>
            </w:tcBorders>
          </w:tcPr>
          <w:p>
            <w:pPr/>
          </w:p>
        </w:tc>
        <w:tc>
          <w:tcPr>
            <w:tcW w:w="1087" w:type="dxa"/>
            <w:tcBorders>
              <w:top w:val="single" w:sz="6" w:space="0" w:color="000000"/>
              <w:left w:val="nil" w:sz="6" w:space="0" w:color="auto"/>
              <w:bottom w:val="single" w:sz="6" w:space="0" w:color="000000"/>
              <w:right w:val="nil" w:sz="6" w:space="0" w:color="auto"/>
            </w:tcBorders>
          </w:tcPr>
          <w:p>
            <w:pPr>
              <w:pStyle w:val="TableParagraph"/>
              <w:spacing w:line="267" w:lineRule="exact"/>
              <w:ind w:left="295" w:right="0"/>
              <w:jc w:val="left"/>
              <w:rPr>
                <w:rFonts w:ascii="宋体" w:hAnsi="宋体" w:cs="宋体" w:eastAsia="宋体" w:hint="default"/>
                <w:sz w:val="22"/>
                <w:szCs w:val="22"/>
              </w:rPr>
            </w:pPr>
            <w:r>
              <w:rPr>
                <w:rFonts w:ascii="Arial" w:hAnsi="Arial" w:cs="Arial" w:eastAsia="Arial" w:hint="default"/>
                <w:sz w:val="22"/>
                <w:szCs w:val="22"/>
              </w:rPr>
              <w:t>1</w:t>
            </w:r>
            <w:r>
              <w:rPr>
                <w:rFonts w:ascii="宋体" w:hAnsi="宋体" w:cs="宋体" w:eastAsia="宋体" w:hint="default"/>
                <w:sz w:val="22"/>
                <w:szCs w:val="22"/>
              </w:rPr>
              <w:t>至</w:t>
            </w:r>
            <w:r>
              <w:rPr>
                <w:rFonts w:ascii="Arial" w:hAnsi="Arial" w:cs="Arial" w:eastAsia="Arial" w:hint="default"/>
                <w:sz w:val="22"/>
                <w:szCs w:val="22"/>
              </w:rPr>
              <w:t>2</w:t>
            </w:r>
            <w:r>
              <w:rPr>
                <w:rFonts w:ascii="宋体" w:hAnsi="宋体" w:cs="宋体" w:eastAsia="宋体" w:hint="default"/>
                <w:sz w:val="22"/>
                <w:szCs w:val="22"/>
              </w:rPr>
              <w:t>年</w:t>
            </w:r>
          </w:p>
        </w:tc>
        <w:tc>
          <w:tcPr>
            <w:tcW w:w="238" w:type="dxa"/>
            <w:tcBorders>
              <w:top w:val="single" w:sz="6" w:space="0" w:color="000000"/>
              <w:left w:val="nil" w:sz="6" w:space="0" w:color="auto"/>
              <w:bottom w:val="nil" w:sz="6" w:space="0" w:color="auto"/>
              <w:right w:val="nil" w:sz="6" w:space="0" w:color="auto"/>
            </w:tcBorders>
          </w:tcPr>
          <w:p>
            <w:pPr/>
          </w:p>
        </w:tc>
        <w:tc>
          <w:tcPr>
            <w:tcW w:w="1049" w:type="dxa"/>
            <w:tcBorders>
              <w:top w:val="single" w:sz="6" w:space="0" w:color="000000"/>
              <w:left w:val="nil" w:sz="6" w:space="0" w:color="auto"/>
              <w:bottom w:val="single" w:sz="6" w:space="0" w:color="000000"/>
              <w:right w:val="nil" w:sz="6" w:space="0" w:color="auto"/>
            </w:tcBorders>
          </w:tcPr>
          <w:p>
            <w:pPr>
              <w:pStyle w:val="TableParagraph"/>
              <w:spacing w:line="267" w:lineRule="exact"/>
              <w:ind w:left="251" w:right="0"/>
              <w:jc w:val="left"/>
              <w:rPr>
                <w:rFonts w:ascii="宋体" w:hAnsi="宋体" w:cs="宋体" w:eastAsia="宋体" w:hint="default"/>
                <w:sz w:val="22"/>
                <w:szCs w:val="22"/>
              </w:rPr>
            </w:pPr>
            <w:r>
              <w:rPr>
                <w:rFonts w:ascii="Arial" w:hAnsi="Arial" w:cs="Arial" w:eastAsia="Arial" w:hint="default"/>
                <w:sz w:val="22"/>
                <w:szCs w:val="22"/>
              </w:rPr>
              <w:t>2</w:t>
            </w:r>
            <w:r>
              <w:rPr>
                <w:rFonts w:ascii="宋体" w:hAnsi="宋体" w:cs="宋体" w:eastAsia="宋体" w:hint="default"/>
                <w:sz w:val="22"/>
                <w:szCs w:val="22"/>
              </w:rPr>
              <w:t>至</w:t>
            </w:r>
            <w:r>
              <w:rPr>
                <w:rFonts w:ascii="Arial" w:hAnsi="Arial" w:cs="Arial" w:eastAsia="Arial" w:hint="default"/>
                <w:sz w:val="22"/>
                <w:szCs w:val="22"/>
              </w:rPr>
              <w:t>5</w:t>
            </w:r>
            <w:r>
              <w:rPr>
                <w:rFonts w:ascii="宋体" w:hAnsi="宋体" w:cs="宋体" w:eastAsia="宋体" w:hint="default"/>
                <w:sz w:val="22"/>
                <w:szCs w:val="22"/>
              </w:rPr>
              <w:t>年</w:t>
            </w:r>
          </w:p>
        </w:tc>
        <w:tc>
          <w:tcPr>
            <w:tcW w:w="238" w:type="dxa"/>
            <w:tcBorders>
              <w:top w:val="single" w:sz="6" w:space="0" w:color="000000"/>
              <w:left w:val="nil" w:sz="6" w:space="0" w:color="auto"/>
              <w:bottom w:val="nil" w:sz="6" w:space="0" w:color="auto"/>
              <w:right w:val="nil" w:sz="6" w:space="0" w:color="auto"/>
            </w:tcBorders>
          </w:tcPr>
          <w:p>
            <w:pPr/>
          </w:p>
        </w:tc>
        <w:tc>
          <w:tcPr>
            <w:tcW w:w="1025" w:type="dxa"/>
            <w:tcBorders>
              <w:top w:val="single" w:sz="6" w:space="0" w:color="000000"/>
              <w:left w:val="nil" w:sz="6" w:space="0" w:color="auto"/>
              <w:bottom w:val="single" w:sz="6" w:space="0" w:color="000000"/>
              <w:right w:val="nil" w:sz="6" w:space="0" w:color="auto"/>
            </w:tcBorders>
          </w:tcPr>
          <w:p>
            <w:pPr>
              <w:pStyle w:val="TableParagraph"/>
              <w:spacing w:line="267" w:lineRule="exact"/>
              <w:ind w:left="180" w:right="0"/>
              <w:jc w:val="left"/>
              <w:rPr>
                <w:rFonts w:ascii="宋体" w:hAnsi="宋体" w:cs="宋体" w:eastAsia="宋体" w:hint="default"/>
                <w:sz w:val="22"/>
                <w:szCs w:val="22"/>
              </w:rPr>
            </w:pPr>
            <w:r>
              <w:rPr>
                <w:rFonts w:ascii="Arial" w:hAnsi="Arial" w:cs="Arial" w:eastAsia="Arial" w:hint="default"/>
                <w:sz w:val="22"/>
                <w:szCs w:val="22"/>
              </w:rPr>
              <w:t>5</w:t>
            </w:r>
            <w:r>
              <w:rPr>
                <w:rFonts w:ascii="宋体" w:hAnsi="宋体" w:cs="宋体" w:eastAsia="宋体" w:hint="default"/>
                <w:sz w:val="22"/>
                <w:szCs w:val="22"/>
              </w:rPr>
              <w:t>年以上</w:t>
            </w:r>
          </w:p>
        </w:tc>
        <w:tc>
          <w:tcPr>
            <w:tcW w:w="233" w:type="dxa"/>
            <w:tcBorders>
              <w:top w:val="single" w:sz="6" w:space="0" w:color="000000"/>
              <w:left w:val="nil" w:sz="6" w:space="0" w:color="auto"/>
              <w:bottom w:val="nil" w:sz="6" w:space="0" w:color="auto"/>
              <w:right w:val="nil" w:sz="6" w:space="0" w:color="auto"/>
            </w:tcBorders>
          </w:tcPr>
          <w:p>
            <w:pPr/>
          </w:p>
        </w:tc>
        <w:tc>
          <w:tcPr>
            <w:tcW w:w="1260" w:type="dxa"/>
            <w:tcBorders>
              <w:top w:val="single" w:sz="6" w:space="0" w:color="000000"/>
              <w:left w:val="nil" w:sz="6" w:space="0" w:color="auto"/>
              <w:bottom w:val="single" w:sz="6" w:space="0" w:color="000000"/>
              <w:right w:val="nil" w:sz="6" w:space="0" w:color="auto"/>
            </w:tcBorders>
          </w:tcPr>
          <w:p>
            <w:pPr>
              <w:pStyle w:val="TableParagraph"/>
              <w:spacing w:line="252" w:lineRule="exact"/>
              <w:ind w:right="98"/>
              <w:jc w:val="right"/>
              <w:rPr>
                <w:rFonts w:ascii="宋体" w:hAnsi="宋体" w:cs="宋体" w:eastAsia="宋体" w:hint="default"/>
                <w:sz w:val="22"/>
                <w:szCs w:val="22"/>
              </w:rPr>
            </w:pPr>
            <w:r>
              <w:rPr>
                <w:rFonts w:ascii="宋体" w:hAnsi="宋体" w:cs="宋体" w:eastAsia="宋体" w:hint="default"/>
                <w:sz w:val="22"/>
                <w:szCs w:val="22"/>
              </w:rPr>
              <w:t>合计</w:t>
            </w:r>
          </w:p>
        </w:tc>
      </w:tr>
      <w:tr>
        <w:trPr>
          <w:trHeight w:val="562" w:hRule="exact"/>
        </w:trPr>
        <w:tc>
          <w:tcPr>
            <w:tcW w:w="292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315" w:right="0"/>
              <w:jc w:val="left"/>
              <w:rPr>
                <w:rFonts w:ascii="宋体" w:hAnsi="宋体" w:cs="宋体" w:eastAsia="宋体" w:hint="default"/>
                <w:sz w:val="22"/>
                <w:szCs w:val="22"/>
              </w:rPr>
            </w:pPr>
            <w:r>
              <w:rPr>
                <w:rFonts w:ascii="宋体" w:hAnsi="宋体" w:cs="宋体" w:eastAsia="宋体" w:hint="default"/>
                <w:sz w:val="22"/>
                <w:szCs w:val="22"/>
              </w:rPr>
              <w:t>长期借款</w:t>
            </w:r>
          </w:p>
        </w:tc>
        <w:tc>
          <w:tcPr>
            <w:tcW w:w="1133"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Arial" w:hAnsi="Arial" w:cs="Arial" w:eastAsia="Arial" w:hint="default"/>
                <w:sz w:val="22"/>
                <w:szCs w:val="22"/>
              </w:rPr>
            </w:pPr>
            <w:r>
              <w:rPr>
                <w:rFonts w:ascii="Arial"/>
                <w:spacing w:val="-2"/>
                <w:sz w:val="22"/>
              </w:rPr>
              <w:t>448</w:t>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1087"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616" w:right="0"/>
              <w:jc w:val="left"/>
              <w:rPr>
                <w:rFonts w:ascii="Arial" w:hAnsi="Arial" w:cs="Arial" w:eastAsia="Arial" w:hint="default"/>
                <w:sz w:val="22"/>
                <w:szCs w:val="22"/>
              </w:rPr>
            </w:pPr>
            <w:r>
              <w:rPr>
                <w:rFonts w:ascii="Arial"/>
                <w:sz w:val="22"/>
              </w:rPr>
              <w:t>434</w:t>
            </w:r>
          </w:p>
        </w:tc>
        <w:tc>
          <w:tcPr>
            <w:tcW w:w="238" w:type="dxa"/>
            <w:tcBorders>
              <w:top w:val="nil" w:sz="6" w:space="0" w:color="auto"/>
              <w:left w:val="nil" w:sz="6" w:space="0" w:color="auto"/>
              <w:bottom w:val="nil" w:sz="6" w:space="0" w:color="auto"/>
              <w:right w:val="nil" w:sz="6" w:space="0" w:color="auto"/>
            </w:tcBorders>
          </w:tcPr>
          <w:p>
            <w:pPr/>
          </w:p>
        </w:tc>
        <w:tc>
          <w:tcPr>
            <w:tcW w:w="1049"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386" w:right="0"/>
              <w:jc w:val="left"/>
              <w:rPr>
                <w:rFonts w:ascii="Arial" w:hAnsi="Arial" w:cs="Arial" w:eastAsia="Arial" w:hint="default"/>
                <w:sz w:val="22"/>
                <w:szCs w:val="22"/>
              </w:rPr>
            </w:pPr>
            <w:r>
              <w:rPr>
                <w:rFonts w:ascii="Arial"/>
                <w:sz w:val="22"/>
              </w:rPr>
              <w:t>1,344</w:t>
            </w:r>
          </w:p>
        </w:tc>
        <w:tc>
          <w:tcPr>
            <w:tcW w:w="238" w:type="dxa"/>
            <w:tcBorders>
              <w:top w:val="nil" w:sz="6" w:space="0" w:color="auto"/>
              <w:left w:val="nil" w:sz="6" w:space="0" w:color="auto"/>
              <w:bottom w:val="nil" w:sz="6" w:space="0" w:color="auto"/>
              <w:right w:val="nil" w:sz="6" w:space="0" w:color="auto"/>
            </w:tcBorders>
          </w:tcPr>
          <w:p>
            <w:pPr/>
          </w:p>
        </w:tc>
        <w:tc>
          <w:tcPr>
            <w:tcW w:w="1025"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362" w:right="0"/>
              <w:jc w:val="left"/>
              <w:rPr>
                <w:rFonts w:ascii="Arial" w:hAnsi="Arial" w:cs="Arial" w:eastAsia="Arial" w:hint="default"/>
                <w:sz w:val="22"/>
                <w:szCs w:val="22"/>
              </w:rPr>
            </w:pPr>
            <w:r>
              <w:rPr>
                <w:rFonts w:ascii="Arial"/>
                <w:sz w:val="22"/>
              </w:rPr>
              <w:t>1,710</w:t>
            </w:r>
          </w:p>
        </w:tc>
        <w:tc>
          <w:tcPr>
            <w:tcW w:w="233" w:type="dxa"/>
            <w:tcBorders>
              <w:top w:val="nil" w:sz="6" w:space="0" w:color="auto"/>
              <w:left w:val="nil" w:sz="6" w:space="0" w:color="auto"/>
              <w:bottom w:val="nil" w:sz="6" w:space="0" w:color="auto"/>
              <w:right w:val="nil" w:sz="6" w:space="0" w:color="auto"/>
            </w:tcBorders>
          </w:tcPr>
          <w:p>
            <w:pPr/>
          </w:p>
        </w:tc>
        <w:tc>
          <w:tcPr>
            <w:tcW w:w="1260"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Arial" w:hAnsi="Arial" w:cs="Arial" w:eastAsia="Arial" w:hint="default"/>
                <w:sz w:val="22"/>
                <w:szCs w:val="22"/>
              </w:rPr>
            </w:pPr>
            <w:r>
              <w:rPr>
                <w:rFonts w:ascii="Arial"/>
                <w:sz w:val="22"/>
              </w:rPr>
              <w:t>3,936</w:t>
            </w:r>
          </w:p>
        </w:tc>
      </w:tr>
      <w:tr>
        <w:trPr>
          <w:trHeight w:val="283" w:hRule="exact"/>
        </w:trPr>
        <w:tc>
          <w:tcPr>
            <w:tcW w:w="2926" w:type="dxa"/>
            <w:tcBorders>
              <w:top w:val="nil" w:sz="6" w:space="0" w:color="auto"/>
              <w:left w:val="nil" w:sz="6" w:space="0" w:color="auto"/>
              <w:bottom w:val="nil" w:sz="6" w:space="0" w:color="auto"/>
              <w:right w:val="nil" w:sz="6" w:space="0" w:color="auto"/>
            </w:tcBorders>
          </w:tcPr>
          <w:p>
            <w:pPr>
              <w:pStyle w:val="TableParagraph"/>
              <w:spacing w:line="239" w:lineRule="exact"/>
              <w:ind w:left="315" w:right="0"/>
              <w:jc w:val="left"/>
              <w:rPr>
                <w:rFonts w:ascii="宋体" w:hAnsi="宋体" w:cs="宋体" w:eastAsia="宋体" w:hint="default"/>
                <w:sz w:val="22"/>
                <w:szCs w:val="22"/>
              </w:rPr>
            </w:pPr>
            <w:r>
              <w:rPr>
                <w:rFonts w:ascii="宋体" w:hAnsi="宋体" w:cs="宋体" w:eastAsia="宋体" w:hint="default"/>
                <w:sz w:val="22"/>
                <w:szCs w:val="22"/>
              </w:rPr>
              <w:t>长期应付款</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98"/>
              <w:jc w:val="right"/>
              <w:rPr>
                <w:rFonts w:ascii="Arial" w:hAnsi="Arial" w:cs="Arial" w:eastAsia="Arial" w:hint="default"/>
                <w:sz w:val="22"/>
                <w:szCs w:val="22"/>
              </w:rPr>
            </w:pPr>
            <w:r>
              <w:rPr>
                <w:rFonts w:ascii="Arial"/>
                <w:sz w:val="22"/>
              </w:rPr>
              <w:t>12</w:t>
            </w:r>
          </w:p>
        </w:tc>
        <w:tc>
          <w:tcPr>
            <w:tcW w:w="238"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98"/>
              <w:jc w:val="right"/>
              <w:rPr>
                <w:rFonts w:ascii="Arial" w:hAnsi="Arial" w:cs="Arial" w:eastAsia="Arial" w:hint="default"/>
                <w:sz w:val="22"/>
                <w:szCs w:val="22"/>
              </w:rPr>
            </w:pPr>
            <w:r>
              <w:rPr>
                <w:rFonts w:ascii="Arial"/>
                <w:sz w:val="22"/>
              </w:rPr>
              <w:t>41</w:t>
            </w:r>
          </w:p>
        </w:tc>
        <w:tc>
          <w:tcPr>
            <w:tcW w:w="238" w:type="dxa"/>
            <w:tcBorders>
              <w:top w:val="nil" w:sz="6" w:space="0" w:color="auto"/>
              <w:left w:val="nil" w:sz="6" w:space="0" w:color="auto"/>
              <w:bottom w:val="nil" w:sz="6" w:space="0" w:color="auto"/>
              <w:right w:val="nil" w:sz="6" w:space="0" w:color="auto"/>
            </w:tcBorders>
          </w:tcPr>
          <w:p>
            <w:pP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693" w:right="0"/>
              <w:jc w:val="left"/>
              <w:rPr>
                <w:rFonts w:ascii="Arial" w:hAnsi="Arial" w:cs="Arial" w:eastAsia="Arial" w:hint="default"/>
                <w:sz w:val="22"/>
                <w:szCs w:val="22"/>
              </w:rPr>
            </w:pPr>
            <w:r>
              <w:rPr>
                <w:rFonts w:ascii="Arial"/>
                <w:sz w:val="22"/>
              </w:rPr>
              <w:t>16</w:t>
            </w:r>
          </w:p>
        </w:tc>
        <w:tc>
          <w:tcPr>
            <w:tcW w:w="238" w:type="dxa"/>
            <w:tcBorders>
              <w:top w:val="nil" w:sz="6" w:space="0" w:color="auto"/>
              <w:left w:val="nil" w:sz="6" w:space="0" w:color="auto"/>
              <w:bottom w:val="nil" w:sz="6" w:space="0" w:color="auto"/>
              <w:right w:val="nil" w:sz="6" w:space="0" w:color="auto"/>
            </w:tcBorders>
          </w:tcPr>
          <w:p>
            <w:pP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0"/>
              <w:jc w:val="right"/>
              <w:rPr>
                <w:rFonts w:ascii="Arial" w:hAnsi="Arial" w:cs="Arial" w:eastAsia="Arial" w:hint="default"/>
                <w:sz w:val="22"/>
                <w:szCs w:val="22"/>
              </w:rPr>
            </w:pPr>
            <w:r>
              <w:rPr>
                <w:rFonts w:ascii="Arial"/>
                <w:w w:val="100"/>
                <w:sz w:val="22"/>
              </w:rPr>
              <w:t>2</w:t>
            </w:r>
          </w:p>
        </w:tc>
        <w:tc>
          <w:tcPr>
            <w:tcW w:w="233"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98"/>
              <w:jc w:val="right"/>
              <w:rPr>
                <w:rFonts w:ascii="Arial" w:hAnsi="Arial" w:cs="Arial" w:eastAsia="Arial" w:hint="default"/>
                <w:sz w:val="22"/>
                <w:szCs w:val="22"/>
              </w:rPr>
            </w:pPr>
            <w:r>
              <w:rPr>
                <w:rFonts w:ascii="Arial"/>
                <w:sz w:val="22"/>
              </w:rPr>
              <w:t>71</w:t>
            </w:r>
          </w:p>
        </w:tc>
      </w:tr>
      <w:tr>
        <w:trPr>
          <w:trHeight w:val="283" w:hRule="exact"/>
        </w:trPr>
        <w:tc>
          <w:tcPr>
            <w:tcW w:w="2926" w:type="dxa"/>
            <w:tcBorders>
              <w:top w:val="nil" w:sz="6" w:space="0" w:color="auto"/>
              <w:left w:val="nil" w:sz="6" w:space="0" w:color="auto"/>
              <w:bottom w:val="nil" w:sz="6" w:space="0" w:color="auto"/>
              <w:right w:val="nil" w:sz="6" w:space="0" w:color="auto"/>
            </w:tcBorders>
          </w:tcPr>
          <w:p>
            <w:pPr>
              <w:pStyle w:val="TableParagraph"/>
              <w:spacing w:line="239" w:lineRule="exact"/>
              <w:ind w:left="315" w:right="0"/>
              <w:jc w:val="left"/>
              <w:rPr>
                <w:rFonts w:ascii="宋体" w:hAnsi="宋体" w:cs="宋体" w:eastAsia="宋体" w:hint="default"/>
                <w:sz w:val="22"/>
                <w:szCs w:val="22"/>
              </w:rPr>
            </w:pPr>
            <w:r>
              <w:rPr>
                <w:rFonts w:ascii="宋体" w:hAnsi="宋体" w:cs="宋体" w:eastAsia="宋体" w:hint="default"/>
                <w:sz w:val="22"/>
                <w:szCs w:val="22"/>
              </w:rPr>
              <w:t>长期应付职工薪酬</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0"/>
              <w:jc w:val="right"/>
              <w:rPr>
                <w:rFonts w:ascii="Arial" w:hAnsi="Arial" w:cs="Arial" w:eastAsia="Arial" w:hint="default"/>
                <w:sz w:val="22"/>
                <w:szCs w:val="22"/>
              </w:rPr>
            </w:pPr>
            <w:r>
              <w:rPr>
                <w:rFonts w:ascii="Arial"/>
                <w:w w:val="100"/>
                <w:sz w:val="22"/>
              </w:rPr>
              <w:t>5</w:t>
            </w:r>
          </w:p>
        </w:tc>
        <w:tc>
          <w:tcPr>
            <w:tcW w:w="238"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0"/>
              <w:jc w:val="right"/>
              <w:rPr>
                <w:rFonts w:ascii="Arial" w:hAnsi="Arial" w:cs="Arial" w:eastAsia="Arial" w:hint="default"/>
                <w:sz w:val="22"/>
                <w:szCs w:val="22"/>
              </w:rPr>
            </w:pPr>
            <w:r>
              <w:rPr>
                <w:rFonts w:ascii="Arial"/>
                <w:w w:val="100"/>
                <w:sz w:val="22"/>
              </w:rPr>
              <w:t>5</w:t>
            </w:r>
          </w:p>
        </w:tc>
        <w:tc>
          <w:tcPr>
            <w:tcW w:w="238" w:type="dxa"/>
            <w:tcBorders>
              <w:top w:val="nil" w:sz="6" w:space="0" w:color="auto"/>
              <w:left w:val="nil" w:sz="6" w:space="0" w:color="auto"/>
              <w:bottom w:val="nil" w:sz="6" w:space="0" w:color="auto"/>
              <w:right w:val="nil" w:sz="6" w:space="0" w:color="auto"/>
            </w:tcBorders>
          </w:tcPr>
          <w:p>
            <w:pP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693" w:right="0"/>
              <w:jc w:val="left"/>
              <w:rPr>
                <w:rFonts w:ascii="Arial" w:hAnsi="Arial" w:cs="Arial" w:eastAsia="Arial" w:hint="default"/>
                <w:sz w:val="22"/>
                <w:szCs w:val="22"/>
              </w:rPr>
            </w:pPr>
            <w:r>
              <w:rPr>
                <w:rFonts w:ascii="Arial"/>
                <w:sz w:val="22"/>
              </w:rPr>
              <w:t>14</w:t>
            </w:r>
          </w:p>
        </w:tc>
        <w:tc>
          <w:tcPr>
            <w:tcW w:w="238" w:type="dxa"/>
            <w:tcBorders>
              <w:top w:val="nil" w:sz="6" w:space="0" w:color="auto"/>
              <w:left w:val="nil" w:sz="6" w:space="0" w:color="auto"/>
              <w:bottom w:val="nil" w:sz="6" w:space="0" w:color="auto"/>
              <w:right w:val="nil" w:sz="6" w:space="0" w:color="auto"/>
            </w:tcBorders>
          </w:tcPr>
          <w:p>
            <w:pP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16"/>
              <w:ind w:left="669" w:right="0"/>
              <w:jc w:val="left"/>
              <w:rPr>
                <w:rFonts w:ascii="Arial" w:hAnsi="Arial" w:cs="Arial" w:eastAsia="Arial" w:hint="default"/>
                <w:sz w:val="22"/>
                <w:szCs w:val="22"/>
              </w:rPr>
            </w:pPr>
            <w:r>
              <w:rPr>
                <w:rFonts w:ascii="Arial"/>
                <w:sz w:val="22"/>
              </w:rPr>
              <w:t>47</w:t>
            </w:r>
          </w:p>
        </w:tc>
        <w:tc>
          <w:tcPr>
            <w:tcW w:w="233"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98"/>
              <w:jc w:val="right"/>
              <w:rPr>
                <w:rFonts w:ascii="Arial" w:hAnsi="Arial" w:cs="Arial" w:eastAsia="Arial" w:hint="default"/>
                <w:sz w:val="22"/>
                <w:szCs w:val="22"/>
              </w:rPr>
            </w:pPr>
            <w:r>
              <w:rPr>
                <w:rFonts w:ascii="Arial"/>
                <w:sz w:val="22"/>
              </w:rPr>
              <w:t>71</w:t>
            </w:r>
          </w:p>
        </w:tc>
      </w:tr>
      <w:tr>
        <w:trPr>
          <w:trHeight w:val="288" w:hRule="exact"/>
        </w:trPr>
        <w:tc>
          <w:tcPr>
            <w:tcW w:w="2926" w:type="dxa"/>
            <w:tcBorders>
              <w:top w:val="nil" w:sz="6" w:space="0" w:color="auto"/>
              <w:left w:val="nil" w:sz="6" w:space="0" w:color="auto"/>
              <w:bottom w:val="nil" w:sz="6" w:space="0" w:color="auto"/>
              <w:right w:val="nil" w:sz="6" w:space="0" w:color="auto"/>
            </w:tcBorders>
          </w:tcPr>
          <w:p>
            <w:pPr>
              <w:pStyle w:val="TableParagraph"/>
              <w:spacing w:line="239" w:lineRule="exact"/>
              <w:ind w:left="315" w:right="0"/>
              <w:jc w:val="left"/>
              <w:rPr>
                <w:rFonts w:ascii="宋体" w:hAnsi="宋体" w:cs="宋体" w:eastAsia="宋体" w:hint="default"/>
                <w:sz w:val="22"/>
                <w:szCs w:val="22"/>
              </w:rPr>
            </w:pPr>
            <w:r>
              <w:rPr>
                <w:rFonts w:ascii="宋体" w:hAnsi="宋体" w:cs="宋体" w:eastAsia="宋体" w:hint="default"/>
                <w:sz w:val="22"/>
                <w:szCs w:val="22"/>
              </w:rPr>
              <w:t>应付债券</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5"/>
              <w:jc w:val="right"/>
              <w:rPr>
                <w:rFonts w:ascii="Arial" w:hAnsi="Arial" w:cs="Arial" w:eastAsia="Arial" w:hint="default"/>
                <w:sz w:val="22"/>
                <w:szCs w:val="22"/>
              </w:rPr>
            </w:pPr>
            <w:r>
              <w:rPr>
                <w:rFonts w:ascii="Arial"/>
                <w:spacing w:val="-1"/>
                <w:sz w:val="22"/>
              </w:rPr>
              <w:t>142</w:t>
            </w:r>
          </w:p>
        </w:tc>
        <w:tc>
          <w:tcPr>
            <w:tcW w:w="238"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21"/>
              <w:ind w:left="429" w:right="0"/>
              <w:jc w:val="left"/>
              <w:rPr>
                <w:rFonts w:ascii="Arial" w:hAnsi="Arial" w:cs="Arial" w:eastAsia="Arial" w:hint="default"/>
                <w:sz w:val="22"/>
                <w:szCs w:val="22"/>
              </w:rPr>
            </w:pPr>
            <w:r>
              <w:rPr>
                <w:rFonts w:ascii="Arial"/>
                <w:sz w:val="22"/>
              </w:rPr>
              <w:t>1,122</w:t>
            </w:r>
          </w:p>
        </w:tc>
        <w:tc>
          <w:tcPr>
            <w:tcW w:w="238" w:type="dxa"/>
            <w:tcBorders>
              <w:top w:val="nil" w:sz="6" w:space="0" w:color="auto"/>
              <w:left w:val="nil" w:sz="6" w:space="0" w:color="auto"/>
              <w:bottom w:val="nil" w:sz="6" w:space="0" w:color="auto"/>
              <w:right w:val="nil" w:sz="6" w:space="0" w:color="auto"/>
            </w:tcBorders>
          </w:tcPr>
          <w:p>
            <w:pP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86" w:right="0"/>
              <w:jc w:val="left"/>
              <w:rPr>
                <w:rFonts w:ascii="Arial" w:hAnsi="Arial" w:cs="Arial" w:eastAsia="Arial" w:hint="default"/>
                <w:sz w:val="22"/>
                <w:szCs w:val="22"/>
              </w:rPr>
            </w:pPr>
            <w:r>
              <w:rPr>
                <w:rFonts w:ascii="Arial"/>
                <w:sz w:val="22"/>
              </w:rPr>
              <w:t>3,064</w:t>
            </w:r>
          </w:p>
        </w:tc>
        <w:tc>
          <w:tcPr>
            <w:tcW w:w="238" w:type="dxa"/>
            <w:tcBorders>
              <w:top w:val="nil" w:sz="6" w:space="0" w:color="auto"/>
              <w:left w:val="nil" w:sz="6" w:space="0" w:color="auto"/>
              <w:bottom w:val="nil" w:sz="6" w:space="0" w:color="auto"/>
              <w:right w:val="nil" w:sz="6" w:space="0" w:color="auto"/>
            </w:tcBorders>
          </w:tcPr>
          <w:p>
            <w:pP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Arial" w:hAnsi="Arial" w:cs="Arial" w:eastAsia="Arial" w:hint="default"/>
                <w:sz w:val="22"/>
                <w:szCs w:val="22"/>
              </w:rPr>
            </w:pPr>
            <w:r>
              <w:rPr>
                <w:rFonts w:ascii="Arial"/>
                <w:w w:val="100"/>
                <w:sz w:val="22"/>
              </w:rPr>
              <w:t>-</w:t>
            </w:r>
          </w:p>
        </w:tc>
        <w:tc>
          <w:tcPr>
            <w:tcW w:w="233"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3"/>
              <w:jc w:val="right"/>
              <w:rPr>
                <w:rFonts w:ascii="Arial" w:hAnsi="Arial" w:cs="Arial" w:eastAsia="Arial" w:hint="default"/>
                <w:sz w:val="22"/>
                <w:szCs w:val="22"/>
              </w:rPr>
            </w:pPr>
            <w:r>
              <w:rPr>
                <w:rFonts w:ascii="Arial"/>
                <w:sz w:val="22"/>
              </w:rPr>
              <w:t>4,328</w:t>
            </w:r>
          </w:p>
        </w:tc>
      </w:tr>
      <w:tr>
        <w:trPr>
          <w:trHeight w:val="283" w:hRule="exact"/>
        </w:trPr>
        <w:tc>
          <w:tcPr>
            <w:tcW w:w="2926" w:type="dxa"/>
            <w:tcBorders>
              <w:top w:val="nil" w:sz="6" w:space="0" w:color="auto"/>
              <w:left w:val="nil" w:sz="6" w:space="0" w:color="auto"/>
              <w:bottom w:val="nil" w:sz="6" w:space="0" w:color="auto"/>
              <w:right w:val="nil" w:sz="6" w:space="0" w:color="auto"/>
            </w:tcBorders>
          </w:tcPr>
          <w:p>
            <w:pPr>
              <w:pStyle w:val="TableParagraph"/>
              <w:spacing w:line="239" w:lineRule="exact"/>
              <w:ind w:left="315" w:right="0"/>
              <w:jc w:val="left"/>
              <w:rPr>
                <w:rFonts w:ascii="宋体" w:hAnsi="宋体" w:cs="宋体" w:eastAsia="宋体" w:hint="default"/>
                <w:sz w:val="22"/>
                <w:szCs w:val="22"/>
              </w:rPr>
            </w:pPr>
            <w:r>
              <w:rPr>
                <w:rFonts w:ascii="宋体" w:hAnsi="宋体" w:cs="宋体" w:eastAsia="宋体" w:hint="default"/>
                <w:sz w:val="22"/>
                <w:szCs w:val="22"/>
              </w:rPr>
              <w:t>应付款项</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30" w:right="0"/>
              <w:jc w:val="left"/>
              <w:rPr>
                <w:rFonts w:ascii="Arial" w:hAnsi="Arial" w:cs="Arial" w:eastAsia="Arial" w:hint="default"/>
                <w:sz w:val="22"/>
                <w:szCs w:val="22"/>
              </w:rPr>
            </w:pPr>
            <w:r>
              <w:rPr>
                <w:rFonts w:ascii="Arial"/>
                <w:sz w:val="22"/>
              </w:rPr>
              <w:t>135,070</w:t>
            </w:r>
          </w:p>
        </w:tc>
        <w:tc>
          <w:tcPr>
            <w:tcW w:w="238"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2"/>
              <w:jc w:val="right"/>
              <w:rPr>
                <w:rFonts w:ascii="Arial" w:hAnsi="Arial" w:cs="Arial" w:eastAsia="Arial" w:hint="default"/>
                <w:sz w:val="22"/>
                <w:szCs w:val="22"/>
              </w:rPr>
            </w:pPr>
            <w:r>
              <w:rPr>
                <w:rFonts w:ascii="Arial"/>
                <w:w w:val="100"/>
                <w:sz w:val="22"/>
              </w:rPr>
              <w:t>-</w:t>
            </w:r>
          </w:p>
        </w:tc>
        <w:tc>
          <w:tcPr>
            <w:tcW w:w="238" w:type="dxa"/>
            <w:tcBorders>
              <w:top w:val="nil" w:sz="6" w:space="0" w:color="auto"/>
              <w:left w:val="nil" w:sz="6" w:space="0" w:color="auto"/>
              <w:bottom w:val="nil" w:sz="6" w:space="0" w:color="auto"/>
              <w:right w:val="nil" w:sz="6" w:space="0" w:color="auto"/>
            </w:tcBorders>
          </w:tcPr>
          <w:p>
            <w:pP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6"/>
              <w:jc w:val="right"/>
              <w:rPr>
                <w:rFonts w:ascii="Arial" w:hAnsi="Arial" w:cs="Arial" w:eastAsia="Arial" w:hint="default"/>
                <w:sz w:val="22"/>
                <w:szCs w:val="22"/>
              </w:rPr>
            </w:pPr>
            <w:r>
              <w:rPr>
                <w:rFonts w:ascii="Arial"/>
                <w:w w:val="100"/>
                <w:sz w:val="22"/>
              </w:rPr>
              <w:t>-</w:t>
            </w:r>
          </w:p>
        </w:tc>
        <w:tc>
          <w:tcPr>
            <w:tcW w:w="238" w:type="dxa"/>
            <w:tcBorders>
              <w:top w:val="nil" w:sz="6" w:space="0" w:color="auto"/>
              <w:left w:val="nil" w:sz="6" w:space="0" w:color="auto"/>
              <w:bottom w:val="nil" w:sz="6" w:space="0" w:color="auto"/>
              <w:right w:val="nil" w:sz="6" w:space="0" w:color="auto"/>
            </w:tcBorders>
          </w:tcPr>
          <w:p>
            <w:pP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6"/>
              <w:jc w:val="right"/>
              <w:rPr>
                <w:rFonts w:ascii="Arial" w:hAnsi="Arial" w:cs="Arial" w:eastAsia="Arial" w:hint="default"/>
                <w:sz w:val="22"/>
                <w:szCs w:val="22"/>
              </w:rPr>
            </w:pPr>
            <w:r>
              <w:rPr>
                <w:rFonts w:ascii="Arial"/>
                <w:w w:val="100"/>
                <w:sz w:val="22"/>
              </w:rPr>
              <w:t>-</w:t>
            </w:r>
          </w:p>
        </w:tc>
        <w:tc>
          <w:tcPr>
            <w:tcW w:w="233"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0"/>
              <w:jc w:val="right"/>
              <w:rPr>
                <w:rFonts w:ascii="Arial" w:hAnsi="Arial" w:cs="Arial" w:eastAsia="Arial" w:hint="default"/>
                <w:sz w:val="22"/>
                <w:szCs w:val="22"/>
              </w:rPr>
            </w:pPr>
            <w:r>
              <w:rPr>
                <w:rFonts w:ascii="Arial"/>
                <w:sz w:val="22"/>
              </w:rPr>
              <w:t>135,070</w:t>
            </w:r>
          </w:p>
        </w:tc>
      </w:tr>
      <w:tr>
        <w:trPr>
          <w:trHeight w:val="288" w:hRule="exact"/>
        </w:trPr>
        <w:tc>
          <w:tcPr>
            <w:tcW w:w="2926" w:type="dxa"/>
            <w:tcBorders>
              <w:top w:val="nil" w:sz="6" w:space="0" w:color="auto"/>
              <w:left w:val="nil" w:sz="6" w:space="0" w:color="auto"/>
              <w:bottom w:val="nil" w:sz="6" w:space="0" w:color="auto"/>
              <w:right w:val="nil" w:sz="6" w:space="0" w:color="auto"/>
            </w:tcBorders>
          </w:tcPr>
          <w:p>
            <w:pPr>
              <w:pStyle w:val="TableParagraph"/>
              <w:spacing w:line="239" w:lineRule="exact"/>
              <w:ind w:left="315" w:right="0"/>
              <w:jc w:val="left"/>
              <w:rPr>
                <w:rFonts w:ascii="宋体" w:hAnsi="宋体" w:cs="宋体" w:eastAsia="宋体" w:hint="default"/>
                <w:sz w:val="22"/>
                <w:szCs w:val="22"/>
              </w:rPr>
            </w:pPr>
            <w:r>
              <w:rPr>
                <w:rFonts w:ascii="宋体" w:hAnsi="宋体" w:cs="宋体" w:eastAsia="宋体" w:hint="default"/>
                <w:sz w:val="22"/>
                <w:szCs w:val="22"/>
              </w:rPr>
              <w:t>其他流动负债</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98"/>
              <w:jc w:val="right"/>
              <w:rPr>
                <w:rFonts w:ascii="Arial" w:hAnsi="Arial" w:cs="Arial" w:eastAsia="Arial" w:hint="default"/>
                <w:sz w:val="22"/>
                <w:szCs w:val="22"/>
              </w:rPr>
            </w:pPr>
            <w:r>
              <w:rPr>
                <w:rFonts w:ascii="Arial"/>
                <w:sz w:val="22"/>
              </w:rPr>
              <w:t>9,116</w:t>
            </w:r>
          </w:p>
        </w:tc>
        <w:tc>
          <w:tcPr>
            <w:tcW w:w="238"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2"/>
              <w:jc w:val="right"/>
              <w:rPr>
                <w:rFonts w:ascii="Arial" w:hAnsi="Arial" w:cs="Arial" w:eastAsia="Arial" w:hint="default"/>
                <w:sz w:val="22"/>
                <w:szCs w:val="22"/>
              </w:rPr>
            </w:pPr>
            <w:r>
              <w:rPr>
                <w:rFonts w:ascii="Arial"/>
                <w:w w:val="100"/>
                <w:sz w:val="22"/>
              </w:rPr>
              <w:t>-</w:t>
            </w:r>
          </w:p>
        </w:tc>
        <w:tc>
          <w:tcPr>
            <w:tcW w:w="238" w:type="dxa"/>
            <w:tcBorders>
              <w:top w:val="nil" w:sz="6" w:space="0" w:color="auto"/>
              <w:left w:val="nil" w:sz="6" w:space="0" w:color="auto"/>
              <w:bottom w:val="nil" w:sz="6" w:space="0" w:color="auto"/>
              <w:right w:val="nil" w:sz="6" w:space="0" w:color="auto"/>
            </w:tcBorders>
          </w:tcPr>
          <w:p>
            <w:pP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Arial" w:hAnsi="Arial" w:cs="Arial" w:eastAsia="Arial" w:hint="default"/>
                <w:sz w:val="22"/>
                <w:szCs w:val="22"/>
              </w:rPr>
            </w:pPr>
            <w:r>
              <w:rPr>
                <w:rFonts w:ascii="Arial"/>
                <w:w w:val="100"/>
                <w:sz w:val="22"/>
              </w:rPr>
              <w:t>-</w:t>
            </w:r>
          </w:p>
        </w:tc>
        <w:tc>
          <w:tcPr>
            <w:tcW w:w="238" w:type="dxa"/>
            <w:tcBorders>
              <w:top w:val="nil" w:sz="6" w:space="0" w:color="auto"/>
              <w:left w:val="nil" w:sz="6" w:space="0" w:color="auto"/>
              <w:bottom w:val="nil" w:sz="6" w:space="0" w:color="auto"/>
              <w:right w:val="nil" w:sz="6" w:space="0" w:color="auto"/>
            </w:tcBorders>
          </w:tcPr>
          <w:p>
            <w:pP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Arial" w:hAnsi="Arial" w:cs="Arial" w:eastAsia="Arial" w:hint="default"/>
                <w:sz w:val="22"/>
                <w:szCs w:val="22"/>
              </w:rPr>
            </w:pPr>
            <w:r>
              <w:rPr>
                <w:rFonts w:ascii="Arial"/>
                <w:w w:val="100"/>
                <w:sz w:val="22"/>
              </w:rPr>
              <w:t>-</w:t>
            </w:r>
          </w:p>
        </w:tc>
        <w:tc>
          <w:tcPr>
            <w:tcW w:w="233"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98"/>
              <w:jc w:val="right"/>
              <w:rPr>
                <w:rFonts w:ascii="Arial" w:hAnsi="Arial" w:cs="Arial" w:eastAsia="Arial" w:hint="default"/>
                <w:sz w:val="22"/>
                <w:szCs w:val="22"/>
              </w:rPr>
            </w:pPr>
            <w:r>
              <w:rPr>
                <w:rFonts w:ascii="Arial"/>
                <w:sz w:val="22"/>
              </w:rPr>
              <w:t>9,116</w:t>
            </w:r>
          </w:p>
        </w:tc>
      </w:tr>
      <w:tr>
        <w:trPr>
          <w:trHeight w:val="283" w:hRule="exact"/>
        </w:trPr>
        <w:tc>
          <w:tcPr>
            <w:tcW w:w="2926" w:type="dxa"/>
            <w:tcBorders>
              <w:top w:val="nil" w:sz="6" w:space="0" w:color="auto"/>
              <w:left w:val="nil" w:sz="6" w:space="0" w:color="auto"/>
              <w:bottom w:val="nil" w:sz="6" w:space="0" w:color="auto"/>
              <w:right w:val="nil" w:sz="6" w:space="0" w:color="auto"/>
            </w:tcBorders>
          </w:tcPr>
          <w:p>
            <w:pPr>
              <w:pStyle w:val="TableParagraph"/>
              <w:spacing w:line="239" w:lineRule="exact"/>
              <w:ind w:left="315" w:right="0"/>
              <w:jc w:val="left"/>
              <w:rPr>
                <w:rFonts w:ascii="宋体" w:hAnsi="宋体" w:cs="宋体" w:eastAsia="宋体" w:hint="default"/>
                <w:sz w:val="22"/>
                <w:szCs w:val="22"/>
              </w:rPr>
            </w:pPr>
            <w:r>
              <w:rPr>
                <w:rFonts w:ascii="宋体" w:hAnsi="宋体" w:cs="宋体" w:eastAsia="宋体" w:hint="default"/>
                <w:sz w:val="22"/>
                <w:szCs w:val="22"/>
              </w:rPr>
              <w:t>租赁负债</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0" w:right="0"/>
              <w:jc w:val="left"/>
              <w:rPr>
                <w:rFonts w:ascii="Arial" w:hAnsi="Arial" w:cs="Arial" w:eastAsia="Arial" w:hint="default"/>
                <w:sz w:val="22"/>
                <w:szCs w:val="22"/>
              </w:rPr>
            </w:pPr>
            <w:r>
              <w:rPr>
                <w:rFonts w:ascii="Arial"/>
                <w:sz w:val="22"/>
              </w:rPr>
              <w:t>11,085</w:t>
            </w:r>
          </w:p>
        </w:tc>
        <w:tc>
          <w:tcPr>
            <w:tcW w:w="238"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04" w:right="0"/>
              <w:jc w:val="left"/>
              <w:rPr>
                <w:rFonts w:ascii="Arial" w:hAnsi="Arial" w:cs="Arial" w:eastAsia="Arial" w:hint="default"/>
                <w:sz w:val="22"/>
                <w:szCs w:val="22"/>
              </w:rPr>
            </w:pPr>
            <w:r>
              <w:rPr>
                <w:rFonts w:ascii="Arial"/>
                <w:sz w:val="22"/>
              </w:rPr>
              <w:t>10,183</w:t>
            </w:r>
          </w:p>
        </w:tc>
        <w:tc>
          <w:tcPr>
            <w:tcW w:w="238" w:type="dxa"/>
            <w:tcBorders>
              <w:top w:val="nil" w:sz="6" w:space="0" w:color="auto"/>
              <w:left w:val="nil" w:sz="6" w:space="0" w:color="auto"/>
              <w:bottom w:val="nil" w:sz="6" w:space="0" w:color="auto"/>
              <w:right w:val="nil" w:sz="6" w:space="0" w:color="auto"/>
            </w:tcBorders>
          </w:tcPr>
          <w:p>
            <w:pP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61" w:right="0"/>
              <w:jc w:val="left"/>
              <w:rPr>
                <w:rFonts w:ascii="Arial" w:hAnsi="Arial" w:cs="Arial" w:eastAsia="Arial" w:hint="default"/>
                <w:sz w:val="22"/>
                <w:szCs w:val="22"/>
              </w:rPr>
            </w:pPr>
            <w:r>
              <w:rPr>
                <w:rFonts w:ascii="Arial"/>
                <w:sz w:val="22"/>
              </w:rPr>
              <w:t>12,112</w:t>
            </w:r>
          </w:p>
        </w:tc>
        <w:tc>
          <w:tcPr>
            <w:tcW w:w="238" w:type="dxa"/>
            <w:tcBorders>
              <w:top w:val="nil" w:sz="6" w:space="0" w:color="auto"/>
              <w:left w:val="nil" w:sz="6" w:space="0" w:color="auto"/>
              <w:bottom w:val="nil" w:sz="6" w:space="0" w:color="auto"/>
              <w:right w:val="nil" w:sz="6" w:space="0" w:color="auto"/>
            </w:tcBorders>
          </w:tcPr>
          <w:p>
            <w:pP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7" w:right="0"/>
              <w:jc w:val="left"/>
              <w:rPr>
                <w:rFonts w:ascii="Arial" w:hAnsi="Arial" w:cs="Arial" w:eastAsia="Arial" w:hint="default"/>
                <w:sz w:val="22"/>
                <w:szCs w:val="22"/>
              </w:rPr>
            </w:pPr>
            <w:r>
              <w:rPr>
                <w:rFonts w:ascii="Arial"/>
                <w:sz w:val="22"/>
              </w:rPr>
              <w:t>1,430</w:t>
            </w:r>
          </w:p>
        </w:tc>
        <w:tc>
          <w:tcPr>
            <w:tcW w:w="233"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5"/>
              <w:jc w:val="right"/>
              <w:rPr>
                <w:rFonts w:ascii="Arial" w:hAnsi="Arial" w:cs="Arial" w:eastAsia="Arial" w:hint="default"/>
                <w:sz w:val="22"/>
                <w:szCs w:val="22"/>
              </w:rPr>
            </w:pPr>
            <w:r>
              <w:rPr>
                <w:rFonts w:ascii="Arial"/>
                <w:spacing w:val="-1"/>
                <w:sz w:val="22"/>
              </w:rPr>
              <w:t>34,810</w:t>
            </w:r>
          </w:p>
        </w:tc>
      </w:tr>
      <w:tr>
        <w:trPr>
          <w:trHeight w:val="418" w:hRule="exact"/>
        </w:trPr>
        <w:tc>
          <w:tcPr>
            <w:tcW w:w="2926" w:type="dxa"/>
            <w:tcBorders>
              <w:top w:val="nil" w:sz="6" w:space="0" w:color="auto"/>
              <w:left w:val="nil" w:sz="6" w:space="0" w:color="auto"/>
              <w:bottom w:val="nil" w:sz="6" w:space="0" w:color="auto"/>
              <w:right w:val="nil" w:sz="6" w:space="0" w:color="auto"/>
            </w:tcBorders>
          </w:tcPr>
          <w:p>
            <w:pPr>
              <w:pStyle w:val="TableParagraph"/>
              <w:spacing w:line="239" w:lineRule="exact"/>
              <w:ind w:left="315" w:right="0"/>
              <w:jc w:val="left"/>
              <w:rPr>
                <w:rFonts w:ascii="宋体" w:hAnsi="宋体" w:cs="宋体" w:eastAsia="宋体" w:hint="default"/>
                <w:sz w:val="22"/>
                <w:szCs w:val="22"/>
              </w:rPr>
            </w:pPr>
            <w:r>
              <w:rPr>
                <w:rFonts w:ascii="宋体" w:hAnsi="宋体" w:cs="宋体" w:eastAsia="宋体" w:hint="default"/>
                <w:sz w:val="22"/>
                <w:szCs w:val="22"/>
              </w:rPr>
              <w:t>短期借款</w:t>
            </w:r>
          </w:p>
        </w:tc>
        <w:tc>
          <w:tcPr>
            <w:tcW w:w="1133" w:type="dxa"/>
            <w:tcBorders>
              <w:top w:val="nil" w:sz="6" w:space="0" w:color="auto"/>
              <w:left w:val="nil" w:sz="6" w:space="0" w:color="auto"/>
              <w:bottom w:val="nil" w:sz="6" w:space="0" w:color="auto"/>
              <w:right w:val="nil" w:sz="6" w:space="0" w:color="auto"/>
            </w:tcBorders>
          </w:tcPr>
          <w:p>
            <w:pPr>
              <w:pStyle w:val="TableParagraph"/>
              <w:tabs>
                <w:tab w:pos="470" w:val="left" w:leader="none"/>
                <w:tab w:pos="1132"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5,754</w:t>
              <w:tab/>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Style w:val="TableParagraph"/>
              <w:tabs>
                <w:tab w:pos="909" w:val="left" w:leader="none"/>
                <w:tab w:pos="1087" w:val="left" w:leader="none"/>
              </w:tabs>
              <w:spacing w:line="240" w:lineRule="auto" w:before="21"/>
              <w:ind w:left="7"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tab/>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1049" w:type="dxa"/>
            <w:tcBorders>
              <w:top w:val="nil" w:sz="6" w:space="0" w:color="auto"/>
              <w:left w:val="nil" w:sz="6" w:space="0" w:color="auto"/>
              <w:bottom w:val="nil" w:sz="6" w:space="0" w:color="auto"/>
              <w:right w:val="nil" w:sz="6" w:space="0" w:color="auto"/>
            </w:tcBorders>
          </w:tcPr>
          <w:p>
            <w:pPr>
              <w:pStyle w:val="TableParagraph"/>
              <w:tabs>
                <w:tab w:pos="866" w:val="left" w:leader="none"/>
                <w:tab w:pos="1048" w:val="left" w:leader="none"/>
              </w:tabs>
              <w:spacing w:line="240" w:lineRule="auto" w:before="21"/>
              <w:ind w:left="7"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tab/>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1025" w:type="dxa"/>
            <w:tcBorders>
              <w:top w:val="nil" w:sz="6" w:space="0" w:color="auto"/>
              <w:left w:val="nil" w:sz="6" w:space="0" w:color="auto"/>
              <w:bottom w:val="nil" w:sz="6" w:space="0" w:color="auto"/>
              <w:right w:val="nil" w:sz="6" w:space="0" w:color="auto"/>
            </w:tcBorders>
          </w:tcPr>
          <w:p>
            <w:pPr>
              <w:pStyle w:val="TableParagraph"/>
              <w:tabs>
                <w:tab w:pos="842" w:val="left" w:leader="none"/>
                <w:tab w:pos="1024" w:val="left" w:leader="none"/>
              </w:tabs>
              <w:spacing w:line="240" w:lineRule="auto" w:before="21"/>
              <w:ind w:left="7"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tab/>
            </w:r>
            <w:r>
              <w:rPr>
                <w:rFonts w:ascii="Arial"/>
                <w:sz w:val="22"/>
              </w:rPr>
            </w:r>
          </w:p>
        </w:tc>
        <w:tc>
          <w:tcPr>
            <w:tcW w:w="233"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Style w:val="TableParagraph"/>
              <w:tabs>
                <w:tab w:pos="590" w:val="left" w:leader="none"/>
                <w:tab w:pos="1252"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5,754</w:t>
              <w:tab/>
            </w:r>
            <w:r>
              <w:rPr>
                <w:rFonts w:ascii="Arial"/>
                <w:sz w:val="22"/>
              </w:rPr>
            </w:r>
          </w:p>
        </w:tc>
      </w:tr>
      <w:tr>
        <w:trPr>
          <w:trHeight w:val="402" w:hRule="exact"/>
        </w:trPr>
        <w:tc>
          <w:tcPr>
            <w:tcW w:w="2926"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single" w:sz="17" w:space="0" w:color="000000"/>
              <w:right w:val="nil" w:sz="6" w:space="0" w:color="auto"/>
            </w:tcBorders>
          </w:tcPr>
          <w:p>
            <w:pPr>
              <w:pStyle w:val="TableParagraph"/>
              <w:spacing w:line="240" w:lineRule="auto" w:before="121"/>
              <w:ind w:left="225" w:right="0"/>
              <w:jc w:val="left"/>
              <w:rPr>
                <w:rFonts w:ascii="Arial" w:hAnsi="Arial" w:cs="Arial" w:eastAsia="Arial" w:hint="default"/>
                <w:sz w:val="22"/>
                <w:szCs w:val="22"/>
              </w:rPr>
            </w:pPr>
            <w:r>
              <w:rPr>
                <w:rFonts w:ascii="Arial"/>
                <w:sz w:val="22"/>
              </w:rPr>
              <w:t>161,632</w:t>
            </w:r>
          </w:p>
        </w:tc>
        <w:tc>
          <w:tcPr>
            <w:tcW w:w="238"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single" w:sz="17" w:space="0" w:color="000000"/>
              <w:right w:val="nil" w:sz="6" w:space="0" w:color="auto"/>
            </w:tcBorders>
          </w:tcPr>
          <w:p>
            <w:pPr>
              <w:pStyle w:val="TableParagraph"/>
              <w:spacing w:line="240" w:lineRule="auto" w:before="121"/>
              <w:ind w:left="304" w:right="0"/>
              <w:jc w:val="left"/>
              <w:rPr>
                <w:rFonts w:ascii="Arial" w:hAnsi="Arial" w:cs="Arial" w:eastAsia="Arial" w:hint="default"/>
                <w:sz w:val="22"/>
                <w:szCs w:val="22"/>
              </w:rPr>
            </w:pPr>
            <w:r>
              <w:rPr>
                <w:rFonts w:ascii="Arial"/>
                <w:sz w:val="22"/>
              </w:rPr>
              <w:t>11,785</w:t>
            </w:r>
          </w:p>
        </w:tc>
        <w:tc>
          <w:tcPr>
            <w:tcW w:w="238" w:type="dxa"/>
            <w:tcBorders>
              <w:top w:val="nil" w:sz="6" w:space="0" w:color="auto"/>
              <w:left w:val="nil" w:sz="6" w:space="0" w:color="auto"/>
              <w:bottom w:val="nil" w:sz="6" w:space="0" w:color="auto"/>
              <w:right w:val="nil" w:sz="6" w:space="0" w:color="auto"/>
            </w:tcBorders>
          </w:tcPr>
          <w:p>
            <w:pPr/>
          </w:p>
        </w:tc>
        <w:tc>
          <w:tcPr>
            <w:tcW w:w="1049" w:type="dxa"/>
            <w:tcBorders>
              <w:top w:val="nil" w:sz="6" w:space="0" w:color="auto"/>
              <w:left w:val="nil" w:sz="6" w:space="0" w:color="auto"/>
              <w:bottom w:val="single" w:sz="17" w:space="0" w:color="000000"/>
              <w:right w:val="nil" w:sz="6" w:space="0" w:color="auto"/>
            </w:tcBorders>
          </w:tcPr>
          <w:p>
            <w:pPr>
              <w:pStyle w:val="TableParagraph"/>
              <w:spacing w:line="240" w:lineRule="auto" w:before="121"/>
              <w:ind w:left="261" w:right="0"/>
              <w:jc w:val="left"/>
              <w:rPr>
                <w:rFonts w:ascii="Arial" w:hAnsi="Arial" w:cs="Arial" w:eastAsia="Arial" w:hint="default"/>
                <w:sz w:val="22"/>
                <w:szCs w:val="22"/>
              </w:rPr>
            </w:pPr>
            <w:r>
              <w:rPr>
                <w:rFonts w:ascii="Arial"/>
                <w:sz w:val="22"/>
              </w:rPr>
              <w:t>16,550</w:t>
            </w:r>
          </w:p>
        </w:tc>
        <w:tc>
          <w:tcPr>
            <w:tcW w:w="238" w:type="dxa"/>
            <w:tcBorders>
              <w:top w:val="nil" w:sz="6" w:space="0" w:color="auto"/>
              <w:left w:val="nil" w:sz="6" w:space="0" w:color="auto"/>
              <w:bottom w:val="nil" w:sz="6" w:space="0" w:color="auto"/>
              <w:right w:val="nil" w:sz="6" w:space="0" w:color="auto"/>
            </w:tcBorders>
          </w:tcPr>
          <w:p>
            <w:pPr/>
          </w:p>
        </w:tc>
        <w:tc>
          <w:tcPr>
            <w:tcW w:w="1025" w:type="dxa"/>
            <w:tcBorders>
              <w:top w:val="nil" w:sz="6" w:space="0" w:color="auto"/>
              <w:left w:val="nil" w:sz="6" w:space="0" w:color="auto"/>
              <w:bottom w:val="single" w:sz="17" w:space="0" w:color="000000"/>
              <w:right w:val="nil" w:sz="6" w:space="0" w:color="auto"/>
            </w:tcBorders>
          </w:tcPr>
          <w:p>
            <w:pPr>
              <w:pStyle w:val="TableParagraph"/>
              <w:spacing w:line="240" w:lineRule="auto" w:before="121"/>
              <w:ind w:left="357" w:right="0"/>
              <w:jc w:val="left"/>
              <w:rPr>
                <w:rFonts w:ascii="Arial" w:hAnsi="Arial" w:cs="Arial" w:eastAsia="Arial" w:hint="default"/>
                <w:sz w:val="22"/>
                <w:szCs w:val="22"/>
              </w:rPr>
            </w:pPr>
            <w:r>
              <w:rPr>
                <w:rFonts w:ascii="Arial"/>
                <w:sz w:val="22"/>
              </w:rPr>
              <w:t>3,189</w:t>
            </w:r>
          </w:p>
        </w:tc>
        <w:tc>
          <w:tcPr>
            <w:tcW w:w="233"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single" w:sz="17" w:space="0" w:color="000000"/>
              <w:right w:val="nil" w:sz="6" w:space="0" w:color="auto"/>
            </w:tcBorders>
          </w:tcPr>
          <w:p>
            <w:pPr>
              <w:pStyle w:val="TableParagraph"/>
              <w:spacing w:line="240" w:lineRule="auto" w:before="121"/>
              <w:ind w:right="103"/>
              <w:jc w:val="right"/>
              <w:rPr>
                <w:rFonts w:ascii="Arial" w:hAnsi="Arial" w:cs="Arial" w:eastAsia="Arial" w:hint="default"/>
                <w:sz w:val="22"/>
                <w:szCs w:val="22"/>
              </w:rPr>
            </w:pPr>
            <w:r>
              <w:rPr>
                <w:rFonts w:ascii="Arial"/>
                <w:sz w:val="22"/>
              </w:rPr>
              <w:t>193,156</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tbl>
      <w:tblPr>
        <w:tblW w:w="0" w:type="auto"/>
        <w:jc w:val="left"/>
        <w:tblInd w:w="320" w:type="dxa"/>
        <w:tblLayout w:type="fixed"/>
        <w:tblCellMar>
          <w:top w:w="0" w:type="dxa"/>
          <w:left w:w="0" w:type="dxa"/>
          <w:bottom w:w="0" w:type="dxa"/>
          <w:right w:w="0" w:type="dxa"/>
        </w:tblCellMar>
        <w:tblLook w:val="01E0"/>
      </w:tblPr>
      <w:tblGrid>
        <w:gridCol w:w="2883"/>
        <w:gridCol w:w="1138"/>
        <w:gridCol w:w="238"/>
        <w:gridCol w:w="1082"/>
        <w:gridCol w:w="233"/>
        <w:gridCol w:w="1044"/>
        <w:gridCol w:w="238"/>
        <w:gridCol w:w="1030"/>
        <w:gridCol w:w="230"/>
        <w:gridCol w:w="1243"/>
      </w:tblGrid>
      <w:tr>
        <w:trPr>
          <w:trHeight w:val="259" w:hRule="exact"/>
        </w:trPr>
        <w:tc>
          <w:tcPr>
            <w:tcW w:w="9358" w:type="dxa"/>
            <w:gridSpan w:val="10"/>
            <w:tcBorders>
              <w:top w:val="nil" w:sz="6" w:space="0" w:color="auto"/>
              <w:left w:val="nil" w:sz="6" w:space="0" w:color="auto"/>
              <w:bottom w:val="nil" w:sz="6" w:space="0" w:color="auto"/>
              <w:right w:val="nil" w:sz="6" w:space="0" w:color="auto"/>
            </w:tcBorders>
          </w:tcPr>
          <w:p>
            <w:pPr>
              <w:pStyle w:val="TableParagraph"/>
              <w:spacing w:line="236" w:lineRule="exact"/>
              <w:ind w:left="5326" w:right="0"/>
              <w:jc w:val="left"/>
              <w:rPr>
                <w:rFonts w:ascii="宋体" w:hAnsi="宋体" w:cs="宋体" w:eastAsia="宋体" w:hint="default"/>
                <w:sz w:val="22"/>
                <w:szCs w:val="22"/>
              </w:rPr>
            </w:pPr>
            <w:r>
              <w:rPr>
                <w:rFonts w:ascii="Arial" w:hAnsi="Arial" w:cs="Arial" w:eastAsia="Arial" w:hint="default"/>
                <w:sz w:val="22"/>
                <w:szCs w:val="22"/>
              </w:rPr>
              <w:t>2018</w:t>
            </w:r>
            <w:r>
              <w:rPr>
                <w:rFonts w:ascii="宋体" w:hAnsi="宋体" w:cs="宋体" w:eastAsia="宋体" w:hint="default"/>
                <w:sz w:val="22"/>
                <w:szCs w:val="22"/>
              </w:rPr>
              <w:t>年</w:t>
            </w:r>
            <w:r>
              <w:rPr>
                <w:rFonts w:ascii="Arial" w:hAnsi="Arial" w:cs="Arial" w:eastAsia="Arial" w:hint="default"/>
                <w:sz w:val="22"/>
                <w:szCs w:val="22"/>
              </w:rPr>
              <w:t>12</w:t>
            </w:r>
            <w:r>
              <w:rPr>
                <w:rFonts w:ascii="宋体" w:hAnsi="宋体" w:cs="宋体" w:eastAsia="宋体" w:hint="default"/>
                <w:sz w:val="22"/>
                <w:szCs w:val="22"/>
              </w:rPr>
              <w:t>月</w:t>
            </w:r>
            <w:r>
              <w:rPr>
                <w:rFonts w:ascii="Arial" w:hAnsi="Arial" w:cs="Arial" w:eastAsia="Arial" w:hint="default"/>
                <w:sz w:val="22"/>
                <w:szCs w:val="22"/>
              </w:rPr>
              <w:t>31</w:t>
            </w:r>
            <w:r>
              <w:rPr>
                <w:rFonts w:ascii="宋体" w:hAnsi="宋体" w:cs="宋体" w:eastAsia="宋体" w:hint="default"/>
                <w:sz w:val="22"/>
                <w:szCs w:val="22"/>
              </w:rPr>
              <w:t>日</w:t>
            </w:r>
          </w:p>
        </w:tc>
      </w:tr>
      <w:tr>
        <w:trPr>
          <w:trHeight w:val="302" w:hRule="exact"/>
        </w:trPr>
        <w:tc>
          <w:tcPr>
            <w:tcW w:w="2883" w:type="dxa"/>
            <w:tcBorders>
              <w:top w:val="nil" w:sz="6" w:space="0" w:color="auto"/>
              <w:left w:val="nil" w:sz="6" w:space="0" w:color="auto"/>
              <w:bottom w:val="nil" w:sz="6" w:space="0" w:color="auto"/>
              <w:right w:val="nil" w:sz="6" w:space="0" w:color="auto"/>
            </w:tcBorders>
          </w:tcPr>
          <w:p>
            <w:pPr>
              <w:pStyle w:val="TableParagraph"/>
              <w:spacing w:line="264" w:lineRule="exact"/>
              <w:ind w:left="200" w:right="0"/>
              <w:jc w:val="left"/>
              <w:rPr>
                <w:rFonts w:ascii="宋体" w:hAnsi="宋体" w:cs="宋体" w:eastAsia="宋体" w:hint="default"/>
                <w:sz w:val="22"/>
                <w:szCs w:val="22"/>
              </w:rPr>
            </w:pPr>
            <w:r>
              <w:rPr>
                <w:rFonts w:ascii="宋体" w:hAnsi="宋体" w:cs="宋体" w:eastAsia="宋体" w:hint="default"/>
                <w:sz w:val="22"/>
                <w:szCs w:val="22"/>
              </w:rPr>
              <w:t>（单位：人民币百万元）</w:t>
            </w:r>
          </w:p>
        </w:tc>
        <w:tc>
          <w:tcPr>
            <w:tcW w:w="1138" w:type="dxa"/>
            <w:tcBorders>
              <w:top w:val="single" w:sz="6" w:space="0" w:color="000000"/>
              <w:left w:val="nil" w:sz="6" w:space="0" w:color="auto"/>
              <w:bottom w:val="single" w:sz="6" w:space="0" w:color="000000"/>
              <w:right w:val="nil" w:sz="6" w:space="0" w:color="auto"/>
            </w:tcBorders>
          </w:tcPr>
          <w:p>
            <w:pPr>
              <w:pStyle w:val="TableParagraph"/>
              <w:spacing w:line="272" w:lineRule="exact"/>
              <w:ind w:left="249" w:right="0"/>
              <w:jc w:val="left"/>
              <w:rPr>
                <w:rFonts w:ascii="宋体" w:hAnsi="宋体" w:cs="宋体" w:eastAsia="宋体" w:hint="default"/>
                <w:sz w:val="22"/>
                <w:szCs w:val="22"/>
              </w:rPr>
            </w:pPr>
            <w:r>
              <w:rPr>
                <w:rFonts w:ascii="Arial" w:hAnsi="Arial" w:cs="Arial" w:eastAsia="Arial" w:hint="default"/>
                <w:sz w:val="22"/>
                <w:szCs w:val="22"/>
              </w:rPr>
              <w:t>1</w:t>
            </w:r>
            <w:r>
              <w:rPr>
                <w:rFonts w:ascii="宋体" w:hAnsi="宋体" w:cs="宋体" w:eastAsia="宋体" w:hint="default"/>
                <w:sz w:val="22"/>
                <w:szCs w:val="22"/>
              </w:rPr>
              <w:t>年以内</w:t>
            </w:r>
          </w:p>
        </w:tc>
        <w:tc>
          <w:tcPr>
            <w:tcW w:w="238" w:type="dxa"/>
            <w:tcBorders>
              <w:top w:val="single" w:sz="6" w:space="0" w:color="000000"/>
              <w:left w:val="nil" w:sz="6" w:space="0" w:color="auto"/>
              <w:bottom w:val="nil" w:sz="6" w:space="0" w:color="auto"/>
              <w:right w:val="nil" w:sz="6" w:space="0" w:color="auto"/>
            </w:tcBorders>
          </w:tcPr>
          <w:p>
            <w:pPr/>
          </w:p>
        </w:tc>
        <w:tc>
          <w:tcPr>
            <w:tcW w:w="1082" w:type="dxa"/>
            <w:tcBorders>
              <w:top w:val="single" w:sz="6" w:space="0" w:color="000000"/>
              <w:left w:val="nil" w:sz="6" w:space="0" w:color="auto"/>
              <w:bottom w:val="single" w:sz="6" w:space="0" w:color="000000"/>
              <w:right w:val="nil" w:sz="6" w:space="0" w:color="auto"/>
            </w:tcBorders>
          </w:tcPr>
          <w:p>
            <w:pPr>
              <w:pStyle w:val="TableParagraph"/>
              <w:spacing w:line="272" w:lineRule="exact"/>
              <w:ind w:right="98"/>
              <w:jc w:val="right"/>
              <w:rPr>
                <w:rFonts w:ascii="宋体" w:hAnsi="宋体" w:cs="宋体" w:eastAsia="宋体" w:hint="default"/>
                <w:sz w:val="22"/>
                <w:szCs w:val="22"/>
              </w:rPr>
            </w:pPr>
            <w:r>
              <w:rPr>
                <w:rFonts w:ascii="Arial" w:hAnsi="Arial" w:cs="Arial" w:eastAsia="Arial" w:hint="default"/>
                <w:sz w:val="22"/>
                <w:szCs w:val="22"/>
              </w:rPr>
              <w:t>1</w:t>
            </w:r>
            <w:r>
              <w:rPr>
                <w:rFonts w:ascii="宋体" w:hAnsi="宋体" w:cs="宋体" w:eastAsia="宋体" w:hint="default"/>
                <w:sz w:val="22"/>
                <w:szCs w:val="22"/>
              </w:rPr>
              <w:t>至</w:t>
            </w:r>
            <w:r>
              <w:rPr>
                <w:rFonts w:ascii="Arial" w:hAnsi="Arial" w:cs="Arial" w:eastAsia="Arial" w:hint="default"/>
                <w:sz w:val="22"/>
                <w:szCs w:val="22"/>
              </w:rPr>
              <w:t>2</w:t>
            </w:r>
            <w:r>
              <w:rPr>
                <w:rFonts w:ascii="宋体" w:hAnsi="宋体" w:cs="宋体" w:eastAsia="宋体" w:hint="default"/>
                <w:sz w:val="22"/>
                <w:szCs w:val="22"/>
              </w:rPr>
              <w:t>年</w:t>
            </w:r>
          </w:p>
        </w:tc>
        <w:tc>
          <w:tcPr>
            <w:tcW w:w="233" w:type="dxa"/>
            <w:tcBorders>
              <w:top w:val="single" w:sz="6" w:space="0" w:color="000000"/>
              <w:left w:val="nil" w:sz="6" w:space="0" w:color="auto"/>
              <w:bottom w:val="nil" w:sz="6" w:space="0" w:color="auto"/>
              <w:right w:val="nil" w:sz="6" w:space="0" w:color="auto"/>
            </w:tcBorders>
          </w:tcPr>
          <w:p>
            <w:pPr/>
          </w:p>
        </w:tc>
        <w:tc>
          <w:tcPr>
            <w:tcW w:w="1044" w:type="dxa"/>
            <w:tcBorders>
              <w:top w:val="single" w:sz="6" w:space="0" w:color="000000"/>
              <w:left w:val="nil" w:sz="6" w:space="0" w:color="auto"/>
              <w:bottom w:val="single" w:sz="6" w:space="0" w:color="000000"/>
              <w:right w:val="nil" w:sz="6" w:space="0" w:color="auto"/>
            </w:tcBorders>
          </w:tcPr>
          <w:p>
            <w:pPr>
              <w:pStyle w:val="TableParagraph"/>
              <w:spacing w:line="272" w:lineRule="exact"/>
              <w:ind w:left="251" w:right="0"/>
              <w:jc w:val="left"/>
              <w:rPr>
                <w:rFonts w:ascii="宋体" w:hAnsi="宋体" w:cs="宋体" w:eastAsia="宋体" w:hint="default"/>
                <w:sz w:val="22"/>
                <w:szCs w:val="22"/>
              </w:rPr>
            </w:pPr>
            <w:r>
              <w:rPr>
                <w:rFonts w:ascii="Arial" w:hAnsi="Arial" w:cs="Arial" w:eastAsia="Arial" w:hint="default"/>
                <w:sz w:val="22"/>
                <w:szCs w:val="22"/>
              </w:rPr>
              <w:t>2</w:t>
            </w:r>
            <w:r>
              <w:rPr>
                <w:rFonts w:ascii="宋体" w:hAnsi="宋体" w:cs="宋体" w:eastAsia="宋体" w:hint="default"/>
                <w:sz w:val="22"/>
                <w:szCs w:val="22"/>
              </w:rPr>
              <w:t>至</w:t>
            </w:r>
            <w:r>
              <w:rPr>
                <w:rFonts w:ascii="Arial" w:hAnsi="Arial" w:cs="Arial" w:eastAsia="Arial" w:hint="default"/>
                <w:sz w:val="22"/>
                <w:szCs w:val="22"/>
              </w:rPr>
              <w:t>5</w:t>
            </w:r>
            <w:r>
              <w:rPr>
                <w:rFonts w:ascii="宋体" w:hAnsi="宋体" w:cs="宋体" w:eastAsia="宋体" w:hint="default"/>
                <w:sz w:val="22"/>
                <w:szCs w:val="22"/>
              </w:rPr>
              <w:t>年</w:t>
            </w:r>
          </w:p>
        </w:tc>
        <w:tc>
          <w:tcPr>
            <w:tcW w:w="238" w:type="dxa"/>
            <w:tcBorders>
              <w:top w:val="single" w:sz="6" w:space="0" w:color="000000"/>
              <w:left w:val="nil" w:sz="6" w:space="0" w:color="auto"/>
              <w:bottom w:val="nil" w:sz="6" w:space="0" w:color="auto"/>
              <w:right w:val="nil" w:sz="6" w:space="0" w:color="auto"/>
            </w:tcBorders>
          </w:tcPr>
          <w:p>
            <w:pPr/>
          </w:p>
        </w:tc>
        <w:tc>
          <w:tcPr>
            <w:tcW w:w="1030" w:type="dxa"/>
            <w:tcBorders>
              <w:top w:val="single" w:sz="6" w:space="0" w:color="000000"/>
              <w:left w:val="nil" w:sz="6" w:space="0" w:color="auto"/>
              <w:bottom w:val="single" w:sz="6" w:space="0" w:color="000000"/>
              <w:right w:val="nil" w:sz="6" w:space="0" w:color="auto"/>
            </w:tcBorders>
          </w:tcPr>
          <w:p>
            <w:pPr>
              <w:pStyle w:val="TableParagraph"/>
              <w:spacing w:line="272" w:lineRule="exact"/>
              <w:ind w:left="175" w:right="0"/>
              <w:jc w:val="left"/>
              <w:rPr>
                <w:rFonts w:ascii="宋体" w:hAnsi="宋体" w:cs="宋体" w:eastAsia="宋体" w:hint="default"/>
                <w:sz w:val="22"/>
                <w:szCs w:val="22"/>
              </w:rPr>
            </w:pPr>
            <w:r>
              <w:rPr>
                <w:rFonts w:ascii="Arial" w:hAnsi="Arial" w:cs="Arial" w:eastAsia="Arial" w:hint="default"/>
                <w:sz w:val="22"/>
                <w:szCs w:val="22"/>
              </w:rPr>
              <w:t>5</w:t>
            </w:r>
            <w:r>
              <w:rPr>
                <w:rFonts w:ascii="宋体" w:hAnsi="宋体" w:cs="宋体" w:eastAsia="宋体" w:hint="default"/>
                <w:sz w:val="22"/>
                <w:szCs w:val="22"/>
              </w:rPr>
              <w:t>年以上</w:t>
            </w:r>
          </w:p>
        </w:tc>
        <w:tc>
          <w:tcPr>
            <w:tcW w:w="230" w:type="dxa"/>
            <w:tcBorders>
              <w:top w:val="single" w:sz="6" w:space="0" w:color="000000"/>
              <w:left w:val="nil" w:sz="6" w:space="0" w:color="auto"/>
              <w:bottom w:val="nil" w:sz="6" w:space="0" w:color="auto"/>
              <w:right w:val="nil" w:sz="6" w:space="0" w:color="auto"/>
            </w:tcBorders>
          </w:tcPr>
          <w:p>
            <w:pPr/>
          </w:p>
        </w:tc>
        <w:tc>
          <w:tcPr>
            <w:tcW w:w="1243" w:type="dxa"/>
            <w:tcBorders>
              <w:top w:val="single" w:sz="6" w:space="0" w:color="000000"/>
              <w:left w:val="nil" w:sz="6" w:space="0" w:color="auto"/>
              <w:bottom w:val="single" w:sz="6" w:space="0" w:color="000000"/>
              <w:right w:val="nil" w:sz="6" w:space="0" w:color="auto"/>
            </w:tcBorders>
          </w:tcPr>
          <w:p>
            <w:pPr>
              <w:pStyle w:val="TableParagraph"/>
              <w:spacing w:line="257" w:lineRule="exact"/>
              <w:ind w:left="705" w:right="0"/>
              <w:jc w:val="left"/>
              <w:rPr>
                <w:rFonts w:ascii="宋体" w:hAnsi="宋体" w:cs="宋体" w:eastAsia="宋体" w:hint="default"/>
                <w:sz w:val="22"/>
                <w:szCs w:val="22"/>
              </w:rPr>
            </w:pPr>
            <w:r>
              <w:rPr>
                <w:rFonts w:ascii="宋体" w:hAnsi="宋体" w:cs="宋体" w:eastAsia="宋体" w:hint="default"/>
                <w:sz w:val="22"/>
                <w:szCs w:val="22"/>
              </w:rPr>
              <w:t>合计</w:t>
            </w:r>
          </w:p>
        </w:tc>
      </w:tr>
      <w:tr>
        <w:trPr>
          <w:trHeight w:val="557" w:hRule="exact"/>
        </w:trPr>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315" w:right="0"/>
              <w:jc w:val="left"/>
              <w:rPr>
                <w:rFonts w:ascii="宋体" w:hAnsi="宋体" w:cs="宋体" w:eastAsia="宋体" w:hint="default"/>
                <w:sz w:val="22"/>
                <w:szCs w:val="22"/>
              </w:rPr>
            </w:pPr>
            <w:r>
              <w:rPr>
                <w:rFonts w:ascii="宋体" w:hAnsi="宋体" w:cs="宋体" w:eastAsia="宋体" w:hint="default"/>
                <w:sz w:val="22"/>
                <w:szCs w:val="22"/>
              </w:rPr>
              <w:t>长期借款</w:t>
            </w:r>
          </w:p>
        </w:tc>
        <w:tc>
          <w:tcPr>
            <w:tcW w:w="1138"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18"/>
              <w:jc w:val="right"/>
              <w:rPr>
                <w:rFonts w:ascii="Arial" w:hAnsi="Arial" w:cs="Arial" w:eastAsia="Arial" w:hint="default"/>
                <w:sz w:val="22"/>
                <w:szCs w:val="22"/>
              </w:rPr>
            </w:pPr>
            <w:r>
              <w:rPr>
                <w:rFonts w:ascii="Arial"/>
                <w:spacing w:val="-2"/>
                <w:sz w:val="22"/>
              </w:rPr>
              <w:t>452</w:t>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1082"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55"/>
              <w:jc w:val="right"/>
              <w:rPr>
                <w:rFonts w:ascii="Arial" w:hAnsi="Arial" w:cs="Arial" w:eastAsia="Arial" w:hint="default"/>
                <w:sz w:val="22"/>
                <w:szCs w:val="22"/>
              </w:rPr>
            </w:pPr>
            <w:r>
              <w:rPr>
                <w:rFonts w:ascii="Arial"/>
                <w:spacing w:val="-2"/>
                <w:sz w:val="22"/>
              </w:rPr>
              <w:t>439</w:t>
            </w:r>
            <w:r>
              <w:rPr>
                <w:rFonts w:ascii="Arial"/>
                <w:sz w:val="22"/>
              </w:rPr>
            </w:r>
          </w:p>
        </w:tc>
        <w:tc>
          <w:tcPr>
            <w:tcW w:w="233" w:type="dxa"/>
            <w:tcBorders>
              <w:top w:val="nil" w:sz="6" w:space="0" w:color="auto"/>
              <w:left w:val="nil" w:sz="6" w:space="0" w:color="auto"/>
              <w:bottom w:val="nil" w:sz="6" w:space="0" w:color="auto"/>
              <w:right w:val="nil" w:sz="6" w:space="0" w:color="auto"/>
            </w:tcBorders>
          </w:tcPr>
          <w:p>
            <w:pPr/>
          </w:p>
        </w:tc>
        <w:tc>
          <w:tcPr>
            <w:tcW w:w="1044"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2"/>
              <w:jc w:val="right"/>
              <w:rPr>
                <w:rFonts w:ascii="Arial" w:hAnsi="Arial" w:cs="Arial" w:eastAsia="Arial" w:hint="default"/>
                <w:sz w:val="22"/>
                <w:szCs w:val="22"/>
              </w:rPr>
            </w:pPr>
            <w:r>
              <w:rPr>
                <w:rFonts w:ascii="Arial"/>
                <w:sz w:val="22"/>
              </w:rPr>
              <w:t>1,334</w:t>
            </w:r>
          </w:p>
        </w:tc>
        <w:tc>
          <w:tcPr>
            <w:tcW w:w="238" w:type="dxa"/>
            <w:tcBorders>
              <w:top w:val="nil" w:sz="6" w:space="0" w:color="auto"/>
              <w:left w:val="nil" w:sz="6" w:space="0" w:color="auto"/>
              <w:bottom w:val="nil" w:sz="6" w:space="0" w:color="auto"/>
              <w:right w:val="nil" w:sz="6" w:space="0" w:color="auto"/>
            </w:tcBorders>
          </w:tcPr>
          <w:p>
            <w:pPr/>
          </w:p>
        </w:tc>
        <w:tc>
          <w:tcPr>
            <w:tcW w:w="1030"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right"/>
              <w:rPr>
                <w:rFonts w:ascii="Arial" w:hAnsi="Arial" w:cs="Arial" w:eastAsia="Arial" w:hint="default"/>
                <w:sz w:val="22"/>
                <w:szCs w:val="22"/>
              </w:rPr>
            </w:pPr>
            <w:r>
              <w:rPr>
                <w:rFonts w:ascii="Arial"/>
                <w:sz w:val="22"/>
              </w:rPr>
              <w:t>2,150</w:t>
            </w:r>
          </w:p>
        </w:tc>
        <w:tc>
          <w:tcPr>
            <w:tcW w:w="230" w:type="dxa"/>
            <w:tcBorders>
              <w:top w:val="nil" w:sz="6" w:space="0" w:color="auto"/>
              <w:left w:val="nil" w:sz="6" w:space="0" w:color="auto"/>
              <w:bottom w:val="nil" w:sz="6" w:space="0" w:color="auto"/>
              <w:right w:val="nil" w:sz="6" w:space="0" w:color="auto"/>
            </w:tcBorders>
          </w:tcPr>
          <w:p>
            <w:pPr/>
          </w:p>
        </w:tc>
        <w:tc>
          <w:tcPr>
            <w:tcW w:w="1243"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576" w:right="0"/>
              <w:jc w:val="left"/>
              <w:rPr>
                <w:rFonts w:ascii="Arial" w:hAnsi="Arial" w:cs="Arial" w:eastAsia="Arial" w:hint="default"/>
                <w:sz w:val="22"/>
                <w:szCs w:val="22"/>
              </w:rPr>
            </w:pPr>
            <w:r>
              <w:rPr>
                <w:rFonts w:ascii="Arial"/>
                <w:sz w:val="22"/>
              </w:rPr>
              <w:t>4,375</w:t>
            </w:r>
          </w:p>
        </w:tc>
      </w:tr>
      <w:tr>
        <w:trPr>
          <w:trHeight w:val="288" w:hRule="exact"/>
        </w:trPr>
        <w:tc>
          <w:tcPr>
            <w:tcW w:w="2883" w:type="dxa"/>
            <w:tcBorders>
              <w:top w:val="nil" w:sz="6" w:space="0" w:color="auto"/>
              <w:left w:val="nil" w:sz="6" w:space="0" w:color="auto"/>
              <w:bottom w:val="nil" w:sz="6" w:space="0" w:color="auto"/>
              <w:right w:val="nil" w:sz="6" w:space="0" w:color="auto"/>
            </w:tcBorders>
          </w:tcPr>
          <w:p>
            <w:pPr>
              <w:pStyle w:val="TableParagraph"/>
              <w:spacing w:line="239" w:lineRule="exact"/>
              <w:ind w:left="315" w:right="0"/>
              <w:jc w:val="left"/>
              <w:rPr>
                <w:rFonts w:ascii="宋体" w:hAnsi="宋体" w:cs="宋体" w:eastAsia="宋体" w:hint="default"/>
                <w:sz w:val="22"/>
                <w:szCs w:val="22"/>
              </w:rPr>
            </w:pPr>
            <w:r>
              <w:rPr>
                <w:rFonts w:ascii="宋体" w:hAnsi="宋体" w:cs="宋体" w:eastAsia="宋体" w:hint="default"/>
                <w:sz w:val="22"/>
                <w:szCs w:val="22"/>
              </w:rPr>
              <w:t>长期应付款</w:t>
            </w:r>
          </w:p>
        </w:tc>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18"/>
              <w:jc w:val="right"/>
              <w:rPr>
                <w:rFonts w:ascii="Arial" w:hAnsi="Arial" w:cs="Arial" w:eastAsia="Arial" w:hint="default"/>
                <w:sz w:val="22"/>
                <w:szCs w:val="22"/>
              </w:rPr>
            </w:pPr>
            <w:r>
              <w:rPr>
                <w:rFonts w:ascii="Arial"/>
                <w:spacing w:val="-2"/>
                <w:sz w:val="22"/>
              </w:rPr>
              <w:t>251</w:t>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0"/>
              <w:jc w:val="right"/>
              <w:rPr>
                <w:rFonts w:ascii="Arial" w:hAnsi="Arial" w:cs="Arial" w:eastAsia="Arial" w:hint="default"/>
                <w:sz w:val="22"/>
                <w:szCs w:val="22"/>
              </w:rPr>
            </w:pPr>
            <w:r>
              <w:rPr>
                <w:rFonts w:ascii="Arial"/>
                <w:sz w:val="22"/>
              </w:rPr>
              <w:t>27</w:t>
            </w:r>
          </w:p>
        </w:tc>
        <w:tc>
          <w:tcPr>
            <w:tcW w:w="233" w:type="dxa"/>
            <w:tcBorders>
              <w:top w:val="nil" w:sz="6" w:space="0" w:color="auto"/>
              <w:left w:val="nil" w:sz="6" w:space="0" w:color="auto"/>
              <w:bottom w:val="nil" w:sz="6" w:space="0" w:color="auto"/>
              <w:right w:val="nil" w:sz="6" w:space="0" w:color="auto"/>
            </w:tcBorders>
          </w:tcPr>
          <w:p>
            <w:pP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2"/>
              <w:jc w:val="right"/>
              <w:rPr>
                <w:rFonts w:ascii="Arial" w:hAnsi="Arial" w:cs="Arial" w:eastAsia="Arial" w:hint="default"/>
                <w:sz w:val="22"/>
                <w:szCs w:val="22"/>
              </w:rPr>
            </w:pPr>
            <w:r>
              <w:rPr>
                <w:rFonts w:ascii="Arial"/>
                <w:sz w:val="22"/>
              </w:rPr>
              <w:t>31</w:t>
            </w:r>
          </w:p>
        </w:tc>
        <w:tc>
          <w:tcPr>
            <w:tcW w:w="238" w:type="dxa"/>
            <w:tcBorders>
              <w:top w:val="nil" w:sz="6" w:space="0" w:color="auto"/>
              <w:left w:val="nil" w:sz="6" w:space="0" w:color="auto"/>
              <w:bottom w:val="nil" w:sz="6" w:space="0" w:color="auto"/>
              <w:right w:val="nil" w:sz="6" w:space="0" w:color="auto"/>
            </w:tcBorders>
          </w:tcPr>
          <w:p>
            <w:pP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
              <w:jc w:val="right"/>
              <w:rPr>
                <w:rFonts w:ascii="Arial" w:hAnsi="Arial" w:cs="Arial" w:eastAsia="Arial" w:hint="default"/>
                <w:sz w:val="22"/>
                <w:szCs w:val="22"/>
              </w:rPr>
            </w:pPr>
            <w:r>
              <w:rPr>
                <w:rFonts w:ascii="Arial"/>
                <w:w w:val="100"/>
                <w:sz w:val="22"/>
              </w:rPr>
              <w:t>4</w:t>
            </w:r>
          </w:p>
        </w:tc>
        <w:tc>
          <w:tcPr>
            <w:tcW w:w="230" w:type="dxa"/>
            <w:tcBorders>
              <w:top w:val="nil" w:sz="6" w:space="0" w:color="auto"/>
              <w:left w:val="nil" w:sz="6" w:space="0" w:color="auto"/>
              <w:bottom w:val="nil" w:sz="6" w:space="0" w:color="auto"/>
              <w:right w:val="nil" w:sz="6" w:space="0" w:color="auto"/>
            </w:tcBorders>
          </w:tcPr>
          <w:p>
            <w:pPr/>
          </w:p>
        </w:tc>
        <w:tc>
          <w:tcPr>
            <w:tcW w:w="1243" w:type="dxa"/>
            <w:tcBorders>
              <w:top w:val="nil" w:sz="6" w:space="0" w:color="auto"/>
              <w:left w:val="nil" w:sz="6" w:space="0" w:color="auto"/>
              <w:bottom w:val="nil" w:sz="6" w:space="0" w:color="auto"/>
              <w:right w:val="nil" w:sz="6" w:space="0" w:color="auto"/>
            </w:tcBorders>
          </w:tcPr>
          <w:p>
            <w:pPr>
              <w:pStyle w:val="TableParagraph"/>
              <w:spacing w:line="240" w:lineRule="auto" w:before="21"/>
              <w:ind w:left="763" w:right="0"/>
              <w:jc w:val="left"/>
              <w:rPr>
                <w:rFonts w:ascii="Arial" w:hAnsi="Arial" w:cs="Arial" w:eastAsia="Arial" w:hint="default"/>
                <w:sz w:val="22"/>
                <w:szCs w:val="22"/>
              </w:rPr>
            </w:pPr>
            <w:r>
              <w:rPr>
                <w:rFonts w:ascii="Arial"/>
                <w:sz w:val="22"/>
              </w:rPr>
              <w:t>313</w:t>
            </w:r>
          </w:p>
        </w:tc>
      </w:tr>
      <w:tr>
        <w:trPr>
          <w:trHeight w:val="283" w:hRule="exact"/>
        </w:trPr>
        <w:tc>
          <w:tcPr>
            <w:tcW w:w="2883" w:type="dxa"/>
            <w:tcBorders>
              <w:top w:val="nil" w:sz="6" w:space="0" w:color="auto"/>
              <w:left w:val="nil" w:sz="6" w:space="0" w:color="auto"/>
              <w:bottom w:val="nil" w:sz="6" w:space="0" w:color="auto"/>
              <w:right w:val="nil" w:sz="6" w:space="0" w:color="auto"/>
            </w:tcBorders>
          </w:tcPr>
          <w:p>
            <w:pPr>
              <w:pStyle w:val="TableParagraph"/>
              <w:spacing w:line="239" w:lineRule="exact"/>
              <w:ind w:left="315" w:right="0"/>
              <w:jc w:val="left"/>
              <w:rPr>
                <w:rFonts w:ascii="宋体" w:hAnsi="宋体" w:cs="宋体" w:eastAsia="宋体" w:hint="default"/>
                <w:sz w:val="22"/>
                <w:szCs w:val="22"/>
              </w:rPr>
            </w:pPr>
            <w:r>
              <w:rPr>
                <w:rFonts w:ascii="宋体" w:hAnsi="宋体" w:cs="宋体" w:eastAsia="宋体" w:hint="default"/>
                <w:sz w:val="22"/>
                <w:szCs w:val="22"/>
              </w:rPr>
              <w:t>长期应付职工薪酬</w:t>
            </w:r>
          </w:p>
        </w:tc>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5"/>
              <w:jc w:val="right"/>
              <w:rPr>
                <w:rFonts w:ascii="Arial" w:hAnsi="Arial" w:cs="Arial" w:eastAsia="Arial" w:hint="default"/>
                <w:sz w:val="22"/>
                <w:szCs w:val="22"/>
              </w:rPr>
            </w:pPr>
            <w:r>
              <w:rPr>
                <w:rFonts w:ascii="Arial"/>
                <w:w w:val="100"/>
                <w:sz w:val="22"/>
              </w:rPr>
              <w:t>5</w:t>
            </w:r>
          </w:p>
        </w:tc>
        <w:tc>
          <w:tcPr>
            <w:tcW w:w="238" w:type="dxa"/>
            <w:tcBorders>
              <w:top w:val="nil" w:sz="6" w:space="0" w:color="auto"/>
              <w:left w:val="nil" w:sz="6" w:space="0" w:color="auto"/>
              <w:bottom w:val="nil" w:sz="6" w:space="0" w:color="auto"/>
              <w:right w:val="nil" w:sz="6" w:space="0" w:color="auto"/>
            </w:tcBorders>
          </w:tcPr>
          <w:p>
            <w:pP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2"/>
              <w:jc w:val="right"/>
              <w:rPr>
                <w:rFonts w:ascii="Arial" w:hAnsi="Arial" w:cs="Arial" w:eastAsia="Arial" w:hint="default"/>
                <w:sz w:val="22"/>
                <w:szCs w:val="22"/>
              </w:rPr>
            </w:pPr>
            <w:r>
              <w:rPr>
                <w:rFonts w:ascii="Arial"/>
                <w:w w:val="100"/>
                <w:sz w:val="22"/>
              </w:rPr>
              <w:t>5</w:t>
            </w:r>
          </w:p>
        </w:tc>
        <w:tc>
          <w:tcPr>
            <w:tcW w:w="233" w:type="dxa"/>
            <w:tcBorders>
              <w:top w:val="nil" w:sz="6" w:space="0" w:color="auto"/>
              <w:left w:val="nil" w:sz="6" w:space="0" w:color="auto"/>
              <w:bottom w:val="nil" w:sz="6" w:space="0" w:color="auto"/>
              <w:right w:val="nil" w:sz="6" w:space="0" w:color="auto"/>
            </w:tcBorders>
          </w:tcPr>
          <w:p>
            <w:pP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2"/>
              <w:jc w:val="right"/>
              <w:rPr>
                <w:rFonts w:ascii="Arial" w:hAnsi="Arial" w:cs="Arial" w:eastAsia="Arial" w:hint="default"/>
                <w:sz w:val="22"/>
                <w:szCs w:val="22"/>
              </w:rPr>
            </w:pPr>
            <w:r>
              <w:rPr>
                <w:rFonts w:ascii="Arial"/>
                <w:sz w:val="22"/>
              </w:rPr>
              <w:t>15</w:t>
            </w:r>
          </w:p>
        </w:tc>
        <w:tc>
          <w:tcPr>
            <w:tcW w:w="238" w:type="dxa"/>
            <w:tcBorders>
              <w:top w:val="nil" w:sz="6" w:space="0" w:color="auto"/>
              <w:left w:val="nil" w:sz="6" w:space="0" w:color="auto"/>
              <w:bottom w:val="nil" w:sz="6" w:space="0" w:color="auto"/>
              <w:right w:val="nil" w:sz="6" w:space="0" w:color="auto"/>
            </w:tcBorders>
          </w:tcPr>
          <w:p>
            <w:pP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0"/>
              <w:jc w:val="right"/>
              <w:rPr>
                <w:rFonts w:ascii="Arial" w:hAnsi="Arial" w:cs="Arial" w:eastAsia="Arial" w:hint="default"/>
                <w:sz w:val="22"/>
                <w:szCs w:val="22"/>
              </w:rPr>
            </w:pPr>
            <w:r>
              <w:rPr>
                <w:rFonts w:ascii="Arial"/>
                <w:sz w:val="22"/>
              </w:rPr>
              <w:t>46</w:t>
            </w:r>
          </w:p>
        </w:tc>
        <w:tc>
          <w:tcPr>
            <w:tcW w:w="230" w:type="dxa"/>
            <w:tcBorders>
              <w:top w:val="nil" w:sz="6" w:space="0" w:color="auto"/>
              <w:left w:val="nil" w:sz="6" w:space="0" w:color="auto"/>
              <w:bottom w:val="nil" w:sz="6" w:space="0" w:color="auto"/>
              <w:right w:val="nil" w:sz="6" w:space="0" w:color="auto"/>
            </w:tcBorders>
          </w:tcPr>
          <w:p>
            <w:pPr/>
          </w:p>
        </w:tc>
        <w:tc>
          <w:tcPr>
            <w:tcW w:w="1243"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8"/>
              <w:jc w:val="right"/>
              <w:rPr>
                <w:rFonts w:ascii="Arial" w:hAnsi="Arial" w:cs="Arial" w:eastAsia="Arial" w:hint="default"/>
                <w:sz w:val="22"/>
                <w:szCs w:val="22"/>
              </w:rPr>
            </w:pPr>
            <w:r>
              <w:rPr>
                <w:rFonts w:ascii="Arial"/>
                <w:sz w:val="22"/>
              </w:rPr>
              <w:t>71</w:t>
            </w:r>
          </w:p>
        </w:tc>
      </w:tr>
      <w:tr>
        <w:trPr>
          <w:trHeight w:val="288" w:hRule="exact"/>
        </w:trPr>
        <w:tc>
          <w:tcPr>
            <w:tcW w:w="2883" w:type="dxa"/>
            <w:tcBorders>
              <w:top w:val="nil" w:sz="6" w:space="0" w:color="auto"/>
              <w:left w:val="nil" w:sz="6" w:space="0" w:color="auto"/>
              <w:bottom w:val="nil" w:sz="6" w:space="0" w:color="auto"/>
              <w:right w:val="nil" w:sz="6" w:space="0" w:color="auto"/>
            </w:tcBorders>
          </w:tcPr>
          <w:p>
            <w:pPr>
              <w:pStyle w:val="TableParagraph"/>
              <w:spacing w:line="239" w:lineRule="exact"/>
              <w:ind w:left="315" w:right="0"/>
              <w:jc w:val="left"/>
              <w:rPr>
                <w:rFonts w:ascii="宋体" w:hAnsi="宋体" w:cs="宋体" w:eastAsia="宋体" w:hint="default"/>
                <w:sz w:val="22"/>
                <w:szCs w:val="22"/>
              </w:rPr>
            </w:pPr>
            <w:r>
              <w:rPr>
                <w:rFonts w:ascii="宋体" w:hAnsi="宋体" w:cs="宋体" w:eastAsia="宋体" w:hint="default"/>
                <w:sz w:val="22"/>
                <w:szCs w:val="22"/>
              </w:rPr>
              <w:t>应付债券</w:t>
            </w:r>
          </w:p>
        </w:tc>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45" w:right="0"/>
              <w:jc w:val="left"/>
              <w:rPr>
                <w:rFonts w:ascii="Arial" w:hAnsi="Arial" w:cs="Arial" w:eastAsia="Arial" w:hint="default"/>
                <w:sz w:val="22"/>
                <w:szCs w:val="22"/>
              </w:rPr>
            </w:pPr>
            <w:r>
              <w:rPr>
                <w:rFonts w:ascii="Arial"/>
                <w:sz w:val="22"/>
              </w:rPr>
              <w:t>17,282</w:t>
            </w:r>
          </w:p>
        </w:tc>
        <w:tc>
          <w:tcPr>
            <w:tcW w:w="238" w:type="dxa"/>
            <w:tcBorders>
              <w:top w:val="nil" w:sz="6" w:space="0" w:color="auto"/>
              <w:left w:val="nil" w:sz="6" w:space="0" w:color="auto"/>
              <w:bottom w:val="nil" w:sz="6" w:space="0" w:color="auto"/>
              <w:right w:val="nil" w:sz="6" w:space="0" w:color="auto"/>
            </w:tcBorders>
          </w:tcPr>
          <w:p>
            <w:pP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0"/>
              <w:jc w:val="right"/>
              <w:rPr>
                <w:rFonts w:ascii="Arial" w:hAnsi="Arial" w:cs="Arial" w:eastAsia="Arial" w:hint="default"/>
                <w:sz w:val="22"/>
                <w:szCs w:val="22"/>
              </w:rPr>
            </w:pPr>
            <w:r>
              <w:rPr>
                <w:rFonts w:ascii="Arial"/>
                <w:sz w:val="22"/>
              </w:rPr>
              <w:t>34</w:t>
            </w:r>
          </w:p>
        </w:tc>
        <w:tc>
          <w:tcPr>
            <w:tcW w:w="233" w:type="dxa"/>
            <w:tcBorders>
              <w:top w:val="nil" w:sz="6" w:space="0" w:color="auto"/>
              <w:left w:val="nil" w:sz="6" w:space="0" w:color="auto"/>
              <w:bottom w:val="nil" w:sz="6" w:space="0" w:color="auto"/>
              <w:right w:val="nil" w:sz="6" w:space="0" w:color="auto"/>
            </w:tcBorders>
          </w:tcPr>
          <w:p>
            <w:pP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2"/>
              <w:jc w:val="right"/>
              <w:rPr>
                <w:rFonts w:ascii="Arial" w:hAnsi="Arial" w:cs="Arial" w:eastAsia="Arial" w:hint="default"/>
                <w:sz w:val="22"/>
                <w:szCs w:val="22"/>
              </w:rPr>
            </w:pPr>
            <w:r>
              <w:rPr>
                <w:rFonts w:ascii="Arial"/>
                <w:sz w:val="22"/>
              </w:rPr>
              <w:t>1,015</w:t>
            </w:r>
          </w:p>
        </w:tc>
        <w:tc>
          <w:tcPr>
            <w:tcW w:w="238" w:type="dxa"/>
            <w:tcBorders>
              <w:top w:val="nil" w:sz="6" w:space="0" w:color="auto"/>
              <w:left w:val="nil" w:sz="6" w:space="0" w:color="auto"/>
              <w:bottom w:val="nil" w:sz="6" w:space="0" w:color="auto"/>
              <w:right w:val="nil" w:sz="6" w:space="0" w:color="auto"/>
            </w:tcBorders>
          </w:tcPr>
          <w:p>
            <w:pP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
              <w:jc w:val="right"/>
              <w:rPr>
                <w:rFonts w:ascii="Arial" w:hAnsi="Arial" w:cs="Arial" w:eastAsia="Arial" w:hint="default"/>
                <w:sz w:val="22"/>
                <w:szCs w:val="22"/>
              </w:rPr>
            </w:pPr>
            <w:r>
              <w:rPr>
                <w:rFonts w:ascii="Arial"/>
                <w:w w:val="100"/>
                <w:sz w:val="22"/>
              </w:rPr>
              <w:t>-</w:t>
            </w:r>
          </w:p>
        </w:tc>
        <w:tc>
          <w:tcPr>
            <w:tcW w:w="230" w:type="dxa"/>
            <w:tcBorders>
              <w:top w:val="nil" w:sz="6" w:space="0" w:color="auto"/>
              <w:left w:val="nil" w:sz="6" w:space="0" w:color="auto"/>
              <w:bottom w:val="nil" w:sz="6" w:space="0" w:color="auto"/>
              <w:right w:val="nil" w:sz="6" w:space="0" w:color="auto"/>
            </w:tcBorders>
          </w:tcPr>
          <w:p>
            <w:pPr/>
          </w:p>
        </w:tc>
        <w:tc>
          <w:tcPr>
            <w:tcW w:w="1243" w:type="dxa"/>
            <w:tcBorders>
              <w:top w:val="nil" w:sz="6" w:space="0" w:color="auto"/>
              <w:left w:val="nil" w:sz="6" w:space="0" w:color="auto"/>
              <w:bottom w:val="nil" w:sz="6" w:space="0" w:color="auto"/>
              <w:right w:val="nil" w:sz="6" w:space="0" w:color="auto"/>
            </w:tcBorders>
          </w:tcPr>
          <w:p>
            <w:pPr>
              <w:pStyle w:val="TableParagraph"/>
              <w:spacing w:line="240" w:lineRule="auto" w:before="21"/>
              <w:ind w:left="456" w:right="0"/>
              <w:jc w:val="left"/>
              <w:rPr>
                <w:rFonts w:ascii="Arial" w:hAnsi="Arial" w:cs="Arial" w:eastAsia="Arial" w:hint="default"/>
                <w:sz w:val="22"/>
                <w:szCs w:val="22"/>
              </w:rPr>
            </w:pPr>
            <w:r>
              <w:rPr>
                <w:rFonts w:ascii="Arial"/>
                <w:sz w:val="22"/>
              </w:rPr>
              <w:t>18,331</w:t>
            </w:r>
          </w:p>
        </w:tc>
      </w:tr>
      <w:tr>
        <w:trPr>
          <w:trHeight w:val="283" w:hRule="exact"/>
        </w:trPr>
        <w:tc>
          <w:tcPr>
            <w:tcW w:w="2883" w:type="dxa"/>
            <w:tcBorders>
              <w:top w:val="nil" w:sz="6" w:space="0" w:color="auto"/>
              <w:left w:val="nil" w:sz="6" w:space="0" w:color="auto"/>
              <w:bottom w:val="nil" w:sz="6" w:space="0" w:color="auto"/>
              <w:right w:val="nil" w:sz="6" w:space="0" w:color="auto"/>
            </w:tcBorders>
          </w:tcPr>
          <w:p>
            <w:pPr>
              <w:pStyle w:val="TableParagraph"/>
              <w:spacing w:line="239" w:lineRule="exact"/>
              <w:ind w:left="315" w:right="0"/>
              <w:jc w:val="left"/>
              <w:rPr>
                <w:rFonts w:ascii="宋体" w:hAnsi="宋体" w:cs="宋体" w:eastAsia="宋体" w:hint="default"/>
                <w:sz w:val="22"/>
                <w:szCs w:val="22"/>
              </w:rPr>
            </w:pPr>
            <w:r>
              <w:rPr>
                <w:rFonts w:ascii="宋体" w:hAnsi="宋体" w:cs="宋体" w:eastAsia="宋体" w:hint="default"/>
                <w:sz w:val="22"/>
                <w:szCs w:val="22"/>
              </w:rPr>
              <w:t>应付款项</w:t>
            </w:r>
          </w:p>
        </w:tc>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20" w:right="0"/>
              <w:jc w:val="left"/>
              <w:rPr>
                <w:rFonts w:ascii="Arial" w:hAnsi="Arial" w:cs="Arial" w:eastAsia="Arial" w:hint="default"/>
                <w:sz w:val="22"/>
                <w:szCs w:val="22"/>
              </w:rPr>
            </w:pPr>
            <w:r>
              <w:rPr>
                <w:rFonts w:ascii="Arial"/>
                <w:sz w:val="22"/>
              </w:rPr>
              <w:t>133,282</w:t>
            </w:r>
          </w:p>
        </w:tc>
        <w:tc>
          <w:tcPr>
            <w:tcW w:w="238" w:type="dxa"/>
            <w:tcBorders>
              <w:top w:val="nil" w:sz="6" w:space="0" w:color="auto"/>
              <w:left w:val="nil" w:sz="6" w:space="0" w:color="auto"/>
              <w:bottom w:val="nil" w:sz="6" w:space="0" w:color="auto"/>
              <w:right w:val="nil" w:sz="6" w:space="0" w:color="auto"/>
            </w:tcBorders>
          </w:tcPr>
          <w:p>
            <w:pP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4"/>
              <w:jc w:val="right"/>
              <w:rPr>
                <w:rFonts w:ascii="Arial" w:hAnsi="Arial" w:cs="Arial" w:eastAsia="Arial" w:hint="default"/>
                <w:sz w:val="22"/>
                <w:szCs w:val="22"/>
              </w:rPr>
            </w:pPr>
            <w:r>
              <w:rPr>
                <w:rFonts w:ascii="Arial"/>
                <w:w w:val="100"/>
                <w:sz w:val="22"/>
              </w:rPr>
              <w:t>-</w:t>
            </w:r>
          </w:p>
        </w:tc>
        <w:tc>
          <w:tcPr>
            <w:tcW w:w="233" w:type="dxa"/>
            <w:tcBorders>
              <w:top w:val="nil" w:sz="6" w:space="0" w:color="auto"/>
              <w:left w:val="nil" w:sz="6" w:space="0" w:color="auto"/>
              <w:bottom w:val="nil" w:sz="6" w:space="0" w:color="auto"/>
              <w:right w:val="nil" w:sz="6" w:space="0" w:color="auto"/>
            </w:tcBorders>
          </w:tcPr>
          <w:p>
            <w:pP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5"/>
              <w:jc w:val="right"/>
              <w:rPr>
                <w:rFonts w:ascii="Arial" w:hAnsi="Arial" w:cs="Arial" w:eastAsia="Arial" w:hint="default"/>
                <w:sz w:val="22"/>
                <w:szCs w:val="22"/>
              </w:rPr>
            </w:pPr>
            <w:r>
              <w:rPr>
                <w:rFonts w:ascii="Arial"/>
                <w:w w:val="100"/>
                <w:sz w:val="22"/>
              </w:rPr>
              <w:t>-</w:t>
            </w:r>
          </w:p>
        </w:tc>
        <w:tc>
          <w:tcPr>
            <w:tcW w:w="238" w:type="dxa"/>
            <w:tcBorders>
              <w:top w:val="nil" w:sz="6" w:space="0" w:color="auto"/>
              <w:left w:val="nil" w:sz="6" w:space="0" w:color="auto"/>
              <w:bottom w:val="nil" w:sz="6" w:space="0" w:color="auto"/>
              <w:right w:val="nil" w:sz="6" w:space="0" w:color="auto"/>
            </w:tcBorders>
          </w:tcPr>
          <w:p>
            <w:pP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
              <w:jc w:val="right"/>
              <w:rPr>
                <w:rFonts w:ascii="Arial" w:hAnsi="Arial" w:cs="Arial" w:eastAsia="Arial" w:hint="default"/>
                <w:sz w:val="22"/>
                <w:szCs w:val="22"/>
              </w:rPr>
            </w:pPr>
            <w:r>
              <w:rPr>
                <w:rFonts w:ascii="Arial"/>
                <w:w w:val="100"/>
                <w:sz w:val="22"/>
              </w:rPr>
              <w:t>-</w:t>
            </w:r>
          </w:p>
        </w:tc>
        <w:tc>
          <w:tcPr>
            <w:tcW w:w="230" w:type="dxa"/>
            <w:tcBorders>
              <w:top w:val="nil" w:sz="6" w:space="0" w:color="auto"/>
              <w:left w:val="nil" w:sz="6" w:space="0" w:color="auto"/>
              <w:bottom w:val="nil" w:sz="6" w:space="0" w:color="auto"/>
              <w:right w:val="nil" w:sz="6" w:space="0" w:color="auto"/>
            </w:tcBorders>
          </w:tcPr>
          <w:p>
            <w:pPr/>
          </w:p>
        </w:tc>
        <w:tc>
          <w:tcPr>
            <w:tcW w:w="124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31" w:right="0"/>
              <w:jc w:val="left"/>
              <w:rPr>
                <w:rFonts w:ascii="Arial" w:hAnsi="Arial" w:cs="Arial" w:eastAsia="Arial" w:hint="default"/>
                <w:sz w:val="22"/>
                <w:szCs w:val="22"/>
              </w:rPr>
            </w:pPr>
            <w:r>
              <w:rPr>
                <w:rFonts w:ascii="Arial"/>
                <w:sz w:val="22"/>
              </w:rPr>
              <w:t>133,282</w:t>
            </w:r>
          </w:p>
        </w:tc>
      </w:tr>
      <w:tr>
        <w:trPr>
          <w:trHeight w:val="416" w:hRule="exact"/>
        </w:trPr>
        <w:tc>
          <w:tcPr>
            <w:tcW w:w="2883" w:type="dxa"/>
            <w:tcBorders>
              <w:top w:val="nil" w:sz="6" w:space="0" w:color="auto"/>
              <w:left w:val="nil" w:sz="6" w:space="0" w:color="auto"/>
              <w:bottom w:val="nil" w:sz="6" w:space="0" w:color="auto"/>
              <w:right w:val="nil" w:sz="6" w:space="0" w:color="auto"/>
            </w:tcBorders>
          </w:tcPr>
          <w:p>
            <w:pPr>
              <w:pStyle w:val="TableParagraph"/>
              <w:spacing w:line="239" w:lineRule="exact"/>
              <w:ind w:left="315" w:right="0"/>
              <w:jc w:val="left"/>
              <w:rPr>
                <w:rFonts w:ascii="宋体" w:hAnsi="宋体" w:cs="宋体" w:eastAsia="宋体" w:hint="default"/>
                <w:sz w:val="22"/>
                <w:szCs w:val="22"/>
              </w:rPr>
            </w:pPr>
            <w:r>
              <w:rPr>
                <w:rFonts w:ascii="宋体" w:hAnsi="宋体" w:cs="宋体" w:eastAsia="宋体" w:hint="default"/>
                <w:sz w:val="22"/>
                <w:szCs w:val="22"/>
              </w:rPr>
              <w:t>短期借款</w:t>
            </w:r>
          </w:p>
        </w:tc>
        <w:tc>
          <w:tcPr>
            <w:tcW w:w="1138" w:type="dxa"/>
            <w:tcBorders>
              <w:top w:val="nil" w:sz="6" w:space="0" w:color="auto"/>
              <w:left w:val="nil" w:sz="6" w:space="0" w:color="auto"/>
              <w:bottom w:val="nil" w:sz="6" w:space="0" w:color="auto"/>
              <w:right w:val="nil" w:sz="6" w:space="0" w:color="auto"/>
            </w:tcBorders>
          </w:tcPr>
          <w:p>
            <w:pPr>
              <w:pStyle w:val="TableParagraph"/>
              <w:tabs>
                <w:tab w:pos="345" w:val="left" w:leader="none"/>
                <w:tab w:pos="1137" w:val="left" w:leader="none"/>
              </w:tabs>
              <w:spacing w:line="240" w:lineRule="auto" w:before="16"/>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15,499</w:t>
              <w:tab/>
            </w:r>
            <w:r>
              <w:rPr>
                <w:rFonts w:ascii="Arial"/>
                <w:spacing w:val="-1"/>
                <w:sz w:val="22"/>
              </w:rPr>
            </w:r>
          </w:p>
        </w:tc>
        <w:tc>
          <w:tcPr>
            <w:tcW w:w="238" w:type="dxa"/>
            <w:tcBorders>
              <w:top w:val="nil" w:sz="6" w:space="0" w:color="auto"/>
              <w:left w:val="nil" w:sz="6" w:space="0" w:color="auto"/>
              <w:bottom w:val="nil" w:sz="6" w:space="0" w:color="auto"/>
              <w:right w:val="nil" w:sz="6" w:space="0" w:color="auto"/>
            </w:tcBorders>
          </w:tcPr>
          <w:p>
            <w:pPr/>
          </w:p>
        </w:tc>
        <w:tc>
          <w:tcPr>
            <w:tcW w:w="1082" w:type="dxa"/>
            <w:tcBorders>
              <w:top w:val="nil" w:sz="6" w:space="0" w:color="auto"/>
              <w:left w:val="nil" w:sz="6" w:space="0" w:color="auto"/>
              <w:bottom w:val="nil" w:sz="6" w:space="0" w:color="auto"/>
              <w:right w:val="nil" w:sz="6" w:space="0" w:color="auto"/>
            </w:tcBorders>
          </w:tcPr>
          <w:p>
            <w:pPr>
              <w:pStyle w:val="TableParagraph"/>
              <w:tabs>
                <w:tab w:pos="945" w:val="left" w:leader="none"/>
              </w:tabs>
              <w:spacing w:line="240" w:lineRule="auto" w:before="16"/>
              <w:ind w:right="54"/>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r>
            <w:r>
              <w:rPr>
                <w:rFonts w:ascii="Arial"/>
                <w:sz w:val="22"/>
              </w:rPr>
            </w:r>
          </w:p>
        </w:tc>
        <w:tc>
          <w:tcPr>
            <w:tcW w:w="233" w:type="dxa"/>
            <w:tcBorders>
              <w:top w:val="nil" w:sz="6" w:space="0" w:color="auto"/>
              <w:left w:val="nil" w:sz="6" w:space="0" w:color="auto"/>
              <w:bottom w:val="nil" w:sz="6" w:space="0" w:color="auto"/>
              <w:right w:val="nil" w:sz="6" w:space="0" w:color="auto"/>
            </w:tcBorders>
          </w:tcPr>
          <w:p>
            <w:pPr/>
          </w:p>
        </w:tc>
        <w:tc>
          <w:tcPr>
            <w:tcW w:w="1044" w:type="dxa"/>
            <w:tcBorders>
              <w:top w:val="nil" w:sz="6" w:space="0" w:color="auto"/>
              <w:left w:val="nil" w:sz="6" w:space="0" w:color="auto"/>
              <w:bottom w:val="nil" w:sz="6" w:space="0" w:color="auto"/>
              <w:right w:val="nil" w:sz="6" w:space="0" w:color="auto"/>
            </w:tcBorders>
          </w:tcPr>
          <w:p>
            <w:pPr>
              <w:pStyle w:val="TableParagraph"/>
              <w:tabs>
                <w:tab w:pos="945" w:val="left" w:leader="none"/>
              </w:tabs>
              <w:spacing w:line="240" w:lineRule="auto" w:before="16"/>
              <w:ind w:right="15"/>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1030" w:type="dxa"/>
            <w:tcBorders>
              <w:top w:val="nil" w:sz="6" w:space="0" w:color="auto"/>
              <w:left w:val="nil" w:sz="6" w:space="0" w:color="auto"/>
              <w:bottom w:val="nil" w:sz="6" w:space="0" w:color="auto"/>
              <w:right w:val="nil" w:sz="6" w:space="0" w:color="auto"/>
            </w:tcBorders>
          </w:tcPr>
          <w:p>
            <w:pPr>
              <w:pStyle w:val="TableParagraph"/>
              <w:tabs>
                <w:tab w:pos="945" w:val="left" w:leader="none"/>
              </w:tabs>
              <w:spacing w:line="240" w:lineRule="auto" w:before="16"/>
              <w:ind w:right="1"/>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r>
            <w:r>
              <w:rPr>
                <w:rFonts w:ascii="Arial"/>
                <w:sz w:val="22"/>
              </w:rPr>
            </w:r>
          </w:p>
        </w:tc>
        <w:tc>
          <w:tcPr>
            <w:tcW w:w="230" w:type="dxa"/>
            <w:tcBorders>
              <w:top w:val="nil" w:sz="6" w:space="0" w:color="auto"/>
              <w:left w:val="nil" w:sz="6" w:space="0" w:color="auto"/>
              <w:bottom w:val="nil" w:sz="6" w:space="0" w:color="auto"/>
              <w:right w:val="nil" w:sz="6" w:space="0" w:color="auto"/>
            </w:tcBorders>
          </w:tcPr>
          <w:p>
            <w:pPr/>
          </w:p>
        </w:tc>
        <w:tc>
          <w:tcPr>
            <w:tcW w:w="1243" w:type="dxa"/>
            <w:tcBorders>
              <w:top w:val="nil" w:sz="6" w:space="0" w:color="auto"/>
              <w:left w:val="nil" w:sz="6" w:space="0" w:color="auto"/>
              <w:bottom w:val="nil" w:sz="6" w:space="0" w:color="auto"/>
              <w:right w:val="nil" w:sz="6" w:space="0" w:color="auto"/>
            </w:tcBorders>
          </w:tcPr>
          <w:p>
            <w:pPr>
              <w:pStyle w:val="TableParagraph"/>
              <w:tabs>
                <w:tab w:pos="455" w:val="left" w:leader="none"/>
                <w:tab w:pos="1243" w:val="left" w:leader="none"/>
              </w:tabs>
              <w:spacing w:line="240" w:lineRule="auto" w:before="16"/>
              <w:ind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15,499</w:t>
              <w:tab/>
            </w:r>
            <w:r>
              <w:rPr>
                <w:rFonts w:ascii="Arial"/>
                <w:sz w:val="22"/>
              </w:rPr>
            </w:r>
          </w:p>
        </w:tc>
      </w:tr>
      <w:tr>
        <w:trPr>
          <w:trHeight w:val="400" w:hRule="exact"/>
        </w:trPr>
        <w:tc>
          <w:tcPr>
            <w:tcW w:w="2883" w:type="dxa"/>
            <w:tcBorders>
              <w:top w:val="nil" w:sz="6" w:space="0" w:color="auto"/>
              <w:left w:val="nil" w:sz="6" w:space="0" w:color="auto"/>
              <w:bottom w:val="nil" w:sz="6" w:space="0" w:color="auto"/>
              <w:right w:val="nil" w:sz="6" w:space="0" w:color="auto"/>
            </w:tcBorders>
          </w:tcPr>
          <w:p>
            <w:pPr/>
          </w:p>
        </w:tc>
        <w:tc>
          <w:tcPr>
            <w:tcW w:w="1138" w:type="dxa"/>
            <w:tcBorders>
              <w:top w:val="nil" w:sz="6" w:space="0" w:color="auto"/>
              <w:left w:val="nil" w:sz="6" w:space="0" w:color="auto"/>
              <w:bottom w:val="single" w:sz="17" w:space="0" w:color="000000"/>
              <w:right w:val="nil" w:sz="6" w:space="0" w:color="auto"/>
            </w:tcBorders>
          </w:tcPr>
          <w:p>
            <w:pPr>
              <w:pStyle w:val="TableParagraph"/>
              <w:spacing w:line="240" w:lineRule="auto" w:before="123"/>
              <w:ind w:left="220" w:right="0"/>
              <w:jc w:val="left"/>
              <w:rPr>
                <w:rFonts w:ascii="Arial" w:hAnsi="Arial" w:cs="Arial" w:eastAsia="Arial" w:hint="default"/>
                <w:sz w:val="22"/>
                <w:szCs w:val="22"/>
              </w:rPr>
            </w:pPr>
            <w:r>
              <w:rPr>
                <w:rFonts w:ascii="Arial"/>
                <w:sz w:val="22"/>
              </w:rPr>
              <w:t>166,771</w:t>
            </w:r>
          </w:p>
        </w:tc>
        <w:tc>
          <w:tcPr>
            <w:tcW w:w="238" w:type="dxa"/>
            <w:tcBorders>
              <w:top w:val="nil" w:sz="6" w:space="0" w:color="auto"/>
              <w:left w:val="nil" w:sz="6" w:space="0" w:color="auto"/>
              <w:bottom w:val="nil" w:sz="6" w:space="0" w:color="auto"/>
              <w:right w:val="nil" w:sz="6" w:space="0" w:color="auto"/>
            </w:tcBorders>
          </w:tcPr>
          <w:p>
            <w:pPr/>
          </w:p>
        </w:tc>
        <w:tc>
          <w:tcPr>
            <w:tcW w:w="1082" w:type="dxa"/>
            <w:tcBorders>
              <w:top w:val="nil" w:sz="6" w:space="0" w:color="auto"/>
              <w:left w:val="nil" w:sz="6" w:space="0" w:color="auto"/>
              <w:bottom w:val="single" w:sz="17" w:space="0" w:color="000000"/>
              <w:right w:val="nil" w:sz="6" w:space="0" w:color="auto"/>
            </w:tcBorders>
          </w:tcPr>
          <w:p>
            <w:pPr>
              <w:pStyle w:val="TableParagraph"/>
              <w:spacing w:line="240" w:lineRule="auto" w:before="123"/>
              <w:ind w:right="55"/>
              <w:jc w:val="right"/>
              <w:rPr>
                <w:rFonts w:ascii="Arial" w:hAnsi="Arial" w:cs="Arial" w:eastAsia="Arial" w:hint="default"/>
                <w:sz w:val="22"/>
                <w:szCs w:val="22"/>
              </w:rPr>
            </w:pPr>
            <w:r>
              <w:rPr>
                <w:rFonts w:ascii="Arial"/>
                <w:spacing w:val="-2"/>
                <w:sz w:val="22"/>
              </w:rPr>
              <w:t>505</w:t>
            </w:r>
            <w:r>
              <w:rPr>
                <w:rFonts w:ascii="Arial"/>
                <w:sz w:val="22"/>
              </w:rPr>
            </w:r>
          </w:p>
        </w:tc>
        <w:tc>
          <w:tcPr>
            <w:tcW w:w="233" w:type="dxa"/>
            <w:tcBorders>
              <w:top w:val="nil" w:sz="6" w:space="0" w:color="auto"/>
              <w:left w:val="nil" w:sz="6" w:space="0" w:color="auto"/>
              <w:bottom w:val="nil" w:sz="6" w:space="0" w:color="auto"/>
              <w:right w:val="nil" w:sz="6" w:space="0" w:color="auto"/>
            </w:tcBorders>
          </w:tcPr>
          <w:p>
            <w:pPr/>
          </w:p>
        </w:tc>
        <w:tc>
          <w:tcPr>
            <w:tcW w:w="1044" w:type="dxa"/>
            <w:tcBorders>
              <w:top w:val="nil" w:sz="6" w:space="0" w:color="auto"/>
              <w:left w:val="nil" w:sz="6" w:space="0" w:color="auto"/>
              <w:bottom w:val="single" w:sz="17" w:space="0" w:color="000000"/>
              <w:right w:val="nil" w:sz="6" w:space="0" w:color="auto"/>
            </w:tcBorders>
          </w:tcPr>
          <w:p>
            <w:pPr>
              <w:pStyle w:val="TableParagraph"/>
              <w:spacing w:line="240" w:lineRule="auto" w:before="123"/>
              <w:ind w:right="12"/>
              <w:jc w:val="right"/>
              <w:rPr>
                <w:rFonts w:ascii="Arial" w:hAnsi="Arial" w:cs="Arial" w:eastAsia="Arial" w:hint="default"/>
                <w:sz w:val="22"/>
                <w:szCs w:val="22"/>
              </w:rPr>
            </w:pPr>
            <w:r>
              <w:rPr>
                <w:rFonts w:ascii="Arial"/>
                <w:sz w:val="22"/>
              </w:rPr>
              <w:t>2,395</w:t>
            </w:r>
          </w:p>
        </w:tc>
        <w:tc>
          <w:tcPr>
            <w:tcW w:w="238" w:type="dxa"/>
            <w:tcBorders>
              <w:top w:val="nil" w:sz="6" w:space="0" w:color="auto"/>
              <w:left w:val="nil" w:sz="6" w:space="0" w:color="auto"/>
              <w:bottom w:val="nil" w:sz="6" w:space="0" w:color="auto"/>
              <w:right w:val="nil" w:sz="6" w:space="0" w:color="auto"/>
            </w:tcBorders>
          </w:tcPr>
          <w:p>
            <w:pPr/>
          </w:p>
        </w:tc>
        <w:tc>
          <w:tcPr>
            <w:tcW w:w="1030" w:type="dxa"/>
            <w:tcBorders>
              <w:top w:val="nil" w:sz="6" w:space="0" w:color="auto"/>
              <w:left w:val="nil" w:sz="6" w:space="0" w:color="auto"/>
              <w:bottom w:val="single" w:sz="17" w:space="0" w:color="000000"/>
              <w:right w:val="nil" w:sz="6" w:space="0" w:color="auto"/>
            </w:tcBorders>
          </w:tcPr>
          <w:p>
            <w:pPr>
              <w:pStyle w:val="TableParagraph"/>
              <w:spacing w:line="240" w:lineRule="auto" w:before="123"/>
              <w:ind w:right="0"/>
              <w:jc w:val="right"/>
              <w:rPr>
                <w:rFonts w:ascii="Arial" w:hAnsi="Arial" w:cs="Arial" w:eastAsia="Arial" w:hint="default"/>
                <w:sz w:val="22"/>
                <w:szCs w:val="22"/>
              </w:rPr>
            </w:pPr>
            <w:r>
              <w:rPr>
                <w:rFonts w:ascii="Arial"/>
                <w:sz w:val="22"/>
              </w:rPr>
              <w:t>2,200</w:t>
            </w:r>
          </w:p>
        </w:tc>
        <w:tc>
          <w:tcPr>
            <w:tcW w:w="230" w:type="dxa"/>
            <w:tcBorders>
              <w:top w:val="nil" w:sz="6" w:space="0" w:color="auto"/>
              <w:left w:val="nil" w:sz="6" w:space="0" w:color="auto"/>
              <w:bottom w:val="nil" w:sz="6" w:space="0" w:color="auto"/>
              <w:right w:val="nil" w:sz="6" w:space="0" w:color="auto"/>
            </w:tcBorders>
          </w:tcPr>
          <w:p>
            <w:pPr/>
          </w:p>
        </w:tc>
        <w:tc>
          <w:tcPr>
            <w:tcW w:w="1243" w:type="dxa"/>
            <w:tcBorders>
              <w:top w:val="nil" w:sz="6" w:space="0" w:color="auto"/>
              <w:left w:val="nil" w:sz="6" w:space="0" w:color="auto"/>
              <w:bottom w:val="single" w:sz="17" w:space="0" w:color="000000"/>
              <w:right w:val="nil" w:sz="6" w:space="0" w:color="auto"/>
            </w:tcBorders>
          </w:tcPr>
          <w:p>
            <w:pPr>
              <w:pStyle w:val="TableParagraph"/>
              <w:spacing w:line="240" w:lineRule="auto" w:before="123"/>
              <w:ind w:left="331" w:right="0"/>
              <w:jc w:val="left"/>
              <w:rPr>
                <w:rFonts w:ascii="Arial" w:hAnsi="Arial" w:cs="Arial" w:eastAsia="Arial" w:hint="default"/>
                <w:sz w:val="22"/>
                <w:szCs w:val="22"/>
              </w:rPr>
            </w:pPr>
            <w:r>
              <w:rPr>
                <w:rFonts w:ascii="Arial"/>
                <w:sz w:val="22"/>
              </w:rPr>
              <w:t>171,871</w:t>
            </w:r>
          </w:p>
        </w:tc>
      </w:tr>
    </w:tbl>
    <w:p>
      <w:pPr>
        <w:spacing w:after="0" w:line="240" w:lineRule="auto"/>
        <w:jc w:val="left"/>
        <w:rPr>
          <w:rFonts w:ascii="Arial" w:hAnsi="Arial" w:cs="Arial" w:eastAsia="Arial" w:hint="default"/>
          <w:sz w:val="22"/>
          <w:szCs w:val="22"/>
        </w:rPr>
        <w:sectPr>
          <w:headerReference w:type="default" r:id="rId220"/>
          <w:pgSz w:w="11910" w:h="16840"/>
          <w:pgMar w:header="1183" w:footer="502" w:top="3620" w:bottom="700" w:left="1020" w:right="900"/>
        </w:sectPr>
      </w:pPr>
    </w:p>
    <w:p>
      <w:pPr>
        <w:spacing w:line="240" w:lineRule="auto" w:before="10"/>
        <w:rPr>
          <w:rFonts w:ascii="宋体" w:hAnsi="宋体" w:cs="宋体" w:eastAsia="宋体" w:hint="default"/>
          <w:sz w:val="18"/>
          <w:szCs w:val="18"/>
        </w:rPr>
      </w:pPr>
    </w:p>
    <w:p>
      <w:pPr>
        <w:pStyle w:val="BodyText"/>
        <w:spacing w:line="429" w:lineRule="auto" w:before="32"/>
        <w:ind w:left="587" w:right="6753" w:hanging="475"/>
        <w:jc w:val="left"/>
      </w:pPr>
      <w:bookmarkStart w:name="2、 资本风险管理" w:id="50"/>
      <w:bookmarkEnd w:id="50"/>
      <w:r>
        <w:rPr/>
      </w:r>
      <w:r>
        <w:rPr>
          <w:rFonts w:ascii="Arial" w:hAnsi="Arial" w:cs="Arial" w:eastAsia="Arial" w:hint="default"/>
        </w:rPr>
        <w:t>2</w:t>
      </w:r>
      <w:r>
        <w:rPr/>
        <w:t>、 资本风险管理</w:t>
      </w:r>
      <w:r>
        <w:rPr>
          <w:spacing w:val="-93"/>
        </w:rPr>
        <w:t> </w:t>
      </w:r>
      <w:r>
        <w:rPr>
          <w:spacing w:val="-93"/>
        </w:rPr>
      </w:r>
      <w:r>
        <w:rPr>
          <w:spacing w:val="-1"/>
        </w:rPr>
        <w:t>本集团资本管理的目标为：</w:t>
      </w:r>
    </w:p>
    <w:p>
      <w:pPr>
        <w:pStyle w:val="BodyText"/>
        <w:spacing w:line="294" w:lineRule="exact" w:before="75"/>
        <w:ind w:left="631" w:right="0"/>
        <w:jc w:val="both"/>
      </w:pPr>
      <w:r>
        <w:rPr>
          <w:rFonts w:ascii="Symbol" w:hAnsi="Symbol" w:cs="Symbol" w:eastAsia="Symbol" w:hint="default"/>
        </w:rPr>
        <w:t></w:t>
      </w:r>
      <w:r>
        <w:rPr>
          <w:rFonts w:ascii="Symbol" w:hAnsi="Symbol" w:cs="Symbol" w:eastAsia="Symbol" w:hint="default"/>
          <w:spacing w:val="19"/>
        </w:rPr>
        <w:t></w:t>
      </w:r>
      <w:r>
        <w:rPr>
          <w:rFonts w:ascii="Times New Roman" w:hAnsi="Times New Roman" w:cs="Times New Roman" w:eastAsia="Times New Roman" w:hint="default"/>
          <w:spacing w:val="19"/>
        </w:rPr>
      </w:r>
      <w:r>
        <w:rPr/>
        <w:t>保障本集团的持续经营能力，从而持续地为股东提供回报及使其它利益相关者受益。</w:t>
      </w:r>
    </w:p>
    <w:p>
      <w:pPr>
        <w:pStyle w:val="BodyText"/>
        <w:spacing w:line="286" w:lineRule="exact"/>
        <w:ind w:left="631" w:right="0"/>
        <w:jc w:val="both"/>
      </w:pPr>
      <w:r>
        <w:rPr>
          <w:rFonts w:ascii="Symbol" w:hAnsi="Symbol" w:cs="Symbol" w:eastAsia="Symbol" w:hint="default"/>
        </w:rPr>
        <w:t></w:t>
      </w:r>
      <w:r>
        <w:rPr>
          <w:rFonts w:ascii="Symbol" w:hAnsi="Symbol" w:cs="Symbol" w:eastAsia="Symbol" w:hint="default"/>
          <w:spacing w:val="24"/>
        </w:rPr>
        <w:t></w:t>
      </w:r>
      <w:r>
        <w:rPr>
          <w:rFonts w:ascii="Times New Roman" w:hAnsi="Times New Roman" w:cs="Times New Roman" w:eastAsia="Times New Roman" w:hint="default"/>
          <w:spacing w:val="24"/>
        </w:rPr>
      </w:r>
      <w:r>
        <w:rPr/>
        <w:t>保持本集团的稳定及增长。</w:t>
      </w:r>
    </w:p>
    <w:p>
      <w:pPr>
        <w:pStyle w:val="BodyText"/>
        <w:spacing w:line="297" w:lineRule="exact"/>
        <w:ind w:left="631" w:right="0"/>
        <w:jc w:val="both"/>
      </w:pPr>
      <w:r>
        <w:rPr>
          <w:rFonts w:ascii="Symbol" w:hAnsi="Symbol" w:cs="Symbol" w:eastAsia="Symbol" w:hint="default"/>
        </w:rPr>
        <w:t></w:t>
      </w:r>
      <w:r>
        <w:rPr>
          <w:rFonts w:ascii="Symbol" w:hAnsi="Symbol" w:cs="Symbol" w:eastAsia="Symbol" w:hint="default"/>
          <w:spacing w:val="25"/>
        </w:rPr>
        <w:t></w:t>
      </w:r>
      <w:r>
        <w:rPr>
          <w:rFonts w:ascii="Times New Roman" w:hAnsi="Times New Roman" w:cs="Times New Roman" w:eastAsia="Times New Roman" w:hint="default"/>
          <w:spacing w:val="25"/>
        </w:rPr>
      </w:r>
      <w:r>
        <w:rPr/>
        <w:t>提供资本，以强化本集团的风险管理能力。</w:t>
      </w:r>
    </w:p>
    <w:p>
      <w:pPr>
        <w:spacing w:line="240" w:lineRule="auto" w:before="12"/>
        <w:rPr>
          <w:rFonts w:ascii="宋体" w:hAnsi="宋体" w:cs="宋体" w:eastAsia="宋体" w:hint="default"/>
          <w:sz w:val="17"/>
          <w:szCs w:val="17"/>
        </w:rPr>
      </w:pPr>
    </w:p>
    <w:p>
      <w:pPr>
        <w:pStyle w:val="BodyText"/>
        <w:spacing w:line="237" w:lineRule="auto"/>
        <w:ind w:left="578" w:right="100"/>
        <w:jc w:val="both"/>
      </w:pPr>
      <w:bookmarkStart w:name="为了保持及调整资本结构，本集团积极定期复核及管理自身的资本结构，力求达到最理想的" w:id="51"/>
      <w:bookmarkEnd w:id="51"/>
      <w:r>
        <w:rPr/>
      </w:r>
      <w:r>
        <w:rPr/>
        <w:t>为了保持及调整资本结构，本集团积极定期复核及管理自身的资本结构，力求达到最理想的资本</w:t>
      </w:r>
      <w:r>
        <w:rPr>
          <w:spacing w:val="-53"/>
        </w:rPr>
        <w:t> </w:t>
      </w:r>
      <w:r>
        <w:rPr>
          <w:spacing w:val="-53"/>
        </w:rPr>
      </w:r>
      <w:r>
        <w:rPr>
          <w:spacing w:val="-5"/>
        </w:rPr>
        <w:t>结构及股东回报。本集团考虑的因素包括：本集团未来的资本需求、资本效率、现时的及预期的盈</w:t>
      </w:r>
      <w:r>
        <w:rPr>
          <w:spacing w:val="-52"/>
        </w:rPr>
        <w:t> </w:t>
      </w:r>
      <w:r>
        <w:rPr>
          <w:spacing w:val="-52"/>
        </w:rPr>
      </w:r>
      <w:r>
        <w:rPr/>
        <w:t>利能力、预期的经营现金流、预期资本开支及预期的战略投资机会。</w:t>
      </w:r>
    </w:p>
    <w:p>
      <w:pPr>
        <w:spacing w:line="240" w:lineRule="auto" w:before="9"/>
        <w:rPr>
          <w:rFonts w:ascii="宋体" w:hAnsi="宋体" w:cs="宋体" w:eastAsia="宋体" w:hint="default"/>
          <w:sz w:val="19"/>
          <w:szCs w:val="19"/>
        </w:rPr>
      </w:pPr>
    </w:p>
    <w:p>
      <w:pPr>
        <w:pStyle w:val="BodyText"/>
        <w:spacing w:line="232" w:lineRule="auto"/>
        <w:ind w:left="588" w:right="100"/>
        <w:jc w:val="both"/>
      </w:pPr>
      <w:r>
        <w:rPr/>
        <w:t>本集团以债务资本率来检查资本状况，债务资本率为带息债务除以带息债务加股东权益。带息债</w:t>
      </w:r>
      <w:r>
        <w:rPr>
          <w:spacing w:val="-61"/>
        </w:rPr>
        <w:t> </w:t>
      </w:r>
      <w:r>
        <w:rPr>
          <w:spacing w:val="-61"/>
        </w:rPr>
      </w:r>
      <w:r>
        <w:rPr/>
        <w:t>务主要包括资产负债表中的长短期银行借款、长短期债券及租赁负债等，未包括财务公司自联通</w:t>
      </w:r>
      <w:r>
        <w:rPr>
          <w:spacing w:val="-61"/>
        </w:rPr>
        <w:t> </w:t>
      </w:r>
      <w:r>
        <w:rPr>
          <w:spacing w:val="-61"/>
        </w:rPr>
      </w:r>
      <w:r>
        <w:rPr>
          <w:spacing w:val="4"/>
        </w:rPr>
        <w:t>集团及其子公司及合营企业的吸收存款合计为人民币</w:t>
      </w:r>
      <w:r>
        <w:rPr>
          <w:rFonts w:ascii="Arial" w:hAnsi="Arial" w:cs="Arial" w:eastAsia="Arial" w:hint="default"/>
          <w:spacing w:val="4"/>
        </w:rPr>
        <w:t>43.82</w:t>
      </w:r>
      <w:r>
        <w:rPr>
          <w:spacing w:val="4"/>
        </w:rPr>
        <w:t>亿元（</w:t>
      </w:r>
      <w:r>
        <w:rPr>
          <w:rFonts w:ascii="Arial" w:hAnsi="Arial" w:cs="Arial" w:eastAsia="Arial" w:hint="default"/>
          <w:spacing w:val="4"/>
        </w:rPr>
        <w:t>2018</w:t>
      </w:r>
      <w:r>
        <w:rPr>
          <w:spacing w:val="4"/>
        </w:rPr>
        <w:t>年</w:t>
      </w:r>
      <w:r>
        <w:rPr>
          <w:rFonts w:ascii="Arial" w:hAnsi="Arial" w:cs="Arial" w:eastAsia="Arial" w:hint="default"/>
          <w:spacing w:val="4"/>
        </w:rPr>
        <w:t>12</w:t>
      </w:r>
      <w:r>
        <w:rPr>
          <w:spacing w:val="4"/>
        </w:rPr>
        <w:t>月</w:t>
      </w:r>
      <w:r>
        <w:rPr>
          <w:rFonts w:ascii="Arial" w:hAnsi="Arial" w:cs="Arial" w:eastAsia="Arial" w:hint="default"/>
          <w:spacing w:val="4"/>
        </w:rPr>
        <w:t>31</w:t>
      </w:r>
      <w:r>
        <w:rPr>
          <w:spacing w:val="4"/>
        </w:rPr>
        <w:t>日：约人民币</w:t>
      </w:r>
      <w:r>
        <w:rPr>
          <w:spacing w:val="-40"/>
        </w:rPr>
        <w:t> </w:t>
      </w:r>
      <w:r>
        <w:rPr>
          <w:spacing w:val="-40"/>
        </w:rPr>
      </w:r>
      <w:r>
        <w:rPr>
          <w:rFonts w:ascii="Arial" w:hAnsi="Arial" w:cs="Arial" w:eastAsia="Arial" w:hint="default"/>
        </w:rPr>
        <w:t>43.87</w:t>
      </w:r>
      <w:r>
        <w:rPr/>
        <w:t>亿元）。</w:t>
      </w:r>
    </w:p>
    <w:p>
      <w:pPr>
        <w:spacing w:line="240" w:lineRule="auto" w:before="13"/>
        <w:rPr>
          <w:rFonts w:ascii="宋体" w:hAnsi="宋体" w:cs="宋体" w:eastAsia="宋体" w:hint="default"/>
          <w:sz w:val="17"/>
          <w:szCs w:val="17"/>
        </w:rPr>
      </w:pPr>
    </w:p>
    <w:p>
      <w:pPr>
        <w:pStyle w:val="BodyText"/>
        <w:spacing w:line="240" w:lineRule="auto"/>
        <w:ind w:left="602" w:right="0"/>
        <w:jc w:val="both"/>
      </w:pPr>
      <w:r>
        <w:rPr/>
        <w:t>于</w:t>
      </w:r>
      <w:r>
        <w:rPr>
          <w:rFonts w:ascii="Arial" w:hAnsi="Arial" w:cs="Arial" w:eastAsia="Arial" w:hint="default"/>
        </w:rPr>
        <w:t>2019</w:t>
      </w:r>
      <w:r>
        <w:rPr/>
        <w:t>年</w:t>
      </w:r>
      <w:r>
        <w:rPr>
          <w:rFonts w:ascii="Arial" w:hAnsi="Arial" w:cs="Arial" w:eastAsia="Arial" w:hint="default"/>
        </w:rPr>
        <w:t>12</w:t>
      </w:r>
      <w:r>
        <w:rPr/>
        <w:t>月</w:t>
      </w:r>
      <w:r>
        <w:rPr>
          <w:rFonts w:ascii="Arial" w:hAnsi="Arial" w:cs="Arial" w:eastAsia="Arial" w:hint="default"/>
        </w:rPr>
        <w:t>31</w:t>
      </w:r>
      <w:r>
        <w:rPr/>
        <w:t>日及</w:t>
      </w:r>
      <w:r>
        <w:rPr>
          <w:rFonts w:ascii="Arial" w:hAnsi="Arial" w:cs="Arial" w:eastAsia="Arial" w:hint="default"/>
        </w:rPr>
        <w:t>2018</w:t>
      </w:r>
      <w:r>
        <w:rPr/>
        <w:t>年</w:t>
      </w:r>
      <w:r>
        <w:rPr>
          <w:rFonts w:ascii="Arial" w:hAnsi="Arial" w:cs="Arial" w:eastAsia="Arial" w:hint="default"/>
        </w:rPr>
        <w:t>12</w:t>
      </w:r>
      <w:r>
        <w:rPr/>
        <w:t>月</w:t>
      </w:r>
      <w:r>
        <w:rPr>
          <w:rFonts w:ascii="Arial" w:hAnsi="Arial" w:cs="Arial" w:eastAsia="Arial" w:hint="default"/>
        </w:rPr>
        <w:t>31</w:t>
      </w:r>
      <w:r>
        <w:rPr/>
        <w:t>日，本集团的债务资本率如下：</w:t>
      </w:r>
    </w:p>
    <w:p>
      <w:pPr>
        <w:spacing w:line="240" w:lineRule="auto" w:before="1"/>
        <w:rPr>
          <w:rFonts w:ascii="宋体" w:hAnsi="宋体" w:cs="宋体" w:eastAsia="宋体" w:hint="default"/>
          <w:sz w:val="23"/>
          <w:szCs w:val="23"/>
        </w:rPr>
      </w:pPr>
    </w:p>
    <w:tbl>
      <w:tblPr>
        <w:tblW w:w="0" w:type="auto"/>
        <w:jc w:val="left"/>
        <w:tblInd w:w="402" w:type="dxa"/>
        <w:tblLayout w:type="fixed"/>
        <w:tblCellMar>
          <w:top w:w="0" w:type="dxa"/>
          <w:left w:w="0" w:type="dxa"/>
          <w:bottom w:w="0" w:type="dxa"/>
          <w:right w:w="0" w:type="dxa"/>
        </w:tblCellMar>
        <w:tblLook w:val="01E0"/>
      </w:tblPr>
      <w:tblGrid>
        <w:gridCol w:w="5782"/>
        <w:gridCol w:w="1704"/>
        <w:gridCol w:w="130"/>
        <w:gridCol w:w="1829"/>
      </w:tblGrid>
      <w:tr>
        <w:trPr>
          <w:trHeight w:val="262" w:hRule="exact"/>
        </w:trPr>
        <w:tc>
          <w:tcPr>
            <w:tcW w:w="5782" w:type="dxa"/>
            <w:tcBorders>
              <w:top w:val="nil" w:sz="6" w:space="0" w:color="auto"/>
              <w:left w:val="nil" w:sz="6" w:space="0" w:color="auto"/>
              <w:bottom w:val="nil" w:sz="6" w:space="0" w:color="auto"/>
              <w:right w:val="nil" w:sz="6" w:space="0" w:color="auto"/>
            </w:tcBorders>
          </w:tcPr>
          <w:p>
            <w:pPr>
              <w:pStyle w:val="TableParagraph"/>
              <w:spacing w:line="221" w:lineRule="exact"/>
              <w:ind w:left="200" w:right="0"/>
              <w:jc w:val="left"/>
              <w:rPr>
                <w:rFonts w:ascii="宋体" w:hAnsi="宋体" w:cs="宋体" w:eastAsia="宋体" w:hint="default"/>
                <w:sz w:val="22"/>
                <w:szCs w:val="22"/>
              </w:rPr>
            </w:pPr>
            <w:r>
              <w:rPr>
                <w:rFonts w:ascii="宋体" w:hAnsi="宋体" w:cs="宋体" w:eastAsia="宋体" w:hint="default"/>
                <w:sz w:val="22"/>
                <w:szCs w:val="22"/>
              </w:rPr>
              <w:t>（单位：人民币百万元）</w:t>
            </w:r>
          </w:p>
        </w:tc>
        <w:tc>
          <w:tcPr>
            <w:tcW w:w="1704" w:type="dxa"/>
            <w:tcBorders>
              <w:top w:val="nil" w:sz="6" w:space="0" w:color="auto"/>
              <w:left w:val="nil" w:sz="6" w:space="0" w:color="auto"/>
              <w:bottom w:val="single" w:sz="4" w:space="0" w:color="000000"/>
              <w:right w:val="nil" w:sz="6" w:space="0" w:color="auto"/>
            </w:tcBorders>
          </w:tcPr>
          <w:p>
            <w:pPr>
              <w:pStyle w:val="TableParagraph"/>
              <w:spacing w:line="236" w:lineRule="exact"/>
              <w:ind w:right="0"/>
              <w:jc w:val="right"/>
              <w:rPr>
                <w:rFonts w:ascii="宋体" w:hAnsi="宋体" w:cs="宋体" w:eastAsia="宋体" w:hint="default"/>
                <w:sz w:val="22"/>
                <w:szCs w:val="22"/>
              </w:rPr>
            </w:pPr>
            <w:r>
              <w:rPr>
                <w:rFonts w:ascii="Arial" w:hAnsi="Arial" w:cs="Arial" w:eastAsia="Arial" w:hint="default"/>
                <w:spacing w:val="-1"/>
                <w:sz w:val="22"/>
                <w:szCs w:val="22"/>
              </w:rPr>
              <w:t>2019</w:t>
            </w:r>
            <w:r>
              <w:rPr>
                <w:rFonts w:ascii="宋体" w:hAnsi="宋体" w:cs="宋体" w:eastAsia="宋体" w:hint="default"/>
                <w:spacing w:val="-1"/>
                <w:sz w:val="22"/>
                <w:szCs w:val="22"/>
              </w:rPr>
              <w:t>年</w:t>
            </w:r>
            <w:r>
              <w:rPr>
                <w:rFonts w:ascii="Arial" w:hAnsi="Arial" w:cs="Arial" w:eastAsia="Arial" w:hint="default"/>
                <w:spacing w:val="-1"/>
                <w:sz w:val="22"/>
                <w:szCs w:val="22"/>
              </w:rPr>
              <w:t>12</w:t>
            </w:r>
            <w:r>
              <w:rPr>
                <w:rFonts w:ascii="宋体" w:hAnsi="宋体" w:cs="宋体" w:eastAsia="宋体" w:hint="default"/>
                <w:spacing w:val="-1"/>
                <w:sz w:val="22"/>
                <w:szCs w:val="22"/>
              </w:rPr>
              <w:t>月</w:t>
            </w:r>
            <w:r>
              <w:rPr>
                <w:rFonts w:ascii="Arial" w:hAnsi="Arial" w:cs="Arial" w:eastAsia="Arial" w:hint="default"/>
                <w:spacing w:val="-1"/>
                <w:sz w:val="22"/>
                <w:szCs w:val="22"/>
              </w:rPr>
              <w:t>31</w:t>
            </w:r>
            <w:r>
              <w:rPr>
                <w:rFonts w:ascii="宋体" w:hAnsi="宋体" w:cs="宋体" w:eastAsia="宋体" w:hint="default"/>
                <w:spacing w:val="-1"/>
                <w:sz w:val="22"/>
                <w:szCs w:val="22"/>
              </w:rPr>
              <w:t>日</w:t>
            </w:r>
          </w:p>
        </w:tc>
        <w:tc>
          <w:tcPr>
            <w:tcW w:w="130" w:type="dxa"/>
            <w:tcBorders>
              <w:top w:val="nil" w:sz="6" w:space="0" w:color="auto"/>
              <w:left w:val="nil" w:sz="6" w:space="0" w:color="auto"/>
              <w:bottom w:val="nil" w:sz="6" w:space="0" w:color="auto"/>
              <w:right w:val="nil" w:sz="6" w:space="0" w:color="auto"/>
            </w:tcBorders>
          </w:tcPr>
          <w:p>
            <w:pPr/>
          </w:p>
        </w:tc>
        <w:tc>
          <w:tcPr>
            <w:tcW w:w="1829" w:type="dxa"/>
            <w:tcBorders>
              <w:top w:val="nil" w:sz="6" w:space="0" w:color="auto"/>
              <w:left w:val="nil" w:sz="6" w:space="0" w:color="auto"/>
              <w:bottom w:val="single" w:sz="4" w:space="0" w:color="000000"/>
              <w:right w:val="nil" w:sz="6" w:space="0" w:color="auto"/>
            </w:tcBorders>
          </w:tcPr>
          <w:p>
            <w:pPr>
              <w:pStyle w:val="TableParagraph"/>
              <w:spacing w:line="236" w:lineRule="exact"/>
              <w:ind w:right="0"/>
              <w:jc w:val="right"/>
              <w:rPr>
                <w:rFonts w:ascii="宋体" w:hAnsi="宋体" w:cs="宋体" w:eastAsia="宋体" w:hint="default"/>
                <w:sz w:val="22"/>
                <w:szCs w:val="22"/>
              </w:rPr>
            </w:pPr>
            <w:r>
              <w:rPr>
                <w:rFonts w:ascii="Arial" w:hAnsi="Arial" w:cs="Arial" w:eastAsia="Arial" w:hint="default"/>
                <w:spacing w:val="-1"/>
                <w:sz w:val="22"/>
                <w:szCs w:val="22"/>
              </w:rPr>
              <w:t>2018</w:t>
            </w:r>
            <w:r>
              <w:rPr>
                <w:rFonts w:ascii="宋体" w:hAnsi="宋体" w:cs="宋体" w:eastAsia="宋体" w:hint="default"/>
                <w:spacing w:val="-1"/>
                <w:sz w:val="22"/>
                <w:szCs w:val="22"/>
              </w:rPr>
              <w:t>年</w:t>
            </w:r>
            <w:r>
              <w:rPr>
                <w:rFonts w:ascii="Arial" w:hAnsi="Arial" w:cs="Arial" w:eastAsia="Arial" w:hint="default"/>
                <w:spacing w:val="-1"/>
                <w:sz w:val="22"/>
                <w:szCs w:val="22"/>
              </w:rPr>
              <w:t>12</w:t>
            </w:r>
            <w:r>
              <w:rPr>
                <w:rFonts w:ascii="宋体" w:hAnsi="宋体" w:cs="宋体" w:eastAsia="宋体" w:hint="default"/>
                <w:spacing w:val="-1"/>
                <w:sz w:val="22"/>
                <w:szCs w:val="22"/>
              </w:rPr>
              <w:t>月</w:t>
            </w:r>
            <w:r>
              <w:rPr>
                <w:rFonts w:ascii="Arial" w:hAnsi="Arial" w:cs="Arial" w:eastAsia="Arial" w:hint="default"/>
                <w:spacing w:val="-1"/>
                <w:sz w:val="22"/>
                <w:szCs w:val="22"/>
              </w:rPr>
              <w:t>31</w:t>
            </w:r>
            <w:r>
              <w:rPr>
                <w:rFonts w:ascii="宋体" w:hAnsi="宋体" w:cs="宋体" w:eastAsia="宋体" w:hint="default"/>
                <w:spacing w:val="-1"/>
                <w:sz w:val="22"/>
                <w:szCs w:val="22"/>
              </w:rPr>
              <w:t>日</w:t>
            </w:r>
          </w:p>
        </w:tc>
      </w:tr>
      <w:tr>
        <w:trPr>
          <w:trHeight w:val="542" w:hRule="exact"/>
        </w:trPr>
        <w:tc>
          <w:tcPr>
            <w:tcW w:w="578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带息债务：</w:t>
            </w:r>
          </w:p>
        </w:tc>
        <w:tc>
          <w:tcPr>
            <w:tcW w:w="1704" w:type="dxa"/>
            <w:tcBorders>
              <w:top w:val="single" w:sz="4" w:space="0" w:color="000000"/>
              <w:left w:val="nil" w:sz="6" w:space="0" w:color="auto"/>
              <w:bottom w:val="nil" w:sz="6" w:space="0" w:color="auto"/>
              <w:right w:val="nil" w:sz="6" w:space="0" w:color="auto"/>
            </w:tcBorders>
          </w:tcPr>
          <w:p>
            <w:pPr/>
          </w:p>
        </w:tc>
        <w:tc>
          <w:tcPr>
            <w:tcW w:w="130" w:type="dxa"/>
            <w:tcBorders>
              <w:top w:val="nil" w:sz="6" w:space="0" w:color="auto"/>
              <w:left w:val="nil" w:sz="6" w:space="0" w:color="auto"/>
              <w:bottom w:val="nil" w:sz="6" w:space="0" w:color="auto"/>
              <w:right w:val="nil" w:sz="6" w:space="0" w:color="auto"/>
            </w:tcBorders>
          </w:tcPr>
          <w:p>
            <w:pPr/>
          </w:p>
        </w:tc>
        <w:tc>
          <w:tcPr>
            <w:tcW w:w="1829" w:type="dxa"/>
            <w:tcBorders>
              <w:top w:val="single" w:sz="4" w:space="0" w:color="000000"/>
              <w:left w:val="nil" w:sz="6" w:space="0" w:color="auto"/>
              <w:bottom w:val="nil" w:sz="6" w:space="0" w:color="auto"/>
              <w:right w:val="nil" w:sz="6" w:space="0" w:color="auto"/>
            </w:tcBorders>
          </w:tcPr>
          <w:p>
            <w:pPr/>
          </w:p>
        </w:tc>
      </w:tr>
      <w:tr>
        <w:trPr>
          <w:trHeight w:val="296" w:hRule="exact"/>
        </w:trPr>
        <w:tc>
          <w:tcPr>
            <w:tcW w:w="5782" w:type="dxa"/>
            <w:tcBorders>
              <w:top w:val="nil" w:sz="6" w:space="0" w:color="auto"/>
              <w:left w:val="nil" w:sz="6" w:space="0" w:color="auto"/>
              <w:bottom w:val="nil" w:sz="6" w:space="0" w:color="auto"/>
              <w:right w:val="nil" w:sz="6" w:space="0" w:color="auto"/>
            </w:tcBorders>
          </w:tcPr>
          <w:p>
            <w:pPr>
              <w:pStyle w:val="TableParagraph"/>
              <w:spacing w:line="252" w:lineRule="exact"/>
              <w:ind w:left="411" w:right="0"/>
              <w:jc w:val="left"/>
              <w:rPr>
                <w:rFonts w:ascii="宋体" w:hAnsi="宋体" w:cs="宋体" w:eastAsia="宋体" w:hint="default"/>
                <w:sz w:val="22"/>
                <w:szCs w:val="22"/>
              </w:rPr>
            </w:pPr>
            <w:r>
              <w:rPr>
                <w:rFonts w:ascii="宋体" w:hAnsi="宋体" w:cs="宋体" w:eastAsia="宋体" w:hint="default"/>
                <w:sz w:val="22"/>
                <w:szCs w:val="22"/>
              </w:rPr>
              <w:t>其他流动负债</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0"/>
              <w:jc w:val="right"/>
              <w:rPr>
                <w:rFonts w:ascii="Arial" w:hAnsi="Arial" w:cs="Arial" w:eastAsia="Arial" w:hint="default"/>
                <w:sz w:val="22"/>
                <w:szCs w:val="22"/>
              </w:rPr>
            </w:pPr>
            <w:r>
              <w:rPr>
                <w:rFonts w:ascii="Arial"/>
                <w:sz w:val="22"/>
              </w:rPr>
              <w:t>8,995</w:t>
            </w:r>
          </w:p>
        </w:tc>
        <w:tc>
          <w:tcPr>
            <w:tcW w:w="130" w:type="dxa"/>
            <w:tcBorders>
              <w:top w:val="nil" w:sz="6" w:space="0" w:color="auto"/>
              <w:left w:val="nil" w:sz="6" w:space="0" w:color="auto"/>
              <w:bottom w:val="nil" w:sz="6" w:space="0" w:color="auto"/>
              <w:right w:val="nil" w:sz="6" w:space="0" w:color="auto"/>
            </w:tcBorders>
          </w:tcPr>
          <w:p>
            <w:pP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
              <w:jc w:val="right"/>
              <w:rPr>
                <w:rFonts w:ascii="Arial" w:hAnsi="Arial" w:cs="Arial" w:eastAsia="Arial" w:hint="default"/>
                <w:sz w:val="22"/>
                <w:szCs w:val="22"/>
              </w:rPr>
            </w:pPr>
            <w:r>
              <w:rPr>
                <w:rFonts w:ascii="Arial"/>
                <w:w w:val="100"/>
                <w:sz w:val="22"/>
              </w:rPr>
              <w:t>-</w:t>
            </w:r>
          </w:p>
        </w:tc>
      </w:tr>
      <w:tr>
        <w:trPr>
          <w:trHeight w:val="288" w:hRule="exact"/>
        </w:trPr>
        <w:tc>
          <w:tcPr>
            <w:tcW w:w="5782" w:type="dxa"/>
            <w:tcBorders>
              <w:top w:val="nil" w:sz="6" w:space="0" w:color="auto"/>
              <w:left w:val="nil" w:sz="6" w:space="0" w:color="auto"/>
              <w:bottom w:val="nil" w:sz="6" w:space="0" w:color="auto"/>
              <w:right w:val="nil" w:sz="6" w:space="0" w:color="auto"/>
            </w:tcBorders>
          </w:tcPr>
          <w:p>
            <w:pPr>
              <w:pStyle w:val="TableParagraph"/>
              <w:spacing w:line="239" w:lineRule="exact"/>
              <w:ind w:left="411" w:right="0"/>
              <w:jc w:val="left"/>
              <w:rPr>
                <w:rFonts w:ascii="宋体" w:hAnsi="宋体" w:cs="宋体" w:eastAsia="宋体" w:hint="default"/>
                <w:sz w:val="22"/>
                <w:szCs w:val="22"/>
              </w:rPr>
            </w:pPr>
            <w:r>
              <w:rPr>
                <w:rFonts w:ascii="宋体" w:hAnsi="宋体" w:cs="宋体" w:eastAsia="宋体" w:hint="default"/>
                <w:sz w:val="22"/>
                <w:szCs w:val="22"/>
              </w:rPr>
              <w:t>短期借款</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0"/>
              <w:jc w:val="right"/>
              <w:rPr>
                <w:rFonts w:ascii="Arial" w:hAnsi="Arial" w:cs="Arial" w:eastAsia="Arial" w:hint="default"/>
                <w:sz w:val="22"/>
                <w:szCs w:val="22"/>
              </w:rPr>
            </w:pPr>
            <w:r>
              <w:rPr>
                <w:rFonts w:ascii="Arial"/>
                <w:sz w:val="22"/>
              </w:rPr>
              <w:t>5,614</w:t>
            </w:r>
          </w:p>
        </w:tc>
        <w:tc>
          <w:tcPr>
            <w:tcW w:w="130" w:type="dxa"/>
            <w:tcBorders>
              <w:top w:val="nil" w:sz="6" w:space="0" w:color="auto"/>
              <w:left w:val="nil" w:sz="6" w:space="0" w:color="auto"/>
              <w:bottom w:val="nil" w:sz="6" w:space="0" w:color="auto"/>
              <w:right w:val="nil" w:sz="6" w:space="0" w:color="auto"/>
            </w:tcBorders>
          </w:tcPr>
          <w:p>
            <w:pP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0"/>
              <w:jc w:val="right"/>
              <w:rPr>
                <w:rFonts w:ascii="Arial" w:hAnsi="Arial" w:cs="Arial" w:eastAsia="Arial" w:hint="default"/>
                <w:sz w:val="22"/>
                <w:szCs w:val="22"/>
              </w:rPr>
            </w:pPr>
            <w:r>
              <w:rPr>
                <w:rFonts w:ascii="Arial"/>
                <w:spacing w:val="-1"/>
                <w:sz w:val="22"/>
              </w:rPr>
              <w:t>15,133</w:t>
            </w:r>
          </w:p>
        </w:tc>
      </w:tr>
      <w:tr>
        <w:trPr>
          <w:trHeight w:val="283" w:hRule="exact"/>
        </w:trPr>
        <w:tc>
          <w:tcPr>
            <w:tcW w:w="5782" w:type="dxa"/>
            <w:tcBorders>
              <w:top w:val="nil" w:sz="6" w:space="0" w:color="auto"/>
              <w:left w:val="nil" w:sz="6" w:space="0" w:color="auto"/>
              <w:bottom w:val="nil" w:sz="6" w:space="0" w:color="auto"/>
              <w:right w:val="nil" w:sz="6" w:space="0" w:color="auto"/>
            </w:tcBorders>
          </w:tcPr>
          <w:p>
            <w:pPr>
              <w:pStyle w:val="TableParagraph"/>
              <w:spacing w:line="239" w:lineRule="exact"/>
              <w:ind w:left="411" w:right="0"/>
              <w:jc w:val="left"/>
              <w:rPr>
                <w:rFonts w:ascii="宋体" w:hAnsi="宋体" w:cs="宋体" w:eastAsia="宋体" w:hint="default"/>
                <w:sz w:val="22"/>
                <w:szCs w:val="22"/>
              </w:rPr>
            </w:pPr>
            <w:r>
              <w:rPr>
                <w:rFonts w:ascii="宋体" w:hAnsi="宋体" w:cs="宋体" w:eastAsia="宋体" w:hint="default"/>
                <w:sz w:val="22"/>
                <w:szCs w:val="22"/>
              </w:rPr>
              <w:t>一年内到期的长期借款</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
              <w:jc w:val="right"/>
              <w:rPr>
                <w:rFonts w:ascii="Arial" w:hAnsi="Arial" w:cs="Arial" w:eastAsia="Arial" w:hint="default"/>
                <w:sz w:val="22"/>
                <w:szCs w:val="22"/>
              </w:rPr>
            </w:pPr>
            <w:r>
              <w:rPr>
                <w:rFonts w:ascii="Arial"/>
                <w:spacing w:val="-2"/>
                <w:sz w:val="22"/>
              </w:rPr>
              <w:t>437</w:t>
            </w:r>
            <w:r>
              <w:rPr>
                <w:rFonts w:ascii="Arial"/>
                <w:sz w:val="22"/>
              </w:rPr>
            </w:r>
          </w:p>
        </w:tc>
        <w:tc>
          <w:tcPr>
            <w:tcW w:w="130" w:type="dxa"/>
            <w:tcBorders>
              <w:top w:val="nil" w:sz="6" w:space="0" w:color="auto"/>
              <w:left w:val="nil" w:sz="6" w:space="0" w:color="auto"/>
              <w:bottom w:val="nil" w:sz="6" w:space="0" w:color="auto"/>
              <w:right w:val="nil" w:sz="6" w:space="0" w:color="auto"/>
            </w:tcBorders>
          </w:tcPr>
          <w:p>
            <w:pP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
              <w:jc w:val="right"/>
              <w:rPr>
                <w:rFonts w:ascii="Arial" w:hAnsi="Arial" w:cs="Arial" w:eastAsia="Arial" w:hint="default"/>
                <w:sz w:val="22"/>
                <w:szCs w:val="22"/>
              </w:rPr>
            </w:pPr>
            <w:r>
              <w:rPr>
                <w:rFonts w:ascii="Arial"/>
                <w:spacing w:val="-2"/>
                <w:sz w:val="22"/>
              </w:rPr>
              <w:t>441</w:t>
            </w:r>
            <w:r>
              <w:rPr>
                <w:rFonts w:ascii="Arial"/>
                <w:sz w:val="22"/>
              </w:rPr>
            </w:r>
          </w:p>
        </w:tc>
      </w:tr>
      <w:tr>
        <w:trPr>
          <w:trHeight w:val="288" w:hRule="exact"/>
        </w:trPr>
        <w:tc>
          <w:tcPr>
            <w:tcW w:w="5782" w:type="dxa"/>
            <w:tcBorders>
              <w:top w:val="nil" w:sz="6" w:space="0" w:color="auto"/>
              <w:left w:val="nil" w:sz="6" w:space="0" w:color="auto"/>
              <w:bottom w:val="nil" w:sz="6" w:space="0" w:color="auto"/>
              <w:right w:val="nil" w:sz="6" w:space="0" w:color="auto"/>
            </w:tcBorders>
          </w:tcPr>
          <w:p>
            <w:pPr>
              <w:pStyle w:val="TableParagraph"/>
              <w:spacing w:line="239" w:lineRule="exact"/>
              <w:ind w:left="411" w:right="0"/>
              <w:jc w:val="left"/>
              <w:rPr>
                <w:rFonts w:ascii="宋体" w:hAnsi="宋体" w:cs="宋体" w:eastAsia="宋体" w:hint="default"/>
                <w:sz w:val="22"/>
                <w:szCs w:val="22"/>
              </w:rPr>
            </w:pPr>
            <w:r>
              <w:rPr>
                <w:rFonts w:ascii="宋体" w:hAnsi="宋体" w:cs="宋体" w:eastAsia="宋体" w:hint="default"/>
                <w:sz w:val="22"/>
                <w:szCs w:val="22"/>
              </w:rPr>
              <w:t>一年内到期的应付债券</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
              <w:jc w:val="right"/>
              <w:rPr>
                <w:rFonts w:ascii="Arial" w:hAnsi="Arial" w:cs="Arial" w:eastAsia="Arial" w:hint="default"/>
                <w:sz w:val="22"/>
                <w:szCs w:val="22"/>
              </w:rPr>
            </w:pPr>
            <w:r>
              <w:rPr>
                <w:rFonts w:ascii="Arial"/>
                <w:w w:val="100"/>
                <w:sz w:val="22"/>
              </w:rPr>
              <w:t>-</w:t>
            </w:r>
          </w:p>
        </w:tc>
        <w:tc>
          <w:tcPr>
            <w:tcW w:w="130" w:type="dxa"/>
            <w:tcBorders>
              <w:top w:val="nil" w:sz="6" w:space="0" w:color="auto"/>
              <w:left w:val="nil" w:sz="6" w:space="0" w:color="auto"/>
              <w:bottom w:val="nil" w:sz="6" w:space="0" w:color="auto"/>
              <w:right w:val="nil" w:sz="6" w:space="0" w:color="auto"/>
            </w:tcBorders>
          </w:tcPr>
          <w:p>
            <w:pP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0"/>
              <w:jc w:val="right"/>
              <w:rPr>
                <w:rFonts w:ascii="Arial" w:hAnsi="Arial" w:cs="Arial" w:eastAsia="Arial" w:hint="default"/>
                <w:sz w:val="22"/>
                <w:szCs w:val="22"/>
              </w:rPr>
            </w:pPr>
            <w:r>
              <w:rPr>
                <w:rFonts w:ascii="Arial"/>
                <w:spacing w:val="-1"/>
                <w:sz w:val="22"/>
              </w:rPr>
              <w:t>16,994</w:t>
            </w:r>
          </w:p>
        </w:tc>
      </w:tr>
      <w:tr>
        <w:trPr>
          <w:trHeight w:val="283" w:hRule="exact"/>
        </w:trPr>
        <w:tc>
          <w:tcPr>
            <w:tcW w:w="5782" w:type="dxa"/>
            <w:tcBorders>
              <w:top w:val="nil" w:sz="6" w:space="0" w:color="auto"/>
              <w:left w:val="nil" w:sz="6" w:space="0" w:color="auto"/>
              <w:bottom w:val="nil" w:sz="6" w:space="0" w:color="auto"/>
              <w:right w:val="nil" w:sz="6" w:space="0" w:color="auto"/>
            </w:tcBorders>
          </w:tcPr>
          <w:p>
            <w:pPr>
              <w:pStyle w:val="TableParagraph"/>
              <w:spacing w:line="239" w:lineRule="exact"/>
              <w:ind w:left="411" w:right="0"/>
              <w:jc w:val="left"/>
              <w:rPr>
                <w:rFonts w:ascii="宋体" w:hAnsi="宋体" w:cs="宋体" w:eastAsia="宋体" w:hint="default"/>
                <w:sz w:val="22"/>
                <w:szCs w:val="22"/>
              </w:rPr>
            </w:pPr>
            <w:r>
              <w:rPr>
                <w:rFonts w:ascii="宋体" w:hAnsi="宋体" w:cs="宋体" w:eastAsia="宋体" w:hint="default"/>
                <w:sz w:val="22"/>
                <w:szCs w:val="22"/>
              </w:rPr>
              <w:t>一年内到期的应付融资租赁款</w:t>
            </w:r>
          </w:p>
        </w:tc>
        <w:tc>
          <w:tcPr>
            <w:tcW w:w="1704" w:type="dxa"/>
            <w:tcBorders>
              <w:top w:val="nil" w:sz="6" w:space="0" w:color="auto"/>
              <w:left w:val="nil" w:sz="6" w:space="0" w:color="auto"/>
              <w:bottom w:val="nil" w:sz="6" w:space="0" w:color="auto"/>
              <w:right w:val="nil" w:sz="6" w:space="0" w:color="auto"/>
            </w:tcBorders>
          </w:tcPr>
          <w:p>
            <w:pPr>
              <w:pStyle w:val="TableParagraph"/>
              <w:spacing w:line="239" w:lineRule="exact"/>
              <w:ind w:right="2"/>
              <w:jc w:val="right"/>
              <w:rPr>
                <w:rFonts w:ascii="宋体" w:hAnsi="宋体" w:cs="宋体" w:eastAsia="宋体" w:hint="default"/>
                <w:sz w:val="22"/>
                <w:szCs w:val="22"/>
              </w:rPr>
            </w:pPr>
            <w:r>
              <w:rPr>
                <w:rFonts w:ascii="宋体" w:hAnsi="宋体" w:cs="宋体" w:eastAsia="宋体" w:hint="default"/>
                <w:sz w:val="22"/>
                <w:szCs w:val="22"/>
              </w:rPr>
              <w:t>不适用</w:t>
            </w:r>
          </w:p>
        </w:tc>
        <w:tc>
          <w:tcPr>
            <w:tcW w:w="130" w:type="dxa"/>
            <w:tcBorders>
              <w:top w:val="nil" w:sz="6" w:space="0" w:color="auto"/>
              <w:left w:val="nil" w:sz="6" w:space="0" w:color="auto"/>
              <w:bottom w:val="nil" w:sz="6" w:space="0" w:color="auto"/>
              <w:right w:val="nil" w:sz="6" w:space="0" w:color="auto"/>
            </w:tcBorders>
          </w:tcPr>
          <w:p>
            <w:pP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
              <w:jc w:val="right"/>
              <w:rPr>
                <w:rFonts w:ascii="Arial" w:hAnsi="Arial" w:cs="Arial" w:eastAsia="Arial" w:hint="default"/>
                <w:sz w:val="22"/>
                <w:szCs w:val="22"/>
              </w:rPr>
            </w:pPr>
            <w:r>
              <w:rPr>
                <w:rFonts w:ascii="Arial"/>
                <w:spacing w:val="-2"/>
                <w:sz w:val="22"/>
              </w:rPr>
              <w:t>234</w:t>
            </w:r>
            <w:r>
              <w:rPr>
                <w:rFonts w:ascii="Arial"/>
                <w:sz w:val="22"/>
              </w:rPr>
            </w:r>
          </w:p>
        </w:tc>
      </w:tr>
      <w:tr>
        <w:trPr>
          <w:trHeight w:val="288" w:hRule="exact"/>
        </w:trPr>
        <w:tc>
          <w:tcPr>
            <w:tcW w:w="5782" w:type="dxa"/>
            <w:tcBorders>
              <w:top w:val="nil" w:sz="6" w:space="0" w:color="auto"/>
              <w:left w:val="nil" w:sz="6" w:space="0" w:color="auto"/>
              <w:bottom w:val="nil" w:sz="6" w:space="0" w:color="auto"/>
              <w:right w:val="nil" w:sz="6" w:space="0" w:color="auto"/>
            </w:tcBorders>
          </w:tcPr>
          <w:p>
            <w:pPr>
              <w:pStyle w:val="TableParagraph"/>
              <w:spacing w:line="239" w:lineRule="exact"/>
              <w:ind w:left="411" w:right="0"/>
              <w:jc w:val="left"/>
              <w:rPr>
                <w:rFonts w:ascii="宋体" w:hAnsi="宋体" w:cs="宋体" w:eastAsia="宋体" w:hint="default"/>
                <w:sz w:val="22"/>
                <w:szCs w:val="22"/>
              </w:rPr>
            </w:pPr>
            <w:r>
              <w:rPr>
                <w:rFonts w:ascii="宋体" w:hAnsi="宋体" w:cs="宋体" w:eastAsia="宋体" w:hint="default"/>
                <w:sz w:val="22"/>
                <w:szCs w:val="22"/>
              </w:rPr>
              <w:t>一年内到期的租赁负债</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
              <w:jc w:val="right"/>
              <w:rPr>
                <w:rFonts w:ascii="Arial" w:hAnsi="Arial" w:cs="Arial" w:eastAsia="Arial" w:hint="default"/>
                <w:sz w:val="22"/>
                <w:szCs w:val="22"/>
              </w:rPr>
            </w:pPr>
            <w:r>
              <w:rPr>
                <w:rFonts w:ascii="Arial"/>
                <w:spacing w:val="-1"/>
                <w:sz w:val="22"/>
              </w:rPr>
              <w:t>10,790</w:t>
            </w:r>
          </w:p>
        </w:tc>
        <w:tc>
          <w:tcPr>
            <w:tcW w:w="130" w:type="dxa"/>
            <w:tcBorders>
              <w:top w:val="nil" w:sz="6" w:space="0" w:color="auto"/>
              <w:left w:val="nil" w:sz="6" w:space="0" w:color="auto"/>
              <w:bottom w:val="nil" w:sz="6" w:space="0" w:color="auto"/>
              <w:right w:val="nil" w:sz="6" w:space="0" w:color="auto"/>
            </w:tcBorders>
          </w:tcPr>
          <w:p>
            <w:pPr/>
          </w:p>
        </w:tc>
        <w:tc>
          <w:tcPr>
            <w:tcW w:w="1829" w:type="dxa"/>
            <w:tcBorders>
              <w:top w:val="nil" w:sz="6" w:space="0" w:color="auto"/>
              <w:left w:val="nil" w:sz="6" w:space="0" w:color="auto"/>
              <w:bottom w:val="nil" w:sz="6" w:space="0" w:color="auto"/>
              <w:right w:val="nil" w:sz="6" w:space="0" w:color="auto"/>
            </w:tcBorders>
          </w:tcPr>
          <w:p>
            <w:pPr>
              <w:pStyle w:val="TableParagraph"/>
              <w:spacing w:line="239" w:lineRule="exact"/>
              <w:ind w:right="0"/>
              <w:jc w:val="right"/>
              <w:rPr>
                <w:rFonts w:ascii="宋体" w:hAnsi="宋体" w:cs="宋体" w:eastAsia="宋体" w:hint="default"/>
                <w:sz w:val="22"/>
                <w:szCs w:val="22"/>
              </w:rPr>
            </w:pPr>
            <w:r>
              <w:rPr>
                <w:rFonts w:ascii="宋体" w:hAnsi="宋体" w:cs="宋体" w:eastAsia="宋体" w:hint="default"/>
                <w:sz w:val="22"/>
                <w:szCs w:val="22"/>
              </w:rPr>
              <w:t>不适用</w:t>
            </w:r>
          </w:p>
        </w:tc>
      </w:tr>
      <w:tr>
        <w:trPr>
          <w:trHeight w:val="283" w:hRule="exact"/>
        </w:trPr>
        <w:tc>
          <w:tcPr>
            <w:tcW w:w="5782" w:type="dxa"/>
            <w:tcBorders>
              <w:top w:val="nil" w:sz="6" w:space="0" w:color="auto"/>
              <w:left w:val="nil" w:sz="6" w:space="0" w:color="auto"/>
              <w:bottom w:val="nil" w:sz="6" w:space="0" w:color="auto"/>
              <w:right w:val="nil" w:sz="6" w:space="0" w:color="auto"/>
            </w:tcBorders>
          </w:tcPr>
          <w:p>
            <w:pPr>
              <w:pStyle w:val="TableParagraph"/>
              <w:spacing w:line="239" w:lineRule="exact"/>
              <w:ind w:left="411" w:right="0"/>
              <w:jc w:val="left"/>
              <w:rPr>
                <w:rFonts w:ascii="宋体" w:hAnsi="宋体" w:cs="宋体" w:eastAsia="宋体" w:hint="default"/>
                <w:sz w:val="22"/>
                <w:szCs w:val="22"/>
              </w:rPr>
            </w:pPr>
            <w:r>
              <w:rPr>
                <w:rFonts w:ascii="宋体" w:hAnsi="宋体" w:cs="宋体" w:eastAsia="宋体" w:hint="default"/>
                <w:sz w:val="22"/>
                <w:szCs w:val="22"/>
              </w:rPr>
              <w:t>长期借款</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0"/>
              <w:jc w:val="right"/>
              <w:rPr>
                <w:rFonts w:ascii="Arial" w:hAnsi="Arial" w:cs="Arial" w:eastAsia="Arial" w:hint="default"/>
                <w:sz w:val="22"/>
                <w:szCs w:val="22"/>
              </w:rPr>
            </w:pPr>
            <w:r>
              <w:rPr>
                <w:rFonts w:ascii="Arial"/>
                <w:sz w:val="22"/>
              </w:rPr>
              <w:t>2,869</w:t>
            </w:r>
          </w:p>
        </w:tc>
        <w:tc>
          <w:tcPr>
            <w:tcW w:w="130" w:type="dxa"/>
            <w:tcBorders>
              <w:top w:val="nil" w:sz="6" w:space="0" w:color="auto"/>
              <w:left w:val="nil" w:sz="6" w:space="0" w:color="auto"/>
              <w:bottom w:val="nil" w:sz="6" w:space="0" w:color="auto"/>
              <w:right w:val="nil" w:sz="6" w:space="0" w:color="auto"/>
            </w:tcBorders>
          </w:tcPr>
          <w:p>
            <w:pP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0"/>
              <w:jc w:val="right"/>
              <w:rPr>
                <w:rFonts w:ascii="Arial" w:hAnsi="Arial" w:cs="Arial" w:eastAsia="Arial" w:hint="default"/>
                <w:sz w:val="22"/>
                <w:szCs w:val="22"/>
              </w:rPr>
            </w:pPr>
            <w:r>
              <w:rPr>
                <w:rFonts w:ascii="Arial"/>
                <w:sz w:val="22"/>
              </w:rPr>
              <w:t>3,173</w:t>
            </w:r>
          </w:p>
        </w:tc>
      </w:tr>
      <w:tr>
        <w:trPr>
          <w:trHeight w:val="288" w:hRule="exact"/>
        </w:trPr>
        <w:tc>
          <w:tcPr>
            <w:tcW w:w="5782" w:type="dxa"/>
            <w:tcBorders>
              <w:top w:val="nil" w:sz="6" w:space="0" w:color="auto"/>
              <w:left w:val="nil" w:sz="6" w:space="0" w:color="auto"/>
              <w:bottom w:val="nil" w:sz="6" w:space="0" w:color="auto"/>
              <w:right w:val="nil" w:sz="6" w:space="0" w:color="auto"/>
            </w:tcBorders>
          </w:tcPr>
          <w:p>
            <w:pPr>
              <w:pStyle w:val="TableParagraph"/>
              <w:spacing w:line="239" w:lineRule="exact"/>
              <w:ind w:left="411" w:right="0"/>
              <w:jc w:val="left"/>
              <w:rPr>
                <w:rFonts w:ascii="宋体" w:hAnsi="宋体" w:cs="宋体" w:eastAsia="宋体" w:hint="default"/>
                <w:sz w:val="22"/>
                <w:szCs w:val="22"/>
              </w:rPr>
            </w:pPr>
            <w:r>
              <w:rPr>
                <w:rFonts w:ascii="宋体" w:hAnsi="宋体" w:cs="宋体" w:eastAsia="宋体" w:hint="default"/>
                <w:sz w:val="22"/>
                <w:szCs w:val="22"/>
              </w:rPr>
              <w:t>应付债券</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0"/>
              <w:jc w:val="right"/>
              <w:rPr>
                <w:rFonts w:ascii="Arial" w:hAnsi="Arial" w:cs="Arial" w:eastAsia="Arial" w:hint="default"/>
                <w:sz w:val="22"/>
                <w:szCs w:val="22"/>
              </w:rPr>
            </w:pPr>
            <w:r>
              <w:rPr>
                <w:rFonts w:ascii="Arial"/>
                <w:sz w:val="22"/>
              </w:rPr>
              <w:t>3,995</w:t>
            </w:r>
          </w:p>
        </w:tc>
        <w:tc>
          <w:tcPr>
            <w:tcW w:w="130" w:type="dxa"/>
            <w:tcBorders>
              <w:top w:val="nil" w:sz="6" w:space="0" w:color="auto"/>
              <w:left w:val="nil" w:sz="6" w:space="0" w:color="auto"/>
              <w:bottom w:val="nil" w:sz="6" w:space="0" w:color="auto"/>
              <w:right w:val="nil" w:sz="6" w:space="0" w:color="auto"/>
            </w:tcBorders>
          </w:tcPr>
          <w:p>
            <w:pP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3"/>
              <w:jc w:val="right"/>
              <w:rPr>
                <w:rFonts w:ascii="Arial" w:hAnsi="Arial" w:cs="Arial" w:eastAsia="Arial" w:hint="default"/>
                <w:sz w:val="22"/>
                <w:szCs w:val="22"/>
              </w:rPr>
            </w:pPr>
            <w:r>
              <w:rPr>
                <w:rFonts w:ascii="Arial"/>
                <w:spacing w:val="-2"/>
                <w:sz w:val="22"/>
              </w:rPr>
              <w:t>999</w:t>
            </w:r>
            <w:r>
              <w:rPr>
                <w:rFonts w:ascii="Arial"/>
                <w:sz w:val="22"/>
              </w:rPr>
            </w:r>
          </w:p>
        </w:tc>
      </w:tr>
      <w:tr>
        <w:trPr>
          <w:trHeight w:val="283" w:hRule="exact"/>
        </w:trPr>
        <w:tc>
          <w:tcPr>
            <w:tcW w:w="5782" w:type="dxa"/>
            <w:tcBorders>
              <w:top w:val="nil" w:sz="6" w:space="0" w:color="auto"/>
              <w:left w:val="nil" w:sz="6" w:space="0" w:color="auto"/>
              <w:bottom w:val="nil" w:sz="6" w:space="0" w:color="auto"/>
              <w:right w:val="nil" w:sz="6" w:space="0" w:color="auto"/>
            </w:tcBorders>
          </w:tcPr>
          <w:p>
            <w:pPr>
              <w:pStyle w:val="TableParagraph"/>
              <w:spacing w:line="239" w:lineRule="exact"/>
              <w:ind w:left="411" w:right="0"/>
              <w:jc w:val="left"/>
              <w:rPr>
                <w:rFonts w:ascii="宋体" w:hAnsi="宋体" w:cs="宋体" w:eastAsia="宋体" w:hint="default"/>
                <w:sz w:val="22"/>
                <w:szCs w:val="22"/>
              </w:rPr>
            </w:pPr>
            <w:r>
              <w:rPr>
                <w:rFonts w:ascii="宋体" w:hAnsi="宋体" w:cs="宋体" w:eastAsia="宋体" w:hint="default"/>
                <w:sz w:val="22"/>
                <w:szCs w:val="22"/>
              </w:rPr>
              <w:t>应付融资租赁款</w:t>
            </w:r>
          </w:p>
        </w:tc>
        <w:tc>
          <w:tcPr>
            <w:tcW w:w="1704" w:type="dxa"/>
            <w:tcBorders>
              <w:top w:val="nil" w:sz="6" w:space="0" w:color="auto"/>
              <w:left w:val="nil" w:sz="6" w:space="0" w:color="auto"/>
              <w:bottom w:val="nil" w:sz="6" w:space="0" w:color="auto"/>
              <w:right w:val="nil" w:sz="6" w:space="0" w:color="auto"/>
            </w:tcBorders>
          </w:tcPr>
          <w:p>
            <w:pPr>
              <w:pStyle w:val="TableParagraph"/>
              <w:spacing w:line="239" w:lineRule="exact"/>
              <w:ind w:right="2"/>
              <w:jc w:val="right"/>
              <w:rPr>
                <w:rFonts w:ascii="宋体" w:hAnsi="宋体" w:cs="宋体" w:eastAsia="宋体" w:hint="default"/>
                <w:sz w:val="22"/>
                <w:szCs w:val="22"/>
              </w:rPr>
            </w:pPr>
            <w:r>
              <w:rPr>
                <w:rFonts w:ascii="宋体" w:hAnsi="宋体" w:cs="宋体" w:eastAsia="宋体" w:hint="default"/>
                <w:sz w:val="22"/>
                <w:szCs w:val="22"/>
              </w:rPr>
              <w:t>不适用</w:t>
            </w:r>
          </w:p>
        </w:tc>
        <w:tc>
          <w:tcPr>
            <w:tcW w:w="130" w:type="dxa"/>
            <w:tcBorders>
              <w:top w:val="nil" w:sz="6" w:space="0" w:color="auto"/>
              <w:left w:val="nil" w:sz="6" w:space="0" w:color="auto"/>
              <w:bottom w:val="nil" w:sz="6" w:space="0" w:color="auto"/>
              <w:right w:val="nil" w:sz="6" w:space="0" w:color="auto"/>
            </w:tcBorders>
          </w:tcPr>
          <w:p>
            <w:pP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0"/>
              <w:jc w:val="right"/>
              <w:rPr>
                <w:rFonts w:ascii="Arial" w:hAnsi="Arial" w:cs="Arial" w:eastAsia="Arial" w:hint="default"/>
                <w:sz w:val="22"/>
                <w:szCs w:val="22"/>
              </w:rPr>
            </w:pPr>
            <w:r>
              <w:rPr>
                <w:rFonts w:ascii="Arial"/>
                <w:w w:val="100"/>
                <w:sz w:val="22"/>
              </w:rPr>
              <w:t>6</w:t>
            </w:r>
          </w:p>
        </w:tc>
      </w:tr>
      <w:tr>
        <w:trPr>
          <w:trHeight w:val="276" w:hRule="exact"/>
        </w:trPr>
        <w:tc>
          <w:tcPr>
            <w:tcW w:w="5782" w:type="dxa"/>
            <w:tcBorders>
              <w:top w:val="nil" w:sz="6" w:space="0" w:color="auto"/>
              <w:left w:val="nil" w:sz="6" w:space="0" w:color="auto"/>
              <w:bottom w:val="nil" w:sz="6" w:space="0" w:color="auto"/>
              <w:right w:val="nil" w:sz="6" w:space="0" w:color="auto"/>
            </w:tcBorders>
          </w:tcPr>
          <w:p>
            <w:pPr>
              <w:pStyle w:val="TableParagraph"/>
              <w:spacing w:line="239" w:lineRule="exact"/>
              <w:ind w:left="411" w:right="0"/>
              <w:jc w:val="left"/>
              <w:rPr>
                <w:rFonts w:ascii="宋体" w:hAnsi="宋体" w:cs="宋体" w:eastAsia="宋体" w:hint="default"/>
                <w:sz w:val="22"/>
                <w:szCs w:val="22"/>
              </w:rPr>
            </w:pPr>
            <w:r>
              <w:rPr>
                <w:rFonts w:ascii="宋体" w:hAnsi="宋体" w:cs="宋体" w:eastAsia="宋体" w:hint="default"/>
                <w:sz w:val="22"/>
                <w:szCs w:val="22"/>
              </w:rPr>
              <w:t>租赁负债</w:t>
            </w:r>
          </w:p>
        </w:tc>
        <w:tc>
          <w:tcPr>
            <w:tcW w:w="1704" w:type="dxa"/>
            <w:tcBorders>
              <w:top w:val="nil" w:sz="6" w:space="0" w:color="auto"/>
              <w:left w:val="nil" w:sz="6" w:space="0" w:color="auto"/>
              <w:bottom w:val="nil" w:sz="6" w:space="0" w:color="auto"/>
              <w:right w:val="nil" w:sz="6" w:space="0" w:color="auto"/>
            </w:tcBorders>
          </w:tcPr>
          <w:p>
            <w:pPr>
              <w:pStyle w:val="TableParagraph"/>
              <w:tabs>
                <w:tab w:pos="1022" w:val="left" w:leader="none"/>
              </w:tabs>
              <w:spacing w:line="240" w:lineRule="auto" w:before="16"/>
              <w:ind w:right="4"/>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21,535</w:t>
            </w:r>
            <w:r>
              <w:rPr>
                <w:rFonts w:ascii="Arial"/>
                <w:spacing w:val="-1"/>
                <w:sz w:val="22"/>
              </w:rPr>
            </w:r>
          </w:p>
        </w:tc>
        <w:tc>
          <w:tcPr>
            <w:tcW w:w="130" w:type="dxa"/>
            <w:tcBorders>
              <w:top w:val="nil" w:sz="6" w:space="0" w:color="auto"/>
              <w:left w:val="nil" w:sz="6" w:space="0" w:color="auto"/>
              <w:bottom w:val="nil" w:sz="6" w:space="0" w:color="auto"/>
              <w:right w:val="nil" w:sz="6" w:space="0" w:color="auto"/>
            </w:tcBorders>
          </w:tcPr>
          <w:p>
            <w:pPr/>
          </w:p>
        </w:tc>
        <w:tc>
          <w:tcPr>
            <w:tcW w:w="1829" w:type="dxa"/>
            <w:tcBorders>
              <w:top w:val="nil" w:sz="6" w:space="0" w:color="auto"/>
              <w:left w:val="nil" w:sz="6" w:space="0" w:color="auto"/>
              <w:bottom w:val="single" w:sz="4" w:space="0" w:color="000000"/>
              <w:right w:val="nil" w:sz="6" w:space="0" w:color="auto"/>
            </w:tcBorders>
          </w:tcPr>
          <w:p>
            <w:pPr>
              <w:pStyle w:val="TableParagraph"/>
              <w:spacing w:line="239" w:lineRule="exact"/>
              <w:ind w:right="0"/>
              <w:jc w:val="right"/>
              <w:rPr>
                <w:rFonts w:ascii="宋体" w:hAnsi="宋体" w:cs="宋体" w:eastAsia="宋体" w:hint="default"/>
                <w:sz w:val="22"/>
                <w:szCs w:val="22"/>
              </w:rPr>
            </w:pPr>
            <w:r>
              <w:rPr>
                <w:rFonts w:ascii="宋体" w:hAnsi="宋体" w:cs="宋体" w:eastAsia="宋体" w:hint="default"/>
                <w:sz w:val="22"/>
                <w:szCs w:val="22"/>
              </w:rPr>
              <w:t>不适用</w:t>
            </w:r>
          </w:p>
        </w:tc>
      </w:tr>
      <w:tr>
        <w:trPr>
          <w:trHeight w:val="432" w:hRule="exact"/>
        </w:trPr>
        <w:tc>
          <w:tcPr>
            <w:tcW w:w="5782" w:type="dxa"/>
            <w:tcBorders>
              <w:top w:val="nil" w:sz="6" w:space="0" w:color="auto"/>
              <w:left w:val="nil" w:sz="6" w:space="0" w:color="auto"/>
              <w:bottom w:val="nil" w:sz="6" w:space="0" w:color="auto"/>
              <w:right w:val="nil" w:sz="6" w:space="0" w:color="auto"/>
            </w:tcBorders>
          </w:tcPr>
          <w:p>
            <w:pPr>
              <w:pStyle w:val="TableParagraph"/>
              <w:spacing w:line="257" w:lineRule="exact"/>
              <w:ind w:left="200" w:right="0"/>
              <w:jc w:val="left"/>
              <w:rPr>
                <w:rFonts w:ascii="宋体" w:hAnsi="宋体" w:cs="宋体" w:eastAsia="宋体" w:hint="default"/>
                <w:sz w:val="22"/>
                <w:szCs w:val="22"/>
              </w:rPr>
            </w:pPr>
            <w:r>
              <w:rPr>
                <w:rFonts w:ascii="宋体" w:hAnsi="宋体" w:cs="宋体" w:eastAsia="宋体" w:hint="default"/>
                <w:sz w:val="22"/>
                <w:szCs w:val="22"/>
              </w:rPr>
              <w:t>带息债务合计</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0"/>
              <w:jc w:val="right"/>
              <w:rPr>
                <w:rFonts w:ascii="Arial" w:hAnsi="Arial" w:cs="Arial" w:eastAsia="Arial" w:hint="default"/>
                <w:sz w:val="22"/>
                <w:szCs w:val="22"/>
              </w:rPr>
            </w:pPr>
            <w:r>
              <w:rPr>
                <w:rFonts w:ascii="Arial"/>
                <w:spacing w:val="-1"/>
                <w:sz w:val="22"/>
              </w:rPr>
              <w:t>54,235</w:t>
            </w:r>
          </w:p>
        </w:tc>
        <w:tc>
          <w:tcPr>
            <w:tcW w:w="130" w:type="dxa"/>
            <w:tcBorders>
              <w:top w:val="nil" w:sz="6" w:space="0" w:color="auto"/>
              <w:left w:val="nil" w:sz="6" w:space="0" w:color="auto"/>
              <w:bottom w:val="nil" w:sz="6" w:space="0" w:color="auto"/>
              <w:right w:val="nil" w:sz="6" w:space="0" w:color="auto"/>
            </w:tcBorders>
          </w:tcPr>
          <w:p>
            <w:pPr/>
          </w:p>
        </w:tc>
        <w:tc>
          <w:tcPr>
            <w:tcW w:w="1829" w:type="dxa"/>
            <w:tcBorders>
              <w:top w:val="single" w:sz="4" w:space="0" w:color="000000"/>
              <w:left w:val="nil" w:sz="6" w:space="0" w:color="auto"/>
              <w:bottom w:val="nil" w:sz="6" w:space="0" w:color="auto"/>
              <w:right w:val="nil" w:sz="6" w:space="0" w:color="auto"/>
            </w:tcBorders>
          </w:tcPr>
          <w:p>
            <w:pPr>
              <w:pStyle w:val="TableParagraph"/>
              <w:spacing w:line="240" w:lineRule="auto" w:before="33"/>
              <w:ind w:right="0"/>
              <w:jc w:val="right"/>
              <w:rPr>
                <w:rFonts w:ascii="Arial" w:hAnsi="Arial" w:cs="Arial" w:eastAsia="Arial" w:hint="default"/>
                <w:sz w:val="22"/>
                <w:szCs w:val="22"/>
              </w:rPr>
            </w:pPr>
            <w:r>
              <w:rPr>
                <w:rFonts w:ascii="Arial"/>
                <w:spacing w:val="-1"/>
                <w:sz w:val="22"/>
              </w:rPr>
              <w:t>36,980</w:t>
            </w:r>
          </w:p>
        </w:tc>
      </w:tr>
      <w:tr>
        <w:trPr>
          <w:trHeight w:val="657" w:hRule="exact"/>
        </w:trPr>
        <w:tc>
          <w:tcPr>
            <w:tcW w:w="5782" w:type="dxa"/>
            <w:tcBorders>
              <w:top w:val="nil" w:sz="6" w:space="0" w:color="auto"/>
              <w:left w:val="nil" w:sz="6" w:space="0" w:color="auto"/>
              <w:bottom w:val="nil" w:sz="6" w:space="0" w:color="auto"/>
              <w:right w:val="nil" w:sz="6" w:space="0" w:color="auto"/>
            </w:tcBorders>
          </w:tcPr>
          <w:p>
            <w:pPr>
              <w:pStyle w:val="TableParagraph"/>
              <w:spacing w:line="240" w:lineRule="auto" w:before="78"/>
              <w:ind w:left="200" w:right="0"/>
              <w:jc w:val="left"/>
              <w:rPr>
                <w:rFonts w:ascii="宋体" w:hAnsi="宋体" w:cs="宋体" w:eastAsia="宋体" w:hint="default"/>
                <w:sz w:val="22"/>
                <w:szCs w:val="22"/>
              </w:rPr>
            </w:pPr>
            <w:r>
              <w:rPr>
                <w:rFonts w:ascii="宋体" w:hAnsi="宋体" w:cs="宋体" w:eastAsia="宋体" w:hint="default"/>
                <w:sz w:val="22"/>
                <w:szCs w:val="22"/>
              </w:rPr>
              <w:t>股东权益：</w:t>
            </w:r>
          </w:p>
        </w:tc>
        <w:tc>
          <w:tcPr>
            <w:tcW w:w="1704" w:type="dxa"/>
            <w:tcBorders>
              <w:top w:val="nil" w:sz="6" w:space="0" w:color="auto"/>
              <w:left w:val="nil" w:sz="6" w:space="0" w:color="auto"/>
              <w:bottom w:val="single" w:sz="4" w:space="0" w:color="000000"/>
              <w:right w:val="nil" w:sz="6" w:space="0" w:color="auto"/>
            </w:tcBorders>
          </w:tcPr>
          <w:p>
            <w:pPr>
              <w:pStyle w:val="TableParagraph"/>
              <w:spacing w:line="240" w:lineRule="auto" w:before="143"/>
              <w:ind w:right="0"/>
              <w:jc w:val="right"/>
              <w:rPr>
                <w:rFonts w:ascii="Arial" w:hAnsi="Arial" w:cs="Arial" w:eastAsia="Arial" w:hint="default"/>
                <w:sz w:val="22"/>
                <w:szCs w:val="22"/>
              </w:rPr>
            </w:pPr>
            <w:r>
              <w:rPr>
                <w:rFonts w:ascii="Arial"/>
                <w:sz w:val="22"/>
              </w:rPr>
              <w:t>323,496</w:t>
            </w:r>
          </w:p>
        </w:tc>
        <w:tc>
          <w:tcPr>
            <w:tcW w:w="130" w:type="dxa"/>
            <w:tcBorders>
              <w:top w:val="nil" w:sz="6" w:space="0" w:color="auto"/>
              <w:left w:val="nil" w:sz="6" w:space="0" w:color="auto"/>
              <w:bottom w:val="nil" w:sz="6" w:space="0" w:color="auto"/>
              <w:right w:val="nil" w:sz="6" w:space="0" w:color="auto"/>
            </w:tcBorders>
          </w:tcPr>
          <w:p>
            <w:pPr/>
          </w:p>
        </w:tc>
        <w:tc>
          <w:tcPr>
            <w:tcW w:w="1829" w:type="dxa"/>
            <w:tcBorders>
              <w:top w:val="nil" w:sz="6" w:space="0" w:color="auto"/>
              <w:left w:val="nil" w:sz="6" w:space="0" w:color="auto"/>
              <w:bottom w:val="single" w:sz="4" w:space="0" w:color="000000"/>
              <w:right w:val="nil" w:sz="6" w:space="0" w:color="auto"/>
            </w:tcBorders>
          </w:tcPr>
          <w:p>
            <w:pPr>
              <w:pStyle w:val="TableParagraph"/>
              <w:spacing w:line="240" w:lineRule="auto" w:before="143"/>
              <w:ind w:right="0"/>
              <w:jc w:val="right"/>
              <w:rPr>
                <w:rFonts w:ascii="Arial" w:hAnsi="Arial" w:cs="Arial" w:eastAsia="Arial" w:hint="default"/>
                <w:sz w:val="22"/>
                <w:szCs w:val="22"/>
              </w:rPr>
            </w:pPr>
            <w:r>
              <w:rPr>
                <w:rFonts w:ascii="Arial"/>
                <w:sz w:val="22"/>
              </w:rPr>
              <w:t>316,940</w:t>
            </w:r>
          </w:p>
        </w:tc>
      </w:tr>
      <w:tr>
        <w:trPr>
          <w:trHeight w:val="302" w:hRule="exact"/>
        </w:trPr>
        <w:tc>
          <w:tcPr>
            <w:tcW w:w="5782" w:type="dxa"/>
            <w:tcBorders>
              <w:top w:val="nil" w:sz="6" w:space="0" w:color="auto"/>
              <w:left w:val="nil" w:sz="6" w:space="0" w:color="auto"/>
              <w:bottom w:val="nil" w:sz="6" w:space="0" w:color="auto"/>
              <w:right w:val="nil" w:sz="6" w:space="0" w:color="auto"/>
            </w:tcBorders>
          </w:tcPr>
          <w:p>
            <w:pPr>
              <w:pStyle w:val="TableParagraph"/>
              <w:spacing w:line="257" w:lineRule="exact"/>
              <w:ind w:left="200" w:right="0"/>
              <w:jc w:val="left"/>
              <w:rPr>
                <w:rFonts w:ascii="宋体" w:hAnsi="宋体" w:cs="宋体" w:eastAsia="宋体" w:hint="default"/>
                <w:sz w:val="22"/>
                <w:szCs w:val="22"/>
              </w:rPr>
            </w:pPr>
            <w:r>
              <w:rPr>
                <w:rFonts w:ascii="宋体" w:hAnsi="宋体" w:cs="宋体" w:eastAsia="宋体" w:hint="default"/>
                <w:sz w:val="22"/>
                <w:szCs w:val="22"/>
              </w:rPr>
              <w:t>带息债务加股东权益合计</w:t>
            </w:r>
          </w:p>
        </w:tc>
        <w:tc>
          <w:tcPr>
            <w:tcW w:w="1704" w:type="dxa"/>
            <w:tcBorders>
              <w:top w:val="single" w:sz="4" w:space="0" w:color="000000"/>
              <w:left w:val="nil" w:sz="6" w:space="0" w:color="auto"/>
              <w:bottom w:val="single" w:sz="12" w:space="0" w:color="000000"/>
              <w:right w:val="nil" w:sz="6" w:space="0" w:color="auto"/>
            </w:tcBorders>
          </w:tcPr>
          <w:p>
            <w:pPr>
              <w:pStyle w:val="TableParagraph"/>
              <w:spacing w:line="240" w:lineRule="auto" w:before="29"/>
              <w:ind w:right="0"/>
              <w:jc w:val="right"/>
              <w:rPr>
                <w:rFonts w:ascii="Arial" w:hAnsi="Arial" w:cs="Arial" w:eastAsia="Arial" w:hint="default"/>
                <w:sz w:val="22"/>
                <w:szCs w:val="22"/>
              </w:rPr>
            </w:pPr>
            <w:r>
              <w:rPr>
                <w:rFonts w:ascii="Arial"/>
                <w:sz w:val="22"/>
              </w:rPr>
              <w:t>377,731</w:t>
            </w:r>
          </w:p>
        </w:tc>
        <w:tc>
          <w:tcPr>
            <w:tcW w:w="130" w:type="dxa"/>
            <w:tcBorders>
              <w:top w:val="nil" w:sz="6" w:space="0" w:color="auto"/>
              <w:left w:val="nil" w:sz="6" w:space="0" w:color="auto"/>
              <w:bottom w:val="nil" w:sz="6" w:space="0" w:color="auto"/>
              <w:right w:val="nil" w:sz="6" w:space="0" w:color="auto"/>
            </w:tcBorders>
          </w:tcPr>
          <w:p>
            <w:pPr/>
          </w:p>
        </w:tc>
        <w:tc>
          <w:tcPr>
            <w:tcW w:w="1829" w:type="dxa"/>
            <w:tcBorders>
              <w:top w:val="single" w:sz="4" w:space="0" w:color="000000"/>
              <w:left w:val="nil" w:sz="6" w:space="0" w:color="auto"/>
              <w:bottom w:val="single" w:sz="12" w:space="0" w:color="000000"/>
              <w:right w:val="nil" w:sz="6" w:space="0" w:color="auto"/>
            </w:tcBorders>
          </w:tcPr>
          <w:p>
            <w:pPr>
              <w:pStyle w:val="TableParagraph"/>
              <w:spacing w:line="240" w:lineRule="auto" w:before="29"/>
              <w:ind w:right="0"/>
              <w:jc w:val="right"/>
              <w:rPr>
                <w:rFonts w:ascii="Arial" w:hAnsi="Arial" w:cs="Arial" w:eastAsia="Arial" w:hint="default"/>
                <w:sz w:val="22"/>
                <w:szCs w:val="22"/>
              </w:rPr>
            </w:pPr>
            <w:r>
              <w:rPr>
                <w:rFonts w:ascii="Arial"/>
                <w:sz w:val="22"/>
              </w:rPr>
              <w:t>353,920</w:t>
            </w:r>
          </w:p>
        </w:tc>
      </w:tr>
      <w:tr>
        <w:trPr>
          <w:trHeight w:val="551" w:hRule="exact"/>
        </w:trPr>
        <w:tc>
          <w:tcPr>
            <w:tcW w:w="578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债务资本率</w:t>
            </w:r>
          </w:p>
        </w:tc>
        <w:tc>
          <w:tcPr>
            <w:tcW w:w="1704"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right"/>
              <w:rPr>
                <w:rFonts w:ascii="Arial" w:hAnsi="Arial" w:cs="Arial" w:eastAsia="Arial" w:hint="default"/>
                <w:sz w:val="22"/>
                <w:szCs w:val="22"/>
              </w:rPr>
            </w:pPr>
            <w:r>
              <w:rPr>
                <w:rFonts w:ascii="Arial"/>
                <w:spacing w:val="-1"/>
                <w:sz w:val="22"/>
              </w:rPr>
              <w:t>14.36%</w:t>
            </w:r>
          </w:p>
        </w:tc>
        <w:tc>
          <w:tcPr>
            <w:tcW w:w="130" w:type="dxa"/>
            <w:tcBorders>
              <w:top w:val="nil" w:sz="6" w:space="0" w:color="auto"/>
              <w:left w:val="nil" w:sz="6" w:space="0" w:color="auto"/>
              <w:bottom w:val="nil" w:sz="6" w:space="0" w:color="auto"/>
              <w:right w:val="nil" w:sz="6" w:space="0" w:color="auto"/>
            </w:tcBorders>
          </w:tcPr>
          <w:p>
            <w:pPr/>
          </w:p>
        </w:tc>
        <w:tc>
          <w:tcPr>
            <w:tcW w:w="1829"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right"/>
              <w:rPr>
                <w:rFonts w:ascii="Arial" w:hAnsi="Arial" w:cs="Arial" w:eastAsia="Arial" w:hint="default"/>
                <w:sz w:val="22"/>
                <w:szCs w:val="22"/>
              </w:rPr>
            </w:pPr>
            <w:r>
              <w:rPr>
                <w:rFonts w:ascii="Arial"/>
                <w:spacing w:val="-1"/>
                <w:sz w:val="22"/>
              </w:rPr>
              <w:t>10.45%</w:t>
            </w:r>
          </w:p>
        </w:tc>
      </w:tr>
    </w:tbl>
    <w:p>
      <w:pPr>
        <w:spacing w:after="0" w:line="240" w:lineRule="auto"/>
        <w:jc w:val="right"/>
        <w:rPr>
          <w:rFonts w:ascii="Arial" w:hAnsi="Arial" w:cs="Arial" w:eastAsia="Arial" w:hint="default"/>
          <w:sz w:val="22"/>
          <w:szCs w:val="22"/>
        </w:rPr>
        <w:sectPr>
          <w:headerReference w:type="default" r:id="rId221"/>
          <w:pgSz w:w="11910" w:h="16840"/>
          <w:pgMar w:header="1183" w:footer="502" w:top="3040" w:bottom="700" w:left="1020" w:right="900"/>
        </w:sectPr>
      </w:pPr>
    </w:p>
    <w:p>
      <w:pPr>
        <w:spacing w:line="240" w:lineRule="auto" w:before="4"/>
        <w:rPr>
          <w:rFonts w:ascii="宋体" w:hAnsi="宋体" w:cs="宋体" w:eastAsia="宋体" w:hint="default"/>
          <w:sz w:val="17"/>
          <w:szCs w:val="17"/>
        </w:rPr>
      </w:pPr>
    </w:p>
    <w:p>
      <w:pPr>
        <w:pStyle w:val="BodyText"/>
        <w:tabs>
          <w:tab w:pos="578" w:val="left" w:leader="none"/>
        </w:tabs>
        <w:spacing w:line="448" w:lineRule="auto" w:before="32"/>
        <w:ind w:left="578" w:right="324" w:hanging="466"/>
        <w:jc w:val="left"/>
      </w:pPr>
      <w:bookmarkStart w:name="九 公允价值的披露" w:id="52"/>
      <w:bookmarkEnd w:id="52"/>
      <w:r>
        <w:rPr/>
      </w:r>
      <w:r>
        <w:rPr>
          <w:rFonts w:ascii="黑体" w:hAnsi="黑体" w:cs="黑体" w:eastAsia="黑体" w:hint="default"/>
        </w:rPr>
        <w:t>九</w:t>
        <w:tab/>
        <w:t>公允价值的披露</w:t>
      </w:r>
      <w:r>
        <w:rPr>
          <w:rFonts w:ascii="黑体" w:hAnsi="黑体" w:cs="黑体" w:eastAsia="黑体" w:hint="default"/>
          <w:spacing w:val="-105"/>
        </w:rPr>
        <w:t> </w:t>
      </w:r>
      <w:r>
        <w:rPr>
          <w:rFonts w:ascii="黑体" w:hAnsi="黑体" w:cs="黑体" w:eastAsia="黑体" w:hint="default"/>
          <w:spacing w:val="-105"/>
        </w:rPr>
      </w:r>
      <w:r>
        <w:rPr>
          <w:spacing w:val="-1"/>
        </w:rPr>
        <w:t>根据在公允价值计量中对计量整体具有重大意义的最低层次的输入值，公允价值层次可分为：</w:t>
      </w:r>
      <w:r>
        <w:rPr>
          <w:w w:val="100"/>
        </w:rPr>
        <w:t> </w:t>
      </w:r>
      <w:r>
        <w:rPr/>
        <w:t>第一层次：在计量日能够取得的相同资产或负债在活跃市场上未经调整的报价。</w:t>
      </w:r>
      <w:r>
        <w:rPr>
          <w:w w:val="100"/>
        </w:rPr>
        <w:t> </w:t>
      </w:r>
      <w:r>
        <w:rPr/>
        <w:t>第二层次：除第一层次输入值外相关资产或负债直接或间接可观察的输入值。</w:t>
      </w:r>
      <w:r>
        <w:rPr>
          <w:w w:val="100"/>
        </w:rPr>
        <w:t> </w:t>
      </w:r>
      <w:r>
        <w:rPr/>
        <w:t>第三层次：相关资产或负债的不可观察输入值。</w:t>
      </w:r>
    </w:p>
    <w:p>
      <w:pPr>
        <w:pStyle w:val="BodyText"/>
        <w:spacing w:line="300" w:lineRule="exact"/>
        <w:ind w:left="112" w:right="104"/>
        <w:jc w:val="left"/>
      </w:pPr>
      <w:r>
        <w:rPr>
          <w:rFonts w:ascii="Arial" w:hAnsi="Arial" w:cs="Arial" w:eastAsia="Arial" w:hint="default"/>
        </w:rPr>
        <w:t>1</w:t>
      </w:r>
      <w:r>
        <w:rPr/>
        <w:t>、</w:t>
      </w:r>
      <w:r>
        <w:rPr>
          <w:spacing w:val="-23"/>
        </w:rPr>
        <w:t> </w:t>
      </w:r>
      <w:r>
        <w:rPr/>
        <w:t>以公允价值计量的资产的年末公允价值</w:t>
      </w:r>
    </w:p>
    <w:p>
      <w:pPr>
        <w:spacing w:line="240" w:lineRule="auto" w:before="9"/>
        <w:rPr>
          <w:rFonts w:ascii="宋体" w:hAnsi="宋体" w:cs="宋体" w:eastAsia="宋体" w:hint="default"/>
          <w:sz w:val="17"/>
          <w:szCs w:val="17"/>
        </w:rPr>
      </w:pPr>
    </w:p>
    <w:p>
      <w:pPr>
        <w:pStyle w:val="BodyText"/>
        <w:spacing w:line="237" w:lineRule="auto"/>
        <w:ind w:left="578" w:right="103"/>
        <w:jc w:val="both"/>
      </w:pPr>
      <w:r>
        <w:rPr>
          <w:spacing w:val="-1"/>
        </w:rPr>
        <w:t>在活跃市场上交易的金融工具的公允价值以资产负债表日的市场报价为基础。若报价可方便及定</w:t>
      </w:r>
      <w:r>
        <w:rPr>
          <w:spacing w:val="-65"/>
        </w:rPr>
        <w:t> </w:t>
      </w:r>
      <w:r>
        <w:rPr>
          <w:spacing w:val="-65"/>
        </w:rPr>
      </w:r>
      <w:r>
        <w:rPr>
          <w:spacing w:val="-1"/>
        </w:rPr>
        <w:t>期的自交易所、证券商、经纪、行业团体、报价服务者、或监管代理处获得，且该等报价代表按</w:t>
      </w:r>
      <w:r>
        <w:rPr>
          <w:spacing w:val="-65"/>
        </w:rPr>
        <w:t> </w:t>
      </w:r>
      <w:r>
        <w:rPr>
          <w:spacing w:val="-65"/>
        </w:rPr>
      </w:r>
      <w:r>
        <w:rPr>
          <w:spacing w:val="-1"/>
        </w:rPr>
        <w:t>公平交易基准进行的实际或常规市场交易时，该市场被视为活跃。本集团持有的其他权益工具投</w:t>
      </w:r>
      <w:r>
        <w:rPr>
          <w:spacing w:val="-65"/>
        </w:rPr>
        <w:t> </w:t>
      </w:r>
      <w:r>
        <w:rPr>
          <w:spacing w:val="-65"/>
        </w:rPr>
      </w:r>
      <w:r>
        <w:rPr/>
        <w:t>资（如对西班牙电信的股票投资）的市场报价为当时公开股票交易市场上的买方报价。</w:t>
      </w:r>
    </w:p>
    <w:p>
      <w:pPr>
        <w:spacing w:line="240" w:lineRule="auto" w:before="1"/>
        <w:rPr>
          <w:rFonts w:ascii="宋体" w:hAnsi="宋体" w:cs="宋体" w:eastAsia="宋体" w:hint="default"/>
          <w:sz w:val="19"/>
          <w:szCs w:val="19"/>
        </w:rPr>
      </w:pPr>
    </w:p>
    <w:p>
      <w:pPr>
        <w:pStyle w:val="BodyText"/>
        <w:spacing w:line="240" w:lineRule="auto"/>
        <w:ind w:left="559" w:right="0"/>
        <w:jc w:val="both"/>
      </w:pPr>
      <w:bookmarkStart w:name="于2019年12月31日，以公允价值计量的金融资产按上述三个层次列示如下：" w:id="53"/>
      <w:bookmarkEnd w:id="53"/>
      <w:r>
        <w:rPr/>
      </w:r>
      <w:r>
        <w:rPr/>
        <w:t>于</w:t>
      </w:r>
      <w:r>
        <w:rPr>
          <w:spacing w:val="-56"/>
        </w:rPr>
        <w:t> </w:t>
      </w:r>
      <w:r>
        <w:rPr>
          <w:rFonts w:ascii="Arial" w:hAnsi="Arial" w:cs="Arial" w:eastAsia="Arial" w:hint="default"/>
        </w:rPr>
        <w:t>2019</w:t>
      </w:r>
      <w:r>
        <w:rPr>
          <w:rFonts w:ascii="Arial" w:hAnsi="Arial" w:cs="Arial" w:eastAsia="Arial" w:hint="default"/>
          <w:spacing w:val="-5"/>
        </w:rPr>
        <w:t> </w:t>
      </w:r>
      <w:r>
        <w:rPr/>
        <w:t>年</w:t>
      </w:r>
      <w:r>
        <w:rPr>
          <w:spacing w:val="-61"/>
        </w:rPr>
        <w:t> </w:t>
      </w:r>
      <w:r>
        <w:rPr>
          <w:rFonts w:ascii="Arial" w:hAnsi="Arial" w:cs="Arial" w:eastAsia="Arial" w:hint="default"/>
        </w:rPr>
        <w:t>12</w:t>
      </w:r>
      <w:r>
        <w:rPr>
          <w:rFonts w:ascii="Arial" w:hAnsi="Arial" w:cs="Arial" w:eastAsia="Arial" w:hint="default"/>
          <w:spacing w:val="-5"/>
        </w:rPr>
        <w:t> </w:t>
      </w:r>
      <w:r>
        <w:rPr/>
        <w:t>月</w:t>
      </w:r>
      <w:r>
        <w:rPr>
          <w:spacing w:val="-56"/>
        </w:rPr>
        <w:t> </w:t>
      </w:r>
      <w:r>
        <w:rPr>
          <w:rFonts w:ascii="Arial" w:hAnsi="Arial" w:cs="Arial" w:eastAsia="Arial" w:hint="default"/>
        </w:rPr>
        <w:t>31</w:t>
      </w:r>
      <w:r>
        <w:rPr>
          <w:rFonts w:ascii="Arial" w:hAnsi="Arial" w:cs="Arial" w:eastAsia="Arial" w:hint="default"/>
          <w:spacing w:val="-5"/>
        </w:rPr>
        <w:t> </w:t>
      </w:r>
      <w:r>
        <w:rPr/>
        <w:t>日，以公允价值计量的金融资产按上述三个层次列示如下：</w:t>
      </w:r>
    </w:p>
    <w:p>
      <w:pPr>
        <w:spacing w:line="240" w:lineRule="auto" w:before="0"/>
        <w:rPr>
          <w:rFonts w:ascii="宋体" w:hAnsi="宋体" w:cs="宋体" w:eastAsia="宋体" w:hint="default"/>
          <w:sz w:val="23"/>
          <w:szCs w:val="23"/>
        </w:rPr>
      </w:pPr>
    </w:p>
    <w:tbl>
      <w:tblPr>
        <w:tblW w:w="0" w:type="auto"/>
        <w:jc w:val="left"/>
        <w:tblInd w:w="383" w:type="dxa"/>
        <w:tblLayout w:type="fixed"/>
        <w:tblCellMar>
          <w:top w:w="0" w:type="dxa"/>
          <w:left w:w="0" w:type="dxa"/>
          <w:bottom w:w="0" w:type="dxa"/>
          <w:right w:w="0" w:type="dxa"/>
        </w:tblCellMar>
        <w:tblLook w:val="01E0"/>
      </w:tblPr>
      <w:tblGrid>
        <w:gridCol w:w="3068"/>
        <w:gridCol w:w="1632"/>
        <w:gridCol w:w="1486"/>
        <w:gridCol w:w="1721"/>
        <w:gridCol w:w="1297"/>
      </w:tblGrid>
      <w:tr>
        <w:trPr>
          <w:trHeight w:val="252" w:hRule="exact"/>
        </w:trPr>
        <w:tc>
          <w:tcPr>
            <w:tcW w:w="3068" w:type="dxa"/>
            <w:tcBorders>
              <w:top w:val="nil" w:sz="6" w:space="0" w:color="auto"/>
              <w:left w:val="nil" w:sz="6" w:space="0" w:color="auto"/>
              <w:bottom w:val="nil" w:sz="6" w:space="0" w:color="auto"/>
              <w:right w:val="nil" w:sz="6" w:space="0" w:color="auto"/>
            </w:tcBorders>
          </w:tcPr>
          <w:p>
            <w:pPr>
              <w:pStyle w:val="TableParagraph"/>
              <w:spacing w:line="221" w:lineRule="exact"/>
              <w:ind w:left="200" w:right="0"/>
              <w:jc w:val="left"/>
              <w:rPr>
                <w:rFonts w:ascii="宋体" w:hAnsi="宋体" w:cs="宋体" w:eastAsia="宋体" w:hint="default"/>
                <w:sz w:val="22"/>
                <w:szCs w:val="22"/>
              </w:rPr>
            </w:pPr>
            <w:r>
              <w:rPr>
                <w:rFonts w:ascii="宋体" w:hAnsi="宋体" w:cs="宋体" w:eastAsia="宋体" w:hint="default"/>
                <w:sz w:val="22"/>
                <w:szCs w:val="22"/>
              </w:rPr>
              <w:t>（单位：人民币百万元）</w:t>
            </w:r>
          </w:p>
        </w:tc>
        <w:tc>
          <w:tcPr>
            <w:tcW w:w="1632" w:type="dxa"/>
            <w:tcBorders>
              <w:top w:val="nil" w:sz="6" w:space="0" w:color="auto"/>
              <w:left w:val="nil" w:sz="6" w:space="0" w:color="auto"/>
              <w:bottom w:val="nil" w:sz="6" w:space="0" w:color="auto"/>
              <w:right w:val="nil" w:sz="6" w:space="0" w:color="auto"/>
            </w:tcBorders>
          </w:tcPr>
          <w:p>
            <w:pPr>
              <w:pStyle w:val="TableParagraph"/>
              <w:spacing w:line="221" w:lineRule="exact"/>
              <w:ind w:left="443" w:right="0"/>
              <w:jc w:val="left"/>
              <w:rPr>
                <w:rFonts w:ascii="宋体" w:hAnsi="宋体" w:cs="宋体" w:eastAsia="宋体" w:hint="default"/>
                <w:sz w:val="22"/>
                <w:szCs w:val="22"/>
              </w:rPr>
            </w:pPr>
            <w:r>
              <w:rPr>
                <w:rFonts w:ascii="宋体" w:hAnsi="宋体" w:cs="宋体" w:eastAsia="宋体" w:hint="default"/>
                <w:sz w:val="22"/>
                <w:szCs w:val="22"/>
              </w:rPr>
              <w:t>第一层次</w:t>
            </w:r>
          </w:p>
        </w:tc>
        <w:tc>
          <w:tcPr>
            <w:tcW w:w="1486" w:type="dxa"/>
            <w:tcBorders>
              <w:top w:val="nil" w:sz="6" w:space="0" w:color="auto"/>
              <w:left w:val="nil" w:sz="6" w:space="0" w:color="auto"/>
              <w:bottom w:val="nil" w:sz="6" w:space="0" w:color="auto"/>
              <w:right w:val="nil" w:sz="6" w:space="0" w:color="auto"/>
            </w:tcBorders>
          </w:tcPr>
          <w:p>
            <w:pPr>
              <w:pStyle w:val="TableParagraph"/>
              <w:spacing w:line="221" w:lineRule="exact"/>
              <w:ind w:left="304" w:right="0"/>
              <w:jc w:val="left"/>
              <w:rPr>
                <w:rFonts w:ascii="宋体" w:hAnsi="宋体" w:cs="宋体" w:eastAsia="宋体" w:hint="default"/>
                <w:sz w:val="22"/>
                <w:szCs w:val="22"/>
              </w:rPr>
            </w:pPr>
            <w:r>
              <w:rPr>
                <w:rFonts w:ascii="宋体" w:hAnsi="宋体" w:cs="宋体" w:eastAsia="宋体" w:hint="default"/>
                <w:sz w:val="22"/>
                <w:szCs w:val="22"/>
              </w:rPr>
              <w:t>第二层次</w:t>
            </w:r>
          </w:p>
        </w:tc>
        <w:tc>
          <w:tcPr>
            <w:tcW w:w="1721" w:type="dxa"/>
            <w:tcBorders>
              <w:top w:val="nil" w:sz="6" w:space="0" w:color="auto"/>
              <w:left w:val="nil" w:sz="6" w:space="0" w:color="auto"/>
              <w:bottom w:val="nil" w:sz="6" w:space="0" w:color="auto"/>
              <w:right w:val="nil" w:sz="6" w:space="0" w:color="auto"/>
            </w:tcBorders>
          </w:tcPr>
          <w:p>
            <w:pPr>
              <w:pStyle w:val="TableParagraph"/>
              <w:spacing w:line="221" w:lineRule="exact"/>
              <w:ind w:left="297" w:right="0"/>
              <w:jc w:val="left"/>
              <w:rPr>
                <w:rFonts w:ascii="宋体" w:hAnsi="宋体" w:cs="宋体" w:eastAsia="宋体" w:hint="default"/>
                <w:sz w:val="22"/>
                <w:szCs w:val="22"/>
              </w:rPr>
            </w:pPr>
            <w:r>
              <w:rPr>
                <w:rFonts w:ascii="宋体" w:hAnsi="宋体" w:cs="宋体" w:eastAsia="宋体" w:hint="default"/>
                <w:sz w:val="22"/>
                <w:szCs w:val="22"/>
              </w:rPr>
              <w:t>第三层次</w:t>
            </w:r>
          </w:p>
        </w:tc>
        <w:tc>
          <w:tcPr>
            <w:tcW w:w="1297" w:type="dxa"/>
            <w:tcBorders>
              <w:top w:val="nil" w:sz="6" w:space="0" w:color="auto"/>
              <w:left w:val="nil" w:sz="6" w:space="0" w:color="auto"/>
              <w:bottom w:val="nil" w:sz="6" w:space="0" w:color="auto"/>
              <w:right w:val="nil" w:sz="6" w:space="0" w:color="auto"/>
            </w:tcBorders>
          </w:tcPr>
          <w:p>
            <w:pPr>
              <w:pStyle w:val="TableParagraph"/>
              <w:spacing w:line="221" w:lineRule="exact"/>
              <w:ind w:right="198"/>
              <w:jc w:val="right"/>
              <w:rPr>
                <w:rFonts w:ascii="宋体" w:hAnsi="宋体" w:cs="宋体" w:eastAsia="宋体" w:hint="default"/>
                <w:sz w:val="22"/>
                <w:szCs w:val="22"/>
              </w:rPr>
            </w:pPr>
            <w:r>
              <w:rPr>
                <w:rFonts w:ascii="宋体" w:hAnsi="宋体" w:cs="宋体" w:eastAsia="宋体" w:hint="default"/>
                <w:sz w:val="22"/>
                <w:szCs w:val="22"/>
              </w:rPr>
              <w:t>合计</w:t>
            </w:r>
          </w:p>
        </w:tc>
      </w:tr>
      <w:tr>
        <w:trPr>
          <w:trHeight w:val="291" w:hRule="exact"/>
        </w:trPr>
        <w:tc>
          <w:tcPr>
            <w:tcW w:w="3068" w:type="dxa"/>
            <w:tcBorders>
              <w:top w:val="nil" w:sz="6" w:space="0" w:color="auto"/>
              <w:left w:val="nil" w:sz="6" w:space="0" w:color="auto"/>
              <w:bottom w:val="nil" w:sz="6" w:space="0" w:color="auto"/>
              <w:right w:val="nil" w:sz="6" w:space="0" w:color="auto"/>
            </w:tcBorders>
          </w:tcPr>
          <w:p>
            <w:pPr>
              <w:pStyle w:val="TableParagraph"/>
              <w:spacing w:line="268" w:lineRule="exact"/>
              <w:ind w:left="200" w:right="0"/>
              <w:jc w:val="left"/>
              <w:rPr>
                <w:rFonts w:ascii="Arial" w:hAnsi="Arial" w:cs="Arial" w:eastAsia="Arial" w:hint="default"/>
                <w:sz w:val="22"/>
                <w:szCs w:val="22"/>
              </w:rPr>
            </w:pPr>
            <w:r>
              <w:rPr>
                <w:rFonts w:ascii="宋体" w:hAnsi="宋体" w:cs="宋体" w:eastAsia="宋体" w:hint="default"/>
                <w:sz w:val="22"/>
                <w:szCs w:val="22"/>
              </w:rPr>
              <w:t>金融资产</w:t>
            </w:r>
            <w:r>
              <w:rPr>
                <w:rFonts w:ascii="Arial" w:hAnsi="Arial" w:cs="Arial" w:eastAsia="Arial" w:hint="default"/>
                <w:sz w:val="22"/>
                <w:szCs w:val="22"/>
              </w:rPr>
              <w:t>-</w:t>
            </w:r>
          </w:p>
        </w:tc>
        <w:tc>
          <w:tcPr>
            <w:tcW w:w="1632"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
        </w:tc>
        <w:tc>
          <w:tcPr>
            <w:tcW w:w="1721"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
        </w:tc>
      </w:tr>
      <w:tr>
        <w:trPr>
          <w:trHeight w:val="293" w:hRule="exact"/>
        </w:trPr>
        <w:tc>
          <w:tcPr>
            <w:tcW w:w="3068" w:type="dxa"/>
            <w:tcBorders>
              <w:top w:val="nil" w:sz="6" w:space="0" w:color="auto"/>
              <w:left w:val="nil" w:sz="6" w:space="0" w:color="auto"/>
              <w:bottom w:val="nil" w:sz="6" w:space="0" w:color="auto"/>
              <w:right w:val="nil" w:sz="6" w:space="0" w:color="auto"/>
            </w:tcBorders>
          </w:tcPr>
          <w:p>
            <w:pPr>
              <w:pStyle w:val="TableParagraph"/>
              <w:spacing w:line="249" w:lineRule="exact"/>
              <w:ind w:left="420" w:right="0"/>
              <w:jc w:val="left"/>
              <w:rPr>
                <w:rFonts w:ascii="宋体" w:hAnsi="宋体" w:cs="宋体" w:eastAsia="宋体" w:hint="default"/>
                <w:sz w:val="22"/>
                <w:szCs w:val="22"/>
              </w:rPr>
            </w:pPr>
            <w:r>
              <w:rPr>
                <w:rFonts w:ascii="宋体" w:hAnsi="宋体" w:cs="宋体" w:eastAsia="宋体" w:hint="default"/>
                <w:sz w:val="22"/>
                <w:szCs w:val="22"/>
              </w:rPr>
              <w:t>交易性金融资产</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952" w:right="0"/>
              <w:jc w:val="left"/>
              <w:rPr>
                <w:rFonts w:ascii="Arial" w:hAnsi="Arial" w:cs="Arial" w:eastAsia="Arial" w:hint="default"/>
                <w:sz w:val="22"/>
                <w:szCs w:val="22"/>
              </w:rPr>
            </w:pPr>
            <w:r>
              <w:rPr>
                <w:rFonts w:ascii="Arial"/>
                <w:sz w:val="22"/>
              </w:rPr>
              <w:t>151</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6"/>
              <w:ind w:left="933" w:right="0"/>
              <w:jc w:val="left"/>
              <w:rPr>
                <w:rFonts w:ascii="Arial" w:hAnsi="Arial" w:cs="Arial" w:eastAsia="Arial" w:hint="default"/>
                <w:sz w:val="22"/>
                <w:szCs w:val="22"/>
              </w:rPr>
            </w:pPr>
            <w:r>
              <w:rPr>
                <w:rFonts w:ascii="Arial"/>
                <w:sz w:val="22"/>
              </w:rPr>
              <w:t>51</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89" w:right="0"/>
              <w:jc w:val="left"/>
              <w:rPr>
                <w:rFonts w:ascii="Arial" w:hAnsi="Arial" w:cs="Arial" w:eastAsia="Arial" w:hint="default"/>
                <w:sz w:val="22"/>
                <w:szCs w:val="22"/>
              </w:rPr>
            </w:pPr>
            <w:r>
              <w:rPr>
                <w:rFonts w:ascii="Arial"/>
                <w:w w:val="100"/>
                <w:sz w:val="22"/>
              </w:rPr>
              <w:t>-</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00"/>
              <w:jc w:val="right"/>
              <w:rPr>
                <w:rFonts w:ascii="Arial" w:hAnsi="Arial" w:cs="Arial" w:eastAsia="Arial" w:hint="default"/>
                <w:sz w:val="22"/>
                <w:szCs w:val="22"/>
              </w:rPr>
            </w:pPr>
            <w:r>
              <w:rPr>
                <w:rFonts w:ascii="Arial"/>
                <w:spacing w:val="-1"/>
                <w:sz w:val="22"/>
              </w:rPr>
              <w:t>202</w:t>
            </w:r>
          </w:p>
        </w:tc>
      </w:tr>
      <w:tr>
        <w:trPr>
          <w:trHeight w:val="288" w:hRule="exact"/>
        </w:trPr>
        <w:tc>
          <w:tcPr>
            <w:tcW w:w="3068" w:type="dxa"/>
            <w:tcBorders>
              <w:top w:val="nil" w:sz="6" w:space="0" w:color="auto"/>
              <w:left w:val="nil" w:sz="6" w:space="0" w:color="auto"/>
              <w:bottom w:val="nil" w:sz="6" w:space="0" w:color="auto"/>
              <w:right w:val="nil" w:sz="6" w:space="0" w:color="auto"/>
            </w:tcBorders>
          </w:tcPr>
          <w:p>
            <w:pPr>
              <w:pStyle w:val="TableParagraph"/>
              <w:spacing w:line="239" w:lineRule="exact"/>
              <w:ind w:left="415" w:right="0"/>
              <w:jc w:val="left"/>
              <w:rPr>
                <w:rFonts w:ascii="宋体" w:hAnsi="宋体" w:cs="宋体" w:eastAsia="宋体" w:hint="default"/>
                <w:sz w:val="22"/>
                <w:szCs w:val="22"/>
              </w:rPr>
            </w:pPr>
            <w:r>
              <w:rPr>
                <w:rFonts w:ascii="宋体" w:hAnsi="宋体" w:cs="宋体" w:eastAsia="宋体" w:hint="default"/>
                <w:sz w:val="22"/>
                <w:szCs w:val="22"/>
              </w:rPr>
              <w:t>其他权益工具投资</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1"/>
              <w:ind w:left="765" w:right="0"/>
              <w:jc w:val="left"/>
              <w:rPr>
                <w:rFonts w:ascii="Arial" w:hAnsi="Arial" w:cs="Arial" w:eastAsia="Arial" w:hint="default"/>
                <w:sz w:val="22"/>
                <w:szCs w:val="22"/>
              </w:rPr>
            </w:pPr>
            <w:r>
              <w:rPr>
                <w:rFonts w:ascii="Arial"/>
                <w:sz w:val="22"/>
              </w:rPr>
              <w:t>3,267</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98"/>
              <w:jc w:val="right"/>
              <w:rPr>
                <w:rFonts w:ascii="Arial" w:hAnsi="Arial" w:cs="Arial" w:eastAsia="Arial" w:hint="default"/>
                <w:sz w:val="22"/>
                <w:szCs w:val="22"/>
              </w:rPr>
            </w:pPr>
            <w:r>
              <w:rPr>
                <w:rFonts w:ascii="Arial"/>
                <w:w w:val="100"/>
                <w:sz w:val="22"/>
              </w:rPr>
              <w:t>-</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21"/>
              <w:ind w:left="902" w:right="0"/>
              <w:jc w:val="left"/>
              <w:rPr>
                <w:rFonts w:ascii="Arial" w:hAnsi="Arial" w:cs="Arial" w:eastAsia="Arial" w:hint="default"/>
                <w:sz w:val="22"/>
                <w:szCs w:val="22"/>
              </w:rPr>
            </w:pPr>
            <w:r>
              <w:rPr>
                <w:rFonts w:ascii="Arial"/>
                <w:sz w:val="22"/>
              </w:rPr>
              <w:t>56</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00"/>
              <w:jc w:val="right"/>
              <w:rPr>
                <w:rFonts w:ascii="Arial" w:hAnsi="Arial" w:cs="Arial" w:eastAsia="Arial" w:hint="default"/>
                <w:sz w:val="22"/>
                <w:szCs w:val="22"/>
              </w:rPr>
            </w:pPr>
            <w:r>
              <w:rPr>
                <w:rFonts w:ascii="Arial"/>
                <w:sz w:val="22"/>
              </w:rPr>
              <w:t>3,323</w:t>
            </w:r>
          </w:p>
        </w:tc>
      </w:tr>
      <w:tr>
        <w:trPr>
          <w:trHeight w:val="265" w:hRule="exact"/>
        </w:trPr>
        <w:tc>
          <w:tcPr>
            <w:tcW w:w="3068" w:type="dxa"/>
            <w:tcBorders>
              <w:top w:val="nil" w:sz="6" w:space="0" w:color="auto"/>
              <w:left w:val="nil" w:sz="6" w:space="0" w:color="auto"/>
              <w:bottom w:val="nil" w:sz="6" w:space="0" w:color="auto"/>
              <w:right w:val="nil" w:sz="6" w:space="0" w:color="auto"/>
            </w:tcBorders>
          </w:tcPr>
          <w:p>
            <w:pPr>
              <w:pStyle w:val="TableParagraph"/>
              <w:tabs>
                <w:tab w:pos="3003" w:val="left" w:leader="none"/>
                <w:tab w:pos="4318" w:val="left" w:leader="none"/>
              </w:tabs>
              <w:spacing w:line="244" w:lineRule="exact"/>
              <w:ind w:left="415" w:right="-1251"/>
              <w:jc w:val="left"/>
              <w:rPr>
                <w:rFonts w:ascii="Arial" w:hAnsi="Arial" w:cs="Arial" w:eastAsia="Arial" w:hint="default"/>
                <w:sz w:val="22"/>
                <w:szCs w:val="22"/>
              </w:rPr>
            </w:pPr>
            <w:r>
              <w:rPr>
                <w:rFonts w:ascii="宋体" w:hAnsi="宋体" w:cs="宋体" w:eastAsia="宋体" w:hint="default"/>
                <w:position w:val="1"/>
                <w:sz w:val="22"/>
                <w:szCs w:val="22"/>
              </w:rPr>
              <w:t>其他非流动金融资产</w:t>
              <w:tab/>
            </w:r>
            <w:r>
              <w:rPr>
                <w:rFonts w:ascii="Arial" w:hAnsi="Arial" w:cs="Arial" w:eastAsia="Arial" w:hint="default"/>
                <w:w w:val="100"/>
                <w:sz w:val="22"/>
                <w:szCs w:val="22"/>
              </w:rPr>
            </w:r>
            <w:r>
              <w:rPr>
                <w:rFonts w:ascii="Arial" w:hAnsi="Arial" w:cs="Arial" w:eastAsia="Arial" w:hint="default"/>
                <w:w w:val="100"/>
                <w:sz w:val="22"/>
                <w:szCs w:val="22"/>
                <w:u w:val="single" w:color="000000"/>
              </w:rPr>
              <w:t> </w:t>
            </w:r>
            <w:r>
              <w:rPr>
                <w:rFonts w:ascii="Arial" w:hAnsi="Arial" w:cs="Arial" w:eastAsia="Arial" w:hint="default"/>
                <w:sz w:val="22"/>
                <w:szCs w:val="22"/>
                <w:u w:val="single" w:color="000000"/>
              </w:rPr>
              <w:tab/>
            </w:r>
            <w:r>
              <w:rPr>
                <w:rFonts w:ascii="Arial" w:hAnsi="Arial" w:cs="Arial" w:eastAsia="Arial" w:hint="default"/>
                <w:sz w:val="22"/>
                <w:szCs w:val="22"/>
              </w:rPr>
            </w:r>
          </w:p>
        </w:tc>
        <w:tc>
          <w:tcPr>
            <w:tcW w:w="1632" w:type="dxa"/>
            <w:tcBorders>
              <w:top w:val="nil" w:sz="6" w:space="0" w:color="auto"/>
              <w:left w:val="nil" w:sz="6" w:space="0" w:color="auto"/>
              <w:bottom w:val="nil" w:sz="6" w:space="0" w:color="auto"/>
              <w:right w:val="nil" w:sz="6" w:space="0" w:color="auto"/>
            </w:tcBorders>
          </w:tcPr>
          <w:p>
            <w:pPr>
              <w:pStyle w:val="TableParagraph"/>
              <w:tabs>
                <w:tab w:pos="1492" w:val="left" w:leader="none"/>
              </w:tabs>
              <w:spacing w:line="240" w:lineRule="auto" w:before="16"/>
              <w:ind w:right="-1112"/>
              <w:jc w:val="right"/>
              <w:rPr>
                <w:rFonts w:ascii="Arial" w:hAnsi="Arial" w:cs="Arial" w:eastAsia="Arial" w:hint="default"/>
                <w:sz w:val="22"/>
                <w:szCs w:val="22"/>
              </w:rPr>
            </w:pPr>
            <w:r>
              <w:rPr>
                <w:rFonts w:ascii="Arial"/>
                <w:w w:val="100"/>
                <w:sz w:val="22"/>
              </w:rPr>
            </w:r>
            <w:r>
              <w:rPr>
                <w:rFonts w:ascii="Arial"/>
                <w:sz w:val="22"/>
                <w:u w:val="single" w:color="000000"/>
              </w:rPr>
              <w:t>-</w:t>
            </w:r>
            <w:r>
              <w:rPr>
                <w:rFonts w:ascii="Arial"/>
                <w:spacing w:val="9"/>
                <w:sz w:val="22"/>
                <w:u w:val="single" w:color="000000"/>
              </w:rPr>
              <w:t> </w:t>
            </w:r>
            <w:r>
              <w:rPr>
                <w:rFonts w:ascii="Arial"/>
                <w:spacing w:val="9"/>
                <w:sz w:val="22"/>
              </w:rPr>
            </w:r>
            <w:r>
              <w:rPr>
                <w:rFonts w:ascii="Arial"/>
                <w:sz w:val="22"/>
              </w:rPr>
              <w:t> </w:t>
            </w:r>
            <w:r>
              <w:rPr>
                <w:rFonts w:ascii="Arial"/>
                <w:spacing w:val="-12"/>
                <w:sz w:val="22"/>
              </w:rPr>
              <w:t> </w:t>
            </w:r>
            <w:r>
              <w:rPr>
                <w:rFonts w:ascii="Arial"/>
                <w:spacing w:val="-12"/>
                <w:w w:val="100"/>
                <w:sz w:val="22"/>
              </w:rPr>
            </w:r>
            <w:r>
              <w:rPr>
                <w:rFonts w:ascii="Arial"/>
                <w:w w:val="100"/>
                <w:sz w:val="22"/>
                <w:u w:val="single" w:color="000000"/>
              </w:rPr>
              <w:t> </w:t>
            </w:r>
            <w:r>
              <w:rPr>
                <w:rFonts w:ascii="Arial"/>
                <w:sz w:val="22"/>
                <w:u w:val="single" w:color="000000"/>
              </w:rPr>
              <w:tab/>
            </w:r>
            <w:r>
              <w:rPr>
                <w:rFonts w:ascii="Arial"/>
                <w:sz w:val="22"/>
              </w:rPr>
            </w:r>
          </w:p>
        </w:tc>
        <w:tc>
          <w:tcPr>
            <w:tcW w:w="1486" w:type="dxa"/>
            <w:tcBorders>
              <w:top w:val="nil" w:sz="6" w:space="0" w:color="auto"/>
              <w:left w:val="nil" w:sz="6" w:space="0" w:color="auto"/>
              <w:bottom w:val="nil" w:sz="6" w:space="0" w:color="auto"/>
              <w:right w:val="nil" w:sz="6" w:space="0" w:color="auto"/>
            </w:tcBorders>
          </w:tcPr>
          <w:p>
            <w:pPr>
              <w:pStyle w:val="TableParagraph"/>
              <w:tabs>
                <w:tab w:pos="1161" w:val="left" w:leader="none"/>
              </w:tabs>
              <w:spacing w:line="240" w:lineRule="auto" w:before="16"/>
              <w:ind w:right="-788"/>
              <w:jc w:val="right"/>
              <w:rPr>
                <w:rFonts w:ascii="Arial" w:hAnsi="Arial" w:cs="Arial" w:eastAsia="Arial" w:hint="default"/>
                <w:sz w:val="22"/>
                <w:szCs w:val="22"/>
              </w:rPr>
            </w:pPr>
            <w:r>
              <w:rPr>
                <w:rFonts w:ascii="Arial"/>
                <w:w w:val="100"/>
                <w:sz w:val="22"/>
              </w:rPr>
            </w:r>
            <w:r>
              <w:rPr>
                <w:rFonts w:ascii="Arial"/>
                <w:sz w:val="22"/>
                <w:u w:val="single" w:color="000000"/>
              </w:rPr>
              <w:t>-</w:t>
            </w:r>
            <w:r>
              <w:rPr>
                <w:rFonts w:ascii="Arial"/>
                <w:spacing w:val="18"/>
                <w:sz w:val="22"/>
                <w:u w:val="single" w:color="000000"/>
              </w:rPr>
              <w:t> </w:t>
            </w:r>
            <w:r>
              <w:rPr>
                <w:rFonts w:ascii="Arial"/>
                <w:spacing w:val="18"/>
                <w:sz w:val="22"/>
              </w:rPr>
            </w:r>
            <w:r>
              <w:rPr>
                <w:rFonts w:ascii="Arial"/>
                <w:sz w:val="22"/>
              </w:rPr>
              <w:t> </w:t>
            </w:r>
            <w:r>
              <w:rPr>
                <w:rFonts w:ascii="Arial"/>
                <w:spacing w:val="-8"/>
                <w:sz w:val="22"/>
              </w:rPr>
              <w:t> </w:t>
            </w:r>
            <w:r>
              <w:rPr>
                <w:rFonts w:ascii="Arial"/>
                <w:spacing w:val="-8"/>
                <w:w w:val="100"/>
                <w:sz w:val="22"/>
              </w:rPr>
            </w:r>
            <w:r>
              <w:rPr>
                <w:rFonts w:ascii="Arial"/>
                <w:w w:val="100"/>
                <w:sz w:val="22"/>
                <w:u w:val="single" w:color="000000"/>
              </w:rPr>
              <w:t> </w:t>
            </w:r>
            <w:r>
              <w:rPr>
                <w:rFonts w:ascii="Arial"/>
                <w:sz w:val="22"/>
                <w:u w:val="single" w:color="000000"/>
              </w:rPr>
              <w:tab/>
            </w:r>
            <w:r>
              <w:rPr>
                <w:rFonts w:ascii="Arial"/>
                <w:sz w:val="22"/>
              </w:rPr>
            </w:r>
          </w:p>
        </w:tc>
        <w:tc>
          <w:tcPr>
            <w:tcW w:w="1721" w:type="dxa"/>
            <w:tcBorders>
              <w:top w:val="nil" w:sz="6" w:space="0" w:color="auto"/>
              <w:left w:val="nil" w:sz="6" w:space="0" w:color="auto"/>
              <w:bottom w:val="nil" w:sz="6" w:space="0" w:color="auto"/>
              <w:right w:val="nil" w:sz="6" w:space="0" w:color="auto"/>
            </w:tcBorders>
          </w:tcPr>
          <w:p>
            <w:pPr>
              <w:pStyle w:val="TableParagraph"/>
              <w:tabs>
                <w:tab w:pos="2452" w:val="left" w:leader="none"/>
              </w:tabs>
              <w:spacing w:line="240" w:lineRule="auto" w:before="16"/>
              <w:ind w:left="787" w:right="-732"/>
              <w:jc w:val="left"/>
              <w:rPr>
                <w:rFonts w:ascii="Arial" w:hAnsi="Arial" w:cs="Arial" w:eastAsia="Arial" w:hint="default"/>
                <w:sz w:val="22"/>
                <w:szCs w:val="22"/>
              </w:rPr>
            </w:pPr>
            <w:r>
              <w:rPr>
                <w:rFonts w:ascii="Arial"/>
                <w:w w:val="100"/>
                <w:sz w:val="22"/>
              </w:rPr>
            </w:r>
            <w:r>
              <w:rPr>
                <w:rFonts w:ascii="Arial"/>
                <w:sz w:val="22"/>
                <w:u w:val="single" w:color="000000"/>
              </w:rPr>
              <w:t>568</w:t>
            </w:r>
            <w:r>
              <w:rPr>
                <w:rFonts w:ascii="Arial"/>
                <w:spacing w:val="22"/>
                <w:sz w:val="22"/>
                <w:u w:val="single" w:color="000000"/>
              </w:rPr>
              <w:t> </w:t>
            </w:r>
            <w:r>
              <w:rPr>
                <w:rFonts w:ascii="Arial"/>
                <w:spacing w:val="22"/>
                <w:sz w:val="22"/>
              </w:rPr>
            </w:r>
            <w:r>
              <w:rPr>
                <w:rFonts w:ascii="Arial"/>
                <w:sz w:val="22"/>
              </w:rPr>
              <w:t> </w:t>
            </w:r>
            <w:r>
              <w:rPr>
                <w:rFonts w:ascii="Arial"/>
                <w:spacing w:val="-27"/>
                <w:sz w:val="22"/>
              </w:rPr>
              <w:t> </w:t>
            </w:r>
            <w:r>
              <w:rPr>
                <w:rFonts w:ascii="Arial"/>
                <w:spacing w:val="-27"/>
                <w:w w:val="100"/>
                <w:sz w:val="22"/>
              </w:rPr>
            </w:r>
            <w:r>
              <w:rPr>
                <w:rFonts w:ascii="Arial"/>
                <w:w w:val="100"/>
                <w:sz w:val="22"/>
                <w:u w:val="single" w:color="000000"/>
              </w:rPr>
              <w:t> </w:t>
            </w:r>
            <w:r>
              <w:rPr>
                <w:rFonts w:ascii="Arial"/>
                <w:sz w:val="22"/>
                <w:u w:val="single" w:color="000000"/>
              </w:rPr>
              <w:tab/>
            </w:r>
            <w:r>
              <w:rPr>
                <w:rFonts w:ascii="Arial"/>
                <w:sz w:val="22"/>
              </w:rPr>
            </w:r>
          </w:p>
        </w:tc>
        <w:tc>
          <w:tcPr>
            <w:tcW w:w="1297" w:type="dxa"/>
            <w:tcBorders>
              <w:top w:val="nil" w:sz="6" w:space="0" w:color="auto"/>
              <w:left w:val="nil" w:sz="6" w:space="0" w:color="auto"/>
              <w:bottom w:val="nil" w:sz="6" w:space="0" w:color="auto"/>
              <w:right w:val="nil" w:sz="6" w:space="0" w:color="auto"/>
            </w:tcBorders>
          </w:tcPr>
          <w:p>
            <w:pPr>
              <w:pStyle w:val="TableParagraph"/>
              <w:tabs>
                <w:tab w:pos="431" w:val="left" w:leader="none"/>
              </w:tabs>
              <w:spacing w:line="240" w:lineRule="auto" w:before="16"/>
              <w:ind w:right="130"/>
              <w:jc w:val="right"/>
              <w:rPr>
                <w:rFonts w:ascii="Arial" w:hAnsi="Arial" w:cs="Arial" w:eastAsia="Arial" w:hint="default"/>
                <w:sz w:val="22"/>
                <w:szCs w:val="22"/>
              </w:rPr>
            </w:pPr>
            <w:r>
              <w:rPr>
                <w:rFonts w:ascii="Arial"/>
                <w:w w:val="100"/>
                <w:sz w:val="22"/>
              </w:rPr>
            </w:r>
            <w:r>
              <w:rPr>
                <w:rFonts w:ascii="Arial"/>
                <w:spacing w:val="-1"/>
                <w:sz w:val="22"/>
                <w:u w:val="single" w:color="000000"/>
              </w:rPr>
              <w:t>568</w:t>
              <w:tab/>
            </w:r>
            <w:r>
              <w:rPr>
                <w:rFonts w:ascii="Arial"/>
                <w:spacing w:val="-1"/>
                <w:sz w:val="22"/>
              </w:rPr>
            </w:r>
          </w:p>
        </w:tc>
      </w:tr>
    </w:tbl>
    <w:p>
      <w:pPr>
        <w:spacing w:line="240" w:lineRule="auto" w:before="0"/>
        <w:rPr>
          <w:rFonts w:ascii="宋体" w:hAnsi="宋体" w:cs="宋体" w:eastAsia="宋体" w:hint="default"/>
          <w:sz w:val="23"/>
          <w:szCs w:val="23"/>
        </w:rPr>
      </w:pPr>
    </w:p>
    <w:tbl>
      <w:tblPr>
        <w:tblW w:w="0" w:type="auto"/>
        <w:jc w:val="left"/>
        <w:tblInd w:w="383" w:type="dxa"/>
        <w:tblLayout w:type="fixed"/>
        <w:tblCellMar>
          <w:top w:w="0" w:type="dxa"/>
          <w:left w:w="0" w:type="dxa"/>
          <w:bottom w:w="0" w:type="dxa"/>
          <w:right w:w="0" w:type="dxa"/>
        </w:tblCellMar>
        <w:tblLook w:val="01E0"/>
      </w:tblPr>
      <w:tblGrid>
        <w:gridCol w:w="2994"/>
        <w:gridCol w:w="2018"/>
        <w:gridCol w:w="953"/>
        <w:gridCol w:w="115"/>
        <w:gridCol w:w="1811"/>
        <w:gridCol w:w="1179"/>
      </w:tblGrid>
      <w:tr>
        <w:trPr>
          <w:trHeight w:val="279" w:hRule="exact"/>
        </w:trPr>
        <w:tc>
          <w:tcPr>
            <w:tcW w:w="2994" w:type="dxa"/>
            <w:tcBorders>
              <w:top w:val="nil" w:sz="6" w:space="0" w:color="auto"/>
              <w:left w:val="nil" w:sz="6" w:space="0" w:color="auto"/>
              <w:bottom w:val="nil" w:sz="6" w:space="0" w:color="auto"/>
              <w:right w:val="nil" w:sz="6" w:space="0" w:color="auto"/>
            </w:tcBorders>
          </w:tcPr>
          <w:p>
            <w:pPr>
              <w:pStyle w:val="TableParagraph"/>
              <w:spacing w:line="221" w:lineRule="exact"/>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018" w:type="dxa"/>
            <w:tcBorders>
              <w:top w:val="nil" w:sz="6" w:space="0" w:color="auto"/>
              <w:left w:val="nil" w:sz="6" w:space="0" w:color="auto"/>
              <w:bottom w:val="single" w:sz="17" w:space="0" w:color="000000"/>
              <w:right w:val="nil" w:sz="6" w:space="0" w:color="auto"/>
            </w:tcBorders>
          </w:tcPr>
          <w:p>
            <w:pPr>
              <w:pStyle w:val="TableParagraph"/>
              <w:spacing w:line="251" w:lineRule="exact"/>
              <w:ind w:left="839" w:right="0"/>
              <w:jc w:val="left"/>
              <w:rPr>
                <w:rFonts w:ascii="Arial" w:hAnsi="Arial" w:cs="Arial" w:eastAsia="Arial" w:hint="default"/>
                <w:sz w:val="22"/>
                <w:szCs w:val="22"/>
              </w:rPr>
            </w:pPr>
            <w:r>
              <w:rPr>
                <w:rFonts w:ascii="Arial"/>
                <w:sz w:val="22"/>
              </w:rPr>
              <w:t>3,418</w:t>
            </w:r>
          </w:p>
        </w:tc>
        <w:tc>
          <w:tcPr>
            <w:tcW w:w="953" w:type="dxa"/>
            <w:tcBorders>
              <w:top w:val="nil" w:sz="6" w:space="0" w:color="auto"/>
              <w:left w:val="nil" w:sz="6" w:space="0" w:color="auto"/>
              <w:bottom w:val="single" w:sz="17" w:space="0" w:color="000000"/>
              <w:right w:val="nil" w:sz="6" w:space="0" w:color="auto"/>
            </w:tcBorders>
          </w:tcPr>
          <w:p>
            <w:pPr>
              <w:pStyle w:val="TableParagraph"/>
              <w:spacing w:line="251" w:lineRule="exact"/>
              <w:ind w:left="621" w:right="0"/>
              <w:jc w:val="left"/>
              <w:rPr>
                <w:rFonts w:ascii="Arial" w:hAnsi="Arial" w:cs="Arial" w:eastAsia="Arial" w:hint="default"/>
                <w:sz w:val="22"/>
                <w:szCs w:val="22"/>
              </w:rPr>
            </w:pPr>
            <w:r>
              <w:rPr>
                <w:rFonts w:ascii="Arial"/>
                <w:sz w:val="22"/>
              </w:rPr>
              <w:t>51</w:t>
            </w:r>
          </w:p>
        </w:tc>
        <w:tc>
          <w:tcPr>
            <w:tcW w:w="115" w:type="dxa"/>
            <w:tcBorders>
              <w:top w:val="nil" w:sz="6" w:space="0" w:color="auto"/>
              <w:left w:val="nil" w:sz="6" w:space="0" w:color="auto"/>
              <w:bottom w:val="nil" w:sz="6" w:space="0" w:color="auto"/>
              <w:right w:val="nil" w:sz="6" w:space="0" w:color="auto"/>
            </w:tcBorders>
          </w:tcPr>
          <w:p>
            <w:pPr/>
          </w:p>
        </w:tc>
        <w:tc>
          <w:tcPr>
            <w:tcW w:w="1811" w:type="dxa"/>
            <w:tcBorders>
              <w:top w:val="nil" w:sz="6" w:space="0" w:color="auto"/>
              <w:left w:val="nil" w:sz="6" w:space="0" w:color="auto"/>
              <w:bottom w:val="single" w:sz="17" w:space="0" w:color="000000"/>
              <w:right w:val="nil" w:sz="6" w:space="0" w:color="auto"/>
            </w:tcBorders>
          </w:tcPr>
          <w:p>
            <w:pPr>
              <w:pStyle w:val="TableParagraph"/>
              <w:spacing w:line="251" w:lineRule="exact"/>
              <w:ind w:left="887" w:right="0"/>
              <w:jc w:val="left"/>
              <w:rPr>
                <w:rFonts w:ascii="Arial" w:hAnsi="Arial" w:cs="Arial" w:eastAsia="Arial" w:hint="default"/>
                <w:sz w:val="22"/>
                <w:szCs w:val="22"/>
              </w:rPr>
            </w:pPr>
            <w:r>
              <w:rPr>
                <w:rFonts w:ascii="Arial"/>
                <w:sz w:val="22"/>
              </w:rPr>
              <w:t>624</w:t>
            </w:r>
          </w:p>
        </w:tc>
        <w:tc>
          <w:tcPr>
            <w:tcW w:w="1179" w:type="dxa"/>
            <w:tcBorders>
              <w:top w:val="nil" w:sz="6" w:space="0" w:color="auto"/>
              <w:left w:val="nil" w:sz="6" w:space="0" w:color="auto"/>
              <w:bottom w:val="single" w:sz="17" w:space="0" w:color="000000"/>
              <w:right w:val="nil" w:sz="6" w:space="0" w:color="auto"/>
            </w:tcBorders>
          </w:tcPr>
          <w:p>
            <w:pPr>
              <w:pStyle w:val="TableParagraph"/>
              <w:spacing w:line="251" w:lineRule="exact"/>
              <w:ind w:left="555" w:right="0"/>
              <w:jc w:val="left"/>
              <w:rPr>
                <w:rFonts w:ascii="Arial" w:hAnsi="Arial" w:cs="Arial" w:eastAsia="Arial" w:hint="default"/>
                <w:sz w:val="22"/>
                <w:szCs w:val="22"/>
              </w:rPr>
            </w:pPr>
            <w:r>
              <w:rPr>
                <w:rFonts w:ascii="Arial"/>
                <w:sz w:val="22"/>
              </w:rPr>
              <w:t>4,093</w:t>
            </w:r>
          </w:p>
        </w:tc>
      </w:tr>
    </w:tbl>
    <w:p>
      <w:pPr>
        <w:spacing w:line="240" w:lineRule="auto" w:before="10"/>
        <w:rPr>
          <w:rFonts w:ascii="宋体" w:hAnsi="宋体" w:cs="宋体" w:eastAsia="宋体" w:hint="default"/>
          <w:sz w:val="13"/>
          <w:szCs w:val="13"/>
        </w:rPr>
      </w:pPr>
    </w:p>
    <w:p>
      <w:pPr>
        <w:pStyle w:val="BodyText"/>
        <w:spacing w:line="240" w:lineRule="auto" w:before="32"/>
        <w:ind w:left="559" w:right="104"/>
        <w:jc w:val="left"/>
      </w:pPr>
      <w:bookmarkStart w:name="于2018年12月31日，以公允价值计量的金融资产按上述三个层级列示如下：" w:id="54"/>
      <w:bookmarkEnd w:id="54"/>
      <w:r>
        <w:rPr/>
      </w:r>
      <w:r>
        <w:rPr/>
        <w:t>于</w:t>
      </w:r>
      <w:r>
        <w:rPr>
          <w:spacing w:val="-56"/>
        </w:rPr>
        <w:t> </w:t>
      </w:r>
      <w:r>
        <w:rPr>
          <w:rFonts w:ascii="Arial" w:hAnsi="Arial" w:cs="Arial" w:eastAsia="Arial" w:hint="default"/>
        </w:rPr>
        <w:t>2018</w:t>
      </w:r>
      <w:r>
        <w:rPr>
          <w:rFonts w:ascii="Arial" w:hAnsi="Arial" w:cs="Arial" w:eastAsia="Arial" w:hint="default"/>
          <w:spacing w:val="-5"/>
        </w:rPr>
        <w:t> </w:t>
      </w:r>
      <w:r>
        <w:rPr/>
        <w:t>年</w:t>
      </w:r>
      <w:r>
        <w:rPr>
          <w:spacing w:val="-61"/>
        </w:rPr>
        <w:t> </w:t>
      </w:r>
      <w:r>
        <w:rPr>
          <w:rFonts w:ascii="Arial" w:hAnsi="Arial" w:cs="Arial" w:eastAsia="Arial" w:hint="default"/>
        </w:rPr>
        <w:t>12</w:t>
      </w:r>
      <w:r>
        <w:rPr>
          <w:rFonts w:ascii="Arial" w:hAnsi="Arial" w:cs="Arial" w:eastAsia="Arial" w:hint="default"/>
          <w:spacing w:val="-5"/>
        </w:rPr>
        <w:t> </w:t>
      </w:r>
      <w:r>
        <w:rPr/>
        <w:t>月</w:t>
      </w:r>
      <w:r>
        <w:rPr>
          <w:spacing w:val="-56"/>
        </w:rPr>
        <w:t> </w:t>
      </w:r>
      <w:r>
        <w:rPr>
          <w:rFonts w:ascii="Arial" w:hAnsi="Arial" w:cs="Arial" w:eastAsia="Arial" w:hint="default"/>
        </w:rPr>
        <w:t>31</w:t>
      </w:r>
      <w:r>
        <w:rPr>
          <w:rFonts w:ascii="Arial" w:hAnsi="Arial" w:cs="Arial" w:eastAsia="Arial" w:hint="default"/>
          <w:spacing w:val="-5"/>
        </w:rPr>
        <w:t> </w:t>
      </w:r>
      <w:r>
        <w:rPr/>
        <w:t>日，以公允价值计量的金融资产按上述三个层级列示如下：</w:t>
      </w:r>
    </w:p>
    <w:p>
      <w:pPr>
        <w:spacing w:line="240" w:lineRule="auto" w:before="5"/>
        <w:rPr>
          <w:rFonts w:ascii="宋体" w:hAnsi="宋体" w:cs="宋体" w:eastAsia="宋体" w:hint="default"/>
          <w:sz w:val="23"/>
          <w:szCs w:val="23"/>
        </w:rPr>
      </w:pPr>
    </w:p>
    <w:tbl>
      <w:tblPr>
        <w:tblW w:w="0" w:type="auto"/>
        <w:jc w:val="left"/>
        <w:tblInd w:w="383" w:type="dxa"/>
        <w:tblLayout w:type="fixed"/>
        <w:tblCellMar>
          <w:top w:w="0" w:type="dxa"/>
          <w:left w:w="0" w:type="dxa"/>
          <w:bottom w:w="0" w:type="dxa"/>
          <w:right w:w="0" w:type="dxa"/>
        </w:tblCellMar>
        <w:tblLook w:val="01E0"/>
      </w:tblPr>
      <w:tblGrid>
        <w:gridCol w:w="2739"/>
        <w:gridCol w:w="1681"/>
        <w:gridCol w:w="1610"/>
        <w:gridCol w:w="1451"/>
        <w:gridCol w:w="1794"/>
      </w:tblGrid>
      <w:tr>
        <w:trPr>
          <w:trHeight w:val="252" w:hRule="exact"/>
        </w:trPr>
        <w:tc>
          <w:tcPr>
            <w:tcW w:w="2739" w:type="dxa"/>
            <w:tcBorders>
              <w:top w:val="nil" w:sz="6" w:space="0" w:color="auto"/>
              <w:left w:val="nil" w:sz="6" w:space="0" w:color="auto"/>
              <w:bottom w:val="nil" w:sz="6" w:space="0" w:color="auto"/>
              <w:right w:val="nil" w:sz="6" w:space="0" w:color="auto"/>
            </w:tcBorders>
          </w:tcPr>
          <w:p>
            <w:pPr>
              <w:pStyle w:val="TableParagraph"/>
              <w:spacing w:line="221" w:lineRule="exact"/>
              <w:ind w:left="200" w:right="0"/>
              <w:jc w:val="left"/>
              <w:rPr>
                <w:rFonts w:ascii="宋体" w:hAnsi="宋体" w:cs="宋体" w:eastAsia="宋体" w:hint="default"/>
                <w:sz w:val="22"/>
                <w:szCs w:val="22"/>
              </w:rPr>
            </w:pPr>
            <w:r>
              <w:rPr>
                <w:rFonts w:ascii="宋体" w:hAnsi="宋体" w:cs="宋体" w:eastAsia="宋体" w:hint="default"/>
                <w:sz w:val="22"/>
                <w:szCs w:val="22"/>
              </w:rPr>
              <w:t>（单位：人民币百万元）</w:t>
            </w:r>
          </w:p>
        </w:tc>
        <w:tc>
          <w:tcPr>
            <w:tcW w:w="1681" w:type="dxa"/>
            <w:tcBorders>
              <w:top w:val="nil" w:sz="6" w:space="0" w:color="auto"/>
              <w:left w:val="nil" w:sz="6" w:space="0" w:color="auto"/>
              <w:bottom w:val="nil" w:sz="6" w:space="0" w:color="auto"/>
              <w:right w:val="nil" w:sz="6" w:space="0" w:color="auto"/>
            </w:tcBorders>
          </w:tcPr>
          <w:p>
            <w:pPr>
              <w:pStyle w:val="TableParagraph"/>
              <w:spacing w:line="221" w:lineRule="exact"/>
              <w:ind w:left="115" w:right="0"/>
              <w:jc w:val="left"/>
              <w:rPr>
                <w:rFonts w:ascii="宋体" w:hAnsi="宋体" w:cs="宋体" w:eastAsia="宋体" w:hint="default"/>
                <w:sz w:val="22"/>
                <w:szCs w:val="22"/>
              </w:rPr>
            </w:pPr>
            <w:r>
              <w:rPr>
                <w:rFonts w:ascii="宋体" w:hAnsi="宋体" w:cs="宋体" w:eastAsia="宋体" w:hint="default"/>
                <w:sz w:val="22"/>
                <w:szCs w:val="22"/>
              </w:rPr>
              <w:t>第一层次</w:t>
            </w:r>
          </w:p>
        </w:tc>
        <w:tc>
          <w:tcPr>
            <w:tcW w:w="1610" w:type="dxa"/>
            <w:tcBorders>
              <w:top w:val="nil" w:sz="6" w:space="0" w:color="auto"/>
              <w:left w:val="nil" w:sz="6" w:space="0" w:color="auto"/>
              <w:bottom w:val="nil" w:sz="6" w:space="0" w:color="auto"/>
              <w:right w:val="nil" w:sz="6" w:space="0" w:color="auto"/>
            </w:tcBorders>
          </w:tcPr>
          <w:p>
            <w:pPr>
              <w:pStyle w:val="TableParagraph"/>
              <w:spacing w:line="221" w:lineRule="exact"/>
              <w:ind w:left="52" w:right="0"/>
              <w:jc w:val="left"/>
              <w:rPr>
                <w:rFonts w:ascii="宋体" w:hAnsi="宋体" w:cs="宋体" w:eastAsia="宋体" w:hint="default"/>
                <w:sz w:val="22"/>
                <w:szCs w:val="22"/>
              </w:rPr>
            </w:pPr>
            <w:r>
              <w:rPr>
                <w:rFonts w:ascii="宋体" w:hAnsi="宋体" w:cs="宋体" w:eastAsia="宋体" w:hint="default"/>
                <w:sz w:val="22"/>
                <w:szCs w:val="22"/>
              </w:rPr>
              <w:t>第二层次</w:t>
            </w:r>
          </w:p>
        </w:tc>
        <w:tc>
          <w:tcPr>
            <w:tcW w:w="1451" w:type="dxa"/>
            <w:tcBorders>
              <w:top w:val="nil" w:sz="6" w:space="0" w:color="auto"/>
              <w:left w:val="nil" w:sz="6" w:space="0" w:color="auto"/>
              <w:bottom w:val="nil" w:sz="6" w:space="0" w:color="auto"/>
              <w:right w:val="nil" w:sz="6" w:space="0" w:color="auto"/>
            </w:tcBorders>
          </w:tcPr>
          <w:p>
            <w:pPr>
              <w:pStyle w:val="TableParagraph"/>
              <w:spacing w:line="221" w:lineRule="exact"/>
              <w:ind w:left="64" w:right="0"/>
              <w:jc w:val="left"/>
              <w:rPr>
                <w:rFonts w:ascii="宋体" w:hAnsi="宋体" w:cs="宋体" w:eastAsia="宋体" w:hint="default"/>
                <w:sz w:val="22"/>
                <w:szCs w:val="22"/>
              </w:rPr>
            </w:pPr>
            <w:r>
              <w:rPr>
                <w:rFonts w:ascii="宋体" w:hAnsi="宋体" w:cs="宋体" w:eastAsia="宋体" w:hint="default"/>
                <w:sz w:val="22"/>
                <w:szCs w:val="22"/>
              </w:rPr>
              <w:t>第三层次</w:t>
            </w:r>
          </w:p>
        </w:tc>
        <w:tc>
          <w:tcPr>
            <w:tcW w:w="1794" w:type="dxa"/>
            <w:tcBorders>
              <w:top w:val="nil" w:sz="6" w:space="0" w:color="auto"/>
              <w:left w:val="nil" w:sz="6" w:space="0" w:color="auto"/>
              <w:bottom w:val="nil" w:sz="6" w:space="0" w:color="auto"/>
              <w:right w:val="nil" w:sz="6" w:space="0" w:color="auto"/>
            </w:tcBorders>
          </w:tcPr>
          <w:p>
            <w:pPr>
              <w:pStyle w:val="TableParagraph"/>
              <w:spacing w:line="221" w:lineRule="exact"/>
              <w:ind w:left="52" w:right="0"/>
              <w:jc w:val="left"/>
              <w:rPr>
                <w:rFonts w:ascii="宋体" w:hAnsi="宋体" w:cs="宋体" w:eastAsia="宋体" w:hint="default"/>
                <w:sz w:val="22"/>
                <w:szCs w:val="22"/>
              </w:rPr>
            </w:pPr>
            <w:r>
              <w:rPr>
                <w:rFonts w:ascii="宋体" w:hAnsi="宋体" w:cs="宋体" w:eastAsia="宋体" w:hint="default"/>
                <w:sz w:val="22"/>
                <w:szCs w:val="22"/>
              </w:rPr>
              <w:t>合计</w:t>
            </w:r>
          </w:p>
        </w:tc>
      </w:tr>
      <w:tr>
        <w:trPr>
          <w:trHeight w:val="289" w:hRule="exact"/>
        </w:trPr>
        <w:tc>
          <w:tcPr>
            <w:tcW w:w="2739" w:type="dxa"/>
            <w:tcBorders>
              <w:top w:val="nil" w:sz="6" w:space="0" w:color="auto"/>
              <w:left w:val="nil" w:sz="6" w:space="0" w:color="auto"/>
              <w:bottom w:val="nil" w:sz="6" w:space="0" w:color="auto"/>
              <w:right w:val="nil" w:sz="6" w:space="0" w:color="auto"/>
            </w:tcBorders>
          </w:tcPr>
          <w:p>
            <w:pPr>
              <w:pStyle w:val="TableParagraph"/>
              <w:spacing w:line="268" w:lineRule="exact"/>
              <w:ind w:left="200" w:right="0"/>
              <w:jc w:val="left"/>
              <w:rPr>
                <w:rFonts w:ascii="Arial" w:hAnsi="Arial" w:cs="Arial" w:eastAsia="Arial" w:hint="default"/>
                <w:sz w:val="22"/>
                <w:szCs w:val="22"/>
              </w:rPr>
            </w:pPr>
            <w:r>
              <w:rPr>
                <w:rFonts w:ascii="宋体" w:hAnsi="宋体" w:cs="宋体" w:eastAsia="宋体" w:hint="default"/>
                <w:sz w:val="22"/>
                <w:szCs w:val="22"/>
              </w:rPr>
              <w:t>金融资产</w:t>
            </w:r>
            <w:r>
              <w:rPr>
                <w:rFonts w:ascii="Arial" w:hAnsi="Arial" w:cs="Arial" w:eastAsia="Arial" w:hint="default"/>
                <w:sz w:val="22"/>
                <w:szCs w:val="22"/>
              </w:rPr>
              <w:t>-</w:t>
            </w:r>
          </w:p>
        </w:tc>
        <w:tc>
          <w:tcPr>
            <w:tcW w:w="1681" w:type="dxa"/>
            <w:tcBorders>
              <w:top w:val="nil" w:sz="6" w:space="0" w:color="auto"/>
              <w:left w:val="nil" w:sz="6" w:space="0" w:color="auto"/>
              <w:bottom w:val="nil" w:sz="6" w:space="0" w:color="auto"/>
              <w:right w:val="nil" w:sz="6" w:space="0" w:color="auto"/>
            </w:tcBorders>
          </w:tcPr>
          <w:p>
            <w:pPr/>
          </w:p>
        </w:tc>
        <w:tc>
          <w:tcPr>
            <w:tcW w:w="1610" w:type="dxa"/>
            <w:tcBorders>
              <w:top w:val="nil" w:sz="6" w:space="0" w:color="auto"/>
              <w:left w:val="nil" w:sz="6" w:space="0" w:color="auto"/>
              <w:bottom w:val="nil" w:sz="6" w:space="0" w:color="auto"/>
              <w:right w:val="nil" w:sz="6" w:space="0" w:color="auto"/>
            </w:tcBorders>
          </w:tcPr>
          <w:p>
            <w:pPr/>
          </w:p>
        </w:tc>
        <w:tc>
          <w:tcPr>
            <w:tcW w:w="1451" w:type="dxa"/>
            <w:tcBorders>
              <w:top w:val="nil" w:sz="6" w:space="0" w:color="auto"/>
              <w:left w:val="nil" w:sz="6" w:space="0" w:color="auto"/>
              <w:bottom w:val="nil" w:sz="6" w:space="0" w:color="auto"/>
              <w:right w:val="nil" w:sz="6" w:space="0" w:color="auto"/>
            </w:tcBorders>
          </w:tcPr>
          <w:p>
            <w:pPr/>
          </w:p>
        </w:tc>
        <w:tc>
          <w:tcPr>
            <w:tcW w:w="1794" w:type="dxa"/>
            <w:tcBorders>
              <w:top w:val="nil" w:sz="6" w:space="0" w:color="auto"/>
              <w:left w:val="nil" w:sz="6" w:space="0" w:color="auto"/>
              <w:bottom w:val="nil" w:sz="6" w:space="0" w:color="auto"/>
              <w:right w:val="nil" w:sz="6" w:space="0" w:color="auto"/>
            </w:tcBorders>
          </w:tcPr>
          <w:p>
            <w:pPr/>
          </w:p>
        </w:tc>
      </w:tr>
      <w:tr>
        <w:trPr>
          <w:trHeight w:val="295" w:hRule="exact"/>
        </w:trPr>
        <w:tc>
          <w:tcPr>
            <w:tcW w:w="2739" w:type="dxa"/>
            <w:tcBorders>
              <w:top w:val="nil" w:sz="6" w:space="0" w:color="auto"/>
              <w:left w:val="nil" w:sz="6" w:space="0" w:color="auto"/>
              <w:bottom w:val="nil" w:sz="6" w:space="0" w:color="auto"/>
              <w:right w:val="nil" w:sz="6" w:space="0" w:color="auto"/>
            </w:tcBorders>
          </w:tcPr>
          <w:p>
            <w:pPr>
              <w:pStyle w:val="TableParagraph"/>
              <w:spacing w:line="246" w:lineRule="exact"/>
              <w:ind w:left="420" w:right="0"/>
              <w:jc w:val="left"/>
              <w:rPr>
                <w:rFonts w:ascii="宋体" w:hAnsi="宋体" w:cs="宋体" w:eastAsia="宋体" w:hint="default"/>
                <w:sz w:val="22"/>
                <w:szCs w:val="22"/>
              </w:rPr>
            </w:pPr>
            <w:r>
              <w:rPr>
                <w:rFonts w:ascii="宋体" w:hAnsi="宋体" w:cs="宋体" w:eastAsia="宋体" w:hint="default"/>
                <w:sz w:val="22"/>
                <w:szCs w:val="22"/>
              </w:rPr>
              <w:t>交易性金融资产</w:t>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50"/>
              <w:jc w:val="right"/>
              <w:rPr>
                <w:rFonts w:ascii="Arial" w:hAnsi="Arial" w:cs="Arial" w:eastAsia="Arial" w:hint="default"/>
                <w:sz w:val="22"/>
                <w:szCs w:val="22"/>
              </w:rPr>
            </w:pPr>
            <w:r>
              <w:rPr>
                <w:rFonts w:ascii="Arial"/>
                <w:w w:val="100"/>
                <w:sz w:val="22"/>
              </w:rPr>
              <w:t>-</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8"/>
              <w:jc w:val="right"/>
              <w:rPr>
                <w:rFonts w:ascii="Arial" w:hAnsi="Arial" w:cs="Arial" w:eastAsia="Arial" w:hint="default"/>
                <w:sz w:val="22"/>
                <w:szCs w:val="22"/>
              </w:rPr>
            </w:pPr>
            <w:r>
              <w:rPr>
                <w:rFonts w:ascii="Arial"/>
                <w:spacing w:val="-2"/>
                <w:sz w:val="22"/>
              </w:rPr>
              <w:t>570</w:t>
            </w:r>
            <w:r>
              <w:rPr>
                <w:rFonts w:ascii="Arial"/>
                <w:sz w:val="22"/>
              </w:rPr>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55"/>
              <w:jc w:val="right"/>
              <w:rPr>
                <w:rFonts w:ascii="Arial" w:hAnsi="Arial" w:cs="Arial" w:eastAsia="Arial" w:hint="default"/>
                <w:sz w:val="22"/>
                <w:szCs w:val="22"/>
              </w:rPr>
            </w:pPr>
            <w:r>
              <w:rPr>
                <w:rFonts w:ascii="Arial"/>
                <w:spacing w:val="-2"/>
                <w:sz w:val="22"/>
              </w:rPr>
              <w:t>200</w:t>
            </w:r>
            <w:r>
              <w:rPr>
                <w:rFonts w:ascii="Arial"/>
                <w:sz w:val="22"/>
              </w:rPr>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02"/>
              <w:jc w:val="right"/>
              <w:rPr>
                <w:rFonts w:ascii="Arial" w:hAnsi="Arial" w:cs="Arial" w:eastAsia="Arial" w:hint="default"/>
                <w:sz w:val="22"/>
                <w:szCs w:val="22"/>
              </w:rPr>
            </w:pPr>
            <w:r>
              <w:rPr>
                <w:rFonts w:ascii="Arial"/>
                <w:spacing w:val="-2"/>
                <w:sz w:val="22"/>
              </w:rPr>
              <w:t>770</w:t>
            </w:r>
            <w:r>
              <w:rPr>
                <w:rFonts w:ascii="Arial"/>
                <w:sz w:val="22"/>
              </w:rPr>
            </w:r>
          </w:p>
        </w:tc>
      </w:tr>
      <w:tr>
        <w:trPr>
          <w:trHeight w:val="265" w:hRule="exact"/>
        </w:trPr>
        <w:tc>
          <w:tcPr>
            <w:tcW w:w="2739" w:type="dxa"/>
            <w:tcBorders>
              <w:top w:val="nil" w:sz="6" w:space="0" w:color="auto"/>
              <w:left w:val="nil" w:sz="6" w:space="0" w:color="auto"/>
              <w:bottom w:val="nil" w:sz="6" w:space="0" w:color="auto"/>
              <w:right w:val="nil" w:sz="6" w:space="0" w:color="auto"/>
            </w:tcBorders>
          </w:tcPr>
          <w:p>
            <w:pPr>
              <w:pStyle w:val="TableParagraph"/>
              <w:spacing w:line="239" w:lineRule="exact"/>
              <w:ind w:left="444" w:right="0"/>
              <w:jc w:val="left"/>
              <w:rPr>
                <w:rFonts w:ascii="宋体" w:hAnsi="宋体" w:cs="宋体" w:eastAsia="宋体" w:hint="default"/>
                <w:sz w:val="22"/>
                <w:szCs w:val="22"/>
              </w:rPr>
            </w:pPr>
            <w:r>
              <w:rPr>
                <w:rFonts w:ascii="宋体" w:hAnsi="宋体" w:cs="宋体" w:eastAsia="宋体" w:hint="default"/>
                <w:sz w:val="22"/>
                <w:szCs w:val="22"/>
              </w:rPr>
              <w:t>其他权益工具投资</w:t>
            </w:r>
          </w:p>
        </w:tc>
        <w:tc>
          <w:tcPr>
            <w:tcW w:w="1681" w:type="dxa"/>
            <w:tcBorders>
              <w:top w:val="nil" w:sz="6" w:space="0" w:color="auto"/>
              <w:left w:val="nil" w:sz="6" w:space="0" w:color="auto"/>
              <w:bottom w:val="nil" w:sz="6" w:space="0" w:color="auto"/>
              <w:right w:val="nil" w:sz="6" w:space="0" w:color="auto"/>
            </w:tcBorders>
          </w:tcPr>
          <w:p>
            <w:pPr>
              <w:pStyle w:val="TableParagraph"/>
              <w:tabs>
                <w:tab w:pos="1070" w:val="left" w:leader="none"/>
              </w:tabs>
              <w:spacing w:line="240" w:lineRule="auto" w:before="16"/>
              <w:ind w:left="100"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3,845</w:t>
            </w:r>
            <w:r>
              <w:rPr>
                <w:rFonts w:ascii="Arial"/>
                <w:sz w:val="22"/>
              </w:rPr>
            </w:r>
          </w:p>
        </w:tc>
        <w:tc>
          <w:tcPr>
            <w:tcW w:w="1610" w:type="dxa"/>
            <w:tcBorders>
              <w:top w:val="nil" w:sz="6" w:space="0" w:color="auto"/>
              <w:left w:val="nil" w:sz="6" w:space="0" w:color="auto"/>
              <w:bottom w:val="nil" w:sz="6" w:space="0" w:color="auto"/>
              <w:right w:val="nil" w:sz="6" w:space="0" w:color="auto"/>
            </w:tcBorders>
          </w:tcPr>
          <w:p>
            <w:pPr>
              <w:pStyle w:val="TableParagraph"/>
              <w:tabs>
                <w:tab w:pos="1472" w:val="left" w:leader="none"/>
              </w:tabs>
              <w:spacing w:line="240" w:lineRule="auto" w:before="16"/>
              <w:ind w:left="37"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r>
            <w:r>
              <w:rPr>
                <w:rFonts w:ascii="Arial"/>
                <w:sz w:val="22"/>
              </w:rPr>
            </w:r>
          </w:p>
        </w:tc>
        <w:tc>
          <w:tcPr>
            <w:tcW w:w="1451" w:type="dxa"/>
            <w:tcBorders>
              <w:top w:val="nil" w:sz="6" w:space="0" w:color="auto"/>
              <w:left w:val="nil" w:sz="6" w:space="0" w:color="auto"/>
              <w:bottom w:val="nil" w:sz="6" w:space="0" w:color="auto"/>
              <w:right w:val="nil" w:sz="6" w:space="0" w:color="auto"/>
            </w:tcBorders>
          </w:tcPr>
          <w:p>
            <w:pPr>
              <w:pStyle w:val="TableParagraph"/>
              <w:tabs>
                <w:tab w:pos="1148" w:val="left" w:leader="none"/>
              </w:tabs>
              <w:spacing w:line="240" w:lineRule="auto" w:before="16"/>
              <w:ind w:left="49"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58</w:t>
            </w:r>
            <w:r>
              <w:rPr>
                <w:rFonts w:ascii="Arial"/>
                <w:sz w:val="22"/>
              </w:rPr>
            </w:r>
          </w:p>
        </w:tc>
        <w:tc>
          <w:tcPr>
            <w:tcW w:w="1794" w:type="dxa"/>
            <w:tcBorders>
              <w:top w:val="nil" w:sz="6" w:space="0" w:color="auto"/>
              <w:left w:val="nil" w:sz="6" w:space="0" w:color="auto"/>
              <w:bottom w:val="nil" w:sz="6" w:space="0" w:color="auto"/>
              <w:right w:val="nil" w:sz="6" w:space="0" w:color="auto"/>
            </w:tcBorders>
          </w:tcPr>
          <w:p>
            <w:pPr>
              <w:pStyle w:val="TableParagraph"/>
              <w:tabs>
                <w:tab w:pos="1036" w:val="left" w:leader="none"/>
              </w:tabs>
              <w:spacing w:line="240" w:lineRule="auto" w:before="16"/>
              <w:ind w:left="38"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3,903</w:t>
            </w:r>
            <w:r>
              <w:rPr>
                <w:rFonts w:ascii="Arial"/>
                <w:sz w:val="22"/>
              </w:rPr>
            </w:r>
          </w:p>
        </w:tc>
      </w:tr>
    </w:tbl>
    <w:p>
      <w:pPr>
        <w:spacing w:line="240" w:lineRule="auto" w:before="0"/>
        <w:rPr>
          <w:rFonts w:ascii="宋体" w:hAnsi="宋体" w:cs="宋体" w:eastAsia="宋体" w:hint="default"/>
          <w:sz w:val="23"/>
          <w:szCs w:val="23"/>
        </w:rPr>
      </w:pPr>
    </w:p>
    <w:tbl>
      <w:tblPr>
        <w:tblW w:w="0" w:type="auto"/>
        <w:jc w:val="left"/>
        <w:tblInd w:w="383" w:type="dxa"/>
        <w:tblLayout w:type="fixed"/>
        <w:tblCellMar>
          <w:top w:w="0" w:type="dxa"/>
          <w:left w:w="0" w:type="dxa"/>
          <w:bottom w:w="0" w:type="dxa"/>
          <w:right w:w="0" w:type="dxa"/>
        </w:tblCellMar>
        <w:tblLook w:val="01E0"/>
      </w:tblPr>
      <w:tblGrid>
        <w:gridCol w:w="2840"/>
        <w:gridCol w:w="2136"/>
        <w:gridCol w:w="989"/>
        <w:gridCol w:w="115"/>
        <w:gridCol w:w="1881"/>
        <w:gridCol w:w="1109"/>
      </w:tblGrid>
      <w:tr>
        <w:trPr>
          <w:trHeight w:val="279" w:hRule="exact"/>
        </w:trPr>
        <w:tc>
          <w:tcPr>
            <w:tcW w:w="2840" w:type="dxa"/>
            <w:tcBorders>
              <w:top w:val="nil" w:sz="6" w:space="0" w:color="auto"/>
              <w:left w:val="nil" w:sz="6" w:space="0" w:color="auto"/>
              <w:bottom w:val="nil" w:sz="6" w:space="0" w:color="auto"/>
              <w:right w:val="nil" w:sz="6" w:space="0" w:color="auto"/>
            </w:tcBorders>
          </w:tcPr>
          <w:p>
            <w:pPr>
              <w:pStyle w:val="TableParagraph"/>
              <w:spacing w:line="221" w:lineRule="exact"/>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136" w:type="dxa"/>
            <w:tcBorders>
              <w:top w:val="nil" w:sz="6" w:space="0" w:color="auto"/>
              <w:left w:val="nil" w:sz="6" w:space="0" w:color="auto"/>
              <w:bottom w:val="single" w:sz="17" w:space="0" w:color="000000"/>
              <w:right w:val="nil" w:sz="6" w:space="0" w:color="auto"/>
            </w:tcBorders>
          </w:tcPr>
          <w:p>
            <w:pPr>
              <w:pStyle w:val="TableParagraph"/>
              <w:spacing w:line="240" w:lineRule="auto" w:before="2"/>
              <w:ind w:left="964" w:right="0"/>
              <w:jc w:val="left"/>
              <w:rPr>
                <w:rFonts w:ascii="Arial" w:hAnsi="Arial" w:cs="Arial" w:eastAsia="Arial" w:hint="default"/>
                <w:sz w:val="22"/>
                <w:szCs w:val="22"/>
              </w:rPr>
            </w:pPr>
            <w:r>
              <w:rPr>
                <w:rFonts w:ascii="Arial"/>
                <w:sz w:val="22"/>
              </w:rPr>
              <w:t>3,845</w:t>
            </w:r>
          </w:p>
        </w:tc>
        <w:tc>
          <w:tcPr>
            <w:tcW w:w="989" w:type="dxa"/>
            <w:tcBorders>
              <w:top w:val="nil" w:sz="6" w:space="0" w:color="auto"/>
              <w:left w:val="nil" w:sz="6" w:space="0" w:color="auto"/>
              <w:bottom w:val="single" w:sz="17" w:space="0" w:color="000000"/>
              <w:right w:val="nil" w:sz="6" w:space="0" w:color="auto"/>
            </w:tcBorders>
          </w:tcPr>
          <w:p>
            <w:pPr>
              <w:pStyle w:val="TableParagraph"/>
              <w:spacing w:line="240" w:lineRule="auto" w:before="2"/>
              <w:ind w:left="614" w:right="0"/>
              <w:jc w:val="left"/>
              <w:rPr>
                <w:rFonts w:ascii="Arial" w:hAnsi="Arial" w:cs="Arial" w:eastAsia="Arial" w:hint="default"/>
                <w:sz w:val="22"/>
                <w:szCs w:val="22"/>
              </w:rPr>
            </w:pPr>
            <w:r>
              <w:rPr>
                <w:rFonts w:ascii="Arial"/>
                <w:sz w:val="22"/>
              </w:rPr>
              <w:t>570</w:t>
            </w:r>
          </w:p>
        </w:tc>
        <w:tc>
          <w:tcPr>
            <w:tcW w:w="115" w:type="dxa"/>
            <w:tcBorders>
              <w:top w:val="nil" w:sz="6" w:space="0" w:color="auto"/>
              <w:left w:val="nil" w:sz="6" w:space="0" w:color="auto"/>
              <w:bottom w:val="nil" w:sz="6" w:space="0" w:color="auto"/>
              <w:right w:val="nil" w:sz="6" w:space="0" w:color="auto"/>
            </w:tcBorders>
          </w:tcPr>
          <w:p>
            <w:pPr/>
          </w:p>
        </w:tc>
        <w:tc>
          <w:tcPr>
            <w:tcW w:w="1881" w:type="dxa"/>
            <w:tcBorders>
              <w:top w:val="nil" w:sz="6" w:space="0" w:color="auto"/>
              <w:left w:val="nil" w:sz="6" w:space="0" w:color="auto"/>
              <w:bottom w:val="single" w:sz="17" w:space="0" w:color="000000"/>
              <w:right w:val="nil" w:sz="6" w:space="0" w:color="auto"/>
            </w:tcBorders>
          </w:tcPr>
          <w:p>
            <w:pPr>
              <w:pStyle w:val="TableParagraph"/>
              <w:spacing w:line="240" w:lineRule="auto" w:before="2"/>
              <w:ind w:left="969" w:right="0"/>
              <w:jc w:val="left"/>
              <w:rPr>
                <w:rFonts w:ascii="Arial" w:hAnsi="Arial" w:cs="Arial" w:eastAsia="Arial" w:hint="default"/>
                <w:sz w:val="22"/>
                <w:szCs w:val="22"/>
              </w:rPr>
            </w:pPr>
            <w:r>
              <w:rPr>
                <w:rFonts w:ascii="Arial"/>
                <w:sz w:val="22"/>
              </w:rPr>
              <w:t>258</w:t>
            </w:r>
          </w:p>
        </w:tc>
        <w:tc>
          <w:tcPr>
            <w:tcW w:w="1109" w:type="dxa"/>
            <w:tcBorders>
              <w:top w:val="nil" w:sz="6" w:space="0" w:color="auto"/>
              <w:left w:val="nil" w:sz="6" w:space="0" w:color="auto"/>
              <w:bottom w:val="single" w:sz="17" w:space="0" w:color="000000"/>
              <w:right w:val="nil" w:sz="6" w:space="0" w:color="auto"/>
            </w:tcBorders>
          </w:tcPr>
          <w:p>
            <w:pPr>
              <w:pStyle w:val="TableParagraph"/>
              <w:spacing w:line="240" w:lineRule="auto" w:before="2"/>
              <w:ind w:left="547" w:right="0"/>
              <w:jc w:val="left"/>
              <w:rPr>
                <w:rFonts w:ascii="Arial" w:hAnsi="Arial" w:cs="Arial" w:eastAsia="Arial" w:hint="default"/>
                <w:sz w:val="22"/>
                <w:szCs w:val="22"/>
              </w:rPr>
            </w:pPr>
            <w:r>
              <w:rPr>
                <w:rFonts w:ascii="Arial"/>
                <w:sz w:val="22"/>
              </w:rPr>
              <w:t>4,673</w:t>
            </w:r>
          </w:p>
        </w:tc>
      </w:tr>
    </w:tbl>
    <w:p>
      <w:pPr>
        <w:spacing w:line="240" w:lineRule="auto" w:before="2"/>
        <w:rPr>
          <w:rFonts w:ascii="宋体" w:hAnsi="宋体" w:cs="宋体" w:eastAsia="宋体" w:hint="default"/>
          <w:sz w:val="14"/>
          <w:szCs w:val="14"/>
        </w:rPr>
      </w:pPr>
    </w:p>
    <w:p>
      <w:pPr>
        <w:pStyle w:val="BodyText"/>
        <w:spacing w:line="240" w:lineRule="auto" w:before="32"/>
        <w:ind w:left="559" w:right="104"/>
        <w:jc w:val="left"/>
      </w:pPr>
      <w:bookmarkStart w:name="截至2019年12月31日止，无金融资产在第一层次和第二层次之间转移。" w:id="55"/>
      <w:bookmarkEnd w:id="55"/>
      <w:r>
        <w:rPr/>
      </w:r>
      <w:r>
        <w:rPr/>
        <w:t>截至</w:t>
      </w:r>
      <w:r>
        <w:rPr>
          <w:spacing w:val="-56"/>
        </w:rPr>
        <w:t> </w:t>
      </w:r>
      <w:r>
        <w:rPr>
          <w:rFonts w:ascii="Arial" w:hAnsi="Arial" w:cs="Arial" w:eastAsia="Arial" w:hint="default"/>
        </w:rPr>
        <w:t>2019</w:t>
      </w:r>
      <w:r>
        <w:rPr>
          <w:rFonts w:ascii="Arial" w:hAnsi="Arial" w:cs="Arial" w:eastAsia="Arial" w:hint="default"/>
          <w:spacing w:val="-5"/>
        </w:rPr>
        <w:t> </w:t>
      </w:r>
      <w:r>
        <w:rPr/>
        <w:t>年</w:t>
      </w:r>
      <w:r>
        <w:rPr>
          <w:spacing w:val="-61"/>
        </w:rPr>
        <w:t> </w:t>
      </w:r>
      <w:r>
        <w:rPr>
          <w:rFonts w:ascii="Arial" w:hAnsi="Arial" w:cs="Arial" w:eastAsia="Arial" w:hint="default"/>
        </w:rPr>
        <w:t>12</w:t>
      </w:r>
      <w:r>
        <w:rPr>
          <w:rFonts w:ascii="Arial" w:hAnsi="Arial" w:cs="Arial" w:eastAsia="Arial" w:hint="default"/>
          <w:spacing w:val="-5"/>
        </w:rPr>
        <w:t> </w:t>
      </w:r>
      <w:r>
        <w:rPr/>
        <w:t>月</w:t>
      </w:r>
      <w:r>
        <w:rPr>
          <w:spacing w:val="-56"/>
        </w:rPr>
        <w:t> </w:t>
      </w:r>
      <w:r>
        <w:rPr>
          <w:rFonts w:ascii="Arial" w:hAnsi="Arial" w:cs="Arial" w:eastAsia="Arial" w:hint="default"/>
        </w:rPr>
        <w:t>31</w:t>
      </w:r>
      <w:r>
        <w:rPr>
          <w:rFonts w:ascii="Arial" w:hAnsi="Arial" w:cs="Arial" w:eastAsia="Arial" w:hint="default"/>
          <w:spacing w:val="-5"/>
        </w:rPr>
        <w:t> </w:t>
      </w:r>
      <w:r>
        <w:rPr/>
        <w:t>日止，无金融资产在第一层次和第二层次之间转移。</w:t>
      </w:r>
    </w:p>
    <w:p>
      <w:pPr>
        <w:spacing w:line="240" w:lineRule="auto" w:before="3"/>
        <w:rPr>
          <w:rFonts w:ascii="宋体" w:hAnsi="宋体" w:cs="宋体" w:eastAsia="宋体" w:hint="default"/>
          <w:sz w:val="18"/>
          <w:szCs w:val="18"/>
        </w:rPr>
      </w:pPr>
    </w:p>
    <w:p>
      <w:pPr>
        <w:spacing w:before="0"/>
        <w:ind w:left="2992" w:right="0" w:firstLine="0"/>
        <w:jc w:val="left"/>
        <w:rPr>
          <w:rFonts w:ascii="宋体" w:hAnsi="宋体" w:cs="宋体" w:eastAsia="宋体" w:hint="default"/>
          <w:sz w:val="20"/>
          <w:szCs w:val="20"/>
        </w:rPr>
      </w:pPr>
      <w:r>
        <w:rPr>
          <w:rFonts w:ascii="宋体"/>
          <w:w w:val="100"/>
          <w:sz w:val="20"/>
        </w:rPr>
        <w:t> </w:t>
      </w:r>
    </w:p>
    <w:p>
      <w:pPr>
        <w:spacing w:after="0"/>
        <w:jc w:val="left"/>
        <w:rPr>
          <w:rFonts w:ascii="宋体" w:hAnsi="宋体" w:cs="宋体" w:eastAsia="宋体" w:hint="default"/>
          <w:sz w:val="20"/>
          <w:szCs w:val="20"/>
        </w:rPr>
        <w:sectPr>
          <w:headerReference w:type="default" r:id="rId222"/>
          <w:pgSz w:w="11910" w:h="16840"/>
          <w:pgMar w:header="1183" w:footer="502" w:top="2500" w:bottom="700" w:left="1020" w:right="960"/>
        </w:sectPr>
      </w:pPr>
    </w:p>
    <w:p>
      <w:pPr>
        <w:spacing w:line="240" w:lineRule="auto" w:before="4"/>
        <w:rPr>
          <w:rFonts w:ascii="宋体" w:hAnsi="宋体" w:cs="宋体" w:eastAsia="宋体" w:hint="default"/>
          <w:sz w:val="17"/>
          <w:szCs w:val="17"/>
        </w:rPr>
      </w:pPr>
    </w:p>
    <w:p>
      <w:pPr>
        <w:pStyle w:val="BodyText"/>
        <w:tabs>
          <w:tab w:pos="578" w:val="left" w:leader="none"/>
        </w:tabs>
        <w:spacing w:line="240" w:lineRule="auto" w:before="32"/>
        <w:ind w:left="112" w:right="103"/>
        <w:jc w:val="left"/>
        <w:rPr>
          <w:rFonts w:ascii="黑体" w:hAnsi="黑体" w:cs="黑体" w:eastAsia="黑体" w:hint="default"/>
        </w:rPr>
      </w:pPr>
      <w:bookmarkStart w:name="九 公允价值的披露（续）" w:id="56"/>
      <w:bookmarkEnd w:id="56"/>
      <w:r>
        <w:rPr/>
      </w:r>
      <w:r>
        <w:rPr>
          <w:rFonts w:ascii="黑体" w:hAnsi="黑体" w:cs="黑体" w:eastAsia="黑体" w:hint="default"/>
        </w:rPr>
        <w:t>九</w:t>
        <w:tab/>
        <w:t>公允价值的披露（续）</w:t>
      </w:r>
    </w:p>
    <w:p>
      <w:pPr>
        <w:spacing w:line="240" w:lineRule="auto" w:before="13"/>
        <w:rPr>
          <w:rFonts w:ascii="黑体" w:hAnsi="黑体" w:cs="黑体" w:eastAsia="黑体" w:hint="default"/>
          <w:sz w:val="17"/>
          <w:szCs w:val="17"/>
        </w:rPr>
      </w:pPr>
    </w:p>
    <w:p>
      <w:pPr>
        <w:pStyle w:val="BodyText"/>
        <w:spacing w:line="240" w:lineRule="auto"/>
        <w:ind w:left="112" w:right="103"/>
        <w:jc w:val="left"/>
        <w:rPr>
          <w:rFonts w:ascii="宋体" w:hAnsi="宋体" w:cs="宋体" w:eastAsia="宋体" w:hint="default"/>
        </w:rPr>
      </w:pPr>
      <w:r>
        <w:rPr>
          <w:rFonts w:ascii="Arial" w:hAnsi="Arial" w:cs="Arial" w:eastAsia="Arial" w:hint="default"/>
        </w:rPr>
        <w:t>2</w:t>
      </w:r>
      <w:r>
        <w:rPr/>
        <w:t>、</w:t>
      </w:r>
      <w:r>
        <w:rPr>
          <w:spacing w:val="-35"/>
        </w:rPr>
        <w:t> </w:t>
      </w:r>
      <w:r>
        <w:rPr/>
        <w:t>不以公允价值计量的金融资产和金融负债的公允价值情况</w:t>
      </w:r>
      <w:r>
        <w:rPr>
          <w:rFonts w:ascii="宋体" w:hAnsi="宋体" w:cs="宋体" w:eastAsia="宋体" w:hint="default"/>
        </w:rPr>
        <w:t> </w:t>
      </w:r>
    </w:p>
    <w:p>
      <w:pPr>
        <w:spacing w:line="240" w:lineRule="auto" w:before="2"/>
        <w:rPr>
          <w:rFonts w:ascii="宋体" w:hAnsi="宋体" w:cs="宋体" w:eastAsia="宋体" w:hint="default"/>
          <w:sz w:val="19"/>
          <w:szCs w:val="19"/>
        </w:rPr>
      </w:pPr>
    </w:p>
    <w:p>
      <w:pPr>
        <w:pStyle w:val="BodyText"/>
        <w:spacing w:line="288" w:lineRule="exact"/>
        <w:ind w:left="540" w:right="103" w:hanging="1"/>
        <w:jc w:val="left"/>
      </w:pPr>
      <w:r>
        <w:rPr/>
        <w:t>除以下项目外，本集团</w:t>
      </w:r>
      <w:r>
        <w:rPr>
          <w:spacing w:val="-57"/>
        </w:rPr>
        <w:t> </w:t>
      </w:r>
      <w:r>
        <w:rPr>
          <w:rFonts w:ascii="Arial" w:hAnsi="Arial" w:cs="Arial" w:eastAsia="Arial" w:hint="default"/>
        </w:rPr>
        <w:t>2019</w:t>
      </w:r>
      <w:r>
        <w:rPr>
          <w:rFonts w:ascii="Arial" w:hAnsi="Arial" w:cs="Arial" w:eastAsia="Arial" w:hint="default"/>
          <w:spacing w:val="-6"/>
        </w:rPr>
        <w:t> </w:t>
      </w:r>
      <w:r>
        <w:rPr/>
        <w:t>年</w:t>
      </w:r>
      <w:r>
        <w:rPr>
          <w:spacing w:val="-57"/>
        </w:rPr>
        <w:t> </w:t>
      </w:r>
      <w:r>
        <w:rPr>
          <w:rFonts w:ascii="Arial" w:hAnsi="Arial" w:cs="Arial" w:eastAsia="Arial" w:hint="default"/>
        </w:rPr>
        <w:t>12</w:t>
      </w:r>
      <w:r>
        <w:rPr>
          <w:rFonts w:ascii="Arial" w:hAnsi="Arial" w:cs="Arial" w:eastAsia="Arial" w:hint="default"/>
          <w:spacing w:val="-6"/>
        </w:rPr>
        <w:t> </w:t>
      </w:r>
      <w:r>
        <w:rPr/>
        <w:t>月</w:t>
      </w:r>
      <w:r>
        <w:rPr>
          <w:spacing w:val="-57"/>
        </w:rPr>
        <w:t> </w:t>
      </w:r>
      <w:r>
        <w:rPr>
          <w:rFonts w:ascii="Arial" w:hAnsi="Arial" w:cs="Arial" w:eastAsia="Arial" w:hint="default"/>
        </w:rPr>
        <w:t>31</w:t>
      </w:r>
      <w:r>
        <w:rPr>
          <w:rFonts w:ascii="Arial" w:hAnsi="Arial" w:cs="Arial" w:eastAsia="Arial" w:hint="default"/>
          <w:spacing w:val="-10"/>
        </w:rPr>
        <w:t> </w:t>
      </w:r>
      <w:r>
        <w:rPr/>
        <w:t>日及</w:t>
      </w:r>
      <w:r>
        <w:rPr>
          <w:spacing w:val="-57"/>
        </w:rPr>
        <w:t> </w:t>
      </w:r>
      <w:r>
        <w:rPr>
          <w:rFonts w:ascii="Arial" w:hAnsi="Arial" w:cs="Arial" w:eastAsia="Arial" w:hint="default"/>
        </w:rPr>
        <w:t>2018</w:t>
      </w:r>
      <w:r>
        <w:rPr>
          <w:rFonts w:ascii="Arial" w:hAnsi="Arial" w:cs="Arial" w:eastAsia="Arial" w:hint="default"/>
          <w:spacing w:val="-5"/>
        </w:rPr>
        <w:t> </w:t>
      </w:r>
      <w:r>
        <w:rPr/>
        <w:t>年</w:t>
      </w:r>
      <w:r>
        <w:rPr>
          <w:spacing w:val="-57"/>
        </w:rPr>
        <w:t> </w:t>
      </w:r>
      <w:r>
        <w:rPr>
          <w:rFonts w:ascii="Arial" w:hAnsi="Arial" w:cs="Arial" w:eastAsia="Arial" w:hint="default"/>
        </w:rPr>
        <w:t>12</w:t>
      </w:r>
      <w:r>
        <w:rPr>
          <w:rFonts w:ascii="Arial" w:hAnsi="Arial" w:cs="Arial" w:eastAsia="Arial" w:hint="default"/>
          <w:spacing w:val="-6"/>
        </w:rPr>
        <w:t> </w:t>
      </w:r>
      <w:r>
        <w:rPr/>
        <w:t>月</w:t>
      </w:r>
      <w:r>
        <w:rPr>
          <w:spacing w:val="-57"/>
        </w:rPr>
        <w:t> </w:t>
      </w:r>
      <w:r>
        <w:rPr>
          <w:rFonts w:ascii="Arial" w:hAnsi="Arial" w:cs="Arial" w:eastAsia="Arial" w:hint="default"/>
        </w:rPr>
        <w:t>31</w:t>
      </w:r>
      <w:r>
        <w:rPr>
          <w:rFonts w:ascii="Arial" w:hAnsi="Arial" w:cs="Arial" w:eastAsia="Arial" w:hint="default"/>
          <w:spacing w:val="-6"/>
        </w:rPr>
        <w:t> </w:t>
      </w:r>
      <w:r>
        <w:rPr/>
        <w:t>日各项金融资产和金融负债的账</w:t>
      </w:r>
      <w:r>
        <w:rPr>
          <w:w w:val="100"/>
        </w:rPr>
        <w:t> </w:t>
      </w:r>
      <w:r>
        <w:rPr/>
        <w:t>面价值与公允价值之间无重大差异。</w:t>
      </w:r>
    </w:p>
    <w:p>
      <w:pPr>
        <w:spacing w:line="240" w:lineRule="auto" w:before="7"/>
        <w:rPr>
          <w:rFonts w:ascii="宋体" w:hAnsi="宋体" w:cs="宋体" w:eastAsia="宋体" w:hint="default"/>
          <w:sz w:val="22"/>
          <w:szCs w:val="22"/>
        </w:rPr>
      </w:pPr>
    </w:p>
    <w:tbl>
      <w:tblPr>
        <w:tblW w:w="0" w:type="auto"/>
        <w:jc w:val="left"/>
        <w:tblInd w:w="383" w:type="dxa"/>
        <w:tblLayout w:type="fixed"/>
        <w:tblCellMar>
          <w:top w:w="0" w:type="dxa"/>
          <w:left w:w="0" w:type="dxa"/>
          <w:bottom w:w="0" w:type="dxa"/>
          <w:right w:w="0" w:type="dxa"/>
        </w:tblCellMar>
        <w:tblLook w:val="01E0"/>
      </w:tblPr>
      <w:tblGrid>
        <w:gridCol w:w="1429"/>
        <w:gridCol w:w="1049"/>
        <w:gridCol w:w="1073"/>
        <w:gridCol w:w="122"/>
        <w:gridCol w:w="1078"/>
        <w:gridCol w:w="1123"/>
        <w:gridCol w:w="1070"/>
        <w:gridCol w:w="127"/>
        <w:gridCol w:w="1140"/>
        <w:gridCol w:w="115"/>
        <w:gridCol w:w="1147"/>
      </w:tblGrid>
      <w:tr>
        <w:trPr>
          <w:trHeight w:val="262" w:hRule="exact"/>
        </w:trPr>
        <w:tc>
          <w:tcPr>
            <w:tcW w:w="3550" w:type="dxa"/>
            <w:gridSpan w:val="3"/>
            <w:tcBorders>
              <w:top w:val="nil" w:sz="6" w:space="0" w:color="auto"/>
              <w:left w:val="nil" w:sz="6" w:space="0" w:color="auto"/>
              <w:bottom w:val="nil" w:sz="6" w:space="0" w:color="auto"/>
              <w:right w:val="nil" w:sz="6" w:space="0" w:color="auto"/>
            </w:tcBorders>
          </w:tcPr>
          <w:p>
            <w:pPr>
              <w:pStyle w:val="TableParagraph"/>
              <w:spacing w:line="236" w:lineRule="exact"/>
              <w:ind w:left="1558"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3394" w:type="dxa"/>
            <w:gridSpan w:val="4"/>
            <w:tcBorders>
              <w:top w:val="nil" w:sz="6" w:space="0" w:color="auto"/>
              <w:left w:val="nil" w:sz="6" w:space="0" w:color="auto"/>
              <w:bottom w:val="single" w:sz="4" w:space="0" w:color="000000"/>
              <w:right w:val="nil" w:sz="6" w:space="0" w:color="auto"/>
            </w:tcBorders>
          </w:tcPr>
          <w:p>
            <w:pPr>
              <w:pStyle w:val="TableParagraph"/>
              <w:spacing w:line="236" w:lineRule="exact"/>
              <w:ind w:left="460"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3"/>
                <w:sz w:val="22"/>
                <w:szCs w:val="22"/>
              </w:rPr>
              <w:t> </w:t>
            </w:r>
            <w:r>
              <w:rPr>
                <w:rFonts w:ascii="宋体" w:hAnsi="宋体" w:cs="宋体" w:eastAsia="宋体" w:hint="default"/>
                <w:sz w:val="22"/>
                <w:szCs w:val="22"/>
              </w:rPr>
              <w:t>年公允价值计量层次</w:t>
            </w:r>
          </w:p>
        </w:tc>
        <w:tc>
          <w:tcPr>
            <w:tcW w:w="2530" w:type="dxa"/>
            <w:gridSpan w:val="4"/>
            <w:tcBorders>
              <w:top w:val="nil" w:sz="6" w:space="0" w:color="auto"/>
              <w:left w:val="nil" w:sz="6" w:space="0" w:color="auto"/>
              <w:bottom w:val="single" w:sz="4" w:space="0" w:color="000000"/>
              <w:right w:val="nil" w:sz="6" w:space="0" w:color="auto"/>
            </w:tcBorders>
          </w:tcPr>
          <w:p>
            <w:pPr>
              <w:pStyle w:val="TableParagraph"/>
              <w:spacing w:line="236" w:lineRule="exact"/>
              <w:ind w:left="542"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293" w:hRule="exact"/>
        </w:trPr>
        <w:tc>
          <w:tcPr>
            <w:tcW w:w="2478" w:type="dxa"/>
            <w:gridSpan w:val="2"/>
            <w:tcBorders>
              <w:top w:val="nil" w:sz="6" w:space="0" w:color="auto"/>
              <w:left w:val="nil" w:sz="6" w:space="0" w:color="auto"/>
              <w:bottom w:val="nil" w:sz="6" w:space="0" w:color="auto"/>
              <w:right w:val="nil" w:sz="6" w:space="0" w:color="auto"/>
            </w:tcBorders>
          </w:tcPr>
          <w:p>
            <w:pPr>
              <w:pStyle w:val="TableParagraph"/>
              <w:spacing w:line="257" w:lineRule="exact"/>
              <w:ind w:left="1476" w:right="0"/>
              <w:jc w:val="left"/>
              <w:rPr>
                <w:rFonts w:ascii="宋体" w:hAnsi="宋体" w:cs="宋体" w:eastAsia="宋体" w:hint="default"/>
                <w:sz w:val="22"/>
                <w:szCs w:val="22"/>
              </w:rPr>
            </w:pPr>
            <w:r>
              <w:rPr>
                <w:rFonts w:ascii="宋体" w:hAnsi="宋体" w:cs="宋体" w:eastAsia="宋体" w:hint="default"/>
                <w:sz w:val="22"/>
                <w:szCs w:val="22"/>
              </w:rPr>
              <w:t>账面价值</w:t>
            </w:r>
          </w:p>
        </w:tc>
        <w:tc>
          <w:tcPr>
            <w:tcW w:w="1073" w:type="dxa"/>
            <w:tcBorders>
              <w:top w:val="single" w:sz="4" w:space="0" w:color="000000"/>
              <w:left w:val="nil" w:sz="6" w:space="0" w:color="auto"/>
              <w:bottom w:val="single" w:sz="4" w:space="0" w:color="000000"/>
              <w:right w:val="nil" w:sz="6" w:space="0" w:color="auto"/>
            </w:tcBorders>
          </w:tcPr>
          <w:p>
            <w:pPr>
              <w:pStyle w:val="TableParagraph"/>
              <w:spacing w:line="252" w:lineRule="exact"/>
              <w:ind w:right="71"/>
              <w:jc w:val="right"/>
              <w:rPr>
                <w:rFonts w:ascii="宋体" w:hAnsi="宋体" w:cs="宋体" w:eastAsia="宋体" w:hint="default"/>
                <w:sz w:val="22"/>
                <w:szCs w:val="22"/>
              </w:rPr>
            </w:pPr>
            <w:r>
              <w:rPr>
                <w:rFonts w:ascii="宋体" w:hAnsi="宋体" w:cs="宋体" w:eastAsia="宋体" w:hint="default"/>
                <w:sz w:val="22"/>
                <w:szCs w:val="22"/>
              </w:rPr>
              <w:t>公允价值</w:t>
            </w:r>
          </w:p>
        </w:tc>
        <w:tc>
          <w:tcPr>
            <w:tcW w:w="122" w:type="dxa"/>
            <w:tcBorders>
              <w:top w:val="nil" w:sz="6" w:space="0" w:color="auto"/>
              <w:left w:val="nil" w:sz="6" w:space="0" w:color="auto"/>
              <w:bottom w:val="nil" w:sz="6" w:space="0" w:color="auto"/>
              <w:right w:val="nil" w:sz="6" w:space="0" w:color="auto"/>
            </w:tcBorders>
          </w:tcPr>
          <w:p>
            <w:pPr/>
          </w:p>
        </w:tc>
        <w:tc>
          <w:tcPr>
            <w:tcW w:w="1078" w:type="dxa"/>
            <w:tcBorders>
              <w:top w:val="single" w:sz="4" w:space="0" w:color="000000"/>
              <w:left w:val="nil" w:sz="6" w:space="0" w:color="auto"/>
              <w:bottom w:val="single" w:sz="4" w:space="0" w:color="000000"/>
              <w:right w:val="nil" w:sz="6" w:space="0" w:color="auto"/>
            </w:tcBorders>
          </w:tcPr>
          <w:p>
            <w:pPr>
              <w:pStyle w:val="TableParagraph"/>
              <w:spacing w:line="252" w:lineRule="exact"/>
              <w:ind w:left="74" w:right="0"/>
              <w:jc w:val="left"/>
              <w:rPr>
                <w:rFonts w:ascii="宋体" w:hAnsi="宋体" w:cs="宋体" w:eastAsia="宋体" w:hint="default"/>
                <w:sz w:val="22"/>
                <w:szCs w:val="22"/>
              </w:rPr>
            </w:pPr>
            <w:r>
              <w:rPr>
                <w:rFonts w:ascii="宋体" w:hAnsi="宋体" w:cs="宋体" w:eastAsia="宋体" w:hint="default"/>
                <w:sz w:val="22"/>
                <w:szCs w:val="22"/>
              </w:rPr>
              <w:t>第一层次</w:t>
            </w:r>
          </w:p>
        </w:tc>
        <w:tc>
          <w:tcPr>
            <w:tcW w:w="1123" w:type="dxa"/>
            <w:tcBorders>
              <w:top w:val="single" w:sz="4" w:space="0" w:color="000000"/>
              <w:left w:val="nil" w:sz="6" w:space="0" w:color="auto"/>
              <w:bottom w:val="single" w:sz="4" w:space="0" w:color="000000"/>
              <w:right w:val="nil" w:sz="6" w:space="0" w:color="auto"/>
            </w:tcBorders>
          </w:tcPr>
          <w:p>
            <w:pPr>
              <w:pStyle w:val="TableParagraph"/>
              <w:spacing w:line="252" w:lineRule="exact"/>
              <w:ind w:left="119" w:right="0"/>
              <w:jc w:val="left"/>
              <w:rPr>
                <w:rFonts w:ascii="宋体" w:hAnsi="宋体" w:cs="宋体" w:eastAsia="宋体" w:hint="default"/>
                <w:sz w:val="22"/>
                <w:szCs w:val="22"/>
              </w:rPr>
            </w:pPr>
            <w:r>
              <w:rPr>
                <w:rFonts w:ascii="宋体" w:hAnsi="宋体" w:cs="宋体" w:eastAsia="宋体" w:hint="default"/>
                <w:sz w:val="22"/>
                <w:szCs w:val="22"/>
              </w:rPr>
              <w:t>第二层次</w:t>
            </w:r>
          </w:p>
        </w:tc>
        <w:tc>
          <w:tcPr>
            <w:tcW w:w="1070" w:type="dxa"/>
            <w:tcBorders>
              <w:top w:val="single" w:sz="4" w:space="0" w:color="000000"/>
              <w:left w:val="nil" w:sz="6" w:space="0" w:color="auto"/>
              <w:bottom w:val="single" w:sz="4" w:space="0" w:color="000000"/>
              <w:right w:val="nil" w:sz="6" w:space="0" w:color="auto"/>
            </w:tcBorders>
          </w:tcPr>
          <w:p>
            <w:pPr>
              <w:pStyle w:val="TableParagraph"/>
              <w:spacing w:line="252" w:lineRule="exact"/>
              <w:ind w:left="119" w:right="0"/>
              <w:jc w:val="left"/>
              <w:rPr>
                <w:rFonts w:ascii="宋体" w:hAnsi="宋体" w:cs="宋体" w:eastAsia="宋体" w:hint="default"/>
                <w:sz w:val="22"/>
                <w:szCs w:val="22"/>
              </w:rPr>
            </w:pPr>
            <w:r>
              <w:rPr>
                <w:rFonts w:ascii="宋体" w:hAnsi="宋体" w:cs="宋体" w:eastAsia="宋体" w:hint="default"/>
                <w:sz w:val="22"/>
                <w:szCs w:val="22"/>
              </w:rPr>
              <w:t>第三层次</w:t>
            </w:r>
          </w:p>
        </w:tc>
        <w:tc>
          <w:tcPr>
            <w:tcW w:w="127" w:type="dxa"/>
            <w:tcBorders>
              <w:top w:val="nil" w:sz="6" w:space="0" w:color="auto"/>
              <w:left w:val="nil" w:sz="6" w:space="0" w:color="auto"/>
              <w:bottom w:val="nil" w:sz="6" w:space="0" w:color="auto"/>
              <w:right w:val="nil" w:sz="6" w:space="0" w:color="auto"/>
            </w:tcBorders>
          </w:tcPr>
          <w:p>
            <w:pPr/>
          </w:p>
        </w:tc>
        <w:tc>
          <w:tcPr>
            <w:tcW w:w="1140" w:type="dxa"/>
            <w:tcBorders>
              <w:top w:val="single" w:sz="4" w:space="0" w:color="000000"/>
              <w:left w:val="nil" w:sz="6" w:space="0" w:color="auto"/>
              <w:bottom w:val="single" w:sz="4" w:space="0" w:color="000000"/>
              <w:right w:val="nil" w:sz="6" w:space="0" w:color="auto"/>
            </w:tcBorders>
          </w:tcPr>
          <w:p>
            <w:pPr>
              <w:pStyle w:val="TableParagraph"/>
              <w:spacing w:line="252" w:lineRule="exact"/>
              <w:ind w:left="189" w:right="0"/>
              <w:jc w:val="left"/>
              <w:rPr>
                <w:rFonts w:ascii="宋体" w:hAnsi="宋体" w:cs="宋体" w:eastAsia="宋体" w:hint="default"/>
                <w:sz w:val="22"/>
                <w:szCs w:val="22"/>
              </w:rPr>
            </w:pPr>
            <w:r>
              <w:rPr>
                <w:rFonts w:ascii="宋体" w:hAnsi="宋体" w:cs="宋体" w:eastAsia="宋体" w:hint="default"/>
                <w:sz w:val="22"/>
                <w:szCs w:val="22"/>
              </w:rPr>
              <w:t>账面价值</w:t>
            </w:r>
          </w:p>
        </w:tc>
        <w:tc>
          <w:tcPr>
            <w:tcW w:w="115" w:type="dxa"/>
            <w:tcBorders>
              <w:top w:val="single" w:sz="4" w:space="0" w:color="000000"/>
              <w:left w:val="nil" w:sz="6" w:space="0" w:color="auto"/>
              <w:bottom w:val="single" w:sz="4" w:space="0" w:color="000000"/>
              <w:right w:val="nil" w:sz="6" w:space="0" w:color="auto"/>
            </w:tcBorders>
          </w:tcPr>
          <w:p>
            <w:pPr/>
          </w:p>
        </w:tc>
        <w:tc>
          <w:tcPr>
            <w:tcW w:w="1147" w:type="dxa"/>
            <w:tcBorders>
              <w:top w:val="single" w:sz="4" w:space="0" w:color="000000"/>
              <w:left w:val="nil" w:sz="6" w:space="0" w:color="auto"/>
              <w:bottom w:val="single" w:sz="4" w:space="0" w:color="000000"/>
              <w:right w:val="nil" w:sz="6" w:space="0" w:color="auto"/>
            </w:tcBorders>
          </w:tcPr>
          <w:p>
            <w:pPr>
              <w:pStyle w:val="TableParagraph"/>
              <w:spacing w:line="252" w:lineRule="exact"/>
              <w:ind w:right="65"/>
              <w:jc w:val="right"/>
              <w:rPr>
                <w:rFonts w:ascii="宋体" w:hAnsi="宋体" w:cs="宋体" w:eastAsia="宋体" w:hint="default"/>
                <w:sz w:val="22"/>
                <w:szCs w:val="22"/>
              </w:rPr>
            </w:pPr>
            <w:r>
              <w:rPr>
                <w:rFonts w:ascii="宋体" w:hAnsi="宋体" w:cs="宋体" w:eastAsia="宋体" w:hint="default"/>
                <w:sz w:val="22"/>
                <w:szCs w:val="22"/>
              </w:rPr>
              <w:t>公允价值</w:t>
            </w:r>
          </w:p>
        </w:tc>
      </w:tr>
      <w:tr>
        <w:trPr>
          <w:trHeight w:val="305" w:hRule="exact"/>
        </w:trPr>
        <w:tc>
          <w:tcPr>
            <w:tcW w:w="1429" w:type="dxa"/>
            <w:tcBorders>
              <w:top w:val="nil" w:sz="6" w:space="0" w:color="auto"/>
              <w:left w:val="nil" w:sz="6" w:space="0" w:color="auto"/>
              <w:bottom w:val="nil" w:sz="6" w:space="0" w:color="auto"/>
              <w:right w:val="nil" w:sz="6" w:space="0" w:color="auto"/>
            </w:tcBorders>
          </w:tcPr>
          <w:p>
            <w:pPr>
              <w:pStyle w:val="TableParagraph"/>
              <w:spacing w:line="257" w:lineRule="exact"/>
              <w:ind w:left="200" w:right="0"/>
              <w:jc w:val="left"/>
              <w:rPr>
                <w:rFonts w:ascii="宋体" w:hAnsi="宋体" w:cs="宋体" w:eastAsia="宋体" w:hint="default"/>
                <w:sz w:val="22"/>
                <w:szCs w:val="22"/>
              </w:rPr>
            </w:pPr>
            <w:r>
              <w:rPr>
                <w:rFonts w:ascii="宋体" w:hAnsi="宋体" w:cs="宋体" w:eastAsia="宋体" w:hint="default"/>
                <w:sz w:val="22"/>
                <w:szCs w:val="22"/>
              </w:rPr>
              <w:t>长期借款</w:t>
            </w:r>
          </w:p>
        </w:tc>
        <w:tc>
          <w:tcPr>
            <w:tcW w:w="1049" w:type="dxa"/>
            <w:tcBorders>
              <w:top w:val="single" w:sz="4" w:space="0" w:color="000000"/>
              <w:left w:val="nil" w:sz="6" w:space="0" w:color="auto"/>
              <w:bottom w:val="nil" w:sz="6" w:space="0" w:color="auto"/>
              <w:right w:val="nil" w:sz="6" w:space="0" w:color="auto"/>
            </w:tcBorders>
          </w:tcPr>
          <w:p>
            <w:pPr>
              <w:pStyle w:val="TableParagraph"/>
              <w:spacing w:line="240" w:lineRule="auto" w:before="33"/>
              <w:ind w:right="115"/>
              <w:jc w:val="right"/>
              <w:rPr>
                <w:rFonts w:ascii="Arial" w:hAnsi="Arial" w:cs="Arial" w:eastAsia="Arial" w:hint="default"/>
                <w:sz w:val="22"/>
                <w:szCs w:val="22"/>
              </w:rPr>
            </w:pPr>
            <w:r>
              <w:rPr>
                <w:rFonts w:ascii="Arial"/>
                <w:sz w:val="22"/>
              </w:rPr>
              <w:t>2,869</w:t>
            </w:r>
          </w:p>
        </w:tc>
        <w:tc>
          <w:tcPr>
            <w:tcW w:w="1073" w:type="dxa"/>
            <w:tcBorders>
              <w:top w:val="single" w:sz="4" w:space="0" w:color="000000"/>
              <w:left w:val="nil" w:sz="6" w:space="0" w:color="auto"/>
              <w:bottom w:val="nil" w:sz="6" w:space="0" w:color="auto"/>
              <w:right w:val="nil" w:sz="6" w:space="0" w:color="auto"/>
            </w:tcBorders>
          </w:tcPr>
          <w:p>
            <w:pPr>
              <w:pStyle w:val="TableParagraph"/>
              <w:spacing w:line="240" w:lineRule="auto" w:before="33"/>
              <w:ind w:right="74"/>
              <w:jc w:val="right"/>
              <w:rPr>
                <w:rFonts w:ascii="Arial" w:hAnsi="Arial" w:cs="Arial" w:eastAsia="Arial" w:hint="default"/>
                <w:sz w:val="22"/>
                <w:szCs w:val="22"/>
              </w:rPr>
            </w:pPr>
            <w:r>
              <w:rPr>
                <w:rFonts w:ascii="Arial"/>
                <w:sz w:val="22"/>
              </w:rPr>
              <w:t>2,849</w:t>
            </w:r>
          </w:p>
        </w:tc>
        <w:tc>
          <w:tcPr>
            <w:tcW w:w="122" w:type="dxa"/>
            <w:tcBorders>
              <w:top w:val="nil" w:sz="6" w:space="0" w:color="auto"/>
              <w:left w:val="nil" w:sz="6" w:space="0" w:color="auto"/>
              <w:bottom w:val="nil" w:sz="6" w:space="0" w:color="auto"/>
              <w:right w:val="nil" w:sz="6" w:space="0" w:color="auto"/>
            </w:tcBorders>
          </w:tcPr>
          <w:p>
            <w:pPr/>
          </w:p>
        </w:tc>
        <w:tc>
          <w:tcPr>
            <w:tcW w:w="1078" w:type="dxa"/>
            <w:tcBorders>
              <w:top w:val="single" w:sz="4" w:space="0" w:color="000000"/>
              <w:left w:val="nil" w:sz="6" w:space="0" w:color="auto"/>
              <w:bottom w:val="nil" w:sz="6" w:space="0" w:color="auto"/>
              <w:right w:val="nil" w:sz="6" w:space="0" w:color="auto"/>
            </w:tcBorders>
          </w:tcPr>
          <w:p>
            <w:pPr>
              <w:pStyle w:val="TableParagraph"/>
              <w:spacing w:line="240" w:lineRule="auto" w:before="33"/>
              <w:ind w:right="121"/>
              <w:jc w:val="right"/>
              <w:rPr>
                <w:rFonts w:ascii="Arial" w:hAnsi="Arial" w:cs="Arial" w:eastAsia="Arial" w:hint="default"/>
                <w:sz w:val="22"/>
                <w:szCs w:val="22"/>
              </w:rPr>
            </w:pPr>
            <w:r>
              <w:rPr>
                <w:rFonts w:ascii="Arial"/>
                <w:w w:val="100"/>
                <w:sz w:val="22"/>
              </w:rPr>
              <w:t>-</w:t>
            </w:r>
          </w:p>
        </w:tc>
        <w:tc>
          <w:tcPr>
            <w:tcW w:w="1123" w:type="dxa"/>
            <w:tcBorders>
              <w:top w:val="single" w:sz="4" w:space="0" w:color="000000"/>
              <w:left w:val="nil" w:sz="6" w:space="0" w:color="auto"/>
              <w:bottom w:val="nil" w:sz="6" w:space="0" w:color="auto"/>
              <w:right w:val="nil" w:sz="6" w:space="0" w:color="auto"/>
            </w:tcBorders>
          </w:tcPr>
          <w:p>
            <w:pPr>
              <w:pStyle w:val="TableParagraph"/>
              <w:spacing w:line="240" w:lineRule="auto" w:before="33"/>
              <w:ind w:right="120"/>
              <w:jc w:val="right"/>
              <w:rPr>
                <w:rFonts w:ascii="Arial" w:hAnsi="Arial" w:cs="Arial" w:eastAsia="Arial" w:hint="default"/>
                <w:sz w:val="22"/>
                <w:szCs w:val="22"/>
              </w:rPr>
            </w:pPr>
            <w:r>
              <w:rPr>
                <w:rFonts w:ascii="Arial"/>
                <w:sz w:val="22"/>
              </w:rPr>
              <w:t>2,849</w:t>
            </w:r>
          </w:p>
        </w:tc>
        <w:tc>
          <w:tcPr>
            <w:tcW w:w="1070" w:type="dxa"/>
            <w:tcBorders>
              <w:top w:val="single" w:sz="4" w:space="0" w:color="000000"/>
              <w:left w:val="nil" w:sz="6" w:space="0" w:color="auto"/>
              <w:bottom w:val="nil" w:sz="6" w:space="0" w:color="auto"/>
              <w:right w:val="nil" w:sz="6" w:space="0" w:color="auto"/>
            </w:tcBorders>
          </w:tcPr>
          <w:p>
            <w:pPr>
              <w:pStyle w:val="TableParagraph"/>
              <w:spacing w:line="240" w:lineRule="auto" w:before="33"/>
              <w:ind w:right="68"/>
              <w:jc w:val="right"/>
              <w:rPr>
                <w:rFonts w:ascii="Arial" w:hAnsi="Arial" w:cs="Arial" w:eastAsia="Arial" w:hint="default"/>
                <w:sz w:val="22"/>
                <w:szCs w:val="22"/>
              </w:rPr>
            </w:pPr>
            <w:r>
              <w:rPr>
                <w:rFonts w:ascii="Arial"/>
                <w:w w:val="100"/>
                <w:sz w:val="22"/>
              </w:rPr>
              <w:t>-</w:t>
            </w:r>
          </w:p>
        </w:tc>
        <w:tc>
          <w:tcPr>
            <w:tcW w:w="127" w:type="dxa"/>
            <w:tcBorders>
              <w:top w:val="nil" w:sz="6" w:space="0" w:color="auto"/>
              <w:left w:val="nil" w:sz="6" w:space="0" w:color="auto"/>
              <w:bottom w:val="nil" w:sz="6" w:space="0" w:color="auto"/>
              <w:right w:val="nil" w:sz="6" w:space="0" w:color="auto"/>
            </w:tcBorders>
          </w:tcPr>
          <w:p>
            <w:pPr/>
          </w:p>
        </w:tc>
        <w:tc>
          <w:tcPr>
            <w:tcW w:w="1140" w:type="dxa"/>
            <w:tcBorders>
              <w:top w:val="single" w:sz="4" w:space="0" w:color="000000"/>
              <w:left w:val="nil" w:sz="6" w:space="0" w:color="auto"/>
              <w:bottom w:val="nil" w:sz="6" w:space="0" w:color="auto"/>
              <w:right w:val="nil" w:sz="6" w:space="0" w:color="auto"/>
            </w:tcBorders>
          </w:tcPr>
          <w:p>
            <w:pPr>
              <w:pStyle w:val="TableParagraph"/>
              <w:spacing w:line="240" w:lineRule="auto" w:before="33"/>
              <w:ind w:right="65"/>
              <w:jc w:val="right"/>
              <w:rPr>
                <w:rFonts w:ascii="Arial" w:hAnsi="Arial" w:cs="Arial" w:eastAsia="Arial" w:hint="default"/>
                <w:sz w:val="22"/>
                <w:szCs w:val="22"/>
              </w:rPr>
            </w:pPr>
            <w:r>
              <w:rPr>
                <w:rFonts w:ascii="Arial"/>
                <w:sz w:val="22"/>
              </w:rPr>
              <w:t>3,173</w:t>
            </w:r>
          </w:p>
        </w:tc>
        <w:tc>
          <w:tcPr>
            <w:tcW w:w="115" w:type="dxa"/>
            <w:tcBorders>
              <w:top w:val="single" w:sz="4" w:space="0" w:color="000000"/>
              <w:left w:val="nil" w:sz="6" w:space="0" w:color="auto"/>
              <w:bottom w:val="nil" w:sz="6" w:space="0" w:color="auto"/>
              <w:right w:val="nil" w:sz="6" w:space="0" w:color="auto"/>
            </w:tcBorders>
          </w:tcPr>
          <w:p>
            <w:pPr/>
          </w:p>
        </w:tc>
        <w:tc>
          <w:tcPr>
            <w:tcW w:w="1147" w:type="dxa"/>
            <w:tcBorders>
              <w:top w:val="single" w:sz="4" w:space="0" w:color="000000"/>
              <w:left w:val="nil" w:sz="6" w:space="0" w:color="auto"/>
              <w:bottom w:val="nil" w:sz="6" w:space="0" w:color="auto"/>
              <w:right w:val="nil" w:sz="6" w:space="0" w:color="auto"/>
            </w:tcBorders>
          </w:tcPr>
          <w:p>
            <w:pPr>
              <w:pStyle w:val="TableParagraph"/>
              <w:spacing w:line="240" w:lineRule="auto" w:before="33"/>
              <w:ind w:right="65"/>
              <w:jc w:val="right"/>
              <w:rPr>
                <w:rFonts w:ascii="Arial" w:hAnsi="Arial" w:cs="Arial" w:eastAsia="Arial" w:hint="default"/>
                <w:sz w:val="22"/>
                <w:szCs w:val="22"/>
              </w:rPr>
            </w:pPr>
            <w:r>
              <w:rPr>
                <w:rFonts w:ascii="Arial"/>
                <w:sz w:val="22"/>
              </w:rPr>
              <w:t>3,098</w:t>
            </w:r>
          </w:p>
        </w:tc>
      </w:tr>
      <w:tr>
        <w:trPr>
          <w:trHeight w:val="571" w:hRule="exact"/>
        </w:trPr>
        <w:tc>
          <w:tcPr>
            <w:tcW w:w="1429" w:type="dxa"/>
            <w:tcBorders>
              <w:top w:val="nil" w:sz="6" w:space="0" w:color="auto"/>
              <w:left w:val="nil" w:sz="6" w:space="0" w:color="auto"/>
              <w:bottom w:val="nil" w:sz="6" w:space="0" w:color="auto"/>
              <w:right w:val="nil" w:sz="6" w:space="0" w:color="auto"/>
            </w:tcBorders>
          </w:tcPr>
          <w:p>
            <w:pPr>
              <w:pStyle w:val="TableParagraph"/>
              <w:spacing w:line="237" w:lineRule="exact"/>
              <w:ind w:left="200" w:right="0"/>
              <w:jc w:val="left"/>
              <w:rPr>
                <w:rFonts w:ascii="宋体" w:hAnsi="宋体" w:cs="宋体" w:eastAsia="宋体" w:hint="default"/>
                <w:sz w:val="22"/>
                <w:szCs w:val="22"/>
              </w:rPr>
            </w:pPr>
            <w:r>
              <w:rPr>
                <w:rFonts w:ascii="宋体" w:hAnsi="宋体" w:cs="宋体" w:eastAsia="宋体" w:hint="default"/>
                <w:sz w:val="22"/>
                <w:szCs w:val="22"/>
              </w:rPr>
              <w:t>应付债券</w:t>
            </w:r>
          </w:p>
          <w:p>
            <w:pPr>
              <w:pStyle w:val="TableParagraph"/>
              <w:spacing w:line="301" w:lineRule="exact"/>
              <w:ind w:left="440" w:right="0"/>
              <w:jc w:val="left"/>
              <w:rPr>
                <w:rFonts w:ascii="宋体" w:hAnsi="宋体" w:cs="宋体" w:eastAsia="宋体" w:hint="default"/>
                <w:sz w:val="22"/>
                <w:szCs w:val="22"/>
              </w:rPr>
            </w:pPr>
            <w:r>
              <w:rPr>
                <w:rFonts w:ascii="Arial" w:hAnsi="Arial" w:cs="Arial" w:eastAsia="Arial" w:hint="default"/>
                <w:sz w:val="22"/>
                <w:szCs w:val="22"/>
              </w:rPr>
              <w:t>-</w:t>
            </w:r>
            <w:r>
              <w:rPr>
                <w:rFonts w:ascii="宋体" w:hAnsi="宋体" w:cs="宋体" w:eastAsia="宋体" w:hint="default"/>
                <w:sz w:val="22"/>
                <w:szCs w:val="22"/>
              </w:rPr>
              <w:t>公司债券</w:t>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117"/>
              <w:jc w:val="right"/>
              <w:rPr>
                <w:rFonts w:ascii="Arial" w:hAnsi="Arial" w:cs="Arial" w:eastAsia="Arial" w:hint="default"/>
                <w:sz w:val="22"/>
                <w:szCs w:val="22"/>
              </w:rPr>
            </w:pPr>
            <w:r>
              <w:rPr>
                <w:rFonts w:ascii="Arial"/>
                <w:sz w:val="22"/>
              </w:rPr>
              <w:t>2,998</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65"/>
              <w:jc w:val="right"/>
              <w:rPr>
                <w:rFonts w:ascii="Arial" w:hAnsi="Arial" w:cs="Arial" w:eastAsia="Arial" w:hint="default"/>
                <w:sz w:val="22"/>
                <w:szCs w:val="22"/>
              </w:rPr>
            </w:pPr>
            <w:r>
              <w:rPr>
                <w:rFonts w:ascii="Arial"/>
                <w:sz w:val="22"/>
              </w:rPr>
              <w:t>3,081</w:t>
            </w:r>
          </w:p>
        </w:tc>
        <w:tc>
          <w:tcPr>
            <w:tcW w:w="122"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386" w:right="0"/>
              <w:jc w:val="left"/>
              <w:rPr>
                <w:rFonts w:ascii="Arial" w:hAnsi="Arial" w:cs="Arial" w:eastAsia="Arial" w:hint="default"/>
                <w:sz w:val="22"/>
                <w:szCs w:val="22"/>
              </w:rPr>
            </w:pPr>
            <w:r>
              <w:rPr>
                <w:rFonts w:ascii="Arial"/>
                <w:sz w:val="22"/>
              </w:rPr>
              <w:t>3,081</w:t>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121"/>
              <w:jc w:val="right"/>
              <w:rPr>
                <w:rFonts w:ascii="Arial" w:hAnsi="Arial" w:cs="Arial" w:eastAsia="Arial" w:hint="default"/>
                <w:sz w:val="22"/>
                <w:szCs w:val="22"/>
              </w:rPr>
            </w:pPr>
            <w:r>
              <w:rPr>
                <w:rFonts w:ascii="Arial"/>
                <w:w w:val="100"/>
                <w:sz w:val="22"/>
              </w:rPr>
              <w:t>-</w:t>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68"/>
              <w:jc w:val="right"/>
              <w:rPr>
                <w:rFonts w:ascii="Arial" w:hAnsi="Arial" w:cs="Arial" w:eastAsia="Arial" w:hint="default"/>
                <w:sz w:val="22"/>
                <w:szCs w:val="22"/>
              </w:rPr>
            </w:pPr>
            <w:r>
              <w:rPr>
                <w:rFonts w:ascii="Arial"/>
                <w:w w:val="100"/>
                <w:sz w:val="22"/>
              </w:rPr>
              <w:t>-</w:t>
            </w:r>
          </w:p>
        </w:tc>
        <w:tc>
          <w:tcPr>
            <w:tcW w:w="127" w:type="dxa"/>
            <w:tcBorders>
              <w:top w:val="nil" w:sz="6" w:space="0" w:color="auto"/>
              <w:left w:val="nil" w:sz="6" w:space="0" w:color="auto"/>
              <w:bottom w:val="nil" w:sz="6" w:space="0" w:color="auto"/>
              <w:right w:val="nil" w:sz="6" w:space="0" w:color="auto"/>
            </w:tcBorders>
          </w:tcPr>
          <w:p>
            <w:pPr/>
          </w:p>
        </w:tc>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70"/>
              <w:jc w:val="right"/>
              <w:rPr>
                <w:rFonts w:ascii="Arial" w:hAnsi="Arial" w:cs="Arial" w:eastAsia="Arial" w:hint="default"/>
                <w:sz w:val="22"/>
                <w:szCs w:val="22"/>
              </w:rPr>
            </w:pPr>
            <w:r>
              <w:rPr>
                <w:rFonts w:ascii="Arial"/>
                <w:spacing w:val="-2"/>
                <w:sz w:val="22"/>
              </w:rPr>
              <w:t>999</w:t>
            </w:r>
            <w:r>
              <w:rPr>
                <w:rFonts w:ascii="Arial"/>
                <w:sz w:val="22"/>
              </w:rPr>
            </w:r>
          </w:p>
        </w:tc>
        <w:tc>
          <w:tcPr>
            <w:tcW w:w="115" w:type="dxa"/>
            <w:tcBorders>
              <w:top w:val="nil" w:sz="6" w:space="0" w:color="auto"/>
              <w:left w:val="nil" w:sz="6" w:space="0" w:color="auto"/>
              <w:bottom w:val="nil" w:sz="6" w:space="0" w:color="auto"/>
              <w:right w:val="nil" w:sz="6" w:space="0" w:color="auto"/>
            </w:tcBorders>
          </w:tcPr>
          <w:p>
            <w:pP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65"/>
              <w:jc w:val="right"/>
              <w:rPr>
                <w:rFonts w:ascii="Arial" w:hAnsi="Arial" w:cs="Arial" w:eastAsia="Arial" w:hint="default"/>
                <w:sz w:val="22"/>
                <w:szCs w:val="22"/>
              </w:rPr>
            </w:pPr>
            <w:r>
              <w:rPr>
                <w:rFonts w:ascii="Arial"/>
                <w:sz w:val="22"/>
              </w:rPr>
              <w:t>1,014</w:t>
            </w:r>
          </w:p>
        </w:tc>
      </w:tr>
      <w:tr>
        <w:trPr>
          <w:trHeight w:val="415" w:hRule="exact"/>
        </w:trPr>
        <w:tc>
          <w:tcPr>
            <w:tcW w:w="1429" w:type="dxa"/>
            <w:tcBorders>
              <w:top w:val="nil" w:sz="6" w:space="0" w:color="auto"/>
              <w:left w:val="nil" w:sz="6" w:space="0" w:color="auto"/>
              <w:bottom w:val="nil" w:sz="6" w:space="0" w:color="auto"/>
              <w:right w:val="nil" w:sz="6" w:space="0" w:color="auto"/>
            </w:tcBorders>
          </w:tcPr>
          <w:p>
            <w:pPr>
              <w:pStyle w:val="TableParagraph"/>
              <w:spacing w:line="255" w:lineRule="exact"/>
              <w:ind w:left="420" w:right="0"/>
              <w:jc w:val="left"/>
              <w:rPr>
                <w:rFonts w:ascii="宋体" w:hAnsi="宋体" w:cs="宋体" w:eastAsia="宋体" w:hint="default"/>
                <w:sz w:val="22"/>
                <w:szCs w:val="22"/>
              </w:rPr>
            </w:pPr>
            <w:r>
              <w:rPr>
                <w:rFonts w:ascii="Arial" w:hAnsi="Arial" w:cs="Arial" w:eastAsia="Arial" w:hint="default"/>
                <w:sz w:val="22"/>
                <w:szCs w:val="22"/>
              </w:rPr>
              <w:t>-</w:t>
            </w:r>
            <w:r>
              <w:rPr>
                <w:rFonts w:ascii="宋体" w:hAnsi="宋体" w:cs="宋体" w:eastAsia="宋体" w:hint="default"/>
                <w:sz w:val="22"/>
                <w:szCs w:val="22"/>
              </w:rPr>
              <w:t>中期票据</w:t>
            </w:r>
          </w:p>
        </w:tc>
        <w:tc>
          <w:tcPr>
            <w:tcW w:w="1049" w:type="dxa"/>
            <w:tcBorders>
              <w:top w:val="nil" w:sz="6" w:space="0" w:color="auto"/>
              <w:left w:val="nil" w:sz="6" w:space="0" w:color="auto"/>
              <w:bottom w:val="nil" w:sz="6" w:space="0" w:color="auto"/>
              <w:right w:val="nil" w:sz="6" w:space="0" w:color="auto"/>
            </w:tcBorders>
          </w:tcPr>
          <w:p>
            <w:pPr>
              <w:pStyle w:val="TableParagraph"/>
              <w:tabs>
                <w:tab w:pos="561" w:val="left" w:leader="none"/>
                <w:tab w:pos="993" w:val="left" w:leader="none"/>
              </w:tabs>
              <w:spacing w:line="240" w:lineRule="auto" w:before="16"/>
              <w:ind w:right="5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998</w:t>
              <w:tab/>
            </w:r>
            <w:r>
              <w:rPr>
                <w:rFonts w:ascii="Arial"/>
                <w:spacing w:val="-1"/>
                <w:sz w:val="22"/>
              </w:rPr>
            </w:r>
          </w:p>
        </w:tc>
        <w:tc>
          <w:tcPr>
            <w:tcW w:w="1073" w:type="dxa"/>
            <w:tcBorders>
              <w:top w:val="nil" w:sz="6" w:space="0" w:color="auto"/>
              <w:left w:val="nil" w:sz="6" w:space="0" w:color="auto"/>
              <w:bottom w:val="nil" w:sz="6" w:space="0" w:color="auto"/>
              <w:right w:val="nil" w:sz="6" w:space="0" w:color="auto"/>
            </w:tcBorders>
          </w:tcPr>
          <w:p>
            <w:pPr>
              <w:pStyle w:val="TableParagraph"/>
              <w:tabs>
                <w:tab w:pos="403" w:val="left" w:leader="none"/>
                <w:tab w:pos="1022" w:val="left" w:leader="none"/>
              </w:tabs>
              <w:spacing w:line="240" w:lineRule="auto" w:before="16"/>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1,010</w:t>
              <w:tab/>
            </w:r>
            <w:r>
              <w:rPr>
                <w:rFonts w:ascii="Arial"/>
                <w:sz w:val="22"/>
              </w:rPr>
            </w:r>
          </w:p>
        </w:tc>
        <w:tc>
          <w:tcPr>
            <w:tcW w:w="122"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nil" w:sz="6" w:space="0" w:color="auto"/>
            </w:tcBorders>
          </w:tcPr>
          <w:p>
            <w:pPr>
              <w:pStyle w:val="TableParagraph"/>
              <w:tabs>
                <w:tab w:pos="391" w:val="left" w:leader="none"/>
                <w:tab w:pos="1015" w:val="left" w:leader="none"/>
              </w:tabs>
              <w:spacing w:line="240" w:lineRule="auto" w:before="16"/>
              <w:ind w:left="7"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1,010</w:t>
              <w:tab/>
            </w:r>
            <w:r>
              <w:rPr>
                <w:rFonts w:ascii="Arial"/>
                <w:sz w:val="22"/>
              </w:rPr>
            </w:r>
          </w:p>
        </w:tc>
        <w:tc>
          <w:tcPr>
            <w:tcW w:w="1123" w:type="dxa"/>
            <w:tcBorders>
              <w:top w:val="nil" w:sz="6" w:space="0" w:color="auto"/>
              <w:left w:val="nil" w:sz="6" w:space="0" w:color="auto"/>
              <w:bottom w:val="nil" w:sz="6" w:space="0" w:color="auto"/>
              <w:right w:val="nil" w:sz="6" w:space="0" w:color="auto"/>
            </w:tcBorders>
          </w:tcPr>
          <w:p>
            <w:pPr>
              <w:pStyle w:val="TableParagraph"/>
              <w:tabs>
                <w:tab w:pos="883" w:val="left" w:leader="none"/>
                <w:tab w:pos="1027" w:val="left" w:leader="none"/>
              </w:tabs>
              <w:spacing w:line="240" w:lineRule="auto" w:before="16"/>
              <w:ind w:right="5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tab/>
            </w:r>
            <w:r>
              <w:rPr>
                <w:rFonts w:ascii="Arial"/>
                <w:sz w:val="22"/>
              </w:rPr>
            </w:r>
          </w:p>
        </w:tc>
        <w:tc>
          <w:tcPr>
            <w:tcW w:w="1070" w:type="dxa"/>
            <w:tcBorders>
              <w:top w:val="nil" w:sz="6" w:space="0" w:color="auto"/>
              <w:left w:val="nil" w:sz="6" w:space="0" w:color="auto"/>
              <w:bottom w:val="nil" w:sz="6" w:space="0" w:color="auto"/>
              <w:right w:val="nil" w:sz="6" w:space="0" w:color="auto"/>
            </w:tcBorders>
          </w:tcPr>
          <w:p>
            <w:pPr>
              <w:pStyle w:val="TableParagraph"/>
              <w:tabs>
                <w:tab w:pos="883" w:val="left" w:leader="none"/>
                <w:tab w:pos="1027" w:val="left" w:leader="none"/>
              </w:tabs>
              <w:spacing w:line="240" w:lineRule="auto" w:before="16"/>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tab/>
            </w:r>
            <w:r>
              <w:rPr>
                <w:rFonts w:ascii="Arial"/>
                <w:sz w:val="22"/>
              </w:rPr>
            </w:r>
          </w:p>
        </w:tc>
        <w:tc>
          <w:tcPr>
            <w:tcW w:w="127" w:type="dxa"/>
            <w:tcBorders>
              <w:top w:val="nil" w:sz="6" w:space="0" w:color="auto"/>
              <w:left w:val="nil" w:sz="6" w:space="0" w:color="auto"/>
              <w:bottom w:val="nil" w:sz="6" w:space="0" w:color="auto"/>
              <w:right w:val="nil" w:sz="6" w:space="0" w:color="auto"/>
            </w:tcBorders>
          </w:tcPr>
          <w:p>
            <w:pPr/>
          </w:p>
        </w:tc>
        <w:tc>
          <w:tcPr>
            <w:tcW w:w="1140" w:type="dxa"/>
            <w:tcBorders>
              <w:top w:val="nil" w:sz="6" w:space="0" w:color="auto"/>
              <w:left w:val="nil" w:sz="6" w:space="0" w:color="auto"/>
              <w:bottom w:val="nil" w:sz="6" w:space="0" w:color="auto"/>
              <w:right w:val="nil" w:sz="6" w:space="0" w:color="auto"/>
            </w:tcBorders>
          </w:tcPr>
          <w:p>
            <w:pPr>
              <w:pStyle w:val="TableParagraph"/>
              <w:tabs>
                <w:tab w:pos="988" w:val="left" w:leader="none"/>
                <w:tab w:pos="1132" w:val="left" w:leader="none"/>
              </w:tabs>
              <w:spacing w:line="240" w:lineRule="auto" w:before="16"/>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tab/>
            </w:r>
            <w:r>
              <w:rPr>
                <w:rFonts w:ascii="Arial"/>
                <w:sz w:val="22"/>
              </w:rPr>
            </w:r>
          </w:p>
        </w:tc>
        <w:tc>
          <w:tcPr>
            <w:tcW w:w="115" w:type="dxa"/>
            <w:tcBorders>
              <w:top w:val="nil" w:sz="6" w:space="0" w:color="auto"/>
              <w:left w:val="nil" w:sz="6" w:space="0" w:color="auto"/>
              <w:bottom w:val="nil" w:sz="6" w:space="0" w:color="auto"/>
              <w:right w:val="nil" w:sz="6" w:space="0" w:color="auto"/>
            </w:tcBorders>
          </w:tcPr>
          <w:p>
            <w:pPr/>
          </w:p>
        </w:tc>
        <w:tc>
          <w:tcPr>
            <w:tcW w:w="1147" w:type="dxa"/>
            <w:tcBorders>
              <w:top w:val="nil" w:sz="6" w:space="0" w:color="auto"/>
              <w:left w:val="nil" w:sz="6" w:space="0" w:color="auto"/>
              <w:bottom w:val="nil" w:sz="6" w:space="0" w:color="auto"/>
              <w:right w:val="nil" w:sz="6" w:space="0" w:color="auto"/>
            </w:tcBorders>
          </w:tcPr>
          <w:p>
            <w:pPr>
              <w:pStyle w:val="TableParagraph"/>
              <w:tabs>
                <w:tab w:pos="988" w:val="left" w:leader="none"/>
                <w:tab w:pos="1132" w:val="left" w:leader="none"/>
              </w:tabs>
              <w:spacing w:line="240" w:lineRule="auto" w:before="16"/>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tab/>
            </w:r>
            <w:r>
              <w:rPr>
                <w:rFonts w:ascii="Arial"/>
                <w:sz w:val="22"/>
              </w:rPr>
            </w:r>
          </w:p>
        </w:tc>
      </w:tr>
      <w:tr>
        <w:trPr>
          <w:trHeight w:val="429" w:hRule="exact"/>
        </w:trPr>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1049"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117"/>
              <w:jc w:val="right"/>
              <w:rPr>
                <w:rFonts w:ascii="Arial" w:hAnsi="Arial" w:cs="Arial" w:eastAsia="Arial" w:hint="default"/>
                <w:sz w:val="22"/>
                <w:szCs w:val="22"/>
              </w:rPr>
            </w:pPr>
            <w:r>
              <w:rPr>
                <w:rFonts w:ascii="Arial"/>
                <w:sz w:val="22"/>
              </w:rPr>
              <w:t>6,865</w:t>
            </w:r>
          </w:p>
        </w:tc>
        <w:tc>
          <w:tcPr>
            <w:tcW w:w="1073"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65"/>
              <w:jc w:val="right"/>
              <w:rPr>
                <w:rFonts w:ascii="Arial" w:hAnsi="Arial" w:cs="Arial" w:eastAsia="Arial" w:hint="default"/>
                <w:sz w:val="22"/>
                <w:szCs w:val="22"/>
              </w:rPr>
            </w:pPr>
            <w:r>
              <w:rPr>
                <w:rFonts w:ascii="Arial"/>
                <w:sz w:val="22"/>
              </w:rPr>
              <w:t>6,940</w:t>
            </w:r>
          </w:p>
        </w:tc>
        <w:tc>
          <w:tcPr>
            <w:tcW w:w="122"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left="386" w:right="0"/>
              <w:jc w:val="left"/>
              <w:rPr>
                <w:rFonts w:ascii="Arial" w:hAnsi="Arial" w:cs="Arial" w:eastAsia="Arial" w:hint="default"/>
                <w:sz w:val="22"/>
                <w:szCs w:val="22"/>
              </w:rPr>
            </w:pPr>
            <w:r>
              <w:rPr>
                <w:rFonts w:ascii="Arial"/>
                <w:sz w:val="22"/>
              </w:rPr>
              <w:t>4,091</w:t>
            </w:r>
          </w:p>
        </w:tc>
        <w:tc>
          <w:tcPr>
            <w:tcW w:w="1123"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120"/>
              <w:jc w:val="right"/>
              <w:rPr>
                <w:rFonts w:ascii="Arial" w:hAnsi="Arial" w:cs="Arial" w:eastAsia="Arial" w:hint="default"/>
                <w:sz w:val="22"/>
                <w:szCs w:val="22"/>
              </w:rPr>
            </w:pPr>
            <w:r>
              <w:rPr>
                <w:rFonts w:ascii="Arial"/>
                <w:sz w:val="22"/>
              </w:rPr>
              <w:t>2,849</w:t>
            </w:r>
          </w:p>
        </w:tc>
        <w:tc>
          <w:tcPr>
            <w:tcW w:w="1070"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68"/>
              <w:jc w:val="right"/>
              <w:rPr>
                <w:rFonts w:ascii="Arial" w:hAnsi="Arial" w:cs="Arial" w:eastAsia="Arial" w:hint="default"/>
                <w:sz w:val="22"/>
                <w:szCs w:val="22"/>
              </w:rPr>
            </w:pPr>
            <w:r>
              <w:rPr>
                <w:rFonts w:ascii="Arial"/>
                <w:w w:val="100"/>
                <w:sz w:val="22"/>
              </w:rPr>
              <w:t>-</w:t>
            </w:r>
          </w:p>
        </w:tc>
        <w:tc>
          <w:tcPr>
            <w:tcW w:w="127" w:type="dxa"/>
            <w:tcBorders>
              <w:top w:val="nil" w:sz="6" w:space="0" w:color="auto"/>
              <w:left w:val="nil" w:sz="6" w:space="0" w:color="auto"/>
              <w:bottom w:val="nil" w:sz="6" w:space="0" w:color="auto"/>
              <w:right w:val="nil" w:sz="6" w:space="0" w:color="auto"/>
            </w:tcBorders>
          </w:tcPr>
          <w:p>
            <w:pPr/>
          </w:p>
        </w:tc>
        <w:tc>
          <w:tcPr>
            <w:tcW w:w="1140"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65"/>
              <w:jc w:val="right"/>
              <w:rPr>
                <w:rFonts w:ascii="Arial" w:hAnsi="Arial" w:cs="Arial" w:eastAsia="Arial" w:hint="default"/>
                <w:sz w:val="22"/>
                <w:szCs w:val="22"/>
              </w:rPr>
            </w:pPr>
            <w:r>
              <w:rPr>
                <w:rFonts w:ascii="Arial"/>
                <w:sz w:val="22"/>
              </w:rPr>
              <w:t>4,172</w:t>
            </w:r>
          </w:p>
        </w:tc>
        <w:tc>
          <w:tcPr>
            <w:tcW w:w="115" w:type="dxa"/>
            <w:tcBorders>
              <w:top w:val="nil" w:sz="6" w:space="0" w:color="auto"/>
              <w:left w:val="nil" w:sz="6" w:space="0" w:color="auto"/>
              <w:bottom w:val="nil" w:sz="6" w:space="0" w:color="auto"/>
              <w:right w:val="nil" w:sz="6" w:space="0" w:color="auto"/>
            </w:tcBorders>
          </w:tcPr>
          <w:p>
            <w:pPr/>
          </w:p>
        </w:tc>
        <w:tc>
          <w:tcPr>
            <w:tcW w:w="1147" w:type="dxa"/>
            <w:tcBorders>
              <w:top w:val="nil" w:sz="6" w:space="0" w:color="auto"/>
              <w:left w:val="nil" w:sz="6" w:space="0" w:color="auto"/>
              <w:bottom w:val="single" w:sz="17" w:space="0" w:color="000000"/>
              <w:right w:val="nil" w:sz="6" w:space="0" w:color="auto"/>
            </w:tcBorders>
          </w:tcPr>
          <w:p>
            <w:pPr>
              <w:pStyle w:val="TableParagraph"/>
              <w:spacing w:line="240" w:lineRule="auto" w:before="148"/>
              <w:ind w:right="65"/>
              <w:jc w:val="right"/>
              <w:rPr>
                <w:rFonts w:ascii="Arial" w:hAnsi="Arial" w:cs="Arial" w:eastAsia="Arial" w:hint="default"/>
                <w:sz w:val="22"/>
                <w:szCs w:val="22"/>
              </w:rPr>
            </w:pPr>
            <w:r>
              <w:rPr>
                <w:rFonts w:ascii="Arial"/>
                <w:sz w:val="22"/>
              </w:rPr>
              <w:t>4,112</w:t>
            </w:r>
          </w:p>
        </w:tc>
      </w:tr>
    </w:tbl>
    <w:p>
      <w:pPr>
        <w:spacing w:line="240" w:lineRule="auto" w:before="4"/>
        <w:rPr>
          <w:rFonts w:ascii="宋体" w:hAnsi="宋体" w:cs="宋体" w:eastAsia="宋体" w:hint="default"/>
          <w:sz w:val="12"/>
          <w:szCs w:val="12"/>
        </w:rPr>
      </w:pPr>
    </w:p>
    <w:p>
      <w:pPr>
        <w:pStyle w:val="BodyText"/>
        <w:spacing w:line="284" w:lineRule="exact" w:before="62"/>
        <w:ind w:left="540" w:right="103"/>
        <w:jc w:val="left"/>
      </w:pPr>
      <w:r>
        <w:rPr/>
        <w:t>于</w:t>
      </w:r>
      <w:r>
        <w:rPr>
          <w:spacing w:val="-36"/>
        </w:rPr>
        <w:t> </w:t>
      </w:r>
      <w:r>
        <w:rPr>
          <w:rFonts w:ascii="Arial" w:hAnsi="Arial" w:cs="Arial" w:eastAsia="Arial" w:hint="default"/>
        </w:rPr>
        <w:t>2019</w:t>
      </w:r>
      <w:r>
        <w:rPr>
          <w:rFonts w:ascii="Arial" w:hAnsi="Arial" w:cs="Arial" w:eastAsia="Arial" w:hint="default"/>
          <w:spacing w:val="15"/>
        </w:rPr>
        <w:t> </w:t>
      </w:r>
      <w:r>
        <w:rPr/>
        <w:t>年</w:t>
      </w:r>
      <w:r>
        <w:rPr>
          <w:spacing w:val="-36"/>
        </w:rPr>
        <w:t> </w:t>
      </w:r>
      <w:r>
        <w:rPr>
          <w:rFonts w:ascii="Arial" w:hAnsi="Arial" w:cs="Arial" w:eastAsia="Arial" w:hint="default"/>
        </w:rPr>
        <w:t>12</w:t>
      </w:r>
      <w:r>
        <w:rPr>
          <w:rFonts w:ascii="Arial" w:hAnsi="Arial" w:cs="Arial" w:eastAsia="Arial" w:hint="default"/>
          <w:spacing w:val="15"/>
        </w:rPr>
        <w:t> </w:t>
      </w:r>
      <w:r>
        <w:rPr/>
        <w:t>月</w:t>
      </w:r>
      <w:r>
        <w:rPr>
          <w:spacing w:val="-40"/>
        </w:rPr>
        <w:t> </w:t>
      </w:r>
      <w:r>
        <w:rPr>
          <w:rFonts w:ascii="Arial" w:hAnsi="Arial" w:cs="Arial" w:eastAsia="Arial" w:hint="default"/>
        </w:rPr>
        <w:t>31</w:t>
      </w:r>
      <w:r>
        <w:rPr>
          <w:rFonts w:ascii="Arial" w:hAnsi="Arial" w:cs="Arial" w:eastAsia="Arial" w:hint="default"/>
          <w:spacing w:val="15"/>
        </w:rPr>
        <w:t> </w:t>
      </w:r>
      <w:r>
        <w:rPr/>
        <w:t>日长期银行借款的公允价值以预期的借款本金和支付利息的现金流量按市场</w:t>
      </w:r>
      <w:r>
        <w:rPr>
          <w:w w:val="100"/>
        </w:rPr>
        <w:t> </w:t>
      </w:r>
      <w:r>
        <w:rPr/>
        <w:t>年利率</w:t>
      </w:r>
      <w:r>
        <w:rPr>
          <w:spacing w:val="-57"/>
        </w:rPr>
        <w:t> </w:t>
      </w:r>
      <w:r>
        <w:rPr>
          <w:rFonts w:ascii="Arial" w:hAnsi="Arial" w:cs="Arial" w:eastAsia="Arial" w:hint="default"/>
        </w:rPr>
        <w:t>0.70%</w:t>
      </w:r>
      <w:r>
        <w:rPr/>
        <w:t>至</w:t>
      </w:r>
      <w:r>
        <w:rPr>
          <w:spacing w:val="-57"/>
        </w:rPr>
        <w:t> </w:t>
      </w:r>
      <w:r>
        <w:rPr>
          <w:rFonts w:ascii="Arial" w:hAnsi="Arial" w:cs="Arial" w:eastAsia="Arial" w:hint="default"/>
        </w:rPr>
        <w:t>4.41%</w:t>
      </w:r>
      <w:r>
        <w:rPr/>
        <w:t>（</w:t>
      </w:r>
      <w:r>
        <w:rPr>
          <w:rFonts w:ascii="Arial" w:hAnsi="Arial" w:cs="Arial" w:eastAsia="Arial" w:hint="default"/>
        </w:rPr>
        <w:t>2018</w:t>
      </w:r>
      <w:r>
        <w:rPr>
          <w:rFonts w:ascii="Arial" w:hAnsi="Arial" w:cs="Arial" w:eastAsia="Arial" w:hint="default"/>
          <w:spacing w:val="-6"/>
        </w:rPr>
        <w:t> </w:t>
      </w:r>
      <w:r>
        <w:rPr/>
        <w:t>年</w:t>
      </w:r>
      <w:r>
        <w:rPr>
          <w:spacing w:val="-57"/>
        </w:rPr>
        <w:t> </w:t>
      </w:r>
      <w:r>
        <w:rPr>
          <w:rFonts w:ascii="Arial" w:hAnsi="Arial" w:cs="Arial" w:eastAsia="Arial" w:hint="default"/>
        </w:rPr>
        <w:t>12</w:t>
      </w:r>
      <w:r>
        <w:rPr>
          <w:rFonts w:ascii="Arial" w:hAnsi="Arial" w:cs="Arial" w:eastAsia="Arial" w:hint="default"/>
          <w:spacing w:val="-6"/>
        </w:rPr>
        <w:t> </w:t>
      </w:r>
      <w:r>
        <w:rPr/>
        <w:t>月</w:t>
      </w:r>
      <w:r>
        <w:rPr>
          <w:spacing w:val="-57"/>
        </w:rPr>
        <w:t> </w:t>
      </w:r>
      <w:r>
        <w:rPr>
          <w:rFonts w:ascii="Arial" w:hAnsi="Arial" w:cs="Arial" w:eastAsia="Arial" w:hint="default"/>
        </w:rPr>
        <w:t>31</w:t>
      </w:r>
      <w:r>
        <w:rPr>
          <w:rFonts w:ascii="Arial" w:hAnsi="Arial" w:cs="Arial" w:eastAsia="Arial" w:hint="default"/>
          <w:spacing w:val="-6"/>
        </w:rPr>
        <w:t> </w:t>
      </w:r>
      <w:r>
        <w:rPr/>
        <w:t>日：</w:t>
      </w:r>
      <w:r>
        <w:rPr>
          <w:rFonts w:ascii="Arial" w:hAnsi="Arial" w:cs="Arial" w:eastAsia="Arial" w:hint="default"/>
        </w:rPr>
        <w:t>0.79%</w:t>
      </w:r>
      <w:r>
        <w:rPr/>
        <w:t>至</w:t>
      </w:r>
      <w:r>
        <w:rPr>
          <w:spacing w:val="-57"/>
        </w:rPr>
        <w:t> </w:t>
      </w:r>
      <w:r>
        <w:rPr>
          <w:rFonts w:ascii="Arial" w:hAnsi="Arial" w:cs="Arial" w:eastAsia="Arial" w:hint="default"/>
        </w:rPr>
        <w:t>4.48%</w:t>
      </w:r>
      <w:r>
        <w:rPr/>
        <w:t>）来折现估算。</w:t>
      </w:r>
    </w:p>
    <w:p>
      <w:pPr>
        <w:spacing w:line="240" w:lineRule="auto" w:before="1"/>
        <w:rPr>
          <w:rFonts w:ascii="宋体" w:hAnsi="宋体" w:cs="宋体" w:eastAsia="宋体" w:hint="default"/>
          <w:sz w:val="17"/>
          <w:szCs w:val="17"/>
        </w:rPr>
      </w:pPr>
    </w:p>
    <w:p>
      <w:pPr>
        <w:pStyle w:val="BodyText"/>
        <w:spacing w:line="240" w:lineRule="auto"/>
        <w:ind w:left="559" w:right="103"/>
        <w:jc w:val="left"/>
      </w:pPr>
      <w:r>
        <w:rPr/>
        <w:t>公司债券及中期票据以在计量日能够取得的在活跃市场上未经调整的报价作为公允价值。</w:t>
      </w:r>
    </w:p>
    <w:p>
      <w:pPr>
        <w:spacing w:line="240" w:lineRule="auto" w:before="1"/>
        <w:rPr>
          <w:rFonts w:ascii="宋体" w:hAnsi="宋体" w:cs="宋体" w:eastAsia="宋体" w:hint="default"/>
          <w:sz w:val="21"/>
          <w:szCs w:val="21"/>
        </w:rPr>
      </w:pPr>
    </w:p>
    <w:p>
      <w:pPr>
        <w:pStyle w:val="BodyText"/>
        <w:spacing w:line="288" w:lineRule="exact"/>
        <w:ind w:left="559" w:right="139"/>
        <w:jc w:val="left"/>
      </w:pPr>
      <w:r>
        <w:rPr/>
        <w:t>除此之外，于</w:t>
      </w:r>
      <w:r>
        <w:rPr>
          <w:spacing w:val="-52"/>
        </w:rPr>
        <w:t> </w:t>
      </w:r>
      <w:r>
        <w:rPr>
          <w:rFonts w:ascii="Arial" w:hAnsi="Arial" w:cs="Arial" w:eastAsia="Arial" w:hint="default"/>
        </w:rPr>
        <w:t>2019</w:t>
      </w:r>
      <w:r>
        <w:rPr>
          <w:rFonts w:ascii="Arial" w:hAnsi="Arial" w:cs="Arial" w:eastAsia="Arial" w:hint="default"/>
          <w:spacing w:val="-1"/>
        </w:rPr>
        <w:t> </w:t>
      </w:r>
      <w:r>
        <w:rPr/>
        <w:t>年</w:t>
      </w:r>
      <w:r>
        <w:rPr>
          <w:spacing w:val="-47"/>
        </w:rPr>
        <w:t> </w:t>
      </w:r>
      <w:r>
        <w:rPr>
          <w:rFonts w:ascii="Arial" w:hAnsi="Arial" w:cs="Arial" w:eastAsia="Arial" w:hint="default"/>
        </w:rPr>
        <w:t>12</w:t>
      </w:r>
      <w:r>
        <w:rPr>
          <w:rFonts w:ascii="Arial" w:hAnsi="Arial" w:cs="Arial" w:eastAsia="Arial" w:hint="default"/>
          <w:spacing w:val="4"/>
        </w:rPr>
        <w:t> </w:t>
      </w:r>
      <w:r>
        <w:rPr/>
        <w:t>月</w:t>
      </w:r>
      <w:r>
        <w:rPr>
          <w:spacing w:val="-52"/>
        </w:rPr>
        <w:t> </w:t>
      </w:r>
      <w:r>
        <w:rPr>
          <w:rFonts w:ascii="Arial" w:hAnsi="Arial" w:cs="Arial" w:eastAsia="Arial" w:hint="default"/>
        </w:rPr>
        <w:t>31</w:t>
      </w:r>
      <w:r>
        <w:rPr>
          <w:rFonts w:ascii="Arial" w:hAnsi="Arial" w:cs="Arial" w:eastAsia="Arial" w:hint="default"/>
          <w:spacing w:val="4"/>
        </w:rPr>
        <w:t> </w:t>
      </w:r>
      <w:r>
        <w:rPr>
          <w:spacing w:val="-3"/>
        </w:rPr>
        <w:t>日及</w:t>
      </w:r>
      <w:r>
        <w:rPr>
          <w:spacing w:val="-47"/>
        </w:rPr>
        <w:t> </w:t>
      </w:r>
      <w:r>
        <w:rPr>
          <w:rFonts w:ascii="Arial" w:hAnsi="Arial" w:cs="Arial" w:eastAsia="Arial" w:hint="default"/>
        </w:rPr>
        <w:t>2018</w:t>
      </w:r>
      <w:r>
        <w:rPr>
          <w:rFonts w:ascii="Arial" w:hAnsi="Arial" w:cs="Arial" w:eastAsia="Arial" w:hint="default"/>
          <w:spacing w:val="4"/>
        </w:rPr>
        <w:t> </w:t>
      </w:r>
      <w:r>
        <w:rPr/>
        <w:t>年</w:t>
      </w:r>
      <w:r>
        <w:rPr>
          <w:spacing w:val="-52"/>
        </w:rPr>
        <w:t> </w:t>
      </w:r>
      <w:r>
        <w:rPr>
          <w:rFonts w:ascii="Arial" w:hAnsi="Arial" w:cs="Arial" w:eastAsia="Arial" w:hint="default"/>
        </w:rPr>
        <w:t>12</w:t>
      </w:r>
      <w:r>
        <w:rPr>
          <w:rFonts w:ascii="Arial" w:hAnsi="Arial" w:cs="Arial" w:eastAsia="Arial" w:hint="default"/>
          <w:spacing w:val="-1"/>
        </w:rPr>
        <w:t> </w:t>
      </w:r>
      <w:r>
        <w:rPr/>
        <w:t>月</w:t>
      </w:r>
      <w:r>
        <w:rPr>
          <w:spacing w:val="-47"/>
        </w:rPr>
        <w:t> </w:t>
      </w:r>
      <w:r>
        <w:rPr>
          <w:rFonts w:ascii="Arial" w:hAnsi="Arial" w:cs="Arial" w:eastAsia="Arial" w:hint="default"/>
        </w:rPr>
        <w:t>31</w:t>
      </w:r>
      <w:r>
        <w:rPr>
          <w:rFonts w:ascii="Arial" w:hAnsi="Arial" w:cs="Arial" w:eastAsia="Arial" w:hint="default"/>
          <w:spacing w:val="-1"/>
        </w:rPr>
        <w:t> </w:t>
      </w:r>
      <w:r>
        <w:rPr/>
        <w:t>日，由于本集团其他用摊余成本计量的金</w:t>
      </w:r>
      <w:r>
        <w:rPr>
          <w:w w:val="100"/>
        </w:rPr>
        <w:t> </w:t>
      </w:r>
      <w:r>
        <w:rPr/>
        <w:t>融资产和金融负债的性质或其较短的到期日，其账面价值与公允价值接近。</w:t>
      </w:r>
    </w:p>
    <w:p>
      <w:pPr>
        <w:spacing w:after="0" w:line="288" w:lineRule="exact"/>
        <w:jc w:val="left"/>
        <w:sectPr>
          <w:headerReference w:type="default" r:id="rId223"/>
          <w:pgSz w:w="11910" w:h="16840"/>
          <w:pgMar w:header="1183" w:footer="502" w:top="2500" w:bottom="700" w:left="1020" w:right="880"/>
        </w:sectPr>
      </w:pPr>
    </w:p>
    <w:p>
      <w:pPr>
        <w:spacing w:line="240" w:lineRule="auto" w:before="7"/>
        <w:rPr>
          <w:rFonts w:ascii="宋体" w:hAnsi="宋体" w:cs="宋体" w:eastAsia="宋体" w:hint="default"/>
          <w:sz w:val="16"/>
          <w:szCs w:val="16"/>
        </w:rPr>
      </w:pPr>
    </w:p>
    <w:tbl>
      <w:tblPr>
        <w:tblW w:w="0" w:type="auto"/>
        <w:jc w:val="left"/>
        <w:tblInd w:w="117" w:type="dxa"/>
        <w:tblLayout w:type="fixed"/>
        <w:tblCellMar>
          <w:top w:w="0" w:type="dxa"/>
          <w:left w:w="0" w:type="dxa"/>
          <w:bottom w:w="0" w:type="dxa"/>
          <w:right w:w="0" w:type="dxa"/>
        </w:tblCellMar>
        <w:tblLook w:val="01E0"/>
      </w:tblPr>
      <w:tblGrid>
        <w:gridCol w:w="3916"/>
        <w:gridCol w:w="2935"/>
        <w:gridCol w:w="1498"/>
        <w:gridCol w:w="2252"/>
      </w:tblGrid>
      <w:tr>
        <w:trPr>
          <w:trHeight w:val="892" w:hRule="exact"/>
        </w:trPr>
        <w:tc>
          <w:tcPr>
            <w:tcW w:w="3916" w:type="dxa"/>
            <w:tcBorders>
              <w:top w:val="nil" w:sz="6" w:space="0" w:color="auto"/>
              <w:left w:val="nil" w:sz="6" w:space="0" w:color="auto"/>
              <w:bottom w:val="nil" w:sz="6" w:space="0" w:color="auto"/>
              <w:right w:val="nil" w:sz="6" w:space="0" w:color="auto"/>
            </w:tcBorders>
          </w:tcPr>
          <w:p>
            <w:pPr>
              <w:pStyle w:val="TableParagraph"/>
              <w:tabs>
                <w:tab w:pos="457" w:val="left" w:leader="none"/>
              </w:tabs>
              <w:spacing w:line="240" w:lineRule="auto" w:before="32"/>
              <w:ind w:left="35" w:right="0"/>
              <w:jc w:val="left"/>
              <w:rPr>
                <w:rFonts w:ascii="黑体" w:hAnsi="黑体" w:cs="黑体" w:eastAsia="黑体" w:hint="default"/>
                <w:sz w:val="22"/>
                <w:szCs w:val="22"/>
              </w:rPr>
            </w:pPr>
            <w:r>
              <w:rPr>
                <w:rFonts w:ascii="黑体" w:hAnsi="黑体" w:cs="黑体" w:eastAsia="黑体" w:hint="default"/>
                <w:sz w:val="22"/>
                <w:szCs w:val="22"/>
              </w:rPr>
              <w:t>十</w:t>
              <w:tab/>
              <w:t>关联方关系及其交易</w:t>
            </w: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22"/>
                <w:szCs w:val="22"/>
              </w:rPr>
            </w:pPr>
            <w:r>
              <w:rPr>
                <w:rFonts w:ascii="Arial" w:hAnsi="Arial" w:cs="Arial" w:eastAsia="Arial" w:hint="default"/>
                <w:sz w:val="22"/>
                <w:szCs w:val="22"/>
              </w:rPr>
              <w:t>1</w:t>
            </w:r>
            <w:r>
              <w:rPr>
                <w:rFonts w:ascii="宋体" w:hAnsi="宋体" w:cs="宋体" w:eastAsia="宋体" w:hint="default"/>
                <w:sz w:val="22"/>
                <w:szCs w:val="22"/>
              </w:rPr>
              <w:t>、本公司的母公司情况</w:t>
            </w:r>
          </w:p>
        </w:tc>
        <w:tc>
          <w:tcPr>
            <w:tcW w:w="6685" w:type="dxa"/>
            <w:gridSpan w:val="3"/>
            <w:tcBorders>
              <w:top w:val="nil" w:sz="6" w:space="0" w:color="auto"/>
              <w:left w:val="nil" w:sz="6" w:space="0" w:color="auto"/>
              <w:bottom w:val="nil" w:sz="6" w:space="0" w:color="auto"/>
              <w:right w:val="nil" w:sz="6" w:space="0" w:color="auto"/>
            </w:tcBorders>
          </w:tcPr>
          <w:p>
            <w:pPr/>
          </w:p>
        </w:tc>
      </w:tr>
      <w:tr>
        <w:trPr>
          <w:trHeight w:val="232" w:hRule="exact"/>
        </w:trPr>
        <w:tc>
          <w:tcPr>
            <w:tcW w:w="3916" w:type="dxa"/>
            <w:tcBorders>
              <w:top w:val="nil" w:sz="6" w:space="0" w:color="auto"/>
              <w:left w:val="nil" w:sz="6" w:space="0" w:color="auto"/>
              <w:bottom w:val="nil" w:sz="6" w:space="0" w:color="auto"/>
              <w:right w:val="nil" w:sz="6" w:space="0" w:color="auto"/>
            </w:tcBorders>
          </w:tcPr>
          <w:p>
            <w:pPr>
              <w:pStyle w:val="TableParagraph"/>
              <w:spacing w:line="205" w:lineRule="exact"/>
              <w:ind w:left="35" w:right="0"/>
              <w:jc w:val="left"/>
              <w:rPr>
                <w:rFonts w:ascii="宋体" w:hAnsi="宋体" w:cs="宋体" w:eastAsia="宋体" w:hint="default"/>
                <w:sz w:val="18"/>
                <w:szCs w:val="18"/>
              </w:rPr>
            </w:pPr>
            <w:r>
              <w:rPr>
                <w:rFonts w:ascii="宋体"/>
                <w:w w:val="101"/>
                <w:sz w:val="18"/>
              </w:rPr>
              <w:t> </w:t>
            </w:r>
            <w:r>
              <w:rPr>
                <w:rFonts w:ascii="宋体"/>
                <w:sz w:val="18"/>
              </w:rPr>
            </w:r>
          </w:p>
        </w:tc>
        <w:tc>
          <w:tcPr>
            <w:tcW w:w="2935" w:type="dxa"/>
            <w:tcBorders>
              <w:top w:val="nil" w:sz="6" w:space="0" w:color="auto"/>
              <w:left w:val="nil" w:sz="6" w:space="0" w:color="auto"/>
              <w:bottom w:val="nil" w:sz="6" w:space="0" w:color="auto"/>
              <w:right w:val="nil" w:sz="6" w:space="0" w:color="auto"/>
            </w:tcBorders>
          </w:tcPr>
          <w:p>
            <w:pPr>
              <w:pStyle w:val="TableParagraph"/>
              <w:spacing w:line="205" w:lineRule="exact"/>
              <w:ind w:right="60"/>
              <w:jc w:val="right"/>
              <w:rPr>
                <w:rFonts w:ascii="宋体" w:hAnsi="宋体" w:cs="宋体" w:eastAsia="宋体" w:hint="default"/>
                <w:sz w:val="18"/>
                <w:szCs w:val="18"/>
              </w:rPr>
            </w:pPr>
            <w:r>
              <w:rPr>
                <w:rFonts w:ascii="宋体"/>
                <w:w w:val="101"/>
                <w:sz w:val="18"/>
              </w:rPr>
              <w:t> </w:t>
            </w:r>
            <w:r>
              <w:rPr>
                <w:rFonts w:ascii="宋体"/>
                <w:sz w:val="18"/>
              </w:rPr>
            </w:r>
          </w:p>
        </w:tc>
        <w:tc>
          <w:tcPr>
            <w:tcW w:w="1498" w:type="dxa"/>
            <w:tcBorders>
              <w:top w:val="nil" w:sz="6" w:space="0" w:color="auto"/>
              <w:left w:val="nil" w:sz="6" w:space="0" w:color="auto"/>
              <w:bottom w:val="nil" w:sz="6" w:space="0" w:color="auto"/>
              <w:right w:val="nil" w:sz="6" w:space="0" w:color="auto"/>
            </w:tcBorders>
          </w:tcPr>
          <w:p>
            <w:pPr>
              <w:pStyle w:val="TableParagraph"/>
              <w:spacing w:line="205" w:lineRule="exact"/>
              <w:ind w:right="142"/>
              <w:jc w:val="right"/>
              <w:rPr>
                <w:rFonts w:ascii="宋体" w:hAnsi="宋体" w:cs="宋体" w:eastAsia="宋体" w:hint="default"/>
                <w:sz w:val="18"/>
                <w:szCs w:val="18"/>
              </w:rPr>
            </w:pPr>
            <w:r>
              <w:rPr>
                <w:rFonts w:ascii="宋体"/>
                <w:w w:val="101"/>
                <w:sz w:val="18"/>
              </w:rPr>
              <w:t> </w:t>
            </w:r>
            <w:r>
              <w:rPr>
                <w:rFonts w:ascii="宋体"/>
                <w:sz w:val="18"/>
              </w:rPr>
            </w:r>
          </w:p>
        </w:tc>
        <w:tc>
          <w:tcPr>
            <w:tcW w:w="2252" w:type="dxa"/>
            <w:tcBorders>
              <w:top w:val="nil" w:sz="6" w:space="0" w:color="auto"/>
              <w:left w:val="nil" w:sz="6" w:space="0" w:color="auto"/>
              <w:bottom w:val="nil" w:sz="6" w:space="0" w:color="auto"/>
              <w:right w:val="nil" w:sz="6" w:space="0" w:color="auto"/>
            </w:tcBorders>
          </w:tcPr>
          <w:p>
            <w:pPr>
              <w:pStyle w:val="TableParagraph"/>
              <w:spacing w:line="205" w:lineRule="exact"/>
              <w:ind w:left="1041" w:right="0"/>
              <w:jc w:val="left"/>
              <w:rPr>
                <w:rFonts w:ascii="宋体" w:hAnsi="宋体" w:cs="宋体" w:eastAsia="宋体" w:hint="default"/>
                <w:sz w:val="18"/>
                <w:szCs w:val="18"/>
              </w:rPr>
            </w:pPr>
            <w:r>
              <w:rPr>
                <w:rFonts w:ascii="宋体"/>
                <w:w w:val="101"/>
                <w:sz w:val="18"/>
              </w:rPr>
              <w:t>    </w:t>
            </w:r>
            <w:r>
              <w:rPr>
                <w:rFonts w:ascii="宋体"/>
                <w:spacing w:val="-5"/>
                <w:w w:val="101"/>
                <w:sz w:val="18"/>
              </w:rPr>
              <w:t> </w:t>
            </w:r>
            <w:r>
              <w:rPr>
                <w:rFonts w:ascii="宋体"/>
                <w:w w:val="101"/>
                <w:sz w:val="18"/>
              </w:rPr>
              <w:t>  </w:t>
            </w:r>
            <w:r>
              <w:rPr>
                <w:rFonts w:ascii="宋体"/>
                <w:sz w:val="18"/>
              </w:rPr>
            </w:r>
          </w:p>
        </w:tc>
      </w:tr>
      <w:tr>
        <w:trPr>
          <w:trHeight w:val="235" w:hRule="exact"/>
        </w:trPr>
        <w:tc>
          <w:tcPr>
            <w:tcW w:w="3916" w:type="dxa"/>
            <w:tcBorders>
              <w:top w:val="nil" w:sz="6" w:space="0" w:color="auto"/>
              <w:left w:val="nil" w:sz="6" w:space="0" w:color="auto"/>
              <w:bottom w:val="nil" w:sz="6" w:space="0" w:color="auto"/>
              <w:right w:val="nil" w:sz="6" w:space="0" w:color="auto"/>
            </w:tcBorders>
          </w:tcPr>
          <w:p>
            <w:pPr>
              <w:pStyle w:val="TableParagraph"/>
              <w:spacing w:line="208" w:lineRule="exact"/>
              <w:ind w:left="35" w:right="0"/>
              <w:jc w:val="left"/>
              <w:rPr>
                <w:rFonts w:ascii="宋体" w:hAnsi="宋体" w:cs="宋体" w:eastAsia="宋体" w:hint="default"/>
                <w:sz w:val="18"/>
                <w:szCs w:val="18"/>
              </w:rPr>
            </w:pPr>
            <w:r>
              <w:rPr>
                <w:rFonts w:ascii="宋体"/>
                <w:w w:val="101"/>
                <w:sz w:val="18"/>
              </w:rPr>
              <w:t> </w:t>
            </w:r>
            <w:r>
              <w:rPr>
                <w:rFonts w:ascii="宋体"/>
                <w:sz w:val="18"/>
              </w:rPr>
            </w:r>
          </w:p>
        </w:tc>
        <w:tc>
          <w:tcPr>
            <w:tcW w:w="2935" w:type="dxa"/>
            <w:tcBorders>
              <w:top w:val="nil" w:sz="6" w:space="0" w:color="auto"/>
              <w:left w:val="nil" w:sz="6" w:space="0" w:color="auto"/>
              <w:bottom w:val="nil" w:sz="6" w:space="0" w:color="auto"/>
              <w:right w:val="nil" w:sz="6" w:space="0" w:color="auto"/>
            </w:tcBorders>
          </w:tcPr>
          <w:p>
            <w:pPr>
              <w:pStyle w:val="TableParagraph"/>
              <w:spacing w:line="208" w:lineRule="exact"/>
              <w:ind w:right="151"/>
              <w:jc w:val="right"/>
              <w:rPr>
                <w:rFonts w:ascii="宋体" w:hAnsi="宋体" w:cs="宋体" w:eastAsia="宋体" w:hint="default"/>
                <w:sz w:val="18"/>
                <w:szCs w:val="18"/>
              </w:rPr>
            </w:pPr>
            <w:r>
              <w:rPr>
                <w:rFonts w:ascii="宋体" w:hAnsi="宋体" w:cs="宋体" w:eastAsia="宋体" w:hint="default"/>
                <w:w w:val="101"/>
                <w:sz w:val="18"/>
                <w:szCs w:val="18"/>
              </w:rPr>
              <w:t> </w:t>
            </w:r>
            <w:r>
              <w:rPr>
                <w:rFonts w:ascii="宋体" w:hAnsi="宋体" w:cs="宋体" w:eastAsia="宋体" w:hint="default"/>
                <w:spacing w:val="-4"/>
                <w:sz w:val="18"/>
                <w:szCs w:val="18"/>
              </w:rPr>
              <w:t>母公司</w:t>
            </w:r>
            <w:r>
              <w:rPr>
                <w:rFonts w:ascii="宋体" w:hAnsi="宋体" w:cs="宋体" w:eastAsia="宋体" w:hint="default"/>
                <w:sz w:val="18"/>
                <w:szCs w:val="18"/>
              </w:rPr>
            </w:r>
          </w:p>
        </w:tc>
        <w:tc>
          <w:tcPr>
            <w:tcW w:w="1498" w:type="dxa"/>
            <w:tcBorders>
              <w:top w:val="nil" w:sz="6" w:space="0" w:color="auto"/>
              <w:left w:val="nil" w:sz="6" w:space="0" w:color="auto"/>
              <w:bottom w:val="nil" w:sz="6" w:space="0" w:color="auto"/>
              <w:right w:val="nil" w:sz="6" w:space="0" w:color="auto"/>
            </w:tcBorders>
          </w:tcPr>
          <w:p>
            <w:pPr>
              <w:pStyle w:val="TableParagraph"/>
              <w:spacing w:line="208" w:lineRule="exact"/>
              <w:ind w:right="233"/>
              <w:jc w:val="right"/>
              <w:rPr>
                <w:rFonts w:ascii="宋体" w:hAnsi="宋体" w:cs="宋体" w:eastAsia="宋体" w:hint="default"/>
                <w:sz w:val="18"/>
                <w:szCs w:val="18"/>
              </w:rPr>
            </w:pPr>
            <w:r>
              <w:rPr>
                <w:rFonts w:ascii="宋体" w:hAnsi="宋体" w:cs="宋体" w:eastAsia="宋体" w:hint="default"/>
                <w:spacing w:val="-4"/>
                <w:sz w:val="18"/>
                <w:szCs w:val="18"/>
              </w:rPr>
              <w:t>母公司</w:t>
            </w:r>
            <w:r>
              <w:rPr>
                <w:rFonts w:ascii="宋体" w:hAnsi="宋体" w:cs="宋体" w:eastAsia="宋体" w:hint="default"/>
                <w:sz w:val="18"/>
                <w:szCs w:val="18"/>
              </w:rPr>
            </w:r>
          </w:p>
        </w:tc>
        <w:tc>
          <w:tcPr>
            <w:tcW w:w="2252" w:type="dxa"/>
            <w:tcBorders>
              <w:top w:val="nil" w:sz="6" w:space="0" w:color="auto"/>
              <w:left w:val="nil" w:sz="6" w:space="0" w:color="auto"/>
              <w:bottom w:val="nil" w:sz="6" w:space="0" w:color="auto"/>
              <w:right w:val="nil" w:sz="6" w:space="0" w:color="auto"/>
            </w:tcBorders>
          </w:tcPr>
          <w:p>
            <w:pPr>
              <w:pStyle w:val="TableParagraph"/>
              <w:spacing w:line="208" w:lineRule="exact"/>
              <w:ind w:right="33"/>
              <w:jc w:val="right"/>
              <w:rPr>
                <w:rFonts w:ascii="宋体" w:hAnsi="宋体" w:cs="宋体" w:eastAsia="宋体" w:hint="default"/>
                <w:sz w:val="18"/>
                <w:szCs w:val="18"/>
              </w:rPr>
            </w:pPr>
            <w:r>
              <w:rPr>
                <w:rFonts w:ascii="宋体"/>
                <w:w w:val="101"/>
                <w:sz w:val="18"/>
              </w:rPr>
              <w:t>  </w:t>
            </w:r>
            <w:r>
              <w:rPr>
                <w:rFonts w:ascii="宋体"/>
                <w:spacing w:val="-5"/>
                <w:w w:val="101"/>
                <w:sz w:val="18"/>
              </w:rPr>
              <w:t> </w:t>
            </w:r>
            <w:r>
              <w:rPr>
                <w:rFonts w:ascii="宋体"/>
                <w:w w:val="101"/>
                <w:sz w:val="18"/>
              </w:rPr>
              <w:t>    </w:t>
            </w:r>
            <w:r>
              <w:rPr>
                <w:rFonts w:ascii="宋体"/>
                <w:sz w:val="18"/>
              </w:rPr>
            </w:r>
          </w:p>
        </w:tc>
      </w:tr>
      <w:tr>
        <w:trPr>
          <w:trHeight w:val="233" w:hRule="exact"/>
        </w:trPr>
        <w:tc>
          <w:tcPr>
            <w:tcW w:w="3916" w:type="dxa"/>
            <w:tcBorders>
              <w:top w:val="nil" w:sz="6" w:space="0" w:color="auto"/>
              <w:left w:val="nil" w:sz="6" w:space="0" w:color="auto"/>
              <w:bottom w:val="nil" w:sz="6" w:space="0" w:color="auto"/>
              <w:right w:val="nil" w:sz="6" w:space="0" w:color="auto"/>
            </w:tcBorders>
          </w:tcPr>
          <w:p>
            <w:pPr>
              <w:pStyle w:val="TableParagraph"/>
              <w:spacing w:line="208" w:lineRule="exact"/>
              <w:ind w:left="35" w:right="0"/>
              <w:jc w:val="left"/>
              <w:rPr>
                <w:rFonts w:ascii="宋体" w:hAnsi="宋体" w:cs="宋体" w:eastAsia="宋体" w:hint="default"/>
                <w:sz w:val="18"/>
                <w:szCs w:val="18"/>
              </w:rPr>
            </w:pPr>
            <w:r>
              <w:rPr>
                <w:rFonts w:ascii="宋体"/>
                <w:w w:val="101"/>
                <w:sz w:val="18"/>
              </w:rPr>
              <w:t> </w:t>
            </w:r>
            <w:r>
              <w:rPr>
                <w:rFonts w:ascii="宋体"/>
                <w:sz w:val="18"/>
              </w:rPr>
            </w:r>
          </w:p>
        </w:tc>
        <w:tc>
          <w:tcPr>
            <w:tcW w:w="2935" w:type="dxa"/>
            <w:tcBorders>
              <w:top w:val="nil" w:sz="6" w:space="0" w:color="auto"/>
              <w:left w:val="nil" w:sz="6" w:space="0" w:color="auto"/>
              <w:bottom w:val="nil" w:sz="6" w:space="0" w:color="auto"/>
              <w:right w:val="nil" w:sz="6" w:space="0" w:color="auto"/>
            </w:tcBorders>
          </w:tcPr>
          <w:p>
            <w:pPr>
              <w:pStyle w:val="TableParagraph"/>
              <w:spacing w:line="208" w:lineRule="exact"/>
              <w:ind w:left="1787" w:right="0"/>
              <w:jc w:val="left"/>
              <w:rPr>
                <w:rFonts w:ascii="宋体" w:hAnsi="宋体" w:cs="宋体" w:eastAsia="宋体" w:hint="default"/>
                <w:sz w:val="18"/>
                <w:szCs w:val="18"/>
              </w:rPr>
            </w:pPr>
            <w:r>
              <w:rPr>
                <w:rFonts w:ascii="宋体" w:hAnsi="宋体" w:cs="宋体" w:eastAsia="宋体" w:hint="default"/>
                <w:w w:val="101"/>
                <w:sz w:val="18"/>
                <w:szCs w:val="18"/>
              </w:rPr>
              <w:t> </w:t>
            </w:r>
            <w:r>
              <w:rPr>
                <w:rFonts w:ascii="宋体" w:hAnsi="宋体" w:cs="宋体" w:eastAsia="宋体" w:hint="default"/>
                <w:sz w:val="18"/>
                <w:szCs w:val="18"/>
              </w:rPr>
              <w:t>对本公司的</w:t>
            </w:r>
          </w:p>
        </w:tc>
        <w:tc>
          <w:tcPr>
            <w:tcW w:w="1498" w:type="dxa"/>
            <w:tcBorders>
              <w:top w:val="nil" w:sz="6" w:space="0" w:color="auto"/>
              <w:left w:val="nil" w:sz="6" w:space="0" w:color="auto"/>
              <w:bottom w:val="nil" w:sz="6" w:space="0" w:color="auto"/>
              <w:right w:val="nil" w:sz="6" w:space="0" w:color="auto"/>
            </w:tcBorders>
          </w:tcPr>
          <w:p>
            <w:pPr>
              <w:pStyle w:val="TableParagraph"/>
              <w:spacing w:line="208" w:lineRule="exact"/>
              <w:ind w:left="364" w:right="0"/>
              <w:jc w:val="left"/>
              <w:rPr>
                <w:rFonts w:ascii="宋体" w:hAnsi="宋体" w:cs="宋体" w:eastAsia="宋体" w:hint="default"/>
                <w:sz w:val="18"/>
                <w:szCs w:val="18"/>
              </w:rPr>
            </w:pPr>
            <w:r>
              <w:rPr>
                <w:rFonts w:ascii="宋体" w:hAnsi="宋体" w:cs="宋体" w:eastAsia="宋体" w:hint="default"/>
                <w:sz w:val="18"/>
                <w:szCs w:val="18"/>
              </w:rPr>
              <w:t>对本公司的</w:t>
            </w:r>
          </w:p>
        </w:tc>
        <w:tc>
          <w:tcPr>
            <w:tcW w:w="2252" w:type="dxa"/>
            <w:tcBorders>
              <w:top w:val="nil" w:sz="6" w:space="0" w:color="auto"/>
              <w:left w:val="nil" w:sz="6" w:space="0" w:color="auto"/>
              <w:bottom w:val="nil" w:sz="6" w:space="0" w:color="auto"/>
              <w:right w:val="nil" w:sz="6" w:space="0" w:color="auto"/>
            </w:tcBorders>
          </w:tcPr>
          <w:p>
            <w:pPr>
              <w:pStyle w:val="TableParagraph"/>
              <w:spacing w:line="208" w:lineRule="exact"/>
              <w:ind w:left="504" w:right="0"/>
              <w:jc w:val="left"/>
              <w:rPr>
                <w:rFonts w:ascii="宋体" w:hAnsi="宋体" w:cs="宋体" w:eastAsia="宋体" w:hint="default"/>
                <w:sz w:val="18"/>
                <w:szCs w:val="18"/>
              </w:rPr>
            </w:pPr>
            <w:r>
              <w:rPr>
                <w:rFonts w:ascii="宋体" w:hAnsi="宋体" w:cs="宋体" w:eastAsia="宋体" w:hint="default"/>
                <w:sz w:val="18"/>
                <w:szCs w:val="18"/>
              </w:rPr>
              <w:t>本公司</w:t>
            </w:r>
          </w:p>
        </w:tc>
      </w:tr>
      <w:tr>
        <w:trPr>
          <w:trHeight w:val="341" w:hRule="exact"/>
        </w:trPr>
        <w:tc>
          <w:tcPr>
            <w:tcW w:w="3916" w:type="dxa"/>
            <w:tcBorders>
              <w:top w:val="nil" w:sz="6" w:space="0" w:color="auto"/>
              <w:left w:val="nil" w:sz="6" w:space="0" w:color="auto"/>
              <w:bottom w:val="nil" w:sz="6" w:space="0" w:color="auto"/>
              <w:right w:val="nil" w:sz="6" w:space="0" w:color="auto"/>
            </w:tcBorders>
          </w:tcPr>
          <w:p>
            <w:pPr>
              <w:pStyle w:val="TableParagraph"/>
              <w:spacing w:line="206" w:lineRule="exact"/>
              <w:ind w:left="462" w:right="0"/>
              <w:jc w:val="left"/>
              <w:rPr>
                <w:rFonts w:ascii="宋体" w:hAnsi="宋体" w:cs="宋体" w:eastAsia="宋体" w:hint="default"/>
                <w:sz w:val="18"/>
                <w:szCs w:val="18"/>
              </w:rPr>
            </w:pPr>
            <w:r>
              <w:rPr>
                <w:rFonts w:ascii="宋体" w:hAnsi="宋体" w:cs="宋体" w:eastAsia="宋体" w:hint="default"/>
                <w:w w:val="101"/>
                <w:sz w:val="18"/>
                <w:szCs w:val="18"/>
              </w:rPr>
            </w:r>
            <w:r>
              <w:rPr>
                <w:rFonts w:ascii="宋体" w:hAnsi="宋体" w:cs="宋体" w:eastAsia="宋体" w:hint="default"/>
                <w:sz w:val="18"/>
                <w:szCs w:val="18"/>
                <w:u w:val="single" w:color="000000"/>
              </w:rPr>
              <w:t>母公司名称 </w:t>
            </w:r>
            <w:r>
              <w:rPr>
                <w:rFonts w:ascii="宋体" w:hAnsi="宋体" w:cs="宋体" w:eastAsia="宋体" w:hint="default"/>
                <w:sz w:val="18"/>
                <w:szCs w:val="18"/>
              </w:rPr>
            </w:r>
            <w:r>
              <w:rPr>
                <w:rFonts w:ascii="宋体" w:hAnsi="宋体" w:cs="宋体" w:eastAsia="宋体" w:hint="default"/>
                <w:sz w:val="18"/>
                <w:szCs w:val="18"/>
                <w:u w:val="single" w:color="000000"/>
              </w:rPr>
              <w:t>注册地 </w:t>
            </w:r>
            <w:r>
              <w:rPr>
                <w:rFonts w:ascii="宋体" w:hAnsi="宋体" w:cs="宋体" w:eastAsia="宋体" w:hint="default"/>
                <w:spacing w:val="1"/>
                <w:sz w:val="18"/>
                <w:szCs w:val="18"/>
                <w:u w:val="single" w:color="000000"/>
              </w:rPr>
              <w:t> </w:t>
            </w:r>
            <w:r>
              <w:rPr>
                <w:rFonts w:ascii="宋体" w:hAnsi="宋体" w:cs="宋体" w:eastAsia="宋体" w:hint="default"/>
                <w:spacing w:val="1"/>
                <w:sz w:val="18"/>
                <w:szCs w:val="18"/>
              </w:rPr>
            </w:r>
            <w:r>
              <w:rPr>
                <w:rFonts w:ascii="宋体" w:hAnsi="宋体" w:cs="宋体" w:eastAsia="宋体" w:hint="default"/>
                <w:sz w:val="18"/>
                <w:szCs w:val="18"/>
                <w:u w:val="single" w:color="000000"/>
              </w:rPr>
              <w:t>业务性质</w:t>
            </w:r>
            <w:r>
              <w:rPr>
                <w:rFonts w:ascii="宋体" w:hAnsi="宋体" w:cs="宋体" w:eastAsia="宋体" w:hint="default"/>
                <w:sz w:val="18"/>
                <w:szCs w:val="18"/>
              </w:rPr>
            </w:r>
          </w:p>
        </w:tc>
        <w:tc>
          <w:tcPr>
            <w:tcW w:w="2935" w:type="dxa"/>
            <w:tcBorders>
              <w:top w:val="nil" w:sz="6" w:space="0" w:color="auto"/>
              <w:left w:val="nil" w:sz="6" w:space="0" w:color="auto"/>
              <w:bottom w:val="nil" w:sz="6" w:space="0" w:color="auto"/>
              <w:right w:val="nil" w:sz="6" w:space="0" w:color="auto"/>
            </w:tcBorders>
          </w:tcPr>
          <w:p>
            <w:pPr>
              <w:pStyle w:val="TableParagraph"/>
              <w:tabs>
                <w:tab w:pos="1725" w:val="left" w:leader="none"/>
              </w:tabs>
              <w:spacing w:line="219" w:lineRule="exact"/>
              <w:ind w:left="645" w:right="0"/>
              <w:jc w:val="left"/>
              <w:rPr>
                <w:rFonts w:ascii="Arial" w:hAnsi="Arial" w:cs="Arial" w:eastAsia="Arial" w:hint="default"/>
                <w:sz w:val="18"/>
                <w:szCs w:val="18"/>
              </w:rPr>
            </w:pPr>
            <w:r>
              <w:rPr>
                <w:rFonts w:ascii="宋体" w:hAnsi="宋体" w:cs="宋体" w:eastAsia="宋体" w:hint="default"/>
                <w:w w:val="101"/>
                <w:sz w:val="18"/>
                <w:szCs w:val="18"/>
              </w:rPr>
            </w:r>
            <w:r>
              <w:rPr>
                <w:rFonts w:ascii="宋体" w:hAnsi="宋体" w:cs="宋体" w:eastAsia="宋体" w:hint="default"/>
                <w:spacing w:val="-2"/>
                <w:sz w:val="18"/>
                <w:szCs w:val="18"/>
                <w:u w:val="single" w:color="000000"/>
              </w:rPr>
              <w:t>注册资本</w:t>
            </w:r>
            <w:r>
              <w:rPr>
                <w:rFonts w:ascii="宋体" w:hAnsi="宋体" w:cs="宋体" w:eastAsia="宋体" w:hint="default"/>
                <w:spacing w:val="-2"/>
                <w:sz w:val="18"/>
                <w:szCs w:val="18"/>
              </w:rPr>
              <w:tab/>
            </w:r>
            <w:r>
              <w:rPr>
                <w:rFonts w:ascii="宋体" w:hAnsi="宋体" w:cs="宋体" w:eastAsia="宋体" w:hint="default"/>
                <w:spacing w:val="-3"/>
                <w:sz w:val="18"/>
                <w:szCs w:val="18"/>
                <w:u w:val="single" w:color="000000"/>
              </w:rPr>
              <w:t>持股比例</w:t>
            </w:r>
            <w:r>
              <w:rPr>
                <w:rFonts w:ascii="Arial" w:hAnsi="Arial" w:cs="Arial" w:eastAsia="Arial" w:hint="default"/>
                <w:spacing w:val="-3"/>
                <w:sz w:val="18"/>
                <w:szCs w:val="18"/>
                <w:u w:val="single" w:color="000000"/>
              </w:rPr>
              <w:t>(%)</w:t>
            </w:r>
            <w:r>
              <w:rPr>
                <w:rFonts w:ascii="Arial" w:hAnsi="Arial" w:cs="Arial" w:eastAsia="Arial" w:hint="default"/>
                <w:spacing w:val="-3"/>
                <w:sz w:val="18"/>
                <w:szCs w:val="18"/>
              </w:rPr>
            </w:r>
            <w:r>
              <w:rPr>
                <w:rFonts w:ascii="Arial" w:hAnsi="Arial" w:cs="Arial" w:eastAsia="Arial" w:hint="default"/>
                <w:sz w:val="18"/>
                <w:szCs w:val="18"/>
              </w:rPr>
            </w:r>
          </w:p>
        </w:tc>
        <w:tc>
          <w:tcPr>
            <w:tcW w:w="1498" w:type="dxa"/>
            <w:tcBorders>
              <w:top w:val="nil" w:sz="6" w:space="0" w:color="auto"/>
              <w:left w:val="nil" w:sz="6" w:space="0" w:color="auto"/>
              <w:bottom w:val="nil" w:sz="6" w:space="0" w:color="auto"/>
              <w:right w:val="nil" w:sz="6" w:space="0" w:color="auto"/>
            </w:tcBorders>
          </w:tcPr>
          <w:p>
            <w:pPr>
              <w:pStyle w:val="TableParagraph"/>
              <w:spacing w:line="219" w:lineRule="exact"/>
              <w:ind w:right="162"/>
              <w:jc w:val="right"/>
              <w:rPr>
                <w:rFonts w:ascii="Arial" w:hAnsi="Arial" w:cs="Arial" w:eastAsia="Arial" w:hint="default"/>
                <w:sz w:val="18"/>
                <w:szCs w:val="18"/>
              </w:rPr>
            </w:pPr>
            <w:r>
              <w:rPr>
                <w:rFonts w:ascii="宋体" w:hAnsi="宋体" w:cs="宋体" w:eastAsia="宋体" w:hint="default"/>
                <w:w w:val="101"/>
                <w:sz w:val="18"/>
                <w:szCs w:val="18"/>
              </w:rPr>
            </w:r>
            <w:r>
              <w:rPr>
                <w:rFonts w:ascii="宋体" w:hAnsi="宋体" w:cs="宋体" w:eastAsia="宋体" w:hint="default"/>
                <w:sz w:val="18"/>
                <w:szCs w:val="18"/>
                <w:u w:val="single" w:color="000000"/>
              </w:rPr>
              <w:t>表决权比例</w:t>
            </w:r>
            <w:r>
              <w:rPr>
                <w:rFonts w:ascii="宋体" w:hAnsi="宋体" w:cs="宋体" w:eastAsia="宋体" w:hint="default"/>
                <w:spacing w:val="-2"/>
                <w:sz w:val="18"/>
                <w:szCs w:val="18"/>
                <w:u w:val="single" w:color="000000"/>
              </w:rPr>
              <w:t> </w:t>
            </w:r>
            <w:r>
              <w:rPr>
                <w:rFonts w:ascii="Arial" w:hAnsi="Arial" w:cs="Arial" w:eastAsia="Arial" w:hint="default"/>
                <w:sz w:val="18"/>
                <w:szCs w:val="18"/>
                <w:u w:val="single" w:color="000000"/>
              </w:rPr>
              <w:t>(%)</w:t>
            </w:r>
            <w:r>
              <w:rPr>
                <w:rFonts w:ascii="Arial" w:hAnsi="Arial" w:cs="Arial" w:eastAsia="Arial" w:hint="default"/>
                <w:sz w:val="18"/>
                <w:szCs w:val="18"/>
              </w:rPr>
            </w:r>
          </w:p>
        </w:tc>
        <w:tc>
          <w:tcPr>
            <w:tcW w:w="2252" w:type="dxa"/>
            <w:tcBorders>
              <w:top w:val="nil" w:sz="6" w:space="0" w:color="auto"/>
              <w:left w:val="nil" w:sz="6" w:space="0" w:color="auto"/>
              <w:bottom w:val="nil" w:sz="6" w:space="0" w:color="auto"/>
              <w:right w:val="nil" w:sz="6" w:space="0" w:color="auto"/>
            </w:tcBorders>
          </w:tcPr>
          <w:p>
            <w:pPr>
              <w:pStyle w:val="TableParagraph"/>
              <w:spacing w:line="206" w:lineRule="exact"/>
              <w:ind w:left="144" w:right="0"/>
              <w:jc w:val="left"/>
              <w:rPr>
                <w:rFonts w:ascii="宋体" w:hAnsi="宋体" w:cs="宋体" w:eastAsia="宋体" w:hint="default"/>
                <w:sz w:val="18"/>
                <w:szCs w:val="18"/>
              </w:rPr>
            </w:pPr>
            <w:r>
              <w:rPr>
                <w:rFonts w:ascii="宋体" w:hAnsi="宋体" w:cs="宋体" w:eastAsia="宋体" w:hint="default"/>
                <w:w w:val="101"/>
                <w:sz w:val="18"/>
                <w:szCs w:val="18"/>
              </w:rPr>
            </w:r>
            <w:r>
              <w:rPr>
                <w:rFonts w:ascii="宋体" w:hAnsi="宋体" w:cs="宋体" w:eastAsia="宋体" w:hint="default"/>
                <w:sz w:val="18"/>
                <w:szCs w:val="18"/>
                <w:u w:val="single" w:color="000000"/>
              </w:rPr>
              <w:t>最终控制方</w:t>
            </w:r>
            <w:r>
              <w:rPr>
                <w:rFonts w:ascii="宋体" w:hAnsi="宋体" w:cs="宋体" w:eastAsia="宋体" w:hint="default"/>
                <w:sz w:val="18"/>
                <w:szCs w:val="18"/>
              </w:rPr>
            </w:r>
          </w:p>
        </w:tc>
      </w:tr>
      <w:tr>
        <w:trPr>
          <w:trHeight w:val="417" w:hRule="exact"/>
        </w:trPr>
        <w:tc>
          <w:tcPr>
            <w:tcW w:w="3916" w:type="dxa"/>
            <w:tcBorders>
              <w:top w:val="nil" w:sz="6" w:space="0" w:color="auto"/>
              <w:left w:val="nil" w:sz="6" w:space="0" w:color="auto"/>
              <w:bottom w:val="nil" w:sz="6" w:space="0" w:color="auto"/>
              <w:right w:val="nil" w:sz="6" w:space="0" w:color="auto"/>
            </w:tcBorders>
          </w:tcPr>
          <w:p>
            <w:pPr>
              <w:pStyle w:val="TableParagraph"/>
              <w:tabs>
                <w:tab w:pos="1450" w:val="left" w:leader="none"/>
                <w:tab w:pos="2161" w:val="left" w:leader="none"/>
              </w:tabs>
              <w:spacing w:line="240" w:lineRule="auto" w:before="71"/>
              <w:ind w:left="462" w:right="0"/>
              <w:jc w:val="left"/>
              <w:rPr>
                <w:rFonts w:ascii="宋体" w:hAnsi="宋体" w:cs="宋体" w:eastAsia="宋体" w:hint="default"/>
                <w:sz w:val="18"/>
                <w:szCs w:val="18"/>
              </w:rPr>
            </w:pPr>
            <w:r>
              <w:rPr>
                <w:rFonts w:ascii="宋体" w:hAnsi="宋体" w:cs="宋体" w:eastAsia="宋体" w:hint="default"/>
                <w:spacing w:val="-2"/>
                <w:sz w:val="18"/>
                <w:szCs w:val="18"/>
              </w:rPr>
              <w:t>联通集团</w:t>
              <w:tab/>
            </w:r>
            <w:r>
              <w:rPr>
                <w:rFonts w:ascii="宋体" w:hAnsi="宋体" w:cs="宋体" w:eastAsia="宋体" w:hint="default"/>
                <w:sz w:val="18"/>
                <w:szCs w:val="18"/>
              </w:rPr>
              <w:t>北京</w:t>
              <w:tab/>
            </w:r>
            <w:r>
              <w:rPr>
                <w:rFonts w:ascii="宋体" w:hAnsi="宋体" w:cs="宋体" w:eastAsia="宋体" w:hint="default"/>
                <w:spacing w:val="-3"/>
                <w:sz w:val="18"/>
                <w:szCs w:val="18"/>
              </w:rPr>
              <w:t>电信业务及投资控股</w:t>
            </w:r>
            <w:r>
              <w:rPr>
                <w:rFonts w:ascii="宋体" w:hAnsi="宋体" w:cs="宋体" w:eastAsia="宋体" w:hint="default"/>
                <w:sz w:val="18"/>
                <w:szCs w:val="18"/>
              </w:rPr>
            </w:r>
          </w:p>
        </w:tc>
        <w:tc>
          <w:tcPr>
            <w:tcW w:w="2935" w:type="dxa"/>
            <w:tcBorders>
              <w:top w:val="nil" w:sz="6" w:space="0" w:color="auto"/>
              <w:left w:val="nil" w:sz="6" w:space="0" w:color="auto"/>
              <w:bottom w:val="nil" w:sz="6" w:space="0" w:color="auto"/>
              <w:right w:val="nil" w:sz="6" w:space="0" w:color="auto"/>
            </w:tcBorders>
          </w:tcPr>
          <w:p>
            <w:pPr>
              <w:pStyle w:val="TableParagraph"/>
              <w:tabs>
                <w:tab w:pos="2272" w:val="left" w:leader="none"/>
              </w:tabs>
              <w:spacing w:line="240" w:lineRule="auto" w:before="113"/>
              <w:ind w:left="136" w:right="0"/>
              <w:jc w:val="left"/>
              <w:rPr>
                <w:rFonts w:ascii="Arial" w:hAnsi="Arial" w:cs="Arial" w:eastAsia="Arial" w:hint="default"/>
                <w:sz w:val="18"/>
                <w:szCs w:val="18"/>
              </w:rPr>
            </w:pPr>
            <w:r>
              <w:rPr>
                <w:rFonts w:ascii="Arial"/>
                <w:spacing w:val="-2"/>
                <w:sz w:val="18"/>
              </w:rPr>
              <w:t>106,471,198,904</w:t>
              <w:tab/>
              <w:t>36.7%</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229"/>
              <w:jc w:val="right"/>
              <w:rPr>
                <w:rFonts w:ascii="Arial" w:hAnsi="Arial" w:cs="Arial" w:eastAsia="Arial" w:hint="default"/>
                <w:sz w:val="18"/>
                <w:szCs w:val="18"/>
              </w:rPr>
            </w:pPr>
            <w:r>
              <w:rPr>
                <w:rFonts w:ascii="Arial"/>
                <w:spacing w:val="-2"/>
                <w:sz w:val="18"/>
              </w:rPr>
              <w:t>36.7%</w:t>
            </w:r>
          </w:p>
        </w:tc>
        <w:tc>
          <w:tcPr>
            <w:tcW w:w="2252"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07" w:right="0"/>
              <w:jc w:val="left"/>
              <w:rPr>
                <w:rFonts w:ascii="宋体" w:hAnsi="宋体" w:cs="宋体" w:eastAsia="宋体" w:hint="default"/>
                <w:sz w:val="18"/>
                <w:szCs w:val="18"/>
              </w:rPr>
            </w:pPr>
            <w:r>
              <w:rPr>
                <w:rFonts w:ascii="宋体" w:hAnsi="宋体" w:cs="宋体" w:eastAsia="宋体" w:hint="default"/>
                <w:spacing w:val="-4"/>
                <w:sz w:val="18"/>
                <w:szCs w:val="18"/>
              </w:rPr>
              <w:t>联通集团</w:t>
            </w:r>
            <w:r>
              <w:rPr>
                <w:rFonts w:ascii="宋体" w:hAnsi="宋体" w:cs="宋体" w:eastAsia="宋体" w:hint="default"/>
                <w:sz w:val="18"/>
                <w:szCs w:val="18"/>
              </w:rPr>
            </w:r>
          </w:p>
        </w:tc>
      </w:tr>
    </w:tbl>
    <w:p>
      <w:pPr>
        <w:spacing w:line="240" w:lineRule="auto" w:before="12"/>
        <w:rPr>
          <w:rFonts w:ascii="宋体" w:hAnsi="宋体" w:cs="宋体" w:eastAsia="宋体" w:hint="default"/>
          <w:sz w:val="7"/>
          <w:szCs w:val="7"/>
        </w:rPr>
      </w:pPr>
    </w:p>
    <w:p>
      <w:pPr>
        <w:pStyle w:val="BodyText"/>
        <w:spacing w:line="240" w:lineRule="auto" w:before="32"/>
        <w:ind w:left="580" w:right="0"/>
        <w:jc w:val="left"/>
      </w:pPr>
      <w:r>
        <w:rPr/>
        <w:t>本公司的最终控制方为联通集团。联通集团为国资委直属的中央企业。</w:t>
      </w:r>
    </w:p>
    <w:p>
      <w:pPr>
        <w:spacing w:line="240" w:lineRule="auto" w:before="3"/>
        <w:rPr>
          <w:rFonts w:ascii="宋体" w:hAnsi="宋体" w:cs="宋体" w:eastAsia="宋体" w:hint="default"/>
          <w:sz w:val="17"/>
          <w:szCs w:val="17"/>
        </w:rPr>
      </w:pPr>
    </w:p>
    <w:p>
      <w:pPr>
        <w:pStyle w:val="BodyText"/>
        <w:spacing w:line="405" w:lineRule="auto"/>
        <w:ind w:left="575" w:right="5231" w:hanging="423"/>
        <w:jc w:val="left"/>
      </w:pPr>
      <w:r>
        <w:rPr>
          <w:rFonts w:ascii="Arial" w:hAnsi="Arial" w:cs="Arial" w:eastAsia="Arial" w:hint="default"/>
        </w:rPr>
        <w:t>2</w:t>
      </w:r>
      <w:r>
        <w:rPr/>
        <w:t>、</w:t>
      </w:r>
      <w:r>
        <w:rPr>
          <w:spacing w:val="-29"/>
        </w:rPr>
        <w:t> </w:t>
      </w:r>
      <w:r>
        <w:rPr/>
        <w:t>子公司情况</w:t>
      </w:r>
      <w:r>
        <w:rPr>
          <w:spacing w:val="-103"/>
        </w:rPr>
        <w:t> </w:t>
      </w:r>
      <w:r>
        <w:rPr>
          <w:spacing w:val="-103"/>
        </w:rPr>
      </w:r>
      <w:r>
        <w:rPr>
          <w:spacing w:val="-1"/>
        </w:rPr>
        <w:t>子公司的基本情况及相关信息见附注七。</w:t>
      </w:r>
    </w:p>
    <w:p>
      <w:pPr>
        <w:pStyle w:val="BodyText"/>
        <w:spacing w:line="294" w:lineRule="exact" w:before="102"/>
        <w:ind w:left="152" w:right="0"/>
        <w:jc w:val="left"/>
      </w:pPr>
      <w:r>
        <w:rPr>
          <w:rFonts w:ascii="Arial" w:hAnsi="Arial" w:cs="Arial" w:eastAsia="Arial" w:hint="default"/>
        </w:rPr>
        <w:t>3</w:t>
      </w:r>
      <w:r>
        <w:rPr/>
        <w:t>、</w:t>
      </w:r>
      <w:r>
        <w:rPr>
          <w:spacing w:val="-21"/>
        </w:rPr>
        <w:t> </w:t>
      </w:r>
      <w:r>
        <w:rPr/>
        <w:t>本公司的合营和联营企业情况</w:t>
      </w:r>
    </w:p>
    <w:p>
      <w:pPr>
        <w:pStyle w:val="Heading2"/>
        <w:spacing w:line="303" w:lineRule="exact"/>
        <w:ind w:right="0"/>
        <w:jc w:val="left"/>
        <w:rPr>
          <w:rFonts w:ascii="宋体" w:hAnsi="宋体" w:cs="宋体" w:eastAsia="宋体" w:hint="default"/>
        </w:rPr>
      </w:pPr>
      <w:r>
        <w:rPr>
          <w:rFonts w:ascii="宋体"/>
        </w:rPr>
        <w:t> </w:t>
      </w:r>
    </w:p>
    <w:p>
      <w:pPr>
        <w:pStyle w:val="BodyText"/>
        <w:spacing w:line="292" w:lineRule="exact"/>
        <w:ind w:left="580" w:right="0"/>
        <w:jc w:val="left"/>
      </w:pPr>
      <w:r>
        <w:rPr/>
        <w:t>本集团的合营或联营企业，详见附注五</w:t>
      </w:r>
      <w:r>
        <w:rPr>
          <w:rFonts w:ascii="Arial" w:hAnsi="Arial" w:cs="Arial" w:eastAsia="Arial" w:hint="default"/>
        </w:rPr>
        <w:t>(10)</w:t>
      </w:r>
      <w:r>
        <w:rPr/>
        <w:t>。</w:t>
      </w:r>
    </w:p>
    <w:p>
      <w:pPr>
        <w:pStyle w:val="Heading2"/>
        <w:spacing w:line="303" w:lineRule="exact"/>
        <w:ind w:right="0"/>
        <w:jc w:val="left"/>
        <w:rPr>
          <w:rFonts w:ascii="宋体" w:hAnsi="宋体" w:cs="宋体" w:eastAsia="宋体" w:hint="default"/>
        </w:rPr>
      </w:pPr>
      <w:r>
        <w:rPr>
          <w:rFonts w:ascii="宋体"/>
        </w:rPr>
        <w:t> </w:t>
      </w:r>
    </w:p>
    <w:p>
      <w:pPr>
        <w:pStyle w:val="BodyText"/>
        <w:spacing w:line="302" w:lineRule="exact"/>
        <w:ind w:left="152" w:right="0"/>
        <w:jc w:val="left"/>
      </w:pPr>
      <w:r>
        <w:rPr>
          <w:rFonts w:ascii="Arial" w:hAnsi="Arial" w:cs="Arial" w:eastAsia="Arial" w:hint="default"/>
        </w:rPr>
        <w:t>4</w:t>
      </w:r>
      <w:r>
        <w:rPr/>
        <w:t>、</w:t>
      </w:r>
      <w:r>
        <w:rPr>
          <w:spacing w:val="-30"/>
        </w:rPr>
        <w:t> </w:t>
      </w:r>
      <w:r>
        <w:rPr/>
        <w:t>其他关联方情况</w:t>
      </w:r>
    </w:p>
    <w:p>
      <w:pPr>
        <w:spacing w:line="240" w:lineRule="auto" w:before="11"/>
        <w:rPr>
          <w:rFonts w:ascii="宋体" w:hAnsi="宋体" w:cs="宋体" w:eastAsia="宋体" w:hint="default"/>
          <w:sz w:val="22"/>
          <w:szCs w:val="22"/>
        </w:rPr>
      </w:pPr>
    </w:p>
    <w:tbl>
      <w:tblPr>
        <w:tblW w:w="0" w:type="auto"/>
        <w:jc w:val="left"/>
        <w:tblInd w:w="332" w:type="dxa"/>
        <w:tblLayout w:type="fixed"/>
        <w:tblCellMar>
          <w:top w:w="0" w:type="dxa"/>
          <w:left w:w="0" w:type="dxa"/>
          <w:bottom w:w="0" w:type="dxa"/>
          <w:right w:w="0" w:type="dxa"/>
        </w:tblCellMar>
        <w:tblLook w:val="01E0"/>
      </w:tblPr>
      <w:tblGrid>
        <w:gridCol w:w="618"/>
        <w:gridCol w:w="4766"/>
        <w:gridCol w:w="3691"/>
      </w:tblGrid>
      <w:tr>
        <w:trPr>
          <w:trHeight w:val="238" w:hRule="exact"/>
        </w:trPr>
        <w:tc>
          <w:tcPr>
            <w:tcW w:w="618" w:type="dxa"/>
            <w:tcBorders>
              <w:top w:val="nil" w:sz="6" w:space="0" w:color="auto"/>
              <w:left w:val="nil" w:sz="6" w:space="0" w:color="auto"/>
              <w:bottom w:val="nil" w:sz="6" w:space="0" w:color="auto"/>
              <w:right w:val="nil" w:sz="6" w:space="0" w:color="auto"/>
            </w:tcBorders>
          </w:tcPr>
          <w:p>
            <w:pPr/>
          </w:p>
        </w:tc>
        <w:tc>
          <w:tcPr>
            <w:tcW w:w="4766" w:type="dxa"/>
            <w:tcBorders>
              <w:top w:val="nil" w:sz="6" w:space="0" w:color="auto"/>
              <w:left w:val="nil" w:sz="6" w:space="0" w:color="auto"/>
              <w:bottom w:val="nil" w:sz="6" w:space="0" w:color="auto"/>
              <w:right w:val="nil" w:sz="6" w:space="0" w:color="auto"/>
            </w:tcBorders>
          </w:tcPr>
          <w:p>
            <w:pPr/>
          </w:p>
        </w:tc>
        <w:tc>
          <w:tcPr>
            <w:tcW w:w="3691" w:type="dxa"/>
            <w:tcBorders>
              <w:top w:val="nil" w:sz="6" w:space="0" w:color="auto"/>
              <w:left w:val="nil" w:sz="6" w:space="0" w:color="auto"/>
              <w:bottom w:val="single" w:sz="6" w:space="0" w:color="000000"/>
              <w:right w:val="nil" w:sz="6" w:space="0" w:color="auto"/>
            </w:tcBorders>
          </w:tcPr>
          <w:p>
            <w:pPr>
              <w:pStyle w:val="TableParagraph"/>
              <w:spacing w:line="201" w:lineRule="exact"/>
              <w:ind w:right="0"/>
              <w:jc w:val="right"/>
              <w:rPr>
                <w:rFonts w:ascii="宋体" w:hAnsi="宋体" w:cs="宋体" w:eastAsia="宋体" w:hint="default"/>
                <w:sz w:val="20"/>
                <w:szCs w:val="20"/>
              </w:rPr>
            </w:pPr>
            <w:r>
              <w:rPr>
                <w:rFonts w:ascii="宋体" w:hAnsi="宋体" w:cs="宋体" w:eastAsia="宋体" w:hint="default"/>
                <w:spacing w:val="-1"/>
                <w:sz w:val="20"/>
                <w:szCs w:val="20"/>
              </w:rPr>
              <w:t>与本集团的关系</w:t>
            </w:r>
          </w:p>
        </w:tc>
      </w:tr>
      <w:tr>
        <w:trPr>
          <w:trHeight w:val="508" w:hRule="exact"/>
        </w:trPr>
        <w:tc>
          <w:tcPr>
            <w:tcW w:w="61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109"/>
              <w:jc w:val="right"/>
              <w:rPr>
                <w:rFonts w:ascii="Arial" w:hAnsi="Arial" w:cs="Arial" w:eastAsia="Arial" w:hint="default"/>
                <w:sz w:val="20"/>
                <w:szCs w:val="20"/>
              </w:rPr>
            </w:pPr>
            <w:r>
              <w:rPr>
                <w:rFonts w:ascii="Arial"/>
                <w:spacing w:val="-2"/>
                <w:sz w:val="20"/>
              </w:rPr>
              <w:t>(1)</w:t>
            </w:r>
            <w:r>
              <w:rPr>
                <w:rFonts w:ascii="Arial"/>
                <w:sz w:val="20"/>
              </w:rPr>
            </w:r>
          </w:p>
        </w:tc>
        <w:tc>
          <w:tcPr>
            <w:tcW w:w="476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62" w:right="0"/>
              <w:jc w:val="left"/>
              <w:rPr>
                <w:rFonts w:ascii="宋体" w:hAnsi="宋体" w:cs="宋体" w:eastAsia="宋体" w:hint="default"/>
                <w:sz w:val="20"/>
                <w:szCs w:val="20"/>
              </w:rPr>
            </w:pPr>
            <w:r>
              <w:rPr>
                <w:rFonts w:ascii="宋体" w:hAnsi="宋体" w:cs="宋体" w:eastAsia="宋体" w:hint="default"/>
                <w:sz w:val="20"/>
                <w:szCs w:val="20"/>
              </w:rPr>
              <w:t>联通时科</w:t>
            </w:r>
          </w:p>
        </w:tc>
        <w:tc>
          <w:tcPr>
            <w:tcW w:w="3691" w:type="dxa"/>
            <w:tcBorders>
              <w:top w:val="single" w:sz="6"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
              <w:jc w:val="right"/>
              <w:rPr>
                <w:rFonts w:ascii="宋体" w:hAnsi="宋体" w:cs="宋体" w:eastAsia="宋体" w:hint="default"/>
                <w:sz w:val="20"/>
                <w:szCs w:val="20"/>
              </w:rPr>
            </w:pPr>
            <w:r>
              <w:rPr>
                <w:rFonts w:ascii="宋体" w:hAnsi="宋体" w:cs="宋体" w:eastAsia="宋体" w:hint="default"/>
                <w:spacing w:val="-2"/>
                <w:sz w:val="20"/>
                <w:szCs w:val="20"/>
              </w:rPr>
              <w:t>与本公司同受联通集团控制</w:t>
            </w:r>
          </w:p>
        </w:tc>
      </w:tr>
      <w:tr>
        <w:trPr>
          <w:trHeight w:val="259" w:hRule="exact"/>
        </w:trPr>
        <w:tc>
          <w:tcPr>
            <w:tcW w:w="61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4"/>
              <w:jc w:val="right"/>
              <w:rPr>
                <w:rFonts w:ascii="Arial" w:hAnsi="Arial" w:cs="Arial" w:eastAsia="Arial" w:hint="default"/>
                <w:sz w:val="20"/>
                <w:szCs w:val="20"/>
              </w:rPr>
            </w:pPr>
            <w:r>
              <w:rPr>
                <w:rFonts w:ascii="Arial"/>
                <w:spacing w:val="-2"/>
                <w:sz w:val="20"/>
              </w:rPr>
              <w:t>(2)</w:t>
            </w:r>
            <w:r>
              <w:rPr>
                <w:rFonts w:ascii="Arial"/>
                <w:sz w:val="20"/>
              </w:rPr>
            </w:r>
          </w:p>
        </w:tc>
        <w:tc>
          <w:tcPr>
            <w:tcW w:w="4766" w:type="dxa"/>
            <w:tcBorders>
              <w:top w:val="nil" w:sz="6" w:space="0" w:color="auto"/>
              <w:left w:val="nil" w:sz="6" w:space="0" w:color="auto"/>
              <w:bottom w:val="nil" w:sz="6" w:space="0" w:color="auto"/>
              <w:right w:val="nil" w:sz="6" w:space="0" w:color="auto"/>
            </w:tcBorders>
          </w:tcPr>
          <w:p>
            <w:pPr>
              <w:pStyle w:val="TableParagraph"/>
              <w:spacing w:line="232" w:lineRule="exact"/>
              <w:ind w:left="62" w:right="0"/>
              <w:jc w:val="left"/>
              <w:rPr>
                <w:rFonts w:ascii="宋体" w:hAnsi="宋体" w:cs="宋体" w:eastAsia="宋体" w:hint="default"/>
                <w:sz w:val="20"/>
                <w:szCs w:val="20"/>
              </w:rPr>
            </w:pPr>
            <w:r>
              <w:rPr>
                <w:rFonts w:ascii="宋体" w:hAnsi="宋体" w:cs="宋体" w:eastAsia="宋体" w:hint="default"/>
                <w:sz w:val="20"/>
                <w:szCs w:val="20"/>
              </w:rPr>
              <w:t>联通集团</w:t>
            </w:r>
            <w:r>
              <w:rPr>
                <w:rFonts w:ascii="宋体" w:hAnsi="宋体" w:cs="宋体" w:eastAsia="宋体" w:hint="default"/>
                <w:spacing w:val="-46"/>
                <w:sz w:val="20"/>
                <w:szCs w:val="20"/>
              </w:rPr>
              <w:t> </w:t>
            </w:r>
            <w:r>
              <w:rPr>
                <w:rFonts w:ascii="Arial" w:hAnsi="Arial" w:cs="Arial" w:eastAsia="Arial" w:hint="default"/>
                <w:sz w:val="20"/>
                <w:szCs w:val="20"/>
              </w:rPr>
              <w:t>BVI</w:t>
            </w:r>
            <w:r>
              <w:rPr>
                <w:rFonts w:ascii="Arial" w:hAnsi="Arial" w:cs="Arial" w:eastAsia="Arial" w:hint="default"/>
                <w:spacing w:val="-6"/>
                <w:sz w:val="20"/>
                <w:szCs w:val="20"/>
              </w:rPr>
              <w:t> </w:t>
            </w:r>
            <w:r>
              <w:rPr>
                <w:rFonts w:ascii="宋体" w:hAnsi="宋体" w:cs="宋体" w:eastAsia="宋体" w:hint="default"/>
                <w:sz w:val="20"/>
                <w:szCs w:val="20"/>
              </w:rPr>
              <w:t>公司</w:t>
            </w:r>
          </w:p>
        </w:tc>
        <w:tc>
          <w:tcPr>
            <w:tcW w:w="3691" w:type="dxa"/>
            <w:tcBorders>
              <w:top w:val="nil" w:sz="6" w:space="0" w:color="auto"/>
              <w:left w:val="nil" w:sz="6" w:space="0" w:color="auto"/>
              <w:bottom w:val="nil" w:sz="6" w:space="0" w:color="auto"/>
              <w:right w:val="nil" w:sz="6" w:space="0" w:color="auto"/>
            </w:tcBorders>
          </w:tcPr>
          <w:p>
            <w:pPr>
              <w:pStyle w:val="TableParagraph"/>
              <w:spacing w:line="218" w:lineRule="exact"/>
              <w:ind w:right="2"/>
              <w:jc w:val="right"/>
              <w:rPr>
                <w:rFonts w:ascii="宋体" w:hAnsi="宋体" w:cs="宋体" w:eastAsia="宋体" w:hint="default"/>
                <w:sz w:val="20"/>
                <w:szCs w:val="20"/>
              </w:rPr>
            </w:pPr>
            <w:r>
              <w:rPr>
                <w:rFonts w:ascii="宋体" w:hAnsi="宋体" w:cs="宋体" w:eastAsia="宋体" w:hint="default"/>
                <w:spacing w:val="-2"/>
                <w:sz w:val="20"/>
                <w:szCs w:val="20"/>
              </w:rPr>
              <w:t>与本公司同受联通集团控制</w:t>
            </w:r>
          </w:p>
        </w:tc>
      </w:tr>
      <w:tr>
        <w:trPr>
          <w:trHeight w:val="264" w:hRule="exact"/>
        </w:trPr>
        <w:tc>
          <w:tcPr>
            <w:tcW w:w="61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14"/>
              <w:jc w:val="right"/>
              <w:rPr>
                <w:rFonts w:ascii="Arial" w:hAnsi="Arial" w:cs="Arial" w:eastAsia="Arial" w:hint="default"/>
                <w:sz w:val="20"/>
                <w:szCs w:val="20"/>
              </w:rPr>
            </w:pPr>
            <w:r>
              <w:rPr>
                <w:rFonts w:ascii="Arial"/>
                <w:spacing w:val="-2"/>
                <w:sz w:val="20"/>
              </w:rPr>
              <w:t>(3)</w:t>
            </w:r>
            <w:r>
              <w:rPr>
                <w:rFonts w:ascii="Arial"/>
                <w:sz w:val="20"/>
              </w:rPr>
            </w:r>
          </w:p>
        </w:tc>
        <w:tc>
          <w:tcPr>
            <w:tcW w:w="4766" w:type="dxa"/>
            <w:tcBorders>
              <w:top w:val="nil" w:sz="6" w:space="0" w:color="auto"/>
              <w:left w:val="nil" w:sz="6" w:space="0" w:color="auto"/>
              <w:bottom w:val="nil" w:sz="6" w:space="0" w:color="auto"/>
              <w:right w:val="nil" w:sz="6" w:space="0" w:color="auto"/>
            </w:tcBorders>
          </w:tcPr>
          <w:p>
            <w:pPr>
              <w:pStyle w:val="TableParagraph"/>
              <w:spacing w:line="223" w:lineRule="exact"/>
              <w:ind w:left="62" w:right="0"/>
              <w:jc w:val="left"/>
              <w:rPr>
                <w:rFonts w:ascii="宋体" w:hAnsi="宋体" w:cs="宋体" w:eastAsia="宋体" w:hint="default"/>
                <w:sz w:val="20"/>
                <w:szCs w:val="20"/>
              </w:rPr>
            </w:pPr>
            <w:r>
              <w:rPr>
                <w:rFonts w:ascii="宋体" w:hAnsi="宋体" w:cs="宋体" w:eastAsia="宋体" w:hint="default"/>
                <w:sz w:val="20"/>
                <w:szCs w:val="20"/>
              </w:rPr>
              <w:t>中国联通集团北京市通信有限公司及其子公司</w:t>
            </w:r>
          </w:p>
        </w:tc>
        <w:tc>
          <w:tcPr>
            <w:tcW w:w="3691" w:type="dxa"/>
            <w:tcBorders>
              <w:top w:val="nil" w:sz="6" w:space="0" w:color="auto"/>
              <w:left w:val="nil" w:sz="6" w:space="0" w:color="auto"/>
              <w:bottom w:val="nil" w:sz="6" w:space="0" w:color="auto"/>
              <w:right w:val="nil" w:sz="6" w:space="0" w:color="auto"/>
            </w:tcBorders>
          </w:tcPr>
          <w:p>
            <w:pPr>
              <w:pStyle w:val="TableParagraph"/>
              <w:spacing w:line="218" w:lineRule="exact"/>
              <w:ind w:right="2"/>
              <w:jc w:val="right"/>
              <w:rPr>
                <w:rFonts w:ascii="宋体" w:hAnsi="宋体" w:cs="宋体" w:eastAsia="宋体" w:hint="default"/>
                <w:sz w:val="20"/>
                <w:szCs w:val="20"/>
              </w:rPr>
            </w:pPr>
            <w:r>
              <w:rPr>
                <w:rFonts w:ascii="宋体" w:hAnsi="宋体" w:cs="宋体" w:eastAsia="宋体" w:hint="default"/>
                <w:spacing w:val="-2"/>
                <w:sz w:val="20"/>
                <w:szCs w:val="20"/>
              </w:rPr>
              <w:t>与本公司同受联通集团控制</w:t>
            </w:r>
          </w:p>
        </w:tc>
      </w:tr>
      <w:tr>
        <w:trPr>
          <w:trHeight w:val="259" w:hRule="exact"/>
        </w:trPr>
        <w:tc>
          <w:tcPr>
            <w:tcW w:w="61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4"/>
              <w:jc w:val="right"/>
              <w:rPr>
                <w:rFonts w:ascii="Arial" w:hAnsi="Arial" w:cs="Arial" w:eastAsia="Arial" w:hint="default"/>
                <w:sz w:val="20"/>
                <w:szCs w:val="20"/>
              </w:rPr>
            </w:pPr>
            <w:r>
              <w:rPr>
                <w:rFonts w:ascii="Arial"/>
                <w:spacing w:val="-2"/>
                <w:sz w:val="20"/>
              </w:rPr>
              <w:t>(4)</w:t>
            </w:r>
            <w:r>
              <w:rPr>
                <w:rFonts w:ascii="Arial"/>
                <w:sz w:val="20"/>
              </w:rPr>
            </w:r>
          </w:p>
        </w:tc>
        <w:tc>
          <w:tcPr>
            <w:tcW w:w="4766" w:type="dxa"/>
            <w:tcBorders>
              <w:top w:val="nil" w:sz="6" w:space="0" w:color="auto"/>
              <w:left w:val="nil" w:sz="6" w:space="0" w:color="auto"/>
              <w:bottom w:val="nil" w:sz="6" w:space="0" w:color="auto"/>
              <w:right w:val="nil" w:sz="6" w:space="0" w:color="auto"/>
            </w:tcBorders>
          </w:tcPr>
          <w:p>
            <w:pPr>
              <w:pStyle w:val="TableParagraph"/>
              <w:spacing w:line="218" w:lineRule="exact"/>
              <w:ind w:left="62" w:right="0"/>
              <w:jc w:val="left"/>
              <w:rPr>
                <w:rFonts w:ascii="宋体" w:hAnsi="宋体" w:cs="宋体" w:eastAsia="宋体" w:hint="default"/>
                <w:sz w:val="20"/>
                <w:szCs w:val="20"/>
              </w:rPr>
            </w:pPr>
            <w:r>
              <w:rPr>
                <w:rFonts w:ascii="宋体" w:hAnsi="宋体" w:cs="宋体" w:eastAsia="宋体" w:hint="default"/>
                <w:sz w:val="20"/>
                <w:szCs w:val="20"/>
              </w:rPr>
              <w:t>天津市联通通信有限公司及其子公司</w:t>
            </w:r>
          </w:p>
        </w:tc>
        <w:tc>
          <w:tcPr>
            <w:tcW w:w="3691" w:type="dxa"/>
            <w:tcBorders>
              <w:top w:val="nil" w:sz="6" w:space="0" w:color="auto"/>
              <w:left w:val="nil" w:sz="6" w:space="0" w:color="auto"/>
              <w:bottom w:val="nil" w:sz="6" w:space="0" w:color="auto"/>
              <w:right w:val="nil" w:sz="6" w:space="0" w:color="auto"/>
            </w:tcBorders>
          </w:tcPr>
          <w:p>
            <w:pPr>
              <w:pStyle w:val="TableParagraph"/>
              <w:spacing w:line="218" w:lineRule="exact"/>
              <w:ind w:right="2"/>
              <w:jc w:val="right"/>
              <w:rPr>
                <w:rFonts w:ascii="宋体" w:hAnsi="宋体" w:cs="宋体" w:eastAsia="宋体" w:hint="default"/>
                <w:sz w:val="20"/>
                <w:szCs w:val="20"/>
              </w:rPr>
            </w:pPr>
            <w:r>
              <w:rPr>
                <w:rFonts w:ascii="宋体" w:hAnsi="宋体" w:cs="宋体" w:eastAsia="宋体" w:hint="default"/>
                <w:spacing w:val="-2"/>
                <w:sz w:val="20"/>
                <w:szCs w:val="20"/>
              </w:rPr>
              <w:t>与本公司同受联通集团控制</w:t>
            </w:r>
          </w:p>
        </w:tc>
      </w:tr>
      <w:tr>
        <w:trPr>
          <w:trHeight w:val="259" w:hRule="exact"/>
        </w:trPr>
        <w:tc>
          <w:tcPr>
            <w:tcW w:w="61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4"/>
              <w:jc w:val="right"/>
              <w:rPr>
                <w:rFonts w:ascii="Arial" w:hAnsi="Arial" w:cs="Arial" w:eastAsia="Arial" w:hint="default"/>
                <w:sz w:val="20"/>
                <w:szCs w:val="20"/>
              </w:rPr>
            </w:pPr>
            <w:r>
              <w:rPr>
                <w:rFonts w:ascii="Arial"/>
                <w:spacing w:val="-2"/>
                <w:sz w:val="20"/>
              </w:rPr>
              <w:t>(5)</w:t>
            </w:r>
            <w:r>
              <w:rPr>
                <w:rFonts w:ascii="Arial"/>
                <w:sz w:val="20"/>
              </w:rPr>
            </w:r>
          </w:p>
        </w:tc>
        <w:tc>
          <w:tcPr>
            <w:tcW w:w="4766" w:type="dxa"/>
            <w:tcBorders>
              <w:top w:val="nil" w:sz="6" w:space="0" w:color="auto"/>
              <w:left w:val="nil" w:sz="6" w:space="0" w:color="auto"/>
              <w:bottom w:val="nil" w:sz="6" w:space="0" w:color="auto"/>
              <w:right w:val="nil" w:sz="6" w:space="0" w:color="auto"/>
            </w:tcBorders>
          </w:tcPr>
          <w:p>
            <w:pPr>
              <w:pStyle w:val="TableParagraph"/>
              <w:spacing w:line="218" w:lineRule="exact"/>
              <w:ind w:left="62" w:right="0"/>
              <w:jc w:val="left"/>
              <w:rPr>
                <w:rFonts w:ascii="宋体" w:hAnsi="宋体" w:cs="宋体" w:eastAsia="宋体" w:hint="default"/>
                <w:sz w:val="20"/>
                <w:szCs w:val="20"/>
              </w:rPr>
            </w:pPr>
            <w:r>
              <w:rPr>
                <w:rFonts w:ascii="宋体" w:hAnsi="宋体" w:cs="宋体" w:eastAsia="宋体" w:hint="default"/>
                <w:sz w:val="20"/>
                <w:szCs w:val="20"/>
              </w:rPr>
              <w:t>中国联通集团河北省通信有限公司及其子公司</w:t>
            </w:r>
          </w:p>
        </w:tc>
        <w:tc>
          <w:tcPr>
            <w:tcW w:w="3691" w:type="dxa"/>
            <w:tcBorders>
              <w:top w:val="nil" w:sz="6" w:space="0" w:color="auto"/>
              <w:left w:val="nil" w:sz="6" w:space="0" w:color="auto"/>
              <w:bottom w:val="nil" w:sz="6" w:space="0" w:color="auto"/>
              <w:right w:val="nil" w:sz="6" w:space="0" w:color="auto"/>
            </w:tcBorders>
          </w:tcPr>
          <w:p>
            <w:pPr>
              <w:pStyle w:val="TableParagraph"/>
              <w:spacing w:line="218" w:lineRule="exact"/>
              <w:ind w:right="2"/>
              <w:jc w:val="right"/>
              <w:rPr>
                <w:rFonts w:ascii="宋体" w:hAnsi="宋体" w:cs="宋体" w:eastAsia="宋体" w:hint="default"/>
                <w:sz w:val="20"/>
                <w:szCs w:val="20"/>
              </w:rPr>
            </w:pPr>
            <w:r>
              <w:rPr>
                <w:rFonts w:ascii="宋体" w:hAnsi="宋体" w:cs="宋体" w:eastAsia="宋体" w:hint="default"/>
                <w:spacing w:val="-2"/>
                <w:sz w:val="20"/>
                <w:szCs w:val="20"/>
              </w:rPr>
              <w:t>与本公司同受联通集团控制</w:t>
            </w:r>
          </w:p>
        </w:tc>
      </w:tr>
      <w:tr>
        <w:trPr>
          <w:trHeight w:val="259" w:hRule="exact"/>
        </w:trPr>
        <w:tc>
          <w:tcPr>
            <w:tcW w:w="61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4"/>
              <w:jc w:val="right"/>
              <w:rPr>
                <w:rFonts w:ascii="Arial" w:hAnsi="Arial" w:cs="Arial" w:eastAsia="Arial" w:hint="default"/>
                <w:sz w:val="20"/>
                <w:szCs w:val="20"/>
              </w:rPr>
            </w:pPr>
            <w:r>
              <w:rPr>
                <w:rFonts w:ascii="Arial"/>
                <w:spacing w:val="-2"/>
                <w:sz w:val="20"/>
              </w:rPr>
              <w:t>(6)</w:t>
            </w:r>
            <w:r>
              <w:rPr>
                <w:rFonts w:ascii="Arial"/>
                <w:sz w:val="20"/>
              </w:rPr>
            </w:r>
          </w:p>
        </w:tc>
        <w:tc>
          <w:tcPr>
            <w:tcW w:w="4766" w:type="dxa"/>
            <w:tcBorders>
              <w:top w:val="nil" w:sz="6" w:space="0" w:color="auto"/>
              <w:left w:val="nil" w:sz="6" w:space="0" w:color="auto"/>
              <w:bottom w:val="nil" w:sz="6" w:space="0" w:color="auto"/>
              <w:right w:val="nil" w:sz="6" w:space="0" w:color="auto"/>
            </w:tcBorders>
          </w:tcPr>
          <w:p>
            <w:pPr>
              <w:pStyle w:val="TableParagraph"/>
              <w:spacing w:line="218" w:lineRule="exact"/>
              <w:ind w:left="62" w:right="0"/>
              <w:jc w:val="left"/>
              <w:rPr>
                <w:rFonts w:ascii="宋体" w:hAnsi="宋体" w:cs="宋体" w:eastAsia="宋体" w:hint="default"/>
                <w:sz w:val="20"/>
                <w:szCs w:val="20"/>
              </w:rPr>
            </w:pPr>
            <w:r>
              <w:rPr>
                <w:rFonts w:ascii="宋体" w:hAnsi="宋体" w:cs="宋体" w:eastAsia="宋体" w:hint="default"/>
                <w:sz w:val="20"/>
                <w:szCs w:val="20"/>
              </w:rPr>
              <w:t>河南省联通通信有限公司</w:t>
            </w:r>
          </w:p>
        </w:tc>
        <w:tc>
          <w:tcPr>
            <w:tcW w:w="3691" w:type="dxa"/>
            <w:tcBorders>
              <w:top w:val="nil" w:sz="6" w:space="0" w:color="auto"/>
              <w:left w:val="nil" w:sz="6" w:space="0" w:color="auto"/>
              <w:bottom w:val="nil" w:sz="6" w:space="0" w:color="auto"/>
              <w:right w:val="nil" w:sz="6" w:space="0" w:color="auto"/>
            </w:tcBorders>
          </w:tcPr>
          <w:p>
            <w:pPr>
              <w:pStyle w:val="TableParagraph"/>
              <w:spacing w:line="218" w:lineRule="exact"/>
              <w:ind w:right="2"/>
              <w:jc w:val="right"/>
              <w:rPr>
                <w:rFonts w:ascii="宋体" w:hAnsi="宋体" w:cs="宋体" w:eastAsia="宋体" w:hint="default"/>
                <w:sz w:val="20"/>
                <w:szCs w:val="20"/>
              </w:rPr>
            </w:pPr>
            <w:r>
              <w:rPr>
                <w:rFonts w:ascii="宋体" w:hAnsi="宋体" w:cs="宋体" w:eastAsia="宋体" w:hint="default"/>
                <w:spacing w:val="-2"/>
                <w:sz w:val="20"/>
                <w:szCs w:val="20"/>
              </w:rPr>
              <w:t>与本公司同受联通集团控制</w:t>
            </w:r>
          </w:p>
        </w:tc>
      </w:tr>
      <w:tr>
        <w:trPr>
          <w:trHeight w:val="259" w:hRule="exact"/>
        </w:trPr>
        <w:tc>
          <w:tcPr>
            <w:tcW w:w="61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4"/>
              <w:jc w:val="right"/>
              <w:rPr>
                <w:rFonts w:ascii="Arial" w:hAnsi="Arial" w:cs="Arial" w:eastAsia="Arial" w:hint="default"/>
                <w:sz w:val="20"/>
                <w:szCs w:val="20"/>
              </w:rPr>
            </w:pPr>
            <w:r>
              <w:rPr>
                <w:rFonts w:ascii="Arial"/>
                <w:spacing w:val="-2"/>
                <w:sz w:val="20"/>
              </w:rPr>
              <w:t>(7)</w:t>
            </w:r>
            <w:r>
              <w:rPr>
                <w:rFonts w:ascii="Arial"/>
                <w:sz w:val="20"/>
              </w:rPr>
            </w:r>
          </w:p>
        </w:tc>
        <w:tc>
          <w:tcPr>
            <w:tcW w:w="4766" w:type="dxa"/>
            <w:tcBorders>
              <w:top w:val="nil" w:sz="6" w:space="0" w:color="auto"/>
              <w:left w:val="nil" w:sz="6" w:space="0" w:color="auto"/>
              <w:bottom w:val="nil" w:sz="6" w:space="0" w:color="auto"/>
              <w:right w:val="nil" w:sz="6" w:space="0" w:color="auto"/>
            </w:tcBorders>
          </w:tcPr>
          <w:p>
            <w:pPr>
              <w:pStyle w:val="TableParagraph"/>
              <w:spacing w:line="218" w:lineRule="exact"/>
              <w:ind w:left="62" w:right="0"/>
              <w:jc w:val="left"/>
              <w:rPr>
                <w:rFonts w:ascii="宋体" w:hAnsi="宋体" w:cs="宋体" w:eastAsia="宋体" w:hint="default"/>
                <w:sz w:val="20"/>
                <w:szCs w:val="20"/>
              </w:rPr>
            </w:pPr>
            <w:r>
              <w:rPr>
                <w:rFonts w:ascii="宋体" w:hAnsi="宋体" w:cs="宋体" w:eastAsia="宋体" w:hint="default"/>
                <w:sz w:val="20"/>
                <w:szCs w:val="20"/>
              </w:rPr>
              <w:t>山东省联通通信有限公司及其子公司</w:t>
            </w:r>
          </w:p>
        </w:tc>
        <w:tc>
          <w:tcPr>
            <w:tcW w:w="3691" w:type="dxa"/>
            <w:tcBorders>
              <w:top w:val="nil" w:sz="6" w:space="0" w:color="auto"/>
              <w:left w:val="nil" w:sz="6" w:space="0" w:color="auto"/>
              <w:bottom w:val="nil" w:sz="6" w:space="0" w:color="auto"/>
              <w:right w:val="nil" w:sz="6" w:space="0" w:color="auto"/>
            </w:tcBorders>
          </w:tcPr>
          <w:p>
            <w:pPr>
              <w:pStyle w:val="TableParagraph"/>
              <w:spacing w:line="218" w:lineRule="exact"/>
              <w:ind w:right="2"/>
              <w:jc w:val="right"/>
              <w:rPr>
                <w:rFonts w:ascii="宋体" w:hAnsi="宋体" w:cs="宋体" w:eastAsia="宋体" w:hint="default"/>
                <w:sz w:val="20"/>
                <w:szCs w:val="20"/>
              </w:rPr>
            </w:pPr>
            <w:r>
              <w:rPr>
                <w:rFonts w:ascii="宋体" w:hAnsi="宋体" w:cs="宋体" w:eastAsia="宋体" w:hint="default"/>
                <w:spacing w:val="-2"/>
                <w:sz w:val="20"/>
                <w:szCs w:val="20"/>
              </w:rPr>
              <w:t>与本公司同受联通集团控制</w:t>
            </w:r>
          </w:p>
        </w:tc>
      </w:tr>
      <w:tr>
        <w:trPr>
          <w:trHeight w:val="259" w:hRule="exact"/>
        </w:trPr>
        <w:tc>
          <w:tcPr>
            <w:tcW w:w="61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4"/>
              <w:jc w:val="right"/>
              <w:rPr>
                <w:rFonts w:ascii="Arial" w:hAnsi="Arial" w:cs="Arial" w:eastAsia="Arial" w:hint="default"/>
                <w:sz w:val="20"/>
                <w:szCs w:val="20"/>
              </w:rPr>
            </w:pPr>
            <w:r>
              <w:rPr>
                <w:rFonts w:ascii="Arial"/>
                <w:spacing w:val="-2"/>
                <w:sz w:val="20"/>
              </w:rPr>
              <w:t>(8)</w:t>
            </w:r>
            <w:r>
              <w:rPr>
                <w:rFonts w:ascii="Arial"/>
                <w:sz w:val="20"/>
              </w:rPr>
            </w:r>
          </w:p>
        </w:tc>
        <w:tc>
          <w:tcPr>
            <w:tcW w:w="4766" w:type="dxa"/>
            <w:tcBorders>
              <w:top w:val="nil" w:sz="6" w:space="0" w:color="auto"/>
              <w:left w:val="nil" w:sz="6" w:space="0" w:color="auto"/>
              <w:bottom w:val="nil" w:sz="6" w:space="0" w:color="auto"/>
              <w:right w:val="nil" w:sz="6" w:space="0" w:color="auto"/>
            </w:tcBorders>
          </w:tcPr>
          <w:p>
            <w:pPr>
              <w:pStyle w:val="TableParagraph"/>
              <w:spacing w:line="218" w:lineRule="exact"/>
              <w:ind w:left="62" w:right="0"/>
              <w:jc w:val="left"/>
              <w:rPr>
                <w:rFonts w:ascii="宋体" w:hAnsi="宋体" w:cs="宋体" w:eastAsia="宋体" w:hint="default"/>
                <w:sz w:val="20"/>
                <w:szCs w:val="20"/>
              </w:rPr>
            </w:pPr>
            <w:r>
              <w:rPr>
                <w:rFonts w:ascii="宋体" w:hAnsi="宋体" w:cs="宋体" w:eastAsia="宋体" w:hint="default"/>
                <w:sz w:val="20"/>
                <w:szCs w:val="20"/>
              </w:rPr>
              <w:t>中国联通集团辽宁省通信有限公司及其子公司</w:t>
            </w:r>
          </w:p>
        </w:tc>
        <w:tc>
          <w:tcPr>
            <w:tcW w:w="3691" w:type="dxa"/>
            <w:tcBorders>
              <w:top w:val="nil" w:sz="6" w:space="0" w:color="auto"/>
              <w:left w:val="nil" w:sz="6" w:space="0" w:color="auto"/>
              <w:bottom w:val="nil" w:sz="6" w:space="0" w:color="auto"/>
              <w:right w:val="nil" w:sz="6" w:space="0" w:color="auto"/>
            </w:tcBorders>
          </w:tcPr>
          <w:p>
            <w:pPr>
              <w:pStyle w:val="TableParagraph"/>
              <w:spacing w:line="218" w:lineRule="exact"/>
              <w:ind w:right="2"/>
              <w:jc w:val="right"/>
              <w:rPr>
                <w:rFonts w:ascii="宋体" w:hAnsi="宋体" w:cs="宋体" w:eastAsia="宋体" w:hint="default"/>
                <w:sz w:val="20"/>
                <w:szCs w:val="20"/>
              </w:rPr>
            </w:pPr>
            <w:r>
              <w:rPr>
                <w:rFonts w:ascii="宋体" w:hAnsi="宋体" w:cs="宋体" w:eastAsia="宋体" w:hint="default"/>
                <w:spacing w:val="-2"/>
                <w:sz w:val="20"/>
                <w:szCs w:val="20"/>
              </w:rPr>
              <w:t>与本公司同受联通集团控制</w:t>
            </w:r>
          </w:p>
        </w:tc>
      </w:tr>
      <w:tr>
        <w:trPr>
          <w:trHeight w:val="259" w:hRule="exact"/>
        </w:trPr>
        <w:tc>
          <w:tcPr>
            <w:tcW w:w="61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4"/>
              <w:jc w:val="right"/>
              <w:rPr>
                <w:rFonts w:ascii="Arial" w:hAnsi="Arial" w:cs="Arial" w:eastAsia="Arial" w:hint="default"/>
                <w:sz w:val="20"/>
                <w:szCs w:val="20"/>
              </w:rPr>
            </w:pPr>
            <w:r>
              <w:rPr>
                <w:rFonts w:ascii="Arial"/>
                <w:spacing w:val="-2"/>
                <w:sz w:val="20"/>
              </w:rPr>
              <w:t>(9)</w:t>
            </w:r>
            <w:r>
              <w:rPr>
                <w:rFonts w:ascii="Arial"/>
                <w:sz w:val="20"/>
              </w:rPr>
            </w:r>
          </w:p>
        </w:tc>
        <w:tc>
          <w:tcPr>
            <w:tcW w:w="4766" w:type="dxa"/>
            <w:tcBorders>
              <w:top w:val="nil" w:sz="6" w:space="0" w:color="auto"/>
              <w:left w:val="nil" w:sz="6" w:space="0" w:color="auto"/>
              <w:bottom w:val="nil" w:sz="6" w:space="0" w:color="auto"/>
              <w:right w:val="nil" w:sz="6" w:space="0" w:color="auto"/>
            </w:tcBorders>
          </w:tcPr>
          <w:p>
            <w:pPr>
              <w:pStyle w:val="TableParagraph"/>
              <w:spacing w:line="218" w:lineRule="exact"/>
              <w:ind w:left="62" w:right="0"/>
              <w:jc w:val="left"/>
              <w:rPr>
                <w:rFonts w:ascii="宋体" w:hAnsi="宋体" w:cs="宋体" w:eastAsia="宋体" w:hint="default"/>
                <w:sz w:val="20"/>
                <w:szCs w:val="20"/>
              </w:rPr>
            </w:pPr>
            <w:r>
              <w:rPr>
                <w:rFonts w:ascii="宋体" w:hAnsi="宋体" w:cs="宋体" w:eastAsia="宋体" w:hint="default"/>
                <w:sz w:val="20"/>
                <w:szCs w:val="20"/>
              </w:rPr>
              <w:t>山西省联通通信有限公司及其子公司</w:t>
            </w:r>
          </w:p>
        </w:tc>
        <w:tc>
          <w:tcPr>
            <w:tcW w:w="3691" w:type="dxa"/>
            <w:tcBorders>
              <w:top w:val="nil" w:sz="6" w:space="0" w:color="auto"/>
              <w:left w:val="nil" w:sz="6" w:space="0" w:color="auto"/>
              <w:bottom w:val="nil" w:sz="6" w:space="0" w:color="auto"/>
              <w:right w:val="nil" w:sz="6" w:space="0" w:color="auto"/>
            </w:tcBorders>
          </w:tcPr>
          <w:p>
            <w:pPr>
              <w:pStyle w:val="TableParagraph"/>
              <w:spacing w:line="218" w:lineRule="exact"/>
              <w:ind w:right="2"/>
              <w:jc w:val="right"/>
              <w:rPr>
                <w:rFonts w:ascii="宋体" w:hAnsi="宋体" w:cs="宋体" w:eastAsia="宋体" w:hint="default"/>
                <w:sz w:val="20"/>
                <w:szCs w:val="20"/>
              </w:rPr>
            </w:pPr>
            <w:r>
              <w:rPr>
                <w:rFonts w:ascii="宋体" w:hAnsi="宋体" w:cs="宋体" w:eastAsia="宋体" w:hint="default"/>
                <w:spacing w:val="-2"/>
                <w:sz w:val="20"/>
                <w:szCs w:val="20"/>
              </w:rPr>
              <w:t>与本公司同受联通集团控制</w:t>
            </w:r>
          </w:p>
        </w:tc>
      </w:tr>
      <w:tr>
        <w:trPr>
          <w:trHeight w:val="259" w:hRule="exact"/>
        </w:trPr>
        <w:tc>
          <w:tcPr>
            <w:tcW w:w="61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1"/>
              <w:jc w:val="right"/>
              <w:rPr>
                <w:rFonts w:ascii="Arial" w:hAnsi="Arial" w:cs="Arial" w:eastAsia="Arial" w:hint="default"/>
                <w:sz w:val="20"/>
                <w:szCs w:val="20"/>
              </w:rPr>
            </w:pPr>
            <w:r>
              <w:rPr>
                <w:rFonts w:ascii="Arial"/>
                <w:spacing w:val="-2"/>
                <w:sz w:val="20"/>
              </w:rPr>
              <w:t>(10)</w:t>
            </w:r>
            <w:r>
              <w:rPr>
                <w:rFonts w:ascii="Arial"/>
                <w:sz w:val="20"/>
              </w:rPr>
            </w:r>
          </w:p>
        </w:tc>
        <w:tc>
          <w:tcPr>
            <w:tcW w:w="4766" w:type="dxa"/>
            <w:tcBorders>
              <w:top w:val="nil" w:sz="6" w:space="0" w:color="auto"/>
              <w:left w:val="nil" w:sz="6" w:space="0" w:color="auto"/>
              <w:bottom w:val="nil" w:sz="6" w:space="0" w:color="auto"/>
              <w:right w:val="nil" w:sz="6" w:space="0" w:color="auto"/>
            </w:tcBorders>
          </w:tcPr>
          <w:p>
            <w:pPr>
              <w:pStyle w:val="TableParagraph"/>
              <w:spacing w:line="218" w:lineRule="exact"/>
              <w:ind w:left="62" w:right="0"/>
              <w:jc w:val="left"/>
              <w:rPr>
                <w:rFonts w:ascii="宋体" w:hAnsi="宋体" w:cs="宋体" w:eastAsia="宋体" w:hint="default"/>
                <w:sz w:val="20"/>
                <w:szCs w:val="20"/>
              </w:rPr>
            </w:pPr>
            <w:r>
              <w:rPr>
                <w:rFonts w:ascii="宋体" w:hAnsi="宋体" w:cs="宋体" w:eastAsia="宋体" w:hint="default"/>
                <w:sz w:val="20"/>
                <w:szCs w:val="20"/>
              </w:rPr>
              <w:t>吉林省联通通信有限公司及其子公司</w:t>
            </w:r>
          </w:p>
        </w:tc>
        <w:tc>
          <w:tcPr>
            <w:tcW w:w="3691" w:type="dxa"/>
            <w:tcBorders>
              <w:top w:val="nil" w:sz="6" w:space="0" w:color="auto"/>
              <w:left w:val="nil" w:sz="6" w:space="0" w:color="auto"/>
              <w:bottom w:val="nil" w:sz="6" w:space="0" w:color="auto"/>
              <w:right w:val="nil" w:sz="6" w:space="0" w:color="auto"/>
            </w:tcBorders>
          </w:tcPr>
          <w:p>
            <w:pPr>
              <w:pStyle w:val="TableParagraph"/>
              <w:spacing w:line="218" w:lineRule="exact"/>
              <w:ind w:right="2"/>
              <w:jc w:val="right"/>
              <w:rPr>
                <w:rFonts w:ascii="宋体" w:hAnsi="宋体" w:cs="宋体" w:eastAsia="宋体" w:hint="default"/>
                <w:sz w:val="20"/>
                <w:szCs w:val="20"/>
              </w:rPr>
            </w:pPr>
            <w:r>
              <w:rPr>
                <w:rFonts w:ascii="宋体" w:hAnsi="宋体" w:cs="宋体" w:eastAsia="宋体" w:hint="default"/>
                <w:spacing w:val="-2"/>
                <w:sz w:val="20"/>
                <w:szCs w:val="20"/>
              </w:rPr>
              <w:t>与本公司同受联通集团控制</w:t>
            </w:r>
          </w:p>
        </w:tc>
      </w:tr>
      <w:tr>
        <w:trPr>
          <w:trHeight w:val="259" w:hRule="exact"/>
        </w:trPr>
        <w:tc>
          <w:tcPr>
            <w:tcW w:w="61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1"/>
              <w:jc w:val="right"/>
              <w:rPr>
                <w:rFonts w:ascii="Arial" w:hAnsi="Arial" w:cs="Arial" w:eastAsia="Arial" w:hint="default"/>
                <w:sz w:val="20"/>
                <w:szCs w:val="20"/>
              </w:rPr>
            </w:pPr>
            <w:r>
              <w:rPr>
                <w:rFonts w:ascii="Arial"/>
                <w:spacing w:val="-2"/>
                <w:sz w:val="20"/>
              </w:rPr>
              <w:t>(11)</w:t>
            </w:r>
            <w:r>
              <w:rPr>
                <w:rFonts w:ascii="Arial"/>
                <w:sz w:val="20"/>
              </w:rPr>
            </w:r>
          </w:p>
        </w:tc>
        <w:tc>
          <w:tcPr>
            <w:tcW w:w="4766" w:type="dxa"/>
            <w:tcBorders>
              <w:top w:val="nil" w:sz="6" w:space="0" w:color="auto"/>
              <w:left w:val="nil" w:sz="6" w:space="0" w:color="auto"/>
              <w:bottom w:val="nil" w:sz="6" w:space="0" w:color="auto"/>
              <w:right w:val="nil" w:sz="6" w:space="0" w:color="auto"/>
            </w:tcBorders>
          </w:tcPr>
          <w:p>
            <w:pPr>
              <w:pStyle w:val="TableParagraph"/>
              <w:spacing w:line="218" w:lineRule="exact"/>
              <w:ind w:left="62" w:right="0"/>
              <w:jc w:val="left"/>
              <w:rPr>
                <w:rFonts w:ascii="宋体" w:hAnsi="宋体" w:cs="宋体" w:eastAsia="宋体" w:hint="default"/>
                <w:sz w:val="20"/>
                <w:szCs w:val="20"/>
              </w:rPr>
            </w:pPr>
            <w:r>
              <w:rPr>
                <w:rFonts w:ascii="宋体" w:hAnsi="宋体" w:cs="宋体" w:eastAsia="宋体" w:hint="default"/>
                <w:sz w:val="20"/>
                <w:szCs w:val="20"/>
              </w:rPr>
              <w:t>中国联通集团黑龙江省通信有限公司及其子公司</w:t>
            </w:r>
          </w:p>
        </w:tc>
        <w:tc>
          <w:tcPr>
            <w:tcW w:w="3691" w:type="dxa"/>
            <w:tcBorders>
              <w:top w:val="nil" w:sz="6" w:space="0" w:color="auto"/>
              <w:left w:val="nil" w:sz="6" w:space="0" w:color="auto"/>
              <w:bottom w:val="nil" w:sz="6" w:space="0" w:color="auto"/>
              <w:right w:val="nil" w:sz="6" w:space="0" w:color="auto"/>
            </w:tcBorders>
          </w:tcPr>
          <w:p>
            <w:pPr>
              <w:pStyle w:val="TableParagraph"/>
              <w:spacing w:line="218" w:lineRule="exact"/>
              <w:ind w:right="2"/>
              <w:jc w:val="right"/>
              <w:rPr>
                <w:rFonts w:ascii="宋体" w:hAnsi="宋体" w:cs="宋体" w:eastAsia="宋体" w:hint="default"/>
                <w:sz w:val="20"/>
                <w:szCs w:val="20"/>
              </w:rPr>
            </w:pPr>
            <w:r>
              <w:rPr>
                <w:rFonts w:ascii="宋体" w:hAnsi="宋体" w:cs="宋体" w:eastAsia="宋体" w:hint="default"/>
                <w:spacing w:val="-2"/>
                <w:sz w:val="20"/>
                <w:szCs w:val="20"/>
              </w:rPr>
              <w:t>与本公司同受联通集团控制</w:t>
            </w:r>
          </w:p>
        </w:tc>
      </w:tr>
      <w:tr>
        <w:trPr>
          <w:trHeight w:val="259" w:hRule="exact"/>
        </w:trPr>
        <w:tc>
          <w:tcPr>
            <w:tcW w:w="61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1"/>
              <w:jc w:val="right"/>
              <w:rPr>
                <w:rFonts w:ascii="Arial" w:hAnsi="Arial" w:cs="Arial" w:eastAsia="Arial" w:hint="default"/>
                <w:sz w:val="20"/>
                <w:szCs w:val="20"/>
              </w:rPr>
            </w:pPr>
            <w:r>
              <w:rPr>
                <w:rFonts w:ascii="Arial"/>
                <w:spacing w:val="-2"/>
                <w:sz w:val="20"/>
              </w:rPr>
              <w:t>(12)</w:t>
            </w:r>
            <w:r>
              <w:rPr>
                <w:rFonts w:ascii="Arial"/>
                <w:sz w:val="20"/>
              </w:rPr>
            </w:r>
          </w:p>
        </w:tc>
        <w:tc>
          <w:tcPr>
            <w:tcW w:w="4766" w:type="dxa"/>
            <w:tcBorders>
              <w:top w:val="nil" w:sz="6" w:space="0" w:color="auto"/>
              <w:left w:val="nil" w:sz="6" w:space="0" w:color="auto"/>
              <w:bottom w:val="nil" w:sz="6" w:space="0" w:color="auto"/>
              <w:right w:val="nil" w:sz="6" w:space="0" w:color="auto"/>
            </w:tcBorders>
          </w:tcPr>
          <w:p>
            <w:pPr>
              <w:pStyle w:val="TableParagraph"/>
              <w:spacing w:line="218" w:lineRule="exact"/>
              <w:ind w:left="62" w:right="0"/>
              <w:jc w:val="left"/>
              <w:rPr>
                <w:rFonts w:ascii="宋体" w:hAnsi="宋体" w:cs="宋体" w:eastAsia="宋体" w:hint="default"/>
                <w:sz w:val="20"/>
                <w:szCs w:val="20"/>
              </w:rPr>
            </w:pPr>
            <w:r>
              <w:rPr>
                <w:rFonts w:ascii="宋体" w:hAnsi="宋体" w:cs="宋体" w:eastAsia="宋体" w:hint="default"/>
                <w:sz w:val="20"/>
                <w:szCs w:val="20"/>
              </w:rPr>
              <w:t>内蒙古联通通信有限公司及其子公司</w:t>
            </w:r>
          </w:p>
        </w:tc>
        <w:tc>
          <w:tcPr>
            <w:tcW w:w="3691" w:type="dxa"/>
            <w:tcBorders>
              <w:top w:val="nil" w:sz="6" w:space="0" w:color="auto"/>
              <w:left w:val="nil" w:sz="6" w:space="0" w:color="auto"/>
              <w:bottom w:val="nil" w:sz="6" w:space="0" w:color="auto"/>
              <w:right w:val="nil" w:sz="6" w:space="0" w:color="auto"/>
            </w:tcBorders>
          </w:tcPr>
          <w:p>
            <w:pPr>
              <w:pStyle w:val="TableParagraph"/>
              <w:spacing w:line="218" w:lineRule="exact"/>
              <w:ind w:right="2"/>
              <w:jc w:val="right"/>
              <w:rPr>
                <w:rFonts w:ascii="宋体" w:hAnsi="宋体" w:cs="宋体" w:eastAsia="宋体" w:hint="default"/>
                <w:sz w:val="20"/>
                <w:szCs w:val="20"/>
              </w:rPr>
            </w:pPr>
            <w:r>
              <w:rPr>
                <w:rFonts w:ascii="宋体" w:hAnsi="宋体" w:cs="宋体" w:eastAsia="宋体" w:hint="default"/>
                <w:spacing w:val="-2"/>
                <w:sz w:val="20"/>
                <w:szCs w:val="20"/>
              </w:rPr>
              <w:t>与本公司同受联通集团控制</w:t>
            </w:r>
          </w:p>
        </w:tc>
      </w:tr>
      <w:tr>
        <w:trPr>
          <w:trHeight w:val="259" w:hRule="exact"/>
        </w:trPr>
        <w:tc>
          <w:tcPr>
            <w:tcW w:w="61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1"/>
              <w:jc w:val="right"/>
              <w:rPr>
                <w:rFonts w:ascii="Arial" w:hAnsi="Arial" w:cs="Arial" w:eastAsia="Arial" w:hint="default"/>
                <w:sz w:val="20"/>
                <w:szCs w:val="20"/>
              </w:rPr>
            </w:pPr>
            <w:r>
              <w:rPr>
                <w:rFonts w:ascii="Arial"/>
                <w:spacing w:val="-2"/>
                <w:sz w:val="20"/>
              </w:rPr>
              <w:t>(13)</w:t>
            </w:r>
            <w:r>
              <w:rPr>
                <w:rFonts w:ascii="Arial"/>
                <w:sz w:val="20"/>
              </w:rPr>
            </w:r>
          </w:p>
        </w:tc>
        <w:tc>
          <w:tcPr>
            <w:tcW w:w="4766" w:type="dxa"/>
            <w:tcBorders>
              <w:top w:val="nil" w:sz="6" w:space="0" w:color="auto"/>
              <w:left w:val="nil" w:sz="6" w:space="0" w:color="auto"/>
              <w:bottom w:val="nil" w:sz="6" w:space="0" w:color="auto"/>
              <w:right w:val="nil" w:sz="6" w:space="0" w:color="auto"/>
            </w:tcBorders>
          </w:tcPr>
          <w:p>
            <w:pPr>
              <w:pStyle w:val="TableParagraph"/>
              <w:spacing w:line="218" w:lineRule="exact"/>
              <w:ind w:left="62" w:right="0"/>
              <w:jc w:val="left"/>
              <w:rPr>
                <w:rFonts w:ascii="宋体" w:hAnsi="宋体" w:cs="宋体" w:eastAsia="宋体" w:hint="default"/>
                <w:sz w:val="20"/>
                <w:szCs w:val="20"/>
              </w:rPr>
            </w:pPr>
            <w:r>
              <w:rPr>
                <w:rFonts w:ascii="宋体" w:hAnsi="宋体" w:cs="宋体" w:eastAsia="宋体" w:hint="default"/>
                <w:sz w:val="20"/>
                <w:szCs w:val="20"/>
              </w:rPr>
              <w:t>联通通信建设有限公司及其子公司</w:t>
            </w:r>
          </w:p>
        </w:tc>
        <w:tc>
          <w:tcPr>
            <w:tcW w:w="3691" w:type="dxa"/>
            <w:tcBorders>
              <w:top w:val="nil" w:sz="6" w:space="0" w:color="auto"/>
              <w:left w:val="nil" w:sz="6" w:space="0" w:color="auto"/>
              <w:bottom w:val="nil" w:sz="6" w:space="0" w:color="auto"/>
              <w:right w:val="nil" w:sz="6" w:space="0" w:color="auto"/>
            </w:tcBorders>
          </w:tcPr>
          <w:p>
            <w:pPr>
              <w:pStyle w:val="TableParagraph"/>
              <w:spacing w:line="218" w:lineRule="exact"/>
              <w:ind w:right="2"/>
              <w:jc w:val="right"/>
              <w:rPr>
                <w:rFonts w:ascii="宋体" w:hAnsi="宋体" w:cs="宋体" w:eastAsia="宋体" w:hint="default"/>
                <w:sz w:val="20"/>
                <w:szCs w:val="20"/>
              </w:rPr>
            </w:pPr>
            <w:r>
              <w:rPr>
                <w:rFonts w:ascii="宋体" w:hAnsi="宋体" w:cs="宋体" w:eastAsia="宋体" w:hint="default"/>
                <w:spacing w:val="-2"/>
                <w:sz w:val="20"/>
                <w:szCs w:val="20"/>
              </w:rPr>
              <w:t>与本公司同受联通集团控制</w:t>
            </w:r>
          </w:p>
        </w:tc>
      </w:tr>
      <w:tr>
        <w:trPr>
          <w:trHeight w:val="264" w:hRule="exact"/>
        </w:trPr>
        <w:tc>
          <w:tcPr>
            <w:tcW w:w="61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61"/>
              <w:jc w:val="right"/>
              <w:rPr>
                <w:rFonts w:ascii="Arial" w:hAnsi="Arial" w:cs="Arial" w:eastAsia="Arial" w:hint="default"/>
                <w:sz w:val="20"/>
                <w:szCs w:val="20"/>
              </w:rPr>
            </w:pPr>
            <w:r>
              <w:rPr>
                <w:rFonts w:ascii="Arial"/>
                <w:spacing w:val="-2"/>
                <w:sz w:val="20"/>
              </w:rPr>
              <w:t>(14)</w:t>
            </w:r>
            <w:r>
              <w:rPr>
                <w:rFonts w:ascii="Arial"/>
                <w:sz w:val="20"/>
              </w:rPr>
            </w:r>
          </w:p>
        </w:tc>
        <w:tc>
          <w:tcPr>
            <w:tcW w:w="4766" w:type="dxa"/>
            <w:tcBorders>
              <w:top w:val="nil" w:sz="6" w:space="0" w:color="auto"/>
              <w:left w:val="nil" w:sz="6" w:space="0" w:color="auto"/>
              <w:bottom w:val="nil" w:sz="6" w:space="0" w:color="auto"/>
              <w:right w:val="nil" w:sz="6" w:space="0" w:color="auto"/>
            </w:tcBorders>
          </w:tcPr>
          <w:p>
            <w:pPr>
              <w:pStyle w:val="TableParagraph"/>
              <w:spacing w:line="223" w:lineRule="exact"/>
              <w:ind w:left="62" w:right="0"/>
              <w:jc w:val="left"/>
              <w:rPr>
                <w:rFonts w:ascii="宋体" w:hAnsi="宋体" w:cs="宋体" w:eastAsia="宋体" w:hint="default"/>
                <w:sz w:val="20"/>
                <w:szCs w:val="20"/>
              </w:rPr>
            </w:pPr>
            <w:r>
              <w:rPr>
                <w:rFonts w:ascii="宋体" w:hAnsi="宋体" w:cs="宋体" w:eastAsia="宋体" w:hint="default"/>
                <w:sz w:val="20"/>
                <w:szCs w:val="20"/>
              </w:rPr>
              <w:t>四川联通通信有限公司及其子公司</w:t>
            </w:r>
          </w:p>
        </w:tc>
        <w:tc>
          <w:tcPr>
            <w:tcW w:w="3691" w:type="dxa"/>
            <w:tcBorders>
              <w:top w:val="nil" w:sz="6" w:space="0" w:color="auto"/>
              <w:left w:val="nil" w:sz="6" w:space="0" w:color="auto"/>
              <w:bottom w:val="nil" w:sz="6" w:space="0" w:color="auto"/>
              <w:right w:val="nil" w:sz="6" w:space="0" w:color="auto"/>
            </w:tcBorders>
          </w:tcPr>
          <w:p>
            <w:pPr>
              <w:pStyle w:val="TableParagraph"/>
              <w:spacing w:line="218" w:lineRule="exact"/>
              <w:ind w:right="2"/>
              <w:jc w:val="right"/>
              <w:rPr>
                <w:rFonts w:ascii="宋体" w:hAnsi="宋体" w:cs="宋体" w:eastAsia="宋体" w:hint="default"/>
                <w:sz w:val="20"/>
                <w:szCs w:val="20"/>
              </w:rPr>
            </w:pPr>
            <w:r>
              <w:rPr>
                <w:rFonts w:ascii="宋体" w:hAnsi="宋体" w:cs="宋体" w:eastAsia="宋体" w:hint="default"/>
                <w:spacing w:val="-2"/>
                <w:sz w:val="20"/>
                <w:szCs w:val="20"/>
              </w:rPr>
              <w:t>与本公司同受联通集团控制</w:t>
            </w:r>
          </w:p>
        </w:tc>
      </w:tr>
      <w:tr>
        <w:trPr>
          <w:trHeight w:val="259" w:hRule="exact"/>
        </w:trPr>
        <w:tc>
          <w:tcPr>
            <w:tcW w:w="61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1"/>
              <w:jc w:val="right"/>
              <w:rPr>
                <w:rFonts w:ascii="Arial" w:hAnsi="Arial" w:cs="Arial" w:eastAsia="Arial" w:hint="default"/>
                <w:sz w:val="20"/>
                <w:szCs w:val="20"/>
              </w:rPr>
            </w:pPr>
            <w:r>
              <w:rPr>
                <w:rFonts w:ascii="Arial"/>
                <w:spacing w:val="-2"/>
                <w:sz w:val="20"/>
              </w:rPr>
              <w:t>(15)</w:t>
            </w:r>
            <w:r>
              <w:rPr>
                <w:rFonts w:ascii="Arial"/>
                <w:sz w:val="20"/>
              </w:rPr>
            </w:r>
          </w:p>
        </w:tc>
        <w:tc>
          <w:tcPr>
            <w:tcW w:w="4766" w:type="dxa"/>
            <w:tcBorders>
              <w:top w:val="nil" w:sz="6" w:space="0" w:color="auto"/>
              <w:left w:val="nil" w:sz="6" w:space="0" w:color="auto"/>
              <w:bottom w:val="nil" w:sz="6" w:space="0" w:color="auto"/>
              <w:right w:val="nil" w:sz="6" w:space="0" w:color="auto"/>
            </w:tcBorders>
          </w:tcPr>
          <w:p>
            <w:pPr>
              <w:pStyle w:val="TableParagraph"/>
              <w:spacing w:line="218" w:lineRule="exact"/>
              <w:ind w:left="62" w:right="0"/>
              <w:jc w:val="left"/>
              <w:rPr>
                <w:rFonts w:ascii="宋体" w:hAnsi="宋体" w:cs="宋体" w:eastAsia="宋体" w:hint="default"/>
                <w:sz w:val="20"/>
                <w:szCs w:val="20"/>
              </w:rPr>
            </w:pPr>
            <w:r>
              <w:rPr>
                <w:rFonts w:ascii="宋体" w:hAnsi="宋体" w:cs="宋体" w:eastAsia="宋体" w:hint="default"/>
                <w:sz w:val="20"/>
                <w:szCs w:val="20"/>
              </w:rPr>
              <w:t>中国联合网络通信集团有限公司附属分公司</w:t>
            </w:r>
          </w:p>
        </w:tc>
        <w:tc>
          <w:tcPr>
            <w:tcW w:w="3691" w:type="dxa"/>
            <w:tcBorders>
              <w:top w:val="nil" w:sz="6" w:space="0" w:color="auto"/>
              <w:left w:val="nil" w:sz="6" w:space="0" w:color="auto"/>
              <w:bottom w:val="nil" w:sz="6" w:space="0" w:color="auto"/>
              <w:right w:val="nil" w:sz="6" w:space="0" w:color="auto"/>
            </w:tcBorders>
          </w:tcPr>
          <w:p>
            <w:pPr>
              <w:pStyle w:val="TableParagraph"/>
              <w:spacing w:line="218" w:lineRule="exact"/>
              <w:ind w:right="2"/>
              <w:jc w:val="right"/>
              <w:rPr>
                <w:rFonts w:ascii="宋体" w:hAnsi="宋体" w:cs="宋体" w:eastAsia="宋体" w:hint="default"/>
                <w:sz w:val="20"/>
                <w:szCs w:val="20"/>
              </w:rPr>
            </w:pPr>
            <w:r>
              <w:rPr>
                <w:rFonts w:ascii="宋体" w:hAnsi="宋体" w:cs="宋体" w:eastAsia="宋体" w:hint="default"/>
                <w:spacing w:val="-2"/>
                <w:sz w:val="20"/>
                <w:szCs w:val="20"/>
              </w:rPr>
              <w:t>与本公司同受联通集团控制</w:t>
            </w:r>
          </w:p>
        </w:tc>
      </w:tr>
      <w:tr>
        <w:trPr>
          <w:trHeight w:val="259" w:hRule="exact"/>
        </w:trPr>
        <w:tc>
          <w:tcPr>
            <w:tcW w:w="61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0"/>
              <w:jc w:val="right"/>
              <w:rPr>
                <w:rFonts w:ascii="Arial" w:hAnsi="Arial" w:cs="Arial" w:eastAsia="Arial" w:hint="default"/>
                <w:sz w:val="20"/>
                <w:szCs w:val="20"/>
              </w:rPr>
            </w:pPr>
            <w:r>
              <w:rPr>
                <w:rFonts w:ascii="Arial"/>
                <w:spacing w:val="-1"/>
                <w:sz w:val="20"/>
              </w:rPr>
              <w:t>(16)</w:t>
            </w:r>
          </w:p>
        </w:tc>
        <w:tc>
          <w:tcPr>
            <w:tcW w:w="4766" w:type="dxa"/>
            <w:tcBorders>
              <w:top w:val="nil" w:sz="6" w:space="0" w:color="auto"/>
              <w:left w:val="nil" w:sz="6" w:space="0" w:color="auto"/>
              <w:bottom w:val="nil" w:sz="6" w:space="0" w:color="auto"/>
              <w:right w:val="nil" w:sz="6" w:space="0" w:color="auto"/>
            </w:tcBorders>
          </w:tcPr>
          <w:p>
            <w:pPr>
              <w:pStyle w:val="TableParagraph"/>
              <w:spacing w:line="218" w:lineRule="exact"/>
              <w:ind w:left="62" w:right="0"/>
              <w:jc w:val="left"/>
              <w:rPr>
                <w:rFonts w:ascii="宋体" w:hAnsi="宋体" w:cs="宋体" w:eastAsia="宋体" w:hint="default"/>
                <w:sz w:val="20"/>
                <w:szCs w:val="20"/>
              </w:rPr>
            </w:pPr>
            <w:r>
              <w:rPr>
                <w:rFonts w:ascii="宋体" w:hAnsi="宋体" w:cs="宋体" w:eastAsia="宋体" w:hint="default"/>
                <w:sz w:val="20"/>
                <w:szCs w:val="20"/>
              </w:rPr>
              <w:t>北京联通兴业科贸有限公司</w:t>
            </w:r>
          </w:p>
        </w:tc>
        <w:tc>
          <w:tcPr>
            <w:tcW w:w="3691" w:type="dxa"/>
            <w:tcBorders>
              <w:top w:val="nil" w:sz="6" w:space="0" w:color="auto"/>
              <w:left w:val="nil" w:sz="6" w:space="0" w:color="auto"/>
              <w:bottom w:val="nil" w:sz="6" w:space="0" w:color="auto"/>
              <w:right w:val="nil" w:sz="6" w:space="0" w:color="auto"/>
            </w:tcBorders>
          </w:tcPr>
          <w:p>
            <w:pPr>
              <w:pStyle w:val="TableParagraph"/>
              <w:spacing w:line="218" w:lineRule="exact"/>
              <w:ind w:right="2"/>
              <w:jc w:val="right"/>
              <w:rPr>
                <w:rFonts w:ascii="宋体" w:hAnsi="宋体" w:cs="宋体" w:eastAsia="宋体" w:hint="default"/>
                <w:sz w:val="20"/>
                <w:szCs w:val="20"/>
              </w:rPr>
            </w:pPr>
            <w:r>
              <w:rPr>
                <w:rFonts w:ascii="宋体" w:hAnsi="宋体" w:cs="宋体" w:eastAsia="宋体" w:hint="default"/>
                <w:spacing w:val="-2"/>
                <w:sz w:val="20"/>
                <w:szCs w:val="20"/>
              </w:rPr>
              <w:t>与本公司同受联通集团控制</w:t>
            </w:r>
          </w:p>
        </w:tc>
      </w:tr>
      <w:tr>
        <w:trPr>
          <w:trHeight w:val="259" w:hRule="exact"/>
        </w:trPr>
        <w:tc>
          <w:tcPr>
            <w:tcW w:w="61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0"/>
              <w:jc w:val="right"/>
              <w:rPr>
                <w:rFonts w:ascii="Arial" w:hAnsi="Arial" w:cs="Arial" w:eastAsia="Arial" w:hint="default"/>
                <w:sz w:val="20"/>
                <w:szCs w:val="20"/>
              </w:rPr>
            </w:pPr>
            <w:r>
              <w:rPr>
                <w:rFonts w:ascii="Arial"/>
                <w:spacing w:val="-1"/>
                <w:sz w:val="20"/>
              </w:rPr>
              <w:t>(17)</w:t>
            </w:r>
          </w:p>
        </w:tc>
        <w:tc>
          <w:tcPr>
            <w:tcW w:w="4766" w:type="dxa"/>
            <w:tcBorders>
              <w:top w:val="nil" w:sz="6" w:space="0" w:color="auto"/>
              <w:left w:val="nil" w:sz="6" w:space="0" w:color="auto"/>
              <w:bottom w:val="nil" w:sz="6" w:space="0" w:color="auto"/>
              <w:right w:val="nil" w:sz="6" w:space="0" w:color="auto"/>
            </w:tcBorders>
          </w:tcPr>
          <w:p>
            <w:pPr>
              <w:pStyle w:val="TableParagraph"/>
              <w:spacing w:line="218" w:lineRule="exact"/>
              <w:ind w:left="62" w:right="0"/>
              <w:jc w:val="left"/>
              <w:rPr>
                <w:rFonts w:ascii="宋体" w:hAnsi="宋体" w:cs="宋体" w:eastAsia="宋体" w:hint="default"/>
                <w:sz w:val="20"/>
                <w:szCs w:val="20"/>
              </w:rPr>
            </w:pPr>
            <w:r>
              <w:rPr>
                <w:rFonts w:ascii="宋体" w:hAnsi="宋体" w:cs="宋体" w:eastAsia="宋体" w:hint="default"/>
                <w:sz w:val="20"/>
                <w:szCs w:val="20"/>
              </w:rPr>
              <w:t>联通资本投资控股有限公司</w:t>
            </w:r>
          </w:p>
        </w:tc>
        <w:tc>
          <w:tcPr>
            <w:tcW w:w="3691" w:type="dxa"/>
            <w:tcBorders>
              <w:top w:val="nil" w:sz="6" w:space="0" w:color="auto"/>
              <w:left w:val="nil" w:sz="6" w:space="0" w:color="auto"/>
              <w:bottom w:val="nil" w:sz="6" w:space="0" w:color="auto"/>
              <w:right w:val="nil" w:sz="6" w:space="0" w:color="auto"/>
            </w:tcBorders>
          </w:tcPr>
          <w:p>
            <w:pPr>
              <w:pStyle w:val="TableParagraph"/>
              <w:spacing w:line="218" w:lineRule="exact"/>
              <w:ind w:right="2"/>
              <w:jc w:val="right"/>
              <w:rPr>
                <w:rFonts w:ascii="宋体" w:hAnsi="宋体" w:cs="宋体" w:eastAsia="宋体" w:hint="default"/>
                <w:sz w:val="20"/>
                <w:szCs w:val="20"/>
              </w:rPr>
            </w:pPr>
            <w:r>
              <w:rPr>
                <w:rFonts w:ascii="宋体" w:hAnsi="宋体" w:cs="宋体" w:eastAsia="宋体" w:hint="default"/>
                <w:spacing w:val="-2"/>
                <w:sz w:val="20"/>
                <w:szCs w:val="20"/>
              </w:rPr>
              <w:t>与本公司同受联通集团控制</w:t>
            </w:r>
          </w:p>
        </w:tc>
      </w:tr>
      <w:tr>
        <w:trPr>
          <w:trHeight w:val="243" w:hRule="exact"/>
        </w:trPr>
        <w:tc>
          <w:tcPr>
            <w:tcW w:w="61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0"/>
              <w:jc w:val="right"/>
              <w:rPr>
                <w:rFonts w:ascii="Arial" w:hAnsi="Arial" w:cs="Arial" w:eastAsia="Arial" w:hint="default"/>
                <w:sz w:val="20"/>
                <w:szCs w:val="20"/>
              </w:rPr>
            </w:pPr>
            <w:r>
              <w:rPr>
                <w:rFonts w:ascii="Arial"/>
                <w:spacing w:val="-1"/>
                <w:sz w:val="20"/>
              </w:rPr>
              <w:t>(18)</w:t>
            </w:r>
          </w:p>
        </w:tc>
        <w:tc>
          <w:tcPr>
            <w:tcW w:w="4766" w:type="dxa"/>
            <w:tcBorders>
              <w:top w:val="nil" w:sz="6" w:space="0" w:color="auto"/>
              <w:left w:val="nil" w:sz="6" w:space="0" w:color="auto"/>
              <w:bottom w:val="nil" w:sz="6" w:space="0" w:color="auto"/>
              <w:right w:val="nil" w:sz="6" w:space="0" w:color="auto"/>
            </w:tcBorders>
          </w:tcPr>
          <w:p>
            <w:pPr>
              <w:pStyle w:val="TableParagraph"/>
              <w:spacing w:line="218" w:lineRule="exact"/>
              <w:ind w:left="62" w:right="0"/>
              <w:jc w:val="left"/>
              <w:rPr>
                <w:rFonts w:ascii="宋体" w:hAnsi="宋体" w:cs="宋体" w:eastAsia="宋体" w:hint="default"/>
                <w:sz w:val="20"/>
                <w:szCs w:val="20"/>
              </w:rPr>
            </w:pPr>
            <w:r>
              <w:rPr>
                <w:rFonts w:ascii="宋体" w:hAnsi="宋体" w:cs="宋体" w:eastAsia="宋体" w:hint="default"/>
                <w:sz w:val="20"/>
                <w:szCs w:val="20"/>
              </w:rPr>
              <w:t>中国人寿保险（集团）公司及其子公司</w:t>
            </w:r>
          </w:p>
        </w:tc>
        <w:tc>
          <w:tcPr>
            <w:tcW w:w="3691" w:type="dxa"/>
            <w:tcBorders>
              <w:top w:val="nil" w:sz="6" w:space="0" w:color="auto"/>
              <w:left w:val="nil" w:sz="6" w:space="0" w:color="auto"/>
              <w:bottom w:val="nil" w:sz="6" w:space="0" w:color="auto"/>
              <w:right w:val="nil" w:sz="6" w:space="0" w:color="auto"/>
            </w:tcBorders>
          </w:tcPr>
          <w:p>
            <w:pPr>
              <w:pStyle w:val="TableParagraph"/>
              <w:spacing w:line="218" w:lineRule="exact"/>
              <w:ind w:right="2"/>
              <w:jc w:val="right"/>
              <w:rPr>
                <w:rFonts w:ascii="宋体" w:hAnsi="宋体" w:cs="宋体" w:eastAsia="宋体" w:hint="default"/>
                <w:sz w:val="20"/>
                <w:szCs w:val="20"/>
              </w:rPr>
            </w:pPr>
            <w:r>
              <w:rPr>
                <w:rFonts w:ascii="宋体" w:hAnsi="宋体" w:cs="宋体" w:eastAsia="宋体" w:hint="default"/>
                <w:spacing w:val="-2"/>
                <w:sz w:val="20"/>
                <w:szCs w:val="20"/>
              </w:rPr>
              <w:t>对本公司施加重大影响的投资方</w:t>
            </w:r>
          </w:p>
        </w:tc>
      </w:tr>
    </w:tbl>
    <w:p>
      <w:pPr>
        <w:spacing w:after="0" w:line="218" w:lineRule="exact"/>
        <w:jc w:val="right"/>
        <w:rPr>
          <w:rFonts w:ascii="宋体" w:hAnsi="宋体" w:cs="宋体" w:eastAsia="宋体" w:hint="default"/>
          <w:sz w:val="20"/>
          <w:szCs w:val="20"/>
        </w:rPr>
        <w:sectPr>
          <w:headerReference w:type="default" r:id="rId224"/>
          <w:pgSz w:w="11910" w:h="16840"/>
          <w:pgMar w:header="1183" w:footer="502" w:top="2500" w:bottom="700" w:left="980" w:right="100"/>
        </w:sectPr>
      </w:pPr>
    </w:p>
    <w:p>
      <w:pPr>
        <w:spacing w:line="240" w:lineRule="auto" w:before="2"/>
        <w:rPr>
          <w:rFonts w:ascii="宋体" w:hAnsi="宋体" w:cs="宋体" w:eastAsia="宋体" w:hint="default"/>
          <w:sz w:val="23"/>
          <w:szCs w:val="23"/>
        </w:rPr>
      </w:pPr>
    </w:p>
    <w:tbl>
      <w:tblPr>
        <w:tblW w:w="0" w:type="auto"/>
        <w:jc w:val="left"/>
        <w:tblInd w:w="340" w:type="dxa"/>
        <w:tblLayout w:type="fixed"/>
        <w:tblCellMar>
          <w:top w:w="0" w:type="dxa"/>
          <w:left w:w="0" w:type="dxa"/>
          <w:bottom w:w="0" w:type="dxa"/>
          <w:right w:w="0" w:type="dxa"/>
        </w:tblCellMar>
        <w:tblLook w:val="01E0"/>
      </w:tblPr>
      <w:tblGrid>
        <w:gridCol w:w="615"/>
        <w:gridCol w:w="4793"/>
        <w:gridCol w:w="3715"/>
      </w:tblGrid>
      <w:tr>
        <w:trPr>
          <w:trHeight w:val="238" w:hRule="exact"/>
        </w:trPr>
        <w:tc>
          <w:tcPr>
            <w:tcW w:w="615" w:type="dxa"/>
            <w:tcBorders>
              <w:top w:val="nil" w:sz="6" w:space="0" w:color="auto"/>
              <w:left w:val="nil" w:sz="6" w:space="0" w:color="auto"/>
              <w:bottom w:val="nil" w:sz="6" w:space="0" w:color="auto"/>
              <w:right w:val="nil" w:sz="6" w:space="0" w:color="auto"/>
            </w:tcBorders>
          </w:tcPr>
          <w:p>
            <w:pPr/>
          </w:p>
        </w:tc>
        <w:tc>
          <w:tcPr>
            <w:tcW w:w="4793" w:type="dxa"/>
            <w:tcBorders>
              <w:top w:val="nil" w:sz="6" w:space="0" w:color="auto"/>
              <w:left w:val="nil" w:sz="6" w:space="0" w:color="auto"/>
              <w:bottom w:val="nil" w:sz="6" w:space="0" w:color="auto"/>
              <w:right w:val="nil" w:sz="6" w:space="0" w:color="auto"/>
            </w:tcBorders>
          </w:tcPr>
          <w:p>
            <w:pPr/>
          </w:p>
        </w:tc>
        <w:tc>
          <w:tcPr>
            <w:tcW w:w="3715" w:type="dxa"/>
            <w:tcBorders>
              <w:top w:val="nil" w:sz="6" w:space="0" w:color="auto"/>
              <w:left w:val="nil" w:sz="6" w:space="0" w:color="auto"/>
              <w:bottom w:val="single" w:sz="6" w:space="0" w:color="000000"/>
              <w:right w:val="nil" w:sz="6" w:space="0" w:color="auto"/>
            </w:tcBorders>
          </w:tcPr>
          <w:p>
            <w:pPr>
              <w:pStyle w:val="TableParagraph"/>
              <w:spacing w:line="201" w:lineRule="exact"/>
              <w:ind w:right="0"/>
              <w:jc w:val="right"/>
              <w:rPr>
                <w:rFonts w:ascii="宋体" w:hAnsi="宋体" w:cs="宋体" w:eastAsia="宋体" w:hint="default"/>
                <w:sz w:val="20"/>
                <w:szCs w:val="20"/>
              </w:rPr>
            </w:pPr>
            <w:r>
              <w:rPr>
                <w:rFonts w:ascii="宋体" w:hAnsi="宋体" w:cs="宋体" w:eastAsia="宋体" w:hint="default"/>
                <w:spacing w:val="-1"/>
                <w:sz w:val="20"/>
                <w:szCs w:val="20"/>
              </w:rPr>
              <w:t>与本集团的关系</w:t>
            </w:r>
          </w:p>
        </w:tc>
      </w:tr>
      <w:tr>
        <w:trPr>
          <w:trHeight w:val="508" w:hRule="exact"/>
        </w:trPr>
        <w:tc>
          <w:tcPr>
            <w:tcW w:w="61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58"/>
              <w:jc w:val="right"/>
              <w:rPr>
                <w:rFonts w:ascii="Arial" w:hAnsi="Arial" w:cs="Arial" w:eastAsia="Arial" w:hint="default"/>
                <w:sz w:val="20"/>
                <w:szCs w:val="20"/>
              </w:rPr>
            </w:pPr>
            <w:r>
              <w:rPr>
                <w:rFonts w:ascii="Arial"/>
                <w:spacing w:val="-1"/>
                <w:sz w:val="20"/>
              </w:rPr>
              <w:t>(19)</w:t>
            </w:r>
          </w:p>
        </w:tc>
        <w:tc>
          <w:tcPr>
            <w:tcW w:w="479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60" w:right="0"/>
              <w:jc w:val="left"/>
              <w:rPr>
                <w:rFonts w:ascii="宋体" w:hAnsi="宋体" w:cs="宋体" w:eastAsia="宋体" w:hint="default"/>
                <w:sz w:val="20"/>
                <w:szCs w:val="20"/>
              </w:rPr>
            </w:pPr>
            <w:r>
              <w:rPr>
                <w:rFonts w:ascii="宋体" w:hAnsi="宋体" w:cs="宋体" w:eastAsia="宋体" w:hint="default"/>
                <w:sz w:val="20"/>
                <w:szCs w:val="20"/>
              </w:rPr>
              <w:t>电讯盈科有限公司及其子公司</w:t>
            </w:r>
          </w:p>
        </w:tc>
        <w:tc>
          <w:tcPr>
            <w:tcW w:w="3715" w:type="dxa"/>
            <w:tcBorders>
              <w:top w:val="single" w:sz="6"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
              <w:jc w:val="right"/>
              <w:rPr>
                <w:rFonts w:ascii="宋体" w:hAnsi="宋体" w:cs="宋体" w:eastAsia="宋体" w:hint="default"/>
                <w:sz w:val="20"/>
                <w:szCs w:val="20"/>
              </w:rPr>
            </w:pPr>
            <w:r>
              <w:rPr>
                <w:rFonts w:ascii="宋体" w:hAnsi="宋体" w:cs="宋体" w:eastAsia="宋体" w:hint="default"/>
                <w:spacing w:val="-2"/>
                <w:sz w:val="20"/>
                <w:szCs w:val="20"/>
              </w:rPr>
              <w:t>本公司执行董事在该公司担任非执行董事</w:t>
            </w:r>
          </w:p>
        </w:tc>
      </w:tr>
      <w:tr>
        <w:trPr>
          <w:trHeight w:val="259" w:hRule="exact"/>
        </w:trPr>
        <w:tc>
          <w:tcPr>
            <w:tcW w:w="61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8"/>
              <w:jc w:val="right"/>
              <w:rPr>
                <w:rFonts w:ascii="Arial" w:hAnsi="Arial" w:cs="Arial" w:eastAsia="Arial" w:hint="default"/>
                <w:sz w:val="20"/>
                <w:szCs w:val="20"/>
              </w:rPr>
            </w:pPr>
            <w:r>
              <w:rPr>
                <w:rFonts w:ascii="Arial"/>
                <w:spacing w:val="-1"/>
                <w:sz w:val="20"/>
              </w:rPr>
              <w:t>(20)</w:t>
            </w:r>
          </w:p>
        </w:tc>
        <w:tc>
          <w:tcPr>
            <w:tcW w:w="4793" w:type="dxa"/>
            <w:tcBorders>
              <w:top w:val="nil" w:sz="6" w:space="0" w:color="auto"/>
              <w:left w:val="nil" w:sz="6" w:space="0" w:color="auto"/>
              <w:bottom w:val="nil" w:sz="6" w:space="0" w:color="auto"/>
              <w:right w:val="nil" w:sz="6" w:space="0" w:color="auto"/>
            </w:tcBorders>
          </w:tcPr>
          <w:p>
            <w:pPr>
              <w:pStyle w:val="TableParagraph"/>
              <w:spacing w:line="232" w:lineRule="exact"/>
              <w:ind w:left="60" w:right="0"/>
              <w:jc w:val="left"/>
              <w:rPr>
                <w:rFonts w:ascii="宋体" w:hAnsi="宋体" w:cs="宋体" w:eastAsia="宋体" w:hint="default"/>
                <w:sz w:val="20"/>
                <w:szCs w:val="20"/>
              </w:rPr>
            </w:pPr>
            <w:r>
              <w:rPr>
                <w:rFonts w:ascii="Arial" w:hAnsi="Arial" w:cs="Arial" w:eastAsia="Arial" w:hint="default"/>
                <w:sz w:val="20"/>
                <w:szCs w:val="20"/>
              </w:rPr>
              <w:t>Telefónica,</w:t>
            </w:r>
            <w:r>
              <w:rPr>
                <w:rFonts w:ascii="Arial" w:hAnsi="Arial" w:cs="Arial" w:eastAsia="Arial" w:hint="default"/>
                <w:spacing w:val="-1"/>
                <w:sz w:val="20"/>
                <w:szCs w:val="20"/>
              </w:rPr>
              <w:t> </w:t>
            </w:r>
            <w:r>
              <w:rPr>
                <w:rFonts w:ascii="Arial" w:hAnsi="Arial" w:cs="Arial" w:eastAsia="Arial" w:hint="default"/>
                <w:sz w:val="20"/>
                <w:szCs w:val="20"/>
              </w:rPr>
              <w:t>S.A.</w:t>
            </w:r>
            <w:r>
              <w:rPr>
                <w:rFonts w:ascii="宋体" w:hAnsi="宋体" w:cs="宋体" w:eastAsia="宋体" w:hint="default"/>
                <w:sz w:val="20"/>
                <w:szCs w:val="20"/>
              </w:rPr>
              <w:t>（西班牙电信）</w:t>
            </w:r>
          </w:p>
        </w:tc>
        <w:tc>
          <w:tcPr>
            <w:tcW w:w="3715" w:type="dxa"/>
            <w:tcBorders>
              <w:top w:val="nil" w:sz="6" w:space="0" w:color="auto"/>
              <w:left w:val="nil" w:sz="6" w:space="0" w:color="auto"/>
              <w:bottom w:val="nil" w:sz="6" w:space="0" w:color="auto"/>
              <w:right w:val="nil" w:sz="6" w:space="0" w:color="auto"/>
            </w:tcBorders>
          </w:tcPr>
          <w:p>
            <w:pPr>
              <w:pStyle w:val="TableParagraph"/>
              <w:spacing w:line="218" w:lineRule="exact"/>
              <w:ind w:right="2"/>
              <w:jc w:val="right"/>
              <w:rPr>
                <w:rFonts w:ascii="宋体" w:hAnsi="宋体" w:cs="宋体" w:eastAsia="宋体" w:hint="default"/>
                <w:sz w:val="20"/>
                <w:szCs w:val="20"/>
              </w:rPr>
            </w:pPr>
            <w:r>
              <w:rPr>
                <w:rFonts w:ascii="宋体" w:hAnsi="宋体" w:cs="宋体" w:eastAsia="宋体" w:hint="default"/>
                <w:spacing w:val="-2"/>
                <w:sz w:val="20"/>
                <w:szCs w:val="20"/>
              </w:rPr>
              <w:t>本公司执行董事在该公司担任非执行董事</w:t>
            </w:r>
          </w:p>
        </w:tc>
      </w:tr>
      <w:tr>
        <w:trPr>
          <w:trHeight w:val="259" w:hRule="exact"/>
        </w:trPr>
        <w:tc>
          <w:tcPr>
            <w:tcW w:w="61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8"/>
              <w:jc w:val="right"/>
              <w:rPr>
                <w:rFonts w:ascii="Arial" w:hAnsi="Arial" w:cs="Arial" w:eastAsia="Arial" w:hint="default"/>
                <w:sz w:val="20"/>
                <w:szCs w:val="20"/>
              </w:rPr>
            </w:pPr>
            <w:r>
              <w:rPr>
                <w:rFonts w:ascii="Arial"/>
                <w:spacing w:val="-1"/>
                <w:sz w:val="20"/>
              </w:rPr>
              <w:t>(21)</w:t>
            </w:r>
          </w:p>
        </w:tc>
        <w:tc>
          <w:tcPr>
            <w:tcW w:w="4793" w:type="dxa"/>
            <w:tcBorders>
              <w:top w:val="nil" w:sz="6" w:space="0" w:color="auto"/>
              <w:left w:val="nil" w:sz="6" w:space="0" w:color="auto"/>
              <w:bottom w:val="nil" w:sz="6" w:space="0" w:color="auto"/>
              <w:right w:val="nil" w:sz="6" w:space="0" w:color="auto"/>
            </w:tcBorders>
          </w:tcPr>
          <w:p>
            <w:pPr>
              <w:pStyle w:val="TableParagraph"/>
              <w:spacing w:line="218" w:lineRule="exact"/>
              <w:ind w:left="60" w:right="0"/>
              <w:jc w:val="left"/>
              <w:rPr>
                <w:rFonts w:ascii="宋体" w:hAnsi="宋体" w:cs="宋体" w:eastAsia="宋体" w:hint="default"/>
                <w:sz w:val="20"/>
                <w:szCs w:val="20"/>
              </w:rPr>
            </w:pPr>
            <w:r>
              <w:rPr>
                <w:rFonts w:ascii="宋体" w:hAnsi="宋体" w:cs="宋体" w:eastAsia="宋体" w:hint="default"/>
                <w:sz w:val="20"/>
                <w:szCs w:val="20"/>
              </w:rPr>
              <w:t>阿里云计算有限公司</w:t>
            </w:r>
          </w:p>
        </w:tc>
        <w:tc>
          <w:tcPr>
            <w:tcW w:w="3715" w:type="dxa"/>
            <w:tcBorders>
              <w:top w:val="nil" w:sz="6" w:space="0" w:color="auto"/>
              <w:left w:val="nil" w:sz="6" w:space="0" w:color="auto"/>
              <w:bottom w:val="nil" w:sz="6" w:space="0" w:color="auto"/>
              <w:right w:val="nil" w:sz="6" w:space="0" w:color="auto"/>
            </w:tcBorders>
          </w:tcPr>
          <w:p>
            <w:pPr>
              <w:pStyle w:val="TableParagraph"/>
              <w:spacing w:line="218" w:lineRule="exact"/>
              <w:ind w:right="2"/>
              <w:jc w:val="right"/>
              <w:rPr>
                <w:rFonts w:ascii="宋体" w:hAnsi="宋体" w:cs="宋体" w:eastAsia="宋体" w:hint="default"/>
                <w:sz w:val="20"/>
                <w:szCs w:val="20"/>
              </w:rPr>
            </w:pPr>
            <w:r>
              <w:rPr>
                <w:rFonts w:ascii="宋体" w:hAnsi="宋体" w:cs="宋体" w:eastAsia="宋体" w:hint="default"/>
                <w:spacing w:val="-2"/>
                <w:sz w:val="20"/>
                <w:szCs w:val="20"/>
              </w:rPr>
              <w:t>本公司董事在该公司担任董事</w:t>
            </w:r>
          </w:p>
        </w:tc>
      </w:tr>
      <w:tr>
        <w:trPr>
          <w:trHeight w:val="259" w:hRule="exact"/>
        </w:trPr>
        <w:tc>
          <w:tcPr>
            <w:tcW w:w="61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8"/>
              <w:jc w:val="right"/>
              <w:rPr>
                <w:rFonts w:ascii="Arial" w:hAnsi="Arial" w:cs="Arial" w:eastAsia="Arial" w:hint="default"/>
                <w:sz w:val="20"/>
                <w:szCs w:val="20"/>
              </w:rPr>
            </w:pPr>
            <w:r>
              <w:rPr>
                <w:rFonts w:ascii="Arial"/>
                <w:spacing w:val="-1"/>
                <w:sz w:val="20"/>
              </w:rPr>
              <w:t>(22)</w:t>
            </w:r>
          </w:p>
        </w:tc>
        <w:tc>
          <w:tcPr>
            <w:tcW w:w="4793" w:type="dxa"/>
            <w:tcBorders>
              <w:top w:val="nil" w:sz="6" w:space="0" w:color="auto"/>
              <w:left w:val="nil" w:sz="6" w:space="0" w:color="auto"/>
              <w:bottom w:val="nil" w:sz="6" w:space="0" w:color="auto"/>
              <w:right w:val="nil" w:sz="6" w:space="0" w:color="auto"/>
            </w:tcBorders>
          </w:tcPr>
          <w:p>
            <w:pPr>
              <w:pStyle w:val="TableParagraph"/>
              <w:spacing w:line="218" w:lineRule="exact"/>
              <w:ind w:left="60" w:right="0"/>
              <w:jc w:val="left"/>
              <w:rPr>
                <w:rFonts w:ascii="宋体" w:hAnsi="宋体" w:cs="宋体" w:eastAsia="宋体" w:hint="default"/>
                <w:sz w:val="20"/>
                <w:szCs w:val="20"/>
              </w:rPr>
            </w:pPr>
            <w:r>
              <w:rPr>
                <w:rFonts w:ascii="宋体" w:hAnsi="宋体" w:cs="宋体" w:eastAsia="宋体" w:hint="default"/>
                <w:sz w:val="20"/>
                <w:szCs w:val="20"/>
              </w:rPr>
              <w:t>深圳市爱施德股份有限公司</w:t>
            </w:r>
          </w:p>
        </w:tc>
        <w:tc>
          <w:tcPr>
            <w:tcW w:w="3715" w:type="dxa"/>
            <w:tcBorders>
              <w:top w:val="nil" w:sz="6" w:space="0" w:color="auto"/>
              <w:left w:val="nil" w:sz="6" w:space="0" w:color="auto"/>
              <w:bottom w:val="nil" w:sz="6" w:space="0" w:color="auto"/>
              <w:right w:val="nil" w:sz="6" w:space="0" w:color="auto"/>
            </w:tcBorders>
          </w:tcPr>
          <w:p>
            <w:pPr>
              <w:pStyle w:val="TableParagraph"/>
              <w:spacing w:line="218" w:lineRule="exact"/>
              <w:ind w:right="2"/>
              <w:jc w:val="right"/>
              <w:rPr>
                <w:rFonts w:ascii="宋体" w:hAnsi="宋体" w:cs="宋体" w:eastAsia="宋体" w:hint="default"/>
                <w:sz w:val="20"/>
                <w:szCs w:val="20"/>
              </w:rPr>
            </w:pPr>
            <w:r>
              <w:rPr>
                <w:rFonts w:ascii="宋体" w:hAnsi="宋体" w:cs="宋体" w:eastAsia="宋体" w:hint="default"/>
                <w:spacing w:val="-2"/>
                <w:sz w:val="20"/>
                <w:szCs w:val="20"/>
              </w:rPr>
              <w:t>本公司独立董事在该公司担任独立董事</w:t>
            </w:r>
          </w:p>
        </w:tc>
      </w:tr>
      <w:tr>
        <w:trPr>
          <w:trHeight w:val="259" w:hRule="exact"/>
        </w:trPr>
        <w:tc>
          <w:tcPr>
            <w:tcW w:w="61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8"/>
              <w:jc w:val="right"/>
              <w:rPr>
                <w:rFonts w:ascii="Arial" w:hAnsi="Arial" w:cs="Arial" w:eastAsia="Arial" w:hint="default"/>
                <w:sz w:val="20"/>
                <w:szCs w:val="20"/>
              </w:rPr>
            </w:pPr>
            <w:r>
              <w:rPr>
                <w:rFonts w:ascii="Arial"/>
                <w:spacing w:val="-1"/>
                <w:sz w:val="20"/>
              </w:rPr>
              <w:t>(23)</w:t>
            </w:r>
          </w:p>
        </w:tc>
        <w:tc>
          <w:tcPr>
            <w:tcW w:w="4793" w:type="dxa"/>
            <w:tcBorders>
              <w:top w:val="nil" w:sz="6" w:space="0" w:color="auto"/>
              <w:left w:val="nil" w:sz="6" w:space="0" w:color="auto"/>
              <w:bottom w:val="nil" w:sz="6" w:space="0" w:color="auto"/>
              <w:right w:val="nil" w:sz="6" w:space="0" w:color="auto"/>
            </w:tcBorders>
          </w:tcPr>
          <w:p>
            <w:pPr>
              <w:pStyle w:val="TableParagraph"/>
              <w:spacing w:line="218" w:lineRule="exact"/>
              <w:ind w:left="60" w:right="0"/>
              <w:jc w:val="left"/>
              <w:rPr>
                <w:rFonts w:ascii="宋体" w:hAnsi="宋体" w:cs="宋体" w:eastAsia="宋体" w:hint="default"/>
                <w:sz w:val="20"/>
                <w:szCs w:val="20"/>
              </w:rPr>
            </w:pPr>
            <w:r>
              <w:rPr>
                <w:rFonts w:ascii="宋体" w:hAnsi="宋体" w:cs="宋体" w:eastAsia="宋体" w:hint="default"/>
                <w:sz w:val="20"/>
                <w:szCs w:val="20"/>
              </w:rPr>
              <w:t>深圳市腾讯计算机系统有限公司</w:t>
            </w:r>
          </w:p>
        </w:tc>
        <w:tc>
          <w:tcPr>
            <w:tcW w:w="3715" w:type="dxa"/>
            <w:tcBorders>
              <w:top w:val="nil" w:sz="6" w:space="0" w:color="auto"/>
              <w:left w:val="nil" w:sz="6" w:space="0" w:color="auto"/>
              <w:bottom w:val="nil" w:sz="6" w:space="0" w:color="auto"/>
              <w:right w:val="nil" w:sz="6" w:space="0" w:color="auto"/>
            </w:tcBorders>
          </w:tcPr>
          <w:p>
            <w:pPr>
              <w:pStyle w:val="TableParagraph"/>
              <w:spacing w:line="218" w:lineRule="exact"/>
              <w:ind w:right="2"/>
              <w:jc w:val="right"/>
              <w:rPr>
                <w:rFonts w:ascii="宋体" w:hAnsi="宋体" w:cs="宋体" w:eastAsia="宋体" w:hint="default"/>
                <w:sz w:val="20"/>
                <w:szCs w:val="20"/>
              </w:rPr>
            </w:pPr>
            <w:r>
              <w:rPr>
                <w:rFonts w:ascii="宋体" w:hAnsi="宋体" w:cs="宋体" w:eastAsia="宋体" w:hint="default"/>
                <w:spacing w:val="-2"/>
                <w:sz w:val="20"/>
                <w:szCs w:val="20"/>
              </w:rPr>
              <w:t>本公司董事在该公司担任董事</w:t>
            </w:r>
          </w:p>
        </w:tc>
      </w:tr>
      <w:tr>
        <w:trPr>
          <w:trHeight w:val="243" w:hRule="exact"/>
        </w:trPr>
        <w:tc>
          <w:tcPr>
            <w:tcW w:w="61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8"/>
              <w:jc w:val="right"/>
              <w:rPr>
                <w:rFonts w:ascii="Arial" w:hAnsi="Arial" w:cs="Arial" w:eastAsia="Arial" w:hint="default"/>
                <w:sz w:val="20"/>
                <w:szCs w:val="20"/>
              </w:rPr>
            </w:pPr>
            <w:r>
              <w:rPr>
                <w:rFonts w:ascii="Arial"/>
                <w:spacing w:val="-1"/>
                <w:sz w:val="20"/>
              </w:rPr>
              <w:t>(24)</w:t>
            </w:r>
          </w:p>
        </w:tc>
        <w:tc>
          <w:tcPr>
            <w:tcW w:w="4793" w:type="dxa"/>
            <w:tcBorders>
              <w:top w:val="nil" w:sz="6" w:space="0" w:color="auto"/>
              <w:left w:val="nil" w:sz="6" w:space="0" w:color="auto"/>
              <w:bottom w:val="nil" w:sz="6" w:space="0" w:color="auto"/>
              <w:right w:val="nil" w:sz="6" w:space="0" w:color="auto"/>
            </w:tcBorders>
          </w:tcPr>
          <w:p>
            <w:pPr>
              <w:pStyle w:val="TableParagraph"/>
              <w:spacing w:line="218" w:lineRule="exact"/>
              <w:ind w:left="60" w:right="0"/>
              <w:jc w:val="left"/>
              <w:rPr>
                <w:rFonts w:ascii="宋体" w:hAnsi="宋体" w:cs="宋体" w:eastAsia="宋体" w:hint="default"/>
                <w:sz w:val="20"/>
                <w:szCs w:val="20"/>
              </w:rPr>
            </w:pPr>
            <w:r>
              <w:rPr>
                <w:rFonts w:ascii="宋体" w:hAnsi="宋体" w:cs="宋体" w:eastAsia="宋体" w:hint="default"/>
                <w:sz w:val="20"/>
                <w:szCs w:val="20"/>
              </w:rPr>
              <w:t>广发银行股份有限公司</w:t>
            </w:r>
          </w:p>
        </w:tc>
        <w:tc>
          <w:tcPr>
            <w:tcW w:w="3715" w:type="dxa"/>
            <w:tcBorders>
              <w:top w:val="nil" w:sz="6" w:space="0" w:color="auto"/>
              <w:left w:val="nil" w:sz="6" w:space="0" w:color="auto"/>
              <w:bottom w:val="nil" w:sz="6" w:space="0" w:color="auto"/>
              <w:right w:val="nil" w:sz="6" w:space="0" w:color="auto"/>
            </w:tcBorders>
          </w:tcPr>
          <w:p>
            <w:pPr>
              <w:pStyle w:val="TableParagraph"/>
              <w:spacing w:line="218" w:lineRule="exact"/>
              <w:ind w:right="2"/>
              <w:jc w:val="right"/>
              <w:rPr>
                <w:rFonts w:ascii="宋体" w:hAnsi="宋体" w:cs="宋体" w:eastAsia="宋体" w:hint="default"/>
                <w:sz w:val="20"/>
                <w:szCs w:val="20"/>
              </w:rPr>
            </w:pPr>
            <w:r>
              <w:rPr>
                <w:rFonts w:ascii="宋体" w:hAnsi="宋体" w:cs="宋体" w:eastAsia="宋体" w:hint="default"/>
                <w:spacing w:val="-2"/>
                <w:sz w:val="20"/>
                <w:szCs w:val="20"/>
              </w:rPr>
              <w:t>本公司董事在该公司担任董事</w:t>
            </w:r>
          </w:p>
        </w:tc>
      </w:tr>
    </w:tbl>
    <w:p>
      <w:pPr>
        <w:spacing w:line="240" w:lineRule="auto" w:before="11"/>
        <w:rPr>
          <w:rFonts w:ascii="宋体" w:hAnsi="宋体" w:cs="宋体" w:eastAsia="宋体" w:hint="default"/>
          <w:sz w:val="14"/>
          <w:szCs w:val="14"/>
        </w:rPr>
      </w:pPr>
    </w:p>
    <w:p>
      <w:pPr>
        <w:spacing w:line="274" w:lineRule="exact" w:before="62"/>
        <w:ind w:left="477" w:right="0" w:firstLine="0"/>
        <w:jc w:val="left"/>
        <w:rPr>
          <w:rFonts w:ascii="宋体" w:hAnsi="宋体" w:cs="宋体" w:eastAsia="宋体" w:hint="default"/>
          <w:sz w:val="21"/>
          <w:szCs w:val="21"/>
        </w:rPr>
      </w:pPr>
      <w:r>
        <w:rPr>
          <w:rFonts w:ascii="宋体" w:hAnsi="宋体" w:cs="宋体" w:eastAsia="宋体" w:hint="default"/>
          <w:spacing w:val="-5"/>
          <w:sz w:val="21"/>
          <w:szCs w:val="21"/>
        </w:rPr>
        <w:t>上述与本集团发生关联交易的关联方中，联通集团和</w:t>
      </w:r>
      <w:r>
        <w:rPr>
          <w:rFonts w:ascii="Arial" w:hAnsi="Arial" w:cs="Arial" w:eastAsia="Arial" w:hint="default"/>
          <w:spacing w:val="-5"/>
          <w:sz w:val="21"/>
          <w:szCs w:val="21"/>
        </w:rPr>
        <w:t>(1)</w:t>
      </w:r>
      <w:r>
        <w:rPr>
          <w:rFonts w:ascii="宋体" w:hAnsi="宋体" w:cs="宋体" w:eastAsia="宋体" w:hint="default"/>
          <w:spacing w:val="-5"/>
          <w:sz w:val="21"/>
          <w:szCs w:val="21"/>
        </w:rPr>
        <w:t>至</w:t>
      </w:r>
      <w:r>
        <w:rPr>
          <w:rFonts w:ascii="Arial" w:hAnsi="Arial" w:cs="Arial" w:eastAsia="Arial" w:hint="default"/>
          <w:spacing w:val="-5"/>
          <w:sz w:val="21"/>
          <w:szCs w:val="21"/>
        </w:rPr>
        <w:t>(17)</w:t>
      </w:r>
      <w:r>
        <w:rPr>
          <w:rFonts w:ascii="宋体" w:hAnsi="宋体" w:cs="宋体" w:eastAsia="宋体" w:hint="default"/>
          <w:spacing w:val="-5"/>
          <w:sz w:val="21"/>
          <w:szCs w:val="21"/>
        </w:rPr>
        <w:t>统称为“联通集团及其子公司”；</w:t>
      </w:r>
      <w:r>
        <w:rPr>
          <w:rFonts w:ascii="Arial" w:hAnsi="Arial" w:cs="Arial" w:eastAsia="Arial" w:hint="default"/>
          <w:spacing w:val="-5"/>
          <w:sz w:val="21"/>
          <w:szCs w:val="21"/>
        </w:rPr>
        <w:t>(18)</w:t>
      </w:r>
      <w:r>
        <w:rPr>
          <w:rFonts w:ascii="Arial" w:hAnsi="Arial" w:cs="Arial" w:eastAsia="Arial" w:hint="default"/>
          <w:spacing w:val="38"/>
          <w:sz w:val="21"/>
          <w:szCs w:val="21"/>
        </w:rPr>
        <w:t> </w:t>
      </w:r>
      <w:r>
        <w:rPr>
          <w:rFonts w:ascii="Arial" w:hAnsi="Arial" w:cs="Arial" w:eastAsia="Arial" w:hint="default"/>
          <w:spacing w:val="38"/>
          <w:sz w:val="21"/>
          <w:szCs w:val="21"/>
        </w:rPr>
      </w:r>
      <w:r>
        <w:rPr>
          <w:rFonts w:ascii="宋体" w:hAnsi="宋体" w:cs="宋体" w:eastAsia="宋体" w:hint="default"/>
          <w:sz w:val="21"/>
          <w:szCs w:val="21"/>
        </w:rPr>
        <w:t>至</w:t>
      </w:r>
      <w:r>
        <w:rPr>
          <w:rFonts w:ascii="Arial" w:hAnsi="Arial" w:cs="Arial" w:eastAsia="Arial" w:hint="default"/>
          <w:sz w:val="21"/>
          <w:szCs w:val="21"/>
        </w:rPr>
        <w:t>(24)</w:t>
      </w:r>
      <w:r>
        <w:rPr>
          <w:rFonts w:ascii="宋体" w:hAnsi="宋体" w:cs="宋体" w:eastAsia="宋体" w:hint="default"/>
          <w:sz w:val="21"/>
          <w:szCs w:val="21"/>
        </w:rPr>
        <w:t>统称为“其他关联法人”。</w:t>
      </w:r>
    </w:p>
    <w:p>
      <w:pPr>
        <w:spacing w:after="0" w:line="274" w:lineRule="exact"/>
        <w:jc w:val="left"/>
        <w:rPr>
          <w:rFonts w:ascii="宋体" w:hAnsi="宋体" w:cs="宋体" w:eastAsia="宋体" w:hint="default"/>
          <w:sz w:val="21"/>
          <w:szCs w:val="21"/>
        </w:rPr>
        <w:sectPr>
          <w:headerReference w:type="default" r:id="rId225"/>
          <w:pgSz w:w="11910" w:h="16840"/>
          <w:pgMar w:header="1183" w:footer="502" w:top="3620" w:bottom="700" w:left="1020" w:right="1260"/>
        </w:sectPr>
      </w:pPr>
    </w:p>
    <w:p>
      <w:pPr>
        <w:spacing w:line="240" w:lineRule="auto" w:before="11"/>
        <w:rPr>
          <w:rFonts w:ascii="宋体" w:hAnsi="宋体" w:cs="宋体" w:eastAsia="宋体" w:hint="default"/>
          <w:sz w:val="16"/>
          <w:szCs w:val="16"/>
        </w:rPr>
      </w:pPr>
    </w:p>
    <w:tbl>
      <w:tblPr>
        <w:tblW w:w="0" w:type="auto"/>
        <w:jc w:val="left"/>
        <w:tblInd w:w="396" w:type="dxa"/>
        <w:tblLayout w:type="fixed"/>
        <w:tblCellMar>
          <w:top w:w="0" w:type="dxa"/>
          <w:left w:w="0" w:type="dxa"/>
          <w:bottom w:w="0" w:type="dxa"/>
          <w:right w:w="0" w:type="dxa"/>
        </w:tblCellMar>
        <w:tblLook w:val="01E0"/>
      </w:tblPr>
      <w:tblGrid>
        <w:gridCol w:w="2476"/>
        <w:gridCol w:w="1532"/>
        <w:gridCol w:w="1673"/>
        <w:gridCol w:w="946"/>
        <w:gridCol w:w="1291"/>
        <w:gridCol w:w="1241"/>
      </w:tblGrid>
      <w:tr>
        <w:trPr>
          <w:trHeight w:val="609" w:hRule="exact"/>
        </w:trPr>
        <w:tc>
          <w:tcPr>
            <w:tcW w:w="2476"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1"/>
                <w:szCs w:val="11"/>
              </w:rPr>
            </w:pPr>
          </w:p>
          <w:p>
            <w:pPr>
              <w:pStyle w:val="TableParagraph"/>
              <w:spacing w:line="240" w:lineRule="auto"/>
              <w:ind w:left="744" w:right="0"/>
              <w:jc w:val="left"/>
              <w:rPr>
                <w:rFonts w:ascii="宋体" w:hAnsi="宋体" w:cs="宋体" w:eastAsia="宋体" w:hint="default"/>
                <w:sz w:val="16"/>
                <w:szCs w:val="16"/>
              </w:rPr>
            </w:pPr>
            <w:r>
              <w:rPr>
                <w:rFonts w:ascii="宋体" w:hAnsi="宋体" w:cs="宋体" w:eastAsia="宋体" w:hint="default"/>
                <w:sz w:val="16"/>
                <w:szCs w:val="16"/>
              </w:rPr>
              <w:t>关联交易内容</w:t>
            </w:r>
          </w:p>
        </w:tc>
        <w:tc>
          <w:tcPr>
            <w:tcW w:w="1532"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1"/>
                <w:szCs w:val="11"/>
              </w:rPr>
            </w:pPr>
          </w:p>
          <w:p>
            <w:pPr>
              <w:pStyle w:val="TableParagraph"/>
              <w:spacing w:line="240" w:lineRule="auto"/>
              <w:ind w:left="10" w:right="0"/>
              <w:jc w:val="center"/>
              <w:rPr>
                <w:rFonts w:ascii="宋体" w:hAnsi="宋体" w:cs="宋体" w:eastAsia="宋体" w:hint="default"/>
                <w:sz w:val="16"/>
                <w:szCs w:val="16"/>
              </w:rPr>
            </w:pPr>
            <w:r>
              <w:rPr>
                <w:rFonts w:ascii="宋体" w:hAnsi="宋体" w:cs="宋体" w:eastAsia="宋体" w:hint="default"/>
                <w:sz w:val="16"/>
                <w:szCs w:val="16"/>
              </w:rPr>
              <w:t>关联交易类型</w:t>
            </w:r>
          </w:p>
        </w:tc>
        <w:tc>
          <w:tcPr>
            <w:tcW w:w="1673"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1"/>
                <w:szCs w:val="11"/>
              </w:rPr>
            </w:pPr>
          </w:p>
          <w:p>
            <w:pPr>
              <w:pStyle w:val="TableParagraph"/>
              <w:spacing w:line="240" w:lineRule="auto"/>
              <w:ind w:left="40" w:right="0"/>
              <w:jc w:val="center"/>
              <w:rPr>
                <w:rFonts w:ascii="宋体" w:hAnsi="宋体" w:cs="宋体" w:eastAsia="宋体" w:hint="default"/>
                <w:sz w:val="16"/>
                <w:szCs w:val="16"/>
              </w:rPr>
            </w:pPr>
            <w:r>
              <w:rPr>
                <w:rFonts w:ascii="宋体" w:hAnsi="宋体" w:cs="宋体" w:eastAsia="宋体" w:hint="default"/>
                <w:sz w:val="16"/>
                <w:szCs w:val="16"/>
              </w:rPr>
              <w:t>关联方</w:t>
            </w:r>
          </w:p>
        </w:tc>
        <w:tc>
          <w:tcPr>
            <w:tcW w:w="946" w:type="dxa"/>
            <w:tcBorders>
              <w:top w:val="nil" w:sz="6" w:space="0" w:color="auto"/>
              <w:left w:val="nil" w:sz="6" w:space="0" w:color="auto"/>
              <w:bottom w:val="single" w:sz="6" w:space="0" w:color="000000"/>
              <w:right w:val="nil" w:sz="6" w:space="0" w:color="auto"/>
            </w:tcBorders>
          </w:tcPr>
          <w:p>
            <w:pPr>
              <w:pStyle w:val="TableParagraph"/>
              <w:spacing w:line="157" w:lineRule="exact"/>
              <w:ind w:left="237" w:right="0"/>
              <w:jc w:val="left"/>
              <w:rPr>
                <w:rFonts w:ascii="宋体" w:hAnsi="宋体" w:cs="宋体" w:eastAsia="宋体" w:hint="default"/>
                <w:sz w:val="16"/>
                <w:szCs w:val="16"/>
              </w:rPr>
            </w:pPr>
            <w:r>
              <w:rPr>
                <w:rFonts w:ascii="宋体" w:hAnsi="宋体" w:cs="宋体" w:eastAsia="宋体" w:hint="default"/>
                <w:sz w:val="16"/>
                <w:szCs w:val="16"/>
              </w:rPr>
              <w:t>关联交易</w:t>
            </w:r>
          </w:p>
          <w:p>
            <w:pPr>
              <w:pStyle w:val="TableParagraph"/>
              <w:spacing w:line="206" w:lineRule="exact" w:before="20"/>
              <w:ind w:left="74" w:right="72" w:firstLine="163"/>
              <w:jc w:val="left"/>
              <w:rPr>
                <w:rFonts w:ascii="宋体" w:hAnsi="宋体" w:cs="宋体" w:eastAsia="宋体" w:hint="default"/>
                <w:sz w:val="16"/>
                <w:szCs w:val="16"/>
              </w:rPr>
            </w:pPr>
            <w:r>
              <w:rPr>
                <w:rFonts w:ascii="宋体" w:hAnsi="宋体" w:cs="宋体" w:eastAsia="宋体" w:hint="default"/>
                <w:w w:val="95"/>
                <w:sz w:val="16"/>
                <w:szCs w:val="16"/>
              </w:rPr>
              <w:t>定价方式</w:t>
            </w:r>
            <w:r>
              <w:rPr>
                <w:rFonts w:ascii="宋体" w:hAnsi="宋体" w:cs="宋体" w:eastAsia="宋体" w:hint="default"/>
                <w:w w:val="99"/>
                <w:sz w:val="16"/>
                <w:szCs w:val="16"/>
              </w:rPr>
              <w:t> </w:t>
            </w:r>
            <w:r>
              <w:rPr>
                <w:rFonts w:ascii="宋体" w:hAnsi="宋体" w:cs="宋体" w:eastAsia="宋体" w:hint="default"/>
                <w:w w:val="95"/>
                <w:sz w:val="16"/>
                <w:szCs w:val="16"/>
              </w:rPr>
              <w:t>及决策程序</w:t>
            </w:r>
            <w:r>
              <w:rPr>
                <w:rFonts w:ascii="宋体" w:hAnsi="宋体" w:cs="宋体" w:eastAsia="宋体" w:hint="default"/>
                <w:sz w:val="16"/>
                <w:szCs w:val="16"/>
              </w:rPr>
            </w:r>
          </w:p>
        </w:tc>
        <w:tc>
          <w:tcPr>
            <w:tcW w:w="1291"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1"/>
                <w:szCs w:val="11"/>
              </w:rPr>
            </w:pPr>
          </w:p>
          <w:p>
            <w:pPr>
              <w:pStyle w:val="TableParagraph"/>
              <w:spacing w:line="240" w:lineRule="auto"/>
              <w:ind w:right="62"/>
              <w:jc w:val="right"/>
              <w:rPr>
                <w:rFonts w:ascii="宋体" w:hAnsi="宋体" w:cs="宋体" w:eastAsia="宋体" w:hint="default"/>
                <w:sz w:val="16"/>
                <w:szCs w:val="16"/>
              </w:rPr>
            </w:pPr>
            <w:r>
              <w:rPr>
                <w:rFonts w:ascii="Arial" w:hAnsi="Arial" w:cs="Arial" w:eastAsia="Arial" w:hint="default"/>
                <w:spacing w:val="-1"/>
                <w:w w:val="95"/>
                <w:sz w:val="16"/>
                <w:szCs w:val="16"/>
              </w:rPr>
              <w:t>2019</w:t>
            </w:r>
            <w:r>
              <w:rPr>
                <w:rFonts w:ascii="宋体" w:hAnsi="宋体" w:cs="宋体" w:eastAsia="宋体" w:hint="default"/>
                <w:spacing w:val="-1"/>
                <w:w w:val="95"/>
                <w:sz w:val="16"/>
                <w:szCs w:val="16"/>
              </w:rPr>
              <w:t>年</w:t>
            </w:r>
            <w:r>
              <w:rPr>
                <w:rFonts w:ascii="宋体" w:hAnsi="宋体" w:cs="宋体" w:eastAsia="宋体" w:hint="default"/>
                <w:spacing w:val="-1"/>
                <w:sz w:val="16"/>
                <w:szCs w:val="16"/>
              </w:rPr>
            </w:r>
          </w:p>
        </w:tc>
        <w:tc>
          <w:tcPr>
            <w:tcW w:w="1241"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1"/>
                <w:szCs w:val="11"/>
              </w:rPr>
            </w:pPr>
          </w:p>
          <w:p>
            <w:pPr>
              <w:pStyle w:val="TableParagraph"/>
              <w:spacing w:line="240" w:lineRule="auto"/>
              <w:ind w:right="12"/>
              <w:jc w:val="right"/>
              <w:rPr>
                <w:rFonts w:ascii="宋体" w:hAnsi="宋体" w:cs="宋体" w:eastAsia="宋体" w:hint="default"/>
                <w:sz w:val="16"/>
                <w:szCs w:val="16"/>
              </w:rPr>
            </w:pPr>
            <w:r>
              <w:rPr>
                <w:rFonts w:ascii="Arial" w:hAnsi="Arial" w:cs="Arial" w:eastAsia="Arial" w:hint="default"/>
                <w:spacing w:val="-1"/>
                <w:w w:val="95"/>
                <w:sz w:val="16"/>
                <w:szCs w:val="16"/>
              </w:rPr>
              <w:t>2018</w:t>
            </w:r>
            <w:r>
              <w:rPr>
                <w:rFonts w:ascii="宋体" w:hAnsi="宋体" w:cs="宋体" w:eastAsia="宋体" w:hint="default"/>
                <w:spacing w:val="-1"/>
                <w:w w:val="95"/>
                <w:sz w:val="16"/>
                <w:szCs w:val="16"/>
              </w:rPr>
              <w:t>年</w:t>
            </w:r>
            <w:r>
              <w:rPr>
                <w:rFonts w:ascii="宋体" w:hAnsi="宋体" w:cs="宋体" w:eastAsia="宋体" w:hint="default"/>
                <w:spacing w:val="-1"/>
                <w:sz w:val="16"/>
                <w:szCs w:val="16"/>
              </w:rPr>
            </w:r>
          </w:p>
        </w:tc>
      </w:tr>
      <w:tr>
        <w:trPr>
          <w:trHeight w:val="405" w:hRule="exact"/>
        </w:trPr>
        <w:tc>
          <w:tcPr>
            <w:tcW w:w="2476"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left="182" w:right="0"/>
              <w:jc w:val="left"/>
              <w:rPr>
                <w:rFonts w:ascii="宋体" w:hAnsi="宋体" w:cs="宋体" w:eastAsia="宋体" w:hint="default"/>
                <w:sz w:val="16"/>
                <w:szCs w:val="16"/>
              </w:rPr>
            </w:pPr>
            <w:r>
              <w:rPr>
                <w:rFonts w:ascii="宋体" w:hAnsi="宋体" w:cs="宋体" w:eastAsia="宋体" w:hint="default"/>
                <w:sz w:val="16"/>
                <w:szCs w:val="16"/>
              </w:rPr>
              <w:t>综合服务收入</w:t>
            </w:r>
            <w:r>
              <w:rPr>
                <w:rFonts w:ascii="宋体" w:hAnsi="宋体" w:cs="宋体" w:eastAsia="宋体" w:hint="default"/>
                <w:sz w:val="16"/>
                <w:szCs w:val="16"/>
              </w:rPr>
              <w:t> </w:t>
            </w:r>
          </w:p>
        </w:tc>
        <w:tc>
          <w:tcPr>
            <w:tcW w:w="1532"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left="6" w:right="0"/>
              <w:jc w:val="center"/>
              <w:rPr>
                <w:rFonts w:ascii="宋体" w:hAnsi="宋体" w:cs="宋体" w:eastAsia="宋体" w:hint="default"/>
                <w:sz w:val="16"/>
                <w:szCs w:val="16"/>
              </w:rPr>
            </w:pPr>
            <w:r>
              <w:rPr>
                <w:rFonts w:ascii="宋体" w:hAnsi="宋体" w:cs="宋体" w:eastAsia="宋体" w:hint="default"/>
                <w:sz w:val="16"/>
                <w:szCs w:val="16"/>
              </w:rPr>
              <w:t>提供劳务</w:t>
            </w:r>
          </w:p>
        </w:tc>
        <w:tc>
          <w:tcPr>
            <w:tcW w:w="1673"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72"/>
              <w:jc w:val="right"/>
              <w:rPr>
                <w:rFonts w:ascii="宋体" w:hAnsi="宋体" w:cs="宋体" w:eastAsia="宋体" w:hint="default"/>
                <w:sz w:val="16"/>
                <w:szCs w:val="16"/>
              </w:rPr>
            </w:pPr>
            <w:r>
              <w:rPr>
                <w:rFonts w:ascii="宋体" w:hAnsi="宋体" w:cs="宋体" w:eastAsia="宋体" w:hint="default"/>
                <w:w w:val="95"/>
                <w:sz w:val="16"/>
                <w:szCs w:val="16"/>
              </w:rPr>
              <w:t>联通集团及其子公司</w:t>
            </w:r>
            <w:r>
              <w:rPr>
                <w:rFonts w:ascii="宋体" w:hAnsi="宋体" w:cs="宋体" w:eastAsia="宋体" w:hint="default"/>
                <w:sz w:val="16"/>
                <w:szCs w:val="16"/>
              </w:rPr>
            </w:r>
          </w:p>
        </w:tc>
        <w:tc>
          <w:tcPr>
            <w:tcW w:w="946" w:type="dxa"/>
            <w:tcBorders>
              <w:top w:val="single" w:sz="6"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46"/>
              <w:jc w:val="center"/>
              <w:rPr>
                <w:rFonts w:ascii="Arial" w:hAnsi="Arial" w:cs="Arial" w:eastAsia="Arial" w:hint="default"/>
                <w:sz w:val="16"/>
                <w:szCs w:val="16"/>
              </w:rPr>
            </w:pPr>
            <w:r>
              <w:rPr>
                <w:rFonts w:ascii="Arial"/>
                <w:sz w:val="16"/>
              </w:rPr>
              <w:t>(1)(2)</w:t>
            </w:r>
          </w:p>
        </w:tc>
        <w:tc>
          <w:tcPr>
            <w:tcW w:w="1291" w:type="dxa"/>
            <w:tcBorders>
              <w:top w:val="single" w:sz="6"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4"/>
              <w:jc w:val="right"/>
              <w:rPr>
                <w:rFonts w:ascii="Arial" w:hAnsi="Arial" w:cs="Arial" w:eastAsia="Arial" w:hint="default"/>
                <w:sz w:val="16"/>
                <w:szCs w:val="16"/>
              </w:rPr>
            </w:pPr>
            <w:r>
              <w:rPr>
                <w:rFonts w:ascii="Arial"/>
                <w:w w:val="95"/>
                <w:sz w:val="16"/>
              </w:rPr>
              <w:t>202,667,178</w:t>
            </w:r>
            <w:r>
              <w:rPr>
                <w:rFonts w:ascii="Arial"/>
                <w:sz w:val="16"/>
              </w:rPr>
            </w:r>
          </w:p>
        </w:tc>
        <w:tc>
          <w:tcPr>
            <w:tcW w:w="1241" w:type="dxa"/>
            <w:tcBorders>
              <w:top w:val="single" w:sz="6"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70"/>
              <w:jc w:val="right"/>
              <w:rPr>
                <w:rFonts w:ascii="Arial" w:hAnsi="Arial" w:cs="Arial" w:eastAsia="Arial" w:hint="default"/>
                <w:sz w:val="16"/>
                <w:szCs w:val="16"/>
              </w:rPr>
            </w:pPr>
            <w:r>
              <w:rPr>
                <w:rFonts w:ascii="Arial"/>
                <w:w w:val="95"/>
                <w:sz w:val="16"/>
              </w:rPr>
              <w:t>83,487,806</w:t>
            </w:r>
            <w:r>
              <w:rPr>
                <w:rFonts w:ascii="Arial"/>
                <w:sz w:val="16"/>
              </w:rPr>
            </w:r>
          </w:p>
        </w:tc>
      </w:tr>
      <w:tr>
        <w:trPr>
          <w:trHeight w:val="206"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2" w:lineRule="exact"/>
              <w:ind w:left="182" w:right="0"/>
              <w:jc w:val="left"/>
              <w:rPr>
                <w:rFonts w:ascii="宋体" w:hAnsi="宋体" w:cs="宋体" w:eastAsia="宋体" w:hint="default"/>
                <w:sz w:val="16"/>
                <w:szCs w:val="16"/>
              </w:rPr>
            </w:pPr>
            <w:r>
              <w:rPr>
                <w:rFonts w:ascii="宋体" w:hAnsi="宋体" w:cs="宋体" w:eastAsia="宋体" w:hint="default"/>
                <w:sz w:val="16"/>
                <w:szCs w:val="16"/>
              </w:rPr>
              <w:t>工程设计及施工服务收入</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2" w:lineRule="exact"/>
              <w:ind w:left="6" w:right="0"/>
              <w:jc w:val="center"/>
              <w:rPr>
                <w:rFonts w:ascii="宋体" w:hAnsi="宋体" w:cs="宋体" w:eastAsia="宋体" w:hint="default"/>
                <w:sz w:val="16"/>
                <w:szCs w:val="16"/>
              </w:rPr>
            </w:pPr>
            <w:r>
              <w:rPr>
                <w:rFonts w:ascii="宋体" w:hAnsi="宋体" w:cs="宋体" w:eastAsia="宋体" w:hint="default"/>
                <w:sz w:val="16"/>
                <w:szCs w:val="16"/>
              </w:rPr>
              <w:t>提供劳务</w:t>
            </w:r>
          </w:p>
        </w:tc>
        <w:tc>
          <w:tcPr>
            <w:tcW w:w="1673" w:type="dxa"/>
            <w:tcBorders>
              <w:top w:val="nil" w:sz="6" w:space="0" w:color="auto"/>
              <w:left w:val="nil" w:sz="6" w:space="0" w:color="auto"/>
              <w:bottom w:val="nil" w:sz="6" w:space="0" w:color="auto"/>
              <w:right w:val="nil" w:sz="6" w:space="0" w:color="auto"/>
            </w:tcBorders>
          </w:tcPr>
          <w:p>
            <w:pPr>
              <w:pStyle w:val="TableParagraph"/>
              <w:spacing w:line="172" w:lineRule="exact"/>
              <w:ind w:right="72"/>
              <w:jc w:val="right"/>
              <w:rPr>
                <w:rFonts w:ascii="宋体" w:hAnsi="宋体" w:cs="宋体" w:eastAsia="宋体" w:hint="default"/>
                <w:sz w:val="16"/>
                <w:szCs w:val="16"/>
              </w:rPr>
            </w:pPr>
            <w:r>
              <w:rPr>
                <w:rFonts w:ascii="宋体" w:hAnsi="宋体" w:cs="宋体" w:eastAsia="宋体" w:hint="default"/>
                <w:w w:val="95"/>
                <w:sz w:val="16"/>
                <w:szCs w:val="16"/>
              </w:rPr>
              <w:t>铁塔公司</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7"/>
              <w:jc w:val="center"/>
              <w:rPr>
                <w:rFonts w:ascii="Arial" w:hAnsi="Arial" w:cs="Arial" w:eastAsia="Arial" w:hint="default"/>
                <w:sz w:val="16"/>
                <w:szCs w:val="16"/>
              </w:rPr>
            </w:pPr>
            <w:r>
              <w:rPr>
                <w:rFonts w:ascii="Arial"/>
                <w:sz w:val="16"/>
              </w:rPr>
              <w:t>(11)</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4"/>
              <w:jc w:val="right"/>
              <w:rPr>
                <w:rFonts w:ascii="Arial" w:hAnsi="Arial" w:cs="Arial" w:eastAsia="Arial" w:hint="default"/>
                <w:sz w:val="16"/>
                <w:szCs w:val="16"/>
              </w:rPr>
            </w:pPr>
            <w:r>
              <w:rPr>
                <w:rFonts w:ascii="Arial"/>
                <w:w w:val="95"/>
                <w:sz w:val="16"/>
              </w:rPr>
              <w:t>262,257,818</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5"/>
              <w:jc w:val="right"/>
              <w:rPr>
                <w:rFonts w:ascii="Arial" w:hAnsi="Arial" w:cs="Arial" w:eastAsia="Arial" w:hint="default"/>
                <w:sz w:val="16"/>
                <w:szCs w:val="16"/>
              </w:rPr>
            </w:pPr>
            <w:r>
              <w:rPr>
                <w:rFonts w:ascii="Arial"/>
                <w:w w:val="95"/>
                <w:sz w:val="16"/>
              </w:rPr>
              <w:t>235,304,335</w:t>
            </w:r>
            <w:r>
              <w:rPr>
                <w:rFonts w:ascii="Arial"/>
                <w:sz w:val="16"/>
              </w:rPr>
            </w:r>
          </w:p>
        </w:tc>
      </w:tr>
      <w:tr>
        <w:trPr>
          <w:trHeight w:val="209"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2" w:lineRule="exact"/>
              <w:ind w:left="182" w:right="0"/>
              <w:jc w:val="left"/>
              <w:rPr>
                <w:rFonts w:ascii="宋体" w:hAnsi="宋体" w:cs="宋体" w:eastAsia="宋体" w:hint="default"/>
                <w:sz w:val="16"/>
                <w:szCs w:val="16"/>
              </w:rPr>
            </w:pPr>
            <w:r>
              <w:rPr>
                <w:rFonts w:ascii="宋体" w:hAnsi="宋体" w:cs="宋体" w:eastAsia="宋体" w:hint="default"/>
                <w:sz w:val="16"/>
                <w:szCs w:val="16"/>
              </w:rPr>
              <w:t>数据及互联网业务收入</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2" w:lineRule="exact"/>
              <w:ind w:left="6" w:right="0"/>
              <w:jc w:val="center"/>
              <w:rPr>
                <w:rFonts w:ascii="宋体" w:hAnsi="宋体" w:cs="宋体" w:eastAsia="宋体" w:hint="default"/>
                <w:sz w:val="16"/>
                <w:szCs w:val="16"/>
              </w:rPr>
            </w:pPr>
            <w:r>
              <w:rPr>
                <w:rFonts w:ascii="宋体" w:hAnsi="宋体" w:cs="宋体" w:eastAsia="宋体" w:hint="default"/>
                <w:sz w:val="16"/>
                <w:szCs w:val="16"/>
              </w:rPr>
              <w:t>提供劳务</w:t>
            </w:r>
          </w:p>
        </w:tc>
        <w:tc>
          <w:tcPr>
            <w:tcW w:w="1673" w:type="dxa"/>
            <w:tcBorders>
              <w:top w:val="nil" w:sz="6" w:space="0" w:color="auto"/>
              <w:left w:val="nil" w:sz="6" w:space="0" w:color="auto"/>
              <w:bottom w:val="nil" w:sz="6" w:space="0" w:color="auto"/>
              <w:right w:val="nil" w:sz="6" w:space="0" w:color="auto"/>
            </w:tcBorders>
          </w:tcPr>
          <w:p>
            <w:pPr>
              <w:pStyle w:val="TableParagraph"/>
              <w:spacing w:line="172" w:lineRule="exact"/>
              <w:ind w:right="72"/>
              <w:jc w:val="right"/>
              <w:rPr>
                <w:rFonts w:ascii="宋体" w:hAnsi="宋体" w:cs="宋体" w:eastAsia="宋体" w:hint="default"/>
                <w:sz w:val="16"/>
                <w:szCs w:val="16"/>
              </w:rPr>
            </w:pPr>
            <w:r>
              <w:rPr>
                <w:rFonts w:ascii="宋体" w:hAnsi="宋体" w:cs="宋体" w:eastAsia="宋体" w:hint="default"/>
                <w:w w:val="95"/>
                <w:sz w:val="16"/>
                <w:szCs w:val="16"/>
              </w:rPr>
              <w:t>其他关联法人</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6"/>
              <w:jc w:val="center"/>
              <w:rPr>
                <w:rFonts w:ascii="Arial" w:hAnsi="Arial" w:cs="Arial" w:eastAsia="Arial" w:hint="default"/>
                <w:sz w:val="16"/>
                <w:szCs w:val="16"/>
              </w:rPr>
            </w:pPr>
            <w:r>
              <w:rPr>
                <w:rFonts w:ascii="Arial"/>
                <w:sz w:val="16"/>
              </w:rPr>
              <w:t>(15)</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4"/>
              <w:jc w:val="right"/>
              <w:rPr>
                <w:rFonts w:ascii="Arial" w:hAnsi="Arial" w:cs="Arial" w:eastAsia="Arial" w:hint="default"/>
                <w:sz w:val="16"/>
                <w:szCs w:val="16"/>
              </w:rPr>
            </w:pPr>
            <w:r>
              <w:rPr>
                <w:rFonts w:ascii="Arial"/>
                <w:w w:val="95"/>
                <w:sz w:val="16"/>
              </w:rPr>
              <w:t>1,750,769,132</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5"/>
              <w:jc w:val="right"/>
              <w:rPr>
                <w:rFonts w:ascii="Arial" w:hAnsi="Arial" w:cs="Arial" w:eastAsia="Arial" w:hint="default"/>
                <w:sz w:val="16"/>
                <w:szCs w:val="16"/>
              </w:rPr>
            </w:pPr>
            <w:r>
              <w:rPr>
                <w:rFonts w:ascii="Arial"/>
                <w:w w:val="95"/>
                <w:sz w:val="16"/>
              </w:rPr>
              <w:t>155,663,778</w:t>
            </w:r>
            <w:r>
              <w:rPr>
                <w:rFonts w:ascii="Arial"/>
                <w:sz w:val="16"/>
              </w:rPr>
            </w:r>
          </w:p>
        </w:tc>
      </w:tr>
      <w:tr>
        <w:trPr>
          <w:trHeight w:val="209"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4" w:lineRule="exact"/>
              <w:ind w:left="182" w:right="0"/>
              <w:jc w:val="left"/>
              <w:rPr>
                <w:rFonts w:ascii="宋体" w:hAnsi="宋体" w:cs="宋体" w:eastAsia="宋体" w:hint="default"/>
                <w:sz w:val="16"/>
                <w:szCs w:val="16"/>
              </w:rPr>
            </w:pPr>
            <w:r>
              <w:rPr>
                <w:rFonts w:ascii="宋体" w:hAnsi="宋体" w:cs="宋体" w:eastAsia="宋体" w:hint="default"/>
                <w:sz w:val="16"/>
                <w:szCs w:val="16"/>
              </w:rPr>
              <w:t>综合服务支出</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4" w:lineRule="exact"/>
              <w:ind w:left="6" w:right="0"/>
              <w:jc w:val="center"/>
              <w:rPr>
                <w:rFonts w:ascii="宋体" w:hAnsi="宋体" w:cs="宋体" w:eastAsia="宋体" w:hint="default"/>
                <w:sz w:val="16"/>
                <w:szCs w:val="16"/>
              </w:rPr>
            </w:pPr>
            <w:r>
              <w:rPr>
                <w:rFonts w:ascii="宋体" w:hAnsi="宋体" w:cs="宋体" w:eastAsia="宋体" w:hint="default"/>
                <w:sz w:val="16"/>
                <w:szCs w:val="16"/>
              </w:rPr>
              <w:t>接受劳务</w:t>
            </w:r>
          </w:p>
        </w:tc>
        <w:tc>
          <w:tcPr>
            <w:tcW w:w="1673" w:type="dxa"/>
            <w:tcBorders>
              <w:top w:val="nil" w:sz="6" w:space="0" w:color="auto"/>
              <w:left w:val="nil" w:sz="6" w:space="0" w:color="auto"/>
              <w:bottom w:val="nil" w:sz="6" w:space="0" w:color="auto"/>
              <w:right w:val="nil" w:sz="6" w:space="0" w:color="auto"/>
            </w:tcBorders>
          </w:tcPr>
          <w:p>
            <w:pPr>
              <w:pStyle w:val="TableParagraph"/>
              <w:spacing w:line="174" w:lineRule="exact"/>
              <w:ind w:right="72"/>
              <w:jc w:val="right"/>
              <w:rPr>
                <w:rFonts w:ascii="宋体" w:hAnsi="宋体" w:cs="宋体" w:eastAsia="宋体" w:hint="default"/>
                <w:sz w:val="16"/>
                <w:szCs w:val="16"/>
              </w:rPr>
            </w:pPr>
            <w:r>
              <w:rPr>
                <w:rFonts w:ascii="宋体" w:hAnsi="宋体" w:cs="宋体" w:eastAsia="宋体" w:hint="default"/>
                <w:w w:val="95"/>
                <w:sz w:val="16"/>
                <w:szCs w:val="16"/>
              </w:rPr>
              <w:t>联通集团及其子公司</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6"/>
              <w:jc w:val="center"/>
              <w:rPr>
                <w:rFonts w:ascii="Arial" w:hAnsi="Arial" w:cs="Arial" w:eastAsia="Arial" w:hint="default"/>
                <w:sz w:val="16"/>
                <w:szCs w:val="16"/>
              </w:rPr>
            </w:pPr>
            <w:r>
              <w:rPr>
                <w:rFonts w:ascii="Arial"/>
                <w:sz w:val="16"/>
              </w:rPr>
              <w:t>(1)(2)</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4"/>
              <w:jc w:val="right"/>
              <w:rPr>
                <w:rFonts w:ascii="Arial" w:hAnsi="Arial" w:cs="Arial" w:eastAsia="Arial" w:hint="default"/>
                <w:sz w:val="16"/>
                <w:szCs w:val="16"/>
              </w:rPr>
            </w:pPr>
            <w:r>
              <w:rPr>
                <w:rFonts w:ascii="Arial"/>
                <w:w w:val="95"/>
                <w:sz w:val="16"/>
              </w:rPr>
              <w:t>1,051,648,274</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4"/>
              <w:jc w:val="right"/>
              <w:rPr>
                <w:rFonts w:ascii="Arial" w:hAnsi="Arial" w:cs="Arial" w:eastAsia="Arial" w:hint="default"/>
                <w:sz w:val="16"/>
                <w:szCs w:val="16"/>
              </w:rPr>
            </w:pPr>
            <w:r>
              <w:rPr>
                <w:rFonts w:ascii="Arial"/>
                <w:w w:val="95"/>
                <w:sz w:val="16"/>
              </w:rPr>
              <w:t>1,230,878,338</w:t>
            </w:r>
            <w:r>
              <w:rPr>
                <w:rFonts w:ascii="Arial"/>
                <w:sz w:val="16"/>
              </w:rPr>
            </w:r>
          </w:p>
        </w:tc>
      </w:tr>
      <w:tr>
        <w:trPr>
          <w:trHeight w:val="206"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2" w:lineRule="exact"/>
              <w:ind w:left="182" w:right="0"/>
              <w:jc w:val="left"/>
              <w:rPr>
                <w:rFonts w:ascii="宋体" w:hAnsi="宋体" w:cs="宋体" w:eastAsia="宋体" w:hint="default"/>
                <w:sz w:val="16"/>
                <w:szCs w:val="16"/>
              </w:rPr>
            </w:pPr>
            <w:r>
              <w:rPr>
                <w:rFonts w:ascii="宋体" w:hAnsi="宋体" w:cs="宋体" w:eastAsia="宋体" w:hint="default"/>
                <w:sz w:val="16"/>
                <w:szCs w:val="16"/>
              </w:rPr>
              <w:t>支付移动增值服务支出</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2" w:lineRule="exact"/>
              <w:ind w:left="6" w:right="0"/>
              <w:jc w:val="center"/>
              <w:rPr>
                <w:rFonts w:ascii="宋体" w:hAnsi="宋体" w:cs="宋体" w:eastAsia="宋体" w:hint="default"/>
                <w:sz w:val="16"/>
                <w:szCs w:val="16"/>
              </w:rPr>
            </w:pPr>
            <w:r>
              <w:rPr>
                <w:rFonts w:ascii="宋体" w:hAnsi="宋体" w:cs="宋体" w:eastAsia="宋体" w:hint="default"/>
                <w:sz w:val="16"/>
                <w:szCs w:val="16"/>
              </w:rPr>
              <w:t>接受劳务</w:t>
            </w:r>
          </w:p>
        </w:tc>
        <w:tc>
          <w:tcPr>
            <w:tcW w:w="1673" w:type="dxa"/>
            <w:tcBorders>
              <w:top w:val="nil" w:sz="6" w:space="0" w:color="auto"/>
              <w:left w:val="nil" w:sz="6" w:space="0" w:color="auto"/>
              <w:bottom w:val="nil" w:sz="6" w:space="0" w:color="auto"/>
              <w:right w:val="nil" w:sz="6" w:space="0" w:color="auto"/>
            </w:tcBorders>
          </w:tcPr>
          <w:p>
            <w:pPr>
              <w:pStyle w:val="TableParagraph"/>
              <w:spacing w:line="172" w:lineRule="exact"/>
              <w:ind w:right="72"/>
              <w:jc w:val="right"/>
              <w:rPr>
                <w:rFonts w:ascii="宋体" w:hAnsi="宋体" w:cs="宋体" w:eastAsia="宋体" w:hint="default"/>
                <w:sz w:val="16"/>
                <w:szCs w:val="16"/>
              </w:rPr>
            </w:pPr>
            <w:r>
              <w:rPr>
                <w:rFonts w:ascii="宋体" w:hAnsi="宋体" w:cs="宋体" w:eastAsia="宋体" w:hint="default"/>
                <w:w w:val="95"/>
                <w:sz w:val="16"/>
                <w:szCs w:val="16"/>
              </w:rPr>
              <w:t>联通集团及其子公司</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6"/>
              <w:jc w:val="center"/>
              <w:rPr>
                <w:rFonts w:ascii="Arial" w:hAnsi="Arial" w:cs="Arial" w:eastAsia="Arial" w:hint="default"/>
                <w:sz w:val="16"/>
                <w:szCs w:val="16"/>
              </w:rPr>
            </w:pPr>
            <w:r>
              <w:rPr>
                <w:rFonts w:ascii="Arial"/>
                <w:sz w:val="16"/>
              </w:rPr>
              <w:t>(1)(4)</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Arial" w:hAnsi="Arial" w:cs="Arial" w:eastAsia="Arial" w:hint="default"/>
                <w:sz w:val="16"/>
                <w:szCs w:val="16"/>
              </w:rPr>
            </w:pPr>
            <w:r>
              <w:rPr>
                <w:rFonts w:ascii="Arial"/>
                <w:w w:val="95"/>
                <w:sz w:val="16"/>
              </w:rPr>
              <w:t>68,798,399</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0"/>
              <w:jc w:val="right"/>
              <w:rPr>
                <w:rFonts w:ascii="Arial" w:hAnsi="Arial" w:cs="Arial" w:eastAsia="Arial" w:hint="default"/>
                <w:sz w:val="16"/>
                <w:szCs w:val="16"/>
              </w:rPr>
            </w:pPr>
            <w:r>
              <w:rPr>
                <w:rFonts w:ascii="Arial"/>
                <w:w w:val="95"/>
                <w:sz w:val="16"/>
              </w:rPr>
              <w:t>43,308,109</w:t>
            </w:r>
            <w:r>
              <w:rPr>
                <w:rFonts w:ascii="Arial"/>
                <w:sz w:val="16"/>
              </w:rPr>
            </w:r>
          </w:p>
        </w:tc>
      </w:tr>
      <w:tr>
        <w:trPr>
          <w:trHeight w:val="206"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2" w:lineRule="exact"/>
              <w:ind w:left="182" w:right="0"/>
              <w:jc w:val="left"/>
              <w:rPr>
                <w:rFonts w:ascii="宋体" w:hAnsi="宋体" w:cs="宋体" w:eastAsia="宋体" w:hint="default"/>
                <w:sz w:val="16"/>
                <w:szCs w:val="16"/>
              </w:rPr>
            </w:pPr>
            <w:r>
              <w:rPr>
                <w:rFonts w:ascii="宋体" w:hAnsi="宋体" w:cs="宋体" w:eastAsia="宋体" w:hint="default"/>
                <w:sz w:val="16"/>
                <w:szCs w:val="16"/>
              </w:rPr>
              <w:t>支付移动增值服务支出</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2" w:lineRule="exact"/>
              <w:ind w:left="6" w:right="0"/>
              <w:jc w:val="center"/>
              <w:rPr>
                <w:rFonts w:ascii="宋体" w:hAnsi="宋体" w:cs="宋体" w:eastAsia="宋体" w:hint="default"/>
                <w:sz w:val="16"/>
                <w:szCs w:val="16"/>
              </w:rPr>
            </w:pPr>
            <w:r>
              <w:rPr>
                <w:rFonts w:ascii="宋体" w:hAnsi="宋体" w:cs="宋体" w:eastAsia="宋体" w:hint="default"/>
                <w:sz w:val="16"/>
                <w:szCs w:val="16"/>
              </w:rPr>
              <w:t>接受劳务</w:t>
            </w:r>
          </w:p>
        </w:tc>
        <w:tc>
          <w:tcPr>
            <w:tcW w:w="1673" w:type="dxa"/>
            <w:tcBorders>
              <w:top w:val="nil" w:sz="6" w:space="0" w:color="auto"/>
              <w:left w:val="nil" w:sz="6" w:space="0" w:color="auto"/>
              <w:bottom w:val="nil" w:sz="6" w:space="0" w:color="auto"/>
              <w:right w:val="nil" w:sz="6" w:space="0" w:color="auto"/>
            </w:tcBorders>
          </w:tcPr>
          <w:p>
            <w:pPr>
              <w:pStyle w:val="TableParagraph"/>
              <w:spacing w:line="172" w:lineRule="exact"/>
              <w:ind w:right="72"/>
              <w:jc w:val="right"/>
              <w:rPr>
                <w:rFonts w:ascii="宋体" w:hAnsi="宋体" w:cs="宋体" w:eastAsia="宋体" w:hint="default"/>
                <w:sz w:val="16"/>
                <w:szCs w:val="16"/>
              </w:rPr>
            </w:pPr>
            <w:r>
              <w:rPr>
                <w:rFonts w:ascii="宋体" w:hAnsi="宋体" w:cs="宋体" w:eastAsia="宋体" w:hint="default"/>
                <w:w w:val="95"/>
                <w:sz w:val="16"/>
                <w:szCs w:val="16"/>
              </w:rPr>
              <w:t>其他合营和联营企业</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6"/>
              <w:jc w:val="center"/>
              <w:rPr>
                <w:rFonts w:ascii="Arial" w:hAnsi="Arial" w:cs="Arial" w:eastAsia="Arial" w:hint="default"/>
                <w:sz w:val="16"/>
                <w:szCs w:val="16"/>
              </w:rPr>
            </w:pPr>
            <w:r>
              <w:rPr>
                <w:rFonts w:ascii="Arial"/>
                <w:sz w:val="16"/>
              </w:rPr>
              <w:t>(4)</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4"/>
              <w:jc w:val="right"/>
              <w:rPr>
                <w:rFonts w:ascii="Arial" w:hAnsi="Arial" w:cs="Arial" w:eastAsia="Arial" w:hint="default"/>
                <w:sz w:val="16"/>
                <w:szCs w:val="16"/>
              </w:rPr>
            </w:pPr>
            <w:r>
              <w:rPr>
                <w:rFonts w:ascii="Arial"/>
                <w:w w:val="95"/>
                <w:sz w:val="16"/>
              </w:rPr>
              <w:t>41,163,020</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8"/>
              <w:jc w:val="right"/>
              <w:rPr>
                <w:rFonts w:ascii="Arial" w:hAnsi="Arial" w:cs="Arial" w:eastAsia="Arial" w:hint="default"/>
                <w:sz w:val="16"/>
                <w:szCs w:val="16"/>
              </w:rPr>
            </w:pPr>
            <w:r>
              <w:rPr>
                <w:rFonts w:ascii="Arial"/>
                <w:w w:val="95"/>
                <w:sz w:val="16"/>
              </w:rPr>
              <w:t>25,188,636</w:t>
            </w:r>
            <w:r>
              <w:rPr>
                <w:rFonts w:ascii="Arial"/>
                <w:sz w:val="16"/>
              </w:rPr>
            </w:r>
          </w:p>
        </w:tc>
      </w:tr>
      <w:tr>
        <w:trPr>
          <w:trHeight w:val="209"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2" w:lineRule="exact"/>
              <w:ind w:left="182" w:right="0"/>
              <w:jc w:val="left"/>
              <w:rPr>
                <w:rFonts w:ascii="宋体" w:hAnsi="宋体" w:cs="宋体" w:eastAsia="宋体" w:hint="default"/>
                <w:sz w:val="16"/>
                <w:szCs w:val="16"/>
              </w:rPr>
            </w:pPr>
            <w:r>
              <w:rPr>
                <w:rFonts w:ascii="宋体" w:hAnsi="宋体" w:cs="宋体" w:eastAsia="宋体" w:hint="default"/>
                <w:sz w:val="16"/>
                <w:szCs w:val="16"/>
              </w:rPr>
              <w:t>工程设计及施工服务支出</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2" w:lineRule="exact"/>
              <w:ind w:left="6" w:right="0"/>
              <w:jc w:val="center"/>
              <w:rPr>
                <w:rFonts w:ascii="宋体" w:hAnsi="宋体" w:cs="宋体" w:eastAsia="宋体" w:hint="default"/>
                <w:sz w:val="16"/>
                <w:szCs w:val="16"/>
              </w:rPr>
            </w:pPr>
            <w:r>
              <w:rPr>
                <w:rFonts w:ascii="宋体" w:hAnsi="宋体" w:cs="宋体" w:eastAsia="宋体" w:hint="default"/>
                <w:sz w:val="16"/>
                <w:szCs w:val="16"/>
              </w:rPr>
              <w:t>接受劳务</w:t>
            </w:r>
          </w:p>
        </w:tc>
        <w:tc>
          <w:tcPr>
            <w:tcW w:w="1673" w:type="dxa"/>
            <w:tcBorders>
              <w:top w:val="nil" w:sz="6" w:space="0" w:color="auto"/>
              <w:left w:val="nil" w:sz="6" w:space="0" w:color="auto"/>
              <w:bottom w:val="nil" w:sz="6" w:space="0" w:color="auto"/>
              <w:right w:val="nil" w:sz="6" w:space="0" w:color="auto"/>
            </w:tcBorders>
          </w:tcPr>
          <w:p>
            <w:pPr>
              <w:pStyle w:val="TableParagraph"/>
              <w:spacing w:line="172" w:lineRule="exact"/>
              <w:ind w:right="72"/>
              <w:jc w:val="right"/>
              <w:rPr>
                <w:rFonts w:ascii="宋体" w:hAnsi="宋体" w:cs="宋体" w:eastAsia="宋体" w:hint="default"/>
                <w:sz w:val="16"/>
                <w:szCs w:val="16"/>
              </w:rPr>
            </w:pPr>
            <w:r>
              <w:rPr>
                <w:rFonts w:ascii="宋体" w:hAnsi="宋体" w:cs="宋体" w:eastAsia="宋体" w:hint="default"/>
                <w:w w:val="95"/>
                <w:sz w:val="16"/>
                <w:szCs w:val="16"/>
              </w:rPr>
              <w:t>联通集团及其子公司</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6"/>
              <w:jc w:val="center"/>
              <w:rPr>
                <w:rFonts w:ascii="Arial" w:hAnsi="Arial" w:cs="Arial" w:eastAsia="Arial" w:hint="default"/>
                <w:sz w:val="16"/>
                <w:szCs w:val="16"/>
              </w:rPr>
            </w:pPr>
            <w:r>
              <w:rPr>
                <w:rFonts w:ascii="Arial"/>
                <w:sz w:val="16"/>
              </w:rPr>
              <w:t>(1)(5)</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4"/>
              <w:jc w:val="right"/>
              <w:rPr>
                <w:rFonts w:ascii="Arial" w:hAnsi="Arial" w:cs="Arial" w:eastAsia="Arial" w:hint="default"/>
                <w:sz w:val="16"/>
                <w:szCs w:val="16"/>
              </w:rPr>
            </w:pPr>
            <w:r>
              <w:rPr>
                <w:rFonts w:ascii="Arial"/>
                <w:w w:val="95"/>
                <w:sz w:val="16"/>
              </w:rPr>
              <w:t>1,537,072,423</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4"/>
              <w:jc w:val="right"/>
              <w:rPr>
                <w:rFonts w:ascii="Arial" w:hAnsi="Arial" w:cs="Arial" w:eastAsia="Arial" w:hint="default"/>
                <w:sz w:val="16"/>
                <w:szCs w:val="16"/>
              </w:rPr>
            </w:pPr>
            <w:r>
              <w:rPr>
                <w:rFonts w:ascii="Arial"/>
                <w:w w:val="95"/>
                <w:sz w:val="16"/>
              </w:rPr>
              <w:t>2,054,510,746</w:t>
            </w:r>
            <w:r>
              <w:rPr>
                <w:rFonts w:ascii="Arial"/>
                <w:sz w:val="16"/>
              </w:rPr>
            </w:r>
          </w:p>
        </w:tc>
      </w:tr>
      <w:tr>
        <w:trPr>
          <w:trHeight w:val="209"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4" w:lineRule="exact"/>
              <w:ind w:left="182" w:right="0"/>
              <w:jc w:val="left"/>
              <w:rPr>
                <w:rFonts w:ascii="宋体" w:hAnsi="宋体" w:cs="宋体" w:eastAsia="宋体" w:hint="default"/>
                <w:sz w:val="16"/>
                <w:szCs w:val="16"/>
              </w:rPr>
            </w:pPr>
            <w:r>
              <w:rPr>
                <w:rFonts w:ascii="宋体" w:hAnsi="宋体" w:cs="宋体" w:eastAsia="宋体" w:hint="default"/>
                <w:sz w:val="16"/>
                <w:szCs w:val="16"/>
              </w:rPr>
              <w:t>共享服务支出</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4" w:lineRule="exact"/>
              <w:ind w:left="6" w:right="0"/>
              <w:jc w:val="center"/>
              <w:rPr>
                <w:rFonts w:ascii="宋体" w:hAnsi="宋体" w:cs="宋体" w:eastAsia="宋体" w:hint="default"/>
                <w:sz w:val="16"/>
                <w:szCs w:val="16"/>
              </w:rPr>
            </w:pPr>
            <w:r>
              <w:rPr>
                <w:rFonts w:ascii="宋体" w:hAnsi="宋体" w:cs="宋体" w:eastAsia="宋体" w:hint="default"/>
                <w:sz w:val="16"/>
                <w:szCs w:val="16"/>
              </w:rPr>
              <w:t>接受劳务</w:t>
            </w:r>
          </w:p>
        </w:tc>
        <w:tc>
          <w:tcPr>
            <w:tcW w:w="1673" w:type="dxa"/>
            <w:tcBorders>
              <w:top w:val="nil" w:sz="6" w:space="0" w:color="auto"/>
              <w:left w:val="nil" w:sz="6" w:space="0" w:color="auto"/>
              <w:bottom w:val="nil" w:sz="6" w:space="0" w:color="auto"/>
              <w:right w:val="nil" w:sz="6" w:space="0" w:color="auto"/>
            </w:tcBorders>
          </w:tcPr>
          <w:p>
            <w:pPr>
              <w:pStyle w:val="TableParagraph"/>
              <w:spacing w:line="174" w:lineRule="exact"/>
              <w:ind w:right="72"/>
              <w:jc w:val="right"/>
              <w:rPr>
                <w:rFonts w:ascii="宋体" w:hAnsi="宋体" w:cs="宋体" w:eastAsia="宋体" w:hint="default"/>
                <w:sz w:val="16"/>
                <w:szCs w:val="16"/>
              </w:rPr>
            </w:pPr>
            <w:r>
              <w:rPr>
                <w:rFonts w:ascii="宋体" w:hAnsi="宋体" w:cs="宋体" w:eastAsia="宋体" w:hint="default"/>
                <w:w w:val="95"/>
                <w:sz w:val="16"/>
                <w:szCs w:val="16"/>
              </w:rPr>
              <w:t>联通集团及其子公司</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6"/>
              <w:jc w:val="center"/>
              <w:rPr>
                <w:rFonts w:ascii="Arial" w:hAnsi="Arial" w:cs="Arial" w:eastAsia="Arial" w:hint="default"/>
                <w:sz w:val="16"/>
                <w:szCs w:val="16"/>
              </w:rPr>
            </w:pPr>
            <w:r>
              <w:rPr>
                <w:rFonts w:ascii="Arial"/>
                <w:sz w:val="16"/>
              </w:rPr>
              <w:t>(1)(6)</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Arial" w:hAnsi="Arial" w:cs="Arial" w:eastAsia="Arial" w:hint="default"/>
                <w:sz w:val="16"/>
                <w:szCs w:val="16"/>
              </w:rPr>
            </w:pPr>
            <w:r>
              <w:rPr>
                <w:rFonts w:ascii="Arial"/>
                <w:w w:val="95"/>
                <w:sz w:val="16"/>
              </w:rPr>
              <w:t>76,613,544</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70"/>
              <w:jc w:val="right"/>
              <w:rPr>
                <w:rFonts w:ascii="Arial" w:hAnsi="Arial" w:cs="Arial" w:eastAsia="Arial" w:hint="default"/>
                <w:sz w:val="16"/>
                <w:szCs w:val="16"/>
              </w:rPr>
            </w:pPr>
            <w:r>
              <w:rPr>
                <w:rFonts w:ascii="Arial"/>
                <w:w w:val="95"/>
                <w:sz w:val="16"/>
              </w:rPr>
              <w:t>77,185,826</w:t>
            </w:r>
            <w:r>
              <w:rPr>
                <w:rFonts w:ascii="Arial"/>
                <w:sz w:val="16"/>
              </w:rPr>
            </w:r>
          </w:p>
        </w:tc>
      </w:tr>
      <w:tr>
        <w:trPr>
          <w:trHeight w:val="206"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2" w:lineRule="exact"/>
              <w:ind w:left="182" w:right="0"/>
              <w:jc w:val="left"/>
              <w:rPr>
                <w:rFonts w:ascii="宋体" w:hAnsi="宋体" w:cs="宋体" w:eastAsia="宋体" w:hint="default"/>
                <w:sz w:val="16"/>
                <w:szCs w:val="16"/>
              </w:rPr>
            </w:pPr>
            <w:r>
              <w:rPr>
                <w:rFonts w:ascii="宋体" w:hAnsi="宋体" w:cs="宋体" w:eastAsia="宋体" w:hint="default"/>
                <w:sz w:val="16"/>
                <w:szCs w:val="16"/>
              </w:rPr>
              <w:t>末梢电信服务支出</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2" w:lineRule="exact"/>
              <w:ind w:left="6" w:right="0"/>
              <w:jc w:val="center"/>
              <w:rPr>
                <w:rFonts w:ascii="宋体" w:hAnsi="宋体" w:cs="宋体" w:eastAsia="宋体" w:hint="default"/>
                <w:sz w:val="16"/>
                <w:szCs w:val="16"/>
              </w:rPr>
            </w:pPr>
            <w:r>
              <w:rPr>
                <w:rFonts w:ascii="宋体" w:hAnsi="宋体" w:cs="宋体" w:eastAsia="宋体" w:hint="default"/>
                <w:sz w:val="16"/>
                <w:szCs w:val="16"/>
              </w:rPr>
              <w:t>接受劳务</w:t>
            </w:r>
          </w:p>
        </w:tc>
        <w:tc>
          <w:tcPr>
            <w:tcW w:w="1673" w:type="dxa"/>
            <w:tcBorders>
              <w:top w:val="nil" w:sz="6" w:space="0" w:color="auto"/>
              <w:left w:val="nil" w:sz="6" w:space="0" w:color="auto"/>
              <w:bottom w:val="nil" w:sz="6" w:space="0" w:color="auto"/>
              <w:right w:val="nil" w:sz="6" w:space="0" w:color="auto"/>
            </w:tcBorders>
          </w:tcPr>
          <w:p>
            <w:pPr>
              <w:pStyle w:val="TableParagraph"/>
              <w:spacing w:line="172" w:lineRule="exact"/>
              <w:ind w:right="72"/>
              <w:jc w:val="right"/>
              <w:rPr>
                <w:rFonts w:ascii="宋体" w:hAnsi="宋体" w:cs="宋体" w:eastAsia="宋体" w:hint="default"/>
                <w:sz w:val="16"/>
                <w:szCs w:val="16"/>
              </w:rPr>
            </w:pPr>
            <w:r>
              <w:rPr>
                <w:rFonts w:ascii="宋体" w:hAnsi="宋体" w:cs="宋体" w:eastAsia="宋体" w:hint="default"/>
                <w:w w:val="95"/>
                <w:sz w:val="16"/>
                <w:szCs w:val="16"/>
              </w:rPr>
              <w:t>联通集团及其子公司</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6"/>
              <w:jc w:val="center"/>
              <w:rPr>
                <w:rFonts w:ascii="Arial" w:hAnsi="Arial" w:cs="Arial" w:eastAsia="Arial" w:hint="default"/>
                <w:sz w:val="16"/>
                <w:szCs w:val="16"/>
              </w:rPr>
            </w:pPr>
            <w:r>
              <w:rPr>
                <w:rFonts w:ascii="Arial"/>
                <w:sz w:val="16"/>
              </w:rPr>
              <w:t>(1)(7)</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4"/>
              <w:jc w:val="right"/>
              <w:rPr>
                <w:rFonts w:ascii="Arial" w:hAnsi="Arial" w:cs="Arial" w:eastAsia="Arial" w:hint="default"/>
                <w:sz w:val="16"/>
                <w:szCs w:val="16"/>
              </w:rPr>
            </w:pPr>
            <w:r>
              <w:rPr>
                <w:rFonts w:ascii="Arial"/>
                <w:w w:val="95"/>
                <w:sz w:val="16"/>
              </w:rPr>
              <w:t>2,416,532,327</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4"/>
              <w:jc w:val="right"/>
              <w:rPr>
                <w:rFonts w:ascii="Arial" w:hAnsi="Arial" w:cs="Arial" w:eastAsia="Arial" w:hint="default"/>
                <w:sz w:val="16"/>
                <w:szCs w:val="16"/>
              </w:rPr>
            </w:pPr>
            <w:r>
              <w:rPr>
                <w:rFonts w:ascii="Arial"/>
                <w:w w:val="95"/>
                <w:sz w:val="16"/>
              </w:rPr>
              <w:t>2,905,199,737</w:t>
            </w:r>
            <w:r>
              <w:rPr>
                <w:rFonts w:ascii="Arial"/>
                <w:sz w:val="16"/>
              </w:rPr>
            </w:r>
          </w:p>
        </w:tc>
      </w:tr>
      <w:tr>
        <w:trPr>
          <w:trHeight w:val="206"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2" w:lineRule="exact"/>
              <w:ind w:left="182" w:right="0"/>
              <w:jc w:val="left"/>
              <w:rPr>
                <w:rFonts w:ascii="宋体" w:hAnsi="宋体" w:cs="宋体" w:eastAsia="宋体" w:hint="default"/>
                <w:sz w:val="16"/>
                <w:szCs w:val="16"/>
              </w:rPr>
            </w:pPr>
            <w:r>
              <w:rPr>
                <w:rFonts w:ascii="宋体" w:hAnsi="宋体" w:cs="宋体" w:eastAsia="宋体" w:hint="default"/>
                <w:sz w:val="16"/>
                <w:szCs w:val="16"/>
              </w:rPr>
              <w:t>综合服务支出</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2" w:lineRule="exact"/>
              <w:ind w:left="6" w:right="0"/>
              <w:jc w:val="center"/>
              <w:rPr>
                <w:rFonts w:ascii="宋体" w:hAnsi="宋体" w:cs="宋体" w:eastAsia="宋体" w:hint="default"/>
                <w:sz w:val="16"/>
                <w:szCs w:val="16"/>
              </w:rPr>
            </w:pPr>
            <w:r>
              <w:rPr>
                <w:rFonts w:ascii="宋体" w:hAnsi="宋体" w:cs="宋体" w:eastAsia="宋体" w:hint="default"/>
                <w:sz w:val="16"/>
                <w:szCs w:val="16"/>
              </w:rPr>
              <w:t>接受劳务</w:t>
            </w:r>
          </w:p>
        </w:tc>
        <w:tc>
          <w:tcPr>
            <w:tcW w:w="1673" w:type="dxa"/>
            <w:tcBorders>
              <w:top w:val="nil" w:sz="6" w:space="0" w:color="auto"/>
              <w:left w:val="nil" w:sz="6" w:space="0" w:color="auto"/>
              <w:bottom w:val="nil" w:sz="6" w:space="0" w:color="auto"/>
              <w:right w:val="nil" w:sz="6" w:space="0" w:color="auto"/>
            </w:tcBorders>
          </w:tcPr>
          <w:p>
            <w:pPr>
              <w:pStyle w:val="TableParagraph"/>
              <w:spacing w:line="172" w:lineRule="exact"/>
              <w:ind w:right="72"/>
              <w:jc w:val="right"/>
              <w:rPr>
                <w:rFonts w:ascii="宋体" w:hAnsi="宋体" w:cs="宋体" w:eastAsia="宋体" w:hint="default"/>
                <w:sz w:val="16"/>
                <w:szCs w:val="16"/>
              </w:rPr>
            </w:pPr>
            <w:r>
              <w:rPr>
                <w:rFonts w:ascii="宋体" w:hAnsi="宋体" w:cs="宋体" w:eastAsia="宋体" w:hint="default"/>
                <w:w w:val="95"/>
                <w:sz w:val="16"/>
                <w:szCs w:val="16"/>
              </w:rPr>
              <w:t>其他关联法人</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6"/>
              <w:jc w:val="center"/>
              <w:rPr>
                <w:rFonts w:ascii="Arial" w:hAnsi="Arial" w:cs="Arial" w:eastAsia="Arial" w:hint="default"/>
                <w:sz w:val="16"/>
                <w:szCs w:val="16"/>
              </w:rPr>
            </w:pPr>
            <w:r>
              <w:rPr>
                <w:rFonts w:ascii="Arial"/>
                <w:sz w:val="16"/>
              </w:rPr>
              <w:t>(15)</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4"/>
              <w:jc w:val="right"/>
              <w:rPr>
                <w:rFonts w:ascii="Arial" w:hAnsi="Arial" w:cs="Arial" w:eastAsia="Arial" w:hint="default"/>
                <w:sz w:val="16"/>
                <w:szCs w:val="16"/>
              </w:rPr>
            </w:pPr>
            <w:r>
              <w:rPr>
                <w:rFonts w:ascii="Arial"/>
                <w:w w:val="95"/>
                <w:sz w:val="16"/>
              </w:rPr>
              <w:t>1,115,786,227</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3"/>
              <w:jc w:val="right"/>
              <w:rPr>
                <w:rFonts w:ascii="Arial" w:hAnsi="Arial" w:cs="Arial" w:eastAsia="Arial" w:hint="default"/>
                <w:sz w:val="16"/>
                <w:szCs w:val="16"/>
              </w:rPr>
            </w:pPr>
            <w:r>
              <w:rPr>
                <w:rFonts w:ascii="Arial"/>
                <w:w w:val="95"/>
                <w:sz w:val="16"/>
              </w:rPr>
              <w:t>108,112,692</w:t>
            </w:r>
            <w:r>
              <w:rPr>
                <w:rFonts w:ascii="Arial"/>
                <w:sz w:val="16"/>
              </w:rPr>
            </w:r>
          </w:p>
        </w:tc>
      </w:tr>
      <w:tr>
        <w:trPr>
          <w:trHeight w:val="415"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2" w:lineRule="exact"/>
              <w:ind w:left="172" w:right="0"/>
              <w:jc w:val="left"/>
              <w:rPr>
                <w:rFonts w:ascii="宋体" w:hAnsi="宋体" w:cs="宋体" w:eastAsia="宋体" w:hint="default"/>
                <w:sz w:val="16"/>
                <w:szCs w:val="16"/>
              </w:rPr>
            </w:pPr>
            <w:r>
              <w:rPr>
                <w:rFonts w:ascii="宋体" w:hAnsi="宋体" w:cs="宋体" w:eastAsia="宋体" w:hint="default"/>
                <w:sz w:val="16"/>
                <w:szCs w:val="16"/>
              </w:rPr>
              <w:t>物业、设备和设施的租赁及其相</w:t>
            </w:r>
          </w:p>
          <w:p>
            <w:pPr>
              <w:pStyle w:val="TableParagraph"/>
              <w:spacing w:line="240" w:lineRule="auto" w:before="1"/>
              <w:ind w:left="316" w:right="0"/>
              <w:jc w:val="left"/>
              <w:rPr>
                <w:rFonts w:ascii="宋体" w:hAnsi="宋体" w:cs="宋体" w:eastAsia="宋体" w:hint="default"/>
                <w:sz w:val="16"/>
                <w:szCs w:val="16"/>
              </w:rPr>
            </w:pPr>
            <w:r>
              <w:rPr>
                <w:rFonts w:ascii="宋体" w:hAnsi="宋体" w:cs="宋体" w:eastAsia="宋体" w:hint="default"/>
                <w:sz w:val="16"/>
                <w:szCs w:val="16"/>
              </w:rPr>
              <w:t>关服务支出</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0" w:right="0"/>
              <w:jc w:val="center"/>
              <w:rPr>
                <w:rFonts w:ascii="宋体" w:hAnsi="宋体" w:cs="宋体" w:eastAsia="宋体" w:hint="default"/>
                <w:sz w:val="16"/>
                <w:szCs w:val="16"/>
              </w:rPr>
            </w:pPr>
            <w:r>
              <w:rPr>
                <w:rFonts w:ascii="宋体" w:hAnsi="宋体" w:cs="宋体" w:eastAsia="宋体" w:hint="default"/>
                <w:sz w:val="16"/>
                <w:szCs w:val="16"/>
              </w:rPr>
              <w:t>租赁支出、接受劳务</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72"/>
              <w:jc w:val="right"/>
              <w:rPr>
                <w:rFonts w:ascii="宋体" w:hAnsi="宋体" w:cs="宋体" w:eastAsia="宋体" w:hint="default"/>
                <w:sz w:val="16"/>
                <w:szCs w:val="16"/>
              </w:rPr>
            </w:pPr>
            <w:r>
              <w:rPr>
                <w:rFonts w:ascii="宋体" w:hAnsi="宋体" w:cs="宋体" w:eastAsia="宋体" w:hint="default"/>
                <w:w w:val="95"/>
                <w:sz w:val="16"/>
                <w:szCs w:val="16"/>
              </w:rPr>
              <w:t>联通集团及其子公司</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46"/>
              <w:jc w:val="center"/>
              <w:rPr>
                <w:rFonts w:ascii="Arial" w:hAnsi="Arial" w:cs="Arial" w:eastAsia="Arial" w:hint="default"/>
                <w:sz w:val="16"/>
                <w:szCs w:val="16"/>
              </w:rPr>
            </w:pPr>
            <w:r>
              <w:rPr>
                <w:rFonts w:ascii="Arial"/>
                <w:sz w:val="16"/>
              </w:rPr>
              <w:t>(1)(8)</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04"/>
              <w:jc w:val="right"/>
              <w:rPr>
                <w:rFonts w:ascii="Arial" w:hAnsi="Arial" w:cs="Arial" w:eastAsia="Arial" w:hint="default"/>
                <w:sz w:val="16"/>
                <w:szCs w:val="16"/>
              </w:rPr>
            </w:pPr>
            <w:r>
              <w:rPr>
                <w:rFonts w:ascii="Arial"/>
                <w:w w:val="95"/>
                <w:sz w:val="16"/>
              </w:rPr>
              <w:t>989,433,994</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64"/>
              <w:jc w:val="right"/>
              <w:rPr>
                <w:rFonts w:ascii="Arial" w:hAnsi="Arial" w:cs="Arial" w:eastAsia="Arial" w:hint="default"/>
                <w:sz w:val="16"/>
                <w:szCs w:val="16"/>
              </w:rPr>
            </w:pPr>
            <w:r>
              <w:rPr>
                <w:rFonts w:ascii="Arial"/>
                <w:w w:val="95"/>
                <w:sz w:val="16"/>
              </w:rPr>
              <w:t>1,033,360,062</w:t>
            </w:r>
            <w:r>
              <w:rPr>
                <w:rFonts w:ascii="Arial"/>
                <w:sz w:val="16"/>
              </w:rPr>
            </w:r>
          </w:p>
        </w:tc>
      </w:tr>
      <w:tr>
        <w:trPr>
          <w:trHeight w:val="209"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4" w:lineRule="exact"/>
              <w:ind w:left="182" w:right="0"/>
              <w:jc w:val="left"/>
              <w:rPr>
                <w:rFonts w:ascii="宋体" w:hAnsi="宋体" w:cs="宋体" w:eastAsia="宋体" w:hint="default"/>
                <w:sz w:val="16"/>
                <w:szCs w:val="16"/>
              </w:rPr>
            </w:pPr>
            <w:r>
              <w:rPr>
                <w:rFonts w:ascii="宋体" w:hAnsi="宋体" w:cs="宋体" w:eastAsia="宋体" w:hint="default"/>
                <w:sz w:val="16"/>
                <w:szCs w:val="16"/>
              </w:rPr>
              <w:t>通信资源租用及其相关服务支出</w:t>
            </w:r>
          </w:p>
        </w:tc>
        <w:tc>
          <w:tcPr>
            <w:tcW w:w="1532" w:type="dxa"/>
            <w:tcBorders>
              <w:top w:val="nil" w:sz="6" w:space="0" w:color="auto"/>
              <w:left w:val="nil" w:sz="6" w:space="0" w:color="auto"/>
              <w:bottom w:val="nil" w:sz="6" w:space="0" w:color="auto"/>
              <w:right w:val="nil" w:sz="6" w:space="0" w:color="auto"/>
            </w:tcBorders>
          </w:tcPr>
          <w:p>
            <w:pPr>
              <w:pStyle w:val="TableParagraph"/>
              <w:spacing w:line="174" w:lineRule="exact"/>
              <w:ind w:left="10" w:right="0"/>
              <w:jc w:val="center"/>
              <w:rPr>
                <w:rFonts w:ascii="宋体" w:hAnsi="宋体" w:cs="宋体" w:eastAsia="宋体" w:hint="default"/>
                <w:sz w:val="16"/>
                <w:szCs w:val="16"/>
              </w:rPr>
            </w:pPr>
            <w:r>
              <w:rPr>
                <w:rFonts w:ascii="宋体" w:hAnsi="宋体" w:cs="宋体" w:eastAsia="宋体" w:hint="default"/>
                <w:sz w:val="16"/>
                <w:szCs w:val="16"/>
              </w:rPr>
              <w:t>租赁支出、接受劳务</w:t>
            </w:r>
          </w:p>
        </w:tc>
        <w:tc>
          <w:tcPr>
            <w:tcW w:w="1673" w:type="dxa"/>
            <w:tcBorders>
              <w:top w:val="nil" w:sz="6" w:space="0" w:color="auto"/>
              <w:left w:val="nil" w:sz="6" w:space="0" w:color="auto"/>
              <w:bottom w:val="nil" w:sz="6" w:space="0" w:color="auto"/>
              <w:right w:val="nil" w:sz="6" w:space="0" w:color="auto"/>
            </w:tcBorders>
          </w:tcPr>
          <w:p>
            <w:pPr>
              <w:pStyle w:val="TableParagraph"/>
              <w:spacing w:line="174" w:lineRule="exact"/>
              <w:ind w:right="72"/>
              <w:jc w:val="right"/>
              <w:rPr>
                <w:rFonts w:ascii="宋体" w:hAnsi="宋体" w:cs="宋体" w:eastAsia="宋体" w:hint="default"/>
                <w:sz w:val="16"/>
                <w:szCs w:val="16"/>
              </w:rPr>
            </w:pPr>
            <w:r>
              <w:rPr>
                <w:rFonts w:ascii="宋体" w:hAnsi="宋体" w:cs="宋体" w:eastAsia="宋体" w:hint="default"/>
                <w:w w:val="95"/>
                <w:sz w:val="16"/>
                <w:szCs w:val="16"/>
              </w:rPr>
              <w:t>联通集团及其子公司</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6"/>
              <w:jc w:val="center"/>
              <w:rPr>
                <w:rFonts w:ascii="Arial" w:hAnsi="Arial" w:cs="Arial" w:eastAsia="Arial" w:hint="default"/>
                <w:sz w:val="16"/>
                <w:szCs w:val="16"/>
              </w:rPr>
            </w:pPr>
            <w:r>
              <w:rPr>
                <w:rFonts w:ascii="Arial"/>
                <w:sz w:val="16"/>
              </w:rPr>
              <w:t>(1)(9)</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4"/>
              <w:jc w:val="right"/>
              <w:rPr>
                <w:rFonts w:ascii="Arial" w:hAnsi="Arial" w:cs="Arial" w:eastAsia="Arial" w:hint="default"/>
                <w:sz w:val="16"/>
                <w:szCs w:val="16"/>
              </w:rPr>
            </w:pPr>
            <w:r>
              <w:rPr>
                <w:rFonts w:ascii="Arial"/>
                <w:w w:val="95"/>
                <w:sz w:val="16"/>
              </w:rPr>
              <w:t>289,942,166</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5"/>
              <w:jc w:val="right"/>
              <w:rPr>
                <w:rFonts w:ascii="Arial" w:hAnsi="Arial" w:cs="Arial" w:eastAsia="Arial" w:hint="default"/>
                <w:sz w:val="16"/>
                <w:szCs w:val="16"/>
              </w:rPr>
            </w:pPr>
            <w:r>
              <w:rPr>
                <w:rFonts w:ascii="Arial"/>
                <w:w w:val="95"/>
                <w:sz w:val="16"/>
              </w:rPr>
              <w:t>276,747,913</w:t>
            </w:r>
            <w:r>
              <w:rPr>
                <w:rFonts w:ascii="Arial"/>
                <w:sz w:val="16"/>
              </w:rPr>
            </w:r>
          </w:p>
        </w:tc>
      </w:tr>
      <w:tr>
        <w:trPr>
          <w:trHeight w:val="413"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0" w:lineRule="exact"/>
              <w:ind w:left="182" w:right="0"/>
              <w:jc w:val="left"/>
              <w:rPr>
                <w:rFonts w:ascii="宋体" w:hAnsi="宋体" w:cs="宋体" w:eastAsia="宋体" w:hint="default"/>
                <w:sz w:val="16"/>
                <w:szCs w:val="16"/>
              </w:rPr>
            </w:pPr>
            <w:r>
              <w:rPr>
                <w:rFonts w:ascii="宋体" w:hAnsi="宋体" w:cs="宋体" w:eastAsia="宋体" w:hint="default"/>
                <w:sz w:val="16"/>
                <w:szCs w:val="16"/>
              </w:rPr>
              <w:t>电路及通信设施租赁及其相关服</w:t>
            </w:r>
          </w:p>
          <w:p>
            <w:pPr>
              <w:pStyle w:val="TableParagraph"/>
              <w:spacing w:line="208" w:lineRule="exact"/>
              <w:ind w:left="340" w:right="0"/>
              <w:jc w:val="left"/>
              <w:rPr>
                <w:rFonts w:ascii="宋体" w:hAnsi="宋体" w:cs="宋体" w:eastAsia="宋体" w:hint="default"/>
                <w:sz w:val="16"/>
                <w:szCs w:val="16"/>
              </w:rPr>
            </w:pPr>
            <w:r>
              <w:rPr>
                <w:rFonts w:ascii="宋体" w:hAnsi="宋体" w:cs="宋体" w:eastAsia="宋体" w:hint="default"/>
                <w:sz w:val="16"/>
                <w:szCs w:val="16"/>
              </w:rPr>
              <w:t>务支出</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0" w:right="0"/>
              <w:jc w:val="center"/>
              <w:rPr>
                <w:rFonts w:ascii="宋体" w:hAnsi="宋体" w:cs="宋体" w:eastAsia="宋体" w:hint="default"/>
                <w:sz w:val="16"/>
                <w:szCs w:val="16"/>
              </w:rPr>
            </w:pPr>
            <w:r>
              <w:rPr>
                <w:rFonts w:ascii="宋体" w:hAnsi="宋体" w:cs="宋体" w:eastAsia="宋体" w:hint="default"/>
                <w:sz w:val="16"/>
                <w:szCs w:val="16"/>
              </w:rPr>
              <w:t>租赁支出、接受劳务</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72"/>
              <w:jc w:val="right"/>
              <w:rPr>
                <w:rFonts w:ascii="宋体" w:hAnsi="宋体" w:cs="宋体" w:eastAsia="宋体" w:hint="default"/>
                <w:sz w:val="16"/>
                <w:szCs w:val="16"/>
              </w:rPr>
            </w:pPr>
            <w:r>
              <w:rPr>
                <w:rFonts w:ascii="宋体" w:hAnsi="宋体" w:cs="宋体" w:eastAsia="宋体" w:hint="default"/>
                <w:w w:val="95"/>
                <w:sz w:val="16"/>
                <w:szCs w:val="16"/>
              </w:rPr>
              <w:t>其他关联法人</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46"/>
              <w:jc w:val="center"/>
              <w:rPr>
                <w:rFonts w:ascii="Arial" w:hAnsi="Arial" w:cs="Arial" w:eastAsia="Arial" w:hint="default"/>
                <w:sz w:val="16"/>
                <w:szCs w:val="16"/>
              </w:rPr>
            </w:pPr>
            <w:r>
              <w:rPr>
                <w:rFonts w:ascii="Arial"/>
                <w:sz w:val="16"/>
              </w:rPr>
              <w:t>(15)</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99"/>
              <w:jc w:val="right"/>
              <w:rPr>
                <w:rFonts w:ascii="Arial" w:hAnsi="Arial" w:cs="Arial" w:eastAsia="Arial" w:hint="default"/>
                <w:sz w:val="16"/>
                <w:szCs w:val="16"/>
              </w:rPr>
            </w:pPr>
            <w:r>
              <w:rPr>
                <w:rFonts w:ascii="Arial"/>
                <w:w w:val="95"/>
                <w:sz w:val="16"/>
              </w:rPr>
              <w:t>84,572,897</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65"/>
              <w:jc w:val="right"/>
              <w:rPr>
                <w:rFonts w:ascii="Arial" w:hAnsi="Arial" w:cs="Arial" w:eastAsia="Arial" w:hint="default"/>
                <w:sz w:val="16"/>
                <w:szCs w:val="16"/>
              </w:rPr>
            </w:pPr>
            <w:r>
              <w:rPr>
                <w:rFonts w:ascii="Arial"/>
                <w:w w:val="95"/>
                <w:sz w:val="16"/>
              </w:rPr>
              <w:t>129,062,099</w:t>
            </w:r>
            <w:r>
              <w:rPr>
                <w:rFonts w:ascii="Arial"/>
                <w:sz w:val="16"/>
              </w:rPr>
            </w:r>
          </w:p>
        </w:tc>
      </w:tr>
      <w:tr>
        <w:trPr>
          <w:trHeight w:val="209"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2" w:lineRule="exact"/>
              <w:ind w:left="182" w:right="0"/>
              <w:jc w:val="left"/>
              <w:rPr>
                <w:rFonts w:ascii="宋体" w:hAnsi="宋体" w:cs="宋体" w:eastAsia="宋体" w:hint="default"/>
                <w:sz w:val="16"/>
                <w:szCs w:val="16"/>
              </w:rPr>
            </w:pPr>
            <w:r>
              <w:rPr>
                <w:rFonts w:ascii="宋体" w:hAnsi="宋体" w:cs="宋体" w:eastAsia="宋体" w:hint="default"/>
                <w:sz w:val="16"/>
                <w:szCs w:val="16"/>
              </w:rPr>
              <w:t>铁塔资产使用相关成本</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2" w:lineRule="exact"/>
              <w:ind w:left="10" w:right="0"/>
              <w:jc w:val="center"/>
              <w:rPr>
                <w:rFonts w:ascii="宋体" w:hAnsi="宋体" w:cs="宋体" w:eastAsia="宋体" w:hint="default"/>
                <w:sz w:val="16"/>
                <w:szCs w:val="16"/>
              </w:rPr>
            </w:pPr>
            <w:r>
              <w:rPr>
                <w:rFonts w:ascii="宋体" w:hAnsi="宋体" w:cs="宋体" w:eastAsia="宋体" w:hint="default"/>
                <w:sz w:val="16"/>
                <w:szCs w:val="16"/>
              </w:rPr>
              <w:t>租赁支出、接受劳务</w:t>
            </w:r>
          </w:p>
        </w:tc>
        <w:tc>
          <w:tcPr>
            <w:tcW w:w="1673" w:type="dxa"/>
            <w:tcBorders>
              <w:top w:val="nil" w:sz="6" w:space="0" w:color="auto"/>
              <w:left w:val="nil" w:sz="6" w:space="0" w:color="auto"/>
              <w:bottom w:val="nil" w:sz="6" w:space="0" w:color="auto"/>
              <w:right w:val="nil" w:sz="6" w:space="0" w:color="auto"/>
            </w:tcBorders>
          </w:tcPr>
          <w:p>
            <w:pPr>
              <w:pStyle w:val="TableParagraph"/>
              <w:spacing w:line="172" w:lineRule="exact"/>
              <w:ind w:right="72"/>
              <w:jc w:val="right"/>
              <w:rPr>
                <w:rFonts w:ascii="宋体" w:hAnsi="宋体" w:cs="宋体" w:eastAsia="宋体" w:hint="default"/>
                <w:sz w:val="16"/>
                <w:szCs w:val="16"/>
              </w:rPr>
            </w:pPr>
            <w:r>
              <w:rPr>
                <w:rFonts w:ascii="宋体" w:hAnsi="宋体" w:cs="宋体" w:eastAsia="宋体" w:hint="default"/>
                <w:w w:val="95"/>
                <w:sz w:val="16"/>
                <w:szCs w:val="16"/>
              </w:rPr>
              <w:t>铁塔公司</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6"/>
              <w:jc w:val="center"/>
              <w:rPr>
                <w:rFonts w:ascii="Arial" w:hAnsi="Arial" w:cs="Arial" w:eastAsia="Arial" w:hint="default"/>
                <w:sz w:val="16"/>
                <w:szCs w:val="16"/>
              </w:rPr>
            </w:pPr>
            <w:r>
              <w:rPr>
                <w:rFonts w:ascii="Arial"/>
                <w:sz w:val="16"/>
              </w:rPr>
              <w:t>(12)</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4"/>
              <w:jc w:val="right"/>
              <w:rPr>
                <w:rFonts w:ascii="Arial" w:hAnsi="Arial" w:cs="Arial" w:eastAsia="Arial" w:hint="default"/>
                <w:sz w:val="16"/>
                <w:szCs w:val="16"/>
              </w:rPr>
            </w:pPr>
            <w:r>
              <w:rPr>
                <w:rFonts w:ascii="Arial"/>
                <w:w w:val="95"/>
                <w:sz w:val="16"/>
              </w:rPr>
              <w:t>17,883,029,224</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5"/>
              <w:jc w:val="right"/>
              <w:rPr>
                <w:rFonts w:ascii="Arial" w:hAnsi="Arial" w:cs="Arial" w:eastAsia="Arial" w:hint="default"/>
                <w:sz w:val="16"/>
                <w:szCs w:val="16"/>
              </w:rPr>
            </w:pPr>
            <w:r>
              <w:rPr>
                <w:rFonts w:ascii="Arial"/>
                <w:w w:val="95"/>
                <w:sz w:val="16"/>
              </w:rPr>
              <w:t>15,981,811,120</w:t>
            </w:r>
            <w:r>
              <w:rPr>
                <w:rFonts w:ascii="Arial"/>
                <w:sz w:val="16"/>
              </w:rPr>
            </w:r>
          </w:p>
        </w:tc>
      </w:tr>
      <w:tr>
        <w:trPr>
          <w:trHeight w:val="209"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4" w:lineRule="exact"/>
              <w:ind w:left="182" w:right="0"/>
              <w:jc w:val="left"/>
              <w:rPr>
                <w:rFonts w:ascii="宋体" w:hAnsi="宋体" w:cs="宋体" w:eastAsia="宋体" w:hint="default"/>
                <w:sz w:val="16"/>
                <w:szCs w:val="16"/>
              </w:rPr>
            </w:pPr>
            <w:r>
              <w:rPr>
                <w:rFonts w:ascii="宋体" w:hAnsi="宋体" w:cs="宋体" w:eastAsia="宋体" w:hint="default"/>
                <w:sz w:val="16"/>
                <w:szCs w:val="16"/>
              </w:rPr>
              <w:t>出售资产利息收入</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4" w:lineRule="exact"/>
              <w:ind w:left="6" w:right="0"/>
              <w:jc w:val="center"/>
              <w:rPr>
                <w:rFonts w:ascii="宋体" w:hAnsi="宋体" w:cs="宋体" w:eastAsia="宋体" w:hint="default"/>
                <w:sz w:val="16"/>
                <w:szCs w:val="16"/>
              </w:rPr>
            </w:pPr>
            <w:r>
              <w:rPr>
                <w:rFonts w:ascii="宋体" w:hAnsi="宋体" w:cs="宋体" w:eastAsia="宋体" w:hint="default"/>
                <w:sz w:val="16"/>
                <w:szCs w:val="16"/>
              </w:rPr>
              <w:t>利息收入</w:t>
            </w:r>
          </w:p>
        </w:tc>
        <w:tc>
          <w:tcPr>
            <w:tcW w:w="1673" w:type="dxa"/>
            <w:tcBorders>
              <w:top w:val="nil" w:sz="6" w:space="0" w:color="auto"/>
              <w:left w:val="nil" w:sz="6" w:space="0" w:color="auto"/>
              <w:bottom w:val="nil" w:sz="6" w:space="0" w:color="auto"/>
              <w:right w:val="nil" w:sz="6" w:space="0" w:color="auto"/>
            </w:tcBorders>
          </w:tcPr>
          <w:p>
            <w:pPr>
              <w:pStyle w:val="TableParagraph"/>
              <w:spacing w:line="174" w:lineRule="exact"/>
              <w:ind w:right="72"/>
              <w:jc w:val="right"/>
              <w:rPr>
                <w:rFonts w:ascii="宋体" w:hAnsi="宋体" w:cs="宋体" w:eastAsia="宋体" w:hint="default"/>
                <w:sz w:val="16"/>
                <w:szCs w:val="16"/>
              </w:rPr>
            </w:pPr>
            <w:r>
              <w:rPr>
                <w:rFonts w:ascii="宋体" w:hAnsi="宋体" w:cs="宋体" w:eastAsia="宋体" w:hint="default"/>
                <w:w w:val="95"/>
                <w:sz w:val="16"/>
                <w:szCs w:val="16"/>
              </w:rPr>
              <w:t>铁塔公司</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7"/>
              <w:jc w:val="center"/>
              <w:rPr>
                <w:rFonts w:ascii="Arial" w:hAnsi="Arial" w:cs="Arial" w:eastAsia="Arial" w:hint="default"/>
                <w:sz w:val="16"/>
                <w:szCs w:val="16"/>
              </w:rPr>
            </w:pPr>
            <w:r>
              <w:rPr>
                <w:rFonts w:ascii="Arial"/>
                <w:sz w:val="16"/>
              </w:rPr>
              <w:t>(12)</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1"/>
              <w:jc w:val="right"/>
              <w:rPr>
                <w:rFonts w:ascii="Arial" w:hAnsi="Arial" w:cs="Arial" w:eastAsia="Arial" w:hint="default"/>
                <w:sz w:val="16"/>
                <w:szCs w:val="16"/>
              </w:rPr>
            </w:pPr>
            <w:r>
              <w:rPr>
                <w:rFonts w:ascii="Arial"/>
                <w:w w:val="98"/>
                <w:sz w:val="16"/>
              </w:rPr>
              <w:t>-</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70"/>
              <w:jc w:val="right"/>
              <w:rPr>
                <w:rFonts w:ascii="Arial" w:hAnsi="Arial" w:cs="Arial" w:eastAsia="Arial" w:hint="default"/>
                <w:sz w:val="16"/>
                <w:szCs w:val="16"/>
              </w:rPr>
            </w:pPr>
            <w:r>
              <w:rPr>
                <w:rFonts w:ascii="Arial"/>
                <w:w w:val="95"/>
                <w:sz w:val="16"/>
              </w:rPr>
              <w:t>49,269,259</w:t>
            </w:r>
            <w:r>
              <w:rPr>
                <w:rFonts w:ascii="Arial"/>
                <w:sz w:val="16"/>
              </w:rPr>
            </w:r>
          </w:p>
        </w:tc>
      </w:tr>
      <w:tr>
        <w:trPr>
          <w:trHeight w:val="206"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2" w:lineRule="exact"/>
              <w:ind w:left="182" w:right="0"/>
              <w:jc w:val="left"/>
              <w:rPr>
                <w:rFonts w:ascii="宋体" w:hAnsi="宋体" w:cs="宋体" w:eastAsia="宋体" w:hint="default"/>
                <w:sz w:val="16"/>
                <w:szCs w:val="16"/>
              </w:rPr>
            </w:pPr>
            <w:r>
              <w:rPr>
                <w:rFonts w:ascii="宋体" w:hAnsi="宋体" w:cs="宋体" w:eastAsia="宋体" w:hint="default"/>
                <w:sz w:val="16"/>
                <w:szCs w:val="16"/>
              </w:rPr>
              <w:t>净吸收存款</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2" w:lineRule="exact"/>
              <w:ind w:left="6" w:right="0"/>
              <w:jc w:val="center"/>
              <w:rPr>
                <w:rFonts w:ascii="宋体" w:hAnsi="宋体" w:cs="宋体" w:eastAsia="宋体" w:hint="default"/>
                <w:sz w:val="16"/>
                <w:szCs w:val="16"/>
              </w:rPr>
            </w:pPr>
            <w:r>
              <w:rPr>
                <w:rFonts w:ascii="宋体" w:hAnsi="宋体" w:cs="宋体" w:eastAsia="宋体" w:hint="default"/>
                <w:sz w:val="16"/>
                <w:szCs w:val="16"/>
              </w:rPr>
              <w:t>金融服务</w:t>
            </w:r>
          </w:p>
        </w:tc>
        <w:tc>
          <w:tcPr>
            <w:tcW w:w="1673" w:type="dxa"/>
            <w:tcBorders>
              <w:top w:val="nil" w:sz="6" w:space="0" w:color="auto"/>
              <w:left w:val="nil" w:sz="6" w:space="0" w:color="auto"/>
              <w:bottom w:val="nil" w:sz="6" w:space="0" w:color="auto"/>
              <w:right w:val="nil" w:sz="6" w:space="0" w:color="auto"/>
            </w:tcBorders>
          </w:tcPr>
          <w:p>
            <w:pPr>
              <w:pStyle w:val="TableParagraph"/>
              <w:spacing w:line="172" w:lineRule="exact"/>
              <w:ind w:right="72"/>
              <w:jc w:val="right"/>
              <w:rPr>
                <w:rFonts w:ascii="宋体" w:hAnsi="宋体" w:cs="宋体" w:eastAsia="宋体" w:hint="default"/>
                <w:sz w:val="16"/>
                <w:szCs w:val="16"/>
              </w:rPr>
            </w:pPr>
            <w:r>
              <w:rPr>
                <w:rFonts w:ascii="宋体" w:hAnsi="宋体" w:cs="宋体" w:eastAsia="宋体" w:hint="default"/>
                <w:w w:val="95"/>
                <w:sz w:val="16"/>
                <w:szCs w:val="16"/>
              </w:rPr>
              <w:t>联通集团及其子公司</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1"/>
              <w:jc w:val="center"/>
              <w:rPr>
                <w:rFonts w:ascii="Arial" w:hAnsi="Arial" w:cs="Arial" w:eastAsia="Arial" w:hint="default"/>
                <w:sz w:val="16"/>
                <w:szCs w:val="16"/>
              </w:rPr>
            </w:pPr>
            <w:r>
              <w:rPr>
                <w:rFonts w:ascii="Arial"/>
                <w:sz w:val="16"/>
              </w:rPr>
              <w:t>(1)(10)</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Arial" w:hAnsi="Arial" w:cs="Arial" w:eastAsia="Arial" w:hint="default"/>
                <w:sz w:val="16"/>
                <w:szCs w:val="16"/>
              </w:rPr>
            </w:pPr>
            <w:r>
              <w:rPr>
                <w:rFonts w:ascii="Arial"/>
                <w:w w:val="95"/>
                <w:sz w:val="16"/>
              </w:rPr>
              <w:t>17,891,275</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4"/>
              <w:jc w:val="right"/>
              <w:rPr>
                <w:rFonts w:ascii="Arial" w:hAnsi="Arial" w:cs="Arial" w:eastAsia="Arial" w:hint="default"/>
                <w:sz w:val="16"/>
                <w:szCs w:val="16"/>
              </w:rPr>
            </w:pPr>
            <w:r>
              <w:rPr>
                <w:rFonts w:ascii="Arial"/>
                <w:w w:val="95"/>
                <w:sz w:val="16"/>
              </w:rPr>
              <w:t>2,215,230,806</w:t>
            </w:r>
            <w:r>
              <w:rPr>
                <w:rFonts w:ascii="Arial"/>
                <w:sz w:val="16"/>
              </w:rPr>
            </w:r>
          </w:p>
        </w:tc>
      </w:tr>
      <w:tr>
        <w:trPr>
          <w:trHeight w:val="206"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2" w:lineRule="exact"/>
              <w:ind w:left="182" w:right="0"/>
              <w:jc w:val="left"/>
              <w:rPr>
                <w:rFonts w:ascii="宋体" w:hAnsi="宋体" w:cs="宋体" w:eastAsia="宋体" w:hint="default"/>
                <w:sz w:val="16"/>
                <w:szCs w:val="16"/>
              </w:rPr>
            </w:pPr>
            <w:r>
              <w:rPr>
                <w:rFonts w:ascii="宋体" w:hAnsi="宋体" w:cs="宋体" w:eastAsia="宋体" w:hint="default"/>
                <w:sz w:val="16"/>
                <w:szCs w:val="16"/>
              </w:rPr>
              <w:t>净</w:t>
            </w:r>
            <w:r>
              <w:rPr>
                <w:rFonts w:ascii="宋体" w:hAnsi="宋体" w:cs="宋体" w:eastAsia="宋体" w:hint="default"/>
                <w:sz w:val="16"/>
                <w:szCs w:val="16"/>
              </w:rPr>
              <w:t>(</w:t>
            </w:r>
            <w:r>
              <w:rPr>
                <w:rFonts w:ascii="宋体" w:hAnsi="宋体" w:cs="宋体" w:eastAsia="宋体" w:hint="default"/>
                <w:sz w:val="16"/>
                <w:szCs w:val="16"/>
              </w:rPr>
              <w:t>提取</w:t>
            </w:r>
            <w:r>
              <w:rPr>
                <w:rFonts w:ascii="宋体" w:hAnsi="宋体" w:cs="宋体" w:eastAsia="宋体" w:hint="default"/>
                <w:sz w:val="16"/>
                <w:szCs w:val="16"/>
              </w:rPr>
              <w:t>)/</w:t>
            </w:r>
            <w:r>
              <w:rPr>
                <w:rFonts w:ascii="宋体" w:hAnsi="宋体" w:cs="宋体" w:eastAsia="宋体" w:hint="default"/>
                <w:sz w:val="16"/>
                <w:szCs w:val="16"/>
              </w:rPr>
              <w:t>吸收存款</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2" w:lineRule="exact"/>
              <w:ind w:left="6" w:right="0"/>
              <w:jc w:val="center"/>
              <w:rPr>
                <w:rFonts w:ascii="宋体" w:hAnsi="宋体" w:cs="宋体" w:eastAsia="宋体" w:hint="default"/>
                <w:sz w:val="16"/>
                <w:szCs w:val="16"/>
              </w:rPr>
            </w:pPr>
            <w:r>
              <w:rPr>
                <w:rFonts w:ascii="宋体" w:hAnsi="宋体" w:cs="宋体" w:eastAsia="宋体" w:hint="default"/>
                <w:sz w:val="16"/>
                <w:szCs w:val="16"/>
              </w:rPr>
              <w:t>金融服务</w:t>
            </w:r>
          </w:p>
        </w:tc>
        <w:tc>
          <w:tcPr>
            <w:tcW w:w="1673" w:type="dxa"/>
            <w:tcBorders>
              <w:top w:val="nil" w:sz="6" w:space="0" w:color="auto"/>
              <w:left w:val="nil" w:sz="6" w:space="0" w:color="auto"/>
              <w:bottom w:val="nil" w:sz="6" w:space="0" w:color="auto"/>
              <w:right w:val="nil" w:sz="6" w:space="0" w:color="auto"/>
            </w:tcBorders>
          </w:tcPr>
          <w:p>
            <w:pPr>
              <w:pStyle w:val="TableParagraph"/>
              <w:spacing w:line="172" w:lineRule="exact"/>
              <w:ind w:right="72"/>
              <w:jc w:val="right"/>
              <w:rPr>
                <w:rFonts w:ascii="宋体" w:hAnsi="宋体" w:cs="宋体" w:eastAsia="宋体" w:hint="default"/>
                <w:sz w:val="16"/>
                <w:szCs w:val="16"/>
              </w:rPr>
            </w:pPr>
            <w:r>
              <w:rPr>
                <w:rFonts w:ascii="宋体" w:hAnsi="宋体" w:cs="宋体" w:eastAsia="宋体" w:hint="default"/>
                <w:w w:val="95"/>
                <w:sz w:val="16"/>
                <w:szCs w:val="16"/>
              </w:rPr>
              <w:t>其他合营和联营企业</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7"/>
              <w:jc w:val="center"/>
              <w:rPr>
                <w:rFonts w:ascii="Arial" w:hAnsi="Arial" w:cs="Arial" w:eastAsia="Arial" w:hint="default"/>
                <w:sz w:val="16"/>
                <w:szCs w:val="16"/>
              </w:rPr>
            </w:pPr>
            <w:r>
              <w:rPr>
                <w:rFonts w:ascii="Arial"/>
                <w:sz w:val="16"/>
              </w:rPr>
              <w:t>(10)</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5"/>
              <w:jc w:val="right"/>
              <w:rPr>
                <w:rFonts w:ascii="Arial" w:hAnsi="Arial" w:cs="Arial" w:eastAsia="Arial" w:hint="default"/>
                <w:sz w:val="16"/>
                <w:szCs w:val="16"/>
              </w:rPr>
            </w:pPr>
            <w:r>
              <w:rPr>
                <w:rFonts w:ascii="Arial"/>
                <w:spacing w:val="-1"/>
                <w:sz w:val="16"/>
              </w:rPr>
              <w:t>(22,519,849)</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0"/>
              <w:jc w:val="right"/>
              <w:rPr>
                <w:rFonts w:ascii="Arial" w:hAnsi="Arial" w:cs="Arial" w:eastAsia="Arial" w:hint="default"/>
                <w:sz w:val="16"/>
                <w:szCs w:val="16"/>
              </w:rPr>
            </w:pPr>
            <w:r>
              <w:rPr>
                <w:rFonts w:ascii="Arial"/>
                <w:w w:val="95"/>
                <w:sz w:val="16"/>
              </w:rPr>
              <w:t>18,107,281</w:t>
            </w:r>
            <w:r>
              <w:rPr>
                <w:rFonts w:ascii="Arial"/>
                <w:sz w:val="16"/>
              </w:rPr>
            </w:r>
          </w:p>
        </w:tc>
      </w:tr>
      <w:tr>
        <w:trPr>
          <w:trHeight w:val="209"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2" w:lineRule="exact"/>
              <w:ind w:left="182" w:right="0"/>
              <w:jc w:val="left"/>
              <w:rPr>
                <w:rFonts w:ascii="宋体" w:hAnsi="宋体" w:cs="宋体" w:eastAsia="宋体" w:hint="default"/>
                <w:sz w:val="16"/>
                <w:szCs w:val="16"/>
              </w:rPr>
            </w:pPr>
            <w:r>
              <w:rPr>
                <w:rFonts w:ascii="宋体" w:hAnsi="宋体" w:cs="宋体" w:eastAsia="宋体" w:hint="default"/>
                <w:sz w:val="16"/>
                <w:szCs w:val="16"/>
              </w:rPr>
              <w:t>吸收存款利息支出</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2" w:lineRule="exact"/>
              <w:ind w:left="6" w:right="0"/>
              <w:jc w:val="center"/>
              <w:rPr>
                <w:rFonts w:ascii="宋体" w:hAnsi="宋体" w:cs="宋体" w:eastAsia="宋体" w:hint="default"/>
                <w:sz w:val="16"/>
                <w:szCs w:val="16"/>
              </w:rPr>
            </w:pPr>
            <w:r>
              <w:rPr>
                <w:rFonts w:ascii="宋体" w:hAnsi="宋体" w:cs="宋体" w:eastAsia="宋体" w:hint="default"/>
                <w:sz w:val="16"/>
                <w:szCs w:val="16"/>
              </w:rPr>
              <w:t>金融服务</w:t>
            </w:r>
          </w:p>
        </w:tc>
        <w:tc>
          <w:tcPr>
            <w:tcW w:w="1673" w:type="dxa"/>
            <w:tcBorders>
              <w:top w:val="nil" w:sz="6" w:space="0" w:color="auto"/>
              <w:left w:val="nil" w:sz="6" w:space="0" w:color="auto"/>
              <w:bottom w:val="nil" w:sz="6" w:space="0" w:color="auto"/>
              <w:right w:val="nil" w:sz="6" w:space="0" w:color="auto"/>
            </w:tcBorders>
          </w:tcPr>
          <w:p>
            <w:pPr>
              <w:pStyle w:val="TableParagraph"/>
              <w:spacing w:line="172" w:lineRule="exact"/>
              <w:ind w:right="72"/>
              <w:jc w:val="right"/>
              <w:rPr>
                <w:rFonts w:ascii="宋体" w:hAnsi="宋体" w:cs="宋体" w:eastAsia="宋体" w:hint="default"/>
                <w:sz w:val="16"/>
                <w:szCs w:val="16"/>
              </w:rPr>
            </w:pPr>
            <w:r>
              <w:rPr>
                <w:rFonts w:ascii="宋体" w:hAnsi="宋体" w:cs="宋体" w:eastAsia="宋体" w:hint="default"/>
                <w:w w:val="95"/>
                <w:sz w:val="16"/>
                <w:szCs w:val="16"/>
              </w:rPr>
              <w:t>联通集团及其子公司</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1"/>
              <w:jc w:val="center"/>
              <w:rPr>
                <w:rFonts w:ascii="Arial" w:hAnsi="Arial" w:cs="Arial" w:eastAsia="Arial" w:hint="default"/>
                <w:sz w:val="16"/>
                <w:szCs w:val="16"/>
              </w:rPr>
            </w:pPr>
            <w:r>
              <w:rPr>
                <w:rFonts w:ascii="Arial"/>
                <w:sz w:val="16"/>
              </w:rPr>
              <w:t>(1)(10)</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Arial" w:hAnsi="Arial" w:cs="Arial" w:eastAsia="Arial" w:hint="default"/>
                <w:sz w:val="16"/>
                <w:szCs w:val="16"/>
              </w:rPr>
            </w:pPr>
            <w:r>
              <w:rPr>
                <w:rFonts w:ascii="Arial"/>
                <w:w w:val="95"/>
                <w:sz w:val="16"/>
              </w:rPr>
              <w:t>57,730,544</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0"/>
              <w:jc w:val="right"/>
              <w:rPr>
                <w:rFonts w:ascii="Arial" w:hAnsi="Arial" w:cs="Arial" w:eastAsia="Arial" w:hint="default"/>
                <w:sz w:val="16"/>
                <w:szCs w:val="16"/>
              </w:rPr>
            </w:pPr>
            <w:r>
              <w:rPr>
                <w:rFonts w:ascii="Arial"/>
                <w:w w:val="95"/>
                <w:sz w:val="16"/>
              </w:rPr>
              <w:t>67,594,409</w:t>
            </w:r>
            <w:r>
              <w:rPr>
                <w:rFonts w:ascii="Arial"/>
                <w:sz w:val="16"/>
              </w:rPr>
            </w:r>
          </w:p>
        </w:tc>
      </w:tr>
      <w:tr>
        <w:trPr>
          <w:trHeight w:val="206"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4" w:lineRule="exact"/>
              <w:ind w:left="182" w:right="0"/>
              <w:jc w:val="left"/>
              <w:rPr>
                <w:rFonts w:ascii="宋体" w:hAnsi="宋体" w:cs="宋体" w:eastAsia="宋体" w:hint="default"/>
                <w:sz w:val="16"/>
                <w:szCs w:val="16"/>
              </w:rPr>
            </w:pPr>
            <w:r>
              <w:rPr>
                <w:rFonts w:ascii="宋体" w:hAnsi="宋体" w:cs="宋体" w:eastAsia="宋体" w:hint="default"/>
                <w:sz w:val="16"/>
                <w:szCs w:val="16"/>
              </w:rPr>
              <w:t>吸收存款利息支出</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4" w:lineRule="exact"/>
              <w:ind w:left="6" w:right="0"/>
              <w:jc w:val="center"/>
              <w:rPr>
                <w:rFonts w:ascii="宋体" w:hAnsi="宋体" w:cs="宋体" w:eastAsia="宋体" w:hint="default"/>
                <w:sz w:val="16"/>
                <w:szCs w:val="16"/>
              </w:rPr>
            </w:pPr>
            <w:r>
              <w:rPr>
                <w:rFonts w:ascii="宋体" w:hAnsi="宋体" w:cs="宋体" w:eastAsia="宋体" w:hint="default"/>
                <w:sz w:val="16"/>
                <w:szCs w:val="16"/>
              </w:rPr>
              <w:t>金融服务</w:t>
            </w:r>
          </w:p>
        </w:tc>
        <w:tc>
          <w:tcPr>
            <w:tcW w:w="1673" w:type="dxa"/>
            <w:tcBorders>
              <w:top w:val="nil" w:sz="6" w:space="0" w:color="auto"/>
              <w:left w:val="nil" w:sz="6" w:space="0" w:color="auto"/>
              <w:bottom w:val="nil" w:sz="6" w:space="0" w:color="auto"/>
              <w:right w:val="nil" w:sz="6" w:space="0" w:color="auto"/>
            </w:tcBorders>
          </w:tcPr>
          <w:p>
            <w:pPr>
              <w:pStyle w:val="TableParagraph"/>
              <w:spacing w:line="174" w:lineRule="exact"/>
              <w:ind w:right="72"/>
              <w:jc w:val="right"/>
              <w:rPr>
                <w:rFonts w:ascii="宋体" w:hAnsi="宋体" w:cs="宋体" w:eastAsia="宋体" w:hint="default"/>
                <w:sz w:val="16"/>
                <w:szCs w:val="16"/>
              </w:rPr>
            </w:pPr>
            <w:r>
              <w:rPr>
                <w:rFonts w:ascii="宋体" w:hAnsi="宋体" w:cs="宋体" w:eastAsia="宋体" w:hint="default"/>
                <w:w w:val="95"/>
                <w:sz w:val="16"/>
                <w:szCs w:val="16"/>
              </w:rPr>
              <w:t>其他合营和联营企业</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7"/>
              <w:jc w:val="center"/>
              <w:rPr>
                <w:rFonts w:ascii="Arial" w:hAnsi="Arial" w:cs="Arial" w:eastAsia="Arial" w:hint="default"/>
                <w:sz w:val="16"/>
                <w:szCs w:val="16"/>
              </w:rPr>
            </w:pPr>
            <w:r>
              <w:rPr>
                <w:rFonts w:ascii="Arial"/>
                <w:sz w:val="16"/>
              </w:rPr>
              <w:t>(10)</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6"/>
              <w:jc w:val="right"/>
              <w:rPr>
                <w:rFonts w:ascii="Arial" w:hAnsi="Arial" w:cs="Arial" w:eastAsia="Arial" w:hint="default"/>
                <w:sz w:val="16"/>
                <w:szCs w:val="16"/>
              </w:rPr>
            </w:pPr>
            <w:r>
              <w:rPr>
                <w:rFonts w:ascii="Arial"/>
                <w:spacing w:val="-1"/>
                <w:w w:val="95"/>
                <w:sz w:val="16"/>
              </w:rPr>
              <w:t>177,256</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68"/>
              <w:jc w:val="right"/>
              <w:rPr>
                <w:rFonts w:ascii="Arial" w:hAnsi="Arial" w:cs="Arial" w:eastAsia="Arial" w:hint="default"/>
                <w:sz w:val="16"/>
                <w:szCs w:val="16"/>
              </w:rPr>
            </w:pPr>
            <w:r>
              <w:rPr>
                <w:rFonts w:ascii="Arial"/>
                <w:w w:val="95"/>
                <w:sz w:val="16"/>
              </w:rPr>
              <w:t>195,838</w:t>
            </w:r>
            <w:r>
              <w:rPr>
                <w:rFonts w:ascii="Arial"/>
                <w:sz w:val="16"/>
              </w:rPr>
            </w:r>
          </w:p>
        </w:tc>
      </w:tr>
      <w:tr>
        <w:trPr>
          <w:trHeight w:val="209"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4" w:lineRule="exact"/>
              <w:ind w:left="182" w:right="0"/>
              <w:jc w:val="left"/>
              <w:rPr>
                <w:rFonts w:ascii="宋体" w:hAnsi="宋体" w:cs="宋体" w:eastAsia="宋体" w:hint="default"/>
                <w:sz w:val="16"/>
                <w:szCs w:val="16"/>
              </w:rPr>
            </w:pPr>
            <w:r>
              <w:rPr>
                <w:rFonts w:ascii="宋体" w:hAnsi="宋体" w:cs="宋体" w:eastAsia="宋体" w:hint="default"/>
                <w:sz w:val="16"/>
                <w:szCs w:val="16"/>
              </w:rPr>
              <w:t>财务公司发放贷款</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4" w:lineRule="exact"/>
              <w:ind w:left="6" w:right="0"/>
              <w:jc w:val="center"/>
              <w:rPr>
                <w:rFonts w:ascii="宋体" w:hAnsi="宋体" w:cs="宋体" w:eastAsia="宋体" w:hint="default"/>
                <w:sz w:val="16"/>
                <w:szCs w:val="16"/>
              </w:rPr>
            </w:pPr>
            <w:r>
              <w:rPr>
                <w:rFonts w:ascii="宋体" w:hAnsi="宋体" w:cs="宋体" w:eastAsia="宋体" w:hint="default"/>
                <w:sz w:val="16"/>
                <w:szCs w:val="16"/>
              </w:rPr>
              <w:t>金融服务</w:t>
            </w:r>
          </w:p>
        </w:tc>
        <w:tc>
          <w:tcPr>
            <w:tcW w:w="1673" w:type="dxa"/>
            <w:tcBorders>
              <w:top w:val="nil" w:sz="6" w:space="0" w:color="auto"/>
              <w:left w:val="nil" w:sz="6" w:space="0" w:color="auto"/>
              <w:bottom w:val="nil" w:sz="6" w:space="0" w:color="auto"/>
              <w:right w:val="nil" w:sz="6" w:space="0" w:color="auto"/>
            </w:tcBorders>
          </w:tcPr>
          <w:p>
            <w:pPr>
              <w:pStyle w:val="TableParagraph"/>
              <w:spacing w:line="174" w:lineRule="exact"/>
              <w:ind w:right="72"/>
              <w:jc w:val="right"/>
              <w:rPr>
                <w:rFonts w:ascii="宋体" w:hAnsi="宋体" w:cs="宋体" w:eastAsia="宋体" w:hint="default"/>
                <w:sz w:val="16"/>
                <w:szCs w:val="16"/>
              </w:rPr>
            </w:pPr>
            <w:r>
              <w:rPr>
                <w:rFonts w:ascii="宋体" w:hAnsi="宋体" w:cs="宋体" w:eastAsia="宋体" w:hint="default"/>
                <w:w w:val="95"/>
                <w:sz w:val="16"/>
                <w:szCs w:val="16"/>
              </w:rPr>
              <w:t>联通集团及其子公司</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1"/>
              <w:jc w:val="center"/>
              <w:rPr>
                <w:rFonts w:ascii="Arial" w:hAnsi="Arial" w:cs="Arial" w:eastAsia="Arial" w:hint="default"/>
                <w:sz w:val="16"/>
                <w:szCs w:val="16"/>
              </w:rPr>
            </w:pPr>
            <w:r>
              <w:rPr>
                <w:rFonts w:ascii="Arial"/>
                <w:sz w:val="16"/>
              </w:rPr>
              <w:t>(1)(10)</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Arial" w:hAnsi="Arial" w:cs="Arial" w:eastAsia="Arial" w:hint="default"/>
                <w:sz w:val="16"/>
                <w:szCs w:val="16"/>
              </w:rPr>
            </w:pPr>
            <w:r>
              <w:rPr>
                <w:rFonts w:ascii="Arial"/>
                <w:w w:val="95"/>
                <w:sz w:val="16"/>
              </w:rPr>
              <w:t>11,434,000,000</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5"/>
              <w:jc w:val="right"/>
              <w:rPr>
                <w:rFonts w:ascii="Arial" w:hAnsi="Arial" w:cs="Arial" w:eastAsia="Arial" w:hint="default"/>
                <w:sz w:val="16"/>
                <w:szCs w:val="16"/>
              </w:rPr>
            </w:pPr>
            <w:r>
              <w:rPr>
                <w:rFonts w:ascii="Arial"/>
                <w:w w:val="95"/>
                <w:sz w:val="16"/>
              </w:rPr>
              <w:t>13,558,000,000</w:t>
            </w:r>
            <w:r>
              <w:rPr>
                <w:rFonts w:ascii="Arial"/>
                <w:sz w:val="16"/>
              </w:rPr>
            </w:r>
          </w:p>
        </w:tc>
      </w:tr>
      <w:tr>
        <w:trPr>
          <w:trHeight w:val="206"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2" w:lineRule="exact"/>
              <w:ind w:left="182" w:right="0"/>
              <w:jc w:val="left"/>
              <w:rPr>
                <w:rFonts w:ascii="宋体" w:hAnsi="宋体" w:cs="宋体" w:eastAsia="宋体" w:hint="default"/>
                <w:sz w:val="16"/>
                <w:szCs w:val="16"/>
              </w:rPr>
            </w:pPr>
            <w:r>
              <w:rPr>
                <w:rFonts w:ascii="宋体" w:hAnsi="宋体" w:cs="宋体" w:eastAsia="宋体" w:hint="default"/>
                <w:sz w:val="16"/>
                <w:szCs w:val="16"/>
              </w:rPr>
              <w:t>利息及手续费收入</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2" w:lineRule="exact"/>
              <w:ind w:left="6" w:right="0"/>
              <w:jc w:val="center"/>
              <w:rPr>
                <w:rFonts w:ascii="宋体" w:hAnsi="宋体" w:cs="宋体" w:eastAsia="宋体" w:hint="default"/>
                <w:sz w:val="16"/>
                <w:szCs w:val="16"/>
              </w:rPr>
            </w:pPr>
            <w:r>
              <w:rPr>
                <w:rFonts w:ascii="宋体" w:hAnsi="宋体" w:cs="宋体" w:eastAsia="宋体" w:hint="default"/>
                <w:sz w:val="16"/>
                <w:szCs w:val="16"/>
              </w:rPr>
              <w:t>金融服务</w:t>
            </w:r>
          </w:p>
        </w:tc>
        <w:tc>
          <w:tcPr>
            <w:tcW w:w="1673" w:type="dxa"/>
            <w:tcBorders>
              <w:top w:val="nil" w:sz="6" w:space="0" w:color="auto"/>
              <w:left w:val="nil" w:sz="6" w:space="0" w:color="auto"/>
              <w:bottom w:val="nil" w:sz="6" w:space="0" w:color="auto"/>
              <w:right w:val="nil" w:sz="6" w:space="0" w:color="auto"/>
            </w:tcBorders>
          </w:tcPr>
          <w:p>
            <w:pPr>
              <w:pStyle w:val="TableParagraph"/>
              <w:spacing w:line="172" w:lineRule="exact"/>
              <w:ind w:right="72"/>
              <w:jc w:val="right"/>
              <w:rPr>
                <w:rFonts w:ascii="宋体" w:hAnsi="宋体" w:cs="宋体" w:eastAsia="宋体" w:hint="default"/>
                <w:sz w:val="16"/>
                <w:szCs w:val="16"/>
              </w:rPr>
            </w:pPr>
            <w:r>
              <w:rPr>
                <w:rFonts w:ascii="宋体" w:hAnsi="宋体" w:cs="宋体" w:eastAsia="宋体" w:hint="default"/>
                <w:w w:val="95"/>
                <w:sz w:val="16"/>
                <w:szCs w:val="16"/>
              </w:rPr>
              <w:t>联通集团及其子公司</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1"/>
              <w:jc w:val="center"/>
              <w:rPr>
                <w:rFonts w:ascii="Arial" w:hAnsi="Arial" w:cs="Arial" w:eastAsia="Arial" w:hint="default"/>
                <w:sz w:val="16"/>
                <w:szCs w:val="16"/>
              </w:rPr>
            </w:pPr>
            <w:r>
              <w:rPr>
                <w:rFonts w:ascii="Arial"/>
                <w:sz w:val="16"/>
              </w:rPr>
              <w:t>(1)(10)</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Arial" w:hAnsi="Arial" w:cs="Arial" w:eastAsia="Arial" w:hint="default"/>
                <w:sz w:val="16"/>
                <w:szCs w:val="16"/>
              </w:rPr>
            </w:pPr>
            <w:r>
              <w:rPr>
                <w:rFonts w:ascii="Arial"/>
                <w:w w:val="95"/>
                <w:sz w:val="16"/>
              </w:rPr>
              <w:t>367,408,066</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5"/>
              <w:jc w:val="right"/>
              <w:rPr>
                <w:rFonts w:ascii="Arial" w:hAnsi="Arial" w:cs="Arial" w:eastAsia="Arial" w:hint="default"/>
                <w:sz w:val="16"/>
                <w:szCs w:val="16"/>
              </w:rPr>
            </w:pPr>
            <w:r>
              <w:rPr>
                <w:rFonts w:ascii="Arial"/>
                <w:w w:val="95"/>
                <w:sz w:val="16"/>
              </w:rPr>
              <w:t>146,870,435</w:t>
            </w:r>
            <w:r>
              <w:rPr>
                <w:rFonts w:ascii="Arial"/>
                <w:sz w:val="16"/>
              </w:rPr>
            </w:r>
          </w:p>
        </w:tc>
      </w:tr>
      <w:tr>
        <w:trPr>
          <w:trHeight w:val="209"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2" w:lineRule="exact"/>
              <w:ind w:left="182" w:right="0"/>
              <w:jc w:val="left"/>
              <w:rPr>
                <w:rFonts w:ascii="宋体" w:hAnsi="宋体" w:cs="宋体" w:eastAsia="宋体" w:hint="default"/>
                <w:sz w:val="16"/>
                <w:szCs w:val="16"/>
              </w:rPr>
            </w:pPr>
            <w:r>
              <w:rPr>
                <w:rFonts w:ascii="宋体" w:hAnsi="宋体" w:cs="宋体" w:eastAsia="宋体" w:hint="default"/>
                <w:sz w:val="16"/>
                <w:szCs w:val="16"/>
              </w:rPr>
              <w:t>利息及手续费收入</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2" w:lineRule="exact"/>
              <w:ind w:left="6" w:right="0"/>
              <w:jc w:val="center"/>
              <w:rPr>
                <w:rFonts w:ascii="宋体" w:hAnsi="宋体" w:cs="宋体" w:eastAsia="宋体" w:hint="default"/>
                <w:sz w:val="16"/>
                <w:szCs w:val="16"/>
              </w:rPr>
            </w:pPr>
            <w:r>
              <w:rPr>
                <w:rFonts w:ascii="宋体" w:hAnsi="宋体" w:cs="宋体" w:eastAsia="宋体" w:hint="default"/>
                <w:sz w:val="16"/>
                <w:szCs w:val="16"/>
              </w:rPr>
              <w:t>金融服务</w:t>
            </w:r>
          </w:p>
        </w:tc>
        <w:tc>
          <w:tcPr>
            <w:tcW w:w="1673" w:type="dxa"/>
            <w:tcBorders>
              <w:top w:val="nil" w:sz="6" w:space="0" w:color="auto"/>
              <w:left w:val="nil" w:sz="6" w:space="0" w:color="auto"/>
              <w:bottom w:val="nil" w:sz="6" w:space="0" w:color="auto"/>
              <w:right w:val="nil" w:sz="6" w:space="0" w:color="auto"/>
            </w:tcBorders>
          </w:tcPr>
          <w:p>
            <w:pPr>
              <w:pStyle w:val="TableParagraph"/>
              <w:spacing w:line="172" w:lineRule="exact"/>
              <w:ind w:right="72"/>
              <w:jc w:val="right"/>
              <w:rPr>
                <w:rFonts w:ascii="宋体" w:hAnsi="宋体" w:cs="宋体" w:eastAsia="宋体" w:hint="default"/>
                <w:sz w:val="16"/>
                <w:szCs w:val="16"/>
              </w:rPr>
            </w:pPr>
            <w:r>
              <w:rPr>
                <w:rFonts w:ascii="宋体" w:hAnsi="宋体" w:cs="宋体" w:eastAsia="宋体" w:hint="default"/>
                <w:w w:val="95"/>
                <w:sz w:val="16"/>
                <w:szCs w:val="16"/>
              </w:rPr>
              <w:t>其他合营和联营企业</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7"/>
              <w:jc w:val="center"/>
              <w:rPr>
                <w:rFonts w:ascii="Arial" w:hAnsi="Arial" w:cs="Arial" w:eastAsia="Arial" w:hint="default"/>
                <w:sz w:val="16"/>
                <w:szCs w:val="16"/>
              </w:rPr>
            </w:pPr>
            <w:r>
              <w:rPr>
                <w:rFonts w:ascii="Arial"/>
                <w:sz w:val="16"/>
              </w:rPr>
              <w:t>(10)</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4"/>
              <w:jc w:val="right"/>
              <w:rPr>
                <w:rFonts w:ascii="Arial" w:hAnsi="Arial" w:cs="Arial" w:eastAsia="Arial" w:hint="default"/>
                <w:sz w:val="16"/>
                <w:szCs w:val="16"/>
              </w:rPr>
            </w:pPr>
            <w:r>
              <w:rPr>
                <w:rFonts w:ascii="Arial"/>
                <w:w w:val="95"/>
                <w:sz w:val="16"/>
              </w:rPr>
              <w:t>47,170</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0"/>
              <w:jc w:val="right"/>
              <w:rPr>
                <w:rFonts w:ascii="Arial" w:hAnsi="Arial" w:cs="Arial" w:eastAsia="Arial" w:hint="default"/>
                <w:sz w:val="16"/>
                <w:szCs w:val="16"/>
              </w:rPr>
            </w:pPr>
            <w:r>
              <w:rPr>
                <w:rFonts w:ascii="Arial"/>
                <w:w w:val="98"/>
                <w:sz w:val="16"/>
              </w:rPr>
              <w:t>-</w:t>
            </w:r>
            <w:r>
              <w:rPr>
                <w:rFonts w:ascii="Arial"/>
                <w:sz w:val="16"/>
              </w:rPr>
            </w:r>
          </w:p>
        </w:tc>
      </w:tr>
      <w:tr>
        <w:trPr>
          <w:trHeight w:val="206"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4" w:lineRule="exact"/>
              <w:ind w:left="182" w:right="0"/>
              <w:jc w:val="left"/>
              <w:rPr>
                <w:rFonts w:ascii="宋体" w:hAnsi="宋体" w:cs="宋体" w:eastAsia="宋体" w:hint="default"/>
                <w:sz w:val="16"/>
                <w:szCs w:val="16"/>
              </w:rPr>
            </w:pPr>
            <w:r>
              <w:rPr>
                <w:rFonts w:ascii="宋体" w:hAnsi="宋体" w:cs="宋体" w:eastAsia="宋体" w:hint="default"/>
                <w:sz w:val="16"/>
                <w:szCs w:val="16"/>
              </w:rPr>
              <w:t>自联通集团借款</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4" w:lineRule="exact"/>
              <w:ind w:left="6" w:right="0"/>
              <w:jc w:val="center"/>
              <w:rPr>
                <w:rFonts w:ascii="宋体" w:hAnsi="宋体" w:cs="宋体" w:eastAsia="宋体" w:hint="default"/>
                <w:sz w:val="16"/>
                <w:szCs w:val="16"/>
              </w:rPr>
            </w:pPr>
            <w:r>
              <w:rPr>
                <w:rFonts w:ascii="宋体" w:hAnsi="宋体" w:cs="宋体" w:eastAsia="宋体" w:hint="default"/>
                <w:sz w:val="16"/>
                <w:szCs w:val="16"/>
              </w:rPr>
              <w:t>借款</w:t>
            </w:r>
          </w:p>
        </w:tc>
        <w:tc>
          <w:tcPr>
            <w:tcW w:w="1673" w:type="dxa"/>
            <w:tcBorders>
              <w:top w:val="nil" w:sz="6" w:space="0" w:color="auto"/>
              <w:left w:val="nil" w:sz="6" w:space="0" w:color="auto"/>
              <w:bottom w:val="nil" w:sz="6" w:space="0" w:color="auto"/>
              <w:right w:val="nil" w:sz="6" w:space="0" w:color="auto"/>
            </w:tcBorders>
          </w:tcPr>
          <w:p>
            <w:pPr>
              <w:pStyle w:val="TableParagraph"/>
              <w:spacing w:line="174" w:lineRule="exact"/>
              <w:ind w:right="72"/>
              <w:jc w:val="right"/>
              <w:rPr>
                <w:rFonts w:ascii="宋体" w:hAnsi="宋体" w:cs="宋体" w:eastAsia="宋体" w:hint="default"/>
                <w:sz w:val="16"/>
                <w:szCs w:val="16"/>
              </w:rPr>
            </w:pPr>
            <w:r>
              <w:rPr>
                <w:rFonts w:ascii="宋体" w:hAnsi="宋体" w:cs="宋体" w:eastAsia="宋体" w:hint="default"/>
                <w:w w:val="95"/>
                <w:sz w:val="16"/>
                <w:szCs w:val="16"/>
              </w:rPr>
              <w:t>联通集团及其子公司</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1"/>
              <w:jc w:val="center"/>
              <w:rPr>
                <w:rFonts w:ascii="Arial" w:hAnsi="Arial" w:cs="Arial" w:eastAsia="Arial" w:hint="default"/>
                <w:sz w:val="16"/>
                <w:szCs w:val="16"/>
              </w:rPr>
            </w:pPr>
            <w:r>
              <w:rPr>
                <w:rFonts w:ascii="Arial"/>
                <w:sz w:val="16"/>
              </w:rPr>
              <w:t>(1)(13)</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1"/>
              <w:jc w:val="right"/>
              <w:rPr>
                <w:rFonts w:ascii="Arial" w:hAnsi="Arial" w:cs="Arial" w:eastAsia="Arial" w:hint="default"/>
                <w:sz w:val="16"/>
                <w:szCs w:val="16"/>
              </w:rPr>
            </w:pPr>
            <w:r>
              <w:rPr>
                <w:rFonts w:ascii="Arial"/>
                <w:w w:val="98"/>
                <w:sz w:val="16"/>
              </w:rPr>
              <w:t>-</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70"/>
              <w:jc w:val="right"/>
              <w:rPr>
                <w:rFonts w:ascii="Arial" w:hAnsi="Arial" w:cs="Arial" w:eastAsia="Arial" w:hint="default"/>
                <w:sz w:val="16"/>
                <w:szCs w:val="16"/>
              </w:rPr>
            </w:pPr>
            <w:r>
              <w:rPr>
                <w:rFonts w:ascii="Arial"/>
                <w:w w:val="95"/>
                <w:sz w:val="16"/>
              </w:rPr>
              <w:t>47,752,400</w:t>
            </w:r>
            <w:r>
              <w:rPr>
                <w:rFonts w:ascii="Arial"/>
                <w:sz w:val="16"/>
              </w:rPr>
            </w:r>
          </w:p>
        </w:tc>
      </w:tr>
      <w:tr>
        <w:trPr>
          <w:trHeight w:val="209"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4" w:lineRule="exact"/>
              <w:ind w:left="182" w:right="0"/>
              <w:jc w:val="left"/>
              <w:rPr>
                <w:rFonts w:ascii="宋体" w:hAnsi="宋体" w:cs="宋体" w:eastAsia="宋体" w:hint="default"/>
                <w:sz w:val="16"/>
                <w:szCs w:val="16"/>
              </w:rPr>
            </w:pPr>
            <w:r>
              <w:rPr>
                <w:rFonts w:ascii="宋体" w:hAnsi="宋体" w:cs="宋体" w:eastAsia="宋体" w:hint="default"/>
                <w:sz w:val="16"/>
                <w:szCs w:val="16"/>
              </w:rPr>
              <w:t>自联通集团借款利息支出</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4" w:lineRule="exact"/>
              <w:ind w:left="6" w:right="0"/>
              <w:jc w:val="center"/>
              <w:rPr>
                <w:rFonts w:ascii="宋体" w:hAnsi="宋体" w:cs="宋体" w:eastAsia="宋体" w:hint="default"/>
                <w:sz w:val="16"/>
                <w:szCs w:val="16"/>
              </w:rPr>
            </w:pPr>
            <w:r>
              <w:rPr>
                <w:rFonts w:ascii="宋体" w:hAnsi="宋体" w:cs="宋体" w:eastAsia="宋体" w:hint="default"/>
                <w:sz w:val="16"/>
                <w:szCs w:val="16"/>
              </w:rPr>
              <w:t>借款</w:t>
            </w:r>
          </w:p>
        </w:tc>
        <w:tc>
          <w:tcPr>
            <w:tcW w:w="1673" w:type="dxa"/>
            <w:tcBorders>
              <w:top w:val="nil" w:sz="6" w:space="0" w:color="auto"/>
              <w:left w:val="nil" w:sz="6" w:space="0" w:color="auto"/>
              <w:bottom w:val="nil" w:sz="6" w:space="0" w:color="auto"/>
              <w:right w:val="nil" w:sz="6" w:space="0" w:color="auto"/>
            </w:tcBorders>
          </w:tcPr>
          <w:p>
            <w:pPr>
              <w:pStyle w:val="TableParagraph"/>
              <w:spacing w:line="174" w:lineRule="exact"/>
              <w:ind w:right="72"/>
              <w:jc w:val="right"/>
              <w:rPr>
                <w:rFonts w:ascii="宋体" w:hAnsi="宋体" w:cs="宋体" w:eastAsia="宋体" w:hint="default"/>
                <w:sz w:val="16"/>
                <w:szCs w:val="16"/>
              </w:rPr>
            </w:pPr>
            <w:r>
              <w:rPr>
                <w:rFonts w:ascii="宋体" w:hAnsi="宋体" w:cs="宋体" w:eastAsia="宋体" w:hint="default"/>
                <w:w w:val="95"/>
                <w:sz w:val="16"/>
                <w:szCs w:val="16"/>
              </w:rPr>
              <w:t>联通集团及其子公司</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1"/>
              <w:jc w:val="center"/>
              <w:rPr>
                <w:rFonts w:ascii="Arial" w:hAnsi="Arial" w:cs="Arial" w:eastAsia="Arial" w:hint="default"/>
                <w:sz w:val="16"/>
                <w:szCs w:val="16"/>
              </w:rPr>
            </w:pPr>
            <w:r>
              <w:rPr>
                <w:rFonts w:ascii="Arial"/>
                <w:sz w:val="16"/>
              </w:rPr>
              <w:t>(1)(13)</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4"/>
              <w:jc w:val="right"/>
              <w:rPr>
                <w:rFonts w:ascii="Arial" w:hAnsi="Arial" w:cs="Arial" w:eastAsia="Arial" w:hint="default"/>
                <w:sz w:val="16"/>
                <w:szCs w:val="16"/>
              </w:rPr>
            </w:pPr>
            <w:r>
              <w:rPr>
                <w:rFonts w:ascii="Arial"/>
                <w:w w:val="95"/>
                <w:sz w:val="16"/>
              </w:rPr>
              <w:t>85,906</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70"/>
              <w:jc w:val="right"/>
              <w:rPr>
                <w:rFonts w:ascii="Arial" w:hAnsi="Arial" w:cs="Arial" w:eastAsia="Arial" w:hint="default"/>
                <w:sz w:val="16"/>
                <w:szCs w:val="16"/>
              </w:rPr>
            </w:pPr>
            <w:r>
              <w:rPr>
                <w:rFonts w:ascii="Arial"/>
                <w:w w:val="95"/>
                <w:sz w:val="16"/>
              </w:rPr>
              <w:t>20,038,715</w:t>
            </w:r>
            <w:r>
              <w:rPr>
                <w:rFonts w:ascii="Arial"/>
                <w:sz w:val="16"/>
              </w:rPr>
            </w:r>
          </w:p>
        </w:tc>
      </w:tr>
      <w:tr>
        <w:trPr>
          <w:trHeight w:val="206"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2" w:lineRule="exact"/>
              <w:ind w:left="182" w:right="0"/>
              <w:jc w:val="left"/>
              <w:rPr>
                <w:rFonts w:ascii="宋体" w:hAnsi="宋体" w:cs="宋体" w:eastAsia="宋体" w:hint="default"/>
                <w:sz w:val="16"/>
                <w:szCs w:val="16"/>
              </w:rPr>
            </w:pPr>
            <w:r>
              <w:rPr>
                <w:rFonts w:ascii="宋体" w:hAnsi="宋体" w:cs="宋体" w:eastAsia="宋体" w:hint="default"/>
                <w:sz w:val="16"/>
                <w:szCs w:val="16"/>
              </w:rPr>
              <w:t>自联营</w:t>
            </w:r>
            <w:r>
              <w:rPr>
                <w:rFonts w:ascii="宋体" w:hAnsi="宋体" w:cs="宋体" w:eastAsia="宋体" w:hint="default"/>
                <w:sz w:val="16"/>
                <w:szCs w:val="16"/>
              </w:rPr>
              <w:t>/</w:t>
            </w:r>
            <w:r>
              <w:rPr>
                <w:rFonts w:ascii="宋体" w:hAnsi="宋体" w:cs="宋体" w:eastAsia="宋体" w:hint="default"/>
                <w:sz w:val="16"/>
                <w:szCs w:val="16"/>
              </w:rPr>
              <w:t>合营企业借款</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2" w:lineRule="exact"/>
              <w:ind w:left="6" w:right="0"/>
              <w:jc w:val="center"/>
              <w:rPr>
                <w:rFonts w:ascii="宋体" w:hAnsi="宋体" w:cs="宋体" w:eastAsia="宋体" w:hint="default"/>
                <w:sz w:val="16"/>
                <w:szCs w:val="16"/>
              </w:rPr>
            </w:pPr>
            <w:r>
              <w:rPr>
                <w:rFonts w:ascii="宋体" w:hAnsi="宋体" w:cs="宋体" w:eastAsia="宋体" w:hint="default"/>
                <w:sz w:val="16"/>
                <w:szCs w:val="16"/>
              </w:rPr>
              <w:t>借款</w:t>
            </w:r>
          </w:p>
        </w:tc>
        <w:tc>
          <w:tcPr>
            <w:tcW w:w="1673" w:type="dxa"/>
            <w:tcBorders>
              <w:top w:val="nil" w:sz="6" w:space="0" w:color="auto"/>
              <w:left w:val="nil" w:sz="6" w:space="0" w:color="auto"/>
              <w:bottom w:val="nil" w:sz="6" w:space="0" w:color="auto"/>
              <w:right w:val="nil" w:sz="6" w:space="0" w:color="auto"/>
            </w:tcBorders>
          </w:tcPr>
          <w:p>
            <w:pPr>
              <w:pStyle w:val="TableParagraph"/>
              <w:spacing w:line="172" w:lineRule="exact"/>
              <w:ind w:right="72"/>
              <w:jc w:val="right"/>
              <w:rPr>
                <w:rFonts w:ascii="宋体" w:hAnsi="宋体" w:cs="宋体" w:eastAsia="宋体" w:hint="default"/>
                <w:sz w:val="16"/>
                <w:szCs w:val="16"/>
              </w:rPr>
            </w:pPr>
            <w:r>
              <w:rPr>
                <w:rFonts w:ascii="宋体" w:hAnsi="宋体" w:cs="宋体" w:eastAsia="宋体" w:hint="default"/>
                <w:w w:val="95"/>
                <w:sz w:val="16"/>
                <w:szCs w:val="16"/>
              </w:rPr>
              <w:t>其他合营和联营企业</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6"/>
              <w:jc w:val="center"/>
              <w:rPr>
                <w:rFonts w:ascii="Arial" w:hAnsi="Arial" w:cs="Arial" w:eastAsia="Arial" w:hint="default"/>
                <w:sz w:val="16"/>
                <w:szCs w:val="16"/>
              </w:rPr>
            </w:pPr>
            <w:r>
              <w:rPr>
                <w:rFonts w:ascii="Arial"/>
                <w:sz w:val="16"/>
              </w:rPr>
              <w:t>(14)</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Arial" w:hAnsi="Arial" w:cs="Arial" w:eastAsia="Arial" w:hint="default"/>
                <w:sz w:val="16"/>
                <w:szCs w:val="16"/>
              </w:rPr>
            </w:pPr>
            <w:r>
              <w:rPr>
                <w:rFonts w:ascii="Arial"/>
                <w:w w:val="95"/>
                <w:sz w:val="16"/>
              </w:rPr>
              <w:t>50,000,000</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0"/>
              <w:jc w:val="right"/>
              <w:rPr>
                <w:rFonts w:ascii="Arial" w:hAnsi="Arial" w:cs="Arial" w:eastAsia="Arial" w:hint="default"/>
                <w:sz w:val="16"/>
                <w:szCs w:val="16"/>
              </w:rPr>
            </w:pPr>
            <w:r>
              <w:rPr>
                <w:rFonts w:ascii="Arial"/>
                <w:w w:val="98"/>
                <w:sz w:val="16"/>
              </w:rPr>
              <w:t>-</w:t>
            </w:r>
            <w:r>
              <w:rPr>
                <w:rFonts w:ascii="Arial"/>
                <w:sz w:val="16"/>
              </w:rPr>
            </w:r>
          </w:p>
        </w:tc>
      </w:tr>
      <w:tr>
        <w:trPr>
          <w:trHeight w:val="206"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2" w:lineRule="exact"/>
              <w:ind w:left="182" w:right="0"/>
              <w:jc w:val="left"/>
              <w:rPr>
                <w:rFonts w:ascii="宋体" w:hAnsi="宋体" w:cs="宋体" w:eastAsia="宋体" w:hint="default"/>
                <w:sz w:val="16"/>
                <w:szCs w:val="16"/>
              </w:rPr>
            </w:pPr>
            <w:r>
              <w:rPr>
                <w:rFonts w:ascii="宋体" w:hAnsi="宋体" w:cs="宋体" w:eastAsia="宋体" w:hint="default"/>
                <w:sz w:val="16"/>
                <w:szCs w:val="16"/>
              </w:rPr>
              <w:t>自联营</w:t>
            </w:r>
            <w:r>
              <w:rPr>
                <w:rFonts w:ascii="宋体" w:hAnsi="宋体" w:cs="宋体" w:eastAsia="宋体" w:hint="default"/>
                <w:sz w:val="16"/>
                <w:szCs w:val="16"/>
              </w:rPr>
              <w:t>/</w:t>
            </w:r>
            <w:r>
              <w:rPr>
                <w:rFonts w:ascii="宋体" w:hAnsi="宋体" w:cs="宋体" w:eastAsia="宋体" w:hint="default"/>
                <w:sz w:val="16"/>
                <w:szCs w:val="16"/>
              </w:rPr>
              <w:t>合营企业借款利息支出</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2" w:lineRule="exact"/>
              <w:ind w:left="6" w:right="0"/>
              <w:jc w:val="center"/>
              <w:rPr>
                <w:rFonts w:ascii="宋体" w:hAnsi="宋体" w:cs="宋体" w:eastAsia="宋体" w:hint="default"/>
                <w:sz w:val="16"/>
                <w:szCs w:val="16"/>
              </w:rPr>
            </w:pPr>
            <w:r>
              <w:rPr>
                <w:rFonts w:ascii="宋体" w:hAnsi="宋体" w:cs="宋体" w:eastAsia="宋体" w:hint="default"/>
                <w:sz w:val="16"/>
                <w:szCs w:val="16"/>
              </w:rPr>
              <w:t>借款</w:t>
            </w:r>
          </w:p>
        </w:tc>
        <w:tc>
          <w:tcPr>
            <w:tcW w:w="1673" w:type="dxa"/>
            <w:tcBorders>
              <w:top w:val="nil" w:sz="6" w:space="0" w:color="auto"/>
              <w:left w:val="nil" w:sz="6" w:space="0" w:color="auto"/>
              <w:bottom w:val="nil" w:sz="6" w:space="0" w:color="auto"/>
              <w:right w:val="nil" w:sz="6" w:space="0" w:color="auto"/>
            </w:tcBorders>
          </w:tcPr>
          <w:p>
            <w:pPr>
              <w:pStyle w:val="TableParagraph"/>
              <w:spacing w:line="172" w:lineRule="exact"/>
              <w:ind w:right="72"/>
              <w:jc w:val="right"/>
              <w:rPr>
                <w:rFonts w:ascii="宋体" w:hAnsi="宋体" w:cs="宋体" w:eastAsia="宋体" w:hint="default"/>
                <w:sz w:val="16"/>
                <w:szCs w:val="16"/>
              </w:rPr>
            </w:pPr>
            <w:r>
              <w:rPr>
                <w:rFonts w:ascii="宋体" w:hAnsi="宋体" w:cs="宋体" w:eastAsia="宋体" w:hint="default"/>
                <w:w w:val="95"/>
                <w:sz w:val="16"/>
                <w:szCs w:val="16"/>
              </w:rPr>
              <w:t>其他合营和联营企业</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6"/>
              <w:jc w:val="center"/>
              <w:rPr>
                <w:rFonts w:ascii="Arial" w:hAnsi="Arial" w:cs="Arial" w:eastAsia="Arial" w:hint="default"/>
                <w:sz w:val="16"/>
                <w:szCs w:val="16"/>
              </w:rPr>
            </w:pPr>
            <w:r>
              <w:rPr>
                <w:rFonts w:ascii="Arial"/>
                <w:sz w:val="16"/>
              </w:rPr>
              <w:t>(14)</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4"/>
              <w:jc w:val="right"/>
              <w:rPr>
                <w:rFonts w:ascii="Arial" w:hAnsi="Arial" w:cs="Arial" w:eastAsia="Arial" w:hint="default"/>
                <w:sz w:val="16"/>
                <w:szCs w:val="16"/>
              </w:rPr>
            </w:pPr>
            <w:r>
              <w:rPr>
                <w:rFonts w:ascii="Arial"/>
                <w:w w:val="95"/>
                <w:sz w:val="16"/>
              </w:rPr>
              <w:t>1,409,400</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8"/>
              <w:jc w:val="right"/>
              <w:rPr>
                <w:rFonts w:ascii="Arial" w:hAnsi="Arial" w:cs="Arial" w:eastAsia="Arial" w:hint="default"/>
                <w:sz w:val="16"/>
                <w:szCs w:val="16"/>
              </w:rPr>
            </w:pPr>
            <w:r>
              <w:rPr>
                <w:rFonts w:ascii="Arial"/>
                <w:w w:val="95"/>
                <w:sz w:val="16"/>
              </w:rPr>
              <w:t>1,041,825</w:t>
            </w:r>
            <w:r>
              <w:rPr>
                <w:rFonts w:ascii="Arial"/>
                <w:sz w:val="16"/>
              </w:rPr>
            </w:r>
          </w:p>
        </w:tc>
      </w:tr>
      <w:tr>
        <w:trPr>
          <w:trHeight w:val="209"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2" w:lineRule="exact"/>
              <w:ind w:left="182" w:right="0"/>
              <w:jc w:val="left"/>
              <w:rPr>
                <w:rFonts w:ascii="宋体" w:hAnsi="宋体" w:cs="宋体" w:eastAsia="宋体" w:hint="default"/>
                <w:sz w:val="16"/>
                <w:szCs w:val="16"/>
              </w:rPr>
            </w:pPr>
            <w:r>
              <w:rPr>
                <w:rFonts w:ascii="宋体" w:hAnsi="宋体" w:cs="宋体" w:eastAsia="宋体" w:hint="default"/>
                <w:sz w:val="16"/>
                <w:szCs w:val="16"/>
              </w:rPr>
              <w:t>物资采购支出</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2" w:lineRule="exact"/>
              <w:ind w:left="6" w:right="0"/>
              <w:jc w:val="center"/>
              <w:rPr>
                <w:rFonts w:ascii="宋体" w:hAnsi="宋体" w:cs="宋体" w:eastAsia="宋体" w:hint="default"/>
                <w:sz w:val="16"/>
                <w:szCs w:val="16"/>
              </w:rPr>
            </w:pPr>
            <w:r>
              <w:rPr>
                <w:rFonts w:ascii="宋体" w:hAnsi="宋体" w:cs="宋体" w:eastAsia="宋体" w:hint="default"/>
                <w:sz w:val="16"/>
                <w:szCs w:val="16"/>
              </w:rPr>
              <w:t>物资采购</w:t>
            </w:r>
          </w:p>
        </w:tc>
        <w:tc>
          <w:tcPr>
            <w:tcW w:w="1673" w:type="dxa"/>
            <w:tcBorders>
              <w:top w:val="nil" w:sz="6" w:space="0" w:color="auto"/>
              <w:left w:val="nil" w:sz="6" w:space="0" w:color="auto"/>
              <w:bottom w:val="nil" w:sz="6" w:space="0" w:color="auto"/>
              <w:right w:val="nil" w:sz="6" w:space="0" w:color="auto"/>
            </w:tcBorders>
          </w:tcPr>
          <w:p>
            <w:pPr>
              <w:pStyle w:val="TableParagraph"/>
              <w:spacing w:line="172" w:lineRule="exact"/>
              <w:ind w:right="72"/>
              <w:jc w:val="right"/>
              <w:rPr>
                <w:rFonts w:ascii="宋体" w:hAnsi="宋体" w:cs="宋体" w:eastAsia="宋体" w:hint="default"/>
                <w:sz w:val="16"/>
                <w:szCs w:val="16"/>
              </w:rPr>
            </w:pPr>
            <w:r>
              <w:rPr>
                <w:rFonts w:ascii="宋体" w:hAnsi="宋体" w:cs="宋体" w:eastAsia="宋体" w:hint="default"/>
                <w:w w:val="95"/>
                <w:sz w:val="16"/>
                <w:szCs w:val="16"/>
              </w:rPr>
              <w:t>联通集团及其子公司</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6"/>
              <w:jc w:val="center"/>
              <w:rPr>
                <w:rFonts w:ascii="Arial" w:hAnsi="Arial" w:cs="Arial" w:eastAsia="Arial" w:hint="default"/>
                <w:sz w:val="16"/>
                <w:szCs w:val="16"/>
              </w:rPr>
            </w:pPr>
            <w:r>
              <w:rPr>
                <w:rFonts w:ascii="Arial"/>
                <w:sz w:val="16"/>
              </w:rPr>
              <w:t>(1)(3)</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Arial" w:hAnsi="Arial" w:cs="Arial" w:eastAsia="Arial" w:hint="default"/>
                <w:sz w:val="16"/>
                <w:szCs w:val="16"/>
              </w:rPr>
            </w:pPr>
            <w:r>
              <w:rPr>
                <w:rFonts w:ascii="Arial"/>
                <w:w w:val="95"/>
                <w:sz w:val="16"/>
              </w:rPr>
              <w:t>20,164,986</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0"/>
              <w:jc w:val="right"/>
              <w:rPr>
                <w:rFonts w:ascii="Arial" w:hAnsi="Arial" w:cs="Arial" w:eastAsia="Arial" w:hint="default"/>
                <w:sz w:val="16"/>
                <w:szCs w:val="16"/>
              </w:rPr>
            </w:pPr>
            <w:r>
              <w:rPr>
                <w:rFonts w:ascii="Arial"/>
                <w:w w:val="95"/>
                <w:sz w:val="16"/>
              </w:rPr>
              <w:t>33,511,241</w:t>
            </w:r>
            <w:r>
              <w:rPr>
                <w:rFonts w:ascii="Arial"/>
                <w:sz w:val="16"/>
              </w:rPr>
            </w:r>
          </w:p>
        </w:tc>
      </w:tr>
      <w:tr>
        <w:trPr>
          <w:trHeight w:val="196" w:hRule="exact"/>
        </w:trPr>
        <w:tc>
          <w:tcPr>
            <w:tcW w:w="2476" w:type="dxa"/>
            <w:tcBorders>
              <w:top w:val="nil" w:sz="6" w:space="0" w:color="auto"/>
              <w:left w:val="nil" w:sz="6" w:space="0" w:color="auto"/>
              <w:bottom w:val="nil" w:sz="6" w:space="0" w:color="auto"/>
              <w:right w:val="nil" w:sz="6" w:space="0" w:color="auto"/>
            </w:tcBorders>
          </w:tcPr>
          <w:p>
            <w:pPr>
              <w:pStyle w:val="TableParagraph"/>
              <w:spacing w:line="174" w:lineRule="exact"/>
              <w:ind w:left="182" w:right="0"/>
              <w:jc w:val="left"/>
              <w:rPr>
                <w:rFonts w:ascii="宋体" w:hAnsi="宋体" w:cs="宋体" w:eastAsia="宋体" w:hint="default"/>
                <w:sz w:val="16"/>
                <w:szCs w:val="16"/>
              </w:rPr>
            </w:pPr>
            <w:r>
              <w:rPr>
                <w:rFonts w:ascii="宋体" w:hAnsi="宋体" w:cs="宋体" w:eastAsia="宋体" w:hint="default"/>
                <w:sz w:val="16"/>
                <w:szCs w:val="16"/>
              </w:rPr>
              <w:t>物资采购支出</w:t>
            </w:r>
            <w:r>
              <w:rPr>
                <w:rFonts w:ascii="宋体" w:hAnsi="宋体" w:cs="宋体" w:eastAsia="宋体" w:hint="default"/>
                <w:sz w:val="16"/>
                <w:szCs w:val="16"/>
              </w:rPr>
              <w:t> </w:t>
            </w:r>
          </w:p>
        </w:tc>
        <w:tc>
          <w:tcPr>
            <w:tcW w:w="1532" w:type="dxa"/>
            <w:tcBorders>
              <w:top w:val="nil" w:sz="6" w:space="0" w:color="auto"/>
              <w:left w:val="nil" w:sz="6" w:space="0" w:color="auto"/>
              <w:bottom w:val="nil" w:sz="6" w:space="0" w:color="auto"/>
              <w:right w:val="nil" w:sz="6" w:space="0" w:color="auto"/>
            </w:tcBorders>
          </w:tcPr>
          <w:p>
            <w:pPr>
              <w:pStyle w:val="TableParagraph"/>
              <w:spacing w:line="174" w:lineRule="exact"/>
              <w:ind w:left="6" w:right="0"/>
              <w:jc w:val="center"/>
              <w:rPr>
                <w:rFonts w:ascii="宋体" w:hAnsi="宋体" w:cs="宋体" w:eastAsia="宋体" w:hint="default"/>
                <w:sz w:val="16"/>
                <w:szCs w:val="16"/>
              </w:rPr>
            </w:pPr>
            <w:r>
              <w:rPr>
                <w:rFonts w:ascii="宋体" w:hAnsi="宋体" w:cs="宋体" w:eastAsia="宋体" w:hint="default"/>
                <w:sz w:val="16"/>
                <w:szCs w:val="16"/>
              </w:rPr>
              <w:t>物资采购</w:t>
            </w:r>
          </w:p>
        </w:tc>
        <w:tc>
          <w:tcPr>
            <w:tcW w:w="1673" w:type="dxa"/>
            <w:tcBorders>
              <w:top w:val="nil" w:sz="6" w:space="0" w:color="auto"/>
              <w:left w:val="nil" w:sz="6" w:space="0" w:color="auto"/>
              <w:bottom w:val="nil" w:sz="6" w:space="0" w:color="auto"/>
              <w:right w:val="nil" w:sz="6" w:space="0" w:color="auto"/>
            </w:tcBorders>
          </w:tcPr>
          <w:p>
            <w:pPr>
              <w:pStyle w:val="TableParagraph"/>
              <w:spacing w:line="174" w:lineRule="exact"/>
              <w:ind w:right="72"/>
              <w:jc w:val="right"/>
              <w:rPr>
                <w:rFonts w:ascii="宋体" w:hAnsi="宋体" w:cs="宋体" w:eastAsia="宋体" w:hint="default"/>
                <w:sz w:val="16"/>
                <w:szCs w:val="16"/>
              </w:rPr>
            </w:pPr>
            <w:r>
              <w:rPr>
                <w:rFonts w:ascii="宋体" w:hAnsi="宋体" w:cs="宋体" w:eastAsia="宋体" w:hint="default"/>
                <w:w w:val="95"/>
                <w:sz w:val="16"/>
                <w:szCs w:val="16"/>
              </w:rPr>
              <w:t>其他关联法人</w:t>
            </w:r>
            <w:r>
              <w:rPr>
                <w:rFonts w:ascii="宋体" w:hAnsi="宋体" w:cs="宋体" w:eastAsia="宋体" w:hint="default"/>
                <w:sz w:val="16"/>
                <w:szCs w:val="16"/>
              </w:rPr>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6"/>
              <w:jc w:val="center"/>
              <w:rPr>
                <w:rFonts w:ascii="Arial" w:hAnsi="Arial" w:cs="Arial" w:eastAsia="Arial" w:hint="default"/>
                <w:sz w:val="16"/>
                <w:szCs w:val="16"/>
              </w:rPr>
            </w:pPr>
            <w:r>
              <w:rPr>
                <w:rFonts w:ascii="Arial"/>
                <w:sz w:val="16"/>
              </w:rPr>
              <w:t>(15)</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4"/>
              <w:jc w:val="right"/>
              <w:rPr>
                <w:rFonts w:ascii="Arial" w:hAnsi="Arial" w:cs="Arial" w:eastAsia="Arial" w:hint="default"/>
                <w:sz w:val="16"/>
                <w:szCs w:val="16"/>
              </w:rPr>
            </w:pPr>
            <w:r>
              <w:rPr>
                <w:rFonts w:ascii="Arial"/>
                <w:w w:val="95"/>
                <w:sz w:val="16"/>
              </w:rPr>
              <w:t>165,174,993</w:t>
            </w:r>
            <w:r>
              <w:rPr>
                <w:rFonts w:ascii="Arial"/>
                <w:sz w:val="16"/>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5"/>
              <w:jc w:val="right"/>
              <w:rPr>
                <w:rFonts w:ascii="Arial" w:hAnsi="Arial" w:cs="Arial" w:eastAsia="Arial" w:hint="default"/>
                <w:sz w:val="16"/>
                <w:szCs w:val="16"/>
              </w:rPr>
            </w:pPr>
            <w:r>
              <w:rPr>
                <w:rFonts w:ascii="Arial"/>
                <w:w w:val="95"/>
                <w:sz w:val="16"/>
              </w:rPr>
              <w:t>157,911,754</w:t>
            </w:r>
            <w:r>
              <w:rPr>
                <w:rFonts w:ascii="Arial"/>
                <w:sz w:val="16"/>
              </w:rPr>
            </w:r>
          </w:p>
        </w:tc>
      </w:tr>
    </w:tbl>
    <w:p>
      <w:pPr>
        <w:spacing w:line="240" w:lineRule="auto" w:before="8"/>
        <w:rPr>
          <w:rFonts w:ascii="宋体" w:hAnsi="宋体" w:cs="宋体" w:eastAsia="宋体" w:hint="default"/>
          <w:sz w:val="5"/>
          <w:szCs w:val="5"/>
        </w:rPr>
      </w:pPr>
    </w:p>
    <w:p>
      <w:pPr>
        <w:pStyle w:val="BodyText"/>
        <w:spacing w:line="240" w:lineRule="auto" w:before="32"/>
        <w:ind w:left="560" w:right="0"/>
        <w:jc w:val="both"/>
      </w:pPr>
      <w:r>
        <w:rPr/>
        <w:t>注释：</w:t>
      </w:r>
    </w:p>
    <w:p>
      <w:pPr>
        <w:pStyle w:val="BodyText"/>
        <w:tabs>
          <w:tab w:pos="607" w:val="left" w:leader="none"/>
        </w:tabs>
        <w:spacing w:line="296" w:lineRule="exact" w:before="177"/>
        <w:ind w:left="118" w:right="0"/>
        <w:jc w:val="left"/>
      </w:pPr>
      <w:r>
        <w:rPr>
          <w:rFonts w:ascii="Arial" w:hAnsi="Arial" w:cs="Arial" w:eastAsia="Arial" w:hint="default"/>
        </w:rPr>
        <w:t>(1)</w:t>
        <w:tab/>
        <w:t>2016</w:t>
      </w:r>
      <w:r>
        <w:rPr>
          <w:rFonts w:ascii="Arial" w:hAnsi="Arial" w:cs="Arial" w:eastAsia="Arial" w:hint="default"/>
          <w:spacing w:val="-10"/>
        </w:rPr>
        <w:t> </w:t>
      </w:r>
      <w:r>
        <w:rPr/>
        <w:t>年</w:t>
      </w:r>
      <w:r>
        <w:rPr>
          <w:spacing w:val="-61"/>
        </w:rPr>
        <w:t> </w:t>
      </w:r>
      <w:r>
        <w:rPr>
          <w:rFonts w:ascii="Arial" w:hAnsi="Arial" w:cs="Arial" w:eastAsia="Arial" w:hint="default"/>
        </w:rPr>
        <w:t>11</w:t>
      </w:r>
      <w:r>
        <w:rPr>
          <w:rFonts w:ascii="Arial" w:hAnsi="Arial" w:cs="Arial" w:eastAsia="Arial" w:hint="default"/>
          <w:spacing w:val="-10"/>
        </w:rPr>
        <w:t> </w:t>
      </w:r>
      <w:r>
        <w:rPr/>
        <w:t>月</w:t>
      </w:r>
      <w:r>
        <w:rPr>
          <w:spacing w:val="-61"/>
        </w:rPr>
        <w:t> </w:t>
      </w:r>
      <w:r>
        <w:rPr>
          <w:rFonts w:ascii="Arial" w:hAnsi="Arial" w:cs="Arial" w:eastAsia="Arial" w:hint="default"/>
        </w:rPr>
        <w:t>25</w:t>
      </w:r>
      <w:r>
        <w:rPr>
          <w:rFonts w:ascii="Arial" w:hAnsi="Arial" w:cs="Arial" w:eastAsia="Arial" w:hint="default"/>
          <w:spacing w:val="-10"/>
        </w:rPr>
        <w:t> </w:t>
      </w:r>
      <w:r>
        <w:rPr/>
        <w:t>日，联通运营公司与联通集团及其子公司签订《</w:t>
      </w:r>
      <w:r>
        <w:rPr>
          <w:rFonts w:ascii="Arial" w:hAnsi="Arial" w:cs="Arial" w:eastAsia="Arial" w:hint="default"/>
        </w:rPr>
        <w:t>2017-2019</w:t>
      </w:r>
      <w:r>
        <w:rPr>
          <w:rFonts w:ascii="Arial" w:hAnsi="Arial" w:cs="Arial" w:eastAsia="Arial" w:hint="default"/>
          <w:spacing w:val="-10"/>
        </w:rPr>
        <w:t> </w:t>
      </w:r>
      <w:r>
        <w:rPr/>
        <w:t>年综合服务协议》并</w:t>
      </w:r>
    </w:p>
    <w:p>
      <w:pPr>
        <w:pStyle w:val="BodyText"/>
        <w:spacing w:line="225" w:lineRule="auto" w:before="7"/>
        <w:ind w:left="607" w:right="115" w:hanging="1"/>
        <w:jc w:val="both"/>
      </w:pPr>
      <w:r>
        <w:rPr/>
        <w:t>设定了</w:t>
      </w:r>
      <w:r>
        <w:rPr>
          <w:spacing w:val="-52"/>
        </w:rPr>
        <w:t> </w:t>
      </w:r>
      <w:r>
        <w:rPr>
          <w:rFonts w:ascii="Arial" w:hAnsi="Arial" w:cs="Arial" w:eastAsia="Arial" w:hint="default"/>
        </w:rPr>
        <w:t>2017-2019</w:t>
      </w:r>
      <w:r>
        <w:rPr>
          <w:rFonts w:ascii="Arial" w:hAnsi="Arial" w:cs="Arial" w:eastAsia="Arial" w:hint="default"/>
          <w:spacing w:val="-5"/>
        </w:rPr>
        <w:t> </w:t>
      </w:r>
      <w:r>
        <w:rPr>
          <w:spacing w:val="-3"/>
        </w:rPr>
        <w:t>年各年度的交易额度上限，该协议期限三年。</w:t>
      </w:r>
      <w:r>
        <w:rPr>
          <w:rFonts w:ascii="Arial" w:hAnsi="Arial" w:cs="Arial" w:eastAsia="Arial" w:hint="default"/>
          <w:spacing w:val="-3"/>
        </w:rPr>
        <w:t>2019</w:t>
      </w:r>
      <w:r>
        <w:rPr>
          <w:rFonts w:ascii="Arial" w:hAnsi="Arial" w:cs="Arial" w:eastAsia="Arial" w:hint="default"/>
        </w:rPr>
        <w:t> </w:t>
      </w:r>
      <w:r>
        <w:rPr/>
        <w:t>年</w:t>
      </w:r>
      <w:r>
        <w:rPr>
          <w:spacing w:val="-52"/>
        </w:rPr>
        <w:t> </w:t>
      </w:r>
      <w:r>
        <w:rPr>
          <w:rFonts w:ascii="Arial" w:hAnsi="Arial" w:cs="Arial" w:eastAsia="Arial" w:hint="default"/>
        </w:rPr>
        <w:t>10 </w:t>
      </w:r>
      <w:r>
        <w:rPr/>
        <w:t>月</w:t>
      </w:r>
      <w:r>
        <w:rPr>
          <w:spacing w:val="-52"/>
        </w:rPr>
        <w:t> </w:t>
      </w:r>
      <w:r>
        <w:rPr>
          <w:rFonts w:ascii="Arial" w:hAnsi="Arial" w:cs="Arial" w:eastAsia="Arial" w:hint="default"/>
        </w:rPr>
        <w:t>21</w:t>
      </w:r>
      <w:r>
        <w:rPr>
          <w:rFonts w:ascii="Arial" w:hAnsi="Arial" w:cs="Arial" w:eastAsia="Arial" w:hint="default"/>
          <w:spacing w:val="-5"/>
        </w:rPr>
        <w:t> </w:t>
      </w:r>
      <w:r>
        <w:rPr>
          <w:spacing w:val="-5"/>
        </w:rPr>
        <w:t>日，联通运营公</w:t>
      </w:r>
      <w:r>
        <w:rPr>
          <w:w w:val="100"/>
        </w:rPr>
        <w:t> </w:t>
      </w:r>
      <w:r>
        <w:rPr/>
        <w:t>司与联通集团签订了《</w:t>
      </w:r>
      <w:r>
        <w:rPr>
          <w:rFonts w:ascii="Arial" w:hAnsi="Arial" w:cs="Arial" w:eastAsia="Arial" w:hint="default"/>
        </w:rPr>
        <w:t>2020-2022 </w:t>
      </w:r>
      <w:r>
        <w:rPr/>
        <w:t>年综合服务协议》并设定了 </w:t>
      </w:r>
      <w:r>
        <w:rPr>
          <w:rFonts w:ascii="Arial" w:hAnsi="Arial" w:cs="Arial" w:eastAsia="Arial" w:hint="default"/>
        </w:rPr>
        <w:t>2020-2022</w:t>
      </w:r>
      <w:r>
        <w:rPr>
          <w:rFonts w:ascii="Arial" w:hAnsi="Arial" w:cs="Arial" w:eastAsia="Arial" w:hint="default"/>
          <w:spacing w:val="1"/>
        </w:rPr>
        <w:t> </w:t>
      </w:r>
      <w:r>
        <w:rPr/>
        <w:t>年各年度的交易额度上</w:t>
      </w:r>
      <w:r>
        <w:rPr>
          <w:w w:val="100"/>
        </w:rPr>
        <w:t> </w:t>
      </w:r>
      <w:r>
        <w:rPr/>
        <w:t>限。该协议期限三年，自</w:t>
      </w:r>
      <w:r>
        <w:rPr>
          <w:spacing w:val="-57"/>
        </w:rPr>
        <w:t> </w:t>
      </w:r>
      <w:r>
        <w:rPr>
          <w:rFonts w:ascii="Arial" w:hAnsi="Arial" w:cs="Arial" w:eastAsia="Arial" w:hint="default"/>
        </w:rPr>
        <w:t>2020</w:t>
      </w:r>
      <w:r>
        <w:rPr>
          <w:rFonts w:ascii="Arial" w:hAnsi="Arial" w:cs="Arial" w:eastAsia="Arial" w:hint="default"/>
          <w:spacing w:val="-6"/>
        </w:rPr>
        <w:t> </w:t>
      </w:r>
      <w:r>
        <w:rPr/>
        <w:t>年</w:t>
      </w:r>
      <w:r>
        <w:rPr>
          <w:spacing w:val="-57"/>
        </w:rPr>
        <w:t> </w:t>
      </w:r>
      <w:r>
        <w:rPr>
          <w:rFonts w:ascii="Arial" w:hAnsi="Arial" w:cs="Arial" w:eastAsia="Arial" w:hint="default"/>
        </w:rPr>
        <w:t>1</w:t>
      </w:r>
      <w:r>
        <w:rPr>
          <w:rFonts w:ascii="Arial" w:hAnsi="Arial" w:cs="Arial" w:eastAsia="Arial" w:hint="default"/>
          <w:spacing w:val="-6"/>
        </w:rPr>
        <w:t> </w:t>
      </w:r>
      <w:r>
        <w:rPr/>
        <w:t>月</w:t>
      </w:r>
      <w:r>
        <w:rPr>
          <w:spacing w:val="-57"/>
        </w:rPr>
        <w:t> </w:t>
      </w:r>
      <w:r>
        <w:rPr>
          <w:rFonts w:ascii="Arial" w:hAnsi="Arial" w:cs="Arial" w:eastAsia="Arial" w:hint="default"/>
        </w:rPr>
        <w:t>1</w:t>
      </w:r>
      <w:r>
        <w:rPr>
          <w:rFonts w:ascii="Arial" w:hAnsi="Arial" w:cs="Arial" w:eastAsia="Arial" w:hint="default"/>
          <w:spacing w:val="-6"/>
        </w:rPr>
        <w:t> </w:t>
      </w:r>
      <w:r>
        <w:rPr/>
        <w:t>日起至</w:t>
      </w:r>
      <w:r>
        <w:rPr>
          <w:spacing w:val="-57"/>
        </w:rPr>
        <w:t> </w:t>
      </w:r>
      <w:r>
        <w:rPr>
          <w:rFonts w:ascii="Arial" w:hAnsi="Arial" w:cs="Arial" w:eastAsia="Arial" w:hint="default"/>
        </w:rPr>
        <w:t>2022</w:t>
      </w:r>
      <w:r>
        <w:rPr>
          <w:rFonts w:ascii="Arial" w:hAnsi="Arial" w:cs="Arial" w:eastAsia="Arial" w:hint="default"/>
          <w:spacing w:val="-5"/>
        </w:rPr>
        <w:t> </w:t>
      </w:r>
      <w:r>
        <w:rPr/>
        <w:t>年</w:t>
      </w:r>
      <w:r>
        <w:rPr>
          <w:spacing w:val="-57"/>
        </w:rPr>
        <w:t> </w:t>
      </w:r>
      <w:r>
        <w:rPr>
          <w:rFonts w:ascii="Arial" w:hAnsi="Arial" w:cs="Arial" w:eastAsia="Arial" w:hint="default"/>
        </w:rPr>
        <w:t>12</w:t>
      </w:r>
      <w:r>
        <w:rPr>
          <w:rFonts w:ascii="Arial" w:hAnsi="Arial" w:cs="Arial" w:eastAsia="Arial" w:hint="default"/>
          <w:spacing w:val="-6"/>
        </w:rPr>
        <w:t> </w:t>
      </w:r>
      <w:r>
        <w:rPr/>
        <w:t>月</w:t>
      </w:r>
      <w:r>
        <w:rPr>
          <w:spacing w:val="-57"/>
        </w:rPr>
        <w:t> </w:t>
      </w:r>
      <w:r>
        <w:rPr>
          <w:rFonts w:ascii="Arial" w:hAnsi="Arial" w:cs="Arial" w:eastAsia="Arial" w:hint="default"/>
        </w:rPr>
        <w:t>31</w:t>
      </w:r>
      <w:r>
        <w:rPr>
          <w:rFonts w:ascii="Arial" w:hAnsi="Arial" w:cs="Arial" w:eastAsia="Arial" w:hint="default"/>
          <w:spacing w:val="-6"/>
        </w:rPr>
        <w:t> </w:t>
      </w:r>
      <w:r>
        <w:rPr>
          <w:spacing w:val="-4"/>
        </w:rPr>
        <w:t>日止。</w:t>
      </w:r>
      <w:r>
        <w:rPr/>
      </w:r>
    </w:p>
    <w:p>
      <w:pPr>
        <w:spacing w:after="0" w:line="225" w:lineRule="auto"/>
        <w:jc w:val="both"/>
        <w:sectPr>
          <w:headerReference w:type="default" r:id="rId226"/>
          <w:pgSz w:w="11910" w:h="16840"/>
          <w:pgMar w:header="1183" w:footer="502" w:top="3620" w:bottom="700" w:left="1000" w:right="800"/>
        </w:sectPr>
      </w:pPr>
    </w:p>
    <w:p>
      <w:pPr>
        <w:spacing w:line="240" w:lineRule="auto" w:before="10"/>
        <w:rPr>
          <w:rFonts w:ascii="宋体" w:hAnsi="宋体" w:cs="宋体" w:eastAsia="宋体" w:hint="default"/>
          <w:sz w:val="15"/>
          <w:szCs w:val="15"/>
        </w:rPr>
      </w:pPr>
    </w:p>
    <w:p>
      <w:pPr>
        <w:pStyle w:val="BodyText"/>
        <w:tabs>
          <w:tab w:pos="579" w:val="left" w:leader="none"/>
        </w:tabs>
        <w:spacing w:line="232" w:lineRule="auto" w:before="40"/>
        <w:ind w:left="579" w:right="104" w:hanging="476"/>
        <w:jc w:val="left"/>
      </w:pPr>
      <w:r>
        <w:rPr>
          <w:rFonts w:ascii="Arial" w:hAnsi="Arial" w:cs="Arial" w:eastAsia="Arial" w:hint="default"/>
        </w:rPr>
        <w:t>(2)</w:t>
        <w:tab/>
      </w:r>
      <w:r>
        <w:rPr>
          <w:spacing w:val="-5"/>
        </w:rPr>
        <w:t>联通运营公司和联通集团及其子公司互相提供多种综合服务，包括设备租赁和维护服务、车辆服务、</w:t>
      </w:r>
      <w:r>
        <w:rPr>
          <w:spacing w:val="-49"/>
        </w:rPr>
        <w:t> </w:t>
      </w:r>
      <w:r>
        <w:rPr>
          <w:spacing w:val="-49"/>
        </w:rPr>
      </w:r>
      <w:r>
        <w:rPr/>
        <w:t>商品销售、系统集成服务、安全保卫服务、施工及安装配套服务、软件开发服务、职工培训服务、</w:t>
      </w:r>
      <w:r>
        <w:rPr>
          <w:w w:val="100"/>
        </w:rPr>
        <w:t> </w:t>
      </w:r>
      <w:r>
        <w:rPr>
          <w:spacing w:val="-2"/>
        </w:rPr>
        <w:t>运维服务和广告及其它综合服务。相关定价或收费标准参考政府指导价、市场价格或成本加利润的</w:t>
      </w:r>
      <w:r>
        <w:rPr>
          <w:w w:val="100"/>
        </w:rPr>
        <w:t> </w:t>
      </w:r>
      <w:r>
        <w:rPr/>
        <w:t>方式而指定，并在提供相关服务时结算。</w:t>
      </w:r>
    </w:p>
    <w:p>
      <w:pPr>
        <w:spacing w:line="240" w:lineRule="auto" w:before="7"/>
        <w:rPr>
          <w:rFonts w:ascii="宋体" w:hAnsi="宋体" w:cs="宋体" w:eastAsia="宋体" w:hint="default"/>
          <w:sz w:val="19"/>
          <w:szCs w:val="19"/>
        </w:rPr>
      </w:pPr>
    </w:p>
    <w:p>
      <w:pPr>
        <w:pStyle w:val="BodyText"/>
        <w:spacing w:line="235" w:lineRule="auto"/>
        <w:ind w:left="593" w:right="193" w:hanging="490"/>
        <w:jc w:val="both"/>
      </w:pPr>
      <w:r>
        <w:rPr>
          <w:rFonts w:ascii="Arial" w:hAnsi="Arial" w:cs="Arial" w:eastAsia="Arial" w:hint="default"/>
        </w:rPr>
        <w:t>(3)</w:t>
      </w:r>
      <w:r>
        <w:rPr>
          <w:rFonts w:ascii="Arial" w:hAnsi="Arial" w:cs="Arial" w:eastAsia="Arial" w:hint="default"/>
          <w:spacing w:val="33"/>
        </w:rPr>
        <w:t> </w:t>
      </w:r>
      <w:r>
        <w:rPr>
          <w:spacing w:val="2"/>
        </w:rPr>
        <w:t>联通运营公司可要求联通集团及其子公司担任采购进口及国内电信设备以及其它国内非电信设备</w:t>
      </w:r>
      <w:r>
        <w:rPr>
          <w:spacing w:val="-101"/>
        </w:rPr>
        <w:t> </w:t>
      </w:r>
      <w:r>
        <w:rPr>
          <w:spacing w:val="-101"/>
        </w:rPr>
      </w:r>
      <w:r>
        <w:rPr>
          <w:spacing w:val="-2"/>
        </w:rPr>
        <w:t>的代理商，联通集团及其子公司向联通运营公司提供协议项下与物资或设备采购相关的仓储和运输</w:t>
      </w:r>
      <w:r>
        <w:rPr>
          <w:w w:val="100"/>
        </w:rPr>
        <w:t> </w:t>
      </w:r>
      <w:r>
        <w:rPr>
          <w:spacing w:val="-2"/>
        </w:rPr>
        <w:t>服务。联通运营公司支付给联通集团及其子公司的费用基于政府指导价、市场价格或成本加利润的</w:t>
      </w:r>
      <w:r>
        <w:rPr>
          <w:w w:val="100"/>
        </w:rPr>
        <w:t> </w:t>
      </w:r>
      <w:r>
        <w:rPr/>
        <w:t>方式确定。</w:t>
      </w:r>
    </w:p>
    <w:p>
      <w:pPr>
        <w:spacing w:line="240" w:lineRule="auto" w:before="9"/>
        <w:rPr>
          <w:rFonts w:ascii="宋体" w:hAnsi="宋体" w:cs="宋体" w:eastAsia="宋体" w:hint="default"/>
          <w:sz w:val="19"/>
          <w:szCs w:val="19"/>
        </w:rPr>
      </w:pPr>
    </w:p>
    <w:p>
      <w:pPr>
        <w:pStyle w:val="BodyText"/>
        <w:spacing w:line="232" w:lineRule="auto"/>
        <w:ind w:left="593" w:right="194" w:hanging="490"/>
        <w:jc w:val="both"/>
      </w:pPr>
      <w:r>
        <w:rPr>
          <w:rFonts w:ascii="Arial" w:hAnsi="Arial" w:cs="Arial" w:eastAsia="Arial" w:hint="default"/>
        </w:rPr>
        <w:t>(4)</w:t>
      </w:r>
      <w:r>
        <w:rPr>
          <w:rFonts w:ascii="Arial" w:hAnsi="Arial" w:cs="Arial" w:eastAsia="Arial" w:hint="default"/>
          <w:spacing w:val="35"/>
        </w:rPr>
        <w:t> </w:t>
      </w:r>
      <w:r>
        <w:rPr>
          <w:spacing w:val="2"/>
        </w:rPr>
        <w:t>联通集团个别子公司及其他合营和联营企业利用联通运营公司的移动通信网络及数据平台向用户</w:t>
      </w:r>
      <w:r>
        <w:rPr>
          <w:spacing w:val="-102"/>
        </w:rPr>
        <w:t> </w:t>
      </w:r>
      <w:r>
        <w:rPr>
          <w:spacing w:val="-102"/>
        </w:rPr>
      </w:r>
      <w:r>
        <w:rPr>
          <w:spacing w:val="-2"/>
        </w:rPr>
        <w:t>提供增值服务，并参考与同类地区第三方的交易标准按照协议中规定的收入分成比例向联通运营公</w:t>
      </w:r>
      <w:r>
        <w:rPr>
          <w:w w:val="100"/>
        </w:rPr>
        <w:t> </w:t>
      </w:r>
      <w:r>
        <w:rPr/>
        <w:t>司收费。</w:t>
      </w:r>
    </w:p>
    <w:p>
      <w:pPr>
        <w:spacing w:line="240" w:lineRule="auto" w:before="5"/>
        <w:rPr>
          <w:rFonts w:ascii="宋体" w:hAnsi="宋体" w:cs="宋体" w:eastAsia="宋体" w:hint="default"/>
          <w:sz w:val="21"/>
          <w:szCs w:val="21"/>
        </w:rPr>
      </w:pPr>
    </w:p>
    <w:p>
      <w:pPr>
        <w:pStyle w:val="BodyText"/>
        <w:spacing w:line="284" w:lineRule="exact"/>
        <w:ind w:left="593" w:right="200" w:hanging="490"/>
        <w:jc w:val="both"/>
      </w:pPr>
      <w:r>
        <w:rPr>
          <w:rFonts w:ascii="Arial" w:hAnsi="Arial" w:cs="Arial" w:eastAsia="Arial" w:hint="default"/>
        </w:rPr>
        <w:t>(5)</w:t>
      </w:r>
      <w:r>
        <w:rPr>
          <w:rFonts w:ascii="Arial" w:hAnsi="Arial" w:cs="Arial" w:eastAsia="Arial" w:hint="default"/>
          <w:spacing w:val="50"/>
        </w:rPr>
        <w:t> </w:t>
      </w:r>
      <w:r>
        <w:rPr/>
        <w:t>联通集团及其子公司向联通运营公司提供若干工程及信息技术相关服务的一系列相关服务，其应付</w:t>
      </w:r>
      <w:r>
        <w:rPr>
          <w:w w:val="100"/>
        </w:rPr>
        <w:t> </w:t>
      </w:r>
      <w:r>
        <w:rPr/>
        <w:t>价格参照市场价格制定，于提供相关服务时结算。</w:t>
      </w:r>
    </w:p>
    <w:p>
      <w:pPr>
        <w:spacing w:line="240" w:lineRule="auto" w:before="2"/>
        <w:rPr>
          <w:rFonts w:ascii="宋体" w:hAnsi="宋体" w:cs="宋体" w:eastAsia="宋体" w:hint="default"/>
          <w:sz w:val="19"/>
          <w:szCs w:val="19"/>
        </w:rPr>
      </w:pPr>
    </w:p>
    <w:p>
      <w:pPr>
        <w:pStyle w:val="BodyText"/>
        <w:spacing w:line="288" w:lineRule="exact"/>
        <w:ind w:left="579" w:right="200" w:hanging="476"/>
        <w:jc w:val="both"/>
      </w:pPr>
      <w:r>
        <w:rPr>
          <w:rFonts w:ascii="Arial" w:hAnsi="Arial" w:cs="Arial" w:eastAsia="Arial" w:hint="default"/>
        </w:rPr>
        <w:t>(6)</w:t>
      </w:r>
      <w:r>
        <w:rPr>
          <w:rFonts w:ascii="Arial" w:hAnsi="Arial" w:cs="Arial" w:eastAsia="Arial" w:hint="default"/>
          <w:spacing w:val="48"/>
        </w:rPr>
        <w:t> </w:t>
      </w:r>
      <w:r>
        <w:rPr/>
        <w:t>联通运营公司与联通集团及其子公司签订了一般行政服务的共享服务协议。根据此项协议，共享服</w:t>
      </w:r>
      <w:r>
        <w:rPr>
          <w:w w:val="100"/>
        </w:rPr>
        <w:t> </w:t>
      </w:r>
      <w:r>
        <w:rPr/>
        <w:t>务的费用将根据各自资产比例在双方之间分摊。</w:t>
      </w:r>
    </w:p>
    <w:p>
      <w:pPr>
        <w:spacing w:line="240" w:lineRule="auto" w:before="8"/>
        <w:rPr>
          <w:rFonts w:ascii="宋体" w:hAnsi="宋体" w:cs="宋体" w:eastAsia="宋体" w:hint="default"/>
          <w:sz w:val="17"/>
          <w:szCs w:val="17"/>
        </w:rPr>
      </w:pPr>
    </w:p>
    <w:p>
      <w:pPr>
        <w:pStyle w:val="BodyText"/>
        <w:spacing w:line="232" w:lineRule="auto"/>
        <w:ind w:left="579" w:right="200" w:hanging="476"/>
        <w:jc w:val="both"/>
      </w:pPr>
      <w:r>
        <w:rPr>
          <w:rFonts w:ascii="Arial" w:hAnsi="Arial" w:cs="Arial" w:eastAsia="Arial" w:hint="default"/>
        </w:rPr>
        <w:t>(7)</w:t>
      </w:r>
      <w:r>
        <w:rPr>
          <w:rFonts w:ascii="Arial" w:hAnsi="Arial" w:cs="Arial" w:eastAsia="Arial" w:hint="default"/>
          <w:spacing w:val="48"/>
        </w:rPr>
        <w:t> </w:t>
      </w:r>
      <w:r>
        <w:rPr/>
        <w:t>联通集团及其子公司向联通运营公司提供末梢电信服务的相关服务，包括若干通信业务销售前、销</w:t>
      </w:r>
      <w:r>
        <w:rPr>
          <w:w w:val="100"/>
        </w:rPr>
        <w:t> </w:t>
      </w:r>
      <w:r>
        <w:rPr>
          <w:spacing w:val="-2"/>
        </w:rPr>
        <w:t>售中和销售后的服务（例如若干通信设施组装及维修）、销售代理服务、账单打印和递送服务、电</w:t>
      </w:r>
      <w:r>
        <w:rPr>
          <w:w w:val="100"/>
        </w:rPr>
        <w:t> </w:t>
      </w:r>
      <w:r>
        <w:rPr>
          <w:spacing w:val="-2"/>
        </w:rPr>
        <w:t>话亭维护、客户发展和接待以及其它客户服务。相关定价或收费标准参考政府指导价、市场价格或</w:t>
      </w:r>
      <w:r>
        <w:rPr>
          <w:w w:val="100"/>
        </w:rPr>
        <w:t> </w:t>
      </w:r>
      <w:r>
        <w:rPr/>
        <w:t>成本加利润的方式而指定，并在提供相关服务时结算。</w:t>
      </w:r>
    </w:p>
    <w:p>
      <w:pPr>
        <w:spacing w:line="240" w:lineRule="auto" w:before="7"/>
        <w:rPr>
          <w:rFonts w:ascii="宋体" w:hAnsi="宋体" w:cs="宋体" w:eastAsia="宋体" w:hint="default"/>
          <w:sz w:val="19"/>
          <w:szCs w:val="19"/>
        </w:rPr>
      </w:pPr>
    </w:p>
    <w:p>
      <w:pPr>
        <w:pStyle w:val="BodyText"/>
        <w:spacing w:line="235" w:lineRule="auto"/>
        <w:ind w:left="579" w:right="214" w:hanging="476"/>
        <w:jc w:val="both"/>
      </w:pPr>
      <w:r>
        <w:rPr>
          <w:rFonts w:ascii="Arial" w:hAnsi="Arial" w:cs="Arial" w:eastAsia="Arial" w:hint="default"/>
        </w:rPr>
        <w:t>(8)</w:t>
      </w:r>
      <w:r>
        <w:rPr>
          <w:rFonts w:ascii="Arial" w:hAnsi="Arial" w:cs="Arial" w:eastAsia="Arial" w:hint="default"/>
          <w:spacing w:val="36"/>
        </w:rPr>
        <w:t> </w:t>
      </w:r>
      <w:r>
        <w:rPr/>
        <w:t>联通运营公司向联通集团及其子公司租用若干物业，该等物业用途为办公室、电信设备场地和其它</w:t>
      </w:r>
      <w:r>
        <w:rPr>
          <w:w w:val="100"/>
        </w:rPr>
        <w:t> </w:t>
      </w:r>
      <w:r>
        <w:rPr>
          <w:spacing w:val="-2"/>
        </w:rPr>
        <w:t>辅助用途。联通运营公司应付的费用基于市场租金水平或每一项物业的折旧及税金确定。后者在折</w:t>
      </w:r>
      <w:r>
        <w:rPr>
          <w:w w:val="100"/>
        </w:rPr>
        <w:t> </w:t>
      </w:r>
      <w:r>
        <w:rPr>
          <w:spacing w:val="-2"/>
        </w:rPr>
        <w:t>旧及税金不高于市场租金水平时适用。相关费用应按季于每季末支付，每年参考租赁物业当时市场</w:t>
      </w:r>
      <w:r>
        <w:rPr>
          <w:w w:val="100"/>
        </w:rPr>
        <w:t> </w:t>
      </w:r>
      <w:r>
        <w:rPr/>
        <w:t>租金水平重新审定。</w:t>
      </w:r>
    </w:p>
    <w:p>
      <w:pPr>
        <w:spacing w:line="240" w:lineRule="auto" w:before="7"/>
        <w:rPr>
          <w:rFonts w:ascii="宋体" w:hAnsi="宋体" w:cs="宋体" w:eastAsia="宋体" w:hint="default"/>
          <w:sz w:val="19"/>
          <w:szCs w:val="19"/>
        </w:rPr>
      </w:pPr>
    </w:p>
    <w:p>
      <w:pPr>
        <w:pStyle w:val="BodyText"/>
        <w:spacing w:line="235" w:lineRule="auto"/>
        <w:ind w:left="579" w:right="200" w:hanging="476"/>
        <w:jc w:val="both"/>
      </w:pPr>
      <w:r>
        <w:rPr>
          <w:rFonts w:ascii="Arial" w:hAnsi="Arial" w:cs="Arial" w:eastAsia="Arial" w:hint="default"/>
        </w:rPr>
        <w:t>(9)</w:t>
      </w:r>
      <w:r>
        <w:rPr>
          <w:rFonts w:ascii="Arial" w:hAnsi="Arial" w:cs="Arial" w:eastAsia="Arial" w:hint="default"/>
          <w:spacing w:val="48"/>
        </w:rPr>
        <w:t> </w:t>
      </w:r>
      <w:r>
        <w:rPr/>
        <w:t>联通运营公司使用联通集团及其子公司拥有的国际通信信道出入口，国际通信业务出入口，国际海</w:t>
      </w:r>
      <w:r>
        <w:rPr>
          <w:w w:val="100"/>
        </w:rPr>
        <w:t> </w:t>
      </w:r>
      <w:r>
        <w:rPr>
          <w:spacing w:val="-2"/>
        </w:rPr>
        <w:t>缆容量以及国际陆缆等国际通信资源及其他通信设施，费用以通信资源和设施的年度折旧金额为基</w:t>
      </w:r>
      <w:r>
        <w:rPr>
          <w:w w:val="100"/>
        </w:rPr>
        <w:t> </w:t>
      </w:r>
      <w:r>
        <w:rPr>
          <w:spacing w:val="-2"/>
        </w:rPr>
        <w:t>础确定，且收费不高于市场租金水平。除联通运营公司与联通集团另行协商外，上述通信设施维护</w:t>
      </w:r>
      <w:r>
        <w:rPr>
          <w:w w:val="100"/>
        </w:rPr>
        <w:t> </w:t>
      </w:r>
      <w:r>
        <w:rPr>
          <w:spacing w:val="-2"/>
        </w:rPr>
        <w:t>所产生的费用由联通运营公司承担，相关费用参照市场价格确定，若没有市场价格，则以合理成本</w:t>
      </w:r>
      <w:r>
        <w:rPr>
          <w:w w:val="100"/>
        </w:rPr>
        <w:t> </w:t>
      </w:r>
      <w:r>
        <w:rPr/>
        <w:t>加合理利润的方式确定。</w:t>
      </w:r>
    </w:p>
    <w:p>
      <w:pPr>
        <w:spacing w:after="0" w:line="235" w:lineRule="auto"/>
        <w:jc w:val="both"/>
        <w:sectPr>
          <w:headerReference w:type="default" r:id="rId227"/>
          <w:pgSz w:w="11910" w:h="16840"/>
          <w:pgMar w:header="1183" w:footer="502" w:top="3540" w:bottom="700" w:left="1000" w:right="700"/>
        </w:sectPr>
      </w:pPr>
    </w:p>
    <w:p>
      <w:pPr>
        <w:spacing w:line="240" w:lineRule="auto" w:before="10"/>
        <w:rPr>
          <w:rFonts w:ascii="宋体" w:hAnsi="宋体" w:cs="宋体" w:eastAsia="宋体" w:hint="default"/>
          <w:sz w:val="15"/>
          <w:szCs w:val="15"/>
        </w:rPr>
      </w:pPr>
    </w:p>
    <w:p>
      <w:pPr>
        <w:pStyle w:val="BodyText"/>
        <w:spacing w:line="232" w:lineRule="auto" w:before="40"/>
        <w:ind w:left="579" w:right="0" w:hanging="476"/>
        <w:jc w:val="left"/>
      </w:pPr>
      <w:r>
        <w:rPr>
          <w:rFonts w:ascii="Arial" w:hAnsi="Arial" w:cs="Arial" w:eastAsia="Arial" w:hint="default"/>
        </w:rPr>
        <w:t>(10)</w:t>
      </w:r>
      <w:r>
        <w:rPr>
          <w:rFonts w:ascii="Arial" w:hAnsi="Arial" w:cs="Arial" w:eastAsia="Arial" w:hint="default"/>
          <w:spacing w:val="11"/>
        </w:rPr>
        <w:t> </w:t>
      </w:r>
      <w:r>
        <w:rPr/>
        <w:t>财务公司向联通集团及其子公司以及联营企业智慧足迹提供金融服务，包括存款服务、贷款及其他</w:t>
      </w:r>
      <w:r>
        <w:rPr>
          <w:w w:val="100"/>
        </w:rPr>
        <w:t> </w:t>
      </w:r>
      <w:r>
        <w:rPr/>
        <w:t>授信服务和其他金融服务。相关利率遵循中国人民银行规定的利率标准，并参考向其他用户提供同</w:t>
      </w:r>
      <w:r>
        <w:rPr>
          <w:spacing w:val="-5"/>
          <w:w w:val="100"/>
        </w:rPr>
        <w:t> </w:t>
      </w:r>
      <w:r>
        <w:rPr>
          <w:spacing w:val="-2"/>
        </w:rPr>
        <w:t>类服务所确定的利率及一般商业银行向联通集团提供同类服务的利率；相关手续费参考政府指导价、</w:t>
      </w:r>
      <w:r>
        <w:rPr>
          <w:w w:val="100"/>
        </w:rPr>
        <w:t> </w:t>
      </w:r>
      <w:r>
        <w:rPr/>
        <w:t>市场价格等厘定。</w:t>
      </w:r>
    </w:p>
    <w:p>
      <w:pPr>
        <w:spacing w:line="240" w:lineRule="auto" w:before="4"/>
        <w:rPr>
          <w:rFonts w:ascii="宋体" w:hAnsi="宋体" w:cs="宋体" w:eastAsia="宋体" w:hint="default"/>
          <w:sz w:val="20"/>
          <w:szCs w:val="20"/>
        </w:rPr>
      </w:pPr>
    </w:p>
    <w:p>
      <w:pPr>
        <w:pStyle w:val="BodyText"/>
        <w:spacing w:line="225" w:lineRule="auto"/>
        <w:ind w:left="579" w:right="320"/>
        <w:jc w:val="both"/>
      </w:pPr>
      <w:r>
        <w:rPr>
          <w:rFonts w:ascii="Arial" w:hAnsi="Arial" w:cs="Arial" w:eastAsia="Arial" w:hint="default"/>
        </w:rPr>
        <w:t>2019</w:t>
      </w:r>
      <w:r>
        <w:rPr>
          <w:rFonts w:ascii="Arial" w:hAnsi="Arial" w:cs="Arial" w:eastAsia="Arial" w:hint="default"/>
          <w:spacing w:val="-8"/>
        </w:rPr>
        <w:t> </w:t>
      </w:r>
      <w:r>
        <w:rPr/>
        <w:t>年，财务公司向联通集团及其子公司发放贷款人民币</w:t>
      </w:r>
      <w:r>
        <w:rPr>
          <w:spacing w:val="-59"/>
        </w:rPr>
        <w:t> </w:t>
      </w:r>
      <w:r>
        <w:rPr>
          <w:rFonts w:ascii="Arial" w:hAnsi="Arial" w:cs="Arial" w:eastAsia="Arial" w:hint="default"/>
        </w:rPr>
        <w:t>114.34</w:t>
      </w:r>
      <w:r>
        <w:rPr>
          <w:rFonts w:ascii="Arial" w:hAnsi="Arial" w:cs="Arial" w:eastAsia="Arial" w:hint="default"/>
          <w:spacing w:val="-8"/>
        </w:rPr>
        <w:t> </w:t>
      </w:r>
      <w:r>
        <w:rPr>
          <w:spacing w:val="-3"/>
        </w:rPr>
        <w:t>亿元，借款利率以起息日当日中</w:t>
      </w:r>
      <w:r>
        <w:rPr>
          <w:w w:val="100"/>
        </w:rPr>
        <w:t> </w:t>
      </w:r>
      <w:r>
        <w:rPr/>
        <w:t>国人民银行公布施行的同期同档次贷款利率的 </w:t>
      </w:r>
      <w:r>
        <w:rPr>
          <w:rFonts w:ascii="Arial" w:hAnsi="Arial" w:cs="Arial" w:eastAsia="Arial" w:hint="default"/>
        </w:rPr>
        <w:t>90</w:t>
      </w:r>
      <w:r>
        <w:rPr/>
        <w:t>％至</w:t>
      </w:r>
      <w:r>
        <w:rPr>
          <w:spacing w:val="12"/>
        </w:rPr>
        <w:t> </w:t>
      </w:r>
      <w:r>
        <w:rPr>
          <w:rFonts w:ascii="Arial" w:hAnsi="Arial" w:cs="Arial" w:eastAsia="Arial" w:hint="default"/>
        </w:rPr>
        <w:t>110</w:t>
      </w:r>
      <w:r>
        <w:rPr/>
        <w:t>％浮动利率计息。联通集团偿还贷款人</w:t>
      </w:r>
      <w:r>
        <w:rPr>
          <w:w w:val="100"/>
        </w:rPr>
        <w:t> </w:t>
      </w:r>
      <w:r>
        <w:rPr/>
        <w:t>民币</w:t>
      </w:r>
      <w:r>
        <w:rPr>
          <w:spacing w:val="-56"/>
        </w:rPr>
        <w:t> </w:t>
      </w:r>
      <w:r>
        <w:rPr>
          <w:rFonts w:ascii="Arial" w:hAnsi="Arial" w:cs="Arial" w:eastAsia="Arial" w:hint="default"/>
        </w:rPr>
        <w:t>111.34</w:t>
      </w:r>
      <w:r>
        <w:rPr>
          <w:rFonts w:ascii="Arial" w:hAnsi="Arial" w:cs="Arial" w:eastAsia="Arial" w:hint="default"/>
          <w:spacing w:val="-5"/>
        </w:rPr>
        <w:t> </w:t>
      </w:r>
      <w:r>
        <w:rPr/>
        <w:t>亿元，剩余部分将于</w:t>
      </w:r>
      <w:r>
        <w:rPr>
          <w:spacing w:val="-56"/>
        </w:rPr>
        <w:t> </w:t>
      </w:r>
      <w:r>
        <w:rPr>
          <w:rFonts w:ascii="Arial" w:hAnsi="Arial" w:cs="Arial" w:eastAsia="Arial" w:hint="default"/>
        </w:rPr>
        <w:t>1</w:t>
      </w:r>
      <w:r>
        <w:rPr>
          <w:rFonts w:ascii="Arial" w:hAnsi="Arial" w:cs="Arial" w:eastAsia="Arial" w:hint="default"/>
          <w:spacing w:val="-5"/>
        </w:rPr>
        <w:t> </w:t>
      </w:r>
      <w:r>
        <w:rPr/>
        <w:t>年内到期。</w:t>
      </w:r>
    </w:p>
    <w:p>
      <w:pPr>
        <w:spacing w:line="240" w:lineRule="auto" w:before="1"/>
        <w:rPr>
          <w:rFonts w:ascii="宋体" w:hAnsi="宋体" w:cs="宋体" w:eastAsia="宋体" w:hint="default"/>
          <w:sz w:val="18"/>
          <w:szCs w:val="18"/>
        </w:rPr>
      </w:pPr>
    </w:p>
    <w:p>
      <w:pPr>
        <w:pStyle w:val="BodyText"/>
        <w:spacing w:line="240" w:lineRule="auto"/>
        <w:ind w:left="104" w:right="0"/>
        <w:jc w:val="left"/>
      </w:pPr>
      <w:r>
        <w:rPr>
          <w:rFonts w:ascii="Arial" w:hAnsi="Arial" w:cs="Arial" w:eastAsia="Arial" w:hint="default"/>
        </w:rPr>
        <w:t>(11)</w:t>
      </w:r>
      <w:r>
        <w:rPr>
          <w:rFonts w:ascii="Arial" w:hAnsi="Arial" w:cs="Arial" w:eastAsia="Arial" w:hint="default"/>
          <w:spacing w:val="21"/>
        </w:rPr>
        <w:t> </w:t>
      </w:r>
      <w:r>
        <w:rPr/>
        <w:t>本集团向铁塔公司提供包括系统集成和工程设计服务等在内的工程设计及施工服务。</w:t>
      </w:r>
    </w:p>
    <w:p>
      <w:pPr>
        <w:spacing w:line="240" w:lineRule="auto" w:before="7"/>
        <w:rPr>
          <w:rFonts w:ascii="宋体" w:hAnsi="宋体" w:cs="宋体" w:eastAsia="宋体" w:hint="default"/>
          <w:sz w:val="20"/>
          <w:szCs w:val="20"/>
        </w:rPr>
      </w:pPr>
    </w:p>
    <w:p>
      <w:pPr>
        <w:pStyle w:val="BodyText"/>
        <w:spacing w:line="284" w:lineRule="exact"/>
        <w:ind w:left="579" w:right="0" w:hanging="476"/>
        <w:jc w:val="left"/>
        <w:rPr>
          <w:rFonts w:ascii="Arial" w:hAnsi="Arial" w:cs="Arial" w:eastAsia="Arial" w:hint="default"/>
        </w:rPr>
      </w:pPr>
      <w:r>
        <w:rPr>
          <w:rFonts w:ascii="Arial" w:hAnsi="Arial" w:cs="Arial" w:eastAsia="Arial" w:hint="default"/>
        </w:rPr>
        <w:t>(12)</w:t>
      </w:r>
      <w:r>
        <w:rPr>
          <w:rFonts w:ascii="Arial" w:hAnsi="Arial" w:cs="Arial" w:eastAsia="Arial" w:hint="default"/>
          <w:spacing w:val="20"/>
        </w:rPr>
        <w:t> </w:t>
      </w:r>
      <w:r>
        <w:rPr/>
        <w:t>于</w:t>
      </w:r>
      <w:r>
        <w:rPr>
          <w:spacing w:val="-58"/>
        </w:rPr>
        <w:t> </w:t>
      </w:r>
      <w:r>
        <w:rPr>
          <w:rFonts w:ascii="Arial" w:hAnsi="Arial" w:cs="Arial" w:eastAsia="Arial" w:hint="default"/>
        </w:rPr>
        <w:t>2016</w:t>
      </w:r>
      <w:r>
        <w:rPr>
          <w:rFonts w:ascii="Arial" w:hAnsi="Arial" w:cs="Arial" w:eastAsia="Arial" w:hint="default"/>
          <w:spacing w:val="-7"/>
        </w:rPr>
        <w:t> </w:t>
      </w:r>
      <w:r>
        <w:rPr/>
        <w:t>年</w:t>
      </w:r>
      <w:r>
        <w:rPr>
          <w:spacing w:val="-58"/>
        </w:rPr>
        <w:t> </w:t>
      </w:r>
      <w:r>
        <w:rPr>
          <w:rFonts w:ascii="Arial" w:hAnsi="Arial" w:cs="Arial" w:eastAsia="Arial" w:hint="default"/>
        </w:rPr>
        <w:t>7</w:t>
      </w:r>
      <w:r>
        <w:rPr>
          <w:rFonts w:ascii="Arial" w:hAnsi="Arial" w:cs="Arial" w:eastAsia="Arial" w:hint="default"/>
          <w:spacing w:val="-7"/>
        </w:rPr>
        <w:t> </w:t>
      </w:r>
      <w:r>
        <w:rPr/>
        <w:t>月</w:t>
      </w:r>
      <w:r>
        <w:rPr>
          <w:spacing w:val="-58"/>
        </w:rPr>
        <w:t> </w:t>
      </w:r>
      <w:r>
        <w:rPr>
          <w:rFonts w:ascii="Arial" w:hAnsi="Arial" w:cs="Arial" w:eastAsia="Arial" w:hint="default"/>
        </w:rPr>
        <w:t>8</w:t>
      </w:r>
      <w:r>
        <w:rPr>
          <w:rFonts w:ascii="Arial" w:hAnsi="Arial" w:cs="Arial" w:eastAsia="Arial" w:hint="default"/>
          <w:spacing w:val="-7"/>
        </w:rPr>
        <w:t> </w:t>
      </w:r>
      <w:r>
        <w:rPr/>
        <w:t>日，联通运营公司与铁塔公司就若干通信铁塔及相关资产的使用事项签订了商务</w:t>
      </w:r>
      <w:r>
        <w:rPr>
          <w:w w:val="100"/>
        </w:rPr>
        <w:t> </w:t>
      </w:r>
      <w:r>
        <w:rPr/>
        <w:t>定价协议（以下简称“协议”），协议约定了产品目录、使用费定价标准及服务期限等具体事项。</w:t>
      </w:r>
      <w:r>
        <w:rPr>
          <w:w w:val="100"/>
        </w:rPr>
        <w:t> </w:t>
      </w:r>
      <w:r>
        <w:rPr>
          <w:spacing w:val="-5"/>
        </w:rPr>
        <w:t>随后，双方签署了省级服务协议以及有关特定铁塔的租赁确认书（以下简称“确认书”）。于</w:t>
      </w:r>
      <w:r>
        <w:rPr>
          <w:spacing w:val="10"/>
        </w:rPr>
        <w:t> </w:t>
      </w:r>
      <w:r>
        <w:rPr>
          <w:rFonts w:ascii="Arial" w:hAnsi="Arial" w:cs="Arial" w:eastAsia="Arial" w:hint="default"/>
        </w:rPr>
        <w:t>2018</w:t>
      </w:r>
    </w:p>
    <w:p>
      <w:pPr>
        <w:pStyle w:val="BodyText"/>
        <w:spacing w:line="225" w:lineRule="auto"/>
        <w:ind w:left="579" w:right="210"/>
        <w:jc w:val="both"/>
      </w:pPr>
      <w:r>
        <w:rPr/>
        <w:t>年</w:t>
      </w:r>
      <w:r>
        <w:rPr>
          <w:spacing w:val="-58"/>
        </w:rPr>
        <w:t> </w:t>
      </w:r>
      <w:r>
        <w:rPr>
          <w:rFonts w:ascii="Arial" w:hAnsi="Arial" w:cs="Arial" w:eastAsia="Arial" w:hint="default"/>
        </w:rPr>
        <w:t>1</w:t>
      </w:r>
      <w:r>
        <w:rPr>
          <w:rFonts w:ascii="Arial" w:hAnsi="Arial" w:cs="Arial" w:eastAsia="Arial" w:hint="default"/>
          <w:spacing w:val="-7"/>
        </w:rPr>
        <w:t> </w:t>
      </w:r>
      <w:r>
        <w:rPr/>
        <w:t>月</w:t>
      </w:r>
      <w:r>
        <w:rPr>
          <w:spacing w:val="-58"/>
        </w:rPr>
        <w:t> </w:t>
      </w:r>
      <w:r>
        <w:rPr>
          <w:rFonts w:ascii="Arial" w:hAnsi="Arial" w:cs="Arial" w:eastAsia="Arial" w:hint="default"/>
        </w:rPr>
        <w:t>31</w:t>
      </w:r>
      <w:r>
        <w:rPr>
          <w:rFonts w:ascii="Arial" w:hAnsi="Arial" w:cs="Arial" w:eastAsia="Arial" w:hint="default"/>
          <w:spacing w:val="-7"/>
        </w:rPr>
        <w:t> </w:t>
      </w:r>
      <w:r>
        <w:rPr/>
        <w:t>日，经双方公平谈判协商，联通运营公司与铁塔公司签署订立了《</w:t>
      </w:r>
      <w:r>
        <w:rPr>
          <w:rFonts w:ascii="Arial" w:hAnsi="Arial" w:cs="Arial" w:eastAsia="Arial" w:hint="default"/>
        </w:rPr>
        <w:t>&lt;</w:t>
      </w:r>
      <w:r>
        <w:rPr/>
        <w:t>商务定价协议</w:t>
      </w:r>
      <w:r>
        <w:rPr>
          <w:rFonts w:ascii="Arial" w:hAnsi="Arial" w:cs="Arial" w:eastAsia="Arial" w:hint="default"/>
        </w:rPr>
        <w:t>&gt;</w:t>
      </w:r>
      <w:r>
        <w:rPr/>
        <w:t>补充</w:t>
      </w:r>
      <w:r>
        <w:rPr>
          <w:w w:val="100"/>
        </w:rPr>
        <w:t> </w:t>
      </w:r>
      <w:r>
        <w:rPr/>
        <w:t>协议》（以下简称“补充协议”），该补充协议的主要内容包括</w:t>
      </w:r>
      <w:r>
        <w:rPr>
          <w:spacing w:val="-51"/>
        </w:rPr>
        <w:t> </w:t>
      </w:r>
      <w:r>
        <w:rPr>
          <w:rFonts w:ascii="Arial" w:hAnsi="Arial" w:cs="Arial" w:eastAsia="Arial" w:hint="default"/>
        </w:rPr>
        <w:t>1</w:t>
      </w:r>
      <w:r>
        <w:rPr/>
        <w:t>）降低了作为铁塔公司定价基础</w:t>
      </w:r>
      <w:r>
        <w:rPr>
          <w:spacing w:val="-106"/>
        </w:rPr>
        <w:t> </w:t>
      </w:r>
      <w:r>
        <w:rPr>
          <w:spacing w:val="-106"/>
        </w:rPr>
      </w:r>
      <w:r>
        <w:rPr/>
        <w:t>的成本加成率，以及</w:t>
      </w:r>
      <w:r>
        <w:rPr>
          <w:spacing w:val="-50"/>
        </w:rPr>
        <w:t> </w:t>
      </w:r>
      <w:r>
        <w:rPr>
          <w:rFonts w:ascii="Arial" w:hAnsi="Arial" w:cs="Arial" w:eastAsia="Arial" w:hint="default"/>
        </w:rPr>
        <w:t>2</w:t>
      </w:r>
      <w:r>
        <w:rPr/>
        <w:t>）提高了对本集团与其他公司共享铁塔而给予的共享折扣率等。本集团将重</w:t>
      </w:r>
      <w:r>
        <w:rPr>
          <w:w w:val="100"/>
        </w:rPr>
        <w:t> </w:t>
      </w:r>
      <w:r>
        <w:rPr/>
        <w:t>新根据铁塔租赁的实际需求，签署《产品业务确认单》或《批量起租表》。自</w:t>
      </w:r>
      <w:r>
        <w:rPr>
          <w:spacing w:val="-39"/>
        </w:rPr>
        <w:t> </w:t>
      </w:r>
      <w:r>
        <w:rPr>
          <w:rFonts w:ascii="Arial" w:hAnsi="Arial" w:cs="Arial" w:eastAsia="Arial" w:hint="default"/>
        </w:rPr>
        <w:t>2018</w:t>
      </w:r>
      <w:r>
        <w:rPr>
          <w:rFonts w:ascii="Arial" w:hAnsi="Arial" w:cs="Arial" w:eastAsia="Arial" w:hint="default"/>
          <w:spacing w:val="13"/>
        </w:rPr>
        <w:t> </w:t>
      </w:r>
      <w:r>
        <w:rPr/>
        <w:t>年</w:t>
      </w:r>
      <w:r>
        <w:rPr>
          <w:spacing w:val="-38"/>
        </w:rPr>
        <w:t> </w:t>
      </w:r>
      <w:r>
        <w:rPr>
          <w:rFonts w:ascii="Arial" w:hAnsi="Arial" w:cs="Arial" w:eastAsia="Arial" w:hint="default"/>
        </w:rPr>
        <w:t>1</w:t>
      </w:r>
      <w:r>
        <w:rPr>
          <w:rFonts w:ascii="Arial" w:hAnsi="Arial" w:cs="Arial" w:eastAsia="Arial" w:hint="default"/>
          <w:spacing w:val="12"/>
        </w:rPr>
        <w:t> </w:t>
      </w:r>
      <w:r>
        <w:rPr/>
        <w:t>月</w:t>
      </w:r>
      <w:r>
        <w:rPr>
          <w:spacing w:val="-38"/>
        </w:rPr>
        <w:t> </w:t>
      </w:r>
      <w:r>
        <w:rPr>
          <w:rFonts w:ascii="Arial" w:hAnsi="Arial" w:cs="Arial" w:eastAsia="Arial" w:hint="default"/>
        </w:rPr>
        <w:t>1</w:t>
      </w:r>
      <w:r>
        <w:rPr>
          <w:rFonts w:ascii="Arial" w:hAnsi="Arial" w:cs="Arial" w:eastAsia="Arial" w:hint="default"/>
          <w:spacing w:val="12"/>
        </w:rPr>
        <w:t> </w:t>
      </w:r>
      <w:r>
        <w:rPr/>
        <w:t>日，</w:t>
      </w:r>
    </w:p>
    <w:p>
      <w:pPr>
        <w:pStyle w:val="BodyText"/>
        <w:spacing w:line="291" w:lineRule="exact"/>
        <w:ind w:left="578" w:right="0"/>
        <w:jc w:val="both"/>
      </w:pPr>
      <w:r>
        <w:rPr/>
        <w:t>重新租赁的铁塔以新条款内容执行，约定期限为</w:t>
      </w:r>
      <w:r>
        <w:rPr>
          <w:spacing w:val="-54"/>
        </w:rPr>
        <w:t> </w:t>
      </w:r>
      <w:r>
        <w:rPr>
          <w:rFonts w:ascii="Arial" w:hAnsi="Arial" w:cs="Arial" w:eastAsia="Arial" w:hint="default"/>
        </w:rPr>
        <w:t>5</w:t>
      </w:r>
      <w:r>
        <w:rPr>
          <w:rFonts w:ascii="Arial" w:hAnsi="Arial" w:cs="Arial" w:eastAsia="Arial" w:hint="default"/>
          <w:spacing w:val="-7"/>
        </w:rPr>
        <w:t> </w:t>
      </w:r>
      <w:r>
        <w:rPr/>
        <w:t>年。</w:t>
      </w:r>
    </w:p>
    <w:p>
      <w:pPr>
        <w:spacing w:line="240" w:lineRule="auto" w:before="11"/>
        <w:rPr>
          <w:rFonts w:ascii="宋体" w:hAnsi="宋体" w:cs="宋体" w:eastAsia="宋体" w:hint="default"/>
          <w:sz w:val="17"/>
          <w:szCs w:val="17"/>
        </w:rPr>
      </w:pPr>
    </w:p>
    <w:p>
      <w:pPr>
        <w:pStyle w:val="BodyText"/>
        <w:spacing w:line="293" w:lineRule="exact"/>
        <w:ind w:left="559" w:right="0"/>
        <w:jc w:val="both"/>
      </w:pPr>
      <w:r>
        <w:rPr>
          <w:spacing w:val="2"/>
        </w:rPr>
        <w:t>根据以上安排，本集团于 </w:t>
      </w:r>
      <w:r>
        <w:rPr>
          <w:rFonts w:ascii="Arial" w:hAnsi="Arial" w:cs="Arial" w:eastAsia="Arial" w:hint="default"/>
        </w:rPr>
        <w:t>2019  </w:t>
      </w:r>
      <w:r>
        <w:rPr>
          <w:spacing w:val="2"/>
        </w:rPr>
        <w:t>年已付及应付给铁塔公司的相关费用为总计人民币 </w:t>
      </w:r>
      <w:r>
        <w:rPr>
          <w:rFonts w:ascii="Arial" w:hAnsi="Arial" w:cs="Arial" w:eastAsia="Arial" w:hint="default"/>
        </w:rPr>
        <w:t>176.52 </w:t>
      </w:r>
      <w:r>
        <w:rPr>
          <w:rFonts w:ascii="Arial" w:hAnsi="Arial" w:cs="Arial" w:eastAsia="Arial" w:hint="default"/>
          <w:spacing w:val="23"/>
        </w:rPr>
        <w:t> </w:t>
      </w:r>
      <w:r>
        <w:rPr>
          <w:spacing w:val="3"/>
        </w:rPr>
        <w:t>亿元</w:t>
      </w:r>
      <w:r>
        <w:rPr/>
      </w:r>
    </w:p>
    <w:p>
      <w:pPr>
        <w:pStyle w:val="BodyText"/>
        <w:spacing w:line="286" w:lineRule="exact"/>
        <w:ind w:left="559" w:right="0"/>
        <w:jc w:val="both"/>
      </w:pPr>
      <w:r>
        <w:rPr/>
        <w:t>（</w:t>
      </w:r>
      <w:r>
        <w:rPr>
          <w:rFonts w:ascii="Arial" w:hAnsi="Arial" w:cs="Arial" w:eastAsia="Arial" w:hint="default"/>
        </w:rPr>
        <w:t>2018</w:t>
      </w:r>
      <w:r>
        <w:rPr>
          <w:rFonts w:ascii="Arial" w:hAnsi="Arial" w:cs="Arial" w:eastAsia="Arial" w:hint="default"/>
          <w:spacing w:val="-2"/>
        </w:rPr>
        <w:t> </w:t>
      </w:r>
      <w:r>
        <w:rPr/>
        <w:t>年</w:t>
      </w:r>
      <w:r>
        <w:rPr>
          <w:rFonts w:ascii="Arial" w:hAnsi="Arial" w:cs="Arial" w:eastAsia="Arial" w:hint="default"/>
        </w:rPr>
        <w:t>:</w:t>
      </w:r>
      <w:r>
        <w:rPr>
          <w:rFonts w:ascii="Arial" w:hAnsi="Arial" w:cs="Arial" w:eastAsia="Arial" w:hint="default"/>
          <w:spacing w:val="51"/>
        </w:rPr>
        <w:t> </w:t>
      </w:r>
      <w:r>
        <w:rPr/>
        <w:t>约为人民币</w:t>
      </w:r>
      <w:r>
        <w:rPr>
          <w:spacing w:val="-48"/>
        </w:rPr>
        <w:t> </w:t>
      </w:r>
      <w:r>
        <w:rPr>
          <w:rFonts w:ascii="Arial" w:hAnsi="Arial" w:cs="Arial" w:eastAsia="Arial" w:hint="default"/>
        </w:rPr>
        <w:t>159.82</w:t>
      </w:r>
      <w:r>
        <w:rPr>
          <w:rFonts w:ascii="Arial" w:hAnsi="Arial" w:cs="Arial" w:eastAsia="Arial" w:hint="default"/>
          <w:spacing w:val="3"/>
        </w:rPr>
        <w:t> </w:t>
      </w:r>
      <w:r>
        <w:rPr/>
        <w:t>亿元）。本集团于</w:t>
      </w:r>
      <w:r>
        <w:rPr>
          <w:spacing w:val="-53"/>
        </w:rPr>
        <w:t> </w:t>
      </w:r>
      <w:r>
        <w:rPr>
          <w:rFonts w:ascii="Arial" w:hAnsi="Arial" w:cs="Arial" w:eastAsia="Arial" w:hint="default"/>
        </w:rPr>
        <w:t>2019</w:t>
      </w:r>
      <w:r>
        <w:rPr>
          <w:rFonts w:ascii="Arial" w:hAnsi="Arial" w:cs="Arial" w:eastAsia="Arial" w:hint="default"/>
          <w:spacing w:val="3"/>
        </w:rPr>
        <w:t> </w:t>
      </w:r>
      <w:r>
        <w:rPr/>
        <w:t>年</w:t>
      </w:r>
      <w:r>
        <w:rPr>
          <w:spacing w:val="-53"/>
        </w:rPr>
        <w:t> </w:t>
      </w:r>
      <w:r>
        <w:rPr>
          <w:rFonts w:ascii="Arial" w:hAnsi="Arial" w:cs="Arial" w:eastAsia="Arial" w:hint="default"/>
        </w:rPr>
        <w:t>1</w:t>
      </w:r>
      <w:r>
        <w:rPr>
          <w:rFonts w:ascii="Arial" w:hAnsi="Arial" w:cs="Arial" w:eastAsia="Arial" w:hint="default"/>
          <w:spacing w:val="3"/>
        </w:rPr>
        <w:t> </w:t>
      </w:r>
      <w:r>
        <w:rPr/>
        <w:t>月</w:t>
      </w:r>
      <w:r>
        <w:rPr>
          <w:spacing w:val="-53"/>
        </w:rPr>
        <w:t> </w:t>
      </w:r>
      <w:r>
        <w:rPr>
          <w:rFonts w:ascii="Arial" w:hAnsi="Arial" w:cs="Arial" w:eastAsia="Arial" w:hint="default"/>
        </w:rPr>
        <w:t>1</w:t>
      </w:r>
      <w:r>
        <w:rPr>
          <w:rFonts w:ascii="Arial" w:hAnsi="Arial" w:cs="Arial" w:eastAsia="Arial" w:hint="default"/>
          <w:spacing w:val="3"/>
        </w:rPr>
        <w:t> </w:t>
      </w:r>
      <w:r>
        <w:rPr/>
        <w:t>日适用新租赁准则，根据新租赁</w:t>
      </w:r>
    </w:p>
    <w:p>
      <w:pPr>
        <w:pStyle w:val="BodyText"/>
        <w:spacing w:line="286" w:lineRule="exact"/>
        <w:ind w:left="559" w:right="0"/>
        <w:jc w:val="both"/>
      </w:pPr>
      <w:r>
        <w:rPr>
          <w:w w:val="100"/>
        </w:rPr>
        <w:t>准则</w:t>
      </w:r>
      <w:r>
        <w:rPr>
          <w:spacing w:val="-111"/>
          <w:w w:val="100"/>
        </w:rPr>
        <w:t>，</w:t>
      </w:r>
      <w:r>
        <w:rPr>
          <w:w w:val="100"/>
        </w:rPr>
        <w:t>本集团针对</w:t>
      </w:r>
      <w:r>
        <w:rPr>
          <w:spacing w:val="-5"/>
          <w:w w:val="100"/>
        </w:rPr>
        <w:t>上</w:t>
      </w:r>
      <w:r>
        <w:rPr>
          <w:w w:val="100"/>
        </w:rPr>
        <w:t>述业务在</w:t>
      </w:r>
      <w:r>
        <w:rPr>
          <w:spacing w:val="-77"/>
        </w:rPr>
        <w:t> </w:t>
      </w:r>
      <w:r>
        <w:rPr>
          <w:rFonts w:ascii="Arial" w:hAnsi="Arial" w:cs="Arial" w:eastAsia="Arial" w:hint="default"/>
          <w:spacing w:val="2"/>
          <w:w w:val="100"/>
        </w:rPr>
        <w:t>2</w:t>
      </w:r>
      <w:r>
        <w:rPr>
          <w:rFonts w:ascii="Arial" w:hAnsi="Arial" w:cs="Arial" w:eastAsia="Arial" w:hint="default"/>
          <w:spacing w:val="-3"/>
          <w:w w:val="100"/>
        </w:rPr>
        <w:t>0</w:t>
      </w:r>
      <w:r>
        <w:rPr>
          <w:rFonts w:ascii="Arial" w:hAnsi="Arial" w:cs="Arial" w:eastAsia="Arial" w:hint="default"/>
          <w:spacing w:val="2"/>
          <w:w w:val="100"/>
        </w:rPr>
        <w:t>1</w:t>
      </w:r>
      <w:r>
        <w:rPr>
          <w:rFonts w:ascii="Arial" w:hAnsi="Arial" w:cs="Arial" w:eastAsia="Arial" w:hint="default"/>
          <w:w w:val="100"/>
        </w:rPr>
        <w:t>9</w:t>
      </w:r>
      <w:r>
        <w:rPr>
          <w:rFonts w:ascii="Arial" w:hAnsi="Arial" w:cs="Arial" w:eastAsia="Arial" w:hint="default"/>
          <w:spacing w:val="-21"/>
        </w:rPr>
        <w:t> </w:t>
      </w:r>
      <w:r>
        <w:rPr>
          <w:w w:val="100"/>
        </w:rPr>
        <w:t>年</w:t>
      </w:r>
      <w:r>
        <w:rPr>
          <w:spacing w:val="-5"/>
          <w:w w:val="100"/>
        </w:rPr>
        <w:t>合</w:t>
      </w:r>
      <w:r>
        <w:rPr>
          <w:w w:val="100"/>
        </w:rPr>
        <w:t>并利润表</w:t>
      </w:r>
      <w:r>
        <w:rPr>
          <w:spacing w:val="-5"/>
          <w:w w:val="100"/>
        </w:rPr>
        <w:t>中</w:t>
      </w:r>
      <w:r>
        <w:rPr>
          <w:w w:val="100"/>
        </w:rPr>
        <w:t>确认了使用权资</w:t>
      </w:r>
      <w:r>
        <w:rPr>
          <w:spacing w:val="-5"/>
          <w:w w:val="100"/>
        </w:rPr>
        <w:t>产</w:t>
      </w:r>
      <w:r>
        <w:rPr>
          <w:w w:val="100"/>
        </w:rPr>
        <w:t>折旧费用人</w:t>
      </w:r>
      <w:r>
        <w:rPr>
          <w:spacing w:val="-5"/>
          <w:w w:val="100"/>
        </w:rPr>
        <w:t>民</w:t>
      </w:r>
      <w:r>
        <w:rPr>
          <w:w w:val="100"/>
        </w:rPr>
        <w:t>币</w:t>
      </w:r>
      <w:r>
        <w:rPr>
          <w:spacing w:val="-72"/>
        </w:rPr>
        <w:t> </w:t>
      </w:r>
      <w:r>
        <w:rPr>
          <w:rFonts w:ascii="Arial" w:hAnsi="Arial" w:cs="Arial" w:eastAsia="Arial" w:hint="default"/>
          <w:spacing w:val="-3"/>
          <w:w w:val="100"/>
        </w:rPr>
        <w:t>6</w:t>
      </w:r>
      <w:r>
        <w:rPr>
          <w:rFonts w:ascii="Arial" w:hAnsi="Arial" w:cs="Arial" w:eastAsia="Arial" w:hint="default"/>
          <w:spacing w:val="2"/>
          <w:w w:val="100"/>
        </w:rPr>
        <w:t>4</w:t>
      </w:r>
      <w:r>
        <w:rPr>
          <w:rFonts w:ascii="Arial" w:hAnsi="Arial" w:cs="Arial" w:eastAsia="Arial" w:hint="default"/>
          <w:spacing w:val="1"/>
          <w:w w:val="100"/>
        </w:rPr>
        <w:t>.</w:t>
      </w:r>
      <w:r>
        <w:rPr>
          <w:rFonts w:ascii="Arial" w:hAnsi="Arial" w:cs="Arial" w:eastAsia="Arial" w:hint="default"/>
          <w:spacing w:val="-3"/>
          <w:w w:val="100"/>
        </w:rPr>
        <w:t>9</w:t>
      </w:r>
      <w:r>
        <w:rPr>
          <w:rFonts w:ascii="Arial" w:hAnsi="Arial" w:cs="Arial" w:eastAsia="Arial" w:hint="default"/>
          <w:w w:val="100"/>
        </w:rPr>
        <w:t>8</w:t>
      </w:r>
      <w:r>
        <w:rPr>
          <w:rFonts w:ascii="Arial" w:hAnsi="Arial" w:cs="Arial" w:eastAsia="Arial" w:hint="default"/>
          <w:spacing w:val="-21"/>
        </w:rPr>
        <w:t> </w:t>
      </w:r>
      <w:r>
        <w:rPr>
          <w:w w:val="100"/>
        </w:rPr>
        <w:t>亿元、</w:t>
      </w:r>
    </w:p>
    <w:p>
      <w:pPr>
        <w:pStyle w:val="BodyText"/>
        <w:spacing w:line="283" w:lineRule="exact"/>
        <w:ind w:left="559" w:right="0"/>
        <w:jc w:val="both"/>
        <w:rPr>
          <w:rFonts w:ascii="Arial" w:hAnsi="Arial" w:cs="Arial" w:eastAsia="Arial" w:hint="default"/>
        </w:rPr>
      </w:pPr>
      <w:r>
        <w:rPr/>
        <w:t>利息费用人民币 </w:t>
      </w:r>
      <w:r>
        <w:rPr>
          <w:rFonts w:ascii="Arial" w:hAnsi="Arial" w:cs="Arial" w:eastAsia="Arial" w:hint="default"/>
        </w:rPr>
        <w:t>8.94 </w:t>
      </w:r>
      <w:r>
        <w:rPr/>
        <w:t>亿元，及可变租金和相关服务费用人民币 </w:t>
      </w:r>
      <w:r>
        <w:rPr>
          <w:rFonts w:ascii="Arial" w:hAnsi="Arial" w:cs="Arial" w:eastAsia="Arial" w:hint="default"/>
        </w:rPr>
        <w:t>104.92 </w:t>
      </w:r>
      <w:r>
        <w:rPr/>
        <w:t>亿元，共计人民币</w:t>
      </w:r>
      <w:r>
        <w:rPr>
          <w:spacing w:val="-48"/>
        </w:rPr>
        <w:t> </w:t>
      </w:r>
      <w:r>
        <w:rPr>
          <w:rFonts w:ascii="Arial" w:hAnsi="Arial" w:cs="Arial" w:eastAsia="Arial" w:hint="default"/>
        </w:rPr>
        <w:t>178.83</w:t>
      </w:r>
    </w:p>
    <w:p>
      <w:pPr>
        <w:pStyle w:val="BodyText"/>
        <w:spacing w:line="278" w:lineRule="exact"/>
        <w:ind w:left="559" w:right="0"/>
        <w:jc w:val="both"/>
      </w:pPr>
      <w:r>
        <w:rPr/>
        <w:t>亿元。</w:t>
      </w:r>
    </w:p>
    <w:p>
      <w:pPr>
        <w:spacing w:after="0" w:line="278" w:lineRule="exact"/>
        <w:jc w:val="both"/>
        <w:sectPr>
          <w:pgSz w:w="11910" w:h="16840"/>
          <w:pgMar w:header="1183" w:footer="502" w:top="3540" w:bottom="700" w:left="1000" w:right="580"/>
        </w:sectPr>
      </w:pPr>
    </w:p>
    <w:p>
      <w:pPr>
        <w:spacing w:line="240" w:lineRule="auto" w:before="8"/>
        <w:rPr>
          <w:rFonts w:ascii="宋体" w:hAnsi="宋体" w:cs="宋体" w:eastAsia="宋体" w:hint="default"/>
          <w:sz w:val="21"/>
          <w:szCs w:val="21"/>
        </w:rPr>
      </w:pPr>
    </w:p>
    <w:p>
      <w:pPr>
        <w:pStyle w:val="BodyText"/>
        <w:spacing w:line="225" w:lineRule="auto" w:before="48"/>
        <w:ind w:left="579" w:right="200" w:hanging="476"/>
        <w:jc w:val="both"/>
      </w:pPr>
      <w:r>
        <w:rPr>
          <w:rFonts w:ascii="Arial" w:hAnsi="Arial" w:cs="Arial" w:eastAsia="Arial" w:hint="default"/>
        </w:rPr>
        <w:t>(13)</w:t>
      </w:r>
      <w:r>
        <w:rPr>
          <w:rFonts w:ascii="Arial" w:hAnsi="Arial" w:cs="Arial" w:eastAsia="Arial" w:hint="default"/>
          <w:spacing w:val="19"/>
        </w:rPr>
        <w:t> </w:t>
      </w:r>
      <w:r>
        <w:rPr>
          <w:rFonts w:ascii="Arial" w:hAnsi="Arial" w:cs="Arial" w:eastAsia="Arial" w:hint="default"/>
        </w:rPr>
        <w:t>2018</w:t>
      </w:r>
      <w:r>
        <w:rPr>
          <w:rFonts w:ascii="Arial" w:hAnsi="Arial" w:cs="Arial" w:eastAsia="Arial" w:hint="default"/>
          <w:spacing w:val="-2"/>
        </w:rPr>
        <w:t> </w:t>
      </w:r>
      <w:r>
        <w:rPr/>
        <w:t>年</w:t>
      </w:r>
      <w:r>
        <w:rPr>
          <w:spacing w:val="-48"/>
        </w:rPr>
        <w:t> </w:t>
      </w:r>
      <w:r>
        <w:rPr>
          <w:rFonts w:ascii="Arial" w:hAnsi="Arial" w:cs="Arial" w:eastAsia="Arial" w:hint="default"/>
        </w:rPr>
        <w:t>12</w:t>
      </w:r>
      <w:r>
        <w:rPr>
          <w:rFonts w:ascii="Arial" w:hAnsi="Arial" w:cs="Arial" w:eastAsia="Arial" w:hint="default"/>
          <w:spacing w:val="3"/>
        </w:rPr>
        <w:t> </w:t>
      </w:r>
      <w:r>
        <w:rPr/>
        <w:t>月，联通红筹公司自联通集团</w:t>
      </w:r>
      <w:r>
        <w:rPr>
          <w:spacing w:val="-48"/>
        </w:rPr>
        <w:t> </w:t>
      </w:r>
      <w:r>
        <w:rPr>
          <w:rFonts w:ascii="Arial" w:hAnsi="Arial" w:cs="Arial" w:eastAsia="Arial" w:hint="default"/>
        </w:rPr>
        <w:t>BVI</w:t>
      </w:r>
      <w:r>
        <w:rPr>
          <w:rFonts w:ascii="Arial" w:hAnsi="Arial" w:cs="Arial" w:eastAsia="Arial" w:hint="default"/>
          <w:spacing w:val="-3"/>
        </w:rPr>
        <w:t> </w:t>
      </w:r>
      <w:r>
        <w:rPr/>
        <w:t>公司借入贷款港币</w:t>
      </w:r>
      <w:r>
        <w:rPr>
          <w:spacing w:val="-53"/>
        </w:rPr>
        <w:t> </w:t>
      </w:r>
      <w:r>
        <w:rPr>
          <w:rFonts w:ascii="Arial" w:hAnsi="Arial" w:cs="Arial" w:eastAsia="Arial" w:hint="default"/>
        </w:rPr>
        <w:t>0.02</w:t>
      </w:r>
      <w:r>
        <w:rPr>
          <w:rFonts w:ascii="Arial" w:hAnsi="Arial" w:cs="Arial" w:eastAsia="Arial" w:hint="default"/>
          <w:spacing w:val="-2"/>
        </w:rPr>
        <w:t> </w:t>
      </w:r>
      <w:r>
        <w:rPr/>
        <w:t>亿元，借款利率为香港银行</w:t>
      </w:r>
      <w:r>
        <w:rPr>
          <w:w w:val="100"/>
        </w:rPr>
        <w:t> </w:t>
      </w:r>
      <w:r>
        <w:rPr/>
        <w:t>同业拆借利率上浮</w:t>
      </w:r>
      <w:r>
        <w:rPr>
          <w:spacing w:val="-44"/>
        </w:rPr>
        <w:t> </w:t>
      </w:r>
      <w:r>
        <w:rPr>
          <w:rFonts w:ascii="Arial" w:hAnsi="Arial" w:cs="Arial" w:eastAsia="Arial" w:hint="default"/>
        </w:rPr>
        <w:t>1.11%</w:t>
      </w:r>
      <w:r>
        <w:rPr/>
        <w:t>；借入贷款人民币</w:t>
      </w:r>
      <w:r>
        <w:rPr>
          <w:spacing w:val="-44"/>
        </w:rPr>
        <w:t> </w:t>
      </w:r>
      <w:r>
        <w:rPr>
          <w:rFonts w:ascii="Arial" w:hAnsi="Arial" w:cs="Arial" w:eastAsia="Arial" w:hint="default"/>
        </w:rPr>
        <w:t>0.46</w:t>
      </w:r>
      <w:r>
        <w:rPr>
          <w:rFonts w:ascii="Arial" w:hAnsi="Arial" w:cs="Arial" w:eastAsia="Arial" w:hint="default"/>
          <w:spacing w:val="7"/>
        </w:rPr>
        <w:t> </w:t>
      </w:r>
      <w:r>
        <w:rPr/>
        <w:t>亿元，借款利率为固定利率</w:t>
      </w:r>
      <w:r>
        <w:rPr>
          <w:spacing w:val="-44"/>
        </w:rPr>
        <w:t> </w:t>
      </w:r>
      <w:r>
        <w:rPr>
          <w:rFonts w:ascii="Arial" w:hAnsi="Arial" w:cs="Arial" w:eastAsia="Arial" w:hint="default"/>
        </w:rPr>
        <w:t>4.77%</w:t>
      </w:r>
      <w:r>
        <w:rPr/>
        <w:t>。该两笔借款</w:t>
      </w:r>
      <w:r>
        <w:rPr>
          <w:w w:val="100"/>
        </w:rPr>
        <w:t> </w:t>
      </w:r>
      <w:r>
        <w:rPr/>
        <w:t>期限为</w:t>
      </w:r>
      <w:r>
        <w:rPr>
          <w:spacing w:val="-57"/>
        </w:rPr>
        <w:t> </w:t>
      </w:r>
      <w:r>
        <w:rPr>
          <w:rFonts w:ascii="Arial" w:hAnsi="Arial" w:cs="Arial" w:eastAsia="Arial" w:hint="default"/>
        </w:rPr>
        <w:t>1</w:t>
      </w:r>
      <w:r>
        <w:rPr>
          <w:rFonts w:ascii="Arial" w:hAnsi="Arial" w:cs="Arial" w:eastAsia="Arial" w:hint="default"/>
          <w:spacing w:val="-6"/>
        </w:rPr>
        <w:t> </w:t>
      </w:r>
      <w:r>
        <w:rPr/>
        <w:t>年，已于</w:t>
      </w:r>
      <w:r>
        <w:rPr>
          <w:spacing w:val="-57"/>
        </w:rPr>
        <w:t> </w:t>
      </w:r>
      <w:r>
        <w:rPr>
          <w:rFonts w:ascii="Arial" w:hAnsi="Arial" w:cs="Arial" w:eastAsia="Arial" w:hint="default"/>
        </w:rPr>
        <w:t>2019</w:t>
      </w:r>
      <w:r>
        <w:rPr>
          <w:rFonts w:ascii="Arial" w:hAnsi="Arial" w:cs="Arial" w:eastAsia="Arial" w:hint="default"/>
          <w:spacing w:val="-6"/>
        </w:rPr>
        <w:t> </w:t>
      </w:r>
      <w:r>
        <w:rPr/>
        <w:t>年</w:t>
      </w:r>
      <w:r>
        <w:rPr>
          <w:spacing w:val="-57"/>
        </w:rPr>
        <w:t> </w:t>
      </w:r>
      <w:r>
        <w:rPr>
          <w:rFonts w:ascii="Arial" w:hAnsi="Arial" w:cs="Arial" w:eastAsia="Arial" w:hint="default"/>
        </w:rPr>
        <w:t>1</w:t>
      </w:r>
      <w:r>
        <w:rPr>
          <w:rFonts w:ascii="Arial" w:hAnsi="Arial" w:cs="Arial" w:eastAsia="Arial" w:hint="default"/>
          <w:spacing w:val="-6"/>
        </w:rPr>
        <w:t> </w:t>
      </w:r>
      <w:r>
        <w:rPr/>
        <w:t>月提前偿还。</w:t>
      </w:r>
    </w:p>
    <w:p>
      <w:pPr>
        <w:spacing w:line="240" w:lineRule="auto" w:before="1"/>
        <w:rPr>
          <w:rFonts w:ascii="宋体" w:hAnsi="宋体" w:cs="宋体" w:eastAsia="宋体" w:hint="default"/>
          <w:sz w:val="18"/>
          <w:szCs w:val="18"/>
        </w:rPr>
      </w:pPr>
    </w:p>
    <w:p>
      <w:pPr>
        <w:pStyle w:val="BodyText"/>
        <w:spacing w:line="296" w:lineRule="exact"/>
        <w:ind w:left="104" w:right="104"/>
        <w:jc w:val="left"/>
      </w:pPr>
      <w:r>
        <w:rPr>
          <w:rFonts w:ascii="Arial" w:hAnsi="Arial" w:cs="Arial" w:eastAsia="Arial" w:hint="default"/>
        </w:rPr>
        <w:t>(14)</w:t>
      </w:r>
      <w:r>
        <w:rPr>
          <w:rFonts w:ascii="Arial" w:hAnsi="Arial" w:cs="Arial" w:eastAsia="Arial" w:hint="default"/>
          <w:spacing w:val="19"/>
        </w:rPr>
        <w:t> </w:t>
      </w:r>
      <w:r>
        <w:rPr/>
        <w:t>于</w:t>
      </w:r>
      <w:r>
        <w:rPr>
          <w:spacing w:val="-38"/>
        </w:rPr>
        <w:t> </w:t>
      </w:r>
      <w:r>
        <w:rPr>
          <w:rFonts w:ascii="Arial" w:hAnsi="Arial" w:cs="Arial" w:eastAsia="Arial" w:hint="default"/>
        </w:rPr>
        <w:t>2019</w:t>
      </w:r>
      <w:r>
        <w:rPr>
          <w:rFonts w:ascii="Arial" w:hAnsi="Arial" w:cs="Arial" w:eastAsia="Arial" w:hint="default"/>
          <w:spacing w:val="8"/>
        </w:rPr>
        <w:t> </w:t>
      </w:r>
      <w:r>
        <w:rPr/>
        <w:t>年</w:t>
      </w:r>
      <w:r>
        <w:rPr>
          <w:spacing w:val="-43"/>
        </w:rPr>
        <w:t> </w:t>
      </w:r>
      <w:r>
        <w:rPr>
          <w:rFonts w:ascii="Arial" w:hAnsi="Arial" w:cs="Arial" w:eastAsia="Arial" w:hint="default"/>
        </w:rPr>
        <w:t>3</w:t>
      </w:r>
      <w:r>
        <w:rPr>
          <w:rFonts w:ascii="Arial" w:hAnsi="Arial" w:cs="Arial" w:eastAsia="Arial" w:hint="default"/>
          <w:spacing w:val="12"/>
        </w:rPr>
        <w:t> </w:t>
      </w:r>
      <w:r>
        <w:rPr/>
        <w:t>月及</w:t>
      </w:r>
      <w:r>
        <w:rPr>
          <w:spacing w:val="-43"/>
        </w:rPr>
        <w:t> </w:t>
      </w:r>
      <w:r>
        <w:rPr>
          <w:rFonts w:ascii="Arial" w:hAnsi="Arial" w:cs="Arial" w:eastAsia="Arial" w:hint="default"/>
        </w:rPr>
        <w:t>4</w:t>
      </w:r>
      <w:r>
        <w:rPr>
          <w:rFonts w:ascii="Arial" w:hAnsi="Arial" w:cs="Arial" w:eastAsia="Arial" w:hint="default"/>
          <w:spacing w:val="12"/>
        </w:rPr>
        <w:t> </w:t>
      </w:r>
      <w:r>
        <w:rPr/>
        <w:t>月，联通运营公司通过联通财务公司自智慧足迹借入委托贷款人民币</w:t>
      </w:r>
      <w:r>
        <w:rPr>
          <w:spacing w:val="-43"/>
        </w:rPr>
        <w:t> </w:t>
      </w:r>
      <w:r>
        <w:rPr>
          <w:rFonts w:ascii="Arial" w:hAnsi="Arial" w:cs="Arial" w:eastAsia="Arial" w:hint="default"/>
        </w:rPr>
        <w:t>0.50</w:t>
      </w:r>
      <w:r>
        <w:rPr>
          <w:rFonts w:ascii="Arial" w:hAnsi="Arial" w:cs="Arial" w:eastAsia="Arial" w:hint="default"/>
          <w:spacing w:val="12"/>
        </w:rPr>
        <w:t> </w:t>
      </w:r>
      <w:r>
        <w:rPr/>
        <w:t>亿</w:t>
      </w:r>
    </w:p>
    <w:p>
      <w:pPr>
        <w:pStyle w:val="BodyText"/>
        <w:spacing w:line="296" w:lineRule="exact"/>
        <w:ind w:left="579" w:right="104"/>
        <w:jc w:val="left"/>
      </w:pPr>
      <w:r>
        <w:rPr/>
        <w:t>元，贷款利率为固定利率</w:t>
      </w:r>
      <w:r>
        <w:rPr>
          <w:spacing w:val="-57"/>
        </w:rPr>
        <w:t> </w:t>
      </w:r>
      <w:r>
        <w:rPr>
          <w:rFonts w:ascii="Arial" w:hAnsi="Arial" w:cs="Arial" w:eastAsia="Arial" w:hint="default"/>
        </w:rPr>
        <w:t>3.92%</w:t>
      </w:r>
      <w:r>
        <w:rPr/>
        <w:t>。该借款将于</w:t>
      </w:r>
      <w:r>
        <w:rPr>
          <w:spacing w:val="-62"/>
        </w:rPr>
        <w:t> </w:t>
      </w:r>
      <w:r>
        <w:rPr>
          <w:rFonts w:ascii="Arial" w:hAnsi="Arial" w:cs="Arial" w:eastAsia="Arial" w:hint="default"/>
        </w:rPr>
        <w:t>2020</w:t>
      </w:r>
      <w:r>
        <w:rPr>
          <w:rFonts w:ascii="Arial" w:hAnsi="Arial" w:cs="Arial" w:eastAsia="Arial" w:hint="default"/>
          <w:spacing w:val="-5"/>
        </w:rPr>
        <w:t> </w:t>
      </w:r>
      <w:r>
        <w:rPr/>
        <w:t>年</w:t>
      </w:r>
      <w:r>
        <w:rPr>
          <w:spacing w:val="-57"/>
        </w:rPr>
        <w:t> </w:t>
      </w:r>
      <w:r>
        <w:rPr>
          <w:rFonts w:ascii="Arial" w:hAnsi="Arial" w:cs="Arial" w:eastAsia="Arial" w:hint="default"/>
        </w:rPr>
        <w:t>3</w:t>
      </w:r>
      <w:r>
        <w:rPr>
          <w:rFonts w:ascii="Arial" w:hAnsi="Arial" w:cs="Arial" w:eastAsia="Arial" w:hint="default"/>
          <w:spacing w:val="-6"/>
        </w:rPr>
        <w:t> </w:t>
      </w:r>
      <w:r>
        <w:rPr/>
        <w:t>月和</w:t>
      </w:r>
      <w:r>
        <w:rPr>
          <w:spacing w:val="-57"/>
        </w:rPr>
        <w:t> </w:t>
      </w:r>
      <w:r>
        <w:rPr>
          <w:rFonts w:ascii="Arial" w:hAnsi="Arial" w:cs="Arial" w:eastAsia="Arial" w:hint="default"/>
        </w:rPr>
        <w:t>4</w:t>
      </w:r>
      <w:r>
        <w:rPr>
          <w:rFonts w:ascii="Arial" w:hAnsi="Arial" w:cs="Arial" w:eastAsia="Arial" w:hint="default"/>
          <w:spacing w:val="-6"/>
        </w:rPr>
        <w:t> </w:t>
      </w:r>
      <w:r>
        <w:rPr/>
        <w:t>月到期。</w:t>
      </w:r>
    </w:p>
    <w:p>
      <w:pPr>
        <w:spacing w:line="240" w:lineRule="auto" w:before="6"/>
        <w:rPr>
          <w:rFonts w:ascii="宋体" w:hAnsi="宋体" w:cs="宋体" w:eastAsia="宋体" w:hint="default"/>
          <w:sz w:val="18"/>
          <w:szCs w:val="18"/>
        </w:rPr>
      </w:pPr>
    </w:p>
    <w:p>
      <w:pPr>
        <w:pStyle w:val="BodyText"/>
        <w:spacing w:line="232" w:lineRule="auto"/>
        <w:ind w:left="579" w:right="104" w:hanging="476"/>
        <w:jc w:val="left"/>
      </w:pPr>
      <w:r>
        <w:rPr>
          <w:rFonts w:ascii="Arial" w:hAnsi="Arial" w:cs="Arial" w:eastAsia="Arial" w:hint="default"/>
        </w:rPr>
        <w:t>(15) </w:t>
      </w:r>
      <w:r>
        <w:rPr/>
        <w:t>数据及互联网业务收入主要为联通运营公司向其他关联法人提供通信、互联网等业务产生的收入。</w:t>
      </w:r>
      <w:r>
        <w:rPr>
          <w:spacing w:val="-87"/>
        </w:rPr>
        <w:t> </w:t>
      </w:r>
      <w:r>
        <w:rPr>
          <w:spacing w:val="-87"/>
        </w:rPr>
      </w:r>
      <w:r>
        <w:rPr>
          <w:spacing w:val="2"/>
        </w:rPr>
        <w:t>综合服务支出主要为其他关联法人向联通运营公司提供第三方支付服务及其他技术服务等产生的</w:t>
      </w:r>
      <w:r>
        <w:rPr>
          <w:spacing w:val="4"/>
          <w:w w:val="100"/>
        </w:rPr>
        <w:t> </w:t>
      </w:r>
      <w:r>
        <w:rPr/>
        <w:t>支出。物资采购支出主要为联通运营公司向其他关联法人采购终端等通讯物资的支出。</w:t>
      </w:r>
    </w:p>
    <w:p>
      <w:pPr>
        <w:spacing w:line="240" w:lineRule="auto" w:before="2"/>
        <w:rPr>
          <w:rFonts w:ascii="宋体" w:hAnsi="宋体" w:cs="宋体" w:eastAsia="宋体" w:hint="default"/>
          <w:sz w:val="19"/>
          <w:szCs w:val="19"/>
        </w:rPr>
      </w:pPr>
    </w:p>
    <w:p>
      <w:pPr>
        <w:pStyle w:val="BodyText"/>
        <w:spacing w:line="240" w:lineRule="auto"/>
        <w:ind w:left="579" w:right="104"/>
        <w:jc w:val="left"/>
      </w:pPr>
      <w:r>
        <w:rPr/>
        <w:t>以上服务价格为一般市场价格。</w:t>
      </w:r>
    </w:p>
    <w:p>
      <w:pPr>
        <w:spacing w:line="240" w:lineRule="auto" w:before="1"/>
        <w:rPr>
          <w:rFonts w:ascii="宋体" w:hAnsi="宋体" w:cs="宋体" w:eastAsia="宋体" w:hint="default"/>
          <w:sz w:val="19"/>
          <w:szCs w:val="19"/>
        </w:rPr>
      </w:pPr>
    </w:p>
    <w:p>
      <w:pPr>
        <w:pStyle w:val="BodyText"/>
        <w:spacing w:line="240" w:lineRule="auto"/>
        <w:ind w:left="104" w:right="104"/>
        <w:jc w:val="left"/>
      </w:pPr>
      <w:r>
        <w:rPr>
          <w:rFonts w:ascii="Arial" w:hAnsi="Arial" w:cs="Arial" w:eastAsia="Arial" w:hint="default"/>
        </w:rPr>
        <w:t>(16)  </w:t>
      </w:r>
      <w:r>
        <w:rPr>
          <w:spacing w:val="-5"/>
        </w:rPr>
        <w:t>本集团成立企业年金基金，</w:t>
      </w:r>
      <w:r>
        <w:rPr>
          <w:rFonts w:ascii="Arial" w:hAnsi="Arial" w:cs="Arial" w:eastAsia="Arial" w:hint="default"/>
          <w:spacing w:val="-5"/>
        </w:rPr>
        <w:t>2019</w:t>
      </w:r>
      <w:r>
        <w:rPr>
          <w:rFonts w:ascii="Arial" w:hAnsi="Arial" w:cs="Arial" w:eastAsia="Arial" w:hint="default"/>
          <w:spacing w:val="-2"/>
        </w:rPr>
        <w:t> </w:t>
      </w:r>
      <w:r>
        <w:rPr>
          <w:spacing w:val="-3"/>
        </w:rPr>
        <w:t>年本集团向其供款额参见附注五</w:t>
      </w:r>
      <w:r>
        <w:rPr>
          <w:rFonts w:ascii="Arial" w:hAnsi="Arial" w:cs="Arial" w:eastAsia="Arial" w:hint="default"/>
          <w:spacing w:val="-3"/>
        </w:rPr>
        <w:t>(21)(c)</w:t>
      </w:r>
      <w:r>
        <w:rPr>
          <w:spacing w:val="-3"/>
        </w:rPr>
        <w:t>。中国人寿为账户受托人。</w:t>
      </w:r>
    </w:p>
    <w:p>
      <w:pPr>
        <w:spacing w:line="240" w:lineRule="auto" w:before="6"/>
        <w:rPr>
          <w:rFonts w:ascii="宋体" w:hAnsi="宋体" w:cs="宋体" w:eastAsia="宋体" w:hint="default"/>
          <w:sz w:val="18"/>
          <w:szCs w:val="18"/>
        </w:rPr>
      </w:pPr>
    </w:p>
    <w:p>
      <w:pPr>
        <w:pStyle w:val="BodyText"/>
        <w:spacing w:line="232" w:lineRule="auto"/>
        <w:ind w:left="579" w:right="199" w:hanging="476"/>
        <w:jc w:val="both"/>
      </w:pPr>
      <w:r>
        <w:rPr>
          <w:rFonts w:ascii="Arial" w:hAnsi="Arial" w:cs="Arial" w:eastAsia="Arial" w:hint="default"/>
        </w:rPr>
        <w:t>(17) </w:t>
      </w:r>
      <w:r>
        <w:rPr>
          <w:spacing w:val="-2"/>
        </w:rPr>
        <w:t>联通集团为联通商标的注册持有人。商标上带有联通标识，均已在中国国家商标局登记。根据联通</w:t>
      </w:r>
      <w:r>
        <w:rPr>
          <w:spacing w:val="-99"/>
        </w:rPr>
        <w:t> </w:t>
      </w:r>
      <w:r>
        <w:rPr>
          <w:spacing w:val="-99"/>
        </w:rPr>
      </w:r>
      <w:r>
        <w:rPr>
          <w:spacing w:val="-2"/>
        </w:rPr>
        <w:t>集团和联通运营公司之间的独家中国商标使用协议，本集团被授予有权以免交商标使用费及可延期</w:t>
      </w:r>
      <w:r>
        <w:rPr>
          <w:w w:val="100"/>
        </w:rPr>
        <w:t> </w:t>
      </w:r>
      <w:r>
        <w:rPr/>
        <w:t>的方式来使用这些商标。</w:t>
      </w:r>
    </w:p>
    <w:p>
      <w:pPr>
        <w:spacing w:line="240" w:lineRule="auto" w:before="2"/>
        <w:rPr>
          <w:rFonts w:ascii="宋体" w:hAnsi="宋体" w:cs="宋体" w:eastAsia="宋体" w:hint="default"/>
          <w:sz w:val="19"/>
          <w:szCs w:val="19"/>
        </w:rPr>
      </w:pPr>
    </w:p>
    <w:p>
      <w:pPr>
        <w:pStyle w:val="BodyText"/>
        <w:spacing w:line="240" w:lineRule="auto"/>
        <w:ind w:left="104" w:right="104"/>
        <w:jc w:val="left"/>
      </w:pPr>
      <w:r>
        <w:rPr>
          <w:rFonts w:ascii="Arial" w:hAnsi="Arial" w:cs="Arial" w:eastAsia="Arial" w:hint="default"/>
        </w:rPr>
        <w:t>(18)</w:t>
      </w:r>
      <w:r>
        <w:rPr>
          <w:rFonts w:ascii="Arial" w:hAnsi="Arial" w:cs="Arial" w:eastAsia="Arial" w:hint="default"/>
          <w:spacing w:val="28"/>
        </w:rPr>
        <w:t> </w:t>
      </w:r>
      <w:r>
        <w:rPr/>
        <w:t>关键管理人员报酬</w:t>
      </w:r>
    </w:p>
    <w:p>
      <w:pPr>
        <w:spacing w:line="240" w:lineRule="auto" w:before="11"/>
        <w:rPr>
          <w:rFonts w:ascii="宋体" w:hAnsi="宋体" w:cs="宋体" w:eastAsia="宋体" w:hint="default"/>
          <w:sz w:val="17"/>
          <w:szCs w:val="17"/>
        </w:rPr>
      </w:pPr>
    </w:p>
    <w:p>
      <w:pPr>
        <w:pStyle w:val="BodyText"/>
        <w:tabs>
          <w:tab w:pos="6455" w:val="left" w:leader="none"/>
          <w:tab w:pos="8437" w:val="left" w:leader="none"/>
        </w:tabs>
        <w:spacing w:line="240" w:lineRule="auto"/>
        <w:ind w:left="464" w:right="104"/>
        <w:jc w:val="left"/>
      </w:pPr>
      <w:r>
        <w:rPr>
          <w:spacing w:val="-1"/>
        </w:rPr>
        <w:t>（单位：人民币万元）</w:t>
        <w:tab/>
      </w:r>
      <w:r>
        <w:rPr>
          <w:rFonts w:ascii="Arial" w:hAnsi="Arial" w:cs="Arial" w:eastAsia="Arial" w:hint="default"/>
          <w:spacing w:val="-1"/>
        </w:rPr>
      </w:r>
      <w:r>
        <w:rPr>
          <w:rFonts w:ascii="Arial" w:hAnsi="Arial" w:cs="Arial" w:eastAsia="Arial" w:hint="default"/>
          <w:u w:val="single" w:color="000000"/>
        </w:rPr>
        <w:t>2019</w:t>
      </w:r>
      <w:r>
        <w:rPr>
          <w:rFonts w:ascii="Arial" w:hAnsi="Arial" w:cs="Arial" w:eastAsia="Arial" w:hint="default"/>
          <w:spacing w:val="-4"/>
          <w:u w:val="single" w:color="000000"/>
        </w:rPr>
        <w:t> </w:t>
      </w:r>
      <w:r>
        <w:rPr>
          <w:u w:val="single" w:color="000000"/>
        </w:rPr>
        <w:t>年</w:t>
      </w:r>
      <w:r>
        <w:rPr/>
        <w:tab/>
      </w:r>
      <w:r>
        <w:rPr>
          <w:rFonts w:ascii="Arial" w:hAnsi="Arial" w:cs="Arial" w:eastAsia="Arial" w:hint="default"/>
        </w:rPr>
      </w:r>
      <w:r>
        <w:rPr>
          <w:rFonts w:ascii="Arial" w:hAnsi="Arial" w:cs="Arial" w:eastAsia="Arial" w:hint="default"/>
          <w:u w:val="single" w:color="000000"/>
        </w:rPr>
        <w:t>2018</w:t>
      </w:r>
      <w:r>
        <w:rPr>
          <w:rFonts w:ascii="Arial" w:hAnsi="Arial" w:cs="Arial" w:eastAsia="Arial" w:hint="default"/>
          <w:spacing w:val="-4"/>
          <w:u w:val="single" w:color="000000"/>
        </w:rPr>
        <w:t> </w:t>
      </w:r>
      <w:r>
        <w:rPr>
          <w:u w:val="single" w:color="000000"/>
        </w:rPr>
        <w:t>年</w:t>
      </w:r>
      <w:r>
        <w:rPr/>
      </w:r>
    </w:p>
    <w:p>
      <w:pPr>
        <w:spacing w:line="240" w:lineRule="auto" w:before="6"/>
        <w:rPr>
          <w:rFonts w:ascii="宋体" w:hAnsi="宋体" w:cs="宋体" w:eastAsia="宋体" w:hint="default"/>
          <w:sz w:val="15"/>
          <w:szCs w:val="15"/>
        </w:rPr>
      </w:pPr>
    </w:p>
    <w:p>
      <w:pPr>
        <w:pStyle w:val="BodyText"/>
        <w:tabs>
          <w:tab w:pos="6538" w:val="left" w:leader="none"/>
          <w:tab w:pos="9180" w:val="right" w:leader="none"/>
        </w:tabs>
        <w:spacing w:line="240" w:lineRule="auto" w:before="32"/>
        <w:ind w:left="574" w:right="0"/>
        <w:jc w:val="left"/>
        <w:rPr>
          <w:rFonts w:ascii="Arial" w:hAnsi="Arial" w:cs="Arial" w:eastAsia="Arial" w:hint="default"/>
        </w:rPr>
      </w:pPr>
      <w:r>
        <w:rPr>
          <w:spacing w:val="-1"/>
        </w:rPr>
        <w:t>关键管理人员报酬</w:t>
        <w:tab/>
      </w:r>
      <w:r>
        <w:rPr>
          <w:rFonts w:ascii="Arial" w:hAnsi="Arial" w:cs="Arial" w:eastAsia="Arial" w:hint="default"/>
          <w:spacing w:val="-2"/>
        </w:rPr>
        <w:t>996.84</w:t>
      </w:r>
      <w:r>
        <w:rPr>
          <w:rFonts w:ascii="Arial" w:hAnsi="Arial" w:cs="Arial" w:eastAsia="Arial" w:hint="default"/>
          <w:spacing w:val="-2"/>
        </w:rPr>
        <w:tab/>
      </w:r>
      <w:r>
        <w:rPr>
          <w:rFonts w:ascii="Arial" w:hAnsi="Arial" w:cs="Arial" w:eastAsia="Arial" w:hint="default"/>
          <w:spacing w:val="-1"/>
        </w:rPr>
        <w:t>719.26</w:t>
      </w:r>
      <w:r>
        <w:rPr>
          <w:rFonts w:ascii="Arial" w:hAnsi="Arial" w:cs="Arial" w:eastAsia="Arial" w:hint="default"/>
        </w:rPr>
      </w:r>
    </w:p>
    <w:p>
      <w:pPr>
        <w:spacing w:line="284" w:lineRule="exact" w:before="268"/>
        <w:ind w:left="151" w:right="104" w:firstLine="0"/>
        <w:jc w:val="left"/>
        <w:rPr>
          <w:rFonts w:ascii="宋体" w:hAnsi="宋体" w:cs="宋体" w:eastAsia="宋体" w:hint="default"/>
          <w:sz w:val="22"/>
          <w:szCs w:val="22"/>
        </w:rPr>
      </w:pPr>
      <w:r>
        <w:rPr>
          <w:rFonts w:ascii="宋体" w:hAnsi="宋体" w:cs="宋体" w:eastAsia="宋体" w:hint="default"/>
          <w:spacing w:val="-2"/>
          <w:sz w:val="21"/>
          <w:szCs w:val="21"/>
        </w:rPr>
        <w:t>另外，除以上交易外本集团按市场一般价格向广发银行提供电信及相关增值服务，与广发银行开</w:t>
      </w:r>
      <w:r>
        <w:rPr>
          <w:rFonts w:ascii="宋体" w:hAnsi="宋体" w:cs="宋体" w:eastAsia="宋体" w:hint="default"/>
          <w:spacing w:val="-2"/>
          <w:sz w:val="22"/>
          <w:szCs w:val="22"/>
        </w:rPr>
        <w:t>展金融市</w:t>
      </w:r>
      <w:r>
        <w:rPr>
          <w:rFonts w:ascii="宋体" w:hAnsi="宋体" w:cs="宋体" w:eastAsia="宋体" w:hint="default"/>
          <w:spacing w:val="-20"/>
          <w:sz w:val="22"/>
          <w:szCs w:val="22"/>
        </w:rPr>
        <w:t> </w:t>
      </w:r>
      <w:r>
        <w:rPr>
          <w:rFonts w:ascii="宋体" w:hAnsi="宋体" w:cs="宋体" w:eastAsia="宋体" w:hint="default"/>
          <w:spacing w:val="-20"/>
          <w:sz w:val="22"/>
          <w:szCs w:val="22"/>
        </w:rPr>
      </w:r>
      <w:r>
        <w:rPr>
          <w:rFonts w:ascii="宋体" w:hAnsi="宋体" w:cs="宋体" w:eastAsia="宋体" w:hint="default"/>
          <w:sz w:val="22"/>
          <w:szCs w:val="22"/>
        </w:rPr>
        <w:t>场业务、同业业务、债券投资等金融类业务。</w:t>
      </w:r>
    </w:p>
    <w:p>
      <w:pPr>
        <w:spacing w:after="0" w:line="284" w:lineRule="exact"/>
        <w:jc w:val="left"/>
        <w:rPr>
          <w:rFonts w:ascii="宋体" w:hAnsi="宋体" w:cs="宋体" w:eastAsia="宋体" w:hint="default"/>
          <w:sz w:val="22"/>
          <w:szCs w:val="22"/>
        </w:rPr>
        <w:sectPr>
          <w:pgSz w:w="11910" w:h="16840"/>
          <w:pgMar w:header="1183" w:footer="502" w:top="3540" w:bottom="700" w:left="1000" w:right="700"/>
        </w:sectPr>
      </w:pPr>
    </w:p>
    <w:p>
      <w:pPr>
        <w:spacing w:line="240" w:lineRule="auto" w:before="11"/>
        <w:rPr>
          <w:rFonts w:ascii="Times New Roman" w:hAnsi="Times New Roman" w:cs="Times New Roman" w:eastAsia="Times New Roman" w:hint="default"/>
          <w:sz w:val="19"/>
          <w:szCs w:val="19"/>
        </w:rPr>
      </w:pPr>
    </w:p>
    <w:tbl>
      <w:tblPr>
        <w:tblW w:w="0" w:type="auto"/>
        <w:jc w:val="left"/>
        <w:tblInd w:w="306" w:type="dxa"/>
        <w:tblLayout w:type="fixed"/>
        <w:tblCellMar>
          <w:top w:w="0" w:type="dxa"/>
          <w:left w:w="0" w:type="dxa"/>
          <w:bottom w:w="0" w:type="dxa"/>
          <w:right w:w="0" w:type="dxa"/>
        </w:tblCellMar>
        <w:tblLook w:val="01E0"/>
      </w:tblPr>
      <w:tblGrid>
        <w:gridCol w:w="1971"/>
        <w:gridCol w:w="3269"/>
        <w:gridCol w:w="2184"/>
        <w:gridCol w:w="228"/>
        <w:gridCol w:w="2282"/>
      </w:tblGrid>
      <w:tr>
        <w:trPr>
          <w:trHeight w:val="259" w:hRule="exact"/>
        </w:trPr>
        <w:tc>
          <w:tcPr>
            <w:tcW w:w="7424" w:type="dxa"/>
            <w:gridSpan w:val="3"/>
            <w:tcBorders>
              <w:top w:val="nil" w:sz="6" w:space="0" w:color="auto"/>
              <w:left w:val="nil" w:sz="6" w:space="0" w:color="auto"/>
              <w:bottom w:val="nil" w:sz="6" w:space="0" w:color="auto"/>
              <w:right w:val="nil" w:sz="6" w:space="0" w:color="auto"/>
            </w:tcBorders>
          </w:tcPr>
          <w:p>
            <w:pPr>
              <w:pStyle w:val="TableParagraph"/>
              <w:spacing w:line="236" w:lineRule="exact"/>
              <w:ind w:right="98"/>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228" w:type="dxa"/>
            <w:tcBorders>
              <w:top w:val="nil" w:sz="6" w:space="0" w:color="auto"/>
              <w:left w:val="nil" w:sz="6" w:space="0" w:color="auto"/>
              <w:bottom w:val="nil" w:sz="6" w:space="0" w:color="auto"/>
              <w:right w:val="nil" w:sz="6" w:space="0" w:color="auto"/>
            </w:tcBorders>
          </w:tcPr>
          <w:p>
            <w:pPr/>
          </w:p>
        </w:tc>
        <w:tc>
          <w:tcPr>
            <w:tcW w:w="2282" w:type="dxa"/>
            <w:tcBorders>
              <w:top w:val="nil" w:sz="6" w:space="0" w:color="auto"/>
              <w:left w:val="nil" w:sz="6" w:space="0" w:color="auto"/>
              <w:bottom w:val="single" w:sz="6" w:space="0" w:color="000000"/>
              <w:right w:val="nil" w:sz="6" w:space="0" w:color="auto"/>
            </w:tcBorders>
          </w:tcPr>
          <w:p>
            <w:pPr>
              <w:pStyle w:val="TableParagraph"/>
              <w:spacing w:line="236" w:lineRule="exact"/>
              <w:ind w:left="266"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569" w:hRule="exact"/>
        </w:trPr>
        <w:tc>
          <w:tcPr>
            <w:tcW w:w="197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应收账款</w:t>
            </w:r>
          </w:p>
        </w:tc>
        <w:tc>
          <w:tcPr>
            <w:tcW w:w="3269" w:type="dxa"/>
            <w:tcBorders>
              <w:top w:val="single" w:sz="6" w:space="0" w:color="000000"/>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446" w:right="0"/>
              <w:jc w:val="left"/>
              <w:rPr>
                <w:rFonts w:ascii="宋体" w:hAnsi="宋体" w:cs="宋体" w:eastAsia="宋体" w:hint="default"/>
                <w:sz w:val="22"/>
                <w:szCs w:val="22"/>
              </w:rPr>
            </w:pPr>
            <w:r>
              <w:rPr>
                <w:rFonts w:ascii="宋体" w:hAnsi="宋体" w:cs="宋体" w:eastAsia="宋体" w:hint="default"/>
                <w:sz w:val="22"/>
                <w:szCs w:val="22"/>
              </w:rPr>
              <w:t>联通集团及其子公司</w:t>
            </w:r>
          </w:p>
        </w:tc>
        <w:tc>
          <w:tcPr>
            <w:tcW w:w="2184" w:type="dxa"/>
            <w:tcBorders>
              <w:top w:val="single" w:sz="6" w:space="0" w:color="000000"/>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5"/>
                <w:szCs w:val="25"/>
              </w:rPr>
            </w:pPr>
          </w:p>
          <w:p>
            <w:pPr>
              <w:pStyle w:val="TableParagraph"/>
              <w:spacing w:line="240" w:lineRule="auto"/>
              <w:ind w:right="105"/>
              <w:jc w:val="right"/>
              <w:rPr>
                <w:rFonts w:ascii="Arial" w:hAnsi="Arial" w:cs="Arial" w:eastAsia="Arial" w:hint="default"/>
                <w:sz w:val="22"/>
                <w:szCs w:val="22"/>
              </w:rPr>
            </w:pPr>
            <w:r>
              <w:rPr>
                <w:rFonts w:ascii="Arial"/>
                <w:spacing w:val="-1"/>
                <w:sz w:val="22"/>
              </w:rPr>
              <w:t>95,127,002</w:t>
            </w:r>
          </w:p>
        </w:tc>
        <w:tc>
          <w:tcPr>
            <w:tcW w:w="228" w:type="dxa"/>
            <w:tcBorders>
              <w:top w:val="nil" w:sz="6" w:space="0" w:color="auto"/>
              <w:left w:val="nil" w:sz="6" w:space="0" w:color="auto"/>
              <w:bottom w:val="nil" w:sz="6" w:space="0" w:color="auto"/>
              <w:right w:val="nil" w:sz="6" w:space="0" w:color="auto"/>
            </w:tcBorders>
          </w:tcPr>
          <w:p>
            <w:pPr/>
          </w:p>
        </w:tc>
        <w:tc>
          <w:tcPr>
            <w:tcW w:w="2282" w:type="dxa"/>
            <w:tcBorders>
              <w:top w:val="single" w:sz="6" w:space="0" w:color="000000"/>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5"/>
                <w:szCs w:val="25"/>
              </w:rPr>
            </w:pPr>
          </w:p>
          <w:p>
            <w:pPr>
              <w:pStyle w:val="TableParagraph"/>
              <w:spacing w:line="240" w:lineRule="auto"/>
              <w:ind w:right="96"/>
              <w:jc w:val="right"/>
              <w:rPr>
                <w:rFonts w:ascii="Arial" w:hAnsi="Arial" w:cs="Arial" w:eastAsia="Arial" w:hint="default"/>
                <w:sz w:val="22"/>
                <w:szCs w:val="22"/>
              </w:rPr>
            </w:pPr>
            <w:r>
              <w:rPr>
                <w:rFonts w:ascii="Arial"/>
                <w:spacing w:val="-1"/>
                <w:sz w:val="22"/>
              </w:rPr>
              <w:t>77,317,391</w:t>
            </w:r>
          </w:p>
        </w:tc>
      </w:tr>
      <w:tr>
        <w:trPr>
          <w:trHeight w:val="305" w:hRule="exact"/>
        </w:trPr>
        <w:tc>
          <w:tcPr>
            <w:tcW w:w="1971" w:type="dxa"/>
            <w:tcBorders>
              <w:top w:val="nil" w:sz="6" w:space="0" w:color="auto"/>
              <w:left w:val="nil" w:sz="6" w:space="0" w:color="auto"/>
              <w:bottom w:val="nil" w:sz="6" w:space="0" w:color="auto"/>
              <w:right w:val="nil" w:sz="6" w:space="0" w:color="auto"/>
            </w:tcBorders>
          </w:tcPr>
          <w:p>
            <w:pPr/>
          </w:p>
        </w:tc>
        <w:tc>
          <w:tcPr>
            <w:tcW w:w="3269" w:type="dxa"/>
            <w:tcBorders>
              <w:top w:val="nil" w:sz="6" w:space="0" w:color="auto"/>
              <w:left w:val="nil" w:sz="6" w:space="0" w:color="auto"/>
              <w:bottom w:val="nil" w:sz="6" w:space="0" w:color="auto"/>
              <w:right w:val="nil" w:sz="6" w:space="0" w:color="auto"/>
            </w:tcBorders>
          </w:tcPr>
          <w:p>
            <w:pPr>
              <w:pStyle w:val="TableParagraph"/>
              <w:spacing w:line="246" w:lineRule="exact"/>
              <w:ind w:left="446" w:right="0"/>
              <w:jc w:val="left"/>
              <w:rPr>
                <w:rFonts w:ascii="宋体" w:hAnsi="宋体" w:cs="宋体" w:eastAsia="宋体" w:hint="default"/>
                <w:sz w:val="22"/>
                <w:szCs w:val="22"/>
              </w:rPr>
            </w:pPr>
            <w:r>
              <w:rPr>
                <w:rFonts w:ascii="宋体" w:hAnsi="宋体" w:cs="宋体" w:eastAsia="宋体" w:hint="default"/>
                <w:sz w:val="22"/>
                <w:szCs w:val="22"/>
              </w:rPr>
              <w:t>铁塔公司</w:t>
            </w:r>
          </w:p>
        </w:tc>
        <w:tc>
          <w:tcPr>
            <w:tcW w:w="218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Arial" w:hAnsi="Arial" w:cs="Arial" w:eastAsia="Arial" w:hint="default"/>
                <w:sz w:val="22"/>
                <w:szCs w:val="22"/>
              </w:rPr>
            </w:pPr>
            <w:r>
              <w:rPr>
                <w:rFonts w:ascii="Arial"/>
                <w:spacing w:val="-1"/>
                <w:sz w:val="22"/>
              </w:rPr>
              <w:t>28,719,401</w:t>
            </w:r>
          </w:p>
        </w:tc>
        <w:tc>
          <w:tcPr>
            <w:tcW w:w="228" w:type="dxa"/>
            <w:tcBorders>
              <w:top w:val="nil" w:sz="6" w:space="0" w:color="auto"/>
              <w:left w:val="nil" w:sz="6" w:space="0" w:color="auto"/>
              <w:bottom w:val="nil" w:sz="6" w:space="0" w:color="auto"/>
              <w:right w:val="nil" w:sz="6" w:space="0" w:color="auto"/>
            </w:tcBorders>
          </w:tcPr>
          <w:p>
            <w:pPr/>
          </w:p>
        </w:tc>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96"/>
              <w:jc w:val="right"/>
              <w:rPr>
                <w:rFonts w:ascii="Arial" w:hAnsi="Arial" w:cs="Arial" w:eastAsia="Arial" w:hint="default"/>
                <w:sz w:val="22"/>
                <w:szCs w:val="22"/>
              </w:rPr>
            </w:pPr>
            <w:r>
              <w:rPr>
                <w:rFonts w:ascii="Arial"/>
                <w:spacing w:val="-1"/>
                <w:sz w:val="22"/>
              </w:rPr>
              <w:t>33,128,502</w:t>
            </w:r>
          </w:p>
        </w:tc>
      </w:tr>
      <w:tr>
        <w:trPr>
          <w:trHeight w:val="302" w:hRule="exact"/>
        </w:trPr>
        <w:tc>
          <w:tcPr>
            <w:tcW w:w="1971" w:type="dxa"/>
            <w:tcBorders>
              <w:top w:val="nil" w:sz="6" w:space="0" w:color="auto"/>
              <w:left w:val="nil" w:sz="6" w:space="0" w:color="auto"/>
              <w:bottom w:val="nil" w:sz="6" w:space="0" w:color="auto"/>
              <w:right w:val="nil" w:sz="6" w:space="0" w:color="auto"/>
            </w:tcBorders>
          </w:tcPr>
          <w:p>
            <w:pPr/>
          </w:p>
        </w:tc>
        <w:tc>
          <w:tcPr>
            <w:tcW w:w="3269" w:type="dxa"/>
            <w:tcBorders>
              <w:top w:val="nil" w:sz="6" w:space="0" w:color="auto"/>
              <w:left w:val="nil" w:sz="6" w:space="0" w:color="auto"/>
              <w:bottom w:val="nil" w:sz="6" w:space="0" w:color="auto"/>
              <w:right w:val="nil" w:sz="6" w:space="0" w:color="auto"/>
            </w:tcBorders>
          </w:tcPr>
          <w:p>
            <w:pPr>
              <w:pStyle w:val="TableParagraph"/>
              <w:spacing w:line="249" w:lineRule="exact"/>
              <w:ind w:left="446" w:right="0"/>
              <w:jc w:val="left"/>
              <w:rPr>
                <w:rFonts w:ascii="宋体" w:hAnsi="宋体" w:cs="宋体" w:eastAsia="宋体" w:hint="default"/>
                <w:sz w:val="22"/>
                <w:szCs w:val="22"/>
              </w:rPr>
            </w:pPr>
            <w:r>
              <w:rPr>
                <w:rFonts w:ascii="宋体" w:hAnsi="宋体" w:cs="宋体" w:eastAsia="宋体" w:hint="default"/>
                <w:sz w:val="22"/>
                <w:szCs w:val="22"/>
              </w:rPr>
              <w:t>其他合营和联营企业</w:t>
            </w:r>
          </w:p>
        </w:tc>
        <w:tc>
          <w:tcPr>
            <w:tcW w:w="218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3"/>
              <w:jc w:val="right"/>
              <w:rPr>
                <w:rFonts w:ascii="Arial" w:hAnsi="Arial" w:cs="Arial" w:eastAsia="Arial" w:hint="default"/>
                <w:sz w:val="22"/>
                <w:szCs w:val="22"/>
              </w:rPr>
            </w:pPr>
            <w:r>
              <w:rPr>
                <w:rFonts w:ascii="Arial"/>
                <w:sz w:val="22"/>
              </w:rPr>
              <w:t>3,750,000</w:t>
            </w:r>
          </w:p>
        </w:tc>
        <w:tc>
          <w:tcPr>
            <w:tcW w:w="228" w:type="dxa"/>
            <w:tcBorders>
              <w:top w:val="nil" w:sz="6" w:space="0" w:color="auto"/>
              <w:left w:val="nil" w:sz="6" w:space="0" w:color="auto"/>
              <w:bottom w:val="nil" w:sz="6" w:space="0" w:color="auto"/>
              <w:right w:val="nil" w:sz="6" w:space="0" w:color="auto"/>
            </w:tcBorders>
          </w:tcPr>
          <w:p>
            <w:pPr/>
          </w:p>
        </w:tc>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96"/>
              <w:jc w:val="right"/>
              <w:rPr>
                <w:rFonts w:ascii="Arial" w:hAnsi="Arial" w:cs="Arial" w:eastAsia="Arial" w:hint="default"/>
                <w:sz w:val="22"/>
                <w:szCs w:val="22"/>
              </w:rPr>
            </w:pPr>
            <w:r>
              <w:rPr>
                <w:rFonts w:ascii="Arial"/>
                <w:spacing w:val="-1"/>
                <w:sz w:val="22"/>
              </w:rPr>
              <w:t>3,750,000</w:t>
            </w:r>
          </w:p>
        </w:tc>
      </w:tr>
      <w:tr>
        <w:trPr>
          <w:trHeight w:val="301" w:hRule="exact"/>
        </w:trPr>
        <w:tc>
          <w:tcPr>
            <w:tcW w:w="1971" w:type="dxa"/>
            <w:tcBorders>
              <w:top w:val="nil" w:sz="6" w:space="0" w:color="auto"/>
              <w:left w:val="nil" w:sz="6" w:space="0" w:color="auto"/>
              <w:bottom w:val="nil" w:sz="6" w:space="0" w:color="auto"/>
              <w:right w:val="nil" w:sz="6" w:space="0" w:color="auto"/>
            </w:tcBorders>
          </w:tcPr>
          <w:p>
            <w:pPr/>
          </w:p>
        </w:tc>
        <w:tc>
          <w:tcPr>
            <w:tcW w:w="3269" w:type="dxa"/>
            <w:tcBorders>
              <w:top w:val="nil" w:sz="6" w:space="0" w:color="auto"/>
              <w:left w:val="nil" w:sz="6" w:space="0" w:color="auto"/>
              <w:bottom w:val="nil" w:sz="6" w:space="0" w:color="auto"/>
              <w:right w:val="nil" w:sz="6" w:space="0" w:color="auto"/>
            </w:tcBorders>
          </w:tcPr>
          <w:p>
            <w:pPr>
              <w:pStyle w:val="TableParagraph"/>
              <w:tabs>
                <w:tab w:pos="3182" w:val="left" w:leader="none"/>
                <w:tab w:pos="4118" w:val="left" w:leader="none"/>
              </w:tabs>
              <w:spacing w:line="248" w:lineRule="exact"/>
              <w:ind w:left="446" w:right="-850"/>
              <w:jc w:val="left"/>
              <w:rPr>
                <w:rFonts w:ascii="Arial" w:hAnsi="Arial" w:cs="Arial" w:eastAsia="Arial" w:hint="default"/>
                <w:sz w:val="22"/>
                <w:szCs w:val="22"/>
              </w:rPr>
            </w:pPr>
            <w:r>
              <w:rPr>
                <w:rFonts w:ascii="宋体" w:hAnsi="宋体" w:cs="宋体" w:eastAsia="宋体" w:hint="default"/>
                <w:position w:val="2"/>
                <w:sz w:val="22"/>
                <w:szCs w:val="22"/>
              </w:rPr>
              <w:t>其他关联法人</w:t>
              <w:tab/>
            </w:r>
            <w:r>
              <w:rPr>
                <w:rFonts w:ascii="Arial" w:hAnsi="Arial" w:cs="Arial" w:eastAsia="Arial" w:hint="default"/>
                <w:w w:val="100"/>
                <w:sz w:val="22"/>
                <w:szCs w:val="22"/>
              </w:rPr>
            </w:r>
            <w:r>
              <w:rPr>
                <w:rFonts w:ascii="Arial" w:hAnsi="Arial" w:cs="Arial" w:eastAsia="Arial" w:hint="default"/>
                <w:w w:val="100"/>
                <w:sz w:val="22"/>
                <w:szCs w:val="22"/>
                <w:u w:val="single" w:color="000000"/>
              </w:rPr>
              <w:t> </w:t>
            </w:r>
            <w:r>
              <w:rPr>
                <w:rFonts w:ascii="Arial" w:hAnsi="Arial" w:cs="Arial" w:eastAsia="Arial" w:hint="default"/>
                <w:sz w:val="22"/>
                <w:szCs w:val="22"/>
                <w:u w:val="single" w:color="000000"/>
              </w:rPr>
              <w:tab/>
            </w:r>
            <w:r>
              <w:rPr>
                <w:rFonts w:ascii="Arial" w:hAnsi="Arial" w:cs="Arial" w:eastAsia="Arial" w:hint="default"/>
                <w:sz w:val="22"/>
                <w:szCs w:val="22"/>
              </w:rPr>
            </w:r>
          </w:p>
        </w:tc>
        <w:tc>
          <w:tcPr>
            <w:tcW w:w="2184" w:type="dxa"/>
            <w:tcBorders>
              <w:top w:val="nil" w:sz="6" w:space="0" w:color="auto"/>
              <w:left w:val="nil" w:sz="6" w:space="0" w:color="auto"/>
              <w:bottom w:val="nil" w:sz="6" w:space="0" w:color="auto"/>
              <w:right w:val="nil" w:sz="6" w:space="0" w:color="auto"/>
            </w:tcBorders>
          </w:tcPr>
          <w:p>
            <w:pPr>
              <w:pStyle w:val="TableParagraph"/>
              <w:tabs>
                <w:tab w:pos="1334" w:val="left" w:leader="none"/>
              </w:tabs>
              <w:spacing w:line="240" w:lineRule="auto" w:before="30"/>
              <w:ind w:right="0"/>
              <w:jc w:val="right"/>
              <w:rPr>
                <w:rFonts w:ascii="Arial" w:hAnsi="Arial" w:cs="Arial" w:eastAsia="Arial" w:hint="default"/>
                <w:sz w:val="22"/>
                <w:szCs w:val="22"/>
              </w:rPr>
            </w:pPr>
            <w:r>
              <w:rPr>
                <w:rFonts w:ascii="Arial"/>
                <w:w w:val="100"/>
                <w:sz w:val="22"/>
              </w:rPr>
            </w:r>
            <w:r>
              <w:rPr>
                <w:rFonts w:ascii="Arial"/>
                <w:spacing w:val="-1"/>
                <w:sz w:val="22"/>
                <w:u w:val="single" w:color="000000"/>
              </w:rPr>
              <w:t>545,200,246</w:t>
              <w:tab/>
            </w:r>
            <w:r>
              <w:rPr>
                <w:rFonts w:ascii="Arial"/>
                <w:spacing w:val="-1"/>
                <w:sz w:val="22"/>
              </w:rPr>
            </w:r>
          </w:p>
        </w:tc>
        <w:tc>
          <w:tcPr>
            <w:tcW w:w="228" w:type="dxa"/>
            <w:tcBorders>
              <w:top w:val="nil" w:sz="6" w:space="0" w:color="auto"/>
              <w:left w:val="nil" w:sz="6" w:space="0" w:color="auto"/>
              <w:bottom w:val="nil" w:sz="6" w:space="0" w:color="auto"/>
              <w:right w:val="nil" w:sz="6" w:space="0" w:color="auto"/>
            </w:tcBorders>
          </w:tcPr>
          <w:p>
            <w:pPr/>
          </w:p>
        </w:tc>
        <w:tc>
          <w:tcPr>
            <w:tcW w:w="2282" w:type="dxa"/>
            <w:tcBorders>
              <w:top w:val="nil" w:sz="6" w:space="0" w:color="auto"/>
              <w:left w:val="nil" w:sz="6" w:space="0" w:color="auto"/>
              <w:bottom w:val="nil" w:sz="6" w:space="0" w:color="auto"/>
              <w:right w:val="nil" w:sz="6" w:space="0" w:color="auto"/>
            </w:tcBorders>
          </w:tcPr>
          <w:p>
            <w:pPr>
              <w:pStyle w:val="TableParagraph"/>
              <w:tabs>
                <w:tab w:pos="945" w:val="left" w:leader="none"/>
                <w:tab w:pos="2275" w:val="left" w:leader="none"/>
              </w:tabs>
              <w:spacing w:line="240" w:lineRule="auto" w:before="30"/>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100,391,567</w:t>
              <w:tab/>
            </w:r>
            <w:r>
              <w:rPr>
                <w:rFonts w:ascii="Arial"/>
                <w:spacing w:val="-1"/>
                <w:sz w:val="22"/>
              </w:rPr>
            </w:r>
          </w:p>
        </w:tc>
      </w:tr>
      <w:tr>
        <w:trPr>
          <w:trHeight w:val="270" w:hRule="exact"/>
        </w:trPr>
        <w:tc>
          <w:tcPr>
            <w:tcW w:w="1971" w:type="dxa"/>
            <w:tcBorders>
              <w:top w:val="nil" w:sz="6" w:space="0" w:color="auto"/>
              <w:left w:val="nil" w:sz="6" w:space="0" w:color="auto"/>
              <w:bottom w:val="nil" w:sz="6" w:space="0" w:color="auto"/>
              <w:right w:val="nil" w:sz="6" w:space="0" w:color="auto"/>
            </w:tcBorders>
          </w:tcPr>
          <w:p>
            <w:pPr/>
          </w:p>
        </w:tc>
        <w:tc>
          <w:tcPr>
            <w:tcW w:w="5453" w:type="dxa"/>
            <w:gridSpan w:val="2"/>
            <w:tcBorders>
              <w:top w:val="nil" w:sz="6" w:space="0" w:color="auto"/>
              <w:left w:val="nil" w:sz="6" w:space="0" w:color="auto"/>
              <w:bottom w:val="nil" w:sz="6" w:space="0" w:color="auto"/>
              <w:right w:val="nil" w:sz="6" w:space="0" w:color="auto"/>
            </w:tcBorders>
          </w:tcPr>
          <w:p>
            <w:pPr>
              <w:pStyle w:val="TableParagraph"/>
              <w:spacing w:line="247" w:lineRule="exact"/>
              <w:ind w:right="103"/>
              <w:jc w:val="right"/>
              <w:rPr>
                <w:rFonts w:ascii="Arial" w:hAnsi="Arial" w:cs="Arial" w:eastAsia="Arial" w:hint="default"/>
                <w:sz w:val="22"/>
                <w:szCs w:val="22"/>
              </w:rPr>
            </w:pPr>
            <w:r>
              <w:rPr>
                <w:rFonts w:ascii="Arial"/>
                <w:sz w:val="22"/>
              </w:rPr>
              <w:t>672,796,649</w:t>
            </w:r>
          </w:p>
        </w:tc>
        <w:tc>
          <w:tcPr>
            <w:tcW w:w="228" w:type="dxa"/>
            <w:tcBorders>
              <w:top w:val="nil" w:sz="6" w:space="0" w:color="auto"/>
              <w:left w:val="nil" w:sz="6" w:space="0" w:color="auto"/>
              <w:bottom w:val="nil" w:sz="6" w:space="0" w:color="auto"/>
              <w:right w:val="nil" w:sz="6" w:space="0" w:color="auto"/>
            </w:tcBorders>
          </w:tcPr>
          <w:p>
            <w:pPr/>
          </w:p>
        </w:tc>
        <w:tc>
          <w:tcPr>
            <w:tcW w:w="2282" w:type="dxa"/>
            <w:tcBorders>
              <w:top w:val="nil" w:sz="6" w:space="0" w:color="auto"/>
              <w:left w:val="nil" w:sz="6" w:space="0" w:color="auto"/>
              <w:bottom w:val="single" w:sz="17" w:space="0" w:color="000000"/>
              <w:right w:val="nil" w:sz="6" w:space="0" w:color="auto"/>
            </w:tcBorders>
          </w:tcPr>
          <w:p>
            <w:pPr>
              <w:pStyle w:val="TableParagraph"/>
              <w:spacing w:line="247" w:lineRule="exact"/>
              <w:ind w:right="96"/>
              <w:jc w:val="right"/>
              <w:rPr>
                <w:rFonts w:ascii="Arial" w:hAnsi="Arial" w:cs="Arial" w:eastAsia="Arial" w:hint="default"/>
                <w:sz w:val="22"/>
                <w:szCs w:val="22"/>
              </w:rPr>
            </w:pPr>
            <w:r>
              <w:rPr>
                <w:rFonts w:ascii="Arial"/>
                <w:spacing w:val="-1"/>
                <w:sz w:val="22"/>
              </w:rPr>
              <w:t>214,587,460</w:t>
            </w:r>
          </w:p>
        </w:tc>
      </w:tr>
      <w:tr>
        <w:trPr>
          <w:trHeight w:val="576" w:hRule="exact"/>
        </w:trPr>
        <w:tc>
          <w:tcPr>
            <w:tcW w:w="19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预付款项</w:t>
            </w:r>
          </w:p>
        </w:tc>
        <w:tc>
          <w:tcPr>
            <w:tcW w:w="3269" w:type="dxa"/>
            <w:tcBorders>
              <w:top w:val="single" w:sz="17" w:space="0" w:color="000000"/>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455" w:right="0"/>
              <w:jc w:val="left"/>
              <w:rPr>
                <w:rFonts w:ascii="宋体" w:hAnsi="宋体" w:cs="宋体" w:eastAsia="宋体" w:hint="default"/>
                <w:sz w:val="22"/>
                <w:szCs w:val="22"/>
              </w:rPr>
            </w:pPr>
            <w:r>
              <w:rPr>
                <w:rFonts w:ascii="宋体" w:hAnsi="宋体" w:cs="宋体" w:eastAsia="宋体" w:hint="default"/>
                <w:sz w:val="22"/>
                <w:szCs w:val="22"/>
              </w:rPr>
              <w:t>联通集团及其子公司</w:t>
            </w:r>
          </w:p>
        </w:tc>
        <w:tc>
          <w:tcPr>
            <w:tcW w:w="2184" w:type="dxa"/>
            <w:tcBorders>
              <w:top w:val="single" w:sz="17" w:space="0" w:color="000000"/>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5"/>
                <w:szCs w:val="25"/>
              </w:rPr>
            </w:pPr>
          </w:p>
          <w:p>
            <w:pPr>
              <w:pStyle w:val="TableParagraph"/>
              <w:spacing w:line="240" w:lineRule="auto"/>
              <w:ind w:right="105"/>
              <w:jc w:val="right"/>
              <w:rPr>
                <w:rFonts w:ascii="Arial" w:hAnsi="Arial" w:cs="Arial" w:eastAsia="Arial" w:hint="default"/>
                <w:sz w:val="22"/>
                <w:szCs w:val="22"/>
              </w:rPr>
            </w:pPr>
            <w:r>
              <w:rPr>
                <w:rFonts w:ascii="Arial"/>
                <w:spacing w:val="-1"/>
                <w:sz w:val="22"/>
              </w:rPr>
              <w:t>18,237,464</w:t>
            </w:r>
          </w:p>
        </w:tc>
        <w:tc>
          <w:tcPr>
            <w:tcW w:w="228" w:type="dxa"/>
            <w:tcBorders>
              <w:top w:val="nil" w:sz="6" w:space="0" w:color="auto"/>
              <w:left w:val="nil" w:sz="6" w:space="0" w:color="auto"/>
              <w:bottom w:val="nil" w:sz="6" w:space="0" w:color="auto"/>
              <w:right w:val="nil" w:sz="6" w:space="0" w:color="auto"/>
            </w:tcBorders>
          </w:tcPr>
          <w:p>
            <w:pPr/>
          </w:p>
        </w:tc>
        <w:tc>
          <w:tcPr>
            <w:tcW w:w="2282" w:type="dxa"/>
            <w:tcBorders>
              <w:top w:val="single" w:sz="17" w:space="0" w:color="000000"/>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5"/>
                <w:szCs w:val="25"/>
              </w:rPr>
            </w:pPr>
          </w:p>
          <w:p>
            <w:pPr>
              <w:pStyle w:val="TableParagraph"/>
              <w:spacing w:line="240" w:lineRule="auto"/>
              <w:ind w:right="96"/>
              <w:jc w:val="right"/>
              <w:rPr>
                <w:rFonts w:ascii="Arial" w:hAnsi="Arial" w:cs="Arial" w:eastAsia="Arial" w:hint="default"/>
                <w:sz w:val="22"/>
                <w:szCs w:val="22"/>
              </w:rPr>
            </w:pPr>
            <w:r>
              <w:rPr>
                <w:rFonts w:ascii="Arial"/>
                <w:spacing w:val="-1"/>
                <w:sz w:val="22"/>
              </w:rPr>
              <w:t>5,001,105</w:t>
            </w:r>
          </w:p>
        </w:tc>
      </w:tr>
      <w:tr>
        <w:trPr>
          <w:trHeight w:val="283" w:hRule="exact"/>
        </w:trPr>
        <w:tc>
          <w:tcPr>
            <w:tcW w:w="1971" w:type="dxa"/>
            <w:tcBorders>
              <w:top w:val="nil" w:sz="6" w:space="0" w:color="auto"/>
              <w:left w:val="nil" w:sz="6" w:space="0" w:color="auto"/>
              <w:bottom w:val="nil" w:sz="6" w:space="0" w:color="auto"/>
              <w:right w:val="nil" w:sz="6" w:space="0" w:color="auto"/>
            </w:tcBorders>
          </w:tcPr>
          <w:p>
            <w:pPr/>
          </w:p>
        </w:tc>
        <w:tc>
          <w:tcPr>
            <w:tcW w:w="3269" w:type="dxa"/>
            <w:tcBorders>
              <w:top w:val="nil" w:sz="6" w:space="0" w:color="auto"/>
              <w:left w:val="nil" w:sz="6" w:space="0" w:color="auto"/>
              <w:bottom w:val="nil" w:sz="6" w:space="0" w:color="auto"/>
              <w:right w:val="nil" w:sz="6" w:space="0" w:color="auto"/>
            </w:tcBorders>
          </w:tcPr>
          <w:p>
            <w:pPr>
              <w:pStyle w:val="TableParagraph"/>
              <w:spacing w:line="239" w:lineRule="exact"/>
              <w:ind w:left="455" w:right="0"/>
              <w:jc w:val="left"/>
              <w:rPr>
                <w:rFonts w:ascii="宋体" w:hAnsi="宋体" w:cs="宋体" w:eastAsia="宋体" w:hint="default"/>
                <w:sz w:val="22"/>
                <w:szCs w:val="22"/>
              </w:rPr>
            </w:pPr>
            <w:r>
              <w:rPr>
                <w:rFonts w:ascii="宋体" w:hAnsi="宋体" w:cs="宋体" w:eastAsia="宋体" w:hint="default"/>
                <w:sz w:val="22"/>
                <w:szCs w:val="22"/>
              </w:rPr>
              <w:t>铁塔公司</w:t>
            </w:r>
          </w:p>
        </w:tc>
        <w:tc>
          <w:tcPr>
            <w:tcW w:w="218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3"/>
              <w:jc w:val="right"/>
              <w:rPr>
                <w:rFonts w:ascii="Arial" w:hAnsi="Arial" w:cs="Arial" w:eastAsia="Arial" w:hint="default"/>
                <w:sz w:val="22"/>
                <w:szCs w:val="22"/>
              </w:rPr>
            </w:pPr>
            <w:r>
              <w:rPr>
                <w:rFonts w:ascii="Arial"/>
                <w:sz w:val="22"/>
              </w:rPr>
              <w:t>2,358,423</w:t>
            </w:r>
          </w:p>
        </w:tc>
        <w:tc>
          <w:tcPr>
            <w:tcW w:w="228" w:type="dxa"/>
            <w:tcBorders>
              <w:top w:val="nil" w:sz="6" w:space="0" w:color="auto"/>
              <w:left w:val="nil" w:sz="6" w:space="0" w:color="auto"/>
              <w:bottom w:val="nil" w:sz="6" w:space="0" w:color="auto"/>
              <w:right w:val="nil" w:sz="6" w:space="0" w:color="auto"/>
            </w:tcBorders>
          </w:tcPr>
          <w:p>
            <w:pPr/>
          </w:p>
        </w:tc>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96"/>
              <w:jc w:val="right"/>
              <w:rPr>
                <w:rFonts w:ascii="Arial" w:hAnsi="Arial" w:cs="Arial" w:eastAsia="Arial" w:hint="default"/>
                <w:sz w:val="22"/>
                <w:szCs w:val="22"/>
              </w:rPr>
            </w:pPr>
            <w:r>
              <w:rPr>
                <w:rFonts w:ascii="Arial"/>
                <w:spacing w:val="-1"/>
                <w:sz w:val="22"/>
              </w:rPr>
              <w:t>1,482,688</w:t>
            </w:r>
          </w:p>
        </w:tc>
      </w:tr>
      <w:tr>
        <w:trPr>
          <w:trHeight w:val="293" w:hRule="exact"/>
        </w:trPr>
        <w:tc>
          <w:tcPr>
            <w:tcW w:w="1971" w:type="dxa"/>
            <w:tcBorders>
              <w:top w:val="nil" w:sz="6" w:space="0" w:color="auto"/>
              <w:left w:val="nil" w:sz="6" w:space="0" w:color="auto"/>
              <w:bottom w:val="nil" w:sz="6" w:space="0" w:color="auto"/>
              <w:right w:val="nil" w:sz="6" w:space="0" w:color="auto"/>
            </w:tcBorders>
          </w:tcPr>
          <w:p>
            <w:pPr/>
          </w:p>
        </w:tc>
        <w:tc>
          <w:tcPr>
            <w:tcW w:w="3269" w:type="dxa"/>
            <w:tcBorders>
              <w:top w:val="nil" w:sz="6" w:space="0" w:color="auto"/>
              <w:left w:val="nil" w:sz="6" w:space="0" w:color="auto"/>
              <w:bottom w:val="nil" w:sz="6" w:space="0" w:color="auto"/>
              <w:right w:val="nil" w:sz="6" w:space="0" w:color="auto"/>
            </w:tcBorders>
          </w:tcPr>
          <w:p>
            <w:pPr>
              <w:pStyle w:val="TableParagraph"/>
              <w:tabs>
                <w:tab w:pos="3182" w:val="left" w:leader="none"/>
                <w:tab w:pos="4367" w:val="left" w:leader="none"/>
              </w:tabs>
              <w:spacing w:line="238" w:lineRule="exact"/>
              <w:ind w:left="455" w:right="-1100"/>
              <w:jc w:val="left"/>
              <w:rPr>
                <w:rFonts w:ascii="Arial" w:hAnsi="Arial" w:cs="Arial" w:eastAsia="Arial" w:hint="default"/>
                <w:sz w:val="22"/>
                <w:szCs w:val="22"/>
              </w:rPr>
            </w:pPr>
            <w:r>
              <w:rPr>
                <w:rFonts w:ascii="宋体" w:hAnsi="宋体" w:cs="宋体" w:eastAsia="宋体" w:hint="default"/>
                <w:position w:val="2"/>
                <w:sz w:val="22"/>
                <w:szCs w:val="22"/>
              </w:rPr>
              <w:t>其他关联法人</w:t>
              <w:tab/>
            </w:r>
            <w:r>
              <w:rPr>
                <w:rFonts w:ascii="Arial" w:hAnsi="Arial" w:cs="Arial" w:eastAsia="Arial" w:hint="default"/>
                <w:w w:val="100"/>
                <w:sz w:val="22"/>
                <w:szCs w:val="22"/>
              </w:rPr>
            </w:r>
            <w:r>
              <w:rPr>
                <w:rFonts w:ascii="Arial" w:hAnsi="Arial" w:cs="Arial" w:eastAsia="Arial" w:hint="default"/>
                <w:w w:val="100"/>
                <w:sz w:val="22"/>
                <w:szCs w:val="22"/>
                <w:u w:val="single" w:color="000000"/>
              </w:rPr>
              <w:t> </w:t>
            </w:r>
            <w:r>
              <w:rPr>
                <w:rFonts w:ascii="Arial" w:hAnsi="Arial" w:cs="Arial" w:eastAsia="Arial" w:hint="default"/>
                <w:sz w:val="22"/>
                <w:szCs w:val="22"/>
                <w:u w:val="single" w:color="000000"/>
              </w:rPr>
              <w:tab/>
            </w:r>
            <w:r>
              <w:rPr>
                <w:rFonts w:ascii="Arial" w:hAnsi="Arial" w:cs="Arial" w:eastAsia="Arial" w:hint="default"/>
                <w:sz w:val="22"/>
                <w:szCs w:val="22"/>
              </w:rPr>
            </w:r>
          </w:p>
        </w:tc>
        <w:tc>
          <w:tcPr>
            <w:tcW w:w="2184" w:type="dxa"/>
            <w:tcBorders>
              <w:top w:val="nil" w:sz="6" w:space="0" w:color="auto"/>
              <w:left w:val="nil" w:sz="6" w:space="0" w:color="auto"/>
              <w:bottom w:val="nil" w:sz="6" w:space="0" w:color="auto"/>
              <w:right w:val="nil" w:sz="6" w:space="0" w:color="auto"/>
            </w:tcBorders>
          </w:tcPr>
          <w:p>
            <w:pPr>
              <w:pStyle w:val="TableParagraph"/>
              <w:tabs>
                <w:tab w:pos="1084"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spacing w:val="-1"/>
                <w:sz w:val="22"/>
                <w:u w:val="single" w:color="000000"/>
              </w:rPr>
              <w:t>1,509,622</w:t>
              <w:tab/>
            </w:r>
            <w:r>
              <w:rPr>
                <w:rFonts w:ascii="Arial"/>
                <w:spacing w:val="-1"/>
                <w:sz w:val="22"/>
              </w:rPr>
            </w:r>
          </w:p>
        </w:tc>
        <w:tc>
          <w:tcPr>
            <w:tcW w:w="228" w:type="dxa"/>
            <w:tcBorders>
              <w:top w:val="nil" w:sz="6" w:space="0" w:color="auto"/>
              <w:left w:val="nil" w:sz="6" w:space="0" w:color="auto"/>
              <w:bottom w:val="nil" w:sz="6" w:space="0" w:color="auto"/>
              <w:right w:val="nil" w:sz="6" w:space="0" w:color="auto"/>
            </w:tcBorders>
          </w:tcPr>
          <w:p>
            <w:pPr/>
          </w:p>
        </w:tc>
        <w:tc>
          <w:tcPr>
            <w:tcW w:w="2282" w:type="dxa"/>
            <w:tcBorders>
              <w:top w:val="nil" w:sz="6" w:space="0" w:color="auto"/>
              <w:left w:val="nil" w:sz="6" w:space="0" w:color="auto"/>
              <w:bottom w:val="nil" w:sz="6" w:space="0" w:color="auto"/>
              <w:right w:val="nil" w:sz="6" w:space="0" w:color="auto"/>
            </w:tcBorders>
          </w:tcPr>
          <w:p>
            <w:pPr>
              <w:pStyle w:val="TableParagraph"/>
              <w:tabs>
                <w:tab w:pos="2102" w:val="left" w:leader="none"/>
                <w:tab w:pos="2275"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tab/>
            </w:r>
            <w:r>
              <w:rPr>
                <w:rFonts w:ascii="Arial"/>
                <w:sz w:val="22"/>
              </w:rPr>
            </w:r>
          </w:p>
        </w:tc>
      </w:tr>
      <w:tr>
        <w:trPr>
          <w:trHeight w:val="273" w:hRule="exact"/>
        </w:trPr>
        <w:tc>
          <w:tcPr>
            <w:tcW w:w="1971" w:type="dxa"/>
            <w:tcBorders>
              <w:top w:val="nil" w:sz="6" w:space="0" w:color="auto"/>
              <w:left w:val="nil" w:sz="6" w:space="0" w:color="auto"/>
              <w:bottom w:val="nil" w:sz="6" w:space="0" w:color="auto"/>
              <w:right w:val="nil" w:sz="6" w:space="0" w:color="auto"/>
            </w:tcBorders>
          </w:tcPr>
          <w:p>
            <w:pPr/>
          </w:p>
        </w:tc>
        <w:tc>
          <w:tcPr>
            <w:tcW w:w="5453" w:type="dxa"/>
            <w:gridSpan w:val="2"/>
            <w:tcBorders>
              <w:top w:val="nil" w:sz="6" w:space="0" w:color="auto"/>
              <w:left w:val="nil" w:sz="6" w:space="0" w:color="auto"/>
              <w:bottom w:val="nil" w:sz="6" w:space="0" w:color="auto"/>
              <w:right w:val="nil" w:sz="6" w:space="0" w:color="auto"/>
            </w:tcBorders>
          </w:tcPr>
          <w:p>
            <w:pPr>
              <w:pStyle w:val="TableParagraph"/>
              <w:spacing w:line="250" w:lineRule="exact"/>
              <w:ind w:right="105"/>
              <w:jc w:val="right"/>
              <w:rPr>
                <w:rFonts w:ascii="Arial" w:hAnsi="Arial" w:cs="Arial" w:eastAsia="Arial" w:hint="default"/>
                <w:sz w:val="22"/>
                <w:szCs w:val="22"/>
              </w:rPr>
            </w:pPr>
            <w:r>
              <w:rPr>
                <w:rFonts w:ascii="Arial"/>
                <w:spacing w:val="-1"/>
                <w:sz w:val="22"/>
              </w:rPr>
              <w:t>22,105,509</w:t>
            </w:r>
          </w:p>
        </w:tc>
        <w:tc>
          <w:tcPr>
            <w:tcW w:w="228" w:type="dxa"/>
            <w:tcBorders>
              <w:top w:val="nil" w:sz="6" w:space="0" w:color="auto"/>
              <w:left w:val="nil" w:sz="6" w:space="0" w:color="auto"/>
              <w:bottom w:val="nil" w:sz="6" w:space="0" w:color="auto"/>
              <w:right w:val="nil" w:sz="6" w:space="0" w:color="auto"/>
            </w:tcBorders>
          </w:tcPr>
          <w:p>
            <w:pPr/>
          </w:p>
        </w:tc>
        <w:tc>
          <w:tcPr>
            <w:tcW w:w="2282" w:type="dxa"/>
            <w:tcBorders>
              <w:top w:val="nil" w:sz="6" w:space="0" w:color="auto"/>
              <w:left w:val="nil" w:sz="6" w:space="0" w:color="auto"/>
              <w:bottom w:val="single" w:sz="17" w:space="0" w:color="000000"/>
              <w:right w:val="nil" w:sz="6" w:space="0" w:color="auto"/>
            </w:tcBorders>
          </w:tcPr>
          <w:p>
            <w:pPr>
              <w:pStyle w:val="TableParagraph"/>
              <w:spacing w:line="250" w:lineRule="exact"/>
              <w:ind w:right="96"/>
              <w:jc w:val="right"/>
              <w:rPr>
                <w:rFonts w:ascii="Arial" w:hAnsi="Arial" w:cs="Arial" w:eastAsia="Arial" w:hint="default"/>
                <w:sz w:val="22"/>
                <w:szCs w:val="22"/>
              </w:rPr>
            </w:pPr>
            <w:r>
              <w:rPr>
                <w:rFonts w:ascii="Arial"/>
                <w:spacing w:val="-1"/>
                <w:sz w:val="22"/>
              </w:rPr>
              <w:t>6,483,793</w:t>
            </w:r>
          </w:p>
        </w:tc>
      </w:tr>
      <w:tr>
        <w:trPr>
          <w:trHeight w:val="572" w:hRule="exact"/>
        </w:trPr>
        <w:tc>
          <w:tcPr>
            <w:tcW w:w="19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其他应收款</w:t>
            </w:r>
          </w:p>
        </w:tc>
        <w:tc>
          <w:tcPr>
            <w:tcW w:w="3269" w:type="dxa"/>
            <w:tcBorders>
              <w:top w:val="single" w:sz="17" w:space="0" w:color="000000"/>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446" w:right="0"/>
              <w:jc w:val="left"/>
              <w:rPr>
                <w:rFonts w:ascii="宋体" w:hAnsi="宋体" w:cs="宋体" w:eastAsia="宋体" w:hint="default"/>
                <w:sz w:val="22"/>
                <w:szCs w:val="22"/>
              </w:rPr>
            </w:pPr>
            <w:r>
              <w:rPr>
                <w:rFonts w:ascii="宋体" w:hAnsi="宋体" w:cs="宋体" w:eastAsia="宋体" w:hint="default"/>
                <w:sz w:val="22"/>
                <w:szCs w:val="22"/>
              </w:rPr>
              <w:t>联通集团及其子公司</w:t>
            </w:r>
          </w:p>
        </w:tc>
        <w:tc>
          <w:tcPr>
            <w:tcW w:w="2184" w:type="dxa"/>
            <w:tcBorders>
              <w:top w:val="single" w:sz="17" w:space="0" w:color="000000"/>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right="105"/>
              <w:jc w:val="right"/>
              <w:rPr>
                <w:rFonts w:ascii="Arial" w:hAnsi="Arial" w:cs="Arial" w:eastAsia="Arial" w:hint="default"/>
                <w:sz w:val="22"/>
                <w:szCs w:val="22"/>
              </w:rPr>
            </w:pPr>
            <w:r>
              <w:rPr>
                <w:rFonts w:ascii="Arial"/>
                <w:spacing w:val="-1"/>
                <w:sz w:val="22"/>
              </w:rPr>
              <w:t>36,661,175</w:t>
            </w:r>
          </w:p>
        </w:tc>
        <w:tc>
          <w:tcPr>
            <w:tcW w:w="228" w:type="dxa"/>
            <w:tcBorders>
              <w:top w:val="nil" w:sz="6" w:space="0" w:color="auto"/>
              <w:left w:val="nil" w:sz="6" w:space="0" w:color="auto"/>
              <w:bottom w:val="nil" w:sz="6" w:space="0" w:color="auto"/>
              <w:right w:val="nil" w:sz="6" w:space="0" w:color="auto"/>
            </w:tcBorders>
          </w:tcPr>
          <w:p>
            <w:pPr/>
          </w:p>
        </w:tc>
        <w:tc>
          <w:tcPr>
            <w:tcW w:w="2282" w:type="dxa"/>
            <w:tcBorders>
              <w:top w:val="single" w:sz="17" w:space="0" w:color="000000"/>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right="96"/>
              <w:jc w:val="right"/>
              <w:rPr>
                <w:rFonts w:ascii="Arial" w:hAnsi="Arial" w:cs="Arial" w:eastAsia="Arial" w:hint="default"/>
                <w:sz w:val="22"/>
                <w:szCs w:val="22"/>
              </w:rPr>
            </w:pPr>
            <w:r>
              <w:rPr>
                <w:rFonts w:ascii="Arial"/>
                <w:spacing w:val="-1"/>
                <w:sz w:val="22"/>
              </w:rPr>
              <w:t>43,665,511</w:t>
            </w:r>
          </w:p>
        </w:tc>
      </w:tr>
      <w:tr>
        <w:trPr>
          <w:trHeight w:val="291" w:hRule="exact"/>
        </w:trPr>
        <w:tc>
          <w:tcPr>
            <w:tcW w:w="1971" w:type="dxa"/>
            <w:tcBorders>
              <w:top w:val="nil" w:sz="6" w:space="0" w:color="auto"/>
              <w:left w:val="nil" w:sz="6" w:space="0" w:color="auto"/>
              <w:bottom w:val="nil" w:sz="6" w:space="0" w:color="auto"/>
              <w:right w:val="nil" w:sz="6" w:space="0" w:color="auto"/>
            </w:tcBorders>
          </w:tcPr>
          <w:p>
            <w:pPr/>
          </w:p>
        </w:tc>
        <w:tc>
          <w:tcPr>
            <w:tcW w:w="3269" w:type="dxa"/>
            <w:tcBorders>
              <w:top w:val="nil" w:sz="6" w:space="0" w:color="auto"/>
              <w:left w:val="nil" w:sz="6" w:space="0" w:color="auto"/>
              <w:bottom w:val="nil" w:sz="6" w:space="0" w:color="auto"/>
              <w:right w:val="nil" w:sz="6" w:space="0" w:color="auto"/>
            </w:tcBorders>
          </w:tcPr>
          <w:p>
            <w:pPr>
              <w:pStyle w:val="TableParagraph"/>
              <w:tabs>
                <w:tab w:pos="3182" w:val="left" w:leader="none"/>
                <w:tab w:pos="4243" w:val="left" w:leader="none"/>
              </w:tabs>
              <w:spacing w:line="238" w:lineRule="exact"/>
              <w:ind w:left="446" w:right="-975"/>
              <w:jc w:val="left"/>
              <w:rPr>
                <w:rFonts w:ascii="Arial" w:hAnsi="Arial" w:cs="Arial" w:eastAsia="Arial" w:hint="default"/>
                <w:sz w:val="22"/>
                <w:szCs w:val="22"/>
              </w:rPr>
            </w:pPr>
            <w:r>
              <w:rPr>
                <w:rFonts w:ascii="宋体" w:hAnsi="宋体" w:cs="宋体" w:eastAsia="宋体" w:hint="default"/>
                <w:position w:val="2"/>
                <w:sz w:val="22"/>
                <w:szCs w:val="22"/>
              </w:rPr>
              <w:t>铁塔公司</w:t>
              <w:tab/>
            </w:r>
            <w:r>
              <w:rPr>
                <w:rFonts w:ascii="Arial" w:hAnsi="Arial" w:cs="Arial" w:eastAsia="Arial" w:hint="default"/>
                <w:w w:val="100"/>
                <w:sz w:val="22"/>
                <w:szCs w:val="22"/>
              </w:rPr>
            </w:r>
            <w:r>
              <w:rPr>
                <w:rFonts w:ascii="Arial" w:hAnsi="Arial" w:cs="Arial" w:eastAsia="Arial" w:hint="default"/>
                <w:w w:val="100"/>
                <w:sz w:val="22"/>
                <w:szCs w:val="22"/>
                <w:u w:val="single" w:color="000000"/>
              </w:rPr>
              <w:t> </w:t>
            </w:r>
            <w:r>
              <w:rPr>
                <w:rFonts w:ascii="Arial" w:hAnsi="Arial" w:cs="Arial" w:eastAsia="Arial" w:hint="default"/>
                <w:sz w:val="22"/>
                <w:szCs w:val="22"/>
                <w:u w:val="single" w:color="000000"/>
              </w:rPr>
              <w:tab/>
            </w:r>
            <w:r>
              <w:rPr>
                <w:rFonts w:ascii="Arial" w:hAnsi="Arial" w:cs="Arial" w:eastAsia="Arial" w:hint="default"/>
                <w:sz w:val="22"/>
                <w:szCs w:val="22"/>
              </w:rPr>
            </w:r>
          </w:p>
        </w:tc>
        <w:tc>
          <w:tcPr>
            <w:tcW w:w="2184" w:type="dxa"/>
            <w:tcBorders>
              <w:top w:val="nil" w:sz="6" w:space="0" w:color="auto"/>
              <w:left w:val="nil" w:sz="6" w:space="0" w:color="auto"/>
              <w:bottom w:val="nil" w:sz="6" w:space="0" w:color="auto"/>
              <w:right w:val="nil" w:sz="6" w:space="0" w:color="auto"/>
            </w:tcBorders>
          </w:tcPr>
          <w:p>
            <w:pPr>
              <w:pStyle w:val="TableParagraph"/>
              <w:tabs>
                <w:tab w:pos="1209"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spacing w:val="-1"/>
                <w:sz w:val="22"/>
                <w:u w:val="single" w:color="000000"/>
              </w:rPr>
              <w:t>64,316,563</w:t>
              <w:tab/>
            </w:r>
            <w:r>
              <w:rPr>
                <w:rFonts w:ascii="Arial"/>
                <w:spacing w:val="-1"/>
                <w:sz w:val="22"/>
              </w:rPr>
            </w:r>
          </w:p>
        </w:tc>
        <w:tc>
          <w:tcPr>
            <w:tcW w:w="228" w:type="dxa"/>
            <w:tcBorders>
              <w:top w:val="nil" w:sz="6" w:space="0" w:color="auto"/>
              <w:left w:val="nil" w:sz="6" w:space="0" w:color="auto"/>
              <w:bottom w:val="nil" w:sz="6" w:space="0" w:color="auto"/>
              <w:right w:val="nil" w:sz="6" w:space="0" w:color="auto"/>
            </w:tcBorders>
          </w:tcPr>
          <w:p>
            <w:pPr/>
          </w:p>
        </w:tc>
        <w:tc>
          <w:tcPr>
            <w:tcW w:w="2282" w:type="dxa"/>
            <w:tcBorders>
              <w:top w:val="nil" w:sz="6" w:space="0" w:color="auto"/>
              <w:left w:val="nil" w:sz="6" w:space="0" w:color="auto"/>
              <w:bottom w:val="nil" w:sz="6" w:space="0" w:color="auto"/>
              <w:right w:val="nil" w:sz="6" w:space="0" w:color="auto"/>
            </w:tcBorders>
          </w:tcPr>
          <w:p>
            <w:pPr>
              <w:pStyle w:val="TableParagraph"/>
              <w:tabs>
                <w:tab w:pos="950" w:val="left" w:leader="none"/>
                <w:tab w:pos="2275"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825,312,435</w:t>
              <w:tab/>
            </w:r>
            <w:r>
              <w:rPr>
                <w:rFonts w:ascii="Arial"/>
                <w:spacing w:val="-1"/>
                <w:sz w:val="22"/>
              </w:rPr>
            </w:r>
          </w:p>
        </w:tc>
      </w:tr>
      <w:tr>
        <w:trPr>
          <w:trHeight w:val="270" w:hRule="exact"/>
        </w:trPr>
        <w:tc>
          <w:tcPr>
            <w:tcW w:w="1971" w:type="dxa"/>
            <w:tcBorders>
              <w:top w:val="nil" w:sz="6" w:space="0" w:color="auto"/>
              <w:left w:val="nil" w:sz="6" w:space="0" w:color="auto"/>
              <w:bottom w:val="nil" w:sz="6" w:space="0" w:color="auto"/>
              <w:right w:val="nil" w:sz="6" w:space="0" w:color="auto"/>
            </w:tcBorders>
          </w:tcPr>
          <w:p>
            <w:pPr/>
          </w:p>
        </w:tc>
        <w:tc>
          <w:tcPr>
            <w:tcW w:w="5453" w:type="dxa"/>
            <w:gridSpan w:val="2"/>
            <w:tcBorders>
              <w:top w:val="nil" w:sz="6" w:space="0" w:color="auto"/>
              <w:left w:val="nil" w:sz="6" w:space="0" w:color="auto"/>
              <w:bottom w:val="nil" w:sz="6" w:space="0" w:color="auto"/>
              <w:right w:val="nil" w:sz="6" w:space="0" w:color="auto"/>
            </w:tcBorders>
          </w:tcPr>
          <w:p>
            <w:pPr>
              <w:pStyle w:val="TableParagraph"/>
              <w:spacing w:line="247" w:lineRule="exact"/>
              <w:ind w:right="103"/>
              <w:jc w:val="right"/>
              <w:rPr>
                <w:rFonts w:ascii="Arial" w:hAnsi="Arial" w:cs="Arial" w:eastAsia="Arial" w:hint="default"/>
                <w:sz w:val="22"/>
                <w:szCs w:val="22"/>
              </w:rPr>
            </w:pPr>
            <w:r>
              <w:rPr>
                <w:rFonts w:ascii="Arial"/>
                <w:sz w:val="22"/>
              </w:rPr>
              <w:t>100,977,738</w:t>
            </w:r>
          </w:p>
        </w:tc>
        <w:tc>
          <w:tcPr>
            <w:tcW w:w="228" w:type="dxa"/>
            <w:tcBorders>
              <w:top w:val="nil" w:sz="6" w:space="0" w:color="auto"/>
              <w:left w:val="nil" w:sz="6" w:space="0" w:color="auto"/>
              <w:bottom w:val="nil" w:sz="6" w:space="0" w:color="auto"/>
              <w:right w:val="nil" w:sz="6" w:space="0" w:color="auto"/>
            </w:tcBorders>
          </w:tcPr>
          <w:p>
            <w:pPr/>
          </w:p>
        </w:tc>
        <w:tc>
          <w:tcPr>
            <w:tcW w:w="2282" w:type="dxa"/>
            <w:tcBorders>
              <w:top w:val="nil" w:sz="6" w:space="0" w:color="auto"/>
              <w:left w:val="nil" w:sz="6" w:space="0" w:color="auto"/>
              <w:bottom w:val="single" w:sz="17" w:space="0" w:color="000000"/>
              <w:right w:val="nil" w:sz="6" w:space="0" w:color="auto"/>
            </w:tcBorders>
          </w:tcPr>
          <w:p>
            <w:pPr>
              <w:pStyle w:val="TableParagraph"/>
              <w:spacing w:line="247" w:lineRule="exact"/>
              <w:ind w:right="96"/>
              <w:jc w:val="right"/>
              <w:rPr>
                <w:rFonts w:ascii="Arial" w:hAnsi="Arial" w:cs="Arial" w:eastAsia="Arial" w:hint="default"/>
                <w:sz w:val="22"/>
                <w:szCs w:val="22"/>
              </w:rPr>
            </w:pPr>
            <w:r>
              <w:rPr>
                <w:rFonts w:ascii="Arial"/>
                <w:spacing w:val="-1"/>
                <w:sz w:val="22"/>
              </w:rPr>
              <w:t>868,977,946</w:t>
            </w:r>
          </w:p>
        </w:tc>
      </w:tr>
      <w:tr>
        <w:trPr>
          <w:trHeight w:val="715" w:hRule="exact"/>
        </w:trPr>
        <w:tc>
          <w:tcPr>
            <w:tcW w:w="197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32"/>
                <w:szCs w:val="32"/>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其他流动资产</w:t>
            </w:r>
          </w:p>
        </w:tc>
        <w:tc>
          <w:tcPr>
            <w:tcW w:w="3269" w:type="dxa"/>
            <w:tcBorders>
              <w:top w:val="single" w:sz="17" w:space="0" w:color="000000"/>
              <w:left w:val="nil" w:sz="6" w:space="0" w:color="auto"/>
              <w:bottom w:val="single" w:sz="17" w:space="0" w:color="000000"/>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30"/>
                <w:szCs w:val="30"/>
              </w:rPr>
            </w:pPr>
          </w:p>
          <w:p>
            <w:pPr>
              <w:pStyle w:val="TableParagraph"/>
              <w:spacing w:line="240" w:lineRule="auto"/>
              <w:ind w:left="446" w:right="0"/>
              <w:jc w:val="left"/>
              <w:rPr>
                <w:rFonts w:ascii="宋体" w:hAnsi="宋体" w:cs="宋体" w:eastAsia="宋体" w:hint="default"/>
                <w:sz w:val="22"/>
                <w:szCs w:val="22"/>
              </w:rPr>
            </w:pPr>
            <w:r>
              <w:rPr>
                <w:rFonts w:ascii="宋体" w:hAnsi="宋体" w:cs="宋体" w:eastAsia="宋体" w:hint="default"/>
                <w:sz w:val="22"/>
                <w:szCs w:val="22"/>
              </w:rPr>
              <w:t>联通集团及其子公司（注</w:t>
            </w:r>
            <w:r>
              <w:rPr>
                <w:rFonts w:ascii="宋体" w:hAnsi="宋体" w:cs="宋体" w:eastAsia="宋体" w:hint="default"/>
                <w:spacing w:val="-51"/>
                <w:sz w:val="22"/>
                <w:szCs w:val="22"/>
              </w:rPr>
              <w:t> </w:t>
            </w:r>
            <w:r>
              <w:rPr>
                <w:rFonts w:ascii="Arial" w:hAnsi="Arial" w:cs="Arial" w:eastAsia="Arial" w:hint="default"/>
                <w:sz w:val="22"/>
                <w:szCs w:val="22"/>
              </w:rPr>
              <w:t>3</w:t>
            </w:r>
            <w:r>
              <w:rPr>
                <w:rFonts w:ascii="宋体" w:hAnsi="宋体" w:cs="宋体" w:eastAsia="宋体" w:hint="default"/>
                <w:sz w:val="22"/>
                <w:szCs w:val="22"/>
              </w:rPr>
              <w:t>）</w:t>
            </w:r>
          </w:p>
        </w:tc>
        <w:tc>
          <w:tcPr>
            <w:tcW w:w="2184" w:type="dxa"/>
            <w:tcBorders>
              <w:top w:val="single" w:sz="17" w:space="0" w:color="000000"/>
              <w:left w:val="nil" w:sz="6" w:space="0" w:color="auto"/>
              <w:bottom w:val="single" w:sz="17"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64"/>
              <w:ind w:right="105"/>
              <w:jc w:val="right"/>
              <w:rPr>
                <w:rFonts w:ascii="Arial" w:hAnsi="Arial" w:cs="Arial" w:eastAsia="Arial" w:hint="default"/>
                <w:sz w:val="22"/>
                <w:szCs w:val="22"/>
              </w:rPr>
            </w:pPr>
            <w:r>
              <w:rPr>
                <w:rFonts w:ascii="Arial"/>
                <w:spacing w:val="-1"/>
                <w:sz w:val="22"/>
              </w:rPr>
              <w:t>7,704,000,000</w:t>
            </w:r>
          </w:p>
        </w:tc>
        <w:tc>
          <w:tcPr>
            <w:tcW w:w="228" w:type="dxa"/>
            <w:tcBorders>
              <w:top w:val="nil" w:sz="6" w:space="0" w:color="auto"/>
              <w:left w:val="nil" w:sz="6" w:space="0" w:color="auto"/>
              <w:bottom w:val="nil" w:sz="6" w:space="0" w:color="auto"/>
              <w:right w:val="nil" w:sz="6" w:space="0" w:color="auto"/>
            </w:tcBorders>
          </w:tcPr>
          <w:p>
            <w:pPr/>
          </w:p>
        </w:tc>
        <w:tc>
          <w:tcPr>
            <w:tcW w:w="2282" w:type="dxa"/>
            <w:tcBorders>
              <w:top w:val="single" w:sz="17" w:space="0" w:color="000000"/>
              <w:left w:val="nil" w:sz="6" w:space="0" w:color="auto"/>
              <w:bottom w:val="single" w:sz="17"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64"/>
              <w:ind w:right="96"/>
              <w:jc w:val="right"/>
              <w:rPr>
                <w:rFonts w:ascii="Arial" w:hAnsi="Arial" w:cs="Arial" w:eastAsia="Arial" w:hint="default"/>
                <w:sz w:val="22"/>
                <w:szCs w:val="22"/>
              </w:rPr>
            </w:pPr>
            <w:r>
              <w:rPr>
                <w:rFonts w:ascii="Arial"/>
                <w:spacing w:val="-1"/>
                <w:sz w:val="22"/>
              </w:rPr>
              <w:t>7,404,000,000</w:t>
            </w:r>
          </w:p>
        </w:tc>
      </w:tr>
    </w:tbl>
    <w:p>
      <w:pPr>
        <w:spacing w:line="240" w:lineRule="auto" w:before="9"/>
        <w:rPr>
          <w:rFonts w:ascii="Times New Roman" w:hAnsi="Times New Roman" w:cs="Times New Roman" w:eastAsia="Times New Roman" w:hint="default"/>
          <w:sz w:val="24"/>
          <w:szCs w:val="24"/>
        </w:rPr>
      </w:pPr>
    </w:p>
    <w:tbl>
      <w:tblPr>
        <w:tblW w:w="0" w:type="auto"/>
        <w:jc w:val="left"/>
        <w:tblInd w:w="296" w:type="dxa"/>
        <w:tblLayout w:type="fixed"/>
        <w:tblCellMar>
          <w:top w:w="0" w:type="dxa"/>
          <w:left w:w="0" w:type="dxa"/>
          <w:bottom w:w="0" w:type="dxa"/>
          <w:right w:w="0" w:type="dxa"/>
        </w:tblCellMar>
        <w:tblLook w:val="01E0"/>
      </w:tblPr>
      <w:tblGrid>
        <w:gridCol w:w="1755"/>
        <w:gridCol w:w="3408"/>
        <w:gridCol w:w="2251"/>
        <w:gridCol w:w="269"/>
        <w:gridCol w:w="2242"/>
      </w:tblGrid>
      <w:tr>
        <w:trPr>
          <w:trHeight w:val="265" w:hRule="exact"/>
        </w:trPr>
        <w:tc>
          <w:tcPr>
            <w:tcW w:w="1755" w:type="dxa"/>
            <w:tcBorders>
              <w:top w:val="nil" w:sz="6" w:space="0" w:color="auto"/>
              <w:left w:val="nil" w:sz="6" w:space="0" w:color="auto"/>
              <w:bottom w:val="nil" w:sz="6" w:space="0" w:color="auto"/>
              <w:right w:val="nil" w:sz="6" w:space="0" w:color="auto"/>
            </w:tcBorders>
          </w:tcPr>
          <w:p>
            <w:pPr>
              <w:pStyle w:val="TableParagraph"/>
              <w:spacing w:line="221" w:lineRule="exact"/>
              <w:ind w:left="200" w:right="0"/>
              <w:jc w:val="left"/>
              <w:rPr>
                <w:rFonts w:ascii="宋体" w:hAnsi="宋体" w:cs="宋体" w:eastAsia="宋体" w:hint="default"/>
                <w:sz w:val="22"/>
                <w:szCs w:val="22"/>
              </w:rPr>
            </w:pPr>
            <w:r>
              <w:rPr>
                <w:rFonts w:ascii="宋体" w:hAnsi="宋体" w:cs="宋体" w:eastAsia="宋体" w:hint="default"/>
                <w:sz w:val="22"/>
                <w:szCs w:val="22"/>
              </w:rPr>
              <w:t>应付账款</w:t>
            </w:r>
          </w:p>
        </w:tc>
        <w:tc>
          <w:tcPr>
            <w:tcW w:w="3408" w:type="dxa"/>
            <w:tcBorders>
              <w:top w:val="nil" w:sz="6" w:space="0" w:color="auto"/>
              <w:left w:val="nil" w:sz="6" w:space="0" w:color="auto"/>
              <w:bottom w:val="nil" w:sz="6" w:space="0" w:color="auto"/>
              <w:right w:val="nil" w:sz="6" w:space="0" w:color="auto"/>
            </w:tcBorders>
          </w:tcPr>
          <w:p>
            <w:pPr>
              <w:pStyle w:val="TableParagraph"/>
              <w:spacing w:line="221" w:lineRule="exact"/>
              <w:ind w:left="672" w:right="0"/>
              <w:jc w:val="left"/>
              <w:rPr>
                <w:rFonts w:ascii="宋体" w:hAnsi="宋体" w:cs="宋体" w:eastAsia="宋体" w:hint="default"/>
                <w:sz w:val="22"/>
                <w:szCs w:val="22"/>
              </w:rPr>
            </w:pPr>
            <w:r>
              <w:rPr>
                <w:rFonts w:ascii="宋体" w:hAnsi="宋体" w:cs="宋体" w:eastAsia="宋体" w:hint="default"/>
                <w:sz w:val="22"/>
                <w:szCs w:val="22"/>
              </w:rPr>
              <w:t>联通集团及其子公司</w:t>
            </w:r>
          </w:p>
        </w:tc>
        <w:tc>
          <w:tcPr>
            <w:tcW w:w="2251" w:type="dxa"/>
            <w:tcBorders>
              <w:top w:val="nil" w:sz="6" w:space="0" w:color="auto"/>
              <w:left w:val="nil" w:sz="6" w:space="0" w:color="auto"/>
              <w:bottom w:val="nil" w:sz="6" w:space="0" w:color="auto"/>
              <w:right w:val="nil" w:sz="6" w:space="0" w:color="auto"/>
            </w:tcBorders>
          </w:tcPr>
          <w:p>
            <w:pPr>
              <w:pStyle w:val="TableParagraph"/>
              <w:spacing w:line="251" w:lineRule="exact"/>
              <w:ind w:right="105"/>
              <w:jc w:val="right"/>
              <w:rPr>
                <w:rFonts w:ascii="Arial" w:hAnsi="Arial" w:cs="Arial" w:eastAsia="Arial" w:hint="default"/>
                <w:sz w:val="22"/>
                <w:szCs w:val="22"/>
              </w:rPr>
            </w:pPr>
            <w:r>
              <w:rPr>
                <w:rFonts w:ascii="Arial"/>
                <w:spacing w:val="-1"/>
                <w:sz w:val="22"/>
              </w:rPr>
              <w:t>1,621,066,349</w:t>
            </w:r>
          </w:p>
        </w:tc>
        <w:tc>
          <w:tcPr>
            <w:tcW w:w="269" w:type="dxa"/>
            <w:tcBorders>
              <w:top w:val="nil" w:sz="6" w:space="0" w:color="auto"/>
              <w:left w:val="nil" w:sz="6" w:space="0" w:color="auto"/>
              <w:bottom w:val="nil" w:sz="6" w:space="0" w:color="auto"/>
              <w:right w:val="nil" w:sz="6" w:space="0" w:color="auto"/>
            </w:tcBorders>
          </w:tcPr>
          <w:p>
            <w:pPr/>
          </w:p>
        </w:tc>
        <w:tc>
          <w:tcPr>
            <w:tcW w:w="2242" w:type="dxa"/>
            <w:tcBorders>
              <w:top w:val="nil" w:sz="6" w:space="0" w:color="auto"/>
              <w:left w:val="nil" w:sz="6" w:space="0" w:color="auto"/>
              <w:bottom w:val="nil" w:sz="6" w:space="0" w:color="auto"/>
              <w:right w:val="nil" w:sz="6" w:space="0" w:color="auto"/>
            </w:tcBorders>
          </w:tcPr>
          <w:p>
            <w:pPr>
              <w:pStyle w:val="TableParagraph"/>
              <w:spacing w:line="251" w:lineRule="exact"/>
              <w:ind w:left="729" w:right="0"/>
              <w:jc w:val="left"/>
              <w:rPr>
                <w:rFonts w:ascii="Arial" w:hAnsi="Arial" w:cs="Arial" w:eastAsia="Arial" w:hint="default"/>
                <w:sz w:val="22"/>
                <w:szCs w:val="22"/>
              </w:rPr>
            </w:pPr>
            <w:r>
              <w:rPr>
                <w:rFonts w:ascii="Arial"/>
                <w:sz w:val="22"/>
              </w:rPr>
              <w:t>2,390,364,020</w:t>
            </w:r>
          </w:p>
        </w:tc>
      </w:tr>
      <w:tr>
        <w:trPr>
          <w:trHeight w:val="288" w:hRule="exact"/>
        </w:trPr>
        <w:tc>
          <w:tcPr>
            <w:tcW w:w="1755" w:type="dxa"/>
            <w:tcBorders>
              <w:top w:val="nil" w:sz="6" w:space="0" w:color="auto"/>
              <w:left w:val="nil" w:sz="6" w:space="0" w:color="auto"/>
              <w:bottom w:val="nil" w:sz="6" w:space="0" w:color="auto"/>
              <w:right w:val="nil" w:sz="6" w:space="0" w:color="auto"/>
            </w:tcBorders>
          </w:tcPr>
          <w:p>
            <w:pPr/>
          </w:p>
        </w:tc>
        <w:tc>
          <w:tcPr>
            <w:tcW w:w="3408" w:type="dxa"/>
            <w:tcBorders>
              <w:top w:val="nil" w:sz="6" w:space="0" w:color="auto"/>
              <w:left w:val="nil" w:sz="6" w:space="0" w:color="auto"/>
              <w:bottom w:val="nil" w:sz="6" w:space="0" w:color="auto"/>
              <w:right w:val="nil" w:sz="6" w:space="0" w:color="auto"/>
            </w:tcBorders>
          </w:tcPr>
          <w:p>
            <w:pPr>
              <w:pStyle w:val="TableParagraph"/>
              <w:spacing w:line="255" w:lineRule="exact"/>
              <w:ind w:left="672" w:right="0"/>
              <w:jc w:val="left"/>
              <w:rPr>
                <w:rFonts w:ascii="宋体" w:hAnsi="宋体" w:cs="宋体" w:eastAsia="宋体" w:hint="default"/>
                <w:sz w:val="22"/>
                <w:szCs w:val="22"/>
              </w:rPr>
            </w:pPr>
            <w:r>
              <w:rPr>
                <w:rFonts w:ascii="宋体" w:hAnsi="宋体" w:cs="宋体" w:eastAsia="宋体" w:hint="default"/>
                <w:sz w:val="22"/>
                <w:szCs w:val="22"/>
              </w:rPr>
              <w:t>铁塔公司（注</w:t>
            </w:r>
            <w:r>
              <w:rPr>
                <w:rFonts w:ascii="宋体" w:hAnsi="宋体" w:cs="宋体" w:eastAsia="宋体" w:hint="default"/>
                <w:spacing w:val="-50"/>
                <w:sz w:val="22"/>
                <w:szCs w:val="22"/>
              </w:rPr>
              <w:t> </w:t>
            </w:r>
            <w:r>
              <w:rPr>
                <w:rFonts w:ascii="Arial" w:hAnsi="Arial" w:cs="Arial" w:eastAsia="Arial" w:hint="default"/>
                <w:sz w:val="22"/>
                <w:szCs w:val="22"/>
              </w:rPr>
              <w:t>4</w:t>
            </w:r>
            <w:r>
              <w:rPr>
                <w:rFonts w:ascii="宋体" w:hAnsi="宋体" w:cs="宋体" w:eastAsia="宋体" w:hint="default"/>
                <w:sz w:val="22"/>
                <w:szCs w:val="22"/>
              </w:rPr>
              <w:t>）</w:t>
            </w: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1"/>
              <w:jc w:val="right"/>
              <w:rPr>
                <w:rFonts w:ascii="Arial" w:hAnsi="Arial" w:cs="Arial" w:eastAsia="Arial" w:hint="default"/>
                <w:sz w:val="22"/>
                <w:szCs w:val="22"/>
              </w:rPr>
            </w:pPr>
            <w:r>
              <w:rPr>
                <w:rFonts w:ascii="Arial"/>
                <w:spacing w:val="-1"/>
                <w:sz w:val="22"/>
              </w:rPr>
              <w:t>2,745,229,665</w:t>
            </w:r>
          </w:p>
        </w:tc>
        <w:tc>
          <w:tcPr>
            <w:tcW w:w="269" w:type="dxa"/>
            <w:tcBorders>
              <w:top w:val="nil" w:sz="6" w:space="0" w:color="auto"/>
              <w:left w:val="nil" w:sz="6" w:space="0" w:color="auto"/>
              <w:bottom w:val="nil" w:sz="6" w:space="0" w:color="auto"/>
              <w:right w:val="nil" w:sz="6" w:space="0" w:color="auto"/>
            </w:tcBorders>
          </w:tcPr>
          <w:p>
            <w:pP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21"/>
              <w:ind w:left="729" w:right="0"/>
              <w:jc w:val="left"/>
              <w:rPr>
                <w:rFonts w:ascii="Arial" w:hAnsi="Arial" w:cs="Arial" w:eastAsia="Arial" w:hint="default"/>
                <w:sz w:val="22"/>
                <w:szCs w:val="22"/>
              </w:rPr>
            </w:pPr>
            <w:r>
              <w:rPr>
                <w:rFonts w:ascii="Arial"/>
                <w:sz w:val="22"/>
              </w:rPr>
              <w:t>2,635,388,525</w:t>
            </w:r>
          </w:p>
        </w:tc>
      </w:tr>
      <w:tr>
        <w:trPr>
          <w:trHeight w:val="283" w:hRule="exact"/>
        </w:trPr>
        <w:tc>
          <w:tcPr>
            <w:tcW w:w="1755" w:type="dxa"/>
            <w:tcBorders>
              <w:top w:val="nil" w:sz="6" w:space="0" w:color="auto"/>
              <w:left w:val="nil" w:sz="6" w:space="0" w:color="auto"/>
              <w:bottom w:val="nil" w:sz="6" w:space="0" w:color="auto"/>
              <w:right w:val="nil" w:sz="6" w:space="0" w:color="auto"/>
            </w:tcBorders>
          </w:tcPr>
          <w:p>
            <w:pPr/>
          </w:p>
        </w:tc>
        <w:tc>
          <w:tcPr>
            <w:tcW w:w="3408" w:type="dxa"/>
            <w:tcBorders>
              <w:top w:val="nil" w:sz="6" w:space="0" w:color="auto"/>
              <w:left w:val="nil" w:sz="6" w:space="0" w:color="auto"/>
              <w:bottom w:val="nil" w:sz="6" w:space="0" w:color="auto"/>
              <w:right w:val="nil" w:sz="6" w:space="0" w:color="auto"/>
            </w:tcBorders>
          </w:tcPr>
          <w:p>
            <w:pPr>
              <w:pStyle w:val="TableParagraph"/>
              <w:spacing w:line="239" w:lineRule="exact"/>
              <w:ind w:left="672" w:right="0"/>
              <w:jc w:val="left"/>
              <w:rPr>
                <w:rFonts w:ascii="宋体" w:hAnsi="宋体" w:cs="宋体" w:eastAsia="宋体" w:hint="default"/>
                <w:sz w:val="22"/>
                <w:szCs w:val="22"/>
              </w:rPr>
            </w:pPr>
            <w:r>
              <w:rPr>
                <w:rFonts w:ascii="宋体" w:hAnsi="宋体" w:cs="宋体" w:eastAsia="宋体" w:hint="default"/>
                <w:sz w:val="22"/>
                <w:szCs w:val="22"/>
              </w:rPr>
              <w:t>其他合营和联营企业</w:t>
            </w: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3"/>
              <w:jc w:val="right"/>
              <w:rPr>
                <w:rFonts w:ascii="Arial" w:hAnsi="Arial" w:cs="Arial" w:eastAsia="Arial" w:hint="default"/>
                <w:sz w:val="22"/>
                <w:szCs w:val="22"/>
              </w:rPr>
            </w:pPr>
            <w:r>
              <w:rPr>
                <w:rFonts w:ascii="Arial"/>
                <w:sz w:val="22"/>
              </w:rPr>
              <w:t>4,506,883</w:t>
            </w:r>
          </w:p>
        </w:tc>
        <w:tc>
          <w:tcPr>
            <w:tcW w:w="269" w:type="dxa"/>
            <w:tcBorders>
              <w:top w:val="nil" w:sz="6" w:space="0" w:color="auto"/>
              <w:left w:val="nil" w:sz="6" w:space="0" w:color="auto"/>
              <w:bottom w:val="nil" w:sz="6" w:space="0" w:color="auto"/>
              <w:right w:val="nil" w:sz="6" w:space="0" w:color="auto"/>
            </w:tcBorders>
          </w:tcPr>
          <w:p>
            <w:pP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156" w:right="0"/>
              <w:jc w:val="left"/>
              <w:rPr>
                <w:rFonts w:ascii="Arial" w:hAnsi="Arial" w:cs="Arial" w:eastAsia="Arial" w:hint="default"/>
                <w:sz w:val="22"/>
                <w:szCs w:val="22"/>
              </w:rPr>
            </w:pPr>
            <w:r>
              <w:rPr>
                <w:rFonts w:ascii="Arial"/>
                <w:sz w:val="22"/>
              </w:rPr>
              <w:t>9,407,196</w:t>
            </w:r>
          </w:p>
        </w:tc>
      </w:tr>
      <w:tr>
        <w:trPr>
          <w:trHeight w:val="291" w:hRule="exact"/>
        </w:trPr>
        <w:tc>
          <w:tcPr>
            <w:tcW w:w="1755" w:type="dxa"/>
            <w:tcBorders>
              <w:top w:val="nil" w:sz="6" w:space="0" w:color="auto"/>
              <w:left w:val="nil" w:sz="6" w:space="0" w:color="auto"/>
              <w:bottom w:val="nil" w:sz="6" w:space="0" w:color="auto"/>
              <w:right w:val="nil" w:sz="6" w:space="0" w:color="auto"/>
            </w:tcBorders>
          </w:tcPr>
          <w:p>
            <w:pPr/>
          </w:p>
        </w:tc>
        <w:tc>
          <w:tcPr>
            <w:tcW w:w="3408" w:type="dxa"/>
            <w:tcBorders>
              <w:top w:val="nil" w:sz="6" w:space="0" w:color="auto"/>
              <w:left w:val="nil" w:sz="6" w:space="0" w:color="auto"/>
              <w:bottom w:val="nil" w:sz="6" w:space="0" w:color="auto"/>
              <w:right w:val="nil" w:sz="6" w:space="0" w:color="auto"/>
            </w:tcBorders>
          </w:tcPr>
          <w:p>
            <w:pPr>
              <w:pStyle w:val="TableParagraph"/>
              <w:spacing w:line="239" w:lineRule="exact"/>
              <w:ind w:left="672" w:right="0"/>
              <w:jc w:val="left"/>
              <w:rPr>
                <w:rFonts w:ascii="宋体" w:hAnsi="宋体" w:cs="宋体" w:eastAsia="宋体" w:hint="default"/>
                <w:sz w:val="22"/>
                <w:szCs w:val="22"/>
              </w:rPr>
            </w:pPr>
            <w:r>
              <w:rPr>
                <w:rFonts w:ascii="宋体" w:hAnsi="宋体" w:cs="宋体" w:eastAsia="宋体" w:hint="default"/>
                <w:sz w:val="22"/>
                <w:szCs w:val="22"/>
              </w:rPr>
              <w:t>其他关联法人</w:t>
            </w:r>
          </w:p>
        </w:tc>
        <w:tc>
          <w:tcPr>
            <w:tcW w:w="2251" w:type="dxa"/>
            <w:tcBorders>
              <w:top w:val="nil" w:sz="6" w:space="0" w:color="auto"/>
              <w:left w:val="nil" w:sz="6" w:space="0" w:color="auto"/>
              <w:bottom w:val="nil" w:sz="6" w:space="0" w:color="auto"/>
              <w:right w:val="nil" w:sz="6" w:space="0" w:color="auto"/>
            </w:tcBorders>
          </w:tcPr>
          <w:p>
            <w:pPr>
              <w:pStyle w:val="TableParagraph"/>
              <w:tabs>
                <w:tab w:pos="902" w:val="left" w:leader="none"/>
                <w:tab w:pos="2236"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145,522,756</w:t>
              <w:tab/>
            </w:r>
            <w:r>
              <w:rPr>
                <w:rFonts w:ascii="Arial"/>
                <w:spacing w:val="-1"/>
                <w:sz w:val="22"/>
              </w:rPr>
            </w:r>
          </w:p>
        </w:tc>
        <w:tc>
          <w:tcPr>
            <w:tcW w:w="269" w:type="dxa"/>
            <w:tcBorders>
              <w:top w:val="nil" w:sz="6" w:space="0" w:color="auto"/>
              <w:left w:val="nil" w:sz="6" w:space="0" w:color="auto"/>
              <w:bottom w:val="nil" w:sz="6" w:space="0" w:color="auto"/>
              <w:right w:val="nil" w:sz="6" w:space="0" w:color="auto"/>
            </w:tcBorders>
          </w:tcPr>
          <w:p>
            <w:pPr/>
          </w:p>
        </w:tc>
        <w:tc>
          <w:tcPr>
            <w:tcW w:w="2242" w:type="dxa"/>
            <w:tcBorders>
              <w:top w:val="nil" w:sz="6" w:space="0" w:color="auto"/>
              <w:left w:val="nil" w:sz="6" w:space="0" w:color="auto"/>
              <w:bottom w:val="nil" w:sz="6" w:space="0" w:color="auto"/>
              <w:right w:val="nil" w:sz="6" w:space="0" w:color="auto"/>
            </w:tcBorders>
          </w:tcPr>
          <w:p>
            <w:pPr>
              <w:pStyle w:val="TableParagraph"/>
              <w:tabs>
                <w:tab w:pos="907" w:val="left" w:leader="none"/>
                <w:tab w:pos="2241" w:val="left" w:leader="none"/>
              </w:tabs>
              <w:spacing w:line="240" w:lineRule="auto" w:before="21"/>
              <w:ind w:left="14"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106,249,590</w:t>
              <w:tab/>
            </w:r>
            <w:r>
              <w:rPr>
                <w:rFonts w:ascii="Arial"/>
                <w:sz w:val="22"/>
              </w:rPr>
            </w:r>
          </w:p>
        </w:tc>
      </w:tr>
      <w:tr>
        <w:trPr>
          <w:trHeight w:val="275" w:hRule="exact"/>
        </w:trPr>
        <w:tc>
          <w:tcPr>
            <w:tcW w:w="1755" w:type="dxa"/>
            <w:tcBorders>
              <w:top w:val="nil" w:sz="6" w:space="0" w:color="auto"/>
              <w:left w:val="nil" w:sz="6" w:space="0" w:color="auto"/>
              <w:bottom w:val="nil" w:sz="6" w:space="0" w:color="auto"/>
              <w:right w:val="nil" w:sz="6" w:space="0" w:color="auto"/>
            </w:tcBorders>
          </w:tcPr>
          <w:p>
            <w:pPr/>
          </w:p>
        </w:tc>
        <w:tc>
          <w:tcPr>
            <w:tcW w:w="3408"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single" w:sz="17" w:space="0" w:color="000000"/>
              <w:right w:val="nil" w:sz="6" w:space="0" w:color="auto"/>
            </w:tcBorders>
          </w:tcPr>
          <w:p>
            <w:pPr>
              <w:pStyle w:val="TableParagraph"/>
              <w:spacing w:line="247" w:lineRule="exact"/>
              <w:ind w:right="101"/>
              <w:jc w:val="right"/>
              <w:rPr>
                <w:rFonts w:ascii="Arial" w:hAnsi="Arial" w:cs="Arial" w:eastAsia="Arial" w:hint="default"/>
                <w:sz w:val="22"/>
                <w:szCs w:val="22"/>
              </w:rPr>
            </w:pPr>
            <w:r>
              <w:rPr>
                <w:rFonts w:ascii="Arial"/>
                <w:spacing w:val="-1"/>
                <w:sz w:val="22"/>
              </w:rPr>
              <w:t>4,516,325,653</w:t>
            </w:r>
          </w:p>
        </w:tc>
        <w:tc>
          <w:tcPr>
            <w:tcW w:w="269" w:type="dxa"/>
            <w:tcBorders>
              <w:top w:val="nil" w:sz="6" w:space="0" w:color="auto"/>
              <w:left w:val="nil" w:sz="6" w:space="0" w:color="auto"/>
              <w:bottom w:val="nil" w:sz="6" w:space="0" w:color="auto"/>
              <w:right w:val="nil" w:sz="6" w:space="0" w:color="auto"/>
            </w:tcBorders>
          </w:tcPr>
          <w:p>
            <w:pPr/>
          </w:p>
        </w:tc>
        <w:tc>
          <w:tcPr>
            <w:tcW w:w="2242" w:type="dxa"/>
            <w:tcBorders>
              <w:top w:val="nil" w:sz="6" w:space="0" w:color="auto"/>
              <w:left w:val="nil" w:sz="6" w:space="0" w:color="auto"/>
              <w:bottom w:val="single" w:sz="17" w:space="0" w:color="000000"/>
              <w:right w:val="nil" w:sz="6" w:space="0" w:color="auto"/>
            </w:tcBorders>
          </w:tcPr>
          <w:p>
            <w:pPr>
              <w:pStyle w:val="TableParagraph"/>
              <w:spacing w:line="247" w:lineRule="exact"/>
              <w:ind w:left="729" w:right="0"/>
              <w:jc w:val="left"/>
              <w:rPr>
                <w:rFonts w:ascii="Arial" w:hAnsi="Arial" w:cs="Arial" w:eastAsia="Arial" w:hint="default"/>
                <w:sz w:val="22"/>
                <w:szCs w:val="22"/>
              </w:rPr>
            </w:pPr>
            <w:r>
              <w:rPr>
                <w:rFonts w:ascii="Arial"/>
                <w:sz w:val="22"/>
              </w:rPr>
              <w:t>5,141,409,331</w:t>
            </w:r>
          </w:p>
        </w:tc>
      </w:tr>
    </w:tbl>
    <w:p>
      <w:pPr>
        <w:spacing w:after="0" w:line="247" w:lineRule="exact"/>
        <w:jc w:val="left"/>
        <w:rPr>
          <w:rFonts w:ascii="Arial" w:hAnsi="Arial" w:cs="Arial" w:eastAsia="Arial" w:hint="default"/>
          <w:sz w:val="22"/>
          <w:szCs w:val="22"/>
        </w:rPr>
        <w:sectPr>
          <w:headerReference w:type="default" r:id="rId228"/>
          <w:pgSz w:w="11910" w:h="16840"/>
          <w:pgMar w:header="1183" w:footer="502" w:top="3620" w:bottom="700" w:left="1020" w:right="540"/>
        </w:sectPr>
      </w:pPr>
    </w:p>
    <w:p>
      <w:pPr>
        <w:spacing w:line="240" w:lineRule="auto" w:before="11"/>
        <w:rPr>
          <w:rFonts w:ascii="Times New Roman" w:hAnsi="Times New Roman" w:cs="Times New Roman" w:eastAsia="Times New Roman" w:hint="default"/>
          <w:sz w:val="24"/>
          <w:szCs w:val="24"/>
        </w:rPr>
      </w:pPr>
    </w:p>
    <w:tbl>
      <w:tblPr>
        <w:tblW w:w="0" w:type="auto"/>
        <w:jc w:val="left"/>
        <w:tblInd w:w="301" w:type="dxa"/>
        <w:tblLayout w:type="fixed"/>
        <w:tblCellMar>
          <w:top w:w="0" w:type="dxa"/>
          <w:left w:w="0" w:type="dxa"/>
          <w:bottom w:w="0" w:type="dxa"/>
          <w:right w:w="0" w:type="dxa"/>
        </w:tblCellMar>
        <w:tblLook w:val="01E0"/>
      </w:tblPr>
      <w:tblGrid>
        <w:gridCol w:w="2514"/>
        <w:gridCol w:w="2837"/>
        <w:gridCol w:w="2016"/>
        <w:gridCol w:w="228"/>
        <w:gridCol w:w="2066"/>
      </w:tblGrid>
      <w:tr>
        <w:trPr>
          <w:trHeight w:val="257" w:hRule="exact"/>
        </w:trPr>
        <w:tc>
          <w:tcPr>
            <w:tcW w:w="7366" w:type="dxa"/>
            <w:gridSpan w:val="3"/>
            <w:tcBorders>
              <w:top w:val="nil" w:sz="6" w:space="0" w:color="auto"/>
              <w:left w:val="nil" w:sz="6" w:space="0" w:color="auto"/>
              <w:bottom w:val="nil" w:sz="6" w:space="0" w:color="auto"/>
              <w:right w:val="nil" w:sz="6" w:space="0" w:color="auto"/>
            </w:tcBorders>
          </w:tcPr>
          <w:p>
            <w:pPr>
              <w:pStyle w:val="TableParagraph"/>
              <w:spacing w:line="236" w:lineRule="exact"/>
              <w:ind w:right="98"/>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24"/>
                <w:sz w:val="22"/>
                <w:szCs w:val="22"/>
              </w:rPr>
              <w:t> </w:t>
            </w:r>
            <w:r>
              <w:rPr>
                <w:rFonts w:ascii="宋体" w:hAnsi="宋体" w:cs="宋体" w:eastAsia="宋体" w:hint="default"/>
                <w:sz w:val="22"/>
                <w:szCs w:val="22"/>
              </w:rPr>
              <w:t>年</w:t>
            </w:r>
            <w:r>
              <w:rPr>
                <w:rFonts w:ascii="宋体" w:hAnsi="宋体" w:cs="宋体" w:eastAsia="宋体" w:hint="default"/>
                <w:spacing w:val="-81"/>
                <w:sz w:val="22"/>
                <w:szCs w:val="22"/>
              </w:rPr>
              <w:t> </w:t>
            </w:r>
            <w:r>
              <w:rPr>
                <w:rFonts w:ascii="Arial" w:hAnsi="Arial" w:cs="Arial" w:eastAsia="Arial" w:hint="default"/>
                <w:sz w:val="22"/>
                <w:szCs w:val="22"/>
              </w:rPr>
              <w:t>12</w:t>
            </w:r>
            <w:r>
              <w:rPr>
                <w:rFonts w:ascii="Arial" w:hAnsi="Arial" w:cs="Arial" w:eastAsia="Arial" w:hint="default"/>
                <w:spacing w:val="-24"/>
                <w:sz w:val="22"/>
                <w:szCs w:val="22"/>
              </w:rPr>
              <w:t> </w:t>
            </w:r>
            <w:r>
              <w:rPr>
                <w:rFonts w:ascii="宋体" w:hAnsi="宋体" w:cs="宋体" w:eastAsia="宋体" w:hint="default"/>
                <w:sz w:val="22"/>
                <w:szCs w:val="22"/>
              </w:rPr>
              <w:t>月</w:t>
            </w:r>
            <w:r>
              <w:rPr>
                <w:rFonts w:ascii="宋体" w:hAnsi="宋体" w:cs="宋体" w:eastAsia="宋体" w:hint="default"/>
                <w:spacing w:val="-81"/>
                <w:sz w:val="22"/>
                <w:szCs w:val="22"/>
              </w:rPr>
              <w:t> </w:t>
            </w:r>
            <w:r>
              <w:rPr>
                <w:rFonts w:ascii="Arial" w:hAnsi="Arial" w:cs="Arial" w:eastAsia="Arial" w:hint="default"/>
                <w:sz w:val="22"/>
                <w:szCs w:val="22"/>
              </w:rPr>
              <w:t>31</w:t>
            </w:r>
            <w:r>
              <w:rPr>
                <w:rFonts w:ascii="Arial" w:hAnsi="Arial" w:cs="Arial" w:eastAsia="Arial" w:hint="default"/>
                <w:spacing w:val="-24"/>
                <w:sz w:val="22"/>
                <w:szCs w:val="22"/>
              </w:rPr>
              <w:t> </w:t>
            </w:r>
            <w:r>
              <w:rPr>
                <w:rFonts w:ascii="宋体" w:hAnsi="宋体" w:cs="宋体" w:eastAsia="宋体" w:hint="default"/>
                <w:sz w:val="22"/>
                <w:szCs w:val="22"/>
              </w:rPr>
              <w:t>日</w:t>
            </w:r>
          </w:p>
        </w:tc>
        <w:tc>
          <w:tcPr>
            <w:tcW w:w="228" w:type="dxa"/>
            <w:tcBorders>
              <w:top w:val="nil" w:sz="6" w:space="0" w:color="auto"/>
              <w:left w:val="nil" w:sz="6" w:space="0" w:color="auto"/>
              <w:bottom w:val="nil" w:sz="6" w:space="0" w:color="auto"/>
              <w:right w:val="nil" w:sz="6" w:space="0" w:color="auto"/>
            </w:tcBorders>
          </w:tcPr>
          <w:p>
            <w:pPr/>
          </w:p>
        </w:tc>
        <w:tc>
          <w:tcPr>
            <w:tcW w:w="2066" w:type="dxa"/>
            <w:tcBorders>
              <w:top w:val="nil" w:sz="6" w:space="0" w:color="auto"/>
              <w:left w:val="nil" w:sz="6" w:space="0" w:color="auto"/>
              <w:bottom w:val="single" w:sz="4" w:space="0" w:color="000000"/>
              <w:right w:val="nil" w:sz="6" w:space="0" w:color="auto"/>
            </w:tcBorders>
          </w:tcPr>
          <w:p>
            <w:pPr>
              <w:pStyle w:val="TableParagraph"/>
              <w:spacing w:line="236" w:lineRule="exact"/>
              <w:ind w:left="117"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17"/>
                <w:sz w:val="22"/>
                <w:szCs w:val="22"/>
              </w:rPr>
              <w:t> </w:t>
            </w:r>
            <w:r>
              <w:rPr>
                <w:rFonts w:ascii="宋体" w:hAnsi="宋体" w:cs="宋体" w:eastAsia="宋体" w:hint="default"/>
                <w:sz w:val="22"/>
                <w:szCs w:val="22"/>
              </w:rPr>
              <w:t>年</w:t>
            </w:r>
            <w:r>
              <w:rPr>
                <w:rFonts w:ascii="宋体" w:hAnsi="宋体" w:cs="宋体" w:eastAsia="宋体" w:hint="default"/>
                <w:spacing w:val="-73"/>
                <w:sz w:val="22"/>
                <w:szCs w:val="22"/>
              </w:rPr>
              <w:t> </w:t>
            </w:r>
            <w:r>
              <w:rPr>
                <w:rFonts w:ascii="Arial" w:hAnsi="Arial" w:cs="Arial" w:eastAsia="Arial" w:hint="default"/>
                <w:sz w:val="22"/>
                <w:szCs w:val="22"/>
              </w:rPr>
              <w:t>12</w:t>
            </w:r>
            <w:r>
              <w:rPr>
                <w:rFonts w:ascii="Arial" w:hAnsi="Arial" w:cs="Arial" w:eastAsia="Arial" w:hint="default"/>
                <w:spacing w:val="-17"/>
                <w:sz w:val="22"/>
                <w:szCs w:val="22"/>
              </w:rPr>
              <w:t> </w:t>
            </w:r>
            <w:r>
              <w:rPr>
                <w:rFonts w:ascii="宋体" w:hAnsi="宋体" w:cs="宋体" w:eastAsia="宋体" w:hint="default"/>
                <w:sz w:val="22"/>
                <w:szCs w:val="22"/>
              </w:rPr>
              <w:t>月</w:t>
            </w:r>
            <w:r>
              <w:rPr>
                <w:rFonts w:ascii="宋体" w:hAnsi="宋体" w:cs="宋体" w:eastAsia="宋体" w:hint="default"/>
                <w:spacing w:val="-73"/>
                <w:sz w:val="22"/>
                <w:szCs w:val="22"/>
              </w:rPr>
              <w:t> </w:t>
            </w:r>
            <w:r>
              <w:rPr>
                <w:rFonts w:ascii="Arial" w:hAnsi="Arial" w:cs="Arial" w:eastAsia="Arial" w:hint="default"/>
                <w:sz w:val="22"/>
                <w:szCs w:val="22"/>
              </w:rPr>
              <w:t>31</w:t>
            </w:r>
            <w:r>
              <w:rPr>
                <w:rFonts w:ascii="Arial" w:hAnsi="Arial" w:cs="Arial" w:eastAsia="Arial" w:hint="default"/>
                <w:spacing w:val="-17"/>
                <w:sz w:val="22"/>
                <w:szCs w:val="22"/>
              </w:rPr>
              <w:t> </w:t>
            </w:r>
            <w:r>
              <w:rPr>
                <w:rFonts w:ascii="宋体" w:hAnsi="宋体" w:cs="宋体" w:eastAsia="宋体" w:hint="default"/>
                <w:sz w:val="22"/>
                <w:szCs w:val="22"/>
              </w:rPr>
              <w:t>日</w:t>
            </w:r>
          </w:p>
        </w:tc>
      </w:tr>
      <w:tr>
        <w:trPr>
          <w:trHeight w:val="555"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其他应付款</w:t>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left="110" w:right="0"/>
              <w:jc w:val="left"/>
              <w:rPr>
                <w:rFonts w:ascii="宋体" w:hAnsi="宋体" w:cs="宋体" w:eastAsia="宋体" w:hint="default"/>
                <w:sz w:val="22"/>
                <w:szCs w:val="22"/>
              </w:rPr>
            </w:pPr>
            <w:r>
              <w:rPr>
                <w:rFonts w:ascii="宋体" w:hAnsi="宋体" w:cs="宋体" w:eastAsia="宋体" w:hint="default"/>
                <w:w w:val="100"/>
                <w:sz w:val="22"/>
                <w:szCs w:val="22"/>
              </w:rPr>
              <w:t>联通集团及其子</w:t>
            </w:r>
            <w:r>
              <w:rPr>
                <w:rFonts w:ascii="宋体" w:hAnsi="宋体" w:cs="宋体" w:eastAsia="宋体" w:hint="default"/>
                <w:spacing w:val="-5"/>
                <w:w w:val="100"/>
                <w:sz w:val="22"/>
                <w:szCs w:val="22"/>
              </w:rPr>
              <w:t>公</w:t>
            </w:r>
            <w:r>
              <w:rPr>
                <w:rFonts w:ascii="宋体" w:hAnsi="宋体" w:cs="宋体" w:eastAsia="宋体" w:hint="default"/>
                <w:spacing w:val="-96"/>
                <w:w w:val="100"/>
                <w:sz w:val="22"/>
                <w:szCs w:val="22"/>
              </w:rPr>
              <w:t>司</w:t>
            </w:r>
            <w:r>
              <w:rPr>
                <w:rFonts w:ascii="宋体" w:hAnsi="宋体" w:cs="宋体" w:eastAsia="宋体" w:hint="default"/>
                <w:w w:val="100"/>
                <w:sz w:val="22"/>
                <w:szCs w:val="22"/>
              </w:rPr>
              <w:t>（注</w:t>
            </w:r>
            <w:r>
              <w:rPr>
                <w:rFonts w:ascii="宋体" w:hAnsi="宋体" w:cs="宋体" w:eastAsia="宋体" w:hint="default"/>
                <w:spacing w:val="-58"/>
                <w:sz w:val="22"/>
                <w:szCs w:val="22"/>
              </w:rPr>
              <w:t> </w:t>
            </w:r>
            <w:r>
              <w:rPr>
                <w:rFonts w:ascii="Arial" w:hAnsi="Arial" w:cs="Arial" w:eastAsia="Arial" w:hint="default"/>
                <w:spacing w:val="2"/>
                <w:w w:val="100"/>
                <w:sz w:val="22"/>
                <w:szCs w:val="22"/>
              </w:rPr>
              <w:t>2</w:t>
            </w:r>
            <w:r>
              <w:rPr>
                <w:rFonts w:ascii="宋体" w:hAnsi="宋体" w:cs="宋体" w:eastAsia="宋体" w:hint="default"/>
                <w:w w:val="100"/>
                <w:sz w:val="22"/>
                <w:szCs w:val="22"/>
              </w:rPr>
              <w:t>）</w:t>
            </w:r>
          </w:p>
        </w:tc>
        <w:tc>
          <w:tcPr>
            <w:tcW w:w="2016"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left="503" w:right="0"/>
              <w:jc w:val="left"/>
              <w:rPr>
                <w:rFonts w:ascii="Arial" w:hAnsi="Arial" w:cs="Arial" w:eastAsia="Arial" w:hint="default"/>
                <w:sz w:val="22"/>
                <w:szCs w:val="22"/>
              </w:rPr>
            </w:pPr>
            <w:r>
              <w:rPr>
                <w:rFonts w:ascii="Arial"/>
                <w:sz w:val="22"/>
              </w:rPr>
              <w:t>4,685,889,313</w:t>
            </w:r>
          </w:p>
        </w:tc>
        <w:tc>
          <w:tcPr>
            <w:tcW w:w="228" w:type="dxa"/>
            <w:tcBorders>
              <w:top w:val="nil" w:sz="6" w:space="0" w:color="auto"/>
              <w:left w:val="nil" w:sz="6" w:space="0" w:color="auto"/>
              <w:bottom w:val="nil" w:sz="6" w:space="0" w:color="auto"/>
              <w:right w:val="nil" w:sz="6" w:space="0" w:color="auto"/>
            </w:tcBorders>
          </w:tcPr>
          <w:p>
            <w:pPr/>
          </w:p>
        </w:tc>
        <w:tc>
          <w:tcPr>
            <w:tcW w:w="2066"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right="101"/>
              <w:jc w:val="right"/>
              <w:rPr>
                <w:rFonts w:ascii="Arial" w:hAnsi="Arial" w:cs="Arial" w:eastAsia="Arial" w:hint="default"/>
                <w:sz w:val="22"/>
                <w:szCs w:val="22"/>
              </w:rPr>
            </w:pPr>
            <w:r>
              <w:rPr>
                <w:rFonts w:ascii="Arial"/>
                <w:spacing w:val="-1"/>
                <w:sz w:val="22"/>
              </w:rPr>
              <w:t>4,583,470,519</w:t>
            </w:r>
          </w:p>
        </w:tc>
      </w:tr>
      <w:tr>
        <w:trPr>
          <w:trHeight w:val="288" w:hRule="exact"/>
        </w:trPr>
        <w:tc>
          <w:tcPr>
            <w:tcW w:w="2514" w:type="dxa"/>
            <w:tcBorders>
              <w:top w:val="nil" w:sz="6" w:space="0" w:color="auto"/>
              <w:left w:val="nil" w:sz="6" w:space="0" w:color="auto"/>
              <w:bottom w:val="nil" w:sz="6" w:space="0" w:color="auto"/>
              <w:right w:val="nil" w:sz="6" w:space="0" w:color="auto"/>
            </w:tcBorders>
          </w:tcPr>
          <w:p>
            <w:pPr/>
          </w:p>
        </w:tc>
        <w:tc>
          <w:tcPr>
            <w:tcW w:w="2837" w:type="dxa"/>
            <w:tcBorders>
              <w:top w:val="nil" w:sz="6" w:space="0" w:color="auto"/>
              <w:left w:val="nil" w:sz="6" w:space="0" w:color="auto"/>
              <w:bottom w:val="nil" w:sz="6" w:space="0" w:color="auto"/>
              <w:right w:val="nil" w:sz="6" w:space="0" w:color="auto"/>
            </w:tcBorders>
          </w:tcPr>
          <w:p>
            <w:pPr>
              <w:pStyle w:val="TableParagraph"/>
              <w:spacing w:line="239" w:lineRule="exact"/>
              <w:ind w:left="110" w:right="0"/>
              <w:jc w:val="left"/>
              <w:rPr>
                <w:rFonts w:ascii="宋体" w:hAnsi="宋体" w:cs="宋体" w:eastAsia="宋体" w:hint="default"/>
                <w:sz w:val="22"/>
                <w:szCs w:val="22"/>
              </w:rPr>
            </w:pPr>
            <w:r>
              <w:rPr>
                <w:rFonts w:ascii="宋体" w:hAnsi="宋体" w:cs="宋体" w:eastAsia="宋体" w:hint="default"/>
                <w:sz w:val="22"/>
                <w:szCs w:val="22"/>
              </w:rPr>
              <w:t>铁塔公司</w:t>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1"/>
              <w:ind w:left="931" w:right="0"/>
              <w:jc w:val="left"/>
              <w:rPr>
                <w:rFonts w:ascii="Arial" w:hAnsi="Arial" w:cs="Arial" w:eastAsia="Arial" w:hint="default"/>
                <w:sz w:val="22"/>
                <w:szCs w:val="22"/>
              </w:rPr>
            </w:pPr>
            <w:r>
              <w:rPr>
                <w:rFonts w:ascii="Arial"/>
                <w:sz w:val="22"/>
              </w:rPr>
              <w:t>4,137,947</w:t>
            </w:r>
          </w:p>
        </w:tc>
        <w:tc>
          <w:tcPr>
            <w:tcW w:w="228" w:type="dxa"/>
            <w:tcBorders>
              <w:top w:val="nil" w:sz="6" w:space="0" w:color="auto"/>
              <w:left w:val="nil" w:sz="6" w:space="0" w:color="auto"/>
              <w:bottom w:val="nil" w:sz="6" w:space="0" w:color="auto"/>
              <w:right w:val="nil" w:sz="6" w:space="0" w:color="auto"/>
            </w:tcBorders>
          </w:tcPr>
          <w:p>
            <w:pPr/>
          </w:p>
        </w:tc>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1"/>
              <w:jc w:val="right"/>
              <w:rPr>
                <w:rFonts w:ascii="Arial" w:hAnsi="Arial" w:cs="Arial" w:eastAsia="Arial" w:hint="default"/>
                <w:sz w:val="22"/>
                <w:szCs w:val="22"/>
              </w:rPr>
            </w:pPr>
            <w:r>
              <w:rPr>
                <w:rFonts w:ascii="Arial"/>
                <w:spacing w:val="-1"/>
                <w:sz w:val="22"/>
              </w:rPr>
              <w:t>93,212,780</w:t>
            </w:r>
          </w:p>
        </w:tc>
      </w:tr>
      <w:tr>
        <w:trPr>
          <w:trHeight w:val="283" w:hRule="exact"/>
        </w:trPr>
        <w:tc>
          <w:tcPr>
            <w:tcW w:w="2514" w:type="dxa"/>
            <w:tcBorders>
              <w:top w:val="nil" w:sz="6" w:space="0" w:color="auto"/>
              <w:left w:val="nil" w:sz="6" w:space="0" w:color="auto"/>
              <w:bottom w:val="nil" w:sz="6" w:space="0" w:color="auto"/>
              <w:right w:val="nil" w:sz="6" w:space="0" w:color="auto"/>
            </w:tcBorders>
          </w:tcPr>
          <w:p>
            <w:pPr/>
          </w:p>
        </w:tc>
        <w:tc>
          <w:tcPr>
            <w:tcW w:w="2837" w:type="dxa"/>
            <w:tcBorders>
              <w:top w:val="nil" w:sz="6" w:space="0" w:color="auto"/>
              <w:left w:val="nil" w:sz="6" w:space="0" w:color="auto"/>
              <w:bottom w:val="nil" w:sz="6" w:space="0" w:color="auto"/>
              <w:right w:val="nil" w:sz="6" w:space="0" w:color="auto"/>
            </w:tcBorders>
          </w:tcPr>
          <w:p>
            <w:pPr>
              <w:pStyle w:val="TableParagraph"/>
              <w:spacing w:line="255" w:lineRule="exact"/>
              <w:ind w:left="110" w:right="0"/>
              <w:jc w:val="left"/>
              <w:rPr>
                <w:rFonts w:ascii="宋体" w:hAnsi="宋体" w:cs="宋体" w:eastAsia="宋体" w:hint="default"/>
                <w:sz w:val="22"/>
                <w:szCs w:val="22"/>
              </w:rPr>
            </w:pPr>
            <w:r>
              <w:rPr>
                <w:rFonts w:ascii="宋体" w:hAnsi="宋体" w:cs="宋体" w:eastAsia="宋体" w:hint="default"/>
                <w:w w:val="100"/>
                <w:sz w:val="22"/>
                <w:szCs w:val="22"/>
              </w:rPr>
              <w:t>其他合营和联营</w:t>
            </w:r>
            <w:r>
              <w:rPr>
                <w:rFonts w:ascii="宋体" w:hAnsi="宋体" w:cs="宋体" w:eastAsia="宋体" w:hint="default"/>
                <w:spacing w:val="-5"/>
                <w:w w:val="100"/>
                <w:sz w:val="22"/>
                <w:szCs w:val="22"/>
              </w:rPr>
              <w:t>企</w:t>
            </w:r>
            <w:r>
              <w:rPr>
                <w:rFonts w:ascii="宋体" w:hAnsi="宋体" w:cs="宋体" w:eastAsia="宋体" w:hint="default"/>
                <w:spacing w:val="-96"/>
                <w:w w:val="100"/>
                <w:sz w:val="22"/>
                <w:szCs w:val="22"/>
              </w:rPr>
              <w:t>业</w:t>
            </w:r>
            <w:r>
              <w:rPr>
                <w:rFonts w:ascii="宋体" w:hAnsi="宋体" w:cs="宋体" w:eastAsia="宋体" w:hint="default"/>
                <w:w w:val="100"/>
                <w:sz w:val="22"/>
                <w:szCs w:val="22"/>
              </w:rPr>
              <w:t>（注</w:t>
            </w:r>
            <w:r>
              <w:rPr>
                <w:rFonts w:ascii="宋体" w:hAnsi="宋体" w:cs="宋体" w:eastAsia="宋体" w:hint="default"/>
                <w:spacing w:val="-58"/>
                <w:sz w:val="22"/>
                <w:szCs w:val="22"/>
              </w:rPr>
              <w:t> </w:t>
            </w:r>
            <w:r>
              <w:rPr>
                <w:rFonts w:ascii="Arial" w:hAnsi="Arial" w:cs="Arial" w:eastAsia="Arial" w:hint="default"/>
                <w:spacing w:val="2"/>
                <w:w w:val="100"/>
                <w:sz w:val="22"/>
                <w:szCs w:val="22"/>
              </w:rPr>
              <w:t>2</w:t>
            </w:r>
            <w:r>
              <w:rPr>
                <w:rFonts w:ascii="宋体" w:hAnsi="宋体" w:cs="宋体" w:eastAsia="宋体" w:hint="default"/>
                <w:w w:val="100"/>
                <w:sz w:val="22"/>
                <w:szCs w:val="22"/>
              </w:rPr>
              <w:t>）</w:t>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931" w:right="0"/>
              <w:jc w:val="left"/>
              <w:rPr>
                <w:rFonts w:ascii="Arial" w:hAnsi="Arial" w:cs="Arial" w:eastAsia="Arial" w:hint="default"/>
                <w:sz w:val="22"/>
                <w:szCs w:val="22"/>
              </w:rPr>
            </w:pPr>
            <w:r>
              <w:rPr>
                <w:rFonts w:ascii="Arial"/>
                <w:sz w:val="22"/>
              </w:rPr>
              <w:t>7,956,626</w:t>
            </w:r>
          </w:p>
        </w:tc>
        <w:tc>
          <w:tcPr>
            <w:tcW w:w="228" w:type="dxa"/>
            <w:tcBorders>
              <w:top w:val="nil" w:sz="6" w:space="0" w:color="auto"/>
              <w:left w:val="nil" w:sz="6" w:space="0" w:color="auto"/>
              <w:bottom w:val="nil" w:sz="6" w:space="0" w:color="auto"/>
              <w:right w:val="nil" w:sz="6" w:space="0" w:color="auto"/>
            </w:tcBorders>
          </w:tcPr>
          <w:p>
            <w:pPr/>
          </w:p>
        </w:tc>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1"/>
              <w:jc w:val="right"/>
              <w:rPr>
                <w:rFonts w:ascii="Arial" w:hAnsi="Arial" w:cs="Arial" w:eastAsia="Arial" w:hint="default"/>
                <w:sz w:val="22"/>
                <w:szCs w:val="22"/>
              </w:rPr>
            </w:pPr>
            <w:r>
              <w:rPr>
                <w:rFonts w:ascii="Arial"/>
                <w:spacing w:val="-1"/>
                <w:sz w:val="22"/>
              </w:rPr>
              <w:t>30,424,838</w:t>
            </w:r>
          </w:p>
        </w:tc>
      </w:tr>
      <w:tr>
        <w:trPr>
          <w:trHeight w:val="289" w:hRule="exact"/>
        </w:trPr>
        <w:tc>
          <w:tcPr>
            <w:tcW w:w="2514" w:type="dxa"/>
            <w:tcBorders>
              <w:top w:val="nil" w:sz="6" w:space="0" w:color="auto"/>
              <w:left w:val="nil" w:sz="6" w:space="0" w:color="auto"/>
              <w:bottom w:val="nil" w:sz="6" w:space="0" w:color="auto"/>
              <w:right w:val="nil" w:sz="6" w:space="0" w:color="auto"/>
            </w:tcBorders>
          </w:tcPr>
          <w:p>
            <w:pPr/>
          </w:p>
        </w:tc>
        <w:tc>
          <w:tcPr>
            <w:tcW w:w="2837" w:type="dxa"/>
            <w:tcBorders>
              <w:top w:val="nil" w:sz="6" w:space="0" w:color="auto"/>
              <w:left w:val="nil" w:sz="6" w:space="0" w:color="auto"/>
              <w:bottom w:val="nil" w:sz="6" w:space="0" w:color="auto"/>
              <w:right w:val="nil" w:sz="6" w:space="0" w:color="auto"/>
            </w:tcBorders>
          </w:tcPr>
          <w:p>
            <w:pPr>
              <w:pStyle w:val="TableParagraph"/>
              <w:spacing w:line="239" w:lineRule="exact"/>
              <w:ind w:left="110" w:right="0"/>
              <w:jc w:val="left"/>
              <w:rPr>
                <w:rFonts w:ascii="宋体" w:hAnsi="宋体" w:cs="宋体" w:eastAsia="宋体" w:hint="default"/>
                <w:sz w:val="22"/>
                <w:szCs w:val="22"/>
              </w:rPr>
            </w:pPr>
            <w:r>
              <w:rPr>
                <w:rFonts w:ascii="宋体" w:hAnsi="宋体" w:cs="宋体" w:eastAsia="宋体" w:hint="default"/>
                <w:sz w:val="22"/>
                <w:szCs w:val="22"/>
              </w:rPr>
              <w:t>其他关联法人</w:t>
            </w:r>
          </w:p>
        </w:tc>
        <w:tc>
          <w:tcPr>
            <w:tcW w:w="2016" w:type="dxa"/>
            <w:tcBorders>
              <w:top w:val="nil" w:sz="6" w:space="0" w:color="auto"/>
              <w:left w:val="nil" w:sz="6" w:space="0" w:color="auto"/>
              <w:bottom w:val="nil" w:sz="6" w:space="0" w:color="auto"/>
              <w:right w:val="nil" w:sz="6" w:space="0" w:color="auto"/>
            </w:tcBorders>
          </w:tcPr>
          <w:p>
            <w:pPr>
              <w:pStyle w:val="TableParagraph"/>
              <w:tabs>
                <w:tab w:pos="1838" w:val="left" w:leader="none"/>
                <w:tab w:pos="2015" w:val="left" w:leader="none"/>
              </w:tabs>
              <w:spacing w:line="240" w:lineRule="auto" w:before="21"/>
              <w:ind w:left="-10"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tab/>
            </w:r>
            <w:r>
              <w:rPr>
                <w:rFonts w:ascii="Arial"/>
                <w:sz w:val="22"/>
              </w:rPr>
            </w:r>
          </w:p>
        </w:tc>
        <w:tc>
          <w:tcPr>
            <w:tcW w:w="228" w:type="dxa"/>
            <w:tcBorders>
              <w:top w:val="nil" w:sz="6" w:space="0" w:color="auto"/>
              <w:left w:val="nil" w:sz="6" w:space="0" w:color="auto"/>
              <w:bottom w:val="nil" w:sz="6" w:space="0" w:color="auto"/>
              <w:right w:val="nil" w:sz="6" w:space="0" w:color="auto"/>
            </w:tcBorders>
          </w:tcPr>
          <w:p>
            <w:pPr/>
          </w:p>
        </w:tc>
        <w:tc>
          <w:tcPr>
            <w:tcW w:w="2066" w:type="dxa"/>
            <w:tcBorders>
              <w:top w:val="nil" w:sz="6" w:space="0" w:color="auto"/>
              <w:left w:val="nil" w:sz="6" w:space="0" w:color="auto"/>
              <w:bottom w:val="nil" w:sz="6" w:space="0" w:color="auto"/>
              <w:right w:val="nil" w:sz="6" w:space="0" w:color="auto"/>
            </w:tcBorders>
          </w:tcPr>
          <w:p>
            <w:pPr>
              <w:pStyle w:val="TableParagraph"/>
              <w:tabs>
                <w:tab w:pos="974" w:val="left" w:leader="none"/>
                <w:tab w:pos="2059"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6,039,128</w:t>
              <w:tab/>
            </w:r>
            <w:r>
              <w:rPr>
                <w:rFonts w:ascii="Arial"/>
                <w:spacing w:val="-1"/>
                <w:sz w:val="22"/>
              </w:rPr>
            </w:r>
          </w:p>
        </w:tc>
      </w:tr>
      <w:tr>
        <w:trPr>
          <w:trHeight w:val="268" w:hRule="exact"/>
        </w:trPr>
        <w:tc>
          <w:tcPr>
            <w:tcW w:w="2514" w:type="dxa"/>
            <w:tcBorders>
              <w:top w:val="nil" w:sz="6" w:space="0" w:color="auto"/>
              <w:left w:val="nil" w:sz="6" w:space="0" w:color="auto"/>
              <w:bottom w:val="nil" w:sz="6" w:space="0" w:color="auto"/>
              <w:right w:val="nil" w:sz="6" w:space="0" w:color="auto"/>
            </w:tcBorders>
          </w:tcPr>
          <w:p>
            <w:pPr/>
          </w:p>
        </w:tc>
        <w:tc>
          <w:tcPr>
            <w:tcW w:w="4853" w:type="dxa"/>
            <w:gridSpan w:val="2"/>
            <w:tcBorders>
              <w:top w:val="nil" w:sz="6" w:space="0" w:color="auto"/>
              <w:left w:val="nil" w:sz="6" w:space="0" w:color="auto"/>
              <w:bottom w:val="nil" w:sz="6" w:space="0" w:color="auto"/>
              <w:right w:val="nil" w:sz="6" w:space="0" w:color="auto"/>
            </w:tcBorders>
          </w:tcPr>
          <w:p>
            <w:pPr>
              <w:pStyle w:val="TableParagraph"/>
              <w:spacing w:line="245" w:lineRule="exact"/>
              <w:ind w:right="101"/>
              <w:jc w:val="right"/>
              <w:rPr>
                <w:rFonts w:ascii="Arial" w:hAnsi="Arial" w:cs="Arial" w:eastAsia="Arial" w:hint="default"/>
                <w:sz w:val="22"/>
                <w:szCs w:val="22"/>
              </w:rPr>
            </w:pPr>
            <w:r>
              <w:rPr>
                <w:rFonts w:ascii="Arial"/>
                <w:spacing w:val="-1"/>
                <w:sz w:val="22"/>
              </w:rPr>
              <w:t>4,697,983,886</w:t>
            </w:r>
          </w:p>
        </w:tc>
        <w:tc>
          <w:tcPr>
            <w:tcW w:w="228" w:type="dxa"/>
            <w:tcBorders>
              <w:top w:val="nil" w:sz="6" w:space="0" w:color="auto"/>
              <w:left w:val="nil" w:sz="6" w:space="0" w:color="auto"/>
              <w:bottom w:val="nil" w:sz="6" w:space="0" w:color="auto"/>
              <w:right w:val="nil" w:sz="6" w:space="0" w:color="auto"/>
            </w:tcBorders>
          </w:tcPr>
          <w:p>
            <w:pPr/>
          </w:p>
        </w:tc>
        <w:tc>
          <w:tcPr>
            <w:tcW w:w="2066" w:type="dxa"/>
            <w:tcBorders>
              <w:top w:val="nil" w:sz="6" w:space="0" w:color="auto"/>
              <w:left w:val="nil" w:sz="6" w:space="0" w:color="auto"/>
              <w:bottom w:val="single" w:sz="17" w:space="0" w:color="000000"/>
              <w:right w:val="nil" w:sz="6" w:space="0" w:color="auto"/>
            </w:tcBorders>
          </w:tcPr>
          <w:p>
            <w:pPr>
              <w:pStyle w:val="TableParagraph"/>
              <w:spacing w:line="245" w:lineRule="exact"/>
              <w:ind w:right="101"/>
              <w:jc w:val="right"/>
              <w:rPr>
                <w:rFonts w:ascii="Arial" w:hAnsi="Arial" w:cs="Arial" w:eastAsia="Arial" w:hint="default"/>
                <w:sz w:val="22"/>
                <w:szCs w:val="22"/>
              </w:rPr>
            </w:pPr>
            <w:r>
              <w:rPr>
                <w:rFonts w:ascii="Arial"/>
                <w:spacing w:val="-1"/>
                <w:sz w:val="22"/>
              </w:rPr>
              <w:t>4,713,147,265</w:t>
            </w:r>
          </w:p>
        </w:tc>
      </w:tr>
      <w:tr>
        <w:trPr>
          <w:trHeight w:val="586"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长期应付款</w:t>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110" w:right="0"/>
              <w:jc w:val="left"/>
              <w:rPr>
                <w:rFonts w:ascii="宋体" w:hAnsi="宋体" w:cs="宋体" w:eastAsia="宋体" w:hint="default"/>
                <w:sz w:val="22"/>
                <w:szCs w:val="22"/>
              </w:rPr>
            </w:pPr>
            <w:r>
              <w:rPr>
                <w:rFonts w:ascii="宋体" w:hAnsi="宋体" w:cs="宋体" w:eastAsia="宋体" w:hint="default"/>
                <w:sz w:val="22"/>
                <w:szCs w:val="22"/>
              </w:rPr>
              <w:t>联通集团及其子公司</w:t>
            </w:r>
          </w:p>
        </w:tc>
        <w:tc>
          <w:tcPr>
            <w:tcW w:w="2016" w:type="dxa"/>
            <w:tcBorders>
              <w:top w:val="single" w:sz="17" w:space="0" w:color="000000"/>
              <w:left w:val="nil" w:sz="6" w:space="0" w:color="auto"/>
              <w:bottom w:val="single" w:sz="17"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5"/>
                <w:szCs w:val="25"/>
              </w:rPr>
            </w:pPr>
          </w:p>
          <w:p>
            <w:pPr>
              <w:pStyle w:val="TableParagraph"/>
              <w:spacing w:line="240" w:lineRule="auto"/>
              <w:ind w:right="102"/>
              <w:jc w:val="right"/>
              <w:rPr>
                <w:rFonts w:ascii="Arial" w:hAnsi="Arial" w:cs="Arial" w:eastAsia="Arial" w:hint="default"/>
                <w:sz w:val="22"/>
                <w:szCs w:val="22"/>
              </w:rPr>
            </w:pPr>
            <w:r>
              <w:rPr>
                <w:rFonts w:ascii="Arial"/>
                <w:w w:val="100"/>
                <w:sz w:val="22"/>
              </w:rPr>
              <w:t>-</w:t>
            </w:r>
          </w:p>
        </w:tc>
        <w:tc>
          <w:tcPr>
            <w:tcW w:w="228" w:type="dxa"/>
            <w:tcBorders>
              <w:top w:val="nil" w:sz="6" w:space="0" w:color="auto"/>
              <w:left w:val="nil" w:sz="6" w:space="0" w:color="auto"/>
              <w:bottom w:val="nil" w:sz="6" w:space="0" w:color="auto"/>
              <w:right w:val="nil" w:sz="6" w:space="0" w:color="auto"/>
            </w:tcBorders>
          </w:tcPr>
          <w:p>
            <w:pPr/>
          </w:p>
        </w:tc>
        <w:tc>
          <w:tcPr>
            <w:tcW w:w="2066" w:type="dxa"/>
            <w:tcBorders>
              <w:top w:val="single" w:sz="17" w:space="0" w:color="000000"/>
              <w:left w:val="nil" w:sz="6" w:space="0" w:color="auto"/>
              <w:bottom w:val="single" w:sz="17"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5"/>
                <w:szCs w:val="25"/>
              </w:rPr>
            </w:pPr>
          </w:p>
          <w:p>
            <w:pPr>
              <w:pStyle w:val="TableParagraph"/>
              <w:spacing w:line="240" w:lineRule="auto"/>
              <w:ind w:right="103"/>
              <w:jc w:val="right"/>
              <w:rPr>
                <w:rFonts w:ascii="Arial" w:hAnsi="Arial" w:cs="Arial" w:eastAsia="Arial" w:hint="default"/>
                <w:sz w:val="22"/>
                <w:szCs w:val="22"/>
              </w:rPr>
            </w:pPr>
            <w:r>
              <w:rPr>
                <w:rFonts w:ascii="Arial"/>
                <w:sz w:val="22"/>
              </w:rPr>
              <w:t>240,033,088</w:t>
            </w:r>
          </w:p>
        </w:tc>
      </w:tr>
      <w:tr>
        <w:trPr>
          <w:trHeight w:val="574"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租赁负债</w:t>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110" w:right="0"/>
              <w:jc w:val="left"/>
              <w:rPr>
                <w:rFonts w:ascii="宋体" w:hAnsi="宋体" w:cs="宋体" w:eastAsia="宋体" w:hint="default"/>
                <w:sz w:val="22"/>
                <w:szCs w:val="22"/>
              </w:rPr>
            </w:pPr>
            <w:r>
              <w:rPr>
                <w:rFonts w:ascii="宋体" w:hAnsi="宋体" w:cs="宋体" w:eastAsia="宋体" w:hint="default"/>
                <w:sz w:val="22"/>
                <w:szCs w:val="22"/>
              </w:rPr>
              <w:t>铁塔公司（注</w:t>
            </w:r>
            <w:r>
              <w:rPr>
                <w:rFonts w:ascii="宋体" w:hAnsi="宋体" w:cs="宋体" w:eastAsia="宋体" w:hint="default"/>
                <w:spacing w:val="-50"/>
                <w:sz w:val="22"/>
                <w:szCs w:val="22"/>
              </w:rPr>
              <w:t> </w:t>
            </w:r>
            <w:r>
              <w:rPr>
                <w:rFonts w:ascii="Arial" w:hAnsi="Arial" w:cs="Arial" w:eastAsia="Arial" w:hint="default"/>
                <w:sz w:val="22"/>
                <w:szCs w:val="22"/>
              </w:rPr>
              <w:t>4</w:t>
            </w:r>
            <w:r>
              <w:rPr>
                <w:rFonts w:ascii="宋体" w:hAnsi="宋体" w:cs="宋体" w:eastAsia="宋体" w:hint="default"/>
                <w:sz w:val="22"/>
                <w:szCs w:val="22"/>
              </w:rPr>
              <w:t>）</w:t>
            </w:r>
          </w:p>
        </w:tc>
        <w:tc>
          <w:tcPr>
            <w:tcW w:w="2016" w:type="dxa"/>
            <w:tcBorders>
              <w:top w:val="single" w:sz="17"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left="379" w:right="0"/>
              <w:jc w:val="left"/>
              <w:rPr>
                <w:rFonts w:ascii="Arial" w:hAnsi="Arial" w:cs="Arial" w:eastAsia="Arial" w:hint="default"/>
                <w:sz w:val="22"/>
                <w:szCs w:val="22"/>
              </w:rPr>
            </w:pPr>
            <w:r>
              <w:rPr>
                <w:rFonts w:ascii="Arial"/>
                <w:sz w:val="22"/>
              </w:rPr>
              <w:t>14,769,450,978</w:t>
            </w:r>
          </w:p>
        </w:tc>
        <w:tc>
          <w:tcPr>
            <w:tcW w:w="228" w:type="dxa"/>
            <w:tcBorders>
              <w:top w:val="nil" w:sz="6" w:space="0" w:color="auto"/>
              <w:left w:val="nil" w:sz="6" w:space="0" w:color="auto"/>
              <w:bottom w:val="nil" w:sz="6" w:space="0" w:color="auto"/>
              <w:right w:val="nil" w:sz="6" w:space="0" w:color="auto"/>
            </w:tcBorders>
          </w:tcPr>
          <w:p>
            <w:pPr/>
          </w:p>
        </w:tc>
        <w:tc>
          <w:tcPr>
            <w:tcW w:w="2066" w:type="dxa"/>
            <w:tcBorders>
              <w:top w:val="single" w:sz="17" w:space="0" w:color="000000"/>
              <w:left w:val="nil" w:sz="6" w:space="0" w:color="auto"/>
              <w:bottom w:val="single" w:sz="12"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98"/>
              <w:jc w:val="right"/>
              <w:rPr>
                <w:rFonts w:ascii="宋体" w:hAnsi="宋体" w:cs="宋体" w:eastAsia="宋体" w:hint="default"/>
                <w:sz w:val="22"/>
                <w:szCs w:val="22"/>
              </w:rPr>
            </w:pPr>
            <w:r>
              <w:rPr>
                <w:rFonts w:ascii="宋体" w:hAnsi="宋体" w:cs="宋体" w:eastAsia="宋体" w:hint="default"/>
                <w:sz w:val="22"/>
                <w:szCs w:val="22"/>
              </w:rPr>
              <w:t>不适用</w:t>
            </w:r>
          </w:p>
        </w:tc>
      </w:tr>
      <w:tr>
        <w:trPr>
          <w:trHeight w:val="578"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一年内到期的租赁负债</w:t>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left="110" w:right="0"/>
              <w:jc w:val="left"/>
              <w:rPr>
                <w:rFonts w:ascii="宋体" w:hAnsi="宋体" w:cs="宋体" w:eastAsia="宋体" w:hint="default"/>
                <w:sz w:val="22"/>
                <w:szCs w:val="22"/>
              </w:rPr>
            </w:pPr>
            <w:r>
              <w:rPr>
                <w:rFonts w:ascii="宋体" w:hAnsi="宋体" w:cs="宋体" w:eastAsia="宋体" w:hint="default"/>
                <w:sz w:val="22"/>
                <w:szCs w:val="22"/>
              </w:rPr>
              <w:t>铁塔公司（注</w:t>
            </w:r>
            <w:r>
              <w:rPr>
                <w:rFonts w:ascii="宋体" w:hAnsi="宋体" w:cs="宋体" w:eastAsia="宋体" w:hint="default"/>
                <w:spacing w:val="-50"/>
                <w:sz w:val="22"/>
                <w:szCs w:val="22"/>
              </w:rPr>
              <w:t> </w:t>
            </w:r>
            <w:r>
              <w:rPr>
                <w:rFonts w:ascii="Arial" w:hAnsi="Arial" w:cs="Arial" w:eastAsia="Arial" w:hint="default"/>
                <w:sz w:val="22"/>
                <w:szCs w:val="22"/>
              </w:rPr>
              <w:t>4</w:t>
            </w:r>
            <w:r>
              <w:rPr>
                <w:rFonts w:ascii="宋体" w:hAnsi="宋体" w:cs="宋体" w:eastAsia="宋体" w:hint="default"/>
                <w:sz w:val="22"/>
                <w:szCs w:val="22"/>
              </w:rPr>
              <w:t>）</w:t>
            </w:r>
          </w:p>
        </w:tc>
        <w:tc>
          <w:tcPr>
            <w:tcW w:w="2016" w:type="dxa"/>
            <w:tcBorders>
              <w:top w:val="single" w:sz="12" w:space="0" w:color="000000"/>
              <w:left w:val="nil" w:sz="6" w:space="0" w:color="auto"/>
              <w:bottom w:val="single" w:sz="17"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5"/>
                <w:szCs w:val="25"/>
              </w:rPr>
            </w:pPr>
          </w:p>
          <w:p>
            <w:pPr>
              <w:pStyle w:val="TableParagraph"/>
              <w:spacing w:line="240" w:lineRule="auto"/>
              <w:ind w:left="503" w:right="0"/>
              <w:jc w:val="left"/>
              <w:rPr>
                <w:rFonts w:ascii="Arial" w:hAnsi="Arial" w:cs="Arial" w:eastAsia="Arial" w:hint="default"/>
                <w:sz w:val="22"/>
                <w:szCs w:val="22"/>
              </w:rPr>
            </w:pPr>
            <w:r>
              <w:rPr>
                <w:rFonts w:ascii="Arial"/>
                <w:sz w:val="22"/>
              </w:rPr>
              <w:t>7,306,509,988</w:t>
            </w:r>
          </w:p>
        </w:tc>
        <w:tc>
          <w:tcPr>
            <w:tcW w:w="228" w:type="dxa"/>
            <w:tcBorders>
              <w:top w:val="nil" w:sz="6" w:space="0" w:color="auto"/>
              <w:left w:val="nil" w:sz="6" w:space="0" w:color="auto"/>
              <w:bottom w:val="nil" w:sz="6" w:space="0" w:color="auto"/>
              <w:right w:val="nil" w:sz="6" w:space="0" w:color="auto"/>
            </w:tcBorders>
          </w:tcPr>
          <w:p>
            <w:pPr/>
          </w:p>
        </w:tc>
        <w:tc>
          <w:tcPr>
            <w:tcW w:w="2066" w:type="dxa"/>
            <w:tcBorders>
              <w:top w:val="single" w:sz="12" w:space="0" w:color="000000"/>
              <w:left w:val="nil" w:sz="6" w:space="0" w:color="auto"/>
              <w:bottom w:val="single" w:sz="17"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98"/>
              <w:jc w:val="right"/>
              <w:rPr>
                <w:rFonts w:ascii="宋体" w:hAnsi="宋体" w:cs="宋体" w:eastAsia="宋体" w:hint="default"/>
                <w:sz w:val="22"/>
                <w:szCs w:val="22"/>
              </w:rPr>
            </w:pPr>
            <w:r>
              <w:rPr>
                <w:rFonts w:ascii="宋体" w:hAnsi="宋体" w:cs="宋体" w:eastAsia="宋体" w:hint="default"/>
                <w:sz w:val="22"/>
                <w:szCs w:val="22"/>
              </w:rPr>
              <w:t>不适用</w:t>
            </w:r>
          </w:p>
        </w:tc>
      </w:tr>
      <w:tr>
        <w:trPr>
          <w:trHeight w:val="572"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短期借款</w:t>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110" w:right="0"/>
              <w:jc w:val="left"/>
              <w:rPr>
                <w:rFonts w:ascii="宋体" w:hAnsi="宋体" w:cs="宋体" w:eastAsia="宋体" w:hint="default"/>
                <w:sz w:val="22"/>
                <w:szCs w:val="22"/>
              </w:rPr>
            </w:pPr>
            <w:r>
              <w:rPr>
                <w:rFonts w:ascii="宋体" w:hAnsi="宋体" w:cs="宋体" w:eastAsia="宋体" w:hint="default"/>
                <w:w w:val="100"/>
                <w:sz w:val="22"/>
                <w:szCs w:val="22"/>
              </w:rPr>
              <w:t>联通集团及其子</w:t>
            </w:r>
            <w:r>
              <w:rPr>
                <w:rFonts w:ascii="宋体" w:hAnsi="宋体" w:cs="宋体" w:eastAsia="宋体" w:hint="default"/>
                <w:spacing w:val="-5"/>
                <w:w w:val="100"/>
                <w:sz w:val="22"/>
                <w:szCs w:val="22"/>
              </w:rPr>
              <w:t>公</w:t>
            </w:r>
            <w:r>
              <w:rPr>
                <w:rFonts w:ascii="宋体" w:hAnsi="宋体" w:cs="宋体" w:eastAsia="宋体" w:hint="default"/>
                <w:spacing w:val="-96"/>
                <w:w w:val="100"/>
                <w:sz w:val="22"/>
                <w:szCs w:val="22"/>
              </w:rPr>
              <w:t>司</w:t>
            </w:r>
            <w:r>
              <w:rPr>
                <w:rFonts w:ascii="宋体" w:hAnsi="宋体" w:cs="宋体" w:eastAsia="宋体" w:hint="default"/>
                <w:w w:val="100"/>
                <w:sz w:val="22"/>
                <w:szCs w:val="22"/>
              </w:rPr>
              <w:t>（注</w:t>
            </w:r>
            <w:r>
              <w:rPr>
                <w:rFonts w:ascii="宋体" w:hAnsi="宋体" w:cs="宋体" w:eastAsia="宋体" w:hint="default"/>
                <w:spacing w:val="-58"/>
                <w:sz w:val="22"/>
                <w:szCs w:val="22"/>
              </w:rPr>
              <w:t> </w:t>
            </w:r>
            <w:r>
              <w:rPr>
                <w:rFonts w:ascii="Arial" w:hAnsi="Arial" w:cs="Arial" w:eastAsia="Arial" w:hint="default"/>
                <w:spacing w:val="2"/>
                <w:w w:val="100"/>
                <w:sz w:val="22"/>
                <w:szCs w:val="22"/>
              </w:rPr>
              <w:t>1</w:t>
            </w:r>
            <w:r>
              <w:rPr>
                <w:rFonts w:ascii="宋体" w:hAnsi="宋体" w:cs="宋体" w:eastAsia="宋体" w:hint="default"/>
                <w:w w:val="100"/>
                <w:sz w:val="22"/>
                <w:szCs w:val="22"/>
              </w:rPr>
              <w:t>）</w:t>
            </w:r>
          </w:p>
        </w:tc>
        <w:tc>
          <w:tcPr>
            <w:tcW w:w="2016" w:type="dxa"/>
            <w:tcBorders>
              <w:top w:val="single" w:sz="17" w:space="0" w:color="000000"/>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right="102"/>
              <w:jc w:val="right"/>
              <w:rPr>
                <w:rFonts w:ascii="Arial" w:hAnsi="Arial" w:cs="Arial" w:eastAsia="Arial" w:hint="default"/>
                <w:sz w:val="22"/>
                <w:szCs w:val="22"/>
              </w:rPr>
            </w:pPr>
            <w:r>
              <w:rPr>
                <w:rFonts w:ascii="Arial"/>
                <w:w w:val="100"/>
                <w:sz w:val="22"/>
              </w:rPr>
              <w:t>-</w:t>
            </w:r>
          </w:p>
        </w:tc>
        <w:tc>
          <w:tcPr>
            <w:tcW w:w="228" w:type="dxa"/>
            <w:tcBorders>
              <w:top w:val="nil" w:sz="6" w:space="0" w:color="auto"/>
              <w:left w:val="nil" w:sz="6" w:space="0" w:color="auto"/>
              <w:bottom w:val="nil" w:sz="6" w:space="0" w:color="auto"/>
              <w:right w:val="nil" w:sz="6" w:space="0" w:color="auto"/>
            </w:tcBorders>
          </w:tcPr>
          <w:p>
            <w:pPr/>
          </w:p>
        </w:tc>
        <w:tc>
          <w:tcPr>
            <w:tcW w:w="2066" w:type="dxa"/>
            <w:tcBorders>
              <w:top w:val="single" w:sz="17" w:space="0" w:color="000000"/>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right="101"/>
              <w:jc w:val="right"/>
              <w:rPr>
                <w:rFonts w:ascii="Arial" w:hAnsi="Arial" w:cs="Arial" w:eastAsia="Arial" w:hint="default"/>
                <w:sz w:val="22"/>
                <w:szCs w:val="22"/>
              </w:rPr>
            </w:pPr>
            <w:r>
              <w:rPr>
                <w:rFonts w:ascii="Arial"/>
                <w:spacing w:val="-1"/>
                <w:sz w:val="22"/>
              </w:rPr>
              <w:t>47,752,400</w:t>
            </w:r>
          </w:p>
        </w:tc>
      </w:tr>
      <w:tr>
        <w:trPr>
          <w:trHeight w:val="291" w:hRule="exact"/>
        </w:trPr>
        <w:tc>
          <w:tcPr>
            <w:tcW w:w="2514" w:type="dxa"/>
            <w:tcBorders>
              <w:top w:val="nil" w:sz="6" w:space="0" w:color="auto"/>
              <w:left w:val="nil" w:sz="6" w:space="0" w:color="auto"/>
              <w:bottom w:val="nil" w:sz="6" w:space="0" w:color="auto"/>
              <w:right w:val="nil" w:sz="6" w:space="0" w:color="auto"/>
            </w:tcBorders>
          </w:tcPr>
          <w:p>
            <w:pPr/>
          </w:p>
        </w:tc>
        <w:tc>
          <w:tcPr>
            <w:tcW w:w="2837" w:type="dxa"/>
            <w:tcBorders>
              <w:top w:val="nil" w:sz="6" w:space="0" w:color="auto"/>
              <w:left w:val="nil" w:sz="6" w:space="0" w:color="auto"/>
              <w:bottom w:val="nil" w:sz="6" w:space="0" w:color="auto"/>
              <w:right w:val="nil" w:sz="6" w:space="0" w:color="auto"/>
            </w:tcBorders>
          </w:tcPr>
          <w:p>
            <w:pPr>
              <w:pStyle w:val="TableParagraph"/>
              <w:spacing w:line="255" w:lineRule="exact"/>
              <w:ind w:left="110" w:right="0"/>
              <w:jc w:val="left"/>
              <w:rPr>
                <w:rFonts w:ascii="宋体" w:hAnsi="宋体" w:cs="宋体" w:eastAsia="宋体" w:hint="default"/>
                <w:sz w:val="22"/>
                <w:szCs w:val="22"/>
              </w:rPr>
            </w:pPr>
            <w:r>
              <w:rPr>
                <w:rFonts w:ascii="宋体" w:hAnsi="宋体" w:cs="宋体" w:eastAsia="宋体" w:hint="default"/>
                <w:w w:val="100"/>
                <w:sz w:val="22"/>
                <w:szCs w:val="22"/>
              </w:rPr>
              <w:t>其他合营和联营</w:t>
            </w:r>
            <w:r>
              <w:rPr>
                <w:rFonts w:ascii="宋体" w:hAnsi="宋体" w:cs="宋体" w:eastAsia="宋体" w:hint="default"/>
                <w:spacing w:val="-5"/>
                <w:w w:val="100"/>
                <w:sz w:val="22"/>
                <w:szCs w:val="22"/>
              </w:rPr>
              <w:t>企</w:t>
            </w:r>
            <w:r>
              <w:rPr>
                <w:rFonts w:ascii="宋体" w:hAnsi="宋体" w:cs="宋体" w:eastAsia="宋体" w:hint="default"/>
                <w:spacing w:val="-96"/>
                <w:w w:val="100"/>
                <w:sz w:val="22"/>
                <w:szCs w:val="22"/>
              </w:rPr>
              <w:t>业</w:t>
            </w:r>
            <w:r>
              <w:rPr>
                <w:rFonts w:ascii="宋体" w:hAnsi="宋体" w:cs="宋体" w:eastAsia="宋体" w:hint="default"/>
                <w:w w:val="100"/>
                <w:sz w:val="22"/>
                <w:szCs w:val="22"/>
              </w:rPr>
              <w:t>（注</w:t>
            </w:r>
            <w:r>
              <w:rPr>
                <w:rFonts w:ascii="宋体" w:hAnsi="宋体" w:cs="宋体" w:eastAsia="宋体" w:hint="default"/>
                <w:spacing w:val="-58"/>
                <w:sz w:val="22"/>
                <w:szCs w:val="22"/>
              </w:rPr>
              <w:t> </w:t>
            </w:r>
            <w:r>
              <w:rPr>
                <w:rFonts w:ascii="Arial" w:hAnsi="Arial" w:cs="Arial" w:eastAsia="Arial" w:hint="default"/>
                <w:spacing w:val="2"/>
                <w:w w:val="100"/>
                <w:sz w:val="22"/>
                <w:szCs w:val="22"/>
              </w:rPr>
              <w:t>1</w:t>
            </w:r>
            <w:r>
              <w:rPr>
                <w:rFonts w:ascii="宋体" w:hAnsi="宋体" w:cs="宋体" w:eastAsia="宋体" w:hint="default"/>
                <w:w w:val="100"/>
                <w:sz w:val="22"/>
                <w:szCs w:val="22"/>
              </w:rPr>
              <w:t>）</w:t>
            </w:r>
          </w:p>
        </w:tc>
        <w:tc>
          <w:tcPr>
            <w:tcW w:w="2016" w:type="dxa"/>
            <w:tcBorders>
              <w:top w:val="nil" w:sz="6" w:space="0" w:color="auto"/>
              <w:left w:val="nil" w:sz="6" w:space="0" w:color="auto"/>
              <w:bottom w:val="nil" w:sz="6" w:space="0" w:color="auto"/>
              <w:right w:val="nil" w:sz="6" w:space="0" w:color="auto"/>
            </w:tcBorders>
          </w:tcPr>
          <w:p>
            <w:pPr>
              <w:pStyle w:val="TableParagraph"/>
              <w:tabs>
                <w:tab w:pos="811" w:val="left" w:leader="none"/>
                <w:tab w:pos="2015" w:val="left" w:leader="none"/>
              </w:tabs>
              <w:spacing w:line="240" w:lineRule="auto" w:before="21"/>
              <w:ind w:left="-10"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50,000,000</w:t>
              <w:tab/>
            </w:r>
            <w:r>
              <w:rPr>
                <w:rFonts w:ascii="Arial"/>
                <w:sz w:val="22"/>
              </w:rPr>
            </w:r>
          </w:p>
        </w:tc>
        <w:tc>
          <w:tcPr>
            <w:tcW w:w="228" w:type="dxa"/>
            <w:tcBorders>
              <w:top w:val="nil" w:sz="6" w:space="0" w:color="auto"/>
              <w:left w:val="nil" w:sz="6" w:space="0" w:color="auto"/>
              <w:bottom w:val="nil" w:sz="6" w:space="0" w:color="auto"/>
              <w:right w:val="nil" w:sz="6" w:space="0" w:color="auto"/>
            </w:tcBorders>
          </w:tcPr>
          <w:p>
            <w:pPr/>
          </w:p>
        </w:tc>
        <w:tc>
          <w:tcPr>
            <w:tcW w:w="2066" w:type="dxa"/>
            <w:tcBorders>
              <w:top w:val="nil" w:sz="6" w:space="0" w:color="auto"/>
              <w:left w:val="nil" w:sz="6" w:space="0" w:color="auto"/>
              <w:bottom w:val="nil" w:sz="6" w:space="0" w:color="auto"/>
              <w:right w:val="nil" w:sz="6" w:space="0" w:color="auto"/>
            </w:tcBorders>
          </w:tcPr>
          <w:p>
            <w:pPr>
              <w:pStyle w:val="TableParagraph"/>
              <w:tabs>
                <w:tab w:pos="1881" w:val="left" w:leader="none"/>
                <w:tab w:pos="2059" w:val="left" w:leader="none"/>
              </w:tabs>
              <w:spacing w:line="240" w:lineRule="auto" w:before="21"/>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tab/>
            </w:r>
            <w:r>
              <w:rPr>
                <w:rFonts w:ascii="Arial"/>
                <w:sz w:val="22"/>
              </w:rPr>
            </w:r>
          </w:p>
        </w:tc>
      </w:tr>
      <w:tr>
        <w:trPr>
          <w:trHeight w:val="270" w:hRule="exact"/>
        </w:trPr>
        <w:tc>
          <w:tcPr>
            <w:tcW w:w="2514" w:type="dxa"/>
            <w:tcBorders>
              <w:top w:val="nil" w:sz="6" w:space="0" w:color="auto"/>
              <w:left w:val="nil" w:sz="6" w:space="0" w:color="auto"/>
              <w:bottom w:val="nil" w:sz="6" w:space="0" w:color="auto"/>
              <w:right w:val="nil" w:sz="6" w:space="0" w:color="auto"/>
            </w:tcBorders>
          </w:tcPr>
          <w:p>
            <w:pPr/>
          </w:p>
        </w:tc>
        <w:tc>
          <w:tcPr>
            <w:tcW w:w="4853" w:type="dxa"/>
            <w:gridSpan w:val="2"/>
            <w:tcBorders>
              <w:top w:val="nil" w:sz="6" w:space="0" w:color="auto"/>
              <w:left w:val="nil" w:sz="6" w:space="0" w:color="auto"/>
              <w:bottom w:val="nil" w:sz="6" w:space="0" w:color="auto"/>
              <w:right w:val="nil" w:sz="6" w:space="0" w:color="auto"/>
            </w:tcBorders>
          </w:tcPr>
          <w:p>
            <w:pPr>
              <w:pStyle w:val="TableParagraph"/>
              <w:spacing w:line="247" w:lineRule="exact"/>
              <w:ind w:right="101"/>
              <w:jc w:val="right"/>
              <w:rPr>
                <w:rFonts w:ascii="Arial" w:hAnsi="Arial" w:cs="Arial" w:eastAsia="Arial" w:hint="default"/>
                <w:sz w:val="22"/>
                <w:szCs w:val="22"/>
              </w:rPr>
            </w:pPr>
            <w:r>
              <w:rPr>
                <w:rFonts w:ascii="Arial"/>
                <w:spacing w:val="-1"/>
                <w:sz w:val="22"/>
              </w:rPr>
              <w:t>50,000,000</w:t>
            </w:r>
          </w:p>
        </w:tc>
        <w:tc>
          <w:tcPr>
            <w:tcW w:w="228" w:type="dxa"/>
            <w:tcBorders>
              <w:top w:val="nil" w:sz="6" w:space="0" w:color="auto"/>
              <w:left w:val="nil" w:sz="6" w:space="0" w:color="auto"/>
              <w:bottom w:val="nil" w:sz="6" w:space="0" w:color="auto"/>
              <w:right w:val="nil" w:sz="6" w:space="0" w:color="auto"/>
            </w:tcBorders>
          </w:tcPr>
          <w:p>
            <w:pPr/>
          </w:p>
        </w:tc>
        <w:tc>
          <w:tcPr>
            <w:tcW w:w="2066" w:type="dxa"/>
            <w:tcBorders>
              <w:top w:val="nil" w:sz="6" w:space="0" w:color="auto"/>
              <w:left w:val="nil" w:sz="6" w:space="0" w:color="auto"/>
              <w:bottom w:val="single" w:sz="17" w:space="0" w:color="000000"/>
              <w:right w:val="nil" w:sz="6" w:space="0" w:color="auto"/>
            </w:tcBorders>
          </w:tcPr>
          <w:p>
            <w:pPr>
              <w:pStyle w:val="TableParagraph"/>
              <w:spacing w:line="247" w:lineRule="exact"/>
              <w:ind w:right="101"/>
              <w:jc w:val="right"/>
              <w:rPr>
                <w:rFonts w:ascii="Arial" w:hAnsi="Arial" w:cs="Arial" w:eastAsia="Arial" w:hint="default"/>
                <w:sz w:val="22"/>
                <w:szCs w:val="22"/>
              </w:rPr>
            </w:pPr>
            <w:r>
              <w:rPr>
                <w:rFonts w:ascii="Arial"/>
                <w:spacing w:val="-1"/>
                <w:sz w:val="22"/>
              </w:rPr>
              <w:t>47,752,400</w:t>
            </w:r>
          </w:p>
        </w:tc>
      </w:tr>
      <w:tr>
        <w:trPr>
          <w:trHeight w:val="572" w:hRule="exact"/>
        </w:trPr>
        <w:tc>
          <w:tcPr>
            <w:tcW w:w="251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合同负债</w:t>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110" w:right="0"/>
              <w:jc w:val="left"/>
              <w:rPr>
                <w:rFonts w:ascii="宋体" w:hAnsi="宋体" w:cs="宋体" w:eastAsia="宋体" w:hint="default"/>
                <w:sz w:val="22"/>
                <w:szCs w:val="22"/>
              </w:rPr>
            </w:pPr>
            <w:r>
              <w:rPr>
                <w:rFonts w:ascii="宋体" w:hAnsi="宋体" w:cs="宋体" w:eastAsia="宋体" w:hint="default"/>
                <w:sz w:val="22"/>
                <w:szCs w:val="22"/>
              </w:rPr>
              <w:t>联通集团及其子公司</w:t>
            </w:r>
          </w:p>
        </w:tc>
        <w:tc>
          <w:tcPr>
            <w:tcW w:w="2016" w:type="dxa"/>
            <w:tcBorders>
              <w:top w:val="single" w:sz="17" w:space="0" w:color="000000"/>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left="931" w:right="0"/>
              <w:jc w:val="left"/>
              <w:rPr>
                <w:rFonts w:ascii="Arial" w:hAnsi="Arial" w:cs="Arial" w:eastAsia="Arial" w:hint="default"/>
                <w:sz w:val="22"/>
                <w:szCs w:val="22"/>
              </w:rPr>
            </w:pPr>
            <w:r>
              <w:rPr>
                <w:rFonts w:ascii="Arial"/>
                <w:sz w:val="22"/>
              </w:rPr>
              <w:t>1,403,138</w:t>
            </w:r>
          </w:p>
        </w:tc>
        <w:tc>
          <w:tcPr>
            <w:tcW w:w="228" w:type="dxa"/>
            <w:tcBorders>
              <w:top w:val="nil" w:sz="6" w:space="0" w:color="auto"/>
              <w:left w:val="nil" w:sz="6" w:space="0" w:color="auto"/>
              <w:bottom w:val="nil" w:sz="6" w:space="0" w:color="auto"/>
              <w:right w:val="nil" w:sz="6" w:space="0" w:color="auto"/>
            </w:tcBorders>
          </w:tcPr>
          <w:p>
            <w:pPr/>
          </w:p>
        </w:tc>
        <w:tc>
          <w:tcPr>
            <w:tcW w:w="2066" w:type="dxa"/>
            <w:tcBorders>
              <w:top w:val="single" w:sz="17" w:space="0" w:color="000000"/>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right="100"/>
              <w:jc w:val="right"/>
              <w:rPr>
                <w:rFonts w:ascii="Arial" w:hAnsi="Arial" w:cs="Arial" w:eastAsia="Arial" w:hint="default"/>
                <w:sz w:val="22"/>
                <w:szCs w:val="22"/>
              </w:rPr>
            </w:pPr>
            <w:r>
              <w:rPr>
                <w:rFonts w:ascii="Arial"/>
                <w:sz w:val="22"/>
              </w:rPr>
              <w:t>157,465</w:t>
            </w:r>
          </w:p>
        </w:tc>
      </w:tr>
      <w:tr>
        <w:trPr>
          <w:trHeight w:val="288" w:hRule="exact"/>
        </w:trPr>
        <w:tc>
          <w:tcPr>
            <w:tcW w:w="2514" w:type="dxa"/>
            <w:tcBorders>
              <w:top w:val="nil" w:sz="6" w:space="0" w:color="auto"/>
              <w:left w:val="nil" w:sz="6" w:space="0" w:color="auto"/>
              <w:bottom w:val="nil" w:sz="6" w:space="0" w:color="auto"/>
              <w:right w:val="nil" w:sz="6" w:space="0" w:color="auto"/>
            </w:tcBorders>
          </w:tcPr>
          <w:p>
            <w:pPr/>
          </w:p>
        </w:tc>
        <w:tc>
          <w:tcPr>
            <w:tcW w:w="2837" w:type="dxa"/>
            <w:tcBorders>
              <w:top w:val="nil" w:sz="6" w:space="0" w:color="auto"/>
              <w:left w:val="nil" w:sz="6" w:space="0" w:color="auto"/>
              <w:bottom w:val="nil" w:sz="6" w:space="0" w:color="auto"/>
              <w:right w:val="nil" w:sz="6" w:space="0" w:color="auto"/>
            </w:tcBorders>
          </w:tcPr>
          <w:p>
            <w:pPr>
              <w:pStyle w:val="TableParagraph"/>
              <w:spacing w:line="239" w:lineRule="exact"/>
              <w:ind w:left="110" w:right="0"/>
              <w:jc w:val="left"/>
              <w:rPr>
                <w:rFonts w:ascii="宋体" w:hAnsi="宋体" w:cs="宋体" w:eastAsia="宋体" w:hint="default"/>
                <w:sz w:val="22"/>
                <w:szCs w:val="22"/>
              </w:rPr>
            </w:pPr>
            <w:r>
              <w:rPr>
                <w:rFonts w:ascii="宋体" w:hAnsi="宋体" w:cs="宋体" w:eastAsia="宋体" w:hint="default"/>
                <w:sz w:val="22"/>
                <w:szCs w:val="22"/>
              </w:rPr>
              <w:t>铁塔公司</w:t>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1"/>
              <w:ind w:left="931" w:right="0"/>
              <w:jc w:val="left"/>
              <w:rPr>
                <w:rFonts w:ascii="Arial" w:hAnsi="Arial" w:cs="Arial" w:eastAsia="Arial" w:hint="default"/>
                <w:sz w:val="22"/>
                <w:szCs w:val="22"/>
              </w:rPr>
            </w:pPr>
            <w:r>
              <w:rPr>
                <w:rFonts w:ascii="Arial"/>
                <w:sz w:val="22"/>
              </w:rPr>
              <w:t>1,951,247</w:t>
            </w:r>
          </w:p>
        </w:tc>
        <w:tc>
          <w:tcPr>
            <w:tcW w:w="228" w:type="dxa"/>
            <w:tcBorders>
              <w:top w:val="nil" w:sz="6" w:space="0" w:color="auto"/>
              <w:left w:val="nil" w:sz="6" w:space="0" w:color="auto"/>
              <w:bottom w:val="nil" w:sz="6" w:space="0" w:color="auto"/>
              <w:right w:val="nil" w:sz="6" w:space="0" w:color="auto"/>
            </w:tcBorders>
          </w:tcPr>
          <w:p>
            <w:pPr/>
          </w:p>
        </w:tc>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1"/>
              <w:jc w:val="right"/>
              <w:rPr>
                <w:rFonts w:ascii="Arial" w:hAnsi="Arial" w:cs="Arial" w:eastAsia="Arial" w:hint="default"/>
                <w:sz w:val="22"/>
                <w:szCs w:val="22"/>
              </w:rPr>
            </w:pPr>
            <w:r>
              <w:rPr>
                <w:rFonts w:ascii="Arial"/>
                <w:spacing w:val="-1"/>
                <w:sz w:val="22"/>
              </w:rPr>
              <w:t>1,748,044</w:t>
            </w:r>
          </w:p>
        </w:tc>
      </w:tr>
      <w:tr>
        <w:trPr>
          <w:trHeight w:val="286" w:hRule="exact"/>
        </w:trPr>
        <w:tc>
          <w:tcPr>
            <w:tcW w:w="2514" w:type="dxa"/>
            <w:tcBorders>
              <w:top w:val="nil" w:sz="6" w:space="0" w:color="auto"/>
              <w:left w:val="nil" w:sz="6" w:space="0" w:color="auto"/>
              <w:bottom w:val="nil" w:sz="6" w:space="0" w:color="auto"/>
              <w:right w:val="nil" w:sz="6" w:space="0" w:color="auto"/>
            </w:tcBorders>
          </w:tcPr>
          <w:p>
            <w:pPr/>
          </w:p>
        </w:tc>
        <w:tc>
          <w:tcPr>
            <w:tcW w:w="2837" w:type="dxa"/>
            <w:tcBorders>
              <w:top w:val="nil" w:sz="6" w:space="0" w:color="auto"/>
              <w:left w:val="nil" w:sz="6" w:space="0" w:color="auto"/>
              <w:bottom w:val="nil" w:sz="6" w:space="0" w:color="auto"/>
              <w:right w:val="nil" w:sz="6" w:space="0" w:color="auto"/>
            </w:tcBorders>
          </w:tcPr>
          <w:p>
            <w:pPr>
              <w:pStyle w:val="TableParagraph"/>
              <w:spacing w:line="239" w:lineRule="exact"/>
              <w:ind w:left="110" w:right="0"/>
              <w:jc w:val="left"/>
              <w:rPr>
                <w:rFonts w:ascii="宋体" w:hAnsi="宋体" w:cs="宋体" w:eastAsia="宋体" w:hint="default"/>
                <w:sz w:val="22"/>
                <w:szCs w:val="22"/>
              </w:rPr>
            </w:pPr>
            <w:r>
              <w:rPr>
                <w:rFonts w:ascii="宋体" w:hAnsi="宋体" w:cs="宋体" w:eastAsia="宋体" w:hint="default"/>
                <w:sz w:val="22"/>
                <w:szCs w:val="22"/>
              </w:rPr>
              <w:t>其他关联法人</w:t>
            </w:r>
          </w:p>
        </w:tc>
        <w:tc>
          <w:tcPr>
            <w:tcW w:w="2016" w:type="dxa"/>
            <w:tcBorders>
              <w:top w:val="nil" w:sz="6" w:space="0" w:color="auto"/>
              <w:left w:val="nil" w:sz="6" w:space="0" w:color="auto"/>
              <w:bottom w:val="nil" w:sz="6" w:space="0" w:color="auto"/>
              <w:right w:val="nil" w:sz="6" w:space="0" w:color="auto"/>
            </w:tcBorders>
          </w:tcPr>
          <w:p>
            <w:pPr>
              <w:pStyle w:val="TableParagraph"/>
              <w:tabs>
                <w:tab w:pos="931" w:val="left" w:leader="none"/>
                <w:tab w:pos="2015" w:val="left" w:leader="none"/>
              </w:tabs>
              <w:spacing w:line="240" w:lineRule="auto" w:before="16"/>
              <w:ind w:left="-10"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3,624,949</w:t>
              <w:tab/>
            </w:r>
            <w:r>
              <w:rPr>
                <w:rFonts w:ascii="Arial"/>
                <w:sz w:val="22"/>
              </w:rPr>
            </w:r>
          </w:p>
        </w:tc>
        <w:tc>
          <w:tcPr>
            <w:tcW w:w="228" w:type="dxa"/>
            <w:tcBorders>
              <w:top w:val="nil" w:sz="6" w:space="0" w:color="auto"/>
              <w:left w:val="nil" w:sz="6" w:space="0" w:color="auto"/>
              <w:bottom w:val="nil" w:sz="6" w:space="0" w:color="auto"/>
              <w:right w:val="nil" w:sz="6" w:space="0" w:color="auto"/>
            </w:tcBorders>
          </w:tcPr>
          <w:p>
            <w:pPr/>
          </w:p>
        </w:tc>
        <w:tc>
          <w:tcPr>
            <w:tcW w:w="2066" w:type="dxa"/>
            <w:tcBorders>
              <w:top w:val="nil" w:sz="6" w:space="0" w:color="auto"/>
              <w:left w:val="nil" w:sz="6" w:space="0" w:color="auto"/>
              <w:bottom w:val="nil" w:sz="6" w:space="0" w:color="auto"/>
              <w:right w:val="nil" w:sz="6" w:space="0" w:color="auto"/>
            </w:tcBorders>
          </w:tcPr>
          <w:p>
            <w:pPr>
              <w:pStyle w:val="TableParagraph"/>
              <w:tabs>
                <w:tab w:pos="1881" w:val="left" w:leader="none"/>
                <w:tab w:pos="2059" w:val="left" w:leader="none"/>
              </w:tabs>
              <w:spacing w:line="240" w:lineRule="auto" w:before="16"/>
              <w:ind w:right="0"/>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w:t>
              <w:tab/>
            </w:r>
            <w:r>
              <w:rPr>
                <w:rFonts w:ascii="Arial"/>
                <w:sz w:val="22"/>
              </w:rPr>
            </w:r>
          </w:p>
        </w:tc>
      </w:tr>
      <w:tr>
        <w:trPr>
          <w:trHeight w:val="270" w:hRule="exact"/>
        </w:trPr>
        <w:tc>
          <w:tcPr>
            <w:tcW w:w="2514" w:type="dxa"/>
            <w:tcBorders>
              <w:top w:val="nil" w:sz="6" w:space="0" w:color="auto"/>
              <w:left w:val="nil" w:sz="6" w:space="0" w:color="auto"/>
              <w:bottom w:val="nil" w:sz="6" w:space="0" w:color="auto"/>
              <w:right w:val="nil" w:sz="6" w:space="0" w:color="auto"/>
            </w:tcBorders>
          </w:tcPr>
          <w:p>
            <w:pPr/>
          </w:p>
        </w:tc>
        <w:tc>
          <w:tcPr>
            <w:tcW w:w="2837" w:type="dxa"/>
            <w:tcBorders>
              <w:top w:val="nil" w:sz="6" w:space="0" w:color="auto"/>
              <w:left w:val="nil" w:sz="6" w:space="0" w:color="auto"/>
              <w:bottom w:val="nil" w:sz="6" w:space="0" w:color="auto"/>
              <w:right w:val="nil" w:sz="6" w:space="0" w:color="auto"/>
            </w:tcBorders>
          </w:tcPr>
          <w:p>
            <w:pPr/>
          </w:p>
        </w:tc>
        <w:tc>
          <w:tcPr>
            <w:tcW w:w="2016" w:type="dxa"/>
            <w:tcBorders>
              <w:top w:val="nil" w:sz="6" w:space="0" w:color="auto"/>
              <w:left w:val="nil" w:sz="6" w:space="0" w:color="auto"/>
              <w:bottom w:val="single" w:sz="17" w:space="0" w:color="000000"/>
              <w:right w:val="nil" w:sz="6" w:space="0" w:color="auto"/>
            </w:tcBorders>
          </w:tcPr>
          <w:p>
            <w:pPr>
              <w:pStyle w:val="TableParagraph"/>
              <w:spacing w:line="247" w:lineRule="exact"/>
              <w:ind w:left="931" w:right="0"/>
              <w:jc w:val="left"/>
              <w:rPr>
                <w:rFonts w:ascii="Arial" w:hAnsi="Arial" w:cs="Arial" w:eastAsia="Arial" w:hint="default"/>
                <w:sz w:val="22"/>
                <w:szCs w:val="22"/>
              </w:rPr>
            </w:pPr>
            <w:r>
              <w:rPr>
                <w:rFonts w:ascii="Arial"/>
                <w:sz w:val="22"/>
              </w:rPr>
              <w:t>6,979,334</w:t>
            </w:r>
          </w:p>
        </w:tc>
        <w:tc>
          <w:tcPr>
            <w:tcW w:w="228" w:type="dxa"/>
            <w:tcBorders>
              <w:top w:val="nil" w:sz="6" w:space="0" w:color="auto"/>
              <w:left w:val="nil" w:sz="6" w:space="0" w:color="auto"/>
              <w:bottom w:val="nil" w:sz="6" w:space="0" w:color="auto"/>
              <w:right w:val="nil" w:sz="6" w:space="0" w:color="auto"/>
            </w:tcBorders>
          </w:tcPr>
          <w:p>
            <w:pPr/>
          </w:p>
        </w:tc>
        <w:tc>
          <w:tcPr>
            <w:tcW w:w="2066" w:type="dxa"/>
            <w:tcBorders>
              <w:top w:val="nil" w:sz="6" w:space="0" w:color="auto"/>
              <w:left w:val="nil" w:sz="6" w:space="0" w:color="auto"/>
              <w:bottom w:val="single" w:sz="17" w:space="0" w:color="000000"/>
              <w:right w:val="nil" w:sz="6" w:space="0" w:color="auto"/>
            </w:tcBorders>
          </w:tcPr>
          <w:p>
            <w:pPr>
              <w:pStyle w:val="TableParagraph"/>
              <w:spacing w:line="247" w:lineRule="exact"/>
              <w:ind w:right="101"/>
              <w:jc w:val="right"/>
              <w:rPr>
                <w:rFonts w:ascii="Arial" w:hAnsi="Arial" w:cs="Arial" w:eastAsia="Arial" w:hint="default"/>
                <w:sz w:val="22"/>
                <w:szCs w:val="22"/>
              </w:rPr>
            </w:pPr>
            <w:r>
              <w:rPr>
                <w:rFonts w:ascii="Arial"/>
                <w:spacing w:val="-1"/>
                <w:sz w:val="22"/>
              </w:rPr>
              <w:t>1,905,509</w:t>
            </w:r>
          </w:p>
        </w:tc>
      </w:tr>
    </w:tbl>
    <w:p>
      <w:pPr>
        <w:spacing w:line="240" w:lineRule="auto" w:before="1"/>
        <w:rPr>
          <w:rFonts w:ascii="Times New Roman" w:hAnsi="Times New Roman" w:cs="Times New Roman" w:eastAsia="Times New Roman" w:hint="default"/>
          <w:sz w:val="16"/>
          <w:szCs w:val="16"/>
        </w:rPr>
      </w:pPr>
    </w:p>
    <w:p>
      <w:pPr>
        <w:pStyle w:val="BodyText"/>
        <w:spacing w:line="225" w:lineRule="auto" w:before="48"/>
        <w:ind w:left="1245" w:right="214" w:hanging="711"/>
        <w:jc w:val="both"/>
      </w:pPr>
      <w:r>
        <w:rPr/>
        <w:t>注</w:t>
      </w:r>
      <w:r>
        <w:rPr>
          <w:spacing w:val="-57"/>
        </w:rPr>
        <w:t> </w:t>
      </w:r>
      <w:r>
        <w:rPr>
          <w:rFonts w:ascii="Arial" w:hAnsi="Arial" w:cs="Arial" w:eastAsia="Arial" w:hint="default"/>
        </w:rPr>
        <w:t>1</w:t>
      </w:r>
      <w:r>
        <w:rPr/>
        <w:t>：</w:t>
      </w:r>
      <w:r>
        <w:rPr>
          <w:spacing w:val="-16"/>
        </w:rPr>
        <w:t> </w:t>
      </w:r>
      <w:r>
        <w:rPr>
          <w:rFonts w:ascii="Arial" w:hAnsi="Arial" w:cs="Arial" w:eastAsia="Arial" w:hint="default"/>
        </w:rPr>
        <w:t>2018</w:t>
      </w:r>
      <w:r>
        <w:rPr>
          <w:rFonts w:ascii="Arial" w:hAnsi="Arial" w:cs="Arial" w:eastAsia="Arial" w:hint="default"/>
          <w:spacing w:val="-6"/>
        </w:rPr>
        <w:t> </w:t>
      </w:r>
      <w:r>
        <w:rPr/>
        <w:t>年</w:t>
      </w:r>
      <w:r>
        <w:rPr>
          <w:spacing w:val="-57"/>
        </w:rPr>
        <w:t> </w:t>
      </w:r>
      <w:r>
        <w:rPr>
          <w:rFonts w:ascii="Arial" w:hAnsi="Arial" w:cs="Arial" w:eastAsia="Arial" w:hint="default"/>
        </w:rPr>
        <w:t>12</w:t>
      </w:r>
      <w:r>
        <w:rPr>
          <w:rFonts w:ascii="Arial" w:hAnsi="Arial" w:cs="Arial" w:eastAsia="Arial" w:hint="default"/>
          <w:spacing w:val="-6"/>
        </w:rPr>
        <w:t> </w:t>
      </w:r>
      <w:r>
        <w:rPr/>
        <w:t>月，联通红筹公司自联通集团</w:t>
      </w:r>
      <w:r>
        <w:rPr>
          <w:spacing w:val="-57"/>
        </w:rPr>
        <w:t> </w:t>
      </w:r>
      <w:r>
        <w:rPr>
          <w:rFonts w:ascii="Arial" w:hAnsi="Arial" w:cs="Arial" w:eastAsia="Arial" w:hint="default"/>
        </w:rPr>
        <w:t>BVI</w:t>
      </w:r>
      <w:r>
        <w:rPr>
          <w:rFonts w:ascii="Arial" w:hAnsi="Arial" w:cs="Arial" w:eastAsia="Arial" w:hint="default"/>
          <w:spacing w:val="-12"/>
        </w:rPr>
        <w:t> </w:t>
      </w:r>
      <w:r>
        <w:rPr/>
        <w:t>公司借入贷款港币</w:t>
      </w:r>
      <w:r>
        <w:rPr>
          <w:spacing w:val="-57"/>
        </w:rPr>
        <w:t> </w:t>
      </w:r>
      <w:r>
        <w:rPr>
          <w:rFonts w:ascii="Arial" w:hAnsi="Arial" w:cs="Arial" w:eastAsia="Arial" w:hint="default"/>
        </w:rPr>
        <w:t>0.02</w:t>
      </w:r>
      <w:r>
        <w:rPr>
          <w:rFonts w:ascii="Arial" w:hAnsi="Arial" w:cs="Arial" w:eastAsia="Arial" w:hint="default"/>
          <w:spacing w:val="-6"/>
        </w:rPr>
        <w:t> </w:t>
      </w:r>
      <w:r>
        <w:rPr/>
        <w:t>亿元，借款利率为香</w:t>
      </w:r>
      <w:r>
        <w:rPr>
          <w:w w:val="100"/>
        </w:rPr>
        <w:t> </w:t>
      </w:r>
      <w:r>
        <w:rPr>
          <w:spacing w:val="-1"/>
          <w:w w:val="100"/>
        </w:rPr>
        <w:t>港银行同业拆借利率上浮</w:t>
      </w:r>
      <w:r>
        <w:rPr>
          <w:spacing w:val="-54"/>
          <w:w w:val="100"/>
        </w:rPr>
        <w:t> </w:t>
      </w:r>
      <w:r>
        <w:rPr>
          <w:rFonts w:ascii="Arial" w:hAnsi="Arial" w:cs="Arial" w:eastAsia="Arial" w:hint="default"/>
          <w:spacing w:val="-9"/>
          <w:w w:val="100"/>
        </w:rPr>
        <w:t>1.11%</w:t>
      </w:r>
      <w:r>
        <w:rPr>
          <w:spacing w:val="-9"/>
          <w:w w:val="100"/>
        </w:rPr>
        <w:t>；借入贷款人民币</w:t>
      </w:r>
      <w:r>
        <w:rPr>
          <w:spacing w:val="-59"/>
          <w:w w:val="100"/>
        </w:rPr>
        <w:t> </w:t>
      </w:r>
      <w:r>
        <w:rPr>
          <w:rFonts w:ascii="Arial" w:hAnsi="Arial" w:cs="Arial" w:eastAsia="Arial" w:hint="default"/>
          <w:spacing w:val="1"/>
          <w:w w:val="100"/>
        </w:rPr>
        <w:t>0.46</w:t>
      </w:r>
      <w:r>
        <w:rPr>
          <w:rFonts w:ascii="Arial" w:hAnsi="Arial" w:cs="Arial" w:eastAsia="Arial" w:hint="default"/>
          <w:spacing w:val="-7"/>
          <w:w w:val="100"/>
        </w:rPr>
        <w:t> </w:t>
      </w:r>
      <w:r>
        <w:rPr>
          <w:spacing w:val="-10"/>
          <w:w w:val="100"/>
        </w:rPr>
        <w:t>亿元，借款利率为固定利率</w:t>
      </w:r>
      <w:r>
        <w:rPr>
          <w:spacing w:val="-59"/>
          <w:w w:val="100"/>
        </w:rPr>
        <w:t> </w:t>
      </w:r>
      <w:r>
        <w:rPr>
          <w:rFonts w:ascii="Arial" w:hAnsi="Arial" w:cs="Arial" w:eastAsia="Arial" w:hint="default"/>
          <w:w w:val="100"/>
        </w:rPr>
        <w:t>4.77%</w:t>
      </w:r>
      <w:r>
        <w:rPr>
          <w:w w:val="100"/>
        </w:rPr>
        <w:t>。</w:t>
      </w:r>
      <w:r>
        <w:rPr>
          <w:w w:val="100"/>
        </w:rPr>
        <w:t> </w:t>
      </w:r>
      <w:r>
        <w:rPr/>
        <w:t>该两笔借款期限为</w:t>
      </w:r>
      <w:r>
        <w:rPr>
          <w:spacing w:val="-57"/>
        </w:rPr>
        <w:t> </w:t>
      </w:r>
      <w:r>
        <w:rPr>
          <w:rFonts w:ascii="Arial" w:hAnsi="Arial" w:cs="Arial" w:eastAsia="Arial" w:hint="default"/>
        </w:rPr>
        <w:t>1</w:t>
      </w:r>
      <w:r>
        <w:rPr>
          <w:rFonts w:ascii="Arial" w:hAnsi="Arial" w:cs="Arial" w:eastAsia="Arial" w:hint="default"/>
          <w:spacing w:val="-6"/>
        </w:rPr>
        <w:t> </w:t>
      </w:r>
      <w:r>
        <w:rPr/>
        <w:t>年，将于</w:t>
      </w:r>
      <w:r>
        <w:rPr>
          <w:spacing w:val="-57"/>
        </w:rPr>
        <w:t> </w:t>
      </w:r>
      <w:r>
        <w:rPr>
          <w:rFonts w:ascii="Arial" w:hAnsi="Arial" w:cs="Arial" w:eastAsia="Arial" w:hint="default"/>
        </w:rPr>
        <w:t>2019</w:t>
      </w:r>
      <w:r>
        <w:rPr>
          <w:rFonts w:ascii="Arial" w:hAnsi="Arial" w:cs="Arial" w:eastAsia="Arial" w:hint="default"/>
          <w:spacing w:val="-6"/>
        </w:rPr>
        <w:t> </w:t>
      </w:r>
      <w:r>
        <w:rPr/>
        <w:t>年</w:t>
      </w:r>
      <w:r>
        <w:rPr>
          <w:spacing w:val="-57"/>
        </w:rPr>
        <w:t> </w:t>
      </w:r>
      <w:r>
        <w:rPr>
          <w:rFonts w:ascii="Arial" w:hAnsi="Arial" w:cs="Arial" w:eastAsia="Arial" w:hint="default"/>
        </w:rPr>
        <w:t>12</w:t>
      </w:r>
      <w:r>
        <w:rPr>
          <w:rFonts w:ascii="Arial" w:hAnsi="Arial" w:cs="Arial" w:eastAsia="Arial" w:hint="default"/>
          <w:spacing w:val="-6"/>
        </w:rPr>
        <w:t> </w:t>
      </w:r>
      <w:r>
        <w:rPr/>
        <w:t>月到期，已于</w:t>
      </w:r>
      <w:r>
        <w:rPr>
          <w:spacing w:val="-57"/>
        </w:rPr>
        <w:t> </w:t>
      </w:r>
      <w:r>
        <w:rPr>
          <w:rFonts w:ascii="Arial" w:hAnsi="Arial" w:cs="Arial" w:eastAsia="Arial" w:hint="default"/>
        </w:rPr>
        <w:t>2019</w:t>
      </w:r>
      <w:r>
        <w:rPr>
          <w:rFonts w:ascii="Arial" w:hAnsi="Arial" w:cs="Arial" w:eastAsia="Arial" w:hint="default"/>
          <w:spacing w:val="-6"/>
        </w:rPr>
        <w:t> </w:t>
      </w:r>
      <w:r>
        <w:rPr/>
        <w:t>年</w:t>
      </w:r>
      <w:r>
        <w:rPr>
          <w:spacing w:val="-57"/>
        </w:rPr>
        <w:t> </w:t>
      </w:r>
      <w:r>
        <w:rPr>
          <w:rFonts w:ascii="Arial" w:hAnsi="Arial" w:cs="Arial" w:eastAsia="Arial" w:hint="default"/>
        </w:rPr>
        <w:t>1</w:t>
      </w:r>
      <w:r>
        <w:rPr>
          <w:rFonts w:ascii="Arial" w:hAnsi="Arial" w:cs="Arial" w:eastAsia="Arial" w:hint="default"/>
          <w:spacing w:val="-6"/>
        </w:rPr>
        <w:t> </w:t>
      </w:r>
      <w:r>
        <w:rPr/>
        <w:t>月提前偿还。</w:t>
      </w:r>
    </w:p>
    <w:p>
      <w:pPr>
        <w:spacing w:line="240" w:lineRule="auto" w:before="1"/>
        <w:rPr>
          <w:rFonts w:ascii="宋体" w:hAnsi="宋体" w:cs="宋体" w:eastAsia="宋体" w:hint="default"/>
          <w:sz w:val="18"/>
          <w:szCs w:val="18"/>
        </w:rPr>
      </w:pPr>
    </w:p>
    <w:p>
      <w:pPr>
        <w:pStyle w:val="BodyText"/>
        <w:spacing w:line="293" w:lineRule="exact"/>
        <w:ind w:left="1245" w:right="101"/>
        <w:jc w:val="left"/>
      </w:pPr>
      <w:r>
        <w:rPr>
          <w:rFonts w:ascii="Arial" w:hAnsi="Arial" w:cs="Arial" w:eastAsia="Arial" w:hint="default"/>
        </w:rPr>
        <w:t>2019</w:t>
      </w:r>
      <w:r>
        <w:rPr>
          <w:rFonts w:ascii="Arial" w:hAnsi="Arial" w:cs="Arial" w:eastAsia="Arial" w:hint="default"/>
          <w:spacing w:val="-1"/>
        </w:rPr>
        <w:t> </w:t>
      </w:r>
      <w:r>
        <w:rPr/>
        <w:t>年</w:t>
      </w:r>
      <w:r>
        <w:rPr>
          <w:spacing w:val="-52"/>
        </w:rPr>
        <w:t> </w:t>
      </w:r>
      <w:r>
        <w:rPr>
          <w:rFonts w:ascii="Arial" w:hAnsi="Arial" w:cs="Arial" w:eastAsia="Arial" w:hint="default"/>
        </w:rPr>
        <w:t>3</w:t>
      </w:r>
      <w:r>
        <w:rPr>
          <w:rFonts w:ascii="Arial" w:hAnsi="Arial" w:cs="Arial" w:eastAsia="Arial" w:hint="default"/>
          <w:spacing w:val="-1"/>
        </w:rPr>
        <w:t> </w:t>
      </w:r>
      <w:r>
        <w:rPr/>
        <w:t>月及</w:t>
      </w:r>
      <w:r>
        <w:rPr>
          <w:spacing w:val="-52"/>
        </w:rPr>
        <w:t> </w:t>
      </w:r>
      <w:r>
        <w:rPr>
          <w:rFonts w:ascii="Arial" w:hAnsi="Arial" w:cs="Arial" w:eastAsia="Arial" w:hint="default"/>
        </w:rPr>
        <w:t>4</w:t>
      </w:r>
      <w:r>
        <w:rPr>
          <w:rFonts w:ascii="Arial" w:hAnsi="Arial" w:cs="Arial" w:eastAsia="Arial" w:hint="default"/>
          <w:spacing w:val="-1"/>
        </w:rPr>
        <w:t> </w:t>
      </w:r>
      <w:r>
        <w:rPr>
          <w:spacing w:val="-4"/>
        </w:rPr>
        <w:t>月，联通运营公司通过财务公司自智慧足迹共借入委托贷款人民币</w:t>
      </w:r>
      <w:r>
        <w:rPr>
          <w:spacing w:val="-52"/>
        </w:rPr>
        <w:t> </w:t>
      </w:r>
      <w:r>
        <w:rPr>
          <w:rFonts w:ascii="Arial" w:hAnsi="Arial" w:cs="Arial" w:eastAsia="Arial" w:hint="default"/>
        </w:rPr>
        <w:t>0.50</w:t>
      </w:r>
      <w:r>
        <w:rPr>
          <w:rFonts w:ascii="Arial" w:hAnsi="Arial" w:cs="Arial" w:eastAsia="Arial" w:hint="default"/>
          <w:spacing w:val="-5"/>
        </w:rPr>
        <w:t> </w:t>
      </w:r>
      <w:r>
        <w:rPr/>
        <w:t>亿</w:t>
      </w:r>
    </w:p>
    <w:p>
      <w:pPr>
        <w:pStyle w:val="BodyText"/>
        <w:spacing w:line="293" w:lineRule="exact"/>
        <w:ind w:left="1245" w:right="101"/>
        <w:jc w:val="left"/>
      </w:pPr>
      <w:r>
        <w:rPr/>
        <w:t>元，借款利率为固定利率</w:t>
      </w:r>
      <w:r>
        <w:rPr>
          <w:spacing w:val="-57"/>
        </w:rPr>
        <w:t> </w:t>
      </w:r>
      <w:r>
        <w:rPr>
          <w:rFonts w:ascii="Arial" w:hAnsi="Arial" w:cs="Arial" w:eastAsia="Arial" w:hint="default"/>
        </w:rPr>
        <w:t>3.92%</w:t>
      </w:r>
      <w:r>
        <w:rPr/>
        <w:t>，两笔委托贷款将分别于</w:t>
      </w:r>
      <w:r>
        <w:rPr>
          <w:spacing w:val="-57"/>
        </w:rPr>
        <w:t> </w:t>
      </w:r>
      <w:r>
        <w:rPr>
          <w:rFonts w:ascii="Arial" w:hAnsi="Arial" w:cs="Arial" w:eastAsia="Arial" w:hint="default"/>
        </w:rPr>
        <w:t>2020</w:t>
      </w:r>
      <w:r>
        <w:rPr>
          <w:rFonts w:ascii="Arial" w:hAnsi="Arial" w:cs="Arial" w:eastAsia="Arial" w:hint="default"/>
          <w:spacing w:val="-6"/>
        </w:rPr>
        <w:t> </w:t>
      </w:r>
      <w:r>
        <w:rPr/>
        <w:t>年</w:t>
      </w:r>
      <w:r>
        <w:rPr>
          <w:spacing w:val="-57"/>
        </w:rPr>
        <w:t> </w:t>
      </w:r>
      <w:r>
        <w:rPr>
          <w:rFonts w:ascii="Arial" w:hAnsi="Arial" w:cs="Arial" w:eastAsia="Arial" w:hint="default"/>
        </w:rPr>
        <w:t>3</w:t>
      </w:r>
      <w:r>
        <w:rPr>
          <w:rFonts w:ascii="Arial" w:hAnsi="Arial" w:cs="Arial" w:eastAsia="Arial" w:hint="default"/>
          <w:spacing w:val="-6"/>
        </w:rPr>
        <w:t> </w:t>
      </w:r>
      <w:r>
        <w:rPr/>
        <w:t>月和</w:t>
      </w:r>
      <w:r>
        <w:rPr>
          <w:spacing w:val="-57"/>
        </w:rPr>
        <w:t> </w:t>
      </w:r>
      <w:r>
        <w:rPr>
          <w:rFonts w:ascii="Arial" w:hAnsi="Arial" w:cs="Arial" w:eastAsia="Arial" w:hint="default"/>
        </w:rPr>
        <w:t>4</w:t>
      </w:r>
      <w:r>
        <w:rPr>
          <w:rFonts w:ascii="Arial" w:hAnsi="Arial" w:cs="Arial" w:eastAsia="Arial" w:hint="default"/>
          <w:spacing w:val="-6"/>
        </w:rPr>
        <w:t> </w:t>
      </w:r>
      <w:r>
        <w:rPr/>
        <w:t>月到期。</w:t>
      </w:r>
    </w:p>
    <w:p>
      <w:pPr>
        <w:spacing w:line="240" w:lineRule="auto" w:before="12"/>
        <w:rPr>
          <w:rFonts w:ascii="宋体" w:hAnsi="宋体" w:cs="宋体" w:eastAsia="宋体" w:hint="default"/>
          <w:sz w:val="19"/>
          <w:szCs w:val="19"/>
        </w:rPr>
      </w:pPr>
    </w:p>
    <w:p>
      <w:pPr>
        <w:pStyle w:val="BodyText"/>
        <w:spacing w:line="288" w:lineRule="exact"/>
        <w:ind w:left="1244" w:right="212" w:hanging="711"/>
        <w:jc w:val="left"/>
      </w:pPr>
      <w:r>
        <w:rPr/>
        <w:t>注</w:t>
      </w:r>
      <w:r>
        <w:rPr>
          <w:spacing w:val="-54"/>
        </w:rPr>
        <w:t> </w:t>
      </w:r>
      <w:r>
        <w:rPr>
          <w:rFonts w:ascii="Arial" w:hAnsi="Arial" w:cs="Arial" w:eastAsia="Arial" w:hint="default"/>
        </w:rPr>
        <w:t>2</w:t>
      </w:r>
      <w:r>
        <w:rPr/>
        <w:t>：</w:t>
      </w:r>
      <w:r>
        <w:rPr>
          <w:spacing w:val="-11"/>
        </w:rPr>
        <w:t> </w:t>
      </w:r>
      <w:r>
        <w:rPr/>
        <w:t>于</w:t>
      </w:r>
      <w:r>
        <w:rPr>
          <w:spacing w:val="-54"/>
        </w:rPr>
        <w:t> </w:t>
      </w:r>
      <w:r>
        <w:rPr>
          <w:rFonts w:ascii="Arial" w:hAnsi="Arial" w:cs="Arial" w:eastAsia="Arial" w:hint="default"/>
        </w:rPr>
        <w:t>2019</w:t>
      </w:r>
      <w:r>
        <w:rPr>
          <w:rFonts w:ascii="Arial" w:hAnsi="Arial" w:cs="Arial" w:eastAsia="Arial" w:hint="default"/>
          <w:spacing w:val="-2"/>
        </w:rPr>
        <w:t> </w:t>
      </w:r>
      <w:r>
        <w:rPr/>
        <w:t>年</w:t>
      </w:r>
      <w:r>
        <w:rPr>
          <w:spacing w:val="-59"/>
        </w:rPr>
        <w:t> </w:t>
      </w:r>
      <w:r>
        <w:rPr>
          <w:rFonts w:ascii="Arial" w:hAnsi="Arial" w:cs="Arial" w:eastAsia="Arial" w:hint="default"/>
        </w:rPr>
        <w:t>12</w:t>
      </w:r>
      <w:r>
        <w:rPr>
          <w:rFonts w:ascii="Arial" w:hAnsi="Arial" w:cs="Arial" w:eastAsia="Arial" w:hint="default"/>
          <w:spacing w:val="-2"/>
        </w:rPr>
        <w:t> </w:t>
      </w:r>
      <w:r>
        <w:rPr/>
        <w:t>月</w:t>
      </w:r>
      <w:r>
        <w:rPr>
          <w:spacing w:val="-54"/>
        </w:rPr>
        <w:t> </w:t>
      </w:r>
      <w:r>
        <w:rPr>
          <w:rFonts w:ascii="Arial" w:hAnsi="Arial" w:cs="Arial" w:eastAsia="Arial" w:hint="default"/>
        </w:rPr>
        <w:t>31</w:t>
      </w:r>
      <w:r>
        <w:rPr>
          <w:rFonts w:ascii="Arial" w:hAnsi="Arial" w:cs="Arial" w:eastAsia="Arial" w:hint="default"/>
          <w:spacing w:val="-2"/>
        </w:rPr>
        <w:t> </w:t>
      </w:r>
      <w:r>
        <w:rPr>
          <w:spacing w:val="-3"/>
        </w:rPr>
        <w:t>日，对联通集团及其子公司的其他应付款主要为财务公司吸收存款余额</w:t>
      </w:r>
      <w:r>
        <w:rPr>
          <w:w w:val="100"/>
        </w:rPr>
        <w:t> </w:t>
      </w:r>
      <w:r>
        <w:rPr/>
        <w:t>人民币</w:t>
      </w:r>
      <w:r>
        <w:rPr>
          <w:spacing w:val="-55"/>
        </w:rPr>
        <w:t> </w:t>
      </w:r>
      <w:r>
        <w:rPr>
          <w:rFonts w:ascii="Arial" w:hAnsi="Arial" w:cs="Arial" w:eastAsia="Arial" w:hint="default"/>
        </w:rPr>
        <w:t>43.74</w:t>
      </w:r>
      <w:r>
        <w:rPr>
          <w:rFonts w:ascii="Arial" w:hAnsi="Arial" w:cs="Arial" w:eastAsia="Arial" w:hint="default"/>
          <w:spacing w:val="-4"/>
        </w:rPr>
        <w:t> </w:t>
      </w:r>
      <w:r>
        <w:rPr/>
        <w:t>亿元，年利率范围为</w:t>
      </w:r>
      <w:r>
        <w:rPr>
          <w:spacing w:val="-59"/>
        </w:rPr>
        <w:t> </w:t>
      </w:r>
      <w:r>
        <w:rPr>
          <w:rFonts w:ascii="Arial" w:hAnsi="Arial" w:cs="Arial" w:eastAsia="Arial" w:hint="default"/>
        </w:rPr>
        <w:t>0.42%-2.75%</w:t>
      </w:r>
      <w:r>
        <w:rPr/>
        <w:t>。</w:t>
      </w:r>
    </w:p>
    <w:p>
      <w:pPr>
        <w:spacing w:line="240" w:lineRule="auto" w:before="1"/>
        <w:rPr>
          <w:rFonts w:ascii="宋体" w:hAnsi="宋体" w:cs="宋体" w:eastAsia="宋体" w:hint="default"/>
          <w:sz w:val="19"/>
          <w:szCs w:val="19"/>
        </w:rPr>
      </w:pPr>
    </w:p>
    <w:p>
      <w:pPr>
        <w:pStyle w:val="BodyText"/>
        <w:spacing w:line="288" w:lineRule="exact"/>
        <w:ind w:left="1244" w:right="206" w:hanging="1"/>
        <w:jc w:val="left"/>
      </w:pPr>
      <w:r>
        <w:rPr/>
        <w:t>于</w:t>
      </w:r>
      <w:r>
        <w:rPr>
          <w:spacing w:val="-47"/>
        </w:rPr>
        <w:t> </w:t>
      </w:r>
      <w:r>
        <w:rPr>
          <w:rFonts w:ascii="Arial" w:hAnsi="Arial" w:cs="Arial" w:eastAsia="Arial" w:hint="default"/>
        </w:rPr>
        <w:t>2019</w:t>
      </w:r>
      <w:r>
        <w:rPr>
          <w:rFonts w:ascii="Arial" w:hAnsi="Arial" w:cs="Arial" w:eastAsia="Arial" w:hint="default"/>
          <w:spacing w:val="-1"/>
        </w:rPr>
        <w:t> </w:t>
      </w:r>
      <w:r>
        <w:rPr/>
        <w:t>年</w:t>
      </w:r>
      <w:r>
        <w:rPr>
          <w:spacing w:val="-47"/>
        </w:rPr>
        <w:t> </w:t>
      </w:r>
      <w:r>
        <w:rPr>
          <w:rFonts w:ascii="Arial" w:hAnsi="Arial" w:cs="Arial" w:eastAsia="Arial" w:hint="default"/>
        </w:rPr>
        <w:t>12</w:t>
      </w:r>
      <w:r>
        <w:rPr>
          <w:rFonts w:ascii="Arial" w:hAnsi="Arial" w:cs="Arial" w:eastAsia="Arial" w:hint="default"/>
          <w:spacing w:val="4"/>
        </w:rPr>
        <w:t> </w:t>
      </w:r>
      <w:r>
        <w:rPr/>
        <w:t>月</w:t>
      </w:r>
      <w:r>
        <w:rPr>
          <w:spacing w:val="-52"/>
        </w:rPr>
        <w:t> </w:t>
      </w:r>
      <w:r>
        <w:rPr>
          <w:rFonts w:ascii="Arial" w:hAnsi="Arial" w:cs="Arial" w:eastAsia="Arial" w:hint="default"/>
        </w:rPr>
        <w:t>31</w:t>
      </w:r>
      <w:r>
        <w:rPr>
          <w:rFonts w:ascii="Arial" w:hAnsi="Arial" w:cs="Arial" w:eastAsia="Arial" w:hint="default"/>
          <w:spacing w:val="4"/>
        </w:rPr>
        <w:t> </w:t>
      </w:r>
      <w:r>
        <w:rPr/>
        <w:t>日，财务公司自智慧足迹吸收存款余额为人民币</w:t>
      </w:r>
      <w:r>
        <w:rPr>
          <w:spacing w:val="-52"/>
        </w:rPr>
        <w:t> </w:t>
      </w:r>
      <w:r>
        <w:rPr>
          <w:rFonts w:ascii="Arial" w:hAnsi="Arial" w:cs="Arial" w:eastAsia="Arial" w:hint="default"/>
        </w:rPr>
        <w:t>0.08</w:t>
      </w:r>
      <w:r>
        <w:rPr>
          <w:rFonts w:ascii="Arial" w:hAnsi="Arial" w:cs="Arial" w:eastAsia="Arial" w:hint="default"/>
          <w:spacing w:val="-1"/>
        </w:rPr>
        <w:t> </w:t>
      </w:r>
      <w:r>
        <w:rPr/>
        <w:t>亿元，年利率范</w:t>
      </w:r>
      <w:r>
        <w:rPr>
          <w:w w:val="100"/>
        </w:rPr>
        <w:t> </w:t>
      </w:r>
      <w:r>
        <w:rPr/>
        <w:t>围为</w:t>
      </w:r>
      <w:r>
        <w:rPr>
          <w:spacing w:val="-55"/>
        </w:rPr>
        <w:t> </w:t>
      </w:r>
      <w:r>
        <w:rPr>
          <w:rFonts w:ascii="Arial" w:hAnsi="Arial" w:cs="Arial" w:eastAsia="Arial" w:hint="default"/>
        </w:rPr>
        <w:t>0.42%-1.50%</w:t>
      </w:r>
      <w:r>
        <w:rPr/>
        <w:t>。</w:t>
      </w:r>
    </w:p>
    <w:p>
      <w:pPr>
        <w:spacing w:line="240" w:lineRule="auto" w:before="3"/>
        <w:rPr>
          <w:rFonts w:ascii="宋体" w:hAnsi="宋体" w:cs="宋体" w:eastAsia="宋体" w:hint="default"/>
          <w:sz w:val="18"/>
          <w:szCs w:val="18"/>
        </w:rPr>
      </w:pPr>
    </w:p>
    <w:p>
      <w:pPr>
        <w:pStyle w:val="BodyText"/>
        <w:spacing w:line="225" w:lineRule="auto"/>
        <w:ind w:left="1244" w:right="101" w:hanging="687"/>
        <w:jc w:val="left"/>
      </w:pPr>
      <w:r>
        <w:rPr/>
        <w:t>注</w:t>
      </w:r>
      <w:r>
        <w:rPr>
          <w:spacing w:val="-59"/>
        </w:rPr>
        <w:t> </w:t>
      </w:r>
      <w:r>
        <w:rPr>
          <w:rFonts w:ascii="Arial" w:hAnsi="Arial" w:cs="Arial" w:eastAsia="Arial" w:hint="default"/>
        </w:rPr>
        <w:t>3</w:t>
      </w:r>
      <w:r>
        <w:rPr/>
        <w:t>：</w:t>
      </w:r>
      <w:r>
        <w:rPr>
          <w:spacing w:val="-44"/>
        </w:rPr>
        <w:t> </w:t>
      </w:r>
      <w:r>
        <w:rPr/>
        <w:t>于</w:t>
      </w:r>
      <w:r>
        <w:rPr>
          <w:spacing w:val="-49"/>
        </w:rPr>
        <w:t> </w:t>
      </w:r>
      <w:r>
        <w:rPr>
          <w:rFonts w:ascii="Arial" w:hAnsi="Arial" w:cs="Arial" w:eastAsia="Arial" w:hint="default"/>
        </w:rPr>
        <w:t>2019</w:t>
      </w:r>
      <w:r>
        <w:rPr>
          <w:rFonts w:ascii="Arial" w:hAnsi="Arial" w:cs="Arial" w:eastAsia="Arial" w:hint="default"/>
          <w:spacing w:val="-3"/>
        </w:rPr>
        <w:t> </w:t>
      </w:r>
      <w:r>
        <w:rPr/>
        <w:t>年</w:t>
      </w:r>
      <w:r>
        <w:rPr>
          <w:spacing w:val="-49"/>
        </w:rPr>
        <w:t> </w:t>
      </w:r>
      <w:r>
        <w:rPr>
          <w:rFonts w:ascii="Arial" w:hAnsi="Arial" w:cs="Arial" w:eastAsia="Arial" w:hint="default"/>
        </w:rPr>
        <w:t>12</w:t>
      </w:r>
      <w:r>
        <w:rPr>
          <w:rFonts w:ascii="Arial" w:hAnsi="Arial" w:cs="Arial" w:eastAsia="Arial" w:hint="default"/>
          <w:spacing w:val="-3"/>
        </w:rPr>
        <w:t> </w:t>
      </w:r>
      <w:r>
        <w:rPr/>
        <w:t>月</w:t>
      </w:r>
      <w:r>
        <w:rPr>
          <w:spacing w:val="-49"/>
        </w:rPr>
        <w:t> </w:t>
      </w:r>
      <w:r>
        <w:rPr>
          <w:rFonts w:ascii="Arial" w:hAnsi="Arial" w:cs="Arial" w:eastAsia="Arial" w:hint="default"/>
        </w:rPr>
        <w:t>31</w:t>
      </w:r>
      <w:r>
        <w:rPr>
          <w:rFonts w:ascii="Arial" w:hAnsi="Arial" w:cs="Arial" w:eastAsia="Arial" w:hint="default"/>
          <w:spacing w:val="2"/>
        </w:rPr>
        <w:t> </w:t>
      </w:r>
      <w:r>
        <w:rPr/>
        <w:t>日，财务公司向联通集团及其子公司发放贷款余额人民币</w:t>
      </w:r>
      <w:r>
        <w:rPr>
          <w:spacing w:val="-54"/>
        </w:rPr>
        <w:t> </w:t>
      </w:r>
      <w:r>
        <w:rPr>
          <w:rFonts w:ascii="Arial" w:hAnsi="Arial" w:cs="Arial" w:eastAsia="Arial" w:hint="default"/>
        </w:rPr>
        <w:t>77.04</w:t>
      </w:r>
      <w:r>
        <w:rPr>
          <w:rFonts w:ascii="Arial" w:hAnsi="Arial" w:cs="Arial" w:eastAsia="Arial" w:hint="default"/>
          <w:spacing w:val="2"/>
        </w:rPr>
        <w:t> </w:t>
      </w:r>
      <w:r>
        <w:rPr/>
        <w:t>亿元。</w:t>
      </w:r>
      <w:r>
        <w:rPr>
          <w:w w:val="100"/>
        </w:rPr>
        <w:t> </w:t>
      </w:r>
      <w:r>
        <w:rPr/>
        <w:t>借款利率以起息日当日中国人民银行公布施行的同期同档次贷款利率的 </w:t>
      </w:r>
      <w:r>
        <w:rPr>
          <w:rFonts w:ascii="Arial" w:hAnsi="Arial" w:cs="Arial" w:eastAsia="Arial" w:hint="default"/>
        </w:rPr>
        <w:t>90</w:t>
      </w:r>
      <w:r>
        <w:rPr/>
        <w:t>％至</w:t>
      </w:r>
      <w:r>
        <w:rPr>
          <w:spacing w:val="-30"/>
        </w:rPr>
        <w:t> </w:t>
      </w:r>
      <w:r>
        <w:rPr>
          <w:rFonts w:ascii="Arial" w:hAnsi="Arial" w:cs="Arial" w:eastAsia="Arial" w:hint="default"/>
        </w:rPr>
        <w:t>110</w:t>
      </w:r>
      <w:r>
        <w:rPr/>
        <w:t>％浮动</w:t>
      </w:r>
      <w:r>
        <w:rPr>
          <w:w w:val="100"/>
        </w:rPr>
        <w:t> </w:t>
      </w:r>
      <w:r>
        <w:rPr/>
        <w:t>利率计息。</w:t>
      </w:r>
    </w:p>
    <w:p>
      <w:pPr>
        <w:spacing w:after="0" w:line="225" w:lineRule="auto"/>
        <w:jc w:val="left"/>
        <w:sectPr>
          <w:headerReference w:type="default" r:id="rId229"/>
          <w:pgSz w:w="11910" w:h="16840"/>
          <w:pgMar w:header="1183" w:footer="502" w:top="3580" w:bottom="700" w:left="1020" w:right="700"/>
        </w:sectPr>
      </w:pPr>
    </w:p>
    <w:p>
      <w:pPr>
        <w:spacing w:line="240" w:lineRule="auto" w:before="10"/>
        <w:rPr>
          <w:rFonts w:ascii="宋体" w:hAnsi="宋体" w:cs="宋体" w:eastAsia="宋体" w:hint="default"/>
          <w:sz w:val="15"/>
          <w:szCs w:val="15"/>
        </w:rPr>
      </w:pPr>
    </w:p>
    <w:p>
      <w:pPr>
        <w:pStyle w:val="BodyText"/>
        <w:tabs>
          <w:tab w:pos="1245" w:val="left" w:leader="none"/>
        </w:tabs>
        <w:spacing w:line="296" w:lineRule="exact" w:before="32"/>
        <w:ind w:left="563" w:right="0"/>
        <w:jc w:val="left"/>
      </w:pPr>
      <w:r>
        <w:rPr/>
        <w:t>注</w:t>
      </w:r>
      <w:r>
        <w:rPr>
          <w:spacing w:val="-57"/>
        </w:rPr>
        <w:t> </w:t>
      </w:r>
      <w:r>
        <w:rPr>
          <w:rFonts w:ascii="Arial" w:hAnsi="Arial" w:cs="Arial" w:eastAsia="Arial" w:hint="default"/>
        </w:rPr>
        <w:t>4</w:t>
        <w:tab/>
      </w:r>
      <w:r>
        <w:rPr>
          <w:spacing w:val="-3"/>
        </w:rPr>
        <w:t>根据联通运营公司与铁塔公司就若干通信铁塔及相关资产的使用事项签订的协议安排，本</w:t>
      </w:r>
    </w:p>
    <w:p>
      <w:pPr>
        <w:pStyle w:val="BodyText"/>
        <w:spacing w:line="286" w:lineRule="exact"/>
        <w:ind w:left="1245" w:right="0"/>
        <w:jc w:val="left"/>
      </w:pPr>
      <w:r>
        <w:rPr/>
        <w:t>集团于</w:t>
      </w:r>
      <w:r>
        <w:rPr>
          <w:spacing w:val="-52"/>
        </w:rPr>
        <w:t> </w:t>
      </w:r>
      <w:r>
        <w:rPr>
          <w:rFonts w:ascii="Arial" w:hAnsi="Arial" w:cs="Arial" w:eastAsia="Arial" w:hint="default"/>
        </w:rPr>
        <w:t>2019</w:t>
      </w:r>
      <w:r>
        <w:rPr>
          <w:rFonts w:ascii="Arial" w:hAnsi="Arial" w:cs="Arial" w:eastAsia="Arial" w:hint="default"/>
          <w:spacing w:val="-1"/>
        </w:rPr>
        <w:t> </w:t>
      </w:r>
      <w:r>
        <w:rPr/>
        <w:t>年</w:t>
      </w:r>
      <w:r>
        <w:rPr>
          <w:spacing w:val="-52"/>
        </w:rPr>
        <w:t> </w:t>
      </w:r>
      <w:r>
        <w:rPr>
          <w:rFonts w:ascii="Arial" w:hAnsi="Arial" w:cs="Arial" w:eastAsia="Arial" w:hint="default"/>
        </w:rPr>
        <w:t>12</w:t>
      </w:r>
      <w:r>
        <w:rPr>
          <w:rFonts w:ascii="Arial" w:hAnsi="Arial" w:cs="Arial" w:eastAsia="Arial" w:hint="default"/>
          <w:spacing w:val="-1"/>
        </w:rPr>
        <w:t> </w:t>
      </w:r>
      <w:r>
        <w:rPr/>
        <w:t>月</w:t>
      </w:r>
      <w:r>
        <w:rPr>
          <w:spacing w:val="-57"/>
        </w:rPr>
        <w:t> </w:t>
      </w:r>
      <w:r>
        <w:rPr>
          <w:rFonts w:ascii="Arial" w:hAnsi="Arial" w:cs="Arial" w:eastAsia="Arial" w:hint="default"/>
        </w:rPr>
        <w:t>31</w:t>
      </w:r>
      <w:r>
        <w:rPr>
          <w:rFonts w:ascii="Arial" w:hAnsi="Arial" w:cs="Arial" w:eastAsia="Arial" w:hint="default"/>
          <w:spacing w:val="-1"/>
        </w:rPr>
        <w:t> </w:t>
      </w:r>
      <w:r>
        <w:rPr/>
        <w:t>日确认了相关使用权资产人民币</w:t>
      </w:r>
      <w:r>
        <w:rPr>
          <w:spacing w:val="-52"/>
        </w:rPr>
        <w:t> </w:t>
      </w:r>
      <w:r>
        <w:rPr>
          <w:rFonts w:ascii="Arial" w:hAnsi="Arial" w:cs="Arial" w:eastAsia="Arial" w:hint="default"/>
        </w:rPr>
        <w:t>212.69</w:t>
      </w:r>
      <w:r>
        <w:rPr>
          <w:rFonts w:ascii="Arial" w:hAnsi="Arial" w:cs="Arial" w:eastAsia="Arial" w:hint="default"/>
          <w:spacing w:val="-1"/>
        </w:rPr>
        <w:t> </w:t>
      </w:r>
      <w:r>
        <w:rPr/>
        <w:t>亿元及租赁负债人民币</w:t>
      </w:r>
    </w:p>
    <w:p>
      <w:pPr>
        <w:pStyle w:val="BodyText"/>
        <w:spacing w:line="286" w:lineRule="exact"/>
        <w:ind w:left="1245" w:right="0"/>
        <w:jc w:val="left"/>
      </w:pPr>
      <w:r>
        <w:rPr>
          <w:rFonts w:ascii="Arial" w:hAnsi="Arial" w:cs="Arial" w:eastAsia="Arial" w:hint="default"/>
        </w:rPr>
        <w:t>220.76</w:t>
      </w:r>
      <w:r>
        <w:rPr>
          <w:rFonts w:ascii="Arial" w:hAnsi="Arial" w:cs="Arial" w:eastAsia="Arial" w:hint="default"/>
          <w:spacing w:val="-12"/>
        </w:rPr>
        <w:t> </w:t>
      </w:r>
      <w:r>
        <w:rPr/>
        <w:t>亿元。于</w:t>
      </w:r>
      <w:r>
        <w:rPr>
          <w:spacing w:val="-58"/>
        </w:rPr>
        <w:t> </w:t>
      </w:r>
      <w:r>
        <w:rPr>
          <w:rFonts w:ascii="Arial" w:hAnsi="Arial" w:cs="Arial" w:eastAsia="Arial" w:hint="default"/>
        </w:rPr>
        <w:t>2019</w:t>
      </w:r>
      <w:r>
        <w:rPr>
          <w:rFonts w:ascii="Arial" w:hAnsi="Arial" w:cs="Arial" w:eastAsia="Arial" w:hint="default"/>
          <w:spacing w:val="-7"/>
        </w:rPr>
        <w:t> </w:t>
      </w:r>
      <w:r>
        <w:rPr/>
        <w:t>年</w:t>
      </w:r>
      <w:r>
        <w:rPr>
          <w:spacing w:val="-63"/>
        </w:rPr>
        <w:t> </w:t>
      </w:r>
      <w:r>
        <w:rPr>
          <w:rFonts w:ascii="Arial" w:hAnsi="Arial" w:cs="Arial" w:eastAsia="Arial" w:hint="default"/>
        </w:rPr>
        <w:t>12</w:t>
      </w:r>
      <w:r>
        <w:rPr>
          <w:rFonts w:ascii="Arial" w:hAnsi="Arial" w:cs="Arial" w:eastAsia="Arial" w:hint="default"/>
          <w:spacing w:val="-7"/>
        </w:rPr>
        <w:t> </w:t>
      </w:r>
      <w:r>
        <w:rPr/>
        <w:t>月</w:t>
      </w:r>
      <w:r>
        <w:rPr>
          <w:spacing w:val="-58"/>
        </w:rPr>
        <w:t> </w:t>
      </w:r>
      <w:r>
        <w:rPr>
          <w:rFonts w:ascii="Arial" w:hAnsi="Arial" w:cs="Arial" w:eastAsia="Arial" w:hint="default"/>
        </w:rPr>
        <w:t>31</w:t>
      </w:r>
      <w:r>
        <w:rPr>
          <w:rFonts w:ascii="Arial" w:hAnsi="Arial" w:cs="Arial" w:eastAsia="Arial" w:hint="default"/>
          <w:spacing w:val="-7"/>
        </w:rPr>
        <w:t> </w:t>
      </w:r>
      <w:r>
        <w:rPr/>
        <w:t>日，应付铁塔公司余额为人民币</w:t>
      </w:r>
      <w:r>
        <w:rPr>
          <w:spacing w:val="-58"/>
        </w:rPr>
        <w:t> </w:t>
      </w:r>
      <w:r>
        <w:rPr>
          <w:rFonts w:ascii="Arial" w:hAnsi="Arial" w:cs="Arial" w:eastAsia="Arial" w:hint="default"/>
        </w:rPr>
        <w:t>27.45</w:t>
      </w:r>
      <w:r>
        <w:rPr>
          <w:rFonts w:ascii="Arial" w:hAnsi="Arial" w:cs="Arial" w:eastAsia="Arial" w:hint="default"/>
          <w:spacing w:val="-7"/>
        </w:rPr>
        <w:t> </w:t>
      </w:r>
      <w:r>
        <w:rPr/>
        <w:t>亿元（</w:t>
      </w:r>
      <w:r>
        <w:rPr>
          <w:rFonts w:ascii="Arial" w:hAnsi="Arial" w:cs="Arial" w:eastAsia="Arial" w:hint="default"/>
        </w:rPr>
        <w:t>2018</w:t>
      </w:r>
      <w:r>
        <w:rPr>
          <w:rFonts w:ascii="Arial" w:hAnsi="Arial" w:cs="Arial" w:eastAsia="Arial" w:hint="default"/>
          <w:spacing w:val="-7"/>
        </w:rPr>
        <w:t> </w:t>
      </w:r>
      <w:r>
        <w:rPr/>
        <w:t>年</w:t>
      </w:r>
    </w:p>
    <w:p>
      <w:pPr>
        <w:pStyle w:val="BodyText"/>
        <w:spacing w:line="296" w:lineRule="exact"/>
        <w:ind w:left="1245" w:right="0"/>
        <w:jc w:val="left"/>
      </w:pPr>
      <w:r>
        <w:rPr>
          <w:rFonts w:ascii="Arial" w:hAnsi="Arial" w:cs="Arial" w:eastAsia="Arial" w:hint="default"/>
        </w:rPr>
        <w:t>12</w:t>
      </w:r>
      <w:r>
        <w:rPr>
          <w:rFonts w:ascii="Arial" w:hAnsi="Arial" w:cs="Arial" w:eastAsia="Arial" w:hint="default"/>
          <w:spacing w:val="-6"/>
        </w:rPr>
        <w:t> </w:t>
      </w:r>
      <w:r>
        <w:rPr/>
        <w:t>月</w:t>
      </w:r>
      <w:r>
        <w:rPr>
          <w:spacing w:val="-57"/>
        </w:rPr>
        <w:t> </w:t>
      </w:r>
      <w:r>
        <w:rPr>
          <w:rFonts w:ascii="Arial" w:hAnsi="Arial" w:cs="Arial" w:eastAsia="Arial" w:hint="default"/>
        </w:rPr>
        <w:t>31</w:t>
      </w:r>
      <w:r>
        <w:rPr>
          <w:rFonts w:ascii="Arial" w:hAnsi="Arial" w:cs="Arial" w:eastAsia="Arial" w:hint="default"/>
          <w:spacing w:val="-6"/>
        </w:rPr>
        <w:t> </w:t>
      </w:r>
      <w:r>
        <w:rPr/>
        <w:t>日：人民币</w:t>
      </w:r>
      <w:r>
        <w:rPr>
          <w:spacing w:val="-57"/>
        </w:rPr>
        <w:t> </w:t>
      </w:r>
      <w:r>
        <w:rPr>
          <w:rFonts w:ascii="Arial" w:hAnsi="Arial" w:cs="Arial" w:eastAsia="Arial" w:hint="default"/>
        </w:rPr>
        <w:t>26.35</w:t>
      </w:r>
      <w:r>
        <w:rPr>
          <w:rFonts w:ascii="Arial" w:hAnsi="Arial" w:cs="Arial" w:eastAsia="Arial" w:hint="default"/>
          <w:spacing w:val="-6"/>
        </w:rPr>
        <w:t> </w:t>
      </w:r>
      <w:r>
        <w:rPr/>
        <w:t>亿元），主要包含铁塔租金、服务费等相关应付款项。</w:t>
      </w:r>
    </w:p>
    <w:p>
      <w:pPr>
        <w:spacing w:line="240" w:lineRule="auto" w:before="1"/>
        <w:rPr>
          <w:rFonts w:ascii="宋体" w:hAnsi="宋体" w:cs="宋体" w:eastAsia="宋体" w:hint="default"/>
          <w:sz w:val="19"/>
          <w:szCs w:val="19"/>
        </w:rPr>
      </w:pPr>
    </w:p>
    <w:p>
      <w:pPr>
        <w:pStyle w:val="BodyText"/>
        <w:spacing w:line="225" w:lineRule="auto"/>
        <w:ind w:left="1244" w:right="111" w:hanging="682"/>
        <w:jc w:val="both"/>
      </w:pPr>
      <w:r>
        <w:rPr/>
        <w:t>注 </w:t>
      </w:r>
      <w:r>
        <w:rPr>
          <w:rFonts w:ascii="Arial" w:hAnsi="Arial" w:cs="Arial" w:eastAsia="Arial" w:hint="default"/>
        </w:rPr>
        <w:t>5</w:t>
      </w:r>
      <w:r>
        <w:rPr>
          <w:rFonts w:ascii="Arial" w:hAnsi="Arial" w:cs="Arial" w:eastAsia="Arial" w:hint="default"/>
          <w:spacing w:val="20"/>
        </w:rPr>
        <w:t> </w:t>
      </w:r>
      <w:r>
        <w:rPr>
          <w:spacing w:val="-3"/>
        </w:rPr>
        <w:t>除上述款项以外，其他应收、应付关联公司余额均为无抵押、不计息、即期偿付或于有关</w:t>
      </w:r>
      <w:r>
        <w:rPr>
          <w:w w:val="100"/>
        </w:rPr>
        <w:t> </w:t>
      </w:r>
      <w:r>
        <w:rPr>
          <w:spacing w:val="-1"/>
        </w:rPr>
        <w:t>合同条款规定的期限内支付或收取，并在如附注十（</w:t>
      </w:r>
      <w:r>
        <w:rPr>
          <w:rFonts w:ascii="Arial" w:hAnsi="Arial" w:cs="Arial" w:eastAsia="Arial" w:hint="default"/>
          <w:spacing w:val="-1"/>
        </w:rPr>
        <w:t>5</w:t>
      </w:r>
      <w:r>
        <w:rPr>
          <w:spacing w:val="-1"/>
        </w:rPr>
        <w:t>）所述的与关联公司的正常经营交</w:t>
      </w:r>
      <w:r>
        <w:rPr>
          <w:w w:val="100"/>
        </w:rPr>
        <w:t> </w:t>
      </w:r>
      <w:r>
        <w:rPr/>
        <w:t>易中产生。</w:t>
      </w:r>
    </w:p>
    <w:p>
      <w:pPr>
        <w:spacing w:line="240" w:lineRule="auto" w:before="3"/>
        <w:rPr>
          <w:rFonts w:ascii="宋体" w:hAnsi="宋体" w:cs="宋体" w:eastAsia="宋体" w:hint="default"/>
          <w:sz w:val="19"/>
          <w:szCs w:val="19"/>
        </w:rPr>
      </w:pPr>
    </w:p>
    <w:p>
      <w:pPr>
        <w:pStyle w:val="BodyText"/>
        <w:spacing w:line="240" w:lineRule="auto"/>
        <w:ind w:left="111" w:right="0"/>
        <w:jc w:val="left"/>
      </w:pPr>
      <w:r>
        <w:rPr>
          <w:rFonts w:ascii="Arial" w:hAnsi="Arial" w:cs="Arial" w:eastAsia="Arial" w:hint="default"/>
        </w:rPr>
        <w:t>7</w:t>
      </w:r>
      <w:r>
        <w:rPr/>
        <w:t>、</w:t>
      </w:r>
      <w:r>
        <w:rPr>
          <w:spacing w:val="-22"/>
        </w:rPr>
        <w:t> </w:t>
      </w:r>
      <w:r>
        <w:rPr/>
        <w:t>关联方承诺</w:t>
      </w:r>
    </w:p>
    <w:p>
      <w:pPr>
        <w:spacing w:line="240" w:lineRule="auto" w:before="12"/>
        <w:rPr>
          <w:rFonts w:ascii="宋体" w:hAnsi="宋体" w:cs="宋体" w:eastAsia="宋体" w:hint="default"/>
          <w:sz w:val="19"/>
          <w:szCs w:val="19"/>
        </w:rPr>
      </w:pPr>
    </w:p>
    <w:p>
      <w:pPr>
        <w:pStyle w:val="BodyText"/>
        <w:spacing w:line="288" w:lineRule="exact"/>
        <w:ind w:left="562" w:right="116"/>
        <w:jc w:val="left"/>
      </w:pPr>
      <w:r>
        <w:rPr/>
        <w:t>于</w:t>
      </w:r>
      <w:r>
        <w:rPr>
          <w:spacing w:val="-49"/>
        </w:rPr>
        <w:t> </w:t>
      </w:r>
      <w:r>
        <w:rPr>
          <w:rFonts w:ascii="Arial" w:hAnsi="Arial" w:cs="Arial" w:eastAsia="Arial" w:hint="default"/>
        </w:rPr>
        <w:t>2018</w:t>
      </w:r>
      <w:r>
        <w:rPr>
          <w:rFonts w:ascii="Arial" w:hAnsi="Arial" w:cs="Arial" w:eastAsia="Arial" w:hint="default"/>
          <w:spacing w:val="3"/>
        </w:rPr>
        <w:t> </w:t>
      </w:r>
      <w:r>
        <w:rPr/>
        <w:t>年</w:t>
      </w:r>
      <w:r>
        <w:rPr>
          <w:spacing w:val="-54"/>
        </w:rPr>
        <w:t> </w:t>
      </w:r>
      <w:r>
        <w:rPr>
          <w:rFonts w:ascii="Arial" w:hAnsi="Arial" w:cs="Arial" w:eastAsia="Arial" w:hint="default"/>
        </w:rPr>
        <w:t>12</w:t>
      </w:r>
      <w:r>
        <w:rPr>
          <w:rFonts w:ascii="Arial" w:hAnsi="Arial" w:cs="Arial" w:eastAsia="Arial" w:hint="default"/>
          <w:spacing w:val="3"/>
        </w:rPr>
        <w:t> </w:t>
      </w:r>
      <w:r>
        <w:rPr/>
        <w:t>月</w:t>
      </w:r>
      <w:r>
        <w:rPr>
          <w:spacing w:val="-49"/>
        </w:rPr>
        <w:t> </w:t>
      </w:r>
      <w:r>
        <w:rPr>
          <w:rFonts w:ascii="Arial" w:hAnsi="Arial" w:cs="Arial" w:eastAsia="Arial" w:hint="default"/>
        </w:rPr>
        <w:t>31</w:t>
      </w:r>
      <w:r>
        <w:rPr>
          <w:rFonts w:ascii="Arial" w:hAnsi="Arial" w:cs="Arial" w:eastAsia="Arial" w:hint="default"/>
          <w:spacing w:val="3"/>
        </w:rPr>
        <w:t> </w:t>
      </w:r>
      <w:r>
        <w:rPr>
          <w:spacing w:val="-3"/>
        </w:rPr>
        <w:t>日，根据已签订的不可撤销的租赁合同和其他承诺，本集团与关联方之间的</w:t>
      </w:r>
      <w:r>
        <w:rPr>
          <w:spacing w:val="-108"/>
        </w:rPr>
        <w:t> </w:t>
      </w:r>
      <w:r>
        <w:rPr>
          <w:spacing w:val="-108"/>
        </w:rPr>
      </w:r>
      <w:r>
        <w:rPr/>
        <w:t>未来应支付的租赁付款额和其他承诺付款额汇总如下：</w:t>
      </w:r>
    </w:p>
    <w:p>
      <w:pPr>
        <w:spacing w:line="240" w:lineRule="auto" w:before="2"/>
        <w:rPr>
          <w:rFonts w:ascii="宋体" w:hAnsi="宋体" w:cs="宋体" w:eastAsia="宋体" w:hint="default"/>
          <w:sz w:val="22"/>
          <w:szCs w:val="22"/>
        </w:rPr>
      </w:pPr>
    </w:p>
    <w:tbl>
      <w:tblPr>
        <w:tblW w:w="0" w:type="auto"/>
        <w:jc w:val="left"/>
        <w:tblInd w:w="469" w:type="dxa"/>
        <w:tblLayout w:type="fixed"/>
        <w:tblCellMar>
          <w:top w:w="0" w:type="dxa"/>
          <w:left w:w="0" w:type="dxa"/>
          <w:bottom w:w="0" w:type="dxa"/>
          <w:right w:w="0" w:type="dxa"/>
        </w:tblCellMar>
        <w:tblLook w:val="01E0"/>
      </w:tblPr>
      <w:tblGrid>
        <w:gridCol w:w="6238"/>
        <w:gridCol w:w="3034"/>
      </w:tblGrid>
      <w:tr>
        <w:trPr>
          <w:trHeight w:val="260" w:hRule="exact"/>
        </w:trPr>
        <w:tc>
          <w:tcPr>
            <w:tcW w:w="6238" w:type="dxa"/>
            <w:tcBorders>
              <w:top w:val="nil" w:sz="6" w:space="0" w:color="auto"/>
              <w:left w:val="nil" w:sz="6" w:space="0" w:color="auto"/>
              <w:bottom w:val="nil" w:sz="6" w:space="0" w:color="auto"/>
              <w:right w:val="nil" w:sz="6" w:space="0" w:color="auto"/>
            </w:tcBorders>
          </w:tcPr>
          <w:p>
            <w:pPr>
              <w:pStyle w:val="TableParagraph"/>
              <w:spacing w:line="221" w:lineRule="exact"/>
              <w:ind w:left="208" w:right="0"/>
              <w:jc w:val="left"/>
              <w:rPr>
                <w:rFonts w:ascii="宋体" w:hAnsi="宋体" w:cs="宋体" w:eastAsia="宋体" w:hint="default"/>
                <w:sz w:val="22"/>
                <w:szCs w:val="22"/>
              </w:rPr>
            </w:pPr>
            <w:r>
              <w:rPr>
                <w:rFonts w:ascii="宋体" w:hAnsi="宋体" w:cs="宋体" w:eastAsia="宋体" w:hint="default"/>
                <w:sz w:val="22"/>
                <w:szCs w:val="22"/>
              </w:rPr>
              <w:t>租赁支出及其他承诺</w:t>
            </w:r>
          </w:p>
        </w:tc>
        <w:tc>
          <w:tcPr>
            <w:tcW w:w="3034" w:type="dxa"/>
            <w:tcBorders>
              <w:top w:val="nil" w:sz="6" w:space="0" w:color="auto"/>
              <w:left w:val="nil" w:sz="6" w:space="0" w:color="auto"/>
              <w:bottom w:val="single" w:sz="6" w:space="0" w:color="000000"/>
              <w:right w:val="nil" w:sz="6" w:space="0" w:color="auto"/>
            </w:tcBorders>
          </w:tcPr>
          <w:p>
            <w:pPr>
              <w:pStyle w:val="TableParagraph"/>
              <w:spacing w:line="237" w:lineRule="exact"/>
              <w:ind w:left="1012"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557" w:hRule="exact"/>
        </w:trPr>
        <w:tc>
          <w:tcPr>
            <w:tcW w:w="623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联通集团及其子公司</w:t>
            </w:r>
          </w:p>
        </w:tc>
        <w:tc>
          <w:tcPr>
            <w:tcW w:w="3034"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521" w:right="0"/>
              <w:jc w:val="left"/>
              <w:rPr>
                <w:rFonts w:ascii="Arial" w:hAnsi="Arial" w:cs="Arial" w:eastAsia="Arial" w:hint="default"/>
                <w:sz w:val="22"/>
                <w:szCs w:val="22"/>
              </w:rPr>
            </w:pPr>
            <w:r>
              <w:rPr>
                <w:rFonts w:ascii="Arial"/>
                <w:sz w:val="22"/>
              </w:rPr>
              <w:t>1,095,652,543</w:t>
            </w:r>
          </w:p>
        </w:tc>
      </w:tr>
      <w:tr>
        <w:trPr>
          <w:trHeight w:val="293" w:hRule="exact"/>
        </w:trPr>
        <w:tc>
          <w:tcPr>
            <w:tcW w:w="6238"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联营企业</w:t>
            </w:r>
          </w:p>
        </w:tc>
        <w:tc>
          <w:tcPr>
            <w:tcW w:w="3034" w:type="dxa"/>
            <w:tcBorders>
              <w:top w:val="nil" w:sz="6" w:space="0" w:color="auto"/>
              <w:left w:val="nil" w:sz="6" w:space="0" w:color="auto"/>
              <w:bottom w:val="nil" w:sz="6" w:space="0" w:color="auto"/>
              <w:right w:val="nil" w:sz="6" w:space="0" w:color="auto"/>
            </w:tcBorders>
          </w:tcPr>
          <w:p>
            <w:pPr>
              <w:pStyle w:val="TableParagraph"/>
              <w:tabs>
                <w:tab w:pos="1396" w:val="left" w:leader="none"/>
                <w:tab w:pos="3033" w:val="left" w:leader="none"/>
              </w:tabs>
              <w:spacing w:line="240" w:lineRule="auto" w:before="21"/>
              <w:ind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45,725,543,186</w:t>
              <w:tab/>
            </w:r>
            <w:r>
              <w:rPr>
                <w:rFonts w:ascii="Arial"/>
                <w:sz w:val="22"/>
              </w:rPr>
            </w:r>
          </w:p>
        </w:tc>
      </w:tr>
      <w:tr>
        <w:trPr>
          <w:trHeight w:val="295" w:hRule="exact"/>
        </w:trPr>
        <w:tc>
          <w:tcPr>
            <w:tcW w:w="6238" w:type="dxa"/>
            <w:tcBorders>
              <w:top w:val="nil" w:sz="6" w:space="0" w:color="auto"/>
              <w:left w:val="nil" w:sz="6" w:space="0" w:color="auto"/>
              <w:bottom w:val="nil" w:sz="6" w:space="0" w:color="auto"/>
              <w:right w:val="nil" w:sz="6" w:space="0" w:color="auto"/>
            </w:tcBorders>
          </w:tcPr>
          <w:p>
            <w:pPr>
              <w:pStyle w:val="TableParagraph"/>
              <w:spacing w:line="244" w:lineRule="exact"/>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3034"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left="1396" w:right="0"/>
              <w:jc w:val="left"/>
              <w:rPr>
                <w:rFonts w:ascii="Arial" w:hAnsi="Arial" w:cs="Arial" w:eastAsia="Arial" w:hint="default"/>
                <w:sz w:val="22"/>
                <w:szCs w:val="22"/>
              </w:rPr>
            </w:pPr>
            <w:r>
              <w:rPr>
                <w:rFonts w:ascii="Arial"/>
                <w:sz w:val="22"/>
              </w:rPr>
              <w:t>46,821,195,729</w:t>
            </w:r>
          </w:p>
        </w:tc>
      </w:tr>
    </w:tbl>
    <w:p>
      <w:pPr>
        <w:spacing w:after="0" w:line="240" w:lineRule="auto"/>
        <w:jc w:val="left"/>
        <w:rPr>
          <w:rFonts w:ascii="Arial" w:hAnsi="Arial" w:cs="Arial" w:eastAsia="Arial" w:hint="default"/>
          <w:sz w:val="22"/>
          <w:szCs w:val="22"/>
        </w:rPr>
        <w:sectPr>
          <w:pgSz w:w="11910" w:h="16840"/>
          <w:pgMar w:header="1183" w:footer="502" w:top="3580" w:bottom="700" w:left="1020" w:right="1020"/>
        </w:sectPr>
      </w:pPr>
    </w:p>
    <w:p>
      <w:pPr>
        <w:spacing w:line="240" w:lineRule="auto" w:before="2"/>
        <w:rPr>
          <w:rFonts w:ascii="宋体" w:hAnsi="宋体" w:cs="宋体" w:eastAsia="宋体" w:hint="default"/>
          <w:sz w:val="19"/>
          <w:szCs w:val="19"/>
        </w:rPr>
      </w:pPr>
    </w:p>
    <w:p>
      <w:pPr>
        <w:pStyle w:val="BodyText"/>
        <w:spacing w:line="240" w:lineRule="auto" w:before="32"/>
        <w:ind w:left="132" w:right="104"/>
        <w:jc w:val="left"/>
      </w:pPr>
      <w:r>
        <w:rPr>
          <w:rFonts w:ascii="Arial" w:hAnsi="Arial" w:cs="Arial" w:eastAsia="Arial" w:hint="default"/>
        </w:rPr>
        <w:t>1</w:t>
      </w:r>
      <w:r>
        <w:rPr/>
        <w:t>、</w:t>
      </w:r>
      <w:r>
        <w:rPr>
          <w:spacing w:val="3"/>
        </w:rPr>
        <w:t> </w:t>
      </w:r>
      <w:r>
        <w:rPr/>
        <w:t>重要承诺事项</w:t>
      </w:r>
    </w:p>
    <w:p>
      <w:pPr>
        <w:spacing w:line="240" w:lineRule="auto" w:before="11"/>
        <w:rPr>
          <w:rFonts w:ascii="宋体" w:hAnsi="宋体" w:cs="宋体" w:eastAsia="宋体" w:hint="default"/>
          <w:sz w:val="17"/>
          <w:szCs w:val="17"/>
        </w:rPr>
      </w:pPr>
    </w:p>
    <w:p>
      <w:pPr>
        <w:pStyle w:val="BodyText"/>
        <w:spacing w:line="240" w:lineRule="auto"/>
        <w:ind w:left="132" w:right="104"/>
        <w:jc w:val="left"/>
      </w:pPr>
      <w:r>
        <w:rPr>
          <w:rFonts w:ascii="Arial" w:hAnsi="Arial" w:cs="Arial" w:eastAsia="Arial" w:hint="default"/>
        </w:rPr>
        <w:t>(a) </w:t>
      </w:r>
      <w:r>
        <w:rPr>
          <w:rFonts w:ascii="Arial" w:hAnsi="Arial" w:cs="Arial" w:eastAsia="Arial" w:hint="default"/>
          <w:spacing w:val="28"/>
        </w:rPr>
        <w:t> </w:t>
      </w:r>
      <w:r>
        <w:rPr/>
        <w:t>资本性支出承诺事项</w:t>
      </w:r>
    </w:p>
    <w:p>
      <w:pPr>
        <w:spacing w:line="240" w:lineRule="auto" w:before="11"/>
        <w:rPr>
          <w:rFonts w:ascii="宋体" w:hAnsi="宋体" w:cs="宋体" w:eastAsia="宋体" w:hint="default"/>
          <w:sz w:val="17"/>
          <w:szCs w:val="17"/>
        </w:rPr>
      </w:pPr>
    </w:p>
    <w:p>
      <w:pPr>
        <w:pStyle w:val="BodyText"/>
        <w:spacing w:line="240" w:lineRule="auto"/>
        <w:ind w:left="555" w:right="104"/>
        <w:jc w:val="left"/>
      </w:pPr>
      <w:r>
        <w:rPr>
          <w:spacing w:val="-1"/>
        </w:rPr>
        <w:t>本集团的资本性支出承诺主要是关于电信网络建设方面的资本支出。以下为本集团于资产负债表</w:t>
      </w:r>
      <w:r>
        <w:rPr>
          <w:spacing w:val="-65"/>
        </w:rPr>
        <w:t> </w:t>
      </w:r>
      <w:r>
        <w:rPr>
          <w:spacing w:val="-65"/>
        </w:rPr>
      </w:r>
      <w:r>
        <w:rPr/>
        <w:t>日，已签约而尚不必在资产负债表上列示的资本性支出及其他承诺：</w:t>
      </w:r>
    </w:p>
    <w:p>
      <w:pPr>
        <w:spacing w:line="240" w:lineRule="auto" w:before="3"/>
        <w:rPr>
          <w:rFonts w:ascii="宋体" w:hAnsi="宋体" w:cs="宋体" w:eastAsia="宋体" w:hint="default"/>
          <w:sz w:val="24"/>
          <w:szCs w:val="24"/>
        </w:rPr>
      </w:pPr>
    </w:p>
    <w:tbl>
      <w:tblPr>
        <w:tblW w:w="0" w:type="auto"/>
        <w:jc w:val="left"/>
        <w:tblInd w:w="364" w:type="dxa"/>
        <w:tblLayout w:type="fixed"/>
        <w:tblCellMar>
          <w:top w:w="0" w:type="dxa"/>
          <w:left w:w="0" w:type="dxa"/>
          <w:bottom w:w="0" w:type="dxa"/>
          <w:right w:w="0" w:type="dxa"/>
        </w:tblCellMar>
        <w:tblLook w:val="01E0"/>
      </w:tblPr>
      <w:tblGrid>
        <w:gridCol w:w="3474"/>
        <w:gridCol w:w="2530"/>
        <w:gridCol w:w="430"/>
        <w:gridCol w:w="2772"/>
      </w:tblGrid>
      <w:tr>
        <w:trPr>
          <w:trHeight w:val="259" w:hRule="exact"/>
        </w:trPr>
        <w:tc>
          <w:tcPr>
            <w:tcW w:w="3474" w:type="dxa"/>
            <w:tcBorders>
              <w:top w:val="nil" w:sz="6" w:space="0" w:color="auto"/>
              <w:left w:val="nil" w:sz="6" w:space="0" w:color="auto"/>
              <w:bottom w:val="nil" w:sz="6" w:space="0" w:color="auto"/>
              <w:right w:val="nil" w:sz="6" w:space="0" w:color="auto"/>
            </w:tcBorders>
          </w:tcPr>
          <w:p>
            <w:pPr/>
          </w:p>
        </w:tc>
        <w:tc>
          <w:tcPr>
            <w:tcW w:w="2530" w:type="dxa"/>
            <w:tcBorders>
              <w:top w:val="nil" w:sz="6" w:space="0" w:color="auto"/>
              <w:left w:val="nil" w:sz="6" w:space="0" w:color="auto"/>
              <w:bottom w:val="single" w:sz="6" w:space="0" w:color="000000"/>
              <w:right w:val="nil" w:sz="6" w:space="0" w:color="auto"/>
            </w:tcBorders>
          </w:tcPr>
          <w:p>
            <w:pPr>
              <w:pStyle w:val="TableParagraph"/>
              <w:spacing w:line="236" w:lineRule="exact"/>
              <w:ind w:right="50"/>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430" w:type="dxa"/>
            <w:tcBorders>
              <w:top w:val="nil" w:sz="6" w:space="0" w:color="auto"/>
              <w:left w:val="nil" w:sz="6" w:space="0" w:color="auto"/>
              <w:bottom w:val="nil" w:sz="6" w:space="0" w:color="auto"/>
              <w:right w:val="nil" w:sz="6" w:space="0" w:color="auto"/>
            </w:tcBorders>
          </w:tcPr>
          <w:p>
            <w:pPr/>
          </w:p>
        </w:tc>
        <w:tc>
          <w:tcPr>
            <w:tcW w:w="2772" w:type="dxa"/>
            <w:tcBorders>
              <w:top w:val="nil" w:sz="6" w:space="0" w:color="auto"/>
              <w:left w:val="nil" w:sz="6" w:space="0" w:color="auto"/>
              <w:bottom w:val="single" w:sz="6" w:space="0" w:color="000000"/>
              <w:right w:val="nil" w:sz="6" w:space="0" w:color="auto"/>
            </w:tcBorders>
          </w:tcPr>
          <w:p>
            <w:pPr>
              <w:pStyle w:val="TableParagraph"/>
              <w:spacing w:line="236" w:lineRule="exact"/>
              <w:ind w:right="60"/>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571" w:hRule="exact"/>
        </w:trPr>
        <w:tc>
          <w:tcPr>
            <w:tcW w:w="347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00" w:right="0"/>
              <w:jc w:val="left"/>
              <w:rPr>
                <w:rFonts w:ascii="宋体" w:hAnsi="宋体" w:cs="宋体" w:eastAsia="宋体" w:hint="default"/>
                <w:sz w:val="22"/>
                <w:szCs w:val="22"/>
              </w:rPr>
            </w:pPr>
            <w:r>
              <w:rPr>
                <w:rFonts w:ascii="宋体" w:hAnsi="宋体" w:cs="宋体" w:eastAsia="宋体" w:hint="default"/>
                <w:sz w:val="22"/>
                <w:szCs w:val="22"/>
              </w:rPr>
              <w:t>房屋、建筑物及机器设备</w:t>
            </w:r>
          </w:p>
        </w:tc>
        <w:tc>
          <w:tcPr>
            <w:tcW w:w="2530" w:type="dxa"/>
            <w:tcBorders>
              <w:top w:val="single" w:sz="6" w:space="0" w:color="000000"/>
              <w:left w:val="nil" w:sz="6" w:space="0" w:color="auto"/>
              <w:bottom w:val="single" w:sz="17"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31"/>
              <w:jc w:val="right"/>
              <w:rPr>
                <w:rFonts w:ascii="Arial" w:hAnsi="Arial" w:cs="Arial" w:eastAsia="Arial" w:hint="default"/>
                <w:sz w:val="22"/>
                <w:szCs w:val="22"/>
              </w:rPr>
            </w:pPr>
            <w:r>
              <w:rPr>
                <w:rFonts w:ascii="Arial"/>
                <w:sz w:val="22"/>
              </w:rPr>
              <w:t>23,873,567,074</w:t>
            </w:r>
          </w:p>
        </w:tc>
        <w:tc>
          <w:tcPr>
            <w:tcW w:w="430" w:type="dxa"/>
            <w:tcBorders>
              <w:top w:val="nil" w:sz="6" w:space="0" w:color="auto"/>
              <w:left w:val="nil" w:sz="6" w:space="0" w:color="auto"/>
              <w:bottom w:val="nil" w:sz="6" w:space="0" w:color="auto"/>
              <w:right w:val="nil" w:sz="6" w:space="0" w:color="auto"/>
            </w:tcBorders>
          </w:tcPr>
          <w:p>
            <w:pPr/>
          </w:p>
        </w:tc>
        <w:tc>
          <w:tcPr>
            <w:tcW w:w="2772" w:type="dxa"/>
            <w:tcBorders>
              <w:top w:val="single" w:sz="6" w:space="0" w:color="000000"/>
              <w:left w:val="nil" w:sz="6" w:space="0" w:color="auto"/>
              <w:bottom w:val="single" w:sz="17"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4"/>
              <w:jc w:val="right"/>
              <w:rPr>
                <w:rFonts w:ascii="Arial" w:hAnsi="Arial" w:cs="Arial" w:eastAsia="Arial" w:hint="default"/>
                <w:sz w:val="22"/>
                <w:szCs w:val="22"/>
              </w:rPr>
            </w:pPr>
            <w:r>
              <w:rPr>
                <w:rFonts w:ascii="Arial"/>
                <w:sz w:val="22"/>
              </w:rPr>
              <w:t>18,381,377,506</w:t>
            </w:r>
          </w:p>
        </w:tc>
      </w:tr>
    </w:tbl>
    <w:p>
      <w:pPr>
        <w:spacing w:line="240" w:lineRule="auto" w:before="2"/>
        <w:rPr>
          <w:rFonts w:ascii="宋体" w:hAnsi="宋体" w:cs="宋体" w:eastAsia="宋体" w:hint="default"/>
          <w:sz w:val="14"/>
          <w:szCs w:val="14"/>
        </w:rPr>
      </w:pPr>
    </w:p>
    <w:p>
      <w:pPr>
        <w:pStyle w:val="BodyText"/>
        <w:spacing w:line="240" w:lineRule="auto" w:before="32"/>
        <w:ind w:left="132" w:right="104"/>
        <w:jc w:val="left"/>
      </w:pPr>
      <w:r>
        <w:rPr>
          <w:rFonts w:ascii="Arial" w:hAnsi="Arial" w:cs="Arial" w:eastAsia="Arial" w:hint="default"/>
        </w:rPr>
        <w:t>(b) </w:t>
      </w:r>
      <w:r>
        <w:rPr>
          <w:rFonts w:ascii="Arial" w:hAnsi="Arial" w:cs="Arial" w:eastAsia="Arial" w:hint="default"/>
          <w:spacing w:val="29"/>
        </w:rPr>
        <w:t> </w:t>
      </w:r>
      <w:r>
        <w:rPr/>
        <w:t>租赁承担</w:t>
      </w:r>
    </w:p>
    <w:p>
      <w:pPr>
        <w:spacing w:line="240" w:lineRule="auto" w:before="2"/>
        <w:rPr>
          <w:rFonts w:ascii="宋体" w:hAnsi="宋体" w:cs="宋体" w:eastAsia="宋体" w:hint="default"/>
          <w:sz w:val="20"/>
          <w:szCs w:val="20"/>
        </w:rPr>
      </w:pPr>
    </w:p>
    <w:p>
      <w:pPr>
        <w:pStyle w:val="BodyText"/>
        <w:spacing w:line="284" w:lineRule="exact"/>
        <w:ind w:left="579" w:right="105"/>
        <w:jc w:val="left"/>
      </w:pPr>
      <w:r>
        <w:rPr/>
        <w:t>于</w:t>
      </w:r>
      <w:r>
        <w:rPr>
          <w:spacing w:val="-56"/>
        </w:rPr>
        <w:t> </w:t>
      </w:r>
      <w:r>
        <w:rPr>
          <w:rFonts w:ascii="Arial" w:hAnsi="Arial" w:cs="Arial" w:eastAsia="Arial" w:hint="default"/>
        </w:rPr>
        <w:t>2018</w:t>
      </w:r>
      <w:r>
        <w:rPr>
          <w:rFonts w:ascii="Arial" w:hAnsi="Arial" w:cs="Arial" w:eastAsia="Arial" w:hint="default"/>
          <w:spacing w:val="-5"/>
        </w:rPr>
        <w:t> </w:t>
      </w:r>
      <w:r>
        <w:rPr/>
        <w:t>年</w:t>
      </w:r>
      <w:r>
        <w:rPr>
          <w:spacing w:val="-61"/>
        </w:rPr>
        <w:t> </w:t>
      </w:r>
      <w:r>
        <w:rPr>
          <w:rFonts w:ascii="Arial" w:hAnsi="Arial" w:cs="Arial" w:eastAsia="Arial" w:hint="default"/>
        </w:rPr>
        <w:t>12</w:t>
      </w:r>
      <w:r>
        <w:rPr>
          <w:rFonts w:ascii="Arial" w:hAnsi="Arial" w:cs="Arial" w:eastAsia="Arial" w:hint="default"/>
          <w:spacing w:val="-5"/>
        </w:rPr>
        <w:t> </w:t>
      </w:r>
      <w:r>
        <w:rPr/>
        <w:t>月</w:t>
      </w:r>
      <w:r>
        <w:rPr>
          <w:spacing w:val="-56"/>
        </w:rPr>
        <w:t> </w:t>
      </w:r>
      <w:r>
        <w:rPr>
          <w:rFonts w:ascii="Arial" w:hAnsi="Arial" w:cs="Arial" w:eastAsia="Arial" w:hint="default"/>
        </w:rPr>
        <w:t>31</w:t>
      </w:r>
      <w:r>
        <w:rPr>
          <w:rFonts w:ascii="Arial" w:hAnsi="Arial" w:cs="Arial" w:eastAsia="Arial" w:hint="default"/>
          <w:spacing w:val="-5"/>
        </w:rPr>
        <w:t> </w:t>
      </w:r>
      <w:r>
        <w:rPr/>
        <w:t>日，根据已签订的不可撤销的租赁协议，本集团于资产负债表日以后应支付</w:t>
      </w:r>
      <w:r>
        <w:rPr>
          <w:w w:val="100"/>
        </w:rPr>
        <w:t> </w:t>
      </w:r>
      <w:r>
        <w:rPr/>
        <w:t>的租赁付款额如下：</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tbl>
      <w:tblPr>
        <w:tblW w:w="0" w:type="auto"/>
        <w:jc w:val="left"/>
        <w:tblInd w:w="432" w:type="dxa"/>
        <w:tblLayout w:type="fixed"/>
        <w:tblCellMar>
          <w:top w:w="0" w:type="dxa"/>
          <w:left w:w="0" w:type="dxa"/>
          <w:bottom w:w="0" w:type="dxa"/>
          <w:right w:w="0" w:type="dxa"/>
        </w:tblCellMar>
        <w:tblLook w:val="01E0"/>
      </w:tblPr>
      <w:tblGrid>
        <w:gridCol w:w="6589"/>
        <w:gridCol w:w="2683"/>
      </w:tblGrid>
      <w:tr>
        <w:trPr>
          <w:trHeight w:val="264" w:hRule="exact"/>
        </w:trPr>
        <w:tc>
          <w:tcPr>
            <w:tcW w:w="6589" w:type="dxa"/>
            <w:tcBorders>
              <w:top w:val="nil" w:sz="6" w:space="0" w:color="auto"/>
              <w:left w:val="nil" w:sz="6" w:space="0" w:color="auto"/>
              <w:bottom w:val="nil" w:sz="6" w:space="0" w:color="auto"/>
              <w:right w:val="nil" w:sz="6" w:space="0" w:color="auto"/>
            </w:tcBorders>
          </w:tcPr>
          <w:p>
            <w:pPr/>
          </w:p>
        </w:tc>
        <w:tc>
          <w:tcPr>
            <w:tcW w:w="2683" w:type="dxa"/>
            <w:tcBorders>
              <w:top w:val="nil" w:sz="6" w:space="0" w:color="auto"/>
              <w:left w:val="nil" w:sz="6" w:space="0" w:color="auto"/>
              <w:bottom w:val="single" w:sz="6" w:space="0" w:color="000000"/>
              <w:right w:val="nil" w:sz="6" w:space="0" w:color="auto"/>
            </w:tcBorders>
          </w:tcPr>
          <w:p>
            <w:pPr>
              <w:pStyle w:val="TableParagraph"/>
              <w:spacing w:line="236" w:lineRule="exact"/>
              <w:ind w:left="1756"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tc>
      </w:tr>
      <w:tr>
        <w:trPr>
          <w:trHeight w:val="557" w:hRule="exact"/>
        </w:trPr>
        <w:tc>
          <w:tcPr>
            <w:tcW w:w="658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200" w:right="0"/>
              <w:jc w:val="left"/>
              <w:rPr>
                <w:rFonts w:ascii="宋体" w:hAnsi="宋体" w:cs="宋体" w:eastAsia="宋体" w:hint="default"/>
                <w:sz w:val="22"/>
                <w:szCs w:val="22"/>
              </w:rPr>
            </w:pPr>
            <w:r>
              <w:rPr>
                <w:rFonts w:ascii="Arial" w:hAnsi="Arial" w:cs="Arial" w:eastAsia="Arial" w:hint="default"/>
                <w:sz w:val="22"/>
                <w:szCs w:val="22"/>
              </w:rPr>
              <w:t>1</w:t>
            </w:r>
            <w:r>
              <w:rPr>
                <w:rFonts w:ascii="Arial" w:hAnsi="Arial" w:cs="Arial" w:eastAsia="Arial" w:hint="default"/>
                <w:spacing w:val="-5"/>
                <w:sz w:val="22"/>
                <w:szCs w:val="22"/>
              </w:rPr>
              <w:t> </w:t>
            </w:r>
            <w:r>
              <w:rPr>
                <w:rFonts w:ascii="宋体" w:hAnsi="宋体" w:cs="宋体" w:eastAsia="宋体" w:hint="default"/>
                <w:sz w:val="22"/>
                <w:szCs w:val="22"/>
              </w:rPr>
              <w:t>年以内</w:t>
            </w:r>
          </w:p>
        </w:tc>
        <w:tc>
          <w:tcPr>
            <w:tcW w:w="2683"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979" w:right="0"/>
              <w:jc w:val="left"/>
              <w:rPr>
                <w:rFonts w:ascii="Arial" w:hAnsi="Arial" w:cs="Arial" w:eastAsia="Arial" w:hint="default"/>
                <w:sz w:val="22"/>
                <w:szCs w:val="22"/>
              </w:rPr>
            </w:pPr>
            <w:r>
              <w:rPr>
                <w:rFonts w:ascii="Arial"/>
                <w:sz w:val="22"/>
              </w:rPr>
              <w:t>12,824,808,017</w:t>
            </w:r>
          </w:p>
        </w:tc>
      </w:tr>
      <w:tr>
        <w:trPr>
          <w:trHeight w:val="283" w:hRule="exact"/>
        </w:trPr>
        <w:tc>
          <w:tcPr>
            <w:tcW w:w="6589"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Arial" w:hAnsi="Arial" w:cs="Arial" w:eastAsia="Arial" w:hint="default"/>
                <w:sz w:val="22"/>
                <w:szCs w:val="22"/>
              </w:rPr>
              <w:t>1</w:t>
            </w:r>
            <w:r>
              <w:rPr>
                <w:rFonts w:ascii="Arial" w:hAnsi="Arial" w:cs="Arial" w:eastAsia="Arial" w:hint="default"/>
                <w:spacing w:val="-7"/>
                <w:sz w:val="22"/>
                <w:szCs w:val="22"/>
              </w:rPr>
              <w:t> </w:t>
            </w:r>
            <w:r>
              <w:rPr>
                <w:rFonts w:ascii="宋体" w:hAnsi="宋体" w:cs="宋体" w:eastAsia="宋体" w:hint="default"/>
                <w:sz w:val="22"/>
                <w:szCs w:val="22"/>
              </w:rPr>
              <w:t>到</w:t>
            </w:r>
            <w:r>
              <w:rPr>
                <w:rFonts w:ascii="宋体" w:hAnsi="宋体" w:cs="宋体" w:eastAsia="宋体" w:hint="default"/>
                <w:spacing w:val="-58"/>
                <w:sz w:val="22"/>
                <w:szCs w:val="22"/>
              </w:rPr>
              <w:t> </w:t>
            </w:r>
            <w:r>
              <w:rPr>
                <w:rFonts w:ascii="Arial" w:hAnsi="Arial" w:cs="Arial" w:eastAsia="Arial" w:hint="default"/>
                <w:sz w:val="22"/>
                <w:szCs w:val="22"/>
              </w:rPr>
              <w:t>2</w:t>
            </w:r>
            <w:r>
              <w:rPr>
                <w:rFonts w:ascii="Arial" w:hAnsi="Arial" w:cs="Arial" w:eastAsia="Arial" w:hint="default"/>
                <w:spacing w:val="-7"/>
                <w:sz w:val="22"/>
                <w:szCs w:val="22"/>
              </w:rPr>
              <w:t> </w:t>
            </w:r>
            <w:r>
              <w:rPr>
                <w:rFonts w:ascii="宋体" w:hAnsi="宋体" w:cs="宋体" w:eastAsia="宋体" w:hint="default"/>
                <w:sz w:val="22"/>
                <w:szCs w:val="22"/>
              </w:rPr>
              <w:t>年</w:t>
            </w:r>
          </w:p>
        </w:tc>
        <w:tc>
          <w:tcPr>
            <w:tcW w:w="268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979" w:right="0"/>
              <w:jc w:val="left"/>
              <w:rPr>
                <w:rFonts w:ascii="Arial" w:hAnsi="Arial" w:cs="Arial" w:eastAsia="Arial" w:hint="default"/>
                <w:sz w:val="22"/>
                <w:szCs w:val="22"/>
              </w:rPr>
            </w:pPr>
            <w:r>
              <w:rPr>
                <w:rFonts w:ascii="Arial"/>
                <w:sz w:val="22"/>
              </w:rPr>
              <w:t>13,517,860,243</w:t>
            </w:r>
          </w:p>
        </w:tc>
      </w:tr>
      <w:tr>
        <w:trPr>
          <w:trHeight w:val="288" w:hRule="exact"/>
        </w:trPr>
        <w:tc>
          <w:tcPr>
            <w:tcW w:w="6589"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Arial" w:hAnsi="Arial" w:cs="Arial" w:eastAsia="Arial" w:hint="default"/>
                <w:sz w:val="22"/>
                <w:szCs w:val="22"/>
              </w:rPr>
              <w:t>2</w:t>
            </w:r>
            <w:r>
              <w:rPr>
                <w:rFonts w:ascii="Arial" w:hAnsi="Arial" w:cs="Arial" w:eastAsia="Arial" w:hint="default"/>
                <w:spacing w:val="-7"/>
                <w:sz w:val="22"/>
                <w:szCs w:val="22"/>
              </w:rPr>
              <w:t> </w:t>
            </w:r>
            <w:r>
              <w:rPr>
                <w:rFonts w:ascii="宋体" w:hAnsi="宋体" w:cs="宋体" w:eastAsia="宋体" w:hint="default"/>
                <w:sz w:val="22"/>
                <w:szCs w:val="22"/>
              </w:rPr>
              <w:t>到</w:t>
            </w:r>
            <w:r>
              <w:rPr>
                <w:rFonts w:ascii="宋体" w:hAnsi="宋体" w:cs="宋体" w:eastAsia="宋体" w:hint="default"/>
                <w:spacing w:val="-58"/>
                <w:sz w:val="22"/>
                <w:szCs w:val="22"/>
              </w:rPr>
              <w:t> </w:t>
            </w:r>
            <w:r>
              <w:rPr>
                <w:rFonts w:ascii="Arial" w:hAnsi="Arial" w:cs="Arial" w:eastAsia="Arial" w:hint="default"/>
                <w:sz w:val="22"/>
                <w:szCs w:val="22"/>
              </w:rPr>
              <w:t>3</w:t>
            </w:r>
            <w:r>
              <w:rPr>
                <w:rFonts w:ascii="Arial" w:hAnsi="Arial" w:cs="Arial" w:eastAsia="Arial" w:hint="default"/>
                <w:spacing w:val="-7"/>
                <w:sz w:val="22"/>
                <w:szCs w:val="22"/>
              </w:rPr>
              <w:t> </w:t>
            </w:r>
            <w:r>
              <w:rPr>
                <w:rFonts w:ascii="宋体" w:hAnsi="宋体" w:cs="宋体" w:eastAsia="宋体" w:hint="default"/>
                <w:sz w:val="22"/>
                <w:szCs w:val="22"/>
              </w:rPr>
              <w:t>年</w:t>
            </w:r>
          </w:p>
        </w:tc>
        <w:tc>
          <w:tcPr>
            <w:tcW w:w="2683" w:type="dxa"/>
            <w:tcBorders>
              <w:top w:val="nil" w:sz="6" w:space="0" w:color="auto"/>
              <w:left w:val="nil" w:sz="6" w:space="0" w:color="auto"/>
              <w:bottom w:val="nil" w:sz="6" w:space="0" w:color="auto"/>
              <w:right w:val="nil" w:sz="6" w:space="0" w:color="auto"/>
            </w:tcBorders>
          </w:tcPr>
          <w:p>
            <w:pPr>
              <w:pStyle w:val="TableParagraph"/>
              <w:spacing w:line="240" w:lineRule="auto" w:before="21"/>
              <w:ind w:left="979" w:right="0"/>
              <w:jc w:val="left"/>
              <w:rPr>
                <w:rFonts w:ascii="Arial" w:hAnsi="Arial" w:cs="Arial" w:eastAsia="Arial" w:hint="default"/>
                <w:sz w:val="22"/>
                <w:szCs w:val="22"/>
              </w:rPr>
            </w:pPr>
            <w:r>
              <w:rPr>
                <w:rFonts w:ascii="Arial"/>
                <w:sz w:val="22"/>
              </w:rPr>
              <w:t>12,780,849,755</w:t>
            </w:r>
          </w:p>
        </w:tc>
      </w:tr>
      <w:tr>
        <w:trPr>
          <w:trHeight w:val="418" w:hRule="exact"/>
        </w:trPr>
        <w:tc>
          <w:tcPr>
            <w:tcW w:w="6589" w:type="dxa"/>
            <w:tcBorders>
              <w:top w:val="nil" w:sz="6" w:space="0" w:color="auto"/>
              <w:left w:val="nil" w:sz="6" w:space="0" w:color="auto"/>
              <w:bottom w:val="nil" w:sz="6" w:space="0" w:color="auto"/>
              <w:right w:val="nil" w:sz="6" w:space="0" w:color="auto"/>
            </w:tcBorders>
          </w:tcPr>
          <w:p>
            <w:pPr>
              <w:pStyle w:val="TableParagraph"/>
              <w:spacing w:line="255" w:lineRule="exact"/>
              <w:ind w:left="200" w:right="0"/>
              <w:jc w:val="left"/>
              <w:rPr>
                <w:rFonts w:ascii="宋体" w:hAnsi="宋体" w:cs="宋体" w:eastAsia="宋体" w:hint="default"/>
                <w:sz w:val="22"/>
                <w:szCs w:val="22"/>
              </w:rPr>
            </w:pPr>
            <w:r>
              <w:rPr>
                <w:rFonts w:ascii="Arial" w:hAnsi="Arial" w:cs="Arial" w:eastAsia="Arial" w:hint="default"/>
                <w:sz w:val="22"/>
                <w:szCs w:val="22"/>
              </w:rPr>
              <w:t>3</w:t>
            </w:r>
            <w:r>
              <w:rPr>
                <w:rFonts w:ascii="Arial" w:hAnsi="Arial" w:cs="Arial" w:eastAsia="Arial" w:hint="default"/>
                <w:spacing w:val="-5"/>
                <w:sz w:val="22"/>
                <w:szCs w:val="22"/>
              </w:rPr>
              <w:t> </w:t>
            </w:r>
            <w:r>
              <w:rPr>
                <w:rFonts w:ascii="宋体" w:hAnsi="宋体" w:cs="宋体" w:eastAsia="宋体" w:hint="default"/>
                <w:sz w:val="22"/>
                <w:szCs w:val="22"/>
              </w:rPr>
              <w:t>年以上</w:t>
            </w:r>
          </w:p>
        </w:tc>
        <w:tc>
          <w:tcPr>
            <w:tcW w:w="2683" w:type="dxa"/>
            <w:tcBorders>
              <w:top w:val="nil" w:sz="6" w:space="0" w:color="auto"/>
              <w:left w:val="nil" w:sz="6" w:space="0" w:color="auto"/>
              <w:bottom w:val="nil" w:sz="6" w:space="0" w:color="auto"/>
              <w:right w:val="nil" w:sz="6" w:space="0" w:color="auto"/>
            </w:tcBorders>
          </w:tcPr>
          <w:p>
            <w:pPr>
              <w:pStyle w:val="TableParagraph"/>
              <w:tabs>
                <w:tab w:pos="979" w:val="left" w:leader="none"/>
                <w:tab w:pos="2683" w:val="left" w:leader="none"/>
              </w:tabs>
              <w:spacing w:line="240" w:lineRule="auto" w:before="16"/>
              <w:ind w:right="0"/>
              <w:jc w:val="lef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15,627,377,547</w:t>
              <w:tab/>
            </w:r>
            <w:r>
              <w:rPr>
                <w:rFonts w:ascii="Arial"/>
                <w:sz w:val="22"/>
              </w:rPr>
            </w:r>
          </w:p>
        </w:tc>
      </w:tr>
      <w:tr>
        <w:trPr>
          <w:trHeight w:val="432" w:hRule="exact"/>
        </w:trPr>
        <w:tc>
          <w:tcPr>
            <w:tcW w:w="6589" w:type="dxa"/>
            <w:tcBorders>
              <w:top w:val="nil" w:sz="6" w:space="0" w:color="auto"/>
              <w:left w:val="nil" w:sz="6" w:space="0" w:color="auto"/>
              <w:bottom w:val="nil" w:sz="6" w:space="0" w:color="auto"/>
              <w:right w:val="nil" w:sz="6" w:space="0" w:color="auto"/>
            </w:tcBorders>
          </w:tcPr>
          <w:p>
            <w:pPr>
              <w:pStyle w:val="TableParagraph"/>
              <w:spacing w:line="240" w:lineRule="auto" w:before="85"/>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683"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left="979" w:right="0"/>
              <w:jc w:val="left"/>
              <w:rPr>
                <w:rFonts w:ascii="Arial" w:hAnsi="Arial" w:cs="Arial" w:eastAsia="Arial" w:hint="default"/>
                <w:sz w:val="22"/>
                <w:szCs w:val="22"/>
              </w:rPr>
            </w:pPr>
            <w:r>
              <w:rPr>
                <w:rFonts w:ascii="Arial"/>
                <w:sz w:val="22"/>
              </w:rPr>
              <w:t>54,750,895,562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93" w:lineRule="exact"/>
        <w:ind w:left="118" w:right="104"/>
        <w:jc w:val="left"/>
      </w:pPr>
      <w:r>
        <w:rPr>
          <w:rFonts w:ascii="Arial" w:hAnsi="Arial" w:cs="Arial" w:eastAsia="Arial" w:hint="default"/>
        </w:rPr>
        <w:t>2</w:t>
      </w:r>
      <w:r>
        <w:rPr/>
        <w:t>、</w:t>
      </w:r>
      <w:r>
        <w:rPr>
          <w:spacing w:val="-18"/>
        </w:rPr>
        <w:t> </w:t>
      </w:r>
      <w:r>
        <w:rPr/>
        <w:t>或有事项</w:t>
      </w:r>
    </w:p>
    <w:p>
      <w:pPr>
        <w:pStyle w:val="BodyText"/>
        <w:spacing w:line="278" w:lineRule="exact"/>
        <w:ind w:left="103" w:right="0"/>
        <w:jc w:val="left"/>
        <w:rPr>
          <w:rFonts w:ascii="宋体" w:hAnsi="宋体" w:cs="宋体" w:eastAsia="宋体" w:hint="default"/>
        </w:rPr>
      </w:pPr>
      <w:r>
        <w:rPr>
          <w:rFonts w:ascii="宋体"/>
          <w:w w:val="100"/>
        </w:rPr>
        <w:t> </w:t>
      </w:r>
    </w:p>
    <w:p>
      <w:pPr>
        <w:pStyle w:val="BodyText"/>
        <w:spacing w:line="240" w:lineRule="auto"/>
        <w:ind w:left="540" w:right="104"/>
        <w:jc w:val="left"/>
      </w:pPr>
      <w:r>
        <w:rPr/>
        <w:t>于</w:t>
      </w:r>
      <w:r>
        <w:rPr>
          <w:spacing w:val="-57"/>
        </w:rPr>
        <w:t> </w:t>
      </w:r>
      <w:r>
        <w:rPr>
          <w:rFonts w:ascii="Arial" w:hAnsi="Arial" w:cs="Arial" w:eastAsia="Arial" w:hint="default"/>
        </w:rPr>
        <w:t>2019</w:t>
      </w:r>
      <w:r>
        <w:rPr>
          <w:rFonts w:ascii="Arial" w:hAnsi="Arial" w:cs="Arial" w:eastAsia="Arial" w:hint="default"/>
          <w:spacing w:val="-5"/>
        </w:rPr>
        <w:t> </w:t>
      </w:r>
      <w:r>
        <w:rPr/>
        <w:t>年</w:t>
      </w:r>
      <w:r>
        <w:rPr>
          <w:spacing w:val="-62"/>
        </w:rPr>
        <w:t> </w:t>
      </w:r>
      <w:r>
        <w:rPr>
          <w:rFonts w:ascii="Arial" w:hAnsi="Arial" w:cs="Arial" w:eastAsia="Arial" w:hint="default"/>
        </w:rPr>
        <w:t>12</w:t>
      </w:r>
      <w:r>
        <w:rPr>
          <w:rFonts w:ascii="Arial" w:hAnsi="Arial" w:cs="Arial" w:eastAsia="Arial" w:hint="default"/>
          <w:spacing w:val="-5"/>
        </w:rPr>
        <w:t> </w:t>
      </w:r>
      <w:r>
        <w:rPr/>
        <w:t>月</w:t>
      </w:r>
      <w:r>
        <w:rPr>
          <w:spacing w:val="-57"/>
        </w:rPr>
        <w:t> </w:t>
      </w:r>
      <w:r>
        <w:rPr>
          <w:rFonts w:ascii="Arial" w:hAnsi="Arial" w:cs="Arial" w:eastAsia="Arial" w:hint="default"/>
        </w:rPr>
        <w:t>31</w:t>
      </w:r>
      <w:r>
        <w:rPr>
          <w:rFonts w:ascii="Arial" w:hAnsi="Arial" w:cs="Arial" w:eastAsia="Arial" w:hint="default"/>
          <w:spacing w:val="-5"/>
        </w:rPr>
        <w:t> </w:t>
      </w:r>
      <w:r>
        <w:rPr/>
        <w:t>日，本集团没有重大或有事项。</w:t>
      </w:r>
    </w:p>
    <w:p>
      <w:pPr>
        <w:spacing w:after="0" w:line="240" w:lineRule="auto"/>
        <w:jc w:val="left"/>
        <w:sectPr>
          <w:headerReference w:type="default" r:id="rId230"/>
          <w:pgSz w:w="11910" w:h="16840"/>
          <w:pgMar w:header="1183" w:footer="502" w:top="3040" w:bottom="700" w:left="1000" w:right="980"/>
        </w:sectPr>
      </w:pPr>
    </w:p>
    <w:p>
      <w:pPr>
        <w:spacing w:line="240" w:lineRule="auto" w:before="7"/>
        <w:rPr>
          <w:rFonts w:ascii="宋体" w:hAnsi="宋体" w:cs="宋体" w:eastAsia="宋体" w:hint="default"/>
          <w:sz w:val="16"/>
          <w:szCs w:val="16"/>
        </w:rPr>
      </w:pPr>
    </w:p>
    <w:p>
      <w:pPr>
        <w:pStyle w:val="BodyText"/>
        <w:tabs>
          <w:tab w:pos="948" w:val="left" w:leader="none"/>
        </w:tabs>
        <w:spacing w:line="240" w:lineRule="auto" w:before="32"/>
        <w:ind w:left="112" w:right="90"/>
        <w:jc w:val="left"/>
        <w:rPr>
          <w:rFonts w:ascii="黑体" w:hAnsi="黑体" w:cs="黑体" w:eastAsia="黑体" w:hint="default"/>
        </w:rPr>
      </w:pPr>
      <w:r>
        <w:rPr>
          <w:rFonts w:ascii="黑体" w:hAnsi="黑体" w:cs="黑体" w:eastAsia="黑体" w:hint="default"/>
        </w:rPr>
        <w:t>十二</w:t>
        <w:tab/>
        <w:t>股份支付</w:t>
      </w:r>
    </w:p>
    <w:p>
      <w:pPr>
        <w:spacing w:line="240" w:lineRule="auto" w:before="1"/>
        <w:rPr>
          <w:rFonts w:ascii="黑体" w:hAnsi="黑体" w:cs="黑体" w:eastAsia="黑体" w:hint="default"/>
          <w:sz w:val="19"/>
          <w:szCs w:val="19"/>
        </w:rPr>
      </w:pPr>
    </w:p>
    <w:p>
      <w:pPr>
        <w:pStyle w:val="BodyText"/>
        <w:spacing w:line="240" w:lineRule="auto"/>
        <w:ind w:left="112" w:right="90"/>
        <w:jc w:val="left"/>
      </w:pPr>
      <w:r>
        <w:rPr>
          <w:rFonts w:ascii="Arial" w:hAnsi="Arial" w:cs="Arial" w:eastAsia="Arial" w:hint="default"/>
        </w:rPr>
        <w:t>1</w:t>
      </w:r>
      <w:r>
        <w:rPr/>
        <w:t>、</w:t>
      </w:r>
      <w:r>
        <w:rPr>
          <w:spacing w:val="-29"/>
        </w:rPr>
        <w:t> </w:t>
      </w:r>
      <w:r>
        <w:rPr/>
        <w:t>股份支付总体情况</w:t>
      </w:r>
    </w:p>
    <w:p>
      <w:pPr>
        <w:spacing w:line="240" w:lineRule="auto" w:before="12"/>
        <w:rPr>
          <w:rFonts w:ascii="宋体" w:hAnsi="宋体" w:cs="宋体" w:eastAsia="宋体" w:hint="default"/>
          <w:sz w:val="3"/>
          <w:szCs w:val="3"/>
        </w:rPr>
      </w:pPr>
    </w:p>
    <w:tbl>
      <w:tblPr>
        <w:tblW w:w="0" w:type="auto"/>
        <w:jc w:val="left"/>
        <w:tblInd w:w="344" w:type="dxa"/>
        <w:tblLayout w:type="fixed"/>
        <w:tblCellMar>
          <w:top w:w="0" w:type="dxa"/>
          <w:left w:w="0" w:type="dxa"/>
          <w:bottom w:w="0" w:type="dxa"/>
          <w:right w:w="0" w:type="dxa"/>
        </w:tblCellMar>
        <w:tblLook w:val="01E0"/>
      </w:tblPr>
      <w:tblGrid>
        <w:gridCol w:w="5631"/>
        <w:gridCol w:w="3954"/>
      </w:tblGrid>
      <w:tr>
        <w:trPr>
          <w:trHeight w:val="385" w:hRule="exact"/>
        </w:trPr>
        <w:tc>
          <w:tcPr>
            <w:tcW w:w="5631" w:type="dxa"/>
            <w:tcBorders>
              <w:top w:val="nil" w:sz="6" w:space="0" w:color="auto"/>
              <w:left w:val="nil" w:sz="6" w:space="0" w:color="auto"/>
              <w:bottom w:val="nil" w:sz="6" w:space="0" w:color="auto"/>
              <w:right w:val="nil" w:sz="6" w:space="0" w:color="auto"/>
            </w:tcBorders>
          </w:tcPr>
          <w:p>
            <w:pPr/>
          </w:p>
        </w:tc>
        <w:tc>
          <w:tcPr>
            <w:tcW w:w="3954" w:type="dxa"/>
            <w:tcBorders>
              <w:top w:val="nil" w:sz="6" w:space="0" w:color="auto"/>
              <w:left w:val="nil" w:sz="6" w:space="0" w:color="auto"/>
              <w:bottom w:val="nil" w:sz="6" w:space="0" w:color="auto"/>
              <w:right w:val="nil" w:sz="6" w:space="0" w:color="auto"/>
            </w:tcBorders>
          </w:tcPr>
          <w:p>
            <w:pPr>
              <w:pStyle w:val="TableParagraph"/>
              <w:spacing w:line="236" w:lineRule="exact"/>
              <w:ind w:right="278"/>
              <w:jc w:val="right"/>
              <w:rPr>
                <w:rFonts w:ascii="宋体" w:hAnsi="宋体" w:cs="宋体" w:eastAsia="宋体" w:hint="default"/>
                <w:sz w:val="22"/>
                <w:szCs w:val="22"/>
              </w:rPr>
            </w:pPr>
            <w:r>
              <w:rPr>
                <w:rFonts w:ascii="Arial" w:hAnsi="Arial" w:cs="Arial" w:eastAsia="Arial" w:hint="default"/>
                <w:w w:val="100"/>
                <w:sz w:val="22"/>
                <w:szCs w:val="22"/>
              </w:rPr>
            </w:r>
            <w:r>
              <w:rPr>
                <w:rFonts w:ascii="Arial" w:hAnsi="Arial" w:cs="Arial" w:eastAsia="Arial" w:hint="default"/>
                <w:sz w:val="22"/>
                <w:szCs w:val="22"/>
                <w:u w:val="single" w:color="000000"/>
              </w:rPr>
              <w:t>2019</w:t>
            </w:r>
            <w:r>
              <w:rPr>
                <w:rFonts w:ascii="Arial" w:hAnsi="Arial" w:cs="Arial" w:eastAsia="Arial" w:hint="default"/>
                <w:spacing w:val="-4"/>
                <w:sz w:val="22"/>
                <w:szCs w:val="22"/>
                <w:u w:val="single" w:color="000000"/>
              </w:rPr>
              <w:t> </w:t>
            </w:r>
            <w:r>
              <w:rPr>
                <w:rFonts w:ascii="宋体" w:hAnsi="宋体" w:cs="宋体" w:eastAsia="宋体" w:hint="default"/>
                <w:sz w:val="22"/>
                <w:szCs w:val="22"/>
                <w:u w:val="single" w:color="000000"/>
              </w:rPr>
              <w:t>年</w:t>
            </w:r>
            <w:r>
              <w:rPr>
                <w:rFonts w:ascii="宋体" w:hAnsi="宋体" w:cs="宋体" w:eastAsia="宋体" w:hint="default"/>
                <w:sz w:val="22"/>
                <w:szCs w:val="22"/>
              </w:rPr>
            </w:r>
          </w:p>
        </w:tc>
      </w:tr>
      <w:tr>
        <w:trPr>
          <w:trHeight w:val="418" w:hRule="exact"/>
        </w:trPr>
        <w:tc>
          <w:tcPr>
            <w:tcW w:w="5631" w:type="dxa"/>
            <w:tcBorders>
              <w:top w:val="nil" w:sz="6" w:space="0" w:color="auto"/>
              <w:left w:val="nil" w:sz="6" w:space="0" w:color="auto"/>
              <w:bottom w:val="nil" w:sz="6" w:space="0" w:color="auto"/>
              <w:right w:val="nil" w:sz="6" w:space="0" w:color="auto"/>
            </w:tcBorders>
          </w:tcPr>
          <w:p>
            <w:pPr>
              <w:pStyle w:val="TableParagraph"/>
              <w:spacing w:line="240" w:lineRule="auto" w:before="85"/>
              <w:ind w:left="200" w:right="0"/>
              <w:jc w:val="left"/>
              <w:rPr>
                <w:rFonts w:ascii="宋体" w:hAnsi="宋体" w:cs="宋体" w:eastAsia="宋体" w:hint="default"/>
                <w:sz w:val="22"/>
                <w:szCs w:val="22"/>
              </w:rPr>
            </w:pPr>
            <w:r>
              <w:rPr>
                <w:rFonts w:ascii="宋体" w:hAnsi="宋体" w:cs="宋体" w:eastAsia="宋体" w:hint="default"/>
                <w:sz w:val="22"/>
                <w:szCs w:val="22"/>
              </w:rPr>
              <w:t>本年授予的各项权益工具总额</w:t>
            </w:r>
          </w:p>
        </w:tc>
        <w:tc>
          <w:tcPr>
            <w:tcW w:w="3954"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285"/>
              <w:jc w:val="right"/>
              <w:rPr>
                <w:rFonts w:ascii="Arial" w:hAnsi="Arial" w:cs="Arial" w:eastAsia="Arial" w:hint="default"/>
                <w:sz w:val="22"/>
                <w:szCs w:val="22"/>
              </w:rPr>
            </w:pPr>
            <w:r>
              <w:rPr>
                <w:rFonts w:ascii="Arial"/>
                <w:spacing w:val="-1"/>
                <w:sz w:val="22"/>
              </w:rPr>
              <w:t>13,156,000</w:t>
            </w:r>
          </w:p>
        </w:tc>
      </w:tr>
      <w:tr>
        <w:trPr>
          <w:trHeight w:val="288" w:hRule="exact"/>
        </w:trPr>
        <w:tc>
          <w:tcPr>
            <w:tcW w:w="5631"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本年行权的各项权益工具总额</w:t>
            </w:r>
          </w:p>
        </w:tc>
        <w:tc>
          <w:tcPr>
            <w:tcW w:w="395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81"/>
              <w:jc w:val="right"/>
              <w:rPr>
                <w:rFonts w:ascii="Arial" w:hAnsi="Arial" w:cs="Arial" w:eastAsia="Arial" w:hint="default"/>
                <w:sz w:val="22"/>
                <w:szCs w:val="22"/>
              </w:rPr>
            </w:pPr>
            <w:r>
              <w:rPr>
                <w:rFonts w:ascii="Arial"/>
                <w:w w:val="100"/>
                <w:sz w:val="22"/>
              </w:rPr>
              <w:t>-</w:t>
            </w:r>
          </w:p>
        </w:tc>
      </w:tr>
      <w:tr>
        <w:trPr>
          <w:trHeight w:val="265" w:hRule="exact"/>
        </w:trPr>
        <w:tc>
          <w:tcPr>
            <w:tcW w:w="5631"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本年失效的各项权益工具总额</w:t>
            </w:r>
          </w:p>
        </w:tc>
        <w:tc>
          <w:tcPr>
            <w:tcW w:w="395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98"/>
              <w:jc w:val="right"/>
              <w:rPr>
                <w:rFonts w:ascii="Arial" w:hAnsi="Arial" w:cs="Arial" w:eastAsia="Arial" w:hint="default"/>
                <w:sz w:val="22"/>
                <w:szCs w:val="22"/>
              </w:rPr>
            </w:pPr>
            <w:r>
              <w:rPr>
                <w:rFonts w:ascii="Arial"/>
                <w:sz w:val="22"/>
              </w:rPr>
              <w:t>(7,262,000)</w:t>
            </w:r>
          </w:p>
        </w:tc>
      </w:tr>
    </w:tbl>
    <w:p>
      <w:pPr>
        <w:spacing w:line="240" w:lineRule="auto" w:before="8"/>
        <w:rPr>
          <w:rFonts w:ascii="宋体" w:hAnsi="宋体" w:cs="宋体" w:eastAsia="宋体" w:hint="default"/>
          <w:sz w:val="14"/>
          <w:szCs w:val="14"/>
        </w:rPr>
      </w:pPr>
    </w:p>
    <w:p>
      <w:pPr>
        <w:pStyle w:val="BodyText"/>
        <w:spacing w:line="240" w:lineRule="auto" w:before="32"/>
        <w:ind w:left="540" w:right="90"/>
        <w:jc w:val="left"/>
      </w:pPr>
      <w:r>
        <w:rPr/>
        <w:t>本年发生的股份支付费用如下：</w:t>
      </w:r>
    </w:p>
    <w:p>
      <w:pPr>
        <w:spacing w:line="240" w:lineRule="auto" w:before="3"/>
        <w:rPr>
          <w:rFonts w:ascii="宋体" w:hAnsi="宋体" w:cs="宋体" w:eastAsia="宋体" w:hint="default"/>
          <w:sz w:val="24"/>
          <w:szCs w:val="24"/>
        </w:rPr>
      </w:pPr>
    </w:p>
    <w:tbl>
      <w:tblPr>
        <w:tblW w:w="0" w:type="auto"/>
        <w:jc w:val="left"/>
        <w:tblInd w:w="344" w:type="dxa"/>
        <w:tblLayout w:type="fixed"/>
        <w:tblCellMar>
          <w:top w:w="0" w:type="dxa"/>
          <w:left w:w="0" w:type="dxa"/>
          <w:bottom w:w="0" w:type="dxa"/>
          <w:right w:w="0" w:type="dxa"/>
        </w:tblCellMar>
        <w:tblLook w:val="01E0"/>
      </w:tblPr>
      <w:tblGrid>
        <w:gridCol w:w="4052"/>
        <w:gridCol w:w="3436"/>
        <w:gridCol w:w="2008"/>
      </w:tblGrid>
      <w:tr>
        <w:trPr>
          <w:trHeight w:val="385" w:hRule="exact"/>
        </w:trPr>
        <w:tc>
          <w:tcPr>
            <w:tcW w:w="4052" w:type="dxa"/>
            <w:tcBorders>
              <w:top w:val="nil" w:sz="6" w:space="0" w:color="auto"/>
              <w:left w:val="nil" w:sz="6" w:space="0" w:color="auto"/>
              <w:bottom w:val="nil" w:sz="6" w:space="0" w:color="auto"/>
              <w:right w:val="nil" w:sz="6" w:space="0" w:color="auto"/>
            </w:tcBorders>
          </w:tcPr>
          <w:p>
            <w:pPr>
              <w:pStyle w:val="TableParagraph"/>
              <w:spacing w:line="221" w:lineRule="exact"/>
              <w:ind w:left="200" w:right="0"/>
              <w:jc w:val="left"/>
              <w:rPr>
                <w:rFonts w:ascii="宋体" w:hAnsi="宋体" w:cs="宋体" w:eastAsia="宋体" w:hint="default"/>
                <w:sz w:val="22"/>
                <w:szCs w:val="22"/>
              </w:rPr>
            </w:pPr>
            <w:r>
              <w:rPr>
                <w:rFonts w:ascii="宋体" w:hAnsi="宋体" w:cs="宋体" w:eastAsia="宋体" w:hint="default"/>
                <w:w w:val="100"/>
                <w:sz w:val="22"/>
                <w:szCs w:val="22"/>
              </w:rPr>
            </w:r>
            <w:r>
              <w:rPr>
                <w:rFonts w:ascii="宋体" w:hAnsi="宋体" w:cs="宋体" w:eastAsia="宋体" w:hint="default"/>
                <w:sz w:val="22"/>
                <w:szCs w:val="22"/>
                <w:u w:val="single" w:color="000000"/>
              </w:rPr>
              <w:t>项目</w:t>
            </w:r>
            <w:r>
              <w:rPr>
                <w:rFonts w:ascii="宋体" w:hAnsi="宋体" w:cs="宋体" w:eastAsia="宋体" w:hint="default"/>
                <w:sz w:val="22"/>
                <w:szCs w:val="22"/>
              </w:rPr>
            </w:r>
          </w:p>
        </w:tc>
        <w:tc>
          <w:tcPr>
            <w:tcW w:w="3436" w:type="dxa"/>
            <w:tcBorders>
              <w:top w:val="nil" w:sz="6" w:space="0" w:color="auto"/>
              <w:left w:val="nil" w:sz="6" w:space="0" w:color="auto"/>
              <w:bottom w:val="nil" w:sz="6" w:space="0" w:color="auto"/>
              <w:right w:val="nil" w:sz="6" w:space="0" w:color="auto"/>
            </w:tcBorders>
          </w:tcPr>
          <w:p>
            <w:pPr>
              <w:pStyle w:val="TableParagraph"/>
              <w:spacing w:line="236" w:lineRule="exact"/>
              <w:ind w:right="608"/>
              <w:jc w:val="right"/>
              <w:rPr>
                <w:rFonts w:ascii="宋体" w:hAnsi="宋体" w:cs="宋体" w:eastAsia="宋体" w:hint="default"/>
                <w:sz w:val="22"/>
                <w:szCs w:val="22"/>
              </w:rPr>
            </w:pPr>
            <w:r>
              <w:rPr>
                <w:rFonts w:ascii="Arial" w:hAnsi="Arial" w:cs="Arial" w:eastAsia="Arial" w:hint="default"/>
                <w:w w:val="100"/>
                <w:sz w:val="22"/>
                <w:szCs w:val="22"/>
              </w:rPr>
            </w:r>
            <w:r>
              <w:rPr>
                <w:rFonts w:ascii="Arial" w:hAnsi="Arial" w:cs="Arial" w:eastAsia="Arial" w:hint="default"/>
                <w:sz w:val="22"/>
                <w:szCs w:val="22"/>
                <w:u w:val="single" w:color="000000"/>
              </w:rPr>
              <w:t>2019</w:t>
            </w:r>
            <w:r>
              <w:rPr>
                <w:rFonts w:ascii="Arial" w:hAnsi="Arial" w:cs="Arial" w:eastAsia="Arial" w:hint="default"/>
                <w:spacing w:val="-4"/>
                <w:sz w:val="22"/>
                <w:szCs w:val="22"/>
                <w:u w:val="single" w:color="000000"/>
              </w:rPr>
              <w:t> </w:t>
            </w:r>
            <w:r>
              <w:rPr>
                <w:rFonts w:ascii="宋体" w:hAnsi="宋体" w:cs="宋体" w:eastAsia="宋体" w:hint="default"/>
                <w:sz w:val="22"/>
                <w:szCs w:val="22"/>
                <w:u w:val="single" w:color="000000"/>
              </w:rPr>
              <w:t>年</w:t>
            </w:r>
            <w:r>
              <w:rPr>
                <w:rFonts w:ascii="宋体" w:hAnsi="宋体" w:cs="宋体" w:eastAsia="宋体" w:hint="default"/>
                <w:sz w:val="22"/>
                <w:szCs w:val="22"/>
              </w:rPr>
            </w:r>
          </w:p>
        </w:tc>
        <w:tc>
          <w:tcPr>
            <w:tcW w:w="2008" w:type="dxa"/>
            <w:tcBorders>
              <w:top w:val="nil" w:sz="6" w:space="0" w:color="auto"/>
              <w:left w:val="nil" w:sz="6" w:space="0" w:color="auto"/>
              <w:bottom w:val="nil" w:sz="6" w:space="0" w:color="auto"/>
              <w:right w:val="nil" w:sz="6" w:space="0" w:color="auto"/>
            </w:tcBorders>
          </w:tcPr>
          <w:p>
            <w:pPr>
              <w:pStyle w:val="TableParagraph"/>
              <w:spacing w:line="236" w:lineRule="exact"/>
              <w:ind w:right="198"/>
              <w:jc w:val="right"/>
              <w:rPr>
                <w:rFonts w:ascii="宋体" w:hAnsi="宋体" w:cs="宋体" w:eastAsia="宋体" w:hint="default"/>
                <w:sz w:val="22"/>
                <w:szCs w:val="22"/>
              </w:rPr>
            </w:pPr>
            <w:r>
              <w:rPr>
                <w:rFonts w:ascii="Arial" w:hAnsi="Arial" w:cs="Arial" w:eastAsia="Arial" w:hint="default"/>
                <w:w w:val="100"/>
                <w:sz w:val="22"/>
                <w:szCs w:val="22"/>
              </w:rPr>
            </w:r>
            <w:r>
              <w:rPr>
                <w:rFonts w:ascii="Arial" w:hAnsi="Arial" w:cs="Arial" w:eastAsia="Arial" w:hint="default"/>
                <w:sz w:val="22"/>
                <w:szCs w:val="22"/>
                <w:u w:val="single" w:color="000000"/>
              </w:rPr>
              <w:t>2018</w:t>
            </w:r>
            <w:r>
              <w:rPr>
                <w:rFonts w:ascii="Arial" w:hAnsi="Arial" w:cs="Arial" w:eastAsia="Arial" w:hint="default"/>
                <w:spacing w:val="-4"/>
                <w:sz w:val="22"/>
                <w:szCs w:val="22"/>
                <w:u w:val="single" w:color="000000"/>
              </w:rPr>
              <w:t> </w:t>
            </w:r>
            <w:r>
              <w:rPr>
                <w:rFonts w:ascii="宋体" w:hAnsi="宋体" w:cs="宋体" w:eastAsia="宋体" w:hint="default"/>
                <w:sz w:val="22"/>
                <w:szCs w:val="22"/>
                <w:u w:val="single" w:color="000000"/>
              </w:rPr>
              <w:t>年</w:t>
            </w:r>
            <w:r>
              <w:rPr>
                <w:rFonts w:ascii="宋体" w:hAnsi="宋体" w:cs="宋体" w:eastAsia="宋体" w:hint="default"/>
                <w:sz w:val="22"/>
                <w:szCs w:val="22"/>
              </w:rPr>
            </w:r>
          </w:p>
        </w:tc>
      </w:tr>
      <w:tr>
        <w:trPr>
          <w:trHeight w:val="404" w:hRule="exact"/>
        </w:trPr>
        <w:tc>
          <w:tcPr>
            <w:tcW w:w="405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200" w:right="0"/>
              <w:jc w:val="left"/>
              <w:rPr>
                <w:rFonts w:ascii="宋体" w:hAnsi="宋体" w:cs="宋体" w:eastAsia="宋体" w:hint="default"/>
                <w:sz w:val="22"/>
                <w:szCs w:val="22"/>
              </w:rPr>
            </w:pPr>
            <w:r>
              <w:rPr>
                <w:rFonts w:ascii="宋体" w:hAnsi="宋体" w:cs="宋体" w:eastAsia="宋体" w:hint="default"/>
                <w:sz w:val="22"/>
                <w:szCs w:val="22"/>
              </w:rPr>
              <w:t>以权益结算的股份支付</w:t>
            </w:r>
          </w:p>
        </w:tc>
        <w:tc>
          <w:tcPr>
            <w:tcW w:w="3436" w:type="dxa"/>
            <w:tcBorders>
              <w:top w:val="nil" w:sz="6" w:space="0" w:color="auto"/>
              <w:left w:val="nil" w:sz="6" w:space="0" w:color="auto"/>
              <w:bottom w:val="nil" w:sz="6" w:space="0" w:color="auto"/>
              <w:right w:val="nil" w:sz="6" w:space="0" w:color="auto"/>
            </w:tcBorders>
          </w:tcPr>
          <w:p>
            <w:pPr>
              <w:pStyle w:val="TableParagraph"/>
              <w:spacing w:line="240" w:lineRule="auto" w:before="155"/>
              <w:ind w:right="558"/>
              <w:jc w:val="right"/>
              <w:rPr>
                <w:rFonts w:ascii="Arial" w:hAnsi="Arial" w:cs="Arial" w:eastAsia="Arial" w:hint="default"/>
                <w:sz w:val="22"/>
                <w:szCs w:val="22"/>
              </w:rPr>
            </w:pPr>
            <w:r>
              <w:rPr>
                <w:rFonts w:ascii="Arial"/>
                <w:spacing w:val="-1"/>
                <w:sz w:val="22"/>
              </w:rPr>
              <w:t>570,670,000</w:t>
            </w:r>
          </w:p>
        </w:tc>
        <w:tc>
          <w:tcPr>
            <w:tcW w:w="2008" w:type="dxa"/>
            <w:tcBorders>
              <w:top w:val="nil" w:sz="6" w:space="0" w:color="auto"/>
              <w:left w:val="nil" w:sz="6" w:space="0" w:color="auto"/>
              <w:bottom w:val="nil" w:sz="6" w:space="0" w:color="auto"/>
              <w:right w:val="nil" w:sz="6" w:space="0" w:color="auto"/>
            </w:tcBorders>
          </w:tcPr>
          <w:p>
            <w:pPr>
              <w:pStyle w:val="TableParagraph"/>
              <w:spacing w:line="240" w:lineRule="auto" w:before="155"/>
              <w:ind w:right="219"/>
              <w:jc w:val="right"/>
              <w:rPr>
                <w:rFonts w:ascii="Arial" w:hAnsi="Arial" w:cs="Arial" w:eastAsia="Arial" w:hint="default"/>
                <w:sz w:val="22"/>
                <w:szCs w:val="22"/>
              </w:rPr>
            </w:pPr>
            <w:r>
              <w:rPr>
                <w:rFonts w:ascii="Arial"/>
                <w:spacing w:val="-1"/>
                <w:sz w:val="22"/>
              </w:rPr>
              <w:t>613,920,000</w:t>
            </w:r>
          </w:p>
        </w:tc>
      </w:tr>
    </w:tbl>
    <w:p>
      <w:pPr>
        <w:spacing w:line="240" w:lineRule="auto" w:before="3"/>
        <w:rPr>
          <w:rFonts w:ascii="宋体" w:hAnsi="宋体" w:cs="宋体" w:eastAsia="宋体" w:hint="default"/>
          <w:sz w:val="14"/>
          <w:szCs w:val="14"/>
        </w:rPr>
      </w:pPr>
    </w:p>
    <w:p>
      <w:pPr>
        <w:pStyle w:val="BodyText"/>
        <w:spacing w:line="240" w:lineRule="auto" w:before="32"/>
        <w:ind w:left="112" w:right="90"/>
        <w:jc w:val="left"/>
      </w:pPr>
      <w:r>
        <w:rPr>
          <w:rFonts w:ascii="Arial" w:hAnsi="Arial" w:cs="Arial" w:eastAsia="Arial" w:hint="default"/>
        </w:rPr>
        <w:t>2</w:t>
      </w:r>
      <w:r>
        <w:rPr/>
        <w:t>、</w:t>
      </w:r>
      <w:r>
        <w:rPr>
          <w:spacing w:val="-22"/>
        </w:rPr>
        <w:t> </w:t>
      </w:r>
      <w:r>
        <w:rPr/>
        <w:t>以权益结算的股份支付情况</w:t>
      </w:r>
    </w:p>
    <w:p>
      <w:pPr>
        <w:spacing w:line="240" w:lineRule="auto" w:before="11"/>
        <w:rPr>
          <w:rFonts w:ascii="宋体" w:hAnsi="宋体" w:cs="宋体" w:eastAsia="宋体" w:hint="default"/>
          <w:sz w:val="17"/>
          <w:szCs w:val="17"/>
        </w:rPr>
      </w:pPr>
    </w:p>
    <w:p>
      <w:pPr>
        <w:pStyle w:val="BodyText"/>
        <w:spacing w:line="296" w:lineRule="exact"/>
        <w:ind w:left="540" w:right="0"/>
        <w:jc w:val="both"/>
      </w:pPr>
      <w:r>
        <w:rPr>
          <w:w w:val="100"/>
        </w:rPr>
        <w:t>于</w:t>
      </w:r>
      <w:r>
        <w:rPr>
          <w:spacing w:val="-58"/>
        </w:rPr>
        <w:t> </w:t>
      </w:r>
      <w:r>
        <w:rPr>
          <w:rFonts w:ascii="Arial" w:hAnsi="Arial" w:cs="Arial" w:eastAsia="Arial" w:hint="default"/>
          <w:spacing w:val="2"/>
          <w:w w:val="100"/>
        </w:rPr>
        <w:t>201</w:t>
      </w:r>
      <w:r>
        <w:rPr>
          <w:rFonts w:ascii="Arial" w:hAnsi="Arial" w:cs="Arial" w:eastAsia="Arial" w:hint="default"/>
          <w:w w:val="100"/>
        </w:rPr>
        <w:t>4</w:t>
      </w:r>
      <w:r>
        <w:rPr>
          <w:rFonts w:ascii="Arial" w:hAnsi="Arial" w:cs="Arial" w:eastAsia="Arial" w:hint="default"/>
          <w:spacing w:val="-7"/>
        </w:rPr>
        <w:t> </w:t>
      </w:r>
      <w:r>
        <w:rPr>
          <w:w w:val="100"/>
        </w:rPr>
        <w:t>年</w:t>
      </w:r>
      <w:r>
        <w:rPr>
          <w:spacing w:val="-58"/>
        </w:rPr>
        <w:t> </w:t>
      </w:r>
      <w:r>
        <w:rPr>
          <w:rFonts w:ascii="Arial" w:hAnsi="Arial" w:cs="Arial" w:eastAsia="Arial" w:hint="default"/>
          <w:w w:val="100"/>
        </w:rPr>
        <w:t>4</w:t>
      </w:r>
      <w:r>
        <w:rPr>
          <w:rFonts w:ascii="Arial" w:hAnsi="Arial" w:cs="Arial" w:eastAsia="Arial" w:hint="default"/>
          <w:spacing w:val="-7"/>
        </w:rPr>
        <w:t> </w:t>
      </w:r>
      <w:r>
        <w:rPr>
          <w:w w:val="100"/>
        </w:rPr>
        <w:t>月</w:t>
      </w:r>
      <w:r>
        <w:rPr>
          <w:spacing w:val="-58"/>
        </w:rPr>
        <w:t> </w:t>
      </w:r>
      <w:r>
        <w:rPr>
          <w:rFonts w:ascii="Arial" w:hAnsi="Arial" w:cs="Arial" w:eastAsia="Arial" w:hint="default"/>
          <w:spacing w:val="2"/>
          <w:w w:val="100"/>
        </w:rPr>
        <w:t>1</w:t>
      </w:r>
      <w:r>
        <w:rPr>
          <w:rFonts w:ascii="Arial" w:hAnsi="Arial" w:cs="Arial" w:eastAsia="Arial" w:hint="default"/>
          <w:w w:val="100"/>
        </w:rPr>
        <w:t>6</w:t>
      </w:r>
      <w:r>
        <w:rPr>
          <w:rFonts w:ascii="Arial" w:hAnsi="Arial" w:cs="Arial" w:eastAsia="Arial" w:hint="default"/>
          <w:spacing w:val="-11"/>
        </w:rPr>
        <w:t> </w:t>
      </w:r>
      <w:r>
        <w:rPr>
          <w:w w:val="100"/>
        </w:rPr>
        <w:t>日</w:t>
      </w:r>
      <w:r>
        <w:rPr>
          <w:spacing w:val="-87"/>
          <w:w w:val="100"/>
        </w:rPr>
        <w:t>，</w:t>
      </w:r>
      <w:r>
        <w:rPr>
          <w:w w:val="100"/>
        </w:rPr>
        <w:t>联通</w:t>
      </w:r>
      <w:r>
        <w:rPr>
          <w:spacing w:val="-5"/>
          <w:w w:val="100"/>
        </w:rPr>
        <w:t>红</w:t>
      </w:r>
      <w:r>
        <w:rPr>
          <w:w w:val="100"/>
        </w:rPr>
        <w:t>筹公司采纳</w:t>
      </w:r>
      <w:r>
        <w:rPr>
          <w:spacing w:val="-5"/>
          <w:w w:val="100"/>
        </w:rPr>
        <w:t>了</w:t>
      </w:r>
      <w:r>
        <w:rPr>
          <w:w w:val="100"/>
        </w:rPr>
        <w:t>一份</w:t>
      </w:r>
      <w:r>
        <w:rPr>
          <w:spacing w:val="-5"/>
          <w:w w:val="100"/>
        </w:rPr>
        <w:t>新</w:t>
      </w:r>
      <w:r>
        <w:rPr>
          <w:w w:val="100"/>
        </w:rPr>
        <w:t>的股份期权计</w:t>
      </w:r>
      <w:r>
        <w:rPr>
          <w:spacing w:val="-92"/>
          <w:w w:val="100"/>
        </w:rPr>
        <w:t>划</w:t>
      </w:r>
      <w:r>
        <w:rPr>
          <w:spacing w:val="-87"/>
          <w:w w:val="100"/>
        </w:rPr>
        <w:t>（</w:t>
      </w:r>
      <w:r>
        <w:rPr>
          <w:w w:val="100"/>
        </w:rPr>
        <w:t>“二零</w:t>
      </w:r>
      <w:r>
        <w:rPr>
          <w:spacing w:val="-5"/>
          <w:w w:val="100"/>
        </w:rPr>
        <w:t>一</w:t>
      </w:r>
      <w:r>
        <w:rPr>
          <w:w w:val="100"/>
        </w:rPr>
        <w:t>四股份期权</w:t>
      </w:r>
      <w:r>
        <w:rPr>
          <w:spacing w:val="-5"/>
          <w:w w:val="100"/>
        </w:rPr>
        <w:t>计</w:t>
      </w:r>
      <w:r>
        <w:rPr>
          <w:w w:val="100"/>
        </w:rPr>
        <w:t>划</w:t>
      </w:r>
      <w:r>
        <w:rPr>
          <w:spacing w:val="-87"/>
          <w:w w:val="100"/>
        </w:rPr>
        <w:t>”）</w:t>
      </w:r>
      <w:r>
        <w:rPr>
          <w:w w:val="100"/>
        </w:rPr>
        <w:t>，</w:t>
      </w:r>
    </w:p>
    <w:p>
      <w:pPr>
        <w:pStyle w:val="BodyText"/>
        <w:spacing w:line="286" w:lineRule="exact"/>
        <w:ind w:left="539" w:right="0"/>
        <w:jc w:val="both"/>
      </w:pPr>
      <w:r>
        <w:rPr/>
        <w:t>向符合资格的联通红筹公司及其子公司的员工授予股份期权。二零一四股份期权计划自 </w:t>
      </w:r>
      <w:r>
        <w:rPr>
          <w:rFonts w:ascii="Arial" w:hAnsi="Arial" w:cs="Arial" w:eastAsia="Arial" w:hint="default"/>
        </w:rPr>
        <w:t>2014</w:t>
      </w:r>
      <w:r>
        <w:rPr>
          <w:rFonts w:ascii="Arial" w:hAnsi="Arial" w:cs="Arial" w:eastAsia="Arial" w:hint="default"/>
          <w:spacing w:val="-23"/>
        </w:rPr>
        <w:t> </w:t>
      </w:r>
      <w:r>
        <w:rPr/>
        <w:t>年</w:t>
      </w:r>
    </w:p>
    <w:p>
      <w:pPr>
        <w:pStyle w:val="BodyText"/>
        <w:spacing w:line="288" w:lineRule="exact" w:before="16"/>
        <w:ind w:left="539" w:right="174"/>
        <w:jc w:val="left"/>
      </w:pPr>
      <w:r>
        <w:rPr>
          <w:rFonts w:ascii="Arial" w:hAnsi="Arial" w:cs="Arial" w:eastAsia="Arial" w:hint="default"/>
        </w:rPr>
        <w:t>4</w:t>
      </w:r>
      <w:r>
        <w:rPr>
          <w:rFonts w:ascii="Arial" w:hAnsi="Arial" w:cs="Arial" w:eastAsia="Arial" w:hint="default"/>
          <w:spacing w:val="-1"/>
        </w:rPr>
        <w:t> </w:t>
      </w:r>
      <w:r>
        <w:rPr/>
        <w:t>月</w:t>
      </w:r>
      <w:r>
        <w:rPr>
          <w:spacing w:val="-52"/>
        </w:rPr>
        <w:t> </w:t>
      </w:r>
      <w:r>
        <w:rPr>
          <w:rFonts w:ascii="Arial" w:hAnsi="Arial" w:cs="Arial" w:eastAsia="Arial" w:hint="default"/>
        </w:rPr>
        <w:t>22</w:t>
      </w:r>
      <w:r>
        <w:rPr>
          <w:rFonts w:ascii="Arial" w:hAnsi="Arial" w:cs="Arial" w:eastAsia="Arial" w:hint="default"/>
          <w:spacing w:val="-1"/>
        </w:rPr>
        <w:t> </w:t>
      </w:r>
      <w:r>
        <w:rPr>
          <w:spacing w:val="-6"/>
        </w:rPr>
        <w:t>日起生效，为期十年，并将于</w:t>
      </w:r>
      <w:r>
        <w:rPr>
          <w:spacing w:val="-52"/>
        </w:rPr>
        <w:t> </w:t>
      </w:r>
      <w:r>
        <w:rPr>
          <w:rFonts w:ascii="Arial" w:hAnsi="Arial" w:cs="Arial" w:eastAsia="Arial" w:hint="default"/>
        </w:rPr>
        <w:t>2024</w:t>
      </w:r>
      <w:r>
        <w:rPr>
          <w:rFonts w:ascii="Arial" w:hAnsi="Arial" w:cs="Arial" w:eastAsia="Arial" w:hint="default"/>
          <w:spacing w:val="-1"/>
        </w:rPr>
        <w:t> </w:t>
      </w:r>
      <w:r>
        <w:rPr/>
        <w:t>年</w:t>
      </w:r>
      <w:r>
        <w:rPr>
          <w:spacing w:val="-52"/>
        </w:rPr>
        <w:t> </w:t>
      </w:r>
      <w:r>
        <w:rPr>
          <w:rFonts w:ascii="Arial" w:hAnsi="Arial" w:cs="Arial" w:eastAsia="Arial" w:hint="default"/>
        </w:rPr>
        <w:t>4</w:t>
      </w:r>
      <w:r>
        <w:rPr>
          <w:rFonts w:ascii="Arial" w:hAnsi="Arial" w:cs="Arial" w:eastAsia="Arial" w:hint="default"/>
          <w:spacing w:val="-1"/>
        </w:rPr>
        <w:t> </w:t>
      </w:r>
      <w:r>
        <w:rPr/>
        <w:t>月</w:t>
      </w:r>
      <w:r>
        <w:rPr>
          <w:spacing w:val="-58"/>
        </w:rPr>
        <w:t> </w:t>
      </w:r>
      <w:r>
        <w:rPr>
          <w:rFonts w:ascii="Arial" w:hAnsi="Arial" w:cs="Arial" w:eastAsia="Arial" w:hint="default"/>
        </w:rPr>
        <w:t>22</w:t>
      </w:r>
      <w:r>
        <w:rPr>
          <w:rFonts w:ascii="Arial" w:hAnsi="Arial" w:cs="Arial" w:eastAsia="Arial" w:hint="default"/>
          <w:spacing w:val="-1"/>
        </w:rPr>
        <w:t> </w:t>
      </w:r>
      <w:r>
        <w:rPr>
          <w:spacing w:val="-3"/>
        </w:rPr>
        <w:t>日期满。自采纳二零一四股份期权计划后，</w:t>
      </w:r>
      <w:r>
        <w:rPr>
          <w:w w:val="100"/>
        </w:rPr>
        <w:t> </w:t>
      </w:r>
      <w:r>
        <w:rPr/>
        <w:t>并无授出任何股份期权。</w:t>
      </w:r>
    </w:p>
    <w:p>
      <w:pPr>
        <w:spacing w:line="240" w:lineRule="auto" w:before="0"/>
        <w:rPr>
          <w:rFonts w:ascii="宋体" w:hAnsi="宋体" w:cs="宋体" w:eastAsia="宋体" w:hint="default"/>
          <w:sz w:val="17"/>
          <w:szCs w:val="17"/>
        </w:rPr>
      </w:pPr>
    </w:p>
    <w:p>
      <w:pPr>
        <w:pStyle w:val="BodyText"/>
        <w:spacing w:line="293" w:lineRule="exact"/>
        <w:ind w:left="539" w:right="0"/>
        <w:jc w:val="both"/>
      </w:pPr>
      <w:r>
        <w:rPr/>
        <w:t>根据</w:t>
      </w:r>
      <w:r>
        <w:rPr>
          <w:spacing w:val="-57"/>
        </w:rPr>
        <w:t> </w:t>
      </w:r>
      <w:r>
        <w:rPr>
          <w:rFonts w:ascii="Arial" w:hAnsi="Arial" w:cs="Arial" w:eastAsia="Arial" w:hint="default"/>
        </w:rPr>
        <w:t>2018</w:t>
      </w:r>
      <w:r>
        <w:rPr>
          <w:rFonts w:ascii="Arial" w:hAnsi="Arial" w:cs="Arial" w:eastAsia="Arial" w:hint="default"/>
          <w:spacing w:val="-6"/>
        </w:rPr>
        <w:t> </w:t>
      </w:r>
      <w:r>
        <w:rPr/>
        <w:t>年</w:t>
      </w:r>
      <w:r>
        <w:rPr>
          <w:spacing w:val="-57"/>
        </w:rPr>
        <w:t> </w:t>
      </w:r>
      <w:r>
        <w:rPr>
          <w:rFonts w:ascii="Arial" w:hAnsi="Arial" w:cs="Arial" w:eastAsia="Arial" w:hint="default"/>
        </w:rPr>
        <w:t>2</w:t>
      </w:r>
      <w:r>
        <w:rPr>
          <w:rFonts w:ascii="Arial" w:hAnsi="Arial" w:cs="Arial" w:eastAsia="Arial" w:hint="default"/>
          <w:spacing w:val="-6"/>
        </w:rPr>
        <w:t> </w:t>
      </w:r>
      <w:r>
        <w:rPr/>
        <w:t>月</w:t>
      </w:r>
      <w:r>
        <w:rPr>
          <w:spacing w:val="-57"/>
        </w:rPr>
        <w:t> </w:t>
      </w:r>
      <w:r>
        <w:rPr>
          <w:rFonts w:ascii="Arial" w:hAnsi="Arial" w:cs="Arial" w:eastAsia="Arial" w:hint="default"/>
        </w:rPr>
        <w:t>28</w:t>
      </w:r>
      <w:r>
        <w:rPr>
          <w:rFonts w:ascii="Arial" w:hAnsi="Arial" w:cs="Arial" w:eastAsia="Arial" w:hint="default"/>
          <w:spacing w:val="-6"/>
        </w:rPr>
        <w:t> </w:t>
      </w:r>
      <w:r>
        <w:rPr/>
        <w:t>日召开的</w:t>
      </w:r>
      <w:r>
        <w:rPr>
          <w:spacing w:val="-57"/>
        </w:rPr>
        <w:t> </w:t>
      </w:r>
      <w:r>
        <w:rPr>
          <w:rFonts w:ascii="Arial" w:hAnsi="Arial" w:cs="Arial" w:eastAsia="Arial" w:hint="default"/>
        </w:rPr>
        <w:t>2018</w:t>
      </w:r>
      <w:r>
        <w:rPr>
          <w:rFonts w:ascii="Arial" w:hAnsi="Arial" w:cs="Arial" w:eastAsia="Arial" w:hint="default"/>
          <w:spacing w:val="-6"/>
        </w:rPr>
        <w:t> </w:t>
      </w:r>
      <w:r>
        <w:rPr/>
        <w:t>年第二次临时股东大会批准及授权，本公司于</w:t>
      </w:r>
      <w:r>
        <w:rPr>
          <w:spacing w:val="-57"/>
        </w:rPr>
        <w:t> </w:t>
      </w:r>
      <w:r>
        <w:rPr>
          <w:rFonts w:ascii="Arial" w:hAnsi="Arial" w:cs="Arial" w:eastAsia="Arial" w:hint="default"/>
        </w:rPr>
        <w:t>2018</w:t>
      </w:r>
      <w:r>
        <w:rPr>
          <w:rFonts w:ascii="Arial" w:hAnsi="Arial" w:cs="Arial" w:eastAsia="Arial" w:hint="default"/>
          <w:spacing w:val="-6"/>
        </w:rPr>
        <w:t> </w:t>
      </w:r>
      <w:r>
        <w:rPr/>
        <w:t>年</w:t>
      </w:r>
      <w:r>
        <w:rPr>
          <w:spacing w:val="-57"/>
        </w:rPr>
        <w:t> </w:t>
      </w:r>
      <w:r>
        <w:rPr>
          <w:rFonts w:ascii="Arial" w:hAnsi="Arial" w:cs="Arial" w:eastAsia="Arial" w:hint="default"/>
        </w:rPr>
        <w:t>3</w:t>
      </w:r>
      <w:r>
        <w:rPr>
          <w:rFonts w:ascii="Arial" w:hAnsi="Arial" w:cs="Arial" w:eastAsia="Arial" w:hint="default"/>
          <w:spacing w:val="-6"/>
        </w:rPr>
        <w:t> </w:t>
      </w:r>
      <w:r>
        <w:rPr/>
        <w:t>月</w:t>
      </w:r>
    </w:p>
    <w:p>
      <w:pPr>
        <w:pStyle w:val="BodyText"/>
        <w:spacing w:line="225" w:lineRule="auto" w:before="5"/>
        <w:ind w:left="539" w:right="282"/>
        <w:jc w:val="both"/>
      </w:pPr>
      <w:r>
        <w:rPr>
          <w:rFonts w:ascii="Arial" w:hAnsi="Arial" w:cs="Arial" w:eastAsia="Arial" w:hint="default"/>
        </w:rPr>
        <w:t>15</w:t>
      </w:r>
      <w:r>
        <w:rPr>
          <w:rFonts w:ascii="Arial" w:hAnsi="Arial" w:cs="Arial" w:eastAsia="Arial" w:hint="default"/>
          <w:spacing w:val="46"/>
        </w:rPr>
        <w:t> </w:t>
      </w:r>
      <w:r>
        <w:rPr>
          <w:spacing w:val="-4"/>
        </w:rPr>
        <w:t>日召开第六届董事会第二次会议，审议批准实施限制性股票激励计划。该限制性股票激励计划</w:t>
      </w:r>
      <w:r>
        <w:rPr>
          <w:spacing w:val="-100"/>
        </w:rPr>
        <w:t> </w:t>
      </w:r>
      <w:r>
        <w:rPr>
          <w:spacing w:val="-100"/>
        </w:rPr>
      </w:r>
      <w:r>
        <w:rPr/>
        <w:t>授予的限制性股票来源为本公司向激励对象定向发行的</w:t>
      </w:r>
      <w:r>
        <w:rPr>
          <w:spacing w:val="-53"/>
        </w:rPr>
        <w:t> </w:t>
      </w:r>
      <w:r>
        <w:rPr>
          <w:rFonts w:ascii="Arial" w:hAnsi="Arial" w:cs="Arial" w:eastAsia="Arial" w:hint="default"/>
        </w:rPr>
        <w:t>A</w:t>
      </w:r>
      <w:r>
        <w:rPr>
          <w:rFonts w:ascii="Arial" w:hAnsi="Arial" w:cs="Arial" w:eastAsia="Arial" w:hint="default"/>
          <w:spacing w:val="-1"/>
        </w:rPr>
        <w:t> </w:t>
      </w:r>
      <w:r>
        <w:rPr>
          <w:spacing w:val="-4"/>
        </w:rPr>
        <w:t>股普通股股票，首期授予方案实施分为</w:t>
      </w:r>
      <w:r>
        <w:rPr>
          <w:w w:val="100"/>
        </w:rPr>
        <w:t> </w:t>
      </w:r>
      <w:r>
        <w:rPr>
          <w:spacing w:val="-3"/>
        </w:rPr>
        <w:t>首次授予及预留授予。其中，首次授予的授予日为</w:t>
      </w:r>
      <w:r>
        <w:rPr>
          <w:spacing w:val="-59"/>
        </w:rPr>
        <w:t> </w:t>
      </w:r>
      <w:r>
        <w:rPr>
          <w:rFonts w:ascii="Arial" w:hAnsi="Arial" w:cs="Arial" w:eastAsia="Arial" w:hint="default"/>
        </w:rPr>
        <w:t>2018</w:t>
      </w:r>
      <w:r>
        <w:rPr>
          <w:rFonts w:ascii="Arial" w:hAnsi="Arial" w:cs="Arial" w:eastAsia="Arial" w:hint="default"/>
          <w:spacing w:val="-4"/>
        </w:rPr>
        <w:t> </w:t>
      </w:r>
      <w:r>
        <w:rPr/>
        <w:t>年</w:t>
      </w:r>
      <w:r>
        <w:rPr>
          <w:spacing w:val="-55"/>
        </w:rPr>
        <w:t> </w:t>
      </w:r>
      <w:r>
        <w:rPr>
          <w:rFonts w:ascii="Arial" w:hAnsi="Arial" w:cs="Arial" w:eastAsia="Arial" w:hint="default"/>
        </w:rPr>
        <w:t>3</w:t>
      </w:r>
      <w:r>
        <w:rPr>
          <w:rFonts w:ascii="Arial" w:hAnsi="Arial" w:cs="Arial" w:eastAsia="Arial" w:hint="default"/>
          <w:spacing w:val="-4"/>
        </w:rPr>
        <w:t> </w:t>
      </w:r>
      <w:r>
        <w:rPr/>
        <w:t>月</w:t>
      </w:r>
      <w:r>
        <w:rPr>
          <w:spacing w:val="-55"/>
        </w:rPr>
        <w:t> </w:t>
      </w:r>
      <w:r>
        <w:rPr>
          <w:rFonts w:ascii="Arial" w:hAnsi="Arial" w:cs="Arial" w:eastAsia="Arial" w:hint="default"/>
        </w:rPr>
        <w:t>21</w:t>
      </w:r>
      <w:r>
        <w:rPr>
          <w:rFonts w:ascii="Arial" w:hAnsi="Arial" w:cs="Arial" w:eastAsia="Arial" w:hint="default"/>
          <w:spacing w:val="-4"/>
        </w:rPr>
        <w:t> </w:t>
      </w:r>
      <w:r>
        <w:rPr>
          <w:spacing w:val="-9"/>
        </w:rPr>
        <w:t>日，于</w:t>
      </w:r>
      <w:r>
        <w:rPr>
          <w:spacing w:val="-55"/>
        </w:rPr>
        <w:t> </w:t>
      </w:r>
      <w:r>
        <w:rPr>
          <w:rFonts w:ascii="Arial" w:hAnsi="Arial" w:cs="Arial" w:eastAsia="Arial" w:hint="default"/>
        </w:rPr>
        <w:t>2018</w:t>
      </w:r>
      <w:r>
        <w:rPr>
          <w:rFonts w:ascii="Arial" w:hAnsi="Arial" w:cs="Arial" w:eastAsia="Arial" w:hint="default"/>
          <w:spacing w:val="-4"/>
        </w:rPr>
        <w:t> </w:t>
      </w:r>
      <w:r>
        <w:rPr/>
        <w:t>年</w:t>
      </w:r>
      <w:r>
        <w:rPr>
          <w:spacing w:val="-55"/>
        </w:rPr>
        <w:t> </w:t>
      </w:r>
      <w:r>
        <w:rPr>
          <w:rFonts w:ascii="Arial" w:hAnsi="Arial" w:cs="Arial" w:eastAsia="Arial" w:hint="default"/>
        </w:rPr>
        <w:t>4</w:t>
      </w:r>
      <w:r>
        <w:rPr>
          <w:rFonts w:ascii="Arial" w:hAnsi="Arial" w:cs="Arial" w:eastAsia="Arial" w:hint="default"/>
          <w:spacing w:val="-4"/>
        </w:rPr>
        <w:t> </w:t>
      </w:r>
      <w:r>
        <w:rPr/>
        <w:t>月</w:t>
      </w:r>
      <w:r>
        <w:rPr>
          <w:spacing w:val="-55"/>
        </w:rPr>
        <w:t> </w:t>
      </w:r>
      <w:r>
        <w:rPr>
          <w:rFonts w:ascii="Arial" w:hAnsi="Arial" w:cs="Arial" w:eastAsia="Arial" w:hint="default"/>
        </w:rPr>
        <w:t>9</w:t>
      </w:r>
      <w:r>
        <w:rPr>
          <w:rFonts w:ascii="Arial" w:hAnsi="Arial" w:cs="Arial" w:eastAsia="Arial" w:hint="default"/>
          <w:spacing w:val="-4"/>
        </w:rPr>
        <w:t> </w:t>
      </w:r>
      <w:r>
        <w:rPr/>
        <w:t>日实施</w:t>
      </w:r>
    </w:p>
    <w:p>
      <w:pPr>
        <w:pStyle w:val="BodyText"/>
        <w:spacing w:line="281" w:lineRule="exact"/>
        <w:ind w:left="538" w:right="0"/>
        <w:jc w:val="both"/>
        <w:rPr>
          <w:rFonts w:ascii="Arial" w:hAnsi="Arial" w:cs="Arial" w:eastAsia="Arial" w:hint="default"/>
        </w:rPr>
      </w:pPr>
      <w:r>
        <w:rPr/>
        <w:t>完成，实际授予人数为</w:t>
      </w:r>
      <w:r>
        <w:rPr>
          <w:spacing w:val="-50"/>
        </w:rPr>
        <w:t> </w:t>
      </w:r>
      <w:r>
        <w:rPr>
          <w:rFonts w:ascii="Arial" w:hAnsi="Arial" w:cs="Arial" w:eastAsia="Arial" w:hint="default"/>
        </w:rPr>
        <w:t>7,752</w:t>
      </w:r>
      <w:r>
        <w:rPr>
          <w:rFonts w:ascii="Arial" w:hAnsi="Arial" w:cs="Arial" w:eastAsia="Arial" w:hint="default"/>
          <w:spacing w:val="6"/>
        </w:rPr>
        <w:t> </w:t>
      </w:r>
      <w:r>
        <w:rPr/>
        <w:t>人，授予数量为</w:t>
      </w:r>
      <w:r>
        <w:rPr>
          <w:spacing w:val="-45"/>
        </w:rPr>
        <w:t> </w:t>
      </w:r>
      <w:r>
        <w:rPr>
          <w:rFonts w:ascii="Arial" w:hAnsi="Arial" w:cs="Arial" w:eastAsia="Arial" w:hint="default"/>
        </w:rPr>
        <w:t>793,861,000</w:t>
      </w:r>
      <w:r>
        <w:rPr>
          <w:rFonts w:ascii="Arial" w:hAnsi="Arial" w:cs="Arial" w:eastAsia="Arial" w:hint="default"/>
          <w:spacing w:val="6"/>
        </w:rPr>
        <w:t> </w:t>
      </w:r>
      <w:r>
        <w:rPr/>
        <w:t>股；预留授予的授予日为</w:t>
      </w:r>
      <w:r>
        <w:rPr>
          <w:spacing w:val="-50"/>
        </w:rPr>
        <w:t> </w:t>
      </w:r>
      <w:r>
        <w:rPr>
          <w:rFonts w:ascii="Arial" w:hAnsi="Arial" w:cs="Arial" w:eastAsia="Arial" w:hint="default"/>
        </w:rPr>
        <w:t>2019</w:t>
      </w:r>
      <w:r>
        <w:rPr>
          <w:rFonts w:ascii="Arial" w:hAnsi="Arial" w:cs="Arial" w:eastAsia="Arial" w:hint="default"/>
          <w:spacing w:val="6"/>
        </w:rPr>
        <w:t> </w:t>
      </w:r>
      <w:r>
        <w:rPr/>
        <w:t>年</w:t>
      </w:r>
      <w:r>
        <w:rPr>
          <w:spacing w:val="-50"/>
        </w:rPr>
        <w:t> </w:t>
      </w:r>
      <w:r>
        <w:rPr>
          <w:rFonts w:ascii="Arial" w:hAnsi="Arial" w:cs="Arial" w:eastAsia="Arial" w:hint="default"/>
        </w:rPr>
        <w:t>2</w:t>
      </w:r>
    </w:p>
    <w:p>
      <w:pPr>
        <w:pStyle w:val="BodyText"/>
        <w:spacing w:line="286" w:lineRule="exact"/>
        <w:ind w:left="538" w:right="0"/>
        <w:jc w:val="both"/>
      </w:pPr>
      <w:r>
        <w:rPr/>
        <w:t>月</w:t>
      </w:r>
      <w:r>
        <w:rPr>
          <w:spacing w:val="-49"/>
        </w:rPr>
        <w:t> </w:t>
      </w:r>
      <w:r>
        <w:rPr>
          <w:rFonts w:ascii="Arial" w:hAnsi="Arial" w:cs="Arial" w:eastAsia="Arial" w:hint="default"/>
        </w:rPr>
        <w:t>1</w:t>
      </w:r>
      <w:r>
        <w:rPr>
          <w:rFonts w:ascii="Arial" w:hAnsi="Arial" w:cs="Arial" w:eastAsia="Arial" w:hint="default"/>
          <w:spacing w:val="2"/>
        </w:rPr>
        <w:t> </w:t>
      </w:r>
      <w:r>
        <w:rPr/>
        <w:t>日，于</w:t>
      </w:r>
      <w:r>
        <w:rPr>
          <w:spacing w:val="-49"/>
        </w:rPr>
        <w:t> </w:t>
      </w:r>
      <w:r>
        <w:rPr>
          <w:rFonts w:ascii="Arial" w:hAnsi="Arial" w:cs="Arial" w:eastAsia="Arial" w:hint="default"/>
        </w:rPr>
        <w:t>2019</w:t>
      </w:r>
      <w:r>
        <w:rPr>
          <w:rFonts w:ascii="Arial" w:hAnsi="Arial" w:cs="Arial" w:eastAsia="Arial" w:hint="default"/>
          <w:spacing w:val="-3"/>
        </w:rPr>
        <w:t> </w:t>
      </w:r>
      <w:r>
        <w:rPr/>
        <w:t>年</w:t>
      </w:r>
      <w:r>
        <w:rPr>
          <w:spacing w:val="-49"/>
        </w:rPr>
        <w:t> </w:t>
      </w:r>
      <w:r>
        <w:rPr>
          <w:rFonts w:ascii="Arial" w:hAnsi="Arial" w:cs="Arial" w:eastAsia="Arial" w:hint="default"/>
        </w:rPr>
        <w:t>3</w:t>
      </w:r>
      <w:r>
        <w:rPr>
          <w:rFonts w:ascii="Arial" w:hAnsi="Arial" w:cs="Arial" w:eastAsia="Arial" w:hint="default"/>
          <w:spacing w:val="-3"/>
        </w:rPr>
        <w:t> </w:t>
      </w:r>
      <w:r>
        <w:rPr/>
        <w:t>月</w:t>
      </w:r>
      <w:r>
        <w:rPr>
          <w:spacing w:val="-54"/>
        </w:rPr>
        <w:t> </w:t>
      </w:r>
      <w:r>
        <w:rPr>
          <w:rFonts w:ascii="Arial" w:hAnsi="Arial" w:cs="Arial" w:eastAsia="Arial" w:hint="default"/>
        </w:rPr>
        <w:t>5</w:t>
      </w:r>
      <w:r>
        <w:rPr>
          <w:rFonts w:ascii="Arial" w:hAnsi="Arial" w:cs="Arial" w:eastAsia="Arial" w:hint="default"/>
          <w:spacing w:val="2"/>
        </w:rPr>
        <w:t> </w:t>
      </w:r>
      <w:r>
        <w:rPr/>
        <w:t>日实施完成，实际授予人数为</w:t>
      </w:r>
      <w:r>
        <w:rPr>
          <w:spacing w:val="-49"/>
        </w:rPr>
        <w:t> </w:t>
      </w:r>
      <w:r>
        <w:rPr>
          <w:rFonts w:ascii="Arial" w:hAnsi="Arial" w:cs="Arial" w:eastAsia="Arial" w:hint="default"/>
        </w:rPr>
        <w:t>193</w:t>
      </w:r>
      <w:r>
        <w:rPr>
          <w:rFonts w:ascii="Arial" w:hAnsi="Arial" w:cs="Arial" w:eastAsia="Arial" w:hint="default"/>
          <w:spacing w:val="2"/>
        </w:rPr>
        <w:t> </w:t>
      </w:r>
      <w:r>
        <w:rPr/>
        <w:t>人，授予数量为</w:t>
      </w:r>
      <w:r>
        <w:rPr>
          <w:spacing w:val="-49"/>
        </w:rPr>
        <w:t> </w:t>
      </w:r>
      <w:r>
        <w:rPr>
          <w:rFonts w:ascii="Arial" w:hAnsi="Arial" w:cs="Arial" w:eastAsia="Arial" w:hint="default"/>
        </w:rPr>
        <w:t>13,156,000</w:t>
      </w:r>
      <w:r>
        <w:rPr>
          <w:rFonts w:ascii="Arial" w:hAnsi="Arial" w:cs="Arial" w:eastAsia="Arial" w:hint="default"/>
          <w:spacing w:val="2"/>
        </w:rPr>
        <w:t> </w:t>
      </w:r>
      <w:r>
        <w:rPr/>
        <w:t>股。</w:t>
      </w:r>
    </w:p>
    <w:p>
      <w:pPr>
        <w:pStyle w:val="BodyText"/>
        <w:spacing w:line="296" w:lineRule="exact"/>
        <w:ind w:left="538" w:right="0"/>
        <w:jc w:val="both"/>
      </w:pPr>
      <w:r>
        <w:rPr/>
        <w:t>激励对象的认购价格均为人民币</w:t>
      </w:r>
      <w:r>
        <w:rPr>
          <w:spacing w:val="-53"/>
        </w:rPr>
        <w:t> </w:t>
      </w:r>
      <w:r>
        <w:rPr>
          <w:rFonts w:ascii="Arial" w:hAnsi="Arial" w:cs="Arial" w:eastAsia="Arial" w:hint="default"/>
        </w:rPr>
        <w:t>3.79</w:t>
      </w:r>
      <w:r>
        <w:rPr>
          <w:rFonts w:ascii="Arial" w:hAnsi="Arial" w:cs="Arial" w:eastAsia="Arial" w:hint="default"/>
          <w:spacing w:val="-6"/>
        </w:rPr>
        <w:t> </w:t>
      </w:r>
      <w:r>
        <w:rPr/>
        <w:t>元</w:t>
      </w:r>
      <w:r>
        <w:rPr>
          <w:rFonts w:ascii="Arial" w:hAnsi="Arial" w:cs="Arial" w:eastAsia="Arial" w:hint="default"/>
        </w:rPr>
        <w:t>/</w:t>
      </w:r>
      <w:r>
        <w:rPr/>
        <w:t>股。</w:t>
      </w:r>
    </w:p>
    <w:p>
      <w:pPr>
        <w:spacing w:line="240" w:lineRule="auto" w:before="9"/>
        <w:rPr>
          <w:rFonts w:ascii="宋体" w:hAnsi="宋体" w:cs="宋体" w:eastAsia="宋体" w:hint="default"/>
          <w:sz w:val="18"/>
          <w:szCs w:val="18"/>
        </w:rPr>
      </w:pPr>
    </w:p>
    <w:p>
      <w:pPr>
        <w:pStyle w:val="BodyText"/>
        <w:spacing w:line="230" w:lineRule="auto"/>
        <w:ind w:left="538" w:right="282"/>
        <w:jc w:val="both"/>
      </w:pPr>
      <w:r>
        <w:rPr>
          <w:spacing w:val="-4"/>
        </w:rPr>
        <w:t>根据限制性股票激励计划首期授予方案（草案修订稿）的规定，限制性股票自登记完成之日起 </w:t>
      </w:r>
      <w:r>
        <w:rPr>
          <w:rFonts w:ascii="Arial" w:hAnsi="Arial" w:cs="Arial" w:eastAsia="Arial" w:hint="default"/>
          <w:spacing w:val="-3"/>
        </w:rPr>
        <w:t>24</w:t>
      </w:r>
      <w:r>
        <w:rPr>
          <w:rFonts w:ascii="Arial" w:hAnsi="Arial" w:cs="Arial" w:eastAsia="Arial" w:hint="default"/>
          <w:spacing w:val="-50"/>
        </w:rPr>
        <w:t> </w:t>
      </w:r>
      <w:r>
        <w:rPr>
          <w:spacing w:val="-2"/>
        </w:rPr>
        <w:t>个月内为限售期。在限售期内，限制性股票予以限售，不得转让、不得用于担保或偿还债务；自</w:t>
      </w:r>
      <w:r>
        <w:rPr>
          <w:spacing w:val="-43"/>
        </w:rPr>
        <w:t> </w:t>
      </w:r>
      <w:r>
        <w:rPr>
          <w:spacing w:val="-43"/>
        </w:rPr>
      </w:r>
      <w:r>
        <w:rPr/>
        <w:t>登记完成之日起满</w:t>
      </w:r>
      <w:r>
        <w:rPr>
          <w:spacing w:val="15"/>
        </w:rPr>
        <w:t> </w:t>
      </w:r>
      <w:r>
        <w:rPr>
          <w:rFonts w:ascii="Arial" w:hAnsi="Arial" w:cs="Arial" w:eastAsia="Arial" w:hint="default"/>
        </w:rPr>
        <w:t>24</w:t>
      </w:r>
      <w:r>
        <w:rPr>
          <w:rFonts w:ascii="Arial" w:hAnsi="Arial" w:cs="Arial" w:eastAsia="Arial" w:hint="default"/>
          <w:spacing w:val="3"/>
        </w:rPr>
        <w:t> </w:t>
      </w:r>
      <w:r>
        <w:rPr>
          <w:spacing w:val="-3"/>
        </w:rPr>
        <w:t>个月后分三期解锁，每期解锁的比例分别为</w:t>
      </w:r>
      <w:r>
        <w:rPr>
          <w:spacing w:val="-49"/>
        </w:rPr>
        <w:t> </w:t>
      </w:r>
      <w:r>
        <w:rPr>
          <w:rFonts w:ascii="Arial" w:hAnsi="Arial" w:cs="Arial" w:eastAsia="Arial" w:hint="default"/>
          <w:spacing w:val="-5"/>
        </w:rPr>
        <w:t>40%</w:t>
      </w:r>
      <w:r>
        <w:rPr>
          <w:spacing w:val="-5"/>
        </w:rPr>
        <w:t>、</w:t>
      </w:r>
      <w:r>
        <w:rPr>
          <w:rFonts w:ascii="Arial" w:hAnsi="Arial" w:cs="Arial" w:eastAsia="Arial" w:hint="default"/>
          <w:spacing w:val="-5"/>
        </w:rPr>
        <w:t>30%</w:t>
      </w:r>
      <w:r>
        <w:rPr>
          <w:spacing w:val="-5"/>
        </w:rPr>
        <w:t>和</w:t>
      </w:r>
      <w:r>
        <w:rPr>
          <w:spacing w:val="-54"/>
        </w:rPr>
        <w:t> </w:t>
      </w:r>
      <w:r>
        <w:rPr>
          <w:rFonts w:ascii="Arial" w:hAnsi="Arial" w:cs="Arial" w:eastAsia="Arial" w:hint="default"/>
          <w:spacing w:val="-5"/>
        </w:rPr>
        <w:t>30%</w:t>
      </w:r>
      <w:r>
        <w:rPr>
          <w:spacing w:val="-5"/>
        </w:rPr>
        <w:t>，对应的解</w:t>
      </w:r>
      <w:r>
        <w:rPr>
          <w:spacing w:val="-108"/>
        </w:rPr>
        <w:t> </w:t>
      </w:r>
      <w:r>
        <w:rPr>
          <w:spacing w:val="-108"/>
        </w:rPr>
      </w:r>
      <w:r>
        <w:rPr/>
        <w:t>锁日自授予日起约为</w:t>
      </w:r>
      <w:r>
        <w:rPr>
          <w:spacing w:val="-57"/>
        </w:rPr>
        <w:t> </w:t>
      </w:r>
      <w:r>
        <w:rPr>
          <w:rFonts w:ascii="Arial" w:hAnsi="Arial" w:cs="Arial" w:eastAsia="Arial" w:hint="default"/>
        </w:rPr>
        <w:t>2</w:t>
      </w:r>
      <w:r>
        <w:rPr>
          <w:rFonts w:ascii="Arial" w:hAnsi="Arial" w:cs="Arial" w:eastAsia="Arial" w:hint="default"/>
          <w:spacing w:val="-6"/>
        </w:rPr>
        <w:t> </w:t>
      </w:r>
      <w:r>
        <w:rPr/>
        <w:t>年、</w:t>
      </w:r>
      <w:r>
        <w:rPr>
          <w:rFonts w:ascii="Arial" w:hAnsi="Arial" w:cs="Arial" w:eastAsia="Arial" w:hint="default"/>
        </w:rPr>
        <w:t>3</w:t>
      </w:r>
      <w:r>
        <w:rPr>
          <w:rFonts w:ascii="Arial" w:hAnsi="Arial" w:cs="Arial" w:eastAsia="Arial" w:hint="default"/>
          <w:spacing w:val="-6"/>
        </w:rPr>
        <w:t> </w:t>
      </w:r>
      <w:r>
        <w:rPr/>
        <w:t>年和</w:t>
      </w:r>
      <w:r>
        <w:rPr>
          <w:spacing w:val="-57"/>
        </w:rPr>
        <w:t> </w:t>
      </w:r>
      <w:r>
        <w:rPr>
          <w:rFonts w:ascii="Arial" w:hAnsi="Arial" w:cs="Arial" w:eastAsia="Arial" w:hint="default"/>
        </w:rPr>
        <w:t>4</w:t>
      </w:r>
      <w:r>
        <w:rPr>
          <w:rFonts w:ascii="Arial" w:hAnsi="Arial" w:cs="Arial" w:eastAsia="Arial" w:hint="default"/>
          <w:spacing w:val="-6"/>
        </w:rPr>
        <w:t> </w:t>
      </w:r>
      <w:r>
        <w:rPr/>
        <w:t>年。实际可解锁数量应与上一年度绩效评价结果挂钩。</w:t>
      </w:r>
    </w:p>
    <w:p>
      <w:pPr>
        <w:spacing w:line="240" w:lineRule="auto" w:before="3"/>
        <w:rPr>
          <w:rFonts w:ascii="宋体" w:hAnsi="宋体" w:cs="宋体" w:eastAsia="宋体" w:hint="default"/>
          <w:sz w:val="18"/>
          <w:szCs w:val="18"/>
        </w:rPr>
      </w:pPr>
    </w:p>
    <w:p>
      <w:pPr>
        <w:pStyle w:val="BodyText"/>
        <w:spacing w:line="237" w:lineRule="auto"/>
        <w:ind w:left="538" w:right="282"/>
        <w:jc w:val="both"/>
      </w:pPr>
      <w:r>
        <w:rPr>
          <w:spacing w:val="-2"/>
        </w:rPr>
        <w:t>上述限制性股票在本公司业绩满足相应条件时，依据激励对象所在单位的经营业绩和激励对象价</w:t>
      </w:r>
      <w:r>
        <w:rPr>
          <w:spacing w:val="-43"/>
        </w:rPr>
        <w:t> </w:t>
      </w:r>
      <w:r>
        <w:rPr>
          <w:spacing w:val="-43"/>
        </w:rPr>
      </w:r>
      <w:r>
        <w:rPr>
          <w:spacing w:val="-2"/>
        </w:rPr>
        <w:t>值贡献确定解锁当年业绩贡献匹配档次，据此差异化确定当期解锁例。其中，公司业绩条件包括</w:t>
      </w:r>
      <w:r>
        <w:rPr>
          <w:spacing w:val="-43"/>
        </w:rPr>
        <w:t> </w:t>
      </w:r>
      <w:r>
        <w:rPr>
          <w:spacing w:val="-43"/>
        </w:rPr>
      </w:r>
      <w:r>
        <w:rPr>
          <w:spacing w:val="-2"/>
        </w:rPr>
        <w:t>主营业务收入、利润总额等。若达到当期限制性股票的解锁条件，激励对象可以对其当期通过本</w:t>
      </w:r>
      <w:r>
        <w:rPr>
          <w:spacing w:val="-48"/>
        </w:rPr>
        <w:t> </w:t>
      </w:r>
      <w:r>
        <w:rPr>
          <w:spacing w:val="-48"/>
        </w:rPr>
      </w:r>
      <w:r>
        <w:rPr>
          <w:spacing w:val="-2"/>
        </w:rPr>
        <w:t>计划解锁的限制性股票依法转让（激励对象是董事和高级管理人员的，转让股份还应符合《公司</w:t>
      </w:r>
      <w:r>
        <w:rPr>
          <w:spacing w:val="-43"/>
        </w:rPr>
        <w:t> </w:t>
      </w:r>
      <w:r>
        <w:rPr>
          <w:spacing w:val="-43"/>
        </w:rPr>
      </w:r>
      <w:r>
        <w:rPr>
          <w:spacing w:val="-2"/>
        </w:rPr>
        <w:t>法》相关规定）；若未达到本计划规定的限制性股票解锁条件，激励对象当期不得解锁限制性股</w:t>
      </w:r>
      <w:r>
        <w:rPr>
          <w:spacing w:val="-48"/>
        </w:rPr>
        <w:t> </w:t>
      </w:r>
      <w:r>
        <w:rPr>
          <w:spacing w:val="-48"/>
        </w:rPr>
      </w:r>
      <w:r>
        <w:rPr/>
        <w:t>票，由公司按照激励对象的授予价格进行相应调整后的价格进行回购。</w:t>
      </w:r>
    </w:p>
    <w:p>
      <w:pPr>
        <w:spacing w:line="240" w:lineRule="auto" w:before="10"/>
        <w:rPr>
          <w:rFonts w:ascii="宋体" w:hAnsi="宋体" w:cs="宋体" w:eastAsia="宋体" w:hint="default"/>
          <w:sz w:val="21"/>
          <w:szCs w:val="21"/>
        </w:rPr>
      </w:pPr>
    </w:p>
    <w:p>
      <w:pPr>
        <w:pStyle w:val="BodyText"/>
        <w:spacing w:line="284" w:lineRule="exact"/>
        <w:ind w:left="538" w:right="282"/>
        <w:jc w:val="both"/>
      </w:pPr>
      <w:r>
        <w:rPr>
          <w:spacing w:val="-2"/>
        </w:rPr>
        <w:t>该限制性股票激励计划所涉及的激励对象为本公司子公司联通运营公司及国际公司员工，本公司</w:t>
      </w:r>
      <w:r>
        <w:rPr>
          <w:spacing w:val="-48"/>
        </w:rPr>
        <w:t> </w:t>
      </w:r>
      <w:r>
        <w:rPr>
          <w:spacing w:val="-48"/>
        </w:rPr>
      </w:r>
      <w:r>
        <w:rPr>
          <w:spacing w:val="-2"/>
        </w:rPr>
        <w:t>为结算企业，联通运营公司及国际公司为接受服务企业。因此，本公司按照授予日权益工具的公</w:t>
      </w:r>
      <w:r>
        <w:rPr>
          <w:spacing w:val="-43"/>
        </w:rPr>
        <w:t> </w:t>
      </w:r>
      <w:r>
        <w:rPr>
          <w:spacing w:val="-43"/>
        </w:rPr>
      </w:r>
      <w:r>
        <w:rPr/>
        <w:t>允价值确认为对联通运营公司及国际公司的长期股权投资，同时确认资本公积。</w:t>
      </w:r>
    </w:p>
    <w:p>
      <w:pPr>
        <w:spacing w:after="0" w:line="284" w:lineRule="exact"/>
        <w:jc w:val="both"/>
        <w:sectPr>
          <w:headerReference w:type="default" r:id="rId231"/>
          <w:pgSz w:w="11910" w:h="16840"/>
          <w:pgMar w:header="1183" w:footer="502" w:top="2500" w:bottom="700" w:left="1020" w:right="840"/>
        </w:sectPr>
      </w:pPr>
    </w:p>
    <w:p>
      <w:pPr>
        <w:spacing w:line="240" w:lineRule="auto" w:before="7"/>
        <w:rPr>
          <w:rFonts w:ascii="宋体" w:hAnsi="宋体" w:cs="宋体" w:eastAsia="宋体" w:hint="default"/>
          <w:sz w:val="16"/>
          <w:szCs w:val="16"/>
        </w:rPr>
      </w:pPr>
    </w:p>
    <w:p>
      <w:pPr>
        <w:pStyle w:val="BodyText"/>
        <w:spacing w:line="240" w:lineRule="auto" w:before="32"/>
        <w:ind w:left="112" w:right="0"/>
        <w:jc w:val="left"/>
        <w:rPr>
          <w:rFonts w:ascii="黑体" w:hAnsi="黑体" w:cs="黑体" w:eastAsia="黑体" w:hint="default"/>
        </w:rPr>
      </w:pPr>
      <w:r>
        <w:rPr>
          <w:rFonts w:ascii="黑体" w:hAnsi="黑体" w:cs="黑体" w:eastAsia="黑体" w:hint="default"/>
        </w:rPr>
        <w:t>十二</w:t>
      </w:r>
      <w:r>
        <w:rPr>
          <w:rFonts w:ascii="黑体" w:hAnsi="黑体" w:cs="黑体" w:eastAsia="黑体" w:hint="default"/>
          <w:spacing w:val="21"/>
        </w:rPr>
        <w:t> </w:t>
      </w:r>
      <w:r>
        <w:rPr>
          <w:rFonts w:ascii="黑体" w:hAnsi="黑体" w:cs="黑体" w:eastAsia="黑体" w:hint="default"/>
        </w:rPr>
        <w:t>股份支付（续）</w:t>
      </w:r>
    </w:p>
    <w:p>
      <w:pPr>
        <w:spacing w:line="240" w:lineRule="auto" w:before="1"/>
        <w:rPr>
          <w:rFonts w:ascii="黑体" w:hAnsi="黑体" w:cs="黑体" w:eastAsia="黑体" w:hint="default"/>
          <w:sz w:val="19"/>
          <w:szCs w:val="19"/>
        </w:rPr>
      </w:pPr>
    </w:p>
    <w:p>
      <w:pPr>
        <w:pStyle w:val="BodyText"/>
        <w:spacing w:line="240" w:lineRule="auto"/>
        <w:ind w:left="112" w:right="0"/>
        <w:jc w:val="left"/>
      </w:pPr>
      <w:r>
        <w:rPr>
          <w:rFonts w:ascii="Arial" w:hAnsi="Arial" w:cs="Arial" w:eastAsia="Arial" w:hint="default"/>
        </w:rPr>
        <w:t>2</w:t>
      </w:r>
      <w:r>
        <w:rPr/>
        <w:t>、</w:t>
      </w:r>
      <w:r>
        <w:rPr>
          <w:spacing w:val="-24"/>
        </w:rPr>
        <w:t> </w:t>
      </w:r>
      <w:r>
        <w:rPr/>
        <w:t>以权益结算的股份支付情况（续）</w:t>
      </w:r>
    </w:p>
    <w:p>
      <w:pPr>
        <w:spacing w:line="240" w:lineRule="auto" w:before="11"/>
        <w:rPr>
          <w:rFonts w:ascii="宋体" w:hAnsi="宋体" w:cs="宋体" w:eastAsia="宋体" w:hint="default"/>
          <w:sz w:val="17"/>
          <w:szCs w:val="17"/>
        </w:rPr>
      </w:pPr>
    </w:p>
    <w:p>
      <w:pPr>
        <w:pStyle w:val="BodyText"/>
        <w:spacing w:line="296" w:lineRule="exact"/>
        <w:ind w:left="539" w:right="0"/>
        <w:jc w:val="left"/>
      </w:pPr>
      <w:r>
        <w:rPr>
          <w:spacing w:val="11"/>
        </w:rPr>
        <w:t>截至 </w:t>
      </w:r>
      <w:r>
        <w:rPr>
          <w:rFonts w:ascii="Arial" w:hAnsi="Arial" w:cs="Arial" w:eastAsia="Arial" w:hint="default"/>
        </w:rPr>
        <w:t>2019  </w:t>
      </w:r>
      <w:r>
        <w:rPr/>
        <w:t>年 </w:t>
      </w:r>
      <w:r>
        <w:rPr>
          <w:rFonts w:ascii="Arial" w:hAnsi="Arial" w:cs="Arial" w:eastAsia="Arial" w:hint="default"/>
        </w:rPr>
        <w:t>12  </w:t>
      </w:r>
      <w:r>
        <w:rPr/>
        <w:t>月 </w:t>
      </w:r>
      <w:r>
        <w:rPr>
          <w:rFonts w:ascii="Arial" w:hAnsi="Arial" w:cs="Arial" w:eastAsia="Arial" w:hint="default"/>
        </w:rPr>
        <w:t>31  </w:t>
      </w:r>
      <w:r>
        <w:rPr>
          <w:rFonts w:ascii="Arial" w:hAnsi="Arial" w:cs="Arial" w:eastAsia="Arial" w:hint="default"/>
          <w:spacing w:val="47"/>
        </w:rPr>
        <w:t> </w:t>
      </w:r>
      <w:r>
        <w:rPr>
          <w:spacing w:val="19"/>
        </w:rPr>
        <w:t>日，资本公积中确认以权益结算的股份支付的累计金额为人民币</w:t>
      </w:r>
    </w:p>
    <w:p>
      <w:pPr>
        <w:pStyle w:val="BodyText"/>
        <w:spacing w:line="296" w:lineRule="exact"/>
        <w:ind w:left="539" w:right="0"/>
        <w:jc w:val="left"/>
      </w:pPr>
      <w:r>
        <w:rPr>
          <w:rFonts w:ascii="Arial" w:hAnsi="Arial" w:cs="Arial" w:eastAsia="Arial" w:hint="default"/>
        </w:rPr>
        <w:t>1,184,590,000</w:t>
      </w:r>
      <w:r>
        <w:rPr>
          <w:rFonts w:ascii="Arial" w:hAnsi="Arial" w:cs="Arial" w:eastAsia="Arial" w:hint="default"/>
          <w:spacing w:val="-8"/>
        </w:rPr>
        <w:t> </w:t>
      </w:r>
      <w:r>
        <w:rPr/>
        <w:t>元。本年以权益结算的股份支付确认的费用总额为人民币</w:t>
      </w:r>
      <w:r>
        <w:rPr>
          <w:spacing w:val="-55"/>
        </w:rPr>
        <w:t> </w:t>
      </w:r>
      <w:r>
        <w:rPr>
          <w:rFonts w:ascii="Arial" w:hAnsi="Arial" w:cs="Arial" w:eastAsia="Arial" w:hint="default"/>
        </w:rPr>
        <w:t>570,670,000</w:t>
      </w:r>
      <w:r>
        <w:rPr>
          <w:rFonts w:ascii="Arial" w:hAnsi="Arial" w:cs="Arial" w:eastAsia="Arial" w:hint="default"/>
          <w:spacing w:val="-4"/>
        </w:rPr>
        <w:t> </w:t>
      </w:r>
      <w:r>
        <w:rPr/>
        <w:t>元。</w:t>
      </w:r>
    </w:p>
    <w:p>
      <w:pPr>
        <w:pStyle w:val="BodyText"/>
        <w:tabs>
          <w:tab w:pos="1106" w:val="left" w:leader="none"/>
        </w:tabs>
        <w:spacing w:line="530" w:lineRule="atLeast" w:before="7"/>
        <w:ind w:left="1106" w:right="104" w:hanging="567"/>
        <w:jc w:val="left"/>
      </w:pPr>
      <w:r>
        <w:rPr>
          <w:rFonts w:ascii="Arial" w:hAnsi="Arial" w:cs="Arial" w:eastAsia="Arial" w:hint="default"/>
        </w:rPr>
        <w:t>(a)</w:t>
        <w:tab/>
      </w:r>
      <w:r>
        <w:rPr/>
        <w:t>授予日权益工具公允价值的确定方法如下：</w:t>
      </w:r>
      <w:r>
        <w:rPr>
          <w:spacing w:val="-105"/>
        </w:rPr>
        <w:t> </w:t>
      </w:r>
      <w:r>
        <w:rPr>
          <w:spacing w:val="-105"/>
        </w:rPr>
      </w:r>
      <w:r>
        <w:rPr/>
        <w:t>本集团分别根据首次授予日和预留授予日股票公允价值与认购价格的差额人民币 </w:t>
      </w:r>
      <w:r>
        <w:rPr>
          <w:rFonts w:ascii="Arial" w:hAnsi="Arial" w:cs="Arial" w:eastAsia="Arial" w:hint="default"/>
        </w:rPr>
        <w:t>2.34</w:t>
      </w:r>
      <w:r>
        <w:rPr>
          <w:rFonts w:ascii="Arial" w:hAnsi="Arial" w:cs="Arial" w:eastAsia="Arial" w:hint="default"/>
          <w:spacing w:val="53"/>
        </w:rPr>
        <w:t> </w:t>
      </w:r>
      <w:r>
        <w:rPr/>
        <w:t>元</w:t>
      </w:r>
      <w:r>
        <w:rPr>
          <w:rFonts w:ascii="Arial" w:hAnsi="Arial" w:cs="Arial" w:eastAsia="Arial" w:hint="default"/>
        </w:rPr>
        <w:t>/</w:t>
      </w:r>
      <w:r>
        <w:rPr/>
        <w:t>股</w:t>
      </w:r>
    </w:p>
    <w:p>
      <w:pPr>
        <w:pStyle w:val="BodyText"/>
        <w:spacing w:line="288" w:lineRule="exact"/>
        <w:ind w:left="1106" w:right="0"/>
        <w:jc w:val="both"/>
      </w:pPr>
      <w:r>
        <w:rPr/>
        <w:t>和人民币</w:t>
      </w:r>
      <w:r>
        <w:rPr>
          <w:spacing w:val="-57"/>
        </w:rPr>
        <w:t> </w:t>
      </w:r>
      <w:r>
        <w:rPr>
          <w:rFonts w:ascii="Arial" w:hAnsi="Arial" w:cs="Arial" w:eastAsia="Arial" w:hint="default"/>
        </w:rPr>
        <w:t>1.57</w:t>
      </w:r>
      <w:r>
        <w:rPr>
          <w:rFonts w:ascii="Arial" w:hAnsi="Arial" w:cs="Arial" w:eastAsia="Arial" w:hint="default"/>
          <w:spacing w:val="-6"/>
        </w:rPr>
        <w:t> </w:t>
      </w:r>
      <w:r>
        <w:rPr/>
        <w:t>元</w:t>
      </w:r>
      <w:r>
        <w:rPr>
          <w:rFonts w:ascii="Arial" w:hAnsi="Arial" w:cs="Arial" w:eastAsia="Arial" w:hint="default"/>
        </w:rPr>
        <w:t>/</w:t>
      </w:r>
      <w:r>
        <w:rPr/>
        <w:t>股确定授予日权益工具公允价值。</w:t>
      </w:r>
    </w:p>
    <w:p>
      <w:pPr>
        <w:spacing w:line="240" w:lineRule="auto" w:before="11"/>
        <w:rPr>
          <w:rFonts w:ascii="宋体" w:hAnsi="宋体" w:cs="宋体" w:eastAsia="宋体" w:hint="default"/>
          <w:sz w:val="17"/>
          <w:szCs w:val="17"/>
        </w:rPr>
      </w:pPr>
    </w:p>
    <w:p>
      <w:pPr>
        <w:pStyle w:val="BodyText"/>
        <w:tabs>
          <w:tab w:pos="1106" w:val="left" w:leader="none"/>
        </w:tabs>
        <w:spacing w:line="240" w:lineRule="auto"/>
        <w:ind w:left="540" w:right="0"/>
        <w:jc w:val="left"/>
      </w:pPr>
      <w:r>
        <w:rPr>
          <w:rFonts w:ascii="Arial" w:hAnsi="Arial" w:cs="Arial" w:eastAsia="Arial" w:hint="default"/>
        </w:rPr>
        <w:t>(b)</w:t>
        <w:tab/>
      </w:r>
      <w:r>
        <w:rPr/>
        <w:t>对可行权权益工具数量的确定依据：</w:t>
      </w:r>
    </w:p>
    <w:p>
      <w:pPr>
        <w:spacing w:line="240" w:lineRule="auto" w:before="1"/>
        <w:rPr>
          <w:rFonts w:ascii="宋体" w:hAnsi="宋体" w:cs="宋体" w:eastAsia="宋体" w:hint="default"/>
          <w:sz w:val="18"/>
          <w:szCs w:val="18"/>
        </w:rPr>
      </w:pPr>
    </w:p>
    <w:p>
      <w:pPr>
        <w:pStyle w:val="BodyText"/>
        <w:spacing w:line="237" w:lineRule="auto"/>
        <w:ind w:left="1106" w:right="114"/>
        <w:jc w:val="both"/>
      </w:pPr>
      <w:r>
        <w:rPr/>
        <w:t>本集团在等待期内每个资产负债表日，根据最新取得的可行权职工人数变动、业绩指标完成</w:t>
      </w:r>
      <w:r>
        <w:rPr>
          <w:spacing w:val="-67"/>
        </w:rPr>
        <w:t> </w:t>
      </w:r>
      <w:r>
        <w:rPr>
          <w:spacing w:val="-67"/>
        </w:rPr>
      </w:r>
      <w:r>
        <w:rPr/>
        <w:t>情况等后续信息做出最佳估计，修正预计可行权的权益工具数量。在可行权日，最终预计可</w:t>
      </w:r>
      <w:r>
        <w:rPr>
          <w:spacing w:val="-67"/>
        </w:rPr>
        <w:t> </w:t>
      </w:r>
      <w:r>
        <w:rPr>
          <w:spacing w:val="-67"/>
        </w:rPr>
      </w:r>
      <w:r>
        <w:rPr/>
        <w:t>行权权益工具的数量与实际可行权权益工具的数量一致。</w:t>
      </w:r>
    </w:p>
    <w:p>
      <w:pPr>
        <w:spacing w:line="240" w:lineRule="auto" w:before="1"/>
        <w:rPr>
          <w:rFonts w:ascii="宋体" w:hAnsi="宋体" w:cs="宋体" w:eastAsia="宋体" w:hint="default"/>
          <w:sz w:val="19"/>
          <w:szCs w:val="19"/>
        </w:rPr>
      </w:pPr>
    </w:p>
    <w:p>
      <w:pPr>
        <w:pStyle w:val="BodyText"/>
        <w:spacing w:line="240" w:lineRule="auto"/>
        <w:ind w:left="112" w:right="0"/>
        <w:jc w:val="left"/>
      </w:pPr>
      <w:r>
        <w:rPr>
          <w:rFonts w:ascii="Arial" w:hAnsi="Arial" w:cs="Arial" w:eastAsia="Arial" w:hint="default"/>
        </w:rPr>
        <w:t>3</w:t>
      </w:r>
      <w:r>
        <w:rPr/>
        <w:t>、</w:t>
      </w:r>
      <w:r>
        <w:rPr>
          <w:spacing w:val="-24"/>
        </w:rPr>
        <w:t> </w:t>
      </w:r>
      <w:r>
        <w:rPr/>
        <w:t>以股份支付换取服务</w:t>
      </w:r>
    </w:p>
    <w:p>
      <w:pPr>
        <w:spacing w:line="240" w:lineRule="auto" w:before="6"/>
        <w:rPr>
          <w:rFonts w:ascii="宋体" w:hAnsi="宋体" w:cs="宋体" w:eastAsia="宋体" w:hint="default"/>
          <w:sz w:val="20"/>
          <w:szCs w:val="20"/>
        </w:rPr>
      </w:pPr>
    </w:p>
    <w:p>
      <w:pPr>
        <w:pStyle w:val="BodyText"/>
        <w:spacing w:line="240" w:lineRule="auto"/>
        <w:ind w:left="544" w:right="0"/>
        <w:jc w:val="left"/>
      </w:pPr>
      <w:r>
        <w:rPr/>
        <w:t>于</w:t>
      </w:r>
      <w:r>
        <w:rPr>
          <w:spacing w:val="-56"/>
        </w:rPr>
        <w:t> </w:t>
      </w:r>
      <w:r>
        <w:rPr>
          <w:rFonts w:ascii="Arial" w:hAnsi="Arial" w:cs="Arial" w:eastAsia="Arial" w:hint="default"/>
        </w:rPr>
        <w:t>2019</w:t>
      </w:r>
      <w:r>
        <w:rPr>
          <w:rFonts w:ascii="Arial" w:hAnsi="Arial" w:cs="Arial" w:eastAsia="Arial" w:hint="default"/>
          <w:spacing w:val="-5"/>
        </w:rPr>
        <w:t> </w:t>
      </w:r>
      <w:r>
        <w:rPr/>
        <w:t>年度，本集团以股份支付换取的职工服务总额为人民币</w:t>
      </w:r>
      <w:r>
        <w:rPr>
          <w:spacing w:val="-56"/>
        </w:rPr>
        <w:t> </w:t>
      </w:r>
      <w:r>
        <w:rPr>
          <w:rFonts w:ascii="Arial" w:hAnsi="Arial" w:cs="Arial" w:eastAsia="Arial" w:hint="default"/>
        </w:rPr>
        <w:t>570,670,000</w:t>
      </w:r>
      <w:r>
        <w:rPr>
          <w:rFonts w:ascii="Arial" w:hAnsi="Arial" w:cs="Arial" w:eastAsia="Arial" w:hint="default"/>
          <w:spacing w:val="-5"/>
        </w:rPr>
        <w:t> </w:t>
      </w:r>
      <w:r>
        <w:rPr>
          <w:spacing w:val="-5"/>
        </w:rPr>
        <w:t>元。</w:t>
      </w:r>
      <w:r>
        <w:rPr/>
      </w:r>
    </w:p>
    <w:p>
      <w:pPr>
        <w:spacing w:line="240" w:lineRule="auto" w:before="6"/>
        <w:rPr>
          <w:rFonts w:ascii="宋体" w:hAnsi="宋体" w:cs="宋体" w:eastAsia="宋体" w:hint="default"/>
          <w:sz w:val="20"/>
          <w:szCs w:val="20"/>
        </w:rPr>
      </w:pPr>
    </w:p>
    <w:p>
      <w:pPr>
        <w:pStyle w:val="BodyText"/>
        <w:spacing w:line="240" w:lineRule="auto"/>
        <w:ind w:left="112" w:right="0"/>
        <w:jc w:val="left"/>
        <w:rPr>
          <w:rFonts w:ascii="黑体" w:hAnsi="黑体" w:cs="黑体" w:eastAsia="黑体" w:hint="default"/>
        </w:rPr>
      </w:pPr>
      <w:r>
        <w:rPr>
          <w:rFonts w:ascii="黑体" w:hAnsi="黑体" w:cs="黑体" w:eastAsia="黑体" w:hint="default"/>
        </w:rPr>
        <w:t>十三</w:t>
      </w:r>
      <w:r>
        <w:rPr>
          <w:rFonts w:ascii="黑体" w:hAnsi="黑体" w:cs="黑体" w:eastAsia="黑体" w:hint="default"/>
          <w:spacing w:val="17"/>
        </w:rPr>
        <w:t> </w:t>
      </w:r>
      <w:r>
        <w:rPr>
          <w:rFonts w:ascii="黑体" w:hAnsi="黑体" w:cs="黑体" w:eastAsia="黑体" w:hint="default"/>
        </w:rPr>
        <w:t>资产负债表日后事项</w:t>
      </w:r>
    </w:p>
    <w:p>
      <w:pPr>
        <w:spacing w:line="240" w:lineRule="auto" w:before="1"/>
        <w:rPr>
          <w:rFonts w:ascii="黑体" w:hAnsi="黑体" w:cs="黑体" w:eastAsia="黑体" w:hint="default"/>
          <w:sz w:val="19"/>
          <w:szCs w:val="19"/>
        </w:rPr>
      </w:pPr>
    </w:p>
    <w:p>
      <w:pPr>
        <w:pStyle w:val="BodyText"/>
        <w:spacing w:line="293" w:lineRule="exact"/>
        <w:ind w:left="602" w:right="0"/>
        <w:jc w:val="left"/>
      </w:pPr>
      <w:r>
        <w:rPr/>
        <w:t>根据</w:t>
      </w:r>
      <w:r>
        <w:rPr>
          <w:spacing w:val="-53"/>
        </w:rPr>
        <w:t> </w:t>
      </w:r>
      <w:r>
        <w:rPr>
          <w:rFonts w:ascii="Arial" w:hAnsi="Arial" w:cs="Arial" w:eastAsia="Arial" w:hint="default"/>
        </w:rPr>
        <w:t>2020</w:t>
      </w:r>
      <w:r>
        <w:rPr>
          <w:rFonts w:ascii="Arial" w:hAnsi="Arial" w:cs="Arial" w:eastAsia="Arial" w:hint="default"/>
          <w:spacing w:val="-2"/>
        </w:rPr>
        <w:t> </w:t>
      </w:r>
      <w:r>
        <w:rPr/>
        <w:t>年</w:t>
      </w:r>
      <w:r>
        <w:rPr>
          <w:spacing w:val="-53"/>
        </w:rPr>
        <w:t> </w:t>
      </w:r>
      <w:r>
        <w:rPr>
          <w:rFonts w:ascii="Arial" w:hAnsi="Arial" w:cs="Arial" w:eastAsia="Arial" w:hint="default"/>
        </w:rPr>
        <w:t>3</w:t>
      </w:r>
      <w:r>
        <w:rPr>
          <w:rFonts w:ascii="Arial" w:hAnsi="Arial" w:cs="Arial" w:eastAsia="Arial" w:hint="default"/>
          <w:spacing w:val="-2"/>
        </w:rPr>
        <w:t> </w:t>
      </w:r>
      <w:r>
        <w:rPr/>
        <w:t>月</w:t>
      </w:r>
      <w:r>
        <w:rPr>
          <w:spacing w:val="-53"/>
        </w:rPr>
        <w:t> </w:t>
      </w:r>
      <w:r>
        <w:rPr>
          <w:rFonts w:ascii="Arial" w:hAnsi="Arial" w:cs="Arial" w:eastAsia="Arial" w:hint="default"/>
        </w:rPr>
        <w:t>23</w:t>
      </w:r>
      <w:r>
        <w:rPr>
          <w:rFonts w:ascii="Arial" w:hAnsi="Arial" w:cs="Arial" w:eastAsia="Arial" w:hint="default"/>
          <w:spacing w:val="-2"/>
        </w:rPr>
        <w:t> </w:t>
      </w:r>
      <w:r>
        <w:rPr/>
        <w:t>日董事会决议，董事会提议以本公司对现金红利实施公告中确定的股权登记</w:t>
      </w:r>
    </w:p>
    <w:p>
      <w:pPr>
        <w:pStyle w:val="BodyText"/>
        <w:spacing w:line="286" w:lineRule="exact"/>
        <w:ind w:left="602" w:right="0"/>
        <w:jc w:val="left"/>
      </w:pPr>
      <w:r>
        <w:rPr/>
        <w:t>日收市后在册的股份数为基准向全体股东派发每股股利人民币</w:t>
      </w:r>
      <w:r>
        <w:rPr>
          <w:spacing w:val="-62"/>
        </w:rPr>
        <w:t> </w:t>
      </w:r>
      <w:r>
        <w:rPr>
          <w:rFonts w:ascii="Arial" w:hAnsi="Arial" w:cs="Arial" w:eastAsia="Arial" w:hint="default"/>
        </w:rPr>
        <w:t>0.0604</w:t>
      </w:r>
      <w:r>
        <w:rPr>
          <w:rFonts w:ascii="Arial" w:hAnsi="Arial" w:cs="Arial" w:eastAsia="Arial" w:hint="default"/>
          <w:spacing w:val="-11"/>
        </w:rPr>
        <w:t> </w:t>
      </w:r>
      <w:r>
        <w:rPr/>
        <w:t>元（含税），合计约人民币</w:t>
      </w:r>
    </w:p>
    <w:p>
      <w:pPr>
        <w:pStyle w:val="BodyText"/>
        <w:spacing w:line="284" w:lineRule="exact" w:before="22"/>
        <w:ind w:left="602" w:right="101"/>
        <w:jc w:val="left"/>
      </w:pPr>
      <w:r>
        <w:rPr>
          <w:rFonts w:ascii="Arial" w:hAnsi="Arial" w:cs="Arial" w:eastAsia="Arial" w:hint="default"/>
        </w:rPr>
        <w:t>18.74</w:t>
      </w:r>
      <w:r>
        <w:rPr>
          <w:rFonts w:ascii="Arial" w:hAnsi="Arial" w:cs="Arial" w:eastAsia="Arial" w:hint="default"/>
          <w:spacing w:val="54"/>
        </w:rPr>
        <w:t> </w:t>
      </w:r>
      <w:r>
        <w:rPr>
          <w:spacing w:val="-3"/>
        </w:rPr>
        <w:t>亿元（含税）。该股利分配预案尚未经本公司股东大会批准，故未在本财务报表中确认为负</w:t>
      </w:r>
      <w:r>
        <w:rPr>
          <w:spacing w:val="-101"/>
        </w:rPr>
        <w:t> </w:t>
      </w:r>
      <w:r>
        <w:rPr>
          <w:spacing w:val="-101"/>
        </w:rPr>
      </w:r>
      <w:r>
        <w:rPr/>
        <w:t>债。</w:t>
      </w:r>
    </w:p>
    <w:p>
      <w:pPr>
        <w:spacing w:after="0" w:line="284" w:lineRule="exact"/>
        <w:jc w:val="left"/>
        <w:sectPr>
          <w:headerReference w:type="default" r:id="rId232"/>
          <w:pgSz w:w="11910" w:h="16840"/>
          <w:pgMar w:header="1183" w:footer="502" w:top="2500" w:bottom="700" w:left="1020" w:right="820"/>
        </w:sectPr>
      </w:pPr>
    </w:p>
    <w:p>
      <w:pPr>
        <w:spacing w:line="240" w:lineRule="auto" w:before="7"/>
        <w:rPr>
          <w:rFonts w:ascii="宋体" w:hAnsi="宋体" w:cs="宋体" w:eastAsia="宋体" w:hint="default"/>
          <w:sz w:val="16"/>
          <w:szCs w:val="16"/>
        </w:rPr>
      </w:pPr>
    </w:p>
    <w:p>
      <w:pPr>
        <w:pStyle w:val="BodyText"/>
        <w:spacing w:line="240" w:lineRule="auto" w:before="32"/>
        <w:ind w:left="112" w:right="0"/>
        <w:jc w:val="left"/>
        <w:rPr>
          <w:rFonts w:ascii="黑体" w:hAnsi="黑体" w:cs="黑体" w:eastAsia="黑体" w:hint="default"/>
        </w:rPr>
      </w:pPr>
      <w:r>
        <w:rPr>
          <w:rFonts w:ascii="黑体" w:hAnsi="黑体" w:cs="黑体" w:eastAsia="黑体" w:hint="default"/>
        </w:rPr>
        <w:t>十四</w:t>
      </w:r>
      <w:r>
        <w:rPr>
          <w:rFonts w:ascii="黑体" w:hAnsi="黑体" w:cs="黑体" w:eastAsia="黑体" w:hint="default"/>
          <w:spacing w:val="71"/>
        </w:rPr>
        <w:t> </w:t>
      </w:r>
      <w:r>
        <w:rPr>
          <w:rFonts w:ascii="黑体" w:hAnsi="黑体" w:cs="黑体" w:eastAsia="黑体" w:hint="default"/>
        </w:rPr>
        <w:t>分部信息</w:t>
      </w:r>
    </w:p>
    <w:p>
      <w:pPr>
        <w:spacing w:line="240" w:lineRule="auto" w:before="1"/>
        <w:rPr>
          <w:rFonts w:ascii="黑体" w:hAnsi="黑体" w:cs="黑体" w:eastAsia="黑体" w:hint="default"/>
          <w:sz w:val="19"/>
          <w:szCs w:val="19"/>
        </w:rPr>
      </w:pPr>
    </w:p>
    <w:p>
      <w:pPr>
        <w:pStyle w:val="BodyText"/>
        <w:spacing w:line="240" w:lineRule="auto"/>
        <w:ind w:left="727" w:right="0"/>
        <w:jc w:val="left"/>
      </w:pPr>
      <w:r>
        <w:rPr>
          <w:spacing w:val="-1"/>
        </w:rPr>
        <w:t>本公司的执行董事已被认定为主要经营决策者。经营分部以主要经营决策者定期审阅用以分配资</w:t>
      </w:r>
      <w:r>
        <w:rPr>
          <w:spacing w:val="-75"/>
        </w:rPr>
        <w:t> </w:t>
      </w:r>
      <w:r>
        <w:rPr>
          <w:spacing w:val="-75"/>
        </w:rPr>
      </w:r>
      <w:r>
        <w:rPr/>
        <w:t>源及评估分部表现的内部财务报告为基础进行辨别。</w:t>
      </w:r>
    </w:p>
    <w:p>
      <w:pPr>
        <w:spacing w:line="240" w:lineRule="auto" w:before="3"/>
        <w:rPr>
          <w:rFonts w:ascii="宋体" w:hAnsi="宋体" w:cs="宋体" w:eastAsia="宋体" w:hint="default"/>
          <w:sz w:val="17"/>
          <w:szCs w:val="17"/>
        </w:rPr>
      </w:pPr>
    </w:p>
    <w:p>
      <w:pPr>
        <w:pStyle w:val="BodyText"/>
        <w:spacing w:line="240" w:lineRule="auto"/>
        <w:ind w:left="741" w:right="0" w:hanging="15"/>
        <w:jc w:val="left"/>
      </w:pPr>
      <w:r>
        <w:rPr>
          <w:spacing w:val="-1"/>
        </w:rPr>
        <w:t>主要经营决策者根据内部管理职能分配资源，将本集团视为一个整体而非以业务之种类或地区角</w:t>
      </w:r>
      <w:r>
        <w:rPr>
          <w:spacing w:val="-75"/>
        </w:rPr>
        <w:t> </w:t>
      </w:r>
      <w:r>
        <w:rPr>
          <w:spacing w:val="-75"/>
        </w:rPr>
      </w:r>
      <w:r>
        <w:rPr/>
        <w:t>度进行业绩评估。因此，本集团只有一个经营分部，且无需列示分部资料。</w:t>
      </w:r>
    </w:p>
    <w:p>
      <w:pPr>
        <w:spacing w:line="240" w:lineRule="auto" w:before="7"/>
        <w:rPr>
          <w:rFonts w:ascii="宋体" w:hAnsi="宋体" w:cs="宋体" w:eastAsia="宋体" w:hint="default"/>
          <w:sz w:val="19"/>
          <w:szCs w:val="19"/>
        </w:rPr>
      </w:pPr>
    </w:p>
    <w:p>
      <w:pPr>
        <w:pStyle w:val="BodyText"/>
        <w:spacing w:line="284" w:lineRule="exact"/>
        <w:ind w:left="756" w:right="0"/>
        <w:jc w:val="left"/>
      </w:pPr>
      <w:r>
        <w:rPr>
          <w:spacing w:val="-2"/>
        </w:rPr>
        <w:t>本集团主要在中国大陆经营，所以没有列示地区资料。在所有列报期间，本集团均没有从单一用</w:t>
      </w:r>
      <w:r>
        <w:rPr>
          <w:spacing w:val="-63"/>
        </w:rPr>
        <w:t> </w:t>
      </w:r>
      <w:r>
        <w:rPr>
          <w:spacing w:val="-63"/>
        </w:rPr>
      </w:r>
      <w:r>
        <w:rPr/>
        <w:t>户取得占本集团收入总额的</w:t>
      </w:r>
      <w:r>
        <w:rPr>
          <w:spacing w:val="-53"/>
        </w:rPr>
        <w:t> </w:t>
      </w:r>
      <w:r>
        <w:rPr>
          <w:rFonts w:ascii="Arial" w:hAnsi="Arial" w:cs="Arial" w:eastAsia="Arial" w:hint="default"/>
        </w:rPr>
        <w:t>10%</w:t>
      </w:r>
      <w:r>
        <w:rPr/>
        <w:t>或以上的收入。</w:t>
      </w:r>
    </w:p>
    <w:p>
      <w:pPr>
        <w:spacing w:after="0" w:line="284" w:lineRule="exact"/>
        <w:jc w:val="left"/>
        <w:sectPr>
          <w:headerReference w:type="default" r:id="rId233"/>
          <w:pgSz w:w="11910" w:h="16840"/>
          <w:pgMar w:header="1183" w:footer="502" w:top="2500" w:bottom="700" w:left="1020" w:right="820"/>
        </w:sectPr>
      </w:pPr>
    </w:p>
    <w:p>
      <w:pPr>
        <w:spacing w:line="240" w:lineRule="auto" w:before="7"/>
        <w:rPr>
          <w:rFonts w:ascii="宋体" w:hAnsi="宋体" w:cs="宋体" w:eastAsia="宋体" w:hint="default"/>
          <w:sz w:val="16"/>
          <w:szCs w:val="16"/>
        </w:rPr>
      </w:pPr>
    </w:p>
    <w:p>
      <w:pPr>
        <w:pStyle w:val="BodyText"/>
        <w:spacing w:line="240" w:lineRule="auto" w:before="32"/>
        <w:ind w:left="112" w:right="199"/>
        <w:jc w:val="left"/>
        <w:rPr>
          <w:rFonts w:ascii="黑体" w:hAnsi="黑体" w:cs="黑体" w:eastAsia="黑体" w:hint="default"/>
        </w:rPr>
      </w:pPr>
      <w:r>
        <w:rPr>
          <w:rFonts w:ascii="黑体" w:hAnsi="黑体" w:cs="黑体" w:eastAsia="黑体" w:hint="default"/>
        </w:rPr>
        <w:t>十五</w:t>
      </w:r>
      <w:r>
        <w:rPr>
          <w:rFonts w:ascii="黑体" w:hAnsi="黑体" w:cs="黑体" w:eastAsia="黑体" w:hint="default"/>
          <w:spacing w:val="65"/>
        </w:rPr>
        <w:t> </w:t>
      </w:r>
      <w:r>
        <w:rPr>
          <w:rFonts w:ascii="黑体" w:hAnsi="黑体" w:cs="黑体" w:eastAsia="黑体" w:hint="default"/>
        </w:rPr>
        <w:t>本公司个别财务报表主要项目注释</w:t>
      </w:r>
    </w:p>
    <w:p>
      <w:pPr>
        <w:pStyle w:val="BodyText"/>
        <w:tabs>
          <w:tab w:pos="741" w:val="left" w:leader="none"/>
        </w:tabs>
        <w:spacing w:line="240" w:lineRule="auto" w:before="197"/>
        <w:ind w:left="175" w:right="199"/>
        <w:jc w:val="left"/>
      </w:pPr>
      <w:r>
        <w:rPr>
          <w:rFonts w:ascii="Arial" w:hAnsi="Arial" w:cs="Arial" w:eastAsia="Arial" w:hint="default"/>
        </w:rPr>
        <w:t>1</w:t>
      </w:r>
      <w:r>
        <w:rPr/>
        <w:t>、</w:t>
        <w:tab/>
        <w:t>货币资金</w:t>
      </w:r>
    </w:p>
    <w:p>
      <w:pPr>
        <w:spacing w:line="240" w:lineRule="auto" w:before="0"/>
        <w:rPr>
          <w:rFonts w:ascii="宋体" w:hAnsi="宋体" w:cs="宋体" w:eastAsia="宋体" w:hint="default"/>
          <w:sz w:val="23"/>
          <w:szCs w:val="23"/>
        </w:rPr>
      </w:pPr>
    </w:p>
    <w:tbl>
      <w:tblPr>
        <w:tblW w:w="0" w:type="auto"/>
        <w:jc w:val="left"/>
        <w:tblInd w:w="555" w:type="dxa"/>
        <w:tblLayout w:type="fixed"/>
        <w:tblCellMar>
          <w:top w:w="0" w:type="dxa"/>
          <w:left w:w="0" w:type="dxa"/>
          <w:bottom w:w="0" w:type="dxa"/>
          <w:right w:w="0" w:type="dxa"/>
        </w:tblCellMar>
        <w:tblLook w:val="01E0"/>
      </w:tblPr>
      <w:tblGrid>
        <w:gridCol w:w="2547"/>
        <w:gridCol w:w="1853"/>
        <w:gridCol w:w="2309"/>
        <w:gridCol w:w="62"/>
        <w:gridCol w:w="110"/>
        <w:gridCol w:w="2179"/>
      </w:tblGrid>
      <w:tr>
        <w:trPr>
          <w:trHeight w:val="264" w:hRule="exact"/>
        </w:trPr>
        <w:tc>
          <w:tcPr>
            <w:tcW w:w="2547" w:type="dxa"/>
            <w:tcBorders>
              <w:top w:val="nil" w:sz="6" w:space="0" w:color="auto"/>
              <w:left w:val="nil" w:sz="6" w:space="0" w:color="auto"/>
              <w:bottom w:val="nil" w:sz="6" w:space="0" w:color="auto"/>
              <w:right w:val="nil" w:sz="6" w:space="0" w:color="auto"/>
            </w:tcBorders>
          </w:tcPr>
          <w:p>
            <w:pPr>
              <w:pStyle w:val="TableParagraph"/>
              <w:spacing w:line="221" w:lineRule="exact"/>
              <w:ind w:left="200" w:right="0"/>
              <w:jc w:val="left"/>
              <w:rPr>
                <w:rFonts w:ascii="宋体" w:hAnsi="宋体" w:cs="宋体" w:eastAsia="宋体" w:hint="default"/>
                <w:sz w:val="22"/>
                <w:szCs w:val="22"/>
              </w:rPr>
            </w:pPr>
            <w:r>
              <w:rPr>
                <w:rFonts w:ascii="宋体"/>
                <w:w w:val="100"/>
                <w:sz w:val="22"/>
              </w:rPr>
              <w:t> </w:t>
            </w:r>
          </w:p>
        </w:tc>
        <w:tc>
          <w:tcPr>
            <w:tcW w:w="1853" w:type="dxa"/>
            <w:tcBorders>
              <w:top w:val="nil" w:sz="6" w:space="0" w:color="auto"/>
              <w:left w:val="nil" w:sz="6" w:space="0" w:color="auto"/>
              <w:bottom w:val="nil" w:sz="6" w:space="0" w:color="auto"/>
              <w:right w:val="nil" w:sz="6" w:space="0" w:color="auto"/>
            </w:tcBorders>
          </w:tcPr>
          <w:p>
            <w:pPr>
              <w:pStyle w:val="TableParagraph"/>
              <w:spacing w:line="221" w:lineRule="exact"/>
              <w:ind w:right="290"/>
              <w:jc w:val="right"/>
              <w:rPr>
                <w:rFonts w:ascii="宋体" w:hAnsi="宋体" w:cs="宋体" w:eastAsia="宋体" w:hint="default"/>
                <w:sz w:val="22"/>
                <w:szCs w:val="22"/>
              </w:rPr>
            </w:pPr>
            <w:r>
              <w:rPr>
                <w:rFonts w:ascii="宋体"/>
                <w:w w:val="100"/>
                <w:sz w:val="22"/>
              </w:rPr>
              <w:t> </w:t>
            </w:r>
          </w:p>
        </w:tc>
        <w:tc>
          <w:tcPr>
            <w:tcW w:w="2309" w:type="dxa"/>
            <w:tcBorders>
              <w:top w:val="nil" w:sz="6" w:space="0" w:color="auto"/>
              <w:left w:val="nil" w:sz="6" w:space="0" w:color="auto"/>
              <w:bottom w:val="single" w:sz="6" w:space="0" w:color="000000"/>
              <w:right w:val="nil" w:sz="6" w:space="0" w:color="auto"/>
            </w:tcBorders>
          </w:tcPr>
          <w:p>
            <w:pPr>
              <w:pStyle w:val="TableParagraph"/>
              <w:spacing w:line="236" w:lineRule="exact"/>
              <w:ind w:right="50"/>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2352" w:type="dxa"/>
            <w:gridSpan w:val="3"/>
            <w:tcBorders>
              <w:top w:val="nil" w:sz="6" w:space="0" w:color="auto"/>
              <w:left w:val="nil" w:sz="6" w:space="0" w:color="auto"/>
              <w:bottom w:val="single" w:sz="6" w:space="0" w:color="000000"/>
              <w:right w:val="nil" w:sz="6" w:space="0" w:color="auto"/>
            </w:tcBorders>
          </w:tcPr>
          <w:p>
            <w:pPr>
              <w:pStyle w:val="TableParagraph"/>
              <w:spacing w:line="236" w:lineRule="exact"/>
              <w:ind w:left="431"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290" w:hRule="exact"/>
        </w:trPr>
        <w:tc>
          <w:tcPr>
            <w:tcW w:w="2547" w:type="dxa"/>
            <w:tcBorders>
              <w:top w:val="nil" w:sz="6" w:space="0" w:color="auto"/>
              <w:left w:val="nil" w:sz="6" w:space="0" w:color="auto"/>
              <w:bottom w:val="nil" w:sz="6" w:space="0" w:color="auto"/>
              <w:right w:val="nil" w:sz="6" w:space="0" w:color="auto"/>
            </w:tcBorders>
          </w:tcPr>
          <w:p>
            <w:pPr>
              <w:pStyle w:val="TableParagraph"/>
              <w:spacing w:line="259" w:lineRule="exact"/>
              <w:ind w:left="200" w:right="0"/>
              <w:jc w:val="left"/>
              <w:rPr>
                <w:rFonts w:ascii="宋体" w:hAnsi="宋体" w:cs="宋体" w:eastAsia="宋体" w:hint="default"/>
                <w:sz w:val="22"/>
                <w:szCs w:val="22"/>
              </w:rPr>
            </w:pPr>
            <w:r>
              <w:rPr>
                <w:rFonts w:ascii="宋体"/>
                <w:w w:val="100"/>
                <w:sz w:val="22"/>
              </w:rPr>
              <w:t> </w:t>
            </w:r>
          </w:p>
        </w:tc>
        <w:tc>
          <w:tcPr>
            <w:tcW w:w="1853" w:type="dxa"/>
            <w:tcBorders>
              <w:top w:val="nil" w:sz="6" w:space="0" w:color="auto"/>
              <w:left w:val="nil" w:sz="6" w:space="0" w:color="auto"/>
              <w:bottom w:val="nil" w:sz="6" w:space="0" w:color="auto"/>
              <w:right w:val="nil" w:sz="6" w:space="0" w:color="auto"/>
            </w:tcBorders>
          </w:tcPr>
          <w:p>
            <w:pPr>
              <w:pStyle w:val="TableParagraph"/>
              <w:spacing w:line="259" w:lineRule="exact"/>
              <w:ind w:right="290"/>
              <w:jc w:val="right"/>
              <w:rPr>
                <w:rFonts w:ascii="宋体" w:hAnsi="宋体" w:cs="宋体" w:eastAsia="宋体" w:hint="default"/>
                <w:sz w:val="22"/>
                <w:szCs w:val="22"/>
              </w:rPr>
            </w:pPr>
            <w:r>
              <w:rPr>
                <w:rFonts w:ascii="宋体"/>
                <w:w w:val="100"/>
                <w:sz w:val="22"/>
              </w:rPr>
              <w:t> </w:t>
            </w:r>
          </w:p>
        </w:tc>
        <w:tc>
          <w:tcPr>
            <w:tcW w:w="2309" w:type="dxa"/>
            <w:tcBorders>
              <w:top w:val="single" w:sz="6" w:space="0" w:color="000000"/>
              <w:left w:val="nil" w:sz="6" w:space="0" w:color="auto"/>
              <w:bottom w:val="nil" w:sz="6" w:space="0" w:color="auto"/>
              <w:right w:val="nil" w:sz="6" w:space="0" w:color="auto"/>
            </w:tcBorders>
          </w:tcPr>
          <w:p>
            <w:pPr>
              <w:pStyle w:val="TableParagraph"/>
              <w:spacing w:line="252" w:lineRule="exact"/>
              <w:ind w:left="105" w:right="0"/>
              <w:jc w:val="center"/>
              <w:rPr>
                <w:rFonts w:ascii="宋体" w:hAnsi="宋体" w:cs="宋体" w:eastAsia="宋体" w:hint="default"/>
                <w:sz w:val="22"/>
                <w:szCs w:val="22"/>
              </w:rPr>
            </w:pPr>
            <w:r>
              <w:rPr>
                <w:rFonts w:ascii="宋体"/>
                <w:w w:val="100"/>
                <w:sz w:val="22"/>
              </w:rPr>
              <w:t> </w:t>
            </w:r>
          </w:p>
        </w:tc>
        <w:tc>
          <w:tcPr>
            <w:tcW w:w="62" w:type="dxa"/>
            <w:tcBorders>
              <w:top w:val="nil" w:sz="6" w:space="0" w:color="auto"/>
              <w:left w:val="nil" w:sz="6" w:space="0" w:color="auto"/>
              <w:bottom w:val="nil" w:sz="6" w:space="0" w:color="auto"/>
              <w:right w:val="nil" w:sz="6" w:space="0" w:color="auto"/>
            </w:tcBorders>
          </w:tcPr>
          <w:p>
            <w:pPr/>
          </w:p>
        </w:tc>
        <w:tc>
          <w:tcPr>
            <w:tcW w:w="110" w:type="dxa"/>
            <w:tcBorders>
              <w:top w:val="single" w:sz="6" w:space="0" w:color="000000"/>
              <w:left w:val="nil" w:sz="6" w:space="0" w:color="auto"/>
              <w:bottom w:val="nil" w:sz="6" w:space="0" w:color="auto"/>
              <w:right w:val="nil" w:sz="6" w:space="0" w:color="auto"/>
            </w:tcBorders>
          </w:tcPr>
          <w:p>
            <w:pPr>
              <w:pStyle w:val="TableParagraph"/>
              <w:spacing w:line="252" w:lineRule="exact"/>
              <w:ind w:right="0"/>
              <w:jc w:val="center"/>
              <w:rPr>
                <w:rFonts w:ascii="宋体" w:hAnsi="宋体" w:cs="宋体" w:eastAsia="宋体" w:hint="default"/>
                <w:sz w:val="22"/>
                <w:szCs w:val="22"/>
              </w:rPr>
            </w:pPr>
            <w:r>
              <w:rPr>
                <w:rFonts w:ascii="宋体"/>
                <w:w w:val="100"/>
                <w:sz w:val="22"/>
              </w:rPr>
              <w:t> </w:t>
            </w:r>
          </w:p>
        </w:tc>
        <w:tc>
          <w:tcPr>
            <w:tcW w:w="2179" w:type="dxa"/>
            <w:tcBorders>
              <w:top w:val="single" w:sz="6" w:space="0" w:color="000000"/>
              <w:left w:val="nil" w:sz="6" w:space="0" w:color="auto"/>
              <w:bottom w:val="nil" w:sz="6" w:space="0" w:color="auto"/>
              <w:right w:val="nil" w:sz="6" w:space="0" w:color="auto"/>
            </w:tcBorders>
          </w:tcPr>
          <w:p>
            <w:pPr/>
          </w:p>
        </w:tc>
      </w:tr>
      <w:tr>
        <w:trPr>
          <w:trHeight w:val="310" w:hRule="exact"/>
        </w:trPr>
        <w:tc>
          <w:tcPr>
            <w:tcW w:w="2547" w:type="dxa"/>
            <w:tcBorders>
              <w:top w:val="nil" w:sz="6" w:space="0" w:color="auto"/>
              <w:left w:val="nil" w:sz="6" w:space="0" w:color="auto"/>
              <w:bottom w:val="nil" w:sz="6" w:space="0" w:color="auto"/>
              <w:right w:val="nil" w:sz="6" w:space="0" w:color="auto"/>
            </w:tcBorders>
          </w:tcPr>
          <w:p>
            <w:pPr>
              <w:pStyle w:val="TableParagraph"/>
              <w:spacing w:line="252" w:lineRule="exact"/>
              <w:ind w:left="214" w:right="0"/>
              <w:jc w:val="left"/>
              <w:rPr>
                <w:rFonts w:ascii="宋体" w:hAnsi="宋体" w:cs="宋体" w:eastAsia="宋体" w:hint="default"/>
                <w:sz w:val="22"/>
                <w:szCs w:val="22"/>
              </w:rPr>
            </w:pPr>
            <w:r>
              <w:rPr>
                <w:rFonts w:ascii="宋体" w:hAnsi="宋体" w:cs="宋体" w:eastAsia="宋体" w:hint="default"/>
                <w:sz w:val="22"/>
                <w:szCs w:val="22"/>
              </w:rPr>
              <w:t>银行存款</w:t>
            </w:r>
          </w:p>
        </w:tc>
        <w:tc>
          <w:tcPr>
            <w:tcW w:w="1853" w:type="dxa"/>
            <w:tcBorders>
              <w:top w:val="nil" w:sz="6" w:space="0" w:color="auto"/>
              <w:left w:val="nil" w:sz="6" w:space="0" w:color="auto"/>
              <w:bottom w:val="nil" w:sz="6" w:space="0" w:color="auto"/>
              <w:right w:val="nil" w:sz="6" w:space="0" w:color="auto"/>
            </w:tcBorders>
          </w:tcPr>
          <w:p>
            <w:pPr>
              <w:pStyle w:val="TableParagraph"/>
              <w:spacing w:line="252" w:lineRule="exact"/>
              <w:ind w:right="290"/>
              <w:jc w:val="right"/>
              <w:rPr>
                <w:rFonts w:ascii="宋体" w:hAnsi="宋体" w:cs="宋体" w:eastAsia="宋体" w:hint="default"/>
                <w:sz w:val="22"/>
                <w:szCs w:val="22"/>
              </w:rPr>
            </w:pPr>
            <w:r>
              <w:rPr>
                <w:rFonts w:ascii="宋体"/>
                <w:w w:val="100"/>
                <w:sz w:val="22"/>
              </w:rPr>
              <w:t> </w:t>
            </w:r>
          </w:p>
        </w:tc>
        <w:tc>
          <w:tcPr>
            <w:tcW w:w="2309"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51"/>
              <w:jc w:val="right"/>
              <w:rPr>
                <w:rFonts w:ascii="Arial" w:hAnsi="Arial" w:cs="Arial" w:eastAsia="Arial" w:hint="default"/>
                <w:sz w:val="22"/>
                <w:szCs w:val="22"/>
              </w:rPr>
            </w:pPr>
            <w:r>
              <w:rPr>
                <w:rFonts w:ascii="Arial"/>
                <w:sz w:val="22"/>
              </w:rPr>
              <w:t>509,663,009</w:t>
            </w:r>
          </w:p>
        </w:tc>
        <w:tc>
          <w:tcPr>
            <w:tcW w:w="62" w:type="dxa"/>
            <w:tcBorders>
              <w:top w:val="nil" w:sz="6" w:space="0" w:color="auto"/>
              <w:left w:val="nil" w:sz="6" w:space="0" w:color="auto"/>
              <w:bottom w:val="nil" w:sz="6" w:space="0" w:color="auto"/>
              <w:right w:val="nil" w:sz="6" w:space="0" w:color="auto"/>
            </w:tcBorders>
          </w:tcPr>
          <w:p>
            <w:pPr/>
          </w:p>
        </w:tc>
        <w:tc>
          <w:tcPr>
            <w:tcW w:w="110" w:type="dxa"/>
            <w:tcBorders>
              <w:top w:val="nil" w:sz="6" w:space="0" w:color="auto"/>
              <w:left w:val="nil" w:sz="6" w:space="0" w:color="auto"/>
              <w:bottom w:val="single" w:sz="17" w:space="0" w:color="000000"/>
              <w:right w:val="nil" w:sz="6" w:space="0" w:color="auto"/>
            </w:tcBorders>
          </w:tcPr>
          <w:p>
            <w:pPr>
              <w:pStyle w:val="TableParagraph"/>
              <w:spacing w:line="252" w:lineRule="exact"/>
              <w:ind w:right="0"/>
              <w:jc w:val="center"/>
              <w:rPr>
                <w:rFonts w:ascii="宋体" w:hAnsi="宋体" w:cs="宋体" w:eastAsia="宋体" w:hint="default"/>
                <w:sz w:val="22"/>
                <w:szCs w:val="22"/>
              </w:rPr>
            </w:pPr>
            <w:r>
              <w:rPr>
                <w:rFonts w:ascii="宋体"/>
                <w:w w:val="100"/>
                <w:sz w:val="22"/>
              </w:rPr>
              <w:t> </w:t>
            </w:r>
          </w:p>
        </w:tc>
        <w:tc>
          <w:tcPr>
            <w:tcW w:w="2179"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left="945" w:right="0"/>
              <w:jc w:val="left"/>
              <w:rPr>
                <w:rFonts w:ascii="Arial" w:hAnsi="Arial" w:cs="Arial" w:eastAsia="Arial" w:hint="default"/>
                <w:sz w:val="22"/>
                <w:szCs w:val="22"/>
              </w:rPr>
            </w:pPr>
            <w:r>
              <w:rPr>
                <w:rFonts w:ascii="Arial"/>
                <w:sz w:val="22"/>
              </w:rPr>
              <w:t>266,645,224</w:t>
            </w:r>
          </w:p>
        </w:tc>
      </w:tr>
    </w:tbl>
    <w:p>
      <w:pPr>
        <w:spacing w:line="240" w:lineRule="auto" w:before="2"/>
        <w:rPr>
          <w:rFonts w:ascii="宋体" w:hAnsi="宋体" w:cs="宋体" w:eastAsia="宋体" w:hint="default"/>
          <w:sz w:val="10"/>
          <w:szCs w:val="10"/>
        </w:rPr>
      </w:pPr>
    </w:p>
    <w:p>
      <w:pPr>
        <w:pStyle w:val="BodyText"/>
        <w:spacing w:line="240" w:lineRule="auto" w:before="32"/>
        <w:ind w:left="194" w:right="199"/>
        <w:jc w:val="left"/>
      </w:pPr>
      <w:r>
        <w:rPr>
          <w:rFonts w:ascii="Arial" w:hAnsi="Arial" w:cs="Arial" w:eastAsia="Arial" w:hint="default"/>
        </w:rPr>
        <w:t>2</w:t>
      </w:r>
      <w:r>
        <w:rPr/>
        <w:t>、</w:t>
      </w:r>
      <w:r>
        <w:rPr>
          <w:spacing w:val="84"/>
        </w:rPr>
        <w:t> </w:t>
      </w:r>
      <w:r>
        <w:rPr/>
        <w:t>其他应收款</w:t>
      </w:r>
    </w:p>
    <w:p>
      <w:pPr>
        <w:spacing w:line="240" w:lineRule="auto" w:before="12"/>
        <w:rPr>
          <w:rFonts w:ascii="宋体" w:hAnsi="宋体" w:cs="宋体" w:eastAsia="宋体" w:hint="default"/>
          <w:sz w:val="17"/>
          <w:szCs w:val="17"/>
        </w:rPr>
      </w:pPr>
    </w:p>
    <w:tbl>
      <w:tblPr>
        <w:tblW w:w="0" w:type="auto"/>
        <w:jc w:val="left"/>
        <w:tblInd w:w="555" w:type="dxa"/>
        <w:tblLayout w:type="fixed"/>
        <w:tblCellMar>
          <w:top w:w="0" w:type="dxa"/>
          <w:left w:w="0" w:type="dxa"/>
          <w:bottom w:w="0" w:type="dxa"/>
          <w:right w:w="0" w:type="dxa"/>
        </w:tblCellMar>
        <w:tblLook w:val="01E0"/>
      </w:tblPr>
      <w:tblGrid>
        <w:gridCol w:w="3174"/>
        <w:gridCol w:w="3425"/>
        <w:gridCol w:w="74"/>
        <w:gridCol w:w="2359"/>
      </w:tblGrid>
      <w:tr>
        <w:trPr>
          <w:trHeight w:val="259" w:hRule="exact"/>
        </w:trPr>
        <w:tc>
          <w:tcPr>
            <w:tcW w:w="3174" w:type="dxa"/>
            <w:tcBorders>
              <w:top w:val="nil" w:sz="6" w:space="0" w:color="auto"/>
              <w:left w:val="nil" w:sz="6" w:space="0" w:color="auto"/>
              <w:bottom w:val="nil" w:sz="6" w:space="0" w:color="auto"/>
              <w:right w:val="nil" w:sz="6" w:space="0" w:color="auto"/>
            </w:tcBorders>
          </w:tcPr>
          <w:p>
            <w:pPr>
              <w:pStyle w:val="TableParagraph"/>
              <w:spacing w:line="221" w:lineRule="exact"/>
              <w:ind w:right="984"/>
              <w:jc w:val="right"/>
              <w:rPr>
                <w:rFonts w:ascii="宋体" w:hAnsi="宋体" w:cs="宋体" w:eastAsia="宋体" w:hint="default"/>
                <w:sz w:val="22"/>
                <w:szCs w:val="22"/>
              </w:rPr>
            </w:pPr>
            <w:r>
              <w:rPr>
                <w:rFonts w:ascii="宋体"/>
                <w:w w:val="100"/>
                <w:sz w:val="22"/>
              </w:rPr>
              <w:t> </w:t>
            </w:r>
          </w:p>
        </w:tc>
        <w:tc>
          <w:tcPr>
            <w:tcW w:w="3425" w:type="dxa"/>
            <w:tcBorders>
              <w:top w:val="nil" w:sz="6" w:space="0" w:color="auto"/>
              <w:left w:val="nil" w:sz="6" w:space="0" w:color="auto"/>
              <w:bottom w:val="single" w:sz="6" w:space="0" w:color="000000"/>
              <w:right w:val="nil" w:sz="6" w:space="0" w:color="auto"/>
            </w:tcBorders>
          </w:tcPr>
          <w:p>
            <w:pPr>
              <w:pStyle w:val="TableParagraph"/>
              <w:spacing w:line="236" w:lineRule="exact"/>
              <w:ind w:right="-20"/>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74" w:type="dxa"/>
            <w:tcBorders>
              <w:top w:val="nil" w:sz="6" w:space="0" w:color="auto"/>
              <w:left w:val="nil" w:sz="6" w:space="0" w:color="auto"/>
              <w:bottom w:val="single" w:sz="6" w:space="0" w:color="000000"/>
              <w:right w:val="nil" w:sz="6" w:space="0" w:color="auto"/>
            </w:tcBorders>
          </w:tcPr>
          <w:p>
            <w:pPr/>
          </w:p>
        </w:tc>
        <w:tc>
          <w:tcPr>
            <w:tcW w:w="2359" w:type="dxa"/>
            <w:tcBorders>
              <w:top w:val="nil" w:sz="6" w:space="0" w:color="auto"/>
              <w:left w:val="nil" w:sz="6" w:space="0" w:color="auto"/>
              <w:bottom w:val="single" w:sz="6" w:space="0" w:color="000000"/>
              <w:right w:val="nil" w:sz="6" w:space="0" w:color="auto"/>
            </w:tcBorders>
          </w:tcPr>
          <w:p>
            <w:pPr>
              <w:pStyle w:val="TableParagraph"/>
              <w:spacing w:line="236" w:lineRule="exact"/>
              <w:ind w:right="0"/>
              <w:jc w:val="righ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293" w:hRule="exact"/>
        </w:trPr>
        <w:tc>
          <w:tcPr>
            <w:tcW w:w="3174" w:type="dxa"/>
            <w:tcBorders>
              <w:top w:val="nil" w:sz="6" w:space="0" w:color="auto"/>
              <w:left w:val="nil" w:sz="6" w:space="0" w:color="auto"/>
              <w:bottom w:val="nil" w:sz="6" w:space="0" w:color="auto"/>
              <w:right w:val="nil" w:sz="6" w:space="0" w:color="auto"/>
            </w:tcBorders>
          </w:tcPr>
          <w:p>
            <w:pPr>
              <w:pStyle w:val="TableParagraph"/>
              <w:spacing w:line="259" w:lineRule="exact"/>
              <w:ind w:right="984"/>
              <w:jc w:val="right"/>
              <w:rPr>
                <w:rFonts w:ascii="宋体" w:hAnsi="宋体" w:cs="宋体" w:eastAsia="宋体" w:hint="default"/>
                <w:sz w:val="22"/>
                <w:szCs w:val="22"/>
              </w:rPr>
            </w:pPr>
            <w:r>
              <w:rPr>
                <w:rFonts w:ascii="宋体"/>
                <w:w w:val="100"/>
                <w:sz w:val="22"/>
              </w:rPr>
              <w:t> </w:t>
            </w:r>
          </w:p>
        </w:tc>
        <w:tc>
          <w:tcPr>
            <w:tcW w:w="3425" w:type="dxa"/>
            <w:tcBorders>
              <w:top w:val="single" w:sz="6" w:space="0" w:color="000000"/>
              <w:left w:val="nil" w:sz="6" w:space="0" w:color="auto"/>
              <w:bottom w:val="nil" w:sz="6" w:space="0" w:color="auto"/>
              <w:right w:val="nil" w:sz="6" w:space="0" w:color="auto"/>
            </w:tcBorders>
          </w:tcPr>
          <w:p>
            <w:pPr/>
          </w:p>
        </w:tc>
        <w:tc>
          <w:tcPr>
            <w:tcW w:w="74" w:type="dxa"/>
            <w:tcBorders>
              <w:top w:val="single" w:sz="6" w:space="0" w:color="000000"/>
              <w:left w:val="nil" w:sz="6" w:space="0" w:color="auto"/>
              <w:bottom w:val="nil" w:sz="6" w:space="0" w:color="auto"/>
              <w:right w:val="nil" w:sz="6" w:space="0" w:color="auto"/>
            </w:tcBorders>
          </w:tcPr>
          <w:p>
            <w:pPr/>
          </w:p>
        </w:tc>
        <w:tc>
          <w:tcPr>
            <w:tcW w:w="2359" w:type="dxa"/>
            <w:tcBorders>
              <w:top w:val="single" w:sz="6" w:space="0" w:color="000000"/>
              <w:left w:val="nil" w:sz="6" w:space="0" w:color="auto"/>
              <w:bottom w:val="nil" w:sz="6" w:space="0" w:color="auto"/>
              <w:right w:val="nil" w:sz="6" w:space="0" w:color="auto"/>
            </w:tcBorders>
          </w:tcPr>
          <w:p>
            <w:pPr/>
          </w:p>
        </w:tc>
      </w:tr>
      <w:tr>
        <w:trPr>
          <w:trHeight w:val="298" w:hRule="exact"/>
        </w:trPr>
        <w:tc>
          <w:tcPr>
            <w:tcW w:w="3174" w:type="dxa"/>
            <w:tcBorders>
              <w:top w:val="nil" w:sz="6" w:space="0" w:color="auto"/>
              <w:left w:val="nil" w:sz="6" w:space="0" w:color="auto"/>
              <w:bottom w:val="nil" w:sz="6" w:space="0" w:color="auto"/>
              <w:right w:val="nil" w:sz="6" w:space="0" w:color="auto"/>
            </w:tcBorders>
          </w:tcPr>
          <w:p>
            <w:pPr>
              <w:pStyle w:val="TableParagraph"/>
              <w:spacing w:line="254" w:lineRule="exact"/>
              <w:ind w:left="200" w:right="0"/>
              <w:jc w:val="left"/>
              <w:rPr>
                <w:rFonts w:ascii="宋体" w:hAnsi="宋体" w:cs="宋体" w:eastAsia="宋体" w:hint="default"/>
                <w:sz w:val="22"/>
                <w:szCs w:val="22"/>
              </w:rPr>
            </w:pPr>
            <w:r>
              <w:rPr>
                <w:rFonts w:ascii="宋体" w:hAnsi="宋体" w:cs="宋体" w:eastAsia="宋体" w:hint="default"/>
                <w:sz w:val="22"/>
                <w:szCs w:val="22"/>
              </w:rPr>
              <w:t>应收股利</w:t>
            </w:r>
            <w:r>
              <w:rPr>
                <w:rFonts w:ascii="宋体" w:hAnsi="宋体" w:cs="宋体" w:eastAsia="宋体" w:hint="default"/>
                <w:sz w:val="22"/>
                <w:szCs w:val="22"/>
              </w:rPr>
              <w:t> </w:t>
            </w:r>
          </w:p>
        </w:tc>
        <w:tc>
          <w:tcPr>
            <w:tcW w:w="3425"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7"/>
              <w:jc w:val="right"/>
              <w:rPr>
                <w:rFonts w:ascii="Arial" w:hAnsi="Arial" w:cs="Arial" w:eastAsia="Arial" w:hint="default"/>
                <w:sz w:val="22"/>
                <w:szCs w:val="22"/>
              </w:rPr>
            </w:pPr>
            <w:r>
              <w:rPr>
                <w:rFonts w:ascii="Arial"/>
                <w:sz w:val="22"/>
              </w:rPr>
              <w:t>917,780,560</w:t>
            </w:r>
          </w:p>
        </w:tc>
        <w:tc>
          <w:tcPr>
            <w:tcW w:w="74" w:type="dxa"/>
            <w:tcBorders>
              <w:top w:val="nil" w:sz="6" w:space="0" w:color="auto"/>
              <w:left w:val="nil" w:sz="6" w:space="0" w:color="auto"/>
              <w:bottom w:val="nil" w:sz="6" w:space="0" w:color="auto"/>
              <w:right w:val="nil" w:sz="6" w:space="0" w:color="auto"/>
            </w:tcBorders>
          </w:tcPr>
          <w:p>
            <w:pPr/>
          </w:p>
        </w:tc>
        <w:tc>
          <w:tcPr>
            <w:tcW w:w="2359"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4"/>
              <w:jc w:val="right"/>
              <w:rPr>
                <w:rFonts w:ascii="Arial" w:hAnsi="Arial" w:cs="Arial" w:eastAsia="Arial" w:hint="default"/>
                <w:sz w:val="22"/>
                <w:szCs w:val="22"/>
              </w:rPr>
            </w:pPr>
            <w:r>
              <w:rPr>
                <w:rFonts w:ascii="Arial"/>
                <w:spacing w:val="-1"/>
                <w:sz w:val="22"/>
              </w:rPr>
              <w:t>917,780,560</w:t>
            </w:r>
          </w:p>
        </w:tc>
      </w:tr>
      <w:tr>
        <w:trPr>
          <w:trHeight w:val="295" w:hRule="exact"/>
        </w:trPr>
        <w:tc>
          <w:tcPr>
            <w:tcW w:w="3174"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宋体" w:hAnsi="宋体" w:cs="宋体" w:eastAsia="宋体" w:hint="default"/>
                <w:sz w:val="22"/>
                <w:szCs w:val="22"/>
              </w:rPr>
            </w:pPr>
            <w:r>
              <w:rPr>
                <w:rFonts w:ascii="宋体" w:hAnsi="宋体" w:cs="宋体" w:eastAsia="宋体" w:hint="default"/>
                <w:sz w:val="22"/>
                <w:szCs w:val="22"/>
              </w:rPr>
              <w:t>应收利息</w:t>
            </w:r>
            <w:r>
              <w:rPr>
                <w:rFonts w:ascii="宋体" w:hAnsi="宋体" w:cs="宋体" w:eastAsia="宋体" w:hint="default"/>
                <w:sz w:val="22"/>
                <w:szCs w:val="22"/>
              </w:rPr>
              <w:t> </w:t>
            </w:r>
          </w:p>
        </w:tc>
        <w:tc>
          <w:tcPr>
            <w:tcW w:w="3425" w:type="dxa"/>
            <w:tcBorders>
              <w:top w:val="nil" w:sz="6" w:space="0" w:color="auto"/>
              <w:left w:val="nil" w:sz="6" w:space="0" w:color="auto"/>
              <w:bottom w:val="nil" w:sz="6" w:space="0" w:color="auto"/>
              <w:right w:val="nil" w:sz="6" w:space="0" w:color="auto"/>
            </w:tcBorders>
          </w:tcPr>
          <w:p>
            <w:pPr>
              <w:pStyle w:val="TableParagraph"/>
              <w:tabs>
                <w:tab w:pos="1228" w:val="left" w:leader="none"/>
                <w:tab w:pos="2289" w:val="left" w:leader="none"/>
              </w:tabs>
              <w:spacing w:line="240" w:lineRule="auto" w:before="21"/>
              <w:ind w:right="-58"/>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4,205,045</w:t>
              <w:tab/>
            </w:r>
            <w:r>
              <w:rPr>
                <w:rFonts w:ascii="Arial"/>
                <w:spacing w:val="-1"/>
                <w:sz w:val="22"/>
              </w:rPr>
            </w:r>
          </w:p>
        </w:tc>
        <w:tc>
          <w:tcPr>
            <w:tcW w:w="74" w:type="dxa"/>
            <w:tcBorders>
              <w:top w:val="nil" w:sz="6" w:space="0" w:color="auto"/>
              <w:left w:val="nil" w:sz="6" w:space="0" w:color="auto"/>
              <w:bottom w:val="nil" w:sz="6" w:space="0" w:color="auto"/>
              <w:right w:val="nil" w:sz="6" w:space="0" w:color="auto"/>
            </w:tcBorders>
          </w:tcPr>
          <w:p>
            <w:pPr/>
          </w:p>
        </w:tc>
        <w:tc>
          <w:tcPr>
            <w:tcW w:w="2359" w:type="dxa"/>
            <w:tcBorders>
              <w:top w:val="nil" w:sz="6" w:space="0" w:color="auto"/>
              <w:left w:val="nil" w:sz="6" w:space="0" w:color="auto"/>
              <w:bottom w:val="nil" w:sz="6" w:space="0" w:color="auto"/>
              <w:right w:val="nil" w:sz="6" w:space="0" w:color="auto"/>
            </w:tcBorders>
          </w:tcPr>
          <w:p>
            <w:pPr>
              <w:pStyle w:val="TableParagraph"/>
              <w:tabs>
                <w:tab w:pos="1233" w:val="left" w:leader="none"/>
              </w:tabs>
              <w:spacing w:line="240" w:lineRule="auto" w:before="21"/>
              <w:ind w:right="3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2,904,119</w:t>
            </w:r>
            <w:r>
              <w:rPr>
                <w:rFonts w:ascii="Arial"/>
                <w:spacing w:val="-1"/>
                <w:sz w:val="22"/>
              </w:rPr>
            </w:r>
          </w:p>
        </w:tc>
      </w:tr>
      <w:tr>
        <w:trPr>
          <w:trHeight w:val="278" w:hRule="exact"/>
        </w:trPr>
        <w:tc>
          <w:tcPr>
            <w:tcW w:w="3174" w:type="dxa"/>
            <w:tcBorders>
              <w:top w:val="nil" w:sz="6" w:space="0" w:color="auto"/>
              <w:left w:val="nil" w:sz="6" w:space="0" w:color="auto"/>
              <w:bottom w:val="nil" w:sz="6" w:space="0" w:color="auto"/>
              <w:right w:val="nil" w:sz="6" w:space="0" w:color="auto"/>
            </w:tcBorders>
          </w:tcPr>
          <w:p>
            <w:pPr>
              <w:pStyle w:val="TableParagraph"/>
              <w:spacing w:line="246" w:lineRule="exact"/>
              <w:ind w:left="200" w:right="0"/>
              <w:jc w:val="left"/>
              <w:rPr>
                <w:rFonts w:ascii="宋体" w:hAnsi="宋体" w:cs="宋体" w:eastAsia="宋体" w:hint="default"/>
                <w:sz w:val="22"/>
                <w:szCs w:val="22"/>
              </w:rPr>
            </w:pPr>
            <w:r>
              <w:rPr>
                <w:rFonts w:ascii="宋体"/>
                <w:w w:val="100"/>
                <w:sz w:val="22"/>
              </w:rPr>
              <w:t> </w:t>
            </w:r>
          </w:p>
        </w:tc>
        <w:tc>
          <w:tcPr>
            <w:tcW w:w="3425" w:type="dxa"/>
            <w:tcBorders>
              <w:top w:val="nil" w:sz="6" w:space="0" w:color="auto"/>
              <w:left w:val="nil" w:sz="6" w:space="0" w:color="auto"/>
              <w:bottom w:val="nil" w:sz="6" w:space="0" w:color="auto"/>
              <w:right w:val="nil" w:sz="6" w:space="0" w:color="auto"/>
            </w:tcBorders>
          </w:tcPr>
          <w:p>
            <w:pPr>
              <w:pStyle w:val="TableParagraph"/>
              <w:spacing w:line="246" w:lineRule="exact"/>
              <w:ind w:left="986" w:right="0"/>
              <w:jc w:val="left"/>
              <w:rPr>
                <w:rFonts w:ascii="宋体" w:hAnsi="宋体" w:cs="宋体" w:eastAsia="宋体" w:hint="default"/>
                <w:sz w:val="22"/>
                <w:szCs w:val="22"/>
              </w:rPr>
            </w:pPr>
            <w:r>
              <w:rPr>
                <w:rFonts w:ascii="宋体"/>
                <w:w w:val="100"/>
                <w:sz w:val="22"/>
              </w:rPr>
              <w:t> </w:t>
            </w:r>
          </w:p>
        </w:tc>
        <w:tc>
          <w:tcPr>
            <w:tcW w:w="74" w:type="dxa"/>
            <w:tcBorders>
              <w:top w:val="nil" w:sz="6" w:space="0" w:color="auto"/>
              <w:left w:val="nil" w:sz="6" w:space="0" w:color="auto"/>
              <w:bottom w:val="nil" w:sz="6" w:space="0" w:color="auto"/>
              <w:right w:val="nil" w:sz="6" w:space="0" w:color="auto"/>
            </w:tcBorders>
          </w:tcPr>
          <w:p>
            <w:pPr/>
          </w:p>
        </w:tc>
        <w:tc>
          <w:tcPr>
            <w:tcW w:w="2359" w:type="dxa"/>
            <w:tcBorders>
              <w:top w:val="nil" w:sz="6" w:space="0" w:color="auto"/>
              <w:left w:val="nil" w:sz="6" w:space="0" w:color="auto"/>
              <w:bottom w:val="nil" w:sz="6" w:space="0" w:color="auto"/>
              <w:right w:val="nil" w:sz="6" w:space="0" w:color="auto"/>
            </w:tcBorders>
          </w:tcPr>
          <w:p>
            <w:pPr>
              <w:pStyle w:val="TableParagraph"/>
              <w:spacing w:line="246" w:lineRule="exact"/>
              <w:ind w:left="-17" w:right="0"/>
              <w:jc w:val="left"/>
              <w:rPr>
                <w:rFonts w:ascii="宋体" w:hAnsi="宋体" w:cs="宋体" w:eastAsia="宋体" w:hint="default"/>
                <w:sz w:val="22"/>
                <w:szCs w:val="22"/>
              </w:rPr>
            </w:pPr>
            <w:r>
              <w:rPr>
                <w:rFonts w:ascii="宋体"/>
                <w:w w:val="100"/>
                <w:sz w:val="22"/>
              </w:rPr>
              <w:t> </w:t>
            </w:r>
          </w:p>
        </w:tc>
      </w:tr>
      <w:tr>
        <w:trPr>
          <w:trHeight w:val="310" w:hRule="exact"/>
        </w:trPr>
        <w:tc>
          <w:tcPr>
            <w:tcW w:w="3174" w:type="dxa"/>
            <w:tcBorders>
              <w:top w:val="nil" w:sz="6" w:space="0" w:color="auto"/>
              <w:left w:val="nil" w:sz="6" w:space="0" w:color="auto"/>
              <w:bottom w:val="nil" w:sz="6" w:space="0" w:color="auto"/>
              <w:right w:val="nil" w:sz="6" w:space="0" w:color="auto"/>
            </w:tcBorders>
          </w:tcPr>
          <w:p>
            <w:pPr>
              <w:pStyle w:val="TableParagraph"/>
              <w:spacing w:line="252" w:lineRule="exact"/>
              <w:ind w:left="200" w:right="0"/>
              <w:jc w:val="left"/>
              <w:rPr>
                <w:rFonts w:ascii="宋体" w:hAnsi="宋体" w:cs="宋体" w:eastAsia="宋体" w:hint="default"/>
                <w:sz w:val="22"/>
                <w:szCs w:val="22"/>
              </w:rPr>
            </w:pPr>
            <w:r>
              <w:rPr>
                <w:rFonts w:ascii="宋体" w:hAnsi="宋体" w:cs="宋体" w:eastAsia="宋体" w:hint="default"/>
                <w:sz w:val="22"/>
                <w:szCs w:val="22"/>
              </w:rPr>
              <w:t>合计</w:t>
            </w:r>
            <w:r>
              <w:rPr>
                <w:rFonts w:ascii="宋体" w:hAnsi="宋体" w:cs="宋体" w:eastAsia="宋体" w:hint="default"/>
                <w:sz w:val="22"/>
                <w:szCs w:val="22"/>
              </w:rPr>
              <w:t> </w:t>
            </w:r>
          </w:p>
        </w:tc>
        <w:tc>
          <w:tcPr>
            <w:tcW w:w="3425"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17"/>
              <w:jc w:val="right"/>
              <w:rPr>
                <w:rFonts w:ascii="Arial" w:hAnsi="Arial" w:cs="Arial" w:eastAsia="Arial" w:hint="default"/>
                <w:sz w:val="22"/>
                <w:szCs w:val="22"/>
              </w:rPr>
            </w:pPr>
            <w:r>
              <w:rPr>
                <w:rFonts w:ascii="Arial"/>
                <w:sz w:val="22"/>
              </w:rPr>
              <w:t>921,985,605</w:t>
            </w:r>
          </w:p>
        </w:tc>
        <w:tc>
          <w:tcPr>
            <w:tcW w:w="74" w:type="dxa"/>
            <w:tcBorders>
              <w:top w:val="nil" w:sz="6" w:space="0" w:color="auto"/>
              <w:left w:val="nil" w:sz="6" w:space="0" w:color="auto"/>
              <w:bottom w:val="single" w:sz="17" w:space="0" w:color="000000"/>
              <w:right w:val="nil" w:sz="6" w:space="0" w:color="auto"/>
            </w:tcBorders>
          </w:tcPr>
          <w:p>
            <w:pPr/>
          </w:p>
        </w:tc>
        <w:tc>
          <w:tcPr>
            <w:tcW w:w="2359"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34"/>
              <w:jc w:val="right"/>
              <w:rPr>
                <w:rFonts w:ascii="Arial" w:hAnsi="Arial" w:cs="Arial" w:eastAsia="Arial" w:hint="default"/>
                <w:sz w:val="22"/>
                <w:szCs w:val="22"/>
              </w:rPr>
            </w:pPr>
            <w:r>
              <w:rPr>
                <w:rFonts w:ascii="Arial"/>
                <w:spacing w:val="-1"/>
                <w:sz w:val="22"/>
              </w:rPr>
              <w:t>920,684,679</w:t>
            </w:r>
          </w:p>
        </w:tc>
      </w:tr>
    </w:tbl>
    <w:p>
      <w:pPr>
        <w:spacing w:line="240" w:lineRule="auto" w:before="2"/>
        <w:rPr>
          <w:rFonts w:ascii="宋体" w:hAnsi="宋体" w:cs="宋体" w:eastAsia="宋体" w:hint="default"/>
          <w:sz w:val="14"/>
          <w:szCs w:val="14"/>
        </w:rPr>
      </w:pPr>
    </w:p>
    <w:p>
      <w:pPr>
        <w:pStyle w:val="BodyText"/>
        <w:spacing w:line="225" w:lineRule="auto" w:before="48"/>
        <w:ind w:left="741" w:right="199"/>
        <w:jc w:val="left"/>
      </w:pPr>
      <w:r>
        <w:rPr/>
        <w:t>于</w:t>
      </w:r>
      <w:r>
        <w:rPr>
          <w:spacing w:val="-52"/>
        </w:rPr>
        <w:t> </w:t>
      </w:r>
      <w:r>
        <w:rPr>
          <w:rFonts w:ascii="Arial" w:hAnsi="Arial" w:cs="Arial" w:eastAsia="Arial" w:hint="default"/>
        </w:rPr>
        <w:t>2019</w:t>
      </w:r>
      <w:r>
        <w:rPr>
          <w:rFonts w:ascii="Arial" w:hAnsi="Arial" w:cs="Arial" w:eastAsia="Arial" w:hint="default"/>
          <w:spacing w:val="-1"/>
        </w:rPr>
        <w:t> </w:t>
      </w:r>
      <w:r>
        <w:rPr/>
        <w:t>年</w:t>
      </w:r>
      <w:r>
        <w:rPr>
          <w:spacing w:val="-58"/>
        </w:rPr>
        <w:t> </w:t>
      </w:r>
      <w:r>
        <w:rPr>
          <w:rFonts w:ascii="Arial" w:hAnsi="Arial" w:cs="Arial" w:eastAsia="Arial" w:hint="default"/>
        </w:rPr>
        <w:t>12</w:t>
      </w:r>
      <w:r>
        <w:rPr>
          <w:rFonts w:ascii="Arial" w:hAnsi="Arial" w:cs="Arial" w:eastAsia="Arial" w:hint="default"/>
          <w:spacing w:val="-1"/>
        </w:rPr>
        <w:t> </w:t>
      </w:r>
      <w:r>
        <w:rPr/>
        <w:t>月</w:t>
      </w:r>
      <w:r>
        <w:rPr>
          <w:spacing w:val="-58"/>
        </w:rPr>
        <w:t> </w:t>
      </w:r>
      <w:r>
        <w:rPr>
          <w:rFonts w:ascii="Arial" w:hAnsi="Arial" w:cs="Arial" w:eastAsia="Arial" w:hint="default"/>
        </w:rPr>
        <w:t>31</w:t>
      </w:r>
      <w:r>
        <w:rPr>
          <w:rFonts w:ascii="Arial" w:hAnsi="Arial" w:cs="Arial" w:eastAsia="Arial" w:hint="default"/>
          <w:spacing w:val="-1"/>
        </w:rPr>
        <w:t> </w:t>
      </w:r>
      <w:r>
        <w:rPr/>
        <w:t>日，本公司其他应收款余额中有人民币</w:t>
      </w:r>
      <w:r>
        <w:rPr>
          <w:spacing w:val="-52"/>
        </w:rPr>
        <w:t> </w:t>
      </w:r>
      <w:r>
        <w:rPr>
          <w:rFonts w:ascii="Arial" w:hAnsi="Arial" w:cs="Arial" w:eastAsia="Arial" w:hint="default"/>
        </w:rPr>
        <w:t>9.18</w:t>
      </w:r>
      <w:r>
        <w:rPr>
          <w:rFonts w:ascii="Arial" w:hAnsi="Arial" w:cs="Arial" w:eastAsia="Arial" w:hint="default"/>
          <w:spacing w:val="-1"/>
        </w:rPr>
        <w:t> </w:t>
      </w:r>
      <w:r>
        <w:rPr/>
        <w:t>亿元为</w:t>
      </w:r>
      <w:r>
        <w:rPr>
          <w:spacing w:val="-52"/>
        </w:rPr>
        <w:t> </w:t>
      </w:r>
      <w:r>
        <w:rPr>
          <w:rFonts w:ascii="Arial" w:hAnsi="Arial" w:cs="Arial" w:eastAsia="Arial" w:hint="default"/>
        </w:rPr>
        <w:t>1</w:t>
      </w:r>
      <w:r>
        <w:rPr>
          <w:rFonts w:ascii="Arial" w:hAnsi="Arial" w:cs="Arial" w:eastAsia="Arial" w:hint="default"/>
          <w:spacing w:val="-1"/>
        </w:rPr>
        <w:t> </w:t>
      </w:r>
      <w:r>
        <w:rPr/>
        <w:t>年以上应收股利，</w:t>
      </w:r>
      <w:r>
        <w:rPr>
          <w:w w:val="100"/>
        </w:rPr>
        <w:t> </w:t>
      </w:r>
      <w:r>
        <w:rPr/>
        <w:t>为本公司子公司联通</w:t>
      </w:r>
      <w:r>
        <w:rPr>
          <w:spacing w:val="-46"/>
        </w:rPr>
        <w:t> </w:t>
      </w:r>
      <w:r>
        <w:rPr>
          <w:rFonts w:ascii="Arial" w:hAnsi="Arial" w:cs="Arial" w:eastAsia="Arial" w:hint="default"/>
        </w:rPr>
        <w:t>BVI</w:t>
      </w:r>
      <w:r>
        <w:rPr>
          <w:rFonts w:ascii="Arial" w:hAnsi="Arial" w:cs="Arial" w:eastAsia="Arial" w:hint="default"/>
          <w:spacing w:val="4"/>
        </w:rPr>
        <w:t> </w:t>
      </w:r>
      <w:r>
        <w:rPr/>
        <w:t>公司未支付的</w:t>
      </w:r>
      <w:r>
        <w:rPr>
          <w:spacing w:val="-41"/>
        </w:rPr>
        <w:t> </w:t>
      </w:r>
      <w:r>
        <w:rPr>
          <w:rFonts w:ascii="Arial" w:hAnsi="Arial" w:cs="Arial" w:eastAsia="Arial" w:hint="default"/>
        </w:rPr>
        <w:t>2013</w:t>
      </w:r>
      <w:r>
        <w:rPr>
          <w:rFonts w:ascii="Arial" w:hAnsi="Arial" w:cs="Arial" w:eastAsia="Arial" w:hint="default"/>
          <w:spacing w:val="10"/>
        </w:rPr>
        <w:t> </w:t>
      </w:r>
      <w:r>
        <w:rPr/>
        <w:t>年度及以前年度现金股利。本公司认为该等应</w:t>
      </w:r>
      <w:r>
        <w:rPr>
          <w:spacing w:val="-106"/>
        </w:rPr>
        <w:t> </w:t>
      </w:r>
      <w:r>
        <w:rPr>
          <w:spacing w:val="-106"/>
        </w:rPr>
      </w:r>
      <w:r>
        <w:rPr/>
        <w:t>收股利并无回收风险。</w:t>
      </w:r>
    </w:p>
    <w:p>
      <w:pPr>
        <w:spacing w:line="240" w:lineRule="auto" w:before="3"/>
        <w:rPr>
          <w:rFonts w:ascii="宋体" w:hAnsi="宋体" w:cs="宋体" w:eastAsia="宋体" w:hint="default"/>
          <w:sz w:val="19"/>
          <w:szCs w:val="19"/>
        </w:rPr>
      </w:pPr>
    </w:p>
    <w:p>
      <w:pPr>
        <w:pStyle w:val="BodyText"/>
        <w:spacing w:line="240" w:lineRule="auto"/>
        <w:ind w:left="194" w:right="199"/>
        <w:jc w:val="left"/>
      </w:pPr>
      <w:r>
        <w:rPr>
          <w:rFonts w:ascii="Arial" w:hAnsi="Arial" w:cs="Arial" w:eastAsia="Arial" w:hint="default"/>
        </w:rPr>
        <w:t>3</w:t>
      </w:r>
      <w:r>
        <w:rPr/>
        <w:t>、</w:t>
      </w:r>
      <w:r>
        <w:rPr>
          <w:spacing w:val="85"/>
        </w:rPr>
        <w:t> </w:t>
      </w:r>
      <w:r>
        <w:rPr/>
        <w:t>长期股权投资</w:t>
      </w:r>
    </w:p>
    <w:p>
      <w:pPr>
        <w:spacing w:line="240" w:lineRule="auto" w:before="11"/>
        <w:rPr>
          <w:rFonts w:ascii="宋体" w:hAnsi="宋体" w:cs="宋体" w:eastAsia="宋体" w:hint="default"/>
          <w:sz w:val="17"/>
          <w:szCs w:val="17"/>
        </w:rPr>
      </w:pPr>
    </w:p>
    <w:p>
      <w:pPr>
        <w:pStyle w:val="BodyText"/>
        <w:spacing w:line="240" w:lineRule="auto"/>
        <w:ind w:left="726" w:right="199"/>
        <w:jc w:val="left"/>
      </w:pPr>
      <w:r>
        <w:rPr/>
        <w:t>于</w:t>
      </w:r>
      <w:r>
        <w:rPr>
          <w:spacing w:val="-56"/>
        </w:rPr>
        <w:t> </w:t>
      </w:r>
      <w:r>
        <w:rPr>
          <w:rFonts w:ascii="Arial" w:hAnsi="Arial" w:cs="Arial" w:eastAsia="Arial" w:hint="default"/>
        </w:rPr>
        <w:t>2019</w:t>
      </w:r>
      <w:r>
        <w:rPr>
          <w:rFonts w:ascii="Arial" w:hAnsi="Arial" w:cs="Arial" w:eastAsia="Arial" w:hint="default"/>
          <w:spacing w:val="-5"/>
        </w:rPr>
        <w:t> </w:t>
      </w:r>
      <w:r>
        <w:rPr/>
        <w:t>年</w:t>
      </w:r>
      <w:r>
        <w:rPr>
          <w:spacing w:val="-61"/>
        </w:rPr>
        <w:t> </w:t>
      </w:r>
      <w:r>
        <w:rPr>
          <w:rFonts w:ascii="Arial" w:hAnsi="Arial" w:cs="Arial" w:eastAsia="Arial" w:hint="default"/>
        </w:rPr>
        <w:t>12</w:t>
      </w:r>
      <w:r>
        <w:rPr>
          <w:rFonts w:ascii="Arial" w:hAnsi="Arial" w:cs="Arial" w:eastAsia="Arial" w:hint="default"/>
          <w:spacing w:val="-5"/>
        </w:rPr>
        <w:t> </w:t>
      </w:r>
      <w:r>
        <w:rPr/>
        <w:t>月</w:t>
      </w:r>
      <w:r>
        <w:rPr>
          <w:spacing w:val="-56"/>
        </w:rPr>
        <w:t> </w:t>
      </w:r>
      <w:r>
        <w:rPr>
          <w:rFonts w:ascii="Arial" w:hAnsi="Arial" w:cs="Arial" w:eastAsia="Arial" w:hint="default"/>
        </w:rPr>
        <w:t>31</w:t>
      </w:r>
      <w:r>
        <w:rPr>
          <w:rFonts w:ascii="Arial" w:hAnsi="Arial" w:cs="Arial" w:eastAsia="Arial" w:hint="default"/>
          <w:spacing w:val="-5"/>
        </w:rPr>
        <w:t> </w:t>
      </w:r>
      <w:r>
        <w:rPr/>
        <w:t>日，本公司长期股权投资明细如下：</w:t>
      </w:r>
    </w:p>
    <w:p>
      <w:pPr>
        <w:spacing w:line="240" w:lineRule="auto" w:before="11"/>
        <w:rPr>
          <w:rFonts w:ascii="宋体" w:hAnsi="宋体" w:cs="宋体" w:eastAsia="宋体" w:hint="default"/>
          <w:sz w:val="22"/>
          <w:szCs w:val="22"/>
        </w:rPr>
      </w:pPr>
    </w:p>
    <w:tbl>
      <w:tblPr>
        <w:tblW w:w="0" w:type="auto"/>
        <w:jc w:val="left"/>
        <w:tblInd w:w="541" w:type="dxa"/>
        <w:tblLayout w:type="fixed"/>
        <w:tblCellMar>
          <w:top w:w="0" w:type="dxa"/>
          <w:left w:w="0" w:type="dxa"/>
          <w:bottom w:w="0" w:type="dxa"/>
          <w:right w:w="0" w:type="dxa"/>
        </w:tblCellMar>
        <w:tblLook w:val="01E0"/>
      </w:tblPr>
      <w:tblGrid>
        <w:gridCol w:w="1561"/>
        <w:gridCol w:w="578"/>
        <w:gridCol w:w="1651"/>
        <w:gridCol w:w="101"/>
        <w:gridCol w:w="1805"/>
        <w:gridCol w:w="118"/>
        <w:gridCol w:w="1366"/>
        <w:gridCol w:w="110"/>
        <w:gridCol w:w="1843"/>
      </w:tblGrid>
      <w:tr>
        <w:trPr>
          <w:trHeight w:val="238" w:hRule="exact"/>
        </w:trPr>
        <w:tc>
          <w:tcPr>
            <w:tcW w:w="1561"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Style w:val="TableParagraph"/>
              <w:spacing w:line="201" w:lineRule="exact"/>
              <w:ind w:right="62"/>
              <w:jc w:val="center"/>
              <w:rPr>
                <w:rFonts w:ascii="宋体" w:hAnsi="宋体" w:cs="宋体" w:eastAsia="宋体" w:hint="default"/>
                <w:sz w:val="20"/>
                <w:szCs w:val="20"/>
              </w:rPr>
            </w:pPr>
            <w:r>
              <w:rPr>
                <w:rFonts w:ascii="宋体" w:hAnsi="宋体" w:cs="宋体" w:eastAsia="宋体" w:hint="default"/>
                <w:w w:val="100"/>
                <w:sz w:val="20"/>
                <w:szCs w:val="20"/>
              </w:rPr>
              <w:t>注</w:t>
            </w:r>
          </w:p>
        </w:tc>
        <w:tc>
          <w:tcPr>
            <w:tcW w:w="1651" w:type="dxa"/>
            <w:tcBorders>
              <w:top w:val="nil" w:sz="6" w:space="0" w:color="auto"/>
              <w:left w:val="nil" w:sz="6" w:space="0" w:color="auto"/>
              <w:bottom w:val="single" w:sz="6" w:space="0" w:color="000000"/>
              <w:right w:val="nil" w:sz="6" w:space="0" w:color="auto"/>
            </w:tcBorders>
          </w:tcPr>
          <w:p>
            <w:pPr>
              <w:pStyle w:val="TableParagraph"/>
              <w:spacing w:line="201" w:lineRule="exact"/>
              <w:ind w:left="230" w:right="0"/>
              <w:jc w:val="left"/>
              <w:rPr>
                <w:rFonts w:ascii="宋体" w:hAnsi="宋体" w:cs="宋体" w:eastAsia="宋体" w:hint="default"/>
                <w:sz w:val="20"/>
                <w:szCs w:val="20"/>
              </w:rPr>
            </w:pPr>
            <w:r>
              <w:rPr>
                <w:rFonts w:ascii="宋体" w:hAnsi="宋体" w:cs="宋体" w:eastAsia="宋体" w:hint="default"/>
                <w:sz w:val="20"/>
                <w:szCs w:val="20"/>
              </w:rPr>
              <w:t>初始投资成本</w:t>
            </w:r>
          </w:p>
        </w:tc>
        <w:tc>
          <w:tcPr>
            <w:tcW w:w="101" w:type="dxa"/>
            <w:tcBorders>
              <w:top w:val="nil" w:sz="6" w:space="0" w:color="auto"/>
              <w:left w:val="nil" w:sz="6" w:space="0" w:color="auto"/>
              <w:bottom w:val="nil" w:sz="6" w:space="0" w:color="auto"/>
              <w:right w:val="nil" w:sz="6" w:space="0" w:color="auto"/>
            </w:tcBorders>
          </w:tcPr>
          <w:p>
            <w:pPr/>
          </w:p>
        </w:tc>
        <w:tc>
          <w:tcPr>
            <w:tcW w:w="1805" w:type="dxa"/>
            <w:tcBorders>
              <w:top w:val="nil" w:sz="6" w:space="0" w:color="auto"/>
              <w:left w:val="nil" w:sz="6" w:space="0" w:color="auto"/>
              <w:bottom w:val="single" w:sz="6" w:space="0" w:color="000000"/>
              <w:right w:val="nil" w:sz="6" w:space="0" w:color="auto"/>
            </w:tcBorders>
          </w:tcPr>
          <w:p>
            <w:pPr>
              <w:pStyle w:val="TableParagraph"/>
              <w:spacing w:line="216" w:lineRule="exact"/>
              <w:ind w:right="55"/>
              <w:jc w:val="right"/>
              <w:rPr>
                <w:rFonts w:ascii="宋体" w:hAnsi="宋体" w:cs="宋体" w:eastAsia="宋体" w:hint="default"/>
                <w:sz w:val="20"/>
                <w:szCs w:val="20"/>
              </w:rPr>
            </w:pPr>
            <w:r>
              <w:rPr>
                <w:rFonts w:ascii="Arial" w:hAnsi="Arial" w:cs="Arial" w:eastAsia="Arial" w:hint="default"/>
                <w:sz w:val="20"/>
                <w:szCs w:val="20"/>
              </w:rPr>
              <w:t>2018</w:t>
            </w:r>
            <w:r>
              <w:rPr>
                <w:rFonts w:ascii="Arial" w:hAnsi="Arial" w:cs="Arial" w:eastAsia="Arial" w:hint="default"/>
                <w:spacing w:val="-8"/>
                <w:sz w:val="20"/>
                <w:szCs w:val="20"/>
              </w:rPr>
              <w:t> </w:t>
            </w:r>
            <w:r>
              <w:rPr>
                <w:rFonts w:ascii="宋体" w:hAnsi="宋体" w:cs="宋体" w:eastAsia="宋体" w:hint="default"/>
                <w:sz w:val="20"/>
                <w:szCs w:val="20"/>
              </w:rPr>
              <w:t>年</w:t>
            </w:r>
            <w:r>
              <w:rPr>
                <w:rFonts w:ascii="宋体" w:hAnsi="宋体" w:cs="宋体" w:eastAsia="宋体" w:hint="default"/>
                <w:spacing w:val="-50"/>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宋体" w:hAnsi="宋体" w:cs="宋体" w:eastAsia="宋体" w:hint="default"/>
                <w:sz w:val="20"/>
                <w:szCs w:val="20"/>
              </w:rPr>
              <w:t>日</w:t>
            </w:r>
          </w:p>
        </w:tc>
        <w:tc>
          <w:tcPr>
            <w:tcW w:w="118"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single" w:sz="6" w:space="0" w:color="000000"/>
              <w:right w:val="nil" w:sz="6" w:space="0" w:color="auto"/>
            </w:tcBorders>
          </w:tcPr>
          <w:p>
            <w:pPr>
              <w:pStyle w:val="TableParagraph"/>
              <w:spacing w:line="201" w:lineRule="exact"/>
              <w:ind w:right="74"/>
              <w:jc w:val="right"/>
              <w:rPr>
                <w:rFonts w:ascii="宋体" w:hAnsi="宋体" w:cs="宋体" w:eastAsia="宋体" w:hint="default"/>
                <w:sz w:val="20"/>
                <w:szCs w:val="20"/>
              </w:rPr>
            </w:pPr>
            <w:r>
              <w:rPr>
                <w:rFonts w:ascii="宋体" w:hAnsi="宋体" w:cs="宋体" w:eastAsia="宋体" w:hint="default"/>
                <w:spacing w:val="-1"/>
                <w:sz w:val="20"/>
                <w:szCs w:val="20"/>
              </w:rPr>
              <w:t>本年增减变动</w:t>
            </w:r>
          </w:p>
        </w:tc>
        <w:tc>
          <w:tcPr>
            <w:tcW w:w="110"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single" w:sz="6" w:space="0" w:color="000000"/>
              <w:right w:val="nil" w:sz="6" w:space="0" w:color="auto"/>
            </w:tcBorders>
          </w:tcPr>
          <w:p>
            <w:pPr>
              <w:pStyle w:val="TableParagraph"/>
              <w:spacing w:line="216" w:lineRule="exact"/>
              <w:ind w:left="33" w:right="0"/>
              <w:jc w:val="left"/>
              <w:rPr>
                <w:rFonts w:ascii="宋体" w:hAnsi="宋体" w:cs="宋体" w:eastAsia="宋体" w:hint="default"/>
                <w:sz w:val="20"/>
                <w:szCs w:val="20"/>
              </w:rPr>
            </w:pPr>
            <w:r>
              <w:rPr>
                <w:rFonts w:ascii="Arial" w:hAnsi="Arial" w:cs="Arial" w:eastAsia="Arial" w:hint="default"/>
                <w:sz w:val="20"/>
                <w:szCs w:val="20"/>
              </w:rPr>
              <w:t>2019</w:t>
            </w:r>
            <w:r>
              <w:rPr>
                <w:rFonts w:ascii="Arial" w:hAnsi="Arial" w:cs="Arial" w:eastAsia="Arial" w:hint="default"/>
                <w:spacing w:val="-8"/>
                <w:sz w:val="20"/>
                <w:szCs w:val="20"/>
              </w:rPr>
              <w:t> </w:t>
            </w:r>
            <w:r>
              <w:rPr>
                <w:rFonts w:ascii="宋体" w:hAnsi="宋体" w:cs="宋体" w:eastAsia="宋体" w:hint="default"/>
                <w:sz w:val="20"/>
                <w:szCs w:val="20"/>
              </w:rPr>
              <w:t>年</w:t>
            </w:r>
            <w:r>
              <w:rPr>
                <w:rFonts w:ascii="宋体" w:hAnsi="宋体" w:cs="宋体" w:eastAsia="宋体" w:hint="default"/>
                <w:spacing w:val="-50"/>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宋体" w:hAnsi="宋体" w:cs="宋体" w:eastAsia="宋体" w:hint="default"/>
                <w:sz w:val="20"/>
                <w:szCs w:val="20"/>
              </w:rPr>
              <w:t>日</w:t>
            </w:r>
          </w:p>
        </w:tc>
      </w:tr>
      <w:tr>
        <w:trPr>
          <w:trHeight w:val="508"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0" w:right="0"/>
              <w:jc w:val="left"/>
              <w:rPr>
                <w:rFonts w:ascii="宋体" w:hAnsi="宋体" w:cs="宋体" w:eastAsia="宋体" w:hint="default"/>
                <w:sz w:val="20"/>
                <w:szCs w:val="20"/>
              </w:rPr>
            </w:pPr>
            <w:r>
              <w:rPr>
                <w:rFonts w:ascii="宋体" w:hAnsi="宋体" w:cs="宋体" w:eastAsia="宋体" w:hint="default"/>
                <w:sz w:val="20"/>
                <w:szCs w:val="20"/>
              </w:rPr>
              <w:t>联通</w:t>
            </w:r>
            <w:r>
              <w:rPr>
                <w:rFonts w:ascii="宋体" w:hAnsi="宋体" w:cs="宋体" w:eastAsia="宋体" w:hint="default"/>
                <w:spacing w:val="-48"/>
                <w:sz w:val="20"/>
                <w:szCs w:val="20"/>
              </w:rPr>
              <w:t> </w:t>
            </w:r>
            <w:r>
              <w:rPr>
                <w:rFonts w:ascii="Arial" w:hAnsi="Arial" w:cs="Arial" w:eastAsia="Arial" w:hint="default"/>
                <w:sz w:val="20"/>
                <w:szCs w:val="20"/>
              </w:rPr>
              <w:t>BVI</w:t>
            </w:r>
            <w:r>
              <w:rPr>
                <w:rFonts w:ascii="Arial" w:hAnsi="Arial" w:cs="Arial" w:eastAsia="Arial" w:hint="default"/>
                <w:spacing w:val="-3"/>
                <w:sz w:val="20"/>
                <w:szCs w:val="20"/>
              </w:rPr>
              <w:t> </w:t>
            </w:r>
            <w:r>
              <w:rPr>
                <w:rFonts w:ascii="宋体" w:hAnsi="宋体" w:cs="宋体" w:eastAsia="宋体" w:hint="default"/>
                <w:sz w:val="20"/>
                <w:szCs w:val="20"/>
              </w:rPr>
              <w:t>公司</w:t>
            </w:r>
          </w:p>
        </w:tc>
        <w:tc>
          <w:tcPr>
            <w:tcW w:w="57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69"/>
              <w:jc w:val="center"/>
              <w:rPr>
                <w:rFonts w:ascii="Arial" w:hAnsi="Arial" w:cs="Arial" w:eastAsia="Arial" w:hint="default"/>
                <w:sz w:val="20"/>
                <w:szCs w:val="20"/>
              </w:rPr>
            </w:pPr>
            <w:r>
              <w:rPr>
                <w:rFonts w:ascii="Arial"/>
                <w:sz w:val="20"/>
              </w:rPr>
              <w:t>(a)</w:t>
            </w:r>
          </w:p>
        </w:tc>
        <w:tc>
          <w:tcPr>
            <w:tcW w:w="1651"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35"/>
              <w:jc w:val="right"/>
              <w:rPr>
                <w:rFonts w:ascii="Arial" w:hAnsi="Arial" w:cs="Arial" w:eastAsia="Arial" w:hint="default"/>
                <w:sz w:val="20"/>
                <w:szCs w:val="20"/>
              </w:rPr>
            </w:pPr>
            <w:r>
              <w:rPr>
                <w:rFonts w:ascii="Arial"/>
                <w:spacing w:val="-2"/>
                <w:sz w:val="20"/>
              </w:rPr>
              <w:t>100,072,258,479</w:t>
            </w:r>
            <w:r>
              <w:rPr>
                <w:rFonts w:ascii="Arial"/>
                <w:sz w:val="20"/>
              </w:rPr>
            </w:r>
          </w:p>
        </w:tc>
        <w:tc>
          <w:tcPr>
            <w:tcW w:w="101" w:type="dxa"/>
            <w:tcBorders>
              <w:top w:val="nil" w:sz="6" w:space="0" w:color="auto"/>
              <w:left w:val="nil" w:sz="6" w:space="0" w:color="auto"/>
              <w:bottom w:val="nil" w:sz="6" w:space="0" w:color="auto"/>
              <w:right w:val="nil" w:sz="6" w:space="0" w:color="auto"/>
            </w:tcBorders>
          </w:tcPr>
          <w:p>
            <w:pPr/>
          </w:p>
        </w:tc>
        <w:tc>
          <w:tcPr>
            <w:tcW w:w="1805"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49"/>
              <w:jc w:val="right"/>
              <w:rPr>
                <w:rFonts w:ascii="Arial" w:hAnsi="Arial" w:cs="Arial" w:eastAsia="Arial" w:hint="default"/>
                <w:sz w:val="20"/>
                <w:szCs w:val="20"/>
              </w:rPr>
            </w:pPr>
            <w:r>
              <w:rPr>
                <w:rFonts w:ascii="Arial"/>
                <w:spacing w:val="-2"/>
                <w:sz w:val="20"/>
              </w:rPr>
              <w:t>100,072,258,479</w:t>
            </w:r>
            <w:r>
              <w:rPr>
                <w:rFonts w:ascii="Arial"/>
                <w:sz w:val="20"/>
              </w:rPr>
            </w:r>
          </w:p>
        </w:tc>
        <w:tc>
          <w:tcPr>
            <w:tcW w:w="118" w:type="dxa"/>
            <w:tcBorders>
              <w:top w:val="nil" w:sz="6" w:space="0" w:color="auto"/>
              <w:left w:val="nil" w:sz="6" w:space="0" w:color="auto"/>
              <w:bottom w:val="nil" w:sz="6" w:space="0" w:color="auto"/>
              <w:right w:val="nil" w:sz="6" w:space="0" w:color="auto"/>
            </w:tcBorders>
          </w:tcPr>
          <w:p>
            <w:pPr/>
          </w:p>
        </w:tc>
        <w:tc>
          <w:tcPr>
            <w:tcW w:w="1366"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36"/>
              <w:jc w:val="right"/>
              <w:rPr>
                <w:rFonts w:ascii="Arial" w:hAnsi="Arial" w:cs="Arial" w:eastAsia="Arial" w:hint="default"/>
                <w:sz w:val="20"/>
                <w:szCs w:val="20"/>
              </w:rPr>
            </w:pPr>
            <w:r>
              <w:rPr>
                <w:rFonts w:ascii="Arial"/>
                <w:w w:val="100"/>
                <w:sz w:val="20"/>
              </w:rPr>
              <w:t>-</w:t>
            </w:r>
          </w:p>
        </w:tc>
        <w:tc>
          <w:tcPr>
            <w:tcW w:w="110" w:type="dxa"/>
            <w:tcBorders>
              <w:top w:val="nil" w:sz="6" w:space="0" w:color="auto"/>
              <w:left w:val="nil" w:sz="6" w:space="0" w:color="auto"/>
              <w:bottom w:val="nil" w:sz="6" w:space="0" w:color="auto"/>
              <w:right w:val="nil" w:sz="6" w:space="0" w:color="auto"/>
            </w:tcBorders>
          </w:tcPr>
          <w:p>
            <w:pPr/>
          </w:p>
        </w:tc>
        <w:tc>
          <w:tcPr>
            <w:tcW w:w="1843"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78" w:right="0"/>
              <w:jc w:val="left"/>
              <w:rPr>
                <w:rFonts w:ascii="Arial" w:hAnsi="Arial" w:cs="Arial" w:eastAsia="Arial" w:hint="default"/>
                <w:sz w:val="20"/>
                <w:szCs w:val="20"/>
              </w:rPr>
            </w:pPr>
            <w:r>
              <w:rPr>
                <w:rFonts w:ascii="Arial"/>
                <w:sz w:val="20"/>
              </w:rPr>
              <w:t>100,072,258,479</w:t>
            </w:r>
          </w:p>
        </w:tc>
      </w:tr>
      <w:tr>
        <w:trPr>
          <w:trHeight w:val="641"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17" w:lineRule="exact"/>
              <w:ind w:left="396" w:right="0" w:hanging="197"/>
              <w:jc w:val="left"/>
              <w:rPr>
                <w:rFonts w:ascii="宋体" w:hAnsi="宋体" w:cs="宋体" w:eastAsia="宋体" w:hint="default"/>
                <w:sz w:val="20"/>
                <w:szCs w:val="20"/>
              </w:rPr>
            </w:pPr>
            <w:r>
              <w:rPr>
                <w:rFonts w:ascii="宋体" w:hAnsi="宋体" w:cs="宋体" w:eastAsia="宋体" w:hint="default"/>
                <w:sz w:val="20"/>
                <w:szCs w:val="20"/>
              </w:rPr>
              <w:t>联通运营公司</w:t>
            </w:r>
          </w:p>
          <w:p>
            <w:pPr>
              <w:pStyle w:val="TableParagraph"/>
              <w:spacing w:line="260" w:lineRule="exact"/>
              <w:ind w:left="396" w:right="0"/>
              <w:jc w:val="left"/>
              <w:rPr>
                <w:rFonts w:ascii="宋体" w:hAnsi="宋体" w:cs="宋体" w:eastAsia="宋体" w:hint="default"/>
                <w:sz w:val="20"/>
                <w:szCs w:val="20"/>
              </w:rPr>
            </w:pPr>
            <w:r>
              <w:rPr>
                <w:rFonts w:ascii="宋体" w:hAnsi="宋体" w:cs="宋体" w:eastAsia="宋体" w:hint="default"/>
                <w:sz w:val="20"/>
                <w:szCs w:val="20"/>
              </w:rPr>
              <w:t>及国际公司</w:t>
            </w:r>
          </w:p>
        </w:tc>
        <w:tc>
          <w:tcPr>
            <w:tcW w:w="57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69"/>
              <w:jc w:val="center"/>
              <w:rPr>
                <w:rFonts w:ascii="Arial" w:hAnsi="Arial" w:cs="Arial" w:eastAsia="Arial" w:hint="default"/>
                <w:sz w:val="20"/>
                <w:szCs w:val="20"/>
              </w:rPr>
            </w:pPr>
            <w:r>
              <w:rPr>
                <w:rFonts w:ascii="Arial"/>
                <w:sz w:val="20"/>
              </w:rPr>
              <w:t>(b)</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tabs>
                <w:tab w:pos="503" w:val="left" w:leader="none"/>
              </w:tabs>
              <w:spacing w:line="240" w:lineRule="auto"/>
              <w:ind w:right="3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613,920,000</w:t>
            </w:r>
            <w:r>
              <w:rPr>
                <w:rFonts w:ascii="Arial"/>
                <w:spacing w:val="-2"/>
                <w:sz w:val="20"/>
              </w:rPr>
            </w:r>
            <w:r>
              <w:rPr>
                <w:rFonts w:ascii="Arial"/>
                <w:sz w:val="20"/>
              </w:rPr>
            </w:r>
          </w:p>
        </w:tc>
        <w:tc>
          <w:tcPr>
            <w:tcW w:w="101" w:type="dxa"/>
            <w:tcBorders>
              <w:top w:val="nil" w:sz="6" w:space="0" w:color="auto"/>
              <w:left w:val="nil" w:sz="6" w:space="0" w:color="auto"/>
              <w:bottom w:val="nil" w:sz="6" w:space="0" w:color="auto"/>
              <w:right w:val="nil" w:sz="6" w:space="0" w:color="auto"/>
            </w:tcBorders>
          </w:tcPr>
          <w:p>
            <w:pP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tabs>
                <w:tab w:pos="638" w:val="left" w:leader="none"/>
                <w:tab w:pos="1804" w:val="left" w:leader="none"/>
              </w:tabs>
              <w:spacing w:line="240" w:lineRule="auto"/>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613,920,000</w:t>
              <w:tab/>
            </w:r>
            <w:r>
              <w:rPr>
                <w:rFonts w:ascii="Arial"/>
                <w:spacing w:val="-2"/>
                <w:sz w:val="20"/>
              </w:rPr>
            </w:r>
          </w:p>
        </w:tc>
        <w:tc>
          <w:tcPr>
            <w:tcW w:w="118"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3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12"/>
                <w:sz w:val="20"/>
                <w:u w:val="single" w:color="000000"/>
              </w:rPr>
              <w:t> </w:t>
            </w:r>
            <w:r>
              <w:rPr>
                <w:rFonts w:ascii="Arial"/>
                <w:spacing w:val="-2"/>
                <w:sz w:val="20"/>
                <w:u w:val="single" w:color="000000"/>
              </w:rPr>
              <w:t>570,670,000</w:t>
            </w:r>
            <w:r>
              <w:rPr>
                <w:rFonts w:ascii="Arial"/>
                <w:spacing w:val="-2"/>
                <w:sz w:val="20"/>
              </w:rPr>
            </w:r>
            <w:r>
              <w:rPr>
                <w:rFonts w:ascii="Arial"/>
                <w:sz w:val="20"/>
              </w:rPr>
            </w:r>
          </w:p>
        </w:tc>
        <w:tc>
          <w:tcPr>
            <w:tcW w:w="110"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tabs>
                <w:tab w:pos="503" w:val="left" w:leader="none"/>
                <w:tab w:pos="1843" w:val="left" w:leader="none"/>
              </w:tabs>
              <w:spacing w:line="240" w:lineRule="auto"/>
              <w:ind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1,184,590,000</w:t>
              <w:tab/>
            </w:r>
            <w:r>
              <w:rPr>
                <w:rFonts w:ascii="Arial"/>
                <w:sz w:val="20"/>
              </w:rPr>
            </w:r>
          </w:p>
        </w:tc>
      </w:tr>
      <w:tr>
        <w:trPr>
          <w:trHeight w:val="396"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78"/>
              <w:ind w:left="200"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578" w:type="dxa"/>
            <w:tcBorders>
              <w:top w:val="nil" w:sz="6" w:space="0" w:color="auto"/>
              <w:left w:val="nil" w:sz="6" w:space="0" w:color="auto"/>
              <w:bottom w:val="nil" w:sz="6" w:space="0" w:color="auto"/>
              <w:right w:val="nil" w:sz="6" w:space="0" w:color="auto"/>
            </w:tcBorders>
          </w:tcPr>
          <w:p>
            <w:pPr/>
          </w:p>
        </w:tc>
        <w:tc>
          <w:tcPr>
            <w:tcW w:w="1651"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right="35"/>
              <w:jc w:val="right"/>
              <w:rPr>
                <w:rFonts w:ascii="Arial" w:hAnsi="Arial" w:cs="Arial" w:eastAsia="Arial" w:hint="default"/>
                <w:sz w:val="20"/>
                <w:szCs w:val="20"/>
              </w:rPr>
            </w:pPr>
            <w:r>
              <w:rPr>
                <w:rFonts w:ascii="Arial"/>
                <w:spacing w:val="-2"/>
                <w:sz w:val="20"/>
              </w:rPr>
              <w:t>100,686,178,479</w:t>
            </w:r>
            <w:r>
              <w:rPr>
                <w:rFonts w:ascii="Arial"/>
                <w:sz w:val="20"/>
              </w:rPr>
            </w:r>
          </w:p>
        </w:tc>
        <w:tc>
          <w:tcPr>
            <w:tcW w:w="101" w:type="dxa"/>
            <w:tcBorders>
              <w:top w:val="nil" w:sz="6" w:space="0" w:color="auto"/>
              <w:left w:val="nil" w:sz="6" w:space="0" w:color="auto"/>
              <w:bottom w:val="nil" w:sz="6" w:space="0" w:color="auto"/>
              <w:right w:val="nil" w:sz="6" w:space="0" w:color="auto"/>
            </w:tcBorders>
          </w:tcPr>
          <w:p>
            <w:pPr/>
          </w:p>
        </w:tc>
        <w:tc>
          <w:tcPr>
            <w:tcW w:w="1805"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right="54"/>
              <w:jc w:val="right"/>
              <w:rPr>
                <w:rFonts w:ascii="Arial" w:hAnsi="Arial" w:cs="Arial" w:eastAsia="Arial" w:hint="default"/>
                <w:sz w:val="20"/>
                <w:szCs w:val="20"/>
              </w:rPr>
            </w:pPr>
            <w:r>
              <w:rPr>
                <w:rFonts w:ascii="Arial"/>
                <w:spacing w:val="-2"/>
                <w:sz w:val="20"/>
              </w:rPr>
              <w:t>100,686,178,479</w:t>
            </w:r>
            <w:r>
              <w:rPr>
                <w:rFonts w:ascii="Arial"/>
                <w:sz w:val="20"/>
              </w:rPr>
            </w:r>
          </w:p>
        </w:tc>
        <w:tc>
          <w:tcPr>
            <w:tcW w:w="118"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right="35"/>
              <w:jc w:val="right"/>
              <w:rPr>
                <w:rFonts w:ascii="Arial" w:hAnsi="Arial" w:cs="Arial" w:eastAsia="Arial" w:hint="default"/>
                <w:sz w:val="20"/>
                <w:szCs w:val="20"/>
              </w:rPr>
            </w:pPr>
            <w:r>
              <w:rPr>
                <w:rFonts w:ascii="Arial"/>
                <w:spacing w:val="-2"/>
                <w:sz w:val="20"/>
              </w:rPr>
              <w:t>570,670,000</w:t>
            </w:r>
            <w:r>
              <w:rPr>
                <w:rFonts w:ascii="Arial"/>
                <w:sz w:val="20"/>
              </w:rPr>
            </w:r>
          </w:p>
        </w:tc>
        <w:tc>
          <w:tcPr>
            <w:tcW w:w="110"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left="283" w:right="0"/>
              <w:jc w:val="left"/>
              <w:rPr>
                <w:rFonts w:ascii="Arial" w:hAnsi="Arial" w:cs="Arial" w:eastAsia="Arial" w:hint="default"/>
                <w:sz w:val="20"/>
                <w:szCs w:val="20"/>
              </w:rPr>
            </w:pPr>
            <w:r>
              <w:rPr>
                <w:rFonts w:ascii="Arial"/>
                <w:sz w:val="20"/>
              </w:rPr>
              <w:t>101,256,848,479</w:t>
            </w:r>
          </w:p>
        </w:tc>
      </w:tr>
    </w:tbl>
    <w:p>
      <w:pPr>
        <w:spacing w:line="240" w:lineRule="auto" w:before="10"/>
        <w:rPr>
          <w:rFonts w:ascii="宋体" w:hAnsi="宋体" w:cs="宋体" w:eastAsia="宋体" w:hint="default"/>
          <w:sz w:val="13"/>
          <w:szCs w:val="13"/>
        </w:rPr>
      </w:pPr>
    </w:p>
    <w:p>
      <w:pPr>
        <w:pStyle w:val="BodyText"/>
        <w:tabs>
          <w:tab w:pos="741" w:val="left" w:leader="none"/>
        </w:tabs>
        <w:spacing w:line="240" w:lineRule="auto" w:before="32"/>
        <w:ind w:left="175" w:right="199"/>
        <w:jc w:val="left"/>
      </w:pPr>
      <w:r>
        <w:rPr>
          <w:rFonts w:ascii="Arial" w:hAnsi="Arial" w:cs="Arial" w:eastAsia="Arial" w:hint="default"/>
        </w:rPr>
        <w:t>(a)</w:t>
        <w:tab/>
      </w:r>
      <w:r>
        <w:rPr/>
        <w:t>联通</w:t>
      </w:r>
      <w:r>
        <w:rPr>
          <w:spacing w:val="-55"/>
        </w:rPr>
        <w:t> </w:t>
      </w:r>
      <w:r>
        <w:rPr>
          <w:rFonts w:ascii="Arial" w:hAnsi="Arial" w:cs="Arial" w:eastAsia="Arial" w:hint="default"/>
        </w:rPr>
        <w:t>BVI</w:t>
      </w:r>
      <w:r>
        <w:rPr>
          <w:rFonts w:ascii="Arial" w:hAnsi="Arial" w:cs="Arial" w:eastAsia="Arial" w:hint="default"/>
          <w:spacing w:val="-10"/>
        </w:rPr>
        <w:t> </w:t>
      </w:r>
      <w:r>
        <w:rPr/>
        <w:t>公司</w:t>
      </w:r>
    </w:p>
    <w:p>
      <w:pPr>
        <w:spacing w:line="240" w:lineRule="auto" w:before="12"/>
        <w:rPr>
          <w:rFonts w:ascii="宋体" w:hAnsi="宋体" w:cs="宋体" w:eastAsia="宋体" w:hint="default"/>
          <w:sz w:val="19"/>
          <w:szCs w:val="19"/>
        </w:rPr>
      </w:pPr>
    </w:p>
    <w:p>
      <w:pPr>
        <w:pStyle w:val="BodyText"/>
        <w:spacing w:line="288" w:lineRule="exact"/>
        <w:ind w:left="727" w:right="119"/>
        <w:jc w:val="left"/>
      </w:pPr>
      <w:r>
        <w:rPr/>
        <w:t>本公司持有联通</w:t>
      </w:r>
      <w:r>
        <w:rPr>
          <w:spacing w:val="-47"/>
        </w:rPr>
        <w:t> </w:t>
      </w:r>
      <w:r>
        <w:rPr>
          <w:rFonts w:ascii="Arial" w:hAnsi="Arial" w:cs="Arial" w:eastAsia="Arial" w:hint="default"/>
        </w:rPr>
        <w:t>BVI</w:t>
      </w:r>
      <w:r>
        <w:rPr>
          <w:rFonts w:ascii="Arial" w:hAnsi="Arial" w:cs="Arial" w:eastAsia="Arial" w:hint="default"/>
          <w:spacing w:val="-2"/>
        </w:rPr>
        <w:t> </w:t>
      </w:r>
      <w:r>
        <w:rPr/>
        <w:t>公司</w:t>
      </w:r>
      <w:r>
        <w:rPr>
          <w:spacing w:val="-47"/>
        </w:rPr>
        <w:t> </w:t>
      </w:r>
      <w:r>
        <w:rPr>
          <w:rFonts w:ascii="Arial" w:hAnsi="Arial" w:cs="Arial" w:eastAsia="Arial" w:hint="default"/>
        </w:rPr>
        <w:t>82.10%</w:t>
      </w:r>
      <w:r>
        <w:rPr/>
        <w:t>股份，并通过联通</w:t>
      </w:r>
      <w:r>
        <w:rPr>
          <w:spacing w:val="-47"/>
        </w:rPr>
        <w:t> </w:t>
      </w:r>
      <w:r>
        <w:rPr>
          <w:rFonts w:ascii="Arial" w:hAnsi="Arial" w:cs="Arial" w:eastAsia="Arial" w:hint="default"/>
        </w:rPr>
        <w:t>BVI</w:t>
      </w:r>
      <w:r>
        <w:rPr>
          <w:rFonts w:ascii="Arial" w:hAnsi="Arial" w:cs="Arial" w:eastAsia="Arial" w:hint="default"/>
          <w:spacing w:val="-2"/>
        </w:rPr>
        <w:t> </w:t>
      </w:r>
      <w:r>
        <w:rPr/>
        <w:t>公司间接拥有对联通红筹公司及其子</w:t>
      </w:r>
      <w:r>
        <w:rPr>
          <w:w w:val="100"/>
        </w:rPr>
        <w:t> </w:t>
      </w:r>
      <w:r>
        <w:rPr/>
        <w:t>公司的投资。</w:t>
      </w:r>
    </w:p>
    <w:p>
      <w:pPr>
        <w:spacing w:line="240" w:lineRule="auto" w:before="13"/>
        <w:rPr>
          <w:rFonts w:ascii="宋体" w:hAnsi="宋体" w:cs="宋体" w:eastAsia="宋体" w:hint="default"/>
          <w:sz w:val="21"/>
          <w:szCs w:val="21"/>
        </w:rPr>
      </w:pPr>
    </w:p>
    <w:tbl>
      <w:tblPr>
        <w:tblW w:w="0" w:type="auto"/>
        <w:jc w:val="left"/>
        <w:tblInd w:w="565" w:type="dxa"/>
        <w:tblLayout w:type="fixed"/>
        <w:tblCellMar>
          <w:top w:w="0" w:type="dxa"/>
          <w:left w:w="0" w:type="dxa"/>
          <w:bottom w:w="0" w:type="dxa"/>
          <w:right w:w="0" w:type="dxa"/>
        </w:tblCellMar>
        <w:tblLook w:val="01E0"/>
      </w:tblPr>
      <w:tblGrid>
        <w:gridCol w:w="1561"/>
        <w:gridCol w:w="811"/>
        <w:gridCol w:w="936"/>
        <w:gridCol w:w="1130"/>
        <w:gridCol w:w="1315"/>
        <w:gridCol w:w="986"/>
        <w:gridCol w:w="1008"/>
        <w:gridCol w:w="1471"/>
      </w:tblGrid>
      <w:tr>
        <w:trPr>
          <w:trHeight w:val="756" w:hRule="exact"/>
        </w:trPr>
        <w:tc>
          <w:tcPr>
            <w:tcW w:w="1561"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60" w:lineRule="exact"/>
              <w:ind w:left="333" w:right="0"/>
              <w:jc w:val="left"/>
              <w:rPr>
                <w:rFonts w:ascii="宋体" w:hAnsi="宋体" w:cs="宋体" w:eastAsia="宋体" w:hint="default"/>
                <w:sz w:val="20"/>
                <w:szCs w:val="20"/>
              </w:rPr>
            </w:pPr>
            <w:r>
              <w:rPr>
                <w:rFonts w:ascii="宋体" w:hAnsi="宋体" w:cs="宋体" w:eastAsia="宋体" w:hint="default"/>
                <w:sz w:val="20"/>
                <w:szCs w:val="20"/>
              </w:rPr>
              <w:t>核算</w:t>
            </w:r>
          </w:p>
          <w:p>
            <w:pPr>
              <w:pStyle w:val="TableParagraph"/>
              <w:tabs>
                <w:tab w:pos="1375" w:val="left" w:leader="none"/>
              </w:tabs>
              <w:spacing w:line="260" w:lineRule="exact"/>
              <w:ind w:left="112" w:right="-564"/>
              <w:jc w:val="left"/>
              <w:rPr>
                <w:rFonts w:ascii="宋体" w:hAnsi="宋体" w:cs="宋体" w:eastAsia="宋体" w:hint="default"/>
                <w:sz w:val="20"/>
                <w:szCs w:val="20"/>
              </w:rPr>
            </w:pP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z w:val="20"/>
                <w:szCs w:val="20"/>
                <w:u w:val="single" w:color="000000"/>
              </w:rPr>
              <w:t>  </w:t>
            </w:r>
            <w:r>
              <w:rPr>
                <w:rFonts w:ascii="Times New Roman" w:hAnsi="Times New Roman" w:cs="Times New Roman" w:eastAsia="Times New Roman" w:hint="default"/>
                <w:spacing w:val="20"/>
                <w:sz w:val="20"/>
                <w:szCs w:val="20"/>
                <w:u w:val="single" w:color="000000"/>
              </w:rPr>
              <w:t> </w:t>
            </w:r>
            <w:r>
              <w:rPr>
                <w:rFonts w:ascii="宋体" w:hAnsi="宋体" w:cs="宋体" w:eastAsia="宋体" w:hint="default"/>
                <w:sz w:val="20"/>
                <w:szCs w:val="20"/>
                <w:u w:val="single" w:color="000000"/>
              </w:rPr>
              <w:t>方法</w:t>
              <w:tab/>
            </w:r>
            <w:r>
              <w:rPr>
                <w:rFonts w:ascii="宋体" w:hAnsi="宋体" w:cs="宋体" w:eastAsia="宋体" w:hint="default"/>
                <w:sz w:val="20"/>
                <w:szCs w:val="20"/>
              </w:rPr>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74" w:right="0"/>
              <w:jc w:val="left"/>
              <w:rPr>
                <w:rFonts w:ascii="宋体" w:hAnsi="宋体" w:cs="宋体" w:eastAsia="宋体" w:hint="default"/>
                <w:sz w:val="20"/>
                <w:szCs w:val="20"/>
              </w:rPr>
            </w:pPr>
            <w:r>
              <w:rPr>
                <w:rFonts w:ascii="宋体" w:hAnsi="宋体" w:cs="宋体" w:eastAsia="宋体" w:hint="default"/>
                <w:sz w:val="20"/>
                <w:szCs w:val="20"/>
              </w:rPr>
              <w:t>持股比例</w:t>
            </w:r>
          </w:p>
          <w:p>
            <w:pPr>
              <w:pStyle w:val="TableParagraph"/>
              <w:tabs>
                <w:tab w:pos="1677" w:val="left" w:leader="none"/>
              </w:tabs>
              <w:spacing w:line="240" w:lineRule="auto" w:before="29"/>
              <w:ind w:left="563" w:right="-742"/>
              <w:jc w:val="left"/>
              <w:rPr>
                <w:rFonts w:ascii="Arial" w:hAnsi="Arial" w:cs="Arial" w:eastAsia="Arial" w:hint="default"/>
                <w:sz w:val="20"/>
                <w:szCs w:val="20"/>
              </w:rPr>
            </w:pPr>
            <w:r>
              <w:rPr>
                <w:rFonts w:ascii="Arial"/>
                <w:w w:val="100"/>
                <w:sz w:val="20"/>
              </w:rPr>
            </w:r>
            <w:r>
              <w:rPr>
                <w:rFonts w:ascii="Arial"/>
                <w:sz w:val="20"/>
                <w:u w:val="single" w:color="000000"/>
              </w:rPr>
              <w:t>(%)</w:t>
              <w:tab/>
            </w:r>
            <w:r>
              <w:rPr>
                <w:rFonts w:ascii="Arial"/>
                <w:sz w:val="20"/>
              </w:rPr>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55" w:right="0"/>
              <w:jc w:val="left"/>
              <w:rPr>
                <w:rFonts w:ascii="宋体" w:hAnsi="宋体" w:cs="宋体" w:eastAsia="宋体" w:hint="default"/>
                <w:sz w:val="20"/>
                <w:szCs w:val="20"/>
              </w:rPr>
            </w:pPr>
            <w:r>
              <w:rPr>
                <w:rFonts w:ascii="宋体" w:hAnsi="宋体" w:cs="宋体" w:eastAsia="宋体" w:hint="default"/>
                <w:sz w:val="20"/>
                <w:szCs w:val="20"/>
              </w:rPr>
              <w:t>表决权比例</w:t>
            </w:r>
          </w:p>
          <w:p>
            <w:pPr>
              <w:pStyle w:val="TableParagraph"/>
              <w:spacing w:line="240" w:lineRule="auto" w:before="29"/>
              <w:ind w:left="741" w:right="0"/>
              <w:jc w:val="left"/>
              <w:rPr>
                <w:rFonts w:ascii="Arial" w:hAnsi="Arial" w:cs="Arial" w:eastAsia="Arial" w:hint="default"/>
                <w:sz w:val="20"/>
                <w:szCs w:val="20"/>
              </w:rPr>
            </w:pPr>
            <w:r>
              <w:rPr>
                <w:rFonts w:ascii="Arial"/>
                <w:w w:val="100"/>
                <w:sz w:val="20"/>
              </w:rPr>
            </w:r>
            <w:r>
              <w:rPr>
                <w:rFonts w:ascii="Arial"/>
                <w:sz w:val="20"/>
                <w:u w:val="single" w:color="000000"/>
              </w:rPr>
              <w:t>(%)</w:t>
            </w:r>
            <w:r>
              <w:rPr>
                <w:rFonts w:ascii="Arial"/>
                <w:sz w:val="20"/>
              </w:rPr>
            </w:r>
          </w:p>
        </w:tc>
        <w:tc>
          <w:tcPr>
            <w:tcW w:w="1315" w:type="dxa"/>
            <w:tcBorders>
              <w:top w:val="nil" w:sz="6" w:space="0" w:color="auto"/>
              <w:left w:val="nil" w:sz="6" w:space="0" w:color="auto"/>
              <w:bottom w:val="single" w:sz="6" w:space="0" w:color="000000"/>
              <w:right w:val="nil" w:sz="6" w:space="0" w:color="auto"/>
            </w:tcBorders>
          </w:tcPr>
          <w:p>
            <w:pPr>
              <w:pStyle w:val="TableParagraph"/>
              <w:spacing w:line="200" w:lineRule="exact"/>
              <w:ind w:left="67" w:right="0"/>
              <w:jc w:val="left"/>
              <w:rPr>
                <w:rFonts w:ascii="宋体" w:hAnsi="宋体" w:cs="宋体" w:eastAsia="宋体" w:hint="default"/>
                <w:sz w:val="20"/>
                <w:szCs w:val="20"/>
              </w:rPr>
            </w:pPr>
            <w:r>
              <w:rPr>
                <w:rFonts w:ascii="宋体" w:hAnsi="宋体" w:cs="宋体" w:eastAsia="宋体" w:hint="default"/>
                <w:sz w:val="20"/>
                <w:szCs w:val="20"/>
              </w:rPr>
              <w:t>持股比例与表</w:t>
            </w:r>
          </w:p>
          <w:p>
            <w:pPr>
              <w:pStyle w:val="TableParagraph"/>
              <w:spacing w:line="259" w:lineRule="exact"/>
              <w:ind w:left="67" w:right="0"/>
              <w:jc w:val="left"/>
              <w:rPr>
                <w:rFonts w:ascii="宋体" w:hAnsi="宋体" w:cs="宋体" w:eastAsia="宋体" w:hint="default"/>
                <w:sz w:val="20"/>
                <w:szCs w:val="20"/>
              </w:rPr>
            </w:pPr>
            <w:r>
              <w:rPr>
                <w:rFonts w:ascii="宋体" w:hAnsi="宋体" w:cs="宋体" w:eastAsia="宋体" w:hint="default"/>
                <w:sz w:val="20"/>
                <w:szCs w:val="20"/>
              </w:rPr>
              <w:t>决权比例不一</w:t>
            </w:r>
          </w:p>
          <w:p>
            <w:pPr>
              <w:pStyle w:val="TableParagraph"/>
              <w:spacing w:line="260" w:lineRule="exact"/>
              <w:ind w:left="465" w:right="0"/>
              <w:jc w:val="left"/>
              <w:rPr>
                <w:rFonts w:ascii="宋体" w:hAnsi="宋体" w:cs="宋体" w:eastAsia="宋体" w:hint="default"/>
                <w:sz w:val="20"/>
                <w:szCs w:val="20"/>
              </w:rPr>
            </w:pPr>
            <w:r>
              <w:rPr>
                <w:rFonts w:ascii="宋体" w:hAnsi="宋体" w:cs="宋体" w:eastAsia="宋体" w:hint="default"/>
                <w:sz w:val="20"/>
                <w:szCs w:val="20"/>
              </w:rPr>
              <w:t>致的说明</w:t>
            </w:r>
          </w:p>
        </w:tc>
        <w:tc>
          <w:tcPr>
            <w:tcW w:w="986"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39"/>
              <w:jc w:val="right"/>
              <w:rPr>
                <w:rFonts w:ascii="宋体" w:hAnsi="宋体" w:cs="宋体" w:eastAsia="宋体" w:hint="default"/>
                <w:sz w:val="20"/>
                <w:szCs w:val="20"/>
              </w:rPr>
            </w:pPr>
            <w:r>
              <w:rPr>
                <w:rFonts w:ascii="宋体" w:hAnsi="宋体" w:cs="宋体" w:eastAsia="宋体" w:hint="default"/>
                <w:sz w:val="20"/>
                <w:szCs w:val="20"/>
              </w:rPr>
              <w:t>减值准备</w:t>
            </w:r>
          </w:p>
        </w:tc>
        <w:tc>
          <w:tcPr>
            <w:tcW w:w="1008" w:type="dxa"/>
            <w:tcBorders>
              <w:top w:val="nil" w:sz="6" w:space="0" w:color="auto"/>
              <w:left w:val="nil" w:sz="6" w:space="0" w:color="auto"/>
              <w:bottom w:val="single" w:sz="6" w:space="0" w:color="000000"/>
              <w:right w:val="nil" w:sz="6" w:space="0" w:color="auto"/>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60" w:lineRule="exact"/>
              <w:ind w:left="141" w:right="59"/>
              <w:jc w:val="left"/>
              <w:rPr>
                <w:rFonts w:ascii="宋体" w:hAnsi="宋体" w:cs="宋体" w:eastAsia="宋体" w:hint="default"/>
                <w:sz w:val="20"/>
                <w:szCs w:val="20"/>
              </w:rPr>
            </w:pPr>
            <w:r>
              <w:rPr>
                <w:rFonts w:ascii="宋体" w:hAnsi="宋体" w:cs="宋体" w:eastAsia="宋体" w:hint="default"/>
                <w:sz w:val="20"/>
                <w:szCs w:val="20"/>
              </w:rPr>
              <w:t>本年计提</w:t>
            </w:r>
            <w:r>
              <w:rPr>
                <w:rFonts w:ascii="宋体" w:hAnsi="宋体" w:cs="宋体" w:eastAsia="宋体" w:hint="default"/>
                <w:spacing w:val="-94"/>
                <w:sz w:val="20"/>
                <w:szCs w:val="20"/>
              </w:rPr>
              <w:t> </w:t>
            </w:r>
            <w:r>
              <w:rPr>
                <w:rFonts w:ascii="宋体" w:hAnsi="宋体" w:cs="宋体" w:eastAsia="宋体" w:hint="default"/>
                <w:sz w:val="20"/>
                <w:szCs w:val="20"/>
              </w:rPr>
              <w:t>减值准备</w:t>
            </w:r>
          </w:p>
        </w:tc>
        <w:tc>
          <w:tcPr>
            <w:tcW w:w="1471"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60" w:lineRule="exact"/>
              <w:ind w:left="59" w:right="0"/>
              <w:jc w:val="left"/>
              <w:rPr>
                <w:rFonts w:ascii="宋体" w:hAnsi="宋体" w:cs="宋体" w:eastAsia="宋体" w:hint="default"/>
                <w:sz w:val="20"/>
                <w:szCs w:val="20"/>
              </w:rPr>
            </w:pPr>
            <w:r>
              <w:rPr>
                <w:rFonts w:ascii="宋体" w:hAnsi="宋体" w:cs="宋体" w:eastAsia="宋体" w:hint="default"/>
                <w:spacing w:val="-1"/>
                <w:sz w:val="20"/>
                <w:szCs w:val="20"/>
              </w:rPr>
              <w:t>本年宣告分派的</w:t>
            </w:r>
          </w:p>
          <w:p>
            <w:pPr>
              <w:pStyle w:val="TableParagraph"/>
              <w:spacing w:line="260" w:lineRule="exact"/>
              <w:ind w:left="659" w:right="0"/>
              <w:jc w:val="left"/>
              <w:rPr>
                <w:rFonts w:ascii="宋体" w:hAnsi="宋体" w:cs="宋体" w:eastAsia="宋体" w:hint="default"/>
                <w:sz w:val="20"/>
                <w:szCs w:val="20"/>
              </w:rPr>
            </w:pPr>
            <w:r>
              <w:rPr>
                <w:rFonts w:ascii="宋体" w:hAnsi="宋体" w:cs="宋体" w:eastAsia="宋体" w:hint="default"/>
                <w:sz w:val="20"/>
                <w:szCs w:val="20"/>
              </w:rPr>
              <w:t>现金股利</w:t>
            </w:r>
          </w:p>
        </w:tc>
      </w:tr>
      <w:tr>
        <w:trPr>
          <w:trHeight w:val="523"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0" w:right="0"/>
              <w:jc w:val="left"/>
              <w:rPr>
                <w:rFonts w:ascii="宋体" w:hAnsi="宋体" w:cs="宋体" w:eastAsia="宋体" w:hint="default"/>
                <w:sz w:val="20"/>
                <w:szCs w:val="20"/>
              </w:rPr>
            </w:pPr>
            <w:r>
              <w:rPr>
                <w:rFonts w:ascii="宋体" w:hAnsi="宋体" w:cs="宋体" w:eastAsia="宋体" w:hint="default"/>
                <w:sz w:val="20"/>
                <w:szCs w:val="20"/>
              </w:rPr>
              <w:t>联通</w:t>
            </w:r>
            <w:r>
              <w:rPr>
                <w:rFonts w:ascii="宋体" w:hAnsi="宋体" w:cs="宋体" w:eastAsia="宋体" w:hint="default"/>
                <w:spacing w:val="-48"/>
                <w:sz w:val="20"/>
                <w:szCs w:val="20"/>
              </w:rPr>
              <w:t> </w:t>
            </w:r>
            <w:r>
              <w:rPr>
                <w:rFonts w:ascii="Arial" w:hAnsi="Arial" w:cs="Arial" w:eastAsia="Arial" w:hint="default"/>
                <w:sz w:val="20"/>
                <w:szCs w:val="20"/>
              </w:rPr>
              <w:t>BVI</w:t>
            </w:r>
            <w:r>
              <w:rPr>
                <w:rFonts w:ascii="Arial" w:hAnsi="Arial" w:cs="Arial" w:eastAsia="Arial" w:hint="default"/>
                <w:spacing w:val="-3"/>
                <w:sz w:val="20"/>
                <w:szCs w:val="20"/>
              </w:rPr>
              <w:t> </w:t>
            </w:r>
            <w:r>
              <w:rPr>
                <w:rFonts w:ascii="宋体" w:hAnsi="宋体" w:cs="宋体" w:eastAsia="宋体" w:hint="default"/>
                <w:sz w:val="20"/>
                <w:szCs w:val="20"/>
              </w:rPr>
              <w:t>公司</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31" w:right="0"/>
              <w:jc w:val="left"/>
              <w:rPr>
                <w:rFonts w:ascii="宋体" w:hAnsi="宋体" w:cs="宋体" w:eastAsia="宋体" w:hint="default"/>
                <w:sz w:val="20"/>
                <w:szCs w:val="20"/>
              </w:rPr>
            </w:pPr>
            <w:r>
              <w:rPr>
                <w:rFonts w:ascii="宋体" w:hAnsi="宋体" w:cs="宋体" w:eastAsia="宋体" w:hint="default"/>
                <w:sz w:val="20"/>
                <w:szCs w:val="20"/>
              </w:rPr>
              <w:t>成本法</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left="376" w:right="0"/>
              <w:jc w:val="left"/>
              <w:rPr>
                <w:rFonts w:ascii="Arial" w:hAnsi="Arial" w:cs="Arial" w:eastAsia="Arial" w:hint="default"/>
                <w:sz w:val="20"/>
                <w:szCs w:val="20"/>
              </w:rPr>
            </w:pPr>
            <w:r>
              <w:rPr>
                <w:rFonts w:ascii="Arial"/>
                <w:sz w:val="20"/>
              </w:rPr>
              <w:t>82.10</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left="554" w:right="0"/>
              <w:jc w:val="left"/>
              <w:rPr>
                <w:rFonts w:ascii="Arial" w:hAnsi="Arial" w:cs="Arial" w:eastAsia="Arial" w:hint="default"/>
                <w:sz w:val="20"/>
                <w:szCs w:val="20"/>
              </w:rPr>
            </w:pPr>
            <w:r>
              <w:rPr>
                <w:rFonts w:ascii="Arial"/>
                <w:sz w:val="20"/>
              </w:rPr>
              <w:t>82.10</w:t>
            </w:r>
          </w:p>
        </w:tc>
        <w:tc>
          <w:tcPr>
            <w:tcW w:w="1315" w:type="dxa"/>
            <w:tcBorders>
              <w:top w:val="single" w:sz="6"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667" w:right="0"/>
              <w:jc w:val="left"/>
              <w:rPr>
                <w:rFonts w:ascii="宋体" w:hAnsi="宋体" w:cs="宋体" w:eastAsia="宋体" w:hint="default"/>
                <w:sz w:val="20"/>
                <w:szCs w:val="20"/>
              </w:rPr>
            </w:pPr>
            <w:r>
              <w:rPr>
                <w:rFonts w:ascii="宋体" w:hAnsi="宋体" w:cs="宋体" w:eastAsia="宋体" w:hint="default"/>
                <w:sz w:val="20"/>
                <w:szCs w:val="20"/>
              </w:rPr>
              <w:t>不适用</w:t>
            </w:r>
          </w:p>
        </w:tc>
        <w:tc>
          <w:tcPr>
            <w:tcW w:w="986" w:type="dxa"/>
            <w:tcBorders>
              <w:top w:val="single" w:sz="6" w:space="0" w:color="000000"/>
              <w:left w:val="nil" w:sz="6" w:space="0" w:color="auto"/>
              <w:bottom w:val="single" w:sz="17" w:space="0" w:color="000000"/>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82"/>
              <w:jc w:val="right"/>
              <w:rPr>
                <w:rFonts w:ascii="Arial" w:hAnsi="Arial" w:cs="Arial" w:eastAsia="Arial" w:hint="default"/>
                <w:sz w:val="20"/>
                <w:szCs w:val="20"/>
              </w:rPr>
            </w:pPr>
            <w:r>
              <w:rPr>
                <w:rFonts w:ascii="Arial"/>
                <w:w w:val="100"/>
                <w:sz w:val="20"/>
              </w:rPr>
              <w:t>-</w:t>
            </w:r>
          </w:p>
        </w:tc>
        <w:tc>
          <w:tcPr>
            <w:tcW w:w="1008" w:type="dxa"/>
            <w:tcBorders>
              <w:top w:val="single" w:sz="6" w:space="0" w:color="000000"/>
              <w:left w:val="nil" w:sz="6" w:space="0" w:color="auto"/>
              <w:bottom w:val="single" w:sz="17" w:space="0" w:color="000000"/>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Arial" w:hAnsi="Arial" w:cs="Arial" w:eastAsia="Arial" w:hint="default"/>
                <w:sz w:val="20"/>
                <w:szCs w:val="20"/>
              </w:rPr>
            </w:pPr>
            <w:r>
              <w:rPr>
                <w:rFonts w:ascii="Arial"/>
                <w:w w:val="100"/>
                <w:sz w:val="20"/>
              </w:rPr>
              <w:t>-</w:t>
            </w:r>
          </w:p>
        </w:tc>
        <w:tc>
          <w:tcPr>
            <w:tcW w:w="1471" w:type="dxa"/>
            <w:tcBorders>
              <w:top w:val="single" w:sz="6" w:space="0" w:color="000000"/>
              <w:left w:val="nil" w:sz="6" w:space="0" w:color="auto"/>
              <w:bottom w:val="single" w:sz="17" w:space="0" w:color="000000"/>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136" w:right="0"/>
              <w:jc w:val="left"/>
              <w:rPr>
                <w:rFonts w:ascii="Arial" w:hAnsi="Arial" w:cs="Arial" w:eastAsia="Arial" w:hint="default"/>
                <w:sz w:val="20"/>
                <w:szCs w:val="20"/>
              </w:rPr>
            </w:pPr>
            <w:r>
              <w:rPr>
                <w:rFonts w:ascii="Arial"/>
                <w:sz w:val="20"/>
              </w:rPr>
              <w:t>2,194,389,800</w:t>
            </w:r>
          </w:p>
        </w:tc>
      </w:tr>
    </w:tbl>
    <w:p>
      <w:pPr>
        <w:spacing w:after="0" w:line="240" w:lineRule="auto"/>
        <w:jc w:val="left"/>
        <w:rPr>
          <w:rFonts w:ascii="Arial" w:hAnsi="Arial" w:cs="Arial" w:eastAsia="Arial" w:hint="default"/>
          <w:sz w:val="20"/>
          <w:szCs w:val="20"/>
        </w:rPr>
        <w:sectPr>
          <w:headerReference w:type="default" r:id="rId234"/>
          <w:pgSz w:w="11910" w:h="16840"/>
          <w:pgMar w:header="1183" w:footer="502" w:top="2500" w:bottom="700" w:left="1020" w:right="1000"/>
        </w:sectPr>
      </w:pPr>
    </w:p>
    <w:p>
      <w:pPr>
        <w:spacing w:line="240" w:lineRule="auto" w:before="7"/>
        <w:rPr>
          <w:rFonts w:ascii="宋体" w:hAnsi="宋体" w:cs="宋体" w:eastAsia="宋体" w:hint="default"/>
          <w:sz w:val="16"/>
          <w:szCs w:val="16"/>
        </w:rPr>
      </w:pPr>
    </w:p>
    <w:p>
      <w:pPr>
        <w:pStyle w:val="BodyText"/>
        <w:tabs>
          <w:tab w:pos="679" w:val="left" w:leader="none"/>
        </w:tabs>
        <w:spacing w:line="240" w:lineRule="auto" w:before="32"/>
        <w:ind w:left="113" w:right="0"/>
        <w:jc w:val="left"/>
      </w:pPr>
      <w:r>
        <w:rPr>
          <w:rFonts w:ascii="Arial" w:hAnsi="Arial" w:cs="Arial" w:eastAsia="Arial" w:hint="default"/>
        </w:rPr>
        <w:t>3</w:t>
      </w:r>
      <w:r>
        <w:rPr/>
        <w:t>、</w:t>
        <w:tab/>
        <w:t>长期股权投资（续）</w:t>
      </w:r>
    </w:p>
    <w:p>
      <w:pPr>
        <w:spacing w:line="240" w:lineRule="auto" w:before="11"/>
        <w:rPr>
          <w:rFonts w:ascii="宋体" w:hAnsi="宋体" w:cs="宋体" w:eastAsia="宋体" w:hint="default"/>
          <w:sz w:val="17"/>
          <w:szCs w:val="17"/>
        </w:rPr>
      </w:pPr>
    </w:p>
    <w:p>
      <w:pPr>
        <w:pStyle w:val="BodyText"/>
        <w:tabs>
          <w:tab w:pos="679" w:val="left" w:leader="none"/>
        </w:tabs>
        <w:spacing w:line="240" w:lineRule="auto"/>
        <w:ind w:left="113" w:right="0"/>
        <w:jc w:val="left"/>
      </w:pPr>
      <w:r>
        <w:rPr>
          <w:rFonts w:ascii="Arial" w:hAnsi="Arial" w:cs="Arial" w:eastAsia="Arial" w:hint="default"/>
        </w:rPr>
        <w:t>(b)</w:t>
        <w:tab/>
      </w:r>
      <w:r>
        <w:rPr/>
        <w:t>联通运营公司及国际公司</w:t>
      </w:r>
    </w:p>
    <w:p>
      <w:pPr>
        <w:spacing w:line="240" w:lineRule="auto" w:before="7"/>
        <w:rPr>
          <w:rFonts w:ascii="宋体" w:hAnsi="宋体" w:cs="宋体" w:eastAsia="宋体" w:hint="default"/>
          <w:sz w:val="20"/>
          <w:szCs w:val="20"/>
        </w:rPr>
      </w:pPr>
    </w:p>
    <w:p>
      <w:pPr>
        <w:pStyle w:val="BodyText"/>
        <w:spacing w:line="284" w:lineRule="exact"/>
        <w:ind w:left="679" w:right="459"/>
        <w:jc w:val="both"/>
      </w:pPr>
      <w:r>
        <w:rPr/>
        <w:t>如附注十二所述，本公司于</w:t>
      </w:r>
      <w:r>
        <w:rPr>
          <w:spacing w:val="-75"/>
        </w:rPr>
        <w:t> </w:t>
      </w:r>
      <w:r>
        <w:rPr>
          <w:rFonts w:ascii="Arial" w:hAnsi="Arial" w:cs="Arial" w:eastAsia="Arial" w:hint="default"/>
        </w:rPr>
        <w:t>2018</w:t>
      </w:r>
      <w:r>
        <w:rPr>
          <w:rFonts w:ascii="Arial" w:hAnsi="Arial" w:cs="Arial" w:eastAsia="Arial" w:hint="default"/>
          <w:spacing w:val="-21"/>
        </w:rPr>
        <w:t> </w:t>
      </w:r>
      <w:r>
        <w:rPr/>
        <w:t>年实施限制性股票激励计划，本公司为结算企业，联通运营</w:t>
      </w:r>
      <w:r>
        <w:rPr>
          <w:w w:val="100"/>
        </w:rPr>
        <w:t> </w:t>
      </w:r>
      <w:r>
        <w:rPr>
          <w:spacing w:val="-4"/>
        </w:rPr>
        <w:t>公司及国际公司为接受服务企业。因此，本公司按照授予日权益工具的公允价值确认为对联通</w:t>
      </w:r>
      <w:r>
        <w:rPr>
          <w:spacing w:val="-40"/>
        </w:rPr>
        <w:t> </w:t>
      </w:r>
      <w:r>
        <w:rPr>
          <w:spacing w:val="-40"/>
        </w:rPr>
      </w:r>
      <w:r>
        <w:rPr/>
        <w:t>运营公司及国际公司的长期股权投资，同时确认资本公积。</w:t>
      </w:r>
    </w:p>
    <w:p>
      <w:pPr>
        <w:spacing w:line="240" w:lineRule="auto" w:before="6"/>
        <w:rPr>
          <w:rFonts w:ascii="宋体" w:hAnsi="宋体" w:cs="宋体" w:eastAsia="宋体" w:hint="default"/>
          <w:sz w:val="17"/>
          <w:szCs w:val="17"/>
        </w:rPr>
      </w:pPr>
    </w:p>
    <w:p>
      <w:pPr>
        <w:pStyle w:val="BodyText"/>
        <w:tabs>
          <w:tab w:pos="679" w:val="left" w:leader="none"/>
        </w:tabs>
        <w:spacing w:line="240" w:lineRule="auto"/>
        <w:ind w:left="113" w:right="0"/>
        <w:jc w:val="left"/>
      </w:pPr>
      <w:r>
        <w:rPr>
          <w:rFonts w:ascii="Arial" w:hAnsi="Arial" w:cs="Arial" w:eastAsia="Arial" w:hint="default"/>
        </w:rPr>
        <w:t>4</w:t>
      </w:r>
      <w:r>
        <w:rPr/>
        <w:t>、</w:t>
        <w:tab/>
        <w:t>其他非流动资产</w:t>
      </w:r>
    </w:p>
    <w:p>
      <w:pPr>
        <w:spacing w:line="240" w:lineRule="auto" w:before="1"/>
        <w:rPr>
          <w:rFonts w:ascii="宋体" w:hAnsi="宋体" w:cs="宋体" w:eastAsia="宋体" w:hint="default"/>
          <w:sz w:val="23"/>
          <w:szCs w:val="23"/>
        </w:rPr>
      </w:pPr>
    </w:p>
    <w:tbl>
      <w:tblPr>
        <w:tblW w:w="0" w:type="auto"/>
        <w:jc w:val="left"/>
        <w:tblInd w:w="474" w:type="dxa"/>
        <w:tblLayout w:type="fixed"/>
        <w:tblCellMar>
          <w:top w:w="0" w:type="dxa"/>
          <w:left w:w="0" w:type="dxa"/>
          <w:bottom w:w="0" w:type="dxa"/>
          <w:right w:w="0" w:type="dxa"/>
        </w:tblCellMar>
        <w:tblLook w:val="01E0"/>
      </w:tblPr>
      <w:tblGrid>
        <w:gridCol w:w="2545"/>
        <w:gridCol w:w="1855"/>
        <w:gridCol w:w="2309"/>
        <w:gridCol w:w="62"/>
        <w:gridCol w:w="110"/>
        <w:gridCol w:w="2174"/>
      </w:tblGrid>
      <w:tr>
        <w:trPr>
          <w:trHeight w:val="259" w:hRule="exact"/>
        </w:trPr>
        <w:tc>
          <w:tcPr>
            <w:tcW w:w="2545" w:type="dxa"/>
            <w:tcBorders>
              <w:top w:val="nil" w:sz="6" w:space="0" w:color="auto"/>
              <w:left w:val="nil" w:sz="6" w:space="0" w:color="auto"/>
              <w:bottom w:val="nil" w:sz="6" w:space="0" w:color="auto"/>
              <w:right w:val="nil" w:sz="6" w:space="0" w:color="auto"/>
            </w:tcBorders>
          </w:tcPr>
          <w:p>
            <w:pPr>
              <w:pStyle w:val="TableParagraph"/>
              <w:spacing w:line="221" w:lineRule="exact"/>
              <w:ind w:left="200" w:right="0"/>
              <w:jc w:val="left"/>
              <w:rPr>
                <w:rFonts w:ascii="宋体" w:hAnsi="宋体" w:cs="宋体" w:eastAsia="宋体" w:hint="default"/>
                <w:sz w:val="22"/>
                <w:szCs w:val="22"/>
              </w:rPr>
            </w:pPr>
            <w:r>
              <w:rPr>
                <w:rFonts w:ascii="宋体"/>
                <w:w w:val="100"/>
                <w:sz w:val="22"/>
              </w:rPr>
              <w:t> </w:t>
            </w:r>
          </w:p>
        </w:tc>
        <w:tc>
          <w:tcPr>
            <w:tcW w:w="1855" w:type="dxa"/>
            <w:tcBorders>
              <w:top w:val="nil" w:sz="6" w:space="0" w:color="auto"/>
              <w:left w:val="nil" w:sz="6" w:space="0" w:color="auto"/>
              <w:bottom w:val="nil" w:sz="6" w:space="0" w:color="auto"/>
              <w:right w:val="nil" w:sz="6" w:space="0" w:color="auto"/>
            </w:tcBorders>
          </w:tcPr>
          <w:p>
            <w:pPr>
              <w:pStyle w:val="TableParagraph"/>
              <w:spacing w:line="221" w:lineRule="exact"/>
              <w:ind w:right="295"/>
              <w:jc w:val="right"/>
              <w:rPr>
                <w:rFonts w:ascii="宋体" w:hAnsi="宋体" w:cs="宋体" w:eastAsia="宋体" w:hint="default"/>
                <w:sz w:val="22"/>
                <w:szCs w:val="22"/>
              </w:rPr>
            </w:pPr>
            <w:r>
              <w:rPr>
                <w:rFonts w:ascii="宋体"/>
                <w:w w:val="100"/>
                <w:sz w:val="22"/>
              </w:rPr>
              <w:t> </w:t>
            </w:r>
          </w:p>
        </w:tc>
        <w:tc>
          <w:tcPr>
            <w:tcW w:w="2309" w:type="dxa"/>
            <w:tcBorders>
              <w:top w:val="nil" w:sz="6" w:space="0" w:color="auto"/>
              <w:left w:val="nil" w:sz="6" w:space="0" w:color="auto"/>
              <w:bottom w:val="single" w:sz="6" w:space="0" w:color="000000"/>
              <w:right w:val="nil" w:sz="6" w:space="0" w:color="auto"/>
            </w:tcBorders>
          </w:tcPr>
          <w:p>
            <w:pPr>
              <w:pStyle w:val="TableParagraph"/>
              <w:spacing w:line="236" w:lineRule="exact"/>
              <w:ind w:right="50"/>
              <w:jc w:val="righ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c>
          <w:tcPr>
            <w:tcW w:w="2347" w:type="dxa"/>
            <w:gridSpan w:val="3"/>
            <w:tcBorders>
              <w:top w:val="nil" w:sz="6" w:space="0" w:color="auto"/>
              <w:left w:val="nil" w:sz="6" w:space="0" w:color="auto"/>
              <w:bottom w:val="single" w:sz="6" w:space="0" w:color="000000"/>
              <w:right w:val="nil" w:sz="6" w:space="0" w:color="auto"/>
            </w:tcBorders>
          </w:tcPr>
          <w:p>
            <w:pPr>
              <w:pStyle w:val="TableParagraph"/>
              <w:spacing w:line="236" w:lineRule="exact"/>
              <w:ind w:left="427"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z w:val="22"/>
                <w:szCs w:val="22"/>
              </w:rPr>
              <w:t>日</w:t>
            </w:r>
          </w:p>
        </w:tc>
      </w:tr>
      <w:tr>
        <w:trPr>
          <w:trHeight w:val="293" w:hRule="exact"/>
        </w:trPr>
        <w:tc>
          <w:tcPr>
            <w:tcW w:w="2545" w:type="dxa"/>
            <w:tcBorders>
              <w:top w:val="nil" w:sz="6" w:space="0" w:color="auto"/>
              <w:left w:val="nil" w:sz="6" w:space="0" w:color="auto"/>
              <w:bottom w:val="nil" w:sz="6" w:space="0" w:color="auto"/>
              <w:right w:val="nil" w:sz="6" w:space="0" w:color="auto"/>
            </w:tcBorders>
          </w:tcPr>
          <w:p>
            <w:pPr>
              <w:pStyle w:val="TableParagraph"/>
              <w:spacing w:line="259" w:lineRule="exact"/>
              <w:ind w:left="200" w:right="0"/>
              <w:jc w:val="left"/>
              <w:rPr>
                <w:rFonts w:ascii="宋体" w:hAnsi="宋体" w:cs="宋体" w:eastAsia="宋体" w:hint="default"/>
                <w:sz w:val="22"/>
                <w:szCs w:val="22"/>
              </w:rPr>
            </w:pPr>
            <w:r>
              <w:rPr>
                <w:rFonts w:ascii="宋体"/>
                <w:w w:val="100"/>
                <w:sz w:val="22"/>
              </w:rPr>
              <w:t> </w:t>
            </w:r>
          </w:p>
        </w:tc>
        <w:tc>
          <w:tcPr>
            <w:tcW w:w="1855" w:type="dxa"/>
            <w:tcBorders>
              <w:top w:val="nil" w:sz="6" w:space="0" w:color="auto"/>
              <w:left w:val="nil" w:sz="6" w:space="0" w:color="auto"/>
              <w:bottom w:val="nil" w:sz="6" w:space="0" w:color="auto"/>
              <w:right w:val="nil" w:sz="6" w:space="0" w:color="auto"/>
            </w:tcBorders>
          </w:tcPr>
          <w:p>
            <w:pPr>
              <w:pStyle w:val="TableParagraph"/>
              <w:spacing w:line="259" w:lineRule="exact"/>
              <w:ind w:right="295"/>
              <w:jc w:val="right"/>
              <w:rPr>
                <w:rFonts w:ascii="宋体" w:hAnsi="宋体" w:cs="宋体" w:eastAsia="宋体" w:hint="default"/>
                <w:sz w:val="22"/>
                <w:szCs w:val="22"/>
              </w:rPr>
            </w:pPr>
            <w:r>
              <w:rPr>
                <w:rFonts w:ascii="宋体"/>
                <w:w w:val="100"/>
                <w:sz w:val="22"/>
              </w:rPr>
              <w:t> </w:t>
            </w:r>
          </w:p>
        </w:tc>
        <w:tc>
          <w:tcPr>
            <w:tcW w:w="2309" w:type="dxa"/>
            <w:tcBorders>
              <w:top w:val="single" w:sz="6" w:space="0" w:color="000000"/>
              <w:left w:val="nil" w:sz="6" w:space="0" w:color="auto"/>
              <w:bottom w:val="nil" w:sz="6" w:space="0" w:color="auto"/>
              <w:right w:val="nil" w:sz="6" w:space="0" w:color="auto"/>
            </w:tcBorders>
          </w:tcPr>
          <w:p>
            <w:pPr>
              <w:pStyle w:val="TableParagraph"/>
              <w:spacing w:line="252" w:lineRule="exact"/>
              <w:ind w:left="105" w:right="0"/>
              <w:jc w:val="center"/>
              <w:rPr>
                <w:rFonts w:ascii="宋体" w:hAnsi="宋体" w:cs="宋体" w:eastAsia="宋体" w:hint="default"/>
                <w:sz w:val="22"/>
                <w:szCs w:val="22"/>
              </w:rPr>
            </w:pPr>
            <w:r>
              <w:rPr>
                <w:rFonts w:ascii="宋体"/>
                <w:w w:val="100"/>
                <w:sz w:val="22"/>
              </w:rPr>
              <w:t> </w:t>
            </w:r>
          </w:p>
        </w:tc>
        <w:tc>
          <w:tcPr>
            <w:tcW w:w="62" w:type="dxa"/>
            <w:tcBorders>
              <w:top w:val="nil" w:sz="6" w:space="0" w:color="auto"/>
              <w:left w:val="nil" w:sz="6" w:space="0" w:color="auto"/>
              <w:bottom w:val="nil" w:sz="6" w:space="0" w:color="auto"/>
              <w:right w:val="nil" w:sz="6" w:space="0" w:color="auto"/>
            </w:tcBorders>
          </w:tcPr>
          <w:p>
            <w:pPr/>
          </w:p>
        </w:tc>
        <w:tc>
          <w:tcPr>
            <w:tcW w:w="110" w:type="dxa"/>
            <w:tcBorders>
              <w:top w:val="single" w:sz="6" w:space="0" w:color="000000"/>
              <w:left w:val="nil" w:sz="6" w:space="0" w:color="auto"/>
              <w:bottom w:val="nil" w:sz="6" w:space="0" w:color="auto"/>
              <w:right w:val="nil" w:sz="6" w:space="0" w:color="auto"/>
            </w:tcBorders>
          </w:tcPr>
          <w:p>
            <w:pPr>
              <w:pStyle w:val="TableParagraph"/>
              <w:spacing w:line="252" w:lineRule="exact"/>
              <w:ind w:right="0"/>
              <w:jc w:val="center"/>
              <w:rPr>
                <w:rFonts w:ascii="宋体" w:hAnsi="宋体" w:cs="宋体" w:eastAsia="宋体" w:hint="default"/>
                <w:sz w:val="22"/>
                <w:szCs w:val="22"/>
              </w:rPr>
            </w:pPr>
            <w:r>
              <w:rPr>
                <w:rFonts w:ascii="宋体"/>
                <w:w w:val="100"/>
                <w:sz w:val="22"/>
              </w:rPr>
              <w:t> </w:t>
            </w:r>
          </w:p>
        </w:tc>
        <w:tc>
          <w:tcPr>
            <w:tcW w:w="2174" w:type="dxa"/>
            <w:tcBorders>
              <w:top w:val="single" w:sz="6" w:space="0" w:color="000000"/>
              <w:left w:val="nil" w:sz="6" w:space="0" w:color="auto"/>
              <w:bottom w:val="nil" w:sz="6" w:space="0" w:color="auto"/>
              <w:right w:val="nil" w:sz="6" w:space="0" w:color="auto"/>
            </w:tcBorders>
          </w:tcPr>
          <w:p>
            <w:pPr/>
          </w:p>
        </w:tc>
      </w:tr>
      <w:tr>
        <w:trPr>
          <w:trHeight w:val="312" w:hRule="exact"/>
        </w:trPr>
        <w:tc>
          <w:tcPr>
            <w:tcW w:w="2545" w:type="dxa"/>
            <w:tcBorders>
              <w:top w:val="nil" w:sz="6" w:space="0" w:color="auto"/>
              <w:left w:val="nil" w:sz="6" w:space="0" w:color="auto"/>
              <w:bottom w:val="nil" w:sz="6" w:space="0" w:color="auto"/>
              <w:right w:val="nil" w:sz="6" w:space="0" w:color="auto"/>
            </w:tcBorders>
          </w:tcPr>
          <w:p>
            <w:pPr>
              <w:pStyle w:val="TableParagraph"/>
              <w:spacing w:line="254" w:lineRule="exact"/>
              <w:ind w:left="214" w:right="0"/>
              <w:jc w:val="left"/>
              <w:rPr>
                <w:rFonts w:ascii="宋体" w:hAnsi="宋体" w:cs="宋体" w:eastAsia="宋体" w:hint="default"/>
                <w:sz w:val="22"/>
                <w:szCs w:val="22"/>
              </w:rPr>
            </w:pPr>
            <w:r>
              <w:rPr>
                <w:rFonts w:ascii="宋体" w:hAnsi="宋体" w:cs="宋体" w:eastAsia="宋体" w:hint="default"/>
                <w:sz w:val="22"/>
                <w:szCs w:val="22"/>
              </w:rPr>
              <w:t>委托贷款</w:t>
            </w:r>
          </w:p>
        </w:tc>
        <w:tc>
          <w:tcPr>
            <w:tcW w:w="1855" w:type="dxa"/>
            <w:tcBorders>
              <w:top w:val="nil" w:sz="6" w:space="0" w:color="auto"/>
              <w:left w:val="nil" w:sz="6" w:space="0" w:color="auto"/>
              <w:bottom w:val="nil" w:sz="6" w:space="0" w:color="auto"/>
              <w:right w:val="nil" w:sz="6" w:space="0" w:color="auto"/>
            </w:tcBorders>
          </w:tcPr>
          <w:p>
            <w:pPr>
              <w:pStyle w:val="TableParagraph"/>
              <w:spacing w:line="254" w:lineRule="exact"/>
              <w:ind w:right="295"/>
              <w:jc w:val="right"/>
              <w:rPr>
                <w:rFonts w:ascii="宋体" w:hAnsi="宋体" w:cs="宋体" w:eastAsia="宋体" w:hint="default"/>
                <w:sz w:val="22"/>
                <w:szCs w:val="22"/>
              </w:rPr>
            </w:pPr>
            <w:r>
              <w:rPr>
                <w:rFonts w:ascii="宋体"/>
                <w:w w:val="100"/>
                <w:sz w:val="22"/>
              </w:rPr>
              <w:t> </w:t>
            </w:r>
          </w:p>
        </w:tc>
        <w:tc>
          <w:tcPr>
            <w:tcW w:w="2309"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right="48"/>
              <w:jc w:val="right"/>
              <w:rPr>
                <w:rFonts w:ascii="Arial" w:hAnsi="Arial" w:cs="Arial" w:eastAsia="Arial" w:hint="default"/>
                <w:sz w:val="22"/>
                <w:szCs w:val="22"/>
              </w:rPr>
            </w:pPr>
            <w:r>
              <w:rPr>
                <w:rFonts w:ascii="Arial"/>
                <w:spacing w:val="-1"/>
                <w:sz w:val="22"/>
              </w:rPr>
              <w:t>3,042,122,315</w:t>
            </w:r>
          </w:p>
        </w:tc>
        <w:tc>
          <w:tcPr>
            <w:tcW w:w="62" w:type="dxa"/>
            <w:tcBorders>
              <w:top w:val="nil" w:sz="6" w:space="0" w:color="auto"/>
              <w:left w:val="nil" w:sz="6" w:space="0" w:color="auto"/>
              <w:bottom w:val="nil" w:sz="6" w:space="0" w:color="auto"/>
              <w:right w:val="nil" w:sz="6" w:space="0" w:color="auto"/>
            </w:tcBorders>
          </w:tcPr>
          <w:p>
            <w:pPr/>
          </w:p>
        </w:tc>
        <w:tc>
          <w:tcPr>
            <w:tcW w:w="110" w:type="dxa"/>
            <w:tcBorders>
              <w:top w:val="nil" w:sz="6" w:space="0" w:color="auto"/>
              <w:left w:val="nil" w:sz="6" w:space="0" w:color="auto"/>
              <w:bottom w:val="single" w:sz="17" w:space="0" w:color="000000"/>
              <w:right w:val="nil" w:sz="6" w:space="0" w:color="auto"/>
            </w:tcBorders>
          </w:tcPr>
          <w:p>
            <w:pPr>
              <w:pStyle w:val="TableParagraph"/>
              <w:spacing w:line="254" w:lineRule="exact"/>
              <w:ind w:right="0"/>
              <w:jc w:val="center"/>
              <w:rPr>
                <w:rFonts w:ascii="宋体" w:hAnsi="宋体" w:cs="宋体" w:eastAsia="宋体" w:hint="default"/>
                <w:sz w:val="22"/>
                <w:szCs w:val="22"/>
              </w:rPr>
            </w:pPr>
            <w:r>
              <w:rPr>
                <w:rFonts w:ascii="宋体"/>
                <w:w w:val="100"/>
                <w:sz w:val="22"/>
              </w:rPr>
              <w:t> </w:t>
            </w:r>
          </w:p>
        </w:tc>
        <w:tc>
          <w:tcPr>
            <w:tcW w:w="2174"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left="758" w:right="0"/>
              <w:jc w:val="left"/>
              <w:rPr>
                <w:rFonts w:ascii="Arial" w:hAnsi="Arial" w:cs="Arial" w:eastAsia="Arial" w:hint="default"/>
                <w:sz w:val="22"/>
                <w:szCs w:val="22"/>
              </w:rPr>
            </w:pPr>
            <w:r>
              <w:rPr>
                <w:rFonts w:ascii="Arial"/>
                <w:sz w:val="22"/>
              </w:rPr>
              <w:t>3,042,122,315</w:t>
            </w:r>
          </w:p>
        </w:tc>
      </w:tr>
    </w:tbl>
    <w:p>
      <w:pPr>
        <w:spacing w:line="240" w:lineRule="auto" w:before="10"/>
        <w:rPr>
          <w:rFonts w:ascii="宋体" w:hAnsi="宋体" w:cs="宋体" w:eastAsia="宋体" w:hint="default"/>
          <w:sz w:val="13"/>
          <w:szCs w:val="13"/>
        </w:rPr>
      </w:pPr>
    </w:p>
    <w:p>
      <w:pPr>
        <w:pStyle w:val="BodyText"/>
        <w:spacing w:line="296" w:lineRule="exact" w:before="32"/>
        <w:ind w:left="679" w:right="0"/>
        <w:jc w:val="left"/>
      </w:pPr>
      <w:r>
        <w:rPr>
          <w:rFonts w:ascii="Arial" w:hAnsi="Arial" w:cs="Arial" w:eastAsia="Arial" w:hint="default"/>
        </w:rPr>
        <w:t>2018 </w:t>
      </w:r>
      <w:r>
        <w:rPr/>
        <w:t>年 </w:t>
      </w:r>
      <w:r>
        <w:rPr>
          <w:rFonts w:ascii="Arial" w:hAnsi="Arial" w:cs="Arial" w:eastAsia="Arial" w:hint="default"/>
        </w:rPr>
        <w:t>12</w:t>
      </w:r>
      <w:r>
        <w:rPr>
          <w:rFonts w:ascii="Arial" w:hAnsi="Arial" w:cs="Arial" w:eastAsia="Arial" w:hint="default"/>
          <w:spacing w:val="-24"/>
        </w:rPr>
        <w:t> </w:t>
      </w:r>
      <w:r>
        <w:rPr>
          <w:spacing w:val="-4"/>
        </w:rPr>
        <w:t>月，本公司通过财务公司与联通运营公司签订了委托贷款合同，贷款额度为人民币</w:t>
      </w:r>
    </w:p>
    <w:p>
      <w:pPr>
        <w:pStyle w:val="BodyText"/>
        <w:spacing w:line="286" w:lineRule="exact"/>
        <w:ind w:left="679" w:right="0"/>
        <w:jc w:val="left"/>
      </w:pPr>
      <w:r>
        <w:rPr>
          <w:rFonts w:ascii="Arial" w:hAnsi="Arial" w:cs="Arial" w:eastAsia="Arial" w:hint="default"/>
        </w:rPr>
        <w:t>35.00</w:t>
      </w:r>
      <w:r>
        <w:rPr>
          <w:rFonts w:ascii="Arial" w:hAnsi="Arial" w:cs="Arial" w:eastAsia="Arial" w:hint="default"/>
          <w:spacing w:val="3"/>
        </w:rPr>
        <w:t> </w:t>
      </w:r>
      <w:r>
        <w:rPr/>
        <w:t>亿元，借款期限为五年，借款利率为固定利率</w:t>
      </w:r>
      <w:r>
        <w:rPr>
          <w:spacing w:val="-48"/>
        </w:rPr>
        <w:t> </w:t>
      </w:r>
      <w:r>
        <w:rPr>
          <w:rFonts w:ascii="Arial" w:hAnsi="Arial" w:cs="Arial" w:eastAsia="Arial" w:hint="default"/>
        </w:rPr>
        <w:t>4.275%</w:t>
      </w:r>
      <w:r>
        <w:rPr/>
        <w:t>。于</w:t>
      </w:r>
      <w:r>
        <w:rPr>
          <w:spacing w:val="-48"/>
        </w:rPr>
        <w:t> </w:t>
      </w:r>
      <w:r>
        <w:rPr>
          <w:rFonts w:ascii="Arial" w:hAnsi="Arial" w:cs="Arial" w:eastAsia="Arial" w:hint="default"/>
        </w:rPr>
        <w:t>2019</w:t>
      </w:r>
      <w:r>
        <w:rPr>
          <w:rFonts w:ascii="Arial" w:hAnsi="Arial" w:cs="Arial" w:eastAsia="Arial" w:hint="default"/>
          <w:spacing w:val="3"/>
        </w:rPr>
        <w:t> </w:t>
      </w:r>
      <w:r>
        <w:rPr/>
        <w:t>年</w:t>
      </w:r>
      <w:r>
        <w:rPr>
          <w:spacing w:val="-53"/>
        </w:rPr>
        <w:t> </w:t>
      </w:r>
      <w:r>
        <w:rPr>
          <w:rFonts w:ascii="Arial" w:hAnsi="Arial" w:cs="Arial" w:eastAsia="Arial" w:hint="default"/>
        </w:rPr>
        <w:t>12</w:t>
      </w:r>
      <w:r>
        <w:rPr>
          <w:rFonts w:ascii="Arial" w:hAnsi="Arial" w:cs="Arial" w:eastAsia="Arial" w:hint="default"/>
          <w:spacing w:val="3"/>
        </w:rPr>
        <w:t> </w:t>
      </w:r>
      <w:r>
        <w:rPr/>
        <w:t>月</w:t>
      </w:r>
      <w:r>
        <w:rPr>
          <w:spacing w:val="-53"/>
        </w:rPr>
        <w:t> </w:t>
      </w:r>
      <w:r>
        <w:rPr>
          <w:rFonts w:ascii="Arial" w:hAnsi="Arial" w:cs="Arial" w:eastAsia="Arial" w:hint="default"/>
        </w:rPr>
        <w:t>31</w:t>
      </w:r>
      <w:r>
        <w:rPr>
          <w:rFonts w:ascii="Arial" w:hAnsi="Arial" w:cs="Arial" w:eastAsia="Arial" w:hint="default"/>
          <w:spacing w:val="3"/>
        </w:rPr>
        <w:t> </w:t>
      </w:r>
      <w:r>
        <w:rPr/>
        <w:t>日，联通</w:t>
      </w:r>
    </w:p>
    <w:p>
      <w:pPr>
        <w:pStyle w:val="BodyText"/>
        <w:spacing w:line="293" w:lineRule="exact"/>
        <w:ind w:left="679" w:right="0"/>
        <w:jc w:val="left"/>
      </w:pPr>
      <w:r>
        <w:rPr/>
        <w:t>运营公司共借入委托贷款人民币</w:t>
      </w:r>
      <w:r>
        <w:rPr>
          <w:spacing w:val="-55"/>
        </w:rPr>
        <w:t> </w:t>
      </w:r>
      <w:r>
        <w:rPr>
          <w:rFonts w:ascii="Arial" w:hAnsi="Arial" w:cs="Arial" w:eastAsia="Arial" w:hint="default"/>
        </w:rPr>
        <w:t>30.42</w:t>
      </w:r>
      <w:r>
        <w:rPr>
          <w:rFonts w:ascii="Arial" w:hAnsi="Arial" w:cs="Arial" w:eastAsia="Arial" w:hint="default"/>
          <w:spacing w:val="-4"/>
        </w:rPr>
        <w:t> </w:t>
      </w:r>
      <w:r>
        <w:rPr/>
        <w:t>亿元。</w:t>
      </w:r>
    </w:p>
    <w:p>
      <w:pPr>
        <w:spacing w:line="240" w:lineRule="auto" w:before="11"/>
        <w:rPr>
          <w:rFonts w:ascii="宋体" w:hAnsi="宋体" w:cs="宋体" w:eastAsia="宋体" w:hint="default"/>
          <w:sz w:val="17"/>
          <w:szCs w:val="17"/>
        </w:rPr>
      </w:pPr>
    </w:p>
    <w:p>
      <w:pPr>
        <w:pStyle w:val="BodyText"/>
        <w:tabs>
          <w:tab w:pos="698" w:val="left" w:leader="none"/>
        </w:tabs>
        <w:spacing w:line="240" w:lineRule="auto"/>
        <w:ind w:left="112" w:right="0"/>
        <w:jc w:val="left"/>
      </w:pPr>
      <w:r>
        <w:rPr>
          <w:rFonts w:ascii="Arial" w:hAnsi="Arial" w:cs="Arial" w:eastAsia="Arial" w:hint="default"/>
        </w:rPr>
        <w:t>5</w:t>
      </w:r>
      <w:r>
        <w:rPr/>
        <w:t>、</w:t>
        <w:tab/>
        <w:t>股本</w:t>
      </w:r>
    </w:p>
    <w:p>
      <w:pPr>
        <w:spacing w:line="240" w:lineRule="auto" w:before="4"/>
        <w:rPr>
          <w:rFonts w:ascii="宋体" w:hAnsi="宋体" w:cs="宋体" w:eastAsia="宋体" w:hint="default"/>
          <w:sz w:val="17"/>
          <w:szCs w:val="17"/>
        </w:rPr>
      </w:pPr>
    </w:p>
    <w:tbl>
      <w:tblPr>
        <w:tblW w:w="0" w:type="auto"/>
        <w:jc w:val="left"/>
        <w:tblInd w:w="517" w:type="dxa"/>
        <w:tblLayout w:type="fixed"/>
        <w:tblCellMar>
          <w:top w:w="0" w:type="dxa"/>
          <w:left w:w="0" w:type="dxa"/>
          <w:bottom w:w="0" w:type="dxa"/>
          <w:right w:w="0" w:type="dxa"/>
        </w:tblCellMar>
        <w:tblLook w:val="01E0"/>
      </w:tblPr>
      <w:tblGrid>
        <w:gridCol w:w="2787"/>
        <w:gridCol w:w="1781"/>
        <w:gridCol w:w="1478"/>
        <w:gridCol w:w="1402"/>
        <w:gridCol w:w="1637"/>
      </w:tblGrid>
      <w:tr>
        <w:trPr>
          <w:trHeight w:val="238" w:hRule="exact"/>
        </w:trPr>
        <w:tc>
          <w:tcPr>
            <w:tcW w:w="2787" w:type="dxa"/>
            <w:vMerge w:val="restart"/>
            <w:tcBorders>
              <w:top w:val="nil" w:sz="6" w:space="0" w:color="auto"/>
              <w:left w:val="nil" w:sz="6" w:space="0" w:color="auto"/>
              <w:right w:val="nil" w:sz="6" w:space="0" w:color="auto"/>
            </w:tcBorders>
          </w:tcPr>
          <w:p>
            <w:pPr/>
          </w:p>
        </w:tc>
        <w:tc>
          <w:tcPr>
            <w:tcW w:w="1781" w:type="dxa"/>
            <w:vMerge w:val="restart"/>
            <w:tcBorders>
              <w:top w:val="nil" w:sz="6" w:space="0" w:color="auto"/>
              <w:left w:val="nil" w:sz="6" w:space="0" w:color="auto"/>
              <w:right w:val="nil" w:sz="6" w:space="0" w:color="auto"/>
            </w:tcBorders>
          </w:tcPr>
          <w:p>
            <w:pPr>
              <w:pStyle w:val="TableParagraph"/>
              <w:spacing w:line="222" w:lineRule="exact"/>
              <w:ind w:left="974" w:right="0"/>
              <w:jc w:val="left"/>
              <w:rPr>
                <w:rFonts w:ascii="宋体" w:hAnsi="宋体" w:cs="宋体" w:eastAsia="宋体" w:hint="default"/>
                <w:sz w:val="20"/>
                <w:szCs w:val="20"/>
              </w:rPr>
            </w:pPr>
            <w:r>
              <w:rPr>
                <w:rFonts w:ascii="Arial" w:hAnsi="Arial" w:cs="Arial" w:eastAsia="Arial" w:hint="default"/>
                <w:sz w:val="20"/>
                <w:szCs w:val="20"/>
              </w:rPr>
              <w:t>2018</w:t>
            </w:r>
            <w:r>
              <w:rPr>
                <w:rFonts w:ascii="Arial" w:hAnsi="Arial" w:cs="Arial" w:eastAsia="Arial" w:hint="default"/>
                <w:spacing w:val="-11"/>
                <w:sz w:val="20"/>
                <w:szCs w:val="20"/>
              </w:rPr>
              <w:t> </w:t>
            </w:r>
            <w:r>
              <w:rPr>
                <w:rFonts w:ascii="宋体" w:hAnsi="宋体" w:cs="宋体" w:eastAsia="宋体" w:hint="default"/>
                <w:sz w:val="20"/>
                <w:szCs w:val="20"/>
              </w:rPr>
              <w:t>年</w:t>
            </w:r>
          </w:p>
          <w:p>
            <w:pPr>
              <w:pStyle w:val="TableParagraph"/>
              <w:spacing w:line="268" w:lineRule="exact"/>
              <w:ind w:left="676" w:right="0"/>
              <w:jc w:val="left"/>
              <w:rPr>
                <w:rFonts w:ascii="宋体" w:hAnsi="宋体" w:cs="宋体" w:eastAsia="宋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宋体" w:hAnsi="宋体" w:cs="宋体" w:eastAsia="宋体" w:hint="default"/>
                <w:sz w:val="20"/>
                <w:szCs w:val="20"/>
              </w:rPr>
              <w:t>日</w:t>
            </w:r>
          </w:p>
        </w:tc>
        <w:tc>
          <w:tcPr>
            <w:tcW w:w="2880" w:type="dxa"/>
            <w:gridSpan w:val="2"/>
            <w:tcBorders>
              <w:top w:val="nil" w:sz="6" w:space="0" w:color="auto"/>
              <w:left w:val="nil" w:sz="6" w:space="0" w:color="auto"/>
              <w:bottom w:val="single" w:sz="6" w:space="0" w:color="000000"/>
              <w:right w:val="nil" w:sz="6" w:space="0" w:color="auto"/>
            </w:tcBorders>
          </w:tcPr>
          <w:p>
            <w:pPr>
              <w:pStyle w:val="TableParagraph"/>
              <w:spacing w:line="201" w:lineRule="exact"/>
              <w:ind w:left="835" w:right="0"/>
              <w:jc w:val="left"/>
              <w:rPr>
                <w:rFonts w:ascii="宋体" w:hAnsi="宋体" w:cs="宋体" w:eastAsia="宋体" w:hint="default"/>
                <w:sz w:val="20"/>
                <w:szCs w:val="20"/>
              </w:rPr>
            </w:pPr>
            <w:r>
              <w:rPr>
                <w:rFonts w:ascii="宋体" w:hAnsi="宋体" w:cs="宋体" w:eastAsia="宋体" w:hint="default"/>
                <w:sz w:val="20"/>
                <w:szCs w:val="20"/>
              </w:rPr>
              <w:t>本年增减变动</w:t>
            </w:r>
          </w:p>
        </w:tc>
        <w:tc>
          <w:tcPr>
            <w:tcW w:w="1637" w:type="dxa"/>
            <w:vMerge w:val="restart"/>
            <w:tcBorders>
              <w:top w:val="nil" w:sz="6" w:space="0" w:color="auto"/>
              <w:left w:val="nil" w:sz="6" w:space="0" w:color="auto"/>
              <w:right w:val="nil" w:sz="6" w:space="0" w:color="auto"/>
            </w:tcBorders>
          </w:tcPr>
          <w:p>
            <w:pPr>
              <w:pStyle w:val="TableParagraph"/>
              <w:spacing w:line="222" w:lineRule="exact"/>
              <w:ind w:left="912" w:right="0"/>
              <w:jc w:val="left"/>
              <w:rPr>
                <w:rFonts w:ascii="宋体" w:hAnsi="宋体" w:cs="宋体" w:eastAsia="宋体" w:hint="default"/>
                <w:sz w:val="20"/>
                <w:szCs w:val="20"/>
              </w:rPr>
            </w:pPr>
            <w:r>
              <w:rPr>
                <w:rFonts w:ascii="Arial" w:hAnsi="Arial" w:cs="Arial" w:eastAsia="Arial" w:hint="default"/>
                <w:sz w:val="20"/>
                <w:szCs w:val="20"/>
              </w:rPr>
              <w:t>2019</w:t>
            </w:r>
            <w:r>
              <w:rPr>
                <w:rFonts w:ascii="Arial" w:hAnsi="Arial" w:cs="Arial" w:eastAsia="Arial" w:hint="default"/>
                <w:spacing w:val="-11"/>
                <w:sz w:val="20"/>
                <w:szCs w:val="20"/>
              </w:rPr>
              <w:t> </w:t>
            </w:r>
            <w:r>
              <w:rPr>
                <w:rFonts w:ascii="宋体" w:hAnsi="宋体" w:cs="宋体" w:eastAsia="宋体" w:hint="default"/>
                <w:sz w:val="20"/>
                <w:szCs w:val="20"/>
              </w:rPr>
              <w:t>年</w:t>
            </w:r>
          </w:p>
          <w:p>
            <w:pPr>
              <w:pStyle w:val="TableParagraph"/>
              <w:spacing w:line="268" w:lineRule="exact"/>
              <w:ind w:left="614" w:right="0"/>
              <w:jc w:val="left"/>
              <w:rPr>
                <w:rFonts w:ascii="宋体" w:hAnsi="宋体" w:cs="宋体" w:eastAsia="宋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宋体" w:hAnsi="宋体" w:cs="宋体" w:eastAsia="宋体" w:hint="default"/>
                <w:sz w:val="20"/>
                <w:szCs w:val="20"/>
              </w:rPr>
              <w:t>日</w:t>
            </w:r>
          </w:p>
        </w:tc>
      </w:tr>
      <w:tr>
        <w:trPr>
          <w:trHeight w:val="274" w:hRule="exact"/>
        </w:trPr>
        <w:tc>
          <w:tcPr>
            <w:tcW w:w="2787" w:type="dxa"/>
            <w:vMerge/>
            <w:tcBorders>
              <w:left w:val="nil" w:sz="6" w:space="0" w:color="auto"/>
              <w:bottom w:val="nil" w:sz="6" w:space="0" w:color="auto"/>
              <w:right w:val="nil" w:sz="6" w:space="0" w:color="auto"/>
            </w:tcBorders>
          </w:tcPr>
          <w:p>
            <w:pPr/>
          </w:p>
        </w:tc>
        <w:tc>
          <w:tcPr>
            <w:tcW w:w="1781" w:type="dxa"/>
            <w:vMerge/>
            <w:tcBorders>
              <w:left w:val="nil" w:sz="6" w:space="0" w:color="auto"/>
              <w:bottom w:val="single" w:sz="4" w:space="0" w:color="000000"/>
              <w:right w:val="nil" w:sz="6" w:space="0" w:color="auto"/>
            </w:tcBorders>
          </w:tcPr>
          <w:p>
            <w:pPr/>
          </w:p>
        </w:tc>
        <w:tc>
          <w:tcPr>
            <w:tcW w:w="1478" w:type="dxa"/>
            <w:tcBorders>
              <w:top w:val="single" w:sz="6" w:space="0" w:color="000000"/>
              <w:left w:val="nil" w:sz="6" w:space="0" w:color="auto"/>
              <w:bottom w:val="single" w:sz="6" w:space="0" w:color="000000"/>
              <w:right w:val="nil" w:sz="6" w:space="0" w:color="auto"/>
            </w:tcBorders>
          </w:tcPr>
          <w:p>
            <w:pPr>
              <w:pStyle w:val="TableParagraph"/>
              <w:spacing w:line="230" w:lineRule="exact"/>
              <w:ind w:left="336" w:right="0"/>
              <w:jc w:val="left"/>
              <w:rPr>
                <w:rFonts w:ascii="宋体" w:hAnsi="宋体" w:cs="宋体" w:eastAsia="宋体" w:hint="default"/>
                <w:sz w:val="20"/>
                <w:szCs w:val="20"/>
              </w:rPr>
            </w:pPr>
            <w:r>
              <w:rPr>
                <w:rFonts w:ascii="宋体" w:hAnsi="宋体" w:cs="宋体" w:eastAsia="宋体" w:hint="default"/>
                <w:sz w:val="20"/>
                <w:szCs w:val="20"/>
              </w:rPr>
              <w:t>发行新股</w:t>
            </w:r>
          </w:p>
        </w:tc>
        <w:tc>
          <w:tcPr>
            <w:tcW w:w="1402" w:type="dxa"/>
            <w:tcBorders>
              <w:top w:val="single" w:sz="6" w:space="0" w:color="000000"/>
              <w:left w:val="nil" w:sz="6" w:space="0" w:color="auto"/>
              <w:bottom w:val="single" w:sz="6" w:space="0" w:color="000000"/>
              <w:right w:val="nil" w:sz="6" w:space="0" w:color="auto"/>
            </w:tcBorders>
          </w:tcPr>
          <w:p>
            <w:pPr>
              <w:pStyle w:val="TableParagraph"/>
              <w:spacing w:line="230" w:lineRule="exact"/>
              <w:ind w:left="54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637" w:type="dxa"/>
            <w:vMerge/>
            <w:tcBorders>
              <w:left w:val="nil" w:sz="6" w:space="0" w:color="auto"/>
              <w:bottom w:val="single" w:sz="6" w:space="0" w:color="000000"/>
              <w:right w:val="nil" w:sz="6" w:space="0" w:color="auto"/>
            </w:tcBorders>
          </w:tcPr>
          <w:p>
            <w:pPr/>
          </w:p>
        </w:tc>
      </w:tr>
      <w:tr>
        <w:trPr>
          <w:trHeight w:val="523" w:hRule="exact"/>
        </w:trPr>
        <w:tc>
          <w:tcPr>
            <w:tcW w:w="278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0" w:right="0"/>
              <w:jc w:val="left"/>
              <w:rPr>
                <w:rFonts w:ascii="宋体" w:hAnsi="宋体" w:cs="宋体" w:eastAsia="宋体" w:hint="default"/>
                <w:sz w:val="20"/>
                <w:szCs w:val="20"/>
              </w:rPr>
            </w:pPr>
            <w:r>
              <w:rPr>
                <w:rFonts w:ascii="宋体" w:hAnsi="宋体" w:cs="宋体" w:eastAsia="宋体" w:hint="default"/>
                <w:sz w:val="20"/>
                <w:szCs w:val="20"/>
              </w:rPr>
              <w:t>股份总数</w:t>
            </w:r>
          </w:p>
        </w:tc>
        <w:tc>
          <w:tcPr>
            <w:tcW w:w="1781" w:type="dxa"/>
            <w:tcBorders>
              <w:top w:val="single" w:sz="4" w:space="0" w:color="000000"/>
              <w:left w:val="nil" w:sz="6" w:space="0" w:color="auto"/>
              <w:bottom w:val="single" w:sz="17"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278" w:right="0"/>
              <w:jc w:val="left"/>
              <w:rPr>
                <w:rFonts w:ascii="Arial" w:hAnsi="Arial" w:cs="Arial" w:eastAsia="Arial" w:hint="default"/>
                <w:sz w:val="20"/>
                <w:szCs w:val="20"/>
              </w:rPr>
            </w:pPr>
            <w:r>
              <w:rPr>
                <w:rFonts w:ascii="Arial"/>
                <w:sz w:val="20"/>
              </w:rPr>
              <w:t>31,027,811,687</w:t>
            </w:r>
          </w:p>
        </w:tc>
        <w:tc>
          <w:tcPr>
            <w:tcW w:w="1478" w:type="dxa"/>
            <w:tcBorders>
              <w:top w:val="single" w:sz="6" w:space="0" w:color="000000"/>
              <w:left w:val="nil" w:sz="6" w:space="0" w:color="auto"/>
              <w:bottom w:val="single" w:sz="17" w:space="0" w:color="000000"/>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451" w:right="0"/>
              <w:jc w:val="left"/>
              <w:rPr>
                <w:rFonts w:ascii="Arial" w:hAnsi="Arial" w:cs="Arial" w:eastAsia="Arial" w:hint="default"/>
                <w:sz w:val="20"/>
                <w:szCs w:val="20"/>
              </w:rPr>
            </w:pPr>
            <w:r>
              <w:rPr>
                <w:rFonts w:ascii="Arial"/>
                <w:sz w:val="20"/>
              </w:rPr>
              <w:t>13,156,000</w:t>
            </w:r>
          </w:p>
        </w:tc>
        <w:tc>
          <w:tcPr>
            <w:tcW w:w="1402" w:type="dxa"/>
            <w:tcBorders>
              <w:top w:val="single" w:sz="6" w:space="0" w:color="000000"/>
              <w:left w:val="nil" w:sz="6" w:space="0" w:color="auto"/>
              <w:bottom w:val="single" w:sz="17" w:space="0" w:color="000000"/>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316" w:right="0"/>
              <w:jc w:val="left"/>
              <w:rPr>
                <w:rFonts w:ascii="Arial" w:hAnsi="Arial" w:cs="Arial" w:eastAsia="Arial" w:hint="default"/>
                <w:sz w:val="20"/>
                <w:szCs w:val="20"/>
              </w:rPr>
            </w:pPr>
            <w:r>
              <w:rPr>
                <w:rFonts w:ascii="Arial"/>
                <w:sz w:val="20"/>
              </w:rPr>
              <w:t>(7,262,000)</w:t>
            </w:r>
          </w:p>
        </w:tc>
        <w:tc>
          <w:tcPr>
            <w:tcW w:w="1637" w:type="dxa"/>
            <w:tcBorders>
              <w:top w:val="single" w:sz="6" w:space="0" w:color="000000"/>
              <w:left w:val="nil" w:sz="6" w:space="0" w:color="auto"/>
              <w:bottom w:val="single" w:sz="17" w:space="0" w:color="000000"/>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220" w:right="0"/>
              <w:jc w:val="left"/>
              <w:rPr>
                <w:rFonts w:ascii="Arial" w:hAnsi="Arial" w:cs="Arial" w:eastAsia="Arial" w:hint="default"/>
                <w:sz w:val="20"/>
                <w:szCs w:val="20"/>
              </w:rPr>
            </w:pPr>
            <w:r>
              <w:rPr>
                <w:rFonts w:ascii="Arial"/>
                <w:sz w:val="20"/>
              </w:rPr>
              <w:t>31,033,705,687</w:t>
            </w:r>
          </w:p>
        </w:tc>
      </w:tr>
    </w:tbl>
    <w:p>
      <w:pPr>
        <w:spacing w:line="240" w:lineRule="auto" w:before="8"/>
        <w:rPr>
          <w:rFonts w:ascii="宋体" w:hAnsi="宋体" w:cs="宋体" w:eastAsia="宋体" w:hint="default"/>
          <w:sz w:val="15"/>
          <w:szCs w:val="15"/>
        </w:rPr>
      </w:pPr>
    </w:p>
    <w:p>
      <w:pPr>
        <w:pStyle w:val="BodyText"/>
        <w:spacing w:line="293" w:lineRule="exact" w:before="32"/>
        <w:ind w:left="679" w:right="0"/>
        <w:jc w:val="left"/>
      </w:pPr>
      <w:r>
        <w:rPr/>
        <w:t>如附注五</w:t>
      </w:r>
      <w:r>
        <w:rPr>
          <w:rFonts w:ascii="Arial" w:hAnsi="Arial" w:cs="Arial" w:eastAsia="Arial" w:hint="default"/>
        </w:rPr>
        <w:t>(31)</w:t>
      </w:r>
      <w:r>
        <w:rPr/>
        <w:t>及附注十二所述，本公司于</w:t>
      </w:r>
      <w:r>
        <w:rPr>
          <w:spacing w:val="-49"/>
        </w:rPr>
        <w:t> </w:t>
      </w:r>
      <w:r>
        <w:rPr>
          <w:rFonts w:ascii="Arial" w:hAnsi="Arial" w:cs="Arial" w:eastAsia="Arial" w:hint="default"/>
        </w:rPr>
        <w:t>2019</w:t>
      </w:r>
      <w:r>
        <w:rPr>
          <w:rFonts w:ascii="Arial" w:hAnsi="Arial" w:cs="Arial" w:eastAsia="Arial" w:hint="default"/>
          <w:spacing w:val="-3"/>
        </w:rPr>
        <w:t> </w:t>
      </w:r>
      <w:r>
        <w:rPr/>
        <w:t>年</w:t>
      </w:r>
      <w:r>
        <w:rPr>
          <w:spacing w:val="-54"/>
        </w:rPr>
        <w:t> </w:t>
      </w:r>
      <w:r>
        <w:rPr>
          <w:rFonts w:ascii="Arial" w:hAnsi="Arial" w:cs="Arial" w:eastAsia="Arial" w:hint="default"/>
        </w:rPr>
        <w:t>2</w:t>
      </w:r>
      <w:r>
        <w:rPr>
          <w:rFonts w:ascii="Arial" w:hAnsi="Arial" w:cs="Arial" w:eastAsia="Arial" w:hint="default"/>
          <w:spacing w:val="2"/>
        </w:rPr>
        <w:t> </w:t>
      </w:r>
      <w:r>
        <w:rPr/>
        <w:t>月</w:t>
      </w:r>
      <w:r>
        <w:rPr>
          <w:spacing w:val="-54"/>
        </w:rPr>
        <w:t> </w:t>
      </w:r>
      <w:r>
        <w:rPr>
          <w:rFonts w:ascii="Arial" w:hAnsi="Arial" w:cs="Arial" w:eastAsia="Arial" w:hint="default"/>
        </w:rPr>
        <w:t>1</w:t>
      </w:r>
      <w:r>
        <w:rPr>
          <w:rFonts w:ascii="Arial" w:hAnsi="Arial" w:cs="Arial" w:eastAsia="Arial" w:hint="default"/>
          <w:spacing w:val="2"/>
        </w:rPr>
        <w:t> </w:t>
      </w:r>
      <w:r>
        <w:rPr/>
        <w:t>日向限制性股票激励计划激励对象预留</w:t>
      </w:r>
    </w:p>
    <w:p>
      <w:pPr>
        <w:pStyle w:val="BodyText"/>
        <w:spacing w:line="293" w:lineRule="exact"/>
        <w:ind w:left="679" w:right="0"/>
        <w:jc w:val="left"/>
      </w:pPr>
      <w:r>
        <w:rPr>
          <w:w w:val="100"/>
        </w:rPr>
        <w:t>授予人民币普通</w:t>
      </w:r>
      <w:r>
        <w:rPr>
          <w:spacing w:val="-5"/>
          <w:w w:val="100"/>
        </w:rPr>
        <w:t>股</w:t>
      </w:r>
      <w:r>
        <w:rPr>
          <w:w w:val="100"/>
        </w:rPr>
        <w:t>股票</w:t>
      </w:r>
      <w:r>
        <w:rPr>
          <w:spacing w:val="-72"/>
        </w:rPr>
        <w:t> </w:t>
      </w:r>
      <w:r>
        <w:rPr>
          <w:rFonts w:ascii="Arial" w:hAnsi="Arial" w:cs="Arial" w:eastAsia="Arial" w:hint="default"/>
          <w:spacing w:val="2"/>
          <w:w w:val="100"/>
        </w:rPr>
        <w:t>1</w:t>
      </w:r>
      <w:r>
        <w:rPr>
          <w:rFonts w:ascii="Arial" w:hAnsi="Arial" w:cs="Arial" w:eastAsia="Arial" w:hint="default"/>
          <w:spacing w:val="-3"/>
          <w:w w:val="100"/>
        </w:rPr>
        <w:t>3</w:t>
      </w:r>
      <w:r>
        <w:rPr>
          <w:rFonts w:ascii="Arial" w:hAnsi="Arial" w:cs="Arial" w:eastAsia="Arial" w:hint="default"/>
          <w:spacing w:val="1"/>
          <w:w w:val="100"/>
        </w:rPr>
        <w:t>,</w:t>
      </w:r>
      <w:r>
        <w:rPr>
          <w:rFonts w:ascii="Arial" w:hAnsi="Arial" w:cs="Arial" w:eastAsia="Arial" w:hint="default"/>
          <w:spacing w:val="-3"/>
          <w:w w:val="100"/>
        </w:rPr>
        <w:t>1</w:t>
      </w:r>
      <w:r>
        <w:rPr>
          <w:rFonts w:ascii="Arial" w:hAnsi="Arial" w:cs="Arial" w:eastAsia="Arial" w:hint="default"/>
          <w:spacing w:val="2"/>
          <w:w w:val="100"/>
        </w:rPr>
        <w:t>56</w:t>
      </w:r>
      <w:r>
        <w:rPr>
          <w:rFonts w:ascii="Arial" w:hAnsi="Arial" w:cs="Arial" w:eastAsia="Arial" w:hint="default"/>
          <w:spacing w:val="-4"/>
          <w:w w:val="100"/>
        </w:rPr>
        <w:t>,</w:t>
      </w:r>
      <w:r>
        <w:rPr>
          <w:rFonts w:ascii="Arial" w:hAnsi="Arial" w:cs="Arial" w:eastAsia="Arial" w:hint="default"/>
          <w:spacing w:val="-3"/>
          <w:w w:val="100"/>
        </w:rPr>
        <w:t>0</w:t>
      </w:r>
      <w:r>
        <w:rPr>
          <w:rFonts w:ascii="Arial" w:hAnsi="Arial" w:cs="Arial" w:eastAsia="Arial" w:hint="default"/>
          <w:spacing w:val="2"/>
          <w:w w:val="100"/>
        </w:rPr>
        <w:t>0</w:t>
      </w:r>
      <w:r>
        <w:rPr>
          <w:rFonts w:ascii="Arial" w:hAnsi="Arial" w:cs="Arial" w:eastAsia="Arial" w:hint="default"/>
          <w:w w:val="100"/>
        </w:rPr>
        <w:t>0</w:t>
      </w:r>
      <w:r>
        <w:rPr>
          <w:rFonts w:ascii="Arial" w:hAnsi="Arial" w:cs="Arial" w:eastAsia="Arial" w:hint="default"/>
          <w:spacing w:val="-21"/>
        </w:rPr>
        <w:t> </w:t>
      </w:r>
      <w:r>
        <w:rPr>
          <w:w w:val="100"/>
        </w:rPr>
        <w:t>股</w:t>
      </w:r>
      <w:r>
        <w:rPr>
          <w:spacing w:val="-111"/>
          <w:w w:val="100"/>
        </w:rPr>
        <w:t>，</w:t>
      </w:r>
      <w:r>
        <w:rPr>
          <w:w w:val="100"/>
        </w:rPr>
        <w:t>于</w:t>
      </w:r>
      <w:r>
        <w:rPr>
          <w:spacing w:val="-72"/>
        </w:rPr>
        <w:t> </w:t>
      </w:r>
      <w:r>
        <w:rPr>
          <w:rFonts w:ascii="Arial" w:hAnsi="Arial" w:cs="Arial" w:eastAsia="Arial" w:hint="default"/>
          <w:spacing w:val="-3"/>
          <w:w w:val="100"/>
        </w:rPr>
        <w:t>2</w:t>
      </w:r>
      <w:r>
        <w:rPr>
          <w:rFonts w:ascii="Arial" w:hAnsi="Arial" w:cs="Arial" w:eastAsia="Arial" w:hint="default"/>
          <w:spacing w:val="2"/>
          <w:w w:val="100"/>
        </w:rPr>
        <w:t>01</w:t>
      </w:r>
      <w:r>
        <w:rPr>
          <w:rFonts w:ascii="Arial" w:hAnsi="Arial" w:cs="Arial" w:eastAsia="Arial" w:hint="default"/>
          <w:w w:val="100"/>
        </w:rPr>
        <w:t>9</w:t>
      </w:r>
      <w:r>
        <w:rPr>
          <w:rFonts w:ascii="Arial" w:hAnsi="Arial" w:cs="Arial" w:eastAsia="Arial" w:hint="default"/>
          <w:spacing w:val="-21"/>
        </w:rPr>
        <w:t> </w:t>
      </w:r>
      <w:r>
        <w:rPr>
          <w:w w:val="100"/>
        </w:rPr>
        <w:t>年</w:t>
      </w:r>
      <w:r>
        <w:rPr>
          <w:spacing w:val="-77"/>
        </w:rPr>
        <w:t> </w:t>
      </w:r>
      <w:r>
        <w:rPr>
          <w:rFonts w:ascii="Arial" w:hAnsi="Arial" w:cs="Arial" w:eastAsia="Arial" w:hint="default"/>
          <w:w w:val="100"/>
        </w:rPr>
        <w:t>9</w:t>
      </w:r>
      <w:r>
        <w:rPr>
          <w:rFonts w:ascii="Arial" w:hAnsi="Arial" w:cs="Arial" w:eastAsia="Arial" w:hint="default"/>
          <w:spacing w:val="-21"/>
        </w:rPr>
        <w:t> </w:t>
      </w:r>
      <w:r>
        <w:rPr>
          <w:w w:val="100"/>
        </w:rPr>
        <w:t>月回购注销人</w:t>
      </w:r>
      <w:r>
        <w:rPr>
          <w:spacing w:val="-5"/>
          <w:w w:val="100"/>
        </w:rPr>
        <w:t>民</w:t>
      </w:r>
      <w:r>
        <w:rPr>
          <w:w w:val="100"/>
        </w:rPr>
        <w:t>币普通股股票</w:t>
      </w:r>
      <w:r>
        <w:rPr>
          <w:spacing w:val="-72"/>
        </w:rPr>
        <w:t> </w:t>
      </w:r>
      <w:r>
        <w:rPr>
          <w:rFonts w:ascii="Arial" w:hAnsi="Arial" w:cs="Arial" w:eastAsia="Arial" w:hint="default"/>
          <w:spacing w:val="-2"/>
          <w:w w:val="100"/>
          <w:sz w:val="20"/>
          <w:szCs w:val="20"/>
        </w:rPr>
        <w:t>7</w:t>
      </w:r>
      <w:r>
        <w:rPr>
          <w:rFonts w:ascii="Arial" w:hAnsi="Arial" w:cs="Arial" w:eastAsia="Arial" w:hint="default"/>
          <w:spacing w:val="1"/>
          <w:w w:val="100"/>
          <w:sz w:val="20"/>
          <w:szCs w:val="20"/>
        </w:rPr>
        <w:t>,</w:t>
      </w:r>
      <w:r>
        <w:rPr>
          <w:rFonts w:ascii="Arial" w:hAnsi="Arial" w:cs="Arial" w:eastAsia="Arial" w:hint="default"/>
          <w:spacing w:val="-2"/>
          <w:w w:val="100"/>
          <w:sz w:val="20"/>
          <w:szCs w:val="20"/>
        </w:rPr>
        <w:t>262</w:t>
      </w:r>
      <w:r>
        <w:rPr>
          <w:rFonts w:ascii="Arial" w:hAnsi="Arial" w:cs="Arial" w:eastAsia="Arial" w:hint="default"/>
          <w:spacing w:val="1"/>
          <w:w w:val="100"/>
          <w:sz w:val="20"/>
          <w:szCs w:val="20"/>
        </w:rPr>
        <w:t>,</w:t>
      </w:r>
      <w:r>
        <w:rPr>
          <w:rFonts w:ascii="Arial" w:hAnsi="Arial" w:cs="Arial" w:eastAsia="Arial" w:hint="default"/>
          <w:spacing w:val="-2"/>
          <w:w w:val="100"/>
          <w:sz w:val="20"/>
          <w:szCs w:val="20"/>
        </w:rPr>
        <w:t>00</w:t>
      </w:r>
      <w:r>
        <w:rPr>
          <w:rFonts w:ascii="Arial" w:hAnsi="Arial" w:cs="Arial" w:eastAsia="Arial" w:hint="default"/>
          <w:w w:val="100"/>
          <w:sz w:val="20"/>
          <w:szCs w:val="20"/>
        </w:rPr>
        <w:t>0</w:t>
      </w:r>
      <w:r>
        <w:rPr>
          <w:rFonts w:ascii="Arial" w:hAnsi="Arial" w:cs="Arial" w:eastAsia="Arial" w:hint="default"/>
          <w:spacing w:val="-20"/>
          <w:sz w:val="20"/>
          <w:szCs w:val="20"/>
        </w:rPr>
        <w:t> </w:t>
      </w:r>
      <w:r>
        <w:rPr>
          <w:w w:val="100"/>
        </w:rPr>
        <w:t>股。</w:t>
      </w: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15"/>
          <w:szCs w:val="15"/>
        </w:rPr>
      </w:pPr>
    </w:p>
    <w:p>
      <w:pPr>
        <w:pStyle w:val="BodyText"/>
        <w:tabs>
          <w:tab w:pos="698" w:val="left" w:leader="none"/>
        </w:tabs>
        <w:spacing w:line="240" w:lineRule="auto"/>
        <w:ind w:left="112" w:right="0"/>
        <w:jc w:val="left"/>
      </w:pPr>
      <w:r>
        <w:rPr>
          <w:rFonts w:ascii="Arial" w:hAnsi="Arial" w:cs="Arial" w:eastAsia="Arial" w:hint="default"/>
        </w:rPr>
        <w:t>6</w:t>
      </w:r>
      <w:r>
        <w:rPr/>
        <w:t>、</w:t>
        <w:tab/>
        <w:t>资本公积</w:t>
      </w:r>
    </w:p>
    <w:p>
      <w:pPr>
        <w:spacing w:line="240" w:lineRule="auto" w:before="11"/>
        <w:rPr>
          <w:rFonts w:ascii="宋体" w:hAnsi="宋体" w:cs="宋体" w:eastAsia="宋体" w:hint="default"/>
          <w:sz w:val="22"/>
          <w:szCs w:val="22"/>
        </w:rPr>
      </w:pPr>
    </w:p>
    <w:tbl>
      <w:tblPr>
        <w:tblW w:w="0" w:type="auto"/>
        <w:jc w:val="left"/>
        <w:tblInd w:w="727" w:type="dxa"/>
        <w:tblLayout w:type="fixed"/>
        <w:tblCellMar>
          <w:top w:w="0" w:type="dxa"/>
          <w:left w:w="0" w:type="dxa"/>
          <w:bottom w:w="0" w:type="dxa"/>
          <w:right w:w="0" w:type="dxa"/>
        </w:tblCellMar>
        <w:tblLook w:val="01E0"/>
      </w:tblPr>
      <w:tblGrid>
        <w:gridCol w:w="2093"/>
        <w:gridCol w:w="955"/>
        <w:gridCol w:w="1757"/>
        <w:gridCol w:w="1347"/>
        <w:gridCol w:w="1302"/>
        <w:gridCol w:w="1479"/>
      </w:tblGrid>
      <w:tr>
        <w:trPr>
          <w:trHeight w:val="497" w:hRule="exact"/>
        </w:trPr>
        <w:tc>
          <w:tcPr>
            <w:tcW w:w="2093" w:type="dxa"/>
            <w:tcBorders>
              <w:top w:val="nil" w:sz="6" w:space="0" w:color="auto"/>
              <w:left w:val="nil" w:sz="6" w:space="0" w:color="auto"/>
              <w:bottom w:val="single" w:sz="6"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9" w:right="0"/>
              <w:jc w:val="center"/>
              <w:rPr>
                <w:rFonts w:ascii="宋体" w:hAnsi="宋体" w:cs="宋体" w:eastAsia="宋体" w:hint="default"/>
                <w:sz w:val="16"/>
                <w:szCs w:val="16"/>
              </w:rPr>
            </w:pPr>
            <w:r>
              <w:rPr>
                <w:rFonts w:ascii="宋体" w:hAnsi="宋体" w:cs="宋体" w:eastAsia="宋体" w:hint="default"/>
                <w:sz w:val="16"/>
                <w:szCs w:val="16"/>
              </w:rPr>
              <w:t>项目</w:t>
            </w:r>
          </w:p>
        </w:tc>
        <w:tc>
          <w:tcPr>
            <w:tcW w:w="955" w:type="dxa"/>
            <w:tcBorders>
              <w:top w:val="nil" w:sz="6" w:space="0" w:color="auto"/>
              <w:left w:val="nil" w:sz="6" w:space="0" w:color="auto"/>
              <w:bottom w:val="single" w:sz="6"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2"/>
              <w:jc w:val="center"/>
              <w:rPr>
                <w:rFonts w:ascii="宋体" w:hAnsi="宋体" w:cs="宋体" w:eastAsia="宋体" w:hint="default"/>
                <w:sz w:val="16"/>
                <w:szCs w:val="16"/>
              </w:rPr>
            </w:pPr>
            <w:r>
              <w:rPr>
                <w:rFonts w:ascii="宋体" w:hAnsi="宋体" w:cs="宋体" w:eastAsia="宋体" w:hint="default"/>
                <w:sz w:val="16"/>
                <w:szCs w:val="16"/>
              </w:rPr>
              <w:t>注释</w:t>
            </w:r>
          </w:p>
        </w:tc>
        <w:tc>
          <w:tcPr>
            <w:tcW w:w="1757" w:type="dxa"/>
            <w:tcBorders>
              <w:top w:val="nil" w:sz="6" w:space="0" w:color="auto"/>
              <w:left w:val="nil" w:sz="6" w:space="0" w:color="auto"/>
              <w:bottom w:val="single" w:sz="6" w:space="0" w:color="000000"/>
              <w:right w:val="nil" w:sz="6" w:space="0" w:color="auto"/>
            </w:tcBorders>
          </w:tcPr>
          <w:p>
            <w:pPr>
              <w:pStyle w:val="TableParagraph"/>
              <w:spacing w:line="207" w:lineRule="exact"/>
              <w:ind w:left="878" w:right="0"/>
              <w:jc w:val="left"/>
              <w:rPr>
                <w:rFonts w:ascii="宋体" w:hAnsi="宋体" w:cs="宋体" w:eastAsia="宋体" w:hint="default"/>
                <w:sz w:val="20"/>
                <w:szCs w:val="20"/>
              </w:rPr>
            </w:pPr>
            <w:r>
              <w:rPr>
                <w:rFonts w:ascii="Arial" w:hAnsi="Arial" w:cs="Arial" w:eastAsia="Arial" w:hint="default"/>
                <w:sz w:val="20"/>
                <w:szCs w:val="20"/>
              </w:rPr>
              <w:t>2018</w:t>
            </w:r>
            <w:r>
              <w:rPr>
                <w:rFonts w:ascii="Arial" w:hAnsi="Arial" w:cs="Arial" w:eastAsia="Arial" w:hint="default"/>
                <w:spacing w:val="-11"/>
                <w:sz w:val="20"/>
                <w:szCs w:val="20"/>
              </w:rPr>
              <w:t> </w:t>
            </w:r>
            <w:r>
              <w:rPr>
                <w:rFonts w:ascii="宋体" w:hAnsi="宋体" w:cs="宋体" w:eastAsia="宋体" w:hint="default"/>
                <w:sz w:val="20"/>
                <w:szCs w:val="20"/>
              </w:rPr>
              <w:t>年</w:t>
            </w:r>
          </w:p>
          <w:p>
            <w:pPr>
              <w:pStyle w:val="TableParagraph"/>
              <w:spacing w:line="268" w:lineRule="exact"/>
              <w:ind w:left="580" w:right="0"/>
              <w:jc w:val="left"/>
              <w:rPr>
                <w:rFonts w:ascii="宋体" w:hAnsi="宋体" w:cs="宋体" w:eastAsia="宋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宋体" w:hAnsi="宋体" w:cs="宋体" w:eastAsia="宋体" w:hint="default"/>
                <w:sz w:val="20"/>
                <w:szCs w:val="20"/>
              </w:rPr>
              <w:t>日</w:t>
            </w:r>
          </w:p>
        </w:tc>
        <w:tc>
          <w:tcPr>
            <w:tcW w:w="1347"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82" w:right="0"/>
              <w:jc w:val="left"/>
              <w:rPr>
                <w:rFonts w:ascii="宋体" w:hAnsi="宋体" w:cs="宋体" w:eastAsia="宋体" w:hint="default"/>
                <w:sz w:val="20"/>
                <w:szCs w:val="20"/>
              </w:rPr>
            </w:pPr>
            <w:r>
              <w:rPr>
                <w:rFonts w:ascii="宋体" w:hAnsi="宋体" w:cs="宋体" w:eastAsia="宋体" w:hint="default"/>
                <w:sz w:val="20"/>
                <w:szCs w:val="20"/>
              </w:rPr>
              <w:t>本年增加</w:t>
            </w:r>
          </w:p>
        </w:tc>
        <w:tc>
          <w:tcPr>
            <w:tcW w:w="1302"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98" w:right="0"/>
              <w:jc w:val="left"/>
              <w:rPr>
                <w:rFonts w:ascii="宋体" w:hAnsi="宋体" w:cs="宋体" w:eastAsia="宋体" w:hint="default"/>
                <w:sz w:val="20"/>
                <w:szCs w:val="20"/>
              </w:rPr>
            </w:pPr>
            <w:r>
              <w:rPr>
                <w:rFonts w:ascii="宋体" w:hAnsi="宋体" w:cs="宋体" w:eastAsia="宋体" w:hint="default"/>
                <w:sz w:val="20"/>
                <w:szCs w:val="20"/>
              </w:rPr>
              <w:t>本年减少</w:t>
            </w:r>
          </w:p>
        </w:tc>
        <w:tc>
          <w:tcPr>
            <w:tcW w:w="1479" w:type="dxa"/>
            <w:tcBorders>
              <w:top w:val="nil" w:sz="6" w:space="0" w:color="auto"/>
              <w:left w:val="nil" w:sz="6" w:space="0" w:color="auto"/>
              <w:bottom w:val="single" w:sz="6" w:space="0" w:color="000000"/>
              <w:right w:val="nil" w:sz="6" w:space="0" w:color="auto"/>
            </w:tcBorders>
          </w:tcPr>
          <w:p>
            <w:pPr>
              <w:pStyle w:val="TableParagraph"/>
              <w:spacing w:line="207" w:lineRule="exact"/>
              <w:ind w:left="706" w:right="0"/>
              <w:jc w:val="left"/>
              <w:rPr>
                <w:rFonts w:ascii="宋体" w:hAnsi="宋体" w:cs="宋体" w:eastAsia="宋体" w:hint="default"/>
                <w:sz w:val="20"/>
                <w:szCs w:val="20"/>
              </w:rPr>
            </w:pPr>
            <w:r>
              <w:rPr>
                <w:rFonts w:ascii="Arial" w:hAnsi="Arial" w:cs="Arial" w:eastAsia="Arial" w:hint="default"/>
                <w:sz w:val="20"/>
                <w:szCs w:val="20"/>
              </w:rPr>
              <w:t>2019</w:t>
            </w:r>
            <w:r>
              <w:rPr>
                <w:rFonts w:ascii="Arial" w:hAnsi="Arial" w:cs="Arial" w:eastAsia="Arial" w:hint="default"/>
                <w:spacing w:val="-11"/>
                <w:sz w:val="20"/>
                <w:szCs w:val="20"/>
              </w:rPr>
              <w:t> </w:t>
            </w:r>
            <w:r>
              <w:rPr>
                <w:rFonts w:ascii="宋体" w:hAnsi="宋体" w:cs="宋体" w:eastAsia="宋体" w:hint="default"/>
                <w:sz w:val="20"/>
                <w:szCs w:val="20"/>
              </w:rPr>
              <w:t>年</w:t>
            </w:r>
          </w:p>
          <w:p>
            <w:pPr>
              <w:pStyle w:val="TableParagraph"/>
              <w:spacing w:line="268" w:lineRule="exact"/>
              <w:ind w:left="408" w:right="0"/>
              <w:jc w:val="left"/>
              <w:rPr>
                <w:rFonts w:ascii="宋体" w:hAnsi="宋体" w:cs="宋体" w:eastAsia="宋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宋体" w:hAnsi="宋体" w:cs="宋体" w:eastAsia="宋体" w:hint="default"/>
                <w:sz w:val="20"/>
                <w:szCs w:val="20"/>
              </w:rPr>
              <w:t>日</w:t>
            </w:r>
          </w:p>
        </w:tc>
      </w:tr>
      <w:tr>
        <w:trPr>
          <w:trHeight w:val="465" w:hRule="exact"/>
        </w:trPr>
        <w:tc>
          <w:tcPr>
            <w:tcW w:w="2093" w:type="dxa"/>
            <w:tcBorders>
              <w:top w:val="single" w:sz="6" w:space="0" w:color="000000"/>
              <w:left w:val="nil" w:sz="6" w:space="0" w:color="auto"/>
              <w:bottom w:val="nil" w:sz="6" w:space="0" w:color="auto"/>
              <w:right w:val="nil" w:sz="6" w:space="0" w:color="auto"/>
            </w:tcBorders>
          </w:tcPr>
          <w:p>
            <w:pPr>
              <w:pStyle w:val="TableParagraph"/>
              <w:spacing w:line="240" w:lineRule="auto" w:before="155"/>
              <w:ind w:left="14" w:right="0"/>
              <w:jc w:val="left"/>
              <w:rPr>
                <w:rFonts w:ascii="宋体" w:hAnsi="宋体" w:cs="宋体" w:eastAsia="宋体" w:hint="default"/>
                <w:sz w:val="20"/>
                <w:szCs w:val="20"/>
              </w:rPr>
            </w:pPr>
            <w:r>
              <w:rPr>
                <w:rFonts w:ascii="宋体" w:hAnsi="宋体" w:cs="宋体" w:eastAsia="宋体" w:hint="default"/>
                <w:sz w:val="20"/>
                <w:szCs w:val="20"/>
              </w:rPr>
              <w:t>发起人出资溢价</w:t>
            </w:r>
          </w:p>
        </w:tc>
        <w:tc>
          <w:tcPr>
            <w:tcW w:w="955" w:type="dxa"/>
            <w:tcBorders>
              <w:top w:val="single" w:sz="6" w:space="0" w:color="000000"/>
              <w:left w:val="nil" w:sz="6" w:space="0" w:color="auto"/>
              <w:bottom w:val="nil" w:sz="6" w:space="0" w:color="auto"/>
              <w:right w:val="nil" w:sz="6" w:space="0" w:color="auto"/>
            </w:tcBorders>
          </w:tcPr>
          <w:p>
            <w:pPr/>
          </w:p>
        </w:tc>
        <w:tc>
          <w:tcPr>
            <w:tcW w:w="1757" w:type="dxa"/>
            <w:tcBorders>
              <w:top w:val="single" w:sz="6"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278" w:right="0"/>
              <w:jc w:val="left"/>
              <w:rPr>
                <w:rFonts w:ascii="Arial" w:hAnsi="Arial" w:cs="Arial" w:eastAsia="Arial" w:hint="default"/>
                <w:sz w:val="20"/>
                <w:szCs w:val="20"/>
              </w:rPr>
            </w:pPr>
            <w:r>
              <w:rPr>
                <w:rFonts w:ascii="Arial"/>
                <w:sz w:val="20"/>
              </w:rPr>
              <w:t>7,913,551,905</w:t>
            </w:r>
          </w:p>
        </w:tc>
        <w:tc>
          <w:tcPr>
            <w:tcW w:w="1347" w:type="dxa"/>
            <w:tcBorders>
              <w:top w:val="single" w:sz="6"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82"/>
              <w:jc w:val="right"/>
              <w:rPr>
                <w:rFonts w:ascii="Arial" w:hAnsi="Arial" w:cs="Arial" w:eastAsia="Arial" w:hint="default"/>
                <w:sz w:val="20"/>
                <w:szCs w:val="20"/>
              </w:rPr>
            </w:pPr>
            <w:r>
              <w:rPr>
                <w:rFonts w:ascii="Arial"/>
                <w:w w:val="100"/>
                <w:sz w:val="20"/>
              </w:rPr>
              <w:t>-</w:t>
            </w:r>
          </w:p>
        </w:tc>
        <w:tc>
          <w:tcPr>
            <w:tcW w:w="1302" w:type="dxa"/>
            <w:tcBorders>
              <w:top w:val="single" w:sz="6"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79"/>
              <w:jc w:val="right"/>
              <w:rPr>
                <w:rFonts w:ascii="Arial" w:hAnsi="Arial" w:cs="Arial" w:eastAsia="Arial" w:hint="default"/>
                <w:sz w:val="20"/>
                <w:szCs w:val="20"/>
              </w:rPr>
            </w:pPr>
            <w:r>
              <w:rPr>
                <w:rFonts w:ascii="Arial"/>
                <w:w w:val="100"/>
                <w:sz w:val="20"/>
              </w:rPr>
              <w:t>-</w:t>
            </w:r>
          </w:p>
        </w:tc>
        <w:tc>
          <w:tcPr>
            <w:tcW w:w="1479" w:type="dxa"/>
            <w:tcBorders>
              <w:top w:val="single" w:sz="6"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1"/>
              <w:jc w:val="right"/>
              <w:rPr>
                <w:rFonts w:ascii="Arial" w:hAnsi="Arial" w:cs="Arial" w:eastAsia="Arial" w:hint="default"/>
                <w:sz w:val="20"/>
                <w:szCs w:val="20"/>
              </w:rPr>
            </w:pPr>
            <w:r>
              <w:rPr>
                <w:rFonts w:ascii="Arial"/>
                <w:spacing w:val="-2"/>
                <w:sz w:val="20"/>
              </w:rPr>
              <w:t>7,913,551,905</w:t>
            </w:r>
            <w:r>
              <w:rPr>
                <w:rFonts w:ascii="Arial"/>
                <w:sz w:val="20"/>
              </w:rPr>
            </w:r>
          </w:p>
        </w:tc>
      </w:tr>
      <w:tr>
        <w:trPr>
          <w:trHeight w:val="259" w:hRule="exact"/>
        </w:trPr>
        <w:tc>
          <w:tcPr>
            <w:tcW w:w="2093" w:type="dxa"/>
            <w:tcBorders>
              <w:top w:val="nil" w:sz="6" w:space="0" w:color="auto"/>
              <w:left w:val="nil" w:sz="6" w:space="0" w:color="auto"/>
              <w:bottom w:val="nil" w:sz="6" w:space="0" w:color="auto"/>
              <w:right w:val="nil" w:sz="6" w:space="0" w:color="auto"/>
            </w:tcBorders>
          </w:tcPr>
          <w:p>
            <w:pPr>
              <w:pStyle w:val="TableParagraph"/>
              <w:spacing w:line="218" w:lineRule="exact"/>
              <w:ind w:left="14" w:right="0"/>
              <w:jc w:val="left"/>
              <w:rPr>
                <w:rFonts w:ascii="宋体" w:hAnsi="宋体" w:cs="宋体" w:eastAsia="宋体" w:hint="default"/>
                <w:sz w:val="20"/>
                <w:szCs w:val="20"/>
              </w:rPr>
            </w:pPr>
            <w:r>
              <w:rPr>
                <w:rFonts w:ascii="宋体" w:hAnsi="宋体" w:cs="宋体" w:eastAsia="宋体" w:hint="default"/>
                <w:sz w:val="20"/>
                <w:szCs w:val="20"/>
              </w:rPr>
              <w:t>人民币普通股发行溢价</w:t>
            </w:r>
          </w:p>
        </w:tc>
        <w:tc>
          <w:tcPr>
            <w:tcW w:w="955" w:type="dxa"/>
            <w:tcBorders>
              <w:top w:val="nil" w:sz="6" w:space="0" w:color="auto"/>
              <w:left w:val="nil" w:sz="6" w:space="0" w:color="auto"/>
              <w:bottom w:val="nil" w:sz="6" w:space="0" w:color="auto"/>
              <w:right w:val="nil" w:sz="6" w:space="0" w:color="auto"/>
            </w:tcBorders>
          </w:tcPr>
          <w:p>
            <w:pPr>
              <w:pStyle w:val="TableParagraph"/>
              <w:spacing w:line="232" w:lineRule="exact"/>
              <w:ind w:right="7"/>
              <w:jc w:val="center"/>
              <w:rPr>
                <w:rFonts w:ascii="Arial" w:hAnsi="Arial" w:cs="Arial" w:eastAsia="Arial" w:hint="default"/>
                <w:sz w:val="20"/>
                <w:szCs w:val="20"/>
              </w:rPr>
            </w:pPr>
            <w:r>
              <w:rPr>
                <w:rFonts w:ascii="宋体" w:hAnsi="宋体" w:cs="宋体" w:eastAsia="宋体" w:hint="default"/>
                <w:sz w:val="20"/>
                <w:szCs w:val="20"/>
              </w:rPr>
              <w:t>五</w:t>
            </w:r>
            <w:r>
              <w:rPr>
                <w:rFonts w:ascii="Arial" w:hAnsi="Arial" w:cs="Arial" w:eastAsia="Arial" w:hint="default"/>
                <w:sz w:val="20"/>
                <w:szCs w:val="20"/>
              </w:rPr>
              <w:t>(32)(a)</w:t>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63" w:right="0"/>
              <w:jc w:val="left"/>
              <w:rPr>
                <w:rFonts w:ascii="Arial" w:hAnsi="Arial" w:cs="Arial" w:eastAsia="Arial" w:hint="default"/>
                <w:sz w:val="20"/>
                <w:szCs w:val="20"/>
              </w:rPr>
            </w:pPr>
            <w:r>
              <w:rPr>
                <w:rFonts w:ascii="Arial"/>
                <w:sz w:val="20"/>
              </w:rPr>
              <w:t>63,921,138,788</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2"/>
              <w:jc w:val="right"/>
              <w:rPr>
                <w:rFonts w:ascii="Arial" w:hAnsi="Arial" w:cs="Arial" w:eastAsia="Arial" w:hint="default"/>
                <w:sz w:val="20"/>
                <w:szCs w:val="20"/>
              </w:rPr>
            </w:pPr>
            <w:r>
              <w:rPr>
                <w:rFonts w:ascii="Arial"/>
                <w:spacing w:val="-2"/>
                <w:sz w:val="20"/>
              </w:rPr>
              <w:t>36,705,240</w:t>
            </w:r>
            <w:r>
              <w:rPr>
                <w:rFonts w:ascii="Arial"/>
                <w:sz w:val="20"/>
              </w:rPr>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3"/>
              <w:jc w:val="right"/>
              <w:rPr>
                <w:rFonts w:ascii="Arial" w:hAnsi="Arial" w:cs="Arial" w:eastAsia="Arial" w:hint="default"/>
                <w:sz w:val="20"/>
                <w:szCs w:val="20"/>
              </w:rPr>
            </w:pPr>
            <w:r>
              <w:rPr>
                <w:rFonts w:ascii="Arial"/>
                <w:spacing w:val="-2"/>
                <w:sz w:val="20"/>
              </w:rPr>
              <w:t>(20,260,980)</w:t>
            </w:r>
            <w:r>
              <w:rPr>
                <w:rFonts w:ascii="Arial"/>
                <w:sz w:val="20"/>
              </w:rPr>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6"/>
              <w:jc w:val="right"/>
              <w:rPr>
                <w:rFonts w:ascii="Arial" w:hAnsi="Arial" w:cs="Arial" w:eastAsia="Arial" w:hint="default"/>
                <w:sz w:val="20"/>
                <w:szCs w:val="20"/>
              </w:rPr>
            </w:pPr>
            <w:r>
              <w:rPr>
                <w:rFonts w:ascii="Arial"/>
                <w:spacing w:val="-2"/>
                <w:sz w:val="20"/>
              </w:rPr>
              <w:t>63,937,583,048</w:t>
            </w:r>
            <w:r>
              <w:rPr>
                <w:rFonts w:ascii="Arial"/>
                <w:sz w:val="20"/>
              </w:rPr>
            </w:r>
          </w:p>
        </w:tc>
      </w:tr>
      <w:tr>
        <w:trPr>
          <w:trHeight w:val="382" w:hRule="exact"/>
        </w:trPr>
        <w:tc>
          <w:tcPr>
            <w:tcW w:w="2093" w:type="dxa"/>
            <w:tcBorders>
              <w:top w:val="nil" w:sz="6" w:space="0" w:color="auto"/>
              <w:left w:val="nil" w:sz="6" w:space="0" w:color="auto"/>
              <w:bottom w:val="nil" w:sz="6" w:space="0" w:color="auto"/>
              <w:right w:val="nil" w:sz="6" w:space="0" w:color="auto"/>
            </w:tcBorders>
          </w:tcPr>
          <w:p>
            <w:pPr>
              <w:pStyle w:val="TableParagraph"/>
              <w:spacing w:line="218" w:lineRule="exact"/>
              <w:ind w:left="14" w:right="0"/>
              <w:jc w:val="left"/>
              <w:rPr>
                <w:rFonts w:ascii="宋体" w:hAnsi="宋体" w:cs="宋体" w:eastAsia="宋体" w:hint="default"/>
                <w:sz w:val="20"/>
                <w:szCs w:val="20"/>
              </w:rPr>
            </w:pPr>
            <w:r>
              <w:rPr>
                <w:rFonts w:ascii="宋体" w:hAnsi="宋体" w:cs="宋体" w:eastAsia="宋体" w:hint="default"/>
                <w:sz w:val="20"/>
                <w:szCs w:val="20"/>
              </w:rPr>
              <w:t>股份支付</w:t>
            </w:r>
          </w:p>
        </w:tc>
        <w:tc>
          <w:tcPr>
            <w:tcW w:w="955" w:type="dxa"/>
            <w:tcBorders>
              <w:top w:val="nil" w:sz="6" w:space="0" w:color="auto"/>
              <w:left w:val="nil" w:sz="6" w:space="0" w:color="auto"/>
              <w:bottom w:val="nil" w:sz="6" w:space="0" w:color="auto"/>
              <w:right w:val="nil" w:sz="6" w:space="0" w:color="auto"/>
            </w:tcBorders>
          </w:tcPr>
          <w:p>
            <w:pPr>
              <w:pStyle w:val="TableParagraph"/>
              <w:spacing w:line="232" w:lineRule="exact"/>
              <w:ind w:right="3"/>
              <w:jc w:val="center"/>
              <w:rPr>
                <w:rFonts w:ascii="Arial" w:hAnsi="Arial" w:cs="Arial" w:eastAsia="Arial" w:hint="default"/>
                <w:sz w:val="20"/>
                <w:szCs w:val="20"/>
              </w:rPr>
            </w:pPr>
            <w:r>
              <w:rPr>
                <w:rFonts w:ascii="宋体" w:hAnsi="宋体" w:cs="宋体" w:eastAsia="宋体" w:hint="default"/>
                <w:sz w:val="20"/>
                <w:szCs w:val="20"/>
              </w:rPr>
              <w:t>五</w:t>
            </w:r>
            <w:r>
              <w:rPr>
                <w:rFonts w:ascii="Arial" w:hAnsi="Arial" w:cs="Arial" w:eastAsia="Arial" w:hint="default"/>
                <w:sz w:val="20"/>
                <w:szCs w:val="20"/>
              </w:rPr>
              <w:t>(32)(j)</w:t>
            </w:r>
          </w:p>
        </w:tc>
        <w:tc>
          <w:tcPr>
            <w:tcW w:w="1757" w:type="dxa"/>
            <w:tcBorders>
              <w:top w:val="nil" w:sz="6" w:space="0" w:color="auto"/>
              <w:left w:val="nil" w:sz="6" w:space="0" w:color="auto"/>
              <w:bottom w:val="nil" w:sz="6" w:space="0" w:color="auto"/>
              <w:right w:val="nil" w:sz="6" w:space="0" w:color="auto"/>
            </w:tcBorders>
          </w:tcPr>
          <w:p>
            <w:pPr>
              <w:pStyle w:val="TableParagraph"/>
              <w:tabs>
                <w:tab w:pos="441" w:val="left" w:leader="none"/>
                <w:tab w:pos="1939" w:val="left" w:leader="none"/>
              </w:tabs>
              <w:spacing w:line="240" w:lineRule="auto" w:before="16"/>
              <w:ind w:left="14" w:right="-183"/>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613,920,000</w:t>
            </w:r>
            <w:r>
              <w:rPr>
                <w:rFonts w:ascii="Arial"/>
                <w:spacing w:val="23"/>
                <w:sz w:val="20"/>
                <w:u w:val="single" w:color="000000"/>
              </w:rPr>
              <w:t> </w:t>
            </w:r>
            <w:r>
              <w:rPr>
                <w:rFonts w:ascii="Arial"/>
                <w:spacing w:val="23"/>
                <w:sz w:val="20"/>
              </w:rPr>
            </w:r>
            <w:r>
              <w:rPr>
                <w:rFonts w:ascii="Arial"/>
                <w:spacing w:val="-3"/>
                <w:sz w:val="20"/>
              </w:rPr>
              <w:t> </w:t>
            </w:r>
            <w:r>
              <w:rPr>
                <w:rFonts w:ascii="Arial"/>
                <w:spacing w:val="-3"/>
                <w:w w:val="100"/>
                <w:sz w:val="20"/>
              </w:rPr>
            </w:r>
            <w:r>
              <w:rPr>
                <w:rFonts w:ascii="Arial"/>
                <w:w w:val="100"/>
                <w:sz w:val="20"/>
                <w:u w:val="single" w:color="000000"/>
              </w:rPr>
              <w:t> </w:t>
            </w:r>
            <w:r>
              <w:rPr>
                <w:rFonts w:ascii="Arial"/>
                <w:sz w:val="20"/>
                <w:u w:val="single" w:color="000000"/>
              </w:rPr>
              <w:tab/>
            </w:r>
            <w:r>
              <w:rPr>
                <w:rFonts w:ascii="Arial"/>
                <w:sz w:val="20"/>
              </w:rPr>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2"/>
              <w:jc w:val="right"/>
              <w:rPr>
                <w:rFonts w:ascii="Arial" w:hAnsi="Arial" w:cs="Arial" w:eastAsia="Arial" w:hint="default"/>
                <w:sz w:val="20"/>
                <w:szCs w:val="20"/>
              </w:rPr>
            </w:pPr>
            <w:r>
              <w:rPr>
                <w:rFonts w:ascii="Arial"/>
                <w:w w:val="100"/>
                <w:sz w:val="20"/>
              </w:rPr>
            </w:r>
            <w:r>
              <w:rPr>
                <w:rFonts w:ascii="Arial"/>
                <w:spacing w:val="-2"/>
                <w:sz w:val="20"/>
                <w:u w:val="single" w:color="000000"/>
              </w:rPr>
              <w:t>570,670,000</w:t>
            </w:r>
            <w:r>
              <w:rPr>
                <w:rFonts w:ascii="Arial"/>
                <w:spacing w:val="-2"/>
                <w:sz w:val="20"/>
              </w:rPr>
            </w:r>
            <w:r>
              <w:rPr>
                <w:rFonts w:ascii="Arial"/>
                <w:sz w:val="20"/>
              </w:rPr>
            </w:r>
          </w:p>
        </w:tc>
        <w:tc>
          <w:tcPr>
            <w:tcW w:w="1302" w:type="dxa"/>
            <w:tcBorders>
              <w:top w:val="nil" w:sz="6" w:space="0" w:color="auto"/>
              <w:left w:val="nil" w:sz="6" w:space="0" w:color="auto"/>
              <w:bottom w:val="nil" w:sz="6" w:space="0" w:color="auto"/>
              <w:right w:val="nil" w:sz="6" w:space="0" w:color="auto"/>
            </w:tcBorders>
          </w:tcPr>
          <w:p>
            <w:pPr>
              <w:pStyle w:val="TableParagraph"/>
              <w:tabs>
                <w:tab w:pos="1041" w:val="left" w:leader="none"/>
                <w:tab w:pos="1228" w:val="left" w:leader="none"/>
              </w:tabs>
              <w:spacing w:line="240" w:lineRule="auto" w:before="16"/>
              <w:ind w:right="5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tab/>
            </w:r>
            <w:r>
              <w:rPr>
                <w:rFonts w:ascii="Arial"/>
                <w:sz w:val="20"/>
              </w:rPr>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4" w:right="11"/>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2"/>
                <w:sz w:val="20"/>
                <w:u w:val="single" w:color="000000"/>
              </w:rPr>
              <w:t> </w:t>
            </w:r>
            <w:r>
              <w:rPr>
                <w:rFonts w:ascii="Arial"/>
                <w:spacing w:val="-2"/>
                <w:sz w:val="20"/>
                <w:u w:val="single" w:color="000000"/>
              </w:rPr>
              <w:t>1,184,590,000</w:t>
            </w:r>
            <w:r>
              <w:rPr>
                <w:rFonts w:ascii="Arial"/>
                <w:spacing w:val="-2"/>
                <w:sz w:val="20"/>
              </w:rPr>
            </w:r>
            <w:r>
              <w:rPr>
                <w:rFonts w:ascii="Arial"/>
                <w:sz w:val="20"/>
              </w:rPr>
            </w:r>
          </w:p>
        </w:tc>
      </w:tr>
      <w:tr>
        <w:trPr>
          <w:trHeight w:val="392" w:hRule="exact"/>
        </w:trPr>
        <w:tc>
          <w:tcPr>
            <w:tcW w:w="2093"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4"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95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left="163" w:right="0"/>
              <w:jc w:val="left"/>
              <w:rPr>
                <w:rFonts w:ascii="Arial" w:hAnsi="Arial" w:cs="Arial" w:eastAsia="Arial" w:hint="default"/>
                <w:sz w:val="20"/>
                <w:szCs w:val="20"/>
              </w:rPr>
            </w:pPr>
            <w:r>
              <w:rPr>
                <w:rFonts w:ascii="Arial"/>
                <w:sz w:val="20"/>
              </w:rPr>
              <w:t>72,448,610,693</w:t>
            </w:r>
          </w:p>
        </w:tc>
        <w:tc>
          <w:tcPr>
            <w:tcW w:w="1347"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right="52"/>
              <w:jc w:val="right"/>
              <w:rPr>
                <w:rFonts w:ascii="Arial" w:hAnsi="Arial" w:cs="Arial" w:eastAsia="Arial" w:hint="default"/>
                <w:sz w:val="20"/>
                <w:szCs w:val="20"/>
              </w:rPr>
            </w:pPr>
            <w:r>
              <w:rPr>
                <w:rFonts w:ascii="Arial"/>
                <w:spacing w:val="-2"/>
                <w:sz w:val="20"/>
              </w:rPr>
              <w:t>607,375,240</w:t>
            </w:r>
            <w:r>
              <w:rPr>
                <w:rFonts w:ascii="Arial"/>
                <w:sz w:val="20"/>
              </w:rPr>
            </w:r>
          </w:p>
        </w:tc>
        <w:tc>
          <w:tcPr>
            <w:tcW w:w="1302"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right="70"/>
              <w:jc w:val="right"/>
              <w:rPr>
                <w:rFonts w:ascii="Arial" w:hAnsi="Arial" w:cs="Arial" w:eastAsia="Arial" w:hint="default"/>
                <w:sz w:val="20"/>
                <w:szCs w:val="20"/>
              </w:rPr>
            </w:pPr>
            <w:r>
              <w:rPr>
                <w:rFonts w:ascii="Arial"/>
                <w:spacing w:val="-2"/>
                <w:sz w:val="20"/>
              </w:rPr>
              <w:t>(20,260,980)</w:t>
            </w:r>
            <w:r>
              <w:rPr>
                <w:rFonts w:ascii="Arial"/>
                <w:sz w:val="20"/>
              </w:rPr>
            </w:r>
          </w:p>
        </w:tc>
        <w:tc>
          <w:tcPr>
            <w:tcW w:w="1479" w:type="dxa"/>
            <w:tcBorders>
              <w:top w:val="nil" w:sz="6" w:space="0" w:color="auto"/>
              <w:left w:val="nil" w:sz="6" w:space="0" w:color="auto"/>
              <w:bottom w:val="single" w:sz="17" w:space="0" w:color="000000"/>
              <w:right w:val="nil" w:sz="6" w:space="0" w:color="auto"/>
            </w:tcBorders>
          </w:tcPr>
          <w:p>
            <w:pPr>
              <w:pStyle w:val="TableParagraph"/>
              <w:spacing w:line="240" w:lineRule="auto" w:before="139"/>
              <w:ind w:right="11"/>
              <w:jc w:val="right"/>
              <w:rPr>
                <w:rFonts w:ascii="Arial" w:hAnsi="Arial" w:cs="Arial" w:eastAsia="Arial" w:hint="default"/>
                <w:sz w:val="20"/>
                <w:szCs w:val="20"/>
              </w:rPr>
            </w:pPr>
            <w:r>
              <w:rPr>
                <w:rFonts w:ascii="Arial"/>
                <w:spacing w:val="-2"/>
                <w:sz w:val="20"/>
              </w:rPr>
              <w:t>73,035,724,953</w:t>
            </w:r>
            <w:r>
              <w:rPr>
                <w:rFonts w:ascii="Arial"/>
                <w:sz w:val="20"/>
              </w:rPr>
            </w:r>
          </w:p>
        </w:tc>
      </w:tr>
    </w:tbl>
    <w:p>
      <w:pPr>
        <w:spacing w:line="240" w:lineRule="auto" w:before="2"/>
        <w:rPr>
          <w:rFonts w:ascii="宋体" w:hAnsi="宋体" w:cs="宋体" w:eastAsia="宋体" w:hint="default"/>
          <w:sz w:val="14"/>
          <w:szCs w:val="14"/>
        </w:rPr>
      </w:pPr>
    </w:p>
    <w:p>
      <w:pPr>
        <w:pStyle w:val="BodyText"/>
        <w:spacing w:line="296" w:lineRule="exact" w:before="32"/>
        <w:ind w:left="741" w:right="0"/>
        <w:jc w:val="left"/>
      </w:pPr>
      <w:r>
        <w:rPr/>
        <w:t>如附注五</w:t>
      </w:r>
      <w:r>
        <w:rPr>
          <w:rFonts w:ascii="Arial" w:hAnsi="Arial" w:cs="Arial" w:eastAsia="Arial" w:hint="default"/>
        </w:rPr>
        <w:t>(32)</w:t>
      </w:r>
      <w:r>
        <w:rPr/>
        <w:t>及附注十二所述，本公司将 </w:t>
      </w:r>
      <w:r>
        <w:rPr>
          <w:rFonts w:ascii="Arial" w:hAnsi="Arial" w:cs="Arial" w:eastAsia="Arial" w:hint="default"/>
        </w:rPr>
        <w:t>2019</w:t>
      </w:r>
      <w:r>
        <w:rPr>
          <w:rFonts w:ascii="Arial" w:hAnsi="Arial" w:cs="Arial" w:eastAsia="Arial" w:hint="default"/>
          <w:spacing w:val="25"/>
        </w:rPr>
        <w:t> </w:t>
      </w:r>
      <w:r>
        <w:rPr/>
        <w:t>年向限制性股票激励计划激励预留授予及回购注</w:t>
      </w:r>
    </w:p>
    <w:p>
      <w:pPr>
        <w:pStyle w:val="BodyText"/>
        <w:spacing w:line="284" w:lineRule="exact" w:before="22"/>
        <w:ind w:left="741" w:right="95"/>
        <w:jc w:val="left"/>
      </w:pPr>
      <w:r>
        <w:rPr/>
        <w:t>销人民币普通股股票，相应的溢价变动及当期通过股份支付获取的服务人民币 </w:t>
      </w:r>
      <w:r>
        <w:rPr>
          <w:rFonts w:ascii="Arial" w:hAnsi="Arial" w:cs="Arial" w:eastAsia="Arial" w:hint="default"/>
        </w:rPr>
        <w:t>5.71</w:t>
      </w:r>
      <w:r>
        <w:rPr>
          <w:rFonts w:ascii="Arial" w:hAnsi="Arial" w:cs="Arial" w:eastAsia="Arial" w:hint="default"/>
          <w:spacing w:val="33"/>
        </w:rPr>
        <w:t> </w:t>
      </w:r>
      <w:r>
        <w:rPr/>
        <w:t>亿元计入资</w:t>
      </w:r>
      <w:r>
        <w:rPr>
          <w:w w:val="100"/>
        </w:rPr>
        <w:t> </w:t>
      </w:r>
      <w:r>
        <w:rPr/>
        <w:t>本公积。</w:t>
      </w:r>
    </w:p>
    <w:p>
      <w:pPr>
        <w:spacing w:after="0" w:line="284" w:lineRule="exact"/>
        <w:jc w:val="left"/>
        <w:sectPr>
          <w:headerReference w:type="default" r:id="rId235"/>
          <w:pgSz w:w="11910" w:h="16840"/>
          <w:pgMar w:header="1183" w:footer="502" w:top="3040" w:bottom="700" w:left="1020" w:right="820"/>
        </w:sectPr>
      </w:pPr>
    </w:p>
    <w:p>
      <w:pPr>
        <w:spacing w:line="240" w:lineRule="auto" w:before="7"/>
        <w:rPr>
          <w:rFonts w:ascii="宋体" w:hAnsi="宋体" w:cs="宋体" w:eastAsia="宋体" w:hint="default"/>
          <w:sz w:val="16"/>
          <w:szCs w:val="16"/>
        </w:rPr>
      </w:pPr>
    </w:p>
    <w:p>
      <w:pPr>
        <w:pStyle w:val="BodyText"/>
        <w:tabs>
          <w:tab w:pos="770" w:val="left" w:leader="none"/>
        </w:tabs>
        <w:spacing w:line="240" w:lineRule="auto" w:before="32"/>
        <w:ind w:left="122" w:right="0"/>
        <w:jc w:val="left"/>
      </w:pPr>
      <w:r>
        <w:rPr>
          <w:rFonts w:ascii="Arial" w:hAnsi="Arial" w:cs="Arial" w:eastAsia="Arial" w:hint="default"/>
        </w:rPr>
        <w:t>7</w:t>
      </w:r>
      <w:r>
        <w:rPr/>
        <w:t>、</w:t>
        <w:tab/>
        <w:t>库存股</w:t>
      </w:r>
    </w:p>
    <w:p>
      <w:pPr>
        <w:spacing w:line="240" w:lineRule="auto" w:before="8"/>
        <w:rPr>
          <w:rFonts w:ascii="宋体" w:hAnsi="宋体" w:cs="宋体" w:eastAsia="宋体" w:hint="default"/>
          <w:sz w:val="22"/>
          <w:szCs w:val="22"/>
        </w:rPr>
      </w:pPr>
    </w:p>
    <w:tbl>
      <w:tblPr>
        <w:tblW w:w="0" w:type="auto"/>
        <w:jc w:val="left"/>
        <w:tblInd w:w="594" w:type="dxa"/>
        <w:tblLayout w:type="fixed"/>
        <w:tblCellMar>
          <w:top w:w="0" w:type="dxa"/>
          <w:left w:w="0" w:type="dxa"/>
          <w:bottom w:w="0" w:type="dxa"/>
          <w:right w:w="0" w:type="dxa"/>
        </w:tblCellMar>
        <w:tblLook w:val="01E0"/>
      </w:tblPr>
      <w:tblGrid>
        <w:gridCol w:w="2317"/>
        <w:gridCol w:w="1448"/>
        <w:gridCol w:w="11"/>
        <w:gridCol w:w="1781"/>
        <w:gridCol w:w="19"/>
        <w:gridCol w:w="1715"/>
        <w:gridCol w:w="13"/>
        <w:gridCol w:w="106"/>
        <w:gridCol w:w="1680"/>
      </w:tblGrid>
      <w:tr>
        <w:trPr>
          <w:trHeight w:val="260" w:hRule="exact"/>
        </w:trPr>
        <w:tc>
          <w:tcPr>
            <w:tcW w:w="2317" w:type="dxa"/>
            <w:tcBorders>
              <w:top w:val="nil" w:sz="6" w:space="0" w:color="auto"/>
              <w:left w:val="nil" w:sz="6" w:space="0" w:color="auto"/>
              <w:bottom w:val="nil" w:sz="6" w:space="0" w:color="auto"/>
              <w:right w:val="nil" w:sz="6" w:space="0" w:color="auto"/>
            </w:tcBorders>
          </w:tcPr>
          <w:p>
            <w:pPr/>
          </w:p>
        </w:tc>
        <w:tc>
          <w:tcPr>
            <w:tcW w:w="1448" w:type="dxa"/>
            <w:vMerge w:val="restart"/>
            <w:tcBorders>
              <w:top w:val="nil" w:sz="6" w:space="0" w:color="auto"/>
              <w:left w:val="nil" w:sz="6" w:space="0" w:color="auto"/>
              <w:right w:val="nil" w:sz="6" w:space="0" w:color="auto"/>
            </w:tcBorders>
          </w:tcPr>
          <w:p>
            <w:pPr>
              <w:pStyle w:val="TableParagraph"/>
              <w:spacing w:line="234" w:lineRule="exact"/>
              <w:ind w:left="561" w:right="0"/>
              <w:jc w:val="left"/>
              <w:rPr>
                <w:rFonts w:ascii="宋体" w:hAnsi="宋体" w:cs="宋体" w:eastAsia="宋体" w:hint="default"/>
                <w:sz w:val="22"/>
                <w:szCs w:val="22"/>
              </w:rPr>
            </w:pPr>
            <w:r>
              <w:rPr>
                <w:rFonts w:ascii="Arial" w:hAnsi="Arial" w:cs="Arial" w:eastAsia="Arial" w:hint="default"/>
                <w:sz w:val="22"/>
                <w:szCs w:val="22"/>
              </w:rPr>
              <w:t>2018</w:t>
            </w:r>
            <w:r>
              <w:rPr>
                <w:rFonts w:ascii="Arial" w:hAnsi="Arial" w:cs="Arial" w:eastAsia="Arial" w:hint="default"/>
                <w:spacing w:val="-4"/>
                <w:sz w:val="22"/>
                <w:szCs w:val="22"/>
              </w:rPr>
              <w:t> </w:t>
            </w:r>
            <w:r>
              <w:rPr>
                <w:rFonts w:ascii="宋体" w:hAnsi="宋体" w:cs="宋体" w:eastAsia="宋体" w:hint="default"/>
                <w:sz w:val="22"/>
                <w:szCs w:val="22"/>
              </w:rPr>
              <w:t>年</w:t>
            </w:r>
          </w:p>
          <w:p>
            <w:pPr>
              <w:pStyle w:val="TableParagraph"/>
              <w:spacing w:line="296" w:lineRule="exact"/>
              <w:ind w:left="230" w:right="0"/>
              <w:jc w:val="left"/>
              <w:rPr>
                <w:rFonts w:ascii="宋体" w:hAnsi="宋体" w:cs="宋体" w:eastAsia="宋体" w:hint="default"/>
                <w:sz w:val="18"/>
                <w:szCs w:val="18"/>
              </w:rPr>
            </w:pP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pacing w:val="-5"/>
                <w:sz w:val="22"/>
                <w:szCs w:val="22"/>
              </w:rPr>
              <w:t>日</w:t>
            </w:r>
            <w:r>
              <w:rPr>
                <w:rFonts w:ascii="宋体" w:hAnsi="宋体" w:cs="宋体" w:eastAsia="宋体" w:hint="default"/>
                <w:w w:val="101"/>
                <w:sz w:val="18"/>
                <w:szCs w:val="18"/>
              </w:rPr>
              <w:t> </w:t>
            </w:r>
            <w:r>
              <w:rPr>
                <w:rFonts w:ascii="宋体" w:hAnsi="宋体" w:cs="宋体" w:eastAsia="宋体" w:hint="default"/>
                <w:sz w:val="18"/>
                <w:szCs w:val="18"/>
              </w:rPr>
            </w:r>
          </w:p>
        </w:tc>
        <w:tc>
          <w:tcPr>
            <w:tcW w:w="11" w:type="dxa"/>
            <w:tcBorders>
              <w:top w:val="nil" w:sz="6" w:space="0" w:color="auto"/>
              <w:left w:val="nil" w:sz="6" w:space="0" w:color="auto"/>
              <w:bottom w:val="nil" w:sz="6" w:space="0" w:color="auto"/>
              <w:right w:val="nil" w:sz="6" w:space="0" w:color="auto"/>
            </w:tcBorders>
          </w:tcPr>
          <w:p>
            <w:pPr/>
          </w:p>
        </w:tc>
        <w:tc>
          <w:tcPr>
            <w:tcW w:w="1781" w:type="dxa"/>
            <w:tcBorders>
              <w:top w:val="nil" w:sz="6" w:space="0" w:color="auto"/>
              <w:left w:val="nil" w:sz="6" w:space="0" w:color="auto"/>
              <w:bottom w:val="nil" w:sz="6" w:space="0" w:color="auto"/>
              <w:right w:val="nil" w:sz="6" w:space="0" w:color="auto"/>
            </w:tcBorders>
          </w:tcPr>
          <w:p>
            <w:pPr>
              <w:pStyle w:val="TableParagraph"/>
              <w:spacing w:line="182" w:lineRule="exact"/>
              <w:ind w:right="0"/>
              <w:jc w:val="left"/>
              <w:rPr>
                <w:rFonts w:ascii="宋体" w:hAnsi="宋体" w:cs="宋体" w:eastAsia="宋体" w:hint="default"/>
                <w:sz w:val="18"/>
                <w:szCs w:val="18"/>
              </w:rPr>
            </w:pPr>
            <w:r>
              <w:rPr>
                <w:rFonts w:ascii="宋体"/>
                <w:w w:val="101"/>
                <w:sz w:val="18"/>
              </w:rPr>
              <w:t> </w:t>
            </w:r>
            <w:r>
              <w:rPr>
                <w:rFonts w:ascii="宋体"/>
                <w:sz w:val="18"/>
              </w:rPr>
            </w:r>
          </w:p>
        </w:tc>
        <w:tc>
          <w:tcPr>
            <w:tcW w:w="19"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Style w:val="TableParagraph"/>
              <w:spacing w:line="226" w:lineRule="exact"/>
              <w:ind w:right="0"/>
              <w:jc w:val="left"/>
              <w:rPr>
                <w:rFonts w:ascii="宋体" w:hAnsi="宋体" w:cs="宋体" w:eastAsia="宋体" w:hint="default"/>
                <w:sz w:val="22"/>
                <w:szCs w:val="22"/>
              </w:rPr>
            </w:pPr>
            <w:r>
              <w:rPr>
                <w:rFonts w:ascii="宋体"/>
                <w:w w:val="100"/>
                <w:sz w:val="22"/>
              </w:rPr>
              <w:t> </w:t>
            </w:r>
          </w:p>
        </w:tc>
        <w:tc>
          <w:tcPr>
            <w:tcW w:w="13" w:type="dxa"/>
            <w:tcBorders>
              <w:top w:val="nil" w:sz="6" w:space="0" w:color="auto"/>
              <w:left w:val="nil" w:sz="6" w:space="0" w:color="auto"/>
              <w:bottom w:val="nil" w:sz="6" w:space="0" w:color="auto"/>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Style w:val="TableParagraph"/>
              <w:spacing w:line="182" w:lineRule="exact"/>
              <w:ind w:right="0"/>
              <w:jc w:val="left"/>
              <w:rPr>
                <w:rFonts w:ascii="宋体" w:hAnsi="宋体" w:cs="宋体" w:eastAsia="宋体" w:hint="default"/>
                <w:sz w:val="18"/>
                <w:szCs w:val="18"/>
              </w:rPr>
            </w:pPr>
            <w:r>
              <w:rPr>
                <w:rFonts w:ascii="宋体"/>
                <w:w w:val="101"/>
                <w:sz w:val="18"/>
              </w:rPr>
              <w:t> </w:t>
            </w:r>
            <w:r>
              <w:rPr>
                <w:rFonts w:ascii="宋体"/>
                <w:sz w:val="18"/>
              </w:rPr>
            </w:r>
          </w:p>
        </w:tc>
        <w:tc>
          <w:tcPr>
            <w:tcW w:w="1680" w:type="dxa"/>
            <w:vMerge w:val="restart"/>
            <w:tcBorders>
              <w:top w:val="nil" w:sz="6" w:space="0" w:color="auto"/>
              <w:left w:val="nil" w:sz="6" w:space="0" w:color="auto"/>
              <w:right w:val="nil" w:sz="6" w:space="0" w:color="auto"/>
            </w:tcBorders>
          </w:tcPr>
          <w:p>
            <w:pPr>
              <w:pStyle w:val="TableParagraph"/>
              <w:spacing w:line="234" w:lineRule="exact"/>
              <w:ind w:left="806" w:right="0"/>
              <w:jc w:val="left"/>
              <w:rPr>
                <w:rFonts w:ascii="宋体" w:hAnsi="宋体" w:cs="宋体" w:eastAsia="宋体" w:hint="default"/>
                <w:sz w:val="22"/>
                <w:szCs w:val="22"/>
              </w:rPr>
            </w:pPr>
            <w:r>
              <w:rPr>
                <w:rFonts w:ascii="Arial" w:hAnsi="Arial" w:cs="Arial" w:eastAsia="Arial" w:hint="default"/>
                <w:sz w:val="22"/>
                <w:szCs w:val="22"/>
              </w:rPr>
              <w:t>2019</w:t>
            </w:r>
            <w:r>
              <w:rPr>
                <w:rFonts w:ascii="Arial" w:hAnsi="Arial" w:cs="Arial" w:eastAsia="Arial" w:hint="default"/>
                <w:spacing w:val="-4"/>
                <w:sz w:val="22"/>
                <w:szCs w:val="22"/>
              </w:rPr>
              <w:t> </w:t>
            </w:r>
            <w:r>
              <w:rPr>
                <w:rFonts w:ascii="宋体" w:hAnsi="宋体" w:cs="宋体" w:eastAsia="宋体" w:hint="default"/>
                <w:sz w:val="22"/>
                <w:szCs w:val="22"/>
              </w:rPr>
              <w:t>年</w:t>
            </w:r>
          </w:p>
          <w:p>
            <w:pPr>
              <w:pStyle w:val="TableParagraph"/>
              <w:spacing w:line="296" w:lineRule="exact"/>
              <w:ind w:left="480" w:right="0"/>
              <w:jc w:val="left"/>
              <w:rPr>
                <w:rFonts w:ascii="宋体" w:hAnsi="宋体" w:cs="宋体" w:eastAsia="宋体" w:hint="default"/>
                <w:sz w:val="18"/>
                <w:szCs w:val="18"/>
              </w:rPr>
            </w:pPr>
            <w:r>
              <w:rPr>
                <w:rFonts w:ascii="Arial" w:hAnsi="Arial" w:cs="Arial" w:eastAsia="Arial" w:hint="default"/>
                <w:sz w:val="22"/>
                <w:szCs w:val="22"/>
              </w:rPr>
              <w:t>12</w:t>
            </w:r>
            <w:r>
              <w:rPr>
                <w:rFonts w:ascii="Arial" w:hAnsi="Arial" w:cs="Arial" w:eastAsia="Arial"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5"/>
                <w:sz w:val="22"/>
                <w:szCs w:val="22"/>
              </w:rPr>
              <w:t> </w:t>
            </w:r>
            <w:r>
              <w:rPr>
                <w:rFonts w:ascii="宋体" w:hAnsi="宋体" w:cs="宋体" w:eastAsia="宋体" w:hint="default"/>
                <w:spacing w:val="-5"/>
                <w:sz w:val="22"/>
                <w:szCs w:val="22"/>
              </w:rPr>
              <w:t>日</w:t>
            </w:r>
            <w:r>
              <w:rPr>
                <w:rFonts w:ascii="宋体" w:hAnsi="宋体" w:cs="宋体" w:eastAsia="宋体" w:hint="default"/>
                <w:w w:val="101"/>
                <w:sz w:val="18"/>
                <w:szCs w:val="18"/>
              </w:rPr>
              <w:t> </w:t>
            </w:r>
            <w:r>
              <w:rPr>
                <w:rFonts w:ascii="宋体" w:hAnsi="宋体" w:cs="宋体" w:eastAsia="宋体" w:hint="default"/>
                <w:sz w:val="18"/>
                <w:szCs w:val="18"/>
              </w:rPr>
            </w:r>
          </w:p>
        </w:tc>
      </w:tr>
      <w:tr>
        <w:trPr>
          <w:trHeight w:val="291" w:hRule="exact"/>
        </w:trPr>
        <w:tc>
          <w:tcPr>
            <w:tcW w:w="231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00" w:right="0"/>
              <w:jc w:val="left"/>
              <w:rPr>
                <w:rFonts w:ascii="宋体" w:hAnsi="宋体" w:cs="宋体" w:eastAsia="宋体" w:hint="default"/>
                <w:sz w:val="18"/>
                <w:szCs w:val="18"/>
              </w:rPr>
            </w:pPr>
            <w:r>
              <w:rPr>
                <w:rFonts w:ascii="宋体"/>
                <w:w w:val="101"/>
                <w:sz w:val="18"/>
              </w:rPr>
              <w:t> </w:t>
            </w:r>
            <w:r>
              <w:rPr>
                <w:rFonts w:ascii="宋体"/>
                <w:sz w:val="18"/>
              </w:rPr>
            </w:r>
          </w:p>
        </w:tc>
        <w:tc>
          <w:tcPr>
            <w:tcW w:w="1448" w:type="dxa"/>
            <w:vMerge/>
            <w:tcBorders>
              <w:left w:val="nil" w:sz="6" w:space="0" w:color="auto"/>
              <w:bottom w:val="single" w:sz="4" w:space="0" w:color="000000"/>
              <w:right w:val="nil" w:sz="6" w:space="0" w:color="auto"/>
            </w:tcBorders>
          </w:tcPr>
          <w:p>
            <w:pPr/>
          </w:p>
        </w:tc>
        <w:tc>
          <w:tcPr>
            <w:tcW w:w="11" w:type="dxa"/>
            <w:tcBorders>
              <w:top w:val="nil" w:sz="6" w:space="0" w:color="auto"/>
              <w:left w:val="nil" w:sz="6" w:space="0" w:color="auto"/>
              <w:bottom w:val="nil" w:sz="6" w:space="0" w:color="auto"/>
              <w:right w:val="nil" w:sz="6" w:space="0" w:color="auto"/>
            </w:tcBorders>
          </w:tcPr>
          <w:p>
            <w:pPr/>
          </w:p>
        </w:tc>
        <w:tc>
          <w:tcPr>
            <w:tcW w:w="1781" w:type="dxa"/>
            <w:tcBorders>
              <w:top w:val="nil" w:sz="6" w:space="0" w:color="auto"/>
              <w:left w:val="nil" w:sz="6" w:space="0" w:color="auto"/>
              <w:bottom w:val="single" w:sz="4" w:space="0" w:color="000000"/>
              <w:right w:val="nil" w:sz="6" w:space="0" w:color="auto"/>
            </w:tcBorders>
          </w:tcPr>
          <w:p>
            <w:pPr>
              <w:pStyle w:val="TableParagraph"/>
              <w:spacing w:line="254" w:lineRule="exact"/>
              <w:ind w:right="17"/>
              <w:jc w:val="right"/>
              <w:rPr>
                <w:rFonts w:ascii="宋体" w:hAnsi="宋体" w:cs="宋体" w:eastAsia="宋体" w:hint="default"/>
                <w:sz w:val="22"/>
                <w:szCs w:val="22"/>
              </w:rPr>
            </w:pPr>
            <w:r>
              <w:rPr>
                <w:rFonts w:ascii="宋体" w:hAnsi="宋体" w:cs="宋体" w:eastAsia="宋体" w:hint="default"/>
                <w:spacing w:val="-2"/>
                <w:sz w:val="22"/>
                <w:szCs w:val="22"/>
              </w:rPr>
              <w:t>本年增加</w:t>
            </w:r>
            <w:r>
              <w:rPr>
                <w:rFonts w:ascii="宋体" w:hAnsi="宋体" w:cs="宋体" w:eastAsia="宋体" w:hint="default"/>
                <w:sz w:val="22"/>
                <w:szCs w:val="22"/>
              </w:rPr>
              <w:t> </w:t>
            </w:r>
          </w:p>
        </w:tc>
        <w:tc>
          <w:tcPr>
            <w:tcW w:w="19"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single" w:sz="4" w:space="0" w:color="000000"/>
              <w:right w:val="nil" w:sz="6" w:space="0" w:color="auto"/>
            </w:tcBorders>
          </w:tcPr>
          <w:p>
            <w:pPr>
              <w:pStyle w:val="TableParagraph"/>
              <w:spacing w:line="254" w:lineRule="exact"/>
              <w:ind w:right="14"/>
              <w:jc w:val="right"/>
              <w:rPr>
                <w:rFonts w:ascii="宋体" w:hAnsi="宋体" w:cs="宋体" w:eastAsia="宋体" w:hint="default"/>
                <w:sz w:val="22"/>
                <w:szCs w:val="22"/>
              </w:rPr>
            </w:pPr>
            <w:r>
              <w:rPr>
                <w:rFonts w:ascii="宋体" w:hAnsi="宋体" w:cs="宋体" w:eastAsia="宋体" w:hint="default"/>
                <w:spacing w:val="-2"/>
                <w:sz w:val="22"/>
                <w:szCs w:val="22"/>
              </w:rPr>
              <w:t>本年减少</w:t>
            </w:r>
            <w:r>
              <w:rPr>
                <w:rFonts w:ascii="宋体" w:hAnsi="宋体" w:cs="宋体" w:eastAsia="宋体" w:hint="default"/>
                <w:sz w:val="22"/>
                <w:szCs w:val="22"/>
              </w:rPr>
              <w:t> </w:t>
            </w:r>
          </w:p>
        </w:tc>
        <w:tc>
          <w:tcPr>
            <w:tcW w:w="13" w:type="dxa"/>
            <w:tcBorders>
              <w:top w:val="nil" w:sz="6" w:space="0" w:color="auto"/>
              <w:left w:val="nil" w:sz="6" w:space="0" w:color="auto"/>
              <w:bottom w:val="nil" w:sz="6" w:space="0" w:color="auto"/>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
        </w:tc>
        <w:tc>
          <w:tcPr>
            <w:tcW w:w="1680" w:type="dxa"/>
            <w:vMerge/>
            <w:tcBorders>
              <w:left w:val="nil" w:sz="6" w:space="0" w:color="auto"/>
              <w:bottom w:val="single" w:sz="4" w:space="0" w:color="000000"/>
              <w:right w:val="nil" w:sz="6" w:space="0" w:color="auto"/>
            </w:tcBorders>
          </w:tcPr>
          <w:p>
            <w:pPr/>
          </w:p>
        </w:tc>
      </w:tr>
      <w:tr>
        <w:trPr>
          <w:trHeight w:val="242" w:hRule="exact"/>
        </w:trPr>
        <w:tc>
          <w:tcPr>
            <w:tcW w:w="2317" w:type="dxa"/>
            <w:tcBorders>
              <w:top w:val="nil" w:sz="6" w:space="0" w:color="auto"/>
              <w:left w:val="nil" w:sz="6" w:space="0" w:color="auto"/>
              <w:bottom w:val="nil" w:sz="6" w:space="0" w:color="auto"/>
              <w:right w:val="nil" w:sz="6" w:space="0" w:color="auto"/>
            </w:tcBorders>
          </w:tcPr>
          <w:p>
            <w:pPr>
              <w:pStyle w:val="TableParagraph"/>
              <w:spacing w:line="213" w:lineRule="exact"/>
              <w:ind w:left="200" w:right="0"/>
              <w:jc w:val="left"/>
              <w:rPr>
                <w:rFonts w:ascii="宋体" w:hAnsi="宋体" w:cs="宋体" w:eastAsia="宋体" w:hint="default"/>
                <w:sz w:val="18"/>
                <w:szCs w:val="18"/>
              </w:rPr>
            </w:pPr>
            <w:r>
              <w:rPr>
                <w:rFonts w:ascii="宋体"/>
                <w:w w:val="101"/>
                <w:sz w:val="18"/>
              </w:rPr>
              <w:t> </w:t>
            </w:r>
            <w:r>
              <w:rPr>
                <w:rFonts w:ascii="宋体"/>
                <w:sz w:val="18"/>
              </w:rPr>
            </w:r>
          </w:p>
        </w:tc>
        <w:tc>
          <w:tcPr>
            <w:tcW w:w="1448" w:type="dxa"/>
            <w:tcBorders>
              <w:top w:val="single" w:sz="4" w:space="0" w:color="000000"/>
              <w:left w:val="nil" w:sz="6" w:space="0" w:color="auto"/>
              <w:bottom w:val="nil" w:sz="6" w:space="0" w:color="auto"/>
              <w:right w:val="nil" w:sz="6" w:space="0" w:color="auto"/>
            </w:tcBorders>
          </w:tcPr>
          <w:p>
            <w:pPr>
              <w:pStyle w:val="TableParagraph"/>
              <w:spacing w:line="208" w:lineRule="exact"/>
              <w:ind w:right="246"/>
              <w:jc w:val="right"/>
              <w:rPr>
                <w:rFonts w:ascii="宋体" w:hAnsi="宋体" w:cs="宋体" w:eastAsia="宋体" w:hint="default"/>
                <w:sz w:val="18"/>
                <w:szCs w:val="18"/>
              </w:rPr>
            </w:pPr>
            <w:r>
              <w:rPr>
                <w:rFonts w:ascii="宋体"/>
                <w:w w:val="101"/>
                <w:sz w:val="18"/>
              </w:rPr>
              <w:t> </w:t>
            </w:r>
            <w:r>
              <w:rPr>
                <w:rFonts w:ascii="宋体"/>
                <w:sz w:val="18"/>
              </w:rPr>
            </w:r>
          </w:p>
        </w:tc>
        <w:tc>
          <w:tcPr>
            <w:tcW w:w="11" w:type="dxa"/>
            <w:tcBorders>
              <w:top w:val="nil" w:sz="6" w:space="0" w:color="auto"/>
              <w:left w:val="nil" w:sz="6" w:space="0" w:color="auto"/>
              <w:bottom w:val="nil" w:sz="6" w:space="0" w:color="auto"/>
              <w:right w:val="nil" w:sz="6" w:space="0" w:color="auto"/>
            </w:tcBorders>
          </w:tcPr>
          <w:p>
            <w:pPr/>
          </w:p>
        </w:tc>
        <w:tc>
          <w:tcPr>
            <w:tcW w:w="1781" w:type="dxa"/>
            <w:tcBorders>
              <w:top w:val="single" w:sz="4" w:space="0" w:color="000000"/>
              <w:left w:val="nil" w:sz="6" w:space="0" w:color="auto"/>
              <w:bottom w:val="nil" w:sz="6" w:space="0" w:color="auto"/>
              <w:right w:val="nil" w:sz="6" w:space="0" w:color="auto"/>
            </w:tcBorders>
          </w:tcPr>
          <w:p>
            <w:pPr>
              <w:pStyle w:val="TableParagraph"/>
              <w:spacing w:line="208" w:lineRule="exact"/>
              <w:ind w:right="468"/>
              <w:jc w:val="right"/>
              <w:rPr>
                <w:rFonts w:ascii="宋体" w:hAnsi="宋体" w:cs="宋体" w:eastAsia="宋体" w:hint="default"/>
                <w:sz w:val="18"/>
                <w:szCs w:val="18"/>
              </w:rPr>
            </w:pPr>
            <w:r>
              <w:rPr>
                <w:rFonts w:ascii="宋体"/>
                <w:w w:val="101"/>
                <w:sz w:val="18"/>
              </w:rPr>
              <w:t> </w:t>
            </w:r>
            <w:r>
              <w:rPr>
                <w:rFonts w:ascii="宋体"/>
                <w:sz w:val="18"/>
              </w:rPr>
            </w:r>
          </w:p>
        </w:tc>
        <w:tc>
          <w:tcPr>
            <w:tcW w:w="19" w:type="dxa"/>
            <w:tcBorders>
              <w:top w:val="nil" w:sz="6" w:space="0" w:color="auto"/>
              <w:left w:val="nil" w:sz="6" w:space="0" w:color="auto"/>
              <w:bottom w:val="nil" w:sz="6" w:space="0" w:color="auto"/>
              <w:right w:val="nil" w:sz="6" w:space="0" w:color="auto"/>
            </w:tcBorders>
          </w:tcPr>
          <w:p>
            <w:pPr/>
          </w:p>
        </w:tc>
        <w:tc>
          <w:tcPr>
            <w:tcW w:w="1715" w:type="dxa"/>
            <w:tcBorders>
              <w:top w:val="single" w:sz="4" w:space="0" w:color="000000"/>
              <w:left w:val="nil" w:sz="6" w:space="0" w:color="auto"/>
              <w:bottom w:val="nil" w:sz="6" w:space="0" w:color="auto"/>
              <w:right w:val="nil" w:sz="6" w:space="0" w:color="auto"/>
            </w:tcBorders>
          </w:tcPr>
          <w:p>
            <w:pPr>
              <w:pStyle w:val="TableParagraph"/>
              <w:spacing w:line="208" w:lineRule="exact"/>
              <w:ind w:right="402"/>
              <w:jc w:val="right"/>
              <w:rPr>
                <w:rFonts w:ascii="宋体" w:hAnsi="宋体" w:cs="宋体" w:eastAsia="宋体" w:hint="default"/>
                <w:sz w:val="18"/>
                <w:szCs w:val="18"/>
              </w:rPr>
            </w:pPr>
            <w:r>
              <w:rPr>
                <w:rFonts w:ascii="宋体"/>
                <w:w w:val="101"/>
                <w:sz w:val="18"/>
              </w:rPr>
              <w:t> </w:t>
            </w:r>
            <w:r>
              <w:rPr>
                <w:rFonts w:ascii="宋体"/>
                <w:sz w:val="18"/>
              </w:rPr>
            </w:r>
          </w:p>
        </w:tc>
        <w:tc>
          <w:tcPr>
            <w:tcW w:w="13" w:type="dxa"/>
            <w:tcBorders>
              <w:top w:val="nil" w:sz="6" w:space="0" w:color="auto"/>
              <w:left w:val="nil" w:sz="6" w:space="0" w:color="auto"/>
              <w:bottom w:val="nil" w:sz="6" w:space="0" w:color="auto"/>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
        </w:tc>
        <w:tc>
          <w:tcPr>
            <w:tcW w:w="1680" w:type="dxa"/>
            <w:tcBorders>
              <w:top w:val="single" w:sz="4" w:space="0" w:color="000000"/>
              <w:left w:val="nil" w:sz="6" w:space="0" w:color="auto"/>
              <w:bottom w:val="nil" w:sz="6" w:space="0" w:color="auto"/>
              <w:right w:val="nil" w:sz="6" w:space="0" w:color="auto"/>
            </w:tcBorders>
          </w:tcPr>
          <w:p>
            <w:pPr>
              <w:pStyle w:val="TableParagraph"/>
              <w:spacing w:line="208" w:lineRule="exact"/>
              <w:ind w:left="1108" w:right="0"/>
              <w:jc w:val="left"/>
              <w:rPr>
                <w:rFonts w:ascii="宋体" w:hAnsi="宋体" w:cs="宋体" w:eastAsia="宋体" w:hint="default"/>
                <w:sz w:val="18"/>
                <w:szCs w:val="18"/>
              </w:rPr>
            </w:pPr>
            <w:r>
              <w:rPr>
                <w:rFonts w:ascii="宋体"/>
                <w:w w:val="101"/>
                <w:sz w:val="18"/>
              </w:rPr>
              <w:t> </w:t>
            </w:r>
            <w:r>
              <w:rPr>
                <w:rFonts w:ascii="宋体"/>
                <w:sz w:val="18"/>
              </w:rPr>
            </w:r>
          </w:p>
        </w:tc>
      </w:tr>
      <w:tr>
        <w:trPr>
          <w:trHeight w:val="308" w:hRule="exact"/>
        </w:trPr>
        <w:tc>
          <w:tcPr>
            <w:tcW w:w="2317" w:type="dxa"/>
            <w:tcBorders>
              <w:top w:val="nil" w:sz="6" w:space="0" w:color="auto"/>
              <w:left w:val="nil" w:sz="6" w:space="0" w:color="auto"/>
              <w:bottom w:val="nil" w:sz="6" w:space="0" w:color="auto"/>
              <w:right w:val="nil" w:sz="6" w:space="0" w:color="auto"/>
            </w:tcBorders>
          </w:tcPr>
          <w:p>
            <w:pPr>
              <w:pStyle w:val="TableParagraph"/>
              <w:spacing w:line="250" w:lineRule="exact"/>
              <w:ind w:left="204" w:right="0"/>
              <w:jc w:val="left"/>
              <w:rPr>
                <w:rFonts w:ascii="宋体" w:hAnsi="宋体" w:cs="宋体" w:eastAsia="宋体" w:hint="default"/>
                <w:sz w:val="18"/>
                <w:szCs w:val="18"/>
              </w:rPr>
            </w:pPr>
            <w:r>
              <w:rPr>
                <w:rFonts w:ascii="宋体" w:hAnsi="宋体" w:cs="宋体" w:eastAsia="宋体" w:hint="default"/>
                <w:sz w:val="22"/>
                <w:szCs w:val="22"/>
              </w:rPr>
              <w:t>限制性股票回购义务</w:t>
            </w:r>
            <w:r>
              <w:rPr>
                <w:rFonts w:ascii="宋体" w:hAnsi="宋体" w:cs="宋体" w:eastAsia="宋体" w:hint="default"/>
                <w:w w:val="101"/>
                <w:sz w:val="18"/>
                <w:szCs w:val="18"/>
              </w:rPr>
              <w:t> </w:t>
            </w:r>
            <w:r>
              <w:rPr>
                <w:rFonts w:ascii="宋体" w:hAnsi="宋体" w:cs="宋体" w:eastAsia="宋体" w:hint="default"/>
                <w:sz w:val="18"/>
                <w:szCs w:val="18"/>
              </w:rPr>
            </w:r>
          </w:p>
        </w:tc>
        <w:tc>
          <w:tcPr>
            <w:tcW w:w="1448" w:type="dxa"/>
            <w:tcBorders>
              <w:top w:val="nil" w:sz="6" w:space="0" w:color="auto"/>
              <w:left w:val="nil" w:sz="6" w:space="0" w:color="auto"/>
              <w:bottom w:val="single" w:sz="17" w:space="0" w:color="000000"/>
              <w:right w:val="nil" w:sz="6" w:space="0" w:color="auto"/>
            </w:tcBorders>
          </w:tcPr>
          <w:p>
            <w:pPr>
              <w:pStyle w:val="TableParagraph"/>
              <w:spacing w:line="240" w:lineRule="auto" w:before="27"/>
              <w:ind w:left="28" w:right="0"/>
              <w:jc w:val="left"/>
              <w:rPr>
                <w:rFonts w:ascii="Arial" w:hAnsi="Arial" w:cs="Arial" w:eastAsia="Arial" w:hint="default"/>
                <w:sz w:val="22"/>
                <w:szCs w:val="22"/>
              </w:rPr>
            </w:pPr>
            <w:r>
              <w:rPr>
                <w:rFonts w:ascii="Arial"/>
                <w:sz w:val="22"/>
              </w:rPr>
              <w:t>2,993,014,742</w:t>
            </w:r>
          </w:p>
        </w:tc>
        <w:tc>
          <w:tcPr>
            <w:tcW w:w="11" w:type="dxa"/>
            <w:tcBorders>
              <w:top w:val="nil" w:sz="6" w:space="0" w:color="auto"/>
              <w:left w:val="nil" w:sz="6" w:space="0" w:color="auto"/>
              <w:bottom w:val="nil" w:sz="6" w:space="0" w:color="auto"/>
              <w:right w:val="nil" w:sz="6" w:space="0" w:color="auto"/>
            </w:tcBorders>
          </w:tcPr>
          <w:p>
            <w:pPr/>
          </w:p>
        </w:tc>
        <w:tc>
          <w:tcPr>
            <w:tcW w:w="1781" w:type="dxa"/>
            <w:tcBorders>
              <w:top w:val="nil" w:sz="6" w:space="0" w:color="auto"/>
              <w:left w:val="nil" w:sz="6" w:space="0" w:color="auto"/>
              <w:bottom w:val="single" w:sz="17" w:space="0" w:color="000000"/>
              <w:right w:val="nil" w:sz="6" w:space="0" w:color="auto"/>
            </w:tcBorders>
          </w:tcPr>
          <w:p>
            <w:pPr>
              <w:pStyle w:val="TableParagraph"/>
              <w:spacing w:line="240" w:lineRule="auto" w:before="27"/>
              <w:ind w:right="19"/>
              <w:jc w:val="right"/>
              <w:rPr>
                <w:rFonts w:ascii="Arial" w:hAnsi="Arial" w:cs="Arial" w:eastAsia="Arial" w:hint="default"/>
                <w:sz w:val="22"/>
                <w:szCs w:val="22"/>
              </w:rPr>
            </w:pPr>
            <w:r>
              <w:rPr>
                <w:rFonts w:ascii="Arial"/>
                <w:spacing w:val="-1"/>
                <w:sz w:val="22"/>
              </w:rPr>
              <w:t>49,861,240</w:t>
            </w:r>
          </w:p>
        </w:tc>
        <w:tc>
          <w:tcPr>
            <w:tcW w:w="19"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single" w:sz="17" w:space="0" w:color="000000"/>
              <w:right w:val="nil" w:sz="6" w:space="0" w:color="auto"/>
            </w:tcBorders>
          </w:tcPr>
          <w:p>
            <w:pPr>
              <w:pStyle w:val="TableParagraph"/>
              <w:spacing w:line="240" w:lineRule="auto" w:before="27"/>
              <w:ind w:right="10"/>
              <w:jc w:val="right"/>
              <w:rPr>
                <w:rFonts w:ascii="Arial" w:hAnsi="Arial" w:cs="Arial" w:eastAsia="Arial" w:hint="default"/>
                <w:sz w:val="22"/>
                <w:szCs w:val="22"/>
              </w:rPr>
            </w:pPr>
            <w:r>
              <w:rPr>
                <w:rFonts w:ascii="Arial"/>
                <w:sz w:val="22"/>
              </w:rPr>
              <w:t>(27,522,980)</w:t>
            </w:r>
          </w:p>
        </w:tc>
        <w:tc>
          <w:tcPr>
            <w:tcW w:w="13" w:type="dxa"/>
            <w:tcBorders>
              <w:top w:val="nil" w:sz="6" w:space="0" w:color="auto"/>
              <w:left w:val="nil" w:sz="6" w:space="0" w:color="auto"/>
              <w:bottom w:val="nil" w:sz="6" w:space="0" w:color="auto"/>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single" w:sz="17" w:space="0" w:color="000000"/>
              <w:right w:val="nil" w:sz="6" w:space="0" w:color="auto"/>
            </w:tcBorders>
          </w:tcPr>
          <w:p>
            <w:pPr>
              <w:pStyle w:val="TableParagraph"/>
              <w:spacing w:line="240" w:lineRule="auto" w:before="27"/>
              <w:ind w:left="268" w:right="0"/>
              <w:jc w:val="left"/>
              <w:rPr>
                <w:rFonts w:ascii="Arial" w:hAnsi="Arial" w:cs="Arial" w:eastAsia="Arial" w:hint="default"/>
                <w:sz w:val="22"/>
                <w:szCs w:val="22"/>
              </w:rPr>
            </w:pPr>
            <w:r>
              <w:rPr>
                <w:rFonts w:ascii="Arial"/>
                <w:spacing w:val="-1"/>
                <w:sz w:val="22"/>
              </w:rPr>
              <w:t>3,015,353,002</w:t>
            </w:r>
          </w:p>
        </w:tc>
      </w:tr>
    </w:tbl>
    <w:p>
      <w:pPr>
        <w:spacing w:line="240" w:lineRule="auto" w:before="2"/>
        <w:rPr>
          <w:rFonts w:ascii="宋体" w:hAnsi="宋体" w:cs="宋体" w:eastAsia="宋体" w:hint="default"/>
          <w:sz w:val="14"/>
          <w:szCs w:val="14"/>
        </w:rPr>
      </w:pPr>
    </w:p>
    <w:p>
      <w:pPr>
        <w:pStyle w:val="BodyText"/>
        <w:tabs>
          <w:tab w:pos="770" w:val="left" w:leader="none"/>
        </w:tabs>
        <w:spacing w:line="240" w:lineRule="auto" w:before="32"/>
        <w:ind w:left="122" w:right="0"/>
        <w:jc w:val="left"/>
      </w:pPr>
      <w:r>
        <w:rPr>
          <w:rFonts w:ascii="Arial" w:hAnsi="Arial" w:cs="Arial" w:eastAsia="Arial" w:hint="default"/>
        </w:rPr>
        <w:t>8</w:t>
      </w:r>
      <w:r>
        <w:rPr/>
        <w:t>、</w:t>
        <w:tab/>
        <w:t>投资收益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5"/>
          <w:szCs w:val="25"/>
        </w:rPr>
      </w:pPr>
    </w:p>
    <w:tbl>
      <w:tblPr>
        <w:tblW w:w="0" w:type="auto"/>
        <w:jc w:val="left"/>
        <w:tblInd w:w="580" w:type="dxa"/>
        <w:tblLayout w:type="fixed"/>
        <w:tblCellMar>
          <w:top w:w="0" w:type="dxa"/>
          <w:left w:w="0" w:type="dxa"/>
          <w:bottom w:w="0" w:type="dxa"/>
          <w:right w:w="0" w:type="dxa"/>
        </w:tblCellMar>
        <w:tblLook w:val="01E0"/>
      </w:tblPr>
      <w:tblGrid>
        <w:gridCol w:w="4362"/>
        <w:gridCol w:w="2935"/>
        <w:gridCol w:w="1841"/>
      </w:tblGrid>
      <w:tr>
        <w:trPr>
          <w:trHeight w:val="387" w:hRule="exact"/>
        </w:trPr>
        <w:tc>
          <w:tcPr>
            <w:tcW w:w="4362" w:type="dxa"/>
            <w:tcBorders>
              <w:top w:val="nil" w:sz="6" w:space="0" w:color="auto"/>
              <w:left w:val="nil" w:sz="6" w:space="0" w:color="auto"/>
              <w:bottom w:val="nil" w:sz="6" w:space="0" w:color="auto"/>
              <w:right w:val="nil" w:sz="6" w:space="0" w:color="auto"/>
            </w:tcBorders>
          </w:tcPr>
          <w:p>
            <w:pPr/>
          </w:p>
        </w:tc>
        <w:tc>
          <w:tcPr>
            <w:tcW w:w="2935" w:type="dxa"/>
            <w:tcBorders>
              <w:top w:val="nil" w:sz="6" w:space="0" w:color="auto"/>
              <w:left w:val="nil" w:sz="6" w:space="0" w:color="auto"/>
              <w:bottom w:val="nil" w:sz="6" w:space="0" w:color="auto"/>
              <w:right w:val="nil" w:sz="6" w:space="0" w:color="auto"/>
            </w:tcBorders>
          </w:tcPr>
          <w:p>
            <w:pPr>
              <w:pStyle w:val="TableParagraph"/>
              <w:tabs>
                <w:tab w:pos="1617" w:val="left" w:leader="none"/>
                <w:tab w:pos="3969" w:val="left" w:leader="none"/>
              </w:tabs>
              <w:spacing w:line="236" w:lineRule="exact"/>
              <w:ind w:left="14" w:right="-1035"/>
              <w:jc w:val="left"/>
              <w:rPr>
                <w:rFonts w:ascii="Arial" w:hAnsi="Arial" w:cs="Arial" w:eastAsia="Arial" w:hint="default"/>
                <w:sz w:val="22"/>
                <w:szCs w:val="22"/>
              </w:rPr>
            </w:pPr>
            <w:r>
              <w:rPr>
                <w:rFonts w:ascii="Arial" w:hAnsi="Arial" w:cs="Arial" w:eastAsia="Arial" w:hint="default"/>
                <w:w w:val="100"/>
                <w:sz w:val="22"/>
                <w:szCs w:val="22"/>
              </w:rPr>
            </w:r>
            <w:r>
              <w:rPr>
                <w:rFonts w:ascii="Arial" w:hAnsi="Arial" w:cs="Arial" w:eastAsia="Arial" w:hint="default"/>
                <w:w w:val="100"/>
                <w:sz w:val="22"/>
                <w:szCs w:val="22"/>
                <w:u w:val="single" w:color="000000"/>
              </w:rPr>
              <w:t> </w:t>
            </w:r>
            <w:r>
              <w:rPr>
                <w:rFonts w:ascii="Arial" w:hAnsi="Arial" w:cs="Arial" w:eastAsia="Arial" w:hint="default"/>
                <w:sz w:val="22"/>
                <w:szCs w:val="22"/>
                <w:u w:val="single" w:color="000000"/>
              </w:rPr>
              <w:tab/>
              <w:t>2019</w:t>
            </w:r>
            <w:r>
              <w:rPr>
                <w:rFonts w:ascii="Arial" w:hAnsi="Arial" w:cs="Arial" w:eastAsia="Arial" w:hint="default"/>
                <w:spacing w:val="-4"/>
                <w:sz w:val="22"/>
                <w:szCs w:val="22"/>
                <w:u w:val="single" w:color="000000"/>
              </w:rPr>
              <w:t> </w:t>
            </w:r>
            <w:r>
              <w:rPr>
                <w:rFonts w:ascii="宋体" w:hAnsi="宋体" w:cs="宋体" w:eastAsia="宋体" w:hint="default"/>
                <w:sz w:val="22"/>
                <w:szCs w:val="22"/>
                <w:u w:val="single" w:color="000000"/>
              </w:rPr>
              <w:t>年</w:t>
            </w:r>
            <w:r>
              <w:rPr>
                <w:rFonts w:ascii="宋体" w:hAnsi="宋体" w:cs="宋体" w:eastAsia="宋体" w:hint="default"/>
                <w:sz w:val="22"/>
                <w:szCs w:val="22"/>
              </w:rPr>
            </w:r>
            <w:r>
              <w:rPr>
                <w:rFonts w:ascii="宋体" w:hAnsi="宋体" w:cs="宋体" w:eastAsia="宋体" w:hint="default"/>
                <w:spacing w:val="24"/>
                <w:sz w:val="22"/>
                <w:szCs w:val="22"/>
              </w:rPr>
              <w:t> </w:t>
            </w:r>
            <w:r>
              <w:rPr>
                <w:rFonts w:ascii="Arial" w:hAnsi="Arial" w:cs="Arial" w:eastAsia="Arial" w:hint="default"/>
                <w:spacing w:val="24"/>
                <w:w w:val="100"/>
                <w:sz w:val="22"/>
                <w:szCs w:val="22"/>
              </w:rPr>
            </w:r>
            <w:r>
              <w:rPr>
                <w:rFonts w:ascii="Arial" w:hAnsi="Arial" w:cs="Arial" w:eastAsia="Arial" w:hint="default"/>
                <w:w w:val="100"/>
                <w:sz w:val="22"/>
                <w:szCs w:val="22"/>
                <w:u w:val="single" w:color="000000"/>
              </w:rPr>
              <w:t> </w:t>
            </w:r>
            <w:r>
              <w:rPr>
                <w:rFonts w:ascii="Arial" w:hAnsi="Arial" w:cs="Arial" w:eastAsia="Arial" w:hint="default"/>
                <w:sz w:val="22"/>
                <w:szCs w:val="22"/>
                <w:u w:val="single" w:color="000000"/>
              </w:rPr>
              <w:tab/>
            </w:r>
            <w:r>
              <w:rPr>
                <w:rFonts w:ascii="Arial" w:hAnsi="Arial" w:cs="Arial" w:eastAsia="Arial" w:hint="default"/>
                <w:sz w:val="22"/>
                <w:szCs w:val="22"/>
              </w:rPr>
            </w:r>
          </w:p>
        </w:tc>
        <w:tc>
          <w:tcPr>
            <w:tcW w:w="1841" w:type="dxa"/>
            <w:tcBorders>
              <w:top w:val="nil" w:sz="6" w:space="0" w:color="auto"/>
              <w:left w:val="nil" w:sz="6" w:space="0" w:color="auto"/>
              <w:bottom w:val="nil" w:sz="6" w:space="0" w:color="auto"/>
              <w:right w:val="nil" w:sz="6" w:space="0" w:color="auto"/>
            </w:tcBorders>
          </w:tcPr>
          <w:p>
            <w:pPr>
              <w:pStyle w:val="TableParagraph"/>
              <w:spacing w:line="236" w:lineRule="exact"/>
              <w:ind w:right="36"/>
              <w:jc w:val="right"/>
              <w:rPr>
                <w:rFonts w:ascii="宋体" w:hAnsi="宋体" w:cs="宋体" w:eastAsia="宋体" w:hint="default"/>
                <w:sz w:val="22"/>
                <w:szCs w:val="22"/>
              </w:rPr>
            </w:pPr>
            <w:r>
              <w:rPr>
                <w:rFonts w:ascii="Arial" w:hAnsi="Arial" w:cs="Arial" w:eastAsia="Arial" w:hint="default"/>
                <w:w w:val="100"/>
                <w:sz w:val="22"/>
                <w:szCs w:val="22"/>
              </w:rPr>
            </w:r>
            <w:r>
              <w:rPr>
                <w:rFonts w:ascii="Arial" w:hAnsi="Arial" w:cs="Arial" w:eastAsia="Arial" w:hint="default"/>
                <w:sz w:val="22"/>
                <w:szCs w:val="22"/>
                <w:u w:val="single" w:color="000000"/>
              </w:rPr>
              <w:t>2018</w:t>
            </w:r>
            <w:r>
              <w:rPr>
                <w:rFonts w:ascii="Arial" w:hAnsi="Arial" w:cs="Arial" w:eastAsia="Arial" w:hint="default"/>
                <w:spacing w:val="-4"/>
                <w:sz w:val="22"/>
                <w:szCs w:val="22"/>
                <w:u w:val="single" w:color="000000"/>
              </w:rPr>
              <w:t> </w:t>
            </w:r>
            <w:r>
              <w:rPr>
                <w:rFonts w:ascii="宋体" w:hAnsi="宋体" w:cs="宋体" w:eastAsia="宋体" w:hint="default"/>
                <w:sz w:val="22"/>
                <w:szCs w:val="22"/>
                <w:u w:val="single" w:color="000000"/>
              </w:rPr>
              <w:t>年</w:t>
            </w:r>
            <w:r>
              <w:rPr>
                <w:rFonts w:ascii="宋体" w:hAnsi="宋体" w:cs="宋体" w:eastAsia="宋体" w:hint="default"/>
                <w:sz w:val="22"/>
                <w:szCs w:val="22"/>
              </w:rPr>
            </w:r>
          </w:p>
        </w:tc>
      </w:tr>
      <w:tr>
        <w:trPr>
          <w:trHeight w:val="429" w:hRule="exact"/>
        </w:trPr>
        <w:tc>
          <w:tcPr>
            <w:tcW w:w="4362" w:type="dxa"/>
            <w:tcBorders>
              <w:top w:val="nil" w:sz="6" w:space="0" w:color="auto"/>
              <w:left w:val="nil" w:sz="6" w:space="0" w:color="auto"/>
              <w:bottom w:val="nil" w:sz="6" w:space="0" w:color="auto"/>
              <w:right w:val="nil" w:sz="6" w:space="0" w:color="auto"/>
            </w:tcBorders>
          </w:tcPr>
          <w:p>
            <w:pPr>
              <w:pStyle w:val="TableParagraph"/>
              <w:spacing w:line="240" w:lineRule="auto" w:before="88"/>
              <w:ind w:left="200" w:right="0"/>
              <w:jc w:val="left"/>
              <w:rPr>
                <w:rFonts w:ascii="宋体" w:hAnsi="宋体" w:cs="宋体" w:eastAsia="宋体" w:hint="default"/>
                <w:sz w:val="22"/>
                <w:szCs w:val="22"/>
              </w:rPr>
            </w:pPr>
            <w:r>
              <w:rPr>
                <w:rFonts w:ascii="宋体" w:hAnsi="宋体" w:cs="宋体" w:eastAsia="宋体" w:hint="default"/>
                <w:sz w:val="22"/>
                <w:szCs w:val="22"/>
              </w:rPr>
              <w:t>投资收益</w:t>
            </w:r>
          </w:p>
        </w:tc>
        <w:tc>
          <w:tcPr>
            <w:tcW w:w="2935" w:type="dxa"/>
            <w:tcBorders>
              <w:top w:val="nil" w:sz="6" w:space="0" w:color="auto"/>
              <w:left w:val="nil" w:sz="6" w:space="0" w:color="auto"/>
              <w:bottom w:val="single" w:sz="17" w:space="0" w:color="000000"/>
              <w:right w:val="nil" w:sz="6" w:space="0" w:color="auto"/>
            </w:tcBorders>
          </w:tcPr>
          <w:p>
            <w:pPr>
              <w:pStyle w:val="TableParagraph"/>
              <w:spacing w:line="240" w:lineRule="auto" w:before="153"/>
              <w:ind w:left="945" w:right="0"/>
              <w:jc w:val="left"/>
              <w:rPr>
                <w:rFonts w:ascii="Arial" w:hAnsi="Arial" w:cs="Arial" w:eastAsia="Arial" w:hint="default"/>
                <w:sz w:val="22"/>
                <w:szCs w:val="22"/>
              </w:rPr>
            </w:pPr>
            <w:r>
              <w:rPr>
                <w:rFonts w:ascii="Arial"/>
                <w:sz w:val="22"/>
              </w:rPr>
              <w:t>1,801,506,250</w:t>
            </w:r>
          </w:p>
        </w:tc>
        <w:tc>
          <w:tcPr>
            <w:tcW w:w="1841" w:type="dxa"/>
            <w:tcBorders>
              <w:top w:val="nil" w:sz="6" w:space="0" w:color="auto"/>
              <w:left w:val="nil" w:sz="6" w:space="0" w:color="auto"/>
              <w:bottom w:val="single" w:sz="17" w:space="0" w:color="000000"/>
              <w:right w:val="nil" w:sz="6" w:space="0" w:color="auto"/>
            </w:tcBorders>
          </w:tcPr>
          <w:p>
            <w:pPr>
              <w:pStyle w:val="TableParagraph"/>
              <w:spacing w:line="240" w:lineRule="auto" w:before="153"/>
              <w:ind w:right="62"/>
              <w:jc w:val="right"/>
              <w:rPr>
                <w:rFonts w:ascii="Arial" w:hAnsi="Arial" w:cs="Arial" w:eastAsia="Arial" w:hint="default"/>
                <w:sz w:val="22"/>
                <w:szCs w:val="22"/>
              </w:rPr>
            </w:pPr>
            <w:r>
              <w:rPr>
                <w:rFonts w:ascii="Arial"/>
                <w:spacing w:val="-1"/>
                <w:sz w:val="22"/>
              </w:rPr>
              <w:t>699,083,224</w:t>
            </w:r>
          </w:p>
        </w:tc>
      </w:tr>
    </w:tbl>
    <w:p>
      <w:pPr>
        <w:spacing w:line="240" w:lineRule="auto" w:before="2"/>
        <w:rPr>
          <w:rFonts w:ascii="宋体" w:hAnsi="宋体" w:cs="宋体" w:eastAsia="宋体" w:hint="default"/>
          <w:sz w:val="14"/>
          <w:szCs w:val="14"/>
        </w:rPr>
      </w:pPr>
    </w:p>
    <w:p>
      <w:pPr>
        <w:pStyle w:val="BodyText"/>
        <w:spacing w:line="296" w:lineRule="exact" w:before="32"/>
        <w:ind w:left="784" w:right="0"/>
        <w:jc w:val="left"/>
      </w:pPr>
      <w:r>
        <w:rPr>
          <w:rFonts w:ascii="Arial" w:hAnsi="Arial" w:cs="Arial" w:eastAsia="Arial" w:hint="default"/>
        </w:rPr>
        <w:t>2019</w:t>
      </w:r>
      <w:r>
        <w:rPr>
          <w:rFonts w:ascii="Arial" w:hAnsi="Arial" w:cs="Arial" w:eastAsia="Arial" w:hint="default"/>
          <w:spacing w:val="6"/>
        </w:rPr>
        <w:t> </w:t>
      </w:r>
      <w:r>
        <w:rPr/>
        <w:t>年度，本公司子公司联通</w:t>
      </w:r>
      <w:r>
        <w:rPr>
          <w:spacing w:val="-51"/>
        </w:rPr>
        <w:t> </w:t>
      </w:r>
      <w:r>
        <w:rPr>
          <w:rFonts w:ascii="Arial" w:hAnsi="Arial" w:cs="Arial" w:eastAsia="Arial" w:hint="default"/>
        </w:rPr>
        <w:t>BVI</w:t>
      </w:r>
      <w:r>
        <w:rPr>
          <w:rFonts w:ascii="Arial" w:hAnsi="Arial" w:cs="Arial" w:eastAsia="Arial" w:hint="default"/>
          <w:spacing w:val="-1"/>
        </w:rPr>
        <w:t> </w:t>
      </w:r>
      <w:r>
        <w:rPr/>
        <w:t>公司派发</w:t>
      </w:r>
      <w:r>
        <w:rPr>
          <w:spacing w:val="-45"/>
        </w:rPr>
        <w:t> </w:t>
      </w:r>
      <w:r>
        <w:rPr>
          <w:rFonts w:ascii="Arial" w:hAnsi="Arial" w:cs="Arial" w:eastAsia="Arial" w:hint="default"/>
        </w:rPr>
        <w:t>2019</w:t>
      </w:r>
      <w:r>
        <w:rPr>
          <w:rFonts w:ascii="Arial" w:hAnsi="Arial" w:cs="Arial" w:eastAsia="Arial" w:hint="default"/>
          <w:spacing w:val="6"/>
        </w:rPr>
        <w:t> </w:t>
      </w:r>
      <w:r>
        <w:rPr/>
        <w:t>年度现金股利中归属于本公司的约人民币</w:t>
      </w:r>
    </w:p>
    <w:p>
      <w:pPr>
        <w:pStyle w:val="BodyText"/>
        <w:spacing w:line="405" w:lineRule="auto"/>
        <w:ind w:left="751" w:right="4698" w:firstLine="33"/>
        <w:jc w:val="left"/>
      </w:pPr>
      <w:r>
        <w:rPr>
          <w:rFonts w:ascii="Arial" w:hAnsi="Arial" w:cs="Arial" w:eastAsia="Arial" w:hint="default"/>
        </w:rPr>
        <w:t>18.02</w:t>
      </w:r>
      <w:r>
        <w:rPr>
          <w:rFonts w:ascii="Arial" w:hAnsi="Arial" w:cs="Arial" w:eastAsia="Arial" w:hint="default"/>
          <w:spacing w:val="-6"/>
        </w:rPr>
        <w:t> </w:t>
      </w:r>
      <w:r>
        <w:rPr/>
        <w:t>亿元（</w:t>
      </w:r>
      <w:r>
        <w:rPr>
          <w:rFonts w:ascii="Arial" w:hAnsi="Arial" w:cs="Arial" w:eastAsia="Arial" w:hint="default"/>
        </w:rPr>
        <w:t>2018</w:t>
      </w:r>
      <w:r>
        <w:rPr>
          <w:rFonts w:ascii="Arial" w:hAnsi="Arial" w:cs="Arial" w:eastAsia="Arial" w:hint="default"/>
          <w:spacing w:val="-6"/>
        </w:rPr>
        <w:t> </w:t>
      </w:r>
      <w:r>
        <w:rPr/>
        <w:t>年：人民币</w:t>
      </w:r>
      <w:r>
        <w:rPr>
          <w:spacing w:val="-57"/>
        </w:rPr>
        <w:t> </w:t>
      </w:r>
      <w:r>
        <w:rPr>
          <w:rFonts w:ascii="Arial" w:hAnsi="Arial" w:cs="Arial" w:eastAsia="Arial" w:hint="default"/>
        </w:rPr>
        <w:t>6.99</w:t>
      </w:r>
      <w:r>
        <w:rPr>
          <w:rFonts w:ascii="Arial" w:hAnsi="Arial" w:cs="Arial" w:eastAsia="Arial" w:hint="default"/>
          <w:spacing w:val="-6"/>
        </w:rPr>
        <w:t> </w:t>
      </w:r>
      <w:r>
        <w:rPr/>
        <w:t>亿元）。</w:t>
      </w:r>
      <w:r>
        <w:rPr>
          <w:w w:val="100"/>
        </w:rPr>
        <w:t> </w:t>
      </w:r>
      <w:r>
        <w:rPr/>
        <w:t>本公司不存在投资收益汇回的重大限制。</w:t>
      </w:r>
    </w:p>
    <w:p>
      <w:pPr>
        <w:spacing w:after="0" w:line="405" w:lineRule="auto"/>
        <w:jc w:val="left"/>
        <w:sectPr>
          <w:headerReference w:type="default" r:id="rId236"/>
          <w:pgSz w:w="11910" w:h="16840"/>
          <w:pgMar w:header="1183" w:footer="502" w:top="3040" w:bottom="700" w:left="1020" w:right="10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0"/>
          <w:szCs w:val="10"/>
        </w:rPr>
      </w:pPr>
    </w:p>
    <w:tbl>
      <w:tblPr>
        <w:tblW w:w="0" w:type="auto"/>
        <w:jc w:val="left"/>
        <w:tblInd w:w="364" w:type="dxa"/>
        <w:tblLayout w:type="fixed"/>
        <w:tblCellMar>
          <w:top w:w="0" w:type="dxa"/>
          <w:left w:w="0" w:type="dxa"/>
          <w:bottom w:w="0" w:type="dxa"/>
          <w:right w:w="0" w:type="dxa"/>
        </w:tblCellMar>
        <w:tblLook w:val="01E0"/>
      </w:tblPr>
      <w:tblGrid>
        <w:gridCol w:w="4983"/>
        <w:gridCol w:w="2150"/>
        <w:gridCol w:w="2246"/>
      </w:tblGrid>
      <w:tr>
        <w:trPr>
          <w:trHeight w:val="425" w:hRule="exact"/>
        </w:trPr>
        <w:tc>
          <w:tcPr>
            <w:tcW w:w="4983" w:type="dxa"/>
            <w:tcBorders>
              <w:top w:val="nil" w:sz="6" w:space="0" w:color="auto"/>
              <w:left w:val="nil" w:sz="6" w:space="0" w:color="auto"/>
              <w:bottom w:val="nil" w:sz="6" w:space="0" w:color="auto"/>
              <w:right w:val="nil" w:sz="6" w:space="0" w:color="auto"/>
            </w:tcBorders>
          </w:tcPr>
          <w:p>
            <w:pPr>
              <w:pStyle w:val="TableParagraph"/>
              <w:spacing w:line="221" w:lineRule="exact"/>
              <w:ind w:left="200" w:right="0"/>
              <w:jc w:val="left"/>
              <w:rPr>
                <w:rFonts w:ascii="宋体" w:hAnsi="宋体" w:cs="宋体" w:eastAsia="宋体" w:hint="default"/>
                <w:sz w:val="22"/>
                <w:szCs w:val="22"/>
              </w:rPr>
            </w:pPr>
            <w:r>
              <w:rPr>
                <w:rFonts w:ascii="宋体" w:hAnsi="宋体" w:cs="宋体" w:eastAsia="宋体" w:hint="default"/>
                <w:sz w:val="22"/>
                <w:szCs w:val="22"/>
              </w:rPr>
              <w:t>（单位：人民币百万元）</w:t>
            </w:r>
          </w:p>
        </w:tc>
        <w:tc>
          <w:tcPr>
            <w:tcW w:w="2150" w:type="dxa"/>
            <w:tcBorders>
              <w:top w:val="nil" w:sz="6" w:space="0" w:color="auto"/>
              <w:left w:val="nil" w:sz="6" w:space="0" w:color="auto"/>
              <w:bottom w:val="nil" w:sz="6" w:space="0" w:color="auto"/>
              <w:right w:val="nil" w:sz="6" w:space="0" w:color="auto"/>
            </w:tcBorders>
          </w:tcPr>
          <w:p>
            <w:pPr>
              <w:pStyle w:val="TableParagraph"/>
              <w:tabs>
                <w:tab w:pos="1315" w:val="left" w:leader="none"/>
              </w:tabs>
              <w:spacing w:line="241" w:lineRule="exact"/>
              <w:ind w:right="62"/>
              <w:jc w:val="right"/>
              <w:rPr>
                <w:rFonts w:ascii="宋体" w:hAnsi="宋体" w:cs="宋体" w:eastAsia="宋体" w:hint="default"/>
                <w:sz w:val="22"/>
                <w:szCs w:val="22"/>
              </w:rPr>
            </w:pPr>
            <w:r>
              <w:rPr>
                <w:rFonts w:ascii="Arial" w:hAnsi="Arial" w:cs="Arial" w:eastAsia="Arial" w:hint="default"/>
                <w:w w:val="100"/>
                <w:sz w:val="22"/>
                <w:szCs w:val="22"/>
              </w:rPr>
            </w:r>
            <w:r>
              <w:rPr>
                <w:rFonts w:ascii="Arial" w:hAnsi="Arial" w:cs="Arial" w:eastAsia="Arial" w:hint="default"/>
                <w:w w:val="100"/>
                <w:sz w:val="22"/>
                <w:szCs w:val="22"/>
                <w:u w:val="single" w:color="000000"/>
              </w:rPr>
              <w:t> </w:t>
            </w:r>
            <w:r>
              <w:rPr>
                <w:rFonts w:ascii="Arial" w:hAnsi="Arial" w:cs="Arial" w:eastAsia="Arial" w:hint="default"/>
                <w:sz w:val="22"/>
                <w:szCs w:val="22"/>
                <w:u w:val="single" w:color="000000"/>
              </w:rPr>
              <w:tab/>
              <w:t>2019</w:t>
            </w:r>
            <w:r>
              <w:rPr>
                <w:rFonts w:ascii="Arial" w:hAnsi="Arial" w:cs="Arial" w:eastAsia="Arial" w:hint="default"/>
                <w:spacing w:val="-4"/>
                <w:sz w:val="22"/>
                <w:szCs w:val="22"/>
                <w:u w:val="single" w:color="000000"/>
              </w:rPr>
              <w:t> </w:t>
            </w:r>
            <w:r>
              <w:rPr>
                <w:rFonts w:ascii="宋体" w:hAnsi="宋体" w:cs="宋体" w:eastAsia="宋体" w:hint="default"/>
                <w:sz w:val="22"/>
                <w:szCs w:val="22"/>
                <w:u w:val="single" w:color="000000"/>
              </w:rPr>
              <w:t>年</w:t>
            </w:r>
            <w:r>
              <w:rPr>
                <w:rFonts w:ascii="宋体" w:hAnsi="宋体" w:cs="宋体" w:eastAsia="宋体" w:hint="default"/>
                <w:sz w:val="22"/>
                <w:szCs w:val="22"/>
              </w:rPr>
            </w:r>
          </w:p>
        </w:tc>
        <w:tc>
          <w:tcPr>
            <w:tcW w:w="2246" w:type="dxa"/>
            <w:tcBorders>
              <w:top w:val="nil" w:sz="6" w:space="0" w:color="auto"/>
              <w:left w:val="nil" w:sz="6" w:space="0" w:color="auto"/>
              <w:bottom w:val="nil" w:sz="6" w:space="0" w:color="auto"/>
              <w:right w:val="nil" w:sz="6" w:space="0" w:color="auto"/>
            </w:tcBorders>
          </w:tcPr>
          <w:p>
            <w:pPr>
              <w:pStyle w:val="TableParagraph"/>
              <w:tabs>
                <w:tab w:pos="1411" w:val="left" w:leader="none"/>
              </w:tabs>
              <w:spacing w:line="241" w:lineRule="exact"/>
              <w:ind w:right="35"/>
              <w:jc w:val="right"/>
              <w:rPr>
                <w:rFonts w:ascii="宋体" w:hAnsi="宋体" w:cs="宋体" w:eastAsia="宋体" w:hint="default"/>
                <w:sz w:val="22"/>
                <w:szCs w:val="22"/>
              </w:rPr>
            </w:pPr>
            <w:r>
              <w:rPr>
                <w:rFonts w:ascii="Arial" w:hAnsi="Arial" w:cs="Arial" w:eastAsia="Arial" w:hint="default"/>
                <w:w w:val="100"/>
                <w:sz w:val="22"/>
                <w:szCs w:val="22"/>
              </w:rPr>
            </w:r>
            <w:r>
              <w:rPr>
                <w:rFonts w:ascii="Arial" w:hAnsi="Arial" w:cs="Arial" w:eastAsia="Arial" w:hint="default"/>
                <w:w w:val="100"/>
                <w:sz w:val="22"/>
                <w:szCs w:val="22"/>
                <w:u w:val="single" w:color="000000"/>
              </w:rPr>
              <w:t> </w:t>
            </w:r>
            <w:r>
              <w:rPr>
                <w:rFonts w:ascii="Arial" w:hAnsi="Arial" w:cs="Arial" w:eastAsia="Arial" w:hint="default"/>
                <w:sz w:val="22"/>
                <w:szCs w:val="22"/>
                <w:u w:val="single" w:color="000000"/>
              </w:rPr>
              <w:tab/>
              <w:t>2018</w:t>
            </w:r>
            <w:r>
              <w:rPr>
                <w:rFonts w:ascii="Arial" w:hAnsi="Arial" w:cs="Arial" w:eastAsia="Arial" w:hint="default"/>
                <w:spacing w:val="-4"/>
                <w:sz w:val="22"/>
                <w:szCs w:val="22"/>
                <w:u w:val="single" w:color="000000"/>
              </w:rPr>
              <w:t> </w:t>
            </w:r>
            <w:r>
              <w:rPr>
                <w:rFonts w:ascii="宋体" w:hAnsi="宋体" w:cs="宋体" w:eastAsia="宋体" w:hint="default"/>
                <w:sz w:val="22"/>
                <w:szCs w:val="22"/>
                <w:u w:val="single" w:color="000000"/>
              </w:rPr>
              <w:t>年</w:t>
            </w:r>
            <w:r>
              <w:rPr>
                <w:rFonts w:ascii="宋体" w:hAnsi="宋体" w:cs="宋体" w:eastAsia="宋体" w:hint="default"/>
                <w:sz w:val="22"/>
                <w:szCs w:val="22"/>
              </w:rPr>
            </w:r>
          </w:p>
        </w:tc>
      </w:tr>
      <w:tr>
        <w:trPr>
          <w:trHeight w:val="448" w:hRule="exact"/>
        </w:trPr>
        <w:tc>
          <w:tcPr>
            <w:tcW w:w="4983"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200" w:right="0"/>
              <w:jc w:val="left"/>
              <w:rPr>
                <w:rFonts w:ascii="宋体" w:hAnsi="宋体" w:cs="宋体" w:eastAsia="宋体" w:hint="default"/>
                <w:sz w:val="22"/>
                <w:szCs w:val="22"/>
              </w:rPr>
            </w:pPr>
            <w:r>
              <w:rPr>
                <w:rFonts w:ascii="宋体" w:hAnsi="宋体" w:cs="宋体" w:eastAsia="宋体" w:hint="default"/>
                <w:sz w:val="22"/>
                <w:szCs w:val="22"/>
              </w:rPr>
              <w:t>－营业外收入</w:t>
            </w:r>
          </w:p>
        </w:tc>
        <w:tc>
          <w:tcPr>
            <w:tcW w:w="2150" w:type="dxa"/>
            <w:tcBorders>
              <w:top w:val="nil" w:sz="6" w:space="0" w:color="auto"/>
              <w:left w:val="nil" w:sz="6" w:space="0" w:color="auto"/>
              <w:bottom w:val="single" w:sz="6" w:space="0" w:color="000000"/>
              <w:right w:val="nil" w:sz="6" w:space="0" w:color="auto"/>
            </w:tcBorders>
          </w:tcPr>
          <w:p>
            <w:pPr>
              <w:pStyle w:val="TableParagraph"/>
              <w:spacing w:line="240" w:lineRule="auto" w:before="186"/>
              <w:ind w:right="98"/>
              <w:jc w:val="right"/>
              <w:rPr>
                <w:rFonts w:ascii="Arial" w:hAnsi="Arial" w:cs="Arial" w:eastAsia="Arial" w:hint="default"/>
                <w:sz w:val="22"/>
                <w:szCs w:val="22"/>
              </w:rPr>
            </w:pPr>
            <w:r>
              <w:rPr>
                <w:rFonts w:ascii="Arial"/>
                <w:spacing w:val="-1"/>
                <w:sz w:val="22"/>
              </w:rPr>
              <w:t>819</w:t>
            </w:r>
          </w:p>
        </w:tc>
        <w:tc>
          <w:tcPr>
            <w:tcW w:w="2246" w:type="dxa"/>
            <w:tcBorders>
              <w:top w:val="nil" w:sz="6" w:space="0" w:color="auto"/>
              <w:left w:val="nil" w:sz="6" w:space="0" w:color="auto"/>
              <w:bottom w:val="single" w:sz="6" w:space="0" w:color="000000"/>
              <w:right w:val="nil" w:sz="6" w:space="0" w:color="auto"/>
            </w:tcBorders>
          </w:tcPr>
          <w:p>
            <w:pPr>
              <w:pStyle w:val="TableParagraph"/>
              <w:spacing w:line="240" w:lineRule="auto" w:before="186"/>
              <w:ind w:right="111"/>
              <w:jc w:val="right"/>
              <w:rPr>
                <w:rFonts w:ascii="Arial" w:hAnsi="Arial" w:cs="Arial" w:eastAsia="Arial" w:hint="default"/>
                <w:sz w:val="22"/>
                <w:szCs w:val="22"/>
              </w:rPr>
            </w:pPr>
            <w:r>
              <w:rPr>
                <w:rFonts w:ascii="Arial"/>
                <w:spacing w:val="-2"/>
                <w:sz w:val="22"/>
              </w:rPr>
              <w:t>746</w:t>
            </w:r>
            <w:r>
              <w:rPr>
                <w:rFonts w:ascii="Arial"/>
                <w:sz w:val="22"/>
              </w:rPr>
            </w:r>
          </w:p>
        </w:tc>
      </w:tr>
      <w:tr>
        <w:trPr>
          <w:trHeight w:val="351" w:hRule="exact"/>
        </w:trPr>
        <w:tc>
          <w:tcPr>
            <w:tcW w:w="4983" w:type="dxa"/>
            <w:tcBorders>
              <w:top w:val="nil" w:sz="6" w:space="0" w:color="auto"/>
              <w:left w:val="nil" w:sz="6" w:space="0" w:color="auto"/>
              <w:bottom w:val="nil" w:sz="6" w:space="0" w:color="auto"/>
              <w:right w:val="single" w:sz="6" w:space="0" w:color="000000"/>
            </w:tcBorders>
          </w:tcPr>
          <w:p>
            <w:pPr>
              <w:pStyle w:val="TableParagraph"/>
              <w:spacing w:line="278" w:lineRule="exact"/>
              <w:ind w:left="420" w:right="0"/>
              <w:jc w:val="left"/>
              <w:rPr>
                <w:rFonts w:ascii="宋体" w:hAnsi="宋体" w:cs="宋体" w:eastAsia="宋体" w:hint="default"/>
                <w:sz w:val="22"/>
                <w:szCs w:val="22"/>
              </w:rPr>
            </w:pPr>
            <w:r>
              <w:rPr>
                <w:rFonts w:ascii="宋体" w:hAnsi="宋体" w:cs="宋体" w:eastAsia="宋体" w:hint="default"/>
                <w:sz w:val="22"/>
                <w:szCs w:val="22"/>
              </w:rPr>
              <w:t>其中：计入当期损益的政府补助</w:t>
            </w:r>
          </w:p>
        </w:tc>
        <w:tc>
          <w:tcPr>
            <w:tcW w:w="2150" w:type="dxa"/>
            <w:tcBorders>
              <w:top w:val="single" w:sz="6" w:space="0" w:color="000000"/>
              <w:left w:val="single" w:sz="6" w:space="0" w:color="000000"/>
              <w:bottom w:val="nil" w:sz="6" w:space="0" w:color="auto"/>
              <w:right w:val="single" w:sz="29" w:space="0" w:color="000000"/>
            </w:tcBorders>
          </w:tcPr>
          <w:p>
            <w:pPr>
              <w:pStyle w:val="TableParagraph"/>
              <w:spacing w:line="240" w:lineRule="auto" w:before="48"/>
              <w:ind w:right="65"/>
              <w:jc w:val="right"/>
              <w:rPr>
                <w:rFonts w:ascii="Arial" w:hAnsi="Arial" w:cs="Arial" w:eastAsia="Arial" w:hint="default"/>
                <w:sz w:val="22"/>
                <w:szCs w:val="22"/>
              </w:rPr>
            </w:pPr>
            <w:r>
              <w:rPr>
                <w:rFonts w:ascii="Arial"/>
                <w:sz w:val="22"/>
              </w:rPr>
              <w:t>31</w:t>
            </w:r>
          </w:p>
        </w:tc>
        <w:tc>
          <w:tcPr>
            <w:tcW w:w="2246" w:type="dxa"/>
            <w:tcBorders>
              <w:top w:val="single" w:sz="6" w:space="0" w:color="000000"/>
              <w:left w:val="single" w:sz="29" w:space="0" w:color="000000"/>
              <w:bottom w:val="nil" w:sz="6" w:space="0" w:color="auto"/>
              <w:right w:val="single" w:sz="6" w:space="0" w:color="000000"/>
            </w:tcBorders>
          </w:tcPr>
          <w:p>
            <w:pPr>
              <w:pStyle w:val="TableParagraph"/>
              <w:spacing w:line="240" w:lineRule="auto" w:before="48"/>
              <w:ind w:right="108"/>
              <w:jc w:val="right"/>
              <w:rPr>
                <w:rFonts w:ascii="Arial" w:hAnsi="Arial" w:cs="Arial" w:eastAsia="Arial" w:hint="default"/>
                <w:sz w:val="22"/>
                <w:szCs w:val="22"/>
              </w:rPr>
            </w:pPr>
            <w:r>
              <w:rPr>
                <w:rFonts w:ascii="Arial"/>
                <w:sz w:val="22"/>
              </w:rPr>
              <w:t>72</w:t>
            </w:r>
          </w:p>
        </w:tc>
      </w:tr>
      <w:tr>
        <w:trPr>
          <w:trHeight w:val="312" w:hRule="exact"/>
        </w:trPr>
        <w:tc>
          <w:tcPr>
            <w:tcW w:w="4983" w:type="dxa"/>
            <w:tcBorders>
              <w:top w:val="nil" w:sz="6" w:space="0" w:color="auto"/>
              <w:left w:val="nil" w:sz="6" w:space="0" w:color="auto"/>
              <w:bottom w:val="nil" w:sz="6" w:space="0" w:color="auto"/>
              <w:right w:val="single" w:sz="6" w:space="0" w:color="000000"/>
            </w:tcBorders>
          </w:tcPr>
          <w:p>
            <w:pPr>
              <w:pStyle w:val="TableParagraph"/>
              <w:spacing w:line="268" w:lineRule="exact"/>
              <w:ind w:left="1078" w:right="0"/>
              <w:jc w:val="left"/>
              <w:rPr>
                <w:rFonts w:ascii="宋体" w:hAnsi="宋体" w:cs="宋体" w:eastAsia="宋体" w:hint="default"/>
                <w:sz w:val="22"/>
                <w:szCs w:val="22"/>
              </w:rPr>
            </w:pPr>
            <w:r>
              <w:rPr>
                <w:rFonts w:ascii="宋体" w:hAnsi="宋体" w:cs="宋体" w:eastAsia="宋体" w:hint="default"/>
                <w:sz w:val="22"/>
                <w:szCs w:val="22"/>
              </w:rPr>
              <w:t>其他营业外收入</w:t>
            </w:r>
          </w:p>
        </w:tc>
        <w:tc>
          <w:tcPr>
            <w:tcW w:w="2150" w:type="dxa"/>
            <w:tcBorders>
              <w:top w:val="nil" w:sz="6" w:space="0" w:color="auto"/>
              <w:left w:val="single" w:sz="6" w:space="0" w:color="000000"/>
              <w:bottom w:val="single" w:sz="6" w:space="0" w:color="000000"/>
              <w:right w:val="single" w:sz="29" w:space="0" w:color="000000"/>
            </w:tcBorders>
          </w:tcPr>
          <w:p>
            <w:pPr>
              <w:pStyle w:val="TableParagraph"/>
              <w:spacing w:line="240" w:lineRule="auto" w:before="50"/>
              <w:ind w:right="67"/>
              <w:jc w:val="right"/>
              <w:rPr>
                <w:rFonts w:ascii="Arial" w:hAnsi="Arial" w:cs="Arial" w:eastAsia="Arial" w:hint="default"/>
                <w:sz w:val="22"/>
                <w:szCs w:val="22"/>
              </w:rPr>
            </w:pPr>
            <w:r>
              <w:rPr>
                <w:rFonts w:ascii="Arial"/>
                <w:spacing w:val="-1"/>
                <w:sz w:val="22"/>
              </w:rPr>
              <w:t>788</w:t>
            </w:r>
          </w:p>
        </w:tc>
        <w:tc>
          <w:tcPr>
            <w:tcW w:w="2246" w:type="dxa"/>
            <w:tcBorders>
              <w:top w:val="nil" w:sz="6" w:space="0" w:color="auto"/>
              <w:left w:val="single" w:sz="29" w:space="0" w:color="000000"/>
              <w:bottom w:val="single" w:sz="6" w:space="0" w:color="000000"/>
              <w:right w:val="single" w:sz="6" w:space="0" w:color="000000"/>
            </w:tcBorders>
          </w:tcPr>
          <w:p>
            <w:pPr>
              <w:pStyle w:val="TableParagraph"/>
              <w:spacing w:line="240" w:lineRule="auto" w:before="50"/>
              <w:ind w:right="108"/>
              <w:jc w:val="right"/>
              <w:rPr>
                <w:rFonts w:ascii="Arial" w:hAnsi="Arial" w:cs="Arial" w:eastAsia="Arial" w:hint="default"/>
                <w:sz w:val="22"/>
                <w:szCs w:val="22"/>
              </w:rPr>
            </w:pPr>
            <w:r>
              <w:rPr>
                <w:rFonts w:ascii="Arial"/>
                <w:spacing w:val="-2"/>
                <w:sz w:val="22"/>
              </w:rPr>
              <w:t>674</w:t>
            </w:r>
            <w:r>
              <w:rPr>
                <w:rFonts w:ascii="Arial"/>
                <w:sz w:val="22"/>
              </w:rPr>
            </w:r>
          </w:p>
        </w:tc>
      </w:tr>
      <w:tr>
        <w:trPr>
          <w:trHeight w:val="329" w:hRule="exact"/>
        </w:trPr>
        <w:tc>
          <w:tcPr>
            <w:tcW w:w="4983" w:type="dxa"/>
            <w:tcBorders>
              <w:top w:val="nil" w:sz="6" w:space="0" w:color="auto"/>
              <w:left w:val="nil" w:sz="6" w:space="0" w:color="auto"/>
              <w:bottom w:val="nil" w:sz="6" w:space="0" w:color="auto"/>
              <w:right w:val="nil" w:sz="6" w:space="0" w:color="auto"/>
            </w:tcBorders>
          </w:tcPr>
          <w:p>
            <w:pPr>
              <w:pStyle w:val="TableParagraph"/>
              <w:spacing w:line="273" w:lineRule="exact"/>
              <w:ind w:left="200" w:right="0"/>
              <w:jc w:val="left"/>
              <w:rPr>
                <w:rFonts w:ascii="宋体" w:hAnsi="宋体" w:cs="宋体" w:eastAsia="宋体" w:hint="default"/>
                <w:sz w:val="22"/>
                <w:szCs w:val="22"/>
              </w:rPr>
            </w:pPr>
            <w:r>
              <w:rPr>
                <w:rFonts w:ascii="宋体" w:hAnsi="宋体" w:cs="宋体" w:eastAsia="宋体" w:hint="default"/>
                <w:sz w:val="22"/>
                <w:szCs w:val="22"/>
              </w:rPr>
              <w:t>－营业外支出</w:t>
            </w:r>
          </w:p>
        </w:tc>
        <w:tc>
          <w:tcPr>
            <w:tcW w:w="2150" w:type="dxa"/>
            <w:tcBorders>
              <w:top w:val="single" w:sz="6" w:space="0" w:color="000000"/>
              <w:left w:val="nil" w:sz="6" w:space="0" w:color="auto"/>
              <w:bottom w:val="nil" w:sz="6" w:space="0" w:color="auto"/>
              <w:right w:val="nil" w:sz="6" w:space="0" w:color="auto"/>
            </w:tcBorders>
          </w:tcPr>
          <w:p>
            <w:pPr>
              <w:pStyle w:val="TableParagraph"/>
              <w:spacing w:line="240" w:lineRule="auto" w:before="48"/>
              <w:ind w:right="64"/>
              <w:jc w:val="right"/>
              <w:rPr>
                <w:rFonts w:ascii="Arial" w:hAnsi="Arial" w:cs="Arial" w:eastAsia="Arial" w:hint="default"/>
                <w:sz w:val="22"/>
                <w:szCs w:val="22"/>
              </w:rPr>
            </w:pPr>
            <w:r>
              <w:rPr>
                <w:rFonts w:ascii="Arial"/>
                <w:sz w:val="22"/>
              </w:rPr>
              <w:t>(227)</w:t>
            </w:r>
          </w:p>
        </w:tc>
        <w:tc>
          <w:tcPr>
            <w:tcW w:w="2246" w:type="dxa"/>
            <w:tcBorders>
              <w:top w:val="single" w:sz="6" w:space="0" w:color="000000"/>
              <w:left w:val="nil" w:sz="6" w:space="0" w:color="auto"/>
              <w:bottom w:val="nil" w:sz="6" w:space="0" w:color="auto"/>
              <w:right w:val="nil" w:sz="6" w:space="0" w:color="auto"/>
            </w:tcBorders>
          </w:tcPr>
          <w:p>
            <w:pPr>
              <w:pStyle w:val="TableParagraph"/>
              <w:spacing w:line="240" w:lineRule="auto" w:before="48"/>
              <w:ind w:right="30"/>
              <w:jc w:val="right"/>
              <w:rPr>
                <w:rFonts w:ascii="Arial" w:hAnsi="Arial" w:cs="Arial" w:eastAsia="Arial" w:hint="default"/>
                <w:sz w:val="22"/>
                <w:szCs w:val="22"/>
              </w:rPr>
            </w:pPr>
            <w:r>
              <w:rPr>
                <w:rFonts w:ascii="Arial"/>
                <w:sz w:val="22"/>
              </w:rPr>
              <w:t>(592)</w:t>
            </w:r>
          </w:p>
        </w:tc>
      </w:tr>
      <w:tr>
        <w:trPr>
          <w:trHeight w:val="298" w:hRule="exact"/>
        </w:trPr>
        <w:tc>
          <w:tcPr>
            <w:tcW w:w="4983" w:type="dxa"/>
            <w:tcBorders>
              <w:top w:val="nil" w:sz="6" w:space="0" w:color="auto"/>
              <w:left w:val="nil" w:sz="6" w:space="0" w:color="auto"/>
              <w:bottom w:val="nil" w:sz="6" w:space="0" w:color="auto"/>
              <w:right w:val="nil" w:sz="6" w:space="0" w:color="auto"/>
            </w:tcBorders>
          </w:tcPr>
          <w:p>
            <w:pPr>
              <w:pStyle w:val="TableParagraph"/>
              <w:spacing w:line="246" w:lineRule="exact"/>
              <w:ind w:left="200" w:right="0"/>
              <w:jc w:val="left"/>
              <w:rPr>
                <w:rFonts w:ascii="宋体" w:hAnsi="宋体" w:cs="宋体" w:eastAsia="宋体" w:hint="default"/>
                <w:sz w:val="22"/>
                <w:szCs w:val="22"/>
              </w:rPr>
            </w:pPr>
            <w:r>
              <w:rPr>
                <w:rFonts w:ascii="宋体" w:hAnsi="宋体" w:cs="宋体" w:eastAsia="宋体" w:hint="default"/>
                <w:sz w:val="22"/>
                <w:szCs w:val="22"/>
              </w:rPr>
              <w:t>－公允价值变动损益</w:t>
            </w:r>
          </w:p>
        </w:tc>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0"/>
              <w:jc w:val="right"/>
              <w:rPr>
                <w:rFonts w:ascii="Arial" w:hAnsi="Arial" w:cs="Arial" w:eastAsia="Arial" w:hint="default"/>
                <w:sz w:val="22"/>
                <w:szCs w:val="22"/>
              </w:rPr>
            </w:pPr>
            <w:r>
              <w:rPr>
                <w:rFonts w:ascii="Arial"/>
                <w:sz w:val="22"/>
              </w:rPr>
              <w:t>96</w:t>
            </w:r>
          </w:p>
        </w:tc>
        <w:tc>
          <w:tcPr>
            <w:tcW w:w="224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
              <w:jc w:val="right"/>
              <w:rPr>
                <w:rFonts w:ascii="Arial" w:hAnsi="Arial" w:cs="Arial" w:eastAsia="Arial" w:hint="default"/>
                <w:sz w:val="22"/>
                <w:szCs w:val="22"/>
              </w:rPr>
            </w:pPr>
            <w:r>
              <w:rPr>
                <w:rFonts w:ascii="Arial"/>
                <w:w w:val="100"/>
                <w:sz w:val="22"/>
              </w:rPr>
              <w:t>-</w:t>
            </w:r>
          </w:p>
        </w:tc>
      </w:tr>
      <w:tr>
        <w:trPr>
          <w:trHeight w:val="302" w:hRule="exact"/>
        </w:trPr>
        <w:tc>
          <w:tcPr>
            <w:tcW w:w="4983" w:type="dxa"/>
            <w:tcBorders>
              <w:top w:val="nil" w:sz="6" w:space="0" w:color="auto"/>
              <w:left w:val="nil" w:sz="6" w:space="0" w:color="auto"/>
              <w:bottom w:val="nil" w:sz="6" w:space="0" w:color="auto"/>
              <w:right w:val="nil" w:sz="6" w:space="0" w:color="auto"/>
            </w:tcBorders>
          </w:tcPr>
          <w:p>
            <w:pPr>
              <w:pStyle w:val="TableParagraph"/>
              <w:spacing w:line="246" w:lineRule="exact"/>
              <w:ind w:left="200" w:right="0"/>
              <w:jc w:val="left"/>
              <w:rPr>
                <w:rFonts w:ascii="宋体" w:hAnsi="宋体" w:cs="宋体" w:eastAsia="宋体" w:hint="default"/>
                <w:sz w:val="22"/>
                <w:szCs w:val="22"/>
              </w:rPr>
            </w:pPr>
            <w:r>
              <w:rPr>
                <w:rFonts w:ascii="宋体" w:hAnsi="宋体" w:cs="宋体" w:eastAsia="宋体" w:hint="default"/>
                <w:sz w:val="22"/>
                <w:szCs w:val="22"/>
              </w:rPr>
              <w:t>－资产处置损失</w:t>
            </w:r>
          </w:p>
        </w:tc>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4"/>
              <w:jc w:val="right"/>
              <w:rPr>
                <w:rFonts w:ascii="Arial" w:hAnsi="Arial" w:cs="Arial" w:eastAsia="Arial" w:hint="default"/>
                <w:sz w:val="22"/>
                <w:szCs w:val="22"/>
              </w:rPr>
            </w:pPr>
            <w:r>
              <w:rPr>
                <w:rFonts w:ascii="Arial"/>
                <w:sz w:val="22"/>
              </w:rPr>
              <w:t>(2,127)</w:t>
            </w:r>
          </w:p>
        </w:tc>
        <w:tc>
          <w:tcPr>
            <w:tcW w:w="224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0"/>
              <w:jc w:val="right"/>
              <w:rPr>
                <w:rFonts w:ascii="Arial" w:hAnsi="Arial" w:cs="Arial" w:eastAsia="Arial" w:hint="default"/>
                <w:sz w:val="22"/>
                <w:szCs w:val="22"/>
              </w:rPr>
            </w:pPr>
            <w:r>
              <w:rPr>
                <w:rFonts w:ascii="Arial"/>
                <w:sz w:val="22"/>
              </w:rPr>
              <w:t>(3,972)</w:t>
            </w:r>
          </w:p>
        </w:tc>
      </w:tr>
      <w:tr>
        <w:trPr>
          <w:trHeight w:val="298" w:hRule="exact"/>
        </w:trPr>
        <w:tc>
          <w:tcPr>
            <w:tcW w:w="4983" w:type="dxa"/>
            <w:tcBorders>
              <w:top w:val="nil" w:sz="6" w:space="0" w:color="auto"/>
              <w:left w:val="nil" w:sz="6" w:space="0" w:color="auto"/>
              <w:bottom w:val="nil" w:sz="6" w:space="0" w:color="auto"/>
              <w:right w:val="nil" w:sz="6" w:space="0" w:color="auto"/>
            </w:tcBorders>
          </w:tcPr>
          <w:p>
            <w:pPr>
              <w:pStyle w:val="TableParagraph"/>
              <w:spacing w:line="246" w:lineRule="exact"/>
              <w:ind w:left="200" w:right="0"/>
              <w:jc w:val="left"/>
              <w:rPr>
                <w:rFonts w:ascii="宋体" w:hAnsi="宋体" w:cs="宋体" w:eastAsia="宋体" w:hint="default"/>
                <w:sz w:val="22"/>
                <w:szCs w:val="22"/>
              </w:rPr>
            </w:pPr>
            <w:r>
              <w:rPr>
                <w:rFonts w:ascii="宋体" w:hAnsi="宋体" w:cs="宋体" w:eastAsia="宋体" w:hint="default"/>
                <w:sz w:val="22"/>
                <w:szCs w:val="22"/>
              </w:rPr>
              <w:t>－铁塔上市投资收益</w:t>
            </w:r>
          </w:p>
        </w:tc>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3"/>
              <w:jc w:val="right"/>
              <w:rPr>
                <w:rFonts w:ascii="Arial" w:hAnsi="Arial" w:cs="Arial" w:eastAsia="Arial" w:hint="default"/>
                <w:sz w:val="22"/>
                <w:szCs w:val="22"/>
              </w:rPr>
            </w:pPr>
            <w:r>
              <w:rPr>
                <w:rFonts w:ascii="Arial"/>
                <w:w w:val="100"/>
                <w:sz w:val="22"/>
              </w:rPr>
              <w:t>-</w:t>
            </w:r>
          </w:p>
        </w:tc>
        <w:tc>
          <w:tcPr>
            <w:tcW w:w="224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1"/>
              <w:jc w:val="right"/>
              <w:rPr>
                <w:rFonts w:ascii="Arial" w:hAnsi="Arial" w:cs="Arial" w:eastAsia="Arial" w:hint="default"/>
                <w:sz w:val="22"/>
                <w:szCs w:val="22"/>
              </w:rPr>
            </w:pPr>
            <w:r>
              <w:rPr>
                <w:rFonts w:ascii="Arial"/>
                <w:spacing w:val="-2"/>
                <w:sz w:val="22"/>
              </w:rPr>
              <w:t>682</w:t>
            </w:r>
            <w:r>
              <w:rPr>
                <w:rFonts w:ascii="Arial"/>
                <w:sz w:val="22"/>
              </w:rPr>
            </w:r>
          </w:p>
        </w:tc>
      </w:tr>
      <w:tr>
        <w:trPr>
          <w:trHeight w:val="302" w:hRule="exact"/>
        </w:trPr>
        <w:tc>
          <w:tcPr>
            <w:tcW w:w="4983" w:type="dxa"/>
            <w:tcBorders>
              <w:top w:val="nil" w:sz="6" w:space="0" w:color="auto"/>
              <w:left w:val="nil" w:sz="6" w:space="0" w:color="auto"/>
              <w:bottom w:val="nil" w:sz="6" w:space="0" w:color="auto"/>
              <w:right w:val="nil" w:sz="6" w:space="0" w:color="auto"/>
            </w:tcBorders>
          </w:tcPr>
          <w:p>
            <w:pPr>
              <w:pStyle w:val="TableParagraph"/>
              <w:spacing w:line="246" w:lineRule="exact"/>
              <w:ind w:left="200" w:right="0"/>
              <w:jc w:val="left"/>
              <w:rPr>
                <w:rFonts w:ascii="宋体" w:hAnsi="宋体" w:cs="宋体" w:eastAsia="宋体" w:hint="default"/>
                <w:sz w:val="22"/>
                <w:szCs w:val="22"/>
              </w:rPr>
            </w:pPr>
            <w:r>
              <w:rPr>
                <w:rFonts w:ascii="宋体" w:hAnsi="宋体" w:cs="宋体" w:eastAsia="宋体" w:hint="default"/>
                <w:sz w:val="22"/>
                <w:szCs w:val="22"/>
              </w:rPr>
              <w:t>－其他收益</w:t>
            </w:r>
          </w:p>
        </w:tc>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36"/>
              <w:jc w:val="right"/>
              <w:rPr>
                <w:rFonts w:ascii="Arial" w:hAnsi="Arial" w:cs="Arial" w:eastAsia="Arial" w:hint="default"/>
                <w:sz w:val="22"/>
                <w:szCs w:val="22"/>
              </w:rPr>
            </w:pPr>
            <w:r>
              <w:rPr>
                <w:rFonts w:ascii="Arial"/>
                <w:spacing w:val="-1"/>
                <w:sz w:val="22"/>
              </w:rPr>
              <w:t>776</w:t>
            </w:r>
          </w:p>
        </w:tc>
        <w:tc>
          <w:tcPr>
            <w:tcW w:w="224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11"/>
              <w:jc w:val="right"/>
              <w:rPr>
                <w:rFonts w:ascii="Arial" w:hAnsi="Arial" w:cs="Arial" w:eastAsia="Arial" w:hint="default"/>
                <w:sz w:val="22"/>
                <w:szCs w:val="22"/>
              </w:rPr>
            </w:pPr>
            <w:r>
              <w:rPr>
                <w:rFonts w:ascii="Arial"/>
                <w:spacing w:val="-2"/>
                <w:sz w:val="22"/>
              </w:rPr>
              <w:t>185</w:t>
            </w:r>
            <w:r>
              <w:rPr>
                <w:rFonts w:ascii="Arial"/>
                <w:sz w:val="22"/>
              </w:rPr>
            </w:r>
          </w:p>
        </w:tc>
      </w:tr>
      <w:tr>
        <w:trPr>
          <w:trHeight w:val="305" w:hRule="exact"/>
        </w:trPr>
        <w:tc>
          <w:tcPr>
            <w:tcW w:w="4983" w:type="dxa"/>
            <w:tcBorders>
              <w:top w:val="nil" w:sz="6" w:space="0" w:color="auto"/>
              <w:left w:val="nil" w:sz="6" w:space="0" w:color="auto"/>
              <w:bottom w:val="nil" w:sz="6" w:space="0" w:color="auto"/>
              <w:right w:val="nil" w:sz="6" w:space="0" w:color="auto"/>
            </w:tcBorders>
          </w:tcPr>
          <w:p>
            <w:pPr>
              <w:pStyle w:val="TableParagraph"/>
              <w:spacing w:line="246" w:lineRule="exact"/>
              <w:ind w:left="200" w:right="0"/>
              <w:jc w:val="left"/>
              <w:rPr>
                <w:rFonts w:ascii="宋体" w:hAnsi="宋体" w:cs="宋体" w:eastAsia="宋体" w:hint="default"/>
                <w:sz w:val="22"/>
                <w:szCs w:val="22"/>
              </w:rPr>
            </w:pPr>
            <w:r>
              <w:rPr>
                <w:rFonts w:ascii="宋体" w:hAnsi="宋体" w:cs="宋体" w:eastAsia="宋体" w:hint="default"/>
                <w:sz w:val="22"/>
                <w:szCs w:val="22"/>
              </w:rPr>
              <w:t>－处置交易性金融资产取得的投资收益</w:t>
            </w:r>
          </w:p>
        </w:tc>
        <w:tc>
          <w:tcPr>
            <w:tcW w:w="2150" w:type="dxa"/>
            <w:tcBorders>
              <w:top w:val="nil" w:sz="6" w:space="0" w:color="auto"/>
              <w:left w:val="nil" w:sz="6" w:space="0" w:color="auto"/>
              <w:bottom w:val="nil" w:sz="6" w:space="0" w:color="auto"/>
              <w:right w:val="nil" w:sz="6" w:space="0" w:color="auto"/>
            </w:tcBorders>
          </w:tcPr>
          <w:p>
            <w:pPr>
              <w:pStyle w:val="TableParagraph"/>
              <w:tabs>
                <w:tab w:pos="1761" w:val="left" w:leader="none"/>
                <w:tab w:pos="2121" w:val="left" w:leader="none"/>
              </w:tabs>
              <w:spacing w:line="240" w:lineRule="auto" w:before="23"/>
              <w:ind w:right="24"/>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13</w:t>
              <w:tab/>
            </w:r>
            <w:r>
              <w:rPr>
                <w:rFonts w:ascii="Arial"/>
                <w:sz w:val="22"/>
              </w:rPr>
            </w:r>
          </w:p>
        </w:tc>
        <w:tc>
          <w:tcPr>
            <w:tcW w:w="2246" w:type="dxa"/>
            <w:tcBorders>
              <w:top w:val="nil" w:sz="6" w:space="0" w:color="auto"/>
              <w:left w:val="nil" w:sz="6" w:space="0" w:color="auto"/>
              <w:bottom w:val="nil" w:sz="6" w:space="0" w:color="auto"/>
              <w:right w:val="nil" w:sz="6" w:space="0" w:color="auto"/>
            </w:tcBorders>
          </w:tcPr>
          <w:p>
            <w:pPr>
              <w:pStyle w:val="TableParagraph"/>
              <w:tabs>
                <w:tab w:pos="1857" w:val="left" w:leader="none"/>
                <w:tab w:pos="2217" w:val="left" w:leader="none"/>
              </w:tabs>
              <w:spacing w:line="240" w:lineRule="auto" w:before="23"/>
              <w:ind w:right="-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50</w:t>
              <w:tab/>
            </w:r>
            <w:r>
              <w:rPr>
                <w:rFonts w:ascii="Arial"/>
                <w:sz w:val="22"/>
              </w:rPr>
            </w:r>
          </w:p>
        </w:tc>
      </w:tr>
      <w:tr>
        <w:trPr>
          <w:trHeight w:val="458" w:hRule="exact"/>
        </w:trPr>
        <w:tc>
          <w:tcPr>
            <w:tcW w:w="4983" w:type="dxa"/>
            <w:tcBorders>
              <w:top w:val="nil" w:sz="6" w:space="0" w:color="auto"/>
              <w:left w:val="nil" w:sz="6" w:space="0" w:color="auto"/>
              <w:bottom w:val="nil" w:sz="6" w:space="0" w:color="auto"/>
              <w:right w:val="nil" w:sz="6" w:space="0" w:color="auto"/>
            </w:tcBorders>
          </w:tcPr>
          <w:p>
            <w:pPr>
              <w:pStyle w:val="TableParagraph"/>
              <w:spacing w:line="254" w:lineRule="exact"/>
              <w:ind w:left="200" w:right="0"/>
              <w:jc w:val="left"/>
              <w:rPr>
                <w:rFonts w:ascii="宋体" w:hAnsi="宋体" w:cs="宋体" w:eastAsia="宋体" w:hint="default"/>
                <w:sz w:val="22"/>
                <w:szCs w:val="22"/>
              </w:rPr>
            </w:pPr>
            <w:r>
              <w:rPr>
                <w:rFonts w:ascii="宋体" w:hAnsi="宋体" w:cs="宋体" w:eastAsia="宋体" w:hint="default"/>
                <w:sz w:val="22"/>
                <w:szCs w:val="22"/>
              </w:rPr>
              <w:t>小计</w:t>
            </w:r>
          </w:p>
        </w:tc>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9"/>
              <w:jc w:val="right"/>
              <w:rPr>
                <w:rFonts w:ascii="Arial" w:hAnsi="Arial" w:cs="Arial" w:eastAsia="Arial" w:hint="default"/>
                <w:sz w:val="22"/>
                <w:szCs w:val="22"/>
              </w:rPr>
            </w:pPr>
            <w:r>
              <w:rPr>
                <w:rFonts w:ascii="Arial"/>
                <w:sz w:val="22"/>
              </w:rPr>
              <w:t>(650)</w:t>
            </w:r>
          </w:p>
        </w:tc>
        <w:tc>
          <w:tcPr>
            <w:tcW w:w="224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2"/>
              <w:jc w:val="right"/>
              <w:rPr>
                <w:rFonts w:ascii="Arial" w:hAnsi="Arial" w:cs="Arial" w:eastAsia="Arial" w:hint="default"/>
                <w:sz w:val="22"/>
                <w:szCs w:val="22"/>
              </w:rPr>
            </w:pPr>
            <w:r>
              <w:rPr>
                <w:rFonts w:ascii="Arial"/>
                <w:sz w:val="22"/>
              </w:rPr>
              <w:t>(2,901)</w:t>
            </w:r>
          </w:p>
        </w:tc>
      </w:tr>
      <w:tr>
        <w:trPr>
          <w:trHeight w:val="451" w:hRule="exact"/>
        </w:trPr>
        <w:tc>
          <w:tcPr>
            <w:tcW w:w="4983"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00" w:right="0"/>
              <w:jc w:val="left"/>
              <w:rPr>
                <w:rFonts w:ascii="宋体" w:hAnsi="宋体" w:cs="宋体" w:eastAsia="宋体" w:hint="default"/>
                <w:sz w:val="22"/>
                <w:szCs w:val="22"/>
              </w:rPr>
            </w:pPr>
            <w:r>
              <w:rPr>
                <w:rFonts w:ascii="宋体" w:hAnsi="宋体" w:cs="宋体" w:eastAsia="宋体" w:hint="default"/>
                <w:sz w:val="22"/>
                <w:szCs w:val="22"/>
              </w:rPr>
              <w:t>－所得税影响数</w:t>
            </w:r>
          </w:p>
        </w:tc>
        <w:tc>
          <w:tcPr>
            <w:tcW w:w="2150" w:type="dxa"/>
            <w:tcBorders>
              <w:top w:val="nil" w:sz="6" w:space="0" w:color="auto"/>
              <w:left w:val="nil" w:sz="6" w:space="0" w:color="auto"/>
              <w:bottom w:val="nil" w:sz="6" w:space="0" w:color="auto"/>
              <w:right w:val="nil" w:sz="6" w:space="0" w:color="auto"/>
            </w:tcBorders>
          </w:tcPr>
          <w:p>
            <w:pPr>
              <w:pStyle w:val="TableParagraph"/>
              <w:tabs>
                <w:tab w:pos="1646" w:val="left" w:leader="none"/>
                <w:tab w:pos="2121" w:val="left" w:leader="none"/>
              </w:tabs>
              <w:spacing w:line="240" w:lineRule="auto" w:before="177"/>
              <w:ind w:right="24"/>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158</w:t>
              <w:tab/>
            </w:r>
            <w:r>
              <w:rPr>
                <w:rFonts w:ascii="Arial"/>
                <w:spacing w:val="-1"/>
                <w:sz w:val="22"/>
              </w:rPr>
            </w:r>
          </w:p>
        </w:tc>
        <w:tc>
          <w:tcPr>
            <w:tcW w:w="2246" w:type="dxa"/>
            <w:tcBorders>
              <w:top w:val="nil" w:sz="6" w:space="0" w:color="auto"/>
              <w:left w:val="nil" w:sz="6" w:space="0" w:color="auto"/>
              <w:bottom w:val="nil" w:sz="6" w:space="0" w:color="auto"/>
              <w:right w:val="nil" w:sz="6" w:space="0" w:color="auto"/>
            </w:tcBorders>
          </w:tcPr>
          <w:p>
            <w:pPr>
              <w:pStyle w:val="TableParagraph"/>
              <w:tabs>
                <w:tab w:pos="1737" w:val="left" w:leader="none"/>
                <w:tab w:pos="2217" w:val="left" w:leader="none"/>
              </w:tabs>
              <w:spacing w:line="240" w:lineRule="auto" w:before="177"/>
              <w:ind w:right="-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746</w:t>
              <w:tab/>
            </w:r>
            <w:r>
              <w:rPr>
                <w:rFonts w:ascii="Arial"/>
                <w:spacing w:val="-1"/>
                <w:sz w:val="22"/>
              </w:rPr>
            </w:r>
          </w:p>
        </w:tc>
      </w:tr>
      <w:tr>
        <w:trPr>
          <w:trHeight w:val="449" w:hRule="exact"/>
        </w:trPr>
        <w:tc>
          <w:tcPr>
            <w:tcW w:w="4983" w:type="dxa"/>
            <w:tcBorders>
              <w:top w:val="nil" w:sz="6" w:space="0" w:color="auto"/>
              <w:left w:val="nil" w:sz="6" w:space="0" w:color="auto"/>
              <w:bottom w:val="nil" w:sz="6" w:space="0" w:color="auto"/>
              <w:right w:val="nil" w:sz="6" w:space="0" w:color="auto"/>
            </w:tcBorders>
          </w:tcPr>
          <w:p>
            <w:pPr>
              <w:pStyle w:val="TableParagraph"/>
              <w:spacing w:line="246" w:lineRule="exact"/>
              <w:ind w:left="200" w:right="0"/>
              <w:jc w:val="left"/>
              <w:rPr>
                <w:rFonts w:ascii="宋体" w:hAnsi="宋体" w:cs="宋体" w:eastAsia="宋体" w:hint="default"/>
                <w:sz w:val="22"/>
                <w:szCs w:val="22"/>
              </w:rPr>
            </w:pPr>
            <w:r>
              <w:rPr>
                <w:rFonts w:ascii="宋体" w:hAnsi="宋体" w:cs="宋体" w:eastAsia="宋体" w:hint="default"/>
                <w:sz w:val="22"/>
                <w:szCs w:val="22"/>
              </w:rPr>
              <w:t>小计</w:t>
            </w:r>
          </w:p>
        </w:tc>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4"/>
              <w:jc w:val="right"/>
              <w:rPr>
                <w:rFonts w:ascii="Arial" w:hAnsi="Arial" w:cs="Arial" w:eastAsia="Arial" w:hint="default"/>
                <w:sz w:val="22"/>
                <w:szCs w:val="22"/>
              </w:rPr>
            </w:pPr>
            <w:r>
              <w:rPr>
                <w:rFonts w:ascii="Arial"/>
                <w:sz w:val="22"/>
              </w:rPr>
              <w:t>(492)</w:t>
            </w:r>
          </w:p>
        </w:tc>
        <w:tc>
          <w:tcPr>
            <w:tcW w:w="224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0"/>
              <w:jc w:val="right"/>
              <w:rPr>
                <w:rFonts w:ascii="Arial" w:hAnsi="Arial" w:cs="Arial" w:eastAsia="Arial" w:hint="default"/>
                <w:sz w:val="22"/>
                <w:szCs w:val="22"/>
              </w:rPr>
            </w:pPr>
            <w:r>
              <w:rPr>
                <w:rFonts w:ascii="Arial"/>
                <w:sz w:val="22"/>
              </w:rPr>
              <w:t>(2,155)</w:t>
            </w:r>
          </w:p>
        </w:tc>
      </w:tr>
      <w:tr>
        <w:trPr>
          <w:trHeight w:val="607" w:hRule="exact"/>
        </w:trPr>
        <w:tc>
          <w:tcPr>
            <w:tcW w:w="4983"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00" w:right="0"/>
              <w:jc w:val="left"/>
              <w:rPr>
                <w:rFonts w:ascii="宋体" w:hAnsi="宋体" w:cs="宋体" w:eastAsia="宋体" w:hint="default"/>
                <w:sz w:val="22"/>
                <w:szCs w:val="22"/>
              </w:rPr>
            </w:pPr>
            <w:r>
              <w:rPr>
                <w:rFonts w:ascii="宋体" w:hAnsi="宋体" w:cs="宋体" w:eastAsia="宋体" w:hint="default"/>
                <w:sz w:val="22"/>
                <w:szCs w:val="22"/>
              </w:rPr>
              <w:t>－少数股东损益的影响</w:t>
            </w:r>
          </w:p>
        </w:tc>
        <w:tc>
          <w:tcPr>
            <w:tcW w:w="2150" w:type="dxa"/>
            <w:tcBorders>
              <w:top w:val="nil" w:sz="6" w:space="0" w:color="auto"/>
              <w:left w:val="nil" w:sz="6" w:space="0" w:color="auto"/>
              <w:bottom w:val="nil" w:sz="6" w:space="0" w:color="auto"/>
              <w:right w:val="nil" w:sz="6" w:space="0" w:color="auto"/>
            </w:tcBorders>
          </w:tcPr>
          <w:p>
            <w:pPr>
              <w:pStyle w:val="TableParagraph"/>
              <w:tabs>
                <w:tab w:pos="1641" w:val="left" w:leader="none"/>
                <w:tab w:pos="2121" w:val="left" w:leader="none"/>
              </w:tabs>
              <w:spacing w:line="240" w:lineRule="auto" w:before="174"/>
              <w:ind w:right="24"/>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r>
            <w:r>
              <w:rPr>
                <w:rFonts w:ascii="Arial"/>
                <w:spacing w:val="-1"/>
                <w:sz w:val="22"/>
                <w:u w:val="single" w:color="000000"/>
              </w:rPr>
              <w:t>276</w:t>
              <w:tab/>
            </w:r>
            <w:r>
              <w:rPr>
                <w:rFonts w:ascii="Arial"/>
                <w:spacing w:val="-1"/>
                <w:sz w:val="22"/>
              </w:rPr>
            </w:r>
          </w:p>
        </w:tc>
        <w:tc>
          <w:tcPr>
            <w:tcW w:w="2246" w:type="dxa"/>
            <w:tcBorders>
              <w:top w:val="nil" w:sz="6" w:space="0" w:color="auto"/>
              <w:left w:val="nil" w:sz="6" w:space="0" w:color="auto"/>
              <w:bottom w:val="nil" w:sz="6" w:space="0" w:color="auto"/>
              <w:right w:val="nil" w:sz="6" w:space="0" w:color="auto"/>
            </w:tcBorders>
          </w:tcPr>
          <w:p>
            <w:pPr>
              <w:pStyle w:val="TableParagraph"/>
              <w:tabs>
                <w:tab w:pos="1550" w:val="left" w:leader="none"/>
                <w:tab w:pos="2217" w:val="left" w:leader="none"/>
              </w:tabs>
              <w:spacing w:line="240" w:lineRule="auto" w:before="174"/>
              <w:ind w:right="-3"/>
              <w:jc w:val="right"/>
              <w:rPr>
                <w:rFonts w:ascii="Arial" w:hAnsi="Arial" w:cs="Arial" w:eastAsia="Arial" w:hint="default"/>
                <w:sz w:val="22"/>
                <w:szCs w:val="22"/>
              </w:rPr>
            </w:pPr>
            <w:r>
              <w:rPr>
                <w:rFonts w:ascii="Arial"/>
                <w:w w:val="100"/>
                <w:sz w:val="22"/>
              </w:rPr>
            </w:r>
            <w:r>
              <w:rPr>
                <w:rFonts w:ascii="Arial"/>
                <w:w w:val="100"/>
                <w:sz w:val="22"/>
                <w:u w:val="single" w:color="000000"/>
              </w:rPr>
              <w:t> </w:t>
            </w:r>
            <w:r>
              <w:rPr>
                <w:rFonts w:ascii="Arial"/>
                <w:sz w:val="22"/>
                <w:u w:val="single" w:color="000000"/>
              </w:rPr>
              <w:tab/>
              <w:t>1,208</w:t>
              <w:tab/>
            </w:r>
            <w:r>
              <w:rPr>
                <w:rFonts w:ascii="Arial"/>
                <w:sz w:val="22"/>
              </w:rPr>
            </w:r>
          </w:p>
        </w:tc>
      </w:tr>
      <w:tr>
        <w:trPr>
          <w:trHeight w:val="463" w:hRule="exact"/>
        </w:trPr>
        <w:tc>
          <w:tcPr>
            <w:tcW w:w="4983"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200"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150" w:type="dxa"/>
            <w:tcBorders>
              <w:top w:val="nil" w:sz="6" w:space="0" w:color="auto"/>
              <w:left w:val="nil" w:sz="6" w:space="0" w:color="auto"/>
              <w:bottom w:val="single" w:sz="17" w:space="0" w:color="000000"/>
              <w:right w:val="nil" w:sz="6" w:space="0" w:color="auto"/>
            </w:tcBorders>
          </w:tcPr>
          <w:p>
            <w:pPr>
              <w:pStyle w:val="TableParagraph"/>
              <w:spacing w:line="240" w:lineRule="auto" w:before="182"/>
              <w:ind w:right="59"/>
              <w:jc w:val="right"/>
              <w:rPr>
                <w:rFonts w:ascii="Arial" w:hAnsi="Arial" w:cs="Arial" w:eastAsia="Arial" w:hint="default"/>
                <w:sz w:val="22"/>
                <w:szCs w:val="22"/>
              </w:rPr>
            </w:pPr>
            <w:r>
              <w:rPr>
                <w:rFonts w:ascii="Arial"/>
                <w:sz w:val="22"/>
              </w:rPr>
              <w:t>(216)</w:t>
            </w:r>
          </w:p>
        </w:tc>
        <w:tc>
          <w:tcPr>
            <w:tcW w:w="2246" w:type="dxa"/>
            <w:tcBorders>
              <w:top w:val="nil" w:sz="6" w:space="0" w:color="auto"/>
              <w:left w:val="nil" w:sz="6" w:space="0" w:color="auto"/>
              <w:bottom w:val="single" w:sz="17" w:space="0" w:color="000000"/>
              <w:right w:val="nil" w:sz="6" w:space="0" w:color="auto"/>
            </w:tcBorders>
          </w:tcPr>
          <w:p>
            <w:pPr>
              <w:pStyle w:val="TableParagraph"/>
              <w:spacing w:line="240" w:lineRule="auto" w:before="182"/>
              <w:ind w:right="32"/>
              <w:jc w:val="right"/>
              <w:rPr>
                <w:rFonts w:ascii="Arial" w:hAnsi="Arial" w:cs="Arial" w:eastAsia="Arial" w:hint="default"/>
                <w:sz w:val="22"/>
                <w:szCs w:val="22"/>
              </w:rPr>
            </w:pPr>
            <w:r>
              <w:rPr>
                <w:rFonts w:ascii="Arial"/>
                <w:sz w:val="22"/>
              </w:rPr>
              <w:t>(947)</w:t>
            </w:r>
          </w:p>
        </w:tc>
      </w:tr>
    </w:tbl>
    <w:p>
      <w:pPr>
        <w:spacing w:line="240" w:lineRule="auto" w:before="10"/>
        <w:rPr>
          <w:rFonts w:ascii="宋体" w:hAnsi="宋体" w:cs="宋体" w:eastAsia="宋体" w:hint="default"/>
          <w:sz w:val="13"/>
          <w:szCs w:val="13"/>
        </w:rPr>
      </w:pPr>
    </w:p>
    <w:p>
      <w:pPr>
        <w:pStyle w:val="BodyText"/>
        <w:spacing w:line="240" w:lineRule="auto" w:before="32"/>
        <w:ind w:left="535" w:right="0"/>
        <w:jc w:val="both"/>
      </w:pPr>
      <w:r>
        <w:rPr/>
        <w:t>非经常性损益明细表编制基础</w:t>
      </w:r>
    </w:p>
    <w:p>
      <w:pPr>
        <w:spacing w:line="240" w:lineRule="auto" w:before="9"/>
        <w:rPr>
          <w:rFonts w:ascii="宋体" w:hAnsi="宋体" w:cs="宋体" w:eastAsia="宋体" w:hint="default"/>
          <w:sz w:val="21"/>
          <w:szCs w:val="21"/>
        </w:rPr>
      </w:pPr>
    </w:p>
    <w:p>
      <w:pPr>
        <w:pStyle w:val="BodyText"/>
        <w:spacing w:line="284" w:lineRule="exact"/>
        <w:ind w:left="535" w:right="120"/>
        <w:jc w:val="both"/>
      </w:pPr>
      <w:r>
        <w:rPr/>
        <w:t>根据《公开发行证券的公司信息披露解释性公告第</w:t>
      </w:r>
      <w:r>
        <w:rPr>
          <w:spacing w:val="-57"/>
        </w:rPr>
        <w:t> </w:t>
      </w:r>
      <w:r>
        <w:rPr>
          <w:rFonts w:ascii="Arial" w:hAnsi="Arial" w:cs="Arial" w:eastAsia="Arial" w:hint="default"/>
        </w:rPr>
        <w:t>1</w:t>
      </w:r>
      <w:r>
        <w:rPr>
          <w:rFonts w:ascii="Arial" w:hAnsi="Arial" w:cs="Arial" w:eastAsia="Arial" w:hint="default"/>
          <w:spacing w:val="-1"/>
        </w:rPr>
        <w:t> </w:t>
      </w:r>
      <w:r>
        <w:rPr/>
        <w:t>号</w:t>
      </w:r>
      <w:r>
        <w:rPr>
          <w:rFonts w:ascii="宋体" w:hAnsi="宋体" w:cs="宋体" w:eastAsia="宋体" w:hint="default"/>
        </w:rPr>
        <w:t>—</w:t>
      </w:r>
      <w:r>
        <w:rPr/>
        <w:t>非经常性损益</w:t>
      </w:r>
      <w:r>
        <w:rPr>
          <w:rFonts w:ascii="Arial" w:hAnsi="Arial" w:cs="Arial" w:eastAsia="Arial" w:hint="default"/>
        </w:rPr>
        <w:t>[2008]</w:t>
      </w:r>
      <w:r>
        <w:rPr/>
        <w:t>》的规定，非经常</w:t>
      </w:r>
      <w:r>
        <w:rPr>
          <w:w w:val="100"/>
        </w:rPr>
        <w:t> </w:t>
      </w:r>
      <w:r>
        <w:rPr>
          <w:spacing w:val="-2"/>
        </w:rPr>
        <w:t>性损益是指与公司正常经营业务无直接关系，以及虽与正常经营业务相关，但由于其性质特殊和</w:t>
      </w:r>
      <w:r>
        <w:rPr>
          <w:spacing w:val="-58"/>
        </w:rPr>
        <w:t> </w:t>
      </w:r>
      <w:r>
        <w:rPr>
          <w:spacing w:val="-58"/>
        </w:rPr>
      </w:r>
      <w:r>
        <w:rPr/>
        <w:t>偶发性，影响报表使用人对公司经营业绩和盈利作出正确判断的各项交易和事项产生的损益。</w:t>
      </w:r>
    </w:p>
    <w:p>
      <w:pPr>
        <w:spacing w:after="0" w:line="284" w:lineRule="exact"/>
        <w:jc w:val="both"/>
        <w:sectPr>
          <w:headerReference w:type="default" r:id="rId237"/>
          <w:pgSz w:w="11910" w:h="16840"/>
          <w:pgMar w:header="1183" w:footer="502" w:top="3040" w:bottom="700" w:left="1020" w:right="1020"/>
        </w:sectPr>
      </w:pPr>
    </w:p>
    <w:p>
      <w:pPr>
        <w:spacing w:line="240" w:lineRule="auto" w:before="10"/>
        <w:rPr>
          <w:rFonts w:ascii="宋体" w:hAnsi="宋体" w:cs="宋体" w:eastAsia="宋体" w:hint="default"/>
          <w:sz w:val="17"/>
          <w:szCs w:val="17"/>
        </w:rPr>
      </w:pPr>
    </w:p>
    <w:tbl>
      <w:tblPr>
        <w:tblW w:w="0" w:type="auto"/>
        <w:jc w:val="left"/>
        <w:tblInd w:w="382" w:type="dxa"/>
        <w:tblLayout w:type="fixed"/>
        <w:tblCellMar>
          <w:top w:w="0" w:type="dxa"/>
          <w:left w:w="0" w:type="dxa"/>
          <w:bottom w:w="0" w:type="dxa"/>
          <w:right w:w="0" w:type="dxa"/>
        </w:tblCellMar>
        <w:tblLook w:val="01E0"/>
      </w:tblPr>
      <w:tblGrid>
        <w:gridCol w:w="1464"/>
        <w:gridCol w:w="1399"/>
        <w:gridCol w:w="1414"/>
        <w:gridCol w:w="1315"/>
        <w:gridCol w:w="1301"/>
        <w:gridCol w:w="1332"/>
        <w:gridCol w:w="1327"/>
      </w:tblGrid>
      <w:tr>
        <w:trPr>
          <w:trHeight w:val="274" w:hRule="exact"/>
        </w:trPr>
        <w:tc>
          <w:tcPr>
            <w:tcW w:w="1464" w:type="dxa"/>
            <w:vMerge w:val="restart"/>
            <w:tcBorders>
              <w:top w:val="single" w:sz="6" w:space="0" w:color="000000"/>
              <w:left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05" w:right="0"/>
              <w:jc w:val="left"/>
              <w:rPr>
                <w:rFonts w:ascii="宋体" w:hAnsi="宋体" w:cs="宋体" w:eastAsia="宋体" w:hint="default"/>
                <w:sz w:val="20"/>
                <w:szCs w:val="20"/>
              </w:rPr>
            </w:pPr>
            <w:r>
              <w:rPr>
                <w:rFonts w:ascii="宋体" w:hAnsi="宋体" w:cs="宋体" w:eastAsia="宋体" w:hint="default"/>
                <w:sz w:val="20"/>
                <w:szCs w:val="20"/>
              </w:rPr>
              <w:t>报告期利润</w:t>
            </w:r>
          </w:p>
        </w:tc>
        <w:tc>
          <w:tcPr>
            <w:tcW w:w="2813" w:type="dxa"/>
            <w:gridSpan w:val="2"/>
            <w:vMerge w:val="restart"/>
            <w:tcBorders>
              <w:top w:val="single" w:sz="6" w:space="0" w:color="000000"/>
              <w:left w:val="single" w:sz="6" w:space="0" w:color="000000"/>
              <w:right w:val="single" w:sz="6" w:space="0" w:color="000000"/>
            </w:tcBorders>
          </w:tcPr>
          <w:p>
            <w:pPr>
              <w:pStyle w:val="TableParagraph"/>
              <w:spacing w:line="240" w:lineRule="auto" w:before="107"/>
              <w:ind w:left="249" w:right="0"/>
              <w:jc w:val="left"/>
              <w:rPr>
                <w:rFonts w:ascii="Arial" w:hAnsi="Arial" w:cs="Arial" w:eastAsia="Arial" w:hint="default"/>
                <w:sz w:val="20"/>
                <w:szCs w:val="20"/>
              </w:rPr>
            </w:pPr>
            <w:r>
              <w:rPr>
                <w:rFonts w:ascii="宋体" w:hAnsi="宋体" w:cs="宋体" w:eastAsia="宋体" w:hint="default"/>
                <w:sz w:val="20"/>
                <w:szCs w:val="20"/>
              </w:rPr>
              <w:t>加权平均净资产收益率</w:t>
            </w:r>
            <w:r>
              <w:rPr>
                <w:rFonts w:ascii="Arial" w:hAnsi="Arial" w:cs="Arial" w:eastAsia="Arial" w:hint="default"/>
                <w:sz w:val="20"/>
                <w:szCs w:val="20"/>
              </w:rPr>
              <w:t>(%)</w:t>
            </w:r>
          </w:p>
        </w:tc>
        <w:tc>
          <w:tcPr>
            <w:tcW w:w="5275" w:type="dxa"/>
            <w:gridSpan w:val="4"/>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9" w:right="0"/>
              <w:jc w:val="center"/>
              <w:rPr>
                <w:rFonts w:ascii="宋体" w:hAnsi="宋体" w:cs="宋体" w:eastAsia="宋体" w:hint="default"/>
                <w:sz w:val="20"/>
                <w:szCs w:val="20"/>
              </w:rPr>
            </w:pPr>
            <w:r>
              <w:rPr>
                <w:rFonts w:ascii="宋体" w:hAnsi="宋体" w:cs="宋体" w:eastAsia="宋体" w:hint="default"/>
                <w:sz w:val="20"/>
                <w:szCs w:val="20"/>
              </w:rPr>
              <w:t>每股收益</w:t>
            </w:r>
          </w:p>
        </w:tc>
      </w:tr>
      <w:tr>
        <w:trPr>
          <w:trHeight w:val="278" w:hRule="exact"/>
        </w:trPr>
        <w:tc>
          <w:tcPr>
            <w:tcW w:w="1464" w:type="dxa"/>
            <w:vMerge/>
            <w:tcBorders>
              <w:left w:val="single" w:sz="6" w:space="0" w:color="000000"/>
              <w:bottom w:val="single" w:sz="6" w:space="0" w:color="000000"/>
              <w:right w:val="single" w:sz="6" w:space="0" w:color="000000"/>
            </w:tcBorders>
          </w:tcPr>
          <w:p>
            <w:pPr/>
          </w:p>
        </w:tc>
        <w:tc>
          <w:tcPr>
            <w:tcW w:w="2813" w:type="dxa"/>
            <w:gridSpan w:val="2"/>
            <w:vMerge/>
            <w:tcBorders>
              <w:left w:val="single" w:sz="6" w:space="0" w:color="000000"/>
              <w:bottom w:val="single" w:sz="6" w:space="0" w:color="000000"/>
              <w:right w:val="single" w:sz="6" w:space="0" w:color="000000"/>
            </w:tcBorders>
          </w:tcPr>
          <w:p>
            <w:pPr/>
          </w:p>
        </w:tc>
        <w:tc>
          <w:tcPr>
            <w:tcW w:w="2616" w:type="dxa"/>
            <w:gridSpan w:val="2"/>
            <w:tcBorders>
              <w:top w:val="single" w:sz="6" w:space="0" w:color="000000"/>
              <w:left w:val="single" w:sz="6" w:space="0" w:color="000000"/>
              <w:bottom w:val="single" w:sz="6" w:space="0" w:color="000000"/>
              <w:right w:val="single" w:sz="6" w:space="0" w:color="000000"/>
            </w:tcBorders>
          </w:tcPr>
          <w:p>
            <w:pPr>
              <w:pStyle w:val="TableParagraph"/>
              <w:spacing w:line="235" w:lineRule="exact"/>
              <w:ind w:left="705" w:right="0"/>
              <w:jc w:val="left"/>
              <w:rPr>
                <w:rFonts w:ascii="宋体" w:hAnsi="宋体" w:cs="宋体" w:eastAsia="宋体" w:hint="default"/>
                <w:sz w:val="20"/>
                <w:szCs w:val="20"/>
              </w:rPr>
            </w:pPr>
            <w:r>
              <w:rPr>
                <w:rFonts w:ascii="宋体" w:hAnsi="宋体" w:cs="宋体" w:eastAsia="宋体" w:hint="default"/>
                <w:sz w:val="20"/>
                <w:szCs w:val="20"/>
              </w:rPr>
              <w:t>基本每股收益</w:t>
            </w:r>
          </w:p>
        </w:tc>
        <w:tc>
          <w:tcPr>
            <w:tcW w:w="2659" w:type="dxa"/>
            <w:gridSpan w:val="2"/>
            <w:tcBorders>
              <w:top w:val="single" w:sz="6" w:space="0" w:color="000000"/>
              <w:left w:val="single" w:sz="6" w:space="0" w:color="000000"/>
              <w:bottom w:val="single" w:sz="6" w:space="0" w:color="000000"/>
              <w:right w:val="single" w:sz="6" w:space="0" w:color="000000"/>
            </w:tcBorders>
          </w:tcPr>
          <w:p>
            <w:pPr>
              <w:pStyle w:val="TableParagraph"/>
              <w:spacing w:line="235" w:lineRule="exact"/>
              <w:ind w:left="724" w:right="0"/>
              <w:jc w:val="left"/>
              <w:rPr>
                <w:rFonts w:ascii="宋体" w:hAnsi="宋体" w:cs="宋体" w:eastAsia="宋体" w:hint="default"/>
                <w:sz w:val="20"/>
                <w:szCs w:val="20"/>
              </w:rPr>
            </w:pPr>
            <w:r>
              <w:rPr>
                <w:rFonts w:ascii="宋体" w:hAnsi="宋体" w:cs="宋体" w:eastAsia="宋体" w:hint="default"/>
                <w:sz w:val="20"/>
                <w:szCs w:val="20"/>
              </w:rPr>
              <w:t>稀释每股收益</w:t>
            </w:r>
          </w:p>
        </w:tc>
      </w:tr>
      <w:tr>
        <w:trPr>
          <w:trHeight w:val="283" w:hRule="exact"/>
        </w:trPr>
        <w:tc>
          <w:tcPr>
            <w:tcW w:w="1464" w:type="dxa"/>
            <w:tcBorders>
              <w:top w:val="single" w:sz="6" w:space="0" w:color="000000"/>
              <w:left w:val="single" w:sz="6" w:space="0" w:color="000000"/>
              <w:bottom w:val="single" w:sz="6" w:space="0" w:color="000000"/>
              <w:right w:val="single" w:sz="6" w:space="0" w:color="000000"/>
            </w:tcBorders>
          </w:tcPr>
          <w:p>
            <w:pPr/>
          </w:p>
        </w:tc>
        <w:tc>
          <w:tcPr>
            <w:tcW w:w="1399" w:type="dxa"/>
            <w:tcBorders>
              <w:top w:val="single" w:sz="6" w:space="0" w:color="000000"/>
              <w:left w:val="single" w:sz="6" w:space="0" w:color="000000"/>
              <w:bottom w:val="single" w:sz="6" w:space="0" w:color="000000"/>
              <w:right w:val="single" w:sz="4" w:space="0" w:color="000000"/>
            </w:tcBorders>
          </w:tcPr>
          <w:p>
            <w:pPr>
              <w:pStyle w:val="TableParagraph"/>
              <w:spacing w:line="251" w:lineRule="exact"/>
              <w:ind w:right="108"/>
              <w:jc w:val="right"/>
              <w:rPr>
                <w:rFonts w:ascii="宋体" w:hAnsi="宋体" w:cs="宋体" w:eastAsia="宋体" w:hint="default"/>
                <w:sz w:val="21"/>
                <w:szCs w:val="21"/>
              </w:rPr>
            </w:pPr>
            <w:r>
              <w:rPr>
                <w:rFonts w:ascii="Arial" w:hAnsi="Arial" w:cs="Arial" w:eastAsia="Arial" w:hint="default"/>
                <w:spacing w:val="-3"/>
                <w:sz w:val="21"/>
                <w:szCs w:val="21"/>
              </w:rPr>
              <w:t>2019</w:t>
            </w:r>
            <w:r>
              <w:rPr>
                <w:rFonts w:ascii="宋体" w:hAnsi="宋体" w:cs="宋体" w:eastAsia="宋体" w:hint="default"/>
                <w:spacing w:val="-3"/>
                <w:sz w:val="21"/>
                <w:szCs w:val="21"/>
              </w:rPr>
              <w:t>年</w:t>
            </w:r>
          </w:p>
        </w:tc>
        <w:tc>
          <w:tcPr>
            <w:tcW w:w="1414" w:type="dxa"/>
            <w:tcBorders>
              <w:top w:val="single" w:sz="6" w:space="0" w:color="000000"/>
              <w:left w:val="single" w:sz="4" w:space="0" w:color="000000"/>
              <w:bottom w:val="single" w:sz="6" w:space="0" w:color="000000"/>
              <w:right w:val="single" w:sz="6" w:space="0" w:color="000000"/>
            </w:tcBorders>
          </w:tcPr>
          <w:p>
            <w:pPr>
              <w:pStyle w:val="TableParagraph"/>
              <w:spacing w:line="251" w:lineRule="exact"/>
              <w:ind w:right="98"/>
              <w:jc w:val="right"/>
              <w:rPr>
                <w:rFonts w:ascii="宋体" w:hAnsi="宋体" w:cs="宋体" w:eastAsia="宋体" w:hint="default"/>
                <w:sz w:val="21"/>
                <w:szCs w:val="21"/>
              </w:rPr>
            </w:pPr>
            <w:r>
              <w:rPr>
                <w:rFonts w:ascii="Arial" w:hAnsi="Arial" w:cs="Arial" w:eastAsia="Arial" w:hint="default"/>
                <w:spacing w:val="-3"/>
                <w:sz w:val="21"/>
                <w:szCs w:val="21"/>
              </w:rPr>
              <w:t>2018</w:t>
            </w:r>
            <w:r>
              <w:rPr>
                <w:rFonts w:ascii="宋体" w:hAnsi="宋体" w:cs="宋体" w:eastAsia="宋体" w:hint="default"/>
                <w:spacing w:val="-3"/>
                <w:sz w:val="21"/>
                <w:szCs w:val="21"/>
              </w:rPr>
              <w:t>年</w:t>
            </w:r>
          </w:p>
        </w:tc>
        <w:tc>
          <w:tcPr>
            <w:tcW w:w="1315" w:type="dxa"/>
            <w:tcBorders>
              <w:top w:val="single" w:sz="6" w:space="0" w:color="000000"/>
              <w:left w:val="single" w:sz="6" w:space="0" w:color="000000"/>
              <w:bottom w:val="single" w:sz="6" w:space="0" w:color="000000"/>
              <w:right w:val="single" w:sz="6" w:space="0" w:color="000000"/>
            </w:tcBorders>
          </w:tcPr>
          <w:p>
            <w:pPr>
              <w:pStyle w:val="TableParagraph"/>
              <w:spacing w:line="251" w:lineRule="exact"/>
              <w:ind w:right="-10"/>
              <w:jc w:val="right"/>
              <w:rPr>
                <w:rFonts w:ascii="宋体" w:hAnsi="宋体" w:cs="宋体" w:eastAsia="宋体" w:hint="default"/>
                <w:sz w:val="21"/>
                <w:szCs w:val="21"/>
              </w:rPr>
            </w:pPr>
            <w:r>
              <w:rPr>
                <w:rFonts w:ascii="Arial" w:hAnsi="Arial" w:cs="Arial" w:eastAsia="Arial" w:hint="default"/>
                <w:spacing w:val="-2"/>
                <w:sz w:val="21"/>
                <w:szCs w:val="21"/>
              </w:rPr>
              <w:t>2019</w:t>
            </w:r>
            <w:r>
              <w:rPr>
                <w:rFonts w:ascii="宋体" w:hAnsi="宋体" w:cs="宋体" w:eastAsia="宋体" w:hint="default"/>
                <w:spacing w:val="-2"/>
                <w:sz w:val="21"/>
                <w:szCs w:val="21"/>
              </w:rPr>
              <w:t>年</w:t>
            </w:r>
            <w:r>
              <w:rPr>
                <w:rFonts w:ascii="宋体" w:hAnsi="宋体" w:cs="宋体" w:eastAsia="宋体" w:hint="default"/>
                <w:sz w:val="21"/>
                <w:szCs w:val="21"/>
              </w:rPr>
              <w:t> </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51" w:lineRule="exact"/>
              <w:ind w:left="513" w:right="-10"/>
              <w:jc w:val="center"/>
              <w:rPr>
                <w:rFonts w:ascii="宋体" w:hAnsi="宋体" w:cs="宋体" w:eastAsia="宋体" w:hint="default"/>
                <w:sz w:val="21"/>
                <w:szCs w:val="21"/>
              </w:rPr>
            </w:pPr>
            <w:r>
              <w:rPr>
                <w:rFonts w:ascii="Arial" w:hAnsi="Arial" w:cs="Arial" w:eastAsia="Arial" w:hint="default"/>
                <w:sz w:val="21"/>
                <w:szCs w:val="21"/>
              </w:rPr>
              <w:t>2018</w:t>
            </w:r>
            <w:r>
              <w:rPr>
                <w:rFonts w:ascii="宋体" w:hAnsi="宋体" w:cs="宋体" w:eastAsia="宋体" w:hint="default"/>
                <w:sz w:val="21"/>
                <w:szCs w:val="21"/>
              </w:rPr>
              <w:t>年</w:t>
            </w:r>
            <w:r>
              <w:rPr>
                <w:rFonts w:ascii="宋体" w:hAnsi="宋体" w:cs="宋体" w:eastAsia="宋体" w:hint="default"/>
                <w:sz w:val="21"/>
                <w:szCs w:val="21"/>
              </w:rPr>
              <w:t> </w:t>
            </w:r>
          </w:p>
        </w:tc>
        <w:tc>
          <w:tcPr>
            <w:tcW w:w="1332" w:type="dxa"/>
            <w:tcBorders>
              <w:top w:val="single" w:sz="6" w:space="0" w:color="000000"/>
              <w:left w:val="single" w:sz="6" w:space="0" w:color="000000"/>
              <w:bottom w:val="single" w:sz="6" w:space="0" w:color="000000"/>
              <w:right w:val="single" w:sz="4" w:space="0" w:color="000000"/>
            </w:tcBorders>
          </w:tcPr>
          <w:p>
            <w:pPr>
              <w:pStyle w:val="TableParagraph"/>
              <w:spacing w:line="251" w:lineRule="exact"/>
              <w:ind w:right="103"/>
              <w:jc w:val="right"/>
              <w:rPr>
                <w:rFonts w:ascii="宋体" w:hAnsi="宋体" w:cs="宋体" w:eastAsia="宋体" w:hint="default"/>
                <w:sz w:val="21"/>
                <w:szCs w:val="21"/>
              </w:rPr>
            </w:pPr>
            <w:r>
              <w:rPr>
                <w:rFonts w:ascii="Arial" w:hAnsi="Arial" w:cs="Arial" w:eastAsia="Arial" w:hint="default"/>
                <w:spacing w:val="-3"/>
                <w:sz w:val="21"/>
                <w:szCs w:val="21"/>
              </w:rPr>
              <w:t>2019</w:t>
            </w:r>
            <w:r>
              <w:rPr>
                <w:rFonts w:ascii="宋体" w:hAnsi="宋体" w:cs="宋体" w:eastAsia="宋体" w:hint="default"/>
                <w:spacing w:val="-3"/>
                <w:sz w:val="21"/>
                <w:szCs w:val="21"/>
              </w:rPr>
              <w:t>年</w:t>
            </w:r>
          </w:p>
        </w:tc>
        <w:tc>
          <w:tcPr>
            <w:tcW w:w="1327" w:type="dxa"/>
            <w:tcBorders>
              <w:top w:val="single" w:sz="6" w:space="0" w:color="000000"/>
              <w:left w:val="single" w:sz="4" w:space="0" w:color="000000"/>
              <w:bottom w:val="single" w:sz="6" w:space="0" w:color="000000"/>
              <w:right w:val="single" w:sz="6" w:space="0" w:color="000000"/>
            </w:tcBorders>
          </w:tcPr>
          <w:p>
            <w:pPr>
              <w:pStyle w:val="TableParagraph"/>
              <w:spacing w:line="251" w:lineRule="exact"/>
              <w:ind w:right="98"/>
              <w:jc w:val="right"/>
              <w:rPr>
                <w:rFonts w:ascii="宋体" w:hAnsi="宋体" w:cs="宋体" w:eastAsia="宋体" w:hint="default"/>
                <w:sz w:val="21"/>
                <w:szCs w:val="21"/>
              </w:rPr>
            </w:pPr>
            <w:r>
              <w:rPr>
                <w:rFonts w:ascii="Arial" w:hAnsi="Arial" w:cs="Arial" w:eastAsia="Arial" w:hint="default"/>
                <w:spacing w:val="-3"/>
                <w:sz w:val="21"/>
                <w:szCs w:val="21"/>
              </w:rPr>
              <w:t>2018</w:t>
            </w:r>
            <w:r>
              <w:rPr>
                <w:rFonts w:ascii="宋体" w:hAnsi="宋体" w:cs="宋体" w:eastAsia="宋体" w:hint="default"/>
                <w:spacing w:val="-3"/>
                <w:sz w:val="21"/>
                <w:szCs w:val="21"/>
              </w:rPr>
              <w:t>年</w:t>
            </w:r>
          </w:p>
        </w:tc>
      </w:tr>
      <w:tr>
        <w:trPr>
          <w:trHeight w:val="797" w:hRule="exact"/>
        </w:trPr>
        <w:tc>
          <w:tcPr>
            <w:tcW w:w="1464" w:type="dxa"/>
            <w:tcBorders>
              <w:top w:val="single" w:sz="6" w:space="0" w:color="000000"/>
              <w:left w:val="single" w:sz="6" w:space="0" w:color="000000"/>
              <w:bottom w:val="single" w:sz="6" w:space="0" w:color="000000"/>
              <w:right w:val="single" w:sz="6" w:space="0" w:color="000000"/>
            </w:tcBorders>
          </w:tcPr>
          <w:p>
            <w:pPr>
              <w:pStyle w:val="TableParagraph"/>
              <w:spacing w:line="233" w:lineRule="exact"/>
              <w:ind w:left="292" w:right="0" w:hanging="188"/>
              <w:jc w:val="left"/>
              <w:rPr>
                <w:rFonts w:ascii="宋体" w:hAnsi="宋体" w:cs="宋体" w:eastAsia="宋体" w:hint="default"/>
                <w:sz w:val="20"/>
                <w:szCs w:val="20"/>
              </w:rPr>
            </w:pPr>
            <w:r>
              <w:rPr>
                <w:rFonts w:ascii="宋体" w:hAnsi="宋体" w:cs="宋体" w:eastAsia="宋体" w:hint="default"/>
                <w:sz w:val="20"/>
                <w:szCs w:val="20"/>
              </w:rPr>
              <w:t>归属于母公司</w:t>
            </w:r>
          </w:p>
          <w:p>
            <w:pPr>
              <w:pStyle w:val="TableParagraph"/>
              <w:spacing w:line="260" w:lineRule="exact" w:before="24"/>
              <w:ind w:left="292" w:right="151"/>
              <w:jc w:val="left"/>
              <w:rPr>
                <w:rFonts w:ascii="宋体" w:hAnsi="宋体" w:cs="宋体" w:eastAsia="宋体" w:hint="default"/>
                <w:sz w:val="20"/>
                <w:szCs w:val="20"/>
              </w:rPr>
            </w:pPr>
            <w:r>
              <w:rPr>
                <w:rFonts w:ascii="宋体" w:hAnsi="宋体" w:cs="宋体" w:eastAsia="宋体" w:hint="default"/>
                <w:sz w:val="20"/>
                <w:szCs w:val="20"/>
              </w:rPr>
              <w:t>普通股股东</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z w:val="20"/>
                <w:szCs w:val="20"/>
              </w:rPr>
              <w:t>的净利润</w:t>
            </w:r>
          </w:p>
        </w:tc>
        <w:tc>
          <w:tcPr>
            <w:tcW w:w="1399"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7"/>
              <w:jc w:val="right"/>
              <w:rPr>
                <w:rFonts w:ascii="Arial" w:hAnsi="Arial" w:cs="Arial" w:eastAsia="Arial" w:hint="default"/>
                <w:sz w:val="20"/>
                <w:szCs w:val="20"/>
              </w:rPr>
            </w:pPr>
            <w:r>
              <w:rPr>
                <w:rFonts w:ascii="Arial"/>
                <w:spacing w:val="-1"/>
                <w:sz w:val="20"/>
              </w:rPr>
              <w:t>3.45</w:t>
            </w:r>
          </w:p>
        </w:tc>
        <w:tc>
          <w:tcPr>
            <w:tcW w:w="1414"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3"/>
              <w:jc w:val="right"/>
              <w:rPr>
                <w:rFonts w:ascii="Arial" w:hAnsi="Arial" w:cs="Arial" w:eastAsia="Arial" w:hint="default"/>
                <w:sz w:val="20"/>
                <w:szCs w:val="20"/>
              </w:rPr>
            </w:pPr>
            <w:r>
              <w:rPr>
                <w:rFonts w:ascii="Arial"/>
                <w:spacing w:val="-2"/>
                <w:sz w:val="20"/>
              </w:rPr>
              <w:t>2.86</w:t>
            </w:r>
            <w:r>
              <w:rPr>
                <w:rFonts w:ascii="Arial"/>
                <w:sz w:val="20"/>
              </w:rPr>
            </w:r>
          </w:p>
        </w:tc>
        <w:tc>
          <w:tcPr>
            <w:tcW w:w="1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2"/>
              <w:jc w:val="right"/>
              <w:rPr>
                <w:rFonts w:ascii="Arial" w:hAnsi="Arial" w:cs="Arial" w:eastAsia="Arial" w:hint="default"/>
                <w:sz w:val="20"/>
                <w:szCs w:val="20"/>
              </w:rPr>
            </w:pPr>
            <w:r>
              <w:rPr>
                <w:rFonts w:ascii="Arial"/>
                <w:spacing w:val="-1"/>
                <w:sz w:val="20"/>
              </w:rPr>
              <w:t>0.161</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left="595" w:right="0"/>
              <w:jc w:val="center"/>
              <w:rPr>
                <w:rFonts w:ascii="Arial" w:hAnsi="Arial" w:cs="Arial" w:eastAsia="Arial" w:hint="default"/>
                <w:sz w:val="20"/>
                <w:szCs w:val="20"/>
              </w:rPr>
            </w:pPr>
            <w:r>
              <w:rPr>
                <w:rFonts w:ascii="Arial"/>
                <w:sz w:val="20"/>
              </w:rPr>
              <w:t>0.132</w:t>
            </w:r>
          </w:p>
        </w:tc>
        <w:tc>
          <w:tcPr>
            <w:tcW w:w="1332"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7"/>
              <w:jc w:val="right"/>
              <w:rPr>
                <w:rFonts w:ascii="Arial" w:hAnsi="Arial" w:cs="Arial" w:eastAsia="Arial" w:hint="default"/>
                <w:sz w:val="20"/>
                <w:szCs w:val="20"/>
              </w:rPr>
            </w:pPr>
            <w:r>
              <w:rPr>
                <w:rFonts w:ascii="Arial"/>
                <w:spacing w:val="-1"/>
                <w:sz w:val="20"/>
              </w:rPr>
              <w:t>0.161</w:t>
            </w:r>
          </w:p>
        </w:tc>
        <w:tc>
          <w:tcPr>
            <w:tcW w:w="1327"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3"/>
              <w:jc w:val="right"/>
              <w:rPr>
                <w:rFonts w:ascii="Arial" w:hAnsi="Arial" w:cs="Arial" w:eastAsia="Arial" w:hint="default"/>
                <w:sz w:val="20"/>
                <w:szCs w:val="20"/>
              </w:rPr>
            </w:pPr>
            <w:r>
              <w:rPr>
                <w:rFonts w:ascii="Arial"/>
                <w:spacing w:val="-2"/>
                <w:sz w:val="20"/>
              </w:rPr>
              <w:t>0.132</w:t>
            </w:r>
            <w:r>
              <w:rPr>
                <w:rFonts w:ascii="Arial"/>
                <w:sz w:val="20"/>
              </w:rPr>
            </w:r>
          </w:p>
        </w:tc>
      </w:tr>
      <w:tr>
        <w:trPr>
          <w:trHeight w:val="1310" w:hRule="exact"/>
        </w:trPr>
        <w:tc>
          <w:tcPr>
            <w:tcW w:w="1464" w:type="dxa"/>
            <w:tcBorders>
              <w:top w:val="single" w:sz="6" w:space="0" w:color="000000"/>
              <w:left w:val="single" w:sz="6" w:space="0" w:color="000000"/>
              <w:bottom w:val="single" w:sz="6" w:space="0" w:color="000000"/>
              <w:right w:val="single" w:sz="6" w:space="0" w:color="000000"/>
            </w:tcBorders>
          </w:tcPr>
          <w:p>
            <w:pPr>
              <w:pStyle w:val="TableParagraph"/>
              <w:spacing w:line="228" w:lineRule="exact"/>
              <w:ind w:left="292" w:right="0" w:hanging="188"/>
              <w:jc w:val="left"/>
              <w:rPr>
                <w:rFonts w:ascii="宋体" w:hAnsi="宋体" w:cs="宋体" w:eastAsia="宋体" w:hint="default"/>
                <w:sz w:val="20"/>
                <w:szCs w:val="20"/>
              </w:rPr>
            </w:pPr>
            <w:r>
              <w:rPr>
                <w:rFonts w:ascii="宋体" w:hAnsi="宋体" w:cs="宋体" w:eastAsia="宋体" w:hint="default"/>
                <w:sz w:val="20"/>
                <w:szCs w:val="20"/>
              </w:rPr>
              <w:t>扣除非经常性</w:t>
            </w:r>
          </w:p>
          <w:p>
            <w:pPr>
              <w:pStyle w:val="TableParagraph"/>
              <w:spacing w:line="260" w:lineRule="exact" w:before="24"/>
              <w:ind w:left="292" w:right="151"/>
              <w:jc w:val="both"/>
              <w:rPr>
                <w:rFonts w:ascii="宋体" w:hAnsi="宋体" w:cs="宋体" w:eastAsia="宋体" w:hint="default"/>
                <w:sz w:val="20"/>
                <w:szCs w:val="20"/>
              </w:rPr>
            </w:pPr>
            <w:r>
              <w:rPr>
                <w:rFonts w:ascii="宋体" w:hAnsi="宋体" w:cs="宋体" w:eastAsia="宋体" w:hint="default"/>
                <w:sz w:val="20"/>
                <w:szCs w:val="20"/>
              </w:rPr>
              <w:t>损益后归属</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z w:val="20"/>
                <w:szCs w:val="20"/>
              </w:rPr>
              <w:t>于母公司普</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z w:val="20"/>
                <w:szCs w:val="20"/>
              </w:rPr>
              <w:t>通股股东的</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z w:val="20"/>
                <w:szCs w:val="20"/>
              </w:rPr>
              <w:t>净利润</w:t>
            </w:r>
          </w:p>
        </w:tc>
        <w:tc>
          <w:tcPr>
            <w:tcW w:w="1399"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101"/>
              <w:jc w:val="right"/>
              <w:rPr>
                <w:rFonts w:ascii="Arial" w:hAnsi="Arial" w:cs="Arial" w:eastAsia="Arial" w:hint="default"/>
                <w:sz w:val="20"/>
                <w:szCs w:val="20"/>
              </w:rPr>
            </w:pPr>
            <w:r>
              <w:rPr>
                <w:rFonts w:ascii="Arial"/>
                <w:spacing w:val="-1"/>
                <w:sz w:val="20"/>
              </w:rPr>
              <w:t>3.60</w:t>
            </w:r>
          </w:p>
        </w:tc>
        <w:tc>
          <w:tcPr>
            <w:tcW w:w="1414"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93"/>
              <w:jc w:val="right"/>
              <w:rPr>
                <w:rFonts w:ascii="Arial" w:hAnsi="Arial" w:cs="Arial" w:eastAsia="Arial" w:hint="default"/>
                <w:sz w:val="20"/>
                <w:szCs w:val="20"/>
              </w:rPr>
            </w:pPr>
            <w:r>
              <w:rPr>
                <w:rFonts w:ascii="Arial"/>
                <w:spacing w:val="-2"/>
                <w:sz w:val="20"/>
              </w:rPr>
              <w:t>3.52</w:t>
            </w:r>
            <w:r>
              <w:rPr>
                <w:rFonts w:ascii="Arial"/>
                <w:sz w:val="20"/>
              </w:rPr>
            </w:r>
          </w:p>
        </w:tc>
        <w:tc>
          <w:tcPr>
            <w:tcW w:w="1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93"/>
              <w:jc w:val="right"/>
              <w:rPr>
                <w:rFonts w:ascii="Arial" w:hAnsi="Arial" w:cs="Arial" w:eastAsia="Arial" w:hint="default"/>
                <w:sz w:val="20"/>
                <w:szCs w:val="20"/>
              </w:rPr>
            </w:pPr>
            <w:r>
              <w:rPr>
                <w:rFonts w:ascii="Arial"/>
                <w:spacing w:val="-2"/>
                <w:sz w:val="20"/>
              </w:rPr>
              <w:t>0.168</w:t>
            </w:r>
            <w:r>
              <w:rPr>
                <w:rFonts w:ascii="Arial"/>
                <w:sz w:val="20"/>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595" w:right="0"/>
              <w:jc w:val="center"/>
              <w:rPr>
                <w:rFonts w:ascii="Arial" w:hAnsi="Arial" w:cs="Arial" w:eastAsia="Arial" w:hint="default"/>
                <w:sz w:val="20"/>
                <w:szCs w:val="20"/>
              </w:rPr>
            </w:pPr>
            <w:r>
              <w:rPr>
                <w:rFonts w:ascii="Arial"/>
                <w:sz w:val="20"/>
              </w:rPr>
              <w:t>0.163</w:t>
            </w:r>
          </w:p>
        </w:tc>
        <w:tc>
          <w:tcPr>
            <w:tcW w:w="1332"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98"/>
              <w:jc w:val="right"/>
              <w:rPr>
                <w:rFonts w:ascii="Arial" w:hAnsi="Arial" w:cs="Arial" w:eastAsia="Arial" w:hint="default"/>
                <w:sz w:val="20"/>
                <w:szCs w:val="20"/>
              </w:rPr>
            </w:pPr>
            <w:r>
              <w:rPr>
                <w:rFonts w:ascii="Arial"/>
                <w:spacing w:val="-2"/>
                <w:sz w:val="20"/>
              </w:rPr>
              <w:t>0.168</w:t>
            </w:r>
            <w:r>
              <w:rPr>
                <w:rFonts w:ascii="Arial"/>
                <w:sz w:val="20"/>
              </w:rPr>
            </w:r>
          </w:p>
        </w:tc>
        <w:tc>
          <w:tcPr>
            <w:tcW w:w="1327"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93"/>
              <w:jc w:val="right"/>
              <w:rPr>
                <w:rFonts w:ascii="Arial" w:hAnsi="Arial" w:cs="Arial" w:eastAsia="Arial" w:hint="default"/>
                <w:sz w:val="20"/>
                <w:szCs w:val="20"/>
              </w:rPr>
            </w:pPr>
            <w:r>
              <w:rPr>
                <w:rFonts w:ascii="Arial"/>
                <w:spacing w:val="-2"/>
                <w:sz w:val="20"/>
              </w:rPr>
              <w:t>0.163</w:t>
            </w:r>
            <w:r>
              <w:rPr>
                <w:rFonts w:ascii="Arial"/>
                <w:sz w:val="20"/>
              </w:rPr>
            </w:r>
          </w:p>
        </w:tc>
      </w:tr>
    </w:tbl>
    <w:p>
      <w:pPr>
        <w:spacing w:line="240" w:lineRule="auto" w:before="12"/>
        <w:rPr>
          <w:rFonts w:ascii="宋体" w:hAnsi="宋体" w:cs="宋体" w:eastAsia="宋体" w:hint="default"/>
          <w:sz w:val="18"/>
          <w:szCs w:val="18"/>
        </w:rPr>
      </w:pPr>
    </w:p>
    <w:p>
      <w:pPr>
        <w:pStyle w:val="BodyText"/>
        <w:spacing w:line="240" w:lineRule="auto" w:before="32"/>
        <w:ind w:left="511" w:right="0"/>
        <w:jc w:val="both"/>
      </w:pPr>
      <w:r>
        <w:rPr/>
        <w:t>上述财务指标的计算方法：</w:t>
      </w:r>
    </w:p>
    <w:p>
      <w:pPr>
        <w:pStyle w:val="BodyText"/>
        <w:spacing w:line="240" w:lineRule="auto" w:before="197"/>
        <w:ind w:left="118" w:right="0"/>
        <w:jc w:val="left"/>
      </w:pPr>
      <w:r>
        <w:rPr>
          <w:rFonts w:ascii="Arial" w:hAnsi="Arial" w:cs="Arial" w:eastAsia="Arial" w:hint="default"/>
        </w:rPr>
        <w:t>(a) </w:t>
      </w:r>
      <w:r>
        <w:rPr>
          <w:rFonts w:ascii="Arial" w:hAnsi="Arial" w:cs="Arial" w:eastAsia="Arial" w:hint="default"/>
          <w:spacing w:val="19"/>
        </w:rPr>
        <w:t> </w:t>
      </w:r>
      <w:r>
        <w:rPr/>
        <w:t>加权平均净资产收益率</w:t>
      </w:r>
      <w:r>
        <w:rPr>
          <w:rFonts w:ascii="Arial" w:hAnsi="Arial" w:cs="Arial" w:eastAsia="Arial" w:hint="default"/>
        </w:rPr>
        <w:t>(ROE)</w:t>
      </w:r>
      <w:r>
        <w:rPr/>
        <w:t>的计算公式如下：</w:t>
      </w:r>
    </w:p>
    <w:p>
      <w:pPr>
        <w:spacing w:line="240" w:lineRule="auto" w:before="2"/>
        <w:rPr>
          <w:rFonts w:ascii="宋体" w:hAnsi="宋体" w:cs="宋体" w:eastAsia="宋体" w:hint="default"/>
          <w:sz w:val="21"/>
          <w:szCs w:val="21"/>
        </w:rPr>
      </w:pPr>
    </w:p>
    <w:p>
      <w:pPr>
        <w:pStyle w:val="BodyText"/>
        <w:spacing w:line="250" w:lineRule="exact"/>
        <w:ind w:left="492" w:right="3220" w:firstLine="2899"/>
        <w:jc w:val="left"/>
        <w:rPr>
          <w:rFonts w:ascii="Arial" w:hAnsi="Arial" w:cs="Arial" w:eastAsia="Arial" w:hint="default"/>
        </w:rPr>
      </w:pPr>
      <w:r>
        <w:rPr>
          <w:rFonts w:ascii="Arial" w:hAnsi="Arial" w:cs="Arial" w:eastAsia="Arial" w:hint="default"/>
        </w:rPr>
        <w:t>P</w:t>
      </w:r>
      <w:r>
        <w:rPr>
          <w:rFonts w:ascii="Arial" w:hAnsi="Arial" w:cs="Arial" w:eastAsia="Arial" w:hint="default"/>
          <w:w w:val="100"/>
        </w:rPr>
        <w:t> </w:t>
      </w:r>
      <w:r>
        <w:rPr>
          <w:rFonts w:ascii="Arial" w:hAnsi="Arial" w:cs="Arial" w:eastAsia="Arial" w:hint="default"/>
          <w:spacing w:val="-1"/>
        </w:rPr>
        <w:t>ROE=——————————————————————</w:t>
      </w:r>
    </w:p>
    <w:p>
      <w:pPr>
        <w:pStyle w:val="BodyText"/>
        <w:spacing w:line="251" w:lineRule="exact"/>
        <w:ind w:left="1395" w:right="0"/>
        <w:jc w:val="left"/>
        <w:rPr>
          <w:rFonts w:ascii="Arial" w:hAnsi="Arial" w:cs="Arial" w:eastAsia="Arial" w:hint="default"/>
        </w:rPr>
      </w:pPr>
      <w:r>
        <w:rPr>
          <w:rFonts w:ascii="Arial" w:hAnsi="Arial" w:cs="Arial" w:eastAsia="Arial" w:hint="default"/>
          <w:spacing w:val="-3"/>
        </w:rPr>
        <w:t>E0+NP÷2+Ei×Mi÷M0-Ej×Mj÷M0±Ek×Mk÷M0</w:t>
      </w:r>
      <w:r>
        <w:rPr>
          <w:rFonts w:ascii="Arial" w:hAnsi="Arial" w:cs="Arial" w:eastAsia="Arial" w:hint="default"/>
        </w:rPr>
      </w:r>
    </w:p>
    <w:p>
      <w:pPr>
        <w:spacing w:line="240" w:lineRule="auto" w:before="5"/>
        <w:rPr>
          <w:rFonts w:ascii="Arial" w:hAnsi="Arial" w:cs="Arial" w:eastAsia="Arial" w:hint="default"/>
          <w:sz w:val="20"/>
          <w:szCs w:val="20"/>
        </w:rPr>
      </w:pPr>
    </w:p>
    <w:p>
      <w:pPr>
        <w:pStyle w:val="BodyText"/>
        <w:spacing w:line="225" w:lineRule="auto"/>
        <w:ind w:left="502" w:right="218"/>
        <w:jc w:val="both"/>
      </w:pPr>
      <w:r>
        <w:rPr>
          <w:spacing w:val="-12"/>
        </w:rPr>
        <w:t>其中：</w:t>
      </w:r>
      <w:r>
        <w:rPr>
          <w:rFonts w:ascii="Arial" w:hAnsi="Arial" w:cs="Arial" w:eastAsia="Arial" w:hint="default"/>
          <w:spacing w:val="-12"/>
        </w:rPr>
        <w:t>P</w:t>
      </w:r>
      <w:r>
        <w:rPr>
          <w:rFonts w:ascii="Arial" w:hAnsi="Arial" w:cs="Arial" w:eastAsia="Arial" w:hint="default"/>
          <w:spacing w:val="5"/>
        </w:rPr>
        <w:t> </w:t>
      </w:r>
      <w:r>
        <w:rPr>
          <w:spacing w:val="-3"/>
        </w:rPr>
        <w:t>分别对应于归属于母公司普通股股东的净利润、扣除非经常性损益后归属于母公司普通股</w:t>
      </w:r>
      <w:r>
        <w:rPr>
          <w:spacing w:val="-104"/>
        </w:rPr>
        <w:t> </w:t>
      </w:r>
      <w:r>
        <w:rPr>
          <w:spacing w:val="-104"/>
        </w:rPr>
      </w:r>
      <w:r>
        <w:rPr/>
        <w:t>股东的净利润；</w:t>
      </w:r>
      <w:r>
        <w:rPr>
          <w:rFonts w:ascii="Arial" w:hAnsi="Arial" w:cs="Arial" w:eastAsia="Arial" w:hint="default"/>
        </w:rPr>
        <w:t>NP </w:t>
      </w:r>
      <w:r>
        <w:rPr/>
        <w:t>为归属于母公司普通股股东的净利润；</w:t>
      </w:r>
      <w:r>
        <w:rPr>
          <w:rFonts w:ascii="Arial" w:hAnsi="Arial" w:cs="Arial" w:eastAsia="Arial" w:hint="default"/>
        </w:rPr>
        <w:t>E0 </w:t>
      </w:r>
      <w:r>
        <w:rPr/>
        <w:t>为归属于母公司普通股股东的年初</w:t>
      </w:r>
      <w:r>
        <w:rPr>
          <w:spacing w:val="-5"/>
          <w:w w:val="100"/>
        </w:rPr>
        <w:t> </w:t>
      </w:r>
      <w:r>
        <w:rPr/>
        <w:t>净资产；</w:t>
      </w:r>
      <w:r>
        <w:rPr>
          <w:rFonts w:ascii="Arial" w:hAnsi="Arial" w:cs="Arial" w:eastAsia="Arial" w:hint="default"/>
        </w:rPr>
        <w:t>Ei </w:t>
      </w:r>
      <w:r>
        <w:rPr/>
        <w:t>为报告期发行新股或债转股等新增的、归属于母公司普通股股东的净资产；</w:t>
      </w:r>
      <w:r>
        <w:rPr>
          <w:rFonts w:ascii="Arial" w:hAnsi="Arial" w:cs="Arial" w:eastAsia="Arial" w:hint="default"/>
        </w:rPr>
        <w:t>Ej</w:t>
      </w:r>
      <w:r>
        <w:rPr>
          <w:rFonts w:ascii="Arial" w:hAnsi="Arial" w:cs="Arial" w:eastAsia="Arial" w:hint="default"/>
          <w:spacing w:val="34"/>
        </w:rPr>
        <w:t> </w:t>
      </w:r>
      <w:r>
        <w:rPr>
          <w:spacing w:val="-4"/>
        </w:rPr>
        <w:t>为报告</w:t>
      </w:r>
      <w:r>
        <w:rPr>
          <w:spacing w:val="-5"/>
          <w:w w:val="100"/>
        </w:rPr>
        <w:t> </w:t>
      </w:r>
      <w:r>
        <w:rPr>
          <w:spacing w:val="-4"/>
        </w:rPr>
        <w:t>期回购或现金分红等减少的、归属于母公司普通股股东的净资产；</w:t>
      </w:r>
      <w:r>
        <w:rPr>
          <w:rFonts w:ascii="Arial" w:hAnsi="Arial" w:cs="Arial" w:eastAsia="Arial" w:hint="default"/>
          <w:spacing w:val="-4"/>
        </w:rPr>
        <w:t>M0</w:t>
      </w:r>
      <w:r>
        <w:rPr>
          <w:rFonts w:ascii="Arial" w:hAnsi="Arial" w:cs="Arial" w:eastAsia="Arial" w:hint="default"/>
          <w:spacing w:val="23"/>
        </w:rPr>
        <w:t> </w:t>
      </w:r>
      <w:r>
        <w:rPr>
          <w:spacing w:val="-5"/>
        </w:rPr>
        <w:t>为报告期月份数；</w:t>
      </w:r>
      <w:r>
        <w:rPr>
          <w:rFonts w:ascii="Arial" w:hAnsi="Arial" w:cs="Arial" w:eastAsia="Arial" w:hint="default"/>
          <w:spacing w:val="-5"/>
        </w:rPr>
        <w:t>Mi</w:t>
      </w:r>
      <w:r>
        <w:rPr>
          <w:rFonts w:ascii="Arial" w:hAnsi="Arial" w:cs="Arial" w:eastAsia="Arial" w:hint="default"/>
          <w:spacing w:val="18"/>
        </w:rPr>
        <w:t> </w:t>
      </w:r>
      <w:r>
        <w:rPr/>
        <w:t>为新增</w:t>
      </w:r>
      <w:r>
        <w:rPr>
          <w:spacing w:val="-103"/>
        </w:rPr>
        <w:t> </w:t>
      </w:r>
      <w:r>
        <w:rPr/>
        <w:t>净资产下一月份起至报告期年末的月份数；</w:t>
      </w:r>
      <w:r>
        <w:rPr>
          <w:rFonts w:ascii="Arial" w:hAnsi="Arial" w:cs="Arial" w:eastAsia="Arial" w:hint="default"/>
        </w:rPr>
        <w:t>Mj</w:t>
      </w:r>
      <w:r>
        <w:rPr>
          <w:rFonts w:ascii="Arial" w:hAnsi="Arial" w:cs="Arial" w:eastAsia="Arial" w:hint="default"/>
          <w:spacing w:val="30"/>
        </w:rPr>
        <w:t> </w:t>
      </w:r>
      <w:r>
        <w:rPr/>
        <w:t>为减少净资产下一月份起至报告期年末的月份数；</w:t>
      </w:r>
      <w:r>
        <w:rPr>
          <w:w w:val="100"/>
        </w:rPr>
        <w:t> </w:t>
      </w:r>
      <w:r>
        <w:rPr>
          <w:rFonts w:ascii="Arial" w:hAnsi="Arial" w:cs="Arial" w:eastAsia="Arial" w:hint="default"/>
        </w:rPr>
        <w:t>Ek </w:t>
      </w:r>
      <w:r>
        <w:rPr/>
        <w:t>为因其他交易或事项引起的净资产增减变动；</w:t>
      </w:r>
      <w:r>
        <w:rPr>
          <w:rFonts w:ascii="Arial" w:hAnsi="Arial" w:cs="Arial" w:eastAsia="Arial" w:hint="default"/>
        </w:rPr>
        <w:t>Mk</w:t>
      </w:r>
      <w:r>
        <w:rPr>
          <w:rFonts w:ascii="Arial" w:hAnsi="Arial" w:cs="Arial" w:eastAsia="Arial" w:hint="default"/>
          <w:spacing w:val="29"/>
        </w:rPr>
        <w:t> </w:t>
      </w:r>
      <w:r>
        <w:rPr/>
        <w:t>为发生其他净资产增减变动下一月份起至报</w:t>
      </w:r>
      <w:r>
        <w:rPr>
          <w:w w:val="100"/>
        </w:rPr>
        <w:t> </w:t>
      </w:r>
      <w:r>
        <w:rPr/>
        <w:t>告期年末的月份数。</w:t>
      </w:r>
    </w:p>
    <w:p>
      <w:pPr>
        <w:spacing w:line="240" w:lineRule="auto" w:before="8"/>
        <w:rPr>
          <w:rFonts w:ascii="宋体" w:hAnsi="宋体" w:cs="宋体" w:eastAsia="宋体" w:hint="default"/>
          <w:sz w:val="19"/>
          <w:szCs w:val="19"/>
        </w:rPr>
      </w:pPr>
    </w:p>
    <w:p>
      <w:pPr>
        <w:pStyle w:val="BodyText"/>
        <w:spacing w:line="240" w:lineRule="auto"/>
        <w:ind w:left="133" w:right="0"/>
        <w:jc w:val="left"/>
        <w:rPr>
          <w:rFonts w:ascii="Arial" w:hAnsi="Arial" w:cs="Arial" w:eastAsia="Arial" w:hint="default"/>
        </w:rPr>
      </w:pPr>
      <w:r>
        <w:rPr>
          <w:rFonts w:ascii="Arial" w:hAnsi="Arial" w:cs="Arial" w:eastAsia="Arial" w:hint="default"/>
        </w:rPr>
        <w:t>(b)</w:t>
      </w:r>
      <w:r>
        <w:rPr>
          <w:rFonts w:ascii="Arial" w:hAnsi="Arial" w:cs="Arial" w:eastAsia="Arial" w:hint="default"/>
          <w:spacing w:val="37"/>
        </w:rPr>
        <w:t> </w:t>
      </w:r>
      <w:r>
        <w:rPr/>
        <w:t>基本每股收益</w:t>
      </w:r>
      <w:r>
        <w:rPr>
          <w:rFonts w:ascii="Arial" w:hAnsi="Arial" w:cs="Arial" w:eastAsia="Arial" w:hint="default"/>
        </w:rPr>
        <w:t>(EPS)</w:t>
      </w:r>
      <w:r>
        <w:rPr/>
        <w:t>可参照如下公式计算</w:t>
      </w:r>
      <w:r>
        <w:rPr>
          <w:rFonts w:ascii="Arial" w:hAnsi="Arial" w:cs="Arial" w:eastAsia="Arial" w:hint="default"/>
        </w:rPr>
        <w:t>:</w:t>
      </w:r>
    </w:p>
    <w:p>
      <w:pPr>
        <w:spacing w:line="240" w:lineRule="auto" w:before="1"/>
        <w:rPr>
          <w:rFonts w:ascii="Arial" w:hAnsi="Arial" w:cs="Arial" w:eastAsia="Arial" w:hint="default"/>
          <w:sz w:val="23"/>
          <w:szCs w:val="23"/>
        </w:rPr>
      </w:pPr>
    </w:p>
    <w:p>
      <w:pPr>
        <w:pStyle w:val="BodyText"/>
        <w:spacing w:line="240" w:lineRule="auto"/>
        <w:ind w:left="522" w:right="3220" w:firstLine="2131"/>
        <w:jc w:val="left"/>
        <w:rPr>
          <w:rFonts w:ascii="Arial" w:hAnsi="Arial" w:cs="Arial" w:eastAsia="Arial" w:hint="default"/>
        </w:rPr>
      </w:pPr>
      <w:r>
        <w:rPr>
          <w:rFonts w:ascii="Arial" w:hAnsi="Arial" w:cs="Arial" w:eastAsia="Arial" w:hint="default"/>
        </w:rPr>
        <w:t>P</w:t>
      </w:r>
      <w:r>
        <w:rPr>
          <w:rFonts w:ascii="Arial" w:hAnsi="Arial" w:cs="Arial" w:eastAsia="Arial" w:hint="default"/>
          <w:w w:val="100"/>
        </w:rPr>
        <w:t> </w:t>
      </w:r>
      <w:r>
        <w:rPr>
          <w:rFonts w:ascii="Arial" w:hAnsi="Arial" w:cs="Arial" w:eastAsia="Arial" w:hint="default"/>
          <w:spacing w:val="-1"/>
        </w:rPr>
        <w:t>EPS=————————————————</w:t>
      </w:r>
    </w:p>
    <w:p>
      <w:pPr>
        <w:pStyle w:val="BodyText"/>
        <w:spacing w:line="240" w:lineRule="auto" w:before="1"/>
        <w:ind w:left="1395" w:right="0"/>
        <w:jc w:val="left"/>
        <w:rPr>
          <w:rFonts w:ascii="Arial" w:hAnsi="Arial" w:cs="Arial" w:eastAsia="Arial" w:hint="default"/>
        </w:rPr>
      </w:pPr>
      <w:r>
        <w:rPr>
          <w:rFonts w:ascii="Arial" w:hAnsi="Arial" w:cs="Arial" w:eastAsia="Arial" w:hint="default"/>
        </w:rPr>
        <w:t>S0+S1+Si×Mi÷M0-Sj×Mj÷M0-Sk</w:t>
      </w:r>
    </w:p>
    <w:p>
      <w:pPr>
        <w:spacing w:line="240" w:lineRule="auto" w:before="0"/>
        <w:rPr>
          <w:rFonts w:ascii="Arial" w:hAnsi="Arial" w:cs="Arial" w:eastAsia="Arial" w:hint="default"/>
          <w:sz w:val="20"/>
          <w:szCs w:val="20"/>
        </w:rPr>
      </w:pPr>
    </w:p>
    <w:p>
      <w:pPr>
        <w:pStyle w:val="BodyText"/>
        <w:spacing w:line="225" w:lineRule="auto"/>
        <w:ind w:left="502" w:right="218"/>
        <w:jc w:val="both"/>
      </w:pPr>
      <w:r>
        <w:rPr/>
        <w:t>其中：</w:t>
      </w:r>
      <w:r>
        <w:rPr>
          <w:rFonts w:ascii="Arial" w:hAnsi="Arial" w:cs="Arial" w:eastAsia="Arial" w:hint="default"/>
        </w:rPr>
        <w:t>P</w:t>
      </w:r>
      <w:r>
        <w:rPr>
          <w:rFonts w:ascii="Arial" w:hAnsi="Arial" w:cs="Arial" w:eastAsia="Arial" w:hint="default"/>
          <w:spacing w:val="34"/>
        </w:rPr>
        <w:t> </w:t>
      </w:r>
      <w:r>
        <w:rPr/>
        <w:t>为归属于母公司普通股股东的净利润或扣除非经常性损益后归属于母公司普通股股东的</w:t>
      </w:r>
      <w:r>
        <w:rPr>
          <w:spacing w:val="-103"/>
        </w:rPr>
        <w:t> </w:t>
      </w:r>
      <w:r>
        <w:rPr>
          <w:spacing w:val="-103"/>
        </w:rPr>
      </w:r>
      <w:r>
        <w:rPr>
          <w:spacing w:val="-6"/>
        </w:rPr>
        <w:t>净利润；</w:t>
      </w:r>
      <w:r>
        <w:rPr>
          <w:rFonts w:ascii="Arial" w:hAnsi="Arial" w:cs="Arial" w:eastAsia="Arial" w:hint="default"/>
          <w:spacing w:val="-6"/>
        </w:rPr>
        <w:t>S </w:t>
      </w:r>
      <w:r>
        <w:rPr>
          <w:spacing w:val="-3"/>
        </w:rPr>
        <w:t>为发行在外的普通股加权平均数；</w:t>
      </w:r>
      <w:r>
        <w:rPr>
          <w:rFonts w:ascii="Arial" w:hAnsi="Arial" w:cs="Arial" w:eastAsia="Arial" w:hint="default"/>
          <w:spacing w:val="-3"/>
        </w:rPr>
        <w:t>S0 </w:t>
      </w:r>
      <w:r>
        <w:rPr>
          <w:spacing w:val="-4"/>
        </w:rPr>
        <w:t>为年初股份总数；</w:t>
      </w:r>
      <w:r>
        <w:rPr>
          <w:rFonts w:ascii="Arial" w:hAnsi="Arial" w:cs="Arial" w:eastAsia="Arial" w:hint="default"/>
          <w:spacing w:val="-4"/>
        </w:rPr>
        <w:t>S1</w:t>
      </w:r>
      <w:r>
        <w:rPr>
          <w:rFonts w:ascii="Arial" w:hAnsi="Arial" w:cs="Arial" w:eastAsia="Arial" w:hint="default"/>
          <w:spacing w:val="20"/>
        </w:rPr>
        <w:t> </w:t>
      </w:r>
      <w:r>
        <w:rPr/>
        <w:t>为报告期因公积金转增股本</w:t>
      </w:r>
      <w:r>
        <w:rPr>
          <w:w w:val="100"/>
        </w:rPr>
        <w:t> </w:t>
      </w:r>
      <w:r>
        <w:rPr/>
        <w:t>或股票股利分配等增加股份数；</w:t>
      </w:r>
      <w:r>
        <w:rPr>
          <w:rFonts w:ascii="Arial" w:hAnsi="Arial" w:cs="Arial" w:eastAsia="Arial" w:hint="default"/>
        </w:rPr>
        <w:t>Si </w:t>
      </w:r>
      <w:r>
        <w:rPr/>
        <w:t>为报告期因发行新股或债转股等增加股份数；</w:t>
      </w:r>
      <w:r>
        <w:rPr>
          <w:rFonts w:ascii="Arial" w:hAnsi="Arial" w:cs="Arial" w:eastAsia="Arial" w:hint="default"/>
        </w:rPr>
        <w:t>Sj</w:t>
      </w:r>
      <w:r>
        <w:rPr>
          <w:rFonts w:ascii="Arial" w:hAnsi="Arial" w:cs="Arial" w:eastAsia="Arial" w:hint="default"/>
          <w:spacing w:val="28"/>
        </w:rPr>
        <w:t> </w:t>
      </w:r>
      <w:r>
        <w:rPr/>
        <w:t>为报告期因回</w:t>
      </w:r>
      <w:r>
        <w:rPr>
          <w:w w:val="100"/>
        </w:rPr>
        <w:t> </w:t>
      </w:r>
      <w:r>
        <w:rPr/>
        <w:t>购等减少股份数；</w:t>
      </w:r>
      <w:r>
        <w:rPr>
          <w:rFonts w:ascii="Arial" w:hAnsi="Arial" w:cs="Arial" w:eastAsia="Arial" w:hint="default"/>
        </w:rPr>
        <w:t>Sk </w:t>
      </w:r>
      <w:r>
        <w:rPr/>
        <w:t>为报告期缩股数；</w:t>
      </w:r>
      <w:r>
        <w:rPr>
          <w:rFonts w:ascii="Arial" w:hAnsi="Arial" w:cs="Arial" w:eastAsia="Arial" w:hint="default"/>
        </w:rPr>
        <w:t>M0 </w:t>
      </w:r>
      <w:r>
        <w:rPr/>
        <w:t>为报告期月份数；</w:t>
      </w:r>
      <w:r>
        <w:rPr>
          <w:rFonts w:ascii="Arial" w:hAnsi="Arial" w:cs="Arial" w:eastAsia="Arial" w:hint="default"/>
        </w:rPr>
        <w:t>Mi</w:t>
      </w:r>
      <w:r>
        <w:rPr>
          <w:rFonts w:ascii="Arial" w:hAnsi="Arial" w:cs="Arial" w:eastAsia="Arial" w:hint="default"/>
          <w:spacing w:val="4"/>
        </w:rPr>
        <w:t> </w:t>
      </w:r>
      <w:r>
        <w:rPr/>
        <w:t>为增加股份下一月份起至报告期</w:t>
      </w:r>
      <w:r>
        <w:rPr>
          <w:w w:val="100"/>
        </w:rPr>
        <w:t> </w:t>
      </w:r>
      <w:r>
        <w:rPr/>
        <w:t>年末的月份数；</w:t>
      </w:r>
      <w:r>
        <w:rPr>
          <w:rFonts w:ascii="Arial" w:hAnsi="Arial" w:cs="Arial" w:eastAsia="Arial" w:hint="default"/>
        </w:rPr>
        <w:t>Mj</w:t>
      </w:r>
      <w:r>
        <w:rPr>
          <w:rFonts w:ascii="Arial" w:hAnsi="Arial" w:cs="Arial" w:eastAsia="Arial" w:hint="default"/>
          <w:spacing w:val="-4"/>
        </w:rPr>
        <w:t> </w:t>
      </w:r>
      <w:r>
        <w:rPr/>
        <w:t>为减少股份下一月份起至报告期年末的月份数。</w:t>
      </w:r>
    </w:p>
    <w:p>
      <w:pPr>
        <w:spacing w:after="0" w:line="225" w:lineRule="auto"/>
        <w:jc w:val="both"/>
        <w:sectPr>
          <w:headerReference w:type="default" r:id="rId238"/>
          <w:pgSz w:w="11910" w:h="16840"/>
          <w:pgMar w:header="1183" w:footer="502" w:top="3040" w:bottom="700" w:left="1000" w:right="840"/>
        </w:sectPr>
      </w:pPr>
    </w:p>
    <w:p>
      <w:pPr>
        <w:spacing w:line="240" w:lineRule="auto" w:before="7"/>
        <w:rPr>
          <w:rFonts w:ascii="宋体" w:hAnsi="宋体" w:cs="宋体" w:eastAsia="宋体" w:hint="default"/>
          <w:sz w:val="16"/>
          <w:szCs w:val="16"/>
        </w:rPr>
      </w:pPr>
    </w:p>
    <w:p>
      <w:pPr>
        <w:pStyle w:val="BodyText"/>
        <w:spacing w:line="240" w:lineRule="auto" w:before="32"/>
        <w:ind w:left="156" w:right="104"/>
        <w:jc w:val="left"/>
        <w:rPr>
          <w:rFonts w:ascii="黑体" w:hAnsi="黑体" w:cs="黑体" w:eastAsia="黑体" w:hint="default"/>
        </w:rPr>
      </w:pPr>
      <w:r>
        <w:rPr>
          <w:rFonts w:ascii="黑体" w:hAnsi="黑体" w:cs="黑体" w:eastAsia="黑体" w:hint="default"/>
        </w:rPr>
        <w:t>十七</w:t>
      </w:r>
      <w:r>
        <w:rPr>
          <w:rFonts w:ascii="黑体" w:hAnsi="黑体" w:cs="黑体" w:eastAsia="黑体" w:hint="default"/>
          <w:spacing w:val="23"/>
        </w:rPr>
        <w:t> </w:t>
      </w:r>
      <w:r>
        <w:rPr>
          <w:rFonts w:ascii="黑体" w:hAnsi="黑体" w:cs="黑体" w:eastAsia="黑体" w:hint="default"/>
        </w:rPr>
        <w:t>计算净资产收益率及每股收益（续）</w:t>
      </w:r>
    </w:p>
    <w:p>
      <w:pPr>
        <w:spacing w:line="240" w:lineRule="auto" w:before="1"/>
        <w:rPr>
          <w:rFonts w:ascii="黑体" w:hAnsi="黑体" w:cs="黑体" w:eastAsia="黑体" w:hint="default"/>
          <w:sz w:val="19"/>
          <w:szCs w:val="19"/>
        </w:rPr>
      </w:pPr>
    </w:p>
    <w:p>
      <w:pPr>
        <w:pStyle w:val="BodyText"/>
        <w:spacing w:line="240" w:lineRule="auto"/>
        <w:ind w:left="113" w:right="104"/>
        <w:jc w:val="left"/>
        <w:rPr>
          <w:rFonts w:ascii="Arial" w:hAnsi="Arial" w:cs="Arial" w:eastAsia="Arial" w:hint="default"/>
        </w:rPr>
      </w:pPr>
      <w:r>
        <w:rPr>
          <w:rFonts w:ascii="Arial" w:hAnsi="Arial" w:cs="Arial" w:eastAsia="Arial" w:hint="default"/>
        </w:rPr>
        <w:t>(c)</w:t>
      </w:r>
      <w:r>
        <w:rPr>
          <w:rFonts w:ascii="Arial" w:hAnsi="Arial" w:cs="Arial" w:eastAsia="Arial" w:hint="default"/>
          <w:spacing w:val="53"/>
        </w:rPr>
        <w:t> </w:t>
      </w:r>
      <w:r>
        <w:rPr/>
        <w:t>稀释每股收益的计算公式参照如下如下公式计算</w:t>
      </w:r>
      <w:r>
        <w:rPr>
          <w:rFonts w:ascii="Arial" w:hAnsi="Arial" w:cs="Arial" w:eastAsia="Arial" w:hint="default"/>
        </w:rPr>
        <w:t>:</w:t>
      </w:r>
    </w:p>
    <w:p>
      <w:pPr>
        <w:spacing w:line="240" w:lineRule="auto" w:before="6"/>
        <w:rPr>
          <w:rFonts w:ascii="Arial" w:hAnsi="Arial" w:cs="Arial" w:eastAsia="Arial" w:hint="default"/>
          <w:sz w:val="20"/>
          <w:szCs w:val="20"/>
        </w:rPr>
      </w:pPr>
    </w:p>
    <w:p>
      <w:pPr>
        <w:pStyle w:val="BodyText"/>
        <w:spacing w:line="237" w:lineRule="auto"/>
        <w:ind w:left="506" w:right="146"/>
        <w:jc w:val="both"/>
      </w:pPr>
      <w:r>
        <w:rPr/>
        <w:t>母公司存在稀释性潜在普通股的，应当分别调整归属于普通股股东的报告期净利润和发行在外普</w:t>
      </w:r>
      <w:r>
        <w:rPr>
          <w:spacing w:val="-77"/>
        </w:rPr>
        <w:t> </w:t>
      </w:r>
      <w:r>
        <w:rPr/>
        <w:t>通股加权平均数，并据以计算稀释每股收益。在发行可转换债券、股份期权、认证股权等稀释性</w:t>
      </w:r>
      <w:r>
        <w:rPr>
          <w:spacing w:val="-77"/>
        </w:rPr>
        <w:t> </w:t>
      </w:r>
      <w:r>
        <w:rPr/>
        <w:t>潜在普通股情况下，稀释每股收益可参照如下公式计算：</w:t>
      </w:r>
    </w:p>
    <w:p>
      <w:pPr>
        <w:spacing w:line="240" w:lineRule="auto" w:before="1"/>
        <w:rPr>
          <w:rFonts w:ascii="宋体" w:hAnsi="宋体" w:cs="宋体" w:eastAsia="宋体" w:hint="default"/>
          <w:sz w:val="19"/>
          <w:szCs w:val="19"/>
        </w:rPr>
      </w:pPr>
    </w:p>
    <w:p>
      <w:pPr>
        <w:pStyle w:val="BodyText"/>
        <w:spacing w:line="296" w:lineRule="exact"/>
        <w:ind w:left="506" w:right="0"/>
        <w:jc w:val="both"/>
        <w:rPr>
          <w:rFonts w:ascii="Arial" w:hAnsi="Arial" w:cs="Arial" w:eastAsia="Arial" w:hint="default"/>
        </w:rPr>
      </w:pPr>
      <w:r>
        <w:rPr>
          <w:spacing w:val="15"/>
        </w:rPr>
        <w:t>稀释每股收益</w:t>
      </w:r>
      <w:r>
        <w:rPr>
          <w:rFonts w:ascii="Arial" w:hAnsi="Arial" w:cs="Arial" w:eastAsia="Arial" w:hint="default"/>
          <w:spacing w:val="15"/>
        </w:rPr>
        <w:t>=[P+(</w:t>
      </w:r>
      <w:r>
        <w:rPr>
          <w:spacing w:val="15"/>
        </w:rPr>
        <w:t>已确认未费用的稀释性潜在普通股利息转换费用</w:t>
      </w:r>
      <w:r>
        <w:rPr>
          <w:rFonts w:ascii="Arial" w:hAnsi="Arial" w:cs="Arial" w:eastAsia="Arial" w:hint="default"/>
          <w:spacing w:val="15"/>
        </w:rPr>
        <w:t>) </w:t>
      </w:r>
      <w:r>
        <w:rPr>
          <w:rFonts w:ascii="Arial" w:hAnsi="Arial" w:cs="Arial" w:eastAsia="Arial" w:hint="default"/>
          <w:spacing w:val="77"/>
        </w:rPr>
        <w:t> </w:t>
      </w:r>
      <w:r>
        <w:rPr>
          <w:spacing w:val="13"/>
        </w:rPr>
        <w:t>×（</w:t>
      </w:r>
      <w:r>
        <w:rPr>
          <w:rFonts w:ascii="Arial" w:hAnsi="Arial" w:cs="Arial" w:eastAsia="Arial" w:hint="default"/>
          <w:spacing w:val="13"/>
        </w:rPr>
        <w:t>1-</w:t>
      </w:r>
      <w:r>
        <w:rPr>
          <w:spacing w:val="13"/>
        </w:rPr>
        <w:t>所得税率）</w:t>
      </w:r>
      <w:r>
        <w:rPr>
          <w:rFonts w:ascii="Arial" w:hAnsi="Arial" w:cs="Arial" w:eastAsia="Arial" w:hint="default"/>
          <w:spacing w:val="13"/>
        </w:rPr>
        <w:t>]/</w:t>
      </w:r>
      <w:r>
        <w:rPr>
          <w:rFonts w:ascii="Arial" w:hAnsi="Arial" w:cs="Arial" w:eastAsia="Arial" w:hint="default"/>
        </w:rPr>
      </w:r>
    </w:p>
    <w:p>
      <w:pPr>
        <w:pStyle w:val="BodyText"/>
        <w:spacing w:line="284" w:lineRule="exact" w:before="22"/>
        <w:ind w:left="507" w:right="141" w:hanging="1"/>
        <w:jc w:val="both"/>
      </w:pPr>
      <w:r>
        <w:rPr>
          <w:spacing w:val="-4"/>
        </w:rPr>
        <w:t>（</w:t>
      </w:r>
      <w:r>
        <w:rPr>
          <w:rFonts w:ascii="Arial" w:hAnsi="Arial" w:cs="Arial" w:eastAsia="Arial" w:hint="default"/>
          <w:spacing w:val="-4"/>
        </w:rPr>
        <w:t>S0+S1+Si</w:t>
      </w:r>
      <w:r>
        <w:rPr>
          <w:rFonts w:ascii="宋体" w:hAnsi="宋体" w:cs="宋体" w:eastAsia="宋体" w:hint="default"/>
          <w:spacing w:val="-4"/>
        </w:rPr>
        <w:t>×</w:t>
      </w:r>
      <w:r>
        <w:rPr>
          <w:rFonts w:ascii="Arial" w:hAnsi="Arial" w:cs="Arial" w:eastAsia="Arial" w:hint="default"/>
          <w:spacing w:val="-4"/>
        </w:rPr>
        <w:t>Mi</w:t>
      </w:r>
      <w:r>
        <w:rPr>
          <w:rFonts w:ascii="宋体" w:hAnsi="宋体" w:cs="宋体" w:eastAsia="宋体" w:hint="default"/>
          <w:spacing w:val="-4"/>
        </w:rPr>
        <w:t>÷</w:t>
      </w:r>
      <w:r>
        <w:rPr>
          <w:rFonts w:ascii="Arial" w:hAnsi="Arial" w:cs="Arial" w:eastAsia="Arial" w:hint="default"/>
          <w:spacing w:val="-4"/>
        </w:rPr>
        <w:t>M0-Sj</w:t>
      </w:r>
      <w:r>
        <w:rPr>
          <w:rFonts w:ascii="宋体" w:hAnsi="宋体" w:cs="宋体" w:eastAsia="宋体" w:hint="default"/>
          <w:spacing w:val="-4"/>
        </w:rPr>
        <w:t>×</w:t>
      </w:r>
      <w:r>
        <w:rPr>
          <w:rFonts w:ascii="Arial" w:hAnsi="Arial" w:cs="Arial" w:eastAsia="Arial" w:hint="default"/>
          <w:spacing w:val="-4"/>
        </w:rPr>
        <w:t>Mj</w:t>
      </w:r>
      <w:r>
        <w:rPr>
          <w:rFonts w:ascii="宋体" w:hAnsi="宋体" w:cs="宋体" w:eastAsia="宋体" w:hint="default"/>
          <w:spacing w:val="-4"/>
        </w:rPr>
        <w:t>÷</w:t>
      </w:r>
      <w:r>
        <w:rPr>
          <w:rFonts w:ascii="Arial" w:hAnsi="Arial" w:cs="Arial" w:eastAsia="Arial" w:hint="default"/>
          <w:spacing w:val="-4"/>
        </w:rPr>
        <w:t>M0-Sk+</w:t>
      </w:r>
      <w:r>
        <w:rPr>
          <w:spacing w:val="-4"/>
        </w:rPr>
        <w:t>认股权证、股份期权、可转换债券等增加的普通股加权平</w:t>
      </w:r>
      <w:r>
        <w:rPr>
          <w:spacing w:val="-28"/>
        </w:rPr>
        <w:t> </w:t>
      </w:r>
      <w:r>
        <w:rPr>
          <w:spacing w:val="-28"/>
        </w:rPr>
      </w:r>
      <w:r>
        <w:rPr/>
        <w:t>均数）</w:t>
      </w:r>
    </w:p>
    <w:p>
      <w:pPr>
        <w:spacing w:line="240" w:lineRule="auto" w:before="1"/>
        <w:rPr>
          <w:rFonts w:ascii="宋体" w:hAnsi="宋体" w:cs="宋体" w:eastAsia="宋体" w:hint="default"/>
          <w:sz w:val="18"/>
          <w:szCs w:val="18"/>
        </w:rPr>
      </w:pPr>
    </w:p>
    <w:p>
      <w:pPr>
        <w:pStyle w:val="BodyText"/>
        <w:spacing w:line="232" w:lineRule="auto"/>
        <w:ind w:left="507" w:right="136"/>
        <w:jc w:val="both"/>
      </w:pPr>
      <w:r>
        <w:rPr/>
        <w:t>其中，</w:t>
      </w:r>
      <w:r>
        <w:rPr>
          <w:spacing w:val="-52"/>
        </w:rPr>
        <w:t> </w:t>
      </w:r>
      <w:r>
        <w:rPr>
          <w:rFonts w:ascii="Arial" w:hAnsi="Arial" w:cs="Arial" w:eastAsia="Arial" w:hint="default"/>
        </w:rPr>
        <w:t>P</w:t>
      </w:r>
      <w:r>
        <w:rPr>
          <w:rFonts w:ascii="Arial" w:hAnsi="Arial" w:cs="Arial" w:eastAsia="Arial" w:hint="default"/>
          <w:spacing w:val="-6"/>
        </w:rPr>
        <w:t> </w:t>
      </w:r>
      <w:r>
        <w:rPr/>
        <w:t>为归属于母公司普通股股东的净利润或扣除非经常性损益后归属于母公司普通股股东的</w:t>
      </w:r>
      <w:r>
        <w:rPr>
          <w:w w:val="100"/>
        </w:rPr>
        <w:t> </w:t>
      </w:r>
      <w:r>
        <w:rPr/>
        <w:t>净利润。母公司在计算稀释每股收益时，应考虑所有稀释性潜在普通股的影响，直至稀释每股收</w:t>
      </w:r>
      <w:r>
        <w:rPr>
          <w:spacing w:val="-77"/>
        </w:rPr>
        <w:t> </w:t>
      </w:r>
      <w:r>
        <w:rPr/>
        <w:t>益达到最小。对于子公司发行能够转换成其普通股的稀释性潜在普通股，不仅应当包括在其稀释</w:t>
      </w:r>
      <w:r>
        <w:rPr>
          <w:spacing w:val="-77"/>
        </w:rPr>
        <w:t> </w:t>
      </w:r>
      <w:r>
        <w:rPr/>
        <w:t>每股收益的计算中，而且还应当包括在合并稀释每股收益的计算中。</w:t>
      </w:r>
    </w:p>
    <w:p>
      <w:pPr>
        <w:spacing w:line="240" w:lineRule="auto" w:before="2"/>
        <w:rPr>
          <w:rFonts w:ascii="宋体" w:hAnsi="宋体" w:cs="宋体" w:eastAsia="宋体" w:hint="default"/>
          <w:sz w:val="19"/>
          <w:szCs w:val="19"/>
        </w:rPr>
      </w:pPr>
    </w:p>
    <w:p>
      <w:pPr>
        <w:pStyle w:val="BodyText"/>
        <w:spacing w:line="240" w:lineRule="auto"/>
        <w:ind w:left="156" w:right="104"/>
        <w:jc w:val="left"/>
        <w:rPr>
          <w:rFonts w:ascii="黑体" w:hAnsi="黑体" w:cs="黑体" w:eastAsia="黑体" w:hint="default"/>
        </w:rPr>
      </w:pPr>
      <w:r>
        <w:rPr>
          <w:rFonts w:ascii="黑体" w:hAnsi="黑体" w:cs="黑体" w:eastAsia="黑体" w:hint="default"/>
        </w:rPr>
        <w:t>十八</w:t>
      </w:r>
      <w:r>
        <w:rPr>
          <w:rFonts w:ascii="黑体" w:hAnsi="黑体" w:cs="黑体" w:eastAsia="黑体" w:hint="default"/>
          <w:spacing w:val="23"/>
        </w:rPr>
        <w:t> </w:t>
      </w:r>
      <w:r>
        <w:rPr>
          <w:rFonts w:ascii="黑体" w:hAnsi="黑体" w:cs="黑体" w:eastAsia="黑体" w:hint="default"/>
        </w:rPr>
        <w:t>比较数字</w:t>
      </w:r>
    </w:p>
    <w:p>
      <w:pPr>
        <w:spacing w:line="240" w:lineRule="auto" w:before="1"/>
        <w:rPr>
          <w:rFonts w:ascii="黑体" w:hAnsi="黑体" w:cs="黑体" w:eastAsia="黑体" w:hint="default"/>
          <w:sz w:val="19"/>
          <w:szCs w:val="19"/>
        </w:rPr>
      </w:pPr>
    </w:p>
    <w:p>
      <w:pPr>
        <w:pStyle w:val="BodyText"/>
        <w:spacing w:line="240" w:lineRule="auto"/>
        <w:ind w:left="540" w:right="0"/>
        <w:jc w:val="both"/>
      </w:pPr>
      <w:r>
        <w:rPr/>
        <w:t>为方便作出相应的比较，本集团对财务报表中个别项目的比较数字进行了重新分类。参见注释三</w:t>
      </w:r>
    </w:p>
    <w:p>
      <w:pPr>
        <w:pStyle w:val="BodyText"/>
        <w:spacing w:line="240" w:lineRule="auto"/>
        <w:ind w:left="540" w:right="0"/>
        <w:jc w:val="both"/>
      </w:pPr>
      <w:r>
        <w:rPr>
          <w:rFonts w:ascii="Arial" w:hAnsi="Arial" w:cs="Arial" w:eastAsia="Arial" w:hint="default"/>
        </w:rPr>
        <w:t>33(1)(a)</w:t>
      </w:r>
      <w:r>
        <w:rPr/>
        <w:t>。</w:t>
      </w:r>
    </w:p>
    <w:p>
      <w:pPr>
        <w:spacing w:after="0" w:line="240" w:lineRule="auto"/>
        <w:jc w:val="both"/>
        <w:sectPr>
          <w:headerReference w:type="default" r:id="rId239"/>
          <w:pgSz w:w="11910" w:h="16840"/>
          <w:pgMar w:header="1183" w:footer="502" w:top="2500" w:bottom="700" w:left="1020" w:right="960"/>
        </w:sectPr>
      </w:pPr>
    </w:p>
    <w:p>
      <w:pPr>
        <w:spacing w:line="240" w:lineRule="auto" w:before="10"/>
        <w:rPr>
          <w:rFonts w:ascii="宋体" w:hAnsi="宋体" w:cs="宋体" w:eastAsia="宋体" w:hint="default"/>
          <w:sz w:val="14"/>
          <w:szCs w:val="14"/>
        </w:rPr>
      </w:pPr>
    </w:p>
    <w:p>
      <w:pPr>
        <w:pStyle w:val="BodyText"/>
        <w:spacing w:line="240" w:lineRule="auto" w:before="32"/>
        <w:ind w:left="112" w:right="94"/>
        <w:jc w:val="left"/>
        <w:rPr>
          <w:rFonts w:ascii="黑体" w:hAnsi="黑体" w:cs="黑体" w:eastAsia="黑体" w:hint="default"/>
        </w:rPr>
      </w:pPr>
      <w:r>
        <w:rPr>
          <w:rFonts w:ascii="黑体" w:hAnsi="黑体" w:cs="黑体" w:eastAsia="黑体" w:hint="default"/>
        </w:rPr>
        <w:t>一、财务报表差异调节表</w:t>
      </w:r>
    </w:p>
    <w:p>
      <w:pPr>
        <w:spacing w:line="240" w:lineRule="auto" w:before="7"/>
        <w:rPr>
          <w:rFonts w:ascii="黑体" w:hAnsi="黑体" w:cs="黑体" w:eastAsia="黑体" w:hint="default"/>
          <w:sz w:val="16"/>
          <w:szCs w:val="16"/>
        </w:rPr>
      </w:pPr>
    </w:p>
    <w:p>
      <w:pPr>
        <w:pStyle w:val="BodyText"/>
        <w:spacing w:line="230" w:lineRule="auto"/>
        <w:ind w:left="534" w:right="243"/>
        <w:jc w:val="both"/>
      </w:pPr>
      <w:r>
        <w:rPr>
          <w:spacing w:val="-1"/>
        </w:rPr>
        <w:t>鉴于本公司的特殊架构，即通过联通</w:t>
      </w:r>
      <w:r>
        <w:rPr>
          <w:rFonts w:ascii="Arial" w:hAnsi="Arial" w:cs="Arial" w:eastAsia="Arial" w:hint="default"/>
          <w:spacing w:val="-1"/>
        </w:rPr>
        <w:t>BVI</w:t>
      </w:r>
      <w:r>
        <w:rPr>
          <w:spacing w:val="-1"/>
        </w:rPr>
        <w:t>公司间接持有联通红筹公司的股权，联通红筹公司为在</w:t>
      </w:r>
      <w:r>
        <w:rPr>
          <w:spacing w:val="-61"/>
        </w:rPr>
        <w:t> </w:t>
      </w:r>
      <w:r>
        <w:rPr>
          <w:spacing w:val="-61"/>
        </w:rPr>
      </w:r>
      <w:r>
        <w:rPr>
          <w:spacing w:val="-2"/>
        </w:rPr>
        <w:t>香港注册的有限公司。联通红筹公司按照国际</w:t>
      </w:r>
      <w:r>
        <w:rPr>
          <w:rFonts w:ascii="Arial" w:hAnsi="Arial" w:cs="Arial" w:eastAsia="Arial" w:hint="default"/>
          <w:spacing w:val="-2"/>
        </w:rPr>
        <w:t>/</w:t>
      </w:r>
      <w:r>
        <w:rPr>
          <w:spacing w:val="-2"/>
        </w:rPr>
        <w:t>香港财务报告准则编制了截至</w:t>
      </w:r>
      <w:r>
        <w:rPr>
          <w:rFonts w:ascii="Arial" w:hAnsi="Arial" w:cs="Arial" w:eastAsia="Arial" w:hint="default"/>
          <w:spacing w:val="-2"/>
        </w:rPr>
        <w:t>2019</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spacing w:val="-2"/>
        </w:rPr>
        <w:t>日止</w:t>
      </w:r>
      <w:r>
        <w:rPr>
          <w:spacing w:val="-38"/>
        </w:rPr>
        <w:t> </w:t>
      </w:r>
      <w:r>
        <w:rPr>
          <w:spacing w:val="-3"/>
        </w:rPr>
        <w:t>年度财务报告，并已经毕马威会计师事务所审计，本集团按照中华人民共和国财政部颁布的企业</w:t>
      </w:r>
      <w:r>
        <w:rPr>
          <w:spacing w:val="-59"/>
        </w:rPr>
        <w:t> </w:t>
      </w:r>
      <w:r>
        <w:rPr>
          <w:spacing w:val="-59"/>
        </w:rPr>
      </w:r>
      <w:r>
        <w:rPr>
          <w:spacing w:val="-3"/>
        </w:rPr>
        <w:t>会计准则（“中国会计准则”）的规定编制合并财务报表，在适用中国会计准则前境内外会计准</w:t>
      </w:r>
      <w:r>
        <w:rPr>
          <w:spacing w:val="-66"/>
        </w:rPr>
        <w:t> </w:t>
      </w:r>
      <w:r>
        <w:rPr>
          <w:spacing w:val="-66"/>
        </w:rPr>
      </w:r>
      <w:r>
        <w:rPr>
          <w:spacing w:val="-4"/>
        </w:rPr>
        <w:t>则仍存在差异。自</w:t>
      </w:r>
      <w:r>
        <w:rPr>
          <w:rFonts w:ascii="Arial" w:hAnsi="Arial" w:cs="Arial" w:eastAsia="Arial" w:hint="default"/>
          <w:spacing w:val="-4"/>
        </w:rPr>
        <w:t>2007</w:t>
      </w:r>
      <w:r>
        <w:rPr>
          <w:spacing w:val="-4"/>
        </w:rPr>
        <w:t>年采用中国会计准则后，无新增重大会计准则差异。该等准则差异对本集</w:t>
      </w:r>
      <w:r>
        <w:rPr>
          <w:spacing w:val="-64"/>
        </w:rPr>
        <w:t> </w:t>
      </w:r>
      <w:r>
        <w:rPr>
          <w:spacing w:val="-64"/>
        </w:rPr>
      </w:r>
      <w:r>
        <w:rPr/>
        <w:t>团净利润和净资产的影响列示如下：</w:t>
      </w:r>
    </w:p>
    <w:p>
      <w:pPr>
        <w:spacing w:line="240" w:lineRule="auto" w:before="4"/>
        <w:rPr>
          <w:rFonts w:ascii="宋体" w:hAnsi="宋体" w:cs="宋体" w:eastAsia="宋体" w:hint="default"/>
          <w:sz w:val="20"/>
          <w:szCs w:val="20"/>
        </w:rPr>
      </w:pPr>
    </w:p>
    <w:tbl>
      <w:tblPr>
        <w:tblW w:w="0" w:type="auto"/>
        <w:jc w:val="left"/>
        <w:tblInd w:w="544" w:type="dxa"/>
        <w:tblLayout w:type="fixed"/>
        <w:tblCellMar>
          <w:top w:w="0" w:type="dxa"/>
          <w:left w:w="0" w:type="dxa"/>
          <w:bottom w:w="0" w:type="dxa"/>
          <w:right w:w="0" w:type="dxa"/>
        </w:tblCellMar>
        <w:tblLook w:val="01E0"/>
      </w:tblPr>
      <w:tblGrid>
        <w:gridCol w:w="4572"/>
        <w:gridCol w:w="300"/>
        <w:gridCol w:w="1409"/>
        <w:gridCol w:w="818"/>
        <w:gridCol w:w="919"/>
        <w:gridCol w:w="799"/>
      </w:tblGrid>
      <w:tr>
        <w:trPr>
          <w:trHeight w:val="191" w:hRule="exact"/>
        </w:trPr>
        <w:tc>
          <w:tcPr>
            <w:tcW w:w="4572" w:type="dxa"/>
            <w:tcBorders>
              <w:top w:val="nil" w:sz="6" w:space="0" w:color="auto"/>
              <w:left w:val="nil" w:sz="6" w:space="0" w:color="auto"/>
              <w:bottom w:val="single" w:sz="6" w:space="0" w:color="000000"/>
              <w:right w:val="nil" w:sz="6" w:space="0" w:color="auto"/>
            </w:tcBorders>
          </w:tcPr>
          <w:p>
            <w:pPr/>
          </w:p>
        </w:tc>
        <w:tc>
          <w:tcPr>
            <w:tcW w:w="300" w:type="dxa"/>
            <w:tcBorders>
              <w:top w:val="nil" w:sz="6" w:space="0" w:color="auto"/>
              <w:left w:val="nil" w:sz="6" w:space="0" w:color="auto"/>
              <w:bottom w:val="single" w:sz="6" w:space="0" w:color="000000"/>
              <w:right w:val="nil" w:sz="6" w:space="0" w:color="auto"/>
            </w:tcBorders>
          </w:tcPr>
          <w:p>
            <w:pPr/>
          </w:p>
        </w:tc>
        <w:tc>
          <w:tcPr>
            <w:tcW w:w="1409" w:type="dxa"/>
            <w:tcBorders>
              <w:top w:val="nil" w:sz="6" w:space="0" w:color="auto"/>
              <w:left w:val="nil" w:sz="6" w:space="0" w:color="auto"/>
              <w:bottom w:val="single" w:sz="6" w:space="0" w:color="000000"/>
              <w:right w:val="nil" w:sz="6" w:space="0" w:color="auto"/>
            </w:tcBorders>
          </w:tcPr>
          <w:p>
            <w:pPr>
              <w:pStyle w:val="TableParagraph"/>
              <w:spacing w:line="159" w:lineRule="exact"/>
              <w:ind w:left="816" w:right="0"/>
              <w:jc w:val="left"/>
              <w:rPr>
                <w:rFonts w:ascii="黑体" w:hAnsi="黑体" w:cs="黑体" w:eastAsia="黑体" w:hint="default"/>
                <w:sz w:val="16"/>
                <w:szCs w:val="16"/>
              </w:rPr>
            </w:pPr>
            <w:r>
              <w:rPr>
                <w:rFonts w:ascii="黑体" w:hAnsi="黑体" w:cs="黑体" w:eastAsia="黑体" w:hint="default"/>
                <w:sz w:val="16"/>
                <w:szCs w:val="16"/>
              </w:rPr>
              <w:t>净利润</w:t>
            </w:r>
          </w:p>
        </w:tc>
        <w:tc>
          <w:tcPr>
            <w:tcW w:w="818" w:type="dxa"/>
            <w:tcBorders>
              <w:top w:val="nil" w:sz="6" w:space="0" w:color="auto"/>
              <w:left w:val="nil" w:sz="6" w:space="0" w:color="auto"/>
              <w:bottom w:val="single" w:sz="6" w:space="0" w:color="000000"/>
              <w:right w:val="nil" w:sz="6" w:space="0" w:color="auto"/>
            </w:tcBorders>
          </w:tcPr>
          <w:p>
            <w:pPr/>
          </w:p>
        </w:tc>
        <w:tc>
          <w:tcPr>
            <w:tcW w:w="1718" w:type="dxa"/>
            <w:gridSpan w:val="2"/>
            <w:tcBorders>
              <w:top w:val="nil" w:sz="6" w:space="0" w:color="auto"/>
              <w:left w:val="nil" w:sz="6" w:space="0" w:color="auto"/>
              <w:bottom w:val="single" w:sz="6" w:space="0" w:color="000000"/>
              <w:right w:val="nil" w:sz="6" w:space="0" w:color="auto"/>
            </w:tcBorders>
          </w:tcPr>
          <w:p>
            <w:pPr>
              <w:pStyle w:val="TableParagraph"/>
              <w:spacing w:line="159" w:lineRule="exact"/>
              <w:ind w:left="19" w:right="0"/>
              <w:jc w:val="center"/>
              <w:rPr>
                <w:rFonts w:ascii="黑体" w:hAnsi="黑体" w:cs="黑体" w:eastAsia="黑体" w:hint="default"/>
                <w:sz w:val="16"/>
                <w:szCs w:val="16"/>
              </w:rPr>
            </w:pPr>
            <w:r>
              <w:rPr>
                <w:rFonts w:ascii="黑体" w:hAnsi="黑体" w:cs="黑体" w:eastAsia="黑体" w:hint="default"/>
                <w:sz w:val="16"/>
                <w:szCs w:val="16"/>
              </w:rPr>
              <w:t>净资产</w:t>
            </w:r>
          </w:p>
        </w:tc>
      </w:tr>
      <w:tr>
        <w:trPr>
          <w:trHeight w:val="607" w:hRule="exact"/>
        </w:trPr>
        <w:tc>
          <w:tcPr>
            <w:tcW w:w="4572" w:type="dxa"/>
            <w:tcBorders>
              <w:top w:val="single" w:sz="6" w:space="0" w:color="000000"/>
              <w:left w:val="nil" w:sz="6" w:space="0" w:color="auto"/>
              <w:bottom w:val="nil" w:sz="6" w:space="0" w:color="auto"/>
              <w:right w:val="nil" w:sz="6" w:space="0" w:color="auto"/>
            </w:tcBorders>
          </w:tcPr>
          <w:p>
            <w:pPr>
              <w:pStyle w:val="TableParagraph"/>
              <w:spacing w:line="179" w:lineRule="exact"/>
              <w:ind w:left="7" w:right="0"/>
              <w:jc w:val="center"/>
              <w:rPr>
                <w:rFonts w:ascii="宋体" w:hAnsi="宋体" w:cs="宋体" w:eastAsia="宋体" w:hint="default"/>
                <w:sz w:val="16"/>
                <w:szCs w:val="16"/>
              </w:rPr>
            </w:pPr>
            <w:r>
              <w:rPr>
                <w:rFonts w:ascii="宋体" w:hAnsi="宋体" w:cs="宋体" w:eastAsia="宋体" w:hint="default"/>
                <w:sz w:val="16"/>
                <w:szCs w:val="16"/>
              </w:rPr>
              <w:t>项目</w:t>
            </w:r>
          </w:p>
          <w:p>
            <w:pPr>
              <w:pStyle w:val="TableParagraph"/>
              <w:spacing w:line="208" w:lineRule="exact"/>
              <w:ind w:left="7" w:right="0"/>
              <w:jc w:val="center"/>
              <w:rPr>
                <w:rFonts w:ascii="宋体" w:hAnsi="宋体" w:cs="宋体" w:eastAsia="宋体" w:hint="default"/>
                <w:sz w:val="16"/>
                <w:szCs w:val="16"/>
              </w:rPr>
            </w:pPr>
            <w:r>
              <w:rPr>
                <w:rFonts w:ascii="宋体" w:hAnsi="宋体" w:cs="宋体" w:eastAsia="宋体" w:hint="default"/>
                <w:sz w:val="16"/>
                <w:szCs w:val="16"/>
              </w:rPr>
              <w:t>（单位：人民币百万元）</w:t>
            </w:r>
          </w:p>
        </w:tc>
        <w:tc>
          <w:tcPr>
            <w:tcW w:w="300" w:type="dxa"/>
            <w:tcBorders>
              <w:top w:val="single" w:sz="6" w:space="0" w:color="000000"/>
              <w:left w:val="nil" w:sz="6" w:space="0" w:color="auto"/>
              <w:bottom w:val="nil" w:sz="6" w:space="0" w:color="auto"/>
              <w:right w:val="nil" w:sz="6" w:space="0" w:color="auto"/>
            </w:tcBorders>
          </w:tcPr>
          <w:p>
            <w:pPr>
              <w:pStyle w:val="TableParagraph"/>
              <w:spacing w:line="179" w:lineRule="exact"/>
              <w:ind w:left="74" w:right="0"/>
              <w:jc w:val="left"/>
              <w:rPr>
                <w:rFonts w:ascii="宋体" w:hAnsi="宋体" w:cs="宋体" w:eastAsia="宋体" w:hint="default"/>
                <w:sz w:val="16"/>
                <w:szCs w:val="16"/>
              </w:rPr>
            </w:pPr>
            <w:r>
              <w:rPr>
                <w:rFonts w:ascii="宋体" w:hAnsi="宋体" w:cs="宋体" w:eastAsia="宋体" w:hint="default"/>
                <w:w w:val="98"/>
                <w:sz w:val="16"/>
                <w:szCs w:val="16"/>
              </w:rPr>
              <w:t>注</w:t>
            </w:r>
            <w:r>
              <w:rPr>
                <w:rFonts w:ascii="宋体" w:hAnsi="宋体" w:cs="宋体" w:eastAsia="宋体" w:hint="default"/>
                <w:sz w:val="16"/>
                <w:szCs w:val="16"/>
              </w:rPr>
            </w:r>
          </w:p>
          <w:p>
            <w:pPr>
              <w:pStyle w:val="TableParagraph"/>
              <w:spacing w:line="208" w:lineRule="exact"/>
              <w:ind w:left="74" w:right="0"/>
              <w:jc w:val="left"/>
              <w:rPr>
                <w:rFonts w:ascii="宋体" w:hAnsi="宋体" w:cs="宋体" w:eastAsia="宋体" w:hint="default"/>
                <w:sz w:val="16"/>
                <w:szCs w:val="16"/>
              </w:rPr>
            </w:pPr>
            <w:r>
              <w:rPr>
                <w:rFonts w:ascii="宋体" w:hAnsi="宋体" w:cs="宋体" w:eastAsia="宋体" w:hint="default"/>
                <w:w w:val="98"/>
                <w:sz w:val="16"/>
                <w:szCs w:val="16"/>
              </w:rPr>
              <w:t>释</w:t>
            </w:r>
            <w:r>
              <w:rPr>
                <w:rFonts w:ascii="宋体" w:hAnsi="宋体" w:cs="宋体" w:eastAsia="宋体" w:hint="default"/>
                <w:sz w:val="16"/>
                <w:szCs w:val="16"/>
              </w:rPr>
            </w:r>
          </w:p>
        </w:tc>
        <w:tc>
          <w:tcPr>
            <w:tcW w:w="1409"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417" w:right="0"/>
              <w:jc w:val="left"/>
              <w:rPr>
                <w:rFonts w:ascii="宋体" w:hAnsi="宋体" w:cs="宋体" w:eastAsia="宋体" w:hint="default"/>
                <w:sz w:val="16"/>
                <w:szCs w:val="16"/>
              </w:rPr>
            </w:pPr>
            <w:r>
              <w:rPr>
                <w:rFonts w:ascii="Arial" w:hAnsi="Arial" w:cs="Arial" w:eastAsia="Arial" w:hint="default"/>
                <w:sz w:val="16"/>
                <w:szCs w:val="16"/>
              </w:rPr>
              <w:t>2019</w:t>
            </w:r>
            <w:r>
              <w:rPr>
                <w:rFonts w:ascii="Arial" w:hAnsi="Arial" w:cs="Arial" w:eastAsia="Arial" w:hint="default"/>
                <w:spacing w:val="-10"/>
                <w:sz w:val="16"/>
                <w:szCs w:val="16"/>
              </w:rPr>
              <w:t> </w:t>
            </w:r>
            <w:r>
              <w:rPr>
                <w:rFonts w:ascii="宋体" w:hAnsi="宋体" w:cs="宋体" w:eastAsia="宋体" w:hint="default"/>
                <w:sz w:val="16"/>
                <w:szCs w:val="16"/>
              </w:rPr>
              <w:t>年</w:t>
            </w:r>
          </w:p>
        </w:tc>
        <w:tc>
          <w:tcPr>
            <w:tcW w:w="818"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141" w:right="0"/>
              <w:jc w:val="left"/>
              <w:rPr>
                <w:rFonts w:ascii="宋体" w:hAnsi="宋体" w:cs="宋体" w:eastAsia="宋体" w:hint="default"/>
                <w:sz w:val="16"/>
                <w:szCs w:val="16"/>
              </w:rPr>
            </w:pPr>
            <w:r>
              <w:rPr>
                <w:rFonts w:ascii="Arial" w:hAnsi="Arial" w:cs="Arial" w:eastAsia="Arial" w:hint="default"/>
                <w:sz w:val="16"/>
                <w:szCs w:val="16"/>
              </w:rPr>
              <w:t>2018</w:t>
            </w:r>
            <w:r>
              <w:rPr>
                <w:rFonts w:ascii="Arial" w:hAnsi="Arial" w:cs="Arial" w:eastAsia="Arial" w:hint="default"/>
                <w:spacing w:val="-10"/>
                <w:sz w:val="16"/>
                <w:szCs w:val="16"/>
              </w:rPr>
              <w:t> </w:t>
            </w:r>
            <w:r>
              <w:rPr>
                <w:rFonts w:ascii="宋体" w:hAnsi="宋体" w:cs="宋体" w:eastAsia="宋体" w:hint="default"/>
                <w:sz w:val="16"/>
                <w:szCs w:val="16"/>
              </w:rPr>
              <w:t>年</w:t>
            </w:r>
          </w:p>
        </w:tc>
        <w:tc>
          <w:tcPr>
            <w:tcW w:w="919"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239" w:right="0"/>
              <w:jc w:val="left"/>
              <w:rPr>
                <w:rFonts w:ascii="宋体" w:hAnsi="宋体" w:cs="宋体" w:eastAsia="宋体" w:hint="default"/>
                <w:sz w:val="16"/>
                <w:szCs w:val="16"/>
              </w:rPr>
            </w:pPr>
            <w:r>
              <w:rPr>
                <w:rFonts w:ascii="Arial" w:hAnsi="Arial" w:cs="Arial" w:eastAsia="Arial" w:hint="default"/>
                <w:sz w:val="16"/>
                <w:szCs w:val="16"/>
              </w:rPr>
              <w:t>2019</w:t>
            </w:r>
            <w:r>
              <w:rPr>
                <w:rFonts w:ascii="Arial" w:hAnsi="Arial" w:cs="Arial" w:eastAsia="Arial" w:hint="default"/>
                <w:spacing w:val="-10"/>
                <w:sz w:val="16"/>
                <w:szCs w:val="16"/>
              </w:rPr>
              <w:t> </w:t>
            </w:r>
            <w:r>
              <w:rPr>
                <w:rFonts w:ascii="宋体" w:hAnsi="宋体" w:cs="宋体" w:eastAsia="宋体" w:hint="default"/>
                <w:sz w:val="16"/>
                <w:szCs w:val="16"/>
              </w:rPr>
              <w:t>年</w:t>
            </w:r>
          </w:p>
        </w:tc>
        <w:tc>
          <w:tcPr>
            <w:tcW w:w="799"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0"/>
              <w:jc w:val="right"/>
              <w:rPr>
                <w:rFonts w:ascii="宋体" w:hAnsi="宋体" w:cs="宋体" w:eastAsia="宋体" w:hint="default"/>
                <w:sz w:val="16"/>
                <w:szCs w:val="16"/>
              </w:rPr>
            </w:pPr>
            <w:r>
              <w:rPr>
                <w:rFonts w:ascii="Arial" w:hAnsi="Arial" w:cs="Arial" w:eastAsia="Arial" w:hint="default"/>
                <w:sz w:val="16"/>
                <w:szCs w:val="16"/>
              </w:rPr>
              <w:t>2018</w:t>
            </w:r>
            <w:r>
              <w:rPr>
                <w:rFonts w:ascii="Arial" w:hAnsi="Arial" w:cs="Arial" w:eastAsia="Arial" w:hint="default"/>
                <w:spacing w:val="-10"/>
                <w:sz w:val="16"/>
                <w:szCs w:val="16"/>
              </w:rPr>
              <w:t> </w:t>
            </w:r>
            <w:r>
              <w:rPr>
                <w:rFonts w:ascii="宋体" w:hAnsi="宋体" w:cs="宋体" w:eastAsia="宋体" w:hint="default"/>
                <w:sz w:val="16"/>
                <w:szCs w:val="16"/>
              </w:rPr>
              <w:t>年</w:t>
            </w:r>
          </w:p>
        </w:tc>
      </w:tr>
      <w:tr>
        <w:trPr>
          <w:trHeight w:val="492" w:hRule="exact"/>
        </w:trPr>
        <w:tc>
          <w:tcPr>
            <w:tcW w:w="457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left="4" w:right="0"/>
              <w:jc w:val="left"/>
              <w:rPr>
                <w:rFonts w:ascii="宋体" w:hAnsi="宋体" w:cs="宋体" w:eastAsia="宋体" w:hint="default"/>
                <w:sz w:val="16"/>
                <w:szCs w:val="16"/>
              </w:rPr>
            </w:pPr>
            <w:r>
              <w:rPr>
                <w:rFonts w:ascii="宋体" w:hAnsi="宋体" w:cs="宋体" w:eastAsia="宋体" w:hint="default"/>
                <w:sz w:val="16"/>
                <w:szCs w:val="16"/>
              </w:rPr>
              <w:t>本集团中国会计准则下的净利润</w:t>
            </w:r>
            <w:r>
              <w:rPr>
                <w:rFonts w:ascii="Arial" w:hAnsi="Arial" w:cs="Arial" w:eastAsia="Arial" w:hint="default"/>
                <w:sz w:val="16"/>
                <w:szCs w:val="16"/>
              </w:rPr>
              <w:t>/</w:t>
            </w:r>
            <w:r>
              <w:rPr>
                <w:rFonts w:ascii="宋体" w:hAnsi="宋体" w:cs="宋体" w:eastAsia="宋体" w:hint="default"/>
                <w:sz w:val="16"/>
                <w:szCs w:val="16"/>
              </w:rPr>
              <w:t>净资产</w:t>
            </w:r>
          </w:p>
        </w:tc>
        <w:tc>
          <w:tcPr>
            <w:tcW w:w="300" w:type="dxa"/>
            <w:tcBorders>
              <w:top w:val="nil" w:sz="6" w:space="0" w:color="auto"/>
              <w:left w:val="nil" w:sz="6" w:space="0" w:color="auto"/>
              <w:bottom w:val="nil" w:sz="6" w:space="0" w:color="auto"/>
              <w:right w:val="nil" w:sz="6" w:space="0" w:color="auto"/>
            </w:tcBorders>
          </w:tcPr>
          <w:p>
            <w:pP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88" w:right="0"/>
              <w:jc w:val="left"/>
              <w:rPr>
                <w:rFonts w:ascii="Arial" w:hAnsi="Arial" w:cs="Arial" w:eastAsia="Arial" w:hint="default"/>
                <w:sz w:val="16"/>
                <w:szCs w:val="16"/>
              </w:rPr>
            </w:pPr>
            <w:r>
              <w:rPr>
                <w:rFonts w:ascii="Arial"/>
                <w:sz w:val="16"/>
              </w:rPr>
              <w:t>11,264</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4" w:right="0"/>
              <w:jc w:val="left"/>
              <w:rPr>
                <w:rFonts w:ascii="Arial" w:hAnsi="Arial" w:cs="Arial" w:eastAsia="Arial" w:hint="default"/>
                <w:sz w:val="16"/>
                <w:szCs w:val="16"/>
              </w:rPr>
            </w:pPr>
            <w:r>
              <w:rPr>
                <w:rFonts w:ascii="Arial"/>
                <w:sz w:val="16"/>
              </w:rPr>
              <w:t>9,301</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24" w:right="0"/>
              <w:jc w:val="left"/>
              <w:rPr>
                <w:rFonts w:ascii="Arial" w:hAnsi="Arial" w:cs="Arial" w:eastAsia="Arial" w:hint="default"/>
                <w:sz w:val="16"/>
                <w:szCs w:val="16"/>
              </w:rPr>
            </w:pPr>
            <w:r>
              <w:rPr>
                <w:rFonts w:ascii="Arial"/>
                <w:sz w:val="16"/>
              </w:rPr>
              <w:t>323,496</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27" w:right="0"/>
              <w:jc w:val="left"/>
              <w:rPr>
                <w:rFonts w:ascii="Arial" w:hAnsi="Arial" w:cs="Arial" w:eastAsia="Arial" w:hint="default"/>
                <w:sz w:val="16"/>
                <w:szCs w:val="16"/>
              </w:rPr>
            </w:pPr>
            <w:r>
              <w:rPr>
                <w:rFonts w:ascii="Arial"/>
                <w:sz w:val="16"/>
              </w:rPr>
              <w:t>316,940</w:t>
            </w:r>
          </w:p>
        </w:tc>
      </w:tr>
      <w:tr>
        <w:trPr>
          <w:trHeight w:val="506" w:hRule="exact"/>
        </w:trPr>
        <w:tc>
          <w:tcPr>
            <w:tcW w:w="4572" w:type="dxa"/>
            <w:tcBorders>
              <w:top w:val="nil" w:sz="6" w:space="0" w:color="auto"/>
              <w:left w:val="nil" w:sz="6" w:space="0" w:color="auto"/>
              <w:bottom w:val="nil" w:sz="6" w:space="0" w:color="auto"/>
              <w:right w:val="nil" w:sz="6" w:space="0" w:color="auto"/>
            </w:tcBorders>
          </w:tcPr>
          <w:p>
            <w:pPr>
              <w:pStyle w:val="TableParagraph"/>
              <w:spacing w:line="214" w:lineRule="exact" w:before="55"/>
              <w:ind w:left="14" w:right="0"/>
              <w:jc w:val="left"/>
              <w:rPr>
                <w:rFonts w:ascii="Arial" w:hAnsi="Arial" w:cs="Arial" w:eastAsia="Arial" w:hint="default"/>
                <w:sz w:val="16"/>
                <w:szCs w:val="16"/>
              </w:rPr>
            </w:pPr>
            <w:r>
              <w:rPr>
                <w:rFonts w:ascii="宋体" w:hAnsi="宋体" w:cs="宋体" w:eastAsia="宋体" w:hint="default"/>
                <w:sz w:val="16"/>
                <w:szCs w:val="16"/>
              </w:rPr>
              <w:t>加</w:t>
            </w:r>
            <w:r>
              <w:rPr>
                <w:rFonts w:ascii="Arial" w:hAnsi="Arial" w:cs="Arial" w:eastAsia="Arial" w:hint="default"/>
                <w:sz w:val="16"/>
                <w:szCs w:val="16"/>
              </w:rPr>
              <w:t>/</w:t>
            </w:r>
            <w:r>
              <w:rPr>
                <w:rFonts w:ascii="宋体" w:hAnsi="宋体" w:cs="宋体" w:eastAsia="宋体" w:hint="default"/>
                <w:sz w:val="16"/>
                <w:szCs w:val="16"/>
              </w:rPr>
              <w:t>（减）：本公司及联通</w:t>
            </w:r>
            <w:r>
              <w:rPr>
                <w:rFonts w:ascii="宋体" w:hAnsi="宋体" w:cs="宋体" w:eastAsia="宋体" w:hint="default"/>
                <w:spacing w:val="-48"/>
                <w:sz w:val="16"/>
                <w:szCs w:val="16"/>
              </w:rPr>
              <w:t> </w:t>
            </w:r>
            <w:r>
              <w:rPr>
                <w:rFonts w:ascii="Arial" w:hAnsi="Arial" w:cs="Arial" w:eastAsia="Arial" w:hint="default"/>
                <w:sz w:val="16"/>
                <w:szCs w:val="16"/>
              </w:rPr>
              <w:t>BVI</w:t>
            </w:r>
            <w:r>
              <w:rPr>
                <w:rFonts w:ascii="Arial" w:hAnsi="Arial" w:cs="Arial" w:eastAsia="Arial" w:hint="default"/>
                <w:spacing w:val="-10"/>
                <w:sz w:val="16"/>
                <w:szCs w:val="16"/>
              </w:rPr>
              <w:t> </w:t>
            </w:r>
            <w:r>
              <w:rPr>
                <w:rFonts w:ascii="宋体" w:hAnsi="宋体" w:cs="宋体" w:eastAsia="宋体" w:hint="default"/>
                <w:sz w:val="16"/>
                <w:szCs w:val="16"/>
              </w:rPr>
              <w:t>公司发生的（累计发生的）费用</w:t>
            </w:r>
            <w:r>
              <w:rPr>
                <w:rFonts w:ascii="Arial" w:hAnsi="Arial" w:cs="Arial" w:eastAsia="Arial" w:hint="default"/>
                <w:sz w:val="16"/>
                <w:szCs w:val="16"/>
              </w:rPr>
              <w:t>/</w:t>
            </w:r>
          </w:p>
          <w:p>
            <w:pPr>
              <w:pStyle w:val="TableParagraph"/>
              <w:spacing w:line="202" w:lineRule="exact"/>
              <w:ind w:left="537" w:right="0"/>
              <w:jc w:val="left"/>
              <w:rPr>
                <w:rFonts w:ascii="宋体" w:hAnsi="宋体" w:cs="宋体" w:eastAsia="宋体" w:hint="default"/>
                <w:sz w:val="16"/>
                <w:szCs w:val="16"/>
              </w:rPr>
            </w:pPr>
            <w:r>
              <w:rPr>
                <w:rFonts w:ascii="宋体" w:hAnsi="宋体" w:cs="宋体" w:eastAsia="宋体" w:hint="default"/>
                <w:sz w:val="16"/>
                <w:szCs w:val="16"/>
              </w:rPr>
              <w:t>（利润）及所得税</w:t>
            </w:r>
          </w:p>
        </w:tc>
        <w:tc>
          <w:tcPr>
            <w:tcW w:w="300" w:type="dxa"/>
            <w:tcBorders>
              <w:top w:val="nil" w:sz="6" w:space="0" w:color="auto"/>
              <w:left w:val="nil" w:sz="6" w:space="0" w:color="auto"/>
              <w:bottom w:val="nil" w:sz="6" w:space="0" w:color="auto"/>
              <w:right w:val="nil" w:sz="6" w:space="0" w:color="auto"/>
            </w:tcBorders>
          </w:tcPr>
          <w:p>
            <w:pP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left="134" w:right="0"/>
              <w:jc w:val="center"/>
              <w:rPr>
                <w:rFonts w:ascii="Arial" w:hAnsi="Arial" w:cs="Arial" w:eastAsia="Arial" w:hint="default"/>
                <w:sz w:val="16"/>
                <w:szCs w:val="16"/>
              </w:rPr>
            </w:pPr>
            <w:r>
              <w:rPr>
                <w:rFonts w:ascii="Arial"/>
                <w:sz w:val="16"/>
              </w:rPr>
              <w:t>(92)</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left="357" w:right="0"/>
              <w:jc w:val="left"/>
              <w:rPr>
                <w:rFonts w:ascii="Arial" w:hAnsi="Arial" w:cs="Arial" w:eastAsia="Arial" w:hint="default"/>
                <w:sz w:val="16"/>
                <w:szCs w:val="16"/>
              </w:rPr>
            </w:pPr>
            <w:r>
              <w:rPr>
                <w:rFonts w:ascii="Arial"/>
                <w:sz w:val="16"/>
              </w:rPr>
              <w:t>(37)</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left="523" w:right="0"/>
              <w:jc w:val="left"/>
              <w:rPr>
                <w:rFonts w:ascii="Arial" w:hAnsi="Arial" w:cs="Arial" w:eastAsia="Arial" w:hint="default"/>
                <w:sz w:val="16"/>
                <w:szCs w:val="16"/>
              </w:rPr>
            </w:pPr>
            <w:r>
              <w:rPr>
                <w:rFonts w:ascii="Arial"/>
                <w:sz w:val="16"/>
              </w:rPr>
              <w:t>90</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right="97"/>
              <w:jc w:val="right"/>
              <w:rPr>
                <w:rFonts w:ascii="Arial" w:hAnsi="Arial" w:cs="Arial" w:eastAsia="Arial" w:hint="default"/>
                <w:sz w:val="16"/>
                <w:szCs w:val="16"/>
              </w:rPr>
            </w:pPr>
            <w:r>
              <w:rPr>
                <w:rFonts w:ascii="Arial"/>
                <w:w w:val="95"/>
                <w:sz w:val="16"/>
              </w:rPr>
              <w:t>181</w:t>
            </w:r>
            <w:r>
              <w:rPr>
                <w:rFonts w:ascii="Arial"/>
                <w:sz w:val="16"/>
              </w:rPr>
            </w:r>
          </w:p>
        </w:tc>
      </w:tr>
      <w:tr>
        <w:trPr>
          <w:trHeight w:val="299" w:hRule="exact"/>
        </w:trPr>
        <w:tc>
          <w:tcPr>
            <w:tcW w:w="4572" w:type="dxa"/>
            <w:tcBorders>
              <w:top w:val="nil" w:sz="6" w:space="0" w:color="auto"/>
              <w:left w:val="nil" w:sz="6" w:space="0" w:color="auto"/>
              <w:bottom w:val="nil" w:sz="6" w:space="0" w:color="auto"/>
              <w:right w:val="nil" w:sz="6" w:space="0" w:color="auto"/>
            </w:tcBorders>
          </w:tcPr>
          <w:p>
            <w:pPr>
              <w:pStyle w:val="TableParagraph"/>
              <w:spacing w:line="172" w:lineRule="exact"/>
              <w:ind w:left="340" w:right="0"/>
              <w:jc w:val="left"/>
              <w:rPr>
                <w:rFonts w:ascii="宋体" w:hAnsi="宋体" w:cs="宋体" w:eastAsia="宋体" w:hint="default"/>
                <w:sz w:val="16"/>
                <w:szCs w:val="16"/>
              </w:rPr>
            </w:pPr>
            <w:r>
              <w:rPr>
                <w:rFonts w:ascii="宋体" w:hAnsi="宋体" w:cs="宋体" w:eastAsia="宋体" w:hint="default"/>
                <w:sz w:val="16"/>
                <w:szCs w:val="16"/>
              </w:rPr>
              <w:t>本公司宣派股利</w:t>
            </w:r>
          </w:p>
        </w:tc>
        <w:tc>
          <w:tcPr>
            <w:tcW w:w="300" w:type="dxa"/>
            <w:tcBorders>
              <w:top w:val="nil" w:sz="6" w:space="0" w:color="auto"/>
              <w:left w:val="nil" w:sz="6" w:space="0" w:color="auto"/>
              <w:bottom w:val="nil" w:sz="6" w:space="0" w:color="auto"/>
              <w:right w:val="nil" w:sz="6" w:space="0" w:color="auto"/>
            </w:tcBorders>
          </w:tcPr>
          <w:p>
            <w:pP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95" w:right="0"/>
              <w:jc w:val="center"/>
              <w:rPr>
                <w:rFonts w:ascii="Arial" w:hAnsi="Arial" w:cs="Arial" w:eastAsia="Arial" w:hint="default"/>
                <w:sz w:val="16"/>
                <w:szCs w:val="16"/>
              </w:rPr>
            </w:pPr>
            <w:r>
              <w:rPr>
                <w:rFonts w:ascii="Arial"/>
                <w:w w:val="98"/>
                <w:sz w:val="16"/>
              </w:rPr>
              <w:t>-</w:t>
            </w:r>
            <w:r>
              <w:rPr>
                <w:rFonts w:ascii="Arial"/>
                <w:sz w:val="16"/>
              </w:rPr>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4"/>
              <w:jc w:val="right"/>
              <w:rPr>
                <w:rFonts w:ascii="Arial" w:hAnsi="Arial" w:cs="Arial" w:eastAsia="Arial" w:hint="default"/>
                <w:sz w:val="16"/>
                <w:szCs w:val="16"/>
              </w:rPr>
            </w:pPr>
            <w:r>
              <w:rPr>
                <w:rFonts w:ascii="Arial"/>
                <w:w w:val="98"/>
                <w:sz w:val="16"/>
              </w:rPr>
              <w:t>-</w:t>
            </w:r>
            <w:r>
              <w:rPr>
                <w:rFonts w:ascii="Arial"/>
                <w:sz w:val="16"/>
              </w:rPr>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1" w:right="0"/>
              <w:jc w:val="left"/>
              <w:rPr>
                <w:rFonts w:ascii="Arial" w:hAnsi="Arial" w:cs="Arial" w:eastAsia="Arial" w:hint="default"/>
                <w:sz w:val="16"/>
                <w:szCs w:val="16"/>
              </w:rPr>
            </w:pPr>
            <w:r>
              <w:rPr>
                <w:rFonts w:ascii="Arial"/>
                <w:sz w:val="16"/>
              </w:rPr>
              <w:t>16,515</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13" w:right="0"/>
              <w:jc w:val="left"/>
              <w:rPr>
                <w:rFonts w:ascii="Arial" w:hAnsi="Arial" w:cs="Arial" w:eastAsia="Arial" w:hint="default"/>
                <w:sz w:val="16"/>
                <w:szCs w:val="16"/>
              </w:rPr>
            </w:pPr>
            <w:r>
              <w:rPr>
                <w:rFonts w:ascii="Arial"/>
                <w:sz w:val="16"/>
              </w:rPr>
              <w:t>14,861</w:t>
            </w:r>
          </w:p>
        </w:tc>
      </w:tr>
      <w:tr>
        <w:trPr>
          <w:trHeight w:val="300" w:hRule="exact"/>
        </w:trPr>
        <w:tc>
          <w:tcPr>
            <w:tcW w:w="4572"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4" w:right="0"/>
              <w:jc w:val="left"/>
              <w:rPr>
                <w:rFonts w:ascii="宋体" w:hAnsi="宋体" w:cs="宋体" w:eastAsia="宋体" w:hint="default"/>
                <w:sz w:val="16"/>
                <w:szCs w:val="16"/>
              </w:rPr>
            </w:pPr>
            <w:r>
              <w:rPr>
                <w:rFonts w:ascii="宋体" w:hAnsi="宋体" w:cs="宋体" w:eastAsia="宋体" w:hint="default"/>
                <w:sz w:val="16"/>
                <w:szCs w:val="16"/>
              </w:rPr>
              <w:t>减：本公司其他四家发起单位注资</w:t>
            </w:r>
          </w:p>
        </w:tc>
        <w:tc>
          <w:tcPr>
            <w:tcW w:w="300" w:type="dxa"/>
            <w:tcBorders>
              <w:top w:val="nil" w:sz="6" w:space="0" w:color="auto"/>
              <w:left w:val="nil" w:sz="6" w:space="0" w:color="auto"/>
              <w:bottom w:val="nil" w:sz="6" w:space="0" w:color="auto"/>
              <w:right w:val="nil" w:sz="6" w:space="0" w:color="auto"/>
            </w:tcBorders>
          </w:tcPr>
          <w:p>
            <w:pP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84"/>
              <w:ind w:left="295" w:right="0"/>
              <w:jc w:val="center"/>
              <w:rPr>
                <w:rFonts w:ascii="Arial" w:hAnsi="Arial" w:cs="Arial" w:eastAsia="Arial" w:hint="default"/>
                <w:sz w:val="16"/>
                <w:szCs w:val="16"/>
              </w:rPr>
            </w:pPr>
            <w:r>
              <w:rPr>
                <w:rFonts w:ascii="Arial"/>
                <w:w w:val="98"/>
                <w:sz w:val="16"/>
              </w:rPr>
              <w:t>-</w:t>
            </w:r>
            <w:r>
              <w:rPr>
                <w:rFonts w:ascii="Arial"/>
                <w:sz w:val="16"/>
              </w:rPr>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14"/>
              <w:jc w:val="right"/>
              <w:rPr>
                <w:rFonts w:ascii="Arial" w:hAnsi="Arial" w:cs="Arial" w:eastAsia="Arial" w:hint="default"/>
                <w:sz w:val="16"/>
                <w:szCs w:val="16"/>
              </w:rPr>
            </w:pPr>
            <w:r>
              <w:rPr>
                <w:rFonts w:ascii="Arial"/>
                <w:w w:val="98"/>
                <w:sz w:val="16"/>
              </w:rPr>
              <w:t>-</w:t>
            </w:r>
            <w:r>
              <w:rPr>
                <w:rFonts w:ascii="Arial"/>
                <w:sz w:val="16"/>
              </w:rPr>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84"/>
              <w:ind w:left="547" w:right="0"/>
              <w:jc w:val="left"/>
              <w:rPr>
                <w:rFonts w:ascii="Arial" w:hAnsi="Arial" w:cs="Arial" w:eastAsia="Arial" w:hint="default"/>
                <w:sz w:val="16"/>
                <w:szCs w:val="16"/>
              </w:rPr>
            </w:pPr>
            <w:r>
              <w:rPr>
                <w:rFonts w:ascii="Arial"/>
                <w:sz w:val="16"/>
              </w:rPr>
              <w:t>(4)</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
              <w:jc w:val="right"/>
              <w:rPr>
                <w:rFonts w:ascii="Arial" w:hAnsi="Arial" w:cs="Arial" w:eastAsia="Arial" w:hint="default"/>
                <w:sz w:val="16"/>
                <w:szCs w:val="16"/>
              </w:rPr>
            </w:pPr>
            <w:r>
              <w:rPr>
                <w:rFonts w:ascii="Arial"/>
                <w:spacing w:val="-2"/>
                <w:sz w:val="16"/>
              </w:rPr>
              <w:t>(4)</w:t>
            </w:r>
            <w:r>
              <w:rPr>
                <w:rFonts w:ascii="Arial"/>
                <w:sz w:val="16"/>
              </w:rPr>
            </w:r>
          </w:p>
        </w:tc>
      </w:tr>
      <w:tr>
        <w:trPr>
          <w:trHeight w:val="195" w:hRule="exact"/>
        </w:trPr>
        <w:tc>
          <w:tcPr>
            <w:tcW w:w="4572" w:type="dxa"/>
            <w:tcBorders>
              <w:top w:val="nil" w:sz="6" w:space="0" w:color="auto"/>
              <w:left w:val="nil" w:sz="6" w:space="0" w:color="auto"/>
              <w:bottom w:val="nil" w:sz="6" w:space="0" w:color="auto"/>
              <w:right w:val="nil" w:sz="6" w:space="0" w:color="auto"/>
            </w:tcBorders>
          </w:tcPr>
          <w:p>
            <w:pPr>
              <w:pStyle w:val="TableParagraph"/>
              <w:spacing w:line="172" w:lineRule="exact"/>
              <w:ind w:left="340" w:right="0"/>
              <w:jc w:val="left"/>
              <w:rPr>
                <w:rFonts w:ascii="宋体" w:hAnsi="宋体" w:cs="宋体" w:eastAsia="宋体" w:hint="default"/>
                <w:sz w:val="16"/>
                <w:szCs w:val="16"/>
              </w:rPr>
            </w:pPr>
            <w:r>
              <w:rPr>
                <w:rFonts w:ascii="宋体" w:hAnsi="宋体" w:cs="宋体" w:eastAsia="宋体" w:hint="default"/>
                <w:sz w:val="16"/>
                <w:szCs w:val="16"/>
              </w:rPr>
              <w:t>申购资金于冻结期间的利息收入</w:t>
            </w:r>
          </w:p>
        </w:tc>
        <w:tc>
          <w:tcPr>
            <w:tcW w:w="300" w:type="dxa"/>
            <w:tcBorders>
              <w:top w:val="nil" w:sz="6" w:space="0" w:color="auto"/>
              <w:left w:val="nil" w:sz="6" w:space="0" w:color="auto"/>
              <w:bottom w:val="nil" w:sz="6" w:space="0" w:color="auto"/>
              <w:right w:val="nil" w:sz="6" w:space="0" w:color="auto"/>
            </w:tcBorders>
          </w:tcPr>
          <w:p>
            <w:pPr/>
          </w:p>
        </w:tc>
        <w:tc>
          <w:tcPr>
            <w:tcW w:w="1409" w:type="dxa"/>
            <w:tcBorders>
              <w:top w:val="nil" w:sz="6" w:space="0" w:color="auto"/>
              <w:left w:val="nil" w:sz="6" w:space="0" w:color="auto"/>
              <w:bottom w:val="nil" w:sz="6" w:space="0" w:color="auto"/>
              <w:right w:val="nil" w:sz="6" w:space="0" w:color="auto"/>
            </w:tcBorders>
          </w:tcPr>
          <w:p>
            <w:pPr>
              <w:pStyle w:val="TableParagraph"/>
              <w:spacing w:line="174" w:lineRule="exact"/>
              <w:ind w:left="295" w:right="0"/>
              <w:jc w:val="center"/>
              <w:rPr>
                <w:rFonts w:ascii="Arial" w:hAnsi="Arial" w:cs="Arial" w:eastAsia="Arial" w:hint="default"/>
                <w:sz w:val="16"/>
                <w:szCs w:val="16"/>
              </w:rPr>
            </w:pPr>
            <w:r>
              <w:rPr>
                <w:rFonts w:ascii="Arial"/>
                <w:w w:val="98"/>
                <w:sz w:val="16"/>
              </w:rPr>
              <w:t>-</w:t>
            </w:r>
            <w:r>
              <w:rPr>
                <w:rFonts w:ascii="Arial"/>
                <w:sz w:val="16"/>
              </w:rPr>
            </w:r>
          </w:p>
        </w:tc>
        <w:tc>
          <w:tcPr>
            <w:tcW w:w="818" w:type="dxa"/>
            <w:tcBorders>
              <w:top w:val="nil" w:sz="6" w:space="0" w:color="auto"/>
              <w:left w:val="nil" w:sz="6" w:space="0" w:color="auto"/>
              <w:bottom w:val="nil" w:sz="6" w:space="0" w:color="auto"/>
              <w:right w:val="nil" w:sz="6" w:space="0" w:color="auto"/>
            </w:tcBorders>
          </w:tcPr>
          <w:p>
            <w:pPr>
              <w:pStyle w:val="TableParagraph"/>
              <w:spacing w:line="174" w:lineRule="exact"/>
              <w:ind w:right="214"/>
              <w:jc w:val="right"/>
              <w:rPr>
                <w:rFonts w:ascii="Arial" w:hAnsi="Arial" w:cs="Arial" w:eastAsia="Arial" w:hint="default"/>
                <w:sz w:val="16"/>
                <w:szCs w:val="16"/>
              </w:rPr>
            </w:pPr>
            <w:r>
              <w:rPr>
                <w:rFonts w:ascii="Arial"/>
                <w:w w:val="98"/>
                <w:sz w:val="16"/>
              </w:rPr>
              <w:t>-</w:t>
            </w:r>
            <w:r>
              <w:rPr>
                <w:rFonts w:ascii="Arial"/>
                <w:sz w:val="16"/>
              </w:rPr>
            </w:r>
          </w:p>
        </w:tc>
        <w:tc>
          <w:tcPr>
            <w:tcW w:w="919" w:type="dxa"/>
            <w:tcBorders>
              <w:top w:val="nil" w:sz="6" w:space="0" w:color="auto"/>
              <w:left w:val="nil" w:sz="6" w:space="0" w:color="auto"/>
              <w:bottom w:val="nil" w:sz="6" w:space="0" w:color="auto"/>
              <w:right w:val="nil" w:sz="6" w:space="0" w:color="auto"/>
            </w:tcBorders>
          </w:tcPr>
          <w:p>
            <w:pPr>
              <w:pStyle w:val="TableParagraph"/>
              <w:spacing w:line="174" w:lineRule="exact"/>
              <w:ind w:left="455" w:right="0"/>
              <w:jc w:val="left"/>
              <w:rPr>
                <w:rFonts w:ascii="Arial" w:hAnsi="Arial" w:cs="Arial" w:eastAsia="Arial" w:hint="default"/>
                <w:sz w:val="16"/>
                <w:szCs w:val="16"/>
              </w:rPr>
            </w:pPr>
            <w:r>
              <w:rPr>
                <w:rFonts w:ascii="Arial"/>
                <w:sz w:val="16"/>
              </w:rPr>
              <w:t>(20)</w:t>
            </w:r>
          </w:p>
        </w:tc>
        <w:tc>
          <w:tcPr>
            <w:tcW w:w="799" w:type="dxa"/>
            <w:tcBorders>
              <w:top w:val="nil" w:sz="6" w:space="0" w:color="auto"/>
              <w:left w:val="nil" w:sz="6" w:space="0" w:color="auto"/>
              <w:bottom w:val="nil" w:sz="6" w:space="0" w:color="auto"/>
              <w:right w:val="nil" w:sz="6" w:space="0" w:color="auto"/>
            </w:tcBorders>
          </w:tcPr>
          <w:p>
            <w:pPr>
              <w:pStyle w:val="TableParagraph"/>
              <w:spacing w:line="174" w:lineRule="exact"/>
              <w:ind w:right="9"/>
              <w:jc w:val="right"/>
              <w:rPr>
                <w:rFonts w:ascii="Arial" w:hAnsi="Arial" w:cs="Arial" w:eastAsia="Arial" w:hint="default"/>
                <w:sz w:val="16"/>
                <w:szCs w:val="16"/>
              </w:rPr>
            </w:pPr>
            <w:r>
              <w:rPr>
                <w:rFonts w:ascii="Arial"/>
                <w:spacing w:val="-2"/>
                <w:w w:val="95"/>
                <w:sz w:val="16"/>
              </w:rPr>
              <w:t>(20)</w:t>
            </w:r>
            <w:r>
              <w:rPr>
                <w:rFonts w:ascii="Arial"/>
                <w:sz w:val="16"/>
              </w:rPr>
            </w:r>
          </w:p>
        </w:tc>
      </w:tr>
      <w:tr>
        <w:trPr>
          <w:trHeight w:val="210" w:hRule="exact"/>
        </w:trPr>
        <w:tc>
          <w:tcPr>
            <w:tcW w:w="4572" w:type="dxa"/>
            <w:tcBorders>
              <w:top w:val="nil" w:sz="6" w:space="0" w:color="auto"/>
              <w:left w:val="nil" w:sz="6" w:space="0" w:color="auto"/>
              <w:bottom w:val="nil" w:sz="6" w:space="0" w:color="auto"/>
              <w:right w:val="nil" w:sz="6" w:space="0" w:color="auto"/>
            </w:tcBorders>
          </w:tcPr>
          <w:p>
            <w:pPr>
              <w:pStyle w:val="TableParagraph"/>
              <w:spacing w:line="195" w:lineRule="exact"/>
              <w:ind w:left="355" w:right="0"/>
              <w:jc w:val="left"/>
              <w:rPr>
                <w:rFonts w:ascii="宋体" w:hAnsi="宋体" w:cs="宋体" w:eastAsia="宋体" w:hint="default"/>
                <w:sz w:val="16"/>
                <w:szCs w:val="16"/>
              </w:rPr>
            </w:pPr>
            <w:r>
              <w:rPr>
                <w:rFonts w:ascii="宋体" w:hAnsi="宋体" w:cs="宋体" w:eastAsia="宋体" w:hint="default"/>
                <w:sz w:val="16"/>
                <w:szCs w:val="16"/>
              </w:rPr>
              <w:t>联通</w:t>
            </w:r>
            <w:r>
              <w:rPr>
                <w:rFonts w:ascii="宋体" w:hAnsi="宋体" w:cs="宋体" w:eastAsia="宋体" w:hint="default"/>
                <w:spacing w:val="-44"/>
                <w:sz w:val="16"/>
                <w:szCs w:val="16"/>
              </w:rPr>
              <w:t> </w:t>
            </w:r>
            <w:r>
              <w:rPr>
                <w:rFonts w:ascii="Arial" w:hAnsi="Arial" w:cs="Arial" w:eastAsia="Arial" w:hint="default"/>
                <w:sz w:val="16"/>
                <w:szCs w:val="16"/>
              </w:rPr>
              <w:t>BVI</w:t>
            </w:r>
            <w:r>
              <w:rPr>
                <w:rFonts w:ascii="Arial" w:hAnsi="Arial" w:cs="Arial" w:eastAsia="Arial" w:hint="default"/>
                <w:spacing w:val="-9"/>
                <w:sz w:val="16"/>
                <w:szCs w:val="16"/>
              </w:rPr>
              <w:t> </w:t>
            </w:r>
            <w:r>
              <w:rPr>
                <w:rFonts w:ascii="宋体" w:hAnsi="宋体" w:cs="宋体" w:eastAsia="宋体" w:hint="default"/>
                <w:sz w:val="16"/>
                <w:szCs w:val="16"/>
              </w:rPr>
              <w:t>公司宣派股利</w:t>
            </w:r>
          </w:p>
        </w:tc>
        <w:tc>
          <w:tcPr>
            <w:tcW w:w="300" w:type="dxa"/>
            <w:tcBorders>
              <w:top w:val="nil" w:sz="6" w:space="0" w:color="auto"/>
              <w:left w:val="nil" w:sz="6" w:space="0" w:color="auto"/>
              <w:bottom w:val="nil" w:sz="6" w:space="0" w:color="auto"/>
              <w:right w:val="nil" w:sz="6" w:space="0" w:color="auto"/>
            </w:tcBorders>
          </w:tcPr>
          <w:p>
            <w:pP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1"/>
              <w:ind w:left="295" w:right="0"/>
              <w:jc w:val="center"/>
              <w:rPr>
                <w:rFonts w:ascii="Arial" w:hAnsi="Arial" w:cs="Arial" w:eastAsia="Arial" w:hint="default"/>
                <w:sz w:val="16"/>
                <w:szCs w:val="16"/>
              </w:rPr>
            </w:pPr>
            <w:r>
              <w:rPr>
                <w:rFonts w:ascii="Arial"/>
                <w:w w:val="98"/>
                <w:sz w:val="16"/>
              </w:rPr>
              <w:t>-</w:t>
            </w:r>
            <w:r>
              <w:rPr>
                <w:rFonts w:ascii="Arial"/>
                <w:sz w:val="16"/>
              </w:rPr>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214"/>
              <w:jc w:val="right"/>
              <w:rPr>
                <w:rFonts w:ascii="Arial" w:hAnsi="Arial" w:cs="Arial" w:eastAsia="Arial" w:hint="default"/>
                <w:sz w:val="16"/>
                <w:szCs w:val="16"/>
              </w:rPr>
            </w:pPr>
            <w:r>
              <w:rPr>
                <w:rFonts w:ascii="Arial"/>
                <w:w w:val="98"/>
                <w:sz w:val="16"/>
              </w:rPr>
              <w:t>-</w:t>
            </w:r>
            <w:r>
              <w:rPr>
                <w:rFonts w:ascii="Arial"/>
                <w:sz w:val="16"/>
              </w:rPr>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1"/>
              <w:ind w:left="143" w:right="0"/>
              <w:jc w:val="left"/>
              <w:rPr>
                <w:rFonts w:ascii="Arial" w:hAnsi="Arial" w:cs="Arial" w:eastAsia="Arial" w:hint="default"/>
                <w:sz w:val="16"/>
                <w:szCs w:val="16"/>
              </w:rPr>
            </w:pPr>
            <w:r>
              <w:rPr>
                <w:rFonts w:ascii="Arial"/>
                <w:sz w:val="16"/>
              </w:rPr>
              <w:t>(18,049)</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9"/>
              <w:jc w:val="right"/>
              <w:rPr>
                <w:rFonts w:ascii="Arial" w:hAnsi="Arial" w:cs="Arial" w:eastAsia="Arial" w:hint="default"/>
                <w:sz w:val="16"/>
                <w:szCs w:val="16"/>
              </w:rPr>
            </w:pPr>
            <w:r>
              <w:rPr>
                <w:rFonts w:ascii="Arial"/>
                <w:spacing w:val="-1"/>
                <w:w w:val="95"/>
                <w:sz w:val="16"/>
              </w:rPr>
              <w:t>(16,247)</w:t>
            </w:r>
            <w:r>
              <w:rPr>
                <w:rFonts w:ascii="Arial"/>
                <w:sz w:val="16"/>
              </w:rPr>
            </w:r>
          </w:p>
        </w:tc>
      </w:tr>
      <w:tr>
        <w:trPr>
          <w:trHeight w:val="209" w:hRule="exact"/>
        </w:trPr>
        <w:tc>
          <w:tcPr>
            <w:tcW w:w="4572" w:type="dxa"/>
            <w:tcBorders>
              <w:top w:val="nil" w:sz="6" w:space="0" w:color="auto"/>
              <w:left w:val="nil" w:sz="6" w:space="0" w:color="auto"/>
              <w:bottom w:val="nil" w:sz="6" w:space="0" w:color="auto"/>
              <w:right w:val="nil" w:sz="6" w:space="0" w:color="auto"/>
            </w:tcBorders>
          </w:tcPr>
          <w:p>
            <w:pPr>
              <w:pStyle w:val="TableParagraph"/>
              <w:spacing w:line="191" w:lineRule="exact"/>
              <w:ind w:left="355" w:right="0"/>
              <w:jc w:val="left"/>
              <w:rPr>
                <w:rFonts w:ascii="宋体" w:hAnsi="宋体" w:cs="宋体" w:eastAsia="宋体" w:hint="default"/>
                <w:sz w:val="16"/>
                <w:szCs w:val="16"/>
              </w:rPr>
            </w:pPr>
            <w:r>
              <w:rPr>
                <w:rFonts w:ascii="宋体" w:hAnsi="宋体" w:cs="宋体" w:eastAsia="宋体" w:hint="default"/>
                <w:sz w:val="16"/>
                <w:szCs w:val="16"/>
              </w:rPr>
              <w:t>联通</w:t>
            </w:r>
            <w:r>
              <w:rPr>
                <w:rFonts w:ascii="宋体" w:hAnsi="宋体" w:cs="宋体" w:eastAsia="宋体" w:hint="default"/>
                <w:spacing w:val="-46"/>
                <w:sz w:val="16"/>
                <w:szCs w:val="16"/>
              </w:rPr>
              <w:t> </w:t>
            </w:r>
            <w:r>
              <w:rPr>
                <w:rFonts w:ascii="Arial" w:hAnsi="Arial" w:cs="Arial" w:eastAsia="Arial" w:hint="default"/>
                <w:sz w:val="16"/>
                <w:szCs w:val="16"/>
              </w:rPr>
              <w:t>BVI</w:t>
            </w:r>
            <w:r>
              <w:rPr>
                <w:rFonts w:ascii="Arial" w:hAnsi="Arial" w:cs="Arial" w:eastAsia="Arial" w:hint="default"/>
                <w:spacing w:val="-11"/>
                <w:sz w:val="16"/>
                <w:szCs w:val="16"/>
              </w:rPr>
              <w:t> </w:t>
            </w:r>
            <w:r>
              <w:rPr>
                <w:rFonts w:ascii="宋体" w:hAnsi="宋体" w:cs="宋体" w:eastAsia="宋体" w:hint="default"/>
                <w:sz w:val="16"/>
                <w:szCs w:val="16"/>
              </w:rPr>
              <w:t>公司留存的联通红筹公司宣派的股利</w:t>
            </w:r>
          </w:p>
        </w:tc>
        <w:tc>
          <w:tcPr>
            <w:tcW w:w="300" w:type="dxa"/>
            <w:tcBorders>
              <w:top w:val="nil" w:sz="6" w:space="0" w:color="auto"/>
              <w:left w:val="nil" w:sz="6" w:space="0" w:color="auto"/>
              <w:bottom w:val="nil" w:sz="6" w:space="0" w:color="auto"/>
              <w:right w:val="nil" w:sz="6" w:space="0" w:color="auto"/>
            </w:tcBorders>
          </w:tcPr>
          <w:p>
            <w:pPr/>
          </w:p>
        </w:tc>
        <w:tc>
          <w:tcPr>
            <w:tcW w:w="1409" w:type="dxa"/>
            <w:tcBorders>
              <w:top w:val="nil" w:sz="6" w:space="0" w:color="auto"/>
              <w:left w:val="nil" w:sz="6" w:space="0" w:color="auto"/>
              <w:bottom w:val="nil" w:sz="6" w:space="0" w:color="auto"/>
              <w:right w:val="nil" w:sz="6" w:space="0" w:color="auto"/>
            </w:tcBorders>
          </w:tcPr>
          <w:p>
            <w:pPr>
              <w:pStyle w:val="TableParagraph"/>
              <w:spacing w:line="181" w:lineRule="exact"/>
              <w:ind w:left="295" w:right="0"/>
              <w:jc w:val="center"/>
              <w:rPr>
                <w:rFonts w:ascii="Arial" w:hAnsi="Arial" w:cs="Arial" w:eastAsia="Arial" w:hint="default"/>
                <w:sz w:val="16"/>
                <w:szCs w:val="16"/>
              </w:rPr>
            </w:pPr>
            <w:r>
              <w:rPr>
                <w:rFonts w:ascii="Arial"/>
                <w:w w:val="98"/>
                <w:sz w:val="16"/>
              </w:rPr>
              <w:t>-</w:t>
            </w:r>
            <w:r>
              <w:rPr>
                <w:rFonts w:ascii="Arial"/>
                <w:sz w:val="16"/>
              </w:rPr>
            </w:r>
          </w:p>
        </w:tc>
        <w:tc>
          <w:tcPr>
            <w:tcW w:w="818" w:type="dxa"/>
            <w:tcBorders>
              <w:top w:val="nil" w:sz="6" w:space="0" w:color="auto"/>
              <w:left w:val="nil" w:sz="6" w:space="0" w:color="auto"/>
              <w:bottom w:val="nil" w:sz="6" w:space="0" w:color="auto"/>
              <w:right w:val="nil" w:sz="6" w:space="0" w:color="auto"/>
            </w:tcBorders>
          </w:tcPr>
          <w:p>
            <w:pPr>
              <w:pStyle w:val="TableParagraph"/>
              <w:spacing w:line="181" w:lineRule="exact"/>
              <w:ind w:right="214"/>
              <w:jc w:val="right"/>
              <w:rPr>
                <w:rFonts w:ascii="Arial" w:hAnsi="Arial" w:cs="Arial" w:eastAsia="Arial" w:hint="default"/>
                <w:sz w:val="16"/>
                <w:szCs w:val="16"/>
              </w:rPr>
            </w:pPr>
            <w:r>
              <w:rPr>
                <w:rFonts w:ascii="Arial"/>
                <w:w w:val="98"/>
                <w:sz w:val="16"/>
              </w:rPr>
              <w:t>-</w:t>
            </w:r>
            <w:r>
              <w:rPr>
                <w:rFonts w:ascii="Arial"/>
                <w:sz w:val="16"/>
              </w:rPr>
            </w:r>
          </w:p>
        </w:tc>
        <w:tc>
          <w:tcPr>
            <w:tcW w:w="919" w:type="dxa"/>
            <w:tcBorders>
              <w:top w:val="nil" w:sz="6" w:space="0" w:color="auto"/>
              <w:left w:val="nil" w:sz="6" w:space="0" w:color="auto"/>
              <w:bottom w:val="nil" w:sz="6" w:space="0" w:color="auto"/>
              <w:right w:val="nil" w:sz="6" w:space="0" w:color="auto"/>
            </w:tcBorders>
          </w:tcPr>
          <w:p>
            <w:pPr>
              <w:pStyle w:val="TableParagraph"/>
              <w:spacing w:line="181" w:lineRule="exact"/>
              <w:ind w:left="455" w:right="0"/>
              <w:jc w:val="left"/>
              <w:rPr>
                <w:rFonts w:ascii="Arial" w:hAnsi="Arial" w:cs="Arial" w:eastAsia="Arial" w:hint="default"/>
                <w:sz w:val="16"/>
                <w:szCs w:val="16"/>
              </w:rPr>
            </w:pPr>
            <w:r>
              <w:rPr>
                <w:rFonts w:ascii="Arial"/>
                <w:sz w:val="16"/>
              </w:rPr>
              <w:t>(26)</w:t>
            </w:r>
          </w:p>
        </w:tc>
        <w:tc>
          <w:tcPr>
            <w:tcW w:w="799" w:type="dxa"/>
            <w:tcBorders>
              <w:top w:val="nil" w:sz="6" w:space="0" w:color="auto"/>
              <w:left w:val="nil" w:sz="6" w:space="0" w:color="auto"/>
              <w:bottom w:val="nil" w:sz="6" w:space="0" w:color="auto"/>
              <w:right w:val="nil" w:sz="6" w:space="0" w:color="auto"/>
            </w:tcBorders>
          </w:tcPr>
          <w:p>
            <w:pPr>
              <w:pStyle w:val="TableParagraph"/>
              <w:spacing w:line="181" w:lineRule="exact"/>
              <w:ind w:right="9"/>
              <w:jc w:val="right"/>
              <w:rPr>
                <w:rFonts w:ascii="Arial" w:hAnsi="Arial" w:cs="Arial" w:eastAsia="Arial" w:hint="default"/>
                <w:sz w:val="16"/>
                <w:szCs w:val="16"/>
              </w:rPr>
            </w:pPr>
            <w:r>
              <w:rPr>
                <w:rFonts w:ascii="Arial"/>
                <w:spacing w:val="-2"/>
                <w:w w:val="95"/>
                <w:sz w:val="16"/>
              </w:rPr>
              <w:t>(26)</w:t>
            </w:r>
            <w:r>
              <w:rPr>
                <w:rFonts w:ascii="Arial"/>
                <w:sz w:val="16"/>
              </w:rPr>
            </w:r>
          </w:p>
        </w:tc>
      </w:tr>
      <w:tr>
        <w:trPr>
          <w:trHeight w:val="215" w:hRule="exact"/>
        </w:trPr>
        <w:tc>
          <w:tcPr>
            <w:tcW w:w="4572" w:type="dxa"/>
            <w:tcBorders>
              <w:top w:val="nil" w:sz="6" w:space="0" w:color="auto"/>
              <w:left w:val="nil" w:sz="6" w:space="0" w:color="auto"/>
              <w:bottom w:val="nil" w:sz="6" w:space="0" w:color="auto"/>
              <w:right w:val="nil" w:sz="6" w:space="0" w:color="auto"/>
            </w:tcBorders>
          </w:tcPr>
          <w:p>
            <w:pPr>
              <w:pStyle w:val="TableParagraph"/>
              <w:spacing w:line="182" w:lineRule="exact"/>
              <w:ind w:left="355" w:right="0"/>
              <w:jc w:val="left"/>
              <w:rPr>
                <w:rFonts w:ascii="宋体" w:hAnsi="宋体" w:cs="宋体" w:eastAsia="宋体" w:hint="default"/>
                <w:sz w:val="16"/>
                <w:szCs w:val="16"/>
              </w:rPr>
            </w:pPr>
            <w:r>
              <w:rPr>
                <w:rFonts w:ascii="宋体" w:hAnsi="宋体" w:cs="宋体" w:eastAsia="宋体" w:hint="default"/>
                <w:sz w:val="16"/>
                <w:szCs w:val="16"/>
              </w:rPr>
              <w:t>股东投入资本差异</w:t>
            </w:r>
          </w:p>
        </w:tc>
        <w:tc>
          <w:tcPr>
            <w:tcW w:w="300" w:type="dxa"/>
            <w:tcBorders>
              <w:top w:val="nil" w:sz="6" w:space="0" w:color="auto"/>
              <w:left w:val="nil" w:sz="6" w:space="0" w:color="auto"/>
              <w:bottom w:val="nil" w:sz="6" w:space="0" w:color="auto"/>
              <w:right w:val="nil" w:sz="6" w:space="0" w:color="auto"/>
            </w:tcBorders>
          </w:tcPr>
          <w:p>
            <w:pPr/>
          </w:p>
        </w:tc>
        <w:tc>
          <w:tcPr>
            <w:tcW w:w="1409" w:type="dxa"/>
            <w:tcBorders>
              <w:top w:val="nil" w:sz="6" w:space="0" w:color="auto"/>
              <w:left w:val="nil" w:sz="6" w:space="0" w:color="auto"/>
              <w:bottom w:val="single" w:sz="6" w:space="0" w:color="000000"/>
              <w:right w:val="nil" w:sz="6" w:space="0" w:color="auto"/>
            </w:tcBorders>
          </w:tcPr>
          <w:p>
            <w:pPr>
              <w:pStyle w:val="TableParagraph"/>
              <w:spacing w:line="240" w:lineRule="auto"/>
              <w:ind w:left="295" w:right="0"/>
              <w:jc w:val="center"/>
              <w:rPr>
                <w:rFonts w:ascii="Arial" w:hAnsi="Arial" w:cs="Arial" w:eastAsia="Arial" w:hint="default"/>
                <w:sz w:val="16"/>
                <w:szCs w:val="16"/>
              </w:rPr>
            </w:pPr>
            <w:r>
              <w:rPr>
                <w:rFonts w:ascii="Arial"/>
                <w:w w:val="98"/>
                <w:sz w:val="16"/>
              </w:rPr>
              <w:t>-</w:t>
            </w:r>
            <w:r>
              <w:rPr>
                <w:rFonts w:ascii="Arial"/>
                <w:sz w:val="16"/>
              </w:rPr>
            </w:r>
          </w:p>
        </w:tc>
        <w:tc>
          <w:tcPr>
            <w:tcW w:w="818" w:type="dxa"/>
            <w:tcBorders>
              <w:top w:val="nil" w:sz="6" w:space="0" w:color="auto"/>
              <w:left w:val="nil" w:sz="6" w:space="0" w:color="auto"/>
              <w:bottom w:val="single" w:sz="6" w:space="0" w:color="000000"/>
              <w:right w:val="nil" w:sz="6" w:space="0" w:color="auto"/>
            </w:tcBorders>
          </w:tcPr>
          <w:p>
            <w:pPr>
              <w:pStyle w:val="TableParagraph"/>
              <w:spacing w:line="240" w:lineRule="auto"/>
              <w:ind w:right="214"/>
              <w:jc w:val="right"/>
              <w:rPr>
                <w:rFonts w:ascii="Arial" w:hAnsi="Arial" w:cs="Arial" w:eastAsia="Arial" w:hint="default"/>
                <w:sz w:val="16"/>
                <w:szCs w:val="16"/>
              </w:rPr>
            </w:pPr>
            <w:r>
              <w:rPr>
                <w:rFonts w:ascii="Arial"/>
                <w:w w:val="98"/>
                <w:sz w:val="16"/>
              </w:rPr>
              <w:t>-</w:t>
            </w:r>
            <w:r>
              <w:rPr>
                <w:rFonts w:ascii="Arial"/>
                <w:sz w:val="16"/>
              </w:rPr>
            </w:r>
          </w:p>
        </w:tc>
        <w:tc>
          <w:tcPr>
            <w:tcW w:w="919" w:type="dxa"/>
            <w:tcBorders>
              <w:top w:val="nil" w:sz="6" w:space="0" w:color="auto"/>
              <w:left w:val="nil" w:sz="6" w:space="0" w:color="auto"/>
              <w:bottom w:val="single" w:sz="6" w:space="0" w:color="000000"/>
              <w:right w:val="nil" w:sz="6" w:space="0" w:color="auto"/>
            </w:tcBorders>
          </w:tcPr>
          <w:p>
            <w:pPr>
              <w:pStyle w:val="TableParagraph"/>
              <w:spacing w:line="240" w:lineRule="auto" w:before="24"/>
              <w:ind w:right="216"/>
              <w:jc w:val="right"/>
              <w:rPr>
                <w:rFonts w:ascii="Arial" w:hAnsi="Arial" w:cs="Arial" w:eastAsia="Arial" w:hint="default"/>
                <w:sz w:val="16"/>
                <w:szCs w:val="16"/>
              </w:rPr>
            </w:pPr>
            <w:r>
              <w:rPr>
                <w:rFonts w:ascii="Arial"/>
                <w:w w:val="98"/>
                <w:sz w:val="16"/>
              </w:rPr>
              <w:t>-</w:t>
            </w:r>
            <w:r>
              <w:rPr>
                <w:rFonts w:ascii="Arial"/>
                <w:sz w:val="16"/>
              </w:rPr>
            </w:r>
          </w:p>
        </w:tc>
        <w:tc>
          <w:tcPr>
            <w:tcW w:w="799" w:type="dxa"/>
            <w:tcBorders>
              <w:top w:val="nil" w:sz="6" w:space="0" w:color="auto"/>
              <w:left w:val="nil" w:sz="6" w:space="0" w:color="auto"/>
              <w:bottom w:val="single" w:sz="6" w:space="0" w:color="000000"/>
              <w:right w:val="nil" w:sz="6" w:space="0" w:color="auto"/>
            </w:tcBorders>
          </w:tcPr>
          <w:p>
            <w:pPr>
              <w:pStyle w:val="TableParagraph"/>
              <w:spacing w:line="240" w:lineRule="auto" w:before="24"/>
              <w:ind w:right="94"/>
              <w:jc w:val="right"/>
              <w:rPr>
                <w:rFonts w:ascii="Arial" w:hAnsi="Arial" w:cs="Arial" w:eastAsia="Arial" w:hint="default"/>
                <w:sz w:val="16"/>
                <w:szCs w:val="16"/>
              </w:rPr>
            </w:pPr>
            <w:r>
              <w:rPr>
                <w:rFonts w:ascii="Arial"/>
                <w:w w:val="98"/>
                <w:sz w:val="16"/>
              </w:rPr>
              <w:t>-</w:t>
            </w:r>
            <w:r>
              <w:rPr>
                <w:rFonts w:ascii="Arial"/>
                <w:sz w:val="16"/>
              </w:rPr>
            </w:r>
          </w:p>
        </w:tc>
      </w:tr>
      <w:tr>
        <w:trPr>
          <w:trHeight w:val="408" w:hRule="exact"/>
        </w:trPr>
        <w:tc>
          <w:tcPr>
            <w:tcW w:w="457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6"/>
                <w:szCs w:val="16"/>
              </w:rPr>
            </w:pPr>
            <w:r>
              <w:rPr>
                <w:rFonts w:ascii="宋体" w:hAnsi="宋体" w:cs="宋体" w:eastAsia="宋体" w:hint="default"/>
                <w:sz w:val="16"/>
                <w:szCs w:val="16"/>
              </w:rPr>
              <w:t>联通红筹公司中国会计准则下的净利润</w:t>
            </w:r>
            <w:r>
              <w:rPr>
                <w:rFonts w:ascii="Arial" w:hAnsi="Arial" w:cs="Arial" w:eastAsia="Arial" w:hint="default"/>
                <w:sz w:val="16"/>
                <w:szCs w:val="16"/>
              </w:rPr>
              <w:t>/</w:t>
            </w:r>
            <w:r>
              <w:rPr>
                <w:rFonts w:ascii="宋体" w:hAnsi="宋体" w:cs="宋体" w:eastAsia="宋体" w:hint="default"/>
                <w:sz w:val="16"/>
                <w:szCs w:val="16"/>
              </w:rPr>
              <w:t>净资产</w:t>
            </w:r>
          </w:p>
        </w:tc>
        <w:tc>
          <w:tcPr>
            <w:tcW w:w="300" w:type="dxa"/>
            <w:tcBorders>
              <w:top w:val="nil" w:sz="6" w:space="0" w:color="auto"/>
              <w:left w:val="nil" w:sz="6" w:space="0" w:color="auto"/>
              <w:bottom w:val="nil" w:sz="6" w:space="0" w:color="auto"/>
              <w:right w:val="nil" w:sz="6" w:space="0" w:color="auto"/>
            </w:tcBorders>
          </w:tcPr>
          <w:p>
            <w:pPr/>
          </w:p>
        </w:tc>
        <w:tc>
          <w:tcPr>
            <w:tcW w:w="1409" w:type="dxa"/>
            <w:tcBorders>
              <w:top w:val="single" w:sz="6" w:space="0" w:color="000000"/>
              <w:left w:val="nil" w:sz="6" w:space="0" w:color="auto"/>
              <w:bottom w:val="single" w:sz="6" w:space="0" w:color="000000"/>
              <w:right w:val="nil" w:sz="6" w:space="0" w:color="auto"/>
            </w:tcBorders>
          </w:tcPr>
          <w:p>
            <w:pPr>
              <w:pStyle w:val="TableParagraph"/>
              <w:spacing w:line="20" w:lineRule="exact"/>
              <w:ind w:left="-8" w:right="0"/>
              <w:jc w:val="left"/>
              <w:rPr>
                <w:rFonts w:ascii="宋体" w:hAnsi="宋体" w:cs="宋体" w:eastAsia="宋体" w:hint="default"/>
                <w:sz w:val="2"/>
                <w:szCs w:val="2"/>
              </w:rPr>
            </w:pPr>
            <w:r>
              <w:rPr>
                <w:rFonts w:ascii="宋体" w:hAnsi="宋体" w:cs="宋体" w:eastAsia="宋体" w:hint="default"/>
                <w:sz w:val="2"/>
                <w:szCs w:val="2"/>
              </w:rPr>
              <w:pict>
                <v:group style="width:49.2pt;height:.75pt;mso-position-horizontal-relative:char;mso-position-vertical-relative:line" coordorigin="0,0" coordsize="984,15">
                  <v:group style="position:absolute;left:7;top:7;width:970;height:2" coordorigin="7,7" coordsize="970,2">
                    <v:shape style="position:absolute;left:7;top:7;width:970;height:2" coordorigin="7,7" coordsize="970,0" path="m7,7l977,7e" filled="false" stroked="true" strokeweight=".72pt" strokecolor="#000000">
                      <v:path arrowok="t"/>
                    </v:shape>
                  </v:group>
                </v:group>
              </w:pict>
            </w:r>
            <w:r>
              <w:rPr>
                <w:rFonts w:ascii="宋体" w:hAnsi="宋体" w:cs="宋体" w:eastAsia="宋体" w:hint="default"/>
                <w:sz w:val="2"/>
                <w:szCs w:val="2"/>
              </w:rPr>
            </w: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388" w:right="0"/>
              <w:jc w:val="left"/>
              <w:rPr>
                <w:rFonts w:ascii="Arial" w:hAnsi="Arial" w:cs="Arial" w:eastAsia="Arial" w:hint="default"/>
                <w:sz w:val="16"/>
                <w:szCs w:val="16"/>
              </w:rPr>
            </w:pPr>
            <w:r>
              <w:rPr>
                <w:rFonts w:ascii="Arial"/>
                <w:sz w:val="16"/>
              </w:rPr>
              <w:t>11,172</w:t>
            </w:r>
          </w:p>
        </w:tc>
        <w:tc>
          <w:tcPr>
            <w:tcW w:w="818" w:type="dxa"/>
            <w:tcBorders>
              <w:top w:val="single" w:sz="6" w:space="0" w:color="000000"/>
              <w:left w:val="nil" w:sz="6" w:space="0" w:color="auto"/>
              <w:bottom w:val="single" w:sz="6" w:space="0" w:color="000000"/>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4" w:right="0"/>
              <w:jc w:val="left"/>
              <w:rPr>
                <w:rFonts w:ascii="Arial" w:hAnsi="Arial" w:cs="Arial" w:eastAsia="Arial" w:hint="default"/>
                <w:sz w:val="16"/>
                <w:szCs w:val="16"/>
              </w:rPr>
            </w:pPr>
            <w:r>
              <w:rPr>
                <w:rFonts w:ascii="Arial"/>
                <w:sz w:val="16"/>
              </w:rPr>
              <w:t>9,264</w:t>
            </w:r>
          </w:p>
        </w:tc>
        <w:tc>
          <w:tcPr>
            <w:tcW w:w="919" w:type="dxa"/>
            <w:tcBorders>
              <w:top w:val="single" w:sz="6" w:space="0" w:color="000000"/>
              <w:left w:val="nil" w:sz="6" w:space="0" w:color="auto"/>
              <w:bottom w:val="single" w:sz="6" w:space="0" w:color="000000"/>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24" w:right="0"/>
              <w:jc w:val="left"/>
              <w:rPr>
                <w:rFonts w:ascii="Arial" w:hAnsi="Arial" w:cs="Arial" w:eastAsia="Arial" w:hint="default"/>
                <w:sz w:val="16"/>
                <w:szCs w:val="16"/>
              </w:rPr>
            </w:pPr>
            <w:r>
              <w:rPr>
                <w:rFonts w:ascii="Arial"/>
                <w:sz w:val="16"/>
              </w:rPr>
              <w:t>322,002</w:t>
            </w:r>
          </w:p>
        </w:tc>
        <w:tc>
          <w:tcPr>
            <w:tcW w:w="799" w:type="dxa"/>
            <w:tcBorders>
              <w:top w:val="single" w:sz="6" w:space="0" w:color="000000"/>
              <w:left w:val="nil" w:sz="6" w:space="0" w:color="auto"/>
              <w:bottom w:val="single" w:sz="6" w:space="0" w:color="000000"/>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27" w:right="0"/>
              <w:jc w:val="left"/>
              <w:rPr>
                <w:rFonts w:ascii="Arial" w:hAnsi="Arial" w:cs="Arial" w:eastAsia="Arial" w:hint="default"/>
                <w:sz w:val="16"/>
                <w:szCs w:val="16"/>
              </w:rPr>
            </w:pPr>
            <w:r>
              <w:rPr>
                <w:rFonts w:ascii="Arial"/>
                <w:sz w:val="16"/>
              </w:rPr>
              <w:t>315,685</w:t>
            </w:r>
          </w:p>
        </w:tc>
      </w:tr>
      <w:tr>
        <w:trPr>
          <w:trHeight w:val="360" w:hRule="exact"/>
        </w:trPr>
        <w:tc>
          <w:tcPr>
            <w:tcW w:w="4572"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24" w:right="0"/>
              <w:jc w:val="left"/>
              <w:rPr>
                <w:rFonts w:ascii="宋体" w:hAnsi="宋体" w:cs="宋体" w:eastAsia="宋体" w:hint="default"/>
                <w:sz w:val="16"/>
                <w:szCs w:val="16"/>
              </w:rPr>
            </w:pPr>
            <w:r>
              <w:rPr>
                <w:rFonts w:ascii="宋体" w:hAnsi="宋体" w:cs="宋体" w:eastAsia="宋体" w:hint="default"/>
                <w:sz w:val="16"/>
                <w:szCs w:val="16"/>
              </w:rPr>
              <w:t>国际</w:t>
            </w:r>
            <w:r>
              <w:rPr>
                <w:rFonts w:ascii="Arial" w:hAnsi="Arial" w:cs="Arial" w:eastAsia="Arial" w:hint="default"/>
                <w:sz w:val="16"/>
                <w:szCs w:val="16"/>
              </w:rPr>
              <w:t>/</w:t>
            </w:r>
            <w:r>
              <w:rPr>
                <w:rFonts w:ascii="宋体" w:hAnsi="宋体" w:cs="宋体" w:eastAsia="宋体" w:hint="default"/>
                <w:sz w:val="16"/>
                <w:szCs w:val="16"/>
              </w:rPr>
              <w:t>香港财务报告准则调整增加（减少）：</w:t>
            </w:r>
          </w:p>
        </w:tc>
        <w:tc>
          <w:tcPr>
            <w:tcW w:w="300" w:type="dxa"/>
            <w:tcBorders>
              <w:top w:val="nil" w:sz="6" w:space="0" w:color="auto"/>
              <w:left w:val="nil" w:sz="6" w:space="0" w:color="auto"/>
              <w:bottom w:val="nil" w:sz="6" w:space="0" w:color="auto"/>
              <w:right w:val="nil" w:sz="6" w:space="0" w:color="auto"/>
            </w:tcBorders>
          </w:tcPr>
          <w:p>
            <w:pPr/>
          </w:p>
        </w:tc>
        <w:tc>
          <w:tcPr>
            <w:tcW w:w="1409" w:type="dxa"/>
            <w:tcBorders>
              <w:top w:val="single" w:sz="6" w:space="0" w:color="000000"/>
              <w:left w:val="nil" w:sz="6" w:space="0" w:color="auto"/>
              <w:bottom w:val="nil" w:sz="6" w:space="0" w:color="auto"/>
              <w:right w:val="nil" w:sz="6" w:space="0" w:color="auto"/>
            </w:tcBorders>
          </w:tcPr>
          <w:p>
            <w:pPr>
              <w:pStyle w:val="TableParagraph"/>
              <w:spacing w:line="20" w:lineRule="exact"/>
              <w:ind w:left="-8" w:right="0"/>
              <w:jc w:val="left"/>
              <w:rPr>
                <w:rFonts w:ascii="宋体" w:hAnsi="宋体" w:cs="宋体" w:eastAsia="宋体" w:hint="default"/>
                <w:sz w:val="2"/>
                <w:szCs w:val="2"/>
              </w:rPr>
            </w:pPr>
            <w:r>
              <w:rPr>
                <w:rFonts w:ascii="宋体" w:hAnsi="宋体" w:cs="宋体" w:eastAsia="宋体" w:hint="default"/>
                <w:sz w:val="2"/>
                <w:szCs w:val="2"/>
              </w:rPr>
              <w:pict>
                <v:group style="width:49.2pt;height:.75pt;mso-position-horizontal-relative:char;mso-position-vertical-relative:line" coordorigin="0,0" coordsize="984,15">
                  <v:group style="position:absolute;left:7;top:7;width:970;height:2" coordorigin="7,7" coordsize="970,2">
                    <v:shape style="position:absolute;left:7;top:7;width:970;height:2" coordorigin="7,7" coordsize="970,0" path="m7,7l977,7e" filled="false" stroked="true" strokeweight=".72pt" strokecolor="#000000">
                      <v:path arrowok="t"/>
                    </v:shape>
                  </v:group>
                </v:group>
              </w:pict>
            </w:r>
            <w:r>
              <w:rPr>
                <w:rFonts w:ascii="宋体" w:hAnsi="宋体" w:cs="宋体" w:eastAsia="宋体" w:hint="default"/>
                <w:sz w:val="2"/>
                <w:szCs w:val="2"/>
              </w:rPr>
            </w:r>
          </w:p>
          <w:p>
            <w:pPr>
              <w:pStyle w:val="TableParagraph"/>
              <w:spacing w:line="240" w:lineRule="auto" w:before="7"/>
              <w:ind w:right="0"/>
              <w:jc w:val="left"/>
              <w:rPr>
                <w:rFonts w:ascii="宋体" w:hAnsi="宋体" w:cs="宋体" w:eastAsia="宋体" w:hint="default"/>
                <w:sz w:val="26"/>
                <w:szCs w:val="26"/>
              </w:rPr>
            </w:pPr>
          </w:p>
        </w:tc>
        <w:tc>
          <w:tcPr>
            <w:tcW w:w="818" w:type="dxa"/>
            <w:tcBorders>
              <w:top w:val="single" w:sz="6" w:space="0" w:color="000000"/>
              <w:left w:val="nil" w:sz="6" w:space="0" w:color="auto"/>
              <w:bottom w:val="nil" w:sz="6" w:space="0" w:color="auto"/>
              <w:right w:val="nil" w:sz="6" w:space="0" w:color="auto"/>
            </w:tcBorders>
          </w:tcPr>
          <w:p>
            <w:pPr/>
          </w:p>
        </w:tc>
        <w:tc>
          <w:tcPr>
            <w:tcW w:w="919" w:type="dxa"/>
            <w:tcBorders>
              <w:top w:val="single" w:sz="6" w:space="0" w:color="000000"/>
              <w:left w:val="nil" w:sz="6" w:space="0" w:color="auto"/>
              <w:bottom w:val="nil" w:sz="6" w:space="0" w:color="auto"/>
              <w:right w:val="nil" w:sz="6" w:space="0" w:color="auto"/>
            </w:tcBorders>
          </w:tcPr>
          <w:p>
            <w:pPr/>
          </w:p>
        </w:tc>
        <w:tc>
          <w:tcPr>
            <w:tcW w:w="799" w:type="dxa"/>
            <w:tcBorders>
              <w:top w:val="single" w:sz="6" w:space="0" w:color="000000"/>
              <w:left w:val="nil" w:sz="6" w:space="0" w:color="auto"/>
              <w:bottom w:val="nil" w:sz="6" w:space="0" w:color="auto"/>
              <w:right w:val="nil" w:sz="6" w:space="0" w:color="auto"/>
            </w:tcBorders>
          </w:tcPr>
          <w:p>
            <w:pPr/>
          </w:p>
        </w:tc>
      </w:tr>
      <w:tr>
        <w:trPr>
          <w:trHeight w:val="422" w:hRule="exact"/>
        </w:trPr>
        <w:tc>
          <w:tcPr>
            <w:tcW w:w="4572" w:type="dxa"/>
            <w:tcBorders>
              <w:top w:val="nil" w:sz="6" w:space="0" w:color="auto"/>
              <w:left w:val="nil" w:sz="6" w:space="0" w:color="auto"/>
              <w:bottom w:val="nil" w:sz="6" w:space="0" w:color="auto"/>
              <w:right w:val="nil" w:sz="6" w:space="0" w:color="auto"/>
            </w:tcBorders>
          </w:tcPr>
          <w:p>
            <w:pPr>
              <w:pStyle w:val="TableParagraph"/>
              <w:spacing w:line="177" w:lineRule="exact"/>
              <w:ind w:left="168" w:right="0"/>
              <w:jc w:val="left"/>
              <w:rPr>
                <w:rFonts w:ascii="宋体" w:hAnsi="宋体" w:cs="宋体" w:eastAsia="宋体" w:hint="default"/>
                <w:sz w:val="16"/>
                <w:szCs w:val="16"/>
              </w:rPr>
            </w:pPr>
            <w:r>
              <w:rPr>
                <w:rFonts w:ascii="宋体" w:hAnsi="宋体" w:cs="宋体" w:eastAsia="宋体" w:hint="default"/>
                <w:sz w:val="16"/>
                <w:szCs w:val="16"/>
              </w:rPr>
              <w:t>—</w:t>
            </w:r>
            <w:r>
              <w:rPr>
                <w:rFonts w:ascii="宋体" w:hAnsi="宋体" w:cs="宋体" w:eastAsia="宋体" w:hint="default"/>
                <w:sz w:val="16"/>
                <w:szCs w:val="16"/>
              </w:rPr>
              <w:t>调整以前年度原中国会计准则下因土地的评估对折旧及摊销</w:t>
            </w:r>
          </w:p>
          <w:p>
            <w:pPr>
              <w:pStyle w:val="TableParagraph"/>
              <w:spacing w:line="208" w:lineRule="exact"/>
              <w:ind w:left="518" w:right="0"/>
              <w:jc w:val="left"/>
              <w:rPr>
                <w:rFonts w:ascii="宋体" w:hAnsi="宋体" w:cs="宋体" w:eastAsia="宋体" w:hint="default"/>
                <w:sz w:val="16"/>
                <w:szCs w:val="16"/>
              </w:rPr>
            </w:pPr>
            <w:r>
              <w:rPr>
                <w:rFonts w:ascii="宋体" w:hAnsi="宋体" w:cs="宋体" w:eastAsia="宋体" w:hint="default"/>
                <w:sz w:val="16"/>
                <w:szCs w:val="16"/>
              </w:rPr>
              <w:t>的税后影响</w:t>
            </w:r>
          </w:p>
        </w:tc>
        <w:tc>
          <w:tcPr>
            <w:tcW w:w="30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Arial" w:hAnsi="Arial" w:cs="Arial" w:eastAsia="Arial" w:hint="default"/>
                <w:sz w:val="16"/>
                <w:szCs w:val="16"/>
              </w:rPr>
            </w:pPr>
            <w:r>
              <w:rPr>
                <w:rFonts w:ascii="Arial"/>
                <w:sz w:val="16"/>
              </w:rPr>
              <w:t>(1)</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85" w:right="0"/>
              <w:jc w:val="center"/>
              <w:rPr>
                <w:rFonts w:ascii="Arial" w:hAnsi="Arial" w:cs="Arial" w:eastAsia="Arial" w:hint="default"/>
                <w:sz w:val="16"/>
                <w:szCs w:val="16"/>
              </w:rPr>
            </w:pPr>
            <w:r>
              <w:rPr>
                <w:rFonts w:ascii="Arial"/>
                <w:sz w:val="16"/>
              </w:rPr>
              <w:t>151</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33" w:right="0"/>
              <w:jc w:val="left"/>
              <w:rPr>
                <w:rFonts w:ascii="Arial" w:hAnsi="Arial" w:cs="Arial" w:eastAsia="Arial" w:hint="default"/>
                <w:sz w:val="16"/>
                <w:szCs w:val="16"/>
              </w:rPr>
            </w:pPr>
            <w:r>
              <w:rPr>
                <w:rFonts w:ascii="Arial"/>
                <w:sz w:val="16"/>
              </w:rPr>
              <w:t>154</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235" w:right="0"/>
              <w:jc w:val="left"/>
              <w:rPr>
                <w:rFonts w:ascii="Arial" w:hAnsi="Arial" w:cs="Arial" w:eastAsia="Arial" w:hint="default"/>
                <w:sz w:val="16"/>
                <w:szCs w:val="16"/>
              </w:rPr>
            </w:pPr>
            <w:r>
              <w:rPr>
                <w:rFonts w:ascii="Arial"/>
                <w:sz w:val="16"/>
              </w:rPr>
              <w:t>(4,070)</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9"/>
              <w:jc w:val="right"/>
              <w:rPr>
                <w:rFonts w:ascii="Arial" w:hAnsi="Arial" w:cs="Arial" w:eastAsia="Arial" w:hint="default"/>
                <w:sz w:val="16"/>
                <w:szCs w:val="16"/>
              </w:rPr>
            </w:pPr>
            <w:r>
              <w:rPr>
                <w:rFonts w:ascii="Arial"/>
                <w:spacing w:val="-1"/>
                <w:sz w:val="16"/>
              </w:rPr>
              <w:t>(4,223)</w:t>
            </w:r>
            <w:r>
              <w:rPr>
                <w:rFonts w:ascii="Arial"/>
                <w:sz w:val="16"/>
              </w:rPr>
            </w:r>
          </w:p>
        </w:tc>
      </w:tr>
      <w:tr>
        <w:trPr>
          <w:trHeight w:val="622" w:hRule="exact"/>
        </w:trPr>
        <w:tc>
          <w:tcPr>
            <w:tcW w:w="4572" w:type="dxa"/>
            <w:tcBorders>
              <w:top w:val="nil" w:sz="6" w:space="0" w:color="auto"/>
              <w:left w:val="nil" w:sz="6" w:space="0" w:color="auto"/>
              <w:bottom w:val="nil" w:sz="6" w:space="0" w:color="auto"/>
              <w:right w:val="nil" w:sz="6" w:space="0" w:color="auto"/>
            </w:tcBorders>
          </w:tcPr>
          <w:p>
            <w:pPr>
              <w:pStyle w:val="TableParagraph"/>
              <w:spacing w:line="178" w:lineRule="exact"/>
              <w:ind w:left="168" w:right="0"/>
              <w:jc w:val="left"/>
              <w:rPr>
                <w:rFonts w:ascii="宋体" w:hAnsi="宋体" w:cs="宋体" w:eastAsia="宋体" w:hint="default"/>
                <w:sz w:val="16"/>
                <w:szCs w:val="16"/>
              </w:rPr>
            </w:pPr>
            <w:r>
              <w:rPr>
                <w:rFonts w:ascii="宋体" w:hAnsi="宋体" w:cs="宋体" w:eastAsia="宋体" w:hint="default"/>
                <w:sz w:val="16"/>
                <w:szCs w:val="16"/>
              </w:rPr>
              <w:t>—</w:t>
            </w:r>
            <w:r>
              <w:rPr>
                <w:rFonts w:ascii="宋体" w:hAnsi="宋体" w:cs="宋体" w:eastAsia="宋体" w:hint="default"/>
                <w:sz w:val="16"/>
                <w:szCs w:val="16"/>
              </w:rPr>
              <w:t>因以前年度收购联通新世纪</w:t>
            </w:r>
            <w:r>
              <w:rPr>
                <w:rFonts w:ascii="宋体" w:hAnsi="宋体" w:cs="宋体" w:eastAsia="宋体" w:hint="default"/>
                <w:spacing w:val="-44"/>
                <w:sz w:val="16"/>
                <w:szCs w:val="16"/>
              </w:rPr>
              <w:t> </w:t>
            </w:r>
            <w:r>
              <w:rPr>
                <w:rFonts w:ascii="Arial" w:hAnsi="Arial" w:cs="Arial" w:eastAsia="Arial" w:hint="default"/>
                <w:sz w:val="16"/>
                <w:szCs w:val="16"/>
              </w:rPr>
              <w:t>BVI</w:t>
            </w:r>
            <w:r>
              <w:rPr>
                <w:rFonts w:ascii="Arial" w:hAnsi="Arial" w:cs="Arial" w:eastAsia="Arial" w:hint="default"/>
                <w:spacing w:val="-9"/>
                <w:sz w:val="16"/>
                <w:szCs w:val="16"/>
              </w:rPr>
              <w:t> </w:t>
            </w:r>
            <w:r>
              <w:rPr>
                <w:rFonts w:ascii="宋体" w:hAnsi="宋体" w:cs="宋体" w:eastAsia="宋体" w:hint="default"/>
                <w:sz w:val="16"/>
                <w:szCs w:val="16"/>
              </w:rPr>
              <w:t>和联通新世界</w:t>
            </w:r>
            <w:r>
              <w:rPr>
                <w:rFonts w:ascii="宋体" w:hAnsi="宋体" w:cs="宋体" w:eastAsia="宋体" w:hint="default"/>
                <w:spacing w:val="-44"/>
                <w:sz w:val="16"/>
                <w:szCs w:val="16"/>
              </w:rPr>
              <w:t> </w:t>
            </w:r>
            <w:r>
              <w:rPr>
                <w:rFonts w:ascii="Arial" w:hAnsi="Arial" w:cs="Arial" w:eastAsia="Arial" w:hint="default"/>
                <w:sz w:val="16"/>
                <w:szCs w:val="16"/>
              </w:rPr>
              <w:t>BVI</w:t>
            </w:r>
            <w:r>
              <w:rPr>
                <w:rFonts w:ascii="Arial" w:hAnsi="Arial" w:cs="Arial" w:eastAsia="Arial" w:hint="default"/>
                <w:spacing w:val="-9"/>
                <w:sz w:val="16"/>
                <w:szCs w:val="16"/>
              </w:rPr>
              <w:t> </w:t>
            </w:r>
            <w:r>
              <w:rPr>
                <w:rFonts w:ascii="宋体" w:hAnsi="宋体" w:cs="宋体" w:eastAsia="宋体" w:hint="default"/>
                <w:sz w:val="16"/>
                <w:szCs w:val="16"/>
              </w:rPr>
              <w:t>产生的股</w:t>
            </w:r>
          </w:p>
          <w:p>
            <w:pPr>
              <w:pStyle w:val="TableParagraph"/>
              <w:spacing w:line="206" w:lineRule="exact" w:before="15"/>
              <w:ind w:left="518" w:right="173"/>
              <w:jc w:val="left"/>
              <w:rPr>
                <w:rFonts w:ascii="宋体" w:hAnsi="宋体" w:cs="宋体" w:eastAsia="宋体" w:hint="default"/>
                <w:sz w:val="16"/>
                <w:szCs w:val="16"/>
              </w:rPr>
            </w:pPr>
            <w:r>
              <w:rPr>
                <w:rFonts w:ascii="宋体" w:hAnsi="宋体" w:cs="宋体" w:eastAsia="宋体" w:hint="default"/>
                <w:w w:val="95"/>
                <w:sz w:val="16"/>
                <w:szCs w:val="16"/>
              </w:rPr>
              <w:t>权投资差额、商誉及收购费用在中国会计准则与国际</w:t>
            </w:r>
            <w:r>
              <w:rPr>
                <w:rFonts w:ascii="Arial" w:hAnsi="Arial" w:cs="Arial" w:eastAsia="Arial" w:hint="default"/>
                <w:w w:val="95"/>
                <w:sz w:val="16"/>
                <w:szCs w:val="16"/>
              </w:rPr>
              <w:t>/</w:t>
            </w:r>
            <w:r>
              <w:rPr>
                <w:rFonts w:ascii="宋体" w:hAnsi="宋体" w:cs="宋体" w:eastAsia="宋体" w:hint="default"/>
                <w:w w:val="95"/>
                <w:sz w:val="16"/>
                <w:szCs w:val="16"/>
              </w:rPr>
              <w:t>香</w:t>
            </w:r>
            <w:r>
              <w:rPr>
                <w:rFonts w:ascii="宋体" w:hAnsi="宋体" w:cs="宋体" w:eastAsia="宋体" w:hint="default"/>
                <w:spacing w:val="30"/>
                <w:w w:val="95"/>
                <w:sz w:val="16"/>
                <w:szCs w:val="16"/>
              </w:rPr>
              <w:t> </w:t>
            </w:r>
            <w:r>
              <w:rPr>
                <w:rFonts w:ascii="宋体" w:hAnsi="宋体" w:cs="宋体" w:eastAsia="宋体" w:hint="default"/>
                <w:sz w:val="16"/>
                <w:szCs w:val="16"/>
              </w:rPr>
              <w:t>港财务报告准则下存在差异</w:t>
            </w:r>
          </w:p>
        </w:tc>
        <w:tc>
          <w:tcPr>
            <w:tcW w:w="30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0"/>
              <w:jc w:val="center"/>
              <w:rPr>
                <w:rFonts w:ascii="Arial" w:hAnsi="Arial" w:cs="Arial" w:eastAsia="Arial" w:hint="default"/>
                <w:sz w:val="16"/>
                <w:szCs w:val="16"/>
              </w:rPr>
            </w:pPr>
            <w:r>
              <w:rPr>
                <w:rFonts w:ascii="Arial"/>
                <w:sz w:val="16"/>
              </w:rPr>
              <w:t>(2)</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295" w:right="0"/>
              <w:jc w:val="center"/>
              <w:rPr>
                <w:rFonts w:ascii="Arial" w:hAnsi="Arial" w:cs="Arial" w:eastAsia="Arial" w:hint="default"/>
                <w:sz w:val="16"/>
                <w:szCs w:val="16"/>
              </w:rPr>
            </w:pPr>
            <w:r>
              <w:rPr>
                <w:rFonts w:ascii="Arial"/>
                <w:w w:val="98"/>
                <w:sz w:val="16"/>
              </w:rPr>
              <w:t>-</w:t>
            </w:r>
            <w:r>
              <w:rPr>
                <w:rFonts w:ascii="Arial"/>
                <w:sz w:val="16"/>
              </w:rPr>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14"/>
              <w:jc w:val="right"/>
              <w:rPr>
                <w:rFonts w:ascii="Arial" w:hAnsi="Arial" w:cs="Arial" w:eastAsia="Arial" w:hint="default"/>
                <w:sz w:val="16"/>
                <w:szCs w:val="16"/>
              </w:rPr>
            </w:pPr>
            <w:r>
              <w:rPr>
                <w:rFonts w:ascii="Arial"/>
                <w:w w:val="98"/>
                <w:sz w:val="16"/>
              </w:rPr>
              <w:t>-</w:t>
            </w:r>
            <w:r>
              <w:rPr>
                <w:rFonts w:ascii="Arial"/>
                <w:sz w:val="16"/>
              </w:rPr>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302" w:right="0"/>
              <w:jc w:val="left"/>
              <w:rPr>
                <w:rFonts w:ascii="Arial" w:hAnsi="Arial" w:cs="Arial" w:eastAsia="Arial" w:hint="default"/>
                <w:sz w:val="16"/>
                <w:szCs w:val="16"/>
              </w:rPr>
            </w:pPr>
            <w:r>
              <w:rPr>
                <w:rFonts w:ascii="Arial"/>
                <w:sz w:val="16"/>
              </w:rPr>
              <w:t>2,598</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304" w:right="0"/>
              <w:jc w:val="left"/>
              <w:rPr>
                <w:rFonts w:ascii="Arial" w:hAnsi="Arial" w:cs="Arial" w:eastAsia="Arial" w:hint="default"/>
                <w:sz w:val="16"/>
                <w:szCs w:val="16"/>
              </w:rPr>
            </w:pPr>
            <w:r>
              <w:rPr>
                <w:rFonts w:ascii="Arial"/>
                <w:sz w:val="16"/>
              </w:rPr>
              <w:t>2,598</w:t>
            </w:r>
          </w:p>
        </w:tc>
      </w:tr>
      <w:tr>
        <w:trPr>
          <w:trHeight w:val="446" w:hRule="exact"/>
        </w:trPr>
        <w:tc>
          <w:tcPr>
            <w:tcW w:w="4572" w:type="dxa"/>
            <w:tcBorders>
              <w:top w:val="nil" w:sz="6" w:space="0" w:color="auto"/>
              <w:left w:val="nil" w:sz="6" w:space="0" w:color="auto"/>
              <w:bottom w:val="nil" w:sz="6" w:space="0" w:color="auto"/>
              <w:right w:val="nil" w:sz="6" w:space="0" w:color="auto"/>
            </w:tcBorders>
          </w:tcPr>
          <w:p>
            <w:pPr>
              <w:pStyle w:val="TableParagraph"/>
              <w:spacing w:line="172" w:lineRule="exact"/>
              <w:ind w:left="177" w:right="0"/>
              <w:jc w:val="left"/>
              <w:rPr>
                <w:rFonts w:ascii="宋体" w:hAnsi="宋体" w:cs="宋体" w:eastAsia="宋体" w:hint="default"/>
                <w:sz w:val="16"/>
                <w:szCs w:val="16"/>
              </w:rPr>
            </w:pPr>
            <w:r>
              <w:rPr>
                <w:rFonts w:ascii="宋体" w:hAnsi="宋体" w:cs="宋体" w:eastAsia="宋体" w:hint="default"/>
                <w:sz w:val="16"/>
                <w:szCs w:val="16"/>
              </w:rPr>
              <w:t>—</w:t>
            </w:r>
            <w:r>
              <w:rPr>
                <w:rFonts w:ascii="宋体" w:hAnsi="宋体" w:cs="宋体" w:eastAsia="宋体" w:hint="default"/>
                <w:sz w:val="16"/>
                <w:szCs w:val="16"/>
              </w:rPr>
              <w:t>因持有的联营企业股权比例被动稀释而产生的长期股权投资</w:t>
            </w:r>
          </w:p>
          <w:p>
            <w:pPr>
              <w:pStyle w:val="TableParagraph"/>
              <w:spacing w:line="240" w:lineRule="auto" w:before="1"/>
              <w:ind w:left="537" w:right="0"/>
              <w:jc w:val="left"/>
              <w:rPr>
                <w:rFonts w:ascii="宋体" w:hAnsi="宋体" w:cs="宋体" w:eastAsia="宋体" w:hint="default"/>
                <w:sz w:val="16"/>
                <w:szCs w:val="16"/>
              </w:rPr>
            </w:pPr>
            <w:r>
              <w:rPr>
                <w:rFonts w:ascii="宋体" w:hAnsi="宋体" w:cs="宋体" w:eastAsia="宋体" w:hint="default"/>
                <w:sz w:val="16"/>
                <w:szCs w:val="16"/>
              </w:rPr>
              <w:t>账面价值变动在不同准则下的差异</w:t>
            </w:r>
          </w:p>
        </w:tc>
        <w:tc>
          <w:tcPr>
            <w:tcW w:w="30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0"/>
              <w:jc w:val="center"/>
              <w:rPr>
                <w:rFonts w:ascii="Arial" w:hAnsi="Arial" w:cs="Arial" w:eastAsia="Arial" w:hint="default"/>
                <w:sz w:val="16"/>
                <w:szCs w:val="16"/>
              </w:rPr>
            </w:pPr>
            <w:r>
              <w:rPr>
                <w:rFonts w:ascii="Arial"/>
                <w:sz w:val="16"/>
              </w:rPr>
              <w:t>(3)</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165" w:right="0"/>
              <w:jc w:val="center"/>
              <w:rPr>
                <w:rFonts w:ascii="Arial" w:hAnsi="Arial" w:cs="Arial" w:eastAsia="Arial" w:hint="default"/>
                <w:sz w:val="16"/>
                <w:szCs w:val="16"/>
              </w:rPr>
            </w:pPr>
            <w:r>
              <w:rPr>
                <w:rFonts w:ascii="Arial"/>
                <w:sz w:val="16"/>
              </w:rPr>
              <w:t>49</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333" w:right="0"/>
              <w:jc w:val="left"/>
              <w:rPr>
                <w:rFonts w:ascii="Arial" w:hAnsi="Arial" w:cs="Arial" w:eastAsia="Arial" w:hint="default"/>
                <w:sz w:val="16"/>
                <w:szCs w:val="16"/>
              </w:rPr>
            </w:pPr>
            <w:r>
              <w:rPr>
                <w:rFonts w:ascii="Arial"/>
                <w:sz w:val="16"/>
              </w:rPr>
              <w:t>839</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16"/>
              <w:jc w:val="right"/>
              <w:rPr>
                <w:rFonts w:ascii="Arial" w:hAnsi="Arial" w:cs="Arial" w:eastAsia="Arial" w:hint="default"/>
                <w:sz w:val="16"/>
                <w:szCs w:val="16"/>
              </w:rPr>
            </w:pPr>
            <w:r>
              <w:rPr>
                <w:rFonts w:ascii="Arial"/>
                <w:w w:val="98"/>
                <w:sz w:val="16"/>
              </w:rPr>
              <w:t>-</w:t>
            </w:r>
            <w:r>
              <w:rPr>
                <w:rFonts w:ascii="Arial"/>
                <w:sz w:val="16"/>
              </w:rPr>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94"/>
              <w:jc w:val="right"/>
              <w:rPr>
                <w:rFonts w:ascii="Arial" w:hAnsi="Arial" w:cs="Arial" w:eastAsia="Arial" w:hint="default"/>
                <w:sz w:val="16"/>
                <w:szCs w:val="16"/>
              </w:rPr>
            </w:pPr>
            <w:r>
              <w:rPr>
                <w:rFonts w:ascii="Arial"/>
                <w:w w:val="98"/>
                <w:sz w:val="16"/>
              </w:rPr>
              <w:t>-</w:t>
            </w:r>
            <w:r>
              <w:rPr>
                <w:rFonts w:ascii="Arial"/>
                <w:sz w:val="16"/>
              </w:rPr>
            </w:r>
          </w:p>
        </w:tc>
      </w:tr>
      <w:tr>
        <w:trPr>
          <w:trHeight w:val="341" w:hRule="exact"/>
        </w:trPr>
        <w:tc>
          <w:tcPr>
            <w:tcW w:w="4572" w:type="dxa"/>
            <w:tcBorders>
              <w:top w:val="nil" w:sz="6" w:space="0" w:color="auto"/>
              <w:left w:val="nil" w:sz="6" w:space="0" w:color="auto"/>
              <w:bottom w:val="nil" w:sz="6" w:space="0" w:color="auto"/>
              <w:right w:val="nil" w:sz="6" w:space="0" w:color="auto"/>
            </w:tcBorders>
          </w:tcPr>
          <w:p>
            <w:pPr>
              <w:pStyle w:val="TableParagraph"/>
              <w:spacing w:line="205" w:lineRule="exact"/>
              <w:ind w:left="182" w:right="0"/>
              <w:jc w:val="left"/>
              <w:rPr>
                <w:rFonts w:ascii="宋体" w:hAnsi="宋体" w:cs="宋体" w:eastAsia="宋体" w:hint="default"/>
                <w:sz w:val="16"/>
                <w:szCs w:val="16"/>
              </w:rPr>
            </w:pPr>
            <w:r>
              <w:rPr>
                <w:rFonts w:ascii="宋体" w:hAnsi="宋体" w:cs="宋体" w:eastAsia="宋体" w:hint="default"/>
                <w:sz w:val="16"/>
                <w:szCs w:val="16"/>
              </w:rPr>
              <w:t>—</w:t>
            </w:r>
            <w:r>
              <w:rPr>
                <w:rFonts w:ascii="宋体" w:hAnsi="宋体" w:cs="宋体" w:eastAsia="宋体" w:hint="default"/>
                <w:sz w:val="16"/>
                <w:szCs w:val="16"/>
              </w:rPr>
              <w:t>其他</w:t>
            </w:r>
          </w:p>
        </w:tc>
        <w:tc>
          <w:tcPr>
            <w:tcW w:w="300" w:type="dxa"/>
            <w:tcBorders>
              <w:top w:val="nil" w:sz="6" w:space="0" w:color="auto"/>
              <w:left w:val="nil" w:sz="6" w:space="0" w:color="auto"/>
              <w:bottom w:val="nil" w:sz="6" w:space="0" w:color="auto"/>
              <w:right w:val="nil" w:sz="6" w:space="0" w:color="auto"/>
            </w:tcBorders>
          </w:tcPr>
          <w:p>
            <w:pPr/>
          </w:p>
        </w:tc>
        <w:tc>
          <w:tcPr>
            <w:tcW w:w="1409" w:type="dxa"/>
            <w:tcBorders>
              <w:top w:val="nil" w:sz="6" w:space="0" w:color="auto"/>
              <w:left w:val="nil" w:sz="6" w:space="0" w:color="auto"/>
              <w:bottom w:val="nil" w:sz="6" w:space="0" w:color="auto"/>
              <w:right w:val="nil" w:sz="6" w:space="0" w:color="auto"/>
            </w:tcBorders>
          </w:tcPr>
          <w:p>
            <w:pPr>
              <w:pStyle w:val="TableParagraph"/>
              <w:tabs>
                <w:tab w:pos="825" w:val="left" w:leader="none"/>
                <w:tab w:pos="1958" w:val="left" w:leader="none"/>
              </w:tabs>
              <w:spacing w:line="240" w:lineRule="auto" w:before="47"/>
              <w:ind w:right="-550"/>
              <w:jc w:val="lef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ab/>
              <w:t>- </w:t>
            </w:r>
            <w:r>
              <w:rPr>
                <w:rFonts w:ascii="Arial"/>
                <w:spacing w:val="2"/>
                <w:sz w:val="16"/>
                <w:u w:val="single" w:color="000000"/>
              </w:rPr>
              <w:t> </w:t>
            </w:r>
            <w:r>
              <w:rPr>
                <w:rFonts w:ascii="Arial"/>
                <w:spacing w:val="2"/>
                <w:sz w:val="16"/>
              </w:rPr>
            </w:r>
            <w:r>
              <w:rPr>
                <w:rFonts w:ascii="Arial"/>
                <w:sz w:val="16"/>
              </w:rPr>
              <w:t>  </w:t>
            </w:r>
            <w:r>
              <w:rPr>
                <w:rFonts w:ascii="Arial"/>
                <w:spacing w:val="-14"/>
                <w:sz w:val="16"/>
              </w:rPr>
              <w:t> </w:t>
            </w:r>
            <w:r>
              <w:rPr>
                <w:rFonts w:ascii="Arial"/>
                <w:spacing w:val="-14"/>
                <w:w w:val="99"/>
                <w:sz w:val="16"/>
              </w:rPr>
            </w:r>
            <w:r>
              <w:rPr>
                <w:rFonts w:ascii="Arial"/>
                <w:w w:val="99"/>
                <w:sz w:val="16"/>
                <w:u w:val="single" w:color="000000"/>
              </w:rPr>
              <w:t> </w:t>
            </w:r>
            <w:r>
              <w:rPr>
                <w:rFonts w:ascii="Arial"/>
                <w:sz w:val="16"/>
                <w:u w:val="single" w:color="000000"/>
              </w:rPr>
              <w:tab/>
            </w:r>
            <w:r>
              <w:rPr>
                <w:rFonts w:ascii="Arial"/>
                <w:sz w:val="16"/>
              </w:rPr>
            </w:r>
          </w:p>
        </w:tc>
        <w:tc>
          <w:tcPr>
            <w:tcW w:w="818" w:type="dxa"/>
            <w:tcBorders>
              <w:top w:val="nil" w:sz="6" w:space="0" w:color="auto"/>
              <w:left w:val="nil" w:sz="6" w:space="0" w:color="auto"/>
              <w:bottom w:val="nil" w:sz="6" w:space="0" w:color="auto"/>
              <w:right w:val="nil" w:sz="6" w:space="0" w:color="auto"/>
            </w:tcBorders>
          </w:tcPr>
          <w:p>
            <w:pPr>
              <w:pStyle w:val="TableParagraph"/>
              <w:tabs>
                <w:tab w:pos="705" w:val="left" w:leader="none"/>
              </w:tabs>
              <w:spacing w:line="240" w:lineRule="auto" w:before="47"/>
              <w:ind w:right="-437"/>
              <w:jc w:val="right"/>
              <w:rPr>
                <w:rFonts w:ascii="Arial" w:hAnsi="Arial" w:cs="Arial" w:eastAsia="Arial" w:hint="default"/>
                <w:sz w:val="16"/>
                <w:szCs w:val="16"/>
              </w:rPr>
            </w:pPr>
            <w:r>
              <w:rPr>
                <w:rFonts w:ascii="Arial"/>
                <w:w w:val="98"/>
                <w:sz w:val="16"/>
              </w:rPr>
            </w:r>
            <w:r>
              <w:rPr>
                <w:rFonts w:ascii="Arial"/>
                <w:w w:val="95"/>
                <w:sz w:val="16"/>
                <w:u w:val="single" w:color="000000"/>
              </w:rPr>
              <w:t>-</w:t>
            </w:r>
            <w:r>
              <w:rPr>
                <w:rFonts w:ascii="Arial"/>
                <w:sz w:val="16"/>
                <w:u w:val="single" w:color="000000"/>
              </w:rPr>
              <w:t> </w:t>
            </w:r>
            <w:r>
              <w:rPr>
                <w:rFonts w:ascii="Arial"/>
                <w:spacing w:val="7"/>
                <w:sz w:val="16"/>
                <w:u w:val="single" w:color="000000"/>
              </w:rPr>
              <w:t> </w:t>
            </w:r>
            <w:r>
              <w:rPr>
                <w:rFonts w:ascii="Arial"/>
                <w:spacing w:val="7"/>
                <w:sz w:val="16"/>
              </w:rPr>
            </w:r>
            <w:r>
              <w:rPr>
                <w:rFonts w:ascii="Arial"/>
                <w:sz w:val="16"/>
              </w:rPr>
              <w:t> </w:t>
            </w:r>
            <w:r>
              <w:rPr>
                <w:rFonts w:ascii="Arial"/>
                <w:spacing w:val="-22"/>
                <w:sz w:val="16"/>
              </w:rPr>
              <w:t> </w:t>
            </w:r>
            <w:r>
              <w:rPr>
                <w:rFonts w:ascii="Arial"/>
                <w:spacing w:val="-22"/>
                <w:w w:val="99"/>
                <w:sz w:val="16"/>
              </w:rPr>
            </w:r>
            <w:r>
              <w:rPr>
                <w:rFonts w:ascii="Arial"/>
                <w:w w:val="99"/>
                <w:sz w:val="16"/>
                <w:u w:val="single" w:color="000000"/>
              </w:rPr>
              <w:t> </w:t>
            </w:r>
            <w:r>
              <w:rPr>
                <w:rFonts w:ascii="Arial"/>
                <w:sz w:val="16"/>
                <w:u w:val="single" w:color="000000"/>
              </w:rPr>
              <w:tab/>
            </w:r>
            <w:r>
              <w:rPr>
                <w:rFonts w:ascii="Arial"/>
                <w:sz w:val="16"/>
              </w:rPr>
            </w:r>
          </w:p>
        </w:tc>
        <w:tc>
          <w:tcPr>
            <w:tcW w:w="919" w:type="dxa"/>
            <w:tcBorders>
              <w:top w:val="nil" w:sz="6" w:space="0" w:color="auto"/>
              <w:left w:val="nil" w:sz="6" w:space="0" w:color="auto"/>
              <w:bottom w:val="nil" w:sz="6" w:space="0" w:color="auto"/>
              <w:right w:val="nil" w:sz="6" w:space="0" w:color="auto"/>
            </w:tcBorders>
          </w:tcPr>
          <w:p>
            <w:pPr>
              <w:pStyle w:val="TableParagraph"/>
              <w:tabs>
                <w:tab w:pos="1353" w:val="left" w:leader="none"/>
              </w:tabs>
              <w:spacing w:line="240" w:lineRule="auto" w:before="47"/>
              <w:ind w:left="436" w:right="-435"/>
              <w:jc w:val="left"/>
              <w:rPr>
                <w:rFonts w:ascii="Arial" w:hAnsi="Arial" w:cs="Arial" w:eastAsia="Arial" w:hint="default"/>
                <w:sz w:val="16"/>
                <w:szCs w:val="16"/>
              </w:rPr>
            </w:pPr>
            <w:r>
              <w:rPr>
                <w:rFonts w:ascii="Arial"/>
                <w:w w:val="98"/>
                <w:sz w:val="16"/>
              </w:rPr>
            </w:r>
            <w:r>
              <w:rPr>
                <w:rFonts w:ascii="Arial"/>
                <w:sz w:val="16"/>
                <w:u w:val="single" w:color="000000"/>
              </w:rPr>
              <w:t>225 </w:t>
            </w:r>
            <w:r>
              <w:rPr>
                <w:rFonts w:ascii="Arial"/>
                <w:spacing w:val="5"/>
                <w:sz w:val="16"/>
                <w:u w:val="single" w:color="000000"/>
              </w:rPr>
              <w:t> </w:t>
            </w:r>
            <w:r>
              <w:rPr>
                <w:rFonts w:ascii="Arial"/>
                <w:spacing w:val="5"/>
                <w:sz w:val="16"/>
              </w:rPr>
            </w:r>
            <w:r>
              <w:rPr>
                <w:rFonts w:ascii="Arial"/>
                <w:sz w:val="16"/>
              </w:rPr>
              <w:t> </w:t>
            </w:r>
            <w:r>
              <w:rPr>
                <w:rFonts w:ascii="Arial"/>
                <w:spacing w:val="-17"/>
                <w:sz w:val="16"/>
              </w:rPr>
              <w:t> </w:t>
            </w:r>
            <w:r>
              <w:rPr>
                <w:rFonts w:ascii="Arial"/>
                <w:spacing w:val="-17"/>
                <w:w w:val="99"/>
                <w:sz w:val="16"/>
              </w:rPr>
            </w:r>
            <w:r>
              <w:rPr>
                <w:rFonts w:ascii="Arial"/>
                <w:w w:val="99"/>
                <w:sz w:val="16"/>
                <w:u w:val="single" w:color="000000"/>
              </w:rPr>
              <w:t> </w:t>
            </w:r>
            <w:r>
              <w:rPr>
                <w:rFonts w:ascii="Arial"/>
                <w:sz w:val="16"/>
                <w:u w:val="single" w:color="000000"/>
              </w:rPr>
              <w:tab/>
            </w:r>
            <w:r>
              <w:rPr>
                <w:rFonts w:ascii="Arial"/>
                <w:sz w:val="16"/>
              </w:rPr>
            </w:r>
          </w:p>
        </w:tc>
        <w:tc>
          <w:tcPr>
            <w:tcW w:w="799" w:type="dxa"/>
            <w:tcBorders>
              <w:top w:val="nil" w:sz="6" w:space="0" w:color="auto"/>
              <w:left w:val="nil" w:sz="6" w:space="0" w:color="auto"/>
              <w:bottom w:val="nil" w:sz="6" w:space="0" w:color="auto"/>
              <w:right w:val="nil" w:sz="6" w:space="0" w:color="auto"/>
            </w:tcBorders>
          </w:tcPr>
          <w:p>
            <w:pPr>
              <w:pStyle w:val="TableParagraph"/>
              <w:tabs>
                <w:tab w:pos="364" w:val="left" w:leader="none"/>
              </w:tabs>
              <w:spacing w:line="240" w:lineRule="auto" w:before="47"/>
              <w:ind w:right="0"/>
              <w:jc w:val="right"/>
              <w:rPr>
                <w:rFonts w:ascii="Arial" w:hAnsi="Arial" w:cs="Arial" w:eastAsia="Arial" w:hint="default"/>
                <w:sz w:val="16"/>
                <w:szCs w:val="16"/>
              </w:rPr>
            </w:pPr>
            <w:r>
              <w:rPr>
                <w:rFonts w:ascii="Arial"/>
                <w:w w:val="98"/>
                <w:sz w:val="16"/>
              </w:rPr>
            </w:r>
            <w:r>
              <w:rPr>
                <w:rFonts w:ascii="Arial"/>
                <w:w w:val="95"/>
                <w:sz w:val="16"/>
                <w:u w:val="single" w:color="000000"/>
              </w:rPr>
              <w:t>225</w:t>
            </w:r>
            <w:r>
              <w:rPr>
                <w:rFonts w:ascii="Arial"/>
                <w:sz w:val="16"/>
                <w:u w:val="single" w:color="000000"/>
              </w:rPr>
              <w:tab/>
            </w:r>
            <w:r>
              <w:rPr>
                <w:rFonts w:ascii="Arial"/>
                <w:sz w:val="16"/>
              </w:rPr>
            </w:r>
          </w:p>
        </w:tc>
      </w:tr>
      <w:tr>
        <w:trPr>
          <w:trHeight w:val="408" w:hRule="exact"/>
        </w:trPr>
        <w:tc>
          <w:tcPr>
            <w:tcW w:w="4572" w:type="dxa"/>
            <w:tcBorders>
              <w:top w:val="nil" w:sz="6" w:space="0" w:color="auto"/>
              <w:left w:val="nil" w:sz="6" w:space="0" w:color="auto"/>
              <w:bottom w:val="nil" w:sz="6" w:space="0" w:color="auto"/>
              <w:right w:val="nil" w:sz="6" w:space="0" w:color="auto"/>
            </w:tcBorders>
          </w:tcPr>
          <w:p>
            <w:pPr>
              <w:pStyle w:val="TableParagraph"/>
              <w:spacing w:line="240" w:lineRule="auto" w:before="63"/>
              <w:ind w:left="4" w:right="0"/>
              <w:jc w:val="left"/>
              <w:rPr>
                <w:rFonts w:ascii="宋体" w:hAnsi="宋体" w:cs="宋体" w:eastAsia="宋体" w:hint="default"/>
                <w:sz w:val="16"/>
                <w:szCs w:val="16"/>
              </w:rPr>
            </w:pPr>
            <w:r>
              <w:rPr>
                <w:rFonts w:ascii="宋体" w:hAnsi="宋体" w:cs="宋体" w:eastAsia="宋体" w:hint="default"/>
                <w:sz w:val="16"/>
                <w:szCs w:val="16"/>
              </w:rPr>
              <w:t>调整小计</w:t>
            </w:r>
          </w:p>
        </w:tc>
        <w:tc>
          <w:tcPr>
            <w:tcW w:w="300" w:type="dxa"/>
            <w:tcBorders>
              <w:top w:val="nil" w:sz="6" w:space="0" w:color="auto"/>
              <w:left w:val="nil" w:sz="6" w:space="0" w:color="auto"/>
              <w:bottom w:val="nil" w:sz="6" w:space="0" w:color="auto"/>
              <w:right w:val="nil" w:sz="6" w:space="0" w:color="auto"/>
            </w:tcBorders>
          </w:tcPr>
          <w:p>
            <w:pPr/>
          </w:p>
        </w:tc>
        <w:tc>
          <w:tcPr>
            <w:tcW w:w="1409" w:type="dxa"/>
            <w:tcBorders>
              <w:top w:val="nil" w:sz="6" w:space="0" w:color="auto"/>
              <w:left w:val="nil" w:sz="6" w:space="0" w:color="auto"/>
              <w:bottom w:val="nil" w:sz="6" w:space="0" w:color="auto"/>
              <w:right w:val="nil" w:sz="6" w:space="0" w:color="auto"/>
            </w:tcBorders>
          </w:tcPr>
          <w:p>
            <w:pPr>
              <w:pStyle w:val="TableParagraph"/>
              <w:tabs>
                <w:tab w:pos="614" w:val="left" w:leader="none"/>
                <w:tab w:pos="1742" w:val="left" w:leader="none"/>
              </w:tabs>
              <w:spacing w:line="240" w:lineRule="auto" w:before="114"/>
              <w:ind w:right="-334"/>
              <w:jc w:val="lef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ab/>
              <w:t>200  </w:t>
            </w:r>
            <w:r>
              <w:rPr>
                <w:rFonts w:ascii="Arial"/>
                <w:sz w:val="16"/>
              </w:rPr>
              <w:t>  </w:t>
            </w:r>
            <w:r>
              <w:rPr>
                <w:rFonts w:ascii="Arial"/>
                <w:spacing w:val="-14"/>
                <w:sz w:val="16"/>
              </w:rPr>
              <w:t> </w:t>
            </w:r>
            <w:r>
              <w:rPr>
                <w:rFonts w:ascii="Arial"/>
                <w:spacing w:val="-14"/>
                <w:w w:val="99"/>
                <w:sz w:val="16"/>
              </w:rPr>
            </w:r>
            <w:r>
              <w:rPr>
                <w:rFonts w:ascii="Arial"/>
                <w:w w:val="99"/>
                <w:sz w:val="16"/>
                <w:u w:val="single" w:color="000000"/>
              </w:rPr>
              <w:t> </w:t>
            </w:r>
            <w:r>
              <w:rPr>
                <w:rFonts w:ascii="Arial"/>
                <w:sz w:val="16"/>
                <w:u w:val="single" w:color="000000"/>
              </w:rPr>
              <w:tab/>
            </w:r>
            <w:r>
              <w:rPr>
                <w:rFonts w:ascii="Arial"/>
                <w:sz w:val="16"/>
              </w:rPr>
            </w:r>
          </w:p>
        </w:tc>
        <w:tc>
          <w:tcPr>
            <w:tcW w:w="818" w:type="dxa"/>
            <w:tcBorders>
              <w:top w:val="nil" w:sz="6" w:space="0" w:color="auto"/>
              <w:left w:val="nil" w:sz="6" w:space="0" w:color="auto"/>
              <w:bottom w:val="nil" w:sz="6" w:space="0" w:color="auto"/>
              <w:right w:val="nil" w:sz="6" w:space="0" w:color="auto"/>
            </w:tcBorders>
          </w:tcPr>
          <w:p>
            <w:pPr>
              <w:pStyle w:val="TableParagraph"/>
              <w:tabs>
                <w:tab w:pos="1053" w:val="left" w:leader="none"/>
              </w:tabs>
              <w:spacing w:line="240" w:lineRule="auto" w:before="114"/>
              <w:ind w:left="333" w:right="-236"/>
              <w:jc w:val="left"/>
              <w:rPr>
                <w:rFonts w:ascii="Arial" w:hAnsi="Arial" w:cs="Arial" w:eastAsia="Arial" w:hint="default"/>
                <w:sz w:val="16"/>
                <w:szCs w:val="16"/>
              </w:rPr>
            </w:pPr>
            <w:r>
              <w:rPr>
                <w:rFonts w:ascii="Arial"/>
                <w:w w:val="98"/>
                <w:sz w:val="16"/>
              </w:rPr>
            </w:r>
            <w:r>
              <w:rPr>
                <w:rFonts w:ascii="Arial"/>
                <w:sz w:val="16"/>
                <w:u w:val="single" w:color="000000"/>
              </w:rPr>
              <w:t>993 </w:t>
            </w:r>
            <w:r>
              <w:rPr>
                <w:rFonts w:ascii="Arial"/>
                <w:spacing w:val="10"/>
                <w:sz w:val="16"/>
                <w:u w:val="single" w:color="000000"/>
              </w:rPr>
              <w:t> </w:t>
            </w:r>
            <w:r>
              <w:rPr>
                <w:rFonts w:ascii="Arial"/>
                <w:spacing w:val="10"/>
                <w:sz w:val="16"/>
              </w:rPr>
            </w:r>
            <w:r>
              <w:rPr>
                <w:rFonts w:ascii="Arial"/>
                <w:sz w:val="16"/>
              </w:rPr>
              <w:t> </w:t>
            </w:r>
            <w:r>
              <w:rPr>
                <w:rFonts w:ascii="Arial"/>
                <w:spacing w:val="-22"/>
                <w:sz w:val="16"/>
              </w:rPr>
              <w:t> </w:t>
            </w:r>
            <w:r>
              <w:rPr>
                <w:rFonts w:ascii="Arial"/>
                <w:spacing w:val="-22"/>
                <w:w w:val="99"/>
                <w:sz w:val="16"/>
              </w:rPr>
            </w:r>
            <w:r>
              <w:rPr>
                <w:rFonts w:ascii="Arial"/>
                <w:w w:val="99"/>
                <w:sz w:val="16"/>
                <w:u w:val="single" w:color="000000"/>
              </w:rPr>
              <w:t> </w:t>
            </w:r>
            <w:r>
              <w:rPr>
                <w:rFonts w:ascii="Arial"/>
                <w:sz w:val="16"/>
                <w:u w:val="single" w:color="000000"/>
              </w:rPr>
              <w:tab/>
            </w:r>
            <w:r>
              <w:rPr>
                <w:rFonts w:ascii="Arial"/>
                <w:sz w:val="16"/>
              </w:rPr>
            </w:r>
          </w:p>
        </w:tc>
        <w:tc>
          <w:tcPr>
            <w:tcW w:w="919" w:type="dxa"/>
            <w:tcBorders>
              <w:top w:val="nil" w:sz="6" w:space="0" w:color="auto"/>
              <w:left w:val="nil" w:sz="6" w:space="0" w:color="auto"/>
              <w:bottom w:val="nil" w:sz="6" w:space="0" w:color="auto"/>
              <w:right w:val="nil" w:sz="6" w:space="0" w:color="auto"/>
            </w:tcBorders>
          </w:tcPr>
          <w:p>
            <w:pPr>
              <w:pStyle w:val="TableParagraph"/>
              <w:tabs>
                <w:tab w:pos="1204" w:val="left" w:leader="none"/>
              </w:tabs>
              <w:spacing w:line="240" w:lineRule="auto" w:before="114"/>
              <w:ind w:left="235" w:right="-286"/>
              <w:jc w:val="left"/>
              <w:rPr>
                <w:rFonts w:ascii="Arial" w:hAnsi="Arial" w:cs="Arial" w:eastAsia="Arial" w:hint="default"/>
                <w:sz w:val="16"/>
                <w:szCs w:val="16"/>
              </w:rPr>
            </w:pPr>
            <w:r>
              <w:rPr>
                <w:rFonts w:ascii="Arial"/>
                <w:w w:val="98"/>
                <w:sz w:val="16"/>
              </w:rPr>
            </w:r>
            <w:r>
              <w:rPr>
                <w:rFonts w:ascii="Arial"/>
                <w:sz w:val="16"/>
                <w:u w:val="single" w:color="000000"/>
              </w:rPr>
              <w:t>(1,247)</w:t>
            </w:r>
            <w:r>
              <w:rPr>
                <w:rFonts w:ascii="Arial"/>
                <w:spacing w:val="13"/>
                <w:sz w:val="16"/>
                <w:u w:val="single" w:color="000000"/>
              </w:rPr>
              <w:t> </w:t>
            </w:r>
            <w:r>
              <w:rPr>
                <w:rFonts w:ascii="Arial"/>
                <w:spacing w:val="13"/>
                <w:sz w:val="16"/>
              </w:rPr>
            </w:r>
            <w:r>
              <w:rPr>
                <w:rFonts w:ascii="Arial"/>
                <w:sz w:val="16"/>
              </w:rPr>
              <w:t> </w:t>
            </w:r>
            <w:r>
              <w:rPr>
                <w:rFonts w:ascii="Arial"/>
                <w:spacing w:val="-17"/>
                <w:sz w:val="16"/>
              </w:rPr>
              <w:t> </w:t>
            </w:r>
            <w:r>
              <w:rPr>
                <w:rFonts w:ascii="Arial"/>
                <w:spacing w:val="-17"/>
                <w:w w:val="99"/>
                <w:sz w:val="16"/>
              </w:rPr>
            </w:r>
            <w:r>
              <w:rPr>
                <w:rFonts w:ascii="Arial"/>
                <w:w w:val="99"/>
                <w:sz w:val="16"/>
                <w:u w:val="single" w:color="000000"/>
              </w:rPr>
              <w:t> </w:t>
            </w:r>
            <w:r>
              <w:rPr>
                <w:rFonts w:ascii="Arial"/>
                <w:sz w:val="16"/>
                <w:u w:val="single" w:color="000000"/>
              </w:rPr>
              <w:tab/>
            </w:r>
            <w:r>
              <w:rPr>
                <w:rFonts w:ascii="Arial"/>
                <w:sz w:val="16"/>
              </w:rPr>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9"/>
              <w:jc w:val="right"/>
              <w:rPr>
                <w:rFonts w:ascii="Arial" w:hAnsi="Arial" w:cs="Arial" w:eastAsia="Arial" w:hint="default"/>
                <w:sz w:val="16"/>
                <w:szCs w:val="16"/>
              </w:rPr>
            </w:pPr>
            <w:r>
              <w:rPr>
                <w:rFonts w:ascii="Arial"/>
                <w:w w:val="98"/>
                <w:sz w:val="16"/>
              </w:rPr>
            </w:r>
            <w:r>
              <w:rPr>
                <w:rFonts w:ascii="Arial"/>
                <w:spacing w:val="-1"/>
                <w:sz w:val="16"/>
                <w:u w:val="single" w:color="000000"/>
              </w:rPr>
              <w:t>(1,400)</w:t>
            </w:r>
            <w:r>
              <w:rPr>
                <w:rFonts w:ascii="Arial"/>
                <w:spacing w:val="-1"/>
                <w:sz w:val="16"/>
              </w:rPr>
            </w:r>
            <w:r>
              <w:rPr>
                <w:rFonts w:ascii="Arial"/>
                <w:sz w:val="16"/>
              </w:rPr>
            </w:r>
          </w:p>
        </w:tc>
      </w:tr>
      <w:tr>
        <w:trPr>
          <w:trHeight w:val="319" w:hRule="exact"/>
        </w:trPr>
        <w:tc>
          <w:tcPr>
            <w:tcW w:w="4572" w:type="dxa"/>
            <w:tcBorders>
              <w:top w:val="nil" w:sz="6" w:space="0" w:color="auto"/>
              <w:left w:val="nil" w:sz="6" w:space="0" w:color="auto"/>
              <w:bottom w:val="nil" w:sz="6" w:space="0" w:color="auto"/>
              <w:right w:val="nil" w:sz="6" w:space="0" w:color="auto"/>
            </w:tcBorders>
          </w:tcPr>
          <w:p>
            <w:pPr>
              <w:pStyle w:val="TableParagraph"/>
              <w:spacing w:line="240" w:lineRule="auto" w:before="63"/>
              <w:ind w:left="4" w:right="0"/>
              <w:jc w:val="left"/>
              <w:rPr>
                <w:rFonts w:ascii="宋体" w:hAnsi="宋体" w:cs="宋体" w:eastAsia="宋体" w:hint="default"/>
                <w:sz w:val="16"/>
                <w:szCs w:val="16"/>
              </w:rPr>
            </w:pPr>
            <w:r>
              <w:rPr>
                <w:rFonts w:ascii="宋体" w:hAnsi="宋体" w:cs="宋体" w:eastAsia="宋体" w:hint="default"/>
                <w:sz w:val="16"/>
                <w:szCs w:val="16"/>
              </w:rPr>
              <w:t>联通红筹公司国际</w:t>
            </w:r>
            <w:r>
              <w:rPr>
                <w:rFonts w:ascii="Arial" w:hAnsi="Arial" w:cs="Arial" w:eastAsia="Arial" w:hint="default"/>
                <w:sz w:val="16"/>
                <w:szCs w:val="16"/>
              </w:rPr>
              <w:t>/</w:t>
            </w:r>
            <w:r>
              <w:rPr>
                <w:rFonts w:ascii="宋体" w:hAnsi="宋体" w:cs="宋体" w:eastAsia="宋体" w:hint="default"/>
                <w:sz w:val="16"/>
                <w:szCs w:val="16"/>
              </w:rPr>
              <w:t>香港财务报告准则下净利润</w:t>
            </w:r>
            <w:r>
              <w:rPr>
                <w:rFonts w:ascii="Arial" w:hAnsi="Arial" w:cs="Arial" w:eastAsia="Arial" w:hint="default"/>
                <w:sz w:val="16"/>
                <w:szCs w:val="16"/>
              </w:rPr>
              <w:t>/</w:t>
            </w:r>
            <w:r>
              <w:rPr>
                <w:rFonts w:ascii="宋体" w:hAnsi="宋体" w:cs="宋体" w:eastAsia="宋体" w:hint="default"/>
                <w:sz w:val="16"/>
                <w:szCs w:val="16"/>
              </w:rPr>
              <w:t>净资产</w:t>
            </w:r>
          </w:p>
        </w:tc>
        <w:tc>
          <w:tcPr>
            <w:tcW w:w="300" w:type="dxa"/>
            <w:tcBorders>
              <w:top w:val="nil" w:sz="6" w:space="0" w:color="auto"/>
              <w:left w:val="nil" w:sz="6" w:space="0" w:color="auto"/>
              <w:bottom w:val="nil" w:sz="6" w:space="0" w:color="auto"/>
              <w:right w:val="nil" w:sz="6" w:space="0" w:color="auto"/>
            </w:tcBorders>
          </w:tcPr>
          <w:p>
            <w:pPr/>
          </w:p>
        </w:tc>
        <w:tc>
          <w:tcPr>
            <w:tcW w:w="1409" w:type="dxa"/>
            <w:tcBorders>
              <w:top w:val="nil" w:sz="6" w:space="0" w:color="auto"/>
              <w:left w:val="nil" w:sz="6" w:space="0" w:color="auto"/>
              <w:bottom w:val="single" w:sz="17" w:space="0" w:color="000000"/>
              <w:right w:val="nil" w:sz="6" w:space="0" w:color="auto"/>
            </w:tcBorders>
          </w:tcPr>
          <w:p>
            <w:pPr>
              <w:pStyle w:val="TableParagraph"/>
              <w:spacing w:line="240" w:lineRule="auto" w:before="114"/>
              <w:ind w:left="388" w:right="0"/>
              <w:jc w:val="left"/>
              <w:rPr>
                <w:rFonts w:ascii="Arial" w:hAnsi="Arial" w:cs="Arial" w:eastAsia="Arial" w:hint="default"/>
                <w:sz w:val="16"/>
                <w:szCs w:val="16"/>
              </w:rPr>
            </w:pPr>
            <w:r>
              <w:rPr>
                <w:rFonts w:ascii="Arial"/>
                <w:sz w:val="16"/>
              </w:rPr>
              <w:t>11,372</w:t>
            </w:r>
          </w:p>
        </w:tc>
        <w:tc>
          <w:tcPr>
            <w:tcW w:w="818" w:type="dxa"/>
            <w:tcBorders>
              <w:top w:val="nil" w:sz="6" w:space="0" w:color="auto"/>
              <w:left w:val="nil" w:sz="6" w:space="0" w:color="auto"/>
              <w:bottom w:val="single" w:sz="17" w:space="0" w:color="000000"/>
              <w:right w:val="nil" w:sz="6" w:space="0" w:color="auto"/>
            </w:tcBorders>
          </w:tcPr>
          <w:p>
            <w:pPr>
              <w:pStyle w:val="TableParagraph"/>
              <w:spacing w:line="240" w:lineRule="auto" w:before="114"/>
              <w:ind w:left="112" w:right="0"/>
              <w:jc w:val="left"/>
              <w:rPr>
                <w:rFonts w:ascii="Arial" w:hAnsi="Arial" w:cs="Arial" w:eastAsia="Arial" w:hint="default"/>
                <w:sz w:val="16"/>
                <w:szCs w:val="16"/>
              </w:rPr>
            </w:pPr>
            <w:r>
              <w:rPr>
                <w:rFonts w:ascii="Arial"/>
                <w:sz w:val="16"/>
              </w:rPr>
              <w:t>10,257</w:t>
            </w:r>
          </w:p>
        </w:tc>
        <w:tc>
          <w:tcPr>
            <w:tcW w:w="919" w:type="dxa"/>
            <w:tcBorders>
              <w:top w:val="nil" w:sz="6" w:space="0" w:color="auto"/>
              <w:left w:val="nil" w:sz="6" w:space="0" w:color="auto"/>
              <w:bottom w:val="single" w:sz="17" w:space="0" w:color="000000"/>
              <w:right w:val="nil" w:sz="6" w:space="0" w:color="auto"/>
            </w:tcBorders>
          </w:tcPr>
          <w:p>
            <w:pPr>
              <w:pStyle w:val="TableParagraph"/>
              <w:spacing w:line="240" w:lineRule="auto" w:before="114"/>
              <w:ind w:left="124" w:right="0"/>
              <w:jc w:val="left"/>
              <w:rPr>
                <w:rFonts w:ascii="Arial" w:hAnsi="Arial" w:cs="Arial" w:eastAsia="Arial" w:hint="default"/>
                <w:sz w:val="16"/>
                <w:szCs w:val="16"/>
              </w:rPr>
            </w:pPr>
            <w:r>
              <w:rPr>
                <w:rFonts w:ascii="Arial"/>
                <w:sz w:val="16"/>
              </w:rPr>
              <w:t>320,755</w:t>
            </w:r>
          </w:p>
        </w:tc>
        <w:tc>
          <w:tcPr>
            <w:tcW w:w="799" w:type="dxa"/>
            <w:tcBorders>
              <w:top w:val="nil" w:sz="6" w:space="0" w:color="auto"/>
              <w:left w:val="nil" w:sz="6" w:space="0" w:color="auto"/>
              <w:bottom w:val="single" w:sz="17" w:space="0" w:color="000000"/>
              <w:right w:val="nil" w:sz="6" w:space="0" w:color="auto"/>
            </w:tcBorders>
          </w:tcPr>
          <w:p>
            <w:pPr>
              <w:pStyle w:val="TableParagraph"/>
              <w:spacing w:line="240" w:lineRule="auto" w:before="114"/>
              <w:ind w:left="127" w:right="0"/>
              <w:jc w:val="left"/>
              <w:rPr>
                <w:rFonts w:ascii="Arial" w:hAnsi="Arial" w:cs="Arial" w:eastAsia="Arial" w:hint="default"/>
                <w:sz w:val="16"/>
                <w:szCs w:val="16"/>
              </w:rPr>
            </w:pPr>
            <w:r>
              <w:rPr>
                <w:rFonts w:ascii="Arial"/>
                <w:sz w:val="16"/>
              </w:rPr>
              <w:t>314,285</w:t>
            </w:r>
          </w:p>
        </w:tc>
      </w:tr>
    </w:tbl>
    <w:p>
      <w:pPr>
        <w:spacing w:line="240" w:lineRule="auto" w:before="7"/>
        <w:rPr>
          <w:rFonts w:ascii="宋体" w:hAnsi="宋体" w:cs="宋体" w:eastAsia="宋体" w:hint="default"/>
          <w:sz w:val="10"/>
          <w:szCs w:val="10"/>
        </w:rPr>
      </w:pPr>
    </w:p>
    <w:p>
      <w:pPr>
        <w:pStyle w:val="BodyText"/>
        <w:spacing w:line="240" w:lineRule="auto" w:before="32"/>
        <w:ind w:left="554" w:right="94"/>
        <w:jc w:val="left"/>
      </w:pPr>
      <w:r>
        <w:rPr/>
        <w:t>财务报表差异调节表项目注释说明：</w:t>
      </w:r>
    </w:p>
    <w:p>
      <w:pPr>
        <w:spacing w:line="240" w:lineRule="auto" w:before="10"/>
        <w:rPr>
          <w:rFonts w:ascii="宋体" w:hAnsi="宋体" w:cs="宋体" w:eastAsia="宋体" w:hint="default"/>
          <w:sz w:val="15"/>
          <w:szCs w:val="15"/>
        </w:rPr>
      </w:pPr>
    </w:p>
    <w:p>
      <w:pPr>
        <w:pStyle w:val="BodyText"/>
        <w:spacing w:line="240" w:lineRule="auto"/>
        <w:ind w:left="544" w:right="94"/>
        <w:jc w:val="left"/>
      </w:pPr>
      <w:r>
        <w:rPr/>
        <w:t>注</w:t>
      </w:r>
      <w:r>
        <w:rPr>
          <w:spacing w:val="-52"/>
        </w:rPr>
        <w:t> </w:t>
      </w:r>
      <w:r>
        <w:rPr>
          <w:rFonts w:ascii="Arial" w:hAnsi="Arial" w:cs="Arial" w:eastAsia="Arial" w:hint="default"/>
        </w:rPr>
        <w:t>1</w:t>
      </w:r>
      <w:r>
        <w:rPr/>
        <w:t>：因土地的评估对折旧及摊销的影响</w:t>
      </w:r>
    </w:p>
    <w:p>
      <w:pPr>
        <w:spacing w:line="240" w:lineRule="auto" w:before="3"/>
        <w:rPr>
          <w:rFonts w:ascii="宋体" w:hAnsi="宋体" w:cs="宋体" w:eastAsia="宋体" w:hint="default"/>
          <w:sz w:val="18"/>
          <w:szCs w:val="18"/>
        </w:rPr>
      </w:pPr>
    </w:p>
    <w:p>
      <w:pPr>
        <w:pStyle w:val="BodyText"/>
        <w:spacing w:line="235" w:lineRule="auto"/>
        <w:ind w:left="1183" w:right="114"/>
        <w:jc w:val="both"/>
      </w:pPr>
      <w:r>
        <w:rPr/>
        <w:t>在中国会计准则下，本集团所持有的土地在本集团改制重组上市以及后续同一控制下的企</w:t>
      </w:r>
      <w:r>
        <w:rPr>
          <w:spacing w:val="-55"/>
        </w:rPr>
        <w:t> </w:t>
      </w:r>
      <w:r>
        <w:rPr>
          <w:spacing w:val="-55"/>
        </w:rPr>
      </w:r>
      <w:r>
        <w:rPr>
          <w:spacing w:val="-1"/>
        </w:rPr>
        <w:t>业合并收购过程中以评估后价值入账并计提折旧及摊销。在国际</w:t>
      </w:r>
      <w:r>
        <w:rPr>
          <w:rFonts w:ascii="Arial" w:hAnsi="Arial" w:cs="Arial" w:eastAsia="Arial" w:hint="default"/>
          <w:spacing w:val="-1"/>
        </w:rPr>
        <w:t>/</w:t>
      </w:r>
      <w:r>
        <w:rPr>
          <w:spacing w:val="-1"/>
        </w:rPr>
        <w:t>香港财务报告准则下，对</w:t>
      </w:r>
      <w:r>
        <w:rPr>
          <w:spacing w:val="-64"/>
        </w:rPr>
        <w:t> </w:t>
      </w:r>
      <w:r>
        <w:rPr>
          <w:spacing w:val="-64"/>
        </w:rPr>
      </w:r>
      <w:r>
        <w:rPr/>
        <w:t>于土地一直以历史成本确认并计提折旧，由此产生准则差异。该准则差异亦考虑递延所得</w:t>
      </w:r>
      <w:r>
        <w:rPr>
          <w:spacing w:val="-55"/>
        </w:rPr>
        <w:t> </w:t>
      </w:r>
      <w:r>
        <w:rPr>
          <w:spacing w:val="-55"/>
        </w:rPr>
      </w:r>
      <w:r>
        <w:rPr/>
        <w:t>税的影响。</w:t>
      </w:r>
    </w:p>
    <w:p>
      <w:pPr>
        <w:spacing w:after="0" w:line="235" w:lineRule="auto"/>
        <w:jc w:val="both"/>
        <w:sectPr>
          <w:headerReference w:type="default" r:id="rId240"/>
          <w:pgSz w:w="11910" w:h="16840"/>
          <w:pgMar w:header="751" w:footer="502" w:top="2080" w:bottom="700" w:left="1020" w:right="940"/>
        </w:sectPr>
      </w:pPr>
    </w:p>
    <w:p>
      <w:pPr>
        <w:spacing w:line="240" w:lineRule="auto" w:before="10"/>
        <w:rPr>
          <w:rFonts w:ascii="宋体" w:hAnsi="宋体" w:cs="宋体" w:eastAsia="宋体" w:hint="default"/>
          <w:sz w:val="14"/>
          <w:szCs w:val="14"/>
        </w:rPr>
      </w:pPr>
    </w:p>
    <w:p>
      <w:pPr>
        <w:pStyle w:val="BodyText"/>
        <w:spacing w:line="240" w:lineRule="auto" w:before="32"/>
        <w:ind w:left="112" w:right="94"/>
        <w:jc w:val="left"/>
        <w:rPr>
          <w:rFonts w:ascii="黑体" w:hAnsi="黑体" w:cs="黑体" w:eastAsia="黑体" w:hint="default"/>
        </w:rPr>
      </w:pPr>
      <w:r>
        <w:rPr>
          <w:rFonts w:ascii="黑体" w:hAnsi="黑体" w:cs="黑体" w:eastAsia="黑体" w:hint="default"/>
        </w:rPr>
        <w:t>一、财务报表差异调节表（续）</w:t>
      </w:r>
    </w:p>
    <w:p>
      <w:pPr>
        <w:spacing w:line="240" w:lineRule="auto" w:before="9"/>
        <w:rPr>
          <w:rFonts w:ascii="黑体" w:hAnsi="黑体" w:cs="黑体" w:eastAsia="黑体" w:hint="default"/>
          <w:sz w:val="21"/>
          <w:szCs w:val="21"/>
        </w:rPr>
      </w:pPr>
    </w:p>
    <w:p>
      <w:pPr>
        <w:pStyle w:val="BodyText"/>
        <w:spacing w:line="240" w:lineRule="auto"/>
        <w:ind w:left="554" w:right="94"/>
        <w:jc w:val="left"/>
      </w:pPr>
      <w:r>
        <w:rPr/>
        <w:t>财务报表差异调节表项目注释说明（续）：</w:t>
      </w:r>
    </w:p>
    <w:p>
      <w:pPr>
        <w:spacing w:line="240" w:lineRule="auto" w:before="9"/>
        <w:rPr>
          <w:rFonts w:ascii="宋体" w:hAnsi="宋体" w:cs="宋体" w:eastAsia="宋体" w:hint="default"/>
          <w:sz w:val="23"/>
          <w:szCs w:val="23"/>
        </w:rPr>
      </w:pPr>
    </w:p>
    <w:p>
      <w:pPr>
        <w:pStyle w:val="BodyText"/>
        <w:spacing w:line="288" w:lineRule="exact"/>
        <w:ind w:left="1183" w:right="106" w:hanging="639"/>
        <w:jc w:val="left"/>
      </w:pPr>
      <w:r>
        <w:rPr/>
        <w:t>注</w:t>
      </w:r>
      <w:r>
        <w:rPr>
          <w:spacing w:val="-47"/>
        </w:rPr>
        <w:t> </w:t>
      </w:r>
      <w:r>
        <w:rPr>
          <w:rFonts w:ascii="Arial" w:hAnsi="Arial" w:cs="Arial" w:eastAsia="Arial" w:hint="default"/>
        </w:rPr>
        <w:t>2</w:t>
      </w:r>
      <w:r>
        <w:rPr/>
        <w:t>：因以前年度收购联通新世纪</w:t>
      </w:r>
      <w:r>
        <w:rPr>
          <w:spacing w:val="-47"/>
        </w:rPr>
        <w:t> </w:t>
      </w:r>
      <w:r>
        <w:rPr>
          <w:rFonts w:ascii="Arial" w:hAnsi="Arial" w:cs="Arial" w:eastAsia="Arial" w:hint="default"/>
        </w:rPr>
        <w:t>BVI</w:t>
      </w:r>
      <w:r>
        <w:rPr>
          <w:rFonts w:ascii="Arial" w:hAnsi="Arial" w:cs="Arial" w:eastAsia="Arial" w:hint="default"/>
          <w:spacing w:val="-2"/>
        </w:rPr>
        <w:t> </w:t>
      </w:r>
      <w:r>
        <w:rPr/>
        <w:t>和联通新世界</w:t>
      </w:r>
      <w:r>
        <w:rPr>
          <w:spacing w:val="-47"/>
        </w:rPr>
        <w:t> </w:t>
      </w:r>
      <w:r>
        <w:rPr>
          <w:rFonts w:ascii="Arial" w:hAnsi="Arial" w:cs="Arial" w:eastAsia="Arial" w:hint="default"/>
        </w:rPr>
        <w:t>BVI</w:t>
      </w:r>
      <w:r>
        <w:rPr>
          <w:rFonts w:ascii="Arial" w:hAnsi="Arial" w:cs="Arial" w:eastAsia="Arial" w:hint="default"/>
          <w:spacing w:val="-2"/>
        </w:rPr>
        <w:t> </w:t>
      </w:r>
      <w:r>
        <w:rPr/>
        <w:t>产生的股权投资差额、商誉及收购费用</w:t>
      </w:r>
      <w:r>
        <w:rPr>
          <w:w w:val="100"/>
        </w:rPr>
        <w:t> </w:t>
      </w:r>
      <w:r>
        <w:rPr/>
        <w:t>在不同准则下的差异</w:t>
      </w:r>
    </w:p>
    <w:p>
      <w:pPr>
        <w:spacing w:line="240" w:lineRule="auto" w:before="0"/>
        <w:rPr>
          <w:rFonts w:ascii="宋体" w:hAnsi="宋体" w:cs="宋体" w:eastAsia="宋体" w:hint="default"/>
          <w:sz w:val="18"/>
          <w:szCs w:val="18"/>
        </w:rPr>
      </w:pPr>
    </w:p>
    <w:p>
      <w:pPr>
        <w:pStyle w:val="BodyText"/>
        <w:spacing w:line="228" w:lineRule="auto"/>
        <w:ind w:left="1183" w:right="113"/>
        <w:jc w:val="both"/>
      </w:pPr>
      <w:r>
        <w:rPr/>
        <w:t>本公司分别于</w:t>
      </w:r>
      <w:r>
        <w:rPr>
          <w:spacing w:val="-52"/>
        </w:rPr>
        <w:t> </w:t>
      </w:r>
      <w:r>
        <w:rPr>
          <w:rFonts w:ascii="Arial" w:hAnsi="Arial" w:cs="Arial" w:eastAsia="Arial" w:hint="default"/>
        </w:rPr>
        <w:t>2002</w:t>
      </w:r>
      <w:r>
        <w:rPr>
          <w:rFonts w:ascii="Arial" w:hAnsi="Arial" w:cs="Arial" w:eastAsia="Arial" w:hint="default"/>
          <w:spacing w:val="4"/>
        </w:rPr>
        <w:t> </w:t>
      </w:r>
      <w:r>
        <w:rPr/>
        <w:t>年</w:t>
      </w:r>
      <w:r>
        <w:rPr>
          <w:spacing w:val="-52"/>
        </w:rPr>
        <w:t> </w:t>
      </w:r>
      <w:r>
        <w:rPr>
          <w:rFonts w:ascii="Arial" w:hAnsi="Arial" w:cs="Arial" w:eastAsia="Arial" w:hint="default"/>
        </w:rPr>
        <w:t>12</w:t>
      </w:r>
      <w:r>
        <w:rPr>
          <w:rFonts w:ascii="Arial" w:hAnsi="Arial" w:cs="Arial" w:eastAsia="Arial" w:hint="default"/>
          <w:spacing w:val="-1"/>
        </w:rPr>
        <w:t> </w:t>
      </w:r>
      <w:r>
        <w:rPr/>
        <w:t>月</w:t>
      </w:r>
      <w:r>
        <w:rPr>
          <w:spacing w:val="-47"/>
        </w:rPr>
        <w:t> </w:t>
      </w:r>
      <w:r>
        <w:rPr>
          <w:rFonts w:ascii="Arial" w:hAnsi="Arial" w:cs="Arial" w:eastAsia="Arial" w:hint="default"/>
        </w:rPr>
        <w:t>31</w:t>
      </w:r>
      <w:r>
        <w:rPr>
          <w:rFonts w:ascii="Arial" w:hAnsi="Arial" w:cs="Arial" w:eastAsia="Arial" w:hint="default"/>
          <w:spacing w:val="4"/>
        </w:rPr>
        <w:t> </w:t>
      </w:r>
      <w:r>
        <w:rPr/>
        <w:t>日和</w:t>
      </w:r>
      <w:r>
        <w:rPr>
          <w:spacing w:val="-47"/>
        </w:rPr>
        <w:t> </w:t>
      </w:r>
      <w:r>
        <w:rPr>
          <w:rFonts w:ascii="Arial" w:hAnsi="Arial" w:cs="Arial" w:eastAsia="Arial" w:hint="default"/>
        </w:rPr>
        <w:t>2003</w:t>
      </w:r>
      <w:r>
        <w:rPr>
          <w:rFonts w:ascii="Arial" w:hAnsi="Arial" w:cs="Arial" w:eastAsia="Arial" w:hint="default"/>
          <w:spacing w:val="4"/>
        </w:rPr>
        <w:t> </w:t>
      </w:r>
      <w:r>
        <w:rPr/>
        <w:t>年</w:t>
      </w:r>
      <w:r>
        <w:rPr>
          <w:spacing w:val="-52"/>
        </w:rPr>
        <w:t> </w:t>
      </w:r>
      <w:r>
        <w:rPr>
          <w:rFonts w:ascii="Arial" w:hAnsi="Arial" w:cs="Arial" w:eastAsia="Arial" w:hint="default"/>
        </w:rPr>
        <w:t>12</w:t>
      </w:r>
      <w:r>
        <w:rPr>
          <w:rFonts w:ascii="Arial" w:hAnsi="Arial" w:cs="Arial" w:eastAsia="Arial" w:hint="default"/>
          <w:spacing w:val="-1"/>
        </w:rPr>
        <w:t> </w:t>
      </w:r>
      <w:r>
        <w:rPr/>
        <w:t>月</w:t>
      </w:r>
      <w:r>
        <w:rPr>
          <w:spacing w:val="-47"/>
        </w:rPr>
        <w:t> </w:t>
      </w:r>
      <w:r>
        <w:rPr>
          <w:rFonts w:ascii="Arial" w:hAnsi="Arial" w:cs="Arial" w:eastAsia="Arial" w:hint="default"/>
        </w:rPr>
        <w:t>31</w:t>
      </w:r>
      <w:r>
        <w:rPr>
          <w:rFonts w:ascii="Arial" w:hAnsi="Arial" w:cs="Arial" w:eastAsia="Arial" w:hint="default"/>
          <w:spacing w:val="4"/>
        </w:rPr>
        <w:t> </w:t>
      </w:r>
      <w:r>
        <w:rPr/>
        <w:t>日间接通过联通红筹公司收购了联</w:t>
      </w:r>
      <w:r>
        <w:rPr>
          <w:w w:val="100"/>
        </w:rPr>
        <w:t> </w:t>
      </w:r>
      <w:r>
        <w:rPr/>
        <w:t>通新世纪</w:t>
      </w:r>
      <w:r>
        <w:rPr>
          <w:spacing w:val="-50"/>
        </w:rPr>
        <w:t> </w:t>
      </w:r>
      <w:r>
        <w:rPr>
          <w:rFonts w:ascii="Arial" w:hAnsi="Arial" w:cs="Arial" w:eastAsia="Arial" w:hint="default"/>
        </w:rPr>
        <w:t>BVI</w:t>
      </w:r>
      <w:r>
        <w:rPr>
          <w:rFonts w:ascii="Arial" w:hAnsi="Arial" w:cs="Arial" w:eastAsia="Arial" w:hint="default"/>
          <w:spacing w:val="-5"/>
        </w:rPr>
        <w:t> </w:t>
      </w:r>
      <w:r>
        <w:rPr/>
        <w:t>和联通新世界</w:t>
      </w:r>
      <w:r>
        <w:rPr>
          <w:spacing w:val="-50"/>
        </w:rPr>
        <w:t> </w:t>
      </w:r>
      <w:r>
        <w:rPr>
          <w:rFonts w:ascii="Arial" w:hAnsi="Arial" w:cs="Arial" w:eastAsia="Arial" w:hint="default"/>
        </w:rPr>
        <w:t>BVI</w:t>
      </w:r>
      <w:r>
        <w:rPr>
          <w:rFonts w:ascii="Arial" w:hAnsi="Arial" w:cs="Arial" w:eastAsia="Arial" w:hint="default"/>
          <w:spacing w:val="-5"/>
        </w:rPr>
        <w:t> </w:t>
      </w:r>
      <w:r>
        <w:rPr/>
        <w:t>的全部股权。在中国会计准则下，收购价与收购生效日被</w:t>
      </w:r>
      <w:r>
        <w:rPr>
          <w:w w:val="100"/>
        </w:rPr>
        <w:t> </w:t>
      </w:r>
      <w:r>
        <w:rPr/>
        <w:t>收购公司账面净资产值之间的差额确认为长期股权投资差额，并于</w:t>
      </w:r>
      <w:r>
        <w:rPr>
          <w:spacing w:val="-42"/>
        </w:rPr>
        <w:t> </w:t>
      </w:r>
      <w:r>
        <w:rPr>
          <w:rFonts w:ascii="Arial" w:hAnsi="Arial" w:cs="Arial" w:eastAsia="Arial" w:hint="default"/>
        </w:rPr>
        <w:t>2007</w:t>
      </w:r>
      <w:r>
        <w:rPr>
          <w:rFonts w:ascii="Arial" w:hAnsi="Arial" w:cs="Arial" w:eastAsia="Arial" w:hint="default"/>
          <w:spacing w:val="13"/>
        </w:rPr>
        <w:t> </w:t>
      </w:r>
      <w:r>
        <w:rPr/>
        <w:t>年</w:t>
      </w:r>
      <w:r>
        <w:rPr>
          <w:spacing w:val="-42"/>
        </w:rPr>
        <w:t> </w:t>
      </w:r>
      <w:r>
        <w:rPr>
          <w:rFonts w:ascii="Arial" w:hAnsi="Arial" w:cs="Arial" w:eastAsia="Arial" w:hint="default"/>
        </w:rPr>
        <w:t>1</w:t>
      </w:r>
      <w:r>
        <w:rPr>
          <w:rFonts w:ascii="Arial" w:hAnsi="Arial" w:cs="Arial" w:eastAsia="Arial" w:hint="default"/>
          <w:spacing w:val="13"/>
        </w:rPr>
        <w:t> </w:t>
      </w:r>
      <w:r>
        <w:rPr/>
        <w:t>月</w:t>
      </w:r>
      <w:r>
        <w:rPr>
          <w:spacing w:val="-42"/>
        </w:rPr>
        <w:t> </w:t>
      </w:r>
      <w:r>
        <w:rPr>
          <w:rFonts w:ascii="Arial" w:hAnsi="Arial" w:cs="Arial" w:eastAsia="Arial" w:hint="default"/>
        </w:rPr>
        <w:t>1</w:t>
      </w:r>
      <w:r>
        <w:rPr>
          <w:rFonts w:ascii="Arial" w:hAnsi="Arial" w:cs="Arial" w:eastAsia="Arial" w:hint="default"/>
          <w:spacing w:val="13"/>
        </w:rPr>
        <w:t> </w:t>
      </w:r>
      <w:r>
        <w:rPr/>
        <w:t>日将尚</w:t>
      </w:r>
      <w:r>
        <w:rPr>
          <w:w w:val="100"/>
        </w:rPr>
        <w:t> </w:t>
      </w:r>
      <w:r>
        <w:rPr>
          <w:spacing w:val="-1"/>
        </w:rPr>
        <w:t>未摊销的长期股权投资差额调整留存收益，减少本集团的净资产。而在国际</w:t>
      </w:r>
      <w:r>
        <w:rPr>
          <w:rFonts w:ascii="Arial" w:hAnsi="Arial" w:cs="Arial" w:eastAsia="Arial" w:hint="default"/>
          <w:spacing w:val="-1"/>
        </w:rPr>
        <w:t>/</w:t>
      </w:r>
      <w:r>
        <w:rPr>
          <w:spacing w:val="-1"/>
        </w:rPr>
        <w:t>香港财务报告</w:t>
      </w:r>
      <w:r>
        <w:rPr>
          <w:spacing w:val="-63"/>
        </w:rPr>
        <w:t> </w:t>
      </w:r>
      <w:r>
        <w:rPr>
          <w:spacing w:val="-63"/>
        </w:rPr>
      </w:r>
      <w:r>
        <w:rPr/>
        <w:t>准则下，收购价与收购生效日被收购公司资产及负债的公允价值之间的差额确认为商誉记</w:t>
      </w:r>
      <w:r>
        <w:rPr>
          <w:spacing w:val="-55"/>
        </w:rPr>
        <w:t> </w:t>
      </w:r>
      <w:r>
        <w:rPr>
          <w:spacing w:val="-55"/>
        </w:rPr>
      </w:r>
      <w:r>
        <w:rPr/>
        <w:t>入资产且不进行摊销，而是每年或当有减值迹象时进行减值测试。</w:t>
      </w:r>
    </w:p>
    <w:p>
      <w:pPr>
        <w:spacing w:line="240" w:lineRule="auto" w:before="13"/>
        <w:rPr>
          <w:rFonts w:ascii="宋体" w:hAnsi="宋体" w:cs="宋体" w:eastAsia="宋体" w:hint="default"/>
          <w:sz w:val="19"/>
          <w:szCs w:val="19"/>
        </w:rPr>
      </w:pPr>
    </w:p>
    <w:p>
      <w:pPr>
        <w:pStyle w:val="BodyText"/>
        <w:spacing w:line="230" w:lineRule="auto"/>
        <w:ind w:left="1183" w:right="115"/>
        <w:jc w:val="both"/>
      </w:pPr>
      <w:r>
        <w:rPr/>
        <w:t>除收购价外，本集团支付与上述收购直接相关的其他费用分别约人民币</w:t>
      </w:r>
      <w:r>
        <w:rPr>
          <w:spacing w:val="-48"/>
        </w:rPr>
        <w:t> </w:t>
      </w:r>
      <w:r>
        <w:rPr>
          <w:rFonts w:ascii="Arial" w:hAnsi="Arial" w:cs="Arial" w:eastAsia="Arial" w:hint="default"/>
        </w:rPr>
        <w:t>1.09</w:t>
      </w:r>
      <w:r>
        <w:rPr>
          <w:rFonts w:ascii="Arial" w:hAnsi="Arial" w:cs="Arial" w:eastAsia="Arial" w:hint="default"/>
          <w:spacing w:val="-2"/>
        </w:rPr>
        <w:t> </w:t>
      </w:r>
      <w:r>
        <w:rPr/>
        <w:t>亿元和</w:t>
      </w:r>
      <w:r>
        <w:rPr>
          <w:spacing w:val="-48"/>
        </w:rPr>
        <w:t> </w:t>
      </w:r>
      <w:r>
        <w:rPr>
          <w:rFonts w:ascii="Arial" w:hAnsi="Arial" w:cs="Arial" w:eastAsia="Arial" w:hint="default"/>
        </w:rPr>
        <w:t>4,938</w:t>
      </w:r>
      <w:r>
        <w:rPr>
          <w:rFonts w:ascii="Arial" w:hAnsi="Arial" w:cs="Arial" w:eastAsia="Arial" w:hint="default"/>
          <w:w w:val="100"/>
        </w:rPr>
        <w:t> </w:t>
      </w:r>
      <w:r>
        <w:rPr>
          <w:spacing w:val="-1"/>
        </w:rPr>
        <w:t>万元。在中国会计准则下，发生的交易费用作为期间费用，于发生之时计入损益。于国际</w:t>
      </w:r>
      <w:r>
        <w:rPr>
          <w:rFonts w:ascii="Arial" w:hAnsi="Arial" w:cs="Arial" w:eastAsia="Arial" w:hint="default"/>
          <w:spacing w:val="-1"/>
        </w:rPr>
        <w:t>/</w:t>
      </w:r>
      <w:r>
        <w:rPr>
          <w:rFonts w:ascii="Arial" w:hAnsi="Arial" w:cs="Arial" w:eastAsia="Arial" w:hint="default"/>
          <w:spacing w:val="-15"/>
        </w:rPr>
        <w:t> </w:t>
      </w:r>
      <w:r>
        <w:rPr/>
        <w:t>香港财务报告准则下，该等费用作为收购成本的一部分，随同收购成本一并予以资本化并</w:t>
      </w:r>
      <w:r>
        <w:rPr>
          <w:spacing w:val="-55"/>
        </w:rPr>
        <w:t> </w:t>
      </w:r>
      <w:r>
        <w:rPr>
          <w:spacing w:val="-55"/>
        </w:rPr>
      </w:r>
      <w:r>
        <w:rPr/>
        <w:t>于合并时计入商誉。</w:t>
      </w:r>
    </w:p>
    <w:p>
      <w:pPr>
        <w:spacing w:line="240" w:lineRule="auto" w:before="11"/>
        <w:rPr>
          <w:rFonts w:ascii="宋体" w:hAnsi="宋体" w:cs="宋体" w:eastAsia="宋体" w:hint="default"/>
          <w:sz w:val="21"/>
          <w:szCs w:val="21"/>
        </w:rPr>
      </w:pPr>
    </w:p>
    <w:p>
      <w:pPr>
        <w:pStyle w:val="BodyText"/>
        <w:spacing w:line="284" w:lineRule="exact"/>
        <w:ind w:left="1183" w:right="104" w:hanging="639"/>
        <w:jc w:val="left"/>
      </w:pPr>
      <w:r>
        <w:rPr/>
        <w:t>注</w:t>
      </w:r>
      <w:r>
        <w:rPr>
          <w:spacing w:val="28"/>
        </w:rPr>
        <w:t> </w:t>
      </w:r>
      <w:r>
        <w:rPr>
          <w:rFonts w:ascii="Arial" w:hAnsi="Arial" w:cs="Arial" w:eastAsia="Arial" w:hint="default"/>
        </w:rPr>
        <w:t>3</w:t>
      </w:r>
      <w:r>
        <w:rPr/>
        <w:t>：因持有的联营企业股权比例被动稀释而产生的长期股权投资账面价值变动在不同准则下的</w:t>
      </w:r>
      <w:r>
        <w:rPr>
          <w:w w:val="100"/>
        </w:rPr>
        <w:t> </w:t>
      </w:r>
      <w:r>
        <w:rPr/>
        <w:t>差异</w:t>
      </w:r>
    </w:p>
    <w:p>
      <w:pPr>
        <w:spacing w:line="240" w:lineRule="auto" w:before="9"/>
        <w:rPr>
          <w:rFonts w:ascii="宋体" w:hAnsi="宋体" w:cs="宋体" w:eastAsia="宋体" w:hint="default"/>
          <w:sz w:val="17"/>
          <w:szCs w:val="17"/>
        </w:rPr>
      </w:pPr>
    </w:p>
    <w:p>
      <w:pPr>
        <w:pStyle w:val="BodyText"/>
        <w:spacing w:line="232" w:lineRule="auto"/>
        <w:ind w:left="1183" w:right="114"/>
        <w:jc w:val="both"/>
      </w:pPr>
      <w:r>
        <w:rPr/>
        <w:t>于</w:t>
      </w:r>
      <w:r>
        <w:rPr>
          <w:spacing w:val="-33"/>
        </w:rPr>
        <w:t> </w:t>
      </w:r>
      <w:r>
        <w:rPr>
          <w:rFonts w:ascii="Arial" w:hAnsi="Arial" w:cs="Arial" w:eastAsia="Arial" w:hint="default"/>
        </w:rPr>
        <w:t>2019</w:t>
      </w:r>
      <w:r>
        <w:rPr>
          <w:rFonts w:ascii="Arial" w:hAnsi="Arial" w:cs="Arial" w:eastAsia="Arial" w:hint="default"/>
          <w:spacing w:val="19"/>
        </w:rPr>
        <w:t> </w:t>
      </w:r>
      <w:r>
        <w:rPr>
          <w:spacing w:val="-4"/>
        </w:rPr>
        <w:t>年度，本集团持有的对智慧足迹等联营企业的投资，因被投资企业其他投资者新增</w:t>
      </w:r>
      <w:r>
        <w:rPr>
          <w:spacing w:val="-107"/>
        </w:rPr>
        <w:t> </w:t>
      </w:r>
      <w:r>
        <w:rPr>
          <w:spacing w:val="-107"/>
        </w:rPr>
      </w:r>
      <w:r>
        <w:rPr/>
        <w:t>投资而导致长期股权投资的账面价值发生变动。在中国会计准则下，投资方对于被投资单</w:t>
      </w:r>
      <w:r>
        <w:rPr>
          <w:spacing w:val="-55"/>
        </w:rPr>
        <w:t> </w:t>
      </w:r>
      <w:r>
        <w:rPr>
          <w:spacing w:val="-55"/>
        </w:rPr>
      </w:r>
      <w:r>
        <w:rPr/>
        <w:t>位除净损益、其他综合收益和利润分配以外所有者权益的其他变动，应当调整长期股权投</w:t>
      </w:r>
      <w:r>
        <w:rPr>
          <w:spacing w:val="-55"/>
        </w:rPr>
        <w:t> </w:t>
      </w:r>
      <w:r>
        <w:rPr>
          <w:spacing w:val="-55"/>
        </w:rPr>
      </w:r>
      <w:r>
        <w:rPr>
          <w:spacing w:val="-1"/>
        </w:rPr>
        <w:t>资的账面价值并计入所有者权益。而在国际</w:t>
      </w:r>
      <w:r>
        <w:rPr>
          <w:rFonts w:ascii="Arial" w:hAnsi="Arial" w:cs="Arial" w:eastAsia="Arial" w:hint="default"/>
          <w:spacing w:val="-1"/>
        </w:rPr>
        <w:t>/</w:t>
      </w:r>
      <w:r>
        <w:rPr>
          <w:spacing w:val="-1"/>
        </w:rPr>
        <w:t>香港财务报告准则下，上述被动稀释产生的对</w:t>
      </w:r>
      <w:r>
        <w:rPr>
          <w:spacing w:val="-63"/>
        </w:rPr>
        <w:t> </w:t>
      </w:r>
      <w:r>
        <w:rPr>
          <w:spacing w:val="-63"/>
        </w:rPr>
      </w:r>
      <w:r>
        <w:rPr/>
        <w:t>联营企业长期股权投资账面价值的变动应当确认为投资收益，计入当期损益。</w:t>
      </w:r>
    </w:p>
    <w:p>
      <w:pPr>
        <w:spacing w:after="0" w:line="232" w:lineRule="auto"/>
        <w:jc w:val="both"/>
        <w:sectPr>
          <w:headerReference w:type="default" r:id="rId241"/>
          <w:pgSz w:w="11910" w:h="16840"/>
          <w:pgMar w:header="751" w:footer="502" w:top="2080" w:bottom="700" w:left="1020" w:right="940"/>
        </w:sectPr>
      </w:pPr>
    </w:p>
    <w:p>
      <w:pPr>
        <w:spacing w:line="240" w:lineRule="auto" w:before="8"/>
        <w:rPr>
          <w:rFonts w:ascii="宋体" w:hAnsi="宋体" w:cs="宋体" w:eastAsia="宋体" w:hint="default"/>
          <w:sz w:val="18"/>
          <w:szCs w:val="18"/>
        </w:rPr>
      </w:pPr>
    </w:p>
    <w:p>
      <w:pPr>
        <w:tabs>
          <w:tab w:pos="7641" w:val="left" w:leader="none"/>
        </w:tabs>
        <w:spacing w:before="44"/>
        <w:ind w:left="690" w:right="0" w:firstLine="0"/>
        <w:jc w:val="left"/>
        <w:rPr>
          <w:rFonts w:ascii="宋体" w:hAnsi="宋体" w:cs="宋体" w:eastAsia="宋体" w:hint="default"/>
          <w:sz w:val="18"/>
          <w:szCs w:val="18"/>
        </w:rPr>
      </w:pPr>
      <w:r>
        <w:rPr/>
        <w:pict>
          <v:shape style="position:absolute;margin-left:89.900002pt;margin-top:-8.278264pt;width:27.6pt;height:21pt;mso-position-horizontal-relative:page;mso-position-vertical-relative:paragraph;z-index:-1024360" type="#_x0000_t75" stroked="false">
            <v:imagedata r:id="rId86" o:title=""/>
          </v:shape>
        </w:pict>
      </w:r>
      <w:r>
        <w:rPr>
          <w:rFonts w:ascii="宋体" w:hAnsi="宋体" w:cs="宋体" w:eastAsia="宋体" w:hint="default"/>
          <w:sz w:val="18"/>
          <w:szCs w:val="18"/>
        </w:rPr>
        <w:t>中国联合网络通信股份有限公司</w:t>
        <w:tab/>
      </w: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44.35pt;height:.75pt;mso-position-horizontal-relative:char;mso-position-vertical-relative:line" coordorigin="0,0" coordsize="8887,15">
            <v:group style="position:absolute;left:7;top:7;width:8872;height:2" coordorigin="7,7" coordsize="8872,2">
              <v:shape style="position:absolute;left:7;top:7;width:8872;height:2" coordorigin="7,7" coordsize="8872,0" path="m7,7l8879,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pStyle w:val="Heading1"/>
        <w:spacing w:line="413" w:lineRule="exact"/>
        <w:ind w:left="3063" w:right="3077"/>
        <w:jc w:val="center"/>
        <w:rPr>
          <w:rFonts w:ascii="Microsoft JhengHei" w:hAnsi="Microsoft JhengHei" w:cs="Microsoft JhengHei" w:eastAsia="Microsoft JhengHei" w:hint="default"/>
          <w:b w:val="0"/>
          <w:bCs w:val="0"/>
        </w:rPr>
      </w:pPr>
      <w:bookmarkStart w:name="_TOC_250000" w:id="57"/>
      <w:r>
        <w:rPr>
          <w:rFonts w:ascii="Microsoft JhengHei" w:hAnsi="Microsoft JhengHei" w:cs="Microsoft JhengHei" w:eastAsia="Microsoft JhengHei" w:hint="default"/>
        </w:rPr>
        <w:t>第十二节 </w:t>
      </w:r>
      <w:r>
        <w:rPr>
          <w:rFonts w:ascii="Microsoft JhengHei" w:hAnsi="Microsoft JhengHei" w:cs="Microsoft JhengHei" w:eastAsia="Microsoft JhengHei" w:hint="default"/>
          <w:spacing w:val="5"/>
        </w:rPr>
        <w:t> </w:t>
      </w:r>
      <w:r>
        <w:rPr>
          <w:rFonts w:ascii="Microsoft JhengHei" w:hAnsi="Microsoft JhengHei" w:cs="Microsoft JhengHei" w:eastAsia="Microsoft JhengHei" w:hint="default"/>
        </w:rPr>
        <w:t>备查文件目录</w:t>
      </w:r>
      <w:bookmarkEnd w:id="57"/>
      <w:r>
        <w:rPr>
          <w:rFonts w:ascii="Microsoft JhengHei" w:hAnsi="Microsoft JhengHei" w:cs="Microsoft JhengHei" w:eastAsia="Microsoft JhengHei" w:hint="default"/>
          <w:b w:val="0"/>
          <w:bCs w:val="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6"/>
        <w:rPr>
          <w:rFonts w:ascii="Microsoft JhengHei" w:hAnsi="Microsoft JhengHei" w:cs="Microsoft JhengHei" w:eastAsia="Microsoft JhengHei" w:hint="default"/>
          <w:b/>
          <w:bCs/>
          <w:sz w:val="15"/>
          <w:szCs w:val="15"/>
        </w:rPr>
      </w:pPr>
    </w:p>
    <w:tbl>
      <w:tblPr>
        <w:tblW w:w="0" w:type="auto"/>
        <w:jc w:val="left"/>
        <w:tblInd w:w="102" w:type="dxa"/>
        <w:tblLayout w:type="fixed"/>
        <w:tblCellMar>
          <w:top w:w="0" w:type="dxa"/>
          <w:left w:w="0" w:type="dxa"/>
          <w:bottom w:w="0" w:type="dxa"/>
          <w:right w:w="0" w:type="dxa"/>
        </w:tblCellMar>
        <w:tblLook w:val="01E0"/>
      </w:tblPr>
      <w:tblGrid>
        <w:gridCol w:w="2295"/>
        <w:gridCol w:w="6601"/>
      </w:tblGrid>
      <w:tr>
        <w:trPr>
          <w:trHeight w:val="554" w:hRule="exact"/>
        </w:trPr>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4" w:right="0"/>
              <w:jc w:val="center"/>
              <w:rPr>
                <w:rFonts w:ascii="宋体" w:hAnsi="宋体" w:cs="宋体" w:eastAsia="宋体" w:hint="default"/>
                <w:sz w:val="21"/>
                <w:szCs w:val="21"/>
              </w:rPr>
            </w:pPr>
            <w:r>
              <w:rPr>
                <w:rFonts w:ascii="宋体" w:hAnsi="宋体" w:cs="宋体" w:eastAsia="宋体" w:hint="default"/>
                <w:sz w:val="21"/>
                <w:szCs w:val="21"/>
              </w:rPr>
              <w:t>备查文件目录</w:t>
            </w:r>
          </w:p>
        </w:tc>
        <w:tc>
          <w:tcPr>
            <w:tcW w:w="660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载有法定代表人、主管会计工作负责人、会计机构负责人签名并盖章的</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会计报表</w:t>
            </w:r>
          </w:p>
        </w:tc>
      </w:tr>
      <w:tr>
        <w:trPr>
          <w:trHeight w:val="283" w:hRule="exact"/>
        </w:trPr>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备查文件目录</w:t>
            </w:r>
          </w:p>
        </w:tc>
        <w:tc>
          <w:tcPr>
            <w:tcW w:w="66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载有会计师事务所盖章、注册会计师签名并盖章的审计报告原件</w:t>
            </w:r>
          </w:p>
        </w:tc>
      </w:tr>
      <w:tr>
        <w:trPr>
          <w:trHeight w:val="554" w:hRule="exact"/>
        </w:trPr>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4" w:right="0"/>
              <w:jc w:val="center"/>
              <w:rPr>
                <w:rFonts w:ascii="宋体" w:hAnsi="宋体" w:cs="宋体" w:eastAsia="宋体" w:hint="default"/>
                <w:sz w:val="21"/>
                <w:szCs w:val="21"/>
              </w:rPr>
            </w:pPr>
            <w:r>
              <w:rPr>
                <w:rFonts w:ascii="宋体" w:hAnsi="宋体" w:cs="宋体" w:eastAsia="宋体" w:hint="default"/>
                <w:sz w:val="21"/>
                <w:szCs w:val="21"/>
              </w:rPr>
              <w:t>备查文件目录</w:t>
            </w:r>
          </w:p>
        </w:tc>
        <w:tc>
          <w:tcPr>
            <w:tcW w:w="660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报告期内在中国证监会指定报纸上公开披露的所有公司文件的正本及公</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告的原稿</w:t>
            </w:r>
          </w:p>
        </w:tc>
      </w:tr>
      <w:tr>
        <w:trPr>
          <w:trHeight w:val="283" w:hRule="exact"/>
        </w:trPr>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备查文件目录</w:t>
            </w:r>
          </w:p>
        </w:tc>
        <w:tc>
          <w:tcPr>
            <w:tcW w:w="66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联通红筹公司</w:t>
            </w:r>
            <w:r>
              <w:rPr>
                <w:rFonts w:ascii="宋体" w:hAnsi="宋体" w:cs="宋体" w:eastAsia="宋体" w:hint="default"/>
                <w:sz w:val="21"/>
                <w:szCs w:val="21"/>
              </w:rPr>
              <w:t>2019</w:t>
            </w:r>
            <w:r>
              <w:rPr>
                <w:rFonts w:ascii="宋体" w:hAnsi="宋体" w:cs="宋体" w:eastAsia="宋体" w:hint="default"/>
                <w:sz w:val="21"/>
                <w:szCs w:val="21"/>
              </w:rPr>
              <w:t>年度业绩公告</w:t>
            </w:r>
          </w:p>
        </w:tc>
      </w:tr>
    </w:tbl>
    <w:p>
      <w:pPr>
        <w:spacing w:line="240" w:lineRule="auto" w:before="17"/>
        <w:rPr>
          <w:rFonts w:ascii="Microsoft JhengHei" w:hAnsi="Microsoft JhengHei" w:cs="Microsoft JhengHei" w:eastAsia="Microsoft JhengHei" w:hint="default"/>
          <w:b/>
          <w:bCs/>
          <w:sz w:val="15"/>
          <w:szCs w:val="15"/>
        </w:rPr>
      </w:pPr>
    </w:p>
    <w:p>
      <w:pPr>
        <w:spacing w:line="314" w:lineRule="auto" w:before="36"/>
        <w:ind w:left="5236" w:right="148" w:firstLine="2259"/>
        <w:jc w:val="left"/>
        <w:rPr>
          <w:rFonts w:ascii="宋体" w:hAnsi="宋体" w:cs="宋体" w:eastAsia="宋体" w:hint="default"/>
          <w:sz w:val="21"/>
          <w:szCs w:val="21"/>
        </w:rPr>
      </w:pPr>
      <w:r>
        <w:rPr>
          <w:rFonts w:ascii="宋体" w:hAnsi="宋体" w:cs="宋体" w:eastAsia="宋体" w:hint="default"/>
          <w:spacing w:val="-1"/>
          <w:sz w:val="21"/>
          <w:szCs w:val="21"/>
        </w:rPr>
        <w:t>董事长：王晓初</w:t>
      </w:r>
      <w:r>
        <w:rPr>
          <w:rFonts w:ascii="宋体" w:hAnsi="宋体" w:cs="宋体" w:eastAsia="宋体" w:hint="default"/>
          <w:w w:val="100"/>
          <w:sz w:val="21"/>
          <w:szCs w:val="21"/>
        </w:rPr>
        <w:t> </w:t>
      </w:r>
      <w:r>
        <w:rPr>
          <w:rFonts w:ascii="宋体" w:hAnsi="宋体" w:cs="宋体" w:eastAsia="宋体" w:hint="default"/>
          <w:sz w:val="21"/>
          <w:szCs w:val="21"/>
        </w:rPr>
        <w:t>董事会批准报送日期：</w:t>
      </w:r>
      <w:r>
        <w:rPr>
          <w:rFonts w:ascii="宋体" w:hAnsi="宋体" w:cs="宋体" w:eastAsia="宋体" w:hint="default"/>
          <w:sz w:val="21"/>
          <w:szCs w:val="21"/>
        </w:rPr>
        <w:t>2020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23</w:t>
      </w:r>
      <w:r>
        <w:rPr>
          <w:rFonts w:ascii="宋体" w:hAnsi="宋体" w:cs="宋体" w:eastAsia="宋体" w:hint="default"/>
          <w:spacing w:val="-54"/>
          <w:sz w:val="21"/>
          <w:szCs w:val="21"/>
        </w:rPr>
        <w:t> </w:t>
      </w:r>
      <w:r>
        <w:rPr>
          <w:rFonts w:ascii="宋体" w:hAnsi="宋体" w:cs="宋体" w:eastAsia="宋体" w:hint="default"/>
          <w:sz w:val="21"/>
          <w:szCs w:val="21"/>
        </w:rPr>
        <w:t>日</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406" w:lineRule="exact" w:before="105"/>
        <w:ind w:left="138" w:right="0" w:firstLine="0"/>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修订信息</w:t>
      </w:r>
      <w:r>
        <w:rPr>
          <w:rFonts w:ascii="Microsoft JhengHei" w:hAnsi="Microsoft JhengHei" w:cs="Microsoft JhengHei" w:eastAsia="Microsoft JhengHei" w:hint="default"/>
          <w:sz w:val="24"/>
          <w:szCs w:val="24"/>
        </w:rPr>
      </w:r>
    </w:p>
    <w:p>
      <w:pPr>
        <w:spacing w:line="263" w:lineRule="exact" w:before="0"/>
        <w:ind w:left="138" w:right="0"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
          <w:sz w:val="21"/>
          <w:szCs w:val="21"/>
        </w:rPr>
        <w:t> </w:t>
      </w:r>
      <w:r>
        <w:rPr>
          <w:rFonts w:ascii="宋体" w:hAnsi="宋体" w:cs="宋体" w:eastAsia="宋体" w:hint="default"/>
          <w:sz w:val="21"/>
          <w:szCs w:val="21"/>
        </w:rPr>
        <w:t>√不适用</w:t>
      </w:r>
    </w:p>
    <w:p>
      <w:pPr>
        <w:spacing w:after="0" w:line="263" w:lineRule="exact"/>
        <w:jc w:val="left"/>
        <w:rPr>
          <w:rFonts w:ascii="宋体" w:hAnsi="宋体" w:cs="宋体" w:eastAsia="宋体" w:hint="default"/>
          <w:sz w:val="21"/>
          <w:szCs w:val="21"/>
        </w:rPr>
        <w:sectPr>
          <w:headerReference w:type="default" r:id="rId242"/>
          <w:footerReference w:type="default" r:id="rId243"/>
          <w:pgSz w:w="11910" w:h="16840"/>
          <w:pgMar w:header="0" w:footer="502" w:top="760" w:bottom="700" w:left="1660" w:right="1120"/>
        </w:sectPr>
      </w:pPr>
    </w:p>
    <w:p>
      <w:pPr>
        <w:spacing w:line="495" w:lineRule="exact" w:before="0"/>
        <w:ind w:left="111" w:right="0" w:firstLine="0"/>
        <w:jc w:val="left"/>
        <w:rPr>
          <w:rFonts w:ascii="宋体" w:hAnsi="宋体" w:cs="宋体" w:eastAsia="宋体" w:hint="default"/>
          <w:sz w:val="18"/>
          <w:szCs w:val="18"/>
        </w:rPr>
      </w:pPr>
      <w:r>
        <w:rPr/>
        <w:pict>
          <v:group style="position:absolute;margin-left:0pt;margin-top:0pt;width:595.1pt;height:841.15pt;mso-position-horizontal-relative:page;mso-position-vertical-relative:page;z-index:-1024336" coordorigin="0,0" coordsize="11902,16823">
            <v:shape style="position:absolute;left:0;top:0;width:11901;height:16823" type="#_x0000_t75" stroked="false">
              <v:imagedata r:id="rId246" o:title=""/>
            </v:shape>
            <v:shape style="position:absolute;left:4896;top:3011;width:5709;height:3562" type="#_x0000_t75" stroked="false">
              <v:imagedata r:id="rId247" o:title=""/>
            </v:shape>
            <w10:wrap type="none"/>
          </v:group>
        </w:pict>
      </w:r>
      <w:r>
        <w:rPr>
          <w:rFonts w:ascii="宋体" w:hAnsi="宋体" w:cs="宋体" w:eastAsia="宋体" w:hint="default"/>
          <w:color w:val="C24A60"/>
          <w:spacing w:val="-68"/>
          <w:w w:val="88"/>
          <w:sz w:val="46"/>
          <w:szCs w:val="46"/>
        </w:rPr>
        <w:t>噬</w:t>
      </w:r>
      <w:r>
        <w:rPr>
          <w:rFonts w:ascii="宋体" w:hAnsi="宋体" w:cs="宋体" w:eastAsia="宋体" w:hint="default"/>
          <w:color w:val="C24A60"/>
          <w:spacing w:val="-1"/>
          <w:w w:val="235"/>
          <w:sz w:val="18"/>
          <w:szCs w:val="18"/>
        </w:rPr>
        <w:t>O</w:t>
      </w:r>
      <w:r>
        <w:rPr>
          <w:rFonts w:ascii="宋体" w:hAnsi="宋体" w:cs="宋体" w:eastAsia="宋体" w:hint="default"/>
          <w:color w:val="282928"/>
          <w:w w:val="99"/>
          <w:sz w:val="18"/>
          <w:szCs w:val="18"/>
        </w:rPr>
        <w:t>中国联合网络</w:t>
      </w:r>
      <w:r>
        <w:rPr>
          <w:rFonts w:ascii="宋体" w:hAnsi="宋体" w:cs="宋体" w:eastAsia="宋体" w:hint="default"/>
          <w:color w:val="282928"/>
          <w:spacing w:val="-5"/>
          <w:w w:val="99"/>
          <w:sz w:val="18"/>
          <w:szCs w:val="18"/>
        </w:rPr>
        <w:t>通</w:t>
      </w:r>
      <w:r>
        <w:rPr>
          <w:rFonts w:ascii="宋体" w:hAnsi="宋体" w:cs="宋体" w:eastAsia="宋体" w:hint="default"/>
          <w:color w:val="3C3C3C"/>
          <w:w w:val="97"/>
          <w:sz w:val="18"/>
          <w:szCs w:val="18"/>
        </w:rPr>
        <w:t>信</w:t>
      </w:r>
      <w:r>
        <w:rPr>
          <w:rFonts w:ascii="宋体" w:hAnsi="宋体" w:cs="宋体" w:eastAsia="宋体" w:hint="default"/>
          <w:color w:val="282928"/>
          <w:spacing w:val="1"/>
          <w:w w:val="102"/>
          <w:sz w:val="18"/>
          <w:szCs w:val="18"/>
        </w:rPr>
        <w:t>股份有限</w:t>
      </w:r>
      <w:r>
        <w:rPr>
          <w:rFonts w:ascii="宋体" w:hAnsi="宋体" w:cs="宋体" w:eastAsia="宋体" w:hint="default"/>
          <w:color w:val="282928"/>
          <w:w w:val="102"/>
          <w:sz w:val="18"/>
          <w:szCs w:val="18"/>
        </w:rPr>
        <w:t>公</w:t>
      </w:r>
      <w:r>
        <w:rPr>
          <w:rFonts w:ascii="宋体" w:hAnsi="宋体" w:cs="宋体" w:eastAsia="宋体" w:hint="default"/>
          <w:color w:val="3C3C3C"/>
          <w:w w:val="87"/>
          <w:sz w:val="18"/>
          <w:szCs w:val="18"/>
        </w:rPr>
        <w:t>司</w:t>
      </w:r>
      <w:r>
        <w:rPr>
          <w:rFonts w:ascii="宋体" w:hAnsi="宋体" w:cs="宋体" w:eastAsia="宋体" w:hint="default"/>
          <w:sz w:val="18"/>
          <w:szCs w:val="18"/>
        </w:rPr>
      </w:r>
    </w:p>
    <w:p>
      <w:pPr>
        <w:tabs>
          <w:tab w:pos="2364" w:val="left" w:leader="none"/>
        </w:tabs>
        <w:spacing w:line="431" w:lineRule="exact" w:before="0"/>
        <w:ind w:left="284" w:right="0" w:firstLine="0"/>
        <w:jc w:val="left"/>
        <w:rPr>
          <w:rFonts w:ascii="宋体" w:hAnsi="宋体" w:cs="宋体" w:eastAsia="宋体" w:hint="default"/>
          <w:sz w:val="32"/>
          <w:szCs w:val="32"/>
        </w:rPr>
      </w:pPr>
      <w:r>
        <w:rPr>
          <w:rFonts w:ascii="宋体" w:hAnsi="宋体" w:cs="宋体" w:eastAsia="宋体" w:hint="default"/>
          <w:color w:val="151616"/>
          <w:spacing w:val="-2"/>
          <w:w w:val="80"/>
          <w:sz w:val="32"/>
          <w:szCs w:val="32"/>
        </w:rPr>
        <w:t>（本页无正文，</w:t>
        <w:tab/>
      </w:r>
      <w:r>
        <w:rPr>
          <w:rFonts w:ascii="宋体" w:hAnsi="宋体" w:cs="宋体" w:eastAsia="宋体" w:hint="default"/>
          <w:color w:val="151616"/>
          <w:spacing w:val="-1"/>
          <w:sz w:val="32"/>
          <w:szCs w:val="32"/>
        </w:rPr>
        <w:t>为</w:t>
      </w:r>
      <w:r>
        <w:rPr>
          <w:rFonts w:ascii="宋体" w:hAnsi="宋体" w:cs="宋体" w:eastAsia="宋体" w:hint="default"/>
          <w:color w:val="151616"/>
          <w:spacing w:val="-1"/>
          <w:position w:val="2"/>
          <w:sz w:val="32"/>
          <w:szCs w:val="32"/>
        </w:rPr>
        <w:t>20</w:t>
      </w:r>
      <w:r>
        <w:rPr>
          <w:rFonts w:ascii="宋体" w:hAnsi="宋体" w:cs="宋体" w:eastAsia="宋体" w:hint="default"/>
          <w:color w:val="151616"/>
          <w:spacing w:val="-1"/>
          <w:sz w:val="32"/>
          <w:szCs w:val="32"/>
        </w:rPr>
        <w:t>19年年度报告的签署页）</w:t>
      </w:r>
      <w:r>
        <w:rPr>
          <w:rFonts w:ascii="宋体" w:hAnsi="宋体" w:cs="宋体" w:eastAsia="宋体" w:hint="default"/>
          <w:spacing w:val="-1"/>
          <w:sz w:val="32"/>
          <w:szCs w:val="32"/>
        </w:rPr>
      </w:r>
    </w:p>
    <w:p>
      <w:pPr>
        <w:spacing w:line="240" w:lineRule="auto" w:before="0"/>
        <w:rPr>
          <w:rFonts w:ascii="宋体" w:hAnsi="宋体" w:cs="宋体" w:eastAsia="宋体" w:hint="default"/>
          <w:sz w:val="34"/>
          <w:szCs w:val="34"/>
        </w:rPr>
      </w:pPr>
    </w:p>
    <w:p>
      <w:pPr>
        <w:spacing w:line="240" w:lineRule="auto" w:before="0"/>
        <w:rPr>
          <w:rFonts w:ascii="宋体" w:hAnsi="宋体" w:cs="宋体" w:eastAsia="宋体" w:hint="default"/>
          <w:sz w:val="34"/>
          <w:szCs w:val="34"/>
        </w:rPr>
      </w:pPr>
    </w:p>
    <w:p>
      <w:pPr>
        <w:spacing w:line="240" w:lineRule="auto" w:before="0"/>
        <w:rPr>
          <w:rFonts w:ascii="宋体" w:hAnsi="宋体" w:cs="宋体" w:eastAsia="宋体" w:hint="default"/>
          <w:sz w:val="34"/>
          <w:szCs w:val="34"/>
        </w:rPr>
      </w:pPr>
    </w:p>
    <w:p>
      <w:pPr>
        <w:spacing w:line="240" w:lineRule="auto" w:before="0"/>
        <w:rPr>
          <w:rFonts w:ascii="宋体" w:hAnsi="宋体" w:cs="宋体" w:eastAsia="宋体" w:hint="default"/>
          <w:sz w:val="34"/>
          <w:szCs w:val="34"/>
        </w:rPr>
      </w:pPr>
    </w:p>
    <w:p>
      <w:pPr>
        <w:spacing w:line="240" w:lineRule="auto" w:before="0"/>
        <w:rPr>
          <w:rFonts w:ascii="宋体" w:hAnsi="宋体" w:cs="宋体" w:eastAsia="宋体" w:hint="default"/>
          <w:sz w:val="34"/>
          <w:szCs w:val="34"/>
        </w:rPr>
      </w:pPr>
    </w:p>
    <w:p>
      <w:pPr>
        <w:spacing w:line="240" w:lineRule="auto" w:before="0"/>
        <w:rPr>
          <w:rFonts w:ascii="宋体" w:hAnsi="宋体" w:cs="宋体" w:eastAsia="宋体" w:hint="default"/>
          <w:sz w:val="34"/>
          <w:szCs w:val="34"/>
        </w:rPr>
      </w:pPr>
    </w:p>
    <w:p>
      <w:pPr>
        <w:spacing w:line="240" w:lineRule="auto" w:before="0"/>
        <w:rPr>
          <w:rFonts w:ascii="宋体" w:hAnsi="宋体" w:cs="宋体" w:eastAsia="宋体" w:hint="default"/>
          <w:sz w:val="34"/>
          <w:szCs w:val="34"/>
        </w:rPr>
      </w:pPr>
    </w:p>
    <w:p>
      <w:pPr>
        <w:spacing w:line="240" w:lineRule="auto" w:before="0"/>
        <w:rPr>
          <w:rFonts w:ascii="宋体" w:hAnsi="宋体" w:cs="宋体" w:eastAsia="宋体" w:hint="default"/>
          <w:sz w:val="34"/>
          <w:szCs w:val="34"/>
        </w:rPr>
      </w:pPr>
    </w:p>
    <w:p>
      <w:pPr>
        <w:spacing w:line="240" w:lineRule="auto" w:before="0"/>
        <w:rPr>
          <w:rFonts w:ascii="宋体" w:hAnsi="宋体" w:cs="宋体" w:eastAsia="宋体" w:hint="default"/>
          <w:sz w:val="34"/>
          <w:szCs w:val="34"/>
        </w:rPr>
      </w:pPr>
    </w:p>
    <w:p>
      <w:pPr>
        <w:spacing w:line="240" w:lineRule="auto" w:before="0"/>
        <w:rPr>
          <w:rFonts w:ascii="宋体" w:hAnsi="宋体" w:cs="宋体" w:eastAsia="宋体" w:hint="default"/>
          <w:sz w:val="34"/>
          <w:szCs w:val="34"/>
        </w:rPr>
      </w:pPr>
    </w:p>
    <w:p>
      <w:pPr>
        <w:spacing w:line="240" w:lineRule="auto" w:before="8"/>
        <w:rPr>
          <w:rFonts w:ascii="宋体" w:hAnsi="宋体" w:cs="宋体" w:eastAsia="宋体" w:hint="default"/>
          <w:sz w:val="35"/>
          <w:szCs w:val="35"/>
        </w:rPr>
      </w:pPr>
    </w:p>
    <w:p>
      <w:pPr>
        <w:spacing w:before="0"/>
        <w:ind w:left="5810" w:right="0" w:firstLine="0"/>
        <w:jc w:val="left"/>
        <w:rPr>
          <w:rFonts w:ascii="宋体" w:hAnsi="宋体" w:cs="宋体" w:eastAsia="宋体" w:hint="default"/>
          <w:sz w:val="32"/>
          <w:szCs w:val="32"/>
        </w:rPr>
      </w:pPr>
      <w:r>
        <w:rPr>
          <w:rFonts w:ascii="宋体" w:hAnsi="宋体" w:cs="宋体" w:eastAsia="宋体" w:hint="default"/>
          <w:color w:val="111211"/>
          <w:w w:val="115"/>
          <w:sz w:val="32"/>
          <w:szCs w:val="32"/>
        </w:rPr>
        <w:t>2020</w:t>
      </w:r>
      <w:r>
        <w:rPr>
          <w:rFonts w:ascii="宋体" w:hAnsi="宋体" w:cs="宋体" w:eastAsia="宋体" w:hint="default"/>
          <w:color w:val="111211"/>
          <w:w w:val="115"/>
          <w:position w:val="-1"/>
          <w:sz w:val="32"/>
          <w:szCs w:val="32"/>
        </w:rPr>
        <w:t>年</w:t>
      </w:r>
      <w:r>
        <w:rPr>
          <w:rFonts w:ascii="宋体" w:hAnsi="宋体" w:cs="宋体" w:eastAsia="宋体" w:hint="default"/>
          <w:color w:val="111211"/>
          <w:w w:val="115"/>
          <w:sz w:val="32"/>
          <w:szCs w:val="32"/>
        </w:rPr>
        <w:t>3月23日</w:t>
      </w:r>
      <w:r>
        <w:rPr>
          <w:rFonts w:ascii="宋体" w:hAnsi="宋体" w:cs="宋体" w:eastAsia="宋体" w:hint="default"/>
          <w:sz w:val="32"/>
          <w:szCs w:val="32"/>
        </w:rPr>
      </w:r>
    </w:p>
    <w:sectPr>
      <w:headerReference w:type="default" r:id="rId244"/>
      <w:footerReference w:type="default" r:id="rId245"/>
      <w:pgSz w:w="11910" w:h="16830"/>
      <w:pgMar w:header="0" w:footer="0" w:top="820" w:bottom="280" w:left="124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Arial">
    <w:altName w:val="Arial"/>
    <w:charset w:val="0"/>
    <w:family w:val="swiss"/>
    <w:pitch w:val="variable"/>
  </w:font>
  <w:font w:name="黑体">
    <w:altName w:val="黑体"/>
    <w:charset w:val="86"/>
    <w:family w:val="modern"/>
    <w:pitch w:val="fixed"/>
  </w:font>
  <w:font w:name="Microsoft JhengHei">
    <w:altName w:val="Microsoft JhengHei"/>
    <w:charset w:val="0"/>
    <w:family w:val="swiss"/>
    <w:pitch w:val="variable"/>
  </w:font>
  <w:font w:name="微软雅黑">
    <w:altName w:val="微软雅黑"/>
    <w:charset w:val="86"/>
    <w:family w:val="swiss"/>
    <w:pitch w:val="variable"/>
  </w:font>
  <w:font w:name="Symbol">
    <w:altName w:val="Symbol"/>
    <w:charset w:val="2"/>
    <w:family w:val="roman"/>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4.660004pt;margin-top:805.808716pt;width:26pt;height:10pt;mso-position-horizontal-relative:page;mso-position-vertical-relative:page;z-index:-1024888"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1</w:t>
                </w:r>
                <w:r>
                  <w:rPr>
                    <w:rFonts w:ascii="宋体" w:hAnsi="宋体" w:cs="宋体" w:eastAsia="宋体" w:hint="default"/>
                    <w:sz w:val="16"/>
                    <w:szCs w:val="16"/>
                  </w:rPr>
                  <w:t>1</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672"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1</w:t>
                </w:r>
                <w:r>
                  <w:rPr>
                    <w:rFonts w:ascii="宋体" w:hAnsi="宋体" w:cs="宋体" w:eastAsia="宋体" w:hint="default"/>
                    <w:sz w:val="16"/>
                    <w:szCs w:val="16"/>
                  </w:rPr>
                  <w:t>1</w:t>
                </w:r>
                <w:r>
                  <w:rPr>
                    <w:rFonts w:ascii="宋体" w:hAnsi="宋体" w:cs="宋体" w:eastAsia="宋体" w:hint="default"/>
                    <w:spacing w:val="-80"/>
                    <w:sz w:val="16"/>
                    <w:szCs w:val="16"/>
                  </w:rPr>
                  <w:t>0</w:t>
                </w:r>
                <w:r>
                  <w:rPr>
                    <w:rFonts w:ascii="宋体" w:hAnsi="宋体" w:cs="宋体" w:eastAsia="宋体" w:hint="default"/>
                    <w:sz w:val="16"/>
                    <w:szCs w:val="16"/>
                  </w:rPr>
                  <w:t>0</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648"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1</w:t>
                </w:r>
                <w:r>
                  <w:rPr>
                    <w:rFonts w:ascii="宋体" w:hAnsi="宋体" w:cs="宋体" w:eastAsia="宋体" w:hint="default"/>
                    <w:sz w:val="16"/>
                    <w:szCs w:val="16"/>
                  </w:rPr>
                  <w:t>1</w:t>
                </w:r>
                <w:r>
                  <w:rPr>
                    <w:rFonts w:ascii="宋体" w:hAnsi="宋体" w:cs="宋体" w:eastAsia="宋体" w:hint="default"/>
                    <w:spacing w:val="-80"/>
                    <w:sz w:val="16"/>
                    <w:szCs w:val="16"/>
                  </w:rPr>
                  <w:t>1</w:t>
                </w:r>
                <w:r>
                  <w:rPr>
                    <w:rFonts w:ascii="宋体" w:hAnsi="宋体" w:cs="宋体" w:eastAsia="宋体" w:hint="default"/>
                    <w:sz w:val="16"/>
                    <w:szCs w:val="16"/>
                  </w:rPr>
                  <w:t>1</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624"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1</w:t>
                </w:r>
                <w:r>
                  <w:rPr>
                    <w:rFonts w:ascii="宋体" w:hAnsi="宋体" w:cs="宋体" w:eastAsia="宋体" w:hint="default"/>
                    <w:sz w:val="16"/>
                    <w:szCs w:val="16"/>
                  </w:rPr>
                  <w:t>1</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600"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1</w:t>
                </w:r>
                <w:r>
                  <w:rPr>
                    <w:rFonts w:ascii="宋体" w:hAnsi="宋体" w:cs="宋体" w:eastAsia="宋体" w:hint="default"/>
                    <w:sz w:val="16"/>
                    <w:szCs w:val="16"/>
                  </w:rPr>
                  <w:t>1</w:t>
                </w:r>
                <w:r>
                  <w:rPr>
                    <w:rFonts w:ascii="宋体" w:hAnsi="宋体" w:cs="宋体" w:eastAsia="宋体" w:hint="default"/>
                    <w:spacing w:val="-80"/>
                    <w:sz w:val="16"/>
                    <w:szCs w:val="16"/>
                  </w:rPr>
                  <w:t>3</w:t>
                </w:r>
                <w:r>
                  <w:rPr>
                    <w:rFonts w:ascii="宋体" w:hAnsi="宋体" w:cs="宋体" w:eastAsia="宋体" w:hint="default"/>
                    <w:sz w:val="16"/>
                    <w:szCs w:val="16"/>
                  </w:rPr>
                  <w:t>3</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576"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1</w:t>
                </w:r>
                <w:r>
                  <w:rPr>
                    <w:rFonts w:ascii="宋体" w:hAnsi="宋体" w:cs="宋体" w:eastAsia="宋体" w:hint="default"/>
                    <w:sz w:val="16"/>
                    <w:szCs w:val="16"/>
                  </w:rPr>
                  <w:t>1</w:t>
                </w:r>
                <w:r>
                  <w:rPr>
                    <w:rFonts w:ascii="宋体" w:hAnsi="宋体" w:cs="宋体" w:eastAsia="宋体" w:hint="default"/>
                    <w:spacing w:val="-80"/>
                    <w:sz w:val="16"/>
                    <w:szCs w:val="16"/>
                  </w:rPr>
                  <w:t>4</w:t>
                </w:r>
                <w:r>
                  <w:rPr>
                    <w:rFonts w:ascii="宋体" w:hAnsi="宋体" w:cs="宋体" w:eastAsia="宋体" w:hint="default"/>
                    <w:sz w:val="16"/>
                    <w:szCs w:val="16"/>
                  </w:rPr>
                  <w:t>4</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552"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1</w:t>
                </w:r>
                <w:r>
                  <w:rPr>
                    <w:rFonts w:ascii="宋体" w:hAnsi="宋体" w:cs="宋体" w:eastAsia="宋体" w:hint="default"/>
                    <w:sz w:val="16"/>
                    <w:szCs w:val="16"/>
                  </w:rPr>
                  <w:t>1</w:t>
                </w:r>
                <w:r>
                  <w:rPr>
                    <w:rFonts w:ascii="宋体" w:hAnsi="宋体" w:cs="宋体" w:eastAsia="宋体" w:hint="default"/>
                    <w:spacing w:val="-80"/>
                    <w:sz w:val="16"/>
                    <w:szCs w:val="16"/>
                  </w:rPr>
                  <w:t>5</w:t>
                </w:r>
                <w:r>
                  <w:rPr>
                    <w:rFonts w:ascii="宋体" w:hAnsi="宋体" w:cs="宋体" w:eastAsia="宋体" w:hint="default"/>
                    <w:sz w:val="16"/>
                    <w:szCs w:val="16"/>
                  </w:rPr>
                  <w:t>5</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528"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1</w:t>
                </w:r>
                <w:r>
                  <w:rPr>
                    <w:rFonts w:ascii="宋体" w:hAnsi="宋体" w:cs="宋体" w:eastAsia="宋体" w:hint="default"/>
                    <w:sz w:val="16"/>
                    <w:szCs w:val="16"/>
                  </w:rPr>
                  <w:t>1</w:t>
                </w:r>
                <w:r>
                  <w:rPr>
                    <w:rFonts w:ascii="宋体" w:hAnsi="宋体" w:cs="宋体" w:eastAsia="宋体" w:hint="default"/>
                    <w:spacing w:val="-80"/>
                    <w:sz w:val="16"/>
                    <w:szCs w:val="16"/>
                  </w:rPr>
                  <w:t>6</w:t>
                </w:r>
                <w:r>
                  <w:rPr>
                    <w:rFonts w:ascii="宋体" w:hAnsi="宋体" w:cs="宋体" w:eastAsia="宋体" w:hint="default"/>
                    <w:sz w:val="16"/>
                    <w:szCs w:val="16"/>
                  </w:rPr>
                  <w:t>6</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504"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1</w:t>
                </w:r>
                <w:r>
                  <w:rPr>
                    <w:rFonts w:ascii="宋体" w:hAnsi="宋体" w:cs="宋体" w:eastAsia="宋体" w:hint="default"/>
                    <w:sz w:val="16"/>
                    <w:szCs w:val="16"/>
                  </w:rPr>
                  <w:t>1</w:t>
                </w:r>
                <w:r>
                  <w:rPr>
                    <w:rFonts w:ascii="宋体" w:hAnsi="宋体" w:cs="宋体" w:eastAsia="宋体" w:hint="default"/>
                    <w:spacing w:val="-80"/>
                    <w:sz w:val="16"/>
                    <w:szCs w:val="16"/>
                  </w:rPr>
                  <w:t>7</w:t>
                </w:r>
                <w:r>
                  <w:rPr>
                    <w:rFonts w:ascii="宋体" w:hAnsi="宋体" w:cs="宋体" w:eastAsia="宋体" w:hint="default"/>
                    <w:sz w:val="16"/>
                    <w:szCs w:val="16"/>
                  </w:rPr>
                  <w:t>7</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480"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1</w:t>
                </w:r>
                <w:r>
                  <w:rPr>
                    <w:rFonts w:ascii="宋体" w:hAnsi="宋体" w:cs="宋体" w:eastAsia="宋体" w:hint="default"/>
                    <w:sz w:val="16"/>
                    <w:szCs w:val="16"/>
                  </w:rPr>
                  <w:t>1</w:t>
                </w:r>
                <w:r>
                  <w:rPr>
                    <w:rFonts w:ascii="宋体" w:hAnsi="宋体" w:cs="宋体" w:eastAsia="宋体" w:hint="default"/>
                    <w:spacing w:val="-80"/>
                    <w:sz w:val="16"/>
                    <w:szCs w:val="16"/>
                  </w:rPr>
                  <w:t>8</w:t>
                </w:r>
                <w:r>
                  <w:rPr>
                    <w:rFonts w:ascii="宋体" w:hAnsi="宋体" w:cs="宋体" w:eastAsia="宋体" w:hint="default"/>
                    <w:sz w:val="16"/>
                    <w:szCs w:val="16"/>
                  </w:rPr>
                  <w:t>8</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456"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1</w:t>
                </w:r>
                <w:r>
                  <w:rPr>
                    <w:rFonts w:ascii="宋体" w:hAnsi="宋体" w:cs="宋体" w:eastAsia="宋体" w:hint="default"/>
                    <w:sz w:val="16"/>
                    <w:szCs w:val="16"/>
                  </w:rPr>
                  <w:t>1</w:t>
                </w:r>
                <w:r>
                  <w:rPr>
                    <w:rFonts w:ascii="宋体" w:hAnsi="宋体" w:cs="宋体" w:eastAsia="宋体" w:hint="default"/>
                    <w:spacing w:val="-80"/>
                    <w:sz w:val="16"/>
                    <w:szCs w:val="16"/>
                  </w:rPr>
                  <w:t>9</w:t>
                </w:r>
                <w:r>
                  <w:rPr>
                    <w:rFonts w:ascii="宋体" w:hAnsi="宋体" w:cs="宋体" w:eastAsia="宋体" w:hint="default"/>
                    <w:sz w:val="16"/>
                    <w:szCs w:val="16"/>
                  </w:rPr>
                  <w:t>9</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4.660004pt;margin-top:805.808716pt;width:26pt;height:10pt;mso-position-horizontal-relative:page;mso-position-vertical-relative:page;z-index:-1024864"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432"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408"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1</w:t>
                </w:r>
                <w:r>
                  <w:rPr>
                    <w:rFonts w:ascii="宋体" w:hAnsi="宋体" w:cs="宋体" w:eastAsia="宋体" w:hint="default"/>
                    <w:sz w:val="16"/>
                    <w:szCs w:val="16"/>
                  </w:rPr>
                  <w:t>1</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384"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360"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3</w:t>
                </w:r>
                <w:r>
                  <w:rPr>
                    <w:rFonts w:ascii="宋体" w:hAnsi="宋体" w:cs="宋体" w:eastAsia="宋体" w:hint="default"/>
                    <w:sz w:val="16"/>
                    <w:szCs w:val="16"/>
                  </w:rPr>
                  <w:t>3</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336"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4</w:t>
                </w:r>
                <w:r>
                  <w:rPr>
                    <w:rFonts w:ascii="宋体" w:hAnsi="宋体" w:cs="宋体" w:eastAsia="宋体" w:hint="default"/>
                    <w:sz w:val="16"/>
                    <w:szCs w:val="16"/>
                  </w:rPr>
                  <w:t>4</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312"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5</w:t>
                </w:r>
                <w:r>
                  <w:rPr>
                    <w:rFonts w:ascii="宋体" w:hAnsi="宋体" w:cs="宋体" w:eastAsia="宋体" w:hint="default"/>
                    <w:sz w:val="16"/>
                    <w:szCs w:val="16"/>
                  </w:rPr>
                  <w:t>5</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288"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6</w:t>
                </w:r>
                <w:r>
                  <w:rPr>
                    <w:rFonts w:ascii="宋体" w:hAnsi="宋体" w:cs="宋体" w:eastAsia="宋体" w:hint="default"/>
                    <w:sz w:val="16"/>
                    <w:szCs w:val="16"/>
                  </w:rPr>
                  <w:t>6</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264"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7</w:t>
                </w:r>
                <w:r>
                  <w:rPr>
                    <w:rFonts w:ascii="宋体" w:hAnsi="宋体" w:cs="宋体" w:eastAsia="宋体" w:hint="default"/>
                    <w:sz w:val="16"/>
                    <w:szCs w:val="16"/>
                  </w:rPr>
                  <w:t>7</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240"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8</w:t>
                </w:r>
                <w:r>
                  <w:rPr>
                    <w:rFonts w:ascii="宋体" w:hAnsi="宋体" w:cs="宋体" w:eastAsia="宋体" w:hint="default"/>
                    <w:sz w:val="16"/>
                    <w:szCs w:val="16"/>
                  </w:rPr>
                  <w:t>8</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216"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9</w:t>
                </w:r>
                <w:r>
                  <w:rPr>
                    <w:rFonts w:ascii="宋体" w:hAnsi="宋体" w:cs="宋体" w:eastAsia="宋体" w:hint="default"/>
                    <w:sz w:val="16"/>
                    <w:szCs w:val="16"/>
                  </w:rPr>
                  <w:t>9</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4.660004pt;margin-top:805.808716pt;width:26pt;height:10pt;mso-position-horizontal-relative:page;mso-position-vertical-relative:page;z-index:-1024840"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3</w:t>
                </w:r>
                <w:r>
                  <w:rPr>
                    <w:rFonts w:ascii="宋体" w:hAnsi="宋体" w:cs="宋体" w:eastAsia="宋体" w:hint="default"/>
                    <w:sz w:val="16"/>
                    <w:szCs w:val="16"/>
                  </w:rPr>
                  <w:t>3</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192"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3</w:t>
                </w:r>
                <w:r>
                  <w:rPr>
                    <w:rFonts w:ascii="宋体" w:hAnsi="宋体" w:cs="宋体" w:eastAsia="宋体" w:hint="default"/>
                    <w:sz w:val="16"/>
                    <w:szCs w:val="16"/>
                  </w:rPr>
                  <w:t>3</w:t>
                </w:r>
                <w:r>
                  <w:rPr>
                    <w:rFonts w:ascii="宋体" w:hAnsi="宋体" w:cs="宋体" w:eastAsia="宋体" w:hint="default"/>
                    <w:spacing w:val="-80"/>
                    <w:sz w:val="16"/>
                    <w:szCs w:val="16"/>
                  </w:rPr>
                  <w:t>0</w:t>
                </w:r>
                <w:r>
                  <w:rPr>
                    <w:rFonts w:ascii="宋体" w:hAnsi="宋体" w:cs="宋体" w:eastAsia="宋体" w:hint="default"/>
                    <w:sz w:val="16"/>
                    <w:szCs w:val="16"/>
                  </w:rPr>
                  <w:t>0</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168"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3</w:t>
                </w:r>
                <w:r>
                  <w:rPr>
                    <w:rFonts w:ascii="宋体" w:hAnsi="宋体" w:cs="宋体" w:eastAsia="宋体" w:hint="default"/>
                    <w:sz w:val="16"/>
                    <w:szCs w:val="16"/>
                  </w:rPr>
                  <w:t>3</w:t>
                </w:r>
                <w:r>
                  <w:rPr>
                    <w:rFonts w:ascii="宋体" w:hAnsi="宋体" w:cs="宋体" w:eastAsia="宋体" w:hint="default"/>
                    <w:spacing w:val="-80"/>
                    <w:sz w:val="16"/>
                    <w:szCs w:val="16"/>
                  </w:rPr>
                  <w:t>1</w:t>
                </w:r>
                <w:r>
                  <w:rPr>
                    <w:rFonts w:ascii="宋体" w:hAnsi="宋体" w:cs="宋体" w:eastAsia="宋体" w:hint="default"/>
                    <w:sz w:val="16"/>
                    <w:szCs w:val="16"/>
                  </w:rPr>
                  <w:t>1</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144"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3</w:t>
                </w:r>
                <w:r>
                  <w:rPr>
                    <w:rFonts w:ascii="宋体" w:hAnsi="宋体" w:cs="宋体" w:eastAsia="宋体" w:hint="default"/>
                    <w:sz w:val="16"/>
                    <w:szCs w:val="16"/>
                  </w:rPr>
                  <w:t>3</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120"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3</w:t>
                </w:r>
                <w:r>
                  <w:rPr>
                    <w:rFonts w:ascii="宋体" w:hAnsi="宋体" w:cs="宋体" w:eastAsia="宋体" w:hint="default"/>
                    <w:sz w:val="16"/>
                    <w:szCs w:val="16"/>
                  </w:rPr>
                  <w:t>3</w:t>
                </w:r>
                <w:r>
                  <w:rPr>
                    <w:rFonts w:ascii="宋体" w:hAnsi="宋体" w:cs="宋体" w:eastAsia="宋体" w:hint="default"/>
                    <w:spacing w:val="-80"/>
                    <w:sz w:val="16"/>
                    <w:szCs w:val="16"/>
                  </w:rPr>
                  <w:t>3</w:t>
                </w:r>
                <w:r>
                  <w:rPr>
                    <w:rFonts w:ascii="宋体" w:hAnsi="宋体" w:cs="宋体" w:eastAsia="宋体" w:hint="default"/>
                    <w:sz w:val="16"/>
                    <w:szCs w:val="16"/>
                  </w:rPr>
                  <w:t>3</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096"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3</w:t>
                </w:r>
                <w:r>
                  <w:rPr>
                    <w:rFonts w:ascii="宋体" w:hAnsi="宋体" w:cs="宋体" w:eastAsia="宋体" w:hint="default"/>
                    <w:sz w:val="16"/>
                    <w:szCs w:val="16"/>
                  </w:rPr>
                  <w:t>3</w:t>
                </w:r>
                <w:r>
                  <w:rPr>
                    <w:rFonts w:ascii="宋体" w:hAnsi="宋体" w:cs="宋体" w:eastAsia="宋体" w:hint="default"/>
                    <w:spacing w:val="-80"/>
                    <w:sz w:val="16"/>
                    <w:szCs w:val="16"/>
                  </w:rPr>
                  <w:t>4</w:t>
                </w:r>
                <w:r>
                  <w:rPr>
                    <w:rFonts w:ascii="宋体" w:hAnsi="宋体" w:cs="宋体" w:eastAsia="宋体" w:hint="default"/>
                    <w:sz w:val="16"/>
                    <w:szCs w:val="16"/>
                  </w:rPr>
                  <w:t>4</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072"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3</w:t>
                </w:r>
                <w:r>
                  <w:rPr>
                    <w:rFonts w:ascii="宋体" w:hAnsi="宋体" w:cs="宋体" w:eastAsia="宋体" w:hint="default"/>
                    <w:sz w:val="16"/>
                    <w:szCs w:val="16"/>
                  </w:rPr>
                  <w:t>3</w:t>
                </w:r>
                <w:r>
                  <w:rPr>
                    <w:rFonts w:ascii="宋体" w:hAnsi="宋体" w:cs="宋体" w:eastAsia="宋体" w:hint="default"/>
                    <w:spacing w:val="-80"/>
                    <w:sz w:val="16"/>
                    <w:szCs w:val="16"/>
                  </w:rPr>
                  <w:t>5</w:t>
                </w:r>
                <w:r>
                  <w:rPr>
                    <w:rFonts w:ascii="宋体" w:hAnsi="宋体" w:cs="宋体" w:eastAsia="宋体" w:hint="default"/>
                    <w:sz w:val="16"/>
                    <w:szCs w:val="16"/>
                  </w:rPr>
                  <w:t>5</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048"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3</w:t>
                </w:r>
                <w:r>
                  <w:rPr>
                    <w:rFonts w:ascii="宋体" w:hAnsi="宋体" w:cs="宋体" w:eastAsia="宋体" w:hint="default"/>
                    <w:sz w:val="16"/>
                    <w:szCs w:val="16"/>
                  </w:rPr>
                  <w:t>3</w:t>
                </w:r>
                <w:r>
                  <w:rPr>
                    <w:rFonts w:ascii="宋体" w:hAnsi="宋体" w:cs="宋体" w:eastAsia="宋体" w:hint="default"/>
                    <w:spacing w:val="-80"/>
                    <w:sz w:val="16"/>
                    <w:szCs w:val="16"/>
                  </w:rPr>
                  <w:t>6</w:t>
                </w:r>
                <w:r>
                  <w:rPr>
                    <w:rFonts w:ascii="宋体" w:hAnsi="宋体" w:cs="宋体" w:eastAsia="宋体" w:hint="default"/>
                    <w:sz w:val="16"/>
                    <w:szCs w:val="16"/>
                  </w:rPr>
                  <w:t>6</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024"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3</w:t>
                </w:r>
                <w:r>
                  <w:rPr>
                    <w:rFonts w:ascii="宋体" w:hAnsi="宋体" w:cs="宋体" w:eastAsia="宋体" w:hint="default"/>
                    <w:sz w:val="16"/>
                    <w:szCs w:val="16"/>
                  </w:rPr>
                  <w:t>3</w:t>
                </w:r>
                <w:r>
                  <w:rPr>
                    <w:rFonts w:ascii="宋体" w:hAnsi="宋体" w:cs="宋体" w:eastAsia="宋体" w:hint="default"/>
                    <w:spacing w:val="-80"/>
                    <w:sz w:val="16"/>
                    <w:szCs w:val="16"/>
                  </w:rPr>
                  <w:t>7</w:t>
                </w:r>
                <w:r>
                  <w:rPr>
                    <w:rFonts w:ascii="宋体" w:hAnsi="宋体" w:cs="宋体" w:eastAsia="宋体" w:hint="default"/>
                    <w:sz w:val="16"/>
                    <w:szCs w:val="16"/>
                  </w:rPr>
                  <w:t>7</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4000"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3</w:t>
                </w:r>
                <w:r>
                  <w:rPr>
                    <w:rFonts w:ascii="宋体" w:hAnsi="宋体" w:cs="宋体" w:eastAsia="宋体" w:hint="default"/>
                    <w:sz w:val="16"/>
                    <w:szCs w:val="16"/>
                  </w:rPr>
                  <w:t>3</w:t>
                </w:r>
                <w:r>
                  <w:rPr>
                    <w:rFonts w:ascii="宋体" w:hAnsi="宋体" w:cs="宋体" w:eastAsia="宋体" w:hint="default"/>
                    <w:spacing w:val="-80"/>
                    <w:sz w:val="16"/>
                    <w:szCs w:val="16"/>
                  </w:rPr>
                  <w:t>8</w:t>
                </w:r>
                <w:r>
                  <w:rPr>
                    <w:rFonts w:ascii="宋体" w:hAnsi="宋体" w:cs="宋体" w:eastAsia="宋体" w:hint="default"/>
                    <w:sz w:val="16"/>
                    <w:szCs w:val="16"/>
                  </w:rPr>
                  <w:t>8</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3976"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3</w:t>
                </w:r>
                <w:r>
                  <w:rPr>
                    <w:rFonts w:ascii="宋体" w:hAnsi="宋体" w:cs="宋体" w:eastAsia="宋体" w:hint="default"/>
                    <w:sz w:val="16"/>
                    <w:szCs w:val="16"/>
                  </w:rPr>
                  <w:t>3</w:t>
                </w:r>
                <w:r>
                  <w:rPr>
                    <w:rFonts w:ascii="宋体" w:hAnsi="宋体" w:cs="宋体" w:eastAsia="宋体" w:hint="default"/>
                    <w:spacing w:val="-80"/>
                    <w:sz w:val="16"/>
                    <w:szCs w:val="16"/>
                  </w:rPr>
                  <w:t>9</w:t>
                </w:r>
                <w:r>
                  <w:rPr>
                    <w:rFonts w:ascii="宋体" w:hAnsi="宋体" w:cs="宋体" w:eastAsia="宋体" w:hint="default"/>
                    <w:sz w:val="16"/>
                    <w:szCs w:val="16"/>
                  </w:rPr>
                  <w:t>9</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4.660004pt;margin-top:805.808716pt;width:26pt;height:10pt;mso-position-horizontal-relative:page;mso-position-vertical-relative:page;z-index:-1024816"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4</w:t>
                </w:r>
                <w:r>
                  <w:rPr>
                    <w:rFonts w:ascii="宋体" w:hAnsi="宋体" w:cs="宋体" w:eastAsia="宋体" w:hint="default"/>
                    <w:sz w:val="16"/>
                    <w:szCs w:val="16"/>
                  </w:rPr>
                  <w:t>4</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3952"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4</w:t>
                </w:r>
                <w:r>
                  <w:rPr>
                    <w:rFonts w:ascii="宋体" w:hAnsi="宋体" w:cs="宋体" w:eastAsia="宋体" w:hint="default"/>
                    <w:sz w:val="16"/>
                    <w:szCs w:val="16"/>
                  </w:rPr>
                  <w:t>4</w:t>
                </w:r>
                <w:r>
                  <w:rPr>
                    <w:rFonts w:ascii="宋体" w:hAnsi="宋体" w:cs="宋体" w:eastAsia="宋体" w:hint="default"/>
                    <w:spacing w:val="-80"/>
                    <w:sz w:val="16"/>
                    <w:szCs w:val="16"/>
                  </w:rPr>
                  <w:t>0</w:t>
                </w:r>
                <w:r>
                  <w:rPr>
                    <w:rFonts w:ascii="宋体" w:hAnsi="宋体" w:cs="宋体" w:eastAsia="宋体" w:hint="default"/>
                    <w:sz w:val="16"/>
                    <w:szCs w:val="16"/>
                  </w:rPr>
                  <w:t>0</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3928"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4</w:t>
                </w:r>
                <w:r>
                  <w:rPr>
                    <w:rFonts w:ascii="宋体" w:hAnsi="宋体" w:cs="宋体" w:eastAsia="宋体" w:hint="default"/>
                    <w:sz w:val="16"/>
                    <w:szCs w:val="16"/>
                  </w:rPr>
                  <w:t>4</w:t>
                </w:r>
                <w:r>
                  <w:rPr>
                    <w:rFonts w:ascii="宋体" w:hAnsi="宋体" w:cs="宋体" w:eastAsia="宋体" w:hint="default"/>
                    <w:spacing w:val="-80"/>
                    <w:sz w:val="16"/>
                    <w:szCs w:val="16"/>
                  </w:rPr>
                  <w:t>1</w:t>
                </w:r>
                <w:r>
                  <w:rPr>
                    <w:rFonts w:ascii="宋体" w:hAnsi="宋体" w:cs="宋体" w:eastAsia="宋体" w:hint="default"/>
                    <w:sz w:val="16"/>
                    <w:szCs w:val="16"/>
                  </w:rPr>
                  <w:t>1</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3904"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4</w:t>
                </w:r>
                <w:r>
                  <w:rPr>
                    <w:rFonts w:ascii="宋体" w:hAnsi="宋体" w:cs="宋体" w:eastAsia="宋体" w:hint="default"/>
                    <w:sz w:val="16"/>
                    <w:szCs w:val="16"/>
                  </w:rPr>
                  <w:t>4</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3880"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4</w:t>
                </w:r>
                <w:r>
                  <w:rPr>
                    <w:rFonts w:ascii="宋体" w:hAnsi="宋体" w:cs="宋体" w:eastAsia="宋体" w:hint="default"/>
                    <w:sz w:val="16"/>
                    <w:szCs w:val="16"/>
                  </w:rPr>
                  <w:t>4</w:t>
                </w:r>
                <w:r>
                  <w:rPr>
                    <w:rFonts w:ascii="宋体" w:hAnsi="宋体" w:cs="宋体" w:eastAsia="宋体" w:hint="default"/>
                    <w:spacing w:val="-80"/>
                    <w:sz w:val="16"/>
                    <w:szCs w:val="16"/>
                  </w:rPr>
                  <w:t>3</w:t>
                </w:r>
                <w:r>
                  <w:rPr>
                    <w:rFonts w:ascii="宋体" w:hAnsi="宋体" w:cs="宋体" w:eastAsia="宋体" w:hint="default"/>
                    <w:sz w:val="16"/>
                    <w:szCs w:val="16"/>
                  </w:rPr>
                  <w:t>3</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3856"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4</w:t>
                </w:r>
                <w:r>
                  <w:rPr>
                    <w:rFonts w:ascii="宋体" w:hAnsi="宋体" w:cs="宋体" w:eastAsia="宋体" w:hint="default"/>
                    <w:sz w:val="16"/>
                    <w:szCs w:val="16"/>
                  </w:rPr>
                  <w:t>4</w:t>
                </w:r>
                <w:r>
                  <w:rPr>
                    <w:rFonts w:ascii="宋体" w:hAnsi="宋体" w:cs="宋体" w:eastAsia="宋体" w:hint="default"/>
                    <w:spacing w:val="-80"/>
                    <w:sz w:val="16"/>
                    <w:szCs w:val="16"/>
                  </w:rPr>
                  <w:t>4</w:t>
                </w:r>
                <w:r>
                  <w:rPr>
                    <w:rFonts w:ascii="宋体" w:hAnsi="宋体" w:cs="宋体" w:eastAsia="宋体" w:hint="default"/>
                    <w:sz w:val="16"/>
                    <w:szCs w:val="16"/>
                  </w:rPr>
                  <w:t>4</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3832"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4</w:t>
                </w:r>
                <w:r>
                  <w:rPr>
                    <w:rFonts w:ascii="宋体" w:hAnsi="宋体" w:cs="宋体" w:eastAsia="宋体" w:hint="default"/>
                    <w:sz w:val="16"/>
                    <w:szCs w:val="16"/>
                  </w:rPr>
                  <w:t>4</w:t>
                </w:r>
                <w:r>
                  <w:rPr>
                    <w:rFonts w:ascii="宋体" w:hAnsi="宋体" w:cs="宋体" w:eastAsia="宋体" w:hint="default"/>
                    <w:spacing w:val="-80"/>
                    <w:sz w:val="16"/>
                    <w:szCs w:val="16"/>
                  </w:rPr>
                  <w:t>5</w:t>
                </w:r>
                <w:r>
                  <w:rPr>
                    <w:rFonts w:ascii="宋体" w:hAnsi="宋体" w:cs="宋体" w:eastAsia="宋体" w:hint="default"/>
                    <w:sz w:val="16"/>
                    <w:szCs w:val="16"/>
                  </w:rPr>
                  <w:t>5</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3808"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4</w:t>
                </w:r>
                <w:r>
                  <w:rPr>
                    <w:rFonts w:ascii="宋体" w:hAnsi="宋体" w:cs="宋体" w:eastAsia="宋体" w:hint="default"/>
                    <w:sz w:val="16"/>
                    <w:szCs w:val="16"/>
                  </w:rPr>
                  <w:t>4</w:t>
                </w:r>
                <w:r>
                  <w:rPr>
                    <w:rFonts w:ascii="宋体" w:hAnsi="宋体" w:cs="宋体" w:eastAsia="宋体" w:hint="default"/>
                    <w:spacing w:val="-80"/>
                    <w:sz w:val="16"/>
                    <w:szCs w:val="16"/>
                  </w:rPr>
                  <w:t>6</w:t>
                </w:r>
                <w:r>
                  <w:rPr>
                    <w:rFonts w:ascii="宋体" w:hAnsi="宋体" w:cs="宋体" w:eastAsia="宋体" w:hint="default"/>
                    <w:sz w:val="16"/>
                    <w:szCs w:val="16"/>
                  </w:rPr>
                  <w:t>6</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959991pt;margin-top:559.20874pt;width:30pt;height:10pt;mso-position-horizontal-relative:page;mso-position-vertical-relative:page;z-index:-1023712"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4</w:t>
                </w:r>
                <w:r>
                  <w:rPr>
                    <w:rFonts w:ascii="宋体" w:hAnsi="宋体" w:cs="宋体" w:eastAsia="宋体" w:hint="default"/>
                    <w:sz w:val="16"/>
                    <w:szCs w:val="16"/>
                  </w:rPr>
                  <w:t>4</w:t>
                </w:r>
                <w:r>
                  <w:rPr>
                    <w:rFonts w:ascii="宋体" w:hAnsi="宋体" w:cs="宋体" w:eastAsia="宋体" w:hint="default"/>
                    <w:spacing w:val="-80"/>
                    <w:sz w:val="16"/>
                    <w:szCs w:val="16"/>
                  </w:rPr>
                  <w:t>7</w:t>
                </w:r>
                <w:r>
                  <w:rPr>
                    <w:rFonts w:ascii="宋体" w:hAnsi="宋体" w:cs="宋体" w:eastAsia="宋体" w:hint="default"/>
                    <w:sz w:val="16"/>
                    <w:szCs w:val="16"/>
                  </w:rPr>
                  <w:t>7</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959991pt;margin-top:559.20874pt;width:30pt;height:10pt;mso-position-horizontal-relative:page;mso-position-vertical-relative:page;z-index:-1023688"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4</w:t>
                </w:r>
                <w:r>
                  <w:rPr>
                    <w:rFonts w:ascii="宋体" w:hAnsi="宋体" w:cs="宋体" w:eastAsia="宋体" w:hint="default"/>
                    <w:sz w:val="16"/>
                    <w:szCs w:val="16"/>
                  </w:rPr>
                  <w:t>4</w:t>
                </w:r>
                <w:r>
                  <w:rPr>
                    <w:rFonts w:ascii="宋体" w:hAnsi="宋体" w:cs="宋体" w:eastAsia="宋体" w:hint="default"/>
                    <w:spacing w:val="-80"/>
                    <w:sz w:val="16"/>
                    <w:szCs w:val="16"/>
                  </w:rPr>
                  <w:t>8</w:t>
                </w:r>
                <w:r>
                  <w:rPr>
                    <w:rFonts w:ascii="宋体" w:hAnsi="宋体" w:cs="宋体" w:eastAsia="宋体" w:hint="default"/>
                    <w:sz w:val="16"/>
                    <w:szCs w:val="16"/>
                  </w:rPr>
                  <w:t>8</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959991pt;margin-top:559.20874pt;width:30pt;height:10pt;mso-position-horizontal-relative:page;mso-position-vertical-relative:page;z-index:-1023664"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4</w:t>
                </w:r>
                <w:r>
                  <w:rPr>
                    <w:rFonts w:ascii="宋体" w:hAnsi="宋体" w:cs="宋体" w:eastAsia="宋体" w:hint="default"/>
                    <w:sz w:val="16"/>
                    <w:szCs w:val="16"/>
                  </w:rPr>
                  <w:t>4</w:t>
                </w:r>
                <w:r>
                  <w:rPr>
                    <w:rFonts w:ascii="宋体" w:hAnsi="宋体" w:cs="宋体" w:eastAsia="宋体" w:hint="default"/>
                    <w:spacing w:val="-80"/>
                    <w:sz w:val="16"/>
                    <w:szCs w:val="16"/>
                  </w:rPr>
                  <w:t>9</w:t>
                </w:r>
                <w:r>
                  <w:rPr>
                    <w:rFonts w:ascii="宋体" w:hAnsi="宋体" w:cs="宋体" w:eastAsia="宋体" w:hint="default"/>
                    <w:sz w:val="16"/>
                    <w:szCs w:val="16"/>
                  </w:rPr>
                  <w:t>9</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4.660004pt;margin-top:805.808716pt;width:26pt;height:10pt;mso-position-horizontal-relative:page;mso-position-vertical-relative:page;z-index:-1024792"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5</w:t>
                </w:r>
                <w:r>
                  <w:rPr>
                    <w:rFonts w:ascii="宋体" w:hAnsi="宋体" w:cs="宋体" w:eastAsia="宋体" w:hint="default"/>
                    <w:sz w:val="16"/>
                    <w:szCs w:val="16"/>
                  </w:rPr>
                  <w:t>5</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959991pt;margin-top:559.20874pt;width:30pt;height:10pt;mso-position-horizontal-relative:page;mso-position-vertical-relative:page;z-index:-1023640"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5</w:t>
                </w:r>
                <w:r>
                  <w:rPr>
                    <w:rFonts w:ascii="宋体" w:hAnsi="宋体" w:cs="宋体" w:eastAsia="宋体" w:hint="default"/>
                    <w:sz w:val="16"/>
                    <w:szCs w:val="16"/>
                  </w:rPr>
                  <w:t>5</w:t>
                </w:r>
                <w:r>
                  <w:rPr>
                    <w:rFonts w:ascii="宋体" w:hAnsi="宋体" w:cs="宋体" w:eastAsia="宋体" w:hint="default"/>
                    <w:spacing w:val="-80"/>
                    <w:sz w:val="16"/>
                    <w:szCs w:val="16"/>
                  </w:rPr>
                  <w:t>0</w:t>
                </w:r>
                <w:r>
                  <w:rPr>
                    <w:rFonts w:ascii="宋体" w:hAnsi="宋体" w:cs="宋体" w:eastAsia="宋体" w:hint="default"/>
                    <w:sz w:val="16"/>
                    <w:szCs w:val="16"/>
                  </w:rPr>
                  <w:t>0</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959991pt;margin-top:559.20874pt;width:30pt;height:10pt;mso-position-horizontal-relative:page;mso-position-vertical-relative:page;z-index:-1023616"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5</w:t>
                </w:r>
                <w:r>
                  <w:rPr>
                    <w:rFonts w:ascii="宋体" w:hAnsi="宋体" w:cs="宋体" w:eastAsia="宋体" w:hint="default"/>
                    <w:sz w:val="16"/>
                    <w:szCs w:val="16"/>
                  </w:rPr>
                  <w:t>5</w:t>
                </w:r>
                <w:r>
                  <w:rPr>
                    <w:rFonts w:ascii="宋体" w:hAnsi="宋体" w:cs="宋体" w:eastAsia="宋体" w:hint="default"/>
                    <w:spacing w:val="-80"/>
                    <w:sz w:val="16"/>
                    <w:szCs w:val="16"/>
                  </w:rPr>
                  <w:t>1</w:t>
                </w:r>
                <w:r>
                  <w:rPr>
                    <w:rFonts w:ascii="宋体" w:hAnsi="宋体" w:cs="宋体" w:eastAsia="宋体" w:hint="default"/>
                    <w:sz w:val="16"/>
                    <w:szCs w:val="16"/>
                  </w:rPr>
                  <w:t>1</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959991pt;margin-top:559.20874pt;width:30pt;height:10pt;mso-position-horizontal-relative:page;mso-position-vertical-relative:page;z-index:-1023592"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5</w:t>
                </w:r>
                <w:r>
                  <w:rPr>
                    <w:rFonts w:ascii="宋体" w:hAnsi="宋体" w:cs="宋体" w:eastAsia="宋体" w:hint="default"/>
                    <w:sz w:val="16"/>
                    <w:szCs w:val="16"/>
                  </w:rPr>
                  <w:t>5</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959991pt;margin-top:559.20874pt;width:30pt;height:10pt;mso-position-horizontal-relative:page;mso-position-vertical-relative:page;z-index:-1023568"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5</w:t>
                </w:r>
                <w:r>
                  <w:rPr>
                    <w:rFonts w:ascii="宋体" w:hAnsi="宋体" w:cs="宋体" w:eastAsia="宋体" w:hint="default"/>
                    <w:sz w:val="16"/>
                    <w:szCs w:val="16"/>
                  </w:rPr>
                  <w:t>5</w:t>
                </w:r>
                <w:r>
                  <w:rPr>
                    <w:rFonts w:ascii="宋体" w:hAnsi="宋体" w:cs="宋体" w:eastAsia="宋体" w:hint="default"/>
                    <w:spacing w:val="-80"/>
                    <w:sz w:val="16"/>
                    <w:szCs w:val="16"/>
                  </w:rPr>
                  <w:t>3</w:t>
                </w:r>
                <w:r>
                  <w:rPr>
                    <w:rFonts w:ascii="宋体" w:hAnsi="宋体" w:cs="宋体" w:eastAsia="宋体" w:hint="default"/>
                    <w:sz w:val="16"/>
                    <w:szCs w:val="16"/>
                  </w:rPr>
                  <w:t>3</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959991pt;margin-top:559.20874pt;width:30pt;height:10pt;mso-position-horizontal-relative:page;mso-position-vertical-relative:page;z-index:-1023544"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5</w:t>
                </w:r>
                <w:r>
                  <w:rPr>
                    <w:rFonts w:ascii="宋体" w:hAnsi="宋体" w:cs="宋体" w:eastAsia="宋体" w:hint="default"/>
                    <w:sz w:val="16"/>
                    <w:szCs w:val="16"/>
                  </w:rPr>
                  <w:t>5</w:t>
                </w:r>
                <w:r>
                  <w:rPr>
                    <w:rFonts w:ascii="宋体" w:hAnsi="宋体" w:cs="宋体" w:eastAsia="宋体" w:hint="default"/>
                    <w:spacing w:val="-80"/>
                    <w:sz w:val="16"/>
                    <w:szCs w:val="16"/>
                  </w:rPr>
                  <w:t>4</w:t>
                </w:r>
                <w:r>
                  <w:rPr>
                    <w:rFonts w:ascii="宋体" w:hAnsi="宋体" w:cs="宋体" w:eastAsia="宋体" w:hint="default"/>
                    <w:sz w:val="16"/>
                    <w:szCs w:val="16"/>
                  </w:rPr>
                  <w:t>4</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959991pt;margin-top:559.20874pt;width:30pt;height:10pt;mso-position-horizontal-relative:page;mso-position-vertical-relative:page;z-index:-1023520"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5</w:t>
                </w:r>
                <w:r>
                  <w:rPr>
                    <w:rFonts w:ascii="宋体" w:hAnsi="宋体" w:cs="宋体" w:eastAsia="宋体" w:hint="default"/>
                    <w:sz w:val="16"/>
                    <w:szCs w:val="16"/>
                  </w:rPr>
                  <w:t>5</w:t>
                </w:r>
                <w:r>
                  <w:rPr>
                    <w:rFonts w:ascii="宋体" w:hAnsi="宋体" w:cs="宋体" w:eastAsia="宋体" w:hint="default"/>
                    <w:spacing w:val="-80"/>
                    <w:sz w:val="16"/>
                    <w:szCs w:val="16"/>
                  </w:rPr>
                  <w:t>5</w:t>
                </w:r>
                <w:r>
                  <w:rPr>
                    <w:rFonts w:ascii="宋体" w:hAnsi="宋体" w:cs="宋体" w:eastAsia="宋体" w:hint="default"/>
                    <w:sz w:val="16"/>
                    <w:szCs w:val="16"/>
                  </w:rPr>
                  <w:t>5</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959991pt;margin-top:559.20874pt;width:30pt;height:10pt;mso-position-horizontal-relative:page;mso-position-vertical-relative:page;z-index:-1023496"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5</w:t>
                </w:r>
                <w:r>
                  <w:rPr>
                    <w:rFonts w:ascii="宋体" w:hAnsi="宋体" w:cs="宋体" w:eastAsia="宋体" w:hint="default"/>
                    <w:sz w:val="16"/>
                    <w:szCs w:val="16"/>
                  </w:rPr>
                  <w:t>5</w:t>
                </w:r>
                <w:r>
                  <w:rPr>
                    <w:rFonts w:ascii="宋体" w:hAnsi="宋体" w:cs="宋体" w:eastAsia="宋体" w:hint="default"/>
                    <w:spacing w:val="-80"/>
                    <w:sz w:val="16"/>
                    <w:szCs w:val="16"/>
                  </w:rPr>
                  <w:t>6</w:t>
                </w:r>
                <w:r>
                  <w:rPr>
                    <w:rFonts w:ascii="宋体" w:hAnsi="宋体" w:cs="宋体" w:eastAsia="宋体" w:hint="default"/>
                    <w:sz w:val="16"/>
                    <w:szCs w:val="16"/>
                  </w:rPr>
                  <w:t>6</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959991pt;margin-top:559.20874pt;width:30pt;height:10pt;mso-position-horizontal-relative:page;mso-position-vertical-relative:page;z-index:-1023472"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5</w:t>
                </w:r>
                <w:r>
                  <w:rPr>
                    <w:rFonts w:ascii="宋体" w:hAnsi="宋体" w:cs="宋体" w:eastAsia="宋体" w:hint="default"/>
                    <w:sz w:val="16"/>
                    <w:szCs w:val="16"/>
                  </w:rPr>
                  <w:t>5</w:t>
                </w:r>
                <w:r>
                  <w:rPr>
                    <w:rFonts w:ascii="宋体" w:hAnsi="宋体" w:cs="宋体" w:eastAsia="宋体" w:hint="default"/>
                    <w:spacing w:val="-80"/>
                    <w:sz w:val="16"/>
                    <w:szCs w:val="16"/>
                  </w:rPr>
                  <w:t>7</w:t>
                </w:r>
                <w:r>
                  <w:rPr>
                    <w:rFonts w:ascii="宋体" w:hAnsi="宋体" w:cs="宋体" w:eastAsia="宋体" w:hint="default"/>
                    <w:sz w:val="16"/>
                    <w:szCs w:val="16"/>
                  </w:rPr>
                  <w:t>7</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959991pt;margin-top:559.20874pt;width:30pt;height:10pt;mso-position-horizontal-relative:page;mso-position-vertical-relative:page;z-index:-1023448"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5</w:t>
                </w:r>
                <w:r>
                  <w:rPr>
                    <w:rFonts w:ascii="宋体" w:hAnsi="宋体" w:cs="宋体" w:eastAsia="宋体" w:hint="default"/>
                    <w:sz w:val="16"/>
                    <w:szCs w:val="16"/>
                  </w:rPr>
                  <w:t>5</w:t>
                </w:r>
                <w:r>
                  <w:rPr>
                    <w:rFonts w:ascii="宋体" w:hAnsi="宋体" w:cs="宋体" w:eastAsia="宋体" w:hint="default"/>
                    <w:spacing w:val="-80"/>
                    <w:sz w:val="16"/>
                    <w:szCs w:val="16"/>
                  </w:rPr>
                  <w:t>8</w:t>
                </w:r>
                <w:r>
                  <w:rPr>
                    <w:rFonts w:ascii="宋体" w:hAnsi="宋体" w:cs="宋体" w:eastAsia="宋体" w:hint="default"/>
                    <w:sz w:val="16"/>
                    <w:szCs w:val="16"/>
                  </w:rPr>
                  <w:t>8</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3328"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5</w:t>
                </w:r>
                <w:r>
                  <w:rPr>
                    <w:rFonts w:ascii="宋体" w:hAnsi="宋体" w:cs="宋体" w:eastAsia="宋体" w:hint="default"/>
                    <w:sz w:val="16"/>
                    <w:szCs w:val="16"/>
                  </w:rPr>
                  <w:t>5</w:t>
                </w:r>
                <w:r>
                  <w:rPr>
                    <w:rFonts w:ascii="宋体" w:hAnsi="宋体" w:cs="宋体" w:eastAsia="宋体" w:hint="default"/>
                    <w:spacing w:val="-80"/>
                    <w:sz w:val="16"/>
                    <w:szCs w:val="16"/>
                  </w:rPr>
                  <w:t>9</w:t>
                </w:r>
                <w:r>
                  <w:rPr>
                    <w:rFonts w:ascii="宋体" w:hAnsi="宋体" w:cs="宋体" w:eastAsia="宋体" w:hint="default"/>
                    <w:sz w:val="16"/>
                    <w:szCs w:val="16"/>
                  </w:rPr>
                  <w:t>9</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4.660004pt;margin-top:805.808716pt;width:26pt;height:10pt;mso-position-horizontal-relative:page;mso-position-vertical-relative:page;z-index:-1024768"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6</w:t>
                </w:r>
                <w:r>
                  <w:rPr>
                    <w:rFonts w:ascii="宋体" w:hAnsi="宋体" w:cs="宋体" w:eastAsia="宋体" w:hint="default"/>
                    <w:sz w:val="16"/>
                    <w:szCs w:val="16"/>
                  </w:rPr>
                  <w:t>6</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3304"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6</w:t>
                </w:r>
                <w:r>
                  <w:rPr>
                    <w:rFonts w:ascii="宋体" w:hAnsi="宋体" w:cs="宋体" w:eastAsia="宋体" w:hint="default"/>
                    <w:sz w:val="16"/>
                    <w:szCs w:val="16"/>
                  </w:rPr>
                  <w:t>6</w:t>
                </w:r>
                <w:r>
                  <w:rPr>
                    <w:rFonts w:ascii="宋体" w:hAnsi="宋体" w:cs="宋体" w:eastAsia="宋体" w:hint="default"/>
                    <w:spacing w:val="-80"/>
                    <w:sz w:val="16"/>
                    <w:szCs w:val="16"/>
                  </w:rPr>
                  <w:t>0</w:t>
                </w:r>
                <w:r>
                  <w:rPr>
                    <w:rFonts w:ascii="宋体" w:hAnsi="宋体" w:cs="宋体" w:eastAsia="宋体" w:hint="default"/>
                    <w:sz w:val="16"/>
                    <w:szCs w:val="16"/>
                  </w:rPr>
                  <w:t>0</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3280"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6</w:t>
                </w:r>
                <w:r>
                  <w:rPr>
                    <w:rFonts w:ascii="宋体" w:hAnsi="宋体" w:cs="宋体" w:eastAsia="宋体" w:hint="default"/>
                    <w:sz w:val="16"/>
                    <w:szCs w:val="16"/>
                  </w:rPr>
                  <w:t>6</w:t>
                </w:r>
                <w:r>
                  <w:rPr>
                    <w:rFonts w:ascii="宋体" w:hAnsi="宋体" w:cs="宋体" w:eastAsia="宋体" w:hint="default"/>
                    <w:spacing w:val="-80"/>
                    <w:sz w:val="16"/>
                    <w:szCs w:val="16"/>
                  </w:rPr>
                  <w:t>1</w:t>
                </w:r>
                <w:r>
                  <w:rPr>
                    <w:rFonts w:ascii="宋体" w:hAnsi="宋体" w:cs="宋体" w:eastAsia="宋体" w:hint="default"/>
                    <w:sz w:val="16"/>
                    <w:szCs w:val="16"/>
                  </w:rPr>
                  <w:t>1</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3256"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6</w:t>
                </w:r>
                <w:r>
                  <w:rPr>
                    <w:rFonts w:ascii="宋体" w:hAnsi="宋体" w:cs="宋体" w:eastAsia="宋体" w:hint="default"/>
                    <w:sz w:val="16"/>
                    <w:szCs w:val="16"/>
                  </w:rPr>
                  <w:t>6</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3232"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6</w:t>
                </w:r>
                <w:r>
                  <w:rPr>
                    <w:rFonts w:ascii="宋体" w:hAnsi="宋体" w:cs="宋体" w:eastAsia="宋体" w:hint="default"/>
                    <w:sz w:val="16"/>
                    <w:szCs w:val="16"/>
                  </w:rPr>
                  <w:t>6</w:t>
                </w:r>
                <w:r>
                  <w:rPr>
                    <w:rFonts w:ascii="宋体" w:hAnsi="宋体" w:cs="宋体" w:eastAsia="宋体" w:hint="default"/>
                    <w:spacing w:val="-80"/>
                    <w:sz w:val="16"/>
                    <w:szCs w:val="16"/>
                  </w:rPr>
                  <w:t>3</w:t>
                </w:r>
                <w:r>
                  <w:rPr>
                    <w:rFonts w:ascii="宋体" w:hAnsi="宋体" w:cs="宋体" w:eastAsia="宋体" w:hint="default"/>
                    <w:sz w:val="16"/>
                    <w:szCs w:val="16"/>
                  </w:rPr>
                  <w:t>3</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3208"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6</w:t>
                </w:r>
                <w:r>
                  <w:rPr>
                    <w:rFonts w:ascii="宋体" w:hAnsi="宋体" w:cs="宋体" w:eastAsia="宋体" w:hint="default"/>
                    <w:sz w:val="16"/>
                    <w:szCs w:val="16"/>
                  </w:rPr>
                  <w:t>6</w:t>
                </w:r>
                <w:r>
                  <w:rPr>
                    <w:rFonts w:ascii="宋体" w:hAnsi="宋体" w:cs="宋体" w:eastAsia="宋体" w:hint="default"/>
                    <w:spacing w:val="-80"/>
                    <w:sz w:val="16"/>
                    <w:szCs w:val="16"/>
                  </w:rPr>
                  <w:t>4</w:t>
                </w:r>
                <w:r>
                  <w:rPr>
                    <w:rFonts w:ascii="宋体" w:hAnsi="宋体" w:cs="宋体" w:eastAsia="宋体" w:hint="default"/>
                    <w:sz w:val="16"/>
                    <w:szCs w:val="16"/>
                  </w:rPr>
                  <w:t>4</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3184"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6</w:t>
                </w:r>
                <w:r>
                  <w:rPr>
                    <w:rFonts w:ascii="宋体" w:hAnsi="宋体" w:cs="宋体" w:eastAsia="宋体" w:hint="default"/>
                    <w:sz w:val="16"/>
                    <w:szCs w:val="16"/>
                  </w:rPr>
                  <w:t>6</w:t>
                </w:r>
                <w:r>
                  <w:rPr>
                    <w:rFonts w:ascii="宋体" w:hAnsi="宋体" w:cs="宋体" w:eastAsia="宋体" w:hint="default"/>
                    <w:spacing w:val="-80"/>
                    <w:sz w:val="16"/>
                    <w:szCs w:val="16"/>
                  </w:rPr>
                  <w:t>5</w:t>
                </w:r>
                <w:r>
                  <w:rPr>
                    <w:rFonts w:ascii="宋体" w:hAnsi="宋体" w:cs="宋体" w:eastAsia="宋体" w:hint="default"/>
                    <w:sz w:val="16"/>
                    <w:szCs w:val="16"/>
                  </w:rPr>
                  <w:t>5</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3160"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6</w:t>
                </w:r>
                <w:r>
                  <w:rPr>
                    <w:rFonts w:ascii="宋体" w:hAnsi="宋体" w:cs="宋体" w:eastAsia="宋体" w:hint="default"/>
                    <w:sz w:val="16"/>
                    <w:szCs w:val="16"/>
                  </w:rPr>
                  <w:t>6</w:t>
                </w:r>
                <w:r>
                  <w:rPr>
                    <w:rFonts w:ascii="宋体" w:hAnsi="宋体" w:cs="宋体" w:eastAsia="宋体" w:hint="default"/>
                    <w:spacing w:val="-80"/>
                    <w:sz w:val="16"/>
                    <w:szCs w:val="16"/>
                  </w:rPr>
                  <w:t>6</w:t>
                </w:r>
                <w:r>
                  <w:rPr>
                    <w:rFonts w:ascii="宋体" w:hAnsi="宋体" w:cs="宋体" w:eastAsia="宋体" w:hint="default"/>
                    <w:sz w:val="16"/>
                    <w:szCs w:val="16"/>
                  </w:rPr>
                  <w:t>6</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3136"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6</w:t>
                </w:r>
                <w:r>
                  <w:rPr>
                    <w:rFonts w:ascii="宋体" w:hAnsi="宋体" w:cs="宋体" w:eastAsia="宋体" w:hint="default"/>
                    <w:sz w:val="16"/>
                    <w:szCs w:val="16"/>
                  </w:rPr>
                  <w:t>6</w:t>
                </w:r>
                <w:r>
                  <w:rPr>
                    <w:rFonts w:ascii="宋体" w:hAnsi="宋体" w:cs="宋体" w:eastAsia="宋体" w:hint="default"/>
                    <w:spacing w:val="-80"/>
                    <w:sz w:val="16"/>
                    <w:szCs w:val="16"/>
                  </w:rPr>
                  <w:t>7</w:t>
                </w:r>
                <w:r>
                  <w:rPr>
                    <w:rFonts w:ascii="宋体" w:hAnsi="宋体" w:cs="宋体" w:eastAsia="宋体" w:hint="default"/>
                    <w:sz w:val="16"/>
                    <w:szCs w:val="16"/>
                  </w:rPr>
                  <w:t>7</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3112"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6</w:t>
                </w:r>
                <w:r>
                  <w:rPr>
                    <w:rFonts w:ascii="宋体" w:hAnsi="宋体" w:cs="宋体" w:eastAsia="宋体" w:hint="default"/>
                    <w:sz w:val="16"/>
                    <w:szCs w:val="16"/>
                  </w:rPr>
                  <w:t>6</w:t>
                </w:r>
                <w:r>
                  <w:rPr>
                    <w:rFonts w:ascii="宋体" w:hAnsi="宋体" w:cs="宋体" w:eastAsia="宋体" w:hint="default"/>
                    <w:spacing w:val="-80"/>
                    <w:sz w:val="16"/>
                    <w:szCs w:val="16"/>
                  </w:rPr>
                  <w:t>8</w:t>
                </w:r>
                <w:r>
                  <w:rPr>
                    <w:rFonts w:ascii="宋体" w:hAnsi="宋体" w:cs="宋体" w:eastAsia="宋体" w:hint="default"/>
                    <w:sz w:val="16"/>
                    <w:szCs w:val="16"/>
                  </w:rPr>
                  <w:t>8</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660004pt;margin-top:805.808716pt;width:30pt;height:10pt;mso-position-horizontal-relative:page;mso-position-vertical-relative:page;z-index:-1023040"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6</w:t>
                </w:r>
                <w:r>
                  <w:rPr>
                    <w:rFonts w:ascii="宋体" w:hAnsi="宋体" w:cs="宋体" w:eastAsia="宋体" w:hint="default"/>
                    <w:sz w:val="16"/>
                    <w:szCs w:val="16"/>
                  </w:rPr>
                  <w:t>6</w:t>
                </w:r>
                <w:r>
                  <w:rPr>
                    <w:rFonts w:ascii="宋体" w:hAnsi="宋体" w:cs="宋体" w:eastAsia="宋体" w:hint="default"/>
                    <w:spacing w:val="-80"/>
                    <w:sz w:val="16"/>
                    <w:szCs w:val="16"/>
                  </w:rPr>
                  <w:t>9</w:t>
                </w:r>
                <w:r>
                  <w:rPr>
                    <w:rFonts w:ascii="宋体" w:hAnsi="宋体" w:cs="宋体" w:eastAsia="宋体" w:hint="default"/>
                    <w:sz w:val="16"/>
                    <w:szCs w:val="16"/>
                  </w:rPr>
                  <w:t>9</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4.660004pt;margin-top:805.808716pt;width:26pt;height:10pt;mso-position-horizontal-relative:page;mso-position-vertical-relative:page;z-index:-1024744"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7</w:t>
                </w:r>
                <w:r>
                  <w:rPr>
                    <w:rFonts w:ascii="宋体" w:hAnsi="宋体" w:cs="宋体" w:eastAsia="宋体" w:hint="default"/>
                    <w:sz w:val="16"/>
                    <w:szCs w:val="16"/>
                  </w:rPr>
                  <w:t>7</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720001pt;margin-top:805.568726pt;width:31pt;height:10pt;mso-position-horizontal-relative:page;mso-position-vertical-relative:page;z-index:-1023016" type="#_x0000_t202" filled="false" stroked="false">
          <v:textbox inset="0,0,0,0">
            <w:txbxContent>
              <w:p>
                <w:pPr>
                  <w:spacing w:line="180" w:lineRule="exact" w:before="0"/>
                  <w:ind w:left="40" w:right="0" w:firstLine="0"/>
                  <w:jc w:val="left"/>
                  <w:rPr>
                    <w:rFonts w:ascii="宋体" w:hAnsi="宋体" w:cs="宋体" w:eastAsia="宋体" w:hint="default"/>
                    <w:sz w:val="16"/>
                    <w:szCs w:val="16"/>
                  </w:rPr>
                </w:pPr>
                <w:r>
                  <w:rPr>
                    <w:rFonts w:ascii="宋体" w:hAnsi="宋体" w:cs="宋体" w:eastAsia="宋体" w:hint="default"/>
                    <w:sz w:val="16"/>
                    <w:szCs w:val="16"/>
                  </w:rPr>
                </w:r>
                <w:r>
                  <w:rPr/>
                  <w:fldChar w:fldCharType="begin"/>
                </w:r>
                <w:r>
                  <w:rPr>
                    <w:rFonts w:ascii="宋体" w:hAnsi="宋体" w:cs="宋体" w:eastAsia="宋体" w:hint="default"/>
                    <w:sz w:val="16"/>
                    <w:szCs w:val="16"/>
                  </w:rPr>
                  <w:instrText> PAGE </w:instrText>
                </w:r>
                <w:r>
                  <w:rPr/>
                  <w:fldChar w:fldCharType="separate"/>
                </w:r>
                <w:r>
                  <w:rPr/>
                  <w:t>70</w:t>
                </w:r>
                <w:r>
                  <w:rPr/>
                  <w:fldChar w:fldCharType="end"/>
                </w:r>
                <w:r>
                  <w:rPr>
                    <w:rFonts w:ascii="宋体" w:hAnsi="宋体" w:cs="宋体" w:eastAsia="宋体" w:hint="default"/>
                    <w:sz w:val="16"/>
                    <w:szCs w:val="16"/>
                  </w:rPr>
                  <w:t>／220</w:t>
                </w:r>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720001pt;margin-top:805.568726pt;width:31pt;height:10pt;mso-position-horizontal-relative:page;mso-position-vertical-relative:page;z-index:-1022992" type="#_x0000_t202" filled="false" stroked="false">
          <v:textbox inset="0,0,0,0">
            <w:txbxContent>
              <w:p>
                <w:pPr>
                  <w:spacing w:line="180" w:lineRule="exact" w:before="0"/>
                  <w:ind w:left="40" w:right="0" w:firstLine="0"/>
                  <w:jc w:val="left"/>
                  <w:rPr>
                    <w:rFonts w:ascii="宋体" w:hAnsi="宋体" w:cs="宋体" w:eastAsia="宋体" w:hint="default"/>
                    <w:sz w:val="16"/>
                    <w:szCs w:val="16"/>
                  </w:rPr>
                </w:pPr>
                <w:r>
                  <w:rPr>
                    <w:rFonts w:ascii="宋体" w:hAnsi="宋体" w:cs="宋体" w:eastAsia="宋体" w:hint="default"/>
                    <w:sz w:val="16"/>
                    <w:szCs w:val="16"/>
                  </w:rPr>
                </w:r>
                <w:r>
                  <w:rPr/>
                  <w:fldChar w:fldCharType="begin"/>
                </w:r>
                <w:r>
                  <w:rPr>
                    <w:rFonts w:ascii="宋体" w:hAnsi="宋体" w:cs="宋体" w:eastAsia="宋体" w:hint="default"/>
                    <w:sz w:val="16"/>
                    <w:szCs w:val="16"/>
                  </w:rPr>
                  <w:instrText> PAGE </w:instrText>
                </w:r>
                <w:r>
                  <w:rPr/>
                  <w:fldChar w:fldCharType="separate"/>
                </w:r>
                <w:r>
                  <w:rPr/>
                  <w:t>71</w:t>
                </w:r>
                <w:r>
                  <w:rPr/>
                  <w:fldChar w:fldCharType="end"/>
                </w:r>
                <w:r>
                  <w:rPr>
                    <w:rFonts w:ascii="宋体" w:hAnsi="宋体" w:cs="宋体" w:eastAsia="宋体" w:hint="default"/>
                    <w:sz w:val="16"/>
                    <w:szCs w:val="16"/>
                  </w:rPr>
                  <w:t>／220</w:t>
                </w:r>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720001pt;margin-top:805.568726pt;width:31pt;height:10pt;mso-position-horizontal-relative:page;mso-position-vertical-relative:page;z-index:-1022968" type="#_x0000_t202" filled="false" stroked="false">
          <v:textbox inset="0,0,0,0">
            <w:txbxContent>
              <w:p>
                <w:pPr>
                  <w:spacing w:line="180" w:lineRule="exact" w:before="0"/>
                  <w:ind w:left="40" w:right="0" w:firstLine="0"/>
                  <w:jc w:val="left"/>
                  <w:rPr>
                    <w:rFonts w:ascii="宋体" w:hAnsi="宋体" w:cs="宋体" w:eastAsia="宋体" w:hint="default"/>
                    <w:sz w:val="16"/>
                    <w:szCs w:val="16"/>
                  </w:rPr>
                </w:pPr>
                <w:r>
                  <w:rPr>
                    <w:rFonts w:ascii="宋体" w:hAnsi="宋体" w:cs="宋体" w:eastAsia="宋体" w:hint="default"/>
                    <w:sz w:val="16"/>
                    <w:szCs w:val="16"/>
                  </w:rPr>
                </w:r>
                <w:r>
                  <w:rPr/>
                  <w:fldChar w:fldCharType="begin"/>
                </w:r>
                <w:r>
                  <w:rPr>
                    <w:rFonts w:ascii="宋体" w:hAnsi="宋体" w:cs="宋体" w:eastAsia="宋体" w:hint="default"/>
                    <w:sz w:val="16"/>
                    <w:szCs w:val="16"/>
                  </w:rPr>
                  <w:instrText> PAGE </w:instrText>
                </w:r>
                <w:r>
                  <w:rPr/>
                  <w:fldChar w:fldCharType="separate"/>
                </w:r>
                <w:r>
                  <w:rPr/>
                  <w:t>72</w:t>
                </w:r>
                <w:r>
                  <w:rPr/>
                  <w:fldChar w:fldCharType="end"/>
                </w:r>
                <w:r>
                  <w:rPr>
                    <w:rFonts w:ascii="宋体" w:hAnsi="宋体" w:cs="宋体" w:eastAsia="宋体" w:hint="default"/>
                    <w:sz w:val="16"/>
                    <w:szCs w:val="16"/>
                  </w:rPr>
                  <w:t>／220</w:t>
                </w:r>
              </w:p>
            </w:txbxContent>
          </v:textbox>
          <w10:wrap type="none"/>
        </v:shape>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720001pt;margin-top:805.568726pt;width:31pt;height:10pt;mso-position-horizontal-relative:page;mso-position-vertical-relative:page;z-index:-1022944" type="#_x0000_t202" filled="false" stroked="false">
          <v:textbox inset="0,0,0,0">
            <w:txbxContent>
              <w:p>
                <w:pPr>
                  <w:spacing w:line="180" w:lineRule="exact" w:before="0"/>
                  <w:ind w:left="40" w:right="0" w:firstLine="0"/>
                  <w:jc w:val="left"/>
                  <w:rPr>
                    <w:rFonts w:ascii="宋体" w:hAnsi="宋体" w:cs="宋体" w:eastAsia="宋体" w:hint="default"/>
                    <w:sz w:val="16"/>
                    <w:szCs w:val="16"/>
                  </w:rPr>
                </w:pPr>
                <w:r>
                  <w:rPr>
                    <w:rFonts w:ascii="宋体" w:hAnsi="宋体" w:cs="宋体" w:eastAsia="宋体" w:hint="default"/>
                    <w:sz w:val="16"/>
                    <w:szCs w:val="16"/>
                  </w:rPr>
                </w:r>
                <w:r>
                  <w:rPr/>
                  <w:fldChar w:fldCharType="begin"/>
                </w:r>
                <w:r>
                  <w:rPr>
                    <w:rFonts w:ascii="宋体" w:hAnsi="宋体" w:cs="宋体" w:eastAsia="宋体" w:hint="default"/>
                    <w:sz w:val="16"/>
                    <w:szCs w:val="16"/>
                  </w:rPr>
                  <w:instrText> PAGE </w:instrText>
                </w:r>
                <w:r>
                  <w:rPr/>
                  <w:fldChar w:fldCharType="separate"/>
                </w:r>
                <w:r>
                  <w:rPr/>
                  <w:t>73</w:t>
                </w:r>
                <w:r>
                  <w:rPr/>
                  <w:fldChar w:fldCharType="end"/>
                </w:r>
                <w:r>
                  <w:rPr>
                    <w:rFonts w:ascii="宋体" w:hAnsi="宋体" w:cs="宋体" w:eastAsia="宋体" w:hint="default"/>
                    <w:sz w:val="16"/>
                    <w:szCs w:val="16"/>
                  </w:rPr>
                  <w:t>／220</w:t>
                </w:r>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720001pt;margin-top:805.568726pt;width:31pt;height:10pt;mso-position-horizontal-relative:page;mso-position-vertical-relative:page;z-index:-1022920" type="#_x0000_t202" filled="false" stroked="false">
          <v:textbox inset="0,0,0,0">
            <w:txbxContent>
              <w:p>
                <w:pPr>
                  <w:spacing w:line="180" w:lineRule="exact" w:before="0"/>
                  <w:ind w:left="40" w:right="0" w:firstLine="0"/>
                  <w:jc w:val="left"/>
                  <w:rPr>
                    <w:rFonts w:ascii="宋体" w:hAnsi="宋体" w:cs="宋体" w:eastAsia="宋体" w:hint="default"/>
                    <w:sz w:val="16"/>
                    <w:szCs w:val="16"/>
                  </w:rPr>
                </w:pPr>
                <w:r>
                  <w:rPr>
                    <w:rFonts w:ascii="宋体" w:hAnsi="宋体" w:cs="宋体" w:eastAsia="宋体" w:hint="default"/>
                    <w:sz w:val="16"/>
                    <w:szCs w:val="16"/>
                  </w:rPr>
                </w:r>
                <w:r>
                  <w:rPr/>
                  <w:fldChar w:fldCharType="begin"/>
                </w:r>
                <w:r>
                  <w:rPr>
                    <w:rFonts w:ascii="宋体" w:hAnsi="宋体" w:cs="宋体" w:eastAsia="宋体" w:hint="default"/>
                    <w:sz w:val="16"/>
                    <w:szCs w:val="16"/>
                  </w:rPr>
                  <w:instrText> PAGE </w:instrText>
                </w:r>
                <w:r>
                  <w:rPr/>
                  <w:fldChar w:fldCharType="separate"/>
                </w:r>
                <w:r>
                  <w:rPr/>
                  <w:t>74</w:t>
                </w:r>
                <w:r>
                  <w:rPr/>
                  <w:fldChar w:fldCharType="end"/>
                </w:r>
                <w:r>
                  <w:rPr>
                    <w:rFonts w:ascii="宋体" w:hAnsi="宋体" w:cs="宋体" w:eastAsia="宋体" w:hint="default"/>
                    <w:sz w:val="16"/>
                    <w:szCs w:val="16"/>
                  </w:rPr>
                  <w:t>／220</w:t>
                </w:r>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720001pt;margin-top:805.568726pt;width:31pt;height:10pt;mso-position-horizontal-relative:page;mso-position-vertical-relative:page;z-index:-1022896" type="#_x0000_t202" filled="false" stroked="false">
          <v:textbox inset="0,0,0,0">
            <w:txbxContent>
              <w:p>
                <w:pPr>
                  <w:spacing w:line="180" w:lineRule="exact" w:before="0"/>
                  <w:ind w:left="40" w:right="0" w:firstLine="0"/>
                  <w:jc w:val="left"/>
                  <w:rPr>
                    <w:rFonts w:ascii="宋体" w:hAnsi="宋体" w:cs="宋体" w:eastAsia="宋体" w:hint="default"/>
                    <w:sz w:val="16"/>
                    <w:szCs w:val="16"/>
                  </w:rPr>
                </w:pPr>
                <w:r>
                  <w:rPr>
                    <w:rFonts w:ascii="宋体" w:hAnsi="宋体" w:cs="宋体" w:eastAsia="宋体" w:hint="default"/>
                    <w:sz w:val="16"/>
                    <w:szCs w:val="16"/>
                  </w:rPr>
                </w:r>
                <w:r>
                  <w:rPr/>
                  <w:fldChar w:fldCharType="begin"/>
                </w:r>
                <w:r>
                  <w:rPr>
                    <w:rFonts w:ascii="宋体" w:hAnsi="宋体" w:cs="宋体" w:eastAsia="宋体" w:hint="default"/>
                    <w:sz w:val="16"/>
                    <w:szCs w:val="16"/>
                  </w:rPr>
                  <w:instrText> PAGE </w:instrText>
                </w:r>
                <w:r>
                  <w:rPr/>
                  <w:fldChar w:fldCharType="separate"/>
                </w:r>
                <w:r>
                  <w:rPr/>
                  <w:t>75</w:t>
                </w:r>
                <w:r>
                  <w:rPr/>
                  <w:fldChar w:fldCharType="end"/>
                </w:r>
                <w:r>
                  <w:rPr>
                    <w:rFonts w:ascii="宋体" w:hAnsi="宋体" w:cs="宋体" w:eastAsia="宋体" w:hint="default"/>
                    <w:sz w:val="16"/>
                    <w:szCs w:val="16"/>
                  </w:rPr>
                  <w:t>／220</w:t>
                </w:r>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839996pt;margin-top:559.328735pt;width:31pt;height:10pt;mso-position-horizontal-relative:page;mso-position-vertical-relative:page;z-index:-1022848" type="#_x0000_t202" filled="false" stroked="false">
          <v:textbox inset="0,0,0,0">
            <w:txbxContent>
              <w:p>
                <w:pPr>
                  <w:spacing w:line="180" w:lineRule="exact" w:before="0"/>
                  <w:ind w:left="40" w:right="0" w:firstLine="0"/>
                  <w:jc w:val="left"/>
                  <w:rPr>
                    <w:rFonts w:ascii="宋体" w:hAnsi="宋体" w:cs="宋体" w:eastAsia="宋体" w:hint="default"/>
                    <w:sz w:val="16"/>
                    <w:szCs w:val="16"/>
                  </w:rPr>
                </w:pPr>
                <w:r>
                  <w:rPr>
                    <w:rFonts w:ascii="宋体" w:hAnsi="宋体" w:cs="宋体" w:eastAsia="宋体" w:hint="default"/>
                    <w:sz w:val="16"/>
                    <w:szCs w:val="16"/>
                  </w:rPr>
                </w:r>
                <w:r>
                  <w:rPr/>
                  <w:fldChar w:fldCharType="begin"/>
                </w:r>
                <w:r>
                  <w:rPr>
                    <w:rFonts w:ascii="宋体" w:hAnsi="宋体" w:cs="宋体" w:eastAsia="宋体" w:hint="default"/>
                    <w:sz w:val="16"/>
                    <w:szCs w:val="16"/>
                  </w:rPr>
                  <w:instrText> PAGE </w:instrText>
                </w:r>
                <w:r>
                  <w:rPr/>
                  <w:fldChar w:fldCharType="separate"/>
                </w:r>
                <w:r>
                  <w:rPr/>
                  <w:t>81</w:t>
                </w:r>
                <w:r>
                  <w:rPr/>
                  <w:fldChar w:fldCharType="end"/>
                </w:r>
                <w:r>
                  <w:rPr>
                    <w:rFonts w:ascii="宋体" w:hAnsi="宋体" w:cs="宋体" w:eastAsia="宋体" w:hint="default"/>
                    <w:sz w:val="16"/>
                    <w:szCs w:val="16"/>
                  </w:rPr>
                  <w:t>／220</w:t>
                </w:r>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839996pt;margin-top:559.328735pt;width:31pt;height:10pt;mso-position-horizontal-relative:page;mso-position-vertical-relative:page;z-index:-1022824" type="#_x0000_t202" filled="false" stroked="false">
          <v:textbox inset="0,0,0,0">
            <w:txbxContent>
              <w:p>
                <w:pPr>
                  <w:spacing w:line="180" w:lineRule="exact" w:before="0"/>
                  <w:ind w:left="40" w:right="0" w:firstLine="0"/>
                  <w:jc w:val="left"/>
                  <w:rPr>
                    <w:rFonts w:ascii="宋体" w:hAnsi="宋体" w:cs="宋体" w:eastAsia="宋体" w:hint="default"/>
                    <w:sz w:val="16"/>
                    <w:szCs w:val="16"/>
                  </w:rPr>
                </w:pPr>
                <w:r>
                  <w:rPr>
                    <w:rFonts w:ascii="宋体" w:hAnsi="宋体" w:cs="宋体" w:eastAsia="宋体" w:hint="default"/>
                    <w:sz w:val="16"/>
                    <w:szCs w:val="16"/>
                  </w:rPr>
                </w:r>
                <w:r>
                  <w:rPr/>
                  <w:fldChar w:fldCharType="begin"/>
                </w:r>
                <w:r>
                  <w:rPr>
                    <w:rFonts w:ascii="宋体" w:hAnsi="宋体" w:cs="宋体" w:eastAsia="宋体" w:hint="default"/>
                    <w:sz w:val="16"/>
                    <w:szCs w:val="16"/>
                  </w:rPr>
                  <w:instrText> PAGE </w:instrText>
                </w:r>
                <w:r>
                  <w:rPr/>
                  <w:fldChar w:fldCharType="separate"/>
                </w:r>
                <w:r>
                  <w:rPr/>
                  <w:t>82</w:t>
                </w:r>
                <w:r>
                  <w:rPr/>
                  <w:fldChar w:fldCharType="end"/>
                </w:r>
                <w:r>
                  <w:rPr>
                    <w:rFonts w:ascii="宋体" w:hAnsi="宋体" w:cs="宋体" w:eastAsia="宋体" w:hint="default"/>
                    <w:sz w:val="16"/>
                    <w:szCs w:val="16"/>
                  </w:rPr>
                  <w:t>／220</w:t>
                </w:r>
              </w:p>
            </w:txbxContent>
          </v:textbox>
          <w10:wrap type="none"/>
        </v:shape>
      </w:pict>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9.720001pt;margin-top:805.568726pt;width:35pt;height:10pt;mso-position-horizontal-relative:page;mso-position-vertical-relative:page;z-index:-1022800" type="#_x0000_t202" filled="false" stroked="false">
          <v:textbox inset="0,0,0,0">
            <w:txbxContent>
              <w:p>
                <w:pPr>
                  <w:spacing w:line="180" w:lineRule="exact" w:before="0"/>
                  <w:ind w:left="40" w:right="0" w:firstLine="0"/>
                  <w:jc w:val="left"/>
                  <w:rPr>
                    <w:rFonts w:ascii="宋体" w:hAnsi="宋体" w:cs="宋体" w:eastAsia="宋体" w:hint="default"/>
                    <w:sz w:val="16"/>
                    <w:szCs w:val="16"/>
                  </w:rPr>
                </w:pPr>
                <w:r>
                  <w:rPr>
                    <w:rFonts w:ascii="宋体" w:hAnsi="宋体" w:cs="宋体" w:eastAsia="宋体" w:hint="default"/>
                    <w:sz w:val="16"/>
                    <w:szCs w:val="16"/>
                  </w:rPr>
                </w:r>
                <w:r>
                  <w:rPr/>
                  <w:fldChar w:fldCharType="begin"/>
                </w:r>
                <w:r>
                  <w:rPr>
                    <w:rFonts w:ascii="宋体" w:hAnsi="宋体" w:cs="宋体" w:eastAsia="宋体" w:hint="default"/>
                    <w:sz w:val="16"/>
                    <w:szCs w:val="16"/>
                  </w:rPr>
                  <w:instrText> PAGE </w:instrText>
                </w:r>
                <w:r>
                  <w:rPr/>
                  <w:fldChar w:fldCharType="separate"/>
                </w:r>
                <w:r>
                  <w:rPr/>
                  <w:t>100</w:t>
                </w:r>
                <w:r>
                  <w:rPr/>
                  <w:fldChar w:fldCharType="end"/>
                </w:r>
                <w:r>
                  <w:rPr>
                    <w:rFonts w:ascii="宋体" w:hAnsi="宋体" w:cs="宋体" w:eastAsia="宋体" w:hint="default"/>
                    <w:sz w:val="16"/>
                    <w:szCs w:val="16"/>
                  </w:rPr>
                  <w:t>／220</w:t>
                </w:r>
              </w:p>
            </w:txbxContent>
          </v:textbox>
          <w10:wrap type="none"/>
        </v:shape>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4.660004pt;margin-top:805.808716pt;width:26pt;height:10pt;mso-position-horizontal-relative:page;mso-position-vertical-relative:page;z-index:-1024720"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8</w:t>
                </w:r>
                <w:r>
                  <w:rPr>
                    <w:rFonts w:ascii="宋体" w:hAnsi="宋体" w:cs="宋体" w:eastAsia="宋体" w:hint="default"/>
                    <w:sz w:val="16"/>
                    <w:szCs w:val="16"/>
                  </w:rPr>
                  <w:t>8</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9.720001pt;margin-top:805.568726pt;width:35pt;height:10pt;mso-position-horizontal-relative:page;mso-position-vertical-relative:page;z-index:-1019632" type="#_x0000_t202" filled="false" stroked="false">
          <v:textbox inset="0,0,0,0">
            <w:txbxContent>
              <w:p>
                <w:pPr>
                  <w:spacing w:line="180" w:lineRule="exact" w:before="0"/>
                  <w:ind w:left="40" w:right="0" w:firstLine="0"/>
                  <w:jc w:val="left"/>
                  <w:rPr>
                    <w:rFonts w:ascii="宋体" w:hAnsi="宋体" w:cs="宋体" w:eastAsia="宋体" w:hint="default"/>
                    <w:sz w:val="16"/>
                    <w:szCs w:val="16"/>
                  </w:rPr>
                </w:pPr>
                <w:r>
                  <w:rPr>
                    <w:rFonts w:ascii="宋体" w:hAnsi="宋体" w:cs="宋体" w:eastAsia="宋体" w:hint="default"/>
                    <w:sz w:val="16"/>
                    <w:szCs w:val="16"/>
                  </w:rPr>
                </w:r>
                <w:r>
                  <w:rPr/>
                  <w:fldChar w:fldCharType="begin"/>
                </w:r>
                <w:r>
                  <w:rPr>
                    <w:rFonts w:ascii="宋体" w:hAnsi="宋体" w:cs="宋体" w:eastAsia="宋体" w:hint="default"/>
                    <w:sz w:val="16"/>
                    <w:szCs w:val="16"/>
                  </w:rPr>
                  <w:instrText> PAGE </w:instrText>
                </w:r>
                <w:r>
                  <w:rPr/>
                  <w:fldChar w:fldCharType="separate"/>
                </w:r>
                <w:r>
                  <w:rPr/>
                  <w:t>126</w:t>
                </w:r>
                <w:r>
                  <w:rPr/>
                  <w:fldChar w:fldCharType="end"/>
                </w:r>
                <w:r>
                  <w:rPr>
                    <w:rFonts w:ascii="宋体" w:hAnsi="宋体" w:cs="宋体" w:eastAsia="宋体" w:hint="default"/>
                    <w:sz w:val="16"/>
                    <w:szCs w:val="16"/>
                  </w:rPr>
                  <w:t>／220</w:t>
                </w:r>
              </w:p>
            </w:txbxContent>
          </v:textbox>
          <w10:wrap type="none"/>
        </v:shape>
      </w:pict>
    </w: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9.720001pt;margin-top:805.568726pt;width:35pt;height:10pt;mso-position-horizontal-relative:page;mso-position-vertical-relative:page;z-index:-1019344" type="#_x0000_t202" filled="false" stroked="false">
          <v:textbox inset="0,0,0,0">
            <w:txbxContent>
              <w:p>
                <w:pPr>
                  <w:spacing w:line="180" w:lineRule="exact" w:before="0"/>
                  <w:ind w:left="40" w:right="0" w:firstLine="0"/>
                  <w:jc w:val="left"/>
                  <w:rPr>
                    <w:rFonts w:ascii="宋体" w:hAnsi="宋体" w:cs="宋体" w:eastAsia="宋体" w:hint="default"/>
                    <w:sz w:val="16"/>
                    <w:szCs w:val="16"/>
                  </w:rPr>
                </w:pPr>
                <w:r>
                  <w:rPr>
                    <w:rFonts w:ascii="宋体" w:hAnsi="宋体" w:cs="宋体" w:eastAsia="宋体" w:hint="default"/>
                    <w:sz w:val="16"/>
                    <w:szCs w:val="16"/>
                  </w:rPr>
                </w:r>
                <w:r>
                  <w:rPr/>
                  <w:fldChar w:fldCharType="begin"/>
                </w:r>
                <w:r>
                  <w:rPr>
                    <w:rFonts w:ascii="宋体" w:hAnsi="宋体" w:cs="宋体" w:eastAsia="宋体" w:hint="default"/>
                    <w:sz w:val="16"/>
                    <w:szCs w:val="16"/>
                  </w:rPr>
                  <w:instrText> PAGE </w:instrText>
                </w:r>
                <w:r>
                  <w:rPr/>
                  <w:fldChar w:fldCharType="separate"/>
                </w:r>
                <w:r>
                  <w:rPr/>
                  <w:t>130</w:t>
                </w:r>
                <w:r>
                  <w:rPr/>
                  <w:fldChar w:fldCharType="end"/>
                </w:r>
                <w:r>
                  <w:rPr>
                    <w:rFonts w:ascii="宋体" w:hAnsi="宋体" w:cs="宋体" w:eastAsia="宋体" w:hint="default"/>
                    <w:sz w:val="16"/>
                    <w:szCs w:val="16"/>
                  </w:rPr>
                  <w:t>／220</w:t>
                </w:r>
              </w:p>
            </w:txbxContent>
          </v:textbox>
          <w10:wrap type="none"/>
        </v:shape>
      </w:pict>
    </w: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9.720001pt;margin-top:805.568726pt;width:35pt;height:10pt;mso-position-horizontal-relative:page;mso-position-vertical-relative:page;z-index:-1019032" type="#_x0000_t202" filled="false" stroked="false">
          <v:textbox inset="0,0,0,0">
            <w:txbxContent>
              <w:p>
                <w:pPr>
                  <w:spacing w:line="180" w:lineRule="exact" w:before="0"/>
                  <w:ind w:left="40" w:right="0" w:firstLine="0"/>
                  <w:jc w:val="left"/>
                  <w:rPr>
                    <w:rFonts w:ascii="宋体" w:hAnsi="宋体" w:cs="宋体" w:eastAsia="宋体" w:hint="default"/>
                    <w:sz w:val="16"/>
                    <w:szCs w:val="16"/>
                  </w:rPr>
                </w:pPr>
                <w:r>
                  <w:rPr>
                    <w:rFonts w:ascii="宋体" w:hAnsi="宋体" w:cs="宋体" w:eastAsia="宋体" w:hint="default"/>
                    <w:sz w:val="16"/>
                    <w:szCs w:val="16"/>
                  </w:rPr>
                </w:r>
                <w:r>
                  <w:rPr/>
                  <w:fldChar w:fldCharType="begin"/>
                </w:r>
                <w:r>
                  <w:rPr>
                    <w:rFonts w:ascii="宋体" w:hAnsi="宋体" w:cs="宋体" w:eastAsia="宋体" w:hint="default"/>
                    <w:sz w:val="16"/>
                    <w:szCs w:val="16"/>
                  </w:rPr>
                  <w:instrText> PAGE </w:instrText>
                </w:r>
                <w:r>
                  <w:rPr/>
                  <w:fldChar w:fldCharType="separate"/>
                </w:r>
                <w:r>
                  <w:rPr/>
                  <w:t>133</w:t>
                </w:r>
                <w:r>
                  <w:rPr/>
                  <w:fldChar w:fldCharType="end"/>
                </w:r>
                <w:r>
                  <w:rPr>
                    <w:rFonts w:ascii="宋体" w:hAnsi="宋体" w:cs="宋体" w:eastAsia="宋体" w:hint="default"/>
                    <w:sz w:val="16"/>
                    <w:szCs w:val="16"/>
                  </w:rPr>
                  <w:t>／220</w:t>
                </w:r>
              </w:p>
            </w:txbxContent>
          </v:textbox>
          <w10:wrap type="none"/>
        </v:shape>
      </w:pic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9.720001pt;margin-top:805.568726pt;width:35pt;height:10pt;mso-position-horizontal-relative:page;mso-position-vertical-relative:page;z-index:-1018768" type="#_x0000_t202" filled="false" stroked="false">
          <v:textbox inset="0,0,0,0">
            <w:txbxContent>
              <w:p>
                <w:pPr>
                  <w:spacing w:line="180" w:lineRule="exact" w:before="0"/>
                  <w:ind w:left="40" w:right="0" w:firstLine="0"/>
                  <w:jc w:val="left"/>
                  <w:rPr>
                    <w:rFonts w:ascii="宋体" w:hAnsi="宋体" w:cs="宋体" w:eastAsia="宋体" w:hint="default"/>
                    <w:sz w:val="16"/>
                    <w:szCs w:val="16"/>
                  </w:rPr>
                </w:pPr>
                <w:r>
                  <w:rPr>
                    <w:rFonts w:ascii="宋体" w:hAnsi="宋体" w:cs="宋体" w:eastAsia="宋体" w:hint="default"/>
                    <w:sz w:val="16"/>
                    <w:szCs w:val="16"/>
                  </w:rPr>
                </w:r>
                <w:r>
                  <w:rPr/>
                  <w:fldChar w:fldCharType="begin"/>
                </w:r>
                <w:r>
                  <w:rPr>
                    <w:rFonts w:ascii="宋体" w:hAnsi="宋体" w:cs="宋体" w:eastAsia="宋体" w:hint="default"/>
                    <w:sz w:val="16"/>
                    <w:szCs w:val="16"/>
                  </w:rPr>
                  <w:instrText> PAGE </w:instrText>
                </w:r>
                <w:r>
                  <w:rPr/>
                  <w:fldChar w:fldCharType="separate"/>
                </w:r>
                <w:r>
                  <w:rPr/>
                  <w:t>138</w:t>
                </w:r>
                <w:r>
                  <w:rPr/>
                  <w:fldChar w:fldCharType="end"/>
                </w:r>
                <w:r>
                  <w:rPr>
                    <w:rFonts w:ascii="宋体" w:hAnsi="宋体" w:cs="宋体" w:eastAsia="宋体" w:hint="default"/>
                    <w:sz w:val="16"/>
                    <w:szCs w:val="16"/>
                  </w:rPr>
                  <w:t>／220</w:t>
                </w:r>
              </w:p>
            </w:txbxContent>
          </v:textbox>
          <w10:wrap type="none"/>
        </v:shape>
      </w:pict>
    </w: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9.720001pt;margin-top:805.568726pt;width:35pt;height:10pt;mso-position-horizontal-relative:page;mso-position-vertical-relative:page;z-index:-1018576" type="#_x0000_t202" filled="false" stroked="false">
          <v:textbox inset="0,0,0,0">
            <w:txbxContent>
              <w:p>
                <w:pPr>
                  <w:spacing w:line="180" w:lineRule="exact" w:before="0"/>
                  <w:ind w:left="40" w:right="0" w:firstLine="0"/>
                  <w:jc w:val="left"/>
                  <w:rPr>
                    <w:rFonts w:ascii="宋体" w:hAnsi="宋体" w:cs="宋体" w:eastAsia="宋体" w:hint="default"/>
                    <w:sz w:val="16"/>
                    <w:szCs w:val="16"/>
                  </w:rPr>
                </w:pPr>
                <w:r>
                  <w:rPr>
                    <w:rFonts w:ascii="宋体" w:hAnsi="宋体" w:cs="宋体" w:eastAsia="宋体" w:hint="default"/>
                    <w:sz w:val="16"/>
                    <w:szCs w:val="16"/>
                  </w:rPr>
                </w:r>
                <w:r>
                  <w:rPr/>
                  <w:fldChar w:fldCharType="begin"/>
                </w:r>
                <w:r>
                  <w:rPr>
                    <w:rFonts w:ascii="宋体" w:hAnsi="宋体" w:cs="宋体" w:eastAsia="宋体" w:hint="default"/>
                    <w:sz w:val="16"/>
                    <w:szCs w:val="16"/>
                  </w:rPr>
                  <w:instrText> PAGE </w:instrText>
                </w:r>
                <w:r>
                  <w:rPr/>
                  <w:fldChar w:fldCharType="separate"/>
                </w:r>
                <w:r>
                  <w:rPr/>
                  <w:t>142</w:t>
                </w:r>
                <w:r>
                  <w:rPr/>
                  <w:fldChar w:fldCharType="end"/>
                </w:r>
                <w:r>
                  <w:rPr>
                    <w:rFonts w:ascii="宋体" w:hAnsi="宋体" w:cs="宋体" w:eastAsia="宋体" w:hint="default"/>
                    <w:sz w:val="16"/>
                    <w:szCs w:val="16"/>
                  </w:rPr>
                  <w:t>／220</w:t>
                </w:r>
              </w:p>
            </w:txbxContent>
          </v:textbox>
          <w10:wrap type="none"/>
        </v:shape>
      </w:pict>
    </w: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4.660004pt;margin-top:805.808716pt;width:26pt;height:10pt;mso-position-horizontal-relative:page;mso-position-vertical-relative:page;z-index:-1024696"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9</w:t>
                </w:r>
                <w:r>
                  <w:rPr>
                    <w:rFonts w:ascii="宋体" w:hAnsi="宋体" w:cs="宋体" w:eastAsia="宋体" w:hint="default"/>
                    <w:sz w:val="16"/>
                    <w:szCs w:val="16"/>
                  </w:rPr>
                  <w:t>9</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9.720001pt;margin-top:805.568726pt;width:35pt;height:10pt;mso-position-horizontal-relative:page;mso-position-vertical-relative:page;z-index:-1017688" type="#_x0000_t202" filled="false" stroked="false">
          <v:textbox inset="0,0,0,0">
            <w:txbxContent>
              <w:p>
                <w:pPr>
                  <w:spacing w:line="180" w:lineRule="exact" w:before="0"/>
                  <w:ind w:left="40" w:right="0" w:firstLine="0"/>
                  <w:jc w:val="left"/>
                  <w:rPr>
                    <w:rFonts w:ascii="宋体" w:hAnsi="宋体" w:cs="宋体" w:eastAsia="宋体" w:hint="default"/>
                    <w:sz w:val="16"/>
                    <w:szCs w:val="16"/>
                  </w:rPr>
                </w:pPr>
                <w:r>
                  <w:rPr>
                    <w:rFonts w:ascii="宋体" w:hAnsi="宋体" w:cs="宋体" w:eastAsia="宋体" w:hint="default"/>
                    <w:sz w:val="16"/>
                    <w:szCs w:val="16"/>
                  </w:rPr>
                </w:r>
                <w:r>
                  <w:rPr/>
                  <w:fldChar w:fldCharType="begin"/>
                </w:r>
                <w:r>
                  <w:rPr>
                    <w:rFonts w:ascii="宋体" w:hAnsi="宋体" w:cs="宋体" w:eastAsia="宋体" w:hint="default"/>
                    <w:sz w:val="16"/>
                    <w:szCs w:val="16"/>
                  </w:rPr>
                  <w:instrText> PAGE </w:instrText>
                </w:r>
                <w:r>
                  <w:rPr/>
                  <w:fldChar w:fldCharType="separate"/>
                </w:r>
                <w:r>
                  <w:rPr/>
                  <w:t>153</w:t>
                </w:r>
                <w:r>
                  <w:rPr/>
                  <w:fldChar w:fldCharType="end"/>
                </w:r>
                <w:r>
                  <w:rPr>
                    <w:rFonts w:ascii="宋体" w:hAnsi="宋体" w:cs="宋体" w:eastAsia="宋体" w:hint="default"/>
                    <w:sz w:val="16"/>
                    <w:szCs w:val="16"/>
                  </w:rPr>
                  <w:t>／220</w:t>
                </w:r>
              </w:p>
            </w:txbxContent>
          </v:textbox>
          <w10:wrap type="none"/>
        </v:shape>
      </w:pic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9.720001pt;margin-top:805.568726pt;width:35pt;height:10pt;mso-position-horizontal-relative:page;mso-position-vertical-relative:page;z-index:-1017592" type="#_x0000_t202" filled="false" stroked="false">
          <v:textbox inset="0,0,0,0">
            <w:txbxContent>
              <w:p>
                <w:pPr>
                  <w:spacing w:line="180" w:lineRule="exact" w:before="0"/>
                  <w:ind w:left="40" w:right="0" w:firstLine="0"/>
                  <w:jc w:val="left"/>
                  <w:rPr>
                    <w:rFonts w:ascii="宋体" w:hAnsi="宋体" w:cs="宋体" w:eastAsia="宋体" w:hint="default"/>
                    <w:sz w:val="16"/>
                    <w:szCs w:val="16"/>
                  </w:rPr>
                </w:pPr>
                <w:r>
                  <w:rPr>
                    <w:rFonts w:ascii="宋体" w:hAnsi="宋体" w:cs="宋体" w:eastAsia="宋体" w:hint="default"/>
                    <w:sz w:val="16"/>
                    <w:szCs w:val="16"/>
                  </w:rPr>
                </w:r>
                <w:r>
                  <w:rPr/>
                  <w:fldChar w:fldCharType="begin"/>
                </w:r>
                <w:r>
                  <w:rPr>
                    <w:rFonts w:ascii="宋体" w:hAnsi="宋体" w:cs="宋体" w:eastAsia="宋体" w:hint="default"/>
                    <w:sz w:val="16"/>
                    <w:szCs w:val="16"/>
                  </w:rPr>
                  <w:instrText> PAGE </w:instrText>
                </w:r>
                <w:r>
                  <w:rPr/>
                  <w:fldChar w:fldCharType="separate"/>
                </w:r>
                <w:r>
                  <w:rPr/>
                  <w:t>156</w:t>
                </w:r>
                <w:r>
                  <w:rPr/>
                  <w:fldChar w:fldCharType="end"/>
                </w:r>
                <w:r>
                  <w:rPr>
                    <w:rFonts w:ascii="宋体" w:hAnsi="宋体" w:cs="宋体" w:eastAsia="宋体" w:hint="default"/>
                    <w:sz w:val="16"/>
                    <w:szCs w:val="16"/>
                  </w:rPr>
                  <w:t>／220</w:t>
                </w:r>
              </w:p>
            </w:txbxContent>
          </v:textbox>
          <w10:wrap type="none"/>
        </v:shape>
      </w:pict>
    </w:r>
  </w:p>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9.720001pt;margin-top:805.568726pt;width:35pt;height:10pt;mso-position-horizontal-relative:page;mso-position-vertical-relative:page;z-index:-1017184" type="#_x0000_t202" filled="false" stroked="false">
          <v:textbox inset="0,0,0,0">
            <w:txbxContent>
              <w:p>
                <w:pPr>
                  <w:spacing w:line="180" w:lineRule="exact" w:before="0"/>
                  <w:ind w:left="40" w:right="0" w:firstLine="0"/>
                  <w:jc w:val="left"/>
                  <w:rPr>
                    <w:rFonts w:ascii="宋体" w:hAnsi="宋体" w:cs="宋体" w:eastAsia="宋体" w:hint="default"/>
                    <w:sz w:val="16"/>
                    <w:szCs w:val="16"/>
                  </w:rPr>
                </w:pPr>
                <w:r>
                  <w:rPr>
                    <w:rFonts w:ascii="宋体" w:hAnsi="宋体" w:cs="宋体" w:eastAsia="宋体" w:hint="default"/>
                    <w:sz w:val="16"/>
                    <w:szCs w:val="16"/>
                  </w:rPr>
                </w:r>
                <w:r>
                  <w:rPr/>
                  <w:fldChar w:fldCharType="begin"/>
                </w:r>
                <w:r>
                  <w:rPr>
                    <w:rFonts w:ascii="宋体" w:hAnsi="宋体" w:cs="宋体" w:eastAsia="宋体" w:hint="default"/>
                    <w:sz w:val="16"/>
                    <w:szCs w:val="16"/>
                  </w:rPr>
                  <w:instrText> PAGE </w:instrText>
                </w:r>
                <w:r>
                  <w:rPr/>
                  <w:fldChar w:fldCharType="separate"/>
                </w:r>
                <w:r>
                  <w:rPr/>
                  <w:t>163</w:t>
                </w:r>
                <w:r>
                  <w:rPr/>
                  <w:fldChar w:fldCharType="end"/>
                </w:r>
                <w:r>
                  <w:rPr>
                    <w:rFonts w:ascii="宋体" w:hAnsi="宋体" w:cs="宋体" w:eastAsia="宋体" w:hint="default"/>
                    <w:sz w:val="16"/>
                    <w:szCs w:val="16"/>
                  </w:rPr>
                  <w:t>／220</w:t>
                </w:r>
              </w:p>
            </w:txbxContent>
          </v:textbox>
          <w10:wrap type="none"/>
        </v:shape>
      </w:pict>
    </w: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660004pt;margin-top:805.808716pt;width:34pt;height:10pt;mso-position-horizontal-relative:page;mso-position-vertical-relative:page;z-index:-1013416" type="#_x0000_t202" filled="false" stroked="false">
          <v:textbox inset="0,0,0,0">
            <w:txbxContent>
              <w:p>
                <w:pPr>
                  <w:spacing w:line="180" w:lineRule="exact" w:before="0"/>
                  <w:ind w:left="20" w:right="0" w:firstLine="0"/>
                  <w:jc w:val="left"/>
                  <w:rPr>
                    <w:rFonts w:ascii="宋体" w:hAnsi="宋体" w:cs="宋体" w:eastAsia="宋体" w:hint="default"/>
                    <w:sz w:val="16"/>
                    <w:szCs w:val="16"/>
                  </w:rPr>
                </w:pP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r>
                  <w:rPr>
                    <w:rFonts w:ascii="宋体" w:hAnsi="宋体" w:cs="宋体" w:eastAsia="宋体" w:hint="default"/>
                    <w:spacing w:val="-160"/>
                    <w:sz w:val="16"/>
                    <w:szCs w:val="16"/>
                  </w:rPr>
                  <w:t>／</w:t>
                </w:r>
                <w:r>
                  <w:rPr>
                    <w:rFonts w:ascii="宋体" w:hAnsi="宋体" w:cs="宋体" w:eastAsia="宋体" w:hint="default"/>
                    <w:sz w:val="16"/>
                    <w:szCs w:val="16"/>
                  </w:rPr>
                  <w:t>／</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2</w:t>
                </w:r>
                <w:r>
                  <w:rPr>
                    <w:rFonts w:ascii="宋体" w:hAnsi="宋体" w:cs="宋体" w:eastAsia="宋体" w:hint="default"/>
                    <w:sz w:val="16"/>
                    <w:szCs w:val="16"/>
                  </w:rPr>
                  <w:t>2</w:t>
                </w:r>
                <w:r>
                  <w:rPr>
                    <w:rFonts w:ascii="宋体" w:hAnsi="宋体" w:cs="宋体" w:eastAsia="宋体" w:hint="default"/>
                    <w:spacing w:val="-80"/>
                    <w:sz w:val="16"/>
                    <w:szCs w:val="16"/>
                  </w:rPr>
                  <w:t>0</w:t>
                </w:r>
                <w:r>
                  <w:rPr>
                    <w:rFonts w:ascii="宋体" w:hAnsi="宋体" w:cs="宋体" w:eastAsia="宋体" w:hint="default"/>
                    <w:sz w:val="16"/>
                    <w:szCs w:val="16"/>
                  </w:rPr>
                  <w:t>0</w:t>
                </w:r>
              </w:p>
            </w:txbxContent>
          </v:textbox>
          <w10:wrap type="none"/>
        </v:shape>
      </w:pict>
    </w:r>
  </w:p>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9.449997pt;margin-top:42.699982pt;width:27.6pt;height:21pt;mso-position-horizontal-relative:page;mso-position-vertical-relative:page;z-index:-1024984" type="#_x0000_t75" stroked="false">
          <v:imagedata r:id="rId1" o:title=""/>
        </v:shape>
      </w:pict>
    </w:r>
    <w:r>
      <w:rPr/>
      <w:pict>
        <v:group style="position:absolute;margin-left:69.503998pt;margin-top:67.679985pt;width:462.55pt;height:.1pt;mso-position-horizontal-relative:page;mso-position-vertical-relative:page;z-index:-1024960" coordorigin="1390,1354" coordsize="9251,2">
          <v:shape style="position:absolute;left:1390;top:1354;width:9251;height:2" coordorigin="1390,1354" coordsize="9251,0" path="m1390,1354l10641,1354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106.059998pt;margin-top:54.985607pt;width:128pt;height:11pt;mso-position-horizontal-relative:page;mso-position-vertical-relative:page;z-index:-102493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中国联合网络通信股份有限公司</w:t>
                </w:r>
              </w:p>
            </w:txbxContent>
          </v:textbox>
          <w10:wrap type="none"/>
        </v:shape>
      </w:pict>
    </w:r>
    <w:r>
      <w:rPr/>
      <w:pict>
        <v:shape style="position:absolute;margin-left:455.579987pt;margin-top:54.985607pt;width:67.55pt;height:12pt;mso-position-horizontal-relative:page;mso-position-vertical-relative:page;z-index:-1024912"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080002pt;margin-top:58.392494pt;width:156.35pt;height:13.05pt;mso-position-horizontal-relative:page;mso-position-vertical-relative:page;z-index:-101600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7.080002pt;margin-top:85.263855pt;width:200.25pt;height:41.65pt;mso-position-horizontal-relative:page;mso-position-vertical-relative:page;z-index:-101598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4798pt;margin-top:140.703857pt;width:167.85pt;height:13.05pt;mso-position-horizontal-relative:page;mso-position-vertical-relative:page;z-index:-1015960"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080002pt;margin-top:58.392494pt;width:156.35pt;height:13.05pt;mso-position-horizontal-relative:page;mso-position-vertical-relative:page;z-index:-101593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7.080002pt;margin-top:85.263855pt;width:200.25pt;height:41.65pt;mso-position-horizontal-relative:page;mso-position-vertical-relative:page;z-index:-101591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4798pt;margin-top:140.703857pt;width:167.85pt;height:13.05pt;mso-position-horizontal-relative:page;mso-position-vertical-relative:page;z-index:-1015888"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080002pt;margin-top:58.392494pt;width:156.35pt;height:13.05pt;mso-position-horizontal-relative:page;mso-position-vertical-relative:page;z-index:-101586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7.080002pt;margin-top:85.263855pt;width:200.25pt;height:41.65pt;mso-position-horizontal-relative:page;mso-position-vertical-relative:page;z-index:-101584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4798pt;margin-top:140.703857pt;width:167.85pt;height:13.05pt;mso-position-horizontal-relative:page;mso-position-vertical-relative:page;z-index:-1015816"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392494pt;width:156.35pt;height:13.05pt;mso-position-horizontal-relative:page;mso-position-vertical-relative:page;z-index:-101579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263855pt;width:200.25pt;height:41.65pt;mso-position-horizontal-relative:page;mso-position-vertical-relative:page;z-index:-101576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392494pt;width:156.35pt;height:13.05pt;mso-position-horizontal-relative:page;mso-position-vertical-relative:page;z-index:-101574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263855pt;width:200.25pt;height:41.65pt;mso-position-horizontal-relative:page;mso-position-vertical-relative:page;z-index:-101572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39999pt;margin-top:140.703857pt;width:155.15pt;height:13.05pt;mso-position-horizontal-relative:page;mso-position-vertical-relative:page;z-index:-101569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七</w:t>
                </w:r>
                <w:r>
                  <w:rPr>
                    <w:rFonts w:ascii="黑体" w:hAnsi="黑体" w:cs="黑体" w:eastAsia="黑体" w:hint="default"/>
                    <w:spacing w:val="91"/>
                  </w:rPr>
                  <w:t> </w:t>
                </w:r>
                <w:r>
                  <w:rPr>
                    <w:rFonts w:ascii="黑体" w:hAnsi="黑体" w:cs="黑体" w:eastAsia="黑体" w:hint="default"/>
                  </w:rPr>
                  <w:t>在其他主体中的权益（续）</w:t>
                </w:r>
              </w:p>
            </w:txbxContent>
          </v:textbox>
          <w10:wrap type="none"/>
        </v:shape>
      </w:pict>
    </w:r>
    <w:r>
      <w:rPr/>
      <w:pict>
        <v:shape style="position:absolute;margin-left:55.639999pt;margin-top:166.632492pt;width:144.1pt;height:36.9pt;mso-position-horizontal-relative:page;mso-position-vertical-relative:page;z-index:-1015672" type="#_x0000_t202" filled="false" stroked="false">
          <v:textbox inset="0,0,0,0">
            <w:txbxContent>
              <w:p>
                <w:pPr>
                  <w:pStyle w:val="BodyText"/>
                  <w:spacing w:line="256" w:lineRule="exact"/>
                  <w:ind w:left="48" w:right="0"/>
                  <w:jc w:val="left"/>
                </w:pPr>
                <w:r>
                  <w:rPr>
                    <w:rFonts w:ascii="Arial" w:hAnsi="Arial" w:cs="Arial" w:eastAsia="Arial" w:hint="default"/>
                  </w:rPr>
                  <w:t>1</w:t>
                </w:r>
                <w:r>
                  <w:rPr/>
                  <w:t>、</w:t>
                </w:r>
                <w:r>
                  <w:rPr>
                    <w:spacing w:val="-60"/>
                  </w:rPr>
                  <w:t> </w:t>
                </w:r>
                <w:r>
                  <w:rPr/>
                  <w:t>在子公司中的权益（续）</w:t>
                </w:r>
              </w:p>
              <w:p>
                <w:pPr>
                  <w:pStyle w:val="BodyText"/>
                  <w:spacing w:line="240" w:lineRule="auto" w:before="162"/>
                  <w:ind w:right="0"/>
                  <w:jc w:val="left"/>
                </w:pPr>
                <w:r>
                  <w:rPr>
                    <w:rFonts w:ascii="Arial" w:hAnsi="Arial" w:cs="Arial" w:eastAsia="Arial" w:hint="default"/>
                  </w:rPr>
                  <w:t>(a) </w:t>
                </w:r>
                <w:r>
                  <w:rPr>
                    <w:rFonts w:ascii="Arial" w:hAnsi="Arial" w:cs="Arial" w:eastAsia="Arial" w:hint="default"/>
                    <w:spacing w:val="28"/>
                  </w:rPr>
                  <w:t> </w:t>
                </w:r>
                <w:r>
                  <w:rPr/>
                  <w:t>企业集团的构成（续）</w:t>
                </w:r>
              </w:p>
            </w:txbxContent>
          </v:textbox>
          <w10:wrap type="none"/>
        </v:shape>
      </w:pict>
    </w:r>
    <w:r>
      <w:rPr/>
      <w:pict>
        <v:shape style="position:absolute;margin-left:55.639999pt;margin-top:216.783859pt;width:221.15pt;height:13.6pt;mso-position-horizontal-relative:page;mso-position-vertical-relative:page;z-index:-1015648" type="#_x0000_t202" filled="false" stroked="false">
          <v:textbox inset="0,0,0,0">
            <w:txbxContent>
              <w:p>
                <w:pPr>
                  <w:pStyle w:val="BodyText"/>
                  <w:spacing w:line="256" w:lineRule="exact"/>
                  <w:ind w:right="0"/>
                  <w:jc w:val="left"/>
                </w:pPr>
                <w:r>
                  <w:rPr>
                    <w:rFonts w:ascii="Arial" w:hAnsi="Arial" w:cs="Arial" w:eastAsia="Arial" w:hint="default"/>
                  </w:rPr>
                  <w:t>(1) </w:t>
                </w:r>
                <w:r>
                  <w:rPr>
                    <w:rFonts w:ascii="Arial" w:hAnsi="Arial" w:cs="Arial" w:eastAsia="Arial" w:hint="default"/>
                    <w:spacing w:val="30"/>
                  </w:rPr>
                  <w:t> </w:t>
                </w:r>
                <w:r>
                  <w:rPr/>
                  <w:t>通过设立或投资方式取得的子公司（续）</w:t>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392494pt;width:156.35pt;height:13.05pt;mso-position-horizontal-relative:page;mso-position-vertical-relative:page;z-index:-101562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263855pt;width:200.25pt;height:41.65pt;mso-position-horizontal-relative:page;mso-position-vertical-relative:page;z-index:-101560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39999pt;margin-top:140.703857pt;width:155.15pt;height:13.05pt;mso-position-horizontal-relative:page;mso-position-vertical-relative:page;z-index:-101557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七</w:t>
                </w:r>
                <w:r>
                  <w:rPr>
                    <w:rFonts w:ascii="黑体" w:hAnsi="黑体" w:cs="黑体" w:eastAsia="黑体" w:hint="default"/>
                    <w:spacing w:val="91"/>
                  </w:rPr>
                  <w:t> </w:t>
                </w:r>
                <w:r>
                  <w:rPr>
                    <w:rFonts w:ascii="黑体" w:hAnsi="黑体" w:cs="黑体" w:eastAsia="黑体" w:hint="default"/>
                  </w:rPr>
                  <w:t>在其他主体中的权益（续）</w:t>
                </w:r>
              </w:p>
            </w:txbxContent>
          </v:textbox>
          <w10:wrap type="none"/>
        </v:shape>
      </w:pict>
    </w:r>
    <w:r>
      <w:rPr/>
      <w:pict>
        <v:shape style="position:absolute;margin-left:55.639999pt;margin-top:166.632492pt;width:144.1pt;height:36.9pt;mso-position-horizontal-relative:page;mso-position-vertical-relative:page;z-index:-1015552" type="#_x0000_t202" filled="false" stroked="false">
          <v:textbox inset="0,0,0,0">
            <w:txbxContent>
              <w:p>
                <w:pPr>
                  <w:pStyle w:val="BodyText"/>
                  <w:spacing w:line="256" w:lineRule="exact"/>
                  <w:ind w:left="48" w:right="0"/>
                  <w:jc w:val="left"/>
                </w:pPr>
                <w:r>
                  <w:rPr>
                    <w:rFonts w:ascii="Arial" w:hAnsi="Arial" w:cs="Arial" w:eastAsia="Arial" w:hint="default"/>
                  </w:rPr>
                  <w:t>1</w:t>
                </w:r>
                <w:r>
                  <w:rPr/>
                  <w:t>、</w:t>
                </w:r>
                <w:r>
                  <w:rPr>
                    <w:spacing w:val="-60"/>
                  </w:rPr>
                  <w:t> </w:t>
                </w:r>
                <w:r>
                  <w:rPr/>
                  <w:t>在子公司中的权益（续）</w:t>
                </w:r>
              </w:p>
              <w:p>
                <w:pPr>
                  <w:pStyle w:val="BodyText"/>
                  <w:spacing w:line="240" w:lineRule="auto" w:before="162"/>
                  <w:ind w:right="0"/>
                  <w:jc w:val="left"/>
                </w:pPr>
                <w:r>
                  <w:rPr>
                    <w:rFonts w:ascii="Arial" w:hAnsi="Arial" w:cs="Arial" w:eastAsia="Arial" w:hint="default"/>
                  </w:rPr>
                  <w:t>(a) </w:t>
                </w:r>
                <w:r>
                  <w:rPr>
                    <w:rFonts w:ascii="Arial" w:hAnsi="Arial" w:cs="Arial" w:eastAsia="Arial" w:hint="default"/>
                    <w:spacing w:val="28"/>
                  </w:rPr>
                  <w:t> </w:t>
                </w:r>
                <w:r>
                  <w:rPr/>
                  <w:t>企业集团的构成（续）</w:t>
                </w:r>
              </w:p>
            </w:txbxContent>
          </v:textbox>
          <w10:wrap type="none"/>
        </v:shape>
      </w:pict>
    </w:r>
    <w:r>
      <w:rPr/>
      <w:pict>
        <v:shape style="position:absolute;margin-left:55.639999pt;margin-top:216.783859pt;width:221.15pt;height:13.6pt;mso-position-horizontal-relative:page;mso-position-vertical-relative:page;z-index:-1015528" type="#_x0000_t202" filled="false" stroked="false">
          <v:textbox inset="0,0,0,0">
            <w:txbxContent>
              <w:p>
                <w:pPr>
                  <w:pStyle w:val="BodyText"/>
                  <w:spacing w:line="256" w:lineRule="exact"/>
                  <w:ind w:right="0"/>
                  <w:jc w:val="left"/>
                </w:pPr>
                <w:r>
                  <w:rPr>
                    <w:rFonts w:ascii="Arial" w:hAnsi="Arial" w:cs="Arial" w:eastAsia="Arial" w:hint="default"/>
                  </w:rPr>
                  <w:t>(2) </w:t>
                </w:r>
                <w:r>
                  <w:rPr>
                    <w:rFonts w:ascii="Arial" w:hAnsi="Arial" w:cs="Arial" w:eastAsia="Arial" w:hint="default"/>
                    <w:spacing w:val="30"/>
                  </w:rPr>
                  <w:t> </w:t>
                </w:r>
                <w:r>
                  <w:rPr/>
                  <w:t>通过同一控制下的企业合并取得的子公司</w:t>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608494pt;width:156.6pt;height:13.05pt;mso-position-horizontal-relative:page;mso-position-vertical-relative:page;z-index:-101550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w:t>
                </w:r>
                <w:r>
                  <w:rPr>
                    <w:rFonts w:ascii="黑体" w:hAnsi="黑体" w:cs="黑体" w:eastAsia="黑体" w:hint="default"/>
                  </w:rPr>
                  <w:t>国联合网络通信股份有限公司</w:t>
                </w:r>
              </w:p>
            </w:txbxContent>
          </v:textbox>
          <w10:wrap type="none"/>
        </v:shape>
      </w:pict>
    </w:r>
    <w:r>
      <w:rPr/>
      <w:pict>
        <v:shape style="position:absolute;margin-left:55.639999pt;margin-top:85.023491pt;width:200.25pt;height:41.15pt;mso-position-horizontal-relative:page;mso-position-vertical-relative:page;z-index:-1015480" type="#_x0000_t202" filled="false" stroked="false">
          <v:textbox inset="0,0,0,0">
            <w:txbxContent>
              <w:p>
                <w:pPr>
                  <w:pStyle w:val="BodyText"/>
                  <w:spacing w:line="236"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89"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7"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39999pt;margin-top:139.975494pt;width:155.15pt;height:13.05pt;mso-position-horizontal-relative:page;mso-position-vertical-relative:page;z-index:-101545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七</w:t>
                </w:r>
                <w:r>
                  <w:rPr>
                    <w:rFonts w:ascii="黑体" w:hAnsi="黑体" w:cs="黑体" w:eastAsia="黑体" w:hint="default"/>
                    <w:spacing w:val="91"/>
                  </w:rPr>
                  <w:t> </w:t>
                </w:r>
                <w:r>
                  <w:rPr>
                    <w:rFonts w:ascii="黑体" w:hAnsi="黑体" w:cs="黑体" w:eastAsia="黑体" w:hint="default"/>
                  </w:rPr>
                  <w:t>在其他主体中的权益（续）</w:t>
                </w:r>
              </w:p>
            </w:txbxContent>
          </v:textbox>
          <w10:wrap type="none"/>
        </v:shape>
      </w:pict>
    </w:r>
    <w:r>
      <w:rPr/>
      <w:pict>
        <v:shape style="position:absolute;margin-left:57.077pt;margin-top:166.860489pt;width:142.65pt;height:13.6pt;mso-position-horizontal-relative:page;mso-position-vertical-relative:page;z-index:-1015432" type="#_x0000_t202" filled="false" stroked="false">
          <v:textbox inset="0,0,0,0">
            <w:txbxContent>
              <w:p>
                <w:pPr>
                  <w:pStyle w:val="BodyText"/>
                  <w:spacing w:line="256" w:lineRule="exact"/>
                  <w:ind w:right="0"/>
                  <w:jc w:val="left"/>
                </w:pPr>
                <w:r>
                  <w:rPr>
                    <w:rFonts w:ascii="Arial" w:hAnsi="Arial" w:cs="Arial" w:eastAsia="Arial" w:hint="default"/>
                  </w:rPr>
                  <w:t>1</w:t>
                </w:r>
                <w:r>
                  <w:rPr/>
                  <w:t>、</w:t>
                </w:r>
                <w:r>
                  <w:rPr>
                    <w:spacing w:val="-60"/>
                  </w:rPr>
                  <w:t> </w:t>
                </w:r>
                <w:r>
                  <w:rPr/>
                  <w:t>在子公司中的权益（续）</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608494pt;width:156.6pt;height:13.05pt;mso-position-horizontal-relative:page;mso-position-vertical-relative:page;z-index:-101540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w:t>
                </w:r>
                <w:r>
                  <w:rPr>
                    <w:rFonts w:ascii="黑体" w:hAnsi="黑体" w:cs="黑体" w:eastAsia="黑体" w:hint="default"/>
                  </w:rPr>
                  <w:t>国联合网络通信股份有限公司</w:t>
                </w:r>
              </w:p>
            </w:txbxContent>
          </v:textbox>
          <w10:wrap type="none"/>
        </v:shape>
      </w:pict>
    </w:r>
    <w:r>
      <w:rPr/>
      <w:pict>
        <v:shape style="position:absolute;margin-left:55.639999pt;margin-top:85.023491pt;width:200.25pt;height:41.15pt;mso-position-horizontal-relative:page;mso-position-vertical-relative:page;z-index:-1015384" type="#_x0000_t202" filled="false" stroked="false">
          <v:textbox inset="0,0,0,0">
            <w:txbxContent>
              <w:p>
                <w:pPr>
                  <w:pStyle w:val="BodyText"/>
                  <w:spacing w:line="236"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89"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7"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39999pt;margin-top:139.975494pt;width:155.15pt;height:13.05pt;mso-position-horizontal-relative:page;mso-position-vertical-relative:page;z-index:-101536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七</w:t>
                </w:r>
                <w:r>
                  <w:rPr>
                    <w:rFonts w:ascii="黑体" w:hAnsi="黑体" w:cs="黑体" w:eastAsia="黑体" w:hint="default"/>
                    <w:spacing w:val="91"/>
                  </w:rPr>
                  <w:t> </w:t>
                </w:r>
                <w:r>
                  <w:rPr>
                    <w:rFonts w:ascii="黑体" w:hAnsi="黑体" w:cs="黑体" w:eastAsia="黑体" w:hint="default"/>
                  </w:rPr>
                  <w:t>在其他主体中的权益（续）</w:t>
                </w:r>
              </w:p>
            </w:txbxContent>
          </v:textbox>
          <w10:wrap type="none"/>
        </v:shape>
      </w:pict>
    </w:r>
    <w:r>
      <w:rPr/>
      <w:pict>
        <v:shape style="position:absolute;margin-left:57.560001pt;margin-top:162.304489pt;width:177pt;height:13.6pt;mso-position-horizontal-relative:page;mso-position-vertical-relative:page;z-index:-1015336" type="#_x0000_t202" filled="false" stroked="false">
          <v:textbox inset="0,0,0,0">
            <w:txbxContent>
              <w:p>
                <w:pPr>
                  <w:pStyle w:val="BodyText"/>
                  <w:spacing w:line="256" w:lineRule="exact"/>
                  <w:ind w:right="0"/>
                  <w:jc w:val="left"/>
                </w:pPr>
                <w:r>
                  <w:rPr>
                    <w:rFonts w:ascii="Arial" w:hAnsi="Arial" w:cs="Arial" w:eastAsia="Arial" w:hint="default"/>
                  </w:rPr>
                  <w:t>2</w:t>
                </w:r>
                <w:r>
                  <w:rPr/>
                  <w:t>、</w:t>
                </w:r>
                <w:r>
                  <w:rPr>
                    <w:spacing w:val="-34"/>
                  </w:rPr>
                  <w:t> </w:t>
                </w:r>
                <w:r>
                  <w:rPr/>
                  <w:t>在合营企业或联营企业中的权益</w:t>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608494pt;width:156.6pt;height:13.05pt;mso-position-horizontal-relative:page;mso-position-vertical-relative:page;z-index:-101531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w:t>
                </w:r>
                <w:r>
                  <w:rPr>
                    <w:rFonts w:ascii="黑体" w:hAnsi="黑体" w:cs="黑体" w:eastAsia="黑体" w:hint="default"/>
                  </w:rPr>
                  <w:t>国联合网络通信股份有限公司</w:t>
                </w:r>
              </w:p>
            </w:txbxContent>
          </v:textbox>
          <w10:wrap type="none"/>
        </v:shape>
      </w:pict>
    </w:r>
    <w:r>
      <w:rPr/>
      <w:pict>
        <v:shape style="position:absolute;margin-left:55.639999pt;margin-top:85.023491pt;width:200.25pt;height:41.15pt;mso-position-horizontal-relative:page;mso-position-vertical-relative:page;z-index:-1015288" type="#_x0000_t202" filled="false" stroked="false">
          <v:textbox inset="0,0,0,0">
            <w:txbxContent>
              <w:p>
                <w:pPr>
                  <w:pStyle w:val="BodyText"/>
                  <w:spacing w:line="236"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89"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7"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39999pt;margin-top:139.975494pt;width:155.15pt;height:13.05pt;mso-position-horizontal-relative:page;mso-position-vertical-relative:page;z-index:-101526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七</w:t>
                </w:r>
                <w:r>
                  <w:rPr>
                    <w:rFonts w:ascii="黑体" w:hAnsi="黑体" w:cs="黑体" w:eastAsia="黑体" w:hint="default"/>
                    <w:spacing w:val="91"/>
                  </w:rPr>
                  <w:t> </w:t>
                </w:r>
                <w:r>
                  <w:rPr>
                    <w:rFonts w:ascii="黑体" w:hAnsi="黑体" w:cs="黑体" w:eastAsia="黑体" w:hint="default"/>
                  </w:rPr>
                  <w:t>在其他主体中的权益（续）</w:t>
                </w:r>
              </w:p>
            </w:txbxContent>
          </v:textbox>
          <w10:wrap type="none"/>
        </v:shape>
      </w:pict>
    </w:r>
    <w:r>
      <w:rPr/>
      <w:pict>
        <v:shape style="position:absolute;margin-left:55.641998pt;margin-top:166.860489pt;width:177.2pt;height:13.6pt;mso-position-horizontal-relative:page;mso-position-vertical-relative:page;z-index:-1015240" type="#_x0000_t202" filled="false" stroked="false">
          <v:textbox inset="0,0,0,0">
            <w:txbxContent>
              <w:p>
                <w:pPr>
                  <w:pStyle w:val="BodyText"/>
                  <w:spacing w:line="256" w:lineRule="exact"/>
                  <w:ind w:right="0"/>
                  <w:jc w:val="left"/>
                </w:pPr>
                <w:r>
                  <w:rPr>
                    <w:rFonts w:ascii="Arial" w:hAnsi="Arial" w:cs="Arial" w:eastAsia="Arial" w:hint="default"/>
                  </w:rPr>
                  <w:t>4</w:t>
                </w:r>
                <w:r>
                  <w:rPr/>
                  <w:t>、</w:t>
                </w:r>
                <w:r>
                  <w:rPr>
                    <w:spacing w:val="-29"/>
                  </w:rPr>
                  <w:t> </w:t>
                </w:r>
                <w:r>
                  <w:rPr/>
                  <w:t>重要联营企业的主要财务信息：</w:t>
                </w:r>
              </w:p>
            </w:txbxContent>
          </v:textbox>
          <w10:wrap type="non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521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519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1918pt;margin-top:140.952499pt;width:111.2pt;height:13.05pt;mso-position-horizontal-relative:page;mso-position-vertical-relative:page;z-index:-101516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八</w:t>
                </w:r>
                <w:r>
                  <w:rPr>
                    <w:rFonts w:ascii="黑体" w:hAnsi="黑体" w:cs="黑体" w:eastAsia="黑体" w:hint="default"/>
                    <w:spacing w:val="93"/>
                  </w:rPr>
                  <w:t> </w:t>
                </w:r>
                <w:r>
                  <w:rPr>
                    <w:rFonts w:ascii="黑体" w:hAnsi="黑体" w:cs="黑体" w:eastAsia="黑体" w:hint="default"/>
                  </w:rPr>
                  <w:t>金融工具及其风险</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240002pt;margin-top:65.352493pt;width:156.35pt;height:13.05pt;mso-position-horizontal-relative:page;mso-position-vertical-relative:page;z-index:-102287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514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512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1918pt;margin-top:140.952499pt;width:144.1pt;height:13.05pt;mso-position-horizontal-relative:page;mso-position-vertical-relative:page;z-index:-101509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八</w:t>
                </w:r>
                <w:r>
                  <w:rPr>
                    <w:rFonts w:ascii="黑体" w:hAnsi="黑体" w:cs="黑体" w:eastAsia="黑体" w:hint="default"/>
                    <w:spacing w:val="90"/>
                  </w:rPr>
                  <w:t> </w:t>
                </w:r>
                <w:r>
                  <w:rPr>
                    <w:rFonts w:ascii="黑体" w:hAnsi="黑体" w:cs="黑体" w:eastAsia="黑体" w:hint="default"/>
                  </w:rPr>
                  <w:t>金融工具及其风险（续）</w:t>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507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504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1918pt;margin-top:140.952499pt;width:144.1pt;height:13.05pt;mso-position-horizontal-relative:page;mso-position-vertical-relative:page;z-index:-101502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八</w:t>
                </w:r>
                <w:r>
                  <w:rPr>
                    <w:rFonts w:ascii="黑体" w:hAnsi="黑体" w:cs="黑体" w:eastAsia="黑体" w:hint="default"/>
                    <w:spacing w:val="90"/>
                  </w:rPr>
                  <w:t> </w:t>
                </w:r>
                <w:r>
                  <w:rPr>
                    <w:rFonts w:ascii="黑体" w:hAnsi="黑体" w:cs="黑体" w:eastAsia="黑体" w:hint="default"/>
                  </w:rPr>
                  <w:t>金融工具及其风险（续）</w:t>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500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497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1918pt;margin-top:140.952499pt;width:144.1pt;height:13.05pt;mso-position-horizontal-relative:page;mso-position-vertical-relative:page;z-index:-101495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八</w:t>
                </w:r>
                <w:r>
                  <w:rPr>
                    <w:rFonts w:ascii="黑体" w:hAnsi="黑体" w:cs="黑体" w:eastAsia="黑体" w:hint="default"/>
                    <w:spacing w:val="90"/>
                  </w:rPr>
                  <w:t> </w:t>
                </w:r>
                <w:r>
                  <w:rPr>
                    <w:rFonts w:ascii="黑体" w:hAnsi="黑体" w:cs="黑体" w:eastAsia="黑体" w:hint="default"/>
                  </w:rPr>
                  <w:t>金融工具及其风险（续）</w:t>
                </w:r>
              </w:p>
            </w:txbxContent>
          </v:textbox>
          <w10:wrap type="none"/>
        </v:shape>
      </w:pict>
    </w:r>
    <w:r>
      <w:rPr/>
      <w:pict>
        <v:shape style="position:absolute;margin-left:55.641918pt;margin-top:169.281128pt;width:123.7pt;height:13.6pt;mso-position-horizontal-relative:page;mso-position-vertical-relative:page;z-index:-1014928" type="#_x0000_t202" filled="false" stroked="false">
          <v:textbox inset="0,0,0,0">
            <w:txbxContent>
              <w:p>
                <w:pPr>
                  <w:pStyle w:val="BodyText"/>
                  <w:spacing w:line="256" w:lineRule="exact"/>
                  <w:ind w:right="0"/>
                  <w:jc w:val="left"/>
                </w:pPr>
                <w:r>
                  <w:rPr>
                    <w:rFonts w:ascii="Arial" w:hAnsi="Arial" w:cs="Arial" w:eastAsia="Arial" w:hint="default"/>
                  </w:rPr>
                  <w:t>1</w:t>
                </w:r>
                <w:r>
                  <w:rPr/>
                  <w:t>、 金融风险因素（续）</w:t>
                </w:r>
              </w:p>
            </w:txbxContent>
          </v:textbox>
          <w10:wrap type="none"/>
        </v:shape>
      </w:pic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490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488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1918pt;margin-top:140.952499pt;width:145.8pt;height:13.05pt;mso-position-horizontal-relative:page;mso-position-vertical-relative:page;z-index:-1014856"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八</w:t>
                  <w:tab/>
                  <w:t>金融工具及其风险（续）</w:t>
                </w:r>
              </w:p>
            </w:txbxContent>
          </v:textbox>
          <w10:wrap type="none"/>
        </v:shape>
      </w:pict>
    </w:r>
    <w:r>
      <w:rPr/>
      <w:pict>
        <v:shape style="position:absolute;margin-left:55.641918pt;margin-top:169.281128pt;width:123.7pt;height:13.6pt;mso-position-horizontal-relative:page;mso-position-vertical-relative:page;z-index:-1014832" type="#_x0000_t202" filled="false" stroked="false">
          <v:textbox inset="0,0,0,0">
            <w:txbxContent>
              <w:p>
                <w:pPr>
                  <w:pStyle w:val="BodyText"/>
                  <w:spacing w:line="256" w:lineRule="exact"/>
                  <w:ind w:right="0"/>
                  <w:jc w:val="left"/>
                </w:pPr>
                <w:r>
                  <w:rPr>
                    <w:rFonts w:ascii="Arial" w:hAnsi="Arial" w:cs="Arial" w:eastAsia="Arial" w:hint="default"/>
                  </w:rPr>
                  <w:t>1</w:t>
                </w:r>
                <w:r>
                  <w:rPr/>
                  <w:t>、 金融风险因素（续）</w:t>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480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478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1918pt;margin-top:140.952499pt;width:144.1pt;height:13.05pt;mso-position-horizontal-relative:page;mso-position-vertical-relative:page;z-index:-101476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八</w:t>
                </w:r>
                <w:r>
                  <w:rPr>
                    <w:rFonts w:ascii="黑体" w:hAnsi="黑体" w:cs="黑体" w:eastAsia="黑体" w:hint="default"/>
                    <w:spacing w:val="90"/>
                  </w:rPr>
                  <w:t> </w:t>
                </w:r>
                <w:r>
                  <w:rPr>
                    <w:rFonts w:ascii="黑体" w:hAnsi="黑体" w:cs="黑体" w:eastAsia="黑体" w:hint="default"/>
                  </w:rPr>
                  <w:t>金融工具及其风险（续）</w:t>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473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471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468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466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464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461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459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456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39999pt;margin-top:140.474899pt;width:155.15pt;height:13.05pt;mso-position-horizontal-relative:page;mso-position-vertical-relative:page;z-index:-101454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十</w:t>
                </w:r>
                <w:r>
                  <w:rPr>
                    <w:rFonts w:ascii="黑体" w:hAnsi="黑体" w:cs="黑体" w:eastAsia="黑体" w:hint="default"/>
                    <w:spacing w:val="91"/>
                  </w:rPr>
                  <w:t> </w:t>
                </w:r>
                <w:r>
                  <w:rPr>
                    <w:rFonts w:ascii="黑体" w:hAnsi="黑体" w:cs="黑体" w:eastAsia="黑体" w:hint="default"/>
                  </w:rPr>
                  <w:t>关联方关系及其交易（续）</w:t>
                </w:r>
              </w:p>
            </w:txbxContent>
          </v:textbox>
          <w10:wrap type="none"/>
        </v:shape>
      </w:pict>
    </w:r>
    <w:r>
      <w:rPr/>
      <w:pict>
        <v:shape style="position:absolute;margin-left:55.639999pt;margin-top:169.03537pt;width:133.050pt;height:13.6pt;mso-position-horizontal-relative:page;mso-position-vertical-relative:page;z-index:-1014520" type="#_x0000_t202" filled="false" stroked="false">
          <v:textbox inset="0,0,0,0">
            <w:txbxContent>
              <w:p>
                <w:pPr>
                  <w:pStyle w:val="BodyText"/>
                  <w:spacing w:line="256" w:lineRule="exact"/>
                  <w:ind w:right="0"/>
                  <w:jc w:val="left"/>
                </w:pPr>
                <w:r>
                  <w:rPr>
                    <w:rFonts w:ascii="Arial" w:hAnsi="Arial" w:cs="Arial" w:eastAsia="Arial" w:hint="default"/>
                  </w:rPr>
                  <w:t>4</w:t>
                </w:r>
                <w:r>
                  <w:rPr/>
                  <w:t>、</w:t>
                </w:r>
                <w:r>
                  <w:rPr>
                    <w:spacing w:val="-32"/>
                  </w:rPr>
                  <w:t> </w:t>
                </w:r>
                <w:r>
                  <w:rPr/>
                  <w:t>其他关联方情况（续）</w:t>
                </w:r>
              </w:p>
            </w:txbxContent>
          </v:textbox>
          <w10:wrap type="none"/>
        </v:shape>
      </w:pic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449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447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39999pt;margin-top:140.474899pt;width:155.15pt;height:13.05pt;mso-position-horizontal-relative:page;mso-position-vertical-relative:page;z-index:-101444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十</w:t>
                </w:r>
                <w:r>
                  <w:rPr>
                    <w:rFonts w:ascii="黑体" w:hAnsi="黑体" w:cs="黑体" w:eastAsia="黑体" w:hint="default"/>
                    <w:spacing w:val="91"/>
                  </w:rPr>
                  <w:t> </w:t>
                </w:r>
                <w:r>
                  <w:rPr>
                    <w:rFonts w:ascii="黑体" w:hAnsi="黑体" w:cs="黑体" w:eastAsia="黑体" w:hint="default"/>
                  </w:rPr>
                  <w:t>关联方关系及其交易（续）</w:t>
                </w:r>
              </w:p>
            </w:txbxContent>
          </v:textbox>
          <w10:wrap type="none"/>
        </v:shape>
      </w:pict>
    </w:r>
    <w:r>
      <w:rPr/>
      <w:pict>
        <v:shape style="position:absolute;margin-left:57.560001pt;margin-top:165.19249pt;width:85.3pt;height:13.6pt;mso-position-horizontal-relative:page;mso-position-vertical-relative:page;z-index:-1014424" type="#_x0000_t202" filled="false" stroked="false">
          <v:textbox inset="0,0,0,0">
            <w:txbxContent>
              <w:p>
                <w:pPr>
                  <w:pStyle w:val="BodyText"/>
                  <w:spacing w:line="256" w:lineRule="exact"/>
                  <w:ind w:right="0"/>
                  <w:jc w:val="left"/>
                </w:pPr>
                <w:r>
                  <w:rPr>
                    <w:rFonts w:ascii="Arial" w:hAnsi="Arial" w:cs="Arial" w:eastAsia="Arial" w:hint="default"/>
                  </w:rPr>
                  <w:t>5</w:t>
                </w:r>
                <w:r>
                  <w:rPr/>
                  <w:t>、重大关联交易</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440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437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39999pt;margin-top:140.474899pt;width:155.15pt;height:13.05pt;mso-position-horizontal-relative:page;mso-position-vertical-relative:page;z-index:-101435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十</w:t>
                </w:r>
                <w:r>
                  <w:rPr>
                    <w:rFonts w:ascii="黑体" w:hAnsi="黑体" w:cs="黑体" w:eastAsia="黑体" w:hint="default"/>
                    <w:spacing w:val="91"/>
                  </w:rPr>
                  <w:t> </w:t>
                </w:r>
                <w:r>
                  <w:rPr>
                    <w:rFonts w:ascii="黑体" w:hAnsi="黑体" w:cs="黑体" w:eastAsia="黑体" w:hint="default"/>
                  </w:rPr>
                  <w:t>关联方关系及其交易（续）</w:t>
                </w:r>
              </w:p>
            </w:txbxContent>
          </v:textbox>
          <w10:wrap type="none"/>
        </v:shape>
      </w:pict>
    </w:r>
    <w:r>
      <w:rPr/>
      <w:pict>
        <v:shape style="position:absolute;margin-left:57.560001pt;margin-top:165.19249pt;width:118.4pt;height:13.6pt;mso-position-horizontal-relative:page;mso-position-vertical-relative:page;z-index:-1014328" type="#_x0000_t202" filled="false" stroked="false">
          <v:textbox inset="0,0,0,0">
            <w:txbxContent>
              <w:p>
                <w:pPr>
                  <w:pStyle w:val="BodyText"/>
                  <w:spacing w:line="256" w:lineRule="exact"/>
                  <w:ind w:right="0"/>
                  <w:jc w:val="left"/>
                </w:pPr>
                <w:r>
                  <w:rPr>
                    <w:rFonts w:ascii="Arial" w:hAnsi="Arial" w:cs="Arial" w:eastAsia="Arial" w:hint="default"/>
                  </w:rPr>
                  <w:t>5</w:t>
                </w:r>
                <w:r>
                  <w:rPr/>
                  <w:t>、重大关联交易（续）</w:t>
                </w:r>
              </w:p>
            </w:txbxContent>
          </v:textbox>
          <w10:wrap type="none"/>
        </v:shape>
      </w:pict>
    </w: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430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428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39999pt;margin-top:140.474899pt;width:155.15pt;height:13.05pt;mso-position-horizontal-relative:page;mso-position-vertical-relative:page;z-index:-101425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十</w:t>
                </w:r>
                <w:r>
                  <w:rPr>
                    <w:rFonts w:ascii="黑体" w:hAnsi="黑体" w:cs="黑体" w:eastAsia="黑体" w:hint="default"/>
                    <w:spacing w:val="91"/>
                  </w:rPr>
                  <w:t> </w:t>
                </w:r>
                <w:r>
                  <w:rPr>
                    <w:rFonts w:ascii="黑体" w:hAnsi="黑体" w:cs="黑体" w:eastAsia="黑体" w:hint="default"/>
                  </w:rPr>
                  <w:t>关联方关系及其交易（续）</w:t>
                </w:r>
              </w:p>
            </w:txbxContent>
          </v:textbox>
          <w10:wrap type="none"/>
        </v:shape>
      </w:pict>
    </w:r>
    <w:r>
      <w:rPr/>
      <w:pict>
        <v:shape style="position:absolute;margin-left:55.639999pt;margin-top:167.346252pt;width:155.15pt;height:13.6pt;mso-position-horizontal-relative:page;mso-position-vertical-relative:page;z-index:-1014232" type="#_x0000_t202" filled="false" stroked="false">
          <v:textbox inset="0,0,0,0">
            <w:txbxContent>
              <w:p>
                <w:pPr>
                  <w:pStyle w:val="BodyText"/>
                  <w:spacing w:line="256" w:lineRule="exact"/>
                  <w:ind w:right="0"/>
                  <w:jc w:val="left"/>
                </w:pPr>
                <w:r>
                  <w:rPr>
                    <w:rFonts w:ascii="Arial" w:hAnsi="Arial" w:cs="Arial" w:eastAsia="Arial" w:hint="default"/>
                  </w:rPr>
                  <w:t>6</w:t>
                </w:r>
                <w:r>
                  <w:rPr/>
                  <w:t>、</w:t>
                </w:r>
                <w:r>
                  <w:rPr>
                    <w:spacing w:val="-31"/>
                  </w:rPr>
                  <w:t> </w:t>
                </w:r>
                <w:r>
                  <w:rPr/>
                  <w:t>关联方应收、应付款项余额</w:t>
                </w:r>
              </w:p>
            </w:txbxContent>
          </v:textbox>
          <w10:wrap type="non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420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418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39999pt;margin-top:140.474899pt;width:155.15pt;height:13.05pt;mso-position-horizontal-relative:page;mso-position-vertical-relative:page;z-index:-101416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十</w:t>
                </w:r>
                <w:r>
                  <w:rPr>
                    <w:rFonts w:ascii="黑体" w:hAnsi="黑体" w:cs="黑体" w:eastAsia="黑体" w:hint="default"/>
                    <w:spacing w:val="91"/>
                  </w:rPr>
                  <w:t> </w:t>
                </w:r>
                <w:r>
                  <w:rPr>
                    <w:rFonts w:ascii="黑体" w:hAnsi="黑体" w:cs="黑体" w:eastAsia="黑体" w:hint="default"/>
                  </w:rPr>
                  <w:t>关联方关系及其交易（续）</w:t>
                </w:r>
              </w:p>
            </w:txbxContent>
          </v:textbox>
          <w10:wrap type="none"/>
        </v:shape>
      </w:pict>
    </w:r>
    <w:r>
      <w:rPr/>
      <w:pict>
        <v:shape style="position:absolute;margin-left:55.639519pt;margin-top:167.348175pt;width:188pt;height:13.6pt;mso-position-horizontal-relative:page;mso-position-vertical-relative:page;z-index:-1014136" type="#_x0000_t202" filled="false" stroked="false">
          <v:textbox inset="0,0,0,0">
            <w:txbxContent>
              <w:p>
                <w:pPr>
                  <w:pStyle w:val="BodyText"/>
                  <w:spacing w:line="256" w:lineRule="exact"/>
                  <w:ind w:right="0"/>
                  <w:jc w:val="left"/>
                </w:pPr>
                <w:r>
                  <w:rPr>
                    <w:rFonts w:ascii="Arial" w:hAnsi="Arial" w:cs="Arial" w:eastAsia="Arial" w:hint="default"/>
                  </w:rPr>
                  <w:t>6</w:t>
                </w:r>
                <w:r>
                  <w:rPr/>
                  <w:t>、</w:t>
                </w:r>
                <w:r>
                  <w:rPr>
                    <w:spacing w:val="-33"/>
                  </w:rPr>
                  <w:t> </w:t>
                </w:r>
                <w:r>
                  <w:rPr/>
                  <w:t>关联方应收、应付款项余额（续）</w:t>
                </w:r>
              </w:p>
            </w:txbxContent>
          </v:textbox>
          <w10:wrap type="none"/>
        </v:shape>
      </w:pict>
    </w: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411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408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39999pt;margin-top:140.474899pt;width:107.6pt;height:13.05pt;mso-position-horizontal-relative:page;mso-position-vertical-relative:page;z-index:-101406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十一</w:t>
                </w:r>
                <w:r>
                  <w:rPr>
                    <w:rFonts w:ascii="黑体" w:hAnsi="黑体" w:cs="黑体" w:eastAsia="黑体" w:hint="default"/>
                    <w:spacing w:val="21"/>
                  </w:rPr>
                  <w:t> </w:t>
                </w:r>
                <w:r>
                  <w:rPr>
                    <w:rFonts w:ascii="黑体" w:hAnsi="黑体" w:cs="黑体" w:eastAsia="黑体" w:hint="default"/>
                  </w:rPr>
                  <w:t>承诺及或有事项</w:t>
                </w:r>
              </w:p>
            </w:txbxContent>
          </v:textbox>
          <w10:wrap type="none"/>
        </v:shape>
      </w:pict>
    </w: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404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401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399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396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394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392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389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387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384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382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39999pt;margin-top:140.474899pt;width:231pt;height:13.05pt;mso-position-horizontal-relative:page;mso-position-vertical-relative:page;z-index:-101380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十五</w:t>
                </w:r>
                <w:r>
                  <w:rPr>
                    <w:rFonts w:ascii="黑体" w:hAnsi="黑体" w:cs="黑体" w:eastAsia="黑体" w:hint="default"/>
                    <w:spacing w:val="68"/>
                  </w:rPr>
                  <w:t> </w:t>
                </w:r>
                <w:r>
                  <w:rPr>
                    <w:rFonts w:ascii="黑体" w:hAnsi="黑体" w:cs="黑体" w:eastAsia="黑体" w:hint="default"/>
                  </w:rPr>
                  <w:t>本公司个别财务报表主要项目注释（续）</w:t>
                </w:r>
              </w:p>
            </w:txbxContent>
          </v:textbox>
          <w10:wrap type="none"/>
        </v:shape>
      </w:pict>
    </w: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377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375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39999pt;margin-top:140.474899pt;width:231pt;height:13.05pt;mso-position-horizontal-relative:page;mso-position-vertical-relative:page;z-index:-101372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十五</w:t>
                </w:r>
                <w:r>
                  <w:rPr>
                    <w:rFonts w:ascii="黑体" w:hAnsi="黑体" w:cs="黑体" w:eastAsia="黑体" w:hint="default"/>
                    <w:spacing w:val="68"/>
                  </w:rPr>
                  <w:t> </w:t>
                </w:r>
                <w:r>
                  <w:rPr>
                    <w:rFonts w:ascii="黑体" w:hAnsi="黑体" w:cs="黑体" w:eastAsia="黑体" w:hint="default"/>
                  </w:rPr>
                  <w:t>本公司个别财务报表主要项目注释（续）</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370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368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397121pt;margin-top:140.474899pt;width:132.1pt;height:13.05pt;mso-position-horizontal-relative:page;mso-position-vertical-relative:page;z-index:-101365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十六</w:t>
                </w:r>
                <w:r>
                  <w:rPr>
                    <w:rFonts w:ascii="黑体" w:hAnsi="黑体" w:cs="黑体" w:eastAsia="黑体" w:hint="default"/>
                    <w:spacing w:val="70"/>
                  </w:rPr>
                  <w:t> </w:t>
                </w:r>
                <w:r>
                  <w:rPr>
                    <w:rFonts w:ascii="黑体" w:hAnsi="黑体" w:cs="黑体" w:eastAsia="黑体" w:hint="default"/>
                  </w:rPr>
                  <w:t>非经常性损益明细表</w:t>
                </w:r>
              </w:p>
            </w:txbxContent>
          </v:textbox>
          <w10:wrap type="none"/>
        </v:shape>
      </w:pict>
    </w: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363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360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7.803841pt;margin-top:140.474899pt;width:173.85pt;height:13.05pt;mso-position-horizontal-relative:page;mso-position-vertical-relative:page;z-index:-101358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十七</w:t>
                </w:r>
                <w:r>
                  <w:rPr>
                    <w:rFonts w:ascii="黑体" w:hAnsi="黑体" w:cs="黑体" w:eastAsia="黑体" w:hint="default"/>
                    <w:spacing w:val="25"/>
                  </w:rPr>
                  <w:t> </w:t>
                </w:r>
                <w:r>
                  <w:rPr>
                    <w:rFonts w:ascii="黑体" w:hAnsi="黑体" w:cs="黑体" w:eastAsia="黑体" w:hint="default"/>
                  </w:rPr>
                  <w:t>计算净资产收益率及每股收益</w:t>
                </w:r>
              </w:p>
            </w:txbxContent>
          </v:textbox>
          <w10:wrap type="none"/>
        </v:shape>
      </w:pict>
    </w: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152493pt;width:156.35pt;height:13.05pt;mso-position-horizontal-relative:page;mso-position-vertical-relative:page;z-index:-101356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023849pt;width:200.25pt;height:41.65pt;mso-position-horizontal-relative:page;mso-position-vertical-relative:page;z-index:-101353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36.552494pt;width:156.35pt;height:13.05pt;mso-position-horizontal-relative:page;mso-position-vertical-relative:page;z-index:-101351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63.423851pt;width:200.25pt;height:41.65pt;mso-position-horizontal-relative:page;mso-position-vertical-relative:page;z-index:-101348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补充资料</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36.552494pt;width:156.35pt;height:13.05pt;mso-position-horizontal-relative:page;mso-position-vertical-relative:page;z-index:-101346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63.423851pt;width:200.25pt;height:41.65pt;mso-position-horizontal-relative:page;mso-position-vertical-relative:page;z-index:-101344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补充资料</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41.112492pt;width:156.35pt;height:13.05pt;mso-position-horizontal-relative:page;mso-position-vertical-relative:page;z-index:-102277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2896pt;margin-top:67.983856pt;width:200.25pt;height:41.6pt;mso-position-horizontal-relative:page;mso-position-vertical-relative:page;z-index:-102275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41.112492pt;width:156.35pt;height:13.05pt;mso-position-horizontal-relative:page;mso-position-vertical-relative:page;z-index:-102272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2896pt;margin-top:67.983856pt;width:200.25pt;height:41.6pt;mso-position-horizontal-relative:page;mso-position-vertical-relative:page;z-index:-102270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41.112492pt;width:156.35pt;height:13.05pt;mso-position-horizontal-relative:page;mso-position-vertical-relative:page;z-index:-102268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2896pt;margin-top:67.983856pt;width:200.25pt;height:41.6pt;mso-position-horizontal-relative:page;mso-position-vertical-relative:page;z-index:-102265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41.112492pt;width:156.35pt;height:13.05pt;mso-position-horizontal-relative:page;mso-position-vertical-relative:page;z-index:-102263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2896pt;margin-top:67.983856pt;width:200.25pt;height:41.6pt;mso-position-horizontal-relative:page;mso-position-vertical-relative:page;z-index:-102260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258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256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2536"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1.25pt;margin-top:42.700008pt;width:27.6pt;height:21pt;mso-position-horizontal-relative:page;mso-position-vertical-relative:page;z-index:-1023784" type="#_x0000_t75" stroked="false">
          <v:imagedata r:id="rId1" o:title=""/>
        </v:shape>
      </w:pict>
    </w:r>
    <w:r>
      <w:rPr/>
      <w:pict>
        <v:shape style="position:absolute;margin-left:227.860001pt;margin-top:55.00563pt;width:128pt;height:11pt;mso-position-horizontal-relative:page;mso-position-vertical-relative:page;z-index:-102376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中国联合网络通信股份有限公司</w:t>
                </w:r>
              </w:p>
            </w:txbxContent>
          </v:textbox>
          <w10:wrap type="none"/>
        </v:shape>
      </w:pict>
    </w:r>
    <w:r>
      <w:rPr/>
      <w:pict>
        <v:shape style="position:absolute;margin-left:577.380005pt;margin-top:55.00563pt;width:67.55pt;height:12pt;mso-position-horizontal-relative:page;mso-position-vertical-relative:page;z-index:-1023736"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251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248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2464"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r>
      <w:rPr/>
      <w:pict>
        <v:shape style="position:absolute;margin-left:48.68pt;margin-top:148.848969pt;width:100.2pt;height:13.6pt;mso-position-horizontal-relative:page;mso-position-vertical-relative:page;z-index:-1022440" type="#_x0000_t202" filled="false" stroked="false">
          <v:textbox inset="0,0,0,0">
            <w:txbxContent>
              <w:p>
                <w:pPr>
                  <w:pStyle w:val="BodyText"/>
                  <w:spacing w:line="256" w:lineRule="exact"/>
                  <w:ind w:right="0"/>
                  <w:jc w:val="left"/>
                </w:pPr>
                <w:r>
                  <w:rPr>
                    <w:rFonts w:ascii="Arial" w:hAnsi="Arial" w:cs="Arial" w:eastAsia="Arial" w:hint="default"/>
                  </w:rPr>
                  <w:t>8</w:t>
                </w:r>
                <w:r>
                  <w:rPr/>
                  <w:t>、</w:t>
                </w:r>
                <w:r>
                  <w:rPr>
                    <w:spacing w:val="-30"/>
                  </w:rPr>
                  <w:t> </w:t>
                </w:r>
                <w:r>
                  <w:rPr/>
                  <w:t>金融工具（续）</w:t>
                </w:r>
              </w:p>
            </w:txbxContent>
          </v:textbox>
          <w10:wrap type="none"/>
        </v:shape>
      </w:pict>
    </w:r>
    <w:r>
      <w:rPr/>
      <w:pict>
        <v:shape style="position:absolute;margin-left:48.668961pt;margin-top:173.567535pt;width:100.2pt;height:13.6pt;mso-position-horizontal-relative:page;mso-position-vertical-relative:page;z-index:-1022416" type="#_x0000_t202" filled="false" stroked="false">
          <v:textbox inset="0,0,0,0">
            <w:txbxContent>
              <w:p>
                <w:pPr>
                  <w:pStyle w:val="BodyText"/>
                  <w:spacing w:line="256" w:lineRule="exact"/>
                  <w:ind w:right="0"/>
                  <w:jc w:val="left"/>
                </w:pPr>
                <w:r>
                  <w:rPr>
                    <w:rFonts w:ascii="Arial" w:hAnsi="Arial" w:cs="Arial" w:eastAsia="Arial" w:hint="default"/>
                  </w:rPr>
                  <w:t>(a) </w:t>
                </w:r>
                <w:r>
                  <w:rPr>
                    <w:rFonts w:ascii="Arial" w:hAnsi="Arial" w:cs="Arial" w:eastAsia="Arial" w:hint="default"/>
                    <w:spacing w:val="31"/>
                  </w:rPr>
                  <w:t> </w:t>
                </w:r>
                <w:r>
                  <w:rPr/>
                  <w:t>金融资产（续）</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239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236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2344"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r>
      <w:rPr/>
      <w:pict>
        <v:shape style="position:absolute;margin-left:48.68pt;margin-top:148.848969pt;width:100.2pt;height:13.6pt;mso-position-horizontal-relative:page;mso-position-vertical-relative:page;z-index:-1022320" type="#_x0000_t202" filled="false" stroked="false">
          <v:textbox inset="0,0,0,0">
            <w:txbxContent>
              <w:p>
                <w:pPr>
                  <w:pStyle w:val="BodyText"/>
                  <w:spacing w:line="256" w:lineRule="exact"/>
                  <w:ind w:right="0"/>
                  <w:jc w:val="left"/>
                </w:pPr>
                <w:r>
                  <w:rPr>
                    <w:rFonts w:ascii="Arial" w:hAnsi="Arial" w:cs="Arial" w:eastAsia="Arial" w:hint="default"/>
                  </w:rPr>
                  <w:t>8</w:t>
                </w:r>
                <w:r>
                  <w:rPr/>
                  <w:t>、</w:t>
                </w:r>
                <w:r>
                  <w:rPr>
                    <w:spacing w:val="-30"/>
                  </w:rPr>
                  <w:t> </w:t>
                </w:r>
                <w:r>
                  <w:rPr/>
                  <w:t>金融工具（续）</w:t>
                </w:r>
              </w:p>
            </w:txbxContent>
          </v:textbox>
          <w10:wrap type="none"/>
        </v:shape>
      </w:pict>
    </w:r>
    <w:r>
      <w:rPr/>
      <w:pict>
        <v:shape style="position:absolute;margin-left:48.668961pt;margin-top:173.567535pt;width:100.2pt;height:13.6pt;mso-position-horizontal-relative:page;mso-position-vertical-relative:page;z-index:-1022296" type="#_x0000_t202" filled="false" stroked="false">
          <v:textbox inset="0,0,0,0">
            <w:txbxContent>
              <w:p>
                <w:pPr>
                  <w:pStyle w:val="BodyText"/>
                  <w:spacing w:line="256" w:lineRule="exact"/>
                  <w:ind w:right="0"/>
                  <w:jc w:val="left"/>
                </w:pPr>
                <w:r>
                  <w:rPr>
                    <w:rFonts w:ascii="Arial" w:hAnsi="Arial" w:cs="Arial" w:eastAsia="Arial" w:hint="default"/>
                  </w:rPr>
                  <w:t>(a) </w:t>
                </w:r>
                <w:r>
                  <w:rPr>
                    <w:rFonts w:ascii="Arial" w:hAnsi="Arial" w:cs="Arial" w:eastAsia="Arial" w:hint="default"/>
                    <w:spacing w:val="31"/>
                  </w:rPr>
                  <w:t> </w:t>
                </w:r>
                <w:r>
                  <w:rPr/>
                  <w:t>金融资产（续）</w:t>
                </w:r>
              </w:p>
            </w:txbxContent>
          </v:textbox>
          <w10:wrap type="none"/>
        </v:shape>
      </w:pict>
    </w:r>
    <w:r>
      <w:rPr/>
      <w:pict>
        <v:shape style="position:absolute;margin-left:48.657921pt;margin-top:198.286087pt;width:122pt;height:13.6pt;mso-position-horizontal-relative:page;mso-position-vertical-relative:page;z-index:-1022272" type="#_x0000_t202" filled="false" stroked="false">
          <v:textbox inset="0,0,0,0">
            <w:txbxContent>
              <w:p>
                <w:pPr>
                  <w:pStyle w:val="BodyText"/>
                  <w:spacing w:line="256" w:lineRule="exact"/>
                  <w:ind w:right="0"/>
                  <w:jc w:val="left"/>
                </w:pPr>
                <w:r>
                  <w:rPr>
                    <w:rFonts w:ascii="Arial" w:hAnsi="Arial" w:cs="Arial" w:eastAsia="Arial" w:hint="default"/>
                  </w:rPr>
                  <w:t>(3) </w:t>
                </w:r>
                <w:r>
                  <w:rPr>
                    <w:rFonts w:ascii="Arial" w:hAnsi="Arial" w:cs="Arial" w:eastAsia="Arial" w:hint="default"/>
                    <w:spacing w:val="28"/>
                  </w:rPr>
                  <w:t> </w:t>
                </w:r>
                <w:r>
                  <w:rPr/>
                  <w:t>金融资产减值（续）</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224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222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2200"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r>
      <w:rPr/>
      <w:pict>
        <v:shape style="position:absolute;margin-left:48.68pt;margin-top:148.848969pt;width:100.2pt;height:13.6pt;mso-position-horizontal-relative:page;mso-position-vertical-relative:page;z-index:-1022176" type="#_x0000_t202" filled="false" stroked="false">
          <v:textbox inset="0,0,0,0">
            <w:txbxContent>
              <w:p>
                <w:pPr>
                  <w:pStyle w:val="BodyText"/>
                  <w:spacing w:line="256" w:lineRule="exact"/>
                  <w:ind w:right="0"/>
                  <w:jc w:val="left"/>
                </w:pPr>
                <w:r>
                  <w:rPr>
                    <w:rFonts w:ascii="Arial" w:hAnsi="Arial" w:cs="Arial" w:eastAsia="Arial" w:hint="default"/>
                  </w:rPr>
                  <w:t>8</w:t>
                </w:r>
                <w:r>
                  <w:rPr/>
                  <w:t>、</w:t>
                </w:r>
                <w:r>
                  <w:rPr>
                    <w:spacing w:val="-30"/>
                  </w:rPr>
                  <w:t> </w:t>
                </w:r>
                <w:r>
                  <w:rPr/>
                  <w:t>金融工具（续）</w:t>
                </w:r>
              </w:p>
            </w:txbxContent>
          </v:textbox>
          <w10:wrap type="none"/>
        </v:shape>
      </w:pict>
    </w:r>
    <w:r>
      <w:rPr/>
      <w:pict>
        <v:shape style="position:absolute;margin-left:48.668961pt;margin-top:173.567535pt;width:100.2pt;height:13.6pt;mso-position-horizontal-relative:page;mso-position-vertical-relative:page;z-index:-1022152" type="#_x0000_t202" filled="false" stroked="false">
          <v:textbox inset="0,0,0,0">
            <w:txbxContent>
              <w:p>
                <w:pPr>
                  <w:pStyle w:val="BodyText"/>
                  <w:spacing w:line="256" w:lineRule="exact"/>
                  <w:ind w:right="0"/>
                  <w:jc w:val="left"/>
                </w:pPr>
                <w:r>
                  <w:rPr>
                    <w:rFonts w:ascii="Arial" w:hAnsi="Arial" w:cs="Arial" w:eastAsia="Arial" w:hint="default"/>
                  </w:rPr>
                  <w:t>(a) </w:t>
                </w:r>
                <w:r>
                  <w:rPr>
                    <w:rFonts w:ascii="Arial" w:hAnsi="Arial" w:cs="Arial" w:eastAsia="Arial" w:hint="default"/>
                    <w:spacing w:val="31"/>
                  </w:rPr>
                  <w:t> </w:t>
                </w:r>
                <w:r>
                  <w:rPr/>
                  <w:t>金融资产（续）</w:t>
                </w:r>
              </w:p>
            </w:txbxContent>
          </v:textbox>
          <w10:wrap type="none"/>
        </v:shape>
      </w:pict>
    </w:r>
    <w:r>
      <w:rPr/>
      <w:pict>
        <v:shape style="position:absolute;margin-left:48.657921pt;margin-top:198.286087pt;width:122pt;height:13.6pt;mso-position-horizontal-relative:page;mso-position-vertical-relative:page;z-index:-1022128" type="#_x0000_t202" filled="false" stroked="false">
          <v:textbox inset="0,0,0,0">
            <w:txbxContent>
              <w:p>
                <w:pPr>
                  <w:pStyle w:val="BodyText"/>
                  <w:spacing w:line="256" w:lineRule="exact"/>
                  <w:ind w:right="0"/>
                  <w:jc w:val="left"/>
                </w:pPr>
                <w:r>
                  <w:rPr>
                    <w:rFonts w:ascii="Arial" w:hAnsi="Arial" w:cs="Arial" w:eastAsia="Arial" w:hint="default"/>
                  </w:rPr>
                  <w:t>(3) </w:t>
                </w:r>
                <w:r>
                  <w:rPr>
                    <w:rFonts w:ascii="Arial" w:hAnsi="Arial" w:cs="Arial" w:eastAsia="Arial" w:hint="default"/>
                    <w:spacing w:val="28"/>
                  </w:rPr>
                  <w:t> </w:t>
                </w:r>
                <w:r>
                  <w:rPr/>
                  <w:t>金融资产减值（续）</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210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208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2056"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r>
      <w:rPr/>
      <w:pict>
        <v:shape style="position:absolute;margin-left:48.68pt;margin-top:148.848969pt;width:100.2pt;height:13.6pt;mso-position-horizontal-relative:page;mso-position-vertical-relative:page;z-index:-1022032" type="#_x0000_t202" filled="false" stroked="false">
          <v:textbox inset="0,0,0,0">
            <w:txbxContent>
              <w:p>
                <w:pPr>
                  <w:pStyle w:val="BodyText"/>
                  <w:spacing w:line="256" w:lineRule="exact"/>
                  <w:ind w:right="0"/>
                  <w:jc w:val="left"/>
                </w:pPr>
                <w:r>
                  <w:rPr>
                    <w:rFonts w:ascii="Arial" w:hAnsi="Arial" w:cs="Arial" w:eastAsia="Arial" w:hint="default"/>
                  </w:rPr>
                  <w:t>8</w:t>
                </w:r>
                <w:r>
                  <w:rPr/>
                  <w:t>、</w:t>
                </w:r>
                <w:r>
                  <w:rPr>
                    <w:spacing w:val="-30"/>
                  </w:rPr>
                  <w:t> </w:t>
                </w:r>
                <w:r>
                  <w:rPr/>
                  <w:t>金融工具（续）</w:t>
                </w:r>
              </w:p>
            </w:txbxContent>
          </v:textbox>
          <w10:wrap type="none"/>
        </v:shape>
      </w:pict>
    </w:r>
    <w:r>
      <w:rPr/>
      <w:pict>
        <v:shape style="position:absolute;margin-left:48.668961pt;margin-top:173.567535pt;width:100.2pt;height:13.6pt;mso-position-horizontal-relative:page;mso-position-vertical-relative:page;z-index:-1022008" type="#_x0000_t202" filled="false" stroked="false">
          <v:textbox inset="0,0,0,0">
            <w:txbxContent>
              <w:p>
                <w:pPr>
                  <w:pStyle w:val="BodyText"/>
                  <w:spacing w:line="256" w:lineRule="exact"/>
                  <w:ind w:right="0"/>
                  <w:jc w:val="left"/>
                </w:pPr>
                <w:r>
                  <w:rPr>
                    <w:rFonts w:ascii="Arial" w:hAnsi="Arial" w:cs="Arial" w:eastAsia="Arial" w:hint="default"/>
                  </w:rPr>
                  <w:t>(a) </w:t>
                </w:r>
                <w:r>
                  <w:rPr>
                    <w:rFonts w:ascii="Arial" w:hAnsi="Arial" w:cs="Arial" w:eastAsia="Arial" w:hint="default"/>
                    <w:spacing w:val="31"/>
                  </w:rPr>
                  <w:t> </w:t>
                </w:r>
                <w:r>
                  <w:rPr/>
                  <w:t>金融资产（续）</w:t>
                </w:r>
              </w:p>
            </w:txbxContent>
          </v:textbox>
          <w10:wrap type="none"/>
        </v:shape>
      </w:pict>
    </w:r>
    <w:r>
      <w:rPr/>
      <w:pict>
        <v:shape style="position:absolute;margin-left:48.657921pt;margin-top:198.286087pt;width:122pt;height:13.6pt;mso-position-horizontal-relative:page;mso-position-vertical-relative:page;z-index:-1021984" type="#_x0000_t202" filled="false" stroked="false">
          <v:textbox inset="0,0,0,0">
            <w:txbxContent>
              <w:p>
                <w:pPr>
                  <w:pStyle w:val="BodyText"/>
                  <w:spacing w:line="256" w:lineRule="exact"/>
                  <w:ind w:right="0"/>
                  <w:jc w:val="left"/>
                </w:pPr>
                <w:r>
                  <w:rPr>
                    <w:rFonts w:ascii="Arial" w:hAnsi="Arial" w:cs="Arial" w:eastAsia="Arial" w:hint="default"/>
                  </w:rPr>
                  <w:t>(3) </w:t>
                </w:r>
                <w:r>
                  <w:rPr>
                    <w:rFonts w:ascii="Arial" w:hAnsi="Arial" w:cs="Arial" w:eastAsia="Arial" w:hint="default"/>
                    <w:spacing w:val="28"/>
                  </w:rPr>
                  <w:t> </w:t>
                </w:r>
                <w:r>
                  <w:rPr/>
                  <w:t>金融资产减值（续）</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196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193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1912"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r>
      <w:rPr/>
      <w:pict>
        <v:shape style="position:absolute;margin-left:48.68pt;margin-top:148.848969pt;width:100.2pt;height:13.6pt;mso-position-horizontal-relative:page;mso-position-vertical-relative:page;z-index:-1021888" type="#_x0000_t202" filled="false" stroked="false">
          <v:textbox inset="0,0,0,0">
            <w:txbxContent>
              <w:p>
                <w:pPr>
                  <w:pStyle w:val="BodyText"/>
                  <w:spacing w:line="256" w:lineRule="exact"/>
                  <w:ind w:right="0"/>
                  <w:jc w:val="left"/>
                </w:pPr>
                <w:r>
                  <w:rPr>
                    <w:rFonts w:ascii="Arial" w:hAnsi="Arial" w:cs="Arial" w:eastAsia="Arial" w:hint="default"/>
                  </w:rPr>
                  <w:t>8</w:t>
                </w:r>
                <w:r>
                  <w:rPr/>
                  <w:t>、</w:t>
                </w:r>
                <w:r>
                  <w:rPr>
                    <w:spacing w:val="-30"/>
                  </w:rPr>
                  <w:t> </w:t>
                </w:r>
                <w:r>
                  <w:rPr/>
                  <w:t>金融工具（续）</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186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184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1816"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179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176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1744"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172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169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1672"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164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162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1600"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157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155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1528"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9.449997pt;margin-top:42.599983pt;width:27.6pt;height:21pt;mso-position-horizontal-relative:page;mso-position-vertical-relative:page;z-index:-1023424" type="#_x0000_t75" stroked="false">
          <v:imagedata r:id="rId1" o:title=""/>
        </v:shape>
      </w:pict>
    </w:r>
    <w:r>
      <w:rPr/>
      <w:pict>
        <v:group style="position:absolute;margin-left:69.503998pt;margin-top:67.559982pt;width:462.55pt;height:.1pt;mso-position-horizontal-relative:page;mso-position-vertical-relative:page;z-index:-1023400" coordorigin="1390,1351" coordsize="9251,2">
          <v:shape style="position:absolute;left:1390;top:1351;width:9251;height:2" coordorigin="1390,1351" coordsize="9251,0" path="m1390,1351l10641,1351e" filled="false" stroked="true" strokeweight=".72pt" strokecolor="#000000">
            <v:path arrowok="t"/>
          </v:shape>
          <w10:wrap type="none"/>
        </v:group>
      </w:pict>
    </w:r>
    <w:r>
      <w:rPr/>
      <w:pict>
        <v:shape style="position:absolute;margin-left:106.059998pt;margin-top:54.865608pt;width:128pt;height:11pt;mso-position-horizontal-relative:page;mso-position-vertical-relative:page;z-index:-102337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中国联合网络通信股份有限公司</w:t>
                </w:r>
              </w:p>
            </w:txbxContent>
          </v:textbox>
          <w10:wrap type="none"/>
        </v:shape>
      </w:pict>
    </w:r>
    <w:r>
      <w:rPr/>
      <w:pict>
        <v:shape style="position:absolute;margin-left:455.579987pt;margin-top:54.865608pt;width:67.55pt;height:12pt;mso-position-horizontal-relative:page;mso-position-vertical-relative:page;z-index:-1023352"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150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148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1456"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143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140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1384"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136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133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1312"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128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126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1240"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121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119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1168"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114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112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1096"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107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104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1024"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100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097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0952"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092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090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0880"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085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083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0808"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16.5pt;margin-top:55.105606pt;width:128pt;height:11pt;mso-position-horizontal-relative:page;mso-position-vertical-relative:page;z-index:-102308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中国联合网络通信股份有限公司</w:t>
                </w:r>
              </w:p>
            </w:txbxContent>
          </v:textbox>
          <w10:wrap type="none"/>
        </v:shape>
      </w:pict>
    </w:r>
    <w:r>
      <w:rPr/>
      <w:pict>
        <v:shape style="position:absolute;margin-left:464.100006pt;margin-top:55.105606pt;width:67.55pt;height:12pt;mso-position-horizontal-relative:page;mso-position-vertical-relative:page;z-index:-1023064"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078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076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0736"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071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068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0664"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064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061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0592"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056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054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0520"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r>
      <w:rPr/>
      <w:pict>
        <v:shape style="position:absolute;margin-left:48.68pt;margin-top:150.295212pt;width:124.4pt;height:13.6pt;mso-position-horizontal-relative:page;mso-position-vertical-relative:page;z-index:-1020496" type="#_x0000_t202" filled="false" stroked="false">
          <v:textbox inset="0,0,0,0">
            <w:txbxContent>
              <w:p>
                <w:pPr>
                  <w:pStyle w:val="BodyText"/>
                  <w:spacing w:line="256" w:lineRule="exact"/>
                  <w:ind w:right="0"/>
                  <w:jc w:val="left"/>
                </w:pPr>
                <w:r>
                  <w:rPr>
                    <w:rFonts w:ascii="Arial" w:hAnsi="Arial" w:cs="Arial" w:eastAsia="Arial" w:hint="default"/>
                  </w:rPr>
                  <w:t>33</w:t>
                </w:r>
                <w:r>
                  <w:rPr/>
                  <w:t>、会计政策变更（续）</w:t>
                </w:r>
              </w:p>
            </w:txbxContent>
          </v:textbox>
          <w10:wrap type="none"/>
        </v:shape>
      </w:pict>
    </w:r>
    <w:r>
      <w:rPr/>
      <w:pict>
        <v:shape style="position:absolute;margin-left:48.68pt;margin-top:177.16658pt;width:187.8pt;height:13.6pt;mso-position-horizontal-relative:page;mso-position-vertical-relative:page;z-index:-1020472" type="#_x0000_t202" filled="false" stroked="false">
          <v:textbox inset="0,0,0,0">
            <w:txbxContent>
              <w:p>
                <w:pPr>
                  <w:pStyle w:val="BodyText"/>
                  <w:spacing w:line="256" w:lineRule="exact"/>
                  <w:ind w:right="0"/>
                  <w:jc w:val="left"/>
                </w:pPr>
                <w:r>
                  <w:rPr>
                    <w:rFonts w:ascii="Arial" w:hAnsi="Arial" w:cs="Arial" w:eastAsia="Arial" w:hint="default"/>
                  </w:rPr>
                  <w:t>(1) </w:t>
                </w:r>
                <w:r>
                  <w:rPr>
                    <w:rFonts w:ascii="Arial" w:hAnsi="Arial" w:cs="Arial" w:eastAsia="Arial" w:hint="default"/>
                    <w:spacing w:val="22"/>
                  </w:rPr>
                  <w:t> </w:t>
                </w:r>
                <w:r>
                  <w:rPr/>
                  <w:t>会计政策变更的内容及原因（续）</w:t>
                </w:r>
              </w:p>
            </w:txbxContent>
          </v:textbox>
          <w10:wrap type="none"/>
        </v:shape>
      </w:pict>
    </w:r>
    <w:r>
      <w:rPr/>
      <w:pict>
        <v:shape style="position:absolute;margin-left:49.397598pt;margin-top:204.280807pt;width:110.75pt;height:13.6pt;mso-position-horizontal-relative:page;mso-position-vertical-relative:page;z-index:-1020448" type="#_x0000_t202" filled="false" stroked="false">
          <v:textbox inset="0,0,0,0">
            <w:txbxContent>
              <w:p>
                <w:pPr>
                  <w:pStyle w:val="BodyText"/>
                  <w:spacing w:line="256" w:lineRule="exact"/>
                  <w:ind w:right="0"/>
                  <w:jc w:val="left"/>
                </w:pPr>
                <w:r>
                  <w:rPr>
                    <w:rFonts w:ascii="Arial" w:hAnsi="Arial" w:cs="Arial" w:eastAsia="Arial" w:hint="default"/>
                  </w:rPr>
                  <w:t>(b) </w:t>
                </w:r>
                <w:r>
                  <w:rPr>
                    <w:rFonts w:ascii="Arial" w:hAnsi="Arial" w:cs="Arial" w:eastAsia="Arial" w:hint="default"/>
                    <w:spacing w:val="22"/>
                  </w:rPr>
                  <w:t> </w:t>
                </w:r>
                <w:r>
                  <w:rPr/>
                  <w:t>新租赁准则（续）</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042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040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0376"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r>
      <w:rPr/>
      <w:pict>
        <v:shape style="position:absolute;margin-left:48.68pt;margin-top:149.809448pt;width:124.4pt;height:13.6pt;mso-position-horizontal-relative:page;mso-position-vertical-relative:page;z-index:-1020352" type="#_x0000_t202" filled="false" stroked="false">
          <v:textbox inset="0,0,0,0">
            <w:txbxContent>
              <w:p>
                <w:pPr>
                  <w:pStyle w:val="BodyText"/>
                  <w:spacing w:line="256" w:lineRule="exact"/>
                  <w:ind w:right="0"/>
                  <w:jc w:val="left"/>
                </w:pPr>
                <w:r>
                  <w:rPr>
                    <w:rFonts w:ascii="Arial" w:hAnsi="Arial" w:cs="Arial" w:eastAsia="Arial" w:hint="default"/>
                  </w:rPr>
                  <w:t>33</w:t>
                </w:r>
                <w:r>
                  <w:rPr/>
                  <w:t>、会计政策变更（续）</w:t>
                </w:r>
              </w:p>
            </w:txbxContent>
          </v:textbox>
          <w10:wrap type="none"/>
        </v:shape>
      </w:pict>
    </w:r>
    <w:r>
      <w:rPr/>
      <w:pict>
        <v:shape style="position:absolute;margin-left:48.68pt;margin-top:175.974258pt;width:187.8pt;height:13.6pt;mso-position-horizontal-relative:page;mso-position-vertical-relative:page;z-index:-1020328" type="#_x0000_t202" filled="false" stroked="false">
          <v:textbox inset="0,0,0,0">
            <w:txbxContent>
              <w:p>
                <w:pPr>
                  <w:pStyle w:val="BodyText"/>
                  <w:spacing w:line="256" w:lineRule="exact"/>
                  <w:ind w:right="0"/>
                  <w:jc w:val="left"/>
                </w:pPr>
                <w:r>
                  <w:rPr>
                    <w:rFonts w:ascii="Arial" w:hAnsi="Arial" w:cs="Arial" w:eastAsia="Arial" w:hint="default"/>
                  </w:rPr>
                  <w:t>(1) </w:t>
                </w:r>
                <w:r>
                  <w:rPr>
                    <w:rFonts w:ascii="Arial" w:hAnsi="Arial" w:cs="Arial" w:eastAsia="Arial" w:hint="default"/>
                    <w:spacing w:val="22"/>
                  </w:rPr>
                  <w:t> </w:t>
                </w:r>
                <w:r>
                  <w:rPr/>
                  <w:t>会计政策变更的内容及原因（续）</w:t>
                </w:r>
              </w:p>
            </w:txbxContent>
          </v:textbox>
          <w10:wrap type="none"/>
        </v:shape>
      </w:pict>
    </w:r>
    <w:r>
      <w:rPr/>
      <w:pict>
        <v:shape style="position:absolute;margin-left:48.20528pt;margin-top:202.845612pt;width:108.35pt;height:13.6pt;mso-position-horizontal-relative:page;mso-position-vertical-relative:page;z-index:-1020304" type="#_x0000_t202" filled="false" stroked="false">
          <v:textbox inset="0,0,0,0">
            <w:txbxContent>
              <w:p>
                <w:pPr>
                  <w:pStyle w:val="BodyText"/>
                  <w:spacing w:line="256" w:lineRule="exact"/>
                  <w:ind w:right="0"/>
                  <w:jc w:val="left"/>
                </w:pPr>
                <w:r>
                  <w:rPr>
                    <w:rFonts w:ascii="Arial" w:hAnsi="Arial" w:cs="Arial" w:eastAsia="Arial" w:hint="default"/>
                  </w:rPr>
                  <w:t>(b)</w:t>
                </w:r>
                <w:r>
                  <w:rPr>
                    <w:rFonts w:ascii="Arial" w:hAnsi="Arial" w:cs="Arial" w:eastAsia="Arial" w:hint="default"/>
                    <w:spacing w:val="35"/>
                  </w:rPr>
                  <w:t> </w:t>
                </w:r>
                <w:r>
                  <w:rPr/>
                  <w:t>新租赁准则（续）</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028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025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0232"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r>
      <w:rPr/>
      <w:pict>
        <v:shape style="position:absolute;margin-left:48.68pt;margin-top:149.809448pt;width:124.4pt;height:13.6pt;mso-position-horizontal-relative:page;mso-position-vertical-relative:page;z-index:-1020208" type="#_x0000_t202" filled="false" stroked="false">
          <v:textbox inset="0,0,0,0">
            <w:txbxContent>
              <w:p>
                <w:pPr>
                  <w:pStyle w:val="BodyText"/>
                  <w:spacing w:line="256" w:lineRule="exact"/>
                  <w:ind w:right="0"/>
                  <w:jc w:val="left"/>
                </w:pPr>
                <w:r>
                  <w:rPr>
                    <w:rFonts w:ascii="Arial" w:hAnsi="Arial" w:cs="Arial" w:eastAsia="Arial" w:hint="default"/>
                  </w:rPr>
                  <w:t>33</w:t>
                </w:r>
                <w:r>
                  <w:rPr/>
                  <w:t>、会计政策变更（续）</w:t>
                </w:r>
              </w:p>
            </w:txbxContent>
          </v:textbox>
          <w10:wrap type="none"/>
        </v:shape>
      </w:pict>
    </w:r>
    <w:r>
      <w:rPr/>
      <w:pict>
        <v:shape style="position:absolute;margin-left:48.68pt;margin-top:176.448975pt;width:187.8pt;height:13.6pt;mso-position-horizontal-relative:page;mso-position-vertical-relative:page;z-index:-1020184" type="#_x0000_t202" filled="false" stroked="false">
          <v:textbox inset="0,0,0,0">
            <w:txbxContent>
              <w:p>
                <w:pPr>
                  <w:pStyle w:val="BodyText"/>
                  <w:spacing w:line="256" w:lineRule="exact"/>
                  <w:ind w:right="0"/>
                  <w:jc w:val="left"/>
                </w:pPr>
                <w:r>
                  <w:rPr>
                    <w:rFonts w:ascii="Arial" w:hAnsi="Arial" w:cs="Arial" w:eastAsia="Arial" w:hint="default"/>
                  </w:rPr>
                  <w:t>(1) </w:t>
                </w:r>
                <w:r>
                  <w:rPr>
                    <w:rFonts w:ascii="Arial" w:hAnsi="Arial" w:cs="Arial" w:eastAsia="Arial" w:hint="default"/>
                    <w:spacing w:val="22"/>
                  </w:rPr>
                  <w:t> </w:t>
                </w:r>
                <w:r>
                  <w:rPr/>
                  <w:t>会计政策变更的内容及原因（续）</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016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2013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7.962399pt;margin-top:123.423851pt;width:177.95pt;height:13.05pt;mso-position-horizontal-relative:page;mso-position-vertical-relative:page;z-index:-1020112" type="#_x0000_t202" filled="false" stroked="false">
          <v:textbox inset="0,0,0,0">
            <w:txbxContent>
              <w:p>
                <w:pPr>
                  <w:pStyle w:val="BodyText"/>
                  <w:tabs>
                    <w:tab w:pos="452" w:val="left" w:leader="none"/>
                  </w:tabs>
                  <w:spacing w:line="241" w:lineRule="exact"/>
                  <w:ind w:right="0"/>
                  <w:jc w:val="left"/>
                  <w:rPr>
                    <w:rFonts w:ascii="黑体" w:hAnsi="黑体" w:cs="黑体" w:eastAsia="黑体" w:hint="default"/>
                  </w:rPr>
                </w:pPr>
                <w:r>
                  <w:rPr>
                    <w:rFonts w:ascii="黑体" w:hAnsi="黑体" w:cs="黑体" w:eastAsia="黑体" w:hint="default"/>
                  </w:rPr>
                  <w:t>三</w:t>
                  <w:tab/>
                  <w:t>重要会计政策和会计估计（续）</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008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pt;mso-position-horizontal-relative:page;mso-position-vertical-relative:page;z-index:-102006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2004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pt;mso-position-horizontal-relative:page;mso-position-vertical-relative:page;z-index:-102001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9.400002pt;margin-top:123.432495pt;width:77.4pt;height:13.05pt;mso-position-horizontal-relative:page;mso-position-vertical-relative:page;z-index:-1019992" type="#_x0000_t202" filled="false" stroked="false">
          <v:textbox inset="0,0,0,0">
            <w:txbxContent>
              <w:p>
                <w:pPr>
                  <w:spacing w:line="241"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四</w:t>
                </w:r>
                <w:r>
                  <w:rPr>
                    <w:rFonts w:ascii="宋体" w:hAnsi="宋体" w:cs="宋体" w:eastAsia="宋体" w:hint="default"/>
                    <w:b/>
                    <w:bCs/>
                    <w:spacing w:val="70"/>
                    <w:sz w:val="22"/>
                    <w:szCs w:val="22"/>
                  </w:rPr>
                  <w:t> </w:t>
                </w:r>
                <w:r>
                  <w:rPr>
                    <w:rFonts w:ascii="宋体" w:hAnsi="宋体" w:cs="宋体" w:eastAsia="宋体" w:hint="default"/>
                    <w:b/>
                    <w:bCs/>
                    <w:sz w:val="22"/>
                    <w:szCs w:val="22"/>
                  </w:rPr>
                  <w:t>税项（续）</w:t>
                </w:r>
                <w:r>
                  <w:rPr>
                    <w:rFonts w:ascii="宋体" w:hAnsi="宋体" w:cs="宋体" w:eastAsia="宋体" w:hint="default"/>
                    <w:sz w:val="22"/>
                    <w:szCs w:val="22"/>
                  </w:rPr>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1996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pt;mso-position-horizontal-relative:page;mso-position-vertical-relative:page;z-index:-101994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9.400002pt;margin-top:123.432495pt;width:77.4pt;height:13.05pt;mso-position-horizontal-relative:page;mso-position-vertical-relative:page;z-index:-1019920" type="#_x0000_t202" filled="false" stroked="false">
          <v:textbox inset="0,0,0,0">
            <w:txbxContent>
              <w:p>
                <w:pPr>
                  <w:spacing w:line="241"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四</w:t>
                </w:r>
                <w:r>
                  <w:rPr>
                    <w:rFonts w:ascii="宋体" w:hAnsi="宋体" w:cs="宋体" w:eastAsia="宋体" w:hint="default"/>
                    <w:b/>
                    <w:bCs/>
                    <w:spacing w:val="70"/>
                    <w:sz w:val="22"/>
                    <w:szCs w:val="22"/>
                  </w:rPr>
                  <w:t> </w:t>
                </w:r>
                <w:r>
                  <w:rPr>
                    <w:rFonts w:ascii="宋体" w:hAnsi="宋体" w:cs="宋体" w:eastAsia="宋体" w:hint="default"/>
                    <w:b/>
                    <w:bCs/>
                    <w:sz w:val="22"/>
                    <w:szCs w:val="22"/>
                  </w:rPr>
                  <w:t>税项（续）</w:t>
                </w:r>
                <w:r>
                  <w:rPr>
                    <w:rFonts w:ascii="宋体" w:hAnsi="宋体" w:cs="宋体" w:eastAsia="宋体" w:hint="default"/>
                    <w:sz w:val="22"/>
                    <w:szCs w:val="22"/>
                  </w:rPr>
                </w:r>
              </w:p>
            </w:txbxContent>
          </v:textbox>
          <w10:wrap type="none"/>
        </v:shape>
      </w:pict>
    </w:r>
    <w:r>
      <w:rPr/>
      <w:pict>
        <v:shape style="position:absolute;margin-left:48.68pt;margin-top:148.392975pt;width:111.2pt;height:13.6pt;mso-position-horizontal-relative:page;mso-position-vertical-relative:page;z-index:-1019896" type="#_x0000_t202" filled="false" stroked="false">
          <v:textbox inset="0,0,0,0">
            <w:txbxContent>
              <w:p>
                <w:pPr>
                  <w:pStyle w:val="BodyText"/>
                  <w:spacing w:line="256" w:lineRule="exact"/>
                  <w:ind w:right="0"/>
                  <w:jc w:val="left"/>
                </w:pPr>
                <w:r>
                  <w:rPr>
                    <w:rFonts w:ascii="Arial" w:hAnsi="Arial" w:cs="Arial" w:eastAsia="Arial" w:hint="default"/>
                  </w:rPr>
                  <w:t>2</w:t>
                </w:r>
                <w:r>
                  <w:rPr/>
                  <w:t>、</w:t>
                </w:r>
                <w:r>
                  <w:rPr>
                    <w:spacing w:val="-29"/>
                  </w:rPr>
                  <w:t> </w:t>
                </w:r>
                <w:r>
                  <w:rPr/>
                  <w:t>企业所得税（续）</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1987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pt;mso-position-horizontal-relative:page;mso-position-vertical-relative:page;z-index:-101984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9.400002pt;margin-top:123.432495pt;width:77.4pt;height:13.05pt;mso-position-horizontal-relative:page;mso-position-vertical-relative:page;z-index:-1019824" type="#_x0000_t202" filled="false" stroked="false">
          <v:textbox inset="0,0,0,0">
            <w:txbxContent>
              <w:p>
                <w:pPr>
                  <w:spacing w:line="241"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四</w:t>
                </w:r>
                <w:r>
                  <w:rPr>
                    <w:rFonts w:ascii="宋体" w:hAnsi="宋体" w:cs="宋体" w:eastAsia="宋体" w:hint="default"/>
                    <w:b/>
                    <w:bCs/>
                    <w:spacing w:val="70"/>
                    <w:sz w:val="22"/>
                    <w:szCs w:val="22"/>
                  </w:rPr>
                  <w:t> </w:t>
                </w:r>
                <w:r>
                  <w:rPr>
                    <w:rFonts w:ascii="宋体" w:hAnsi="宋体" w:cs="宋体" w:eastAsia="宋体" w:hint="default"/>
                    <w:b/>
                    <w:bCs/>
                    <w:sz w:val="22"/>
                    <w:szCs w:val="22"/>
                  </w:rPr>
                  <w:t>税项（续）</w:t>
                </w:r>
                <w:r>
                  <w:rPr>
                    <w:rFonts w:ascii="宋体" w:hAnsi="宋体" w:cs="宋体" w:eastAsia="宋体" w:hint="default"/>
                    <w:sz w:val="22"/>
                    <w:szCs w:val="22"/>
                  </w:rPr>
                </w:r>
              </w:p>
            </w:txbxContent>
          </v:textbox>
          <w10:wrap type="none"/>
        </v:shape>
      </w:pict>
    </w:r>
    <w:r>
      <w:rPr/>
      <w:pict>
        <v:shape style="position:absolute;margin-left:49.400002pt;margin-top:151.992493pt;width:110.5pt;height:13.6pt;mso-position-horizontal-relative:page;mso-position-vertical-relative:page;z-index:-1019800" type="#_x0000_t202" filled="false" stroked="false">
          <v:textbox inset="0,0,0,0">
            <w:txbxContent>
              <w:p>
                <w:pPr>
                  <w:pStyle w:val="BodyText"/>
                  <w:spacing w:line="256" w:lineRule="exact"/>
                  <w:ind w:right="0"/>
                  <w:jc w:val="left"/>
                </w:pPr>
                <w:r>
                  <w:rPr>
                    <w:rFonts w:ascii="Arial" w:hAnsi="Arial" w:cs="Arial" w:eastAsia="Arial" w:hint="default"/>
                  </w:rPr>
                  <w:t>2</w:t>
                </w:r>
                <w:r>
                  <w:rPr/>
                  <w:t>、</w:t>
                </w:r>
                <w:r>
                  <w:rPr>
                    <w:spacing w:val="-44"/>
                  </w:rPr>
                  <w:t> </w:t>
                </w:r>
                <w:r>
                  <w:rPr/>
                  <w:t>企业所得税（续）</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68pt;margin-top:41.112492pt;width:156.35pt;height:13.05pt;mso-position-horizontal-relative:page;mso-position-vertical-relative:page;z-index:-101977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8.68pt;margin-top:67.983856pt;width:200.25pt;height:41.65pt;mso-position-horizontal-relative:page;mso-position-vertical-relative:page;z-index:-101975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8.668961pt;margin-top:123.423851pt;width:133.050pt;height:13.05pt;mso-position-horizontal-relative:page;mso-position-vertical-relative:page;z-index:-101972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五</w:t>
                </w:r>
                <w:r>
                  <w:rPr>
                    <w:rFonts w:ascii="黑体" w:hAnsi="黑体" w:cs="黑体" w:eastAsia="黑体" w:hint="default"/>
                    <w:spacing w:val="89"/>
                  </w:rPr>
                  <w:t> </w:t>
                </w:r>
                <w:r>
                  <w:rPr>
                    <w:rFonts w:ascii="黑体" w:hAnsi="黑体" w:cs="黑体" w:eastAsia="黑体" w:hint="default"/>
                  </w:rPr>
                  <w:t>合并财务报表项目附注</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0002pt;margin-top:41.112492pt;width:156.35pt;height:13.05pt;mso-position-horizontal-relative:page;mso-position-vertical-relative:page;z-index:-101970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9.400002pt;margin-top:67.983856pt;width:200.25pt;height:41.65pt;mso-position-horizontal-relative:page;mso-position-vertical-relative:page;z-index:-101968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9.400002pt;margin-top:123.423851pt;width:164.5pt;height:13.05pt;mso-position-horizontal-relative:page;mso-position-vertical-relative:page;z-index:-101965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五</w:t>
                </w:r>
                <w:r>
                  <w:rPr>
                    <w:rFonts w:ascii="黑体" w:hAnsi="黑体" w:cs="黑体" w:eastAsia="黑体" w:hint="default"/>
                    <w:spacing w:val="59"/>
                  </w:rPr>
                  <w:t> </w:t>
                </w:r>
                <w:r>
                  <w:rPr>
                    <w:rFonts w:ascii="黑体" w:hAnsi="黑体" w:cs="黑体" w:eastAsia="黑体" w:hint="default"/>
                  </w:rPr>
                  <w:t>合并财务报表项目附注（续）</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0002pt;margin-top:41.112492pt;width:156.35pt;height:13.05pt;mso-position-horizontal-relative:page;mso-position-vertical-relative:page;z-index:-101960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9.400002pt;margin-top:67.983856pt;width:200.25pt;height:41.65pt;mso-position-horizontal-relative:page;mso-position-vertical-relative:page;z-index:-101958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9.400002pt;margin-top:123.423851pt;width:164.5pt;height:13.05pt;mso-position-horizontal-relative:page;mso-position-vertical-relative:page;z-index:-101956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五</w:t>
                </w:r>
                <w:r>
                  <w:rPr>
                    <w:rFonts w:ascii="黑体" w:hAnsi="黑体" w:cs="黑体" w:eastAsia="黑体" w:hint="default"/>
                    <w:spacing w:val="59"/>
                  </w:rPr>
                  <w:t> </w:t>
                </w:r>
                <w:r>
                  <w:rPr>
                    <w:rFonts w:ascii="黑体" w:hAnsi="黑体" w:cs="黑体" w:eastAsia="黑体" w:hint="default"/>
                  </w:rPr>
                  <w:t>合并财务报表项目附注（续）</w:t>
                </w:r>
              </w:p>
            </w:txbxContent>
          </v:textbox>
          <w10:wrap type="none"/>
        </v:shape>
      </w:pict>
    </w:r>
    <w:r>
      <w:rPr/>
      <w:pict>
        <v:shape style="position:absolute;margin-left:51.563839pt;margin-top:150.295212pt;width:97.3pt;height:13.6pt;mso-position-horizontal-relative:page;mso-position-vertical-relative:page;z-index:-1019536" type="#_x0000_t202" filled="false" stroked="false">
          <v:textbox inset="0,0,0,0">
            <w:txbxContent>
              <w:p>
                <w:pPr>
                  <w:pStyle w:val="BodyText"/>
                  <w:spacing w:line="256" w:lineRule="exact"/>
                  <w:ind w:right="0"/>
                  <w:jc w:val="left"/>
                </w:pPr>
                <w:r>
                  <w:rPr>
                    <w:rFonts w:ascii="Arial" w:hAnsi="Arial" w:cs="Arial" w:eastAsia="Arial" w:hint="default"/>
                  </w:rPr>
                  <w:t>4</w:t>
                </w:r>
                <w:r>
                  <w:rPr/>
                  <w:t>、应收账款（续）</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0002pt;margin-top:41.112492pt;width:156.35pt;height:13.05pt;mso-position-horizontal-relative:page;mso-position-vertical-relative:page;z-index:-101951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9.400002pt;margin-top:67.983856pt;width:200.25pt;height:41.65pt;mso-position-horizontal-relative:page;mso-position-vertical-relative:page;z-index:-101948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9.400002pt;margin-top:123.423851pt;width:164.5pt;height:13.05pt;mso-position-horizontal-relative:page;mso-position-vertical-relative:page;z-index:-101946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五</w:t>
                </w:r>
                <w:r>
                  <w:rPr>
                    <w:rFonts w:ascii="黑体" w:hAnsi="黑体" w:cs="黑体" w:eastAsia="黑体" w:hint="default"/>
                    <w:spacing w:val="59"/>
                  </w:rPr>
                  <w:t> </w:t>
                </w:r>
                <w:r>
                  <w:rPr>
                    <w:rFonts w:ascii="黑体" w:hAnsi="黑体" w:cs="黑体" w:eastAsia="黑体" w:hint="default"/>
                  </w:rPr>
                  <w:t>合并财务报表项目附注（续）</w:t>
                </w:r>
              </w:p>
            </w:txbxContent>
          </v:textbox>
          <w10:wrap type="none"/>
        </v:shape>
      </w:pict>
    </w:r>
    <w:r>
      <w:rPr/>
      <w:pict>
        <v:shape style="position:absolute;margin-left:51.563839pt;margin-top:150.295212pt;width:97.3pt;height:13.6pt;mso-position-horizontal-relative:page;mso-position-vertical-relative:page;z-index:-1019440" type="#_x0000_t202" filled="false" stroked="false">
          <v:textbox inset="0,0,0,0">
            <w:txbxContent>
              <w:p>
                <w:pPr>
                  <w:pStyle w:val="BodyText"/>
                  <w:spacing w:line="256" w:lineRule="exact"/>
                  <w:ind w:right="0"/>
                  <w:jc w:val="left"/>
                </w:pPr>
                <w:r>
                  <w:rPr>
                    <w:rFonts w:ascii="Arial" w:hAnsi="Arial" w:cs="Arial" w:eastAsia="Arial" w:hint="default"/>
                  </w:rPr>
                  <w:t>4</w:t>
                </w:r>
                <w:r>
                  <w:rPr/>
                  <w:t>、应收账款（续）</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0002pt;margin-top:58.392494pt;width:156.35pt;height:13.05pt;mso-position-horizontal-relative:page;mso-position-vertical-relative:page;z-index:-101941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9.400002pt;margin-top:85.263855pt;width:200.25pt;height:41.65pt;mso-position-horizontal-relative:page;mso-position-vertical-relative:page;z-index:-101939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9.400002pt;margin-top:140.703857pt;width:164.5pt;height:13.05pt;mso-position-horizontal-relative:page;mso-position-vertical-relative:page;z-index:-101936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五</w:t>
                </w:r>
                <w:r>
                  <w:rPr>
                    <w:rFonts w:ascii="黑体" w:hAnsi="黑体" w:cs="黑体" w:eastAsia="黑体" w:hint="default"/>
                    <w:spacing w:val="59"/>
                  </w:rPr>
                  <w:t> </w:t>
                </w:r>
                <w:r>
                  <w:rPr>
                    <w:rFonts w:ascii="黑体" w:hAnsi="黑体" w:cs="黑体" w:eastAsia="黑体" w:hint="default"/>
                  </w:rPr>
                  <w:t>合并财务报表项目附注（续）</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0002pt;margin-top:58.392494pt;width:156.35pt;height:13.05pt;mso-position-horizontal-relative:page;mso-position-vertical-relative:page;z-index:-101932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9.400002pt;margin-top:85.263855pt;width:200.25pt;height:41.65pt;mso-position-horizontal-relative:page;mso-position-vertical-relative:page;z-index:-101929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9.400002pt;margin-top:140.703857pt;width:164.5pt;height:13.05pt;mso-position-horizontal-relative:page;mso-position-vertical-relative:page;z-index:-101927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五</w:t>
                </w:r>
                <w:r>
                  <w:rPr>
                    <w:rFonts w:ascii="黑体" w:hAnsi="黑体" w:cs="黑体" w:eastAsia="黑体" w:hint="default"/>
                    <w:spacing w:val="59"/>
                  </w:rPr>
                  <w:t> </w:t>
                </w:r>
                <w:r>
                  <w:rPr>
                    <w:rFonts w:ascii="黑体" w:hAnsi="黑体" w:cs="黑体" w:eastAsia="黑体" w:hint="default"/>
                  </w:rPr>
                  <w:t>合并财务报表项目附注（续）</w:t>
                </w:r>
              </w:p>
            </w:txbxContent>
          </v:textbox>
          <w10:wrap type="none"/>
        </v:shape>
      </w:pict>
    </w:r>
    <w:r>
      <w:rPr/>
      <w:pict>
        <v:shape style="position:absolute;margin-left:50.846241pt;margin-top:167.575211pt;width:109.05pt;height:13.6pt;mso-position-horizontal-relative:page;mso-position-vertical-relative:page;z-index:-1019248" type="#_x0000_t202" filled="false" stroked="false">
          <v:textbox inset="0,0,0,0">
            <w:txbxContent>
              <w:p>
                <w:pPr>
                  <w:pStyle w:val="BodyText"/>
                  <w:spacing w:line="256" w:lineRule="exact"/>
                  <w:ind w:right="0"/>
                  <w:jc w:val="left"/>
                </w:pPr>
                <w:r>
                  <w:rPr>
                    <w:rFonts w:ascii="Arial" w:hAnsi="Arial" w:cs="Arial" w:eastAsia="Arial" w:hint="default"/>
                  </w:rPr>
                  <w:t>6</w:t>
                </w:r>
                <w:r>
                  <w:rPr/>
                  <w:t>、</w:t>
                </w:r>
                <w:r>
                  <w:rPr>
                    <w:spacing w:val="-73"/>
                  </w:rPr>
                  <w:t> </w:t>
                </w:r>
                <w:r>
                  <w:rPr/>
                  <w:t>其他应收款（续）</w:t>
                </w:r>
              </w:p>
            </w:txbxContent>
          </v:textbox>
          <w10:wrap type="none"/>
        </v:shape>
      </w:pict>
    </w:r>
    <w:r>
      <w:rPr/>
      <w:pict>
        <v:shape style="position:absolute;margin-left:50.835201pt;margin-top:194.446579pt;width:76.650pt;height:13.6pt;mso-position-horizontal-relative:page;mso-position-vertical-relative:page;z-index:-1019224" type="#_x0000_t202" filled="false" stroked="false">
          <v:textbox inset="0,0,0,0">
            <w:txbxContent>
              <w:p>
                <w:pPr>
                  <w:pStyle w:val="BodyText"/>
                  <w:spacing w:line="256" w:lineRule="exact"/>
                  <w:ind w:right="0"/>
                  <w:jc w:val="left"/>
                </w:pPr>
                <w:r>
                  <w:rPr>
                    <w:rFonts w:ascii="Arial" w:hAnsi="Arial" w:cs="Arial" w:eastAsia="Arial" w:hint="default"/>
                  </w:rPr>
                  <w:t>(a)  </w:t>
                </w:r>
                <w:r>
                  <w:rPr/>
                  <w:t>其他（续）</w:t>
                </w:r>
              </w:p>
            </w:txbxContent>
          </v:textbox>
          <w10:wrap type="none"/>
        </v:shape>
      </w:pict>
    </w:r>
    <w:r>
      <w:rPr/>
      <w:pict>
        <v:shape style="position:absolute;margin-left:50.824162pt;margin-top:221.560806pt;width:109.05pt;height:13.6pt;mso-position-horizontal-relative:page;mso-position-vertical-relative:page;z-index:-1019200" type="#_x0000_t202" filled="false" stroked="false">
          <v:textbox inset="0,0,0,0">
            <w:txbxContent>
              <w:p>
                <w:pPr>
                  <w:pStyle w:val="BodyText"/>
                  <w:spacing w:line="256" w:lineRule="exact"/>
                  <w:ind w:right="0"/>
                  <w:jc w:val="left"/>
                </w:pPr>
                <w:r>
                  <w:rPr>
                    <w:rFonts w:ascii="Arial" w:hAnsi="Arial" w:cs="Arial" w:eastAsia="Arial" w:hint="default"/>
                  </w:rPr>
                  <w:t>(2)</w:t>
                </w:r>
                <w:r>
                  <w:rPr>
                    <w:rFonts w:ascii="Arial" w:hAnsi="Arial" w:cs="Arial" w:eastAsia="Arial" w:hint="default"/>
                    <w:spacing w:val="49"/>
                  </w:rPr>
                  <w:t> </w:t>
                </w:r>
                <w:r>
                  <w:rPr/>
                  <w:t>按账龄分析如下：</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0002pt;margin-top:58.392494pt;width:156.35pt;height:13.05pt;mso-position-horizontal-relative:page;mso-position-vertical-relative:page;z-index:-101917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9.400002pt;margin-top:85.263855pt;width:200.25pt;height:41.65pt;mso-position-horizontal-relative:page;mso-position-vertical-relative:page;z-index:-101915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9.400002pt;margin-top:140.703857pt;width:164.5pt;height:13.05pt;mso-position-horizontal-relative:page;mso-position-vertical-relative:page;z-index:-101912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五</w:t>
                </w:r>
                <w:r>
                  <w:rPr>
                    <w:rFonts w:ascii="黑体" w:hAnsi="黑体" w:cs="黑体" w:eastAsia="黑体" w:hint="default"/>
                    <w:spacing w:val="59"/>
                  </w:rPr>
                  <w:t> </w:t>
                </w:r>
                <w:r>
                  <w:rPr>
                    <w:rFonts w:ascii="黑体" w:hAnsi="黑体" w:cs="黑体" w:eastAsia="黑体" w:hint="default"/>
                  </w:rPr>
                  <w:t>合并财务报表项目附注（续）</w:t>
                </w:r>
              </w:p>
            </w:txbxContent>
          </v:textbox>
          <w10:wrap type="none"/>
        </v:shape>
      </w:pict>
    </w:r>
    <w:r>
      <w:rPr/>
      <w:pict>
        <v:shape style="position:absolute;margin-left:48.6824pt;margin-top:167.575211pt;width:111.2pt;height:13.6pt;mso-position-horizontal-relative:page;mso-position-vertical-relative:page;z-index:-1019104" type="#_x0000_t202" filled="false" stroked="false">
          <v:textbox inset="0,0,0,0">
            <w:txbxContent>
              <w:p>
                <w:pPr>
                  <w:pStyle w:val="BodyText"/>
                  <w:spacing w:line="256" w:lineRule="exact"/>
                  <w:ind w:right="0"/>
                  <w:jc w:val="left"/>
                </w:pPr>
                <w:r>
                  <w:rPr>
                    <w:rFonts w:ascii="Arial" w:hAnsi="Arial" w:cs="Arial" w:eastAsia="Arial" w:hint="default"/>
                  </w:rPr>
                  <w:t>6</w:t>
                </w:r>
                <w:r>
                  <w:rPr/>
                  <w:t>、</w:t>
                </w:r>
                <w:r>
                  <w:rPr>
                    <w:spacing w:val="-29"/>
                  </w:rPr>
                  <w:t> </w:t>
                </w:r>
                <w:r>
                  <w:rPr/>
                  <w:t>其他应收款（续）</w:t>
                </w:r>
              </w:p>
            </w:txbxContent>
          </v:textbox>
          <w10:wrap type="none"/>
        </v:shape>
      </w:pict>
    </w:r>
    <w:r>
      <w:rPr/>
      <w:pict>
        <v:shape style="position:absolute;margin-left:48.67136pt;margin-top:194.446579pt;width:78.1pt;height:13.6pt;mso-position-horizontal-relative:page;mso-position-vertical-relative:page;z-index:-1019080" type="#_x0000_t202" filled="false" stroked="false">
          <v:textbox inset="0,0,0,0">
            <w:txbxContent>
              <w:p>
                <w:pPr>
                  <w:pStyle w:val="BodyText"/>
                  <w:spacing w:line="256" w:lineRule="exact"/>
                  <w:ind w:right="0"/>
                  <w:jc w:val="left"/>
                </w:pPr>
                <w:r>
                  <w:rPr>
                    <w:rFonts w:ascii="Arial" w:hAnsi="Arial" w:cs="Arial" w:eastAsia="Arial" w:hint="default"/>
                  </w:rPr>
                  <w:t>(a) </w:t>
                </w:r>
                <w:r>
                  <w:rPr>
                    <w:rFonts w:ascii="Arial" w:hAnsi="Arial" w:cs="Arial" w:eastAsia="Arial" w:hint="default"/>
                    <w:spacing w:val="29"/>
                  </w:rPr>
                  <w:t> </w:t>
                </w:r>
                <w:r>
                  <w:rPr/>
                  <w:t>其他（续）</w:t>
                </w:r>
              </w:p>
            </w:txbxContent>
          </v:textbox>
          <w10:wrap type="none"/>
        </v:shape>
      </w:pict>
    </w:r>
    <w:r>
      <w:rPr/>
      <w:pict>
        <v:shape style="position:absolute;margin-left:47.942719pt;margin-top:221.560806pt;width:223.3pt;height:13.6pt;mso-position-horizontal-relative:page;mso-position-vertical-relative:page;z-index:-1019056" type="#_x0000_t202" filled="false" stroked="false">
          <v:textbox inset="0,0,0,0">
            <w:txbxContent>
              <w:p>
                <w:pPr>
                  <w:pStyle w:val="BodyText"/>
                  <w:spacing w:line="256" w:lineRule="exact"/>
                  <w:ind w:right="0"/>
                  <w:jc w:val="left"/>
                </w:pPr>
                <w:r>
                  <w:rPr>
                    <w:rFonts w:ascii="Arial" w:hAnsi="Arial" w:cs="Arial" w:eastAsia="Arial" w:hint="default"/>
                  </w:rPr>
                  <w:t>(4)  </w:t>
                </w:r>
                <w:r>
                  <w:rPr>
                    <w:rFonts w:ascii="Arial" w:hAnsi="Arial" w:cs="Arial" w:eastAsia="Arial" w:hint="default"/>
                    <w:spacing w:val="12"/>
                  </w:rPr>
                  <w:t> </w:t>
                </w:r>
                <w:r>
                  <w:rPr/>
                  <w:t>本年计提、收回或转回的坏账准备情况：</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0002pt;margin-top:58.392494pt;width:156.35pt;height:13.05pt;mso-position-horizontal-relative:page;mso-position-vertical-relative:page;z-index:-101900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9.400002pt;margin-top:85.263855pt;width:200.25pt;height:41.65pt;mso-position-horizontal-relative:page;mso-position-vertical-relative:page;z-index:-101898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9.400002pt;margin-top:140.703857pt;width:164.5pt;height:13.05pt;mso-position-horizontal-relative:page;mso-position-vertical-relative:page;z-index:-101896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五</w:t>
                </w:r>
                <w:r>
                  <w:rPr>
                    <w:rFonts w:ascii="黑体" w:hAnsi="黑体" w:cs="黑体" w:eastAsia="黑体" w:hint="default"/>
                    <w:spacing w:val="59"/>
                  </w:rPr>
                  <w:t> </w:t>
                </w:r>
                <w:r>
                  <w:rPr>
                    <w:rFonts w:ascii="黑体" w:hAnsi="黑体" w:cs="黑体" w:eastAsia="黑体" w:hint="default"/>
                  </w:rPr>
                  <w:t>合并财务报表项目附注（续）</w:t>
                </w:r>
              </w:p>
            </w:txbxContent>
          </v:textbox>
          <w10:wrap type="none"/>
        </v:shape>
      </w:pict>
    </w:r>
    <w:r>
      <w:rPr/>
      <w:pict>
        <v:shape style="position:absolute;margin-left:48.6824pt;margin-top:167.575211pt;width:74.25pt;height:13.6pt;mso-position-horizontal-relative:page;mso-position-vertical-relative:page;z-index:-1018936" type="#_x0000_t202" filled="false" stroked="false">
          <v:textbox inset="0,0,0,0">
            <w:txbxContent>
              <w:p>
                <w:pPr>
                  <w:pStyle w:val="BodyText"/>
                  <w:spacing w:line="256" w:lineRule="exact"/>
                  <w:ind w:right="0"/>
                  <w:jc w:val="left"/>
                </w:pPr>
                <w:r>
                  <w:rPr>
                    <w:rFonts w:ascii="Arial" w:hAnsi="Arial" w:cs="Arial" w:eastAsia="Arial" w:hint="default"/>
                  </w:rPr>
                  <w:t>7</w:t>
                </w:r>
                <w:r>
                  <w:rPr/>
                  <w:t>、存货（续）</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0002pt;margin-top:58.392494pt;width:156.35pt;height:13.05pt;mso-position-horizontal-relative:page;mso-position-vertical-relative:page;z-index:-101891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9.400002pt;margin-top:85.263855pt;width:200.25pt;height:41.65pt;mso-position-horizontal-relative:page;mso-position-vertical-relative:page;z-index:-101888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9.400002pt;margin-top:140.703857pt;width:164.5pt;height:13.05pt;mso-position-horizontal-relative:page;mso-position-vertical-relative:page;z-index:-101886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五</w:t>
                </w:r>
                <w:r>
                  <w:rPr>
                    <w:rFonts w:ascii="黑体" w:hAnsi="黑体" w:cs="黑体" w:eastAsia="黑体" w:hint="default"/>
                    <w:spacing w:val="59"/>
                  </w:rPr>
                  <w:t> </w:t>
                </w:r>
                <w:r>
                  <w:rPr>
                    <w:rFonts w:ascii="黑体" w:hAnsi="黑体" w:cs="黑体" w:eastAsia="黑体" w:hint="default"/>
                  </w:rPr>
                  <w:t>合并财务报表项目附注（续）</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0002pt;margin-top:58.392494pt;width:156.35pt;height:13.05pt;mso-position-horizontal-relative:page;mso-position-vertical-relative:page;z-index:-101884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49.400002pt;margin-top:85.263855pt;width:200.25pt;height:41.65pt;mso-position-horizontal-relative:page;mso-position-vertical-relative:page;z-index:-101881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49.400002pt;margin-top:140.703857pt;width:164.5pt;height:13.05pt;mso-position-horizontal-relative:page;mso-position-vertical-relative:page;z-index:-101879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五</w:t>
                </w:r>
                <w:r>
                  <w:rPr>
                    <w:rFonts w:ascii="黑体" w:hAnsi="黑体" w:cs="黑体" w:eastAsia="黑体" w:hint="default"/>
                    <w:spacing w:val="59"/>
                  </w:rPr>
                  <w:t> </w:t>
                </w:r>
                <w:r>
                  <w:rPr>
                    <w:rFonts w:ascii="黑体" w:hAnsi="黑体" w:cs="黑体" w:eastAsia="黑体" w:hint="default"/>
                  </w:rPr>
                  <w:t>合并财务报表项目附注（续）</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392494pt;width:156.35pt;height:13.05pt;mso-position-horizontal-relative:page;mso-position-vertical-relative:page;z-index:-101874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263855pt;width:200.25pt;height:41.65pt;mso-position-horizontal-relative:page;mso-position-vertical-relative:page;z-index:-101872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39999pt;margin-top:144.3125pt;width:167.85pt;height:13.05pt;mso-position-horizontal-relative:page;mso-position-vertical-relative:page;z-index:-1018696"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r>
      <w:rPr/>
      <w:pict>
        <v:shape style="position:absolute;margin-left:55.642399pt;margin-top:174.54866pt;width:69.45pt;height:13.6pt;mso-position-horizontal-relative:page;mso-position-vertical-relative:page;z-index:-1018672" type="#_x0000_t202" filled="false" stroked="false">
          <v:textbox inset="0,0,0,0">
            <w:txbxContent>
              <w:p>
                <w:pPr>
                  <w:pStyle w:val="BodyText"/>
                  <w:spacing w:line="256" w:lineRule="exact"/>
                  <w:ind w:right="0"/>
                  <w:jc w:val="left"/>
                </w:pPr>
                <w:r>
                  <w:rPr>
                    <w:rFonts w:ascii="Arial" w:hAnsi="Arial" w:cs="Arial" w:eastAsia="Arial" w:hint="default"/>
                  </w:rPr>
                  <w:t>12</w:t>
                </w:r>
                <w:r>
                  <w:rPr/>
                  <w:t>、固定资产</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58.392494pt;width:156.35pt;height:13.05pt;mso-position-horizontal-relative:page;mso-position-vertical-relative:page;z-index:-101864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5.639999pt;margin-top:85.263855pt;width:200.25pt;height:41.65pt;mso-position-horizontal-relative:page;mso-position-vertical-relative:page;z-index:-101862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39999pt;margin-top:144.3125pt;width:167.85pt;height:13.05pt;mso-position-horizontal-relative:page;mso-position-vertical-relative:page;z-index:-1018600"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119999pt;margin-top:58.392494pt;width:156.35pt;height:13.05pt;mso-position-horizontal-relative:page;mso-position-vertical-relative:page;z-index:-101855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6.119999pt;margin-top:85.263855pt;width:200.25pt;height:41.65pt;mso-position-horizontal-relative:page;mso-position-vertical-relative:page;z-index:-101852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5279pt;margin-top:140.703857pt;width:167.85pt;height:13.05pt;mso-position-horizontal-relative:page;mso-position-vertical-relative:page;z-index:-1018504"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119999pt;margin-top:58.392494pt;width:156.35pt;height:13.05pt;mso-position-horizontal-relative:page;mso-position-vertical-relative:page;z-index:-101848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6.119999pt;margin-top:85.263855pt;width:200.25pt;height:41.65pt;mso-position-horizontal-relative:page;mso-position-vertical-relative:page;z-index:-101845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5279pt;margin-top:140.703857pt;width:167.85pt;height:13.05pt;mso-position-horizontal-relative:page;mso-position-vertical-relative:page;z-index:-1018432"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119999pt;margin-top:58.392494pt;width:156.35pt;height:13.05pt;mso-position-horizontal-relative:page;mso-position-vertical-relative:page;z-index:-101840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6.119999pt;margin-top:85.263855pt;width:200.25pt;height:41.65pt;mso-position-horizontal-relative:page;mso-position-vertical-relative:page;z-index:-101838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5279pt;margin-top:140.703857pt;width:167.85pt;height:13.05pt;mso-position-horizontal-relative:page;mso-position-vertical-relative:page;z-index:-1018360"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119999pt;margin-top:58.392494pt;width:156.35pt;height:13.05pt;mso-position-horizontal-relative:page;mso-position-vertical-relative:page;z-index:-101833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6.119999pt;margin-top:85.263855pt;width:200.25pt;height:41.65pt;mso-position-horizontal-relative:page;mso-position-vertical-relative:page;z-index:-101831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5279pt;margin-top:140.703857pt;width:167.85pt;height:13.05pt;mso-position-horizontal-relative:page;mso-position-vertical-relative:page;z-index:-1018288"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119999pt;margin-top:58.392494pt;width:156.35pt;height:13.05pt;mso-position-horizontal-relative:page;mso-position-vertical-relative:page;z-index:-101826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6.119999pt;margin-top:85.263855pt;width:200.25pt;height:41.65pt;mso-position-horizontal-relative:page;mso-position-vertical-relative:page;z-index:-101824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5279pt;margin-top:140.703857pt;width:167.85pt;height:13.05pt;mso-position-horizontal-relative:page;mso-position-vertical-relative:page;z-index:-1018216"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r>
      <w:rPr/>
      <w:pict>
        <v:shape style="position:absolute;margin-left:55.645279pt;margin-top:167.575211pt;width:124.4pt;height:13.6pt;mso-position-horizontal-relative:page;mso-position-vertical-relative:page;z-index:-1018192" type="#_x0000_t202" filled="false" stroked="false">
          <v:textbox inset="0,0,0,0">
            <w:txbxContent>
              <w:p>
                <w:pPr>
                  <w:pStyle w:val="BodyText"/>
                  <w:spacing w:line="256" w:lineRule="exact"/>
                  <w:ind w:right="0"/>
                  <w:jc w:val="left"/>
                </w:pPr>
                <w:r>
                  <w:rPr>
                    <w:rFonts w:ascii="Arial" w:hAnsi="Arial" w:cs="Arial" w:eastAsia="Arial" w:hint="default"/>
                  </w:rPr>
                  <w:t>21</w:t>
                </w:r>
                <w:r>
                  <w:rPr/>
                  <w:t>、应付职工薪酬（续）</w:t>
                </w:r>
              </w:p>
            </w:txbxContent>
          </v:textbox>
          <w10:wrap type="none"/>
        </v:shape>
      </w:pict>
    </w:r>
    <w:r>
      <w:rPr/>
      <w:pict>
        <v:shape style="position:absolute;margin-left:55.645279pt;margin-top:194.446579pt;width:67.3pt;height:13.6pt;mso-position-horizontal-relative:page;mso-position-vertical-relative:page;z-index:-1018168" type="#_x0000_t202" filled="false" stroked="false">
          <v:textbox inset="0,0,0,0">
            <w:txbxContent>
              <w:p>
                <w:pPr>
                  <w:pStyle w:val="BodyText"/>
                  <w:spacing w:line="256" w:lineRule="exact"/>
                  <w:ind w:right="0"/>
                  <w:jc w:val="left"/>
                </w:pPr>
                <w:r>
                  <w:rPr>
                    <w:rFonts w:ascii="Arial" w:hAnsi="Arial" w:cs="Arial" w:eastAsia="Arial" w:hint="default"/>
                  </w:rPr>
                  <w:t>(b) </w:t>
                </w:r>
                <w:r>
                  <w:rPr>
                    <w:rFonts w:ascii="Arial" w:hAnsi="Arial" w:cs="Arial" w:eastAsia="Arial" w:hint="default"/>
                    <w:spacing w:val="33"/>
                  </w:rPr>
                  <w:t> </w:t>
                </w:r>
                <w:r>
                  <w:rPr/>
                  <w:t>短期薪酬</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119999pt;margin-top:58.392494pt;width:156.35pt;height:13.05pt;mso-position-horizontal-relative:page;mso-position-vertical-relative:page;z-index:-101814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6.119999pt;margin-top:85.263855pt;width:200.25pt;height:41.65pt;mso-position-horizontal-relative:page;mso-position-vertical-relative:page;z-index:-101812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5279pt;margin-top:140.703857pt;width:167.85pt;height:13.05pt;mso-position-horizontal-relative:page;mso-position-vertical-relative:page;z-index:-1018096"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r>
      <w:rPr/>
      <w:pict>
        <v:shape style="position:absolute;margin-left:55.645279pt;margin-top:167.575211pt;width:124.4pt;height:13.6pt;mso-position-horizontal-relative:page;mso-position-vertical-relative:page;z-index:-1018072" type="#_x0000_t202" filled="false" stroked="false">
          <v:textbox inset="0,0,0,0">
            <w:txbxContent>
              <w:p>
                <w:pPr>
                  <w:pStyle w:val="BodyText"/>
                  <w:spacing w:line="256" w:lineRule="exact"/>
                  <w:ind w:right="0"/>
                  <w:jc w:val="left"/>
                </w:pPr>
                <w:r>
                  <w:rPr>
                    <w:rFonts w:ascii="Arial" w:hAnsi="Arial" w:cs="Arial" w:eastAsia="Arial" w:hint="default"/>
                  </w:rPr>
                  <w:t>21</w:t>
                </w:r>
                <w:r>
                  <w:rPr/>
                  <w:t>、应付职工薪酬（续）</w:t>
                </w:r>
              </w:p>
            </w:txbxContent>
          </v:textbox>
          <w10:wrap type="none"/>
        </v:shape>
      </w:pict>
    </w:r>
    <w:r>
      <w:rPr/>
      <w:pict>
        <v:shape style="position:absolute;margin-left:55.645279pt;margin-top:194.446579pt;width:166.4pt;height:13.6pt;mso-position-horizontal-relative:page;mso-position-vertical-relative:page;z-index:-1018048" type="#_x0000_t202" filled="false" stroked="false">
          <v:textbox inset="0,0,0,0">
            <w:txbxContent>
              <w:p>
                <w:pPr>
                  <w:pStyle w:val="BodyText"/>
                  <w:spacing w:line="256" w:lineRule="exact"/>
                  <w:ind w:right="0"/>
                  <w:jc w:val="left"/>
                </w:pPr>
                <w:r>
                  <w:rPr>
                    <w:rFonts w:ascii="Arial" w:hAnsi="Arial" w:cs="Arial" w:eastAsia="Arial" w:hint="default"/>
                  </w:rPr>
                  <w:t>(c) </w:t>
                </w:r>
                <w:r>
                  <w:rPr>
                    <w:rFonts w:ascii="Arial" w:hAnsi="Arial" w:cs="Arial" w:eastAsia="Arial" w:hint="default"/>
                    <w:spacing w:val="48"/>
                  </w:rPr>
                  <w:t> </w:t>
                </w:r>
                <w:r>
                  <w:rPr/>
                  <w:t>离职后福利</w:t>
                </w:r>
                <w:r>
                  <w:rPr>
                    <w:rFonts w:ascii="宋体" w:hAnsi="宋体" w:cs="宋体" w:eastAsia="宋体" w:hint="default"/>
                  </w:rPr>
                  <w:t>——</w:t>
                </w:r>
                <w:r>
                  <w:rPr/>
                  <w:t>设定提存计划</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119999pt;margin-top:58.392494pt;width:156.35pt;height:13.05pt;mso-position-horizontal-relative:page;mso-position-vertical-relative:page;z-index:-101802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6.119999pt;margin-top:85.263855pt;width:200.25pt;height:41.65pt;mso-position-horizontal-relative:page;mso-position-vertical-relative:page;z-index:-101800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5279pt;margin-top:140.703857pt;width:167.85pt;height:13.05pt;mso-position-horizontal-relative:page;mso-position-vertical-relative:page;z-index:-1017976"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119999pt;margin-top:58.392494pt;width:156.35pt;height:13.05pt;mso-position-horizontal-relative:page;mso-position-vertical-relative:page;z-index:-101795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6.119999pt;margin-top:85.263855pt;width:200.25pt;height:41.65pt;mso-position-horizontal-relative:page;mso-position-vertical-relative:page;z-index:-101792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5279pt;margin-top:140.703857pt;width:167.85pt;height:13.05pt;mso-position-horizontal-relative:page;mso-position-vertical-relative:page;z-index:-1017904"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119999pt;margin-top:58.392494pt;width:156.35pt;height:13.05pt;mso-position-horizontal-relative:page;mso-position-vertical-relative:page;z-index:-101788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6.119999pt;margin-top:85.263855pt;width:200.25pt;height:41.65pt;mso-position-horizontal-relative:page;mso-position-vertical-relative:page;z-index:-101785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5279pt;margin-top:140.703857pt;width:167.85pt;height:13.05pt;mso-position-horizontal-relative:page;mso-position-vertical-relative:page;z-index:-1017832"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r>
      <w:rPr/>
      <w:pict>
        <v:shape style="position:absolute;margin-left:55.645279pt;margin-top:167.575211pt;width:146.5pt;height:13.6pt;mso-position-horizontal-relative:page;mso-position-vertical-relative:page;z-index:-1017808" type="#_x0000_t202" filled="false" stroked="false">
          <v:textbox inset="0,0,0,0">
            <w:txbxContent>
              <w:p>
                <w:pPr>
                  <w:pStyle w:val="BodyText"/>
                  <w:spacing w:line="256" w:lineRule="exact"/>
                  <w:ind w:right="0"/>
                  <w:jc w:val="left"/>
                </w:pPr>
                <w:r>
                  <w:rPr>
                    <w:rFonts w:ascii="Arial" w:hAnsi="Arial" w:cs="Arial" w:eastAsia="Arial" w:hint="default"/>
                  </w:rPr>
                  <w:t>24</w:t>
                </w:r>
                <w:r>
                  <w:rPr/>
                  <w:t>、一年内到期的非流动负债</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0.200001pt;margin-top:58.392494pt;width:156.35pt;height:13.05pt;mso-position-horizontal-relative:page;mso-position-vertical-relative:page;z-index:-101778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0.200001pt;margin-top:85.263855pt;width:200.25pt;height:41.65pt;mso-position-horizontal-relative:page;mso-position-vertical-relative:page;z-index:-101776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048pt;margin-top:140.703857pt;width:167.85pt;height:13.05pt;mso-position-horizontal-relative:page;mso-position-vertical-relative:page;z-index:-1017736"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r>
      <w:rPr/>
      <w:pict>
        <v:shape style="position:absolute;margin-left:55.64048pt;margin-top:167.575211pt;width:69.45pt;height:13.6pt;mso-position-horizontal-relative:page;mso-position-vertical-relative:page;z-index:-1017712" type="#_x0000_t202" filled="false" stroked="false">
          <v:textbox inset="0,0,0,0">
            <w:txbxContent>
              <w:p>
                <w:pPr>
                  <w:pStyle w:val="BodyText"/>
                  <w:spacing w:line="256" w:lineRule="exact"/>
                  <w:ind w:right="0"/>
                  <w:jc w:val="left"/>
                </w:pPr>
                <w:r>
                  <w:rPr>
                    <w:rFonts w:ascii="Arial" w:hAnsi="Arial" w:cs="Arial" w:eastAsia="Arial" w:hint="default"/>
                  </w:rPr>
                  <w:t>26</w:t>
                </w:r>
                <w:r>
                  <w:rPr/>
                  <w:t>、长期借款</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0.200001pt;margin-top:58.392494pt;width:156.35pt;height:13.05pt;mso-position-horizontal-relative:page;mso-position-vertical-relative:page;z-index:-101766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0.200001pt;margin-top:85.263855pt;width:200.25pt;height:41.65pt;mso-position-horizontal-relative:page;mso-position-vertical-relative:page;z-index:-101764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048pt;margin-top:140.703857pt;width:167.85pt;height:13.05pt;mso-position-horizontal-relative:page;mso-position-vertical-relative:page;z-index:-1017616"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080002pt;margin-top:58.392494pt;width:156.35pt;height:13.05pt;mso-position-horizontal-relative:page;mso-position-vertical-relative:page;z-index:-101756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7.080002pt;margin-top:85.263855pt;width:200.25pt;height:41.65pt;mso-position-horizontal-relative:page;mso-position-vertical-relative:page;z-index:-101754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4798pt;margin-top:140.703857pt;width:167.85pt;height:13.05pt;mso-position-horizontal-relative:page;mso-position-vertical-relative:page;z-index:-1017520"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r>
      <w:rPr/>
      <w:pict>
        <v:shape style="position:absolute;margin-left:55.644798pt;margin-top:167.575211pt;width:69.45pt;height:13.6pt;mso-position-horizontal-relative:page;mso-position-vertical-relative:page;z-index:-1017496" type="#_x0000_t202" filled="false" stroked="false">
          <v:textbox inset="0,0,0,0">
            <w:txbxContent>
              <w:p>
                <w:pPr>
                  <w:pStyle w:val="BodyText"/>
                  <w:spacing w:line="256" w:lineRule="exact"/>
                  <w:ind w:right="0"/>
                  <w:jc w:val="left"/>
                </w:pPr>
                <w:r>
                  <w:rPr>
                    <w:rFonts w:ascii="Arial" w:hAnsi="Arial" w:cs="Arial" w:eastAsia="Arial" w:hint="default"/>
                  </w:rPr>
                  <w:t>30</w:t>
                </w:r>
                <w:r>
                  <w:rPr/>
                  <w:t>、递延收益</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080002pt;margin-top:58.392494pt;width:156.35pt;height:13.05pt;mso-position-horizontal-relative:page;mso-position-vertical-relative:page;z-index:-101747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7.080002pt;margin-top:85.263855pt;width:200.25pt;height:41.65pt;mso-position-horizontal-relative:page;mso-position-vertical-relative:page;z-index:-101744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4798pt;margin-top:140.703857pt;width:167.85pt;height:13.05pt;mso-position-horizontal-relative:page;mso-position-vertical-relative:page;z-index:-1017424"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080002pt;margin-top:58.392494pt;width:156.35pt;height:13.05pt;mso-position-horizontal-relative:page;mso-position-vertical-relative:page;z-index:-101740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7.080002pt;margin-top:85.263855pt;width:200.25pt;height:41.65pt;mso-position-horizontal-relative:page;mso-position-vertical-relative:page;z-index:-101737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4798pt;margin-top:140.703857pt;width:167.85pt;height:13.05pt;mso-position-horizontal-relative:page;mso-position-vertical-relative:page;z-index:-1017352"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080002pt;margin-top:58.392494pt;width:156.35pt;height:13.05pt;mso-position-horizontal-relative:page;mso-position-vertical-relative:page;z-index:-101732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7.080002pt;margin-top:85.263855pt;width:200.25pt;height:41.65pt;mso-position-horizontal-relative:page;mso-position-vertical-relative:page;z-index:-101730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4798pt;margin-top:140.703857pt;width:167.85pt;height:13.05pt;mso-position-horizontal-relative:page;mso-position-vertical-relative:page;z-index:-1017280"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080002pt;margin-top:58.392494pt;width:156.35pt;height:13.05pt;mso-position-horizontal-relative:page;mso-position-vertical-relative:page;z-index:-101725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7.080002pt;margin-top:85.263855pt;width:200.25pt;height:41.65pt;mso-position-horizontal-relative:page;mso-position-vertical-relative:page;z-index:-101723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4798pt;margin-top:140.703857pt;width:167.85pt;height:13.05pt;mso-position-horizontal-relative:page;mso-position-vertical-relative:page;z-index:-1017208"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080002pt;margin-top:58.392494pt;width:156.35pt;height:13.05pt;mso-position-horizontal-relative:page;mso-position-vertical-relative:page;z-index:-101716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7.080002pt;margin-top:85.263855pt;width:200.25pt;height:41.65pt;mso-position-horizontal-relative:page;mso-position-vertical-relative:page;z-index:-101713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4798pt;margin-top:140.703857pt;width:167.85pt;height:13.05pt;mso-position-horizontal-relative:page;mso-position-vertical-relative:page;z-index:-1017112"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r>
      <w:rPr/>
      <w:pict>
        <v:shape style="position:absolute;margin-left:55.644798pt;margin-top:167.575211pt;width:157.550pt;height:13.6pt;mso-position-horizontal-relative:page;mso-position-vertical-relative:page;z-index:-1017088" type="#_x0000_t202" filled="false" stroked="false">
          <v:textbox inset="0,0,0,0">
            <w:txbxContent>
              <w:p>
                <w:pPr>
                  <w:pStyle w:val="BodyText"/>
                  <w:spacing w:line="256" w:lineRule="exact"/>
                  <w:ind w:right="0"/>
                  <w:jc w:val="left"/>
                </w:pPr>
                <w:r>
                  <w:rPr>
                    <w:rFonts w:ascii="Arial" w:hAnsi="Arial" w:cs="Arial" w:eastAsia="Arial" w:hint="default"/>
                  </w:rPr>
                  <w:t>37</w:t>
                </w:r>
                <w:r>
                  <w:rPr/>
                  <w:t>、营业收入和营业成本（续）</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080002pt;margin-top:58.392494pt;width:156.35pt;height:13.05pt;mso-position-horizontal-relative:page;mso-position-vertical-relative:page;z-index:-101706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7.080002pt;margin-top:85.263855pt;width:200.25pt;height:41.65pt;mso-position-horizontal-relative:page;mso-position-vertical-relative:page;z-index:-101704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4798pt;margin-top:140.703857pt;width:167.85pt;height:13.05pt;mso-position-horizontal-relative:page;mso-position-vertical-relative:page;z-index:-1017016"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r>
      <w:rPr/>
      <w:pict>
        <v:shape style="position:absolute;margin-left:55.644798pt;margin-top:167.575211pt;width:69.45pt;height:13.6pt;mso-position-horizontal-relative:page;mso-position-vertical-relative:page;z-index:-1016992" type="#_x0000_t202" filled="false" stroked="false">
          <v:textbox inset="0,0,0,0">
            <w:txbxContent>
              <w:p>
                <w:pPr>
                  <w:pStyle w:val="BodyText"/>
                  <w:spacing w:line="256" w:lineRule="exact"/>
                  <w:ind w:right="0"/>
                  <w:jc w:val="left"/>
                </w:pPr>
                <w:r>
                  <w:rPr>
                    <w:rFonts w:ascii="Arial" w:hAnsi="Arial" w:cs="Arial" w:eastAsia="Arial" w:hint="default"/>
                  </w:rPr>
                  <w:t>40</w:t>
                </w:r>
                <w:r>
                  <w:rPr/>
                  <w:t>、管理费用</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080002pt;margin-top:58.392494pt;width:156.35pt;height:13.05pt;mso-position-horizontal-relative:page;mso-position-vertical-relative:page;z-index:-101696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7.080002pt;margin-top:85.263855pt;width:200.25pt;height:41.65pt;mso-position-horizontal-relative:page;mso-position-vertical-relative:page;z-index:-101694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4798pt;margin-top:140.703857pt;width:167.85pt;height:13.05pt;mso-position-horizontal-relative:page;mso-position-vertical-relative:page;z-index:-1016920"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r>
      <w:rPr/>
      <w:pict>
        <v:shape style="position:absolute;margin-left:55.644798pt;margin-top:167.575211pt;width:69.45pt;height:13.6pt;mso-position-horizontal-relative:page;mso-position-vertical-relative:page;z-index:-1016896" type="#_x0000_t202" filled="false" stroked="false">
          <v:textbox inset="0,0,0,0">
            <w:txbxContent>
              <w:p>
                <w:pPr>
                  <w:pStyle w:val="BodyText"/>
                  <w:spacing w:line="256" w:lineRule="exact"/>
                  <w:ind w:right="0"/>
                  <w:jc w:val="left"/>
                </w:pPr>
                <w:r>
                  <w:rPr>
                    <w:rFonts w:ascii="Arial" w:hAnsi="Arial" w:cs="Arial" w:eastAsia="Arial" w:hint="default"/>
                  </w:rPr>
                  <w:t>42</w:t>
                </w:r>
                <w:r>
                  <w:rPr/>
                  <w:t>、财务费用</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080002pt;margin-top:58.392494pt;width:156.35pt;height:13.05pt;mso-position-horizontal-relative:page;mso-position-vertical-relative:page;z-index:-101687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7.080002pt;margin-top:85.263855pt;width:200.25pt;height:41.65pt;mso-position-horizontal-relative:page;mso-position-vertical-relative:page;z-index:-101684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4798pt;margin-top:140.703857pt;width:167.85pt;height:13.05pt;mso-position-horizontal-relative:page;mso-position-vertical-relative:page;z-index:-1016824"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r>
      <w:rPr/>
      <w:pict>
        <v:shape style="position:absolute;margin-left:55.644798pt;margin-top:167.575211pt;width:69.45pt;height:13.6pt;mso-position-horizontal-relative:page;mso-position-vertical-relative:page;z-index:-1016800" type="#_x0000_t202" filled="false" stroked="false">
          <v:textbox inset="0,0,0,0">
            <w:txbxContent>
              <w:p>
                <w:pPr>
                  <w:pStyle w:val="BodyText"/>
                  <w:spacing w:line="256" w:lineRule="exact"/>
                  <w:ind w:right="0"/>
                  <w:jc w:val="left"/>
                </w:pPr>
                <w:r>
                  <w:rPr>
                    <w:rFonts w:ascii="Arial" w:hAnsi="Arial" w:cs="Arial" w:eastAsia="Arial" w:hint="default"/>
                  </w:rPr>
                  <w:t>45</w:t>
                </w:r>
                <w:r>
                  <w:rPr/>
                  <w:t>、投资收益</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080002pt;margin-top:58.392494pt;width:156.35pt;height:13.05pt;mso-position-horizontal-relative:page;mso-position-vertical-relative:page;z-index:-101677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7.080002pt;margin-top:85.263855pt;width:200.25pt;height:41.65pt;mso-position-horizontal-relative:page;mso-position-vertical-relative:page;z-index:-101675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4798pt;margin-top:140.703857pt;width:167.85pt;height:13.05pt;mso-position-horizontal-relative:page;mso-position-vertical-relative:page;z-index:-1016728"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080002pt;margin-top:58.392494pt;width:156.35pt;height:13.05pt;mso-position-horizontal-relative:page;mso-position-vertical-relative:page;z-index:-101670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7.080002pt;margin-top:85.263855pt;width:200.25pt;height:41.65pt;mso-position-horizontal-relative:page;mso-position-vertical-relative:page;z-index:-101668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4798pt;margin-top:140.703857pt;width:167.85pt;height:13.05pt;mso-position-horizontal-relative:page;mso-position-vertical-relative:page;z-index:-1016656"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r>
      <w:rPr/>
      <w:pict>
        <v:shape style="position:absolute;margin-left:55.644798pt;margin-top:167.575211pt;width:91.55pt;height:13.6pt;mso-position-horizontal-relative:page;mso-position-vertical-relative:page;z-index:-1016632" type="#_x0000_t202" filled="false" stroked="false">
          <v:textbox inset="0,0,0,0">
            <w:txbxContent>
              <w:p>
                <w:pPr>
                  <w:pStyle w:val="BodyText"/>
                  <w:spacing w:line="256" w:lineRule="exact"/>
                  <w:ind w:right="0"/>
                  <w:jc w:val="left"/>
                </w:pPr>
                <w:r>
                  <w:rPr>
                    <w:rFonts w:ascii="Arial" w:hAnsi="Arial" w:cs="Arial" w:eastAsia="Arial" w:hint="default"/>
                  </w:rPr>
                  <w:t>49</w:t>
                </w:r>
                <w:r>
                  <w:rPr/>
                  <w:t>、所得税（续）</w:t>
                </w:r>
              </w:p>
            </w:txbxContent>
          </v:textbox>
          <w10:wrap type="none"/>
        </v:shape>
      </w:pict>
    </w:r>
    <w:r>
      <w:rPr/>
      <w:pict>
        <v:shape style="position:absolute;margin-left:55.644798pt;margin-top:194.446579pt;width:199.05pt;height:13.6pt;mso-position-horizontal-relative:page;mso-position-vertical-relative:page;z-index:-1016608" type="#_x0000_t202" filled="false" stroked="false">
          <v:textbox inset="0,0,0,0">
            <w:txbxContent>
              <w:p>
                <w:pPr>
                  <w:pStyle w:val="BodyText"/>
                  <w:spacing w:line="256" w:lineRule="exact"/>
                  <w:ind w:right="0"/>
                  <w:jc w:val="left"/>
                </w:pPr>
                <w:r>
                  <w:rPr>
                    <w:rFonts w:ascii="Arial" w:hAnsi="Arial" w:cs="Arial" w:eastAsia="Arial" w:hint="default"/>
                  </w:rPr>
                  <w:t>(b) </w:t>
                </w:r>
                <w:r>
                  <w:rPr>
                    <w:rFonts w:ascii="Arial" w:hAnsi="Arial" w:cs="Arial" w:eastAsia="Arial" w:hint="default"/>
                    <w:spacing w:val="28"/>
                  </w:rPr>
                  <w:t> </w:t>
                </w:r>
                <w:r>
                  <w:rPr/>
                  <w:t>递延所得税资产及负债的变动如下：</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080002pt;margin-top:58.392494pt;width:156.35pt;height:13.05pt;mso-position-horizontal-relative:page;mso-position-vertical-relative:page;z-index:-101658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7.080002pt;margin-top:85.263855pt;width:200.25pt;height:41.65pt;mso-position-horizontal-relative:page;mso-position-vertical-relative:page;z-index:-101656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4798pt;margin-top:140.703857pt;width:167.85pt;height:13.05pt;mso-position-horizontal-relative:page;mso-position-vertical-relative:page;z-index:-1016536"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r>
      <w:rPr/>
      <w:pict>
        <v:shape style="position:absolute;margin-left:55.639999pt;margin-top:167.575211pt;width:320pt;height:37.15pt;mso-position-horizontal-relative:page;mso-position-vertical-relative:page;z-index:-1016512" type="#_x0000_t202" filled="false" stroked="false">
          <v:textbox inset="0,0,0,0">
            <w:txbxContent>
              <w:p>
                <w:pPr>
                  <w:pStyle w:val="BodyText"/>
                  <w:spacing w:line="256" w:lineRule="exact"/>
                  <w:ind w:right="0"/>
                  <w:jc w:val="left"/>
                </w:pPr>
                <w:r>
                  <w:rPr>
                    <w:rFonts w:ascii="Arial" w:hAnsi="Arial" w:cs="Arial" w:eastAsia="Arial" w:hint="default"/>
                  </w:rPr>
                  <w:t>49</w:t>
                </w:r>
                <w:r>
                  <w:rPr/>
                  <w:t>、所得税（续）</w:t>
                </w:r>
              </w:p>
              <w:p>
                <w:pPr>
                  <w:pStyle w:val="BodyText"/>
                  <w:spacing w:line="240" w:lineRule="auto" w:before="167"/>
                  <w:ind w:right="0"/>
                  <w:jc w:val="left"/>
                </w:pPr>
                <w:r>
                  <w:rPr>
                    <w:rFonts w:ascii="Arial" w:hAnsi="Arial" w:cs="Arial" w:eastAsia="Arial" w:hint="default"/>
                  </w:rPr>
                  <w:t>(c) </w:t>
                </w:r>
                <w:r>
                  <w:rPr>
                    <w:rFonts w:ascii="Arial" w:hAnsi="Arial" w:cs="Arial" w:eastAsia="Arial" w:hint="default"/>
                    <w:spacing w:val="39"/>
                  </w:rPr>
                  <w:t> </w:t>
                </w:r>
                <w:r>
                  <w:rPr/>
                  <w:t>递延所得税资产及负债包括以下暂时性差异对所得税的影响：</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080002pt;margin-top:58.392494pt;width:156.35pt;height:13.05pt;mso-position-horizontal-relative:page;mso-position-vertical-relative:page;z-index:-101648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7.080002pt;margin-top:85.263855pt;width:200.25pt;height:41.65pt;mso-position-horizontal-relative:page;mso-position-vertical-relative:page;z-index:-101646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4798pt;margin-top:140.703857pt;width:167.85pt;height:13.05pt;mso-position-horizontal-relative:page;mso-position-vertical-relative:page;z-index:-1016440"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r>
      <w:rPr/>
      <w:pict>
        <v:shape style="position:absolute;margin-left:55.639999pt;margin-top:167.575211pt;width:353.15pt;height:37.15pt;mso-position-horizontal-relative:page;mso-position-vertical-relative:page;z-index:-1016416" type="#_x0000_t202" filled="false" stroked="false">
          <v:textbox inset="0,0,0,0">
            <w:txbxContent>
              <w:p>
                <w:pPr>
                  <w:pStyle w:val="BodyText"/>
                  <w:spacing w:line="256" w:lineRule="exact"/>
                  <w:ind w:right="0"/>
                  <w:jc w:val="left"/>
                </w:pPr>
                <w:r>
                  <w:rPr>
                    <w:rFonts w:ascii="Arial" w:hAnsi="Arial" w:cs="Arial" w:eastAsia="Arial" w:hint="default"/>
                  </w:rPr>
                  <w:t>49</w:t>
                </w:r>
                <w:r>
                  <w:rPr/>
                  <w:t>、所得税（续）</w:t>
                </w:r>
              </w:p>
              <w:p>
                <w:pPr>
                  <w:pStyle w:val="BodyText"/>
                  <w:spacing w:line="240" w:lineRule="auto" w:before="167"/>
                  <w:ind w:right="0"/>
                  <w:jc w:val="left"/>
                </w:pPr>
                <w:r>
                  <w:rPr>
                    <w:rFonts w:ascii="Arial" w:hAnsi="Arial" w:cs="Arial" w:eastAsia="Arial" w:hint="default"/>
                  </w:rPr>
                  <w:t>(c) </w:t>
                </w:r>
                <w:r>
                  <w:rPr>
                    <w:rFonts w:ascii="Arial" w:hAnsi="Arial" w:cs="Arial" w:eastAsia="Arial" w:hint="default"/>
                    <w:spacing w:val="42"/>
                  </w:rPr>
                  <w:t> </w:t>
                </w:r>
                <w:r>
                  <w:rPr/>
                  <w:t>递延所得税资产及负债包括以下暂时性差异对所得税的影响（续）：</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080002pt;margin-top:58.392494pt;width:156.35pt;height:13.05pt;mso-position-horizontal-relative:page;mso-position-vertical-relative:page;z-index:-101639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7.080002pt;margin-top:85.263855pt;width:200.25pt;height:41.65pt;mso-position-horizontal-relative:page;mso-position-vertical-relative:page;z-index:-101636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4798pt;margin-top:140.703857pt;width:167.85pt;height:13.05pt;mso-position-horizontal-relative:page;mso-position-vertical-relative:page;z-index:-1016344"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080002pt;margin-top:58.392494pt;width:156.35pt;height:13.05pt;mso-position-horizontal-relative:page;mso-position-vertical-relative:page;z-index:-101632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7.080002pt;margin-top:85.263855pt;width:200.25pt;height:41.65pt;mso-position-horizontal-relative:page;mso-position-vertical-relative:page;z-index:-101629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4798pt;margin-top:140.703857pt;width:167.85pt;height:13.05pt;mso-position-horizontal-relative:page;mso-position-vertical-relative:page;z-index:-1016272"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r>
      <w:rPr/>
      <w:pict>
        <v:shape style="position:absolute;margin-left:55.644798pt;margin-top:167.575211pt;width:91.55pt;height:13.6pt;mso-position-horizontal-relative:page;mso-position-vertical-relative:page;z-index:-1016248" type="#_x0000_t202" filled="false" stroked="false">
          <v:textbox inset="0,0,0,0">
            <w:txbxContent>
              <w:p>
                <w:pPr>
                  <w:pStyle w:val="BodyText"/>
                  <w:spacing w:line="256" w:lineRule="exact"/>
                  <w:ind w:right="0"/>
                  <w:jc w:val="left"/>
                </w:pPr>
                <w:r>
                  <w:rPr>
                    <w:rFonts w:ascii="Arial" w:hAnsi="Arial" w:cs="Arial" w:eastAsia="Arial" w:hint="default"/>
                  </w:rPr>
                  <w:t>49</w:t>
                </w:r>
                <w:r>
                  <w:rPr/>
                  <w:t>、所得税（续）</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080002pt;margin-top:58.392494pt;width:156.35pt;height:13.05pt;mso-position-horizontal-relative:page;mso-position-vertical-relative:page;z-index:-1016224"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7.080002pt;margin-top:85.263855pt;width:200.25pt;height:41.65pt;mso-position-horizontal-relative:page;mso-position-vertical-relative:page;z-index:-101620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4798pt;margin-top:140.703857pt;width:167.85pt;height:13.05pt;mso-position-horizontal-relative:page;mso-position-vertical-relative:page;z-index:-1016176"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080002pt;margin-top:58.392494pt;width:156.35pt;height:13.05pt;mso-position-horizontal-relative:page;mso-position-vertical-relative:page;z-index:-1016152"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7.080002pt;margin-top:85.263855pt;width:200.25pt;height:41.65pt;mso-position-horizontal-relative:page;mso-position-vertical-relative:page;z-index:-1016128"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4798pt;margin-top:140.703857pt;width:167.85pt;height:13.05pt;mso-position-horizontal-relative:page;mso-position-vertical-relative:page;z-index:-1016104"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080002pt;margin-top:58.392494pt;width:156.35pt;height:13.05pt;mso-position-horizontal-relative:page;mso-position-vertical-relative:page;z-index:-1016080"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57.080002pt;margin-top:85.263855pt;width:200.25pt;height:41.65pt;mso-position-horizontal-relative:page;mso-position-vertical-relative:page;z-index:-1016056" type="#_x0000_t202" filled="false" stroked="false">
          <v:textbox inset="0,0,0,0">
            <w:txbxContent>
              <w:p>
                <w:pPr>
                  <w:pStyle w:val="BodyText"/>
                  <w:spacing w:line="241"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4" w:lineRule="exact"/>
                  <w:ind w:right="0"/>
                  <w:jc w:val="left"/>
                  <w:rPr>
                    <w:rFonts w:ascii="黑体" w:hAnsi="黑体" w:cs="黑体" w:eastAsia="黑体" w:hint="default"/>
                  </w:rPr>
                </w:pPr>
                <w:r>
                  <w:rPr>
                    <w:rFonts w:ascii="Arial" w:hAnsi="Arial" w:cs="Arial" w:eastAsia="Arial" w:hint="default"/>
                  </w:rPr>
                  <w:t>2019</w:t>
                </w:r>
                <w:r>
                  <w:rPr>
                    <w:rFonts w:ascii="Arial" w:hAnsi="Arial" w:cs="Arial" w:eastAsia="Arial" w:hint="default"/>
                    <w:spacing w:val="-3"/>
                  </w:rPr>
                  <w:t> </w:t>
                </w:r>
                <w:r>
                  <w:rPr>
                    <w:rFonts w:ascii="黑体" w:hAnsi="黑体" w:cs="黑体" w:eastAsia="黑体" w:hint="default"/>
                  </w:rPr>
                  <w:t>年度</w:t>
                </w:r>
              </w:p>
              <w:p>
                <w:pPr>
                  <w:pStyle w:val="BodyText"/>
                  <w:spacing w:line="278"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55.644798pt;margin-top:140.703857pt;width:167.85pt;height:13.05pt;mso-position-horizontal-relative:page;mso-position-vertical-relative:page;z-index:-1016032" type="#_x0000_t202" filled="false" stroked="false">
          <v:textbox inset="0,0,0,0">
            <w:txbxContent>
              <w:p>
                <w:pPr>
                  <w:pStyle w:val="BodyText"/>
                  <w:tabs>
                    <w:tab w:pos="471" w:val="left" w:leader="none"/>
                  </w:tabs>
                  <w:spacing w:line="241" w:lineRule="exact"/>
                  <w:ind w:right="0"/>
                  <w:jc w:val="left"/>
                  <w:rPr>
                    <w:rFonts w:ascii="黑体" w:hAnsi="黑体" w:cs="黑体" w:eastAsia="黑体" w:hint="default"/>
                  </w:rPr>
                </w:pPr>
                <w:r>
                  <w:rPr>
                    <w:rFonts w:ascii="黑体" w:hAnsi="黑体" w:cs="黑体" w:eastAsia="黑体" w:hint="default"/>
                  </w:rPr>
                  <w:t>五</w:t>
                  <w:tab/>
                  <w:t>合并财务报表项目附注（续）</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42"/>
      <w:ind w:left="138"/>
    </w:pPr>
    <w:rPr>
      <w:rFonts w:ascii="Microsoft JhengHei" w:hAnsi="Microsoft JhengHei" w:eastAsia="Microsoft JhengHei"/>
      <w:b/>
      <w:bCs/>
      <w:sz w:val="21"/>
      <w:szCs w:val="21"/>
    </w:rPr>
  </w:style>
  <w:style w:styleId="BodyText" w:type="paragraph">
    <w:name w:val="Body Text"/>
    <w:basedOn w:val="Normal"/>
    <w:uiPriority w:val="1"/>
    <w:qFormat/>
    <w:pPr>
      <w:ind w:left="20"/>
    </w:pPr>
    <w:rPr>
      <w:rFonts w:ascii="宋体" w:hAnsi="宋体" w:eastAsia="宋体"/>
      <w:sz w:val="22"/>
      <w:szCs w:val="22"/>
    </w:rPr>
  </w:style>
  <w:style w:styleId="Heading1" w:type="paragraph">
    <w:name w:val="Heading 1"/>
    <w:basedOn w:val="Normal"/>
    <w:uiPriority w:val="1"/>
    <w:qFormat/>
    <w:pPr>
      <w:outlineLvl w:val="1"/>
    </w:pPr>
    <w:rPr>
      <w:rFonts w:ascii="Microsoft JhengHei" w:hAnsi="Microsoft JhengHei" w:eastAsia="Microsoft JhengHei"/>
      <w:b/>
      <w:bCs/>
      <w:sz w:val="28"/>
      <w:szCs w:val="28"/>
    </w:rPr>
  </w:style>
  <w:style w:styleId="Heading2" w:type="paragraph">
    <w:name w:val="Heading 2"/>
    <w:basedOn w:val="Normal"/>
    <w:uiPriority w:val="1"/>
    <w:qFormat/>
    <w:pPr>
      <w:ind w:left="580"/>
      <w:outlineLvl w:val="2"/>
    </w:pPr>
    <w:rPr>
      <w:rFonts w:ascii="宋体" w:hAnsi="宋体" w:eastAsia="宋体"/>
      <w:sz w:val="24"/>
      <w:szCs w:val="24"/>
    </w:rPr>
  </w:style>
  <w:style w:styleId="Heading3" w:type="paragraph">
    <w:name w:val="Heading 3"/>
    <w:basedOn w:val="Normal"/>
    <w:uiPriority w:val="1"/>
    <w:qFormat/>
    <w:pPr>
      <w:spacing w:before="32"/>
      <w:ind w:left="20"/>
      <w:outlineLvl w:val="3"/>
    </w:pPr>
    <w:rPr>
      <w:rFonts w:ascii="宋体" w:hAnsi="宋体" w:eastAsia="宋体"/>
      <w:b/>
      <w:bCs/>
      <w:sz w:val="22"/>
      <w:szCs w:val="22"/>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hyperlink" Target="mailto:dongmi@chinaunicom.cn" TargetMode="External"/><Relationship Id="rId15" Type="http://schemas.openxmlformats.org/officeDocument/2006/relationships/hyperlink" Target="mailto:ir@chinaunicom.cn" TargetMode="External"/><Relationship Id="rId16" Type="http://schemas.openxmlformats.org/officeDocument/2006/relationships/footer" Target="footer8.xml"/><Relationship Id="rId17" Type="http://schemas.openxmlformats.org/officeDocument/2006/relationships/hyperlink" Target="http://www.chinaunicom-a.com/" TargetMode="External"/><Relationship Id="rId18" Type="http://schemas.openxmlformats.org/officeDocument/2006/relationships/hyperlink" Target="http://www.sse.com.cn/" TargetMode="External"/><Relationship Id="rId19" Type="http://schemas.openxmlformats.org/officeDocument/2006/relationships/footer" Target="footer9.xml"/><Relationship Id="rId20" Type="http://schemas.openxmlformats.org/officeDocument/2006/relationships/footer" Target="footer10.xml"/><Relationship Id="rId21" Type="http://schemas.openxmlformats.org/officeDocument/2006/relationships/footer" Target="footer11.xml"/><Relationship Id="rId22" Type="http://schemas.openxmlformats.org/officeDocument/2006/relationships/footer" Target="footer12.xml"/><Relationship Id="rId23" Type="http://schemas.openxmlformats.org/officeDocument/2006/relationships/footer" Target="footer13.xml"/><Relationship Id="rId24" Type="http://schemas.openxmlformats.org/officeDocument/2006/relationships/footer" Target="footer14.xml"/><Relationship Id="rId25" Type="http://schemas.openxmlformats.org/officeDocument/2006/relationships/footer" Target="footer15.xml"/><Relationship Id="rId26" Type="http://schemas.openxmlformats.org/officeDocument/2006/relationships/footer" Target="footer16.xml"/><Relationship Id="rId27" Type="http://schemas.openxmlformats.org/officeDocument/2006/relationships/footer" Target="footer17.xml"/><Relationship Id="rId28" Type="http://schemas.openxmlformats.org/officeDocument/2006/relationships/footer" Target="footer18.xml"/><Relationship Id="rId29" Type="http://schemas.openxmlformats.org/officeDocument/2006/relationships/footer" Target="footer19.xml"/><Relationship Id="rId30" Type="http://schemas.openxmlformats.org/officeDocument/2006/relationships/footer" Target="footer20.xml"/><Relationship Id="rId31" Type="http://schemas.openxmlformats.org/officeDocument/2006/relationships/footer" Target="footer21.xml"/><Relationship Id="rId32" Type="http://schemas.openxmlformats.org/officeDocument/2006/relationships/footer" Target="footer22.xml"/><Relationship Id="rId33" Type="http://schemas.openxmlformats.org/officeDocument/2006/relationships/footer" Target="footer23.xml"/><Relationship Id="rId34" Type="http://schemas.openxmlformats.org/officeDocument/2006/relationships/footer" Target="footer24.xml"/><Relationship Id="rId35" Type="http://schemas.openxmlformats.org/officeDocument/2006/relationships/footer" Target="footer25.xml"/><Relationship Id="rId36" Type="http://schemas.openxmlformats.org/officeDocument/2006/relationships/footer" Target="footer26.xml"/><Relationship Id="rId37" Type="http://schemas.openxmlformats.org/officeDocument/2006/relationships/footer" Target="footer27.xml"/><Relationship Id="rId38" Type="http://schemas.openxmlformats.org/officeDocument/2006/relationships/footer" Target="footer28.xml"/><Relationship Id="rId39" Type="http://schemas.openxmlformats.org/officeDocument/2006/relationships/footer" Target="footer29.xml"/><Relationship Id="rId40" Type="http://schemas.openxmlformats.org/officeDocument/2006/relationships/footer" Target="footer30.xml"/><Relationship Id="rId41" Type="http://schemas.openxmlformats.org/officeDocument/2006/relationships/footer" Target="footer31.xml"/><Relationship Id="rId42" Type="http://schemas.openxmlformats.org/officeDocument/2006/relationships/footer" Target="footer32.xml"/><Relationship Id="rId43" Type="http://schemas.openxmlformats.org/officeDocument/2006/relationships/footer" Target="footer33.xml"/><Relationship Id="rId44" Type="http://schemas.openxmlformats.org/officeDocument/2006/relationships/footer" Target="footer34.xml"/><Relationship Id="rId45" Type="http://schemas.openxmlformats.org/officeDocument/2006/relationships/footer" Target="footer35.xml"/><Relationship Id="rId46" Type="http://schemas.openxmlformats.org/officeDocument/2006/relationships/footer" Target="footer36.xml"/><Relationship Id="rId47" Type="http://schemas.openxmlformats.org/officeDocument/2006/relationships/footer" Target="footer37.xml"/><Relationship Id="rId48" Type="http://schemas.openxmlformats.org/officeDocument/2006/relationships/footer" Target="footer38.xml"/><Relationship Id="rId49" Type="http://schemas.openxmlformats.org/officeDocument/2006/relationships/footer" Target="footer39.xml"/><Relationship Id="rId50" Type="http://schemas.openxmlformats.org/officeDocument/2006/relationships/footer" Target="footer40.xml"/><Relationship Id="rId51" Type="http://schemas.openxmlformats.org/officeDocument/2006/relationships/footer" Target="footer41.xml"/><Relationship Id="rId52" Type="http://schemas.openxmlformats.org/officeDocument/2006/relationships/footer" Target="footer42.xml"/><Relationship Id="rId53" Type="http://schemas.openxmlformats.org/officeDocument/2006/relationships/footer" Target="footer43.xml"/><Relationship Id="rId54" Type="http://schemas.openxmlformats.org/officeDocument/2006/relationships/footer" Target="footer44.xml"/><Relationship Id="rId55" Type="http://schemas.openxmlformats.org/officeDocument/2006/relationships/image" Target="media/image3.jpeg"/><Relationship Id="rId56" Type="http://schemas.openxmlformats.org/officeDocument/2006/relationships/footer" Target="footer45.xml"/><Relationship Id="rId57" Type="http://schemas.openxmlformats.org/officeDocument/2006/relationships/image" Target="media/image4.jpeg"/><Relationship Id="rId58" Type="http://schemas.openxmlformats.org/officeDocument/2006/relationships/footer" Target="footer46.xml"/><Relationship Id="rId59" Type="http://schemas.openxmlformats.org/officeDocument/2006/relationships/header" Target="header2.xml"/><Relationship Id="rId60" Type="http://schemas.openxmlformats.org/officeDocument/2006/relationships/footer" Target="footer47.xml"/><Relationship Id="rId61" Type="http://schemas.openxmlformats.org/officeDocument/2006/relationships/footer" Target="footer48.xml"/><Relationship Id="rId62" Type="http://schemas.openxmlformats.org/officeDocument/2006/relationships/footer" Target="footer49.xml"/><Relationship Id="rId63" Type="http://schemas.openxmlformats.org/officeDocument/2006/relationships/footer" Target="footer50.xml"/><Relationship Id="rId64" Type="http://schemas.openxmlformats.org/officeDocument/2006/relationships/footer" Target="footer51.xml"/><Relationship Id="rId65" Type="http://schemas.openxmlformats.org/officeDocument/2006/relationships/footer" Target="footer52.xml"/><Relationship Id="rId66" Type="http://schemas.openxmlformats.org/officeDocument/2006/relationships/footer" Target="footer53.xml"/><Relationship Id="rId67" Type="http://schemas.openxmlformats.org/officeDocument/2006/relationships/footer" Target="footer54.xml"/><Relationship Id="rId68" Type="http://schemas.openxmlformats.org/officeDocument/2006/relationships/footer" Target="footer55.xml"/><Relationship Id="rId69" Type="http://schemas.openxmlformats.org/officeDocument/2006/relationships/footer" Target="footer56.xml"/><Relationship Id="rId70" Type="http://schemas.openxmlformats.org/officeDocument/2006/relationships/footer" Target="footer57.xml"/><Relationship Id="rId71" Type="http://schemas.openxmlformats.org/officeDocument/2006/relationships/footer" Target="footer58.xml"/><Relationship Id="rId72" Type="http://schemas.openxmlformats.org/officeDocument/2006/relationships/header" Target="header3.xml"/><Relationship Id="rId73" Type="http://schemas.openxmlformats.org/officeDocument/2006/relationships/footer" Target="footer59.xml"/><Relationship Id="rId74" Type="http://schemas.openxmlformats.org/officeDocument/2006/relationships/footer" Target="footer60.xml"/><Relationship Id="rId75" Type="http://schemas.openxmlformats.org/officeDocument/2006/relationships/footer" Target="footer61.xml"/><Relationship Id="rId76" Type="http://schemas.openxmlformats.org/officeDocument/2006/relationships/hyperlink" Target="http://www.chinaunicom-a.com.cn/" TargetMode="External"/><Relationship Id="rId77" Type="http://schemas.openxmlformats.org/officeDocument/2006/relationships/footer" Target="footer62.xml"/><Relationship Id="rId78" Type="http://schemas.openxmlformats.org/officeDocument/2006/relationships/footer" Target="footer63.xml"/><Relationship Id="rId79" Type="http://schemas.openxmlformats.org/officeDocument/2006/relationships/footer" Target="footer64.xml"/><Relationship Id="rId80" Type="http://schemas.openxmlformats.org/officeDocument/2006/relationships/footer" Target="footer65.xml"/><Relationship Id="rId81" Type="http://schemas.openxmlformats.org/officeDocument/2006/relationships/footer" Target="footer66.xml"/><Relationship Id="rId82" Type="http://schemas.openxmlformats.org/officeDocument/2006/relationships/footer" Target="footer67.xml"/><Relationship Id="rId83" Type="http://schemas.openxmlformats.org/officeDocument/2006/relationships/footer" Target="footer68.xml"/><Relationship Id="rId84" Type="http://schemas.openxmlformats.org/officeDocument/2006/relationships/header" Target="header4.xml"/><Relationship Id="rId85" Type="http://schemas.openxmlformats.org/officeDocument/2006/relationships/footer" Target="footer69.xml"/><Relationship Id="rId86" Type="http://schemas.openxmlformats.org/officeDocument/2006/relationships/image" Target="media/image1.jpeg"/><Relationship Id="rId87" Type="http://schemas.openxmlformats.org/officeDocument/2006/relationships/header" Target="header5.xml"/><Relationship Id="rId88" Type="http://schemas.openxmlformats.org/officeDocument/2006/relationships/footer" Target="footer70.xml"/><Relationship Id="rId89" Type="http://schemas.openxmlformats.org/officeDocument/2006/relationships/header" Target="header6.xml"/><Relationship Id="rId90" Type="http://schemas.openxmlformats.org/officeDocument/2006/relationships/footer" Target="footer71.xml"/><Relationship Id="rId91" Type="http://schemas.openxmlformats.org/officeDocument/2006/relationships/header" Target="header7.xml"/><Relationship Id="rId92" Type="http://schemas.openxmlformats.org/officeDocument/2006/relationships/footer" Target="footer72.xml"/><Relationship Id="rId93" Type="http://schemas.openxmlformats.org/officeDocument/2006/relationships/header" Target="header8.xml"/><Relationship Id="rId94" Type="http://schemas.openxmlformats.org/officeDocument/2006/relationships/footer" Target="footer73.xml"/><Relationship Id="rId95" Type="http://schemas.openxmlformats.org/officeDocument/2006/relationships/header" Target="header9.xml"/><Relationship Id="rId96" Type="http://schemas.openxmlformats.org/officeDocument/2006/relationships/footer" Target="footer74.xml"/><Relationship Id="rId97" Type="http://schemas.openxmlformats.org/officeDocument/2006/relationships/header" Target="header10.xml"/><Relationship Id="rId98" Type="http://schemas.openxmlformats.org/officeDocument/2006/relationships/footer" Target="footer75.xml"/><Relationship Id="rId99" Type="http://schemas.openxmlformats.org/officeDocument/2006/relationships/header" Target="header11.xml"/><Relationship Id="rId100" Type="http://schemas.openxmlformats.org/officeDocument/2006/relationships/header" Target="header12.xml"/><Relationship Id="rId101" Type="http://schemas.openxmlformats.org/officeDocument/2006/relationships/footer" Target="footer76.xml"/><Relationship Id="rId102" Type="http://schemas.openxmlformats.org/officeDocument/2006/relationships/header" Target="header13.xml"/><Relationship Id="rId103" Type="http://schemas.openxmlformats.org/officeDocument/2006/relationships/footer" Target="footer77.xml"/><Relationship Id="rId104" Type="http://schemas.openxmlformats.org/officeDocument/2006/relationships/header" Target="header14.xml"/><Relationship Id="rId105" Type="http://schemas.openxmlformats.org/officeDocument/2006/relationships/footer" Target="footer78.xml"/><Relationship Id="rId106" Type="http://schemas.openxmlformats.org/officeDocument/2006/relationships/header" Target="header15.xml"/><Relationship Id="rId107" Type="http://schemas.openxmlformats.org/officeDocument/2006/relationships/header" Target="header16.xml"/><Relationship Id="rId108" Type="http://schemas.openxmlformats.org/officeDocument/2006/relationships/header" Target="header17.xml"/><Relationship Id="rId109" Type="http://schemas.openxmlformats.org/officeDocument/2006/relationships/header" Target="header18.xml"/><Relationship Id="rId110" Type="http://schemas.openxmlformats.org/officeDocument/2006/relationships/header" Target="header19.xml"/><Relationship Id="rId111" Type="http://schemas.openxmlformats.org/officeDocument/2006/relationships/header" Target="header20.xml"/><Relationship Id="rId112" Type="http://schemas.openxmlformats.org/officeDocument/2006/relationships/header" Target="header21.xml"/><Relationship Id="rId113" Type="http://schemas.openxmlformats.org/officeDocument/2006/relationships/header" Target="header22.xml"/><Relationship Id="rId114" Type="http://schemas.openxmlformats.org/officeDocument/2006/relationships/header" Target="header23.xml"/><Relationship Id="rId115" Type="http://schemas.openxmlformats.org/officeDocument/2006/relationships/header" Target="header24.xml"/><Relationship Id="rId116" Type="http://schemas.openxmlformats.org/officeDocument/2006/relationships/header" Target="header25.xml"/><Relationship Id="rId117" Type="http://schemas.openxmlformats.org/officeDocument/2006/relationships/header" Target="header26.xml"/><Relationship Id="rId118" Type="http://schemas.openxmlformats.org/officeDocument/2006/relationships/header" Target="header27.xml"/><Relationship Id="rId119" Type="http://schemas.openxmlformats.org/officeDocument/2006/relationships/header" Target="header28.xml"/><Relationship Id="rId120" Type="http://schemas.openxmlformats.org/officeDocument/2006/relationships/header" Target="header29.xml"/><Relationship Id="rId121" Type="http://schemas.openxmlformats.org/officeDocument/2006/relationships/header" Target="header30.xml"/><Relationship Id="rId122" Type="http://schemas.openxmlformats.org/officeDocument/2006/relationships/header" Target="header31.xml"/><Relationship Id="rId123" Type="http://schemas.openxmlformats.org/officeDocument/2006/relationships/header" Target="header32.xml"/><Relationship Id="rId124" Type="http://schemas.openxmlformats.org/officeDocument/2006/relationships/header" Target="header33.xml"/><Relationship Id="rId125" Type="http://schemas.openxmlformats.org/officeDocument/2006/relationships/header" Target="header34.xml"/><Relationship Id="rId126" Type="http://schemas.openxmlformats.org/officeDocument/2006/relationships/header" Target="header35.xml"/><Relationship Id="rId127" Type="http://schemas.openxmlformats.org/officeDocument/2006/relationships/header" Target="header36.xml"/><Relationship Id="rId128" Type="http://schemas.openxmlformats.org/officeDocument/2006/relationships/header" Target="header37.xml"/><Relationship Id="rId129" Type="http://schemas.openxmlformats.org/officeDocument/2006/relationships/header" Target="header38.xml"/><Relationship Id="rId130" Type="http://schemas.openxmlformats.org/officeDocument/2006/relationships/header" Target="header39.xml"/><Relationship Id="rId131" Type="http://schemas.openxmlformats.org/officeDocument/2006/relationships/header" Target="header40.xml"/><Relationship Id="rId132" Type="http://schemas.openxmlformats.org/officeDocument/2006/relationships/header" Target="header41.xml"/><Relationship Id="rId133" Type="http://schemas.openxmlformats.org/officeDocument/2006/relationships/header" Target="header42.xml"/><Relationship Id="rId134" Type="http://schemas.openxmlformats.org/officeDocument/2006/relationships/header" Target="header43.xml"/><Relationship Id="rId135" Type="http://schemas.openxmlformats.org/officeDocument/2006/relationships/header" Target="header44.xml"/><Relationship Id="rId136" Type="http://schemas.openxmlformats.org/officeDocument/2006/relationships/header" Target="header45.xml"/><Relationship Id="rId137" Type="http://schemas.openxmlformats.org/officeDocument/2006/relationships/header" Target="header46.xml"/><Relationship Id="rId138" Type="http://schemas.openxmlformats.org/officeDocument/2006/relationships/header" Target="header47.xml"/><Relationship Id="rId139" Type="http://schemas.openxmlformats.org/officeDocument/2006/relationships/header" Target="header48.xml"/><Relationship Id="rId140" Type="http://schemas.openxmlformats.org/officeDocument/2006/relationships/header" Target="header49.xml"/><Relationship Id="rId141" Type="http://schemas.openxmlformats.org/officeDocument/2006/relationships/header" Target="header50.xml"/><Relationship Id="rId142" Type="http://schemas.openxmlformats.org/officeDocument/2006/relationships/header" Target="header51.xml"/><Relationship Id="rId143" Type="http://schemas.openxmlformats.org/officeDocument/2006/relationships/header" Target="header52.xml"/><Relationship Id="rId144" Type="http://schemas.openxmlformats.org/officeDocument/2006/relationships/header" Target="header53.xml"/><Relationship Id="rId145" Type="http://schemas.openxmlformats.org/officeDocument/2006/relationships/footer" Target="footer79.xml"/><Relationship Id="rId146" Type="http://schemas.openxmlformats.org/officeDocument/2006/relationships/footer" Target="footer80.xml"/><Relationship Id="rId147" Type="http://schemas.openxmlformats.org/officeDocument/2006/relationships/header" Target="header54.xml"/><Relationship Id="rId148" Type="http://schemas.openxmlformats.org/officeDocument/2006/relationships/header" Target="header55.xml"/><Relationship Id="rId149" Type="http://schemas.openxmlformats.org/officeDocument/2006/relationships/header" Target="header56.xml"/><Relationship Id="rId150" Type="http://schemas.openxmlformats.org/officeDocument/2006/relationships/footer" Target="footer81.xml"/><Relationship Id="rId151" Type="http://schemas.openxmlformats.org/officeDocument/2006/relationships/header" Target="header57.xml"/><Relationship Id="rId152" Type="http://schemas.openxmlformats.org/officeDocument/2006/relationships/footer" Target="footer82.xml"/><Relationship Id="rId153" Type="http://schemas.openxmlformats.org/officeDocument/2006/relationships/header" Target="header58.xml"/><Relationship Id="rId154" Type="http://schemas.openxmlformats.org/officeDocument/2006/relationships/header" Target="header59.xml"/><Relationship Id="rId155" Type="http://schemas.openxmlformats.org/officeDocument/2006/relationships/footer" Target="footer83.xml"/><Relationship Id="rId156" Type="http://schemas.openxmlformats.org/officeDocument/2006/relationships/header" Target="header60.xml"/><Relationship Id="rId157" Type="http://schemas.openxmlformats.org/officeDocument/2006/relationships/footer" Target="footer84.xml"/><Relationship Id="rId158" Type="http://schemas.openxmlformats.org/officeDocument/2006/relationships/header" Target="header61.xml"/><Relationship Id="rId159" Type="http://schemas.openxmlformats.org/officeDocument/2006/relationships/header" Target="header62.xml"/><Relationship Id="rId160" Type="http://schemas.openxmlformats.org/officeDocument/2006/relationships/header" Target="header63.xml"/><Relationship Id="rId161" Type="http://schemas.openxmlformats.org/officeDocument/2006/relationships/header" Target="header64.xml"/><Relationship Id="rId162" Type="http://schemas.openxmlformats.org/officeDocument/2006/relationships/footer" Target="footer85.xml"/><Relationship Id="rId163" Type="http://schemas.openxmlformats.org/officeDocument/2006/relationships/footer" Target="footer86.xml"/><Relationship Id="rId164" Type="http://schemas.openxmlformats.org/officeDocument/2006/relationships/header" Target="header65.xml"/><Relationship Id="rId165" Type="http://schemas.openxmlformats.org/officeDocument/2006/relationships/header" Target="header66.xml"/><Relationship Id="rId166" Type="http://schemas.openxmlformats.org/officeDocument/2006/relationships/header" Target="header67.xml"/><Relationship Id="rId167" Type="http://schemas.openxmlformats.org/officeDocument/2006/relationships/footer" Target="footer87.xml"/><Relationship Id="rId168" Type="http://schemas.openxmlformats.org/officeDocument/2006/relationships/footer" Target="footer88.xml"/><Relationship Id="rId169" Type="http://schemas.openxmlformats.org/officeDocument/2006/relationships/header" Target="header68.xml"/><Relationship Id="rId170" Type="http://schemas.openxmlformats.org/officeDocument/2006/relationships/header" Target="header69.xml"/><Relationship Id="rId171" Type="http://schemas.openxmlformats.org/officeDocument/2006/relationships/header" Target="header70.xml"/><Relationship Id="rId172" Type="http://schemas.openxmlformats.org/officeDocument/2006/relationships/header" Target="header71.xml"/><Relationship Id="rId173" Type="http://schemas.openxmlformats.org/officeDocument/2006/relationships/header" Target="header72.xml"/><Relationship Id="rId174" Type="http://schemas.openxmlformats.org/officeDocument/2006/relationships/header" Target="header73.xml"/><Relationship Id="rId175" Type="http://schemas.openxmlformats.org/officeDocument/2006/relationships/header" Target="header74.xml"/><Relationship Id="rId176" Type="http://schemas.openxmlformats.org/officeDocument/2006/relationships/header" Target="header75.xml"/><Relationship Id="rId177" Type="http://schemas.openxmlformats.org/officeDocument/2006/relationships/header" Target="header76.xml"/><Relationship Id="rId178" Type="http://schemas.openxmlformats.org/officeDocument/2006/relationships/header" Target="header77.xml"/><Relationship Id="rId179" Type="http://schemas.openxmlformats.org/officeDocument/2006/relationships/footer" Target="footer89.xml"/><Relationship Id="rId180" Type="http://schemas.openxmlformats.org/officeDocument/2006/relationships/header" Target="header78.xml"/><Relationship Id="rId181" Type="http://schemas.openxmlformats.org/officeDocument/2006/relationships/footer" Target="footer90.xml"/><Relationship Id="rId182" Type="http://schemas.openxmlformats.org/officeDocument/2006/relationships/header" Target="header79.xml"/><Relationship Id="rId183" Type="http://schemas.openxmlformats.org/officeDocument/2006/relationships/header" Target="header80.xml"/><Relationship Id="rId184" Type="http://schemas.openxmlformats.org/officeDocument/2006/relationships/footer" Target="footer91.xml"/><Relationship Id="rId185" Type="http://schemas.openxmlformats.org/officeDocument/2006/relationships/footer" Target="footer92.xml"/><Relationship Id="rId186" Type="http://schemas.openxmlformats.org/officeDocument/2006/relationships/header" Target="header81.xml"/><Relationship Id="rId187" Type="http://schemas.openxmlformats.org/officeDocument/2006/relationships/header" Target="header82.xml"/><Relationship Id="rId188" Type="http://schemas.openxmlformats.org/officeDocument/2006/relationships/header" Target="header83.xml"/><Relationship Id="rId189" Type="http://schemas.openxmlformats.org/officeDocument/2006/relationships/header" Target="header84.xml"/><Relationship Id="rId190" Type="http://schemas.openxmlformats.org/officeDocument/2006/relationships/header" Target="header85.xml"/><Relationship Id="rId191" Type="http://schemas.openxmlformats.org/officeDocument/2006/relationships/header" Target="header86.xml"/><Relationship Id="rId192" Type="http://schemas.openxmlformats.org/officeDocument/2006/relationships/footer" Target="footer93.xml"/><Relationship Id="rId193" Type="http://schemas.openxmlformats.org/officeDocument/2006/relationships/footer" Target="footer94.xml"/><Relationship Id="rId194" Type="http://schemas.openxmlformats.org/officeDocument/2006/relationships/header" Target="header87.xml"/><Relationship Id="rId195" Type="http://schemas.openxmlformats.org/officeDocument/2006/relationships/header" Target="header88.xml"/><Relationship Id="rId196" Type="http://schemas.openxmlformats.org/officeDocument/2006/relationships/header" Target="header89.xml"/><Relationship Id="rId197" Type="http://schemas.openxmlformats.org/officeDocument/2006/relationships/header" Target="header90.xml"/><Relationship Id="rId198" Type="http://schemas.openxmlformats.org/officeDocument/2006/relationships/header" Target="header91.xml"/><Relationship Id="rId199" Type="http://schemas.openxmlformats.org/officeDocument/2006/relationships/header" Target="header92.xml"/><Relationship Id="rId200" Type="http://schemas.openxmlformats.org/officeDocument/2006/relationships/header" Target="header93.xml"/><Relationship Id="rId201" Type="http://schemas.openxmlformats.org/officeDocument/2006/relationships/header" Target="header94.xml"/><Relationship Id="rId202" Type="http://schemas.openxmlformats.org/officeDocument/2006/relationships/header" Target="header95.xml"/><Relationship Id="rId203" Type="http://schemas.openxmlformats.org/officeDocument/2006/relationships/header" Target="header96.xml"/><Relationship Id="rId204" Type="http://schemas.openxmlformats.org/officeDocument/2006/relationships/header" Target="header97.xml"/><Relationship Id="rId205" Type="http://schemas.openxmlformats.org/officeDocument/2006/relationships/header" Target="header98.xml"/><Relationship Id="rId206" Type="http://schemas.openxmlformats.org/officeDocument/2006/relationships/header" Target="header99.xml"/><Relationship Id="rId207" Type="http://schemas.openxmlformats.org/officeDocument/2006/relationships/header" Target="header100.xml"/><Relationship Id="rId208" Type="http://schemas.openxmlformats.org/officeDocument/2006/relationships/header" Target="header101.xml"/><Relationship Id="rId209" Type="http://schemas.openxmlformats.org/officeDocument/2006/relationships/header" Target="header102.xml"/><Relationship Id="rId210" Type="http://schemas.openxmlformats.org/officeDocument/2006/relationships/header" Target="header103.xml"/><Relationship Id="rId211" Type="http://schemas.openxmlformats.org/officeDocument/2006/relationships/header" Target="header104.xml"/><Relationship Id="rId212" Type="http://schemas.openxmlformats.org/officeDocument/2006/relationships/header" Target="header105.xml"/><Relationship Id="rId213" Type="http://schemas.openxmlformats.org/officeDocument/2006/relationships/header" Target="header106.xml"/><Relationship Id="rId214" Type="http://schemas.openxmlformats.org/officeDocument/2006/relationships/header" Target="header107.xml"/><Relationship Id="rId215" Type="http://schemas.openxmlformats.org/officeDocument/2006/relationships/header" Target="header108.xml"/><Relationship Id="rId216" Type="http://schemas.openxmlformats.org/officeDocument/2006/relationships/header" Target="header109.xml"/><Relationship Id="rId217" Type="http://schemas.openxmlformats.org/officeDocument/2006/relationships/header" Target="header110.xml"/><Relationship Id="rId218" Type="http://schemas.openxmlformats.org/officeDocument/2006/relationships/header" Target="header111.xml"/><Relationship Id="rId219" Type="http://schemas.openxmlformats.org/officeDocument/2006/relationships/header" Target="header112.xml"/><Relationship Id="rId220" Type="http://schemas.openxmlformats.org/officeDocument/2006/relationships/header" Target="header113.xml"/><Relationship Id="rId221" Type="http://schemas.openxmlformats.org/officeDocument/2006/relationships/header" Target="header114.xml"/><Relationship Id="rId222" Type="http://schemas.openxmlformats.org/officeDocument/2006/relationships/header" Target="header115.xml"/><Relationship Id="rId223" Type="http://schemas.openxmlformats.org/officeDocument/2006/relationships/header" Target="header116.xml"/><Relationship Id="rId224" Type="http://schemas.openxmlformats.org/officeDocument/2006/relationships/header" Target="header117.xml"/><Relationship Id="rId225" Type="http://schemas.openxmlformats.org/officeDocument/2006/relationships/header" Target="header118.xml"/><Relationship Id="rId226" Type="http://schemas.openxmlformats.org/officeDocument/2006/relationships/header" Target="header119.xml"/><Relationship Id="rId227" Type="http://schemas.openxmlformats.org/officeDocument/2006/relationships/header" Target="header120.xml"/><Relationship Id="rId228" Type="http://schemas.openxmlformats.org/officeDocument/2006/relationships/header" Target="header121.xml"/><Relationship Id="rId229" Type="http://schemas.openxmlformats.org/officeDocument/2006/relationships/header" Target="header122.xml"/><Relationship Id="rId230" Type="http://schemas.openxmlformats.org/officeDocument/2006/relationships/header" Target="header123.xml"/><Relationship Id="rId231" Type="http://schemas.openxmlformats.org/officeDocument/2006/relationships/header" Target="header124.xml"/><Relationship Id="rId232" Type="http://schemas.openxmlformats.org/officeDocument/2006/relationships/header" Target="header125.xml"/><Relationship Id="rId233" Type="http://schemas.openxmlformats.org/officeDocument/2006/relationships/header" Target="header126.xml"/><Relationship Id="rId234" Type="http://schemas.openxmlformats.org/officeDocument/2006/relationships/header" Target="header127.xml"/><Relationship Id="rId235" Type="http://schemas.openxmlformats.org/officeDocument/2006/relationships/header" Target="header128.xml"/><Relationship Id="rId236" Type="http://schemas.openxmlformats.org/officeDocument/2006/relationships/header" Target="header129.xml"/><Relationship Id="rId237" Type="http://schemas.openxmlformats.org/officeDocument/2006/relationships/header" Target="header130.xml"/><Relationship Id="rId238" Type="http://schemas.openxmlformats.org/officeDocument/2006/relationships/header" Target="header131.xml"/><Relationship Id="rId239" Type="http://schemas.openxmlformats.org/officeDocument/2006/relationships/header" Target="header132.xml"/><Relationship Id="rId240" Type="http://schemas.openxmlformats.org/officeDocument/2006/relationships/header" Target="header133.xml"/><Relationship Id="rId241" Type="http://schemas.openxmlformats.org/officeDocument/2006/relationships/header" Target="header134.xml"/><Relationship Id="rId242" Type="http://schemas.openxmlformats.org/officeDocument/2006/relationships/header" Target="header135.xml"/><Relationship Id="rId243" Type="http://schemas.openxmlformats.org/officeDocument/2006/relationships/footer" Target="footer95.xml"/><Relationship Id="rId244" Type="http://schemas.openxmlformats.org/officeDocument/2006/relationships/header" Target="header136.xml"/><Relationship Id="rId245" Type="http://schemas.openxmlformats.org/officeDocument/2006/relationships/footer" Target="footer96.xml"/><Relationship Id="rId246" Type="http://schemas.openxmlformats.org/officeDocument/2006/relationships/image" Target="media/image5.jpeg"/><Relationship Id="rId247"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czq</dc:creator>
  <dcterms:created xsi:type="dcterms:W3CDTF">2020-05-19T00:31:03Z</dcterms:created>
  <dcterms:modified xsi:type="dcterms:W3CDTF">2020-05-19T00:31:03Z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2020-03-23T00:00:00Z</vt:filetime>
  </property>
  <property fmtid="{D5CDD505-2E9C-101B-9397-08002B2CF9AE}" pid="3" name="Creator">
    <vt:lpwstr>Adobe Acrobat Pro DC 19.8.20074</vt:lpwstr>
  </property>
  <property fmtid="{D5CDD505-2E9C-101B-9397-08002B2CF9AE}" pid="4" name="LastSaved">
    <vt:filetime>2020-05-18T00:00:00Z</vt:filetime>
  </property>
</Properties>
</file>